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C62186">
      <w:pPr>
        <w:pageBreakBefore w:val="0"/>
        <w:wordWrap/>
        <w:topLinePunct w:val="0"/>
        <w:bidi w:val="0"/>
        <w:spacing w:before="165" w:beforeLines="50" w:line="560" w:lineRule="exact"/>
        <w:rPr>
          <w:rFonts w:asciiTheme="minorEastAsia" w:hAnsiTheme="minorEastAsia" w:eastAsiaTheme="minorEastAsia"/>
          <w:b/>
          <w:bCs/>
          <w:color w:val="000000" w:themeColor="text1"/>
          <w:sz w:val="36"/>
          <w:szCs w:val="36"/>
          <w:highlight w:val="none"/>
          <w14:textFill>
            <w14:solidFill>
              <w14:schemeClr w14:val="tx1"/>
            </w14:solidFill>
          </w14:textFill>
        </w:rPr>
      </w:pPr>
    </w:p>
    <w:p w14:paraId="4A482EA0">
      <w:pPr>
        <w:pageBreakBefore w:val="0"/>
        <w:wordWrap/>
        <w:topLinePunct w:val="0"/>
        <w:bidi w:val="0"/>
        <w:spacing w:before="165" w:beforeLines="50" w:line="560" w:lineRule="exact"/>
        <w:rPr>
          <w:rFonts w:asciiTheme="minorEastAsia" w:hAnsiTheme="minorEastAsia" w:eastAsiaTheme="minorEastAsia"/>
          <w:b/>
          <w:bCs/>
          <w:color w:val="000000" w:themeColor="text1"/>
          <w:sz w:val="36"/>
          <w:szCs w:val="36"/>
          <w:highlight w:val="none"/>
          <w14:textFill>
            <w14:solidFill>
              <w14:schemeClr w14:val="tx1"/>
            </w14:solidFill>
          </w14:textFill>
        </w:rPr>
      </w:pPr>
    </w:p>
    <w:p w14:paraId="79A270C9">
      <w:pPr>
        <w:pageBreakBefore w:val="0"/>
        <w:wordWrap/>
        <w:topLinePunct w:val="0"/>
        <w:bidi w:val="0"/>
        <w:spacing w:before="165" w:beforeLines="50" w:line="560" w:lineRule="exact"/>
        <w:jc w:val="center"/>
        <w:rPr>
          <w:rFonts w:ascii="仿宋_GB2312" w:hAnsi="宋体" w:eastAsia="仿宋_GB2312"/>
          <w:b/>
          <w:color w:val="000000" w:themeColor="text1"/>
          <w:sz w:val="48"/>
          <w:szCs w:val="48"/>
          <w:highlight w:val="none"/>
          <w14:textFill>
            <w14:solidFill>
              <w14:schemeClr w14:val="tx1"/>
            </w14:solidFill>
          </w14:textFill>
        </w:rPr>
      </w:pPr>
      <w:r>
        <w:rPr>
          <w:rFonts w:hint="eastAsia" w:asciiTheme="minorEastAsia" w:hAnsiTheme="minorEastAsia" w:eastAsiaTheme="minorEastAsia"/>
          <w:b/>
          <w:bCs/>
          <w:color w:val="000000" w:themeColor="text1"/>
          <w:sz w:val="56"/>
          <w:szCs w:val="56"/>
          <w:highlight w:val="none"/>
          <w:lang w:eastAsia="zh-CN"/>
          <w14:textFill>
            <w14:solidFill>
              <w14:schemeClr w14:val="tx1"/>
            </w14:solidFill>
          </w14:textFill>
        </w:rPr>
        <w:t>哈密市中心医院2025年医疗设备购置项目（第一批）（二次）</w:t>
      </w:r>
    </w:p>
    <w:p w14:paraId="15C830E5">
      <w:pPr>
        <w:pageBreakBefore w:val="0"/>
        <w:wordWrap/>
        <w:topLinePunct w:val="0"/>
        <w:bidi w:val="0"/>
        <w:spacing w:before="165" w:beforeLines="50" w:line="560" w:lineRule="exact"/>
        <w:jc w:val="center"/>
        <w:rPr>
          <w:rFonts w:hint="default" w:asciiTheme="minorEastAsia" w:hAnsiTheme="minorEastAsia" w:eastAsiaTheme="minorEastAsia"/>
          <w:b/>
          <w:bCs/>
          <w:color w:val="000000" w:themeColor="text1"/>
          <w:sz w:val="56"/>
          <w:szCs w:val="56"/>
          <w:highlight w:val="none"/>
          <w:lang w:val="en-US" w:eastAsia="zh-CN"/>
          <w14:textFill>
            <w14:solidFill>
              <w14:schemeClr w14:val="tx1"/>
            </w14:solidFill>
          </w14:textFill>
        </w:rPr>
      </w:pPr>
      <w:r>
        <w:rPr>
          <w:rFonts w:hint="eastAsia" w:asciiTheme="minorEastAsia" w:hAnsiTheme="minorEastAsia" w:eastAsiaTheme="minorEastAsia"/>
          <w:b/>
          <w:bCs/>
          <w:color w:val="000000" w:themeColor="text1"/>
          <w:sz w:val="56"/>
          <w:szCs w:val="56"/>
          <w:highlight w:val="none"/>
          <w:lang w:val="en-US" w:eastAsia="zh-CN"/>
          <w14:textFill>
            <w14:solidFill>
              <w14:schemeClr w14:val="tx1"/>
            </w14:solidFill>
          </w14:textFill>
        </w:rPr>
        <w:t>标项一</w:t>
      </w:r>
    </w:p>
    <w:p w14:paraId="550CA0C5">
      <w:pPr>
        <w:pageBreakBefore w:val="0"/>
        <w:wordWrap/>
        <w:topLinePunct w:val="0"/>
        <w:bidi w:val="0"/>
        <w:spacing w:before="165" w:beforeLines="50" w:line="560" w:lineRule="exact"/>
        <w:jc w:val="center"/>
        <w:rPr>
          <w:rFonts w:ascii="仿宋_GB2312" w:hAnsi="宋体" w:eastAsia="仿宋_GB2312"/>
          <w:b/>
          <w:color w:val="000000" w:themeColor="text1"/>
          <w:sz w:val="48"/>
          <w:szCs w:val="48"/>
          <w:highlight w:val="none"/>
          <w14:textFill>
            <w14:solidFill>
              <w14:schemeClr w14:val="tx1"/>
            </w14:solidFill>
          </w14:textFill>
        </w:rPr>
      </w:pPr>
    </w:p>
    <w:p w14:paraId="6B6D64F0">
      <w:pPr>
        <w:pageBreakBefore w:val="0"/>
        <w:wordWrap/>
        <w:topLinePunct w:val="0"/>
        <w:bidi w:val="0"/>
        <w:spacing w:before="165" w:beforeLines="50" w:line="560" w:lineRule="exact"/>
        <w:jc w:val="center"/>
        <w:rPr>
          <w:rFonts w:ascii="仿宋_GB2312" w:hAnsi="宋体" w:eastAsia="仿宋_GB2312"/>
          <w:b/>
          <w:color w:val="000000" w:themeColor="text1"/>
          <w:sz w:val="48"/>
          <w:szCs w:val="48"/>
          <w:highlight w:val="none"/>
          <w14:textFill>
            <w14:solidFill>
              <w14:schemeClr w14:val="tx1"/>
            </w14:solidFill>
          </w14:textFill>
        </w:rPr>
      </w:pPr>
    </w:p>
    <w:p w14:paraId="05314EEA">
      <w:pPr>
        <w:pageBreakBefore w:val="0"/>
        <w:wordWrap/>
        <w:topLinePunct w:val="0"/>
        <w:bidi w:val="0"/>
        <w:snapToGrid w:val="0"/>
        <w:spacing w:before="165" w:beforeLines="50" w:line="560" w:lineRule="exact"/>
        <w:jc w:val="center"/>
        <w:rPr>
          <w:rFonts w:asciiTheme="minorEastAsia" w:hAnsiTheme="minorEastAsia" w:eastAsiaTheme="minorEastAsia"/>
          <w:color w:val="000000" w:themeColor="text1"/>
          <w:sz w:val="72"/>
          <w:szCs w:val="72"/>
          <w:highlight w:val="none"/>
          <w14:textFill>
            <w14:solidFill>
              <w14:schemeClr w14:val="tx1"/>
            </w14:solidFill>
          </w14:textFill>
        </w:rPr>
      </w:pPr>
      <w:r>
        <w:rPr>
          <w:rFonts w:hint="eastAsia" w:asciiTheme="minorEastAsia" w:hAnsiTheme="minorEastAsia" w:eastAsiaTheme="minorEastAsia"/>
          <w:color w:val="000000" w:themeColor="text1"/>
          <w:sz w:val="72"/>
          <w:szCs w:val="72"/>
          <w:highlight w:val="none"/>
          <w14:textFill>
            <w14:solidFill>
              <w14:schemeClr w14:val="tx1"/>
            </w14:solidFill>
          </w14:textFill>
        </w:rPr>
        <w:t>招 标 文 件</w:t>
      </w:r>
    </w:p>
    <w:p w14:paraId="38ECCC2D">
      <w:pPr>
        <w:pageBreakBefore w:val="0"/>
        <w:wordWrap/>
        <w:topLinePunct w:val="0"/>
        <w:bidi w:val="0"/>
        <w:snapToGrid w:val="0"/>
        <w:spacing w:before="165" w:beforeLines="50" w:line="560" w:lineRule="exact"/>
        <w:jc w:val="center"/>
        <w:rPr>
          <w:rFonts w:asciiTheme="minorEastAsia" w:hAnsiTheme="minorEastAsia" w:eastAsiaTheme="minorEastAsia"/>
          <w:color w:val="000000" w:themeColor="text1"/>
          <w:sz w:val="30"/>
          <w:szCs w:val="72"/>
          <w:highlight w:val="none"/>
          <w14:textFill>
            <w14:solidFill>
              <w14:schemeClr w14:val="tx1"/>
            </w14:solidFill>
          </w14:textFill>
        </w:rPr>
      </w:pPr>
      <w:r>
        <w:rPr>
          <w:rFonts w:hint="eastAsia" w:asciiTheme="minorEastAsia" w:hAnsiTheme="minorEastAsia" w:eastAsiaTheme="minorEastAsia"/>
          <w:color w:val="000000" w:themeColor="text1"/>
          <w:sz w:val="30"/>
          <w:szCs w:val="72"/>
          <w:highlight w:val="none"/>
          <w14:textFill>
            <w14:solidFill>
              <w14:schemeClr w14:val="tx1"/>
            </w14:solidFill>
          </w14:textFill>
        </w:rPr>
        <w:t>（全流程电子化评标）</w:t>
      </w:r>
    </w:p>
    <w:p w14:paraId="487AE2C5">
      <w:pPr>
        <w:pageBreakBefore w:val="0"/>
        <w:wordWrap/>
        <w:topLinePunct w:val="0"/>
        <w:bidi w:val="0"/>
        <w:spacing w:before="165" w:beforeLines="50" w:line="560" w:lineRule="exact"/>
        <w:jc w:val="center"/>
        <w:rPr>
          <w:rFonts w:asciiTheme="minorEastAsia" w:hAnsiTheme="minorEastAsia" w:eastAsiaTheme="minorEastAsia"/>
          <w:color w:val="000000" w:themeColor="text1"/>
          <w:sz w:val="30"/>
          <w:szCs w:val="72"/>
          <w:highlight w:val="none"/>
          <w14:textFill>
            <w14:solidFill>
              <w14:schemeClr w14:val="tx1"/>
            </w14:solidFill>
          </w14:textFill>
        </w:rPr>
      </w:pPr>
      <w:r>
        <w:rPr>
          <w:rFonts w:hint="eastAsia" w:asciiTheme="minorEastAsia" w:hAnsiTheme="minorEastAsia" w:eastAsiaTheme="minorEastAsia"/>
          <w:color w:val="000000" w:themeColor="text1"/>
          <w:sz w:val="30"/>
          <w:szCs w:val="72"/>
          <w:highlight w:val="none"/>
          <w14:textFill>
            <w14:solidFill>
              <w14:schemeClr w14:val="tx1"/>
            </w14:solidFill>
          </w14:textFill>
        </w:rPr>
        <w:t xml:space="preserve">  </w:t>
      </w:r>
    </w:p>
    <w:p w14:paraId="53BA9047">
      <w:pPr>
        <w:pageBreakBefore w:val="0"/>
        <w:wordWrap/>
        <w:topLinePunct w:val="0"/>
        <w:bidi w:val="0"/>
        <w:spacing w:before="165" w:beforeLines="50" w:line="560" w:lineRule="exact"/>
        <w:rPr>
          <w:rFonts w:asciiTheme="minorEastAsia" w:hAnsiTheme="minorEastAsia" w:eastAsiaTheme="minorEastAsia"/>
          <w:color w:val="000000" w:themeColor="text1"/>
          <w:sz w:val="30"/>
          <w:szCs w:val="72"/>
          <w:highlight w:val="none"/>
          <w14:textFill>
            <w14:solidFill>
              <w14:schemeClr w14:val="tx1"/>
            </w14:solidFill>
          </w14:textFill>
        </w:rPr>
      </w:pPr>
    </w:p>
    <w:p w14:paraId="726F2857">
      <w:pPr>
        <w:pageBreakBefore w:val="0"/>
        <w:wordWrap/>
        <w:topLinePunct w:val="0"/>
        <w:bidi w:val="0"/>
        <w:spacing w:before="165" w:beforeLines="50" w:line="560" w:lineRule="exact"/>
        <w:rPr>
          <w:rFonts w:asciiTheme="minorEastAsia" w:hAnsiTheme="minorEastAsia" w:eastAsiaTheme="minorEastAsia"/>
          <w:color w:val="000000" w:themeColor="text1"/>
          <w:sz w:val="30"/>
          <w:szCs w:val="72"/>
          <w:highlight w:val="none"/>
          <w14:textFill>
            <w14:solidFill>
              <w14:schemeClr w14:val="tx1"/>
            </w14:solidFill>
          </w14:textFill>
        </w:rPr>
      </w:pPr>
    </w:p>
    <w:p w14:paraId="6DF2D93A">
      <w:pPr>
        <w:pageBreakBefore w:val="0"/>
        <w:wordWrap/>
        <w:topLinePunct w:val="0"/>
        <w:bidi w:val="0"/>
        <w:spacing w:before="165" w:beforeLines="50" w:line="560" w:lineRule="exact"/>
        <w:rPr>
          <w:rFonts w:asciiTheme="minorEastAsia" w:hAnsiTheme="minorEastAsia" w:eastAsiaTheme="minorEastAsia"/>
          <w:color w:val="000000" w:themeColor="text1"/>
          <w:sz w:val="30"/>
          <w:szCs w:val="72"/>
          <w:highlight w:val="none"/>
          <w14:textFill>
            <w14:solidFill>
              <w14:schemeClr w14:val="tx1"/>
            </w14:solidFill>
          </w14:textFill>
        </w:rPr>
      </w:pPr>
    </w:p>
    <w:p w14:paraId="15C5B7B3">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heme="minorEastAsia" w:hAnsiTheme="minorEastAsia" w:eastAsiaTheme="minorEastAsia"/>
          <w:b/>
          <w:bCs/>
          <w:color w:val="000000" w:themeColor="text1"/>
          <w:sz w:val="30"/>
          <w:szCs w:val="30"/>
          <w:highlight w:val="none"/>
          <w:u w:val="single"/>
          <w:lang w:val="en-US" w:eastAsia="zh-CN"/>
          <w14:textFill>
            <w14:solidFill>
              <w14:schemeClr w14:val="tx1"/>
            </w14:solidFill>
          </w14:textFill>
        </w:rPr>
      </w:pPr>
      <w:r>
        <w:rPr>
          <w:rFonts w:hint="eastAsia" w:asciiTheme="minorEastAsia" w:hAnsiTheme="minorEastAsia" w:eastAsiaTheme="minorEastAsia"/>
          <w:b/>
          <w:bCs/>
          <w:color w:val="000000" w:themeColor="text1"/>
          <w:sz w:val="30"/>
          <w:szCs w:val="30"/>
          <w:highlight w:val="none"/>
          <w14:textFill>
            <w14:solidFill>
              <w14:schemeClr w14:val="tx1"/>
            </w14:solidFill>
          </w14:textFill>
        </w:rPr>
        <w:t>项 目 名 称：</w:t>
      </w:r>
      <w:r>
        <w:rPr>
          <w:rFonts w:hint="eastAsia" w:asciiTheme="minorEastAsia" w:hAnsiTheme="minorEastAsia" w:eastAsiaTheme="minorEastAsia"/>
          <w:b/>
          <w:bCs/>
          <w:color w:val="000000" w:themeColor="text1"/>
          <w:sz w:val="30"/>
          <w:szCs w:val="30"/>
          <w:highlight w:val="none"/>
          <w:u w:val="single"/>
          <w:lang w:eastAsia="zh-CN"/>
          <w14:textFill>
            <w14:solidFill>
              <w14:schemeClr w14:val="tx1"/>
            </w14:solidFill>
          </w14:textFill>
        </w:rPr>
        <w:t>哈密市中心医院2025年医疗设备购置项目（第一批）（二次）</w:t>
      </w:r>
    </w:p>
    <w:p w14:paraId="29301FCA">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heme="minorEastAsia" w:hAnsiTheme="minorEastAsia" w:eastAsiaTheme="minorEastAsia"/>
          <w:b/>
          <w:bCs/>
          <w:color w:val="000000" w:themeColor="text1"/>
          <w:sz w:val="30"/>
          <w:szCs w:val="30"/>
          <w:highlight w:val="none"/>
          <w:lang w:val="en-US" w:eastAsia="zh-CN"/>
          <w14:textFill>
            <w14:solidFill>
              <w14:schemeClr w14:val="tx1"/>
            </w14:solidFill>
          </w14:textFill>
        </w:rPr>
      </w:pPr>
      <w:r>
        <w:rPr>
          <w:rFonts w:hint="eastAsia" w:asciiTheme="minorEastAsia" w:hAnsiTheme="minorEastAsia" w:eastAsiaTheme="minorEastAsia"/>
          <w:b/>
          <w:bCs/>
          <w:color w:val="000000" w:themeColor="text1"/>
          <w:sz w:val="30"/>
          <w:szCs w:val="30"/>
          <w:highlight w:val="none"/>
          <w14:textFill>
            <w14:solidFill>
              <w14:schemeClr w14:val="tx1"/>
            </w14:solidFill>
          </w14:textFill>
        </w:rPr>
        <w:t>项 目 编 号：</w:t>
      </w:r>
      <w:r>
        <w:rPr>
          <w:rFonts w:hint="eastAsia" w:asciiTheme="minorEastAsia" w:hAnsiTheme="minorEastAsia" w:eastAsiaTheme="minorEastAsia"/>
          <w:b/>
          <w:bCs/>
          <w:color w:val="000000" w:themeColor="text1"/>
          <w:sz w:val="30"/>
          <w:szCs w:val="30"/>
          <w:highlight w:val="none"/>
          <w:u w:val="single"/>
          <w:lang w:eastAsia="zh-CN"/>
          <w14:textFill>
            <w14:solidFill>
              <w14:schemeClr w14:val="tx1"/>
            </w14:solidFill>
          </w14:textFill>
        </w:rPr>
        <w:t>XJCY(HM)-2025019</w:t>
      </w:r>
      <w:r>
        <w:rPr>
          <w:rFonts w:hint="eastAsia" w:asciiTheme="minorEastAsia" w:hAnsiTheme="minorEastAsia" w:eastAsiaTheme="minorEastAsia"/>
          <w:b/>
          <w:bCs/>
          <w:color w:val="000000" w:themeColor="text1"/>
          <w:sz w:val="30"/>
          <w:szCs w:val="30"/>
          <w:highlight w:val="none"/>
          <w:u w:val="single"/>
          <w:lang w:val="en-US" w:eastAsia="zh-CN"/>
          <w14:textFill>
            <w14:solidFill>
              <w14:schemeClr w14:val="tx1"/>
            </w14:solidFill>
          </w14:textFill>
        </w:rPr>
        <w:t xml:space="preserve">-01                                      </w:t>
      </w:r>
    </w:p>
    <w:p w14:paraId="6B4210A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b/>
          <w:color w:val="000000" w:themeColor="text1"/>
          <w:sz w:val="30"/>
          <w:szCs w:val="30"/>
          <w:highlight w:val="none"/>
          <w:lang w:eastAsia="zh-CN"/>
          <w14:textFill>
            <w14:solidFill>
              <w14:schemeClr w14:val="tx1"/>
            </w14:solidFill>
          </w14:textFill>
        </w:rPr>
      </w:pPr>
      <w:r>
        <w:rPr>
          <w:rFonts w:hint="eastAsia" w:asciiTheme="minorEastAsia" w:hAnsiTheme="minorEastAsia" w:eastAsiaTheme="minorEastAsia"/>
          <w:b/>
          <w:color w:val="000000" w:themeColor="text1"/>
          <w:sz w:val="30"/>
          <w:szCs w:val="30"/>
          <w:highlight w:val="none"/>
          <w14:textFill>
            <w14:solidFill>
              <w14:schemeClr w14:val="tx1"/>
            </w14:solidFill>
          </w14:textFill>
        </w:rPr>
        <w:t xml:space="preserve">采  购   人： </w:t>
      </w:r>
      <w:r>
        <w:rPr>
          <w:rFonts w:hint="eastAsia" w:asciiTheme="minorEastAsia" w:hAnsiTheme="minorEastAsia" w:eastAsiaTheme="minorEastAsia"/>
          <w:b/>
          <w:color w:val="000000" w:themeColor="text1"/>
          <w:sz w:val="30"/>
          <w:szCs w:val="30"/>
          <w:highlight w:val="none"/>
          <w:u w:val="single"/>
          <w:lang w:eastAsia="zh-CN"/>
          <w14:textFill>
            <w14:solidFill>
              <w14:schemeClr w14:val="tx1"/>
            </w14:solidFill>
          </w14:textFill>
        </w:rPr>
        <w:t xml:space="preserve">哈密市中心医院   </w:t>
      </w:r>
      <w:r>
        <w:rPr>
          <w:rFonts w:hint="eastAsia" w:asciiTheme="minorEastAsia" w:hAnsiTheme="minorEastAsia" w:eastAsiaTheme="minorEastAsia"/>
          <w:b/>
          <w:color w:val="000000" w:themeColor="text1"/>
          <w:sz w:val="30"/>
          <w:szCs w:val="30"/>
          <w:highlight w:val="none"/>
          <w:u w:val="single"/>
          <w:lang w:val="en-US" w:eastAsia="zh-CN"/>
          <w14:textFill>
            <w14:solidFill>
              <w14:schemeClr w14:val="tx1"/>
            </w14:solidFill>
          </w14:textFill>
        </w:rPr>
        <w:t xml:space="preserve">                                      </w:t>
      </w:r>
      <w:r>
        <w:rPr>
          <w:rFonts w:hint="eastAsia" w:asciiTheme="minorEastAsia" w:hAnsiTheme="minorEastAsia" w:eastAsiaTheme="minorEastAsia"/>
          <w:b/>
          <w:color w:val="000000" w:themeColor="text1"/>
          <w:sz w:val="30"/>
          <w:szCs w:val="30"/>
          <w:highlight w:val="none"/>
          <w:u w:val="single"/>
          <w:lang w:eastAsia="zh-CN"/>
          <w14:textFill>
            <w14:solidFill>
              <w14:schemeClr w14:val="tx1"/>
            </w14:solidFill>
          </w14:textFill>
        </w:rPr>
        <w:t xml:space="preserve"> </w:t>
      </w:r>
    </w:p>
    <w:p w14:paraId="37AF1AE5">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heme="minorEastAsia" w:hAnsiTheme="minorEastAsia" w:eastAsiaTheme="minorEastAsia"/>
          <w:b/>
          <w:color w:val="000000" w:themeColor="text1"/>
          <w:sz w:val="32"/>
          <w:szCs w:val="32"/>
          <w:highlight w:val="none"/>
          <w:lang w:val="en-US" w:eastAsia="zh-CN"/>
          <w14:textFill>
            <w14:solidFill>
              <w14:schemeClr w14:val="tx1"/>
            </w14:solidFill>
          </w14:textFill>
        </w:rPr>
      </w:pPr>
      <w:r>
        <w:rPr>
          <w:rFonts w:hint="eastAsia" w:asciiTheme="minorEastAsia" w:hAnsiTheme="minorEastAsia" w:eastAsiaTheme="minorEastAsia"/>
          <w:b/>
          <w:color w:val="000000" w:themeColor="text1"/>
          <w:sz w:val="30"/>
          <w:szCs w:val="30"/>
          <w:highlight w:val="none"/>
          <w14:textFill>
            <w14:solidFill>
              <w14:schemeClr w14:val="tx1"/>
            </w14:solidFill>
          </w14:textFill>
        </w:rPr>
        <w:t>采购代理机构：</w:t>
      </w:r>
      <w:r>
        <w:rPr>
          <w:rFonts w:hint="eastAsia" w:asciiTheme="minorEastAsia" w:hAnsiTheme="minorEastAsia" w:eastAsiaTheme="minorEastAsia"/>
          <w:b/>
          <w:color w:val="000000" w:themeColor="text1"/>
          <w:sz w:val="30"/>
          <w:szCs w:val="30"/>
          <w:highlight w:val="none"/>
          <w:u w:val="single"/>
          <w:lang w:eastAsia="zh-CN"/>
          <w14:textFill>
            <w14:solidFill>
              <w14:schemeClr w14:val="tx1"/>
            </w14:solidFill>
          </w14:textFill>
        </w:rPr>
        <w:t>新疆诚誉工程项目管理有限公司</w:t>
      </w:r>
      <w:r>
        <w:rPr>
          <w:rFonts w:hint="eastAsia" w:asciiTheme="minorEastAsia" w:hAnsiTheme="minorEastAsia" w:eastAsiaTheme="minorEastAsia"/>
          <w:b/>
          <w:color w:val="000000" w:themeColor="text1"/>
          <w:sz w:val="30"/>
          <w:szCs w:val="30"/>
          <w:highlight w:val="none"/>
          <w:u w:val="single"/>
          <w:lang w:val="en-US" w:eastAsia="zh-CN"/>
          <w14:textFill>
            <w14:solidFill>
              <w14:schemeClr w14:val="tx1"/>
            </w14:solidFill>
          </w14:textFill>
        </w:rPr>
        <w:t xml:space="preserve">                       </w:t>
      </w:r>
      <w:r>
        <w:rPr>
          <w:rFonts w:hint="eastAsia" w:asciiTheme="minorEastAsia" w:hAnsiTheme="minorEastAsia" w:eastAsiaTheme="minorEastAsia"/>
          <w:b/>
          <w:color w:val="000000" w:themeColor="text1"/>
          <w:sz w:val="32"/>
          <w:szCs w:val="32"/>
          <w:highlight w:val="none"/>
          <w:u w:val="single"/>
          <w:lang w:val="en-US" w:eastAsia="zh-CN"/>
          <w14:textFill>
            <w14:solidFill>
              <w14:schemeClr w14:val="tx1"/>
            </w14:solidFill>
          </w14:textFill>
        </w:rPr>
        <w:t xml:space="preserve">    </w:t>
      </w:r>
    </w:p>
    <w:p w14:paraId="081584D1">
      <w:pPr>
        <w:pStyle w:val="17"/>
        <w:pageBreakBefore w:val="0"/>
        <w:wordWrap/>
        <w:topLinePunct w:val="0"/>
        <w:bidi w:val="0"/>
        <w:spacing w:line="560" w:lineRule="exact"/>
        <w:rPr>
          <w:rFonts w:hint="eastAsia"/>
          <w:color w:val="000000" w:themeColor="text1"/>
          <w:highlight w:val="none"/>
          <w14:textFill>
            <w14:solidFill>
              <w14:schemeClr w14:val="tx1"/>
            </w14:solidFill>
          </w14:textFill>
        </w:rPr>
      </w:pPr>
    </w:p>
    <w:p w14:paraId="7B67AA0C">
      <w:pPr>
        <w:pStyle w:val="17"/>
        <w:pageBreakBefore w:val="0"/>
        <w:wordWrap/>
        <w:topLinePunct w:val="0"/>
        <w:bidi w:val="0"/>
        <w:spacing w:line="560" w:lineRule="exact"/>
        <w:rPr>
          <w:color w:val="000000" w:themeColor="text1"/>
          <w:highlight w:val="none"/>
          <w14:textFill>
            <w14:solidFill>
              <w14:schemeClr w14:val="tx1"/>
            </w14:solidFill>
          </w14:textFill>
        </w:rPr>
      </w:pPr>
      <w:r>
        <w:rPr>
          <w:rFonts w:hint="eastAsia"/>
          <w:color w:val="000000" w:themeColor="text1"/>
          <w:sz w:val="30"/>
          <w:szCs w:val="30"/>
          <w:highlight w:val="none"/>
          <w14:textFill>
            <w14:solidFill>
              <w14:schemeClr w14:val="tx1"/>
            </w14:solidFill>
          </w14:textFill>
        </w:rPr>
        <w:t xml:space="preserve">  202</w:t>
      </w:r>
      <w:r>
        <w:rPr>
          <w:rFonts w:hint="eastAsia"/>
          <w:color w:val="000000" w:themeColor="text1"/>
          <w:sz w:val="30"/>
          <w:szCs w:val="30"/>
          <w:highlight w:val="none"/>
          <w:lang w:val="en-US" w:eastAsia="zh-CN"/>
          <w14:textFill>
            <w14:solidFill>
              <w14:schemeClr w14:val="tx1"/>
            </w14:solidFill>
          </w14:textFill>
        </w:rPr>
        <w:t>5</w:t>
      </w:r>
      <w:r>
        <w:rPr>
          <w:rFonts w:hint="eastAsia"/>
          <w:color w:val="000000" w:themeColor="text1"/>
          <w:sz w:val="30"/>
          <w:szCs w:val="30"/>
          <w:highlight w:val="none"/>
          <w14:textFill>
            <w14:solidFill>
              <w14:schemeClr w14:val="tx1"/>
            </w14:solidFill>
          </w14:textFill>
        </w:rPr>
        <w:t>年</w:t>
      </w:r>
      <w:r>
        <w:rPr>
          <w:rFonts w:hint="eastAsia"/>
          <w:color w:val="000000" w:themeColor="text1"/>
          <w:sz w:val="30"/>
          <w:szCs w:val="30"/>
          <w:highlight w:val="none"/>
          <w:lang w:val="en-US" w:eastAsia="zh-CN"/>
          <w14:textFill>
            <w14:solidFill>
              <w14:schemeClr w14:val="tx1"/>
            </w14:solidFill>
          </w14:textFill>
        </w:rPr>
        <w:t>6</w:t>
      </w:r>
      <w:r>
        <w:rPr>
          <w:rFonts w:hint="eastAsia"/>
          <w:color w:val="000000" w:themeColor="text1"/>
          <w:sz w:val="30"/>
          <w:szCs w:val="30"/>
          <w:highlight w:val="none"/>
          <w14:textFill>
            <w14:solidFill>
              <w14:schemeClr w14:val="tx1"/>
            </w14:solidFill>
          </w14:textFill>
        </w:rPr>
        <w:t xml:space="preserve">月  </w:t>
      </w:r>
      <w:r>
        <w:rPr>
          <w:rFonts w:hint="eastAsia"/>
          <w:color w:val="000000" w:themeColor="text1"/>
          <w:highlight w:val="none"/>
          <w14:textFill>
            <w14:solidFill>
              <w14:schemeClr w14:val="tx1"/>
            </w14:solidFill>
          </w14:textFill>
        </w:rPr>
        <w:t xml:space="preserve"> </w:t>
      </w:r>
    </w:p>
    <w:p w14:paraId="5C2E4FC8">
      <w:pPr>
        <w:pStyle w:val="17"/>
        <w:pageBreakBefore w:val="0"/>
        <w:wordWrap/>
        <w:topLinePunct w:val="0"/>
        <w:bidi w:val="0"/>
        <w:spacing w:line="560" w:lineRule="exact"/>
        <w:rPr>
          <w:rFonts w:hint="eastAsia"/>
          <w:color w:val="000000" w:themeColor="text1"/>
          <w:highlight w:val="none"/>
          <w14:textFill>
            <w14:solidFill>
              <w14:schemeClr w14:val="tx1"/>
            </w14:solidFill>
          </w14:textFill>
        </w:rPr>
        <w:sectPr>
          <w:headerReference r:id="rId3" w:type="default"/>
          <w:pgSz w:w="11906" w:h="16838"/>
          <w:pgMar w:top="1134" w:right="1134" w:bottom="1134" w:left="1134" w:header="720" w:footer="720" w:gutter="0"/>
          <w:pgNumType w:fmt="decimal" w:start="1"/>
          <w:cols w:space="720" w:num="1"/>
          <w:docGrid w:type="lines" w:linePitch="331" w:charSpace="0"/>
        </w:sectPr>
      </w:pPr>
    </w:p>
    <w:p w14:paraId="5207062A">
      <w:pPr>
        <w:pStyle w:val="17"/>
        <w:pageBreakBefore w:val="0"/>
        <w:wordWrap/>
        <w:topLinePunct w:val="0"/>
        <w:bidi w:val="0"/>
        <w:spacing w:line="560" w:lineRule="exact"/>
        <w:rPr>
          <w:rFonts w:hint="eastAsia"/>
          <w:color w:val="000000" w:themeColor="text1"/>
          <w:sz w:val="36"/>
          <w:szCs w:val="36"/>
          <w:highlight w:val="none"/>
          <w14:textFill>
            <w14:solidFill>
              <w14:schemeClr w14:val="tx1"/>
            </w14:solidFill>
          </w14:textFill>
        </w:rPr>
      </w:pPr>
    </w:p>
    <w:p w14:paraId="2FFD65BC">
      <w:pPr>
        <w:pStyle w:val="17"/>
        <w:pageBreakBefore w:val="0"/>
        <w:wordWrap/>
        <w:topLinePunct w:val="0"/>
        <w:bidi w:val="0"/>
        <w:spacing w:line="560" w:lineRule="exact"/>
        <w:rPr>
          <w:color w:val="000000" w:themeColor="text1"/>
          <w:sz w:val="36"/>
          <w:szCs w:val="36"/>
          <w:highlight w:val="none"/>
          <w14:textFill>
            <w14:solidFill>
              <w14:schemeClr w14:val="tx1"/>
            </w14:solidFill>
          </w14:textFill>
        </w:rPr>
      </w:pPr>
      <w:r>
        <w:rPr>
          <w:rFonts w:hint="eastAsia"/>
          <w:color w:val="000000" w:themeColor="text1"/>
          <w:sz w:val="36"/>
          <w:szCs w:val="36"/>
          <w:highlight w:val="none"/>
          <w14:textFill>
            <w14:solidFill>
              <w14:schemeClr w14:val="tx1"/>
            </w14:solidFill>
          </w14:textFill>
        </w:rPr>
        <w:t>目</w:t>
      </w:r>
      <w:r>
        <w:rPr>
          <w:color w:val="000000" w:themeColor="text1"/>
          <w:sz w:val="36"/>
          <w:szCs w:val="36"/>
          <w:highlight w:val="none"/>
          <w14:textFill>
            <w14:solidFill>
              <w14:schemeClr w14:val="tx1"/>
            </w14:solidFill>
          </w14:textFill>
        </w:rPr>
        <w:t xml:space="preserve">     </w:t>
      </w:r>
      <w:r>
        <w:rPr>
          <w:rFonts w:hint="eastAsia"/>
          <w:color w:val="000000" w:themeColor="text1"/>
          <w:sz w:val="36"/>
          <w:szCs w:val="36"/>
          <w:highlight w:val="none"/>
          <w14:textFill>
            <w14:solidFill>
              <w14:schemeClr w14:val="tx1"/>
            </w14:solidFill>
          </w14:textFill>
        </w:rPr>
        <w:t>录</w:t>
      </w:r>
    </w:p>
    <w:p w14:paraId="6BBA9E6C">
      <w:pPr>
        <w:pStyle w:val="24"/>
        <w:keepNext w:val="0"/>
        <w:keepLines w:val="0"/>
        <w:pageBreakBefore w:val="0"/>
        <w:widowControl w:val="0"/>
        <w:tabs>
          <w:tab w:val="right" w:leader="dot" w:pos="9638"/>
        </w:tabs>
        <w:kinsoku/>
        <w:wordWrap/>
        <w:overflowPunct/>
        <w:topLinePunct w:val="0"/>
        <w:autoSpaceDE/>
        <w:autoSpaceDN/>
        <w:bidi w:val="0"/>
        <w:adjustRightInd/>
        <w:snapToGrid/>
        <w:spacing w:before="0" w:after="0" w:line="560" w:lineRule="exact"/>
        <w:textAlignment w:val="auto"/>
        <w:rPr>
          <w:rFonts w:hint="eastAsia" w:ascii="宋体" w:hAnsi="宋体" w:eastAsia="宋体" w:cs="宋体"/>
          <w:b w:val="0"/>
          <w:bCs w:val="0"/>
          <w:color w:val="000000" w:themeColor="text1"/>
          <w:sz w:val="28"/>
          <w:szCs w:val="28"/>
          <w:highlight w:val="none"/>
          <w14:textFill>
            <w14:solidFill>
              <w14:schemeClr w14:val="tx1"/>
            </w14:solidFill>
          </w14:textFill>
        </w:rPr>
      </w:pPr>
      <w:r>
        <w:rPr>
          <w:rFonts w:hint="eastAsia" w:ascii="宋体" w:hAnsi="宋体" w:eastAsia="宋体" w:cs="宋体"/>
          <w:b w:val="0"/>
          <w:bCs w:val="0"/>
          <w:caps w:val="0"/>
          <w:color w:val="000000" w:themeColor="text1"/>
          <w:sz w:val="28"/>
          <w:szCs w:val="28"/>
          <w:highlight w:val="none"/>
          <w:u w:val="none"/>
          <w14:textFill>
            <w14:solidFill>
              <w14:schemeClr w14:val="tx1"/>
            </w14:solidFill>
          </w14:textFill>
        </w:rPr>
        <w:fldChar w:fldCharType="begin"/>
      </w:r>
      <w:r>
        <w:rPr>
          <w:rFonts w:hint="eastAsia" w:ascii="宋体" w:hAnsi="宋体" w:eastAsia="宋体" w:cs="宋体"/>
          <w:b w:val="0"/>
          <w:bCs w:val="0"/>
          <w:caps w:val="0"/>
          <w:color w:val="000000" w:themeColor="text1"/>
          <w:sz w:val="28"/>
          <w:szCs w:val="28"/>
          <w:highlight w:val="none"/>
          <w:u w:val="none"/>
          <w14:textFill>
            <w14:solidFill>
              <w14:schemeClr w14:val="tx1"/>
            </w14:solidFill>
          </w14:textFill>
        </w:rPr>
        <w:instrText xml:space="preserve"> TOC \o "1-3" \h \z \u </w:instrText>
      </w:r>
      <w:r>
        <w:rPr>
          <w:rFonts w:hint="eastAsia" w:ascii="宋体" w:hAnsi="宋体" w:eastAsia="宋体" w:cs="宋体"/>
          <w:b w:val="0"/>
          <w:bCs w:val="0"/>
          <w:caps w:val="0"/>
          <w:color w:val="000000" w:themeColor="text1"/>
          <w:sz w:val="28"/>
          <w:szCs w:val="28"/>
          <w:highlight w:val="none"/>
          <w:u w:val="none"/>
          <w14:textFill>
            <w14:solidFill>
              <w14:schemeClr w14:val="tx1"/>
            </w14:solidFill>
          </w14:textFill>
        </w:rPr>
        <w:fldChar w:fldCharType="separate"/>
      </w:r>
      <w:r>
        <w:rPr>
          <w:rFonts w:hint="eastAsia" w:ascii="宋体" w:hAnsi="宋体" w:eastAsia="宋体" w:cs="宋体"/>
          <w:b w:val="0"/>
          <w:bCs w:val="0"/>
          <w:caps w:val="0"/>
          <w:color w:val="000000" w:themeColor="text1"/>
          <w:sz w:val="28"/>
          <w:szCs w:val="28"/>
          <w:highlight w:val="none"/>
          <w:u w:val="none"/>
          <w14:textFill>
            <w14:solidFill>
              <w14:schemeClr w14:val="tx1"/>
            </w14:solidFill>
          </w14:textFill>
        </w:rPr>
        <w:fldChar w:fldCharType="begin"/>
      </w:r>
      <w:r>
        <w:rPr>
          <w:rFonts w:hint="eastAsia" w:ascii="宋体" w:hAnsi="宋体" w:eastAsia="宋体" w:cs="宋体"/>
          <w:b w:val="0"/>
          <w:bCs w:val="0"/>
          <w:caps w:val="0"/>
          <w:color w:val="000000" w:themeColor="text1"/>
          <w:sz w:val="28"/>
          <w:szCs w:val="28"/>
          <w:highlight w:val="none"/>
          <w14:textFill>
            <w14:solidFill>
              <w14:schemeClr w14:val="tx1"/>
            </w14:solidFill>
          </w14:textFill>
        </w:rPr>
        <w:instrText xml:space="preserve"> HYPERLINK \l _Toc17893 </w:instrText>
      </w:r>
      <w:r>
        <w:rPr>
          <w:rFonts w:hint="eastAsia" w:ascii="宋体" w:hAnsi="宋体" w:eastAsia="宋体" w:cs="宋体"/>
          <w:b w:val="0"/>
          <w:bCs w:val="0"/>
          <w:caps w:val="0"/>
          <w:color w:val="000000" w:themeColor="text1"/>
          <w:sz w:val="28"/>
          <w:szCs w:val="28"/>
          <w:highlight w:val="none"/>
          <w14:textFill>
            <w14:solidFill>
              <w14:schemeClr w14:val="tx1"/>
            </w14:solidFill>
          </w14:textFill>
        </w:rPr>
        <w:fldChar w:fldCharType="separate"/>
      </w:r>
      <w:r>
        <w:rPr>
          <w:rFonts w:hint="eastAsia" w:ascii="宋体" w:hAnsi="宋体" w:eastAsia="宋体" w:cs="宋体"/>
          <w:b w:val="0"/>
          <w:bCs w:val="0"/>
          <w:color w:val="000000" w:themeColor="text1"/>
          <w:sz w:val="28"/>
          <w:szCs w:val="28"/>
          <w:highlight w:val="none"/>
          <w14:textFill>
            <w14:solidFill>
              <w14:schemeClr w14:val="tx1"/>
            </w14:solidFill>
          </w14:textFill>
        </w:rPr>
        <w:t>第一章  招标公告</w:t>
      </w:r>
      <w:r>
        <w:rPr>
          <w:rFonts w:hint="eastAsia" w:ascii="宋体" w:hAnsi="宋体" w:eastAsia="宋体" w:cs="宋体"/>
          <w:b w:val="0"/>
          <w:bCs w:val="0"/>
          <w:color w:val="000000" w:themeColor="text1"/>
          <w:sz w:val="28"/>
          <w:szCs w:val="28"/>
          <w:highlight w:val="none"/>
          <w14:textFill>
            <w14:solidFill>
              <w14:schemeClr w14:val="tx1"/>
            </w14:solidFill>
          </w14:textFill>
        </w:rPr>
        <w:tab/>
      </w:r>
      <w:r>
        <w:rPr>
          <w:rFonts w:hint="eastAsia" w:ascii="宋体" w:hAnsi="宋体" w:eastAsia="宋体" w:cs="宋体"/>
          <w:b w:val="0"/>
          <w:bCs w:val="0"/>
          <w:color w:val="000000" w:themeColor="text1"/>
          <w:sz w:val="28"/>
          <w:szCs w:val="28"/>
          <w:highlight w:val="none"/>
          <w14:textFill>
            <w14:solidFill>
              <w14:schemeClr w14:val="tx1"/>
            </w14:solidFill>
          </w14:textFill>
        </w:rPr>
        <w:fldChar w:fldCharType="begin"/>
      </w:r>
      <w:r>
        <w:rPr>
          <w:rFonts w:hint="eastAsia" w:ascii="宋体" w:hAnsi="宋体" w:eastAsia="宋体" w:cs="宋体"/>
          <w:b w:val="0"/>
          <w:bCs w:val="0"/>
          <w:color w:val="000000" w:themeColor="text1"/>
          <w:sz w:val="28"/>
          <w:szCs w:val="28"/>
          <w:highlight w:val="none"/>
          <w14:textFill>
            <w14:solidFill>
              <w14:schemeClr w14:val="tx1"/>
            </w14:solidFill>
          </w14:textFill>
        </w:rPr>
        <w:instrText xml:space="preserve"> PAGEREF _Toc17893 \h </w:instrText>
      </w:r>
      <w:r>
        <w:rPr>
          <w:rFonts w:hint="eastAsia" w:ascii="宋体" w:hAnsi="宋体" w:eastAsia="宋体" w:cs="宋体"/>
          <w:b w:val="0"/>
          <w:bCs w:val="0"/>
          <w:color w:val="000000" w:themeColor="text1"/>
          <w:sz w:val="28"/>
          <w:szCs w:val="28"/>
          <w:highlight w:val="none"/>
          <w14:textFill>
            <w14:solidFill>
              <w14:schemeClr w14:val="tx1"/>
            </w14:solidFill>
          </w14:textFill>
        </w:rPr>
        <w:fldChar w:fldCharType="separate"/>
      </w:r>
      <w:r>
        <w:rPr>
          <w:rFonts w:hint="eastAsia" w:ascii="宋体" w:hAnsi="宋体" w:eastAsia="宋体" w:cs="宋体"/>
          <w:b w:val="0"/>
          <w:bCs w:val="0"/>
          <w:color w:val="000000" w:themeColor="text1"/>
          <w:sz w:val="28"/>
          <w:szCs w:val="28"/>
          <w:highlight w:val="none"/>
          <w14:textFill>
            <w14:solidFill>
              <w14:schemeClr w14:val="tx1"/>
            </w14:solidFill>
          </w14:textFill>
        </w:rPr>
        <w:t>2</w:t>
      </w:r>
      <w:r>
        <w:rPr>
          <w:rFonts w:hint="eastAsia" w:ascii="宋体" w:hAnsi="宋体" w:eastAsia="宋体" w:cs="宋体"/>
          <w:b w:val="0"/>
          <w:bCs w:val="0"/>
          <w:color w:val="000000" w:themeColor="text1"/>
          <w:sz w:val="28"/>
          <w:szCs w:val="28"/>
          <w:highlight w:val="none"/>
          <w14:textFill>
            <w14:solidFill>
              <w14:schemeClr w14:val="tx1"/>
            </w14:solidFill>
          </w14:textFill>
        </w:rPr>
        <w:fldChar w:fldCharType="end"/>
      </w:r>
      <w:r>
        <w:rPr>
          <w:rFonts w:hint="eastAsia" w:ascii="宋体" w:hAnsi="宋体" w:eastAsia="宋体" w:cs="宋体"/>
          <w:b w:val="0"/>
          <w:bCs w:val="0"/>
          <w:caps w:val="0"/>
          <w:color w:val="000000" w:themeColor="text1"/>
          <w:sz w:val="28"/>
          <w:szCs w:val="28"/>
          <w:highlight w:val="none"/>
          <w:u w:val="none"/>
          <w14:textFill>
            <w14:solidFill>
              <w14:schemeClr w14:val="tx1"/>
            </w14:solidFill>
          </w14:textFill>
        </w:rPr>
        <w:fldChar w:fldCharType="end"/>
      </w:r>
    </w:p>
    <w:p w14:paraId="203FAEA7">
      <w:pPr>
        <w:pStyle w:val="24"/>
        <w:keepNext w:val="0"/>
        <w:keepLines w:val="0"/>
        <w:pageBreakBefore w:val="0"/>
        <w:widowControl w:val="0"/>
        <w:tabs>
          <w:tab w:val="right" w:leader="dot" w:pos="9638"/>
        </w:tabs>
        <w:kinsoku/>
        <w:wordWrap/>
        <w:overflowPunct/>
        <w:topLinePunct w:val="0"/>
        <w:autoSpaceDE/>
        <w:autoSpaceDN/>
        <w:bidi w:val="0"/>
        <w:adjustRightInd/>
        <w:snapToGrid/>
        <w:spacing w:before="0" w:after="0" w:line="560" w:lineRule="exact"/>
        <w:textAlignment w:val="auto"/>
        <w:rPr>
          <w:rFonts w:hint="eastAsia" w:ascii="宋体" w:hAnsi="宋体" w:eastAsia="宋体" w:cs="宋体"/>
          <w:b w:val="0"/>
          <w:bCs w:val="0"/>
          <w:color w:val="000000" w:themeColor="text1"/>
          <w:sz w:val="28"/>
          <w:szCs w:val="28"/>
          <w:highlight w:val="none"/>
          <w14:textFill>
            <w14:solidFill>
              <w14:schemeClr w14:val="tx1"/>
            </w14:solidFill>
          </w14:textFill>
        </w:rPr>
      </w:pPr>
      <w:r>
        <w:rPr>
          <w:rFonts w:hint="eastAsia" w:ascii="宋体" w:hAnsi="宋体" w:eastAsia="宋体" w:cs="宋体"/>
          <w:b w:val="0"/>
          <w:bCs w:val="0"/>
          <w:caps/>
          <w:color w:val="000000" w:themeColor="text1"/>
          <w:sz w:val="28"/>
          <w:szCs w:val="28"/>
          <w:highlight w:val="none"/>
          <w14:textFill>
            <w14:solidFill>
              <w14:schemeClr w14:val="tx1"/>
            </w14:solidFill>
          </w14:textFill>
        </w:rPr>
        <w:fldChar w:fldCharType="begin"/>
      </w:r>
      <w:r>
        <w:rPr>
          <w:rFonts w:hint="eastAsia" w:ascii="宋体" w:hAnsi="宋体" w:eastAsia="宋体" w:cs="宋体"/>
          <w:b w:val="0"/>
          <w:bCs w:val="0"/>
          <w:caps/>
          <w:color w:val="000000" w:themeColor="text1"/>
          <w:sz w:val="28"/>
          <w:szCs w:val="28"/>
          <w:highlight w:val="none"/>
          <w14:textFill>
            <w14:solidFill>
              <w14:schemeClr w14:val="tx1"/>
            </w14:solidFill>
          </w14:textFill>
        </w:rPr>
        <w:instrText xml:space="preserve"> HYPERLINK \l _Toc4957 </w:instrText>
      </w:r>
      <w:r>
        <w:rPr>
          <w:rFonts w:hint="eastAsia" w:ascii="宋体" w:hAnsi="宋体" w:eastAsia="宋体" w:cs="宋体"/>
          <w:b w:val="0"/>
          <w:bCs w:val="0"/>
          <w:caps/>
          <w:color w:val="000000" w:themeColor="text1"/>
          <w:sz w:val="28"/>
          <w:szCs w:val="28"/>
          <w:highlight w:val="none"/>
          <w14:textFill>
            <w14:solidFill>
              <w14:schemeClr w14:val="tx1"/>
            </w14:solidFill>
          </w14:textFill>
        </w:rPr>
        <w:fldChar w:fldCharType="separate"/>
      </w:r>
      <w:r>
        <w:rPr>
          <w:rFonts w:hint="eastAsia" w:ascii="宋体" w:hAnsi="宋体" w:eastAsia="宋体" w:cs="宋体"/>
          <w:b w:val="0"/>
          <w:bCs w:val="0"/>
          <w:color w:val="000000" w:themeColor="text1"/>
          <w:sz w:val="28"/>
          <w:szCs w:val="28"/>
          <w:highlight w:val="none"/>
          <w14:textFill>
            <w14:solidFill>
              <w14:schemeClr w14:val="tx1"/>
            </w14:solidFill>
          </w14:textFill>
        </w:rPr>
        <w:t xml:space="preserve">第二章  </w:t>
      </w:r>
      <w:r>
        <w:rPr>
          <w:rFonts w:hint="eastAsia" w:ascii="宋体" w:hAnsi="宋体" w:eastAsia="宋体" w:cs="宋体"/>
          <w:b w:val="0"/>
          <w:bCs w:val="0"/>
          <w:color w:val="000000" w:themeColor="text1"/>
          <w:sz w:val="28"/>
          <w:szCs w:val="28"/>
          <w:highlight w:val="none"/>
          <w:lang w:eastAsia="zh-CN"/>
          <w14:textFill>
            <w14:solidFill>
              <w14:schemeClr w14:val="tx1"/>
            </w14:solidFill>
          </w14:textFill>
        </w:rPr>
        <w:t>供应商</w:t>
      </w:r>
      <w:r>
        <w:rPr>
          <w:rFonts w:hint="eastAsia" w:ascii="宋体" w:hAnsi="宋体" w:eastAsia="宋体" w:cs="宋体"/>
          <w:b w:val="0"/>
          <w:bCs w:val="0"/>
          <w:color w:val="000000" w:themeColor="text1"/>
          <w:sz w:val="28"/>
          <w:szCs w:val="28"/>
          <w:highlight w:val="none"/>
          <w14:textFill>
            <w14:solidFill>
              <w14:schemeClr w14:val="tx1"/>
            </w14:solidFill>
          </w14:textFill>
        </w:rPr>
        <w:t>须知表</w:t>
      </w:r>
      <w:r>
        <w:rPr>
          <w:rFonts w:hint="eastAsia" w:ascii="宋体" w:hAnsi="宋体" w:eastAsia="宋体" w:cs="宋体"/>
          <w:b w:val="0"/>
          <w:bCs w:val="0"/>
          <w:color w:val="000000" w:themeColor="text1"/>
          <w:sz w:val="28"/>
          <w:szCs w:val="28"/>
          <w:highlight w:val="none"/>
          <w14:textFill>
            <w14:solidFill>
              <w14:schemeClr w14:val="tx1"/>
            </w14:solidFill>
          </w14:textFill>
        </w:rPr>
        <w:tab/>
      </w:r>
      <w:r>
        <w:rPr>
          <w:rFonts w:hint="eastAsia" w:ascii="宋体" w:hAnsi="宋体" w:eastAsia="宋体" w:cs="宋体"/>
          <w:b w:val="0"/>
          <w:bCs w:val="0"/>
          <w:color w:val="000000" w:themeColor="text1"/>
          <w:sz w:val="28"/>
          <w:szCs w:val="28"/>
          <w:highlight w:val="none"/>
          <w14:textFill>
            <w14:solidFill>
              <w14:schemeClr w14:val="tx1"/>
            </w14:solidFill>
          </w14:textFill>
        </w:rPr>
        <w:fldChar w:fldCharType="begin"/>
      </w:r>
      <w:r>
        <w:rPr>
          <w:rFonts w:hint="eastAsia" w:ascii="宋体" w:hAnsi="宋体" w:eastAsia="宋体" w:cs="宋体"/>
          <w:b w:val="0"/>
          <w:bCs w:val="0"/>
          <w:color w:val="000000" w:themeColor="text1"/>
          <w:sz w:val="28"/>
          <w:szCs w:val="28"/>
          <w:highlight w:val="none"/>
          <w14:textFill>
            <w14:solidFill>
              <w14:schemeClr w14:val="tx1"/>
            </w14:solidFill>
          </w14:textFill>
        </w:rPr>
        <w:instrText xml:space="preserve"> PAGEREF _Toc4957 \h </w:instrText>
      </w:r>
      <w:r>
        <w:rPr>
          <w:rFonts w:hint="eastAsia" w:ascii="宋体" w:hAnsi="宋体" w:eastAsia="宋体" w:cs="宋体"/>
          <w:b w:val="0"/>
          <w:bCs w:val="0"/>
          <w:color w:val="000000" w:themeColor="text1"/>
          <w:sz w:val="28"/>
          <w:szCs w:val="28"/>
          <w:highlight w:val="none"/>
          <w14:textFill>
            <w14:solidFill>
              <w14:schemeClr w14:val="tx1"/>
            </w14:solidFill>
          </w14:textFill>
        </w:rPr>
        <w:fldChar w:fldCharType="separate"/>
      </w:r>
      <w:r>
        <w:rPr>
          <w:rFonts w:hint="eastAsia" w:ascii="宋体" w:hAnsi="宋体" w:eastAsia="宋体" w:cs="宋体"/>
          <w:b w:val="0"/>
          <w:bCs w:val="0"/>
          <w:color w:val="000000" w:themeColor="text1"/>
          <w:sz w:val="28"/>
          <w:szCs w:val="28"/>
          <w:highlight w:val="none"/>
          <w14:textFill>
            <w14:solidFill>
              <w14:schemeClr w14:val="tx1"/>
            </w14:solidFill>
          </w14:textFill>
        </w:rPr>
        <w:t>7</w:t>
      </w:r>
      <w:r>
        <w:rPr>
          <w:rFonts w:hint="eastAsia" w:ascii="宋体" w:hAnsi="宋体" w:eastAsia="宋体" w:cs="宋体"/>
          <w:b w:val="0"/>
          <w:bCs w:val="0"/>
          <w:color w:val="000000" w:themeColor="text1"/>
          <w:sz w:val="28"/>
          <w:szCs w:val="28"/>
          <w:highlight w:val="none"/>
          <w14:textFill>
            <w14:solidFill>
              <w14:schemeClr w14:val="tx1"/>
            </w14:solidFill>
          </w14:textFill>
        </w:rPr>
        <w:fldChar w:fldCharType="end"/>
      </w:r>
      <w:r>
        <w:rPr>
          <w:rFonts w:hint="eastAsia" w:ascii="宋体" w:hAnsi="宋体" w:eastAsia="宋体" w:cs="宋体"/>
          <w:b w:val="0"/>
          <w:bCs w:val="0"/>
          <w:caps/>
          <w:color w:val="000000" w:themeColor="text1"/>
          <w:sz w:val="28"/>
          <w:szCs w:val="28"/>
          <w:highlight w:val="none"/>
          <w14:textFill>
            <w14:solidFill>
              <w14:schemeClr w14:val="tx1"/>
            </w14:solidFill>
          </w14:textFill>
        </w:rPr>
        <w:fldChar w:fldCharType="end"/>
      </w:r>
    </w:p>
    <w:p w14:paraId="76DBB118">
      <w:pPr>
        <w:pStyle w:val="24"/>
        <w:keepNext w:val="0"/>
        <w:keepLines w:val="0"/>
        <w:pageBreakBefore w:val="0"/>
        <w:widowControl w:val="0"/>
        <w:tabs>
          <w:tab w:val="right" w:leader="dot" w:pos="9638"/>
        </w:tabs>
        <w:kinsoku/>
        <w:wordWrap/>
        <w:overflowPunct/>
        <w:topLinePunct w:val="0"/>
        <w:autoSpaceDE/>
        <w:autoSpaceDN/>
        <w:bidi w:val="0"/>
        <w:adjustRightInd/>
        <w:snapToGrid/>
        <w:spacing w:before="0" w:after="0" w:line="560" w:lineRule="exact"/>
        <w:textAlignment w:val="auto"/>
        <w:rPr>
          <w:rFonts w:hint="eastAsia" w:ascii="宋体" w:hAnsi="宋体" w:eastAsia="宋体" w:cs="宋体"/>
          <w:b w:val="0"/>
          <w:bCs w:val="0"/>
          <w:color w:val="000000" w:themeColor="text1"/>
          <w:sz w:val="28"/>
          <w:szCs w:val="28"/>
          <w:highlight w:val="none"/>
          <w14:textFill>
            <w14:solidFill>
              <w14:schemeClr w14:val="tx1"/>
            </w14:solidFill>
          </w14:textFill>
        </w:rPr>
      </w:pPr>
      <w:r>
        <w:rPr>
          <w:rFonts w:hint="eastAsia" w:ascii="宋体" w:hAnsi="宋体" w:eastAsia="宋体" w:cs="宋体"/>
          <w:b w:val="0"/>
          <w:bCs w:val="0"/>
          <w:caps/>
          <w:color w:val="000000" w:themeColor="text1"/>
          <w:sz w:val="28"/>
          <w:szCs w:val="28"/>
          <w:highlight w:val="none"/>
          <w14:textFill>
            <w14:solidFill>
              <w14:schemeClr w14:val="tx1"/>
            </w14:solidFill>
          </w14:textFill>
        </w:rPr>
        <w:fldChar w:fldCharType="begin"/>
      </w:r>
      <w:r>
        <w:rPr>
          <w:rFonts w:hint="eastAsia" w:ascii="宋体" w:hAnsi="宋体" w:eastAsia="宋体" w:cs="宋体"/>
          <w:b w:val="0"/>
          <w:bCs w:val="0"/>
          <w:caps/>
          <w:color w:val="000000" w:themeColor="text1"/>
          <w:sz w:val="28"/>
          <w:szCs w:val="28"/>
          <w:highlight w:val="none"/>
          <w14:textFill>
            <w14:solidFill>
              <w14:schemeClr w14:val="tx1"/>
            </w14:solidFill>
          </w14:textFill>
        </w:rPr>
        <w:instrText xml:space="preserve"> HYPERLINK \l _Toc24808 </w:instrText>
      </w:r>
      <w:r>
        <w:rPr>
          <w:rFonts w:hint="eastAsia" w:ascii="宋体" w:hAnsi="宋体" w:eastAsia="宋体" w:cs="宋体"/>
          <w:b w:val="0"/>
          <w:bCs w:val="0"/>
          <w:caps/>
          <w:color w:val="000000" w:themeColor="text1"/>
          <w:sz w:val="28"/>
          <w:szCs w:val="28"/>
          <w:highlight w:val="none"/>
          <w14:textFill>
            <w14:solidFill>
              <w14:schemeClr w14:val="tx1"/>
            </w14:solidFill>
          </w14:textFill>
        </w:rPr>
        <w:fldChar w:fldCharType="separate"/>
      </w:r>
      <w:r>
        <w:rPr>
          <w:rFonts w:hint="eastAsia" w:ascii="宋体" w:hAnsi="宋体" w:eastAsia="宋体" w:cs="宋体"/>
          <w:b w:val="0"/>
          <w:bCs w:val="0"/>
          <w:color w:val="000000" w:themeColor="text1"/>
          <w:sz w:val="28"/>
          <w:szCs w:val="28"/>
          <w:highlight w:val="none"/>
          <w14:textFill>
            <w14:solidFill>
              <w14:schemeClr w14:val="tx1"/>
            </w14:solidFill>
          </w14:textFill>
        </w:rPr>
        <w:t>第三章  采购需求</w:t>
      </w:r>
      <w:r>
        <w:rPr>
          <w:rFonts w:hint="eastAsia" w:ascii="宋体" w:hAnsi="宋体" w:eastAsia="宋体" w:cs="宋体"/>
          <w:b w:val="0"/>
          <w:bCs w:val="0"/>
          <w:color w:val="000000" w:themeColor="text1"/>
          <w:sz w:val="28"/>
          <w:szCs w:val="28"/>
          <w:highlight w:val="none"/>
          <w14:textFill>
            <w14:solidFill>
              <w14:schemeClr w14:val="tx1"/>
            </w14:solidFill>
          </w14:textFill>
        </w:rPr>
        <w:tab/>
      </w:r>
      <w:r>
        <w:rPr>
          <w:rFonts w:hint="eastAsia" w:ascii="宋体" w:hAnsi="宋体" w:eastAsia="宋体" w:cs="宋体"/>
          <w:b w:val="0"/>
          <w:bCs w:val="0"/>
          <w:color w:val="000000" w:themeColor="text1"/>
          <w:sz w:val="28"/>
          <w:szCs w:val="28"/>
          <w:highlight w:val="none"/>
          <w14:textFill>
            <w14:solidFill>
              <w14:schemeClr w14:val="tx1"/>
            </w14:solidFill>
          </w14:textFill>
        </w:rPr>
        <w:fldChar w:fldCharType="begin"/>
      </w:r>
      <w:r>
        <w:rPr>
          <w:rFonts w:hint="eastAsia" w:ascii="宋体" w:hAnsi="宋体" w:eastAsia="宋体" w:cs="宋体"/>
          <w:b w:val="0"/>
          <w:bCs w:val="0"/>
          <w:color w:val="000000" w:themeColor="text1"/>
          <w:sz w:val="28"/>
          <w:szCs w:val="28"/>
          <w:highlight w:val="none"/>
          <w14:textFill>
            <w14:solidFill>
              <w14:schemeClr w14:val="tx1"/>
            </w14:solidFill>
          </w14:textFill>
        </w:rPr>
        <w:instrText xml:space="preserve"> PAGEREF _Toc24808 \h </w:instrText>
      </w:r>
      <w:r>
        <w:rPr>
          <w:rFonts w:hint="eastAsia" w:ascii="宋体" w:hAnsi="宋体" w:eastAsia="宋体" w:cs="宋体"/>
          <w:b w:val="0"/>
          <w:bCs w:val="0"/>
          <w:color w:val="000000" w:themeColor="text1"/>
          <w:sz w:val="28"/>
          <w:szCs w:val="28"/>
          <w:highlight w:val="none"/>
          <w14:textFill>
            <w14:solidFill>
              <w14:schemeClr w14:val="tx1"/>
            </w14:solidFill>
          </w14:textFill>
        </w:rPr>
        <w:fldChar w:fldCharType="separate"/>
      </w:r>
      <w:r>
        <w:rPr>
          <w:rFonts w:hint="eastAsia" w:ascii="宋体" w:hAnsi="宋体" w:eastAsia="宋体" w:cs="宋体"/>
          <w:b w:val="0"/>
          <w:bCs w:val="0"/>
          <w:color w:val="000000" w:themeColor="text1"/>
          <w:sz w:val="28"/>
          <w:szCs w:val="28"/>
          <w:highlight w:val="none"/>
          <w14:textFill>
            <w14:solidFill>
              <w14:schemeClr w14:val="tx1"/>
            </w14:solidFill>
          </w14:textFill>
        </w:rPr>
        <w:t>38</w:t>
      </w:r>
      <w:r>
        <w:rPr>
          <w:rFonts w:hint="eastAsia" w:ascii="宋体" w:hAnsi="宋体" w:eastAsia="宋体" w:cs="宋体"/>
          <w:b w:val="0"/>
          <w:bCs w:val="0"/>
          <w:color w:val="000000" w:themeColor="text1"/>
          <w:sz w:val="28"/>
          <w:szCs w:val="28"/>
          <w:highlight w:val="none"/>
          <w14:textFill>
            <w14:solidFill>
              <w14:schemeClr w14:val="tx1"/>
            </w14:solidFill>
          </w14:textFill>
        </w:rPr>
        <w:fldChar w:fldCharType="end"/>
      </w:r>
      <w:r>
        <w:rPr>
          <w:rFonts w:hint="eastAsia" w:ascii="宋体" w:hAnsi="宋体" w:eastAsia="宋体" w:cs="宋体"/>
          <w:b w:val="0"/>
          <w:bCs w:val="0"/>
          <w:caps/>
          <w:color w:val="000000" w:themeColor="text1"/>
          <w:sz w:val="28"/>
          <w:szCs w:val="28"/>
          <w:highlight w:val="none"/>
          <w14:textFill>
            <w14:solidFill>
              <w14:schemeClr w14:val="tx1"/>
            </w14:solidFill>
          </w14:textFill>
        </w:rPr>
        <w:fldChar w:fldCharType="end"/>
      </w:r>
    </w:p>
    <w:p w14:paraId="0E5EA201">
      <w:pPr>
        <w:pStyle w:val="24"/>
        <w:keepNext w:val="0"/>
        <w:keepLines w:val="0"/>
        <w:pageBreakBefore w:val="0"/>
        <w:widowControl w:val="0"/>
        <w:tabs>
          <w:tab w:val="right" w:leader="dot" w:pos="9638"/>
        </w:tabs>
        <w:kinsoku/>
        <w:wordWrap/>
        <w:overflowPunct/>
        <w:topLinePunct w:val="0"/>
        <w:autoSpaceDE/>
        <w:autoSpaceDN/>
        <w:bidi w:val="0"/>
        <w:adjustRightInd/>
        <w:snapToGrid/>
        <w:spacing w:before="0" w:after="0" w:line="560" w:lineRule="exact"/>
        <w:textAlignment w:val="auto"/>
        <w:rPr>
          <w:rFonts w:hint="eastAsia" w:ascii="宋体" w:hAnsi="宋体" w:eastAsia="宋体" w:cs="宋体"/>
          <w:b w:val="0"/>
          <w:bCs w:val="0"/>
          <w:color w:val="000000" w:themeColor="text1"/>
          <w:sz w:val="28"/>
          <w:szCs w:val="28"/>
          <w:highlight w:val="none"/>
          <w14:textFill>
            <w14:solidFill>
              <w14:schemeClr w14:val="tx1"/>
            </w14:solidFill>
          </w14:textFill>
        </w:rPr>
      </w:pPr>
      <w:r>
        <w:rPr>
          <w:rFonts w:hint="eastAsia" w:ascii="宋体" w:hAnsi="宋体" w:eastAsia="宋体" w:cs="宋体"/>
          <w:b w:val="0"/>
          <w:bCs w:val="0"/>
          <w:caps/>
          <w:color w:val="000000" w:themeColor="text1"/>
          <w:sz w:val="28"/>
          <w:szCs w:val="28"/>
          <w:highlight w:val="none"/>
          <w14:textFill>
            <w14:solidFill>
              <w14:schemeClr w14:val="tx1"/>
            </w14:solidFill>
          </w14:textFill>
        </w:rPr>
        <w:fldChar w:fldCharType="begin"/>
      </w:r>
      <w:r>
        <w:rPr>
          <w:rFonts w:hint="eastAsia" w:ascii="宋体" w:hAnsi="宋体" w:eastAsia="宋体" w:cs="宋体"/>
          <w:b w:val="0"/>
          <w:bCs w:val="0"/>
          <w:caps/>
          <w:color w:val="000000" w:themeColor="text1"/>
          <w:sz w:val="28"/>
          <w:szCs w:val="28"/>
          <w:highlight w:val="none"/>
          <w14:textFill>
            <w14:solidFill>
              <w14:schemeClr w14:val="tx1"/>
            </w14:solidFill>
          </w14:textFill>
        </w:rPr>
        <w:instrText xml:space="preserve"> HYPERLINK \l _Toc25374 </w:instrText>
      </w:r>
      <w:r>
        <w:rPr>
          <w:rFonts w:hint="eastAsia" w:ascii="宋体" w:hAnsi="宋体" w:eastAsia="宋体" w:cs="宋体"/>
          <w:b w:val="0"/>
          <w:bCs w:val="0"/>
          <w:caps/>
          <w:color w:val="000000" w:themeColor="text1"/>
          <w:sz w:val="28"/>
          <w:szCs w:val="28"/>
          <w:highlight w:val="none"/>
          <w14:textFill>
            <w14:solidFill>
              <w14:schemeClr w14:val="tx1"/>
            </w14:solidFill>
          </w14:textFill>
        </w:rPr>
        <w:fldChar w:fldCharType="separate"/>
      </w:r>
      <w:r>
        <w:rPr>
          <w:rFonts w:hint="eastAsia" w:ascii="宋体" w:hAnsi="宋体" w:eastAsia="宋体" w:cs="宋体"/>
          <w:b w:val="0"/>
          <w:bCs w:val="0"/>
          <w:color w:val="000000" w:themeColor="text1"/>
          <w:sz w:val="28"/>
          <w:szCs w:val="28"/>
          <w:highlight w:val="none"/>
          <w14:textFill>
            <w14:solidFill>
              <w14:schemeClr w14:val="tx1"/>
            </w14:solidFill>
          </w14:textFill>
        </w:rPr>
        <w:t>第四章  评标方法及评分标准</w:t>
      </w:r>
      <w:r>
        <w:rPr>
          <w:rFonts w:hint="eastAsia" w:ascii="宋体" w:hAnsi="宋体" w:eastAsia="宋体" w:cs="宋体"/>
          <w:b w:val="0"/>
          <w:bCs w:val="0"/>
          <w:color w:val="000000" w:themeColor="text1"/>
          <w:sz w:val="28"/>
          <w:szCs w:val="28"/>
          <w:highlight w:val="none"/>
          <w14:textFill>
            <w14:solidFill>
              <w14:schemeClr w14:val="tx1"/>
            </w14:solidFill>
          </w14:textFill>
        </w:rPr>
        <w:tab/>
      </w:r>
      <w:r>
        <w:rPr>
          <w:rFonts w:hint="eastAsia" w:ascii="宋体" w:hAnsi="宋体" w:eastAsia="宋体" w:cs="宋体"/>
          <w:b w:val="0"/>
          <w:bCs w:val="0"/>
          <w:color w:val="000000" w:themeColor="text1"/>
          <w:sz w:val="28"/>
          <w:szCs w:val="28"/>
          <w:highlight w:val="none"/>
          <w14:textFill>
            <w14:solidFill>
              <w14:schemeClr w14:val="tx1"/>
            </w14:solidFill>
          </w14:textFill>
        </w:rPr>
        <w:fldChar w:fldCharType="begin"/>
      </w:r>
      <w:r>
        <w:rPr>
          <w:rFonts w:hint="eastAsia" w:ascii="宋体" w:hAnsi="宋体" w:eastAsia="宋体" w:cs="宋体"/>
          <w:b w:val="0"/>
          <w:bCs w:val="0"/>
          <w:color w:val="000000" w:themeColor="text1"/>
          <w:sz w:val="28"/>
          <w:szCs w:val="28"/>
          <w:highlight w:val="none"/>
          <w14:textFill>
            <w14:solidFill>
              <w14:schemeClr w14:val="tx1"/>
            </w14:solidFill>
          </w14:textFill>
        </w:rPr>
        <w:instrText xml:space="preserve"> PAGEREF _Toc25374 \h </w:instrText>
      </w:r>
      <w:r>
        <w:rPr>
          <w:rFonts w:hint="eastAsia" w:ascii="宋体" w:hAnsi="宋体" w:eastAsia="宋体" w:cs="宋体"/>
          <w:b w:val="0"/>
          <w:bCs w:val="0"/>
          <w:color w:val="000000" w:themeColor="text1"/>
          <w:sz w:val="28"/>
          <w:szCs w:val="28"/>
          <w:highlight w:val="none"/>
          <w14:textFill>
            <w14:solidFill>
              <w14:schemeClr w14:val="tx1"/>
            </w14:solidFill>
          </w14:textFill>
        </w:rPr>
        <w:fldChar w:fldCharType="separate"/>
      </w:r>
      <w:r>
        <w:rPr>
          <w:rFonts w:hint="eastAsia" w:ascii="宋体" w:hAnsi="宋体" w:eastAsia="宋体" w:cs="宋体"/>
          <w:b w:val="0"/>
          <w:bCs w:val="0"/>
          <w:color w:val="000000" w:themeColor="text1"/>
          <w:sz w:val="28"/>
          <w:szCs w:val="28"/>
          <w:highlight w:val="none"/>
          <w14:textFill>
            <w14:solidFill>
              <w14:schemeClr w14:val="tx1"/>
            </w14:solidFill>
          </w14:textFill>
        </w:rPr>
        <w:t>40</w:t>
      </w:r>
      <w:r>
        <w:rPr>
          <w:rFonts w:hint="eastAsia" w:ascii="宋体" w:hAnsi="宋体" w:eastAsia="宋体" w:cs="宋体"/>
          <w:b w:val="0"/>
          <w:bCs w:val="0"/>
          <w:color w:val="000000" w:themeColor="text1"/>
          <w:sz w:val="28"/>
          <w:szCs w:val="28"/>
          <w:highlight w:val="none"/>
          <w14:textFill>
            <w14:solidFill>
              <w14:schemeClr w14:val="tx1"/>
            </w14:solidFill>
          </w14:textFill>
        </w:rPr>
        <w:fldChar w:fldCharType="end"/>
      </w:r>
      <w:r>
        <w:rPr>
          <w:rFonts w:hint="eastAsia" w:ascii="宋体" w:hAnsi="宋体" w:eastAsia="宋体" w:cs="宋体"/>
          <w:b w:val="0"/>
          <w:bCs w:val="0"/>
          <w:caps/>
          <w:color w:val="000000" w:themeColor="text1"/>
          <w:sz w:val="28"/>
          <w:szCs w:val="28"/>
          <w:highlight w:val="none"/>
          <w14:textFill>
            <w14:solidFill>
              <w14:schemeClr w14:val="tx1"/>
            </w14:solidFill>
          </w14:textFill>
        </w:rPr>
        <w:fldChar w:fldCharType="end"/>
      </w:r>
    </w:p>
    <w:p w14:paraId="7E7E7271">
      <w:pPr>
        <w:pStyle w:val="24"/>
        <w:keepNext w:val="0"/>
        <w:keepLines w:val="0"/>
        <w:pageBreakBefore w:val="0"/>
        <w:widowControl w:val="0"/>
        <w:tabs>
          <w:tab w:val="right" w:leader="dot" w:pos="9638"/>
        </w:tabs>
        <w:kinsoku/>
        <w:wordWrap/>
        <w:overflowPunct/>
        <w:topLinePunct w:val="0"/>
        <w:autoSpaceDE/>
        <w:autoSpaceDN/>
        <w:bidi w:val="0"/>
        <w:adjustRightInd/>
        <w:snapToGrid/>
        <w:spacing w:before="0" w:after="0" w:line="560" w:lineRule="exact"/>
        <w:textAlignment w:val="auto"/>
        <w:rPr>
          <w:rFonts w:hint="eastAsia" w:ascii="宋体" w:hAnsi="宋体" w:eastAsia="宋体" w:cs="宋体"/>
          <w:b w:val="0"/>
          <w:bCs w:val="0"/>
          <w:color w:val="000000" w:themeColor="text1"/>
          <w:sz w:val="28"/>
          <w:szCs w:val="28"/>
          <w:highlight w:val="none"/>
          <w14:textFill>
            <w14:solidFill>
              <w14:schemeClr w14:val="tx1"/>
            </w14:solidFill>
          </w14:textFill>
        </w:rPr>
      </w:pPr>
      <w:r>
        <w:rPr>
          <w:rFonts w:hint="eastAsia" w:ascii="宋体" w:hAnsi="宋体" w:eastAsia="宋体" w:cs="宋体"/>
          <w:b w:val="0"/>
          <w:bCs w:val="0"/>
          <w:caps/>
          <w:color w:val="000000" w:themeColor="text1"/>
          <w:sz w:val="28"/>
          <w:szCs w:val="28"/>
          <w:highlight w:val="none"/>
          <w14:textFill>
            <w14:solidFill>
              <w14:schemeClr w14:val="tx1"/>
            </w14:solidFill>
          </w14:textFill>
        </w:rPr>
        <w:fldChar w:fldCharType="begin"/>
      </w:r>
      <w:r>
        <w:rPr>
          <w:rFonts w:hint="eastAsia" w:ascii="宋体" w:hAnsi="宋体" w:eastAsia="宋体" w:cs="宋体"/>
          <w:b w:val="0"/>
          <w:bCs w:val="0"/>
          <w:caps/>
          <w:color w:val="000000" w:themeColor="text1"/>
          <w:sz w:val="28"/>
          <w:szCs w:val="28"/>
          <w:highlight w:val="none"/>
          <w14:textFill>
            <w14:solidFill>
              <w14:schemeClr w14:val="tx1"/>
            </w14:solidFill>
          </w14:textFill>
        </w:rPr>
        <w:instrText xml:space="preserve"> HYPERLINK \l _Toc28798 </w:instrText>
      </w:r>
      <w:r>
        <w:rPr>
          <w:rFonts w:hint="eastAsia" w:ascii="宋体" w:hAnsi="宋体" w:eastAsia="宋体" w:cs="宋体"/>
          <w:b w:val="0"/>
          <w:bCs w:val="0"/>
          <w:caps/>
          <w:color w:val="000000" w:themeColor="text1"/>
          <w:sz w:val="28"/>
          <w:szCs w:val="28"/>
          <w:highlight w:val="none"/>
          <w14:textFill>
            <w14:solidFill>
              <w14:schemeClr w14:val="tx1"/>
            </w14:solidFill>
          </w14:textFill>
        </w:rPr>
        <w:fldChar w:fldCharType="separate"/>
      </w:r>
      <w:r>
        <w:rPr>
          <w:rFonts w:hint="eastAsia" w:ascii="宋体" w:hAnsi="宋体" w:eastAsia="宋体" w:cs="宋体"/>
          <w:b w:val="0"/>
          <w:bCs w:val="0"/>
          <w:color w:val="000000" w:themeColor="text1"/>
          <w:sz w:val="28"/>
          <w:szCs w:val="28"/>
          <w:highlight w:val="none"/>
          <w14:textFill>
            <w14:solidFill>
              <w14:schemeClr w14:val="tx1"/>
            </w14:solidFill>
          </w14:textFill>
        </w:rPr>
        <w:t>第五章 拟签订的合同文本</w:t>
      </w:r>
      <w:r>
        <w:rPr>
          <w:rFonts w:hint="eastAsia" w:ascii="宋体" w:hAnsi="宋体" w:eastAsia="宋体" w:cs="宋体"/>
          <w:b w:val="0"/>
          <w:bCs w:val="0"/>
          <w:color w:val="000000" w:themeColor="text1"/>
          <w:sz w:val="28"/>
          <w:szCs w:val="28"/>
          <w:highlight w:val="none"/>
          <w14:textFill>
            <w14:solidFill>
              <w14:schemeClr w14:val="tx1"/>
            </w14:solidFill>
          </w14:textFill>
        </w:rPr>
        <w:tab/>
      </w:r>
      <w:r>
        <w:rPr>
          <w:rFonts w:hint="eastAsia" w:ascii="宋体" w:hAnsi="宋体" w:eastAsia="宋体" w:cs="宋体"/>
          <w:b w:val="0"/>
          <w:bCs w:val="0"/>
          <w:color w:val="000000" w:themeColor="text1"/>
          <w:sz w:val="28"/>
          <w:szCs w:val="28"/>
          <w:highlight w:val="none"/>
          <w14:textFill>
            <w14:solidFill>
              <w14:schemeClr w14:val="tx1"/>
            </w14:solidFill>
          </w14:textFill>
        </w:rPr>
        <w:fldChar w:fldCharType="begin"/>
      </w:r>
      <w:r>
        <w:rPr>
          <w:rFonts w:hint="eastAsia" w:ascii="宋体" w:hAnsi="宋体" w:eastAsia="宋体" w:cs="宋体"/>
          <w:b w:val="0"/>
          <w:bCs w:val="0"/>
          <w:color w:val="000000" w:themeColor="text1"/>
          <w:sz w:val="28"/>
          <w:szCs w:val="28"/>
          <w:highlight w:val="none"/>
          <w14:textFill>
            <w14:solidFill>
              <w14:schemeClr w14:val="tx1"/>
            </w14:solidFill>
          </w14:textFill>
        </w:rPr>
        <w:instrText xml:space="preserve"> PAGEREF _Toc28798 \h </w:instrText>
      </w:r>
      <w:r>
        <w:rPr>
          <w:rFonts w:hint="eastAsia" w:ascii="宋体" w:hAnsi="宋体" w:eastAsia="宋体" w:cs="宋体"/>
          <w:b w:val="0"/>
          <w:bCs w:val="0"/>
          <w:color w:val="000000" w:themeColor="text1"/>
          <w:sz w:val="28"/>
          <w:szCs w:val="28"/>
          <w:highlight w:val="none"/>
          <w14:textFill>
            <w14:solidFill>
              <w14:schemeClr w14:val="tx1"/>
            </w14:solidFill>
          </w14:textFill>
        </w:rPr>
        <w:fldChar w:fldCharType="separate"/>
      </w:r>
      <w:r>
        <w:rPr>
          <w:rFonts w:hint="eastAsia" w:ascii="宋体" w:hAnsi="宋体" w:eastAsia="宋体" w:cs="宋体"/>
          <w:b w:val="0"/>
          <w:bCs w:val="0"/>
          <w:color w:val="000000" w:themeColor="text1"/>
          <w:sz w:val="28"/>
          <w:szCs w:val="28"/>
          <w:highlight w:val="none"/>
          <w14:textFill>
            <w14:solidFill>
              <w14:schemeClr w14:val="tx1"/>
            </w14:solidFill>
          </w14:textFill>
        </w:rPr>
        <w:t>51</w:t>
      </w:r>
      <w:r>
        <w:rPr>
          <w:rFonts w:hint="eastAsia" w:ascii="宋体" w:hAnsi="宋体" w:eastAsia="宋体" w:cs="宋体"/>
          <w:b w:val="0"/>
          <w:bCs w:val="0"/>
          <w:color w:val="000000" w:themeColor="text1"/>
          <w:sz w:val="28"/>
          <w:szCs w:val="28"/>
          <w:highlight w:val="none"/>
          <w14:textFill>
            <w14:solidFill>
              <w14:schemeClr w14:val="tx1"/>
            </w14:solidFill>
          </w14:textFill>
        </w:rPr>
        <w:fldChar w:fldCharType="end"/>
      </w:r>
      <w:r>
        <w:rPr>
          <w:rFonts w:hint="eastAsia" w:ascii="宋体" w:hAnsi="宋体" w:eastAsia="宋体" w:cs="宋体"/>
          <w:b w:val="0"/>
          <w:bCs w:val="0"/>
          <w:caps/>
          <w:color w:val="000000" w:themeColor="text1"/>
          <w:sz w:val="28"/>
          <w:szCs w:val="28"/>
          <w:highlight w:val="none"/>
          <w14:textFill>
            <w14:solidFill>
              <w14:schemeClr w14:val="tx1"/>
            </w14:solidFill>
          </w14:textFill>
        </w:rPr>
        <w:fldChar w:fldCharType="end"/>
      </w:r>
    </w:p>
    <w:p w14:paraId="287AD335">
      <w:pPr>
        <w:pStyle w:val="24"/>
        <w:keepNext w:val="0"/>
        <w:keepLines w:val="0"/>
        <w:pageBreakBefore w:val="0"/>
        <w:widowControl w:val="0"/>
        <w:tabs>
          <w:tab w:val="right" w:leader="dot" w:pos="9638"/>
        </w:tabs>
        <w:kinsoku/>
        <w:wordWrap/>
        <w:overflowPunct/>
        <w:topLinePunct w:val="0"/>
        <w:autoSpaceDE/>
        <w:autoSpaceDN/>
        <w:bidi w:val="0"/>
        <w:adjustRightInd/>
        <w:snapToGrid/>
        <w:spacing w:before="0" w:after="0" w:line="560" w:lineRule="exact"/>
        <w:textAlignment w:val="auto"/>
        <w:rPr>
          <w:rFonts w:hint="eastAsia" w:ascii="宋体" w:hAnsi="宋体" w:eastAsia="宋体" w:cs="宋体"/>
          <w:b w:val="0"/>
          <w:bCs w:val="0"/>
          <w:color w:val="000000" w:themeColor="text1"/>
          <w:sz w:val="28"/>
          <w:szCs w:val="28"/>
          <w:highlight w:val="none"/>
          <w14:textFill>
            <w14:solidFill>
              <w14:schemeClr w14:val="tx1"/>
            </w14:solidFill>
          </w14:textFill>
        </w:rPr>
      </w:pPr>
      <w:r>
        <w:rPr>
          <w:rFonts w:hint="eastAsia" w:ascii="宋体" w:hAnsi="宋体" w:eastAsia="宋体" w:cs="宋体"/>
          <w:b w:val="0"/>
          <w:bCs w:val="0"/>
          <w:caps/>
          <w:color w:val="000000" w:themeColor="text1"/>
          <w:sz w:val="28"/>
          <w:szCs w:val="28"/>
          <w:highlight w:val="none"/>
          <w14:textFill>
            <w14:solidFill>
              <w14:schemeClr w14:val="tx1"/>
            </w14:solidFill>
          </w14:textFill>
        </w:rPr>
        <w:fldChar w:fldCharType="begin"/>
      </w:r>
      <w:r>
        <w:rPr>
          <w:rFonts w:hint="eastAsia" w:ascii="宋体" w:hAnsi="宋体" w:eastAsia="宋体" w:cs="宋体"/>
          <w:b w:val="0"/>
          <w:bCs w:val="0"/>
          <w:caps/>
          <w:color w:val="000000" w:themeColor="text1"/>
          <w:sz w:val="28"/>
          <w:szCs w:val="28"/>
          <w:highlight w:val="none"/>
          <w14:textFill>
            <w14:solidFill>
              <w14:schemeClr w14:val="tx1"/>
            </w14:solidFill>
          </w14:textFill>
        </w:rPr>
        <w:instrText xml:space="preserve"> HYPERLINK \l _Toc14746 </w:instrText>
      </w:r>
      <w:r>
        <w:rPr>
          <w:rFonts w:hint="eastAsia" w:ascii="宋体" w:hAnsi="宋体" w:eastAsia="宋体" w:cs="宋体"/>
          <w:b w:val="0"/>
          <w:bCs w:val="0"/>
          <w:caps/>
          <w:color w:val="000000" w:themeColor="text1"/>
          <w:sz w:val="28"/>
          <w:szCs w:val="28"/>
          <w:highlight w:val="none"/>
          <w14:textFill>
            <w14:solidFill>
              <w14:schemeClr w14:val="tx1"/>
            </w14:solidFill>
          </w14:textFill>
        </w:rPr>
        <w:fldChar w:fldCharType="separate"/>
      </w:r>
      <w:r>
        <w:rPr>
          <w:rFonts w:hint="eastAsia" w:ascii="宋体" w:hAnsi="宋体" w:eastAsia="宋体" w:cs="宋体"/>
          <w:b w:val="0"/>
          <w:bCs w:val="0"/>
          <w:color w:val="000000" w:themeColor="text1"/>
          <w:sz w:val="28"/>
          <w:szCs w:val="28"/>
          <w:highlight w:val="none"/>
          <w14:textFill>
            <w14:solidFill>
              <w14:schemeClr w14:val="tx1"/>
            </w14:solidFill>
          </w14:textFill>
        </w:rPr>
        <w:t xml:space="preserve">第六章 </w:t>
      </w:r>
      <w:r>
        <w:rPr>
          <w:rFonts w:hint="eastAsia" w:ascii="宋体" w:hAnsi="宋体" w:eastAsia="宋体" w:cs="宋体"/>
          <w:b w:val="0"/>
          <w:bCs w:val="0"/>
          <w:color w:val="000000" w:themeColor="text1"/>
          <w:sz w:val="28"/>
          <w:szCs w:val="28"/>
          <w:highlight w:val="non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highlight w:val="none"/>
          <w14:textFill>
            <w14:solidFill>
              <w14:schemeClr w14:val="tx1"/>
            </w14:solidFill>
          </w14:textFill>
        </w:rPr>
        <w:t>投标文件格式</w:t>
      </w:r>
      <w:r>
        <w:rPr>
          <w:rFonts w:hint="eastAsia" w:ascii="宋体" w:hAnsi="宋体" w:eastAsia="宋体" w:cs="宋体"/>
          <w:b w:val="0"/>
          <w:bCs w:val="0"/>
          <w:color w:val="000000" w:themeColor="text1"/>
          <w:sz w:val="28"/>
          <w:szCs w:val="28"/>
          <w:highlight w:val="none"/>
          <w14:textFill>
            <w14:solidFill>
              <w14:schemeClr w14:val="tx1"/>
            </w14:solidFill>
          </w14:textFill>
        </w:rPr>
        <w:tab/>
      </w:r>
      <w:r>
        <w:rPr>
          <w:rFonts w:hint="eastAsia" w:ascii="宋体" w:hAnsi="宋体" w:eastAsia="宋体" w:cs="宋体"/>
          <w:b w:val="0"/>
          <w:bCs w:val="0"/>
          <w:color w:val="000000" w:themeColor="text1"/>
          <w:sz w:val="28"/>
          <w:szCs w:val="28"/>
          <w:highlight w:val="none"/>
          <w14:textFill>
            <w14:solidFill>
              <w14:schemeClr w14:val="tx1"/>
            </w14:solidFill>
          </w14:textFill>
        </w:rPr>
        <w:fldChar w:fldCharType="begin"/>
      </w:r>
      <w:r>
        <w:rPr>
          <w:rFonts w:hint="eastAsia" w:ascii="宋体" w:hAnsi="宋体" w:eastAsia="宋体" w:cs="宋体"/>
          <w:b w:val="0"/>
          <w:bCs w:val="0"/>
          <w:color w:val="000000" w:themeColor="text1"/>
          <w:sz w:val="28"/>
          <w:szCs w:val="28"/>
          <w:highlight w:val="none"/>
          <w14:textFill>
            <w14:solidFill>
              <w14:schemeClr w14:val="tx1"/>
            </w14:solidFill>
          </w14:textFill>
        </w:rPr>
        <w:instrText xml:space="preserve"> PAGEREF _Toc14746 \h </w:instrText>
      </w:r>
      <w:r>
        <w:rPr>
          <w:rFonts w:hint="eastAsia" w:ascii="宋体" w:hAnsi="宋体" w:eastAsia="宋体" w:cs="宋体"/>
          <w:b w:val="0"/>
          <w:bCs w:val="0"/>
          <w:color w:val="000000" w:themeColor="text1"/>
          <w:sz w:val="28"/>
          <w:szCs w:val="28"/>
          <w:highlight w:val="none"/>
          <w14:textFill>
            <w14:solidFill>
              <w14:schemeClr w14:val="tx1"/>
            </w14:solidFill>
          </w14:textFill>
        </w:rPr>
        <w:fldChar w:fldCharType="separate"/>
      </w:r>
      <w:r>
        <w:rPr>
          <w:rFonts w:hint="eastAsia" w:ascii="宋体" w:hAnsi="宋体" w:eastAsia="宋体" w:cs="宋体"/>
          <w:b w:val="0"/>
          <w:bCs w:val="0"/>
          <w:color w:val="000000" w:themeColor="text1"/>
          <w:sz w:val="28"/>
          <w:szCs w:val="28"/>
          <w:highlight w:val="none"/>
          <w14:textFill>
            <w14:solidFill>
              <w14:schemeClr w14:val="tx1"/>
            </w14:solidFill>
          </w14:textFill>
        </w:rPr>
        <w:t>72</w:t>
      </w:r>
      <w:r>
        <w:rPr>
          <w:rFonts w:hint="eastAsia" w:ascii="宋体" w:hAnsi="宋体" w:eastAsia="宋体" w:cs="宋体"/>
          <w:b w:val="0"/>
          <w:bCs w:val="0"/>
          <w:color w:val="000000" w:themeColor="text1"/>
          <w:sz w:val="28"/>
          <w:szCs w:val="28"/>
          <w:highlight w:val="none"/>
          <w14:textFill>
            <w14:solidFill>
              <w14:schemeClr w14:val="tx1"/>
            </w14:solidFill>
          </w14:textFill>
        </w:rPr>
        <w:fldChar w:fldCharType="end"/>
      </w:r>
      <w:r>
        <w:rPr>
          <w:rFonts w:hint="eastAsia" w:ascii="宋体" w:hAnsi="宋体" w:eastAsia="宋体" w:cs="宋体"/>
          <w:b w:val="0"/>
          <w:bCs w:val="0"/>
          <w:caps/>
          <w:color w:val="000000" w:themeColor="text1"/>
          <w:sz w:val="28"/>
          <w:szCs w:val="28"/>
          <w:highlight w:val="none"/>
          <w14:textFill>
            <w14:solidFill>
              <w14:schemeClr w14:val="tx1"/>
            </w14:solidFill>
          </w14:textFill>
        </w:rPr>
        <w:fldChar w:fldCharType="end"/>
      </w:r>
    </w:p>
    <w:p w14:paraId="56664893">
      <w:pPr>
        <w:pStyle w:val="24"/>
        <w:keepNext w:val="0"/>
        <w:keepLines w:val="0"/>
        <w:pageBreakBefore w:val="0"/>
        <w:widowControl w:val="0"/>
        <w:tabs>
          <w:tab w:val="right" w:leader="dot" w:pos="9638"/>
        </w:tabs>
        <w:kinsoku/>
        <w:wordWrap/>
        <w:overflowPunct/>
        <w:topLinePunct w:val="0"/>
        <w:autoSpaceDE/>
        <w:autoSpaceDN/>
        <w:bidi w:val="0"/>
        <w:adjustRightInd/>
        <w:snapToGrid/>
        <w:spacing w:before="0" w:after="0" w:line="560" w:lineRule="exact"/>
        <w:textAlignment w:val="auto"/>
        <w:rPr>
          <w:rFonts w:hint="eastAsia" w:ascii="宋体" w:hAnsi="宋体" w:eastAsia="宋体" w:cs="宋体"/>
          <w:b w:val="0"/>
          <w:bCs w:val="0"/>
          <w:color w:val="000000" w:themeColor="text1"/>
          <w:sz w:val="28"/>
          <w:szCs w:val="28"/>
          <w:highlight w:val="none"/>
          <w14:textFill>
            <w14:solidFill>
              <w14:schemeClr w14:val="tx1"/>
            </w14:solidFill>
          </w14:textFill>
        </w:rPr>
      </w:pPr>
      <w:r>
        <w:rPr>
          <w:rFonts w:hint="eastAsia" w:ascii="宋体" w:hAnsi="宋体" w:eastAsia="宋体" w:cs="宋体"/>
          <w:b w:val="0"/>
          <w:bCs w:val="0"/>
          <w:caps/>
          <w:color w:val="000000" w:themeColor="text1"/>
          <w:sz w:val="28"/>
          <w:szCs w:val="28"/>
          <w:highlight w:val="none"/>
          <w14:textFill>
            <w14:solidFill>
              <w14:schemeClr w14:val="tx1"/>
            </w14:solidFill>
          </w14:textFill>
        </w:rPr>
        <w:fldChar w:fldCharType="begin"/>
      </w:r>
      <w:r>
        <w:rPr>
          <w:rFonts w:hint="eastAsia" w:ascii="宋体" w:hAnsi="宋体" w:eastAsia="宋体" w:cs="宋体"/>
          <w:b w:val="0"/>
          <w:bCs w:val="0"/>
          <w:caps/>
          <w:color w:val="000000" w:themeColor="text1"/>
          <w:sz w:val="28"/>
          <w:szCs w:val="28"/>
          <w:highlight w:val="none"/>
          <w14:textFill>
            <w14:solidFill>
              <w14:schemeClr w14:val="tx1"/>
            </w14:solidFill>
          </w14:textFill>
        </w:rPr>
        <w:instrText xml:space="preserve"> HYPERLINK \l _Toc24257 </w:instrText>
      </w:r>
      <w:r>
        <w:rPr>
          <w:rFonts w:hint="eastAsia" w:ascii="宋体" w:hAnsi="宋体" w:eastAsia="宋体" w:cs="宋体"/>
          <w:b w:val="0"/>
          <w:bCs w:val="0"/>
          <w:caps/>
          <w:color w:val="000000" w:themeColor="text1"/>
          <w:sz w:val="28"/>
          <w:szCs w:val="28"/>
          <w:highlight w:val="none"/>
          <w14:textFill>
            <w14:solidFill>
              <w14:schemeClr w14:val="tx1"/>
            </w14:solidFill>
          </w14:textFill>
        </w:rPr>
        <w:fldChar w:fldCharType="separate"/>
      </w:r>
      <w:r>
        <w:rPr>
          <w:rFonts w:hint="eastAsia" w:ascii="宋体" w:hAnsi="宋体" w:eastAsia="宋体" w:cs="宋体"/>
          <w:b w:val="0"/>
          <w:bCs w:val="0"/>
          <w:color w:val="000000" w:themeColor="text1"/>
          <w:sz w:val="28"/>
          <w:szCs w:val="28"/>
          <w:highlight w:val="none"/>
          <w14:textFill>
            <w14:solidFill>
              <w14:schemeClr w14:val="tx1"/>
            </w14:solidFill>
          </w14:textFill>
        </w:rPr>
        <w:t xml:space="preserve">第七章 </w:t>
      </w:r>
      <w:r>
        <w:rPr>
          <w:rFonts w:hint="eastAsia" w:ascii="宋体" w:hAnsi="宋体" w:eastAsia="宋体" w:cs="宋体"/>
          <w:b w:val="0"/>
          <w:bCs w:val="0"/>
          <w:color w:val="000000" w:themeColor="text1"/>
          <w:sz w:val="28"/>
          <w:szCs w:val="28"/>
          <w:highlight w:val="non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highlight w:val="none"/>
          <w14:textFill>
            <w14:solidFill>
              <w14:schemeClr w14:val="tx1"/>
            </w14:solidFill>
          </w14:textFill>
        </w:rPr>
        <w:t>质疑、投诉证明材料格式</w:t>
      </w:r>
      <w:r>
        <w:rPr>
          <w:rFonts w:hint="eastAsia" w:ascii="宋体" w:hAnsi="宋体" w:eastAsia="宋体" w:cs="宋体"/>
          <w:b w:val="0"/>
          <w:bCs w:val="0"/>
          <w:color w:val="000000" w:themeColor="text1"/>
          <w:sz w:val="28"/>
          <w:szCs w:val="28"/>
          <w:highlight w:val="none"/>
          <w14:textFill>
            <w14:solidFill>
              <w14:schemeClr w14:val="tx1"/>
            </w14:solidFill>
          </w14:textFill>
        </w:rPr>
        <w:tab/>
      </w:r>
      <w:r>
        <w:rPr>
          <w:rFonts w:hint="eastAsia" w:ascii="宋体" w:hAnsi="宋体" w:eastAsia="宋体" w:cs="宋体"/>
          <w:b w:val="0"/>
          <w:bCs w:val="0"/>
          <w:color w:val="000000" w:themeColor="text1"/>
          <w:sz w:val="28"/>
          <w:szCs w:val="28"/>
          <w:highlight w:val="none"/>
          <w14:textFill>
            <w14:solidFill>
              <w14:schemeClr w14:val="tx1"/>
            </w14:solidFill>
          </w14:textFill>
        </w:rPr>
        <w:fldChar w:fldCharType="begin"/>
      </w:r>
      <w:r>
        <w:rPr>
          <w:rFonts w:hint="eastAsia" w:ascii="宋体" w:hAnsi="宋体" w:eastAsia="宋体" w:cs="宋体"/>
          <w:b w:val="0"/>
          <w:bCs w:val="0"/>
          <w:color w:val="000000" w:themeColor="text1"/>
          <w:sz w:val="28"/>
          <w:szCs w:val="28"/>
          <w:highlight w:val="none"/>
          <w14:textFill>
            <w14:solidFill>
              <w14:schemeClr w14:val="tx1"/>
            </w14:solidFill>
          </w14:textFill>
        </w:rPr>
        <w:instrText xml:space="preserve"> PAGEREF _Toc24257 \h </w:instrText>
      </w:r>
      <w:r>
        <w:rPr>
          <w:rFonts w:hint="eastAsia" w:ascii="宋体" w:hAnsi="宋体" w:eastAsia="宋体" w:cs="宋体"/>
          <w:b w:val="0"/>
          <w:bCs w:val="0"/>
          <w:color w:val="000000" w:themeColor="text1"/>
          <w:sz w:val="28"/>
          <w:szCs w:val="28"/>
          <w:highlight w:val="none"/>
          <w14:textFill>
            <w14:solidFill>
              <w14:schemeClr w14:val="tx1"/>
            </w14:solidFill>
          </w14:textFill>
        </w:rPr>
        <w:fldChar w:fldCharType="separate"/>
      </w:r>
      <w:r>
        <w:rPr>
          <w:rFonts w:hint="eastAsia" w:ascii="宋体" w:hAnsi="宋体" w:eastAsia="宋体" w:cs="宋体"/>
          <w:b w:val="0"/>
          <w:bCs w:val="0"/>
          <w:color w:val="000000" w:themeColor="text1"/>
          <w:sz w:val="28"/>
          <w:szCs w:val="28"/>
          <w:highlight w:val="none"/>
          <w14:textFill>
            <w14:solidFill>
              <w14:schemeClr w14:val="tx1"/>
            </w14:solidFill>
          </w14:textFill>
        </w:rPr>
        <w:t>105</w:t>
      </w:r>
      <w:r>
        <w:rPr>
          <w:rFonts w:hint="eastAsia" w:ascii="宋体" w:hAnsi="宋体" w:eastAsia="宋体" w:cs="宋体"/>
          <w:b w:val="0"/>
          <w:bCs w:val="0"/>
          <w:color w:val="000000" w:themeColor="text1"/>
          <w:sz w:val="28"/>
          <w:szCs w:val="28"/>
          <w:highlight w:val="none"/>
          <w14:textFill>
            <w14:solidFill>
              <w14:schemeClr w14:val="tx1"/>
            </w14:solidFill>
          </w14:textFill>
        </w:rPr>
        <w:fldChar w:fldCharType="end"/>
      </w:r>
      <w:r>
        <w:rPr>
          <w:rFonts w:hint="eastAsia" w:ascii="宋体" w:hAnsi="宋体" w:eastAsia="宋体" w:cs="宋体"/>
          <w:b w:val="0"/>
          <w:bCs w:val="0"/>
          <w:caps/>
          <w:color w:val="000000" w:themeColor="text1"/>
          <w:sz w:val="28"/>
          <w:szCs w:val="28"/>
          <w:highlight w:val="none"/>
          <w14:textFill>
            <w14:solidFill>
              <w14:schemeClr w14:val="tx1"/>
            </w14:solidFill>
          </w14:textFill>
        </w:rPr>
        <w:fldChar w:fldCharType="end"/>
      </w:r>
    </w:p>
    <w:p w14:paraId="2A3572B3">
      <w:pPr>
        <w:pStyle w:val="17"/>
        <w:keepNext w:val="0"/>
        <w:keepLines w:val="0"/>
        <w:pageBreakBefore w:val="0"/>
        <w:widowControl w:val="0"/>
        <w:kinsoku/>
        <w:wordWrap/>
        <w:overflowPunct/>
        <w:topLinePunct w:val="0"/>
        <w:autoSpaceDE/>
        <w:autoSpaceDN/>
        <w:bidi w:val="0"/>
        <w:adjustRightInd/>
        <w:snapToGrid/>
        <w:spacing w:line="560" w:lineRule="exact"/>
        <w:textAlignment w:val="auto"/>
        <w:rPr>
          <w:color w:val="000000" w:themeColor="text1"/>
          <w:highlight w:val="none"/>
          <w14:textFill>
            <w14:solidFill>
              <w14:schemeClr w14:val="tx1"/>
            </w14:solidFill>
          </w14:textFill>
        </w:rPr>
        <w:sectPr>
          <w:footerReference r:id="rId4" w:type="default"/>
          <w:pgSz w:w="11906" w:h="16838"/>
          <w:pgMar w:top="1134" w:right="1134" w:bottom="1134" w:left="1134" w:header="720" w:footer="720" w:gutter="0"/>
          <w:pgNumType w:fmt="decimal" w:start="1"/>
          <w:cols w:space="720" w:num="1"/>
          <w:docGrid w:type="lines" w:linePitch="331" w:charSpace="0"/>
        </w:sectPr>
      </w:pPr>
      <w:r>
        <w:rPr>
          <w:rFonts w:hint="eastAsia" w:ascii="宋体" w:hAnsi="宋体" w:eastAsia="宋体" w:cs="宋体"/>
          <w:b w:val="0"/>
          <w:bCs w:val="0"/>
          <w:caps/>
          <w:color w:val="000000" w:themeColor="text1"/>
          <w:sz w:val="28"/>
          <w:szCs w:val="28"/>
          <w:highlight w:val="none"/>
          <w14:textFill>
            <w14:solidFill>
              <w14:schemeClr w14:val="tx1"/>
            </w14:solidFill>
          </w14:textFill>
        </w:rPr>
        <w:fldChar w:fldCharType="end"/>
      </w:r>
      <w:r>
        <w:rPr>
          <w:rFonts w:hint="eastAsia"/>
          <w:color w:val="000000" w:themeColor="text1"/>
          <w:highlight w:val="none"/>
          <w14:textFill>
            <w14:solidFill>
              <w14:schemeClr w14:val="tx1"/>
            </w14:solidFill>
          </w14:textFill>
        </w:rPr>
        <w:tab/>
      </w:r>
      <w:bookmarkStart w:id="0" w:name="_Toc532545041"/>
    </w:p>
    <w:p w14:paraId="5099E409">
      <w:pPr>
        <w:pStyle w:val="31"/>
        <w:pageBreakBefore w:val="0"/>
        <w:widowControl w:val="0"/>
        <w:kinsoku/>
        <w:wordWrap/>
        <w:overflowPunct/>
        <w:topLinePunct w:val="0"/>
        <w:autoSpaceDE/>
        <w:autoSpaceDN/>
        <w:bidi w:val="0"/>
        <w:adjustRightInd/>
        <w:snapToGrid/>
        <w:spacing w:before="0" w:after="0" w:line="560" w:lineRule="exact"/>
        <w:ind w:left="0" w:leftChars="0"/>
        <w:textAlignment w:val="auto"/>
        <w:rPr>
          <w:rFonts w:hint="eastAsia" w:ascii="宋体" w:hAnsi="宋体" w:eastAsia="宋体" w:cs="宋体"/>
          <w:color w:val="000000" w:themeColor="text1"/>
          <w:sz w:val="28"/>
          <w:szCs w:val="28"/>
          <w:highlight w:val="none"/>
          <w14:textFill>
            <w14:solidFill>
              <w14:schemeClr w14:val="tx1"/>
            </w14:solidFill>
          </w14:textFill>
        </w:rPr>
      </w:pPr>
      <w:bookmarkStart w:id="1" w:name="_Toc17893"/>
      <w:r>
        <w:rPr>
          <w:rFonts w:hint="eastAsia" w:ascii="宋体" w:hAnsi="宋体" w:eastAsia="宋体" w:cs="宋体"/>
          <w:color w:val="000000" w:themeColor="text1"/>
          <w:sz w:val="28"/>
          <w:szCs w:val="28"/>
          <w:highlight w:val="none"/>
          <w14:textFill>
            <w14:solidFill>
              <w14:schemeClr w14:val="tx1"/>
            </w14:solidFill>
          </w14:textFill>
        </w:rPr>
        <w:t>第一章  招标公告</w:t>
      </w:r>
      <w:bookmarkEnd w:id="0"/>
      <w:bookmarkEnd w:id="1"/>
    </w:p>
    <w:p w14:paraId="056D44A7">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560" w:lineRule="exact"/>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项目概况</w:t>
      </w:r>
    </w:p>
    <w:p w14:paraId="79C3105E">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560" w:lineRule="exact"/>
        <w:ind w:left="0" w:leftChars="0" w:firstLine="562" w:firstLineChars="200"/>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cs="宋体"/>
          <w:b/>
          <w:bCs/>
          <w:color w:val="000000" w:themeColor="text1"/>
          <w:sz w:val="28"/>
          <w:szCs w:val="28"/>
          <w:highlight w:val="none"/>
          <w:u w:val="single"/>
          <w:lang w:eastAsia="zh-CN"/>
          <w14:textFill>
            <w14:solidFill>
              <w14:schemeClr w14:val="tx1"/>
            </w14:solidFill>
          </w14:textFill>
        </w:rPr>
        <w:t>哈密市中心医院2025年医疗设备购置项目（第一批）（二次）（</w:t>
      </w:r>
      <w:r>
        <w:rPr>
          <w:rFonts w:hint="eastAsia" w:ascii="宋体" w:hAnsi="宋体" w:eastAsia="宋体" w:cs="宋体"/>
          <w:color w:val="000000" w:themeColor="text1"/>
          <w:sz w:val="28"/>
          <w:szCs w:val="28"/>
          <w:highlight w:val="none"/>
          <w14:textFill>
            <w14:solidFill>
              <w14:schemeClr w14:val="tx1"/>
            </w14:solidFill>
          </w14:textFill>
        </w:rPr>
        <w:t>采购项目的潜在供应商应在</w:t>
      </w:r>
      <w:r>
        <w:rPr>
          <w:rFonts w:hint="eastAsia" w:ascii="宋体" w:hAnsi="宋体" w:eastAsia="宋体" w:cs="宋体"/>
          <w:color w:val="000000" w:themeColor="text1"/>
          <w:sz w:val="28"/>
          <w:szCs w:val="28"/>
          <w:highlight w:val="none"/>
          <w:u w:val="single"/>
          <w14:textFill>
            <w14:solidFill>
              <w14:schemeClr w14:val="tx1"/>
            </w14:solidFill>
          </w14:textFill>
        </w:rPr>
        <w:t>新疆政府采购网（http://www.ccgp-xinjiang.gov.cn）</w:t>
      </w:r>
      <w:r>
        <w:rPr>
          <w:rFonts w:hint="eastAsia" w:ascii="宋体" w:hAnsi="宋体" w:eastAsia="宋体" w:cs="宋体"/>
          <w:color w:val="000000" w:themeColor="text1"/>
          <w:sz w:val="28"/>
          <w:szCs w:val="28"/>
          <w:highlight w:val="none"/>
          <w14:textFill>
            <w14:solidFill>
              <w14:schemeClr w14:val="tx1"/>
            </w14:solidFill>
          </w14:textFill>
        </w:rPr>
        <w:t>政采云平台线上获取采购文件，并于</w:t>
      </w:r>
      <w:r>
        <w:rPr>
          <w:rFonts w:hint="eastAsia" w:ascii="宋体" w:hAnsi="宋体" w:eastAsia="宋体" w:cs="宋体"/>
          <w:b/>
          <w:bCs/>
          <w:color w:val="000000" w:themeColor="text1"/>
          <w:sz w:val="28"/>
          <w:szCs w:val="28"/>
          <w:highlight w:val="none"/>
          <w:u w:val="single"/>
          <w14:textFill>
            <w14:solidFill>
              <w14:schemeClr w14:val="tx1"/>
            </w14:solidFill>
          </w14:textFill>
        </w:rPr>
        <w:t>202</w:t>
      </w:r>
      <w:r>
        <w:rPr>
          <w:rFonts w:hint="eastAsia" w:ascii="宋体" w:hAnsi="宋体" w:cs="宋体"/>
          <w:b/>
          <w:bCs/>
          <w:color w:val="000000" w:themeColor="text1"/>
          <w:sz w:val="28"/>
          <w:szCs w:val="28"/>
          <w:highlight w:val="none"/>
          <w:u w:val="single"/>
          <w:lang w:val="en-US" w:eastAsia="zh-CN"/>
          <w14:textFill>
            <w14:solidFill>
              <w14:schemeClr w14:val="tx1"/>
            </w14:solidFill>
          </w14:textFill>
        </w:rPr>
        <w:t>5</w:t>
      </w:r>
      <w:r>
        <w:rPr>
          <w:rFonts w:hint="eastAsia" w:ascii="宋体" w:hAnsi="宋体" w:eastAsia="宋体" w:cs="宋体"/>
          <w:b/>
          <w:bCs/>
          <w:color w:val="000000" w:themeColor="text1"/>
          <w:sz w:val="28"/>
          <w:szCs w:val="28"/>
          <w:highlight w:val="none"/>
          <w:u w:val="single"/>
          <w14:textFill>
            <w14:solidFill>
              <w14:schemeClr w14:val="tx1"/>
            </w14:solidFill>
          </w14:textFill>
        </w:rPr>
        <w:t>年</w:t>
      </w:r>
      <w:r>
        <w:rPr>
          <w:rFonts w:hint="eastAsia" w:ascii="宋体" w:hAnsi="宋体" w:cs="宋体"/>
          <w:b/>
          <w:bCs/>
          <w:color w:val="000000" w:themeColor="text1"/>
          <w:sz w:val="28"/>
          <w:szCs w:val="28"/>
          <w:highlight w:val="none"/>
          <w:u w:val="single"/>
          <w:lang w:val="en-US" w:eastAsia="zh-CN"/>
          <w14:textFill>
            <w14:solidFill>
              <w14:schemeClr w14:val="tx1"/>
            </w14:solidFill>
          </w14:textFill>
        </w:rPr>
        <w:t>07</w:t>
      </w:r>
      <w:r>
        <w:rPr>
          <w:rFonts w:hint="eastAsia" w:ascii="宋体" w:hAnsi="宋体" w:eastAsia="宋体" w:cs="宋体"/>
          <w:b/>
          <w:bCs/>
          <w:color w:val="000000" w:themeColor="text1"/>
          <w:sz w:val="28"/>
          <w:szCs w:val="28"/>
          <w:highlight w:val="none"/>
          <w:u w:val="single"/>
          <w14:textFill>
            <w14:solidFill>
              <w14:schemeClr w14:val="tx1"/>
            </w14:solidFill>
          </w14:textFill>
        </w:rPr>
        <w:t>月</w:t>
      </w:r>
      <w:r>
        <w:rPr>
          <w:rFonts w:hint="eastAsia" w:ascii="宋体" w:hAnsi="宋体" w:cs="宋体"/>
          <w:b/>
          <w:bCs/>
          <w:color w:val="000000" w:themeColor="text1"/>
          <w:sz w:val="28"/>
          <w:szCs w:val="28"/>
          <w:highlight w:val="none"/>
          <w:u w:val="single"/>
          <w:lang w:val="en-US" w:eastAsia="zh-CN"/>
          <w14:textFill>
            <w14:solidFill>
              <w14:schemeClr w14:val="tx1"/>
            </w14:solidFill>
          </w14:textFill>
        </w:rPr>
        <w:t>17</w:t>
      </w:r>
      <w:r>
        <w:rPr>
          <w:rFonts w:hint="eastAsia" w:ascii="宋体" w:hAnsi="宋体" w:eastAsia="宋体" w:cs="宋体"/>
          <w:b/>
          <w:bCs/>
          <w:color w:val="000000" w:themeColor="text1"/>
          <w:sz w:val="28"/>
          <w:szCs w:val="28"/>
          <w:highlight w:val="none"/>
          <w:u w:val="single"/>
          <w14:textFill>
            <w14:solidFill>
              <w14:schemeClr w14:val="tx1"/>
            </w14:solidFill>
          </w14:textFill>
        </w:rPr>
        <w:t>日1</w:t>
      </w:r>
      <w:r>
        <w:rPr>
          <w:rFonts w:hint="eastAsia" w:ascii="宋体" w:hAnsi="宋体" w:cs="宋体"/>
          <w:b/>
          <w:bCs/>
          <w:color w:val="000000" w:themeColor="text1"/>
          <w:sz w:val="28"/>
          <w:szCs w:val="28"/>
          <w:highlight w:val="none"/>
          <w:u w:val="single"/>
          <w:lang w:val="en-US" w:eastAsia="zh-CN"/>
          <w14:textFill>
            <w14:solidFill>
              <w14:schemeClr w14:val="tx1"/>
            </w14:solidFill>
          </w14:textFill>
        </w:rPr>
        <w:t>1</w:t>
      </w:r>
      <w:r>
        <w:rPr>
          <w:rFonts w:hint="eastAsia" w:ascii="宋体" w:hAnsi="宋体" w:eastAsia="宋体" w:cs="宋体"/>
          <w:b/>
          <w:bCs/>
          <w:color w:val="000000" w:themeColor="text1"/>
          <w:sz w:val="28"/>
          <w:szCs w:val="28"/>
          <w:highlight w:val="none"/>
          <w:u w:val="single"/>
          <w14:textFill>
            <w14:solidFill>
              <w14:schemeClr w14:val="tx1"/>
            </w14:solidFill>
          </w14:textFill>
        </w:rPr>
        <w:t>点00分</w:t>
      </w:r>
      <w:r>
        <w:rPr>
          <w:rFonts w:hint="eastAsia" w:ascii="宋体" w:hAnsi="宋体" w:eastAsia="宋体" w:cs="宋体"/>
          <w:bCs/>
          <w:color w:val="000000" w:themeColor="text1"/>
          <w:sz w:val="28"/>
          <w:szCs w:val="28"/>
          <w:highlight w:val="none"/>
          <w14:textFill>
            <w14:solidFill>
              <w14:schemeClr w14:val="tx1"/>
            </w14:solidFill>
          </w14:textFill>
        </w:rPr>
        <w:t>（北京时间）前提交响应文件</w:t>
      </w:r>
      <w:r>
        <w:rPr>
          <w:rFonts w:hint="eastAsia" w:ascii="宋体" w:hAnsi="宋体" w:eastAsia="宋体" w:cs="宋体"/>
          <w:color w:val="000000" w:themeColor="text1"/>
          <w:sz w:val="28"/>
          <w:szCs w:val="28"/>
          <w:highlight w:val="none"/>
          <w14:textFill>
            <w14:solidFill>
              <w14:schemeClr w14:val="tx1"/>
            </w14:solidFill>
          </w14:textFill>
        </w:rPr>
        <w:t>。</w:t>
      </w:r>
    </w:p>
    <w:p w14:paraId="705CBA6A">
      <w:pPr>
        <w:pStyle w:val="3"/>
        <w:keepNext/>
        <w:keepLines/>
        <w:pageBreakBefore w:val="0"/>
        <w:widowControl w:val="0"/>
        <w:kinsoku/>
        <w:wordWrap/>
        <w:overflowPunct/>
        <w:topLinePunct w:val="0"/>
        <w:autoSpaceDE/>
        <w:autoSpaceDN/>
        <w:bidi w:val="0"/>
        <w:adjustRightInd/>
        <w:snapToGrid/>
        <w:spacing w:before="0" w:after="0" w:line="560" w:lineRule="exact"/>
        <w:ind w:left="0" w:leftChars="0"/>
        <w:textAlignment w:val="auto"/>
        <w:rPr>
          <w:rFonts w:hint="eastAsia" w:ascii="宋体" w:hAnsi="宋体" w:eastAsia="宋体" w:cs="宋体"/>
          <w:color w:val="000000" w:themeColor="text1"/>
          <w:sz w:val="28"/>
          <w:szCs w:val="28"/>
          <w:highlight w:val="none"/>
          <w14:textFill>
            <w14:solidFill>
              <w14:schemeClr w14:val="tx1"/>
            </w14:solidFill>
          </w14:textFill>
        </w:rPr>
      </w:pPr>
      <w:bookmarkStart w:id="2" w:name="_Toc28359079"/>
      <w:bookmarkStart w:id="3" w:name="_Toc35393621"/>
      <w:bookmarkStart w:id="4" w:name="_Toc35393790"/>
      <w:bookmarkStart w:id="5" w:name="_Toc28359002"/>
      <w:bookmarkStart w:id="6" w:name="_Toc15481"/>
      <w:bookmarkStart w:id="7" w:name="_Hlk24379207"/>
      <w:r>
        <w:rPr>
          <w:rFonts w:hint="eastAsia" w:ascii="宋体" w:hAnsi="宋体" w:eastAsia="宋体" w:cs="宋体"/>
          <w:color w:val="000000" w:themeColor="text1"/>
          <w:sz w:val="28"/>
          <w:szCs w:val="28"/>
          <w:highlight w:val="none"/>
          <w14:textFill>
            <w14:solidFill>
              <w14:schemeClr w14:val="tx1"/>
            </w14:solidFill>
          </w14:textFill>
        </w:rPr>
        <w:t>一、项目基本情况</w:t>
      </w:r>
      <w:bookmarkEnd w:id="2"/>
      <w:bookmarkEnd w:id="3"/>
      <w:bookmarkEnd w:id="4"/>
      <w:bookmarkEnd w:id="5"/>
      <w:bookmarkEnd w:id="6"/>
    </w:p>
    <w:p w14:paraId="71C9E5DB">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项目编号：</w:t>
      </w:r>
      <w:r>
        <w:rPr>
          <w:rFonts w:hint="eastAsia" w:ascii="宋体" w:hAnsi="宋体" w:cs="宋体"/>
          <w:color w:val="000000" w:themeColor="text1"/>
          <w:sz w:val="28"/>
          <w:szCs w:val="28"/>
          <w:highlight w:val="none"/>
          <w:lang w:eastAsia="zh-CN"/>
          <w14:textFill>
            <w14:solidFill>
              <w14:schemeClr w14:val="tx1"/>
            </w14:solidFill>
          </w14:textFill>
        </w:rPr>
        <w:t>XJCY(HM)-2025019</w:t>
      </w:r>
      <w:r>
        <w:rPr>
          <w:rFonts w:hint="eastAsia" w:ascii="宋体" w:hAnsi="宋体" w:cs="宋体"/>
          <w:color w:val="000000" w:themeColor="text1"/>
          <w:sz w:val="28"/>
          <w:szCs w:val="28"/>
          <w:highlight w:val="none"/>
          <w:lang w:val="en-US" w:eastAsia="zh-CN"/>
          <w14:textFill>
            <w14:solidFill>
              <w14:schemeClr w14:val="tx1"/>
            </w14:solidFill>
          </w14:textFill>
        </w:rPr>
        <w:t>-01</w:t>
      </w:r>
    </w:p>
    <w:p w14:paraId="7DCB8B05">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cs="宋体"/>
          <w:color w:val="000000" w:themeColor="text1"/>
          <w:sz w:val="28"/>
          <w:szCs w:val="28"/>
          <w:highlight w:val="none"/>
          <w:lang w:eastAsia="zh-CN"/>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项目名称：</w:t>
      </w:r>
      <w:bookmarkEnd w:id="7"/>
      <w:r>
        <w:rPr>
          <w:rFonts w:hint="eastAsia" w:ascii="宋体" w:hAnsi="宋体" w:cs="宋体"/>
          <w:color w:val="000000" w:themeColor="text1"/>
          <w:sz w:val="28"/>
          <w:szCs w:val="28"/>
          <w:highlight w:val="none"/>
          <w:lang w:eastAsia="zh-CN"/>
          <w14:textFill>
            <w14:solidFill>
              <w14:schemeClr w14:val="tx1"/>
            </w14:solidFill>
          </w14:textFill>
        </w:rPr>
        <w:t>哈密市中心医院2025年医疗设备购置项目（第一批）（二次）</w:t>
      </w:r>
    </w:p>
    <w:p w14:paraId="0D7363F6">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预算金额：</w:t>
      </w:r>
      <w:r>
        <w:rPr>
          <w:rFonts w:hint="eastAsia" w:ascii="宋体" w:hAnsi="宋体" w:cs="宋体"/>
          <w:color w:val="000000" w:themeColor="text1"/>
          <w:sz w:val="28"/>
          <w:szCs w:val="28"/>
          <w:highlight w:val="none"/>
          <w:lang w:val="en-US" w:eastAsia="zh-CN"/>
          <w14:textFill>
            <w14:solidFill>
              <w14:schemeClr w14:val="tx1"/>
            </w14:solidFill>
          </w14:textFill>
        </w:rPr>
        <w:t>42.8万</w:t>
      </w:r>
      <w:r>
        <w:rPr>
          <w:rFonts w:hint="eastAsia" w:ascii="宋体" w:hAnsi="宋体" w:eastAsia="宋体" w:cs="宋体"/>
          <w:color w:val="000000" w:themeColor="text1"/>
          <w:sz w:val="28"/>
          <w:szCs w:val="28"/>
          <w:highlight w:val="none"/>
          <w14:textFill>
            <w14:solidFill>
              <w14:schemeClr w14:val="tx1"/>
            </w14:solidFill>
          </w14:textFill>
        </w:rPr>
        <w:t>元</w:t>
      </w:r>
    </w:p>
    <w:p w14:paraId="06C4E016">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lang w:eastAsia="zh-CN"/>
          <w14:textFill>
            <w14:solidFill>
              <w14:schemeClr w14:val="tx1"/>
            </w14:solidFill>
          </w14:textFill>
        </w:rPr>
        <w:t>最高限价：</w:t>
      </w:r>
      <w:r>
        <w:rPr>
          <w:rFonts w:hint="eastAsia" w:ascii="宋体" w:hAnsi="宋体" w:cs="宋体"/>
          <w:color w:val="000000" w:themeColor="text1"/>
          <w:sz w:val="28"/>
          <w:szCs w:val="28"/>
          <w:highlight w:val="none"/>
          <w:lang w:val="en-US" w:eastAsia="zh-CN"/>
          <w14:textFill>
            <w14:solidFill>
              <w14:schemeClr w14:val="tx1"/>
            </w14:solidFill>
          </w14:textFill>
        </w:rPr>
        <w:t>180000元、200000元、20000元、28000元；</w:t>
      </w:r>
    </w:p>
    <w:p w14:paraId="513DEE71">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采购需求：</w:t>
      </w:r>
      <w:bookmarkStart w:id="8" w:name="PO_3000001867_PM004"/>
    </w:p>
    <w:p w14:paraId="332EB0FF">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cs="宋体"/>
          <w:color w:val="000000" w:themeColor="text1"/>
          <w:sz w:val="28"/>
          <w:szCs w:val="28"/>
          <w:highlight w:val="none"/>
          <w:lang w:eastAsia="zh-CN"/>
          <w14:textFill>
            <w14:solidFill>
              <w14:schemeClr w14:val="tx1"/>
            </w14:solidFill>
          </w14:textFill>
        </w:rPr>
      </w:pPr>
      <w:r>
        <w:rPr>
          <w:rFonts w:hint="eastAsia" w:ascii="宋体" w:hAnsi="宋体" w:cs="宋体"/>
          <w:color w:val="000000" w:themeColor="text1"/>
          <w:sz w:val="28"/>
          <w:szCs w:val="28"/>
          <w:highlight w:val="none"/>
          <w:lang w:eastAsia="zh-CN"/>
          <w14:textFill>
            <w14:solidFill>
              <w14:schemeClr w14:val="tx1"/>
            </w14:solidFill>
          </w14:textFill>
        </w:rPr>
        <w:t>标项一</w:t>
      </w:r>
    </w:p>
    <w:p w14:paraId="139893CF">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cs="宋体"/>
          <w:color w:val="000000" w:themeColor="text1"/>
          <w:sz w:val="28"/>
          <w:szCs w:val="28"/>
          <w:highlight w:val="none"/>
          <w:lang w:eastAsia="zh-CN"/>
          <w14:textFill>
            <w14:solidFill>
              <w14:schemeClr w14:val="tx1"/>
            </w14:solidFill>
          </w14:textFill>
        </w:rPr>
      </w:pPr>
      <w:r>
        <w:rPr>
          <w:rFonts w:hint="eastAsia" w:ascii="宋体" w:hAnsi="宋体" w:cs="宋体"/>
          <w:color w:val="000000" w:themeColor="text1"/>
          <w:sz w:val="28"/>
          <w:szCs w:val="28"/>
          <w:highlight w:val="none"/>
          <w:lang w:eastAsia="zh-CN"/>
          <w14:textFill>
            <w14:solidFill>
              <w14:schemeClr w14:val="tx1"/>
            </w14:solidFill>
          </w14:textFill>
        </w:rPr>
        <w:t>标项名称:十功能自动煎药机</w:t>
      </w:r>
      <w:r>
        <w:rPr>
          <w:rFonts w:hint="eastAsia" w:ascii="宋体" w:hAnsi="宋体" w:cs="宋体"/>
          <w:color w:val="000000" w:themeColor="text1"/>
          <w:sz w:val="28"/>
          <w:szCs w:val="28"/>
          <w:highlight w:val="none"/>
          <w:lang w:eastAsia="zh-CN"/>
          <w14:textFill>
            <w14:solidFill>
              <w14:schemeClr w14:val="tx1"/>
            </w14:solidFill>
          </w14:textFill>
        </w:rPr>
        <w:br w:type="textWrapping"/>
      </w:r>
      <w:r>
        <w:rPr>
          <w:rFonts w:hint="eastAsia" w:ascii="宋体" w:hAnsi="宋体" w:cs="宋体"/>
          <w:color w:val="000000" w:themeColor="text1"/>
          <w:sz w:val="28"/>
          <w:szCs w:val="28"/>
          <w:highlight w:val="none"/>
          <w:lang w:eastAsia="zh-CN"/>
          <w14:textFill>
            <w14:solidFill>
              <w14:schemeClr w14:val="tx1"/>
            </w14:solidFill>
          </w14:textFill>
        </w:rPr>
        <w:t>数量:</w:t>
      </w:r>
      <w:r>
        <w:rPr>
          <w:rFonts w:hint="eastAsia" w:ascii="宋体" w:hAnsi="宋体" w:cs="宋体"/>
          <w:color w:val="000000" w:themeColor="text1"/>
          <w:sz w:val="28"/>
          <w:szCs w:val="28"/>
          <w:highlight w:val="none"/>
          <w:lang w:val="en-US" w:eastAsia="zh-CN"/>
          <w14:textFill>
            <w14:solidFill>
              <w14:schemeClr w14:val="tx1"/>
            </w14:solidFill>
          </w14:textFill>
        </w:rPr>
        <w:t>3</w:t>
      </w:r>
      <w:r>
        <w:rPr>
          <w:rFonts w:hint="eastAsia" w:ascii="宋体" w:hAnsi="宋体" w:cs="宋体"/>
          <w:color w:val="000000" w:themeColor="text1"/>
          <w:sz w:val="28"/>
          <w:szCs w:val="28"/>
          <w:highlight w:val="none"/>
          <w:lang w:eastAsia="zh-CN"/>
          <w14:textFill>
            <w14:solidFill>
              <w14:schemeClr w14:val="tx1"/>
            </w14:solidFill>
          </w14:textFill>
        </w:rPr>
        <w:br w:type="textWrapping"/>
      </w:r>
      <w:r>
        <w:rPr>
          <w:rFonts w:hint="eastAsia" w:ascii="宋体" w:hAnsi="宋体" w:cs="宋体"/>
          <w:color w:val="000000" w:themeColor="text1"/>
          <w:sz w:val="28"/>
          <w:szCs w:val="28"/>
          <w:highlight w:val="none"/>
          <w:lang w:eastAsia="zh-CN"/>
          <w14:textFill>
            <w14:solidFill>
              <w14:schemeClr w14:val="tx1"/>
            </w14:solidFill>
          </w14:textFill>
        </w:rPr>
        <w:t>预算金额（元）:</w:t>
      </w:r>
      <w:r>
        <w:rPr>
          <w:rFonts w:hint="eastAsia" w:ascii="宋体" w:hAnsi="宋体" w:cs="宋体"/>
          <w:color w:val="000000" w:themeColor="text1"/>
          <w:sz w:val="28"/>
          <w:szCs w:val="28"/>
          <w:highlight w:val="none"/>
          <w:lang w:val="en-US" w:eastAsia="zh-CN"/>
          <w14:textFill>
            <w14:solidFill>
              <w14:schemeClr w14:val="tx1"/>
            </w14:solidFill>
          </w14:textFill>
        </w:rPr>
        <w:t>180000</w:t>
      </w:r>
      <w:r>
        <w:rPr>
          <w:rFonts w:hint="eastAsia" w:ascii="宋体" w:hAnsi="宋体" w:cs="宋体"/>
          <w:color w:val="000000" w:themeColor="text1"/>
          <w:sz w:val="28"/>
          <w:szCs w:val="28"/>
          <w:highlight w:val="none"/>
          <w:lang w:eastAsia="zh-CN"/>
          <w14:textFill>
            <w14:solidFill>
              <w14:schemeClr w14:val="tx1"/>
            </w14:solidFill>
          </w14:textFill>
        </w:rPr>
        <w:br w:type="textWrapping"/>
      </w:r>
      <w:r>
        <w:rPr>
          <w:rFonts w:hint="eastAsia" w:ascii="宋体" w:hAnsi="宋体" w:cs="宋体"/>
          <w:color w:val="000000" w:themeColor="text1"/>
          <w:sz w:val="28"/>
          <w:szCs w:val="28"/>
          <w:highlight w:val="none"/>
          <w:lang w:eastAsia="zh-CN"/>
          <w14:textFill>
            <w14:solidFill>
              <w14:schemeClr w14:val="tx1"/>
            </w14:solidFill>
          </w14:textFill>
        </w:rPr>
        <w:t>单位：台 </w:t>
      </w:r>
      <w:r>
        <w:rPr>
          <w:rFonts w:hint="eastAsia" w:ascii="宋体" w:hAnsi="宋体" w:cs="宋体"/>
          <w:color w:val="000000" w:themeColor="text1"/>
          <w:sz w:val="28"/>
          <w:szCs w:val="28"/>
          <w:highlight w:val="none"/>
          <w:lang w:eastAsia="zh-CN"/>
          <w14:textFill>
            <w14:solidFill>
              <w14:schemeClr w14:val="tx1"/>
            </w14:solidFill>
          </w14:textFill>
        </w:rPr>
        <w:br w:type="textWrapping"/>
      </w:r>
      <w:r>
        <w:rPr>
          <w:rFonts w:hint="eastAsia" w:ascii="宋体" w:hAnsi="宋体" w:cs="宋体"/>
          <w:color w:val="000000" w:themeColor="text1"/>
          <w:sz w:val="28"/>
          <w:szCs w:val="28"/>
          <w:highlight w:val="none"/>
          <w:lang w:eastAsia="zh-CN"/>
          <w14:textFill>
            <w14:solidFill>
              <w14:schemeClr w14:val="tx1"/>
            </w14:solidFill>
          </w14:textFill>
        </w:rPr>
        <w:t>简要规格描述或项目基本概况介绍、用途：采购十功能自动煎药机（具体参数要求详见招标文件）</w:t>
      </w:r>
      <w:r>
        <w:rPr>
          <w:rFonts w:hint="eastAsia" w:ascii="宋体" w:hAnsi="宋体" w:cs="宋体"/>
          <w:color w:val="000000" w:themeColor="text1"/>
          <w:sz w:val="28"/>
          <w:szCs w:val="28"/>
          <w:highlight w:val="none"/>
          <w:lang w:eastAsia="zh-CN"/>
          <w14:textFill>
            <w14:solidFill>
              <w14:schemeClr w14:val="tx1"/>
            </w14:solidFill>
          </w14:textFill>
        </w:rPr>
        <w:br w:type="textWrapping"/>
      </w:r>
      <w:r>
        <w:rPr>
          <w:rFonts w:hint="eastAsia" w:ascii="宋体" w:hAnsi="宋体" w:cs="宋体"/>
          <w:color w:val="000000" w:themeColor="text1"/>
          <w:sz w:val="28"/>
          <w:szCs w:val="28"/>
          <w:highlight w:val="none"/>
          <w:lang w:eastAsia="zh-CN"/>
          <w14:textFill>
            <w14:solidFill>
              <w14:schemeClr w14:val="tx1"/>
            </w14:solidFill>
          </w14:textFill>
        </w:rPr>
        <w:t>备注：</w:t>
      </w:r>
    </w:p>
    <w:p w14:paraId="7D4ABB1B">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cs="宋体"/>
          <w:color w:val="000000" w:themeColor="text1"/>
          <w:sz w:val="28"/>
          <w:szCs w:val="28"/>
          <w:highlight w:val="none"/>
          <w:lang w:eastAsia="zh-CN"/>
          <w14:textFill>
            <w14:solidFill>
              <w14:schemeClr w14:val="tx1"/>
            </w14:solidFill>
          </w14:textFill>
        </w:rPr>
      </w:pPr>
      <w:r>
        <w:rPr>
          <w:rFonts w:hint="eastAsia" w:ascii="宋体" w:hAnsi="宋体" w:cs="宋体"/>
          <w:color w:val="000000" w:themeColor="text1"/>
          <w:sz w:val="28"/>
          <w:szCs w:val="28"/>
          <w:highlight w:val="none"/>
          <w:lang w:eastAsia="zh-CN"/>
          <w14:textFill>
            <w14:solidFill>
              <w14:schemeClr w14:val="tx1"/>
            </w14:solidFill>
          </w14:textFill>
        </w:rPr>
        <w:t>标项二</w:t>
      </w:r>
    </w:p>
    <w:p w14:paraId="3031422C">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lang w:eastAsia="zh-CN"/>
          <w14:textFill>
            <w14:solidFill>
              <w14:schemeClr w14:val="tx1"/>
            </w14:solidFill>
          </w14:textFill>
        </w:rPr>
        <w:t>标项名称:健康体检一体机</w:t>
      </w:r>
      <w:r>
        <w:rPr>
          <w:rFonts w:hint="eastAsia" w:ascii="宋体" w:hAnsi="宋体" w:cs="宋体"/>
          <w:color w:val="000000" w:themeColor="text1"/>
          <w:sz w:val="28"/>
          <w:szCs w:val="28"/>
          <w:highlight w:val="none"/>
          <w:lang w:eastAsia="zh-CN"/>
          <w14:textFill>
            <w14:solidFill>
              <w14:schemeClr w14:val="tx1"/>
            </w14:solidFill>
          </w14:textFill>
        </w:rPr>
        <w:br w:type="textWrapping"/>
      </w:r>
      <w:r>
        <w:rPr>
          <w:rFonts w:hint="eastAsia" w:ascii="宋体" w:hAnsi="宋体" w:cs="宋体"/>
          <w:color w:val="000000" w:themeColor="text1"/>
          <w:sz w:val="28"/>
          <w:szCs w:val="28"/>
          <w:highlight w:val="none"/>
          <w:lang w:eastAsia="zh-CN"/>
          <w14:textFill>
            <w14:solidFill>
              <w14:schemeClr w14:val="tx1"/>
            </w14:solidFill>
          </w14:textFill>
        </w:rPr>
        <w:t>数量:1</w:t>
      </w:r>
      <w:r>
        <w:rPr>
          <w:rFonts w:hint="eastAsia" w:ascii="宋体" w:hAnsi="宋体" w:cs="宋体"/>
          <w:color w:val="000000" w:themeColor="text1"/>
          <w:sz w:val="28"/>
          <w:szCs w:val="28"/>
          <w:highlight w:val="none"/>
          <w:lang w:eastAsia="zh-CN"/>
          <w14:textFill>
            <w14:solidFill>
              <w14:schemeClr w14:val="tx1"/>
            </w14:solidFill>
          </w14:textFill>
        </w:rPr>
        <w:br w:type="textWrapping"/>
      </w:r>
      <w:r>
        <w:rPr>
          <w:rFonts w:hint="eastAsia" w:ascii="宋体" w:hAnsi="宋体" w:cs="宋体"/>
          <w:color w:val="000000" w:themeColor="text1"/>
          <w:sz w:val="28"/>
          <w:szCs w:val="28"/>
          <w:highlight w:val="none"/>
          <w:lang w:eastAsia="zh-CN"/>
          <w14:textFill>
            <w14:solidFill>
              <w14:schemeClr w14:val="tx1"/>
            </w14:solidFill>
          </w14:textFill>
        </w:rPr>
        <w:t>预算金额（元）:</w:t>
      </w:r>
      <w:r>
        <w:rPr>
          <w:rFonts w:hint="eastAsia" w:ascii="宋体" w:hAnsi="宋体" w:cs="宋体"/>
          <w:color w:val="000000" w:themeColor="text1"/>
          <w:sz w:val="28"/>
          <w:szCs w:val="28"/>
          <w:highlight w:val="none"/>
          <w:lang w:val="en-US" w:eastAsia="zh-CN"/>
          <w14:textFill>
            <w14:solidFill>
              <w14:schemeClr w14:val="tx1"/>
            </w14:solidFill>
          </w14:textFill>
        </w:rPr>
        <w:t>200000</w:t>
      </w:r>
      <w:r>
        <w:rPr>
          <w:rFonts w:hint="eastAsia" w:ascii="宋体" w:hAnsi="宋体" w:cs="宋体"/>
          <w:color w:val="000000" w:themeColor="text1"/>
          <w:sz w:val="28"/>
          <w:szCs w:val="28"/>
          <w:highlight w:val="none"/>
          <w:lang w:eastAsia="zh-CN"/>
          <w14:textFill>
            <w14:solidFill>
              <w14:schemeClr w14:val="tx1"/>
            </w14:solidFill>
          </w14:textFill>
        </w:rPr>
        <w:br w:type="textWrapping"/>
      </w:r>
      <w:r>
        <w:rPr>
          <w:rFonts w:hint="eastAsia" w:ascii="宋体" w:hAnsi="宋体" w:cs="宋体"/>
          <w:color w:val="000000" w:themeColor="text1"/>
          <w:sz w:val="28"/>
          <w:szCs w:val="28"/>
          <w:highlight w:val="none"/>
          <w:lang w:eastAsia="zh-CN"/>
          <w14:textFill>
            <w14:solidFill>
              <w14:schemeClr w14:val="tx1"/>
            </w14:solidFill>
          </w14:textFill>
        </w:rPr>
        <w:t>单位：台 </w:t>
      </w:r>
      <w:r>
        <w:rPr>
          <w:rFonts w:hint="eastAsia" w:ascii="宋体" w:hAnsi="宋体" w:cs="宋体"/>
          <w:color w:val="000000" w:themeColor="text1"/>
          <w:sz w:val="28"/>
          <w:szCs w:val="28"/>
          <w:highlight w:val="none"/>
          <w:lang w:eastAsia="zh-CN"/>
          <w14:textFill>
            <w14:solidFill>
              <w14:schemeClr w14:val="tx1"/>
            </w14:solidFill>
          </w14:textFill>
        </w:rPr>
        <w:br w:type="textWrapping"/>
      </w:r>
      <w:r>
        <w:rPr>
          <w:rFonts w:hint="eastAsia" w:ascii="宋体" w:hAnsi="宋体" w:cs="宋体"/>
          <w:color w:val="000000" w:themeColor="text1"/>
          <w:sz w:val="28"/>
          <w:szCs w:val="28"/>
          <w:highlight w:val="none"/>
          <w:lang w:eastAsia="zh-CN"/>
          <w14:textFill>
            <w14:solidFill>
              <w14:schemeClr w14:val="tx1"/>
            </w14:solidFill>
          </w14:textFill>
        </w:rPr>
        <w:t>简要规格描述或项目基本概况介绍、用途：采购健康体检一体机（具体参数要求详见招标文件）</w:t>
      </w:r>
      <w:r>
        <w:rPr>
          <w:rFonts w:hint="eastAsia" w:ascii="宋体" w:hAnsi="宋体" w:cs="宋体"/>
          <w:color w:val="000000" w:themeColor="text1"/>
          <w:sz w:val="28"/>
          <w:szCs w:val="28"/>
          <w:highlight w:val="none"/>
          <w:lang w:eastAsia="zh-CN"/>
          <w14:textFill>
            <w14:solidFill>
              <w14:schemeClr w14:val="tx1"/>
            </w14:solidFill>
          </w14:textFill>
        </w:rPr>
        <w:br w:type="textWrapping"/>
      </w:r>
      <w:r>
        <w:rPr>
          <w:rFonts w:hint="eastAsia" w:ascii="宋体" w:hAnsi="宋体" w:cs="宋体"/>
          <w:color w:val="000000" w:themeColor="text1"/>
          <w:sz w:val="28"/>
          <w:szCs w:val="28"/>
          <w:highlight w:val="none"/>
          <w:lang w:eastAsia="zh-CN"/>
          <w14:textFill>
            <w14:solidFill>
              <w14:schemeClr w14:val="tx1"/>
            </w14:solidFill>
          </w14:textFill>
        </w:rPr>
        <w:t>备注：</w:t>
      </w:r>
    </w:p>
    <w:p w14:paraId="5A7BD6DD">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cs="宋体"/>
          <w:color w:val="000000" w:themeColor="text1"/>
          <w:sz w:val="28"/>
          <w:szCs w:val="28"/>
          <w:highlight w:val="none"/>
          <w:lang w:eastAsia="zh-CN"/>
          <w14:textFill>
            <w14:solidFill>
              <w14:schemeClr w14:val="tx1"/>
            </w14:solidFill>
          </w14:textFill>
        </w:rPr>
      </w:pPr>
      <w:r>
        <w:rPr>
          <w:rFonts w:hint="eastAsia" w:ascii="宋体" w:hAnsi="宋体" w:cs="宋体"/>
          <w:color w:val="000000" w:themeColor="text1"/>
          <w:sz w:val="28"/>
          <w:szCs w:val="28"/>
          <w:highlight w:val="none"/>
          <w:lang w:eastAsia="zh-CN"/>
          <w14:textFill>
            <w14:solidFill>
              <w14:schemeClr w14:val="tx1"/>
            </w14:solidFill>
          </w14:textFill>
        </w:rPr>
        <w:t>标项三</w:t>
      </w:r>
    </w:p>
    <w:p w14:paraId="4540721B">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lang w:eastAsia="zh-CN"/>
          <w14:textFill>
            <w14:solidFill>
              <w14:schemeClr w14:val="tx1"/>
            </w14:solidFill>
          </w14:textFill>
        </w:rPr>
        <w:t>标项名称:</w:t>
      </w:r>
      <w:r>
        <w:rPr>
          <w:rFonts w:hint="eastAsia" w:ascii="宋体" w:hAnsi="宋体" w:cs="宋体"/>
          <w:color w:val="000000" w:themeColor="text1"/>
          <w:sz w:val="28"/>
          <w:szCs w:val="28"/>
          <w:highlight w:val="none"/>
          <w:lang w:val="en-US" w:eastAsia="zh-CN"/>
          <w14:textFill>
            <w14:solidFill>
              <w14:schemeClr w14:val="tx1"/>
            </w14:solidFill>
          </w14:textFill>
        </w:rPr>
        <w:t>汤剂包装机</w:t>
      </w:r>
      <w:r>
        <w:rPr>
          <w:rFonts w:hint="eastAsia" w:ascii="宋体" w:hAnsi="宋体" w:cs="宋体"/>
          <w:color w:val="000000" w:themeColor="text1"/>
          <w:sz w:val="28"/>
          <w:szCs w:val="28"/>
          <w:highlight w:val="none"/>
          <w:lang w:eastAsia="zh-CN"/>
          <w14:textFill>
            <w14:solidFill>
              <w14:schemeClr w14:val="tx1"/>
            </w14:solidFill>
          </w14:textFill>
        </w:rPr>
        <w:br w:type="textWrapping"/>
      </w:r>
      <w:r>
        <w:rPr>
          <w:rFonts w:hint="eastAsia" w:ascii="宋体" w:hAnsi="宋体" w:cs="宋体"/>
          <w:color w:val="000000" w:themeColor="text1"/>
          <w:sz w:val="28"/>
          <w:szCs w:val="28"/>
          <w:highlight w:val="none"/>
          <w:lang w:eastAsia="zh-CN"/>
          <w14:textFill>
            <w14:solidFill>
              <w14:schemeClr w14:val="tx1"/>
            </w14:solidFill>
          </w14:textFill>
        </w:rPr>
        <w:t>数量:1</w:t>
      </w:r>
      <w:r>
        <w:rPr>
          <w:rFonts w:hint="eastAsia" w:ascii="宋体" w:hAnsi="宋体" w:cs="宋体"/>
          <w:color w:val="000000" w:themeColor="text1"/>
          <w:sz w:val="28"/>
          <w:szCs w:val="28"/>
          <w:highlight w:val="none"/>
          <w:lang w:eastAsia="zh-CN"/>
          <w14:textFill>
            <w14:solidFill>
              <w14:schemeClr w14:val="tx1"/>
            </w14:solidFill>
          </w14:textFill>
        </w:rPr>
        <w:br w:type="textWrapping"/>
      </w:r>
      <w:r>
        <w:rPr>
          <w:rFonts w:hint="eastAsia" w:ascii="宋体" w:hAnsi="宋体" w:cs="宋体"/>
          <w:color w:val="000000" w:themeColor="text1"/>
          <w:sz w:val="28"/>
          <w:szCs w:val="28"/>
          <w:highlight w:val="none"/>
          <w:lang w:eastAsia="zh-CN"/>
          <w14:textFill>
            <w14:solidFill>
              <w14:schemeClr w14:val="tx1"/>
            </w14:solidFill>
          </w14:textFill>
        </w:rPr>
        <w:t>预算金额（元）:</w:t>
      </w:r>
      <w:r>
        <w:rPr>
          <w:rFonts w:hint="eastAsia" w:ascii="宋体" w:hAnsi="宋体" w:cs="宋体"/>
          <w:color w:val="000000" w:themeColor="text1"/>
          <w:sz w:val="28"/>
          <w:szCs w:val="28"/>
          <w:highlight w:val="none"/>
          <w:lang w:val="en-US" w:eastAsia="zh-CN"/>
          <w14:textFill>
            <w14:solidFill>
              <w14:schemeClr w14:val="tx1"/>
            </w14:solidFill>
          </w14:textFill>
        </w:rPr>
        <w:t>20000</w:t>
      </w:r>
      <w:r>
        <w:rPr>
          <w:rFonts w:hint="eastAsia" w:ascii="宋体" w:hAnsi="宋体" w:cs="宋体"/>
          <w:color w:val="000000" w:themeColor="text1"/>
          <w:sz w:val="28"/>
          <w:szCs w:val="28"/>
          <w:highlight w:val="none"/>
          <w:lang w:eastAsia="zh-CN"/>
          <w14:textFill>
            <w14:solidFill>
              <w14:schemeClr w14:val="tx1"/>
            </w14:solidFill>
          </w14:textFill>
        </w:rPr>
        <w:br w:type="textWrapping"/>
      </w:r>
      <w:r>
        <w:rPr>
          <w:rFonts w:hint="eastAsia" w:ascii="宋体" w:hAnsi="宋体" w:cs="宋体"/>
          <w:color w:val="000000" w:themeColor="text1"/>
          <w:sz w:val="28"/>
          <w:szCs w:val="28"/>
          <w:highlight w:val="none"/>
          <w:lang w:eastAsia="zh-CN"/>
          <w14:textFill>
            <w14:solidFill>
              <w14:schemeClr w14:val="tx1"/>
            </w14:solidFill>
          </w14:textFill>
        </w:rPr>
        <w:t>单位：台 </w:t>
      </w:r>
      <w:r>
        <w:rPr>
          <w:rFonts w:hint="eastAsia" w:ascii="宋体" w:hAnsi="宋体" w:cs="宋体"/>
          <w:color w:val="000000" w:themeColor="text1"/>
          <w:sz w:val="28"/>
          <w:szCs w:val="28"/>
          <w:highlight w:val="none"/>
          <w:lang w:eastAsia="zh-CN"/>
          <w14:textFill>
            <w14:solidFill>
              <w14:schemeClr w14:val="tx1"/>
            </w14:solidFill>
          </w14:textFill>
        </w:rPr>
        <w:br w:type="textWrapping"/>
      </w:r>
      <w:r>
        <w:rPr>
          <w:rFonts w:hint="eastAsia" w:ascii="宋体" w:hAnsi="宋体" w:cs="宋体"/>
          <w:color w:val="000000" w:themeColor="text1"/>
          <w:sz w:val="28"/>
          <w:szCs w:val="28"/>
          <w:highlight w:val="none"/>
          <w:lang w:eastAsia="zh-CN"/>
          <w14:textFill>
            <w14:solidFill>
              <w14:schemeClr w14:val="tx1"/>
            </w14:solidFill>
          </w14:textFill>
        </w:rPr>
        <w:t>简要规格描述或项目基本概况介绍、用途：采购</w:t>
      </w:r>
      <w:r>
        <w:rPr>
          <w:rFonts w:hint="eastAsia" w:ascii="宋体" w:hAnsi="宋体" w:cs="宋体"/>
          <w:color w:val="000000" w:themeColor="text1"/>
          <w:sz w:val="28"/>
          <w:szCs w:val="28"/>
          <w:highlight w:val="none"/>
          <w:lang w:val="en-US" w:eastAsia="zh-CN"/>
          <w14:textFill>
            <w14:solidFill>
              <w14:schemeClr w14:val="tx1"/>
            </w14:solidFill>
          </w14:textFill>
        </w:rPr>
        <w:t>汤剂包装机</w:t>
      </w:r>
      <w:r>
        <w:rPr>
          <w:rFonts w:hint="eastAsia" w:ascii="宋体" w:hAnsi="宋体" w:cs="宋体"/>
          <w:color w:val="000000" w:themeColor="text1"/>
          <w:sz w:val="28"/>
          <w:szCs w:val="28"/>
          <w:highlight w:val="none"/>
          <w:lang w:eastAsia="zh-CN"/>
          <w14:textFill>
            <w14:solidFill>
              <w14:schemeClr w14:val="tx1"/>
            </w14:solidFill>
          </w14:textFill>
        </w:rPr>
        <w:t>（具体参数要求详见招标文件）</w:t>
      </w:r>
      <w:r>
        <w:rPr>
          <w:rFonts w:hint="eastAsia" w:ascii="宋体" w:hAnsi="宋体" w:cs="宋体"/>
          <w:color w:val="000000" w:themeColor="text1"/>
          <w:sz w:val="28"/>
          <w:szCs w:val="28"/>
          <w:highlight w:val="none"/>
          <w:lang w:eastAsia="zh-CN"/>
          <w14:textFill>
            <w14:solidFill>
              <w14:schemeClr w14:val="tx1"/>
            </w14:solidFill>
          </w14:textFill>
        </w:rPr>
        <w:br w:type="textWrapping"/>
      </w:r>
      <w:r>
        <w:rPr>
          <w:rFonts w:hint="eastAsia" w:ascii="宋体" w:hAnsi="宋体" w:cs="宋体"/>
          <w:color w:val="000000" w:themeColor="text1"/>
          <w:sz w:val="28"/>
          <w:szCs w:val="28"/>
          <w:highlight w:val="none"/>
          <w:lang w:eastAsia="zh-CN"/>
          <w14:textFill>
            <w14:solidFill>
              <w14:schemeClr w14:val="tx1"/>
            </w14:solidFill>
          </w14:textFill>
        </w:rPr>
        <w:t>备注：</w:t>
      </w:r>
    </w:p>
    <w:p w14:paraId="02821629">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cs="宋体"/>
          <w:color w:val="000000" w:themeColor="text1"/>
          <w:sz w:val="28"/>
          <w:szCs w:val="28"/>
          <w:highlight w:val="none"/>
          <w:lang w:eastAsia="zh-CN"/>
          <w14:textFill>
            <w14:solidFill>
              <w14:schemeClr w14:val="tx1"/>
            </w14:solidFill>
          </w14:textFill>
        </w:rPr>
      </w:pPr>
      <w:r>
        <w:rPr>
          <w:rFonts w:hint="eastAsia" w:ascii="宋体" w:hAnsi="宋体" w:cs="宋体"/>
          <w:color w:val="000000" w:themeColor="text1"/>
          <w:sz w:val="28"/>
          <w:szCs w:val="28"/>
          <w:highlight w:val="none"/>
          <w:lang w:eastAsia="zh-CN"/>
          <w14:textFill>
            <w14:solidFill>
              <w14:schemeClr w14:val="tx1"/>
            </w14:solidFill>
          </w14:textFill>
        </w:rPr>
        <w:t>标项四</w:t>
      </w:r>
    </w:p>
    <w:p w14:paraId="4D765E94">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cs="宋体"/>
          <w:color w:val="000000" w:themeColor="text1"/>
          <w:sz w:val="28"/>
          <w:szCs w:val="28"/>
          <w:highlight w:val="none"/>
          <w:lang w:eastAsia="zh-CN"/>
          <w14:textFill>
            <w14:solidFill>
              <w14:schemeClr w14:val="tx1"/>
            </w14:solidFill>
          </w14:textFill>
        </w:rPr>
      </w:pPr>
      <w:r>
        <w:rPr>
          <w:rFonts w:hint="eastAsia" w:ascii="宋体" w:hAnsi="宋体" w:cs="宋体"/>
          <w:color w:val="000000" w:themeColor="text1"/>
          <w:sz w:val="28"/>
          <w:szCs w:val="28"/>
          <w:highlight w:val="none"/>
          <w:lang w:eastAsia="zh-CN"/>
          <w14:textFill>
            <w14:solidFill>
              <w14:schemeClr w14:val="tx1"/>
            </w14:solidFill>
          </w14:textFill>
        </w:rPr>
        <w:t>标项名称:智能头痛舒眠仪</w:t>
      </w:r>
      <w:r>
        <w:rPr>
          <w:rFonts w:hint="eastAsia" w:ascii="宋体" w:hAnsi="宋体" w:cs="宋体"/>
          <w:color w:val="000000" w:themeColor="text1"/>
          <w:sz w:val="28"/>
          <w:szCs w:val="28"/>
          <w:highlight w:val="none"/>
          <w:lang w:eastAsia="zh-CN"/>
          <w14:textFill>
            <w14:solidFill>
              <w14:schemeClr w14:val="tx1"/>
            </w14:solidFill>
          </w14:textFill>
        </w:rPr>
        <w:br w:type="textWrapping"/>
      </w:r>
      <w:r>
        <w:rPr>
          <w:rFonts w:hint="eastAsia" w:ascii="宋体" w:hAnsi="宋体" w:cs="宋体"/>
          <w:color w:val="000000" w:themeColor="text1"/>
          <w:sz w:val="28"/>
          <w:szCs w:val="28"/>
          <w:highlight w:val="none"/>
          <w:lang w:eastAsia="zh-CN"/>
          <w14:textFill>
            <w14:solidFill>
              <w14:schemeClr w14:val="tx1"/>
            </w14:solidFill>
          </w14:textFill>
        </w:rPr>
        <w:t>数量:</w:t>
      </w:r>
      <w:r>
        <w:rPr>
          <w:rFonts w:hint="eastAsia" w:ascii="宋体" w:hAnsi="宋体" w:cs="宋体"/>
          <w:color w:val="000000" w:themeColor="text1"/>
          <w:sz w:val="28"/>
          <w:szCs w:val="28"/>
          <w:highlight w:val="none"/>
          <w:lang w:val="en-US" w:eastAsia="zh-CN"/>
          <w14:textFill>
            <w14:solidFill>
              <w14:schemeClr w14:val="tx1"/>
            </w14:solidFill>
          </w14:textFill>
        </w:rPr>
        <w:t>10</w:t>
      </w:r>
      <w:r>
        <w:rPr>
          <w:rFonts w:hint="eastAsia" w:ascii="宋体" w:hAnsi="宋体" w:cs="宋体"/>
          <w:color w:val="000000" w:themeColor="text1"/>
          <w:sz w:val="28"/>
          <w:szCs w:val="28"/>
          <w:highlight w:val="none"/>
          <w:lang w:eastAsia="zh-CN"/>
          <w14:textFill>
            <w14:solidFill>
              <w14:schemeClr w14:val="tx1"/>
            </w14:solidFill>
          </w14:textFill>
        </w:rPr>
        <w:br w:type="textWrapping"/>
      </w:r>
      <w:r>
        <w:rPr>
          <w:rFonts w:hint="eastAsia" w:ascii="宋体" w:hAnsi="宋体" w:cs="宋体"/>
          <w:color w:val="000000" w:themeColor="text1"/>
          <w:sz w:val="28"/>
          <w:szCs w:val="28"/>
          <w:highlight w:val="none"/>
          <w:lang w:eastAsia="zh-CN"/>
          <w14:textFill>
            <w14:solidFill>
              <w14:schemeClr w14:val="tx1"/>
            </w14:solidFill>
          </w14:textFill>
        </w:rPr>
        <w:t>预算金额（元）:</w:t>
      </w:r>
      <w:r>
        <w:rPr>
          <w:rFonts w:hint="eastAsia" w:ascii="宋体" w:hAnsi="宋体" w:cs="宋体"/>
          <w:color w:val="000000" w:themeColor="text1"/>
          <w:sz w:val="28"/>
          <w:szCs w:val="28"/>
          <w:highlight w:val="none"/>
          <w:lang w:val="en-US" w:eastAsia="zh-CN"/>
          <w14:textFill>
            <w14:solidFill>
              <w14:schemeClr w14:val="tx1"/>
            </w14:solidFill>
          </w14:textFill>
        </w:rPr>
        <w:t>28000</w:t>
      </w:r>
      <w:r>
        <w:rPr>
          <w:rFonts w:hint="eastAsia" w:ascii="宋体" w:hAnsi="宋体" w:cs="宋体"/>
          <w:color w:val="000000" w:themeColor="text1"/>
          <w:sz w:val="28"/>
          <w:szCs w:val="28"/>
          <w:highlight w:val="none"/>
          <w:lang w:eastAsia="zh-CN"/>
          <w14:textFill>
            <w14:solidFill>
              <w14:schemeClr w14:val="tx1"/>
            </w14:solidFill>
          </w14:textFill>
        </w:rPr>
        <w:br w:type="textWrapping"/>
      </w:r>
      <w:r>
        <w:rPr>
          <w:rFonts w:hint="eastAsia" w:ascii="宋体" w:hAnsi="宋体" w:cs="宋体"/>
          <w:color w:val="000000" w:themeColor="text1"/>
          <w:sz w:val="28"/>
          <w:szCs w:val="28"/>
          <w:highlight w:val="none"/>
          <w:lang w:eastAsia="zh-CN"/>
          <w14:textFill>
            <w14:solidFill>
              <w14:schemeClr w14:val="tx1"/>
            </w14:solidFill>
          </w14:textFill>
        </w:rPr>
        <w:t>单位：台 </w:t>
      </w:r>
      <w:r>
        <w:rPr>
          <w:rFonts w:hint="eastAsia" w:ascii="宋体" w:hAnsi="宋体" w:cs="宋体"/>
          <w:color w:val="000000" w:themeColor="text1"/>
          <w:sz w:val="28"/>
          <w:szCs w:val="28"/>
          <w:highlight w:val="none"/>
          <w:lang w:eastAsia="zh-CN"/>
          <w14:textFill>
            <w14:solidFill>
              <w14:schemeClr w14:val="tx1"/>
            </w14:solidFill>
          </w14:textFill>
        </w:rPr>
        <w:br w:type="textWrapping"/>
      </w:r>
      <w:r>
        <w:rPr>
          <w:rFonts w:hint="eastAsia" w:ascii="宋体" w:hAnsi="宋体" w:cs="宋体"/>
          <w:color w:val="000000" w:themeColor="text1"/>
          <w:sz w:val="28"/>
          <w:szCs w:val="28"/>
          <w:highlight w:val="none"/>
          <w:lang w:eastAsia="zh-CN"/>
          <w14:textFill>
            <w14:solidFill>
              <w14:schemeClr w14:val="tx1"/>
            </w14:solidFill>
          </w14:textFill>
        </w:rPr>
        <w:t>简要规格描述或项目基本概况介绍、用途：采购智能头痛舒眠仪（具体参数要求详见招标文件）</w:t>
      </w:r>
      <w:r>
        <w:rPr>
          <w:rFonts w:hint="eastAsia" w:ascii="宋体" w:hAnsi="宋体" w:cs="宋体"/>
          <w:color w:val="000000" w:themeColor="text1"/>
          <w:sz w:val="28"/>
          <w:szCs w:val="28"/>
          <w:highlight w:val="none"/>
          <w:lang w:eastAsia="zh-CN"/>
          <w14:textFill>
            <w14:solidFill>
              <w14:schemeClr w14:val="tx1"/>
            </w14:solidFill>
          </w14:textFill>
        </w:rPr>
        <w:br w:type="textWrapping"/>
      </w:r>
      <w:r>
        <w:rPr>
          <w:rFonts w:hint="eastAsia" w:ascii="宋体" w:hAnsi="宋体" w:cs="宋体"/>
          <w:color w:val="000000" w:themeColor="text1"/>
          <w:sz w:val="28"/>
          <w:szCs w:val="28"/>
          <w:highlight w:val="none"/>
          <w:lang w:eastAsia="zh-CN"/>
          <w14:textFill>
            <w14:solidFill>
              <w14:schemeClr w14:val="tx1"/>
            </w14:solidFill>
          </w14:textFill>
        </w:rPr>
        <w:t>备注：</w:t>
      </w:r>
    </w:p>
    <w:bookmarkEnd w:id="8"/>
    <w:p w14:paraId="0F778687">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合同履</w:t>
      </w:r>
      <w:r>
        <w:rPr>
          <w:rFonts w:hint="eastAsia" w:ascii="宋体" w:hAnsi="宋体" w:eastAsia="宋体" w:cs="宋体"/>
          <w:color w:val="000000" w:themeColor="text1"/>
          <w:sz w:val="28"/>
          <w:szCs w:val="28"/>
          <w:highlight w:val="none"/>
          <w:lang w:eastAsia="zh-CN"/>
          <w14:textFill>
            <w14:solidFill>
              <w14:schemeClr w14:val="tx1"/>
            </w14:solidFill>
          </w14:textFill>
        </w:rPr>
        <w:t>约</w:t>
      </w:r>
      <w:r>
        <w:rPr>
          <w:rFonts w:hint="eastAsia" w:ascii="宋体" w:hAnsi="宋体" w:eastAsia="宋体" w:cs="宋体"/>
          <w:color w:val="000000" w:themeColor="text1"/>
          <w:sz w:val="28"/>
          <w:szCs w:val="28"/>
          <w:highlight w:val="none"/>
          <w14:textFill>
            <w14:solidFill>
              <w14:schemeClr w14:val="tx1"/>
            </w14:solidFill>
          </w14:textFill>
        </w:rPr>
        <w:t>期限：</w:t>
      </w:r>
      <w:r>
        <w:rPr>
          <w:rFonts w:hint="eastAsia" w:ascii="宋体" w:hAnsi="宋体" w:cs="宋体"/>
          <w:color w:val="000000" w:themeColor="text1"/>
          <w:sz w:val="28"/>
          <w:szCs w:val="28"/>
          <w:highlight w:val="none"/>
          <w:lang w:eastAsia="zh-CN"/>
          <w14:textFill>
            <w14:solidFill>
              <w14:schemeClr w14:val="tx1"/>
            </w14:solidFill>
          </w14:textFill>
        </w:rPr>
        <w:t>标项</w:t>
      </w:r>
      <w:r>
        <w:rPr>
          <w:rFonts w:hint="eastAsia" w:ascii="宋体" w:hAnsi="宋体" w:cs="宋体"/>
          <w:color w:val="000000" w:themeColor="text1"/>
          <w:sz w:val="28"/>
          <w:szCs w:val="28"/>
          <w:highlight w:val="none"/>
          <w:lang w:val="en-US" w:eastAsia="zh-CN"/>
          <w14:textFill>
            <w14:solidFill>
              <w14:schemeClr w14:val="tx1"/>
            </w14:solidFill>
          </w14:textFill>
        </w:rPr>
        <w:t>1、标项2、标项3、标项4，</w:t>
      </w:r>
      <w:r>
        <w:rPr>
          <w:rFonts w:hint="eastAsia" w:ascii="宋体" w:hAnsi="宋体" w:eastAsia="宋体" w:cs="宋体"/>
          <w:color w:val="000000" w:themeColor="text1"/>
          <w:sz w:val="28"/>
          <w:szCs w:val="28"/>
          <w:highlight w:val="none"/>
          <w14:textFill>
            <w14:solidFill>
              <w14:schemeClr w14:val="tx1"/>
            </w14:solidFill>
          </w14:textFill>
        </w:rPr>
        <w:t>详见招标文件</w:t>
      </w:r>
    </w:p>
    <w:p w14:paraId="02ECB60D">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本项目</w:t>
      </w:r>
      <w:r>
        <w:rPr>
          <w:rFonts w:hint="eastAsia" w:ascii="宋体" w:hAnsi="宋体" w:cs="宋体"/>
          <w:color w:val="000000" w:themeColor="text1"/>
          <w:sz w:val="28"/>
          <w:szCs w:val="28"/>
          <w:highlight w:val="none"/>
          <w:lang w:eastAsia="zh-CN"/>
          <w14:textFill>
            <w14:solidFill>
              <w14:schemeClr w14:val="tx1"/>
            </w14:solidFill>
          </w14:textFill>
        </w:rPr>
        <w:t>标项</w:t>
      </w:r>
      <w:r>
        <w:rPr>
          <w:rFonts w:hint="eastAsia" w:ascii="宋体" w:hAnsi="宋体" w:cs="宋体"/>
          <w:color w:val="000000" w:themeColor="text1"/>
          <w:sz w:val="28"/>
          <w:szCs w:val="28"/>
          <w:highlight w:val="none"/>
          <w:lang w:val="en-US" w:eastAsia="zh-CN"/>
          <w14:textFill>
            <w14:solidFill>
              <w14:schemeClr w14:val="tx1"/>
            </w14:solidFill>
          </w14:textFill>
        </w:rPr>
        <w:t>1、标项2、标项3、标项4</w:t>
      </w:r>
      <w:r>
        <w:rPr>
          <w:rFonts w:hint="eastAsia" w:ascii="宋体" w:hAnsi="宋体" w:eastAsia="宋体" w:cs="宋体"/>
          <w:color w:val="000000" w:themeColor="text1"/>
          <w:sz w:val="28"/>
          <w:szCs w:val="28"/>
          <w:highlight w:val="none"/>
          <w14:textFill>
            <w14:solidFill>
              <w14:schemeClr w14:val="tx1"/>
            </w14:solidFill>
          </w14:textFill>
        </w:rPr>
        <w:t>（否）接受联合体投标</w:t>
      </w:r>
    </w:p>
    <w:p w14:paraId="525FD867">
      <w:pPr>
        <w:pStyle w:val="3"/>
        <w:keepNext/>
        <w:keepLines/>
        <w:pageBreakBefore w:val="0"/>
        <w:widowControl w:val="0"/>
        <w:kinsoku/>
        <w:wordWrap/>
        <w:overflowPunct/>
        <w:topLinePunct w:val="0"/>
        <w:autoSpaceDE/>
        <w:autoSpaceDN/>
        <w:bidi w:val="0"/>
        <w:adjustRightInd/>
        <w:snapToGrid/>
        <w:spacing w:before="0" w:after="0" w:line="560" w:lineRule="exact"/>
        <w:ind w:left="0" w:leftChars="0"/>
        <w:textAlignment w:val="auto"/>
        <w:rPr>
          <w:rFonts w:hint="eastAsia" w:ascii="宋体" w:hAnsi="宋体" w:eastAsia="宋体" w:cs="宋体"/>
          <w:color w:val="000000" w:themeColor="text1"/>
          <w:sz w:val="28"/>
          <w:szCs w:val="28"/>
          <w:highlight w:val="none"/>
          <w14:textFill>
            <w14:solidFill>
              <w14:schemeClr w14:val="tx1"/>
            </w14:solidFill>
          </w14:textFill>
        </w:rPr>
      </w:pPr>
      <w:bookmarkStart w:id="9" w:name="_Toc35393791"/>
      <w:bookmarkStart w:id="10" w:name="_Toc35393622"/>
      <w:bookmarkStart w:id="11" w:name="_Toc28359003"/>
      <w:bookmarkStart w:id="12" w:name="_Toc28359080"/>
      <w:bookmarkStart w:id="13" w:name="_Toc20904"/>
      <w:r>
        <w:rPr>
          <w:rFonts w:hint="eastAsia" w:ascii="宋体" w:hAnsi="宋体" w:eastAsia="宋体" w:cs="宋体"/>
          <w:color w:val="000000" w:themeColor="text1"/>
          <w:sz w:val="28"/>
          <w:szCs w:val="28"/>
          <w:highlight w:val="none"/>
          <w14:textFill>
            <w14:solidFill>
              <w14:schemeClr w14:val="tx1"/>
            </w14:solidFill>
          </w14:textFill>
        </w:rPr>
        <w:t>二、</w:t>
      </w:r>
      <w:r>
        <w:rPr>
          <w:rFonts w:hint="eastAsia" w:ascii="宋体" w:hAnsi="宋体" w:eastAsia="宋体" w:cs="宋体"/>
          <w:color w:val="000000" w:themeColor="text1"/>
          <w:sz w:val="28"/>
          <w:szCs w:val="28"/>
          <w:highlight w:val="none"/>
          <w:lang w:eastAsia="zh-CN"/>
          <w14:textFill>
            <w14:solidFill>
              <w14:schemeClr w14:val="tx1"/>
            </w14:solidFill>
          </w14:textFill>
        </w:rPr>
        <w:t>供应商</w:t>
      </w:r>
      <w:r>
        <w:rPr>
          <w:rFonts w:hint="eastAsia" w:ascii="宋体" w:hAnsi="宋体" w:eastAsia="宋体" w:cs="宋体"/>
          <w:color w:val="000000" w:themeColor="text1"/>
          <w:sz w:val="28"/>
          <w:szCs w:val="28"/>
          <w:highlight w:val="none"/>
          <w14:textFill>
            <w14:solidFill>
              <w14:schemeClr w14:val="tx1"/>
            </w14:solidFill>
          </w14:textFill>
        </w:rPr>
        <w:t>的资格要求：</w:t>
      </w:r>
      <w:bookmarkEnd w:id="9"/>
      <w:bookmarkEnd w:id="10"/>
      <w:bookmarkEnd w:id="11"/>
      <w:bookmarkEnd w:id="12"/>
      <w:bookmarkEnd w:id="13"/>
    </w:p>
    <w:p w14:paraId="0550C91C">
      <w:pPr>
        <w:pageBreakBefore w:val="0"/>
        <w:widowControl w:val="0"/>
        <w:kinsoku/>
        <w:wordWrap/>
        <w:overflowPunct/>
        <w:topLinePunct w:val="0"/>
        <w:autoSpaceDE/>
        <w:autoSpaceDN/>
        <w:bidi w:val="0"/>
        <w:adjustRightInd/>
        <w:snapToGrid/>
        <w:spacing w:line="560" w:lineRule="exact"/>
        <w:ind w:left="0" w:leftChars="0"/>
        <w:textAlignment w:val="auto"/>
        <w:rPr>
          <w:rFonts w:hint="eastAsia" w:ascii="宋体" w:hAnsi="宋体" w:eastAsia="宋体" w:cs="宋体"/>
          <w:color w:val="000000" w:themeColor="text1"/>
          <w:sz w:val="28"/>
          <w:szCs w:val="28"/>
          <w:highlight w:val="none"/>
          <w14:textFill>
            <w14:solidFill>
              <w14:schemeClr w14:val="tx1"/>
            </w14:solidFill>
          </w14:textFill>
        </w:rPr>
      </w:pPr>
      <w:bookmarkStart w:id="14" w:name="_Toc532545042"/>
      <w:r>
        <w:rPr>
          <w:rFonts w:hint="eastAsia" w:ascii="宋体" w:hAnsi="宋体" w:eastAsia="宋体" w:cs="宋体"/>
          <w:color w:val="000000" w:themeColor="text1"/>
          <w:sz w:val="28"/>
          <w:szCs w:val="28"/>
          <w:highlight w:val="none"/>
          <w14:textFill>
            <w14:solidFill>
              <w14:schemeClr w14:val="tx1"/>
            </w14:solidFill>
          </w14:textFill>
        </w:rPr>
        <w:t>1.满足《中华人民共和国政府采购法》第二十二条规定；</w:t>
      </w:r>
    </w:p>
    <w:p w14:paraId="515804F8">
      <w:pPr>
        <w:pageBreakBefore w:val="0"/>
        <w:widowControl w:val="0"/>
        <w:kinsoku/>
        <w:wordWrap/>
        <w:overflowPunct/>
        <w:topLinePunct w:val="0"/>
        <w:autoSpaceDE/>
        <w:autoSpaceDN/>
        <w:bidi w:val="0"/>
        <w:adjustRightInd/>
        <w:snapToGrid/>
        <w:spacing w:line="560" w:lineRule="exact"/>
        <w:ind w:left="0" w:leftChars="0"/>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（1）具有独立承担民事责任的能力；</w:t>
      </w:r>
    </w:p>
    <w:p w14:paraId="6421BA49">
      <w:pPr>
        <w:pageBreakBefore w:val="0"/>
        <w:widowControl w:val="0"/>
        <w:kinsoku/>
        <w:wordWrap/>
        <w:overflowPunct/>
        <w:topLinePunct w:val="0"/>
        <w:autoSpaceDE/>
        <w:autoSpaceDN/>
        <w:bidi w:val="0"/>
        <w:adjustRightInd/>
        <w:snapToGrid/>
        <w:spacing w:line="560" w:lineRule="exact"/>
        <w:ind w:left="0" w:leftChars="0"/>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（2）具有良好的商业信誉和健全的财务会计制度； </w:t>
      </w:r>
      <w:r>
        <w:rPr>
          <w:rFonts w:hint="eastAsia" w:ascii="宋体" w:hAnsi="宋体" w:eastAsia="宋体" w:cs="宋体"/>
          <w:color w:val="000000" w:themeColor="text1"/>
          <w:sz w:val="28"/>
          <w:szCs w:val="28"/>
          <w:highlight w:val="none"/>
          <w14:textFill>
            <w14:solidFill>
              <w14:schemeClr w14:val="tx1"/>
            </w14:solidFill>
          </w14:textFill>
        </w:rPr>
        <w:br w:type="textWrapping"/>
      </w:r>
      <w:r>
        <w:rPr>
          <w:rFonts w:hint="eastAsia" w:ascii="宋体" w:hAnsi="宋体" w:eastAsia="宋体" w:cs="宋体"/>
          <w:color w:val="000000" w:themeColor="text1"/>
          <w:sz w:val="28"/>
          <w:szCs w:val="28"/>
          <w:highlight w:val="none"/>
          <w14:textFill>
            <w14:solidFill>
              <w14:schemeClr w14:val="tx1"/>
            </w14:solidFill>
          </w14:textFill>
        </w:rPr>
        <w:t>（3）具有履行合同所必需的设备和专业技术能力；</w:t>
      </w:r>
    </w:p>
    <w:p w14:paraId="506FA3A1">
      <w:pPr>
        <w:pageBreakBefore w:val="0"/>
        <w:widowControl w:val="0"/>
        <w:kinsoku/>
        <w:wordWrap/>
        <w:overflowPunct/>
        <w:topLinePunct w:val="0"/>
        <w:autoSpaceDE/>
        <w:autoSpaceDN/>
        <w:bidi w:val="0"/>
        <w:adjustRightInd/>
        <w:snapToGrid/>
        <w:spacing w:line="560" w:lineRule="exact"/>
        <w:ind w:left="0" w:leftChars="0"/>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（4）有依法缴纳税收和社会保障资金的良好记录； </w:t>
      </w:r>
      <w:r>
        <w:rPr>
          <w:rFonts w:hint="eastAsia" w:ascii="宋体" w:hAnsi="宋体" w:eastAsia="宋体" w:cs="宋体"/>
          <w:color w:val="000000" w:themeColor="text1"/>
          <w:sz w:val="28"/>
          <w:szCs w:val="28"/>
          <w:highlight w:val="none"/>
          <w14:textFill>
            <w14:solidFill>
              <w14:schemeClr w14:val="tx1"/>
            </w14:solidFill>
          </w14:textFill>
        </w:rPr>
        <w:br w:type="textWrapping"/>
      </w:r>
      <w:r>
        <w:rPr>
          <w:rFonts w:hint="eastAsia" w:ascii="宋体" w:hAnsi="宋体" w:eastAsia="宋体" w:cs="宋体"/>
          <w:color w:val="000000" w:themeColor="text1"/>
          <w:sz w:val="28"/>
          <w:szCs w:val="28"/>
          <w:highlight w:val="none"/>
          <w14:textFill>
            <w14:solidFill>
              <w14:schemeClr w14:val="tx1"/>
            </w14:solidFill>
          </w14:textFill>
        </w:rPr>
        <w:t xml:space="preserve">（5）参加政府采购活动前三年内，在经营活动中没有重大违法记录； </w:t>
      </w:r>
      <w:r>
        <w:rPr>
          <w:rFonts w:hint="eastAsia" w:ascii="宋体" w:hAnsi="宋体" w:eastAsia="宋体" w:cs="宋体"/>
          <w:color w:val="000000" w:themeColor="text1"/>
          <w:sz w:val="28"/>
          <w:szCs w:val="28"/>
          <w:highlight w:val="none"/>
          <w14:textFill>
            <w14:solidFill>
              <w14:schemeClr w14:val="tx1"/>
            </w14:solidFill>
          </w14:textFill>
        </w:rPr>
        <w:br w:type="textWrapping"/>
      </w:r>
      <w:r>
        <w:rPr>
          <w:rFonts w:hint="eastAsia" w:ascii="宋体" w:hAnsi="宋体" w:eastAsia="宋体" w:cs="宋体"/>
          <w:color w:val="000000" w:themeColor="text1"/>
          <w:sz w:val="28"/>
          <w:szCs w:val="28"/>
          <w:highlight w:val="none"/>
          <w14:textFill>
            <w14:solidFill>
              <w14:schemeClr w14:val="tx1"/>
            </w14:solidFill>
          </w14:textFill>
        </w:rPr>
        <w:t>（6）法律、行政法规规定的其他条件。</w:t>
      </w:r>
    </w:p>
    <w:p w14:paraId="4E106AB8">
      <w:pPr>
        <w:pageBreakBefore w:val="0"/>
        <w:widowControl w:val="0"/>
        <w:kinsoku/>
        <w:wordWrap/>
        <w:overflowPunct/>
        <w:topLinePunct w:val="0"/>
        <w:autoSpaceDE/>
        <w:autoSpaceDN/>
        <w:bidi w:val="0"/>
        <w:adjustRightInd/>
        <w:snapToGrid/>
        <w:spacing w:line="560" w:lineRule="exact"/>
        <w:ind w:left="0" w:leftChars="0"/>
        <w:textAlignment w:val="auto"/>
        <w:rPr>
          <w:rFonts w:hint="eastAsia" w:ascii="宋体" w:hAnsi="宋体" w:eastAsia="宋体" w:cs="宋体"/>
          <w:color w:val="000000" w:themeColor="text1"/>
          <w:sz w:val="28"/>
          <w:szCs w:val="28"/>
          <w:highlight w:val="none"/>
          <w:lang w:val="en-US" w:eastAsia="zh-CN"/>
          <w14:textFill>
            <w14:solidFill>
              <w14:schemeClr w14:val="tx1"/>
            </w14:solidFill>
          </w14:textFill>
        </w:rPr>
      </w:pPr>
      <w:bookmarkStart w:id="15" w:name="_Toc28359091"/>
      <w:bookmarkStart w:id="16" w:name="_Toc28359014"/>
      <w:r>
        <w:rPr>
          <w:rFonts w:hint="eastAsia" w:ascii="宋体" w:hAnsi="宋体" w:eastAsia="宋体" w:cs="宋体"/>
          <w:b/>
          <w:bCs/>
          <w:color w:val="000000" w:themeColor="text1"/>
          <w:sz w:val="28"/>
          <w:szCs w:val="28"/>
          <w:highlight w:val="none"/>
          <w14:textFill>
            <w14:solidFill>
              <w14:schemeClr w14:val="tx1"/>
            </w14:solidFill>
          </w14:textFill>
        </w:rPr>
        <w:t>2.落实政府采购政策需满足的资格要求：</w:t>
      </w:r>
      <w:r>
        <w:rPr>
          <w:rFonts w:hint="eastAsia" w:ascii="宋体" w:hAnsi="宋体" w:cs="宋体"/>
          <w:color w:val="000000" w:themeColor="text1"/>
          <w:sz w:val="28"/>
          <w:szCs w:val="28"/>
          <w:highlight w:val="none"/>
          <w:lang w:eastAsia="zh-CN"/>
          <w14:textFill>
            <w14:solidFill>
              <w14:schemeClr w14:val="tx1"/>
            </w14:solidFill>
          </w14:textFill>
        </w:rPr>
        <w:t>标项</w:t>
      </w:r>
      <w:r>
        <w:rPr>
          <w:rFonts w:hint="eastAsia" w:ascii="宋体" w:hAnsi="宋体" w:cs="宋体"/>
          <w:color w:val="000000" w:themeColor="text1"/>
          <w:sz w:val="28"/>
          <w:szCs w:val="28"/>
          <w:highlight w:val="none"/>
          <w:lang w:val="en-US" w:eastAsia="zh-CN"/>
          <w14:textFill>
            <w14:solidFill>
              <w14:schemeClr w14:val="tx1"/>
            </w14:solidFill>
          </w14:textFill>
        </w:rPr>
        <w:t>1、标项2、标项3、标项4，</w:t>
      </w:r>
      <w:r>
        <w:rPr>
          <w:rFonts w:hint="eastAsia" w:ascii="宋体" w:hAnsi="宋体" w:cs="宋体"/>
          <w:color w:val="000000" w:themeColor="text1"/>
          <w:sz w:val="28"/>
          <w:szCs w:val="28"/>
          <w:highlight w:val="none"/>
          <w:lang w:eastAsia="zh-CN"/>
          <w14:textFill>
            <w14:solidFill>
              <w14:schemeClr w14:val="tx1"/>
            </w14:solidFill>
          </w14:textFill>
        </w:rPr>
        <w:t>本项目为非专门面向中小企业采购项目，根据《政府采购促进中小企业发展管理办法》（财库【2020】46号）及（财库[2022]19号）的规定，评标时将给予此类企业进行价格扣除10%的优惠，用优惠后的价格参与评审。</w:t>
      </w:r>
    </w:p>
    <w:p w14:paraId="349298F9">
      <w:pPr>
        <w:pageBreakBefore w:val="0"/>
        <w:kinsoku/>
        <w:wordWrap/>
        <w:overflowPunct/>
        <w:topLinePunct w:val="0"/>
        <w:autoSpaceDE/>
        <w:autoSpaceDN/>
        <w:bidi w:val="0"/>
        <w:adjustRightInd w:val="0"/>
        <w:snapToGrid w:val="0"/>
        <w:spacing w:line="560" w:lineRule="exact"/>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3.本项目的特定资格要求</w:t>
      </w:r>
      <w:r>
        <w:rPr>
          <w:rFonts w:hint="eastAsia" w:ascii="宋体" w:hAnsi="宋体" w:eastAsia="宋体" w:cs="宋体"/>
          <w:color w:val="000000" w:themeColor="text1"/>
          <w:sz w:val="28"/>
          <w:szCs w:val="28"/>
          <w:highlight w:val="none"/>
          <w14:textFill>
            <w14:solidFill>
              <w14:schemeClr w14:val="tx1"/>
            </w14:solidFill>
          </w14:textFill>
        </w:rPr>
        <w:t>：</w:t>
      </w:r>
      <w:bookmarkStart w:id="17" w:name="_Toc138610877"/>
      <w:bookmarkStart w:id="18" w:name="_Toc35393800"/>
      <w:bookmarkStart w:id="19" w:name="_Toc35393631"/>
      <w:bookmarkStart w:id="20" w:name="_Toc103813443"/>
    </w:p>
    <w:p w14:paraId="41DDBBF6">
      <w:pPr>
        <w:pageBreakBefore w:val="0"/>
        <w:kinsoku/>
        <w:wordWrap/>
        <w:overflowPunct/>
        <w:topLinePunct w:val="0"/>
        <w:autoSpaceDE/>
        <w:autoSpaceDN/>
        <w:bidi w:val="0"/>
        <w:adjustRightInd w:val="0"/>
        <w:snapToGrid w:val="0"/>
        <w:spacing w:line="560" w:lineRule="exact"/>
        <w:textAlignment w:val="auto"/>
        <w:rPr>
          <w:rFonts w:hint="eastAsia" w:ascii="宋体" w:hAnsi="宋体" w:cs="宋体"/>
          <w:b w:val="0"/>
          <w:bCs/>
          <w:color w:val="000000" w:themeColor="text1"/>
          <w:sz w:val="28"/>
          <w:szCs w:val="28"/>
          <w:highlight w:val="none"/>
          <w:lang w:eastAsia="zh-CN"/>
          <w14:textFill>
            <w14:solidFill>
              <w14:schemeClr w14:val="tx1"/>
            </w14:solidFill>
          </w14:textFill>
        </w:rPr>
      </w:pPr>
      <w:r>
        <w:rPr>
          <w:rFonts w:hint="eastAsia" w:ascii="宋体" w:hAnsi="宋体" w:cs="宋体"/>
          <w:color w:val="000000" w:themeColor="text1"/>
          <w:sz w:val="28"/>
          <w:szCs w:val="28"/>
          <w:highlight w:val="none"/>
          <w:lang w:eastAsia="zh-CN"/>
          <w14:textFill>
            <w14:solidFill>
              <w14:schemeClr w14:val="tx1"/>
            </w14:solidFill>
          </w14:textFill>
        </w:rPr>
        <w:t>标项</w:t>
      </w:r>
      <w:r>
        <w:rPr>
          <w:rFonts w:hint="eastAsia" w:ascii="宋体" w:hAnsi="宋体" w:cs="宋体"/>
          <w:color w:val="000000" w:themeColor="text1"/>
          <w:sz w:val="28"/>
          <w:szCs w:val="28"/>
          <w:highlight w:val="none"/>
          <w:lang w:val="en-US" w:eastAsia="zh-CN"/>
          <w14:textFill>
            <w14:solidFill>
              <w14:schemeClr w14:val="tx1"/>
            </w14:solidFill>
          </w14:textFill>
        </w:rPr>
        <w:t>1：</w:t>
      </w:r>
      <w:r>
        <w:rPr>
          <w:rFonts w:hint="eastAsia" w:ascii="宋体" w:hAnsi="宋体" w:cs="宋体"/>
          <w:b w:val="0"/>
          <w:bCs/>
          <w:color w:val="000000" w:themeColor="text1"/>
          <w:sz w:val="28"/>
          <w:szCs w:val="28"/>
          <w:highlight w:val="none"/>
          <w:lang w:eastAsia="zh-CN"/>
          <w14:textFill>
            <w14:solidFill>
              <w14:schemeClr w14:val="tx1"/>
            </w14:solidFill>
          </w14:textFill>
        </w:rPr>
        <w:t>无</w:t>
      </w:r>
    </w:p>
    <w:p w14:paraId="5FB93752">
      <w:pPr>
        <w:pageBreakBefore w:val="0"/>
        <w:kinsoku/>
        <w:wordWrap/>
        <w:overflowPunct/>
        <w:topLinePunct w:val="0"/>
        <w:autoSpaceDE/>
        <w:autoSpaceDN/>
        <w:bidi w:val="0"/>
        <w:adjustRightInd w:val="0"/>
        <w:snapToGrid w:val="0"/>
        <w:spacing w:line="560" w:lineRule="exact"/>
        <w:textAlignment w:val="auto"/>
        <w:rPr>
          <w:rFonts w:hint="eastAsia" w:ascii="宋体" w:hAnsi="宋体" w:cs="宋体"/>
          <w:color w:val="000000" w:themeColor="text1"/>
          <w:sz w:val="28"/>
          <w:szCs w:val="28"/>
          <w:highlight w:val="none"/>
          <w:lang w:val="en-US" w:eastAsia="zh-CN"/>
          <w14:textFill>
            <w14:solidFill>
              <w14:schemeClr w14:val="tx1"/>
            </w14:solidFill>
          </w14:textFill>
        </w:rPr>
      </w:pPr>
      <w:r>
        <w:rPr>
          <w:rFonts w:hint="eastAsia" w:ascii="宋体" w:hAnsi="宋体" w:cs="宋体"/>
          <w:color w:val="000000" w:themeColor="text1"/>
          <w:sz w:val="28"/>
          <w:szCs w:val="28"/>
          <w:highlight w:val="none"/>
          <w:lang w:val="en-US" w:eastAsia="zh-CN"/>
          <w14:textFill>
            <w14:solidFill>
              <w14:schemeClr w14:val="tx1"/>
            </w14:solidFill>
          </w14:textFill>
        </w:rPr>
        <w:t>标项2：无</w:t>
      </w:r>
    </w:p>
    <w:p w14:paraId="74FD2EC5">
      <w:pPr>
        <w:pageBreakBefore w:val="0"/>
        <w:kinsoku/>
        <w:wordWrap/>
        <w:overflowPunct/>
        <w:topLinePunct w:val="0"/>
        <w:autoSpaceDE/>
        <w:autoSpaceDN/>
        <w:bidi w:val="0"/>
        <w:adjustRightInd w:val="0"/>
        <w:snapToGrid w:val="0"/>
        <w:spacing w:line="560" w:lineRule="exact"/>
        <w:textAlignment w:val="auto"/>
        <w:rPr>
          <w:rFonts w:hint="eastAsia" w:ascii="宋体" w:hAnsi="宋体" w:cs="宋体"/>
          <w:color w:val="000000" w:themeColor="text1"/>
          <w:sz w:val="28"/>
          <w:szCs w:val="28"/>
          <w:highlight w:val="none"/>
          <w:lang w:val="en-US" w:eastAsia="zh-CN"/>
          <w14:textFill>
            <w14:solidFill>
              <w14:schemeClr w14:val="tx1"/>
            </w14:solidFill>
          </w14:textFill>
        </w:rPr>
      </w:pPr>
      <w:r>
        <w:rPr>
          <w:rFonts w:hint="eastAsia" w:ascii="宋体" w:hAnsi="宋体" w:cs="宋体"/>
          <w:color w:val="000000" w:themeColor="text1"/>
          <w:sz w:val="28"/>
          <w:szCs w:val="28"/>
          <w:highlight w:val="none"/>
          <w:lang w:val="en-US" w:eastAsia="zh-CN"/>
          <w14:textFill>
            <w14:solidFill>
              <w14:schemeClr w14:val="tx1"/>
            </w14:solidFill>
          </w14:textFill>
        </w:rPr>
        <w:t>标项3：无</w:t>
      </w:r>
    </w:p>
    <w:p w14:paraId="028B4157">
      <w:pPr>
        <w:pageBreakBefore w:val="0"/>
        <w:kinsoku/>
        <w:wordWrap/>
        <w:overflowPunct/>
        <w:topLinePunct w:val="0"/>
        <w:autoSpaceDE/>
        <w:autoSpaceDN/>
        <w:bidi w:val="0"/>
        <w:adjustRightInd w:val="0"/>
        <w:snapToGrid w:val="0"/>
        <w:spacing w:line="560" w:lineRule="exact"/>
        <w:textAlignment w:val="auto"/>
        <w:rPr>
          <w:rFonts w:hint="eastAsia" w:ascii="宋体" w:hAnsi="宋体" w:cs="宋体"/>
          <w:color w:val="000000" w:themeColor="text1"/>
          <w:sz w:val="28"/>
          <w:szCs w:val="28"/>
          <w:highlight w:val="none"/>
          <w:lang w:val="en-US" w:eastAsia="zh-CN"/>
          <w14:textFill>
            <w14:solidFill>
              <w14:schemeClr w14:val="tx1"/>
            </w14:solidFill>
          </w14:textFill>
        </w:rPr>
      </w:pPr>
      <w:r>
        <w:rPr>
          <w:rFonts w:hint="eastAsia" w:ascii="宋体" w:hAnsi="宋体" w:cs="宋体"/>
          <w:color w:val="000000" w:themeColor="text1"/>
          <w:sz w:val="28"/>
          <w:szCs w:val="28"/>
          <w:highlight w:val="none"/>
          <w:lang w:val="en-US" w:eastAsia="zh-CN"/>
          <w14:textFill>
            <w14:solidFill>
              <w14:schemeClr w14:val="tx1"/>
            </w14:solidFill>
          </w14:textFill>
        </w:rPr>
        <w:t>标项4：</w:t>
      </w:r>
    </w:p>
    <w:p w14:paraId="12C834D5">
      <w:pPr>
        <w:pageBreakBefore w:val="0"/>
        <w:kinsoku/>
        <w:wordWrap/>
        <w:overflowPunct/>
        <w:topLinePunct w:val="0"/>
        <w:autoSpaceDE/>
        <w:autoSpaceDN/>
        <w:bidi w:val="0"/>
        <w:adjustRightInd w:val="0"/>
        <w:snapToGrid w:val="0"/>
        <w:spacing w:line="560" w:lineRule="exact"/>
        <w:textAlignment w:val="auto"/>
        <w:rPr>
          <w:rFonts w:hint="eastAsia" w:ascii="宋体" w:hAnsi="宋体" w:cs="宋体"/>
          <w:color w:val="000000" w:themeColor="text1"/>
          <w:sz w:val="28"/>
          <w:szCs w:val="28"/>
          <w:highlight w:val="none"/>
          <w:lang w:val="en-US" w:eastAsia="zh-CN"/>
          <w14:textFill>
            <w14:solidFill>
              <w14:schemeClr w14:val="tx1"/>
            </w14:solidFill>
          </w14:textFill>
        </w:rPr>
      </w:pPr>
      <w:r>
        <w:rPr>
          <w:rFonts w:hint="eastAsia" w:ascii="宋体" w:hAnsi="宋体" w:cs="宋体"/>
          <w:b w:val="0"/>
          <w:bCs/>
          <w:color w:val="000000" w:themeColor="text1"/>
          <w:sz w:val="28"/>
          <w:szCs w:val="28"/>
          <w:highlight w:val="none"/>
          <w:lang w:eastAsia="zh-CN"/>
          <w14:textFill>
            <w14:solidFill>
              <w14:schemeClr w14:val="tx1"/>
            </w14:solidFill>
          </w14:textFill>
        </w:rPr>
        <w:t>（1）供应商为制造商需提供《医疗器械生产许可证》 及投标产品《医疗器械注册证》；（2）供应商为代理商需提供有效的行政主管部门颁发的《医疗器械经营备案证》</w:t>
      </w:r>
      <w:r>
        <w:rPr>
          <w:rFonts w:hint="eastAsia" w:ascii="宋体" w:hAnsi="宋体" w:cs="宋体"/>
          <w:b w:val="0"/>
          <w:bCs/>
          <w:color w:val="000000" w:themeColor="text1"/>
          <w:sz w:val="28"/>
          <w:szCs w:val="28"/>
          <w:highlight w:val="none"/>
          <w:lang w:val="en-US" w:eastAsia="zh-CN"/>
          <w14:textFill>
            <w14:solidFill>
              <w14:schemeClr w14:val="tx1"/>
            </w14:solidFill>
          </w14:textFill>
        </w:rPr>
        <w:t>和</w:t>
      </w:r>
      <w:r>
        <w:rPr>
          <w:rFonts w:hint="eastAsia" w:ascii="宋体" w:hAnsi="宋体" w:cs="宋体"/>
          <w:b w:val="0"/>
          <w:bCs/>
          <w:color w:val="000000" w:themeColor="text1"/>
          <w:sz w:val="28"/>
          <w:szCs w:val="28"/>
          <w:highlight w:val="none"/>
          <w:lang w:eastAsia="zh-CN"/>
          <w14:textFill>
            <w14:solidFill>
              <w14:schemeClr w14:val="tx1"/>
            </w14:solidFill>
          </w14:textFill>
        </w:rPr>
        <w:t>《医疗器械经营许可证》及制造商的《医疗器械生产许可证》和投标产品《医疗器械注册证》；</w:t>
      </w:r>
    </w:p>
    <w:p w14:paraId="17B7EC94">
      <w:pPr>
        <w:pStyle w:val="3"/>
        <w:keepNext/>
        <w:keepLines/>
        <w:pageBreakBefore w:val="0"/>
        <w:widowControl w:val="0"/>
        <w:kinsoku/>
        <w:wordWrap/>
        <w:overflowPunct/>
        <w:topLinePunct w:val="0"/>
        <w:autoSpaceDE/>
        <w:autoSpaceDN/>
        <w:bidi w:val="0"/>
        <w:adjustRightInd/>
        <w:snapToGrid/>
        <w:spacing w:before="0" w:after="0" w:line="560" w:lineRule="exact"/>
        <w:ind w:left="0" w:leftChars="0"/>
        <w:textAlignment w:val="auto"/>
        <w:rPr>
          <w:rFonts w:hint="eastAsia" w:ascii="宋体" w:hAnsi="宋体" w:eastAsia="宋体" w:cs="宋体"/>
          <w:color w:val="000000" w:themeColor="text1"/>
          <w:sz w:val="28"/>
          <w:szCs w:val="28"/>
          <w:highlight w:val="none"/>
          <w14:textFill>
            <w14:solidFill>
              <w14:schemeClr w14:val="tx1"/>
            </w14:solidFill>
          </w14:textFill>
        </w:rPr>
      </w:pPr>
      <w:bookmarkStart w:id="21" w:name="_Toc18316"/>
      <w:r>
        <w:rPr>
          <w:rFonts w:hint="eastAsia" w:ascii="宋体" w:hAnsi="宋体" w:eastAsia="宋体" w:cs="宋体"/>
          <w:color w:val="000000" w:themeColor="text1"/>
          <w:sz w:val="28"/>
          <w:szCs w:val="28"/>
          <w:highlight w:val="none"/>
          <w14:textFill>
            <w14:solidFill>
              <w14:schemeClr w14:val="tx1"/>
            </w14:solidFill>
          </w14:textFill>
        </w:rPr>
        <w:t>三、获取采购文件</w:t>
      </w:r>
      <w:bookmarkEnd w:id="15"/>
      <w:bookmarkEnd w:id="16"/>
      <w:bookmarkEnd w:id="17"/>
      <w:bookmarkEnd w:id="18"/>
      <w:bookmarkEnd w:id="19"/>
      <w:bookmarkEnd w:id="20"/>
      <w:r>
        <w:rPr>
          <w:rFonts w:hint="eastAsia" w:ascii="宋体" w:hAnsi="宋体" w:eastAsia="宋体" w:cs="宋体"/>
          <w:color w:val="000000" w:themeColor="text1"/>
          <w:sz w:val="28"/>
          <w:szCs w:val="28"/>
          <w:highlight w:val="none"/>
          <w14:textFill>
            <w14:solidFill>
              <w14:schemeClr w14:val="tx1"/>
            </w14:solidFill>
          </w14:textFill>
        </w:rPr>
        <w:t>：</w:t>
      </w:r>
      <w:bookmarkEnd w:id="21"/>
    </w:p>
    <w:p w14:paraId="200CC49F">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时间：</w:t>
      </w:r>
      <w:r>
        <w:rPr>
          <w:rFonts w:hint="eastAsia" w:ascii="宋体" w:hAnsi="宋体" w:eastAsia="宋体" w:cs="宋体"/>
          <w:b/>
          <w:bCs/>
          <w:color w:val="000000" w:themeColor="text1"/>
          <w:sz w:val="28"/>
          <w:szCs w:val="28"/>
          <w:highlight w:val="none"/>
          <w:u w:val="single"/>
          <w14:textFill>
            <w14:solidFill>
              <w14:schemeClr w14:val="tx1"/>
            </w14:solidFill>
          </w14:textFill>
        </w:rPr>
        <w:t>202</w:t>
      </w:r>
      <w:r>
        <w:rPr>
          <w:rFonts w:hint="eastAsia" w:ascii="宋体" w:hAnsi="宋体" w:cs="宋体"/>
          <w:b/>
          <w:bCs/>
          <w:color w:val="000000" w:themeColor="text1"/>
          <w:sz w:val="28"/>
          <w:szCs w:val="28"/>
          <w:highlight w:val="none"/>
          <w:u w:val="single"/>
          <w:lang w:val="en-US" w:eastAsia="zh-CN"/>
          <w14:textFill>
            <w14:solidFill>
              <w14:schemeClr w14:val="tx1"/>
            </w14:solidFill>
          </w14:textFill>
        </w:rPr>
        <w:t>5</w:t>
      </w:r>
      <w:r>
        <w:rPr>
          <w:rFonts w:hint="eastAsia" w:ascii="宋体" w:hAnsi="宋体" w:eastAsia="宋体" w:cs="宋体"/>
          <w:b/>
          <w:bCs/>
          <w:color w:val="000000" w:themeColor="text1"/>
          <w:sz w:val="28"/>
          <w:szCs w:val="28"/>
          <w:highlight w:val="none"/>
          <w:u w:val="single"/>
          <w14:textFill>
            <w14:solidFill>
              <w14:schemeClr w14:val="tx1"/>
            </w14:solidFill>
          </w14:textFill>
        </w:rPr>
        <w:t>年</w:t>
      </w:r>
      <w:r>
        <w:rPr>
          <w:rFonts w:hint="eastAsia" w:ascii="宋体" w:hAnsi="宋体" w:cs="宋体"/>
          <w:b/>
          <w:bCs/>
          <w:color w:val="000000" w:themeColor="text1"/>
          <w:sz w:val="28"/>
          <w:szCs w:val="28"/>
          <w:highlight w:val="none"/>
          <w:u w:val="single"/>
          <w:lang w:val="en-US" w:eastAsia="zh-CN"/>
          <w14:textFill>
            <w14:solidFill>
              <w14:schemeClr w14:val="tx1"/>
            </w14:solidFill>
          </w14:textFill>
        </w:rPr>
        <w:t>06</w:t>
      </w:r>
      <w:r>
        <w:rPr>
          <w:rFonts w:hint="eastAsia" w:ascii="宋体" w:hAnsi="宋体" w:eastAsia="宋体" w:cs="宋体"/>
          <w:b/>
          <w:bCs/>
          <w:color w:val="000000" w:themeColor="text1"/>
          <w:sz w:val="28"/>
          <w:szCs w:val="28"/>
          <w:highlight w:val="none"/>
          <w:u w:val="single"/>
          <w14:textFill>
            <w14:solidFill>
              <w14:schemeClr w14:val="tx1"/>
            </w14:solidFill>
          </w14:textFill>
        </w:rPr>
        <w:t>月</w:t>
      </w:r>
      <w:r>
        <w:rPr>
          <w:rFonts w:hint="eastAsia" w:ascii="宋体" w:hAnsi="宋体" w:cs="宋体"/>
          <w:b/>
          <w:bCs/>
          <w:color w:val="000000" w:themeColor="text1"/>
          <w:sz w:val="28"/>
          <w:szCs w:val="28"/>
          <w:highlight w:val="none"/>
          <w:u w:val="single"/>
          <w:lang w:val="en-US" w:eastAsia="zh-CN"/>
          <w14:textFill>
            <w14:solidFill>
              <w14:schemeClr w14:val="tx1"/>
            </w14:solidFill>
          </w14:textFill>
        </w:rPr>
        <w:t>26</w:t>
      </w:r>
      <w:r>
        <w:rPr>
          <w:rFonts w:hint="eastAsia" w:ascii="宋体" w:hAnsi="宋体" w:eastAsia="宋体" w:cs="宋体"/>
          <w:b/>
          <w:bCs/>
          <w:color w:val="000000" w:themeColor="text1"/>
          <w:sz w:val="28"/>
          <w:szCs w:val="28"/>
          <w:highlight w:val="none"/>
          <w:u w:val="single"/>
          <w14:textFill>
            <w14:solidFill>
              <w14:schemeClr w14:val="tx1"/>
            </w14:solidFill>
          </w14:textFill>
        </w:rPr>
        <w:t>日</w:t>
      </w:r>
      <w:r>
        <w:rPr>
          <w:rFonts w:hint="eastAsia" w:ascii="宋体" w:hAnsi="宋体" w:eastAsia="宋体" w:cs="宋体"/>
          <w:b/>
          <w:bCs/>
          <w:color w:val="000000" w:themeColor="text1"/>
          <w:sz w:val="28"/>
          <w:szCs w:val="28"/>
          <w:highlight w:val="none"/>
          <w14:textFill>
            <w14:solidFill>
              <w14:schemeClr w14:val="tx1"/>
            </w14:solidFill>
          </w14:textFill>
        </w:rPr>
        <w:t>至</w:t>
      </w:r>
      <w:r>
        <w:rPr>
          <w:rFonts w:hint="eastAsia" w:ascii="宋体" w:hAnsi="宋体" w:eastAsia="宋体" w:cs="宋体"/>
          <w:b/>
          <w:bCs/>
          <w:color w:val="000000" w:themeColor="text1"/>
          <w:sz w:val="28"/>
          <w:szCs w:val="28"/>
          <w:highlight w:val="none"/>
          <w:u w:val="single"/>
          <w14:textFill>
            <w14:solidFill>
              <w14:schemeClr w14:val="tx1"/>
            </w14:solidFill>
          </w14:textFill>
        </w:rPr>
        <w:t>202</w:t>
      </w:r>
      <w:r>
        <w:rPr>
          <w:rFonts w:hint="eastAsia" w:ascii="宋体" w:hAnsi="宋体" w:cs="宋体"/>
          <w:b/>
          <w:bCs/>
          <w:color w:val="000000" w:themeColor="text1"/>
          <w:sz w:val="28"/>
          <w:szCs w:val="28"/>
          <w:highlight w:val="none"/>
          <w:u w:val="single"/>
          <w:lang w:val="en-US" w:eastAsia="zh-CN"/>
          <w14:textFill>
            <w14:solidFill>
              <w14:schemeClr w14:val="tx1"/>
            </w14:solidFill>
          </w14:textFill>
        </w:rPr>
        <w:t>5</w:t>
      </w:r>
      <w:r>
        <w:rPr>
          <w:rFonts w:hint="eastAsia" w:ascii="宋体" w:hAnsi="宋体" w:eastAsia="宋体" w:cs="宋体"/>
          <w:b/>
          <w:bCs/>
          <w:color w:val="000000" w:themeColor="text1"/>
          <w:sz w:val="28"/>
          <w:szCs w:val="28"/>
          <w:highlight w:val="none"/>
          <w:u w:val="single"/>
          <w14:textFill>
            <w14:solidFill>
              <w14:schemeClr w14:val="tx1"/>
            </w14:solidFill>
          </w14:textFill>
        </w:rPr>
        <w:t>年</w:t>
      </w:r>
      <w:r>
        <w:rPr>
          <w:rFonts w:hint="eastAsia" w:ascii="宋体" w:hAnsi="宋体" w:cs="宋体"/>
          <w:b/>
          <w:bCs/>
          <w:color w:val="000000" w:themeColor="text1"/>
          <w:sz w:val="28"/>
          <w:szCs w:val="28"/>
          <w:highlight w:val="none"/>
          <w:u w:val="single"/>
          <w:lang w:val="en-US" w:eastAsia="zh-CN"/>
          <w14:textFill>
            <w14:solidFill>
              <w14:schemeClr w14:val="tx1"/>
            </w14:solidFill>
          </w14:textFill>
        </w:rPr>
        <w:t>07</w:t>
      </w:r>
      <w:r>
        <w:rPr>
          <w:rFonts w:hint="eastAsia" w:ascii="宋体" w:hAnsi="宋体" w:eastAsia="宋体" w:cs="宋体"/>
          <w:b/>
          <w:bCs/>
          <w:color w:val="000000" w:themeColor="text1"/>
          <w:sz w:val="28"/>
          <w:szCs w:val="28"/>
          <w:highlight w:val="none"/>
          <w:u w:val="single"/>
          <w14:textFill>
            <w14:solidFill>
              <w14:schemeClr w14:val="tx1"/>
            </w14:solidFill>
          </w14:textFill>
        </w:rPr>
        <w:t>月</w:t>
      </w:r>
      <w:r>
        <w:rPr>
          <w:rFonts w:hint="eastAsia" w:ascii="宋体" w:hAnsi="宋体" w:cs="宋体"/>
          <w:b/>
          <w:bCs/>
          <w:color w:val="000000" w:themeColor="text1"/>
          <w:sz w:val="28"/>
          <w:szCs w:val="28"/>
          <w:highlight w:val="none"/>
          <w:u w:val="single"/>
          <w:lang w:val="en-US" w:eastAsia="zh-CN"/>
          <w14:textFill>
            <w14:solidFill>
              <w14:schemeClr w14:val="tx1"/>
            </w14:solidFill>
          </w14:textFill>
        </w:rPr>
        <w:t>03</w:t>
      </w:r>
      <w:r>
        <w:rPr>
          <w:rFonts w:hint="eastAsia" w:ascii="宋体" w:hAnsi="宋体" w:eastAsia="宋体" w:cs="宋体"/>
          <w:b/>
          <w:bCs/>
          <w:color w:val="000000" w:themeColor="text1"/>
          <w:sz w:val="28"/>
          <w:szCs w:val="28"/>
          <w:highlight w:val="none"/>
          <w:u w:val="single"/>
          <w14:textFill>
            <w14:solidFill>
              <w14:schemeClr w14:val="tx1"/>
            </w14:solidFill>
          </w14:textFill>
        </w:rPr>
        <w:t>日</w:t>
      </w:r>
      <w:r>
        <w:rPr>
          <w:rFonts w:hint="eastAsia" w:ascii="宋体" w:hAnsi="宋体" w:eastAsia="宋体" w:cs="宋体"/>
          <w:color w:val="000000" w:themeColor="text1"/>
          <w:sz w:val="28"/>
          <w:szCs w:val="28"/>
          <w:highlight w:val="none"/>
          <w:u w:val="single"/>
          <w14:textFill>
            <w14:solidFill>
              <w14:schemeClr w14:val="tx1"/>
            </w14:solidFill>
          </w14:textFill>
        </w:rPr>
        <w:t>（招标文件的发售期限自开始之日起不得少于5个工作日）</w:t>
      </w:r>
      <w:r>
        <w:rPr>
          <w:rFonts w:hint="eastAsia" w:ascii="宋体" w:hAnsi="宋体" w:eastAsia="宋体" w:cs="宋体"/>
          <w:color w:val="000000" w:themeColor="text1"/>
          <w:sz w:val="28"/>
          <w:szCs w:val="28"/>
          <w:highlight w:val="none"/>
          <w14:textFill>
            <w14:solidFill>
              <w14:schemeClr w14:val="tx1"/>
            </w14:solidFill>
          </w14:textFill>
        </w:rPr>
        <w:t>，每天上午</w:t>
      </w:r>
      <w:r>
        <w:rPr>
          <w:rFonts w:hint="eastAsia" w:ascii="宋体" w:hAnsi="宋体" w:eastAsia="宋体" w:cs="宋体"/>
          <w:color w:val="000000" w:themeColor="text1"/>
          <w:sz w:val="28"/>
          <w:szCs w:val="28"/>
          <w:highlight w:val="none"/>
          <w:u w:val="single"/>
          <w14:textFill>
            <w14:solidFill>
              <w14:schemeClr w14:val="tx1"/>
            </w14:solidFill>
          </w14:textFill>
        </w:rPr>
        <w:t>0</w:t>
      </w:r>
      <w:r>
        <w:rPr>
          <w:rFonts w:hint="eastAsia" w:ascii="宋体" w:hAnsi="宋体" w:cs="宋体"/>
          <w:color w:val="000000" w:themeColor="text1"/>
          <w:sz w:val="28"/>
          <w:szCs w:val="28"/>
          <w:highlight w:val="none"/>
          <w:u w:val="single"/>
          <w:lang w:val="en-US" w:eastAsia="zh-CN"/>
          <w14:textFill>
            <w14:solidFill>
              <w14:schemeClr w14:val="tx1"/>
            </w14:solidFill>
          </w14:textFill>
        </w:rPr>
        <w:t>0</w:t>
      </w:r>
      <w:r>
        <w:rPr>
          <w:rFonts w:hint="eastAsia" w:ascii="宋体" w:hAnsi="宋体" w:eastAsia="宋体" w:cs="宋体"/>
          <w:color w:val="000000" w:themeColor="text1"/>
          <w:sz w:val="28"/>
          <w:szCs w:val="28"/>
          <w:highlight w:val="none"/>
          <w:u w:val="single"/>
          <w14:textFill>
            <w14:solidFill>
              <w14:schemeClr w14:val="tx1"/>
            </w14:solidFill>
          </w14:textFill>
        </w:rPr>
        <w:t>：</w:t>
      </w:r>
      <w:r>
        <w:rPr>
          <w:rFonts w:hint="eastAsia" w:ascii="宋体" w:hAnsi="宋体" w:cs="宋体"/>
          <w:color w:val="000000" w:themeColor="text1"/>
          <w:sz w:val="28"/>
          <w:szCs w:val="28"/>
          <w:highlight w:val="none"/>
          <w:u w:val="single"/>
          <w:lang w:val="en-US" w:eastAsia="zh-CN"/>
          <w14:textFill>
            <w14:solidFill>
              <w14:schemeClr w14:val="tx1"/>
            </w14:solidFill>
          </w14:textFill>
        </w:rPr>
        <w:t>0</w:t>
      </w:r>
      <w:r>
        <w:rPr>
          <w:rFonts w:hint="eastAsia" w:ascii="宋体" w:hAnsi="宋体" w:eastAsia="宋体" w:cs="宋体"/>
          <w:color w:val="000000" w:themeColor="text1"/>
          <w:sz w:val="28"/>
          <w:szCs w:val="28"/>
          <w:highlight w:val="none"/>
          <w:u w:val="single"/>
          <w14:textFill>
            <w14:solidFill>
              <w14:schemeClr w14:val="tx1"/>
            </w14:solidFill>
          </w14:textFill>
        </w:rPr>
        <w:t>0</w:t>
      </w:r>
      <w:r>
        <w:rPr>
          <w:rFonts w:hint="eastAsia" w:ascii="宋体" w:hAnsi="宋体" w:eastAsia="宋体" w:cs="宋体"/>
          <w:color w:val="000000" w:themeColor="text1"/>
          <w:sz w:val="28"/>
          <w:szCs w:val="28"/>
          <w:highlight w:val="none"/>
          <w14:textFill>
            <w14:solidFill>
              <w14:schemeClr w14:val="tx1"/>
            </w14:solidFill>
          </w14:textFill>
        </w:rPr>
        <w:t>至</w:t>
      </w:r>
      <w:r>
        <w:rPr>
          <w:rFonts w:hint="eastAsia" w:ascii="宋体" w:hAnsi="宋体" w:eastAsia="宋体" w:cs="宋体"/>
          <w:color w:val="000000" w:themeColor="text1"/>
          <w:sz w:val="28"/>
          <w:szCs w:val="28"/>
          <w:highlight w:val="none"/>
          <w:u w:val="single"/>
          <w14:textFill>
            <w14:solidFill>
              <w14:schemeClr w14:val="tx1"/>
            </w14:solidFill>
          </w14:textFill>
        </w:rPr>
        <w:t>1</w:t>
      </w:r>
      <w:r>
        <w:rPr>
          <w:rFonts w:hint="eastAsia" w:ascii="宋体" w:hAnsi="宋体" w:cs="宋体"/>
          <w:color w:val="000000" w:themeColor="text1"/>
          <w:sz w:val="28"/>
          <w:szCs w:val="28"/>
          <w:highlight w:val="none"/>
          <w:u w:val="single"/>
          <w:lang w:val="en-US" w:eastAsia="zh-CN"/>
          <w14:textFill>
            <w14:solidFill>
              <w14:schemeClr w14:val="tx1"/>
            </w14:solidFill>
          </w14:textFill>
        </w:rPr>
        <w:t>4</w:t>
      </w:r>
      <w:r>
        <w:rPr>
          <w:rFonts w:hint="eastAsia" w:ascii="宋体" w:hAnsi="宋体" w:eastAsia="宋体" w:cs="宋体"/>
          <w:color w:val="000000" w:themeColor="text1"/>
          <w:sz w:val="28"/>
          <w:szCs w:val="28"/>
          <w:highlight w:val="none"/>
          <w:u w:val="single"/>
          <w14:textFill>
            <w14:solidFill>
              <w14:schemeClr w14:val="tx1"/>
            </w14:solidFill>
          </w14:textFill>
        </w:rPr>
        <w:t>：</w:t>
      </w:r>
      <w:r>
        <w:rPr>
          <w:rFonts w:hint="eastAsia" w:ascii="宋体" w:hAnsi="宋体" w:cs="宋体"/>
          <w:color w:val="000000" w:themeColor="text1"/>
          <w:sz w:val="28"/>
          <w:szCs w:val="28"/>
          <w:highlight w:val="none"/>
          <w:u w:val="single"/>
          <w:lang w:val="en-US" w:eastAsia="zh-CN"/>
          <w14:textFill>
            <w14:solidFill>
              <w14:schemeClr w14:val="tx1"/>
            </w14:solidFill>
          </w14:textFill>
        </w:rPr>
        <w:t>0</w:t>
      </w:r>
      <w:r>
        <w:rPr>
          <w:rFonts w:hint="eastAsia" w:ascii="宋体" w:hAnsi="宋体" w:eastAsia="宋体" w:cs="宋体"/>
          <w:color w:val="000000" w:themeColor="text1"/>
          <w:sz w:val="28"/>
          <w:szCs w:val="28"/>
          <w:highlight w:val="none"/>
          <w:u w:val="single"/>
          <w14:textFill>
            <w14:solidFill>
              <w14:schemeClr w14:val="tx1"/>
            </w14:solidFill>
          </w14:textFill>
        </w:rPr>
        <w:t>0</w:t>
      </w:r>
      <w:r>
        <w:rPr>
          <w:rFonts w:hint="eastAsia" w:ascii="宋体" w:hAnsi="宋体" w:eastAsia="宋体" w:cs="宋体"/>
          <w:color w:val="000000" w:themeColor="text1"/>
          <w:sz w:val="28"/>
          <w:szCs w:val="28"/>
          <w:highlight w:val="none"/>
          <w14:textFill>
            <w14:solidFill>
              <w14:schemeClr w14:val="tx1"/>
            </w14:solidFill>
          </w14:textFill>
        </w:rPr>
        <w:t>，下午</w:t>
      </w:r>
      <w:r>
        <w:rPr>
          <w:rFonts w:hint="eastAsia" w:ascii="宋体" w:hAnsi="宋体" w:eastAsia="宋体" w:cs="宋体"/>
          <w:color w:val="000000" w:themeColor="text1"/>
          <w:sz w:val="28"/>
          <w:szCs w:val="28"/>
          <w:highlight w:val="none"/>
          <w:u w:val="single"/>
          <w14:textFill>
            <w14:solidFill>
              <w14:schemeClr w14:val="tx1"/>
            </w14:solidFill>
          </w14:textFill>
        </w:rPr>
        <w:t>1</w:t>
      </w:r>
      <w:r>
        <w:rPr>
          <w:rFonts w:hint="eastAsia" w:ascii="宋体" w:hAnsi="宋体" w:cs="宋体"/>
          <w:color w:val="000000" w:themeColor="text1"/>
          <w:sz w:val="28"/>
          <w:szCs w:val="28"/>
          <w:highlight w:val="none"/>
          <w:u w:val="single"/>
          <w:lang w:val="en-US" w:eastAsia="zh-CN"/>
          <w14:textFill>
            <w14:solidFill>
              <w14:schemeClr w14:val="tx1"/>
            </w14:solidFill>
          </w14:textFill>
        </w:rPr>
        <w:t>4</w:t>
      </w:r>
      <w:r>
        <w:rPr>
          <w:rFonts w:hint="eastAsia" w:ascii="宋体" w:hAnsi="宋体" w:eastAsia="宋体" w:cs="宋体"/>
          <w:color w:val="000000" w:themeColor="text1"/>
          <w:sz w:val="28"/>
          <w:szCs w:val="28"/>
          <w:highlight w:val="none"/>
          <w:u w:val="single"/>
          <w14:textFill>
            <w14:solidFill>
              <w14:schemeClr w14:val="tx1"/>
            </w14:solidFill>
          </w14:textFill>
        </w:rPr>
        <w:t>：</w:t>
      </w:r>
      <w:r>
        <w:rPr>
          <w:rFonts w:hint="eastAsia" w:ascii="宋体" w:hAnsi="宋体" w:cs="宋体"/>
          <w:color w:val="000000" w:themeColor="text1"/>
          <w:sz w:val="28"/>
          <w:szCs w:val="28"/>
          <w:highlight w:val="none"/>
          <w:u w:val="single"/>
          <w:lang w:val="en-US" w:eastAsia="zh-CN"/>
          <w14:textFill>
            <w14:solidFill>
              <w14:schemeClr w14:val="tx1"/>
            </w14:solidFill>
          </w14:textFill>
        </w:rPr>
        <w:t>0</w:t>
      </w:r>
      <w:r>
        <w:rPr>
          <w:rFonts w:hint="eastAsia" w:ascii="宋体" w:hAnsi="宋体" w:eastAsia="宋体" w:cs="宋体"/>
          <w:color w:val="000000" w:themeColor="text1"/>
          <w:sz w:val="28"/>
          <w:szCs w:val="28"/>
          <w:highlight w:val="none"/>
          <w:u w:val="single"/>
          <w14:textFill>
            <w14:solidFill>
              <w14:schemeClr w14:val="tx1"/>
            </w14:solidFill>
          </w14:textFill>
        </w:rPr>
        <w:t>0</w:t>
      </w:r>
      <w:r>
        <w:rPr>
          <w:rFonts w:hint="eastAsia" w:ascii="宋体" w:hAnsi="宋体" w:eastAsia="宋体" w:cs="宋体"/>
          <w:color w:val="000000" w:themeColor="text1"/>
          <w:sz w:val="28"/>
          <w:szCs w:val="28"/>
          <w:highlight w:val="none"/>
          <w14:textFill>
            <w14:solidFill>
              <w14:schemeClr w14:val="tx1"/>
            </w14:solidFill>
          </w14:textFill>
        </w:rPr>
        <w:t>至</w:t>
      </w:r>
      <w:r>
        <w:rPr>
          <w:rFonts w:hint="eastAsia" w:ascii="宋体" w:hAnsi="宋体" w:cs="宋体"/>
          <w:color w:val="000000" w:themeColor="text1"/>
          <w:sz w:val="28"/>
          <w:szCs w:val="28"/>
          <w:highlight w:val="none"/>
          <w:u w:val="single"/>
          <w:lang w:val="en-US" w:eastAsia="zh-CN"/>
          <w14:textFill>
            <w14:solidFill>
              <w14:schemeClr w14:val="tx1"/>
            </w14:solidFill>
          </w14:textFill>
        </w:rPr>
        <w:t>23</w:t>
      </w:r>
      <w:r>
        <w:rPr>
          <w:rFonts w:hint="eastAsia" w:ascii="宋体" w:hAnsi="宋体" w:eastAsia="宋体" w:cs="宋体"/>
          <w:color w:val="000000" w:themeColor="text1"/>
          <w:sz w:val="28"/>
          <w:szCs w:val="28"/>
          <w:highlight w:val="none"/>
          <w:u w:val="single"/>
          <w14:textFill>
            <w14:solidFill>
              <w14:schemeClr w14:val="tx1"/>
            </w14:solidFill>
          </w14:textFill>
        </w:rPr>
        <w:t>:</w:t>
      </w:r>
      <w:r>
        <w:rPr>
          <w:rFonts w:hint="eastAsia" w:ascii="宋体" w:hAnsi="宋体" w:cs="宋体"/>
          <w:color w:val="000000" w:themeColor="text1"/>
          <w:sz w:val="28"/>
          <w:szCs w:val="28"/>
          <w:highlight w:val="none"/>
          <w:u w:val="single"/>
          <w:lang w:val="en-US" w:eastAsia="zh-CN"/>
          <w14:textFill>
            <w14:solidFill>
              <w14:schemeClr w14:val="tx1"/>
            </w14:solidFill>
          </w14:textFill>
        </w:rPr>
        <w:t>59</w:t>
      </w:r>
      <w:r>
        <w:rPr>
          <w:rFonts w:hint="eastAsia" w:ascii="宋体" w:hAnsi="宋体" w:eastAsia="宋体" w:cs="宋体"/>
          <w:color w:val="000000" w:themeColor="text1"/>
          <w:sz w:val="28"/>
          <w:szCs w:val="28"/>
          <w:highlight w:val="none"/>
          <w14:textFill>
            <w14:solidFill>
              <w14:schemeClr w14:val="tx1"/>
            </w14:solidFill>
          </w14:textFill>
        </w:rPr>
        <w:t>（北京时间，法定节假日除外 ）</w:t>
      </w:r>
    </w:p>
    <w:p w14:paraId="320B6CB8">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宋体" w:hAnsi="宋体" w:eastAsia="宋体" w:cs="宋体"/>
          <w:color w:val="000000" w:themeColor="text1"/>
          <w:sz w:val="28"/>
          <w:szCs w:val="28"/>
          <w:highlight w:val="none"/>
          <w:u w:val="singl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地点：新疆政府采购网（http://www.ccgp-xinjiang.gov.cn）政采云平台线上获取</w:t>
      </w:r>
    </w:p>
    <w:p w14:paraId="7DB2C401">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方式：供应商登录政采云平台https://www.zcygov.cn/在线申请获取采购文件（进入“项目采购”应用，在获取采购文件菜单中选择项目，申请获取采购文件）。</w:t>
      </w:r>
    </w:p>
    <w:p w14:paraId="59E2415C">
      <w:pPr>
        <w:pStyle w:val="3"/>
        <w:keepNext/>
        <w:keepLines/>
        <w:pageBreakBefore w:val="0"/>
        <w:widowControl w:val="0"/>
        <w:kinsoku/>
        <w:wordWrap/>
        <w:overflowPunct/>
        <w:topLinePunct w:val="0"/>
        <w:autoSpaceDE/>
        <w:autoSpaceDN/>
        <w:bidi w:val="0"/>
        <w:adjustRightInd/>
        <w:snapToGrid/>
        <w:spacing w:before="0" w:after="0" w:line="560" w:lineRule="exact"/>
        <w:ind w:left="0" w:leftChars="0"/>
        <w:textAlignment w:val="auto"/>
        <w:rPr>
          <w:rFonts w:hint="eastAsia" w:ascii="宋体" w:hAnsi="宋体" w:eastAsia="宋体" w:cs="宋体"/>
          <w:color w:val="000000" w:themeColor="text1"/>
          <w:sz w:val="28"/>
          <w:szCs w:val="28"/>
          <w:highlight w:val="none"/>
          <w14:textFill>
            <w14:solidFill>
              <w14:schemeClr w14:val="tx1"/>
            </w14:solidFill>
          </w14:textFill>
        </w:rPr>
      </w:pPr>
      <w:bookmarkStart w:id="22" w:name="_Toc35393632"/>
      <w:bookmarkStart w:id="23" w:name="_Toc28359092"/>
      <w:bookmarkStart w:id="24" w:name="_Toc28359015"/>
      <w:bookmarkStart w:id="25" w:name="_Toc35393801"/>
      <w:bookmarkStart w:id="26" w:name="_Toc138610878"/>
      <w:bookmarkStart w:id="27" w:name="_Toc103813444"/>
      <w:bookmarkStart w:id="28" w:name="_Toc9469"/>
      <w:r>
        <w:rPr>
          <w:rFonts w:hint="eastAsia" w:ascii="宋体" w:hAnsi="宋体" w:eastAsia="宋体" w:cs="宋体"/>
          <w:color w:val="000000" w:themeColor="text1"/>
          <w:sz w:val="28"/>
          <w:szCs w:val="28"/>
          <w:highlight w:val="none"/>
          <w14:textFill>
            <w14:solidFill>
              <w14:schemeClr w14:val="tx1"/>
            </w14:solidFill>
          </w14:textFill>
        </w:rPr>
        <w:t>四、响应文件截止时间、提交</w:t>
      </w:r>
      <w:bookmarkEnd w:id="22"/>
      <w:bookmarkEnd w:id="23"/>
      <w:bookmarkEnd w:id="24"/>
      <w:bookmarkEnd w:id="25"/>
      <w:r>
        <w:rPr>
          <w:rFonts w:hint="eastAsia" w:ascii="宋体" w:hAnsi="宋体" w:eastAsia="宋体" w:cs="宋体"/>
          <w:color w:val="000000" w:themeColor="text1"/>
          <w:sz w:val="28"/>
          <w:szCs w:val="28"/>
          <w:highlight w:val="none"/>
          <w14:textFill>
            <w14:solidFill>
              <w14:schemeClr w14:val="tx1"/>
            </w14:solidFill>
          </w14:textFill>
        </w:rPr>
        <w:t>地址</w:t>
      </w:r>
      <w:bookmarkEnd w:id="26"/>
      <w:bookmarkEnd w:id="27"/>
      <w:r>
        <w:rPr>
          <w:rFonts w:hint="eastAsia" w:ascii="宋体" w:hAnsi="宋体" w:eastAsia="宋体" w:cs="宋体"/>
          <w:color w:val="000000" w:themeColor="text1"/>
          <w:sz w:val="28"/>
          <w:szCs w:val="28"/>
          <w:highlight w:val="none"/>
          <w14:textFill>
            <w14:solidFill>
              <w14:schemeClr w14:val="tx1"/>
            </w14:solidFill>
          </w14:textFill>
        </w:rPr>
        <w:t>：</w:t>
      </w:r>
      <w:bookmarkEnd w:id="28"/>
    </w:p>
    <w:p w14:paraId="429BBFAF">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宋体" w:hAnsi="宋体" w:eastAsia="宋体" w:cs="宋体"/>
          <w:bCs/>
          <w:color w:val="000000" w:themeColor="text1"/>
          <w:sz w:val="28"/>
          <w:szCs w:val="28"/>
          <w:highlight w:val="none"/>
          <w:u w:val="singl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截止时间：</w:t>
      </w:r>
      <w:r>
        <w:rPr>
          <w:rFonts w:hint="eastAsia" w:ascii="宋体" w:hAnsi="宋体" w:eastAsia="宋体" w:cs="宋体"/>
          <w:b/>
          <w:bCs/>
          <w:color w:val="000000" w:themeColor="text1"/>
          <w:sz w:val="28"/>
          <w:szCs w:val="28"/>
          <w:highlight w:val="none"/>
          <w:u w:val="single"/>
          <w14:textFill>
            <w14:solidFill>
              <w14:schemeClr w14:val="tx1"/>
            </w14:solidFill>
          </w14:textFill>
        </w:rPr>
        <w:t>202</w:t>
      </w:r>
      <w:r>
        <w:rPr>
          <w:rFonts w:hint="eastAsia" w:ascii="宋体" w:hAnsi="宋体" w:cs="宋体"/>
          <w:b/>
          <w:bCs/>
          <w:color w:val="000000" w:themeColor="text1"/>
          <w:sz w:val="28"/>
          <w:szCs w:val="28"/>
          <w:highlight w:val="none"/>
          <w:u w:val="single"/>
          <w:lang w:val="en-US" w:eastAsia="zh-CN"/>
          <w14:textFill>
            <w14:solidFill>
              <w14:schemeClr w14:val="tx1"/>
            </w14:solidFill>
          </w14:textFill>
        </w:rPr>
        <w:t>5</w:t>
      </w:r>
      <w:r>
        <w:rPr>
          <w:rFonts w:hint="eastAsia" w:ascii="宋体" w:hAnsi="宋体" w:eastAsia="宋体" w:cs="宋体"/>
          <w:b/>
          <w:bCs/>
          <w:color w:val="000000" w:themeColor="text1"/>
          <w:sz w:val="28"/>
          <w:szCs w:val="28"/>
          <w:highlight w:val="none"/>
          <w:u w:val="single"/>
          <w14:textFill>
            <w14:solidFill>
              <w14:schemeClr w14:val="tx1"/>
            </w14:solidFill>
          </w14:textFill>
        </w:rPr>
        <w:t>年</w:t>
      </w:r>
      <w:r>
        <w:rPr>
          <w:rFonts w:hint="eastAsia" w:ascii="宋体" w:hAnsi="宋体" w:cs="宋体"/>
          <w:b/>
          <w:bCs/>
          <w:color w:val="000000" w:themeColor="text1"/>
          <w:sz w:val="28"/>
          <w:szCs w:val="28"/>
          <w:highlight w:val="none"/>
          <w:u w:val="single"/>
          <w:lang w:val="en-US" w:eastAsia="zh-CN"/>
          <w14:textFill>
            <w14:solidFill>
              <w14:schemeClr w14:val="tx1"/>
            </w14:solidFill>
          </w14:textFill>
        </w:rPr>
        <w:t>07</w:t>
      </w:r>
      <w:r>
        <w:rPr>
          <w:rFonts w:hint="eastAsia" w:ascii="宋体" w:hAnsi="宋体" w:eastAsia="宋体" w:cs="宋体"/>
          <w:b/>
          <w:bCs/>
          <w:color w:val="000000" w:themeColor="text1"/>
          <w:sz w:val="28"/>
          <w:szCs w:val="28"/>
          <w:highlight w:val="none"/>
          <w:u w:val="single"/>
          <w14:textFill>
            <w14:solidFill>
              <w14:schemeClr w14:val="tx1"/>
            </w14:solidFill>
          </w14:textFill>
        </w:rPr>
        <w:t>月</w:t>
      </w:r>
      <w:r>
        <w:rPr>
          <w:rFonts w:hint="eastAsia" w:ascii="宋体" w:hAnsi="宋体" w:cs="宋体"/>
          <w:b/>
          <w:bCs/>
          <w:color w:val="000000" w:themeColor="text1"/>
          <w:sz w:val="28"/>
          <w:szCs w:val="28"/>
          <w:highlight w:val="none"/>
          <w:u w:val="single"/>
          <w:lang w:val="en-US" w:eastAsia="zh-CN"/>
          <w14:textFill>
            <w14:solidFill>
              <w14:schemeClr w14:val="tx1"/>
            </w14:solidFill>
          </w14:textFill>
        </w:rPr>
        <w:t>17</w:t>
      </w:r>
      <w:r>
        <w:rPr>
          <w:rFonts w:hint="eastAsia" w:ascii="宋体" w:hAnsi="宋体" w:eastAsia="宋体" w:cs="宋体"/>
          <w:b/>
          <w:bCs/>
          <w:color w:val="000000" w:themeColor="text1"/>
          <w:sz w:val="28"/>
          <w:szCs w:val="28"/>
          <w:highlight w:val="none"/>
          <w:u w:val="single"/>
          <w14:textFill>
            <w14:solidFill>
              <w14:schemeClr w14:val="tx1"/>
            </w14:solidFill>
          </w14:textFill>
        </w:rPr>
        <w:t>日1</w:t>
      </w:r>
      <w:r>
        <w:rPr>
          <w:rFonts w:hint="eastAsia" w:ascii="宋体" w:hAnsi="宋体" w:cs="宋体"/>
          <w:b/>
          <w:bCs/>
          <w:color w:val="000000" w:themeColor="text1"/>
          <w:sz w:val="28"/>
          <w:szCs w:val="28"/>
          <w:highlight w:val="none"/>
          <w:u w:val="single"/>
          <w:lang w:val="en-US" w:eastAsia="zh-CN"/>
          <w14:textFill>
            <w14:solidFill>
              <w14:schemeClr w14:val="tx1"/>
            </w14:solidFill>
          </w14:textFill>
        </w:rPr>
        <w:t>1</w:t>
      </w:r>
      <w:r>
        <w:rPr>
          <w:rFonts w:hint="eastAsia" w:ascii="宋体" w:hAnsi="宋体" w:eastAsia="宋体" w:cs="宋体"/>
          <w:b/>
          <w:bCs/>
          <w:color w:val="000000" w:themeColor="text1"/>
          <w:sz w:val="28"/>
          <w:szCs w:val="28"/>
          <w:highlight w:val="none"/>
          <w:u w:val="single"/>
          <w14:textFill>
            <w14:solidFill>
              <w14:schemeClr w14:val="tx1"/>
            </w14:solidFill>
          </w14:textFill>
        </w:rPr>
        <w:t>点00分</w:t>
      </w:r>
      <w:r>
        <w:rPr>
          <w:rFonts w:hint="eastAsia" w:ascii="宋体" w:hAnsi="宋体" w:eastAsia="宋体" w:cs="宋体"/>
          <w:bCs/>
          <w:color w:val="000000" w:themeColor="text1"/>
          <w:sz w:val="28"/>
          <w:szCs w:val="28"/>
          <w:highlight w:val="none"/>
          <w14:textFill>
            <w14:solidFill>
              <w14:schemeClr w14:val="tx1"/>
            </w14:solidFill>
          </w14:textFill>
        </w:rPr>
        <w:t>（北京时间）</w:t>
      </w:r>
    </w:p>
    <w:p w14:paraId="2E1F04FF">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提交地址：</w:t>
      </w:r>
      <w:bookmarkStart w:id="29" w:name="_Toc35393802"/>
      <w:bookmarkStart w:id="30" w:name="_Toc35393633"/>
      <w:bookmarkStart w:id="31" w:name="_Toc28359093"/>
      <w:bookmarkStart w:id="32" w:name="_Toc28359016"/>
      <w:r>
        <w:rPr>
          <w:rFonts w:hint="eastAsia" w:ascii="宋体" w:hAnsi="宋体" w:eastAsia="宋体" w:cs="宋体"/>
          <w:color w:val="000000" w:themeColor="text1"/>
          <w:sz w:val="28"/>
          <w:szCs w:val="28"/>
          <w:highlight w:val="none"/>
          <w14:textFill>
            <w14:solidFill>
              <w14:schemeClr w14:val="tx1"/>
            </w14:solidFill>
          </w14:textFill>
        </w:rPr>
        <w:t>新疆政府采购网（</w:t>
      </w:r>
      <w:r>
        <w:rPr>
          <w:rFonts w:hint="eastAsia" w:ascii="宋体" w:hAnsi="宋体" w:eastAsia="宋体" w:cs="宋体"/>
          <w:color w:val="000000" w:themeColor="text1"/>
          <w:sz w:val="28"/>
          <w:szCs w:val="28"/>
          <w:highlight w:val="none"/>
          <w14:textFill>
            <w14:solidFill>
              <w14:schemeClr w14:val="tx1"/>
            </w14:solidFill>
          </w14:textFill>
        </w:rPr>
        <w:fldChar w:fldCharType="begin"/>
      </w:r>
      <w:r>
        <w:rPr>
          <w:rFonts w:hint="eastAsia" w:ascii="宋体" w:hAnsi="宋体" w:eastAsia="宋体" w:cs="宋体"/>
          <w:color w:val="000000" w:themeColor="text1"/>
          <w:sz w:val="28"/>
          <w:szCs w:val="28"/>
          <w:highlight w:val="none"/>
          <w14:textFill>
            <w14:solidFill>
              <w14:schemeClr w14:val="tx1"/>
            </w14:solidFill>
          </w14:textFill>
        </w:rPr>
        <w:instrText xml:space="preserve"> HYPERLINK "http://www.ccgp-xinjiang.gov.cn）政采" </w:instrText>
      </w:r>
      <w:r>
        <w:rPr>
          <w:rFonts w:hint="eastAsia" w:ascii="宋体" w:hAnsi="宋体" w:eastAsia="宋体" w:cs="宋体"/>
          <w:color w:val="000000" w:themeColor="text1"/>
          <w:sz w:val="28"/>
          <w:szCs w:val="28"/>
          <w:highlight w:val="none"/>
          <w14:textFill>
            <w14:solidFill>
              <w14:schemeClr w14:val="tx1"/>
            </w14:solidFill>
          </w14:textFill>
        </w:rPr>
        <w:fldChar w:fldCharType="separate"/>
      </w:r>
      <w:r>
        <w:rPr>
          <w:rStyle w:val="39"/>
          <w:rFonts w:hint="eastAsia" w:ascii="宋体" w:hAnsi="宋体" w:eastAsia="宋体" w:cs="宋体"/>
          <w:color w:val="000000" w:themeColor="text1"/>
          <w:sz w:val="28"/>
          <w:szCs w:val="28"/>
          <w:highlight w:val="none"/>
          <w14:textFill>
            <w14:solidFill>
              <w14:schemeClr w14:val="tx1"/>
            </w14:solidFill>
          </w14:textFill>
        </w:rPr>
        <w:t>http://www.ccgp-xinjiang.gov.cn）</w:t>
      </w:r>
      <w:r>
        <w:rPr>
          <w:rStyle w:val="39"/>
          <w:rFonts w:hint="eastAsia" w:ascii="宋体" w:hAnsi="宋体" w:eastAsia="宋体" w:cs="宋体"/>
          <w:color w:val="000000" w:themeColor="text1"/>
          <w:sz w:val="28"/>
          <w:szCs w:val="28"/>
          <w:highlight w:val="none"/>
          <w:u w:val="none"/>
          <w14:textFill>
            <w14:solidFill>
              <w14:schemeClr w14:val="tx1"/>
            </w14:solidFill>
          </w14:textFill>
        </w:rPr>
        <w:t>政采</w:t>
      </w:r>
      <w:r>
        <w:rPr>
          <w:rStyle w:val="39"/>
          <w:rFonts w:hint="eastAsia" w:ascii="宋体" w:hAnsi="宋体" w:eastAsia="宋体" w:cs="宋体"/>
          <w:color w:val="000000" w:themeColor="text1"/>
          <w:sz w:val="28"/>
          <w:szCs w:val="28"/>
          <w:highlight w:val="none"/>
          <w:u w:val="none"/>
          <w14:textFill>
            <w14:solidFill>
              <w14:schemeClr w14:val="tx1"/>
            </w14:solidFill>
          </w14:textFill>
        </w:rPr>
        <w:fldChar w:fldCharType="end"/>
      </w:r>
      <w:r>
        <w:rPr>
          <w:rFonts w:hint="eastAsia" w:ascii="宋体" w:hAnsi="宋体" w:eastAsia="宋体" w:cs="宋体"/>
          <w:color w:val="000000" w:themeColor="text1"/>
          <w:sz w:val="28"/>
          <w:szCs w:val="28"/>
          <w:highlight w:val="none"/>
          <w14:textFill>
            <w14:solidFill>
              <w14:schemeClr w14:val="tx1"/>
            </w14:solidFill>
          </w14:textFill>
        </w:rPr>
        <w:t>云投标客户端投标</w:t>
      </w:r>
    </w:p>
    <w:p w14:paraId="6CB96514">
      <w:pPr>
        <w:pStyle w:val="3"/>
        <w:keepNext/>
        <w:keepLines/>
        <w:pageBreakBefore w:val="0"/>
        <w:widowControl w:val="0"/>
        <w:kinsoku/>
        <w:wordWrap/>
        <w:overflowPunct/>
        <w:topLinePunct w:val="0"/>
        <w:autoSpaceDE/>
        <w:autoSpaceDN/>
        <w:bidi w:val="0"/>
        <w:adjustRightInd/>
        <w:snapToGrid/>
        <w:spacing w:before="0" w:after="0" w:line="560" w:lineRule="exact"/>
        <w:ind w:left="0" w:leftChars="0"/>
        <w:textAlignment w:val="auto"/>
        <w:rPr>
          <w:rFonts w:hint="eastAsia" w:ascii="宋体" w:hAnsi="宋体" w:eastAsia="宋体" w:cs="宋体"/>
          <w:color w:val="000000" w:themeColor="text1"/>
          <w:sz w:val="28"/>
          <w:szCs w:val="28"/>
          <w:highlight w:val="none"/>
          <w14:textFill>
            <w14:solidFill>
              <w14:schemeClr w14:val="tx1"/>
            </w14:solidFill>
          </w14:textFill>
        </w:rPr>
      </w:pPr>
      <w:bookmarkStart w:id="33" w:name="_Toc28932"/>
      <w:r>
        <w:rPr>
          <w:rFonts w:hint="eastAsia" w:ascii="宋体" w:hAnsi="宋体" w:eastAsia="宋体" w:cs="宋体"/>
          <w:color w:val="000000" w:themeColor="text1"/>
          <w:sz w:val="28"/>
          <w:szCs w:val="28"/>
          <w:highlight w:val="none"/>
          <w14:textFill>
            <w14:solidFill>
              <w14:schemeClr w14:val="tx1"/>
            </w14:solidFill>
          </w14:textFill>
        </w:rPr>
        <w:t>五、</w:t>
      </w:r>
      <w:bookmarkEnd w:id="29"/>
      <w:bookmarkEnd w:id="30"/>
      <w:bookmarkEnd w:id="31"/>
      <w:bookmarkEnd w:id="32"/>
      <w:r>
        <w:rPr>
          <w:rFonts w:hint="eastAsia" w:ascii="宋体" w:hAnsi="宋体" w:eastAsia="宋体" w:cs="宋体"/>
          <w:color w:val="000000" w:themeColor="text1"/>
          <w:sz w:val="28"/>
          <w:szCs w:val="28"/>
          <w:highlight w:val="none"/>
          <w14:textFill>
            <w14:solidFill>
              <w14:schemeClr w14:val="tx1"/>
            </w14:solidFill>
          </w14:textFill>
        </w:rPr>
        <w:t>提交投标文件截止时间、开标时间和地点：</w:t>
      </w:r>
      <w:bookmarkEnd w:id="33"/>
    </w:p>
    <w:p w14:paraId="71E2179D">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宋体" w:hAnsi="宋体" w:eastAsia="宋体" w:cs="宋体"/>
          <w:bCs/>
          <w:color w:val="000000" w:themeColor="text1"/>
          <w:sz w:val="28"/>
          <w:szCs w:val="28"/>
          <w:highlight w:val="none"/>
          <w:u w:val="singl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开标时间：</w:t>
      </w:r>
      <w:r>
        <w:rPr>
          <w:rFonts w:hint="eastAsia" w:ascii="宋体" w:hAnsi="宋体" w:eastAsia="宋体" w:cs="宋体"/>
          <w:b/>
          <w:bCs/>
          <w:color w:val="000000" w:themeColor="text1"/>
          <w:sz w:val="28"/>
          <w:szCs w:val="28"/>
          <w:highlight w:val="none"/>
          <w:u w:val="single"/>
          <w14:textFill>
            <w14:solidFill>
              <w14:schemeClr w14:val="tx1"/>
            </w14:solidFill>
          </w14:textFill>
        </w:rPr>
        <w:t>202</w:t>
      </w:r>
      <w:r>
        <w:rPr>
          <w:rFonts w:hint="eastAsia" w:ascii="宋体" w:hAnsi="宋体" w:cs="宋体"/>
          <w:b/>
          <w:bCs/>
          <w:color w:val="000000" w:themeColor="text1"/>
          <w:sz w:val="28"/>
          <w:szCs w:val="28"/>
          <w:highlight w:val="none"/>
          <w:u w:val="single"/>
          <w:lang w:val="en-US" w:eastAsia="zh-CN"/>
          <w14:textFill>
            <w14:solidFill>
              <w14:schemeClr w14:val="tx1"/>
            </w14:solidFill>
          </w14:textFill>
        </w:rPr>
        <w:t>5</w:t>
      </w:r>
      <w:r>
        <w:rPr>
          <w:rFonts w:hint="eastAsia" w:ascii="宋体" w:hAnsi="宋体" w:eastAsia="宋体" w:cs="宋体"/>
          <w:b/>
          <w:bCs/>
          <w:color w:val="000000" w:themeColor="text1"/>
          <w:sz w:val="28"/>
          <w:szCs w:val="28"/>
          <w:highlight w:val="none"/>
          <w:u w:val="single"/>
          <w14:textFill>
            <w14:solidFill>
              <w14:schemeClr w14:val="tx1"/>
            </w14:solidFill>
          </w14:textFill>
        </w:rPr>
        <w:t>年</w:t>
      </w:r>
      <w:r>
        <w:rPr>
          <w:rFonts w:hint="eastAsia" w:ascii="宋体" w:hAnsi="宋体" w:cs="宋体"/>
          <w:b/>
          <w:bCs/>
          <w:color w:val="000000" w:themeColor="text1"/>
          <w:sz w:val="28"/>
          <w:szCs w:val="28"/>
          <w:highlight w:val="none"/>
          <w:u w:val="single"/>
          <w:lang w:val="en-US" w:eastAsia="zh-CN"/>
          <w14:textFill>
            <w14:solidFill>
              <w14:schemeClr w14:val="tx1"/>
            </w14:solidFill>
          </w14:textFill>
        </w:rPr>
        <w:t>07</w:t>
      </w:r>
      <w:r>
        <w:rPr>
          <w:rFonts w:hint="eastAsia" w:ascii="宋体" w:hAnsi="宋体" w:eastAsia="宋体" w:cs="宋体"/>
          <w:b/>
          <w:bCs/>
          <w:color w:val="000000" w:themeColor="text1"/>
          <w:sz w:val="28"/>
          <w:szCs w:val="28"/>
          <w:highlight w:val="none"/>
          <w:u w:val="single"/>
          <w14:textFill>
            <w14:solidFill>
              <w14:schemeClr w14:val="tx1"/>
            </w14:solidFill>
          </w14:textFill>
        </w:rPr>
        <w:t>月</w:t>
      </w:r>
      <w:r>
        <w:rPr>
          <w:rFonts w:hint="eastAsia" w:ascii="宋体" w:hAnsi="宋体" w:cs="宋体"/>
          <w:b/>
          <w:bCs/>
          <w:color w:val="000000" w:themeColor="text1"/>
          <w:sz w:val="28"/>
          <w:szCs w:val="28"/>
          <w:highlight w:val="none"/>
          <w:u w:val="single"/>
          <w:lang w:val="en-US" w:eastAsia="zh-CN"/>
          <w14:textFill>
            <w14:solidFill>
              <w14:schemeClr w14:val="tx1"/>
            </w14:solidFill>
          </w14:textFill>
        </w:rPr>
        <w:t>17</w:t>
      </w:r>
      <w:r>
        <w:rPr>
          <w:rFonts w:hint="eastAsia" w:ascii="宋体" w:hAnsi="宋体" w:eastAsia="宋体" w:cs="宋体"/>
          <w:b/>
          <w:bCs/>
          <w:color w:val="000000" w:themeColor="text1"/>
          <w:sz w:val="28"/>
          <w:szCs w:val="28"/>
          <w:highlight w:val="none"/>
          <w:u w:val="single"/>
          <w14:textFill>
            <w14:solidFill>
              <w14:schemeClr w14:val="tx1"/>
            </w14:solidFill>
          </w14:textFill>
        </w:rPr>
        <w:t>日1</w:t>
      </w:r>
      <w:r>
        <w:rPr>
          <w:rFonts w:hint="eastAsia" w:ascii="宋体" w:hAnsi="宋体" w:cs="宋体"/>
          <w:b/>
          <w:bCs/>
          <w:color w:val="000000" w:themeColor="text1"/>
          <w:sz w:val="28"/>
          <w:szCs w:val="28"/>
          <w:highlight w:val="none"/>
          <w:u w:val="single"/>
          <w:lang w:val="en-US" w:eastAsia="zh-CN"/>
          <w14:textFill>
            <w14:solidFill>
              <w14:schemeClr w14:val="tx1"/>
            </w14:solidFill>
          </w14:textFill>
        </w:rPr>
        <w:t>1</w:t>
      </w:r>
      <w:r>
        <w:rPr>
          <w:rFonts w:hint="eastAsia" w:ascii="宋体" w:hAnsi="宋体" w:eastAsia="宋体" w:cs="宋体"/>
          <w:b/>
          <w:bCs/>
          <w:color w:val="000000" w:themeColor="text1"/>
          <w:sz w:val="28"/>
          <w:szCs w:val="28"/>
          <w:highlight w:val="none"/>
          <w:u w:val="single"/>
          <w14:textFill>
            <w14:solidFill>
              <w14:schemeClr w14:val="tx1"/>
            </w14:solidFill>
          </w14:textFill>
        </w:rPr>
        <w:t>点00分</w:t>
      </w:r>
      <w:r>
        <w:rPr>
          <w:rFonts w:hint="eastAsia" w:ascii="宋体" w:hAnsi="宋体" w:eastAsia="宋体" w:cs="宋体"/>
          <w:bCs/>
          <w:color w:val="000000" w:themeColor="text1"/>
          <w:sz w:val="28"/>
          <w:szCs w:val="28"/>
          <w:highlight w:val="none"/>
          <w14:textFill>
            <w14:solidFill>
              <w14:schemeClr w14:val="tx1"/>
            </w14:solidFill>
          </w14:textFill>
        </w:rPr>
        <w:t>（北京时间）</w:t>
      </w:r>
    </w:p>
    <w:p w14:paraId="0F093981">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开标地点：新疆政府采购网（</w:t>
      </w:r>
      <w:r>
        <w:rPr>
          <w:rFonts w:hint="eastAsia" w:ascii="宋体" w:hAnsi="宋体" w:eastAsia="宋体" w:cs="宋体"/>
          <w:color w:val="000000" w:themeColor="text1"/>
          <w:sz w:val="28"/>
          <w:szCs w:val="28"/>
          <w:highlight w:val="none"/>
          <w14:textFill>
            <w14:solidFill>
              <w14:schemeClr w14:val="tx1"/>
            </w14:solidFill>
          </w14:textFill>
        </w:rPr>
        <w:fldChar w:fldCharType="begin"/>
      </w:r>
      <w:r>
        <w:rPr>
          <w:rFonts w:hint="eastAsia" w:ascii="宋体" w:hAnsi="宋体" w:eastAsia="宋体" w:cs="宋体"/>
          <w:color w:val="000000" w:themeColor="text1"/>
          <w:sz w:val="28"/>
          <w:szCs w:val="28"/>
          <w:highlight w:val="none"/>
          <w14:textFill>
            <w14:solidFill>
              <w14:schemeClr w14:val="tx1"/>
            </w14:solidFill>
          </w14:textFill>
        </w:rPr>
        <w:instrText xml:space="preserve"> HYPERLINK "http://www.ccgp-xinjiang.gov.cn）政采" </w:instrText>
      </w:r>
      <w:r>
        <w:rPr>
          <w:rFonts w:hint="eastAsia" w:ascii="宋体" w:hAnsi="宋体" w:eastAsia="宋体" w:cs="宋体"/>
          <w:color w:val="000000" w:themeColor="text1"/>
          <w:sz w:val="28"/>
          <w:szCs w:val="28"/>
          <w:highlight w:val="none"/>
          <w14:textFill>
            <w14:solidFill>
              <w14:schemeClr w14:val="tx1"/>
            </w14:solidFill>
          </w14:textFill>
        </w:rPr>
        <w:fldChar w:fldCharType="separate"/>
      </w:r>
      <w:r>
        <w:rPr>
          <w:rStyle w:val="39"/>
          <w:rFonts w:hint="eastAsia" w:ascii="宋体" w:hAnsi="宋体" w:eastAsia="宋体" w:cs="宋体"/>
          <w:color w:val="000000" w:themeColor="text1"/>
          <w:sz w:val="28"/>
          <w:szCs w:val="28"/>
          <w:highlight w:val="none"/>
          <w14:textFill>
            <w14:solidFill>
              <w14:schemeClr w14:val="tx1"/>
            </w14:solidFill>
          </w14:textFill>
        </w:rPr>
        <w:t>http://www.ccgp-xinjiang.gov.cn）</w:t>
      </w:r>
      <w:r>
        <w:rPr>
          <w:rStyle w:val="39"/>
          <w:rFonts w:hint="eastAsia" w:ascii="宋体" w:hAnsi="宋体" w:eastAsia="宋体" w:cs="宋体"/>
          <w:color w:val="000000" w:themeColor="text1"/>
          <w:sz w:val="28"/>
          <w:szCs w:val="28"/>
          <w:highlight w:val="none"/>
          <w:u w:val="none"/>
          <w14:textFill>
            <w14:solidFill>
              <w14:schemeClr w14:val="tx1"/>
            </w14:solidFill>
          </w14:textFill>
        </w:rPr>
        <w:t>政采</w:t>
      </w:r>
      <w:r>
        <w:rPr>
          <w:rStyle w:val="39"/>
          <w:rFonts w:hint="eastAsia" w:ascii="宋体" w:hAnsi="宋体" w:eastAsia="宋体" w:cs="宋体"/>
          <w:color w:val="000000" w:themeColor="text1"/>
          <w:sz w:val="28"/>
          <w:szCs w:val="28"/>
          <w:highlight w:val="none"/>
          <w14:textFill>
            <w14:solidFill>
              <w14:schemeClr w14:val="tx1"/>
            </w14:solidFill>
          </w14:textFill>
        </w:rPr>
        <w:fldChar w:fldCharType="end"/>
      </w:r>
      <w:r>
        <w:rPr>
          <w:rFonts w:hint="eastAsia" w:ascii="宋体" w:hAnsi="宋体" w:eastAsia="宋体" w:cs="宋体"/>
          <w:color w:val="000000" w:themeColor="text1"/>
          <w:sz w:val="28"/>
          <w:szCs w:val="28"/>
          <w:highlight w:val="none"/>
          <w14:textFill>
            <w14:solidFill>
              <w14:schemeClr w14:val="tx1"/>
            </w14:solidFill>
          </w14:textFill>
        </w:rPr>
        <w:t>云平台</w:t>
      </w:r>
      <w:bookmarkStart w:id="34" w:name="_Toc35393634"/>
      <w:bookmarkStart w:id="35" w:name="_Toc28359094"/>
      <w:bookmarkStart w:id="36" w:name="_Toc138610879"/>
      <w:bookmarkStart w:id="37" w:name="_Toc28359017"/>
      <w:bookmarkStart w:id="38" w:name="_Toc103813445"/>
      <w:bookmarkStart w:id="39" w:name="_Toc35393803"/>
    </w:p>
    <w:p w14:paraId="401A9697">
      <w:pPr>
        <w:pStyle w:val="3"/>
        <w:keepNext/>
        <w:keepLines/>
        <w:pageBreakBefore w:val="0"/>
        <w:widowControl w:val="0"/>
        <w:kinsoku/>
        <w:wordWrap/>
        <w:overflowPunct/>
        <w:topLinePunct w:val="0"/>
        <w:autoSpaceDE/>
        <w:autoSpaceDN/>
        <w:bidi w:val="0"/>
        <w:adjustRightInd/>
        <w:snapToGrid/>
        <w:spacing w:before="0" w:after="0" w:line="560" w:lineRule="exact"/>
        <w:ind w:left="0" w:leftChars="0"/>
        <w:textAlignment w:val="auto"/>
        <w:rPr>
          <w:rFonts w:hint="eastAsia" w:ascii="宋体" w:hAnsi="宋体" w:eastAsia="宋体" w:cs="宋体"/>
          <w:color w:val="000000" w:themeColor="text1"/>
          <w:sz w:val="28"/>
          <w:szCs w:val="28"/>
          <w:highlight w:val="none"/>
          <w14:textFill>
            <w14:solidFill>
              <w14:schemeClr w14:val="tx1"/>
            </w14:solidFill>
          </w14:textFill>
        </w:rPr>
      </w:pPr>
      <w:bookmarkStart w:id="40" w:name="_Toc15056"/>
      <w:r>
        <w:rPr>
          <w:rFonts w:hint="eastAsia" w:ascii="宋体" w:hAnsi="宋体" w:eastAsia="宋体" w:cs="宋体"/>
          <w:color w:val="000000" w:themeColor="text1"/>
          <w:sz w:val="28"/>
          <w:szCs w:val="28"/>
          <w:highlight w:val="none"/>
          <w14:textFill>
            <w14:solidFill>
              <w14:schemeClr w14:val="tx1"/>
            </w14:solidFill>
          </w14:textFill>
        </w:rPr>
        <w:t>六、公告期限</w:t>
      </w:r>
      <w:bookmarkEnd w:id="34"/>
      <w:bookmarkEnd w:id="35"/>
      <w:bookmarkEnd w:id="36"/>
      <w:bookmarkEnd w:id="37"/>
      <w:bookmarkEnd w:id="38"/>
      <w:bookmarkEnd w:id="39"/>
      <w:bookmarkEnd w:id="40"/>
    </w:p>
    <w:p w14:paraId="5D16C8A2">
      <w:pPr>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宋体" w:hAnsi="宋体" w:eastAsia="宋体" w:cs="宋体"/>
          <w:color w:val="000000" w:themeColor="text1"/>
          <w:kern w:val="0"/>
          <w:sz w:val="28"/>
          <w:szCs w:val="28"/>
          <w:highlight w:val="none"/>
          <w14:textFill>
            <w14:solidFill>
              <w14:schemeClr w14:val="tx1"/>
            </w14:solidFill>
          </w14:textFill>
        </w:rPr>
      </w:pPr>
      <w:r>
        <w:rPr>
          <w:rFonts w:hint="eastAsia" w:ascii="宋体" w:hAnsi="宋体" w:eastAsia="宋体" w:cs="宋体"/>
          <w:color w:val="000000" w:themeColor="text1"/>
          <w:kern w:val="0"/>
          <w:sz w:val="28"/>
          <w:szCs w:val="28"/>
          <w:highlight w:val="none"/>
          <w14:textFill>
            <w14:solidFill>
              <w14:schemeClr w14:val="tx1"/>
            </w14:solidFill>
          </w14:textFill>
        </w:rPr>
        <w:t>自本公告发布之日起</w:t>
      </w:r>
      <w:r>
        <w:rPr>
          <w:rFonts w:hint="eastAsia" w:ascii="宋体" w:hAnsi="宋体" w:cs="宋体"/>
          <w:color w:val="000000" w:themeColor="text1"/>
          <w:kern w:val="0"/>
          <w:sz w:val="28"/>
          <w:szCs w:val="28"/>
          <w:highlight w:val="none"/>
          <w:lang w:val="en-US" w:eastAsia="zh-CN"/>
          <w14:textFill>
            <w14:solidFill>
              <w14:schemeClr w14:val="tx1"/>
            </w14:solidFill>
          </w14:textFill>
        </w:rPr>
        <w:t>5</w:t>
      </w:r>
      <w:r>
        <w:rPr>
          <w:rFonts w:hint="eastAsia" w:ascii="宋体" w:hAnsi="宋体" w:eastAsia="宋体" w:cs="宋体"/>
          <w:color w:val="000000" w:themeColor="text1"/>
          <w:kern w:val="0"/>
          <w:sz w:val="28"/>
          <w:szCs w:val="28"/>
          <w:highlight w:val="none"/>
          <w14:textFill>
            <w14:solidFill>
              <w14:schemeClr w14:val="tx1"/>
            </w14:solidFill>
          </w14:textFill>
        </w:rPr>
        <w:t>个工作日。</w:t>
      </w:r>
      <w:bookmarkStart w:id="41" w:name="_Toc103813446"/>
      <w:bookmarkStart w:id="42" w:name="_Toc35393804"/>
      <w:bookmarkStart w:id="43" w:name="_Toc138610880"/>
      <w:bookmarkStart w:id="44" w:name="_Toc35393635"/>
    </w:p>
    <w:p w14:paraId="7C46B2C9">
      <w:pPr>
        <w:pStyle w:val="3"/>
        <w:keepNext/>
        <w:keepLines/>
        <w:pageBreakBefore w:val="0"/>
        <w:widowControl w:val="0"/>
        <w:kinsoku/>
        <w:wordWrap/>
        <w:overflowPunct/>
        <w:topLinePunct w:val="0"/>
        <w:autoSpaceDE/>
        <w:autoSpaceDN/>
        <w:bidi w:val="0"/>
        <w:adjustRightInd/>
        <w:snapToGrid/>
        <w:spacing w:before="0" w:after="0" w:line="560" w:lineRule="exact"/>
        <w:ind w:left="0" w:leftChars="0"/>
        <w:textAlignment w:val="auto"/>
        <w:rPr>
          <w:rFonts w:hint="eastAsia" w:ascii="宋体" w:hAnsi="宋体" w:eastAsia="宋体" w:cs="宋体"/>
          <w:color w:val="000000" w:themeColor="text1"/>
          <w:sz w:val="28"/>
          <w:szCs w:val="28"/>
          <w:highlight w:val="none"/>
          <w14:textFill>
            <w14:solidFill>
              <w14:schemeClr w14:val="tx1"/>
            </w14:solidFill>
          </w14:textFill>
        </w:rPr>
      </w:pPr>
      <w:bookmarkStart w:id="45" w:name="_Toc756"/>
      <w:r>
        <w:rPr>
          <w:rFonts w:hint="eastAsia" w:ascii="宋体" w:hAnsi="宋体" w:eastAsia="宋体" w:cs="宋体"/>
          <w:color w:val="000000" w:themeColor="text1"/>
          <w:sz w:val="28"/>
          <w:szCs w:val="28"/>
          <w:highlight w:val="none"/>
          <w14:textFill>
            <w14:solidFill>
              <w14:schemeClr w14:val="tx1"/>
            </w14:solidFill>
          </w14:textFill>
        </w:rPr>
        <w:t>七、其他补充事宜</w:t>
      </w:r>
      <w:bookmarkEnd w:id="41"/>
      <w:bookmarkEnd w:id="42"/>
      <w:bookmarkEnd w:id="43"/>
      <w:bookmarkEnd w:id="44"/>
      <w:bookmarkEnd w:id="45"/>
    </w:p>
    <w:p w14:paraId="127CAF59">
      <w:pPr>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1、本项目实行网上投标，采用电子投标文件；</w:t>
      </w:r>
    </w:p>
    <w:p w14:paraId="23CD908F">
      <w:pPr>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2、各供应商应在开标前应确保成为新疆政府采购网正式注册入库供应商，并完成CA数字证书（符合国密标准）申领。因未注册入库、未办理CA数字证书等原因造成无法投标或投标失败等后果由供应商自行承担。有意向参与新疆区域电子开评标的供应商，可访问新疆数字证书认证中心官方网站（https://www.xjca.com.cn/）或下载“新疆政务通”APP自行进行申领。如需咨询，请联系新疆CA服务热线95763；</w:t>
      </w:r>
    </w:p>
    <w:p w14:paraId="09EA5A1A">
      <w:pPr>
        <w:keepNext w:val="0"/>
        <w:keepLines w:val="0"/>
        <w:pageBreakBefore w:val="0"/>
        <w:widowControl w:val="0"/>
        <w:kinsoku/>
        <w:wordWrap w:val="0"/>
        <w:overflowPunct/>
        <w:topLinePunct w:val="0"/>
        <w:autoSpaceDE/>
        <w:autoSpaceDN/>
        <w:bidi w:val="0"/>
        <w:adjustRightInd/>
        <w:snapToGrid/>
        <w:spacing w:line="560" w:lineRule="exact"/>
        <w:ind w:left="0" w:leftChars="0" w:firstLine="560" w:firstLineChars="200"/>
        <w:textAlignment w:val="auto"/>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3、供应商将政采云电子交易客户端下载、安装完成后，可通过账号密码或CA登录客户端进行投标文件的制作。在使用政采云投标客户端时，建议使用WIN7及以上操作系统。客户端请至新疆政府采购网（http://www.ccgp-xinjiang.gov.cn/）下载专区查看，如有问题可拨打政采云客户服务热线95763进行咨询。如因供应商自身原因导致在规定时间内无法正常解密的（如：浏览器故障、未安装相关驱动、网络故障、加密CA与解密CA不一致等），采购中心/代理机构不予异常处理，视为供应商自动弃标。</w:t>
      </w:r>
    </w:p>
    <w:p w14:paraId="2F84AE62">
      <w:pPr>
        <w:keepNext w:val="0"/>
        <w:keepLines w:val="0"/>
        <w:pageBreakBefore w:val="0"/>
        <w:widowControl w:val="0"/>
        <w:kinsoku/>
        <w:wordWrap w:val="0"/>
        <w:overflowPunct/>
        <w:topLinePunct w:val="0"/>
        <w:autoSpaceDE/>
        <w:autoSpaceDN/>
        <w:bidi w:val="0"/>
        <w:adjustRightInd/>
        <w:snapToGrid/>
        <w:spacing w:line="560" w:lineRule="exact"/>
        <w:ind w:left="0" w:leftChars="0" w:firstLine="560" w:firstLineChars="200"/>
        <w:textAlignment w:val="auto"/>
        <w:rPr>
          <w:rFonts w:hint="eastAsia" w:ascii="宋体" w:hAnsi="宋体" w:eastAsia="宋体" w:cs="宋体"/>
          <w:color w:val="000000" w:themeColor="text1"/>
          <w:kern w:val="0"/>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 xml:space="preserve">4、供应商操作指南详见新疆政府采购网（http://www.ccgp-xinjiang.gov.cn/）—办事指南—操作指南。  </w:t>
      </w:r>
      <w:r>
        <w:rPr>
          <w:rFonts w:hint="eastAsia" w:ascii="宋体" w:hAnsi="宋体" w:eastAsia="宋体" w:cs="宋体"/>
          <w:color w:val="000000" w:themeColor="text1"/>
          <w:kern w:val="0"/>
          <w:sz w:val="28"/>
          <w:szCs w:val="28"/>
          <w:highlight w:val="none"/>
          <w14:textFill>
            <w14:solidFill>
              <w14:schemeClr w14:val="tx1"/>
            </w14:solidFill>
          </w14:textFill>
        </w:rPr>
        <w:t xml:space="preserve"> </w:t>
      </w:r>
      <w:bookmarkStart w:id="46" w:name="_Toc28359018"/>
      <w:bookmarkStart w:id="47" w:name="_Toc35393805"/>
      <w:bookmarkStart w:id="48" w:name="_Toc138610881"/>
      <w:bookmarkStart w:id="49" w:name="_Toc28359095"/>
      <w:bookmarkStart w:id="50" w:name="_Toc35393636"/>
      <w:bookmarkStart w:id="51" w:name="_Toc103813447"/>
    </w:p>
    <w:p w14:paraId="4304A356">
      <w:pPr>
        <w:pStyle w:val="3"/>
        <w:keepNext/>
        <w:keepLines/>
        <w:pageBreakBefore w:val="0"/>
        <w:widowControl w:val="0"/>
        <w:kinsoku/>
        <w:wordWrap/>
        <w:overflowPunct/>
        <w:topLinePunct w:val="0"/>
        <w:autoSpaceDE/>
        <w:autoSpaceDN/>
        <w:bidi w:val="0"/>
        <w:adjustRightInd/>
        <w:snapToGrid/>
        <w:spacing w:before="0" w:after="0" w:line="560" w:lineRule="exact"/>
        <w:ind w:left="0" w:leftChars="0"/>
        <w:textAlignment w:val="auto"/>
        <w:rPr>
          <w:rFonts w:hint="eastAsia" w:ascii="宋体" w:hAnsi="宋体" w:eastAsia="宋体" w:cs="宋体"/>
          <w:color w:val="000000" w:themeColor="text1"/>
          <w:sz w:val="28"/>
          <w:szCs w:val="28"/>
          <w:highlight w:val="none"/>
          <w14:textFill>
            <w14:solidFill>
              <w14:schemeClr w14:val="tx1"/>
            </w14:solidFill>
          </w14:textFill>
        </w:rPr>
      </w:pPr>
      <w:bookmarkStart w:id="52" w:name="_Toc27740"/>
      <w:r>
        <w:rPr>
          <w:rFonts w:hint="eastAsia" w:ascii="宋体" w:hAnsi="宋体" w:eastAsia="宋体" w:cs="宋体"/>
          <w:color w:val="000000" w:themeColor="text1"/>
          <w:sz w:val="28"/>
          <w:szCs w:val="28"/>
          <w:highlight w:val="none"/>
          <w14:textFill>
            <w14:solidFill>
              <w14:schemeClr w14:val="tx1"/>
            </w14:solidFill>
          </w14:textFill>
        </w:rPr>
        <w:t>八、凡对本次采购提出询问，请按以下方式联系。</w:t>
      </w:r>
      <w:bookmarkEnd w:id="46"/>
      <w:bookmarkEnd w:id="47"/>
      <w:bookmarkEnd w:id="48"/>
      <w:bookmarkEnd w:id="49"/>
      <w:bookmarkEnd w:id="50"/>
      <w:bookmarkEnd w:id="51"/>
      <w:bookmarkEnd w:id="52"/>
    </w:p>
    <w:p w14:paraId="3289F4C4">
      <w:pPr>
        <w:pageBreakBefore w:val="0"/>
        <w:widowControl w:val="0"/>
        <w:kinsoku/>
        <w:wordWrap/>
        <w:overflowPunct/>
        <w:topLinePunct w:val="0"/>
        <w:autoSpaceDE/>
        <w:autoSpaceDN/>
        <w:bidi w:val="0"/>
        <w:adjustRightInd/>
        <w:snapToGrid/>
        <w:spacing w:line="560" w:lineRule="exact"/>
        <w:ind w:left="0" w:leftChars="0"/>
        <w:textAlignment w:val="auto"/>
        <w:rPr>
          <w:rFonts w:hint="eastAsia" w:ascii="宋体" w:hAnsi="宋体" w:eastAsia="宋体" w:cs="宋体"/>
          <w:color w:val="000000" w:themeColor="text1"/>
          <w:sz w:val="28"/>
          <w:szCs w:val="28"/>
          <w:highlight w:val="none"/>
          <w14:textFill>
            <w14:solidFill>
              <w14:schemeClr w14:val="tx1"/>
            </w14:solidFill>
          </w14:textFill>
        </w:rPr>
      </w:pPr>
      <w:bookmarkStart w:id="53" w:name="_Toc140742515"/>
      <w:bookmarkStart w:id="54" w:name="_Toc138610882"/>
      <w:bookmarkStart w:id="55" w:name="_Toc28359096"/>
      <w:bookmarkStart w:id="56" w:name="_Toc140741970"/>
      <w:bookmarkStart w:id="57" w:name="_Toc35393637"/>
      <w:bookmarkStart w:id="58" w:name="_Toc103813448"/>
      <w:bookmarkStart w:id="59" w:name="_Toc35393806"/>
      <w:bookmarkStart w:id="60" w:name="_Toc28359019"/>
      <w:r>
        <w:rPr>
          <w:rFonts w:hint="eastAsia" w:ascii="宋体" w:hAnsi="宋体" w:eastAsia="宋体" w:cs="宋体"/>
          <w:color w:val="000000" w:themeColor="text1"/>
          <w:sz w:val="28"/>
          <w:szCs w:val="28"/>
          <w:highlight w:val="none"/>
          <w14:textFill>
            <w14:solidFill>
              <w14:schemeClr w14:val="tx1"/>
            </w14:solidFill>
          </w14:textFill>
        </w:rPr>
        <w:t>1.采购人信息</w:t>
      </w:r>
      <w:bookmarkEnd w:id="53"/>
      <w:bookmarkEnd w:id="54"/>
      <w:bookmarkEnd w:id="55"/>
      <w:bookmarkEnd w:id="56"/>
      <w:bookmarkEnd w:id="57"/>
      <w:bookmarkEnd w:id="58"/>
      <w:bookmarkEnd w:id="59"/>
      <w:bookmarkEnd w:id="60"/>
    </w:p>
    <w:p w14:paraId="0D56B1E1">
      <w:pPr>
        <w:pageBreakBefore w:val="0"/>
        <w:widowControl w:val="0"/>
        <w:kinsoku/>
        <w:wordWrap/>
        <w:overflowPunct/>
        <w:topLinePunct w:val="0"/>
        <w:autoSpaceDE/>
        <w:autoSpaceDN/>
        <w:bidi w:val="0"/>
        <w:adjustRightInd/>
        <w:snapToGrid/>
        <w:spacing w:line="560" w:lineRule="exact"/>
        <w:ind w:left="0" w:leftChars="0" w:firstLine="560" w:firstLineChars="200"/>
        <w:jc w:val="left"/>
        <w:textAlignment w:val="auto"/>
        <w:rPr>
          <w:rFonts w:hint="eastAsia" w:ascii="宋体" w:hAnsi="宋体" w:eastAsia="宋体" w:cs="宋体"/>
          <w:color w:val="000000" w:themeColor="text1"/>
          <w:sz w:val="28"/>
          <w:szCs w:val="28"/>
          <w:highlight w:val="none"/>
          <w:u w:val="single"/>
          <w:lang w:eastAsia="zh-CN"/>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名    称：</w:t>
      </w:r>
      <w:r>
        <w:rPr>
          <w:rFonts w:hint="eastAsia" w:ascii="宋体" w:hAnsi="宋体" w:cs="宋体"/>
          <w:color w:val="000000" w:themeColor="text1"/>
          <w:sz w:val="28"/>
          <w:szCs w:val="28"/>
          <w:highlight w:val="none"/>
          <w:u w:val="single"/>
          <w:lang w:eastAsia="zh-CN"/>
          <w14:textFill>
            <w14:solidFill>
              <w14:schemeClr w14:val="tx1"/>
            </w14:solidFill>
          </w14:textFill>
        </w:rPr>
        <w:t xml:space="preserve">哈密市中心医院    </w:t>
      </w:r>
    </w:p>
    <w:p w14:paraId="56A524F0">
      <w:pPr>
        <w:pageBreakBefore w:val="0"/>
        <w:widowControl w:val="0"/>
        <w:kinsoku/>
        <w:wordWrap/>
        <w:overflowPunct/>
        <w:topLinePunct w:val="0"/>
        <w:autoSpaceDE/>
        <w:autoSpaceDN/>
        <w:bidi w:val="0"/>
        <w:adjustRightInd/>
        <w:snapToGrid/>
        <w:spacing w:line="560" w:lineRule="exact"/>
        <w:ind w:left="0" w:leftChars="0" w:firstLine="560" w:firstLineChars="200"/>
        <w:jc w:val="left"/>
        <w:textAlignment w:val="auto"/>
        <w:rPr>
          <w:rFonts w:hint="eastAsia" w:ascii="宋体" w:hAnsi="宋体" w:eastAsia="宋体" w:cs="宋体"/>
          <w:color w:val="000000" w:themeColor="text1"/>
          <w:sz w:val="28"/>
          <w:szCs w:val="28"/>
          <w:highlight w:val="none"/>
          <w:lang w:eastAsia="zh-CN"/>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地    址：</w:t>
      </w:r>
      <w:r>
        <w:rPr>
          <w:rFonts w:hint="eastAsia" w:ascii="宋体" w:hAnsi="宋体" w:eastAsia="宋体" w:cs="宋体"/>
          <w:color w:val="000000" w:themeColor="text1"/>
          <w:sz w:val="28"/>
          <w:szCs w:val="28"/>
          <w:highlight w:val="none"/>
          <w:u w:val="single"/>
          <w14:textFill>
            <w14:solidFill>
              <w14:schemeClr w14:val="tx1"/>
            </w14:solidFill>
          </w14:textFill>
        </w:rPr>
        <w:t>哈密市伊州区广场北路18号</w:t>
      </w:r>
    </w:p>
    <w:p w14:paraId="6E0C36F9">
      <w:pPr>
        <w:pageBreakBefore w:val="0"/>
        <w:widowControl w:val="0"/>
        <w:kinsoku/>
        <w:wordWrap/>
        <w:overflowPunct/>
        <w:topLinePunct w:val="0"/>
        <w:autoSpaceDE/>
        <w:autoSpaceDN/>
        <w:bidi w:val="0"/>
        <w:adjustRightInd/>
        <w:snapToGrid/>
        <w:spacing w:line="560" w:lineRule="exact"/>
        <w:ind w:left="0" w:leftChars="0" w:firstLine="560" w:firstLineChars="200"/>
        <w:jc w:val="left"/>
        <w:textAlignment w:val="auto"/>
        <w:rPr>
          <w:rFonts w:hint="eastAsia" w:ascii="宋体" w:hAnsi="宋体" w:eastAsia="宋体" w:cs="宋体"/>
          <w:color w:val="000000" w:themeColor="text1"/>
          <w:sz w:val="28"/>
          <w:szCs w:val="28"/>
          <w:highlight w:val="none"/>
          <w:u w:val="single"/>
          <w:lang w:eastAsia="zh-CN"/>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联系方式：</w:t>
      </w:r>
      <w:r>
        <w:rPr>
          <w:rFonts w:hint="eastAsia" w:ascii="宋体" w:hAnsi="宋体" w:eastAsia="宋体" w:cs="宋体"/>
          <w:color w:val="000000" w:themeColor="text1"/>
          <w:sz w:val="28"/>
          <w:szCs w:val="28"/>
          <w:highlight w:val="none"/>
          <w:u w:val="single"/>
          <w14:textFill>
            <w14:solidFill>
              <w14:schemeClr w14:val="tx1"/>
            </w14:solidFill>
          </w14:textFill>
        </w:rPr>
        <w:t>0902-2260357</w:t>
      </w:r>
    </w:p>
    <w:p w14:paraId="2B1070A5">
      <w:pPr>
        <w:pageBreakBefore w:val="0"/>
        <w:widowControl w:val="0"/>
        <w:kinsoku/>
        <w:wordWrap/>
        <w:overflowPunct/>
        <w:topLinePunct w:val="0"/>
        <w:autoSpaceDE/>
        <w:autoSpaceDN/>
        <w:bidi w:val="0"/>
        <w:adjustRightInd/>
        <w:snapToGrid/>
        <w:spacing w:line="560" w:lineRule="exact"/>
        <w:ind w:left="0" w:leftChars="0"/>
        <w:textAlignment w:val="auto"/>
        <w:rPr>
          <w:rFonts w:hint="eastAsia" w:ascii="宋体" w:hAnsi="宋体" w:eastAsia="宋体" w:cs="宋体"/>
          <w:color w:val="000000" w:themeColor="text1"/>
          <w:sz w:val="28"/>
          <w:szCs w:val="28"/>
          <w:highlight w:val="none"/>
          <w14:textFill>
            <w14:solidFill>
              <w14:schemeClr w14:val="tx1"/>
            </w14:solidFill>
          </w14:textFill>
        </w:rPr>
      </w:pPr>
      <w:bookmarkStart w:id="61" w:name="_Toc28359097"/>
      <w:bookmarkStart w:id="62" w:name="_Toc140742516"/>
      <w:bookmarkStart w:id="63" w:name="_Toc28359020"/>
      <w:bookmarkStart w:id="64" w:name="_Toc35393638"/>
      <w:bookmarkStart w:id="65" w:name="_Toc140741971"/>
      <w:bookmarkStart w:id="66" w:name="_Toc35393807"/>
      <w:bookmarkStart w:id="67" w:name="_Toc103813449"/>
      <w:bookmarkStart w:id="68" w:name="_Toc138610883"/>
      <w:r>
        <w:rPr>
          <w:rFonts w:hint="eastAsia" w:ascii="宋体" w:hAnsi="宋体" w:eastAsia="宋体" w:cs="宋体"/>
          <w:color w:val="000000" w:themeColor="text1"/>
          <w:sz w:val="28"/>
          <w:szCs w:val="28"/>
          <w:highlight w:val="none"/>
          <w14:textFill>
            <w14:solidFill>
              <w14:schemeClr w14:val="tx1"/>
            </w14:solidFill>
          </w14:textFill>
        </w:rPr>
        <w:t>2.采购代理机构信息</w:t>
      </w:r>
      <w:bookmarkEnd w:id="61"/>
      <w:bookmarkEnd w:id="62"/>
      <w:bookmarkEnd w:id="63"/>
      <w:bookmarkEnd w:id="64"/>
      <w:bookmarkEnd w:id="65"/>
      <w:bookmarkEnd w:id="66"/>
      <w:bookmarkEnd w:id="67"/>
      <w:bookmarkEnd w:id="68"/>
    </w:p>
    <w:p w14:paraId="461A04C7">
      <w:pPr>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宋体" w:hAnsi="宋体" w:eastAsia="宋体" w:cs="宋体"/>
          <w:color w:val="000000" w:themeColor="text1"/>
          <w:sz w:val="28"/>
          <w:szCs w:val="28"/>
          <w:highlight w:val="none"/>
          <w:u w:val="single"/>
          <w:lang w:eastAsia="zh-CN"/>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名    称：</w:t>
      </w:r>
      <w:r>
        <w:rPr>
          <w:rFonts w:hint="eastAsia" w:ascii="宋体" w:hAnsi="宋体" w:cs="宋体"/>
          <w:color w:val="000000" w:themeColor="text1"/>
          <w:sz w:val="28"/>
          <w:szCs w:val="28"/>
          <w:highlight w:val="none"/>
          <w:u w:val="single"/>
          <w:lang w:eastAsia="zh-CN"/>
          <w14:textFill>
            <w14:solidFill>
              <w14:schemeClr w14:val="tx1"/>
            </w14:solidFill>
          </w14:textFill>
        </w:rPr>
        <w:t>新疆诚誉工程项目管理有限公司</w:t>
      </w:r>
    </w:p>
    <w:p w14:paraId="3DBE7FD7">
      <w:pPr>
        <w:pageBreakBefore w:val="0"/>
        <w:widowControl w:val="0"/>
        <w:kinsoku/>
        <w:wordWrap/>
        <w:overflowPunct/>
        <w:topLinePunct w:val="0"/>
        <w:autoSpaceDE/>
        <w:autoSpaceDN/>
        <w:bidi w:val="0"/>
        <w:adjustRightInd/>
        <w:snapToGrid/>
        <w:spacing w:line="560" w:lineRule="exact"/>
        <w:ind w:left="1399" w:leftChars="266" w:hanging="840" w:hangingChars="300"/>
        <w:textAlignment w:val="auto"/>
        <w:rPr>
          <w:rFonts w:hint="eastAsia" w:ascii="宋体" w:hAnsi="宋体" w:eastAsia="宋体" w:cs="宋体"/>
          <w:color w:val="000000" w:themeColor="text1"/>
          <w:sz w:val="28"/>
          <w:szCs w:val="28"/>
          <w:highlight w:val="none"/>
          <w:lang w:eastAsia="zh-CN"/>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地　　址：</w:t>
      </w:r>
      <w:r>
        <w:rPr>
          <w:rFonts w:hint="eastAsia" w:ascii="宋体" w:hAnsi="宋体" w:cs="宋体"/>
          <w:color w:val="000000" w:themeColor="text1"/>
          <w:sz w:val="28"/>
          <w:szCs w:val="28"/>
          <w:highlight w:val="none"/>
          <w:u w:val="single"/>
          <w:lang w:eastAsia="zh-CN"/>
          <w14:textFill>
            <w14:solidFill>
              <w14:schemeClr w14:val="tx1"/>
            </w14:solidFill>
          </w14:textFill>
        </w:rPr>
        <w:t>乌鲁木齐市会展大道599号新疆财富中心C座6楼601室</w:t>
      </w:r>
    </w:p>
    <w:p w14:paraId="534A5B6A">
      <w:pPr>
        <w:pageBreakBefore w:val="0"/>
        <w:widowControl w:val="0"/>
        <w:kinsoku/>
        <w:wordWrap/>
        <w:overflowPunct/>
        <w:topLinePunct w:val="0"/>
        <w:autoSpaceDE/>
        <w:autoSpaceDN/>
        <w:bidi w:val="0"/>
        <w:adjustRightInd/>
        <w:snapToGrid/>
        <w:spacing w:line="560" w:lineRule="exact"/>
        <w:ind w:left="0" w:leftChars="0"/>
        <w:textAlignment w:val="auto"/>
        <w:rPr>
          <w:rFonts w:hint="eastAsia" w:ascii="宋体" w:hAnsi="宋体" w:eastAsia="宋体" w:cs="宋体"/>
          <w:color w:val="000000" w:themeColor="text1"/>
          <w:sz w:val="28"/>
          <w:szCs w:val="28"/>
          <w:highlight w:val="none"/>
          <w14:textFill>
            <w14:solidFill>
              <w14:schemeClr w14:val="tx1"/>
            </w14:solidFill>
          </w14:textFill>
        </w:rPr>
      </w:pPr>
      <w:bookmarkStart w:id="69" w:name="_Toc28359098"/>
      <w:bookmarkStart w:id="70" w:name="_Toc28359021"/>
      <w:bookmarkStart w:id="71" w:name="_Toc138610884"/>
      <w:bookmarkStart w:id="72" w:name="_Toc35393808"/>
      <w:bookmarkStart w:id="73" w:name="_Toc140741972"/>
      <w:bookmarkStart w:id="74" w:name="_Toc103813450"/>
      <w:bookmarkStart w:id="75" w:name="_Toc140742517"/>
      <w:bookmarkStart w:id="76" w:name="_Toc35393639"/>
      <w:r>
        <w:rPr>
          <w:rFonts w:hint="eastAsia" w:ascii="宋体" w:hAnsi="宋体" w:eastAsia="宋体" w:cs="宋体"/>
          <w:color w:val="000000" w:themeColor="text1"/>
          <w:sz w:val="28"/>
          <w:szCs w:val="28"/>
          <w:highlight w:val="none"/>
          <w14:textFill>
            <w14:solidFill>
              <w14:schemeClr w14:val="tx1"/>
            </w14:solidFill>
          </w14:textFill>
        </w:rPr>
        <w:t>3.项目联系方式</w:t>
      </w:r>
      <w:bookmarkEnd w:id="69"/>
      <w:bookmarkEnd w:id="70"/>
      <w:bookmarkEnd w:id="71"/>
      <w:bookmarkEnd w:id="72"/>
      <w:bookmarkEnd w:id="73"/>
      <w:bookmarkEnd w:id="74"/>
      <w:bookmarkEnd w:id="75"/>
      <w:bookmarkEnd w:id="76"/>
    </w:p>
    <w:p w14:paraId="3BB78DF7">
      <w:pPr>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宋体" w:hAnsi="宋体" w:eastAsia="宋体" w:cs="宋体"/>
          <w:color w:val="000000" w:themeColor="text1"/>
          <w:sz w:val="28"/>
          <w:szCs w:val="28"/>
          <w:highlight w:val="none"/>
          <w:lang w:eastAsia="zh-CN"/>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项目联系人：</w:t>
      </w:r>
      <w:r>
        <w:rPr>
          <w:rFonts w:hint="eastAsia" w:ascii="宋体" w:hAnsi="宋体" w:cs="宋体"/>
          <w:color w:val="000000" w:themeColor="text1"/>
          <w:sz w:val="28"/>
          <w:szCs w:val="28"/>
          <w:highlight w:val="none"/>
          <w:u w:val="single"/>
          <w:lang w:eastAsia="zh-CN"/>
          <w14:textFill>
            <w14:solidFill>
              <w14:schemeClr w14:val="tx1"/>
            </w14:solidFill>
          </w14:textFill>
        </w:rPr>
        <w:t>刘慧敏、赵箭</w:t>
      </w:r>
    </w:p>
    <w:p w14:paraId="06ACC32C">
      <w:pPr>
        <w:pageBreakBefore w:val="0"/>
        <w:widowControl w:val="0"/>
        <w:tabs>
          <w:tab w:val="right" w:pos="9864"/>
        </w:tabs>
        <w:kinsoku/>
        <w:wordWrap/>
        <w:overflowPunct/>
        <w:topLinePunct w:val="0"/>
        <w:autoSpaceDE/>
        <w:autoSpaceDN/>
        <w:bidi w:val="0"/>
        <w:adjustRightInd/>
        <w:snapToGrid/>
        <w:spacing w:line="560" w:lineRule="exact"/>
        <w:ind w:left="0" w:leftChars="0" w:firstLine="560" w:firstLineChars="200"/>
        <w:textAlignment w:val="auto"/>
        <w:rPr>
          <w:rFonts w:ascii="宋体" w:hAnsi="宋体"/>
          <w:b/>
          <w:color w:val="000000" w:themeColor="text1"/>
          <w:sz w:val="28"/>
          <w:szCs w:val="32"/>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电　　 话：</w:t>
      </w:r>
      <w:r>
        <w:rPr>
          <w:rFonts w:hint="eastAsia" w:ascii="宋体" w:hAnsi="宋体" w:cs="宋体"/>
          <w:color w:val="000000" w:themeColor="text1"/>
          <w:sz w:val="28"/>
          <w:szCs w:val="28"/>
          <w:highlight w:val="none"/>
          <w:u w:val="single"/>
          <w:lang w:val="en-US" w:eastAsia="zh-CN"/>
          <w14:textFill>
            <w14:solidFill>
              <w14:schemeClr w14:val="tx1"/>
            </w14:solidFill>
          </w14:textFill>
        </w:rPr>
        <w:t>15899485207、19999115800</w:t>
      </w:r>
      <w:r>
        <w:rPr>
          <w:rFonts w:ascii="宋体" w:hAnsi="宋体" w:cs="宋体"/>
          <w:color w:val="000000" w:themeColor="text1"/>
          <w:sz w:val="24"/>
          <w:szCs w:val="28"/>
          <w:highlight w:val="none"/>
          <w14:textFill>
            <w14:solidFill>
              <w14:schemeClr w14:val="tx1"/>
            </w14:solidFill>
          </w14:textFill>
        </w:rPr>
        <w:tab/>
      </w:r>
    </w:p>
    <w:p w14:paraId="381FB195">
      <w:pPr>
        <w:bidi w:val="0"/>
        <w:rPr>
          <w:rFonts w:hint="eastAsia"/>
          <w:color w:val="000000" w:themeColor="text1"/>
          <w:highlight w:val="none"/>
          <w14:textFill>
            <w14:solidFill>
              <w14:schemeClr w14:val="tx1"/>
            </w14:solidFill>
          </w14:textFill>
        </w:rPr>
      </w:pPr>
      <w:bookmarkStart w:id="77" w:name="_Toc4957"/>
    </w:p>
    <w:p w14:paraId="3BE742CC">
      <w:pPr>
        <w:rPr>
          <w:rFonts w:hint="eastAsia"/>
          <w:color w:val="000000" w:themeColor="text1"/>
          <w:highlight w:val="none"/>
          <w14:textFill>
            <w14:solidFill>
              <w14:schemeClr w14:val="tx1"/>
            </w14:solidFill>
          </w14:textFill>
        </w:rPr>
      </w:pPr>
    </w:p>
    <w:p w14:paraId="1FD76C85">
      <w:pPr>
        <w:rPr>
          <w:rFonts w:hint="eastAsia"/>
          <w:color w:val="000000" w:themeColor="text1"/>
          <w:highlight w:val="none"/>
          <w14:textFill>
            <w14:solidFill>
              <w14:schemeClr w14:val="tx1"/>
            </w14:solidFill>
          </w14:textFill>
        </w:rPr>
      </w:pPr>
    </w:p>
    <w:p w14:paraId="5DFCF30E">
      <w:pPr>
        <w:rPr>
          <w:rFonts w:hint="eastAsia"/>
          <w:color w:val="000000" w:themeColor="text1"/>
          <w:highlight w:val="none"/>
          <w14:textFill>
            <w14:solidFill>
              <w14:schemeClr w14:val="tx1"/>
            </w14:solidFill>
          </w14:textFill>
        </w:rPr>
      </w:pPr>
    </w:p>
    <w:p w14:paraId="557203F1">
      <w:pPr>
        <w:rPr>
          <w:rFonts w:hint="eastAsia"/>
          <w:color w:val="000000" w:themeColor="text1"/>
          <w:highlight w:val="none"/>
          <w14:textFill>
            <w14:solidFill>
              <w14:schemeClr w14:val="tx1"/>
            </w14:solidFill>
          </w14:textFill>
        </w:rPr>
      </w:pPr>
    </w:p>
    <w:p w14:paraId="54933619">
      <w:pPr>
        <w:rPr>
          <w:rFonts w:hint="eastAsia"/>
          <w:color w:val="000000" w:themeColor="text1"/>
          <w:highlight w:val="none"/>
          <w14:textFill>
            <w14:solidFill>
              <w14:schemeClr w14:val="tx1"/>
            </w14:solidFill>
          </w14:textFill>
        </w:rPr>
      </w:pPr>
    </w:p>
    <w:p w14:paraId="37C978AB">
      <w:pPr>
        <w:rPr>
          <w:rFonts w:hint="eastAsia"/>
          <w:color w:val="000000" w:themeColor="text1"/>
          <w:highlight w:val="none"/>
          <w14:textFill>
            <w14:solidFill>
              <w14:schemeClr w14:val="tx1"/>
            </w14:solidFill>
          </w14:textFill>
        </w:rPr>
      </w:pPr>
    </w:p>
    <w:p w14:paraId="5D99C7B0">
      <w:pPr>
        <w:rPr>
          <w:rFonts w:hint="eastAsia"/>
          <w:color w:val="000000" w:themeColor="text1"/>
          <w:highlight w:val="none"/>
          <w14:textFill>
            <w14:solidFill>
              <w14:schemeClr w14:val="tx1"/>
            </w14:solidFill>
          </w14:textFill>
        </w:rPr>
      </w:pPr>
    </w:p>
    <w:p w14:paraId="1A894E96">
      <w:pPr>
        <w:rPr>
          <w:rFonts w:hint="eastAsia"/>
          <w:color w:val="000000" w:themeColor="text1"/>
          <w:highlight w:val="none"/>
          <w14:textFill>
            <w14:solidFill>
              <w14:schemeClr w14:val="tx1"/>
            </w14:solidFill>
          </w14:textFill>
        </w:rPr>
      </w:pPr>
    </w:p>
    <w:p w14:paraId="5CF1B3FD">
      <w:pPr>
        <w:rPr>
          <w:rFonts w:hint="eastAsia"/>
          <w:color w:val="000000" w:themeColor="text1"/>
          <w:highlight w:val="none"/>
          <w14:textFill>
            <w14:solidFill>
              <w14:schemeClr w14:val="tx1"/>
            </w14:solidFill>
          </w14:textFill>
        </w:rPr>
      </w:pPr>
    </w:p>
    <w:p w14:paraId="523CCCD9">
      <w:pPr>
        <w:rPr>
          <w:rFonts w:hint="eastAsia"/>
          <w:color w:val="000000" w:themeColor="text1"/>
          <w:highlight w:val="none"/>
          <w14:textFill>
            <w14:solidFill>
              <w14:schemeClr w14:val="tx1"/>
            </w14:solidFill>
          </w14:textFill>
        </w:rPr>
      </w:pPr>
    </w:p>
    <w:p w14:paraId="4F76E2B2">
      <w:pPr>
        <w:rPr>
          <w:rFonts w:hint="eastAsia"/>
          <w:color w:val="000000" w:themeColor="text1"/>
          <w:highlight w:val="none"/>
          <w14:textFill>
            <w14:solidFill>
              <w14:schemeClr w14:val="tx1"/>
            </w14:solidFill>
          </w14:textFill>
        </w:rPr>
      </w:pPr>
    </w:p>
    <w:p w14:paraId="40643A53">
      <w:pPr>
        <w:rPr>
          <w:rFonts w:hint="eastAsia"/>
          <w:color w:val="000000" w:themeColor="text1"/>
          <w:highlight w:val="none"/>
          <w14:textFill>
            <w14:solidFill>
              <w14:schemeClr w14:val="tx1"/>
            </w14:solidFill>
          </w14:textFill>
        </w:rPr>
      </w:pPr>
    </w:p>
    <w:p w14:paraId="75FDC949">
      <w:pPr>
        <w:rPr>
          <w:rFonts w:hint="eastAsia"/>
          <w:color w:val="000000" w:themeColor="text1"/>
          <w:highlight w:val="none"/>
          <w14:textFill>
            <w14:solidFill>
              <w14:schemeClr w14:val="tx1"/>
            </w14:solidFill>
          </w14:textFill>
        </w:rPr>
      </w:pPr>
    </w:p>
    <w:p w14:paraId="533DA55D">
      <w:pPr>
        <w:rPr>
          <w:rFonts w:hint="eastAsia"/>
          <w:color w:val="000000" w:themeColor="text1"/>
          <w:highlight w:val="none"/>
          <w14:textFill>
            <w14:solidFill>
              <w14:schemeClr w14:val="tx1"/>
            </w14:solidFill>
          </w14:textFill>
        </w:rPr>
      </w:pPr>
    </w:p>
    <w:p w14:paraId="44791632">
      <w:pPr>
        <w:rPr>
          <w:rFonts w:hint="eastAsia"/>
          <w:color w:val="000000" w:themeColor="text1"/>
          <w:highlight w:val="none"/>
          <w14:textFill>
            <w14:solidFill>
              <w14:schemeClr w14:val="tx1"/>
            </w14:solidFill>
          </w14:textFill>
        </w:rPr>
      </w:pPr>
    </w:p>
    <w:p w14:paraId="07259A39">
      <w:pPr>
        <w:rPr>
          <w:rFonts w:hint="eastAsia"/>
          <w:color w:val="000000" w:themeColor="text1"/>
          <w:highlight w:val="none"/>
          <w14:textFill>
            <w14:solidFill>
              <w14:schemeClr w14:val="tx1"/>
            </w14:solidFill>
          </w14:textFill>
        </w:rPr>
      </w:pPr>
    </w:p>
    <w:p w14:paraId="26B92FC7">
      <w:pPr>
        <w:rPr>
          <w:rFonts w:hint="eastAsia"/>
          <w:color w:val="000000" w:themeColor="text1"/>
          <w:highlight w:val="none"/>
          <w14:textFill>
            <w14:solidFill>
              <w14:schemeClr w14:val="tx1"/>
            </w14:solidFill>
          </w14:textFill>
        </w:rPr>
      </w:pPr>
    </w:p>
    <w:p w14:paraId="0ACF6816">
      <w:pPr>
        <w:rPr>
          <w:rFonts w:hint="eastAsia"/>
          <w:color w:val="000000" w:themeColor="text1"/>
          <w:highlight w:val="none"/>
          <w14:textFill>
            <w14:solidFill>
              <w14:schemeClr w14:val="tx1"/>
            </w14:solidFill>
          </w14:textFill>
        </w:rPr>
      </w:pPr>
    </w:p>
    <w:p w14:paraId="00B3431D">
      <w:pPr>
        <w:rPr>
          <w:rFonts w:hint="eastAsia"/>
          <w:color w:val="000000" w:themeColor="text1"/>
          <w:highlight w:val="none"/>
          <w14:textFill>
            <w14:solidFill>
              <w14:schemeClr w14:val="tx1"/>
            </w14:solidFill>
          </w14:textFill>
        </w:rPr>
      </w:pPr>
    </w:p>
    <w:p w14:paraId="13480B0B">
      <w:pPr>
        <w:rPr>
          <w:rFonts w:hint="eastAsia"/>
          <w:color w:val="000000" w:themeColor="text1"/>
          <w:highlight w:val="none"/>
          <w14:textFill>
            <w14:solidFill>
              <w14:schemeClr w14:val="tx1"/>
            </w14:solidFill>
          </w14:textFill>
        </w:rPr>
      </w:pPr>
    </w:p>
    <w:p w14:paraId="25D1DE21">
      <w:pPr>
        <w:rPr>
          <w:rFonts w:hint="eastAsia"/>
          <w:color w:val="000000" w:themeColor="text1"/>
          <w:highlight w:val="none"/>
          <w14:textFill>
            <w14:solidFill>
              <w14:schemeClr w14:val="tx1"/>
            </w14:solidFill>
          </w14:textFill>
        </w:rPr>
      </w:pPr>
    </w:p>
    <w:p w14:paraId="5BEBAB44">
      <w:pPr>
        <w:rPr>
          <w:rFonts w:hint="eastAsia"/>
          <w:color w:val="000000" w:themeColor="text1"/>
          <w:highlight w:val="none"/>
          <w14:textFill>
            <w14:solidFill>
              <w14:schemeClr w14:val="tx1"/>
            </w14:solidFill>
          </w14:textFill>
        </w:rPr>
      </w:pPr>
    </w:p>
    <w:p w14:paraId="51A0BB85">
      <w:pPr>
        <w:pStyle w:val="31"/>
        <w:pageBreakBefore w:val="0"/>
        <w:numPr>
          <w:ilvl w:val="0"/>
          <w:numId w:val="1"/>
        </w:numPr>
        <w:wordWrap/>
        <w:topLinePunct w:val="0"/>
        <w:bidi w:val="0"/>
        <w:spacing w:before="0" w:after="0" w:line="560" w:lineRule="exact"/>
        <w:rPr>
          <w:rFonts w:hint="eastAsia"/>
          <w:color w:val="000000" w:themeColor="text1"/>
          <w:sz w:val="36"/>
          <w:szCs w:val="36"/>
          <w:highlight w:val="none"/>
          <w14:textFill>
            <w14:solidFill>
              <w14:schemeClr w14:val="tx1"/>
            </w14:solidFill>
          </w14:textFill>
        </w:rPr>
      </w:pPr>
      <w:r>
        <w:rPr>
          <w:color w:val="000000" w:themeColor="text1"/>
          <w:sz w:val="36"/>
          <w:szCs w:val="36"/>
          <w:highlight w:val="none"/>
          <w14:textFill>
            <w14:solidFill>
              <w14:schemeClr w14:val="tx1"/>
            </w14:solidFill>
          </w14:textFill>
        </w:rPr>
        <w:t xml:space="preserve"> </w:t>
      </w:r>
      <w:bookmarkEnd w:id="14"/>
      <w:r>
        <w:rPr>
          <w:rFonts w:hint="eastAsia"/>
          <w:color w:val="000000" w:themeColor="text1"/>
          <w:sz w:val="36"/>
          <w:szCs w:val="36"/>
          <w:highlight w:val="none"/>
          <w:lang w:eastAsia="zh-CN"/>
          <w14:textFill>
            <w14:solidFill>
              <w14:schemeClr w14:val="tx1"/>
            </w14:solidFill>
          </w14:textFill>
        </w:rPr>
        <w:t>供应商</w:t>
      </w:r>
      <w:r>
        <w:rPr>
          <w:rFonts w:hint="eastAsia"/>
          <w:color w:val="000000" w:themeColor="text1"/>
          <w:sz w:val="36"/>
          <w:szCs w:val="36"/>
          <w:highlight w:val="none"/>
          <w14:textFill>
            <w14:solidFill>
              <w14:schemeClr w14:val="tx1"/>
            </w14:solidFill>
          </w14:textFill>
        </w:rPr>
        <w:t>须知表</w:t>
      </w:r>
      <w:bookmarkEnd w:id="77"/>
      <w:r>
        <w:rPr>
          <w:rFonts w:hint="eastAsia"/>
          <w:color w:val="000000" w:themeColor="text1"/>
          <w:sz w:val="36"/>
          <w:szCs w:val="36"/>
          <w:highlight w:val="none"/>
          <w:lang w:eastAsia="zh-CN"/>
          <w14:textFill>
            <w14:solidFill>
              <w14:schemeClr w14:val="tx1"/>
            </w14:solidFill>
          </w14:textFill>
        </w:rPr>
        <w:t>（</w:t>
      </w:r>
      <w:r>
        <w:rPr>
          <w:rFonts w:hint="eastAsia"/>
          <w:color w:val="000000" w:themeColor="text1"/>
          <w:sz w:val="36"/>
          <w:szCs w:val="36"/>
          <w:highlight w:val="none"/>
          <w14:textFill>
            <w14:solidFill>
              <w14:schemeClr w14:val="tx1"/>
            </w14:solidFill>
          </w14:textFill>
        </w:rPr>
        <w:t>标项1</w:t>
      </w:r>
      <w:r>
        <w:rPr>
          <w:rFonts w:hint="eastAsia"/>
          <w:color w:val="000000" w:themeColor="text1"/>
          <w:sz w:val="36"/>
          <w:szCs w:val="36"/>
          <w:highlight w:val="none"/>
          <w:lang w:eastAsia="zh-CN"/>
          <w14:textFill>
            <w14:solidFill>
              <w14:schemeClr w14:val="tx1"/>
            </w14:solidFill>
          </w14:textFill>
        </w:rPr>
        <w:t>）</w:t>
      </w:r>
    </w:p>
    <w:tbl>
      <w:tblPr>
        <w:tblStyle w:val="34"/>
        <w:tblW w:w="10529" w:type="dxa"/>
        <w:tblInd w:w="-17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93"/>
        <w:gridCol w:w="2239"/>
        <w:gridCol w:w="7297"/>
      </w:tblGrid>
      <w:tr w14:paraId="6CE20F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14:paraId="1393ED1A">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序号</w:t>
            </w:r>
          </w:p>
        </w:tc>
        <w:tc>
          <w:tcPr>
            <w:tcW w:w="2239" w:type="dxa"/>
            <w:tcBorders>
              <w:top w:val="single" w:color="auto" w:sz="4" w:space="0"/>
              <w:left w:val="single" w:color="auto" w:sz="4" w:space="0"/>
              <w:bottom w:val="single" w:color="auto" w:sz="4" w:space="0"/>
              <w:right w:val="single" w:color="auto" w:sz="4" w:space="0"/>
            </w:tcBorders>
            <w:vAlign w:val="center"/>
          </w:tcPr>
          <w:p w14:paraId="5F50675B">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项目内容</w:t>
            </w:r>
          </w:p>
        </w:tc>
        <w:tc>
          <w:tcPr>
            <w:tcW w:w="7297" w:type="dxa"/>
            <w:tcBorders>
              <w:top w:val="single" w:color="auto" w:sz="4" w:space="0"/>
              <w:left w:val="single" w:color="auto" w:sz="4" w:space="0"/>
              <w:bottom w:val="single" w:color="auto" w:sz="4" w:space="0"/>
              <w:right w:val="single" w:color="auto" w:sz="4" w:space="0"/>
            </w:tcBorders>
            <w:vAlign w:val="center"/>
          </w:tcPr>
          <w:p w14:paraId="0026C22F">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编列内容</w:t>
            </w:r>
          </w:p>
        </w:tc>
      </w:tr>
      <w:tr w14:paraId="520C6F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14:paraId="79043681">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w:t>
            </w:r>
          </w:p>
        </w:tc>
        <w:tc>
          <w:tcPr>
            <w:tcW w:w="2239" w:type="dxa"/>
            <w:tcBorders>
              <w:top w:val="single" w:color="auto" w:sz="4" w:space="0"/>
              <w:left w:val="single" w:color="auto" w:sz="4" w:space="0"/>
              <w:bottom w:val="single" w:color="auto" w:sz="4" w:space="0"/>
              <w:right w:val="single" w:color="auto" w:sz="4" w:space="0"/>
            </w:tcBorders>
            <w:vAlign w:val="center"/>
          </w:tcPr>
          <w:p w14:paraId="60FAB417">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项目名称</w:t>
            </w:r>
          </w:p>
        </w:tc>
        <w:tc>
          <w:tcPr>
            <w:tcW w:w="7297" w:type="dxa"/>
            <w:tcBorders>
              <w:top w:val="single" w:color="auto" w:sz="4" w:space="0"/>
              <w:left w:val="single" w:color="auto" w:sz="4" w:space="0"/>
              <w:bottom w:val="single" w:color="auto" w:sz="4" w:space="0"/>
              <w:right w:val="single" w:color="auto" w:sz="4" w:space="0"/>
            </w:tcBorders>
            <w:vAlign w:val="center"/>
          </w:tcPr>
          <w:p w14:paraId="7413026D">
            <w:pPr>
              <w:pStyle w:val="11"/>
              <w:keepNext w:val="0"/>
              <w:keepLines w:val="0"/>
              <w:pageBreakBefore w:val="0"/>
              <w:kinsoku/>
              <w:wordWrap/>
              <w:overflowPunct/>
              <w:topLinePunct w:val="0"/>
              <w:bidi w:val="0"/>
              <w:adjustRightInd/>
              <w:snapToGrid/>
              <w:spacing w:line="560" w:lineRule="exact"/>
              <w:rPr>
                <w:rFonts w:hint="eastAsia" w:ascii="宋体" w:hAnsi="宋体" w:eastAsia="宋体" w:cs="宋体"/>
                <w:color w:val="000000" w:themeColor="text1"/>
                <w:sz w:val="28"/>
                <w:szCs w:val="28"/>
                <w:highlight w:val="none"/>
                <w:lang w:eastAsia="zh-CN"/>
                <w14:textFill>
                  <w14:solidFill>
                    <w14:schemeClr w14:val="tx1"/>
                  </w14:solidFill>
                </w14:textFill>
              </w:rPr>
            </w:pPr>
            <w:r>
              <w:rPr>
                <w:rFonts w:hint="eastAsia" w:ascii="宋体" w:hAnsi="宋体" w:cs="宋体"/>
                <w:color w:val="000000" w:themeColor="text1"/>
                <w:sz w:val="28"/>
                <w:szCs w:val="28"/>
                <w:highlight w:val="none"/>
                <w:lang w:eastAsia="zh-CN"/>
                <w14:textFill>
                  <w14:solidFill>
                    <w14:schemeClr w14:val="tx1"/>
                  </w14:solidFill>
                </w14:textFill>
              </w:rPr>
              <w:t>哈密市中心医院2025年医疗设备购置项目（第一批）（二次）</w:t>
            </w:r>
          </w:p>
        </w:tc>
      </w:tr>
      <w:tr w14:paraId="411749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14:paraId="23CE9FF1">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2</w:t>
            </w:r>
          </w:p>
        </w:tc>
        <w:tc>
          <w:tcPr>
            <w:tcW w:w="2239" w:type="dxa"/>
            <w:tcBorders>
              <w:top w:val="single" w:color="auto" w:sz="4" w:space="0"/>
              <w:left w:val="single" w:color="auto" w:sz="4" w:space="0"/>
              <w:bottom w:val="single" w:color="auto" w:sz="4" w:space="0"/>
              <w:right w:val="single" w:color="auto" w:sz="4" w:space="0"/>
            </w:tcBorders>
            <w:vAlign w:val="center"/>
          </w:tcPr>
          <w:p w14:paraId="78D5A279">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采购人</w:t>
            </w:r>
          </w:p>
        </w:tc>
        <w:tc>
          <w:tcPr>
            <w:tcW w:w="7297" w:type="dxa"/>
            <w:tcBorders>
              <w:top w:val="single" w:color="auto" w:sz="4" w:space="0"/>
              <w:left w:val="single" w:color="auto" w:sz="4" w:space="0"/>
              <w:bottom w:val="single" w:color="auto" w:sz="4" w:space="0"/>
              <w:right w:val="single" w:color="auto" w:sz="4" w:space="0"/>
            </w:tcBorders>
            <w:vAlign w:val="center"/>
          </w:tcPr>
          <w:p w14:paraId="2EC19920">
            <w:pPr>
              <w:keepNext w:val="0"/>
              <w:keepLines w:val="0"/>
              <w:pageBreakBefore w:val="0"/>
              <w:kinsoku/>
              <w:wordWrap/>
              <w:overflowPunct/>
              <w:topLinePunct w:val="0"/>
              <w:bidi w:val="0"/>
              <w:adjustRightInd/>
              <w:snapToGrid/>
              <w:spacing w:line="560" w:lineRule="exact"/>
              <w:rPr>
                <w:rFonts w:hint="eastAsia" w:ascii="宋体" w:hAnsi="宋体" w:eastAsia="宋体" w:cs="宋体"/>
                <w:color w:val="000000" w:themeColor="text1"/>
                <w:sz w:val="28"/>
                <w:szCs w:val="28"/>
                <w:highlight w:val="none"/>
                <w:u w:val="single"/>
                <w:lang w:eastAsia="zh-CN"/>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名    称：</w:t>
            </w:r>
            <w:r>
              <w:rPr>
                <w:rFonts w:hint="eastAsia" w:ascii="宋体" w:hAnsi="宋体" w:cs="宋体"/>
                <w:color w:val="000000" w:themeColor="text1"/>
                <w:sz w:val="28"/>
                <w:szCs w:val="28"/>
                <w:highlight w:val="none"/>
                <w:u w:val="single"/>
                <w:lang w:eastAsia="zh-CN"/>
                <w14:textFill>
                  <w14:solidFill>
                    <w14:schemeClr w14:val="tx1"/>
                  </w14:solidFill>
                </w14:textFill>
              </w:rPr>
              <w:t xml:space="preserve">哈密市中心医院  </w:t>
            </w:r>
            <w:r>
              <w:rPr>
                <w:rFonts w:hint="eastAsia" w:ascii="宋体" w:hAnsi="宋体" w:eastAsia="宋体" w:cs="宋体"/>
                <w:color w:val="000000" w:themeColor="text1"/>
                <w:sz w:val="28"/>
                <w:szCs w:val="28"/>
                <w:highlight w:val="none"/>
                <w:u w:val="single"/>
                <w:lang w:eastAsia="zh-CN"/>
                <w14:textFill>
                  <w14:solidFill>
                    <w14:schemeClr w14:val="tx1"/>
                  </w14:solidFill>
                </w14:textFill>
              </w:rPr>
              <w:t xml:space="preserve">  </w:t>
            </w:r>
          </w:p>
          <w:p w14:paraId="63D6C0DE">
            <w:pPr>
              <w:keepNext w:val="0"/>
              <w:keepLines w:val="0"/>
              <w:pageBreakBefore w:val="0"/>
              <w:kinsoku/>
              <w:wordWrap/>
              <w:overflowPunct/>
              <w:topLinePunct w:val="0"/>
              <w:bidi w:val="0"/>
              <w:adjustRightInd/>
              <w:snapToGrid/>
              <w:spacing w:line="560" w:lineRule="exact"/>
              <w:rPr>
                <w:rFonts w:hint="eastAsia" w:ascii="宋体" w:hAnsi="宋体" w:eastAsia="宋体" w:cs="宋体"/>
                <w:color w:val="000000" w:themeColor="text1"/>
                <w:sz w:val="28"/>
                <w:szCs w:val="28"/>
                <w:highlight w:val="none"/>
                <w:lang w:eastAsia="zh-CN"/>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地    址：</w:t>
            </w:r>
            <w:r>
              <w:rPr>
                <w:rFonts w:hint="eastAsia" w:ascii="宋体" w:hAnsi="宋体" w:cs="宋体"/>
                <w:color w:val="000000" w:themeColor="text1"/>
                <w:sz w:val="28"/>
                <w:szCs w:val="28"/>
                <w:highlight w:val="none"/>
                <w:u w:val="single"/>
                <w:lang w:eastAsia="zh-CN"/>
                <w14:textFill>
                  <w14:solidFill>
                    <w14:schemeClr w14:val="tx1"/>
                  </w14:solidFill>
                </w14:textFill>
              </w:rPr>
              <w:t>哈密市伊州区广场北路18号</w:t>
            </w:r>
          </w:p>
          <w:p w14:paraId="5876692F">
            <w:pPr>
              <w:keepNext w:val="0"/>
              <w:keepLines w:val="0"/>
              <w:pageBreakBefore w:val="0"/>
              <w:kinsoku/>
              <w:wordWrap/>
              <w:overflowPunct/>
              <w:topLinePunct w:val="0"/>
              <w:bidi w:val="0"/>
              <w:adjustRightInd/>
              <w:snapToGrid/>
              <w:spacing w:line="560" w:lineRule="exact"/>
              <w:rPr>
                <w:rFonts w:hint="eastAsia" w:ascii="宋体" w:hAnsi="宋体" w:eastAsia="宋体" w:cs="宋体"/>
                <w:color w:val="000000" w:themeColor="text1"/>
                <w:sz w:val="28"/>
                <w:szCs w:val="28"/>
                <w:highlight w:val="none"/>
                <w:u w:val="single"/>
                <w:lang w:eastAsia="zh-CN"/>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联系方式：</w:t>
            </w:r>
            <w:r>
              <w:rPr>
                <w:rFonts w:hint="eastAsia" w:ascii="宋体" w:hAnsi="宋体" w:eastAsia="宋体" w:cs="宋体"/>
                <w:color w:val="000000" w:themeColor="text1"/>
                <w:sz w:val="28"/>
                <w:szCs w:val="28"/>
                <w:highlight w:val="none"/>
                <w:u w:val="single"/>
                <w14:textFill>
                  <w14:solidFill>
                    <w14:schemeClr w14:val="tx1"/>
                  </w14:solidFill>
                </w14:textFill>
              </w:rPr>
              <w:t>0902-2260357</w:t>
            </w:r>
          </w:p>
        </w:tc>
      </w:tr>
      <w:tr w14:paraId="6AEE2B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14:paraId="3F0EC8EC">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3</w:t>
            </w:r>
          </w:p>
        </w:tc>
        <w:tc>
          <w:tcPr>
            <w:tcW w:w="2239" w:type="dxa"/>
            <w:tcBorders>
              <w:top w:val="single" w:color="auto" w:sz="4" w:space="0"/>
              <w:left w:val="single" w:color="auto" w:sz="4" w:space="0"/>
              <w:bottom w:val="single" w:color="auto" w:sz="4" w:space="0"/>
              <w:right w:val="single" w:color="auto" w:sz="4" w:space="0"/>
            </w:tcBorders>
            <w:vAlign w:val="center"/>
          </w:tcPr>
          <w:p w14:paraId="69E98349">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采购代理机构</w:t>
            </w:r>
          </w:p>
        </w:tc>
        <w:tc>
          <w:tcPr>
            <w:tcW w:w="7297" w:type="dxa"/>
            <w:tcBorders>
              <w:top w:val="single" w:color="auto" w:sz="4" w:space="0"/>
              <w:left w:val="single" w:color="auto" w:sz="4" w:space="0"/>
              <w:bottom w:val="single" w:color="auto" w:sz="4" w:space="0"/>
              <w:right w:val="single" w:color="auto" w:sz="4" w:space="0"/>
            </w:tcBorders>
            <w:vAlign w:val="center"/>
          </w:tcPr>
          <w:p w14:paraId="0B9504AA">
            <w:pPr>
              <w:keepNext w:val="0"/>
              <w:keepLines w:val="0"/>
              <w:pageBreakBefore w:val="0"/>
              <w:kinsoku/>
              <w:wordWrap/>
              <w:overflowPunct/>
              <w:topLinePunct w:val="0"/>
              <w:bidi w:val="0"/>
              <w:adjustRightInd/>
              <w:snapToGrid/>
              <w:spacing w:line="560" w:lineRule="exact"/>
              <w:rPr>
                <w:rFonts w:hint="eastAsia" w:ascii="宋体" w:hAnsi="宋体" w:eastAsia="宋体" w:cs="宋体"/>
                <w:color w:val="000000" w:themeColor="text1"/>
                <w:sz w:val="28"/>
                <w:szCs w:val="28"/>
                <w:highlight w:val="none"/>
                <w:u w:val="single"/>
                <w:lang w:eastAsia="zh-CN"/>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名    称：</w:t>
            </w:r>
            <w:r>
              <w:rPr>
                <w:rFonts w:hint="eastAsia" w:ascii="宋体" w:hAnsi="宋体" w:cs="宋体"/>
                <w:color w:val="000000" w:themeColor="text1"/>
                <w:sz w:val="28"/>
                <w:szCs w:val="28"/>
                <w:highlight w:val="none"/>
                <w:u w:val="single"/>
                <w:lang w:eastAsia="zh-CN"/>
                <w14:textFill>
                  <w14:solidFill>
                    <w14:schemeClr w14:val="tx1"/>
                  </w14:solidFill>
                </w14:textFill>
              </w:rPr>
              <w:t>新疆诚誉工程项目管理有限公司</w:t>
            </w:r>
          </w:p>
          <w:p w14:paraId="691615A6">
            <w:pPr>
              <w:keepNext w:val="0"/>
              <w:keepLines w:val="0"/>
              <w:pageBreakBefore w:val="0"/>
              <w:kinsoku/>
              <w:wordWrap/>
              <w:overflowPunct/>
              <w:topLinePunct w:val="0"/>
              <w:bidi w:val="0"/>
              <w:adjustRightInd/>
              <w:snapToGrid/>
              <w:spacing w:line="560" w:lineRule="exact"/>
              <w:rPr>
                <w:rFonts w:hint="eastAsia" w:ascii="宋体" w:hAnsi="宋体" w:eastAsia="宋体" w:cs="宋体"/>
                <w:color w:val="000000" w:themeColor="text1"/>
                <w:sz w:val="28"/>
                <w:szCs w:val="28"/>
                <w:highlight w:val="none"/>
                <w:lang w:eastAsia="zh-CN"/>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地　　址：</w:t>
            </w:r>
            <w:r>
              <w:rPr>
                <w:rFonts w:hint="eastAsia" w:ascii="宋体" w:hAnsi="宋体" w:cs="宋体"/>
                <w:color w:val="000000" w:themeColor="text1"/>
                <w:sz w:val="28"/>
                <w:szCs w:val="28"/>
                <w:highlight w:val="none"/>
                <w:u w:val="single"/>
                <w:lang w:eastAsia="zh-CN"/>
                <w14:textFill>
                  <w14:solidFill>
                    <w14:schemeClr w14:val="tx1"/>
                  </w14:solidFill>
                </w14:textFill>
              </w:rPr>
              <w:t>乌鲁木齐市会展大道599号新疆财富中心C座6楼601室</w:t>
            </w:r>
          </w:p>
          <w:p w14:paraId="2208801B">
            <w:pPr>
              <w:keepNext w:val="0"/>
              <w:keepLines w:val="0"/>
              <w:pageBreakBefore w:val="0"/>
              <w:kinsoku/>
              <w:wordWrap/>
              <w:overflowPunct/>
              <w:topLinePunct w:val="0"/>
              <w:bidi w:val="0"/>
              <w:adjustRightInd/>
              <w:snapToGrid/>
              <w:spacing w:line="560" w:lineRule="exact"/>
              <w:rPr>
                <w:rFonts w:hint="eastAsia" w:ascii="宋体" w:hAnsi="宋体" w:eastAsia="宋体" w:cs="宋体"/>
                <w:color w:val="000000" w:themeColor="text1"/>
                <w:sz w:val="28"/>
                <w:szCs w:val="28"/>
                <w:highlight w:val="none"/>
                <w:lang w:eastAsia="zh-CN"/>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项目联系人：</w:t>
            </w:r>
            <w:r>
              <w:rPr>
                <w:rFonts w:hint="eastAsia" w:ascii="宋体" w:hAnsi="宋体" w:cs="宋体"/>
                <w:color w:val="000000" w:themeColor="text1"/>
                <w:sz w:val="28"/>
                <w:szCs w:val="28"/>
                <w:highlight w:val="none"/>
                <w:u w:val="single"/>
                <w:lang w:eastAsia="zh-CN"/>
                <w14:textFill>
                  <w14:solidFill>
                    <w14:schemeClr w14:val="tx1"/>
                  </w14:solidFill>
                </w14:textFill>
              </w:rPr>
              <w:t>刘慧敏、赵箭</w:t>
            </w:r>
          </w:p>
          <w:p w14:paraId="4D67C9A5">
            <w:pPr>
              <w:pStyle w:val="11"/>
              <w:keepNext w:val="0"/>
              <w:keepLines w:val="0"/>
              <w:pageBreakBefore w:val="0"/>
              <w:kinsoku/>
              <w:wordWrap/>
              <w:overflowPunct/>
              <w:topLinePunct w:val="0"/>
              <w:bidi w:val="0"/>
              <w:adjustRightInd/>
              <w:snapToGrid/>
              <w:spacing w:line="560" w:lineRule="exact"/>
              <w:rPr>
                <w:rFonts w:hint="default"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电　　 话：</w:t>
            </w:r>
            <w:r>
              <w:rPr>
                <w:rFonts w:hint="eastAsia" w:ascii="宋体" w:hAnsi="宋体" w:cs="宋体"/>
                <w:color w:val="000000" w:themeColor="text1"/>
                <w:sz w:val="28"/>
                <w:szCs w:val="28"/>
                <w:highlight w:val="none"/>
                <w:u w:val="single"/>
                <w:lang w:val="en-US" w:eastAsia="zh-CN"/>
                <w14:textFill>
                  <w14:solidFill>
                    <w14:schemeClr w14:val="tx1"/>
                  </w14:solidFill>
                </w14:textFill>
              </w:rPr>
              <w:t>15899485207、19999115800</w:t>
            </w:r>
          </w:p>
        </w:tc>
      </w:tr>
      <w:tr w14:paraId="486BA5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14:paraId="5E2ADDC1">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color w:val="000000" w:themeColor="text1"/>
                <w:sz w:val="28"/>
                <w:szCs w:val="28"/>
                <w:highlight w:val="none"/>
                <w:lang w:eastAsia="zh-CN"/>
                <w14:textFill>
                  <w14:solidFill>
                    <w14:schemeClr w14:val="tx1"/>
                  </w14:solidFill>
                </w14:textFill>
              </w:rPr>
            </w:pPr>
            <w:r>
              <w:rPr>
                <w:rFonts w:hint="eastAsia" w:ascii="宋体" w:hAnsi="宋体" w:cs="宋体"/>
                <w:color w:val="000000" w:themeColor="text1"/>
                <w:sz w:val="28"/>
                <w:szCs w:val="28"/>
                <w:highlight w:val="none"/>
                <w:lang w:val="en-US" w:eastAsia="zh-CN"/>
                <w14:textFill>
                  <w14:solidFill>
                    <w14:schemeClr w14:val="tx1"/>
                  </w14:solidFill>
                </w14:textFill>
              </w:rPr>
              <w:t>4</w:t>
            </w:r>
          </w:p>
        </w:tc>
        <w:tc>
          <w:tcPr>
            <w:tcW w:w="2239" w:type="dxa"/>
            <w:tcBorders>
              <w:top w:val="single" w:color="auto" w:sz="4" w:space="0"/>
              <w:left w:val="single" w:color="auto" w:sz="4" w:space="0"/>
              <w:bottom w:val="single" w:color="auto" w:sz="4" w:space="0"/>
              <w:right w:val="single" w:color="auto" w:sz="4" w:space="0"/>
            </w:tcBorders>
            <w:vAlign w:val="center"/>
          </w:tcPr>
          <w:p w14:paraId="0F4AC543">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bookmarkStart w:id="78" w:name="_8.1"/>
            <w:bookmarkEnd w:id="78"/>
            <w:bookmarkStart w:id="79" w:name="_5"/>
            <w:bookmarkEnd w:id="79"/>
            <w:bookmarkStart w:id="80" w:name="_9.2"/>
            <w:bookmarkEnd w:id="80"/>
            <w:r>
              <w:rPr>
                <w:rFonts w:hint="eastAsia" w:ascii="宋体" w:hAnsi="宋体" w:eastAsia="宋体" w:cs="宋体"/>
                <w:color w:val="000000" w:themeColor="text1"/>
                <w:sz w:val="28"/>
                <w:szCs w:val="28"/>
                <w:highlight w:val="none"/>
                <w14:textFill>
                  <w14:solidFill>
                    <w14:schemeClr w14:val="tx1"/>
                  </w14:solidFill>
                </w14:textFill>
              </w:rPr>
              <w:t>是否接受联合体投标</w:t>
            </w:r>
          </w:p>
        </w:tc>
        <w:tc>
          <w:tcPr>
            <w:tcW w:w="7297" w:type="dxa"/>
            <w:tcBorders>
              <w:top w:val="single" w:color="auto" w:sz="4" w:space="0"/>
              <w:left w:val="single" w:color="auto" w:sz="4" w:space="0"/>
              <w:bottom w:val="single" w:color="auto" w:sz="4" w:space="0"/>
              <w:right w:val="single" w:color="auto" w:sz="4" w:space="0"/>
            </w:tcBorders>
            <w:vAlign w:val="center"/>
          </w:tcPr>
          <w:p w14:paraId="4938EF25">
            <w:pPr>
              <w:pStyle w:val="11"/>
              <w:keepNext w:val="0"/>
              <w:keepLines w:val="0"/>
              <w:pageBreakBefore w:val="0"/>
              <w:kinsoku/>
              <w:wordWrap/>
              <w:overflowPunct/>
              <w:topLinePunct w:val="0"/>
              <w:bidi w:val="0"/>
              <w:adjustRightInd/>
              <w:snapToGrid/>
              <w:spacing w:line="560" w:lineRule="exact"/>
              <w:rPr>
                <w:rFonts w:hint="eastAsia" w:ascii="宋体" w:hAnsi="宋体" w:eastAsia="宋体" w:cs="宋体"/>
                <w:color w:val="000000" w:themeColor="text1"/>
                <w:sz w:val="28"/>
                <w:szCs w:val="28"/>
                <w:highlight w:val="none"/>
                <w14:textFill>
                  <w14:solidFill>
                    <w14:schemeClr w14:val="tx1"/>
                  </w14:solidFill>
                </w14:textFill>
              </w:rPr>
            </w:pPr>
            <w:bookmarkStart w:id="81" w:name="PO_3000001867_PM007_1"/>
            <w:r>
              <w:rPr>
                <w:rFonts w:hint="eastAsia" w:ascii="宋体" w:hAnsi="宋体" w:eastAsia="宋体" w:cs="宋体"/>
                <w:color w:val="000000" w:themeColor="text1"/>
                <w:sz w:val="28"/>
                <w:szCs w:val="28"/>
                <w:highlight w:val="none"/>
                <w14:textFill>
                  <w14:solidFill>
                    <w14:schemeClr w14:val="tx1"/>
                  </w14:solidFill>
                </w14:textFill>
              </w:rPr>
              <w:t>不允许联合体投标</w:t>
            </w:r>
            <w:bookmarkEnd w:id="81"/>
            <w:r>
              <w:rPr>
                <w:rFonts w:hint="eastAsia" w:ascii="宋体" w:hAnsi="宋体" w:eastAsia="宋体" w:cs="宋体"/>
                <w:color w:val="000000" w:themeColor="text1"/>
                <w:sz w:val="28"/>
                <w:szCs w:val="28"/>
                <w:highlight w:val="none"/>
                <w14:textFill>
                  <w14:solidFill>
                    <w14:schemeClr w14:val="tx1"/>
                  </w14:solidFill>
                </w14:textFill>
              </w:rPr>
              <w:t>。</w:t>
            </w:r>
          </w:p>
        </w:tc>
      </w:tr>
      <w:tr w14:paraId="4C33F5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14:paraId="7C5142DC">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color w:val="000000" w:themeColor="text1"/>
                <w:sz w:val="28"/>
                <w:szCs w:val="28"/>
                <w:highlight w:val="none"/>
                <w:lang w:eastAsia="zh-CN"/>
                <w14:textFill>
                  <w14:solidFill>
                    <w14:schemeClr w14:val="tx1"/>
                  </w14:solidFill>
                </w14:textFill>
              </w:rPr>
            </w:pPr>
            <w:r>
              <w:rPr>
                <w:rFonts w:hint="eastAsia" w:ascii="宋体" w:hAnsi="宋体" w:cs="宋体"/>
                <w:color w:val="000000" w:themeColor="text1"/>
                <w:sz w:val="28"/>
                <w:szCs w:val="28"/>
                <w:highlight w:val="none"/>
                <w:lang w:val="en-US" w:eastAsia="zh-CN"/>
                <w14:textFill>
                  <w14:solidFill>
                    <w14:schemeClr w14:val="tx1"/>
                  </w14:solidFill>
                </w14:textFill>
              </w:rPr>
              <w:t>5</w:t>
            </w:r>
          </w:p>
        </w:tc>
        <w:tc>
          <w:tcPr>
            <w:tcW w:w="2239" w:type="dxa"/>
            <w:tcBorders>
              <w:top w:val="single" w:color="auto" w:sz="4" w:space="0"/>
              <w:left w:val="single" w:color="auto" w:sz="4" w:space="0"/>
              <w:bottom w:val="single" w:color="auto" w:sz="4" w:space="0"/>
              <w:right w:val="single" w:color="auto" w:sz="4" w:space="0"/>
            </w:tcBorders>
            <w:vAlign w:val="center"/>
          </w:tcPr>
          <w:p w14:paraId="3EA09DC0">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联合体投标要求</w:t>
            </w:r>
          </w:p>
        </w:tc>
        <w:tc>
          <w:tcPr>
            <w:tcW w:w="7297" w:type="dxa"/>
            <w:tcBorders>
              <w:top w:val="single" w:color="auto" w:sz="4" w:space="0"/>
              <w:left w:val="single" w:color="auto" w:sz="4" w:space="0"/>
              <w:bottom w:val="single" w:color="auto" w:sz="4" w:space="0"/>
              <w:right w:val="single" w:color="auto" w:sz="4" w:space="0"/>
            </w:tcBorders>
            <w:vAlign w:val="center"/>
          </w:tcPr>
          <w:p w14:paraId="21A4CAE6">
            <w:pPr>
              <w:pStyle w:val="11"/>
              <w:keepNext w:val="0"/>
              <w:keepLines w:val="0"/>
              <w:pageBreakBefore w:val="0"/>
              <w:kinsoku/>
              <w:wordWrap/>
              <w:overflowPunct/>
              <w:topLinePunct w:val="0"/>
              <w:bidi w:val="0"/>
              <w:adjustRightInd/>
              <w:snapToGrid/>
              <w:spacing w:line="560" w:lineRule="exac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无</w:t>
            </w:r>
          </w:p>
        </w:tc>
      </w:tr>
      <w:tr w14:paraId="14B1EE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14:paraId="504265FB">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color w:val="000000" w:themeColor="text1"/>
                <w:sz w:val="28"/>
                <w:szCs w:val="28"/>
                <w:highlight w:val="none"/>
                <w:lang w:eastAsia="zh-CN"/>
                <w14:textFill>
                  <w14:solidFill>
                    <w14:schemeClr w14:val="tx1"/>
                  </w14:solidFill>
                </w14:textFill>
              </w:rPr>
            </w:pPr>
            <w:r>
              <w:rPr>
                <w:rFonts w:hint="eastAsia" w:ascii="宋体" w:hAnsi="宋体" w:cs="宋体"/>
                <w:color w:val="000000" w:themeColor="text1"/>
                <w:sz w:val="28"/>
                <w:szCs w:val="28"/>
                <w:highlight w:val="none"/>
                <w:lang w:val="en-US" w:eastAsia="zh-CN"/>
                <w14:textFill>
                  <w14:solidFill>
                    <w14:schemeClr w14:val="tx1"/>
                  </w14:solidFill>
                </w14:textFill>
              </w:rPr>
              <w:t>6</w:t>
            </w:r>
          </w:p>
        </w:tc>
        <w:tc>
          <w:tcPr>
            <w:tcW w:w="2239" w:type="dxa"/>
            <w:tcBorders>
              <w:top w:val="single" w:color="auto" w:sz="4" w:space="0"/>
              <w:left w:val="single" w:color="auto" w:sz="4" w:space="0"/>
              <w:bottom w:val="single" w:color="auto" w:sz="4" w:space="0"/>
              <w:right w:val="single" w:color="auto" w:sz="4" w:space="0"/>
            </w:tcBorders>
            <w:vAlign w:val="center"/>
          </w:tcPr>
          <w:p w14:paraId="4360FBAA">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是否允许转包/分包</w:t>
            </w:r>
          </w:p>
        </w:tc>
        <w:tc>
          <w:tcPr>
            <w:tcW w:w="7297" w:type="dxa"/>
            <w:tcBorders>
              <w:top w:val="single" w:color="auto" w:sz="4" w:space="0"/>
              <w:left w:val="single" w:color="auto" w:sz="4" w:space="0"/>
              <w:bottom w:val="single" w:color="auto" w:sz="4" w:space="0"/>
              <w:right w:val="single" w:color="auto" w:sz="4" w:space="0"/>
            </w:tcBorders>
            <w:vAlign w:val="center"/>
          </w:tcPr>
          <w:p w14:paraId="3909235A">
            <w:pPr>
              <w:pStyle w:val="11"/>
              <w:keepNext w:val="0"/>
              <w:keepLines w:val="0"/>
              <w:pageBreakBefore w:val="0"/>
              <w:kinsoku/>
              <w:wordWrap/>
              <w:overflowPunct/>
              <w:topLinePunct w:val="0"/>
              <w:bidi w:val="0"/>
              <w:adjustRightInd/>
              <w:snapToGrid/>
              <w:spacing w:line="560" w:lineRule="exac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w:t>
            </w:r>
          </w:p>
        </w:tc>
      </w:tr>
      <w:tr w14:paraId="5D7C93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14:paraId="6A1E9DD5">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color w:val="000000" w:themeColor="text1"/>
                <w:sz w:val="28"/>
                <w:szCs w:val="28"/>
                <w:highlight w:val="none"/>
                <w:lang w:eastAsia="zh-CN"/>
                <w14:textFill>
                  <w14:solidFill>
                    <w14:schemeClr w14:val="tx1"/>
                  </w14:solidFill>
                </w14:textFill>
              </w:rPr>
            </w:pPr>
            <w:r>
              <w:rPr>
                <w:rFonts w:hint="eastAsia" w:ascii="宋体" w:hAnsi="宋体" w:cs="宋体"/>
                <w:color w:val="000000" w:themeColor="text1"/>
                <w:sz w:val="28"/>
                <w:szCs w:val="28"/>
                <w:highlight w:val="none"/>
                <w:lang w:val="en-US" w:eastAsia="zh-CN"/>
                <w14:textFill>
                  <w14:solidFill>
                    <w14:schemeClr w14:val="tx1"/>
                  </w14:solidFill>
                </w14:textFill>
              </w:rPr>
              <w:t>7</w:t>
            </w:r>
          </w:p>
        </w:tc>
        <w:tc>
          <w:tcPr>
            <w:tcW w:w="2239" w:type="dxa"/>
            <w:tcBorders>
              <w:top w:val="single" w:color="auto" w:sz="4" w:space="0"/>
              <w:left w:val="single" w:color="auto" w:sz="4" w:space="0"/>
              <w:bottom w:val="single" w:color="auto" w:sz="4" w:space="0"/>
              <w:right w:val="single" w:color="auto" w:sz="4" w:space="0"/>
            </w:tcBorders>
            <w:vAlign w:val="center"/>
          </w:tcPr>
          <w:p w14:paraId="41BF7BD4">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媒体发布渠道</w:t>
            </w:r>
          </w:p>
        </w:tc>
        <w:tc>
          <w:tcPr>
            <w:tcW w:w="7297" w:type="dxa"/>
            <w:tcBorders>
              <w:top w:val="single" w:color="auto" w:sz="4" w:space="0"/>
              <w:left w:val="single" w:color="auto" w:sz="4" w:space="0"/>
              <w:bottom w:val="single" w:color="auto" w:sz="4" w:space="0"/>
              <w:right w:val="single" w:color="auto" w:sz="4" w:space="0"/>
            </w:tcBorders>
            <w:vAlign w:val="center"/>
          </w:tcPr>
          <w:p w14:paraId="3961E2EB">
            <w:pPr>
              <w:keepNext w:val="0"/>
              <w:keepLines w:val="0"/>
              <w:pageBreakBefore w:val="0"/>
              <w:kinsoku/>
              <w:wordWrap/>
              <w:overflowPunct/>
              <w:topLinePunct w:val="0"/>
              <w:bidi w:val="0"/>
              <w:adjustRightInd/>
              <w:snapToGrid/>
              <w:spacing w:line="560" w:lineRule="exac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新疆政府采购网（http://www.ccgp-xinjiang.gov.cn）</w:t>
            </w:r>
          </w:p>
        </w:tc>
      </w:tr>
      <w:tr w14:paraId="2675BE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14:paraId="01BF227F">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color w:val="000000" w:themeColor="text1"/>
                <w:sz w:val="28"/>
                <w:szCs w:val="28"/>
                <w:highlight w:val="none"/>
                <w:lang w:eastAsia="zh-CN"/>
                <w14:textFill>
                  <w14:solidFill>
                    <w14:schemeClr w14:val="tx1"/>
                  </w14:solidFill>
                </w14:textFill>
              </w:rPr>
            </w:pPr>
            <w:r>
              <w:rPr>
                <w:rFonts w:hint="eastAsia" w:ascii="宋体" w:hAnsi="宋体" w:cs="宋体"/>
                <w:color w:val="000000" w:themeColor="text1"/>
                <w:sz w:val="28"/>
                <w:szCs w:val="28"/>
                <w:highlight w:val="none"/>
                <w:lang w:val="en-US" w:eastAsia="zh-CN"/>
                <w14:textFill>
                  <w14:solidFill>
                    <w14:schemeClr w14:val="tx1"/>
                  </w14:solidFill>
                </w14:textFill>
              </w:rPr>
              <w:t>8</w:t>
            </w:r>
          </w:p>
        </w:tc>
        <w:tc>
          <w:tcPr>
            <w:tcW w:w="2239" w:type="dxa"/>
            <w:tcBorders>
              <w:top w:val="single" w:color="auto" w:sz="4" w:space="0"/>
              <w:left w:val="single" w:color="auto" w:sz="4" w:space="0"/>
              <w:bottom w:val="single" w:color="auto" w:sz="4" w:space="0"/>
              <w:right w:val="single" w:color="auto" w:sz="4" w:space="0"/>
            </w:tcBorders>
            <w:vAlign w:val="center"/>
          </w:tcPr>
          <w:p w14:paraId="140B04C7">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是否组织标前答疑会</w:t>
            </w:r>
          </w:p>
        </w:tc>
        <w:tc>
          <w:tcPr>
            <w:tcW w:w="7297" w:type="dxa"/>
            <w:tcBorders>
              <w:top w:val="single" w:color="auto" w:sz="4" w:space="0"/>
              <w:left w:val="single" w:color="auto" w:sz="4" w:space="0"/>
              <w:bottom w:val="single" w:color="auto" w:sz="4" w:space="0"/>
              <w:right w:val="single" w:color="auto" w:sz="4" w:space="0"/>
            </w:tcBorders>
            <w:vAlign w:val="center"/>
          </w:tcPr>
          <w:p w14:paraId="4B19FB76">
            <w:pPr>
              <w:keepNext w:val="0"/>
              <w:keepLines w:val="0"/>
              <w:pageBreakBefore w:val="0"/>
              <w:kinsoku/>
              <w:wordWrap/>
              <w:overflowPunct/>
              <w:topLinePunct w:val="0"/>
              <w:bidi w:val="0"/>
              <w:adjustRightInd/>
              <w:snapToGrid/>
              <w:spacing w:line="560" w:lineRule="exac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不组织召开 </w:t>
            </w:r>
          </w:p>
        </w:tc>
      </w:tr>
      <w:tr w14:paraId="3EC173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3" w:type="dxa"/>
            <w:tcBorders>
              <w:top w:val="nil"/>
              <w:left w:val="single" w:color="auto" w:sz="4" w:space="0"/>
              <w:bottom w:val="nil"/>
              <w:right w:val="single" w:color="auto" w:sz="4" w:space="0"/>
            </w:tcBorders>
            <w:vAlign w:val="center"/>
          </w:tcPr>
          <w:p w14:paraId="0ACD4CDB">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color w:val="000000" w:themeColor="text1"/>
                <w:sz w:val="28"/>
                <w:szCs w:val="28"/>
                <w:highlight w:val="none"/>
                <w:lang w:eastAsia="zh-CN"/>
                <w14:textFill>
                  <w14:solidFill>
                    <w14:schemeClr w14:val="tx1"/>
                  </w14:solidFill>
                </w14:textFill>
              </w:rPr>
            </w:pPr>
            <w:r>
              <w:rPr>
                <w:rFonts w:hint="eastAsia" w:ascii="宋体" w:hAnsi="宋体" w:cs="宋体"/>
                <w:color w:val="000000" w:themeColor="text1"/>
                <w:sz w:val="28"/>
                <w:szCs w:val="28"/>
                <w:highlight w:val="none"/>
                <w:lang w:val="en-US" w:eastAsia="zh-CN"/>
                <w14:textFill>
                  <w14:solidFill>
                    <w14:schemeClr w14:val="tx1"/>
                  </w14:solidFill>
                </w14:textFill>
              </w:rPr>
              <w:t>9</w:t>
            </w:r>
          </w:p>
        </w:tc>
        <w:tc>
          <w:tcPr>
            <w:tcW w:w="2239" w:type="dxa"/>
            <w:tcBorders>
              <w:top w:val="single" w:color="auto" w:sz="4" w:space="0"/>
              <w:left w:val="single" w:color="auto" w:sz="4" w:space="0"/>
              <w:bottom w:val="single" w:color="auto" w:sz="4" w:space="0"/>
              <w:right w:val="single" w:color="auto" w:sz="4" w:space="0"/>
            </w:tcBorders>
            <w:vAlign w:val="center"/>
          </w:tcPr>
          <w:p w14:paraId="1BCC2988">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bookmarkStart w:id="82" w:name="_13.2"/>
            <w:bookmarkEnd w:id="82"/>
            <w:r>
              <w:rPr>
                <w:rFonts w:hint="eastAsia" w:ascii="宋体" w:hAnsi="宋体" w:eastAsia="宋体" w:cs="宋体"/>
                <w:color w:val="000000" w:themeColor="text1"/>
                <w:sz w:val="28"/>
                <w:szCs w:val="28"/>
                <w:highlight w:val="none"/>
                <w14:textFill>
                  <w14:solidFill>
                    <w14:schemeClr w14:val="tx1"/>
                  </w14:solidFill>
                </w14:textFill>
              </w:rPr>
              <w:t>资格证明文件</w:t>
            </w:r>
          </w:p>
          <w:p w14:paraId="4DFEDBDD">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组成</w:t>
            </w:r>
          </w:p>
        </w:tc>
        <w:tc>
          <w:tcPr>
            <w:tcW w:w="7297" w:type="dxa"/>
            <w:tcBorders>
              <w:top w:val="single" w:color="auto" w:sz="4" w:space="0"/>
              <w:left w:val="single" w:color="auto" w:sz="4" w:space="0"/>
              <w:bottom w:val="single" w:color="auto" w:sz="4" w:space="0"/>
              <w:right w:val="single" w:color="auto" w:sz="4" w:space="0"/>
            </w:tcBorders>
            <w:vAlign w:val="center"/>
          </w:tcPr>
          <w:p w14:paraId="14D41095">
            <w:pPr>
              <w:keepNext w:val="0"/>
              <w:keepLines w:val="0"/>
              <w:pageBreakBefore w:val="0"/>
              <w:kinsoku/>
              <w:wordWrap/>
              <w:overflowPunct/>
              <w:topLinePunct w:val="0"/>
              <w:bidi w:val="0"/>
              <w:adjustRightInd/>
              <w:snapToGrid/>
              <w:spacing w:line="560" w:lineRule="exact"/>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1、具有独立承担民事责任的能力；（提供合法有效的法人营业执照）</w:t>
            </w:r>
          </w:p>
          <w:p w14:paraId="241041B5">
            <w:pPr>
              <w:keepNext w:val="0"/>
              <w:keepLines w:val="0"/>
              <w:pageBreakBefore w:val="0"/>
              <w:kinsoku/>
              <w:wordWrap/>
              <w:overflowPunct/>
              <w:topLinePunct w:val="0"/>
              <w:bidi w:val="0"/>
              <w:adjustRightInd/>
              <w:snapToGrid/>
              <w:spacing w:line="560" w:lineRule="exact"/>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2、具有良好的商业信誉和健全的财务会计制度；（</w:t>
            </w:r>
            <w:r>
              <w:rPr>
                <w:rFonts w:hint="eastAsia" w:ascii="宋体" w:hAnsi="宋体" w:cs="宋体"/>
                <w:color w:val="000000" w:themeColor="text1"/>
                <w:sz w:val="28"/>
                <w:szCs w:val="28"/>
                <w:highlight w:val="none"/>
                <w:lang w:val="en-US" w:eastAsia="zh-CN"/>
                <w14:textFill>
                  <w14:solidFill>
                    <w14:schemeClr w14:val="tx1"/>
                  </w14:solidFill>
                </w14:textFill>
              </w:rPr>
              <w:t>提供</w:t>
            </w:r>
            <w:r>
              <w:rPr>
                <w:rFonts w:hint="eastAsia" w:ascii="宋体" w:hAnsi="宋体" w:eastAsia="宋体"/>
                <w:color w:val="000000" w:themeColor="text1"/>
                <w:sz w:val="28"/>
                <w:szCs w:val="28"/>
                <w:highlight w:val="none"/>
                <w14:textFill>
                  <w14:solidFill>
                    <w14:schemeClr w14:val="tx1"/>
                  </w14:solidFill>
                </w14:textFill>
              </w:rPr>
              <w:t>202</w:t>
            </w:r>
            <w:r>
              <w:rPr>
                <w:rFonts w:hint="eastAsia" w:ascii="宋体" w:hAnsi="宋体"/>
                <w:color w:val="000000" w:themeColor="text1"/>
                <w:sz w:val="28"/>
                <w:szCs w:val="28"/>
                <w:highlight w:val="none"/>
                <w:lang w:val="en-US" w:eastAsia="zh-CN"/>
                <w14:textFill>
                  <w14:solidFill>
                    <w14:schemeClr w14:val="tx1"/>
                  </w14:solidFill>
                </w14:textFill>
              </w:rPr>
              <w:t>2</w:t>
            </w:r>
            <w:r>
              <w:rPr>
                <w:rFonts w:hint="eastAsia" w:ascii="宋体" w:hAnsi="宋体" w:eastAsia="宋体"/>
                <w:color w:val="000000" w:themeColor="text1"/>
                <w:sz w:val="28"/>
                <w:szCs w:val="28"/>
                <w:highlight w:val="none"/>
                <w14:textFill>
                  <w14:solidFill>
                    <w14:schemeClr w14:val="tx1"/>
                  </w14:solidFill>
                </w14:textFill>
              </w:rPr>
              <w:t>-202</w:t>
            </w:r>
            <w:r>
              <w:rPr>
                <w:rFonts w:hint="eastAsia" w:ascii="宋体" w:hAnsi="宋体"/>
                <w:color w:val="000000" w:themeColor="text1"/>
                <w:sz w:val="28"/>
                <w:szCs w:val="28"/>
                <w:highlight w:val="none"/>
                <w:lang w:val="en-US" w:eastAsia="zh-CN"/>
                <w14:textFill>
                  <w14:solidFill>
                    <w14:schemeClr w14:val="tx1"/>
                  </w14:solidFill>
                </w14:textFill>
              </w:rPr>
              <w:t>4</w:t>
            </w:r>
            <w:r>
              <w:rPr>
                <w:rFonts w:hint="eastAsia" w:ascii="宋体" w:hAnsi="宋体" w:eastAsia="宋体" w:cs="宋体"/>
                <w:color w:val="000000" w:themeColor="text1"/>
                <w:sz w:val="28"/>
                <w:szCs w:val="28"/>
                <w:highlight w:val="none"/>
                <w14:textFill>
                  <w14:solidFill>
                    <w14:schemeClr w14:val="tx1"/>
                  </w14:solidFill>
                </w14:textFill>
              </w:rPr>
              <w:t>年任意一年的</w:t>
            </w:r>
            <w:r>
              <w:rPr>
                <w:rFonts w:hint="eastAsia" w:ascii="宋体" w:hAnsi="宋体" w:eastAsia="宋体" w:cs="宋体"/>
                <w:color w:val="000000" w:themeColor="text1"/>
                <w:sz w:val="28"/>
                <w:szCs w:val="28"/>
                <w:highlight w:val="none"/>
                <w:lang w:val="en-US" w:eastAsia="zh-CN"/>
                <w14:textFill>
                  <w14:solidFill>
                    <w14:schemeClr w14:val="tx1"/>
                  </w14:solidFill>
                </w14:textFill>
              </w:rPr>
              <w:t>完整</w:t>
            </w:r>
            <w:r>
              <w:rPr>
                <w:rFonts w:hint="eastAsia" w:ascii="宋体" w:hAnsi="宋体" w:eastAsia="宋体" w:cs="宋体"/>
                <w:color w:val="000000" w:themeColor="text1"/>
                <w:sz w:val="28"/>
                <w:szCs w:val="28"/>
                <w:highlight w:val="none"/>
                <w14:textFill>
                  <w14:solidFill>
                    <w14:schemeClr w14:val="tx1"/>
                  </w14:solidFill>
                </w14:textFill>
              </w:rPr>
              <w:t xml:space="preserve">审计报告或财务报表（应包括资产负债表、现金流量表、利润表），本年度新成立或成立不满一年的无法提供财务审计报告或财务状况报告表的无需提供。） </w:t>
            </w:r>
          </w:p>
          <w:p w14:paraId="53C69DC3">
            <w:pPr>
              <w:keepNext w:val="0"/>
              <w:keepLines w:val="0"/>
              <w:pageBreakBefore w:val="0"/>
              <w:kinsoku/>
              <w:wordWrap/>
              <w:overflowPunct/>
              <w:topLinePunct w:val="0"/>
              <w:bidi w:val="0"/>
              <w:adjustRightInd/>
              <w:snapToGrid/>
              <w:spacing w:line="560" w:lineRule="exact"/>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3、具有履行合同所必需的设备和专业技术能力；（根据项目需求提供履行合同所必需的设备和专业技术能力的加盖单位公章的书面承诺函）</w:t>
            </w:r>
          </w:p>
          <w:p w14:paraId="4373AF2A">
            <w:pPr>
              <w:keepNext w:val="0"/>
              <w:keepLines w:val="0"/>
              <w:pageBreakBefore w:val="0"/>
              <w:kinsoku/>
              <w:wordWrap/>
              <w:overflowPunct/>
              <w:topLinePunct w:val="0"/>
              <w:bidi w:val="0"/>
              <w:adjustRightInd/>
              <w:snapToGrid/>
              <w:spacing w:line="560" w:lineRule="exact"/>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4、有依法缴纳税收和社会保障资金的良好记录；（提供参加本次政府采购活动前近半年任意一个月的依法缴纳税收和社会保障资金的相关材料） </w:t>
            </w:r>
          </w:p>
          <w:p w14:paraId="5CE57BD4">
            <w:pPr>
              <w:keepNext w:val="0"/>
              <w:keepLines w:val="0"/>
              <w:pageBreakBefore w:val="0"/>
              <w:kinsoku/>
              <w:wordWrap/>
              <w:overflowPunct/>
              <w:topLinePunct w:val="0"/>
              <w:bidi w:val="0"/>
              <w:adjustRightInd/>
              <w:snapToGrid/>
              <w:spacing w:line="560" w:lineRule="exact"/>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5、参加政府采购活动前三年内，在经营活动中没有重大违法记录；（提供参加本次政府采购活动前3年内在经营活动中没有重大违法记录的书面承诺函并加盖单位公章）</w:t>
            </w:r>
          </w:p>
          <w:p w14:paraId="3153023A">
            <w:pPr>
              <w:keepNext w:val="0"/>
              <w:keepLines w:val="0"/>
              <w:pageBreakBefore w:val="0"/>
              <w:kinsoku/>
              <w:wordWrap/>
              <w:overflowPunct/>
              <w:topLinePunct w:val="0"/>
              <w:bidi w:val="0"/>
              <w:adjustRightInd/>
              <w:snapToGrid/>
              <w:spacing w:line="560" w:lineRule="exact"/>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6、法律、行政法规规定的其他条件</w:t>
            </w:r>
            <w:r>
              <w:rPr>
                <w:rFonts w:hint="eastAsia" w:ascii="宋体" w:hAnsi="宋体" w:cs="宋体"/>
                <w:color w:val="000000" w:themeColor="text1"/>
                <w:sz w:val="28"/>
                <w:szCs w:val="28"/>
                <w:highlight w:val="none"/>
                <w:lang w:eastAsia="zh-CN"/>
                <w14:textFill>
                  <w14:solidFill>
                    <w14:schemeClr w14:val="tx1"/>
                  </w14:solidFill>
                </w14:textFill>
              </w:rPr>
              <w:t>（提供信用信誉承诺函）</w:t>
            </w:r>
            <w:r>
              <w:rPr>
                <w:rFonts w:hint="eastAsia" w:ascii="宋体" w:hAnsi="宋体" w:eastAsia="宋体" w:cs="宋体"/>
                <w:color w:val="000000" w:themeColor="text1"/>
                <w:sz w:val="28"/>
                <w:szCs w:val="28"/>
                <w:highlight w:val="none"/>
                <w14:textFill>
                  <w14:solidFill>
                    <w14:schemeClr w14:val="tx1"/>
                  </w14:solidFill>
                </w14:textFill>
              </w:rPr>
              <w:t>；</w:t>
            </w:r>
          </w:p>
          <w:p w14:paraId="39622E30">
            <w:pPr>
              <w:keepNext w:val="0"/>
              <w:keepLines w:val="0"/>
              <w:pageBreakBefore w:val="0"/>
              <w:numPr>
                <w:ilvl w:val="0"/>
                <w:numId w:val="0"/>
              </w:numPr>
              <w:kinsoku/>
              <w:wordWrap/>
              <w:overflowPunct/>
              <w:topLinePunct w:val="0"/>
              <w:bidi w:val="0"/>
              <w:adjustRightInd/>
              <w:snapToGrid/>
              <w:spacing w:line="560" w:lineRule="exact"/>
              <w:jc w:val="both"/>
              <w:rPr>
                <w:rFonts w:hint="eastAsia" w:ascii="宋体" w:hAnsi="宋体" w:eastAsia="宋体" w:cs="宋体"/>
                <w:color w:val="000000" w:themeColor="text1"/>
                <w:sz w:val="28"/>
                <w:szCs w:val="28"/>
                <w:highlight w:val="none"/>
                <w:lang w:eastAsia="zh-CN"/>
                <w14:textFill>
                  <w14:solidFill>
                    <w14:schemeClr w14:val="tx1"/>
                  </w14:solidFill>
                </w14:textFill>
              </w:rPr>
            </w:pPr>
            <w:r>
              <w:rPr>
                <w:rFonts w:hint="eastAsia" w:ascii="宋体" w:hAnsi="宋体" w:eastAsia="宋体" w:cs="宋体"/>
                <w:color w:val="000000" w:themeColor="text1"/>
                <w:kern w:val="2"/>
                <w:sz w:val="28"/>
                <w:szCs w:val="28"/>
                <w:highlight w:val="none"/>
                <w:lang w:val="en-US" w:eastAsia="zh-CN" w:bidi="ar-SA"/>
                <w14:textFill>
                  <w14:solidFill>
                    <w14:schemeClr w14:val="tx1"/>
                  </w14:solidFill>
                </w14:textFill>
              </w:rPr>
              <w:t>7、</w:t>
            </w:r>
            <w:r>
              <w:rPr>
                <w:rFonts w:hint="eastAsia" w:ascii="宋体" w:hAnsi="宋体" w:eastAsia="宋体" w:cs="宋体"/>
                <w:color w:val="000000" w:themeColor="text1"/>
                <w:sz w:val="28"/>
                <w:szCs w:val="28"/>
                <w:highlight w:val="none"/>
                <w14:textFill>
                  <w14:solidFill>
                    <w14:schemeClr w14:val="tx1"/>
                  </w14:solidFill>
                </w14:textFill>
              </w:rPr>
              <w:t>投标保证金凭证；</w:t>
            </w:r>
          </w:p>
        </w:tc>
      </w:tr>
      <w:tr w14:paraId="597C48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3" w:type="dxa"/>
            <w:tcBorders>
              <w:top w:val="nil"/>
              <w:left w:val="single" w:color="auto" w:sz="4" w:space="0"/>
              <w:bottom w:val="nil"/>
              <w:right w:val="single" w:color="auto" w:sz="4" w:space="0"/>
            </w:tcBorders>
            <w:vAlign w:val="center"/>
          </w:tcPr>
          <w:p w14:paraId="5662760B">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2239" w:type="dxa"/>
            <w:tcBorders>
              <w:top w:val="single" w:color="auto" w:sz="4" w:space="0"/>
              <w:left w:val="single" w:color="auto" w:sz="4" w:space="0"/>
              <w:bottom w:val="single" w:color="auto" w:sz="4" w:space="0"/>
              <w:right w:val="single" w:color="auto" w:sz="4" w:space="0"/>
            </w:tcBorders>
            <w:vAlign w:val="center"/>
          </w:tcPr>
          <w:p w14:paraId="45944BC5">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bookmarkStart w:id="83" w:name="_13.3"/>
            <w:bookmarkEnd w:id="83"/>
            <w:r>
              <w:rPr>
                <w:rFonts w:hint="eastAsia" w:ascii="宋体" w:hAnsi="宋体" w:eastAsia="宋体" w:cs="宋体"/>
                <w:color w:val="000000" w:themeColor="text1"/>
                <w:sz w:val="28"/>
                <w:szCs w:val="28"/>
                <w:highlight w:val="none"/>
                <w14:textFill>
                  <w14:solidFill>
                    <w14:schemeClr w14:val="tx1"/>
                  </w14:solidFill>
                </w14:textFill>
              </w:rPr>
              <w:t>商务文件组成</w:t>
            </w:r>
          </w:p>
          <w:p w14:paraId="2CD5C10F">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7297" w:type="dxa"/>
            <w:tcBorders>
              <w:top w:val="single" w:color="auto" w:sz="4" w:space="0"/>
              <w:left w:val="single" w:color="auto" w:sz="4" w:space="0"/>
              <w:bottom w:val="single" w:color="auto" w:sz="4" w:space="0"/>
              <w:right w:val="single" w:color="auto" w:sz="4" w:space="0"/>
            </w:tcBorders>
            <w:vAlign w:val="center"/>
          </w:tcPr>
          <w:p w14:paraId="1238B6B7">
            <w:pPr>
              <w:keepNext w:val="0"/>
              <w:keepLines w:val="0"/>
              <w:pageBreakBefore w:val="0"/>
              <w:kinsoku/>
              <w:wordWrap/>
              <w:overflowPunct/>
              <w:topLinePunct w:val="0"/>
              <w:bidi w:val="0"/>
              <w:adjustRightInd/>
              <w:snapToGrid/>
              <w:spacing w:line="56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1、无串通投标行为的承诺函； </w:t>
            </w:r>
          </w:p>
          <w:p w14:paraId="2D13B09C">
            <w:pPr>
              <w:keepNext w:val="0"/>
              <w:keepLines w:val="0"/>
              <w:pageBreakBefore w:val="0"/>
              <w:kinsoku/>
              <w:wordWrap/>
              <w:overflowPunct/>
              <w:topLinePunct w:val="0"/>
              <w:bidi w:val="0"/>
              <w:adjustRightInd/>
              <w:snapToGrid/>
              <w:spacing w:line="56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2、法定代表人身份证明；</w:t>
            </w:r>
          </w:p>
          <w:p w14:paraId="0D5FF63E">
            <w:pPr>
              <w:keepNext w:val="0"/>
              <w:keepLines w:val="0"/>
              <w:pageBreakBefore w:val="0"/>
              <w:kinsoku/>
              <w:wordWrap/>
              <w:overflowPunct/>
              <w:topLinePunct w:val="0"/>
              <w:bidi w:val="0"/>
              <w:adjustRightInd/>
              <w:snapToGrid/>
              <w:spacing w:line="56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3、法定代表人授权委托书（如有委托时）；</w:t>
            </w:r>
          </w:p>
          <w:p w14:paraId="0EE77F8A">
            <w:pPr>
              <w:keepNext w:val="0"/>
              <w:keepLines w:val="0"/>
              <w:pageBreakBefore w:val="0"/>
              <w:kinsoku/>
              <w:wordWrap/>
              <w:overflowPunct/>
              <w:topLinePunct w:val="0"/>
              <w:bidi w:val="0"/>
              <w:adjustRightInd/>
              <w:snapToGrid/>
              <w:spacing w:line="56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4、商务条款偏离表；</w:t>
            </w:r>
          </w:p>
          <w:p w14:paraId="4DBEDDCB">
            <w:pPr>
              <w:keepNext w:val="0"/>
              <w:keepLines w:val="0"/>
              <w:pageBreakBefore w:val="0"/>
              <w:kinsoku/>
              <w:wordWrap/>
              <w:overflowPunct/>
              <w:topLinePunct w:val="0"/>
              <w:bidi w:val="0"/>
              <w:adjustRightInd/>
              <w:snapToGrid/>
              <w:spacing w:line="56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5、</w:t>
            </w:r>
            <w:r>
              <w:rPr>
                <w:rFonts w:hint="eastAsia" w:ascii="宋体" w:hAnsi="宋体" w:cs="宋体"/>
                <w:color w:val="000000" w:themeColor="text1"/>
                <w:sz w:val="28"/>
                <w:szCs w:val="28"/>
                <w:highlight w:val="none"/>
                <w:lang w:eastAsia="zh-CN"/>
                <w14:textFill>
                  <w14:solidFill>
                    <w14:schemeClr w14:val="tx1"/>
                  </w14:solidFill>
                </w14:textFill>
              </w:rPr>
              <w:t>供应商</w:t>
            </w:r>
            <w:r>
              <w:rPr>
                <w:rFonts w:hint="eastAsia" w:ascii="宋体" w:hAnsi="宋体" w:eastAsia="宋体" w:cs="宋体"/>
                <w:color w:val="000000" w:themeColor="text1"/>
                <w:sz w:val="28"/>
                <w:szCs w:val="28"/>
                <w:highlight w:val="none"/>
                <w14:textFill>
                  <w14:solidFill>
                    <w14:schemeClr w14:val="tx1"/>
                  </w14:solidFill>
                </w14:textFill>
              </w:rPr>
              <w:t>情况介绍；</w:t>
            </w:r>
          </w:p>
          <w:p w14:paraId="5241127B">
            <w:pPr>
              <w:keepNext w:val="0"/>
              <w:keepLines w:val="0"/>
              <w:pageBreakBefore w:val="0"/>
              <w:kinsoku/>
              <w:wordWrap/>
              <w:overflowPunct/>
              <w:topLinePunct w:val="0"/>
              <w:bidi w:val="0"/>
              <w:adjustRightInd/>
              <w:snapToGrid/>
              <w:spacing w:line="56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6、供应商类似业绩的证明文件；</w:t>
            </w:r>
          </w:p>
          <w:p w14:paraId="5A0FB86E">
            <w:pPr>
              <w:keepNext w:val="0"/>
              <w:keepLines w:val="0"/>
              <w:pageBreakBefore w:val="0"/>
              <w:kinsoku/>
              <w:wordWrap/>
              <w:overflowPunct/>
              <w:topLinePunct w:val="0"/>
              <w:bidi w:val="0"/>
              <w:adjustRightInd/>
              <w:snapToGrid/>
              <w:spacing w:line="560" w:lineRule="exact"/>
              <w:jc w:val="left"/>
              <w:rPr>
                <w:rFonts w:hint="eastAsia" w:ascii="宋体" w:hAnsi="宋体" w:eastAsia="宋体" w:cs="宋体"/>
                <w:color w:val="000000" w:themeColor="text1"/>
                <w:sz w:val="28"/>
                <w:szCs w:val="28"/>
                <w:highlight w:val="none"/>
                <w:lang w:eastAsia="zh-CN"/>
                <w14:textFill>
                  <w14:solidFill>
                    <w14:schemeClr w14:val="tx1"/>
                  </w14:solidFill>
                </w14:textFill>
              </w:rPr>
            </w:pPr>
            <w:r>
              <w:rPr>
                <w:rFonts w:hint="eastAsia" w:ascii="宋体" w:hAnsi="宋体" w:cs="宋体"/>
                <w:color w:val="000000" w:themeColor="text1"/>
                <w:sz w:val="28"/>
                <w:szCs w:val="28"/>
                <w:highlight w:val="none"/>
                <w:lang w:val="en-US" w:eastAsia="zh-CN"/>
                <w14:textFill>
                  <w14:solidFill>
                    <w14:schemeClr w14:val="tx1"/>
                  </w14:solidFill>
                </w14:textFill>
              </w:rPr>
              <w:t>7</w:t>
            </w:r>
            <w:r>
              <w:rPr>
                <w:rFonts w:hint="eastAsia" w:ascii="宋体" w:hAnsi="宋体" w:eastAsia="宋体" w:cs="宋体"/>
                <w:color w:val="000000" w:themeColor="text1"/>
                <w:sz w:val="28"/>
                <w:szCs w:val="28"/>
                <w:highlight w:val="none"/>
                <w14:textFill>
                  <w14:solidFill>
                    <w14:schemeClr w14:val="tx1"/>
                  </w14:solidFill>
                </w14:textFill>
              </w:rPr>
              <w:t>、项目</w:t>
            </w:r>
            <w:r>
              <w:rPr>
                <w:rFonts w:hint="eastAsia" w:ascii="宋体" w:hAnsi="宋体" w:cs="宋体"/>
                <w:color w:val="000000" w:themeColor="text1"/>
                <w:sz w:val="28"/>
                <w:szCs w:val="28"/>
                <w:highlight w:val="none"/>
                <w:lang w:eastAsia="zh-CN"/>
                <w14:textFill>
                  <w14:solidFill>
                    <w14:schemeClr w14:val="tx1"/>
                  </w14:solidFill>
                </w14:textFill>
              </w:rPr>
              <w:t>负责人简历表</w:t>
            </w:r>
            <w:r>
              <w:rPr>
                <w:rFonts w:hint="eastAsia" w:ascii="宋体" w:hAnsi="宋体" w:eastAsia="宋体" w:cs="宋体"/>
                <w:color w:val="000000" w:themeColor="text1"/>
                <w:sz w:val="28"/>
                <w:szCs w:val="28"/>
                <w:highlight w:val="none"/>
                <w:lang w:eastAsia="zh-CN"/>
                <w14:textFill>
                  <w14:solidFill>
                    <w14:schemeClr w14:val="tx1"/>
                  </w14:solidFill>
                </w14:textFill>
              </w:rPr>
              <w:t>；</w:t>
            </w:r>
          </w:p>
          <w:p w14:paraId="4862FA16">
            <w:pPr>
              <w:keepNext w:val="0"/>
              <w:keepLines w:val="0"/>
              <w:pageBreakBefore w:val="0"/>
              <w:kinsoku/>
              <w:wordWrap/>
              <w:overflowPunct/>
              <w:topLinePunct w:val="0"/>
              <w:bidi w:val="0"/>
              <w:adjustRightInd/>
              <w:snapToGrid/>
              <w:spacing w:line="56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lang w:val="en-US" w:eastAsia="zh-CN"/>
                <w14:textFill>
                  <w14:solidFill>
                    <w14:schemeClr w14:val="tx1"/>
                  </w14:solidFill>
                </w14:textFill>
              </w:rPr>
              <w:t>8</w:t>
            </w:r>
            <w:r>
              <w:rPr>
                <w:rFonts w:hint="eastAsia" w:ascii="宋体" w:hAnsi="宋体" w:eastAsia="宋体" w:cs="宋体"/>
                <w:color w:val="000000" w:themeColor="text1"/>
                <w:sz w:val="28"/>
                <w:szCs w:val="28"/>
                <w:highlight w:val="none"/>
                <w14:textFill>
                  <w14:solidFill>
                    <w14:schemeClr w14:val="tx1"/>
                  </w14:solidFill>
                </w14:textFill>
              </w:rPr>
              <w:t>、</w:t>
            </w:r>
            <w:r>
              <w:rPr>
                <w:rFonts w:hint="eastAsia" w:ascii="宋体" w:hAnsi="宋体" w:cs="宋体"/>
                <w:color w:val="000000" w:themeColor="text1"/>
                <w:sz w:val="28"/>
                <w:szCs w:val="28"/>
                <w:highlight w:val="none"/>
                <w:lang w:eastAsia="zh-CN"/>
                <w14:textFill>
                  <w14:solidFill>
                    <w14:schemeClr w14:val="tx1"/>
                  </w14:solidFill>
                </w14:textFill>
              </w:rPr>
              <w:t>供应商</w:t>
            </w:r>
            <w:r>
              <w:rPr>
                <w:rFonts w:hint="eastAsia" w:ascii="宋体" w:hAnsi="宋体" w:eastAsia="宋体" w:cs="宋体"/>
                <w:color w:val="000000" w:themeColor="text1"/>
                <w:sz w:val="28"/>
                <w:szCs w:val="28"/>
                <w:highlight w:val="none"/>
                <w14:textFill>
                  <w14:solidFill>
                    <w14:schemeClr w14:val="tx1"/>
                  </w14:solidFill>
                </w14:textFill>
              </w:rPr>
              <w:t>认为需要提供的其他</w:t>
            </w:r>
            <w:r>
              <w:rPr>
                <w:rFonts w:hint="eastAsia" w:ascii="宋体" w:hAnsi="宋体" w:cs="宋体"/>
                <w:color w:val="000000" w:themeColor="text1"/>
                <w:sz w:val="28"/>
                <w:szCs w:val="28"/>
                <w:highlight w:val="none"/>
                <w:lang w:eastAsia="zh-CN"/>
                <w14:textFill>
                  <w14:solidFill>
                    <w14:schemeClr w14:val="tx1"/>
                  </w14:solidFill>
                </w14:textFill>
              </w:rPr>
              <w:t>商务文件</w:t>
            </w:r>
            <w:r>
              <w:rPr>
                <w:rFonts w:hint="eastAsia" w:ascii="宋体" w:hAnsi="宋体" w:eastAsia="宋体" w:cs="宋体"/>
                <w:color w:val="000000" w:themeColor="text1"/>
                <w:sz w:val="28"/>
                <w:szCs w:val="28"/>
                <w:highlight w:val="none"/>
                <w14:textFill>
                  <w14:solidFill>
                    <w14:schemeClr w14:val="tx1"/>
                  </w14:solidFill>
                </w14:textFill>
              </w:rPr>
              <w:t>材料。</w:t>
            </w:r>
          </w:p>
        </w:tc>
      </w:tr>
      <w:tr w14:paraId="018DD0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3" w:type="dxa"/>
            <w:vMerge w:val="restart"/>
            <w:tcBorders>
              <w:top w:val="nil"/>
              <w:left w:val="single" w:color="auto" w:sz="4" w:space="0"/>
              <w:bottom w:val="single" w:color="auto" w:sz="4" w:space="0"/>
              <w:right w:val="single" w:color="auto" w:sz="4" w:space="0"/>
            </w:tcBorders>
            <w:vAlign w:val="center"/>
          </w:tcPr>
          <w:p w14:paraId="150794A7">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2239" w:type="dxa"/>
            <w:tcBorders>
              <w:top w:val="single" w:color="auto" w:sz="4" w:space="0"/>
              <w:left w:val="single" w:color="auto" w:sz="4" w:space="0"/>
              <w:bottom w:val="single" w:color="auto" w:sz="4" w:space="0"/>
              <w:right w:val="single" w:color="auto" w:sz="4" w:space="0"/>
            </w:tcBorders>
            <w:vAlign w:val="center"/>
          </w:tcPr>
          <w:p w14:paraId="52ADDB49">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bookmarkStart w:id="84" w:name="_13.4"/>
            <w:bookmarkEnd w:id="84"/>
            <w:r>
              <w:rPr>
                <w:rFonts w:hint="eastAsia" w:ascii="宋体" w:hAnsi="宋体" w:eastAsia="宋体" w:cs="宋体"/>
                <w:color w:val="000000" w:themeColor="text1"/>
                <w:sz w:val="28"/>
                <w:szCs w:val="28"/>
                <w:highlight w:val="none"/>
                <w14:textFill>
                  <w14:solidFill>
                    <w14:schemeClr w14:val="tx1"/>
                  </w14:solidFill>
                </w14:textFill>
              </w:rPr>
              <w:t>技术文件组成</w:t>
            </w:r>
          </w:p>
          <w:p w14:paraId="423BF41B">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7297" w:type="dxa"/>
            <w:tcBorders>
              <w:top w:val="single" w:color="auto" w:sz="4" w:space="0"/>
              <w:left w:val="single" w:color="auto" w:sz="4" w:space="0"/>
              <w:bottom w:val="single" w:color="auto" w:sz="4" w:space="0"/>
              <w:right w:val="single" w:color="auto" w:sz="4" w:space="0"/>
            </w:tcBorders>
            <w:vAlign w:val="center"/>
          </w:tcPr>
          <w:p w14:paraId="64DC77F3">
            <w:pPr>
              <w:keepNext w:val="0"/>
              <w:keepLines w:val="0"/>
              <w:pageBreakBefore w:val="0"/>
              <w:kinsoku/>
              <w:wordWrap/>
              <w:overflowPunct/>
              <w:topLinePunct w:val="0"/>
              <w:bidi w:val="0"/>
              <w:adjustRightInd/>
              <w:snapToGrid/>
              <w:spacing w:line="560" w:lineRule="exact"/>
              <w:rPr>
                <w:rFonts w:hint="eastAsia" w:ascii="宋体" w:hAnsi="宋体" w:eastAsia="宋体" w:cs="宋体"/>
                <w:color w:val="000000" w:themeColor="text1"/>
                <w:sz w:val="28"/>
                <w:szCs w:val="28"/>
                <w:highlight w:val="none"/>
                <w:lang w:eastAsia="zh-CN"/>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1、技术需求偏离表</w:t>
            </w:r>
            <w:r>
              <w:rPr>
                <w:rFonts w:hint="eastAsia" w:ascii="宋体" w:hAnsi="宋体" w:cs="宋体"/>
                <w:color w:val="000000" w:themeColor="text1"/>
                <w:sz w:val="28"/>
                <w:szCs w:val="28"/>
                <w:highlight w:val="none"/>
                <w:lang w:eastAsia="zh-CN"/>
                <w14:textFill>
                  <w14:solidFill>
                    <w14:schemeClr w14:val="tx1"/>
                  </w14:solidFill>
                </w14:textFill>
              </w:rPr>
              <w:t>；</w:t>
            </w:r>
          </w:p>
          <w:p w14:paraId="0143414F">
            <w:pPr>
              <w:keepNext w:val="0"/>
              <w:keepLines w:val="0"/>
              <w:pageBreakBefore w:val="0"/>
              <w:kinsoku/>
              <w:wordWrap/>
              <w:overflowPunct/>
              <w:topLinePunct w:val="0"/>
              <w:bidi w:val="0"/>
              <w:adjustRightInd/>
              <w:snapToGrid/>
              <w:spacing w:line="560" w:lineRule="exact"/>
              <w:rPr>
                <w:rFonts w:hint="eastAsia" w:ascii="宋体" w:hAnsi="宋体" w:eastAsia="宋体" w:cs="宋体"/>
                <w:color w:val="000000" w:themeColor="text1"/>
                <w:sz w:val="28"/>
                <w:szCs w:val="28"/>
                <w:highlight w:val="none"/>
                <w:lang w:eastAsia="zh-CN"/>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2、采购清单</w:t>
            </w:r>
            <w:r>
              <w:rPr>
                <w:rFonts w:hint="eastAsia" w:ascii="宋体" w:hAnsi="宋体" w:cs="宋体"/>
                <w:color w:val="000000" w:themeColor="text1"/>
                <w:sz w:val="28"/>
                <w:szCs w:val="28"/>
                <w:highlight w:val="none"/>
                <w:lang w:eastAsia="zh-CN"/>
                <w14:textFill>
                  <w14:solidFill>
                    <w14:schemeClr w14:val="tx1"/>
                  </w14:solidFill>
                </w14:textFill>
              </w:rPr>
              <w:t>；</w:t>
            </w:r>
          </w:p>
          <w:p w14:paraId="3978E8E9">
            <w:pPr>
              <w:keepNext w:val="0"/>
              <w:keepLines w:val="0"/>
              <w:pageBreakBefore w:val="0"/>
              <w:kinsoku/>
              <w:wordWrap/>
              <w:overflowPunct/>
              <w:topLinePunct w:val="0"/>
              <w:bidi w:val="0"/>
              <w:adjustRightInd/>
              <w:snapToGrid/>
              <w:spacing w:line="560" w:lineRule="exact"/>
              <w:rPr>
                <w:rFonts w:hint="eastAsia" w:ascii="宋体" w:hAnsi="宋体" w:eastAsia="宋体" w:cs="宋体"/>
                <w:color w:val="000000" w:themeColor="text1"/>
                <w:sz w:val="28"/>
                <w:szCs w:val="28"/>
                <w:highlight w:val="none"/>
                <w:lang w:eastAsia="zh-CN"/>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3、产品及性能</w:t>
            </w:r>
            <w:r>
              <w:rPr>
                <w:rFonts w:hint="eastAsia" w:ascii="宋体" w:hAnsi="宋体" w:cs="宋体"/>
                <w:color w:val="000000" w:themeColor="text1"/>
                <w:sz w:val="28"/>
                <w:szCs w:val="28"/>
                <w:highlight w:val="none"/>
                <w:lang w:eastAsia="zh-CN"/>
                <w14:textFill>
                  <w14:solidFill>
                    <w14:schemeClr w14:val="tx1"/>
                  </w14:solidFill>
                </w14:textFill>
              </w:rPr>
              <w:t>；</w:t>
            </w:r>
          </w:p>
          <w:p w14:paraId="7CB10A8D">
            <w:pPr>
              <w:keepNext w:val="0"/>
              <w:keepLines w:val="0"/>
              <w:pageBreakBefore w:val="0"/>
              <w:kinsoku/>
              <w:wordWrap/>
              <w:overflowPunct/>
              <w:topLinePunct w:val="0"/>
              <w:bidi w:val="0"/>
              <w:adjustRightInd/>
              <w:snapToGrid/>
              <w:spacing w:line="560" w:lineRule="exact"/>
              <w:rPr>
                <w:rFonts w:hint="eastAsia" w:ascii="宋体" w:hAnsi="宋体" w:eastAsia="宋体" w:cs="宋体"/>
                <w:color w:val="000000" w:themeColor="text1"/>
                <w:sz w:val="28"/>
                <w:szCs w:val="28"/>
                <w:highlight w:val="none"/>
                <w:lang w:eastAsia="zh-CN"/>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4、</w:t>
            </w:r>
            <w:r>
              <w:rPr>
                <w:rFonts w:hint="eastAsia" w:ascii="宋体" w:hAnsi="宋体" w:cs="宋体"/>
                <w:color w:val="000000" w:themeColor="text1"/>
                <w:sz w:val="28"/>
                <w:szCs w:val="28"/>
                <w:highlight w:val="none"/>
                <w:lang w:eastAsia="zh-CN"/>
                <w14:textFill>
                  <w14:solidFill>
                    <w14:schemeClr w14:val="tx1"/>
                  </w14:solidFill>
                </w14:textFill>
              </w:rPr>
              <w:t>技术</w:t>
            </w:r>
            <w:r>
              <w:rPr>
                <w:rFonts w:hint="eastAsia" w:ascii="宋体" w:hAnsi="宋体" w:eastAsia="宋体" w:cs="宋体"/>
                <w:color w:val="000000" w:themeColor="text1"/>
                <w:sz w:val="28"/>
                <w:szCs w:val="28"/>
                <w:highlight w:val="none"/>
                <w14:textFill>
                  <w14:solidFill>
                    <w14:schemeClr w14:val="tx1"/>
                  </w14:solidFill>
                </w14:textFill>
              </w:rPr>
              <w:t>方案</w:t>
            </w:r>
            <w:r>
              <w:rPr>
                <w:rFonts w:hint="eastAsia" w:ascii="宋体" w:hAnsi="宋体" w:cs="宋体"/>
                <w:color w:val="000000" w:themeColor="text1"/>
                <w:sz w:val="28"/>
                <w:szCs w:val="28"/>
                <w:highlight w:val="none"/>
                <w:lang w:eastAsia="zh-CN"/>
                <w14:textFill>
                  <w14:solidFill>
                    <w14:schemeClr w14:val="tx1"/>
                  </w14:solidFill>
                </w14:textFill>
              </w:rPr>
              <w:t>；</w:t>
            </w:r>
          </w:p>
          <w:p w14:paraId="700199C1">
            <w:pPr>
              <w:keepNext w:val="0"/>
              <w:keepLines w:val="0"/>
              <w:pageBreakBefore w:val="0"/>
              <w:kinsoku/>
              <w:wordWrap/>
              <w:overflowPunct/>
              <w:topLinePunct w:val="0"/>
              <w:bidi w:val="0"/>
              <w:adjustRightInd/>
              <w:snapToGrid/>
              <w:spacing w:line="560" w:lineRule="exact"/>
              <w:rPr>
                <w:rFonts w:hint="eastAsia" w:ascii="宋体" w:hAnsi="宋体" w:eastAsia="宋体" w:cs="宋体"/>
                <w:color w:val="000000" w:themeColor="text1"/>
                <w:sz w:val="28"/>
                <w:szCs w:val="28"/>
                <w:highlight w:val="none"/>
                <w:lang w:eastAsia="zh-CN"/>
                <w14:textFill>
                  <w14:solidFill>
                    <w14:schemeClr w14:val="tx1"/>
                  </w14:solidFill>
                </w14:textFill>
              </w:rPr>
            </w:pPr>
            <w:r>
              <w:rPr>
                <w:rFonts w:hint="eastAsia" w:ascii="宋体" w:hAnsi="宋体" w:cs="宋体"/>
                <w:color w:val="000000" w:themeColor="text1"/>
                <w:sz w:val="28"/>
                <w:szCs w:val="28"/>
                <w:highlight w:val="none"/>
                <w:lang w:val="en-US" w:eastAsia="zh-CN"/>
                <w14:textFill>
                  <w14:solidFill>
                    <w14:schemeClr w14:val="tx1"/>
                  </w14:solidFill>
                </w14:textFill>
              </w:rPr>
              <w:t>5</w:t>
            </w:r>
            <w:r>
              <w:rPr>
                <w:rFonts w:hint="eastAsia" w:ascii="宋体" w:hAnsi="宋体" w:eastAsia="宋体" w:cs="宋体"/>
                <w:color w:val="000000" w:themeColor="text1"/>
                <w:sz w:val="28"/>
                <w:szCs w:val="28"/>
                <w:highlight w:val="none"/>
                <w14:textFill>
                  <w14:solidFill>
                    <w14:schemeClr w14:val="tx1"/>
                  </w14:solidFill>
                </w14:textFill>
              </w:rPr>
              <w:t>、</w:t>
            </w:r>
            <w:r>
              <w:rPr>
                <w:rFonts w:hint="eastAsia" w:ascii="宋体" w:hAnsi="宋体" w:cs="宋体"/>
                <w:color w:val="000000" w:themeColor="text1"/>
                <w:sz w:val="28"/>
                <w:szCs w:val="28"/>
                <w:highlight w:val="none"/>
                <w:lang w:eastAsia="zh-CN"/>
                <w14:textFill>
                  <w14:solidFill>
                    <w14:schemeClr w14:val="tx1"/>
                  </w14:solidFill>
                </w14:textFill>
              </w:rPr>
              <w:t>供应商</w:t>
            </w:r>
            <w:r>
              <w:rPr>
                <w:rFonts w:hint="eastAsia" w:ascii="宋体" w:hAnsi="宋体" w:eastAsia="宋体" w:cs="宋体"/>
                <w:color w:val="000000" w:themeColor="text1"/>
                <w:sz w:val="28"/>
                <w:szCs w:val="28"/>
                <w:highlight w:val="none"/>
                <w14:textFill>
                  <w14:solidFill>
                    <w14:schemeClr w14:val="tx1"/>
                  </w14:solidFill>
                </w14:textFill>
              </w:rPr>
              <w:t>认为需要的其他技术文件或说明</w:t>
            </w:r>
            <w:r>
              <w:rPr>
                <w:rFonts w:hint="eastAsia" w:ascii="宋体" w:hAnsi="宋体" w:cs="宋体"/>
                <w:color w:val="000000" w:themeColor="text1"/>
                <w:sz w:val="28"/>
                <w:szCs w:val="28"/>
                <w:highlight w:val="none"/>
                <w:lang w:eastAsia="zh-CN"/>
                <w14:textFill>
                  <w14:solidFill>
                    <w14:schemeClr w14:val="tx1"/>
                  </w14:solidFill>
                </w14:textFill>
              </w:rPr>
              <w:t>；</w:t>
            </w:r>
          </w:p>
        </w:tc>
      </w:tr>
      <w:tr w14:paraId="5EE310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3" w:type="dxa"/>
            <w:vMerge w:val="continue"/>
            <w:tcBorders>
              <w:top w:val="nil"/>
              <w:left w:val="single" w:color="auto" w:sz="4" w:space="0"/>
              <w:bottom w:val="single" w:color="auto" w:sz="4" w:space="0"/>
              <w:right w:val="single" w:color="auto" w:sz="4" w:space="0"/>
            </w:tcBorders>
            <w:vAlign w:val="center"/>
          </w:tcPr>
          <w:p w14:paraId="7F9FE228">
            <w:pPr>
              <w:keepNext w:val="0"/>
              <w:keepLines w:val="0"/>
              <w:pageBreakBefore w:val="0"/>
              <w:widowControl/>
              <w:kinsoku/>
              <w:wordWrap/>
              <w:overflowPunct/>
              <w:topLinePunct w:val="0"/>
              <w:bidi w:val="0"/>
              <w:adjustRightInd/>
              <w:snapToGrid/>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2239" w:type="dxa"/>
            <w:tcBorders>
              <w:top w:val="single" w:color="auto" w:sz="4" w:space="0"/>
              <w:left w:val="single" w:color="auto" w:sz="4" w:space="0"/>
              <w:bottom w:val="single" w:color="auto" w:sz="4" w:space="0"/>
              <w:right w:val="single" w:color="auto" w:sz="4" w:space="0"/>
            </w:tcBorders>
            <w:vAlign w:val="center"/>
          </w:tcPr>
          <w:p w14:paraId="46DB5ACD">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报价文件组成</w:t>
            </w:r>
          </w:p>
        </w:tc>
        <w:tc>
          <w:tcPr>
            <w:tcW w:w="7297" w:type="dxa"/>
            <w:tcBorders>
              <w:top w:val="single" w:color="auto" w:sz="4" w:space="0"/>
              <w:left w:val="single" w:color="auto" w:sz="4" w:space="0"/>
              <w:bottom w:val="single" w:color="auto" w:sz="4" w:space="0"/>
              <w:right w:val="single" w:color="auto" w:sz="4" w:space="0"/>
            </w:tcBorders>
            <w:vAlign w:val="center"/>
          </w:tcPr>
          <w:p w14:paraId="5B4AA3F6">
            <w:pPr>
              <w:keepNext w:val="0"/>
              <w:keepLines w:val="0"/>
              <w:pageBreakBefore w:val="0"/>
              <w:tabs>
                <w:tab w:val="left" w:pos="459"/>
              </w:tabs>
              <w:kinsoku/>
              <w:wordWrap/>
              <w:overflowPunct/>
              <w:topLinePunct w:val="0"/>
              <w:bidi w:val="0"/>
              <w:adjustRightInd/>
              <w:snapToGrid/>
              <w:spacing w:line="56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1、投标函； </w:t>
            </w:r>
          </w:p>
          <w:p w14:paraId="4F382BF5">
            <w:pPr>
              <w:keepNext w:val="0"/>
              <w:keepLines w:val="0"/>
              <w:pageBreakBefore w:val="0"/>
              <w:tabs>
                <w:tab w:val="left" w:pos="459"/>
              </w:tabs>
              <w:kinsoku/>
              <w:wordWrap/>
              <w:overflowPunct/>
              <w:topLinePunct w:val="0"/>
              <w:bidi w:val="0"/>
              <w:adjustRightInd/>
              <w:snapToGrid/>
              <w:spacing w:line="56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2、开标一览表；</w:t>
            </w:r>
          </w:p>
          <w:p w14:paraId="197DD77B">
            <w:pPr>
              <w:keepNext w:val="0"/>
              <w:keepLines w:val="0"/>
              <w:pageBreakBefore w:val="0"/>
              <w:tabs>
                <w:tab w:val="left" w:pos="459"/>
              </w:tabs>
              <w:kinsoku/>
              <w:wordWrap/>
              <w:overflowPunct/>
              <w:topLinePunct w:val="0"/>
              <w:bidi w:val="0"/>
              <w:adjustRightInd/>
              <w:snapToGrid/>
              <w:spacing w:line="560" w:lineRule="exact"/>
              <w:jc w:val="left"/>
              <w:rPr>
                <w:rFonts w:hint="eastAsia" w:ascii="宋体" w:hAnsi="宋体" w:eastAsia="宋体" w:cs="宋体"/>
                <w:color w:val="000000" w:themeColor="text1"/>
                <w:sz w:val="28"/>
                <w:szCs w:val="28"/>
                <w:highlight w:val="none"/>
                <w:lang w:eastAsia="zh-CN"/>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3、分项报价表</w:t>
            </w:r>
            <w:r>
              <w:rPr>
                <w:rFonts w:hint="eastAsia" w:ascii="宋体" w:hAnsi="宋体" w:cs="宋体"/>
                <w:color w:val="000000" w:themeColor="text1"/>
                <w:sz w:val="28"/>
                <w:szCs w:val="28"/>
                <w:highlight w:val="none"/>
                <w:lang w:eastAsia="zh-CN"/>
                <w14:textFill>
                  <w14:solidFill>
                    <w14:schemeClr w14:val="tx1"/>
                  </w14:solidFill>
                </w14:textFill>
              </w:rPr>
              <w:t>；</w:t>
            </w:r>
          </w:p>
          <w:p w14:paraId="1353525A">
            <w:pPr>
              <w:keepNext w:val="0"/>
              <w:keepLines w:val="0"/>
              <w:pageBreakBefore w:val="0"/>
              <w:tabs>
                <w:tab w:val="left" w:pos="459"/>
              </w:tabs>
              <w:kinsoku/>
              <w:wordWrap/>
              <w:overflowPunct/>
              <w:topLinePunct w:val="0"/>
              <w:bidi w:val="0"/>
              <w:adjustRightInd/>
              <w:snapToGrid/>
              <w:spacing w:line="560" w:lineRule="exact"/>
              <w:jc w:val="left"/>
              <w:rPr>
                <w:rFonts w:hint="eastAsia" w:ascii="宋体" w:hAnsi="宋体" w:eastAsia="宋体" w:cs="宋体"/>
                <w:color w:val="000000" w:themeColor="text1"/>
                <w:sz w:val="28"/>
                <w:szCs w:val="28"/>
                <w:highlight w:val="none"/>
                <w:lang w:eastAsia="zh-CN"/>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4、中小企业声明函</w:t>
            </w:r>
            <w:r>
              <w:rPr>
                <w:rFonts w:hint="eastAsia" w:ascii="宋体" w:hAnsi="宋体" w:cs="宋体"/>
                <w:color w:val="000000" w:themeColor="text1"/>
                <w:sz w:val="28"/>
                <w:szCs w:val="28"/>
                <w:highlight w:val="none"/>
                <w:lang w:eastAsia="zh-CN"/>
                <w14:textFill>
                  <w14:solidFill>
                    <w14:schemeClr w14:val="tx1"/>
                  </w14:solidFill>
                </w14:textFill>
              </w:rPr>
              <w:t>；</w:t>
            </w:r>
          </w:p>
        </w:tc>
      </w:tr>
      <w:tr w14:paraId="482178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14:paraId="1CA37E55">
            <w:pPr>
              <w:keepNext w:val="0"/>
              <w:keepLines w:val="0"/>
              <w:pageBreakBefore w:val="0"/>
              <w:kinsoku/>
              <w:wordWrap/>
              <w:overflowPunct/>
              <w:topLinePunct w:val="0"/>
              <w:bidi w:val="0"/>
              <w:adjustRightInd/>
              <w:snapToGrid/>
              <w:spacing w:line="560" w:lineRule="exact"/>
              <w:jc w:val="center"/>
              <w:rPr>
                <w:rFonts w:hint="default"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cs="宋体"/>
                <w:color w:val="000000" w:themeColor="text1"/>
                <w:sz w:val="28"/>
                <w:szCs w:val="28"/>
                <w:highlight w:val="none"/>
                <w:lang w:val="en-US" w:eastAsia="zh-CN"/>
                <w14:textFill>
                  <w14:solidFill>
                    <w14:schemeClr w14:val="tx1"/>
                  </w14:solidFill>
                </w14:textFill>
              </w:rPr>
              <w:t>10</w:t>
            </w:r>
          </w:p>
        </w:tc>
        <w:tc>
          <w:tcPr>
            <w:tcW w:w="2239" w:type="dxa"/>
            <w:tcBorders>
              <w:top w:val="single" w:color="auto" w:sz="4" w:space="0"/>
              <w:left w:val="single" w:color="auto" w:sz="4" w:space="0"/>
              <w:bottom w:val="single" w:color="auto" w:sz="4" w:space="0"/>
              <w:right w:val="single" w:color="auto" w:sz="4" w:space="0"/>
            </w:tcBorders>
            <w:vAlign w:val="center"/>
          </w:tcPr>
          <w:p w14:paraId="3FFCECAE">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bookmarkStart w:id="85" w:name="_16.2"/>
            <w:bookmarkEnd w:id="85"/>
            <w:r>
              <w:rPr>
                <w:rFonts w:hint="eastAsia" w:ascii="宋体" w:hAnsi="宋体" w:eastAsia="宋体" w:cs="宋体"/>
                <w:color w:val="000000" w:themeColor="text1"/>
                <w:sz w:val="28"/>
                <w:szCs w:val="28"/>
                <w:highlight w:val="none"/>
                <w14:textFill>
                  <w14:solidFill>
                    <w14:schemeClr w14:val="tx1"/>
                  </w14:solidFill>
                </w14:textFill>
              </w:rPr>
              <w:t>投标报价要求</w:t>
            </w:r>
          </w:p>
        </w:tc>
        <w:tc>
          <w:tcPr>
            <w:tcW w:w="7297" w:type="dxa"/>
            <w:tcBorders>
              <w:top w:val="single" w:color="auto" w:sz="4" w:space="0"/>
              <w:left w:val="single" w:color="auto" w:sz="4" w:space="0"/>
              <w:bottom w:val="single" w:color="auto" w:sz="4" w:space="0"/>
              <w:right w:val="single" w:color="auto" w:sz="4" w:space="0"/>
            </w:tcBorders>
            <w:vAlign w:val="center"/>
          </w:tcPr>
          <w:p w14:paraId="28FD16C3">
            <w:pPr>
              <w:keepNext w:val="0"/>
              <w:keepLines w:val="0"/>
              <w:pageBreakBefore w:val="0"/>
              <w:kinsoku/>
              <w:wordWrap/>
              <w:overflowPunct/>
              <w:topLinePunct w:val="0"/>
              <w:bidi w:val="0"/>
              <w:adjustRightInd/>
              <w:snapToGrid/>
              <w:spacing w:line="560" w:lineRule="exact"/>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t>最高限价：</w:t>
            </w:r>
            <w:r>
              <w:rPr>
                <w:rFonts w:hint="eastAsia" w:ascii="宋体" w:hAnsi="宋体" w:cs="宋体"/>
                <w:b/>
                <w:bCs/>
                <w:color w:val="000000" w:themeColor="text1"/>
                <w:sz w:val="28"/>
                <w:szCs w:val="28"/>
                <w:highlight w:val="none"/>
                <w:lang w:val="en-US" w:eastAsia="zh-CN"/>
                <w14:textFill>
                  <w14:solidFill>
                    <w14:schemeClr w14:val="tx1"/>
                  </w14:solidFill>
                </w14:textFill>
              </w:rPr>
              <w:t>180000</w:t>
            </w:r>
            <w:r>
              <w:rPr>
                <w:rFonts w:hint="eastAsia" w:ascii="宋体" w:hAnsi="宋体" w:eastAsia="宋体" w:cs="宋体"/>
                <w:b/>
                <w:bCs/>
                <w:color w:val="000000" w:themeColor="text1"/>
                <w:sz w:val="28"/>
                <w:szCs w:val="28"/>
                <w:highlight w:val="none"/>
                <w14:textFill>
                  <w14:solidFill>
                    <w14:schemeClr w14:val="tx1"/>
                  </w14:solidFill>
                </w14:textFill>
              </w:rPr>
              <w:t>元</w:t>
            </w:r>
          </w:p>
          <w:p w14:paraId="5D0065A2">
            <w:pPr>
              <w:keepNext w:val="0"/>
              <w:keepLines w:val="0"/>
              <w:pageBreakBefore w:val="0"/>
              <w:kinsoku/>
              <w:wordWrap/>
              <w:overflowPunct/>
              <w:topLinePunct w:val="0"/>
              <w:bidi w:val="0"/>
              <w:adjustRightInd/>
              <w:snapToGrid/>
              <w:spacing w:line="560" w:lineRule="exac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总</w:t>
            </w:r>
            <w:r>
              <w:rPr>
                <w:rFonts w:hint="eastAsia" w:ascii="宋体" w:hAnsi="宋体" w:cs="宋体"/>
                <w:color w:val="000000" w:themeColor="text1"/>
                <w:sz w:val="28"/>
                <w:szCs w:val="28"/>
                <w:highlight w:val="none"/>
                <w:lang w:eastAsia="zh-CN"/>
                <w14:textFill>
                  <w14:solidFill>
                    <w14:schemeClr w14:val="tx1"/>
                  </w14:solidFill>
                </w14:textFill>
              </w:rPr>
              <w:t>价</w:t>
            </w:r>
            <w:r>
              <w:rPr>
                <w:rFonts w:hint="eastAsia" w:ascii="宋体" w:hAnsi="宋体" w:eastAsia="宋体" w:cs="宋体"/>
                <w:color w:val="000000" w:themeColor="text1"/>
                <w:sz w:val="28"/>
                <w:szCs w:val="28"/>
                <w:highlight w:val="none"/>
                <w14:textFill>
                  <w14:solidFill>
                    <w14:schemeClr w14:val="tx1"/>
                  </w14:solidFill>
                </w14:textFill>
              </w:rPr>
              <w:t>报价且不得超过最高限价。</w:t>
            </w:r>
          </w:p>
          <w:p w14:paraId="0DFB3ED0">
            <w:pPr>
              <w:keepNext w:val="0"/>
              <w:keepLines w:val="0"/>
              <w:pageBreakBefore w:val="0"/>
              <w:kinsoku/>
              <w:wordWrap/>
              <w:overflowPunct/>
              <w:topLinePunct w:val="0"/>
              <w:bidi w:val="0"/>
              <w:adjustRightInd/>
              <w:snapToGrid/>
              <w:spacing w:line="560" w:lineRule="exact"/>
              <w:rPr>
                <w:rFonts w:hint="default"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注：本项目报价需包含完成本项目所需的全部费用（包括但不限于各设备运费、吊装、安装、调试、备件、耗材、税金等）</w:t>
            </w:r>
          </w:p>
        </w:tc>
      </w:tr>
      <w:tr w14:paraId="6A1645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14:paraId="53FCBB9B">
            <w:pPr>
              <w:keepNext w:val="0"/>
              <w:keepLines w:val="0"/>
              <w:pageBreakBefore w:val="0"/>
              <w:kinsoku/>
              <w:wordWrap/>
              <w:overflowPunct/>
              <w:topLinePunct w:val="0"/>
              <w:bidi w:val="0"/>
              <w:adjustRightInd/>
              <w:snapToGrid/>
              <w:spacing w:line="560" w:lineRule="exact"/>
              <w:jc w:val="center"/>
              <w:rPr>
                <w:rFonts w:hint="default"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cs="宋体"/>
                <w:color w:val="000000" w:themeColor="text1"/>
                <w:sz w:val="28"/>
                <w:szCs w:val="28"/>
                <w:highlight w:val="none"/>
                <w:lang w:val="en-US" w:eastAsia="zh-CN"/>
                <w14:textFill>
                  <w14:solidFill>
                    <w14:schemeClr w14:val="tx1"/>
                  </w14:solidFill>
                </w14:textFill>
              </w:rPr>
              <w:t>11</w:t>
            </w:r>
          </w:p>
        </w:tc>
        <w:tc>
          <w:tcPr>
            <w:tcW w:w="2239" w:type="dxa"/>
            <w:tcBorders>
              <w:top w:val="single" w:color="auto" w:sz="4" w:space="0"/>
              <w:left w:val="single" w:color="auto" w:sz="4" w:space="0"/>
              <w:bottom w:val="single" w:color="auto" w:sz="4" w:space="0"/>
              <w:right w:val="single" w:color="auto" w:sz="4" w:space="0"/>
            </w:tcBorders>
            <w:vAlign w:val="center"/>
          </w:tcPr>
          <w:p w14:paraId="1AAC1933">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bookmarkStart w:id="86" w:name="_17.1"/>
            <w:bookmarkEnd w:id="86"/>
            <w:r>
              <w:rPr>
                <w:rFonts w:hint="eastAsia" w:ascii="宋体" w:hAnsi="宋体" w:eastAsia="宋体" w:cs="宋体"/>
                <w:color w:val="000000" w:themeColor="text1"/>
                <w:sz w:val="28"/>
                <w:szCs w:val="28"/>
                <w:highlight w:val="none"/>
                <w14:textFill>
                  <w14:solidFill>
                    <w14:schemeClr w14:val="tx1"/>
                  </w14:solidFill>
                </w14:textFill>
              </w:rPr>
              <w:t>投标有效期</w:t>
            </w:r>
          </w:p>
        </w:tc>
        <w:tc>
          <w:tcPr>
            <w:tcW w:w="7297" w:type="dxa"/>
            <w:tcBorders>
              <w:top w:val="single" w:color="auto" w:sz="4" w:space="0"/>
              <w:left w:val="single" w:color="auto" w:sz="4" w:space="0"/>
              <w:bottom w:val="single" w:color="auto" w:sz="4" w:space="0"/>
              <w:right w:val="single" w:color="auto" w:sz="4" w:space="0"/>
            </w:tcBorders>
            <w:vAlign w:val="center"/>
          </w:tcPr>
          <w:p w14:paraId="3A356502">
            <w:pPr>
              <w:keepNext w:val="0"/>
              <w:keepLines w:val="0"/>
              <w:pageBreakBefore w:val="0"/>
              <w:kinsoku/>
              <w:wordWrap/>
              <w:overflowPunct/>
              <w:topLinePunct w:val="0"/>
              <w:bidi w:val="0"/>
              <w:adjustRightInd/>
              <w:snapToGrid/>
              <w:spacing w:line="560" w:lineRule="exac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自投标截止之日起</w:t>
            </w:r>
            <w:bookmarkStart w:id="87" w:name="PO_3000001867_PM046"/>
            <w:r>
              <w:rPr>
                <w:rFonts w:hint="eastAsia" w:ascii="宋体" w:hAnsi="宋体" w:eastAsia="宋体" w:cs="宋体"/>
                <w:color w:val="000000" w:themeColor="text1"/>
                <w:sz w:val="28"/>
                <w:szCs w:val="28"/>
                <w:highlight w:val="none"/>
                <w:u w:val="single"/>
                <w14:textFill>
                  <w14:solidFill>
                    <w14:schemeClr w14:val="tx1"/>
                  </w14:solidFill>
                </w14:textFill>
              </w:rPr>
              <w:t>90日历天</w:t>
            </w:r>
            <w:bookmarkEnd w:id="87"/>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w:t>
            </w:r>
          </w:p>
        </w:tc>
      </w:tr>
      <w:tr w14:paraId="045160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14:paraId="6933CFAB">
            <w:pPr>
              <w:keepNext w:val="0"/>
              <w:keepLines w:val="0"/>
              <w:pageBreakBefore w:val="0"/>
              <w:kinsoku/>
              <w:wordWrap/>
              <w:overflowPunct/>
              <w:topLinePunct w:val="0"/>
              <w:bidi w:val="0"/>
              <w:adjustRightInd/>
              <w:snapToGrid/>
              <w:spacing w:line="560" w:lineRule="exact"/>
              <w:jc w:val="center"/>
              <w:rPr>
                <w:rFonts w:hint="default"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cs="宋体"/>
                <w:color w:val="000000" w:themeColor="text1"/>
                <w:sz w:val="28"/>
                <w:szCs w:val="28"/>
                <w:highlight w:val="none"/>
                <w:lang w:val="en-US" w:eastAsia="zh-CN"/>
                <w14:textFill>
                  <w14:solidFill>
                    <w14:schemeClr w14:val="tx1"/>
                  </w14:solidFill>
                </w14:textFill>
              </w:rPr>
              <w:t>12</w:t>
            </w:r>
          </w:p>
        </w:tc>
        <w:tc>
          <w:tcPr>
            <w:tcW w:w="2239" w:type="dxa"/>
            <w:tcBorders>
              <w:top w:val="single" w:color="auto" w:sz="4" w:space="0"/>
              <w:left w:val="single" w:color="auto" w:sz="4" w:space="0"/>
              <w:bottom w:val="single" w:color="auto" w:sz="4" w:space="0"/>
              <w:right w:val="single" w:color="auto" w:sz="4" w:space="0"/>
            </w:tcBorders>
            <w:vAlign w:val="center"/>
          </w:tcPr>
          <w:p w14:paraId="3EE216F0">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bookmarkStart w:id="88" w:name="_18"/>
            <w:bookmarkEnd w:id="88"/>
            <w:r>
              <w:rPr>
                <w:rFonts w:hint="eastAsia" w:ascii="宋体" w:hAnsi="宋体" w:eastAsia="宋体" w:cs="宋体"/>
                <w:color w:val="000000" w:themeColor="text1"/>
                <w:sz w:val="28"/>
                <w:szCs w:val="28"/>
                <w:highlight w:val="none"/>
                <w14:textFill>
                  <w14:solidFill>
                    <w14:schemeClr w14:val="tx1"/>
                  </w14:solidFill>
                </w14:textFill>
              </w:rPr>
              <w:t>投标保证金金额</w:t>
            </w:r>
          </w:p>
        </w:tc>
        <w:tc>
          <w:tcPr>
            <w:tcW w:w="7297" w:type="dxa"/>
            <w:tcBorders>
              <w:top w:val="single" w:color="auto" w:sz="4" w:space="0"/>
              <w:left w:val="single" w:color="auto" w:sz="4" w:space="0"/>
              <w:bottom w:val="single" w:color="auto" w:sz="4" w:space="0"/>
              <w:right w:val="single" w:color="auto" w:sz="4" w:space="0"/>
            </w:tcBorders>
            <w:vAlign w:val="center"/>
          </w:tcPr>
          <w:p w14:paraId="498E77DC">
            <w:pPr>
              <w:keepNext w:val="0"/>
              <w:keepLines w:val="0"/>
              <w:pageBreakBefore w:val="0"/>
              <w:kinsoku/>
              <w:wordWrap/>
              <w:overflowPunct/>
              <w:topLinePunct w:val="0"/>
              <w:autoSpaceDE w:val="0"/>
              <w:autoSpaceDN w:val="0"/>
              <w:bidi w:val="0"/>
              <w:adjustRightInd/>
              <w:snapToGrid/>
              <w:spacing w:line="560" w:lineRule="exact"/>
              <w:textAlignment w:val="bottom"/>
              <w:rPr>
                <w:rFonts w:hint="default" w:ascii="宋体" w:hAnsi="宋体" w:eastAsia="宋体" w:cs="宋体"/>
                <w:b/>
                <w:bCs/>
                <w:color w:val="000000" w:themeColor="text1"/>
                <w:sz w:val="28"/>
                <w:szCs w:val="28"/>
                <w:highlight w:val="none"/>
                <w:lang w:val="en-US" w:eastAsia="zh-CN"/>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t>投标保证金</w:t>
            </w:r>
            <w:r>
              <w:rPr>
                <w:rFonts w:hint="eastAsia" w:ascii="宋体" w:hAnsi="宋体" w:cs="宋体"/>
                <w:b/>
                <w:bCs/>
                <w:color w:val="000000" w:themeColor="text1"/>
                <w:sz w:val="28"/>
                <w:szCs w:val="28"/>
                <w:highlight w:val="none"/>
                <w:lang w:val="en-US" w:eastAsia="zh-CN"/>
                <w14:textFill>
                  <w14:solidFill>
                    <w14:schemeClr w14:val="tx1"/>
                  </w14:solidFill>
                </w14:textFill>
              </w:rPr>
              <w:t>缴纳方式：电汇、网银转账、保函等非现金形式缴纳</w:t>
            </w:r>
          </w:p>
          <w:p w14:paraId="085D88E9">
            <w:pPr>
              <w:keepNext w:val="0"/>
              <w:keepLines w:val="0"/>
              <w:pageBreakBefore w:val="0"/>
              <w:kinsoku/>
              <w:wordWrap/>
              <w:overflowPunct/>
              <w:topLinePunct w:val="0"/>
              <w:autoSpaceDE w:val="0"/>
              <w:autoSpaceDN w:val="0"/>
              <w:bidi w:val="0"/>
              <w:adjustRightInd/>
              <w:snapToGrid/>
              <w:spacing w:line="560" w:lineRule="exact"/>
              <w:textAlignment w:val="bottom"/>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t>投标保证金金额：</w:t>
            </w:r>
            <w:r>
              <w:rPr>
                <w:rFonts w:hint="eastAsia" w:ascii="宋体" w:hAnsi="宋体" w:cs="宋体"/>
                <w:b/>
                <w:bCs/>
                <w:color w:val="000000" w:themeColor="text1"/>
                <w:sz w:val="28"/>
                <w:szCs w:val="28"/>
                <w:highlight w:val="none"/>
                <w:lang w:val="en-US" w:eastAsia="zh-CN"/>
                <w14:textFill>
                  <w14:solidFill>
                    <w14:schemeClr w14:val="tx1"/>
                  </w14:solidFill>
                </w14:textFill>
              </w:rPr>
              <w:t>3600</w:t>
            </w:r>
            <w:r>
              <w:rPr>
                <w:rFonts w:hint="eastAsia" w:ascii="宋体" w:hAnsi="宋体" w:eastAsia="宋体" w:cs="宋体"/>
                <w:b/>
                <w:bCs/>
                <w:color w:val="000000" w:themeColor="text1"/>
                <w:sz w:val="28"/>
                <w:szCs w:val="28"/>
                <w:highlight w:val="none"/>
                <w14:textFill>
                  <w14:solidFill>
                    <w14:schemeClr w14:val="tx1"/>
                  </w14:solidFill>
                </w14:textFill>
              </w:rPr>
              <w:t>元(人民币</w:t>
            </w:r>
            <w:r>
              <w:rPr>
                <w:rFonts w:hint="eastAsia" w:ascii="宋体" w:hAnsi="宋体" w:cs="宋体"/>
                <w:b/>
                <w:bCs/>
                <w:color w:val="000000" w:themeColor="text1"/>
                <w:sz w:val="28"/>
                <w:szCs w:val="28"/>
                <w:highlight w:val="none"/>
                <w:lang w:val="en-US" w:eastAsia="zh-CN"/>
                <w14:textFill>
                  <w14:solidFill>
                    <w14:schemeClr w14:val="tx1"/>
                  </w14:solidFill>
                </w14:textFill>
              </w:rPr>
              <w:t>叁仟陆佰</w:t>
            </w:r>
            <w:r>
              <w:rPr>
                <w:rFonts w:hint="eastAsia" w:ascii="宋体" w:hAnsi="宋体" w:eastAsia="宋体" w:cs="宋体"/>
                <w:b/>
                <w:bCs/>
                <w:color w:val="000000" w:themeColor="text1"/>
                <w:sz w:val="28"/>
                <w:szCs w:val="28"/>
                <w:highlight w:val="none"/>
                <w14:textFill>
                  <w14:solidFill>
                    <w14:schemeClr w14:val="tx1"/>
                  </w14:solidFill>
                </w14:textFill>
              </w:rPr>
              <w:t>元整)</w:t>
            </w:r>
          </w:p>
          <w:p w14:paraId="07F3AE2A">
            <w:pPr>
              <w:keepNext w:val="0"/>
              <w:keepLines w:val="0"/>
              <w:pageBreakBefore w:val="0"/>
              <w:kinsoku/>
              <w:wordWrap/>
              <w:overflowPunct/>
              <w:topLinePunct w:val="0"/>
              <w:autoSpaceDE w:val="0"/>
              <w:autoSpaceDN w:val="0"/>
              <w:bidi w:val="0"/>
              <w:adjustRightInd/>
              <w:snapToGrid/>
              <w:spacing w:line="560" w:lineRule="exact"/>
              <w:textAlignment w:val="bottom"/>
              <w:rPr>
                <w:rFonts w:hint="eastAsia" w:ascii="宋体" w:hAnsi="宋体" w:eastAsia="宋体" w:cs="宋体"/>
                <w:color w:val="000000" w:themeColor="text1"/>
                <w:sz w:val="28"/>
                <w:szCs w:val="28"/>
                <w:highlight w:val="none"/>
                <w:lang w:eastAsia="zh-CN"/>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单位名称：新疆诚誉工程项目管理有限公司哈密分公司</w:t>
            </w:r>
          </w:p>
          <w:p w14:paraId="0BC69F91">
            <w:pPr>
              <w:keepNext w:val="0"/>
              <w:keepLines w:val="0"/>
              <w:pageBreakBefore w:val="0"/>
              <w:kinsoku/>
              <w:wordWrap/>
              <w:overflowPunct/>
              <w:topLinePunct w:val="0"/>
              <w:autoSpaceDE w:val="0"/>
              <w:autoSpaceDN w:val="0"/>
              <w:bidi w:val="0"/>
              <w:adjustRightInd/>
              <w:snapToGrid/>
              <w:spacing w:line="560" w:lineRule="exact"/>
              <w:textAlignment w:val="bottom"/>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开户行：</w:t>
            </w:r>
            <w:r>
              <w:rPr>
                <w:rFonts w:hint="eastAsia" w:ascii="宋体" w:hAnsi="宋体" w:cs="宋体"/>
                <w:color w:val="000000" w:themeColor="text1"/>
                <w:sz w:val="28"/>
                <w:szCs w:val="28"/>
                <w:highlight w:val="none"/>
                <w:lang w:eastAsia="zh-CN"/>
                <w14:textFill>
                  <w14:solidFill>
                    <w14:schemeClr w14:val="tx1"/>
                  </w14:solidFill>
                </w14:textFill>
              </w:rPr>
              <w:t>中国银行股份有限公司哈密市分行</w:t>
            </w:r>
          </w:p>
          <w:p w14:paraId="68E4517A">
            <w:pPr>
              <w:keepNext w:val="0"/>
              <w:keepLines w:val="0"/>
              <w:pageBreakBefore w:val="0"/>
              <w:kinsoku/>
              <w:wordWrap/>
              <w:overflowPunct/>
              <w:topLinePunct w:val="0"/>
              <w:autoSpaceDE w:val="0"/>
              <w:autoSpaceDN w:val="0"/>
              <w:bidi w:val="0"/>
              <w:adjustRightInd/>
              <w:snapToGrid/>
              <w:spacing w:line="560" w:lineRule="exact"/>
              <w:textAlignment w:val="bottom"/>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账号：</w:t>
            </w:r>
            <w:r>
              <w:rPr>
                <w:rFonts w:hint="eastAsia" w:ascii="宋体" w:hAnsi="宋体" w:cs="宋体"/>
                <w:color w:val="000000" w:themeColor="text1"/>
                <w:sz w:val="28"/>
                <w:szCs w:val="28"/>
                <w:highlight w:val="none"/>
                <w:lang w:eastAsia="zh-CN"/>
                <w14:textFill>
                  <w14:solidFill>
                    <w14:schemeClr w14:val="tx1"/>
                  </w14:solidFill>
                </w14:textFill>
              </w:rPr>
              <w:t>107682200924</w:t>
            </w:r>
          </w:p>
          <w:p w14:paraId="4827F2AC">
            <w:pPr>
              <w:keepNext w:val="0"/>
              <w:keepLines w:val="0"/>
              <w:pageBreakBefore w:val="0"/>
              <w:kinsoku/>
              <w:wordWrap/>
              <w:overflowPunct/>
              <w:topLinePunct w:val="0"/>
              <w:autoSpaceDE w:val="0"/>
              <w:autoSpaceDN w:val="0"/>
              <w:bidi w:val="0"/>
              <w:adjustRightInd/>
              <w:snapToGrid/>
              <w:spacing w:line="560" w:lineRule="exact"/>
              <w:textAlignment w:val="bottom"/>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注：1、保证金必须从企业基本帐户缴纳至采购代理机构给定的基本账户。以个人、企业的办事处、分公司、子公司名义或从他人帐户、供应商企业的其他账户缴纳的保证金无效。注：</w:t>
            </w:r>
            <w:r>
              <w:rPr>
                <w:rFonts w:hint="eastAsia" w:ascii="宋体" w:hAnsi="宋体" w:cs="宋体"/>
                <w:color w:val="000000" w:themeColor="text1"/>
                <w:sz w:val="28"/>
                <w:szCs w:val="28"/>
                <w:highlight w:val="none"/>
                <w:lang w:eastAsia="zh-CN"/>
                <w14:textFill>
                  <w14:solidFill>
                    <w14:schemeClr w14:val="tx1"/>
                  </w14:solidFill>
                </w14:textFill>
              </w:rPr>
              <w:t>打款时须注明项目名称、标项名称或标项号（可简写）。</w:t>
            </w:r>
            <w:r>
              <w:rPr>
                <w:rFonts w:hint="eastAsia" w:ascii="宋体" w:hAnsi="宋体" w:eastAsia="宋体" w:cs="宋体"/>
                <w:color w:val="000000" w:themeColor="text1"/>
                <w:sz w:val="28"/>
                <w:szCs w:val="28"/>
                <w:highlight w:val="none"/>
                <w14:textFill>
                  <w14:solidFill>
                    <w14:schemeClr w14:val="tx1"/>
                  </w14:solidFill>
                </w14:textFill>
              </w:rPr>
              <w:t>2、保证金必须在投标截止时间（开标时间）前缴纳至招标代理公司账户。供应商需自行评估因异地、跨行、公休日等因素造成的保证金到账延迟风险，并承担相应责任。</w:t>
            </w:r>
          </w:p>
          <w:p w14:paraId="52622859">
            <w:pPr>
              <w:keepNext w:val="0"/>
              <w:keepLines w:val="0"/>
              <w:pageBreakBefore w:val="0"/>
              <w:kinsoku/>
              <w:wordWrap/>
              <w:overflowPunct/>
              <w:topLinePunct w:val="0"/>
              <w:autoSpaceDE w:val="0"/>
              <w:autoSpaceDN w:val="0"/>
              <w:bidi w:val="0"/>
              <w:adjustRightInd/>
              <w:snapToGrid/>
              <w:spacing w:line="560" w:lineRule="exact"/>
              <w:textAlignment w:val="bottom"/>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3、到账截止时间：</w:t>
            </w:r>
            <w:r>
              <w:rPr>
                <w:rFonts w:hint="eastAsia" w:ascii="宋体" w:hAnsi="宋体" w:eastAsia="宋体" w:cs="宋体"/>
                <w:b/>
                <w:bCs/>
                <w:color w:val="000000" w:themeColor="text1"/>
                <w:sz w:val="28"/>
                <w:szCs w:val="28"/>
                <w:highlight w:val="none"/>
                <w:u w:val="single"/>
                <w14:textFill>
                  <w14:solidFill>
                    <w14:schemeClr w14:val="tx1"/>
                  </w14:solidFill>
                </w14:textFill>
              </w:rPr>
              <w:t>202</w:t>
            </w:r>
            <w:r>
              <w:rPr>
                <w:rFonts w:hint="eastAsia" w:ascii="宋体" w:hAnsi="宋体" w:cs="宋体"/>
                <w:b/>
                <w:bCs/>
                <w:color w:val="000000" w:themeColor="text1"/>
                <w:sz w:val="28"/>
                <w:szCs w:val="28"/>
                <w:highlight w:val="none"/>
                <w:u w:val="single"/>
                <w:lang w:val="en-US" w:eastAsia="zh-CN"/>
                <w14:textFill>
                  <w14:solidFill>
                    <w14:schemeClr w14:val="tx1"/>
                  </w14:solidFill>
                </w14:textFill>
              </w:rPr>
              <w:t>5</w:t>
            </w:r>
            <w:r>
              <w:rPr>
                <w:rFonts w:hint="eastAsia" w:ascii="宋体" w:hAnsi="宋体" w:eastAsia="宋体" w:cs="宋体"/>
                <w:b/>
                <w:bCs/>
                <w:color w:val="000000" w:themeColor="text1"/>
                <w:sz w:val="28"/>
                <w:szCs w:val="28"/>
                <w:highlight w:val="none"/>
                <w:u w:val="single"/>
                <w14:textFill>
                  <w14:solidFill>
                    <w14:schemeClr w14:val="tx1"/>
                  </w14:solidFill>
                </w14:textFill>
              </w:rPr>
              <w:t>年</w:t>
            </w:r>
            <w:r>
              <w:rPr>
                <w:rFonts w:hint="eastAsia" w:ascii="宋体" w:hAnsi="宋体" w:cs="宋体"/>
                <w:b/>
                <w:bCs/>
                <w:color w:val="000000" w:themeColor="text1"/>
                <w:sz w:val="28"/>
                <w:szCs w:val="28"/>
                <w:highlight w:val="none"/>
                <w:u w:val="single"/>
                <w:lang w:val="en-US" w:eastAsia="zh-CN"/>
                <w14:textFill>
                  <w14:solidFill>
                    <w14:schemeClr w14:val="tx1"/>
                  </w14:solidFill>
                </w14:textFill>
              </w:rPr>
              <w:t>07</w:t>
            </w:r>
            <w:r>
              <w:rPr>
                <w:rFonts w:hint="eastAsia" w:ascii="宋体" w:hAnsi="宋体" w:eastAsia="宋体" w:cs="宋体"/>
                <w:b/>
                <w:bCs/>
                <w:color w:val="000000" w:themeColor="text1"/>
                <w:sz w:val="28"/>
                <w:szCs w:val="28"/>
                <w:highlight w:val="none"/>
                <w:u w:val="single"/>
                <w14:textFill>
                  <w14:solidFill>
                    <w14:schemeClr w14:val="tx1"/>
                  </w14:solidFill>
                </w14:textFill>
              </w:rPr>
              <w:t>月</w:t>
            </w:r>
            <w:r>
              <w:rPr>
                <w:rFonts w:hint="eastAsia" w:ascii="宋体" w:hAnsi="宋体" w:cs="宋体"/>
                <w:b/>
                <w:bCs/>
                <w:color w:val="000000" w:themeColor="text1"/>
                <w:sz w:val="28"/>
                <w:szCs w:val="28"/>
                <w:highlight w:val="none"/>
                <w:u w:val="single"/>
                <w:lang w:val="en-US" w:eastAsia="zh-CN"/>
                <w14:textFill>
                  <w14:solidFill>
                    <w14:schemeClr w14:val="tx1"/>
                  </w14:solidFill>
                </w14:textFill>
              </w:rPr>
              <w:t>17</w:t>
            </w:r>
            <w:r>
              <w:rPr>
                <w:rFonts w:hint="eastAsia" w:ascii="宋体" w:hAnsi="宋体" w:eastAsia="宋体" w:cs="宋体"/>
                <w:b/>
                <w:bCs/>
                <w:color w:val="000000" w:themeColor="text1"/>
                <w:sz w:val="28"/>
                <w:szCs w:val="28"/>
                <w:highlight w:val="none"/>
                <w:u w:val="single"/>
                <w14:textFill>
                  <w14:solidFill>
                    <w14:schemeClr w14:val="tx1"/>
                  </w14:solidFill>
                </w14:textFill>
              </w:rPr>
              <w:t>日1</w:t>
            </w:r>
            <w:r>
              <w:rPr>
                <w:rFonts w:hint="eastAsia" w:ascii="宋体" w:hAnsi="宋体" w:cs="宋体"/>
                <w:b/>
                <w:bCs/>
                <w:color w:val="000000" w:themeColor="text1"/>
                <w:sz w:val="28"/>
                <w:szCs w:val="28"/>
                <w:highlight w:val="none"/>
                <w:u w:val="single"/>
                <w:lang w:val="en-US" w:eastAsia="zh-CN"/>
                <w14:textFill>
                  <w14:solidFill>
                    <w14:schemeClr w14:val="tx1"/>
                  </w14:solidFill>
                </w14:textFill>
              </w:rPr>
              <w:t>1</w:t>
            </w:r>
            <w:r>
              <w:rPr>
                <w:rFonts w:hint="eastAsia" w:ascii="宋体" w:hAnsi="宋体" w:eastAsia="宋体" w:cs="宋体"/>
                <w:b/>
                <w:bCs/>
                <w:color w:val="000000" w:themeColor="text1"/>
                <w:sz w:val="28"/>
                <w:szCs w:val="28"/>
                <w:highlight w:val="none"/>
                <w:u w:val="single"/>
                <w14:textFill>
                  <w14:solidFill>
                    <w14:schemeClr w14:val="tx1"/>
                  </w14:solidFill>
                </w14:textFill>
              </w:rPr>
              <w:t>点00分</w:t>
            </w:r>
            <w:r>
              <w:rPr>
                <w:rFonts w:hint="eastAsia" w:ascii="宋体" w:hAnsi="宋体" w:eastAsia="宋体" w:cs="宋体"/>
                <w:color w:val="000000" w:themeColor="text1"/>
                <w:sz w:val="28"/>
                <w:szCs w:val="28"/>
                <w:highlight w:val="none"/>
                <w14:textFill>
                  <w14:solidFill>
                    <w14:schemeClr w14:val="tx1"/>
                  </w14:solidFill>
                </w14:textFill>
              </w:rPr>
              <w:t>（北京时间）（以银行记录确认到账为准）。</w:t>
            </w:r>
          </w:p>
          <w:p w14:paraId="73500EAF">
            <w:pPr>
              <w:keepNext w:val="0"/>
              <w:keepLines w:val="0"/>
              <w:pageBreakBefore w:val="0"/>
              <w:kinsoku/>
              <w:wordWrap/>
              <w:overflowPunct/>
              <w:topLinePunct w:val="0"/>
              <w:autoSpaceDE w:val="0"/>
              <w:autoSpaceDN w:val="0"/>
              <w:bidi w:val="0"/>
              <w:adjustRightInd/>
              <w:snapToGrid/>
              <w:spacing w:line="560" w:lineRule="exact"/>
              <w:textAlignment w:val="bottom"/>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4、为简化手续，优化流程，采用电子支付方式提交保证金的，在退还时，按原路退回，收取时不开具收据，退还时也不要求提交收据。</w:t>
            </w:r>
          </w:p>
          <w:p w14:paraId="314B82C7">
            <w:pPr>
              <w:keepNext w:val="0"/>
              <w:keepLines w:val="0"/>
              <w:pageBreakBefore w:val="0"/>
              <w:kinsoku/>
              <w:wordWrap/>
              <w:overflowPunct/>
              <w:topLinePunct w:val="0"/>
              <w:autoSpaceDE w:val="0"/>
              <w:autoSpaceDN w:val="0"/>
              <w:bidi w:val="0"/>
              <w:adjustRightInd/>
              <w:snapToGrid/>
              <w:spacing w:line="560" w:lineRule="exact"/>
              <w:textAlignment w:val="bottom"/>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5、采用电子保函形式应按以下要求办理：</w:t>
            </w:r>
          </w:p>
          <w:p w14:paraId="0218EEA1">
            <w:pPr>
              <w:keepNext w:val="0"/>
              <w:keepLines w:val="0"/>
              <w:pageBreakBefore w:val="0"/>
              <w:kinsoku/>
              <w:wordWrap/>
              <w:overflowPunct/>
              <w:topLinePunct w:val="0"/>
              <w:autoSpaceDE w:val="0"/>
              <w:autoSpaceDN w:val="0"/>
              <w:bidi w:val="0"/>
              <w:adjustRightInd/>
              <w:snapToGrid/>
              <w:spacing w:line="560" w:lineRule="exact"/>
              <w:textAlignment w:val="bottom"/>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（1）电子保函按照“一标段一保函”的原则。</w:t>
            </w:r>
          </w:p>
          <w:p w14:paraId="0D8BED8C">
            <w:pPr>
              <w:keepNext w:val="0"/>
              <w:keepLines w:val="0"/>
              <w:pageBreakBefore w:val="0"/>
              <w:kinsoku/>
              <w:wordWrap/>
              <w:overflowPunct/>
              <w:topLinePunct w:val="0"/>
              <w:autoSpaceDE w:val="0"/>
              <w:autoSpaceDN w:val="0"/>
              <w:bidi w:val="0"/>
              <w:adjustRightInd/>
              <w:snapToGrid/>
              <w:spacing w:line="560" w:lineRule="exact"/>
              <w:textAlignment w:val="bottom"/>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（2）电子保函须在招标文件规定的投标截止时间前办理完成。</w:t>
            </w:r>
          </w:p>
          <w:p w14:paraId="6F972902">
            <w:pPr>
              <w:keepNext w:val="0"/>
              <w:keepLines w:val="0"/>
              <w:pageBreakBefore w:val="0"/>
              <w:kinsoku/>
              <w:wordWrap/>
              <w:overflowPunct/>
              <w:topLinePunct w:val="0"/>
              <w:autoSpaceDE w:val="0"/>
              <w:autoSpaceDN w:val="0"/>
              <w:bidi w:val="0"/>
              <w:adjustRightInd/>
              <w:snapToGrid/>
              <w:spacing w:line="560" w:lineRule="exact"/>
              <w:textAlignment w:val="bottom"/>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（3）具体办理流程详见新疆政府采购网《新疆政府采购电子保函操作流程》。</w:t>
            </w:r>
          </w:p>
          <w:p w14:paraId="4FE24D48">
            <w:pPr>
              <w:keepNext w:val="0"/>
              <w:keepLines w:val="0"/>
              <w:pageBreakBefore w:val="0"/>
              <w:kinsoku/>
              <w:wordWrap/>
              <w:overflowPunct/>
              <w:topLinePunct w:val="0"/>
              <w:autoSpaceDE w:val="0"/>
              <w:autoSpaceDN w:val="0"/>
              <w:bidi w:val="0"/>
              <w:adjustRightInd/>
              <w:snapToGrid/>
              <w:spacing w:line="560" w:lineRule="exact"/>
              <w:textAlignment w:val="bottom"/>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（4）供应商以保函形式缴纳投标保证金的，将电子投标保单作为电子响应文件组成部分在投标时一并提交。</w:t>
            </w:r>
          </w:p>
          <w:p w14:paraId="18472C23">
            <w:pPr>
              <w:pageBreakBefore w:val="0"/>
              <w:wordWrap/>
              <w:topLinePunct w:val="0"/>
              <w:bidi w:val="0"/>
              <w:spacing w:line="560" w:lineRule="exac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（备注：如采用电子保函形式缴纳的，在投标截止日之前须从新疆电子保函服务管理平台中确认是否生效。电子保函服务管理平台技术人员联系方式：95763。）</w:t>
            </w:r>
          </w:p>
        </w:tc>
      </w:tr>
      <w:tr w14:paraId="67D462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14:paraId="15501DD2">
            <w:pPr>
              <w:keepNext w:val="0"/>
              <w:keepLines w:val="0"/>
              <w:pageBreakBefore w:val="0"/>
              <w:kinsoku/>
              <w:wordWrap/>
              <w:overflowPunct/>
              <w:topLinePunct w:val="0"/>
              <w:bidi w:val="0"/>
              <w:adjustRightInd/>
              <w:snapToGrid/>
              <w:spacing w:line="560" w:lineRule="exact"/>
              <w:jc w:val="center"/>
              <w:rPr>
                <w:rFonts w:hint="default"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cs="宋体"/>
                <w:color w:val="000000" w:themeColor="text1"/>
                <w:sz w:val="28"/>
                <w:szCs w:val="28"/>
                <w:highlight w:val="none"/>
                <w:lang w:val="en-US" w:eastAsia="zh-CN"/>
                <w14:textFill>
                  <w14:solidFill>
                    <w14:schemeClr w14:val="tx1"/>
                  </w14:solidFill>
                </w14:textFill>
              </w:rPr>
              <w:t>13</w:t>
            </w:r>
          </w:p>
        </w:tc>
        <w:tc>
          <w:tcPr>
            <w:tcW w:w="2239" w:type="dxa"/>
            <w:tcBorders>
              <w:top w:val="single" w:color="auto" w:sz="4" w:space="0"/>
              <w:left w:val="single" w:color="auto" w:sz="4" w:space="0"/>
              <w:bottom w:val="single" w:color="auto" w:sz="4" w:space="0"/>
              <w:right w:val="single" w:color="auto" w:sz="4" w:space="0"/>
            </w:tcBorders>
            <w:vAlign w:val="center"/>
          </w:tcPr>
          <w:p w14:paraId="52F1C813">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投标文件编制</w:t>
            </w:r>
          </w:p>
          <w:p w14:paraId="27C1A1CF">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要求</w:t>
            </w:r>
          </w:p>
        </w:tc>
        <w:tc>
          <w:tcPr>
            <w:tcW w:w="7297" w:type="dxa"/>
            <w:tcBorders>
              <w:top w:val="single" w:color="auto" w:sz="4" w:space="0"/>
              <w:left w:val="single" w:color="auto" w:sz="4" w:space="0"/>
              <w:bottom w:val="single" w:color="auto" w:sz="4" w:space="0"/>
              <w:right w:val="single" w:color="auto" w:sz="4" w:space="0"/>
            </w:tcBorders>
            <w:vAlign w:val="center"/>
          </w:tcPr>
          <w:p w14:paraId="6BB51966">
            <w:pPr>
              <w:keepNext w:val="0"/>
              <w:keepLines w:val="0"/>
              <w:pageBreakBefore w:val="0"/>
              <w:kinsoku/>
              <w:wordWrap/>
              <w:overflowPunct/>
              <w:topLinePunct w:val="0"/>
              <w:bidi w:val="0"/>
              <w:adjustRightInd/>
              <w:snapToGrid/>
              <w:spacing w:line="560" w:lineRule="exact"/>
              <w:rPr>
                <w:rFonts w:hint="eastAsia" w:ascii="宋体" w:hAnsi="宋体" w:eastAsia="宋体" w:cs="宋体"/>
                <w:b w:val="0"/>
                <w:bCs/>
                <w:color w:val="000000" w:themeColor="text1"/>
                <w:sz w:val="28"/>
                <w:szCs w:val="28"/>
                <w:highlight w:val="none"/>
                <w:u w:val="none"/>
                <w14:textFill>
                  <w14:solidFill>
                    <w14:schemeClr w14:val="tx1"/>
                  </w14:solidFill>
                </w14:textFill>
              </w:rPr>
            </w:pPr>
            <w:r>
              <w:rPr>
                <w:rFonts w:hint="eastAsia" w:ascii="宋体" w:hAnsi="宋体" w:eastAsia="宋体" w:cs="宋体"/>
                <w:b w:val="0"/>
                <w:bCs/>
                <w:color w:val="000000" w:themeColor="text1"/>
                <w:sz w:val="28"/>
                <w:szCs w:val="28"/>
                <w:highlight w:val="none"/>
                <w:u w:val="none"/>
                <w14:textFill>
                  <w14:solidFill>
                    <w14:schemeClr w14:val="tx1"/>
                  </w14:solidFill>
                </w14:textFill>
              </w:rPr>
              <w:t>投标文件应按报价文件、资格证明文件、商务</w:t>
            </w:r>
            <w:r>
              <w:rPr>
                <w:rFonts w:hint="eastAsia" w:ascii="宋体" w:hAnsi="宋体" w:eastAsia="宋体" w:cs="宋体"/>
                <w:b w:val="0"/>
                <w:bCs/>
                <w:color w:val="000000" w:themeColor="text1"/>
                <w:sz w:val="28"/>
                <w:szCs w:val="28"/>
                <w:highlight w:val="none"/>
                <w:u w:val="none"/>
                <w:lang w:eastAsia="zh-CN"/>
                <w14:textFill>
                  <w14:solidFill>
                    <w14:schemeClr w14:val="tx1"/>
                  </w14:solidFill>
                </w14:textFill>
              </w:rPr>
              <w:t>文件</w:t>
            </w:r>
            <w:r>
              <w:rPr>
                <w:rFonts w:hint="eastAsia" w:ascii="宋体" w:hAnsi="宋体" w:eastAsia="宋体" w:cs="宋体"/>
                <w:b w:val="0"/>
                <w:bCs/>
                <w:color w:val="000000" w:themeColor="text1"/>
                <w:sz w:val="28"/>
                <w:szCs w:val="28"/>
                <w:highlight w:val="none"/>
                <w:u w:val="none"/>
                <w14:textFill>
                  <w14:solidFill>
                    <w14:schemeClr w14:val="tx1"/>
                  </w14:solidFill>
                </w14:textFill>
              </w:rPr>
              <w:t>、技术文件分别编制，报价文件、资格证明文件分别生成电子文件，商务</w:t>
            </w:r>
            <w:r>
              <w:rPr>
                <w:rFonts w:hint="eastAsia" w:ascii="宋体" w:hAnsi="宋体" w:eastAsia="宋体" w:cs="宋体"/>
                <w:b w:val="0"/>
                <w:bCs/>
                <w:color w:val="000000" w:themeColor="text1"/>
                <w:sz w:val="28"/>
                <w:szCs w:val="28"/>
                <w:highlight w:val="none"/>
                <w:u w:val="none"/>
                <w:lang w:eastAsia="zh-CN"/>
                <w14:textFill>
                  <w14:solidFill>
                    <w14:schemeClr w14:val="tx1"/>
                  </w14:solidFill>
                </w14:textFill>
              </w:rPr>
              <w:t>文件</w:t>
            </w:r>
            <w:r>
              <w:rPr>
                <w:rFonts w:hint="eastAsia" w:ascii="宋体" w:hAnsi="宋体" w:eastAsia="宋体" w:cs="宋体"/>
                <w:b w:val="0"/>
                <w:bCs/>
                <w:color w:val="000000" w:themeColor="text1"/>
                <w:sz w:val="28"/>
                <w:szCs w:val="28"/>
                <w:highlight w:val="none"/>
                <w:u w:val="none"/>
                <w14:textFill>
                  <w14:solidFill>
                    <w14:schemeClr w14:val="tx1"/>
                  </w14:solidFill>
                </w14:textFill>
              </w:rPr>
              <w:t>、技术文件按顺序合并生成电子文件。电子版投标文件制作方式见招标公告。</w:t>
            </w:r>
          </w:p>
          <w:p w14:paraId="2D3EDF14">
            <w:pPr>
              <w:keepNext w:val="0"/>
              <w:keepLines w:val="0"/>
              <w:pageBreakBefore w:val="0"/>
              <w:kinsoku/>
              <w:wordWrap/>
              <w:overflowPunct/>
              <w:topLinePunct w:val="0"/>
              <w:bidi w:val="0"/>
              <w:adjustRightInd/>
              <w:snapToGrid/>
              <w:spacing w:line="560" w:lineRule="exact"/>
              <w:rPr>
                <w:rFonts w:hint="eastAsia" w:ascii="宋体" w:hAnsi="宋体" w:eastAsia="宋体" w:cs="宋体"/>
                <w:b/>
                <w:color w:val="000000" w:themeColor="text1"/>
                <w:sz w:val="28"/>
                <w:szCs w:val="28"/>
                <w:highlight w:val="none"/>
                <w:u w:val="single"/>
                <w14:textFill>
                  <w14:solidFill>
                    <w14:schemeClr w14:val="tx1"/>
                  </w14:solidFill>
                </w14:textFill>
              </w:rPr>
            </w:pPr>
            <w:r>
              <w:rPr>
                <w:rFonts w:hint="eastAsia" w:ascii="宋体" w:hAnsi="宋体" w:eastAsia="宋体" w:cs="宋体"/>
                <w:b/>
                <w:bCs w:val="0"/>
                <w:color w:val="000000" w:themeColor="text1"/>
                <w:sz w:val="28"/>
                <w:szCs w:val="28"/>
                <w:highlight w:val="none"/>
                <w:u w:val="none"/>
                <w14:textFill>
                  <w14:solidFill>
                    <w14:schemeClr w14:val="tx1"/>
                  </w14:solidFill>
                </w14:textFill>
              </w:rPr>
              <w:t>在开标结束后中标单位须向采购代理机构递交纸质响应文件</w:t>
            </w:r>
            <w:r>
              <w:rPr>
                <w:rFonts w:hint="eastAsia" w:ascii="宋体" w:hAnsi="宋体" w:cs="宋体"/>
                <w:b/>
                <w:bCs w:val="0"/>
                <w:color w:val="000000" w:themeColor="text1"/>
                <w:sz w:val="28"/>
                <w:szCs w:val="28"/>
                <w:highlight w:val="none"/>
                <w:u w:val="none"/>
                <w:lang w:eastAsia="zh-CN"/>
                <w14:textFill>
                  <w14:solidFill>
                    <w14:schemeClr w14:val="tx1"/>
                  </w14:solidFill>
                </w14:textFill>
              </w:rPr>
              <w:t>一</w:t>
            </w:r>
            <w:r>
              <w:rPr>
                <w:rFonts w:hint="eastAsia" w:ascii="宋体" w:hAnsi="宋体" w:eastAsia="宋体" w:cs="宋体"/>
                <w:b/>
                <w:bCs w:val="0"/>
                <w:color w:val="000000" w:themeColor="text1"/>
                <w:sz w:val="28"/>
                <w:szCs w:val="28"/>
                <w:highlight w:val="none"/>
                <w:u w:val="none"/>
                <w14:textFill>
                  <w14:solidFill>
                    <w14:schemeClr w14:val="tx1"/>
                  </w14:solidFill>
                </w14:textFill>
              </w:rPr>
              <w:t>份，印章齐全。</w:t>
            </w:r>
          </w:p>
        </w:tc>
      </w:tr>
      <w:tr w14:paraId="6CAFF2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14:paraId="5C06C843">
            <w:pPr>
              <w:keepNext w:val="0"/>
              <w:keepLines w:val="0"/>
              <w:pageBreakBefore w:val="0"/>
              <w:kinsoku/>
              <w:wordWrap/>
              <w:overflowPunct/>
              <w:topLinePunct w:val="0"/>
              <w:bidi w:val="0"/>
              <w:adjustRightInd/>
              <w:snapToGrid/>
              <w:spacing w:line="560" w:lineRule="exact"/>
              <w:jc w:val="center"/>
              <w:rPr>
                <w:rFonts w:hint="default"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cs="宋体"/>
                <w:color w:val="000000" w:themeColor="text1"/>
                <w:sz w:val="28"/>
                <w:szCs w:val="28"/>
                <w:highlight w:val="none"/>
                <w:lang w:val="en-US" w:eastAsia="zh-CN"/>
                <w14:textFill>
                  <w14:solidFill>
                    <w14:schemeClr w14:val="tx1"/>
                  </w14:solidFill>
                </w14:textFill>
              </w:rPr>
              <w:t>14</w:t>
            </w:r>
          </w:p>
        </w:tc>
        <w:tc>
          <w:tcPr>
            <w:tcW w:w="2239" w:type="dxa"/>
            <w:tcBorders>
              <w:top w:val="single" w:color="auto" w:sz="4" w:space="0"/>
              <w:left w:val="single" w:color="auto" w:sz="4" w:space="0"/>
              <w:bottom w:val="single" w:color="auto" w:sz="4" w:space="0"/>
              <w:right w:val="single" w:color="auto" w:sz="4" w:space="0"/>
            </w:tcBorders>
            <w:vAlign w:val="center"/>
          </w:tcPr>
          <w:p w14:paraId="118E0483">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备份投标文件</w:t>
            </w:r>
          </w:p>
        </w:tc>
        <w:tc>
          <w:tcPr>
            <w:tcW w:w="7297" w:type="dxa"/>
            <w:tcBorders>
              <w:top w:val="single" w:color="auto" w:sz="4" w:space="0"/>
              <w:left w:val="single" w:color="auto" w:sz="4" w:space="0"/>
              <w:bottom w:val="single" w:color="auto" w:sz="4" w:space="0"/>
              <w:right w:val="single" w:color="auto" w:sz="4" w:space="0"/>
            </w:tcBorders>
            <w:vAlign w:val="center"/>
          </w:tcPr>
          <w:p w14:paraId="28FEEAEB">
            <w:pPr>
              <w:keepNext w:val="0"/>
              <w:keepLines w:val="0"/>
              <w:pageBreakBefore w:val="0"/>
              <w:kinsoku/>
              <w:wordWrap/>
              <w:overflowPunct/>
              <w:topLinePunct w:val="0"/>
              <w:autoSpaceDE w:val="0"/>
              <w:autoSpaceDN w:val="0"/>
              <w:bidi w:val="0"/>
              <w:adjustRightInd/>
              <w:snapToGrid/>
              <w:spacing w:line="560" w:lineRule="exact"/>
              <w:textAlignment w:val="bottom"/>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本项目不接受备份投标文件。</w:t>
            </w:r>
          </w:p>
        </w:tc>
      </w:tr>
      <w:tr w14:paraId="112705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993" w:type="dxa"/>
            <w:vMerge w:val="restart"/>
            <w:tcBorders>
              <w:top w:val="single" w:color="auto" w:sz="4" w:space="0"/>
              <w:left w:val="single" w:color="auto" w:sz="4" w:space="0"/>
              <w:bottom w:val="nil"/>
              <w:right w:val="single" w:color="auto" w:sz="4" w:space="0"/>
            </w:tcBorders>
            <w:vAlign w:val="center"/>
          </w:tcPr>
          <w:p w14:paraId="525BE857">
            <w:pPr>
              <w:keepNext w:val="0"/>
              <w:keepLines w:val="0"/>
              <w:pageBreakBefore w:val="0"/>
              <w:kinsoku/>
              <w:wordWrap/>
              <w:overflowPunct/>
              <w:topLinePunct w:val="0"/>
              <w:bidi w:val="0"/>
              <w:adjustRightInd/>
              <w:snapToGrid/>
              <w:spacing w:line="560" w:lineRule="exact"/>
              <w:jc w:val="center"/>
              <w:rPr>
                <w:rFonts w:hint="default"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cs="宋体"/>
                <w:color w:val="000000" w:themeColor="text1"/>
                <w:sz w:val="28"/>
                <w:szCs w:val="28"/>
                <w:highlight w:val="none"/>
                <w:lang w:val="en-US" w:eastAsia="zh-CN"/>
                <w14:textFill>
                  <w14:solidFill>
                    <w14:schemeClr w14:val="tx1"/>
                  </w14:solidFill>
                </w14:textFill>
              </w:rPr>
              <w:t>15</w:t>
            </w:r>
          </w:p>
        </w:tc>
        <w:tc>
          <w:tcPr>
            <w:tcW w:w="2239" w:type="dxa"/>
            <w:tcBorders>
              <w:top w:val="single" w:color="auto" w:sz="4" w:space="0"/>
              <w:left w:val="single" w:color="auto" w:sz="4" w:space="0"/>
              <w:bottom w:val="single" w:color="auto" w:sz="4" w:space="0"/>
              <w:right w:val="single" w:color="auto" w:sz="4" w:space="0"/>
            </w:tcBorders>
            <w:vAlign w:val="center"/>
          </w:tcPr>
          <w:p w14:paraId="15DE1041">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bookmarkStart w:id="89" w:name="_21.1"/>
            <w:bookmarkEnd w:id="89"/>
            <w:r>
              <w:rPr>
                <w:rFonts w:hint="eastAsia" w:ascii="宋体" w:hAnsi="宋体" w:eastAsia="宋体" w:cs="宋体"/>
                <w:color w:val="000000" w:themeColor="text1"/>
                <w:sz w:val="28"/>
                <w:szCs w:val="28"/>
                <w:highlight w:val="none"/>
                <w14:textFill>
                  <w14:solidFill>
                    <w14:schemeClr w14:val="tx1"/>
                  </w14:solidFill>
                </w14:textFill>
              </w:rPr>
              <w:t>投标截止时间</w:t>
            </w:r>
          </w:p>
        </w:tc>
        <w:tc>
          <w:tcPr>
            <w:tcW w:w="7297" w:type="dxa"/>
            <w:tcBorders>
              <w:top w:val="single" w:color="auto" w:sz="4" w:space="0"/>
              <w:left w:val="single" w:color="auto" w:sz="4" w:space="0"/>
              <w:bottom w:val="single" w:color="auto" w:sz="4" w:space="0"/>
              <w:right w:val="single" w:color="auto" w:sz="4" w:space="0"/>
            </w:tcBorders>
            <w:vAlign w:val="center"/>
          </w:tcPr>
          <w:p w14:paraId="45CA1F1C">
            <w:pPr>
              <w:keepNext w:val="0"/>
              <w:keepLines w:val="0"/>
              <w:pageBreakBefore w:val="0"/>
              <w:kinsoku/>
              <w:wordWrap/>
              <w:overflowPunct/>
              <w:topLinePunct w:val="0"/>
              <w:bidi w:val="0"/>
              <w:adjustRightInd/>
              <w:snapToGrid/>
              <w:spacing w:line="560" w:lineRule="exact"/>
              <w:rPr>
                <w:rFonts w:hint="eastAsia" w:ascii="宋体" w:hAnsi="宋体" w:eastAsia="宋体" w:cs="宋体"/>
                <w:color w:val="000000" w:themeColor="text1"/>
                <w:sz w:val="28"/>
                <w:szCs w:val="28"/>
                <w:highlight w:val="none"/>
                <w:u w:val="singl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详见招标公告</w:t>
            </w:r>
          </w:p>
        </w:tc>
      </w:tr>
      <w:tr w14:paraId="062913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993" w:type="dxa"/>
            <w:vMerge w:val="continue"/>
            <w:tcBorders>
              <w:top w:val="single" w:color="auto" w:sz="4" w:space="0"/>
              <w:left w:val="single" w:color="auto" w:sz="4" w:space="0"/>
              <w:bottom w:val="nil"/>
              <w:right w:val="single" w:color="auto" w:sz="4" w:space="0"/>
            </w:tcBorders>
            <w:vAlign w:val="center"/>
          </w:tcPr>
          <w:p w14:paraId="47113670">
            <w:pPr>
              <w:keepNext w:val="0"/>
              <w:keepLines w:val="0"/>
              <w:pageBreakBefore w:val="0"/>
              <w:widowControl/>
              <w:kinsoku/>
              <w:wordWrap/>
              <w:overflowPunct/>
              <w:topLinePunct w:val="0"/>
              <w:bidi w:val="0"/>
              <w:adjustRightInd/>
              <w:snapToGrid/>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2239" w:type="dxa"/>
            <w:tcBorders>
              <w:top w:val="single" w:color="auto" w:sz="4" w:space="0"/>
              <w:left w:val="single" w:color="auto" w:sz="4" w:space="0"/>
              <w:bottom w:val="single" w:color="auto" w:sz="4" w:space="0"/>
              <w:right w:val="single" w:color="auto" w:sz="4" w:space="0"/>
            </w:tcBorders>
            <w:vAlign w:val="center"/>
          </w:tcPr>
          <w:p w14:paraId="47531189">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投标文件提交起止时间</w:t>
            </w:r>
          </w:p>
        </w:tc>
        <w:tc>
          <w:tcPr>
            <w:tcW w:w="7297" w:type="dxa"/>
            <w:tcBorders>
              <w:top w:val="single" w:color="auto" w:sz="4" w:space="0"/>
              <w:left w:val="single" w:color="auto" w:sz="4" w:space="0"/>
              <w:bottom w:val="single" w:color="auto" w:sz="4" w:space="0"/>
              <w:right w:val="single" w:color="auto" w:sz="4" w:space="0"/>
            </w:tcBorders>
            <w:vAlign w:val="center"/>
          </w:tcPr>
          <w:p w14:paraId="3EAE9C03">
            <w:pPr>
              <w:keepNext w:val="0"/>
              <w:keepLines w:val="0"/>
              <w:pageBreakBefore w:val="0"/>
              <w:kinsoku/>
              <w:wordWrap/>
              <w:overflowPunct/>
              <w:topLinePunct w:val="0"/>
              <w:bidi w:val="0"/>
              <w:adjustRightInd/>
              <w:snapToGrid/>
              <w:spacing w:line="560" w:lineRule="exac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详见招标公告</w:t>
            </w:r>
          </w:p>
        </w:tc>
      </w:tr>
      <w:tr w14:paraId="6BCAF6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993" w:type="dxa"/>
            <w:vMerge w:val="continue"/>
            <w:tcBorders>
              <w:top w:val="single" w:color="auto" w:sz="4" w:space="0"/>
              <w:left w:val="single" w:color="auto" w:sz="4" w:space="0"/>
              <w:bottom w:val="nil"/>
              <w:right w:val="single" w:color="auto" w:sz="4" w:space="0"/>
            </w:tcBorders>
            <w:vAlign w:val="center"/>
          </w:tcPr>
          <w:p w14:paraId="379F7B5E">
            <w:pPr>
              <w:keepNext w:val="0"/>
              <w:keepLines w:val="0"/>
              <w:pageBreakBefore w:val="0"/>
              <w:widowControl/>
              <w:kinsoku/>
              <w:wordWrap/>
              <w:overflowPunct/>
              <w:topLinePunct w:val="0"/>
              <w:bidi w:val="0"/>
              <w:adjustRightInd/>
              <w:snapToGrid/>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2239" w:type="dxa"/>
            <w:tcBorders>
              <w:top w:val="single" w:color="auto" w:sz="4" w:space="0"/>
              <w:left w:val="single" w:color="auto" w:sz="4" w:space="0"/>
              <w:bottom w:val="single" w:color="auto" w:sz="4" w:space="0"/>
              <w:right w:val="single" w:color="auto" w:sz="4" w:space="0"/>
            </w:tcBorders>
            <w:vAlign w:val="center"/>
          </w:tcPr>
          <w:p w14:paraId="5793638B">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投标地点</w:t>
            </w:r>
          </w:p>
        </w:tc>
        <w:tc>
          <w:tcPr>
            <w:tcW w:w="7297" w:type="dxa"/>
            <w:tcBorders>
              <w:top w:val="single" w:color="auto" w:sz="4" w:space="0"/>
              <w:left w:val="single" w:color="auto" w:sz="4" w:space="0"/>
              <w:bottom w:val="single" w:color="auto" w:sz="4" w:space="0"/>
              <w:right w:val="single" w:color="auto" w:sz="4" w:space="0"/>
            </w:tcBorders>
            <w:vAlign w:val="center"/>
          </w:tcPr>
          <w:p w14:paraId="183652F8">
            <w:pPr>
              <w:keepNext w:val="0"/>
              <w:keepLines w:val="0"/>
              <w:pageBreakBefore w:val="0"/>
              <w:kinsoku/>
              <w:wordWrap/>
              <w:overflowPunct/>
              <w:topLinePunct w:val="0"/>
              <w:bidi w:val="0"/>
              <w:adjustRightInd/>
              <w:snapToGrid/>
              <w:spacing w:line="560" w:lineRule="exac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新疆政府采购网（http://www.ccgp-xinjiang.gov.cn）政采云投标客户端投标</w:t>
            </w:r>
          </w:p>
        </w:tc>
      </w:tr>
      <w:tr w14:paraId="446B16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993" w:type="dxa"/>
            <w:vMerge w:val="continue"/>
            <w:tcBorders>
              <w:top w:val="single" w:color="auto" w:sz="4" w:space="0"/>
              <w:left w:val="single" w:color="auto" w:sz="4" w:space="0"/>
              <w:bottom w:val="nil"/>
              <w:right w:val="single" w:color="auto" w:sz="4" w:space="0"/>
            </w:tcBorders>
            <w:vAlign w:val="center"/>
          </w:tcPr>
          <w:p w14:paraId="2AFC3192">
            <w:pPr>
              <w:keepNext w:val="0"/>
              <w:keepLines w:val="0"/>
              <w:pageBreakBefore w:val="0"/>
              <w:widowControl/>
              <w:kinsoku/>
              <w:wordWrap/>
              <w:overflowPunct/>
              <w:topLinePunct w:val="0"/>
              <w:bidi w:val="0"/>
              <w:adjustRightInd/>
              <w:snapToGrid/>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2239" w:type="dxa"/>
            <w:tcBorders>
              <w:top w:val="single" w:color="auto" w:sz="4" w:space="0"/>
              <w:left w:val="single" w:color="auto" w:sz="4" w:space="0"/>
              <w:bottom w:val="single" w:color="auto" w:sz="4" w:space="0"/>
              <w:right w:val="single" w:color="auto" w:sz="4" w:space="0"/>
            </w:tcBorders>
            <w:vAlign w:val="center"/>
          </w:tcPr>
          <w:p w14:paraId="33468B5C">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lang w:eastAsia="zh-CN"/>
                <w14:textFill>
                  <w14:solidFill>
                    <w14:schemeClr w14:val="tx1"/>
                  </w14:solidFill>
                </w14:textFill>
              </w:rPr>
              <w:t>供应商</w:t>
            </w:r>
            <w:r>
              <w:rPr>
                <w:rFonts w:hint="eastAsia" w:ascii="宋体" w:hAnsi="宋体" w:eastAsia="宋体" w:cs="宋体"/>
                <w:color w:val="000000" w:themeColor="text1"/>
                <w:sz w:val="28"/>
                <w:szCs w:val="28"/>
                <w:highlight w:val="none"/>
                <w14:textFill>
                  <w14:solidFill>
                    <w14:schemeClr w14:val="tx1"/>
                  </w14:solidFill>
                </w14:textFill>
              </w:rPr>
              <w:t>递交投标样品截止时间及地点</w:t>
            </w:r>
          </w:p>
        </w:tc>
        <w:tc>
          <w:tcPr>
            <w:tcW w:w="7297" w:type="dxa"/>
            <w:tcBorders>
              <w:top w:val="single" w:color="auto" w:sz="4" w:space="0"/>
              <w:left w:val="single" w:color="auto" w:sz="4" w:space="0"/>
              <w:bottom w:val="single" w:color="auto" w:sz="4" w:space="0"/>
              <w:right w:val="single" w:color="auto" w:sz="4" w:space="0"/>
            </w:tcBorders>
            <w:vAlign w:val="center"/>
          </w:tcPr>
          <w:p w14:paraId="34312C86">
            <w:pPr>
              <w:keepNext w:val="0"/>
              <w:keepLines w:val="0"/>
              <w:pageBreakBefore w:val="0"/>
              <w:kinsoku/>
              <w:wordWrap/>
              <w:overflowPunct/>
              <w:topLinePunct w:val="0"/>
              <w:bidi w:val="0"/>
              <w:adjustRightInd/>
              <w:snapToGrid/>
              <w:spacing w:line="560" w:lineRule="exac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无</w:t>
            </w:r>
          </w:p>
        </w:tc>
      </w:tr>
      <w:tr w14:paraId="4B6326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81" w:hRule="atLeast"/>
        </w:trPr>
        <w:tc>
          <w:tcPr>
            <w:tcW w:w="993" w:type="dxa"/>
            <w:tcBorders>
              <w:top w:val="single" w:color="auto" w:sz="4" w:space="0"/>
              <w:left w:val="single" w:color="auto" w:sz="4" w:space="0"/>
              <w:bottom w:val="single" w:color="auto" w:sz="4" w:space="0"/>
              <w:right w:val="single" w:color="auto" w:sz="4" w:space="0"/>
            </w:tcBorders>
            <w:vAlign w:val="center"/>
          </w:tcPr>
          <w:p w14:paraId="2666ED15">
            <w:pPr>
              <w:keepNext w:val="0"/>
              <w:keepLines w:val="0"/>
              <w:pageBreakBefore w:val="0"/>
              <w:kinsoku/>
              <w:wordWrap/>
              <w:overflowPunct/>
              <w:topLinePunct w:val="0"/>
              <w:bidi w:val="0"/>
              <w:adjustRightInd/>
              <w:snapToGrid/>
              <w:spacing w:line="560" w:lineRule="exact"/>
              <w:jc w:val="center"/>
              <w:rPr>
                <w:rFonts w:hint="default"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cs="宋体"/>
                <w:color w:val="000000" w:themeColor="text1"/>
                <w:sz w:val="28"/>
                <w:szCs w:val="28"/>
                <w:highlight w:val="none"/>
                <w:lang w:val="en-US" w:eastAsia="zh-CN"/>
                <w14:textFill>
                  <w14:solidFill>
                    <w14:schemeClr w14:val="tx1"/>
                  </w14:solidFill>
                </w14:textFill>
              </w:rPr>
              <w:t>16</w:t>
            </w:r>
          </w:p>
        </w:tc>
        <w:tc>
          <w:tcPr>
            <w:tcW w:w="2239" w:type="dxa"/>
            <w:tcBorders>
              <w:top w:val="single" w:color="auto" w:sz="4" w:space="0"/>
              <w:left w:val="single" w:color="auto" w:sz="4" w:space="0"/>
              <w:bottom w:val="single" w:color="auto" w:sz="4" w:space="0"/>
              <w:right w:val="single" w:color="auto" w:sz="4" w:space="0"/>
            </w:tcBorders>
            <w:vAlign w:val="center"/>
          </w:tcPr>
          <w:p w14:paraId="18EB125D">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bookmarkStart w:id="90" w:name="_23"/>
            <w:bookmarkEnd w:id="90"/>
            <w:r>
              <w:rPr>
                <w:rFonts w:hint="eastAsia" w:ascii="宋体" w:hAnsi="宋体" w:eastAsia="宋体" w:cs="宋体"/>
                <w:color w:val="000000" w:themeColor="text1"/>
                <w:sz w:val="28"/>
                <w:szCs w:val="28"/>
                <w:highlight w:val="none"/>
                <w14:textFill>
                  <w14:solidFill>
                    <w14:schemeClr w14:val="tx1"/>
                  </w14:solidFill>
                </w14:textFill>
              </w:rPr>
              <w:t>开标时间、地点</w:t>
            </w:r>
          </w:p>
        </w:tc>
        <w:tc>
          <w:tcPr>
            <w:tcW w:w="7297" w:type="dxa"/>
            <w:tcBorders>
              <w:top w:val="single" w:color="auto" w:sz="4" w:space="0"/>
              <w:left w:val="single" w:color="auto" w:sz="4" w:space="0"/>
              <w:bottom w:val="single" w:color="auto" w:sz="4" w:space="0"/>
              <w:right w:val="single" w:color="auto" w:sz="4" w:space="0"/>
            </w:tcBorders>
            <w:vAlign w:val="center"/>
          </w:tcPr>
          <w:p w14:paraId="094C69E2">
            <w:pPr>
              <w:keepNext w:val="0"/>
              <w:keepLines w:val="0"/>
              <w:pageBreakBefore w:val="0"/>
              <w:kinsoku/>
              <w:wordWrap/>
              <w:overflowPunct/>
              <w:topLinePunct w:val="0"/>
              <w:bidi w:val="0"/>
              <w:adjustRightInd/>
              <w:snapToGrid/>
              <w:spacing w:line="560" w:lineRule="exac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u w:val="single"/>
                <w14:textFill>
                  <w14:solidFill>
                    <w14:schemeClr w14:val="tx1"/>
                  </w14:solidFill>
                </w14:textFill>
              </w:rPr>
              <w:t>202</w:t>
            </w:r>
            <w:r>
              <w:rPr>
                <w:rFonts w:hint="eastAsia" w:ascii="宋体" w:hAnsi="宋体" w:cs="宋体"/>
                <w:b/>
                <w:bCs/>
                <w:color w:val="000000" w:themeColor="text1"/>
                <w:sz w:val="28"/>
                <w:szCs w:val="28"/>
                <w:highlight w:val="none"/>
                <w:u w:val="single"/>
                <w:lang w:val="en-US" w:eastAsia="zh-CN"/>
                <w14:textFill>
                  <w14:solidFill>
                    <w14:schemeClr w14:val="tx1"/>
                  </w14:solidFill>
                </w14:textFill>
              </w:rPr>
              <w:t>5</w:t>
            </w:r>
            <w:r>
              <w:rPr>
                <w:rFonts w:hint="eastAsia" w:ascii="宋体" w:hAnsi="宋体" w:eastAsia="宋体" w:cs="宋体"/>
                <w:b/>
                <w:bCs/>
                <w:color w:val="000000" w:themeColor="text1"/>
                <w:sz w:val="28"/>
                <w:szCs w:val="28"/>
                <w:highlight w:val="none"/>
                <w:u w:val="single"/>
                <w14:textFill>
                  <w14:solidFill>
                    <w14:schemeClr w14:val="tx1"/>
                  </w14:solidFill>
                </w14:textFill>
              </w:rPr>
              <w:t>年</w:t>
            </w:r>
            <w:r>
              <w:rPr>
                <w:rFonts w:hint="eastAsia" w:ascii="宋体" w:hAnsi="宋体" w:cs="宋体"/>
                <w:b/>
                <w:bCs/>
                <w:color w:val="000000" w:themeColor="text1"/>
                <w:sz w:val="28"/>
                <w:szCs w:val="28"/>
                <w:highlight w:val="none"/>
                <w:u w:val="single"/>
                <w:lang w:val="en-US" w:eastAsia="zh-CN"/>
                <w14:textFill>
                  <w14:solidFill>
                    <w14:schemeClr w14:val="tx1"/>
                  </w14:solidFill>
                </w14:textFill>
              </w:rPr>
              <w:t>07</w:t>
            </w:r>
            <w:r>
              <w:rPr>
                <w:rFonts w:hint="eastAsia" w:ascii="宋体" w:hAnsi="宋体" w:eastAsia="宋体" w:cs="宋体"/>
                <w:b/>
                <w:bCs/>
                <w:color w:val="000000" w:themeColor="text1"/>
                <w:sz w:val="28"/>
                <w:szCs w:val="28"/>
                <w:highlight w:val="none"/>
                <w:u w:val="single"/>
                <w14:textFill>
                  <w14:solidFill>
                    <w14:schemeClr w14:val="tx1"/>
                  </w14:solidFill>
                </w14:textFill>
              </w:rPr>
              <w:t>月</w:t>
            </w:r>
            <w:r>
              <w:rPr>
                <w:rFonts w:hint="eastAsia" w:ascii="宋体" w:hAnsi="宋体" w:cs="宋体"/>
                <w:b/>
                <w:bCs/>
                <w:color w:val="000000" w:themeColor="text1"/>
                <w:sz w:val="28"/>
                <w:szCs w:val="28"/>
                <w:highlight w:val="none"/>
                <w:u w:val="single"/>
                <w:lang w:val="en-US" w:eastAsia="zh-CN"/>
                <w14:textFill>
                  <w14:solidFill>
                    <w14:schemeClr w14:val="tx1"/>
                  </w14:solidFill>
                </w14:textFill>
              </w:rPr>
              <w:t>17</w:t>
            </w:r>
            <w:r>
              <w:rPr>
                <w:rFonts w:hint="eastAsia" w:ascii="宋体" w:hAnsi="宋体" w:eastAsia="宋体" w:cs="宋体"/>
                <w:b/>
                <w:bCs/>
                <w:color w:val="000000" w:themeColor="text1"/>
                <w:sz w:val="28"/>
                <w:szCs w:val="28"/>
                <w:highlight w:val="none"/>
                <w:u w:val="single"/>
                <w14:textFill>
                  <w14:solidFill>
                    <w14:schemeClr w14:val="tx1"/>
                  </w14:solidFill>
                </w14:textFill>
              </w:rPr>
              <w:t>日1</w:t>
            </w:r>
            <w:r>
              <w:rPr>
                <w:rFonts w:hint="eastAsia" w:ascii="宋体" w:hAnsi="宋体" w:cs="宋体"/>
                <w:b/>
                <w:bCs/>
                <w:color w:val="000000" w:themeColor="text1"/>
                <w:sz w:val="28"/>
                <w:szCs w:val="28"/>
                <w:highlight w:val="none"/>
                <w:u w:val="single"/>
                <w:lang w:val="en-US" w:eastAsia="zh-CN"/>
                <w14:textFill>
                  <w14:solidFill>
                    <w14:schemeClr w14:val="tx1"/>
                  </w14:solidFill>
                </w14:textFill>
              </w:rPr>
              <w:t>1</w:t>
            </w:r>
            <w:r>
              <w:rPr>
                <w:rFonts w:hint="eastAsia" w:ascii="宋体" w:hAnsi="宋体" w:eastAsia="宋体" w:cs="宋体"/>
                <w:b/>
                <w:bCs/>
                <w:color w:val="000000" w:themeColor="text1"/>
                <w:sz w:val="28"/>
                <w:szCs w:val="28"/>
                <w:highlight w:val="none"/>
                <w:u w:val="single"/>
                <w14:textFill>
                  <w14:solidFill>
                    <w14:schemeClr w14:val="tx1"/>
                  </w14:solidFill>
                </w14:textFill>
              </w:rPr>
              <w:t>点00分</w:t>
            </w:r>
            <w:r>
              <w:rPr>
                <w:rFonts w:hint="eastAsia" w:ascii="宋体" w:hAnsi="宋体" w:eastAsia="宋体" w:cs="宋体"/>
                <w:color w:val="000000" w:themeColor="text1"/>
                <w:sz w:val="28"/>
                <w:szCs w:val="28"/>
                <w:highlight w:val="none"/>
                <w14:textFill>
                  <w14:solidFill>
                    <w14:schemeClr w14:val="tx1"/>
                  </w14:solidFill>
                </w14:textFill>
              </w:rPr>
              <w:t>（北京时间）</w:t>
            </w:r>
          </w:p>
          <w:p w14:paraId="41582BEA">
            <w:pPr>
              <w:keepNext w:val="0"/>
              <w:keepLines w:val="0"/>
              <w:pageBreakBefore w:val="0"/>
              <w:kinsoku/>
              <w:wordWrap/>
              <w:overflowPunct/>
              <w:topLinePunct w:val="0"/>
              <w:bidi w:val="0"/>
              <w:adjustRightInd/>
              <w:snapToGrid/>
              <w:spacing w:line="560" w:lineRule="exac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新疆政府采购网（http://www.ccgp-xinjiang.gov.cn）政采云平台</w:t>
            </w:r>
          </w:p>
        </w:tc>
      </w:tr>
      <w:tr w14:paraId="63AA77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8" w:hRule="atLeast"/>
        </w:trPr>
        <w:tc>
          <w:tcPr>
            <w:tcW w:w="993" w:type="dxa"/>
            <w:vMerge w:val="restart"/>
            <w:tcBorders>
              <w:top w:val="single" w:color="auto" w:sz="4" w:space="0"/>
              <w:left w:val="single" w:color="auto" w:sz="4" w:space="0"/>
              <w:bottom w:val="single" w:color="auto" w:sz="4" w:space="0"/>
              <w:right w:val="single" w:color="auto" w:sz="4" w:space="0"/>
            </w:tcBorders>
            <w:vAlign w:val="center"/>
          </w:tcPr>
          <w:p w14:paraId="5D1EB85A">
            <w:pPr>
              <w:keepNext w:val="0"/>
              <w:keepLines w:val="0"/>
              <w:pageBreakBefore w:val="0"/>
              <w:kinsoku/>
              <w:wordWrap/>
              <w:overflowPunct/>
              <w:topLinePunct w:val="0"/>
              <w:bidi w:val="0"/>
              <w:adjustRightInd/>
              <w:snapToGrid/>
              <w:spacing w:line="560" w:lineRule="exact"/>
              <w:jc w:val="center"/>
              <w:rPr>
                <w:rFonts w:hint="default"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cs="宋体"/>
                <w:color w:val="000000" w:themeColor="text1"/>
                <w:sz w:val="28"/>
                <w:szCs w:val="28"/>
                <w:highlight w:val="none"/>
                <w:lang w:val="en-US" w:eastAsia="zh-CN"/>
                <w14:textFill>
                  <w14:solidFill>
                    <w14:schemeClr w14:val="tx1"/>
                  </w14:solidFill>
                </w14:textFill>
              </w:rPr>
              <w:t>17</w:t>
            </w:r>
          </w:p>
        </w:tc>
        <w:tc>
          <w:tcPr>
            <w:tcW w:w="2239" w:type="dxa"/>
            <w:tcBorders>
              <w:top w:val="single" w:color="auto" w:sz="4" w:space="0"/>
              <w:left w:val="single" w:color="auto" w:sz="4" w:space="0"/>
              <w:bottom w:val="single" w:color="auto" w:sz="4" w:space="0"/>
              <w:right w:val="single" w:color="auto" w:sz="4" w:space="0"/>
            </w:tcBorders>
            <w:vAlign w:val="center"/>
          </w:tcPr>
          <w:p w14:paraId="4FD4F81D">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bookmarkStart w:id="91" w:name="_25.3"/>
            <w:bookmarkEnd w:id="91"/>
            <w:r>
              <w:rPr>
                <w:rFonts w:hint="eastAsia" w:ascii="宋体" w:hAnsi="宋体" w:cs="宋体"/>
                <w:color w:val="000000" w:themeColor="text1"/>
                <w:sz w:val="28"/>
                <w:szCs w:val="28"/>
                <w:highlight w:val="none"/>
                <w:lang w:eastAsia="zh-CN"/>
                <w14:textFill>
                  <w14:solidFill>
                    <w14:schemeClr w14:val="tx1"/>
                  </w14:solidFill>
                </w14:textFill>
              </w:rPr>
              <w:t>供应商</w:t>
            </w:r>
            <w:r>
              <w:rPr>
                <w:rFonts w:hint="eastAsia" w:ascii="宋体" w:hAnsi="宋体" w:eastAsia="宋体" w:cs="宋体"/>
                <w:color w:val="000000" w:themeColor="text1"/>
                <w:sz w:val="28"/>
                <w:szCs w:val="28"/>
                <w:highlight w:val="none"/>
                <w14:textFill>
                  <w14:solidFill>
                    <w14:schemeClr w14:val="tx1"/>
                  </w14:solidFill>
                </w14:textFill>
              </w:rPr>
              <w:t>信用查询渠道</w:t>
            </w:r>
          </w:p>
        </w:tc>
        <w:tc>
          <w:tcPr>
            <w:tcW w:w="7297" w:type="dxa"/>
            <w:tcBorders>
              <w:top w:val="single" w:color="auto" w:sz="4" w:space="0"/>
              <w:left w:val="single" w:color="auto" w:sz="4" w:space="0"/>
              <w:bottom w:val="single" w:color="auto" w:sz="4" w:space="0"/>
              <w:right w:val="single" w:color="auto" w:sz="4" w:space="0"/>
            </w:tcBorders>
            <w:vAlign w:val="center"/>
          </w:tcPr>
          <w:p w14:paraId="593BFF76">
            <w:pPr>
              <w:keepNext w:val="0"/>
              <w:keepLines w:val="0"/>
              <w:pageBreakBefore w:val="0"/>
              <w:kinsoku/>
              <w:wordWrap/>
              <w:overflowPunct/>
              <w:topLinePunct w:val="0"/>
              <w:bidi w:val="0"/>
              <w:adjustRightInd/>
              <w:snapToGrid/>
              <w:spacing w:line="560" w:lineRule="exac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查询渠道：“信用中国”网站(www.creditchina.gov.cn) 、中国政府采购网(www.ccgp.gov.cn)。</w:t>
            </w:r>
          </w:p>
        </w:tc>
      </w:tr>
      <w:tr w14:paraId="42DD19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993" w:type="dxa"/>
            <w:vMerge w:val="continue"/>
            <w:tcBorders>
              <w:top w:val="single" w:color="auto" w:sz="4" w:space="0"/>
              <w:left w:val="single" w:color="auto" w:sz="4" w:space="0"/>
              <w:bottom w:val="single" w:color="auto" w:sz="4" w:space="0"/>
              <w:right w:val="single" w:color="auto" w:sz="4" w:space="0"/>
            </w:tcBorders>
            <w:vAlign w:val="center"/>
          </w:tcPr>
          <w:p w14:paraId="6648E956">
            <w:pPr>
              <w:keepNext w:val="0"/>
              <w:keepLines w:val="0"/>
              <w:pageBreakBefore w:val="0"/>
              <w:widowControl/>
              <w:kinsoku/>
              <w:wordWrap/>
              <w:overflowPunct/>
              <w:topLinePunct w:val="0"/>
              <w:bidi w:val="0"/>
              <w:adjustRightInd/>
              <w:snapToGrid/>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2239" w:type="dxa"/>
            <w:tcBorders>
              <w:top w:val="single" w:color="auto" w:sz="4" w:space="0"/>
              <w:left w:val="single" w:color="auto" w:sz="4" w:space="0"/>
              <w:bottom w:val="single" w:color="auto" w:sz="4" w:space="0"/>
              <w:right w:val="single" w:color="auto" w:sz="4" w:space="0"/>
            </w:tcBorders>
            <w:vAlign w:val="center"/>
          </w:tcPr>
          <w:p w14:paraId="47870CB2">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信用信息</w:t>
            </w:r>
          </w:p>
          <w:p w14:paraId="1B8A8953">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使用规则</w:t>
            </w:r>
          </w:p>
        </w:tc>
        <w:tc>
          <w:tcPr>
            <w:tcW w:w="7297" w:type="dxa"/>
            <w:tcBorders>
              <w:top w:val="single" w:color="auto" w:sz="4" w:space="0"/>
              <w:left w:val="single" w:color="auto" w:sz="4" w:space="0"/>
              <w:bottom w:val="single" w:color="auto" w:sz="4" w:space="0"/>
              <w:right w:val="single" w:color="auto" w:sz="4" w:space="0"/>
            </w:tcBorders>
            <w:vAlign w:val="center"/>
          </w:tcPr>
          <w:p w14:paraId="58B6C380">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lang w:val="en-US" w:eastAsia="zh-CN"/>
                <w14:textFill>
                  <w14:solidFill>
                    <w14:schemeClr w14:val="tx1"/>
                  </w14:solidFill>
                </w14:textFill>
              </w:rPr>
              <w:t>1</w:t>
            </w:r>
            <w:r>
              <w:rPr>
                <w:rFonts w:hint="eastAsia" w:ascii="宋体" w:hAnsi="宋体" w:eastAsia="宋体" w:cs="宋体"/>
                <w:color w:val="000000" w:themeColor="text1"/>
                <w:sz w:val="28"/>
                <w:szCs w:val="28"/>
                <w:highlight w:val="none"/>
                <w14:textFill>
                  <w14:solidFill>
                    <w14:schemeClr w14:val="tx1"/>
                  </w14:solidFill>
                </w14:textFill>
              </w:rPr>
              <w:t>、根据《关于在政府采购活动中查询及使用信用记录有关问题的通知》(财库(2016)125号)的规定，对被列入“失信被执行人”“重大税收违法失信主体”的供应商，拒绝参与本项目政府采购活动。</w:t>
            </w:r>
          </w:p>
          <w:p w14:paraId="69AE5C0A">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lang w:val="en-US" w:eastAsia="zh-CN"/>
                <w14:textFill>
                  <w14:solidFill>
                    <w14:schemeClr w14:val="tx1"/>
                  </w14:solidFill>
                </w14:textFill>
              </w:rPr>
              <w:t>2</w:t>
            </w:r>
            <w:r>
              <w:rPr>
                <w:rFonts w:hint="eastAsia" w:ascii="宋体" w:hAnsi="宋体" w:eastAsia="宋体" w:cs="宋体"/>
                <w:color w:val="000000" w:themeColor="text1"/>
                <w:sz w:val="28"/>
                <w:szCs w:val="28"/>
                <w:highlight w:val="none"/>
                <w14:textFill>
                  <w14:solidFill>
                    <w14:schemeClr w14:val="tx1"/>
                  </w14:solidFill>
                </w14:textFill>
              </w:rPr>
              <w:t>、两个以上的自然人、法人或者其他组织组成一个联合体，以一个供应商的身份共同参加政府采购活动的，将对所有联合体成员进行信用记录查询，联合体成员存在不良信用记录的，视同联合体存在不良信用记录</w:t>
            </w:r>
          </w:p>
          <w:p w14:paraId="24E82E3C">
            <w:pPr>
              <w:keepNext w:val="0"/>
              <w:keepLines w:val="0"/>
              <w:pageBreakBefore w:val="0"/>
              <w:kinsoku/>
              <w:wordWrap/>
              <w:overflowPunct/>
              <w:topLinePunct w:val="0"/>
              <w:bidi w:val="0"/>
              <w:adjustRightInd/>
              <w:snapToGrid/>
              <w:spacing w:line="560" w:lineRule="exac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lang w:val="en-US" w:eastAsia="zh-CN"/>
                <w14:textFill>
                  <w14:solidFill>
                    <w14:schemeClr w14:val="tx1"/>
                  </w14:solidFill>
                </w14:textFill>
              </w:rPr>
              <w:t>3</w:t>
            </w:r>
            <w:r>
              <w:rPr>
                <w:rFonts w:hint="eastAsia" w:ascii="宋体" w:hAnsi="宋体" w:eastAsia="宋体" w:cs="宋体"/>
                <w:color w:val="000000" w:themeColor="text1"/>
                <w:sz w:val="28"/>
                <w:szCs w:val="28"/>
                <w:highlight w:val="none"/>
                <w14:textFill>
                  <w14:solidFill>
                    <w14:schemeClr w14:val="tx1"/>
                  </w14:solidFill>
                </w14:textFill>
              </w:rPr>
              <w:t>、供应商存在不良信用记录的，其响应将按无效处理</w:t>
            </w:r>
            <w:r>
              <w:rPr>
                <w:rFonts w:hint="eastAsia" w:ascii="宋体" w:hAnsi="宋体" w:cs="宋体"/>
                <w:color w:val="000000" w:themeColor="text1"/>
                <w:sz w:val="28"/>
                <w:szCs w:val="28"/>
                <w:highlight w:val="none"/>
                <w:lang w:eastAsia="zh-CN"/>
                <w14:textFill>
                  <w14:solidFill>
                    <w14:schemeClr w14:val="tx1"/>
                  </w14:solidFill>
                </w14:textFill>
              </w:rPr>
              <w:t>。</w:t>
            </w:r>
          </w:p>
        </w:tc>
      </w:tr>
      <w:tr w14:paraId="27C8AD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14:paraId="36AD3449">
            <w:pPr>
              <w:keepNext w:val="0"/>
              <w:keepLines w:val="0"/>
              <w:pageBreakBefore w:val="0"/>
              <w:kinsoku/>
              <w:wordWrap/>
              <w:overflowPunct/>
              <w:topLinePunct w:val="0"/>
              <w:bidi w:val="0"/>
              <w:adjustRightInd/>
              <w:snapToGrid/>
              <w:spacing w:line="560" w:lineRule="exact"/>
              <w:jc w:val="center"/>
              <w:rPr>
                <w:rFonts w:hint="default"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cs="宋体"/>
                <w:color w:val="000000" w:themeColor="text1"/>
                <w:sz w:val="28"/>
                <w:szCs w:val="28"/>
                <w:highlight w:val="none"/>
                <w:lang w:val="en-US" w:eastAsia="zh-CN"/>
                <w14:textFill>
                  <w14:solidFill>
                    <w14:schemeClr w14:val="tx1"/>
                  </w14:solidFill>
                </w14:textFill>
              </w:rPr>
              <w:t>18</w:t>
            </w:r>
          </w:p>
        </w:tc>
        <w:tc>
          <w:tcPr>
            <w:tcW w:w="2239" w:type="dxa"/>
            <w:tcBorders>
              <w:top w:val="single" w:color="auto" w:sz="4" w:space="0"/>
              <w:left w:val="single" w:color="auto" w:sz="4" w:space="0"/>
              <w:bottom w:val="single" w:color="auto" w:sz="4" w:space="0"/>
              <w:right w:val="single" w:color="auto" w:sz="4" w:space="0"/>
            </w:tcBorders>
            <w:vAlign w:val="center"/>
          </w:tcPr>
          <w:p w14:paraId="3BFDB152">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bookmarkStart w:id="92" w:name="_28.3"/>
            <w:bookmarkEnd w:id="92"/>
            <w:bookmarkStart w:id="93" w:name="_26"/>
            <w:bookmarkEnd w:id="93"/>
            <w:r>
              <w:rPr>
                <w:rFonts w:hint="eastAsia" w:ascii="宋体" w:hAnsi="宋体" w:eastAsia="宋体" w:cs="宋体"/>
                <w:color w:val="000000" w:themeColor="text1"/>
                <w:sz w:val="28"/>
                <w:szCs w:val="28"/>
                <w:highlight w:val="none"/>
                <w14:textFill>
                  <w14:solidFill>
                    <w14:schemeClr w14:val="tx1"/>
                  </w14:solidFill>
                </w14:textFill>
              </w:rPr>
              <w:t>评标方法</w:t>
            </w:r>
          </w:p>
        </w:tc>
        <w:tc>
          <w:tcPr>
            <w:tcW w:w="7297" w:type="dxa"/>
            <w:tcBorders>
              <w:top w:val="single" w:color="auto" w:sz="4" w:space="0"/>
              <w:left w:val="single" w:color="auto" w:sz="4" w:space="0"/>
              <w:bottom w:val="single" w:color="auto" w:sz="4" w:space="0"/>
              <w:right w:val="single" w:color="auto" w:sz="4" w:space="0"/>
            </w:tcBorders>
            <w:vAlign w:val="center"/>
          </w:tcPr>
          <w:p w14:paraId="71A78E6C">
            <w:pPr>
              <w:keepNext w:val="0"/>
              <w:keepLines w:val="0"/>
              <w:pageBreakBefore w:val="0"/>
              <w:kinsoku/>
              <w:wordWrap/>
              <w:overflowPunct/>
              <w:topLinePunct w:val="0"/>
              <w:autoSpaceDE w:val="0"/>
              <w:autoSpaceDN w:val="0"/>
              <w:bidi w:val="0"/>
              <w:adjustRightInd/>
              <w:snapToGrid/>
              <w:spacing w:line="560" w:lineRule="exact"/>
              <w:textAlignment w:val="bottom"/>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综合评分法</w:t>
            </w:r>
          </w:p>
        </w:tc>
      </w:tr>
      <w:tr w14:paraId="08F8BC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993" w:type="dxa"/>
            <w:tcBorders>
              <w:top w:val="single" w:color="auto" w:sz="4" w:space="0"/>
              <w:left w:val="single" w:color="auto" w:sz="4" w:space="0"/>
              <w:bottom w:val="single" w:color="auto" w:sz="4" w:space="0"/>
              <w:right w:val="single" w:color="auto" w:sz="4" w:space="0"/>
            </w:tcBorders>
            <w:vAlign w:val="center"/>
          </w:tcPr>
          <w:p w14:paraId="4A334BDC">
            <w:pPr>
              <w:keepNext w:val="0"/>
              <w:keepLines w:val="0"/>
              <w:pageBreakBefore w:val="0"/>
              <w:kinsoku/>
              <w:wordWrap/>
              <w:overflowPunct/>
              <w:topLinePunct w:val="0"/>
              <w:bidi w:val="0"/>
              <w:adjustRightInd/>
              <w:snapToGrid/>
              <w:spacing w:line="560" w:lineRule="exact"/>
              <w:jc w:val="center"/>
              <w:rPr>
                <w:rFonts w:hint="default"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cs="宋体"/>
                <w:color w:val="000000" w:themeColor="text1"/>
                <w:sz w:val="28"/>
                <w:szCs w:val="28"/>
                <w:highlight w:val="none"/>
                <w:lang w:val="en-US" w:eastAsia="zh-CN"/>
                <w14:textFill>
                  <w14:solidFill>
                    <w14:schemeClr w14:val="tx1"/>
                  </w14:solidFill>
                </w14:textFill>
              </w:rPr>
              <w:t>19</w:t>
            </w:r>
          </w:p>
        </w:tc>
        <w:tc>
          <w:tcPr>
            <w:tcW w:w="2239" w:type="dxa"/>
            <w:tcBorders>
              <w:top w:val="single" w:color="auto" w:sz="4" w:space="0"/>
              <w:left w:val="single" w:color="auto" w:sz="4" w:space="0"/>
              <w:bottom w:val="single" w:color="auto" w:sz="4" w:space="0"/>
              <w:right w:val="single" w:color="auto" w:sz="4" w:space="0"/>
            </w:tcBorders>
            <w:vAlign w:val="center"/>
          </w:tcPr>
          <w:p w14:paraId="2DF7950F">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b/>
                <w:bCs/>
                <w:color w:val="000000" w:themeColor="text1"/>
                <w:sz w:val="28"/>
                <w:szCs w:val="28"/>
                <w:highlight w:val="none"/>
                <w14:textFill>
                  <w14:solidFill>
                    <w14:schemeClr w14:val="tx1"/>
                  </w14:solidFill>
                </w14:textFill>
              </w:rPr>
            </w:pPr>
            <w:bookmarkStart w:id="94" w:name="_29.2.2（2）"/>
            <w:bookmarkEnd w:id="94"/>
            <w:r>
              <w:rPr>
                <w:rFonts w:hint="eastAsia" w:ascii="宋体" w:hAnsi="宋体" w:eastAsia="宋体" w:cs="宋体"/>
                <w:b/>
                <w:bCs/>
                <w:color w:val="000000" w:themeColor="text1"/>
                <w:sz w:val="28"/>
                <w:szCs w:val="28"/>
                <w:highlight w:val="none"/>
                <w14:textFill>
                  <w14:solidFill>
                    <w14:schemeClr w14:val="tx1"/>
                  </w14:solidFill>
                </w14:textFill>
              </w:rPr>
              <w:t>允许负偏离项</w:t>
            </w:r>
          </w:p>
        </w:tc>
        <w:tc>
          <w:tcPr>
            <w:tcW w:w="7297" w:type="dxa"/>
            <w:tcBorders>
              <w:top w:val="single" w:color="auto" w:sz="4" w:space="0"/>
              <w:left w:val="single" w:color="auto" w:sz="4" w:space="0"/>
              <w:bottom w:val="single" w:color="auto" w:sz="4" w:space="0"/>
              <w:right w:val="single" w:color="auto" w:sz="4" w:space="0"/>
            </w:tcBorders>
            <w:vAlign w:val="center"/>
          </w:tcPr>
          <w:p w14:paraId="457BE787">
            <w:pPr>
              <w:keepNext w:val="0"/>
              <w:keepLines w:val="0"/>
              <w:pageBreakBefore w:val="0"/>
              <w:kinsoku/>
              <w:wordWrap/>
              <w:overflowPunct/>
              <w:topLinePunct w:val="0"/>
              <w:bidi w:val="0"/>
              <w:adjustRightInd/>
              <w:snapToGrid/>
              <w:spacing w:line="560" w:lineRule="exact"/>
              <w:rPr>
                <w:rFonts w:hint="default" w:ascii="宋体" w:hAnsi="宋体" w:eastAsia="宋体" w:cs="宋体"/>
                <w:b/>
                <w:bCs/>
                <w:color w:val="000000" w:themeColor="text1"/>
                <w:sz w:val="28"/>
                <w:szCs w:val="28"/>
                <w:highlight w:val="none"/>
                <w:lang w:val="en-US" w:eastAsia="zh-CN"/>
                <w14:textFill>
                  <w14:solidFill>
                    <w14:schemeClr w14:val="tx1"/>
                  </w14:solidFill>
                </w14:textFill>
              </w:rPr>
            </w:pPr>
            <w:r>
              <w:rPr>
                <w:rFonts w:hint="eastAsia" w:ascii="宋体" w:hAnsi="宋体" w:cs="宋体"/>
                <w:b/>
                <w:bCs/>
                <w:color w:val="000000" w:themeColor="text1"/>
                <w:sz w:val="28"/>
                <w:szCs w:val="28"/>
                <w:highlight w:val="none"/>
                <w:shd w:val="clear"/>
                <w:lang w:eastAsia="zh-CN"/>
                <w14:textFill>
                  <w14:solidFill>
                    <w14:schemeClr w14:val="tx1"/>
                  </w14:solidFill>
                </w14:textFill>
              </w:rPr>
              <w:t>本项目技术参数允许偏离，商务条款不允许偏离</w:t>
            </w:r>
          </w:p>
        </w:tc>
      </w:tr>
      <w:tr w14:paraId="0E25C7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14:paraId="0A4BF9E3">
            <w:pPr>
              <w:keepNext w:val="0"/>
              <w:keepLines w:val="0"/>
              <w:pageBreakBefore w:val="0"/>
              <w:kinsoku/>
              <w:wordWrap/>
              <w:overflowPunct/>
              <w:topLinePunct w:val="0"/>
              <w:bidi w:val="0"/>
              <w:adjustRightInd/>
              <w:snapToGrid/>
              <w:spacing w:line="560" w:lineRule="exact"/>
              <w:jc w:val="center"/>
              <w:rPr>
                <w:rFonts w:hint="default"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cs="宋体"/>
                <w:color w:val="000000" w:themeColor="text1"/>
                <w:sz w:val="28"/>
                <w:szCs w:val="28"/>
                <w:highlight w:val="none"/>
                <w:lang w:val="en-US" w:eastAsia="zh-CN"/>
                <w14:textFill>
                  <w14:solidFill>
                    <w14:schemeClr w14:val="tx1"/>
                  </w14:solidFill>
                </w14:textFill>
              </w:rPr>
              <w:t>20</w:t>
            </w:r>
          </w:p>
        </w:tc>
        <w:tc>
          <w:tcPr>
            <w:tcW w:w="2239" w:type="dxa"/>
            <w:tcBorders>
              <w:top w:val="single" w:color="auto" w:sz="4" w:space="0"/>
              <w:left w:val="single" w:color="auto" w:sz="4" w:space="0"/>
              <w:bottom w:val="single" w:color="auto" w:sz="4" w:space="0"/>
              <w:right w:val="single" w:color="auto" w:sz="4" w:space="0"/>
            </w:tcBorders>
            <w:vAlign w:val="center"/>
          </w:tcPr>
          <w:p w14:paraId="7488E390">
            <w:pPr>
              <w:keepNext w:val="0"/>
              <w:keepLines w:val="0"/>
              <w:pageBreakBefore w:val="0"/>
              <w:kinsoku/>
              <w:wordWrap/>
              <w:overflowPunct/>
              <w:topLinePunct w:val="0"/>
              <w:autoSpaceDE w:val="0"/>
              <w:autoSpaceDN w:val="0"/>
              <w:bidi w:val="0"/>
              <w:adjustRightInd/>
              <w:snapToGrid/>
              <w:spacing w:line="560" w:lineRule="exact"/>
              <w:jc w:val="center"/>
              <w:textAlignment w:val="bottom"/>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确定中标人时，出现中标候选人分数并列的情形，确定中标人方式</w:t>
            </w:r>
          </w:p>
        </w:tc>
        <w:tc>
          <w:tcPr>
            <w:tcW w:w="7297" w:type="dxa"/>
            <w:tcBorders>
              <w:top w:val="single" w:color="auto" w:sz="4" w:space="0"/>
              <w:left w:val="single" w:color="auto" w:sz="4" w:space="0"/>
              <w:bottom w:val="single" w:color="auto" w:sz="4" w:space="0"/>
              <w:right w:val="single" w:color="auto" w:sz="4" w:space="0"/>
            </w:tcBorders>
            <w:vAlign w:val="center"/>
          </w:tcPr>
          <w:p w14:paraId="492DCA8F">
            <w:pPr>
              <w:keepNext w:val="0"/>
              <w:keepLines w:val="0"/>
              <w:pageBreakBefore w:val="0"/>
              <w:kinsoku/>
              <w:wordWrap/>
              <w:overflowPunct/>
              <w:topLinePunct w:val="0"/>
              <w:autoSpaceDE w:val="0"/>
              <w:autoSpaceDN w:val="0"/>
              <w:bidi w:val="0"/>
              <w:adjustRightInd/>
              <w:snapToGrid/>
              <w:spacing w:line="560" w:lineRule="exact"/>
              <w:textAlignment w:val="bottom"/>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采用综合评分法的，按综合得分由高到低顺序排列。若综合得分相同的，按投标报价由低到高顺序排列。若综合得分且投标报价相同的，货物类采购项目以技术性能得分较高者为先。 </w:t>
            </w:r>
          </w:p>
        </w:tc>
      </w:tr>
      <w:tr w14:paraId="426421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93" w:type="dxa"/>
            <w:tcBorders>
              <w:top w:val="single" w:color="auto" w:sz="4" w:space="0"/>
              <w:left w:val="single" w:color="auto" w:sz="4" w:space="0"/>
              <w:bottom w:val="single" w:color="auto" w:sz="4" w:space="0"/>
              <w:right w:val="single" w:color="auto" w:sz="4" w:space="0"/>
            </w:tcBorders>
            <w:vAlign w:val="center"/>
          </w:tcPr>
          <w:p w14:paraId="6816F296">
            <w:pPr>
              <w:keepNext w:val="0"/>
              <w:keepLines w:val="0"/>
              <w:pageBreakBefore w:val="0"/>
              <w:kinsoku/>
              <w:wordWrap/>
              <w:overflowPunct/>
              <w:topLinePunct w:val="0"/>
              <w:bidi w:val="0"/>
              <w:adjustRightInd/>
              <w:snapToGrid/>
              <w:spacing w:line="560" w:lineRule="exact"/>
              <w:jc w:val="center"/>
              <w:rPr>
                <w:rFonts w:hint="default"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cs="宋体"/>
                <w:color w:val="000000" w:themeColor="text1"/>
                <w:sz w:val="28"/>
                <w:szCs w:val="28"/>
                <w:highlight w:val="none"/>
                <w:lang w:val="en-US" w:eastAsia="zh-CN"/>
                <w14:textFill>
                  <w14:solidFill>
                    <w14:schemeClr w14:val="tx1"/>
                  </w14:solidFill>
                </w14:textFill>
              </w:rPr>
              <w:t>21</w:t>
            </w:r>
          </w:p>
        </w:tc>
        <w:tc>
          <w:tcPr>
            <w:tcW w:w="2239" w:type="dxa"/>
            <w:tcBorders>
              <w:top w:val="single" w:color="auto" w:sz="4" w:space="0"/>
              <w:left w:val="single" w:color="auto" w:sz="4" w:space="0"/>
              <w:bottom w:val="single" w:color="auto" w:sz="4" w:space="0"/>
              <w:right w:val="single" w:color="auto" w:sz="4" w:space="0"/>
            </w:tcBorders>
            <w:vAlign w:val="center"/>
          </w:tcPr>
          <w:p w14:paraId="7197C358">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bookmarkStart w:id="95" w:name="_39.1"/>
            <w:bookmarkEnd w:id="95"/>
            <w:r>
              <w:rPr>
                <w:rFonts w:hint="eastAsia" w:ascii="宋体" w:hAnsi="宋体" w:eastAsia="宋体" w:cs="宋体"/>
                <w:color w:val="000000" w:themeColor="text1"/>
                <w:sz w:val="28"/>
                <w:szCs w:val="28"/>
                <w:highlight w:val="none"/>
                <w14:textFill>
                  <w14:solidFill>
                    <w14:schemeClr w14:val="tx1"/>
                  </w14:solidFill>
                </w14:textFill>
              </w:rPr>
              <w:t>履约保证金金额</w:t>
            </w:r>
          </w:p>
        </w:tc>
        <w:tc>
          <w:tcPr>
            <w:tcW w:w="7297" w:type="dxa"/>
            <w:tcBorders>
              <w:top w:val="single" w:color="auto" w:sz="4" w:space="0"/>
              <w:left w:val="single" w:color="auto" w:sz="4" w:space="0"/>
              <w:bottom w:val="single" w:color="auto" w:sz="4" w:space="0"/>
              <w:right w:val="single" w:color="auto" w:sz="4" w:space="0"/>
            </w:tcBorders>
            <w:vAlign w:val="bottom"/>
          </w:tcPr>
          <w:p w14:paraId="68D54EAB">
            <w:pPr>
              <w:keepNext w:val="0"/>
              <w:keepLines w:val="0"/>
              <w:pageBreakBefore w:val="0"/>
              <w:kinsoku/>
              <w:wordWrap/>
              <w:overflowPunct/>
              <w:topLinePunct w:val="0"/>
              <w:autoSpaceDE w:val="0"/>
              <w:autoSpaceDN w:val="0"/>
              <w:bidi w:val="0"/>
              <w:adjustRightInd/>
              <w:snapToGrid/>
              <w:spacing w:line="560" w:lineRule="exact"/>
              <w:jc w:val="left"/>
              <w:textAlignment w:val="bottom"/>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w:t>
            </w:r>
          </w:p>
        </w:tc>
      </w:tr>
      <w:tr w14:paraId="4BC310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14:paraId="69384416">
            <w:pPr>
              <w:keepNext w:val="0"/>
              <w:keepLines w:val="0"/>
              <w:pageBreakBefore w:val="0"/>
              <w:kinsoku/>
              <w:wordWrap/>
              <w:overflowPunct/>
              <w:topLinePunct w:val="0"/>
              <w:bidi w:val="0"/>
              <w:adjustRightInd/>
              <w:snapToGrid/>
              <w:spacing w:line="560" w:lineRule="exact"/>
              <w:jc w:val="center"/>
              <w:rPr>
                <w:rFonts w:hint="default"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cs="宋体"/>
                <w:color w:val="000000" w:themeColor="text1"/>
                <w:sz w:val="28"/>
                <w:szCs w:val="28"/>
                <w:highlight w:val="none"/>
                <w:lang w:val="en-US" w:eastAsia="zh-CN"/>
                <w14:textFill>
                  <w14:solidFill>
                    <w14:schemeClr w14:val="tx1"/>
                  </w14:solidFill>
                </w14:textFill>
              </w:rPr>
              <w:t>22</w:t>
            </w:r>
          </w:p>
        </w:tc>
        <w:tc>
          <w:tcPr>
            <w:tcW w:w="2239" w:type="dxa"/>
            <w:tcBorders>
              <w:top w:val="single" w:color="auto" w:sz="4" w:space="0"/>
              <w:left w:val="single" w:color="auto" w:sz="4" w:space="0"/>
              <w:bottom w:val="single" w:color="auto" w:sz="4" w:space="0"/>
              <w:right w:val="single" w:color="auto" w:sz="4" w:space="0"/>
            </w:tcBorders>
            <w:vAlign w:val="center"/>
          </w:tcPr>
          <w:p w14:paraId="1ECC93DB">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bookmarkStart w:id="96" w:name="_40.1"/>
            <w:bookmarkEnd w:id="96"/>
            <w:r>
              <w:rPr>
                <w:rFonts w:hint="eastAsia" w:ascii="宋体" w:hAnsi="宋体" w:eastAsia="宋体" w:cs="宋体"/>
                <w:color w:val="000000" w:themeColor="text1"/>
                <w:sz w:val="28"/>
                <w:szCs w:val="28"/>
                <w:highlight w:val="none"/>
                <w14:textFill>
                  <w14:solidFill>
                    <w14:schemeClr w14:val="tx1"/>
                  </w14:solidFill>
                </w14:textFill>
              </w:rPr>
              <w:t>签订电子合同携带的材料</w:t>
            </w:r>
          </w:p>
        </w:tc>
        <w:tc>
          <w:tcPr>
            <w:tcW w:w="7297" w:type="dxa"/>
            <w:tcBorders>
              <w:top w:val="single" w:color="auto" w:sz="4" w:space="0"/>
              <w:left w:val="single" w:color="auto" w:sz="4" w:space="0"/>
              <w:bottom w:val="single" w:color="auto" w:sz="4" w:space="0"/>
              <w:right w:val="single" w:color="auto" w:sz="4" w:space="0"/>
            </w:tcBorders>
            <w:vAlign w:val="center"/>
          </w:tcPr>
          <w:p w14:paraId="174C572F">
            <w:pPr>
              <w:keepNext w:val="0"/>
              <w:keepLines w:val="0"/>
              <w:pageBreakBefore w:val="0"/>
              <w:kinsoku/>
              <w:wordWrap/>
              <w:overflowPunct/>
              <w:topLinePunct w:val="0"/>
              <w:autoSpaceDE w:val="0"/>
              <w:autoSpaceDN w:val="0"/>
              <w:bidi w:val="0"/>
              <w:adjustRightInd/>
              <w:snapToGrid/>
              <w:spacing w:line="560" w:lineRule="exact"/>
              <w:textAlignment w:val="bottom"/>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电子采购合同需要供应商通过有效CA证书进行电子签名与签章</w:t>
            </w:r>
          </w:p>
        </w:tc>
      </w:tr>
      <w:tr w14:paraId="13E7FB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993" w:type="dxa"/>
            <w:vMerge w:val="restart"/>
            <w:tcBorders>
              <w:top w:val="single" w:color="auto" w:sz="4" w:space="0"/>
              <w:left w:val="single" w:color="auto" w:sz="4" w:space="0"/>
              <w:bottom w:val="single" w:color="auto" w:sz="4" w:space="0"/>
              <w:right w:val="single" w:color="auto" w:sz="4" w:space="0"/>
            </w:tcBorders>
            <w:vAlign w:val="center"/>
          </w:tcPr>
          <w:p w14:paraId="494AC206">
            <w:pPr>
              <w:keepNext w:val="0"/>
              <w:keepLines w:val="0"/>
              <w:pageBreakBefore w:val="0"/>
              <w:kinsoku/>
              <w:wordWrap/>
              <w:overflowPunct/>
              <w:topLinePunct w:val="0"/>
              <w:bidi w:val="0"/>
              <w:adjustRightInd/>
              <w:snapToGrid/>
              <w:spacing w:line="560" w:lineRule="exact"/>
              <w:jc w:val="center"/>
              <w:rPr>
                <w:rFonts w:hint="default"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cs="宋体"/>
                <w:color w:val="000000" w:themeColor="text1"/>
                <w:sz w:val="28"/>
                <w:szCs w:val="28"/>
                <w:highlight w:val="none"/>
                <w:lang w:val="en-US" w:eastAsia="zh-CN"/>
                <w14:textFill>
                  <w14:solidFill>
                    <w14:schemeClr w14:val="tx1"/>
                  </w14:solidFill>
                </w14:textFill>
              </w:rPr>
              <w:t>23</w:t>
            </w:r>
          </w:p>
        </w:tc>
        <w:tc>
          <w:tcPr>
            <w:tcW w:w="2239" w:type="dxa"/>
            <w:tcBorders>
              <w:top w:val="single" w:color="auto" w:sz="4" w:space="0"/>
              <w:left w:val="single" w:color="auto" w:sz="4" w:space="0"/>
              <w:bottom w:val="single" w:color="auto" w:sz="4" w:space="0"/>
              <w:right w:val="single" w:color="auto" w:sz="4" w:space="0"/>
            </w:tcBorders>
            <w:vAlign w:val="center"/>
          </w:tcPr>
          <w:p w14:paraId="65ED9056">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接收质疑函方式</w:t>
            </w:r>
          </w:p>
        </w:tc>
        <w:tc>
          <w:tcPr>
            <w:tcW w:w="7297" w:type="dxa"/>
            <w:tcBorders>
              <w:top w:val="single" w:color="auto" w:sz="4" w:space="0"/>
              <w:left w:val="single" w:color="auto" w:sz="4" w:space="0"/>
              <w:bottom w:val="single" w:color="auto" w:sz="4" w:space="0"/>
              <w:right w:val="single" w:color="auto" w:sz="4" w:space="0"/>
            </w:tcBorders>
            <w:vAlign w:val="center"/>
          </w:tcPr>
          <w:p w14:paraId="683BD814">
            <w:pPr>
              <w:keepNext w:val="0"/>
              <w:keepLines w:val="0"/>
              <w:pageBreakBefore w:val="0"/>
              <w:kinsoku/>
              <w:wordWrap/>
              <w:overflowPunct/>
              <w:topLinePunct w:val="0"/>
              <w:bidi w:val="0"/>
              <w:adjustRightInd/>
              <w:snapToGrid/>
              <w:spacing w:line="560" w:lineRule="exac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以书面形式提交</w:t>
            </w:r>
            <w:r>
              <w:rPr>
                <w:rFonts w:hint="eastAsia" w:ascii="宋体" w:hAnsi="宋体" w:cs="宋体"/>
                <w:color w:val="000000" w:themeColor="text1"/>
                <w:sz w:val="28"/>
                <w:szCs w:val="28"/>
                <w:highlight w:val="none"/>
                <w:lang w:eastAsia="zh-CN"/>
                <w14:textFill>
                  <w14:solidFill>
                    <w14:schemeClr w14:val="tx1"/>
                  </w14:solidFill>
                </w14:textFill>
              </w:rPr>
              <w:t>，</w:t>
            </w:r>
            <w:r>
              <w:rPr>
                <w:rFonts w:hint="eastAsia" w:ascii="宋体" w:hAnsi="宋体" w:eastAsia="宋体" w:cs="宋体"/>
                <w:color w:val="000000" w:themeColor="text1"/>
                <w:sz w:val="28"/>
                <w:szCs w:val="28"/>
                <w:highlight w:val="none"/>
                <w14:textFill>
                  <w14:solidFill>
                    <w14:schemeClr w14:val="tx1"/>
                  </w14:solidFill>
                </w14:textFill>
              </w:rPr>
              <w:t>供应商应在法定质疑期内一次性提出所有质疑内容。</w:t>
            </w:r>
          </w:p>
        </w:tc>
      </w:tr>
      <w:tr w14:paraId="16682D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993" w:type="dxa"/>
            <w:vMerge w:val="continue"/>
            <w:tcBorders>
              <w:top w:val="single" w:color="auto" w:sz="4" w:space="0"/>
              <w:left w:val="single" w:color="auto" w:sz="4" w:space="0"/>
              <w:bottom w:val="single" w:color="auto" w:sz="4" w:space="0"/>
              <w:right w:val="single" w:color="auto" w:sz="4" w:space="0"/>
            </w:tcBorders>
            <w:vAlign w:val="center"/>
          </w:tcPr>
          <w:p w14:paraId="3C8A4411">
            <w:pPr>
              <w:keepNext w:val="0"/>
              <w:keepLines w:val="0"/>
              <w:pageBreakBefore w:val="0"/>
              <w:widowControl/>
              <w:kinsoku/>
              <w:wordWrap/>
              <w:overflowPunct/>
              <w:topLinePunct w:val="0"/>
              <w:bidi w:val="0"/>
              <w:adjustRightInd/>
              <w:snapToGrid/>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2239" w:type="dxa"/>
            <w:tcBorders>
              <w:top w:val="single" w:color="auto" w:sz="4" w:space="0"/>
              <w:left w:val="single" w:color="auto" w:sz="4" w:space="0"/>
              <w:bottom w:val="single" w:color="auto" w:sz="4" w:space="0"/>
              <w:right w:val="single" w:color="auto" w:sz="4" w:space="0"/>
            </w:tcBorders>
            <w:vAlign w:val="center"/>
          </w:tcPr>
          <w:p w14:paraId="78E92E86">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质疑联系部门及联系方式</w:t>
            </w:r>
          </w:p>
        </w:tc>
        <w:tc>
          <w:tcPr>
            <w:tcW w:w="7297" w:type="dxa"/>
            <w:tcBorders>
              <w:top w:val="single" w:color="auto" w:sz="4" w:space="0"/>
              <w:left w:val="single" w:color="auto" w:sz="4" w:space="0"/>
              <w:bottom w:val="single" w:color="auto" w:sz="4" w:space="0"/>
              <w:right w:val="single" w:color="auto" w:sz="4" w:space="0"/>
            </w:tcBorders>
            <w:vAlign w:val="center"/>
          </w:tcPr>
          <w:p w14:paraId="09FB4B33">
            <w:pPr>
              <w:keepNext w:val="0"/>
              <w:keepLines w:val="0"/>
              <w:pageBreakBefore w:val="0"/>
              <w:kinsoku/>
              <w:wordWrap/>
              <w:overflowPunct/>
              <w:topLinePunct w:val="0"/>
              <w:bidi w:val="0"/>
              <w:adjustRightInd/>
              <w:snapToGrid/>
              <w:spacing w:line="560" w:lineRule="exac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u w:val="single"/>
                <w14:textFill>
                  <w14:solidFill>
                    <w14:schemeClr w14:val="tx1"/>
                  </w14:solidFill>
                </w14:textFill>
              </w:rPr>
              <w:t>（1）</w:t>
            </w:r>
            <w:r>
              <w:rPr>
                <w:rFonts w:hint="eastAsia" w:ascii="宋体" w:hAnsi="宋体" w:cs="宋体"/>
                <w:color w:val="000000" w:themeColor="text1"/>
                <w:sz w:val="28"/>
                <w:szCs w:val="28"/>
                <w:highlight w:val="none"/>
                <w:u w:val="single"/>
                <w:lang w:eastAsia="zh-CN"/>
                <w14:textFill>
                  <w14:solidFill>
                    <w14:schemeClr w14:val="tx1"/>
                  </w14:solidFill>
                </w14:textFill>
              </w:rPr>
              <w:t>新疆诚誉工程项目管理有限公司</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w:t>
            </w:r>
          </w:p>
          <w:p w14:paraId="65B39C44">
            <w:pPr>
              <w:keepNext w:val="0"/>
              <w:keepLines w:val="0"/>
              <w:pageBreakBefore w:val="0"/>
              <w:kinsoku/>
              <w:wordWrap/>
              <w:overflowPunct/>
              <w:topLinePunct w:val="0"/>
              <w:bidi w:val="0"/>
              <w:adjustRightInd/>
              <w:snapToGrid/>
              <w:spacing w:line="560" w:lineRule="exact"/>
              <w:rPr>
                <w:rFonts w:hint="default" w:ascii="宋体" w:hAnsi="宋体" w:cs="宋体"/>
                <w:color w:val="000000" w:themeColor="text1"/>
                <w:sz w:val="28"/>
                <w:szCs w:val="28"/>
                <w:highlight w:val="none"/>
                <w:u w:val="single"/>
                <w:lang w:val="en-US" w:eastAsia="zh-CN"/>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联系电话：</w:t>
            </w:r>
            <w:r>
              <w:rPr>
                <w:rFonts w:hint="eastAsia" w:ascii="宋体" w:hAnsi="宋体" w:cs="宋体"/>
                <w:color w:val="000000" w:themeColor="text1"/>
                <w:sz w:val="28"/>
                <w:szCs w:val="28"/>
                <w:highlight w:val="none"/>
                <w:u w:val="single"/>
                <w:lang w:val="en-US" w:eastAsia="zh-CN"/>
                <w14:textFill>
                  <w14:solidFill>
                    <w14:schemeClr w14:val="tx1"/>
                  </w14:solidFill>
                </w14:textFill>
              </w:rPr>
              <w:t>0902-2307055</w:t>
            </w:r>
          </w:p>
          <w:p w14:paraId="1F6F1F93">
            <w:pPr>
              <w:keepNext w:val="0"/>
              <w:keepLines w:val="0"/>
              <w:pageBreakBefore w:val="0"/>
              <w:kinsoku/>
              <w:wordWrap/>
              <w:overflowPunct/>
              <w:topLinePunct w:val="0"/>
              <w:bidi w:val="0"/>
              <w:adjustRightInd/>
              <w:snapToGrid/>
              <w:spacing w:line="560" w:lineRule="exact"/>
              <w:rPr>
                <w:rFonts w:hint="eastAsia" w:ascii="宋体" w:hAnsi="宋体" w:eastAsia="宋体" w:cs="宋体"/>
                <w:color w:val="000000" w:themeColor="text1"/>
                <w:sz w:val="18"/>
                <w:szCs w:val="18"/>
                <w:highlight w:val="none"/>
                <w:lang w:eastAsia="zh-CN"/>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通讯地址：</w:t>
            </w:r>
            <w:r>
              <w:rPr>
                <w:rFonts w:hint="eastAsia" w:ascii="宋体" w:hAnsi="宋体" w:cs="宋体"/>
                <w:color w:val="000000" w:themeColor="text1"/>
                <w:sz w:val="28"/>
                <w:szCs w:val="28"/>
                <w:highlight w:val="none"/>
                <w:u w:val="single"/>
                <w:lang w:eastAsia="zh-CN"/>
                <w14:textFill>
                  <w14:solidFill>
                    <w14:schemeClr w14:val="tx1"/>
                  </w14:solidFill>
                </w14:textFill>
              </w:rPr>
              <w:t>乌鲁木齐市会展大道599号新疆财富中心C座6楼601室</w:t>
            </w:r>
          </w:p>
          <w:p w14:paraId="3C1F63AB">
            <w:pPr>
              <w:keepNext w:val="0"/>
              <w:keepLines w:val="0"/>
              <w:pageBreakBefore w:val="0"/>
              <w:kinsoku/>
              <w:wordWrap/>
              <w:overflowPunct/>
              <w:topLinePunct w:val="0"/>
              <w:bidi w:val="0"/>
              <w:adjustRightInd/>
              <w:snapToGrid/>
              <w:spacing w:line="560" w:lineRule="exac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u w:val="single"/>
                <w14:textFill>
                  <w14:solidFill>
                    <w14:schemeClr w14:val="tx1"/>
                  </w14:solidFill>
                </w14:textFill>
              </w:rPr>
              <w:t>（2）</w:t>
            </w:r>
            <w:r>
              <w:rPr>
                <w:rFonts w:hint="eastAsia" w:ascii="宋体" w:hAnsi="宋体" w:cs="宋体"/>
                <w:color w:val="000000" w:themeColor="text1"/>
                <w:sz w:val="28"/>
                <w:szCs w:val="28"/>
                <w:highlight w:val="none"/>
                <w:u w:val="single"/>
                <w:lang w:eastAsia="zh-CN"/>
                <w14:textFill>
                  <w14:solidFill>
                    <w14:schemeClr w14:val="tx1"/>
                  </w14:solidFill>
                </w14:textFill>
              </w:rPr>
              <w:t xml:space="preserve">哈密市中心医院  </w:t>
            </w:r>
            <w:r>
              <w:rPr>
                <w:rFonts w:hint="eastAsia" w:ascii="宋体" w:hAnsi="宋体" w:eastAsia="宋体" w:cs="宋体"/>
                <w:color w:val="000000" w:themeColor="text1"/>
                <w:sz w:val="28"/>
                <w:szCs w:val="28"/>
                <w:highlight w:val="none"/>
                <w:u w:val="single"/>
                <w:lang w:eastAsia="zh-CN"/>
                <w14:textFill>
                  <w14:solidFill>
                    <w14:schemeClr w14:val="tx1"/>
                  </w14:solidFill>
                </w14:textFill>
              </w:rPr>
              <w:t xml:space="preserve"> </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w:t>
            </w:r>
          </w:p>
          <w:p w14:paraId="0D43AAD9">
            <w:pPr>
              <w:keepNext w:val="0"/>
              <w:keepLines w:val="0"/>
              <w:pageBreakBefore w:val="0"/>
              <w:kinsoku/>
              <w:wordWrap/>
              <w:overflowPunct/>
              <w:topLinePunct w:val="0"/>
              <w:bidi w:val="0"/>
              <w:adjustRightInd/>
              <w:snapToGrid/>
              <w:spacing w:line="560" w:lineRule="exact"/>
              <w:rPr>
                <w:rFonts w:hint="eastAsia" w:ascii="宋体" w:hAnsi="宋体" w:eastAsia="宋体" w:cs="宋体"/>
                <w:color w:val="000000" w:themeColor="text1"/>
                <w:sz w:val="28"/>
                <w:szCs w:val="28"/>
                <w:highlight w:val="none"/>
                <w:lang w:eastAsia="zh-CN"/>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联系电话：</w:t>
            </w:r>
            <w:r>
              <w:rPr>
                <w:rFonts w:hint="eastAsia" w:ascii="宋体" w:hAnsi="宋体" w:eastAsia="宋体" w:cs="宋体"/>
                <w:color w:val="000000" w:themeColor="text1"/>
                <w:sz w:val="28"/>
                <w:szCs w:val="28"/>
                <w:highlight w:val="none"/>
                <w:u w:val="single"/>
                <w14:textFill>
                  <w14:solidFill>
                    <w14:schemeClr w14:val="tx1"/>
                  </w14:solidFill>
                </w14:textFill>
              </w:rPr>
              <w:t>0902-2260357</w:t>
            </w:r>
          </w:p>
          <w:p w14:paraId="17506625">
            <w:pPr>
              <w:keepNext w:val="0"/>
              <w:keepLines w:val="0"/>
              <w:pageBreakBefore w:val="0"/>
              <w:kinsoku/>
              <w:wordWrap/>
              <w:overflowPunct/>
              <w:topLinePunct w:val="0"/>
              <w:bidi w:val="0"/>
              <w:adjustRightInd/>
              <w:snapToGrid/>
              <w:spacing w:line="560" w:lineRule="exact"/>
              <w:rPr>
                <w:rFonts w:hint="eastAsia" w:ascii="宋体" w:hAnsi="宋体" w:eastAsia="宋体" w:cs="宋体"/>
                <w:color w:val="000000" w:themeColor="text1"/>
                <w:sz w:val="28"/>
                <w:szCs w:val="28"/>
                <w:highlight w:val="none"/>
                <w:lang w:eastAsia="zh-CN"/>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通讯地址：</w:t>
            </w:r>
            <w:r>
              <w:rPr>
                <w:rFonts w:hint="eastAsia" w:ascii="宋体" w:hAnsi="宋体" w:cs="宋体"/>
                <w:color w:val="000000" w:themeColor="text1"/>
                <w:sz w:val="28"/>
                <w:szCs w:val="28"/>
                <w:highlight w:val="none"/>
                <w:u w:val="single"/>
                <w:lang w:eastAsia="zh-CN"/>
                <w14:textFill>
                  <w14:solidFill>
                    <w14:schemeClr w14:val="tx1"/>
                  </w14:solidFill>
                </w14:textFill>
              </w:rPr>
              <w:t>哈密市伊州区广场北路18号</w:t>
            </w:r>
          </w:p>
        </w:tc>
      </w:tr>
      <w:tr w14:paraId="67D413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993" w:type="dxa"/>
            <w:vMerge w:val="continue"/>
            <w:tcBorders>
              <w:top w:val="single" w:color="auto" w:sz="4" w:space="0"/>
              <w:left w:val="single" w:color="auto" w:sz="4" w:space="0"/>
              <w:bottom w:val="single" w:color="auto" w:sz="4" w:space="0"/>
              <w:right w:val="single" w:color="auto" w:sz="4" w:space="0"/>
            </w:tcBorders>
            <w:vAlign w:val="center"/>
          </w:tcPr>
          <w:p w14:paraId="01653FDF">
            <w:pPr>
              <w:keepNext w:val="0"/>
              <w:keepLines w:val="0"/>
              <w:pageBreakBefore w:val="0"/>
              <w:widowControl/>
              <w:kinsoku/>
              <w:wordWrap/>
              <w:overflowPunct/>
              <w:topLinePunct w:val="0"/>
              <w:bidi w:val="0"/>
              <w:adjustRightInd/>
              <w:snapToGrid/>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2239" w:type="dxa"/>
            <w:tcBorders>
              <w:top w:val="single" w:color="auto" w:sz="4" w:space="0"/>
              <w:left w:val="single" w:color="auto" w:sz="4" w:space="0"/>
              <w:bottom w:val="single" w:color="auto" w:sz="4" w:space="0"/>
              <w:right w:val="single" w:color="auto" w:sz="4" w:space="0"/>
            </w:tcBorders>
            <w:vAlign w:val="center"/>
          </w:tcPr>
          <w:p w14:paraId="10A3F47B">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现场提交质疑办理业务时间</w:t>
            </w:r>
          </w:p>
        </w:tc>
        <w:tc>
          <w:tcPr>
            <w:tcW w:w="7297" w:type="dxa"/>
            <w:tcBorders>
              <w:top w:val="single" w:color="auto" w:sz="4" w:space="0"/>
              <w:left w:val="single" w:color="auto" w:sz="4" w:space="0"/>
              <w:bottom w:val="single" w:color="auto" w:sz="4" w:space="0"/>
              <w:right w:val="single" w:color="auto" w:sz="4" w:space="0"/>
            </w:tcBorders>
            <w:vAlign w:val="center"/>
          </w:tcPr>
          <w:p w14:paraId="1F817F05">
            <w:pPr>
              <w:keepNext w:val="0"/>
              <w:keepLines w:val="0"/>
              <w:pageBreakBefore w:val="0"/>
              <w:kinsoku/>
              <w:wordWrap/>
              <w:overflowPunct/>
              <w:topLinePunct w:val="0"/>
              <w:bidi w:val="0"/>
              <w:adjustRightInd/>
              <w:snapToGrid/>
              <w:spacing w:line="560" w:lineRule="exac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质疑期内每个工作日</w:t>
            </w:r>
            <w:r>
              <w:rPr>
                <w:rFonts w:hint="eastAsia" w:ascii="宋体" w:hAnsi="宋体" w:eastAsia="宋体" w:cs="宋体"/>
                <w:color w:val="000000" w:themeColor="text1"/>
                <w:sz w:val="28"/>
                <w:szCs w:val="28"/>
                <w:highlight w:val="none"/>
                <w:u w:val="single"/>
                <w14:textFill>
                  <w14:solidFill>
                    <w14:schemeClr w14:val="tx1"/>
                  </w14:solidFill>
                </w14:textFill>
              </w:rPr>
              <w:t>09</w:t>
            </w:r>
            <w:r>
              <w:rPr>
                <w:rFonts w:hint="eastAsia" w:ascii="宋体" w:hAnsi="宋体" w:eastAsia="宋体" w:cs="宋体"/>
                <w:color w:val="000000" w:themeColor="text1"/>
                <w:sz w:val="28"/>
                <w:szCs w:val="28"/>
                <w:highlight w:val="none"/>
                <w14:textFill>
                  <w14:solidFill>
                    <w14:schemeClr w14:val="tx1"/>
                  </w14:solidFill>
                </w14:textFill>
              </w:rPr>
              <w:t>时</w:t>
            </w:r>
            <w:r>
              <w:rPr>
                <w:rFonts w:hint="eastAsia" w:ascii="宋体" w:hAnsi="宋体" w:eastAsia="宋体" w:cs="宋体"/>
                <w:color w:val="000000" w:themeColor="text1"/>
                <w:sz w:val="28"/>
                <w:szCs w:val="28"/>
                <w:highlight w:val="none"/>
                <w:u w:val="single"/>
                <w14:textFill>
                  <w14:solidFill>
                    <w14:schemeClr w14:val="tx1"/>
                  </w14:solidFill>
                </w14:textFill>
              </w:rPr>
              <w:t xml:space="preserve"> 30 </w:t>
            </w:r>
            <w:r>
              <w:rPr>
                <w:rFonts w:hint="eastAsia" w:ascii="宋体" w:hAnsi="宋体" w:eastAsia="宋体" w:cs="宋体"/>
                <w:color w:val="000000" w:themeColor="text1"/>
                <w:sz w:val="28"/>
                <w:szCs w:val="28"/>
                <w:highlight w:val="none"/>
                <w14:textFill>
                  <w14:solidFill>
                    <w14:schemeClr w14:val="tx1"/>
                  </w14:solidFill>
                </w14:textFill>
              </w:rPr>
              <w:t>分到</w:t>
            </w:r>
            <w:r>
              <w:rPr>
                <w:rFonts w:hint="eastAsia" w:ascii="宋体" w:hAnsi="宋体" w:eastAsia="宋体" w:cs="宋体"/>
                <w:color w:val="000000" w:themeColor="text1"/>
                <w:sz w:val="28"/>
                <w:szCs w:val="28"/>
                <w:highlight w:val="none"/>
                <w:u w:val="single"/>
                <w14:textFill>
                  <w14:solidFill>
                    <w14:schemeClr w14:val="tx1"/>
                  </w14:solidFill>
                </w14:textFill>
              </w:rPr>
              <w:t xml:space="preserve"> 13  </w:t>
            </w:r>
            <w:r>
              <w:rPr>
                <w:rFonts w:hint="eastAsia" w:ascii="宋体" w:hAnsi="宋体" w:eastAsia="宋体" w:cs="宋体"/>
                <w:color w:val="000000" w:themeColor="text1"/>
                <w:sz w:val="28"/>
                <w:szCs w:val="28"/>
                <w:highlight w:val="none"/>
                <w14:textFill>
                  <w14:solidFill>
                    <w14:schemeClr w14:val="tx1"/>
                  </w14:solidFill>
                </w14:textFill>
              </w:rPr>
              <w:t>时</w:t>
            </w:r>
            <w:r>
              <w:rPr>
                <w:rFonts w:hint="eastAsia" w:ascii="宋体" w:hAnsi="宋体" w:eastAsia="宋体" w:cs="宋体"/>
                <w:color w:val="000000" w:themeColor="text1"/>
                <w:sz w:val="28"/>
                <w:szCs w:val="28"/>
                <w:highlight w:val="none"/>
                <w:u w:val="single"/>
                <w14:textFill>
                  <w14:solidFill>
                    <w14:schemeClr w14:val="tx1"/>
                  </w14:solidFill>
                </w14:textFill>
              </w:rPr>
              <w:t xml:space="preserve">  30 </w:t>
            </w:r>
            <w:r>
              <w:rPr>
                <w:rFonts w:hint="eastAsia" w:ascii="宋体" w:hAnsi="宋体" w:eastAsia="宋体" w:cs="宋体"/>
                <w:color w:val="000000" w:themeColor="text1"/>
                <w:sz w:val="28"/>
                <w:szCs w:val="28"/>
                <w:highlight w:val="none"/>
                <w14:textFill>
                  <w14:solidFill>
                    <w14:schemeClr w14:val="tx1"/>
                  </w14:solidFill>
                </w14:textFill>
              </w:rPr>
              <w:t>分，</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r>
              <w:rPr>
                <w:rFonts w:hint="eastAsia" w:ascii="宋体" w:hAnsi="宋体" w:cs="宋体"/>
                <w:color w:val="000000" w:themeColor="text1"/>
                <w:sz w:val="28"/>
                <w:szCs w:val="28"/>
                <w:highlight w:val="none"/>
                <w:u w:val="single"/>
                <w:lang w:val="en-US" w:eastAsia="zh-CN"/>
                <w14:textFill>
                  <w14:solidFill>
                    <w14:schemeClr w14:val="tx1"/>
                  </w14:solidFill>
                </w14:textFill>
              </w:rPr>
              <w:t>16</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时</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r>
              <w:rPr>
                <w:rFonts w:hint="eastAsia" w:ascii="宋体" w:hAnsi="宋体" w:cs="宋体"/>
                <w:color w:val="000000" w:themeColor="text1"/>
                <w:sz w:val="28"/>
                <w:szCs w:val="28"/>
                <w:highlight w:val="none"/>
                <w:u w:val="single"/>
                <w:lang w:val="en-US" w:eastAsia="zh-CN"/>
                <w14:textFill>
                  <w14:solidFill>
                    <w14:schemeClr w14:val="tx1"/>
                  </w14:solidFill>
                </w14:textFill>
              </w:rPr>
              <w:t>00</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分到</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r>
              <w:rPr>
                <w:rFonts w:hint="eastAsia" w:ascii="宋体" w:hAnsi="宋体" w:cs="宋体"/>
                <w:color w:val="000000" w:themeColor="text1"/>
                <w:sz w:val="28"/>
                <w:szCs w:val="28"/>
                <w:highlight w:val="none"/>
                <w:u w:val="single"/>
                <w:lang w:val="en-US" w:eastAsia="zh-CN"/>
                <w14:textFill>
                  <w14:solidFill>
                    <w14:schemeClr w14:val="tx1"/>
                  </w14:solidFill>
                </w14:textFill>
              </w:rPr>
              <w:t>20</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时</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r>
              <w:rPr>
                <w:rFonts w:hint="eastAsia" w:ascii="宋体" w:hAnsi="宋体" w:cs="宋体"/>
                <w:color w:val="000000" w:themeColor="text1"/>
                <w:sz w:val="28"/>
                <w:szCs w:val="28"/>
                <w:highlight w:val="none"/>
                <w:u w:val="single"/>
                <w:lang w:val="en-US" w:eastAsia="zh-CN"/>
                <w14:textFill>
                  <w14:solidFill>
                    <w14:schemeClr w14:val="tx1"/>
                  </w14:solidFill>
                </w14:textFill>
              </w:rPr>
              <w:t>00</w:t>
            </w:r>
            <w:r>
              <w:rPr>
                <w:rFonts w:hint="eastAsia" w:ascii="宋体" w:hAnsi="宋体" w:eastAsia="宋体" w:cs="宋体"/>
                <w:color w:val="000000" w:themeColor="text1"/>
                <w:sz w:val="28"/>
                <w:szCs w:val="28"/>
                <w:highlight w:val="none"/>
                <w14:textFill>
                  <w14:solidFill>
                    <w14:schemeClr w14:val="tx1"/>
                  </w14:solidFill>
                </w14:textFill>
              </w:rPr>
              <w:t>分</w:t>
            </w:r>
          </w:p>
        </w:tc>
      </w:tr>
      <w:tr w14:paraId="6B5227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993" w:type="dxa"/>
            <w:tcBorders>
              <w:top w:val="nil"/>
              <w:left w:val="single" w:color="auto" w:sz="4" w:space="0"/>
              <w:bottom w:val="single" w:color="auto" w:sz="4" w:space="0"/>
              <w:right w:val="single" w:color="auto" w:sz="4" w:space="0"/>
            </w:tcBorders>
            <w:vAlign w:val="center"/>
          </w:tcPr>
          <w:p w14:paraId="12F8EEB1">
            <w:pPr>
              <w:keepNext w:val="0"/>
              <w:keepLines w:val="0"/>
              <w:pageBreakBefore w:val="0"/>
              <w:kinsoku/>
              <w:wordWrap/>
              <w:overflowPunct/>
              <w:topLinePunct w:val="0"/>
              <w:bidi w:val="0"/>
              <w:adjustRightInd/>
              <w:snapToGrid/>
              <w:spacing w:line="560" w:lineRule="exact"/>
              <w:jc w:val="center"/>
              <w:rPr>
                <w:rFonts w:hint="default"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cs="宋体"/>
                <w:color w:val="000000" w:themeColor="text1"/>
                <w:sz w:val="28"/>
                <w:szCs w:val="28"/>
                <w:highlight w:val="none"/>
                <w:lang w:val="en-US" w:eastAsia="zh-CN"/>
                <w14:textFill>
                  <w14:solidFill>
                    <w14:schemeClr w14:val="tx1"/>
                  </w14:solidFill>
                </w14:textFill>
              </w:rPr>
              <w:t>24</w:t>
            </w:r>
          </w:p>
        </w:tc>
        <w:tc>
          <w:tcPr>
            <w:tcW w:w="2239" w:type="dxa"/>
            <w:tcBorders>
              <w:top w:val="single" w:color="auto" w:sz="4" w:space="0"/>
              <w:left w:val="single" w:color="auto" w:sz="4" w:space="0"/>
              <w:bottom w:val="single" w:color="auto" w:sz="4" w:space="0"/>
              <w:right w:val="single" w:color="auto" w:sz="4" w:space="0"/>
            </w:tcBorders>
            <w:vAlign w:val="center"/>
          </w:tcPr>
          <w:p w14:paraId="0EA67F7F">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投诉受理方式</w:t>
            </w:r>
          </w:p>
        </w:tc>
        <w:tc>
          <w:tcPr>
            <w:tcW w:w="7297" w:type="dxa"/>
            <w:tcBorders>
              <w:top w:val="single" w:color="auto" w:sz="4" w:space="0"/>
              <w:left w:val="single" w:color="auto" w:sz="4" w:space="0"/>
              <w:bottom w:val="single" w:color="auto" w:sz="4" w:space="0"/>
              <w:right w:val="single" w:color="auto" w:sz="4" w:space="0"/>
            </w:tcBorders>
            <w:vAlign w:val="center"/>
          </w:tcPr>
          <w:p w14:paraId="2A074D51">
            <w:pPr>
              <w:keepNext w:val="0"/>
              <w:keepLines w:val="0"/>
              <w:pageBreakBefore w:val="0"/>
              <w:kinsoku/>
              <w:wordWrap/>
              <w:overflowPunct/>
              <w:topLinePunct w:val="0"/>
              <w:bidi w:val="0"/>
              <w:adjustRightInd/>
              <w:snapToGrid/>
              <w:spacing w:line="560" w:lineRule="exac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受理方式：纸质方式受理，投诉书正、副本（经过质疑的事项才可投诉）。</w:t>
            </w:r>
            <w:bookmarkStart w:id="97" w:name="PO_3000001867_PM038"/>
            <w:r>
              <w:rPr>
                <w:rFonts w:hint="eastAsia" w:ascii="宋体" w:hAnsi="宋体" w:eastAsia="宋体" w:cs="宋体"/>
                <w:color w:val="000000" w:themeColor="text1"/>
                <w:sz w:val="28"/>
                <w:szCs w:val="28"/>
                <w:highlight w:val="none"/>
                <w14:textFill>
                  <w14:solidFill>
                    <w14:schemeClr w14:val="tx1"/>
                  </w14:solidFill>
                </w14:textFill>
              </w:rPr>
              <w:t xml:space="preserve"> </w:t>
            </w:r>
            <w:bookmarkEnd w:id="97"/>
          </w:p>
        </w:tc>
      </w:tr>
      <w:tr w14:paraId="3A3FF5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42" w:hRule="atLeast"/>
        </w:trPr>
        <w:tc>
          <w:tcPr>
            <w:tcW w:w="993" w:type="dxa"/>
            <w:vMerge w:val="restart"/>
            <w:tcBorders>
              <w:top w:val="single" w:color="auto" w:sz="4" w:space="0"/>
              <w:left w:val="single" w:color="auto" w:sz="4" w:space="0"/>
              <w:bottom w:val="single" w:color="auto" w:sz="4" w:space="0"/>
              <w:right w:val="single" w:color="auto" w:sz="4" w:space="0"/>
            </w:tcBorders>
            <w:vAlign w:val="center"/>
          </w:tcPr>
          <w:p w14:paraId="76CF07B8">
            <w:pPr>
              <w:keepNext w:val="0"/>
              <w:keepLines w:val="0"/>
              <w:pageBreakBefore w:val="0"/>
              <w:kinsoku/>
              <w:wordWrap/>
              <w:overflowPunct/>
              <w:topLinePunct w:val="0"/>
              <w:bidi w:val="0"/>
              <w:adjustRightInd/>
              <w:snapToGrid/>
              <w:spacing w:line="560" w:lineRule="exact"/>
              <w:jc w:val="center"/>
              <w:rPr>
                <w:rFonts w:hint="default"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cs="宋体"/>
                <w:color w:val="000000" w:themeColor="text1"/>
                <w:sz w:val="28"/>
                <w:szCs w:val="28"/>
                <w:highlight w:val="none"/>
                <w:lang w:val="en-US" w:eastAsia="zh-CN"/>
                <w14:textFill>
                  <w14:solidFill>
                    <w14:schemeClr w14:val="tx1"/>
                  </w14:solidFill>
                </w14:textFill>
              </w:rPr>
              <w:t>25</w:t>
            </w:r>
          </w:p>
        </w:tc>
        <w:tc>
          <w:tcPr>
            <w:tcW w:w="2239" w:type="dxa"/>
            <w:tcBorders>
              <w:top w:val="single" w:color="auto" w:sz="4" w:space="0"/>
              <w:left w:val="single" w:color="auto" w:sz="4" w:space="0"/>
              <w:bottom w:val="single" w:color="auto" w:sz="4" w:space="0"/>
              <w:right w:val="single" w:color="auto" w:sz="4" w:space="0"/>
            </w:tcBorders>
            <w:vAlign w:val="center"/>
          </w:tcPr>
          <w:p w14:paraId="711FF5AE">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bookmarkStart w:id="98" w:name="_41"/>
            <w:bookmarkEnd w:id="98"/>
            <w:bookmarkStart w:id="99" w:name="_42"/>
            <w:bookmarkEnd w:id="99"/>
            <w:r>
              <w:rPr>
                <w:rFonts w:hint="eastAsia" w:ascii="宋体" w:hAnsi="宋体" w:eastAsia="宋体" w:cs="宋体"/>
                <w:color w:val="000000" w:themeColor="text1"/>
                <w:sz w:val="28"/>
                <w:szCs w:val="28"/>
                <w:highlight w:val="none"/>
                <w14:textFill>
                  <w14:solidFill>
                    <w14:schemeClr w14:val="tx1"/>
                  </w14:solidFill>
                </w14:textFill>
              </w:rPr>
              <w:t>采购代理费支付方式</w:t>
            </w:r>
          </w:p>
        </w:tc>
        <w:tc>
          <w:tcPr>
            <w:tcW w:w="7297" w:type="dxa"/>
            <w:tcBorders>
              <w:top w:val="single" w:color="auto" w:sz="4" w:space="0"/>
              <w:left w:val="single" w:color="auto" w:sz="4" w:space="0"/>
              <w:bottom w:val="single" w:color="auto" w:sz="4" w:space="0"/>
              <w:right w:val="single" w:color="auto" w:sz="4" w:space="0"/>
            </w:tcBorders>
            <w:vAlign w:val="center"/>
          </w:tcPr>
          <w:p w14:paraId="2FD8EF87">
            <w:pPr>
              <w:keepNext w:val="0"/>
              <w:keepLines w:val="0"/>
              <w:pageBreakBefore w:val="0"/>
              <w:kinsoku/>
              <w:wordWrap/>
              <w:overflowPunct/>
              <w:topLinePunct w:val="0"/>
              <w:bidi w:val="0"/>
              <w:adjustRightInd/>
              <w:snapToGrid/>
              <w:spacing w:line="560" w:lineRule="exac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本项目代理费由中标人在领取中标通知书前，一次性向采购代理机构支付。</w:t>
            </w:r>
          </w:p>
        </w:tc>
      </w:tr>
      <w:tr w14:paraId="5B48F1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5" w:hRule="atLeast"/>
        </w:trPr>
        <w:tc>
          <w:tcPr>
            <w:tcW w:w="993" w:type="dxa"/>
            <w:vMerge w:val="continue"/>
            <w:tcBorders>
              <w:top w:val="single" w:color="auto" w:sz="4" w:space="0"/>
              <w:left w:val="single" w:color="auto" w:sz="4" w:space="0"/>
              <w:bottom w:val="single" w:color="auto" w:sz="4" w:space="0"/>
              <w:right w:val="single" w:color="auto" w:sz="4" w:space="0"/>
            </w:tcBorders>
            <w:vAlign w:val="center"/>
          </w:tcPr>
          <w:p w14:paraId="080CF66F">
            <w:pPr>
              <w:keepNext w:val="0"/>
              <w:keepLines w:val="0"/>
              <w:pageBreakBefore w:val="0"/>
              <w:widowControl/>
              <w:kinsoku/>
              <w:wordWrap/>
              <w:overflowPunct/>
              <w:topLinePunct w:val="0"/>
              <w:bidi w:val="0"/>
              <w:adjustRightInd/>
              <w:snapToGrid/>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2239" w:type="dxa"/>
            <w:tcBorders>
              <w:top w:val="single" w:color="auto" w:sz="4" w:space="0"/>
              <w:left w:val="single" w:color="auto" w:sz="4" w:space="0"/>
              <w:bottom w:val="single" w:color="auto" w:sz="4" w:space="0"/>
              <w:right w:val="single" w:color="auto" w:sz="4" w:space="0"/>
            </w:tcBorders>
            <w:vAlign w:val="center"/>
          </w:tcPr>
          <w:p w14:paraId="4EF32AF7">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采购代理费收取</w:t>
            </w:r>
          </w:p>
        </w:tc>
        <w:tc>
          <w:tcPr>
            <w:tcW w:w="7297" w:type="dxa"/>
            <w:tcBorders>
              <w:top w:val="single" w:color="auto" w:sz="4" w:space="0"/>
              <w:left w:val="single" w:color="auto" w:sz="4" w:space="0"/>
              <w:bottom w:val="single" w:color="auto" w:sz="4" w:space="0"/>
              <w:right w:val="single" w:color="auto" w:sz="4" w:space="0"/>
            </w:tcBorders>
            <w:vAlign w:val="center"/>
          </w:tcPr>
          <w:p w14:paraId="26DBB80E">
            <w:pPr>
              <w:keepNext w:val="0"/>
              <w:keepLines w:val="0"/>
              <w:pageBreakBefore w:val="0"/>
              <w:kinsoku/>
              <w:wordWrap/>
              <w:overflowPunct/>
              <w:topLinePunct w:val="0"/>
              <w:bidi w:val="0"/>
              <w:adjustRightInd/>
              <w:snapToGrid/>
              <w:spacing w:line="560" w:lineRule="exact"/>
              <w:rPr>
                <w:rFonts w:hint="eastAsia" w:ascii="宋体" w:hAnsi="宋体" w:eastAsia="宋体" w:cs="宋体"/>
                <w:color w:val="000000" w:themeColor="text1"/>
                <w:sz w:val="28"/>
                <w:szCs w:val="28"/>
                <w:highlight w:val="none"/>
                <w14:textFill>
                  <w14:solidFill>
                    <w14:schemeClr w14:val="tx1"/>
                  </w14:solidFill>
                </w14:textFill>
              </w:rPr>
            </w:pPr>
            <w:r>
              <w:rPr>
                <w:rFonts w:hint="eastAsia"/>
                <w:color w:val="000000" w:themeColor="text1"/>
                <w:kern w:val="2"/>
                <w:sz w:val="28"/>
                <w:szCs w:val="21"/>
                <w:lang w:val="en-US" w:eastAsia="zh-CN"/>
                <w14:textFill>
                  <w14:solidFill>
                    <w14:schemeClr w14:val="tx1"/>
                  </w14:solidFill>
                </w14:textFill>
              </w:rPr>
              <w:t>参照国家发展改革委员会发改价格〔2015〕299号）文件及《招标代理服务收费管理暂行办法》（计价格〔2002〕1980号）标准</w:t>
            </w:r>
            <w:r>
              <w:rPr>
                <w:rFonts w:hint="eastAsia"/>
                <w:b/>
                <w:color w:val="000000" w:themeColor="text1"/>
                <w:kern w:val="2"/>
                <w:sz w:val="28"/>
                <w:szCs w:val="21"/>
                <w:u w:val="single"/>
                <w:lang w:val="en-US" w:eastAsia="zh-CN"/>
                <w14:textFill>
                  <w14:solidFill>
                    <w14:schemeClr w14:val="tx1"/>
                  </w14:solidFill>
                </w14:textFill>
              </w:rPr>
              <w:t xml:space="preserve">  下浮55%  </w:t>
            </w:r>
            <w:r>
              <w:rPr>
                <w:rFonts w:hint="eastAsia"/>
                <w:color w:val="000000" w:themeColor="text1"/>
                <w:kern w:val="2"/>
                <w:sz w:val="28"/>
                <w:szCs w:val="21"/>
                <w:lang w:val="en-US" w:eastAsia="zh-CN"/>
                <w14:textFill>
                  <w14:solidFill>
                    <w14:schemeClr w14:val="tx1"/>
                  </w14:solidFill>
                </w14:textFill>
              </w:rPr>
              <w:t>计取</w:t>
            </w:r>
          </w:p>
        </w:tc>
      </w:tr>
      <w:tr w14:paraId="0C75DA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993" w:type="dxa"/>
            <w:vMerge w:val="continue"/>
            <w:tcBorders>
              <w:top w:val="single" w:color="auto" w:sz="4" w:space="0"/>
              <w:left w:val="single" w:color="auto" w:sz="4" w:space="0"/>
              <w:bottom w:val="single" w:color="auto" w:sz="4" w:space="0"/>
              <w:right w:val="single" w:color="auto" w:sz="4" w:space="0"/>
            </w:tcBorders>
            <w:vAlign w:val="center"/>
          </w:tcPr>
          <w:p w14:paraId="7A92E38D">
            <w:pPr>
              <w:keepNext w:val="0"/>
              <w:keepLines w:val="0"/>
              <w:pageBreakBefore w:val="0"/>
              <w:widowControl/>
              <w:kinsoku/>
              <w:wordWrap/>
              <w:overflowPunct/>
              <w:topLinePunct w:val="0"/>
              <w:bidi w:val="0"/>
              <w:adjustRightInd/>
              <w:snapToGrid/>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2239" w:type="dxa"/>
            <w:tcBorders>
              <w:top w:val="single" w:color="auto" w:sz="4" w:space="0"/>
              <w:left w:val="single" w:color="auto" w:sz="4" w:space="0"/>
              <w:bottom w:val="single" w:color="auto" w:sz="4" w:space="0"/>
              <w:right w:val="single" w:color="auto" w:sz="4" w:space="0"/>
            </w:tcBorders>
            <w:vAlign w:val="center"/>
          </w:tcPr>
          <w:p w14:paraId="43925587">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代理服务费收款账户信息</w:t>
            </w:r>
          </w:p>
        </w:tc>
        <w:tc>
          <w:tcPr>
            <w:tcW w:w="7297" w:type="dxa"/>
            <w:tcBorders>
              <w:top w:val="single" w:color="auto" w:sz="4" w:space="0"/>
              <w:left w:val="single" w:color="auto" w:sz="4" w:space="0"/>
              <w:bottom w:val="single" w:color="auto" w:sz="4" w:space="0"/>
              <w:right w:val="single" w:color="auto" w:sz="4" w:space="0"/>
            </w:tcBorders>
            <w:vAlign w:val="center"/>
          </w:tcPr>
          <w:p w14:paraId="585327EB">
            <w:pPr>
              <w:keepNext w:val="0"/>
              <w:keepLines w:val="0"/>
              <w:pageBreakBefore w:val="0"/>
              <w:kinsoku/>
              <w:wordWrap/>
              <w:overflowPunct/>
              <w:topLinePunct w:val="0"/>
              <w:bidi w:val="0"/>
              <w:adjustRightInd/>
              <w:snapToGrid/>
              <w:spacing w:line="560" w:lineRule="exact"/>
              <w:rPr>
                <w:rFonts w:hint="eastAsia" w:ascii="宋体" w:hAnsi="宋体" w:eastAsia="宋体" w:cs="宋体"/>
                <w:color w:val="000000" w:themeColor="text1"/>
                <w:sz w:val="28"/>
                <w:szCs w:val="28"/>
                <w:highlight w:val="none"/>
                <w:lang w:eastAsia="zh-CN"/>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开户名称：新疆诚誉工程项目管理有限公司哈密分公司</w:t>
            </w:r>
          </w:p>
          <w:p w14:paraId="6ED0DFBA">
            <w:pPr>
              <w:keepNext w:val="0"/>
              <w:keepLines w:val="0"/>
              <w:pageBreakBefore w:val="0"/>
              <w:kinsoku/>
              <w:wordWrap/>
              <w:overflowPunct/>
              <w:topLinePunct w:val="0"/>
              <w:bidi w:val="0"/>
              <w:adjustRightInd/>
              <w:snapToGrid/>
              <w:spacing w:line="560" w:lineRule="exac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开户银行：</w:t>
            </w:r>
            <w:r>
              <w:rPr>
                <w:rFonts w:hint="eastAsia" w:ascii="宋体" w:hAnsi="宋体" w:cs="宋体"/>
                <w:color w:val="000000" w:themeColor="text1"/>
                <w:sz w:val="28"/>
                <w:szCs w:val="28"/>
                <w:highlight w:val="none"/>
                <w:lang w:eastAsia="zh-CN"/>
                <w14:textFill>
                  <w14:solidFill>
                    <w14:schemeClr w14:val="tx1"/>
                  </w14:solidFill>
                </w14:textFill>
              </w:rPr>
              <w:t>中国银行股份有限公司哈密市分行</w:t>
            </w:r>
          </w:p>
          <w:p w14:paraId="1C2BA8E3">
            <w:pPr>
              <w:keepNext w:val="0"/>
              <w:keepLines w:val="0"/>
              <w:pageBreakBefore w:val="0"/>
              <w:kinsoku/>
              <w:wordWrap/>
              <w:overflowPunct/>
              <w:topLinePunct w:val="0"/>
              <w:bidi w:val="0"/>
              <w:adjustRightInd/>
              <w:snapToGrid/>
              <w:spacing w:line="560" w:lineRule="exac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银行账号：</w:t>
            </w:r>
            <w:r>
              <w:rPr>
                <w:rFonts w:hint="eastAsia" w:ascii="宋体" w:hAnsi="宋体" w:cs="宋体"/>
                <w:color w:val="000000" w:themeColor="text1"/>
                <w:sz w:val="28"/>
                <w:szCs w:val="28"/>
                <w:highlight w:val="none"/>
                <w:lang w:eastAsia="zh-CN"/>
                <w14:textFill>
                  <w14:solidFill>
                    <w14:schemeClr w14:val="tx1"/>
                  </w14:solidFill>
                </w14:textFill>
              </w:rPr>
              <w:t>107682200924</w:t>
            </w:r>
          </w:p>
        </w:tc>
      </w:tr>
      <w:tr w14:paraId="384FF9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14:paraId="3AA3A718">
            <w:pPr>
              <w:keepNext w:val="0"/>
              <w:keepLines w:val="0"/>
              <w:pageBreakBefore w:val="0"/>
              <w:kinsoku/>
              <w:wordWrap/>
              <w:overflowPunct/>
              <w:topLinePunct w:val="0"/>
              <w:bidi w:val="0"/>
              <w:adjustRightInd/>
              <w:snapToGrid/>
              <w:spacing w:line="560" w:lineRule="exact"/>
              <w:jc w:val="center"/>
              <w:rPr>
                <w:rFonts w:hint="default"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cs="宋体"/>
                <w:color w:val="000000" w:themeColor="text1"/>
                <w:sz w:val="28"/>
                <w:szCs w:val="28"/>
                <w:highlight w:val="none"/>
                <w:lang w:val="en-US" w:eastAsia="zh-CN"/>
                <w14:textFill>
                  <w14:solidFill>
                    <w14:schemeClr w14:val="tx1"/>
                  </w14:solidFill>
                </w14:textFill>
              </w:rPr>
              <w:t>26</w:t>
            </w:r>
          </w:p>
        </w:tc>
        <w:tc>
          <w:tcPr>
            <w:tcW w:w="2239" w:type="dxa"/>
            <w:tcBorders>
              <w:top w:val="single" w:color="auto" w:sz="4" w:space="0"/>
              <w:left w:val="single" w:color="auto" w:sz="4" w:space="0"/>
              <w:bottom w:val="single" w:color="auto" w:sz="4" w:space="0"/>
              <w:right w:val="single" w:color="auto" w:sz="4" w:space="0"/>
            </w:tcBorders>
            <w:vAlign w:val="center"/>
          </w:tcPr>
          <w:p w14:paraId="5FD5C431">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t>供货期</w:t>
            </w:r>
          </w:p>
        </w:tc>
        <w:tc>
          <w:tcPr>
            <w:tcW w:w="7297" w:type="dxa"/>
            <w:tcBorders>
              <w:top w:val="single" w:color="auto" w:sz="4" w:space="0"/>
              <w:left w:val="single" w:color="auto" w:sz="4" w:space="0"/>
              <w:bottom w:val="single" w:color="auto" w:sz="4" w:space="0"/>
              <w:right w:val="single" w:color="auto" w:sz="4" w:space="0"/>
            </w:tcBorders>
            <w:vAlign w:val="center"/>
          </w:tcPr>
          <w:p w14:paraId="1719E195">
            <w:pPr>
              <w:keepNext w:val="0"/>
              <w:keepLines w:val="0"/>
              <w:pageBreakBefore w:val="0"/>
              <w:kinsoku/>
              <w:wordWrap/>
              <w:overflowPunct/>
              <w:topLinePunct w:val="0"/>
              <w:bidi w:val="0"/>
              <w:adjustRightInd/>
              <w:snapToGrid/>
              <w:spacing w:line="560" w:lineRule="exact"/>
              <w:rPr>
                <w:rFonts w:hint="default" w:ascii="宋体" w:hAnsi="宋体" w:eastAsia="宋体" w:cs="宋体"/>
                <w:b/>
                <w:bCs/>
                <w:color w:val="000000" w:themeColor="text1"/>
                <w:sz w:val="28"/>
                <w:szCs w:val="28"/>
                <w:highlight w:val="none"/>
                <w:lang w:val="en-US" w:eastAsia="zh-CN"/>
                <w14:textFill>
                  <w14:solidFill>
                    <w14:schemeClr w14:val="tx1"/>
                  </w14:solidFill>
                </w14:textFill>
              </w:rPr>
            </w:pPr>
            <w:r>
              <w:rPr>
                <w:rFonts w:hint="eastAsia" w:ascii="宋体" w:hAnsi="宋体" w:cs="宋体"/>
                <w:b/>
                <w:bCs/>
                <w:color w:val="000000" w:themeColor="text1"/>
                <w:sz w:val="28"/>
                <w:szCs w:val="28"/>
                <w:highlight w:val="none"/>
                <w:lang w:val="en-US" w:eastAsia="zh-CN"/>
                <w14:textFill>
                  <w14:solidFill>
                    <w14:schemeClr w14:val="tx1"/>
                  </w14:solidFill>
                </w14:textFill>
              </w:rPr>
              <w:t>自中标结果公示发布之日起30天。</w:t>
            </w:r>
          </w:p>
        </w:tc>
      </w:tr>
      <w:tr w14:paraId="0267ED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14:paraId="6ECD95CC">
            <w:pPr>
              <w:keepNext w:val="0"/>
              <w:keepLines w:val="0"/>
              <w:pageBreakBefore w:val="0"/>
              <w:kinsoku/>
              <w:wordWrap/>
              <w:overflowPunct/>
              <w:topLinePunct w:val="0"/>
              <w:bidi w:val="0"/>
              <w:adjustRightInd/>
              <w:snapToGrid/>
              <w:spacing w:line="560" w:lineRule="exact"/>
              <w:jc w:val="center"/>
              <w:rPr>
                <w:rFonts w:hint="default"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cs="宋体"/>
                <w:color w:val="000000" w:themeColor="text1"/>
                <w:sz w:val="28"/>
                <w:szCs w:val="28"/>
                <w:highlight w:val="none"/>
                <w:lang w:val="en-US" w:eastAsia="zh-CN"/>
                <w14:textFill>
                  <w14:solidFill>
                    <w14:schemeClr w14:val="tx1"/>
                  </w14:solidFill>
                </w14:textFill>
              </w:rPr>
              <w:t>27</w:t>
            </w:r>
          </w:p>
        </w:tc>
        <w:tc>
          <w:tcPr>
            <w:tcW w:w="2239" w:type="dxa"/>
            <w:tcBorders>
              <w:top w:val="single" w:color="auto" w:sz="4" w:space="0"/>
              <w:left w:val="single" w:color="auto" w:sz="4" w:space="0"/>
              <w:bottom w:val="single" w:color="auto" w:sz="4" w:space="0"/>
              <w:right w:val="single" w:color="auto" w:sz="4" w:space="0"/>
            </w:tcBorders>
            <w:vAlign w:val="center"/>
          </w:tcPr>
          <w:p w14:paraId="187F0FA3">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付款方式</w:t>
            </w:r>
          </w:p>
        </w:tc>
        <w:tc>
          <w:tcPr>
            <w:tcW w:w="7297" w:type="dxa"/>
            <w:tcBorders>
              <w:top w:val="single" w:color="auto" w:sz="4" w:space="0"/>
              <w:left w:val="single" w:color="auto" w:sz="4" w:space="0"/>
              <w:bottom w:val="single" w:color="auto" w:sz="4" w:space="0"/>
              <w:right w:val="single" w:color="auto" w:sz="4" w:space="0"/>
            </w:tcBorders>
            <w:vAlign w:val="center"/>
          </w:tcPr>
          <w:p w14:paraId="08163EA9">
            <w:pPr>
              <w:keepNext w:val="0"/>
              <w:keepLines w:val="0"/>
              <w:pageBreakBefore w:val="0"/>
              <w:kinsoku/>
              <w:wordWrap/>
              <w:overflowPunct/>
              <w:topLinePunct w:val="0"/>
              <w:bidi w:val="0"/>
              <w:adjustRightInd/>
              <w:snapToGrid/>
              <w:spacing w:line="560" w:lineRule="exact"/>
              <w:rPr>
                <w:rFonts w:hint="eastAsia" w:ascii="宋体" w:hAnsi="宋体" w:eastAsia="宋体" w:cs="宋体"/>
                <w:color w:val="000000" w:themeColor="text1"/>
                <w:sz w:val="28"/>
                <w:szCs w:val="28"/>
                <w:highlight w:val="none"/>
                <w:lang w:eastAsia="zh-CN"/>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设备安装验收完成，培训结束后使用满2个月无任何问题支付合同总金额的80%，自验收合格之日起设备使用满1年后无任何问题支付合同总金额的10%，合同内容全部履约完成后支付合同总金额的10%</w:t>
            </w:r>
            <w:r>
              <w:rPr>
                <w:rFonts w:hint="eastAsia" w:ascii="宋体" w:hAnsi="宋体" w:cs="宋体"/>
                <w:color w:val="000000" w:themeColor="text1"/>
                <w:sz w:val="28"/>
                <w:szCs w:val="28"/>
                <w:highlight w:val="none"/>
                <w:lang w:eastAsia="zh-CN"/>
                <w14:textFill>
                  <w14:solidFill>
                    <w14:schemeClr w14:val="tx1"/>
                  </w14:solidFill>
                </w14:textFill>
              </w:rPr>
              <w:t>。</w:t>
            </w:r>
          </w:p>
        </w:tc>
      </w:tr>
      <w:tr w14:paraId="13A482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14:paraId="6BD707CA">
            <w:pPr>
              <w:keepNext w:val="0"/>
              <w:keepLines w:val="0"/>
              <w:pageBreakBefore w:val="0"/>
              <w:kinsoku/>
              <w:wordWrap/>
              <w:overflowPunct/>
              <w:topLinePunct w:val="0"/>
              <w:bidi w:val="0"/>
              <w:adjustRightInd/>
              <w:snapToGrid/>
              <w:spacing w:line="560" w:lineRule="exact"/>
              <w:jc w:val="center"/>
              <w:rPr>
                <w:rFonts w:hint="default"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cs="宋体"/>
                <w:color w:val="000000" w:themeColor="text1"/>
                <w:sz w:val="28"/>
                <w:szCs w:val="28"/>
                <w:highlight w:val="none"/>
                <w:lang w:val="en-US" w:eastAsia="zh-CN"/>
                <w14:textFill>
                  <w14:solidFill>
                    <w14:schemeClr w14:val="tx1"/>
                  </w14:solidFill>
                </w14:textFill>
              </w:rPr>
              <w:t>28</w:t>
            </w:r>
          </w:p>
        </w:tc>
        <w:tc>
          <w:tcPr>
            <w:tcW w:w="2239" w:type="dxa"/>
            <w:tcBorders>
              <w:top w:val="single" w:color="auto" w:sz="4" w:space="0"/>
              <w:left w:val="single" w:color="auto" w:sz="4" w:space="0"/>
              <w:bottom w:val="single" w:color="auto" w:sz="4" w:space="0"/>
              <w:right w:val="single" w:color="auto" w:sz="4" w:space="0"/>
            </w:tcBorders>
            <w:vAlign w:val="center"/>
          </w:tcPr>
          <w:p w14:paraId="134314F1">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t>质保期</w:t>
            </w:r>
          </w:p>
        </w:tc>
        <w:tc>
          <w:tcPr>
            <w:tcW w:w="7297" w:type="dxa"/>
            <w:tcBorders>
              <w:top w:val="single" w:color="auto" w:sz="4" w:space="0"/>
              <w:left w:val="single" w:color="auto" w:sz="4" w:space="0"/>
              <w:bottom w:val="single" w:color="auto" w:sz="4" w:space="0"/>
              <w:right w:val="single" w:color="auto" w:sz="4" w:space="0"/>
            </w:tcBorders>
            <w:vAlign w:val="center"/>
          </w:tcPr>
          <w:p w14:paraId="77AA407B">
            <w:pPr>
              <w:keepNext w:val="0"/>
              <w:keepLines w:val="0"/>
              <w:pageBreakBefore w:val="0"/>
              <w:kinsoku/>
              <w:wordWrap/>
              <w:overflowPunct/>
              <w:topLinePunct w:val="0"/>
              <w:bidi w:val="0"/>
              <w:adjustRightInd/>
              <w:snapToGrid/>
              <w:spacing w:line="560" w:lineRule="exact"/>
              <w:rPr>
                <w:rFonts w:hint="eastAsia" w:ascii="宋体" w:hAnsi="宋体" w:eastAsia="宋体" w:cs="宋体"/>
                <w:b/>
                <w:bCs/>
                <w:color w:val="000000" w:themeColor="text1"/>
                <w:sz w:val="28"/>
                <w:szCs w:val="28"/>
                <w:highlight w:val="none"/>
                <w:lang w:val="en-US" w:eastAsia="zh-CN"/>
                <w14:textFill>
                  <w14:solidFill>
                    <w14:schemeClr w14:val="tx1"/>
                  </w14:solidFill>
                </w14:textFill>
              </w:rPr>
            </w:pPr>
            <w:r>
              <w:rPr>
                <w:rFonts w:hint="eastAsia" w:ascii="宋体" w:hAnsi="宋体" w:eastAsia="宋体" w:cs="宋体"/>
                <w:b/>
                <w:bCs/>
                <w:color w:val="000000" w:themeColor="text1"/>
                <w:sz w:val="28"/>
                <w:szCs w:val="28"/>
                <w:highlight w:val="none"/>
                <w:lang w:val="en-US" w:eastAsia="zh-CN"/>
                <w14:textFill>
                  <w14:solidFill>
                    <w14:schemeClr w14:val="tx1"/>
                  </w14:solidFill>
                </w14:textFill>
              </w:rPr>
              <w:t>自验收合格之日起两年</w:t>
            </w:r>
          </w:p>
        </w:tc>
      </w:tr>
      <w:tr w14:paraId="004218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14:paraId="1B14588A">
            <w:pPr>
              <w:keepNext w:val="0"/>
              <w:keepLines w:val="0"/>
              <w:pageBreakBefore w:val="0"/>
              <w:kinsoku/>
              <w:wordWrap/>
              <w:overflowPunct/>
              <w:topLinePunct w:val="0"/>
              <w:bidi w:val="0"/>
              <w:adjustRightInd/>
              <w:snapToGrid/>
              <w:spacing w:line="560" w:lineRule="exact"/>
              <w:jc w:val="center"/>
              <w:rPr>
                <w:rFonts w:hint="default"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cs="宋体"/>
                <w:color w:val="000000" w:themeColor="text1"/>
                <w:sz w:val="28"/>
                <w:szCs w:val="28"/>
                <w:highlight w:val="none"/>
                <w:lang w:val="en-US" w:eastAsia="zh-CN"/>
                <w14:textFill>
                  <w14:solidFill>
                    <w14:schemeClr w14:val="tx1"/>
                  </w14:solidFill>
                </w14:textFill>
              </w:rPr>
              <w:t>29</w:t>
            </w:r>
          </w:p>
        </w:tc>
        <w:tc>
          <w:tcPr>
            <w:tcW w:w="2239" w:type="dxa"/>
            <w:tcBorders>
              <w:top w:val="single" w:color="auto" w:sz="4" w:space="0"/>
              <w:left w:val="single" w:color="auto" w:sz="4" w:space="0"/>
              <w:bottom w:val="single" w:color="auto" w:sz="4" w:space="0"/>
              <w:right w:val="single" w:color="auto" w:sz="4" w:space="0"/>
            </w:tcBorders>
            <w:vAlign w:val="center"/>
          </w:tcPr>
          <w:p w14:paraId="22D3595F">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中小微型企业</w:t>
            </w:r>
          </w:p>
          <w:p w14:paraId="47466780">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有关政策</w:t>
            </w:r>
          </w:p>
        </w:tc>
        <w:tc>
          <w:tcPr>
            <w:tcW w:w="7297" w:type="dxa"/>
            <w:tcBorders>
              <w:top w:val="single" w:color="auto" w:sz="4" w:space="0"/>
              <w:left w:val="single" w:color="auto" w:sz="4" w:space="0"/>
              <w:bottom w:val="single" w:color="auto" w:sz="4" w:space="0"/>
              <w:right w:val="single" w:color="auto" w:sz="4" w:space="0"/>
            </w:tcBorders>
            <w:vAlign w:val="center"/>
          </w:tcPr>
          <w:p w14:paraId="5338D75C">
            <w:pPr>
              <w:pStyle w:val="144"/>
              <w:keepNext w:val="0"/>
              <w:keepLines w:val="0"/>
              <w:pageBreakBefore w:val="0"/>
              <w:kinsoku/>
              <w:wordWrap/>
              <w:overflowPunct/>
              <w:topLinePunct w:val="0"/>
              <w:bidi w:val="0"/>
              <w:adjustRightInd/>
              <w:snapToGrid/>
              <w:spacing w:line="560" w:lineRule="exac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kern w:val="0"/>
                <w:sz w:val="28"/>
                <w:szCs w:val="28"/>
                <w:highlight w:val="none"/>
                <w14:textFill>
                  <w14:solidFill>
                    <w14:schemeClr w14:val="tx1"/>
                  </w14:solidFill>
                </w14:textFill>
              </w:rPr>
              <w:t>(1)根据财政部、工业和信息化部发布的关于印发《政府采</w:t>
            </w:r>
            <w:r>
              <w:rPr>
                <w:rFonts w:hint="eastAsia" w:ascii="宋体" w:hAnsi="宋体" w:eastAsia="宋体" w:cs="宋体"/>
                <w:color w:val="000000" w:themeColor="text1"/>
                <w:sz w:val="28"/>
                <w:szCs w:val="28"/>
                <w:highlight w:val="none"/>
                <w14:textFill>
                  <w14:solidFill>
                    <w14:schemeClr w14:val="tx1"/>
                  </w14:solidFill>
                </w14:textFill>
              </w:rPr>
              <w:t>购促进中小企业发展管理办法》的通知，财库[2020]46号）规定执行；本次采购标的所属行业为</w:t>
            </w:r>
            <w:r>
              <w:rPr>
                <w:rFonts w:hint="eastAsia" w:ascii="宋体" w:hAnsi="宋体" w:eastAsia="宋体" w:cs="宋体"/>
                <w:b/>
                <w:bCs/>
                <w:color w:val="000000" w:themeColor="text1"/>
                <w:sz w:val="28"/>
                <w:szCs w:val="28"/>
                <w:highlight w:val="none"/>
                <w:u w:val="single"/>
                <w14:textFill>
                  <w14:solidFill>
                    <w14:schemeClr w14:val="tx1"/>
                  </w14:solidFill>
                </w14:textFill>
              </w:rPr>
              <w:t>工业</w:t>
            </w:r>
            <w:r>
              <w:rPr>
                <w:rFonts w:hint="eastAsia" w:ascii="宋体" w:hAnsi="宋体" w:eastAsia="宋体" w:cs="宋体"/>
                <w:color w:val="000000" w:themeColor="text1"/>
                <w:sz w:val="28"/>
                <w:szCs w:val="28"/>
                <w:highlight w:val="none"/>
                <w14:textFill>
                  <w14:solidFill>
                    <w14:schemeClr w14:val="tx1"/>
                  </w14:solidFill>
                </w14:textFill>
              </w:rPr>
              <w:t>，中小微型企业需按照招标文件格式要求提供《中小企业声明函》，符合要求的小微型企业可享受相应政策。</w:t>
            </w:r>
          </w:p>
          <w:p w14:paraId="4C863A83">
            <w:pPr>
              <w:keepNext w:val="0"/>
              <w:keepLines w:val="0"/>
              <w:pageBreakBefore w:val="0"/>
              <w:kinsoku/>
              <w:wordWrap/>
              <w:overflowPunct/>
              <w:topLinePunct w:val="0"/>
              <w:bidi w:val="0"/>
              <w:adjustRightInd/>
              <w:snapToGrid/>
              <w:spacing w:line="560" w:lineRule="exac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(2)价格扣除幅度：价格给予</w:t>
            </w:r>
            <w:r>
              <w:rPr>
                <w:rFonts w:hint="eastAsia" w:ascii="宋体" w:hAnsi="宋体" w:eastAsia="宋体" w:cs="宋体"/>
                <w:color w:val="000000" w:themeColor="text1"/>
                <w:sz w:val="28"/>
                <w:szCs w:val="28"/>
                <w:highlight w:val="none"/>
                <w:u w:val="single"/>
                <w14:textFill>
                  <w14:solidFill>
                    <w14:schemeClr w14:val="tx1"/>
                  </w14:solidFill>
                </w14:textFill>
              </w:rPr>
              <w:t>10%</w:t>
            </w:r>
            <w:r>
              <w:rPr>
                <w:rFonts w:hint="eastAsia" w:ascii="宋体" w:hAnsi="宋体" w:eastAsia="宋体" w:cs="宋体"/>
                <w:color w:val="000000" w:themeColor="text1"/>
                <w:sz w:val="28"/>
                <w:szCs w:val="28"/>
                <w:highlight w:val="none"/>
                <w14:textFill>
                  <w14:solidFill>
                    <w14:schemeClr w14:val="tx1"/>
                  </w14:solidFill>
                </w14:textFill>
              </w:rPr>
              <w:t>的扣除，计算投标报价分时，用扣除后的价格参与评审。</w:t>
            </w:r>
          </w:p>
        </w:tc>
      </w:tr>
      <w:tr w14:paraId="5B51F5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14:paraId="21196F82">
            <w:pPr>
              <w:keepNext w:val="0"/>
              <w:keepLines w:val="0"/>
              <w:pageBreakBefore w:val="0"/>
              <w:kinsoku/>
              <w:wordWrap/>
              <w:overflowPunct/>
              <w:topLinePunct w:val="0"/>
              <w:bidi w:val="0"/>
              <w:adjustRightInd/>
              <w:snapToGrid/>
              <w:spacing w:line="560" w:lineRule="exact"/>
              <w:jc w:val="center"/>
              <w:rPr>
                <w:rFonts w:hint="default" w:ascii="宋体" w:hAnsi="宋体" w:cs="宋体"/>
                <w:color w:val="000000" w:themeColor="text1"/>
                <w:sz w:val="28"/>
                <w:szCs w:val="28"/>
                <w:highlight w:val="none"/>
                <w:lang w:val="en-US" w:eastAsia="zh-CN"/>
                <w14:textFill>
                  <w14:solidFill>
                    <w14:schemeClr w14:val="tx1"/>
                  </w14:solidFill>
                </w14:textFill>
              </w:rPr>
            </w:pPr>
            <w:r>
              <w:rPr>
                <w:rFonts w:hint="eastAsia" w:ascii="宋体" w:hAnsi="宋体" w:cs="宋体"/>
                <w:color w:val="000000" w:themeColor="text1"/>
                <w:sz w:val="28"/>
                <w:szCs w:val="28"/>
                <w:highlight w:val="none"/>
                <w:lang w:val="en-US" w:eastAsia="zh-CN"/>
                <w14:textFill>
                  <w14:solidFill>
                    <w14:schemeClr w14:val="tx1"/>
                  </w14:solidFill>
                </w14:textFill>
              </w:rPr>
              <w:t>30</w:t>
            </w:r>
          </w:p>
        </w:tc>
        <w:tc>
          <w:tcPr>
            <w:tcW w:w="2239" w:type="dxa"/>
            <w:tcBorders>
              <w:top w:val="single" w:color="auto" w:sz="4" w:space="0"/>
              <w:left w:val="single" w:color="auto" w:sz="4" w:space="0"/>
              <w:bottom w:val="single" w:color="auto" w:sz="4" w:space="0"/>
              <w:right w:val="single" w:color="auto" w:sz="4" w:space="0"/>
            </w:tcBorders>
            <w:vAlign w:val="center"/>
          </w:tcPr>
          <w:p w14:paraId="453C4056">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推荐成交候选供应商的数量</w:t>
            </w:r>
          </w:p>
        </w:tc>
        <w:tc>
          <w:tcPr>
            <w:tcW w:w="7297" w:type="dxa"/>
            <w:tcBorders>
              <w:top w:val="single" w:color="auto" w:sz="4" w:space="0"/>
              <w:left w:val="single" w:color="auto" w:sz="4" w:space="0"/>
              <w:bottom w:val="single" w:color="auto" w:sz="4" w:space="0"/>
              <w:right w:val="single" w:color="auto" w:sz="4" w:space="0"/>
            </w:tcBorders>
            <w:vAlign w:val="center"/>
          </w:tcPr>
          <w:p w14:paraId="561D09A7">
            <w:pPr>
              <w:keepNext w:val="0"/>
              <w:keepLines w:val="0"/>
              <w:pageBreakBefore w:val="0"/>
              <w:kinsoku/>
              <w:wordWrap/>
              <w:overflowPunct/>
              <w:topLinePunct w:val="0"/>
              <w:bidi w:val="0"/>
              <w:adjustRightInd/>
              <w:snapToGrid/>
              <w:spacing w:line="560" w:lineRule="exac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 3 家</w:t>
            </w:r>
          </w:p>
        </w:tc>
      </w:tr>
      <w:tr w14:paraId="269DFC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14:paraId="37A3A9AF">
            <w:pPr>
              <w:keepNext w:val="0"/>
              <w:keepLines w:val="0"/>
              <w:pageBreakBefore w:val="0"/>
              <w:kinsoku/>
              <w:wordWrap/>
              <w:overflowPunct/>
              <w:topLinePunct w:val="0"/>
              <w:bidi w:val="0"/>
              <w:adjustRightInd/>
              <w:snapToGrid/>
              <w:spacing w:line="560" w:lineRule="exact"/>
              <w:jc w:val="center"/>
              <w:rPr>
                <w:rFonts w:hint="default"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cs="宋体"/>
                <w:color w:val="000000" w:themeColor="text1"/>
                <w:sz w:val="28"/>
                <w:szCs w:val="28"/>
                <w:highlight w:val="none"/>
                <w:lang w:val="en-US" w:eastAsia="zh-CN"/>
                <w14:textFill>
                  <w14:solidFill>
                    <w14:schemeClr w14:val="tx1"/>
                  </w14:solidFill>
                </w14:textFill>
              </w:rPr>
              <w:t>31</w:t>
            </w:r>
          </w:p>
        </w:tc>
        <w:tc>
          <w:tcPr>
            <w:tcW w:w="2239" w:type="dxa"/>
            <w:tcBorders>
              <w:top w:val="single" w:color="auto" w:sz="4" w:space="0"/>
              <w:left w:val="single" w:color="auto" w:sz="4" w:space="0"/>
              <w:bottom w:val="single" w:color="auto" w:sz="4" w:space="0"/>
              <w:right w:val="single" w:color="auto" w:sz="4" w:space="0"/>
            </w:tcBorders>
            <w:vAlign w:val="center"/>
          </w:tcPr>
          <w:p w14:paraId="69AEFAB9">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解释</w:t>
            </w:r>
          </w:p>
        </w:tc>
        <w:tc>
          <w:tcPr>
            <w:tcW w:w="7297" w:type="dxa"/>
            <w:tcBorders>
              <w:top w:val="single" w:color="auto" w:sz="4" w:space="0"/>
              <w:left w:val="single" w:color="auto" w:sz="4" w:space="0"/>
              <w:bottom w:val="single" w:color="auto" w:sz="4" w:space="0"/>
              <w:right w:val="single" w:color="auto" w:sz="4" w:space="0"/>
            </w:tcBorders>
            <w:vAlign w:val="center"/>
          </w:tcPr>
          <w:p w14:paraId="4E190A6A">
            <w:pPr>
              <w:keepNext w:val="0"/>
              <w:keepLines w:val="0"/>
              <w:pageBreakBefore w:val="0"/>
              <w:kinsoku/>
              <w:wordWrap/>
              <w:overflowPunct/>
              <w:topLinePunct w:val="0"/>
              <w:bidi w:val="0"/>
              <w:adjustRightInd/>
              <w:snapToGrid/>
              <w:spacing w:line="560" w:lineRule="exact"/>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解释权：</w:t>
            </w:r>
            <w:r>
              <w:rPr>
                <w:rFonts w:hint="eastAsia" w:ascii="宋体" w:hAnsi="宋体" w:eastAsia="宋体" w:cs="宋体"/>
                <w:color w:val="000000" w:themeColor="text1"/>
                <w:sz w:val="28"/>
                <w:szCs w:val="28"/>
                <w:highlight w:val="none"/>
                <w14:textFill>
                  <w14:solidFill>
                    <w14:schemeClr w14:val="tx1"/>
                  </w14:solidFill>
                </w14:textFill>
              </w:rPr>
              <w:t>构成本招标文件的各个组成文件应互为解释，互为说明；除招标文件中有特别规定外，仅适用于招标投标阶段的规定，按更正公告（澄清公告）、招标公告、采购需求、</w:t>
            </w:r>
            <w:r>
              <w:rPr>
                <w:rFonts w:hint="eastAsia" w:ascii="宋体" w:hAnsi="宋体" w:cs="宋体"/>
                <w:color w:val="000000" w:themeColor="text1"/>
                <w:sz w:val="28"/>
                <w:szCs w:val="28"/>
                <w:highlight w:val="none"/>
                <w:lang w:eastAsia="zh-CN"/>
                <w14:textFill>
                  <w14:solidFill>
                    <w14:schemeClr w14:val="tx1"/>
                  </w14:solidFill>
                </w14:textFill>
              </w:rPr>
              <w:t>供应商</w:t>
            </w:r>
            <w:r>
              <w:rPr>
                <w:rFonts w:hint="eastAsia" w:ascii="宋体" w:hAnsi="宋体" w:eastAsia="宋体" w:cs="宋体"/>
                <w:color w:val="000000" w:themeColor="text1"/>
                <w:sz w:val="28"/>
                <w:szCs w:val="28"/>
                <w:highlight w:val="none"/>
                <w14:textFill>
                  <w14:solidFill>
                    <w14:schemeClr w14:val="tx1"/>
                  </w14:solidFill>
                </w14:textFill>
              </w:rPr>
              <w:t>须知、评标方法及评标标准、拟签订的合同文本、投标文件格式的先后顺序解释；同一组成文件中就同一事项的规定或者约定不一致的，以编排顺序在后者为准；同一组成文件不同版本之间有不一致的，以形成时间在后者为准；更正公告（澄清公告）与同步更新的招标文件不一致时以更正公告（澄清公告）为准。按本款前述规定仍不能形成结论的</w:t>
            </w:r>
            <w:r>
              <w:rPr>
                <w:rFonts w:hint="eastAsia" w:ascii="宋体" w:hAnsi="宋体" w:eastAsia="宋体" w:cs="宋体"/>
                <w:b/>
                <w:color w:val="000000" w:themeColor="text1"/>
                <w:sz w:val="28"/>
                <w:szCs w:val="28"/>
                <w:highlight w:val="none"/>
                <w14:textFill>
                  <w14:solidFill>
                    <w14:schemeClr w14:val="tx1"/>
                  </w14:solidFill>
                </w14:textFill>
              </w:rPr>
              <w:t>，由采购人或者采购代理机构负责解释。</w:t>
            </w:r>
          </w:p>
          <w:p w14:paraId="47AEAA4C">
            <w:pPr>
              <w:keepNext w:val="0"/>
              <w:keepLines w:val="0"/>
              <w:pageBreakBefore w:val="0"/>
              <w:kinsoku/>
              <w:wordWrap/>
              <w:overflowPunct/>
              <w:topLinePunct w:val="0"/>
              <w:bidi w:val="0"/>
              <w:adjustRightInd/>
              <w:snapToGrid/>
              <w:spacing w:line="560" w:lineRule="exact"/>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法律责任：</w:t>
            </w:r>
          </w:p>
          <w:p w14:paraId="4D8128B4">
            <w:pPr>
              <w:keepNext w:val="0"/>
              <w:keepLines w:val="0"/>
              <w:pageBreakBefore w:val="0"/>
              <w:kinsoku/>
              <w:wordWrap/>
              <w:overflowPunct/>
              <w:topLinePunct w:val="0"/>
              <w:bidi w:val="0"/>
              <w:adjustRightInd/>
              <w:snapToGrid/>
              <w:spacing w:line="560" w:lineRule="exac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本采购文件根据《中华人民共和国政府采购法》、《中华人民共和国民法典》；《中华人民共和国政府采购法实施条例》、《政府采购非招标采购方式管理办法》等有关法律、法规编制，参与本项目的各政府采购当事人依法享有上述法律法规所赋予的权利与义务。</w:t>
            </w:r>
          </w:p>
        </w:tc>
      </w:tr>
      <w:tr w14:paraId="652860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14:paraId="7FA83070">
            <w:pPr>
              <w:keepNext w:val="0"/>
              <w:keepLines w:val="0"/>
              <w:pageBreakBefore w:val="0"/>
              <w:kinsoku/>
              <w:wordWrap/>
              <w:overflowPunct/>
              <w:topLinePunct w:val="0"/>
              <w:bidi w:val="0"/>
              <w:adjustRightInd/>
              <w:snapToGrid/>
              <w:spacing w:line="560" w:lineRule="exact"/>
              <w:jc w:val="center"/>
              <w:rPr>
                <w:rFonts w:hint="default"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cs="宋体"/>
                <w:color w:val="000000" w:themeColor="text1"/>
                <w:sz w:val="28"/>
                <w:szCs w:val="28"/>
                <w:highlight w:val="none"/>
                <w:lang w:val="en-US" w:eastAsia="zh-CN"/>
                <w14:textFill>
                  <w14:solidFill>
                    <w14:schemeClr w14:val="tx1"/>
                  </w14:solidFill>
                </w14:textFill>
              </w:rPr>
              <w:t>32</w:t>
            </w:r>
          </w:p>
        </w:tc>
        <w:tc>
          <w:tcPr>
            <w:tcW w:w="2239" w:type="dxa"/>
            <w:tcBorders>
              <w:top w:val="single" w:color="auto" w:sz="4" w:space="0"/>
              <w:left w:val="single" w:color="auto" w:sz="4" w:space="0"/>
              <w:bottom w:val="single" w:color="auto" w:sz="4" w:space="0"/>
              <w:right w:val="single" w:color="auto" w:sz="4" w:space="0"/>
            </w:tcBorders>
            <w:vAlign w:val="center"/>
          </w:tcPr>
          <w:p w14:paraId="6E90D82B">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其他释义</w:t>
            </w:r>
          </w:p>
        </w:tc>
        <w:tc>
          <w:tcPr>
            <w:tcW w:w="7297" w:type="dxa"/>
            <w:tcBorders>
              <w:top w:val="single" w:color="auto" w:sz="4" w:space="0"/>
              <w:left w:val="single" w:color="auto" w:sz="4" w:space="0"/>
              <w:bottom w:val="single" w:color="auto" w:sz="4" w:space="0"/>
              <w:right w:val="single" w:color="auto" w:sz="4" w:space="0"/>
            </w:tcBorders>
            <w:vAlign w:val="center"/>
          </w:tcPr>
          <w:p w14:paraId="05A68BB2">
            <w:pPr>
              <w:keepNext w:val="0"/>
              <w:keepLines w:val="0"/>
              <w:pageBreakBefore w:val="0"/>
              <w:kinsoku/>
              <w:wordWrap/>
              <w:overflowPunct/>
              <w:topLinePunct w:val="0"/>
              <w:bidi w:val="0"/>
              <w:adjustRightInd/>
              <w:snapToGrid/>
              <w:spacing w:line="560" w:lineRule="exac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1.本招标文件中描述</w:t>
            </w:r>
            <w:r>
              <w:rPr>
                <w:rFonts w:hint="eastAsia" w:ascii="宋体" w:hAnsi="宋体" w:cs="宋体"/>
                <w:color w:val="000000" w:themeColor="text1"/>
                <w:sz w:val="28"/>
                <w:szCs w:val="28"/>
                <w:highlight w:val="none"/>
                <w:lang w:eastAsia="zh-CN"/>
                <w14:textFill>
                  <w14:solidFill>
                    <w14:schemeClr w14:val="tx1"/>
                  </w14:solidFill>
                </w14:textFill>
              </w:rPr>
              <w:t>供应商</w:t>
            </w:r>
            <w:r>
              <w:rPr>
                <w:rFonts w:hint="eastAsia" w:ascii="宋体" w:hAnsi="宋体" w:eastAsia="宋体" w:cs="宋体"/>
                <w:color w:val="000000" w:themeColor="text1"/>
                <w:sz w:val="28"/>
                <w:szCs w:val="28"/>
                <w:highlight w:val="none"/>
                <w14:textFill>
                  <w14:solidFill>
                    <w14:schemeClr w14:val="tx1"/>
                  </w14:solidFill>
                </w14:textFill>
              </w:rPr>
              <w:t>的“公章”是指根据我国对公章的管理规定，用</w:t>
            </w:r>
            <w:r>
              <w:rPr>
                <w:rFonts w:hint="eastAsia" w:ascii="宋体" w:hAnsi="宋体" w:cs="宋体"/>
                <w:color w:val="000000" w:themeColor="text1"/>
                <w:sz w:val="28"/>
                <w:szCs w:val="28"/>
                <w:highlight w:val="none"/>
                <w:lang w:eastAsia="zh-CN"/>
                <w14:textFill>
                  <w14:solidFill>
                    <w14:schemeClr w14:val="tx1"/>
                  </w14:solidFill>
                </w14:textFill>
              </w:rPr>
              <w:t>供应商</w:t>
            </w:r>
            <w:r>
              <w:rPr>
                <w:rFonts w:hint="eastAsia" w:ascii="宋体" w:hAnsi="宋体" w:eastAsia="宋体" w:cs="宋体"/>
                <w:color w:val="000000" w:themeColor="text1"/>
                <w:sz w:val="28"/>
                <w:szCs w:val="28"/>
                <w:highlight w:val="none"/>
                <w14:textFill>
                  <w14:solidFill>
                    <w14:schemeClr w14:val="tx1"/>
                  </w14:solidFill>
                </w14:textFill>
              </w:rPr>
              <w:t>法定主体行为名称制作的印章，除本招标文件有特殊规定外，</w:t>
            </w:r>
            <w:r>
              <w:rPr>
                <w:rFonts w:hint="eastAsia" w:ascii="宋体" w:hAnsi="宋体" w:cs="宋体"/>
                <w:color w:val="000000" w:themeColor="text1"/>
                <w:sz w:val="28"/>
                <w:szCs w:val="28"/>
                <w:highlight w:val="none"/>
                <w:lang w:eastAsia="zh-CN"/>
                <w14:textFill>
                  <w14:solidFill>
                    <w14:schemeClr w14:val="tx1"/>
                  </w14:solidFill>
                </w14:textFill>
              </w:rPr>
              <w:t>供应商</w:t>
            </w:r>
            <w:r>
              <w:rPr>
                <w:rFonts w:hint="eastAsia" w:ascii="宋体" w:hAnsi="宋体" w:eastAsia="宋体" w:cs="宋体"/>
                <w:color w:val="000000" w:themeColor="text1"/>
                <w:sz w:val="28"/>
                <w:szCs w:val="28"/>
                <w:highlight w:val="none"/>
                <w14:textFill>
                  <w14:solidFill>
                    <w14:schemeClr w14:val="tx1"/>
                  </w14:solidFill>
                </w14:textFill>
              </w:rPr>
              <w:t>的财务章、部门章、分公司章、工会章、合同章、投标专用章、业务专用章及银行的转账章、现金收讫章、现金付讫章等其他形式印章均不能代替公章。</w:t>
            </w:r>
          </w:p>
          <w:p w14:paraId="6FBD3D4A">
            <w:pPr>
              <w:keepNext w:val="0"/>
              <w:keepLines w:val="0"/>
              <w:pageBreakBefore w:val="0"/>
              <w:kinsoku/>
              <w:wordWrap/>
              <w:overflowPunct/>
              <w:topLinePunct w:val="0"/>
              <w:bidi w:val="0"/>
              <w:adjustRightInd/>
              <w:snapToGrid/>
              <w:spacing w:line="560" w:lineRule="exac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2.</w:t>
            </w:r>
            <w:r>
              <w:rPr>
                <w:rFonts w:hint="eastAsia" w:ascii="宋体" w:hAnsi="宋体" w:cs="宋体"/>
                <w:color w:val="000000" w:themeColor="text1"/>
                <w:sz w:val="28"/>
                <w:szCs w:val="28"/>
                <w:highlight w:val="none"/>
                <w:lang w:eastAsia="zh-CN"/>
                <w14:textFill>
                  <w14:solidFill>
                    <w14:schemeClr w14:val="tx1"/>
                  </w14:solidFill>
                </w14:textFill>
              </w:rPr>
              <w:t>供应商</w:t>
            </w:r>
            <w:r>
              <w:rPr>
                <w:rFonts w:hint="eastAsia" w:ascii="宋体" w:hAnsi="宋体" w:eastAsia="宋体" w:cs="宋体"/>
                <w:color w:val="000000" w:themeColor="text1"/>
                <w:sz w:val="28"/>
                <w:szCs w:val="28"/>
                <w:highlight w:val="none"/>
                <w14:textFill>
                  <w14:solidFill>
                    <w14:schemeClr w14:val="tx1"/>
                  </w14:solidFill>
                </w14:textFill>
              </w:rPr>
              <w:t>为其他组织或者自然人时，本招标文件规定的法定代表人指负责人或者自然人。本招标文件所称负责人是指参加投标的其他组织营业执照上的负责人，本招标文件所称自然人指参与投标的自然人本人。</w:t>
            </w:r>
          </w:p>
          <w:p w14:paraId="3FB712A9">
            <w:pPr>
              <w:keepNext w:val="0"/>
              <w:keepLines w:val="0"/>
              <w:pageBreakBefore w:val="0"/>
              <w:kinsoku/>
              <w:wordWrap/>
              <w:overflowPunct/>
              <w:topLinePunct w:val="0"/>
              <w:bidi w:val="0"/>
              <w:adjustRightInd/>
              <w:snapToGrid/>
              <w:spacing w:line="560" w:lineRule="exac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3.本招标文件中描述</w:t>
            </w:r>
            <w:r>
              <w:rPr>
                <w:rFonts w:hint="eastAsia" w:ascii="宋体" w:hAnsi="宋体" w:cs="宋体"/>
                <w:color w:val="000000" w:themeColor="text1"/>
                <w:sz w:val="28"/>
                <w:szCs w:val="28"/>
                <w:highlight w:val="none"/>
                <w:lang w:eastAsia="zh-CN"/>
                <w14:textFill>
                  <w14:solidFill>
                    <w14:schemeClr w14:val="tx1"/>
                  </w14:solidFill>
                </w14:textFill>
              </w:rPr>
              <w:t>供应商</w:t>
            </w:r>
            <w:r>
              <w:rPr>
                <w:rFonts w:hint="eastAsia" w:ascii="宋体" w:hAnsi="宋体" w:eastAsia="宋体" w:cs="宋体"/>
                <w:color w:val="000000" w:themeColor="text1"/>
                <w:sz w:val="28"/>
                <w:szCs w:val="28"/>
                <w:highlight w:val="none"/>
                <w14:textFill>
                  <w14:solidFill>
                    <w14:schemeClr w14:val="tx1"/>
                  </w14:solidFill>
                </w14:textFill>
              </w:rPr>
              <w:t>的“签字”是指</w:t>
            </w:r>
            <w:r>
              <w:rPr>
                <w:rFonts w:hint="eastAsia" w:ascii="宋体" w:hAnsi="宋体" w:cs="宋体"/>
                <w:color w:val="000000" w:themeColor="text1"/>
                <w:sz w:val="28"/>
                <w:szCs w:val="28"/>
                <w:highlight w:val="none"/>
                <w:lang w:eastAsia="zh-CN"/>
                <w14:textFill>
                  <w14:solidFill>
                    <w14:schemeClr w14:val="tx1"/>
                  </w14:solidFill>
                </w14:textFill>
              </w:rPr>
              <w:t>供应商</w:t>
            </w:r>
            <w:r>
              <w:rPr>
                <w:rFonts w:hint="eastAsia" w:ascii="宋体" w:hAnsi="宋体" w:eastAsia="宋体" w:cs="宋体"/>
                <w:color w:val="000000" w:themeColor="text1"/>
                <w:sz w:val="28"/>
                <w:szCs w:val="28"/>
                <w:highlight w:val="none"/>
                <w14:textFill>
                  <w14:solidFill>
                    <w14:schemeClr w14:val="tx1"/>
                  </w14:solidFill>
                </w14:textFill>
              </w:rPr>
              <w:t>的法定代表人或者委托代理人亲自在文件规定签署处亲笔写上个人的名字的行为，签字章、印鉴、影印等其他形式均不能代替亲笔签字。</w:t>
            </w:r>
          </w:p>
          <w:p w14:paraId="693F00E0">
            <w:pPr>
              <w:keepNext w:val="0"/>
              <w:keepLines w:val="0"/>
              <w:pageBreakBefore w:val="0"/>
              <w:kinsoku/>
              <w:wordWrap/>
              <w:overflowPunct/>
              <w:topLinePunct w:val="0"/>
              <w:bidi w:val="0"/>
              <w:adjustRightInd/>
              <w:snapToGrid/>
              <w:spacing w:line="560" w:lineRule="exac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4.自然人投标的，招标文件规定盖公章处由自然人摁手指指印。</w:t>
            </w:r>
          </w:p>
          <w:p w14:paraId="61D207A3">
            <w:pPr>
              <w:keepNext w:val="0"/>
              <w:keepLines w:val="0"/>
              <w:pageBreakBefore w:val="0"/>
              <w:kinsoku/>
              <w:wordWrap/>
              <w:overflowPunct/>
              <w:topLinePunct w:val="0"/>
              <w:bidi w:val="0"/>
              <w:adjustRightInd/>
              <w:snapToGrid/>
              <w:spacing w:line="560" w:lineRule="exact"/>
              <w:jc w:val="left"/>
              <w:rPr>
                <w:rFonts w:hint="eastAsia" w:ascii="宋体" w:hAnsi="宋体" w:eastAsia="宋体" w:cs="宋体"/>
                <w:b w:val="0"/>
                <w:bCs w:val="0"/>
                <w:color w:val="000000" w:themeColor="text1"/>
                <w:sz w:val="28"/>
                <w:szCs w:val="28"/>
                <w:highlight w:val="none"/>
                <w14:textFill>
                  <w14:solidFill>
                    <w14:schemeClr w14:val="tx1"/>
                  </w14:solidFill>
                </w14:textFill>
              </w:rPr>
            </w:pPr>
            <w:r>
              <w:rPr>
                <w:rFonts w:hint="eastAsia" w:ascii="宋体" w:hAnsi="宋体" w:eastAsia="宋体" w:cs="宋体"/>
                <w:b w:val="0"/>
                <w:bCs w:val="0"/>
                <w:color w:val="000000" w:themeColor="text1"/>
                <w:sz w:val="28"/>
                <w:szCs w:val="28"/>
                <w:highlight w:val="none"/>
                <w14:textFill>
                  <w14:solidFill>
                    <w14:schemeClr w14:val="tx1"/>
                  </w14:solidFill>
                </w14:textFill>
              </w:rPr>
              <w:t>5.本招标文件所称的“以上”“以下”“以内”“届满”，包括本数；所称的“不满”“超过”“以外”，不包括本数。</w:t>
            </w:r>
          </w:p>
          <w:p w14:paraId="54AAAF52">
            <w:pPr>
              <w:keepNext w:val="0"/>
              <w:keepLines w:val="0"/>
              <w:pageBreakBefore w:val="0"/>
              <w:kinsoku/>
              <w:wordWrap/>
              <w:overflowPunct/>
              <w:topLinePunct w:val="0"/>
              <w:bidi w:val="0"/>
              <w:adjustRightInd/>
              <w:snapToGrid/>
              <w:spacing w:line="560" w:lineRule="exact"/>
              <w:jc w:val="left"/>
              <w:rPr>
                <w:rFonts w:hint="eastAsia" w:ascii="宋体" w:hAnsi="宋体" w:eastAsia="宋体" w:cs="宋体"/>
                <w:b w:val="0"/>
                <w:bCs w:val="0"/>
                <w:color w:val="000000" w:themeColor="text1"/>
                <w:sz w:val="28"/>
                <w:szCs w:val="28"/>
                <w:highlight w:val="none"/>
                <w14:textFill>
                  <w14:solidFill>
                    <w14:schemeClr w14:val="tx1"/>
                  </w14:solidFill>
                </w14:textFill>
              </w:rPr>
            </w:pPr>
            <w:r>
              <w:rPr>
                <w:rFonts w:hint="eastAsia" w:ascii="宋体" w:hAnsi="宋体" w:eastAsia="宋体" w:cs="宋体"/>
                <w:b w:val="0"/>
                <w:bCs w:val="0"/>
                <w:color w:val="000000" w:themeColor="text1"/>
                <w:sz w:val="28"/>
                <w:szCs w:val="28"/>
                <w:highlight w:val="none"/>
                <w14:textFill>
                  <w14:solidFill>
                    <w14:schemeClr w14:val="tx1"/>
                  </w14:solidFill>
                </w14:textFill>
              </w:rPr>
              <w:t>6. 本项目为全流程电子化开评标，</w:t>
            </w:r>
            <w:r>
              <w:rPr>
                <w:rFonts w:hint="eastAsia" w:ascii="宋体" w:hAnsi="宋体" w:cs="宋体"/>
                <w:b w:val="0"/>
                <w:bCs w:val="0"/>
                <w:color w:val="000000" w:themeColor="text1"/>
                <w:sz w:val="28"/>
                <w:szCs w:val="28"/>
                <w:highlight w:val="none"/>
                <w:lang w:eastAsia="zh-CN"/>
                <w14:textFill>
                  <w14:solidFill>
                    <w14:schemeClr w14:val="tx1"/>
                  </w14:solidFill>
                </w14:textFill>
              </w:rPr>
              <w:t>供应商</w:t>
            </w:r>
            <w:r>
              <w:rPr>
                <w:rFonts w:hint="eastAsia" w:ascii="宋体" w:hAnsi="宋体" w:eastAsia="宋体" w:cs="宋体"/>
                <w:b w:val="0"/>
                <w:bCs w:val="0"/>
                <w:color w:val="000000" w:themeColor="text1"/>
                <w:sz w:val="28"/>
                <w:szCs w:val="28"/>
                <w:highlight w:val="none"/>
                <w14:textFill>
                  <w14:solidFill>
                    <w14:schemeClr w14:val="tx1"/>
                  </w14:solidFill>
                </w14:textFill>
              </w:rPr>
              <w:t>须自备具备视频及语音通话功能的设备</w:t>
            </w:r>
          </w:p>
          <w:p w14:paraId="1CE1A23B">
            <w:pPr>
              <w:keepNext w:val="0"/>
              <w:keepLines w:val="0"/>
              <w:pageBreakBefore w:val="0"/>
              <w:kinsoku/>
              <w:wordWrap/>
              <w:overflowPunct/>
              <w:topLinePunct w:val="0"/>
              <w:bidi w:val="0"/>
              <w:adjustRightInd/>
              <w:snapToGrid/>
              <w:spacing w:line="560" w:lineRule="exact"/>
              <w:jc w:val="left"/>
              <w:rPr>
                <w:rFonts w:hint="eastAsia" w:ascii="宋体" w:hAnsi="宋体" w:eastAsia="宋体" w:cs="宋体"/>
                <w:b w:val="0"/>
                <w:bCs w:val="0"/>
                <w:color w:val="000000" w:themeColor="text1"/>
                <w:sz w:val="28"/>
                <w:szCs w:val="28"/>
                <w:highlight w:val="none"/>
                <w14:textFill>
                  <w14:solidFill>
                    <w14:schemeClr w14:val="tx1"/>
                  </w14:solidFill>
                </w14:textFill>
              </w:rPr>
            </w:pPr>
            <w:r>
              <w:rPr>
                <w:rFonts w:hint="eastAsia" w:ascii="宋体" w:hAnsi="宋体" w:eastAsia="宋体" w:cs="宋体"/>
                <w:b w:val="0"/>
                <w:bCs w:val="0"/>
                <w:color w:val="000000" w:themeColor="text1"/>
                <w:sz w:val="28"/>
                <w:szCs w:val="28"/>
                <w:highlight w:val="none"/>
                <w:lang w:val="en-US" w:eastAsia="zh-CN"/>
                <w14:textFill>
                  <w14:solidFill>
                    <w14:schemeClr w14:val="tx1"/>
                  </w14:solidFill>
                </w14:textFill>
              </w:rPr>
              <w:t>7、</w:t>
            </w:r>
            <w:r>
              <w:rPr>
                <w:rFonts w:hint="eastAsia" w:ascii="宋体" w:hAnsi="宋体" w:eastAsia="宋体" w:cs="宋体"/>
                <w:b w:val="0"/>
                <w:bCs w:val="0"/>
                <w:color w:val="000000" w:themeColor="text1"/>
                <w:sz w:val="28"/>
                <w:szCs w:val="28"/>
                <w:highlight w:val="none"/>
                <w:lang w:eastAsia="zh-CN"/>
                <w14:textFill>
                  <w14:solidFill>
                    <w14:schemeClr w14:val="tx1"/>
                  </w14:solidFill>
                </w14:textFill>
              </w:rPr>
              <w:t>招标</w:t>
            </w:r>
            <w:r>
              <w:rPr>
                <w:rFonts w:hint="eastAsia" w:ascii="宋体" w:hAnsi="宋体" w:eastAsia="宋体" w:cs="宋体"/>
                <w:b w:val="0"/>
                <w:bCs w:val="0"/>
                <w:color w:val="000000" w:themeColor="text1"/>
                <w:sz w:val="28"/>
                <w:szCs w:val="28"/>
                <w:highlight w:val="none"/>
                <w14:textFill>
                  <w14:solidFill>
                    <w14:schemeClr w14:val="tx1"/>
                  </w14:solidFill>
                </w14:textFill>
              </w:rPr>
              <w:t>文件</w:t>
            </w:r>
            <w:r>
              <w:rPr>
                <w:rFonts w:hint="eastAsia" w:ascii="宋体" w:hAnsi="宋体" w:eastAsia="宋体" w:cs="宋体"/>
                <w:b w:val="0"/>
                <w:bCs w:val="0"/>
                <w:color w:val="000000" w:themeColor="text1"/>
                <w:sz w:val="28"/>
                <w:szCs w:val="28"/>
                <w:highlight w:val="none"/>
                <w:lang w:eastAsia="zh-CN"/>
                <w14:textFill>
                  <w14:solidFill>
                    <w14:schemeClr w14:val="tx1"/>
                  </w14:solidFill>
                </w14:textFill>
              </w:rPr>
              <w:t>第六章投标</w:t>
            </w:r>
            <w:r>
              <w:rPr>
                <w:rFonts w:hint="eastAsia" w:ascii="宋体" w:hAnsi="宋体" w:eastAsia="宋体" w:cs="宋体"/>
                <w:b w:val="0"/>
                <w:bCs w:val="0"/>
                <w:color w:val="000000" w:themeColor="text1"/>
                <w:sz w:val="28"/>
                <w:szCs w:val="28"/>
                <w:highlight w:val="none"/>
                <w14:textFill>
                  <w14:solidFill>
                    <w14:schemeClr w14:val="tx1"/>
                  </w14:solidFill>
                </w14:textFill>
              </w:rPr>
              <w:t>文件</w:t>
            </w:r>
            <w:r>
              <w:rPr>
                <w:rFonts w:hint="eastAsia" w:ascii="宋体" w:hAnsi="宋体" w:eastAsia="宋体" w:cs="宋体"/>
                <w:b w:val="0"/>
                <w:bCs w:val="0"/>
                <w:color w:val="000000" w:themeColor="text1"/>
                <w:sz w:val="28"/>
                <w:szCs w:val="28"/>
                <w:highlight w:val="none"/>
                <w:lang w:eastAsia="zh-CN"/>
                <w14:textFill>
                  <w14:solidFill>
                    <w14:schemeClr w14:val="tx1"/>
                  </w14:solidFill>
                </w14:textFill>
              </w:rPr>
              <w:t>格式</w:t>
            </w:r>
            <w:r>
              <w:rPr>
                <w:rFonts w:hint="eastAsia" w:ascii="宋体" w:hAnsi="宋体" w:eastAsia="宋体" w:cs="宋体"/>
                <w:b w:val="0"/>
                <w:bCs w:val="0"/>
                <w:color w:val="000000" w:themeColor="text1"/>
                <w:sz w:val="28"/>
                <w:szCs w:val="28"/>
                <w:highlight w:val="none"/>
                <w14:textFill>
                  <w14:solidFill>
                    <w14:schemeClr w14:val="tx1"/>
                  </w14:solidFill>
                </w14:textFill>
              </w:rPr>
              <w:t>要求盖单位章和签字的地方，</w:t>
            </w:r>
            <w:r>
              <w:rPr>
                <w:rFonts w:hint="eastAsia" w:ascii="宋体" w:hAnsi="宋体" w:eastAsia="宋体" w:cs="宋体"/>
                <w:b w:val="0"/>
                <w:bCs w:val="0"/>
                <w:color w:val="000000" w:themeColor="text1"/>
                <w:sz w:val="28"/>
                <w:szCs w:val="28"/>
                <w:highlight w:val="none"/>
                <w:lang w:eastAsia="zh-CN"/>
                <w14:textFill>
                  <w14:solidFill>
                    <w14:schemeClr w14:val="tx1"/>
                  </w14:solidFill>
                </w14:textFill>
              </w:rPr>
              <w:t>供应商</w:t>
            </w:r>
            <w:r>
              <w:rPr>
                <w:rFonts w:hint="eastAsia" w:ascii="宋体" w:hAnsi="宋体" w:eastAsia="宋体" w:cs="宋体"/>
                <w:b w:val="0"/>
                <w:bCs w:val="0"/>
                <w:color w:val="000000" w:themeColor="text1"/>
                <w:sz w:val="28"/>
                <w:szCs w:val="28"/>
                <w:highlight w:val="none"/>
                <w14:textFill>
                  <w14:solidFill>
                    <w14:schemeClr w14:val="tx1"/>
                  </w14:solidFill>
                </w14:textFill>
              </w:rPr>
              <w:t>均应使用CA数字证书加盖企业</w:t>
            </w:r>
            <w:r>
              <w:rPr>
                <w:rFonts w:hint="eastAsia" w:ascii="宋体" w:hAnsi="宋体" w:eastAsia="宋体" w:cs="宋体"/>
                <w:b w:val="0"/>
                <w:bCs w:val="0"/>
                <w:color w:val="000000" w:themeColor="text1"/>
                <w:sz w:val="28"/>
                <w:szCs w:val="28"/>
                <w:highlight w:val="none"/>
                <w:lang w:eastAsia="zh-CN"/>
                <w14:textFill>
                  <w14:solidFill>
                    <w14:schemeClr w14:val="tx1"/>
                  </w14:solidFill>
                </w14:textFill>
              </w:rPr>
              <w:t>电子公章</w:t>
            </w:r>
            <w:r>
              <w:rPr>
                <w:rFonts w:hint="eastAsia" w:ascii="宋体" w:hAnsi="宋体" w:eastAsia="宋体" w:cs="宋体"/>
                <w:b w:val="0"/>
                <w:bCs w:val="0"/>
                <w:color w:val="000000" w:themeColor="text1"/>
                <w:sz w:val="28"/>
                <w:szCs w:val="28"/>
                <w:highlight w:val="none"/>
                <w14:textFill>
                  <w14:solidFill>
                    <w14:schemeClr w14:val="tx1"/>
                  </w14:solidFill>
                </w14:textFill>
              </w:rPr>
              <w:t>和法定代表人章或签名（按格式要求）。</w:t>
            </w:r>
          </w:p>
          <w:p w14:paraId="0A9AE6AE">
            <w:pPr>
              <w:keepNext w:val="0"/>
              <w:keepLines w:val="0"/>
              <w:pageBreakBefore w:val="0"/>
              <w:widowControl/>
              <w:suppressLineNumbers w:val="0"/>
              <w:wordWrap/>
              <w:topLinePunct w:val="0"/>
              <w:bidi w:val="0"/>
              <w:spacing w:line="560" w:lineRule="exact"/>
              <w:jc w:val="left"/>
              <w:rPr>
                <w:color w:val="000000" w:themeColor="text1"/>
                <w:highlight w:val="none"/>
                <w14:textFill>
                  <w14:solidFill>
                    <w14:schemeClr w14:val="tx1"/>
                  </w14:solidFill>
                </w14:textFill>
              </w:rPr>
            </w:pPr>
            <w:r>
              <w:rPr>
                <w:rFonts w:hint="eastAsia" w:ascii="宋体" w:hAnsi="宋体" w:eastAsia="宋体" w:cs="宋体"/>
                <w:color w:val="000000" w:themeColor="text1"/>
                <w:kern w:val="0"/>
                <w:sz w:val="28"/>
                <w:szCs w:val="28"/>
                <w:highlight w:val="none"/>
                <w:lang w:val="en-US" w:eastAsia="zh-CN" w:bidi="ar"/>
                <w14:textFill>
                  <w14:solidFill>
                    <w14:schemeClr w14:val="tx1"/>
                  </w14:solidFill>
                </w14:textFill>
              </w:rPr>
              <w:t xml:space="preserve">8、分公司参加投标时，文件法定代表人签字或签章的， </w:t>
            </w:r>
          </w:p>
          <w:p w14:paraId="0935A13B">
            <w:pPr>
              <w:keepNext w:val="0"/>
              <w:keepLines w:val="0"/>
              <w:pageBreakBefore w:val="0"/>
              <w:widowControl/>
              <w:suppressLineNumbers w:val="0"/>
              <w:wordWrap/>
              <w:topLinePunct w:val="0"/>
              <w:bidi w:val="0"/>
              <w:spacing w:line="560" w:lineRule="exact"/>
              <w:jc w:val="left"/>
              <w:rPr>
                <w:rFonts w:hint="eastAsia" w:ascii="宋体" w:hAnsi="宋体" w:eastAsia="宋体" w:cs="宋体"/>
                <w:color w:val="000000" w:themeColor="text1"/>
                <w:kern w:val="0"/>
                <w:sz w:val="28"/>
                <w:szCs w:val="28"/>
                <w:highlight w:val="none"/>
                <w:lang w:val="en-US" w:eastAsia="zh-CN" w:bidi="ar"/>
                <w14:textFill>
                  <w14:solidFill>
                    <w14:schemeClr w14:val="tx1"/>
                  </w14:solidFill>
                </w14:textFill>
              </w:rPr>
            </w:pPr>
            <w:r>
              <w:rPr>
                <w:rFonts w:hint="eastAsia" w:ascii="宋体" w:hAnsi="宋体" w:eastAsia="宋体" w:cs="宋体"/>
                <w:color w:val="000000" w:themeColor="text1"/>
                <w:kern w:val="0"/>
                <w:sz w:val="28"/>
                <w:szCs w:val="28"/>
                <w:highlight w:val="none"/>
                <w:lang w:val="en-US" w:eastAsia="zh-CN" w:bidi="ar"/>
                <w14:textFill>
                  <w14:solidFill>
                    <w14:schemeClr w14:val="tx1"/>
                  </w14:solidFill>
                </w14:textFill>
              </w:rPr>
              <w:t>负责人签字或签章也予以认可。</w:t>
            </w:r>
          </w:p>
          <w:p w14:paraId="1A0FC86A">
            <w:pPr>
              <w:keepNext w:val="0"/>
              <w:keepLines w:val="0"/>
              <w:pageBreakBefore w:val="0"/>
              <w:widowControl/>
              <w:numPr>
                <w:ilvl w:val="0"/>
                <w:numId w:val="0"/>
              </w:numPr>
              <w:suppressLineNumbers w:val="0"/>
              <w:wordWrap/>
              <w:topLinePunct w:val="0"/>
              <w:bidi w:val="0"/>
              <w:spacing w:line="560" w:lineRule="exact"/>
              <w:ind w:leftChars="0"/>
              <w:jc w:val="left"/>
              <w:rPr>
                <w:rFonts w:hint="default" w:ascii="宋体" w:hAnsi="宋体" w:cs="宋体"/>
                <w:color w:val="000000" w:themeColor="text1"/>
                <w:kern w:val="0"/>
                <w:sz w:val="28"/>
                <w:szCs w:val="28"/>
                <w:highlight w:val="green"/>
                <w:lang w:val="en-US" w:eastAsia="zh-CN" w:bidi="ar"/>
                <w14:textFill>
                  <w14:solidFill>
                    <w14:schemeClr w14:val="tx1"/>
                  </w14:solidFill>
                </w14:textFill>
              </w:rPr>
            </w:pPr>
            <w:r>
              <w:rPr>
                <w:rFonts w:hint="eastAsia" w:ascii="宋体" w:hAnsi="宋体" w:cs="宋体"/>
                <w:color w:val="000000" w:themeColor="text1"/>
                <w:kern w:val="0"/>
                <w:sz w:val="28"/>
                <w:szCs w:val="28"/>
                <w:highlight w:val="none"/>
                <w:lang w:val="en-US" w:eastAsia="zh-CN" w:bidi="ar"/>
                <w14:textFill>
                  <w14:solidFill>
                    <w14:schemeClr w14:val="tx1"/>
                  </w14:solidFill>
                </w14:textFill>
              </w:rPr>
              <w:t>9、相同品牌产品且通过资格审查、符合性审查的不同投标人参加同一标项下投标的，按一家投标人计算，评审后得分最高的同品牌投标人获得中标人推荐资格,评审得分相同的，按照投标报价由低到高顺序排列,得分且投标报价相同的，按技术指标优劣顺序排列，其他同品牌投标人不作为中标候选人。</w:t>
            </w:r>
          </w:p>
        </w:tc>
      </w:tr>
      <w:tr w14:paraId="1E7CDD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14:paraId="6AD373D1">
            <w:pPr>
              <w:keepNext w:val="0"/>
              <w:keepLines w:val="0"/>
              <w:pageBreakBefore w:val="0"/>
              <w:kinsoku/>
              <w:wordWrap/>
              <w:overflowPunct/>
              <w:topLinePunct w:val="0"/>
              <w:bidi w:val="0"/>
              <w:adjustRightInd/>
              <w:snapToGrid/>
              <w:spacing w:line="560" w:lineRule="exact"/>
              <w:jc w:val="center"/>
              <w:rPr>
                <w:rFonts w:hint="default"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cs="宋体"/>
                <w:color w:val="000000" w:themeColor="text1"/>
                <w:sz w:val="28"/>
                <w:szCs w:val="28"/>
                <w:highlight w:val="none"/>
                <w:lang w:val="en-US" w:eastAsia="zh-CN"/>
                <w14:textFill>
                  <w14:solidFill>
                    <w14:schemeClr w14:val="tx1"/>
                  </w14:solidFill>
                </w14:textFill>
              </w:rPr>
              <w:t>33</w:t>
            </w:r>
          </w:p>
        </w:tc>
        <w:tc>
          <w:tcPr>
            <w:tcW w:w="2239" w:type="dxa"/>
            <w:tcBorders>
              <w:top w:val="single" w:color="auto" w:sz="4" w:space="0"/>
              <w:left w:val="single" w:color="auto" w:sz="4" w:space="0"/>
              <w:bottom w:val="single" w:color="auto" w:sz="4" w:space="0"/>
              <w:right w:val="single" w:color="auto" w:sz="4" w:space="0"/>
            </w:tcBorders>
            <w:vAlign w:val="center"/>
          </w:tcPr>
          <w:p w14:paraId="4333D155">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b/>
                <w:bCs w:val="0"/>
                <w:color w:val="000000" w:themeColor="text1"/>
                <w:sz w:val="28"/>
                <w:szCs w:val="28"/>
                <w:highlight w:val="none"/>
                <w14:textFill>
                  <w14:solidFill>
                    <w14:schemeClr w14:val="tx1"/>
                  </w14:solidFill>
                </w14:textFill>
              </w:rPr>
              <w:t>低于成本价不正当竞争预防措施</w:t>
            </w:r>
          </w:p>
        </w:tc>
        <w:tc>
          <w:tcPr>
            <w:tcW w:w="7297" w:type="dxa"/>
            <w:tcBorders>
              <w:top w:val="single" w:color="auto" w:sz="4" w:space="0"/>
              <w:left w:val="single" w:color="auto" w:sz="4" w:space="0"/>
              <w:bottom w:val="single" w:color="auto" w:sz="4" w:space="0"/>
              <w:right w:val="single" w:color="auto" w:sz="4" w:space="0"/>
            </w:tcBorders>
            <w:vAlign w:val="center"/>
          </w:tcPr>
          <w:p w14:paraId="2A9CD18C">
            <w:pPr>
              <w:pStyle w:val="166"/>
              <w:keepNext w:val="0"/>
              <w:keepLines w:val="0"/>
              <w:pageBreakBefore w:val="0"/>
              <w:kinsoku/>
              <w:wordWrap/>
              <w:overflowPunct/>
              <w:topLinePunct w:val="0"/>
              <w:bidi w:val="0"/>
              <w:spacing w:line="560" w:lineRule="exact"/>
              <w:ind w:leftChars="0" w:firstLine="0" w:firstLineChars="0"/>
              <w:rPr>
                <w:rFonts w:hint="eastAsia" w:ascii="宋体" w:hAnsi="宋体" w:eastAsia="宋体" w:cs="宋体"/>
                <w:bCs/>
                <w:color w:val="000000" w:themeColor="text1"/>
                <w:kern w:val="0"/>
                <w:sz w:val="28"/>
                <w:szCs w:val="28"/>
                <w:highlight w:val="none"/>
                <w14:textFill>
                  <w14:solidFill>
                    <w14:schemeClr w14:val="tx1"/>
                  </w14:solidFill>
                </w14:textFill>
              </w:rPr>
            </w:pPr>
            <w:r>
              <w:rPr>
                <w:rFonts w:hint="eastAsia" w:ascii="宋体" w:hAnsi="宋体" w:eastAsia="宋体" w:cs="宋体"/>
                <w:bCs/>
                <w:color w:val="000000" w:themeColor="text1"/>
                <w:kern w:val="0"/>
                <w:sz w:val="28"/>
                <w:szCs w:val="28"/>
                <w:highlight w:val="none"/>
                <w14:textFill>
                  <w14:solidFill>
                    <w14:schemeClr w14:val="tx1"/>
                  </w14:solidFill>
                </w14:textFill>
              </w:rPr>
              <w:t>在评标过程中，评标小组认为</w:t>
            </w:r>
            <w:r>
              <w:rPr>
                <w:rFonts w:hint="eastAsia" w:ascii="宋体" w:hAnsi="宋体" w:cs="宋体"/>
                <w:bCs/>
                <w:color w:val="000000" w:themeColor="text1"/>
                <w:kern w:val="0"/>
                <w:sz w:val="28"/>
                <w:szCs w:val="28"/>
                <w:highlight w:val="none"/>
                <w:lang w:eastAsia="zh-CN"/>
                <w14:textFill>
                  <w14:solidFill>
                    <w14:schemeClr w14:val="tx1"/>
                  </w14:solidFill>
                </w14:textFill>
              </w:rPr>
              <w:t>供应商</w:t>
            </w:r>
            <w:r>
              <w:rPr>
                <w:rFonts w:hint="eastAsia" w:ascii="宋体" w:hAnsi="宋体" w:eastAsia="宋体" w:cs="宋体"/>
                <w:bCs/>
                <w:color w:val="000000" w:themeColor="text1"/>
                <w:kern w:val="0"/>
                <w:sz w:val="28"/>
                <w:szCs w:val="28"/>
                <w:highlight w:val="none"/>
                <w14:textFill>
                  <w14:solidFill>
                    <w14:schemeClr w14:val="tx1"/>
                  </w14:solidFill>
                </w14:textFill>
              </w:rPr>
              <w:t>的报价明显低于其他通过符合性审查</w:t>
            </w:r>
            <w:r>
              <w:rPr>
                <w:rFonts w:hint="eastAsia" w:ascii="宋体" w:hAnsi="宋体" w:cs="宋体"/>
                <w:bCs/>
                <w:color w:val="000000" w:themeColor="text1"/>
                <w:kern w:val="0"/>
                <w:sz w:val="28"/>
                <w:szCs w:val="28"/>
                <w:highlight w:val="none"/>
                <w:lang w:eastAsia="zh-CN"/>
                <w14:textFill>
                  <w14:solidFill>
                    <w14:schemeClr w14:val="tx1"/>
                  </w14:solidFill>
                </w14:textFill>
              </w:rPr>
              <w:t>供应商</w:t>
            </w:r>
            <w:r>
              <w:rPr>
                <w:rFonts w:hint="eastAsia" w:ascii="宋体" w:hAnsi="宋体" w:eastAsia="宋体" w:cs="宋体"/>
                <w:bCs/>
                <w:color w:val="000000" w:themeColor="text1"/>
                <w:kern w:val="0"/>
                <w:sz w:val="28"/>
                <w:szCs w:val="28"/>
                <w:highlight w:val="none"/>
                <w14:textFill>
                  <w14:solidFill>
                    <w14:schemeClr w14:val="tx1"/>
                  </w14:solidFill>
                </w14:textFill>
              </w:rPr>
              <w:t>的报价，有可能影响产品质量或者不能诚信履约的，评标小组应当要求其在评标现场合理的时间内提供成本构成书面说明，并提交相关证明材料。</w:t>
            </w:r>
            <w:r>
              <w:rPr>
                <w:rFonts w:hint="eastAsia" w:ascii="宋体" w:hAnsi="宋体" w:cs="宋体"/>
                <w:bCs/>
                <w:color w:val="000000" w:themeColor="text1"/>
                <w:kern w:val="0"/>
                <w:sz w:val="28"/>
                <w:szCs w:val="28"/>
                <w:highlight w:val="none"/>
                <w:lang w:eastAsia="zh-CN"/>
                <w14:textFill>
                  <w14:solidFill>
                    <w14:schemeClr w14:val="tx1"/>
                  </w14:solidFill>
                </w14:textFill>
              </w:rPr>
              <w:t>供应商</w:t>
            </w:r>
            <w:r>
              <w:rPr>
                <w:rFonts w:hint="eastAsia" w:ascii="宋体" w:hAnsi="宋体" w:eastAsia="宋体" w:cs="宋体"/>
                <w:bCs/>
                <w:color w:val="000000" w:themeColor="text1"/>
                <w:kern w:val="0"/>
                <w:sz w:val="28"/>
                <w:szCs w:val="28"/>
                <w:highlight w:val="none"/>
                <w14:textFill>
                  <w14:solidFill>
                    <w14:schemeClr w14:val="tx1"/>
                  </w14:solidFill>
                </w14:textFill>
              </w:rPr>
              <w:t>书面说明应当按照国家财务会计制度的规定要求，逐项就</w:t>
            </w:r>
            <w:r>
              <w:rPr>
                <w:rFonts w:hint="eastAsia" w:ascii="宋体" w:hAnsi="宋体" w:cs="宋体"/>
                <w:bCs/>
                <w:color w:val="000000" w:themeColor="text1"/>
                <w:kern w:val="0"/>
                <w:sz w:val="28"/>
                <w:szCs w:val="28"/>
                <w:highlight w:val="none"/>
                <w:lang w:eastAsia="zh-CN"/>
                <w14:textFill>
                  <w14:solidFill>
                    <w14:schemeClr w14:val="tx1"/>
                  </w14:solidFill>
                </w14:textFill>
              </w:rPr>
              <w:t>供应商</w:t>
            </w:r>
            <w:r>
              <w:rPr>
                <w:rFonts w:hint="eastAsia" w:ascii="宋体" w:hAnsi="宋体" w:eastAsia="宋体" w:cs="宋体"/>
                <w:bCs/>
                <w:color w:val="000000" w:themeColor="text1"/>
                <w:kern w:val="0"/>
                <w:sz w:val="28"/>
                <w:szCs w:val="28"/>
                <w:highlight w:val="none"/>
                <w14:textFill>
                  <w14:solidFill>
                    <w14:schemeClr w14:val="tx1"/>
                  </w14:solidFill>
                </w14:textFill>
              </w:rPr>
              <w:t>提供的货物、工程和服务的主营业务成本（应根据</w:t>
            </w:r>
            <w:r>
              <w:rPr>
                <w:rFonts w:hint="eastAsia" w:ascii="宋体" w:hAnsi="宋体" w:cs="宋体"/>
                <w:bCs/>
                <w:color w:val="000000" w:themeColor="text1"/>
                <w:kern w:val="0"/>
                <w:sz w:val="28"/>
                <w:szCs w:val="28"/>
                <w:highlight w:val="none"/>
                <w:lang w:eastAsia="zh-CN"/>
                <w14:textFill>
                  <w14:solidFill>
                    <w14:schemeClr w14:val="tx1"/>
                  </w14:solidFill>
                </w14:textFill>
              </w:rPr>
              <w:t>供应商</w:t>
            </w:r>
            <w:r>
              <w:rPr>
                <w:rFonts w:hint="eastAsia" w:ascii="宋体" w:hAnsi="宋体" w:eastAsia="宋体" w:cs="宋体"/>
                <w:bCs/>
                <w:color w:val="000000" w:themeColor="text1"/>
                <w:kern w:val="0"/>
                <w:sz w:val="28"/>
                <w:szCs w:val="28"/>
                <w:highlight w:val="none"/>
                <w14:textFill>
                  <w14:solidFill>
                    <w14:schemeClr w14:val="tx1"/>
                  </w14:solidFill>
                </w14:textFill>
              </w:rPr>
              <w:t>企业类型予以区别）、税金及附加、销售费用、管理费用、财务费用等成本构成事项详细陈述。</w:t>
            </w:r>
          </w:p>
          <w:p w14:paraId="02B9E6CE">
            <w:pPr>
              <w:pStyle w:val="166"/>
              <w:keepNext w:val="0"/>
              <w:keepLines w:val="0"/>
              <w:pageBreakBefore w:val="0"/>
              <w:kinsoku/>
              <w:wordWrap/>
              <w:overflowPunct/>
              <w:topLinePunct w:val="0"/>
              <w:bidi w:val="0"/>
              <w:spacing w:line="560" w:lineRule="exact"/>
              <w:ind w:leftChars="0" w:firstLine="0" w:firstLineChars="0"/>
              <w:rPr>
                <w:rFonts w:hint="eastAsia" w:ascii="宋体" w:hAnsi="宋体" w:eastAsia="宋体" w:cs="宋体"/>
                <w:bCs/>
                <w:color w:val="000000" w:themeColor="text1"/>
                <w:kern w:val="0"/>
                <w:sz w:val="28"/>
                <w:szCs w:val="28"/>
                <w:highlight w:val="none"/>
                <w14:textFill>
                  <w14:solidFill>
                    <w14:schemeClr w14:val="tx1"/>
                  </w14:solidFill>
                </w14:textFill>
              </w:rPr>
            </w:pPr>
            <w:r>
              <w:rPr>
                <w:rFonts w:hint="eastAsia" w:ascii="宋体" w:hAnsi="宋体" w:cs="宋体"/>
                <w:bCs/>
                <w:color w:val="000000" w:themeColor="text1"/>
                <w:kern w:val="0"/>
                <w:sz w:val="28"/>
                <w:szCs w:val="28"/>
                <w:highlight w:val="none"/>
                <w:lang w:eastAsia="zh-CN"/>
                <w14:textFill>
                  <w14:solidFill>
                    <w14:schemeClr w14:val="tx1"/>
                  </w14:solidFill>
                </w14:textFill>
              </w:rPr>
              <w:t>供应商</w:t>
            </w:r>
            <w:r>
              <w:rPr>
                <w:rFonts w:hint="eastAsia" w:ascii="宋体" w:hAnsi="宋体" w:eastAsia="宋体" w:cs="宋体"/>
                <w:bCs/>
                <w:color w:val="000000" w:themeColor="text1"/>
                <w:kern w:val="0"/>
                <w:sz w:val="28"/>
                <w:szCs w:val="28"/>
                <w:highlight w:val="none"/>
                <w14:textFill>
                  <w14:solidFill>
                    <w14:schemeClr w14:val="tx1"/>
                  </w14:solidFill>
                </w14:textFill>
              </w:rPr>
              <w:t>书面说明应当签字确认或者加盖公章，否则无效。书面说明的签字确认，</w:t>
            </w:r>
            <w:r>
              <w:rPr>
                <w:rFonts w:hint="eastAsia" w:ascii="宋体" w:hAnsi="宋体" w:cs="宋体"/>
                <w:bCs/>
                <w:color w:val="000000" w:themeColor="text1"/>
                <w:kern w:val="0"/>
                <w:sz w:val="28"/>
                <w:szCs w:val="28"/>
                <w:highlight w:val="none"/>
                <w:lang w:eastAsia="zh-CN"/>
                <w14:textFill>
                  <w14:solidFill>
                    <w14:schemeClr w14:val="tx1"/>
                  </w14:solidFill>
                </w14:textFill>
              </w:rPr>
              <w:t>供应商</w:t>
            </w:r>
            <w:r>
              <w:rPr>
                <w:rFonts w:hint="eastAsia" w:ascii="宋体" w:hAnsi="宋体" w:eastAsia="宋体" w:cs="宋体"/>
                <w:bCs/>
                <w:color w:val="000000" w:themeColor="text1"/>
                <w:kern w:val="0"/>
                <w:sz w:val="28"/>
                <w:szCs w:val="28"/>
                <w:highlight w:val="none"/>
                <w14:textFill>
                  <w14:solidFill>
                    <w14:schemeClr w14:val="tx1"/>
                  </w14:solidFill>
                </w14:textFill>
              </w:rPr>
              <w:t>为法人的，由其法定代表人或者代理人签字确认；</w:t>
            </w:r>
            <w:r>
              <w:rPr>
                <w:rFonts w:hint="eastAsia" w:ascii="宋体" w:hAnsi="宋体" w:cs="宋体"/>
                <w:bCs/>
                <w:color w:val="000000" w:themeColor="text1"/>
                <w:kern w:val="0"/>
                <w:sz w:val="28"/>
                <w:szCs w:val="28"/>
                <w:highlight w:val="none"/>
                <w:lang w:eastAsia="zh-CN"/>
                <w14:textFill>
                  <w14:solidFill>
                    <w14:schemeClr w14:val="tx1"/>
                  </w14:solidFill>
                </w14:textFill>
              </w:rPr>
              <w:t>供应商</w:t>
            </w:r>
            <w:r>
              <w:rPr>
                <w:rFonts w:hint="eastAsia" w:ascii="宋体" w:hAnsi="宋体" w:eastAsia="宋体" w:cs="宋体"/>
                <w:bCs/>
                <w:color w:val="000000" w:themeColor="text1"/>
                <w:kern w:val="0"/>
                <w:sz w:val="28"/>
                <w:szCs w:val="28"/>
                <w:highlight w:val="none"/>
                <w14:textFill>
                  <w14:solidFill>
                    <w14:schemeClr w14:val="tx1"/>
                  </w14:solidFill>
                </w14:textFill>
              </w:rPr>
              <w:t>为其他组织的，由其主要负责人或者代理人签字确认；</w:t>
            </w:r>
            <w:r>
              <w:rPr>
                <w:rFonts w:hint="eastAsia" w:ascii="宋体" w:hAnsi="宋体" w:cs="宋体"/>
                <w:bCs/>
                <w:color w:val="000000" w:themeColor="text1"/>
                <w:kern w:val="0"/>
                <w:sz w:val="28"/>
                <w:szCs w:val="28"/>
                <w:highlight w:val="none"/>
                <w:lang w:eastAsia="zh-CN"/>
                <w14:textFill>
                  <w14:solidFill>
                    <w14:schemeClr w14:val="tx1"/>
                  </w14:solidFill>
                </w14:textFill>
              </w:rPr>
              <w:t>供应商</w:t>
            </w:r>
            <w:r>
              <w:rPr>
                <w:rFonts w:hint="eastAsia" w:ascii="宋体" w:hAnsi="宋体" w:eastAsia="宋体" w:cs="宋体"/>
                <w:bCs/>
                <w:color w:val="000000" w:themeColor="text1"/>
                <w:kern w:val="0"/>
                <w:sz w:val="28"/>
                <w:szCs w:val="28"/>
                <w:highlight w:val="none"/>
                <w14:textFill>
                  <w14:solidFill>
                    <w14:schemeClr w14:val="tx1"/>
                  </w14:solidFill>
                </w14:textFill>
              </w:rPr>
              <w:t>为自然人的，由其本人或者代理人签字确认。</w:t>
            </w:r>
          </w:p>
          <w:p w14:paraId="4D143290">
            <w:pPr>
              <w:keepNext w:val="0"/>
              <w:keepLines w:val="0"/>
              <w:pageBreakBefore w:val="0"/>
              <w:kinsoku/>
              <w:wordWrap/>
              <w:overflowPunct/>
              <w:topLinePunct w:val="0"/>
              <w:bidi w:val="0"/>
              <w:adjustRightInd/>
              <w:snapToGrid/>
              <w:spacing w:line="560" w:lineRule="exact"/>
              <w:jc w:val="left"/>
              <w:rPr>
                <w:rFonts w:hint="eastAsia" w:ascii="宋体" w:hAnsi="宋体" w:eastAsia="宋体" w:cs="宋体"/>
                <w:b/>
                <w:bCs/>
                <w:color w:val="000000" w:themeColor="text1"/>
                <w:sz w:val="28"/>
                <w:szCs w:val="28"/>
                <w:highlight w:val="none"/>
                <w:lang w:val="en-US" w:eastAsia="zh-CN"/>
                <w14:textFill>
                  <w14:solidFill>
                    <w14:schemeClr w14:val="tx1"/>
                  </w14:solidFill>
                </w14:textFill>
              </w:rPr>
            </w:pPr>
            <w:r>
              <w:rPr>
                <w:rFonts w:hint="eastAsia" w:ascii="宋体" w:hAnsi="宋体" w:cs="宋体"/>
                <w:bCs/>
                <w:color w:val="000000" w:themeColor="text1"/>
                <w:kern w:val="0"/>
                <w:sz w:val="28"/>
                <w:szCs w:val="28"/>
                <w:highlight w:val="none"/>
                <w:lang w:eastAsia="zh-CN"/>
                <w14:textFill>
                  <w14:solidFill>
                    <w14:schemeClr w14:val="tx1"/>
                  </w14:solidFill>
                </w14:textFill>
              </w:rPr>
              <w:t>供应商</w:t>
            </w:r>
            <w:r>
              <w:rPr>
                <w:rFonts w:hint="eastAsia" w:ascii="宋体" w:hAnsi="宋体" w:eastAsia="宋体" w:cs="宋体"/>
                <w:bCs/>
                <w:color w:val="000000" w:themeColor="text1"/>
                <w:kern w:val="0"/>
                <w:sz w:val="28"/>
                <w:szCs w:val="28"/>
                <w:highlight w:val="none"/>
                <w14:textFill>
                  <w14:solidFill>
                    <w14:schemeClr w14:val="tx1"/>
                  </w14:solidFill>
                </w14:textFill>
              </w:rPr>
              <w:t>提供书面说明后，评标小组应当结合采购项目采购需求、专业实际情况、</w:t>
            </w:r>
            <w:r>
              <w:rPr>
                <w:rFonts w:hint="eastAsia" w:ascii="宋体" w:hAnsi="宋体" w:cs="宋体"/>
                <w:bCs/>
                <w:color w:val="000000" w:themeColor="text1"/>
                <w:kern w:val="0"/>
                <w:sz w:val="28"/>
                <w:szCs w:val="28"/>
                <w:highlight w:val="none"/>
                <w:lang w:eastAsia="zh-CN"/>
                <w14:textFill>
                  <w14:solidFill>
                    <w14:schemeClr w14:val="tx1"/>
                  </w14:solidFill>
                </w14:textFill>
              </w:rPr>
              <w:t>供应商</w:t>
            </w:r>
            <w:r>
              <w:rPr>
                <w:rFonts w:hint="eastAsia" w:ascii="宋体" w:hAnsi="宋体" w:eastAsia="宋体" w:cs="宋体"/>
                <w:bCs/>
                <w:color w:val="000000" w:themeColor="text1"/>
                <w:kern w:val="0"/>
                <w:sz w:val="28"/>
                <w:szCs w:val="28"/>
                <w:highlight w:val="none"/>
                <w14:textFill>
                  <w14:solidFill>
                    <w14:schemeClr w14:val="tx1"/>
                  </w14:solidFill>
                </w14:textFill>
              </w:rPr>
              <w:t>财务状况报告、与其他</w:t>
            </w:r>
            <w:r>
              <w:rPr>
                <w:rFonts w:hint="eastAsia" w:ascii="宋体" w:hAnsi="宋体" w:cs="宋体"/>
                <w:bCs/>
                <w:color w:val="000000" w:themeColor="text1"/>
                <w:kern w:val="0"/>
                <w:sz w:val="28"/>
                <w:szCs w:val="28"/>
                <w:highlight w:val="none"/>
                <w:lang w:eastAsia="zh-CN"/>
                <w14:textFill>
                  <w14:solidFill>
                    <w14:schemeClr w14:val="tx1"/>
                  </w14:solidFill>
                </w14:textFill>
              </w:rPr>
              <w:t>供应商</w:t>
            </w:r>
            <w:r>
              <w:rPr>
                <w:rFonts w:hint="eastAsia" w:ascii="宋体" w:hAnsi="宋体" w:eastAsia="宋体" w:cs="宋体"/>
                <w:bCs/>
                <w:color w:val="000000" w:themeColor="text1"/>
                <w:kern w:val="0"/>
                <w:sz w:val="28"/>
                <w:szCs w:val="28"/>
                <w:highlight w:val="none"/>
                <w14:textFill>
                  <w14:solidFill>
                    <w14:schemeClr w14:val="tx1"/>
                  </w14:solidFill>
                </w14:textFill>
              </w:rPr>
              <w:t>比较情况等就</w:t>
            </w:r>
            <w:r>
              <w:rPr>
                <w:rFonts w:hint="eastAsia" w:ascii="宋体" w:hAnsi="宋体" w:cs="宋体"/>
                <w:bCs/>
                <w:color w:val="000000" w:themeColor="text1"/>
                <w:kern w:val="0"/>
                <w:sz w:val="28"/>
                <w:szCs w:val="28"/>
                <w:highlight w:val="none"/>
                <w:lang w:eastAsia="zh-CN"/>
                <w14:textFill>
                  <w14:solidFill>
                    <w14:schemeClr w14:val="tx1"/>
                  </w14:solidFill>
                </w14:textFill>
              </w:rPr>
              <w:t>供应商</w:t>
            </w:r>
            <w:r>
              <w:rPr>
                <w:rFonts w:hint="eastAsia" w:ascii="宋体" w:hAnsi="宋体" w:eastAsia="宋体" w:cs="宋体"/>
                <w:bCs/>
                <w:color w:val="000000" w:themeColor="text1"/>
                <w:kern w:val="0"/>
                <w:sz w:val="28"/>
                <w:szCs w:val="28"/>
                <w:highlight w:val="none"/>
                <w14:textFill>
                  <w14:solidFill>
                    <w14:schemeClr w14:val="tx1"/>
                  </w14:solidFill>
                </w14:textFill>
              </w:rPr>
              <w:t>书面说明进行审查评价。</w:t>
            </w:r>
            <w:r>
              <w:rPr>
                <w:rFonts w:hint="eastAsia" w:ascii="宋体" w:hAnsi="宋体" w:cs="宋体"/>
                <w:bCs/>
                <w:color w:val="000000" w:themeColor="text1"/>
                <w:kern w:val="0"/>
                <w:sz w:val="28"/>
                <w:szCs w:val="28"/>
                <w:highlight w:val="none"/>
                <w:lang w:eastAsia="zh-CN"/>
                <w14:textFill>
                  <w14:solidFill>
                    <w14:schemeClr w14:val="tx1"/>
                  </w14:solidFill>
                </w14:textFill>
              </w:rPr>
              <w:t>供应商</w:t>
            </w:r>
            <w:r>
              <w:rPr>
                <w:rFonts w:hint="eastAsia" w:ascii="宋体" w:hAnsi="宋体" w:eastAsia="宋体" w:cs="宋体"/>
                <w:bCs/>
                <w:color w:val="000000" w:themeColor="text1"/>
                <w:kern w:val="0"/>
                <w:sz w:val="28"/>
                <w:szCs w:val="28"/>
                <w:highlight w:val="none"/>
                <w14:textFill>
                  <w14:solidFill>
                    <w14:schemeClr w14:val="tx1"/>
                  </w14:solidFill>
                </w14:textFill>
              </w:rPr>
              <w:t>拒绝或者变相拒绝提供有效书面说明或者书面说明不能证明其报价合理性的，评标小组应当将其投标文件作为无效处理。</w:t>
            </w:r>
          </w:p>
        </w:tc>
      </w:tr>
      <w:tr w14:paraId="265DEA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14:paraId="118A5C1C">
            <w:pPr>
              <w:keepNext w:val="0"/>
              <w:keepLines w:val="0"/>
              <w:pageBreakBefore w:val="0"/>
              <w:kinsoku/>
              <w:wordWrap/>
              <w:overflowPunct/>
              <w:topLinePunct w:val="0"/>
              <w:bidi w:val="0"/>
              <w:adjustRightInd/>
              <w:snapToGrid/>
              <w:spacing w:line="560" w:lineRule="exact"/>
              <w:jc w:val="center"/>
              <w:rPr>
                <w:rFonts w:hint="default" w:ascii="宋体" w:hAnsi="宋体" w:cs="宋体"/>
                <w:color w:val="000000" w:themeColor="text1"/>
                <w:sz w:val="28"/>
                <w:szCs w:val="28"/>
                <w:highlight w:val="none"/>
                <w:lang w:val="en-US" w:eastAsia="zh-CN"/>
                <w14:textFill>
                  <w14:solidFill>
                    <w14:schemeClr w14:val="tx1"/>
                  </w14:solidFill>
                </w14:textFill>
              </w:rPr>
            </w:pPr>
            <w:r>
              <w:rPr>
                <w:rFonts w:hint="eastAsia" w:ascii="宋体" w:hAnsi="宋体" w:cs="宋体"/>
                <w:color w:val="000000" w:themeColor="text1"/>
                <w:sz w:val="28"/>
                <w:szCs w:val="28"/>
                <w:highlight w:val="none"/>
                <w:lang w:val="en-US" w:eastAsia="zh-CN"/>
                <w14:textFill>
                  <w14:solidFill>
                    <w14:schemeClr w14:val="tx1"/>
                  </w14:solidFill>
                </w14:textFill>
              </w:rPr>
              <w:t>34</w:t>
            </w:r>
          </w:p>
        </w:tc>
        <w:tc>
          <w:tcPr>
            <w:tcW w:w="2239" w:type="dxa"/>
            <w:tcBorders>
              <w:top w:val="single" w:color="auto" w:sz="4" w:space="0"/>
              <w:left w:val="single" w:color="auto" w:sz="4" w:space="0"/>
              <w:bottom w:val="single" w:color="auto" w:sz="4" w:space="0"/>
              <w:right w:val="single" w:color="auto" w:sz="4" w:space="0"/>
            </w:tcBorders>
            <w:vAlign w:val="center"/>
          </w:tcPr>
          <w:p w14:paraId="31F63E5B">
            <w:pPr>
              <w:pStyle w:val="159"/>
              <w:keepLines w:val="0"/>
              <w:pageBreakBefore w:val="0"/>
              <w:widowControl w:val="0"/>
              <w:shd w:val="clear" w:color="auto" w:fill="auto"/>
              <w:kinsoku/>
              <w:wordWrap/>
              <w:overflowPunct/>
              <w:topLinePunct w:val="0"/>
              <w:bidi w:val="0"/>
              <w:adjustRightInd/>
              <w:snapToGrid/>
              <w:spacing w:line="360" w:lineRule="auto"/>
              <w:ind w:left="0" w:leftChars="0" w:firstLine="0" w:firstLineChars="0"/>
              <w:jc w:val="center"/>
              <w:textAlignment w:val="auto"/>
              <w:rPr>
                <w:rFonts w:hint="eastAsia" w:ascii="宋体" w:hAnsi="宋体" w:eastAsia="宋体" w:cs="宋体"/>
                <w:b/>
                <w:bCs w:val="0"/>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lang w:eastAsia="zh-CN"/>
                <w14:textFill>
                  <w14:solidFill>
                    <w14:schemeClr w14:val="tx1"/>
                  </w14:solidFill>
                </w14:textFill>
              </w:rPr>
              <w:t>评审</w:t>
            </w:r>
            <w:r>
              <w:rPr>
                <w:rFonts w:hint="eastAsia" w:ascii="宋体" w:hAnsi="宋体" w:eastAsia="宋体" w:cs="宋体"/>
                <w:b/>
                <w:bCs/>
                <w:color w:val="000000" w:themeColor="text1"/>
                <w:sz w:val="28"/>
                <w:szCs w:val="28"/>
                <w:highlight w:val="none"/>
                <w14:textFill>
                  <w14:solidFill>
                    <w14:schemeClr w14:val="tx1"/>
                  </w14:solidFill>
                </w14:textFill>
              </w:rPr>
              <w:t>小组的组建及确定方式</w:t>
            </w:r>
          </w:p>
        </w:tc>
        <w:tc>
          <w:tcPr>
            <w:tcW w:w="7297" w:type="dxa"/>
            <w:tcBorders>
              <w:top w:val="single" w:color="auto" w:sz="4" w:space="0"/>
              <w:left w:val="single" w:color="auto" w:sz="4" w:space="0"/>
              <w:bottom w:val="single" w:color="auto" w:sz="4" w:space="0"/>
              <w:right w:val="single" w:color="auto" w:sz="4" w:space="0"/>
            </w:tcBorders>
            <w:vAlign w:val="center"/>
          </w:tcPr>
          <w:p w14:paraId="4D6202D8">
            <w:pPr>
              <w:pStyle w:val="159"/>
              <w:keepLines w:val="0"/>
              <w:pageBreakBefore w:val="0"/>
              <w:widowControl w:val="0"/>
              <w:shd w:val="clear" w:color="auto" w:fill="auto"/>
              <w:kinsoku/>
              <w:wordWrap/>
              <w:overflowPunct/>
              <w:topLinePunct w:val="0"/>
              <w:bidi w:val="0"/>
              <w:adjustRightInd/>
              <w:snapToGrid/>
              <w:spacing w:line="360" w:lineRule="auto"/>
              <w:ind w:left="0" w:leftChars="0" w:firstLine="0" w:firstLineChars="0"/>
              <w:textAlignment w:val="auto"/>
              <w:rPr>
                <w:rFonts w:hint="eastAsia" w:ascii="宋体" w:hAnsi="宋体" w:cs="宋体"/>
                <w:bCs/>
                <w:color w:val="000000" w:themeColor="text1"/>
                <w:kern w:val="0"/>
                <w:sz w:val="28"/>
                <w:szCs w:val="28"/>
                <w:highlight w:val="none"/>
                <w:lang w:eastAsia="zh-CN"/>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采购人依法组建</w:t>
            </w:r>
            <w:r>
              <w:rPr>
                <w:rFonts w:hint="eastAsia" w:ascii="宋体" w:hAnsi="宋体" w:eastAsia="宋体" w:cs="宋体"/>
                <w:color w:val="000000" w:themeColor="text1"/>
                <w:sz w:val="28"/>
                <w:szCs w:val="28"/>
                <w:highlight w:val="none"/>
                <w:lang w:eastAsia="zh-CN"/>
                <w14:textFill>
                  <w14:solidFill>
                    <w14:schemeClr w14:val="tx1"/>
                  </w14:solidFill>
                </w14:textFill>
              </w:rPr>
              <w:t>评审</w:t>
            </w:r>
            <w:r>
              <w:rPr>
                <w:rFonts w:hint="eastAsia" w:ascii="宋体" w:hAnsi="宋体" w:eastAsia="宋体" w:cs="宋体"/>
                <w:color w:val="000000" w:themeColor="text1"/>
                <w:sz w:val="28"/>
                <w:szCs w:val="28"/>
                <w:highlight w:val="none"/>
                <w14:textFill>
                  <w14:solidFill>
                    <w14:schemeClr w14:val="tx1"/>
                  </w14:solidFill>
                </w14:textFill>
              </w:rPr>
              <w:t>小组共</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sz w:val="28"/>
                <w:szCs w:val="28"/>
                <w:highlight w:val="none"/>
                <w:u w:val="single"/>
                <w:lang w:val="en-US" w:eastAsia="zh-CN"/>
                <w14:textFill>
                  <w14:solidFill>
                    <w14:schemeClr w14:val="tx1"/>
                  </w14:solidFill>
                </w14:textFill>
              </w:rPr>
              <w:t>5</w:t>
            </w:r>
            <w:r>
              <w:rPr>
                <w:rFonts w:hint="eastAsia" w:ascii="宋体" w:hAnsi="宋体" w:eastAsia="宋体" w:cs="宋体"/>
                <w:color w:val="000000" w:themeColor="text1"/>
                <w:sz w:val="28"/>
                <w:szCs w:val="28"/>
                <w:highlight w:val="none"/>
                <w14:textFill>
                  <w14:solidFill>
                    <w14:schemeClr w14:val="tx1"/>
                  </w14:solidFill>
                </w14:textFill>
              </w:rPr>
              <w:t>人，</w:t>
            </w:r>
            <w:r>
              <w:rPr>
                <w:rFonts w:hint="eastAsia" w:ascii="宋体" w:hAnsi="宋体" w:eastAsia="宋体" w:cs="宋体"/>
                <w:color w:val="000000" w:themeColor="text1"/>
                <w:sz w:val="28"/>
                <w:szCs w:val="28"/>
                <w:highlight w:val="none"/>
                <w:lang w:val="en-US" w:eastAsia="zh-CN"/>
                <w14:textFill>
                  <w14:solidFill>
                    <w14:schemeClr w14:val="tx1"/>
                  </w14:solidFill>
                </w14:textFill>
              </w:rPr>
              <w:t>由</w:t>
            </w:r>
            <w:r>
              <w:rPr>
                <w:rFonts w:hint="eastAsia" w:ascii="宋体" w:hAnsi="宋体" w:eastAsia="宋体" w:cs="宋体"/>
                <w:color w:val="000000" w:themeColor="text1"/>
                <w:sz w:val="28"/>
                <w:szCs w:val="28"/>
                <w:highlight w:val="none"/>
                <w14:textFill>
                  <w14:solidFill>
                    <w14:schemeClr w14:val="tx1"/>
                  </w14:solidFill>
                </w14:textFill>
              </w:rPr>
              <w:t>采购人代表</w:t>
            </w:r>
            <w:r>
              <w:rPr>
                <w:rFonts w:hint="eastAsia" w:ascii="宋体" w:hAnsi="宋体" w:eastAsia="宋体" w:cs="宋体"/>
                <w:color w:val="000000" w:themeColor="text1"/>
                <w:sz w:val="28"/>
                <w:szCs w:val="28"/>
                <w:highlight w:val="none"/>
                <w:u w:val="none"/>
                <w:lang w:eastAsia="zh-CN"/>
                <w14:textFill>
                  <w14:solidFill>
                    <w14:schemeClr w14:val="tx1"/>
                  </w14:solidFill>
                </w14:textFill>
              </w:rPr>
              <w:t>（</w:t>
            </w:r>
            <w:r>
              <w:rPr>
                <w:rFonts w:hint="eastAsia" w:ascii="宋体" w:hAnsi="宋体" w:eastAsia="宋体" w:cs="宋体"/>
                <w:color w:val="000000" w:themeColor="text1"/>
                <w:sz w:val="28"/>
                <w:szCs w:val="28"/>
                <w:highlight w:val="none"/>
                <w:u w:val="none"/>
                <w:lang w:val="en-US" w:eastAsia="zh-CN"/>
                <w14:textFill>
                  <w14:solidFill>
                    <w14:schemeClr w14:val="tx1"/>
                  </w14:solidFill>
                </w14:textFill>
              </w:rPr>
              <w:t>如有</w:t>
            </w:r>
            <w:r>
              <w:rPr>
                <w:rFonts w:hint="eastAsia" w:ascii="宋体" w:hAnsi="宋体" w:eastAsia="宋体" w:cs="宋体"/>
                <w:color w:val="000000" w:themeColor="text1"/>
                <w:sz w:val="28"/>
                <w:szCs w:val="28"/>
                <w:highlight w:val="none"/>
                <w:u w:val="none"/>
                <w:lang w:eastAsia="zh-CN"/>
                <w14:textFill>
                  <w14:solidFill>
                    <w14:schemeClr w14:val="tx1"/>
                  </w14:solidFill>
                </w14:textFill>
              </w:rPr>
              <w:t>）</w:t>
            </w:r>
            <w:r>
              <w:rPr>
                <w:rFonts w:hint="eastAsia" w:ascii="宋体" w:hAnsi="宋体" w:eastAsia="宋体" w:cs="宋体"/>
                <w:color w:val="000000" w:themeColor="text1"/>
                <w:sz w:val="28"/>
                <w:szCs w:val="28"/>
                <w:highlight w:val="none"/>
                <w14:textFill>
                  <w14:solidFill>
                    <w14:schemeClr w14:val="tx1"/>
                  </w14:solidFill>
                </w14:textFill>
              </w:rPr>
              <w:t>和专家评委组成</w:t>
            </w:r>
            <w:r>
              <w:rPr>
                <w:rFonts w:hint="eastAsia" w:ascii="宋体" w:hAnsi="宋体" w:eastAsia="宋体" w:cs="宋体"/>
                <w:color w:val="000000" w:themeColor="text1"/>
                <w:sz w:val="28"/>
                <w:szCs w:val="28"/>
                <w:highlight w:val="none"/>
                <w:u w:val="none"/>
                <w:lang w:eastAsia="zh-CN"/>
                <w14:textFill>
                  <w14:solidFill>
                    <w14:schemeClr w14:val="tx1"/>
                  </w14:solidFill>
                </w14:textFill>
              </w:rPr>
              <w:t>。</w:t>
            </w:r>
            <w:r>
              <w:rPr>
                <w:rFonts w:hint="eastAsia" w:ascii="宋体" w:hAnsi="宋体" w:eastAsia="宋体" w:cs="宋体"/>
                <w:color w:val="000000" w:themeColor="text1"/>
                <w:sz w:val="28"/>
                <w:szCs w:val="28"/>
                <w:highlight w:val="none"/>
                <w14:textFill>
                  <w14:solidFill>
                    <w14:schemeClr w14:val="tx1"/>
                  </w14:solidFill>
                </w14:textFill>
              </w:rPr>
              <w:t>谈判小组确定方式：</w:t>
            </w:r>
            <w:r>
              <w:rPr>
                <w:rFonts w:hint="eastAsia" w:ascii="宋体" w:hAnsi="宋体" w:eastAsia="宋体" w:cs="宋体"/>
                <w:color w:val="000000" w:themeColor="text1"/>
                <w:sz w:val="28"/>
                <w:szCs w:val="28"/>
                <w:highlight w:val="none"/>
                <w:u w:val="single"/>
                <w:lang w:eastAsia="zh-CN"/>
                <w14:textFill>
                  <w14:solidFill>
                    <w14:schemeClr w14:val="tx1"/>
                  </w14:solidFill>
                </w14:textFill>
              </w:rPr>
              <w:t>新疆政府采购网</w:t>
            </w:r>
            <w:r>
              <w:rPr>
                <w:rFonts w:hint="eastAsia" w:ascii="宋体" w:hAnsi="宋体" w:eastAsia="宋体" w:cs="宋体"/>
                <w:color w:val="000000" w:themeColor="text1"/>
                <w:sz w:val="28"/>
                <w:szCs w:val="28"/>
                <w:highlight w:val="none"/>
                <w:u w:val="single"/>
                <w14:textFill>
                  <w14:solidFill>
                    <w14:schemeClr w14:val="tx1"/>
                  </w14:solidFill>
                </w14:textFill>
              </w:rPr>
              <w:t>专家库中随机抽取确定</w:t>
            </w:r>
            <w:r>
              <w:rPr>
                <w:rFonts w:hint="eastAsia" w:ascii="宋体" w:hAnsi="宋体" w:eastAsia="宋体" w:cs="宋体"/>
                <w:color w:val="000000" w:themeColor="text1"/>
                <w:sz w:val="28"/>
                <w:szCs w:val="28"/>
                <w:highlight w:val="none"/>
                <w:u w:val="single"/>
                <w:lang w:val="en-US" w:eastAsia="zh-CN"/>
                <w14:textFill>
                  <w14:solidFill>
                    <w14:schemeClr w14:val="tx1"/>
                  </w14:solidFill>
                </w14:textFill>
              </w:rPr>
              <w:t xml:space="preserve"> </w:t>
            </w:r>
          </w:p>
        </w:tc>
      </w:tr>
    </w:tbl>
    <w:p w14:paraId="0F20DA9A">
      <w:pPr>
        <w:pStyle w:val="143"/>
        <w:pageBreakBefore w:val="0"/>
        <w:wordWrap/>
        <w:topLinePunct w:val="0"/>
        <w:bidi w:val="0"/>
        <w:spacing w:line="560" w:lineRule="exact"/>
        <w:rPr>
          <w:rFonts w:ascii="宋体" w:hAnsi="宋体" w:cs="宋体"/>
          <w:color w:val="000000" w:themeColor="text1"/>
          <w:kern w:val="0"/>
          <w:sz w:val="28"/>
          <w:szCs w:val="28"/>
          <w:highlight w:val="none"/>
          <w14:textFill>
            <w14:solidFill>
              <w14:schemeClr w14:val="tx1"/>
            </w14:solidFill>
          </w14:textFill>
        </w:rPr>
        <w:sectPr>
          <w:footerReference r:id="rId5" w:type="default"/>
          <w:pgSz w:w="11906" w:h="16838"/>
          <w:pgMar w:top="1134" w:right="1134" w:bottom="1134" w:left="1134" w:header="720" w:footer="720" w:gutter="0"/>
          <w:pgNumType w:fmt="decimal"/>
          <w:cols w:space="720" w:num="1"/>
          <w:docGrid w:type="lines" w:linePitch="331" w:charSpace="0"/>
        </w:sectPr>
      </w:pPr>
      <w:r>
        <w:rPr>
          <w:b/>
          <w:bCs w:val="0"/>
          <w:color w:val="000000" w:themeColor="text1"/>
          <w:kern w:val="0"/>
          <w:sz w:val="28"/>
          <w:szCs w:val="28"/>
          <w:highlight w:val="none"/>
          <w14:textFill>
            <w14:solidFill>
              <w14:schemeClr w14:val="tx1"/>
            </w14:solidFill>
          </w14:textFill>
        </w:rPr>
        <w:t>注：</w:t>
      </w:r>
      <w:r>
        <w:rPr>
          <w:rFonts w:hint="eastAsia" w:ascii="宋体" w:hAnsi="宋体" w:cs="宋体"/>
          <w:b/>
          <w:bCs w:val="0"/>
          <w:color w:val="000000" w:themeColor="text1"/>
          <w:kern w:val="0"/>
          <w:sz w:val="28"/>
          <w:szCs w:val="28"/>
          <w:highlight w:val="none"/>
          <w14:textFill>
            <w14:solidFill>
              <w14:schemeClr w14:val="tx1"/>
            </w14:solidFill>
          </w14:textFill>
        </w:rPr>
        <w:t>本表内容与招标文件其它内容不一致的，应当以本表内容为准。</w:t>
      </w:r>
    </w:p>
    <w:p w14:paraId="2A19BB3E">
      <w:pPr>
        <w:pStyle w:val="4"/>
        <w:keepNext w:val="0"/>
        <w:keepLines w:val="0"/>
        <w:pageBreakBefore w:val="0"/>
        <w:kinsoku/>
        <w:wordWrap/>
        <w:overflowPunct/>
        <w:topLinePunct w:val="0"/>
        <w:bidi w:val="0"/>
        <w:adjustRightInd/>
        <w:snapToGrid/>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bookmarkStart w:id="100" w:name="_Toc140742519"/>
      <w:bookmarkStart w:id="101" w:name="_Toc138610889"/>
      <w:bookmarkStart w:id="102" w:name="_Toc140741974"/>
      <w:bookmarkStart w:id="103" w:name="_Toc15006"/>
      <w:r>
        <w:rPr>
          <w:rFonts w:hint="eastAsia" w:ascii="宋体" w:hAnsi="宋体" w:eastAsia="宋体" w:cs="宋体"/>
          <w:color w:val="000000" w:themeColor="text1"/>
          <w:sz w:val="28"/>
          <w:szCs w:val="28"/>
          <w:highlight w:val="none"/>
          <w14:textFill>
            <w14:solidFill>
              <w14:schemeClr w14:val="tx1"/>
            </w14:solidFill>
          </w14:textFill>
        </w:rPr>
        <w:t>一、</w:t>
      </w:r>
      <w:bookmarkEnd w:id="100"/>
      <w:bookmarkEnd w:id="101"/>
      <w:bookmarkEnd w:id="102"/>
      <w:r>
        <w:rPr>
          <w:rFonts w:hint="eastAsia" w:ascii="宋体" w:hAnsi="宋体" w:eastAsia="宋体" w:cs="宋体"/>
          <w:color w:val="000000" w:themeColor="text1"/>
          <w:sz w:val="28"/>
          <w:szCs w:val="28"/>
          <w:highlight w:val="none"/>
          <w:lang w:eastAsia="zh-CN"/>
          <w14:textFill>
            <w14:solidFill>
              <w14:schemeClr w14:val="tx1"/>
            </w14:solidFill>
          </w14:textFill>
        </w:rPr>
        <w:t>供应商</w:t>
      </w:r>
      <w:r>
        <w:rPr>
          <w:rFonts w:hint="eastAsia" w:ascii="宋体" w:hAnsi="宋体" w:eastAsia="宋体" w:cs="宋体"/>
          <w:color w:val="000000" w:themeColor="text1"/>
          <w:sz w:val="28"/>
          <w:szCs w:val="28"/>
          <w:highlight w:val="none"/>
          <w14:textFill>
            <w14:solidFill>
              <w14:schemeClr w14:val="tx1"/>
            </w14:solidFill>
          </w14:textFill>
        </w:rPr>
        <w:t>须知正文</w:t>
      </w:r>
      <w:bookmarkEnd w:id="103"/>
    </w:p>
    <w:p w14:paraId="41A9E8DA">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bookmarkStart w:id="104" w:name="_Toc254970668"/>
      <w:bookmarkStart w:id="105" w:name="_Toc254970527"/>
      <w:r>
        <w:rPr>
          <w:rFonts w:hint="eastAsia" w:ascii="宋体" w:hAnsi="宋体" w:eastAsia="宋体" w:cs="宋体"/>
          <w:color w:val="000000" w:themeColor="text1"/>
          <w:sz w:val="28"/>
          <w:szCs w:val="28"/>
          <w:highlight w:val="none"/>
          <w14:textFill>
            <w14:solidFill>
              <w14:schemeClr w14:val="tx1"/>
            </w14:solidFill>
          </w14:textFill>
        </w:rPr>
        <w:t>1.适用范围</w:t>
      </w:r>
      <w:bookmarkEnd w:id="104"/>
      <w:bookmarkEnd w:id="105"/>
    </w:p>
    <w:p w14:paraId="7F463916">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1.1适用法律：本项目采购人、采购代理机构、</w:t>
      </w:r>
      <w:r>
        <w:rPr>
          <w:rFonts w:hint="eastAsia" w:ascii="宋体" w:hAnsi="宋体" w:cs="宋体"/>
          <w:color w:val="000000" w:themeColor="text1"/>
          <w:sz w:val="28"/>
          <w:szCs w:val="28"/>
          <w:highlight w:val="none"/>
          <w:lang w:eastAsia="zh-CN"/>
          <w14:textFill>
            <w14:solidFill>
              <w14:schemeClr w14:val="tx1"/>
            </w14:solidFill>
          </w14:textFill>
        </w:rPr>
        <w:t>供应商</w:t>
      </w:r>
      <w:r>
        <w:rPr>
          <w:rFonts w:hint="eastAsia" w:ascii="宋体" w:hAnsi="宋体" w:eastAsia="宋体" w:cs="宋体"/>
          <w:color w:val="000000" w:themeColor="text1"/>
          <w:sz w:val="28"/>
          <w:szCs w:val="28"/>
          <w:highlight w:val="none"/>
          <w14:textFill>
            <w14:solidFill>
              <w14:schemeClr w14:val="tx1"/>
            </w14:solidFill>
          </w14:textFill>
        </w:rPr>
        <w:t>、评标委员会的相关行为均受《中华人民共和国政府采购法》、《中华人民共和国政府采购法实施条例》、《政府采购货物和货物招标投标管理办法》及本项目本级和上级财政部门政府采购有关规定的约束和保护。</w:t>
      </w:r>
    </w:p>
    <w:p w14:paraId="480B9806">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1.2本招标文件</w:t>
      </w:r>
      <w:r>
        <w:rPr>
          <w:rFonts w:hint="eastAsia" w:ascii="宋体" w:hAnsi="宋体" w:eastAsia="宋体" w:cs="宋体"/>
          <w:color w:val="000000" w:themeColor="text1"/>
          <w:spacing w:val="-6"/>
          <w:sz w:val="28"/>
          <w:szCs w:val="28"/>
          <w:highlight w:val="none"/>
          <w14:textFill>
            <w14:solidFill>
              <w14:schemeClr w14:val="tx1"/>
            </w14:solidFill>
          </w14:textFill>
        </w:rPr>
        <w:t>适用于本项目的所有采购程序和环节（法律、法规另有规定的，从其规定）。</w:t>
      </w:r>
    </w:p>
    <w:p w14:paraId="3484D1E6">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bookmarkStart w:id="106" w:name="_Toc254970669"/>
      <w:bookmarkStart w:id="107" w:name="_Toc254970528"/>
      <w:r>
        <w:rPr>
          <w:rFonts w:hint="eastAsia" w:ascii="宋体" w:hAnsi="宋体" w:eastAsia="宋体" w:cs="宋体"/>
          <w:color w:val="000000" w:themeColor="text1"/>
          <w:sz w:val="28"/>
          <w:szCs w:val="28"/>
          <w:highlight w:val="none"/>
          <w14:textFill>
            <w14:solidFill>
              <w14:schemeClr w14:val="tx1"/>
            </w14:solidFill>
          </w14:textFill>
        </w:rPr>
        <w:t>2.定义</w:t>
      </w:r>
      <w:bookmarkEnd w:id="106"/>
      <w:bookmarkEnd w:id="107"/>
    </w:p>
    <w:p w14:paraId="08DFAF96">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b w:val="0"/>
          <w:bCs/>
          <w:color w:val="000000" w:themeColor="text1"/>
          <w:sz w:val="28"/>
          <w:szCs w:val="28"/>
          <w:highlight w:val="none"/>
          <w14:textFill>
            <w14:solidFill>
              <w14:schemeClr w14:val="tx1"/>
            </w14:solidFill>
          </w14:textFill>
        </w:rPr>
      </w:pPr>
      <w:r>
        <w:rPr>
          <w:rFonts w:hint="eastAsia" w:ascii="宋体" w:hAnsi="宋体" w:eastAsia="宋体" w:cs="宋体"/>
          <w:b w:val="0"/>
          <w:bCs/>
          <w:color w:val="000000" w:themeColor="text1"/>
          <w:sz w:val="28"/>
          <w:szCs w:val="28"/>
          <w:highlight w:val="none"/>
          <w14:textFill>
            <w14:solidFill>
              <w14:schemeClr w14:val="tx1"/>
            </w14:solidFill>
          </w14:textFill>
        </w:rPr>
        <w:t>2.1“采购人”是指依法进行政府采购的国家机关、事业单位、团体组织。</w:t>
      </w:r>
    </w:p>
    <w:p w14:paraId="3C8C8770">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b w:val="0"/>
          <w:bCs/>
          <w:color w:val="000000" w:themeColor="text1"/>
          <w:sz w:val="28"/>
          <w:szCs w:val="28"/>
          <w:highlight w:val="none"/>
          <w14:textFill>
            <w14:solidFill>
              <w14:schemeClr w14:val="tx1"/>
            </w14:solidFill>
          </w14:textFill>
        </w:rPr>
      </w:pPr>
      <w:r>
        <w:rPr>
          <w:rFonts w:hint="eastAsia" w:ascii="宋体" w:hAnsi="宋体" w:eastAsia="宋体" w:cs="宋体"/>
          <w:b w:val="0"/>
          <w:bCs/>
          <w:color w:val="000000" w:themeColor="text1"/>
          <w:sz w:val="28"/>
          <w:szCs w:val="28"/>
          <w:highlight w:val="none"/>
          <w14:textFill>
            <w14:solidFill>
              <w14:schemeClr w14:val="tx1"/>
            </w14:solidFill>
          </w14:textFill>
        </w:rPr>
        <w:t>2.2“采购代理机构” 指政府采购集中采购机构和集中采购机构以外的采购代理机构。</w:t>
      </w:r>
    </w:p>
    <w:p w14:paraId="0B7503FE">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b w:val="0"/>
          <w:bCs/>
          <w:color w:val="000000" w:themeColor="text1"/>
          <w:sz w:val="28"/>
          <w:szCs w:val="28"/>
          <w:highlight w:val="none"/>
          <w14:textFill>
            <w14:solidFill>
              <w14:schemeClr w14:val="tx1"/>
            </w14:solidFill>
          </w14:textFill>
        </w:rPr>
      </w:pPr>
      <w:r>
        <w:rPr>
          <w:rFonts w:hint="eastAsia" w:ascii="宋体" w:hAnsi="宋体" w:eastAsia="宋体" w:cs="宋体"/>
          <w:b w:val="0"/>
          <w:bCs/>
          <w:color w:val="000000" w:themeColor="text1"/>
          <w:sz w:val="28"/>
          <w:szCs w:val="28"/>
          <w:highlight w:val="none"/>
          <w14:textFill>
            <w14:solidFill>
              <w14:schemeClr w14:val="tx1"/>
            </w14:solidFill>
          </w14:textFill>
        </w:rPr>
        <w:t>2.3“供应商”是指向采购人提供货物、工程或者服务的法人、其他组织或者自然人。</w:t>
      </w:r>
    </w:p>
    <w:p w14:paraId="5D775618">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2.4“</w:t>
      </w:r>
      <w:r>
        <w:rPr>
          <w:rFonts w:hint="eastAsia" w:ascii="宋体" w:hAnsi="宋体" w:cs="宋体"/>
          <w:color w:val="000000" w:themeColor="text1"/>
          <w:sz w:val="28"/>
          <w:szCs w:val="28"/>
          <w:highlight w:val="none"/>
          <w:lang w:eastAsia="zh-CN"/>
          <w14:textFill>
            <w14:solidFill>
              <w14:schemeClr w14:val="tx1"/>
            </w14:solidFill>
          </w14:textFill>
        </w:rPr>
        <w:t>供应商</w:t>
      </w:r>
      <w:r>
        <w:rPr>
          <w:rFonts w:hint="eastAsia" w:ascii="宋体" w:hAnsi="宋体" w:eastAsia="宋体" w:cs="宋体"/>
          <w:color w:val="000000" w:themeColor="text1"/>
          <w:sz w:val="28"/>
          <w:szCs w:val="28"/>
          <w:highlight w:val="none"/>
          <w14:textFill>
            <w14:solidFill>
              <w14:schemeClr w14:val="tx1"/>
            </w14:solidFill>
          </w14:textFill>
        </w:rPr>
        <w:t>”是指响应招标、参加投标竞争的法人、非法人组织或者自然人。</w:t>
      </w:r>
    </w:p>
    <w:p w14:paraId="00BCEA22">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b w:val="0"/>
          <w:bCs/>
          <w:color w:val="000000" w:themeColor="text1"/>
          <w:sz w:val="28"/>
          <w:szCs w:val="28"/>
          <w:highlight w:val="none"/>
          <w14:textFill>
            <w14:solidFill>
              <w14:schemeClr w14:val="tx1"/>
            </w14:solidFill>
          </w14:textFill>
        </w:rPr>
      </w:pPr>
      <w:r>
        <w:rPr>
          <w:rFonts w:hint="eastAsia" w:ascii="宋体" w:hAnsi="宋体" w:eastAsia="宋体" w:cs="宋体"/>
          <w:b w:val="0"/>
          <w:bCs/>
          <w:color w:val="000000" w:themeColor="text1"/>
          <w:sz w:val="28"/>
          <w:szCs w:val="28"/>
          <w:highlight w:val="none"/>
          <w14:textFill>
            <w14:solidFill>
              <w14:schemeClr w14:val="tx1"/>
            </w14:solidFill>
          </w14:textFill>
        </w:rPr>
        <w:t>2.5“货物”是指各种形态和种类的物品，包括原材料、燃料、设备、产品等。</w:t>
      </w:r>
    </w:p>
    <w:p w14:paraId="23581217">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2.6“售后服务” 是指商品出售以后所提供的各种服务，包含但不限于</w:t>
      </w:r>
      <w:r>
        <w:rPr>
          <w:rFonts w:hint="eastAsia" w:ascii="宋体" w:hAnsi="宋体" w:cs="宋体"/>
          <w:color w:val="000000" w:themeColor="text1"/>
          <w:sz w:val="28"/>
          <w:szCs w:val="28"/>
          <w:highlight w:val="none"/>
          <w:lang w:eastAsia="zh-CN"/>
          <w14:textFill>
            <w14:solidFill>
              <w14:schemeClr w14:val="tx1"/>
            </w14:solidFill>
          </w14:textFill>
        </w:rPr>
        <w:t>供应商</w:t>
      </w:r>
      <w:r>
        <w:rPr>
          <w:rFonts w:hint="eastAsia" w:ascii="宋体" w:hAnsi="宋体" w:eastAsia="宋体" w:cs="宋体"/>
          <w:color w:val="000000" w:themeColor="text1"/>
          <w:sz w:val="28"/>
          <w:szCs w:val="28"/>
          <w:highlight w:val="none"/>
          <w14:textFill>
            <w14:solidFill>
              <w14:schemeClr w14:val="tx1"/>
            </w14:solidFill>
          </w14:textFill>
        </w:rPr>
        <w:t>须承担的备品备件、包装、运输、装卸、保险、货到就位以及安装、调试、培训、保修以及其他各种服务。</w:t>
      </w:r>
    </w:p>
    <w:p w14:paraId="0CF722E1">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2.7“书面形式”是指合同书、信件和数据电文（包括电报、电传、传真、电子数据交换和电子邮件）等可以有形地表现所载内容的形式。</w:t>
      </w:r>
    </w:p>
    <w:p w14:paraId="606499F8">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2.8“实质性要求”是指招标文件中已经指明不满足则投标无效的条款，或者不能负偏离的条款，或者采购需求中带“★”的条款。</w:t>
      </w:r>
    </w:p>
    <w:p w14:paraId="4BF22638">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2.9 “正偏离”，是指投标文件对招标文件“采购需求”中有关条款作出的响应优于条款要求并有利于采购人的情形。</w:t>
      </w:r>
    </w:p>
    <w:p w14:paraId="5A7CF4C0">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2.10“负偏离”，是指投标文件对招标文件“采购需求”中有关条款作出的响应不满足条款要求，导致采购人要求不能得到满足的情形。</w:t>
      </w:r>
    </w:p>
    <w:p w14:paraId="3080F808">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2.11“允许负偏离的条款”是指采购需求中的不属于“实质性要求”的条款。</w:t>
      </w:r>
    </w:p>
    <w:p w14:paraId="5B4DC4BD">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bookmarkStart w:id="108" w:name="_Toc254970529"/>
      <w:bookmarkStart w:id="109" w:name="_Toc254970670"/>
      <w:r>
        <w:rPr>
          <w:rFonts w:hint="eastAsia" w:ascii="宋体" w:hAnsi="宋体" w:eastAsia="宋体" w:cs="宋体"/>
          <w:color w:val="000000" w:themeColor="text1"/>
          <w:sz w:val="28"/>
          <w:szCs w:val="28"/>
          <w:highlight w:val="none"/>
          <w14:textFill>
            <w14:solidFill>
              <w14:schemeClr w14:val="tx1"/>
            </w14:solidFill>
          </w14:textFill>
        </w:rPr>
        <w:t>3.</w:t>
      </w:r>
      <w:bookmarkEnd w:id="108"/>
      <w:bookmarkEnd w:id="109"/>
      <w:r>
        <w:rPr>
          <w:rFonts w:hint="eastAsia" w:ascii="宋体" w:hAnsi="宋体" w:cs="宋体"/>
          <w:color w:val="000000" w:themeColor="text1"/>
          <w:sz w:val="28"/>
          <w:szCs w:val="28"/>
          <w:highlight w:val="none"/>
          <w:lang w:eastAsia="zh-CN"/>
          <w14:textFill>
            <w14:solidFill>
              <w14:schemeClr w14:val="tx1"/>
            </w14:solidFill>
          </w14:textFill>
        </w:rPr>
        <w:t>供应商</w:t>
      </w:r>
      <w:r>
        <w:rPr>
          <w:rFonts w:hint="eastAsia" w:ascii="宋体" w:hAnsi="宋体" w:eastAsia="宋体" w:cs="宋体"/>
          <w:color w:val="000000" w:themeColor="text1"/>
          <w:sz w:val="28"/>
          <w:szCs w:val="28"/>
          <w:highlight w:val="none"/>
          <w14:textFill>
            <w14:solidFill>
              <w14:schemeClr w14:val="tx1"/>
            </w14:solidFill>
          </w14:textFill>
        </w:rPr>
        <w:t>的资格要求</w:t>
      </w:r>
    </w:p>
    <w:p w14:paraId="1B9CE26E">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lang w:eastAsia="zh-CN"/>
          <w14:textFill>
            <w14:solidFill>
              <w14:schemeClr w14:val="tx1"/>
            </w14:solidFill>
          </w14:textFill>
        </w:rPr>
        <w:t>供应商</w:t>
      </w:r>
      <w:r>
        <w:rPr>
          <w:rFonts w:hint="eastAsia" w:ascii="宋体" w:hAnsi="宋体" w:eastAsia="宋体" w:cs="宋体"/>
          <w:color w:val="000000" w:themeColor="text1"/>
          <w:sz w:val="28"/>
          <w:szCs w:val="28"/>
          <w:highlight w:val="none"/>
          <w14:textFill>
            <w14:solidFill>
              <w14:schemeClr w14:val="tx1"/>
            </w14:solidFill>
          </w14:textFill>
        </w:rPr>
        <w:t>的资格要求详见“招标公告”。</w:t>
      </w:r>
    </w:p>
    <w:p w14:paraId="2EE6C82E">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bookmarkStart w:id="110" w:name="_Toc254970671"/>
      <w:bookmarkStart w:id="111" w:name="_Toc254970530"/>
      <w:r>
        <w:rPr>
          <w:rFonts w:hint="eastAsia" w:ascii="宋体" w:hAnsi="宋体" w:eastAsia="宋体" w:cs="宋体"/>
          <w:color w:val="000000" w:themeColor="text1"/>
          <w:sz w:val="28"/>
          <w:szCs w:val="28"/>
          <w:highlight w:val="none"/>
          <w14:textFill>
            <w14:solidFill>
              <w14:schemeClr w14:val="tx1"/>
            </w14:solidFill>
          </w14:textFill>
        </w:rPr>
        <w:t>4.投标委托</w:t>
      </w:r>
      <w:bookmarkEnd w:id="110"/>
      <w:bookmarkEnd w:id="111"/>
    </w:p>
    <w:p w14:paraId="11BB0BC4">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lang w:eastAsia="zh-CN"/>
          <w14:textFill>
            <w14:solidFill>
              <w14:schemeClr w14:val="tx1"/>
            </w14:solidFill>
          </w14:textFill>
        </w:rPr>
        <w:t>供应商</w:t>
      </w:r>
      <w:r>
        <w:rPr>
          <w:rFonts w:hint="eastAsia" w:ascii="宋体" w:hAnsi="宋体" w:eastAsia="宋体" w:cs="宋体"/>
          <w:color w:val="000000" w:themeColor="text1"/>
          <w:sz w:val="28"/>
          <w:szCs w:val="28"/>
          <w:highlight w:val="none"/>
          <w14:textFill>
            <w14:solidFill>
              <w14:schemeClr w14:val="tx1"/>
            </w14:solidFill>
          </w14:textFill>
        </w:rPr>
        <w:t>代表参加投标活动过程中必须携带个人有效身份证件。如</w:t>
      </w:r>
      <w:r>
        <w:rPr>
          <w:rFonts w:hint="eastAsia" w:ascii="宋体" w:hAnsi="宋体" w:cs="宋体"/>
          <w:color w:val="000000" w:themeColor="text1"/>
          <w:sz w:val="28"/>
          <w:szCs w:val="28"/>
          <w:highlight w:val="none"/>
          <w:lang w:eastAsia="zh-CN"/>
          <w14:textFill>
            <w14:solidFill>
              <w14:schemeClr w14:val="tx1"/>
            </w14:solidFill>
          </w14:textFill>
        </w:rPr>
        <w:t>供应商</w:t>
      </w:r>
      <w:r>
        <w:rPr>
          <w:rFonts w:hint="eastAsia" w:ascii="宋体" w:hAnsi="宋体" w:eastAsia="宋体" w:cs="宋体"/>
          <w:color w:val="000000" w:themeColor="text1"/>
          <w:sz w:val="28"/>
          <w:szCs w:val="28"/>
          <w:highlight w:val="none"/>
          <w14:textFill>
            <w14:solidFill>
              <w14:schemeClr w14:val="tx1"/>
            </w14:solidFill>
          </w14:textFill>
        </w:rPr>
        <w:t>代表不是法定代表人，须持有法定代表人授权委托书（正本用原件，副本用复印件，按第六章要求格式填写）。</w:t>
      </w:r>
    </w:p>
    <w:p w14:paraId="172A6282">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bookmarkStart w:id="112" w:name="_5.投标费用"/>
      <w:bookmarkEnd w:id="112"/>
      <w:bookmarkStart w:id="113" w:name="_Toc254970672"/>
      <w:bookmarkStart w:id="114" w:name="_Toc254970531"/>
      <w:r>
        <w:rPr>
          <w:rFonts w:hint="eastAsia" w:ascii="宋体" w:hAnsi="宋体" w:eastAsia="宋体" w:cs="宋体"/>
          <w:color w:val="000000" w:themeColor="text1"/>
          <w:sz w:val="28"/>
          <w:szCs w:val="28"/>
          <w:highlight w:val="none"/>
          <w14:textFill>
            <w14:solidFill>
              <w14:schemeClr w14:val="tx1"/>
            </w14:solidFill>
          </w14:textFill>
        </w:rPr>
        <w:t>5.投标费用</w:t>
      </w:r>
      <w:bookmarkEnd w:id="113"/>
      <w:bookmarkEnd w:id="114"/>
    </w:p>
    <w:p w14:paraId="258268B5">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投标费用：</w:t>
      </w:r>
      <w:r>
        <w:rPr>
          <w:rFonts w:hint="eastAsia" w:ascii="宋体" w:hAnsi="宋体" w:cs="宋体"/>
          <w:color w:val="000000" w:themeColor="text1"/>
          <w:sz w:val="28"/>
          <w:szCs w:val="28"/>
          <w:highlight w:val="none"/>
          <w:lang w:eastAsia="zh-CN"/>
          <w14:textFill>
            <w14:solidFill>
              <w14:schemeClr w14:val="tx1"/>
            </w14:solidFill>
          </w14:textFill>
        </w:rPr>
        <w:t>供应商</w:t>
      </w:r>
      <w:r>
        <w:rPr>
          <w:rFonts w:hint="eastAsia" w:ascii="宋体" w:hAnsi="宋体" w:eastAsia="宋体" w:cs="宋体"/>
          <w:color w:val="000000" w:themeColor="text1"/>
          <w:sz w:val="28"/>
          <w:szCs w:val="28"/>
          <w:highlight w:val="none"/>
          <w14:textFill>
            <w14:solidFill>
              <w14:schemeClr w14:val="tx1"/>
            </w14:solidFill>
          </w14:textFill>
        </w:rPr>
        <w:t>应承担参与本次采购活动有关的所有费用，包括但不限于勘查现场、编制投标文件、参加澄清说明、签订合同等，不论投标结果如何，均应自行承担。</w:t>
      </w:r>
    </w:p>
    <w:p w14:paraId="2EA5555E">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6.联合体投标</w:t>
      </w:r>
    </w:p>
    <w:p w14:paraId="546C5FE5">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6.1本项目是否接受联合体投标，详见“</w:t>
      </w:r>
      <w:r>
        <w:rPr>
          <w:rFonts w:hint="eastAsia" w:ascii="宋体" w:hAnsi="宋体" w:cs="宋体"/>
          <w:color w:val="000000" w:themeColor="text1"/>
          <w:sz w:val="28"/>
          <w:szCs w:val="28"/>
          <w:highlight w:val="none"/>
          <w:lang w:eastAsia="zh-CN"/>
          <w14:textFill>
            <w14:solidFill>
              <w14:schemeClr w14:val="tx1"/>
            </w14:solidFill>
          </w14:textFill>
        </w:rPr>
        <w:t>供应商</w:t>
      </w:r>
      <w:r>
        <w:rPr>
          <w:rFonts w:hint="eastAsia" w:ascii="宋体" w:hAnsi="宋体" w:eastAsia="宋体" w:cs="宋体"/>
          <w:color w:val="000000" w:themeColor="text1"/>
          <w:sz w:val="28"/>
          <w:szCs w:val="28"/>
          <w:highlight w:val="none"/>
          <w14:textFill>
            <w14:solidFill>
              <w14:schemeClr w14:val="tx1"/>
            </w14:solidFill>
          </w14:textFill>
        </w:rPr>
        <w:t>须知前附表”。</w:t>
      </w:r>
    </w:p>
    <w:p w14:paraId="041F8D8C">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6.2如接受联合体投标，联合体投标要求详见“</w:t>
      </w:r>
      <w:r>
        <w:rPr>
          <w:rFonts w:hint="eastAsia" w:ascii="宋体" w:hAnsi="宋体" w:cs="宋体"/>
          <w:bCs/>
          <w:color w:val="000000" w:themeColor="text1"/>
          <w:sz w:val="28"/>
          <w:szCs w:val="28"/>
          <w:highlight w:val="none"/>
          <w:lang w:eastAsia="zh-CN"/>
          <w14:textFill>
            <w14:solidFill>
              <w14:schemeClr w14:val="tx1"/>
            </w14:solidFill>
          </w14:textFill>
        </w:rPr>
        <w:t>供应商</w:t>
      </w:r>
      <w:r>
        <w:rPr>
          <w:rFonts w:hint="eastAsia" w:ascii="宋体" w:hAnsi="宋体" w:eastAsia="宋体" w:cs="宋体"/>
          <w:bCs/>
          <w:color w:val="000000" w:themeColor="text1"/>
          <w:sz w:val="28"/>
          <w:szCs w:val="28"/>
          <w:highlight w:val="none"/>
          <w14:textFill>
            <w14:solidFill>
              <w14:schemeClr w14:val="tx1"/>
            </w14:solidFill>
          </w14:textFill>
        </w:rPr>
        <w:t>须知前附表”。</w:t>
      </w:r>
    </w:p>
    <w:p w14:paraId="139627F9">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shd w:val="clear" w:color="auto" w:fill="FFFFFF"/>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6.3根据《政府采购促进中小企业发展管理办法》（财库[2020]46号）第九条规定，接受大中型企业与小微企业组成联合体的采购项目，对于联合协议约定小微企业的合同份额占到合同总金额 30%以上的，采购人、采购代理机构应当对联合体的报价给予 4%-6%（工程项目为 1%—2%）的扣除，用扣除后的价格参加评审。组成联合体的小微企业与联合体内其他企业、分包企业之间存在直接控股、管理关系的，不享受价格扣除优惠政策。</w:t>
      </w:r>
    </w:p>
    <w:p w14:paraId="3B28913F">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7.转包与分包             </w:t>
      </w:r>
    </w:p>
    <w:p w14:paraId="0F486BDC">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b w:val="0"/>
          <w:bCs/>
          <w:color w:val="000000" w:themeColor="text1"/>
          <w:sz w:val="28"/>
          <w:szCs w:val="28"/>
          <w:highlight w:val="none"/>
          <w14:textFill>
            <w14:solidFill>
              <w14:schemeClr w14:val="tx1"/>
            </w14:solidFill>
          </w14:textFill>
        </w:rPr>
      </w:pPr>
      <w:r>
        <w:rPr>
          <w:rFonts w:hint="eastAsia" w:ascii="宋体" w:hAnsi="宋体" w:eastAsia="宋体" w:cs="宋体"/>
          <w:b w:val="0"/>
          <w:bCs/>
          <w:color w:val="000000" w:themeColor="text1"/>
          <w:sz w:val="28"/>
          <w:szCs w:val="28"/>
          <w:highlight w:val="none"/>
          <w14:textFill>
            <w14:solidFill>
              <w14:schemeClr w14:val="tx1"/>
            </w14:solidFill>
          </w14:textFill>
        </w:rPr>
        <w:t>7.1本项目是否允许分包详见“</w:t>
      </w:r>
      <w:r>
        <w:rPr>
          <w:rFonts w:hint="eastAsia" w:ascii="宋体" w:hAnsi="宋体" w:cs="宋体"/>
          <w:b w:val="0"/>
          <w:bCs/>
          <w:color w:val="000000" w:themeColor="text1"/>
          <w:sz w:val="28"/>
          <w:szCs w:val="28"/>
          <w:highlight w:val="none"/>
          <w:lang w:eastAsia="zh-CN"/>
          <w14:textFill>
            <w14:solidFill>
              <w14:schemeClr w14:val="tx1"/>
            </w14:solidFill>
          </w14:textFill>
        </w:rPr>
        <w:t>供应商</w:t>
      </w:r>
      <w:r>
        <w:rPr>
          <w:rFonts w:hint="eastAsia" w:ascii="宋体" w:hAnsi="宋体" w:eastAsia="宋体" w:cs="宋体"/>
          <w:b w:val="0"/>
          <w:bCs/>
          <w:color w:val="000000" w:themeColor="text1"/>
          <w:sz w:val="28"/>
          <w:szCs w:val="28"/>
          <w:highlight w:val="none"/>
          <w14:textFill>
            <w14:solidFill>
              <w14:schemeClr w14:val="tx1"/>
            </w14:solidFill>
          </w14:textFill>
        </w:rPr>
        <w:t>须知前附表”，本项目不允许违法分包。</w:t>
      </w:r>
      <w:r>
        <w:rPr>
          <w:rFonts w:hint="eastAsia" w:ascii="宋体" w:hAnsi="宋体" w:cs="宋体"/>
          <w:b w:val="0"/>
          <w:bCs/>
          <w:color w:val="000000" w:themeColor="text1"/>
          <w:sz w:val="28"/>
          <w:szCs w:val="28"/>
          <w:highlight w:val="none"/>
          <w:lang w:eastAsia="zh-CN"/>
          <w14:textFill>
            <w14:solidFill>
              <w14:schemeClr w14:val="tx1"/>
            </w14:solidFill>
          </w14:textFill>
        </w:rPr>
        <w:t>供应商</w:t>
      </w:r>
      <w:r>
        <w:rPr>
          <w:rFonts w:hint="eastAsia" w:ascii="宋体" w:hAnsi="宋体" w:eastAsia="宋体" w:cs="宋体"/>
          <w:b w:val="0"/>
          <w:bCs/>
          <w:color w:val="000000" w:themeColor="text1"/>
          <w:sz w:val="28"/>
          <w:szCs w:val="28"/>
          <w:highlight w:val="none"/>
          <w14:textFill>
            <w14:solidFill>
              <w14:schemeClr w14:val="tx1"/>
            </w14:solidFill>
          </w14:textFill>
        </w:rPr>
        <w:t>根据招标文件的规定和采购项目的实际情况，拟在中标后将中标项目的非主体、非关键性工作分包的，应当在投标文件中载明分包承担主体，分包承担主体应当具备相应资质条件且不得再次分包。</w:t>
      </w:r>
    </w:p>
    <w:p w14:paraId="7D7CECAC">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7.2</w:t>
      </w:r>
      <w:bookmarkStart w:id="115" w:name="_Toc254970673"/>
      <w:bookmarkStart w:id="116" w:name="_Toc254970532"/>
      <w:r>
        <w:rPr>
          <w:rFonts w:hint="eastAsia" w:ascii="宋体" w:hAnsi="宋体" w:eastAsia="宋体" w:cs="宋体"/>
          <w:bCs/>
          <w:color w:val="000000" w:themeColor="text1"/>
          <w:sz w:val="28"/>
          <w:szCs w:val="28"/>
          <w:highlight w:val="none"/>
          <w14:textFill>
            <w14:solidFill>
              <w14:schemeClr w14:val="tx1"/>
            </w14:solidFill>
          </w14:textFill>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1773522B">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8.特别说明：</w:t>
      </w:r>
      <w:bookmarkEnd w:id="115"/>
      <w:bookmarkEnd w:id="116"/>
      <w:bookmarkStart w:id="117" w:name="_8.1提供相同品牌产品且通过资格审查、符合性审查的不同投标人参加同一合"/>
      <w:bookmarkEnd w:id="117"/>
    </w:p>
    <w:p w14:paraId="0DF04035">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b w:val="0"/>
          <w:bCs/>
          <w:color w:val="000000" w:themeColor="text1"/>
          <w:sz w:val="28"/>
          <w:szCs w:val="28"/>
          <w:highlight w:val="none"/>
          <w14:textFill>
            <w14:solidFill>
              <w14:schemeClr w14:val="tx1"/>
            </w14:solidFill>
          </w14:textFill>
        </w:rPr>
      </w:pPr>
      <w:r>
        <w:rPr>
          <w:rFonts w:hint="eastAsia" w:ascii="宋体" w:hAnsi="宋体" w:eastAsia="宋体" w:cs="宋体"/>
          <w:b w:val="0"/>
          <w:bCs/>
          <w:color w:val="000000" w:themeColor="text1"/>
          <w:sz w:val="28"/>
          <w:szCs w:val="28"/>
          <w:highlight w:val="none"/>
          <w14:textFill>
            <w14:solidFill>
              <w14:schemeClr w14:val="tx1"/>
            </w14:solidFill>
          </w14:textFill>
        </w:rPr>
        <w:t>8.1如果本招标文件要求</w:t>
      </w:r>
      <w:r>
        <w:rPr>
          <w:rFonts w:hint="eastAsia" w:ascii="宋体" w:hAnsi="宋体" w:cs="宋体"/>
          <w:b w:val="0"/>
          <w:bCs/>
          <w:color w:val="000000" w:themeColor="text1"/>
          <w:sz w:val="28"/>
          <w:szCs w:val="28"/>
          <w:highlight w:val="none"/>
          <w:lang w:eastAsia="zh-CN"/>
          <w14:textFill>
            <w14:solidFill>
              <w14:schemeClr w14:val="tx1"/>
            </w14:solidFill>
          </w14:textFill>
        </w:rPr>
        <w:t>供应商</w:t>
      </w:r>
      <w:r>
        <w:rPr>
          <w:rFonts w:hint="eastAsia" w:ascii="宋体" w:hAnsi="宋体" w:eastAsia="宋体" w:cs="宋体"/>
          <w:b w:val="0"/>
          <w:bCs/>
          <w:color w:val="000000" w:themeColor="text1"/>
          <w:sz w:val="28"/>
          <w:szCs w:val="28"/>
          <w:highlight w:val="none"/>
          <w14:textFill>
            <w14:solidFill>
              <w14:schemeClr w14:val="tx1"/>
            </w14:solidFill>
          </w14:textFill>
        </w:rPr>
        <w:t>提供资格、信誉、荣誉、业绩与企业认证等材料的，则</w:t>
      </w:r>
      <w:r>
        <w:rPr>
          <w:rFonts w:hint="eastAsia" w:ascii="宋体" w:hAnsi="宋体" w:cs="宋体"/>
          <w:b w:val="0"/>
          <w:bCs/>
          <w:color w:val="000000" w:themeColor="text1"/>
          <w:sz w:val="28"/>
          <w:szCs w:val="28"/>
          <w:highlight w:val="none"/>
          <w:lang w:eastAsia="zh-CN"/>
          <w14:textFill>
            <w14:solidFill>
              <w14:schemeClr w14:val="tx1"/>
            </w14:solidFill>
          </w14:textFill>
        </w:rPr>
        <w:t>供应商</w:t>
      </w:r>
      <w:r>
        <w:rPr>
          <w:rFonts w:hint="eastAsia" w:ascii="宋体" w:hAnsi="宋体" w:eastAsia="宋体" w:cs="宋体"/>
          <w:b w:val="0"/>
          <w:bCs/>
          <w:color w:val="000000" w:themeColor="text1"/>
          <w:sz w:val="28"/>
          <w:szCs w:val="28"/>
          <w:highlight w:val="none"/>
          <w14:textFill>
            <w14:solidFill>
              <w14:schemeClr w14:val="tx1"/>
            </w14:solidFill>
          </w14:textFill>
        </w:rPr>
        <w:t>所提供的以上材料必须为</w:t>
      </w:r>
      <w:r>
        <w:rPr>
          <w:rFonts w:hint="eastAsia" w:ascii="宋体" w:hAnsi="宋体" w:cs="宋体"/>
          <w:b w:val="0"/>
          <w:bCs/>
          <w:color w:val="000000" w:themeColor="text1"/>
          <w:sz w:val="28"/>
          <w:szCs w:val="28"/>
          <w:highlight w:val="none"/>
          <w:lang w:eastAsia="zh-CN"/>
          <w14:textFill>
            <w14:solidFill>
              <w14:schemeClr w14:val="tx1"/>
            </w14:solidFill>
          </w14:textFill>
        </w:rPr>
        <w:t>供应商</w:t>
      </w:r>
      <w:r>
        <w:rPr>
          <w:rFonts w:hint="eastAsia" w:ascii="宋体" w:hAnsi="宋体" w:eastAsia="宋体" w:cs="宋体"/>
          <w:b w:val="0"/>
          <w:bCs/>
          <w:color w:val="000000" w:themeColor="text1"/>
          <w:sz w:val="28"/>
          <w:szCs w:val="28"/>
          <w:highlight w:val="none"/>
          <w14:textFill>
            <w14:solidFill>
              <w14:schemeClr w14:val="tx1"/>
            </w14:solidFill>
          </w14:textFill>
        </w:rPr>
        <w:t>所拥有。</w:t>
      </w:r>
    </w:p>
    <w:p w14:paraId="644A62DF">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b w:val="0"/>
          <w:bCs/>
          <w:color w:val="000000" w:themeColor="text1"/>
          <w:sz w:val="28"/>
          <w:szCs w:val="28"/>
          <w:highlight w:val="none"/>
          <w14:textFill>
            <w14:solidFill>
              <w14:schemeClr w14:val="tx1"/>
            </w14:solidFill>
          </w14:textFill>
        </w:rPr>
      </w:pPr>
      <w:r>
        <w:rPr>
          <w:rFonts w:hint="eastAsia" w:ascii="宋体" w:hAnsi="宋体" w:eastAsia="宋体" w:cs="宋体"/>
          <w:b w:val="0"/>
          <w:bCs/>
          <w:color w:val="000000" w:themeColor="text1"/>
          <w:sz w:val="28"/>
          <w:szCs w:val="28"/>
          <w:highlight w:val="none"/>
          <w14:textFill>
            <w14:solidFill>
              <w14:schemeClr w14:val="tx1"/>
            </w14:solidFill>
          </w14:textFill>
        </w:rPr>
        <w:t>8.2</w:t>
      </w:r>
      <w:r>
        <w:rPr>
          <w:rFonts w:hint="eastAsia" w:ascii="宋体" w:hAnsi="宋体" w:cs="宋体"/>
          <w:b w:val="0"/>
          <w:bCs/>
          <w:color w:val="000000" w:themeColor="text1"/>
          <w:sz w:val="28"/>
          <w:szCs w:val="28"/>
          <w:highlight w:val="none"/>
          <w:lang w:eastAsia="zh-CN"/>
          <w14:textFill>
            <w14:solidFill>
              <w14:schemeClr w14:val="tx1"/>
            </w14:solidFill>
          </w14:textFill>
        </w:rPr>
        <w:t>供应商</w:t>
      </w:r>
      <w:r>
        <w:rPr>
          <w:rFonts w:hint="eastAsia" w:ascii="宋体" w:hAnsi="宋体" w:eastAsia="宋体" w:cs="宋体"/>
          <w:b w:val="0"/>
          <w:bCs/>
          <w:color w:val="000000" w:themeColor="text1"/>
          <w:sz w:val="28"/>
          <w:szCs w:val="28"/>
          <w:highlight w:val="none"/>
          <w14:textFill>
            <w14:solidFill>
              <w14:schemeClr w14:val="tx1"/>
            </w14:solidFill>
          </w14:textFill>
        </w:rPr>
        <w:t>应仔细阅读招标文件的所有内容，按照招标文件的要求提交投标文件，并对所提供的全部资料的真实性承担法律责任。</w:t>
      </w:r>
    </w:p>
    <w:p w14:paraId="00F2866E">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b w:val="0"/>
          <w:bCs/>
          <w:color w:val="000000" w:themeColor="text1"/>
          <w:sz w:val="28"/>
          <w:szCs w:val="28"/>
          <w:highlight w:val="none"/>
          <w14:textFill>
            <w14:solidFill>
              <w14:schemeClr w14:val="tx1"/>
            </w14:solidFill>
          </w14:textFill>
        </w:rPr>
      </w:pPr>
      <w:r>
        <w:rPr>
          <w:rFonts w:hint="eastAsia" w:ascii="宋体" w:hAnsi="宋体" w:eastAsia="宋体" w:cs="宋体"/>
          <w:b w:val="0"/>
          <w:bCs/>
          <w:color w:val="000000" w:themeColor="text1"/>
          <w:sz w:val="28"/>
          <w:szCs w:val="28"/>
          <w:highlight w:val="none"/>
          <w14:textFill>
            <w14:solidFill>
              <w14:schemeClr w14:val="tx1"/>
            </w14:solidFill>
          </w14:textFill>
        </w:rPr>
        <w:t>8.3</w:t>
      </w:r>
      <w:r>
        <w:rPr>
          <w:rFonts w:hint="eastAsia" w:ascii="宋体" w:hAnsi="宋体" w:cs="宋体"/>
          <w:b w:val="0"/>
          <w:bCs/>
          <w:color w:val="000000" w:themeColor="text1"/>
          <w:sz w:val="28"/>
          <w:szCs w:val="28"/>
          <w:highlight w:val="none"/>
          <w:lang w:eastAsia="zh-CN"/>
          <w14:textFill>
            <w14:solidFill>
              <w14:schemeClr w14:val="tx1"/>
            </w14:solidFill>
          </w14:textFill>
        </w:rPr>
        <w:t>供应商</w:t>
      </w:r>
      <w:r>
        <w:rPr>
          <w:rFonts w:hint="eastAsia" w:ascii="宋体" w:hAnsi="宋体" w:eastAsia="宋体" w:cs="宋体"/>
          <w:b w:val="0"/>
          <w:bCs/>
          <w:color w:val="000000" w:themeColor="text1"/>
          <w:sz w:val="28"/>
          <w:szCs w:val="28"/>
          <w:highlight w:val="none"/>
          <w14:textFill>
            <w14:solidFill>
              <w14:schemeClr w14:val="tx1"/>
            </w14:solidFill>
          </w14:textFill>
        </w:rPr>
        <w:t>在投标活动中提供任何虚假材料，将报监管部门查处；中标后发现的，中标人须依照《中华人民共和国消费者权益保护法》规定赔偿采购人，且民事赔偿并不免除违法</w:t>
      </w:r>
      <w:r>
        <w:rPr>
          <w:rFonts w:hint="eastAsia" w:ascii="宋体" w:hAnsi="宋体" w:cs="宋体"/>
          <w:b w:val="0"/>
          <w:bCs/>
          <w:color w:val="000000" w:themeColor="text1"/>
          <w:sz w:val="28"/>
          <w:szCs w:val="28"/>
          <w:highlight w:val="none"/>
          <w:lang w:eastAsia="zh-CN"/>
          <w14:textFill>
            <w14:solidFill>
              <w14:schemeClr w14:val="tx1"/>
            </w14:solidFill>
          </w14:textFill>
        </w:rPr>
        <w:t>供应商</w:t>
      </w:r>
      <w:r>
        <w:rPr>
          <w:rFonts w:hint="eastAsia" w:ascii="宋体" w:hAnsi="宋体" w:eastAsia="宋体" w:cs="宋体"/>
          <w:b w:val="0"/>
          <w:bCs/>
          <w:color w:val="000000" w:themeColor="text1"/>
          <w:sz w:val="28"/>
          <w:szCs w:val="28"/>
          <w:highlight w:val="none"/>
          <w14:textFill>
            <w14:solidFill>
              <w14:schemeClr w14:val="tx1"/>
            </w14:solidFill>
          </w14:textFill>
        </w:rPr>
        <w:t>的行政与刑事责任。</w:t>
      </w:r>
    </w:p>
    <w:p w14:paraId="51315033">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9.回避与串通投标</w:t>
      </w:r>
    </w:p>
    <w:p w14:paraId="722F7430">
      <w:pPr>
        <w:keepNext w:val="0"/>
        <w:keepLines w:val="0"/>
        <w:pageBreakBefore w:val="0"/>
        <w:kinsoku/>
        <w:wordWrap/>
        <w:overflowPunct/>
        <w:topLinePunct w:val="0"/>
        <w:bidi w:val="0"/>
        <w:adjustRightInd/>
        <w:snapToGrid/>
        <w:spacing w:line="560" w:lineRule="exact"/>
        <w:ind w:firstLine="562" w:firstLineChars="200"/>
        <w:jc w:val="both"/>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9.1在政府采购活动中，采购人员及相关人员与供应商有下列利害关系之一的，应当回避：</w:t>
      </w:r>
    </w:p>
    <w:p w14:paraId="4E22C75D">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（1）参加采购活动前3年内与供应商存在劳动关系；</w:t>
      </w:r>
    </w:p>
    <w:p w14:paraId="54C39A0C">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（2）参加采购活动前3年内担任供应商的董事、监事；</w:t>
      </w:r>
    </w:p>
    <w:p w14:paraId="2B256C5B">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（3）参加采购活动前3年内是供应商的控股股东或者实际控制人；</w:t>
      </w:r>
    </w:p>
    <w:p w14:paraId="3377ABB6">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（4）与供应商的法定代表人或者负责人有夫妻、直系血亲、三代以内旁系血亲或者近姻亲关系；</w:t>
      </w:r>
    </w:p>
    <w:p w14:paraId="1FA06D8A">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（5）与供应商有其他可能影响政府采购活动公平、公正进行的关系。</w:t>
      </w:r>
    </w:p>
    <w:p w14:paraId="048211FA">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72A9AAF3">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9.2有下列情形之一的视为</w:t>
      </w:r>
      <w:r>
        <w:rPr>
          <w:rFonts w:hint="eastAsia" w:ascii="宋体" w:hAnsi="宋体" w:cs="宋体"/>
          <w:color w:val="000000" w:themeColor="text1"/>
          <w:sz w:val="28"/>
          <w:szCs w:val="28"/>
          <w:highlight w:val="none"/>
          <w:lang w:eastAsia="zh-CN"/>
          <w14:textFill>
            <w14:solidFill>
              <w14:schemeClr w14:val="tx1"/>
            </w14:solidFill>
          </w14:textFill>
        </w:rPr>
        <w:t>供应商</w:t>
      </w:r>
      <w:r>
        <w:rPr>
          <w:rFonts w:hint="eastAsia" w:ascii="宋体" w:hAnsi="宋体" w:eastAsia="宋体" w:cs="宋体"/>
          <w:color w:val="000000" w:themeColor="text1"/>
          <w:sz w:val="28"/>
          <w:szCs w:val="28"/>
          <w:highlight w:val="none"/>
          <w14:textFill>
            <w14:solidFill>
              <w14:schemeClr w14:val="tx1"/>
            </w14:solidFill>
          </w14:textFill>
        </w:rPr>
        <w:t>相互串通投标，投标文件将被视为无效：</w:t>
      </w:r>
    </w:p>
    <w:p w14:paraId="4D451E15">
      <w:pPr>
        <w:keepNext w:val="0"/>
        <w:keepLines w:val="0"/>
        <w:pageBreakBefore w:val="0"/>
        <w:kinsoku/>
        <w:wordWrap/>
        <w:overflowPunct/>
        <w:topLinePunct w:val="0"/>
        <w:bidi w:val="0"/>
        <w:adjustRightInd/>
        <w:snapToGrid/>
        <w:spacing w:line="560" w:lineRule="exact"/>
        <w:ind w:firstLine="562" w:firstLineChars="200"/>
        <w:jc w:val="both"/>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（1）不同</w:t>
      </w:r>
      <w:r>
        <w:rPr>
          <w:rFonts w:hint="eastAsia" w:ascii="宋体" w:hAnsi="宋体" w:cs="宋体"/>
          <w:b/>
          <w:color w:val="000000" w:themeColor="text1"/>
          <w:sz w:val="28"/>
          <w:szCs w:val="28"/>
          <w:highlight w:val="none"/>
          <w:lang w:eastAsia="zh-CN"/>
          <w14:textFill>
            <w14:solidFill>
              <w14:schemeClr w14:val="tx1"/>
            </w14:solidFill>
          </w14:textFill>
        </w:rPr>
        <w:t>供应商</w:t>
      </w:r>
      <w:r>
        <w:rPr>
          <w:rFonts w:hint="eastAsia" w:ascii="宋体" w:hAnsi="宋体" w:eastAsia="宋体" w:cs="宋体"/>
          <w:b/>
          <w:color w:val="000000" w:themeColor="text1"/>
          <w:sz w:val="28"/>
          <w:szCs w:val="28"/>
          <w:highlight w:val="none"/>
          <w14:textFill>
            <w14:solidFill>
              <w14:schemeClr w14:val="tx1"/>
            </w14:solidFill>
          </w14:textFill>
        </w:rPr>
        <w:t>的投标文件由同一单位或者个人编制；或者不同</w:t>
      </w:r>
      <w:r>
        <w:rPr>
          <w:rFonts w:hint="eastAsia" w:ascii="宋体" w:hAnsi="宋体" w:cs="宋体"/>
          <w:b/>
          <w:color w:val="000000" w:themeColor="text1"/>
          <w:sz w:val="28"/>
          <w:szCs w:val="28"/>
          <w:highlight w:val="none"/>
          <w:lang w:eastAsia="zh-CN"/>
          <w14:textFill>
            <w14:solidFill>
              <w14:schemeClr w14:val="tx1"/>
            </w14:solidFill>
          </w14:textFill>
        </w:rPr>
        <w:t>供应商</w:t>
      </w:r>
      <w:r>
        <w:rPr>
          <w:rFonts w:hint="eastAsia" w:ascii="宋体" w:hAnsi="宋体" w:eastAsia="宋体" w:cs="宋体"/>
          <w:b/>
          <w:color w:val="000000" w:themeColor="text1"/>
          <w:sz w:val="28"/>
          <w:szCs w:val="28"/>
          <w:highlight w:val="none"/>
          <w14:textFill>
            <w14:solidFill>
              <w14:schemeClr w14:val="tx1"/>
            </w14:solidFill>
          </w14:textFill>
        </w:rPr>
        <w:t>报名的IP地址一致的；或者编制标书硬件设备CPU编号、硬盘编号、网卡地址一致的情况。</w:t>
      </w:r>
    </w:p>
    <w:p w14:paraId="4F98EC48">
      <w:pPr>
        <w:keepNext w:val="0"/>
        <w:keepLines w:val="0"/>
        <w:pageBreakBefore w:val="0"/>
        <w:kinsoku/>
        <w:wordWrap/>
        <w:overflowPunct/>
        <w:topLinePunct w:val="0"/>
        <w:bidi w:val="0"/>
        <w:adjustRightInd/>
        <w:snapToGrid/>
        <w:spacing w:line="560" w:lineRule="exact"/>
        <w:ind w:firstLine="562" w:firstLineChars="200"/>
        <w:jc w:val="both"/>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（2）不同</w:t>
      </w:r>
      <w:r>
        <w:rPr>
          <w:rFonts w:hint="eastAsia" w:ascii="宋体" w:hAnsi="宋体" w:cs="宋体"/>
          <w:b/>
          <w:color w:val="000000" w:themeColor="text1"/>
          <w:sz w:val="28"/>
          <w:szCs w:val="28"/>
          <w:highlight w:val="none"/>
          <w:lang w:eastAsia="zh-CN"/>
          <w14:textFill>
            <w14:solidFill>
              <w14:schemeClr w14:val="tx1"/>
            </w14:solidFill>
          </w14:textFill>
        </w:rPr>
        <w:t>供应商</w:t>
      </w:r>
      <w:r>
        <w:rPr>
          <w:rFonts w:hint="eastAsia" w:ascii="宋体" w:hAnsi="宋体" w:eastAsia="宋体" w:cs="宋体"/>
          <w:b/>
          <w:color w:val="000000" w:themeColor="text1"/>
          <w:sz w:val="28"/>
          <w:szCs w:val="28"/>
          <w:highlight w:val="none"/>
          <w14:textFill>
            <w14:solidFill>
              <w14:schemeClr w14:val="tx1"/>
            </w14:solidFill>
          </w14:textFill>
        </w:rPr>
        <w:t>委托同一单位或者个人办理投标事宜；</w:t>
      </w:r>
    </w:p>
    <w:p w14:paraId="675649C1">
      <w:pPr>
        <w:keepNext w:val="0"/>
        <w:keepLines w:val="0"/>
        <w:pageBreakBefore w:val="0"/>
        <w:kinsoku/>
        <w:wordWrap/>
        <w:overflowPunct/>
        <w:topLinePunct w:val="0"/>
        <w:bidi w:val="0"/>
        <w:adjustRightInd/>
        <w:snapToGrid/>
        <w:spacing w:line="560" w:lineRule="exact"/>
        <w:ind w:firstLine="562" w:firstLineChars="200"/>
        <w:jc w:val="both"/>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（3）不同的</w:t>
      </w:r>
      <w:r>
        <w:rPr>
          <w:rFonts w:hint="eastAsia" w:ascii="宋体" w:hAnsi="宋体" w:cs="宋体"/>
          <w:b/>
          <w:color w:val="000000" w:themeColor="text1"/>
          <w:sz w:val="28"/>
          <w:szCs w:val="28"/>
          <w:highlight w:val="none"/>
          <w:lang w:eastAsia="zh-CN"/>
          <w14:textFill>
            <w14:solidFill>
              <w14:schemeClr w14:val="tx1"/>
            </w14:solidFill>
          </w14:textFill>
        </w:rPr>
        <w:t>供应商</w:t>
      </w:r>
      <w:r>
        <w:rPr>
          <w:rFonts w:hint="eastAsia" w:ascii="宋体" w:hAnsi="宋体" w:eastAsia="宋体" w:cs="宋体"/>
          <w:b/>
          <w:color w:val="000000" w:themeColor="text1"/>
          <w:sz w:val="28"/>
          <w:szCs w:val="28"/>
          <w:highlight w:val="none"/>
          <w14:textFill>
            <w14:solidFill>
              <w14:schemeClr w14:val="tx1"/>
            </w14:solidFill>
          </w14:textFill>
        </w:rPr>
        <w:t>的投标文件载明的项目管理员为同一个人；</w:t>
      </w:r>
    </w:p>
    <w:p w14:paraId="6276E7FA">
      <w:pPr>
        <w:keepNext w:val="0"/>
        <w:keepLines w:val="0"/>
        <w:pageBreakBefore w:val="0"/>
        <w:kinsoku/>
        <w:wordWrap/>
        <w:overflowPunct/>
        <w:topLinePunct w:val="0"/>
        <w:bidi w:val="0"/>
        <w:adjustRightInd/>
        <w:snapToGrid/>
        <w:spacing w:line="560" w:lineRule="exact"/>
        <w:ind w:firstLine="562" w:firstLineChars="200"/>
        <w:jc w:val="both"/>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（4）不同</w:t>
      </w:r>
      <w:r>
        <w:rPr>
          <w:rFonts w:hint="eastAsia" w:ascii="宋体" w:hAnsi="宋体" w:cs="宋体"/>
          <w:b/>
          <w:color w:val="000000" w:themeColor="text1"/>
          <w:sz w:val="28"/>
          <w:szCs w:val="28"/>
          <w:highlight w:val="none"/>
          <w:lang w:eastAsia="zh-CN"/>
          <w14:textFill>
            <w14:solidFill>
              <w14:schemeClr w14:val="tx1"/>
            </w14:solidFill>
          </w14:textFill>
        </w:rPr>
        <w:t>供应商</w:t>
      </w:r>
      <w:r>
        <w:rPr>
          <w:rFonts w:hint="eastAsia" w:ascii="宋体" w:hAnsi="宋体" w:eastAsia="宋体" w:cs="宋体"/>
          <w:b/>
          <w:color w:val="000000" w:themeColor="text1"/>
          <w:sz w:val="28"/>
          <w:szCs w:val="28"/>
          <w:highlight w:val="none"/>
          <w14:textFill>
            <w14:solidFill>
              <w14:schemeClr w14:val="tx1"/>
            </w14:solidFill>
          </w14:textFill>
        </w:rPr>
        <w:t>的电子或纸质投标文件异常一致或者投标报价呈规律性差异；</w:t>
      </w:r>
    </w:p>
    <w:p w14:paraId="31F8DC1E">
      <w:pPr>
        <w:keepNext w:val="0"/>
        <w:keepLines w:val="0"/>
        <w:pageBreakBefore w:val="0"/>
        <w:kinsoku/>
        <w:wordWrap/>
        <w:overflowPunct/>
        <w:topLinePunct w:val="0"/>
        <w:bidi w:val="0"/>
        <w:adjustRightInd/>
        <w:snapToGrid/>
        <w:spacing w:line="560" w:lineRule="exact"/>
        <w:ind w:firstLine="562" w:firstLineChars="200"/>
        <w:jc w:val="both"/>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（5）不同</w:t>
      </w:r>
      <w:r>
        <w:rPr>
          <w:rFonts w:hint="eastAsia" w:ascii="宋体" w:hAnsi="宋体" w:cs="宋体"/>
          <w:b/>
          <w:color w:val="000000" w:themeColor="text1"/>
          <w:sz w:val="28"/>
          <w:szCs w:val="28"/>
          <w:highlight w:val="none"/>
          <w:lang w:eastAsia="zh-CN"/>
          <w14:textFill>
            <w14:solidFill>
              <w14:schemeClr w14:val="tx1"/>
            </w14:solidFill>
          </w14:textFill>
        </w:rPr>
        <w:t>供应商</w:t>
      </w:r>
      <w:r>
        <w:rPr>
          <w:rFonts w:hint="eastAsia" w:ascii="宋体" w:hAnsi="宋体" w:eastAsia="宋体" w:cs="宋体"/>
          <w:b/>
          <w:color w:val="000000" w:themeColor="text1"/>
          <w:sz w:val="28"/>
          <w:szCs w:val="28"/>
          <w:highlight w:val="none"/>
          <w14:textFill>
            <w14:solidFill>
              <w14:schemeClr w14:val="tx1"/>
            </w14:solidFill>
          </w14:textFill>
        </w:rPr>
        <w:t>的纸质投标文件相互混装；</w:t>
      </w:r>
    </w:p>
    <w:p w14:paraId="3E56E93A">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9.3供应商有下列情形之一的，属于恶意串通行为，将报同级监督管理部门：</w:t>
      </w:r>
    </w:p>
    <w:p w14:paraId="369FDAEF">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（1）供应商直接或者间接从采购人或者采购代理机构处获得其他供应商的相关信息并修改其投标文件或者投标文件；</w:t>
      </w:r>
    </w:p>
    <w:p w14:paraId="0E46F4AE">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（2）供应商按照采购人或者采购代理机构的授意撤换、修改投标文件或者投标文件；</w:t>
      </w:r>
    </w:p>
    <w:p w14:paraId="4A8B53B6">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（3）供应商之间协商报价、技术方案等投标文件或者投标文件的实质性内容；</w:t>
      </w:r>
    </w:p>
    <w:p w14:paraId="4EC714D5">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（4）属于同一集团、协会、商会等组织成员的供应商按照该组织要求协同参加政府采购活动；</w:t>
      </w:r>
    </w:p>
    <w:p w14:paraId="27867EAC">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（5）供应商之间事先约定一致抬高或者压低投标报价，或者在招标项目中事先约定轮流以高价位或者低价位中标，或者事先约定由某一特定供应商中标，然后再参加投标；</w:t>
      </w:r>
    </w:p>
    <w:p w14:paraId="7C2A88B9">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（6）供应商之间商定部分供应商放弃参加政府采购活动或者放弃中标；</w:t>
      </w:r>
    </w:p>
    <w:p w14:paraId="599CDE4E">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（7）供应商与采购人或者采购代理机构之间、供应商相互之间，为谋求特定供应商中标或者排斥其他供应商的其他串通行为。</w:t>
      </w:r>
    </w:p>
    <w:p w14:paraId="22A3A3A1">
      <w:pPr>
        <w:pStyle w:val="4"/>
        <w:keepNext w:val="0"/>
        <w:keepLines w:val="0"/>
        <w:pageBreakBefore w:val="0"/>
        <w:kinsoku/>
        <w:wordWrap/>
        <w:overflowPunct/>
        <w:topLinePunct w:val="0"/>
        <w:bidi w:val="0"/>
        <w:adjustRightInd/>
        <w:snapToGrid/>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bookmarkStart w:id="118" w:name="_Toc254970534"/>
      <w:bookmarkStart w:id="119" w:name="_Toc254970675"/>
      <w:bookmarkStart w:id="120" w:name="_Toc24124"/>
      <w:bookmarkStart w:id="121" w:name="_Toc140742520"/>
      <w:bookmarkStart w:id="122" w:name="_Toc140741975"/>
      <w:bookmarkStart w:id="123" w:name="_Toc138610890"/>
      <w:r>
        <w:rPr>
          <w:rFonts w:hint="eastAsia" w:ascii="宋体" w:hAnsi="宋体" w:eastAsia="宋体" w:cs="宋体"/>
          <w:color w:val="000000" w:themeColor="text1"/>
          <w:sz w:val="28"/>
          <w:szCs w:val="28"/>
          <w:highlight w:val="none"/>
          <w14:textFill>
            <w14:solidFill>
              <w14:schemeClr w14:val="tx1"/>
            </w14:solidFill>
          </w14:textFill>
        </w:rPr>
        <w:t>二、招标文件</w:t>
      </w:r>
      <w:bookmarkEnd w:id="118"/>
      <w:bookmarkEnd w:id="119"/>
      <w:bookmarkEnd w:id="120"/>
      <w:bookmarkEnd w:id="121"/>
      <w:bookmarkEnd w:id="122"/>
      <w:bookmarkEnd w:id="123"/>
    </w:p>
    <w:p w14:paraId="023784FD">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10.招标文件的组成</w:t>
      </w:r>
    </w:p>
    <w:p w14:paraId="02E73044">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第一章 招标公告；</w:t>
      </w:r>
    </w:p>
    <w:p w14:paraId="5161F051">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第二章 </w:t>
      </w:r>
      <w:r>
        <w:rPr>
          <w:rFonts w:hint="eastAsia" w:ascii="宋体" w:hAnsi="宋体" w:cs="宋体"/>
          <w:color w:val="000000" w:themeColor="text1"/>
          <w:sz w:val="28"/>
          <w:szCs w:val="28"/>
          <w:highlight w:val="none"/>
          <w:lang w:eastAsia="zh-CN"/>
          <w14:textFill>
            <w14:solidFill>
              <w14:schemeClr w14:val="tx1"/>
            </w14:solidFill>
          </w14:textFill>
        </w:rPr>
        <w:t>供应商</w:t>
      </w:r>
      <w:r>
        <w:rPr>
          <w:rFonts w:hint="eastAsia" w:ascii="宋体" w:hAnsi="宋体" w:eastAsia="宋体" w:cs="宋体"/>
          <w:color w:val="000000" w:themeColor="text1"/>
          <w:sz w:val="28"/>
          <w:szCs w:val="28"/>
          <w:highlight w:val="none"/>
          <w14:textFill>
            <w14:solidFill>
              <w14:schemeClr w14:val="tx1"/>
            </w14:solidFill>
          </w14:textFill>
        </w:rPr>
        <w:t>须知</w:t>
      </w:r>
      <w:r>
        <w:rPr>
          <w:rFonts w:hint="eastAsia" w:ascii="宋体" w:hAnsi="宋体" w:cs="宋体"/>
          <w:color w:val="000000" w:themeColor="text1"/>
          <w:sz w:val="28"/>
          <w:szCs w:val="28"/>
          <w:highlight w:val="none"/>
          <w:lang w:val="en-US" w:eastAsia="zh-CN"/>
          <w14:textFill>
            <w14:solidFill>
              <w14:schemeClr w14:val="tx1"/>
            </w14:solidFill>
          </w14:textFill>
        </w:rPr>
        <w:t>表</w:t>
      </w:r>
      <w:r>
        <w:rPr>
          <w:rFonts w:hint="eastAsia" w:ascii="宋体" w:hAnsi="宋体" w:eastAsia="宋体" w:cs="宋体"/>
          <w:color w:val="000000" w:themeColor="text1"/>
          <w:sz w:val="28"/>
          <w:szCs w:val="28"/>
          <w:highlight w:val="none"/>
          <w14:textFill>
            <w14:solidFill>
              <w14:schemeClr w14:val="tx1"/>
            </w14:solidFill>
          </w14:textFill>
        </w:rPr>
        <w:t xml:space="preserve">； </w:t>
      </w:r>
    </w:p>
    <w:p w14:paraId="269F57E8">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第三章 采购需求；</w:t>
      </w:r>
    </w:p>
    <w:p w14:paraId="1C220900">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第四章 评标方法及评标标准；</w:t>
      </w:r>
    </w:p>
    <w:p w14:paraId="1CFDB942">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第五章 拟签订的合同文本；</w:t>
      </w:r>
    </w:p>
    <w:p w14:paraId="64874485">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第六章 投标文件格式；</w:t>
      </w:r>
    </w:p>
    <w:p w14:paraId="4D026447">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第七章 质疑、投诉材料格式</w:t>
      </w:r>
    </w:p>
    <w:p w14:paraId="113662B3">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根据本章第11.1项的规定对公开招标文件所做的澄清、修改，构成招标文件的组成部分。当公开招标文件与招标文件的澄清和修改就同一内容的表述不一致时，以最后澄清或修改公告为准。</w:t>
      </w:r>
    </w:p>
    <w:p w14:paraId="3D8ADE26">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11.招标文件的澄清、修改 、现场考察和答疑会</w:t>
      </w:r>
    </w:p>
    <w:p w14:paraId="08DD7CA9">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b w:val="0"/>
          <w:bCs/>
          <w:color w:val="000000" w:themeColor="text1"/>
          <w:sz w:val="28"/>
          <w:szCs w:val="28"/>
          <w:highlight w:val="none"/>
          <w14:textFill>
            <w14:solidFill>
              <w14:schemeClr w14:val="tx1"/>
            </w14:solidFill>
          </w14:textFill>
        </w:rPr>
      </w:pPr>
      <w:r>
        <w:rPr>
          <w:rFonts w:hint="eastAsia" w:ascii="宋体" w:hAnsi="宋体" w:eastAsia="宋体" w:cs="宋体"/>
          <w:b w:val="0"/>
          <w:bCs/>
          <w:color w:val="000000" w:themeColor="text1"/>
          <w:sz w:val="28"/>
          <w:szCs w:val="28"/>
          <w:highlight w:val="none"/>
          <w14:textFill>
            <w14:solidFill>
              <w14:schemeClr w14:val="tx1"/>
            </w14:solidFill>
          </w14:textFill>
        </w:rPr>
        <w:t xml:space="preserve"> 11.1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14:paraId="5DD0F3B6">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11.2 </w:t>
      </w:r>
      <w:r>
        <w:rPr>
          <w:rFonts w:hint="eastAsia" w:ascii="宋体" w:hAnsi="宋体" w:cs="宋体"/>
          <w:color w:val="000000" w:themeColor="text1"/>
          <w:sz w:val="28"/>
          <w:szCs w:val="28"/>
          <w:highlight w:val="none"/>
          <w:lang w:eastAsia="zh-CN"/>
          <w14:textFill>
            <w14:solidFill>
              <w14:schemeClr w14:val="tx1"/>
            </w14:solidFill>
          </w14:textFill>
        </w:rPr>
        <w:t>供应商</w:t>
      </w:r>
      <w:r>
        <w:rPr>
          <w:rFonts w:hint="eastAsia" w:ascii="宋体" w:hAnsi="宋体" w:eastAsia="宋体" w:cs="宋体"/>
          <w:color w:val="000000" w:themeColor="text1"/>
          <w:sz w:val="28"/>
          <w:szCs w:val="28"/>
          <w:highlight w:val="none"/>
          <w14:textFill>
            <w14:solidFill>
              <w14:schemeClr w14:val="tx1"/>
            </w14:solidFill>
          </w14:textFill>
        </w:rPr>
        <w:t>应认真审阅本公开招标文件，如有疑问，或发现其中有误或有要求不合理的，应在</w:t>
      </w:r>
      <w:r>
        <w:rPr>
          <w:rFonts w:hint="eastAsia" w:ascii="宋体" w:hAnsi="宋体" w:cs="宋体"/>
          <w:color w:val="000000" w:themeColor="text1"/>
          <w:sz w:val="28"/>
          <w:szCs w:val="28"/>
          <w:highlight w:val="none"/>
          <w:lang w:eastAsia="zh-CN"/>
          <w14:textFill>
            <w14:solidFill>
              <w14:schemeClr w14:val="tx1"/>
            </w14:solidFill>
          </w14:textFill>
        </w:rPr>
        <w:t>供应商</w:t>
      </w:r>
      <w:r>
        <w:rPr>
          <w:rFonts w:hint="eastAsia" w:ascii="宋体" w:hAnsi="宋体" w:eastAsia="宋体" w:cs="宋体"/>
          <w:color w:val="000000" w:themeColor="text1"/>
          <w:sz w:val="28"/>
          <w:szCs w:val="28"/>
          <w:highlight w:val="none"/>
          <w14:textFill>
            <w14:solidFill>
              <w14:schemeClr w14:val="tx1"/>
            </w14:solidFill>
          </w14:textFill>
        </w:rPr>
        <w:t>须知前附表规定的</w:t>
      </w:r>
      <w:r>
        <w:rPr>
          <w:rFonts w:hint="eastAsia" w:ascii="宋体" w:hAnsi="宋体" w:eastAsia="宋体" w:cs="宋体"/>
          <w:color w:val="000000" w:themeColor="text1"/>
          <w:kern w:val="0"/>
          <w:sz w:val="28"/>
          <w:szCs w:val="28"/>
          <w:highlight w:val="none"/>
          <w14:textFill>
            <w14:solidFill>
              <w14:schemeClr w14:val="tx1"/>
            </w14:solidFill>
          </w14:textFill>
        </w:rPr>
        <w:t>投标截止时间</w:t>
      </w:r>
      <w:r>
        <w:rPr>
          <w:rFonts w:hint="eastAsia" w:ascii="宋体" w:hAnsi="宋体" w:eastAsia="宋体" w:cs="宋体"/>
          <w:color w:val="000000" w:themeColor="text1"/>
          <w:sz w:val="28"/>
          <w:szCs w:val="28"/>
          <w:highlight w:val="none"/>
          <w14:textFill>
            <w14:solidFill>
              <w14:schemeClr w14:val="tx1"/>
            </w14:solidFill>
          </w14:textFill>
        </w:rPr>
        <w:t>前以书面形式要求采购人或采购代理机构对招标文件予以澄清；否则，由此产生的后果由</w:t>
      </w:r>
      <w:r>
        <w:rPr>
          <w:rFonts w:hint="eastAsia" w:ascii="宋体" w:hAnsi="宋体" w:cs="宋体"/>
          <w:color w:val="000000" w:themeColor="text1"/>
          <w:sz w:val="28"/>
          <w:szCs w:val="28"/>
          <w:highlight w:val="none"/>
          <w:lang w:eastAsia="zh-CN"/>
          <w14:textFill>
            <w14:solidFill>
              <w14:schemeClr w14:val="tx1"/>
            </w14:solidFill>
          </w14:textFill>
        </w:rPr>
        <w:t>供应商</w:t>
      </w:r>
      <w:r>
        <w:rPr>
          <w:rFonts w:hint="eastAsia" w:ascii="宋体" w:hAnsi="宋体" w:eastAsia="宋体" w:cs="宋体"/>
          <w:color w:val="000000" w:themeColor="text1"/>
          <w:sz w:val="28"/>
          <w:szCs w:val="28"/>
          <w:highlight w:val="none"/>
          <w14:textFill>
            <w14:solidFill>
              <w14:schemeClr w14:val="tx1"/>
            </w14:solidFill>
          </w14:textFill>
        </w:rPr>
        <w:t>自行负责。</w:t>
      </w:r>
    </w:p>
    <w:p w14:paraId="0E781A59">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11.3 采购人或者采购代理机构可以对已发出的招标文件进行必要的澄清或者修改。澄清或者修改的内容可能影响投标文件编制的，采购人或者采购代理机构应当在投标截止时间至少15日前，以书面形式通知(在“</w:t>
      </w:r>
      <w:r>
        <w:rPr>
          <w:rFonts w:hint="eastAsia" w:ascii="宋体" w:hAnsi="宋体" w:cs="宋体"/>
          <w:color w:val="000000" w:themeColor="text1"/>
          <w:sz w:val="28"/>
          <w:szCs w:val="28"/>
          <w:highlight w:val="none"/>
          <w:lang w:eastAsia="zh-CN"/>
          <w14:textFill>
            <w14:solidFill>
              <w14:schemeClr w14:val="tx1"/>
            </w14:solidFill>
          </w14:textFill>
        </w:rPr>
        <w:t>供应商</w:t>
      </w:r>
      <w:r>
        <w:rPr>
          <w:rFonts w:hint="eastAsia" w:ascii="宋体" w:hAnsi="宋体" w:eastAsia="宋体" w:cs="宋体"/>
          <w:color w:val="000000" w:themeColor="text1"/>
          <w:sz w:val="28"/>
          <w:szCs w:val="28"/>
          <w:highlight w:val="none"/>
          <w14:textFill>
            <w14:solidFill>
              <w14:schemeClr w14:val="tx1"/>
            </w14:solidFill>
          </w14:textFill>
        </w:rPr>
        <w:t>须知前附表”规定的政府采购信息发布媒体上发布更正公告及平台短信通知)所有获取招标文件的潜在</w:t>
      </w:r>
      <w:r>
        <w:rPr>
          <w:rFonts w:hint="eastAsia" w:ascii="宋体" w:hAnsi="宋体" w:cs="宋体"/>
          <w:color w:val="000000" w:themeColor="text1"/>
          <w:sz w:val="28"/>
          <w:szCs w:val="28"/>
          <w:highlight w:val="none"/>
          <w:lang w:eastAsia="zh-CN"/>
          <w14:textFill>
            <w14:solidFill>
              <w14:schemeClr w14:val="tx1"/>
            </w14:solidFill>
          </w14:textFill>
        </w:rPr>
        <w:t>供应商</w:t>
      </w:r>
      <w:r>
        <w:rPr>
          <w:rFonts w:hint="eastAsia" w:ascii="宋体" w:hAnsi="宋体" w:eastAsia="宋体" w:cs="宋体"/>
          <w:color w:val="000000" w:themeColor="text1"/>
          <w:sz w:val="28"/>
          <w:szCs w:val="28"/>
          <w:highlight w:val="none"/>
          <w14:textFill>
            <w14:solidFill>
              <w14:schemeClr w14:val="tx1"/>
            </w14:solidFill>
          </w14:textFill>
        </w:rPr>
        <w:t>；不足15日的，采购人或者采购代理机构应当顺延提交投标文件的截止时间。发出的澄清或者修改不影响投标文件编制的也应在截标前3日发出。</w:t>
      </w:r>
    </w:p>
    <w:p w14:paraId="08078D99">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11.4 采购人和采购代理机构可以视采购具体情况，变更投标截止时间和开标时间，将变更时间将在“</w:t>
      </w:r>
      <w:r>
        <w:rPr>
          <w:rFonts w:hint="eastAsia" w:ascii="宋体" w:hAnsi="宋体" w:cs="宋体"/>
          <w:color w:val="000000" w:themeColor="text1"/>
          <w:sz w:val="28"/>
          <w:szCs w:val="28"/>
          <w:highlight w:val="none"/>
          <w:lang w:eastAsia="zh-CN"/>
          <w14:textFill>
            <w14:solidFill>
              <w14:schemeClr w14:val="tx1"/>
            </w14:solidFill>
          </w14:textFill>
        </w:rPr>
        <w:t>供应商</w:t>
      </w:r>
      <w:r>
        <w:rPr>
          <w:rFonts w:hint="eastAsia" w:ascii="宋体" w:hAnsi="宋体" w:eastAsia="宋体" w:cs="宋体"/>
          <w:color w:val="000000" w:themeColor="text1"/>
          <w:sz w:val="28"/>
          <w:szCs w:val="28"/>
          <w:highlight w:val="none"/>
          <w14:textFill>
            <w14:solidFill>
              <w14:schemeClr w14:val="tx1"/>
            </w14:solidFill>
          </w14:textFill>
        </w:rPr>
        <w:t>须知前附表”</w:t>
      </w:r>
      <w:r>
        <w:rPr>
          <w:rFonts w:hint="eastAsia" w:ascii="宋体" w:hAnsi="宋体" w:eastAsia="宋体" w:cs="宋体"/>
          <w:color w:val="000000" w:themeColor="text1"/>
          <w:kern w:val="0"/>
          <w:sz w:val="28"/>
          <w:szCs w:val="28"/>
          <w:highlight w:val="none"/>
          <w14:textFill>
            <w14:solidFill>
              <w14:schemeClr w14:val="tx1"/>
            </w14:solidFill>
          </w14:textFill>
        </w:rPr>
        <w:t>规定的政府采购信息发布媒体上</w:t>
      </w:r>
      <w:r>
        <w:rPr>
          <w:rFonts w:hint="eastAsia" w:ascii="宋体" w:hAnsi="宋体" w:eastAsia="宋体" w:cs="宋体"/>
          <w:color w:val="000000" w:themeColor="text1"/>
          <w:sz w:val="28"/>
          <w:szCs w:val="28"/>
          <w:highlight w:val="none"/>
          <w14:textFill>
            <w14:solidFill>
              <w14:schemeClr w14:val="tx1"/>
            </w14:solidFill>
          </w14:textFill>
        </w:rPr>
        <w:t>发布更正公告。</w:t>
      </w:r>
    </w:p>
    <w:p w14:paraId="19053B4A">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11.</w:t>
      </w:r>
      <w:bookmarkStart w:id="124" w:name="_Hlk53134511"/>
      <w:r>
        <w:rPr>
          <w:rFonts w:hint="eastAsia" w:ascii="宋体" w:hAnsi="宋体" w:eastAsia="宋体" w:cs="宋体"/>
          <w:color w:val="000000" w:themeColor="text1"/>
          <w:sz w:val="28"/>
          <w:szCs w:val="28"/>
          <w:highlight w:val="none"/>
          <w14:textFill>
            <w14:solidFill>
              <w14:schemeClr w14:val="tx1"/>
            </w14:solidFill>
          </w14:textFill>
        </w:rPr>
        <w:t>5采购人或者采购代理机构可以在招标文件提供期限截止后，组织已获取招标文件的潜在</w:t>
      </w:r>
      <w:r>
        <w:rPr>
          <w:rFonts w:hint="eastAsia" w:ascii="宋体" w:hAnsi="宋体" w:cs="宋体"/>
          <w:color w:val="000000" w:themeColor="text1"/>
          <w:sz w:val="28"/>
          <w:szCs w:val="28"/>
          <w:highlight w:val="none"/>
          <w:lang w:eastAsia="zh-CN"/>
          <w14:textFill>
            <w14:solidFill>
              <w14:schemeClr w14:val="tx1"/>
            </w14:solidFill>
          </w14:textFill>
        </w:rPr>
        <w:t>供应商</w:t>
      </w:r>
      <w:r>
        <w:rPr>
          <w:rFonts w:hint="eastAsia" w:ascii="宋体" w:hAnsi="宋体" w:eastAsia="宋体" w:cs="宋体"/>
          <w:color w:val="000000" w:themeColor="text1"/>
          <w:sz w:val="28"/>
          <w:szCs w:val="28"/>
          <w:highlight w:val="none"/>
          <w14:textFill>
            <w14:solidFill>
              <w14:schemeClr w14:val="tx1"/>
            </w14:solidFill>
          </w14:textFill>
        </w:rPr>
        <w:t>现场考察或者召开开标前答疑会，具体详见“</w:t>
      </w:r>
      <w:r>
        <w:rPr>
          <w:rFonts w:hint="eastAsia" w:ascii="宋体" w:hAnsi="宋体" w:cs="宋体"/>
          <w:color w:val="000000" w:themeColor="text1"/>
          <w:sz w:val="28"/>
          <w:szCs w:val="28"/>
          <w:highlight w:val="none"/>
          <w:lang w:eastAsia="zh-CN"/>
          <w14:textFill>
            <w14:solidFill>
              <w14:schemeClr w14:val="tx1"/>
            </w14:solidFill>
          </w14:textFill>
        </w:rPr>
        <w:t>供应商</w:t>
      </w:r>
      <w:r>
        <w:rPr>
          <w:rFonts w:hint="eastAsia" w:ascii="宋体" w:hAnsi="宋体" w:eastAsia="宋体" w:cs="宋体"/>
          <w:color w:val="000000" w:themeColor="text1"/>
          <w:sz w:val="28"/>
          <w:szCs w:val="28"/>
          <w:highlight w:val="none"/>
          <w14:textFill>
            <w14:solidFill>
              <w14:schemeClr w14:val="tx1"/>
            </w14:solidFill>
          </w14:textFill>
        </w:rPr>
        <w:t>须知前附表”。</w:t>
      </w:r>
    </w:p>
    <w:bookmarkEnd w:id="124"/>
    <w:p w14:paraId="6DA04A2C">
      <w:pPr>
        <w:pStyle w:val="4"/>
        <w:keepNext w:val="0"/>
        <w:keepLines w:val="0"/>
        <w:pageBreakBefore w:val="0"/>
        <w:kinsoku/>
        <w:wordWrap/>
        <w:overflowPunct/>
        <w:topLinePunct w:val="0"/>
        <w:bidi w:val="0"/>
        <w:adjustRightInd/>
        <w:snapToGrid/>
        <w:spacing w:line="560" w:lineRule="exact"/>
        <w:jc w:val="both"/>
        <w:rPr>
          <w:rFonts w:hint="eastAsia" w:ascii="宋体" w:hAnsi="宋体" w:eastAsia="宋体" w:cs="宋体"/>
          <w:color w:val="000000" w:themeColor="text1"/>
          <w:sz w:val="28"/>
          <w:szCs w:val="28"/>
          <w:highlight w:val="none"/>
          <w14:textFill>
            <w14:solidFill>
              <w14:schemeClr w14:val="tx1"/>
            </w14:solidFill>
          </w14:textFill>
        </w:rPr>
      </w:pPr>
      <w:bookmarkStart w:id="125" w:name="_Toc138610891"/>
      <w:bookmarkStart w:id="126" w:name="_Toc140741976"/>
      <w:bookmarkStart w:id="127" w:name="_Toc140742521"/>
      <w:bookmarkStart w:id="128" w:name="_Toc254970676"/>
      <w:bookmarkStart w:id="129" w:name="_Toc7350"/>
      <w:bookmarkStart w:id="130" w:name="_Toc254970535"/>
      <w:r>
        <w:rPr>
          <w:rFonts w:hint="eastAsia" w:ascii="宋体" w:hAnsi="宋体" w:eastAsia="宋体" w:cs="宋体"/>
          <w:color w:val="000000" w:themeColor="text1"/>
          <w:sz w:val="28"/>
          <w:szCs w:val="28"/>
          <w:highlight w:val="none"/>
          <w14:textFill>
            <w14:solidFill>
              <w14:schemeClr w14:val="tx1"/>
            </w14:solidFill>
          </w14:textFill>
        </w:rPr>
        <w:t>三、投标文件的编制</w:t>
      </w:r>
      <w:bookmarkEnd w:id="125"/>
      <w:bookmarkEnd w:id="126"/>
      <w:bookmarkEnd w:id="127"/>
      <w:bookmarkEnd w:id="128"/>
      <w:bookmarkEnd w:id="129"/>
      <w:bookmarkEnd w:id="130"/>
    </w:p>
    <w:p w14:paraId="5FD7E3BD">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bookmarkStart w:id="131" w:name="_Toc254970677"/>
      <w:bookmarkStart w:id="132" w:name="_Toc254970536"/>
      <w:r>
        <w:rPr>
          <w:rFonts w:hint="eastAsia" w:ascii="宋体" w:hAnsi="宋体" w:eastAsia="宋体" w:cs="宋体"/>
          <w:color w:val="000000" w:themeColor="text1"/>
          <w:sz w:val="28"/>
          <w:szCs w:val="28"/>
          <w:highlight w:val="none"/>
          <w14:textFill>
            <w14:solidFill>
              <w14:schemeClr w14:val="tx1"/>
            </w14:solidFill>
          </w14:textFill>
        </w:rPr>
        <w:t>12.投标文件的编制原则</w:t>
      </w:r>
    </w:p>
    <w:p w14:paraId="26EE677A">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12.1</w:t>
      </w:r>
      <w:r>
        <w:rPr>
          <w:rFonts w:hint="eastAsia" w:ascii="宋体" w:hAnsi="宋体" w:cs="宋体"/>
          <w:color w:val="000000" w:themeColor="text1"/>
          <w:sz w:val="28"/>
          <w:szCs w:val="28"/>
          <w:highlight w:val="none"/>
          <w:lang w:eastAsia="zh-CN"/>
          <w14:textFill>
            <w14:solidFill>
              <w14:schemeClr w14:val="tx1"/>
            </w14:solidFill>
          </w14:textFill>
        </w:rPr>
        <w:t>供应商</w:t>
      </w:r>
      <w:r>
        <w:rPr>
          <w:rFonts w:hint="eastAsia" w:ascii="宋体" w:hAnsi="宋体" w:eastAsia="宋体" w:cs="宋体"/>
          <w:color w:val="000000" w:themeColor="text1"/>
          <w:sz w:val="28"/>
          <w:szCs w:val="28"/>
          <w:highlight w:val="none"/>
          <w14:textFill>
            <w14:solidFill>
              <w14:schemeClr w14:val="tx1"/>
            </w14:solidFill>
          </w14:textFill>
        </w:rPr>
        <w:t>必须按照招标文件的要求编制投标文件。投标文件必须对招标文件提出的要求和条件作出明确响应。</w:t>
      </w:r>
    </w:p>
    <w:p w14:paraId="269E7308">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12.2</w:t>
      </w:r>
      <w:r>
        <w:rPr>
          <w:rFonts w:hint="eastAsia" w:ascii="宋体" w:hAnsi="宋体" w:cs="宋体"/>
          <w:color w:val="000000" w:themeColor="text1"/>
          <w:sz w:val="28"/>
          <w:szCs w:val="28"/>
          <w:highlight w:val="none"/>
          <w:lang w:eastAsia="zh-CN"/>
          <w14:textFill>
            <w14:solidFill>
              <w14:schemeClr w14:val="tx1"/>
            </w14:solidFill>
          </w14:textFill>
        </w:rPr>
        <w:t>供应商</w:t>
      </w:r>
      <w:r>
        <w:rPr>
          <w:rFonts w:hint="eastAsia" w:ascii="宋体" w:hAnsi="宋体" w:eastAsia="宋体" w:cs="宋体"/>
          <w:color w:val="000000" w:themeColor="text1"/>
          <w:sz w:val="28"/>
          <w:szCs w:val="28"/>
          <w:highlight w:val="none"/>
          <w14:textFill>
            <w14:solidFill>
              <w14:schemeClr w14:val="tx1"/>
            </w14:solidFill>
          </w14:textFill>
        </w:rPr>
        <w:t>应根据自身实际情况如实响应招标文件，不得仅将招标文件内容简单复制粘贴作为投标响应，还应当提供相关证明材料，否则将作无效响应处理（定制采购项目不适用本条款）。对于重要技术条款或技术参数应当在投标文件中提供技术支持资料，技术支持资料以招标文件中规定的形式为准，否则将视为无效技术支持资料。</w:t>
      </w:r>
    </w:p>
    <w:p w14:paraId="18E97DD4">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13.投标文件的组成</w:t>
      </w:r>
      <w:bookmarkEnd w:id="131"/>
      <w:bookmarkEnd w:id="132"/>
    </w:p>
    <w:p w14:paraId="6207058B">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13.1投标文件由报价文件、资格证明文件、商务文件、技术文件四部分组成。</w:t>
      </w:r>
    </w:p>
    <w:p w14:paraId="4A24F149">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bCs/>
          <w:color w:val="000000" w:themeColor="text1"/>
          <w:sz w:val="28"/>
          <w:szCs w:val="28"/>
          <w:highlight w:val="none"/>
          <w14:textFill>
            <w14:solidFill>
              <w14:schemeClr w14:val="tx1"/>
            </w14:solidFill>
          </w14:textFill>
        </w:rPr>
      </w:pPr>
      <w:bookmarkStart w:id="133" w:name="_13.2资格证明文件：具体材料见“投标人须知前附表”。"/>
      <w:bookmarkEnd w:id="133"/>
      <w:bookmarkStart w:id="134" w:name="_13.1报价文件:_具体材料见“投标人须知前附表”。"/>
      <w:bookmarkEnd w:id="134"/>
      <w:r>
        <w:rPr>
          <w:rFonts w:hint="eastAsia" w:ascii="宋体" w:hAnsi="宋体" w:eastAsia="宋体" w:cs="宋体"/>
          <w:bCs/>
          <w:color w:val="000000" w:themeColor="text1"/>
          <w:sz w:val="28"/>
          <w:szCs w:val="28"/>
          <w:highlight w:val="none"/>
          <w14:textFill>
            <w14:solidFill>
              <w14:schemeClr w14:val="tx1"/>
            </w14:solidFill>
          </w14:textFill>
        </w:rPr>
        <w:t>（1）资格证明文件：具体材料见“</w:t>
      </w:r>
      <w:r>
        <w:rPr>
          <w:rFonts w:hint="eastAsia" w:ascii="宋体" w:hAnsi="宋体" w:cs="宋体"/>
          <w:bCs/>
          <w:color w:val="000000" w:themeColor="text1"/>
          <w:sz w:val="28"/>
          <w:szCs w:val="28"/>
          <w:highlight w:val="none"/>
          <w:lang w:eastAsia="zh-CN"/>
          <w14:textFill>
            <w14:solidFill>
              <w14:schemeClr w14:val="tx1"/>
            </w14:solidFill>
          </w14:textFill>
        </w:rPr>
        <w:t>供应商</w:t>
      </w:r>
      <w:r>
        <w:rPr>
          <w:rFonts w:hint="eastAsia" w:ascii="宋体" w:hAnsi="宋体" w:eastAsia="宋体" w:cs="宋体"/>
          <w:bCs/>
          <w:color w:val="000000" w:themeColor="text1"/>
          <w:sz w:val="28"/>
          <w:szCs w:val="28"/>
          <w:highlight w:val="none"/>
          <w14:textFill>
            <w14:solidFill>
              <w14:schemeClr w14:val="tx1"/>
            </w14:solidFill>
          </w14:textFill>
        </w:rPr>
        <w:t>须知前附表”。</w:t>
      </w:r>
    </w:p>
    <w:p w14:paraId="6E103D77">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bCs/>
          <w:color w:val="000000" w:themeColor="text1"/>
          <w:sz w:val="28"/>
          <w:szCs w:val="28"/>
          <w:highlight w:val="none"/>
          <w14:textFill>
            <w14:solidFill>
              <w14:schemeClr w14:val="tx1"/>
            </w14:solidFill>
          </w14:textFill>
        </w:rPr>
      </w:pPr>
      <w:bookmarkStart w:id="135" w:name="_13.3商务文件:_具体材料见“投标人须知前附表”。"/>
      <w:bookmarkEnd w:id="135"/>
      <w:r>
        <w:rPr>
          <w:rFonts w:hint="eastAsia" w:ascii="宋体" w:hAnsi="宋体" w:eastAsia="宋体" w:cs="宋体"/>
          <w:bCs/>
          <w:color w:val="000000" w:themeColor="text1"/>
          <w:sz w:val="28"/>
          <w:szCs w:val="28"/>
          <w:highlight w:val="none"/>
          <w14:textFill>
            <w14:solidFill>
              <w14:schemeClr w14:val="tx1"/>
            </w14:solidFill>
          </w14:textFill>
        </w:rPr>
        <w:t>（2）商务文件：具体材料见“</w:t>
      </w:r>
      <w:r>
        <w:rPr>
          <w:rFonts w:hint="eastAsia" w:ascii="宋体" w:hAnsi="宋体" w:cs="宋体"/>
          <w:bCs/>
          <w:color w:val="000000" w:themeColor="text1"/>
          <w:sz w:val="28"/>
          <w:szCs w:val="28"/>
          <w:highlight w:val="none"/>
          <w:lang w:eastAsia="zh-CN"/>
          <w14:textFill>
            <w14:solidFill>
              <w14:schemeClr w14:val="tx1"/>
            </w14:solidFill>
          </w14:textFill>
        </w:rPr>
        <w:t>供应商</w:t>
      </w:r>
      <w:r>
        <w:rPr>
          <w:rFonts w:hint="eastAsia" w:ascii="宋体" w:hAnsi="宋体" w:eastAsia="宋体" w:cs="宋体"/>
          <w:bCs/>
          <w:color w:val="000000" w:themeColor="text1"/>
          <w:sz w:val="28"/>
          <w:szCs w:val="28"/>
          <w:highlight w:val="none"/>
          <w14:textFill>
            <w14:solidFill>
              <w14:schemeClr w14:val="tx1"/>
            </w14:solidFill>
          </w14:textFill>
        </w:rPr>
        <w:t>须知前附表”。</w:t>
      </w:r>
    </w:p>
    <w:p w14:paraId="31BE716F">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bCs/>
          <w:color w:val="000000" w:themeColor="text1"/>
          <w:sz w:val="28"/>
          <w:szCs w:val="28"/>
          <w:highlight w:val="none"/>
          <w14:textFill>
            <w14:solidFill>
              <w14:schemeClr w14:val="tx1"/>
            </w14:solidFill>
          </w14:textFill>
        </w:rPr>
      </w:pPr>
      <w:bookmarkStart w:id="136" w:name="_13.4技术文件：具体材料见“投标人须知前附表”。"/>
      <w:bookmarkEnd w:id="136"/>
      <w:r>
        <w:rPr>
          <w:rFonts w:hint="eastAsia" w:ascii="宋体" w:hAnsi="宋体" w:eastAsia="宋体" w:cs="宋体"/>
          <w:bCs/>
          <w:color w:val="000000" w:themeColor="text1"/>
          <w:sz w:val="28"/>
          <w:szCs w:val="28"/>
          <w:highlight w:val="none"/>
          <w14:textFill>
            <w14:solidFill>
              <w14:schemeClr w14:val="tx1"/>
            </w14:solidFill>
          </w14:textFill>
        </w:rPr>
        <w:t>（3）技术文件：具体材料见“</w:t>
      </w:r>
      <w:r>
        <w:rPr>
          <w:rFonts w:hint="eastAsia" w:ascii="宋体" w:hAnsi="宋体" w:cs="宋体"/>
          <w:bCs/>
          <w:color w:val="000000" w:themeColor="text1"/>
          <w:sz w:val="28"/>
          <w:szCs w:val="28"/>
          <w:highlight w:val="none"/>
          <w:lang w:eastAsia="zh-CN"/>
          <w14:textFill>
            <w14:solidFill>
              <w14:schemeClr w14:val="tx1"/>
            </w14:solidFill>
          </w14:textFill>
        </w:rPr>
        <w:t>供应商</w:t>
      </w:r>
      <w:r>
        <w:rPr>
          <w:rFonts w:hint="eastAsia" w:ascii="宋体" w:hAnsi="宋体" w:eastAsia="宋体" w:cs="宋体"/>
          <w:bCs/>
          <w:color w:val="000000" w:themeColor="text1"/>
          <w:sz w:val="28"/>
          <w:szCs w:val="28"/>
          <w:highlight w:val="none"/>
          <w14:textFill>
            <w14:solidFill>
              <w14:schemeClr w14:val="tx1"/>
            </w14:solidFill>
          </w14:textFill>
        </w:rPr>
        <w:t xml:space="preserve">须知前附表”。 </w:t>
      </w:r>
    </w:p>
    <w:p w14:paraId="53C0784A">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（4）报价文件： 具体材料见“</w:t>
      </w:r>
      <w:r>
        <w:rPr>
          <w:rFonts w:hint="eastAsia" w:ascii="宋体" w:hAnsi="宋体" w:cs="宋体"/>
          <w:bCs/>
          <w:color w:val="000000" w:themeColor="text1"/>
          <w:sz w:val="28"/>
          <w:szCs w:val="28"/>
          <w:highlight w:val="none"/>
          <w:lang w:eastAsia="zh-CN"/>
          <w14:textFill>
            <w14:solidFill>
              <w14:schemeClr w14:val="tx1"/>
            </w14:solidFill>
          </w14:textFill>
        </w:rPr>
        <w:t>供应商</w:t>
      </w:r>
      <w:r>
        <w:rPr>
          <w:rFonts w:hint="eastAsia" w:ascii="宋体" w:hAnsi="宋体" w:eastAsia="宋体" w:cs="宋体"/>
          <w:bCs/>
          <w:color w:val="000000" w:themeColor="text1"/>
          <w:sz w:val="28"/>
          <w:szCs w:val="28"/>
          <w:highlight w:val="none"/>
          <w14:textFill>
            <w14:solidFill>
              <w14:schemeClr w14:val="tx1"/>
            </w14:solidFill>
          </w14:textFill>
        </w:rPr>
        <w:t>须知前附表”。</w:t>
      </w:r>
    </w:p>
    <w:p w14:paraId="6DE932A7">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bCs/>
          <w:color w:val="000000" w:themeColor="text1"/>
          <w:sz w:val="28"/>
          <w:szCs w:val="28"/>
          <w:highlight w:val="none"/>
          <w14:textFill>
            <w14:solidFill>
              <w14:schemeClr w14:val="tx1"/>
            </w14:solidFill>
          </w14:textFill>
        </w:rPr>
      </w:pPr>
      <w:bookmarkStart w:id="137" w:name="_13.5投标文件电子版：具体材料见“投标人须知前附表”。"/>
      <w:bookmarkEnd w:id="137"/>
      <w:r>
        <w:rPr>
          <w:rFonts w:hint="eastAsia" w:ascii="宋体" w:hAnsi="宋体" w:eastAsia="宋体" w:cs="宋体"/>
          <w:bCs/>
          <w:color w:val="000000" w:themeColor="text1"/>
          <w:sz w:val="28"/>
          <w:szCs w:val="28"/>
          <w:highlight w:val="none"/>
          <w14:textFill>
            <w14:solidFill>
              <w14:schemeClr w14:val="tx1"/>
            </w14:solidFill>
          </w14:textFill>
        </w:rPr>
        <w:t>13.2投标文件电子版：具体要求见本节19.投标文件编制。</w:t>
      </w:r>
    </w:p>
    <w:p w14:paraId="39E4EA2F">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bookmarkStart w:id="138" w:name="_Toc254970537"/>
      <w:bookmarkStart w:id="139" w:name="_Toc254970678"/>
      <w:r>
        <w:rPr>
          <w:rFonts w:hint="eastAsia" w:ascii="宋体" w:hAnsi="宋体" w:eastAsia="宋体" w:cs="宋体"/>
          <w:color w:val="000000" w:themeColor="text1"/>
          <w:sz w:val="28"/>
          <w:szCs w:val="28"/>
          <w:highlight w:val="none"/>
          <w14:textFill>
            <w14:solidFill>
              <w14:schemeClr w14:val="tx1"/>
            </w14:solidFill>
          </w14:textFill>
        </w:rPr>
        <w:t>14.投标文件的语言及计量</w:t>
      </w:r>
      <w:bookmarkEnd w:id="138"/>
      <w:bookmarkEnd w:id="139"/>
    </w:p>
    <w:p w14:paraId="544CC1B2">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14.1语言文字</w:t>
      </w:r>
    </w:p>
    <w:p w14:paraId="10BD72DC">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投标文件以及</w:t>
      </w:r>
      <w:r>
        <w:rPr>
          <w:rFonts w:hint="eastAsia" w:ascii="宋体" w:hAnsi="宋体" w:cs="宋体"/>
          <w:bCs/>
          <w:color w:val="000000" w:themeColor="text1"/>
          <w:sz w:val="28"/>
          <w:szCs w:val="28"/>
          <w:highlight w:val="none"/>
          <w:lang w:eastAsia="zh-CN"/>
          <w14:textFill>
            <w14:solidFill>
              <w14:schemeClr w14:val="tx1"/>
            </w14:solidFill>
          </w14:textFill>
        </w:rPr>
        <w:t>供应商</w:t>
      </w:r>
      <w:r>
        <w:rPr>
          <w:rFonts w:hint="eastAsia" w:ascii="宋体" w:hAnsi="宋体" w:eastAsia="宋体" w:cs="宋体"/>
          <w:bCs/>
          <w:color w:val="000000" w:themeColor="text1"/>
          <w:sz w:val="28"/>
          <w:szCs w:val="28"/>
          <w:highlight w:val="none"/>
          <w14:textFill>
            <w14:solidFill>
              <w14:schemeClr w14:val="tx1"/>
            </w14:solidFill>
          </w14:textFill>
        </w:rPr>
        <w:t>与采购人就有关投标事宜的所有来往函电，均应以中文书写（除专用术语外，与招标投标有关的语言均使用中文。必要时专用术语应附有中文注释）。</w:t>
      </w:r>
      <w:r>
        <w:rPr>
          <w:rFonts w:hint="eastAsia" w:ascii="宋体" w:hAnsi="宋体" w:cs="宋体"/>
          <w:bCs/>
          <w:color w:val="000000" w:themeColor="text1"/>
          <w:sz w:val="28"/>
          <w:szCs w:val="28"/>
          <w:highlight w:val="none"/>
          <w:lang w:eastAsia="zh-CN"/>
          <w14:textFill>
            <w14:solidFill>
              <w14:schemeClr w14:val="tx1"/>
            </w14:solidFill>
          </w14:textFill>
        </w:rPr>
        <w:t>供应商</w:t>
      </w:r>
      <w:r>
        <w:rPr>
          <w:rFonts w:hint="eastAsia" w:ascii="宋体" w:hAnsi="宋体" w:eastAsia="宋体" w:cs="宋体"/>
          <w:bCs/>
          <w:color w:val="000000" w:themeColor="text1"/>
          <w:sz w:val="28"/>
          <w:szCs w:val="28"/>
          <w:highlight w:val="none"/>
          <w14:textFill>
            <w14:solidFill>
              <w14:schemeClr w14:val="tx1"/>
            </w14:solidFill>
          </w14:textFill>
        </w:rPr>
        <w:t>提交的支持文件和印刷的文献可以使用别的语言，但其相应内容应同时附中文翻译文本，在解释投标文件时以中文翻译文本为主。对不同文字文本投标文件的解释发生异议的，以中文文本为准。</w:t>
      </w:r>
    </w:p>
    <w:p w14:paraId="1BAF77F5">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14.2投标计量单位</w:t>
      </w:r>
    </w:p>
    <w:p w14:paraId="28E0D684">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招标文件已有明确规定的，使用招标文件规定的计量单位；招标文件没有规定的，应采用中华人民共和国法定计量单位，货币种类为人民币，否则视同未响应。</w:t>
      </w:r>
    </w:p>
    <w:p w14:paraId="56DD7B6C">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15.投标的风险</w:t>
      </w:r>
    </w:p>
    <w:p w14:paraId="4FE62354">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b w:val="0"/>
          <w:bCs w:val="0"/>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投标文件分为资格文件、商务文件、技术文件、报价文件四部分（其中：商务文件与技术文件合并编辑成一个电子文档）。各</w:t>
      </w:r>
      <w:r>
        <w:rPr>
          <w:rFonts w:hint="eastAsia" w:ascii="宋体" w:hAnsi="宋体" w:cs="宋体"/>
          <w:color w:val="000000" w:themeColor="text1"/>
          <w:sz w:val="28"/>
          <w:szCs w:val="28"/>
          <w:highlight w:val="none"/>
          <w:lang w:eastAsia="zh-CN"/>
          <w14:textFill>
            <w14:solidFill>
              <w14:schemeClr w14:val="tx1"/>
            </w14:solidFill>
          </w14:textFill>
        </w:rPr>
        <w:t>供应商</w:t>
      </w:r>
      <w:r>
        <w:rPr>
          <w:rFonts w:hint="eastAsia" w:ascii="宋体" w:hAnsi="宋体" w:eastAsia="宋体" w:cs="宋体"/>
          <w:color w:val="000000" w:themeColor="text1"/>
          <w:sz w:val="28"/>
          <w:szCs w:val="28"/>
          <w:highlight w:val="none"/>
          <w14:textFill>
            <w14:solidFill>
              <w14:schemeClr w14:val="tx1"/>
            </w14:solidFill>
          </w14:textFill>
        </w:rPr>
        <w:t>在编制投标文件时请按照招标文件规定的格式进行，混乱的编排导致投标文件被误读或评标委员会查找不到有效文件是</w:t>
      </w:r>
      <w:r>
        <w:rPr>
          <w:rFonts w:hint="eastAsia" w:ascii="宋体" w:hAnsi="宋体" w:cs="宋体"/>
          <w:color w:val="000000" w:themeColor="text1"/>
          <w:sz w:val="28"/>
          <w:szCs w:val="28"/>
          <w:highlight w:val="none"/>
          <w:lang w:eastAsia="zh-CN"/>
          <w14:textFill>
            <w14:solidFill>
              <w14:schemeClr w14:val="tx1"/>
            </w14:solidFill>
          </w14:textFill>
        </w:rPr>
        <w:t>供应商</w:t>
      </w:r>
      <w:r>
        <w:rPr>
          <w:rFonts w:hint="eastAsia" w:ascii="宋体" w:hAnsi="宋体" w:eastAsia="宋体" w:cs="宋体"/>
          <w:color w:val="000000" w:themeColor="text1"/>
          <w:sz w:val="28"/>
          <w:szCs w:val="28"/>
          <w:highlight w:val="none"/>
          <w14:textFill>
            <w14:solidFill>
              <w14:schemeClr w14:val="tx1"/>
            </w14:solidFill>
          </w14:textFill>
        </w:rPr>
        <w:t>的风险</w:t>
      </w:r>
      <w:r>
        <w:rPr>
          <w:rFonts w:hint="eastAsia" w:ascii="宋体" w:hAnsi="宋体" w:eastAsia="宋体" w:cs="宋体"/>
          <w:b w:val="0"/>
          <w:bCs w:val="0"/>
          <w:color w:val="000000" w:themeColor="text1"/>
          <w:sz w:val="28"/>
          <w:szCs w:val="28"/>
          <w:highlight w:val="none"/>
          <w14:textFill>
            <w14:solidFill>
              <w14:schemeClr w14:val="tx1"/>
            </w14:solidFill>
          </w14:textFill>
        </w:rPr>
        <w:t>。</w:t>
      </w:r>
      <w:r>
        <w:rPr>
          <w:rFonts w:hint="eastAsia" w:ascii="宋体" w:hAnsi="宋体" w:eastAsia="宋体" w:cs="宋体"/>
          <w:color w:val="000000" w:themeColor="text1"/>
          <w:sz w:val="28"/>
          <w:szCs w:val="28"/>
          <w:highlight w:val="none"/>
          <w14:textFill>
            <w14:solidFill>
              <w14:schemeClr w14:val="tx1"/>
            </w14:solidFill>
          </w14:textFill>
        </w:rPr>
        <w:t>★</w:t>
      </w:r>
      <w:r>
        <w:rPr>
          <w:rFonts w:hint="eastAsia" w:ascii="宋体" w:hAnsi="宋体" w:eastAsia="宋体" w:cs="宋体"/>
          <w:b w:val="0"/>
          <w:bCs w:val="0"/>
          <w:color w:val="000000" w:themeColor="text1"/>
          <w:sz w:val="28"/>
          <w:szCs w:val="28"/>
          <w:highlight w:val="none"/>
          <w14:textFill>
            <w14:solidFill>
              <w14:schemeClr w14:val="tx1"/>
            </w14:solidFill>
          </w14:textFill>
        </w:rPr>
        <w:t>投标文件未按规定的格式编制的、没有按照招标文件要求提供全部资料、没有对招标文件作出实质性响应，投标无效；</w:t>
      </w:r>
    </w:p>
    <w:p w14:paraId="1096EAC8">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bookmarkStart w:id="140" w:name="_Toc254970538"/>
      <w:bookmarkStart w:id="141" w:name="_Toc254970679"/>
      <w:r>
        <w:rPr>
          <w:rFonts w:hint="eastAsia" w:ascii="宋体" w:hAnsi="宋体" w:eastAsia="宋体" w:cs="宋体"/>
          <w:color w:val="000000" w:themeColor="text1"/>
          <w:sz w:val="28"/>
          <w:szCs w:val="28"/>
          <w:highlight w:val="none"/>
          <w14:textFill>
            <w14:solidFill>
              <w14:schemeClr w14:val="tx1"/>
            </w14:solidFill>
          </w14:textFill>
        </w:rPr>
        <w:t>16.投标报价</w:t>
      </w:r>
      <w:bookmarkEnd w:id="140"/>
      <w:bookmarkEnd w:id="141"/>
    </w:p>
    <w:p w14:paraId="28BD4284">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16.1投标报价应按“第六章　投标文件格式”中“开标一览表”格式填写。</w:t>
      </w:r>
    </w:p>
    <w:p w14:paraId="434816F2">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bCs/>
          <w:color w:val="000000" w:themeColor="text1"/>
          <w:sz w:val="28"/>
          <w:szCs w:val="28"/>
          <w:highlight w:val="none"/>
          <w14:textFill>
            <w14:solidFill>
              <w14:schemeClr w14:val="tx1"/>
            </w14:solidFill>
          </w14:textFill>
        </w:rPr>
      </w:pPr>
      <w:bookmarkStart w:id="142" w:name="_16.2投标报价具体定义见投标人须知前附表。"/>
      <w:bookmarkEnd w:id="142"/>
      <w:r>
        <w:rPr>
          <w:rFonts w:hint="eastAsia" w:ascii="宋体" w:hAnsi="宋体" w:eastAsia="宋体" w:cs="宋体"/>
          <w:bCs/>
          <w:color w:val="000000" w:themeColor="text1"/>
          <w:sz w:val="28"/>
          <w:szCs w:val="28"/>
          <w:highlight w:val="none"/>
          <w14:textFill>
            <w14:solidFill>
              <w14:schemeClr w14:val="tx1"/>
            </w14:solidFill>
          </w14:textFill>
        </w:rPr>
        <w:t>16.2投标报价具体包括内容详见“</w:t>
      </w:r>
      <w:r>
        <w:rPr>
          <w:rFonts w:hint="eastAsia" w:ascii="宋体" w:hAnsi="宋体" w:cs="宋体"/>
          <w:bCs/>
          <w:color w:val="000000" w:themeColor="text1"/>
          <w:sz w:val="28"/>
          <w:szCs w:val="28"/>
          <w:highlight w:val="none"/>
          <w:lang w:eastAsia="zh-CN"/>
          <w14:textFill>
            <w14:solidFill>
              <w14:schemeClr w14:val="tx1"/>
            </w14:solidFill>
          </w14:textFill>
        </w:rPr>
        <w:t>供应商</w:t>
      </w:r>
      <w:r>
        <w:rPr>
          <w:rFonts w:hint="eastAsia" w:ascii="宋体" w:hAnsi="宋体" w:eastAsia="宋体" w:cs="宋体"/>
          <w:bCs/>
          <w:color w:val="000000" w:themeColor="text1"/>
          <w:sz w:val="28"/>
          <w:szCs w:val="28"/>
          <w:highlight w:val="none"/>
          <w14:textFill>
            <w14:solidFill>
              <w14:schemeClr w14:val="tx1"/>
            </w14:solidFill>
          </w14:textFill>
        </w:rPr>
        <w:t>须知前附表”。</w:t>
      </w:r>
    </w:p>
    <w:p w14:paraId="18B336FD">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16.3</w:t>
      </w:r>
      <w:r>
        <w:rPr>
          <w:rFonts w:hint="eastAsia" w:ascii="宋体" w:hAnsi="宋体" w:cs="宋体"/>
          <w:bCs/>
          <w:color w:val="000000" w:themeColor="text1"/>
          <w:sz w:val="28"/>
          <w:szCs w:val="28"/>
          <w:highlight w:val="none"/>
          <w:lang w:eastAsia="zh-CN"/>
          <w14:textFill>
            <w14:solidFill>
              <w14:schemeClr w14:val="tx1"/>
            </w14:solidFill>
          </w14:textFill>
        </w:rPr>
        <w:t>供应商</w:t>
      </w:r>
      <w:r>
        <w:rPr>
          <w:rFonts w:hint="eastAsia" w:ascii="宋体" w:hAnsi="宋体" w:eastAsia="宋体" w:cs="宋体"/>
          <w:bCs/>
          <w:color w:val="000000" w:themeColor="text1"/>
          <w:sz w:val="28"/>
          <w:szCs w:val="28"/>
          <w:highlight w:val="none"/>
          <w14:textFill>
            <w14:solidFill>
              <w14:schemeClr w14:val="tx1"/>
            </w14:solidFill>
          </w14:textFill>
        </w:rPr>
        <w:t>必须就所投每个分标的全部内容分别作完整唯一总价报价，不得存在漏项报价；</w:t>
      </w:r>
      <w:r>
        <w:rPr>
          <w:rFonts w:hint="eastAsia" w:ascii="宋体" w:hAnsi="宋体" w:cs="宋体"/>
          <w:bCs/>
          <w:color w:val="000000" w:themeColor="text1"/>
          <w:sz w:val="28"/>
          <w:szCs w:val="28"/>
          <w:highlight w:val="none"/>
          <w:lang w:eastAsia="zh-CN"/>
          <w14:textFill>
            <w14:solidFill>
              <w14:schemeClr w14:val="tx1"/>
            </w14:solidFill>
          </w14:textFill>
        </w:rPr>
        <w:t>供应商</w:t>
      </w:r>
      <w:r>
        <w:rPr>
          <w:rFonts w:hint="eastAsia" w:ascii="宋体" w:hAnsi="宋体" w:eastAsia="宋体" w:cs="宋体"/>
          <w:bCs/>
          <w:color w:val="000000" w:themeColor="text1"/>
          <w:sz w:val="28"/>
          <w:szCs w:val="28"/>
          <w:highlight w:val="none"/>
          <w14:textFill>
            <w14:solidFill>
              <w14:schemeClr w14:val="tx1"/>
            </w14:solidFill>
          </w14:textFill>
        </w:rPr>
        <w:t>必须就所投的单项内容作唯一报价。</w:t>
      </w:r>
    </w:p>
    <w:p w14:paraId="53A2858E">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17.投标有效期</w:t>
      </w:r>
    </w:p>
    <w:p w14:paraId="7268BDF7">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bCs/>
          <w:color w:val="000000" w:themeColor="text1"/>
          <w:sz w:val="28"/>
          <w:szCs w:val="28"/>
          <w:highlight w:val="none"/>
          <w14:textFill>
            <w14:solidFill>
              <w14:schemeClr w14:val="tx1"/>
            </w14:solidFill>
          </w14:textFill>
        </w:rPr>
      </w:pPr>
      <w:bookmarkStart w:id="143" w:name="_17.1投标有效期应按“投标人须知中的前附表”规定的期限。"/>
      <w:bookmarkEnd w:id="143"/>
      <w:r>
        <w:rPr>
          <w:rFonts w:hint="eastAsia" w:ascii="宋体" w:hAnsi="宋体" w:eastAsia="宋体" w:cs="宋体"/>
          <w:bCs/>
          <w:color w:val="000000" w:themeColor="text1"/>
          <w:sz w:val="28"/>
          <w:szCs w:val="28"/>
          <w:highlight w:val="none"/>
          <w14:textFill>
            <w14:solidFill>
              <w14:schemeClr w14:val="tx1"/>
            </w14:solidFill>
          </w14:textFill>
        </w:rPr>
        <w:t>17.1投标有效期是指为保证采购人有足够的时间在开标后完成评标、定标、合同签订等工作而要求</w:t>
      </w:r>
      <w:r>
        <w:rPr>
          <w:rFonts w:hint="eastAsia" w:ascii="宋体" w:hAnsi="宋体" w:cs="宋体"/>
          <w:bCs/>
          <w:color w:val="000000" w:themeColor="text1"/>
          <w:sz w:val="28"/>
          <w:szCs w:val="28"/>
          <w:highlight w:val="none"/>
          <w:lang w:eastAsia="zh-CN"/>
          <w14:textFill>
            <w14:solidFill>
              <w14:schemeClr w14:val="tx1"/>
            </w14:solidFill>
          </w14:textFill>
        </w:rPr>
        <w:t>供应商</w:t>
      </w:r>
      <w:r>
        <w:rPr>
          <w:rFonts w:hint="eastAsia" w:ascii="宋体" w:hAnsi="宋体" w:eastAsia="宋体" w:cs="宋体"/>
          <w:bCs/>
          <w:color w:val="000000" w:themeColor="text1"/>
          <w:sz w:val="28"/>
          <w:szCs w:val="28"/>
          <w:highlight w:val="none"/>
          <w14:textFill>
            <w14:solidFill>
              <w14:schemeClr w14:val="tx1"/>
            </w14:solidFill>
          </w14:textFill>
        </w:rPr>
        <w:t>提交的投标文件在一定时间内保持有效的期限。</w:t>
      </w:r>
    </w:p>
    <w:p w14:paraId="78605580">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17.2</w:t>
      </w:r>
      <w:bookmarkStart w:id="144" w:name="_Toc254970540"/>
      <w:bookmarkStart w:id="145" w:name="_Toc254970681"/>
      <w:r>
        <w:rPr>
          <w:rFonts w:hint="eastAsia" w:ascii="宋体" w:hAnsi="宋体" w:eastAsia="宋体" w:cs="宋体"/>
          <w:bCs/>
          <w:color w:val="000000" w:themeColor="text1"/>
          <w:sz w:val="28"/>
          <w:szCs w:val="28"/>
          <w:highlight w:val="none"/>
          <w14:textFill>
            <w14:solidFill>
              <w14:schemeClr w14:val="tx1"/>
            </w14:solidFill>
          </w14:textFill>
        </w:rPr>
        <w:t xml:space="preserve"> 投标有效期应按规定的期限作出承诺，具体详见“</w:t>
      </w:r>
      <w:r>
        <w:rPr>
          <w:rFonts w:hint="eastAsia" w:ascii="宋体" w:hAnsi="宋体" w:cs="宋体"/>
          <w:bCs/>
          <w:color w:val="000000" w:themeColor="text1"/>
          <w:sz w:val="28"/>
          <w:szCs w:val="28"/>
          <w:highlight w:val="none"/>
          <w:lang w:eastAsia="zh-CN"/>
          <w14:textFill>
            <w14:solidFill>
              <w14:schemeClr w14:val="tx1"/>
            </w14:solidFill>
          </w14:textFill>
        </w:rPr>
        <w:t>供应商</w:t>
      </w:r>
      <w:r>
        <w:rPr>
          <w:rFonts w:hint="eastAsia" w:ascii="宋体" w:hAnsi="宋体" w:eastAsia="宋体" w:cs="宋体"/>
          <w:bCs/>
          <w:color w:val="000000" w:themeColor="text1"/>
          <w:sz w:val="28"/>
          <w:szCs w:val="28"/>
          <w:highlight w:val="none"/>
          <w14:textFill>
            <w14:solidFill>
              <w14:schemeClr w14:val="tx1"/>
            </w14:solidFill>
          </w14:textFill>
        </w:rPr>
        <w:t>须知前附表”。</w:t>
      </w:r>
    </w:p>
    <w:p w14:paraId="16D2DB09">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17.3</w:t>
      </w:r>
      <w:r>
        <w:rPr>
          <w:rFonts w:hint="eastAsia" w:ascii="宋体" w:hAnsi="宋体" w:cs="宋体"/>
          <w:bCs/>
          <w:color w:val="000000" w:themeColor="text1"/>
          <w:sz w:val="28"/>
          <w:szCs w:val="28"/>
          <w:highlight w:val="none"/>
          <w:lang w:eastAsia="zh-CN"/>
          <w14:textFill>
            <w14:solidFill>
              <w14:schemeClr w14:val="tx1"/>
            </w14:solidFill>
          </w14:textFill>
        </w:rPr>
        <w:t>供应商</w:t>
      </w:r>
      <w:r>
        <w:rPr>
          <w:rFonts w:hint="eastAsia" w:ascii="宋体" w:hAnsi="宋体" w:eastAsia="宋体" w:cs="宋体"/>
          <w:bCs/>
          <w:color w:val="000000" w:themeColor="text1"/>
          <w:sz w:val="28"/>
          <w:szCs w:val="28"/>
          <w:highlight w:val="none"/>
          <w14:textFill>
            <w14:solidFill>
              <w14:schemeClr w14:val="tx1"/>
            </w14:solidFill>
          </w14:textFill>
        </w:rPr>
        <w:t>的投标文件在投标有效期内均保持有效。</w:t>
      </w:r>
      <w:bookmarkEnd w:id="144"/>
      <w:bookmarkEnd w:id="145"/>
    </w:p>
    <w:p w14:paraId="19814E8F">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bookmarkStart w:id="146" w:name="_18.投标保证金"/>
      <w:bookmarkEnd w:id="146"/>
      <w:bookmarkStart w:id="147" w:name="_Toc254970541"/>
      <w:bookmarkStart w:id="148" w:name="_Toc254970682"/>
      <w:r>
        <w:rPr>
          <w:rFonts w:hint="eastAsia" w:ascii="宋体" w:hAnsi="宋体" w:eastAsia="宋体" w:cs="宋体"/>
          <w:color w:val="000000" w:themeColor="text1"/>
          <w:sz w:val="28"/>
          <w:szCs w:val="28"/>
          <w:highlight w:val="none"/>
          <w14:textFill>
            <w14:solidFill>
              <w14:schemeClr w14:val="tx1"/>
            </w14:solidFill>
          </w14:textFill>
        </w:rPr>
        <w:t>18.投标保证金</w:t>
      </w:r>
      <w:bookmarkEnd w:id="147"/>
      <w:bookmarkEnd w:id="148"/>
    </w:p>
    <w:p w14:paraId="2FD630A7">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bCs/>
          <w:color w:val="000000" w:themeColor="text1"/>
          <w:sz w:val="28"/>
          <w:szCs w:val="28"/>
          <w:highlight w:val="none"/>
          <w14:textFill>
            <w14:solidFill>
              <w14:schemeClr w14:val="tx1"/>
            </w14:solidFill>
          </w14:textFill>
        </w:rPr>
      </w:pPr>
      <w:bookmarkStart w:id="149" w:name="_Toc254970542"/>
      <w:bookmarkStart w:id="150" w:name="_Toc254970683"/>
      <w:r>
        <w:rPr>
          <w:rFonts w:hint="eastAsia" w:ascii="宋体" w:hAnsi="宋体" w:eastAsia="宋体" w:cs="宋体"/>
          <w:bCs/>
          <w:color w:val="000000" w:themeColor="text1"/>
          <w:sz w:val="28"/>
          <w:szCs w:val="28"/>
          <w:highlight w:val="none"/>
          <w14:textFill>
            <w14:solidFill>
              <w14:schemeClr w14:val="tx1"/>
            </w14:solidFill>
          </w14:textFill>
        </w:rPr>
        <w:t>见“</w:t>
      </w:r>
      <w:r>
        <w:rPr>
          <w:rFonts w:hint="eastAsia" w:ascii="宋体" w:hAnsi="宋体" w:cs="宋体"/>
          <w:bCs/>
          <w:color w:val="000000" w:themeColor="text1"/>
          <w:sz w:val="28"/>
          <w:szCs w:val="28"/>
          <w:highlight w:val="none"/>
          <w:lang w:eastAsia="zh-CN"/>
          <w14:textFill>
            <w14:solidFill>
              <w14:schemeClr w14:val="tx1"/>
            </w14:solidFill>
          </w14:textFill>
        </w:rPr>
        <w:t>供应商</w:t>
      </w:r>
      <w:r>
        <w:rPr>
          <w:rFonts w:hint="eastAsia" w:ascii="宋体" w:hAnsi="宋体" w:eastAsia="宋体" w:cs="宋体"/>
          <w:bCs/>
          <w:color w:val="000000" w:themeColor="text1"/>
          <w:sz w:val="28"/>
          <w:szCs w:val="28"/>
          <w:highlight w:val="none"/>
          <w14:textFill>
            <w14:solidFill>
              <w14:schemeClr w14:val="tx1"/>
            </w14:solidFill>
          </w14:textFill>
        </w:rPr>
        <w:t>须知前附表”。</w:t>
      </w:r>
    </w:p>
    <w:p w14:paraId="7E816FE1">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19.投标文件的</w:t>
      </w:r>
      <w:bookmarkEnd w:id="149"/>
      <w:bookmarkEnd w:id="150"/>
      <w:r>
        <w:rPr>
          <w:rFonts w:hint="eastAsia" w:ascii="宋体" w:hAnsi="宋体" w:eastAsia="宋体" w:cs="宋体"/>
          <w:color w:val="000000" w:themeColor="text1"/>
          <w:sz w:val="28"/>
          <w:szCs w:val="28"/>
          <w:highlight w:val="none"/>
          <w14:textFill>
            <w14:solidFill>
              <w14:schemeClr w14:val="tx1"/>
            </w14:solidFill>
          </w14:textFill>
        </w:rPr>
        <w:t>编制</w:t>
      </w:r>
    </w:p>
    <w:p w14:paraId="74057AB7">
      <w:pPr>
        <w:keepNext w:val="0"/>
        <w:keepLines w:val="0"/>
        <w:pageBreakBefore w:val="0"/>
        <w:kinsoku/>
        <w:wordWrap/>
        <w:overflowPunct/>
        <w:topLinePunct w:val="0"/>
        <w:bidi w:val="0"/>
        <w:adjustRightInd/>
        <w:snapToGrid/>
        <w:spacing w:line="560" w:lineRule="exact"/>
        <w:ind w:firstLine="562"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19.1投标文件编制要求详见“</w:t>
      </w:r>
      <w:r>
        <w:rPr>
          <w:rFonts w:hint="eastAsia" w:ascii="宋体" w:hAnsi="宋体" w:cs="宋体"/>
          <w:color w:val="000000" w:themeColor="text1"/>
          <w:sz w:val="28"/>
          <w:szCs w:val="28"/>
          <w:highlight w:val="none"/>
          <w:lang w:eastAsia="zh-CN"/>
          <w14:textFill>
            <w14:solidFill>
              <w14:schemeClr w14:val="tx1"/>
            </w14:solidFill>
          </w14:textFill>
        </w:rPr>
        <w:t>供应商</w:t>
      </w:r>
      <w:r>
        <w:rPr>
          <w:rFonts w:hint="eastAsia" w:ascii="宋体" w:hAnsi="宋体" w:eastAsia="宋体" w:cs="宋体"/>
          <w:color w:val="000000" w:themeColor="text1"/>
          <w:sz w:val="28"/>
          <w:szCs w:val="28"/>
          <w:highlight w:val="none"/>
          <w14:textFill>
            <w14:solidFill>
              <w14:schemeClr w14:val="tx1"/>
            </w14:solidFill>
          </w14:textFill>
        </w:rPr>
        <w:t>须知前附表”。</w:t>
      </w:r>
      <w:r>
        <w:rPr>
          <w:rFonts w:hint="eastAsia" w:ascii="宋体" w:hAnsi="宋体" w:cs="宋体"/>
          <w:color w:val="000000" w:themeColor="text1"/>
          <w:sz w:val="28"/>
          <w:szCs w:val="28"/>
          <w:highlight w:val="none"/>
          <w:lang w:eastAsia="zh-CN"/>
          <w14:textFill>
            <w14:solidFill>
              <w14:schemeClr w14:val="tx1"/>
            </w14:solidFill>
          </w14:textFill>
        </w:rPr>
        <w:t>供应商</w:t>
      </w:r>
      <w:r>
        <w:rPr>
          <w:rFonts w:hint="eastAsia" w:ascii="宋体" w:hAnsi="宋体" w:eastAsia="宋体" w:cs="宋体"/>
          <w:color w:val="000000" w:themeColor="text1"/>
          <w:sz w:val="28"/>
          <w:szCs w:val="28"/>
          <w:highlight w:val="none"/>
          <w14:textFill>
            <w14:solidFill>
              <w14:schemeClr w14:val="tx1"/>
            </w14:solidFill>
          </w14:textFill>
        </w:rPr>
        <w:t>应按本招标文件规定的格式和顺序编制、装订投标文件并标注页码，投标文件内容不完整、编排混乱导致投标文件被误读、漏读或者查找不到相关内容的，由此引发的后果由</w:t>
      </w:r>
      <w:r>
        <w:rPr>
          <w:rFonts w:hint="eastAsia" w:ascii="宋体" w:hAnsi="宋体" w:cs="宋体"/>
          <w:color w:val="000000" w:themeColor="text1"/>
          <w:sz w:val="28"/>
          <w:szCs w:val="28"/>
          <w:highlight w:val="none"/>
          <w:lang w:eastAsia="zh-CN"/>
          <w14:textFill>
            <w14:solidFill>
              <w14:schemeClr w14:val="tx1"/>
            </w14:solidFill>
          </w14:textFill>
        </w:rPr>
        <w:t>供应商</w:t>
      </w:r>
      <w:r>
        <w:rPr>
          <w:rFonts w:hint="eastAsia" w:ascii="宋体" w:hAnsi="宋体" w:eastAsia="宋体" w:cs="宋体"/>
          <w:color w:val="000000" w:themeColor="text1"/>
          <w:sz w:val="28"/>
          <w:szCs w:val="28"/>
          <w:highlight w:val="none"/>
          <w14:textFill>
            <w14:solidFill>
              <w14:schemeClr w14:val="tx1"/>
            </w14:solidFill>
          </w14:textFill>
        </w:rPr>
        <w:t>承担。</w:t>
      </w:r>
      <w:bookmarkStart w:id="151" w:name="_19.2投标文件应按报价文件、资格证明文件、商务文件、技术文件分别编制"/>
      <w:bookmarkEnd w:id="151"/>
      <w:r>
        <w:rPr>
          <w:rFonts w:hint="eastAsia" w:ascii="宋体" w:hAnsi="宋体" w:eastAsia="宋体" w:cs="宋体"/>
          <w:color w:val="000000" w:themeColor="text1"/>
          <w:sz w:val="28"/>
          <w:szCs w:val="28"/>
          <w:highlight w:val="none"/>
          <w14:textFill>
            <w14:solidFill>
              <w14:schemeClr w14:val="tx1"/>
            </w14:solidFill>
          </w14:textFill>
        </w:rPr>
        <w:t xml:space="preserve"> </w:t>
      </w:r>
    </w:p>
    <w:p w14:paraId="3131903B">
      <w:pPr>
        <w:pStyle w:val="108"/>
        <w:keepNext w:val="0"/>
        <w:keepLines w:val="0"/>
        <w:pageBreakBefore w:val="0"/>
        <w:kinsoku/>
        <w:wordWrap/>
        <w:overflowPunct/>
        <w:topLinePunct w:val="0"/>
        <w:bidi w:val="0"/>
        <w:adjustRightInd/>
        <w:snapToGrid/>
        <w:spacing w:before="0" w:line="560" w:lineRule="exact"/>
        <w:ind w:firstLine="56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19.2投标文件按照招标文件第六章格式要求在规定位置进行签署、盖章。</w:t>
      </w:r>
      <w:r>
        <w:rPr>
          <w:rFonts w:hint="eastAsia" w:ascii="宋体" w:hAnsi="宋体" w:eastAsia="宋体" w:cs="宋体"/>
          <w:color w:val="000000" w:themeColor="text1"/>
          <w:sz w:val="28"/>
          <w:szCs w:val="28"/>
          <w:highlight w:val="none"/>
          <w:lang w:eastAsia="zh-CN"/>
          <w14:textFill>
            <w14:solidFill>
              <w14:schemeClr w14:val="tx1"/>
            </w14:solidFill>
          </w14:textFill>
        </w:rPr>
        <w:t>供应商</w:t>
      </w:r>
      <w:r>
        <w:rPr>
          <w:rFonts w:hint="eastAsia" w:ascii="宋体" w:hAnsi="宋体" w:eastAsia="宋体" w:cs="宋体"/>
          <w:color w:val="000000" w:themeColor="text1"/>
          <w:sz w:val="28"/>
          <w:szCs w:val="28"/>
          <w:highlight w:val="none"/>
          <w14:textFill>
            <w14:solidFill>
              <w14:schemeClr w14:val="tx1"/>
            </w14:solidFill>
          </w14:textFill>
        </w:rPr>
        <w:t>的投标文件未按照招标文件要求签署、盖章的，</w:t>
      </w:r>
      <w:r>
        <w:rPr>
          <w:rFonts w:hint="eastAsia" w:ascii="宋体" w:hAnsi="宋体" w:eastAsia="宋体" w:cs="宋体"/>
          <w:b/>
          <w:color w:val="000000" w:themeColor="text1"/>
          <w:sz w:val="28"/>
          <w:szCs w:val="28"/>
          <w:highlight w:val="none"/>
          <w14:textFill>
            <w14:solidFill>
              <w14:schemeClr w14:val="tx1"/>
            </w14:solidFill>
          </w14:textFill>
        </w:rPr>
        <w:t>其投标无效。</w:t>
      </w:r>
      <w:r>
        <w:rPr>
          <w:rFonts w:hint="eastAsia" w:ascii="宋体" w:hAnsi="宋体" w:eastAsia="宋体" w:cs="宋体"/>
          <w:color w:val="000000" w:themeColor="text1"/>
          <w:sz w:val="28"/>
          <w:szCs w:val="28"/>
          <w:highlight w:val="none"/>
          <w14:textFill>
            <w14:solidFill>
              <w14:schemeClr w14:val="tx1"/>
            </w14:solidFill>
          </w14:textFill>
        </w:rPr>
        <w:t>骑缝盖公章不视为在规定位置盖章。</w:t>
      </w:r>
    </w:p>
    <w:p w14:paraId="70CB73E6">
      <w:pPr>
        <w:pStyle w:val="108"/>
        <w:keepNext w:val="0"/>
        <w:keepLines w:val="0"/>
        <w:pageBreakBefore w:val="0"/>
        <w:kinsoku/>
        <w:wordWrap/>
        <w:overflowPunct/>
        <w:topLinePunct w:val="0"/>
        <w:bidi w:val="0"/>
        <w:adjustRightInd/>
        <w:snapToGrid/>
        <w:spacing w:before="0" w:line="560" w:lineRule="exact"/>
        <w:ind w:firstLine="56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19.3为确保网上操作合法、有效和安全，</w:t>
      </w:r>
      <w:r>
        <w:rPr>
          <w:rFonts w:hint="eastAsia" w:ascii="宋体" w:hAnsi="宋体" w:eastAsia="宋体" w:cs="宋体"/>
          <w:color w:val="000000" w:themeColor="text1"/>
          <w:sz w:val="28"/>
          <w:szCs w:val="28"/>
          <w:highlight w:val="none"/>
          <w:lang w:eastAsia="zh-CN"/>
          <w14:textFill>
            <w14:solidFill>
              <w14:schemeClr w14:val="tx1"/>
            </w14:solidFill>
          </w14:textFill>
        </w:rPr>
        <w:t>供应商</w:t>
      </w:r>
      <w:r>
        <w:rPr>
          <w:rFonts w:hint="eastAsia" w:ascii="宋体" w:hAnsi="宋体" w:eastAsia="宋体" w:cs="宋体"/>
          <w:color w:val="000000" w:themeColor="text1"/>
          <w:sz w:val="28"/>
          <w:szCs w:val="28"/>
          <w:highlight w:val="none"/>
          <w14:textFill>
            <w14:solidFill>
              <w14:schemeClr w14:val="tx1"/>
            </w14:solidFill>
          </w14:textFill>
        </w:rPr>
        <w:t>应当在投标截止时间前完成在“政采云”平台的身份认证，确保在电子投标过程中能够对相关数据电文进行加密和使用电子签名。</w:t>
      </w:r>
    </w:p>
    <w:p w14:paraId="49A9DD91">
      <w:pPr>
        <w:keepNext w:val="0"/>
        <w:keepLines w:val="0"/>
        <w:pageBreakBefore w:val="0"/>
        <w:kinsoku/>
        <w:wordWrap/>
        <w:overflowPunct/>
        <w:topLinePunct w:val="0"/>
        <w:bidi w:val="0"/>
        <w:adjustRightInd/>
        <w:snapToGrid/>
        <w:spacing w:line="560" w:lineRule="exact"/>
        <w:ind w:firstLine="562" w:firstLineChars="200"/>
        <w:jc w:val="both"/>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19.4投标文件中标注的</w:t>
      </w:r>
      <w:r>
        <w:rPr>
          <w:rFonts w:hint="eastAsia" w:ascii="宋体" w:hAnsi="宋体" w:cs="宋体"/>
          <w:b/>
          <w:color w:val="000000" w:themeColor="text1"/>
          <w:sz w:val="28"/>
          <w:szCs w:val="28"/>
          <w:highlight w:val="none"/>
          <w:lang w:eastAsia="zh-CN"/>
          <w14:textFill>
            <w14:solidFill>
              <w14:schemeClr w14:val="tx1"/>
            </w14:solidFill>
          </w14:textFill>
        </w:rPr>
        <w:t>供应商</w:t>
      </w:r>
      <w:r>
        <w:rPr>
          <w:rFonts w:hint="eastAsia" w:ascii="宋体" w:hAnsi="宋体" w:eastAsia="宋体" w:cs="宋体"/>
          <w:b/>
          <w:color w:val="000000" w:themeColor="text1"/>
          <w:sz w:val="28"/>
          <w:szCs w:val="28"/>
          <w:highlight w:val="none"/>
          <w14:textFill>
            <w14:solidFill>
              <w14:schemeClr w14:val="tx1"/>
            </w14:solidFill>
          </w14:textFill>
        </w:rPr>
        <w:t>名称应与主体资格证明（如营业执照、事业单位法人证书、执业许可证、自然人身份证等）及公章一致，</w:t>
      </w:r>
      <w:r>
        <w:rPr>
          <w:rFonts w:hint="eastAsia" w:ascii="宋体" w:hAnsi="宋体" w:eastAsia="宋体" w:cs="宋体"/>
          <w:color w:val="000000" w:themeColor="text1"/>
          <w:sz w:val="28"/>
          <w:szCs w:val="28"/>
          <w:highlight w:val="none"/>
          <w14:textFill>
            <w14:solidFill>
              <w14:schemeClr w14:val="tx1"/>
            </w14:solidFill>
          </w14:textFill>
        </w:rPr>
        <w:t>否则作无效投标处理</w:t>
      </w:r>
      <w:r>
        <w:rPr>
          <w:rFonts w:hint="eastAsia" w:ascii="宋体" w:hAnsi="宋体" w:eastAsia="宋体" w:cs="宋体"/>
          <w:b/>
          <w:color w:val="000000" w:themeColor="text1"/>
          <w:sz w:val="28"/>
          <w:szCs w:val="28"/>
          <w:highlight w:val="none"/>
          <w14:textFill>
            <w14:solidFill>
              <w14:schemeClr w14:val="tx1"/>
            </w14:solidFill>
          </w14:textFill>
        </w:rPr>
        <w:t>。</w:t>
      </w:r>
    </w:p>
    <w:p w14:paraId="471F95EF">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 19.5投标文件应避免涂改、行间插字或者删除，</w:t>
      </w:r>
      <w:r>
        <w:rPr>
          <w:rFonts w:hint="eastAsia" w:ascii="宋体" w:hAnsi="宋体" w:eastAsia="宋体" w:cs="宋体"/>
          <w:b/>
          <w:color w:val="000000" w:themeColor="text1"/>
          <w:sz w:val="28"/>
          <w:szCs w:val="28"/>
          <w:highlight w:val="none"/>
          <w14:textFill>
            <w14:solidFill>
              <w14:schemeClr w14:val="tx1"/>
            </w14:solidFill>
          </w14:textFill>
        </w:rPr>
        <w:t>否则其投标无效。</w:t>
      </w:r>
    </w:p>
    <w:p w14:paraId="6FB5D7EC">
      <w:pPr>
        <w:keepNext w:val="0"/>
        <w:keepLines w:val="0"/>
        <w:pageBreakBefore w:val="0"/>
        <w:kinsoku/>
        <w:wordWrap/>
        <w:overflowPunct/>
        <w:topLinePunct w:val="0"/>
        <w:bidi w:val="0"/>
        <w:adjustRightInd/>
        <w:snapToGrid/>
        <w:spacing w:line="560" w:lineRule="exact"/>
        <w:ind w:firstLine="694" w:firstLineChars="248"/>
        <w:jc w:val="both"/>
        <w:rPr>
          <w:rFonts w:hint="eastAsia" w:ascii="宋体" w:hAnsi="宋体" w:eastAsia="宋体" w:cs="宋体"/>
          <w:b w:val="0"/>
          <w:bCs/>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19.6 对招标文件的实质性要求和条件作出响应是指</w:t>
      </w:r>
      <w:r>
        <w:rPr>
          <w:rFonts w:hint="eastAsia" w:ascii="宋体" w:hAnsi="宋体" w:cs="宋体"/>
          <w:color w:val="000000" w:themeColor="text1"/>
          <w:sz w:val="28"/>
          <w:szCs w:val="28"/>
          <w:highlight w:val="none"/>
          <w:lang w:eastAsia="zh-CN"/>
          <w14:textFill>
            <w14:solidFill>
              <w14:schemeClr w14:val="tx1"/>
            </w14:solidFill>
          </w14:textFill>
        </w:rPr>
        <w:t>供应商</w:t>
      </w:r>
      <w:r>
        <w:rPr>
          <w:rFonts w:hint="eastAsia" w:ascii="宋体" w:hAnsi="宋体" w:eastAsia="宋体" w:cs="宋体"/>
          <w:color w:val="000000" w:themeColor="text1"/>
          <w:sz w:val="28"/>
          <w:szCs w:val="28"/>
          <w:highlight w:val="none"/>
          <w14:textFill>
            <w14:solidFill>
              <w14:schemeClr w14:val="tx1"/>
            </w14:solidFill>
          </w14:textFill>
        </w:rPr>
        <w:t>必须对招标文件中标注为实质性要求和条件的货物内容及要求、商务条款及其它内容</w:t>
      </w:r>
      <w:r>
        <w:rPr>
          <w:rFonts w:hint="eastAsia" w:ascii="宋体" w:hAnsi="宋体" w:eastAsia="宋体" w:cs="宋体"/>
          <w:b w:val="0"/>
          <w:bCs/>
          <w:color w:val="000000" w:themeColor="text1"/>
          <w:sz w:val="28"/>
          <w:szCs w:val="28"/>
          <w:highlight w:val="none"/>
          <w14:textFill>
            <w14:solidFill>
              <w14:schemeClr w14:val="tx1"/>
            </w14:solidFill>
          </w14:textFill>
        </w:rPr>
        <w:t>作出满足或者优于原要求和条件的承诺。</w:t>
      </w:r>
    </w:p>
    <w:p w14:paraId="50DE8778">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b w:val="0"/>
          <w:bCs/>
          <w:color w:val="000000" w:themeColor="text1"/>
          <w:sz w:val="28"/>
          <w:szCs w:val="28"/>
          <w:highlight w:val="none"/>
          <w:u w:val="single"/>
          <w14:textFill>
            <w14:solidFill>
              <w14:schemeClr w14:val="tx1"/>
            </w14:solidFill>
          </w14:textFill>
        </w:rPr>
      </w:pPr>
      <w:r>
        <w:rPr>
          <w:rFonts w:hint="eastAsia" w:ascii="宋体" w:hAnsi="宋体" w:eastAsia="宋体" w:cs="宋体"/>
          <w:b w:val="0"/>
          <w:bCs/>
          <w:color w:val="000000" w:themeColor="text1"/>
          <w:sz w:val="28"/>
          <w:szCs w:val="28"/>
          <w:highlight w:val="none"/>
          <w:u w:val="single"/>
          <w14:textFill>
            <w14:solidFill>
              <w14:schemeClr w14:val="tx1"/>
            </w14:solidFill>
          </w14:textFill>
        </w:rPr>
        <w:t xml:space="preserve">19.7本项目为全流程电子化项目，异常情况见“第二节 </w:t>
      </w:r>
      <w:r>
        <w:rPr>
          <w:rFonts w:hint="eastAsia" w:ascii="宋体" w:hAnsi="宋体" w:cs="宋体"/>
          <w:b w:val="0"/>
          <w:bCs/>
          <w:color w:val="000000" w:themeColor="text1"/>
          <w:sz w:val="28"/>
          <w:szCs w:val="28"/>
          <w:highlight w:val="none"/>
          <w:u w:val="single"/>
          <w:lang w:eastAsia="zh-CN"/>
          <w14:textFill>
            <w14:solidFill>
              <w14:schemeClr w14:val="tx1"/>
            </w14:solidFill>
          </w14:textFill>
        </w:rPr>
        <w:t>供应商</w:t>
      </w:r>
      <w:r>
        <w:rPr>
          <w:rFonts w:hint="eastAsia" w:ascii="宋体" w:hAnsi="宋体" w:eastAsia="宋体" w:cs="宋体"/>
          <w:b w:val="0"/>
          <w:bCs/>
          <w:color w:val="000000" w:themeColor="text1"/>
          <w:sz w:val="28"/>
          <w:szCs w:val="28"/>
          <w:highlight w:val="none"/>
          <w:u w:val="single"/>
          <w14:textFill>
            <w14:solidFill>
              <w14:schemeClr w14:val="tx1"/>
            </w14:solidFill>
          </w14:textFill>
        </w:rPr>
        <w:t>须知正文”中“四、24.2开标程序。</w:t>
      </w:r>
    </w:p>
    <w:p w14:paraId="7BB90EE1">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20.备份投标文件</w:t>
      </w:r>
    </w:p>
    <w:p w14:paraId="19ED5843">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详见在“</w:t>
      </w:r>
      <w:r>
        <w:rPr>
          <w:rFonts w:hint="eastAsia" w:ascii="宋体" w:hAnsi="宋体" w:cs="宋体"/>
          <w:bCs/>
          <w:color w:val="000000" w:themeColor="text1"/>
          <w:sz w:val="28"/>
          <w:szCs w:val="28"/>
          <w:highlight w:val="none"/>
          <w:lang w:eastAsia="zh-CN"/>
          <w14:textFill>
            <w14:solidFill>
              <w14:schemeClr w14:val="tx1"/>
            </w14:solidFill>
          </w14:textFill>
        </w:rPr>
        <w:t>供应商</w:t>
      </w:r>
      <w:r>
        <w:rPr>
          <w:rFonts w:hint="eastAsia" w:ascii="宋体" w:hAnsi="宋体" w:eastAsia="宋体" w:cs="宋体"/>
          <w:bCs/>
          <w:color w:val="000000" w:themeColor="text1"/>
          <w:sz w:val="28"/>
          <w:szCs w:val="28"/>
          <w:highlight w:val="none"/>
          <w14:textFill>
            <w14:solidFill>
              <w14:schemeClr w14:val="tx1"/>
            </w14:solidFill>
          </w14:textFill>
        </w:rPr>
        <w:t>须知前附表”。</w:t>
      </w:r>
    </w:p>
    <w:p w14:paraId="61E6F357">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21.投标文件的提交</w:t>
      </w:r>
    </w:p>
    <w:p w14:paraId="3ADF8472">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b/>
          <w:color w:val="000000" w:themeColor="text1"/>
          <w:sz w:val="28"/>
          <w:szCs w:val="28"/>
          <w:highlight w:val="none"/>
          <w14:textFill>
            <w14:solidFill>
              <w14:schemeClr w14:val="tx1"/>
            </w14:solidFill>
          </w14:textFill>
        </w:rPr>
      </w:pPr>
      <w:bookmarkStart w:id="152" w:name="_21.1投标人必须在“投标人须知中的前附表”规定的投标文件接收时间和投"/>
      <w:bookmarkEnd w:id="152"/>
      <w:r>
        <w:rPr>
          <w:rFonts w:hint="eastAsia" w:ascii="宋体" w:hAnsi="宋体" w:eastAsia="宋体" w:cs="宋体"/>
          <w:bCs/>
          <w:color w:val="000000" w:themeColor="text1"/>
          <w:sz w:val="28"/>
          <w:szCs w:val="28"/>
          <w:highlight w:val="none"/>
          <w14:textFill>
            <w14:solidFill>
              <w14:schemeClr w14:val="tx1"/>
            </w14:solidFill>
          </w14:textFill>
        </w:rPr>
        <w:t>21.1</w:t>
      </w:r>
      <w:r>
        <w:rPr>
          <w:rFonts w:hint="eastAsia" w:ascii="宋体" w:hAnsi="宋体" w:cs="宋体"/>
          <w:bCs/>
          <w:color w:val="000000" w:themeColor="text1"/>
          <w:sz w:val="28"/>
          <w:szCs w:val="28"/>
          <w:highlight w:val="none"/>
          <w:lang w:eastAsia="zh-CN"/>
          <w14:textFill>
            <w14:solidFill>
              <w14:schemeClr w14:val="tx1"/>
            </w14:solidFill>
          </w14:textFill>
        </w:rPr>
        <w:t>供应商</w:t>
      </w:r>
      <w:r>
        <w:rPr>
          <w:rFonts w:hint="eastAsia" w:ascii="宋体" w:hAnsi="宋体" w:eastAsia="宋体" w:cs="宋体"/>
          <w:bCs/>
          <w:color w:val="000000" w:themeColor="text1"/>
          <w:sz w:val="28"/>
          <w:szCs w:val="28"/>
          <w:highlight w:val="none"/>
          <w14:textFill>
            <w14:solidFill>
              <w14:schemeClr w14:val="tx1"/>
            </w14:solidFill>
          </w14:textFill>
        </w:rPr>
        <w:t>必须在“</w:t>
      </w:r>
      <w:r>
        <w:rPr>
          <w:rFonts w:hint="eastAsia" w:ascii="宋体" w:hAnsi="宋体" w:cs="宋体"/>
          <w:bCs/>
          <w:color w:val="000000" w:themeColor="text1"/>
          <w:sz w:val="28"/>
          <w:szCs w:val="28"/>
          <w:highlight w:val="none"/>
          <w:lang w:eastAsia="zh-CN"/>
          <w14:textFill>
            <w14:solidFill>
              <w14:schemeClr w14:val="tx1"/>
            </w14:solidFill>
          </w14:textFill>
        </w:rPr>
        <w:t>供应商</w:t>
      </w:r>
      <w:r>
        <w:rPr>
          <w:rFonts w:hint="eastAsia" w:ascii="宋体" w:hAnsi="宋体" w:eastAsia="宋体" w:cs="宋体"/>
          <w:bCs/>
          <w:color w:val="000000" w:themeColor="text1"/>
          <w:sz w:val="28"/>
          <w:szCs w:val="28"/>
          <w:highlight w:val="none"/>
          <w14:textFill>
            <w14:solidFill>
              <w14:schemeClr w14:val="tx1"/>
            </w14:solidFill>
          </w14:textFill>
        </w:rPr>
        <w:t xml:space="preserve">须知前附表”规定的投标文件接收时间和投标地点提交电子版投标文件。电子投标文件应在制作完成后，在投标截止时间前通过有效数字证书（CA认证锁）进行电子签章、加密，然后通过网络将加密的电子投标文件递交至“新疆政采云平台”。 </w:t>
      </w:r>
      <w:r>
        <w:rPr>
          <w:rFonts w:hint="eastAsia" w:ascii="宋体" w:hAnsi="宋体" w:eastAsia="宋体" w:cs="宋体"/>
          <w:b/>
          <w:color w:val="000000" w:themeColor="text1"/>
          <w:sz w:val="28"/>
          <w:szCs w:val="28"/>
          <w:highlight w:val="none"/>
          <w14:textFill>
            <w14:solidFill>
              <w14:schemeClr w14:val="tx1"/>
            </w14:solidFill>
          </w14:textFill>
        </w:rPr>
        <w:t xml:space="preserve"> </w:t>
      </w:r>
    </w:p>
    <w:p w14:paraId="4EA082C3">
      <w:pPr>
        <w:keepNext w:val="0"/>
        <w:keepLines w:val="0"/>
        <w:pageBreakBefore w:val="0"/>
        <w:kinsoku/>
        <w:wordWrap/>
        <w:overflowPunct/>
        <w:topLinePunct w:val="0"/>
        <w:bidi w:val="0"/>
        <w:adjustRightInd/>
        <w:snapToGrid/>
        <w:spacing w:line="560" w:lineRule="exact"/>
        <w:ind w:firstLine="562" w:firstLineChars="200"/>
        <w:jc w:val="both"/>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21.2未在规定时间内提交或者未按照招标文件要求密封或者标记的电子投标文件，“政采云”平台将拒收。</w:t>
      </w:r>
    </w:p>
    <w:p w14:paraId="0EA6A883">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21.3电子版投标文件提交方式见“招标公告”中“提交投标文件截止时间、开标时间和地点”</w:t>
      </w:r>
      <w:r>
        <w:rPr>
          <w:rFonts w:hint="eastAsia" w:ascii="宋体" w:hAnsi="宋体" w:eastAsia="宋体" w:cs="宋体"/>
          <w:b/>
          <w:color w:val="000000" w:themeColor="text1"/>
          <w:sz w:val="28"/>
          <w:szCs w:val="28"/>
          <w:highlight w:val="none"/>
          <w14:textFill>
            <w14:solidFill>
              <w14:schemeClr w14:val="tx1"/>
            </w14:solidFill>
          </w14:textFill>
        </w:rPr>
        <w:t xml:space="preserve"> 。</w:t>
      </w:r>
    </w:p>
    <w:p w14:paraId="3BCE3D3F">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22. 投标文件的补充、修改、撤回与退回</w:t>
      </w:r>
      <w:bookmarkStart w:id="153" w:name="_Toc254970684"/>
      <w:bookmarkStart w:id="154" w:name="_Toc254970543"/>
    </w:p>
    <w:p w14:paraId="488D6842">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22.1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政采云”平台将拒收。（补充、修改或者撤回方式见公告附件“电子投标文件制作与投送教程”）</w:t>
      </w:r>
    </w:p>
    <w:p w14:paraId="4F8A5CFF">
      <w:pPr>
        <w:pStyle w:val="108"/>
        <w:keepNext w:val="0"/>
        <w:keepLines w:val="0"/>
        <w:pageBreakBefore w:val="0"/>
        <w:kinsoku/>
        <w:wordWrap/>
        <w:overflowPunct/>
        <w:topLinePunct w:val="0"/>
        <w:bidi w:val="0"/>
        <w:adjustRightInd/>
        <w:snapToGrid/>
        <w:spacing w:before="0" w:line="560" w:lineRule="exact"/>
        <w:ind w:firstLine="56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22.2“政采云”平台收到投标文件，将妥善保存并即时向供应商发出确认回执通知。在投标截止时间前，除供应商补充、修改或者撤回投标文件外，任何单位和个人不得解密或提取投标文件。</w:t>
      </w:r>
    </w:p>
    <w:bookmarkEnd w:id="153"/>
    <w:bookmarkEnd w:id="154"/>
    <w:p w14:paraId="25CD0B6B">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22.3在投标截止时间止提交电子版投标文件的</w:t>
      </w:r>
      <w:r>
        <w:rPr>
          <w:rFonts w:hint="eastAsia" w:ascii="宋体" w:hAnsi="宋体" w:cs="宋体"/>
          <w:color w:val="000000" w:themeColor="text1"/>
          <w:sz w:val="28"/>
          <w:szCs w:val="28"/>
          <w:highlight w:val="none"/>
          <w:lang w:eastAsia="zh-CN"/>
          <w14:textFill>
            <w14:solidFill>
              <w14:schemeClr w14:val="tx1"/>
            </w14:solidFill>
          </w14:textFill>
        </w:rPr>
        <w:t>供应商</w:t>
      </w:r>
      <w:r>
        <w:rPr>
          <w:rFonts w:hint="eastAsia" w:ascii="宋体" w:hAnsi="宋体" w:eastAsia="宋体" w:cs="宋体"/>
          <w:color w:val="000000" w:themeColor="text1"/>
          <w:sz w:val="28"/>
          <w:szCs w:val="28"/>
          <w:highlight w:val="none"/>
          <w14:textFill>
            <w14:solidFill>
              <w14:schemeClr w14:val="tx1"/>
            </w14:solidFill>
          </w14:textFill>
        </w:rPr>
        <w:t>不足3家时，电子版投标文件由代理机构在“政采云”平台操作退回，除此之外采购人和采购代理机构对已提交的投标文件概不退回。</w:t>
      </w:r>
    </w:p>
    <w:p w14:paraId="3833E957">
      <w:pPr>
        <w:pStyle w:val="4"/>
        <w:keepNext w:val="0"/>
        <w:keepLines w:val="0"/>
        <w:pageBreakBefore w:val="0"/>
        <w:kinsoku/>
        <w:wordWrap/>
        <w:overflowPunct/>
        <w:topLinePunct w:val="0"/>
        <w:bidi w:val="0"/>
        <w:adjustRightInd/>
        <w:snapToGrid/>
        <w:spacing w:line="560" w:lineRule="exact"/>
        <w:jc w:val="both"/>
        <w:rPr>
          <w:rFonts w:hint="eastAsia" w:ascii="宋体" w:hAnsi="宋体" w:eastAsia="宋体" w:cs="宋体"/>
          <w:color w:val="000000" w:themeColor="text1"/>
          <w:sz w:val="28"/>
          <w:szCs w:val="28"/>
          <w:highlight w:val="none"/>
          <w14:textFill>
            <w14:solidFill>
              <w14:schemeClr w14:val="tx1"/>
            </w14:solidFill>
          </w14:textFill>
        </w:rPr>
      </w:pPr>
      <w:bookmarkStart w:id="155" w:name="_Toc17659"/>
      <w:bookmarkStart w:id="156" w:name="_Toc254970544"/>
      <w:bookmarkStart w:id="157" w:name="_Toc254970685"/>
      <w:bookmarkStart w:id="158" w:name="_Toc140742522"/>
      <w:bookmarkStart w:id="159" w:name="_Toc140741977"/>
      <w:bookmarkStart w:id="160" w:name="_Toc138610892"/>
      <w:r>
        <w:rPr>
          <w:rFonts w:hint="eastAsia" w:ascii="宋体" w:hAnsi="宋体" w:eastAsia="宋体" w:cs="宋体"/>
          <w:color w:val="000000" w:themeColor="text1"/>
          <w:sz w:val="28"/>
          <w:szCs w:val="28"/>
          <w:highlight w:val="none"/>
          <w14:textFill>
            <w14:solidFill>
              <w14:schemeClr w14:val="tx1"/>
            </w14:solidFill>
          </w14:textFill>
        </w:rPr>
        <w:t>四、开    标</w:t>
      </w:r>
      <w:bookmarkEnd w:id="155"/>
      <w:bookmarkEnd w:id="156"/>
      <w:bookmarkEnd w:id="157"/>
      <w:bookmarkEnd w:id="158"/>
      <w:bookmarkEnd w:id="159"/>
      <w:bookmarkEnd w:id="160"/>
    </w:p>
    <w:p w14:paraId="3BCDBB3E">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bookmarkStart w:id="161" w:name="_23.开标时间和地点"/>
      <w:bookmarkEnd w:id="161"/>
      <w:r>
        <w:rPr>
          <w:rFonts w:hint="eastAsia" w:ascii="宋体" w:hAnsi="宋体" w:eastAsia="宋体" w:cs="宋体"/>
          <w:color w:val="000000" w:themeColor="text1"/>
          <w:sz w:val="28"/>
          <w:szCs w:val="28"/>
          <w:highlight w:val="none"/>
          <w14:textFill>
            <w14:solidFill>
              <w14:schemeClr w14:val="tx1"/>
            </w14:solidFill>
          </w14:textFill>
        </w:rPr>
        <w:t>23.开标时间和地点</w:t>
      </w:r>
    </w:p>
    <w:p w14:paraId="633B9F59">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23.1开标时间及地点详见“</w:t>
      </w:r>
      <w:r>
        <w:rPr>
          <w:rFonts w:hint="eastAsia" w:ascii="宋体" w:hAnsi="宋体" w:cs="宋体"/>
          <w:bCs/>
          <w:color w:val="000000" w:themeColor="text1"/>
          <w:sz w:val="28"/>
          <w:szCs w:val="28"/>
          <w:highlight w:val="none"/>
          <w:lang w:eastAsia="zh-CN"/>
          <w14:textFill>
            <w14:solidFill>
              <w14:schemeClr w14:val="tx1"/>
            </w14:solidFill>
          </w14:textFill>
        </w:rPr>
        <w:t>供应商</w:t>
      </w:r>
      <w:r>
        <w:rPr>
          <w:rFonts w:hint="eastAsia" w:ascii="宋体" w:hAnsi="宋体" w:eastAsia="宋体" w:cs="宋体"/>
          <w:bCs/>
          <w:color w:val="000000" w:themeColor="text1"/>
          <w:sz w:val="28"/>
          <w:szCs w:val="28"/>
          <w:highlight w:val="none"/>
          <w14:textFill>
            <w14:solidFill>
              <w14:schemeClr w14:val="tx1"/>
            </w14:solidFill>
          </w14:textFill>
        </w:rPr>
        <w:t>须知前附表”</w:t>
      </w:r>
    </w:p>
    <w:p w14:paraId="13257082">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23.2如</w:t>
      </w:r>
      <w:r>
        <w:rPr>
          <w:rFonts w:hint="eastAsia" w:ascii="宋体" w:hAnsi="宋体" w:cs="宋体"/>
          <w:bCs/>
          <w:color w:val="000000" w:themeColor="text1"/>
          <w:sz w:val="28"/>
          <w:szCs w:val="28"/>
          <w:highlight w:val="none"/>
          <w:lang w:eastAsia="zh-CN"/>
          <w14:textFill>
            <w14:solidFill>
              <w14:schemeClr w14:val="tx1"/>
            </w14:solidFill>
          </w14:textFill>
        </w:rPr>
        <w:t>供应商</w:t>
      </w:r>
      <w:r>
        <w:rPr>
          <w:rFonts w:hint="eastAsia" w:ascii="宋体" w:hAnsi="宋体" w:eastAsia="宋体" w:cs="宋体"/>
          <w:bCs/>
          <w:color w:val="000000" w:themeColor="text1"/>
          <w:sz w:val="28"/>
          <w:szCs w:val="28"/>
          <w:highlight w:val="none"/>
          <w14:textFill>
            <w14:solidFill>
              <w14:schemeClr w14:val="tx1"/>
            </w14:solidFill>
          </w14:textFill>
        </w:rPr>
        <w:t>成功解密投标文件，但未在“政采云”电子开标大厅参加开标的，视同认可开标过程和结果，</w:t>
      </w:r>
      <w:r>
        <w:rPr>
          <w:rFonts w:hint="eastAsia" w:ascii="宋体" w:hAnsi="宋体" w:eastAsia="宋体" w:cs="宋体"/>
          <w:color w:val="000000" w:themeColor="text1"/>
          <w:sz w:val="28"/>
          <w:szCs w:val="28"/>
          <w:highlight w:val="none"/>
          <w14:textFill>
            <w14:solidFill>
              <w14:schemeClr w14:val="tx1"/>
            </w14:solidFill>
          </w14:textFill>
        </w:rPr>
        <w:t>由此产生的后果由</w:t>
      </w:r>
      <w:r>
        <w:rPr>
          <w:rFonts w:hint="eastAsia" w:ascii="宋体" w:hAnsi="宋体" w:cs="宋体"/>
          <w:color w:val="000000" w:themeColor="text1"/>
          <w:sz w:val="28"/>
          <w:szCs w:val="28"/>
          <w:highlight w:val="none"/>
          <w:lang w:eastAsia="zh-CN"/>
          <w14:textFill>
            <w14:solidFill>
              <w14:schemeClr w14:val="tx1"/>
            </w14:solidFill>
          </w14:textFill>
        </w:rPr>
        <w:t>供应商</w:t>
      </w:r>
      <w:r>
        <w:rPr>
          <w:rFonts w:hint="eastAsia" w:ascii="宋体" w:hAnsi="宋体" w:eastAsia="宋体" w:cs="宋体"/>
          <w:color w:val="000000" w:themeColor="text1"/>
          <w:sz w:val="28"/>
          <w:szCs w:val="28"/>
          <w:highlight w:val="none"/>
          <w14:textFill>
            <w14:solidFill>
              <w14:schemeClr w14:val="tx1"/>
            </w14:solidFill>
          </w14:textFill>
        </w:rPr>
        <w:t xml:space="preserve">自行负责。 </w:t>
      </w:r>
      <w:r>
        <w:rPr>
          <w:rFonts w:hint="eastAsia" w:ascii="宋体" w:hAnsi="宋体" w:cs="宋体"/>
          <w:color w:val="000000" w:themeColor="text1"/>
          <w:sz w:val="28"/>
          <w:szCs w:val="28"/>
          <w:highlight w:val="none"/>
          <w:lang w:eastAsia="zh-CN"/>
          <w14:textFill>
            <w14:solidFill>
              <w14:schemeClr w14:val="tx1"/>
            </w14:solidFill>
          </w14:textFill>
        </w:rPr>
        <w:t>供应商</w:t>
      </w:r>
      <w:r>
        <w:rPr>
          <w:rFonts w:hint="eastAsia" w:ascii="宋体" w:hAnsi="宋体" w:eastAsia="宋体" w:cs="宋体"/>
          <w:color w:val="000000" w:themeColor="text1"/>
          <w:sz w:val="28"/>
          <w:szCs w:val="28"/>
          <w:highlight w:val="none"/>
          <w14:textFill>
            <w14:solidFill>
              <w14:schemeClr w14:val="tx1"/>
            </w14:solidFill>
          </w14:textFill>
        </w:rPr>
        <w:t>不足3家的，不得开标。</w:t>
      </w:r>
    </w:p>
    <w:p w14:paraId="1D2838A4">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24.开标程序</w:t>
      </w:r>
    </w:p>
    <w:p w14:paraId="4B225345">
      <w:pPr>
        <w:keepNext w:val="0"/>
        <w:keepLines w:val="0"/>
        <w:pageBreakBefore w:val="0"/>
        <w:kinsoku/>
        <w:wordWrap/>
        <w:overflowPunct/>
        <w:topLinePunct w:val="0"/>
        <w:autoSpaceDE w:val="0"/>
        <w:autoSpaceDN w:val="0"/>
        <w:bidi w:val="0"/>
        <w:adjustRightInd/>
        <w:snapToGrid/>
        <w:spacing w:line="560" w:lineRule="exact"/>
        <w:ind w:firstLine="560" w:firstLineChars="200"/>
        <w:jc w:val="both"/>
        <w:rPr>
          <w:rFonts w:hint="eastAsia" w:ascii="宋体" w:hAnsi="宋体" w:eastAsia="宋体" w:cs="宋体"/>
          <w:color w:val="000000" w:themeColor="text1"/>
          <w:kern w:val="0"/>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24.1</w:t>
      </w:r>
      <w:r>
        <w:rPr>
          <w:rFonts w:hint="eastAsia" w:ascii="宋体" w:hAnsi="宋体" w:eastAsia="宋体" w:cs="宋体"/>
          <w:color w:val="000000" w:themeColor="text1"/>
          <w:kern w:val="0"/>
          <w:sz w:val="28"/>
          <w:szCs w:val="28"/>
          <w:highlight w:val="none"/>
          <w14:textFill>
            <w14:solidFill>
              <w14:schemeClr w14:val="tx1"/>
            </w14:solidFill>
          </w14:textFill>
        </w:rPr>
        <w:t>开标形式：</w:t>
      </w:r>
    </w:p>
    <w:p w14:paraId="328A60F2">
      <w:pPr>
        <w:keepNext w:val="0"/>
        <w:keepLines w:val="0"/>
        <w:pageBreakBefore w:val="0"/>
        <w:kinsoku/>
        <w:wordWrap/>
        <w:overflowPunct/>
        <w:topLinePunct w:val="0"/>
        <w:autoSpaceDE w:val="0"/>
        <w:autoSpaceDN w:val="0"/>
        <w:bidi w:val="0"/>
        <w:adjustRightInd/>
        <w:snapToGrid/>
        <w:spacing w:line="560" w:lineRule="exact"/>
        <w:ind w:firstLine="560" w:firstLineChars="200"/>
        <w:jc w:val="both"/>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w:t>
      </w:r>
      <w:r>
        <w:rPr>
          <w:rFonts w:hint="eastAsia" w:ascii="宋体" w:hAnsi="宋体" w:eastAsia="宋体" w:cs="宋体"/>
          <w:bCs/>
          <w:color w:val="000000" w:themeColor="text1"/>
          <w:sz w:val="28"/>
          <w:szCs w:val="28"/>
          <w:highlight w:val="none"/>
          <w14:textFill>
            <w14:solidFill>
              <w14:schemeClr w14:val="tx1"/>
            </w14:solidFill>
          </w14:textFill>
        </w:rPr>
        <w:t>开标的准备工作由采购代理机构负责落实，采购代理机构必须基于“政采云”平台选取评审专家，如采购代理机构未按规定选取专家的，视为本次开评标无效，应当重新采购；</w:t>
      </w:r>
    </w:p>
    <w:p w14:paraId="35FC3918">
      <w:pPr>
        <w:keepNext w:val="0"/>
        <w:keepLines w:val="0"/>
        <w:pageBreakBefore w:val="0"/>
        <w:kinsoku/>
        <w:wordWrap/>
        <w:overflowPunct/>
        <w:topLinePunct w:val="0"/>
        <w:autoSpaceDE w:val="0"/>
        <w:autoSpaceDN w:val="0"/>
        <w:bidi w:val="0"/>
        <w:adjustRightInd/>
        <w:snapToGrid/>
        <w:spacing w:line="560" w:lineRule="exact"/>
        <w:ind w:firstLine="560" w:firstLineChars="200"/>
        <w:jc w:val="both"/>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（2）采购代理机构将按照招标文件规定的时间通过“政采云”平台组织线上开标活动、开启投标文件，所有供应商均应当准时在线参加。</w:t>
      </w:r>
      <w:r>
        <w:rPr>
          <w:rFonts w:hint="eastAsia" w:ascii="宋体" w:hAnsi="宋体" w:cs="宋体"/>
          <w:bCs/>
          <w:color w:val="000000" w:themeColor="text1"/>
          <w:sz w:val="28"/>
          <w:szCs w:val="28"/>
          <w:highlight w:val="none"/>
          <w:lang w:eastAsia="zh-CN"/>
          <w14:textFill>
            <w14:solidFill>
              <w14:schemeClr w14:val="tx1"/>
            </w14:solidFill>
          </w14:textFill>
        </w:rPr>
        <w:t>供应商</w:t>
      </w:r>
      <w:r>
        <w:rPr>
          <w:rFonts w:hint="eastAsia" w:ascii="宋体" w:hAnsi="宋体" w:eastAsia="宋体" w:cs="宋体"/>
          <w:bCs/>
          <w:color w:val="000000" w:themeColor="text1"/>
          <w:sz w:val="28"/>
          <w:szCs w:val="28"/>
          <w:highlight w:val="none"/>
          <w14:textFill>
            <w14:solidFill>
              <w14:schemeClr w14:val="tx1"/>
            </w14:solidFill>
          </w14:textFill>
        </w:rPr>
        <w:t>如不参加开标大会的，视同认可开标结果，事后不得对采购相关人员、开标过程和开标结果提出异议，同时</w:t>
      </w:r>
      <w:r>
        <w:rPr>
          <w:rFonts w:hint="eastAsia" w:ascii="宋体" w:hAnsi="宋体" w:cs="宋体"/>
          <w:bCs/>
          <w:color w:val="000000" w:themeColor="text1"/>
          <w:sz w:val="28"/>
          <w:szCs w:val="28"/>
          <w:highlight w:val="none"/>
          <w:lang w:eastAsia="zh-CN"/>
          <w14:textFill>
            <w14:solidFill>
              <w14:schemeClr w14:val="tx1"/>
            </w14:solidFill>
          </w14:textFill>
        </w:rPr>
        <w:t>供应商</w:t>
      </w:r>
      <w:r>
        <w:rPr>
          <w:rFonts w:hint="eastAsia" w:ascii="宋体" w:hAnsi="宋体" w:eastAsia="宋体" w:cs="宋体"/>
          <w:bCs/>
          <w:color w:val="000000" w:themeColor="text1"/>
          <w:sz w:val="28"/>
          <w:szCs w:val="28"/>
          <w:highlight w:val="none"/>
          <w14:textFill>
            <w14:solidFill>
              <w14:schemeClr w14:val="tx1"/>
            </w14:solidFill>
          </w14:textFill>
        </w:rPr>
        <w:t>因未在线参加开标而导致投标文件无法按时解密等一切后果由</w:t>
      </w:r>
      <w:r>
        <w:rPr>
          <w:rFonts w:hint="eastAsia" w:ascii="宋体" w:hAnsi="宋体" w:cs="宋体"/>
          <w:bCs/>
          <w:color w:val="000000" w:themeColor="text1"/>
          <w:sz w:val="28"/>
          <w:szCs w:val="28"/>
          <w:highlight w:val="none"/>
          <w:lang w:eastAsia="zh-CN"/>
          <w14:textFill>
            <w14:solidFill>
              <w14:schemeClr w14:val="tx1"/>
            </w14:solidFill>
          </w14:textFill>
        </w:rPr>
        <w:t>供应商</w:t>
      </w:r>
      <w:r>
        <w:rPr>
          <w:rFonts w:hint="eastAsia" w:ascii="宋体" w:hAnsi="宋体" w:eastAsia="宋体" w:cs="宋体"/>
          <w:bCs/>
          <w:color w:val="000000" w:themeColor="text1"/>
          <w:sz w:val="28"/>
          <w:szCs w:val="28"/>
          <w:highlight w:val="none"/>
          <w14:textFill>
            <w14:solidFill>
              <w14:schemeClr w14:val="tx1"/>
            </w14:solidFill>
          </w14:textFill>
        </w:rPr>
        <w:t>自己承担。</w:t>
      </w:r>
    </w:p>
    <w:p w14:paraId="686C7459">
      <w:pPr>
        <w:keepNext w:val="0"/>
        <w:keepLines w:val="0"/>
        <w:pageBreakBefore w:val="0"/>
        <w:kinsoku/>
        <w:wordWrap/>
        <w:overflowPunct/>
        <w:topLinePunct w:val="0"/>
        <w:autoSpaceDE w:val="0"/>
        <w:autoSpaceDN w:val="0"/>
        <w:bidi w:val="0"/>
        <w:adjustRightInd/>
        <w:snapToGrid/>
        <w:spacing w:line="560" w:lineRule="exact"/>
        <w:ind w:firstLine="560" w:firstLineChars="200"/>
        <w:jc w:val="both"/>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24.2开标程序：</w:t>
      </w:r>
    </w:p>
    <w:p w14:paraId="1E04AE5A">
      <w:pPr>
        <w:keepNext w:val="0"/>
        <w:keepLines w:val="0"/>
        <w:pageBreakBefore w:val="0"/>
        <w:kinsoku/>
        <w:wordWrap/>
        <w:overflowPunct/>
        <w:topLinePunct w:val="0"/>
        <w:bidi w:val="0"/>
        <w:adjustRightInd/>
        <w:snapToGrid/>
        <w:spacing w:line="560" w:lineRule="exact"/>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（1）解密电子投标文件。“政采云”平台按开标时间自动提取所有投标文件。采购代理机构依托“政采云”平台向各</w:t>
      </w:r>
      <w:r>
        <w:rPr>
          <w:rFonts w:hint="eastAsia" w:ascii="宋体" w:hAnsi="宋体" w:cs="宋体"/>
          <w:color w:val="000000" w:themeColor="text1"/>
          <w:sz w:val="28"/>
          <w:szCs w:val="28"/>
          <w:highlight w:val="none"/>
          <w:lang w:eastAsia="zh-CN"/>
          <w14:textFill>
            <w14:solidFill>
              <w14:schemeClr w14:val="tx1"/>
            </w14:solidFill>
          </w14:textFill>
        </w:rPr>
        <w:t>供应商</w:t>
      </w:r>
      <w:r>
        <w:rPr>
          <w:rFonts w:hint="eastAsia" w:ascii="宋体" w:hAnsi="宋体" w:eastAsia="宋体" w:cs="宋体"/>
          <w:color w:val="000000" w:themeColor="text1"/>
          <w:sz w:val="28"/>
          <w:szCs w:val="28"/>
          <w:highlight w:val="none"/>
          <w14:textFill>
            <w14:solidFill>
              <w14:schemeClr w14:val="tx1"/>
            </w14:solidFill>
          </w14:textFill>
        </w:rPr>
        <w:t>发出电子加密投标文件【开始解密】通知，由</w:t>
      </w:r>
      <w:r>
        <w:rPr>
          <w:rFonts w:hint="eastAsia" w:ascii="宋体" w:hAnsi="宋体" w:cs="宋体"/>
          <w:color w:val="000000" w:themeColor="text1"/>
          <w:sz w:val="28"/>
          <w:szCs w:val="28"/>
          <w:highlight w:val="none"/>
          <w:lang w:eastAsia="zh-CN"/>
          <w14:textFill>
            <w14:solidFill>
              <w14:schemeClr w14:val="tx1"/>
            </w14:solidFill>
          </w14:textFill>
        </w:rPr>
        <w:t>供应商</w:t>
      </w:r>
      <w:r>
        <w:rPr>
          <w:rFonts w:hint="eastAsia" w:ascii="宋体" w:hAnsi="宋体" w:eastAsia="宋体" w:cs="宋体"/>
          <w:color w:val="000000" w:themeColor="text1"/>
          <w:sz w:val="28"/>
          <w:szCs w:val="28"/>
          <w:highlight w:val="none"/>
          <w14:textFill>
            <w14:solidFill>
              <w14:schemeClr w14:val="tx1"/>
            </w14:solidFill>
          </w14:textFill>
        </w:rPr>
        <w:t>按招标文件规定的时间内自行进行投标文件解密。</w:t>
      </w:r>
      <w:r>
        <w:rPr>
          <w:rFonts w:hint="eastAsia" w:ascii="宋体" w:hAnsi="宋体" w:cs="宋体"/>
          <w:color w:val="000000" w:themeColor="text1"/>
          <w:sz w:val="28"/>
          <w:szCs w:val="28"/>
          <w:highlight w:val="none"/>
          <w:lang w:eastAsia="zh-CN"/>
          <w14:textFill>
            <w14:solidFill>
              <w14:schemeClr w14:val="tx1"/>
            </w14:solidFill>
          </w14:textFill>
        </w:rPr>
        <w:t>供应商</w:t>
      </w:r>
      <w:r>
        <w:rPr>
          <w:rFonts w:hint="eastAsia" w:ascii="宋体" w:hAnsi="宋体" w:eastAsia="宋体" w:cs="宋体"/>
          <w:color w:val="000000" w:themeColor="text1"/>
          <w:sz w:val="28"/>
          <w:szCs w:val="28"/>
          <w:highlight w:val="none"/>
          <w14:textFill>
            <w14:solidFill>
              <w14:schemeClr w14:val="tx1"/>
            </w14:solidFill>
          </w14:textFill>
        </w:rPr>
        <w:t>的法定代表人或其委托代理人须携带加密时所用的CA锁准时登录到“政采云”平台电子开标大厅签到并对电子投标文件解密。开标后5分钟</w:t>
      </w:r>
      <w:r>
        <w:rPr>
          <w:rFonts w:hint="eastAsia" w:ascii="宋体" w:hAnsi="宋体" w:cs="宋体"/>
          <w:color w:val="000000" w:themeColor="text1"/>
          <w:sz w:val="28"/>
          <w:szCs w:val="28"/>
          <w:highlight w:val="none"/>
          <w:lang w:eastAsia="zh-CN"/>
          <w14:textFill>
            <w14:solidFill>
              <w14:schemeClr w14:val="tx1"/>
            </w14:solidFill>
          </w14:textFill>
        </w:rPr>
        <w:t>供应商</w:t>
      </w:r>
      <w:r>
        <w:rPr>
          <w:rFonts w:hint="eastAsia" w:ascii="宋体" w:hAnsi="宋体" w:eastAsia="宋体" w:cs="宋体"/>
          <w:color w:val="000000" w:themeColor="text1"/>
          <w:sz w:val="28"/>
          <w:szCs w:val="28"/>
          <w:highlight w:val="none"/>
          <w14:textFill>
            <w14:solidFill>
              <w14:schemeClr w14:val="tx1"/>
            </w14:solidFill>
          </w14:textFill>
        </w:rPr>
        <w:t>还未进行解密的，代理机构要通知</w:t>
      </w:r>
      <w:r>
        <w:rPr>
          <w:rFonts w:hint="eastAsia" w:ascii="宋体" w:hAnsi="宋体" w:cs="宋体"/>
          <w:color w:val="000000" w:themeColor="text1"/>
          <w:sz w:val="28"/>
          <w:szCs w:val="28"/>
          <w:highlight w:val="none"/>
          <w:lang w:eastAsia="zh-CN"/>
          <w14:textFill>
            <w14:solidFill>
              <w14:schemeClr w14:val="tx1"/>
            </w14:solidFill>
          </w14:textFill>
        </w:rPr>
        <w:t>供应商</w:t>
      </w:r>
      <w:r>
        <w:rPr>
          <w:rFonts w:hint="eastAsia" w:ascii="宋体" w:hAnsi="宋体" w:eastAsia="宋体" w:cs="宋体"/>
          <w:color w:val="000000" w:themeColor="text1"/>
          <w:sz w:val="28"/>
          <w:szCs w:val="28"/>
          <w:highlight w:val="none"/>
          <w14:textFill>
            <w14:solidFill>
              <w14:schemeClr w14:val="tx1"/>
            </w14:solidFill>
          </w14:textFill>
        </w:rPr>
        <w:t>。通知后，投标文件仍未按时解密，或者</w:t>
      </w:r>
      <w:r>
        <w:rPr>
          <w:rFonts w:hint="eastAsia" w:ascii="宋体" w:hAnsi="宋体" w:cs="宋体"/>
          <w:color w:val="000000" w:themeColor="text1"/>
          <w:sz w:val="28"/>
          <w:szCs w:val="28"/>
          <w:highlight w:val="none"/>
          <w:lang w:eastAsia="zh-CN"/>
          <w14:textFill>
            <w14:solidFill>
              <w14:schemeClr w14:val="tx1"/>
            </w14:solidFill>
          </w14:textFill>
        </w:rPr>
        <w:t>供应商</w:t>
      </w:r>
      <w:r>
        <w:rPr>
          <w:rFonts w:hint="eastAsia" w:ascii="宋体" w:hAnsi="宋体" w:eastAsia="宋体" w:cs="宋体"/>
          <w:color w:val="000000" w:themeColor="text1"/>
          <w:sz w:val="28"/>
          <w:szCs w:val="28"/>
          <w:highlight w:val="none"/>
          <w14:textFill>
            <w14:solidFill>
              <w14:schemeClr w14:val="tx1"/>
            </w14:solidFill>
          </w14:textFill>
        </w:rPr>
        <w:t>没预留联系方式或预留联系方式无效，导致代理机构无法联系到</w:t>
      </w:r>
      <w:r>
        <w:rPr>
          <w:rFonts w:hint="eastAsia" w:ascii="宋体" w:hAnsi="宋体" w:cs="宋体"/>
          <w:color w:val="000000" w:themeColor="text1"/>
          <w:sz w:val="28"/>
          <w:szCs w:val="28"/>
          <w:highlight w:val="none"/>
          <w:lang w:eastAsia="zh-CN"/>
          <w14:textFill>
            <w14:solidFill>
              <w14:schemeClr w14:val="tx1"/>
            </w14:solidFill>
          </w14:textFill>
        </w:rPr>
        <w:t>供应商</w:t>
      </w:r>
      <w:r>
        <w:rPr>
          <w:rFonts w:hint="eastAsia" w:ascii="宋体" w:hAnsi="宋体" w:eastAsia="宋体" w:cs="宋体"/>
          <w:color w:val="000000" w:themeColor="text1"/>
          <w:sz w:val="28"/>
          <w:szCs w:val="28"/>
          <w:highlight w:val="none"/>
          <w14:textFill>
            <w14:solidFill>
              <w14:schemeClr w14:val="tx1"/>
            </w14:solidFill>
          </w14:textFill>
        </w:rPr>
        <w:t>进行解密的，均视为无效投标。</w:t>
      </w:r>
    </w:p>
    <w:p w14:paraId="5D775B82">
      <w:pPr>
        <w:keepNext w:val="0"/>
        <w:keepLines w:val="0"/>
        <w:pageBreakBefore w:val="0"/>
        <w:kinsoku/>
        <w:wordWrap/>
        <w:overflowPunct/>
        <w:topLinePunct w:val="0"/>
        <w:bidi w:val="0"/>
        <w:adjustRightInd/>
        <w:snapToGrid/>
        <w:spacing w:line="560" w:lineRule="exact"/>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（解密异常情况处理：详见本章29.3 电子交易活动的中止。）</w:t>
      </w:r>
    </w:p>
    <w:p w14:paraId="19F36A9A">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（2）</w:t>
      </w:r>
      <w:r>
        <w:rPr>
          <w:rFonts w:hint="eastAsia" w:ascii="宋体" w:hAnsi="宋体" w:eastAsia="宋体" w:cs="宋体"/>
          <w:b w:val="0"/>
          <w:bCs/>
          <w:color w:val="000000" w:themeColor="text1"/>
          <w:sz w:val="28"/>
          <w:szCs w:val="28"/>
          <w:highlight w:val="none"/>
          <w14:textFill>
            <w14:solidFill>
              <w14:schemeClr w14:val="tx1"/>
            </w14:solidFill>
          </w14:textFill>
        </w:rPr>
        <w:t>电子唱标。</w:t>
      </w:r>
      <w:r>
        <w:rPr>
          <w:rFonts w:hint="eastAsia" w:ascii="宋体" w:hAnsi="宋体" w:eastAsia="宋体" w:cs="宋体"/>
          <w:color w:val="000000" w:themeColor="text1"/>
          <w:sz w:val="28"/>
          <w:szCs w:val="28"/>
          <w:highlight w:val="none"/>
          <w14:textFill>
            <w14:solidFill>
              <w14:schemeClr w14:val="tx1"/>
            </w14:solidFill>
          </w14:textFill>
        </w:rPr>
        <w:t>投标文件解密结束，各投标供应商报价均在“政采云”平台远程不见面开标大厅展示；</w:t>
      </w:r>
    </w:p>
    <w:p w14:paraId="34671A6D">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（3）</w:t>
      </w:r>
      <w:r>
        <w:rPr>
          <w:rFonts w:hint="eastAsia" w:ascii="宋体" w:hAnsi="宋体" w:eastAsia="宋体" w:cs="宋体"/>
          <w:b w:val="0"/>
          <w:bCs/>
          <w:color w:val="000000" w:themeColor="text1"/>
          <w:sz w:val="28"/>
          <w:szCs w:val="28"/>
          <w:highlight w:val="none"/>
          <w14:textFill>
            <w14:solidFill>
              <w14:schemeClr w14:val="tx1"/>
            </w14:solidFill>
          </w14:textFill>
        </w:rPr>
        <w:t>签署电子《政府采购活动现场确认声明书》。</w:t>
      </w:r>
      <w:r>
        <w:rPr>
          <w:rFonts w:hint="eastAsia" w:ascii="宋体" w:hAnsi="宋体" w:eastAsia="宋体" w:cs="宋体"/>
          <w:color w:val="000000" w:themeColor="text1"/>
          <w:sz w:val="28"/>
          <w:szCs w:val="28"/>
          <w:highlight w:val="none"/>
          <w14:textFill>
            <w14:solidFill>
              <w14:schemeClr w14:val="tx1"/>
            </w14:solidFill>
          </w14:textFill>
        </w:rPr>
        <w:t>通过邮件形式在远程不见面开标大厅发送各</w:t>
      </w:r>
      <w:r>
        <w:rPr>
          <w:rFonts w:hint="eastAsia" w:ascii="宋体" w:hAnsi="宋体" w:cs="宋体"/>
          <w:color w:val="000000" w:themeColor="text1"/>
          <w:sz w:val="28"/>
          <w:szCs w:val="28"/>
          <w:highlight w:val="none"/>
          <w:lang w:eastAsia="zh-CN"/>
          <w14:textFill>
            <w14:solidFill>
              <w14:schemeClr w14:val="tx1"/>
            </w14:solidFill>
          </w14:textFill>
        </w:rPr>
        <w:t>供应商</w:t>
      </w:r>
      <w:r>
        <w:rPr>
          <w:rFonts w:hint="eastAsia" w:ascii="宋体" w:hAnsi="宋体" w:eastAsia="宋体" w:cs="宋体"/>
          <w:color w:val="000000" w:themeColor="text1"/>
          <w:sz w:val="28"/>
          <w:szCs w:val="28"/>
          <w:highlight w:val="none"/>
          <w14:textFill>
            <w14:solidFill>
              <w14:schemeClr w14:val="tx1"/>
            </w14:solidFill>
          </w14:textFill>
        </w:rPr>
        <w:t>签署电子《政府采购活动现场确认声明书》。</w:t>
      </w:r>
    </w:p>
    <w:p w14:paraId="7A5C89ED">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（4）开标过程由采购代理机构如实记录，并电子留痕，由参加电子开标的各</w:t>
      </w:r>
      <w:r>
        <w:rPr>
          <w:rFonts w:hint="eastAsia" w:ascii="宋体" w:hAnsi="宋体" w:cs="宋体"/>
          <w:bCs/>
          <w:color w:val="000000" w:themeColor="text1"/>
          <w:sz w:val="28"/>
          <w:szCs w:val="28"/>
          <w:highlight w:val="none"/>
          <w:lang w:eastAsia="zh-CN"/>
          <w14:textFill>
            <w14:solidFill>
              <w14:schemeClr w14:val="tx1"/>
            </w14:solidFill>
          </w14:textFill>
        </w:rPr>
        <w:t>供应商</w:t>
      </w:r>
      <w:r>
        <w:rPr>
          <w:rFonts w:hint="eastAsia" w:ascii="宋体" w:hAnsi="宋体" w:eastAsia="宋体" w:cs="宋体"/>
          <w:bCs/>
          <w:color w:val="000000" w:themeColor="text1"/>
          <w:sz w:val="28"/>
          <w:szCs w:val="28"/>
          <w:highlight w:val="none"/>
          <w14:textFill>
            <w14:solidFill>
              <w14:schemeClr w14:val="tx1"/>
            </w14:solidFill>
          </w14:textFill>
        </w:rPr>
        <w:t>代表对电子开标记录在开标记录公布后15分钟内进行当场校核及勘误，并线上确认，未确认的视同认可开标结果。</w:t>
      </w:r>
    </w:p>
    <w:p w14:paraId="2A27D884">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（5）</w:t>
      </w:r>
      <w:r>
        <w:rPr>
          <w:rFonts w:hint="eastAsia" w:ascii="宋体" w:hAnsi="宋体" w:cs="宋体"/>
          <w:bCs/>
          <w:color w:val="000000" w:themeColor="text1"/>
          <w:sz w:val="28"/>
          <w:szCs w:val="28"/>
          <w:highlight w:val="none"/>
          <w:lang w:eastAsia="zh-CN"/>
          <w14:textFill>
            <w14:solidFill>
              <w14:schemeClr w14:val="tx1"/>
            </w14:solidFill>
          </w14:textFill>
        </w:rPr>
        <w:t>供应商</w:t>
      </w:r>
      <w:r>
        <w:rPr>
          <w:rFonts w:hint="eastAsia" w:ascii="宋体" w:hAnsi="宋体" w:eastAsia="宋体" w:cs="宋体"/>
          <w:bCs/>
          <w:color w:val="000000" w:themeColor="text1"/>
          <w:sz w:val="28"/>
          <w:szCs w:val="28"/>
          <w:highlight w:val="none"/>
          <w14:textFill>
            <w14:solidFill>
              <w14:schemeClr w14:val="tx1"/>
            </w14:solidFill>
          </w14:textFill>
        </w:rPr>
        <w:t>代表对开标过程和开标记录有疑义，以及认为采购人、采购代理机构相关工作人员有需要回避的情形的，应当场提出在线询问或者回避申请。采购人、采购代理机构对</w:t>
      </w:r>
      <w:r>
        <w:rPr>
          <w:rFonts w:hint="eastAsia" w:ascii="宋体" w:hAnsi="宋体" w:cs="宋体"/>
          <w:bCs/>
          <w:color w:val="000000" w:themeColor="text1"/>
          <w:sz w:val="28"/>
          <w:szCs w:val="28"/>
          <w:highlight w:val="none"/>
          <w:lang w:eastAsia="zh-CN"/>
          <w14:textFill>
            <w14:solidFill>
              <w14:schemeClr w14:val="tx1"/>
            </w14:solidFill>
          </w14:textFill>
        </w:rPr>
        <w:t>供应商</w:t>
      </w:r>
      <w:r>
        <w:rPr>
          <w:rFonts w:hint="eastAsia" w:ascii="宋体" w:hAnsi="宋体" w:eastAsia="宋体" w:cs="宋体"/>
          <w:bCs/>
          <w:color w:val="000000" w:themeColor="text1"/>
          <w:sz w:val="28"/>
          <w:szCs w:val="28"/>
          <w:highlight w:val="none"/>
          <w14:textFill>
            <w14:solidFill>
              <w14:schemeClr w14:val="tx1"/>
            </w14:solidFill>
          </w14:textFill>
        </w:rPr>
        <w:t>代表提出的询问或者回避申请应当及时处理。</w:t>
      </w:r>
    </w:p>
    <w:p w14:paraId="4C24BB99">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（6）开标结束。</w:t>
      </w:r>
    </w:p>
    <w:p w14:paraId="6A82F56F">
      <w:pPr>
        <w:pStyle w:val="17"/>
        <w:keepNext w:val="0"/>
        <w:keepLines w:val="0"/>
        <w:pageBreakBefore w:val="0"/>
        <w:kinsoku/>
        <w:wordWrap/>
        <w:overflowPunct/>
        <w:topLinePunct w:val="0"/>
        <w:bidi w:val="0"/>
        <w:adjustRightInd/>
        <w:snapToGrid/>
        <w:spacing w:line="560" w:lineRule="exact"/>
        <w:jc w:val="both"/>
        <w:rPr>
          <w:rFonts w:hint="eastAsia" w:ascii="宋体" w:hAnsi="宋体" w:eastAsia="宋体" w:cs="宋体"/>
          <w:b w:val="0"/>
          <w:bCs w:val="0"/>
          <w:color w:val="000000" w:themeColor="text1"/>
          <w:sz w:val="28"/>
          <w:szCs w:val="28"/>
          <w:highlight w:val="none"/>
          <w14:textFill>
            <w14:solidFill>
              <w14:schemeClr w14:val="tx1"/>
            </w14:solidFill>
          </w14:textFill>
        </w:rPr>
      </w:pPr>
      <w:r>
        <w:rPr>
          <w:rFonts w:hint="eastAsia" w:ascii="宋体" w:hAnsi="宋体" w:eastAsia="宋体" w:cs="宋体"/>
          <w:b w:val="0"/>
          <w:bCs w:val="0"/>
          <w:color w:val="000000" w:themeColor="text1"/>
          <w:sz w:val="28"/>
          <w:szCs w:val="28"/>
          <w:highlight w:val="none"/>
          <w14:textFill>
            <w14:solidFill>
              <w14:schemeClr w14:val="tx1"/>
            </w14:solidFill>
          </w14:textFill>
        </w:rPr>
        <w:t>特别说明：如遇“政采云”平台电子化开标或评审程序调整的，按调整后执行。</w:t>
      </w:r>
    </w:p>
    <w:p w14:paraId="1054BDF9">
      <w:pPr>
        <w:pStyle w:val="4"/>
        <w:keepNext w:val="0"/>
        <w:keepLines w:val="0"/>
        <w:pageBreakBefore w:val="0"/>
        <w:kinsoku/>
        <w:wordWrap/>
        <w:overflowPunct/>
        <w:topLinePunct w:val="0"/>
        <w:bidi w:val="0"/>
        <w:adjustRightInd/>
        <w:snapToGrid/>
        <w:spacing w:line="560" w:lineRule="exact"/>
        <w:jc w:val="both"/>
        <w:rPr>
          <w:rFonts w:hint="eastAsia" w:ascii="宋体" w:hAnsi="宋体" w:eastAsia="宋体" w:cs="宋体"/>
          <w:b/>
          <w:bCs/>
          <w:color w:val="000000" w:themeColor="text1"/>
          <w:sz w:val="28"/>
          <w:szCs w:val="28"/>
          <w:highlight w:val="none"/>
          <w14:textFill>
            <w14:solidFill>
              <w14:schemeClr w14:val="tx1"/>
            </w14:solidFill>
          </w14:textFill>
        </w:rPr>
      </w:pPr>
      <w:bookmarkStart w:id="162" w:name="_Toc140741978"/>
      <w:bookmarkStart w:id="163" w:name="_Toc16896"/>
      <w:bookmarkStart w:id="164" w:name="_Toc138610893"/>
      <w:bookmarkStart w:id="165" w:name="_Toc140742523"/>
      <w:r>
        <w:rPr>
          <w:rFonts w:hint="eastAsia" w:ascii="宋体" w:hAnsi="宋体" w:eastAsia="宋体" w:cs="宋体"/>
          <w:b/>
          <w:bCs/>
          <w:color w:val="000000" w:themeColor="text1"/>
          <w:sz w:val="28"/>
          <w:szCs w:val="28"/>
          <w:highlight w:val="none"/>
          <w14:textFill>
            <w14:solidFill>
              <w14:schemeClr w14:val="tx1"/>
            </w14:solidFill>
          </w14:textFill>
        </w:rPr>
        <w:t>五、资格审查</w:t>
      </w:r>
      <w:bookmarkEnd w:id="162"/>
      <w:bookmarkEnd w:id="163"/>
      <w:bookmarkEnd w:id="164"/>
      <w:bookmarkEnd w:id="165"/>
    </w:p>
    <w:p w14:paraId="5E75DC63">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b w:val="0"/>
          <w:bCs w:val="0"/>
          <w:color w:val="000000" w:themeColor="text1"/>
          <w:sz w:val="28"/>
          <w:szCs w:val="28"/>
          <w:highlight w:val="none"/>
          <w14:textFill>
            <w14:solidFill>
              <w14:schemeClr w14:val="tx1"/>
            </w14:solidFill>
          </w14:textFill>
        </w:rPr>
      </w:pPr>
      <w:r>
        <w:rPr>
          <w:rFonts w:hint="eastAsia" w:ascii="宋体" w:hAnsi="宋体" w:eastAsia="宋体" w:cs="宋体"/>
          <w:b w:val="0"/>
          <w:bCs w:val="0"/>
          <w:color w:val="000000" w:themeColor="text1"/>
          <w:sz w:val="28"/>
          <w:szCs w:val="28"/>
          <w:highlight w:val="none"/>
          <w14:textFill>
            <w14:solidFill>
              <w14:schemeClr w14:val="tx1"/>
            </w14:solidFill>
          </w14:textFill>
        </w:rPr>
        <w:t>25.资格审查</w:t>
      </w:r>
    </w:p>
    <w:p w14:paraId="6EA317A9">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宋体" w:hAnsi="宋体" w:eastAsia="宋体" w:cs="宋体"/>
          <w:b w:val="0"/>
          <w:bCs w:val="0"/>
          <w:color w:val="000000" w:themeColor="text1"/>
          <w:sz w:val="28"/>
          <w:szCs w:val="28"/>
          <w:highlight w:val="none"/>
          <w14:textFill>
            <w14:solidFill>
              <w14:schemeClr w14:val="tx1"/>
            </w14:solidFill>
          </w14:textFill>
        </w:rPr>
      </w:pPr>
      <w:r>
        <w:rPr>
          <w:rFonts w:hint="eastAsia" w:ascii="宋体" w:hAnsi="宋体" w:eastAsia="宋体" w:cs="宋体"/>
          <w:b w:val="0"/>
          <w:bCs w:val="0"/>
          <w:color w:val="000000" w:themeColor="text1"/>
          <w:sz w:val="28"/>
          <w:szCs w:val="28"/>
          <w:highlight w:val="none"/>
          <w14:textFill>
            <w14:solidFill>
              <w14:schemeClr w14:val="tx1"/>
            </w14:solidFill>
          </w14:textFill>
        </w:rPr>
        <w:t xml:space="preserve"> 25.1开标结束后，采购人或评标委员会依法通过电子投标文件对</w:t>
      </w:r>
      <w:r>
        <w:rPr>
          <w:rFonts w:hint="eastAsia" w:ascii="宋体" w:hAnsi="宋体" w:cs="宋体"/>
          <w:b w:val="0"/>
          <w:bCs w:val="0"/>
          <w:color w:val="000000" w:themeColor="text1"/>
          <w:sz w:val="28"/>
          <w:szCs w:val="28"/>
          <w:highlight w:val="none"/>
          <w:lang w:eastAsia="zh-CN"/>
          <w14:textFill>
            <w14:solidFill>
              <w14:schemeClr w14:val="tx1"/>
            </w14:solidFill>
          </w14:textFill>
        </w:rPr>
        <w:t>供应商</w:t>
      </w:r>
      <w:r>
        <w:rPr>
          <w:rFonts w:hint="eastAsia" w:ascii="宋体" w:hAnsi="宋体" w:eastAsia="宋体" w:cs="宋体"/>
          <w:b w:val="0"/>
          <w:bCs w:val="0"/>
          <w:color w:val="000000" w:themeColor="text1"/>
          <w:sz w:val="28"/>
          <w:szCs w:val="28"/>
          <w:highlight w:val="none"/>
          <w14:textFill>
            <w14:solidFill>
              <w14:schemeClr w14:val="tx1"/>
            </w14:solidFill>
          </w14:textFill>
        </w:rPr>
        <w:t>的资格进行线上审查。</w:t>
      </w:r>
    </w:p>
    <w:p w14:paraId="1E99297E">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宋体" w:hAnsi="宋体" w:eastAsia="宋体" w:cs="宋体"/>
          <w:b w:val="0"/>
          <w:bCs w:val="0"/>
          <w:color w:val="000000" w:themeColor="text1"/>
          <w:sz w:val="28"/>
          <w:szCs w:val="28"/>
          <w:highlight w:val="none"/>
          <w14:textFill>
            <w14:solidFill>
              <w14:schemeClr w14:val="tx1"/>
            </w14:solidFill>
          </w14:textFill>
        </w:rPr>
      </w:pPr>
      <w:r>
        <w:rPr>
          <w:rFonts w:hint="eastAsia" w:ascii="宋体" w:hAnsi="宋体" w:eastAsia="宋体" w:cs="宋体"/>
          <w:b w:val="0"/>
          <w:bCs w:val="0"/>
          <w:color w:val="000000" w:themeColor="text1"/>
          <w:sz w:val="28"/>
          <w:szCs w:val="28"/>
          <w:highlight w:val="none"/>
          <w14:textFill>
            <w14:solidFill>
              <w14:schemeClr w14:val="tx1"/>
            </w14:solidFill>
          </w14:textFill>
        </w:rPr>
        <w:t xml:space="preserve"> 25.2采购人或评标委员会依据法律法规和招标文件的规定，对</w:t>
      </w:r>
      <w:r>
        <w:rPr>
          <w:rFonts w:hint="eastAsia" w:ascii="宋体" w:hAnsi="宋体" w:cs="宋体"/>
          <w:b w:val="0"/>
          <w:bCs w:val="0"/>
          <w:color w:val="000000" w:themeColor="text1"/>
          <w:sz w:val="28"/>
          <w:szCs w:val="28"/>
          <w:highlight w:val="none"/>
          <w:lang w:eastAsia="zh-CN"/>
          <w14:textFill>
            <w14:solidFill>
              <w14:schemeClr w14:val="tx1"/>
            </w14:solidFill>
          </w14:textFill>
        </w:rPr>
        <w:t>供应商</w:t>
      </w:r>
      <w:r>
        <w:rPr>
          <w:rFonts w:hint="eastAsia" w:ascii="宋体" w:hAnsi="宋体" w:eastAsia="宋体" w:cs="宋体"/>
          <w:b w:val="0"/>
          <w:bCs w:val="0"/>
          <w:color w:val="000000" w:themeColor="text1"/>
          <w:sz w:val="28"/>
          <w:szCs w:val="28"/>
          <w:highlight w:val="none"/>
          <w14:textFill>
            <w14:solidFill>
              <w14:schemeClr w14:val="tx1"/>
            </w14:solidFill>
          </w14:textFill>
        </w:rPr>
        <w:t>的基本资格条件、特定资格条件进行审查。</w:t>
      </w:r>
    </w:p>
    <w:p w14:paraId="3AD26A41">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25.3资格审查标准为本“招标文件”中“</w:t>
      </w:r>
      <w:r>
        <w:rPr>
          <w:rFonts w:hint="eastAsia" w:ascii="宋体" w:hAnsi="宋体" w:cs="宋体"/>
          <w:color w:val="000000" w:themeColor="text1"/>
          <w:sz w:val="28"/>
          <w:szCs w:val="28"/>
          <w:highlight w:val="none"/>
          <w:lang w:eastAsia="zh-CN"/>
          <w14:textFill>
            <w14:solidFill>
              <w14:schemeClr w14:val="tx1"/>
            </w14:solidFill>
          </w14:textFill>
        </w:rPr>
        <w:t>供应商</w:t>
      </w:r>
      <w:r>
        <w:rPr>
          <w:rFonts w:hint="eastAsia" w:ascii="宋体" w:hAnsi="宋体" w:eastAsia="宋体" w:cs="宋体"/>
          <w:color w:val="000000" w:themeColor="text1"/>
          <w:sz w:val="28"/>
          <w:szCs w:val="28"/>
          <w:highlight w:val="none"/>
          <w14:textFill>
            <w14:solidFill>
              <w14:schemeClr w14:val="tx1"/>
            </w14:solidFill>
          </w14:textFill>
        </w:rPr>
        <w:t>须知前附表”13.1点载明对</w:t>
      </w:r>
      <w:r>
        <w:rPr>
          <w:rFonts w:hint="eastAsia" w:ascii="宋体" w:hAnsi="宋体" w:cs="宋体"/>
          <w:color w:val="000000" w:themeColor="text1"/>
          <w:sz w:val="28"/>
          <w:szCs w:val="28"/>
          <w:highlight w:val="none"/>
          <w:lang w:eastAsia="zh-CN"/>
          <w14:textFill>
            <w14:solidFill>
              <w14:schemeClr w14:val="tx1"/>
            </w14:solidFill>
          </w14:textFill>
        </w:rPr>
        <w:t>供应商</w:t>
      </w:r>
      <w:r>
        <w:rPr>
          <w:rFonts w:hint="eastAsia" w:ascii="宋体" w:hAnsi="宋体" w:eastAsia="宋体" w:cs="宋体"/>
          <w:color w:val="000000" w:themeColor="text1"/>
          <w:sz w:val="28"/>
          <w:szCs w:val="28"/>
          <w:highlight w:val="none"/>
          <w14:textFill>
            <w14:solidFill>
              <w14:schemeClr w14:val="tx1"/>
            </w14:solidFill>
          </w14:textFill>
        </w:rPr>
        <w:t>资格要求的条件。本项目资格审查采用合格制，凡符合招标文件规定的</w:t>
      </w:r>
      <w:r>
        <w:rPr>
          <w:rFonts w:hint="eastAsia" w:ascii="宋体" w:hAnsi="宋体" w:cs="宋体"/>
          <w:color w:val="000000" w:themeColor="text1"/>
          <w:sz w:val="28"/>
          <w:szCs w:val="28"/>
          <w:highlight w:val="none"/>
          <w:lang w:eastAsia="zh-CN"/>
          <w14:textFill>
            <w14:solidFill>
              <w14:schemeClr w14:val="tx1"/>
            </w14:solidFill>
          </w14:textFill>
        </w:rPr>
        <w:t>供应商</w:t>
      </w:r>
      <w:r>
        <w:rPr>
          <w:rFonts w:hint="eastAsia" w:ascii="宋体" w:hAnsi="宋体" w:eastAsia="宋体" w:cs="宋体"/>
          <w:color w:val="000000" w:themeColor="text1"/>
          <w:sz w:val="28"/>
          <w:szCs w:val="28"/>
          <w:highlight w:val="none"/>
          <w14:textFill>
            <w14:solidFill>
              <w14:schemeClr w14:val="tx1"/>
            </w14:solidFill>
          </w14:textFill>
        </w:rPr>
        <w:t>资格要求的</w:t>
      </w:r>
      <w:r>
        <w:rPr>
          <w:rFonts w:hint="eastAsia" w:ascii="宋体" w:hAnsi="宋体" w:cs="宋体"/>
          <w:color w:val="000000" w:themeColor="text1"/>
          <w:sz w:val="28"/>
          <w:szCs w:val="28"/>
          <w:highlight w:val="none"/>
          <w:lang w:eastAsia="zh-CN"/>
          <w14:textFill>
            <w14:solidFill>
              <w14:schemeClr w14:val="tx1"/>
            </w14:solidFill>
          </w14:textFill>
        </w:rPr>
        <w:t>供应商</w:t>
      </w:r>
      <w:r>
        <w:rPr>
          <w:rFonts w:hint="eastAsia" w:ascii="宋体" w:hAnsi="宋体" w:eastAsia="宋体" w:cs="宋体"/>
          <w:color w:val="000000" w:themeColor="text1"/>
          <w:sz w:val="28"/>
          <w:szCs w:val="28"/>
          <w:highlight w:val="none"/>
          <w14:textFill>
            <w14:solidFill>
              <w14:schemeClr w14:val="tx1"/>
            </w14:solidFill>
          </w14:textFill>
        </w:rPr>
        <w:t>均通过资格审查。</w:t>
      </w:r>
    </w:p>
    <w:p w14:paraId="7387E1FE">
      <w:pPr>
        <w:keepNext w:val="0"/>
        <w:keepLines w:val="0"/>
        <w:pageBreakBefore w:val="0"/>
        <w:kinsoku/>
        <w:wordWrap/>
        <w:overflowPunct/>
        <w:topLinePunct w:val="0"/>
        <w:bidi w:val="0"/>
        <w:adjustRightInd/>
        <w:snapToGrid/>
        <w:spacing w:line="560" w:lineRule="exact"/>
        <w:ind w:firstLine="562" w:firstLineChars="200"/>
        <w:jc w:val="both"/>
        <w:rPr>
          <w:rFonts w:hint="eastAsia" w:ascii="宋体" w:hAnsi="宋体" w:eastAsia="宋体" w:cs="宋体"/>
          <w:b/>
          <w:bCs/>
          <w:color w:val="000000" w:themeColor="text1"/>
          <w:sz w:val="28"/>
          <w:szCs w:val="28"/>
          <w:highlight w:val="none"/>
          <w14:textFill>
            <w14:solidFill>
              <w14:schemeClr w14:val="tx1"/>
            </w14:solidFill>
          </w14:textFill>
        </w:rPr>
      </w:pPr>
      <w:bookmarkStart w:id="166" w:name="_25.3_投标人有下列情形之一的，资格审查不通过而导致其投标无效："/>
      <w:bookmarkEnd w:id="166"/>
      <w:r>
        <w:rPr>
          <w:rFonts w:hint="eastAsia" w:ascii="宋体" w:hAnsi="宋体" w:eastAsia="宋体" w:cs="宋体"/>
          <w:b/>
          <w:bCs/>
          <w:color w:val="000000" w:themeColor="text1"/>
          <w:sz w:val="28"/>
          <w:szCs w:val="28"/>
          <w:highlight w:val="none"/>
          <w14:textFill>
            <w14:solidFill>
              <w14:schemeClr w14:val="tx1"/>
            </w14:solidFill>
          </w14:textFill>
        </w:rPr>
        <w:t>25.4</w:t>
      </w:r>
      <w:r>
        <w:rPr>
          <w:rFonts w:hint="eastAsia" w:ascii="宋体" w:hAnsi="宋体" w:cs="宋体"/>
          <w:b/>
          <w:bCs/>
          <w:color w:val="000000" w:themeColor="text1"/>
          <w:sz w:val="28"/>
          <w:szCs w:val="28"/>
          <w:highlight w:val="none"/>
          <w:lang w:eastAsia="zh-CN"/>
          <w14:textFill>
            <w14:solidFill>
              <w14:schemeClr w14:val="tx1"/>
            </w14:solidFill>
          </w14:textFill>
        </w:rPr>
        <w:t>供应商</w:t>
      </w:r>
      <w:r>
        <w:rPr>
          <w:rFonts w:hint="eastAsia" w:ascii="宋体" w:hAnsi="宋体" w:eastAsia="宋体" w:cs="宋体"/>
          <w:b/>
          <w:bCs/>
          <w:color w:val="000000" w:themeColor="text1"/>
          <w:sz w:val="28"/>
          <w:szCs w:val="28"/>
          <w:highlight w:val="none"/>
          <w14:textFill>
            <w14:solidFill>
              <w14:schemeClr w14:val="tx1"/>
            </w14:solidFill>
          </w14:textFill>
        </w:rPr>
        <w:t>有下列情形之一的，资格审查不通过，作无效投标处理：</w:t>
      </w:r>
    </w:p>
    <w:p w14:paraId="3F6C6D95">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（1）不具备招标文件中规定的资格要求的；（注：其中信用查询规则见“</w:t>
      </w:r>
      <w:r>
        <w:rPr>
          <w:rFonts w:hint="eastAsia" w:ascii="宋体" w:hAnsi="宋体" w:cs="宋体"/>
          <w:color w:val="000000" w:themeColor="text1"/>
          <w:sz w:val="28"/>
          <w:szCs w:val="28"/>
          <w:highlight w:val="none"/>
          <w:lang w:eastAsia="zh-CN"/>
          <w14:textFill>
            <w14:solidFill>
              <w14:schemeClr w14:val="tx1"/>
            </w14:solidFill>
          </w14:textFill>
        </w:rPr>
        <w:t>供应商</w:t>
      </w:r>
      <w:r>
        <w:rPr>
          <w:rFonts w:hint="eastAsia" w:ascii="宋体" w:hAnsi="宋体" w:eastAsia="宋体" w:cs="宋体"/>
          <w:color w:val="000000" w:themeColor="text1"/>
          <w:sz w:val="28"/>
          <w:szCs w:val="28"/>
          <w:highlight w:val="none"/>
          <w14:textFill>
            <w14:solidFill>
              <w14:schemeClr w14:val="tx1"/>
            </w14:solidFill>
          </w14:textFill>
        </w:rPr>
        <w:t>须知前附表”，“政采云”平台已与“信用中国”平台做接口，审查专家可直接在线查询）</w:t>
      </w:r>
    </w:p>
    <w:p w14:paraId="4FF104DA">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（2）投标文件未提供任一项“</w:t>
      </w:r>
      <w:r>
        <w:rPr>
          <w:rFonts w:hint="eastAsia" w:ascii="宋体" w:hAnsi="宋体" w:cs="宋体"/>
          <w:color w:val="000000" w:themeColor="text1"/>
          <w:sz w:val="28"/>
          <w:szCs w:val="28"/>
          <w:highlight w:val="none"/>
          <w:lang w:eastAsia="zh-CN"/>
          <w14:textFill>
            <w14:solidFill>
              <w14:schemeClr w14:val="tx1"/>
            </w14:solidFill>
          </w14:textFill>
        </w:rPr>
        <w:t>供应商</w:t>
      </w:r>
      <w:r>
        <w:rPr>
          <w:rFonts w:hint="eastAsia" w:ascii="宋体" w:hAnsi="宋体" w:eastAsia="宋体" w:cs="宋体"/>
          <w:color w:val="000000" w:themeColor="text1"/>
          <w:sz w:val="28"/>
          <w:szCs w:val="28"/>
          <w:highlight w:val="none"/>
          <w14:textFill>
            <w14:solidFill>
              <w14:schemeClr w14:val="tx1"/>
            </w14:solidFill>
          </w14:textFill>
        </w:rPr>
        <w:t>须知前附表”资格证明文件规定的“必须提供”的文件资料的；</w:t>
      </w:r>
    </w:p>
    <w:p w14:paraId="15D06352">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（3）投标文件提供的资格证明文件出现任一项不符合“</w:t>
      </w:r>
      <w:r>
        <w:rPr>
          <w:rFonts w:hint="eastAsia" w:ascii="宋体" w:hAnsi="宋体" w:cs="宋体"/>
          <w:color w:val="000000" w:themeColor="text1"/>
          <w:sz w:val="28"/>
          <w:szCs w:val="28"/>
          <w:highlight w:val="none"/>
          <w:lang w:eastAsia="zh-CN"/>
          <w14:textFill>
            <w14:solidFill>
              <w14:schemeClr w14:val="tx1"/>
            </w14:solidFill>
          </w14:textFill>
        </w:rPr>
        <w:t>供应商</w:t>
      </w:r>
      <w:r>
        <w:rPr>
          <w:rFonts w:hint="eastAsia" w:ascii="宋体" w:hAnsi="宋体" w:eastAsia="宋体" w:cs="宋体"/>
          <w:color w:val="000000" w:themeColor="text1"/>
          <w:sz w:val="28"/>
          <w:szCs w:val="28"/>
          <w:highlight w:val="none"/>
          <w14:textFill>
            <w14:solidFill>
              <w14:schemeClr w14:val="tx1"/>
            </w14:solidFill>
          </w14:textFill>
        </w:rPr>
        <w:t>须知前附表”资格证明文件规定的“必须提供”的文件资料要求或者无效的。</w:t>
      </w:r>
    </w:p>
    <w:p w14:paraId="3CDC60E2">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25.5资格审查的合格</w:t>
      </w:r>
      <w:r>
        <w:rPr>
          <w:rFonts w:hint="eastAsia" w:ascii="宋体" w:hAnsi="宋体" w:eastAsia="宋体" w:cs="宋体"/>
          <w:color w:val="000000" w:themeColor="text1"/>
          <w:sz w:val="28"/>
          <w:szCs w:val="28"/>
          <w:highlight w:val="none"/>
          <w:lang w:eastAsia="zh-CN"/>
          <w14:textFill>
            <w14:solidFill>
              <w14:schemeClr w14:val="tx1"/>
            </w14:solidFill>
          </w14:textFill>
        </w:rPr>
        <w:t>供应商</w:t>
      </w:r>
      <w:r>
        <w:rPr>
          <w:rFonts w:hint="eastAsia" w:ascii="宋体" w:hAnsi="宋体" w:eastAsia="宋体" w:cs="宋体"/>
          <w:color w:val="000000" w:themeColor="text1"/>
          <w:sz w:val="28"/>
          <w:szCs w:val="28"/>
          <w:highlight w:val="none"/>
          <w14:textFill>
            <w14:solidFill>
              <w14:schemeClr w14:val="tx1"/>
            </w14:solidFill>
          </w14:textFill>
        </w:rPr>
        <w:t>不足3家的，不得进行下一步工作。</w:t>
      </w:r>
    </w:p>
    <w:p w14:paraId="7004841F">
      <w:pPr>
        <w:pStyle w:val="4"/>
        <w:keepNext w:val="0"/>
        <w:keepLines w:val="0"/>
        <w:pageBreakBefore w:val="0"/>
        <w:kinsoku/>
        <w:wordWrap/>
        <w:overflowPunct/>
        <w:topLinePunct w:val="0"/>
        <w:bidi w:val="0"/>
        <w:adjustRightInd/>
        <w:snapToGrid/>
        <w:spacing w:line="560" w:lineRule="exact"/>
        <w:jc w:val="both"/>
        <w:rPr>
          <w:rFonts w:hint="eastAsia" w:ascii="宋体" w:hAnsi="宋体" w:eastAsia="宋体" w:cs="宋体"/>
          <w:color w:val="000000" w:themeColor="text1"/>
          <w:sz w:val="28"/>
          <w:szCs w:val="28"/>
          <w:highlight w:val="none"/>
          <w14:textFill>
            <w14:solidFill>
              <w14:schemeClr w14:val="tx1"/>
            </w14:solidFill>
          </w14:textFill>
        </w:rPr>
      </w:pPr>
      <w:bookmarkStart w:id="167" w:name="_Toc140741979"/>
      <w:bookmarkStart w:id="168" w:name="_Toc140742524"/>
      <w:bookmarkStart w:id="169" w:name="_Toc138610894"/>
      <w:bookmarkStart w:id="170" w:name="_Toc18080"/>
      <w:r>
        <w:rPr>
          <w:rFonts w:hint="eastAsia" w:ascii="宋体" w:hAnsi="宋体" w:eastAsia="宋体" w:cs="宋体"/>
          <w:color w:val="000000" w:themeColor="text1"/>
          <w:sz w:val="28"/>
          <w:szCs w:val="28"/>
          <w:highlight w:val="none"/>
          <w14:textFill>
            <w14:solidFill>
              <w14:schemeClr w14:val="tx1"/>
            </w14:solidFill>
          </w14:textFill>
        </w:rPr>
        <w:t>六、评   标</w:t>
      </w:r>
      <w:bookmarkEnd w:id="167"/>
      <w:bookmarkEnd w:id="168"/>
      <w:bookmarkEnd w:id="169"/>
      <w:bookmarkEnd w:id="170"/>
    </w:p>
    <w:p w14:paraId="7CC894B4">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bookmarkStart w:id="171" w:name="_26.组建评标委员会"/>
      <w:bookmarkEnd w:id="171"/>
      <w:r>
        <w:rPr>
          <w:rFonts w:hint="eastAsia" w:ascii="宋体" w:hAnsi="宋体" w:eastAsia="宋体" w:cs="宋体"/>
          <w:color w:val="000000" w:themeColor="text1"/>
          <w:sz w:val="28"/>
          <w:szCs w:val="28"/>
          <w:highlight w:val="none"/>
          <w14:textFill>
            <w14:solidFill>
              <w14:schemeClr w14:val="tx1"/>
            </w14:solidFill>
          </w14:textFill>
        </w:rPr>
        <w:t>26.组建评标委员会</w:t>
      </w:r>
    </w:p>
    <w:p w14:paraId="70FBB778">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评标委员会由采购人代表和评审专家组成，人数为5人以上单数，其中评审专家不得少于成员总数的三分之二。</w:t>
      </w:r>
    </w:p>
    <w:p w14:paraId="4C0841F4">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参加过采购项目前期咨询论证的专家，不得参加该采购项目的评审活动。</w:t>
      </w:r>
    </w:p>
    <w:p w14:paraId="3FCA45B1">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27.评标的依据</w:t>
      </w:r>
    </w:p>
    <w:p w14:paraId="571AE695">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评标委员会以招标文件为依据对投标文件进行评审，“第四章 评标方法和评标标准”没有规定的方法、评审因素和标准，不作为评标依据。</w:t>
      </w:r>
    </w:p>
    <w:p w14:paraId="587ED315">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28.评标原则</w:t>
      </w:r>
    </w:p>
    <w:p w14:paraId="33B3B6B1">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28.1评标原则。评标委员会评标时必须公平、公正、客观，不带任何倾向性和启发性；不得向外界透露任何与评标有关的内容；任何单位和个人不得干扰、影响评标的正常进行；评标委员会及有关工作人员不得私下与</w:t>
      </w:r>
      <w:r>
        <w:rPr>
          <w:rFonts w:hint="eastAsia" w:ascii="宋体" w:hAnsi="宋体" w:cs="宋体"/>
          <w:color w:val="000000" w:themeColor="text1"/>
          <w:sz w:val="28"/>
          <w:szCs w:val="28"/>
          <w:highlight w:val="none"/>
          <w:lang w:eastAsia="zh-CN"/>
          <w14:textFill>
            <w14:solidFill>
              <w14:schemeClr w14:val="tx1"/>
            </w14:solidFill>
          </w14:textFill>
        </w:rPr>
        <w:t>供应商</w:t>
      </w:r>
      <w:r>
        <w:rPr>
          <w:rFonts w:hint="eastAsia" w:ascii="宋体" w:hAnsi="宋体" w:eastAsia="宋体" w:cs="宋体"/>
          <w:color w:val="000000" w:themeColor="text1"/>
          <w:sz w:val="28"/>
          <w:szCs w:val="28"/>
          <w:highlight w:val="none"/>
          <w14:textFill>
            <w14:solidFill>
              <w14:schemeClr w14:val="tx1"/>
            </w14:solidFill>
          </w14:textFill>
        </w:rPr>
        <w:t>接触，不得收受利害关系人的财物或者其他好处。</w:t>
      </w:r>
    </w:p>
    <w:p w14:paraId="7C74458C">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28.2评委表决。在评标过程中出现法律法规和招标文件均没有明确规定的情形时，由评标委员会现场协商解决，协商不一致的，由全体评委投票表决，以得票率二分之一以上专家的意见为准并由采购代理机构作记录。</w:t>
      </w:r>
      <w:bookmarkStart w:id="172" w:name="_28.3评标方法。本项目将按须知前附表规定的评标办法进行评标，具体评标"/>
      <w:bookmarkEnd w:id="172"/>
    </w:p>
    <w:p w14:paraId="2B81AAE1">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28.3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14:paraId="3717A1AC">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28.4评标过程的监控。本项目电子评标过程实行网上留痕、全程录音、录像监控，</w:t>
      </w:r>
      <w:r>
        <w:rPr>
          <w:rFonts w:hint="eastAsia" w:ascii="宋体" w:hAnsi="宋体" w:cs="宋体"/>
          <w:color w:val="000000" w:themeColor="text1"/>
          <w:sz w:val="28"/>
          <w:szCs w:val="28"/>
          <w:highlight w:val="none"/>
          <w:lang w:eastAsia="zh-CN"/>
          <w14:textFill>
            <w14:solidFill>
              <w14:schemeClr w14:val="tx1"/>
            </w14:solidFill>
          </w14:textFill>
        </w:rPr>
        <w:t>供应商</w:t>
      </w:r>
      <w:r>
        <w:rPr>
          <w:rFonts w:hint="eastAsia" w:ascii="宋体" w:hAnsi="宋体" w:eastAsia="宋体" w:cs="宋体"/>
          <w:color w:val="000000" w:themeColor="text1"/>
          <w:sz w:val="28"/>
          <w:szCs w:val="28"/>
          <w:highlight w:val="none"/>
          <w14:textFill>
            <w14:solidFill>
              <w14:schemeClr w14:val="tx1"/>
            </w14:solidFill>
          </w14:textFill>
        </w:rPr>
        <w:t>在评标过程中所进行的试图影响评标结果的不公正活动，可能导致其投标按无效处理。</w:t>
      </w:r>
    </w:p>
    <w:p w14:paraId="698826EB">
      <w:pPr>
        <w:keepNext w:val="0"/>
        <w:keepLines w:val="0"/>
        <w:pageBreakBefore w:val="0"/>
        <w:widowControl/>
        <w:kinsoku/>
        <w:wordWrap/>
        <w:overflowPunct/>
        <w:topLinePunct w:val="0"/>
        <w:bidi w:val="0"/>
        <w:adjustRightInd/>
        <w:snapToGrid/>
        <w:spacing w:line="560" w:lineRule="exact"/>
        <w:ind w:firstLine="560" w:firstLineChars="200"/>
        <w:jc w:val="both"/>
        <w:textAlignment w:val="baseline"/>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28.5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61A1A128">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29.评标方法及评标标准</w:t>
      </w:r>
    </w:p>
    <w:p w14:paraId="1EA2E0BB">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29.1本项目的评标方法详见“</w:t>
      </w:r>
      <w:r>
        <w:rPr>
          <w:rFonts w:hint="eastAsia" w:ascii="宋体" w:hAnsi="宋体" w:cs="宋体"/>
          <w:color w:val="000000" w:themeColor="text1"/>
          <w:sz w:val="28"/>
          <w:szCs w:val="28"/>
          <w:highlight w:val="none"/>
          <w:lang w:eastAsia="zh-CN"/>
          <w14:textFill>
            <w14:solidFill>
              <w14:schemeClr w14:val="tx1"/>
            </w14:solidFill>
          </w14:textFill>
        </w:rPr>
        <w:t>供应商</w:t>
      </w:r>
      <w:r>
        <w:rPr>
          <w:rFonts w:hint="eastAsia" w:ascii="宋体" w:hAnsi="宋体" w:eastAsia="宋体" w:cs="宋体"/>
          <w:color w:val="000000" w:themeColor="text1"/>
          <w:sz w:val="28"/>
          <w:szCs w:val="28"/>
          <w:highlight w:val="none"/>
          <w14:textFill>
            <w14:solidFill>
              <w14:schemeClr w14:val="tx1"/>
            </w14:solidFill>
          </w14:textFill>
        </w:rPr>
        <w:t>须知前附表”。</w:t>
      </w:r>
    </w:p>
    <w:p w14:paraId="68E1F824">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29.2 评标委员会按照</w:t>
      </w:r>
      <w:r>
        <w:rPr>
          <w:rFonts w:hint="eastAsia" w:ascii="宋体" w:hAnsi="宋体" w:eastAsia="宋体" w:cs="宋体"/>
          <w:b/>
          <w:color w:val="000000" w:themeColor="text1"/>
          <w:sz w:val="28"/>
          <w:szCs w:val="28"/>
          <w:highlight w:val="none"/>
          <w14:textFill>
            <w14:solidFill>
              <w14:schemeClr w14:val="tx1"/>
            </w14:solidFill>
          </w14:textFill>
        </w:rPr>
        <w:t>“第四章 评标方法和评标标准”</w:t>
      </w:r>
      <w:r>
        <w:rPr>
          <w:rFonts w:hint="eastAsia" w:ascii="宋体" w:hAnsi="宋体" w:eastAsia="宋体" w:cs="宋体"/>
          <w:color w:val="000000" w:themeColor="text1"/>
          <w:sz w:val="28"/>
          <w:szCs w:val="28"/>
          <w:highlight w:val="none"/>
          <w14:textFill>
            <w14:solidFill>
              <w14:schemeClr w14:val="tx1"/>
            </w14:solidFill>
          </w14:textFill>
        </w:rPr>
        <w:t>规定的方法、评审因素、标准和程序对投标文件进行评审。</w:t>
      </w:r>
    </w:p>
    <w:p w14:paraId="67BF6402">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29.3 电子交易活动的中止。采购过程中出现以下情形，导致电子交易平台无法正常运行，或者无法保证电子交易的公平、公正和安全时，采购机构可中止电子交易活动：</w:t>
      </w:r>
    </w:p>
    <w:p w14:paraId="22842D29">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（1）电子交易平台发生故障而无法登录访问的； </w:t>
      </w:r>
    </w:p>
    <w:p w14:paraId="6E44A40F">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（2）电子交易平台应用或数据库出现错误，不能进行正常操作的；</w:t>
      </w:r>
    </w:p>
    <w:p w14:paraId="1D89C892">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（3）电子交易平台发现严重安全漏洞，有潜在泄密危险的；</w:t>
      </w:r>
    </w:p>
    <w:p w14:paraId="68E33C28">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（4）病毒发作导致不能进行正常操作的； </w:t>
      </w:r>
    </w:p>
    <w:p w14:paraId="66A41044">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（4）其他无法保证电子交易的公平、公正和安全的情况。</w:t>
      </w:r>
    </w:p>
    <w:p w14:paraId="32BC971B">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29.4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1E84743B">
      <w:pPr>
        <w:pStyle w:val="4"/>
        <w:keepNext w:val="0"/>
        <w:keepLines w:val="0"/>
        <w:pageBreakBefore w:val="0"/>
        <w:kinsoku/>
        <w:wordWrap/>
        <w:overflowPunct/>
        <w:topLinePunct w:val="0"/>
        <w:bidi w:val="0"/>
        <w:adjustRightInd/>
        <w:snapToGrid/>
        <w:spacing w:line="560" w:lineRule="exact"/>
        <w:jc w:val="both"/>
        <w:rPr>
          <w:rFonts w:hint="eastAsia" w:ascii="宋体" w:hAnsi="宋体" w:eastAsia="宋体" w:cs="宋体"/>
          <w:color w:val="000000" w:themeColor="text1"/>
          <w:sz w:val="28"/>
          <w:szCs w:val="28"/>
          <w:highlight w:val="none"/>
          <w14:textFill>
            <w14:solidFill>
              <w14:schemeClr w14:val="tx1"/>
            </w14:solidFill>
          </w14:textFill>
        </w:rPr>
      </w:pPr>
      <w:bookmarkStart w:id="173" w:name="_Toc254970546"/>
      <w:bookmarkStart w:id="174" w:name="_Toc254970687"/>
      <w:bookmarkStart w:id="175" w:name="_Toc140742525"/>
      <w:bookmarkStart w:id="176" w:name="_Toc28194"/>
      <w:bookmarkStart w:id="177" w:name="_Toc138610895"/>
      <w:bookmarkStart w:id="178" w:name="_Toc140741980"/>
      <w:r>
        <w:rPr>
          <w:rFonts w:hint="eastAsia" w:ascii="宋体" w:hAnsi="宋体" w:eastAsia="宋体" w:cs="宋体"/>
          <w:color w:val="000000" w:themeColor="text1"/>
          <w:sz w:val="28"/>
          <w:szCs w:val="28"/>
          <w:highlight w:val="none"/>
          <w14:textFill>
            <w14:solidFill>
              <w14:schemeClr w14:val="tx1"/>
            </w14:solidFill>
          </w14:textFill>
        </w:rPr>
        <w:t>七、</w:t>
      </w:r>
      <w:bookmarkEnd w:id="173"/>
      <w:bookmarkEnd w:id="174"/>
      <w:r>
        <w:rPr>
          <w:rFonts w:hint="eastAsia" w:ascii="宋体" w:hAnsi="宋体" w:eastAsia="宋体" w:cs="宋体"/>
          <w:color w:val="000000" w:themeColor="text1"/>
          <w:sz w:val="28"/>
          <w:szCs w:val="28"/>
          <w:highlight w:val="none"/>
          <w14:textFill>
            <w14:solidFill>
              <w14:schemeClr w14:val="tx1"/>
            </w14:solidFill>
          </w14:textFill>
        </w:rPr>
        <w:t>中标和合同</w:t>
      </w:r>
      <w:bookmarkEnd w:id="175"/>
      <w:bookmarkEnd w:id="176"/>
      <w:bookmarkEnd w:id="177"/>
      <w:bookmarkEnd w:id="178"/>
    </w:p>
    <w:p w14:paraId="21FF398D">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30.确定中标人</w:t>
      </w:r>
    </w:p>
    <w:p w14:paraId="6AF59AE8">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b w:val="0"/>
          <w:bCs w:val="0"/>
          <w:color w:val="000000" w:themeColor="text1"/>
          <w:sz w:val="28"/>
          <w:szCs w:val="28"/>
          <w:highlight w:val="none"/>
          <w14:textFill>
            <w14:solidFill>
              <w14:schemeClr w14:val="tx1"/>
            </w14:solidFill>
          </w14:textFill>
        </w:rPr>
      </w:pPr>
      <w:r>
        <w:rPr>
          <w:rFonts w:hint="eastAsia" w:ascii="宋体" w:hAnsi="宋体" w:eastAsia="宋体" w:cs="宋体"/>
          <w:b w:val="0"/>
          <w:bCs w:val="0"/>
          <w:color w:val="000000" w:themeColor="text1"/>
          <w:sz w:val="28"/>
          <w:szCs w:val="28"/>
          <w:highlight w:val="none"/>
          <w14:textFill>
            <w14:solidFill>
              <w14:schemeClr w14:val="tx1"/>
            </w14:solidFill>
          </w14:textFill>
        </w:rPr>
        <w:t>30.1本项目授权评标委员会直接按第四章“评标方法及标准”的规定排列中标候选人顺序，并依照次序确定中标人。</w:t>
      </w:r>
    </w:p>
    <w:p w14:paraId="1264C638">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b w:val="0"/>
          <w:bCs w:val="0"/>
          <w:color w:val="000000" w:themeColor="text1"/>
          <w:sz w:val="28"/>
          <w:szCs w:val="28"/>
          <w:highlight w:val="none"/>
          <w14:textFill>
            <w14:solidFill>
              <w14:schemeClr w14:val="tx1"/>
            </w14:solidFill>
          </w14:textFill>
        </w:rPr>
      </w:pPr>
      <w:r>
        <w:rPr>
          <w:rFonts w:hint="eastAsia" w:ascii="宋体" w:hAnsi="宋体" w:eastAsia="宋体" w:cs="宋体"/>
          <w:b w:val="0"/>
          <w:bCs w:val="0"/>
          <w:color w:val="000000" w:themeColor="text1"/>
          <w:sz w:val="28"/>
          <w:szCs w:val="28"/>
          <w:highlight w:val="none"/>
          <w14:textFill>
            <w14:solidFill>
              <w14:schemeClr w14:val="tx1"/>
            </w14:solidFill>
          </w14:textFill>
        </w:rPr>
        <w:t>30.2提供相同品牌产品且通过资格审查、符合性审查的不同</w:t>
      </w:r>
      <w:r>
        <w:rPr>
          <w:rFonts w:hint="eastAsia" w:ascii="宋体" w:hAnsi="宋体" w:cs="宋体"/>
          <w:b w:val="0"/>
          <w:bCs w:val="0"/>
          <w:color w:val="000000" w:themeColor="text1"/>
          <w:sz w:val="28"/>
          <w:szCs w:val="28"/>
          <w:highlight w:val="none"/>
          <w:lang w:eastAsia="zh-CN"/>
          <w14:textFill>
            <w14:solidFill>
              <w14:schemeClr w14:val="tx1"/>
            </w14:solidFill>
          </w14:textFill>
        </w:rPr>
        <w:t>供应商</w:t>
      </w:r>
      <w:r>
        <w:rPr>
          <w:rFonts w:hint="eastAsia" w:ascii="宋体" w:hAnsi="宋体" w:eastAsia="宋体" w:cs="宋体"/>
          <w:b w:val="0"/>
          <w:bCs w:val="0"/>
          <w:color w:val="000000" w:themeColor="text1"/>
          <w:sz w:val="28"/>
          <w:szCs w:val="28"/>
          <w:highlight w:val="none"/>
          <w14:textFill>
            <w14:solidFill>
              <w14:schemeClr w14:val="tx1"/>
            </w14:solidFill>
          </w14:textFill>
        </w:rPr>
        <w:t>参加同一合同项下投标的，按一家</w:t>
      </w:r>
      <w:r>
        <w:rPr>
          <w:rFonts w:hint="eastAsia" w:ascii="宋体" w:hAnsi="宋体" w:cs="宋体"/>
          <w:b w:val="0"/>
          <w:bCs w:val="0"/>
          <w:color w:val="000000" w:themeColor="text1"/>
          <w:sz w:val="28"/>
          <w:szCs w:val="28"/>
          <w:highlight w:val="none"/>
          <w:lang w:eastAsia="zh-CN"/>
          <w14:textFill>
            <w14:solidFill>
              <w14:schemeClr w14:val="tx1"/>
            </w14:solidFill>
          </w14:textFill>
        </w:rPr>
        <w:t>供应商</w:t>
      </w:r>
      <w:r>
        <w:rPr>
          <w:rFonts w:hint="eastAsia" w:ascii="宋体" w:hAnsi="宋体" w:eastAsia="宋体" w:cs="宋体"/>
          <w:b w:val="0"/>
          <w:bCs w:val="0"/>
          <w:color w:val="000000" w:themeColor="text1"/>
          <w:sz w:val="28"/>
          <w:szCs w:val="28"/>
          <w:highlight w:val="none"/>
          <w14:textFill>
            <w14:solidFill>
              <w14:schemeClr w14:val="tx1"/>
            </w14:solidFill>
          </w14:textFill>
        </w:rPr>
        <w:t>计算，采用综合评分法则以评审得分最高者获得中标人推荐资格，采用综合评分法评审得分相同的，按“</w:t>
      </w:r>
      <w:r>
        <w:rPr>
          <w:rFonts w:hint="eastAsia" w:ascii="宋体" w:hAnsi="宋体" w:cs="宋体"/>
          <w:b w:val="0"/>
          <w:bCs w:val="0"/>
          <w:color w:val="000000" w:themeColor="text1"/>
          <w:sz w:val="28"/>
          <w:szCs w:val="28"/>
          <w:highlight w:val="none"/>
          <w:lang w:eastAsia="zh-CN"/>
          <w14:textFill>
            <w14:solidFill>
              <w14:schemeClr w14:val="tx1"/>
            </w14:solidFill>
          </w14:textFill>
        </w:rPr>
        <w:t>供应商</w:t>
      </w:r>
      <w:r>
        <w:rPr>
          <w:rFonts w:hint="eastAsia" w:ascii="宋体" w:hAnsi="宋体" w:eastAsia="宋体" w:cs="宋体"/>
          <w:b w:val="0"/>
          <w:bCs w:val="0"/>
          <w:color w:val="000000" w:themeColor="text1"/>
          <w:sz w:val="28"/>
          <w:szCs w:val="28"/>
          <w:highlight w:val="none"/>
          <w14:textFill>
            <w14:solidFill>
              <w14:schemeClr w14:val="tx1"/>
            </w14:solidFill>
          </w14:textFill>
        </w:rPr>
        <w:t>须知前附表”规定方式确定，确定后其他同品牌</w:t>
      </w:r>
      <w:r>
        <w:rPr>
          <w:rFonts w:hint="eastAsia" w:ascii="宋体" w:hAnsi="宋体" w:cs="宋体"/>
          <w:b w:val="0"/>
          <w:bCs w:val="0"/>
          <w:color w:val="000000" w:themeColor="text1"/>
          <w:sz w:val="28"/>
          <w:szCs w:val="28"/>
          <w:highlight w:val="none"/>
          <w:lang w:eastAsia="zh-CN"/>
          <w14:textFill>
            <w14:solidFill>
              <w14:schemeClr w14:val="tx1"/>
            </w14:solidFill>
          </w14:textFill>
        </w:rPr>
        <w:t>供应商</w:t>
      </w:r>
      <w:r>
        <w:rPr>
          <w:rFonts w:hint="eastAsia" w:ascii="宋体" w:hAnsi="宋体" w:eastAsia="宋体" w:cs="宋体"/>
          <w:b w:val="0"/>
          <w:bCs w:val="0"/>
          <w:color w:val="000000" w:themeColor="text1"/>
          <w:sz w:val="28"/>
          <w:szCs w:val="28"/>
          <w:highlight w:val="none"/>
          <w14:textFill>
            <w14:solidFill>
              <w14:schemeClr w14:val="tx1"/>
            </w14:solidFill>
          </w14:textFill>
        </w:rPr>
        <w:t>投标无效或不作为中标候选人。</w:t>
      </w:r>
    </w:p>
    <w:p w14:paraId="61F4C557">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30.3采购人、采购代理机构认为供应商对采购过程、中标结果提出的质疑成立且影响或者可能影响中标结果的，合格供应商符合法定数量时，可以从合格的中标候选人中另行确定中标人的，应当依法另行确定中标人；否则应当重新开展采购活动。</w:t>
      </w:r>
    </w:p>
    <w:p w14:paraId="4F654D8A">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30.4中标供应商无正当理由拒签合同的，根据《中华人民共和国政府采购法》第七十七条第一款规定处理。</w:t>
      </w:r>
    </w:p>
    <w:p w14:paraId="2DDD5EEF">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30.5根据《中华人民共和国民法典》第五百六十三条，因不可抗力致使不能实现合同目的的，当事人可以解除合同。</w:t>
      </w:r>
    </w:p>
    <w:p w14:paraId="38F827B1">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31. 结果公告</w:t>
      </w:r>
    </w:p>
    <w:p w14:paraId="28761088">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31.1在中标供应商确定之日起2个工作日内，由采购代理机构</w:t>
      </w:r>
      <w:r>
        <w:rPr>
          <w:rFonts w:hint="eastAsia" w:ascii="宋体" w:hAnsi="宋体" w:eastAsia="宋体" w:cs="宋体"/>
          <w:b/>
          <w:color w:val="000000" w:themeColor="text1"/>
          <w:sz w:val="28"/>
          <w:szCs w:val="28"/>
          <w:highlight w:val="none"/>
          <w14:textFill>
            <w14:solidFill>
              <w14:schemeClr w14:val="tx1"/>
            </w14:solidFill>
          </w14:textFill>
        </w:rPr>
        <w:t>在招标公告发布媒体上</w:t>
      </w:r>
      <w:r>
        <w:rPr>
          <w:rFonts w:hint="eastAsia" w:ascii="宋体" w:hAnsi="宋体" w:eastAsia="宋体" w:cs="宋体"/>
          <w:color w:val="000000" w:themeColor="text1"/>
          <w:sz w:val="28"/>
          <w:szCs w:val="28"/>
          <w:highlight w:val="none"/>
          <w14:textFill>
            <w14:solidFill>
              <w14:schemeClr w14:val="tx1"/>
            </w14:solidFill>
          </w14:textFill>
        </w:rPr>
        <w:t>发布中标结果公告，中标结果公告期限为1个工作日，发布中标结果公告的同时向中标供应商发出中标通知书。</w:t>
      </w:r>
      <w:r>
        <w:rPr>
          <w:rFonts w:hint="eastAsia" w:ascii="宋体" w:hAnsi="宋体" w:eastAsia="宋体" w:cs="宋体"/>
          <w:b/>
          <w:color w:val="000000" w:themeColor="text1"/>
          <w:sz w:val="28"/>
          <w:szCs w:val="28"/>
          <w:highlight w:val="none"/>
          <w14:textFill>
            <w14:solidFill>
              <w14:schemeClr w14:val="tx1"/>
            </w14:solidFill>
          </w14:textFill>
        </w:rPr>
        <w:t>采购代理机构发出中标通知书前，应当对中标人信用进行核实，对列入失信被执行人、重大税收违法失信主体、政府采购严重违法失信行为记录名单及其他不符合《中华人民共和国政府采购法》第二十二条规定条件的</w:t>
      </w:r>
      <w:r>
        <w:rPr>
          <w:rFonts w:hint="eastAsia" w:ascii="宋体" w:hAnsi="宋体" w:cs="宋体"/>
          <w:b/>
          <w:color w:val="000000" w:themeColor="text1"/>
          <w:sz w:val="28"/>
          <w:szCs w:val="28"/>
          <w:highlight w:val="none"/>
          <w:lang w:eastAsia="zh-CN"/>
          <w14:textFill>
            <w14:solidFill>
              <w14:schemeClr w14:val="tx1"/>
            </w14:solidFill>
          </w14:textFill>
        </w:rPr>
        <w:t>供应商</w:t>
      </w:r>
      <w:r>
        <w:rPr>
          <w:rFonts w:hint="eastAsia" w:ascii="宋体" w:hAnsi="宋体" w:eastAsia="宋体" w:cs="宋体"/>
          <w:b/>
          <w:color w:val="000000" w:themeColor="text1"/>
          <w:sz w:val="28"/>
          <w:szCs w:val="28"/>
          <w:highlight w:val="none"/>
          <w14:textFill>
            <w14:solidFill>
              <w14:schemeClr w14:val="tx1"/>
            </w14:solidFill>
          </w14:textFill>
        </w:rPr>
        <w:t>，取消其中标资格，并确定排名第二的中标候选人为中标人。</w:t>
      </w:r>
      <w:r>
        <w:rPr>
          <w:rFonts w:hint="eastAsia" w:ascii="宋体" w:hAnsi="宋体" w:eastAsia="宋体" w:cs="宋体"/>
          <w:color w:val="000000" w:themeColor="text1"/>
          <w:sz w:val="28"/>
          <w:szCs w:val="28"/>
          <w:highlight w:val="none"/>
          <w14:textFill>
            <w14:solidFill>
              <w14:schemeClr w14:val="tx1"/>
            </w14:solidFill>
          </w14:textFill>
        </w:rPr>
        <w:t>排名第二的中标候选人因前款规定的同样原因被取消中标资格的，授权的评标委员会可以确定排名第三的中标候选人为中标人，以此类推。</w:t>
      </w:r>
    </w:p>
    <w:p w14:paraId="1DDFD0AC">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以上信息查询记录及相关证据与采购文件一并保存。</w:t>
      </w:r>
    </w:p>
    <w:p w14:paraId="19FA7B66">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31.2中小企业在政府采购活动过程中，请根据企业的真实情况出具《中小企业声明函》。依法享受中小企业优惠政策的，采购人或者采购代理机构在公告中标结果时，同时公告其《中小企业声明函》，接受社会监督。</w:t>
      </w:r>
    </w:p>
    <w:p w14:paraId="4BD6A031">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32.发出中标通知书</w:t>
      </w:r>
    </w:p>
    <w:p w14:paraId="1329DCCB">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b w:val="0"/>
          <w:bCs/>
          <w:color w:val="000000" w:themeColor="text1"/>
          <w:sz w:val="28"/>
          <w:szCs w:val="28"/>
          <w:highlight w:val="none"/>
          <w14:textFill>
            <w14:solidFill>
              <w14:schemeClr w14:val="tx1"/>
            </w14:solidFill>
          </w14:textFill>
        </w:rPr>
      </w:pPr>
      <w:r>
        <w:rPr>
          <w:rFonts w:hint="eastAsia" w:ascii="宋体" w:hAnsi="宋体" w:eastAsia="宋体" w:cs="宋体"/>
          <w:b w:val="0"/>
          <w:bCs/>
          <w:color w:val="000000" w:themeColor="text1"/>
          <w:sz w:val="28"/>
          <w:szCs w:val="28"/>
          <w:highlight w:val="none"/>
          <w14:textFill>
            <w14:solidFill>
              <w14:schemeClr w14:val="tx1"/>
            </w14:solidFill>
          </w14:textFill>
        </w:rPr>
        <w:t>32.1对未通过资格审查的</w:t>
      </w:r>
      <w:r>
        <w:rPr>
          <w:rFonts w:hint="eastAsia" w:ascii="宋体" w:hAnsi="宋体" w:cs="宋体"/>
          <w:b w:val="0"/>
          <w:bCs/>
          <w:color w:val="000000" w:themeColor="text1"/>
          <w:sz w:val="28"/>
          <w:szCs w:val="28"/>
          <w:highlight w:val="none"/>
          <w:lang w:eastAsia="zh-CN"/>
          <w14:textFill>
            <w14:solidFill>
              <w14:schemeClr w14:val="tx1"/>
            </w14:solidFill>
          </w14:textFill>
        </w:rPr>
        <w:t>供应商</w:t>
      </w:r>
      <w:r>
        <w:rPr>
          <w:rFonts w:hint="eastAsia" w:ascii="宋体" w:hAnsi="宋体" w:eastAsia="宋体" w:cs="宋体"/>
          <w:b w:val="0"/>
          <w:bCs/>
          <w:color w:val="000000" w:themeColor="text1"/>
          <w:sz w:val="28"/>
          <w:szCs w:val="28"/>
          <w:highlight w:val="none"/>
          <w14:textFill>
            <w14:solidFill>
              <w14:schemeClr w14:val="tx1"/>
            </w14:solidFill>
          </w14:textFill>
        </w:rPr>
        <w:t>，采购人或采购机构应当告知其未通过的原因；采用综合评分办法评审的，采购人或采购机构还应当告知未中标人本人的评审得分与排序。</w:t>
      </w:r>
    </w:p>
    <w:p w14:paraId="5F2C0675">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b w:val="0"/>
          <w:bCs/>
          <w:color w:val="000000" w:themeColor="text1"/>
          <w:sz w:val="28"/>
          <w:szCs w:val="28"/>
          <w:highlight w:val="none"/>
          <w14:textFill>
            <w14:solidFill>
              <w14:schemeClr w14:val="tx1"/>
            </w14:solidFill>
          </w14:textFill>
        </w:rPr>
      </w:pPr>
      <w:r>
        <w:rPr>
          <w:rFonts w:hint="eastAsia" w:ascii="宋体" w:hAnsi="宋体" w:eastAsia="宋体" w:cs="宋体"/>
          <w:b w:val="0"/>
          <w:bCs/>
          <w:color w:val="000000" w:themeColor="text1"/>
          <w:sz w:val="28"/>
          <w:szCs w:val="28"/>
          <w:highlight w:val="none"/>
          <w14:textFill>
            <w14:solidFill>
              <w14:schemeClr w14:val="tx1"/>
            </w14:solidFill>
          </w14:textFill>
        </w:rPr>
        <w:t>33. 无义务解释未中标原因</w:t>
      </w:r>
    </w:p>
    <w:p w14:paraId="3C3FD1A9">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b w:val="0"/>
          <w:bCs/>
          <w:color w:val="000000" w:themeColor="text1"/>
          <w:sz w:val="28"/>
          <w:szCs w:val="28"/>
          <w:highlight w:val="none"/>
          <w14:textFill>
            <w14:solidFill>
              <w14:schemeClr w14:val="tx1"/>
            </w14:solidFill>
          </w14:textFill>
        </w:rPr>
      </w:pPr>
      <w:r>
        <w:rPr>
          <w:rFonts w:hint="eastAsia" w:ascii="宋体" w:hAnsi="宋体" w:eastAsia="宋体" w:cs="宋体"/>
          <w:b w:val="0"/>
          <w:bCs/>
          <w:color w:val="000000" w:themeColor="text1"/>
          <w:sz w:val="28"/>
          <w:szCs w:val="28"/>
          <w:highlight w:val="none"/>
          <w14:textFill>
            <w14:solidFill>
              <w14:schemeClr w14:val="tx1"/>
            </w14:solidFill>
          </w14:textFill>
        </w:rPr>
        <w:t>采购代理机构无义务向未中标的</w:t>
      </w:r>
      <w:r>
        <w:rPr>
          <w:rFonts w:hint="eastAsia" w:ascii="宋体" w:hAnsi="宋体" w:cs="宋体"/>
          <w:b w:val="0"/>
          <w:bCs/>
          <w:color w:val="000000" w:themeColor="text1"/>
          <w:sz w:val="28"/>
          <w:szCs w:val="28"/>
          <w:highlight w:val="none"/>
          <w:lang w:eastAsia="zh-CN"/>
          <w14:textFill>
            <w14:solidFill>
              <w14:schemeClr w14:val="tx1"/>
            </w14:solidFill>
          </w14:textFill>
        </w:rPr>
        <w:t>供应商</w:t>
      </w:r>
      <w:r>
        <w:rPr>
          <w:rFonts w:hint="eastAsia" w:ascii="宋体" w:hAnsi="宋体" w:eastAsia="宋体" w:cs="宋体"/>
          <w:b w:val="0"/>
          <w:bCs/>
          <w:color w:val="000000" w:themeColor="text1"/>
          <w:sz w:val="28"/>
          <w:szCs w:val="28"/>
          <w:highlight w:val="none"/>
          <w14:textFill>
            <w14:solidFill>
              <w14:schemeClr w14:val="tx1"/>
            </w14:solidFill>
          </w14:textFill>
        </w:rPr>
        <w:t>解释未中标原因和退还投标文件。</w:t>
      </w:r>
    </w:p>
    <w:p w14:paraId="5B070550">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34.合同授予标准</w:t>
      </w:r>
    </w:p>
    <w:p w14:paraId="5A7DB0CC">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合同将授予被确定实质上响应招标文件要求，具备履行合同能力的中标人（招标文件另有约定多名中标人的除外）。</w:t>
      </w:r>
    </w:p>
    <w:p w14:paraId="7D6E815C">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35.履约保证金</w:t>
      </w:r>
    </w:p>
    <w:p w14:paraId="698572AF">
      <w:pPr>
        <w:pStyle w:val="108"/>
        <w:keepNext w:val="0"/>
        <w:keepLines w:val="0"/>
        <w:pageBreakBefore w:val="0"/>
        <w:kinsoku/>
        <w:wordWrap/>
        <w:overflowPunct/>
        <w:topLinePunct w:val="0"/>
        <w:bidi w:val="0"/>
        <w:adjustRightInd/>
        <w:snapToGrid/>
        <w:spacing w:before="0" w:line="560" w:lineRule="exact"/>
        <w:ind w:firstLine="560"/>
        <w:jc w:val="both"/>
        <w:rPr>
          <w:rFonts w:hint="eastAsia" w:ascii="宋体" w:hAnsi="宋体" w:eastAsia="宋体" w:cs="宋体"/>
          <w:color w:val="000000" w:themeColor="text1"/>
          <w:kern w:val="0"/>
          <w:sz w:val="28"/>
          <w:szCs w:val="28"/>
          <w:highlight w:val="none"/>
          <w:lang w:val="zh-CN"/>
          <w14:textFill>
            <w14:solidFill>
              <w14:schemeClr w14:val="tx1"/>
            </w14:solidFill>
          </w14:textFill>
        </w:rPr>
      </w:pPr>
      <w:bookmarkStart w:id="179" w:name="_39.1中标人须于签订合同前按本须知前附表规定的金额转账或电汇到指定账"/>
      <w:bookmarkEnd w:id="179"/>
      <w:r>
        <w:rPr>
          <w:rFonts w:hint="eastAsia" w:ascii="宋体" w:hAnsi="宋体" w:eastAsia="宋体" w:cs="宋体"/>
          <w:color w:val="000000" w:themeColor="text1"/>
          <w:kern w:val="0"/>
          <w:sz w:val="28"/>
          <w:szCs w:val="28"/>
          <w:highlight w:val="none"/>
          <w:lang w:val="zh-CN"/>
          <w14:textFill>
            <w14:solidFill>
              <w14:schemeClr w14:val="tx1"/>
            </w14:solidFill>
          </w14:textFill>
        </w:rPr>
        <w:t>见“供应商须知前附表”。</w:t>
      </w:r>
    </w:p>
    <w:p w14:paraId="71765474">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36.签订合同</w:t>
      </w:r>
    </w:p>
    <w:p w14:paraId="361F28D4">
      <w:pPr>
        <w:pStyle w:val="108"/>
        <w:keepNext w:val="0"/>
        <w:keepLines w:val="0"/>
        <w:pageBreakBefore w:val="0"/>
        <w:kinsoku/>
        <w:wordWrap/>
        <w:overflowPunct/>
        <w:topLinePunct w:val="0"/>
        <w:bidi w:val="0"/>
        <w:adjustRightInd/>
        <w:snapToGrid/>
        <w:spacing w:before="0" w:line="560" w:lineRule="exact"/>
        <w:ind w:firstLine="562"/>
        <w:jc w:val="both"/>
        <w:rPr>
          <w:rFonts w:hint="eastAsia" w:ascii="宋体" w:hAnsi="宋体" w:eastAsia="宋体" w:cs="宋体"/>
          <w:color w:val="000000" w:themeColor="text1"/>
          <w:kern w:val="0"/>
          <w:sz w:val="28"/>
          <w:szCs w:val="28"/>
          <w:highlight w:val="none"/>
          <w:lang w:val="zh-CN"/>
          <w14:textFill>
            <w14:solidFill>
              <w14:schemeClr w14:val="tx1"/>
            </w14:solidFill>
          </w14:textFill>
        </w:rPr>
      </w:pPr>
      <w:bookmarkStart w:id="180" w:name="_40.1投标人接到中标通知书后，按须知前附表规定向采购人出示相关资格证"/>
      <w:bookmarkEnd w:id="180"/>
      <w:r>
        <w:rPr>
          <w:rFonts w:hint="eastAsia" w:ascii="宋体" w:hAnsi="宋体" w:eastAsia="宋体" w:cs="宋体"/>
          <w:b w:val="0"/>
          <w:bCs/>
          <w:color w:val="000000" w:themeColor="text1"/>
          <w:sz w:val="28"/>
          <w:szCs w:val="28"/>
          <w:highlight w:val="none"/>
          <w14:textFill>
            <w14:solidFill>
              <w14:schemeClr w14:val="tx1"/>
            </w14:solidFill>
          </w14:textFill>
        </w:rPr>
        <w:t xml:space="preserve"> 36.1中标人领取电子中标通知书后，</w:t>
      </w:r>
      <w:r>
        <w:rPr>
          <w:rFonts w:hint="eastAsia" w:ascii="宋体" w:hAnsi="宋体" w:eastAsia="宋体" w:cs="宋体"/>
          <w:color w:val="000000" w:themeColor="text1"/>
          <w:kern w:val="0"/>
          <w:sz w:val="28"/>
          <w:szCs w:val="28"/>
          <w:highlight w:val="none"/>
          <w:lang w:val="zh-CN"/>
          <w14:textFill>
            <w14:solidFill>
              <w14:schemeClr w14:val="tx1"/>
            </w14:solidFill>
          </w14:textFill>
        </w:rPr>
        <w:t>按规定的日期、时间、地点，由法定代表人或其授权代表与采购人代表签订采购合同。如中标人为联合体的，由联合体成员各方法定代表人或其授权代表与采购人代表共同签订合同，签订携带资料详见“供应商须知前附表”。</w:t>
      </w:r>
    </w:p>
    <w:p w14:paraId="49C31CA2">
      <w:pPr>
        <w:pStyle w:val="108"/>
        <w:keepNext w:val="0"/>
        <w:keepLines w:val="0"/>
        <w:pageBreakBefore w:val="0"/>
        <w:kinsoku/>
        <w:wordWrap/>
        <w:overflowPunct/>
        <w:topLinePunct w:val="0"/>
        <w:bidi w:val="0"/>
        <w:adjustRightInd/>
        <w:snapToGrid/>
        <w:spacing w:before="0" w:line="560" w:lineRule="exact"/>
        <w:ind w:firstLine="560"/>
        <w:jc w:val="both"/>
        <w:rPr>
          <w:rFonts w:hint="eastAsia" w:ascii="宋体" w:hAnsi="宋体" w:eastAsia="宋体" w:cs="宋体"/>
          <w:color w:val="000000" w:themeColor="text1"/>
          <w:kern w:val="0"/>
          <w:sz w:val="28"/>
          <w:szCs w:val="28"/>
          <w:highlight w:val="none"/>
          <w:lang w:val="zh-CN"/>
          <w14:textFill>
            <w14:solidFill>
              <w14:schemeClr w14:val="tx1"/>
            </w14:solidFill>
          </w14:textFill>
        </w:rPr>
      </w:pPr>
      <w:r>
        <w:rPr>
          <w:rFonts w:hint="eastAsia" w:ascii="宋体" w:hAnsi="宋体" w:eastAsia="宋体" w:cs="宋体"/>
          <w:color w:val="000000" w:themeColor="text1"/>
          <w:kern w:val="0"/>
          <w:sz w:val="28"/>
          <w:szCs w:val="28"/>
          <w:highlight w:val="none"/>
          <w:lang w:val="zh-CN"/>
          <w14:textFill>
            <w14:solidFill>
              <w14:schemeClr w14:val="tx1"/>
            </w14:solidFill>
          </w14:textFill>
        </w:rPr>
        <w:t>36.2</w:t>
      </w:r>
      <w:r>
        <w:rPr>
          <w:rFonts w:hint="eastAsia" w:ascii="宋体" w:hAnsi="宋体" w:eastAsia="宋体" w:cs="宋体"/>
          <w:color w:val="000000" w:themeColor="text1"/>
          <w:sz w:val="28"/>
          <w:szCs w:val="28"/>
          <w:highlight w:val="none"/>
          <w14:textFill>
            <w14:solidFill>
              <w14:schemeClr w14:val="tx1"/>
            </w14:solidFill>
          </w14:textFill>
        </w:rPr>
        <w:t>采购合同由采购人与中标供应商根据招标文件、投标文件等内容通过政府采购电子交易平台在线签订，自动备案。</w:t>
      </w:r>
    </w:p>
    <w:p w14:paraId="110B1A7A">
      <w:pPr>
        <w:pStyle w:val="108"/>
        <w:keepNext w:val="0"/>
        <w:keepLines w:val="0"/>
        <w:pageBreakBefore w:val="0"/>
        <w:kinsoku/>
        <w:wordWrap/>
        <w:overflowPunct/>
        <w:topLinePunct w:val="0"/>
        <w:bidi w:val="0"/>
        <w:adjustRightInd/>
        <w:snapToGrid/>
        <w:spacing w:before="0" w:line="560" w:lineRule="exact"/>
        <w:ind w:firstLine="56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36.3签订合同时间：按中标通知书规定的时间与采购人签订合同（最长不能超过25日）。</w:t>
      </w:r>
    </w:p>
    <w:p w14:paraId="2ED56E5C">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36.4中标人拒绝与采购人签订合同的，采购人可以按照评审报告推荐的中标候选人名单排序，确定下一候选人为中标人，也可以重新开展政府采购活动。如采购人无正当理由拒签合同的，给中标供应商造成损失的，中标供应商可追究采购人承担相应的法律责任。</w:t>
      </w:r>
    </w:p>
    <w:p w14:paraId="310A4F89">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36.5政府采购合同是政府采购项目验收的依据，中标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1AC13674">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36.6采购人或中标供应商不得单方面向合同另一方提出任何招标文件没有约定的条件或不合理的要求，作为签订合同的条件；也不得协商另行订立背离招标文件和合同实质性内容的协议。</w:t>
      </w:r>
    </w:p>
    <w:p w14:paraId="2EA21321">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36.7如签订合同并生效后，供应商无故拒绝或延期，除按照合同条款处理外，将承担相应的法律责任。</w:t>
      </w:r>
    </w:p>
    <w:p w14:paraId="5B73120F">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b w:val="0"/>
          <w:bCs/>
          <w:color w:val="000000" w:themeColor="text1"/>
          <w:sz w:val="28"/>
          <w:szCs w:val="28"/>
          <w:highlight w:val="none"/>
          <w14:textFill>
            <w14:solidFill>
              <w14:schemeClr w14:val="tx1"/>
            </w14:solidFill>
          </w14:textFill>
        </w:rPr>
      </w:pPr>
      <w:r>
        <w:rPr>
          <w:rFonts w:hint="eastAsia" w:ascii="宋体" w:hAnsi="宋体" w:eastAsia="宋体" w:cs="宋体"/>
          <w:b w:val="0"/>
          <w:bCs/>
          <w:color w:val="000000" w:themeColor="text1"/>
          <w:sz w:val="28"/>
          <w:szCs w:val="28"/>
          <w:highlight w:val="none"/>
          <w14:textFill>
            <w14:solidFill>
              <w14:schemeClr w14:val="tx1"/>
            </w14:solidFill>
          </w14:textFill>
        </w:rPr>
        <w:t>36.8采购人需追加与合同标的相同的货物或者货物的，在不改变原合同条款且已报财政部门批准落实资金的前提下，可从原中标供应商处添购，所签订的补充添置合同的采购资金总额不超过原采购合同金额的10%。</w:t>
      </w:r>
    </w:p>
    <w:p w14:paraId="78B9EE84">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bookmarkStart w:id="181" w:name="_41.政府采购合同公告"/>
      <w:bookmarkEnd w:id="181"/>
      <w:r>
        <w:rPr>
          <w:rFonts w:hint="eastAsia" w:ascii="宋体" w:hAnsi="宋体" w:eastAsia="宋体" w:cs="宋体"/>
          <w:color w:val="000000" w:themeColor="text1"/>
          <w:sz w:val="28"/>
          <w:szCs w:val="28"/>
          <w:highlight w:val="none"/>
          <w14:textFill>
            <w14:solidFill>
              <w14:schemeClr w14:val="tx1"/>
            </w14:solidFill>
          </w14:textFill>
        </w:rPr>
        <w:t>37.政府采购合同公告</w:t>
      </w:r>
    </w:p>
    <w:p w14:paraId="2FFED15E">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采购人或者受托采购代理机构应当自政府采购合同签订之日起2个工作日内，将政府采购合同</w:t>
      </w:r>
      <w:r>
        <w:rPr>
          <w:rFonts w:hint="eastAsia" w:ascii="宋体" w:hAnsi="宋体" w:eastAsia="宋体" w:cs="宋体"/>
          <w:bCs/>
          <w:color w:val="000000" w:themeColor="text1"/>
          <w:sz w:val="28"/>
          <w:szCs w:val="28"/>
          <w:highlight w:val="none"/>
          <w14:textFill>
            <w14:solidFill>
              <w14:schemeClr w14:val="tx1"/>
            </w14:solidFill>
          </w14:textFill>
        </w:rPr>
        <w:t>在以下媒体上发布</w:t>
      </w:r>
      <w:r>
        <w:rPr>
          <w:rFonts w:hint="eastAsia" w:ascii="宋体" w:hAnsi="宋体" w:eastAsia="宋体" w:cs="宋体"/>
          <w:color w:val="000000" w:themeColor="text1"/>
          <w:kern w:val="0"/>
          <w:sz w:val="28"/>
          <w:szCs w:val="28"/>
          <w:highlight w:val="none"/>
          <w14:textFill>
            <w14:solidFill>
              <w14:schemeClr w14:val="tx1"/>
            </w14:solidFill>
          </w14:textFill>
        </w:rPr>
        <w:t xml:space="preserve"> “新疆政府采购网”（http://www.ccgp-xinjiang.gov.cn）</w:t>
      </w:r>
      <w:r>
        <w:rPr>
          <w:rFonts w:hint="eastAsia" w:ascii="宋体" w:hAnsi="宋体" w:eastAsia="宋体" w:cs="宋体"/>
          <w:color w:val="000000" w:themeColor="text1"/>
          <w:sz w:val="28"/>
          <w:szCs w:val="28"/>
          <w:highlight w:val="none"/>
          <w14:textFill>
            <w14:solidFill>
              <w14:schemeClr w14:val="tx1"/>
            </w14:solidFill>
          </w14:textFill>
        </w:rPr>
        <w:t>上公告，但政府采购合同中涉及国家秘密、商业秘密的内容除外。</w:t>
      </w:r>
    </w:p>
    <w:p w14:paraId="4C84192B">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38. 询问、质疑和投诉</w:t>
      </w:r>
    </w:p>
    <w:p w14:paraId="1F9A8452">
      <w:pPr>
        <w:keepNext w:val="0"/>
        <w:keepLines w:val="0"/>
        <w:pageBreakBefore w:val="0"/>
        <w:kinsoku/>
        <w:wordWrap/>
        <w:overflowPunct/>
        <w:topLinePunct w:val="0"/>
        <w:bidi w:val="0"/>
        <w:adjustRightInd/>
        <w:snapToGrid/>
        <w:spacing w:line="560" w:lineRule="exact"/>
        <w:ind w:firstLine="562" w:firstLineChars="200"/>
        <w:jc w:val="both"/>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38.1询问</w:t>
      </w:r>
    </w:p>
    <w:p w14:paraId="2056D847">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38.1.1供应商在开标前对政府采购活动事项有疑问的，可以向采购人或采购代理机构项目负责人提出询问。</w:t>
      </w:r>
    </w:p>
    <w:p w14:paraId="2EA9CD67">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38.1.2采购人或采购人委托的采购代理机构自受理询问之日起3个工作日内对供应商依法提出的询问作出答复，</w:t>
      </w:r>
      <w:r>
        <w:rPr>
          <w:rFonts w:hint="eastAsia" w:ascii="宋体" w:hAnsi="宋体" w:eastAsia="宋体" w:cs="宋体"/>
          <w:color w:val="000000" w:themeColor="text1"/>
          <w:sz w:val="28"/>
          <w:szCs w:val="28"/>
          <w:highlight w:val="none"/>
          <w14:textFill>
            <w14:solidFill>
              <w14:schemeClr w14:val="tx1"/>
            </w14:solidFill>
          </w14:textFill>
        </w:rPr>
        <w:t>但答复内容不得涉及商业秘密</w:t>
      </w:r>
      <w:r>
        <w:rPr>
          <w:rFonts w:hint="eastAsia" w:ascii="宋体" w:hAnsi="宋体" w:eastAsia="宋体" w:cs="宋体"/>
          <w:bCs/>
          <w:color w:val="000000" w:themeColor="text1"/>
          <w:sz w:val="28"/>
          <w:szCs w:val="28"/>
          <w:highlight w:val="none"/>
          <w14:textFill>
            <w14:solidFill>
              <w14:schemeClr w14:val="tx1"/>
            </w14:solidFill>
          </w14:textFill>
        </w:rPr>
        <w:t>。</w:t>
      </w:r>
    </w:p>
    <w:p w14:paraId="12A6C864">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38.1.3 询问事项可能影响中标、成交结果的，采购人应当暂停签订合同，已经签订合同的，应当中止履行合同。</w:t>
      </w:r>
    </w:p>
    <w:p w14:paraId="0D69D217">
      <w:pPr>
        <w:keepNext w:val="0"/>
        <w:keepLines w:val="0"/>
        <w:pageBreakBefore w:val="0"/>
        <w:kinsoku/>
        <w:wordWrap/>
        <w:overflowPunct/>
        <w:topLinePunct w:val="0"/>
        <w:bidi w:val="0"/>
        <w:adjustRightInd/>
        <w:snapToGrid/>
        <w:spacing w:line="560" w:lineRule="exact"/>
        <w:ind w:firstLine="562"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38.2质疑</w:t>
      </w:r>
    </w:p>
    <w:p w14:paraId="70CDE000">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b w:val="0"/>
          <w:bCs w:val="0"/>
          <w:color w:val="000000" w:themeColor="text1"/>
          <w:sz w:val="28"/>
          <w:szCs w:val="28"/>
          <w:highlight w:val="none"/>
          <w14:textFill>
            <w14:solidFill>
              <w14:schemeClr w14:val="tx1"/>
            </w14:solidFill>
          </w14:textFill>
        </w:rPr>
      </w:pPr>
      <w:r>
        <w:rPr>
          <w:rFonts w:hint="eastAsia" w:ascii="宋体" w:hAnsi="宋体" w:eastAsia="宋体" w:cs="宋体"/>
          <w:b w:val="0"/>
          <w:bCs w:val="0"/>
          <w:color w:val="000000" w:themeColor="text1"/>
          <w:sz w:val="28"/>
          <w:szCs w:val="28"/>
          <w:highlight w:val="none"/>
          <w14:textFill>
            <w14:solidFill>
              <w14:schemeClr w14:val="tx1"/>
            </w14:solidFill>
          </w14:textFill>
        </w:rPr>
        <w:t>38.2.1供应商认为招标文件、采购过程或者中标结果使自己的合法权益受到损害的，必须在知道或者应知其权益受到损害之日起7个工作日内，以书面形式向采购人、采购代理机构提出质疑，质疑有效期结束后，采购人或采购代理机构不再受理该项目质疑。采购人、采购代理机构接收质疑函的方式、联系部门、联系电话和通讯地址等信息详见“</w:t>
      </w:r>
      <w:r>
        <w:rPr>
          <w:rFonts w:hint="eastAsia" w:ascii="宋体" w:hAnsi="宋体" w:cs="宋体"/>
          <w:b w:val="0"/>
          <w:bCs w:val="0"/>
          <w:color w:val="000000" w:themeColor="text1"/>
          <w:sz w:val="28"/>
          <w:szCs w:val="28"/>
          <w:highlight w:val="none"/>
          <w:lang w:eastAsia="zh-CN"/>
          <w14:textFill>
            <w14:solidFill>
              <w14:schemeClr w14:val="tx1"/>
            </w14:solidFill>
          </w14:textFill>
        </w:rPr>
        <w:t>供应商</w:t>
      </w:r>
      <w:r>
        <w:rPr>
          <w:rFonts w:hint="eastAsia" w:ascii="宋体" w:hAnsi="宋体" w:eastAsia="宋体" w:cs="宋体"/>
          <w:b w:val="0"/>
          <w:bCs w:val="0"/>
          <w:color w:val="000000" w:themeColor="text1"/>
          <w:sz w:val="28"/>
          <w:szCs w:val="28"/>
          <w:highlight w:val="none"/>
          <w14:textFill>
            <w14:solidFill>
              <w14:schemeClr w14:val="tx1"/>
            </w14:solidFill>
          </w14:textFill>
        </w:rPr>
        <w:t xml:space="preserve">须知前附表”。具体质疑起算时间及处理方式如下： </w:t>
      </w:r>
    </w:p>
    <w:p w14:paraId="5B686D6A">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（1）潜在供应商依法获取公开招标文件后，认为采购文件使自己的权益受到损害的，应当在公开招标文件公告期限届满之日起7个工作日内提出质疑。</w:t>
      </w:r>
      <w:r>
        <w:rPr>
          <w:rFonts w:hint="eastAsia" w:ascii="宋体" w:hAnsi="宋体" w:eastAsia="宋体" w:cs="宋体"/>
          <w:color w:val="000000" w:themeColor="text1"/>
          <w:sz w:val="28"/>
          <w:szCs w:val="28"/>
          <w:highlight w:val="none"/>
          <w14:textFill>
            <w14:solidFill>
              <w14:schemeClr w14:val="tx1"/>
            </w14:solidFill>
          </w14:textFill>
        </w:rPr>
        <w:t>委托代理协议无特殊约定的，</w:t>
      </w:r>
      <w:r>
        <w:rPr>
          <w:rFonts w:hint="eastAsia" w:ascii="宋体" w:hAnsi="宋体" w:eastAsia="宋体" w:cs="宋体"/>
          <w:bCs/>
          <w:color w:val="000000" w:themeColor="text1"/>
          <w:sz w:val="28"/>
          <w:szCs w:val="28"/>
          <w:highlight w:val="none"/>
          <w14:textFill>
            <w14:solidFill>
              <w14:schemeClr w14:val="tx1"/>
            </w14:solidFill>
          </w14:textFill>
        </w:rPr>
        <w:t>对公开招标文件中采购需求（含资格要求、采购预算和评分办法）的质疑由采购人受理并负责答复；对公开招标文件中的采购执行程序的质疑由采购代理机构受理并负责答复。</w:t>
      </w:r>
    </w:p>
    <w:p w14:paraId="67A41139">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2）供应商认为采购过程使自己的权益受到损害的，应当在各采购程序环节结束之日起7个工作日内提出质疑。对采购过程中资格审查、符合性审查等具体评审情况的质疑应向采购人或代理机构提出，由采购人或代理机构受理并负责答复；对采购过程中采购执行程序的质疑由采购代理机构受理并负责答复。</w:t>
      </w:r>
    </w:p>
    <w:p w14:paraId="779956E3">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（3）供应商认为中标或者成交结果使自己的权益受到损害的，应当在中标或者成交结果公告期限届满之日起7个工作日内提出质疑，由采购人受理并负责答复。</w:t>
      </w:r>
    </w:p>
    <w:p w14:paraId="1183C2E0">
      <w:pPr>
        <w:keepNext w:val="0"/>
        <w:keepLines w:val="0"/>
        <w:pageBreakBefore w:val="0"/>
        <w:kinsoku/>
        <w:wordWrap/>
        <w:overflowPunct/>
        <w:topLinePunct w:val="0"/>
        <w:bidi w:val="0"/>
        <w:adjustRightInd/>
        <w:snapToGrid/>
        <w:spacing w:line="560" w:lineRule="exact"/>
        <w:ind w:firstLine="562" w:firstLineChars="200"/>
        <w:jc w:val="both"/>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t>38.2.2</w:t>
      </w:r>
      <w:r>
        <w:rPr>
          <w:rFonts w:hint="eastAsia" w:ascii="宋体" w:hAnsi="宋体" w:eastAsia="宋体" w:cs="宋体"/>
          <w:bCs/>
          <w:color w:val="000000" w:themeColor="text1"/>
          <w:sz w:val="28"/>
          <w:szCs w:val="28"/>
          <w:highlight w:val="none"/>
          <w14:textFill>
            <w14:solidFill>
              <w14:schemeClr w14:val="tx1"/>
            </w14:solidFill>
          </w14:textFill>
        </w:rPr>
        <w:t>供应商质疑实行实名制，其质疑应当有具体的质疑事项及事实根据，质疑应当坚持依法依规、诚实信用原则，不得进行虚假、恶意质疑。</w:t>
      </w:r>
    </w:p>
    <w:p w14:paraId="7219498B">
      <w:pPr>
        <w:keepNext w:val="0"/>
        <w:keepLines w:val="0"/>
        <w:pageBreakBefore w:val="0"/>
        <w:kinsoku/>
        <w:wordWrap/>
        <w:overflowPunct/>
        <w:topLinePunct w:val="0"/>
        <w:bidi w:val="0"/>
        <w:adjustRightInd/>
        <w:snapToGrid/>
        <w:spacing w:line="560" w:lineRule="exact"/>
        <w:ind w:firstLine="562" w:firstLineChars="200"/>
        <w:jc w:val="both"/>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t>38.2.3</w:t>
      </w:r>
      <w:r>
        <w:rPr>
          <w:rFonts w:hint="eastAsia" w:ascii="宋体" w:hAnsi="宋体" w:eastAsia="宋体" w:cs="宋体"/>
          <w:bCs/>
          <w:color w:val="000000" w:themeColor="text1"/>
          <w:sz w:val="28"/>
          <w:szCs w:val="28"/>
          <w:highlight w:val="none"/>
          <w14:textFill>
            <w14:solidFill>
              <w14:schemeClr w14:val="tx1"/>
            </w14:solidFill>
          </w14:textFill>
        </w:rPr>
        <w:t xml:space="preserve"> 质疑供应商可以委托代理人办理质疑事务。委托代理人应熟悉相关业务情况。代理人办理质疑事务时，除提交质疑书外，还应当提交质疑供应商的授权委托书和委托代理人身份证明复印件</w:t>
      </w:r>
      <w:r>
        <w:rPr>
          <w:rFonts w:hint="eastAsia" w:ascii="宋体" w:hAnsi="宋体" w:eastAsia="宋体" w:cs="宋体"/>
          <w:color w:val="000000" w:themeColor="text1"/>
          <w:sz w:val="28"/>
          <w:szCs w:val="28"/>
          <w:highlight w:val="none"/>
          <w14:textFill>
            <w14:solidFill>
              <w14:schemeClr w14:val="tx1"/>
            </w14:solidFill>
          </w14:textFill>
        </w:rPr>
        <w:t>。</w:t>
      </w:r>
    </w:p>
    <w:p w14:paraId="1A8FECF9">
      <w:pPr>
        <w:keepNext w:val="0"/>
        <w:keepLines w:val="0"/>
        <w:pageBreakBefore w:val="0"/>
        <w:kinsoku/>
        <w:wordWrap/>
        <w:overflowPunct/>
        <w:topLinePunct w:val="0"/>
        <w:bidi w:val="0"/>
        <w:adjustRightInd/>
        <w:snapToGrid/>
        <w:spacing w:line="560" w:lineRule="exact"/>
        <w:ind w:firstLine="562" w:firstLineChars="200"/>
        <w:jc w:val="both"/>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t>38.2.4 质疑供应商提起质疑应当符合下列条件：</w:t>
      </w:r>
    </w:p>
    <w:p w14:paraId="26825548">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（1）质疑供应商是参与所质疑项目采购活动的供应商（潜在供应商已依法获取可之一的采购文件的，可以对该采购文件质疑）；</w:t>
      </w:r>
    </w:p>
    <w:p w14:paraId="15871302">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（2）质疑函内容符合本章第38.2.5项的规定；</w:t>
      </w:r>
    </w:p>
    <w:p w14:paraId="5B38CF64">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（3）在质疑有效期限内提起质疑；</w:t>
      </w:r>
    </w:p>
    <w:p w14:paraId="593ADD2E">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（4）属于所质疑的采购人或采购人委托的采购代理机构组织的采购活动；</w:t>
      </w:r>
    </w:p>
    <w:p w14:paraId="332AB398">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 xml:space="preserve">（5）同一质疑事项未经采购人或采购人委托的采购代理机构质疑处理； </w:t>
      </w:r>
    </w:p>
    <w:p w14:paraId="68AC5479">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（6）供应商对同一采购程序环节的质疑应当在质疑有效期内一次性提出；</w:t>
      </w:r>
    </w:p>
    <w:p w14:paraId="11F97766">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（7）供应商提交质疑应当提交必要的证明材料，证明材料应以合法手段取得；</w:t>
      </w:r>
    </w:p>
    <w:p w14:paraId="1E5D4AF5">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（8）财政部门规定的其他条件。</w:t>
      </w:r>
    </w:p>
    <w:p w14:paraId="6BDE4EFE">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b/>
          <w:color w:val="000000" w:themeColor="text1"/>
          <w:sz w:val="28"/>
          <w:szCs w:val="28"/>
          <w:highlight w:val="none"/>
          <w14:textFill>
            <w14:solidFill>
              <w14:schemeClr w14:val="tx1"/>
            </w14:solidFill>
          </w14:textFill>
        </w:rPr>
      </w:pPr>
      <w:bookmarkStart w:id="182" w:name="_9.2质疑、投诉应当采用书面形式，质疑函、投诉书均应明确阐述招标文件、"/>
      <w:bookmarkEnd w:id="182"/>
      <w:r>
        <w:rPr>
          <w:rFonts w:hint="eastAsia" w:ascii="宋体" w:hAnsi="宋体" w:eastAsia="宋体" w:cs="宋体"/>
          <w:color w:val="000000" w:themeColor="text1"/>
          <w:sz w:val="28"/>
          <w:szCs w:val="28"/>
          <w:highlight w:val="none"/>
          <w14:textFill>
            <w14:solidFill>
              <w14:schemeClr w14:val="tx1"/>
            </w14:solidFill>
          </w14:textFill>
        </w:rPr>
        <w:t xml:space="preserve"> 38.2.5 </w:t>
      </w:r>
      <w:r>
        <w:rPr>
          <w:rFonts w:hint="eastAsia" w:ascii="宋体" w:hAnsi="宋体" w:eastAsia="宋体" w:cs="宋体"/>
          <w:bCs/>
          <w:color w:val="000000" w:themeColor="text1"/>
          <w:sz w:val="28"/>
          <w:szCs w:val="28"/>
          <w:highlight w:val="none"/>
          <w14:textFill>
            <w14:solidFill>
              <w14:schemeClr w14:val="tx1"/>
            </w14:solidFill>
          </w14:textFill>
        </w:rPr>
        <w:t>供应商提出质疑应当提交质疑函和必要的证明材料，针对同一采购程序环节的质疑必须在法定质疑期内一次性提出。质疑函应当包括下列内容（质疑函格式后附）：</w:t>
      </w:r>
    </w:p>
    <w:p w14:paraId="3428D8E4">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（1）供应商的姓名或者名称、地址、邮编、联系人及联系电话；</w:t>
      </w:r>
    </w:p>
    <w:p w14:paraId="7495F2E6">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（2）质疑项目的名称、编号；</w:t>
      </w:r>
    </w:p>
    <w:p w14:paraId="5D3D8ACA">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（3）具体、明确的质疑事项和与质疑事项相关的请求；</w:t>
      </w:r>
    </w:p>
    <w:p w14:paraId="6D028D76">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（4）事实依据（列明权益受到损害的事实和理由）；</w:t>
      </w:r>
    </w:p>
    <w:p w14:paraId="557E0A83">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（5）必要的法律依据；</w:t>
      </w:r>
    </w:p>
    <w:p w14:paraId="2C90E139">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（6）提出质疑的日期。</w:t>
      </w:r>
    </w:p>
    <w:p w14:paraId="6E24AD6A">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供应商为自然人的，应当由本人签字；供应商为法人或者其他组织的，应当由法定代表人、主要负责人，或者其委托代理人签字或者盖章，并加盖公章。</w:t>
      </w:r>
    </w:p>
    <w:p w14:paraId="46E75DFA">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b w:val="0"/>
          <w:bCs/>
          <w:color w:val="000000" w:themeColor="text1"/>
          <w:sz w:val="28"/>
          <w:szCs w:val="28"/>
          <w:highlight w:val="none"/>
          <w14:textFill>
            <w14:solidFill>
              <w14:schemeClr w14:val="tx1"/>
            </w14:solidFill>
          </w14:textFill>
        </w:rPr>
      </w:pPr>
      <w:r>
        <w:rPr>
          <w:rFonts w:hint="eastAsia" w:ascii="宋体" w:hAnsi="宋体" w:eastAsia="宋体" w:cs="宋体"/>
          <w:b w:val="0"/>
          <w:bCs/>
          <w:color w:val="000000" w:themeColor="text1"/>
          <w:sz w:val="28"/>
          <w:szCs w:val="28"/>
          <w:highlight w:val="none"/>
          <w14:textFill>
            <w14:solidFill>
              <w14:schemeClr w14:val="tx1"/>
            </w14:solidFill>
          </w14:textFill>
        </w:rPr>
        <w:t>38.2.6采购人或采购人委托的采购代理机构在收到质疑函后7个工作日内作出答复，并以书面形式通知质疑供应商及其他有关供应商。对不符合质疑条件的质疑，答复不予受理，并说明理由；对符合质疑条件的质疑，对质疑事项作出答复</w:t>
      </w:r>
    </w:p>
    <w:p w14:paraId="1DA37936">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3</w:t>
      </w:r>
      <w:r>
        <w:rPr>
          <w:rFonts w:hint="eastAsia" w:ascii="宋体" w:hAnsi="宋体" w:eastAsia="宋体" w:cs="宋体"/>
          <w:bCs/>
          <w:color w:val="000000" w:themeColor="text1"/>
          <w:sz w:val="28"/>
          <w:szCs w:val="28"/>
          <w:highlight w:val="none"/>
          <w14:textFill>
            <w14:solidFill>
              <w14:schemeClr w14:val="tx1"/>
            </w14:solidFill>
          </w14:textFill>
        </w:rPr>
        <w:t>8.2.7采购人、采购代理机构认为供应商质疑不成立，或者成立但未对中标结果构成影响的，继续开展采购活动；认为供应商质疑成立且影响或者可能影响中标结果的，按照下列情况处理：</w:t>
      </w:r>
    </w:p>
    <w:p w14:paraId="1027B437">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　　（一）对招标文件提出的质疑，依法通过澄清或者修改可以继续开展采购活动的，澄清或者修改招标文件后继续开展采购活动；否则应当修改招标文件后重新开展采购活动。</w:t>
      </w:r>
    </w:p>
    <w:p w14:paraId="6F17C504">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　　（二）对采购过程、中标结果提出的质疑，合格供应商符合法定数量时，可以从合格的中标候选人中另行确定中标供应商的，应当依法另行确定中标供应商；否则应当重新开展采购活动。</w:t>
      </w:r>
    </w:p>
    <w:p w14:paraId="3AA03B4E">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质疑答复导致中标结果改变的，采购人或者采购代理机构应当将有关情况书面报告本级财政部门。</w:t>
      </w:r>
    </w:p>
    <w:p w14:paraId="2DEAB929">
      <w:pPr>
        <w:keepNext w:val="0"/>
        <w:keepLines w:val="0"/>
        <w:pageBreakBefore w:val="0"/>
        <w:kinsoku/>
        <w:wordWrap/>
        <w:overflowPunct/>
        <w:topLinePunct w:val="0"/>
        <w:bidi w:val="0"/>
        <w:adjustRightInd/>
        <w:snapToGrid/>
        <w:spacing w:line="560" w:lineRule="exact"/>
        <w:ind w:firstLine="562" w:firstLineChars="200"/>
        <w:jc w:val="both"/>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38.3投诉</w:t>
      </w:r>
    </w:p>
    <w:p w14:paraId="10010B9F">
      <w:pPr>
        <w:keepNext w:val="0"/>
        <w:keepLines w:val="0"/>
        <w:pageBreakBefore w:val="0"/>
        <w:kinsoku/>
        <w:wordWrap/>
        <w:overflowPunct/>
        <w:topLinePunct w:val="0"/>
        <w:bidi w:val="0"/>
        <w:adjustRightInd/>
        <w:snapToGrid/>
        <w:spacing w:line="560" w:lineRule="exact"/>
        <w:ind w:firstLine="562" w:firstLineChars="200"/>
        <w:jc w:val="both"/>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38.3</w:t>
      </w:r>
      <w:r>
        <w:rPr>
          <w:rFonts w:hint="eastAsia" w:ascii="宋体" w:hAnsi="宋体" w:eastAsia="宋体" w:cs="宋体"/>
          <w:bCs/>
          <w:color w:val="000000" w:themeColor="text1"/>
          <w:sz w:val="28"/>
          <w:szCs w:val="28"/>
          <w:highlight w:val="none"/>
          <w14:textFill>
            <w14:solidFill>
              <w14:schemeClr w14:val="tx1"/>
            </w14:solidFill>
          </w14:textFill>
        </w:rPr>
        <w:t>.</w:t>
      </w:r>
      <w:r>
        <w:rPr>
          <w:rFonts w:hint="eastAsia" w:ascii="宋体" w:hAnsi="宋体" w:eastAsia="宋体" w:cs="宋体"/>
          <w:b/>
          <w:bCs/>
          <w:color w:val="000000" w:themeColor="text1"/>
          <w:sz w:val="28"/>
          <w:szCs w:val="28"/>
          <w:highlight w:val="none"/>
          <w14:textFill>
            <w14:solidFill>
              <w14:schemeClr w14:val="tx1"/>
            </w14:solidFill>
          </w14:textFill>
        </w:rPr>
        <w:t xml:space="preserve">1 </w:t>
      </w:r>
      <w:r>
        <w:rPr>
          <w:rFonts w:hint="eastAsia" w:ascii="宋体" w:hAnsi="宋体" w:eastAsia="宋体" w:cs="宋体"/>
          <w:bCs/>
          <w:color w:val="000000" w:themeColor="text1"/>
          <w:sz w:val="28"/>
          <w:szCs w:val="28"/>
          <w:highlight w:val="none"/>
          <w14:textFill>
            <w14:solidFill>
              <w14:schemeClr w14:val="tx1"/>
            </w14:solidFill>
          </w14:textFill>
        </w:rPr>
        <w:t xml:space="preserve"> 供应商认为采购文件、采购过程、中标和成交结果使自己的合法权益受到损害的，应当首先依法向采购人或采购人委托的</w:t>
      </w:r>
      <w:r>
        <w:rPr>
          <w:rFonts w:hint="eastAsia" w:ascii="宋体" w:hAnsi="宋体" w:eastAsia="宋体" w:cs="宋体"/>
          <w:color w:val="000000" w:themeColor="text1"/>
          <w:sz w:val="28"/>
          <w:szCs w:val="28"/>
          <w:highlight w:val="none"/>
          <w14:textFill>
            <w14:solidFill>
              <w14:schemeClr w14:val="tx1"/>
            </w14:solidFill>
          </w14:textFill>
        </w:rPr>
        <w:t>采购代理机构</w:t>
      </w:r>
      <w:r>
        <w:rPr>
          <w:rFonts w:hint="eastAsia" w:ascii="宋体" w:hAnsi="宋体" w:eastAsia="宋体" w:cs="宋体"/>
          <w:bCs/>
          <w:color w:val="000000" w:themeColor="text1"/>
          <w:sz w:val="28"/>
          <w:szCs w:val="28"/>
          <w:highlight w:val="none"/>
          <w14:textFill>
            <w14:solidFill>
              <w14:schemeClr w14:val="tx1"/>
            </w14:solidFill>
          </w14:textFill>
        </w:rPr>
        <w:t>提出质疑。对采购人、</w:t>
      </w:r>
      <w:r>
        <w:rPr>
          <w:rFonts w:hint="eastAsia" w:ascii="宋体" w:hAnsi="宋体" w:eastAsia="宋体" w:cs="宋体"/>
          <w:color w:val="000000" w:themeColor="text1"/>
          <w:sz w:val="28"/>
          <w:szCs w:val="28"/>
          <w:highlight w:val="none"/>
          <w14:textFill>
            <w14:solidFill>
              <w14:schemeClr w14:val="tx1"/>
            </w14:solidFill>
          </w14:textFill>
        </w:rPr>
        <w:t>采购代理机构</w:t>
      </w:r>
      <w:r>
        <w:rPr>
          <w:rFonts w:hint="eastAsia" w:ascii="宋体" w:hAnsi="宋体" w:eastAsia="宋体" w:cs="宋体"/>
          <w:bCs/>
          <w:color w:val="000000" w:themeColor="text1"/>
          <w:sz w:val="28"/>
          <w:szCs w:val="28"/>
          <w:highlight w:val="none"/>
          <w14:textFill>
            <w14:solidFill>
              <w14:schemeClr w14:val="tx1"/>
            </w14:solidFill>
          </w14:textFill>
        </w:rPr>
        <w:t>的答复不满意，或者采购人、</w:t>
      </w:r>
      <w:r>
        <w:rPr>
          <w:rFonts w:hint="eastAsia" w:ascii="宋体" w:hAnsi="宋体" w:eastAsia="宋体" w:cs="宋体"/>
          <w:color w:val="000000" w:themeColor="text1"/>
          <w:sz w:val="28"/>
          <w:szCs w:val="28"/>
          <w:highlight w:val="none"/>
          <w14:textFill>
            <w14:solidFill>
              <w14:schemeClr w14:val="tx1"/>
            </w14:solidFill>
          </w14:textFill>
        </w:rPr>
        <w:t>采购代理机构</w:t>
      </w:r>
      <w:r>
        <w:rPr>
          <w:rFonts w:hint="eastAsia" w:ascii="宋体" w:hAnsi="宋体" w:eastAsia="宋体" w:cs="宋体"/>
          <w:bCs/>
          <w:color w:val="000000" w:themeColor="text1"/>
          <w:sz w:val="28"/>
          <w:szCs w:val="28"/>
          <w:highlight w:val="none"/>
          <w14:textFill>
            <w14:solidFill>
              <w14:schemeClr w14:val="tx1"/>
            </w14:solidFill>
          </w14:textFill>
        </w:rPr>
        <w:t>未在规定期限内做出答复的，供应商可以在答复期满后15个工作日内向哈密市政府采购监督管理部门提起投诉，投诉联系方式见“</w:t>
      </w:r>
      <w:r>
        <w:rPr>
          <w:rFonts w:hint="eastAsia" w:ascii="宋体" w:hAnsi="宋体" w:cs="宋体"/>
          <w:bCs/>
          <w:color w:val="000000" w:themeColor="text1"/>
          <w:sz w:val="28"/>
          <w:szCs w:val="28"/>
          <w:highlight w:val="none"/>
          <w:lang w:eastAsia="zh-CN"/>
          <w14:textFill>
            <w14:solidFill>
              <w14:schemeClr w14:val="tx1"/>
            </w14:solidFill>
          </w14:textFill>
        </w:rPr>
        <w:t>供应商</w:t>
      </w:r>
      <w:r>
        <w:rPr>
          <w:rFonts w:hint="eastAsia" w:ascii="宋体" w:hAnsi="宋体" w:eastAsia="宋体" w:cs="宋体"/>
          <w:bCs/>
          <w:color w:val="000000" w:themeColor="text1"/>
          <w:sz w:val="28"/>
          <w:szCs w:val="28"/>
          <w:highlight w:val="none"/>
          <w14:textFill>
            <w14:solidFill>
              <w14:schemeClr w14:val="tx1"/>
            </w14:solidFill>
          </w14:textFill>
        </w:rPr>
        <w:t>须知前附表”。</w:t>
      </w:r>
    </w:p>
    <w:p w14:paraId="104FC2D6">
      <w:pPr>
        <w:keepNext w:val="0"/>
        <w:keepLines w:val="0"/>
        <w:pageBreakBefore w:val="0"/>
        <w:kinsoku/>
        <w:wordWrap/>
        <w:overflowPunct/>
        <w:topLinePunct w:val="0"/>
        <w:bidi w:val="0"/>
        <w:adjustRightInd/>
        <w:snapToGrid/>
        <w:spacing w:line="560" w:lineRule="exact"/>
        <w:ind w:firstLine="562" w:firstLineChars="200"/>
        <w:jc w:val="both"/>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 xml:space="preserve">38.3.2 </w:t>
      </w:r>
      <w:r>
        <w:rPr>
          <w:rFonts w:hint="eastAsia" w:ascii="宋体" w:hAnsi="宋体" w:eastAsia="宋体" w:cs="宋体"/>
          <w:color w:val="000000" w:themeColor="text1"/>
          <w:sz w:val="28"/>
          <w:szCs w:val="28"/>
          <w:highlight w:val="none"/>
          <w14:textFill>
            <w14:solidFill>
              <w14:schemeClr w14:val="tx1"/>
            </w14:solidFill>
          </w14:textFill>
        </w:rPr>
        <w:t xml:space="preserve"> 投诉人投诉时，应当提交投诉书，并按照被投诉采购人、采购代理机构和与投诉事项有关的供应商数量提供投诉书的副本。投诉书应当包括下列主要内容（如材料中有外文资料应同时附上对应的中文译本）</w:t>
      </w:r>
      <w:r>
        <w:rPr>
          <w:rFonts w:hint="eastAsia" w:ascii="宋体" w:hAnsi="宋体" w:eastAsia="宋体" w:cs="宋体"/>
          <w:bCs/>
          <w:color w:val="000000" w:themeColor="text1"/>
          <w:sz w:val="28"/>
          <w:szCs w:val="28"/>
          <w:highlight w:val="none"/>
          <w14:textFill>
            <w14:solidFill>
              <w14:schemeClr w14:val="tx1"/>
            </w14:solidFill>
          </w14:textFill>
        </w:rPr>
        <w:t>（投诉书格式后附）</w:t>
      </w:r>
      <w:r>
        <w:rPr>
          <w:rFonts w:hint="eastAsia" w:ascii="宋体" w:hAnsi="宋体" w:eastAsia="宋体" w:cs="宋体"/>
          <w:color w:val="000000" w:themeColor="text1"/>
          <w:sz w:val="28"/>
          <w:szCs w:val="28"/>
          <w:highlight w:val="none"/>
          <w14:textFill>
            <w14:solidFill>
              <w14:schemeClr w14:val="tx1"/>
            </w14:solidFill>
          </w14:textFill>
        </w:rPr>
        <w:t>：</w:t>
      </w:r>
    </w:p>
    <w:p w14:paraId="3057594F">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（1）投诉人和被投诉人的名称、地址、邮编、联系人及联系电话等； </w:t>
      </w:r>
    </w:p>
    <w:p w14:paraId="2C5A3EF1">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（2）质疑和质疑答复情况及相关证明材料； </w:t>
      </w:r>
    </w:p>
    <w:p w14:paraId="56C35398">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（3）具体、明确的投诉事项和与投诉事项相关的投诉请求；</w:t>
      </w:r>
    </w:p>
    <w:p w14:paraId="4BDD8A25">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（4）事实依据；</w:t>
      </w:r>
    </w:p>
    <w:p w14:paraId="1D15AE39">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（5）法律依据；</w:t>
      </w:r>
    </w:p>
    <w:p w14:paraId="7A54526F">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（6）提起投诉的日期。</w:t>
      </w:r>
    </w:p>
    <w:p w14:paraId="6702E157">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（7）附件材料：营业执照副本内页复印件（要求证件有效并清晰反映企业法人经营范围；近期连续三个月依法缴纳税收和在职职工社会保障资金证明材料（复印件）。</w:t>
      </w:r>
      <w:r>
        <w:rPr>
          <w:rFonts w:hint="eastAsia" w:ascii="宋体" w:hAnsi="宋体" w:eastAsia="宋体" w:cs="宋体"/>
          <w:color w:val="000000" w:themeColor="text1"/>
          <w:sz w:val="28"/>
          <w:szCs w:val="28"/>
          <w:highlight w:val="none"/>
          <w14:textFill>
            <w14:solidFill>
              <w14:schemeClr w14:val="tx1"/>
            </w14:solidFill>
          </w14:textFill>
        </w:rPr>
        <w:tab/>
      </w:r>
    </w:p>
    <w:p w14:paraId="2FCECE9C">
      <w:pPr>
        <w:keepNext w:val="0"/>
        <w:keepLines w:val="0"/>
        <w:pageBreakBefore w:val="0"/>
        <w:kinsoku/>
        <w:wordWrap/>
        <w:overflowPunct/>
        <w:topLinePunct w:val="0"/>
        <w:bidi w:val="0"/>
        <w:adjustRightInd/>
        <w:snapToGrid/>
        <w:spacing w:line="560" w:lineRule="exact"/>
        <w:ind w:firstLine="562" w:firstLineChars="200"/>
        <w:jc w:val="both"/>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 xml:space="preserve">38.3.3  </w:t>
      </w:r>
      <w:r>
        <w:rPr>
          <w:rFonts w:hint="eastAsia" w:ascii="宋体" w:hAnsi="宋体" w:eastAsia="宋体" w:cs="宋体"/>
          <w:color w:val="000000" w:themeColor="text1"/>
          <w:sz w:val="28"/>
          <w:szCs w:val="28"/>
          <w:highlight w:val="none"/>
          <w14:textFill>
            <w14:solidFill>
              <w14:schemeClr w14:val="tx1"/>
            </w14:solidFill>
          </w14:textFill>
        </w:rPr>
        <w:t>投诉人可以委托代理人办理投诉事务。</w:t>
      </w:r>
      <w:r>
        <w:rPr>
          <w:rFonts w:hint="eastAsia" w:ascii="宋体" w:hAnsi="宋体" w:eastAsia="宋体" w:cs="宋体"/>
          <w:bCs/>
          <w:color w:val="000000" w:themeColor="text1"/>
          <w:sz w:val="28"/>
          <w:szCs w:val="28"/>
          <w:highlight w:val="none"/>
          <w14:textFill>
            <w14:solidFill>
              <w14:schemeClr w14:val="tx1"/>
            </w14:solidFill>
          </w14:textFill>
        </w:rPr>
        <w:t>委托代理人应熟悉相关业务情况。</w:t>
      </w:r>
      <w:r>
        <w:rPr>
          <w:rFonts w:hint="eastAsia" w:ascii="宋体" w:hAnsi="宋体" w:eastAsia="宋体" w:cs="宋体"/>
          <w:color w:val="000000" w:themeColor="text1"/>
          <w:sz w:val="28"/>
          <w:szCs w:val="28"/>
          <w:highlight w:val="none"/>
          <w14:textFill>
            <w14:solidFill>
              <w14:schemeClr w14:val="tx1"/>
            </w14:solidFill>
          </w14:textFill>
        </w:rPr>
        <w:t>代理人办理投诉事务时，除提交投诉书外，还应当提交投诉人的授权委托书和委托代理人身份证明复印件。</w:t>
      </w:r>
    </w:p>
    <w:p w14:paraId="75B9617C">
      <w:pPr>
        <w:keepNext w:val="0"/>
        <w:keepLines w:val="0"/>
        <w:pageBreakBefore w:val="0"/>
        <w:kinsoku/>
        <w:wordWrap/>
        <w:overflowPunct/>
        <w:topLinePunct w:val="0"/>
        <w:bidi w:val="0"/>
        <w:adjustRightInd/>
        <w:snapToGrid/>
        <w:spacing w:line="560" w:lineRule="exact"/>
        <w:ind w:firstLine="562"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38.3.4</w:t>
      </w:r>
      <w:r>
        <w:rPr>
          <w:rFonts w:hint="eastAsia" w:ascii="宋体" w:hAnsi="宋体" w:eastAsia="宋体" w:cs="宋体"/>
          <w:color w:val="000000" w:themeColor="text1"/>
          <w:sz w:val="28"/>
          <w:szCs w:val="28"/>
          <w:highlight w:val="none"/>
          <w14:textFill>
            <w14:solidFill>
              <w14:schemeClr w14:val="tx1"/>
            </w14:solidFill>
          </w14:textFill>
        </w:rPr>
        <w:t xml:space="preserve">  投诉人提起投诉应当符合下列条件：</w:t>
      </w:r>
    </w:p>
    <w:p w14:paraId="2D157AB3">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（1）投诉人是参与所投诉政府采购活动的供应商；</w:t>
      </w:r>
    </w:p>
    <w:p w14:paraId="1B5B4548">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（2）提起投诉前已依法进行质疑；</w:t>
      </w:r>
    </w:p>
    <w:p w14:paraId="221DBFA3">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（3）投诉书内容符合本章第38.3.2项的规定；</w:t>
      </w:r>
    </w:p>
    <w:p w14:paraId="0C078A9A">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（4）在投诉有效期限内提起投诉；</w:t>
      </w:r>
    </w:p>
    <w:p w14:paraId="21614E1E">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（5）属于哈密市伊州区政府采购监督管理部门管辖；</w:t>
      </w:r>
    </w:p>
    <w:p w14:paraId="6A244DE3">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（6）同一投诉事项未经</w:t>
      </w:r>
      <w:r>
        <w:rPr>
          <w:rFonts w:hint="eastAsia" w:ascii="宋体" w:hAnsi="宋体" w:eastAsia="宋体" w:cs="宋体"/>
          <w:bCs/>
          <w:color w:val="000000" w:themeColor="text1"/>
          <w:sz w:val="28"/>
          <w:szCs w:val="28"/>
          <w:highlight w:val="none"/>
          <w14:textFill>
            <w14:solidFill>
              <w14:schemeClr w14:val="tx1"/>
            </w14:solidFill>
          </w14:textFill>
        </w:rPr>
        <w:t>政府采购监督管理部门</w:t>
      </w:r>
      <w:r>
        <w:rPr>
          <w:rFonts w:hint="eastAsia" w:ascii="宋体" w:hAnsi="宋体" w:eastAsia="宋体" w:cs="宋体"/>
          <w:color w:val="000000" w:themeColor="text1"/>
          <w:sz w:val="28"/>
          <w:szCs w:val="28"/>
          <w:highlight w:val="none"/>
          <w14:textFill>
            <w14:solidFill>
              <w14:schemeClr w14:val="tx1"/>
            </w14:solidFill>
          </w14:textFill>
        </w:rPr>
        <w:t>投诉处理；</w:t>
      </w:r>
    </w:p>
    <w:p w14:paraId="362AC97B">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（7）国务院财政部门规定的其他条件。</w:t>
      </w:r>
    </w:p>
    <w:p w14:paraId="04DAE8EC">
      <w:pPr>
        <w:keepNext w:val="0"/>
        <w:keepLines w:val="0"/>
        <w:pageBreakBefore w:val="0"/>
        <w:kinsoku/>
        <w:wordWrap/>
        <w:overflowPunct/>
        <w:topLinePunct w:val="0"/>
        <w:bidi w:val="0"/>
        <w:adjustRightInd/>
        <w:snapToGrid/>
        <w:spacing w:line="560" w:lineRule="exact"/>
        <w:ind w:firstLine="562"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38.3.5</w:t>
      </w:r>
      <w:r>
        <w:rPr>
          <w:rFonts w:hint="eastAsia" w:ascii="宋体" w:hAnsi="宋体" w:eastAsia="宋体" w:cs="宋体"/>
          <w:color w:val="000000" w:themeColor="text1"/>
          <w:sz w:val="28"/>
          <w:szCs w:val="28"/>
          <w:highlight w:val="none"/>
          <w14:textFill>
            <w14:solidFill>
              <w14:schemeClr w14:val="tx1"/>
            </w14:solidFill>
          </w14:textFill>
        </w:rPr>
        <w:t xml:space="preserve">  政府采购监督管理部门自受理投诉之日起30个工作日内，对投诉事项作出处理决定，并以书面形式通知投诉人、被投诉人及其他与投诉处理结果有利害关系的政府采购当事人。并将投诉结果在新疆政府采购网（http://www.ccgp-xinjiang.gov.cn）发布。</w:t>
      </w:r>
    </w:p>
    <w:p w14:paraId="525D65F5">
      <w:pPr>
        <w:keepNext w:val="0"/>
        <w:keepLines w:val="0"/>
        <w:pageBreakBefore w:val="0"/>
        <w:kinsoku/>
        <w:wordWrap/>
        <w:overflowPunct/>
        <w:topLinePunct w:val="0"/>
        <w:bidi w:val="0"/>
        <w:adjustRightInd/>
        <w:snapToGrid/>
        <w:spacing w:line="560" w:lineRule="exact"/>
        <w:ind w:firstLine="562"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38.3.6</w:t>
      </w:r>
      <w:r>
        <w:rPr>
          <w:rFonts w:hint="eastAsia" w:ascii="宋体" w:hAnsi="宋体" w:eastAsia="宋体" w:cs="宋体"/>
          <w:color w:val="000000" w:themeColor="text1"/>
          <w:sz w:val="28"/>
          <w:szCs w:val="28"/>
          <w:highlight w:val="none"/>
          <w14:textFill>
            <w14:solidFill>
              <w14:schemeClr w14:val="tx1"/>
            </w14:solidFill>
          </w14:textFill>
        </w:rPr>
        <w:t xml:space="preserve">  哈密市伊州区政府采购监督管理部门在处理投诉事项期间，可以视具体情况暂停采购活动。</w:t>
      </w:r>
    </w:p>
    <w:p w14:paraId="4230285F">
      <w:pPr>
        <w:pStyle w:val="4"/>
        <w:keepNext w:val="0"/>
        <w:keepLines w:val="0"/>
        <w:pageBreakBefore w:val="0"/>
        <w:kinsoku/>
        <w:wordWrap/>
        <w:overflowPunct/>
        <w:topLinePunct w:val="0"/>
        <w:bidi w:val="0"/>
        <w:adjustRightInd/>
        <w:snapToGrid/>
        <w:spacing w:line="560" w:lineRule="exact"/>
        <w:jc w:val="both"/>
        <w:rPr>
          <w:rFonts w:hint="eastAsia" w:ascii="宋体" w:hAnsi="宋体" w:eastAsia="宋体" w:cs="宋体"/>
          <w:color w:val="000000" w:themeColor="text1"/>
          <w:sz w:val="28"/>
          <w:szCs w:val="28"/>
          <w:highlight w:val="none"/>
          <w14:textFill>
            <w14:solidFill>
              <w14:schemeClr w14:val="tx1"/>
            </w14:solidFill>
          </w14:textFill>
        </w:rPr>
      </w:pPr>
      <w:bookmarkStart w:id="183" w:name="_Toc7720"/>
      <w:r>
        <w:rPr>
          <w:rFonts w:hint="eastAsia" w:ascii="宋体" w:hAnsi="宋体" w:eastAsia="宋体" w:cs="宋体"/>
          <w:color w:val="000000" w:themeColor="text1"/>
          <w:sz w:val="28"/>
          <w:szCs w:val="28"/>
          <w:highlight w:val="none"/>
          <w14:textFill>
            <w14:solidFill>
              <w14:schemeClr w14:val="tx1"/>
            </w14:solidFill>
          </w14:textFill>
        </w:rPr>
        <w:t>八、验收</w:t>
      </w:r>
      <w:bookmarkEnd w:id="183"/>
    </w:p>
    <w:p w14:paraId="75C86592">
      <w:pPr>
        <w:keepNext w:val="0"/>
        <w:keepLines w:val="0"/>
        <w:pageBreakBefore w:val="0"/>
        <w:kinsoku/>
        <w:wordWrap/>
        <w:overflowPunct/>
        <w:topLinePunct w:val="0"/>
        <w:bidi w:val="0"/>
        <w:adjustRightInd/>
        <w:snapToGrid/>
        <w:spacing w:line="560" w:lineRule="exact"/>
        <w:ind w:firstLine="562" w:firstLineChars="200"/>
        <w:jc w:val="both"/>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39.验收</w:t>
      </w:r>
    </w:p>
    <w:p w14:paraId="235A9B6A">
      <w:pPr>
        <w:keepNext w:val="0"/>
        <w:keepLines w:val="0"/>
        <w:pageBreakBefore w:val="0"/>
        <w:tabs>
          <w:tab w:val="left" w:pos="0"/>
        </w:tabs>
        <w:kinsoku/>
        <w:wordWrap/>
        <w:overflowPunct/>
        <w:topLinePunct w:val="0"/>
        <w:bidi w:val="0"/>
        <w:adjustRightInd/>
        <w:snapToGrid/>
        <w:spacing w:line="560" w:lineRule="exact"/>
        <w:ind w:firstLine="48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39.1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D61371A">
      <w:pPr>
        <w:keepNext w:val="0"/>
        <w:keepLines w:val="0"/>
        <w:pageBreakBefore w:val="0"/>
        <w:tabs>
          <w:tab w:val="left" w:pos="0"/>
        </w:tabs>
        <w:kinsoku/>
        <w:wordWrap/>
        <w:overflowPunct/>
        <w:topLinePunct w:val="0"/>
        <w:bidi w:val="0"/>
        <w:adjustRightInd/>
        <w:snapToGrid/>
        <w:spacing w:line="560" w:lineRule="exact"/>
        <w:ind w:firstLine="48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39.2采购人可以邀请参加本项目的其他</w:t>
      </w:r>
      <w:r>
        <w:rPr>
          <w:rFonts w:hint="eastAsia" w:ascii="宋体" w:hAnsi="宋体" w:cs="宋体"/>
          <w:color w:val="000000" w:themeColor="text1"/>
          <w:sz w:val="28"/>
          <w:szCs w:val="28"/>
          <w:highlight w:val="none"/>
          <w:lang w:eastAsia="zh-CN"/>
          <w14:textFill>
            <w14:solidFill>
              <w14:schemeClr w14:val="tx1"/>
            </w14:solidFill>
          </w14:textFill>
        </w:rPr>
        <w:t>供应商</w:t>
      </w:r>
      <w:r>
        <w:rPr>
          <w:rFonts w:hint="eastAsia" w:ascii="宋体" w:hAnsi="宋体" w:eastAsia="宋体" w:cs="宋体"/>
          <w:color w:val="000000" w:themeColor="text1"/>
          <w:sz w:val="28"/>
          <w:szCs w:val="28"/>
          <w:highlight w:val="none"/>
          <w14:textFill>
            <w14:solidFill>
              <w14:schemeClr w14:val="tx1"/>
            </w14:solidFill>
          </w14:textFill>
        </w:rPr>
        <w:t>或者第三方机构参与验收。参与验收的</w:t>
      </w:r>
      <w:r>
        <w:rPr>
          <w:rFonts w:hint="eastAsia" w:ascii="宋体" w:hAnsi="宋体" w:cs="宋体"/>
          <w:color w:val="000000" w:themeColor="text1"/>
          <w:sz w:val="28"/>
          <w:szCs w:val="28"/>
          <w:highlight w:val="none"/>
          <w:lang w:eastAsia="zh-CN"/>
          <w14:textFill>
            <w14:solidFill>
              <w14:schemeClr w14:val="tx1"/>
            </w14:solidFill>
          </w14:textFill>
        </w:rPr>
        <w:t>供应商</w:t>
      </w:r>
      <w:r>
        <w:rPr>
          <w:rFonts w:hint="eastAsia" w:ascii="宋体" w:hAnsi="宋体" w:eastAsia="宋体" w:cs="宋体"/>
          <w:color w:val="000000" w:themeColor="text1"/>
          <w:sz w:val="28"/>
          <w:szCs w:val="28"/>
          <w:highlight w:val="none"/>
          <w14:textFill>
            <w14:solidFill>
              <w14:schemeClr w14:val="tx1"/>
            </w14:solidFill>
          </w14:textFill>
        </w:rPr>
        <w:t>或者第三方机构的意见作为验收书的参考资料一并存档。</w:t>
      </w:r>
    </w:p>
    <w:p w14:paraId="32C5D761">
      <w:pPr>
        <w:keepNext w:val="0"/>
        <w:keepLines w:val="0"/>
        <w:pageBreakBefore w:val="0"/>
        <w:tabs>
          <w:tab w:val="left" w:pos="0"/>
        </w:tabs>
        <w:kinsoku/>
        <w:wordWrap/>
        <w:overflowPunct/>
        <w:topLinePunct w:val="0"/>
        <w:bidi w:val="0"/>
        <w:adjustRightInd/>
        <w:snapToGrid/>
        <w:spacing w:line="560" w:lineRule="exact"/>
        <w:ind w:firstLine="48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39.3严格按照采购合同开展履约验收。采购人成立验收小组，按照采购合同的约定对供应商履约情况进行验收。验收时，按照采购合同的约定对每一项技术、货物、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6472058">
      <w:pPr>
        <w:keepNext w:val="0"/>
        <w:keepLines w:val="0"/>
        <w:pageBreakBefore w:val="0"/>
        <w:tabs>
          <w:tab w:val="left" w:pos="0"/>
        </w:tabs>
        <w:kinsoku/>
        <w:wordWrap/>
        <w:overflowPunct/>
        <w:topLinePunct w:val="0"/>
        <w:bidi w:val="0"/>
        <w:adjustRightInd/>
        <w:snapToGrid/>
        <w:spacing w:line="560" w:lineRule="exact"/>
        <w:ind w:firstLine="48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39.4验收合格的项目，采购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1C7A18FD">
      <w:pPr>
        <w:pStyle w:val="4"/>
        <w:keepNext w:val="0"/>
        <w:keepLines w:val="0"/>
        <w:pageBreakBefore w:val="0"/>
        <w:kinsoku/>
        <w:wordWrap/>
        <w:overflowPunct/>
        <w:topLinePunct w:val="0"/>
        <w:bidi w:val="0"/>
        <w:adjustRightInd/>
        <w:snapToGrid/>
        <w:spacing w:line="560" w:lineRule="exact"/>
        <w:jc w:val="both"/>
        <w:rPr>
          <w:rFonts w:hint="eastAsia" w:ascii="宋体" w:hAnsi="宋体" w:eastAsia="宋体" w:cs="宋体"/>
          <w:color w:val="000000" w:themeColor="text1"/>
          <w:sz w:val="28"/>
          <w:szCs w:val="28"/>
          <w:highlight w:val="none"/>
          <w14:textFill>
            <w14:solidFill>
              <w14:schemeClr w14:val="tx1"/>
            </w14:solidFill>
          </w14:textFill>
        </w:rPr>
      </w:pPr>
      <w:bookmarkStart w:id="184" w:name="_八、其他事项"/>
      <w:bookmarkEnd w:id="184"/>
      <w:bookmarkStart w:id="185" w:name="_Toc1638"/>
      <w:bookmarkStart w:id="186" w:name="_Toc138610896"/>
      <w:r>
        <w:rPr>
          <w:rFonts w:hint="eastAsia" w:ascii="宋体" w:hAnsi="宋体" w:eastAsia="宋体" w:cs="宋体"/>
          <w:color w:val="000000" w:themeColor="text1"/>
          <w:sz w:val="28"/>
          <w:szCs w:val="28"/>
          <w:highlight w:val="none"/>
          <w14:textFill>
            <w14:solidFill>
              <w14:schemeClr w14:val="tx1"/>
            </w14:solidFill>
          </w14:textFill>
        </w:rPr>
        <w:t>九、其他事项</w:t>
      </w:r>
      <w:bookmarkEnd w:id="185"/>
      <w:bookmarkEnd w:id="186"/>
    </w:p>
    <w:p w14:paraId="04D241D5">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bookmarkStart w:id="187" w:name="_42.代理服务费"/>
      <w:bookmarkEnd w:id="187"/>
      <w:r>
        <w:rPr>
          <w:rFonts w:hint="eastAsia" w:ascii="宋体" w:hAnsi="宋体" w:eastAsia="宋体" w:cs="宋体"/>
          <w:color w:val="000000" w:themeColor="text1"/>
          <w:sz w:val="28"/>
          <w:szCs w:val="28"/>
          <w:highlight w:val="none"/>
          <w14:textFill>
            <w14:solidFill>
              <w14:schemeClr w14:val="tx1"/>
            </w14:solidFill>
          </w14:textFill>
        </w:rPr>
        <w:t>40.代理货物费</w:t>
      </w:r>
    </w:p>
    <w:p w14:paraId="4E893338">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b w:val="0"/>
          <w:bCs/>
          <w:color w:val="000000" w:themeColor="text1"/>
          <w:sz w:val="28"/>
          <w:szCs w:val="28"/>
          <w:highlight w:val="none"/>
          <w14:textFill>
            <w14:solidFill>
              <w14:schemeClr w14:val="tx1"/>
            </w14:solidFill>
          </w14:textFill>
        </w:rPr>
      </w:pPr>
      <w:r>
        <w:rPr>
          <w:rFonts w:hint="eastAsia" w:ascii="宋体" w:hAnsi="宋体" w:eastAsia="宋体" w:cs="宋体"/>
          <w:b w:val="0"/>
          <w:bCs/>
          <w:color w:val="000000" w:themeColor="text1"/>
          <w:sz w:val="28"/>
          <w:szCs w:val="28"/>
          <w:highlight w:val="none"/>
          <w14:textFill>
            <w14:solidFill>
              <w14:schemeClr w14:val="tx1"/>
            </w14:solidFill>
          </w14:textFill>
        </w:rPr>
        <w:t>代理货物收费标准及缴费账户详见“</w:t>
      </w:r>
      <w:r>
        <w:rPr>
          <w:rFonts w:hint="eastAsia" w:ascii="宋体" w:hAnsi="宋体" w:cs="宋体"/>
          <w:b w:val="0"/>
          <w:bCs/>
          <w:color w:val="000000" w:themeColor="text1"/>
          <w:sz w:val="28"/>
          <w:szCs w:val="28"/>
          <w:highlight w:val="none"/>
          <w:lang w:eastAsia="zh-CN"/>
          <w14:textFill>
            <w14:solidFill>
              <w14:schemeClr w14:val="tx1"/>
            </w14:solidFill>
          </w14:textFill>
        </w:rPr>
        <w:t>供应商</w:t>
      </w:r>
      <w:r>
        <w:rPr>
          <w:rFonts w:hint="eastAsia" w:ascii="宋体" w:hAnsi="宋体" w:eastAsia="宋体" w:cs="宋体"/>
          <w:b w:val="0"/>
          <w:bCs/>
          <w:color w:val="000000" w:themeColor="text1"/>
          <w:sz w:val="28"/>
          <w:szCs w:val="28"/>
          <w:highlight w:val="none"/>
          <w14:textFill>
            <w14:solidFill>
              <w14:schemeClr w14:val="tx1"/>
            </w14:solidFill>
          </w14:textFill>
        </w:rPr>
        <w:t>须知前附表”，</w:t>
      </w:r>
      <w:r>
        <w:rPr>
          <w:rFonts w:hint="eastAsia" w:ascii="宋体" w:hAnsi="宋体" w:cs="宋体"/>
          <w:b w:val="0"/>
          <w:bCs/>
          <w:color w:val="000000" w:themeColor="text1"/>
          <w:sz w:val="28"/>
          <w:szCs w:val="28"/>
          <w:highlight w:val="none"/>
          <w:lang w:eastAsia="zh-CN"/>
          <w14:textFill>
            <w14:solidFill>
              <w14:schemeClr w14:val="tx1"/>
            </w14:solidFill>
          </w14:textFill>
        </w:rPr>
        <w:t>供应商</w:t>
      </w:r>
      <w:r>
        <w:rPr>
          <w:rFonts w:hint="eastAsia" w:ascii="宋体" w:hAnsi="宋体" w:eastAsia="宋体" w:cs="宋体"/>
          <w:b w:val="0"/>
          <w:bCs/>
          <w:color w:val="000000" w:themeColor="text1"/>
          <w:sz w:val="28"/>
          <w:szCs w:val="28"/>
          <w:highlight w:val="none"/>
          <w14:textFill>
            <w14:solidFill>
              <w14:schemeClr w14:val="tx1"/>
            </w14:solidFill>
          </w14:textFill>
        </w:rPr>
        <w:t>为联合体的，可以由联合体中的一方或者多方共同交纳代理货物费。</w:t>
      </w:r>
    </w:p>
    <w:p w14:paraId="4970F990">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41. 需要补充的其他内容</w:t>
      </w:r>
    </w:p>
    <w:p w14:paraId="2F522864">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41.</w:t>
      </w:r>
      <w:bookmarkStart w:id="188" w:name="_Hlk65857140"/>
      <w:r>
        <w:rPr>
          <w:rFonts w:hint="eastAsia" w:ascii="宋体" w:hAnsi="宋体" w:eastAsia="宋体" w:cs="宋体"/>
          <w:color w:val="000000" w:themeColor="text1"/>
          <w:sz w:val="28"/>
          <w:szCs w:val="28"/>
          <w:highlight w:val="none"/>
          <w14:textFill>
            <w14:solidFill>
              <w14:schemeClr w14:val="tx1"/>
            </w14:solidFill>
          </w14:textFill>
        </w:rPr>
        <w:t>1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由中小企业制造，即货物由中小企业生产且使用该中小企业商号或者注册商标，不对其中涉及的工程承建商和服务的承接商作出要求的，享受本文件规定的中小企业扶持政策。</w:t>
      </w:r>
    </w:p>
    <w:p w14:paraId="6178472F">
      <w:pPr>
        <w:keepNext w:val="0"/>
        <w:keepLines w:val="0"/>
        <w:pageBreakBefore w:val="0"/>
        <w:kinsoku/>
        <w:wordWrap/>
        <w:overflowPunct/>
        <w:topLinePunct w:val="0"/>
        <w:bidi w:val="0"/>
        <w:adjustRightInd/>
        <w:snapToGrid/>
        <w:spacing w:line="560" w:lineRule="exact"/>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在货物采购项目中，供应商提供的货物既有中小企业制造货物，也有大型企业制造货物的，不享受本文件规定的中小企业扶持政策。以联合体形式参加政府采购活动，联合体各方均为中小企业的，联合体视同中小企业。其中，联合体各方均为小微企业的，联合体视同小微企业。</w:t>
      </w:r>
    </w:p>
    <w:p w14:paraId="241E0E75">
      <w:pPr>
        <w:keepNext w:val="0"/>
        <w:keepLines w:val="0"/>
        <w:pageBreakBefore w:val="0"/>
        <w:kinsoku/>
        <w:wordWrap/>
        <w:overflowPunct/>
        <w:topLinePunct w:val="0"/>
        <w:bidi w:val="0"/>
        <w:adjustRightInd/>
        <w:snapToGrid/>
        <w:spacing w:line="560" w:lineRule="exact"/>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依据本文件规定享受扶持政策获得政府采购合同的，小微企业不得将合同分包给大中型企业，中型企业不得将合同分包给大型企业。</w:t>
      </w:r>
      <w:bookmarkEnd w:id="188"/>
    </w:p>
    <w:p w14:paraId="02074FBD">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45.本招标文件解释规则详见“</w:t>
      </w:r>
      <w:r>
        <w:rPr>
          <w:rFonts w:hint="eastAsia" w:ascii="宋体" w:hAnsi="宋体" w:cs="宋体"/>
          <w:color w:val="000000" w:themeColor="text1"/>
          <w:sz w:val="28"/>
          <w:szCs w:val="28"/>
          <w:highlight w:val="none"/>
          <w:lang w:eastAsia="zh-CN"/>
          <w14:textFill>
            <w14:solidFill>
              <w14:schemeClr w14:val="tx1"/>
            </w14:solidFill>
          </w14:textFill>
        </w:rPr>
        <w:t>供应商</w:t>
      </w:r>
      <w:r>
        <w:rPr>
          <w:rFonts w:hint="eastAsia" w:ascii="宋体" w:hAnsi="宋体" w:eastAsia="宋体" w:cs="宋体"/>
          <w:color w:val="000000" w:themeColor="text1"/>
          <w:sz w:val="28"/>
          <w:szCs w:val="28"/>
          <w:highlight w:val="none"/>
          <w14:textFill>
            <w14:solidFill>
              <w14:schemeClr w14:val="tx1"/>
            </w14:solidFill>
          </w14:textFill>
        </w:rPr>
        <w:t>须知前附表”。</w:t>
      </w:r>
    </w:p>
    <w:p w14:paraId="6328D493">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46.其他事项详见“</w:t>
      </w:r>
      <w:r>
        <w:rPr>
          <w:rFonts w:hint="eastAsia" w:ascii="宋体" w:hAnsi="宋体" w:cs="宋体"/>
          <w:color w:val="000000" w:themeColor="text1"/>
          <w:sz w:val="28"/>
          <w:szCs w:val="28"/>
          <w:highlight w:val="none"/>
          <w:lang w:eastAsia="zh-CN"/>
          <w14:textFill>
            <w14:solidFill>
              <w14:schemeClr w14:val="tx1"/>
            </w14:solidFill>
          </w14:textFill>
        </w:rPr>
        <w:t>供应商</w:t>
      </w:r>
      <w:r>
        <w:rPr>
          <w:rFonts w:hint="eastAsia" w:ascii="宋体" w:hAnsi="宋体" w:eastAsia="宋体" w:cs="宋体"/>
          <w:color w:val="000000" w:themeColor="text1"/>
          <w:sz w:val="28"/>
          <w:szCs w:val="28"/>
          <w:highlight w:val="none"/>
          <w14:textFill>
            <w14:solidFill>
              <w14:schemeClr w14:val="tx1"/>
            </w14:solidFill>
          </w14:textFill>
        </w:rPr>
        <w:t>须知前附表”。</w:t>
      </w:r>
    </w:p>
    <w:p w14:paraId="11E5EE16">
      <w:pPr>
        <w:pageBreakBefore w:val="0"/>
        <w:widowControl/>
        <w:wordWrap/>
        <w:topLinePunct w:val="0"/>
        <w:bidi w:val="0"/>
        <w:spacing w:line="560" w:lineRule="exact"/>
        <w:jc w:val="left"/>
        <w:rPr>
          <w:b/>
          <w:color w:val="000000" w:themeColor="text1"/>
          <w:sz w:val="36"/>
          <w:szCs w:val="20"/>
          <w:highlight w:val="none"/>
          <w14:textFill>
            <w14:solidFill>
              <w14:schemeClr w14:val="tx1"/>
            </w14:solidFill>
          </w14:textFill>
        </w:rPr>
      </w:pPr>
      <w:r>
        <w:rPr>
          <w:b/>
          <w:color w:val="000000" w:themeColor="text1"/>
          <w:sz w:val="36"/>
          <w:highlight w:val="none"/>
          <w14:textFill>
            <w14:solidFill>
              <w14:schemeClr w14:val="tx1"/>
            </w14:solidFill>
          </w14:textFill>
        </w:rPr>
        <w:br w:type="page"/>
      </w:r>
    </w:p>
    <w:p w14:paraId="7EE0E8E1">
      <w:pPr>
        <w:pStyle w:val="31"/>
        <w:pageBreakBefore w:val="0"/>
        <w:wordWrap/>
        <w:topLinePunct w:val="0"/>
        <w:bidi w:val="0"/>
        <w:spacing w:before="0" w:after="0" w:line="560" w:lineRule="exact"/>
        <w:rPr>
          <w:color w:val="000000" w:themeColor="text1"/>
          <w:sz w:val="36"/>
          <w:szCs w:val="36"/>
          <w:highlight w:val="none"/>
          <w14:textFill>
            <w14:solidFill>
              <w14:schemeClr w14:val="tx1"/>
            </w14:solidFill>
          </w14:textFill>
        </w:rPr>
      </w:pPr>
      <w:bookmarkStart w:id="189" w:name="_Toc24808"/>
      <w:r>
        <w:rPr>
          <w:rFonts w:hint="eastAsia"/>
          <w:color w:val="000000" w:themeColor="text1"/>
          <w:sz w:val="36"/>
          <w:szCs w:val="36"/>
          <w:highlight w:val="none"/>
          <w14:textFill>
            <w14:solidFill>
              <w14:schemeClr w14:val="tx1"/>
            </w14:solidFill>
          </w14:textFill>
        </w:rPr>
        <w:t>第三章  采购需求</w:t>
      </w:r>
      <w:bookmarkEnd w:id="189"/>
      <w:r>
        <w:rPr>
          <w:rFonts w:hint="eastAsia" w:ascii="宋体" w:hAnsi="宋体" w:eastAsia="宋体" w:cs="宋体"/>
          <w:color w:val="000000" w:themeColor="text1"/>
          <w:sz w:val="36"/>
          <w:szCs w:val="36"/>
          <w:highlight w:val="none"/>
          <w:lang w:eastAsia="zh-CN"/>
          <w14:textFill>
            <w14:solidFill>
              <w14:schemeClr w14:val="tx1"/>
            </w14:solidFill>
          </w14:textFill>
        </w:rPr>
        <w:t>（标项</w:t>
      </w:r>
      <w:r>
        <w:rPr>
          <w:rFonts w:hint="eastAsia" w:ascii="宋体" w:hAnsi="宋体" w:eastAsia="宋体" w:cs="宋体"/>
          <w:color w:val="000000" w:themeColor="text1"/>
          <w:sz w:val="36"/>
          <w:szCs w:val="36"/>
          <w:highlight w:val="none"/>
          <w:lang w:val="en-US" w:eastAsia="zh-CN"/>
          <w14:textFill>
            <w14:solidFill>
              <w14:schemeClr w14:val="tx1"/>
            </w14:solidFill>
          </w14:textFill>
        </w:rPr>
        <w:t>1</w:t>
      </w:r>
      <w:r>
        <w:rPr>
          <w:rFonts w:hint="eastAsia" w:ascii="宋体" w:hAnsi="宋体" w:eastAsia="宋体" w:cs="宋体"/>
          <w:color w:val="000000" w:themeColor="text1"/>
          <w:sz w:val="36"/>
          <w:szCs w:val="36"/>
          <w:highlight w:val="none"/>
          <w:lang w:eastAsia="zh-CN"/>
          <w14:textFill>
            <w14:solidFill>
              <w14:schemeClr w14:val="tx1"/>
            </w14:solidFill>
          </w14:textFill>
        </w:rPr>
        <w:t>）</w:t>
      </w:r>
    </w:p>
    <w:p w14:paraId="3E6087D6">
      <w:pPr>
        <w:keepNext w:val="0"/>
        <w:keepLines w:val="0"/>
        <w:pageBreakBefore w:val="0"/>
        <w:widowControl/>
        <w:kinsoku w:val="0"/>
        <w:wordWrap/>
        <w:overflowPunct/>
        <w:topLinePunct w:val="0"/>
        <w:autoSpaceDE w:val="0"/>
        <w:autoSpaceDN w:val="0"/>
        <w:bidi w:val="0"/>
        <w:adjustRightInd/>
        <w:snapToGrid/>
        <w:spacing w:line="560" w:lineRule="exact"/>
        <w:jc w:val="both"/>
        <w:textAlignment w:val="baseline"/>
        <w:rPr>
          <w:rFonts w:hint="eastAsia" w:ascii="宋体" w:hAnsi="宋体" w:eastAsia="宋体" w:cs="宋体"/>
          <w:b/>
          <w:bCs/>
          <w:color w:val="000000" w:themeColor="text1"/>
          <w:sz w:val="28"/>
          <w:szCs w:val="28"/>
          <w:highlight w:val="none"/>
          <w:lang w:eastAsia="zh-CN"/>
          <w14:textFill>
            <w14:solidFill>
              <w14:schemeClr w14:val="tx1"/>
            </w14:solidFill>
          </w14:textFill>
        </w:rPr>
      </w:pPr>
      <w:r>
        <w:rPr>
          <w:rFonts w:hint="eastAsia" w:ascii="宋体" w:hAnsi="宋体" w:eastAsia="宋体" w:cs="宋体"/>
          <w:b/>
          <w:bCs/>
          <w:color w:val="000000" w:themeColor="text1"/>
          <w:sz w:val="28"/>
          <w:szCs w:val="28"/>
          <w:highlight w:val="none"/>
          <w:lang w:eastAsia="zh-CN"/>
          <w14:textFill>
            <w14:solidFill>
              <w14:schemeClr w14:val="tx1"/>
            </w14:solidFill>
          </w14:textFill>
        </w:rPr>
        <w:t>一、设备购置清单</w:t>
      </w:r>
    </w:p>
    <w:tbl>
      <w:tblPr>
        <w:tblStyle w:val="34"/>
        <w:tblW w:w="921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15"/>
        <w:gridCol w:w="3933"/>
        <w:gridCol w:w="2035"/>
        <w:gridCol w:w="2035"/>
      </w:tblGrid>
      <w:tr w14:paraId="3895B4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1" w:hRule="atLeast"/>
          <w:jc w:val="center"/>
        </w:trPr>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A70D3">
            <w:pPr>
              <w:keepNext w:val="0"/>
              <w:keepLines w:val="0"/>
              <w:pageBreakBefore w:val="0"/>
              <w:widowControl/>
              <w:suppressLineNumbers w:val="0"/>
              <w:wordWrap/>
              <w:overflowPunct/>
              <w:topLinePunct w:val="0"/>
              <w:bidi w:val="0"/>
              <w:adjustRightInd/>
              <w:snapToGrid/>
              <w:spacing w:line="560" w:lineRule="exact"/>
              <w:jc w:val="center"/>
              <w:textAlignment w:val="center"/>
              <w:rPr>
                <w:rFonts w:hint="eastAsia" w:ascii="宋体" w:hAnsi="宋体" w:eastAsia="宋体" w:cs="宋体"/>
                <w:b/>
                <w:bCs/>
                <w:i w:val="0"/>
                <w:iCs w:val="0"/>
                <w:color w:val="000000" w:themeColor="text1"/>
                <w:sz w:val="28"/>
                <w:szCs w:val="28"/>
                <w:highlight w:val="none"/>
                <w:u w:val="none"/>
                <w14:textFill>
                  <w14:solidFill>
                    <w14:schemeClr w14:val="tx1"/>
                  </w14:solidFill>
                </w14:textFill>
              </w:rPr>
            </w:pPr>
            <w:r>
              <w:rPr>
                <w:rFonts w:hint="eastAsia" w:ascii="宋体" w:hAnsi="宋体" w:eastAsia="宋体" w:cs="宋体"/>
                <w:b/>
                <w:bCs/>
                <w:i w:val="0"/>
                <w:iCs w:val="0"/>
                <w:snapToGrid w:val="0"/>
                <w:color w:val="000000" w:themeColor="text1"/>
                <w:kern w:val="0"/>
                <w:sz w:val="28"/>
                <w:szCs w:val="28"/>
                <w:highlight w:val="none"/>
                <w:u w:val="none"/>
                <w:lang w:val="en-US" w:eastAsia="zh-CN" w:bidi="ar"/>
                <w14:textFill>
                  <w14:solidFill>
                    <w14:schemeClr w14:val="tx1"/>
                  </w14:solidFill>
                </w14:textFill>
              </w:rPr>
              <w:t>序号</w:t>
            </w:r>
          </w:p>
        </w:tc>
        <w:tc>
          <w:tcPr>
            <w:tcW w:w="3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49591">
            <w:pPr>
              <w:keepNext w:val="0"/>
              <w:keepLines w:val="0"/>
              <w:pageBreakBefore w:val="0"/>
              <w:widowControl/>
              <w:suppressLineNumbers w:val="0"/>
              <w:wordWrap/>
              <w:overflowPunct/>
              <w:topLinePunct w:val="0"/>
              <w:bidi w:val="0"/>
              <w:adjustRightInd/>
              <w:snapToGrid/>
              <w:spacing w:line="560" w:lineRule="exact"/>
              <w:jc w:val="center"/>
              <w:textAlignment w:val="center"/>
              <w:rPr>
                <w:rFonts w:hint="eastAsia" w:ascii="宋体" w:hAnsi="宋体" w:eastAsia="宋体" w:cs="宋体"/>
                <w:b/>
                <w:bCs/>
                <w:i w:val="0"/>
                <w:iCs w:val="0"/>
                <w:color w:val="000000" w:themeColor="text1"/>
                <w:sz w:val="28"/>
                <w:szCs w:val="28"/>
                <w:highlight w:val="none"/>
                <w:u w:val="none"/>
                <w14:textFill>
                  <w14:solidFill>
                    <w14:schemeClr w14:val="tx1"/>
                  </w14:solidFill>
                </w14:textFill>
              </w:rPr>
            </w:pPr>
            <w:r>
              <w:rPr>
                <w:rFonts w:hint="eastAsia" w:ascii="宋体" w:hAnsi="宋体" w:eastAsia="宋体" w:cs="宋体"/>
                <w:b/>
                <w:bCs/>
                <w:i w:val="0"/>
                <w:iCs w:val="0"/>
                <w:snapToGrid w:val="0"/>
                <w:color w:val="000000" w:themeColor="text1"/>
                <w:kern w:val="0"/>
                <w:sz w:val="28"/>
                <w:szCs w:val="28"/>
                <w:highlight w:val="none"/>
                <w:u w:val="none"/>
                <w:lang w:val="en-US" w:eastAsia="zh-CN" w:bidi="ar"/>
                <w14:textFill>
                  <w14:solidFill>
                    <w14:schemeClr w14:val="tx1"/>
                  </w14:solidFill>
                </w14:textFill>
              </w:rPr>
              <w:t>设备名称</w:t>
            </w:r>
          </w:p>
        </w:tc>
        <w:tc>
          <w:tcPr>
            <w:tcW w:w="2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EBDC3">
            <w:pPr>
              <w:keepNext w:val="0"/>
              <w:keepLines w:val="0"/>
              <w:pageBreakBefore w:val="0"/>
              <w:widowControl/>
              <w:suppressLineNumbers w:val="0"/>
              <w:wordWrap/>
              <w:overflowPunct/>
              <w:topLinePunct w:val="0"/>
              <w:bidi w:val="0"/>
              <w:adjustRightInd/>
              <w:snapToGrid/>
              <w:spacing w:line="560" w:lineRule="exact"/>
              <w:jc w:val="center"/>
              <w:textAlignment w:val="center"/>
              <w:rPr>
                <w:rFonts w:hint="eastAsia" w:ascii="宋体" w:hAnsi="宋体" w:eastAsia="宋体" w:cs="宋体"/>
                <w:b/>
                <w:bCs/>
                <w:i w:val="0"/>
                <w:iCs w:val="0"/>
                <w:color w:val="000000" w:themeColor="text1"/>
                <w:sz w:val="28"/>
                <w:szCs w:val="28"/>
                <w:highlight w:val="none"/>
                <w:u w:val="none"/>
                <w14:textFill>
                  <w14:solidFill>
                    <w14:schemeClr w14:val="tx1"/>
                  </w14:solidFill>
                </w14:textFill>
              </w:rPr>
            </w:pPr>
            <w:r>
              <w:rPr>
                <w:rFonts w:hint="eastAsia" w:ascii="宋体" w:hAnsi="宋体" w:eastAsia="宋体" w:cs="宋体"/>
                <w:b/>
                <w:bCs/>
                <w:i w:val="0"/>
                <w:iCs w:val="0"/>
                <w:snapToGrid w:val="0"/>
                <w:color w:val="000000" w:themeColor="text1"/>
                <w:kern w:val="0"/>
                <w:sz w:val="28"/>
                <w:szCs w:val="28"/>
                <w:highlight w:val="none"/>
                <w:u w:val="none"/>
                <w:lang w:val="en-US" w:eastAsia="zh-CN" w:bidi="ar"/>
                <w14:textFill>
                  <w14:solidFill>
                    <w14:schemeClr w14:val="tx1"/>
                  </w14:solidFill>
                </w14:textFill>
              </w:rPr>
              <w:t>单位</w:t>
            </w:r>
          </w:p>
        </w:tc>
        <w:tc>
          <w:tcPr>
            <w:tcW w:w="2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764E5">
            <w:pPr>
              <w:keepNext w:val="0"/>
              <w:keepLines w:val="0"/>
              <w:pageBreakBefore w:val="0"/>
              <w:widowControl/>
              <w:suppressLineNumbers w:val="0"/>
              <w:wordWrap/>
              <w:overflowPunct/>
              <w:topLinePunct w:val="0"/>
              <w:bidi w:val="0"/>
              <w:adjustRightInd/>
              <w:snapToGrid/>
              <w:spacing w:line="560" w:lineRule="exact"/>
              <w:jc w:val="center"/>
              <w:textAlignment w:val="center"/>
              <w:rPr>
                <w:rFonts w:hint="eastAsia" w:ascii="宋体" w:hAnsi="宋体" w:eastAsia="宋体" w:cs="宋体"/>
                <w:b/>
                <w:bCs/>
                <w:i w:val="0"/>
                <w:iCs w:val="0"/>
                <w:color w:val="000000" w:themeColor="text1"/>
                <w:sz w:val="28"/>
                <w:szCs w:val="28"/>
                <w:highlight w:val="none"/>
                <w:u w:val="none"/>
                <w14:textFill>
                  <w14:solidFill>
                    <w14:schemeClr w14:val="tx1"/>
                  </w14:solidFill>
                </w14:textFill>
              </w:rPr>
            </w:pPr>
            <w:r>
              <w:rPr>
                <w:rFonts w:hint="eastAsia" w:ascii="宋体" w:hAnsi="宋体" w:eastAsia="宋体" w:cs="宋体"/>
                <w:b/>
                <w:bCs/>
                <w:i w:val="0"/>
                <w:iCs w:val="0"/>
                <w:snapToGrid w:val="0"/>
                <w:color w:val="000000" w:themeColor="text1"/>
                <w:kern w:val="0"/>
                <w:sz w:val="28"/>
                <w:szCs w:val="28"/>
                <w:highlight w:val="none"/>
                <w:u w:val="none"/>
                <w:lang w:val="en-US" w:eastAsia="zh-CN" w:bidi="ar"/>
                <w14:textFill>
                  <w14:solidFill>
                    <w14:schemeClr w14:val="tx1"/>
                  </w14:solidFill>
                </w14:textFill>
              </w:rPr>
              <w:t>数量</w:t>
            </w:r>
          </w:p>
        </w:tc>
      </w:tr>
      <w:tr w14:paraId="597CC9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4" w:hRule="atLeast"/>
          <w:jc w:val="center"/>
        </w:trPr>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73117">
            <w:pPr>
              <w:keepNext w:val="0"/>
              <w:keepLines w:val="0"/>
              <w:pageBreakBefore w:val="0"/>
              <w:widowControl/>
              <w:suppressLineNumbers w:val="0"/>
              <w:wordWrap/>
              <w:overflowPunct/>
              <w:topLinePunct w:val="0"/>
              <w:bidi w:val="0"/>
              <w:adjustRightInd/>
              <w:snapToGrid/>
              <w:spacing w:line="560" w:lineRule="exact"/>
              <w:jc w:val="center"/>
              <w:textAlignment w:val="center"/>
              <w:rPr>
                <w:rFonts w:hint="eastAsia" w:ascii="宋体" w:hAnsi="宋体" w:eastAsia="宋体" w:cs="宋体"/>
                <w:i w:val="0"/>
                <w:iCs w:val="0"/>
                <w:color w:val="000000" w:themeColor="text1"/>
                <w:sz w:val="28"/>
                <w:szCs w:val="28"/>
                <w:highlight w:val="none"/>
                <w:u w:val="none"/>
                <w14:textFill>
                  <w14:solidFill>
                    <w14:schemeClr w14:val="tx1"/>
                  </w14:solidFill>
                </w14:textFill>
              </w:rPr>
            </w:pPr>
            <w:r>
              <w:rPr>
                <w:rFonts w:hint="eastAsia" w:ascii="宋体" w:hAnsi="宋体" w:eastAsia="宋体" w:cs="宋体"/>
                <w:i w:val="0"/>
                <w:iCs w:val="0"/>
                <w:snapToGrid w:val="0"/>
                <w:color w:val="000000" w:themeColor="text1"/>
                <w:kern w:val="0"/>
                <w:sz w:val="28"/>
                <w:szCs w:val="28"/>
                <w:highlight w:val="none"/>
                <w:u w:val="none"/>
                <w:lang w:val="en-US" w:eastAsia="zh-CN" w:bidi="ar"/>
                <w14:textFill>
                  <w14:solidFill>
                    <w14:schemeClr w14:val="tx1"/>
                  </w14:solidFill>
                </w14:textFill>
              </w:rPr>
              <w:t>1</w:t>
            </w:r>
          </w:p>
        </w:tc>
        <w:tc>
          <w:tcPr>
            <w:tcW w:w="3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9B9C2">
            <w:pPr>
              <w:keepNext w:val="0"/>
              <w:keepLines w:val="0"/>
              <w:pageBreakBefore w:val="0"/>
              <w:widowControl/>
              <w:suppressLineNumbers w:val="0"/>
              <w:wordWrap/>
              <w:overflowPunct/>
              <w:topLinePunct w:val="0"/>
              <w:bidi w:val="0"/>
              <w:adjustRightInd/>
              <w:snapToGrid/>
              <w:spacing w:line="560" w:lineRule="exact"/>
              <w:jc w:val="center"/>
              <w:textAlignment w:val="center"/>
              <w:rPr>
                <w:rFonts w:hint="default" w:ascii="宋体" w:hAnsi="宋体" w:eastAsia="宋体" w:cs="宋体"/>
                <w:i w:val="0"/>
                <w:iCs w:val="0"/>
                <w:color w:val="000000" w:themeColor="text1"/>
                <w:sz w:val="28"/>
                <w:szCs w:val="28"/>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28"/>
                <w:szCs w:val="28"/>
                <w:highlight w:val="none"/>
                <w:u w:val="none"/>
                <w14:textFill>
                  <w14:solidFill>
                    <w14:schemeClr w14:val="tx1"/>
                  </w14:solidFill>
                </w14:textFill>
              </w:rPr>
              <w:t>十功能自动煎药机</w:t>
            </w:r>
          </w:p>
        </w:tc>
        <w:tc>
          <w:tcPr>
            <w:tcW w:w="2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15C6A">
            <w:pPr>
              <w:keepNext w:val="0"/>
              <w:keepLines w:val="0"/>
              <w:pageBreakBefore w:val="0"/>
              <w:widowControl/>
              <w:suppressLineNumbers w:val="0"/>
              <w:wordWrap/>
              <w:overflowPunct/>
              <w:topLinePunct w:val="0"/>
              <w:bidi w:val="0"/>
              <w:adjustRightInd/>
              <w:snapToGrid/>
              <w:spacing w:line="560" w:lineRule="exact"/>
              <w:jc w:val="center"/>
              <w:textAlignment w:val="center"/>
              <w:rPr>
                <w:rFonts w:hint="eastAsia" w:ascii="宋体" w:hAnsi="宋体" w:eastAsia="宋体" w:cs="宋体"/>
                <w:i w:val="0"/>
                <w:iCs w:val="0"/>
                <w:color w:val="000000" w:themeColor="text1"/>
                <w:sz w:val="28"/>
                <w:szCs w:val="28"/>
                <w:highlight w:val="none"/>
                <w:u w:val="none"/>
                <w14:textFill>
                  <w14:solidFill>
                    <w14:schemeClr w14:val="tx1"/>
                  </w14:solidFill>
                </w14:textFill>
              </w:rPr>
            </w:pPr>
            <w:r>
              <w:rPr>
                <w:rFonts w:hint="eastAsia" w:ascii="宋体" w:hAnsi="宋体" w:eastAsia="宋体" w:cs="宋体"/>
                <w:i w:val="0"/>
                <w:iCs w:val="0"/>
                <w:snapToGrid w:val="0"/>
                <w:color w:val="000000" w:themeColor="text1"/>
                <w:kern w:val="0"/>
                <w:sz w:val="28"/>
                <w:szCs w:val="28"/>
                <w:highlight w:val="none"/>
                <w:u w:val="none"/>
                <w:lang w:val="en-US" w:eastAsia="zh-CN" w:bidi="ar"/>
                <w14:textFill>
                  <w14:solidFill>
                    <w14:schemeClr w14:val="tx1"/>
                  </w14:solidFill>
                </w14:textFill>
              </w:rPr>
              <w:t>台</w:t>
            </w:r>
          </w:p>
        </w:tc>
        <w:tc>
          <w:tcPr>
            <w:tcW w:w="2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4372A">
            <w:pPr>
              <w:keepNext w:val="0"/>
              <w:keepLines w:val="0"/>
              <w:pageBreakBefore w:val="0"/>
              <w:widowControl/>
              <w:suppressLineNumbers w:val="0"/>
              <w:wordWrap/>
              <w:overflowPunct/>
              <w:topLinePunct w:val="0"/>
              <w:bidi w:val="0"/>
              <w:adjustRightInd/>
              <w:snapToGrid/>
              <w:spacing w:line="560" w:lineRule="exact"/>
              <w:jc w:val="center"/>
              <w:textAlignment w:val="center"/>
              <w:rPr>
                <w:rFonts w:hint="eastAsia" w:ascii="宋体" w:hAnsi="宋体" w:eastAsia="宋体" w:cs="宋体"/>
                <w:i w:val="0"/>
                <w:iCs w:val="0"/>
                <w:color w:val="000000" w:themeColor="text1"/>
                <w:sz w:val="28"/>
                <w:szCs w:val="28"/>
                <w:highlight w:val="none"/>
                <w:u w:val="none"/>
                <w:lang w:val="en-US" w:eastAsia="zh-CN"/>
                <w14:textFill>
                  <w14:solidFill>
                    <w14:schemeClr w14:val="tx1"/>
                  </w14:solidFill>
                </w14:textFill>
              </w:rPr>
            </w:pPr>
            <w:r>
              <w:rPr>
                <w:rFonts w:hint="eastAsia" w:ascii="宋体" w:hAnsi="宋体" w:cs="宋体"/>
                <w:i w:val="0"/>
                <w:iCs w:val="0"/>
                <w:color w:val="000000" w:themeColor="text1"/>
                <w:sz w:val="28"/>
                <w:szCs w:val="28"/>
                <w:highlight w:val="none"/>
                <w:u w:val="none"/>
                <w:lang w:val="en-US" w:eastAsia="zh-CN"/>
                <w14:textFill>
                  <w14:solidFill>
                    <w14:schemeClr w14:val="tx1"/>
                  </w14:solidFill>
                </w14:textFill>
              </w:rPr>
              <w:t>3</w:t>
            </w:r>
          </w:p>
        </w:tc>
      </w:tr>
    </w:tbl>
    <w:p w14:paraId="5412FFFD">
      <w:pPr>
        <w:keepNext w:val="0"/>
        <w:keepLines w:val="0"/>
        <w:pageBreakBefore w:val="0"/>
        <w:widowControl/>
        <w:kinsoku w:val="0"/>
        <w:wordWrap/>
        <w:overflowPunct/>
        <w:topLinePunct w:val="0"/>
        <w:autoSpaceDE w:val="0"/>
        <w:autoSpaceDN w:val="0"/>
        <w:bidi w:val="0"/>
        <w:adjustRightInd/>
        <w:snapToGrid/>
        <w:spacing w:line="560" w:lineRule="exact"/>
        <w:jc w:val="both"/>
        <w:textAlignment w:val="baseline"/>
        <w:rPr>
          <w:rFonts w:hint="eastAsia" w:ascii="宋体" w:hAnsi="宋体" w:eastAsia="宋体" w:cs="宋体"/>
          <w:color w:val="000000" w:themeColor="text1"/>
          <w:sz w:val="28"/>
          <w:szCs w:val="28"/>
          <w:highlight w:val="none"/>
          <w:lang w:eastAsia="zh-CN"/>
          <w14:textFill>
            <w14:solidFill>
              <w14:schemeClr w14:val="tx1"/>
            </w14:solidFill>
          </w14:textFill>
        </w:rPr>
      </w:pPr>
    </w:p>
    <w:p w14:paraId="19ABB791">
      <w:pPr>
        <w:keepNext w:val="0"/>
        <w:keepLines w:val="0"/>
        <w:pageBreakBefore w:val="0"/>
        <w:widowControl/>
        <w:kinsoku w:val="0"/>
        <w:wordWrap/>
        <w:overflowPunct/>
        <w:topLinePunct w:val="0"/>
        <w:autoSpaceDE w:val="0"/>
        <w:autoSpaceDN w:val="0"/>
        <w:bidi w:val="0"/>
        <w:adjustRightInd/>
        <w:snapToGrid/>
        <w:spacing w:line="560" w:lineRule="exact"/>
        <w:jc w:val="both"/>
        <w:textAlignment w:val="baseline"/>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bCs/>
          <w:color w:val="000000" w:themeColor="text1"/>
          <w:sz w:val="28"/>
          <w:szCs w:val="28"/>
          <w:highlight w:val="none"/>
          <w:lang w:eastAsia="zh-CN"/>
          <w14:textFill>
            <w14:solidFill>
              <w14:schemeClr w14:val="tx1"/>
            </w14:solidFill>
          </w14:textFill>
        </w:rPr>
        <w:t>二、技术参数</w:t>
      </w:r>
    </w:p>
    <w:p w14:paraId="4124701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自动煎药机</w:t>
      </w:r>
    </w:p>
    <w:p w14:paraId="264F8EB1">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1</w:t>
      </w:r>
      <w:r>
        <w:rPr>
          <w:rFonts w:hint="eastAsia" w:ascii="宋体" w:hAnsi="宋体" w:eastAsia="宋体" w:cs="宋体"/>
          <w:color w:val="000000" w:themeColor="text1"/>
          <w:sz w:val="28"/>
          <w:szCs w:val="28"/>
          <w:highlight w:val="none"/>
          <w14:textFill>
            <w14:solidFill>
              <w14:schemeClr w14:val="tx1"/>
            </w14:solidFill>
          </w14:textFill>
        </w:rPr>
        <w:t>、容量：</w:t>
      </w:r>
      <w:r>
        <w:rPr>
          <w:rFonts w:hint="eastAsia" w:ascii="宋体" w:hAnsi="宋体" w:eastAsia="宋体" w:cs="宋体"/>
          <w:color w:val="000000" w:themeColor="text1"/>
          <w:sz w:val="28"/>
          <w:szCs w:val="28"/>
          <w:highlight w:val="none"/>
          <w:lang w:val="en-US" w:eastAsia="zh-CN"/>
          <w14:textFill>
            <w14:solidFill>
              <w14:schemeClr w14:val="tx1"/>
            </w14:solidFill>
          </w14:textFill>
        </w:rPr>
        <w:t>≥</w:t>
      </w:r>
      <w:r>
        <w:rPr>
          <w:rFonts w:hint="eastAsia" w:ascii="宋体" w:hAnsi="宋体" w:eastAsia="宋体" w:cs="宋体"/>
          <w:color w:val="000000" w:themeColor="text1"/>
          <w:sz w:val="28"/>
          <w:szCs w:val="28"/>
          <w:highlight w:val="none"/>
          <w14:textFill>
            <w14:solidFill>
              <w14:schemeClr w14:val="tx1"/>
            </w14:solidFill>
          </w14:textFill>
        </w:rPr>
        <w:t>30</w:t>
      </w:r>
      <w:r>
        <w:rPr>
          <w:rFonts w:hint="eastAsia" w:ascii="宋体" w:hAnsi="宋体" w:eastAsia="宋体" w:cs="宋体"/>
          <w:color w:val="000000" w:themeColor="text1"/>
          <w:sz w:val="28"/>
          <w:szCs w:val="28"/>
          <w:highlight w:val="none"/>
          <w:lang w:val="en-US" w:eastAsia="zh-CN"/>
          <w14:textFill>
            <w14:solidFill>
              <w14:schemeClr w14:val="tx1"/>
            </w14:solidFill>
          </w14:textFill>
        </w:rPr>
        <w:t>L</w:t>
      </w:r>
    </w:p>
    <w:p w14:paraId="75C41E51">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2</w:t>
      </w:r>
      <w:r>
        <w:rPr>
          <w:rFonts w:hint="eastAsia" w:ascii="宋体" w:hAnsi="宋体" w:eastAsia="宋体" w:cs="宋体"/>
          <w:color w:val="000000" w:themeColor="text1"/>
          <w:sz w:val="28"/>
          <w:szCs w:val="28"/>
          <w:highlight w:val="none"/>
          <w14:textFill>
            <w14:solidFill>
              <w14:schemeClr w14:val="tx1"/>
            </w14:solidFill>
          </w14:textFill>
        </w:rPr>
        <w:t>、功率：</w:t>
      </w:r>
      <w:r>
        <w:rPr>
          <w:rFonts w:hint="eastAsia" w:ascii="宋体" w:hAnsi="宋体" w:eastAsia="宋体" w:cs="宋体"/>
          <w:color w:val="000000" w:themeColor="text1"/>
          <w:sz w:val="28"/>
          <w:szCs w:val="28"/>
          <w:highlight w:val="none"/>
          <w:lang w:val="en-US" w:eastAsia="zh-CN"/>
          <w14:textFill>
            <w14:solidFill>
              <w14:schemeClr w14:val="tx1"/>
            </w14:solidFill>
          </w14:textFill>
        </w:rPr>
        <w:t>约</w:t>
      </w:r>
      <w:r>
        <w:rPr>
          <w:rFonts w:hint="eastAsia" w:ascii="宋体" w:hAnsi="宋体" w:eastAsia="宋体" w:cs="宋体"/>
          <w:color w:val="000000" w:themeColor="text1"/>
          <w:sz w:val="28"/>
          <w:szCs w:val="28"/>
          <w:highlight w:val="none"/>
          <w14:textFill>
            <w14:solidFill>
              <w14:schemeClr w14:val="tx1"/>
            </w14:solidFill>
          </w14:textFill>
        </w:rPr>
        <w:t>3100W</w:t>
      </w:r>
    </w:p>
    <w:p w14:paraId="61E3E780">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3</w:t>
      </w:r>
      <w:r>
        <w:rPr>
          <w:rFonts w:hint="eastAsia" w:ascii="宋体" w:hAnsi="宋体" w:eastAsia="宋体" w:cs="宋体"/>
          <w:color w:val="000000" w:themeColor="text1"/>
          <w:sz w:val="28"/>
          <w:szCs w:val="28"/>
          <w:highlight w:val="none"/>
          <w14:textFill>
            <w14:solidFill>
              <w14:schemeClr w14:val="tx1"/>
            </w14:solidFill>
          </w14:textFill>
        </w:rPr>
        <w:t>、电压：</w:t>
      </w:r>
      <w:r>
        <w:rPr>
          <w:rFonts w:hint="eastAsia" w:ascii="宋体" w:hAnsi="宋体" w:eastAsia="宋体" w:cs="宋体"/>
          <w:color w:val="000000" w:themeColor="text1"/>
          <w:sz w:val="28"/>
          <w:szCs w:val="28"/>
          <w:highlight w:val="none"/>
          <w:lang w:val="zh-CN"/>
          <w14:textFill>
            <w14:solidFill>
              <w14:schemeClr w14:val="tx1"/>
            </w14:solidFill>
          </w14:textFill>
        </w:rPr>
        <w:t>AC220V</w:t>
      </w:r>
    </w:p>
    <w:p w14:paraId="3B4EA051">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4</w:t>
      </w:r>
      <w:r>
        <w:rPr>
          <w:rFonts w:hint="eastAsia" w:ascii="宋体" w:hAnsi="宋体" w:eastAsia="宋体" w:cs="宋体"/>
          <w:color w:val="000000" w:themeColor="text1"/>
          <w:sz w:val="28"/>
          <w:szCs w:val="28"/>
          <w:highlight w:val="none"/>
          <w14:textFill>
            <w14:solidFill>
              <w14:schemeClr w14:val="tx1"/>
            </w14:solidFill>
          </w14:textFill>
        </w:rPr>
        <w:t>、尺寸：</w:t>
      </w:r>
      <w:r>
        <w:rPr>
          <w:rFonts w:hint="eastAsia" w:ascii="宋体" w:hAnsi="宋体" w:eastAsia="宋体" w:cs="宋体"/>
          <w:color w:val="000000" w:themeColor="text1"/>
          <w:sz w:val="28"/>
          <w:szCs w:val="28"/>
          <w:highlight w:val="none"/>
          <w:lang w:val="en-US" w:eastAsia="zh-CN"/>
          <w14:textFill>
            <w14:solidFill>
              <w14:schemeClr w14:val="tx1"/>
            </w14:solidFill>
          </w14:textFill>
        </w:rPr>
        <w:t>约</w:t>
      </w:r>
      <w:r>
        <w:rPr>
          <w:rFonts w:hint="eastAsia" w:ascii="宋体" w:hAnsi="宋体" w:eastAsia="宋体" w:cs="宋体"/>
          <w:color w:val="000000" w:themeColor="text1"/>
          <w:sz w:val="28"/>
          <w:szCs w:val="28"/>
          <w:highlight w:val="none"/>
          <w14:textFill>
            <w14:solidFill>
              <w14:schemeClr w14:val="tx1"/>
            </w14:solidFill>
          </w14:textFill>
        </w:rPr>
        <w:t>725</w:t>
      </w:r>
      <w:r>
        <w:rPr>
          <w:rFonts w:hint="eastAsia" w:ascii="宋体" w:hAnsi="宋体" w:eastAsia="宋体" w:cs="宋体"/>
          <w:color w:val="000000" w:themeColor="text1"/>
          <w:sz w:val="28"/>
          <w:szCs w:val="28"/>
          <w:highlight w:val="none"/>
          <w:lang w:val="en-US" w:eastAsia="zh-CN"/>
          <w14:textFill>
            <w14:solidFill>
              <w14:schemeClr w14:val="tx1"/>
            </w14:solidFill>
          </w14:textFill>
        </w:rPr>
        <w:t>×</w:t>
      </w:r>
      <w:r>
        <w:rPr>
          <w:rFonts w:hint="eastAsia" w:ascii="宋体" w:hAnsi="宋体" w:eastAsia="宋体" w:cs="宋体"/>
          <w:color w:val="000000" w:themeColor="text1"/>
          <w:sz w:val="28"/>
          <w:szCs w:val="28"/>
          <w:highlight w:val="none"/>
          <w14:textFill>
            <w14:solidFill>
              <w14:schemeClr w14:val="tx1"/>
            </w14:solidFill>
          </w14:textFill>
        </w:rPr>
        <w:t>660X1270（mm）</w:t>
      </w:r>
    </w:p>
    <w:p w14:paraId="2A7D7C30">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5</w:t>
      </w:r>
      <w:r>
        <w:rPr>
          <w:rFonts w:hint="eastAsia" w:ascii="宋体" w:hAnsi="宋体" w:eastAsia="宋体" w:cs="宋体"/>
          <w:color w:val="000000" w:themeColor="text1"/>
          <w:sz w:val="28"/>
          <w:szCs w:val="28"/>
          <w:highlight w:val="none"/>
          <w14:textFill>
            <w14:solidFill>
              <w14:schemeClr w14:val="tx1"/>
            </w14:solidFill>
          </w14:textFill>
        </w:rPr>
        <w:t>、符合《煎药机行业标准》的煎药效果有效成份煎出率</w:t>
      </w:r>
      <w:r>
        <w:rPr>
          <w:rFonts w:hint="eastAsia" w:ascii="宋体" w:hAnsi="宋体" w:eastAsia="宋体" w:cs="宋体"/>
          <w:color w:val="000000" w:themeColor="text1"/>
          <w:sz w:val="28"/>
          <w:szCs w:val="28"/>
          <w:highlight w:val="none"/>
          <w:lang w:val="en-US" w:eastAsia="zh-CN"/>
          <w14:textFill>
            <w14:solidFill>
              <w14:schemeClr w14:val="tx1"/>
            </w14:solidFill>
          </w14:textFill>
        </w:rPr>
        <w:t>≥</w:t>
      </w:r>
      <w:r>
        <w:rPr>
          <w:rFonts w:hint="eastAsia" w:ascii="宋体" w:hAnsi="宋体" w:eastAsia="宋体" w:cs="宋体"/>
          <w:color w:val="000000" w:themeColor="text1"/>
          <w:sz w:val="28"/>
          <w:szCs w:val="28"/>
          <w:highlight w:val="none"/>
          <w14:textFill>
            <w14:solidFill>
              <w14:schemeClr w14:val="tx1"/>
            </w14:solidFill>
          </w14:textFill>
        </w:rPr>
        <w:t>50%，以国家认可的相关检测机构出具的检验报告为准；</w:t>
      </w:r>
    </w:p>
    <w:p w14:paraId="25C6152F">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6</w:t>
      </w:r>
      <w:r>
        <w:rPr>
          <w:rFonts w:hint="eastAsia" w:ascii="宋体" w:hAnsi="宋体" w:eastAsia="宋体" w:cs="宋体"/>
          <w:color w:val="000000" w:themeColor="text1"/>
          <w:sz w:val="28"/>
          <w:szCs w:val="28"/>
          <w:highlight w:val="none"/>
          <w14:textFill>
            <w14:solidFill>
              <w14:schemeClr w14:val="tx1"/>
            </w14:solidFill>
          </w14:textFill>
        </w:rPr>
        <w:t>、</w:t>
      </w:r>
      <w:r>
        <w:rPr>
          <w:rFonts w:hint="eastAsia" w:ascii="宋体" w:hAnsi="宋体"/>
          <w:color w:val="000000" w:themeColor="text1"/>
          <w:sz w:val="28"/>
          <w:szCs w:val="28"/>
          <w:highlight w:val="none"/>
          <w14:textFill>
            <w14:solidFill>
              <w14:schemeClr w14:val="tx1"/>
            </w14:solidFill>
          </w14:textFill>
        </w:rPr>
        <w:t>★</w:t>
      </w:r>
      <w:r>
        <w:rPr>
          <w:rFonts w:hint="eastAsia" w:ascii="宋体" w:hAnsi="宋体" w:eastAsia="宋体" w:cs="宋体"/>
          <w:color w:val="000000" w:themeColor="text1"/>
          <w:sz w:val="28"/>
          <w:szCs w:val="28"/>
          <w:highlight w:val="none"/>
          <w14:textFill>
            <w14:solidFill>
              <w14:schemeClr w14:val="tx1"/>
            </w14:solidFill>
          </w14:textFill>
        </w:rPr>
        <w:t>预设</w:t>
      </w:r>
      <w:r>
        <w:rPr>
          <w:rFonts w:hint="eastAsia" w:ascii="宋体" w:hAnsi="宋体" w:eastAsia="宋体" w:cs="宋体"/>
          <w:color w:val="000000" w:themeColor="text1"/>
          <w:sz w:val="28"/>
          <w:szCs w:val="28"/>
          <w:highlight w:val="none"/>
          <w:lang w:val="en-US" w:eastAsia="zh-CN"/>
          <w14:textFill>
            <w14:solidFill>
              <w14:schemeClr w14:val="tx1"/>
            </w14:solidFill>
          </w14:textFill>
        </w:rPr>
        <w:t>≥</w:t>
      </w:r>
      <w:r>
        <w:rPr>
          <w:rFonts w:hint="eastAsia" w:ascii="宋体" w:hAnsi="宋体" w:eastAsia="宋体" w:cs="宋体"/>
          <w:color w:val="000000" w:themeColor="text1"/>
          <w:sz w:val="28"/>
          <w:szCs w:val="28"/>
          <w:highlight w:val="none"/>
          <w14:textFill>
            <w14:solidFill>
              <w14:schemeClr w14:val="tx1"/>
            </w14:solidFill>
          </w14:textFill>
        </w:rPr>
        <w:t>12种煎药方案，并具备联网通讯功能。可支持通讯协议自动设置及实现煎药单据传输等通讯协议；</w:t>
      </w:r>
    </w:p>
    <w:p w14:paraId="3E7AB5BC">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7</w:t>
      </w:r>
      <w:r>
        <w:rPr>
          <w:rFonts w:hint="eastAsia" w:ascii="宋体" w:hAnsi="宋体" w:eastAsia="宋体" w:cs="宋体"/>
          <w:color w:val="000000" w:themeColor="text1"/>
          <w:sz w:val="28"/>
          <w:szCs w:val="28"/>
          <w:highlight w:val="none"/>
          <w14:textFill>
            <w14:solidFill>
              <w14:schemeClr w14:val="tx1"/>
            </w14:solidFill>
          </w14:textFill>
        </w:rPr>
        <w:t>、符合中药煎药室管理规范的相关要求。具有常压煎药功能，自动完成一煎两煎的全过程。可实现二煎煎药，二煎时自动加水，自动清洗。</w:t>
      </w:r>
    </w:p>
    <w:p w14:paraId="487FDBFB">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8</w:t>
      </w:r>
      <w:r>
        <w:rPr>
          <w:rFonts w:hint="eastAsia" w:ascii="宋体" w:hAnsi="宋体" w:eastAsia="宋体" w:cs="宋体"/>
          <w:color w:val="000000" w:themeColor="text1"/>
          <w:sz w:val="28"/>
          <w:szCs w:val="28"/>
          <w:highlight w:val="none"/>
          <w14:textFill>
            <w14:solidFill>
              <w14:schemeClr w14:val="tx1"/>
            </w14:solidFill>
          </w14:textFill>
        </w:rPr>
        <w:t>、</w:t>
      </w:r>
      <w:r>
        <w:rPr>
          <w:rFonts w:hint="eastAsia" w:ascii="宋体" w:hAnsi="宋体" w:eastAsia="宋体" w:cs="宋体"/>
          <w:color w:val="000000" w:themeColor="text1"/>
          <w:sz w:val="28"/>
          <w:szCs w:val="28"/>
          <w:highlight w:val="none"/>
          <w:lang w:val="en-US" w:eastAsia="zh-CN"/>
          <w14:textFill>
            <w14:solidFill>
              <w14:schemeClr w14:val="tx1"/>
            </w14:solidFill>
          </w14:textFill>
        </w:rPr>
        <w:t>具备</w:t>
      </w:r>
      <w:r>
        <w:rPr>
          <w:rFonts w:hint="eastAsia" w:ascii="宋体" w:hAnsi="宋体" w:eastAsia="宋体" w:cs="宋体"/>
          <w:color w:val="000000" w:themeColor="text1"/>
          <w:sz w:val="28"/>
          <w:szCs w:val="28"/>
          <w:highlight w:val="none"/>
          <w14:textFill>
            <w14:solidFill>
              <w14:schemeClr w14:val="tx1"/>
            </w14:solidFill>
          </w14:textFill>
        </w:rPr>
        <w:t>一键式滑盖锁紧装置。</w:t>
      </w:r>
    </w:p>
    <w:p w14:paraId="5393464D">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9</w:t>
      </w:r>
      <w:r>
        <w:rPr>
          <w:rFonts w:hint="eastAsia" w:ascii="宋体" w:hAnsi="宋体" w:eastAsia="宋体" w:cs="宋体"/>
          <w:color w:val="000000" w:themeColor="text1"/>
          <w:sz w:val="28"/>
          <w:szCs w:val="28"/>
          <w:highlight w:val="none"/>
          <w14:textFill>
            <w14:solidFill>
              <w14:schemeClr w14:val="tx1"/>
            </w14:solidFill>
          </w14:textFill>
        </w:rPr>
        <w:t>、</w:t>
      </w:r>
      <w:r>
        <w:rPr>
          <w:rFonts w:hint="eastAsia" w:ascii="宋体" w:hAnsi="宋体"/>
          <w:color w:val="000000" w:themeColor="text1"/>
          <w:sz w:val="28"/>
          <w:szCs w:val="28"/>
          <w:highlight w:val="none"/>
          <w14:textFill>
            <w14:solidFill>
              <w14:schemeClr w14:val="tx1"/>
            </w14:solidFill>
          </w14:textFill>
        </w:rPr>
        <w:t>★</w:t>
      </w:r>
      <w:r>
        <w:rPr>
          <w:rFonts w:hint="eastAsia" w:ascii="宋体" w:hAnsi="宋体" w:eastAsia="宋体" w:cs="宋体"/>
          <w:color w:val="000000" w:themeColor="text1"/>
          <w:sz w:val="28"/>
          <w:szCs w:val="28"/>
          <w:highlight w:val="none"/>
          <w:lang w:val="en-US" w:eastAsia="zh-CN"/>
          <w14:textFill>
            <w14:solidFill>
              <w14:schemeClr w14:val="tx1"/>
            </w14:solidFill>
          </w14:textFill>
        </w:rPr>
        <w:t>具有</w:t>
      </w:r>
      <w:r>
        <w:rPr>
          <w:rFonts w:hint="eastAsia" w:ascii="宋体" w:hAnsi="宋体" w:eastAsia="宋体" w:cs="宋体"/>
          <w:color w:val="000000" w:themeColor="text1"/>
          <w:sz w:val="28"/>
          <w:szCs w:val="28"/>
          <w:highlight w:val="none"/>
          <w14:textFill>
            <w14:solidFill>
              <w14:schemeClr w14:val="tx1"/>
            </w14:solidFill>
          </w14:textFill>
        </w:rPr>
        <w:t>先煎后下提示功能，可实现常压煎药、密闭煎药、循环煎药功能。</w:t>
      </w:r>
    </w:p>
    <w:p w14:paraId="26103800">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w:t>
      </w:r>
      <w:r>
        <w:rPr>
          <w:rFonts w:hint="eastAsia" w:ascii="宋体" w:hAnsi="宋体" w:eastAsia="宋体" w:cs="宋体"/>
          <w:color w:val="000000" w:themeColor="text1"/>
          <w:sz w:val="28"/>
          <w:szCs w:val="28"/>
          <w:highlight w:val="none"/>
          <w:lang w:val="en-US" w:eastAsia="zh-CN"/>
          <w14:textFill>
            <w14:solidFill>
              <w14:schemeClr w14:val="tx1"/>
            </w14:solidFill>
          </w14:textFill>
        </w:rPr>
        <w:t>0</w:t>
      </w:r>
      <w:r>
        <w:rPr>
          <w:rFonts w:hint="eastAsia" w:ascii="宋体" w:hAnsi="宋体" w:eastAsia="宋体" w:cs="宋体"/>
          <w:color w:val="000000" w:themeColor="text1"/>
          <w:sz w:val="28"/>
          <w:szCs w:val="28"/>
          <w:highlight w:val="none"/>
          <w14:textFill>
            <w14:solidFill>
              <w14:schemeClr w14:val="tx1"/>
            </w14:solidFill>
          </w14:textFill>
        </w:rPr>
        <w:t>、</w:t>
      </w:r>
      <w:r>
        <w:rPr>
          <w:rFonts w:hint="eastAsia" w:ascii="宋体" w:hAnsi="宋体" w:eastAsia="宋体" w:cs="宋体"/>
          <w:color w:val="000000" w:themeColor="text1"/>
          <w:sz w:val="28"/>
          <w:szCs w:val="28"/>
          <w:highlight w:val="none"/>
          <w:lang w:val="en-US" w:eastAsia="zh-CN"/>
          <w14:textFill>
            <w14:solidFill>
              <w14:schemeClr w14:val="tx1"/>
            </w14:solidFill>
          </w14:textFill>
        </w:rPr>
        <w:t>具备</w:t>
      </w:r>
      <w:r>
        <w:rPr>
          <w:rFonts w:hint="eastAsia" w:ascii="宋体" w:hAnsi="宋体" w:eastAsia="宋体" w:cs="宋体"/>
          <w:color w:val="000000" w:themeColor="text1"/>
          <w:sz w:val="28"/>
          <w:szCs w:val="28"/>
          <w:highlight w:val="none"/>
          <w14:textFill>
            <w14:solidFill>
              <w14:schemeClr w14:val="tx1"/>
            </w14:solidFill>
          </w14:textFill>
        </w:rPr>
        <w:t>自下往上、双滑道定位的电动机械挤压系统，实现药渣充分分离。</w:t>
      </w:r>
    </w:p>
    <w:p w14:paraId="0457CF8A">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w:t>
      </w:r>
      <w:r>
        <w:rPr>
          <w:rFonts w:hint="eastAsia" w:ascii="宋体" w:hAnsi="宋体" w:eastAsia="宋体" w:cs="宋体"/>
          <w:color w:val="000000" w:themeColor="text1"/>
          <w:sz w:val="28"/>
          <w:szCs w:val="28"/>
          <w:highlight w:val="none"/>
          <w:lang w:val="en-US" w:eastAsia="zh-CN"/>
          <w14:textFill>
            <w14:solidFill>
              <w14:schemeClr w14:val="tx1"/>
            </w14:solidFill>
          </w14:textFill>
        </w:rPr>
        <w:t>1</w:t>
      </w:r>
      <w:r>
        <w:rPr>
          <w:rFonts w:hint="eastAsia" w:ascii="宋体" w:hAnsi="宋体" w:eastAsia="宋体" w:cs="宋体"/>
          <w:color w:val="000000" w:themeColor="text1"/>
          <w:sz w:val="28"/>
          <w:szCs w:val="28"/>
          <w:highlight w:val="none"/>
          <w14:textFill>
            <w14:solidFill>
              <w14:schemeClr w14:val="tx1"/>
            </w14:solidFill>
          </w14:textFill>
        </w:rPr>
        <w:t>、锅体</w:t>
      </w:r>
      <w:r>
        <w:rPr>
          <w:rFonts w:hint="eastAsia" w:ascii="宋体" w:hAnsi="宋体" w:eastAsia="宋体" w:cs="宋体"/>
          <w:color w:val="000000" w:themeColor="text1"/>
          <w:sz w:val="28"/>
          <w:szCs w:val="28"/>
          <w:highlight w:val="none"/>
          <w:lang w:val="en-US" w:eastAsia="zh-CN"/>
          <w14:textFill>
            <w14:solidFill>
              <w14:schemeClr w14:val="tx1"/>
            </w14:solidFill>
          </w14:textFill>
        </w:rPr>
        <w:t>为</w:t>
      </w:r>
      <w:r>
        <w:rPr>
          <w:rFonts w:hint="eastAsia" w:ascii="宋体" w:hAnsi="宋体" w:eastAsia="宋体" w:cs="宋体"/>
          <w:color w:val="000000" w:themeColor="text1"/>
          <w:sz w:val="28"/>
          <w:szCs w:val="28"/>
          <w:highlight w:val="none"/>
          <w14:textFill>
            <w14:solidFill>
              <w14:schemeClr w14:val="tx1"/>
            </w14:solidFill>
          </w14:textFill>
        </w:rPr>
        <w:t>拉伸设计。</w:t>
      </w:r>
    </w:p>
    <w:p w14:paraId="2B08C297">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w:t>
      </w:r>
      <w:r>
        <w:rPr>
          <w:rFonts w:hint="eastAsia" w:ascii="宋体" w:hAnsi="宋体" w:eastAsia="宋体" w:cs="宋体"/>
          <w:color w:val="000000" w:themeColor="text1"/>
          <w:sz w:val="28"/>
          <w:szCs w:val="28"/>
          <w:highlight w:val="none"/>
          <w:lang w:val="en-US" w:eastAsia="zh-CN"/>
          <w14:textFill>
            <w14:solidFill>
              <w14:schemeClr w14:val="tx1"/>
            </w14:solidFill>
          </w14:textFill>
        </w:rPr>
        <w:t>2</w:t>
      </w:r>
      <w:r>
        <w:rPr>
          <w:rFonts w:hint="eastAsia" w:ascii="宋体" w:hAnsi="宋体" w:eastAsia="宋体" w:cs="宋体"/>
          <w:color w:val="000000" w:themeColor="text1"/>
          <w:sz w:val="28"/>
          <w:szCs w:val="28"/>
          <w:highlight w:val="none"/>
          <w14:textFill>
            <w14:solidFill>
              <w14:schemeClr w14:val="tx1"/>
            </w14:solidFill>
          </w14:textFill>
        </w:rPr>
        <w:t>、不锈钢锅体，内置不锈钢二煎储药罐。</w:t>
      </w:r>
    </w:p>
    <w:p w14:paraId="4CA974C9">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w:t>
      </w:r>
      <w:r>
        <w:rPr>
          <w:rFonts w:hint="eastAsia" w:ascii="宋体" w:hAnsi="宋体" w:eastAsia="宋体" w:cs="宋体"/>
          <w:color w:val="000000" w:themeColor="text1"/>
          <w:sz w:val="28"/>
          <w:szCs w:val="28"/>
          <w:highlight w:val="none"/>
          <w:lang w:val="en-US" w:eastAsia="zh-CN"/>
          <w14:textFill>
            <w14:solidFill>
              <w14:schemeClr w14:val="tx1"/>
            </w14:solidFill>
          </w14:textFill>
        </w:rPr>
        <w:t>3</w:t>
      </w:r>
      <w:r>
        <w:rPr>
          <w:rFonts w:hint="eastAsia" w:ascii="宋体" w:hAnsi="宋体" w:eastAsia="宋体" w:cs="宋体"/>
          <w:color w:val="000000" w:themeColor="text1"/>
          <w:sz w:val="28"/>
          <w:szCs w:val="28"/>
          <w:highlight w:val="none"/>
          <w14:textFill>
            <w14:solidFill>
              <w14:schemeClr w14:val="tx1"/>
            </w14:solidFill>
          </w14:textFill>
        </w:rPr>
        <w:t>、具有防温度过高和防干烧功能，数控煎药计时、定时功能。</w:t>
      </w:r>
    </w:p>
    <w:p w14:paraId="3A5C5F7A">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w:t>
      </w:r>
      <w:r>
        <w:rPr>
          <w:rFonts w:hint="eastAsia" w:ascii="宋体" w:hAnsi="宋体" w:eastAsia="宋体" w:cs="宋体"/>
          <w:color w:val="000000" w:themeColor="text1"/>
          <w:sz w:val="28"/>
          <w:szCs w:val="28"/>
          <w:highlight w:val="none"/>
          <w:lang w:val="en-US" w:eastAsia="zh-CN"/>
          <w14:textFill>
            <w14:solidFill>
              <w14:schemeClr w14:val="tx1"/>
            </w14:solidFill>
          </w14:textFill>
        </w:rPr>
        <w:t>4</w:t>
      </w:r>
      <w:r>
        <w:rPr>
          <w:rFonts w:hint="eastAsia" w:ascii="宋体" w:hAnsi="宋体" w:eastAsia="宋体" w:cs="宋体"/>
          <w:color w:val="000000" w:themeColor="text1"/>
          <w:sz w:val="28"/>
          <w:szCs w:val="28"/>
          <w:highlight w:val="none"/>
          <w14:textFill>
            <w14:solidFill>
              <w14:schemeClr w14:val="tx1"/>
            </w14:solidFill>
          </w14:textFill>
        </w:rPr>
        <w:t>、自动加热调节，文火、武火自动转换。</w:t>
      </w:r>
    </w:p>
    <w:p w14:paraId="30B3F637">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w:t>
      </w:r>
      <w:r>
        <w:rPr>
          <w:rFonts w:hint="eastAsia" w:ascii="宋体" w:hAnsi="宋体" w:eastAsia="宋体" w:cs="宋体"/>
          <w:color w:val="000000" w:themeColor="text1"/>
          <w:sz w:val="28"/>
          <w:szCs w:val="28"/>
          <w:highlight w:val="none"/>
          <w:lang w:val="en-US" w:eastAsia="zh-CN"/>
          <w14:textFill>
            <w14:solidFill>
              <w14:schemeClr w14:val="tx1"/>
            </w14:solidFill>
          </w14:textFill>
        </w:rPr>
        <w:t>5</w:t>
      </w:r>
      <w:r>
        <w:rPr>
          <w:rFonts w:hint="eastAsia" w:ascii="宋体" w:hAnsi="宋体" w:eastAsia="宋体" w:cs="宋体"/>
          <w:color w:val="000000" w:themeColor="text1"/>
          <w:sz w:val="28"/>
          <w:szCs w:val="28"/>
          <w:highlight w:val="none"/>
          <w14:textFill>
            <w14:solidFill>
              <w14:schemeClr w14:val="tx1"/>
            </w14:solidFill>
          </w14:textFill>
        </w:rPr>
        <w:t>、具有安全卸压阀，双安全阀超压报警，自动卸压自动闭合。</w:t>
      </w:r>
    </w:p>
    <w:p w14:paraId="0B478110">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w:t>
      </w:r>
      <w:r>
        <w:rPr>
          <w:rFonts w:hint="eastAsia" w:ascii="宋体" w:hAnsi="宋体" w:eastAsia="宋体" w:cs="宋体"/>
          <w:color w:val="000000" w:themeColor="text1"/>
          <w:sz w:val="28"/>
          <w:szCs w:val="28"/>
          <w:highlight w:val="none"/>
          <w:lang w:val="en-US" w:eastAsia="zh-CN"/>
          <w14:textFill>
            <w14:solidFill>
              <w14:schemeClr w14:val="tx1"/>
            </w14:solidFill>
          </w14:textFill>
        </w:rPr>
        <w:t>6</w:t>
      </w:r>
      <w:r>
        <w:rPr>
          <w:rFonts w:hint="eastAsia" w:ascii="宋体" w:hAnsi="宋体" w:eastAsia="宋体" w:cs="宋体"/>
          <w:color w:val="000000" w:themeColor="text1"/>
          <w:sz w:val="28"/>
          <w:szCs w:val="28"/>
          <w:highlight w:val="none"/>
          <w14:textFill>
            <w14:solidFill>
              <w14:schemeClr w14:val="tx1"/>
            </w14:solidFill>
          </w14:textFill>
        </w:rPr>
        <w:t>、</w:t>
      </w:r>
      <w:r>
        <w:rPr>
          <w:rFonts w:hint="eastAsia" w:ascii="宋体" w:hAnsi="宋体"/>
          <w:color w:val="000000" w:themeColor="text1"/>
          <w:sz w:val="28"/>
          <w:szCs w:val="28"/>
          <w:highlight w:val="none"/>
          <w14:textFill>
            <w14:solidFill>
              <w14:schemeClr w14:val="tx1"/>
            </w14:solidFill>
          </w14:textFill>
        </w:rPr>
        <w:t>★</w:t>
      </w:r>
      <w:r>
        <w:rPr>
          <w:rFonts w:hint="eastAsia" w:ascii="宋体" w:hAnsi="宋体" w:eastAsia="宋体" w:cs="宋体"/>
          <w:color w:val="000000" w:themeColor="text1"/>
          <w:sz w:val="28"/>
          <w:szCs w:val="28"/>
          <w:highlight w:val="none"/>
          <w14:textFill>
            <w14:solidFill>
              <w14:schemeClr w14:val="tx1"/>
            </w14:solidFill>
          </w14:textFill>
        </w:rPr>
        <w:t>有蒸汽循环回收功能，煎药蒸汽经风冷冷凝器回收，保障有效成份无损失，无味煎药。</w:t>
      </w:r>
    </w:p>
    <w:p w14:paraId="2F84B9DB">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w:t>
      </w:r>
      <w:r>
        <w:rPr>
          <w:rFonts w:hint="eastAsia" w:ascii="宋体" w:hAnsi="宋体" w:eastAsia="宋体" w:cs="宋体"/>
          <w:color w:val="000000" w:themeColor="text1"/>
          <w:sz w:val="28"/>
          <w:szCs w:val="28"/>
          <w:highlight w:val="none"/>
          <w:lang w:val="en-US" w:eastAsia="zh-CN"/>
          <w14:textFill>
            <w14:solidFill>
              <w14:schemeClr w14:val="tx1"/>
            </w14:solidFill>
          </w14:textFill>
        </w:rPr>
        <w:t>7</w:t>
      </w:r>
      <w:r>
        <w:rPr>
          <w:rFonts w:hint="eastAsia" w:ascii="宋体" w:hAnsi="宋体" w:eastAsia="宋体" w:cs="宋体"/>
          <w:color w:val="000000" w:themeColor="text1"/>
          <w:sz w:val="28"/>
          <w:szCs w:val="28"/>
          <w:highlight w:val="none"/>
          <w14:textFill>
            <w14:solidFill>
              <w14:schemeClr w14:val="tx1"/>
            </w14:solidFill>
          </w14:textFill>
        </w:rPr>
        <w:t>、自动升温灭菌功能，延长药液的保质期。</w:t>
      </w:r>
    </w:p>
    <w:p w14:paraId="2C040A1C">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w:t>
      </w:r>
      <w:r>
        <w:rPr>
          <w:rFonts w:hint="eastAsia" w:ascii="宋体" w:hAnsi="宋体" w:eastAsia="宋体" w:cs="宋体"/>
          <w:color w:val="000000" w:themeColor="text1"/>
          <w:sz w:val="28"/>
          <w:szCs w:val="28"/>
          <w:highlight w:val="none"/>
          <w:lang w:val="en-US" w:eastAsia="zh-CN"/>
          <w14:textFill>
            <w14:solidFill>
              <w14:schemeClr w14:val="tx1"/>
            </w14:solidFill>
          </w14:textFill>
        </w:rPr>
        <w:t>8</w:t>
      </w:r>
      <w:r>
        <w:rPr>
          <w:rFonts w:hint="eastAsia" w:ascii="宋体" w:hAnsi="宋体" w:eastAsia="宋体" w:cs="宋体"/>
          <w:color w:val="000000" w:themeColor="text1"/>
          <w:sz w:val="28"/>
          <w:szCs w:val="28"/>
          <w:highlight w:val="none"/>
          <w14:textFill>
            <w14:solidFill>
              <w14:schemeClr w14:val="tx1"/>
            </w14:solidFill>
          </w14:textFill>
        </w:rPr>
        <w:t>、配备单体包装机。</w:t>
      </w:r>
    </w:p>
    <w:p w14:paraId="4649EC62">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19</w:t>
      </w:r>
      <w:r>
        <w:rPr>
          <w:rFonts w:hint="eastAsia" w:ascii="宋体" w:hAnsi="宋体" w:eastAsia="宋体" w:cs="宋体"/>
          <w:color w:val="000000" w:themeColor="text1"/>
          <w:sz w:val="28"/>
          <w:szCs w:val="28"/>
          <w:highlight w:val="none"/>
          <w14:textFill>
            <w14:solidFill>
              <w14:schemeClr w14:val="tx1"/>
            </w14:solidFill>
          </w14:textFill>
        </w:rPr>
        <w:t>、生产厂家通过ISO9001认证、ISO13485认证。</w:t>
      </w:r>
    </w:p>
    <w:p w14:paraId="7F68D51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配置清单</w:t>
      </w:r>
    </w:p>
    <w:p w14:paraId="7953B14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color w:val="000000" w:themeColor="text1"/>
          <w:sz w:val="28"/>
          <w:szCs w:val="28"/>
          <w:highlight w:val="none"/>
          <w14:textFill>
            <w14:solidFill>
              <w14:schemeClr w14:val="tx1"/>
            </w14:solidFill>
          </w14:textFill>
        </w:rPr>
      </w:pPr>
    </w:p>
    <w:tbl>
      <w:tblPr>
        <w:tblStyle w:val="34"/>
        <w:tblW w:w="98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8"/>
        <w:gridCol w:w="2118"/>
        <w:gridCol w:w="2373"/>
        <w:gridCol w:w="1454"/>
        <w:gridCol w:w="1177"/>
        <w:gridCol w:w="1680"/>
      </w:tblGrid>
      <w:tr w14:paraId="4C2DE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1038" w:type="dxa"/>
            <w:noWrap w:val="0"/>
            <w:vAlign w:val="center"/>
          </w:tcPr>
          <w:p w14:paraId="32216A30">
            <w:pPr>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序号</w:t>
            </w:r>
          </w:p>
        </w:tc>
        <w:tc>
          <w:tcPr>
            <w:tcW w:w="2118" w:type="dxa"/>
            <w:noWrap w:val="0"/>
            <w:vAlign w:val="center"/>
          </w:tcPr>
          <w:p w14:paraId="7B7FA4D9">
            <w:pPr>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名称</w:t>
            </w:r>
          </w:p>
        </w:tc>
        <w:tc>
          <w:tcPr>
            <w:tcW w:w="2373" w:type="dxa"/>
            <w:noWrap w:val="0"/>
            <w:vAlign w:val="center"/>
          </w:tcPr>
          <w:p w14:paraId="145FC604">
            <w:pPr>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型号</w:t>
            </w:r>
          </w:p>
        </w:tc>
        <w:tc>
          <w:tcPr>
            <w:tcW w:w="1454" w:type="dxa"/>
            <w:noWrap w:val="0"/>
            <w:vAlign w:val="center"/>
          </w:tcPr>
          <w:p w14:paraId="7412B667">
            <w:pPr>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材质</w:t>
            </w:r>
          </w:p>
        </w:tc>
        <w:tc>
          <w:tcPr>
            <w:tcW w:w="1177" w:type="dxa"/>
            <w:noWrap w:val="0"/>
            <w:vAlign w:val="center"/>
          </w:tcPr>
          <w:p w14:paraId="4E698B3A">
            <w:pPr>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数量</w:t>
            </w:r>
          </w:p>
        </w:tc>
        <w:tc>
          <w:tcPr>
            <w:tcW w:w="1680" w:type="dxa"/>
            <w:noWrap w:val="0"/>
            <w:vAlign w:val="center"/>
          </w:tcPr>
          <w:p w14:paraId="41EEE030">
            <w:pPr>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备注</w:t>
            </w:r>
          </w:p>
        </w:tc>
      </w:tr>
      <w:tr w14:paraId="2E79A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6" w:hRule="atLeast"/>
        </w:trPr>
        <w:tc>
          <w:tcPr>
            <w:tcW w:w="1038" w:type="dxa"/>
            <w:noWrap w:val="0"/>
            <w:vAlign w:val="center"/>
          </w:tcPr>
          <w:p w14:paraId="5ED68CCF">
            <w:pPr>
              <w:jc w:val="center"/>
              <w:rPr>
                <w:rFonts w:hint="eastAsia" w:ascii="宋体" w:hAnsi="宋体" w:eastAsia="宋体" w:cs="宋体"/>
                <w:color w:val="000000" w:themeColor="text1"/>
                <w:sz w:val="28"/>
                <w:szCs w:val="28"/>
                <w:highlight w:val="none"/>
                <w:lang w:eastAsia="zh-CN"/>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1</w:t>
            </w:r>
          </w:p>
        </w:tc>
        <w:tc>
          <w:tcPr>
            <w:tcW w:w="2118" w:type="dxa"/>
            <w:noWrap w:val="0"/>
            <w:vAlign w:val="center"/>
          </w:tcPr>
          <w:p w14:paraId="036626A4">
            <w:pPr>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随机资料</w:t>
            </w:r>
          </w:p>
        </w:tc>
        <w:tc>
          <w:tcPr>
            <w:tcW w:w="2373" w:type="dxa"/>
            <w:noWrap w:val="0"/>
            <w:vAlign w:val="center"/>
          </w:tcPr>
          <w:p w14:paraId="2989927A">
            <w:pPr>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使用说明书、合格证、保修卡</w:t>
            </w:r>
          </w:p>
        </w:tc>
        <w:tc>
          <w:tcPr>
            <w:tcW w:w="1454" w:type="dxa"/>
            <w:noWrap w:val="0"/>
            <w:vAlign w:val="center"/>
          </w:tcPr>
          <w:p w14:paraId="31D9EF93">
            <w:pPr>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纸</w:t>
            </w:r>
          </w:p>
        </w:tc>
        <w:tc>
          <w:tcPr>
            <w:tcW w:w="1177" w:type="dxa"/>
            <w:noWrap w:val="0"/>
            <w:vAlign w:val="center"/>
          </w:tcPr>
          <w:p w14:paraId="08E6F5EE">
            <w:pPr>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1套</w:t>
            </w:r>
          </w:p>
        </w:tc>
        <w:tc>
          <w:tcPr>
            <w:tcW w:w="1680" w:type="dxa"/>
            <w:noWrap w:val="0"/>
            <w:vAlign w:val="center"/>
          </w:tcPr>
          <w:p w14:paraId="444A0AF4">
            <w:pPr>
              <w:jc w:val="center"/>
              <w:rPr>
                <w:rFonts w:hint="eastAsia" w:ascii="宋体" w:hAnsi="宋体" w:eastAsia="宋体" w:cs="宋体"/>
                <w:color w:val="000000" w:themeColor="text1"/>
                <w:sz w:val="28"/>
                <w:szCs w:val="28"/>
                <w:highlight w:val="none"/>
                <w14:textFill>
                  <w14:solidFill>
                    <w14:schemeClr w14:val="tx1"/>
                  </w14:solidFill>
                </w14:textFill>
              </w:rPr>
            </w:pPr>
          </w:p>
        </w:tc>
      </w:tr>
      <w:tr w14:paraId="5B94B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038" w:type="dxa"/>
            <w:noWrap w:val="0"/>
            <w:vAlign w:val="center"/>
          </w:tcPr>
          <w:p w14:paraId="1EAC4CED">
            <w:pPr>
              <w:jc w:val="center"/>
              <w:rPr>
                <w:rFonts w:hint="eastAsia" w:ascii="宋体" w:hAnsi="宋体" w:eastAsia="宋体" w:cs="宋体"/>
                <w:color w:val="000000" w:themeColor="text1"/>
                <w:sz w:val="28"/>
                <w:szCs w:val="28"/>
                <w:highlight w:val="none"/>
                <w:lang w:eastAsia="zh-CN"/>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2</w:t>
            </w:r>
          </w:p>
        </w:tc>
        <w:tc>
          <w:tcPr>
            <w:tcW w:w="2118" w:type="dxa"/>
            <w:noWrap w:val="0"/>
            <w:vAlign w:val="center"/>
          </w:tcPr>
          <w:p w14:paraId="6B19B1AE">
            <w:pPr>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金属软管</w:t>
            </w:r>
          </w:p>
        </w:tc>
        <w:tc>
          <w:tcPr>
            <w:tcW w:w="2373" w:type="dxa"/>
            <w:noWrap w:val="0"/>
            <w:vAlign w:val="center"/>
          </w:tcPr>
          <w:p w14:paraId="0304ABB9">
            <w:pPr>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1.5m</w:t>
            </w:r>
          </w:p>
        </w:tc>
        <w:tc>
          <w:tcPr>
            <w:tcW w:w="1454" w:type="dxa"/>
            <w:noWrap w:val="0"/>
            <w:vAlign w:val="center"/>
          </w:tcPr>
          <w:p w14:paraId="48FBED5B">
            <w:pPr>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金属丝</w:t>
            </w:r>
          </w:p>
        </w:tc>
        <w:tc>
          <w:tcPr>
            <w:tcW w:w="1177" w:type="dxa"/>
            <w:noWrap w:val="0"/>
            <w:vAlign w:val="center"/>
          </w:tcPr>
          <w:p w14:paraId="1B4DDBFF">
            <w:pPr>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1根</w:t>
            </w:r>
          </w:p>
        </w:tc>
        <w:tc>
          <w:tcPr>
            <w:tcW w:w="1680" w:type="dxa"/>
            <w:noWrap w:val="0"/>
            <w:vAlign w:val="center"/>
          </w:tcPr>
          <w:p w14:paraId="7D4BA11A">
            <w:pPr>
              <w:jc w:val="center"/>
              <w:rPr>
                <w:rFonts w:hint="eastAsia" w:ascii="宋体" w:hAnsi="宋体" w:eastAsia="宋体" w:cs="宋体"/>
                <w:color w:val="000000" w:themeColor="text1"/>
                <w:sz w:val="28"/>
                <w:szCs w:val="28"/>
                <w:highlight w:val="none"/>
                <w14:textFill>
                  <w14:solidFill>
                    <w14:schemeClr w14:val="tx1"/>
                  </w14:solidFill>
                </w14:textFill>
              </w:rPr>
            </w:pPr>
          </w:p>
        </w:tc>
      </w:tr>
      <w:tr w14:paraId="58A89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038" w:type="dxa"/>
            <w:noWrap w:val="0"/>
            <w:vAlign w:val="center"/>
          </w:tcPr>
          <w:p w14:paraId="3D5DBE4B">
            <w:pPr>
              <w:jc w:val="center"/>
              <w:rPr>
                <w:rFonts w:hint="eastAsia" w:ascii="宋体" w:hAnsi="宋体" w:eastAsia="宋体" w:cs="宋体"/>
                <w:color w:val="000000" w:themeColor="text1"/>
                <w:sz w:val="28"/>
                <w:szCs w:val="28"/>
                <w:highlight w:val="none"/>
                <w:lang w:eastAsia="zh-CN"/>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3</w:t>
            </w:r>
          </w:p>
        </w:tc>
        <w:tc>
          <w:tcPr>
            <w:tcW w:w="2118" w:type="dxa"/>
            <w:noWrap w:val="0"/>
            <w:vAlign w:val="center"/>
          </w:tcPr>
          <w:p w14:paraId="13162288">
            <w:pPr>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冷凝管</w:t>
            </w:r>
          </w:p>
        </w:tc>
        <w:tc>
          <w:tcPr>
            <w:tcW w:w="2373" w:type="dxa"/>
            <w:noWrap w:val="0"/>
            <w:vAlign w:val="center"/>
          </w:tcPr>
          <w:p w14:paraId="0B1E5902">
            <w:pPr>
              <w:jc w:val="center"/>
              <w:rPr>
                <w:rFonts w:hint="eastAsia" w:ascii="宋体" w:hAnsi="宋体" w:eastAsia="宋体" w:cs="宋体"/>
                <w:color w:val="000000" w:themeColor="text1"/>
                <w:kern w:val="0"/>
                <w:sz w:val="28"/>
                <w:szCs w:val="28"/>
                <w:highlight w:val="none"/>
                <w:lang w:val="zh-CN"/>
                <w14:textFill>
                  <w14:solidFill>
                    <w14:schemeClr w14:val="tx1"/>
                  </w14:solidFill>
                </w14:textFill>
              </w:rPr>
            </w:pPr>
            <w:r>
              <w:rPr>
                <w:rFonts w:hint="eastAsia" w:ascii="宋体" w:hAnsi="宋体" w:eastAsia="宋体" w:cs="宋体"/>
                <w:color w:val="000000" w:themeColor="text1"/>
                <w:kern w:val="0"/>
                <w:sz w:val="28"/>
                <w:szCs w:val="28"/>
                <w:highlight w:val="none"/>
                <w:lang w:val="zh-CN"/>
                <w14:textFill>
                  <w14:solidFill>
                    <w14:schemeClr w14:val="tx1"/>
                  </w14:solidFill>
                </w14:textFill>
              </w:rPr>
              <w:t>0.5米</w:t>
            </w:r>
          </w:p>
        </w:tc>
        <w:tc>
          <w:tcPr>
            <w:tcW w:w="1454" w:type="dxa"/>
            <w:noWrap w:val="0"/>
            <w:vAlign w:val="center"/>
          </w:tcPr>
          <w:p w14:paraId="6399D67E">
            <w:pPr>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硅胶</w:t>
            </w:r>
          </w:p>
        </w:tc>
        <w:tc>
          <w:tcPr>
            <w:tcW w:w="1177" w:type="dxa"/>
            <w:noWrap w:val="0"/>
            <w:vAlign w:val="center"/>
          </w:tcPr>
          <w:p w14:paraId="6905D1D8">
            <w:pPr>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1根</w:t>
            </w:r>
          </w:p>
        </w:tc>
        <w:tc>
          <w:tcPr>
            <w:tcW w:w="1680" w:type="dxa"/>
            <w:noWrap w:val="0"/>
            <w:vAlign w:val="center"/>
          </w:tcPr>
          <w:p w14:paraId="39F6E1D6">
            <w:pPr>
              <w:jc w:val="center"/>
              <w:rPr>
                <w:rFonts w:hint="eastAsia" w:ascii="宋体" w:hAnsi="宋体" w:eastAsia="宋体" w:cs="宋体"/>
                <w:color w:val="000000" w:themeColor="text1"/>
                <w:sz w:val="28"/>
                <w:szCs w:val="28"/>
                <w:highlight w:val="none"/>
                <w14:textFill>
                  <w14:solidFill>
                    <w14:schemeClr w14:val="tx1"/>
                  </w14:solidFill>
                </w14:textFill>
              </w:rPr>
            </w:pPr>
          </w:p>
        </w:tc>
      </w:tr>
      <w:tr w14:paraId="2EC9C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038" w:type="dxa"/>
            <w:noWrap w:val="0"/>
            <w:vAlign w:val="center"/>
          </w:tcPr>
          <w:p w14:paraId="5AC52826">
            <w:pPr>
              <w:jc w:val="center"/>
              <w:rPr>
                <w:rFonts w:hint="eastAsia" w:ascii="宋体" w:hAnsi="宋体" w:eastAsia="宋体" w:cs="宋体"/>
                <w:color w:val="000000" w:themeColor="text1"/>
                <w:sz w:val="28"/>
                <w:szCs w:val="28"/>
                <w:highlight w:val="none"/>
                <w:lang w:eastAsia="zh-CN"/>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4</w:t>
            </w:r>
          </w:p>
        </w:tc>
        <w:tc>
          <w:tcPr>
            <w:tcW w:w="2118" w:type="dxa"/>
            <w:noWrap w:val="0"/>
            <w:vAlign w:val="center"/>
          </w:tcPr>
          <w:p w14:paraId="03D71C7A">
            <w:pPr>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排水管</w:t>
            </w:r>
          </w:p>
        </w:tc>
        <w:tc>
          <w:tcPr>
            <w:tcW w:w="2373" w:type="dxa"/>
            <w:noWrap w:val="0"/>
            <w:vAlign w:val="center"/>
          </w:tcPr>
          <w:p w14:paraId="49715B23">
            <w:pPr>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kern w:val="0"/>
                <w:sz w:val="28"/>
                <w:szCs w:val="28"/>
                <w:highlight w:val="none"/>
                <w:lang w:val="zh-CN"/>
                <w14:textFill>
                  <w14:solidFill>
                    <w14:schemeClr w14:val="tx1"/>
                  </w14:solidFill>
                </w14:textFill>
              </w:rPr>
              <w:t>Φ</w:t>
            </w:r>
            <w:r>
              <w:rPr>
                <w:rFonts w:hint="eastAsia" w:ascii="宋体" w:hAnsi="宋体" w:eastAsia="宋体" w:cs="宋体"/>
                <w:color w:val="000000" w:themeColor="text1"/>
                <w:sz w:val="28"/>
                <w:szCs w:val="28"/>
                <w:highlight w:val="none"/>
                <w14:textFill>
                  <w14:solidFill>
                    <w14:schemeClr w14:val="tx1"/>
                  </w14:solidFill>
                </w14:textFill>
              </w:rPr>
              <w:t>25mm（外）</w:t>
            </w:r>
          </w:p>
        </w:tc>
        <w:tc>
          <w:tcPr>
            <w:tcW w:w="1454" w:type="dxa"/>
            <w:noWrap w:val="0"/>
            <w:vAlign w:val="center"/>
          </w:tcPr>
          <w:p w14:paraId="4ADA991E">
            <w:pPr>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Pvc</w:t>
            </w:r>
          </w:p>
        </w:tc>
        <w:tc>
          <w:tcPr>
            <w:tcW w:w="1177" w:type="dxa"/>
            <w:noWrap w:val="0"/>
            <w:vAlign w:val="center"/>
          </w:tcPr>
          <w:p w14:paraId="52B39F72">
            <w:pPr>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1根</w:t>
            </w:r>
          </w:p>
        </w:tc>
        <w:tc>
          <w:tcPr>
            <w:tcW w:w="1680" w:type="dxa"/>
            <w:noWrap w:val="0"/>
            <w:vAlign w:val="center"/>
          </w:tcPr>
          <w:p w14:paraId="58BEE1E1">
            <w:pPr>
              <w:jc w:val="center"/>
              <w:rPr>
                <w:rFonts w:hint="eastAsia" w:ascii="宋体" w:hAnsi="宋体" w:eastAsia="宋体" w:cs="宋体"/>
                <w:color w:val="000000" w:themeColor="text1"/>
                <w:sz w:val="28"/>
                <w:szCs w:val="28"/>
                <w:highlight w:val="none"/>
                <w14:textFill>
                  <w14:solidFill>
                    <w14:schemeClr w14:val="tx1"/>
                  </w14:solidFill>
                </w14:textFill>
              </w:rPr>
            </w:pPr>
          </w:p>
        </w:tc>
      </w:tr>
      <w:tr w14:paraId="231B8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038" w:type="dxa"/>
            <w:noWrap w:val="0"/>
            <w:vAlign w:val="center"/>
          </w:tcPr>
          <w:p w14:paraId="2284952D">
            <w:pPr>
              <w:jc w:val="center"/>
              <w:rPr>
                <w:rFonts w:hint="eastAsia" w:ascii="宋体" w:hAnsi="宋体" w:eastAsia="宋体" w:cs="宋体"/>
                <w:color w:val="000000" w:themeColor="text1"/>
                <w:sz w:val="28"/>
                <w:szCs w:val="28"/>
                <w:highlight w:val="none"/>
                <w:lang w:eastAsia="zh-CN"/>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5</w:t>
            </w:r>
          </w:p>
        </w:tc>
        <w:tc>
          <w:tcPr>
            <w:tcW w:w="2118" w:type="dxa"/>
            <w:noWrap w:val="0"/>
            <w:vAlign w:val="center"/>
          </w:tcPr>
          <w:p w14:paraId="65187A19">
            <w:pPr>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卡箍</w:t>
            </w:r>
          </w:p>
        </w:tc>
        <w:tc>
          <w:tcPr>
            <w:tcW w:w="2373" w:type="dxa"/>
            <w:noWrap w:val="0"/>
            <w:vAlign w:val="center"/>
          </w:tcPr>
          <w:p w14:paraId="7A469021">
            <w:pPr>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通用</w:t>
            </w:r>
          </w:p>
        </w:tc>
        <w:tc>
          <w:tcPr>
            <w:tcW w:w="1454" w:type="dxa"/>
            <w:noWrap w:val="0"/>
            <w:vAlign w:val="center"/>
          </w:tcPr>
          <w:p w14:paraId="04F740EF">
            <w:pPr>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碳钢</w:t>
            </w:r>
          </w:p>
        </w:tc>
        <w:tc>
          <w:tcPr>
            <w:tcW w:w="1177" w:type="dxa"/>
            <w:noWrap w:val="0"/>
            <w:vAlign w:val="center"/>
          </w:tcPr>
          <w:p w14:paraId="01832184">
            <w:pPr>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1个</w:t>
            </w:r>
          </w:p>
        </w:tc>
        <w:tc>
          <w:tcPr>
            <w:tcW w:w="1680" w:type="dxa"/>
            <w:noWrap w:val="0"/>
            <w:vAlign w:val="center"/>
          </w:tcPr>
          <w:p w14:paraId="747B4D0D">
            <w:pPr>
              <w:jc w:val="center"/>
              <w:rPr>
                <w:rFonts w:hint="eastAsia" w:ascii="宋体" w:hAnsi="宋体" w:eastAsia="宋体" w:cs="宋体"/>
                <w:color w:val="000000" w:themeColor="text1"/>
                <w:sz w:val="28"/>
                <w:szCs w:val="28"/>
                <w:highlight w:val="none"/>
                <w14:textFill>
                  <w14:solidFill>
                    <w14:schemeClr w14:val="tx1"/>
                  </w14:solidFill>
                </w14:textFill>
              </w:rPr>
            </w:pPr>
          </w:p>
        </w:tc>
      </w:tr>
      <w:tr w14:paraId="315B2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038" w:type="dxa"/>
            <w:noWrap w:val="0"/>
            <w:vAlign w:val="center"/>
          </w:tcPr>
          <w:p w14:paraId="7EA67A40">
            <w:pPr>
              <w:jc w:val="center"/>
              <w:rPr>
                <w:rFonts w:hint="eastAsia" w:ascii="宋体" w:hAnsi="宋体" w:eastAsia="宋体" w:cs="宋体"/>
                <w:color w:val="000000" w:themeColor="text1"/>
                <w:sz w:val="28"/>
                <w:szCs w:val="28"/>
                <w:highlight w:val="none"/>
                <w:lang w:eastAsia="zh-CN"/>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6</w:t>
            </w:r>
          </w:p>
        </w:tc>
        <w:tc>
          <w:tcPr>
            <w:tcW w:w="2118" w:type="dxa"/>
            <w:noWrap w:val="0"/>
            <w:vAlign w:val="center"/>
          </w:tcPr>
          <w:p w14:paraId="2D91BC19">
            <w:pPr>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进水管</w:t>
            </w:r>
          </w:p>
        </w:tc>
        <w:tc>
          <w:tcPr>
            <w:tcW w:w="2373" w:type="dxa"/>
            <w:noWrap w:val="0"/>
            <w:vAlign w:val="center"/>
          </w:tcPr>
          <w:p w14:paraId="1517DE61">
            <w:pPr>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1.5米</w:t>
            </w:r>
          </w:p>
        </w:tc>
        <w:tc>
          <w:tcPr>
            <w:tcW w:w="1454" w:type="dxa"/>
            <w:noWrap w:val="0"/>
            <w:vAlign w:val="center"/>
          </w:tcPr>
          <w:p w14:paraId="3DC02017">
            <w:pPr>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塑料</w:t>
            </w:r>
          </w:p>
        </w:tc>
        <w:tc>
          <w:tcPr>
            <w:tcW w:w="1177" w:type="dxa"/>
            <w:noWrap w:val="0"/>
            <w:vAlign w:val="center"/>
          </w:tcPr>
          <w:p w14:paraId="6B02F05E">
            <w:pPr>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1根</w:t>
            </w:r>
          </w:p>
        </w:tc>
        <w:tc>
          <w:tcPr>
            <w:tcW w:w="1680" w:type="dxa"/>
            <w:noWrap w:val="0"/>
            <w:vAlign w:val="center"/>
          </w:tcPr>
          <w:p w14:paraId="1CE12424">
            <w:pPr>
              <w:jc w:val="center"/>
              <w:rPr>
                <w:rFonts w:hint="eastAsia" w:ascii="宋体" w:hAnsi="宋体" w:eastAsia="宋体" w:cs="宋体"/>
                <w:color w:val="000000" w:themeColor="text1"/>
                <w:sz w:val="28"/>
                <w:szCs w:val="28"/>
                <w:highlight w:val="none"/>
                <w14:textFill>
                  <w14:solidFill>
                    <w14:schemeClr w14:val="tx1"/>
                  </w14:solidFill>
                </w14:textFill>
              </w:rPr>
            </w:pPr>
          </w:p>
        </w:tc>
      </w:tr>
      <w:tr w14:paraId="3B628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038" w:type="dxa"/>
            <w:noWrap w:val="0"/>
            <w:vAlign w:val="center"/>
          </w:tcPr>
          <w:p w14:paraId="6625A6E4">
            <w:pPr>
              <w:jc w:val="center"/>
              <w:rPr>
                <w:rFonts w:hint="eastAsia" w:ascii="宋体" w:hAnsi="宋体" w:eastAsia="宋体" w:cs="宋体"/>
                <w:color w:val="000000" w:themeColor="text1"/>
                <w:sz w:val="28"/>
                <w:szCs w:val="28"/>
                <w:highlight w:val="none"/>
                <w:lang w:eastAsia="zh-CN"/>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7</w:t>
            </w:r>
          </w:p>
        </w:tc>
        <w:tc>
          <w:tcPr>
            <w:tcW w:w="2118" w:type="dxa"/>
            <w:noWrap w:val="0"/>
            <w:vAlign w:val="center"/>
          </w:tcPr>
          <w:p w14:paraId="2F4DCEEE">
            <w:pPr>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挤压盘</w:t>
            </w:r>
          </w:p>
        </w:tc>
        <w:tc>
          <w:tcPr>
            <w:tcW w:w="2373" w:type="dxa"/>
            <w:noWrap w:val="0"/>
            <w:vAlign w:val="center"/>
          </w:tcPr>
          <w:p w14:paraId="0B66201C">
            <w:pPr>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通用自制件</w:t>
            </w:r>
          </w:p>
        </w:tc>
        <w:tc>
          <w:tcPr>
            <w:tcW w:w="1454" w:type="dxa"/>
            <w:noWrap w:val="0"/>
            <w:vAlign w:val="center"/>
          </w:tcPr>
          <w:p w14:paraId="0B641E04">
            <w:pPr>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不锈钢</w:t>
            </w:r>
          </w:p>
        </w:tc>
        <w:tc>
          <w:tcPr>
            <w:tcW w:w="1177" w:type="dxa"/>
            <w:noWrap w:val="0"/>
            <w:vAlign w:val="center"/>
          </w:tcPr>
          <w:p w14:paraId="3E9646E5">
            <w:pPr>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1个</w:t>
            </w:r>
          </w:p>
        </w:tc>
        <w:tc>
          <w:tcPr>
            <w:tcW w:w="1680" w:type="dxa"/>
            <w:noWrap w:val="0"/>
            <w:vAlign w:val="center"/>
          </w:tcPr>
          <w:p w14:paraId="0F9BE649">
            <w:pPr>
              <w:jc w:val="center"/>
              <w:rPr>
                <w:rFonts w:hint="eastAsia" w:ascii="宋体" w:hAnsi="宋体" w:eastAsia="宋体" w:cs="宋体"/>
                <w:color w:val="000000" w:themeColor="text1"/>
                <w:sz w:val="28"/>
                <w:szCs w:val="28"/>
                <w:highlight w:val="none"/>
                <w14:textFill>
                  <w14:solidFill>
                    <w14:schemeClr w14:val="tx1"/>
                  </w14:solidFill>
                </w14:textFill>
              </w:rPr>
            </w:pPr>
          </w:p>
        </w:tc>
      </w:tr>
      <w:tr w14:paraId="02C48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038" w:type="dxa"/>
            <w:noWrap w:val="0"/>
            <w:vAlign w:val="center"/>
          </w:tcPr>
          <w:p w14:paraId="34E72C98">
            <w:pPr>
              <w:jc w:val="center"/>
              <w:rPr>
                <w:rFonts w:hint="eastAsia" w:ascii="宋体" w:hAnsi="宋体" w:eastAsia="宋体" w:cs="宋体"/>
                <w:color w:val="000000" w:themeColor="text1"/>
                <w:sz w:val="28"/>
                <w:szCs w:val="28"/>
                <w:highlight w:val="none"/>
                <w:lang w:eastAsia="zh-CN"/>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8</w:t>
            </w:r>
          </w:p>
        </w:tc>
        <w:tc>
          <w:tcPr>
            <w:tcW w:w="2118" w:type="dxa"/>
            <w:noWrap w:val="0"/>
            <w:vAlign w:val="center"/>
          </w:tcPr>
          <w:p w14:paraId="7B526485">
            <w:pPr>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多孔筒</w:t>
            </w:r>
          </w:p>
        </w:tc>
        <w:tc>
          <w:tcPr>
            <w:tcW w:w="2373" w:type="dxa"/>
            <w:noWrap w:val="0"/>
            <w:vAlign w:val="center"/>
          </w:tcPr>
          <w:p w14:paraId="35563A94">
            <w:pPr>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3万</w:t>
            </w:r>
          </w:p>
        </w:tc>
        <w:tc>
          <w:tcPr>
            <w:tcW w:w="1454" w:type="dxa"/>
            <w:noWrap w:val="0"/>
            <w:vAlign w:val="center"/>
          </w:tcPr>
          <w:p w14:paraId="04739CD8">
            <w:pPr>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不锈钢</w:t>
            </w:r>
          </w:p>
        </w:tc>
        <w:tc>
          <w:tcPr>
            <w:tcW w:w="1177" w:type="dxa"/>
            <w:noWrap w:val="0"/>
            <w:vAlign w:val="center"/>
          </w:tcPr>
          <w:p w14:paraId="1567AA0D">
            <w:pPr>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1个</w:t>
            </w:r>
          </w:p>
        </w:tc>
        <w:tc>
          <w:tcPr>
            <w:tcW w:w="1680" w:type="dxa"/>
            <w:noWrap w:val="0"/>
            <w:vAlign w:val="center"/>
          </w:tcPr>
          <w:p w14:paraId="1D576AD2">
            <w:pPr>
              <w:jc w:val="center"/>
              <w:rPr>
                <w:rFonts w:hint="eastAsia" w:ascii="宋体" w:hAnsi="宋体" w:eastAsia="宋体" w:cs="宋体"/>
                <w:color w:val="000000" w:themeColor="text1"/>
                <w:sz w:val="28"/>
                <w:szCs w:val="28"/>
                <w:highlight w:val="none"/>
                <w14:textFill>
                  <w14:solidFill>
                    <w14:schemeClr w14:val="tx1"/>
                  </w14:solidFill>
                </w14:textFill>
              </w:rPr>
            </w:pPr>
          </w:p>
        </w:tc>
      </w:tr>
      <w:tr w14:paraId="1A9B1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038" w:type="dxa"/>
            <w:noWrap w:val="0"/>
            <w:vAlign w:val="center"/>
          </w:tcPr>
          <w:p w14:paraId="480B1906">
            <w:pPr>
              <w:jc w:val="center"/>
              <w:rPr>
                <w:rFonts w:hint="eastAsia" w:ascii="宋体" w:hAnsi="宋体" w:eastAsia="宋体" w:cs="宋体"/>
                <w:color w:val="000000" w:themeColor="text1"/>
                <w:sz w:val="28"/>
                <w:szCs w:val="28"/>
                <w:highlight w:val="none"/>
                <w:lang w:eastAsia="zh-CN"/>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9</w:t>
            </w:r>
          </w:p>
        </w:tc>
        <w:tc>
          <w:tcPr>
            <w:tcW w:w="2118" w:type="dxa"/>
            <w:noWrap w:val="0"/>
            <w:vAlign w:val="center"/>
          </w:tcPr>
          <w:p w14:paraId="1ED77C31">
            <w:pPr>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药钩</w:t>
            </w:r>
          </w:p>
        </w:tc>
        <w:tc>
          <w:tcPr>
            <w:tcW w:w="2373" w:type="dxa"/>
            <w:noWrap w:val="0"/>
            <w:vAlign w:val="center"/>
          </w:tcPr>
          <w:p w14:paraId="7B879D0D">
            <w:pPr>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通用自制件</w:t>
            </w:r>
          </w:p>
        </w:tc>
        <w:tc>
          <w:tcPr>
            <w:tcW w:w="1454" w:type="dxa"/>
            <w:noWrap w:val="0"/>
            <w:vAlign w:val="center"/>
          </w:tcPr>
          <w:p w14:paraId="55A3711E">
            <w:pPr>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不锈钢</w:t>
            </w:r>
          </w:p>
        </w:tc>
        <w:tc>
          <w:tcPr>
            <w:tcW w:w="1177" w:type="dxa"/>
            <w:noWrap w:val="0"/>
            <w:vAlign w:val="center"/>
          </w:tcPr>
          <w:p w14:paraId="27774439">
            <w:pPr>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1个</w:t>
            </w:r>
          </w:p>
        </w:tc>
        <w:tc>
          <w:tcPr>
            <w:tcW w:w="1680" w:type="dxa"/>
            <w:noWrap w:val="0"/>
            <w:vAlign w:val="center"/>
          </w:tcPr>
          <w:p w14:paraId="1B08C94A">
            <w:pPr>
              <w:jc w:val="center"/>
              <w:rPr>
                <w:rFonts w:hint="eastAsia" w:ascii="宋体" w:hAnsi="宋体" w:eastAsia="宋体" w:cs="宋体"/>
                <w:color w:val="000000" w:themeColor="text1"/>
                <w:sz w:val="28"/>
                <w:szCs w:val="28"/>
                <w:highlight w:val="none"/>
                <w14:textFill>
                  <w14:solidFill>
                    <w14:schemeClr w14:val="tx1"/>
                  </w14:solidFill>
                </w14:textFill>
              </w:rPr>
            </w:pPr>
          </w:p>
        </w:tc>
      </w:tr>
      <w:tr w14:paraId="264D4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038" w:type="dxa"/>
            <w:noWrap w:val="0"/>
            <w:vAlign w:val="center"/>
          </w:tcPr>
          <w:p w14:paraId="7B676BBB">
            <w:pPr>
              <w:jc w:val="center"/>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w:t>
            </w:r>
            <w:r>
              <w:rPr>
                <w:rFonts w:hint="eastAsia" w:ascii="宋体" w:hAnsi="宋体" w:eastAsia="宋体" w:cs="宋体"/>
                <w:color w:val="000000" w:themeColor="text1"/>
                <w:sz w:val="28"/>
                <w:szCs w:val="28"/>
                <w:highlight w:val="none"/>
                <w:lang w:val="en-US" w:eastAsia="zh-CN"/>
                <w14:textFill>
                  <w14:solidFill>
                    <w14:schemeClr w14:val="tx1"/>
                  </w14:solidFill>
                </w14:textFill>
              </w:rPr>
              <w:t>0</w:t>
            </w:r>
          </w:p>
        </w:tc>
        <w:tc>
          <w:tcPr>
            <w:tcW w:w="2118" w:type="dxa"/>
            <w:noWrap w:val="0"/>
            <w:vAlign w:val="center"/>
          </w:tcPr>
          <w:p w14:paraId="6CECE0EF">
            <w:pPr>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药袋</w:t>
            </w:r>
          </w:p>
        </w:tc>
        <w:tc>
          <w:tcPr>
            <w:tcW w:w="2373" w:type="dxa"/>
            <w:noWrap w:val="0"/>
            <w:vAlign w:val="center"/>
          </w:tcPr>
          <w:p w14:paraId="24A3725C">
            <w:pPr>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2万</w:t>
            </w:r>
          </w:p>
        </w:tc>
        <w:tc>
          <w:tcPr>
            <w:tcW w:w="1454" w:type="dxa"/>
            <w:noWrap w:val="0"/>
            <w:vAlign w:val="center"/>
          </w:tcPr>
          <w:p w14:paraId="7BD86182">
            <w:pPr>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布</w:t>
            </w:r>
          </w:p>
        </w:tc>
        <w:tc>
          <w:tcPr>
            <w:tcW w:w="1177" w:type="dxa"/>
            <w:noWrap w:val="0"/>
            <w:vAlign w:val="center"/>
          </w:tcPr>
          <w:p w14:paraId="3DE579B7">
            <w:pPr>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2个</w:t>
            </w:r>
          </w:p>
        </w:tc>
        <w:tc>
          <w:tcPr>
            <w:tcW w:w="1680" w:type="dxa"/>
            <w:noWrap w:val="0"/>
            <w:vAlign w:val="center"/>
          </w:tcPr>
          <w:p w14:paraId="4E62852C">
            <w:pPr>
              <w:jc w:val="center"/>
              <w:rPr>
                <w:rFonts w:hint="eastAsia" w:ascii="宋体" w:hAnsi="宋体" w:eastAsia="宋体" w:cs="宋体"/>
                <w:color w:val="000000" w:themeColor="text1"/>
                <w:sz w:val="28"/>
                <w:szCs w:val="28"/>
                <w:highlight w:val="none"/>
                <w14:textFill>
                  <w14:solidFill>
                    <w14:schemeClr w14:val="tx1"/>
                  </w14:solidFill>
                </w14:textFill>
              </w:rPr>
            </w:pPr>
          </w:p>
        </w:tc>
      </w:tr>
      <w:tr w14:paraId="3651C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038" w:type="dxa"/>
            <w:noWrap w:val="0"/>
            <w:vAlign w:val="center"/>
          </w:tcPr>
          <w:p w14:paraId="2FF737CF">
            <w:pPr>
              <w:jc w:val="center"/>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w:t>
            </w:r>
            <w:r>
              <w:rPr>
                <w:rFonts w:hint="eastAsia" w:ascii="宋体" w:hAnsi="宋体" w:eastAsia="宋体" w:cs="宋体"/>
                <w:color w:val="000000" w:themeColor="text1"/>
                <w:sz w:val="28"/>
                <w:szCs w:val="28"/>
                <w:highlight w:val="none"/>
                <w:lang w:val="en-US" w:eastAsia="zh-CN"/>
                <w14:textFill>
                  <w14:solidFill>
                    <w14:schemeClr w14:val="tx1"/>
                  </w14:solidFill>
                </w14:textFill>
              </w:rPr>
              <w:t>1</w:t>
            </w:r>
          </w:p>
        </w:tc>
        <w:tc>
          <w:tcPr>
            <w:tcW w:w="2118" w:type="dxa"/>
            <w:noWrap w:val="0"/>
            <w:vAlign w:val="center"/>
          </w:tcPr>
          <w:p w14:paraId="397ED621">
            <w:pPr>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通针</w:t>
            </w:r>
          </w:p>
        </w:tc>
        <w:tc>
          <w:tcPr>
            <w:tcW w:w="2373" w:type="dxa"/>
            <w:noWrap w:val="0"/>
            <w:vAlign w:val="center"/>
          </w:tcPr>
          <w:p w14:paraId="117B92BE">
            <w:pPr>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通用自制件</w:t>
            </w:r>
          </w:p>
        </w:tc>
        <w:tc>
          <w:tcPr>
            <w:tcW w:w="1454" w:type="dxa"/>
            <w:noWrap w:val="0"/>
            <w:vAlign w:val="center"/>
          </w:tcPr>
          <w:p w14:paraId="796449FD">
            <w:pPr>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不锈钢</w:t>
            </w:r>
          </w:p>
        </w:tc>
        <w:tc>
          <w:tcPr>
            <w:tcW w:w="1177" w:type="dxa"/>
            <w:noWrap w:val="0"/>
            <w:vAlign w:val="center"/>
          </w:tcPr>
          <w:p w14:paraId="3C8BD4B0">
            <w:pPr>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1个</w:t>
            </w:r>
          </w:p>
        </w:tc>
        <w:tc>
          <w:tcPr>
            <w:tcW w:w="1680" w:type="dxa"/>
            <w:noWrap w:val="0"/>
            <w:vAlign w:val="center"/>
          </w:tcPr>
          <w:p w14:paraId="3AC2ECDC">
            <w:pPr>
              <w:jc w:val="center"/>
              <w:rPr>
                <w:rFonts w:hint="eastAsia" w:ascii="宋体" w:hAnsi="宋体" w:eastAsia="宋体" w:cs="宋体"/>
                <w:color w:val="000000" w:themeColor="text1"/>
                <w:sz w:val="28"/>
                <w:szCs w:val="28"/>
                <w:highlight w:val="none"/>
                <w14:textFill>
                  <w14:solidFill>
                    <w14:schemeClr w14:val="tx1"/>
                  </w14:solidFill>
                </w14:textFill>
              </w:rPr>
            </w:pPr>
          </w:p>
        </w:tc>
      </w:tr>
      <w:tr w14:paraId="53023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1038" w:type="dxa"/>
            <w:noWrap w:val="0"/>
            <w:vAlign w:val="center"/>
          </w:tcPr>
          <w:p w14:paraId="48998430">
            <w:pPr>
              <w:jc w:val="center"/>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w:t>
            </w:r>
            <w:r>
              <w:rPr>
                <w:rFonts w:hint="eastAsia" w:ascii="宋体" w:hAnsi="宋体" w:eastAsia="宋体" w:cs="宋体"/>
                <w:color w:val="000000" w:themeColor="text1"/>
                <w:sz w:val="28"/>
                <w:szCs w:val="28"/>
                <w:highlight w:val="none"/>
                <w:lang w:val="en-US" w:eastAsia="zh-CN"/>
                <w14:textFill>
                  <w14:solidFill>
                    <w14:schemeClr w14:val="tx1"/>
                  </w14:solidFill>
                </w14:textFill>
              </w:rPr>
              <w:t>2</w:t>
            </w:r>
          </w:p>
        </w:tc>
        <w:tc>
          <w:tcPr>
            <w:tcW w:w="2118" w:type="dxa"/>
            <w:noWrap w:val="0"/>
            <w:vAlign w:val="center"/>
          </w:tcPr>
          <w:p w14:paraId="5496DD7A">
            <w:pPr>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挤压罩</w:t>
            </w:r>
          </w:p>
        </w:tc>
        <w:tc>
          <w:tcPr>
            <w:tcW w:w="2373" w:type="dxa"/>
            <w:noWrap w:val="0"/>
            <w:vAlign w:val="center"/>
          </w:tcPr>
          <w:p w14:paraId="375957B7">
            <w:pPr>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3万</w:t>
            </w:r>
          </w:p>
        </w:tc>
        <w:tc>
          <w:tcPr>
            <w:tcW w:w="1454" w:type="dxa"/>
            <w:noWrap w:val="0"/>
            <w:vAlign w:val="center"/>
          </w:tcPr>
          <w:p w14:paraId="35719124">
            <w:pPr>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不锈钢</w:t>
            </w:r>
          </w:p>
        </w:tc>
        <w:tc>
          <w:tcPr>
            <w:tcW w:w="1177" w:type="dxa"/>
            <w:noWrap w:val="0"/>
            <w:vAlign w:val="center"/>
          </w:tcPr>
          <w:p w14:paraId="19C4A60B">
            <w:pPr>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1个</w:t>
            </w:r>
          </w:p>
        </w:tc>
        <w:tc>
          <w:tcPr>
            <w:tcW w:w="1680" w:type="dxa"/>
            <w:noWrap w:val="0"/>
            <w:vAlign w:val="center"/>
          </w:tcPr>
          <w:p w14:paraId="5EB29EF9">
            <w:pPr>
              <w:jc w:val="center"/>
              <w:rPr>
                <w:rFonts w:hint="eastAsia" w:ascii="宋体" w:hAnsi="宋体" w:eastAsia="宋体" w:cs="宋体"/>
                <w:color w:val="000000" w:themeColor="text1"/>
                <w:sz w:val="28"/>
                <w:szCs w:val="28"/>
                <w:highlight w:val="none"/>
                <w14:textFill>
                  <w14:solidFill>
                    <w14:schemeClr w14:val="tx1"/>
                  </w14:solidFill>
                </w14:textFill>
              </w:rPr>
            </w:pPr>
          </w:p>
        </w:tc>
      </w:tr>
    </w:tbl>
    <w:p w14:paraId="13A888AB">
      <w:pPr>
        <w:bidi w:val="0"/>
        <w:rPr>
          <w:rFonts w:hint="eastAsia"/>
          <w:color w:val="000000" w:themeColor="text1"/>
          <w14:textFill>
            <w14:solidFill>
              <w14:schemeClr w14:val="tx1"/>
            </w14:solidFill>
          </w14:textFill>
        </w:rPr>
      </w:pPr>
      <w:bookmarkStart w:id="190" w:name="_Toc532545043"/>
      <w:bookmarkStart w:id="191" w:name="_Toc25374"/>
    </w:p>
    <w:p w14:paraId="3993E0B8">
      <w:pPr>
        <w:pStyle w:val="31"/>
        <w:pageBreakBefore w:val="0"/>
        <w:wordWrap/>
        <w:topLinePunct w:val="0"/>
        <w:bidi w:val="0"/>
        <w:spacing w:before="0" w:after="0" w:line="560" w:lineRule="exact"/>
        <w:rPr>
          <w:rFonts w:hint="eastAsia" w:eastAsia="宋体"/>
          <w:color w:val="000000" w:themeColor="text1"/>
          <w:sz w:val="36"/>
          <w:szCs w:val="36"/>
          <w:highlight w:val="none"/>
          <w:lang w:eastAsia="zh-CN"/>
          <w14:textFill>
            <w14:solidFill>
              <w14:schemeClr w14:val="tx1"/>
            </w14:solidFill>
          </w14:textFill>
        </w:rPr>
      </w:pPr>
      <w:r>
        <w:rPr>
          <w:rFonts w:hint="eastAsia"/>
          <w:color w:val="000000" w:themeColor="text1"/>
          <w:sz w:val="36"/>
          <w:szCs w:val="36"/>
          <w:highlight w:val="none"/>
          <w14:textFill>
            <w14:solidFill>
              <w14:schemeClr w14:val="tx1"/>
            </w14:solidFill>
          </w14:textFill>
        </w:rPr>
        <w:t>第四章</w:t>
      </w:r>
      <w:r>
        <w:rPr>
          <w:color w:val="000000" w:themeColor="text1"/>
          <w:sz w:val="36"/>
          <w:szCs w:val="36"/>
          <w:highlight w:val="none"/>
          <w14:textFill>
            <w14:solidFill>
              <w14:schemeClr w14:val="tx1"/>
            </w14:solidFill>
          </w14:textFill>
        </w:rPr>
        <w:t xml:space="preserve">  </w:t>
      </w:r>
      <w:r>
        <w:rPr>
          <w:rFonts w:hint="eastAsia"/>
          <w:color w:val="000000" w:themeColor="text1"/>
          <w:sz w:val="36"/>
          <w:szCs w:val="36"/>
          <w:highlight w:val="none"/>
          <w14:textFill>
            <w14:solidFill>
              <w14:schemeClr w14:val="tx1"/>
            </w14:solidFill>
          </w14:textFill>
        </w:rPr>
        <w:t>评标方法</w:t>
      </w:r>
      <w:bookmarkEnd w:id="190"/>
      <w:r>
        <w:rPr>
          <w:rFonts w:hint="eastAsia"/>
          <w:color w:val="000000" w:themeColor="text1"/>
          <w:sz w:val="36"/>
          <w:szCs w:val="36"/>
          <w:highlight w:val="none"/>
          <w14:textFill>
            <w14:solidFill>
              <w14:schemeClr w14:val="tx1"/>
            </w14:solidFill>
          </w14:textFill>
        </w:rPr>
        <w:t>及评分标准</w:t>
      </w:r>
      <w:bookmarkEnd w:id="191"/>
      <w:r>
        <w:rPr>
          <w:rFonts w:hint="eastAsia" w:ascii="宋体" w:hAnsi="宋体" w:eastAsia="宋体" w:cs="宋体"/>
          <w:color w:val="000000" w:themeColor="text1"/>
          <w:sz w:val="36"/>
          <w:szCs w:val="36"/>
          <w:highlight w:val="none"/>
          <w:lang w:eastAsia="zh-CN"/>
          <w14:textFill>
            <w14:solidFill>
              <w14:schemeClr w14:val="tx1"/>
            </w14:solidFill>
          </w14:textFill>
        </w:rPr>
        <w:t>（标项</w:t>
      </w:r>
      <w:r>
        <w:rPr>
          <w:rFonts w:hint="eastAsia" w:ascii="宋体" w:hAnsi="宋体" w:eastAsia="宋体" w:cs="宋体"/>
          <w:color w:val="000000" w:themeColor="text1"/>
          <w:sz w:val="36"/>
          <w:szCs w:val="36"/>
          <w:highlight w:val="none"/>
          <w:lang w:val="en-US" w:eastAsia="zh-CN"/>
          <w14:textFill>
            <w14:solidFill>
              <w14:schemeClr w14:val="tx1"/>
            </w14:solidFill>
          </w14:textFill>
        </w:rPr>
        <w:t>1</w:t>
      </w:r>
      <w:r>
        <w:rPr>
          <w:rFonts w:hint="eastAsia" w:ascii="宋体" w:hAnsi="宋体" w:eastAsia="宋体" w:cs="宋体"/>
          <w:color w:val="000000" w:themeColor="text1"/>
          <w:sz w:val="36"/>
          <w:szCs w:val="36"/>
          <w:highlight w:val="none"/>
          <w:lang w:eastAsia="zh-CN"/>
          <w14:textFill>
            <w14:solidFill>
              <w14:schemeClr w14:val="tx1"/>
            </w14:solidFill>
          </w14:textFill>
        </w:rPr>
        <w:t>）</w:t>
      </w:r>
    </w:p>
    <w:p w14:paraId="5E5660C2">
      <w:pPr>
        <w:pStyle w:val="4"/>
        <w:keepNext w:val="0"/>
        <w:keepLines w:val="0"/>
        <w:pageBreakBefore w:val="0"/>
        <w:wordWrap/>
        <w:topLinePunct w:val="0"/>
        <w:bidi w:val="0"/>
        <w:spacing w:line="560" w:lineRule="exact"/>
        <w:jc w:val="center"/>
        <w:rPr>
          <w:color w:val="000000" w:themeColor="text1"/>
          <w:highlight w:val="none"/>
          <w14:textFill>
            <w14:solidFill>
              <w14:schemeClr w14:val="tx1"/>
            </w14:solidFill>
          </w14:textFill>
        </w:rPr>
      </w:pPr>
      <w:bookmarkStart w:id="192" w:name="_Toc138610898"/>
      <w:bookmarkStart w:id="193" w:name="_Toc140741984"/>
      <w:bookmarkStart w:id="194" w:name="_Toc140742529"/>
      <w:bookmarkStart w:id="195" w:name="_Toc1274"/>
      <w:r>
        <w:rPr>
          <w:rFonts w:hint="eastAsia"/>
          <w:color w:val="000000" w:themeColor="text1"/>
          <w:highlight w:val="none"/>
          <w14:textFill>
            <w14:solidFill>
              <w14:schemeClr w14:val="tx1"/>
            </w14:solidFill>
          </w14:textFill>
        </w:rPr>
        <w:t>第一节</w:t>
      </w:r>
      <w:r>
        <w:rPr>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评标方法</w:t>
      </w:r>
      <w:bookmarkEnd w:id="192"/>
      <w:bookmarkEnd w:id="193"/>
      <w:bookmarkEnd w:id="194"/>
      <w:bookmarkEnd w:id="195"/>
    </w:p>
    <w:p w14:paraId="1DF48927">
      <w:pPr>
        <w:keepNext w:val="0"/>
        <w:keepLines w:val="0"/>
        <w:pageBreakBefore w:val="0"/>
        <w:widowControl w:val="0"/>
        <w:kinsoku/>
        <w:wordWrap/>
        <w:overflowPunct/>
        <w:topLinePunct w:val="0"/>
        <w:bidi w:val="0"/>
        <w:adjustRightInd/>
        <w:snapToGrid w:val="0"/>
        <w:spacing w:line="560" w:lineRule="exact"/>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本项目采用 以下方式进行评审。</w:t>
      </w:r>
    </w:p>
    <w:p w14:paraId="660EBA51">
      <w:pPr>
        <w:keepNext w:val="0"/>
        <w:keepLines w:val="0"/>
        <w:pageBreakBefore w:val="0"/>
        <w:widowControl w:val="0"/>
        <w:kinsoku/>
        <w:wordWrap/>
        <w:overflowPunct/>
        <w:topLinePunct w:val="0"/>
        <w:autoSpaceDE w:val="0"/>
        <w:autoSpaceDN w:val="0"/>
        <w:bidi w:val="0"/>
        <w:adjustRightInd/>
        <w:snapToGrid w:val="0"/>
        <w:spacing w:line="560" w:lineRule="exact"/>
        <w:ind w:firstLine="560" w:firstLineChars="200"/>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综合评分法，是指投标文件满足招标文件全部实质性要求，且按照评审因素的量化指标评审得分最高的</w:t>
      </w:r>
      <w:r>
        <w:rPr>
          <w:rFonts w:hint="eastAsia" w:ascii="宋体" w:hAnsi="宋体" w:cs="宋体"/>
          <w:color w:val="000000" w:themeColor="text1"/>
          <w:sz w:val="28"/>
          <w:szCs w:val="28"/>
          <w:highlight w:val="none"/>
          <w:lang w:eastAsia="zh-CN"/>
          <w14:textFill>
            <w14:solidFill>
              <w14:schemeClr w14:val="tx1"/>
            </w14:solidFill>
          </w14:textFill>
        </w:rPr>
        <w:t>供应商</w:t>
      </w:r>
      <w:r>
        <w:rPr>
          <w:rFonts w:hint="eastAsia" w:ascii="宋体" w:hAnsi="宋体" w:eastAsia="宋体" w:cs="宋体"/>
          <w:color w:val="000000" w:themeColor="text1"/>
          <w:sz w:val="28"/>
          <w:szCs w:val="28"/>
          <w:highlight w:val="none"/>
          <w14:textFill>
            <w14:solidFill>
              <w14:schemeClr w14:val="tx1"/>
            </w14:solidFill>
          </w14:textFill>
        </w:rPr>
        <w:t>为中标候选人的评标方法。评标委员会将对各</w:t>
      </w:r>
      <w:r>
        <w:rPr>
          <w:rFonts w:hint="eastAsia" w:ascii="宋体" w:hAnsi="宋体" w:cs="宋体"/>
          <w:color w:val="000000" w:themeColor="text1"/>
          <w:sz w:val="28"/>
          <w:szCs w:val="28"/>
          <w:highlight w:val="none"/>
          <w:lang w:eastAsia="zh-CN"/>
          <w14:textFill>
            <w14:solidFill>
              <w14:schemeClr w14:val="tx1"/>
            </w14:solidFill>
          </w14:textFill>
        </w:rPr>
        <w:t>供应商</w:t>
      </w:r>
      <w:r>
        <w:rPr>
          <w:rFonts w:hint="eastAsia" w:ascii="宋体" w:hAnsi="宋体" w:eastAsia="宋体" w:cs="宋体"/>
          <w:color w:val="000000" w:themeColor="text1"/>
          <w:sz w:val="28"/>
          <w:szCs w:val="28"/>
          <w:highlight w:val="none"/>
          <w14:textFill>
            <w14:solidFill>
              <w14:schemeClr w14:val="tx1"/>
            </w14:solidFill>
          </w14:textFill>
        </w:rPr>
        <w:t>的投标报价、技术和货物方案、</w:t>
      </w:r>
      <w:r>
        <w:rPr>
          <w:rFonts w:hint="eastAsia" w:ascii="宋体" w:hAnsi="宋体" w:cs="宋体"/>
          <w:color w:val="000000" w:themeColor="text1"/>
          <w:sz w:val="28"/>
          <w:szCs w:val="28"/>
          <w:highlight w:val="none"/>
          <w:lang w:eastAsia="zh-CN"/>
          <w14:textFill>
            <w14:solidFill>
              <w14:schemeClr w14:val="tx1"/>
            </w14:solidFill>
          </w14:textFill>
        </w:rPr>
        <w:t>供应商</w:t>
      </w:r>
      <w:r>
        <w:rPr>
          <w:rFonts w:hint="eastAsia" w:ascii="宋体" w:hAnsi="宋体" w:eastAsia="宋体" w:cs="宋体"/>
          <w:color w:val="000000" w:themeColor="text1"/>
          <w:sz w:val="28"/>
          <w:szCs w:val="28"/>
          <w:highlight w:val="none"/>
          <w14:textFill>
            <w14:solidFill>
              <w14:schemeClr w14:val="tx1"/>
            </w14:solidFill>
          </w14:textFill>
        </w:rPr>
        <w:t>的企业实力及资质等方面进行综合评审，对实质上响应招标文件的</w:t>
      </w:r>
      <w:r>
        <w:rPr>
          <w:rFonts w:hint="eastAsia" w:ascii="宋体" w:hAnsi="宋体" w:cs="宋体"/>
          <w:color w:val="000000" w:themeColor="text1"/>
          <w:sz w:val="28"/>
          <w:szCs w:val="28"/>
          <w:highlight w:val="none"/>
          <w:lang w:eastAsia="zh-CN"/>
          <w14:textFill>
            <w14:solidFill>
              <w14:schemeClr w14:val="tx1"/>
            </w14:solidFill>
          </w14:textFill>
        </w:rPr>
        <w:t>供应商</w:t>
      </w:r>
      <w:r>
        <w:rPr>
          <w:rFonts w:hint="eastAsia" w:ascii="宋体" w:hAnsi="宋体" w:eastAsia="宋体" w:cs="宋体"/>
          <w:color w:val="000000" w:themeColor="text1"/>
          <w:sz w:val="28"/>
          <w:szCs w:val="28"/>
          <w:highlight w:val="none"/>
          <w14:textFill>
            <w14:solidFill>
              <w14:schemeClr w14:val="tx1"/>
            </w14:solidFill>
          </w14:textFill>
        </w:rPr>
        <w:t>，由各评委独立记名打分。经统计，得出各</w:t>
      </w:r>
      <w:r>
        <w:rPr>
          <w:rFonts w:hint="eastAsia" w:ascii="宋体" w:hAnsi="宋体" w:cs="宋体"/>
          <w:color w:val="000000" w:themeColor="text1"/>
          <w:sz w:val="28"/>
          <w:szCs w:val="28"/>
          <w:highlight w:val="none"/>
          <w:lang w:eastAsia="zh-CN"/>
          <w14:textFill>
            <w14:solidFill>
              <w14:schemeClr w14:val="tx1"/>
            </w14:solidFill>
          </w14:textFill>
        </w:rPr>
        <w:t>供应商</w:t>
      </w:r>
      <w:r>
        <w:rPr>
          <w:rFonts w:hint="eastAsia" w:ascii="宋体" w:hAnsi="宋体" w:eastAsia="宋体" w:cs="宋体"/>
          <w:color w:val="000000" w:themeColor="text1"/>
          <w:sz w:val="28"/>
          <w:szCs w:val="28"/>
          <w:highlight w:val="none"/>
          <w14:textFill>
            <w14:solidFill>
              <w14:schemeClr w14:val="tx1"/>
            </w14:solidFill>
          </w14:textFill>
        </w:rPr>
        <w:t xml:space="preserve">的综合得分,按综合得分由高到低顺序排列。若综合得分相同的，按投标报价由低到高顺序排列。若综合得分且投标报价相同的，货物类采购项目以技术性能得分较高者为先，货物类采购项目以实力信誉及业绩得分较高者为先。 </w:t>
      </w:r>
    </w:p>
    <w:p w14:paraId="41E1E177">
      <w:pPr>
        <w:pStyle w:val="4"/>
        <w:keepNext w:val="0"/>
        <w:keepLines w:val="0"/>
        <w:pageBreakBefore w:val="0"/>
        <w:wordWrap/>
        <w:topLinePunct w:val="0"/>
        <w:bidi w:val="0"/>
        <w:spacing w:line="560" w:lineRule="exact"/>
        <w:jc w:val="center"/>
        <w:rPr>
          <w:color w:val="000000" w:themeColor="text1"/>
          <w:highlight w:val="none"/>
          <w14:textFill>
            <w14:solidFill>
              <w14:schemeClr w14:val="tx1"/>
            </w14:solidFill>
          </w14:textFill>
        </w:rPr>
      </w:pPr>
      <w:bookmarkStart w:id="196" w:name="_Toc138610899"/>
      <w:bookmarkStart w:id="197" w:name="_Toc140741985"/>
      <w:bookmarkStart w:id="198" w:name="_Toc140742530"/>
      <w:bookmarkStart w:id="199" w:name="_Toc19679"/>
      <w:r>
        <w:rPr>
          <w:rFonts w:hint="eastAsia"/>
          <w:color w:val="000000" w:themeColor="text1"/>
          <w:highlight w:val="none"/>
          <w14:textFill>
            <w14:solidFill>
              <w14:schemeClr w14:val="tx1"/>
            </w14:solidFill>
          </w14:textFill>
        </w:rPr>
        <w:t>第二节</w:t>
      </w:r>
      <w:r>
        <w:rPr>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评标程序</w:t>
      </w:r>
      <w:bookmarkEnd w:id="196"/>
      <w:bookmarkEnd w:id="197"/>
      <w:bookmarkEnd w:id="198"/>
      <w:bookmarkEnd w:id="199"/>
    </w:p>
    <w:p w14:paraId="0506F4D3">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asciiTheme="minorEastAsia" w:hAnsiTheme="minorEastAsia" w:eastAsia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b/>
          <w:color w:val="000000" w:themeColor="text1"/>
          <w:sz w:val="28"/>
          <w:szCs w:val="28"/>
          <w:highlight w:val="none"/>
          <w14:textFill>
            <w14:solidFill>
              <w14:schemeClr w14:val="tx1"/>
            </w14:solidFill>
          </w14:textFill>
        </w:rPr>
        <w:t>1.符合性审查</w:t>
      </w:r>
    </w:p>
    <w:p w14:paraId="4389851F">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评标委员会应当对符合资格的</w:t>
      </w:r>
      <w:r>
        <w:rPr>
          <w:rFonts w:hint="eastAsia" w:asciiTheme="minorEastAsia" w:hAnsiTheme="minorEastAsia" w:eastAsiaTheme="minorEastAsia"/>
          <w:color w:val="000000" w:themeColor="text1"/>
          <w:sz w:val="28"/>
          <w:szCs w:val="28"/>
          <w:highlight w:val="none"/>
          <w:lang w:eastAsia="zh-CN"/>
          <w14:textFill>
            <w14:solidFill>
              <w14:schemeClr w14:val="tx1"/>
            </w14:solidFill>
          </w14:textFill>
        </w:rPr>
        <w:t>供应商</w:t>
      </w:r>
      <w:r>
        <w:rPr>
          <w:rFonts w:hint="eastAsia" w:asciiTheme="minorEastAsia" w:hAnsiTheme="minorEastAsia" w:eastAsiaTheme="minorEastAsia"/>
          <w:color w:val="000000" w:themeColor="text1"/>
          <w:sz w:val="28"/>
          <w:szCs w:val="28"/>
          <w:highlight w:val="none"/>
          <w14:textFill>
            <w14:solidFill>
              <w14:schemeClr w14:val="tx1"/>
            </w14:solidFill>
          </w14:textFill>
        </w:rPr>
        <w:t>的投标文件进行投标报价、商务、技术等实质性内容符合性审查，以确定其是否满足招标文件的实质性要求。</w:t>
      </w:r>
    </w:p>
    <w:p w14:paraId="5863F6F7">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asciiTheme="minorEastAsia" w:hAnsiTheme="minorEastAsia" w:eastAsia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b/>
          <w:color w:val="000000" w:themeColor="text1"/>
          <w:sz w:val="28"/>
          <w:szCs w:val="28"/>
          <w:highlight w:val="none"/>
          <w14:textFill>
            <w14:solidFill>
              <w14:schemeClr w14:val="tx1"/>
            </w14:solidFill>
          </w14:textFill>
        </w:rPr>
        <w:t>2.符合性审查不通过而导致投标无效的情形</w:t>
      </w:r>
    </w:p>
    <w:p w14:paraId="4A729C96">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lang w:eastAsia="zh-CN"/>
          <w14:textFill>
            <w14:solidFill>
              <w14:schemeClr w14:val="tx1"/>
            </w14:solidFill>
          </w14:textFill>
        </w:rPr>
        <w:t>供应商</w:t>
      </w:r>
      <w:r>
        <w:rPr>
          <w:rFonts w:hint="eastAsia" w:asciiTheme="minorEastAsia" w:hAnsiTheme="minorEastAsia" w:eastAsiaTheme="minorEastAsia"/>
          <w:color w:val="000000" w:themeColor="text1"/>
          <w:sz w:val="28"/>
          <w:szCs w:val="28"/>
          <w:highlight w:val="none"/>
          <w14:textFill>
            <w14:solidFill>
              <w14:schemeClr w14:val="tx1"/>
            </w14:solidFill>
          </w14:textFill>
        </w:rPr>
        <w:t>的投标文件中存在对招标文件的任何实质性要求和条件的负偏离，将被视为投标无效。</w:t>
      </w:r>
    </w:p>
    <w:p w14:paraId="75386244">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2.1在报价评审时，如发现下列情形之一的，将被视为投标无效：</w:t>
      </w:r>
    </w:p>
    <w:p w14:paraId="03B835E1">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（1）投标文件未提供“</w:t>
      </w:r>
      <w:r>
        <w:rPr>
          <w:rFonts w:hint="eastAsia" w:asciiTheme="minorEastAsia" w:hAnsiTheme="minorEastAsia" w:eastAsiaTheme="minorEastAsia"/>
          <w:color w:val="000000" w:themeColor="text1"/>
          <w:sz w:val="28"/>
          <w:szCs w:val="28"/>
          <w:highlight w:val="none"/>
          <w:lang w:eastAsia="zh-CN"/>
          <w14:textFill>
            <w14:solidFill>
              <w14:schemeClr w14:val="tx1"/>
            </w14:solidFill>
          </w14:textFill>
        </w:rPr>
        <w:t>供应商</w:t>
      </w:r>
      <w:r>
        <w:rPr>
          <w:rFonts w:hint="eastAsia" w:asciiTheme="minorEastAsia" w:hAnsiTheme="minorEastAsia" w:eastAsiaTheme="minorEastAsia"/>
          <w:color w:val="000000" w:themeColor="text1"/>
          <w:sz w:val="28"/>
          <w:szCs w:val="28"/>
          <w:highlight w:val="none"/>
          <w14:textFill>
            <w14:solidFill>
              <w14:schemeClr w14:val="tx1"/>
            </w14:solidFill>
          </w14:textFill>
        </w:rPr>
        <w:t>须知前附表”第13.1条规定中“必须提供”的文件资料的;</w:t>
      </w:r>
    </w:p>
    <w:p w14:paraId="29D9A816">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（2）未采用人民币报价或者未按照招标文件标明的币种报价的；</w:t>
      </w:r>
    </w:p>
    <w:p w14:paraId="31A77124">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（3）报价超出招标文件规定最高限价，或者超出采购预算金额（包括分项预算）的；</w:t>
      </w:r>
    </w:p>
    <w:p w14:paraId="299A86CE">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（4）</w:t>
      </w:r>
      <w:r>
        <w:rPr>
          <w:rFonts w:hint="eastAsia" w:asciiTheme="minorEastAsia" w:hAnsiTheme="minorEastAsia" w:eastAsiaTheme="minorEastAsia"/>
          <w:color w:val="000000" w:themeColor="text1"/>
          <w:sz w:val="28"/>
          <w:szCs w:val="28"/>
          <w:highlight w:val="none"/>
          <w:lang w:eastAsia="zh-CN"/>
          <w14:textFill>
            <w14:solidFill>
              <w14:schemeClr w14:val="tx1"/>
            </w14:solidFill>
          </w14:textFill>
        </w:rPr>
        <w:t>供应商</w:t>
      </w:r>
      <w:r>
        <w:rPr>
          <w:rFonts w:hint="eastAsia" w:asciiTheme="minorEastAsia" w:hAnsiTheme="minorEastAsia" w:eastAsiaTheme="minorEastAsia"/>
          <w:color w:val="000000" w:themeColor="text1"/>
          <w:sz w:val="28"/>
          <w:szCs w:val="28"/>
          <w:highlight w:val="none"/>
          <w14:textFill>
            <w14:solidFill>
              <w14:schemeClr w14:val="tx1"/>
            </w14:solidFill>
          </w14:textFill>
        </w:rPr>
        <w:t>未就所投的进行报价或者存在漏项报价；</w:t>
      </w:r>
      <w:r>
        <w:rPr>
          <w:rFonts w:hint="eastAsia" w:asciiTheme="minorEastAsia" w:hAnsiTheme="minorEastAsia" w:eastAsiaTheme="minorEastAsia"/>
          <w:color w:val="000000" w:themeColor="text1"/>
          <w:sz w:val="28"/>
          <w:szCs w:val="28"/>
          <w:highlight w:val="none"/>
          <w:lang w:eastAsia="zh-CN"/>
          <w14:textFill>
            <w14:solidFill>
              <w14:schemeClr w14:val="tx1"/>
            </w14:solidFill>
          </w14:textFill>
        </w:rPr>
        <w:t>供应商</w:t>
      </w:r>
      <w:r>
        <w:rPr>
          <w:rFonts w:hint="eastAsia" w:asciiTheme="minorEastAsia" w:hAnsiTheme="minorEastAsia" w:eastAsiaTheme="minorEastAsia"/>
          <w:color w:val="000000" w:themeColor="text1"/>
          <w:sz w:val="28"/>
          <w:szCs w:val="28"/>
          <w:highlight w:val="none"/>
          <w14:textFill>
            <w14:solidFill>
              <w14:schemeClr w14:val="tx1"/>
            </w14:solidFill>
          </w14:textFill>
        </w:rPr>
        <w:t>未就所投的单项内容作唯一报价；</w:t>
      </w:r>
      <w:r>
        <w:rPr>
          <w:rFonts w:hint="eastAsia" w:asciiTheme="minorEastAsia" w:hAnsiTheme="minorEastAsia" w:eastAsiaTheme="minorEastAsia"/>
          <w:color w:val="000000" w:themeColor="text1"/>
          <w:sz w:val="28"/>
          <w:szCs w:val="28"/>
          <w:highlight w:val="none"/>
          <w:lang w:eastAsia="zh-CN"/>
          <w14:textFill>
            <w14:solidFill>
              <w14:schemeClr w14:val="tx1"/>
            </w14:solidFill>
          </w14:textFill>
        </w:rPr>
        <w:t>供应商</w:t>
      </w:r>
      <w:r>
        <w:rPr>
          <w:rFonts w:hint="eastAsia" w:asciiTheme="minorEastAsia" w:hAnsiTheme="minorEastAsia" w:eastAsiaTheme="minorEastAsia"/>
          <w:color w:val="000000" w:themeColor="text1"/>
          <w:sz w:val="28"/>
          <w:szCs w:val="28"/>
          <w:highlight w:val="none"/>
          <w14:textFill>
            <w14:solidFill>
              <w14:schemeClr w14:val="tx1"/>
            </w14:solidFill>
          </w14:textFill>
        </w:rPr>
        <w:t>未就所投的全部内容作唯一总价报价；存在有选择、有条件报价的（招标文件允许有备选方案或者其他约定的除外）；</w:t>
      </w:r>
    </w:p>
    <w:p w14:paraId="1BBC8CF6">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（5）修正后的报价，</w:t>
      </w:r>
      <w:r>
        <w:rPr>
          <w:rFonts w:hint="eastAsia" w:asciiTheme="minorEastAsia" w:hAnsiTheme="minorEastAsia" w:eastAsiaTheme="minorEastAsia"/>
          <w:color w:val="000000" w:themeColor="text1"/>
          <w:sz w:val="28"/>
          <w:szCs w:val="28"/>
          <w:highlight w:val="none"/>
          <w:lang w:eastAsia="zh-CN"/>
          <w14:textFill>
            <w14:solidFill>
              <w14:schemeClr w14:val="tx1"/>
            </w14:solidFill>
          </w14:textFill>
        </w:rPr>
        <w:t>供应商</w:t>
      </w:r>
      <w:r>
        <w:rPr>
          <w:rFonts w:hint="eastAsia" w:asciiTheme="minorEastAsia" w:hAnsiTheme="minorEastAsia" w:eastAsiaTheme="minorEastAsia"/>
          <w:color w:val="000000" w:themeColor="text1"/>
          <w:sz w:val="28"/>
          <w:szCs w:val="28"/>
          <w:highlight w:val="none"/>
          <w14:textFill>
            <w14:solidFill>
              <w14:schemeClr w14:val="tx1"/>
            </w14:solidFill>
          </w14:textFill>
        </w:rPr>
        <w:t>不确认的；</w:t>
      </w:r>
    </w:p>
    <w:p w14:paraId="5E89A281">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（6）</w:t>
      </w:r>
      <w:r>
        <w:rPr>
          <w:rFonts w:hint="eastAsia" w:asciiTheme="minorEastAsia" w:hAnsiTheme="minorEastAsia" w:eastAsiaTheme="minorEastAsia"/>
          <w:color w:val="000000" w:themeColor="text1"/>
          <w:sz w:val="28"/>
          <w:szCs w:val="28"/>
          <w:highlight w:val="none"/>
          <w:lang w:eastAsia="zh-CN"/>
          <w14:textFill>
            <w14:solidFill>
              <w14:schemeClr w14:val="tx1"/>
            </w14:solidFill>
          </w14:textFill>
        </w:rPr>
        <w:t>供应商</w:t>
      </w:r>
      <w:r>
        <w:rPr>
          <w:rFonts w:hint="eastAsia" w:asciiTheme="minorEastAsia" w:hAnsiTheme="minorEastAsia" w:eastAsiaTheme="minorEastAsia"/>
          <w:color w:val="000000" w:themeColor="text1"/>
          <w:sz w:val="28"/>
          <w:szCs w:val="28"/>
          <w:highlight w:val="none"/>
          <w14:textFill>
            <w14:solidFill>
              <w14:schemeClr w14:val="tx1"/>
            </w14:solidFill>
          </w14:textFill>
        </w:rPr>
        <w:t>属于本章第5条第（2）项情形的。</w:t>
      </w:r>
    </w:p>
    <w:p w14:paraId="4F0D1A49">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2.2在商务评审时，如发现下列情形之一的，将被视为投标无效：</w:t>
      </w:r>
    </w:p>
    <w:p w14:paraId="5DCDE1FE">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（1）投标文件未按招标文件要求签署、盖章的；</w:t>
      </w:r>
    </w:p>
    <w:p w14:paraId="7557F223">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 xml:space="preserve">（2）委托代理人未能出具有效身份证明或者出具的身份证明与授权委托书中的信息不符的； </w:t>
      </w:r>
    </w:p>
    <w:p w14:paraId="13911C36">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（3）投标文件未提供“</w:t>
      </w:r>
      <w:r>
        <w:rPr>
          <w:rFonts w:hint="eastAsia" w:asciiTheme="minorEastAsia" w:hAnsiTheme="minorEastAsia" w:eastAsiaTheme="minorEastAsia"/>
          <w:color w:val="000000" w:themeColor="text1"/>
          <w:sz w:val="28"/>
          <w:szCs w:val="28"/>
          <w:highlight w:val="none"/>
          <w:lang w:eastAsia="zh-CN"/>
          <w14:textFill>
            <w14:solidFill>
              <w14:schemeClr w14:val="tx1"/>
            </w14:solidFill>
          </w14:textFill>
        </w:rPr>
        <w:t>供应商</w:t>
      </w:r>
      <w:r>
        <w:rPr>
          <w:rFonts w:hint="eastAsia" w:asciiTheme="minorEastAsia" w:hAnsiTheme="minorEastAsia" w:eastAsiaTheme="minorEastAsia"/>
          <w:color w:val="000000" w:themeColor="text1"/>
          <w:sz w:val="28"/>
          <w:szCs w:val="28"/>
          <w:highlight w:val="none"/>
          <w14:textFill>
            <w14:solidFill>
              <w14:schemeClr w14:val="tx1"/>
            </w14:solidFill>
          </w14:textFill>
        </w:rPr>
        <w:t>须知前附表”第13.1条规定中“必须提供”或者“委托时必须提供”的文件资料的;</w:t>
      </w:r>
    </w:p>
    <w:p w14:paraId="4D9B716B">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（4）投标有效期、项目完成时间（交货时间、货物完成时间或者货物期等）、质保期、售后货物等招标文件中标“</w:t>
      </w:r>
      <w:r>
        <w:rPr>
          <w:rFonts w:hint="eastAsia" w:ascii="宋体" w:hAnsi="宋体" w:eastAsia="宋体" w:cs="宋体"/>
          <w:color w:val="000000" w:themeColor="text1"/>
          <w:sz w:val="28"/>
          <w:szCs w:val="28"/>
          <w:highlight w:val="none"/>
          <w14:textFill>
            <w14:solidFill>
              <w14:schemeClr w14:val="tx1"/>
            </w14:solidFill>
          </w14:textFill>
        </w:rPr>
        <w:t>★</w:t>
      </w:r>
      <w:r>
        <w:rPr>
          <w:rFonts w:hint="eastAsia" w:asciiTheme="minorEastAsia" w:hAnsiTheme="minorEastAsia" w:eastAsiaTheme="minorEastAsia"/>
          <w:color w:val="000000" w:themeColor="text1"/>
          <w:sz w:val="28"/>
          <w:szCs w:val="28"/>
          <w:highlight w:val="none"/>
          <w14:textFill>
            <w14:solidFill>
              <w14:schemeClr w14:val="tx1"/>
            </w14:solidFill>
          </w14:textFill>
        </w:rPr>
        <w:t>”的商务条款发生负偏离的；</w:t>
      </w:r>
    </w:p>
    <w:p w14:paraId="2FF0F550">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（5）商务条款评审允许负偏离的条款数超过“</w:t>
      </w:r>
      <w:r>
        <w:rPr>
          <w:rFonts w:hint="eastAsia" w:asciiTheme="minorEastAsia" w:hAnsiTheme="minorEastAsia" w:eastAsiaTheme="minorEastAsia"/>
          <w:color w:val="000000" w:themeColor="text1"/>
          <w:sz w:val="28"/>
          <w:szCs w:val="28"/>
          <w:highlight w:val="none"/>
          <w:lang w:eastAsia="zh-CN"/>
          <w14:textFill>
            <w14:solidFill>
              <w14:schemeClr w14:val="tx1"/>
            </w14:solidFill>
          </w14:textFill>
        </w:rPr>
        <w:t>供应商</w:t>
      </w:r>
      <w:r>
        <w:rPr>
          <w:rFonts w:hint="eastAsia" w:asciiTheme="minorEastAsia" w:hAnsiTheme="minorEastAsia" w:eastAsiaTheme="minorEastAsia"/>
          <w:color w:val="000000" w:themeColor="text1"/>
          <w:sz w:val="28"/>
          <w:szCs w:val="28"/>
          <w:highlight w:val="none"/>
          <w14:textFill>
            <w14:solidFill>
              <w14:schemeClr w14:val="tx1"/>
            </w14:solidFill>
          </w14:textFill>
        </w:rPr>
        <w:t>须知前附表”规定项数的。</w:t>
      </w:r>
    </w:p>
    <w:p w14:paraId="30E326CA">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（6）投标文件的实质性内容未使用中文表述、使用计量单位不符合招标文件要求的；</w:t>
      </w:r>
    </w:p>
    <w:p w14:paraId="37068118">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（7）投标文件中的文件资料因填写不齐全或者内容虚假或者出现其他情形而导致被评标委员会认定无效的；</w:t>
      </w:r>
    </w:p>
    <w:p w14:paraId="09529A4C">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（8）投标文件含有采购人不能接受的附加条件的；</w:t>
      </w:r>
    </w:p>
    <w:p w14:paraId="42C3A9F2">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（9）未响应招标文件实质性要求的；</w:t>
      </w:r>
    </w:p>
    <w:p w14:paraId="27449D1C">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（10）属于</w:t>
      </w:r>
      <w:r>
        <w:rPr>
          <w:rFonts w:hint="eastAsia" w:asciiTheme="minorEastAsia" w:hAnsiTheme="minorEastAsia" w:eastAsiaTheme="minorEastAsia"/>
          <w:color w:val="000000" w:themeColor="text1"/>
          <w:sz w:val="28"/>
          <w:szCs w:val="28"/>
          <w:highlight w:val="none"/>
          <w:lang w:eastAsia="zh-CN"/>
          <w14:textFill>
            <w14:solidFill>
              <w14:schemeClr w14:val="tx1"/>
            </w14:solidFill>
          </w14:textFill>
        </w:rPr>
        <w:t>供应商</w:t>
      </w:r>
      <w:r>
        <w:rPr>
          <w:rFonts w:hint="eastAsia" w:asciiTheme="minorEastAsia" w:hAnsiTheme="minorEastAsia" w:eastAsiaTheme="minorEastAsia"/>
          <w:color w:val="000000" w:themeColor="text1"/>
          <w:sz w:val="28"/>
          <w:szCs w:val="28"/>
          <w:highlight w:val="none"/>
          <w14:textFill>
            <w14:solidFill>
              <w14:schemeClr w14:val="tx1"/>
            </w14:solidFill>
          </w14:textFill>
        </w:rPr>
        <w:t>须知正文第9.2条情形的；</w:t>
      </w:r>
    </w:p>
    <w:p w14:paraId="3AC2B676">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（11）法律、法规和招标文件规定的其他无效情形。</w:t>
      </w:r>
    </w:p>
    <w:p w14:paraId="6E473EE4">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2.3在技术评审时，如发现下列情形之一的，将被视为投标无效：</w:t>
      </w:r>
    </w:p>
    <w:p w14:paraId="7172FC9D">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w:t>
      </w:r>
      <w:r>
        <w:rPr>
          <w:rFonts w:asciiTheme="minorEastAsia" w:hAnsiTheme="minorEastAsia" w:eastAsiaTheme="minorEastAsia"/>
          <w:color w:val="000000" w:themeColor="text1"/>
          <w:sz w:val="28"/>
          <w:szCs w:val="28"/>
          <w:highlight w:val="none"/>
          <w14:textFill>
            <w14:solidFill>
              <w14:schemeClr w14:val="tx1"/>
            </w14:solidFill>
          </w14:textFill>
        </w:rPr>
        <w:t>1</w:t>
      </w:r>
      <w:r>
        <w:rPr>
          <w:rFonts w:hint="eastAsia" w:asciiTheme="minorEastAsia" w:hAnsiTheme="minorEastAsia" w:eastAsiaTheme="minorEastAsia"/>
          <w:color w:val="000000" w:themeColor="text1"/>
          <w:sz w:val="28"/>
          <w:szCs w:val="28"/>
          <w:highlight w:val="none"/>
          <w14:textFill>
            <w14:solidFill>
              <w14:schemeClr w14:val="tx1"/>
            </w14:solidFill>
          </w14:textFill>
        </w:rPr>
        <w:t>）不满足招标文件要求的货物内容、技术要求、安全、质量标准，或者与招标文件中标“</w:t>
      </w:r>
      <w:r>
        <w:rPr>
          <w:rFonts w:hint="eastAsia" w:ascii="宋体" w:hAnsi="宋体" w:eastAsia="宋体" w:cs="宋体"/>
          <w:color w:val="000000" w:themeColor="text1"/>
          <w:sz w:val="28"/>
          <w:szCs w:val="28"/>
          <w:highlight w:val="none"/>
          <w14:textFill>
            <w14:solidFill>
              <w14:schemeClr w14:val="tx1"/>
            </w14:solidFill>
          </w14:textFill>
        </w:rPr>
        <w:t>★</w:t>
      </w:r>
      <w:r>
        <w:rPr>
          <w:rFonts w:hint="eastAsia" w:asciiTheme="minorEastAsia" w:hAnsiTheme="minorEastAsia" w:eastAsiaTheme="minorEastAsia"/>
          <w:color w:val="000000" w:themeColor="text1"/>
          <w:sz w:val="28"/>
          <w:szCs w:val="28"/>
          <w:highlight w:val="none"/>
          <w14:textFill>
            <w14:solidFill>
              <w14:schemeClr w14:val="tx1"/>
            </w14:solidFill>
          </w14:textFill>
        </w:rPr>
        <w:t>”的技术需求发生负偏离的；</w:t>
      </w:r>
    </w:p>
    <w:p w14:paraId="4EE51226">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w:t>
      </w:r>
      <w:r>
        <w:rPr>
          <w:rFonts w:asciiTheme="minorEastAsia" w:hAnsiTheme="minorEastAsia" w:eastAsiaTheme="minorEastAsia"/>
          <w:color w:val="000000" w:themeColor="text1"/>
          <w:sz w:val="28"/>
          <w:szCs w:val="28"/>
          <w:highlight w:val="none"/>
          <w14:textFill>
            <w14:solidFill>
              <w14:schemeClr w14:val="tx1"/>
            </w14:solidFill>
          </w14:textFill>
        </w:rPr>
        <w:t>2</w:t>
      </w:r>
      <w:r>
        <w:rPr>
          <w:rFonts w:hint="eastAsia" w:asciiTheme="minorEastAsia" w:hAnsiTheme="minorEastAsia" w:eastAsiaTheme="minorEastAsia"/>
          <w:color w:val="000000" w:themeColor="text1"/>
          <w:sz w:val="28"/>
          <w:szCs w:val="28"/>
          <w:highlight w:val="none"/>
          <w14:textFill>
            <w14:solidFill>
              <w14:schemeClr w14:val="tx1"/>
            </w14:solidFill>
          </w14:textFill>
        </w:rPr>
        <w:t>）技术需求评审允许负偏离的条款数超过“</w:t>
      </w:r>
      <w:r>
        <w:rPr>
          <w:rFonts w:hint="eastAsia" w:asciiTheme="minorEastAsia" w:hAnsiTheme="minorEastAsia" w:eastAsiaTheme="minorEastAsia"/>
          <w:color w:val="000000" w:themeColor="text1"/>
          <w:sz w:val="28"/>
          <w:szCs w:val="28"/>
          <w:highlight w:val="none"/>
          <w:lang w:eastAsia="zh-CN"/>
          <w14:textFill>
            <w14:solidFill>
              <w14:schemeClr w14:val="tx1"/>
            </w14:solidFill>
          </w14:textFill>
        </w:rPr>
        <w:t>供应商</w:t>
      </w:r>
      <w:r>
        <w:rPr>
          <w:rFonts w:hint="eastAsia" w:asciiTheme="minorEastAsia" w:hAnsiTheme="minorEastAsia" w:eastAsiaTheme="minorEastAsia"/>
          <w:color w:val="000000" w:themeColor="text1"/>
          <w:sz w:val="28"/>
          <w:szCs w:val="28"/>
          <w:highlight w:val="none"/>
          <w14:textFill>
            <w14:solidFill>
              <w14:schemeClr w14:val="tx1"/>
            </w14:solidFill>
          </w14:textFill>
        </w:rPr>
        <w:t>须知前附表”规定项数的；</w:t>
      </w:r>
    </w:p>
    <w:p w14:paraId="28274360">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w:t>
      </w:r>
      <w:r>
        <w:rPr>
          <w:rFonts w:asciiTheme="minorEastAsia" w:hAnsiTheme="minorEastAsia" w:eastAsiaTheme="minorEastAsia"/>
          <w:color w:val="000000" w:themeColor="text1"/>
          <w:sz w:val="28"/>
          <w:szCs w:val="28"/>
          <w:highlight w:val="none"/>
          <w14:textFill>
            <w14:solidFill>
              <w14:schemeClr w14:val="tx1"/>
            </w14:solidFill>
          </w14:textFill>
        </w:rPr>
        <w:t>3</w:t>
      </w:r>
      <w:r>
        <w:rPr>
          <w:rFonts w:hint="eastAsia" w:asciiTheme="minorEastAsia" w:hAnsiTheme="minorEastAsia" w:eastAsiaTheme="minorEastAsia"/>
          <w:color w:val="000000" w:themeColor="text1"/>
          <w:sz w:val="28"/>
          <w:szCs w:val="28"/>
          <w:highlight w:val="none"/>
          <w14:textFill>
            <w14:solidFill>
              <w14:schemeClr w14:val="tx1"/>
            </w14:solidFill>
          </w14:textFill>
        </w:rPr>
        <w:t>）投标文件未提供“</w:t>
      </w:r>
      <w:r>
        <w:rPr>
          <w:rFonts w:hint="eastAsia" w:asciiTheme="minorEastAsia" w:hAnsiTheme="minorEastAsia" w:eastAsiaTheme="minorEastAsia"/>
          <w:color w:val="000000" w:themeColor="text1"/>
          <w:sz w:val="28"/>
          <w:szCs w:val="28"/>
          <w:highlight w:val="none"/>
          <w:lang w:eastAsia="zh-CN"/>
          <w14:textFill>
            <w14:solidFill>
              <w14:schemeClr w14:val="tx1"/>
            </w14:solidFill>
          </w14:textFill>
        </w:rPr>
        <w:t>供应商</w:t>
      </w:r>
      <w:r>
        <w:rPr>
          <w:rFonts w:hint="eastAsia" w:asciiTheme="minorEastAsia" w:hAnsiTheme="minorEastAsia" w:eastAsiaTheme="minorEastAsia"/>
          <w:color w:val="000000" w:themeColor="text1"/>
          <w:sz w:val="28"/>
          <w:szCs w:val="28"/>
          <w:highlight w:val="none"/>
          <w14:textFill>
            <w14:solidFill>
              <w14:schemeClr w14:val="tx1"/>
            </w14:solidFill>
          </w14:textFill>
        </w:rPr>
        <w:t>须知前附表”第</w:t>
      </w:r>
      <w:r>
        <w:rPr>
          <w:rFonts w:asciiTheme="minorEastAsia" w:hAnsiTheme="minorEastAsia" w:eastAsiaTheme="minorEastAsia"/>
          <w:color w:val="000000" w:themeColor="text1"/>
          <w:sz w:val="28"/>
          <w:szCs w:val="28"/>
          <w:highlight w:val="none"/>
          <w14:textFill>
            <w14:solidFill>
              <w14:schemeClr w14:val="tx1"/>
            </w14:solidFill>
          </w14:textFill>
        </w:rPr>
        <w:t>13.1</w:t>
      </w:r>
      <w:r>
        <w:rPr>
          <w:rFonts w:hint="eastAsia" w:asciiTheme="minorEastAsia" w:hAnsiTheme="minorEastAsia" w:eastAsiaTheme="minorEastAsia"/>
          <w:color w:val="000000" w:themeColor="text1"/>
          <w:sz w:val="28"/>
          <w:szCs w:val="28"/>
          <w:highlight w:val="none"/>
          <w14:textFill>
            <w14:solidFill>
              <w14:schemeClr w14:val="tx1"/>
            </w14:solidFill>
          </w14:textFill>
        </w:rPr>
        <w:t>条规定中“必须提供”的文件资料的</w:t>
      </w:r>
      <w:r>
        <w:rPr>
          <w:rFonts w:asciiTheme="minorEastAsia" w:hAnsiTheme="minorEastAsia" w:eastAsiaTheme="minorEastAsia"/>
          <w:color w:val="000000" w:themeColor="text1"/>
          <w:sz w:val="28"/>
          <w:szCs w:val="28"/>
          <w:highlight w:val="none"/>
          <w14:textFill>
            <w14:solidFill>
              <w14:schemeClr w14:val="tx1"/>
            </w14:solidFill>
          </w14:textFill>
        </w:rPr>
        <w:t>;</w:t>
      </w:r>
    </w:p>
    <w:p w14:paraId="241EE4AC">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w:t>
      </w:r>
      <w:r>
        <w:rPr>
          <w:rFonts w:asciiTheme="minorEastAsia" w:hAnsiTheme="minorEastAsia" w:eastAsiaTheme="minorEastAsia"/>
          <w:color w:val="000000" w:themeColor="text1"/>
          <w:sz w:val="28"/>
          <w:szCs w:val="28"/>
          <w:highlight w:val="none"/>
          <w14:textFill>
            <w14:solidFill>
              <w14:schemeClr w14:val="tx1"/>
            </w14:solidFill>
          </w14:textFill>
        </w:rPr>
        <w:t>4</w:t>
      </w:r>
      <w:r>
        <w:rPr>
          <w:rFonts w:hint="eastAsia" w:asciiTheme="minorEastAsia" w:hAnsiTheme="minorEastAsia" w:eastAsiaTheme="minorEastAsia"/>
          <w:color w:val="000000" w:themeColor="text1"/>
          <w:sz w:val="28"/>
          <w:szCs w:val="28"/>
          <w:highlight w:val="none"/>
          <w14:textFill>
            <w14:solidFill>
              <w14:schemeClr w14:val="tx1"/>
            </w14:solidFill>
          </w14:textFill>
        </w:rPr>
        <w:t>）虚假投标，或者出现其他情形而导致被评标委员会认定无效的；</w:t>
      </w:r>
    </w:p>
    <w:p w14:paraId="7C7F4CCC">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w:t>
      </w:r>
      <w:r>
        <w:rPr>
          <w:rFonts w:asciiTheme="minorEastAsia" w:hAnsiTheme="minorEastAsia" w:eastAsiaTheme="minorEastAsia"/>
          <w:color w:val="000000" w:themeColor="text1"/>
          <w:sz w:val="28"/>
          <w:szCs w:val="28"/>
          <w:highlight w:val="none"/>
          <w14:textFill>
            <w14:solidFill>
              <w14:schemeClr w14:val="tx1"/>
            </w14:solidFill>
          </w14:textFill>
        </w:rPr>
        <w:t>5</w:t>
      </w:r>
      <w:r>
        <w:rPr>
          <w:rFonts w:hint="eastAsia" w:asciiTheme="minorEastAsia" w:hAnsiTheme="minorEastAsia" w:eastAsiaTheme="minorEastAsia"/>
          <w:color w:val="000000" w:themeColor="text1"/>
          <w:sz w:val="28"/>
          <w:szCs w:val="28"/>
          <w:highlight w:val="none"/>
          <w14:textFill>
            <w14:solidFill>
              <w14:schemeClr w14:val="tx1"/>
            </w14:solidFill>
          </w14:textFill>
        </w:rPr>
        <w:t>）招标文件要求提供技术方案的，投标技术方案不明确，招标文件未允许但存在一个或者一个以上备选（替代）投标方案的。</w:t>
      </w:r>
    </w:p>
    <w:p w14:paraId="1C610634">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asciiTheme="minorEastAsia" w:hAnsiTheme="minorEastAsia" w:eastAsia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b/>
          <w:color w:val="000000" w:themeColor="text1"/>
          <w:sz w:val="28"/>
          <w:szCs w:val="28"/>
          <w:highlight w:val="none"/>
          <w14:textFill>
            <w14:solidFill>
              <w14:schemeClr w14:val="tx1"/>
            </w14:solidFill>
          </w14:textFill>
        </w:rPr>
        <w:t>3.澄清补正、说明或者补正</w:t>
      </w:r>
    </w:p>
    <w:p w14:paraId="2403BDBF">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cs="Courier New" w:asciiTheme="minorEastAsia" w:hAnsiTheme="minorEastAsia" w:eastAsiaTheme="minorEastAsia"/>
          <w:color w:val="000000" w:themeColor="text1"/>
          <w:sz w:val="28"/>
          <w:szCs w:val="28"/>
          <w:highlight w:val="none"/>
          <w14:textFill>
            <w14:solidFill>
              <w14:schemeClr w14:val="tx1"/>
            </w14:solidFill>
          </w14:textFill>
        </w:rPr>
      </w:pPr>
      <w:r>
        <w:rPr>
          <w:rFonts w:hint="eastAsia" w:cs="Courier New" w:asciiTheme="minorEastAsia" w:hAnsiTheme="minorEastAsia" w:eastAsiaTheme="minorEastAsia"/>
          <w:color w:val="000000" w:themeColor="text1"/>
          <w:sz w:val="28"/>
          <w:szCs w:val="28"/>
          <w:highlight w:val="none"/>
          <w14:textFill>
            <w14:solidFill>
              <w14:schemeClr w14:val="tx1"/>
            </w14:solidFill>
          </w14:textFill>
        </w:rPr>
        <w:t>对投标文件中含义不明确、同类问题表述不一致或者有明显文字和计算错误的内容，评标委员会应在“政采云”平台发布电子澄清函，要求</w:t>
      </w:r>
      <w:r>
        <w:rPr>
          <w:rFonts w:hint="eastAsia" w:cs="Courier New" w:asciiTheme="minorEastAsia" w:hAnsiTheme="minorEastAsia" w:eastAsiaTheme="minorEastAsia"/>
          <w:color w:val="000000" w:themeColor="text1"/>
          <w:sz w:val="28"/>
          <w:szCs w:val="28"/>
          <w:highlight w:val="none"/>
          <w:lang w:eastAsia="zh-CN"/>
          <w14:textFill>
            <w14:solidFill>
              <w14:schemeClr w14:val="tx1"/>
            </w14:solidFill>
          </w14:textFill>
        </w:rPr>
        <w:t>供应商</w:t>
      </w:r>
      <w:r>
        <w:rPr>
          <w:rFonts w:hint="eastAsia" w:cs="Courier New" w:asciiTheme="minorEastAsia" w:hAnsiTheme="minorEastAsia" w:eastAsiaTheme="minorEastAsia"/>
          <w:color w:val="000000" w:themeColor="text1"/>
          <w:sz w:val="28"/>
          <w:szCs w:val="28"/>
          <w:highlight w:val="none"/>
          <w14:textFill>
            <w14:solidFill>
              <w14:schemeClr w14:val="tx1"/>
            </w14:solidFill>
          </w14:textFill>
        </w:rPr>
        <w:t>在规定时间内作出必要的澄清、说明或者补正。</w:t>
      </w:r>
      <w:r>
        <w:rPr>
          <w:rFonts w:hint="eastAsia" w:cs="Courier New" w:asciiTheme="minorEastAsia" w:hAnsiTheme="minorEastAsia" w:eastAsiaTheme="minorEastAsia"/>
          <w:color w:val="000000" w:themeColor="text1"/>
          <w:sz w:val="28"/>
          <w:szCs w:val="28"/>
          <w:highlight w:val="none"/>
          <w:lang w:eastAsia="zh-CN"/>
          <w14:textFill>
            <w14:solidFill>
              <w14:schemeClr w14:val="tx1"/>
            </w14:solidFill>
          </w14:textFill>
        </w:rPr>
        <w:t>供应商</w:t>
      </w:r>
      <w:r>
        <w:rPr>
          <w:rFonts w:hint="eastAsia" w:cs="Courier New" w:asciiTheme="minorEastAsia" w:hAnsiTheme="minorEastAsia" w:eastAsiaTheme="minorEastAsia"/>
          <w:color w:val="000000" w:themeColor="text1"/>
          <w:sz w:val="28"/>
          <w:szCs w:val="28"/>
          <w:highlight w:val="none"/>
          <w14:textFill>
            <w14:solidFill>
              <w14:schemeClr w14:val="tx1"/>
            </w14:solidFill>
          </w14:textFill>
        </w:rPr>
        <w:t>在“政采云”平台接收到电子澄清函后根据澄清函内容上传PDF格式回函，电子澄清答复函使用CA证书加盖单位公章后在线上传至评标委员会。</w:t>
      </w:r>
      <w:r>
        <w:rPr>
          <w:rFonts w:hint="eastAsia" w:cs="Courier New" w:asciiTheme="minorEastAsia" w:hAnsiTheme="minorEastAsia" w:eastAsiaTheme="minorEastAsia"/>
          <w:color w:val="000000" w:themeColor="text1"/>
          <w:sz w:val="28"/>
          <w:szCs w:val="28"/>
          <w:highlight w:val="none"/>
          <w:lang w:eastAsia="zh-CN"/>
          <w14:textFill>
            <w14:solidFill>
              <w14:schemeClr w14:val="tx1"/>
            </w14:solidFill>
          </w14:textFill>
        </w:rPr>
        <w:t>供应商</w:t>
      </w:r>
      <w:r>
        <w:rPr>
          <w:rFonts w:hint="eastAsia" w:cs="Courier New" w:asciiTheme="minorEastAsia" w:hAnsiTheme="minorEastAsia" w:eastAsiaTheme="minorEastAsia"/>
          <w:color w:val="000000" w:themeColor="text1"/>
          <w:sz w:val="28"/>
          <w:szCs w:val="28"/>
          <w:highlight w:val="none"/>
          <w14:textFill>
            <w14:solidFill>
              <w14:schemeClr w14:val="tx1"/>
            </w14:solidFill>
          </w14:textFill>
        </w:rPr>
        <w:t>的澄清、说明或者补正不得超出投标文件的范围或者改变投标文件的实质性内容。</w:t>
      </w:r>
      <w:r>
        <w:rPr>
          <w:rFonts w:hint="eastAsia" w:cs="Courier New" w:asciiTheme="minorEastAsia" w:hAnsiTheme="minorEastAsia" w:eastAsiaTheme="minorEastAsia"/>
          <w:color w:val="000000" w:themeColor="text1"/>
          <w:sz w:val="28"/>
          <w:szCs w:val="28"/>
          <w:highlight w:val="none"/>
          <w:lang w:eastAsia="zh-CN"/>
          <w14:textFill>
            <w14:solidFill>
              <w14:schemeClr w14:val="tx1"/>
            </w14:solidFill>
          </w14:textFill>
        </w:rPr>
        <w:t>供应商</w:t>
      </w:r>
      <w:r>
        <w:rPr>
          <w:rFonts w:hint="eastAsia" w:cs="Courier New" w:asciiTheme="minorEastAsia" w:hAnsiTheme="minorEastAsia" w:eastAsiaTheme="minorEastAsia"/>
          <w:color w:val="000000" w:themeColor="text1"/>
          <w:sz w:val="28"/>
          <w:szCs w:val="28"/>
          <w:highlight w:val="none"/>
          <w14:textFill>
            <w14:solidFill>
              <w14:schemeClr w14:val="tx1"/>
            </w14:solidFill>
          </w14:textFill>
        </w:rPr>
        <w:t>未在规定时间内进行澄清、说明或者补正的，按无效投标处理。</w:t>
      </w:r>
    </w:p>
    <w:p w14:paraId="6B0DF5E1">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cs="Courier New" w:asciiTheme="minorEastAsia" w:hAnsiTheme="minorEastAsia" w:eastAsiaTheme="minorEastAsia"/>
          <w:color w:val="000000" w:themeColor="text1"/>
          <w:sz w:val="28"/>
          <w:szCs w:val="28"/>
          <w:highlight w:val="none"/>
          <w14:textFill>
            <w14:solidFill>
              <w14:schemeClr w14:val="tx1"/>
            </w14:solidFill>
          </w14:textFill>
        </w:rPr>
      </w:pPr>
      <w:r>
        <w:rPr>
          <w:rFonts w:hint="eastAsia" w:cs="Courier New" w:asciiTheme="minorEastAsia" w:hAnsiTheme="minorEastAsia" w:eastAsiaTheme="minorEastAsia"/>
          <w:color w:val="000000" w:themeColor="text1"/>
          <w:sz w:val="28"/>
          <w:szCs w:val="28"/>
          <w:highlight w:val="none"/>
          <w14:textFill>
            <w14:solidFill>
              <w14:schemeClr w14:val="tx1"/>
            </w14:solidFill>
          </w14:textFill>
        </w:rPr>
        <w:t>异常情况处理：如遇无法正常使用线上发送澄清函的情况，将启动书面形式办理。启动书面形式办理的情况下，评标委员会以书面形式要求</w:t>
      </w:r>
      <w:r>
        <w:rPr>
          <w:rFonts w:hint="eastAsia" w:cs="Courier New" w:asciiTheme="minorEastAsia" w:hAnsiTheme="minorEastAsia" w:eastAsiaTheme="minorEastAsia"/>
          <w:color w:val="000000" w:themeColor="text1"/>
          <w:sz w:val="28"/>
          <w:szCs w:val="28"/>
          <w:highlight w:val="none"/>
          <w:lang w:eastAsia="zh-CN"/>
          <w14:textFill>
            <w14:solidFill>
              <w14:schemeClr w14:val="tx1"/>
            </w14:solidFill>
          </w14:textFill>
        </w:rPr>
        <w:t>供应商</w:t>
      </w:r>
      <w:r>
        <w:rPr>
          <w:rFonts w:hint="eastAsia" w:cs="Courier New" w:asciiTheme="minorEastAsia" w:hAnsiTheme="minorEastAsia" w:eastAsiaTheme="minorEastAsia"/>
          <w:color w:val="000000" w:themeColor="text1"/>
          <w:sz w:val="28"/>
          <w:szCs w:val="28"/>
          <w:highlight w:val="none"/>
          <w14:textFill>
            <w14:solidFill>
              <w14:schemeClr w14:val="tx1"/>
            </w14:solidFill>
          </w14:textFill>
        </w:rPr>
        <w:t>在规定时间内作出必要的澄清、说明或者补正。</w:t>
      </w:r>
      <w:r>
        <w:rPr>
          <w:rFonts w:hint="eastAsia" w:cs="Courier New" w:asciiTheme="minorEastAsia" w:hAnsiTheme="minorEastAsia" w:eastAsiaTheme="minorEastAsia"/>
          <w:color w:val="000000" w:themeColor="text1"/>
          <w:sz w:val="28"/>
          <w:szCs w:val="28"/>
          <w:highlight w:val="none"/>
          <w:lang w:eastAsia="zh-CN"/>
          <w14:textFill>
            <w14:solidFill>
              <w14:schemeClr w14:val="tx1"/>
            </w14:solidFill>
          </w14:textFill>
        </w:rPr>
        <w:t>供应商</w:t>
      </w:r>
      <w:r>
        <w:rPr>
          <w:rFonts w:hint="eastAsia" w:cs="Courier New" w:asciiTheme="minorEastAsia" w:hAnsiTheme="minorEastAsia" w:eastAsiaTheme="minorEastAsia"/>
          <w:color w:val="000000" w:themeColor="text1"/>
          <w:sz w:val="28"/>
          <w:szCs w:val="28"/>
          <w:highlight w:val="none"/>
          <w14:textFill>
            <w14:solidFill>
              <w14:schemeClr w14:val="tx1"/>
            </w14:solidFill>
          </w14:textFill>
        </w:rPr>
        <w:t>的澄清、说明或者补正必须采用书面形式，并加盖公章，或者由法定代表人或者其授权的代表签字。</w:t>
      </w:r>
    </w:p>
    <w:p w14:paraId="7AD8FF93">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asciiTheme="minorEastAsia" w:hAnsiTheme="minorEastAsia" w:eastAsia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b/>
          <w:color w:val="000000" w:themeColor="text1"/>
          <w:sz w:val="28"/>
          <w:szCs w:val="28"/>
          <w:highlight w:val="none"/>
          <w14:textFill>
            <w14:solidFill>
              <w14:schemeClr w14:val="tx1"/>
            </w14:solidFill>
          </w14:textFill>
        </w:rPr>
        <w:t>4.投标文件修正</w:t>
      </w:r>
    </w:p>
    <w:p w14:paraId="1A6E48B6">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 xml:space="preserve">4.1投标文件报价出现前后不一致的，按照下列规定修正： </w:t>
      </w:r>
    </w:p>
    <w:p w14:paraId="55364FB5">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w:t>
      </w:r>
      <w:r>
        <w:rPr>
          <w:rFonts w:asciiTheme="minorEastAsia" w:hAnsiTheme="minorEastAsia" w:eastAsiaTheme="minorEastAsia"/>
          <w:color w:val="000000" w:themeColor="text1"/>
          <w:sz w:val="28"/>
          <w:szCs w:val="28"/>
          <w:highlight w:val="none"/>
          <w14:textFill>
            <w14:solidFill>
              <w14:schemeClr w14:val="tx1"/>
            </w14:solidFill>
          </w14:textFill>
        </w:rPr>
        <w:t>1</w:t>
      </w:r>
      <w:r>
        <w:rPr>
          <w:rFonts w:hint="eastAsia" w:asciiTheme="minorEastAsia" w:hAnsiTheme="minorEastAsia" w:eastAsiaTheme="minorEastAsia"/>
          <w:color w:val="000000" w:themeColor="text1"/>
          <w:sz w:val="28"/>
          <w:szCs w:val="28"/>
          <w:highlight w:val="none"/>
          <w14:textFill>
            <w14:solidFill>
              <w14:schemeClr w14:val="tx1"/>
            </w14:solidFill>
          </w14:textFill>
        </w:rPr>
        <w:t>）报价文件中“开标一览表”内容与投标文件中相应内容不一致的，以“开标一览表”为准；</w:t>
      </w:r>
    </w:p>
    <w:p w14:paraId="037FC4CD">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w:t>
      </w:r>
      <w:r>
        <w:rPr>
          <w:rFonts w:asciiTheme="minorEastAsia" w:hAnsiTheme="minorEastAsia" w:eastAsiaTheme="minorEastAsia"/>
          <w:color w:val="000000" w:themeColor="text1"/>
          <w:sz w:val="28"/>
          <w:szCs w:val="28"/>
          <w:highlight w:val="none"/>
          <w14:textFill>
            <w14:solidFill>
              <w14:schemeClr w14:val="tx1"/>
            </w14:solidFill>
          </w14:textFill>
        </w:rPr>
        <w:t>2</w:t>
      </w:r>
      <w:r>
        <w:rPr>
          <w:rFonts w:hint="eastAsia" w:asciiTheme="minorEastAsia" w:hAnsiTheme="minorEastAsia" w:eastAsiaTheme="minorEastAsia"/>
          <w:color w:val="000000" w:themeColor="text1"/>
          <w:sz w:val="28"/>
          <w:szCs w:val="28"/>
          <w:highlight w:val="none"/>
          <w14:textFill>
            <w14:solidFill>
              <w14:schemeClr w14:val="tx1"/>
            </w14:solidFill>
          </w14:textFill>
        </w:rPr>
        <w:t>）大写金额和小写金额不一致的，以大写金额为准；</w:t>
      </w:r>
    </w:p>
    <w:p w14:paraId="5B5B6014">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w:t>
      </w:r>
      <w:r>
        <w:rPr>
          <w:rFonts w:asciiTheme="minorEastAsia" w:hAnsiTheme="minorEastAsia" w:eastAsiaTheme="minorEastAsia"/>
          <w:color w:val="000000" w:themeColor="text1"/>
          <w:sz w:val="28"/>
          <w:szCs w:val="28"/>
          <w:highlight w:val="none"/>
          <w14:textFill>
            <w14:solidFill>
              <w14:schemeClr w14:val="tx1"/>
            </w14:solidFill>
          </w14:textFill>
        </w:rPr>
        <w:t>3</w:t>
      </w:r>
      <w:r>
        <w:rPr>
          <w:rFonts w:hint="eastAsia" w:asciiTheme="minorEastAsia" w:hAnsiTheme="minorEastAsia" w:eastAsiaTheme="minorEastAsia"/>
          <w:color w:val="000000" w:themeColor="text1"/>
          <w:sz w:val="28"/>
          <w:szCs w:val="28"/>
          <w:highlight w:val="none"/>
          <w14:textFill>
            <w14:solidFill>
              <w14:schemeClr w14:val="tx1"/>
            </w14:solidFill>
          </w14:textFill>
        </w:rPr>
        <w:t>）单价金额小数点或者百分比有明显错位的，以开标一览表的总价为准，并修改单价；</w:t>
      </w:r>
    </w:p>
    <w:p w14:paraId="0DD58A41">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w:t>
      </w:r>
      <w:r>
        <w:rPr>
          <w:rFonts w:asciiTheme="minorEastAsia" w:hAnsiTheme="minorEastAsia" w:eastAsiaTheme="minorEastAsia"/>
          <w:color w:val="000000" w:themeColor="text1"/>
          <w:sz w:val="28"/>
          <w:szCs w:val="28"/>
          <w:highlight w:val="none"/>
          <w14:textFill>
            <w14:solidFill>
              <w14:schemeClr w14:val="tx1"/>
            </w14:solidFill>
          </w14:textFill>
        </w:rPr>
        <w:t>4</w:t>
      </w:r>
      <w:r>
        <w:rPr>
          <w:rFonts w:hint="eastAsia" w:asciiTheme="minorEastAsia" w:hAnsiTheme="minorEastAsia" w:eastAsiaTheme="minorEastAsia"/>
          <w:color w:val="000000" w:themeColor="text1"/>
          <w:sz w:val="28"/>
          <w:szCs w:val="28"/>
          <w:highlight w:val="none"/>
          <w14:textFill>
            <w14:solidFill>
              <w14:schemeClr w14:val="tx1"/>
            </w14:solidFill>
          </w14:textFill>
        </w:rPr>
        <w:t>）总价金额与按单价汇总金额不一致的，以单价金额计算结果为准。</w:t>
      </w:r>
    </w:p>
    <w:p w14:paraId="2A62AE1B">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同时出现两种以上不一致的，按照以上（</w:t>
      </w:r>
      <w:r>
        <w:rPr>
          <w:rFonts w:asciiTheme="minorEastAsia" w:hAnsiTheme="minorEastAsia" w:eastAsiaTheme="minorEastAsia"/>
          <w:color w:val="000000" w:themeColor="text1"/>
          <w:sz w:val="28"/>
          <w:szCs w:val="28"/>
          <w:highlight w:val="none"/>
          <w14:textFill>
            <w14:solidFill>
              <w14:schemeClr w14:val="tx1"/>
            </w14:solidFill>
          </w14:textFill>
        </w:rPr>
        <w:t>1</w:t>
      </w:r>
      <w:r>
        <w:rPr>
          <w:rFonts w:hint="eastAsia" w:asciiTheme="minorEastAsia" w:hAnsiTheme="minorEastAsia" w:eastAsiaTheme="minorEastAsia"/>
          <w:color w:val="000000" w:themeColor="text1"/>
          <w:sz w:val="28"/>
          <w:szCs w:val="28"/>
          <w:highlight w:val="none"/>
          <w14:textFill>
            <w14:solidFill>
              <w14:schemeClr w14:val="tx1"/>
            </w14:solidFill>
          </w14:textFill>
        </w:rPr>
        <w:t>）</w:t>
      </w:r>
      <w:r>
        <w:rPr>
          <w:rFonts w:asciiTheme="minorEastAsia" w:hAnsiTheme="minorEastAsia" w:eastAsiaTheme="minorEastAsia"/>
          <w:color w:val="000000" w:themeColor="text1"/>
          <w:sz w:val="28"/>
          <w:szCs w:val="28"/>
          <w:highlight w:val="none"/>
          <w14:textFill>
            <w14:solidFill>
              <w14:schemeClr w14:val="tx1"/>
            </w14:solidFill>
          </w14:textFill>
        </w:rPr>
        <w:t>-</w:t>
      </w:r>
      <w:r>
        <w:rPr>
          <w:rFonts w:hint="eastAsia" w:asciiTheme="minorEastAsia" w:hAnsiTheme="minorEastAsia" w:eastAsiaTheme="minorEastAsia"/>
          <w:color w:val="000000" w:themeColor="text1"/>
          <w:sz w:val="28"/>
          <w:szCs w:val="28"/>
          <w:highlight w:val="none"/>
          <w14:textFill>
            <w14:solidFill>
              <w14:schemeClr w14:val="tx1"/>
            </w14:solidFill>
          </w14:textFill>
        </w:rPr>
        <w:t>（</w:t>
      </w:r>
      <w:r>
        <w:rPr>
          <w:rFonts w:asciiTheme="minorEastAsia" w:hAnsiTheme="minorEastAsia" w:eastAsiaTheme="minorEastAsia"/>
          <w:color w:val="000000" w:themeColor="text1"/>
          <w:sz w:val="28"/>
          <w:szCs w:val="28"/>
          <w:highlight w:val="none"/>
          <w14:textFill>
            <w14:solidFill>
              <w14:schemeClr w14:val="tx1"/>
            </w14:solidFill>
          </w14:textFill>
        </w:rPr>
        <w:t>4</w:t>
      </w:r>
      <w:r>
        <w:rPr>
          <w:rFonts w:hint="eastAsia" w:asciiTheme="minorEastAsia" w:hAnsiTheme="minorEastAsia" w:eastAsiaTheme="minorEastAsia"/>
          <w:color w:val="000000" w:themeColor="text1"/>
          <w:sz w:val="28"/>
          <w:szCs w:val="28"/>
          <w:highlight w:val="none"/>
          <w14:textFill>
            <w14:solidFill>
              <w14:schemeClr w14:val="tx1"/>
            </w14:solidFill>
          </w14:textFill>
        </w:rPr>
        <w:t>）规定的顺序修正。修正后的报价经</w:t>
      </w:r>
      <w:r>
        <w:rPr>
          <w:rFonts w:hint="eastAsia" w:asciiTheme="minorEastAsia" w:hAnsiTheme="minorEastAsia" w:eastAsiaTheme="minorEastAsia"/>
          <w:color w:val="000000" w:themeColor="text1"/>
          <w:sz w:val="28"/>
          <w:szCs w:val="28"/>
          <w:highlight w:val="none"/>
          <w:lang w:eastAsia="zh-CN"/>
          <w14:textFill>
            <w14:solidFill>
              <w14:schemeClr w14:val="tx1"/>
            </w14:solidFill>
          </w14:textFill>
        </w:rPr>
        <w:t>供应商</w:t>
      </w:r>
      <w:r>
        <w:rPr>
          <w:rFonts w:hint="eastAsia" w:asciiTheme="minorEastAsia" w:hAnsiTheme="minorEastAsia" w:eastAsiaTheme="minorEastAsia"/>
          <w:color w:val="000000" w:themeColor="text1"/>
          <w:sz w:val="28"/>
          <w:szCs w:val="28"/>
          <w:highlight w:val="none"/>
          <w14:textFill>
            <w14:solidFill>
              <w14:schemeClr w14:val="tx1"/>
            </w14:solidFill>
          </w14:textFill>
        </w:rPr>
        <w:t>确认后产生约束力，</w:t>
      </w:r>
      <w:r>
        <w:rPr>
          <w:rFonts w:hint="eastAsia" w:asciiTheme="minorEastAsia" w:hAnsiTheme="minorEastAsia" w:eastAsiaTheme="minorEastAsia"/>
          <w:color w:val="000000" w:themeColor="text1"/>
          <w:sz w:val="28"/>
          <w:szCs w:val="28"/>
          <w:highlight w:val="none"/>
          <w:lang w:eastAsia="zh-CN"/>
          <w14:textFill>
            <w14:solidFill>
              <w14:schemeClr w14:val="tx1"/>
            </w14:solidFill>
          </w14:textFill>
        </w:rPr>
        <w:t>供应商</w:t>
      </w:r>
      <w:r>
        <w:rPr>
          <w:rFonts w:hint="eastAsia" w:asciiTheme="minorEastAsia" w:hAnsiTheme="minorEastAsia" w:eastAsiaTheme="minorEastAsia"/>
          <w:color w:val="000000" w:themeColor="text1"/>
          <w:sz w:val="28"/>
          <w:szCs w:val="28"/>
          <w:highlight w:val="none"/>
          <w14:textFill>
            <w14:solidFill>
              <w14:schemeClr w14:val="tx1"/>
            </w14:solidFill>
          </w14:textFill>
        </w:rPr>
        <w:t>不确认的，其投标无效。</w:t>
      </w:r>
    </w:p>
    <w:p w14:paraId="00F2E3BE">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4.2经</w:t>
      </w:r>
      <w:r>
        <w:rPr>
          <w:rFonts w:hint="eastAsia" w:asciiTheme="minorEastAsia" w:hAnsiTheme="minorEastAsia" w:eastAsiaTheme="minorEastAsia"/>
          <w:color w:val="000000" w:themeColor="text1"/>
          <w:sz w:val="28"/>
          <w:szCs w:val="28"/>
          <w:highlight w:val="none"/>
          <w:lang w:eastAsia="zh-CN"/>
          <w14:textFill>
            <w14:solidFill>
              <w14:schemeClr w14:val="tx1"/>
            </w14:solidFill>
          </w14:textFill>
        </w:rPr>
        <w:t>供应商</w:t>
      </w:r>
      <w:r>
        <w:rPr>
          <w:rFonts w:hint="eastAsia" w:asciiTheme="minorEastAsia" w:hAnsiTheme="minorEastAsia" w:eastAsiaTheme="minorEastAsia"/>
          <w:color w:val="000000" w:themeColor="text1"/>
          <w:sz w:val="28"/>
          <w:szCs w:val="28"/>
          <w:highlight w:val="none"/>
          <w14:textFill>
            <w14:solidFill>
              <w14:schemeClr w14:val="tx1"/>
            </w14:solidFill>
          </w14:textFill>
        </w:rPr>
        <w:t>确认修正后的报价若超过采购预算金额或者最高限价，</w:t>
      </w:r>
      <w:r>
        <w:rPr>
          <w:rFonts w:hint="eastAsia" w:asciiTheme="minorEastAsia" w:hAnsiTheme="minorEastAsia" w:eastAsiaTheme="minorEastAsia"/>
          <w:color w:val="000000" w:themeColor="text1"/>
          <w:sz w:val="28"/>
          <w:szCs w:val="28"/>
          <w:highlight w:val="none"/>
          <w:lang w:eastAsia="zh-CN"/>
          <w14:textFill>
            <w14:solidFill>
              <w14:schemeClr w14:val="tx1"/>
            </w14:solidFill>
          </w14:textFill>
        </w:rPr>
        <w:t>供应商</w:t>
      </w:r>
      <w:r>
        <w:rPr>
          <w:rFonts w:hint="eastAsia" w:asciiTheme="minorEastAsia" w:hAnsiTheme="minorEastAsia" w:eastAsiaTheme="minorEastAsia"/>
          <w:color w:val="000000" w:themeColor="text1"/>
          <w:sz w:val="28"/>
          <w:szCs w:val="28"/>
          <w:highlight w:val="none"/>
          <w14:textFill>
            <w14:solidFill>
              <w14:schemeClr w14:val="tx1"/>
            </w14:solidFill>
          </w14:textFill>
        </w:rPr>
        <w:t>的投标文件作无效投标处理。</w:t>
      </w:r>
    </w:p>
    <w:p w14:paraId="707B302E">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4.3经</w:t>
      </w:r>
      <w:r>
        <w:rPr>
          <w:rFonts w:hint="eastAsia" w:asciiTheme="minorEastAsia" w:hAnsiTheme="minorEastAsia" w:eastAsiaTheme="minorEastAsia"/>
          <w:color w:val="000000" w:themeColor="text1"/>
          <w:sz w:val="28"/>
          <w:szCs w:val="28"/>
          <w:highlight w:val="none"/>
          <w:lang w:eastAsia="zh-CN"/>
          <w14:textFill>
            <w14:solidFill>
              <w14:schemeClr w14:val="tx1"/>
            </w14:solidFill>
          </w14:textFill>
        </w:rPr>
        <w:t>供应商</w:t>
      </w:r>
      <w:r>
        <w:rPr>
          <w:rFonts w:hint="eastAsia" w:asciiTheme="minorEastAsia" w:hAnsiTheme="minorEastAsia" w:eastAsiaTheme="minorEastAsia"/>
          <w:color w:val="000000" w:themeColor="text1"/>
          <w:sz w:val="28"/>
          <w:szCs w:val="28"/>
          <w:highlight w:val="none"/>
          <w14:textFill>
            <w14:solidFill>
              <w14:schemeClr w14:val="tx1"/>
            </w14:solidFill>
          </w14:textFill>
        </w:rPr>
        <w:t>确认修正后的报价作为签订合同的依据，并以此报价计算价格分。</w:t>
      </w:r>
    </w:p>
    <w:p w14:paraId="68FF20CB">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5.比较与评价</w:t>
      </w:r>
    </w:p>
    <w:p w14:paraId="3F243E39">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asciiTheme="minorEastAsia" w:hAnsiTheme="minorEastAsia" w:eastAsiaTheme="minorEastAsia"/>
          <w:color w:val="000000" w:themeColor="text1"/>
          <w:sz w:val="28"/>
          <w:szCs w:val="28"/>
          <w:highlight w:val="none"/>
          <w14:textFill>
            <w14:solidFill>
              <w14:schemeClr w14:val="tx1"/>
            </w14:solidFill>
          </w14:textFill>
        </w:rPr>
      </w:pPr>
      <w:r>
        <w:rPr>
          <w:rFonts w:asciiTheme="minorEastAsia" w:hAnsiTheme="minorEastAsia" w:eastAsiaTheme="minorEastAsia"/>
          <w:color w:val="000000" w:themeColor="text1"/>
          <w:sz w:val="28"/>
          <w:szCs w:val="28"/>
          <w:highlight w:val="none"/>
          <w14:textFill>
            <w14:solidFill>
              <w14:schemeClr w14:val="tx1"/>
            </w14:solidFill>
          </w14:textFill>
        </w:rPr>
        <w:t>5.1</w:t>
      </w:r>
      <w:r>
        <w:rPr>
          <w:rFonts w:hint="eastAsia" w:asciiTheme="minorEastAsia" w:hAnsiTheme="minorEastAsia" w:eastAsiaTheme="minorEastAsia"/>
          <w:color w:val="000000" w:themeColor="text1"/>
          <w:sz w:val="28"/>
          <w:szCs w:val="28"/>
          <w:highlight w:val="none"/>
          <w14:textFill>
            <w14:solidFill>
              <w14:schemeClr w14:val="tx1"/>
            </w14:solidFill>
          </w14:textFill>
        </w:rPr>
        <w:t>评标委员会按照招标文件中规定的评标方法和评标标准，对符合性审查合格的投标文件进行商务和技术评估，综合比较与评价。</w:t>
      </w:r>
    </w:p>
    <w:p w14:paraId="5AA6ABD6">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asciiTheme="minorEastAsia" w:hAnsiTheme="minorEastAsia" w:eastAsiaTheme="minorEastAsia"/>
          <w:color w:val="000000" w:themeColor="text1"/>
          <w:sz w:val="28"/>
          <w:szCs w:val="28"/>
          <w:highlight w:val="none"/>
          <w14:textFill>
            <w14:solidFill>
              <w14:schemeClr w14:val="tx1"/>
            </w14:solidFill>
          </w14:textFill>
        </w:rPr>
      </w:pPr>
      <w:r>
        <w:rPr>
          <w:rFonts w:asciiTheme="minorEastAsia" w:hAnsiTheme="minorEastAsia" w:eastAsiaTheme="minorEastAsia"/>
          <w:color w:val="000000" w:themeColor="text1"/>
          <w:sz w:val="28"/>
          <w:szCs w:val="28"/>
          <w:highlight w:val="none"/>
          <w14:textFill>
            <w14:solidFill>
              <w14:schemeClr w14:val="tx1"/>
            </w14:solidFill>
          </w14:textFill>
        </w:rPr>
        <w:t>5.2</w:t>
      </w:r>
      <w:r>
        <w:rPr>
          <w:rFonts w:hint="eastAsia" w:asciiTheme="minorEastAsia" w:hAnsiTheme="minorEastAsia" w:eastAsiaTheme="minorEastAsia"/>
          <w:color w:val="000000" w:themeColor="text1"/>
          <w:sz w:val="28"/>
          <w:szCs w:val="28"/>
          <w:highlight w:val="none"/>
          <w14:textFill>
            <w14:solidFill>
              <w14:schemeClr w14:val="tx1"/>
            </w14:solidFill>
          </w14:textFill>
        </w:rPr>
        <w:t>评标委员会独立对每个</w:t>
      </w:r>
      <w:r>
        <w:rPr>
          <w:rFonts w:hint="eastAsia" w:asciiTheme="minorEastAsia" w:hAnsiTheme="minorEastAsia" w:eastAsiaTheme="minorEastAsia"/>
          <w:color w:val="000000" w:themeColor="text1"/>
          <w:sz w:val="28"/>
          <w:szCs w:val="28"/>
          <w:highlight w:val="none"/>
          <w:lang w:eastAsia="zh-CN"/>
          <w14:textFill>
            <w14:solidFill>
              <w14:schemeClr w14:val="tx1"/>
            </w14:solidFill>
          </w14:textFill>
        </w:rPr>
        <w:t>供应商</w:t>
      </w:r>
      <w:r>
        <w:rPr>
          <w:rFonts w:hint="eastAsia" w:asciiTheme="minorEastAsia" w:hAnsiTheme="minorEastAsia" w:eastAsiaTheme="minorEastAsia"/>
          <w:color w:val="000000" w:themeColor="text1"/>
          <w:sz w:val="28"/>
          <w:szCs w:val="28"/>
          <w:highlight w:val="none"/>
          <w14:textFill>
            <w14:solidFill>
              <w14:schemeClr w14:val="tx1"/>
            </w14:solidFill>
          </w14:textFill>
        </w:rPr>
        <w:t>的投标文件进行评价，并汇总每个</w:t>
      </w:r>
      <w:r>
        <w:rPr>
          <w:rFonts w:hint="eastAsia" w:asciiTheme="minorEastAsia" w:hAnsiTheme="minorEastAsia" w:eastAsiaTheme="minorEastAsia"/>
          <w:color w:val="000000" w:themeColor="text1"/>
          <w:sz w:val="28"/>
          <w:szCs w:val="28"/>
          <w:highlight w:val="none"/>
          <w:lang w:eastAsia="zh-CN"/>
          <w14:textFill>
            <w14:solidFill>
              <w14:schemeClr w14:val="tx1"/>
            </w14:solidFill>
          </w14:textFill>
        </w:rPr>
        <w:t>供应商</w:t>
      </w:r>
      <w:r>
        <w:rPr>
          <w:rFonts w:hint="eastAsia" w:asciiTheme="minorEastAsia" w:hAnsiTheme="minorEastAsia" w:eastAsiaTheme="minorEastAsia"/>
          <w:color w:val="000000" w:themeColor="text1"/>
          <w:sz w:val="28"/>
          <w:szCs w:val="28"/>
          <w:highlight w:val="none"/>
          <w14:textFill>
            <w14:solidFill>
              <w14:schemeClr w14:val="tx1"/>
            </w14:solidFill>
          </w14:textFill>
        </w:rPr>
        <w:t>的得分。</w:t>
      </w:r>
    </w:p>
    <w:p w14:paraId="2F991F9B">
      <w:pPr>
        <w:keepNext w:val="0"/>
        <w:keepLines w:val="0"/>
        <w:pageBreakBefore w:val="0"/>
        <w:widowControl/>
        <w:numPr>
          <w:ilvl w:val="0"/>
          <w:numId w:val="2"/>
        </w:numPr>
        <w:kinsoku/>
        <w:wordWrap/>
        <w:overflowPunct/>
        <w:topLinePunct w:val="0"/>
        <w:autoSpaceDE/>
        <w:autoSpaceDN/>
        <w:bidi w:val="0"/>
        <w:adjustRightInd/>
        <w:snapToGrid/>
        <w:spacing w:line="560" w:lineRule="exact"/>
        <w:ind w:firstLine="560" w:firstLineChars="200"/>
        <w:jc w:val="left"/>
        <w:textAlignment w:val="auto"/>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评审委员会成员要根据政府采购法律法规和采购文件所载明的评审方法、标准进行评审。对供应商的价格分等客观评分项的评分应当一致，对其他需要借助专业知识评判的主观评分项，应当严格按照评分细则公正评分。</w:t>
      </w:r>
    </w:p>
    <w:p w14:paraId="2F7FD0BC">
      <w:pPr>
        <w:keepNext w:val="0"/>
        <w:keepLines w:val="0"/>
        <w:pageBreakBefore w:val="0"/>
        <w:widowControl/>
        <w:numPr>
          <w:ilvl w:val="0"/>
          <w:numId w:val="2"/>
        </w:numPr>
        <w:kinsoku/>
        <w:wordWrap/>
        <w:overflowPunct/>
        <w:topLinePunct w:val="0"/>
        <w:autoSpaceDE/>
        <w:autoSpaceDN/>
        <w:bidi w:val="0"/>
        <w:adjustRightInd/>
        <w:snapToGrid/>
        <w:spacing w:line="560" w:lineRule="exact"/>
        <w:ind w:firstLine="560" w:firstLineChars="200"/>
        <w:jc w:val="left"/>
        <w:textAlignment w:val="auto"/>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评标委员会认为</w:t>
      </w:r>
      <w:r>
        <w:rPr>
          <w:rFonts w:hint="eastAsia" w:asciiTheme="minorEastAsia" w:hAnsiTheme="minorEastAsia" w:eastAsiaTheme="minorEastAsia"/>
          <w:color w:val="000000" w:themeColor="text1"/>
          <w:sz w:val="28"/>
          <w:szCs w:val="28"/>
          <w:highlight w:val="none"/>
          <w:lang w:eastAsia="zh-CN"/>
          <w14:textFill>
            <w14:solidFill>
              <w14:schemeClr w14:val="tx1"/>
            </w14:solidFill>
          </w14:textFill>
        </w:rPr>
        <w:t>供应商</w:t>
      </w:r>
      <w:r>
        <w:rPr>
          <w:rFonts w:hint="eastAsia" w:asciiTheme="minorEastAsia" w:hAnsiTheme="minorEastAsia" w:eastAsiaTheme="minorEastAsia"/>
          <w:color w:val="000000" w:themeColor="text1"/>
          <w:sz w:val="28"/>
          <w:szCs w:val="28"/>
          <w:highlight w:val="none"/>
          <w14:textFill>
            <w14:solidFill>
              <w14:schemeClr w14:val="tx1"/>
            </w14:solidFill>
          </w14:textFill>
        </w:rPr>
        <w:t>的报价明显低于其他通过符合性审查</w:t>
      </w:r>
      <w:r>
        <w:rPr>
          <w:rFonts w:hint="eastAsia" w:asciiTheme="minorEastAsia" w:hAnsiTheme="minorEastAsia" w:eastAsiaTheme="minorEastAsia"/>
          <w:color w:val="000000" w:themeColor="text1"/>
          <w:sz w:val="28"/>
          <w:szCs w:val="28"/>
          <w:highlight w:val="none"/>
          <w:lang w:eastAsia="zh-CN"/>
          <w14:textFill>
            <w14:solidFill>
              <w14:schemeClr w14:val="tx1"/>
            </w14:solidFill>
          </w14:textFill>
        </w:rPr>
        <w:t>供应商</w:t>
      </w:r>
      <w:r>
        <w:rPr>
          <w:rFonts w:hint="eastAsia" w:asciiTheme="minorEastAsia" w:hAnsiTheme="minorEastAsia" w:eastAsiaTheme="minorEastAsia"/>
          <w:color w:val="000000" w:themeColor="text1"/>
          <w:sz w:val="28"/>
          <w:szCs w:val="28"/>
          <w:highlight w:val="none"/>
          <w14:textFill>
            <w14:solidFill>
              <w14:schemeClr w14:val="tx1"/>
            </w14:solidFill>
          </w14:textFill>
        </w:rPr>
        <w:t>的报价，有可能影响产品质量或者不能诚信履约的，应当要求其在评标现场合理的时间内提供书面说明，必要时提交相关证明材料；</w:t>
      </w:r>
      <w:r>
        <w:rPr>
          <w:rFonts w:hint="eastAsia" w:asciiTheme="minorEastAsia" w:hAnsiTheme="minorEastAsia" w:eastAsiaTheme="minorEastAsia"/>
          <w:color w:val="000000" w:themeColor="text1"/>
          <w:sz w:val="28"/>
          <w:szCs w:val="28"/>
          <w:highlight w:val="none"/>
          <w:lang w:eastAsia="zh-CN"/>
          <w14:textFill>
            <w14:solidFill>
              <w14:schemeClr w14:val="tx1"/>
            </w14:solidFill>
          </w14:textFill>
        </w:rPr>
        <w:t>供应商</w:t>
      </w:r>
      <w:r>
        <w:rPr>
          <w:rFonts w:hint="eastAsia" w:asciiTheme="minorEastAsia" w:hAnsiTheme="minorEastAsia" w:eastAsiaTheme="minorEastAsia"/>
          <w:color w:val="000000" w:themeColor="text1"/>
          <w:sz w:val="28"/>
          <w:szCs w:val="28"/>
          <w:highlight w:val="none"/>
          <w14:textFill>
            <w14:solidFill>
              <w14:schemeClr w14:val="tx1"/>
            </w14:solidFill>
          </w14:textFill>
        </w:rPr>
        <w:t>不能证明其报价合理性的，评标委员会将其作为无效投标处理。</w:t>
      </w:r>
    </w:p>
    <w:p w14:paraId="230386BD">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asciiTheme="minorEastAsia" w:hAnsiTheme="minorEastAsia" w:eastAsiaTheme="minorEastAsia"/>
          <w:color w:val="000000" w:themeColor="text1"/>
          <w:sz w:val="28"/>
          <w:szCs w:val="28"/>
          <w:highlight w:val="none"/>
          <w14:textFill>
            <w14:solidFill>
              <w14:schemeClr w14:val="tx1"/>
            </w14:solidFill>
          </w14:textFill>
        </w:rPr>
      </w:pPr>
      <w:r>
        <w:rPr>
          <w:rFonts w:asciiTheme="minorEastAsia" w:hAnsiTheme="minorEastAsia" w:eastAsiaTheme="minorEastAsia"/>
          <w:color w:val="000000" w:themeColor="text1"/>
          <w:sz w:val="28"/>
          <w:szCs w:val="28"/>
          <w:highlight w:val="none"/>
          <w14:textFill>
            <w14:solidFill>
              <w14:schemeClr w14:val="tx1"/>
            </w14:solidFill>
          </w14:textFill>
        </w:rPr>
        <w:t>5.3</w:t>
      </w:r>
      <w:r>
        <w:rPr>
          <w:rFonts w:hint="eastAsia" w:asciiTheme="minorEastAsia" w:hAnsiTheme="minorEastAsia" w:eastAsiaTheme="minorEastAsia"/>
          <w:color w:val="000000" w:themeColor="text1"/>
          <w:sz w:val="28"/>
          <w:szCs w:val="28"/>
          <w:highlight w:val="none"/>
          <w14:textFill>
            <w14:solidFill>
              <w14:schemeClr w14:val="tx1"/>
            </w14:solidFill>
          </w14:textFill>
        </w:rPr>
        <w:t>评标委员会按照招标文件中规定的评标方法和标准计算各</w:t>
      </w:r>
      <w:r>
        <w:rPr>
          <w:rFonts w:hint="eastAsia" w:asciiTheme="minorEastAsia" w:hAnsiTheme="minorEastAsia" w:eastAsiaTheme="minorEastAsia"/>
          <w:color w:val="000000" w:themeColor="text1"/>
          <w:sz w:val="28"/>
          <w:szCs w:val="28"/>
          <w:highlight w:val="none"/>
          <w:lang w:eastAsia="zh-CN"/>
          <w14:textFill>
            <w14:solidFill>
              <w14:schemeClr w14:val="tx1"/>
            </w14:solidFill>
          </w14:textFill>
        </w:rPr>
        <w:t>供应商</w:t>
      </w:r>
      <w:r>
        <w:rPr>
          <w:rFonts w:hint="eastAsia" w:asciiTheme="minorEastAsia" w:hAnsiTheme="minorEastAsia" w:eastAsiaTheme="minorEastAsia"/>
          <w:color w:val="000000" w:themeColor="text1"/>
          <w:sz w:val="28"/>
          <w:szCs w:val="28"/>
          <w:highlight w:val="none"/>
          <w14:textFill>
            <w14:solidFill>
              <w14:schemeClr w14:val="tx1"/>
            </w14:solidFill>
          </w14:textFill>
        </w:rPr>
        <w:t>的报价得分。在计算过程中，不得去掉最高报价或者最低报价。</w:t>
      </w:r>
    </w:p>
    <w:p w14:paraId="628D7AF3">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asciiTheme="minorEastAsia" w:hAnsiTheme="minorEastAsia" w:eastAsiaTheme="minorEastAsia"/>
          <w:color w:val="000000" w:themeColor="text1"/>
          <w:sz w:val="28"/>
          <w:szCs w:val="28"/>
          <w:highlight w:val="none"/>
          <w14:textFill>
            <w14:solidFill>
              <w14:schemeClr w14:val="tx1"/>
            </w14:solidFill>
          </w14:textFill>
        </w:rPr>
      </w:pPr>
      <w:r>
        <w:rPr>
          <w:rFonts w:asciiTheme="minorEastAsia" w:hAnsiTheme="minorEastAsia" w:eastAsiaTheme="minorEastAsia"/>
          <w:color w:val="000000" w:themeColor="text1"/>
          <w:sz w:val="28"/>
          <w:szCs w:val="28"/>
          <w:highlight w:val="none"/>
          <w14:textFill>
            <w14:solidFill>
              <w14:schemeClr w14:val="tx1"/>
            </w14:solidFill>
          </w14:textFill>
        </w:rPr>
        <w:t>5.4</w:t>
      </w:r>
      <w:r>
        <w:rPr>
          <w:rFonts w:hint="eastAsia" w:asciiTheme="minorEastAsia" w:hAnsiTheme="minorEastAsia" w:eastAsiaTheme="minorEastAsia"/>
          <w:color w:val="000000" w:themeColor="text1"/>
          <w:sz w:val="28"/>
          <w:szCs w:val="28"/>
          <w:highlight w:val="none"/>
          <w14:textFill>
            <w14:solidFill>
              <w14:schemeClr w14:val="tx1"/>
            </w14:solidFill>
          </w14:textFill>
        </w:rPr>
        <w:t>各</w:t>
      </w:r>
      <w:r>
        <w:rPr>
          <w:rFonts w:hint="eastAsia" w:asciiTheme="minorEastAsia" w:hAnsiTheme="minorEastAsia" w:eastAsiaTheme="minorEastAsia"/>
          <w:color w:val="000000" w:themeColor="text1"/>
          <w:sz w:val="28"/>
          <w:szCs w:val="28"/>
          <w:highlight w:val="none"/>
          <w:lang w:eastAsia="zh-CN"/>
          <w14:textFill>
            <w14:solidFill>
              <w14:schemeClr w14:val="tx1"/>
            </w14:solidFill>
          </w14:textFill>
        </w:rPr>
        <w:t>供应商</w:t>
      </w:r>
      <w:r>
        <w:rPr>
          <w:rFonts w:hint="eastAsia" w:asciiTheme="minorEastAsia" w:hAnsiTheme="minorEastAsia" w:eastAsiaTheme="minorEastAsia"/>
          <w:color w:val="000000" w:themeColor="text1"/>
          <w:sz w:val="28"/>
          <w:szCs w:val="28"/>
          <w:highlight w:val="none"/>
          <w14:textFill>
            <w14:solidFill>
              <w14:schemeClr w14:val="tx1"/>
            </w14:solidFill>
          </w14:textFill>
        </w:rPr>
        <w:t>的得分为所有评委的有效评分的算术平均数。</w:t>
      </w:r>
    </w:p>
    <w:p w14:paraId="72B426C0">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asciiTheme="minorEastAsia" w:hAnsiTheme="minorEastAsia" w:eastAsiaTheme="minorEastAsia"/>
          <w:color w:val="000000" w:themeColor="text1"/>
          <w:sz w:val="28"/>
          <w:szCs w:val="28"/>
          <w:highlight w:val="none"/>
          <w14:textFill>
            <w14:solidFill>
              <w14:schemeClr w14:val="tx1"/>
            </w14:solidFill>
          </w14:textFill>
        </w:rPr>
      </w:pPr>
      <w:r>
        <w:rPr>
          <w:rFonts w:asciiTheme="minorEastAsia" w:hAnsiTheme="minorEastAsia" w:eastAsiaTheme="minorEastAsia"/>
          <w:color w:val="000000" w:themeColor="text1"/>
          <w:sz w:val="28"/>
          <w:szCs w:val="28"/>
          <w:highlight w:val="none"/>
          <w14:textFill>
            <w14:solidFill>
              <w14:schemeClr w14:val="tx1"/>
            </w14:solidFill>
          </w14:textFill>
        </w:rPr>
        <w:t>5.5</w:t>
      </w:r>
      <w:r>
        <w:rPr>
          <w:rFonts w:hint="eastAsia" w:asciiTheme="minorEastAsia" w:hAnsiTheme="minorEastAsia" w:eastAsiaTheme="minorEastAsia"/>
          <w:color w:val="000000" w:themeColor="text1"/>
          <w:sz w:val="28"/>
          <w:szCs w:val="28"/>
          <w:highlight w:val="none"/>
          <w14:textFill>
            <w14:solidFill>
              <w14:schemeClr w14:val="tx1"/>
            </w14:solidFill>
          </w14:textFill>
        </w:rPr>
        <w:t>评标委员会按照招标文件中的规定推荐中标候选人。</w:t>
      </w:r>
    </w:p>
    <w:p w14:paraId="34C43993">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asciiTheme="minorEastAsia" w:hAnsiTheme="minorEastAsia" w:eastAsiaTheme="minorEastAsia"/>
          <w:color w:val="000000" w:themeColor="text1"/>
          <w:sz w:val="28"/>
          <w:szCs w:val="28"/>
          <w:highlight w:val="none"/>
          <w14:textFill>
            <w14:solidFill>
              <w14:schemeClr w14:val="tx1"/>
            </w14:solidFill>
          </w14:textFill>
        </w:rPr>
      </w:pPr>
      <w:r>
        <w:rPr>
          <w:rFonts w:asciiTheme="minorEastAsia" w:hAnsiTheme="minorEastAsia" w:eastAsiaTheme="minorEastAsia"/>
          <w:color w:val="000000" w:themeColor="text1"/>
          <w:sz w:val="28"/>
          <w:szCs w:val="28"/>
          <w:highlight w:val="none"/>
          <w14:textFill>
            <w14:solidFill>
              <w14:schemeClr w14:val="tx1"/>
            </w14:solidFill>
          </w14:textFill>
        </w:rPr>
        <w:t>5.6</w:t>
      </w:r>
      <w:r>
        <w:rPr>
          <w:rFonts w:hint="eastAsia" w:asciiTheme="minorEastAsia" w:hAnsiTheme="minorEastAsia" w:eastAsiaTheme="minorEastAsia"/>
          <w:color w:val="000000" w:themeColor="text1"/>
          <w:sz w:val="28"/>
          <w:szCs w:val="28"/>
          <w:highlight w:val="none"/>
          <w14:textFill>
            <w14:solidFill>
              <w14:schemeClr w14:val="tx1"/>
            </w14:solidFill>
          </w14:textFill>
        </w:rPr>
        <w:t>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应当在评标报告上签署不同意见及理由，否则视为同意评标报告。</w:t>
      </w:r>
    </w:p>
    <w:p w14:paraId="5D2CFF73">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asciiTheme="minorEastAsia" w:hAnsiTheme="minorEastAsia" w:eastAsia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b/>
          <w:color w:val="000000" w:themeColor="text1"/>
          <w:sz w:val="28"/>
          <w:szCs w:val="28"/>
          <w:highlight w:val="none"/>
          <w14:textFill>
            <w14:solidFill>
              <w14:schemeClr w14:val="tx1"/>
            </w14:solidFill>
          </w14:textFill>
        </w:rPr>
        <w:t>6.评审复核</w:t>
      </w:r>
    </w:p>
    <w:p w14:paraId="502A6A9B">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6.1评标报告签署前，评标委员会要对评审结果进行复核，复核意见要体现在评标报告中。</w:t>
      </w:r>
    </w:p>
    <w:p w14:paraId="33F1B0F6">
      <w:pPr>
        <w:keepNext w:val="0"/>
        <w:keepLines w:val="0"/>
        <w:pageBreakBefore w:val="0"/>
        <w:widowControl/>
        <w:kinsoku/>
        <w:wordWrap/>
        <w:overflowPunct/>
        <w:topLinePunct w:val="0"/>
        <w:autoSpaceDE/>
        <w:autoSpaceDN/>
        <w:bidi w:val="0"/>
        <w:adjustRightInd w:val="0"/>
        <w:snapToGrid w:val="0"/>
        <w:spacing w:line="560" w:lineRule="exact"/>
        <w:ind w:firstLine="560" w:firstLineChars="200"/>
        <w:jc w:val="left"/>
        <w:textAlignment w:val="baseline"/>
        <w:rPr>
          <w:rFonts w:asciiTheme="minorEastAsia" w:hAnsiTheme="minorEastAsia" w:eastAsiaTheme="minorEastAsia"/>
          <w:color w:val="000000" w:themeColor="text1"/>
          <w:sz w:val="28"/>
          <w:szCs w:val="28"/>
          <w:highlight w:val="none"/>
          <w14:textFill>
            <w14:solidFill>
              <w14:schemeClr w14:val="tx1"/>
            </w14:solidFill>
          </w14:textFill>
        </w:rPr>
      </w:pPr>
      <w:r>
        <w:rPr>
          <w:rFonts w:asciiTheme="minorEastAsia" w:hAnsiTheme="minorEastAsia" w:eastAsiaTheme="minorEastAsia"/>
          <w:color w:val="000000" w:themeColor="text1"/>
          <w:sz w:val="28"/>
          <w:szCs w:val="28"/>
          <w:highlight w:val="none"/>
          <w14:textFill>
            <w14:solidFill>
              <w14:schemeClr w14:val="tx1"/>
            </w14:solidFill>
          </w14:textFill>
        </w:rPr>
        <w:t>6.2</w:t>
      </w:r>
      <w:r>
        <w:rPr>
          <w:rFonts w:hint="eastAsia" w:asciiTheme="minorEastAsia" w:hAnsiTheme="minorEastAsia" w:eastAsiaTheme="minorEastAsia"/>
          <w:color w:val="000000" w:themeColor="text1"/>
          <w:sz w:val="28"/>
          <w:szCs w:val="28"/>
          <w:highlight w:val="none"/>
          <w14:textFill>
            <w14:solidFill>
              <w14:schemeClr w14:val="tx1"/>
            </w14:solidFill>
          </w14:textFill>
        </w:rPr>
        <w:t>评标结果汇总完成后，除下列情形外，任何人不得修改评标结果：</w:t>
      </w:r>
    </w:p>
    <w:p w14:paraId="3A4B7B10">
      <w:pPr>
        <w:keepNext w:val="0"/>
        <w:keepLines w:val="0"/>
        <w:pageBreakBefore w:val="0"/>
        <w:widowControl/>
        <w:kinsoku/>
        <w:wordWrap/>
        <w:overflowPunct/>
        <w:topLinePunct w:val="0"/>
        <w:autoSpaceDE/>
        <w:autoSpaceDN/>
        <w:bidi w:val="0"/>
        <w:adjustRightInd w:val="0"/>
        <w:snapToGrid w:val="0"/>
        <w:spacing w:line="560" w:lineRule="exact"/>
        <w:jc w:val="left"/>
        <w:textAlignment w:val="baseline"/>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　　（一）分值汇总计算错误的；</w:t>
      </w:r>
    </w:p>
    <w:p w14:paraId="5911CE0D">
      <w:pPr>
        <w:keepNext w:val="0"/>
        <w:keepLines w:val="0"/>
        <w:pageBreakBefore w:val="0"/>
        <w:widowControl/>
        <w:kinsoku/>
        <w:wordWrap/>
        <w:overflowPunct/>
        <w:topLinePunct w:val="0"/>
        <w:autoSpaceDE/>
        <w:autoSpaceDN/>
        <w:bidi w:val="0"/>
        <w:adjustRightInd w:val="0"/>
        <w:snapToGrid w:val="0"/>
        <w:spacing w:line="560" w:lineRule="exact"/>
        <w:jc w:val="left"/>
        <w:textAlignment w:val="baseline"/>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　　（二）分项评分超出评分标准范围的；</w:t>
      </w:r>
    </w:p>
    <w:p w14:paraId="4FBD97C8">
      <w:pPr>
        <w:keepNext w:val="0"/>
        <w:keepLines w:val="0"/>
        <w:pageBreakBefore w:val="0"/>
        <w:widowControl/>
        <w:kinsoku/>
        <w:wordWrap/>
        <w:overflowPunct/>
        <w:topLinePunct w:val="0"/>
        <w:autoSpaceDE/>
        <w:autoSpaceDN/>
        <w:bidi w:val="0"/>
        <w:adjustRightInd w:val="0"/>
        <w:snapToGrid w:val="0"/>
        <w:spacing w:line="560" w:lineRule="exact"/>
        <w:jc w:val="left"/>
        <w:textAlignment w:val="baseline"/>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　　（三）评标委员会成员对客观评审因素评分不一致的；</w:t>
      </w:r>
    </w:p>
    <w:p w14:paraId="46CB44FB">
      <w:pPr>
        <w:keepNext w:val="0"/>
        <w:keepLines w:val="0"/>
        <w:pageBreakBefore w:val="0"/>
        <w:widowControl/>
        <w:kinsoku/>
        <w:wordWrap/>
        <w:overflowPunct/>
        <w:topLinePunct w:val="0"/>
        <w:autoSpaceDE/>
        <w:autoSpaceDN/>
        <w:bidi w:val="0"/>
        <w:adjustRightInd w:val="0"/>
        <w:snapToGrid w:val="0"/>
        <w:spacing w:line="560" w:lineRule="exact"/>
        <w:jc w:val="left"/>
        <w:textAlignment w:val="baseline"/>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　　（四）经评标委员会认定评分畸高、畸低的。</w:t>
      </w:r>
    </w:p>
    <w:p w14:paraId="2863A882">
      <w:pPr>
        <w:keepNext w:val="0"/>
        <w:keepLines w:val="0"/>
        <w:pageBreakBefore w:val="0"/>
        <w:kinsoku/>
        <w:wordWrap/>
        <w:overflowPunct/>
        <w:topLinePunct w:val="0"/>
        <w:autoSpaceDE/>
        <w:autoSpaceDN/>
        <w:bidi w:val="0"/>
        <w:adjustRightInd w:val="0"/>
        <w:snapToGrid w:val="0"/>
        <w:spacing w:line="560" w:lineRule="exact"/>
        <w:ind w:firstLine="560" w:firstLineChars="200"/>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0F14BA80">
      <w:pPr>
        <w:pageBreakBefore w:val="0"/>
        <w:widowControl/>
        <w:wordWrap/>
        <w:topLinePunct w:val="0"/>
        <w:bidi w:val="0"/>
        <w:spacing w:line="560" w:lineRule="exact"/>
        <w:jc w:val="left"/>
        <w:rPr>
          <w:rFonts w:asciiTheme="minorEastAsia" w:hAnsiTheme="minorEastAsia" w:eastAsiaTheme="minorEastAsia"/>
          <w:color w:val="000000" w:themeColor="text1"/>
          <w:sz w:val="28"/>
          <w:szCs w:val="28"/>
          <w:highlight w:val="none"/>
          <w14:textFill>
            <w14:solidFill>
              <w14:schemeClr w14:val="tx1"/>
            </w14:solidFill>
          </w14:textFill>
        </w:rPr>
      </w:pPr>
      <w:r>
        <w:rPr>
          <w:rFonts w:asciiTheme="minorEastAsia" w:hAnsiTheme="minorEastAsia" w:eastAsiaTheme="minorEastAsia"/>
          <w:color w:val="000000" w:themeColor="text1"/>
          <w:sz w:val="28"/>
          <w:szCs w:val="28"/>
          <w:highlight w:val="none"/>
          <w14:textFill>
            <w14:solidFill>
              <w14:schemeClr w14:val="tx1"/>
            </w14:solidFill>
          </w14:textFill>
        </w:rPr>
        <w:br w:type="page"/>
      </w:r>
    </w:p>
    <w:tbl>
      <w:tblPr>
        <w:tblStyle w:val="34"/>
        <w:tblpPr w:leftFromText="180" w:rightFromText="180" w:vertAnchor="text" w:horzAnchor="margin" w:tblpY="272"/>
        <w:tblOverlap w:val="never"/>
        <w:tblW w:w="9532" w:type="dxa"/>
        <w:tblInd w:w="0"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75" w:type="dxa"/>
          <w:left w:w="75" w:type="dxa"/>
          <w:bottom w:w="75" w:type="dxa"/>
          <w:right w:w="75" w:type="dxa"/>
        </w:tblCellMar>
      </w:tblPr>
      <w:tblGrid>
        <w:gridCol w:w="430"/>
        <w:gridCol w:w="495"/>
        <w:gridCol w:w="1852"/>
        <w:gridCol w:w="5020"/>
        <w:gridCol w:w="879"/>
        <w:gridCol w:w="856"/>
      </w:tblGrid>
      <w:tr w14:paraId="2BE52E70">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23" w:hRule="atLeast"/>
        </w:trPr>
        <w:tc>
          <w:tcPr>
            <w:tcW w:w="925" w:type="dxa"/>
            <w:gridSpan w:val="2"/>
            <w:vMerge w:val="restart"/>
            <w:tcBorders>
              <w:top w:val="outset" w:color="auto" w:sz="6" w:space="0"/>
              <w:left w:val="outset" w:color="auto" w:sz="6" w:space="0"/>
              <w:bottom w:val="outset" w:color="auto" w:sz="6" w:space="0"/>
              <w:right w:val="outset" w:color="auto" w:sz="6" w:space="0"/>
            </w:tcBorders>
            <w:vAlign w:val="center"/>
          </w:tcPr>
          <w:p w14:paraId="529B805A">
            <w:pPr>
              <w:pStyle w:val="145"/>
              <w:pageBreakBefore w:val="0"/>
              <w:wordWrap/>
              <w:topLinePunct w:val="0"/>
              <w:bidi w:val="0"/>
              <w:spacing w:line="560" w:lineRule="exact"/>
              <w:jc w:val="center"/>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评分因素</w:t>
            </w:r>
          </w:p>
        </w:tc>
        <w:tc>
          <w:tcPr>
            <w:tcW w:w="1852" w:type="dxa"/>
            <w:vMerge w:val="restart"/>
            <w:tcBorders>
              <w:top w:val="outset" w:color="auto" w:sz="6" w:space="0"/>
              <w:left w:val="outset" w:color="auto" w:sz="6" w:space="0"/>
              <w:bottom w:val="outset" w:color="auto" w:sz="6" w:space="0"/>
              <w:right w:val="outset" w:color="auto" w:sz="6" w:space="0"/>
            </w:tcBorders>
            <w:vAlign w:val="center"/>
          </w:tcPr>
          <w:p w14:paraId="4741057D">
            <w:pPr>
              <w:pStyle w:val="145"/>
              <w:pageBreakBefore w:val="0"/>
              <w:wordWrap/>
              <w:topLinePunct w:val="0"/>
              <w:bidi w:val="0"/>
              <w:spacing w:line="560" w:lineRule="exact"/>
              <w:jc w:val="center"/>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评分点</w:t>
            </w:r>
          </w:p>
        </w:tc>
        <w:tc>
          <w:tcPr>
            <w:tcW w:w="5020" w:type="dxa"/>
            <w:vMerge w:val="restart"/>
            <w:tcBorders>
              <w:top w:val="outset" w:color="auto" w:sz="6" w:space="0"/>
              <w:left w:val="outset" w:color="auto" w:sz="6" w:space="0"/>
              <w:bottom w:val="outset" w:color="auto" w:sz="6" w:space="0"/>
              <w:right w:val="outset" w:color="auto" w:sz="6" w:space="0"/>
            </w:tcBorders>
            <w:vAlign w:val="center"/>
          </w:tcPr>
          <w:p w14:paraId="0DE3E58D">
            <w:pPr>
              <w:pStyle w:val="145"/>
              <w:pageBreakBefore w:val="0"/>
              <w:wordWrap/>
              <w:topLinePunct w:val="0"/>
              <w:bidi w:val="0"/>
              <w:spacing w:line="560" w:lineRule="exact"/>
              <w:jc w:val="center"/>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评分标准</w:t>
            </w:r>
          </w:p>
        </w:tc>
        <w:tc>
          <w:tcPr>
            <w:tcW w:w="1735" w:type="dxa"/>
            <w:gridSpan w:val="2"/>
            <w:tcBorders>
              <w:top w:val="outset" w:color="auto" w:sz="6" w:space="0"/>
              <w:left w:val="outset" w:color="auto" w:sz="6" w:space="0"/>
              <w:bottom w:val="outset" w:color="auto" w:sz="6" w:space="0"/>
              <w:right w:val="outset" w:color="auto" w:sz="6" w:space="0"/>
            </w:tcBorders>
            <w:vAlign w:val="center"/>
          </w:tcPr>
          <w:p w14:paraId="60ED4707">
            <w:pPr>
              <w:pStyle w:val="145"/>
              <w:pageBreakBefore w:val="0"/>
              <w:wordWrap/>
              <w:topLinePunct w:val="0"/>
              <w:bidi w:val="0"/>
              <w:spacing w:line="560" w:lineRule="exact"/>
              <w:jc w:val="center"/>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评审意见</w:t>
            </w:r>
          </w:p>
        </w:tc>
      </w:tr>
      <w:tr w14:paraId="128A6DA1">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23" w:hRule="atLeast"/>
        </w:trPr>
        <w:tc>
          <w:tcPr>
            <w:tcW w:w="925" w:type="dxa"/>
            <w:gridSpan w:val="2"/>
            <w:vMerge w:val="continue"/>
            <w:tcBorders>
              <w:top w:val="outset" w:color="auto" w:sz="6" w:space="0"/>
              <w:left w:val="outset" w:color="auto" w:sz="6" w:space="0"/>
              <w:bottom w:val="outset" w:color="auto" w:sz="6" w:space="0"/>
              <w:right w:val="outset" w:color="auto" w:sz="6" w:space="0"/>
            </w:tcBorders>
            <w:vAlign w:val="center"/>
          </w:tcPr>
          <w:p w14:paraId="582B4991">
            <w:pPr>
              <w:pStyle w:val="145"/>
              <w:pageBreakBefore w:val="0"/>
              <w:wordWrap/>
              <w:topLinePunct w:val="0"/>
              <w:bidi w:val="0"/>
              <w:spacing w:line="560" w:lineRule="exact"/>
              <w:jc w:val="center"/>
              <w:rPr>
                <w:rFonts w:cs="宋体" w:asciiTheme="minorEastAsia" w:hAnsiTheme="minorEastAsia" w:eastAsiaTheme="minorEastAsia"/>
                <w:color w:val="000000" w:themeColor="text1"/>
                <w:sz w:val="28"/>
                <w:szCs w:val="28"/>
                <w:highlight w:val="none"/>
                <w14:textFill>
                  <w14:solidFill>
                    <w14:schemeClr w14:val="tx1"/>
                  </w14:solidFill>
                </w14:textFill>
              </w:rPr>
            </w:pPr>
          </w:p>
        </w:tc>
        <w:tc>
          <w:tcPr>
            <w:tcW w:w="1852" w:type="dxa"/>
            <w:vMerge w:val="continue"/>
            <w:tcBorders>
              <w:top w:val="outset" w:color="auto" w:sz="6" w:space="0"/>
              <w:left w:val="outset" w:color="auto" w:sz="6" w:space="0"/>
              <w:bottom w:val="outset" w:color="auto" w:sz="6" w:space="0"/>
              <w:right w:val="outset" w:color="auto" w:sz="6" w:space="0"/>
            </w:tcBorders>
            <w:vAlign w:val="center"/>
          </w:tcPr>
          <w:p w14:paraId="6E8ECF32">
            <w:pPr>
              <w:pStyle w:val="145"/>
              <w:pageBreakBefore w:val="0"/>
              <w:wordWrap/>
              <w:topLinePunct w:val="0"/>
              <w:bidi w:val="0"/>
              <w:spacing w:line="560" w:lineRule="exact"/>
              <w:jc w:val="center"/>
              <w:rPr>
                <w:rFonts w:cs="宋体" w:asciiTheme="minorEastAsia" w:hAnsiTheme="minorEastAsia" w:eastAsiaTheme="minorEastAsia"/>
                <w:color w:val="000000" w:themeColor="text1"/>
                <w:sz w:val="28"/>
                <w:szCs w:val="28"/>
                <w:highlight w:val="none"/>
                <w14:textFill>
                  <w14:solidFill>
                    <w14:schemeClr w14:val="tx1"/>
                  </w14:solidFill>
                </w14:textFill>
              </w:rPr>
            </w:pPr>
          </w:p>
        </w:tc>
        <w:tc>
          <w:tcPr>
            <w:tcW w:w="5020" w:type="dxa"/>
            <w:vMerge w:val="continue"/>
            <w:tcBorders>
              <w:top w:val="outset" w:color="auto" w:sz="6" w:space="0"/>
              <w:left w:val="outset" w:color="auto" w:sz="6" w:space="0"/>
              <w:bottom w:val="outset" w:color="auto" w:sz="6" w:space="0"/>
              <w:right w:val="outset" w:color="auto" w:sz="6" w:space="0"/>
            </w:tcBorders>
            <w:vAlign w:val="center"/>
          </w:tcPr>
          <w:p w14:paraId="77F45F37">
            <w:pPr>
              <w:pStyle w:val="145"/>
              <w:pageBreakBefore w:val="0"/>
              <w:wordWrap/>
              <w:topLinePunct w:val="0"/>
              <w:bidi w:val="0"/>
              <w:spacing w:line="560" w:lineRule="exact"/>
              <w:jc w:val="center"/>
              <w:rPr>
                <w:rFonts w:cs="宋体" w:asciiTheme="minorEastAsia" w:hAnsiTheme="minorEastAsia" w:eastAsiaTheme="minorEastAsia"/>
                <w:color w:val="000000" w:themeColor="text1"/>
                <w:sz w:val="28"/>
                <w:szCs w:val="28"/>
                <w:highlight w:val="none"/>
                <w14:textFill>
                  <w14:solidFill>
                    <w14:schemeClr w14:val="tx1"/>
                  </w14:solidFill>
                </w14:textFill>
              </w:rPr>
            </w:pPr>
          </w:p>
        </w:tc>
        <w:tc>
          <w:tcPr>
            <w:tcW w:w="879" w:type="dxa"/>
            <w:tcBorders>
              <w:top w:val="outset" w:color="auto" w:sz="6" w:space="0"/>
              <w:left w:val="outset" w:color="auto" w:sz="6" w:space="0"/>
              <w:bottom w:val="outset" w:color="auto" w:sz="6" w:space="0"/>
              <w:right w:val="outset" w:color="auto" w:sz="6" w:space="0"/>
            </w:tcBorders>
            <w:vAlign w:val="center"/>
          </w:tcPr>
          <w:p w14:paraId="38A7464C">
            <w:pPr>
              <w:pStyle w:val="145"/>
              <w:pageBreakBefore w:val="0"/>
              <w:wordWrap/>
              <w:topLinePunct w:val="0"/>
              <w:bidi w:val="0"/>
              <w:spacing w:line="560" w:lineRule="exact"/>
              <w:jc w:val="center"/>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是</w:t>
            </w:r>
          </w:p>
        </w:tc>
        <w:tc>
          <w:tcPr>
            <w:tcW w:w="856" w:type="dxa"/>
            <w:tcBorders>
              <w:top w:val="outset" w:color="auto" w:sz="6" w:space="0"/>
              <w:left w:val="outset" w:color="auto" w:sz="6" w:space="0"/>
              <w:bottom w:val="outset" w:color="auto" w:sz="6" w:space="0"/>
              <w:right w:val="outset" w:color="auto" w:sz="6" w:space="0"/>
            </w:tcBorders>
            <w:vAlign w:val="center"/>
          </w:tcPr>
          <w:p w14:paraId="2BCF4AB5">
            <w:pPr>
              <w:pStyle w:val="145"/>
              <w:pageBreakBefore w:val="0"/>
              <w:wordWrap/>
              <w:topLinePunct w:val="0"/>
              <w:bidi w:val="0"/>
              <w:spacing w:line="560" w:lineRule="exact"/>
              <w:jc w:val="center"/>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否</w:t>
            </w:r>
          </w:p>
        </w:tc>
      </w:tr>
      <w:tr w14:paraId="5F9726D3">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23" w:hRule="atLeast"/>
        </w:trPr>
        <w:tc>
          <w:tcPr>
            <w:tcW w:w="430" w:type="dxa"/>
            <w:vMerge w:val="restart"/>
            <w:tcBorders>
              <w:top w:val="outset" w:color="auto" w:sz="6" w:space="0"/>
              <w:left w:val="outset" w:color="auto" w:sz="6" w:space="0"/>
              <w:right w:val="outset" w:color="auto" w:sz="6" w:space="0"/>
            </w:tcBorders>
            <w:vAlign w:val="center"/>
          </w:tcPr>
          <w:p w14:paraId="7AE5142A">
            <w:pPr>
              <w:pStyle w:val="145"/>
              <w:pageBreakBefore w:val="0"/>
              <w:wordWrap/>
              <w:topLinePunct w:val="0"/>
              <w:bidi w:val="0"/>
              <w:spacing w:line="560" w:lineRule="exact"/>
              <w:jc w:val="center"/>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初步评审</w:t>
            </w:r>
          </w:p>
        </w:tc>
        <w:tc>
          <w:tcPr>
            <w:tcW w:w="495" w:type="dxa"/>
            <w:vMerge w:val="restart"/>
            <w:tcBorders>
              <w:top w:val="outset" w:color="auto" w:sz="6" w:space="0"/>
              <w:left w:val="outset" w:color="auto" w:sz="6" w:space="0"/>
              <w:right w:val="outset" w:color="auto" w:sz="6" w:space="0"/>
            </w:tcBorders>
            <w:vAlign w:val="center"/>
          </w:tcPr>
          <w:p w14:paraId="03863062">
            <w:pPr>
              <w:pStyle w:val="145"/>
              <w:pageBreakBefore w:val="0"/>
              <w:wordWrap/>
              <w:topLinePunct w:val="0"/>
              <w:bidi w:val="0"/>
              <w:spacing w:line="560" w:lineRule="exact"/>
              <w:jc w:val="center"/>
              <w:rPr>
                <w:rFonts w:hint="eastAsia" w:cs="宋体" w:asciiTheme="minorEastAsia" w:hAnsiTheme="minorEastAsia" w:eastAsiaTheme="minorEastAsia"/>
                <w:color w:val="000000" w:themeColor="text1"/>
                <w:sz w:val="28"/>
                <w:szCs w:val="28"/>
                <w:highlight w:val="none"/>
                <w:lang w:eastAsia="zh-CN"/>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资格</w:t>
            </w:r>
            <w:r>
              <w:rPr>
                <w:rFonts w:hint="eastAsia" w:cs="宋体" w:asciiTheme="minorEastAsia" w:hAnsiTheme="minorEastAsia" w:eastAsiaTheme="minorEastAsia"/>
                <w:color w:val="000000" w:themeColor="text1"/>
                <w:sz w:val="28"/>
                <w:szCs w:val="28"/>
                <w:highlight w:val="none"/>
                <w:lang w:eastAsia="zh-CN"/>
                <w14:textFill>
                  <w14:solidFill>
                    <w14:schemeClr w14:val="tx1"/>
                  </w14:solidFill>
                </w14:textFill>
              </w:rPr>
              <w:t>性</w:t>
            </w:r>
          </w:p>
          <w:p w14:paraId="755FCABB">
            <w:pPr>
              <w:pStyle w:val="145"/>
              <w:pageBreakBefore w:val="0"/>
              <w:wordWrap/>
              <w:topLinePunct w:val="0"/>
              <w:bidi w:val="0"/>
              <w:spacing w:line="560" w:lineRule="exact"/>
              <w:jc w:val="center"/>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检查</w:t>
            </w:r>
          </w:p>
        </w:tc>
        <w:tc>
          <w:tcPr>
            <w:tcW w:w="1852" w:type="dxa"/>
            <w:tcBorders>
              <w:top w:val="outset" w:color="auto" w:sz="6" w:space="0"/>
              <w:left w:val="outset" w:color="auto" w:sz="6" w:space="0"/>
              <w:bottom w:val="outset" w:color="auto" w:sz="6" w:space="0"/>
              <w:right w:val="outset" w:color="auto" w:sz="6" w:space="0"/>
            </w:tcBorders>
            <w:vAlign w:val="center"/>
          </w:tcPr>
          <w:p w14:paraId="15FB3000">
            <w:pPr>
              <w:pStyle w:val="145"/>
              <w:pageBreakBefore w:val="0"/>
              <w:wordWrap/>
              <w:topLinePunct w:val="0"/>
              <w:bidi w:val="0"/>
              <w:adjustRightInd w:val="0"/>
              <w:snapToGrid w:val="0"/>
              <w:spacing w:line="560" w:lineRule="exact"/>
              <w:jc w:val="center"/>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营业执照</w:t>
            </w:r>
          </w:p>
        </w:tc>
        <w:tc>
          <w:tcPr>
            <w:tcW w:w="5020" w:type="dxa"/>
            <w:tcBorders>
              <w:top w:val="outset" w:color="auto" w:sz="6" w:space="0"/>
              <w:left w:val="outset" w:color="auto" w:sz="6" w:space="0"/>
              <w:bottom w:val="outset" w:color="auto" w:sz="6" w:space="0"/>
              <w:right w:val="outset" w:color="auto" w:sz="6" w:space="0"/>
            </w:tcBorders>
            <w:vAlign w:val="center"/>
          </w:tcPr>
          <w:p w14:paraId="5C6B3A5C">
            <w:pPr>
              <w:pStyle w:val="145"/>
              <w:pageBreakBefore w:val="0"/>
              <w:wordWrap/>
              <w:topLinePunct w:val="0"/>
              <w:bidi w:val="0"/>
              <w:adjustRightInd w:val="0"/>
              <w:snapToGrid w:val="0"/>
              <w:spacing w:line="560" w:lineRule="exact"/>
              <w:jc w:val="both"/>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lang w:eastAsia="zh-CN"/>
                <w14:textFill>
                  <w14:solidFill>
                    <w14:schemeClr w14:val="tx1"/>
                  </w14:solidFill>
                </w14:textFill>
              </w:rPr>
              <w:t>提供</w:t>
            </w:r>
            <w:r>
              <w:rPr>
                <w:rFonts w:hint="eastAsia" w:ascii="宋体" w:hAnsi="宋体" w:eastAsia="宋体" w:cs="宋体"/>
                <w:color w:val="000000" w:themeColor="text1"/>
                <w:sz w:val="28"/>
                <w:szCs w:val="28"/>
                <w:highlight w:val="none"/>
                <w14:textFill>
                  <w14:solidFill>
                    <w14:schemeClr w14:val="tx1"/>
                  </w14:solidFill>
                </w14:textFill>
              </w:rPr>
              <w:t>具有合法有效的营业执照</w:t>
            </w:r>
          </w:p>
        </w:tc>
        <w:tc>
          <w:tcPr>
            <w:tcW w:w="879" w:type="dxa"/>
            <w:tcBorders>
              <w:top w:val="outset" w:color="auto" w:sz="6" w:space="0"/>
              <w:left w:val="outset" w:color="auto" w:sz="6" w:space="0"/>
              <w:bottom w:val="outset" w:color="auto" w:sz="6" w:space="0"/>
              <w:right w:val="outset" w:color="auto" w:sz="6" w:space="0"/>
            </w:tcBorders>
            <w:vAlign w:val="center"/>
          </w:tcPr>
          <w:p w14:paraId="654929CD">
            <w:pPr>
              <w:pStyle w:val="145"/>
              <w:pageBreakBefore w:val="0"/>
              <w:wordWrap/>
              <w:topLinePunct w:val="0"/>
              <w:bidi w:val="0"/>
              <w:spacing w:line="560" w:lineRule="exact"/>
              <w:rPr>
                <w:rFonts w:cs="宋体" w:asciiTheme="minorEastAsia" w:hAnsiTheme="minorEastAsia" w:eastAsiaTheme="minorEastAsia"/>
                <w:color w:val="000000" w:themeColor="text1"/>
                <w:sz w:val="28"/>
                <w:szCs w:val="28"/>
                <w:highlight w:val="none"/>
                <w14:textFill>
                  <w14:solidFill>
                    <w14:schemeClr w14:val="tx1"/>
                  </w14:solidFill>
                </w14:textFill>
              </w:rPr>
            </w:pPr>
          </w:p>
        </w:tc>
        <w:tc>
          <w:tcPr>
            <w:tcW w:w="856" w:type="dxa"/>
            <w:tcBorders>
              <w:top w:val="outset" w:color="auto" w:sz="6" w:space="0"/>
              <w:left w:val="outset" w:color="auto" w:sz="6" w:space="0"/>
              <w:bottom w:val="outset" w:color="auto" w:sz="6" w:space="0"/>
              <w:right w:val="outset" w:color="auto" w:sz="6" w:space="0"/>
            </w:tcBorders>
            <w:vAlign w:val="center"/>
          </w:tcPr>
          <w:p w14:paraId="05F1449F">
            <w:pPr>
              <w:pStyle w:val="145"/>
              <w:pageBreakBefore w:val="0"/>
              <w:wordWrap/>
              <w:topLinePunct w:val="0"/>
              <w:bidi w:val="0"/>
              <w:spacing w:line="560" w:lineRule="exact"/>
              <w:rPr>
                <w:rFonts w:cs="宋体" w:asciiTheme="minorEastAsia" w:hAnsiTheme="minorEastAsia" w:eastAsiaTheme="minorEastAsia"/>
                <w:color w:val="000000" w:themeColor="text1"/>
                <w:sz w:val="28"/>
                <w:szCs w:val="28"/>
                <w:highlight w:val="none"/>
                <w14:textFill>
                  <w14:solidFill>
                    <w14:schemeClr w14:val="tx1"/>
                  </w14:solidFill>
                </w14:textFill>
              </w:rPr>
            </w:pPr>
          </w:p>
        </w:tc>
      </w:tr>
      <w:tr w14:paraId="639675F5">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23" w:hRule="atLeast"/>
        </w:trPr>
        <w:tc>
          <w:tcPr>
            <w:tcW w:w="430" w:type="dxa"/>
            <w:vMerge w:val="continue"/>
            <w:tcBorders>
              <w:left w:val="outset" w:color="auto" w:sz="6" w:space="0"/>
              <w:right w:val="outset" w:color="auto" w:sz="6" w:space="0"/>
            </w:tcBorders>
            <w:vAlign w:val="center"/>
          </w:tcPr>
          <w:p w14:paraId="10370361">
            <w:pPr>
              <w:pStyle w:val="145"/>
              <w:pageBreakBefore w:val="0"/>
              <w:wordWrap/>
              <w:topLinePunct w:val="0"/>
              <w:bidi w:val="0"/>
              <w:spacing w:line="560" w:lineRule="exact"/>
              <w:rPr>
                <w:rFonts w:cs="宋体" w:asciiTheme="minorEastAsia" w:hAnsiTheme="minorEastAsia" w:eastAsiaTheme="minorEastAsia"/>
                <w:color w:val="000000" w:themeColor="text1"/>
                <w:sz w:val="28"/>
                <w:szCs w:val="28"/>
                <w:highlight w:val="none"/>
                <w14:textFill>
                  <w14:solidFill>
                    <w14:schemeClr w14:val="tx1"/>
                  </w14:solidFill>
                </w14:textFill>
              </w:rPr>
            </w:pPr>
          </w:p>
        </w:tc>
        <w:tc>
          <w:tcPr>
            <w:tcW w:w="495" w:type="dxa"/>
            <w:vMerge w:val="continue"/>
            <w:tcBorders>
              <w:left w:val="outset" w:color="auto" w:sz="6" w:space="0"/>
              <w:right w:val="outset" w:color="auto" w:sz="6" w:space="0"/>
            </w:tcBorders>
            <w:vAlign w:val="center"/>
          </w:tcPr>
          <w:p w14:paraId="6EA699A4">
            <w:pPr>
              <w:pStyle w:val="145"/>
              <w:pageBreakBefore w:val="0"/>
              <w:wordWrap/>
              <w:topLinePunct w:val="0"/>
              <w:bidi w:val="0"/>
              <w:spacing w:line="560" w:lineRule="exact"/>
              <w:rPr>
                <w:rFonts w:cs="宋体" w:asciiTheme="minorEastAsia" w:hAnsiTheme="minorEastAsia" w:eastAsiaTheme="minorEastAsia"/>
                <w:color w:val="000000" w:themeColor="text1"/>
                <w:sz w:val="28"/>
                <w:szCs w:val="28"/>
                <w:highlight w:val="none"/>
                <w14:textFill>
                  <w14:solidFill>
                    <w14:schemeClr w14:val="tx1"/>
                  </w14:solidFill>
                </w14:textFill>
              </w:rPr>
            </w:pPr>
          </w:p>
        </w:tc>
        <w:tc>
          <w:tcPr>
            <w:tcW w:w="1852" w:type="dxa"/>
            <w:tcBorders>
              <w:top w:val="outset" w:color="auto" w:sz="6" w:space="0"/>
              <w:left w:val="outset" w:color="auto" w:sz="6" w:space="0"/>
              <w:bottom w:val="outset" w:color="auto" w:sz="6" w:space="0"/>
              <w:right w:val="outset" w:color="auto" w:sz="6" w:space="0"/>
            </w:tcBorders>
            <w:vAlign w:val="center"/>
          </w:tcPr>
          <w:p w14:paraId="0E542EAC">
            <w:pPr>
              <w:pStyle w:val="145"/>
              <w:pageBreakBefore w:val="0"/>
              <w:wordWrap/>
              <w:topLinePunct w:val="0"/>
              <w:bidi w:val="0"/>
              <w:adjustRightInd w:val="0"/>
              <w:snapToGrid w:val="0"/>
              <w:spacing w:line="560" w:lineRule="exact"/>
              <w:jc w:val="center"/>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ascii="宋体" w:hAnsi="宋体" w:eastAsia="宋体" w:cs="宋体"/>
                <w:color w:val="000000" w:themeColor="text1"/>
                <w:sz w:val="28"/>
                <w:szCs w:val="28"/>
                <w:highlight w:val="none"/>
                <w14:textFill>
                  <w14:solidFill>
                    <w14:schemeClr w14:val="tx1"/>
                  </w14:solidFill>
                </w14:textFill>
              </w:rPr>
              <w:t>财务</w:t>
            </w:r>
          </w:p>
        </w:tc>
        <w:tc>
          <w:tcPr>
            <w:tcW w:w="5020" w:type="dxa"/>
            <w:tcBorders>
              <w:top w:val="outset" w:color="auto" w:sz="6" w:space="0"/>
              <w:left w:val="outset" w:color="auto" w:sz="6" w:space="0"/>
              <w:bottom w:val="outset" w:color="auto" w:sz="6" w:space="0"/>
              <w:right w:val="outset" w:color="auto" w:sz="6" w:space="0"/>
            </w:tcBorders>
            <w:vAlign w:val="center"/>
          </w:tcPr>
          <w:p w14:paraId="411DDE96">
            <w:pPr>
              <w:pStyle w:val="145"/>
              <w:pageBreakBefore w:val="0"/>
              <w:wordWrap/>
              <w:topLinePunct w:val="0"/>
              <w:bidi w:val="0"/>
              <w:adjustRightInd w:val="0"/>
              <w:snapToGrid w:val="0"/>
              <w:spacing w:line="560" w:lineRule="exact"/>
              <w:jc w:val="both"/>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提供</w:t>
            </w:r>
            <w:r>
              <w:rPr>
                <w:rFonts w:hint="eastAsia" w:ascii="宋体" w:hAnsi="宋体" w:eastAsia="宋体"/>
                <w:color w:val="000000" w:themeColor="text1"/>
                <w:sz w:val="28"/>
                <w:szCs w:val="28"/>
                <w:highlight w:val="none"/>
                <w14:textFill>
                  <w14:solidFill>
                    <w14:schemeClr w14:val="tx1"/>
                  </w14:solidFill>
                </w14:textFill>
              </w:rPr>
              <w:t>202</w:t>
            </w:r>
            <w:r>
              <w:rPr>
                <w:rFonts w:hint="eastAsia" w:ascii="宋体" w:hAnsi="宋体" w:eastAsia="宋体"/>
                <w:color w:val="000000" w:themeColor="text1"/>
                <w:sz w:val="28"/>
                <w:szCs w:val="28"/>
                <w:highlight w:val="none"/>
                <w:lang w:val="en-US" w:eastAsia="zh-CN"/>
                <w14:textFill>
                  <w14:solidFill>
                    <w14:schemeClr w14:val="tx1"/>
                  </w14:solidFill>
                </w14:textFill>
              </w:rPr>
              <w:t>2</w:t>
            </w:r>
            <w:r>
              <w:rPr>
                <w:rFonts w:hint="eastAsia" w:ascii="宋体" w:hAnsi="宋体" w:eastAsia="宋体"/>
                <w:color w:val="000000" w:themeColor="text1"/>
                <w:sz w:val="28"/>
                <w:szCs w:val="28"/>
                <w:highlight w:val="none"/>
                <w14:textFill>
                  <w14:solidFill>
                    <w14:schemeClr w14:val="tx1"/>
                  </w14:solidFill>
                </w14:textFill>
              </w:rPr>
              <w:t>-202</w:t>
            </w:r>
            <w:r>
              <w:rPr>
                <w:rFonts w:hint="eastAsia" w:ascii="宋体" w:hAnsi="宋体" w:eastAsia="宋体"/>
                <w:color w:val="000000" w:themeColor="text1"/>
                <w:sz w:val="28"/>
                <w:szCs w:val="28"/>
                <w:highlight w:val="none"/>
                <w:lang w:val="en-US" w:eastAsia="zh-CN"/>
                <w14:textFill>
                  <w14:solidFill>
                    <w14:schemeClr w14:val="tx1"/>
                  </w14:solidFill>
                </w14:textFill>
              </w:rPr>
              <w:t>4</w:t>
            </w:r>
            <w:r>
              <w:rPr>
                <w:rFonts w:hint="eastAsia" w:ascii="宋体" w:hAnsi="宋体" w:eastAsia="宋体" w:cs="宋体"/>
                <w:color w:val="000000" w:themeColor="text1"/>
                <w:sz w:val="28"/>
                <w:szCs w:val="28"/>
                <w:highlight w:val="none"/>
                <w14:textFill>
                  <w14:solidFill>
                    <w14:schemeClr w14:val="tx1"/>
                  </w14:solidFill>
                </w14:textFill>
              </w:rPr>
              <w:t>年任意一年的</w:t>
            </w:r>
            <w:r>
              <w:rPr>
                <w:rFonts w:hint="eastAsia" w:ascii="宋体" w:hAnsi="宋体" w:eastAsia="宋体" w:cs="宋体"/>
                <w:color w:val="000000" w:themeColor="text1"/>
                <w:sz w:val="28"/>
                <w:szCs w:val="28"/>
                <w:highlight w:val="none"/>
                <w:lang w:val="en-US" w:eastAsia="zh-CN"/>
                <w14:textFill>
                  <w14:solidFill>
                    <w14:schemeClr w14:val="tx1"/>
                  </w14:solidFill>
                </w14:textFill>
              </w:rPr>
              <w:t>完整</w:t>
            </w:r>
            <w:r>
              <w:rPr>
                <w:rFonts w:hint="eastAsia" w:ascii="宋体" w:hAnsi="宋体" w:eastAsia="宋体" w:cs="宋体"/>
                <w:color w:val="000000" w:themeColor="text1"/>
                <w:sz w:val="28"/>
                <w:szCs w:val="28"/>
                <w:highlight w:val="none"/>
                <w14:textFill>
                  <w14:solidFill>
                    <w14:schemeClr w14:val="tx1"/>
                  </w14:solidFill>
                </w14:textFill>
              </w:rPr>
              <w:t>审计报告或财务报表（应包括资产负债表、现金流量表、利润表），本年度新成立或成立不满一年的无法提供财务审计报告或财务状况报告表的无需提供。</w:t>
            </w:r>
          </w:p>
        </w:tc>
        <w:tc>
          <w:tcPr>
            <w:tcW w:w="879" w:type="dxa"/>
            <w:tcBorders>
              <w:top w:val="outset" w:color="auto" w:sz="6" w:space="0"/>
              <w:left w:val="outset" w:color="auto" w:sz="6" w:space="0"/>
              <w:bottom w:val="outset" w:color="auto" w:sz="6" w:space="0"/>
              <w:right w:val="outset" w:color="auto" w:sz="6" w:space="0"/>
            </w:tcBorders>
            <w:vAlign w:val="center"/>
          </w:tcPr>
          <w:p w14:paraId="301C97C5">
            <w:pPr>
              <w:pStyle w:val="145"/>
              <w:pageBreakBefore w:val="0"/>
              <w:wordWrap/>
              <w:topLinePunct w:val="0"/>
              <w:bidi w:val="0"/>
              <w:spacing w:line="560" w:lineRule="exact"/>
              <w:rPr>
                <w:rFonts w:cs="宋体" w:asciiTheme="minorEastAsia" w:hAnsiTheme="minorEastAsia" w:eastAsiaTheme="minorEastAsia"/>
                <w:color w:val="000000" w:themeColor="text1"/>
                <w:sz w:val="28"/>
                <w:szCs w:val="28"/>
                <w:highlight w:val="none"/>
                <w14:textFill>
                  <w14:solidFill>
                    <w14:schemeClr w14:val="tx1"/>
                  </w14:solidFill>
                </w14:textFill>
              </w:rPr>
            </w:pPr>
          </w:p>
        </w:tc>
        <w:tc>
          <w:tcPr>
            <w:tcW w:w="856" w:type="dxa"/>
            <w:tcBorders>
              <w:top w:val="outset" w:color="auto" w:sz="6" w:space="0"/>
              <w:left w:val="outset" w:color="auto" w:sz="6" w:space="0"/>
              <w:bottom w:val="outset" w:color="auto" w:sz="6" w:space="0"/>
              <w:right w:val="outset" w:color="auto" w:sz="6" w:space="0"/>
            </w:tcBorders>
            <w:vAlign w:val="center"/>
          </w:tcPr>
          <w:p w14:paraId="153F2C63">
            <w:pPr>
              <w:pStyle w:val="145"/>
              <w:pageBreakBefore w:val="0"/>
              <w:wordWrap/>
              <w:topLinePunct w:val="0"/>
              <w:bidi w:val="0"/>
              <w:spacing w:line="560" w:lineRule="exact"/>
              <w:rPr>
                <w:rFonts w:cs="宋体" w:asciiTheme="minorEastAsia" w:hAnsiTheme="minorEastAsia" w:eastAsiaTheme="minorEastAsia"/>
                <w:color w:val="000000" w:themeColor="text1"/>
                <w:sz w:val="28"/>
                <w:szCs w:val="28"/>
                <w:highlight w:val="none"/>
                <w14:textFill>
                  <w14:solidFill>
                    <w14:schemeClr w14:val="tx1"/>
                  </w14:solidFill>
                </w14:textFill>
              </w:rPr>
            </w:pPr>
          </w:p>
        </w:tc>
      </w:tr>
      <w:tr w14:paraId="4DE2D51B">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23" w:hRule="atLeast"/>
        </w:trPr>
        <w:tc>
          <w:tcPr>
            <w:tcW w:w="430" w:type="dxa"/>
            <w:vMerge w:val="continue"/>
            <w:tcBorders>
              <w:left w:val="outset" w:color="auto" w:sz="6" w:space="0"/>
              <w:right w:val="outset" w:color="auto" w:sz="6" w:space="0"/>
            </w:tcBorders>
            <w:vAlign w:val="center"/>
          </w:tcPr>
          <w:p w14:paraId="2D94FF48">
            <w:pPr>
              <w:pStyle w:val="145"/>
              <w:pageBreakBefore w:val="0"/>
              <w:wordWrap/>
              <w:topLinePunct w:val="0"/>
              <w:bidi w:val="0"/>
              <w:spacing w:line="560" w:lineRule="exact"/>
              <w:rPr>
                <w:rFonts w:cs="宋体" w:asciiTheme="minorEastAsia" w:hAnsiTheme="minorEastAsia" w:eastAsiaTheme="minorEastAsia"/>
                <w:color w:val="000000" w:themeColor="text1"/>
                <w:sz w:val="28"/>
                <w:szCs w:val="28"/>
                <w:highlight w:val="none"/>
                <w14:textFill>
                  <w14:solidFill>
                    <w14:schemeClr w14:val="tx1"/>
                  </w14:solidFill>
                </w14:textFill>
              </w:rPr>
            </w:pPr>
          </w:p>
        </w:tc>
        <w:tc>
          <w:tcPr>
            <w:tcW w:w="495" w:type="dxa"/>
            <w:vMerge w:val="continue"/>
            <w:tcBorders>
              <w:left w:val="outset" w:color="auto" w:sz="6" w:space="0"/>
              <w:right w:val="outset" w:color="auto" w:sz="6" w:space="0"/>
            </w:tcBorders>
            <w:vAlign w:val="center"/>
          </w:tcPr>
          <w:p w14:paraId="5C838DC7">
            <w:pPr>
              <w:pStyle w:val="145"/>
              <w:pageBreakBefore w:val="0"/>
              <w:wordWrap/>
              <w:topLinePunct w:val="0"/>
              <w:bidi w:val="0"/>
              <w:spacing w:line="560" w:lineRule="exact"/>
              <w:rPr>
                <w:rFonts w:cs="宋体" w:asciiTheme="minorEastAsia" w:hAnsiTheme="minorEastAsia" w:eastAsiaTheme="minorEastAsia"/>
                <w:color w:val="000000" w:themeColor="text1"/>
                <w:sz w:val="28"/>
                <w:szCs w:val="28"/>
                <w:highlight w:val="none"/>
                <w14:textFill>
                  <w14:solidFill>
                    <w14:schemeClr w14:val="tx1"/>
                  </w14:solidFill>
                </w14:textFill>
              </w:rPr>
            </w:pPr>
          </w:p>
        </w:tc>
        <w:tc>
          <w:tcPr>
            <w:tcW w:w="1852" w:type="dxa"/>
            <w:tcBorders>
              <w:top w:val="outset" w:color="auto" w:sz="6" w:space="0"/>
              <w:left w:val="outset" w:color="auto" w:sz="6" w:space="0"/>
              <w:bottom w:val="outset" w:color="auto" w:sz="6" w:space="0"/>
              <w:right w:val="outset" w:color="auto" w:sz="6" w:space="0"/>
            </w:tcBorders>
            <w:vAlign w:val="center"/>
          </w:tcPr>
          <w:p w14:paraId="4E3A6F99">
            <w:pPr>
              <w:pStyle w:val="145"/>
              <w:pageBreakBefore w:val="0"/>
              <w:wordWrap/>
              <w:topLinePunct w:val="0"/>
              <w:bidi w:val="0"/>
              <w:adjustRightInd w:val="0"/>
              <w:snapToGrid w:val="0"/>
              <w:spacing w:line="560" w:lineRule="exact"/>
              <w:jc w:val="center"/>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履行合同所必需的设备和专业技术能力</w:t>
            </w:r>
          </w:p>
        </w:tc>
        <w:tc>
          <w:tcPr>
            <w:tcW w:w="5020" w:type="dxa"/>
            <w:tcBorders>
              <w:top w:val="outset" w:color="auto" w:sz="6" w:space="0"/>
              <w:left w:val="outset" w:color="auto" w:sz="6" w:space="0"/>
              <w:bottom w:val="outset" w:color="auto" w:sz="6" w:space="0"/>
              <w:right w:val="outset" w:color="auto" w:sz="6" w:space="0"/>
            </w:tcBorders>
            <w:vAlign w:val="center"/>
          </w:tcPr>
          <w:p w14:paraId="55D5834D">
            <w:pPr>
              <w:pStyle w:val="145"/>
              <w:pageBreakBefore w:val="0"/>
              <w:wordWrap/>
              <w:topLinePunct w:val="0"/>
              <w:bidi w:val="0"/>
              <w:adjustRightInd w:val="0"/>
              <w:snapToGrid w:val="0"/>
              <w:spacing w:line="560" w:lineRule="exact"/>
              <w:jc w:val="both"/>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根据项目需求提供履行合同所必需的设备和专业技术能力的加盖单位公章的书面承诺函</w:t>
            </w:r>
          </w:p>
        </w:tc>
        <w:tc>
          <w:tcPr>
            <w:tcW w:w="879" w:type="dxa"/>
            <w:tcBorders>
              <w:top w:val="outset" w:color="auto" w:sz="6" w:space="0"/>
              <w:left w:val="outset" w:color="auto" w:sz="6" w:space="0"/>
              <w:bottom w:val="outset" w:color="auto" w:sz="6" w:space="0"/>
              <w:right w:val="outset" w:color="auto" w:sz="6" w:space="0"/>
            </w:tcBorders>
            <w:vAlign w:val="center"/>
          </w:tcPr>
          <w:p w14:paraId="0B21A3CE">
            <w:pPr>
              <w:pStyle w:val="145"/>
              <w:pageBreakBefore w:val="0"/>
              <w:wordWrap/>
              <w:topLinePunct w:val="0"/>
              <w:bidi w:val="0"/>
              <w:spacing w:line="560" w:lineRule="exact"/>
              <w:rPr>
                <w:rFonts w:cs="宋体" w:asciiTheme="minorEastAsia" w:hAnsiTheme="minorEastAsia" w:eastAsiaTheme="minorEastAsia"/>
                <w:color w:val="000000" w:themeColor="text1"/>
                <w:sz w:val="28"/>
                <w:szCs w:val="28"/>
                <w:highlight w:val="none"/>
                <w14:textFill>
                  <w14:solidFill>
                    <w14:schemeClr w14:val="tx1"/>
                  </w14:solidFill>
                </w14:textFill>
              </w:rPr>
            </w:pPr>
          </w:p>
        </w:tc>
        <w:tc>
          <w:tcPr>
            <w:tcW w:w="856" w:type="dxa"/>
            <w:tcBorders>
              <w:top w:val="outset" w:color="auto" w:sz="6" w:space="0"/>
              <w:left w:val="outset" w:color="auto" w:sz="6" w:space="0"/>
              <w:bottom w:val="outset" w:color="auto" w:sz="6" w:space="0"/>
              <w:right w:val="outset" w:color="auto" w:sz="6" w:space="0"/>
            </w:tcBorders>
            <w:vAlign w:val="center"/>
          </w:tcPr>
          <w:p w14:paraId="5DECBD40">
            <w:pPr>
              <w:pStyle w:val="145"/>
              <w:pageBreakBefore w:val="0"/>
              <w:wordWrap/>
              <w:topLinePunct w:val="0"/>
              <w:bidi w:val="0"/>
              <w:spacing w:line="560" w:lineRule="exact"/>
              <w:rPr>
                <w:rFonts w:cs="宋体" w:asciiTheme="minorEastAsia" w:hAnsiTheme="minorEastAsia" w:eastAsiaTheme="minorEastAsia"/>
                <w:color w:val="000000" w:themeColor="text1"/>
                <w:sz w:val="28"/>
                <w:szCs w:val="28"/>
                <w:highlight w:val="none"/>
                <w14:textFill>
                  <w14:solidFill>
                    <w14:schemeClr w14:val="tx1"/>
                  </w14:solidFill>
                </w14:textFill>
              </w:rPr>
            </w:pPr>
          </w:p>
        </w:tc>
      </w:tr>
      <w:tr w14:paraId="53C8FDEF">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23" w:hRule="atLeast"/>
        </w:trPr>
        <w:tc>
          <w:tcPr>
            <w:tcW w:w="430" w:type="dxa"/>
            <w:vMerge w:val="continue"/>
            <w:tcBorders>
              <w:left w:val="outset" w:color="auto" w:sz="6" w:space="0"/>
              <w:right w:val="outset" w:color="auto" w:sz="6" w:space="0"/>
            </w:tcBorders>
            <w:vAlign w:val="center"/>
          </w:tcPr>
          <w:p w14:paraId="2453BBE7">
            <w:pPr>
              <w:pStyle w:val="145"/>
              <w:pageBreakBefore w:val="0"/>
              <w:wordWrap/>
              <w:topLinePunct w:val="0"/>
              <w:bidi w:val="0"/>
              <w:spacing w:line="560" w:lineRule="exact"/>
              <w:rPr>
                <w:rFonts w:cs="宋体" w:asciiTheme="minorEastAsia" w:hAnsiTheme="minorEastAsia" w:eastAsiaTheme="minorEastAsia"/>
                <w:color w:val="000000" w:themeColor="text1"/>
                <w:sz w:val="28"/>
                <w:szCs w:val="28"/>
                <w:highlight w:val="none"/>
                <w14:textFill>
                  <w14:solidFill>
                    <w14:schemeClr w14:val="tx1"/>
                  </w14:solidFill>
                </w14:textFill>
              </w:rPr>
            </w:pPr>
          </w:p>
        </w:tc>
        <w:tc>
          <w:tcPr>
            <w:tcW w:w="495" w:type="dxa"/>
            <w:vMerge w:val="continue"/>
            <w:tcBorders>
              <w:left w:val="outset" w:color="auto" w:sz="6" w:space="0"/>
              <w:right w:val="outset" w:color="auto" w:sz="6" w:space="0"/>
            </w:tcBorders>
            <w:vAlign w:val="center"/>
          </w:tcPr>
          <w:p w14:paraId="14C1854A">
            <w:pPr>
              <w:pStyle w:val="145"/>
              <w:pageBreakBefore w:val="0"/>
              <w:wordWrap/>
              <w:topLinePunct w:val="0"/>
              <w:bidi w:val="0"/>
              <w:spacing w:line="560" w:lineRule="exact"/>
              <w:rPr>
                <w:rFonts w:cs="宋体" w:asciiTheme="minorEastAsia" w:hAnsiTheme="minorEastAsia" w:eastAsiaTheme="minorEastAsia"/>
                <w:color w:val="000000" w:themeColor="text1"/>
                <w:sz w:val="28"/>
                <w:szCs w:val="28"/>
                <w:highlight w:val="none"/>
                <w14:textFill>
                  <w14:solidFill>
                    <w14:schemeClr w14:val="tx1"/>
                  </w14:solidFill>
                </w14:textFill>
              </w:rPr>
            </w:pPr>
          </w:p>
        </w:tc>
        <w:tc>
          <w:tcPr>
            <w:tcW w:w="1852" w:type="dxa"/>
            <w:tcBorders>
              <w:top w:val="outset" w:color="auto" w:sz="6" w:space="0"/>
              <w:left w:val="outset" w:color="auto" w:sz="6" w:space="0"/>
              <w:bottom w:val="outset" w:color="auto" w:sz="6" w:space="0"/>
              <w:right w:val="outset" w:color="auto" w:sz="6" w:space="0"/>
            </w:tcBorders>
            <w:vAlign w:val="center"/>
          </w:tcPr>
          <w:p w14:paraId="6767EEC6">
            <w:pPr>
              <w:pStyle w:val="145"/>
              <w:pageBreakBefore w:val="0"/>
              <w:wordWrap/>
              <w:topLinePunct w:val="0"/>
              <w:bidi w:val="0"/>
              <w:adjustRightInd w:val="0"/>
              <w:snapToGrid w:val="0"/>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依法缴纳税收和社会保障</w:t>
            </w:r>
          </w:p>
          <w:p w14:paraId="2F5C4004">
            <w:pPr>
              <w:pStyle w:val="145"/>
              <w:pageBreakBefore w:val="0"/>
              <w:wordWrap/>
              <w:topLinePunct w:val="0"/>
              <w:bidi w:val="0"/>
              <w:adjustRightInd w:val="0"/>
              <w:snapToGrid w:val="0"/>
              <w:spacing w:line="560" w:lineRule="exact"/>
              <w:jc w:val="center"/>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资金</w:t>
            </w:r>
          </w:p>
        </w:tc>
        <w:tc>
          <w:tcPr>
            <w:tcW w:w="5020" w:type="dxa"/>
            <w:tcBorders>
              <w:top w:val="outset" w:color="auto" w:sz="6" w:space="0"/>
              <w:left w:val="outset" w:color="auto" w:sz="6" w:space="0"/>
              <w:bottom w:val="outset" w:color="auto" w:sz="6" w:space="0"/>
              <w:right w:val="outset" w:color="auto" w:sz="6" w:space="0"/>
            </w:tcBorders>
            <w:vAlign w:val="center"/>
          </w:tcPr>
          <w:p w14:paraId="71FC8765">
            <w:pPr>
              <w:pStyle w:val="145"/>
              <w:pageBreakBefore w:val="0"/>
              <w:wordWrap/>
              <w:topLinePunct w:val="0"/>
              <w:bidi w:val="0"/>
              <w:adjustRightInd w:val="0"/>
              <w:snapToGrid w:val="0"/>
              <w:spacing w:line="560" w:lineRule="exact"/>
              <w:jc w:val="both"/>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提供参加本次政府采购活动前近半年内任意一个月的依法缴纳税收和社会保障资金的相关材料</w:t>
            </w:r>
          </w:p>
        </w:tc>
        <w:tc>
          <w:tcPr>
            <w:tcW w:w="879" w:type="dxa"/>
            <w:tcBorders>
              <w:top w:val="outset" w:color="auto" w:sz="6" w:space="0"/>
              <w:left w:val="outset" w:color="auto" w:sz="6" w:space="0"/>
              <w:bottom w:val="outset" w:color="auto" w:sz="6" w:space="0"/>
              <w:right w:val="outset" w:color="auto" w:sz="6" w:space="0"/>
            </w:tcBorders>
            <w:vAlign w:val="center"/>
          </w:tcPr>
          <w:p w14:paraId="4A6B65CF">
            <w:pPr>
              <w:pStyle w:val="145"/>
              <w:pageBreakBefore w:val="0"/>
              <w:wordWrap/>
              <w:topLinePunct w:val="0"/>
              <w:bidi w:val="0"/>
              <w:spacing w:line="560" w:lineRule="exact"/>
              <w:rPr>
                <w:rFonts w:cs="宋体" w:asciiTheme="minorEastAsia" w:hAnsiTheme="minorEastAsia" w:eastAsiaTheme="minorEastAsia"/>
                <w:color w:val="000000" w:themeColor="text1"/>
                <w:sz w:val="28"/>
                <w:szCs w:val="28"/>
                <w:highlight w:val="none"/>
                <w14:textFill>
                  <w14:solidFill>
                    <w14:schemeClr w14:val="tx1"/>
                  </w14:solidFill>
                </w14:textFill>
              </w:rPr>
            </w:pPr>
          </w:p>
        </w:tc>
        <w:tc>
          <w:tcPr>
            <w:tcW w:w="856" w:type="dxa"/>
            <w:tcBorders>
              <w:top w:val="outset" w:color="auto" w:sz="6" w:space="0"/>
              <w:left w:val="outset" w:color="auto" w:sz="6" w:space="0"/>
              <w:bottom w:val="outset" w:color="auto" w:sz="6" w:space="0"/>
              <w:right w:val="outset" w:color="auto" w:sz="6" w:space="0"/>
            </w:tcBorders>
            <w:vAlign w:val="center"/>
          </w:tcPr>
          <w:p w14:paraId="0AD2F4B0">
            <w:pPr>
              <w:pStyle w:val="145"/>
              <w:pageBreakBefore w:val="0"/>
              <w:wordWrap/>
              <w:topLinePunct w:val="0"/>
              <w:bidi w:val="0"/>
              <w:spacing w:line="560" w:lineRule="exact"/>
              <w:rPr>
                <w:rFonts w:cs="宋体" w:asciiTheme="minorEastAsia" w:hAnsiTheme="minorEastAsia" w:eastAsiaTheme="minorEastAsia"/>
                <w:color w:val="000000" w:themeColor="text1"/>
                <w:sz w:val="28"/>
                <w:szCs w:val="28"/>
                <w:highlight w:val="none"/>
                <w14:textFill>
                  <w14:solidFill>
                    <w14:schemeClr w14:val="tx1"/>
                  </w14:solidFill>
                </w14:textFill>
              </w:rPr>
            </w:pPr>
          </w:p>
        </w:tc>
      </w:tr>
      <w:tr w14:paraId="5EFC13A4">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23" w:hRule="atLeast"/>
        </w:trPr>
        <w:tc>
          <w:tcPr>
            <w:tcW w:w="430" w:type="dxa"/>
            <w:vMerge w:val="continue"/>
            <w:tcBorders>
              <w:left w:val="outset" w:color="auto" w:sz="6" w:space="0"/>
              <w:right w:val="outset" w:color="auto" w:sz="6" w:space="0"/>
            </w:tcBorders>
            <w:vAlign w:val="center"/>
          </w:tcPr>
          <w:p w14:paraId="20BE57CF">
            <w:pPr>
              <w:pStyle w:val="145"/>
              <w:pageBreakBefore w:val="0"/>
              <w:wordWrap/>
              <w:topLinePunct w:val="0"/>
              <w:bidi w:val="0"/>
              <w:spacing w:line="560" w:lineRule="exact"/>
              <w:rPr>
                <w:rFonts w:cs="宋体" w:asciiTheme="minorEastAsia" w:hAnsiTheme="minorEastAsia" w:eastAsiaTheme="minorEastAsia"/>
                <w:color w:val="000000" w:themeColor="text1"/>
                <w:sz w:val="28"/>
                <w:szCs w:val="28"/>
                <w:highlight w:val="none"/>
                <w14:textFill>
                  <w14:solidFill>
                    <w14:schemeClr w14:val="tx1"/>
                  </w14:solidFill>
                </w14:textFill>
              </w:rPr>
            </w:pPr>
          </w:p>
        </w:tc>
        <w:tc>
          <w:tcPr>
            <w:tcW w:w="495" w:type="dxa"/>
            <w:vMerge w:val="continue"/>
            <w:tcBorders>
              <w:left w:val="outset" w:color="auto" w:sz="6" w:space="0"/>
              <w:right w:val="outset" w:color="auto" w:sz="6" w:space="0"/>
            </w:tcBorders>
            <w:vAlign w:val="center"/>
          </w:tcPr>
          <w:p w14:paraId="58663FB6">
            <w:pPr>
              <w:pStyle w:val="145"/>
              <w:pageBreakBefore w:val="0"/>
              <w:wordWrap/>
              <w:topLinePunct w:val="0"/>
              <w:bidi w:val="0"/>
              <w:spacing w:line="560" w:lineRule="exact"/>
              <w:rPr>
                <w:rFonts w:cs="宋体" w:asciiTheme="minorEastAsia" w:hAnsiTheme="minorEastAsia" w:eastAsiaTheme="minorEastAsia"/>
                <w:color w:val="000000" w:themeColor="text1"/>
                <w:sz w:val="28"/>
                <w:szCs w:val="28"/>
                <w:highlight w:val="none"/>
                <w14:textFill>
                  <w14:solidFill>
                    <w14:schemeClr w14:val="tx1"/>
                  </w14:solidFill>
                </w14:textFill>
              </w:rPr>
            </w:pPr>
          </w:p>
        </w:tc>
        <w:tc>
          <w:tcPr>
            <w:tcW w:w="1852" w:type="dxa"/>
            <w:tcBorders>
              <w:top w:val="outset" w:color="auto" w:sz="6" w:space="0"/>
              <w:left w:val="outset" w:color="auto" w:sz="6" w:space="0"/>
              <w:bottom w:val="outset" w:color="auto" w:sz="6" w:space="0"/>
              <w:right w:val="outset" w:color="auto" w:sz="6" w:space="0"/>
            </w:tcBorders>
            <w:vAlign w:val="center"/>
          </w:tcPr>
          <w:p w14:paraId="13D6043A">
            <w:pPr>
              <w:pStyle w:val="145"/>
              <w:pageBreakBefore w:val="0"/>
              <w:wordWrap/>
              <w:topLinePunct w:val="0"/>
              <w:bidi w:val="0"/>
              <w:adjustRightInd w:val="0"/>
              <w:snapToGrid w:val="0"/>
              <w:spacing w:line="560" w:lineRule="exact"/>
              <w:jc w:val="center"/>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前3年内在经营活动中没有重大违法记录</w:t>
            </w:r>
          </w:p>
        </w:tc>
        <w:tc>
          <w:tcPr>
            <w:tcW w:w="5020" w:type="dxa"/>
            <w:tcBorders>
              <w:top w:val="outset" w:color="auto" w:sz="6" w:space="0"/>
              <w:left w:val="outset" w:color="auto" w:sz="6" w:space="0"/>
              <w:bottom w:val="outset" w:color="auto" w:sz="6" w:space="0"/>
              <w:right w:val="outset" w:color="auto" w:sz="6" w:space="0"/>
            </w:tcBorders>
            <w:vAlign w:val="center"/>
          </w:tcPr>
          <w:p w14:paraId="1703CC3B">
            <w:pPr>
              <w:pStyle w:val="145"/>
              <w:pageBreakBefore w:val="0"/>
              <w:wordWrap/>
              <w:topLinePunct w:val="0"/>
              <w:bidi w:val="0"/>
              <w:adjustRightInd w:val="0"/>
              <w:snapToGrid w:val="0"/>
              <w:spacing w:line="560" w:lineRule="exact"/>
              <w:jc w:val="both"/>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提供参加本次政府采购活动前3年内在经营活动中没有重大违法记录的书面承诺函并加盖单位公章</w:t>
            </w:r>
          </w:p>
        </w:tc>
        <w:tc>
          <w:tcPr>
            <w:tcW w:w="879" w:type="dxa"/>
            <w:tcBorders>
              <w:top w:val="outset" w:color="auto" w:sz="6" w:space="0"/>
              <w:left w:val="outset" w:color="auto" w:sz="6" w:space="0"/>
              <w:bottom w:val="outset" w:color="auto" w:sz="6" w:space="0"/>
              <w:right w:val="outset" w:color="auto" w:sz="6" w:space="0"/>
            </w:tcBorders>
            <w:vAlign w:val="center"/>
          </w:tcPr>
          <w:p w14:paraId="1AF0430E">
            <w:pPr>
              <w:pStyle w:val="145"/>
              <w:pageBreakBefore w:val="0"/>
              <w:wordWrap/>
              <w:topLinePunct w:val="0"/>
              <w:bidi w:val="0"/>
              <w:spacing w:line="560" w:lineRule="exact"/>
              <w:rPr>
                <w:rFonts w:cs="宋体" w:asciiTheme="minorEastAsia" w:hAnsiTheme="minorEastAsia" w:eastAsiaTheme="minorEastAsia"/>
                <w:color w:val="000000" w:themeColor="text1"/>
                <w:sz w:val="28"/>
                <w:szCs w:val="28"/>
                <w:highlight w:val="none"/>
                <w14:textFill>
                  <w14:solidFill>
                    <w14:schemeClr w14:val="tx1"/>
                  </w14:solidFill>
                </w14:textFill>
              </w:rPr>
            </w:pPr>
          </w:p>
        </w:tc>
        <w:tc>
          <w:tcPr>
            <w:tcW w:w="856" w:type="dxa"/>
            <w:tcBorders>
              <w:top w:val="outset" w:color="auto" w:sz="6" w:space="0"/>
              <w:left w:val="outset" w:color="auto" w:sz="6" w:space="0"/>
              <w:bottom w:val="outset" w:color="auto" w:sz="6" w:space="0"/>
              <w:right w:val="outset" w:color="auto" w:sz="6" w:space="0"/>
            </w:tcBorders>
            <w:vAlign w:val="center"/>
          </w:tcPr>
          <w:p w14:paraId="11F0D588">
            <w:pPr>
              <w:pStyle w:val="145"/>
              <w:pageBreakBefore w:val="0"/>
              <w:wordWrap/>
              <w:topLinePunct w:val="0"/>
              <w:bidi w:val="0"/>
              <w:spacing w:line="560" w:lineRule="exact"/>
              <w:rPr>
                <w:rFonts w:cs="宋体" w:asciiTheme="minorEastAsia" w:hAnsiTheme="minorEastAsia" w:eastAsiaTheme="minorEastAsia"/>
                <w:color w:val="000000" w:themeColor="text1"/>
                <w:sz w:val="28"/>
                <w:szCs w:val="28"/>
                <w:highlight w:val="none"/>
                <w14:textFill>
                  <w14:solidFill>
                    <w14:schemeClr w14:val="tx1"/>
                  </w14:solidFill>
                </w14:textFill>
              </w:rPr>
            </w:pPr>
          </w:p>
        </w:tc>
      </w:tr>
      <w:tr w14:paraId="561D3780">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23" w:hRule="atLeast"/>
        </w:trPr>
        <w:tc>
          <w:tcPr>
            <w:tcW w:w="430" w:type="dxa"/>
            <w:vMerge w:val="continue"/>
            <w:tcBorders>
              <w:left w:val="outset" w:color="auto" w:sz="6" w:space="0"/>
              <w:right w:val="outset" w:color="auto" w:sz="6" w:space="0"/>
            </w:tcBorders>
            <w:vAlign w:val="center"/>
          </w:tcPr>
          <w:p w14:paraId="075A348C">
            <w:pPr>
              <w:pStyle w:val="145"/>
              <w:pageBreakBefore w:val="0"/>
              <w:wordWrap/>
              <w:topLinePunct w:val="0"/>
              <w:bidi w:val="0"/>
              <w:spacing w:line="560" w:lineRule="exact"/>
              <w:rPr>
                <w:rFonts w:cs="宋体" w:asciiTheme="minorEastAsia" w:hAnsiTheme="minorEastAsia" w:eastAsiaTheme="minorEastAsia"/>
                <w:color w:val="000000" w:themeColor="text1"/>
                <w:sz w:val="28"/>
                <w:szCs w:val="28"/>
                <w:highlight w:val="none"/>
                <w14:textFill>
                  <w14:solidFill>
                    <w14:schemeClr w14:val="tx1"/>
                  </w14:solidFill>
                </w14:textFill>
              </w:rPr>
            </w:pPr>
          </w:p>
        </w:tc>
        <w:tc>
          <w:tcPr>
            <w:tcW w:w="495" w:type="dxa"/>
            <w:vMerge w:val="continue"/>
            <w:tcBorders>
              <w:left w:val="outset" w:color="auto" w:sz="6" w:space="0"/>
              <w:right w:val="outset" w:color="auto" w:sz="6" w:space="0"/>
            </w:tcBorders>
            <w:vAlign w:val="center"/>
          </w:tcPr>
          <w:p w14:paraId="738EE846">
            <w:pPr>
              <w:pStyle w:val="145"/>
              <w:pageBreakBefore w:val="0"/>
              <w:wordWrap/>
              <w:topLinePunct w:val="0"/>
              <w:bidi w:val="0"/>
              <w:spacing w:line="560" w:lineRule="exact"/>
              <w:rPr>
                <w:rFonts w:cs="宋体" w:asciiTheme="minorEastAsia" w:hAnsiTheme="minorEastAsia" w:eastAsiaTheme="minorEastAsia"/>
                <w:color w:val="000000" w:themeColor="text1"/>
                <w:sz w:val="28"/>
                <w:szCs w:val="28"/>
                <w:highlight w:val="none"/>
                <w14:textFill>
                  <w14:solidFill>
                    <w14:schemeClr w14:val="tx1"/>
                  </w14:solidFill>
                </w14:textFill>
              </w:rPr>
            </w:pPr>
          </w:p>
        </w:tc>
        <w:tc>
          <w:tcPr>
            <w:tcW w:w="1852" w:type="dxa"/>
            <w:tcBorders>
              <w:top w:val="outset" w:color="auto" w:sz="6" w:space="0"/>
              <w:left w:val="outset" w:color="auto" w:sz="6" w:space="0"/>
              <w:bottom w:val="outset" w:color="auto" w:sz="6" w:space="0"/>
              <w:right w:val="outset" w:color="auto" w:sz="6" w:space="0"/>
            </w:tcBorders>
            <w:vAlign w:val="center"/>
          </w:tcPr>
          <w:p w14:paraId="5398BE16">
            <w:pPr>
              <w:pStyle w:val="145"/>
              <w:pageBreakBefore w:val="0"/>
              <w:kinsoku/>
              <w:wordWrap/>
              <w:topLinePunct w:val="0"/>
              <w:bidi w:val="0"/>
              <w:spacing w:line="560" w:lineRule="exact"/>
              <w:jc w:val="center"/>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法律、行政法规规定的其他条件</w:t>
            </w:r>
          </w:p>
        </w:tc>
        <w:tc>
          <w:tcPr>
            <w:tcW w:w="5020" w:type="dxa"/>
            <w:tcBorders>
              <w:top w:val="outset" w:color="auto" w:sz="6" w:space="0"/>
              <w:left w:val="outset" w:color="auto" w:sz="6" w:space="0"/>
              <w:bottom w:val="outset" w:color="auto" w:sz="6" w:space="0"/>
              <w:right w:val="outset" w:color="auto" w:sz="6" w:space="0"/>
            </w:tcBorders>
            <w:vAlign w:val="center"/>
          </w:tcPr>
          <w:p w14:paraId="1DB045CE">
            <w:pPr>
              <w:pStyle w:val="145"/>
              <w:pageBreakBefore w:val="0"/>
              <w:kinsoku/>
              <w:wordWrap/>
              <w:topLinePunct w:val="0"/>
              <w:bidi w:val="0"/>
              <w:spacing w:line="560" w:lineRule="exact"/>
              <w:jc w:val="both"/>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提供信用信誉承诺函</w:t>
            </w:r>
          </w:p>
        </w:tc>
        <w:tc>
          <w:tcPr>
            <w:tcW w:w="879" w:type="dxa"/>
            <w:tcBorders>
              <w:top w:val="outset" w:color="auto" w:sz="6" w:space="0"/>
              <w:left w:val="outset" w:color="auto" w:sz="6" w:space="0"/>
              <w:bottom w:val="outset" w:color="auto" w:sz="6" w:space="0"/>
              <w:right w:val="outset" w:color="auto" w:sz="6" w:space="0"/>
            </w:tcBorders>
            <w:vAlign w:val="center"/>
          </w:tcPr>
          <w:p w14:paraId="657D8AD4">
            <w:pPr>
              <w:pStyle w:val="145"/>
              <w:pageBreakBefore w:val="0"/>
              <w:wordWrap/>
              <w:topLinePunct w:val="0"/>
              <w:bidi w:val="0"/>
              <w:spacing w:line="560" w:lineRule="exact"/>
              <w:rPr>
                <w:rFonts w:cs="宋体" w:asciiTheme="minorEastAsia" w:hAnsiTheme="minorEastAsia" w:eastAsiaTheme="minorEastAsia"/>
                <w:color w:val="000000" w:themeColor="text1"/>
                <w:sz w:val="28"/>
                <w:szCs w:val="28"/>
                <w:highlight w:val="none"/>
                <w14:textFill>
                  <w14:solidFill>
                    <w14:schemeClr w14:val="tx1"/>
                  </w14:solidFill>
                </w14:textFill>
              </w:rPr>
            </w:pPr>
          </w:p>
        </w:tc>
        <w:tc>
          <w:tcPr>
            <w:tcW w:w="856" w:type="dxa"/>
            <w:tcBorders>
              <w:top w:val="outset" w:color="auto" w:sz="6" w:space="0"/>
              <w:left w:val="outset" w:color="auto" w:sz="6" w:space="0"/>
              <w:bottom w:val="outset" w:color="auto" w:sz="6" w:space="0"/>
              <w:right w:val="outset" w:color="auto" w:sz="6" w:space="0"/>
            </w:tcBorders>
            <w:vAlign w:val="center"/>
          </w:tcPr>
          <w:p w14:paraId="5DB5178F">
            <w:pPr>
              <w:pStyle w:val="145"/>
              <w:pageBreakBefore w:val="0"/>
              <w:wordWrap/>
              <w:topLinePunct w:val="0"/>
              <w:bidi w:val="0"/>
              <w:spacing w:line="560" w:lineRule="exact"/>
              <w:rPr>
                <w:rFonts w:cs="宋体" w:asciiTheme="minorEastAsia" w:hAnsiTheme="minorEastAsia" w:eastAsiaTheme="minorEastAsia"/>
                <w:color w:val="000000" w:themeColor="text1"/>
                <w:sz w:val="28"/>
                <w:szCs w:val="28"/>
                <w:highlight w:val="none"/>
                <w14:textFill>
                  <w14:solidFill>
                    <w14:schemeClr w14:val="tx1"/>
                  </w14:solidFill>
                </w14:textFill>
              </w:rPr>
            </w:pPr>
          </w:p>
        </w:tc>
      </w:tr>
      <w:tr w14:paraId="6EE39787">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23" w:hRule="atLeast"/>
        </w:trPr>
        <w:tc>
          <w:tcPr>
            <w:tcW w:w="430" w:type="dxa"/>
            <w:vMerge w:val="continue"/>
            <w:tcBorders>
              <w:left w:val="outset" w:color="auto" w:sz="6" w:space="0"/>
              <w:right w:val="outset" w:color="auto" w:sz="6" w:space="0"/>
            </w:tcBorders>
            <w:vAlign w:val="center"/>
          </w:tcPr>
          <w:p w14:paraId="0958BE79">
            <w:pPr>
              <w:pStyle w:val="145"/>
              <w:pageBreakBefore w:val="0"/>
              <w:wordWrap/>
              <w:topLinePunct w:val="0"/>
              <w:bidi w:val="0"/>
              <w:spacing w:line="560" w:lineRule="exact"/>
              <w:rPr>
                <w:rFonts w:cs="宋体" w:asciiTheme="minorEastAsia" w:hAnsiTheme="minorEastAsia" w:eastAsiaTheme="minorEastAsia"/>
                <w:color w:val="000000" w:themeColor="text1"/>
                <w:sz w:val="28"/>
                <w:szCs w:val="28"/>
                <w:highlight w:val="none"/>
                <w14:textFill>
                  <w14:solidFill>
                    <w14:schemeClr w14:val="tx1"/>
                  </w14:solidFill>
                </w14:textFill>
              </w:rPr>
            </w:pPr>
          </w:p>
        </w:tc>
        <w:tc>
          <w:tcPr>
            <w:tcW w:w="495" w:type="dxa"/>
            <w:vMerge w:val="continue"/>
            <w:tcBorders>
              <w:left w:val="outset" w:color="auto" w:sz="6" w:space="0"/>
              <w:right w:val="outset" w:color="auto" w:sz="6" w:space="0"/>
            </w:tcBorders>
            <w:vAlign w:val="center"/>
          </w:tcPr>
          <w:p w14:paraId="751B0CC3">
            <w:pPr>
              <w:pStyle w:val="145"/>
              <w:pageBreakBefore w:val="0"/>
              <w:wordWrap/>
              <w:topLinePunct w:val="0"/>
              <w:bidi w:val="0"/>
              <w:spacing w:line="560" w:lineRule="exact"/>
              <w:rPr>
                <w:rFonts w:cs="宋体" w:asciiTheme="minorEastAsia" w:hAnsiTheme="minorEastAsia" w:eastAsiaTheme="minorEastAsia"/>
                <w:color w:val="000000" w:themeColor="text1"/>
                <w:sz w:val="28"/>
                <w:szCs w:val="28"/>
                <w:highlight w:val="none"/>
                <w14:textFill>
                  <w14:solidFill>
                    <w14:schemeClr w14:val="tx1"/>
                  </w14:solidFill>
                </w14:textFill>
              </w:rPr>
            </w:pPr>
          </w:p>
        </w:tc>
        <w:tc>
          <w:tcPr>
            <w:tcW w:w="1852" w:type="dxa"/>
            <w:tcBorders>
              <w:top w:val="outset" w:color="auto" w:sz="6" w:space="0"/>
              <w:left w:val="outset" w:color="auto" w:sz="6" w:space="0"/>
              <w:bottom w:val="outset" w:color="auto" w:sz="6" w:space="0"/>
              <w:right w:val="outset" w:color="auto" w:sz="6" w:space="0"/>
            </w:tcBorders>
            <w:vAlign w:val="center"/>
          </w:tcPr>
          <w:p w14:paraId="61B6808F">
            <w:pPr>
              <w:pStyle w:val="145"/>
              <w:pageBreakBefore w:val="0"/>
              <w:wordWrap/>
              <w:topLinePunct w:val="0"/>
              <w:bidi w:val="0"/>
              <w:spacing w:line="560" w:lineRule="exact"/>
              <w:jc w:val="center"/>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投标保证金</w:t>
            </w:r>
          </w:p>
        </w:tc>
        <w:tc>
          <w:tcPr>
            <w:tcW w:w="5020" w:type="dxa"/>
            <w:tcBorders>
              <w:top w:val="outset" w:color="auto" w:sz="6" w:space="0"/>
              <w:left w:val="outset" w:color="auto" w:sz="6" w:space="0"/>
              <w:bottom w:val="outset" w:color="auto" w:sz="6" w:space="0"/>
              <w:right w:val="outset" w:color="auto" w:sz="6" w:space="0"/>
            </w:tcBorders>
            <w:vAlign w:val="center"/>
          </w:tcPr>
          <w:p w14:paraId="07FE5182">
            <w:pPr>
              <w:pStyle w:val="145"/>
              <w:pageBreakBefore w:val="0"/>
              <w:wordWrap/>
              <w:topLinePunct w:val="0"/>
              <w:bidi w:val="0"/>
              <w:spacing w:line="560" w:lineRule="exact"/>
              <w:jc w:val="both"/>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lang w:eastAsia="zh-CN"/>
                <w14:textFill>
                  <w14:solidFill>
                    <w14:schemeClr w14:val="tx1"/>
                  </w14:solidFill>
                </w14:textFill>
              </w:rPr>
              <w:t>投标保证金凭证</w:t>
            </w:r>
          </w:p>
        </w:tc>
        <w:tc>
          <w:tcPr>
            <w:tcW w:w="879" w:type="dxa"/>
            <w:tcBorders>
              <w:top w:val="outset" w:color="auto" w:sz="6" w:space="0"/>
              <w:left w:val="outset" w:color="auto" w:sz="6" w:space="0"/>
              <w:bottom w:val="outset" w:color="auto" w:sz="6" w:space="0"/>
              <w:right w:val="outset" w:color="auto" w:sz="6" w:space="0"/>
            </w:tcBorders>
            <w:vAlign w:val="center"/>
          </w:tcPr>
          <w:p w14:paraId="0782900D">
            <w:pPr>
              <w:pStyle w:val="145"/>
              <w:pageBreakBefore w:val="0"/>
              <w:wordWrap/>
              <w:topLinePunct w:val="0"/>
              <w:bidi w:val="0"/>
              <w:spacing w:line="560" w:lineRule="exact"/>
              <w:rPr>
                <w:rFonts w:cs="宋体" w:asciiTheme="minorEastAsia" w:hAnsiTheme="minorEastAsia" w:eastAsiaTheme="minorEastAsia"/>
                <w:color w:val="000000" w:themeColor="text1"/>
                <w:sz w:val="28"/>
                <w:szCs w:val="28"/>
                <w:highlight w:val="none"/>
                <w14:textFill>
                  <w14:solidFill>
                    <w14:schemeClr w14:val="tx1"/>
                  </w14:solidFill>
                </w14:textFill>
              </w:rPr>
            </w:pPr>
          </w:p>
        </w:tc>
        <w:tc>
          <w:tcPr>
            <w:tcW w:w="856" w:type="dxa"/>
            <w:tcBorders>
              <w:top w:val="outset" w:color="auto" w:sz="6" w:space="0"/>
              <w:left w:val="outset" w:color="auto" w:sz="6" w:space="0"/>
              <w:bottom w:val="outset" w:color="auto" w:sz="6" w:space="0"/>
              <w:right w:val="outset" w:color="auto" w:sz="6" w:space="0"/>
            </w:tcBorders>
            <w:vAlign w:val="center"/>
          </w:tcPr>
          <w:p w14:paraId="33762FE8">
            <w:pPr>
              <w:pStyle w:val="145"/>
              <w:pageBreakBefore w:val="0"/>
              <w:wordWrap/>
              <w:topLinePunct w:val="0"/>
              <w:bidi w:val="0"/>
              <w:spacing w:line="560" w:lineRule="exact"/>
              <w:rPr>
                <w:rFonts w:cs="宋体" w:asciiTheme="minorEastAsia" w:hAnsiTheme="minorEastAsia" w:eastAsiaTheme="minorEastAsia"/>
                <w:color w:val="000000" w:themeColor="text1"/>
                <w:sz w:val="28"/>
                <w:szCs w:val="28"/>
                <w:highlight w:val="none"/>
                <w14:textFill>
                  <w14:solidFill>
                    <w14:schemeClr w14:val="tx1"/>
                  </w14:solidFill>
                </w14:textFill>
              </w:rPr>
            </w:pPr>
          </w:p>
        </w:tc>
      </w:tr>
      <w:tr w14:paraId="6881908D">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23" w:hRule="atLeast"/>
        </w:trPr>
        <w:tc>
          <w:tcPr>
            <w:tcW w:w="430" w:type="dxa"/>
            <w:vMerge w:val="continue"/>
            <w:tcBorders>
              <w:left w:val="outset" w:color="auto" w:sz="6" w:space="0"/>
              <w:right w:val="single" w:color="auto" w:sz="4" w:space="0"/>
            </w:tcBorders>
            <w:vAlign w:val="center"/>
          </w:tcPr>
          <w:p w14:paraId="1F4406FF">
            <w:pPr>
              <w:pStyle w:val="145"/>
              <w:pageBreakBefore w:val="0"/>
              <w:wordWrap/>
              <w:topLinePunct w:val="0"/>
              <w:bidi w:val="0"/>
              <w:spacing w:line="560" w:lineRule="exact"/>
              <w:rPr>
                <w:rFonts w:cs="宋体" w:asciiTheme="minorEastAsia" w:hAnsiTheme="minorEastAsia" w:eastAsiaTheme="minorEastAsia"/>
                <w:color w:val="000000" w:themeColor="text1"/>
                <w:sz w:val="28"/>
                <w:szCs w:val="28"/>
                <w:highlight w:val="none"/>
                <w14:textFill>
                  <w14:solidFill>
                    <w14:schemeClr w14:val="tx1"/>
                  </w14:solidFill>
                </w14:textFill>
              </w:rPr>
            </w:pPr>
          </w:p>
        </w:tc>
        <w:tc>
          <w:tcPr>
            <w:tcW w:w="495" w:type="dxa"/>
            <w:vMerge w:val="restart"/>
            <w:tcBorders>
              <w:top w:val="single" w:color="auto" w:sz="4" w:space="0"/>
              <w:left w:val="single" w:color="auto" w:sz="4" w:space="0"/>
              <w:bottom w:val="single" w:color="auto" w:sz="4" w:space="0"/>
              <w:right w:val="single" w:color="auto" w:sz="4" w:space="0"/>
            </w:tcBorders>
            <w:vAlign w:val="center"/>
          </w:tcPr>
          <w:p w14:paraId="4D17DA5B">
            <w:pPr>
              <w:pStyle w:val="145"/>
              <w:pageBreakBefore w:val="0"/>
              <w:wordWrap/>
              <w:topLinePunct w:val="0"/>
              <w:bidi w:val="0"/>
              <w:spacing w:line="560" w:lineRule="exact"/>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符合性检查</w:t>
            </w:r>
          </w:p>
        </w:tc>
        <w:tc>
          <w:tcPr>
            <w:tcW w:w="1852" w:type="dxa"/>
            <w:tcBorders>
              <w:top w:val="outset" w:color="auto" w:sz="6" w:space="0"/>
              <w:left w:val="single" w:color="auto" w:sz="4" w:space="0"/>
              <w:right w:val="outset" w:color="auto" w:sz="6" w:space="0"/>
            </w:tcBorders>
            <w:vAlign w:val="center"/>
          </w:tcPr>
          <w:p w14:paraId="77DD0340">
            <w:pPr>
              <w:pStyle w:val="145"/>
              <w:pageBreakBefore w:val="0"/>
              <w:wordWrap/>
              <w:topLinePunct w:val="0"/>
              <w:bidi w:val="0"/>
              <w:adjustRightInd w:val="0"/>
              <w:snapToGrid w:val="0"/>
              <w:spacing w:line="560" w:lineRule="exact"/>
              <w:jc w:val="center"/>
              <w:rPr>
                <w:rFonts w:hint="eastAsia"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响应文件的</w:t>
            </w:r>
          </w:p>
          <w:p w14:paraId="1BBBB21C">
            <w:pPr>
              <w:pStyle w:val="145"/>
              <w:pageBreakBefore w:val="0"/>
              <w:wordWrap/>
              <w:topLinePunct w:val="0"/>
              <w:bidi w:val="0"/>
              <w:adjustRightInd w:val="0"/>
              <w:snapToGrid w:val="0"/>
              <w:spacing w:line="560" w:lineRule="exact"/>
              <w:jc w:val="center"/>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签署</w:t>
            </w:r>
          </w:p>
        </w:tc>
        <w:tc>
          <w:tcPr>
            <w:tcW w:w="5020" w:type="dxa"/>
            <w:tcBorders>
              <w:top w:val="outset" w:color="auto" w:sz="6" w:space="0"/>
              <w:left w:val="outset" w:color="auto" w:sz="6" w:space="0"/>
              <w:right w:val="outset" w:color="auto" w:sz="6" w:space="0"/>
            </w:tcBorders>
            <w:vAlign w:val="center"/>
          </w:tcPr>
          <w:p w14:paraId="17AEF86F">
            <w:pPr>
              <w:pStyle w:val="145"/>
              <w:pageBreakBefore w:val="0"/>
              <w:wordWrap/>
              <w:topLinePunct w:val="0"/>
              <w:bidi w:val="0"/>
              <w:adjustRightInd w:val="0"/>
              <w:snapToGrid w:val="0"/>
              <w:spacing w:line="560" w:lineRule="exact"/>
              <w:jc w:val="center"/>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按招标文件要求在规定区域加盖单位公章和法定代表人章或签字</w:t>
            </w:r>
          </w:p>
        </w:tc>
        <w:tc>
          <w:tcPr>
            <w:tcW w:w="879" w:type="dxa"/>
            <w:tcBorders>
              <w:top w:val="outset" w:color="auto" w:sz="6" w:space="0"/>
              <w:left w:val="outset" w:color="auto" w:sz="6" w:space="0"/>
              <w:right w:val="outset" w:color="auto" w:sz="6" w:space="0"/>
            </w:tcBorders>
            <w:vAlign w:val="center"/>
          </w:tcPr>
          <w:p w14:paraId="6D9ACF4D">
            <w:pPr>
              <w:pStyle w:val="145"/>
              <w:pageBreakBefore w:val="0"/>
              <w:wordWrap/>
              <w:topLinePunct w:val="0"/>
              <w:bidi w:val="0"/>
              <w:spacing w:line="560" w:lineRule="exact"/>
              <w:rPr>
                <w:rFonts w:cs="宋体" w:asciiTheme="minorEastAsia" w:hAnsiTheme="minorEastAsia" w:eastAsiaTheme="minorEastAsia"/>
                <w:color w:val="000000" w:themeColor="text1"/>
                <w:sz w:val="28"/>
                <w:szCs w:val="28"/>
                <w:highlight w:val="none"/>
                <w14:textFill>
                  <w14:solidFill>
                    <w14:schemeClr w14:val="tx1"/>
                  </w14:solidFill>
                </w14:textFill>
              </w:rPr>
            </w:pPr>
          </w:p>
        </w:tc>
        <w:tc>
          <w:tcPr>
            <w:tcW w:w="856" w:type="dxa"/>
            <w:tcBorders>
              <w:top w:val="outset" w:color="auto" w:sz="6" w:space="0"/>
              <w:left w:val="outset" w:color="auto" w:sz="6" w:space="0"/>
              <w:right w:val="outset" w:color="auto" w:sz="6" w:space="0"/>
            </w:tcBorders>
            <w:vAlign w:val="center"/>
          </w:tcPr>
          <w:p w14:paraId="7174FC14">
            <w:pPr>
              <w:pStyle w:val="145"/>
              <w:pageBreakBefore w:val="0"/>
              <w:wordWrap/>
              <w:topLinePunct w:val="0"/>
              <w:bidi w:val="0"/>
              <w:spacing w:line="560" w:lineRule="exact"/>
              <w:rPr>
                <w:rFonts w:cs="宋体" w:asciiTheme="minorEastAsia" w:hAnsiTheme="minorEastAsia" w:eastAsiaTheme="minorEastAsia"/>
                <w:color w:val="000000" w:themeColor="text1"/>
                <w:sz w:val="28"/>
                <w:szCs w:val="28"/>
                <w:highlight w:val="none"/>
                <w14:textFill>
                  <w14:solidFill>
                    <w14:schemeClr w14:val="tx1"/>
                  </w14:solidFill>
                </w14:textFill>
              </w:rPr>
            </w:pPr>
          </w:p>
        </w:tc>
      </w:tr>
      <w:tr w14:paraId="1161A0A9">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23" w:hRule="atLeast"/>
        </w:trPr>
        <w:tc>
          <w:tcPr>
            <w:tcW w:w="430" w:type="dxa"/>
            <w:vMerge w:val="continue"/>
            <w:tcBorders>
              <w:left w:val="outset" w:color="auto" w:sz="6" w:space="0"/>
              <w:right w:val="single" w:color="auto" w:sz="4" w:space="0"/>
            </w:tcBorders>
            <w:vAlign w:val="center"/>
          </w:tcPr>
          <w:p w14:paraId="571E3399">
            <w:pPr>
              <w:pStyle w:val="145"/>
              <w:pageBreakBefore w:val="0"/>
              <w:wordWrap/>
              <w:topLinePunct w:val="0"/>
              <w:bidi w:val="0"/>
              <w:spacing w:line="560" w:lineRule="exact"/>
              <w:rPr>
                <w:rFonts w:cs="宋体" w:asciiTheme="minorEastAsia" w:hAnsiTheme="minorEastAsia" w:eastAsiaTheme="minorEastAsia"/>
                <w:color w:val="000000" w:themeColor="text1"/>
                <w:sz w:val="28"/>
                <w:szCs w:val="28"/>
                <w:highlight w:val="none"/>
                <w14:textFill>
                  <w14:solidFill>
                    <w14:schemeClr w14:val="tx1"/>
                  </w14:solidFill>
                </w14:textFill>
              </w:rPr>
            </w:pPr>
          </w:p>
        </w:tc>
        <w:tc>
          <w:tcPr>
            <w:tcW w:w="495" w:type="dxa"/>
            <w:vMerge w:val="continue"/>
            <w:tcBorders>
              <w:top w:val="single" w:color="auto" w:sz="4" w:space="0"/>
              <w:left w:val="single" w:color="auto" w:sz="4" w:space="0"/>
              <w:bottom w:val="single" w:color="auto" w:sz="4" w:space="0"/>
              <w:right w:val="single" w:color="auto" w:sz="4" w:space="0"/>
            </w:tcBorders>
            <w:vAlign w:val="center"/>
          </w:tcPr>
          <w:p w14:paraId="41914518">
            <w:pPr>
              <w:pStyle w:val="145"/>
              <w:pageBreakBefore w:val="0"/>
              <w:wordWrap/>
              <w:topLinePunct w:val="0"/>
              <w:bidi w:val="0"/>
              <w:spacing w:line="560" w:lineRule="exact"/>
              <w:rPr>
                <w:rFonts w:cs="宋体" w:asciiTheme="minorEastAsia" w:hAnsiTheme="minorEastAsia" w:eastAsiaTheme="minorEastAsia"/>
                <w:color w:val="000000" w:themeColor="text1"/>
                <w:sz w:val="28"/>
                <w:szCs w:val="28"/>
                <w:highlight w:val="none"/>
                <w14:textFill>
                  <w14:solidFill>
                    <w14:schemeClr w14:val="tx1"/>
                  </w14:solidFill>
                </w14:textFill>
              </w:rPr>
            </w:pPr>
          </w:p>
        </w:tc>
        <w:tc>
          <w:tcPr>
            <w:tcW w:w="1852" w:type="dxa"/>
            <w:tcBorders>
              <w:top w:val="outset" w:color="auto" w:sz="6" w:space="0"/>
              <w:left w:val="single" w:color="auto" w:sz="4" w:space="0"/>
              <w:right w:val="outset" w:color="auto" w:sz="6" w:space="0"/>
            </w:tcBorders>
            <w:vAlign w:val="center"/>
          </w:tcPr>
          <w:p w14:paraId="5D10CA14">
            <w:pPr>
              <w:pStyle w:val="145"/>
              <w:pageBreakBefore w:val="0"/>
              <w:wordWrap/>
              <w:topLinePunct w:val="0"/>
              <w:bidi w:val="0"/>
              <w:adjustRightInd w:val="0"/>
              <w:snapToGrid w:val="0"/>
              <w:spacing w:line="560" w:lineRule="exact"/>
              <w:jc w:val="center"/>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报价唯一</w:t>
            </w:r>
          </w:p>
        </w:tc>
        <w:tc>
          <w:tcPr>
            <w:tcW w:w="5020" w:type="dxa"/>
            <w:tcBorders>
              <w:top w:val="outset" w:color="auto" w:sz="6" w:space="0"/>
              <w:left w:val="outset" w:color="auto" w:sz="6" w:space="0"/>
              <w:right w:val="outset" w:color="auto" w:sz="6" w:space="0"/>
            </w:tcBorders>
            <w:vAlign w:val="center"/>
          </w:tcPr>
          <w:p w14:paraId="1C97F795">
            <w:pPr>
              <w:pStyle w:val="145"/>
              <w:pageBreakBefore w:val="0"/>
              <w:wordWrap/>
              <w:topLinePunct w:val="0"/>
              <w:bidi w:val="0"/>
              <w:adjustRightInd w:val="0"/>
              <w:snapToGrid w:val="0"/>
              <w:spacing w:line="560" w:lineRule="exact"/>
              <w:jc w:val="center"/>
              <w:rPr>
                <w:rFonts w:hint="eastAsia" w:cs="宋体" w:asciiTheme="minorEastAsia" w:hAnsiTheme="minorEastAsia" w:eastAsiaTheme="minorEastAsia"/>
                <w:color w:val="000000" w:themeColor="text1"/>
                <w:sz w:val="28"/>
                <w:szCs w:val="28"/>
                <w:highlight w:val="none"/>
                <w:lang w:eastAsia="zh-CN"/>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只有一个有效报价且未超过</w:t>
            </w:r>
            <w:r>
              <w:rPr>
                <w:rFonts w:hint="eastAsia" w:cs="宋体" w:asciiTheme="minorEastAsia" w:hAnsiTheme="minorEastAsia" w:eastAsiaTheme="minorEastAsia"/>
                <w:color w:val="000000" w:themeColor="text1"/>
                <w:sz w:val="28"/>
                <w:szCs w:val="28"/>
                <w:highlight w:val="none"/>
                <w:lang w:eastAsia="zh-CN"/>
                <w14:textFill>
                  <w14:solidFill>
                    <w14:schemeClr w14:val="tx1"/>
                  </w14:solidFill>
                </w14:textFill>
              </w:rPr>
              <w:t>最高限价</w:t>
            </w:r>
          </w:p>
        </w:tc>
        <w:tc>
          <w:tcPr>
            <w:tcW w:w="879" w:type="dxa"/>
            <w:tcBorders>
              <w:top w:val="outset" w:color="auto" w:sz="6" w:space="0"/>
              <w:left w:val="outset" w:color="auto" w:sz="6" w:space="0"/>
              <w:right w:val="outset" w:color="auto" w:sz="6" w:space="0"/>
            </w:tcBorders>
            <w:vAlign w:val="center"/>
          </w:tcPr>
          <w:p w14:paraId="49E5F319">
            <w:pPr>
              <w:pStyle w:val="145"/>
              <w:pageBreakBefore w:val="0"/>
              <w:wordWrap/>
              <w:topLinePunct w:val="0"/>
              <w:bidi w:val="0"/>
              <w:spacing w:line="560" w:lineRule="exact"/>
              <w:rPr>
                <w:rFonts w:cs="宋体" w:asciiTheme="minorEastAsia" w:hAnsiTheme="minorEastAsia" w:eastAsiaTheme="minorEastAsia"/>
                <w:color w:val="000000" w:themeColor="text1"/>
                <w:sz w:val="28"/>
                <w:szCs w:val="28"/>
                <w:highlight w:val="none"/>
                <w14:textFill>
                  <w14:solidFill>
                    <w14:schemeClr w14:val="tx1"/>
                  </w14:solidFill>
                </w14:textFill>
              </w:rPr>
            </w:pPr>
          </w:p>
        </w:tc>
        <w:tc>
          <w:tcPr>
            <w:tcW w:w="856" w:type="dxa"/>
            <w:tcBorders>
              <w:top w:val="outset" w:color="auto" w:sz="6" w:space="0"/>
              <w:left w:val="outset" w:color="auto" w:sz="6" w:space="0"/>
              <w:right w:val="outset" w:color="auto" w:sz="6" w:space="0"/>
            </w:tcBorders>
            <w:vAlign w:val="center"/>
          </w:tcPr>
          <w:p w14:paraId="456A46D3">
            <w:pPr>
              <w:pStyle w:val="145"/>
              <w:pageBreakBefore w:val="0"/>
              <w:wordWrap/>
              <w:topLinePunct w:val="0"/>
              <w:bidi w:val="0"/>
              <w:spacing w:line="560" w:lineRule="exact"/>
              <w:rPr>
                <w:rFonts w:cs="宋体" w:asciiTheme="minorEastAsia" w:hAnsiTheme="minorEastAsia" w:eastAsiaTheme="minorEastAsia"/>
                <w:color w:val="000000" w:themeColor="text1"/>
                <w:sz w:val="28"/>
                <w:szCs w:val="28"/>
                <w:highlight w:val="none"/>
                <w14:textFill>
                  <w14:solidFill>
                    <w14:schemeClr w14:val="tx1"/>
                  </w14:solidFill>
                </w14:textFill>
              </w:rPr>
            </w:pPr>
          </w:p>
        </w:tc>
      </w:tr>
      <w:tr w14:paraId="6E12618F">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23" w:hRule="atLeast"/>
        </w:trPr>
        <w:tc>
          <w:tcPr>
            <w:tcW w:w="430" w:type="dxa"/>
            <w:vMerge w:val="continue"/>
            <w:tcBorders>
              <w:left w:val="outset" w:color="auto" w:sz="6" w:space="0"/>
              <w:right w:val="single" w:color="auto" w:sz="4" w:space="0"/>
            </w:tcBorders>
            <w:vAlign w:val="center"/>
          </w:tcPr>
          <w:p w14:paraId="5E9904C7">
            <w:pPr>
              <w:pStyle w:val="145"/>
              <w:pageBreakBefore w:val="0"/>
              <w:wordWrap/>
              <w:topLinePunct w:val="0"/>
              <w:bidi w:val="0"/>
              <w:spacing w:line="560" w:lineRule="exact"/>
              <w:rPr>
                <w:rFonts w:cs="宋体" w:asciiTheme="minorEastAsia" w:hAnsiTheme="minorEastAsia" w:eastAsiaTheme="minorEastAsia"/>
                <w:color w:val="000000" w:themeColor="text1"/>
                <w:sz w:val="28"/>
                <w:szCs w:val="28"/>
                <w:highlight w:val="none"/>
                <w14:textFill>
                  <w14:solidFill>
                    <w14:schemeClr w14:val="tx1"/>
                  </w14:solidFill>
                </w14:textFill>
              </w:rPr>
            </w:pPr>
          </w:p>
        </w:tc>
        <w:tc>
          <w:tcPr>
            <w:tcW w:w="495" w:type="dxa"/>
            <w:vMerge w:val="continue"/>
            <w:tcBorders>
              <w:top w:val="single" w:color="auto" w:sz="4" w:space="0"/>
              <w:left w:val="single" w:color="auto" w:sz="4" w:space="0"/>
              <w:bottom w:val="single" w:color="auto" w:sz="4" w:space="0"/>
              <w:right w:val="single" w:color="auto" w:sz="4" w:space="0"/>
            </w:tcBorders>
            <w:vAlign w:val="center"/>
          </w:tcPr>
          <w:p w14:paraId="21516C23">
            <w:pPr>
              <w:pStyle w:val="145"/>
              <w:pageBreakBefore w:val="0"/>
              <w:wordWrap/>
              <w:topLinePunct w:val="0"/>
              <w:bidi w:val="0"/>
              <w:spacing w:line="560" w:lineRule="exact"/>
              <w:rPr>
                <w:rFonts w:cs="宋体" w:asciiTheme="minorEastAsia" w:hAnsiTheme="minorEastAsia" w:eastAsiaTheme="minorEastAsia"/>
                <w:color w:val="000000" w:themeColor="text1"/>
                <w:sz w:val="28"/>
                <w:szCs w:val="28"/>
                <w:highlight w:val="none"/>
                <w14:textFill>
                  <w14:solidFill>
                    <w14:schemeClr w14:val="tx1"/>
                  </w14:solidFill>
                </w14:textFill>
              </w:rPr>
            </w:pPr>
          </w:p>
        </w:tc>
        <w:tc>
          <w:tcPr>
            <w:tcW w:w="1852" w:type="dxa"/>
            <w:tcBorders>
              <w:top w:val="outset" w:color="auto" w:sz="6" w:space="0"/>
              <w:left w:val="single" w:color="auto" w:sz="4" w:space="0"/>
              <w:bottom w:val="outset" w:color="auto" w:sz="6" w:space="0"/>
              <w:right w:val="outset" w:color="auto" w:sz="6" w:space="0"/>
            </w:tcBorders>
            <w:vAlign w:val="center"/>
          </w:tcPr>
          <w:p w14:paraId="4AC95DE7">
            <w:pPr>
              <w:pStyle w:val="145"/>
              <w:pageBreakBefore w:val="0"/>
              <w:wordWrap/>
              <w:topLinePunct w:val="0"/>
              <w:bidi w:val="0"/>
              <w:adjustRightInd w:val="0"/>
              <w:snapToGrid w:val="0"/>
              <w:spacing w:line="560" w:lineRule="exact"/>
              <w:jc w:val="center"/>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商务要求</w:t>
            </w:r>
          </w:p>
        </w:tc>
        <w:tc>
          <w:tcPr>
            <w:tcW w:w="5020" w:type="dxa"/>
            <w:tcBorders>
              <w:top w:val="outset" w:color="auto" w:sz="6" w:space="0"/>
              <w:left w:val="outset" w:color="auto" w:sz="6" w:space="0"/>
              <w:bottom w:val="outset" w:color="auto" w:sz="6" w:space="0"/>
              <w:right w:val="outset" w:color="auto" w:sz="6" w:space="0"/>
            </w:tcBorders>
            <w:vAlign w:val="center"/>
          </w:tcPr>
          <w:p w14:paraId="064DC82A">
            <w:pPr>
              <w:pStyle w:val="145"/>
              <w:pageBreakBefore w:val="0"/>
              <w:wordWrap/>
              <w:topLinePunct w:val="0"/>
              <w:bidi w:val="0"/>
              <w:adjustRightInd w:val="0"/>
              <w:snapToGrid w:val="0"/>
              <w:spacing w:line="560" w:lineRule="exact"/>
              <w:jc w:val="center"/>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响应文件未附有采购人不能接受或不符合招标文件的商务要求</w:t>
            </w:r>
          </w:p>
        </w:tc>
        <w:tc>
          <w:tcPr>
            <w:tcW w:w="879" w:type="dxa"/>
            <w:tcBorders>
              <w:top w:val="outset" w:color="auto" w:sz="6" w:space="0"/>
              <w:left w:val="outset" w:color="auto" w:sz="6" w:space="0"/>
              <w:bottom w:val="outset" w:color="auto" w:sz="6" w:space="0"/>
              <w:right w:val="outset" w:color="auto" w:sz="6" w:space="0"/>
            </w:tcBorders>
            <w:vAlign w:val="center"/>
          </w:tcPr>
          <w:p w14:paraId="4189CDEF">
            <w:pPr>
              <w:pStyle w:val="145"/>
              <w:pageBreakBefore w:val="0"/>
              <w:wordWrap/>
              <w:topLinePunct w:val="0"/>
              <w:bidi w:val="0"/>
              <w:spacing w:line="560" w:lineRule="exact"/>
              <w:rPr>
                <w:rFonts w:cs="宋体" w:asciiTheme="minorEastAsia" w:hAnsiTheme="minorEastAsia" w:eastAsiaTheme="minorEastAsia"/>
                <w:color w:val="000000" w:themeColor="text1"/>
                <w:sz w:val="28"/>
                <w:szCs w:val="28"/>
                <w:highlight w:val="none"/>
                <w14:textFill>
                  <w14:solidFill>
                    <w14:schemeClr w14:val="tx1"/>
                  </w14:solidFill>
                </w14:textFill>
              </w:rPr>
            </w:pPr>
          </w:p>
        </w:tc>
        <w:tc>
          <w:tcPr>
            <w:tcW w:w="856" w:type="dxa"/>
            <w:tcBorders>
              <w:top w:val="outset" w:color="auto" w:sz="6" w:space="0"/>
              <w:left w:val="outset" w:color="auto" w:sz="6" w:space="0"/>
              <w:bottom w:val="outset" w:color="auto" w:sz="6" w:space="0"/>
              <w:right w:val="outset" w:color="auto" w:sz="6" w:space="0"/>
            </w:tcBorders>
            <w:vAlign w:val="center"/>
          </w:tcPr>
          <w:p w14:paraId="487A9B5D">
            <w:pPr>
              <w:pStyle w:val="145"/>
              <w:pageBreakBefore w:val="0"/>
              <w:wordWrap/>
              <w:topLinePunct w:val="0"/>
              <w:bidi w:val="0"/>
              <w:spacing w:line="560" w:lineRule="exact"/>
              <w:rPr>
                <w:rFonts w:cs="宋体" w:asciiTheme="minorEastAsia" w:hAnsiTheme="minorEastAsia" w:eastAsiaTheme="minorEastAsia"/>
                <w:color w:val="000000" w:themeColor="text1"/>
                <w:sz w:val="28"/>
                <w:szCs w:val="28"/>
                <w:highlight w:val="none"/>
                <w14:textFill>
                  <w14:solidFill>
                    <w14:schemeClr w14:val="tx1"/>
                  </w14:solidFill>
                </w14:textFill>
              </w:rPr>
            </w:pPr>
          </w:p>
        </w:tc>
      </w:tr>
      <w:tr w14:paraId="4223E55E">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23" w:hRule="atLeast"/>
        </w:trPr>
        <w:tc>
          <w:tcPr>
            <w:tcW w:w="430" w:type="dxa"/>
            <w:vMerge w:val="continue"/>
            <w:tcBorders>
              <w:left w:val="outset" w:color="auto" w:sz="6" w:space="0"/>
              <w:bottom w:val="outset" w:color="auto" w:sz="6" w:space="0"/>
              <w:right w:val="single" w:color="auto" w:sz="4" w:space="0"/>
            </w:tcBorders>
            <w:vAlign w:val="center"/>
          </w:tcPr>
          <w:p w14:paraId="2E9E765C">
            <w:pPr>
              <w:pStyle w:val="145"/>
              <w:pageBreakBefore w:val="0"/>
              <w:wordWrap/>
              <w:topLinePunct w:val="0"/>
              <w:bidi w:val="0"/>
              <w:spacing w:line="560" w:lineRule="exact"/>
              <w:rPr>
                <w:rFonts w:cs="宋体" w:asciiTheme="minorEastAsia" w:hAnsiTheme="minorEastAsia" w:eastAsiaTheme="minorEastAsia"/>
                <w:color w:val="000000" w:themeColor="text1"/>
                <w:sz w:val="28"/>
                <w:szCs w:val="28"/>
                <w:highlight w:val="none"/>
                <w14:textFill>
                  <w14:solidFill>
                    <w14:schemeClr w14:val="tx1"/>
                  </w14:solidFill>
                </w14:textFill>
              </w:rPr>
            </w:pPr>
          </w:p>
        </w:tc>
        <w:tc>
          <w:tcPr>
            <w:tcW w:w="495" w:type="dxa"/>
            <w:vMerge w:val="continue"/>
            <w:tcBorders>
              <w:top w:val="single" w:color="auto" w:sz="4" w:space="0"/>
              <w:left w:val="single" w:color="auto" w:sz="4" w:space="0"/>
              <w:bottom w:val="single" w:color="auto" w:sz="4" w:space="0"/>
              <w:right w:val="single" w:color="auto" w:sz="4" w:space="0"/>
            </w:tcBorders>
            <w:vAlign w:val="center"/>
          </w:tcPr>
          <w:p w14:paraId="3AF9A1DF">
            <w:pPr>
              <w:pStyle w:val="145"/>
              <w:pageBreakBefore w:val="0"/>
              <w:wordWrap/>
              <w:topLinePunct w:val="0"/>
              <w:bidi w:val="0"/>
              <w:spacing w:line="560" w:lineRule="exact"/>
              <w:rPr>
                <w:rFonts w:cs="宋体" w:asciiTheme="minorEastAsia" w:hAnsiTheme="minorEastAsia" w:eastAsiaTheme="minorEastAsia"/>
                <w:color w:val="000000" w:themeColor="text1"/>
                <w:sz w:val="28"/>
                <w:szCs w:val="28"/>
                <w:highlight w:val="none"/>
                <w14:textFill>
                  <w14:solidFill>
                    <w14:schemeClr w14:val="tx1"/>
                  </w14:solidFill>
                </w14:textFill>
              </w:rPr>
            </w:pPr>
          </w:p>
        </w:tc>
        <w:tc>
          <w:tcPr>
            <w:tcW w:w="1852" w:type="dxa"/>
            <w:tcBorders>
              <w:top w:val="outset" w:color="auto" w:sz="6" w:space="0"/>
              <w:left w:val="single" w:color="auto" w:sz="4" w:space="0"/>
              <w:bottom w:val="outset" w:color="auto" w:sz="6" w:space="0"/>
              <w:right w:val="outset" w:color="auto" w:sz="6" w:space="0"/>
            </w:tcBorders>
            <w:vAlign w:val="center"/>
          </w:tcPr>
          <w:p w14:paraId="446241CA">
            <w:pPr>
              <w:pStyle w:val="145"/>
              <w:pageBreakBefore w:val="0"/>
              <w:wordWrap/>
              <w:topLinePunct w:val="0"/>
              <w:bidi w:val="0"/>
              <w:adjustRightInd w:val="0"/>
              <w:snapToGrid w:val="0"/>
              <w:spacing w:line="560" w:lineRule="exact"/>
              <w:jc w:val="center"/>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lang w:val="en-US" w:eastAsia="zh-CN"/>
                <w14:textFill>
                  <w14:solidFill>
                    <w14:schemeClr w14:val="tx1"/>
                  </w14:solidFill>
                </w14:textFill>
              </w:rPr>
              <w:t>技术</w:t>
            </w:r>
            <w:r>
              <w:rPr>
                <w:rFonts w:hint="eastAsia" w:cs="宋体" w:asciiTheme="minorEastAsia" w:hAnsiTheme="minorEastAsia" w:eastAsiaTheme="minorEastAsia"/>
                <w:color w:val="000000" w:themeColor="text1"/>
                <w:sz w:val="28"/>
                <w:szCs w:val="28"/>
                <w:highlight w:val="none"/>
                <w14:textFill>
                  <w14:solidFill>
                    <w14:schemeClr w14:val="tx1"/>
                  </w14:solidFill>
                </w14:textFill>
              </w:rPr>
              <w:t>要求</w:t>
            </w:r>
          </w:p>
        </w:tc>
        <w:tc>
          <w:tcPr>
            <w:tcW w:w="5020" w:type="dxa"/>
            <w:tcBorders>
              <w:top w:val="outset" w:color="auto" w:sz="6" w:space="0"/>
              <w:left w:val="outset" w:color="auto" w:sz="6" w:space="0"/>
              <w:bottom w:val="outset" w:color="auto" w:sz="6" w:space="0"/>
              <w:right w:val="outset" w:color="auto" w:sz="6" w:space="0"/>
            </w:tcBorders>
            <w:vAlign w:val="center"/>
          </w:tcPr>
          <w:p w14:paraId="7C2BEAB2">
            <w:pPr>
              <w:pStyle w:val="145"/>
              <w:pageBreakBefore w:val="0"/>
              <w:wordWrap/>
              <w:topLinePunct w:val="0"/>
              <w:bidi w:val="0"/>
              <w:adjustRightInd w:val="0"/>
              <w:snapToGrid w:val="0"/>
              <w:spacing w:line="560" w:lineRule="exact"/>
              <w:jc w:val="center"/>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响应文件未附有采购人不能接受或不符合招标文件的</w:t>
            </w:r>
            <w:r>
              <w:rPr>
                <w:rFonts w:hint="eastAsia" w:cs="宋体" w:asciiTheme="minorEastAsia" w:hAnsiTheme="minorEastAsia" w:eastAsiaTheme="minorEastAsia"/>
                <w:color w:val="000000" w:themeColor="text1"/>
                <w:sz w:val="28"/>
                <w:szCs w:val="28"/>
                <w:highlight w:val="none"/>
                <w:lang w:val="en-US" w:eastAsia="zh-CN"/>
                <w14:textFill>
                  <w14:solidFill>
                    <w14:schemeClr w14:val="tx1"/>
                  </w14:solidFill>
                </w14:textFill>
              </w:rPr>
              <w:t>技术</w:t>
            </w:r>
            <w:r>
              <w:rPr>
                <w:rFonts w:hint="eastAsia" w:cs="宋体" w:asciiTheme="minorEastAsia" w:hAnsiTheme="minorEastAsia" w:eastAsiaTheme="minorEastAsia"/>
                <w:color w:val="000000" w:themeColor="text1"/>
                <w:sz w:val="28"/>
                <w:szCs w:val="28"/>
                <w:highlight w:val="none"/>
                <w14:textFill>
                  <w14:solidFill>
                    <w14:schemeClr w14:val="tx1"/>
                  </w14:solidFill>
                </w14:textFill>
              </w:rPr>
              <w:t>要求</w:t>
            </w:r>
          </w:p>
        </w:tc>
        <w:tc>
          <w:tcPr>
            <w:tcW w:w="879" w:type="dxa"/>
            <w:tcBorders>
              <w:top w:val="outset" w:color="auto" w:sz="6" w:space="0"/>
              <w:left w:val="outset" w:color="auto" w:sz="6" w:space="0"/>
              <w:bottom w:val="outset" w:color="auto" w:sz="6" w:space="0"/>
              <w:right w:val="outset" w:color="auto" w:sz="6" w:space="0"/>
            </w:tcBorders>
            <w:vAlign w:val="center"/>
          </w:tcPr>
          <w:p w14:paraId="68B93F7E">
            <w:pPr>
              <w:pStyle w:val="145"/>
              <w:pageBreakBefore w:val="0"/>
              <w:wordWrap/>
              <w:topLinePunct w:val="0"/>
              <w:bidi w:val="0"/>
              <w:spacing w:line="560" w:lineRule="exact"/>
              <w:rPr>
                <w:rFonts w:cs="宋体" w:asciiTheme="minorEastAsia" w:hAnsiTheme="minorEastAsia" w:eastAsiaTheme="minorEastAsia"/>
                <w:color w:val="000000" w:themeColor="text1"/>
                <w:sz w:val="28"/>
                <w:szCs w:val="28"/>
                <w:highlight w:val="yellow"/>
                <w14:textFill>
                  <w14:solidFill>
                    <w14:schemeClr w14:val="tx1"/>
                  </w14:solidFill>
                </w14:textFill>
              </w:rPr>
            </w:pPr>
          </w:p>
        </w:tc>
        <w:tc>
          <w:tcPr>
            <w:tcW w:w="856" w:type="dxa"/>
            <w:tcBorders>
              <w:top w:val="outset" w:color="auto" w:sz="6" w:space="0"/>
              <w:left w:val="outset" w:color="auto" w:sz="6" w:space="0"/>
              <w:bottom w:val="outset" w:color="auto" w:sz="6" w:space="0"/>
              <w:right w:val="outset" w:color="auto" w:sz="6" w:space="0"/>
            </w:tcBorders>
            <w:vAlign w:val="center"/>
          </w:tcPr>
          <w:p w14:paraId="13264CBE">
            <w:pPr>
              <w:pStyle w:val="145"/>
              <w:pageBreakBefore w:val="0"/>
              <w:wordWrap/>
              <w:topLinePunct w:val="0"/>
              <w:bidi w:val="0"/>
              <w:spacing w:line="560" w:lineRule="exact"/>
              <w:rPr>
                <w:rFonts w:cs="宋体" w:asciiTheme="minorEastAsia" w:hAnsiTheme="minorEastAsia" w:eastAsiaTheme="minorEastAsia"/>
                <w:color w:val="000000" w:themeColor="text1"/>
                <w:sz w:val="28"/>
                <w:szCs w:val="28"/>
                <w:highlight w:val="yellow"/>
                <w14:textFill>
                  <w14:solidFill>
                    <w14:schemeClr w14:val="tx1"/>
                  </w14:solidFill>
                </w14:textFill>
              </w:rPr>
            </w:pPr>
          </w:p>
        </w:tc>
      </w:tr>
    </w:tbl>
    <w:p w14:paraId="6FDAEEE2">
      <w:pPr>
        <w:pageBreakBefore w:val="0"/>
        <w:widowControl/>
        <w:wordWrap/>
        <w:topLinePunct w:val="0"/>
        <w:bidi w:val="0"/>
        <w:spacing w:line="560" w:lineRule="exact"/>
        <w:jc w:val="left"/>
        <w:rPr>
          <w:rFonts w:hAnsi="宋体"/>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br w:type="page"/>
      </w:r>
    </w:p>
    <w:p w14:paraId="2FC760F6">
      <w:pPr>
        <w:pStyle w:val="4"/>
        <w:keepNext w:val="0"/>
        <w:keepLines w:val="0"/>
        <w:pageBreakBefore w:val="0"/>
        <w:kinsoku/>
        <w:wordWrap/>
        <w:overflowPunct/>
        <w:topLinePunct w:val="0"/>
        <w:autoSpaceDE/>
        <w:autoSpaceDN/>
        <w:bidi w:val="0"/>
        <w:adjustRightInd/>
        <w:snapToGrid/>
        <w:spacing w:line="560" w:lineRule="exact"/>
        <w:jc w:val="center"/>
        <w:textAlignment w:val="auto"/>
        <w:rPr>
          <w:rFonts w:hint="default"/>
          <w:color w:val="000000" w:themeColor="text1"/>
          <w:sz w:val="28"/>
          <w:szCs w:val="28"/>
          <w:highlight w:val="none"/>
          <w14:textFill>
            <w14:solidFill>
              <w14:schemeClr w14:val="tx1"/>
            </w14:solidFill>
          </w14:textFill>
        </w:rPr>
      </w:pPr>
      <w:bookmarkStart w:id="200" w:name="_Toc138610900"/>
      <w:bookmarkStart w:id="201" w:name="_Toc140741986"/>
      <w:bookmarkStart w:id="202" w:name="_Toc140742531"/>
      <w:bookmarkStart w:id="203" w:name="_Toc14325"/>
      <w:r>
        <w:rPr>
          <w:rFonts w:hint="eastAsia"/>
          <w:color w:val="000000" w:themeColor="text1"/>
          <w:sz w:val="28"/>
          <w:szCs w:val="28"/>
          <w:highlight w:val="none"/>
          <w14:textFill>
            <w14:solidFill>
              <w14:schemeClr w14:val="tx1"/>
            </w14:solidFill>
          </w14:textFill>
        </w:rPr>
        <w:t>第三节</w:t>
      </w:r>
      <w:r>
        <w:rPr>
          <w:color w:val="000000" w:themeColor="text1"/>
          <w:sz w:val="28"/>
          <w:szCs w:val="28"/>
          <w:highlight w:val="none"/>
          <w14:textFill>
            <w14:solidFill>
              <w14:schemeClr w14:val="tx1"/>
            </w14:solidFill>
          </w14:textFill>
        </w:rPr>
        <w:t xml:space="preserve"> </w:t>
      </w:r>
      <w:r>
        <w:rPr>
          <w:rFonts w:hint="eastAsia"/>
          <w:color w:val="000000" w:themeColor="text1"/>
          <w:sz w:val="28"/>
          <w:szCs w:val="28"/>
          <w:highlight w:val="none"/>
          <w14:textFill>
            <w14:solidFill>
              <w14:schemeClr w14:val="tx1"/>
            </w14:solidFill>
          </w14:textFill>
        </w:rPr>
        <w:t>评分标准</w:t>
      </w:r>
      <w:bookmarkEnd w:id="200"/>
      <w:bookmarkEnd w:id="201"/>
      <w:bookmarkEnd w:id="202"/>
      <w:bookmarkEnd w:id="203"/>
      <w:r>
        <w:rPr>
          <w:rFonts w:hint="default"/>
          <w:color w:val="000000" w:themeColor="text1"/>
          <w:sz w:val="28"/>
          <w:szCs w:val="28"/>
          <w:highlight w:val="none"/>
          <w14:textFill>
            <w14:solidFill>
              <w14:schemeClr w14:val="tx1"/>
            </w14:solidFill>
          </w14:textFill>
        </w:rPr>
        <w:t>（标项</w:t>
      </w:r>
      <w:r>
        <w:rPr>
          <w:rFonts w:hint="eastAsia"/>
          <w:color w:val="000000" w:themeColor="text1"/>
          <w:sz w:val="28"/>
          <w:szCs w:val="28"/>
          <w:highlight w:val="none"/>
          <w:lang w:val="en-US" w:eastAsia="zh-CN"/>
          <w14:textFill>
            <w14:solidFill>
              <w14:schemeClr w14:val="tx1"/>
            </w14:solidFill>
          </w14:textFill>
        </w:rPr>
        <w:t>1</w:t>
      </w:r>
      <w:r>
        <w:rPr>
          <w:rFonts w:hint="default"/>
          <w:color w:val="000000" w:themeColor="text1"/>
          <w:sz w:val="28"/>
          <w:szCs w:val="28"/>
          <w:highlight w:val="none"/>
          <w14:textFill>
            <w14:solidFill>
              <w14:schemeClr w14:val="tx1"/>
            </w14:solidFill>
          </w14:textFill>
        </w:rPr>
        <w:t>）</w:t>
      </w:r>
    </w:p>
    <w:p w14:paraId="7ADF9629">
      <w:pPr>
        <w:pStyle w:val="17"/>
        <w:keepNext w:val="0"/>
        <w:keepLines w:val="0"/>
        <w:pageBreakBefore w:val="0"/>
        <w:kinsoku/>
        <w:wordWrap/>
        <w:overflowPunct/>
        <w:topLinePunct w:val="0"/>
        <w:autoSpaceDE/>
        <w:autoSpaceDN/>
        <w:bidi w:val="0"/>
        <w:adjustRightInd/>
        <w:snapToGrid/>
        <w:spacing w:line="560" w:lineRule="exact"/>
        <w:textAlignment w:val="auto"/>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一、综合评分法</w:t>
      </w:r>
    </w:p>
    <w:p w14:paraId="4D089C7B">
      <w:pPr>
        <w:keepNext w:val="0"/>
        <w:keepLines w:val="0"/>
        <w:pageBreakBefore w:val="0"/>
        <w:kinsoku/>
        <w:wordWrap/>
        <w:overflowPunct/>
        <w:topLinePunct w:val="0"/>
        <w:autoSpaceDE/>
        <w:autoSpaceDN/>
        <w:bidi w:val="0"/>
        <w:adjustRightInd/>
        <w:snapToGrid/>
        <w:spacing w:line="560" w:lineRule="exact"/>
        <w:textAlignment w:val="auto"/>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注：1、计分方法按四舍五入取至百分位。</w:t>
      </w:r>
    </w:p>
    <w:p w14:paraId="5E744A76">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asciiTheme="minorEastAsia" w:hAnsiTheme="minorEastAsia" w:eastAsiaTheme="minorEastAsia"/>
          <w:bCs/>
          <w:color w:val="000000" w:themeColor="text1"/>
          <w:sz w:val="28"/>
          <w:szCs w:val="28"/>
          <w:highlight w:val="none"/>
          <w:u w:val="single"/>
          <w14:textFill>
            <w14:solidFill>
              <w14:schemeClr w14:val="tx1"/>
            </w14:solidFill>
          </w14:textFill>
        </w:rPr>
      </w:pPr>
      <w:r>
        <w:rPr>
          <w:rFonts w:hint="eastAsia" w:asciiTheme="minorEastAsia" w:hAnsiTheme="minorEastAsia" w:eastAsiaTheme="minorEastAsia"/>
          <w:bCs/>
          <w:color w:val="000000" w:themeColor="text1"/>
          <w:sz w:val="28"/>
          <w:szCs w:val="28"/>
          <w:highlight w:val="none"/>
          <w14:textFill>
            <w14:solidFill>
              <w14:schemeClr w14:val="tx1"/>
            </w14:solidFill>
          </w14:textFill>
        </w:rPr>
        <w:t>总得分=</w:t>
      </w:r>
      <w:r>
        <w:rPr>
          <w:rFonts w:hint="eastAsia" w:asciiTheme="minorEastAsia" w:hAnsiTheme="minorEastAsia" w:eastAsiaTheme="minorEastAsia"/>
          <w:bCs/>
          <w:color w:val="000000" w:themeColor="text1"/>
          <w:sz w:val="28"/>
          <w:szCs w:val="28"/>
          <w:highlight w:val="none"/>
          <w:u w:val="single"/>
          <w14:textFill>
            <w14:solidFill>
              <w14:schemeClr w14:val="tx1"/>
            </w14:solidFill>
          </w14:textFill>
        </w:rPr>
        <w:t xml:space="preserve"> 报价得分+ 商务得分+技术得分                                                           </w:t>
      </w:r>
    </w:p>
    <w:p w14:paraId="36703212">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asciiTheme="minorEastAsia" w:hAnsiTheme="minorEastAsia" w:eastAsiaTheme="minorEastAsia"/>
          <w:bCs/>
          <w:color w:val="000000" w:themeColor="text1"/>
          <w:sz w:val="28"/>
          <w:szCs w:val="28"/>
          <w:highlight w:val="none"/>
          <w14:textFill>
            <w14:solidFill>
              <w14:schemeClr w14:val="tx1"/>
            </w14:solidFill>
          </w14:textFill>
        </w:rPr>
      </w:pPr>
      <w:bookmarkStart w:id="204" w:name="PO_3000001869_PM051"/>
      <w:r>
        <w:rPr>
          <w:rFonts w:asciiTheme="minorEastAsia" w:hAnsiTheme="minorEastAsia" w:eastAsiaTheme="minorEastAsia"/>
          <w:bCs/>
          <w:color w:val="000000" w:themeColor="text1"/>
          <w:sz w:val="28"/>
          <w:szCs w:val="28"/>
          <w:highlight w:val="none"/>
          <w14:textFill>
            <w14:solidFill>
              <w14:schemeClr w14:val="tx1"/>
            </w14:solidFill>
          </w14:textFill>
        </w:rPr>
        <w:t xml:space="preserve"> </w:t>
      </w:r>
      <w:bookmarkEnd w:id="204"/>
      <w:bookmarkStart w:id="205" w:name="PO_TDCUS_ITEM_SM_TITLE_1"/>
      <w:r>
        <w:rPr>
          <w:rFonts w:hint="eastAsia" w:asciiTheme="minorEastAsia" w:hAnsiTheme="minorEastAsia" w:eastAsiaTheme="minorEastAsia"/>
          <w:bCs/>
          <w:color w:val="000000" w:themeColor="text1"/>
          <w:sz w:val="28"/>
          <w:szCs w:val="28"/>
          <w:highlight w:val="none"/>
          <w14:textFill>
            <w14:solidFill>
              <w14:schemeClr w14:val="tx1"/>
            </w14:solidFill>
          </w14:textFill>
        </w:rPr>
        <w:t>标项</w:t>
      </w:r>
      <w:r>
        <w:rPr>
          <w:rFonts w:asciiTheme="minorEastAsia" w:hAnsiTheme="minorEastAsia" w:eastAsiaTheme="minorEastAsia"/>
          <w:bCs/>
          <w:color w:val="000000" w:themeColor="text1"/>
          <w:sz w:val="28"/>
          <w:szCs w:val="28"/>
          <w:highlight w:val="none"/>
          <w14:textFill>
            <w14:solidFill>
              <w14:schemeClr w14:val="tx1"/>
            </w14:solidFill>
          </w14:textFill>
        </w:rPr>
        <w:t>1的评分方法</w:t>
      </w:r>
      <w:bookmarkEnd w:id="205"/>
      <w:r>
        <w:rPr>
          <w:rFonts w:asciiTheme="minorEastAsia" w:hAnsiTheme="minorEastAsia" w:eastAsiaTheme="minorEastAsia"/>
          <w:bCs/>
          <w:color w:val="000000" w:themeColor="text1"/>
          <w:sz w:val="28"/>
          <w:szCs w:val="28"/>
          <w:highlight w:val="none"/>
          <w14:textFill>
            <w14:solidFill>
              <w14:schemeClr w14:val="tx1"/>
            </w14:solidFill>
          </w14:textFill>
        </w:rPr>
        <w:t xml:space="preserve"> </w:t>
      </w:r>
    </w:p>
    <w:tbl>
      <w:tblPr>
        <w:tblStyle w:val="35"/>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3"/>
        <w:gridCol w:w="1500"/>
        <w:gridCol w:w="6283"/>
        <w:gridCol w:w="1088"/>
      </w:tblGrid>
      <w:tr w14:paraId="644EE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 w:type="dxa"/>
            <w:vAlign w:val="center"/>
          </w:tcPr>
          <w:p w14:paraId="14EC31AA">
            <w:pPr>
              <w:keepNext w:val="0"/>
              <w:keepLines w:val="0"/>
              <w:pageBreakBefore w:val="0"/>
              <w:kinsoku/>
              <w:wordWrap/>
              <w:overflowPunct/>
              <w:topLinePunct w:val="0"/>
              <w:autoSpaceDE/>
              <w:autoSpaceDN/>
              <w:bidi w:val="0"/>
              <w:adjustRightInd/>
              <w:snapToGrid/>
              <w:spacing w:line="560" w:lineRule="exact"/>
              <w:jc w:val="center"/>
              <w:textAlignment w:val="auto"/>
              <w:rPr>
                <w:rFonts w:asciiTheme="minorEastAsia" w:hAnsiTheme="minorEastAsia" w:eastAsiaTheme="minorEastAsia"/>
                <w:bCs/>
                <w:color w:val="000000" w:themeColor="text1"/>
                <w:kern w:val="0"/>
                <w:sz w:val="28"/>
                <w:szCs w:val="28"/>
                <w:highlight w:val="none"/>
                <w14:textFill>
                  <w14:solidFill>
                    <w14:schemeClr w14:val="tx1"/>
                  </w14:solidFill>
                </w14:textFill>
              </w:rPr>
            </w:pPr>
            <w:r>
              <w:rPr>
                <w:rFonts w:hint="eastAsia" w:asciiTheme="minorEastAsia" w:hAnsiTheme="minorEastAsia" w:eastAsiaTheme="minorEastAsia"/>
                <w:bCs/>
                <w:color w:val="000000" w:themeColor="text1"/>
                <w:kern w:val="0"/>
                <w:sz w:val="28"/>
                <w:szCs w:val="28"/>
                <w:highlight w:val="none"/>
                <w14:textFill>
                  <w14:solidFill>
                    <w14:schemeClr w14:val="tx1"/>
                  </w14:solidFill>
                </w14:textFill>
              </w:rPr>
              <w:t>序号</w:t>
            </w:r>
          </w:p>
        </w:tc>
        <w:tc>
          <w:tcPr>
            <w:tcW w:w="1500" w:type="dxa"/>
            <w:vAlign w:val="center"/>
          </w:tcPr>
          <w:p w14:paraId="0F923701">
            <w:pPr>
              <w:keepNext w:val="0"/>
              <w:keepLines w:val="0"/>
              <w:pageBreakBefore w:val="0"/>
              <w:kinsoku/>
              <w:wordWrap/>
              <w:overflowPunct/>
              <w:topLinePunct w:val="0"/>
              <w:autoSpaceDE/>
              <w:autoSpaceDN/>
              <w:bidi w:val="0"/>
              <w:adjustRightInd/>
              <w:snapToGrid/>
              <w:spacing w:line="560" w:lineRule="exact"/>
              <w:jc w:val="center"/>
              <w:textAlignment w:val="auto"/>
              <w:rPr>
                <w:rFonts w:asciiTheme="minorEastAsia" w:hAnsiTheme="minorEastAsia" w:eastAsiaTheme="minorEastAsia"/>
                <w:bCs/>
                <w:color w:val="000000" w:themeColor="text1"/>
                <w:kern w:val="0"/>
                <w:sz w:val="28"/>
                <w:szCs w:val="28"/>
                <w:highlight w:val="none"/>
                <w14:textFill>
                  <w14:solidFill>
                    <w14:schemeClr w14:val="tx1"/>
                  </w14:solidFill>
                </w14:textFill>
              </w:rPr>
            </w:pPr>
            <w:r>
              <w:rPr>
                <w:rFonts w:hint="eastAsia" w:asciiTheme="minorEastAsia" w:hAnsiTheme="minorEastAsia" w:eastAsiaTheme="minorEastAsia"/>
                <w:bCs/>
                <w:color w:val="000000" w:themeColor="text1"/>
                <w:kern w:val="0"/>
                <w:sz w:val="28"/>
                <w:szCs w:val="28"/>
                <w:highlight w:val="none"/>
                <w14:textFill>
                  <w14:solidFill>
                    <w14:schemeClr w14:val="tx1"/>
                  </w14:solidFill>
                </w14:textFill>
              </w:rPr>
              <w:t>评分类型</w:t>
            </w:r>
          </w:p>
        </w:tc>
        <w:tc>
          <w:tcPr>
            <w:tcW w:w="6283" w:type="dxa"/>
            <w:vAlign w:val="center"/>
          </w:tcPr>
          <w:p w14:paraId="0C4FE51E">
            <w:pPr>
              <w:keepNext w:val="0"/>
              <w:keepLines w:val="0"/>
              <w:pageBreakBefore w:val="0"/>
              <w:kinsoku/>
              <w:wordWrap/>
              <w:overflowPunct/>
              <w:topLinePunct w:val="0"/>
              <w:autoSpaceDE/>
              <w:autoSpaceDN/>
              <w:bidi w:val="0"/>
              <w:adjustRightInd/>
              <w:snapToGrid/>
              <w:spacing w:line="560" w:lineRule="exact"/>
              <w:jc w:val="center"/>
              <w:textAlignment w:val="auto"/>
              <w:rPr>
                <w:rFonts w:asciiTheme="minorEastAsia" w:hAnsiTheme="minorEastAsia" w:eastAsiaTheme="minorEastAsia"/>
                <w:bCs/>
                <w:color w:val="000000" w:themeColor="text1"/>
                <w:kern w:val="0"/>
                <w:sz w:val="28"/>
                <w:szCs w:val="28"/>
                <w:highlight w:val="none"/>
                <w14:textFill>
                  <w14:solidFill>
                    <w14:schemeClr w14:val="tx1"/>
                  </w14:solidFill>
                </w14:textFill>
              </w:rPr>
            </w:pPr>
            <w:r>
              <w:rPr>
                <w:rFonts w:hint="eastAsia" w:asciiTheme="minorEastAsia" w:hAnsiTheme="minorEastAsia" w:eastAsiaTheme="minorEastAsia"/>
                <w:bCs/>
                <w:color w:val="000000" w:themeColor="text1"/>
                <w:kern w:val="0"/>
                <w:sz w:val="28"/>
                <w:szCs w:val="28"/>
                <w:highlight w:val="none"/>
                <w14:textFill>
                  <w14:solidFill>
                    <w14:schemeClr w14:val="tx1"/>
                  </w14:solidFill>
                </w14:textFill>
              </w:rPr>
              <w:t>评分标准</w:t>
            </w:r>
          </w:p>
        </w:tc>
        <w:tc>
          <w:tcPr>
            <w:tcW w:w="1088" w:type="dxa"/>
            <w:vAlign w:val="center"/>
          </w:tcPr>
          <w:p w14:paraId="5DC497DE">
            <w:pPr>
              <w:keepNext w:val="0"/>
              <w:keepLines w:val="0"/>
              <w:pageBreakBefore w:val="0"/>
              <w:kinsoku/>
              <w:wordWrap/>
              <w:overflowPunct/>
              <w:topLinePunct w:val="0"/>
              <w:autoSpaceDE/>
              <w:autoSpaceDN/>
              <w:bidi w:val="0"/>
              <w:adjustRightInd/>
              <w:snapToGrid/>
              <w:spacing w:line="560" w:lineRule="exact"/>
              <w:jc w:val="center"/>
              <w:textAlignment w:val="auto"/>
              <w:rPr>
                <w:rFonts w:asciiTheme="minorEastAsia" w:hAnsiTheme="minorEastAsia" w:eastAsiaTheme="minorEastAsia"/>
                <w:bCs/>
                <w:color w:val="000000" w:themeColor="text1"/>
                <w:kern w:val="0"/>
                <w:sz w:val="28"/>
                <w:szCs w:val="28"/>
                <w:highlight w:val="none"/>
                <w14:textFill>
                  <w14:solidFill>
                    <w14:schemeClr w14:val="tx1"/>
                  </w14:solidFill>
                </w14:textFill>
              </w:rPr>
            </w:pPr>
            <w:r>
              <w:rPr>
                <w:rFonts w:hint="eastAsia" w:asciiTheme="minorEastAsia" w:hAnsiTheme="minorEastAsia" w:eastAsiaTheme="minorEastAsia"/>
                <w:bCs/>
                <w:color w:val="000000" w:themeColor="text1"/>
                <w:kern w:val="0"/>
                <w:sz w:val="28"/>
                <w:szCs w:val="28"/>
                <w:highlight w:val="none"/>
                <w14:textFill>
                  <w14:solidFill>
                    <w14:schemeClr w14:val="tx1"/>
                  </w14:solidFill>
                </w14:textFill>
              </w:rPr>
              <w:t>分值</w:t>
            </w:r>
          </w:p>
        </w:tc>
      </w:tr>
      <w:tr w14:paraId="23EDB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 w:type="dxa"/>
            <w:vAlign w:val="center"/>
          </w:tcPr>
          <w:p w14:paraId="52F74B47">
            <w:pPr>
              <w:keepNext w:val="0"/>
              <w:keepLines w:val="0"/>
              <w:pageBreakBefore w:val="0"/>
              <w:kinsoku/>
              <w:wordWrap/>
              <w:overflowPunct/>
              <w:topLinePunct w:val="0"/>
              <w:autoSpaceDE/>
              <w:autoSpaceDN/>
              <w:bidi w:val="0"/>
              <w:adjustRightInd/>
              <w:snapToGrid/>
              <w:spacing w:line="560" w:lineRule="exact"/>
              <w:jc w:val="center"/>
              <w:textAlignment w:val="auto"/>
              <w:rPr>
                <w:rFonts w:asciiTheme="minorEastAsia" w:hAnsiTheme="minorEastAsia" w:eastAsiaTheme="minorEastAsia"/>
                <w:bCs/>
                <w:color w:val="000000" w:themeColor="text1"/>
                <w:kern w:val="0"/>
                <w:sz w:val="28"/>
                <w:szCs w:val="28"/>
                <w:highlight w:val="none"/>
                <w14:textFill>
                  <w14:solidFill>
                    <w14:schemeClr w14:val="tx1"/>
                  </w14:solidFill>
                </w14:textFill>
              </w:rPr>
            </w:pPr>
            <w:r>
              <w:rPr>
                <w:rFonts w:asciiTheme="minorEastAsia" w:hAnsiTheme="minorEastAsia" w:eastAsiaTheme="minorEastAsia"/>
                <w:bCs/>
                <w:color w:val="000000" w:themeColor="text1"/>
                <w:kern w:val="0"/>
                <w:sz w:val="28"/>
                <w:szCs w:val="28"/>
                <w:highlight w:val="none"/>
                <w14:textFill>
                  <w14:solidFill>
                    <w14:schemeClr w14:val="tx1"/>
                  </w14:solidFill>
                </w14:textFill>
              </w:rPr>
              <w:t>1</w:t>
            </w:r>
          </w:p>
        </w:tc>
        <w:tc>
          <w:tcPr>
            <w:tcW w:w="1500" w:type="dxa"/>
            <w:vAlign w:val="center"/>
          </w:tcPr>
          <w:p w14:paraId="53D9D19D">
            <w:pPr>
              <w:keepNext w:val="0"/>
              <w:keepLines w:val="0"/>
              <w:pageBreakBefore w:val="0"/>
              <w:kinsoku/>
              <w:wordWrap/>
              <w:overflowPunct/>
              <w:topLinePunct w:val="0"/>
              <w:autoSpaceDE/>
              <w:autoSpaceDN/>
              <w:bidi w:val="0"/>
              <w:adjustRightInd/>
              <w:snapToGrid/>
              <w:spacing w:line="560" w:lineRule="exact"/>
              <w:jc w:val="center"/>
              <w:textAlignment w:val="auto"/>
              <w:rPr>
                <w:rFonts w:asciiTheme="minorEastAsia" w:hAnsiTheme="minorEastAsia" w:eastAsiaTheme="minorEastAsia"/>
                <w:bCs/>
                <w:color w:val="000000" w:themeColor="text1"/>
                <w:kern w:val="0"/>
                <w:sz w:val="28"/>
                <w:szCs w:val="28"/>
                <w:highlight w:val="none"/>
                <w14:textFill>
                  <w14:solidFill>
                    <w14:schemeClr w14:val="tx1"/>
                  </w14:solidFill>
                </w14:textFill>
              </w:rPr>
            </w:pPr>
            <w:r>
              <w:rPr>
                <w:rFonts w:hint="eastAsia" w:asciiTheme="minorEastAsia" w:hAnsiTheme="minorEastAsia" w:eastAsiaTheme="minorEastAsia"/>
                <w:bCs/>
                <w:color w:val="000000" w:themeColor="text1"/>
                <w:kern w:val="0"/>
                <w:sz w:val="28"/>
                <w:szCs w:val="28"/>
                <w:highlight w:val="none"/>
                <w14:textFill>
                  <w14:solidFill>
                    <w14:schemeClr w14:val="tx1"/>
                  </w14:solidFill>
                </w14:textFill>
              </w:rPr>
              <w:t>报价</w:t>
            </w:r>
          </w:p>
        </w:tc>
        <w:tc>
          <w:tcPr>
            <w:tcW w:w="6283" w:type="dxa"/>
          </w:tcPr>
          <w:p w14:paraId="7AE06D95">
            <w:pPr>
              <w:keepNext w:val="0"/>
              <w:keepLines w:val="0"/>
              <w:pageBreakBefore w:val="0"/>
              <w:kinsoku/>
              <w:wordWrap/>
              <w:overflowPunct/>
              <w:topLinePunct w:val="0"/>
              <w:autoSpaceDE/>
              <w:autoSpaceDN/>
              <w:bidi w:val="0"/>
              <w:adjustRightInd/>
              <w:snapToGrid/>
              <w:spacing w:line="560" w:lineRule="exact"/>
              <w:textAlignment w:val="auto"/>
              <w:rPr>
                <w:rFonts w:asciiTheme="minorEastAsia" w:hAnsiTheme="minorEastAsia" w:eastAsiaTheme="minorEastAsia"/>
                <w:bCs/>
                <w:color w:val="000000" w:themeColor="text1"/>
                <w:kern w:val="0"/>
                <w:sz w:val="28"/>
                <w:szCs w:val="28"/>
                <w:highlight w:val="none"/>
                <w14:textFill>
                  <w14:solidFill>
                    <w14:schemeClr w14:val="tx1"/>
                  </w14:solidFill>
                </w14:textFill>
              </w:rPr>
            </w:pPr>
            <w:r>
              <w:rPr>
                <w:rFonts w:hint="eastAsia" w:asciiTheme="minorEastAsia" w:hAnsiTheme="minorEastAsia" w:eastAsiaTheme="minorEastAsia"/>
                <w:bCs/>
                <w:color w:val="000000" w:themeColor="text1"/>
                <w:kern w:val="0"/>
                <w:sz w:val="28"/>
                <w:szCs w:val="28"/>
                <w:highlight w:val="none"/>
                <w14:textFill>
                  <w14:solidFill>
                    <w14:schemeClr w14:val="tx1"/>
                  </w14:solidFill>
                </w14:textFill>
              </w:rPr>
              <w:t>(评标基准价/投标报价)*最大分值</w:t>
            </w:r>
          </w:p>
          <w:p w14:paraId="4E82A51B">
            <w:pPr>
              <w:keepNext w:val="0"/>
              <w:keepLines w:val="0"/>
              <w:pageBreakBefore w:val="0"/>
              <w:kinsoku/>
              <w:wordWrap/>
              <w:overflowPunct/>
              <w:topLinePunct w:val="0"/>
              <w:autoSpaceDE/>
              <w:autoSpaceDN/>
              <w:bidi w:val="0"/>
              <w:adjustRightInd/>
              <w:snapToGrid/>
              <w:spacing w:line="560" w:lineRule="exact"/>
              <w:textAlignment w:val="auto"/>
              <w:rPr>
                <w:rFonts w:asciiTheme="minorEastAsia" w:hAnsiTheme="minorEastAsia" w:eastAsiaTheme="minorEastAsia"/>
                <w:bCs/>
                <w:color w:val="000000" w:themeColor="text1"/>
                <w:kern w:val="0"/>
                <w:sz w:val="28"/>
                <w:szCs w:val="28"/>
                <w:highlight w:val="none"/>
                <w14:textFill>
                  <w14:solidFill>
                    <w14:schemeClr w14:val="tx1"/>
                  </w14:solidFill>
                </w14:textFill>
              </w:rPr>
            </w:pPr>
            <w:r>
              <w:rPr>
                <w:rFonts w:hint="eastAsia" w:asciiTheme="minorEastAsia" w:hAnsiTheme="minorEastAsia" w:eastAsiaTheme="minorEastAsia"/>
                <w:bCs/>
                <w:color w:val="000000" w:themeColor="text1"/>
                <w:kern w:val="0"/>
                <w:sz w:val="28"/>
                <w:szCs w:val="28"/>
                <w:highlight w:val="none"/>
                <w14:textFill>
                  <w14:solidFill>
                    <w14:schemeClr w14:val="tx1"/>
                  </w14:solidFill>
                </w14:textFill>
              </w:rPr>
              <w:t>1.评标基准价：满足招标文件要求且经算术修正，依据政府采购政策进行价格扣除后的最低投标报价为评标基准价；</w:t>
            </w:r>
          </w:p>
          <w:p w14:paraId="0176D5F3">
            <w:pPr>
              <w:keepNext w:val="0"/>
              <w:keepLines w:val="0"/>
              <w:pageBreakBefore w:val="0"/>
              <w:kinsoku/>
              <w:wordWrap/>
              <w:overflowPunct/>
              <w:topLinePunct w:val="0"/>
              <w:autoSpaceDE/>
              <w:autoSpaceDN/>
              <w:bidi w:val="0"/>
              <w:adjustRightInd/>
              <w:snapToGrid/>
              <w:spacing w:line="560" w:lineRule="exact"/>
              <w:textAlignment w:val="auto"/>
              <w:rPr>
                <w:rFonts w:asciiTheme="minorEastAsia" w:hAnsiTheme="minorEastAsia" w:eastAsiaTheme="minorEastAsia"/>
                <w:bCs/>
                <w:color w:val="000000" w:themeColor="text1"/>
                <w:kern w:val="0"/>
                <w:sz w:val="28"/>
                <w:szCs w:val="28"/>
                <w:highlight w:val="none"/>
                <w14:textFill>
                  <w14:solidFill>
                    <w14:schemeClr w14:val="tx1"/>
                  </w14:solidFill>
                </w14:textFill>
              </w:rPr>
            </w:pPr>
            <w:r>
              <w:rPr>
                <w:rFonts w:hint="eastAsia" w:asciiTheme="minorEastAsia" w:hAnsiTheme="minorEastAsia" w:eastAsiaTheme="minorEastAsia"/>
                <w:bCs/>
                <w:color w:val="000000" w:themeColor="text1"/>
                <w:kern w:val="0"/>
                <w:sz w:val="28"/>
                <w:szCs w:val="28"/>
                <w:highlight w:val="none"/>
                <w14:textFill>
                  <w14:solidFill>
                    <w14:schemeClr w14:val="tx1"/>
                  </w14:solidFill>
                </w14:textFill>
              </w:rPr>
              <w:t>2.投标报价：评标委员会以开标一览表中报价为基础，对其进行算术修正，依据政府采购政策进行价格扣除后，作为投标报价得分计算的依据。</w:t>
            </w:r>
          </w:p>
        </w:tc>
        <w:tc>
          <w:tcPr>
            <w:tcW w:w="1088" w:type="dxa"/>
            <w:vAlign w:val="center"/>
          </w:tcPr>
          <w:p w14:paraId="64ECA4CE">
            <w:pPr>
              <w:keepNext w:val="0"/>
              <w:keepLines w:val="0"/>
              <w:pageBreakBefore w:val="0"/>
              <w:kinsoku/>
              <w:wordWrap/>
              <w:overflowPunct/>
              <w:topLinePunct w:val="0"/>
              <w:autoSpaceDE/>
              <w:autoSpaceDN/>
              <w:bidi w:val="0"/>
              <w:adjustRightInd/>
              <w:snapToGrid/>
              <w:spacing w:line="560" w:lineRule="exact"/>
              <w:jc w:val="center"/>
              <w:textAlignment w:val="auto"/>
              <w:rPr>
                <w:rFonts w:asciiTheme="minorEastAsia" w:hAnsiTheme="minorEastAsia" w:eastAsiaTheme="minorEastAsia"/>
                <w:bCs/>
                <w:color w:val="000000" w:themeColor="text1"/>
                <w:kern w:val="0"/>
                <w:sz w:val="28"/>
                <w:szCs w:val="28"/>
                <w:highlight w:val="none"/>
                <w14:textFill>
                  <w14:solidFill>
                    <w14:schemeClr w14:val="tx1"/>
                  </w14:solidFill>
                </w14:textFill>
              </w:rPr>
            </w:pPr>
            <w:r>
              <w:rPr>
                <w:rFonts w:asciiTheme="minorEastAsia" w:hAnsiTheme="minorEastAsia" w:eastAsiaTheme="minorEastAsia"/>
                <w:bCs/>
                <w:color w:val="000000" w:themeColor="text1"/>
                <w:kern w:val="0"/>
                <w:sz w:val="28"/>
                <w:szCs w:val="28"/>
                <w:highlight w:val="none"/>
                <w14:textFill>
                  <w14:solidFill>
                    <w14:schemeClr w14:val="tx1"/>
                  </w14:solidFill>
                </w14:textFill>
              </w:rPr>
              <w:t>30</w:t>
            </w:r>
          </w:p>
        </w:tc>
      </w:tr>
      <w:tr w14:paraId="56647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gridSpan w:val="4"/>
            <w:vAlign w:val="center"/>
          </w:tcPr>
          <w:p w14:paraId="0E2EF4BD">
            <w:pPr>
              <w:keepNext w:val="0"/>
              <w:keepLines w:val="0"/>
              <w:pageBreakBefore w:val="0"/>
              <w:kinsoku/>
              <w:wordWrap/>
              <w:overflowPunct/>
              <w:topLinePunct w:val="0"/>
              <w:autoSpaceDE/>
              <w:autoSpaceDN/>
              <w:bidi w:val="0"/>
              <w:adjustRightInd/>
              <w:snapToGrid/>
              <w:spacing w:line="560" w:lineRule="exact"/>
              <w:jc w:val="left"/>
              <w:textAlignment w:val="auto"/>
              <w:rPr>
                <w:rFonts w:asciiTheme="minorEastAsia" w:hAnsiTheme="minorEastAsia" w:eastAsiaTheme="minorEastAsia"/>
                <w:bCs/>
                <w:color w:val="000000" w:themeColor="text1"/>
                <w:kern w:val="0"/>
                <w:sz w:val="28"/>
                <w:szCs w:val="28"/>
                <w:highlight w:val="none"/>
                <w14:textFill>
                  <w14:solidFill>
                    <w14:schemeClr w14:val="tx1"/>
                  </w14:solidFill>
                </w14:textFill>
              </w:rPr>
            </w:pPr>
            <w:r>
              <w:rPr>
                <w:rFonts w:hint="eastAsia" w:asciiTheme="minorEastAsia" w:hAnsiTheme="minorEastAsia" w:eastAsiaTheme="minorEastAsia"/>
                <w:bCs/>
                <w:color w:val="000000" w:themeColor="text1"/>
                <w:kern w:val="0"/>
                <w:sz w:val="28"/>
                <w:szCs w:val="28"/>
                <w:highlight w:val="none"/>
                <w14:textFill>
                  <w14:solidFill>
                    <w14:schemeClr w14:val="tx1"/>
                  </w14:solidFill>
                </w14:textFill>
              </w:rPr>
              <w:t>商务部分（</w:t>
            </w:r>
            <w:r>
              <w:rPr>
                <w:rFonts w:hint="eastAsia" w:asciiTheme="minorEastAsia" w:hAnsiTheme="minorEastAsia" w:eastAsiaTheme="minorEastAsia"/>
                <w:bCs/>
                <w:color w:val="000000" w:themeColor="text1"/>
                <w:kern w:val="0"/>
                <w:sz w:val="28"/>
                <w:szCs w:val="28"/>
                <w:highlight w:val="none"/>
                <w:lang w:val="en-US" w:eastAsia="zh-CN"/>
                <w14:textFill>
                  <w14:solidFill>
                    <w14:schemeClr w14:val="tx1"/>
                  </w14:solidFill>
                </w14:textFill>
              </w:rPr>
              <w:t>6</w:t>
            </w:r>
            <w:r>
              <w:rPr>
                <w:rFonts w:hint="eastAsia" w:asciiTheme="minorEastAsia" w:hAnsiTheme="minorEastAsia" w:eastAsiaTheme="minorEastAsia"/>
                <w:bCs/>
                <w:color w:val="000000" w:themeColor="text1"/>
                <w:kern w:val="0"/>
                <w:sz w:val="28"/>
                <w:szCs w:val="28"/>
                <w:highlight w:val="none"/>
                <w14:textFill>
                  <w14:solidFill>
                    <w14:schemeClr w14:val="tx1"/>
                  </w14:solidFill>
                </w14:textFill>
              </w:rPr>
              <w:t>分）</w:t>
            </w:r>
          </w:p>
        </w:tc>
      </w:tr>
      <w:tr w14:paraId="689F1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 w:type="dxa"/>
            <w:vAlign w:val="center"/>
          </w:tcPr>
          <w:p w14:paraId="28287365">
            <w:pPr>
              <w:keepNext w:val="0"/>
              <w:keepLines w:val="0"/>
              <w:pageBreakBefore w:val="0"/>
              <w:kinsoku/>
              <w:wordWrap/>
              <w:overflowPunct/>
              <w:topLinePunct w:val="0"/>
              <w:autoSpaceDE/>
              <w:autoSpaceDN/>
              <w:bidi w:val="0"/>
              <w:adjustRightInd/>
              <w:snapToGrid/>
              <w:spacing w:line="560" w:lineRule="exact"/>
              <w:jc w:val="center"/>
              <w:textAlignment w:val="auto"/>
              <w:rPr>
                <w:rFonts w:asciiTheme="minorEastAsia" w:hAnsiTheme="minorEastAsia" w:eastAsiaTheme="minorEastAsia"/>
                <w:bCs/>
                <w:color w:val="000000" w:themeColor="text1"/>
                <w:kern w:val="0"/>
                <w:sz w:val="28"/>
                <w:szCs w:val="28"/>
                <w:highlight w:val="none"/>
                <w14:textFill>
                  <w14:solidFill>
                    <w14:schemeClr w14:val="tx1"/>
                  </w14:solidFill>
                </w14:textFill>
              </w:rPr>
            </w:pPr>
            <w:r>
              <w:rPr>
                <w:rFonts w:hint="eastAsia" w:asciiTheme="minorEastAsia" w:hAnsiTheme="minorEastAsia" w:eastAsiaTheme="minorEastAsia"/>
                <w:bCs/>
                <w:color w:val="000000" w:themeColor="text1"/>
                <w:kern w:val="0"/>
                <w:sz w:val="28"/>
                <w:szCs w:val="28"/>
                <w:highlight w:val="none"/>
                <w14:textFill>
                  <w14:solidFill>
                    <w14:schemeClr w14:val="tx1"/>
                  </w14:solidFill>
                </w14:textFill>
              </w:rPr>
              <w:t>1</w:t>
            </w:r>
          </w:p>
        </w:tc>
        <w:tc>
          <w:tcPr>
            <w:tcW w:w="1500" w:type="dxa"/>
            <w:vAlign w:val="center"/>
          </w:tcPr>
          <w:p w14:paraId="5B5D9269">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bCs/>
                <w:color w:val="000000" w:themeColor="text1"/>
                <w:kern w:val="0"/>
                <w:sz w:val="28"/>
                <w:szCs w:val="28"/>
                <w:highlight w:val="none"/>
                <w14:textFill>
                  <w14:solidFill>
                    <w14:schemeClr w14:val="tx1"/>
                  </w14:solidFill>
                </w14:textFill>
              </w:rPr>
            </w:pPr>
            <w:r>
              <w:rPr>
                <w:rFonts w:hint="eastAsia" w:asciiTheme="minorEastAsia" w:hAnsiTheme="minorEastAsia" w:eastAsiaTheme="minorEastAsia"/>
                <w:bCs/>
                <w:color w:val="000000" w:themeColor="text1"/>
                <w:kern w:val="0"/>
                <w:sz w:val="28"/>
                <w:szCs w:val="28"/>
                <w:highlight w:val="none"/>
                <w14:textFill>
                  <w14:solidFill>
                    <w14:schemeClr w14:val="tx1"/>
                  </w14:solidFill>
                </w14:textFill>
              </w:rPr>
              <w:t>业绩</w:t>
            </w:r>
          </w:p>
          <w:p w14:paraId="29344EDD">
            <w:pPr>
              <w:keepNext w:val="0"/>
              <w:keepLines w:val="0"/>
              <w:pageBreakBefore w:val="0"/>
              <w:kinsoku/>
              <w:wordWrap/>
              <w:overflowPunct/>
              <w:topLinePunct w:val="0"/>
              <w:autoSpaceDE/>
              <w:autoSpaceDN/>
              <w:bidi w:val="0"/>
              <w:adjustRightInd/>
              <w:snapToGrid/>
              <w:spacing w:line="560" w:lineRule="exact"/>
              <w:jc w:val="center"/>
              <w:textAlignment w:val="auto"/>
              <w:rPr>
                <w:rFonts w:asciiTheme="minorEastAsia" w:hAnsiTheme="minorEastAsia" w:eastAsiaTheme="minorEastAsia"/>
                <w:bCs/>
                <w:color w:val="000000" w:themeColor="text1"/>
                <w:kern w:val="0"/>
                <w:sz w:val="28"/>
                <w:szCs w:val="28"/>
                <w:highlight w:val="none"/>
                <w14:textFill>
                  <w14:solidFill>
                    <w14:schemeClr w14:val="tx1"/>
                  </w14:solidFill>
                </w14:textFill>
              </w:rPr>
            </w:pPr>
            <w:r>
              <w:rPr>
                <w:rFonts w:hint="eastAsia" w:asciiTheme="minorEastAsia" w:hAnsiTheme="minorEastAsia" w:eastAsiaTheme="minorEastAsia"/>
                <w:bCs/>
                <w:color w:val="000000" w:themeColor="text1"/>
                <w:kern w:val="0"/>
                <w:sz w:val="28"/>
                <w:szCs w:val="28"/>
                <w:highlight w:val="none"/>
                <w14:textFill>
                  <w14:solidFill>
                    <w14:schemeClr w14:val="tx1"/>
                  </w14:solidFill>
                </w14:textFill>
              </w:rPr>
              <w:t>情况</w:t>
            </w:r>
          </w:p>
        </w:tc>
        <w:tc>
          <w:tcPr>
            <w:tcW w:w="6283" w:type="dxa"/>
          </w:tcPr>
          <w:p w14:paraId="7A6DD50C">
            <w:pPr>
              <w:keepNext w:val="0"/>
              <w:keepLines w:val="0"/>
              <w:pageBreakBefore w:val="0"/>
              <w:kinsoku/>
              <w:wordWrap/>
              <w:overflowPunct/>
              <w:topLinePunct w:val="0"/>
              <w:autoSpaceDE/>
              <w:autoSpaceDN/>
              <w:bidi w:val="0"/>
              <w:adjustRightInd/>
              <w:snapToGrid/>
              <w:spacing w:line="560" w:lineRule="exact"/>
              <w:textAlignment w:val="auto"/>
              <w:rPr>
                <w:rFonts w:asciiTheme="minorEastAsia" w:hAnsiTheme="minorEastAsia" w:eastAsiaTheme="minorEastAsia"/>
                <w:bCs/>
                <w:color w:val="000000" w:themeColor="text1"/>
                <w:kern w:val="0"/>
                <w:sz w:val="28"/>
                <w:szCs w:val="28"/>
                <w:highlight w:val="none"/>
                <w14:textFill>
                  <w14:solidFill>
                    <w14:schemeClr w14:val="tx1"/>
                  </w14:solidFill>
                </w14:textFill>
              </w:rPr>
            </w:pPr>
            <w:r>
              <w:rPr>
                <w:rFonts w:hint="eastAsia" w:asciiTheme="minorEastAsia" w:hAnsiTheme="minorEastAsia" w:eastAsiaTheme="minorEastAsia"/>
                <w:bCs/>
                <w:color w:val="000000" w:themeColor="text1"/>
                <w:kern w:val="0"/>
                <w:sz w:val="28"/>
                <w:szCs w:val="28"/>
                <w:highlight w:val="none"/>
                <w:shd w:val="clear"/>
                <w14:textFill>
                  <w14:solidFill>
                    <w14:schemeClr w14:val="tx1"/>
                  </w14:solidFill>
                </w14:textFill>
              </w:rPr>
              <w:t>近三年（202</w:t>
            </w:r>
            <w:r>
              <w:rPr>
                <w:rFonts w:hint="eastAsia" w:asciiTheme="minorEastAsia" w:hAnsiTheme="minorEastAsia" w:eastAsiaTheme="minorEastAsia"/>
                <w:bCs/>
                <w:color w:val="000000" w:themeColor="text1"/>
                <w:kern w:val="0"/>
                <w:sz w:val="28"/>
                <w:szCs w:val="28"/>
                <w:highlight w:val="none"/>
                <w:shd w:val="clear"/>
                <w:lang w:val="en-US" w:eastAsia="zh-CN"/>
                <w14:textFill>
                  <w14:solidFill>
                    <w14:schemeClr w14:val="tx1"/>
                  </w14:solidFill>
                </w14:textFill>
              </w:rPr>
              <w:t>2</w:t>
            </w:r>
            <w:r>
              <w:rPr>
                <w:rFonts w:hint="eastAsia" w:asciiTheme="minorEastAsia" w:hAnsiTheme="minorEastAsia" w:eastAsiaTheme="minorEastAsia"/>
                <w:bCs/>
                <w:color w:val="000000" w:themeColor="text1"/>
                <w:kern w:val="0"/>
                <w:sz w:val="28"/>
                <w:szCs w:val="28"/>
                <w:highlight w:val="none"/>
                <w:shd w:val="clear"/>
                <w14:textFill>
                  <w14:solidFill>
                    <w14:schemeClr w14:val="tx1"/>
                  </w14:solidFill>
                </w14:textFill>
              </w:rPr>
              <w:t>年</w:t>
            </w:r>
            <w:r>
              <w:rPr>
                <w:rFonts w:hint="eastAsia" w:asciiTheme="minorEastAsia" w:hAnsiTheme="minorEastAsia" w:eastAsiaTheme="minorEastAsia"/>
                <w:bCs/>
                <w:color w:val="000000" w:themeColor="text1"/>
                <w:kern w:val="0"/>
                <w:sz w:val="28"/>
                <w:szCs w:val="28"/>
                <w:highlight w:val="none"/>
                <w:shd w:val="clear"/>
                <w:lang w:val="en-US" w:eastAsia="zh-CN"/>
                <w14:textFill>
                  <w14:solidFill>
                    <w14:schemeClr w14:val="tx1"/>
                  </w14:solidFill>
                </w14:textFill>
              </w:rPr>
              <w:t>1月1日</w:t>
            </w:r>
            <w:r>
              <w:rPr>
                <w:rFonts w:hint="eastAsia" w:asciiTheme="minorEastAsia" w:hAnsiTheme="minorEastAsia" w:eastAsiaTheme="minorEastAsia"/>
                <w:bCs/>
                <w:color w:val="000000" w:themeColor="text1"/>
                <w:kern w:val="0"/>
                <w:sz w:val="28"/>
                <w:szCs w:val="28"/>
                <w:highlight w:val="none"/>
                <w:shd w:val="clear"/>
                <w14:textFill>
                  <w14:solidFill>
                    <w14:schemeClr w14:val="tx1"/>
                  </w14:solidFill>
                </w14:textFill>
              </w:rPr>
              <w:t>-至今）</w:t>
            </w:r>
            <w:r>
              <w:rPr>
                <w:rFonts w:hint="eastAsia" w:asciiTheme="minorEastAsia" w:hAnsiTheme="minorEastAsia" w:eastAsiaTheme="minorEastAsia"/>
                <w:bCs/>
                <w:color w:val="000000" w:themeColor="text1"/>
                <w:kern w:val="0"/>
                <w:sz w:val="28"/>
                <w:szCs w:val="28"/>
                <w:highlight w:val="none"/>
                <w14:textFill>
                  <w14:solidFill>
                    <w14:schemeClr w14:val="tx1"/>
                  </w14:solidFill>
                </w14:textFill>
              </w:rPr>
              <w:t>内具有良好的类似业绩，并提供证明材料（中标通知书或合同），每提供一项业绩得2分，最高得4分。</w:t>
            </w:r>
          </w:p>
        </w:tc>
        <w:tc>
          <w:tcPr>
            <w:tcW w:w="1088" w:type="dxa"/>
            <w:vAlign w:val="center"/>
          </w:tcPr>
          <w:p w14:paraId="7765E046">
            <w:pPr>
              <w:keepNext w:val="0"/>
              <w:keepLines w:val="0"/>
              <w:pageBreakBefore w:val="0"/>
              <w:kinsoku/>
              <w:wordWrap/>
              <w:overflowPunct/>
              <w:topLinePunct w:val="0"/>
              <w:autoSpaceDE/>
              <w:autoSpaceDN/>
              <w:bidi w:val="0"/>
              <w:adjustRightInd/>
              <w:snapToGrid/>
              <w:spacing w:line="560" w:lineRule="exact"/>
              <w:jc w:val="center"/>
              <w:textAlignment w:val="auto"/>
              <w:rPr>
                <w:rFonts w:asciiTheme="minorEastAsia" w:hAnsiTheme="minorEastAsia" w:eastAsiaTheme="minorEastAsia"/>
                <w:bCs/>
                <w:color w:val="000000" w:themeColor="text1"/>
                <w:kern w:val="0"/>
                <w:sz w:val="28"/>
                <w:szCs w:val="28"/>
                <w:highlight w:val="none"/>
                <w14:textFill>
                  <w14:solidFill>
                    <w14:schemeClr w14:val="tx1"/>
                  </w14:solidFill>
                </w14:textFill>
              </w:rPr>
            </w:pPr>
            <w:r>
              <w:rPr>
                <w:rFonts w:hint="eastAsia" w:asciiTheme="minorEastAsia" w:hAnsiTheme="minorEastAsia" w:eastAsiaTheme="minorEastAsia"/>
                <w:bCs/>
                <w:color w:val="000000" w:themeColor="text1"/>
                <w:kern w:val="0"/>
                <w:sz w:val="28"/>
                <w:szCs w:val="28"/>
                <w:highlight w:val="none"/>
                <w14:textFill>
                  <w14:solidFill>
                    <w14:schemeClr w14:val="tx1"/>
                  </w14:solidFill>
                </w14:textFill>
              </w:rPr>
              <w:t>4</w:t>
            </w:r>
          </w:p>
        </w:tc>
      </w:tr>
      <w:tr w14:paraId="6D849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 w:type="dxa"/>
            <w:vAlign w:val="center"/>
          </w:tcPr>
          <w:p w14:paraId="3214EAC2">
            <w:pPr>
              <w:keepNext w:val="0"/>
              <w:keepLines w:val="0"/>
              <w:pageBreakBefore w:val="0"/>
              <w:kinsoku/>
              <w:wordWrap/>
              <w:overflowPunct/>
              <w:topLinePunct w:val="0"/>
              <w:autoSpaceDE/>
              <w:autoSpaceDN/>
              <w:bidi w:val="0"/>
              <w:adjustRightInd/>
              <w:snapToGrid/>
              <w:spacing w:line="560" w:lineRule="exact"/>
              <w:jc w:val="center"/>
              <w:textAlignment w:val="auto"/>
              <w:rPr>
                <w:rFonts w:asciiTheme="minorEastAsia" w:hAnsiTheme="minorEastAsia" w:eastAsiaTheme="minorEastAsia"/>
                <w:bCs/>
                <w:color w:val="000000" w:themeColor="text1"/>
                <w:kern w:val="0"/>
                <w:sz w:val="28"/>
                <w:szCs w:val="28"/>
                <w:highlight w:val="none"/>
                <w14:textFill>
                  <w14:solidFill>
                    <w14:schemeClr w14:val="tx1"/>
                  </w14:solidFill>
                </w14:textFill>
              </w:rPr>
            </w:pPr>
            <w:r>
              <w:rPr>
                <w:rFonts w:hint="eastAsia" w:asciiTheme="minorEastAsia" w:hAnsiTheme="minorEastAsia" w:eastAsiaTheme="minorEastAsia"/>
                <w:bCs/>
                <w:color w:val="000000" w:themeColor="text1"/>
                <w:kern w:val="0"/>
                <w:sz w:val="28"/>
                <w:szCs w:val="28"/>
                <w:highlight w:val="none"/>
                <w14:textFill>
                  <w14:solidFill>
                    <w14:schemeClr w14:val="tx1"/>
                  </w14:solidFill>
                </w14:textFill>
              </w:rPr>
              <w:t>2</w:t>
            </w:r>
          </w:p>
        </w:tc>
        <w:tc>
          <w:tcPr>
            <w:tcW w:w="1500" w:type="dxa"/>
            <w:vAlign w:val="center"/>
          </w:tcPr>
          <w:p w14:paraId="743BE2AC">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cs="Times New Roman" w:asciiTheme="minorEastAsia" w:hAnsiTheme="minorEastAsia" w:eastAsiaTheme="minorEastAsia"/>
                <w:bCs/>
                <w:color w:val="000000" w:themeColor="text1"/>
                <w:kern w:val="0"/>
                <w:sz w:val="28"/>
                <w:szCs w:val="28"/>
                <w:highlight w:val="none"/>
                <w14:textFill>
                  <w14:solidFill>
                    <w14:schemeClr w14:val="tx1"/>
                  </w14:solidFill>
                </w14:textFill>
              </w:rPr>
            </w:pPr>
            <w:r>
              <w:rPr>
                <w:rFonts w:hint="eastAsia" w:cs="Times New Roman" w:asciiTheme="minorEastAsia" w:hAnsiTheme="minorEastAsia" w:eastAsiaTheme="minorEastAsia"/>
                <w:bCs/>
                <w:color w:val="000000" w:themeColor="text1"/>
                <w:kern w:val="0"/>
                <w:sz w:val="28"/>
                <w:szCs w:val="28"/>
                <w:highlight w:val="none"/>
                <w:lang w:val="en-US" w:eastAsia="zh-CN"/>
                <w14:textFill>
                  <w14:solidFill>
                    <w14:schemeClr w14:val="tx1"/>
                  </w14:solidFill>
                </w14:textFill>
              </w:rPr>
              <w:t>项目负责人要求</w:t>
            </w:r>
          </w:p>
        </w:tc>
        <w:tc>
          <w:tcPr>
            <w:tcW w:w="6283" w:type="dxa"/>
            <w:vAlign w:val="center"/>
          </w:tcPr>
          <w:p w14:paraId="01C1E30B">
            <w:pPr>
              <w:keepNext w:val="0"/>
              <w:keepLines w:val="0"/>
              <w:pageBreakBefore w:val="0"/>
              <w:kinsoku/>
              <w:wordWrap/>
              <w:overflowPunct/>
              <w:topLinePunct w:val="0"/>
              <w:autoSpaceDE/>
              <w:autoSpaceDN/>
              <w:bidi w:val="0"/>
              <w:adjustRightInd/>
              <w:snapToGrid/>
              <w:spacing w:line="560" w:lineRule="exact"/>
              <w:jc w:val="both"/>
              <w:textAlignment w:val="auto"/>
              <w:rPr>
                <w:rFonts w:hint="default" w:cs="Times New Roman" w:asciiTheme="minorEastAsia" w:hAnsiTheme="minorEastAsia" w:eastAsiaTheme="minorEastAsia"/>
                <w:bCs/>
                <w:color w:val="000000" w:themeColor="text1"/>
                <w:kern w:val="0"/>
                <w:sz w:val="28"/>
                <w:szCs w:val="28"/>
                <w:highlight w:val="none"/>
                <w:lang w:val="en-US" w:eastAsia="zh-CN"/>
                <w14:textFill>
                  <w14:solidFill>
                    <w14:schemeClr w14:val="tx1"/>
                  </w14:solidFill>
                </w14:textFill>
              </w:rPr>
            </w:pPr>
            <w:r>
              <w:rPr>
                <w:rFonts w:hint="eastAsia" w:cs="Times New Roman" w:asciiTheme="minorEastAsia" w:hAnsiTheme="minorEastAsia" w:eastAsiaTheme="minorEastAsia"/>
                <w:bCs/>
                <w:color w:val="000000" w:themeColor="text1"/>
                <w:kern w:val="0"/>
                <w:sz w:val="28"/>
                <w:szCs w:val="28"/>
                <w:highlight w:val="none"/>
                <w14:textFill>
                  <w14:solidFill>
                    <w14:schemeClr w14:val="tx1"/>
                  </w14:solidFill>
                </w14:textFill>
              </w:rPr>
              <w:t>针对本项目指派一名项目负责人，与采购人保持经常性联系，负责安排及全面督导项目的供货、安装、验收及移交工作，以减少交流的中间环节，得</w:t>
            </w:r>
            <w:r>
              <w:rPr>
                <w:rFonts w:hint="eastAsia" w:cs="Times New Roman" w:asciiTheme="minorEastAsia" w:hAnsiTheme="minorEastAsia" w:eastAsiaTheme="minorEastAsia"/>
                <w:bCs/>
                <w:color w:val="000000" w:themeColor="text1"/>
                <w:kern w:val="0"/>
                <w:sz w:val="28"/>
                <w:szCs w:val="28"/>
                <w:highlight w:val="none"/>
                <w:lang w:val="en-US" w:eastAsia="zh-CN"/>
                <w14:textFill>
                  <w14:solidFill>
                    <w14:schemeClr w14:val="tx1"/>
                  </w14:solidFill>
                </w14:textFill>
              </w:rPr>
              <w:t>3</w:t>
            </w:r>
            <w:r>
              <w:rPr>
                <w:rFonts w:hint="eastAsia" w:cs="Times New Roman" w:asciiTheme="minorEastAsia" w:hAnsiTheme="minorEastAsia" w:eastAsiaTheme="minorEastAsia"/>
                <w:bCs/>
                <w:color w:val="000000" w:themeColor="text1"/>
                <w:kern w:val="0"/>
                <w:sz w:val="28"/>
                <w:szCs w:val="28"/>
                <w:highlight w:val="none"/>
                <w14:textFill>
                  <w14:solidFill>
                    <w14:schemeClr w14:val="tx1"/>
                  </w14:solidFill>
                </w14:textFill>
              </w:rPr>
              <w:t>分；否则不得分。</w:t>
            </w:r>
            <w:r>
              <w:rPr>
                <w:rFonts w:hint="eastAsia" w:cs="Times New Roman" w:asciiTheme="minorEastAsia" w:hAnsiTheme="minorEastAsia" w:eastAsiaTheme="minorEastAsia"/>
                <w:bCs/>
                <w:color w:val="000000" w:themeColor="text1"/>
                <w:kern w:val="0"/>
                <w:sz w:val="28"/>
                <w:szCs w:val="28"/>
                <w:highlight w:val="none"/>
                <w:lang w:val="en-US" w:eastAsia="zh-CN"/>
                <w14:textFill>
                  <w14:solidFill>
                    <w14:schemeClr w14:val="tx1"/>
                  </w14:solidFill>
                </w14:textFill>
              </w:rPr>
              <w:t>注：需提供项目负责人由本单位缴纳的近半年任意一个月的社保证明材料，不提供不得分。</w:t>
            </w:r>
          </w:p>
        </w:tc>
        <w:tc>
          <w:tcPr>
            <w:tcW w:w="1088" w:type="dxa"/>
            <w:vAlign w:val="center"/>
          </w:tcPr>
          <w:p w14:paraId="012E4511">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bCs/>
                <w:color w:val="000000" w:themeColor="text1"/>
                <w:kern w:val="0"/>
                <w:sz w:val="28"/>
                <w:szCs w:val="28"/>
                <w:highlight w:val="none"/>
                <w:lang w:eastAsia="zh-CN"/>
                <w14:textFill>
                  <w14:solidFill>
                    <w14:schemeClr w14:val="tx1"/>
                  </w14:solidFill>
                </w14:textFill>
              </w:rPr>
            </w:pPr>
            <w:r>
              <w:rPr>
                <w:rFonts w:hint="eastAsia" w:asciiTheme="minorEastAsia" w:hAnsiTheme="minorEastAsia" w:eastAsiaTheme="minorEastAsia"/>
                <w:bCs/>
                <w:color w:val="000000" w:themeColor="text1"/>
                <w:kern w:val="0"/>
                <w:sz w:val="28"/>
                <w:szCs w:val="28"/>
                <w:highlight w:val="none"/>
                <w:lang w:val="en-US" w:eastAsia="zh-CN"/>
                <w14:textFill>
                  <w14:solidFill>
                    <w14:schemeClr w14:val="tx1"/>
                  </w14:solidFill>
                </w14:textFill>
              </w:rPr>
              <w:t>3</w:t>
            </w:r>
          </w:p>
        </w:tc>
      </w:tr>
      <w:tr w14:paraId="42FF4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gridSpan w:val="4"/>
            <w:vAlign w:val="center"/>
          </w:tcPr>
          <w:p w14:paraId="361E3C0C">
            <w:pPr>
              <w:keepNext w:val="0"/>
              <w:keepLines w:val="0"/>
              <w:pageBreakBefore w:val="0"/>
              <w:kinsoku/>
              <w:wordWrap/>
              <w:overflowPunct/>
              <w:topLinePunct w:val="0"/>
              <w:autoSpaceDE/>
              <w:autoSpaceDN/>
              <w:bidi w:val="0"/>
              <w:adjustRightInd/>
              <w:snapToGrid/>
              <w:spacing w:line="560" w:lineRule="exact"/>
              <w:jc w:val="left"/>
              <w:textAlignment w:val="auto"/>
              <w:rPr>
                <w:rFonts w:asciiTheme="minorEastAsia" w:hAnsiTheme="minorEastAsia" w:eastAsiaTheme="minorEastAsia"/>
                <w:bCs/>
                <w:color w:val="000000" w:themeColor="text1"/>
                <w:kern w:val="0"/>
                <w:sz w:val="28"/>
                <w:szCs w:val="28"/>
                <w:highlight w:val="none"/>
                <w14:textFill>
                  <w14:solidFill>
                    <w14:schemeClr w14:val="tx1"/>
                  </w14:solidFill>
                </w14:textFill>
              </w:rPr>
            </w:pPr>
            <w:r>
              <w:rPr>
                <w:rFonts w:hint="eastAsia" w:asciiTheme="minorEastAsia" w:hAnsiTheme="minorEastAsia" w:eastAsiaTheme="minorEastAsia"/>
                <w:bCs/>
                <w:color w:val="000000" w:themeColor="text1"/>
                <w:kern w:val="0"/>
                <w:sz w:val="28"/>
                <w:szCs w:val="28"/>
                <w:highlight w:val="none"/>
                <w14:textFill>
                  <w14:solidFill>
                    <w14:schemeClr w14:val="tx1"/>
                  </w14:solidFill>
                </w14:textFill>
              </w:rPr>
              <w:t>技术部分（</w:t>
            </w:r>
            <w:r>
              <w:rPr>
                <w:rFonts w:hint="eastAsia" w:asciiTheme="minorEastAsia" w:hAnsiTheme="minorEastAsia" w:eastAsiaTheme="minorEastAsia"/>
                <w:bCs/>
                <w:color w:val="000000" w:themeColor="text1"/>
                <w:kern w:val="0"/>
                <w:sz w:val="28"/>
                <w:szCs w:val="28"/>
                <w:highlight w:val="none"/>
                <w:lang w:val="en-US" w:eastAsia="zh-CN"/>
                <w14:textFill>
                  <w14:solidFill>
                    <w14:schemeClr w14:val="tx1"/>
                  </w14:solidFill>
                </w14:textFill>
              </w:rPr>
              <w:t>64</w:t>
            </w:r>
            <w:r>
              <w:rPr>
                <w:rFonts w:hint="eastAsia" w:asciiTheme="minorEastAsia" w:hAnsiTheme="minorEastAsia" w:eastAsiaTheme="minorEastAsia"/>
                <w:bCs/>
                <w:color w:val="000000" w:themeColor="text1"/>
                <w:kern w:val="0"/>
                <w:sz w:val="28"/>
                <w:szCs w:val="28"/>
                <w:highlight w:val="none"/>
                <w14:textFill>
                  <w14:solidFill>
                    <w14:schemeClr w14:val="tx1"/>
                  </w14:solidFill>
                </w14:textFill>
              </w:rPr>
              <w:t>分）</w:t>
            </w:r>
          </w:p>
        </w:tc>
      </w:tr>
      <w:tr w14:paraId="17BF3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 w:type="dxa"/>
            <w:vAlign w:val="center"/>
          </w:tcPr>
          <w:p w14:paraId="501D8DB4">
            <w:pPr>
              <w:keepNext w:val="0"/>
              <w:keepLines w:val="0"/>
              <w:pageBreakBefore w:val="0"/>
              <w:kinsoku/>
              <w:wordWrap/>
              <w:overflowPunct/>
              <w:topLinePunct w:val="0"/>
              <w:autoSpaceDE/>
              <w:autoSpaceDN/>
              <w:bidi w:val="0"/>
              <w:adjustRightInd/>
              <w:snapToGrid/>
              <w:spacing w:line="560" w:lineRule="exact"/>
              <w:jc w:val="center"/>
              <w:textAlignment w:val="auto"/>
              <w:rPr>
                <w:rFonts w:asciiTheme="minorEastAsia" w:hAnsiTheme="minorEastAsia" w:eastAsiaTheme="minorEastAsia"/>
                <w:bCs/>
                <w:color w:val="000000" w:themeColor="text1"/>
                <w:kern w:val="0"/>
                <w:sz w:val="28"/>
                <w:szCs w:val="28"/>
                <w:highlight w:val="none"/>
                <w14:textFill>
                  <w14:solidFill>
                    <w14:schemeClr w14:val="tx1"/>
                  </w14:solidFill>
                </w14:textFill>
              </w:rPr>
            </w:pPr>
            <w:r>
              <w:rPr>
                <w:rFonts w:hint="eastAsia" w:asciiTheme="minorEastAsia" w:hAnsiTheme="minorEastAsia" w:eastAsiaTheme="minorEastAsia"/>
                <w:bCs/>
                <w:color w:val="000000" w:themeColor="text1"/>
                <w:kern w:val="0"/>
                <w:sz w:val="28"/>
                <w:szCs w:val="28"/>
                <w:highlight w:val="none"/>
                <w14:textFill>
                  <w14:solidFill>
                    <w14:schemeClr w14:val="tx1"/>
                  </w14:solidFill>
                </w14:textFill>
              </w:rPr>
              <w:t>1</w:t>
            </w:r>
          </w:p>
        </w:tc>
        <w:tc>
          <w:tcPr>
            <w:tcW w:w="1500" w:type="dxa"/>
            <w:vAlign w:val="center"/>
          </w:tcPr>
          <w:p w14:paraId="6BD9A6E3">
            <w:pPr>
              <w:pageBreakBefore w:val="0"/>
              <w:kinsoku/>
              <w:wordWrap/>
              <w:overflowPunct/>
              <w:topLinePunct w:val="0"/>
              <w:autoSpaceDE/>
              <w:autoSpaceDN/>
              <w:bidi w:val="0"/>
              <w:spacing w:line="560" w:lineRule="exact"/>
              <w:jc w:val="center"/>
              <w:textAlignment w:val="auto"/>
              <w:rPr>
                <w:rFonts w:asciiTheme="minorEastAsia" w:hAnsiTheme="minorEastAsia" w:eastAsiaTheme="minorEastAsia"/>
                <w:bCs/>
                <w:color w:val="000000" w:themeColor="text1"/>
                <w:kern w:val="0"/>
                <w:sz w:val="28"/>
                <w:szCs w:val="28"/>
                <w:highlight w:val="none"/>
                <w14:textFill>
                  <w14:solidFill>
                    <w14:schemeClr w14:val="tx1"/>
                  </w14:solidFill>
                </w14:textFill>
              </w:rPr>
            </w:pPr>
            <w:r>
              <w:rPr>
                <w:rFonts w:hint="eastAsia" w:ascii="宋体" w:hAnsi="宋体" w:eastAsia="宋体" w:cs="宋体"/>
                <w:color w:val="000000" w:themeColor="text1"/>
                <w:kern w:val="0"/>
                <w:sz w:val="28"/>
                <w:szCs w:val="28"/>
                <w:highlight w:val="none"/>
                <w14:textFill>
                  <w14:solidFill>
                    <w14:schemeClr w14:val="tx1"/>
                  </w14:solidFill>
                </w14:textFill>
              </w:rPr>
              <w:t>功能指标及技术参数要求</w:t>
            </w:r>
          </w:p>
        </w:tc>
        <w:tc>
          <w:tcPr>
            <w:tcW w:w="6283" w:type="dxa"/>
            <w:vAlign w:val="center"/>
          </w:tcPr>
          <w:p w14:paraId="6BC121F2">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000000" w:themeColor="text1"/>
                <w:kern w:val="0"/>
                <w:sz w:val="28"/>
                <w:szCs w:val="28"/>
                <w:highlight w:val="none"/>
                <w14:textFill>
                  <w14:solidFill>
                    <w14:schemeClr w14:val="tx1"/>
                  </w14:solidFill>
                </w14:textFill>
              </w:rPr>
            </w:pPr>
            <w:r>
              <w:rPr>
                <w:rFonts w:hint="eastAsia" w:ascii="宋体" w:hAnsi="宋体" w:eastAsia="宋体" w:cs="宋体"/>
                <w:color w:val="000000" w:themeColor="text1"/>
                <w:kern w:val="0"/>
                <w:sz w:val="28"/>
                <w:szCs w:val="28"/>
                <w:highlight w:val="none"/>
                <w14:textFill>
                  <w14:solidFill>
                    <w14:schemeClr w14:val="tx1"/>
                  </w14:solidFill>
                </w14:textFill>
              </w:rPr>
              <w:t>对照第</w:t>
            </w:r>
            <w:r>
              <w:rPr>
                <w:rFonts w:hint="eastAsia" w:ascii="宋体" w:hAnsi="宋体" w:eastAsia="宋体" w:cs="宋体"/>
                <w:color w:val="000000" w:themeColor="text1"/>
                <w:kern w:val="0"/>
                <w:sz w:val="28"/>
                <w:szCs w:val="28"/>
                <w:highlight w:val="none"/>
                <w:lang w:val="en-US" w:eastAsia="zh-CN"/>
                <w14:textFill>
                  <w14:solidFill>
                    <w14:schemeClr w14:val="tx1"/>
                  </w14:solidFill>
                </w14:textFill>
              </w:rPr>
              <w:t>三</w:t>
            </w:r>
            <w:r>
              <w:rPr>
                <w:rFonts w:hint="eastAsia" w:ascii="宋体" w:hAnsi="宋体" w:eastAsia="宋体" w:cs="宋体"/>
                <w:color w:val="000000" w:themeColor="text1"/>
                <w:kern w:val="0"/>
                <w:sz w:val="28"/>
                <w:szCs w:val="28"/>
                <w:highlight w:val="none"/>
                <w14:textFill>
                  <w14:solidFill>
                    <w14:schemeClr w14:val="tx1"/>
                  </w14:solidFill>
                </w14:textFill>
              </w:rPr>
              <w:t>章“</w:t>
            </w:r>
            <w:r>
              <w:rPr>
                <w:rFonts w:hint="eastAsia" w:ascii="宋体" w:hAnsi="宋体" w:eastAsia="宋体" w:cs="宋体"/>
                <w:color w:val="000000" w:themeColor="text1"/>
                <w:kern w:val="0"/>
                <w:sz w:val="28"/>
                <w:szCs w:val="28"/>
                <w:highlight w:val="none"/>
                <w:lang w:val="en-US" w:eastAsia="zh-CN"/>
                <w14:textFill>
                  <w14:solidFill>
                    <w14:schemeClr w14:val="tx1"/>
                  </w14:solidFill>
                </w14:textFill>
              </w:rPr>
              <w:t>采购</w:t>
            </w:r>
            <w:r>
              <w:rPr>
                <w:rFonts w:hint="eastAsia" w:ascii="宋体" w:hAnsi="宋体" w:eastAsia="宋体" w:cs="宋体"/>
                <w:color w:val="000000" w:themeColor="text1"/>
                <w:kern w:val="0"/>
                <w:sz w:val="28"/>
                <w:szCs w:val="28"/>
                <w:highlight w:val="none"/>
                <w14:textFill>
                  <w14:solidFill>
                    <w14:schemeClr w14:val="tx1"/>
                  </w14:solidFill>
                </w14:textFill>
              </w:rPr>
              <w:t>需求”的技术参数（每条技术参数前标注“★”的为核心技术参数，未标注的为一般参数），根据投标人提供的产品配置及技术性能指标的响应情况进行评审。</w:t>
            </w:r>
          </w:p>
          <w:p w14:paraId="1BA19F1F">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宋体" w:hAnsi="宋体" w:eastAsia="宋体" w:cs="宋体"/>
                <w:color w:val="000000" w:themeColor="text1"/>
                <w:kern w:val="0"/>
                <w:sz w:val="28"/>
                <w:szCs w:val="28"/>
                <w:highlight w:val="none"/>
                <w:lang w:val="en-US" w:eastAsia="zh-CN"/>
                <w14:textFill>
                  <w14:solidFill>
                    <w14:schemeClr w14:val="tx1"/>
                  </w14:solidFill>
                </w14:textFill>
              </w:rPr>
            </w:pPr>
            <w:r>
              <w:rPr>
                <w:rFonts w:hint="eastAsia" w:ascii="宋体" w:hAnsi="宋体" w:eastAsia="宋体" w:cs="宋体"/>
                <w:color w:val="000000" w:themeColor="text1"/>
                <w:kern w:val="0"/>
                <w:sz w:val="28"/>
                <w:szCs w:val="28"/>
                <w:highlight w:val="none"/>
                <w:lang w:val="en-US" w:eastAsia="zh-CN"/>
                <w14:textFill>
                  <w14:solidFill>
                    <w14:schemeClr w14:val="tx1"/>
                  </w14:solidFill>
                </w14:textFill>
              </w:rPr>
              <w:t xml:space="preserve">   </w:t>
            </w:r>
            <w:r>
              <w:rPr>
                <w:rFonts w:hint="eastAsia" w:ascii="宋体" w:hAnsi="宋体" w:eastAsia="宋体" w:cs="宋体"/>
                <w:color w:val="000000" w:themeColor="text1"/>
                <w:kern w:val="0"/>
                <w:sz w:val="28"/>
                <w:szCs w:val="28"/>
                <w:highlight w:val="none"/>
                <w14:textFill>
                  <w14:solidFill>
                    <w14:schemeClr w14:val="tx1"/>
                  </w14:solidFill>
                </w14:textFill>
              </w:rPr>
              <w:t>1.本标</w:t>
            </w:r>
            <w:r>
              <w:rPr>
                <w:rFonts w:hint="eastAsia" w:ascii="宋体" w:hAnsi="宋体" w:cs="宋体"/>
                <w:color w:val="000000" w:themeColor="text1"/>
                <w:kern w:val="0"/>
                <w:sz w:val="28"/>
                <w:szCs w:val="28"/>
                <w:highlight w:val="none"/>
                <w:lang w:eastAsia="zh-CN"/>
                <w14:textFill>
                  <w14:solidFill>
                    <w14:schemeClr w14:val="tx1"/>
                  </w14:solidFill>
                </w14:textFill>
              </w:rPr>
              <w:t>项</w:t>
            </w:r>
            <w:r>
              <w:rPr>
                <w:rFonts w:hint="eastAsia" w:ascii="宋体" w:hAnsi="宋体" w:cs="宋体"/>
                <w:color w:val="000000" w:themeColor="text1"/>
                <w:kern w:val="0"/>
                <w:sz w:val="28"/>
                <w:szCs w:val="28"/>
                <w:highlight w:val="none"/>
                <w:lang w:val="en-US" w:eastAsia="zh-CN"/>
                <w14:textFill>
                  <w14:solidFill>
                    <w14:schemeClr w14:val="tx1"/>
                  </w14:solidFill>
                </w14:textFill>
              </w:rPr>
              <w:t>1</w:t>
            </w:r>
            <w:r>
              <w:rPr>
                <w:rFonts w:hint="eastAsia" w:ascii="宋体" w:hAnsi="宋体" w:eastAsia="宋体" w:cs="宋体"/>
                <w:color w:val="000000" w:themeColor="text1"/>
                <w:kern w:val="0"/>
                <w:sz w:val="28"/>
                <w:szCs w:val="28"/>
                <w:highlight w:val="none"/>
                <w14:textFill>
                  <w14:solidFill>
                    <w14:schemeClr w14:val="tx1"/>
                  </w14:solidFill>
                </w14:textFill>
              </w:rPr>
              <w:t>种产品，投标人投产品技术参数完全响应招标文件要求的，得</w:t>
            </w:r>
            <w:r>
              <w:rPr>
                <w:rFonts w:hint="eastAsia" w:ascii="宋体" w:hAnsi="宋体" w:cs="宋体"/>
                <w:color w:val="000000" w:themeColor="text1"/>
                <w:kern w:val="0"/>
                <w:sz w:val="28"/>
                <w:szCs w:val="28"/>
                <w:highlight w:val="none"/>
                <w:lang w:val="en-US" w:eastAsia="zh-CN"/>
                <w14:textFill>
                  <w14:solidFill>
                    <w14:schemeClr w14:val="tx1"/>
                  </w14:solidFill>
                </w14:textFill>
              </w:rPr>
              <w:t>36</w:t>
            </w:r>
            <w:r>
              <w:rPr>
                <w:rFonts w:hint="eastAsia" w:ascii="宋体" w:hAnsi="宋体" w:eastAsia="宋体" w:cs="宋体"/>
                <w:color w:val="000000" w:themeColor="text1"/>
                <w:kern w:val="0"/>
                <w:sz w:val="28"/>
                <w:szCs w:val="28"/>
                <w:highlight w:val="none"/>
                <w14:textFill>
                  <w14:solidFill>
                    <w14:schemeClr w14:val="tx1"/>
                  </w14:solidFill>
                </w14:textFill>
              </w:rPr>
              <w:t>分；</w:t>
            </w:r>
          </w:p>
          <w:p w14:paraId="11A5AF43">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default" w:ascii="宋体" w:hAnsi="宋体" w:eastAsia="宋体" w:cs="宋体"/>
                <w:color w:val="000000" w:themeColor="text1"/>
                <w:kern w:val="0"/>
                <w:sz w:val="28"/>
                <w:szCs w:val="28"/>
                <w:highlight w:val="none"/>
                <w:lang w:val="en-US" w:eastAsia="zh-CN"/>
                <w14:textFill>
                  <w14:solidFill>
                    <w14:schemeClr w14:val="tx1"/>
                  </w14:solidFill>
                </w14:textFill>
              </w:rPr>
            </w:pPr>
            <w:r>
              <w:rPr>
                <w:rFonts w:hint="eastAsia" w:ascii="宋体" w:hAnsi="宋体" w:eastAsia="宋体" w:cs="宋体"/>
                <w:color w:val="000000" w:themeColor="text1"/>
                <w:kern w:val="0"/>
                <w:sz w:val="28"/>
                <w:szCs w:val="28"/>
                <w:highlight w:val="none"/>
                <w:lang w:val="en-US" w:eastAsia="zh-CN"/>
                <w14:textFill>
                  <w14:solidFill>
                    <w14:schemeClr w14:val="tx1"/>
                  </w14:solidFill>
                </w14:textFill>
              </w:rPr>
              <w:t>2.</w:t>
            </w:r>
            <w:r>
              <w:rPr>
                <w:rFonts w:hint="eastAsia" w:ascii="宋体" w:hAnsi="宋体" w:cs="宋体"/>
                <w:color w:val="000000" w:themeColor="text1"/>
                <w:kern w:val="0"/>
                <w:sz w:val="28"/>
                <w:szCs w:val="28"/>
                <w:highlight w:val="none"/>
                <w:lang w:val="en-US" w:eastAsia="zh-CN"/>
                <w14:textFill>
                  <w14:solidFill>
                    <w14:schemeClr w14:val="tx1"/>
                  </w14:solidFill>
                </w14:textFill>
              </w:rPr>
              <w:t>所投</w:t>
            </w:r>
            <w:r>
              <w:rPr>
                <w:rFonts w:hint="eastAsia" w:ascii="宋体" w:hAnsi="宋体" w:eastAsia="宋体" w:cs="宋体"/>
                <w:color w:val="000000" w:themeColor="text1"/>
                <w:kern w:val="0"/>
                <w:sz w:val="28"/>
                <w:szCs w:val="28"/>
                <w:highlight w:val="none"/>
                <w:lang w:val="en-US" w:eastAsia="zh-CN"/>
                <w14:textFill>
                  <w14:solidFill>
                    <w14:schemeClr w14:val="tx1"/>
                  </w14:solidFill>
                </w14:textFill>
              </w:rPr>
              <w:t>产品核心技术参数存在负偏离的,</w:t>
            </w:r>
            <w:r>
              <w:rPr>
                <w:rFonts w:hint="eastAsia" w:ascii="宋体" w:hAnsi="宋体" w:cs="宋体"/>
                <w:color w:val="000000" w:themeColor="text1"/>
                <w:kern w:val="0"/>
                <w:sz w:val="28"/>
                <w:szCs w:val="28"/>
                <w:highlight w:val="none"/>
                <w:lang w:val="en-US" w:eastAsia="zh-CN"/>
                <w14:textFill>
                  <w14:solidFill>
                    <w14:schemeClr w14:val="tx1"/>
                  </w14:solidFill>
                </w14:textFill>
              </w:rPr>
              <w:t>每有一项扣12分，扣完为止。</w:t>
            </w:r>
          </w:p>
          <w:p w14:paraId="39B66E8E">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宋体" w:hAnsi="宋体" w:eastAsia="宋体" w:cs="宋体"/>
                <w:color w:val="000000" w:themeColor="text1"/>
                <w:kern w:val="0"/>
                <w:sz w:val="28"/>
                <w:szCs w:val="28"/>
                <w:highlight w:val="none"/>
                <w:lang w:val="en-US" w:eastAsia="zh-CN"/>
                <w14:textFill>
                  <w14:solidFill>
                    <w14:schemeClr w14:val="tx1"/>
                  </w14:solidFill>
                </w14:textFill>
              </w:rPr>
            </w:pPr>
            <w:r>
              <w:rPr>
                <w:rFonts w:hint="eastAsia" w:ascii="宋体" w:hAnsi="宋体" w:eastAsia="宋体" w:cs="宋体"/>
                <w:color w:val="000000" w:themeColor="text1"/>
                <w:kern w:val="0"/>
                <w:sz w:val="28"/>
                <w:szCs w:val="28"/>
                <w:highlight w:val="none"/>
                <w:lang w:val="en-US" w:eastAsia="zh-CN"/>
                <w14:textFill>
                  <w14:solidFill>
                    <w14:schemeClr w14:val="tx1"/>
                  </w14:solidFill>
                </w14:textFill>
              </w:rPr>
              <w:t>3.</w:t>
            </w:r>
            <w:r>
              <w:rPr>
                <w:rFonts w:hint="eastAsia" w:ascii="宋体" w:hAnsi="宋体" w:cs="宋体"/>
                <w:color w:val="000000" w:themeColor="text1"/>
                <w:kern w:val="0"/>
                <w:sz w:val="28"/>
                <w:szCs w:val="28"/>
                <w:highlight w:val="none"/>
                <w:lang w:val="en-US" w:eastAsia="zh-CN"/>
                <w14:textFill>
                  <w14:solidFill>
                    <w14:schemeClr w14:val="tx1"/>
                  </w14:solidFill>
                </w14:textFill>
              </w:rPr>
              <w:t>所投</w:t>
            </w:r>
            <w:r>
              <w:rPr>
                <w:rFonts w:hint="eastAsia" w:ascii="宋体" w:hAnsi="宋体" w:eastAsia="宋体" w:cs="宋体"/>
                <w:color w:val="000000" w:themeColor="text1"/>
                <w:kern w:val="0"/>
                <w:sz w:val="28"/>
                <w:szCs w:val="28"/>
                <w:highlight w:val="none"/>
                <w:lang w:val="en-US" w:eastAsia="zh-CN"/>
                <w14:textFill>
                  <w14:solidFill>
                    <w14:schemeClr w14:val="tx1"/>
                  </w14:solidFill>
                </w14:textFill>
              </w:rPr>
              <w:t>产品一般技术参数存在负偏离的，每一条扣</w:t>
            </w:r>
            <w:r>
              <w:rPr>
                <w:rFonts w:hint="eastAsia" w:ascii="宋体" w:hAnsi="宋体" w:cs="宋体"/>
                <w:color w:val="000000" w:themeColor="text1"/>
                <w:kern w:val="0"/>
                <w:sz w:val="28"/>
                <w:szCs w:val="28"/>
                <w:highlight w:val="none"/>
                <w:lang w:val="en-US" w:eastAsia="zh-CN"/>
                <w14:textFill>
                  <w14:solidFill>
                    <w14:schemeClr w14:val="tx1"/>
                  </w14:solidFill>
                </w14:textFill>
              </w:rPr>
              <w:t>5</w:t>
            </w:r>
            <w:r>
              <w:rPr>
                <w:rFonts w:hint="eastAsia" w:ascii="宋体" w:hAnsi="宋体" w:eastAsia="宋体" w:cs="宋体"/>
                <w:color w:val="000000" w:themeColor="text1"/>
                <w:kern w:val="0"/>
                <w:sz w:val="28"/>
                <w:szCs w:val="28"/>
                <w:highlight w:val="none"/>
                <w:lang w:val="en-US" w:eastAsia="zh-CN"/>
                <w14:textFill>
                  <w14:solidFill>
                    <w14:schemeClr w14:val="tx1"/>
                  </w14:solidFill>
                </w14:textFill>
              </w:rPr>
              <w:t>分，</w:t>
            </w:r>
            <w:r>
              <w:rPr>
                <w:rFonts w:hint="eastAsia" w:ascii="宋体" w:hAnsi="宋体" w:cs="宋体"/>
                <w:color w:val="000000" w:themeColor="text1"/>
                <w:kern w:val="0"/>
                <w:sz w:val="28"/>
                <w:szCs w:val="28"/>
                <w:highlight w:val="none"/>
                <w:lang w:val="en-US" w:eastAsia="zh-CN"/>
                <w14:textFill>
                  <w14:solidFill>
                    <w14:schemeClr w14:val="tx1"/>
                  </w14:solidFill>
                </w14:textFill>
              </w:rPr>
              <w:t>扣完为止</w:t>
            </w:r>
            <w:r>
              <w:rPr>
                <w:rFonts w:hint="eastAsia" w:ascii="宋体" w:hAnsi="宋体" w:eastAsia="宋体" w:cs="宋体"/>
                <w:color w:val="000000" w:themeColor="text1"/>
                <w:kern w:val="0"/>
                <w:sz w:val="28"/>
                <w:szCs w:val="28"/>
                <w:highlight w:val="none"/>
                <w:lang w:val="en-US" w:eastAsia="zh-CN"/>
                <w14:textFill>
                  <w14:solidFill>
                    <w14:schemeClr w14:val="tx1"/>
                  </w14:solidFill>
                </w14:textFill>
              </w:rPr>
              <w:t>。</w:t>
            </w:r>
          </w:p>
          <w:p w14:paraId="75C04772">
            <w:pPr>
              <w:pageBreakBefore w:val="0"/>
              <w:numPr>
                <w:ilvl w:val="0"/>
                <w:numId w:val="0"/>
              </w:numPr>
              <w:kinsoku/>
              <w:wordWrap/>
              <w:overflowPunct/>
              <w:topLinePunct w:val="0"/>
              <w:autoSpaceDE/>
              <w:autoSpaceDN/>
              <w:bidi w:val="0"/>
              <w:spacing w:line="560" w:lineRule="exact"/>
              <w:jc w:val="left"/>
              <w:textAlignment w:val="auto"/>
              <w:rPr>
                <w:rFonts w:hint="default" w:ascii="宋体" w:hAnsi="宋体" w:eastAsia="宋体" w:cs="宋体"/>
                <w:color w:val="000000" w:themeColor="text1"/>
                <w:kern w:val="0"/>
                <w:sz w:val="28"/>
                <w:szCs w:val="28"/>
                <w:highlight w:val="none"/>
                <w:lang w:val="en-US" w:eastAsia="zh-CN"/>
                <w14:textFill>
                  <w14:solidFill>
                    <w14:schemeClr w14:val="tx1"/>
                  </w14:solidFill>
                </w14:textFill>
              </w:rPr>
            </w:pPr>
            <w:r>
              <w:rPr>
                <w:b/>
                <w:bCs/>
                <w:color w:val="000000" w:themeColor="text1"/>
                <w:sz w:val="28"/>
                <w:szCs w:val="28"/>
                <w:highlight w:val="none"/>
                <w14:textFill>
                  <w14:solidFill>
                    <w14:schemeClr w14:val="tx1"/>
                  </w14:solidFill>
                </w14:textFill>
              </w:rPr>
              <w:t>注：负偏离评审依据：</w:t>
            </w:r>
            <w:r>
              <w:rPr>
                <w:rFonts w:hint="eastAsia"/>
                <w:b/>
                <w:bCs/>
                <w:color w:val="000000" w:themeColor="text1"/>
                <w:sz w:val="28"/>
                <w:szCs w:val="28"/>
                <w:highlight w:val="none"/>
                <w14:textFill>
                  <w14:solidFill>
                    <w14:schemeClr w14:val="tx1"/>
                  </w14:solidFill>
                </w14:textFill>
              </w:rPr>
              <w:t>①</w:t>
            </w:r>
            <w:r>
              <w:rPr>
                <w:b/>
                <w:bCs/>
                <w:color w:val="000000" w:themeColor="text1"/>
                <w:sz w:val="28"/>
                <w:szCs w:val="28"/>
                <w:highlight w:val="none"/>
                <w14:textFill>
                  <w14:solidFill>
                    <w14:schemeClr w14:val="tx1"/>
                  </w14:solidFill>
                </w14:textFill>
              </w:rPr>
              <w:t>所</w:t>
            </w:r>
            <w:r>
              <w:rPr>
                <w:rFonts w:hint="eastAsia"/>
                <w:b/>
                <w:bCs/>
                <w:color w:val="000000" w:themeColor="text1"/>
                <w:sz w:val="28"/>
                <w:szCs w:val="28"/>
                <w:highlight w:val="none"/>
                <w14:textFill>
                  <w14:solidFill>
                    <w14:schemeClr w14:val="tx1"/>
                  </w14:solidFill>
                </w14:textFill>
              </w:rPr>
              <w:t>提供</w:t>
            </w:r>
            <w:r>
              <w:rPr>
                <w:b/>
                <w:bCs/>
                <w:color w:val="000000" w:themeColor="text1"/>
                <w:sz w:val="28"/>
                <w:szCs w:val="28"/>
                <w:highlight w:val="none"/>
                <w14:textFill>
                  <w14:solidFill>
                    <w14:schemeClr w14:val="tx1"/>
                  </w14:solidFill>
                </w14:textFill>
              </w:rPr>
              <w:t>产品技术参数低于</w:t>
            </w:r>
            <w:r>
              <w:rPr>
                <w:rFonts w:hint="eastAsia"/>
                <w:b/>
                <w:bCs/>
                <w:color w:val="000000" w:themeColor="text1"/>
                <w:sz w:val="28"/>
                <w:szCs w:val="28"/>
                <w:highlight w:val="none"/>
                <w14:textFill>
                  <w14:solidFill>
                    <w14:schemeClr w14:val="tx1"/>
                  </w14:solidFill>
                </w14:textFill>
              </w:rPr>
              <w:t>招标</w:t>
            </w:r>
            <w:r>
              <w:rPr>
                <w:b/>
                <w:bCs/>
                <w:color w:val="000000" w:themeColor="text1"/>
                <w:sz w:val="28"/>
                <w:szCs w:val="28"/>
                <w:highlight w:val="none"/>
                <w14:textFill>
                  <w14:solidFill>
                    <w14:schemeClr w14:val="tx1"/>
                  </w14:solidFill>
                </w14:textFill>
              </w:rPr>
              <w:t>文件要求的，视为负偏离；</w:t>
            </w:r>
            <w:r>
              <w:rPr>
                <w:rFonts w:hint="eastAsia"/>
                <w:b/>
                <w:bCs/>
                <w:color w:val="000000" w:themeColor="text1"/>
                <w:sz w:val="28"/>
                <w:szCs w:val="28"/>
                <w:highlight w:val="none"/>
                <w14:textFill>
                  <w14:solidFill>
                    <w14:schemeClr w14:val="tx1"/>
                  </w14:solidFill>
                </w14:textFill>
              </w:rPr>
              <w:t>②</w:t>
            </w:r>
            <w:r>
              <w:rPr>
                <w:b/>
                <w:bCs/>
                <w:color w:val="000000" w:themeColor="text1"/>
                <w:sz w:val="28"/>
                <w:szCs w:val="28"/>
                <w:highlight w:val="none"/>
                <w14:textFill>
                  <w14:solidFill>
                    <w14:schemeClr w14:val="tx1"/>
                  </w14:solidFill>
                </w14:textFill>
              </w:rPr>
              <w:t>技术参数响应条款</w:t>
            </w:r>
            <w:r>
              <w:rPr>
                <w:rFonts w:hint="eastAsia"/>
                <w:b/>
                <w:bCs/>
                <w:color w:val="000000" w:themeColor="text1"/>
                <w:sz w:val="28"/>
                <w:szCs w:val="28"/>
                <w:highlight w:val="none"/>
                <w14:textFill>
                  <w14:solidFill>
                    <w14:schemeClr w14:val="tx1"/>
                  </w14:solidFill>
                </w14:textFill>
              </w:rPr>
              <w:t>（以投标文件内技术偏离表为准）</w:t>
            </w:r>
            <w:r>
              <w:rPr>
                <w:b/>
                <w:bCs/>
                <w:color w:val="000000" w:themeColor="text1"/>
                <w:sz w:val="28"/>
                <w:szCs w:val="28"/>
                <w:highlight w:val="none"/>
                <w14:textFill>
                  <w14:solidFill>
                    <w14:schemeClr w14:val="tx1"/>
                  </w14:solidFill>
                </w14:textFill>
              </w:rPr>
              <w:t>与</w:t>
            </w:r>
            <w:r>
              <w:rPr>
                <w:rFonts w:hint="eastAsia"/>
                <w:b/>
                <w:bCs/>
                <w:color w:val="000000" w:themeColor="text1"/>
                <w:sz w:val="28"/>
                <w:szCs w:val="28"/>
                <w:highlight w:val="none"/>
                <w14:textFill>
                  <w14:solidFill>
                    <w14:schemeClr w14:val="tx1"/>
                  </w14:solidFill>
                </w14:textFill>
              </w:rPr>
              <w:t>招标</w:t>
            </w:r>
            <w:r>
              <w:rPr>
                <w:b/>
                <w:bCs/>
                <w:color w:val="000000" w:themeColor="text1"/>
                <w:sz w:val="28"/>
                <w:szCs w:val="28"/>
                <w:highlight w:val="none"/>
                <w14:textFill>
                  <w14:solidFill>
                    <w14:schemeClr w14:val="tx1"/>
                  </w14:solidFill>
                </w14:textFill>
              </w:rPr>
              <w:t>文件对比有缺项、漏项的，视为负偏离；</w:t>
            </w:r>
            <w:r>
              <w:rPr>
                <w:rFonts w:hint="eastAsia"/>
                <w:b/>
                <w:bCs/>
                <w:color w:val="000000" w:themeColor="text1"/>
                <w:sz w:val="28"/>
                <w:szCs w:val="28"/>
                <w:highlight w:val="none"/>
                <w14:textFill>
                  <w14:solidFill>
                    <w14:schemeClr w14:val="tx1"/>
                  </w14:solidFill>
                </w14:textFill>
              </w:rPr>
              <w:t>③投标文件内技术偏离表完全复制招标文件技术参数的（不涉及具体参数指标的描述性技术要求除外），视为负偏离；</w:t>
            </w:r>
          </w:p>
        </w:tc>
        <w:tc>
          <w:tcPr>
            <w:tcW w:w="1088" w:type="dxa"/>
            <w:vAlign w:val="center"/>
          </w:tcPr>
          <w:p w14:paraId="649C7C9A">
            <w:pPr>
              <w:pageBreakBefore w:val="0"/>
              <w:kinsoku/>
              <w:wordWrap/>
              <w:overflowPunct/>
              <w:topLinePunct w:val="0"/>
              <w:autoSpaceDE/>
              <w:autoSpaceDN/>
              <w:bidi w:val="0"/>
              <w:spacing w:line="560" w:lineRule="exact"/>
              <w:jc w:val="center"/>
              <w:textAlignment w:val="auto"/>
              <w:rPr>
                <w:rFonts w:hint="default" w:asciiTheme="minorEastAsia" w:hAnsiTheme="minorEastAsia" w:eastAsiaTheme="minorEastAsia"/>
                <w:bCs/>
                <w:color w:val="000000" w:themeColor="text1"/>
                <w:kern w:val="0"/>
                <w:sz w:val="28"/>
                <w:szCs w:val="28"/>
                <w:highlight w:val="none"/>
                <w:lang w:val="en-US"/>
                <w14:textFill>
                  <w14:solidFill>
                    <w14:schemeClr w14:val="tx1"/>
                  </w14:solidFill>
                </w14:textFill>
              </w:rPr>
            </w:pPr>
            <w:r>
              <w:rPr>
                <w:rFonts w:hint="eastAsia" w:ascii="宋体" w:hAnsi="宋体" w:cs="宋体"/>
                <w:color w:val="000000" w:themeColor="text1"/>
                <w:kern w:val="0"/>
                <w:sz w:val="28"/>
                <w:szCs w:val="28"/>
                <w:highlight w:val="none"/>
                <w:lang w:val="en-US" w:eastAsia="zh-CN"/>
                <w14:textFill>
                  <w14:solidFill>
                    <w14:schemeClr w14:val="tx1"/>
                  </w14:solidFill>
                </w14:textFill>
              </w:rPr>
              <w:t>36</w:t>
            </w:r>
          </w:p>
        </w:tc>
      </w:tr>
      <w:tr w14:paraId="7C9DD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 w:type="dxa"/>
            <w:vAlign w:val="center"/>
          </w:tcPr>
          <w:p w14:paraId="1C3E9A1D">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bCs/>
                <w:color w:val="000000" w:themeColor="text1"/>
                <w:kern w:val="0"/>
                <w:sz w:val="28"/>
                <w:szCs w:val="28"/>
                <w:highlight w:val="none"/>
                <w:lang w:val="en-US" w:eastAsia="zh-CN"/>
                <w14:textFill>
                  <w14:solidFill>
                    <w14:schemeClr w14:val="tx1"/>
                  </w14:solidFill>
                </w14:textFill>
              </w:rPr>
            </w:pPr>
            <w:r>
              <w:rPr>
                <w:rFonts w:hint="eastAsia" w:asciiTheme="minorEastAsia" w:hAnsiTheme="minorEastAsia" w:eastAsiaTheme="minorEastAsia"/>
                <w:bCs/>
                <w:color w:val="000000" w:themeColor="text1"/>
                <w:kern w:val="0"/>
                <w:sz w:val="28"/>
                <w:szCs w:val="28"/>
                <w:highlight w:val="none"/>
                <w:lang w:val="en-US" w:eastAsia="zh-CN"/>
                <w14:textFill>
                  <w14:solidFill>
                    <w14:schemeClr w14:val="tx1"/>
                  </w14:solidFill>
                </w14:textFill>
              </w:rPr>
              <w:t>2</w:t>
            </w:r>
          </w:p>
        </w:tc>
        <w:tc>
          <w:tcPr>
            <w:tcW w:w="1500" w:type="dxa"/>
            <w:vAlign w:val="center"/>
          </w:tcPr>
          <w:p w14:paraId="5926BB03">
            <w:pPr>
              <w:pageBreakBefore w:val="0"/>
              <w:kinsoku/>
              <w:wordWrap/>
              <w:overflowPunct/>
              <w:topLinePunct w:val="0"/>
              <w:autoSpaceDE/>
              <w:autoSpaceDN/>
              <w:bidi w:val="0"/>
              <w:spacing w:line="560" w:lineRule="exact"/>
              <w:jc w:val="center"/>
              <w:textAlignment w:val="auto"/>
              <w:rPr>
                <w:rFonts w:hint="eastAsia" w:ascii="宋体" w:hAnsi="宋体" w:eastAsia="宋体" w:cs="宋体"/>
                <w:color w:val="000000" w:themeColor="text1"/>
                <w:kern w:val="0"/>
                <w:sz w:val="28"/>
                <w:szCs w:val="28"/>
                <w:highlight w:val="none"/>
                <w:lang w:eastAsia="zh-CN"/>
                <w14:textFill>
                  <w14:solidFill>
                    <w14:schemeClr w14:val="tx1"/>
                  </w14:solidFill>
                </w14:textFill>
              </w:rPr>
            </w:pPr>
            <w:r>
              <w:rPr>
                <w:rFonts w:hint="eastAsia" w:ascii="宋体" w:hAnsi="宋体" w:eastAsia="宋体" w:cs="宋体"/>
                <w:color w:val="000000" w:themeColor="text1"/>
                <w:kern w:val="0"/>
                <w:sz w:val="28"/>
                <w:szCs w:val="28"/>
                <w:highlight w:val="none"/>
                <w14:textFill>
                  <w14:solidFill>
                    <w14:schemeClr w14:val="tx1"/>
                  </w14:solidFill>
                </w14:textFill>
              </w:rPr>
              <w:t>项目实施总体方案</w:t>
            </w:r>
          </w:p>
        </w:tc>
        <w:tc>
          <w:tcPr>
            <w:tcW w:w="6283" w:type="dxa"/>
            <w:vAlign w:val="center"/>
          </w:tcPr>
          <w:p w14:paraId="5CDA4B39">
            <w:pPr>
              <w:pageBreakBefore w:val="0"/>
              <w:kinsoku/>
              <w:wordWrap/>
              <w:overflowPunct/>
              <w:topLinePunct w:val="0"/>
              <w:autoSpaceDE/>
              <w:autoSpaceDN/>
              <w:bidi w:val="0"/>
              <w:spacing w:line="560" w:lineRule="exact"/>
              <w:jc w:val="left"/>
              <w:textAlignment w:val="auto"/>
              <w:rPr>
                <w:rFonts w:hint="eastAsia" w:ascii="宋体" w:hAnsi="宋体" w:eastAsia="宋体" w:cs="宋体"/>
                <w:color w:val="000000" w:themeColor="text1"/>
                <w:kern w:val="0"/>
                <w:sz w:val="28"/>
                <w:szCs w:val="28"/>
                <w:highlight w:val="none"/>
                <w14:textFill>
                  <w14:solidFill>
                    <w14:schemeClr w14:val="tx1"/>
                  </w14:solidFill>
                </w14:textFill>
              </w:rPr>
            </w:pPr>
            <w:r>
              <w:rPr>
                <w:rFonts w:hint="eastAsia" w:ascii="宋体" w:hAnsi="宋体" w:eastAsia="宋体" w:cs="宋体"/>
                <w:color w:val="000000" w:themeColor="text1"/>
                <w:kern w:val="0"/>
                <w:sz w:val="28"/>
                <w:szCs w:val="28"/>
                <w:highlight w:val="none"/>
                <w14:textFill>
                  <w14:solidFill>
                    <w14:schemeClr w14:val="tx1"/>
                  </w14:solidFill>
                </w14:textFill>
              </w:rPr>
              <w:t>项目实施总体方案：1、针对本项目有供货安装调试</w:t>
            </w:r>
            <w:r>
              <w:rPr>
                <w:rFonts w:hint="eastAsia" w:ascii="宋体" w:hAnsi="宋体" w:eastAsia="宋体" w:cs="宋体"/>
                <w:color w:val="000000" w:themeColor="text1"/>
                <w:kern w:val="0"/>
                <w:sz w:val="28"/>
                <w:szCs w:val="28"/>
                <w:highlight w:val="none"/>
                <w:lang w:eastAsia="zh-CN"/>
                <w14:textFill>
                  <w14:solidFill>
                    <w14:schemeClr w14:val="tx1"/>
                  </w14:solidFill>
                </w14:textFill>
              </w:rPr>
              <w:t>方案</w:t>
            </w:r>
            <w:r>
              <w:rPr>
                <w:rFonts w:hint="eastAsia" w:ascii="宋体" w:hAnsi="宋体" w:cs="宋体"/>
                <w:color w:val="000000" w:themeColor="text1"/>
                <w:kern w:val="0"/>
                <w:sz w:val="28"/>
                <w:szCs w:val="28"/>
                <w:highlight w:val="none"/>
                <w:lang w:eastAsia="zh-CN"/>
                <w14:textFill>
                  <w14:solidFill>
                    <w14:schemeClr w14:val="tx1"/>
                  </w14:solidFill>
                </w14:textFill>
              </w:rPr>
              <w:t>、</w:t>
            </w:r>
            <w:r>
              <w:rPr>
                <w:rFonts w:hint="eastAsia" w:ascii="宋体" w:hAnsi="宋体" w:eastAsia="宋体" w:cs="宋体"/>
                <w:color w:val="000000" w:themeColor="text1"/>
                <w:kern w:val="0"/>
                <w:sz w:val="28"/>
                <w:szCs w:val="28"/>
                <w:highlight w:val="none"/>
                <w14:textFill>
                  <w14:solidFill>
                    <w14:schemeClr w14:val="tx1"/>
                  </w14:solidFill>
                </w14:textFill>
              </w:rPr>
              <w:t>人员安排方案，每有一项得</w:t>
            </w:r>
            <w:r>
              <w:rPr>
                <w:rFonts w:hint="eastAsia" w:ascii="宋体" w:hAnsi="宋体" w:cs="宋体"/>
                <w:color w:val="000000" w:themeColor="text1"/>
                <w:kern w:val="0"/>
                <w:sz w:val="28"/>
                <w:szCs w:val="28"/>
                <w:highlight w:val="none"/>
                <w:lang w:val="en-US" w:eastAsia="zh-CN"/>
                <w14:textFill>
                  <w14:solidFill>
                    <w14:schemeClr w14:val="tx1"/>
                  </w14:solidFill>
                </w14:textFill>
              </w:rPr>
              <w:t>1</w:t>
            </w:r>
            <w:r>
              <w:rPr>
                <w:rFonts w:hint="eastAsia" w:ascii="宋体" w:hAnsi="宋体" w:eastAsia="宋体" w:cs="宋体"/>
                <w:color w:val="000000" w:themeColor="text1"/>
                <w:kern w:val="0"/>
                <w:sz w:val="28"/>
                <w:szCs w:val="28"/>
                <w:highlight w:val="none"/>
                <w14:textFill>
                  <w14:solidFill>
                    <w14:schemeClr w14:val="tx1"/>
                  </w14:solidFill>
                </w14:textFill>
              </w:rPr>
              <w:t>分，满</w:t>
            </w:r>
            <w:r>
              <w:rPr>
                <w:rFonts w:hint="eastAsia" w:ascii="宋体" w:hAnsi="宋体" w:cs="宋体"/>
                <w:color w:val="000000" w:themeColor="text1"/>
                <w:kern w:val="0"/>
                <w:sz w:val="28"/>
                <w:szCs w:val="28"/>
                <w:highlight w:val="none"/>
                <w:lang w:val="en-US" w:eastAsia="zh-CN"/>
                <w14:textFill>
                  <w14:solidFill>
                    <w14:schemeClr w14:val="tx1"/>
                  </w14:solidFill>
                </w14:textFill>
              </w:rPr>
              <w:t>2</w:t>
            </w:r>
            <w:r>
              <w:rPr>
                <w:rFonts w:hint="eastAsia" w:ascii="宋体" w:hAnsi="宋体" w:eastAsia="宋体" w:cs="宋体"/>
                <w:color w:val="000000" w:themeColor="text1"/>
                <w:kern w:val="0"/>
                <w:sz w:val="28"/>
                <w:szCs w:val="28"/>
                <w:highlight w:val="none"/>
                <w14:textFill>
                  <w14:solidFill>
                    <w14:schemeClr w14:val="tx1"/>
                  </w14:solidFill>
                </w14:textFill>
              </w:rPr>
              <w:t>分，未提供不得分；2、有安全保证措施、成品保护措施每有一项得</w:t>
            </w:r>
            <w:r>
              <w:rPr>
                <w:rFonts w:hint="eastAsia" w:ascii="宋体" w:hAnsi="宋体" w:cs="宋体"/>
                <w:color w:val="000000" w:themeColor="text1"/>
                <w:kern w:val="0"/>
                <w:sz w:val="28"/>
                <w:szCs w:val="28"/>
                <w:highlight w:val="none"/>
                <w:lang w:val="en-US" w:eastAsia="zh-CN"/>
                <w14:textFill>
                  <w14:solidFill>
                    <w14:schemeClr w14:val="tx1"/>
                  </w14:solidFill>
                </w14:textFill>
              </w:rPr>
              <w:t>1</w:t>
            </w:r>
            <w:r>
              <w:rPr>
                <w:rFonts w:hint="eastAsia" w:ascii="宋体" w:hAnsi="宋体" w:eastAsia="宋体" w:cs="宋体"/>
                <w:color w:val="000000" w:themeColor="text1"/>
                <w:kern w:val="0"/>
                <w:sz w:val="28"/>
                <w:szCs w:val="28"/>
                <w:highlight w:val="none"/>
                <w14:textFill>
                  <w14:solidFill>
                    <w14:schemeClr w14:val="tx1"/>
                  </w14:solidFill>
                </w14:textFill>
              </w:rPr>
              <w:t>分，满分</w:t>
            </w:r>
            <w:r>
              <w:rPr>
                <w:rFonts w:hint="eastAsia" w:ascii="宋体" w:hAnsi="宋体" w:cs="宋体"/>
                <w:color w:val="000000" w:themeColor="text1"/>
                <w:kern w:val="0"/>
                <w:sz w:val="28"/>
                <w:szCs w:val="28"/>
                <w:highlight w:val="none"/>
                <w:lang w:val="en-US" w:eastAsia="zh-CN"/>
                <w14:textFill>
                  <w14:solidFill>
                    <w14:schemeClr w14:val="tx1"/>
                  </w14:solidFill>
                </w14:textFill>
              </w:rPr>
              <w:t>2</w:t>
            </w:r>
            <w:r>
              <w:rPr>
                <w:rFonts w:hint="eastAsia" w:ascii="宋体" w:hAnsi="宋体" w:eastAsia="宋体" w:cs="宋体"/>
                <w:color w:val="000000" w:themeColor="text1"/>
                <w:kern w:val="0"/>
                <w:sz w:val="28"/>
                <w:szCs w:val="28"/>
                <w:highlight w:val="none"/>
                <w14:textFill>
                  <w14:solidFill>
                    <w14:schemeClr w14:val="tx1"/>
                  </w14:solidFill>
                </w14:textFill>
              </w:rPr>
              <w:t>分，未提供不得分；</w:t>
            </w:r>
            <w:r>
              <w:rPr>
                <w:rFonts w:hint="eastAsia" w:ascii="宋体" w:hAnsi="宋体" w:eastAsia="宋体" w:cs="宋体"/>
                <w:color w:val="000000" w:themeColor="text1"/>
                <w:kern w:val="0"/>
                <w:sz w:val="28"/>
                <w:szCs w:val="28"/>
                <w:highlight w:val="none"/>
                <w:lang w:val="en-US" w:eastAsia="zh-CN" w:bidi="ar-SA"/>
                <w14:textFill>
                  <w14:solidFill>
                    <w14:schemeClr w14:val="tx1"/>
                  </w14:solidFill>
                </w14:textFill>
              </w:rPr>
              <w:t>3、</w:t>
            </w:r>
            <w:r>
              <w:rPr>
                <w:rFonts w:hint="eastAsia" w:ascii="宋体" w:hAnsi="宋体" w:eastAsia="宋体" w:cs="宋体"/>
                <w:color w:val="000000" w:themeColor="text1"/>
                <w:kern w:val="0"/>
                <w:sz w:val="28"/>
                <w:szCs w:val="28"/>
                <w:highlight w:val="none"/>
                <w14:textFill>
                  <w14:solidFill>
                    <w14:schemeClr w14:val="tx1"/>
                  </w14:solidFill>
                </w14:textFill>
              </w:rPr>
              <w:t>有</w:t>
            </w:r>
            <w:r>
              <w:rPr>
                <w:rFonts w:hint="eastAsia" w:ascii="宋体" w:hAnsi="宋体" w:cs="宋体"/>
                <w:color w:val="000000" w:themeColor="text1"/>
                <w:kern w:val="0"/>
                <w:sz w:val="28"/>
                <w:szCs w:val="28"/>
                <w:highlight w:val="none"/>
                <w:lang w:eastAsia="zh-CN"/>
                <w14:textFill>
                  <w14:solidFill>
                    <w14:schemeClr w14:val="tx1"/>
                  </w14:solidFill>
                </w14:textFill>
              </w:rPr>
              <w:t>运输保障措施、</w:t>
            </w:r>
            <w:r>
              <w:rPr>
                <w:rFonts w:hint="eastAsia" w:ascii="宋体" w:hAnsi="宋体" w:eastAsia="宋体" w:cs="宋体"/>
                <w:color w:val="000000" w:themeColor="text1"/>
                <w:kern w:val="0"/>
                <w:sz w:val="28"/>
                <w:szCs w:val="28"/>
                <w:highlight w:val="none"/>
                <w14:textFill>
                  <w14:solidFill>
                    <w14:schemeClr w14:val="tx1"/>
                  </w14:solidFill>
                </w14:textFill>
              </w:rPr>
              <w:t>供货应急处理措施</w:t>
            </w:r>
            <w:r>
              <w:rPr>
                <w:rFonts w:hint="eastAsia" w:ascii="宋体" w:hAnsi="宋体" w:cs="宋体"/>
                <w:color w:val="000000" w:themeColor="text1"/>
                <w:kern w:val="0"/>
                <w:sz w:val="28"/>
                <w:szCs w:val="28"/>
                <w:highlight w:val="none"/>
                <w:lang w:eastAsia="zh-CN"/>
                <w14:textFill>
                  <w14:solidFill>
                    <w14:schemeClr w14:val="tx1"/>
                  </w14:solidFill>
                </w14:textFill>
              </w:rPr>
              <w:t>，每有一项得</w:t>
            </w:r>
            <w:r>
              <w:rPr>
                <w:rFonts w:hint="eastAsia" w:ascii="宋体" w:hAnsi="宋体" w:cs="宋体"/>
                <w:color w:val="000000" w:themeColor="text1"/>
                <w:kern w:val="0"/>
                <w:sz w:val="28"/>
                <w:szCs w:val="28"/>
                <w:highlight w:val="none"/>
                <w:lang w:val="en-US" w:eastAsia="zh-CN"/>
                <w14:textFill>
                  <w14:solidFill>
                    <w14:schemeClr w14:val="tx1"/>
                  </w14:solidFill>
                </w14:textFill>
              </w:rPr>
              <w:t>1</w:t>
            </w:r>
            <w:r>
              <w:rPr>
                <w:rFonts w:hint="eastAsia" w:ascii="宋体" w:hAnsi="宋体" w:eastAsia="宋体" w:cs="宋体"/>
                <w:color w:val="000000" w:themeColor="text1"/>
                <w:kern w:val="0"/>
                <w:sz w:val="28"/>
                <w:szCs w:val="28"/>
                <w:highlight w:val="none"/>
                <w14:textFill>
                  <w14:solidFill>
                    <w14:schemeClr w14:val="tx1"/>
                  </w14:solidFill>
                </w14:textFill>
              </w:rPr>
              <w:t>分，</w:t>
            </w:r>
            <w:r>
              <w:rPr>
                <w:rFonts w:hint="eastAsia" w:ascii="宋体" w:hAnsi="宋体" w:cs="宋体"/>
                <w:color w:val="000000" w:themeColor="text1"/>
                <w:kern w:val="0"/>
                <w:sz w:val="28"/>
                <w:szCs w:val="28"/>
                <w:highlight w:val="none"/>
                <w:lang w:eastAsia="zh-CN"/>
                <w14:textFill>
                  <w14:solidFill>
                    <w14:schemeClr w14:val="tx1"/>
                  </w14:solidFill>
                </w14:textFill>
              </w:rPr>
              <w:t>满分</w:t>
            </w:r>
            <w:r>
              <w:rPr>
                <w:rFonts w:hint="eastAsia" w:ascii="宋体" w:hAnsi="宋体" w:cs="宋体"/>
                <w:color w:val="000000" w:themeColor="text1"/>
                <w:kern w:val="0"/>
                <w:sz w:val="28"/>
                <w:szCs w:val="28"/>
                <w:highlight w:val="none"/>
                <w:lang w:val="en-US" w:eastAsia="zh-CN"/>
                <w14:textFill>
                  <w14:solidFill>
                    <w14:schemeClr w14:val="tx1"/>
                  </w14:solidFill>
                </w14:textFill>
              </w:rPr>
              <w:t>2分；</w:t>
            </w:r>
            <w:r>
              <w:rPr>
                <w:rFonts w:hint="eastAsia" w:ascii="宋体" w:hAnsi="宋体" w:eastAsia="宋体" w:cs="宋体"/>
                <w:color w:val="000000" w:themeColor="text1"/>
                <w:kern w:val="0"/>
                <w:sz w:val="28"/>
                <w:szCs w:val="28"/>
                <w:highlight w:val="none"/>
                <w14:textFill>
                  <w14:solidFill>
                    <w14:schemeClr w14:val="tx1"/>
                  </w14:solidFill>
                </w14:textFill>
              </w:rPr>
              <w:t>未提供不得分。</w:t>
            </w:r>
          </w:p>
          <w:p w14:paraId="2C8E6562">
            <w:pPr>
              <w:pageBreakBefore w:val="0"/>
              <w:kinsoku/>
              <w:wordWrap/>
              <w:overflowPunct/>
              <w:topLinePunct w:val="0"/>
              <w:autoSpaceDE/>
              <w:autoSpaceDN/>
              <w:bidi w:val="0"/>
              <w:spacing w:line="560" w:lineRule="exact"/>
              <w:jc w:val="left"/>
              <w:textAlignment w:val="auto"/>
              <w:rPr>
                <w:rFonts w:hint="default"/>
                <w:b w:val="0"/>
                <w:bCs w:val="0"/>
                <w:color w:val="000000" w:themeColor="text1"/>
                <w:sz w:val="28"/>
                <w:szCs w:val="28"/>
                <w:highlight w:val="none"/>
                <w:lang w:val="en-US" w:eastAsia="zh-CN"/>
                <w14:textFill>
                  <w14:solidFill>
                    <w14:schemeClr w14:val="tx1"/>
                  </w14:solidFill>
                </w14:textFill>
              </w:rPr>
            </w:pPr>
            <w:r>
              <w:rPr>
                <w:rFonts w:hint="eastAsia" w:ascii="宋体" w:hAnsi="宋体" w:cs="宋体"/>
                <w:color w:val="000000" w:themeColor="text1"/>
                <w:kern w:val="0"/>
                <w:sz w:val="28"/>
                <w:szCs w:val="28"/>
                <w:highlight w:val="none"/>
                <w:lang w:eastAsia="zh-CN"/>
                <w14:textFill>
                  <w14:solidFill>
                    <w14:schemeClr w14:val="tx1"/>
                  </w14:solidFill>
                </w14:textFill>
              </w:rPr>
              <w:t>注</w:t>
            </w:r>
            <w:r>
              <w:rPr>
                <w:rFonts w:hint="eastAsia" w:ascii="宋体" w:hAnsi="宋体" w:cs="宋体"/>
                <w:color w:val="000000" w:themeColor="text1"/>
                <w:kern w:val="0"/>
                <w:sz w:val="28"/>
                <w:szCs w:val="28"/>
                <w:highlight w:val="none"/>
                <w:lang w:val="en-US" w:eastAsia="zh-CN"/>
                <w14:textFill>
                  <w14:solidFill>
                    <w14:schemeClr w14:val="tx1"/>
                  </w14:solidFill>
                </w14:textFill>
              </w:rPr>
              <w:t>:</w:t>
            </w:r>
            <w:r>
              <w:rPr>
                <w:rFonts w:hint="eastAsia" w:ascii="宋体" w:hAnsi="宋体" w:eastAsia="宋体" w:cs="宋体"/>
                <w:color w:val="000000" w:themeColor="text1"/>
                <w:kern w:val="0"/>
                <w:sz w:val="28"/>
                <w:szCs w:val="28"/>
                <w:highlight w:val="none"/>
                <w:lang w:eastAsia="zh-CN"/>
                <w14:textFill>
                  <w14:solidFill>
                    <w14:schemeClr w14:val="tx1"/>
                  </w14:solidFill>
                </w14:textFill>
              </w:rPr>
              <w:t>以上</w:t>
            </w:r>
            <w:r>
              <w:rPr>
                <w:rFonts w:hint="eastAsia" w:ascii="宋体" w:hAnsi="宋体" w:cs="宋体"/>
                <w:color w:val="000000" w:themeColor="text1"/>
                <w:kern w:val="0"/>
                <w:sz w:val="28"/>
                <w:szCs w:val="28"/>
                <w:highlight w:val="none"/>
                <w:lang w:eastAsia="zh-CN"/>
                <w14:textFill>
                  <w14:solidFill>
                    <w14:schemeClr w14:val="tx1"/>
                  </w14:solidFill>
                </w14:textFill>
              </w:rPr>
              <w:t>内容</w:t>
            </w:r>
            <w:r>
              <w:rPr>
                <w:rFonts w:hint="eastAsia" w:ascii="宋体" w:hAnsi="宋体" w:eastAsia="宋体" w:cs="宋体"/>
                <w:color w:val="000000" w:themeColor="text1"/>
                <w:kern w:val="0"/>
                <w:sz w:val="28"/>
                <w:szCs w:val="28"/>
                <w:highlight w:val="none"/>
                <w:lang w:eastAsia="zh-CN"/>
                <w14:textFill>
                  <w14:solidFill>
                    <w14:schemeClr w14:val="tx1"/>
                  </w14:solidFill>
                </w14:textFill>
              </w:rPr>
              <w:t xml:space="preserve">每有一处存在不足（存在不足是指逻辑不严谨、内容不完整、表述不清晰、实操性不强或不符合项目实际情况）扣 </w:t>
            </w:r>
            <w:r>
              <w:rPr>
                <w:rFonts w:hint="eastAsia" w:ascii="宋体" w:hAnsi="宋体" w:cs="宋体"/>
                <w:color w:val="000000" w:themeColor="text1"/>
                <w:kern w:val="0"/>
                <w:sz w:val="28"/>
                <w:szCs w:val="28"/>
                <w:highlight w:val="none"/>
                <w:lang w:val="en-US" w:eastAsia="zh-CN"/>
                <w14:textFill>
                  <w14:solidFill>
                    <w14:schemeClr w14:val="tx1"/>
                  </w14:solidFill>
                </w14:textFill>
              </w:rPr>
              <w:t>0.5</w:t>
            </w:r>
            <w:r>
              <w:rPr>
                <w:rFonts w:hint="eastAsia" w:ascii="宋体" w:hAnsi="宋体" w:eastAsia="宋体" w:cs="宋体"/>
                <w:color w:val="000000" w:themeColor="text1"/>
                <w:kern w:val="0"/>
                <w:sz w:val="28"/>
                <w:szCs w:val="28"/>
                <w:highlight w:val="none"/>
                <w:lang w:eastAsia="zh-CN"/>
                <w14:textFill>
                  <w14:solidFill>
                    <w14:schemeClr w14:val="tx1"/>
                  </w14:solidFill>
                </w14:textFill>
              </w:rPr>
              <w:t>分，直至扣完为止，未提供不得分。</w:t>
            </w:r>
          </w:p>
        </w:tc>
        <w:tc>
          <w:tcPr>
            <w:tcW w:w="1088" w:type="dxa"/>
            <w:vAlign w:val="center"/>
          </w:tcPr>
          <w:p w14:paraId="638AF671">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themeColor="text1"/>
                <w:kern w:val="0"/>
                <w:sz w:val="28"/>
                <w:szCs w:val="28"/>
                <w:highlight w:val="none"/>
                <w:lang w:val="en-US" w:eastAsia="zh-CN"/>
                <w14:textFill>
                  <w14:solidFill>
                    <w14:schemeClr w14:val="tx1"/>
                  </w14:solidFill>
                </w14:textFill>
              </w:rPr>
            </w:pPr>
            <w:r>
              <w:rPr>
                <w:rFonts w:hint="eastAsia" w:asciiTheme="minorEastAsia" w:hAnsiTheme="minorEastAsia" w:eastAsiaTheme="minorEastAsia"/>
                <w:bCs/>
                <w:color w:val="000000" w:themeColor="text1"/>
                <w:kern w:val="0"/>
                <w:sz w:val="28"/>
                <w:szCs w:val="28"/>
                <w:highlight w:val="none"/>
                <w:lang w:val="en-US" w:eastAsia="zh-CN"/>
                <w14:textFill>
                  <w14:solidFill>
                    <w14:schemeClr w14:val="tx1"/>
                  </w14:solidFill>
                </w14:textFill>
              </w:rPr>
              <w:t>6</w:t>
            </w:r>
          </w:p>
        </w:tc>
      </w:tr>
      <w:tr w14:paraId="23E21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 w:type="dxa"/>
            <w:vAlign w:val="center"/>
          </w:tcPr>
          <w:p w14:paraId="2C41FCFF">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bCs/>
                <w:color w:val="000000" w:themeColor="text1"/>
                <w:kern w:val="0"/>
                <w:sz w:val="28"/>
                <w:szCs w:val="28"/>
                <w:highlight w:val="none"/>
                <w:lang w:eastAsia="zh-CN"/>
                <w14:textFill>
                  <w14:solidFill>
                    <w14:schemeClr w14:val="tx1"/>
                  </w14:solidFill>
                </w14:textFill>
              </w:rPr>
            </w:pPr>
            <w:r>
              <w:rPr>
                <w:rFonts w:hint="eastAsia" w:asciiTheme="minorEastAsia" w:hAnsiTheme="minorEastAsia" w:eastAsiaTheme="minorEastAsia"/>
                <w:bCs/>
                <w:color w:val="000000" w:themeColor="text1"/>
                <w:kern w:val="0"/>
                <w:sz w:val="28"/>
                <w:szCs w:val="28"/>
                <w:highlight w:val="none"/>
                <w:lang w:val="en-US" w:eastAsia="zh-CN"/>
                <w14:textFill>
                  <w14:solidFill>
                    <w14:schemeClr w14:val="tx1"/>
                  </w14:solidFill>
                </w14:textFill>
              </w:rPr>
              <w:t>3</w:t>
            </w:r>
          </w:p>
        </w:tc>
        <w:tc>
          <w:tcPr>
            <w:tcW w:w="1500" w:type="dxa"/>
            <w:vAlign w:val="center"/>
          </w:tcPr>
          <w:p w14:paraId="083B1545">
            <w:pPr>
              <w:pageBreakBefore w:val="0"/>
              <w:kinsoku/>
              <w:wordWrap/>
              <w:overflowPunct/>
              <w:topLinePunct w:val="0"/>
              <w:autoSpaceDE/>
              <w:autoSpaceDN/>
              <w:bidi w:val="0"/>
              <w:spacing w:line="360" w:lineRule="auto"/>
              <w:jc w:val="center"/>
              <w:textAlignment w:val="auto"/>
              <w:rPr>
                <w:rFonts w:asciiTheme="minorEastAsia" w:hAnsiTheme="minorEastAsia" w:eastAsiaTheme="minorEastAsia"/>
                <w:bCs/>
                <w:color w:val="000000" w:themeColor="text1"/>
                <w:kern w:val="0"/>
                <w:sz w:val="28"/>
                <w:szCs w:val="28"/>
                <w:highlight w:val="none"/>
                <w14:textFill>
                  <w14:solidFill>
                    <w14:schemeClr w14:val="tx1"/>
                  </w14:solidFill>
                </w14:textFill>
              </w:rPr>
            </w:pPr>
            <w:r>
              <w:rPr>
                <w:rFonts w:hint="eastAsia" w:ascii="宋体" w:hAnsi="宋体" w:eastAsia="宋体" w:cs="宋体"/>
                <w:color w:val="000000" w:themeColor="text1"/>
                <w:kern w:val="0"/>
                <w:sz w:val="28"/>
                <w:szCs w:val="28"/>
                <w:highlight w:val="none"/>
                <w14:textFill>
                  <w14:solidFill>
                    <w14:schemeClr w14:val="tx1"/>
                  </w14:solidFill>
                </w14:textFill>
              </w:rPr>
              <w:t>进度计划与质量保证</w:t>
            </w:r>
          </w:p>
        </w:tc>
        <w:tc>
          <w:tcPr>
            <w:tcW w:w="6283" w:type="dxa"/>
            <w:vAlign w:val="center"/>
          </w:tcPr>
          <w:p w14:paraId="1F8E0B8D">
            <w:pPr>
              <w:pageBreakBefore w:val="0"/>
              <w:kinsoku/>
              <w:wordWrap/>
              <w:overflowPunct/>
              <w:topLinePunct w:val="0"/>
              <w:autoSpaceDE/>
              <w:autoSpaceDN/>
              <w:bidi w:val="0"/>
              <w:spacing w:line="360" w:lineRule="auto"/>
              <w:jc w:val="left"/>
              <w:textAlignment w:val="auto"/>
              <w:rPr>
                <w:rFonts w:asciiTheme="minorEastAsia" w:hAnsiTheme="minorEastAsia" w:eastAsiaTheme="minorEastAsia"/>
                <w:bCs/>
                <w:color w:val="000000" w:themeColor="text1"/>
                <w:kern w:val="0"/>
                <w:sz w:val="28"/>
                <w:szCs w:val="28"/>
                <w:highlight w:val="none"/>
                <w14:textFill>
                  <w14:solidFill>
                    <w14:schemeClr w14:val="tx1"/>
                  </w14:solidFill>
                </w14:textFill>
              </w:rPr>
            </w:pPr>
            <w:r>
              <w:rPr>
                <w:rFonts w:hint="eastAsia" w:ascii="宋体" w:hAnsi="宋体" w:eastAsia="宋体" w:cs="宋体"/>
                <w:color w:val="000000" w:themeColor="text1"/>
                <w:kern w:val="0"/>
                <w:sz w:val="28"/>
                <w:szCs w:val="28"/>
                <w:highlight w:val="none"/>
                <w14:textFill>
                  <w14:solidFill>
                    <w14:schemeClr w14:val="tx1"/>
                  </w14:solidFill>
                </w14:textFill>
              </w:rPr>
              <w:t>评委根据提供对进度计划、质量保证措施方案实施要点进行评分。进度计划、质量保证措施解决方案</w:t>
            </w:r>
            <w:r>
              <w:rPr>
                <w:rFonts w:hint="eastAsia" w:ascii="宋体" w:hAnsi="宋体" w:eastAsia="宋体" w:cs="宋体"/>
                <w:color w:val="000000" w:themeColor="text1"/>
                <w:kern w:val="0"/>
                <w:sz w:val="28"/>
                <w:szCs w:val="28"/>
                <w:highlight w:val="none"/>
                <w:lang w:val="en-US" w:eastAsia="zh-CN"/>
                <w14:textFill>
                  <w14:solidFill>
                    <w14:schemeClr w14:val="tx1"/>
                  </w14:solidFill>
                </w14:textFill>
              </w:rPr>
              <w:t>内容</w:t>
            </w:r>
            <w:r>
              <w:rPr>
                <w:rFonts w:hint="eastAsia" w:ascii="宋体" w:hAnsi="宋体" w:eastAsia="宋体" w:cs="宋体"/>
                <w:color w:val="000000" w:themeColor="text1"/>
                <w:kern w:val="0"/>
                <w:sz w:val="28"/>
                <w:szCs w:val="28"/>
                <w:highlight w:val="none"/>
                <w14:textFill>
                  <w14:solidFill>
                    <w14:schemeClr w14:val="tx1"/>
                  </w14:solidFill>
                </w14:textFill>
              </w:rPr>
              <w:t>完整</w:t>
            </w:r>
            <w:r>
              <w:rPr>
                <w:rFonts w:hint="eastAsia" w:ascii="宋体" w:hAnsi="宋体" w:eastAsia="宋体" w:cs="宋体"/>
                <w:color w:val="000000" w:themeColor="text1"/>
                <w:kern w:val="0"/>
                <w:sz w:val="28"/>
                <w:szCs w:val="28"/>
                <w:highlight w:val="none"/>
                <w:lang w:eastAsia="zh-CN"/>
                <w14:textFill>
                  <w14:solidFill>
                    <w14:schemeClr w14:val="tx1"/>
                  </w14:solidFill>
                </w14:textFill>
              </w:rPr>
              <w:t>、</w:t>
            </w:r>
            <w:r>
              <w:rPr>
                <w:rFonts w:hint="eastAsia" w:ascii="宋体" w:hAnsi="宋体" w:eastAsia="宋体" w:cs="宋体"/>
                <w:color w:val="000000" w:themeColor="text1"/>
                <w:kern w:val="0"/>
                <w:sz w:val="28"/>
                <w:szCs w:val="28"/>
                <w:highlight w:val="none"/>
                <w:lang w:val="en-US" w:eastAsia="zh-CN"/>
                <w14:textFill>
                  <w14:solidFill>
                    <w14:schemeClr w14:val="tx1"/>
                  </w14:solidFill>
                </w14:textFill>
              </w:rPr>
              <w:t>合理</w:t>
            </w:r>
            <w:r>
              <w:rPr>
                <w:rFonts w:hint="eastAsia" w:ascii="宋体" w:hAnsi="宋体" w:eastAsia="宋体" w:cs="宋体"/>
                <w:color w:val="000000" w:themeColor="text1"/>
                <w:kern w:val="0"/>
                <w:sz w:val="28"/>
                <w:szCs w:val="28"/>
                <w:highlight w:val="none"/>
                <w14:textFill>
                  <w14:solidFill>
                    <w14:schemeClr w14:val="tx1"/>
                  </w14:solidFill>
                </w14:textFill>
              </w:rPr>
              <w:t>的得</w:t>
            </w:r>
            <w:r>
              <w:rPr>
                <w:rFonts w:hint="eastAsia" w:ascii="宋体" w:hAnsi="宋体" w:cs="宋体"/>
                <w:color w:val="000000" w:themeColor="text1"/>
                <w:kern w:val="0"/>
                <w:sz w:val="28"/>
                <w:szCs w:val="28"/>
                <w:highlight w:val="none"/>
                <w:lang w:val="en-US" w:eastAsia="zh-CN"/>
                <w14:textFill>
                  <w14:solidFill>
                    <w14:schemeClr w14:val="tx1"/>
                  </w14:solidFill>
                </w14:textFill>
              </w:rPr>
              <w:t>6</w:t>
            </w:r>
            <w:r>
              <w:rPr>
                <w:rFonts w:hint="eastAsia" w:ascii="宋体" w:hAnsi="宋体" w:eastAsia="宋体" w:cs="宋体"/>
                <w:color w:val="000000" w:themeColor="text1"/>
                <w:kern w:val="0"/>
                <w:sz w:val="28"/>
                <w:szCs w:val="28"/>
                <w:highlight w:val="none"/>
                <w14:textFill>
                  <w14:solidFill>
                    <w14:schemeClr w14:val="tx1"/>
                  </w14:solidFill>
                </w14:textFill>
              </w:rPr>
              <w:t>分；进度计划、质量保证措施解决方案</w:t>
            </w:r>
            <w:r>
              <w:rPr>
                <w:rFonts w:hint="eastAsia" w:ascii="宋体" w:hAnsi="宋体" w:eastAsia="宋体" w:cs="宋体"/>
                <w:color w:val="000000" w:themeColor="text1"/>
                <w:kern w:val="0"/>
                <w:sz w:val="28"/>
                <w:szCs w:val="28"/>
                <w:highlight w:val="none"/>
                <w:lang w:val="en-US" w:eastAsia="zh-CN"/>
                <w14:textFill>
                  <w14:solidFill>
                    <w14:schemeClr w14:val="tx1"/>
                  </w14:solidFill>
                </w14:textFill>
              </w:rPr>
              <w:t>内容</w:t>
            </w:r>
            <w:r>
              <w:rPr>
                <w:rFonts w:hint="eastAsia" w:ascii="宋体" w:hAnsi="宋体" w:eastAsia="宋体" w:cs="宋体"/>
                <w:color w:val="000000" w:themeColor="text1"/>
                <w:kern w:val="0"/>
                <w:sz w:val="28"/>
                <w:szCs w:val="28"/>
                <w:highlight w:val="none"/>
                <w14:textFill>
                  <w14:solidFill>
                    <w14:schemeClr w14:val="tx1"/>
                  </w14:solidFill>
                </w14:textFill>
              </w:rPr>
              <w:t>简略</w:t>
            </w:r>
            <w:r>
              <w:rPr>
                <w:rFonts w:hint="eastAsia" w:ascii="宋体" w:hAnsi="宋体" w:eastAsia="宋体" w:cs="宋体"/>
                <w:color w:val="000000" w:themeColor="text1"/>
                <w:kern w:val="0"/>
                <w:sz w:val="28"/>
                <w:szCs w:val="28"/>
                <w:highlight w:val="none"/>
                <w:lang w:eastAsia="zh-CN"/>
                <w14:textFill>
                  <w14:solidFill>
                    <w14:schemeClr w14:val="tx1"/>
                  </w14:solidFill>
                </w14:textFill>
              </w:rPr>
              <w:t>、</w:t>
            </w:r>
            <w:r>
              <w:rPr>
                <w:rFonts w:hint="eastAsia" w:ascii="宋体" w:hAnsi="宋体" w:eastAsia="宋体" w:cs="宋体"/>
                <w:color w:val="000000" w:themeColor="text1"/>
                <w:kern w:val="0"/>
                <w:sz w:val="28"/>
                <w:szCs w:val="28"/>
                <w:highlight w:val="none"/>
                <w:lang w:val="en-US" w:eastAsia="zh-CN"/>
                <w14:textFill>
                  <w14:solidFill>
                    <w14:schemeClr w14:val="tx1"/>
                  </w14:solidFill>
                </w14:textFill>
              </w:rPr>
              <w:t>较为合理</w:t>
            </w:r>
            <w:r>
              <w:rPr>
                <w:rFonts w:hint="eastAsia" w:ascii="宋体" w:hAnsi="宋体" w:eastAsia="宋体" w:cs="宋体"/>
                <w:color w:val="000000" w:themeColor="text1"/>
                <w:kern w:val="0"/>
                <w:sz w:val="28"/>
                <w:szCs w:val="28"/>
                <w:highlight w:val="none"/>
                <w14:textFill>
                  <w14:solidFill>
                    <w14:schemeClr w14:val="tx1"/>
                  </w14:solidFill>
                </w14:textFill>
              </w:rPr>
              <w:t>的得</w:t>
            </w:r>
            <w:r>
              <w:rPr>
                <w:rFonts w:hint="eastAsia" w:ascii="宋体" w:hAnsi="宋体" w:cs="宋体"/>
                <w:color w:val="000000" w:themeColor="text1"/>
                <w:kern w:val="0"/>
                <w:sz w:val="28"/>
                <w:szCs w:val="28"/>
                <w:highlight w:val="none"/>
                <w:lang w:val="en-US" w:eastAsia="zh-CN"/>
                <w14:textFill>
                  <w14:solidFill>
                    <w14:schemeClr w14:val="tx1"/>
                  </w14:solidFill>
                </w14:textFill>
              </w:rPr>
              <w:t>4</w:t>
            </w:r>
            <w:r>
              <w:rPr>
                <w:rFonts w:hint="eastAsia" w:ascii="宋体" w:hAnsi="宋体" w:eastAsia="宋体" w:cs="宋体"/>
                <w:color w:val="000000" w:themeColor="text1"/>
                <w:kern w:val="0"/>
                <w:sz w:val="28"/>
                <w:szCs w:val="28"/>
                <w:highlight w:val="none"/>
                <w14:textFill>
                  <w14:solidFill>
                    <w14:schemeClr w14:val="tx1"/>
                  </w14:solidFill>
                </w14:textFill>
              </w:rPr>
              <w:t>分；未提供或进度计划、质量保证措施解决方案不合理的得</w:t>
            </w:r>
            <w:r>
              <w:rPr>
                <w:rFonts w:hint="eastAsia" w:ascii="宋体" w:hAnsi="宋体" w:cs="宋体"/>
                <w:color w:val="000000" w:themeColor="text1"/>
                <w:kern w:val="0"/>
                <w:sz w:val="28"/>
                <w:szCs w:val="28"/>
                <w:highlight w:val="none"/>
                <w:lang w:val="en-US" w:eastAsia="zh-CN"/>
                <w14:textFill>
                  <w14:solidFill>
                    <w14:schemeClr w14:val="tx1"/>
                  </w14:solidFill>
                </w14:textFill>
              </w:rPr>
              <w:t>2</w:t>
            </w:r>
            <w:r>
              <w:rPr>
                <w:rFonts w:hint="eastAsia" w:ascii="宋体" w:hAnsi="宋体" w:eastAsia="宋体" w:cs="宋体"/>
                <w:color w:val="000000" w:themeColor="text1"/>
                <w:kern w:val="0"/>
                <w:sz w:val="28"/>
                <w:szCs w:val="28"/>
                <w:highlight w:val="none"/>
                <w14:textFill>
                  <w14:solidFill>
                    <w14:schemeClr w14:val="tx1"/>
                  </w14:solidFill>
                </w14:textFill>
              </w:rPr>
              <w:t>分。</w:t>
            </w:r>
          </w:p>
        </w:tc>
        <w:tc>
          <w:tcPr>
            <w:tcW w:w="1088" w:type="dxa"/>
            <w:vAlign w:val="center"/>
          </w:tcPr>
          <w:p w14:paraId="5982553A">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bCs/>
                <w:color w:val="000000" w:themeColor="text1"/>
                <w:kern w:val="0"/>
                <w:sz w:val="28"/>
                <w:szCs w:val="28"/>
                <w:highlight w:val="none"/>
                <w:lang w:val="en-US" w:eastAsia="zh-CN"/>
                <w14:textFill>
                  <w14:solidFill>
                    <w14:schemeClr w14:val="tx1"/>
                  </w14:solidFill>
                </w14:textFill>
              </w:rPr>
            </w:pPr>
            <w:r>
              <w:rPr>
                <w:rFonts w:hint="eastAsia" w:asciiTheme="minorEastAsia" w:hAnsiTheme="minorEastAsia" w:eastAsiaTheme="minorEastAsia"/>
                <w:bCs/>
                <w:color w:val="000000" w:themeColor="text1"/>
                <w:kern w:val="0"/>
                <w:sz w:val="28"/>
                <w:szCs w:val="28"/>
                <w:highlight w:val="none"/>
                <w:lang w:val="en-US" w:eastAsia="zh-CN"/>
                <w14:textFill>
                  <w14:solidFill>
                    <w14:schemeClr w14:val="tx1"/>
                  </w14:solidFill>
                </w14:textFill>
              </w:rPr>
              <w:t>6</w:t>
            </w:r>
          </w:p>
        </w:tc>
      </w:tr>
      <w:tr w14:paraId="514BB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 w:type="dxa"/>
            <w:vAlign w:val="center"/>
          </w:tcPr>
          <w:p w14:paraId="528E3CEC">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bCs/>
                <w:color w:val="000000" w:themeColor="text1"/>
                <w:kern w:val="0"/>
                <w:sz w:val="28"/>
                <w:szCs w:val="28"/>
                <w:highlight w:val="none"/>
                <w:lang w:eastAsia="zh-CN"/>
                <w14:textFill>
                  <w14:solidFill>
                    <w14:schemeClr w14:val="tx1"/>
                  </w14:solidFill>
                </w14:textFill>
              </w:rPr>
            </w:pPr>
            <w:r>
              <w:rPr>
                <w:rFonts w:hint="eastAsia" w:asciiTheme="minorEastAsia" w:hAnsiTheme="minorEastAsia" w:eastAsiaTheme="minorEastAsia"/>
                <w:bCs/>
                <w:color w:val="000000" w:themeColor="text1"/>
                <w:kern w:val="0"/>
                <w:sz w:val="28"/>
                <w:szCs w:val="28"/>
                <w:highlight w:val="none"/>
                <w:lang w:val="en-US" w:eastAsia="zh-CN"/>
                <w14:textFill>
                  <w14:solidFill>
                    <w14:schemeClr w14:val="tx1"/>
                  </w14:solidFill>
                </w14:textFill>
              </w:rPr>
              <w:t>4</w:t>
            </w:r>
          </w:p>
        </w:tc>
        <w:tc>
          <w:tcPr>
            <w:tcW w:w="1500" w:type="dxa"/>
            <w:vAlign w:val="center"/>
          </w:tcPr>
          <w:p w14:paraId="4C36AFCF">
            <w:pPr>
              <w:pageBreakBefore w:val="0"/>
              <w:kinsoku/>
              <w:wordWrap/>
              <w:overflowPunct/>
              <w:topLinePunct w:val="0"/>
              <w:autoSpaceDE/>
              <w:autoSpaceDN/>
              <w:bidi w:val="0"/>
              <w:spacing w:line="560" w:lineRule="exact"/>
              <w:jc w:val="center"/>
              <w:textAlignment w:val="auto"/>
              <w:rPr>
                <w:rFonts w:asciiTheme="minorEastAsia" w:hAnsiTheme="minorEastAsia" w:eastAsiaTheme="minorEastAsia"/>
                <w:bCs/>
                <w:color w:val="000000" w:themeColor="text1"/>
                <w:kern w:val="0"/>
                <w:sz w:val="28"/>
                <w:szCs w:val="28"/>
                <w:highlight w:val="none"/>
                <w14:textFill>
                  <w14:solidFill>
                    <w14:schemeClr w14:val="tx1"/>
                  </w14:solidFill>
                </w14:textFill>
              </w:rPr>
            </w:pPr>
            <w:r>
              <w:rPr>
                <w:rFonts w:hint="eastAsia" w:ascii="宋体" w:hAnsi="宋体" w:eastAsia="宋体" w:cs="宋体"/>
                <w:color w:val="000000" w:themeColor="text1"/>
                <w:kern w:val="0"/>
                <w:sz w:val="28"/>
                <w:szCs w:val="28"/>
                <w:highlight w:val="none"/>
                <w14:textFill>
                  <w14:solidFill>
                    <w14:schemeClr w14:val="tx1"/>
                  </w14:solidFill>
                </w14:textFill>
              </w:rPr>
              <w:t>验收方案和措施</w:t>
            </w:r>
          </w:p>
        </w:tc>
        <w:tc>
          <w:tcPr>
            <w:tcW w:w="6283" w:type="dxa"/>
            <w:vAlign w:val="center"/>
          </w:tcPr>
          <w:p w14:paraId="0F6B8923">
            <w:pPr>
              <w:pageBreakBefore w:val="0"/>
              <w:kinsoku/>
              <w:wordWrap/>
              <w:overflowPunct/>
              <w:topLinePunct w:val="0"/>
              <w:autoSpaceDE/>
              <w:autoSpaceDN/>
              <w:bidi w:val="0"/>
              <w:spacing w:line="560" w:lineRule="exact"/>
              <w:jc w:val="left"/>
              <w:textAlignment w:val="auto"/>
              <w:rPr>
                <w:rFonts w:asciiTheme="minorEastAsia" w:hAnsiTheme="minorEastAsia" w:eastAsiaTheme="minorEastAsia"/>
                <w:bCs/>
                <w:color w:val="000000" w:themeColor="text1"/>
                <w:kern w:val="0"/>
                <w:sz w:val="28"/>
                <w:szCs w:val="28"/>
                <w:highlight w:val="none"/>
                <w14:textFill>
                  <w14:solidFill>
                    <w14:schemeClr w14:val="tx1"/>
                  </w14:solidFill>
                </w14:textFill>
              </w:rPr>
            </w:pPr>
            <w:r>
              <w:rPr>
                <w:rFonts w:hint="eastAsia" w:ascii="宋体" w:hAnsi="宋体" w:eastAsia="宋体" w:cs="宋体"/>
                <w:color w:val="000000" w:themeColor="text1"/>
                <w:kern w:val="0"/>
                <w:sz w:val="28"/>
                <w:szCs w:val="28"/>
                <w:highlight w:val="none"/>
                <w14:textFill>
                  <w14:solidFill>
                    <w14:schemeClr w14:val="tx1"/>
                  </w14:solidFill>
                </w14:textFill>
              </w:rPr>
              <w:t>根据本项目的实际情况，自行编制验收方案和措施；验收方案和措施优质完整符合项目实际需要</w:t>
            </w:r>
            <w:r>
              <w:rPr>
                <w:rFonts w:hint="eastAsia" w:ascii="宋体" w:hAnsi="宋体" w:cs="宋体"/>
                <w:color w:val="000000" w:themeColor="text1"/>
                <w:kern w:val="0"/>
                <w:sz w:val="28"/>
                <w:szCs w:val="28"/>
                <w:highlight w:val="none"/>
                <w:lang w:eastAsia="zh-CN"/>
                <w14:textFill>
                  <w14:solidFill>
                    <w14:schemeClr w14:val="tx1"/>
                  </w14:solidFill>
                </w14:textFill>
              </w:rPr>
              <w:t>的</w:t>
            </w:r>
            <w:r>
              <w:rPr>
                <w:rFonts w:hint="eastAsia" w:ascii="宋体" w:hAnsi="宋体" w:eastAsia="宋体" w:cs="宋体"/>
                <w:color w:val="000000" w:themeColor="text1"/>
                <w:kern w:val="0"/>
                <w:sz w:val="28"/>
                <w:szCs w:val="28"/>
                <w:highlight w:val="none"/>
                <w14:textFill>
                  <w14:solidFill>
                    <w14:schemeClr w14:val="tx1"/>
                  </w14:solidFill>
                </w14:textFill>
              </w:rPr>
              <w:t>得</w:t>
            </w:r>
            <w:r>
              <w:rPr>
                <w:rFonts w:hint="eastAsia" w:ascii="宋体" w:hAnsi="宋体" w:cs="宋体"/>
                <w:color w:val="000000" w:themeColor="text1"/>
                <w:kern w:val="0"/>
                <w:sz w:val="28"/>
                <w:szCs w:val="28"/>
                <w:highlight w:val="none"/>
                <w:lang w:val="en-US" w:eastAsia="zh-CN"/>
                <w14:textFill>
                  <w14:solidFill>
                    <w14:schemeClr w14:val="tx1"/>
                  </w14:solidFill>
                </w14:textFill>
              </w:rPr>
              <w:t>5</w:t>
            </w:r>
            <w:r>
              <w:rPr>
                <w:rFonts w:hint="eastAsia" w:ascii="宋体" w:hAnsi="宋体" w:eastAsia="宋体" w:cs="宋体"/>
                <w:color w:val="000000" w:themeColor="text1"/>
                <w:kern w:val="0"/>
                <w:sz w:val="28"/>
                <w:szCs w:val="28"/>
                <w:highlight w:val="none"/>
                <w14:textFill>
                  <w14:solidFill>
                    <w14:schemeClr w14:val="tx1"/>
                  </w14:solidFill>
                </w14:textFill>
              </w:rPr>
              <w:t>分</w:t>
            </w:r>
            <w:r>
              <w:rPr>
                <w:rFonts w:hint="eastAsia" w:ascii="宋体" w:hAnsi="宋体" w:cs="宋体"/>
                <w:color w:val="000000" w:themeColor="text1"/>
                <w:kern w:val="0"/>
                <w:sz w:val="28"/>
                <w:szCs w:val="28"/>
                <w:highlight w:val="none"/>
                <w:lang w:eastAsia="zh-CN"/>
                <w14:textFill>
                  <w14:solidFill>
                    <w14:schemeClr w14:val="tx1"/>
                  </w14:solidFill>
                </w14:textFill>
              </w:rPr>
              <w:t>；</w:t>
            </w:r>
            <w:r>
              <w:rPr>
                <w:rFonts w:hint="eastAsia" w:ascii="宋体" w:hAnsi="宋体" w:eastAsia="宋体" w:cs="宋体"/>
                <w:color w:val="000000" w:themeColor="text1"/>
                <w:kern w:val="0"/>
                <w:sz w:val="28"/>
                <w:szCs w:val="28"/>
                <w:highlight w:val="none"/>
                <w14:textFill>
                  <w14:solidFill>
                    <w14:schemeClr w14:val="tx1"/>
                  </w14:solidFill>
                </w14:textFill>
              </w:rPr>
              <w:t>验收方案和措施基本满足</w:t>
            </w:r>
            <w:r>
              <w:rPr>
                <w:rFonts w:hint="eastAsia" w:ascii="宋体" w:hAnsi="宋体" w:cs="宋体"/>
                <w:color w:val="000000" w:themeColor="text1"/>
                <w:kern w:val="0"/>
                <w:sz w:val="28"/>
                <w:szCs w:val="28"/>
                <w:highlight w:val="none"/>
                <w:lang w:eastAsia="zh-CN"/>
                <w14:textFill>
                  <w14:solidFill>
                    <w14:schemeClr w14:val="tx1"/>
                  </w14:solidFill>
                </w14:textFill>
              </w:rPr>
              <w:t>采购人实际</w:t>
            </w:r>
            <w:r>
              <w:rPr>
                <w:rFonts w:hint="eastAsia" w:ascii="宋体" w:hAnsi="宋体" w:eastAsia="宋体" w:cs="宋体"/>
                <w:color w:val="000000" w:themeColor="text1"/>
                <w:kern w:val="0"/>
                <w:sz w:val="28"/>
                <w:szCs w:val="28"/>
                <w:highlight w:val="none"/>
                <w14:textFill>
                  <w14:solidFill>
                    <w14:schemeClr w14:val="tx1"/>
                  </w14:solidFill>
                </w14:textFill>
              </w:rPr>
              <w:t>需要</w:t>
            </w:r>
            <w:r>
              <w:rPr>
                <w:rFonts w:hint="eastAsia" w:ascii="宋体" w:hAnsi="宋体" w:cs="宋体"/>
                <w:color w:val="000000" w:themeColor="text1"/>
                <w:kern w:val="0"/>
                <w:sz w:val="28"/>
                <w:szCs w:val="28"/>
                <w:highlight w:val="none"/>
                <w:lang w:eastAsia="zh-CN"/>
                <w14:textFill>
                  <w14:solidFill>
                    <w14:schemeClr w14:val="tx1"/>
                  </w14:solidFill>
                </w14:textFill>
              </w:rPr>
              <w:t>的</w:t>
            </w:r>
            <w:r>
              <w:rPr>
                <w:rFonts w:hint="eastAsia" w:ascii="宋体" w:hAnsi="宋体" w:eastAsia="宋体" w:cs="宋体"/>
                <w:color w:val="000000" w:themeColor="text1"/>
                <w:kern w:val="0"/>
                <w:sz w:val="28"/>
                <w:szCs w:val="28"/>
                <w:highlight w:val="none"/>
                <w14:textFill>
                  <w14:solidFill>
                    <w14:schemeClr w14:val="tx1"/>
                  </w14:solidFill>
                </w14:textFill>
              </w:rPr>
              <w:t>得</w:t>
            </w:r>
            <w:r>
              <w:rPr>
                <w:rFonts w:hint="eastAsia" w:ascii="宋体" w:hAnsi="宋体" w:cs="宋体"/>
                <w:color w:val="000000" w:themeColor="text1"/>
                <w:kern w:val="0"/>
                <w:sz w:val="28"/>
                <w:szCs w:val="28"/>
                <w:highlight w:val="none"/>
                <w:lang w:val="en-US" w:eastAsia="zh-CN"/>
                <w14:textFill>
                  <w14:solidFill>
                    <w14:schemeClr w14:val="tx1"/>
                  </w14:solidFill>
                </w14:textFill>
              </w:rPr>
              <w:t>3</w:t>
            </w:r>
            <w:r>
              <w:rPr>
                <w:rFonts w:hint="eastAsia" w:ascii="宋体" w:hAnsi="宋体" w:eastAsia="宋体" w:cs="宋体"/>
                <w:color w:val="000000" w:themeColor="text1"/>
                <w:kern w:val="0"/>
                <w:sz w:val="28"/>
                <w:szCs w:val="28"/>
                <w:highlight w:val="none"/>
                <w14:textFill>
                  <w14:solidFill>
                    <w14:schemeClr w14:val="tx1"/>
                  </w14:solidFill>
                </w14:textFill>
              </w:rPr>
              <w:t>分</w:t>
            </w:r>
            <w:r>
              <w:rPr>
                <w:rFonts w:hint="eastAsia" w:ascii="宋体" w:hAnsi="宋体" w:cs="宋体"/>
                <w:color w:val="000000" w:themeColor="text1"/>
                <w:kern w:val="0"/>
                <w:sz w:val="28"/>
                <w:szCs w:val="28"/>
                <w:highlight w:val="none"/>
                <w:lang w:eastAsia="zh-CN"/>
                <w14:textFill>
                  <w14:solidFill>
                    <w14:schemeClr w14:val="tx1"/>
                  </w14:solidFill>
                </w14:textFill>
              </w:rPr>
              <w:t>；</w:t>
            </w:r>
            <w:r>
              <w:rPr>
                <w:rFonts w:hint="eastAsia" w:ascii="宋体" w:hAnsi="宋体" w:eastAsia="宋体" w:cs="宋体"/>
                <w:color w:val="000000" w:themeColor="text1"/>
                <w:kern w:val="0"/>
                <w:sz w:val="28"/>
                <w:szCs w:val="28"/>
                <w:highlight w:val="none"/>
                <w:lang w:eastAsia="zh-CN"/>
                <w14:textFill>
                  <w14:solidFill>
                    <w14:schemeClr w14:val="tx1"/>
                  </w14:solidFill>
                </w14:textFill>
              </w:rPr>
              <w:t>不提供不得分。</w:t>
            </w:r>
          </w:p>
        </w:tc>
        <w:tc>
          <w:tcPr>
            <w:tcW w:w="1088" w:type="dxa"/>
            <w:vAlign w:val="center"/>
          </w:tcPr>
          <w:p w14:paraId="454A19C1">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bCs/>
                <w:color w:val="000000" w:themeColor="text1"/>
                <w:kern w:val="0"/>
                <w:sz w:val="28"/>
                <w:szCs w:val="28"/>
                <w:highlight w:val="none"/>
                <w:lang w:eastAsia="zh-CN"/>
                <w14:textFill>
                  <w14:solidFill>
                    <w14:schemeClr w14:val="tx1"/>
                  </w14:solidFill>
                </w14:textFill>
              </w:rPr>
            </w:pPr>
            <w:r>
              <w:rPr>
                <w:rFonts w:hint="eastAsia" w:asciiTheme="minorEastAsia" w:hAnsiTheme="minorEastAsia" w:eastAsiaTheme="minorEastAsia"/>
                <w:bCs/>
                <w:color w:val="000000" w:themeColor="text1"/>
                <w:kern w:val="0"/>
                <w:sz w:val="28"/>
                <w:szCs w:val="28"/>
                <w:highlight w:val="none"/>
                <w:lang w:val="en-US" w:eastAsia="zh-CN"/>
                <w14:textFill>
                  <w14:solidFill>
                    <w14:schemeClr w14:val="tx1"/>
                  </w14:solidFill>
                </w14:textFill>
              </w:rPr>
              <w:t>5</w:t>
            </w:r>
          </w:p>
        </w:tc>
      </w:tr>
      <w:tr w14:paraId="7E072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 w:type="dxa"/>
            <w:vAlign w:val="center"/>
          </w:tcPr>
          <w:p w14:paraId="658BE782">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bCs/>
                <w:color w:val="000000" w:themeColor="text1"/>
                <w:kern w:val="0"/>
                <w:sz w:val="28"/>
                <w:szCs w:val="28"/>
                <w:highlight w:val="none"/>
                <w:lang w:eastAsia="zh-CN"/>
                <w14:textFill>
                  <w14:solidFill>
                    <w14:schemeClr w14:val="tx1"/>
                  </w14:solidFill>
                </w14:textFill>
              </w:rPr>
            </w:pPr>
            <w:r>
              <w:rPr>
                <w:rFonts w:hint="eastAsia" w:asciiTheme="minorEastAsia" w:hAnsiTheme="minorEastAsia" w:eastAsiaTheme="minorEastAsia"/>
                <w:bCs/>
                <w:color w:val="000000" w:themeColor="text1"/>
                <w:kern w:val="0"/>
                <w:sz w:val="28"/>
                <w:szCs w:val="28"/>
                <w:highlight w:val="none"/>
                <w:lang w:val="en-US" w:eastAsia="zh-CN"/>
                <w14:textFill>
                  <w14:solidFill>
                    <w14:schemeClr w14:val="tx1"/>
                  </w14:solidFill>
                </w14:textFill>
              </w:rPr>
              <w:t>5</w:t>
            </w:r>
          </w:p>
        </w:tc>
        <w:tc>
          <w:tcPr>
            <w:tcW w:w="1500" w:type="dxa"/>
            <w:vAlign w:val="center"/>
          </w:tcPr>
          <w:p w14:paraId="4F4A418B">
            <w:pPr>
              <w:pageBreakBefore w:val="0"/>
              <w:kinsoku/>
              <w:wordWrap/>
              <w:overflowPunct/>
              <w:topLinePunct w:val="0"/>
              <w:autoSpaceDE/>
              <w:autoSpaceDN/>
              <w:bidi w:val="0"/>
              <w:spacing w:line="560" w:lineRule="exact"/>
              <w:jc w:val="center"/>
              <w:textAlignment w:val="auto"/>
              <w:rPr>
                <w:rFonts w:asciiTheme="minorEastAsia" w:hAnsiTheme="minorEastAsia" w:eastAsiaTheme="minorEastAsia"/>
                <w:bCs/>
                <w:color w:val="000000" w:themeColor="text1"/>
                <w:kern w:val="0"/>
                <w:sz w:val="28"/>
                <w:szCs w:val="28"/>
                <w:highlight w:val="none"/>
                <w14:textFill>
                  <w14:solidFill>
                    <w14:schemeClr w14:val="tx1"/>
                  </w14:solidFill>
                </w14:textFill>
              </w:rPr>
            </w:pPr>
            <w:r>
              <w:rPr>
                <w:rFonts w:hint="eastAsia" w:ascii="宋体" w:hAnsi="宋体" w:eastAsia="宋体" w:cs="宋体"/>
                <w:color w:val="000000" w:themeColor="text1"/>
                <w:kern w:val="0"/>
                <w:sz w:val="28"/>
                <w:szCs w:val="28"/>
                <w:highlight w:val="none"/>
                <w:lang w:eastAsia="zh-CN"/>
                <w14:textFill>
                  <w14:solidFill>
                    <w14:schemeClr w14:val="tx1"/>
                  </w14:solidFill>
                </w14:textFill>
              </w:rPr>
              <w:t>培训方案</w:t>
            </w:r>
          </w:p>
        </w:tc>
        <w:tc>
          <w:tcPr>
            <w:tcW w:w="6283" w:type="dxa"/>
            <w:vAlign w:val="center"/>
          </w:tcPr>
          <w:p w14:paraId="5B00FA8C">
            <w:pPr>
              <w:pageBreakBefore w:val="0"/>
              <w:kinsoku/>
              <w:wordWrap/>
              <w:overflowPunct/>
              <w:topLinePunct w:val="0"/>
              <w:autoSpaceDE/>
              <w:autoSpaceDN/>
              <w:bidi w:val="0"/>
              <w:spacing w:line="560" w:lineRule="exact"/>
              <w:jc w:val="left"/>
              <w:textAlignment w:val="auto"/>
              <w:rPr>
                <w:rFonts w:asciiTheme="minorEastAsia" w:hAnsiTheme="minorEastAsia" w:eastAsiaTheme="minorEastAsia"/>
                <w:bCs/>
                <w:color w:val="000000" w:themeColor="text1"/>
                <w:kern w:val="0"/>
                <w:sz w:val="28"/>
                <w:szCs w:val="28"/>
                <w:highlight w:val="none"/>
                <w14:textFill>
                  <w14:solidFill>
                    <w14:schemeClr w14:val="tx1"/>
                  </w14:solidFill>
                </w14:textFill>
              </w:rPr>
            </w:pPr>
            <w:r>
              <w:rPr>
                <w:rFonts w:hint="eastAsia" w:ascii="宋体" w:hAnsi="宋体" w:eastAsia="宋体" w:cs="宋体"/>
                <w:color w:val="000000" w:themeColor="text1"/>
                <w:kern w:val="0"/>
                <w:sz w:val="28"/>
                <w:szCs w:val="28"/>
                <w:highlight w:val="none"/>
                <w:lang w:eastAsia="zh-CN"/>
                <w14:textFill>
                  <w14:solidFill>
                    <w14:schemeClr w14:val="tx1"/>
                  </w14:solidFill>
                </w14:textFill>
              </w:rPr>
              <w:t>针对本项目制定</w:t>
            </w:r>
            <w:r>
              <w:rPr>
                <w:rFonts w:hint="eastAsia" w:ascii="宋体" w:hAnsi="宋体" w:cs="宋体"/>
                <w:color w:val="000000" w:themeColor="text1"/>
                <w:kern w:val="0"/>
                <w:sz w:val="28"/>
                <w:szCs w:val="28"/>
                <w:highlight w:val="none"/>
                <w:lang w:eastAsia="zh-CN"/>
                <w14:textFill>
                  <w14:solidFill>
                    <w14:schemeClr w14:val="tx1"/>
                  </w14:solidFill>
                </w14:textFill>
              </w:rPr>
              <w:t>符合项目情况的</w:t>
            </w:r>
            <w:r>
              <w:rPr>
                <w:rFonts w:hint="eastAsia" w:ascii="宋体" w:hAnsi="宋体" w:eastAsia="宋体" w:cs="宋体"/>
                <w:color w:val="000000" w:themeColor="text1"/>
                <w:kern w:val="0"/>
                <w:sz w:val="28"/>
                <w:szCs w:val="28"/>
                <w:highlight w:val="none"/>
                <w:lang w:eastAsia="zh-CN"/>
                <w14:textFill>
                  <w14:solidFill>
                    <w14:schemeClr w14:val="tx1"/>
                  </w14:solidFill>
                </w14:textFill>
              </w:rPr>
              <w:t>培训方案；</w:t>
            </w:r>
            <w:r>
              <w:rPr>
                <w:rFonts w:hint="eastAsia" w:ascii="宋体" w:hAnsi="宋体" w:cs="宋体"/>
                <w:color w:val="000000" w:themeColor="text1"/>
                <w:kern w:val="0"/>
                <w:sz w:val="28"/>
                <w:szCs w:val="28"/>
                <w:highlight w:val="none"/>
                <w:lang w:eastAsia="zh-CN"/>
                <w14:textFill>
                  <w14:solidFill>
                    <w14:schemeClr w14:val="tx1"/>
                  </w14:solidFill>
                </w14:textFill>
              </w:rPr>
              <w:t>包括但不限于</w:t>
            </w:r>
            <w:r>
              <w:rPr>
                <w:rFonts w:hint="eastAsia" w:ascii="宋体" w:hAnsi="宋体" w:eastAsia="宋体" w:cs="宋体"/>
                <w:color w:val="000000" w:themeColor="text1"/>
                <w:kern w:val="0"/>
                <w:sz w:val="28"/>
                <w:szCs w:val="28"/>
                <w:highlight w:val="none"/>
                <w:lang w:eastAsia="zh-CN"/>
                <w14:textFill>
                  <w14:solidFill>
                    <w14:schemeClr w14:val="tx1"/>
                  </w14:solidFill>
                </w14:textFill>
              </w:rPr>
              <w:t>培训</w:t>
            </w:r>
            <w:r>
              <w:rPr>
                <w:rFonts w:hint="eastAsia" w:ascii="宋体" w:hAnsi="宋体" w:cs="宋体"/>
                <w:color w:val="000000" w:themeColor="text1"/>
                <w:kern w:val="0"/>
                <w:sz w:val="28"/>
                <w:szCs w:val="28"/>
                <w:highlight w:val="none"/>
                <w:lang w:eastAsia="zh-CN"/>
                <w14:textFill>
                  <w14:solidFill>
                    <w14:schemeClr w14:val="tx1"/>
                  </w14:solidFill>
                </w14:textFill>
              </w:rPr>
              <w:t>时间、培训</w:t>
            </w:r>
            <w:r>
              <w:rPr>
                <w:rFonts w:hint="eastAsia" w:ascii="宋体" w:hAnsi="宋体" w:eastAsia="宋体" w:cs="宋体"/>
                <w:color w:val="000000" w:themeColor="text1"/>
                <w:kern w:val="0"/>
                <w:sz w:val="28"/>
                <w:szCs w:val="28"/>
                <w:highlight w:val="none"/>
                <w:lang w:eastAsia="zh-CN"/>
                <w14:textFill>
                  <w14:solidFill>
                    <w14:schemeClr w14:val="tx1"/>
                  </w14:solidFill>
                </w14:textFill>
              </w:rPr>
              <w:t>团队</w:t>
            </w:r>
            <w:r>
              <w:rPr>
                <w:rFonts w:hint="eastAsia" w:ascii="宋体" w:hAnsi="宋体" w:cs="宋体"/>
                <w:color w:val="000000" w:themeColor="text1"/>
                <w:kern w:val="0"/>
                <w:sz w:val="28"/>
                <w:szCs w:val="28"/>
                <w:highlight w:val="none"/>
                <w:lang w:eastAsia="zh-CN"/>
                <w14:textFill>
                  <w14:solidFill>
                    <w14:schemeClr w14:val="tx1"/>
                  </w14:solidFill>
                </w14:textFill>
              </w:rPr>
              <w:t>、</w:t>
            </w:r>
            <w:r>
              <w:rPr>
                <w:rFonts w:hint="eastAsia" w:ascii="宋体" w:hAnsi="宋体" w:eastAsia="宋体" w:cs="宋体"/>
                <w:color w:val="000000" w:themeColor="text1"/>
                <w:kern w:val="0"/>
                <w:sz w:val="28"/>
                <w:szCs w:val="28"/>
                <w:highlight w:val="none"/>
                <w:lang w:eastAsia="zh-CN"/>
                <w14:textFill>
                  <w14:solidFill>
                    <w14:schemeClr w14:val="tx1"/>
                  </w14:solidFill>
                </w14:textFill>
              </w:rPr>
              <w:t>培训</w:t>
            </w:r>
            <w:r>
              <w:rPr>
                <w:rFonts w:hint="eastAsia" w:ascii="宋体" w:hAnsi="宋体" w:cs="宋体"/>
                <w:color w:val="000000" w:themeColor="text1"/>
                <w:kern w:val="0"/>
                <w:sz w:val="28"/>
                <w:szCs w:val="28"/>
                <w:highlight w:val="none"/>
                <w:lang w:eastAsia="zh-CN"/>
                <w14:textFill>
                  <w14:solidFill>
                    <w14:schemeClr w14:val="tx1"/>
                  </w14:solidFill>
                </w14:textFill>
              </w:rPr>
              <w:t>内容等方面</w:t>
            </w:r>
            <w:r>
              <w:rPr>
                <w:rFonts w:hint="eastAsia" w:ascii="宋体" w:hAnsi="宋体" w:eastAsia="宋体" w:cs="宋体"/>
                <w:color w:val="000000" w:themeColor="text1"/>
                <w:kern w:val="0"/>
                <w:sz w:val="28"/>
                <w:szCs w:val="28"/>
                <w:highlight w:val="none"/>
                <w:lang w:eastAsia="zh-CN"/>
                <w14:textFill>
                  <w14:solidFill>
                    <w14:schemeClr w14:val="tx1"/>
                  </w14:solidFill>
                </w14:textFill>
              </w:rPr>
              <w:t>。对</w:t>
            </w:r>
            <w:r>
              <w:rPr>
                <w:rFonts w:hint="eastAsia" w:ascii="宋体" w:hAnsi="宋体" w:cs="宋体"/>
                <w:color w:val="000000" w:themeColor="text1"/>
                <w:kern w:val="0"/>
                <w:sz w:val="28"/>
                <w:szCs w:val="28"/>
                <w:highlight w:val="none"/>
                <w:lang w:eastAsia="zh-CN"/>
                <w14:textFill>
                  <w14:solidFill>
                    <w14:schemeClr w14:val="tx1"/>
                  </w14:solidFill>
                </w14:textFill>
              </w:rPr>
              <w:t>方案</w:t>
            </w:r>
            <w:r>
              <w:rPr>
                <w:rFonts w:hint="eastAsia" w:ascii="宋体" w:hAnsi="宋体" w:eastAsia="宋体" w:cs="宋体"/>
                <w:color w:val="000000" w:themeColor="text1"/>
                <w:kern w:val="0"/>
                <w:sz w:val="28"/>
                <w:szCs w:val="28"/>
                <w:highlight w:val="none"/>
                <w:lang w:eastAsia="zh-CN"/>
                <w14:textFill>
                  <w14:solidFill>
                    <w14:schemeClr w14:val="tx1"/>
                  </w14:solidFill>
                </w14:textFill>
              </w:rPr>
              <w:t>进行综合评比</w:t>
            </w:r>
            <w:r>
              <w:rPr>
                <w:rFonts w:hint="eastAsia" w:ascii="宋体" w:hAnsi="宋体" w:cs="宋体"/>
                <w:color w:val="000000" w:themeColor="text1"/>
                <w:kern w:val="0"/>
                <w:sz w:val="28"/>
                <w:szCs w:val="28"/>
                <w:highlight w:val="none"/>
                <w:lang w:eastAsia="zh-CN"/>
                <w14:textFill>
                  <w14:solidFill>
                    <w14:schemeClr w14:val="tx1"/>
                  </w14:solidFill>
                </w14:textFill>
              </w:rPr>
              <w:t>，</w:t>
            </w:r>
            <w:r>
              <w:rPr>
                <w:rFonts w:hint="eastAsia" w:ascii="宋体" w:hAnsi="宋体" w:eastAsia="宋体" w:cs="宋体"/>
                <w:color w:val="000000" w:themeColor="text1"/>
                <w:kern w:val="0"/>
                <w:sz w:val="28"/>
                <w:szCs w:val="28"/>
                <w:highlight w:val="none"/>
                <w:lang w:eastAsia="zh-CN"/>
                <w14:textFill>
                  <w14:solidFill>
                    <w14:schemeClr w14:val="tx1"/>
                  </w14:solidFill>
                </w14:textFill>
              </w:rPr>
              <w:t>提供优质完整符合项目实际情况的</w:t>
            </w:r>
            <w:r>
              <w:rPr>
                <w:rFonts w:hint="eastAsia" w:ascii="宋体" w:hAnsi="宋体" w:cs="宋体"/>
                <w:color w:val="000000" w:themeColor="text1"/>
                <w:kern w:val="0"/>
                <w:sz w:val="28"/>
                <w:szCs w:val="28"/>
                <w:highlight w:val="none"/>
                <w:lang w:eastAsia="zh-CN"/>
                <w14:textFill>
                  <w14:solidFill>
                    <w14:schemeClr w14:val="tx1"/>
                  </w14:solidFill>
                </w14:textFill>
              </w:rPr>
              <w:t>方案</w:t>
            </w:r>
            <w:r>
              <w:rPr>
                <w:rFonts w:hint="eastAsia" w:ascii="宋体" w:hAnsi="宋体" w:eastAsia="宋体" w:cs="宋体"/>
                <w:color w:val="000000" w:themeColor="text1"/>
                <w:kern w:val="0"/>
                <w:sz w:val="28"/>
                <w:szCs w:val="28"/>
                <w:highlight w:val="none"/>
                <w:lang w:eastAsia="zh-CN"/>
                <w14:textFill>
                  <w14:solidFill>
                    <w14:schemeClr w14:val="tx1"/>
                  </w14:solidFill>
                </w14:textFill>
              </w:rPr>
              <w:t>得</w:t>
            </w:r>
            <w:r>
              <w:rPr>
                <w:rFonts w:hint="eastAsia" w:ascii="宋体" w:hAnsi="宋体" w:cs="宋体"/>
                <w:color w:val="000000" w:themeColor="text1"/>
                <w:kern w:val="0"/>
                <w:sz w:val="28"/>
                <w:szCs w:val="28"/>
                <w:highlight w:val="none"/>
                <w:lang w:val="en-US" w:eastAsia="zh-CN"/>
                <w14:textFill>
                  <w14:solidFill>
                    <w14:schemeClr w14:val="tx1"/>
                  </w14:solidFill>
                </w14:textFill>
              </w:rPr>
              <w:t>5</w:t>
            </w:r>
            <w:r>
              <w:rPr>
                <w:rFonts w:hint="eastAsia" w:ascii="宋体" w:hAnsi="宋体" w:eastAsia="宋体" w:cs="宋体"/>
                <w:color w:val="000000" w:themeColor="text1"/>
                <w:kern w:val="0"/>
                <w:sz w:val="28"/>
                <w:szCs w:val="28"/>
                <w:highlight w:val="none"/>
                <w:lang w:eastAsia="zh-CN"/>
                <w14:textFill>
                  <w14:solidFill>
                    <w14:schemeClr w14:val="tx1"/>
                  </w14:solidFill>
                </w14:textFill>
              </w:rPr>
              <w:t>分</w:t>
            </w:r>
            <w:r>
              <w:rPr>
                <w:rFonts w:hint="eastAsia" w:ascii="宋体" w:hAnsi="宋体" w:cs="宋体"/>
                <w:color w:val="000000" w:themeColor="text1"/>
                <w:kern w:val="0"/>
                <w:sz w:val="28"/>
                <w:szCs w:val="28"/>
                <w:highlight w:val="none"/>
                <w:lang w:eastAsia="zh-CN"/>
                <w14:textFill>
                  <w14:solidFill>
                    <w14:schemeClr w14:val="tx1"/>
                  </w14:solidFill>
                </w14:textFill>
              </w:rPr>
              <w:t>；</w:t>
            </w:r>
            <w:r>
              <w:rPr>
                <w:rFonts w:hint="eastAsia" w:ascii="宋体" w:hAnsi="宋体" w:eastAsia="宋体" w:cs="宋体"/>
                <w:color w:val="000000" w:themeColor="text1"/>
                <w:kern w:val="0"/>
                <w:sz w:val="28"/>
                <w:szCs w:val="28"/>
                <w:highlight w:val="none"/>
                <w:lang w:eastAsia="zh-CN"/>
                <w14:textFill>
                  <w14:solidFill>
                    <w14:schemeClr w14:val="tx1"/>
                  </w14:solidFill>
                </w14:textFill>
              </w:rPr>
              <w:t>能基本满足采购人需求的</w:t>
            </w:r>
            <w:r>
              <w:rPr>
                <w:rFonts w:hint="eastAsia" w:ascii="宋体" w:hAnsi="宋体" w:cs="宋体"/>
                <w:color w:val="000000" w:themeColor="text1"/>
                <w:kern w:val="0"/>
                <w:sz w:val="28"/>
                <w:szCs w:val="28"/>
                <w:highlight w:val="none"/>
                <w:lang w:eastAsia="zh-CN"/>
                <w14:textFill>
                  <w14:solidFill>
                    <w14:schemeClr w14:val="tx1"/>
                  </w14:solidFill>
                </w14:textFill>
              </w:rPr>
              <w:t>得</w:t>
            </w:r>
            <w:r>
              <w:rPr>
                <w:rFonts w:hint="eastAsia" w:ascii="宋体" w:hAnsi="宋体" w:cs="宋体"/>
                <w:color w:val="000000" w:themeColor="text1"/>
                <w:kern w:val="0"/>
                <w:sz w:val="28"/>
                <w:szCs w:val="28"/>
                <w:highlight w:val="none"/>
                <w:lang w:val="en-US" w:eastAsia="zh-CN"/>
                <w14:textFill>
                  <w14:solidFill>
                    <w14:schemeClr w14:val="tx1"/>
                  </w14:solidFill>
                </w14:textFill>
              </w:rPr>
              <w:t>3</w:t>
            </w:r>
            <w:r>
              <w:rPr>
                <w:rFonts w:hint="eastAsia" w:ascii="宋体" w:hAnsi="宋体" w:eastAsia="宋体" w:cs="宋体"/>
                <w:color w:val="000000" w:themeColor="text1"/>
                <w:kern w:val="0"/>
                <w:sz w:val="28"/>
                <w:szCs w:val="28"/>
                <w:highlight w:val="none"/>
                <w:lang w:eastAsia="zh-CN"/>
                <w14:textFill>
                  <w14:solidFill>
                    <w14:schemeClr w14:val="tx1"/>
                  </w14:solidFill>
                </w14:textFill>
              </w:rPr>
              <w:t>分；未提供不得分。</w:t>
            </w:r>
          </w:p>
        </w:tc>
        <w:tc>
          <w:tcPr>
            <w:tcW w:w="1088" w:type="dxa"/>
            <w:vAlign w:val="center"/>
          </w:tcPr>
          <w:p w14:paraId="70E181F6">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bCs/>
                <w:color w:val="000000" w:themeColor="text1"/>
                <w:kern w:val="0"/>
                <w:sz w:val="28"/>
                <w:szCs w:val="28"/>
                <w:highlight w:val="none"/>
                <w:lang w:eastAsia="zh-CN"/>
                <w14:textFill>
                  <w14:solidFill>
                    <w14:schemeClr w14:val="tx1"/>
                  </w14:solidFill>
                </w14:textFill>
              </w:rPr>
            </w:pPr>
            <w:r>
              <w:rPr>
                <w:rFonts w:hint="eastAsia" w:asciiTheme="minorEastAsia" w:hAnsiTheme="minorEastAsia" w:eastAsiaTheme="minorEastAsia"/>
                <w:bCs/>
                <w:color w:val="000000" w:themeColor="text1"/>
                <w:kern w:val="0"/>
                <w:sz w:val="28"/>
                <w:szCs w:val="28"/>
                <w:highlight w:val="none"/>
                <w:lang w:val="en-US" w:eastAsia="zh-CN"/>
                <w14:textFill>
                  <w14:solidFill>
                    <w14:schemeClr w14:val="tx1"/>
                  </w14:solidFill>
                </w14:textFill>
              </w:rPr>
              <w:t>5</w:t>
            </w:r>
          </w:p>
        </w:tc>
      </w:tr>
      <w:tr w14:paraId="50192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 w:type="dxa"/>
            <w:vAlign w:val="center"/>
          </w:tcPr>
          <w:p w14:paraId="565A61CF">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heme="minorEastAsia" w:hAnsiTheme="minorEastAsia" w:eastAsiaTheme="minorEastAsia"/>
                <w:bCs/>
                <w:color w:val="000000" w:themeColor="text1"/>
                <w:kern w:val="0"/>
                <w:sz w:val="28"/>
                <w:szCs w:val="28"/>
                <w:highlight w:val="none"/>
                <w:lang w:val="en-US" w:eastAsia="zh-CN"/>
                <w14:textFill>
                  <w14:solidFill>
                    <w14:schemeClr w14:val="tx1"/>
                  </w14:solidFill>
                </w14:textFill>
              </w:rPr>
            </w:pPr>
            <w:bookmarkStart w:id="206" w:name="_Toc138610901"/>
            <w:bookmarkStart w:id="207" w:name="_Toc140741987"/>
            <w:bookmarkStart w:id="208" w:name="_Toc140742532"/>
            <w:r>
              <w:rPr>
                <w:rFonts w:hint="eastAsia" w:asciiTheme="minorEastAsia" w:hAnsiTheme="minorEastAsia" w:eastAsiaTheme="minorEastAsia"/>
                <w:bCs/>
                <w:color w:val="000000" w:themeColor="text1"/>
                <w:kern w:val="0"/>
                <w:sz w:val="28"/>
                <w:szCs w:val="28"/>
                <w:highlight w:val="none"/>
                <w:lang w:val="en-US" w:eastAsia="zh-CN"/>
                <w14:textFill>
                  <w14:solidFill>
                    <w14:schemeClr w14:val="tx1"/>
                  </w14:solidFill>
                </w14:textFill>
              </w:rPr>
              <w:t>6</w:t>
            </w:r>
          </w:p>
        </w:tc>
        <w:tc>
          <w:tcPr>
            <w:tcW w:w="1500" w:type="dxa"/>
            <w:vAlign w:val="center"/>
          </w:tcPr>
          <w:p w14:paraId="2EBAC25C">
            <w:pPr>
              <w:pageBreakBefore w:val="0"/>
              <w:kinsoku/>
              <w:wordWrap/>
              <w:overflowPunct/>
              <w:topLinePunct w:val="0"/>
              <w:autoSpaceDE/>
              <w:autoSpaceDN/>
              <w:bidi w:val="0"/>
              <w:spacing w:line="560" w:lineRule="exact"/>
              <w:jc w:val="center"/>
              <w:textAlignment w:val="auto"/>
              <w:rPr>
                <w:rFonts w:hint="eastAsia" w:ascii="宋体" w:hAnsi="宋体" w:eastAsia="宋体" w:cs="宋体"/>
                <w:color w:val="000000" w:themeColor="text1"/>
                <w:kern w:val="0"/>
                <w:sz w:val="28"/>
                <w:szCs w:val="28"/>
                <w:highlight w:val="none"/>
                <w:lang w:eastAsia="zh-CN"/>
                <w14:textFill>
                  <w14:solidFill>
                    <w14:schemeClr w14:val="tx1"/>
                  </w14:solidFill>
                </w14:textFill>
              </w:rPr>
            </w:pPr>
            <w:r>
              <w:rPr>
                <w:rFonts w:hint="eastAsia" w:ascii="宋体" w:hAnsi="宋体" w:eastAsia="宋体" w:cs="宋体"/>
                <w:color w:val="000000" w:themeColor="text1"/>
                <w:kern w:val="0"/>
                <w:sz w:val="28"/>
                <w:szCs w:val="28"/>
                <w:highlight w:val="none"/>
                <w14:textFill>
                  <w14:solidFill>
                    <w14:schemeClr w14:val="tx1"/>
                  </w14:solidFill>
                </w14:textFill>
              </w:rPr>
              <w:t>售后服务</w:t>
            </w:r>
          </w:p>
        </w:tc>
        <w:tc>
          <w:tcPr>
            <w:tcW w:w="6283" w:type="dxa"/>
            <w:vAlign w:val="center"/>
          </w:tcPr>
          <w:p w14:paraId="474AE64F">
            <w:pPr>
              <w:pageBreakBefore w:val="0"/>
              <w:kinsoku/>
              <w:wordWrap/>
              <w:overflowPunct/>
              <w:topLinePunct w:val="0"/>
              <w:autoSpaceDE/>
              <w:autoSpaceDN/>
              <w:bidi w:val="0"/>
              <w:spacing w:line="560" w:lineRule="exact"/>
              <w:jc w:val="left"/>
              <w:textAlignment w:val="auto"/>
              <w:rPr>
                <w:rFonts w:hint="eastAsia" w:ascii="宋体" w:hAnsi="宋体" w:eastAsia="宋体" w:cs="宋体"/>
                <w:color w:val="000000" w:themeColor="text1"/>
                <w:kern w:val="0"/>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lang w:eastAsia="zh-CN"/>
                <w14:textFill>
                  <w14:solidFill>
                    <w14:schemeClr w14:val="tx1"/>
                  </w14:solidFill>
                </w14:textFill>
              </w:rPr>
              <w:t>（</w:t>
            </w:r>
            <w:r>
              <w:rPr>
                <w:rFonts w:hint="eastAsia" w:ascii="宋体" w:hAnsi="宋体" w:cs="宋体"/>
                <w:color w:val="000000" w:themeColor="text1"/>
                <w:kern w:val="0"/>
                <w:sz w:val="28"/>
                <w:szCs w:val="28"/>
                <w:highlight w:val="none"/>
                <w:lang w:val="en-US" w:eastAsia="zh-CN"/>
                <w14:textFill>
                  <w14:solidFill>
                    <w14:schemeClr w14:val="tx1"/>
                  </w14:solidFill>
                </w14:textFill>
              </w:rPr>
              <w:t>1</w:t>
            </w:r>
            <w:r>
              <w:rPr>
                <w:rFonts w:hint="eastAsia" w:ascii="宋体" w:hAnsi="宋体" w:cs="宋体"/>
                <w:color w:val="000000" w:themeColor="text1"/>
                <w:kern w:val="0"/>
                <w:sz w:val="28"/>
                <w:szCs w:val="28"/>
                <w:highlight w:val="none"/>
                <w:lang w:eastAsia="zh-CN"/>
                <w14:textFill>
                  <w14:solidFill>
                    <w14:schemeClr w14:val="tx1"/>
                  </w14:solidFill>
                </w14:textFill>
              </w:rPr>
              <w:t>）</w:t>
            </w:r>
            <w:r>
              <w:rPr>
                <w:rFonts w:hint="eastAsia" w:ascii="宋体" w:hAnsi="宋体" w:eastAsia="宋体" w:cs="宋体"/>
                <w:color w:val="000000" w:themeColor="text1"/>
                <w:kern w:val="0"/>
                <w:sz w:val="28"/>
                <w:szCs w:val="28"/>
                <w:highlight w:val="none"/>
                <w14:textFill>
                  <w14:solidFill>
                    <w14:schemeClr w14:val="tx1"/>
                  </w14:solidFill>
                </w14:textFill>
              </w:rPr>
              <w:t>需具备完整的售后服务体系；</w:t>
            </w:r>
          </w:p>
          <w:p w14:paraId="0F14F32C">
            <w:pPr>
              <w:pageBreakBefore w:val="0"/>
              <w:kinsoku/>
              <w:wordWrap/>
              <w:overflowPunct/>
              <w:topLinePunct w:val="0"/>
              <w:autoSpaceDE/>
              <w:autoSpaceDN/>
              <w:bidi w:val="0"/>
              <w:spacing w:line="560" w:lineRule="exact"/>
              <w:jc w:val="left"/>
              <w:textAlignment w:val="auto"/>
              <w:rPr>
                <w:rFonts w:hint="eastAsia" w:ascii="宋体" w:hAnsi="宋体" w:eastAsia="宋体" w:cs="宋体"/>
                <w:color w:val="000000" w:themeColor="text1"/>
                <w:kern w:val="0"/>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lang w:eastAsia="zh-CN"/>
                <w14:textFill>
                  <w14:solidFill>
                    <w14:schemeClr w14:val="tx1"/>
                  </w14:solidFill>
                </w14:textFill>
              </w:rPr>
              <w:t>（</w:t>
            </w:r>
            <w:r>
              <w:rPr>
                <w:rFonts w:hint="eastAsia" w:ascii="宋体" w:hAnsi="宋体" w:cs="宋体"/>
                <w:color w:val="000000" w:themeColor="text1"/>
                <w:kern w:val="0"/>
                <w:sz w:val="28"/>
                <w:szCs w:val="28"/>
                <w:highlight w:val="none"/>
                <w:lang w:val="en-US" w:eastAsia="zh-CN"/>
                <w14:textFill>
                  <w14:solidFill>
                    <w14:schemeClr w14:val="tx1"/>
                  </w14:solidFill>
                </w14:textFill>
              </w:rPr>
              <w:t>2</w:t>
            </w:r>
            <w:r>
              <w:rPr>
                <w:rFonts w:hint="eastAsia" w:ascii="宋体" w:hAnsi="宋体" w:cs="宋体"/>
                <w:color w:val="000000" w:themeColor="text1"/>
                <w:kern w:val="0"/>
                <w:sz w:val="28"/>
                <w:szCs w:val="28"/>
                <w:highlight w:val="none"/>
                <w:lang w:eastAsia="zh-CN"/>
                <w14:textFill>
                  <w14:solidFill>
                    <w14:schemeClr w14:val="tx1"/>
                  </w14:solidFill>
                </w14:textFill>
              </w:rPr>
              <w:t>）</w:t>
            </w:r>
            <w:r>
              <w:rPr>
                <w:rFonts w:hint="eastAsia" w:ascii="宋体" w:hAnsi="宋体" w:eastAsia="宋体" w:cs="宋体"/>
                <w:color w:val="000000" w:themeColor="text1"/>
                <w:kern w:val="0"/>
                <w:sz w:val="28"/>
                <w:szCs w:val="28"/>
                <w:highlight w:val="none"/>
                <w14:textFill>
                  <w14:solidFill>
                    <w14:schemeClr w14:val="tx1"/>
                  </w14:solidFill>
                </w14:textFill>
              </w:rPr>
              <w:t>服务响应时间、修复时间、应急处理等售后计划措施合理售后服务说明是否合理 ；</w:t>
            </w:r>
          </w:p>
          <w:p w14:paraId="3B90827B">
            <w:pPr>
              <w:pageBreakBefore w:val="0"/>
              <w:kinsoku/>
              <w:wordWrap/>
              <w:overflowPunct/>
              <w:topLinePunct w:val="0"/>
              <w:autoSpaceDE/>
              <w:autoSpaceDN/>
              <w:bidi w:val="0"/>
              <w:spacing w:line="560" w:lineRule="exact"/>
              <w:jc w:val="left"/>
              <w:textAlignment w:val="auto"/>
              <w:rPr>
                <w:rFonts w:hint="eastAsia" w:ascii="宋体" w:hAnsi="宋体" w:eastAsia="宋体" w:cs="宋体"/>
                <w:color w:val="000000" w:themeColor="text1"/>
                <w:kern w:val="0"/>
                <w:sz w:val="28"/>
                <w:szCs w:val="28"/>
                <w:highlight w:val="none"/>
                <w14:textFill>
                  <w14:solidFill>
                    <w14:schemeClr w14:val="tx1"/>
                  </w14:solidFill>
                </w14:textFill>
              </w:rPr>
            </w:pPr>
            <w:r>
              <w:rPr>
                <w:rFonts w:hint="eastAsia" w:ascii="宋体" w:hAnsi="宋体" w:eastAsia="宋体" w:cs="宋体"/>
                <w:color w:val="000000" w:themeColor="text1"/>
                <w:kern w:val="0"/>
                <w:sz w:val="28"/>
                <w:szCs w:val="28"/>
                <w:highlight w:val="none"/>
                <w14:textFill>
                  <w14:solidFill>
                    <w14:schemeClr w14:val="tx1"/>
                  </w14:solidFill>
                </w14:textFill>
              </w:rPr>
              <w:t>（3）需提供针对本项目的售后服务方案，方案优质完整，具有较强的针对性和可行性；</w:t>
            </w:r>
          </w:p>
          <w:p w14:paraId="2310B5AA">
            <w:pPr>
              <w:pageBreakBefore w:val="0"/>
              <w:kinsoku/>
              <w:wordWrap/>
              <w:overflowPunct/>
              <w:topLinePunct w:val="0"/>
              <w:autoSpaceDE/>
              <w:autoSpaceDN/>
              <w:bidi w:val="0"/>
              <w:spacing w:line="560" w:lineRule="exact"/>
              <w:jc w:val="left"/>
              <w:textAlignment w:val="auto"/>
              <w:rPr>
                <w:rFonts w:hint="eastAsia" w:ascii="宋体" w:hAnsi="宋体" w:eastAsia="宋体" w:cs="宋体"/>
                <w:color w:val="000000" w:themeColor="text1"/>
                <w:kern w:val="0"/>
                <w:sz w:val="28"/>
                <w:szCs w:val="28"/>
                <w:highlight w:val="none"/>
                <w14:textFill>
                  <w14:solidFill>
                    <w14:schemeClr w14:val="tx1"/>
                  </w14:solidFill>
                </w14:textFill>
              </w:rPr>
            </w:pPr>
            <w:r>
              <w:rPr>
                <w:rFonts w:hint="eastAsia" w:ascii="宋体" w:hAnsi="宋体" w:eastAsia="宋体" w:cs="宋体"/>
                <w:color w:val="000000" w:themeColor="text1"/>
                <w:kern w:val="0"/>
                <w:sz w:val="28"/>
                <w:szCs w:val="28"/>
                <w:highlight w:val="none"/>
                <w14:textFill>
                  <w14:solidFill>
                    <w14:schemeClr w14:val="tx1"/>
                  </w14:solidFill>
                </w14:textFill>
              </w:rPr>
              <w:t>对以上三项内容进行综合评比，提供优质完整</w:t>
            </w:r>
            <w:r>
              <w:rPr>
                <w:rFonts w:hint="eastAsia" w:ascii="宋体" w:hAnsi="宋体" w:eastAsia="宋体" w:cs="宋体"/>
                <w:color w:val="000000" w:themeColor="text1"/>
                <w:kern w:val="0"/>
                <w:sz w:val="28"/>
                <w:szCs w:val="28"/>
                <w:highlight w:val="none"/>
                <w:lang w:eastAsia="zh-CN"/>
                <w14:textFill>
                  <w14:solidFill>
                    <w14:schemeClr w14:val="tx1"/>
                  </w14:solidFill>
                </w14:textFill>
              </w:rPr>
              <w:t>符合项目实际情况的</w:t>
            </w:r>
            <w:r>
              <w:rPr>
                <w:rFonts w:hint="eastAsia" w:ascii="宋体" w:hAnsi="宋体" w:eastAsia="宋体" w:cs="宋体"/>
                <w:color w:val="000000" w:themeColor="text1"/>
                <w:kern w:val="0"/>
                <w:sz w:val="28"/>
                <w:szCs w:val="28"/>
                <w:highlight w:val="none"/>
                <w14:textFill>
                  <w14:solidFill>
                    <w14:schemeClr w14:val="tx1"/>
                  </w14:solidFill>
                </w14:textFill>
              </w:rPr>
              <w:t>得</w:t>
            </w:r>
            <w:r>
              <w:rPr>
                <w:rFonts w:hint="eastAsia" w:ascii="宋体" w:hAnsi="宋体" w:cs="宋体"/>
                <w:color w:val="000000" w:themeColor="text1"/>
                <w:kern w:val="0"/>
                <w:sz w:val="28"/>
                <w:szCs w:val="28"/>
                <w:highlight w:val="none"/>
                <w:lang w:val="en-US" w:eastAsia="zh-CN"/>
                <w14:textFill>
                  <w14:solidFill>
                    <w14:schemeClr w14:val="tx1"/>
                  </w14:solidFill>
                </w14:textFill>
              </w:rPr>
              <w:t>5</w:t>
            </w:r>
            <w:r>
              <w:rPr>
                <w:rFonts w:hint="eastAsia" w:ascii="宋体" w:hAnsi="宋体" w:eastAsia="宋体" w:cs="宋体"/>
                <w:color w:val="000000" w:themeColor="text1"/>
                <w:kern w:val="0"/>
                <w:sz w:val="28"/>
                <w:szCs w:val="28"/>
                <w:highlight w:val="none"/>
                <w14:textFill>
                  <w14:solidFill>
                    <w14:schemeClr w14:val="tx1"/>
                  </w14:solidFill>
                </w14:textFill>
              </w:rPr>
              <w:t xml:space="preserve">分、能基本满足采购人需求的 </w:t>
            </w:r>
            <w:r>
              <w:rPr>
                <w:rFonts w:hint="eastAsia" w:ascii="宋体" w:hAnsi="宋体" w:cs="宋体"/>
                <w:color w:val="000000" w:themeColor="text1"/>
                <w:kern w:val="0"/>
                <w:sz w:val="28"/>
                <w:szCs w:val="28"/>
                <w:highlight w:val="none"/>
                <w:lang w:eastAsia="zh-CN"/>
                <w14:textFill>
                  <w14:solidFill>
                    <w14:schemeClr w14:val="tx1"/>
                  </w14:solidFill>
                </w14:textFill>
              </w:rPr>
              <w:t>得</w:t>
            </w:r>
            <w:r>
              <w:rPr>
                <w:rFonts w:hint="eastAsia" w:ascii="宋体" w:hAnsi="宋体" w:cs="宋体"/>
                <w:color w:val="000000" w:themeColor="text1"/>
                <w:kern w:val="0"/>
                <w:sz w:val="28"/>
                <w:szCs w:val="28"/>
                <w:highlight w:val="none"/>
                <w:lang w:val="en-US" w:eastAsia="zh-CN"/>
                <w14:textFill>
                  <w14:solidFill>
                    <w14:schemeClr w14:val="tx1"/>
                  </w14:solidFill>
                </w14:textFill>
              </w:rPr>
              <w:t>3</w:t>
            </w:r>
            <w:r>
              <w:rPr>
                <w:rFonts w:hint="eastAsia" w:ascii="宋体" w:hAnsi="宋体" w:eastAsia="宋体" w:cs="宋体"/>
                <w:color w:val="000000" w:themeColor="text1"/>
                <w:kern w:val="0"/>
                <w:sz w:val="28"/>
                <w:szCs w:val="28"/>
                <w:highlight w:val="none"/>
                <w14:textFill>
                  <w14:solidFill>
                    <w14:schemeClr w14:val="tx1"/>
                  </w14:solidFill>
                </w14:textFill>
              </w:rPr>
              <w:t>分</w:t>
            </w:r>
            <w:r>
              <w:rPr>
                <w:rFonts w:hint="eastAsia" w:ascii="宋体" w:hAnsi="宋体" w:eastAsia="宋体" w:cs="宋体"/>
                <w:color w:val="000000" w:themeColor="text1"/>
                <w:kern w:val="0"/>
                <w:sz w:val="28"/>
                <w:szCs w:val="28"/>
                <w:highlight w:val="none"/>
                <w:lang w:eastAsia="zh-CN"/>
                <w14:textFill>
                  <w14:solidFill>
                    <w14:schemeClr w14:val="tx1"/>
                  </w14:solidFill>
                </w14:textFill>
              </w:rPr>
              <w:t>；</w:t>
            </w:r>
            <w:r>
              <w:rPr>
                <w:rFonts w:hint="eastAsia" w:ascii="宋体" w:hAnsi="宋体" w:eastAsia="宋体" w:cs="宋体"/>
                <w:color w:val="000000" w:themeColor="text1"/>
                <w:kern w:val="0"/>
                <w:sz w:val="28"/>
                <w:szCs w:val="28"/>
                <w:highlight w:val="none"/>
                <w14:textFill>
                  <w14:solidFill>
                    <w14:schemeClr w14:val="tx1"/>
                  </w14:solidFill>
                </w14:textFill>
              </w:rPr>
              <w:t>未提供不得分。</w:t>
            </w:r>
          </w:p>
        </w:tc>
        <w:tc>
          <w:tcPr>
            <w:tcW w:w="1088" w:type="dxa"/>
            <w:vAlign w:val="center"/>
          </w:tcPr>
          <w:p w14:paraId="24C30958">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heme="minorEastAsia" w:hAnsiTheme="minorEastAsia" w:eastAsiaTheme="minorEastAsia"/>
                <w:bCs/>
                <w:color w:val="000000" w:themeColor="text1"/>
                <w:kern w:val="0"/>
                <w:sz w:val="28"/>
                <w:szCs w:val="28"/>
                <w:highlight w:val="none"/>
                <w:lang w:val="en-US" w:eastAsia="zh-CN"/>
                <w14:textFill>
                  <w14:solidFill>
                    <w14:schemeClr w14:val="tx1"/>
                  </w14:solidFill>
                </w14:textFill>
              </w:rPr>
            </w:pPr>
            <w:r>
              <w:rPr>
                <w:rFonts w:hint="eastAsia" w:asciiTheme="minorEastAsia" w:hAnsiTheme="minorEastAsia" w:eastAsiaTheme="minorEastAsia"/>
                <w:bCs/>
                <w:color w:val="000000" w:themeColor="text1"/>
                <w:kern w:val="0"/>
                <w:sz w:val="28"/>
                <w:szCs w:val="28"/>
                <w:highlight w:val="none"/>
                <w:lang w:val="en-US" w:eastAsia="zh-CN"/>
                <w14:textFill>
                  <w14:solidFill>
                    <w14:schemeClr w14:val="tx1"/>
                  </w14:solidFill>
                </w14:textFill>
              </w:rPr>
              <w:t>5</w:t>
            </w:r>
          </w:p>
        </w:tc>
      </w:tr>
    </w:tbl>
    <w:p w14:paraId="7DB176D0">
      <w:pPr>
        <w:pageBreakBefore w:val="0"/>
        <w:wordWrap/>
        <w:topLinePunct w:val="0"/>
        <w:bidi w:val="0"/>
        <w:spacing w:line="560" w:lineRule="exact"/>
        <w:rPr>
          <w:rFonts w:hint="eastAsia"/>
          <w:color w:val="000000" w:themeColor="text1"/>
          <w:highlight w:val="none"/>
          <w14:textFill>
            <w14:solidFill>
              <w14:schemeClr w14:val="tx1"/>
            </w14:solidFill>
          </w14:textFill>
        </w:rPr>
      </w:pPr>
    </w:p>
    <w:p w14:paraId="7D743E0E">
      <w:pPr>
        <w:pStyle w:val="4"/>
        <w:keepNext w:val="0"/>
        <w:keepLines w:val="0"/>
        <w:pageBreakBefore w:val="0"/>
        <w:kinsoku/>
        <w:wordWrap/>
        <w:overflowPunct/>
        <w:topLinePunct w:val="0"/>
        <w:autoSpaceDE/>
        <w:autoSpaceDN/>
        <w:bidi w:val="0"/>
        <w:adjustRightInd/>
        <w:snapToGrid/>
        <w:spacing w:line="560" w:lineRule="exact"/>
        <w:jc w:val="center"/>
        <w:textAlignment w:val="auto"/>
        <w:rPr>
          <w:color w:val="000000" w:themeColor="text1"/>
          <w:sz w:val="28"/>
          <w:szCs w:val="28"/>
          <w:highlight w:val="none"/>
          <w14:textFill>
            <w14:solidFill>
              <w14:schemeClr w14:val="tx1"/>
            </w14:solidFill>
          </w14:textFill>
        </w:rPr>
      </w:pPr>
      <w:bookmarkStart w:id="209" w:name="_Toc3283"/>
      <w:r>
        <w:rPr>
          <w:rFonts w:hint="eastAsia"/>
          <w:color w:val="000000" w:themeColor="text1"/>
          <w:sz w:val="28"/>
          <w:szCs w:val="28"/>
          <w:highlight w:val="none"/>
          <w14:textFill>
            <w14:solidFill>
              <w14:schemeClr w14:val="tx1"/>
            </w14:solidFill>
          </w14:textFill>
        </w:rPr>
        <w:t>第四节</w:t>
      </w:r>
      <w:r>
        <w:rPr>
          <w:color w:val="000000" w:themeColor="text1"/>
          <w:sz w:val="28"/>
          <w:szCs w:val="28"/>
          <w:highlight w:val="none"/>
          <w14:textFill>
            <w14:solidFill>
              <w14:schemeClr w14:val="tx1"/>
            </w14:solidFill>
          </w14:textFill>
        </w:rPr>
        <w:t xml:space="preserve"> </w:t>
      </w:r>
      <w:r>
        <w:rPr>
          <w:rFonts w:hint="eastAsia"/>
          <w:color w:val="000000" w:themeColor="text1"/>
          <w:sz w:val="28"/>
          <w:szCs w:val="28"/>
          <w:highlight w:val="none"/>
          <w14:textFill>
            <w14:solidFill>
              <w14:schemeClr w14:val="tx1"/>
            </w14:solidFill>
          </w14:textFill>
        </w:rPr>
        <w:t>中标候选人推荐原则</w:t>
      </w:r>
      <w:bookmarkEnd w:id="206"/>
      <w:bookmarkEnd w:id="207"/>
      <w:bookmarkEnd w:id="208"/>
      <w:bookmarkEnd w:id="209"/>
    </w:p>
    <w:p w14:paraId="1B3748C1">
      <w:pPr>
        <w:pStyle w:val="17"/>
        <w:keepNext w:val="0"/>
        <w:keepLines w:val="0"/>
        <w:pageBreakBefore w:val="0"/>
        <w:kinsoku/>
        <w:wordWrap/>
        <w:overflowPunct/>
        <w:topLinePunct w:val="0"/>
        <w:autoSpaceDE/>
        <w:autoSpaceDN/>
        <w:bidi w:val="0"/>
        <w:adjustRightInd/>
        <w:snapToGrid/>
        <w:spacing w:line="560" w:lineRule="exact"/>
        <w:textAlignment w:val="auto"/>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一、综合评分法</w:t>
      </w:r>
    </w:p>
    <w:p w14:paraId="44F344B6">
      <w:pPr>
        <w:pStyle w:val="17"/>
        <w:keepNext w:val="0"/>
        <w:keepLines w:val="0"/>
        <w:pageBreakBefore w:val="0"/>
        <w:kinsoku/>
        <w:wordWrap/>
        <w:overflowPunct/>
        <w:topLinePunct w:val="0"/>
        <w:autoSpaceDE/>
        <w:autoSpaceDN/>
        <w:bidi w:val="0"/>
        <w:adjustRightInd/>
        <w:snapToGrid/>
        <w:spacing w:line="560" w:lineRule="exact"/>
        <w:ind w:firstLine="560" w:firstLineChars="200"/>
        <w:jc w:val="both"/>
        <w:textAlignment w:val="auto"/>
        <w:rPr>
          <w:b w:val="0"/>
          <w:bCs w:val="0"/>
          <w:color w:val="000000" w:themeColor="text1"/>
          <w:sz w:val="28"/>
          <w:szCs w:val="28"/>
          <w:highlight w:val="none"/>
          <w14:textFill>
            <w14:solidFill>
              <w14:schemeClr w14:val="tx1"/>
            </w14:solidFill>
          </w14:textFill>
        </w:rPr>
      </w:pPr>
      <w:r>
        <w:rPr>
          <w:rFonts w:hint="eastAsia"/>
          <w:b w:val="0"/>
          <w:bCs w:val="0"/>
          <w:color w:val="000000" w:themeColor="text1"/>
          <w:sz w:val="28"/>
          <w:szCs w:val="28"/>
          <w:highlight w:val="none"/>
          <w14:textFill>
            <w14:solidFill>
              <w14:schemeClr w14:val="tx1"/>
            </w14:solidFill>
          </w14:textFill>
        </w:rPr>
        <w:t>1.评标委员会将根据总得分由高到低排列次序并推荐中标候选人。总得分相同的，以投标报价由低到高顺序排列。得分相同且投标报价相同的并列，投标文件满足招标文件全部实质性要求，且按照评审因素的量化指标评审得分最高的</w:t>
      </w:r>
      <w:r>
        <w:rPr>
          <w:rFonts w:hint="eastAsia"/>
          <w:b w:val="0"/>
          <w:bCs w:val="0"/>
          <w:color w:val="000000" w:themeColor="text1"/>
          <w:sz w:val="28"/>
          <w:szCs w:val="28"/>
          <w:highlight w:val="none"/>
          <w:lang w:eastAsia="zh-CN"/>
          <w14:textFill>
            <w14:solidFill>
              <w14:schemeClr w14:val="tx1"/>
            </w14:solidFill>
          </w14:textFill>
        </w:rPr>
        <w:t>供应商</w:t>
      </w:r>
      <w:r>
        <w:rPr>
          <w:rFonts w:hint="eastAsia"/>
          <w:b w:val="0"/>
          <w:bCs w:val="0"/>
          <w:color w:val="000000" w:themeColor="text1"/>
          <w:sz w:val="28"/>
          <w:szCs w:val="28"/>
          <w:highlight w:val="none"/>
          <w14:textFill>
            <w14:solidFill>
              <w14:schemeClr w14:val="tx1"/>
            </w14:solidFill>
          </w14:textFill>
        </w:rPr>
        <w:t>为排名第一的中标候选人。</w:t>
      </w:r>
    </w:p>
    <w:p w14:paraId="464BE571">
      <w:pPr>
        <w:pStyle w:val="17"/>
        <w:keepNext w:val="0"/>
        <w:keepLines w:val="0"/>
        <w:pageBreakBefore w:val="0"/>
        <w:kinsoku/>
        <w:wordWrap/>
        <w:overflowPunct/>
        <w:topLinePunct w:val="0"/>
        <w:autoSpaceDE/>
        <w:autoSpaceDN/>
        <w:bidi w:val="0"/>
        <w:adjustRightInd/>
        <w:snapToGrid/>
        <w:spacing w:line="560" w:lineRule="exact"/>
        <w:ind w:firstLine="560" w:firstLineChars="200"/>
        <w:jc w:val="both"/>
        <w:textAlignment w:val="auto"/>
        <w:rPr>
          <w:b w:val="0"/>
          <w:bCs w:val="0"/>
          <w:color w:val="000000" w:themeColor="text1"/>
          <w:sz w:val="28"/>
          <w:szCs w:val="28"/>
          <w:highlight w:val="none"/>
          <w14:textFill>
            <w14:solidFill>
              <w14:schemeClr w14:val="tx1"/>
            </w14:solidFill>
          </w14:textFill>
        </w:rPr>
      </w:pPr>
      <w:r>
        <w:rPr>
          <w:rFonts w:hint="eastAsia"/>
          <w:b w:val="0"/>
          <w:bCs w:val="0"/>
          <w:color w:val="000000" w:themeColor="text1"/>
          <w:sz w:val="28"/>
          <w:szCs w:val="28"/>
          <w:highlight w:val="none"/>
          <w14:textFill>
            <w14:solidFill>
              <w14:schemeClr w14:val="tx1"/>
            </w14:solidFill>
          </w14:textFill>
        </w:rPr>
        <w:t>2.根据《政府采购货物和服务招标投标管理办法》（财政部令第87号）第三十一条第二款规定，采用综合评分法的采购项目，提供相同品牌产品且通过资格审查、符合性审查的不同</w:t>
      </w:r>
      <w:r>
        <w:rPr>
          <w:rFonts w:hint="eastAsia"/>
          <w:b w:val="0"/>
          <w:bCs w:val="0"/>
          <w:color w:val="000000" w:themeColor="text1"/>
          <w:sz w:val="28"/>
          <w:szCs w:val="28"/>
          <w:highlight w:val="none"/>
          <w:lang w:eastAsia="zh-CN"/>
          <w14:textFill>
            <w14:solidFill>
              <w14:schemeClr w14:val="tx1"/>
            </w14:solidFill>
          </w14:textFill>
        </w:rPr>
        <w:t>供应商</w:t>
      </w:r>
      <w:r>
        <w:rPr>
          <w:rFonts w:hint="eastAsia"/>
          <w:b w:val="0"/>
          <w:bCs w:val="0"/>
          <w:color w:val="000000" w:themeColor="text1"/>
          <w:sz w:val="28"/>
          <w:szCs w:val="28"/>
          <w:highlight w:val="none"/>
          <w14:textFill>
            <w14:solidFill>
              <w14:schemeClr w14:val="tx1"/>
            </w14:solidFill>
          </w14:textFill>
        </w:rPr>
        <w:t>参加同一合同项下投标的，按一家</w:t>
      </w:r>
      <w:r>
        <w:rPr>
          <w:rFonts w:hint="eastAsia"/>
          <w:b w:val="0"/>
          <w:bCs w:val="0"/>
          <w:color w:val="000000" w:themeColor="text1"/>
          <w:sz w:val="28"/>
          <w:szCs w:val="28"/>
          <w:highlight w:val="none"/>
          <w:lang w:eastAsia="zh-CN"/>
          <w14:textFill>
            <w14:solidFill>
              <w14:schemeClr w14:val="tx1"/>
            </w14:solidFill>
          </w14:textFill>
        </w:rPr>
        <w:t>供应商</w:t>
      </w:r>
      <w:r>
        <w:rPr>
          <w:rFonts w:hint="eastAsia"/>
          <w:b w:val="0"/>
          <w:bCs w:val="0"/>
          <w:color w:val="000000" w:themeColor="text1"/>
          <w:sz w:val="28"/>
          <w:szCs w:val="28"/>
          <w:highlight w:val="none"/>
          <w14:textFill>
            <w14:solidFill>
              <w14:schemeClr w14:val="tx1"/>
            </w14:solidFill>
          </w14:textFill>
        </w:rPr>
        <w:t>计算，评审后得分最高的同品牌</w:t>
      </w:r>
      <w:r>
        <w:rPr>
          <w:rFonts w:hint="eastAsia"/>
          <w:b w:val="0"/>
          <w:bCs w:val="0"/>
          <w:color w:val="000000" w:themeColor="text1"/>
          <w:sz w:val="28"/>
          <w:szCs w:val="28"/>
          <w:highlight w:val="none"/>
          <w:lang w:eastAsia="zh-CN"/>
          <w14:textFill>
            <w14:solidFill>
              <w14:schemeClr w14:val="tx1"/>
            </w14:solidFill>
          </w14:textFill>
        </w:rPr>
        <w:t>供应商</w:t>
      </w:r>
      <w:r>
        <w:rPr>
          <w:rFonts w:hint="eastAsia"/>
          <w:b w:val="0"/>
          <w:bCs w:val="0"/>
          <w:color w:val="000000" w:themeColor="text1"/>
          <w:sz w:val="28"/>
          <w:szCs w:val="28"/>
          <w:highlight w:val="none"/>
          <w14:textFill>
            <w14:solidFill>
              <w14:schemeClr w14:val="tx1"/>
            </w14:solidFill>
          </w14:textFill>
        </w:rPr>
        <w:t>获得中标人推荐资格；评审得分相同的，按照“</w:t>
      </w:r>
      <w:r>
        <w:rPr>
          <w:rFonts w:hint="eastAsia"/>
          <w:b w:val="0"/>
          <w:bCs w:val="0"/>
          <w:color w:val="000000" w:themeColor="text1"/>
          <w:sz w:val="28"/>
          <w:szCs w:val="28"/>
          <w:highlight w:val="none"/>
          <w:lang w:eastAsia="zh-CN"/>
          <w14:textFill>
            <w14:solidFill>
              <w14:schemeClr w14:val="tx1"/>
            </w14:solidFill>
          </w14:textFill>
        </w:rPr>
        <w:t>供应商</w:t>
      </w:r>
      <w:r>
        <w:rPr>
          <w:rFonts w:hint="eastAsia"/>
          <w:b w:val="0"/>
          <w:bCs w:val="0"/>
          <w:color w:val="000000" w:themeColor="text1"/>
          <w:sz w:val="28"/>
          <w:szCs w:val="28"/>
          <w:highlight w:val="none"/>
          <w14:textFill>
            <w14:solidFill>
              <w14:schemeClr w14:val="tx1"/>
            </w14:solidFill>
          </w14:textFill>
        </w:rPr>
        <w:t>须知前附表”及“</w:t>
      </w:r>
      <w:r>
        <w:rPr>
          <w:rFonts w:hint="eastAsia"/>
          <w:b w:val="0"/>
          <w:bCs w:val="0"/>
          <w:color w:val="000000" w:themeColor="text1"/>
          <w:sz w:val="28"/>
          <w:szCs w:val="28"/>
          <w:highlight w:val="none"/>
          <w:lang w:eastAsia="zh-CN"/>
          <w14:textFill>
            <w14:solidFill>
              <w14:schemeClr w14:val="tx1"/>
            </w14:solidFill>
          </w14:textFill>
        </w:rPr>
        <w:t>供应商</w:t>
      </w:r>
      <w:r>
        <w:rPr>
          <w:rFonts w:hint="eastAsia"/>
          <w:b w:val="0"/>
          <w:bCs w:val="0"/>
          <w:color w:val="000000" w:themeColor="text1"/>
          <w:sz w:val="28"/>
          <w:szCs w:val="28"/>
          <w:highlight w:val="none"/>
          <w14:textFill>
            <w14:solidFill>
              <w14:schemeClr w14:val="tx1"/>
            </w14:solidFill>
          </w14:textFill>
        </w:rPr>
        <w:t>须知正文”推荐。</w:t>
      </w:r>
    </w:p>
    <w:p w14:paraId="786D5048">
      <w:pPr>
        <w:pStyle w:val="4"/>
        <w:keepNext w:val="0"/>
        <w:keepLines w:val="0"/>
        <w:pageBreakBefore w:val="0"/>
        <w:kinsoku/>
        <w:wordWrap/>
        <w:overflowPunct/>
        <w:topLinePunct w:val="0"/>
        <w:autoSpaceDE/>
        <w:autoSpaceDN/>
        <w:bidi w:val="0"/>
        <w:adjustRightInd/>
        <w:snapToGrid/>
        <w:spacing w:line="560" w:lineRule="exact"/>
        <w:jc w:val="center"/>
        <w:textAlignment w:val="auto"/>
        <w:rPr>
          <w:color w:val="000000" w:themeColor="text1"/>
          <w:sz w:val="28"/>
          <w:szCs w:val="28"/>
          <w:highlight w:val="none"/>
          <w14:textFill>
            <w14:solidFill>
              <w14:schemeClr w14:val="tx1"/>
            </w14:solidFill>
          </w14:textFill>
        </w:rPr>
      </w:pPr>
      <w:bookmarkStart w:id="210" w:name="_Toc140742533"/>
      <w:bookmarkStart w:id="211" w:name="_Toc140741988"/>
      <w:bookmarkStart w:id="212" w:name="_Toc28804"/>
      <w:bookmarkStart w:id="213" w:name="_Toc138610902"/>
      <w:r>
        <w:rPr>
          <w:rFonts w:hint="eastAsia"/>
          <w:color w:val="000000" w:themeColor="text1"/>
          <w:sz w:val="28"/>
          <w:szCs w:val="28"/>
          <w:highlight w:val="none"/>
          <w14:textFill>
            <w14:solidFill>
              <w14:schemeClr w14:val="tx1"/>
            </w14:solidFill>
          </w14:textFill>
        </w:rPr>
        <w:t>第五节</w:t>
      </w:r>
      <w:r>
        <w:rPr>
          <w:color w:val="000000" w:themeColor="text1"/>
          <w:sz w:val="28"/>
          <w:szCs w:val="28"/>
          <w:highlight w:val="none"/>
          <w14:textFill>
            <w14:solidFill>
              <w14:schemeClr w14:val="tx1"/>
            </w14:solidFill>
          </w14:textFill>
        </w:rPr>
        <w:t xml:space="preserve"> </w:t>
      </w:r>
      <w:r>
        <w:rPr>
          <w:rFonts w:hint="eastAsia"/>
          <w:color w:val="000000" w:themeColor="text1"/>
          <w:sz w:val="28"/>
          <w:szCs w:val="28"/>
          <w:highlight w:val="none"/>
          <w14:textFill>
            <w14:solidFill>
              <w14:schemeClr w14:val="tx1"/>
            </w14:solidFill>
          </w14:textFill>
        </w:rPr>
        <w:t>评标报告</w:t>
      </w:r>
      <w:bookmarkEnd w:id="210"/>
      <w:bookmarkEnd w:id="211"/>
      <w:bookmarkEnd w:id="212"/>
      <w:bookmarkEnd w:id="213"/>
    </w:p>
    <w:p w14:paraId="4DC9B387">
      <w:pPr>
        <w:pStyle w:val="108"/>
        <w:keepNext w:val="0"/>
        <w:keepLines w:val="0"/>
        <w:pageBreakBefore w:val="0"/>
        <w:kinsoku/>
        <w:wordWrap/>
        <w:overflowPunct/>
        <w:topLinePunct w:val="0"/>
        <w:autoSpaceDE/>
        <w:autoSpaceDN/>
        <w:bidi w:val="0"/>
        <w:adjustRightInd/>
        <w:snapToGrid/>
        <w:spacing w:before="0" w:line="560" w:lineRule="exact"/>
        <w:ind w:firstLine="560"/>
        <w:textAlignment w:val="auto"/>
        <w:rPr>
          <w:rFonts w:asciiTheme="minorEastAsia" w:hAnsiTheme="minorEastAsia"/>
          <w:color w:val="000000" w:themeColor="text1"/>
          <w:sz w:val="28"/>
          <w:szCs w:val="28"/>
          <w:highlight w:val="none"/>
          <w14:textFill>
            <w14:solidFill>
              <w14:schemeClr w14:val="tx1"/>
            </w14:solidFill>
          </w14:textFill>
        </w:rPr>
      </w:pPr>
      <w:r>
        <w:rPr>
          <w:rFonts w:hint="eastAsia" w:asciiTheme="minorEastAsia" w:hAnsiTheme="minorEastAsia"/>
          <w:color w:val="000000" w:themeColor="text1"/>
          <w:sz w:val="28"/>
          <w:szCs w:val="28"/>
          <w:highlight w:val="none"/>
          <w14:textFill>
            <w14:solidFill>
              <w14:schemeClr w14:val="tx1"/>
            </w14:solidFill>
          </w14:textFill>
        </w:rPr>
        <w:t>（一）评标报告与推荐中标候选人</w:t>
      </w:r>
    </w:p>
    <w:p w14:paraId="560FE35E">
      <w:pPr>
        <w:pStyle w:val="17"/>
        <w:keepNext w:val="0"/>
        <w:keepLines w:val="0"/>
        <w:pageBreakBefore w:val="0"/>
        <w:kinsoku/>
        <w:wordWrap/>
        <w:overflowPunct/>
        <w:topLinePunct w:val="0"/>
        <w:autoSpaceDE/>
        <w:autoSpaceDN/>
        <w:bidi w:val="0"/>
        <w:adjustRightInd/>
        <w:snapToGrid/>
        <w:spacing w:line="560" w:lineRule="exact"/>
        <w:jc w:val="both"/>
        <w:textAlignment w:val="auto"/>
        <w:rPr>
          <w:b w:val="0"/>
          <w:bCs w:val="0"/>
          <w:color w:val="000000" w:themeColor="text1"/>
          <w:sz w:val="28"/>
          <w:szCs w:val="28"/>
          <w:highlight w:val="none"/>
          <w14:textFill>
            <w14:solidFill>
              <w14:schemeClr w14:val="tx1"/>
            </w14:solidFill>
          </w14:textFill>
        </w:rPr>
      </w:pPr>
      <w:r>
        <w:rPr>
          <w:rFonts w:hint="eastAsia"/>
          <w:b w:val="0"/>
          <w:bCs w:val="0"/>
          <w:color w:val="000000" w:themeColor="text1"/>
          <w:sz w:val="28"/>
          <w:szCs w:val="28"/>
          <w:highlight w:val="none"/>
          <w14:textFill>
            <w14:solidFill>
              <w14:schemeClr w14:val="tx1"/>
            </w14:solidFill>
          </w14:textFill>
        </w:rPr>
        <w:t>评标委员会根据原始评标记录和评标结果编写评标报告，并通过电子交易平台向采购人、采购代理机构提交。</w:t>
      </w:r>
    </w:p>
    <w:p w14:paraId="6937FE13">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（二）评标争议事项处理</w:t>
      </w:r>
    </w:p>
    <w:p w14:paraId="604AAA7E">
      <w:pPr>
        <w:pStyle w:val="17"/>
        <w:keepNext w:val="0"/>
        <w:keepLines w:val="0"/>
        <w:pageBreakBefore w:val="0"/>
        <w:kinsoku/>
        <w:wordWrap/>
        <w:overflowPunct/>
        <w:topLinePunct w:val="0"/>
        <w:autoSpaceDE/>
        <w:autoSpaceDN/>
        <w:bidi w:val="0"/>
        <w:adjustRightInd/>
        <w:snapToGrid/>
        <w:spacing w:line="560" w:lineRule="exact"/>
        <w:jc w:val="both"/>
        <w:textAlignment w:val="auto"/>
        <w:rPr>
          <w:color w:val="000000" w:themeColor="text1"/>
          <w:sz w:val="28"/>
          <w:szCs w:val="28"/>
          <w:highlight w:val="none"/>
          <w14:textFill>
            <w14:solidFill>
              <w14:schemeClr w14:val="tx1"/>
            </w14:solidFill>
          </w14:textFill>
        </w:rPr>
        <w:sectPr>
          <w:pgSz w:w="11906" w:h="16838"/>
          <w:pgMar w:top="1134" w:right="1134" w:bottom="1134" w:left="1134" w:header="720" w:footer="720" w:gutter="0"/>
          <w:pgNumType w:fmt="decimal"/>
          <w:cols w:space="720" w:num="1"/>
          <w:docGrid w:type="lines" w:linePitch="331" w:charSpace="0"/>
        </w:sectPr>
      </w:pPr>
      <w:r>
        <w:rPr>
          <w:rFonts w:hint="eastAsia"/>
          <w:b w:val="0"/>
          <w:bCs w:val="0"/>
          <w:color w:val="000000" w:themeColor="text1"/>
          <w:sz w:val="28"/>
          <w:szCs w:val="28"/>
          <w:highlight w:val="none"/>
          <w14:textFill>
            <w14:solidFill>
              <w14:schemeClr w14:val="tx1"/>
            </w14:solidFill>
          </w14:textFill>
        </w:rPr>
        <w:t>评标委员会成员对需要共同认定的事项存在争议的，应当按照少数服从多数的原则作出结论。持不同意见的评标委员会成员应当在评标报告上签署不同意见及理由，否则视为同意评标报告。</w:t>
      </w:r>
    </w:p>
    <w:p w14:paraId="0DA3B47F">
      <w:pPr>
        <w:pStyle w:val="31"/>
        <w:pageBreakBefore w:val="0"/>
        <w:numPr>
          <w:ilvl w:val="0"/>
          <w:numId w:val="3"/>
        </w:numPr>
        <w:wordWrap/>
        <w:topLinePunct w:val="0"/>
        <w:bidi w:val="0"/>
        <w:spacing w:before="0" w:after="0" w:line="560" w:lineRule="exact"/>
        <w:rPr>
          <w:rFonts w:hint="eastAsia"/>
          <w:color w:val="000000" w:themeColor="text1"/>
          <w:sz w:val="28"/>
          <w:szCs w:val="28"/>
          <w:highlight w:val="none"/>
          <w14:textFill>
            <w14:solidFill>
              <w14:schemeClr w14:val="tx1"/>
            </w14:solidFill>
          </w14:textFill>
        </w:rPr>
      </w:pPr>
      <w:r>
        <w:rPr>
          <w:rFonts w:hint="eastAsia"/>
          <w:color w:val="000000" w:themeColor="text1"/>
          <w:sz w:val="28"/>
          <w:szCs w:val="28"/>
          <w:highlight w:val="none"/>
          <w:lang w:val="en-US" w:eastAsia="zh-CN"/>
          <w14:textFill>
            <w14:solidFill>
              <w14:schemeClr w14:val="tx1"/>
            </w14:solidFill>
          </w14:textFill>
        </w:rPr>
        <w:t xml:space="preserve">  </w:t>
      </w:r>
      <w:bookmarkStart w:id="214" w:name="_Toc28798"/>
      <w:r>
        <w:rPr>
          <w:rFonts w:hint="eastAsia"/>
          <w:color w:val="000000" w:themeColor="text1"/>
          <w:sz w:val="28"/>
          <w:szCs w:val="28"/>
          <w:highlight w:val="none"/>
          <w14:textFill>
            <w14:solidFill>
              <w14:schemeClr w14:val="tx1"/>
            </w14:solidFill>
          </w14:textFill>
        </w:rPr>
        <w:t>拟签订的合同文本</w:t>
      </w:r>
      <w:bookmarkEnd w:id="214"/>
    </w:p>
    <w:p w14:paraId="096C414F">
      <w:pPr>
        <w:pageBreakBefore w:val="0"/>
        <w:widowControl w:val="0"/>
        <w:numPr>
          <w:ilvl w:val="0"/>
          <w:numId w:val="0"/>
        </w:numPr>
        <w:wordWrap/>
        <w:topLinePunct w:val="0"/>
        <w:bidi w:val="0"/>
        <w:spacing w:line="560" w:lineRule="exact"/>
        <w:jc w:val="both"/>
        <w:rPr>
          <w:color w:val="000000" w:themeColor="text1"/>
          <w:sz w:val="28"/>
          <w:szCs w:val="28"/>
          <w:highlight w:val="none"/>
          <w14:textFill>
            <w14:solidFill>
              <w14:schemeClr w14:val="tx1"/>
            </w14:solidFill>
          </w14:textFill>
        </w:rPr>
      </w:pPr>
    </w:p>
    <w:p w14:paraId="30FBDD7E">
      <w:pPr>
        <w:pStyle w:val="13"/>
        <w:spacing w:after="0"/>
        <w:jc w:val="center"/>
        <w:rPr>
          <w:rFonts w:ascii="宋体" w:hAnsi="宋体" w:cs="宋体"/>
          <w:b/>
          <w:bCs/>
          <w:color w:val="000000" w:themeColor="text1"/>
          <w:spacing w:val="-20"/>
          <w:kern w:val="44"/>
          <w:sz w:val="28"/>
          <w:szCs w:val="28"/>
          <w:highlight w:val="none"/>
          <w14:textFill>
            <w14:solidFill>
              <w14:schemeClr w14:val="tx1"/>
            </w14:solidFill>
          </w14:textFill>
        </w:rPr>
      </w:pPr>
    </w:p>
    <w:p w14:paraId="2EAF0A76">
      <w:pPr>
        <w:pStyle w:val="13"/>
        <w:pageBreakBefore w:val="0"/>
        <w:kinsoku/>
        <w:wordWrap/>
        <w:overflowPunct/>
        <w:topLinePunct w:val="0"/>
        <w:bidi w:val="0"/>
        <w:spacing w:after="0" w:afterAutospacing="0" w:line="560" w:lineRule="exact"/>
        <w:jc w:val="center"/>
        <w:textAlignment w:val="auto"/>
        <w:rPr>
          <w:rFonts w:hint="eastAsia" w:asciiTheme="minorEastAsia" w:hAnsiTheme="minorEastAsia" w:eastAsiaTheme="minorEastAsia" w:cstheme="minorEastAsia"/>
          <w:b/>
          <w:bCs/>
          <w:color w:val="000000" w:themeColor="text1"/>
          <w:spacing w:val="-20"/>
          <w:kern w:val="44"/>
          <w:sz w:val="28"/>
          <w:szCs w:val="28"/>
          <w:highlight w:val="none"/>
          <w14:textFill>
            <w14:solidFill>
              <w14:schemeClr w14:val="tx1"/>
            </w14:solidFill>
          </w14:textFill>
        </w:rPr>
      </w:pPr>
    </w:p>
    <w:p w14:paraId="19F2FFB7">
      <w:pPr>
        <w:pStyle w:val="13"/>
        <w:pageBreakBefore w:val="0"/>
        <w:kinsoku/>
        <w:wordWrap/>
        <w:overflowPunct/>
        <w:topLinePunct w:val="0"/>
        <w:bidi w:val="0"/>
        <w:spacing w:after="0" w:afterAutospacing="0" w:line="560" w:lineRule="exact"/>
        <w:jc w:val="center"/>
        <w:textAlignment w:val="auto"/>
        <w:rPr>
          <w:rFonts w:hint="eastAsia" w:asciiTheme="minorEastAsia" w:hAnsiTheme="minorEastAsia" w:eastAsiaTheme="minorEastAsia" w:cstheme="minorEastAsia"/>
          <w:b/>
          <w:bCs/>
          <w:color w:val="000000" w:themeColor="text1"/>
          <w:spacing w:val="-20"/>
          <w:kern w:val="44"/>
          <w:sz w:val="28"/>
          <w:szCs w:val="28"/>
          <w:highlight w:val="none"/>
          <w14:textFill>
            <w14:solidFill>
              <w14:schemeClr w14:val="tx1"/>
            </w14:solidFill>
          </w14:textFill>
        </w:rPr>
      </w:pPr>
    </w:p>
    <w:p w14:paraId="4550DAC3">
      <w:pPr>
        <w:pStyle w:val="13"/>
        <w:pageBreakBefore w:val="0"/>
        <w:kinsoku/>
        <w:wordWrap/>
        <w:overflowPunct/>
        <w:topLinePunct w:val="0"/>
        <w:bidi w:val="0"/>
        <w:spacing w:after="0" w:afterAutospacing="0" w:line="560" w:lineRule="exact"/>
        <w:jc w:val="center"/>
        <w:textAlignment w:val="auto"/>
        <w:rPr>
          <w:rFonts w:hint="eastAsia" w:asciiTheme="minorEastAsia" w:hAnsiTheme="minorEastAsia" w:eastAsiaTheme="minorEastAsia" w:cstheme="minorEastAsia"/>
          <w:b/>
          <w:bCs/>
          <w:color w:val="000000" w:themeColor="text1"/>
          <w:spacing w:val="-20"/>
          <w:kern w:val="44"/>
          <w:sz w:val="28"/>
          <w:szCs w:val="28"/>
          <w:highlight w:val="none"/>
          <w14:textFill>
            <w14:solidFill>
              <w14:schemeClr w14:val="tx1"/>
            </w14:solidFill>
          </w14:textFill>
        </w:rPr>
      </w:pPr>
    </w:p>
    <w:p w14:paraId="7D6614AF">
      <w:pPr>
        <w:pStyle w:val="13"/>
        <w:pageBreakBefore w:val="0"/>
        <w:kinsoku/>
        <w:wordWrap/>
        <w:overflowPunct/>
        <w:topLinePunct w:val="0"/>
        <w:bidi w:val="0"/>
        <w:spacing w:after="0" w:afterAutospacing="0" w:line="560" w:lineRule="exact"/>
        <w:jc w:val="center"/>
        <w:textAlignment w:val="auto"/>
        <w:rPr>
          <w:rFonts w:hint="eastAsia" w:asciiTheme="minorEastAsia" w:hAnsiTheme="minorEastAsia" w:eastAsiaTheme="minorEastAsia" w:cstheme="minorEastAsia"/>
          <w:b/>
          <w:bCs/>
          <w:color w:val="000000" w:themeColor="text1"/>
          <w:spacing w:val="-20"/>
          <w:kern w:val="44"/>
          <w:sz w:val="28"/>
          <w:szCs w:val="28"/>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pacing w:val="-20"/>
          <w:kern w:val="44"/>
          <w:sz w:val="28"/>
          <w:szCs w:val="28"/>
          <w:highlight w:val="none"/>
          <w:lang w:eastAsia="zh-CN"/>
          <w14:textFill>
            <w14:solidFill>
              <w14:schemeClr w14:val="tx1"/>
            </w14:solidFill>
          </w14:textFill>
        </w:rPr>
        <w:t>哈密市中心医院</w:t>
      </w:r>
    </w:p>
    <w:p w14:paraId="4ABB5212">
      <w:pPr>
        <w:pStyle w:val="13"/>
        <w:pageBreakBefore w:val="0"/>
        <w:kinsoku/>
        <w:wordWrap/>
        <w:overflowPunct/>
        <w:topLinePunct w:val="0"/>
        <w:bidi w:val="0"/>
        <w:spacing w:after="0" w:afterAutospacing="0" w:line="560" w:lineRule="exact"/>
        <w:jc w:val="center"/>
        <w:textAlignment w:val="auto"/>
        <w:rPr>
          <w:rFonts w:hint="eastAsia" w:asciiTheme="minorEastAsia" w:hAnsiTheme="minorEastAsia" w:eastAsiaTheme="minorEastAsia" w:cstheme="minorEastAsia"/>
          <w:b/>
          <w:bCs/>
          <w:color w:val="000000" w:themeColor="text1"/>
          <w:spacing w:val="-20"/>
          <w:kern w:val="44"/>
          <w:sz w:val="28"/>
          <w:szCs w:val="28"/>
          <w:highlight w:val="none"/>
          <w14:textFill>
            <w14:solidFill>
              <w14:schemeClr w14:val="tx1"/>
            </w14:solidFill>
          </w14:textFill>
        </w:rPr>
      </w:pPr>
      <w:r>
        <w:rPr>
          <w:rFonts w:hint="eastAsia" w:asciiTheme="minorEastAsia" w:hAnsiTheme="minorEastAsia" w:eastAsiaTheme="minorEastAsia" w:cstheme="minorEastAsia"/>
          <w:b/>
          <w:bCs/>
          <w:color w:val="000000" w:themeColor="text1"/>
          <w:spacing w:val="-20"/>
          <w:kern w:val="44"/>
          <w:sz w:val="28"/>
          <w:szCs w:val="28"/>
          <w:highlight w:val="none"/>
          <w:lang w:eastAsia="zh-CN"/>
          <w14:textFill>
            <w14:solidFill>
              <w14:schemeClr w14:val="tx1"/>
            </w14:solidFill>
          </w14:textFill>
        </w:rPr>
        <w:t>货物买卖</w:t>
      </w:r>
      <w:r>
        <w:rPr>
          <w:rFonts w:hint="eastAsia" w:asciiTheme="minorEastAsia" w:hAnsiTheme="minorEastAsia" w:eastAsiaTheme="minorEastAsia" w:cstheme="minorEastAsia"/>
          <w:b/>
          <w:bCs/>
          <w:color w:val="000000" w:themeColor="text1"/>
          <w:spacing w:val="-20"/>
          <w:kern w:val="44"/>
          <w:sz w:val="28"/>
          <w:szCs w:val="28"/>
          <w:highlight w:val="none"/>
          <w14:textFill>
            <w14:solidFill>
              <w14:schemeClr w14:val="tx1"/>
            </w14:solidFill>
          </w14:textFill>
        </w:rPr>
        <w:t>合同</w:t>
      </w:r>
    </w:p>
    <w:p w14:paraId="5AE0D970">
      <w:pPr>
        <w:pageBreakBefore w:val="0"/>
        <w:kinsoku/>
        <w:wordWrap/>
        <w:overflowPunct/>
        <w:topLinePunct w:val="0"/>
        <w:bidi w:val="0"/>
        <w:spacing w:afterAutospacing="0" w:line="560" w:lineRule="exact"/>
        <w:textAlignment w:val="auto"/>
        <w:rPr>
          <w:rFonts w:hint="eastAsia" w:asciiTheme="minorEastAsia" w:hAnsiTheme="minorEastAsia" w:eastAsiaTheme="minorEastAsia" w:cstheme="minorEastAsia"/>
          <w:b/>
          <w:bCs/>
          <w:color w:val="000000" w:themeColor="text1"/>
          <w:spacing w:val="-20"/>
          <w:kern w:val="44"/>
          <w:sz w:val="28"/>
          <w:szCs w:val="28"/>
          <w:highlight w:val="none"/>
          <w14:textFill>
            <w14:solidFill>
              <w14:schemeClr w14:val="tx1"/>
            </w14:solidFill>
          </w14:textFill>
        </w:rPr>
      </w:pPr>
    </w:p>
    <w:p w14:paraId="5D57A509">
      <w:pPr>
        <w:pStyle w:val="171"/>
        <w:pageBreakBefore w:val="0"/>
        <w:kinsoku/>
        <w:wordWrap/>
        <w:overflowPunct/>
        <w:topLinePunct w:val="0"/>
        <w:bidi w:val="0"/>
        <w:spacing w:afterAutospacing="0" w:line="560" w:lineRule="exact"/>
        <w:textAlignment w:val="auto"/>
        <w:rPr>
          <w:rFonts w:hint="eastAsia" w:asciiTheme="minorEastAsia" w:hAnsiTheme="minorEastAsia" w:eastAsiaTheme="minorEastAsia" w:cstheme="minorEastAsia"/>
          <w:b/>
          <w:bCs/>
          <w:color w:val="000000" w:themeColor="text1"/>
          <w:spacing w:val="-20"/>
          <w:kern w:val="44"/>
          <w:sz w:val="28"/>
          <w:szCs w:val="28"/>
          <w:highlight w:val="none"/>
          <w14:textFill>
            <w14:solidFill>
              <w14:schemeClr w14:val="tx1"/>
            </w14:solidFill>
          </w14:textFill>
        </w:rPr>
      </w:pPr>
    </w:p>
    <w:p w14:paraId="612F79EE">
      <w:pPr>
        <w:pStyle w:val="171"/>
        <w:pageBreakBefore w:val="0"/>
        <w:kinsoku/>
        <w:wordWrap/>
        <w:overflowPunct/>
        <w:topLinePunct w:val="0"/>
        <w:bidi w:val="0"/>
        <w:spacing w:afterAutospacing="0" w:line="560" w:lineRule="exact"/>
        <w:textAlignment w:val="auto"/>
        <w:rPr>
          <w:rFonts w:hint="eastAsia" w:asciiTheme="minorEastAsia" w:hAnsiTheme="minorEastAsia" w:eastAsiaTheme="minorEastAsia" w:cstheme="minorEastAsia"/>
          <w:b/>
          <w:bCs/>
          <w:color w:val="000000" w:themeColor="text1"/>
          <w:spacing w:val="-20"/>
          <w:kern w:val="44"/>
          <w:sz w:val="28"/>
          <w:szCs w:val="28"/>
          <w:highlight w:val="none"/>
          <w14:textFill>
            <w14:solidFill>
              <w14:schemeClr w14:val="tx1"/>
            </w14:solidFill>
          </w14:textFill>
        </w:rPr>
      </w:pPr>
    </w:p>
    <w:p w14:paraId="25851CA0">
      <w:pPr>
        <w:pStyle w:val="171"/>
        <w:pageBreakBefore w:val="0"/>
        <w:kinsoku/>
        <w:wordWrap/>
        <w:overflowPunct/>
        <w:topLinePunct w:val="0"/>
        <w:bidi w:val="0"/>
        <w:spacing w:afterAutospacing="0" w:line="560" w:lineRule="exact"/>
        <w:textAlignment w:val="auto"/>
        <w:rPr>
          <w:rFonts w:hint="eastAsia" w:asciiTheme="minorEastAsia" w:hAnsiTheme="minorEastAsia" w:eastAsiaTheme="minorEastAsia" w:cstheme="minorEastAsia"/>
          <w:b/>
          <w:bCs/>
          <w:color w:val="000000" w:themeColor="text1"/>
          <w:spacing w:val="-20"/>
          <w:kern w:val="44"/>
          <w:sz w:val="28"/>
          <w:szCs w:val="28"/>
          <w:highlight w:val="none"/>
          <w14:textFill>
            <w14:solidFill>
              <w14:schemeClr w14:val="tx1"/>
            </w14:solidFill>
          </w14:textFill>
        </w:rPr>
      </w:pPr>
    </w:p>
    <w:p w14:paraId="7FEB27A8">
      <w:pPr>
        <w:pStyle w:val="171"/>
        <w:pageBreakBefore w:val="0"/>
        <w:kinsoku/>
        <w:wordWrap/>
        <w:overflowPunct/>
        <w:topLinePunct w:val="0"/>
        <w:bidi w:val="0"/>
        <w:spacing w:afterAutospacing="0" w:line="560" w:lineRule="exact"/>
        <w:textAlignment w:val="auto"/>
        <w:rPr>
          <w:rFonts w:hint="eastAsia" w:asciiTheme="minorEastAsia" w:hAnsiTheme="minorEastAsia" w:eastAsiaTheme="minorEastAsia" w:cstheme="minorEastAsia"/>
          <w:b/>
          <w:bCs/>
          <w:color w:val="000000" w:themeColor="text1"/>
          <w:spacing w:val="-20"/>
          <w:kern w:val="44"/>
          <w:sz w:val="28"/>
          <w:szCs w:val="28"/>
          <w:highlight w:val="none"/>
          <w14:textFill>
            <w14:solidFill>
              <w14:schemeClr w14:val="tx1"/>
            </w14:solidFill>
          </w14:textFill>
        </w:rPr>
      </w:pPr>
    </w:p>
    <w:p w14:paraId="7BCD6E64">
      <w:pPr>
        <w:pStyle w:val="171"/>
        <w:pageBreakBefore w:val="0"/>
        <w:kinsoku/>
        <w:wordWrap/>
        <w:overflowPunct/>
        <w:topLinePunct w:val="0"/>
        <w:bidi w:val="0"/>
        <w:spacing w:afterAutospacing="0" w:line="560" w:lineRule="exact"/>
        <w:textAlignment w:val="auto"/>
        <w:rPr>
          <w:rFonts w:hint="eastAsia" w:asciiTheme="minorEastAsia" w:hAnsiTheme="minorEastAsia" w:eastAsiaTheme="minorEastAsia" w:cstheme="minorEastAsia"/>
          <w:b/>
          <w:bCs/>
          <w:color w:val="000000" w:themeColor="text1"/>
          <w:spacing w:val="-20"/>
          <w:kern w:val="44"/>
          <w:sz w:val="28"/>
          <w:szCs w:val="28"/>
          <w:highlight w:val="none"/>
          <w14:textFill>
            <w14:solidFill>
              <w14:schemeClr w14:val="tx1"/>
            </w14:solidFill>
          </w14:textFill>
        </w:rPr>
      </w:pPr>
    </w:p>
    <w:p w14:paraId="0DE1EC4F">
      <w:pPr>
        <w:pageBreakBefore w:val="0"/>
        <w:kinsoku/>
        <w:wordWrap/>
        <w:overflowPunct/>
        <w:topLinePunct w:val="0"/>
        <w:bidi w:val="0"/>
        <w:spacing w:afterAutospacing="0" w:line="560" w:lineRule="exact"/>
        <w:textAlignment w:val="auto"/>
        <w:rPr>
          <w:rFonts w:hint="eastAsia" w:asciiTheme="minorEastAsia" w:hAnsiTheme="minorEastAsia" w:eastAsiaTheme="minorEastAsia" w:cstheme="minorEastAsia"/>
          <w:b/>
          <w:bCs/>
          <w:color w:val="000000" w:themeColor="text1"/>
          <w:spacing w:val="-20"/>
          <w:kern w:val="44"/>
          <w:sz w:val="28"/>
          <w:szCs w:val="28"/>
          <w:highlight w:val="none"/>
          <w14:textFill>
            <w14:solidFill>
              <w14:schemeClr w14:val="tx1"/>
            </w14:solidFill>
          </w14:textFill>
        </w:rPr>
      </w:pPr>
    </w:p>
    <w:p w14:paraId="2D960260">
      <w:pPr>
        <w:pageBreakBefore w:val="0"/>
        <w:kinsoku/>
        <w:wordWrap/>
        <w:overflowPunct/>
        <w:topLinePunct w:val="0"/>
        <w:bidi w:val="0"/>
        <w:spacing w:afterAutospacing="0" w:line="560" w:lineRule="exact"/>
        <w:textAlignment w:val="auto"/>
        <w:rPr>
          <w:rFonts w:hint="eastAsia" w:asciiTheme="minorEastAsia" w:hAnsiTheme="minorEastAsia" w:eastAsiaTheme="minorEastAsia" w:cstheme="minorEastAsia"/>
          <w:b/>
          <w:bCs/>
          <w:color w:val="000000" w:themeColor="text1"/>
          <w:spacing w:val="-20"/>
          <w:kern w:val="44"/>
          <w:sz w:val="28"/>
          <w:szCs w:val="28"/>
          <w:highlight w:val="none"/>
          <w14:textFill>
            <w14:solidFill>
              <w14:schemeClr w14:val="tx1"/>
            </w14:solidFill>
          </w14:textFill>
        </w:rPr>
      </w:pPr>
    </w:p>
    <w:p w14:paraId="6C9F50BF">
      <w:pPr>
        <w:pageBreakBefore w:val="0"/>
        <w:kinsoku/>
        <w:wordWrap/>
        <w:overflowPunct/>
        <w:topLinePunct w:val="0"/>
        <w:bidi w:val="0"/>
        <w:spacing w:afterAutospacing="0" w:line="560" w:lineRule="exact"/>
        <w:ind w:left="420" w:leftChars="200"/>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8"/>
          <w:szCs w:val="28"/>
          <w:highlight w:val="none"/>
          <w14:textFill>
            <w14:solidFill>
              <w14:schemeClr w14:val="tx1"/>
            </w14:solidFill>
          </w14:textFill>
        </w:rPr>
        <w:t>项目名称：</w:t>
      </w:r>
      <w:r>
        <w:rPr>
          <w:rFonts w:hint="eastAsia" w:asciiTheme="minorEastAsia" w:hAnsiTheme="minorEastAsia" w:eastAsiaTheme="minorEastAsia" w:cstheme="minorEastAsia"/>
          <w:color w:val="000000" w:themeColor="text1"/>
          <w:sz w:val="28"/>
          <w:szCs w:val="28"/>
          <w:highlight w:val="none"/>
          <w:u w:val="single"/>
          <w:lang w:eastAsia="zh-CN"/>
          <w14:textFill>
            <w14:solidFill>
              <w14:schemeClr w14:val="tx1"/>
            </w14:solidFill>
          </w14:textFill>
        </w:rPr>
        <w:t>按哈密市中心医院中标通知书项目名称填写</w:t>
      </w:r>
    </w:p>
    <w:p w14:paraId="6CBA8555">
      <w:pPr>
        <w:pageBreakBefore w:val="0"/>
        <w:kinsoku/>
        <w:wordWrap/>
        <w:overflowPunct/>
        <w:topLinePunct w:val="0"/>
        <w:bidi w:val="0"/>
        <w:spacing w:afterAutospacing="0" w:line="560" w:lineRule="exact"/>
        <w:ind w:left="420" w:leftChars="200"/>
        <w:textAlignment w:val="auto"/>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合同编号：</w:t>
      </w:r>
      <w: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t xml:space="preserve">                             </w:t>
      </w:r>
    </w:p>
    <w:p w14:paraId="1ECC9A70">
      <w:pPr>
        <w:pageBreakBefore w:val="0"/>
        <w:kinsoku/>
        <w:wordWrap/>
        <w:overflowPunct/>
        <w:topLinePunct w:val="0"/>
        <w:bidi w:val="0"/>
        <w:spacing w:afterAutospacing="0" w:line="560" w:lineRule="exact"/>
        <w:ind w:left="420" w:leftChars="200"/>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甲    方：</w:t>
      </w:r>
      <w: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highlight w:val="none"/>
          <w:u w:val="single"/>
          <w:lang w:eastAsia="zh-CN"/>
          <w14:textFill>
            <w14:solidFill>
              <w14:schemeClr w14:val="tx1"/>
            </w14:solidFill>
          </w14:textFill>
        </w:rPr>
        <w:t>哈密市中心医院</w:t>
      </w:r>
      <w: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t xml:space="preserve">  </w:t>
      </w:r>
    </w:p>
    <w:p w14:paraId="77FDE00B">
      <w:pPr>
        <w:pageBreakBefore w:val="0"/>
        <w:kinsoku/>
        <w:wordWrap/>
        <w:overflowPunct/>
        <w:topLinePunct w:val="0"/>
        <w:bidi w:val="0"/>
        <w:spacing w:afterAutospacing="0" w:line="560" w:lineRule="exact"/>
        <w:ind w:left="420" w:leftChars="200"/>
        <w:textAlignment w:val="auto"/>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乙    方：</w:t>
      </w:r>
      <w: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t xml:space="preserve">                             </w:t>
      </w:r>
    </w:p>
    <w:p w14:paraId="7A6F4882">
      <w:pPr>
        <w:pageBreakBefore w:val="0"/>
        <w:kinsoku/>
        <w:wordWrap/>
        <w:overflowPunct/>
        <w:topLinePunct w:val="0"/>
        <w:bidi w:val="0"/>
        <w:spacing w:afterAutospacing="0" w:line="560" w:lineRule="exact"/>
        <w:ind w:left="420" w:leftChars="200"/>
        <w:textAlignment w:val="auto"/>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签订日期</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highlight w:val="none"/>
          <w:u w:val="single"/>
          <w:lang w:eastAsia="zh-CN"/>
          <w14:textFill>
            <w14:solidFill>
              <w14:schemeClr w14:val="tx1"/>
            </w14:solidFill>
          </w14:textFill>
        </w:rPr>
        <w:t>年</w:t>
      </w:r>
      <w: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highlight w:val="none"/>
          <w:u w:val="single"/>
          <w:lang w:eastAsia="zh-CN"/>
          <w14:textFill>
            <w14:solidFill>
              <w14:schemeClr w14:val="tx1"/>
            </w14:solidFill>
          </w14:textFill>
        </w:rPr>
        <w:t>月</w:t>
      </w:r>
      <w: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highlight w:val="none"/>
          <w:u w:val="single"/>
          <w:lang w:eastAsia="zh-CN"/>
          <w14:textFill>
            <w14:solidFill>
              <w14:schemeClr w14:val="tx1"/>
            </w14:solidFill>
          </w14:textFill>
        </w:rPr>
        <w:t>日</w:t>
      </w:r>
      <w: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t xml:space="preserve">        </w:t>
      </w:r>
    </w:p>
    <w:p w14:paraId="7ED01074">
      <w:pPr>
        <w:bidi w:val="0"/>
        <w:rPr>
          <w:rFonts w:hint="eastAsia"/>
          <w:color w:val="000000" w:themeColor="text1"/>
          <w14:textFill>
            <w14:solidFill>
              <w14:schemeClr w14:val="tx1"/>
            </w14:solidFill>
          </w14:textFill>
        </w:rPr>
      </w:pPr>
    </w:p>
    <w:p w14:paraId="760A9E04">
      <w:pPr>
        <w:pageBreakBefore w:val="0"/>
        <w:kinsoku/>
        <w:wordWrap/>
        <w:overflowPunct/>
        <w:topLinePunct w:val="0"/>
        <w:bidi w:val="0"/>
        <w:spacing w:afterAutospacing="0" w:line="560" w:lineRule="exac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br w:type="page"/>
      </w:r>
    </w:p>
    <w:p w14:paraId="5DBCAB44">
      <w:pPr>
        <w:pageBreakBefore w:val="0"/>
        <w:kinsoku/>
        <w:wordWrap/>
        <w:overflowPunct/>
        <w:topLinePunct w:val="0"/>
        <w:bidi w:val="0"/>
        <w:spacing w:afterAutospacing="0" w:line="560" w:lineRule="exact"/>
        <w:jc w:val="center"/>
        <w:textAlignment w:val="auto"/>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使</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用</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说</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明</w:t>
      </w:r>
    </w:p>
    <w:p w14:paraId="10335D59">
      <w:pPr>
        <w:pageBreakBefore w:val="0"/>
        <w:kinsoku/>
        <w:wordWrap/>
        <w:overflowPunct/>
        <w:topLinePunct w:val="0"/>
        <w:bidi w:val="0"/>
        <w:spacing w:afterAutospacing="0" w:line="560" w:lineRule="exact"/>
        <w:ind w:firstLine="560" w:firstLineChars="200"/>
        <w:textAlignment w:val="auto"/>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pPr>
    </w:p>
    <w:p w14:paraId="56DFD178">
      <w:pPr>
        <w:pageBreakBefore w:val="0"/>
        <w:kinsoku/>
        <w:wordWrap/>
        <w:overflowPunct/>
        <w:topLinePunct w:val="0"/>
        <w:bidi w:val="0"/>
        <w:spacing w:afterAutospacing="0" w:line="560" w:lineRule="exact"/>
        <w:ind w:firstLine="560" w:firstLineChars="200"/>
        <w:textAlignment w:val="auto"/>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1.本合同标准文本适用于购买现成货物的采购项目，不包括需要供应商定制开发、创新研发的货物采购项目。</w:t>
      </w:r>
    </w:p>
    <w:p w14:paraId="5424D646">
      <w:pPr>
        <w:pageBreakBefore w:val="0"/>
        <w:kinsoku/>
        <w:wordWrap/>
        <w:overflowPunct/>
        <w:topLinePunct w:val="0"/>
        <w:bidi w:val="0"/>
        <w:spacing w:afterAutospacing="0" w:line="560" w:lineRule="exact"/>
        <w:ind w:firstLine="0" w:firstLineChars="0"/>
        <w:textAlignment w:val="auto"/>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 xml:space="preserve">   2.本合同标准文本为货物买卖合同编制提供参考，可以结合采购项目具体情况，对文本作必要的调整修订后使用。</w:t>
      </w:r>
    </w:p>
    <w:p w14:paraId="017DA3B8">
      <w:pPr>
        <w:pageBreakBefore w:val="0"/>
        <w:kinsoku/>
        <w:wordWrap/>
        <w:overflowPunct/>
        <w:topLinePunct w:val="0"/>
        <w:bidi w:val="0"/>
        <w:spacing w:afterAutospacing="0" w:line="560" w:lineRule="exact"/>
        <w:ind w:firstLine="560" w:firstLineChars="200"/>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sectPr>
          <w:headerReference r:id="rId6" w:type="default"/>
          <w:footerReference r:id="rId7"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3.本合同标准文本各条款中，如涉及填写多家供应商、制造商，多种采购标的、分包主要内容等信息的，可根据采购项目具体情况添加信息项。</w:t>
      </w:r>
    </w:p>
    <w:p w14:paraId="20A90637">
      <w:pPr>
        <w:pStyle w:val="3"/>
        <w:pageBreakBefore w:val="0"/>
        <w:kinsoku/>
        <w:wordWrap/>
        <w:overflowPunct/>
        <w:topLinePunct w:val="0"/>
        <w:bidi w:val="0"/>
        <w:adjustRightInd w:val="0"/>
        <w:snapToGrid w:val="0"/>
        <w:spacing w:beforeLines="0" w:afterAutospacing="0" w:line="560" w:lineRule="exact"/>
        <w:jc w:val="center"/>
        <w:textAlignment w:val="auto"/>
        <w:rPr>
          <w:rFonts w:hint="eastAsia" w:asciiTheme="minorEastAsia" w:hAnsiTheme="minorEastAsia" w:eastAsiaTheme="minorEastAsia" w:cstheme="minorEastAsia"/>
          <w:b w:val="0"/>
          <w:bCs w:val="0"/>
          <w:color w:val="000000" w:themeColor="text1"/>
          <w:sz w:val="28"/>
          <w:szCs w:val="28"/>
          <w:highlight w:val="none"/>
          <w14:textFill>
            <w14:solidFill>
              <w14:schemeClr w14:val="tx1"/>
            </w14:solidFill>
          </w14:textFill>
        </w:rPr>
      </w:pPr>
      <w:bookmarkStart w:id="215" w:name="_Toc22209"/>
      <w:r>
        <w:rPr>
          <w:rFonts w:hint="eastAsia" w:asciiTheme="minorEastAsia" w:hAnsiTheme="minorEastAsia" w:eastAsiaTheme="minorEastAsia" w:cstheme="minorEastAsia"/>
          <w:b w:val="0"/>
          <w:bCs w:val="0"/>
          <w:color w:val="000000" w:themeColor="text1"/>
          <w:sz w:val="28"/>
          <w:szCs w:val="28"/>
          <w:highlight w:val="none"/>
          <w14:textFill>
            <w14:solidFill>
              <w14:schemeClr w14:val="tx1"/>
            </w14:solidFill>
          </w14:textFill>
        </w:rPr>
        <w:t>第一节 合同协议书</w:t>
      </w:r>
      <w:bookmarkEnd w:id="215"/>
    </w:p>
    <w:p w14:paraId="182BECC7">
      <w:pPr>
        <w:pageBreakBefore w:val="0"/>
        <w:kinsoku/>
        <w:wordWrap/>
        <w:overflowPunct/>
        <w:topLinePunct w:val="0"/>
        <w:bidi w:val="0"/>
        <w:adjustRightInd w:val="0"/>
        <w:snapToGrid w:val="0"/>
        <w:spacing w:before="0" w:beforeLines="0" w:afterAutospacing="0" w:line="560" w:lineRule="exac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甲方（全称）：</w:t>
      </w:r>
      <w: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highlight w:val="none"/>
          <w:u w:val="single"/>
          <w:lang w:eastAsia="zh-CN"/>
          <w14:textFill>
            <w14:solidFill>
              <w14:schemeClr w14:val="tx1"/>
            </w14:solidFill>
          </w14:textFill>
        </w:rPr>
        <w:t>哈密市中心医院</w:t>
      </w:r>
      <w: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t xml:space="preserve">       </w:t>
      </w:r>
    </w:p>
    <w:p w14:paraId="1FF77418">
      <w:pPr>
        <w:pageBreakBefore w:val="0"/>
        <w:kinsoku/>
        <w:wordWrap/>
        <w:overflowPunct/>
        <w:topLinePunct w:val="0"/>
        <w:bidi w:val="0"/>
        <w:adjustRightInd w:val="0"/>
        <w:snapToGrid w:val="0"/>
        <w:spacing w:before="0" w:beforeLines="0" w:afterAutospacing="0" w:line="560" w:lineRule="exact"/>
        <w:textAlignment w:val="auto"/>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乙方（全称）：</w:t>
      </w:r>
      <w: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t xml:space="preserve">                       </w:t>
      </w:r>
    </w:p>
    <w:p w14:paraId="612EF1A1">
      <w:pPr>
        <w:pStyle w:val="14"/>
        <w:pageBreakBefore w:val="0"/>
        <w:kinsoku/>
        <w:wordWrap/>
        <w:overflowPunct/>
        <w:topLinePunct w:val="0"/>
        <w:bidi w:val="0"/>
        <w:adjustRightInd w:val="0"/>
        <w:snapToGrid w:val="0"/>
        <w:spacing w:before="0" w:beforeLines="0" w:after="0" w:afterAutospacing="0" w:line="560" w:lineRule="exact"/>
        <w:ind w:left="0" w:leftChars="0" w:firstLine="544" w:firstLineChars="200"/>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依据《中华人民共和国民法典》</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《中华人民共和国政府采购法》等有关的法律法规，以及</w:t>
      </w:r>
      <w:r>
        <w:rPr>
          <w:rFonts w:hint="eastAsia" w:asciiTheme="minorEastAsia" w:hAnsiTheme="minorEastAsia" w:eastAsiaTheme="minorEastAsia" w:cstheme="minorEastAsia"/>
          <w:i w:val="0"/>
          <w:iCs w:val="0"/>
          <w:color w:val="000000" w:themeColor="text1"/>
          <w:sz w:val="28"/>
          <w:szCs w:val="28"/>
          <w:highlight w:val="none"/>
          <w:u w:val="none"/>
          <w:lang w:eastAsia="zh-CN"/>
          <w14:textFill>
            <w14:solidFill>
              <w14:schemeClr w14:val="tx1"/>
            </w14:solidFill>
          </w14:textFill>
        </w:rPr>
        <w:t>本采购项目</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的</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招标</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/谈判</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文件等</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采购文件</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 xml:space="preserve">乙方的《投标（响应）文件》及《中标（成交）通知书》，甲乙双方同意签订本合同。具体情况及要求如下：     </w:t>
      </w:r>
    </w:p>
    <w:p w14:paraId="68346C64">
      <w:pPr>
        <w:pageBreakBefore w:val="0"/>
        <w:numPr>
          <w:ilvl w:val="0"/>
          <w:numId w:val="4"/>
        </w:numPr>
        <w:kinsoku/>
        <w:wordWrap/>
        <w:overflowPunct/>
        <w:topLinePunct w:val="0"/>
        <w:bidi w:val="0"/>
        <w:adjustRightInd w:val="0"/>
        <w:snapToGrid w:val="0"/>
        <w:spacing w:before="0" w:beforeLines="0" w:afterAutospacing="0" w:line="560" w:lineRule="exact"/>
        <w:ind w:firstLine="562" w:firstLineChars="200"/>
        <w:textAlignment w:val="auto"/>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项目信息</w:t>
      </w:r>
    </w:p>
    <w:p w14:paraId="021F0D62">
      <w:pPr>
        <w:pStyle w:val="14"/>
        <w:pageBreakBefore w:val="0"/>
        <w:numPr>
          <w:ilvl w:val="0"/>
          <w:numId w:val="5"/>
        </w:numPr>
        <w:kinsoku/>
        <w:wordWrap/>
        <w:overflowPunct/>
        <w:topLinePunct w:val="0"/>
        <w:bidi w:val="0"/>
        <w:adjustRightInd w:val="0"/>
        <w:snapToGrid w:val="0"/>
        <w:spacing w:before="0" w:beforeLines="0" w:after="0" w:afterAutospacing="0" w:line="560" w:lineRule="exact"/>
        <w:ind w:left="0" w:leftChars="0" w:firstLine="544" w:firstLineChars="200"/>
        <w:textAlignment w:val="auto"/>
        <w:rPr>
          <w:rFonts w:hint="eastAsia" w:asciiTheme="minorEastAsia" w:hAnsiTheme="minorEastAsia" w:eastAsiaTheme="minorEastAsia" w:cstheme="minorEastAsia"/>
          <w:color w:val="000000" w:themeColor="text1"/>
          <w:sz w:val="28"/>
          <w:szCs w:val="28"/>
          <w:highlight w:val="none"/>
          <w:u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采购项目名称：</w:t>
      </w:r>
      <w: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highlight w:val="none"/>
          <w:u w:val="single"/>
          <w:lang w:eastAsia="zh-CN"/>
          <w14:textFill>
            <w14:solidFill>
              <w14:schemeClr w14:val="tx1"/>
            </w14:solidFill>
          </w14:textFill>
        </w:rPr>
        <w:t>同中标通知书一致</w:t>
      </w:r>
      <w: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t xml:space="preserve">                 </w:t>
      </w:r>
    </w:p>
    <w:p w14:paraId="690436DB">
      <w:pPr>
        <w:pageBreakBefore w:val="0"/>
        <w:kinsoku/>
        <w:wordWrap/>
        <w:overflowPunct/>
        <w:topLinePunct w:val="0"/>
        <w:bidi w:val="0"/>
        <w:adjustRightInd w:val="0"/>
        <w:snapToGrid w:val="0"/>
        <w:spacing w:before="0" w:beforeLines="0" w:afterAutospacing="0" w:line="560" w:lineRule="exact"/>
        <w:ind w:firstLine="560" w:firstLineChars="200"/>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）项目内容：</w:t>
      </w:r>
    </w:p>
    <w:p w14:paraId="1C931A3E">
      <w:pPr>
        <w:pageBreakBefore w:val="0"/>
        <w:numPr>
          <w:ilvl w:val="-1"/>
          <w:numId w:val="0"/>
        </w:numPr>
        <w:kinsoku/>
        <w:wordWrap/>
        <w:overflowPunct/>
        <w:topLinePunct w:val="0"/>
        <w:bidi w:val="0"/>
        <w:adjustRightInd w:val="0"/>
        <w:snapToGrid w:val="0"/>
        <w:spacing w:before="0" w:beforeLines="0" w:afterAutospacing="0" w:line="560" w:lineRule="exact"/>
        <w:ind w:firstLine="560" w:firstLineChars="200"/>
        <w:textAlignment w:val="auto"/>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采购标的及数量</w:t>
      </w:r>
    </w:p>
    <w:tbl>
      <w:tblPr>
        <w:tblStyle w:val="3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1217"/>
        <w:gridCol w:w="1217"/>
        <w:gridCol w:w="1217"/>
        <w:gridCol w:w="1218"/>
        <w:gridCol w:w="1218"/>
        <w:gridCol w:w="1218"/>
      </w:tblGrid>
      <w:tr w14:paraId="02612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Align w:val="center"/>
          </w:tcPr>
          <w:p w14:paraId="11F218A3">
            <w:pPr>
              <w:pageBreakBefore w:val="0"/>
              <w:numPr>
                <w:ilvl w:val="-1"/>
                <w:numId w:val="0"/>
              </w:numPr>
              <w:kinsoku/>
              <w:wordWrap/>
              <w:overflowPunct/>
              <w:topLinePunct w:val="0"/>
              <w:bidi w:val="0"/>
              <w:adjustRightInd w:val="0"/>
              <w:snapToGrid w:val="0"/>
              <w:spacing w:before="0" w:beforeLines="0" w:afterAutospacing="0" w:line="560" w:lineRule="exact"/>
              <w:ind w:left="0" w:leftChars="0" w:firstLine="0" w:firstLineChars="0"/>
              <w:jc w:val="center"/>
              <w:textAlignment w:val="auto"/>
              <w:rPr>
                <w:rFonts w:hint="eastAsia" w:asciiTheme="minorEastAsia" w:hAnsiTheme="minorEastAsia" w:eastAsiaTheme="minorEastAsia" w:cstheme="minorEastAsia"/>
                <w:color w:val="000000" w:themeColor="text1"/>
                <w:kern w:val="2"/>
                <w:sz w:val="28"/>
                <w:szCs w:val="28"/>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产品名称</w:t>
            </w:r>
          </w:p>
        </w:tc>
        <w:tc>
          <w:tcPr>
            <w:tcW w:w="1217" w:type="dxa"/>
            <w:vAlign w:val="center"/>
          </w:tcPr>
          <w:p w14:paraId="1948B546">
            <w:pPr>
              <w:pageBreakBefore w:val="0"/>
              <w:numPr>
                <w:ilvl w:val="-1"/>
                <w:numId w:val="0"/>
              </w:numPr>
              <w:kinsoku/>
              <w:wordWrap/>
              <w:overflowPunct/>
              <w:topLinePunct w:val="0"/>
              <w:bidi w:val="0"/>
              <w:adjustRightInd w:val="0"/>
              <w:snapToGrid w:val="0"/>
              <w:spacing w:before="0" w:beforeLines="0" w:afterAutospacing="0" w:line="560" w:lineRule="exact"/>
              <w:ind w:left="0" w:leftChars="0" w:firstLine="560" w:firstLineChars="200"/>
              <w:jc w:val="center"/>
              <w:textAlignment w:val="auto"/>
              <w:rPr>
                <w:rFonts w:hint="eastAsia" w:asciiTheme="minorEastAsia" w:hAnsiTheme="minorEastAsia" w:eastAsiaTheme="minorEastAsia" w:cstheme="minorEastAsia"/>
                <w:color w:val="000000" w:themeColor="text1"/>
                <w:kern w:val="2"/>
                <w:sz w:val="28"/>
                <w:szCs w:val="28"/>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型号</w:t>
            </w:r>
          </w:p>
        </w:tc>
        <w:tc>
          <w:tcPr>
            <w:tcW w:w="1217" w:type="dxa"/>
            <w:vAlign w:val="center"/>
          </w:tcPr>
          <w:p w14:paraId="48889BE7">
            <w:pPr>
              <w:pageBreakBefore w:val="0"/>
              <w:numPr>
                <w:ilvl w:val="-1"/>
                <w:numId w:val="0"/>
              </w:numPr>
              <w:kinsoku/>
              <w:wordWrap/>
              <w:overflowPunct/>
              <w:topLinePunct w:val="0"/>
              <w:bidi w:val="0"/>
              <w:adjustRightInd w:val="0"/>
              <w:snapToGrid w:val="0"/>
              <w:spacing w:before="0" w:beforeLines="0" w:afterAutospacing="0" w:line="560" w:lineRule="exact"/>
              <w:ind w:left="0" w:leftChars="0" w:firstLine="0" w:firstLineChars="0"/>
              <w:jc w:val="center"/>
              <w:textAlignment w:val="auto"/>
              <w:rPr>
                <w:rFonts w:hint="eastAsia" w:asciiTheme="minorEastAsia" w:hAnsiTheme="minorEastAsia" w:eastAsiaTheme="minorEastAsia" w:cstheme="minorEastAsia"/>
                <w:color w:val="000000" w:themeColor="text1"/>
                <w:kern w:val="2"/>
                <w:sz w:val="28"/>
                <w:szCs w:val="28"/>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生产厂家</w:t>
            </w:r>
          </w:p>
        </w:tc>
        <w:tc>
          <w:tcPr>
            <w:tcW w:w="1217" w:type="dxa"/>
            <w:vAlign w:val="center"/>
          </w:tcPr>
          <w:p w14:paraId="4EE5DD78">
            <w:pPr>
              <w:pageBreakBefore w:val="0"/>
              <w:numPr>
                <w:ilvl w:val="-1"/>
                <w:numId w:val="0"/>
              </w:numPr>
              <w:kinsoku/>
              <w:wordWrap/>
              <w:overflowPunct/>
              <w:topLinePunct w:val="0"/>
              <w:bidi w:val="0"/>
              <w:adjustRightInd w:val="0"/>
              <w:snapToGrid w:val="0"/>
              <w:spacing w:before="0" w:beforeLines="0" w:afterAutospacing="0" w:line="560" w:lineRule="exact"/>
              <w:ind w:left="0" w:leftChars="0" w:firstLine="0" w:firstLineChars="0"/>
              <w:jc w:val="center"/>
              <w:textAlignment w:val="auto"/>
              <w:rPr>
                <w:rFonts w:hint="eastAsia" w:asciiTheme="minorEastAsia" w:hAnsiTheme="minorEastAsia" w:eastAsiaTheme="minorEastAsia" w:cstheme="minorEastAsia"/>
                <w:color w:val="000000" w:themeColor="text1"/>
                <w:kern w:val="2"/>
                <w:sz w:val="28"/>
                <w:szCs w:val="28"/>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注册证号</w:t>
            </w:r>
          </w:p>
        </w:tc>
        <w:tc>
          <w:tcPr>
            <w:tcW w:w="1218" w:type="dxa"/>
            <w:vAlign w:val="center"/>
          </w:tcPr>
          <w:p w14:paraId="4BCF6C10">
            <w:pPr>
              <w:pageBreakBefore w:val="0"/>
              <w:numPr>
                <w:ilvl w:val="-1"/>
                <w:numId w:val="0"/>
              </w:numPr>
              <w:kinsoku/>
              <w:wordWrap/>
              <w:overflowPunct/>
              <w:topLinePunct w:val="0"/>
              <w:bidi w:val="0"/>
              <w:adjustRightInd w:val="0"/>
              <w:snapToGrid w:val="0"/>
              <w:spacing w:before="0" w:beforeLines="0" w:afterAutospacing="0" w:line="560" w:lineRule="exact"/>
              <w:ind w:left="0" w:leftChars="0" w:firstLine="0" w:firstLineChars="0"/>
              <w:jc w:val="center"/>
              <w:textAlignment w:val="auto"/>
              <w:rPr>
                <w:rFonts w:hint="eastAsia" w:asciiTheme="minorEastAsia" w:hAnsiTheme="minorEastAsia" w:eastAsiaTheme="minorEastAsia" w:cstheme="minorEastAsia"/>
                <w:color w:val="000000" w:themeColor="text1"/>
                <w:kern w:val="2"/>
                <w:sz w:val="28"/>
                <w:szCs w:val="28"/>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数量</w:t>
            </w:r>
          </w:p>
        </w:tc>
        <w:tc>
          <w:tcPr>
            <w:tcW w:w="1218" w:type="dxa"/>
            <w:vAlign w:val="center"/>
          </w:tcPr>
          <w:p w14:paraId="064F0183">
            <w:pPr>
              <w:pageBreakBefore w:val="0"/>
              <w:numPr>
                <w:ilvl w:val="-1"/>
                <w:numId w:val="0"/>
              </w:numPr>
              <w:kinsoku/>
              <w:wordWrap/>
              <w:overflowPunct/>
              <w:topLinePunct w:val="0"/>
              <w:bidi w:val="0"/>
              <w:adjustRightInd w:val="0"/>
              <w:snapToGrid w:val="0"/>
              <w:spacing w:before="0" w:beforeLines="0" w:afterAutospacing="0" w:line="560" w:lineRule="exact"/>
              <w:ind w:left="0" w:leftChars="0" w:firstLine="0" w:firstLineChars="0"/>
              <w:jc w:val="center"/>
              <w:textAlignment w:val="auto"/>
              <w:rPr>
                <w:rFonts w:hint="eastAsia" w:asciiTheme="minorEastAsia" w:hAnsiTheme="minorEastAsia" w:eastAsiaTheme="minorEastAsia" w:cstheme="minorEastAsia"/>
                <w:color w:val="000000" w:themeColor="text1"/>
                <w:kern w:val="2"/>
                <w:sz w:val="28"/>
                <w:szCs w:val="28"/>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单价</w:t>
            </w:r>
          </w:p>
        </w:tc>
        <w:tc>
          <w:tcPr>
            <w:tcW w:w="1218" w:type="dxa"/>
            <w:vAlign w:val="center"/>
          </w:tcPr>
          <w:p w14:paraId="54C62F62">
            <w:pPr>
              <w:pageBreakBefore w:val="0"/>
              <w:numPr>
                <w:ilvl w:val="-1"/>
                <w:numId w:val="0"/>
              </w:numPr>
              <w:kinsoku/>
              <w:wordWrap/>
              <w:overflowPunct/>
              <w:topLinePunct w:val="0"/>
              <w:bidi w:val="0"/>
              <w:adjustRightInd w:val="0"/>
              <w:snapToGrid w:val="0"/>
              <w:spacing w:before="0" w:beforeLines="0" w:afterAutospacing="0" w:line="560" w:lineRule="exact"/>
              <w:ind w:left="0" w:leftChars="0" w:firstLine="0" w:firstLineChars="0"/>
              <w:jc w:val="center"/>
              <w:textAlignment w:val="auto"/>
              <w:rPr>
                <w:rFonts w:hint="eastAsia" w:asciiTheme="minorEastAsia" w:hAnsiTheme="minorEastAsia" w:eastAsiaTheme="minorEastAsia" w:cstheme="minorEastAsia"/>
                <w:color w:val="000000" w:themeColor="text1"/>
                <w:kern w:val="2"/>
                <w:sz w:val="28"/>
                <w:szCs w:val="28"/>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合计</w:t>
            </w:r>
          </w:p>
        </w:tc>
      </w:tr>
      <w:tr w14:paraId="03A6B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Align w:val="center"/>
          </w:tcPr>
          <w:p w14:paraId="5A5407F5">
            <w:pPr>
              <w:pStyle w:val="171"/>
              <w:pageBreakBefore w:val="0"/>
              <w:widowControl w:val="0"/>
              <w:kinsoku/>
              <w:wordWrap/>
              <w:overflowPunct/>
              <w:topLinePunct w:val="0"/>
              <w:bidi w:val="0"/>
              <w:spacing w:afterAutospacing="0" w:line="560" w:lineRule="exact"/>
              <w:ind w:firstLine="560" w:firstLineChars="200"/>
              <w:jc w:val="center"/>
              <w:textAlignment w:val="auto"/>
              <w:rPr>
                <w:rFonts w:hint="eastAsia" w:asciiTheme="minorEastAsia" w:hAnsiTheme="minorEastAsia" w:eastAsiaTheme="minorEastAsia" w:cstheme="minorEastAsia"/>
                <w:color w:val="000000" w:themeColor="text1"/>
                <w:sz w:val="28"/>
                <w:szCs w:val="28"/>
                <w:highlight w:val="none"/>
                <w:vertAlign w:val="baseline"/>
                <w:lang w:val="en-US" w:eastAsia="zh-CN" w:bidi="ar-SA"/>
                <w14:textFill>
                  <w14:solidFill>
                    <w14:schemeClr w14:val="tx1"/>
                  </w14:solidFill>
                </w14:textFill>
              </w:rPr>
            </w:pPr>
          </w:p>
        </w:tc>
        <w:tc>
          <w:tcPr>
            <w:tcW w:w="1217" w:type="dxa"/>
            <w:vAlign w:val="center"/>
          </w:tcPr>
          <w:p w14:paraId="2FB5B096">
            <w:pPr>
              <w:pStyle w:val="171"/>
              <w:pageBreakBefore w:val="0"/>
              <w:widowControl w:val="0"/>
              <w:kinsoku/>
              <w:wordWrap/>
              <w:overflowPunct/>
              <w:topLinePunct w:val="0"/>
              <w:bidi w:val="0"/>
              <w:spacing w:afterAutospacing="0" w:line="560" w:lineRule="exact"/>
              <w:ind w:firstLine="560" w:firstLineChars="200"/>
              <w:jc w:val="center"/>
              <w:textAlignment w:val="auto"/>
              <w:rPr>
                <w:rFonts w:hint="eastAsia" w:asciiTheme="minorEastAsia" w:hAnsiTheme="minorEastAsia" w:eastAsiaTheme="minorEastAsia" w:cstheme="minorEastAsia"/>
                <w:color w:val="000000" w:themeColor="text1"/>
                <w:sz w:val="28"/>
                <w:szCs w:val="28"/>
                <w:highlight w:val="none"/>
                <w:vertAlign w:val="baseline"/>
                <w:lang w:val="en-US" w:eastAsia="zh-CN" w:bidi="ar-SA"/>
                <w14:textFill>
                  <w14:solidFill>
                    <w14:schemeClr w14:val="tx1"/>
                  </w14:solidFill>
                </w14:textFill>
              </w:rPr>
            </w:pPr>
          </w:p>
        </w:tc>
        <w:tc>
          <w:tcPr>
            <w:tcW w:w="1217" w:type="dxa"/>
            <w:vAlign w:val="center"/>
          </w:tcPr>
          <w:p w14:paraId="6792E3CD">
            <w:pPr>
              <w:pStyle w:val="171"/>
              <w:pageBreakBefore w:val="0"/>
              <w:widowControl w:val="0"/>
              <w:kinsoku/>
              <w:wordWrap/>
              <w:overflowPunct/>
              <w:topLinePunct w:val="0"/>
              <w:bidi w:val="0"/>
              <w:spacing w:afterAutospacing="0" w:line="560" w:lineRule="exact"/>
              <w:ind w:firstLine="560" w:firstLineChars="200"/>
              <w:jc w:val="center"/>
              <w:textAlignment w:val="auto"/>
              <w:rPr>
                <w:rFonts w:hint="eastAsia" w:asciiTheme="minorEastAsia" w:hAnsiTheme="minorEastAsia" w:eastAsiaTheme="minorEastAsia" w:cstheme="minorEastAsia"/>
                <w:color w:val="000000" w:themeColor="text1"/>
                <w:sz w:val="28"/>
                <w:szCs w:val="28"/>
                <w:highlight w:val="none"/>
                <w:vertAlign w:val="baseline"/>
                <w:lang w:val="en-US" w:eastAsia="zh-CN" w:bidi="ar-SA"/>
                <w14:textFill>
                  <w14:solidFill>
                    <w14:schemeClr w14:val="tx1"/>
                  </w14:solidFill>
                </w14:textFill>
              </w:rPr>
            </w:pPr>
          </w:p>
        </w:tc>
        <w:tc>
          <w:tcPr>
            <w:tcW w:w="1217" w:type="dxa"/>
            <w:vAlign w:val="center"/>
          </w:tcPr>
          <w:p w14:paraId="3DCD73A8">
            <w:pPr>
              <w:pStyle w:val="171"/>
              <w:pageBreakBefore w:val="0"/>
              <w:widowControl w:val="0"/>
              <w:kinsoku/>
              <w:wordWrap/>
              <w:overflowPunct/>
              <w:topLinePunct w:val="0"/>
              <w:bidi w:val="0"/>
              <w:spacing w:afterAutospacing="0" w:line="560" w:lineRule="exact"/>
              <w:ind w:firstLine="560" w:firstLineChars="200"/>
              <w:jc w:val="center"/>
              <w:textAlignment w:val="auto"/>
              <w:rPr>
                <w:rFonts w:hint="eastAsia" w:asciiTheme="minorEastAsia" w:hAnsiTheme="minorEastAsia" w:eastAsiaTheme="minorEastAsia" w:cstheme="minorEastAsia"/>
                <w:color w:val="000000" w:themeColor="text1"/>
                <w:sz w:val="28"/>
                <w:szCs w:val="28"/>
                <w:highlight w:val="none"/>
                <w:vertAlign w:val="baseline"/>
                <w:lang w:val="en-US" w:eastAsia="zh-CN" w:bidi="ar-SA"/>
                <w14:textFill>
                  <w14:solidFill>
                    <w14:schemeClr w14:val="tx1"/>
                  </w14:solidFill>
                </w14:textFill>
              </w:rPr>
            </w:pPr>
          </w:p>
        </w:tc>
        <w:tc>
          <w:tcPr>
            <w:tcW w:w="1218" w:type="dxa"/>
            <w:vAlign w:val="center"/>
          </w:tcPr>
          <w:p w14:paraId="3699A2DF">
            <w:pPr>
              <w:pStyle w:val="171"/>
              <w:pageBreakBefore w:val="0"/>
              <w:widowControl w:val="0"/>
              <w:kinsoku/>
              <w:wordWrap/>
              <w:overflowPunct/>
              <w:topLinePunct w:val="0"/>
              <w:bidi w:val="0"/>
              <w:spacing w:afterAutospacing="0" w:line="560" w:lineRule="exact"/>
              <w:ind w:firstLine="560" w:firstLineChars="200"/>
              <w:jc w:val="center"/>
              <w:textAlignment w:val="auto"/>
              <w:rPr>
                <w:rFonts w:hint="eastAsia" w:asciiTheme="minorEastAsia" w:hAnsiTheme="minorEastAsia" w:eastAsiaTheme="minorEastAsia" w:cstheme="minorEastAsia"/>
                <w:color w:val="000000" w:themeColor="text1"/>
                <w:sz w:val="28"/>
                <w:szCs w:val="28"/>
                <w:highlight w:val="none"/>
                <w:vertAlign w:val="baseline"/>
                <w:lang w:val="en-US" w:eastAsia="zh-CN" w:bidi="ar-SA"/>
                <w14:textFill>
                  <w14:solidFill>
                    <w14:schemeClr w14:val="tx1"/>
                  </w14:solidFill>
                </w14:textFill>
              </w:rPr>
            </w:pPr>
          </w:p>
        </w:tc>
        <w:tc>
          <w:tcPr>
            <w:tcW w:w="1218" w:type="dxa"/>
            <w:vAlign w:val="center"/>
          </w:tcPr>
          <w:p w14:paraId="598A440E">
            <w:pPr>
              <w:pStyle w:val="171"/>
              <w:pageBreakBefore w:val="0"/>
              <w:widowControl w:val="0"/>
              <w:kinsoku/>
              <w:wordWrap/>
              <w:overflowPunct/>
              <w:topLinePunct w:val="0"/>
              <w:bidi w:val="0"/>
              <w:spacing w:afterAutospacing="0" w:line="560" w:lineRule="exact"/>
              <w:ind w:firstLine="560" w:firstLineChars="200"/>
              <w:jc w:val="center"/>
              <w:textAlignment w:val="auto"/>
              <w:rPr>
                <w:rFonts w:hint="eastAsia" w:asciiTheme="minorEastAsia" w:hAnsiTheme="minorEastAsia" w:eastAsiaTheme="minorEastAsia" w:cstheme="minorEastAsia"/>
                <w:color w:val="000000" w:themeColor="text1"/>
                <w:sz w:val="28"/>
                <w:szCs w:val="28"/>
                <w:highlight w:val="none"/>
                <w:vertAlign w:val="baseline"/>
                <w:lang w:val="en-US" w:eastAsia="zh-CN" w:bidi="ar-SA"/>
                <w14:textFill>
                  <w14:solidFill>
                    <w14:schemeClr w14:val="tx1"/>
                  </w14:solidFill>
                </w14:textFill>
              </w:rPr>
            </w:pPr>
          </w:p>
        </w:tc>
        <w:tc>
          <w:tcPr>
            <w:tcW w:w="1218" w:type="dxa"/>
            <w:vAlign w:val="center"/>
          </w:tcPr>
          <w:p w14:paraId="183A069E">
            <w:pPr>
              <w:pStyle w:val="171"/>
              <w:pageBreakBefore w:val="0"/>
              <w:widowControl w:val="0"/>
              <w:kinsoku/>
              <w:wordWrap/>
              <w:overflowPunct/>
              <w:topLinePunct w:val="0"/>
              <w:bidi w:val="0"/>
              <w:spacing w:afterAutospacing="0" w:line="560" w:lineRule="exact"/>
              <w:ind w:firstLine="560" w:firstLineChars="200"/>
              <w:jc w:val="center"/>
              <w:textAlignment w:val="auto"/>
              <w:rPr>
                <w:rFonts w:hint="eastAsia" w:asciiTheme="minorEastAsia" w:hAnsiTheme="minorEastAsia" w:eastAsiaTheme="minorEastAsia" w:cstheme="minorEastAsia"/>
                <w:color w:val="000000" w:themeColor="text1"/>
                <w:sz w:val="28"/>
                <w:szCs w:val="28"/>
                <w:highlight w:val="none"/>
                <w:vertAlign w:val="baseline"/>
                <w:lang w:val="en-US" w:eastAsia="zh-CN" w:bidi="ar-SA"/>
                <w14:textFill>
                  <w14:solidFill>
                    <w14:schemeClr w14:val="tx1"/>
                  </w14:solidFill>
                </w14:textFill>
              </w:rPr>
            </w:pPr>
          </w:p>
        </w:tc>
      </w:tr>
    </w:tbl>
    <w:p w14:paraId="51758120">
      <w:pPr>
        <w:pStyle w:val="171"/>
        <w:pageBreakBefore w:val="0"/>
        <w:numPr>
          <w:ilvl w:val="-1"/>
          <w:numId w:val="0"/>
        </w:numPr>
        <w:kinsoku/>
        <w:wordWrap/>
        <w:overflowPunct/>
        <w:topLinePunct w:val="0"/>
        <w:bidi w:val="0"/>
        <w:adjustRightInd w:val="0"/>
        <w:snapToGrid w:val="0"/>
        <w:spacing w:before="0" w:beforeLines="0" w:afterAutospacing="0" w:line="560" w:lineRule="exact"/>
        <w:ind w:left="0" w:firstLine="420" w:firstLineChars="0"/>
        <w:textAlignment w:val="auto"/>
        <w:rPr>
          <w:rFonts w:hint="eastAsia" w:asciiTheme="minorEastAsia" w:hAnsiTheme="minorEastAsia" w:eastAsiaTheme="minorEastAsia" w:cstheme="minorEastAsia"/>
          <w:iCs w:val="0"/>
          <w:color w:val="000000" w:themeColor="text1"/>
          <w:sz w:val="28"/>
          <w:szCs w:val="28"/>
          <w:highlight w:val="none"/>
          <w:lang w:eastAsia="zh-CN"/>
          <w14:textFill>
            <w14:solidFill>
              <w14:schemeClr w14:val="tx1"/>
            </w14:solidFill>
          </w14:textFill>
        </w:rPr>
      </w:pPr>
      <w:r>
        <w:rPr>
          <w:rFonts w:hint="eastAsia" w:asciiTheme="minorEastAsia" w:hAnsiTheme="minorEastAsia" w:eastAsiaTheme="minorEastAsia" w:cstheme="minorEastAsia"/>
          <w:iCs w:val="0"/>
          <w:color w:val="000000" w:themeColor="text1"/>
          <w:sz w:val="28"/>
          <w:szCs w:val="28"/>
          <w:highlight w:val="none"/>
          <w:lang w:val="en-US" w:eastAsia="zh-CN"/>
          <w14:textFill>
            <w14:solidFill>
              <w14:schemeClr w14:val="tx1"/>
            </w14:solidFill>
          </w14:textFill>
        </w:rPr>
        <w:t>（3）采购方式：</w:t>
      </w:r>
      <w:r>
        <w:rPr>
          <w:rFonts w:hint="eastAsia" w:asciiTheme="minorEastAsia" w:hAnsiTheme="minorEastAsia" w:eastAsiaTheme="minorEastAsia" w:cstheme="minorEastAsia"/>
          <w:iCs w:val="0"/>
          <w:color w:val="000000" w:themeColor="text1"/>
          <w:sz w:val="28"/>
          <w:szCs w:val="28"/>
          <w:highlight w:val="none"/>
          <w14:textFill>
            <w14:solidFill>
              <w14:schemeClr w14:val="tx1"/>
            </w14:solidFill>
          </w14:textFill>
        </w:rPr>
        <w:sym w:font="Wingdings" w:char="00FE"/>
      </w:r>
      <w:r>
        <w:rPr>
          <w:rFonts w:hint="eastAsia" w:asciiTheme="minorEastAsia" w:hAnsiTheme="minorEastAsia" w:eastAsiaTheme="minorEastAsia" w:cstheme="minorEastAsia"/>
          <w:iCs w:val="0"/>
          <w:color w:val="000000" w:themeColor="text1"/>
          <w:sz w:val="28"/>
          <w:szCs w:val="28"/>
          <w:highlight w:val="none"/>
          <w:lang w:eastAsia="zh-CN"/>
          <w14:textFill>
            <w14:solidFill>
              <w14:schemeClr w14:val="tx1"/>
            </w14:solidFill>
          </w14:textFill>
        </w:rPr>
        <w:t>公开招标</w:t>
      </w:r>
      <w:r>
        <w:rPr>
          <w:rFonts w:hint="eastAsia" w:asciiTheme="minorEastAsia" w:hAnsiTheme="minorEastAsia" w:eastAsiaTheme="minorEastAsia" w:cstheme="minorEastAsia"/>
          <w:iCs w:val="0"/>
          <w:color w:val="000000" w:themeColor="text1"/>
          <w:sz w:val="28"/>
          <w:szCs w:val="28"/>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iCs w:val="0"/>
          <w:color w:val="000000" w:themeColor="text1"/>
          <w:sz w:val="28"/>
          <w:szCs w:val="28"/>
          <w:highlight w:val="none"/>
          <w14:textFill>
            <w14:solidFill>
              <w14:schemeClr w14:val="tx1"/>
            </w14:solidFill>
          </w14:textFill>
        </w:rPr>
        <w:sym w:font="Wingdings" w:char="00A8"/>
      </w:r>
      <w:r>
        <w:rPr>
          <w:rFonts w:hint="eastAsia" w:asciiTheme="minorEastAsia" w:hAnsiTheme="minorEastAsia" w:eastAsiaTheme="minorEastAsia" w:cstheme="minorEastAsia"/>
          <w:iCs w:val="0"/>
          <w:color w:val="000000" w:themeColor="text1"/>
          <w:sz w:val="28"/>
          <w:szCs w:val="28"/>
          <w:highlight w:val="none"/>
          <w:lang w:eastAsia="zh-CN"/>
          <w14:textFill>
            <w14:solidFill>
              <w14:schemeClr w14:val="tx1"/>
            </w14:solidFill>
          </w14:textFill>
        </w:rPr>
        <w:t>邀请招标</w:t>
      </w:r>
      <w:r>
        <w:rPr>
          <w:rFonts w:hint="eastAsia" w:asciiTheme="minorEastAsia" w:hAnsiTheme="minorEastAsia" w:eastAsiaTheme="minorEastAsia" w:cstheme="minorEastAsia"/>
          <w:iCs w:val="0"/>
          <w:color w:val="000000" w:themeColor="text1"/>
          <w:sz w:val="28"/>
          <w:szCs w:val="28"/>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iCs w:val="0"/>
          <w:color w:val="000000" w:themeColor="text1"/>
          <w:sz w:val="28"/>
          <w:szCs w:val="28"/>
          <w:highlight w:val="none"/>
          <w14:textFill>
            <w14:solidFill>
              <w14:schemeClr w14:val="tx1"/>
            </w14:solidFill>
          </w14:textFill>
        </w:rPr>
        <w:sym w:font="Wingdings" w:char="00A8"/>
      </w:r>
      <w:r>
        <w:rPr>
          <w:rFonts w:hint="eastAsia" w:asciiTheme="minorEastAsia" w:hAnsiTheme="minorEastAsia" w:eastAsiaTheme="minorEastAsia" w:cstheme="minorEastAsia"/>
          <w:iCs w:val="0"/>
          <w:color w:val="000000" w:themeColor="text1"/>
          <w:sz w:val="28"/>
          <w:szCs w:val="28"/>
          <w:highlight w:val="none"/>
          <w:lang w:eastAsia="zh-CN"/>
          <w14:textFill>
            <w14:solidFill>
              <w14:schemeClr w14:val="tx1"/>
            </w14:solidFill>
          </w14:textFill>
        </w:rPr>
        <w:t>竞争性谈判</w:t>
      </w:r>
      <w:r>
        <w:rPr>
          <w:rFonts w:hint="eastAsia" w:asciiTheme="minorEastAsia" w:hAnsiTheme="minorEastAsia" w:eastAsiaTheme="minorEastAsia" w:cstheme="minorEastAsia"/>
          <w:iCs w:val="0"/>
          <w:color w:val="000000" w:themeColor="text1"/>
          <w:sz w:val="28"/>
          <w:szCs w:val="28"/>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iCs w:val="0"/>
          <w:color w:val="000000" w:themeColor="text1"/>
          <w:sz w:val="28"/>
          <w:szCs w:val="28"/>
          <w:highlight w:val="none"/>
          <w14:textFill>
            <w14:solidFill>
              <w14:schemeClr w14:val="tx1"/>
            </w14:solidFill>
          </w14:textFill>
        </w:rPr>
        <w:sym w:font="Wingdings" w:char="00A8"/>
      </w:r>
      <w:r>
        <w:rPr>
          <w:rFonts w:hint="eastAsia" w:asciiTheme="minorEastAsia" w:hAnsiTheme="minorEastAsia" w:eastAsiaTheme="minorEastAsia" w:cstheme="minorEastAsia"/>
          <w:iCs w:val="0"/>
          <w:color w:val="000000" w:themeColor="text1"/>
          <w:sz w:val="28"/>
          <w:szCs w:val="28"/>
          <w:highlight w:val="none"/>
          <w:lang w:eastAsia="zh-CN"/>
          <w14:textFill>
            <w14:solidFill>
              <w14:schemeClr w14:val="tx1"/>
            </w14:solidFill>
          </w14:textFill>
        </w:rPr>
        <w:t>竞争性磋商</w:t>
      </w:r>
    </w:p>
    <w:p w14:paraId="67CC3C1F">
      <w:pPr>
        <w:pStyle w:val="171"/>
        <w:pageBreakBefore w:val="0"/>
        <w:numPr>
          <w:ilvl w:val="-1"/>
          <w:numId w:val="0"/>
        </w:numPr>
        <w:kinsoku/>
        <w:wordWrap/>
        <w:overflowPunct/>
        <w:topLinePunct w:val="0"/>
        <w:bidi w:val="0"/>
        <w:adjustRightInd w:val="0"/>
        <w:snapToGrid w:val="0"/>
        <w:spacing w:before="0" w:beforeLines="0" w:afterAutospacing="0" w:line="560" w:lineRule="exact"/>
        <w:ind w:left="0" w:firstLine="420" w:firstLineChars="0"/>
        <w:textAlignment w:val="auto"/>
        <w:rPr>
          <w:rFonts w:hint="eastAsia" w:asciiTheme="minorEastAsia" w:hAnsiTheme="minorEastAsia" w:eastAsiaTheme="minorEastAsia" w:cstheme="minorEastAsia"/>
          <w:iCs w:val="0"/>
          <w:color w:val="000000" w:themeColor="text1"/>
          <w:sz w:val="28"/>
          <w:szCs w:val="28"/>
          <w:highlight w:val="none"/>
          <w:u w:val="singl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u w:val="none"/>
          <w:lang w:val="en-US" w:eastAsia="zh-CN"/>
          <w14:textFill>
            <w14:solidFill>
              <w14:schemeClr w14:val="tx1"/>
            </w14:solidFill>
          </w14:textFill>
        </w:rPr>
        <w:t xml:space="preserve">                  </w:t>
      </w:r>
      <w:r>
        <w:rPr>
          <w:rFonts w:hint="eastAsia" w:asciiTheme="minorEastAsia" w:hAnsiTheme="minorEastAsia" w:eastAsiaTheme="minorEastAsia" w:cstheme="minorEastAsia"/>
          <w:iCs w:val="0"/>
          <w:color w:val="000000" w:themeColor="text1"/>
          <w:sz w:val="28"/>
          <w:szCs w:val="28"/>
          <w:highlight w:val="none"/>
          <w14:textFill>
            <w14:solidFill>
              <w14:schemeClr w14:val="tx1"/>
            </w14:solidFill>
          </w14:textFill>
        </w:rPr>
        <w:sym w:font="Wingdings" w:char="00A8"/>
      </w:r>
      <w:r>
        <w:rPr>
          <w:rFonts w:hint="eastAsia" w:asciiTheme="minorEastAsia" w:hAnsiTheme="minorEastAsia" w:eastAsiaTheme="minorEastAsia" w:cstheme="minorEastAsia"/>
          <w:iCs w:val="0"/>
          <w:color w:val="000000" w:themeColor="text1"/>
          <w:sz w:val="28"/>
          <w:szCs w:val="28"/>
          <w:highlight w:val="none"/>
          <w:lang w:eastAsia="zh-CN"/>
          <w14:textFill>
            <w14:solidFill>
              <w14:schemeClr w14:val="tx1"/>
            </w14:solidFill>
          </w14:textFill>
        </w:rPr>
        <w:t>询价</w:t>
      </w:r>
      <w:r>
        <w:rPr>
          <w:rFonts w:hint="eastAsia" w:asciiTheme="minorEastAsia" w:hAnsiTheme="minorEastAsia" w:eastAsiaTheme="minorEastAsia" w:cstheme="minorEastAsia"/>
          <w:iCs w:val="0"/>
          <w:color w:val="000000" w:themeColor="text1"/>
          <w:sz w:val="28"/>
          <w:szCs w:val="28"/>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iCs w:val="0"/>
          <w:color w:val="000000" w:themeColor="text1"/>
          <w:sz w:val="28"/>
          <w:szCs w:val="28"/>
          <w:highlight w:val="none"/>
          <w14:textFill>
            <w14:solidFill>
              <w14:schemeClr w14:val="tx1"/>
            </w14:solidFill>
          </w14:textFill>
        </w:rPr>
        <w:sym w:font="Wingdings" w:char="00A8"/>
      </w:r>
      <w:r>
        <w:rPr>
          <w:rFonts w:hint="eastAsia" w:asciiTheme="minorEastAsia" w:hAnsiTheme="minorEastAsia" w:eastAsiaTheme="minorEastAsia" w:cstheme="minorEastAsia"/>
          <w:iCs w:val="0"/>
          <w:color w:val="000000" w:themeColor="text1"/>
          <w:sz w:val="28"/>
          <w:szCs w:val="28"/>
          <w:highlight w:val="none"/>
          <w:lang w:eastAsia="zh-CN"/>
          <w14:textFill>
            <w14:solidFill>
              <w14:schemeClr w14:val="tx1"/>
            </w14:solidFill>
          </w14:textFill>
        </w:rPr>
        <w:t>单一来源</w:t>
      </w:r>
      <w:r>
        <w:rPr>
          <w:rFonts w:hint="eastAsia" w:asciiTheme="minorEastAsia" w:hAnsiTheme="minorEastAsia" w:eastAsiaTheme="minorEastAsia" w:cstheme="minorEastAsia"/>
          <w:iCs w:val="0"/>
          <w:color w:val="000000" w:themeColor="text1"/>
          <w:sz w:val="28"/>
          <w:szCs w:val="28"/>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iCs w:val="0"/>
          <w:color w:val="000000" w:themeColor="text1"/>
          <w:sz w:val="28"/>
          <w:szCs w:val="28"/>
          <w:highlight w:val="none"/>
          <w14:textFill>
            <w14:solidFill>
              <w14:schemeClr w14:val="tx1"/>
            </w14:solidFill>
          </w14:textFill>
        </w:rPr>
        <w:sym w:font="Wingdings" w:char="00A8"/>
      </w:r>
      <w:r>
        <w:rPr>
          <w:rFonts w:hint="eastAsia" w:asciiTheme="minorEastAsia" w:hAnsiTheme="minorEastAsia" w:eastAsiaTheme="minorEastAsia" w:cstheme="minorEastAsia"/>
          <w:iCs w:val="0"/>
          <w:color w:val="000000" w:themeColor="text1"/>
          <w:sz w:val="28"/>
          <w:szCs w:val="28"/>
          <w:highlight w:val="none"/>
          <w:lang w:eastAsia="zh-CN"/>
          <w14:textFill>
            <w14:solidFill>
              <w14:schemeClr w14:val="tx1"/>
            </w14:solidFill>
          </w14:textFill>
        </w:rPr>
        <w:t>框架协议</w:t>
      </w:r>
      <w:r>
        <w:rPr>
          <w:rFonts w:hint="eastAsia" w:asciiTheme="minorEastAsia" w:hAnsiTheme="minorEastAsia" w:eastAsiaTheme="minorEastAsia" w:cstheme="minorEastAsia"/>
          <w:iCs w:val="0"/>
          <w:color w:val="000000" w:themeColor="text1"/>
          <w:sz w:val="28"/>
          <w:szCs w:val="28"/>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iCs w:val="0"/>
          <w:color w:val="000000" w:themeColor="text1"/>
          <w:sz w:val="28"/>
          <w:szCs w:val="28"/>
          <w:highlight w:val="none"/>
          <w14:textFill>
            <w14:solidFill>
              <w14:schemeClr w14:val="tx1"/>
            </w14:solidFill>
          </w14:textFill>
        </w:rPr>
        <w:sym w:font="Wingdings" w:char="00A8"/>
      </w:r>
      <w:r>
        <w:rPr>
          <w:rFonts w:hint="eastAsia" w:asciiTheme="minorEastAsia" w:hAnsiTheme="minorEastAsia" w:eastAsiaTheme="minorEastAsia" w:cstheme="minorEastAsia"/>
          <w:iCs w:val="0"/>
          <w:color w:val="000000" w:themeColor="text1"/>
          <w:sz w:val="28"/>
          <w:szCs w:val="28"/>
          <w:highlight w:val="none"/>
          <w:lang w:eastAsia="zh-CN"/>
          <w14:textFill>
            <w14:solidFill>
              <w14:schemeClr w14:val="tx1"/>
            </w14:solidFill>
          </w14:textFill>
        </w:rPr>
        <w:t>其他：</w:t>
      </w:r>
      <w:r>
        <w:rPr>
          <w:rFonts w:hint="eastAsia" w:asciiTheme="minorEastAsia" w:hAnsiTheme="minorEastAsia" w:eastAsiaTheme="minorEastAsia" w:cstheme="minorEastAsia"/>
          <w:iCs w:val="0"/>
          <w:color w:val="000000" w:themeColor="text1"/>
          <w:sz w:val="28"/>
          <w:szCs w:val="28"/>
          <w:highlight w:val="none"/>
          <w:u w:val="single"/>
          <w:lang w:val="en-US" w:eastAsia="zh-CN"/>
          <w14:textFill>
            <w14:solidFill>
              <w14:schemeClr w14:val="tx1"/>
            </w14:solidFill>
          </w14:textFill>
        </w:rPr>
        <w:t xml:space="preserve">          </w:t>
      </w:r>
    </w:p>
    <w:p w14:paraId="68DD6ACD">
      <w:pPr>
        <w:pStyle w:val="171"/>
        <w:pageBreakBefore w:val="0"/>
        <w:numPr>
          <w:ilvl w:val="-1"/>
          <w:numId w:val="0"/>
        </w:numPr>
        <w:kinsoku/>
        <w:wordWrap/>
        <w:overflowPunct/>
        <w:topLinePunct w:val="0"/>
        <w:bidi w:val="0"/>
        <w:adjustRightInd w:val="0"/>
        <w:snapToGrid w:val="0"/>
        <w:spacing w:before="0" w:beforeLines="0" w:afterAutospacing="0" w:line="560" w:lineRule="exact"/>
        <w:ind w:firstLine="560" w:firstLineChars="200"/>
        <w:textAlignment w:val="auto"/>
        <w:rPr>
          <w:rFonts w:hint="eastAsia" w:asciiTheme="minorEastAsia" w:hAnsiTheme="minorEastAsia" w:eastAsiaTheme="minorEastAsia" w:cstheme="minorEastAsia"/>
          <w:iCs w:val="0"/>
          <w:color w:val="000000" w:themeColor="text1"/>
          <w:sz w:val="28"/>
          <w:szCs w:val="28"/>
          <w:highlight w:val="none"/>
          <w:u w:val="single"/>
          <w:lang w:val="en-US" w:eastAsia="zh-CN"/>
          <w14:textFill>
            <w14:solidFill>
              <w14:schemeClr w14:val="tx1"/>
            </w14:solidFill>
          </w14:textFill>
        </w:rPr>
      </w:pPr>
      <w:r>
        <w:rPr>
          <w:rFonts w:hint="eastAsia" w:asciiTheme="minorEastAsia" w:hAnsiTheme="minorEastAsia" w:eastAsiaTheme="minorEastAsia" w:cstheme="minorEastAsia"/>
          <w:iCs w:val="0"/>
          <w:color w:val="000000" w:themeColor="text1"/>
          <w:sz w:val="28"/>
          <w:szCs w:val="28"/>
          <w:highlight w:val="none"/>
          <w:u w:val="none"/>
          <w:lang w:val="en-US" w:eastAsia="zh-CN"/>
          <w14:textFill>
            <w14:solidFill>
              <w14:schemeClr w14:val="tx1"/>
            </w14:solidFill>
          </w14:textFill>
        </w:rPr>
        <w:t>（4）交货期：</w:t>
      </w:r>
      <w:r>
        <w:rPr>
          <w:rFonts w:hint="eastAsia" w:asciiTheme="minorEastAsia" w:hAnsiTheme="minorEastAsia" w:eastAsiaTheme="minorEastAsia" w:cstheme="minorEastAsia"/>
          <w:iCs w:val="0"/>
          <w:color w:val="000000" w:themeColor="text1"/>
          <w:sz w:val="28"/>
          <w:szCs w:val="28"/>
          <w:highlight w:val="none"/>
          <w:u w:val="single"/>
          <w:lang w:val="en-US" w:eastAsia="zh-CN"/>
          <w14:textFill>
            <w14:solidFill>
              <w14:schemeClr w14:val="tx1"/>
            </w14:solidFill>
          </w14:textFill>
        </w:rPr>
        <w:t>自合同签订（成交通知书下发）之日起   日内完成项目最终验收。</w:t>
      </w:r>
    </w:p>
    <w:p w14:paraId="421E8127">
      <w:pPr>
        <w:pageBreakBefore w:val="0"/>
        <w:numPr>
          <w:ilvl w:val="0"/>
          <w:numId w:val="4"/>
        </w:numPr>
        <w:kinsoku/>
        <w:wordWrap/>
        <w:overflowPunct/>
        <w:topLinePunct w:val="0"/>
        <w:bidi w:val="0"/>
        <w:adjustRightInd w:val="0"/>
        <w:snapToGrid w:val="0"/>
        <w:spacing w:before="0" w:beforeLines="0" w:afterAutospacing="0" w:line="560" w:lineRule="exact"/>
        <w:ind w:firstLine="562" w:firstLineChars="200"/>
        <w:textAlignment w:val="auto"/>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合同金额</w:t>
      </w:r>
    </w:p>
    <w:p w14:paraId="6B7A3687">
      <w:pPr>
        <w:pageBreakBefore w:val="0"/>
        <w:kinsoku/>
        <w:wordWrap/>
        <w:overflowPunct/>
        <w:topLinePunct w:val="0"/>
        <w:bidi w:val="0"/>
        <w:adjustRightInd w:val="0"/>
        <w:snapToGrid w:val="0"/>
        <w:spacing w:before="0" w:beforeLines="0" w:afterAutospacing="0" w:line="560" w:lineRule="exact"/>
        <w:ind w:firstLine="560" w:firstLineChars="200"/>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（1）合同金额小写：</w:t>
      </w:r>
      <w: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t xml:space="preserve">      </w:t>
      </w:r>
    </w:p>
    <w:p w14:paraId="4E3566AC">
      <w:pPr>
        <w:pageBreakBefore w:val="0"/>
        <w:kinsoku/>
        <w:wordWrap/>
        <w:overflowPunct/>
        <w:topLinePunct w:val="0"/>
        <w:bidi w:val="0"/>
        <w:adjustRightInd w:val="0"/>
        <w:snapToGrid w:val="0"/>
        <w:spacing w:before="0" w:beforeLines="0" w:afterAutospacing="0" w:line="560" w:lineRule="exact"/>
        <w:ind w:left="0" w:firstLine="0" w:firstLineChars="0"/>
        <w:textAlignment w:val="auto"/>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大写：</w:t>
      </w:r>
      <w: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t xml:space="preserve">      </w:t>
      </w:r>
    </w:p>
    <w:p w14:paraId="39BC7E21">
      <w:pPr>
        <w:pageBreakBefore w:val="0"/>
        <w:kinsoku/>
        <w:wordWrap/>
        <w:overflowPunct/>
        <w:topLinePunct w:val="0"/>
        <w:bidi w:val="0"/>
        <w:adjustRightInd w:val="0"/>
        <w:snapToGrid w:val="0"/>
        <w:spacing w:before="0" w:beforeLines="0" w:afterAutospacing="0" w:line="560" w:lineRule="exact"/>
        <w:ind w:firstLine="0" w:firstLineChars="0"/>
        <w:textAlignment w:val="auto"/>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highlight w:val="none"/>
          <w:lang w:val="zh-CN" w:eastAsia="zh-CN"/>
          <w14:textFill>
            <w14:solidFill>
              <w14:schemeClr w14:val="tx1"/>
            </w14:solidFill>
          </w14:textFill>
        </w:rPr>
        <w:t>本合同总金额为含税价格，乙方因本合同而须支付的各项税费由乙方自行承担，不再向甲方收取。</w:t>
      </w:r>
    </w:p>
    <w:p w14:paraId="5DF6D4D5">
      <w:pPr>
        <w:pageBreakBefore w:val="0"/>
        <w:numPr>
          <w:ilvl w:val="-1"/>
          <w:numId w:val="0"/>
        </w:numPr>
        <w:kinsoku/>
        <w:wordWrap/>
        <w:overflowPunct/>
        <w:topLinePunct w:val="0"/>
        <w:bidi w:val="0"/>
        <w:adjustRightInd w:val="0"/>
        <w:snapToGrid w:val="0"/>
        <w:spacing w:before="0" w:beforeLines="0" w:afterAutospacing="0" w:line="560" w:lineRule="exact"/>
        <w:ind w:firstLine="0" w:firstLineChars="0"/>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合同定价方式</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（采用组合定价方式的，可以勾选多项）</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w:t>
      </w:r>
    </w:p>
    <w:p w14:paraId="33F5C227">
      <w:pPr>
        <w:pageBreakBefore w:val="0"/>
        <w:kinsoku/>
        <w:wordWrap/>
        <w:overflowPunct/>
        <w:topLinePunct w:val="0"/>
        <w:bidi w:val="0"/>
        <w:adjustRightInd w:val="0"/>
        <w:snapToGrid w:val="0"/>
        <w:spacing w:before="0" w:beforeLines="0" w:afterAutospacing="0" w:line="560" w:lineRule="exact"/>
        <w:ind w:firstLine="560" w:firstLineChars="200"/>
        <w:textAlignment w:val="auto"/>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pPr>
      <w:r>
        <w:rPr>
          <w:rFonts w:hint="eastAsia" w:asciiTheme="minorEastAsia" w:hAnsiTheme="minorEastAsia" w:eastAsiaTheme="minorEastAsia" w:cstheme="minorEastAsia"/>
          <w:iCs/>
          <w:color w:val="000000" w:themeColor="text1"/>
          <w:sz w:val="28"/>
          <w:szCs w:val="28"/>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iCs/>
          <w:color w:val="000000" w:themeColor="text1"/>
          <w:sz w:val="28"/>
          <w:szCs w:val="28"/>
          <w:highlight w:val="none"/>
          <w14:textFill>
            <w14:solidFill>
              <w14:schemeClr w14:val="tx1"/>
            </w14:solidFill>
          </w14:textFill>
        </w:rPr>
        <w:sym w:font="Wingdings" w:char="00A8"/>
      </w:r>
      <w:r>
        <w:rPr>
          <w:rFonts w:hint="eastAsia" w:asciiTheme="minorEastAsia" w:hAnsiTheme="minorEastAsia" w:eastAsiaTheme="minorEastAsia" w:cstheme="minorEastAsia"/>
          <w:iCs/>
          <w:color w:val="000000" w:themeColor="text1"/>
          <w:sz w:val="28"/>
          <w:szCs w:val="28"/>
          <w:highlight w:val="none"/>
          <w14:textFill>
            <w14:solidFill>
              <w14:schemeClr w14:val="tx1"/>
            </w14:solidFill>
          </w14:textFill>
        </w:rPr>
        <w:t xml:space="preserve">固定总价 </w:t>
      </w:r>
      <w:r>
        <w:rPr>
          <w:rFonts w:hint="eastAsia" w:asciiTheme="minorEastAsia" w:hAnsiTheme="minorEastAsia" w:eastAsiaTheme="minorEastAsia" w:cstheme="minorEastAsia"/>
          <w:iCs/>
          <w:color w:val="000000" w:themeColor="text1"/>
          <w:sz w:val="28"/>
          <w:szCs w:val="28"/>
          <w:highlight w:val="none"/>
          <w14:textFill>
            <w14:solidFill>
              <w14:schemeClr w14:val="tx1"/>
            </w14:solidFill>
          </w14:textFill>
        </w:rPr>
        <w:sym w:font="Wingdings" w:char="00A8"/>
      </w:r>
      <w:r>
        <w:rPr>
          <w:rFonts w:hint="eastAsia" w:asciiTheme="minorEastAsia" w:hAnsiTheme="minorEastAsia" w:eastAsiaTheme="minorEastAsia" w:cstheme="minorEastAsia"/>
          <w:iCs/>
          <w:color w:val="000000" w:themeColor="text1"/>
          <w:sz w:val="28"/>
          <w:szCs w:val="28"/>
          <w:highlight w:val="none"/>
          <w14:textFill>
            <w14:solidFill>
              <w14:schemeClr w14:val="tx1"/>
            </w14:solidFill>
          </w14:textFill>
        </w:rPr>
        <w:t>固定单价</w:t>
      </w:r>
      <w:r>
        <w:rPr>
          <w:rFonts w:hint="eastAsia" w:asciiTheme="minorEastAsia" w:hAnsiTheme="minorEastAsia" w:eastAsiaTheme="minorEastAsia" w:cstheme="minorEastAsia"/>
          <w:iCs/>
          <w:color w:val="000000" w:themeColor="text1"/>
          <w:sz w:val="28"/>
          <w:szCs w:val="28"/>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iCs/>
          <w:color w:val="000000" w:themeColor="text1"/>
          <w:sz w:val="28"/>
          <w:szCs w:val="28"/>
          <w:highlight w:val="none"/>
          <w14:textFill>
            <w14:solidFill>
              <w14:schemeClr w14:val="tx1"/>
            </w14:solidFill>
          </w14:textFill>
        </w:rPr>
        <w:sym w:font="Wingdings" w:char="00A8"/>
      </w:r>
      <w:r>
        <w:rPr>
          <w:rFonts w:hint="eastAsia" w:asciiTheme="minorEastAsia" w:hAnsiTheme="minorEastAsia" w:eastAsiaTheme="minorEastAsia" w:cstheme="minorEastAsia"/>
          <w:iCs/>
          <w:color w:val="000000" w:themeColor="text1"/>
          <w:sz w:val="28"/>
          <w:szCs w:val="28"/>
          <w:highlight w:val="none"/>
          <w:lang w:eastAsia="zh-CN"/>
          <w14:textFill>
            <w14:solidFill>
              <w14:schemeClr w14:val="tx1"/>
            </w14:solidFill>
          </w14:textFill>
        </w:rPr>
        <w:t>固定费率</w:t>
      </w:r>
      <w:r>
        <w:rPr>
          <w:rFonts w:hint="eastAsia" w:asciiTheme="minorEastAsia" w:hAnsiTheme="minorEastAsia" w:eastAsiaTheme="minorEastAsia" w:cstheme="minorEastAsia"/>
          <w:iCs/>
          <w:color w:val="000000" w:themeColor="text1"/>
          <w:sz w:val="28"/>
          <w:szCs w:val="28"/>
          <w:highlight w:val="none"/>
          <w14:textFill>
            <w14:solidFill>
              <w14:schemeClr w14:val="tx1"/>
            </w14:solidFill>
          </w14:textFill>
        </w:rPr>
        <w:t xml:space="preserve"> </w:t>
      </w:r>
      <w:r>
        <w:rPr>
          <w:rFonts w:hint="eastAsia" w:asciiTheme="minorEastAsia" w:hAnsiTheme="minorEastAsia" w:eastAsiaTheme="minorEastAsia" w:cstheme="minorEastAsia"/>
          <w:iCs/>
          <w:color w:val="000000" w:themeColor="text1"/>
          <w:sz w:val="28"/>
          <w:szCs w:val="28"/>
          <w:highlight w:val="none"/>
          <w14:textFill>
            <w14:solidFill>
              <w14:schemeClr w14:val="tx1"/>
            </w14:solidFill>
          </w14:textFill>
        </w:rPr>
        <w:sym w:font="Wingdings" w:char="00A8"/>
      </w:r>
      <w:r>
        <w:rPr>
          <w:rFonts w:hint="eastAsia" w:asciiTheme="minorEastAsia" w:hAnsiTheme="minorEastAsia" w:eastAsiaTheme="minorEastAsia" w:cstheme="minorEastAsia"/>
          <w:iCs/>
          <w:color w:val="000000" w:themeColor="text1"/>
          <w:sz w:val="28"/>
          <w:szCs w:val="28"/>
          <w:highlight w:val="none"/>
          <w14:textFill>
            <w14:solidFill>
              <w14:schemeClr w14:val="tx1"/>
            </w14:solidFill>
          </w14:textFill>
        </w:rPr>
        <w:t xml:space="preserve">成本补偿 </w:t>
      </w:r>
      <w:r>
        <w:rPr>
          <w:rFonts w:hint="eastAsia" w:asciiTheme="minorEastAsia" w:hAnsiTheme="minorEastAsia" w:eastAsiaTheme="minorEastAsia" w:cstheme="minorEastAsia"/>
          <w:iCs/>
          <w:color w:val="000000" w:themeColor="text1"/>
          <w:sz w:val="28"/>
          <w:szCs w:val="28"/>
          <w:highlight w:val="none"/>
          <w14:textFill>
            <w14:solidFill>
              <w14:schemeClr w14:val="tx1"/>
            </w14:solidFill>
          </w14:textFill>
        </w:rPr>
        <w:sym w:font="Wingdings" w:char="00A8"/>
      </w:r>
      <w:r>
        <w:rPr>
          <w:rFonts w:hint="eastAsia" w:asciiTheme="minorEastAsia" w:hAnsiTheme="minorEastAsia" w:eastAsiaTheme="minorEastAsia" w:cstheme="minorEastAsia"/>
          <w:iCs/>
          <w:color w:val="000000" w:themeColor="text1"/>
          <w:sz w:val="28"/>
          <w:szCs w:val="28"/>
          <w:highlight w:val="none"/>
          <w14:textFill>
            <w14:solidFill>
              <w14:schemeClr w14:val="tx1"/>
            </w14:solidFill>
          </w14:textFill>
        </w:rPr>
        <w:t>绩效激励</w:t>
      </w:r>
      <w:r>
        <w:rPr>
          <w:rFonts w:hint="eastAsia" w:asciiTheme="minorEastAsia" w:hAnsiTheme="minorEastAsia" w:eastAsiaTheme="minorEastAsia" w:cstheme="minorEastAsia"/>
          <w:iCs/>
          <w:color w:val="000000" w:themeColor="text1"/>
          <w:sz w:val="28"/>
          <w:szCs w:val="28"/>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iCs/>
          <w:color w:val="000000" w:themeColor="text1"/>
          <w:sz w:val="28"/>
          <w:szCs w:val="28"/>
          <w:highlight w:val="none"/>
          <w14:textFill>
            <w14:solidFill>
              <w14:schemeClr w14:val="tx1"/>
            </w14:solidFill>
          </w14:textFill>
        </w:rPr>
        <w:sym w:font="Wingdings" w:char="00A8"/>
      </w:r>
      <w:r>
        <w:rPr>
          <w:rFonts w:hint="eastAsia" w:asciiTheme="minorEastAsia" w:hAnsiTheme="minorEastAsia" w:eastAsiaTheme="minorEastAsia" w:cstheme="minorEastAsia"/>
          <w:iCs/>
          <w:color w:val="000000" w:themeColor="text1"/>
          <w:sz w:val="28"/>
          <w:szCs w:val="28"/>
          <w:highlight w:val="none"/>
          <w:lang w:eastAsia="zh-CN"/>
          <w14:textFill>
            <w14:solidFill>
              <w14:schemeClr w14:val="tx1"/>
            </w14:solidFill>
          </w14:textFill>
        </w:rPr>
        <w:t>其他</w:t>
      </w:r>
      <w: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t xml:space="preserve">       </w:t>
      </w:r>
    </w:p>
    <w:p w14:paraId="75A06AE4">
      <w:pPr>
        <w:pStyle w:val="105"/>
        <w:pageBreakBefore w:val="0"/>
        <w:kinsoku/>
        <w:wordWrap/>
        <w:overflowPunct/>
        <w:topLinePunct w:val="0"/>
        <w:bidi w:val="0"/>
        <w:spacing w:beforeLines="0" w:afterAutospacing="0" w:line="560" w:lineRule="exac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）付款方式（按项目实际勾选填写）：</w:t>
      </w:r>
    </w:p>
    <w:p w14:paraId="7CA4E3FA">
      <w:pPr>
        <w:pageBreakBefore w:val="0"/>
        <w:kinsoku/>
        <w:wordWrap/>
        <w:overflowPunct/>
        <w:topLinePunct w:val="0"/>
        <w:bidi w:val="0"/>
        <w:adjustRightInd w:val="0"/>
        <w:snapToGrid w:val="0"/>
        <w:spacing w:before="0" w:beforeLines="0" w:afterAutospacing="0" w:line="560" w:lineRule="exact"/>
        <w:ind w:firstLine="840" w:firstLineChars="300"/>
        <w:textAlignment w:val="auto"/>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sym w:font="Wingdings" w:char="00A8"/>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全额付款：</w:t>
      </w:r>
      <w:r>
        <w:rPr>
          <w:rFonts w:hint="eastAsia" w:asciiTheme="minorEastAsia" w:hAnsiTheme="minorEastAsia" w:eastAsiaTheme="minorEastAsia" w:cstheme="minorEastAsia"/>
          <w:color w:val="000000" w:themeColor="text1"/>
          <w:sz w:val="28"/>
          <w:szCs w:val="28"/>
          <w:highlight w:val="none"/>
          <w:u w:val="single"/>
          <w:lang w:eastAsia="zh-CN"/>
          <w14:textFill>
            <w14:solidFill>
              <w14:schemeClr w14:val="tx1"/>
            </w14:solidFill>
          </w14:textFill>
        </w:rPr>
        <w:t>待</w:t>
      </w:r>
      <w:r>
        <w:rPr>
          <w:rFonts w:hint="eastAsia" w:asciiTheme="minorEastAsia" w:hAnsiTheme="minorEastAsia" w:eastAsiaTheme="minorEastAsia" w:cstheme="minorEastAsia"/>
          <w:color w:val="000000" w:themeColor="text1"/>
          <w:sz w:val="28"/>
          <w:szCs w:val="28"/>
          <w:highlight w:val="none"/>
          <w:u w:val="single"/>
          <w:lang w:val="en-US" w:eastAsia="zh-CN"/>
          <w14:textFill>
            <w14:solidFill>
              <w14:schemeClr w14:val="tx1"/>
            </w14:solidFill>
          </w14:textFill>
        </w:rPr>
        <w:t xml:space="preserve">     最终验收合格后，甲方一次性支付货款。                           </w:t>
      </w:r>
      <w: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t xml:space="preserve">                  </w:t>
      </w:r>
    </w:p>
    <w:p w14:paraId="37A3FD44">
      <w:pPr>
        <w:pageBreakBefore w:val="0"/>
        <w:kinsoku/>
        <w:wordWrap/>
        <w:overflowPunct/>
        <w:topLinePunct w:val="0"/>
        <w:bidi w:val="0"/>
        <w:snapToGrid w:val="0"/>
        <w:spacing w:beforeLines="0" w:afterAutospacing="0" w:line="560" w:lineRule="exact"/>
        <w:ind w:firstLine="840" w:firstLineChars="300"/>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sym w:font="Wingdings" w:char="00FE"/>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分期付款：</w:t>
      </w:r>
      <w:r>
        <w:rPr>
          <w:rFonts w:hint="eastAsia" w:asciiTheme="minorEastAsia" w:hAnsiTheme="minorEastAsia" w:eastAsiaTheme="minorEastAsia" w:cstheme="minorEastAsia"/>
          <w:color w:val="000000" w:themeColor="text1"/>
          <w:sz w:val="28"/>
          <w:szCs w:val="28"/>
          <w:highlight w:val="none"/>
          <w:u w:val="single"/>
          <w:lang w:eastAsia="zh-CN"/>
          <w14:textFill>
            <w14:solidFill>
              <w14:schemeClr w14:val="tx1"/>
            </w14:solidFill>
          </w14:textFill>
        </w:rPr>
        <w:t>货物抵达交货地点安装、调试、验收合格，设备使用满贰个月后甲方向供应商支付合同总金额的</w:t>
      </w:r>
      <w:r>
        <w:rPr>
          <w:rFonts w:hint="eastAsia" w:asciiTheme="minorEastAsia" w:hAnsiTheme="minorEastAsia" w:eastAsiaTheme="minorEastAsia" w:cstheme="minorEastAsia"/>
          <w:color w:val="000000" w:themeColor="text1"/>
          <w:sz w:val="28"/>
          <w:szCs w:val="28"/>
          <w:highlight w:val="none"/>
          <w:u w:val="single"/>
          <w:lang w:val="en-US" w:eastAsia="zh-CN"/>
          <w14:textFill>
            <w14:solidFill>
              <w14:schemeClr w14:val="tx1"/>
            </w14:solidFill>
          </w14:textFill>
        </w:rPr>
        <w:t>80%，设备使用满壹年后甲方向供应商制度合同总金额的10%，合同全部内容履约完成后，无任何质量问题后支付合同金额的剩余10%。</w:t>
      </w:r>
    </w:p>
    <w:p w14:paraId="30514831">
      <w:pPr>
        <w:pageBreakBefore w:val="0"/>
        <w:numPr>
          <w:ilvl w:val="0"/>
          <w:numId w:val="4"/>
        </w:numPr>
        <w:kinsoku/>
        <w:wordWrap/>
        <w:overflowPunct/>
        <w:topLinePunct w:val="0"/>
        <w:bidi w:val="0"/>
        <w:adjustRightInd w:val="0"/>
        <w:snapToGrid w:val="0"/>
        <w:spacing w:before="0" w:beforeLines="0" w:afterAutospacing="0" w:line="560" w:lineRule="exact"/>
        <w:ind w:firstLine="562" w:firstLineChars="200"/>
        <w:textAlignment w:val="auto"/>
        <w:rPr>
          <w:rFonts w:hint="eastAsia" w:asciiTheme="minorEastAsia" w:hAnsiTheme="minorEastAsia" w:eastAsiaTheme="minorEastAsia" w:cstheme="minorEastAsia"/>
          <w:b/>
          <w:bCs w:val="0"/>
          <w:color w:val="000000" w:themeColor="text1"/>
          <w:sz w:val="28"/>
          <w:szCs w:val="28"/>
          <w:highlight w:val="none"/>
          <w:u w:val="single"/>
          <w14:textFill>
            <w14:solidFill>
              <w14:schemeClr w14:val="tx1"/>
            </w14:solidFill>
          </w14:textFill>
        </w:rPr>
      </w:pPr>
      <w:r>
        <w:rPr>
          <w:rFonts w:hint="eastAsia" w:asciiTheme="minorEastAsia" w:hAnsiTheme="minorEastAsia" w:eastAsiaTheme="minorEastAsia" w:cstheme="minorEastAsia"/>
          <w:b/>
          <w:bCs w:val="0"/>
          <w:color w:val="000000" w:themeColor="text1"/>
          <w:sz w:val="28"/>
          <w:szCs w:val="28"/>
          <w:highlight w:val="none"/>
          <w14:textFill>
            <w14:solidFill>
              <w14:schemeClr w14:val="tx1"/>
            </w14:solidFill>
          </w14:textFill>
        </w:rPr>
        <w:t>合同履行</w:t>
      </w:r>
    </w:p>
    <w:p w14:paraId="5CEC98C5">
      <w:pPr>
        <w:pageBreakBefore w:val="0"/>
        <w:kinsoku/>
        <w:wordWrap/>
        <w:overflowPunct/>
        <w:topLinePunct w:val="0"/>
        <w:bidi w:val="0"/>
        <w:adjustRightInd w:val="0"/>
        <w:snapToGrid w:val="0"/>
        <w:spacing w:before="0" w:beforeLines="0" w:afterAutospacing="0" w:line="560" w:lineRule="exact"/>
        <w:ind w:firstLine="560" w:firstLineChars="200"/>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（1）起始日期：</w:t>
      </w:r>
      <w:r>
        <w:rPr>
          <w:rFonts w:hint="eastAsia" w:asciiTheme="minorEastAsia" w:hAnsiTheme="minorEastAsia" w:eastAsiaTheme="minorEastAsia" w:cstheme="minorEastAsia"/>
          <w:color w:val="000000" w:themeColor="text1"/>
          <w:sz w:val="28"/>
          <w:szCs w:val="28"/>
          <w:highlight w:val="none"/>
          <w:u w:val="single"/>
          <w:lang w:eastAsia="zh-CN"/>
          <w14:textFill>
            <w14:solidFill>
              <w14:schemeClr w14:val="tx1"/>
            </w14:solidFill>
          </w14:textFill>
        </w:rPr>
        <w:t>自成交通知书下发之日起至质保期结束且货物无任何质量问题止</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w:t>
      </w:r>
    </w:p>
    <w:p w14:paraId="3471E3F1">
      <w:pPr>
        <w:pageBreakBefore w:val="0"/>
        <w:kinsoku/>
        <w:wordWrap/>
        <w:overflowPunct/>
        <w:topLinePunct w:val="0"/>
        <w:bidi w:val="0"/>
        <w:adjustRightInd w:val="0"/>
        <w:snapToGrid w:val="0"/>
        <w:spacing w:before="0" w:beforeLines="0" w:afterAutospacing="0" w:line="560" w:lineRule="exact"/>
        <w:ind w:firstLine="560" w:firstLineChars="200"/>
        <w:textAlignment w:val="auto"/>
        <w:rPr>
          <w:rFonts w:hint="eastAsia" w:asciiTheme="minorEastAsia" w:hAnsiTheme="minorEastAsia" w:eastAsiaTheme="minorEastAsia" w:cstheme="minorEastAsia"/>
          <w:color w:val="000000" w:themeColor="text1"/>
          <w:sz w:val="28"/>
          <w:szCs w:val="28"/>
          <w:highlight w:val="none"/>
          <w:u w:val="single"/>
          <w:lang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（2）</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履约</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地点</w:t>
      </w:r>
      <w:r>
        <w:rPr>
          <w:rFonts w:hint="eastAsia" w:asciiTheme="minorEastAsia" w:hAnsiTheme="minorEastAsia" w:eastAsiaTheme="minorEastAsia" w:cstheme="minorEastAsia"/>
          <w:b w:val="0"/>
          <w:bCs/>
          <w:color w:val="000000" w:themeColor="text1"/>
          <w:sz w:val="28"/>
          <w:szCs w:val="28"/>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8"/>
          <w:szCs w:val="28"/>
          <w:highlight w:val="none"/>
          <w:u w:val="single"/>
          <w:lang w:eastAsia="zh-CN"/>
          <w14:textFill>
            <w14:solidFill>
              <w14:schemeClr w14:val="tx1"/>
            </w14:solidFill>
          </w14:textFill>
        </w:rPr>
        <w:t>哈密市中心医院</w:t>
      </w:r>
    </w:p>
    <w:p w14:paraId="5861B8AD">
      <w:pPr>
        <w:pageBreakBefore w:val="0"/>
        <w:kinsoku/>
        <w:wordWrap/>
        <w:overflowPunct/>
        <w:topLinePunct w:val="0"/>
        <w:bidi w:val="0"/>
        <w:adjustRightInd w:val="0"/>
        <w:snapToGrid w:val="0"/>
        <w:spacing w:before="0" w:beforeLines="0" w:afterAutospacing="0" w:line="560" w:lineRule="exact"/>
        <w:ind w:firstLine="560" w:firstLineChars="200"/>
        <w:textAlignment w:val="auto"/>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pP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（3）履约担保：</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是否收取履约保证金：</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sym w:font="Wingdings" w:char="00A8"/>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是</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sym w:font="Wingdings" w:char="00A8"/>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否</w:t>
      </w:r>
    </w:p>
    <w:p w14:paraId="3CDEBC56">
      <w:pPr>
        <w:pStyle w:val="171"/>
        <w:pageBreakBefore w:val="0"/>
        <w:kinsoku/>
        <w:wordWrap/>
        <w:overflowPunct/>
        <w:topLinePunct w:val="0"/>
        <w:bidi w:val="0"/>
        <w:spacing w:beforeLines="0" w:afterAutospacing="0" w:line="560" w:lineRule="exact"/>
        <w:textAlignment w:val="auto"/>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8"/>
          <w:szCs w:val="28"/>
          <w:highlight w:val="none"/>
          <w:u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 xml:space="preserve">  收取履约保证金形式：</w:t>
      </w:r>
      <w:r>
        <w:rPr>
          <w:rFonts w:hint="eastAsia" w:asciiTheme="minorEastAsia" w:hAnsiTheme="minorEastAsia" w:eastAsiaTheme="minorEastAsia" w:cstheme="minorEastAsia"/>
          <w:bCs/>
          <w:color w:val="000000" w:themeColor="text1"/>
          <w:sz w:val="28"/>
          <w:szCs w:val="28"/>
          <w:highlight w:val="none"/>
          <w:u w:val="single"/>
          <w:lang w:eastAsia="zh-CN"/>
          <w14:textFill>
            <w14:solidFill>
              <w14:schemeClr w14:val="tx1"/>
            </w14:solidFill>
          </w14:textFill>
        </w:rPr>
        <w:t>转账</w:t>
      </w:r>
      <w:r>
        <w:rPr>
          <w:rFonts w:hint="eastAsia" w:asciiTheme="minorEastAsia" w:hAnsiTheme="minorEastAsia" w:eastAsiaTheme="minorEastAsia" w:cstheme="minorEastAsia"/>
          <w:bCs/>
          <w:color w:val="000000" w:themeColor="text1"/>
          <w:sz w:val="28"/>
          <w:szCs w:val="28"/>
          <w:highlight w:val="none"/>
          <w:u w:val="single"/>
          <w14:textFill>
            <w14:solidFill>
              <w14:schemeClr w14:val="tx1"/>
            </w14:solidFill>
          </w14:textFill>
        </w:rPr>
        <w:t xml:space="preserve"> </w:t>
      </w:r>
    </w:p>
    <w:p w14:paraId="59FC02D0">
      <w:pPr>
        <w:pStyle w:val="171"/>
        <w:pageBreakBefore w:val="0"/>
        <w:kinsoku/>
        <w:wordWrap/>
        <w:overflowPunct/>
        <w:topLinePunct w:val="0"/>
        <w:bidi w:val="0"/>
        <w:spacing w:beforeLines="0" w:afterAutospacing="0" w:line="560" w:lineRule="exact"/>
        <w:textAlignment w:val="auto"/>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 xml:space="preserve">    收取履约保证金金额：</w:t>
      </w:r>
      <w:r>
        <w:rPr>
          <w:rFonts w:hint="eastAsia" w:asciiTheme="minorEastAsia" w:hAnsiTheme="minorEastAsia" w:eastAsiaTheme="minorEastAsia" w:cstheme="minorEastAsia"/>
          <w:bCs/>
          <w:color w:val="000000" w:themeColor="text1"/>
          <w:sz w:val="28"/>
          <w:szCs w:val="28"/>
          <w:highlight w:val="none"/>
          <w:u w:val="single"/>
          <w14:textFill>
            <w14:solidFill>
              <w14:schemeClr w14:val="tx1"/>
            </w14:solidFill>
          </w14:textFill>
        </w:rPr>
        <w:t xml:space="preserve">                            </w:t>
      </w:r>
    </w:p>
    <w:p w14:paraId="662EFFEA">
      <w:pPr>
        <w:pageBreakBefore w:val="0"/>
        <w:kinsoku/>
        <w:wordWrap/>
        <w:overflowPunct/>
        <w:topLinePunct w:val="0"/>
        <w:bidi w:val="0"/>
        <w:snapToGrid w:val="0"/>
        <w:spacing w:beforeLines="0" w:afterAutospacing="0" w:line="560" w:lineRule="exact"/>
        <w:ind w:firstLine="560" w:firstLineChars="200"/>
        <w:textAlignment w:val="auto"/>
        <w:rPr>
          <w:rFonts w:hint="eastAsia" w:asciiTheme="minorEastAsia" w:hAnsiTheme="minorEastAsia" w:eastAsiaTheme="minorEastAsia" w:cstheme="minorEastAsia"/>
          <w:bCs/>
          <w:color w:val="000000" w:themeColor="text1"/>
          <w:kern w:val="2"/>
          <w:sz w:val="28"/>
          <w:szCs w:val="28"/>
          <w:highlight w:val="none"/>
          <w:u w:val="none"/>
          <w:lang w:val="en-US" w:eastAsia="zh-CN" w:bidi="ar-SA"/>
          <w14:textFill>
            <w14:solidFill>
              <w14:schemeClr w14:val="tx1"/>
            </w14:solidFill>
          </w14:textFill>
        </w:rPr>
      </w:pPr>
      <w:r>
        <w:rPr>
          <w:rFonts w:hint="eastAsia" w:asciiTheme="minorEastAsia" w:hAnsiTheme="minorEastAsia" w:eastAsiaTheme="minorEastAsia" w:cstheme="minorEastAsia"/>
          <w:bCs/>
          <w:color w:val="000000" w:themeColor="text1"/>
          <w:sz w:val="28"/>
          <w:szCs w:val="28"/>
          <w:highlight w:val="none"/>
          <w:u w:val="none"/>
          <w:lang w:val="en-US" w:eastAsia="zh-CN"/>
          <w14:textFill>
            <w14:solidFill>
              <w14:schemeClr w14:val="tx1"/>
            </w14:solidFill>
          </w14:textFill>
        </w:rPr>
        <w:t xml:space="preserve">    履约担保期限</w:t>
      </w:r>
      <w:r>
        <w:rPr>
          <w:rFonts w:hint="eastAsia" w:asciiTheme="minorEastAsia" w:hAnsiTheme="minorEastAsia" w:eastAsiaTheme="minorEastAsia" w:cstheme="minorEastAsia"/>
          <w:bCs/>
          <w:color w:val="000000" w:themeColor="text1"/>
          <w:sz w:val="28"/>
          <w:szCs w:val="28"/>
          <w:highlight w:val="none"/>
          <w:u w:val="none"/>
          <w:lang w:eastAsia="zh-CN"/>
          <w14:textFill>
            <w14:solidFill>
              <w14:schemeClr w14:val="tx1"/>
            </w14:solidFill>
          </w14:textFill>
        </w:rPr>
        <w:t>：</w:t>
      </w:r>
      <w:r>
        <w:rPr>
          <w:rFonts w:hint="eastAsia" w:asciiTheme="minorEastAsia" w:hAnsiTheme="minorEastAsia" w:eastAsiaTheme="minorEastAsia" w:cstheme="minorEastAsia"/>
          <w:bCs/>
          <w:color w:val="000000" w:themeColor="text1"/>
          <w:sz w:val="28"/>
          <w:szCs w:val="28"/>
          <w:highlight w:val="none"/>
          <w:u w:val="single"/>
          <w:lang w:eastAsia="zh-CN"/>
          <w14:textFill>
            <w14:solidFill>
              <w14:schemeClr w14:val="tx1"/>
            </w14:solidFill>
          </w14:textFill>
        </w:rPr>
        <w:t>中标之日起至乙方完成合同约定的所有责任、义务。</w:t>
      </w:r>
      <w:r>
        <w:rPr>
          <w:rFonts w:hint="eastAsia" w:asciiTheme="minorEastAsia" w:hAnsiTheme="minorEastAsia" w:eastAsiaTheme="minorEastAsia" w:cstheme="minorEastAsia"/>
          <w:bCs/>
          <w:color w:val="000000" w:themeColor="text1"/>
          <w:kern w:val="2"/>
          <w:sz w:val="28"/>
          <w:szCs w:val="28"/>
          <w:highlight w:val="none"/>
          <w:u w:val="none"/>
          <w:lang w:val="en-US" w:eastAsia="zh-CN" w:bidi="ar-SA"/>
          <w14:textFill>
            <w14:solidFill>
              <w14:schemeClr w14:val="tx1"/>
            </w14:solidFill>
          </w14:textFill>
        </w:rPr>
        <w:t xml:space="preserve">  </w:t>
      </w:r>
    </w:p>
    <w:p w14:paraId="04BEE083">
      <w:pPr>
        <w:pStyle w:val="171"/>
        <w:pageBreakBefore w:val="0"/>
        <w:kinsoku/>
        <w:wordWrap/>
        <w:overflowPunct/>
        <w:topLinePunct w:val="0"/>
        <w:bidi w:val="0"/>
        <w:spacing w:afterAutospacing="0" w:line="560" w:lineRule="exact"/>
        <w:textAlignment w:val="auto"/>
        <w:rPr>
          <w:rFonts w:hint="eastAsia" w:asciiTheme="minorEastAsia" w:hAnsiTheme="minorEastAsia" w:eastAsiaTheme="minorEastAsia" w:cstheme="minorEastAsia"/>
          <w:bCs/>
          <w:color w:val="000000" w:themeColor="text1"/>
          <w:kern w:val="2"/>
          <w:sz w:val="28"/>
          <w:szCs w:val="28"/>
          <w:highlight w:val="none"/>
          <w:u w:val="none"/>
          <w:lang w:val="en-US" w:eastAsia="zh-CN" w:bidi="ar-SA"/>
          <w14:textFill>
            <w14:solidFill>
              <w14:schemeClr w14:val="tx1"/>
            </w14:solidFill>
          </w14:textFill>
        </w:rPr>
      </w:pPr>
      <w:r>
        <w:rPr>
          <w:rFonts w:hint="eastAsia" w:asciiTheme="minorEastAsia" w:hAnsiTheme="minorEastAsia" w:eastAsiaTheme="minorEastAsia" w:cstheme="minorEastAsia"/>
          <w:bCs/>
          <w:color w:val="000000" w:themeColor="text1"/>
          <w:kern w:val="2"/>
          <w:sz w:val="28"/>
          <w:szCs w:val="28"/>
          <w:highlight w:val="none"/>
          <w:u w:val="none"/>
          <w:lang w:val="en-US" w:eastAsia="zh-CN" w:bidi="ar-SA"/>
          <w14:textFill>
            <w14:solidFill>
              <w14:schemeClr w14:val="tx1"/>
            </w14:solidFill>
          </w14:textFill>
        </w:rPr>
        <w:t>汇款信息</w:t>
      </w:r>
    </w:p>
    <w:p w14:paraId="61F895E5">
      <w:pPr>
        <w:pStyle w:val="171"/>
        <w:pageBreakBefore w:val="0"/>
        <w:kinsoku/>
        <w:wordWrap/>
        <w:overflowPunct/>
        <w:topLinePunct w:val="0"/>
        <w:bidi w:val="0"/>
        <w:spacing w:afterAutospacing="0" w:line="560" w:lineRule="exact"/>
        <w:textAlignment w:val="auto"/>
        <w:rPr>
          <w:rFonts w:hint="eastAsia" w:asciiTheme="minorEastAsia" w:hAnsiTheme="minorEastAsia" w:eastAsiaTheme="minorEastAsia" w:cstheme="minorEastAsia"/>
          <w:bCs/>
          <w:color w:val="000000" w:themeColor="text1"/>
          <w:kern w:val="2"/>
          <w:sz w:val="28"/>
          <w:szCs w:val="28"/>
          <w:highlight w:val="none"/>
          <w:u w:val="none"/>
          <w:lang w:val="en-US" w:eastAsia="zh-CN" w:bidi="ar-SA"/>
          <w14:textFill>
            <w14:solidFill>
              <w14:schemeClr w14:val="tx1"/>
            </w14:solidFill>
          </w14:textFill>
        </w:rPr>
      </w:pPr>
      <w:r>
        <w:rPr>
          <w:rFonts w:hint="eastAsia" w:asciiTheme="minorEastAsia" w:hAnsiTheme="minorEastAsia" w:eastAsiaTheme="minorEastAsia" w:cstheme="minorEastAsia"/>
          <w:bCs/>
          <w:color w:val="000000" w:themeColor="text1"/>
          <w:kern w:val="2"/>
          <w:sz w:val="28"/>
          <w:szCs w:val="28"/>
          <w:highlight w:val="none"/>
          <w:u w:val="none"/>
          <w:lang w:val="en-US" w:eastAsia="zh-CN" w:bidi="ar-SA"/>
          <w14:textFill>
            <w14:solidFill>
              <w14:schemeClr w14:val="tx1"/>
            </w14:solidFill>
          </w14:textFill>
        </w:rPr>
        <w:t>户名：哈密市中心医院</w:t>
      </w:r>
    </w:p>
    <w:p w14:paraId="0E0FE47B">
      <w:pPr>
        <w:pStyle w:val="171"/>
        <w:pageBreakBefore w:val="0"/>
        <w:kinsoku/>
        <w:wordWrap/>
        <w:overflowPunct/>
        <w:topLinePunct w:val="0"/>
        <w:bidi w:val="0"/>
        <w:spacing w:afterAutospacing="0" w:line="560" w:lineRule="exact"/>
        <w:textAlignment w:val="auto"/>
        <w:rPr>
          <w:rFonts w:hint="eastAsia" w:asciiTheme="minorEastAsia" w:hAnsiTheme="minorEastAsia" w:eastAsiaTheme="minorEastAsia" w:cstheme="minorEastAsia"/>
          <w:bCs/>
          <w:color w:val="000000" w:themeColor="text1"/>
          <w:kern w:val="2"/>
          <w:sz w:val="28"/>
          <w:szCs w:val="28"/>
          <w:highlight w:val="none"/>
          <w:u w:val="none"/>
          <w:lang w:val="en-US" w:eastAsia="zh-CN" w:bidi="ar-SA"/>
          <w14:textFill>
            <w14:solidFill>
              <w14:schemeClr w14:val="tx1"/>
            </w14:solidFill>
          </w14:textFill>
        </w:rPr>
      </w:pPr>
      <w:r>
        <w:rPr>
          <w:rFonts w:hint="eastAsia" w:asciiTheme="minorEastAsia" w:hAnsiTheme="minorEastAsia" w:eastAsiaTheme="minorEastAsia" w:cstheme="minorEastAsia"/>
          <w:bCs/>
          <w:color w:val="000000" w:themeColor="text1"/>
          <w:kern w:val="2"/>
          <w:sz w:val="28"/>
          <w:szCs w:val="28"/>
          <w:highlight w:val="none"/>
          <w:u w:val="none"/>
          <w:lang w:val="en-US" w:eastAsia="zh-CN" w:bidi="ar-SA"/>
          <w14:textFill>
            <w14:solidFill>
              <w14:schemeClr w14:val="tx1"/>
            </w14:solidFill>
          </w14:textFill>
        </w:rPr>
        <w:t>账号：30285901040000148</w:t>
      </w:r>
    </w:p>
    <w:p w14:paraId="19B48477">
      <w:pPr>
        <w:pStyle w:val="171"/>
        <w:pageBreakBefore w:val="0"/>
        <w:kinsoku/>
        <w:wordWrap/>
        <w:overflowPunct/>
        <w:topLinePunct w:val="0"/>
        <w:bidi w:val="0"/>
        <w:spacing w:afterAutospacing="0" w:line="560" w:lineRule="exact"/>
        <w:textAlignment w:val="auto"/>
        <w:rPr>
          <w:rFonts w:hint="eastAsia" w:asciiTheme="minorEastAsia" w:hAnsiTheme="minorEastAsia" w:eastAsiaTheme="minorEastAsia" w:cstheme="minorEastAsia"/>
          <w:bCs/>
          <w:color w:val="000000" w:themeColor="text1"/>
          <w:kern w:val="2"/>
          <w:sz w:val="28"/>
          <w:szCs w:val="28"/>
          <w:highlight w:val="none"/>
          <w:u w:val="none"/>
          <w:lang w:val="en-US" w:eastAsia="zh-CN" w:bidi="ar-SA"/>
          <w14:textFill>
            <w14:solidFill>
              <w14:schemeClr w14:val="tx1"/>
            </w14:solidFill>
          </w14:textFill>
        </w:rPr>
      </w:pPr>
      <w:r>
        <w:rPr>
          <w:rFonts w:hint="eastAsia" w:asciiTheme="minorEastAsia" w:hAnsiTheme="minorEastAsia" w:eastAsiaTheme="minorEastAsia" w:cstheme="minorEastAsia"/>
          <w:bCs/>
          <w:color w:val="000000" w:themeColor="text1"/>
          <w:kern w:val="2"/>
          <w:sz w:val="28"/>
          <w:szCs w:val="28"/>
          <w:highlight w:val="none"/>
          <w:u w:val="none"/>
          <w:lang w:val="en-US" w:eastAsia="zh-CN" w:bidi="ar-SA"/>
          <w14:textFill>
            <w14:solidFill>
              <w14:schemeClr w14:val="tx1"/>
            </w14:solidFill>
          </w14:textFill>
        </w:rPr>
        <w:t>开户行：中国农业银行股份有限公司哈密胜利路支行</w:t>
      </w:r>
    </w:p>
    <w:p w14:paraId="635F2E58">
      <w:pPr>
        <w:pageBreakBefore w:val="0"/>
        <w:numPr>
          <w:ilvl w:val="0"/>
          <w:numId w:val="4"/>
        </w:numPr>
        <w:kinsoku/>
        <w:wordWrap/>
        <w:overflowPunct/>
        <w:topLinePunct w:val="0"/>
        <w:bidi w:val="0"/>
        <w:adjustRightInd w:val="0"/>
        <w:snapToGrid w:val="0"/>
        <w:spacing w:before="0" w:beforeLines="0" w:afterAutospacing="0" w:line="560" w:lineRule="exact"/>
        <w:ind w:firstLine="562" w:firstLineChars="200"/>
        <w:textAlignment w:val="auto"/>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合同验收</w:t>
      </w:r>
    </w:p>
    <w:p w14:paraId="61DCB6BD">
      <w:pPr>
        <w:pageBreakBefore w:val="0"/>
        <w:numPr>
          <w:ilvl w:val="0"/>
          <w:numId w:val="6"/>
        </w:numPr>
        <w:kinsoku/>
        <w:wordWrap/>
        <w:overflowPunct/>
        <w:topLinePunct w:val="0"/>
        <w:bidi w:val="0"/>
        <w:adjustRightInd w:val="0"/>
        <w:snapToGrid w:val="0"/>
        <w:spacing w:before="0" w:beforeLines="0" w:afterAutospacing="0" w:line="560" w:lineRule="exact"/>
        <w:ind w:firstLine="560" w:firstLineChars="200"/>
        <w:textAlignment w:val="auto"/>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验收组织方式：</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sym w:font="Wingdings" w:char="00FE"/>
      </w: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 xml:space="preserve">自行组织 </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sym w:font="Wingdings" w:char="00A8"/>
      </w: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委托第三方组织</w:t>
      </w:r>
    </w:p>
    <w:p w14:paraId="2ACD5161">
      <w:pPr>
        <w:pageBreakBefore w:val="0"/>
        <w:numPr>
          <w:ilvl w:val="0"/>
          <w:numId w:val="0"/>
        </w:numPr>
        <w:kinsoku/>
        <w:wordWrap/>
        <w:overflowPunct/>
        <w:topLinePunct w:val="0"/>
        <w:bidi w:val="0"/>
        <w:adjustRightInd w:val="0"/>
        <w:snapToGrid w:val="0"/>
        <w:spacing w:before="0" w:beforeLines="0" w:afterAutospacing="0" w:line="560" w:lineRule="exact"/>
        <w:textAlignment w:val="auto"/>
        <w:rPr>
          <w:rFonts w:hint="eastAsia" w:asciiTheme="minorEastAsia" w:hAnsiTheme="minorEastAsia" w:eastAsiaTheme="minorEastAsia" w:cstheme="minorEastAsia"/>
          <w:bCs/>
          <w:color w:val="000000" w:themeColor="text1"/>
          <w:sz w:val="28"/>
          <w:szCs w:val="28"/>
          <w:highlight w:val="none"/>
          <w:u w:val="single"/>
          <w14:textFill>
            <w14:solidFill>
              <w14:schemeClr w14:val="tx1"/>
            </w14:solidFill>
          </w14:textFill>
        </w:rPr>
      </w:pPr>
      <w:r>
        <w:rPr>
          <w:rFonts w:hint="eastAsia" w:asciiTheme="minorEastAsia" w:hAnsiTheme="minorEastAsia" w:eastAsiaTheme="minorEastAsia" w:cstheme="minorEastAsia"/>
          <w:bCs/>
          <w:color w:val="000000" w:themeColor="text1"/>
          <w:sz w:val="28"/>
          <w:szCs w:val="28"/>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验收主体：</w:t>
      </w:r>
      <w:r>
        <w:rPr>
          <w:rFonts w:hint="eastAsia" w:asciiTheme="minorEastAsia" w:hAnsiTheme="minorEastAsia" w:eastAsiaTheme="minorEastAsia" w:cstheme="minorEastAsia"/>
          <w:bCs/>
          <w:color w:val="000000" w:themeColor="text1"/>
          <w:sz w:val="28"/>
          <w:szCs w:val="28"/>
          <w:highlight w:val="none"/>
          <w:u w:val="single"/>
          <w:lang w:eastAsia="zh-CN"/>
          <w14:textFill>
            <w14:solidFill>
              <w14:schemeClr w14:val="tx1"/>
            </w14:solidFill>
          </w14:textFill>
        </w:rPr>
        <w:t>甲方、乙方</w:t>
      </w:r>
    </w:p>
    <w:p w14:paraId="09AB701B">
      <w:pPr>
        <w:pageBreakBefore w:val="0"/>
        <w:numPr>
          <w:ilvl w:val="0"/>
          <w:numId w:val="6"/>
        </w:numPr>
        <w:kinsoku/>
        <w:wordWrap/>
        <w:overflowPunct/>
        <w:topLinePunct w:val="0"/>
        <w:bidi w:val="0"/>
        <w:adjustRightInd w:val="0"/>
        <w:snapToGrid w:val="0"/>
        <w:spacing w:before="0" w:beforeLines="0" w:afterAutospacing="0" w:line="560" w:lineRule="exact"/>
        <w:ind w:left="0" w:leftChars="0" w:firstLine="560" w:firstLineChars="200"/>
        <w:textAlignment w:val="auto"/>
        <w:rPr>
          <w:rFonts w:hint="eastAsia" w:asciiTheme="minorEastAsia" w:hAnsiTheme="minorEastAsia" w:eastAsiaTheme="minorEastAsia" w:cstheme="minorEastAsia"/>
          <w:bCs/>
          <w:color w:val="000000" w:themeColor="text1"/>
          <w:sz w:val="28"/>
          <w:szCs w:val="28"/>
          <w:highlight w:val="none"/>
          <w:u w:val="singl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履约验收时间：</w:t>
      </w:r>
      <w:r>
        <w:rPr>
          <w:rFonts w:hint="eastAsia" w:asciiTheme="minorEastAsia" w:hAnsiTheme="minorEastAsia" w:eastAsiaTheme="minorEastAsia" w:cstheme="minorEastAsia"/>
          <w:bCs/>
          <w:color w:val="000000" w:themeColor="text1"/>
          <w:sz w:val="28"/>
          <w:szCs w:val="28"/>
          <w:highlight w:val="none"/>
          <w:u w:val="single"/>
          <w:lang w:eastAsia="zh-CN"/>
          <w14:textFill>
            <w14:solidFill>
              <w14:schemeClr w14:val="tx1"/>
            </w14:solidFill>
          </w14:textFill>
        </w:rPr>
        <w:t>货到安装完成</w:t>
      </w:r>
      <w:r>
        <w:rPr>
          <w:rFonts w:hint="eastAsia" w:asciiTheme="minorEastAsia" w:hAnsiTheme="minorEastAsia" w:eastAsiaTheme="minorEastAsia" w:cstheme="minorEastAsia"/>
          <w:bCs/>
          <w:color w:val="000000" w:themeColor="text1"/>
          <w:sz w:val="28"/>
          <w:szCs w:val="28"/>
          <w:highlight w:val="none"/>
          <w:u w:val="single"/>
          <w:lang w:val="en-US" w:eastAsia="zh-CN"/>
          <w14:textFill>
            <w14:solidFill>
              <w14:schemeClr w14:val="tx1"/>
            </w14:solidFill>
          </w14:textFill>
        </w:rPr>
        <w:t>后3日内 。</w:t>
      </w:r>
    </w:p>
    <w:p w14:paraId="79781E33">
      <w:pPr>
        <w:pageBreakBefore w:val="0"/>
        <w:numPr>
          <w:ilvl w:val="0"/>
          <w:numId w:val="0"/>
        </w:numPr>
        <w:kinsoku/>
        <w:wordWrap/>
        <w:overflowPunct/>
        <w:topLinePunct w:val="0"/>
        <w:bidi w:val="0"/>
        <w:adjustRightInd w:val="0"/>
        <w:snapToGrid w:val="0"/>
        <w:spacing w:before="0" w:beforeLines="0" w:afterAutospacing="0" w:line="560" w:lineRule="exact"/>
        <w:ind w:leftChars="200"/>
        <w:textAlignment w:val="auto"/>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（3）履约验收方式：</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sym w:font="Wingdings" w:char="00FE"/>
      </w: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 xml:space="preserve">一次性验收         </w:t>
      </w:r>
    </w:p>
    <w:p w14:paraId="04F48FD7">
      <w:pPr>
        <w:pageBreakBefore w:val="0"/>
        <w:kinsoku/>
        <w:wordWrap/>
        <w:overflowPunct/>
        <w:topLinePunct w:val="0"/>
        <w:bidi w:val="0"/>
        <w:adjustRightInd w:val="0"/>
        <w:snapToGrid w:val="0"/>
        <w:spacing w:before="0" w:beforeLines="0" w:afterAutospacing="0" w:line="560" w:lineRule="exact"/>
        <w:ind w:firstLine="0" w:firstLineChars="0"/>
        <w:textAlignment w:val="auto"/>
        <w:rPr>
          <w:rFonts w:hint="eastAsia" w:asciiTheme="minorEastAsia" w:hAnsiTheme="minorEastAsia" w:eastAsiaTheme="minorEastAsia" w:cstheme="minorEastAsia"/>
          <w:bCs/>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8"/>
          <w:szCs w:val="28"/>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sym w:font="Wingdings" w:char="00A8"/>
      </w: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分期/分项验收</w:t>
      </w:r>
      <w:r>
        <w:rPr>
          <w:rFonts w:hint="eastAsia" w:asciiTheme="minorEastAsia" w:hAnsiTheme="minorEastAsia" w:eastAsiaTheme="minorEastAsia" w:cstheme="minorEastAsia"/>
          <w:bCs/>
          <w:color w:val="000000" w:themeColor="text1"/>
          <w:sz w:val="28"/>
          <w:szCs w:val="28"/>
          <w:highlight w:val="none"/>
          <w:lang w:eastAsia="zh-CN"/>
          <w14:textFill>
            <w14:solidFill>
              <w14:schemeClr w14:val="tx1"/>
            </w14:solidFill>
          </w14:textFill>
        </w:rPr>
        <w:t>：</w:t>
      </w:r>
      <w:r>
        <w:rPr>
          <w:rFonts w:hint="eastAsia" w:asciiTheme="minorEastAsia" w:hAnsiTheme="minorEastAsia" w:eastAsiaTheme="minorEastAsia" w:cstheme="minorEastAsia"/>
          <w:bCs/>
          <w:color w:val="000000" w:themeColor="text1"/>
          <w:sz w:val="28"/>
          <w:szCs w:val="28"/>
          <w:highlight w:val="none"/>
          <w:u w:val="single"/>
          <w14:textFill>
            <w14:solidFill>
              <w14:schemeClr w14:val="tx1"/>
            </w14:solidFill>
          </w14:textFill>
        </w:rPr>
        <w:t xml:space="preserve"> </w:t>
      </w:r>
      <w:r>
        <w:rPr>
          <w:rFonts w:hint="eastAsia" w:asciiTheme="minorEastAsia" w:hAnsiTheme="minorEastAsia" w:eastAsiaTheme="minorEastAsia" w:cstheme="minorEastAsia"/>
          <w:bCs/>
          <w:color w:val="000000" w:themeColor="text1"/>
          <w:sz w:val="28"/>
          <w:szCs w:val="28"/>
          <w:highlight w:val="none"/>
          <w:u w:val="single"/>
          <w:lang w:eastAsia="zh-CN"/>
          <w14:textFill>
            <w14:solidFill>
              <w14:schemeClr w14:val="tx1"/>
            </w14:solidFill>
          </w14:textFill>
        </w:rPr>
        <w:t>（应明确分期</w:t>
      </w:r>
      <w:r>
        <w:rPr>
          <w:rFonts w:hint="eastAsia" w:asciiTheme="minorEastAsia" w:hAnsiTheme="minorEastAsia" w:eastAsiaTheme="minorEastAsia" w:cstheme="minorEastAsia"/>
          <w:bCs/>
          <w:color w:val="000000" w:themeColor="text1"/>
          <w:sz w:val="28"/>
          <w:szCs w:val="28"/>
          <w:highlight w:val="none"/>
          <w:u w:val="single"/>
          <w:lang w:val="en" w:eastAsia="zh-CN"/>
          <w14:textFill>
            <w14:solidFill>
              <w14:schemeClr w14:val="tx1"/>
            </w14:solidFill>
          </w14:textFill>
        </w:rPr>
        <w:t>/分项验收的工作安排</w:t>
      </w:r>
      <w:r>
        <w:rPr>
          <w:rFonts w:hint="eastAsia" w:asciiTheme="minorEastAsia" w:hAnsiTheme="minorEastAsia" w:eastAsiaTheme="minorEastAsia" w:cstheme="minorEastAsia"/>
          <w:bCs/>
          <w:color w:val="000000" w:themeColor="text1"/>
          <w:sz w:val="28"/>
          <w:szCs w:val="28"/>
          <w:highlight w:val="none"/>
          <w:u w:val="single"/>
          <w:lang w:eastAsia="zh-CN"/>
          <w14:textFill>
            <w14:solidFill>
              <w14:schemeClr w14:val="tx1"/>
            </w14:solidFill>
          </w14:textFill>
        </w:rPr>
        <w:t>）</w:t>
      </w:r>
      <w:r>
        <w:rPr>
          <w:rFonts w:hint="eastAsia" w:asciiTheme="minorEastAsia" w:hAnsiTheme="minorEastAsia" w:eastAsiaTheme="minorEastAsia" w:cstheme="minorEastAsia"/>
          <w:bCs/>
          <w:color w:val="000000" w:themeColor="text1"/>
          <w:sz w:val="28"/>
          <w:szCs w:val="28"/>
          <w:highlight w:val="none"/>
          <w:u w:val="single"/>
          <w14:textFill>
            <w14:solidFill>
              <w14:schemeClr w14:val="tx1"/>
            </w14:solidFill>
          </w14:textFill>
        </w:rPr>
        <w:t xml:space="preserve"> </w:t>
      </w:r>
      <w:r>
        <w:rPr>
          <w:rFonts w:hint="eastAsia" w:asciiTheme="minorEastAsia" w:hAnsiTheme="minorEastAsia" w:eastAsiaTheme="minorEastAsia" w:cstheme="minorEastAsia"/>
          <w:bCs/>
          <w:color w:val="000000" w:themeColor="text1"/>
          <w:sz w:val="28"/>
          <w:szCs w:val="28"/>
          <w:highlight w:val="none"/>
          <w:u w:val="single"/>
          <w:lang w:val="en-US" w:eastAsia="zh-CN"/>
          <w14:textFill>
            <w14:solidFill>
              <w14:schemeClr w14:val="tx1"/>
            </w14:solidFill>
          </w14:textFill>
        </w:rPr>
        <w:t xml:space="preserve"> </w:t>
      </w:r>
    </w:p>
    <w:p w14:paraId="5B726380">
      <w:pPr>
        <w:pageBreakBefore w:val="0"/>
        <w:kinsoku/>
        <w:wordWrap/>
        <w:overflowPunct/>
        <w:topLinePunct w:val="0"/>
        <w:bidi w:val="0"/>
        <w:adjustRightInd w:val="0"/>
        <w:snapToGrid w:val="0"/>
        <w:spacing w:before="0" w:beforeLines="0" w:afterAutospacing="0" w:line="560" w:lineRule="exact"/>
        <w:ind w:firstLine="560" w:firstLineChars="200"/>
        <w:textAlignment w:val="auto"/>
        <w:rPr>
          <w:rFonts w:hint="eastAsia" w:asciiTheme="minorEastAsia" w:hAnsiTheme="minorEastAsia" w:eastAsiaTheme="minorEastAsia" w:cstheme="minorEastAsia"/>
          <w:bCs/>
          <w:color w:val="000000" w:themeColor="text1"/>
          <w:sz w:val="28"/>
          <w:szCs w:val="28"/>
          <w:highlight w:val="none"/>
          <w:lang w:eastAsia="zh-CN"/>
          <w14:textFill>
            <w14:solidFill>
              <w14:schemeClr w14:val="tx1"/>
            </w14:solidFill>
          </w14:textFill>
        </w:rPr>
      </w:pP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（4）履约验收程序：</w:t>
      </w:r>
      <w:r>
        <w:rPr>
          <w:rFonts w:hint="eastAsia" w:asciiTheme="minorEastAsia" w:hAnsiTheme="minorEastAsia" w:eastAsiaTheme="minorEastAsia" w:cstheme="minorEastAsia"/>
          <w:bCs/>
          <w:color w:val="000000" w:themeColor="text1"/>
          <w:sz w:val="28"/>
          <w:szCs w:val="28"/>
          <w:highlight w:val="none"/>
          <w:u w:val="single"/>
          <w:lang w:eastAsia="zh-CN"/>
          <w14:textFill>
            <w14:solidFill>
              <w14:schemeClr w14:val="tx1"/>
            </w14:solidFill>
          </w14:textFill>
        </w:rPr>
        <w:t>乙方提出验收申请，甲乙双方按照合同要求及清单明细逐一进行验收，验收合格后，双方共同在验收单上签字确认。</w:t>
      </w:r>
    </w:p>
    <w:p w14:paraId="2C37BE03">
      <w:pPr>
        <w:pageBreakBefore w:val="0"/>
        <w:kinsoku/>
        <w:wordWrap/>
        <w:overflowPunct/>
        <w:topLinePunct w:val="0"/>
        <w:bidi w:val="0"/>
        <w:adjustRightInd w:val="0"/>
        <w:snapToGrid w:val="0"/>
        <w:spacing w:before="0" w:beforeLines="0" w:afterAutospacing="0" w:line="560" w:lineRule="exact"/>
        <w:ind w:firstLine="560" w:firstLineChars="200"/>
        <w:textAlignment w:val="auto"/>
        <w:rPr>
          <w:rFonts w:hint="eastAsia" w:asciiTheme="minorEastAsia" w:hAnsiTheme="minorEastAsia" w:eastAsiaTheme="minorEastAsia" w:cstheme="minorEastAsia"/>
          <w:bCs/>
          <w:color w:val="000000" w:themeColor="text1"/>
          <w:sz w:val="28"/>
          <w:szCs w:val="28"/>
          <w:highlight w:val="none"/>
          <w:u w:val="single"/>
          <w:lang w:eastAsia="zh-CN"/>
          <w14:textFill>
            <w14:solidFill>
              <w14:schemeClr w14:val="tx1"/>
            </w14:solidFill>
          </w14:textFill>
        </w:rPr>
      </w:pP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（5）履约验收的内容：</w:t>
      </w:r>
      <w:r>
        <w:rPr>
          <w:rFonts w:hint="eastAsia" w:asciiTheme="minorEastAsia" w:hAnsiTheme="minorEastAsia" w:eastAsiaTheme="minorEastAsia" w:cstheme="minorEastAsia"/>
          <w:bCs/>
          <w:color w:val="000000" w:themeColor="text1"/>
          <w:sz w:val="28"/>
          <w:szCs w:val="28"/>
          <w:highlight w:val="none"/>
          <w:u w:val="single"/>
          <w:lang w:eastAsia="zh-CN"/>
          <w14:textFill>
            <w14:solidFill>
              <w14:schemeClr w14:val="tx1"/>
            </w14:solidFill>
          </w14:textFill>
        </w:rPr>
        <w:t>包括合同及采购文件、乙方响应文件中的每一项技术和商务要求的履约情况。</w:t>
      </w:r>
    </w:p>
    <w:p w14:paraId="35939335">
      <w:pPr>
        <w:pageBreakBefore w:val="0"/>
        <w:kinsoku/>
        <w:wordWrap/>
        <w:overflowPunct/>
        <w:topLinePunct w:val="0"/>
        <w:bidi w:val="0"/>
        <w:adjustRightInd w:val="0"/>
        <w:snapToGrid w:val="0"/>
        <w:spacing w:before="0" w:beforeLines="0" w:afterAutospacing="0" w:line="560" w:lineRule="exact"/>
        <w:ind w:firstLine="560" w:firstLineChars="200"/>
        <w:textAlignment w:val="auto"/>
        <w:rPr>
          <w:rFonts w:hint="eastAsia" w:asciiTheme="minorEastAsia" w:hAnsiTheme="minorEastAsia" w:eastAsiaTheme="minorEastAsia" w:cstheme="minorEastAsia"/>
          <w:bCs/>
          <w:color w:val="000000" w:themeColor="text1"/>
          <w:sz w:val="28"/>
          <w:szCs w:val="28"/>
          <w:highlight w:val="none"/>
          <w:u w:val="single"/>
          <w14:textFill>
            <w14:solidFill>
              <w14:schemeClr w14:val="tx1"/>
            </w14:solidFill>
          </w14:textFill>
        </w:rPr>
      </w:pP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（6）履约验收标准：</w:t>
      </w:r>
      <w:r>
        <w:rPr>
          <w:rFonts w:hint="eastAsia" w:asciiTheme="minorEastAsia" w:hAnsiTheme="minorEastAsia" w:eastAsiaTheme="minorEastAsia" w:cstheme="minorEastAsia"/>
          <w:bCs/>
          <w:color w:val="000000" w:themeColor="text1"/>
          <w:sz w:val="28"/>
          <w:szCs w:val="28"/>
          <w:highlight w:val="none"/>
          <w:u w:val="single"/>
          <w14:textFill>
            <w14:solidFill>
              <w14:schemeClr w14:val="tx1"/>
            </w14:solidFill>
          </w14:textFill>
        </w:rPr>
        <w:t xml:space="preserve">  </w:t>
      </w:r>
      <w:r>
        <w:rPr>
          <w:rFonts w:hint="eastAsia" w:asciiTheme="minorEastAsia" w:hAnsiTheme="minorEastAsia" w:eastAsiaTheme="minorEastAsia" w:cstheme="minorEastAsia"/>
          <w:bCs/>
          <w:color w:val="000000" w:themeColor="text1"/>
          <w:sz w:val="28"/>
          <w:szCs w:val="28"/>
          <w:highlight w:val="none"/>
          <w:u w:val="single"/>
          <w:lang w:eastAsia="zh-CN"/>
          <w14:textFill>
            <w14:solidFill>
              <w14:schemeClr w14:val="tx1"/>
            </w14:solidFill>
          </w14:textFill>
        </w:rPr>
        <w:t>设备完全符合甲方要求</w:t>
      </w:r>
      <w:r>
        <w:rPr>
          <w:rFonts w:hint="eastAsia" w:asciiTheme="minorEastAsia" w:hAnsiTheme="minorEastAsia" w:eastAsiaTheme="minorEastAsia" w:cstheme="minorEastAsia"/>
          <w:bCs/>
          <w:color w:val="000000" w:themeColor="text1"/>
          <w:sz w:val="28"/>
          <w:szCs w:val="28"/>
          <w:highlight w:val="none"/>
          <w:u w:val="single"/>
          <w14:textFill>
            <w14:solidFill>
              <w14:schemeClr w14:val="tx1"/>
            </w14:solidFill>
          </w14:textFill>
        </w:rPr>
        <w:t xml:space="preserve">   </w:t>
      </w:r>
    </w:p>
    <w:p w14:paraId="7BE6ACB3">
      <w:pPr>
        <w:pStyle w:val="171"/>
        <w:pageBreakBefore w:val="0"/>
        <w:kinsoku/>
        <w:wordWrap/>
        <w:overflowPunct/>
        <w:topLinePunct w:val="0"/>
        <w:bidi w:val="0"/>
        <w:spacing w:beforeLines="0" w:afterAutospacing="0" w:line="560" w:lineRule="exact"/>
        <w:textAlignment w:val="auto"/>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pPr>
      <w:r>
        <w:rPr>
          <w:rFonts w:hint="eastAsia" w:asciiTheme="minorEastAsia" w:hAnsiTheme="minorEastAsia" w:eastAsiaTheme="minorEastAsia" w:cstheme="minorEastAsia"/>
          <w:bCs/>
          <w:color w:val="000000" w:themeColor="text1"/>
          <w:sz w:val="28"/>
          <w:szCs w:val="28"/>
          <w:highlight w:val="none"/>
          <w:u w:val="none"/>
          <w:lang w:eastAsia="zh-CN"/>
          <w14:textFill>
            <w14:solidFill>
              <w14:schemeClr w14:val="tx1"/>
            </w14:solidFill>
          </w14:textFill>
        </w:rPr>
        <w:t>（</w:t>
      </w:r>
      <w:r>
        <w:rPr>
          <w:rFonts w:hint="eastAsia" w:asciiTheme="minorEastAsia" w:hAnsiTheme="minorEastAsia" w:eastAsiaTheme="minorEastAsia" w:cstheme="minorEastAsia"/>
          <w:bCs/>
          <w:color w:val="000000" w:themeColor="text1"/>
          <w:sz w:val="28"/>
          <w:szCs w:val="28"/>
          <w:highlight w:val="none"/>
          <w:u w:val="none"/>
          <w:lang w:val="en-US" w:eastAsia="zh-CN"/>
          <w14:textFill>
            <w14:solidFill>
              <w14:schemeClr w14:val="tx1"/>
            </w14:solidFill>
          </w14:textFill>
        </w:rPr>
        <w:t>7</w:t>
      </w:r>
      <w:r>
        <w:rPr>
          <w:rFonts w:hint="eastAsia" w:asciiTheme="minorEastAsia" w:hAnsiTheme="minorEastAsia" w:eastAsiaTheme="minorEastAsia" w:cstheme="minorEastAsia"/>
          <w:bCs/>
          <w:color w:val="000000" w:themeColor="text1"/>
          <w:sz w:val="28"/>
          <w:szCs w:val="28"/>
          <w:highlight w:val="none"/>
          <w:u w:val="none"/>
          <w:lang w:eastAsia="zh-CN"/>
          <w14:textFill>
            <w14:solidFill>
              <w14:schemeClr w14:val="tx1"/>
            </w14:solidFill>
          </w14:textFill>
        </w:rPr>
        <w:t>）是否以采购活动中供应商提供的样品作为参考：</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sym w:font="Wingdings" w:char="00FE"/>
      </w: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 xml:space="preserve">是  </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sym w:font="Wingdings" w:char="00A8"/>
      </w: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否</w:t>
      </w:r>
    </w:p>
    <w:p w14:paraId="529045A9">
      <w:pPr>
        <w:pageBreakBefore w:val="0"/>
        <w:kinsoku/>
        <w:wordWrap/>
        <w:overflowPunct/>
        <w:topLinePunct w:val="0"/>
        <w:bidi w:val="0"/>
        <w:adjustRightInd w:val="0"/>
        <w:snapToGrid w:val="0"/>
        <w:spacing w:before="0" w:beforeLines="0" w:afterAutospacing="0" w:line="560" w:lineRule="exact"/>
        <w:ind w:firstLine="560" w:firstLineChars="200"/>
        <w:textAlignment w:val="auto"/>
        <w:rPr>
          <w:rFonts w:hint="eastAsia" w:asciiTheme="minorEastAsia" w:hAnsiTheme="minorEastAsia" w:eastAsiaTheme="minorEastAsia" w:cstheme="minorEastAsia"/>
          <w:bCs/>
          <w:color w:val="000000" w:themeColor="text1"/>
          <w:sz w:val="28"/>
          <w:szCs w:val="28"/>
          <w:highlight w:val="none"/>
          <w:u w:val="single"/>
          <w14:textFill>
            <w14:solidFill>
              <w14:schemeClr w14:val="tx1"/>
            </w14:solidFill>
          </w14:textFill>
        </w:rPr>
      </w:pP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（8）履约验收其他事项：</w:t>
      </w:r>
      <w:r>
        <w:rPr>
          <w:rFonts w:hint="eastAsia" w:asciiTheme="minorEastAsia" w:hAnsiTheme="minorEastAsia" w:eastAsiaTheme="minorEastAsia" w:cstheme="minorEastAsia"/>
          <w:bCs/>
          <w:color w:val="000000" w:themeColor="text1"/>
          <w:sz w:val="28"/>
          <w:szCs w:val="28"/>
          <w:highlight w:val="none"/>
          <w:u w:val="single"/>
          <w14:textFill>
            <w14:solidFill>
              <w14:schemeClr w14:val="tx1"/>
            </w14:solidFill>
          </w14:textFill>
        </w:rPr>
        <w:t xml:space="preserve">      </w:t>
      </w:r>
      <w:r>
        <w:rPr>
          <w:rFonts w:hint="eastAsia" w:asciiTheme="minorEastAsia" w:hAnsiTheme="minorEastAsia" w:eastAsiaTheme="minorEastAsia" w:cstheme="minorEastAsia"/>
          <w:bCs/>
          <w:color w:val="000000" w:themeColor="text1"/>
          <w:sz w:val="28"/>
          <w:szCs w:val="28"/>
          <w:highlight w:val="none"/>
          <w:u w:val="single"/>
          <w:lang w:eastAsia="zh-CN"/>
          <w14:textFill>
            <w14:solidFill>
              <w14:schemeClr w14:val="tx1"/>
            </w14:solidFill>
          </w14:textFill>
        </w:rPr>
        <w:t>无</w:t>
      </w:r>
      <w:r>
        <w:rPr>
          <w:rFonts w:hint="eastAsia" w:asciiTheme="minorEastAsia" w:hAnsiTheme="minorEastAsia" w:eastAsiaTheme="minorEastAsia" w:cstheme="minorEastAsia"/>
          <w:bCs/>
          <w:color w:val="000000" w:themeColor="text1"/>
          <w:sz w:val="28"/>
          <w:szCs w:val="28"/>
          <w:highlight w:val="none"/>
          <w:u w:val="single"/>
          <w14:textFill>
            <w14:solidFill>
              <w14:schemeClr w14:val="tx1"/>
            </w14:solidFill>
          </w14:textFill>
        </w:rPr>
        <w:t xml:space="preserve">         </w:t>
      </w:r>
    </w:p>
    <w:p w14:paraId="7AD6B5CA">
      <w:pPr>
        <w:pageBreakBefore w:val="0"/>
        <w:numPr>
          <w:ilvl w:val="0"/>
          <w:numId w:val="4"/>
        </w:numPr>
        <w:kinsoku/>
        <w:wordWrap/>
        <w:overflowPunct/>
        <w:topLinePunct w:val="0"/>
        <w:bidi w:val="0"/>
        <w:adjustRightInd w:val="0"/>
        <w:snapToGrid w:val="0"/>
        <w:spacing w:before="0" w:beforeLines="0" w:afterAutospacing="0" w:line="560" w:lineRule="exact"/>
        <w:ind w:firstLine="562" w:firstLineChars="200"/>
        <w:textAlignment w:val="auto"/>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组成合同的文件</w:t>
      </w:r>
    </w:p>
    <w:p w14:paraId="384FA172">
      <w:pPr>
        <w:pageBreakBefore w:val="0"/>
        <w:kinsoku/>
        <w:wordWrap/>
        <w:overflowPunct/>
        <w:topLinePunct w:val="0"/>
        <w:bidi w:val="0"/>
        <w:adjustRightInd w:val="0"/>
        <w:snapToGrid w:val="0"/>
        <w:spacing w:before="0" w:beforeLines="0" w:afterAutospacing="0" w:line="560" w:lineRule="exact"/>
        <w:ind w:firstLine="560" w:firstLineChars="200"/>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本协议书与下列文件一起构成合同文件，如下述文件之间有任何抵触、矛盾或歧义，应按以下顺序解释：</w:t>
      </w:r>
    </w:p>
    <w:p w14:paraId="249EC2DC">
      <w:pPr>
        <w:pageBreakBefore w:val="0"/>
        <w:kinsoku/>
        <w:wordWrap/>
        <w:overflowPunct/>
        <w:topLinePunct w:val="0"/>
        <w:bidi w:val="0"/>
        <w:adjustRightInd w:val="0"/>
        <w:snapToGrid w:val="0"/>
        <w:spacing w:before="0" w:beforeLines="0" w:afterAutospacing="0" w:line="560" w:lineRule="exact"/>
        <w:ind w:firstLine="560" w:firstLineChars="200"/>
        <w:textAlignment w:val="auto"/>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（1）合同协议书及其变更、补充</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协议</w:t>
      </w:r>
    </w:p>
    <w:p w14:paraId="42749912">
      <w:pPr>
        <w:pageBreakBefore w:val="0"/>
        <w:kinsoku/>
        <w:wordWrap/>
        <w:overflowPunct/>
        <w:topLinePunct w:val="0"/>
        <w:bidi w:val="0"/>
        <w:adjustRightInd w:val="0"/>
        <w:snapToGrid w:val="0"/>
        <w:spacing w:before="0" w:beforeLines="0" w:afterAutospacing="0" w:line="560" w:lineRule="exact"/>
        <w:ind w:firstLine="560" w:firstLineChars="200"/>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）合同专用条款</w:t>
      </w:r>
    </w:p>
    <w:p w14:paraId="560456D8">
      <w:pPr>
        <w:pageBreakBefore w:val="0"/>
        <w:kinsoku/>
        <w:wordWrap/>
        <w:overflowPunct/>
        <w:topLinePunct w:val="0"/>
        <w:bidi w:val="0"/>
        <w:adjustRightInd w:val="0"/>
        <w:snapToGrid w:val="0"/>
        <w:spacing w:before="0" w:beforeLines="0" w:afterAutospacing="0" w:line="560" w:lineRule="exact"/>
        <w:ind w:firstLine="560" w:firstLineChars="200"/>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）合同通用条款</w:t>
      </w:r>
    </w:p>
    <w:p w14:paraId="6225DF71">
      <w:pPr>
        <w:pageBreakBefore w:val="0"/>
        <w:kinsoku/>
        <w:wordWrap/>
        <w:overflowPunct/>
        <w:topLinePunct w:val="0"/>
        <w:bidi w:val="0"/>
        <w:adjustRightInd w:val="0"/>
        <w:snapToGrid w:val="0"/>
        <w:spacing w:before="0" w:beforeLines="0" w:afterAutospacing="0" w:line="560" w:lineRule="exact"/>
        <w:ind w:firstLine="560" w:firstLineChars="200"/>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）中标</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（成交）</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通知书</w:t>
      </w:r>
    </w:p>
    <w:p w14:paraId="2FAD5408">
      <w:pPr>
        <w:pageBreakBefore w:val="0"/>
        <w:kinsoku/>
        <w:wordWrap/>
        <w:overflowPunct/>
        <w:topLinePunct w:val="0"/>
        <w:bidi w:val="0"/>
        <w:adjustRightInd w:val="0"/>
        <w:snapToGrid w:val="0"/>
        <w:spacing w:before="0" w:beforeLines="0" w:afterAutospacing="0" w:line="560" w:lineRule="exact"/>
        <w:ind w:firstLine="560" w:firstLineChars="200"/>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）投标（响应）文件</w:t>
      </w:r>
    </w:p>
    <w:p w14:paraId="5D999920">
      <w:pPr>
        <w:pageBreakBefore w:val="0"/>
        <w:kinsoku/>
        <w:wordWrap/>
        <w:overflowPunct/>
        <w:topLinePunct w:val="0"/>
        <w:bidi w:val="0"/>
        <w:adjustRightInd w:val="0"/>
        <w:snapToGrid w:val="0"/>
        <w:spacing w:before="0" w:beforeLines="0" w:afterAutospacing="0" w:line="560" w:lineRule="exact"/>
        <w:ind w:firstLine="560" w:firstLineChars="200"/>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（6）采购文件</w:t>
      </w:r>
    </w:p>
    <w:p w14:paraId="5D58FAC4">
      <w:pPr>
        <w:pageBreakBefore w:val="0"/>
        <w:kinsoku/>
        <w:wordWrap/>
        <w:overflowPunct/>
        <w:topLinePunct w:val="0"/>
        <w:bidi w:val="0"/>
        <w:adjustRightInd w:val="0"/>
        <w:snapToGrid w:val="0"/>
        <w:spacing w:before="0" w:beforeLines="0" w:afterAutospacing="0" w:line="560" w:lineRule="exact"/>
        <w:ind w:firstLine="560" w:firstLineChars="200"/>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（7）有关技术文件，图纸</w:t>
      </w:r>
    </w:p>
    <w:p w14:paraId="4A252F75">
      <w:pPr>
        <w:pStyle w:val="171"/>
        <w:pageBreakBefore w:val="0"/>
        <w:kinsoku/>
        <w:wordWrap/>
        <w:overflowPunct/>
        <w:topLinePunct w:val="0"/>
        <w:bidi w:val="0"/>
        <w:spacing w:beforeLines="0" w:afterAutospacing="0" w:line="560" w:lineRule="exact"/>
        <w:textAlignment w:val="auto"/>
        <w:rPr>
          <w:rFonts w:hint="eastAsia" w:asciiTheme="minorEastAsia" w:hAnsiTheme="minorEastAsia" w:eastAsiaTheme="minorEastAsia" w:cstheme="minorEastAsia"/>
          <w:color w:val="000000" w:themeColor="text1"/>
          <w:kern w:val="2"/>
          <w:sz w:val="28"/>
          <w:szCs w:val="28"/>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w:t>
      </w:r>
      <w:r>
        <w:rPr>
          <w:rFonts w:hint="eastAsia" w:asciiTheme="minorEastAsia" w:hAnsiTheme="minorEastAsia" w:eastAsiaTheme="minorEastAsia" w:cstheme="minorEastAsia"/>
          <w:bCs w:val="0"/>
          <w:color w:val="000000" w:themeColor="text1"/>
          <w:kern w:val="2"/>
          <w:sz w:val="28"/>
          <w:szCs w:val="28"/>
          <w:highlight w:val="none"/>
          <w:lang w:eastAsia="zh-CN"/>
          <w14:textFill>
            <w14:solidFill>
              <w14:schemeClr w14:val="tx1"/>
            </w14:solidFill>
          </w14:textFill>
        </w:rPr>
        <w:t>国家法律、行政法规和规章制度规定或合同约定的作为合同组成部分的其他文件</w:t>
      </w:r>
    </w:p>
    <w:p w14:paraId="29371644">
      <w:pPr>
        <w:pageBreakBefore w:val="0"/>
        <w:numPr>
          <w:ilvl w:val="0"/>
          <w:numId w:val="4"/>
        </w:numPr>
        <w:kinsoku/>
        <w:wordWrap/>
        <w:overflowPunct/>
        <w:topLinePunct w:val="0"/>
        <w:bidi w:val="0"/>
        <w:adjustRightInd w:val="0"/>
        <w:snapToGrid w:val="0"/>
        <w:spacing w:before="0" w:beforeLines="0" w:afterAutospacing="0" w:line="560" w:lineRule="exact"/>
        <w:ind w:firstLine="562" w:firstLineChars="200"/>
        <w:textAlignment w:val="auto"/>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合同生效</w:t>
      </w:r>
    </w:p>
    <w:p w14:paraId="61BD4558">
      <w:pPr>
        <w:pageBreakBefore w:val="0"/>
        <w:kinsoku/>
        <w:wordWrap/>
        <w:overflowPunct/>
        <w:topLinePunct w:val="0"/>
        <w:bidi w:val="0"/>
        <w:adjustRightInd w:val="0"/>
        <w:snapToGrid w:val="0"/>
        <w:spacing w:before="0" w:beforeLines="0" w:afterAutospacing="0" w:line="560" w:lineRule="exact"/>
        <w:ind w:firstLine="560" w:firstLineChars="200"/>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本合同</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自成交通知书下发之日起</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生效。</w:t>
      </w:r>
    </w:p>
    <w:p w14:paraId="0279C1C7">
      <w:pPr>
        <w:pageBreakBefore w:val="0"/>
        <w:numPr>
          <w:ilvl w:val="0"/>
          <w:numId w:val="4"/>
        </w:numPr>
        <w:kinsoku/>
        <w:wordWrap/>
        <w:overflowPunct/>
        <w:topLinePunct w:val="0"/>
        <w:bidi w:val="0"/>
        <w:adjustRightInd w:val="0"/>
        <w:snapToGrid w:val="0"/>
        <w:spacing w:before="0" w:beforeLines="0" w:afterAutospacing="0" w:line="560" w:lineRule="exact"/>
        <w:ind w:firstLine="562" w:firstLineChars="200"/>
        <w:textAlignment w:val="auto"/>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合同份数</w:t>
      </w:r>
    </w:p>
    <w:p w14:paraId="490B90F3">
      <w:pPr>
        <w:pageBreakBefore w:val="0"/>
        <w:kinsoku/>
        <w:wordWrap/>
        <w:overflowPunct/>
        <w:topLinePunct w:val="0"/>
        <w:bidi w:val="0"/>
        <w:adjustRightInd w:val="0"/>
        <w:snapToGrid w:val="0"/>
        <w:spacing w:before="0" w:beforeLines="0" w:afterAutospacing="0" w:line="560" w:lineRule="exact"/>
        <w:ind w:firstLine="560" w:firstLineChars="200"/>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本合同一式</w:t>
      </w:r>
      <w:r>
        <w:rPr>
          <w:rFonts w:hint="eastAsia" w:asciiTheme="minorEastAsia" w:hAnsiTheme="minorEastAsia" w:eastAsiaTheme="minorEastAsia" w:cstheme="minorEastAsia"/>
          <w:color w:val="000000" w:themeColor="text1"/>
          <w:sz w:val="28"/>
          <w:szCs w:val="28"/>
          <w:highlight w:val="none"/>
          <w:u w:val="single"/>
          <w:lang w:eastAsia="zh-CN"/>
          <w14:textFill>
            <w14:solidFill>
              <w14:schemeClr w14:val="tx1"/>
            </w14:solidFill>
          </w14:textFill>
        </w:rPr>
        <w:t>六</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份，</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甲方</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执</w:t>
      </w:r>
      <w:r>
        <w:rPr>
          <w:rFonts w:hint="eastAsia" w:asciiTheme="minorEastAsia" w:hAnsiTheme="minorEastAsia" w:eastAsiaTheme="minorEastAsia" w:cstheme="minorEastAsia"/>
          <w:color w:val="000000" w:themeColor="text1"/>
          <w:sz w:val="28"/>
          <w:szCs w:val="28"/>
          <w:highlight w:val="none"/>
          <w:u w:val="single"/>
          <w:lang w:eastAsia="zh-CN"/>
          <w14:textFill>
            <w14:solidFill>
              <w14:schemeClr w14:val="tx1"/>
            </w14:solidFill>
          </w14:textFill>
        </w:rPr>
        <w:t>五</w:t>
      </w:r>
      <w: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t>份</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乙方</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执</w:t>
      </w:r>
      <w:r>
        <w:rPr>
          <w:rFonts w:hint="eastAsia" w:asciiTheme="minorEastAsia" w:hAnsiTheme="minorEastAsia" w:eastAsiaTheme="minorEastAsia" w:cstheme="minorEastAsia"/>
          <w:color w:val="000000" w:themeColor="text1"/>
          <w:sz w:val="28"/>
          <w:szCs w:val="28"/>
          <w:highlight w:val="none"/>
          <w:u w:val="single"/>
          <w:lang w:eastAsia="zh-CN"/>
          <w14:textFill>
            <w14:solidFill>
              <w14:schemeClr w14:val="tx1"/>
            </w14:solidFill>
          </w14:textFill>
        </w:rPr>
        <w:t>一</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份，均具有同等法律效力。</w:t>
      </w:r>
    </w:p>
    <w:p w14:paraId="37D5267D">
      <w:pPr>
        <w:pageBreakBefore w:val="0"/>
        <w:kinsoku/>
        <w:wordWrap/>
        <w:overflowPunct/>
        <w:topLinePunct w:val="0"/>
        <w:bidi w:val="0"/>
        <w:adjustRightInd w:val="0"/>
        <w:snapToGrid w:val="0"/>
        <w:spacing w:before="0" w:beforeLines="0" w:afterAutospacing="0" w:line="560" w:lineRule="exact"/>
        <w:ind w:firstLine="560" w:firstLineChars="200"/>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合同订立时间：</w:t>
      </w:r>
      <w: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年</w:t>
      </w:r>
      <w: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月</w:t>
      </w:r>
      <w: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日</w:t>
      </w:r>
    </w:p>
    <w:p w14:paraId="31527255">
      <w:pPr>
        <w:pageBreakBefore w:val="0"/>
        <w:kinsoku/>
        <w:wordWrap/>
        <w:overflowPunct/>
        <w:topLinePunct w:val="0"/>
        <w:bidi w:val="0"/>
        <w:adjustRightInd w:val="0"/>
        <w:snapToGrid w:val="0"/>
        <w:spacing w:before="0" w:beforeLines="0" w:afterAutospacing="0" w:line="560" w:lineRule="exact"/>
        <w:ind w:firstLine="560" w:firstLineChars="200"/>
        <w:textAlignment w:val="auto"/>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合同订立地点：</w:t>
      </w:r>
      <w:r>
        <w:rPr>
          <w:rFonts w:hint="eastAsia" w:asciiTheme="minorEastAsia" w:hAnsiTheme="minorEastAsia" w:eastAsiaTheme="minorEastAsia" w:cstheme="minorEastAsia"/>
          <w:color w:val="000000" w:themeColor="text1"/>
          <w:sz w:val="28"/>
          <w:szCs w:val="28"/>
          <w:highlight w:val="none"/>
          <w:u w:val="single"/>
          <w:lang w:eastAsia="zh-CN"/>
          <w14:textFill>
            <w14:solidFill>
              <w14:schemeClr w14:val="tx1"/>
            </w14:solidFill>
          </w14:textFill>
        </w:rPr>
        <w:t>哈密市中心医院</w:t>
      </w:r>
    </w:p>
    <w:p w14:paraId="5D65D237">
      <w:pPr>
        <w:bidi w:val="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br w:type="page"/>
      </w:r>
    </w:p>
    <w:p w14:paraId="6A020BCD">
      <w:pPr>
        <w:pStyle w:val="105"/>
        <w:pageBreakBefore w:val="0"/>
        <w:kinsoku/>
        <w:wordWrap/>
        <w:overflowPunct/>
        <w:topLinePunct w:val="0"/>
        <w:bidi w:val="0"/>
        <w:spacing w:afterAutospacing="0" w:line="560" w:lineRule="exac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p>
    <w:tbl>
      <w:tblPr>
        <w:tblStyle w:val="34"/>
        <w:tblW w:w="9710" w:type="dxa"/>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2180"/>
        <w:gridCol w:w="2789"/>
        <w:gridCol w:w="2288"/>
        <w:gridCol w:w="2453"/>
      </w:tblGrid>
      <w:tr w14:paraId="111409B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4969" w:type="dxa"/>
            <w:gridSpan w:val="2"/>
            <w:tcBorders>
              <w:bottom w:val="single" w:color="auto" w:sz="2" w:space="0"/>
              <w:right w:val="single" w:color="auto" w:sz="2" w:space="0"/>
            </w:tcBorders>
            <w:vAlign w:val="center"/>
          </w:tcPr>
          <w:p w14:paraId="09898D44">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甲方</w:t>
            </w:r>
          </w:p>
        </w:tc>
        <w:tc>
          <w:tcPr>
            <w:tcW w:w="4741" w:type="dxa"/>
            <w:gridSpan w:val="2"/>
            <w:tcBorders>
              <w:left w:val="single" w:color="auto" w:sz="2" w:space="0"/>
              <w:bottom w:val="single" w:color="auto" w:sz="2" w:space="0"/>
            </w:tcBorders>
            <w:vAlign w:val="center"/>
          </w:tcPr>
          <w:p w14:paraId="2ABF3830">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乙方（供应商）</w:t>
            </w:r>
          </w:p>
        </w:tc>
      </w:tr>
      <w:tr w14:paraId="216F454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864" w:hRule="atLeast"/>
        </w:trPr>
        <w:tc>
          <w:tcPr>
            <w:tcW w:w="2180" w:type="dxa"/>
            <w:tcBorders>
              <w:top w:val="single" w:color="auto" w:sz="2" w:space="0"/>
              <w:bottom w:val="single" w:color="auto" w:sz="2" w:space="0"/>
              <w:right w:val="single" w:color="auto" w:sz="2" w:space="0"/>
            </w:tcBorders>
            <w:vAlign w:val="center"/>
          </w:tcPr>
          <w:p w14:paraId="3726AA84">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单位名称（</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合同章</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w:t>
            </w:r>
          </w:p>
        </w:tc>
        <w:tc>
          <w:tcPr>
            <w:tcW w:w="2789" w:type="dxa"/>
            <w:tcBorders>
              <w:top w:val="single" w:color="auto" w:sz="2" w:space="0"/>
              <w:left w:val="single" w:color="auto" w:sz="2" w:space="0"/>
              <w:bottom w:val="single" w:color="auto" w:sz="2" w:space="0"/>
              <w:right w:val="single" w:color="auto" w:sz="2" w:space="0"/>
            </w:tcBorders>
            <w:vAlign w:val="center"/>
          </w:tcPr>
          <w:p w14:paraId="082EA153">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p>
        </w:tc>
        <w:tc>
          <w:tcPr>
            <w:tcW w:w="2288" w:type="dxa"/>
            <w:tcBorders>
              <w:top w:val="single" w:color="auto" w:sz="2" w:space="0"/>
              <w:left w:val="single" w:color="auto" w:sz="2" w:space="0"/>
              <w:bottom w:val="single" w:color="auto" w:sz="2" w:space="0"/>
              <w:right w:val="single" w:color="auto" w:sz="2" w:space="0"/>
            </w:tcBorders>
            <w:vAlign w:val="center"/>
          </w:tcPr>
          <w:p w14:paraId="354A34AB">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单位名称（公章</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或合同章</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w:t>
            </w:r>
          </w:p>
        </w:tc>
        <w:tc>
          <w:tcPr>
            <w:tcW w:w="2453" w:type="dxa"/>
            <w:tcBorders>
              <w:top w:val="single" w:color="auto" w:sz="2" w:space="0"/>
              <w:left w:val="single" w:color="auto" w:sz="2" w:space="0"/>
              <w:bottom w:val="single" w:color="auto" w:sz="2" w:space="0"/>
            </w:tcBorders>
            <w:vAlign w:val="center"/>
          </w:tcPr>
          <w:p w14:paraId="1725B4F9">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pacing w:val="20"/>
                <w:sz w:val="28"/>
                <w:szCs w:val="28"/>
                <w:highlight w:val="none"/>
                <w14:textFill>
                  <w14:solidFill>
                    <w14:schemeClr w14:val="tx1"/>
                  </w14:solidFill>
                </w14:textFill>
              </w:rPr>
            </w:pPr>
          </w:p>
        </w:tc>
      </w:tr>
      <w:tr w14:paraId="2BE88D0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447" w:hRule="atLeast"/>
        </w:trPr>
        <w:tc>
          <w:tcPr>
            <w:tcW w:w="2180" w:type="dxa"/>
            <w:tcBorders>
              <w:top w:val="single" w:color="auto" w:sz="2" w:space="0"/>
              <w:right w:val="single" w:color="auto" w:sz="2" w:space="0"/>
            </w:tcBorders>
            <w:vAlign w:val="center"/>
          </w:tcPr>
          <w:p w14:paraId="65136AF6">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法定代表人</w:t>
            </w:r>
          </w:p>
          <w:p w14:paraId="3FF95D8B">
            <w:pPr>
              <w:pageBreakBefore w:val="0"/>
              <w:kinsoku/>
              <w:wordWrap/>
              <w:overflowPunct/>
              <w:topLinePunct w:val="0"/>
              <w:bidi w:val="0"/>
              <w:adjustRightInd w:val="0"/>
              <w:snapToGrid w:val="0"/>
              <w:spacing w:afterAutospacing="0" w:line="560" w:lineRule="exact"/>
              <w:ind w:firstLine="414" w:firstLineChars="148"/>
              <w:jc w:val="both"/>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（签章）</w:t>
            </w:r>
          </w:p>
        </w:tc>
        <w:tc>
          <w:tcPr>
            <w:tcW w:w="2789" w:type="dxa"/>
            <w:tcBorders>
              <w:top w:val="single" w:color="auto" w:sz="2" w:space="0"/>
              <w:left w:val="single" w:color="auto" w:sz="2" w:space="0"/>
              <w:right w:val="single" w:color="auto" w:sz="2" w:space="0"/>
            </w:tcBorders>
            <w:vAlign w:val="center"/>
          </w:tcPr>
          <w:p w14:paraId="74585F4B">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p>
        </w:tc>
        <w:tc>
          <w:tcPr>
            <w:tcW w:w="2288" w:type="dxa"/>
            <w:tcBorders>
              <w:top w:val="single" w:color="auto" w:sz="2" w:space="0"/>
              <w:left w:val="single" w:color="auto" w:sz="2" w:space="0"/>
              <w:right w:val="single" w:color="auto" w:sz="2" w:space="0"/>
            </w:tcBorders>
            <w:vAlign w:val="center"/>
          </w:tcPr>
          <w:p w14:paraId="6DA541AD">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法定代表人</w:t>
            </w:r>
          </w:p>
          <w:p w14:paraId="1F3C4275">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或其委托代理人（签章）</w:t>
            </w:r>
          </w:p>
        </w:tc>
        <w:tc>
          <w:tcPr>
            <w:tcW w:w="2453" w:type="dxa"/>
            <w:tcBorders>
              <w:top w:val="single" w:color="auto" w:sz="2" w:space="0"/>
              <w:left w:val="single" w:color="auto" w:sz="2" w:space="0"/>
              <w:bottom w:val="single" w:color="auto" w:sz="2" w:space="0"/>
            </w:tcBorders>
            <w:vAlign w:val="center"/>
          </w:tcPr>
          <w:p w14:paraId="2E61EA66">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p>
        </w:tc>
      </w:tr>
      <w:tr w14:paraId="572F651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180" w:type="dxa"/>
            <w:tcBorders>
              <w:top w:val="single" w:color="auto" w:sz="2" w:space="0"/>
              <w:bottom w:val="single" w:color="auto" w:sz="2" w:space="0"/>
              <w:right w:val="single" w:color="auto" w:sz="2" w:space="0"/>
            </w:tcBorders>
            <w:vAlign w:val="center"/>
          </w:tcPr>
          <w:p w14:paraId="02975778">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副院长：</w:t>
            </w:r>
          </w:p>
        </w:tc>
        <w:tc>
          <w:tcPr>
            <w:tcW w:w="2789" w:type="dxa"/>
            <w:tcBorders>
              <w:top w:val="single" w:color="auto" w:sz="2" w:space="0"/>
              <w:left w:val="single" w:color="auto" w:sz="2" w:space="0"/>
              <w:bottom w:val="single" w:color="auto" w:sz="2" w:space="0"/>
              <w:right w:val="single" w:color="auto" w:sz="2" w:space="0"/>
            </w:tcBorders>
            <w:vAlign w:val="center"/>
          </w:tcPr>
          <w:p w14:paraId="2F63DD2D">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p>
        </w:tc>
        <w:tc>
          <w:tcPr>
            <w:tcW w:w="2288" w:type="dxa"/>
            <w:tcBorders>
              <w:top w:val="single" w:color="auto" w:sz="2" w:space="0"/>
              <w:left w:val="single" w:color="auto" w:sz="2" w:space="0"/>
              <w:bottom w:val="single" w:color="auto" w:sz="2" w:space="0"/>
              <w:right w:val="single" w:color="auto" w:sz="2" w:space="0"/>
            </w:tcBorders>
            <w:vAlign w:val="center"/>
          </w:tcPr>
          <w:p w14:paraId="3DD54B1A">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pPr>
          </w:p>
        </w:tc>
        <w:tc>
          <w:tcPr>
            <w:tcW w:w="2453" w:type="dxa"/>
            <w:tcBorders>
              <w:top w:val="single" w:color="auto" w:sz="2" w:space="0"/>
              <w:left w:val="single" w:color="auto" w:sz="2" w:space="0"/>
              <w:bottom w:val="single" w:color="auto" w:sz="2" w:space="0"/>
            </w:tcBorders>
            <w:vAlign w:val="center"/>
          </w:tcPr>
          <w:p w14:paraId="1014E23D">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pacing w:val="20"/>
                <w:sz w:val="28"/>
                <w:szCs w:val="28"/>
                <w:highlight w:val="none"/>
                <w14:textFill>
                  <w14:solidFill>
                    <w14:schemeClr w14:val="tx1"/>
                  </w14:solidFill>
                </w14:textFill>
              </w:rPr>
            </w:pPr>
          </w:p>
        </w:tc>
      </w:tr>
      <w:tr w14:paraId="578F524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180" w:type="dxa"/>
            <w:tcBorders>
              <w:top w:val="single" w:color="auto" w:sz="2" w:space="0"/>
              <w:bottom w:val="single" w:color="auto" w:sz="2" w:space="0"/>
              <w:right w:val="single" w:color="auto" w:sz="2" w:space="0"/>
            </w:tcBorders>
            <w:vAlign w:val="center"/>
          </w:tcPr>
          <w:p w14:paraId="5B7CD7C6">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kern w:val="2"/>
                <w:sz w:val="28"/>
                <w:szCs w:val="28"/>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住</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所</w:t>
            </w:r>
          </w:p>
        </w:tc>
        <w:tc>
          <w:tcPr>
            <w:tcW w:w="2789" w:type="dxa"/>
            <w:tcBorders>
              <w:top w:val="single" w:color="auto" w:sz="2" w:space="0"/>
              <w:left w:val="single" w:color="auto" w:sz="2" w:space="0"/>
              <w:bottom w:val="single" w:color="auto" w:sz="2" w:space="0"/>
              <w:right w:val="single" w:color="auto" w:sz="2" w:space="0"/>
            </w:tcBorders>
            <w:vAlign w:val="center"/>
          </w:tcPr>
          <w:p w14:paraId="5662529C">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kern w:val="2"/>
                <w:sz w:val="28"/>
                <w:szCs w:val="28"/>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8"/>
                <w:szCs w:val="28"/>
                <w:highlight w:val="none"/>
                <w:lang w:val="en-US" w:eastAsia="zh-CN" w:bidi="ar-SA"/>
                <w14:textFill>
                  <w14:solidFill>
                    <w14:schemeClr w14:val="tx1"/>
                  </w14:solidFill>
                </w14:textFill>
              </w:rPr>
              <w:t>哈密市广场北路18号</w:t>
            </w:r>
          </w:p>
        </w:tc>
        <w:tc>
          <w:tcPr>
            <w:tcW w:w="2288" w:type="dxa"/>
            <w:tcBorders>
              <w:top w:val="single" w:color="auto" w:sz="2" w:space="0"/>
              <w:left w:val="single" w:color="auto" w:sz="2" w:space="0"/>
              <w:bottom w:val="single" w:color="auto" w:sz="2" w:space="0"/>
              <w:right w:val="single" w:color="auto" w:sz="2" w:space="0"/>
            </w:tcBorders>
            <w:vAlign w:val="center"/>
          </w:tcPr>
          <w:p w14:paraId="3D3BE321">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kern w:val="2"/>
                <w:sz w:val="28"/>
                <w:szCs w:val="28"/>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住</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所</w:t>
            </w:r>
          </w:p>
        </w:tc>
        <w:tc>
          <w:tcPr>
            <w:tcW w:w="2453" w:type="dxa"/>
            <w:tcBorders>
              <w:top w:val="single" w:color="auto" w:sz="2" w:space="0"/>
              <w:left w:val="single" w:color="auto" w:sz="2" w:space="0"/>
              <w:bottom w:val="single" w:color="auto" w:sz="2" w:space="0"/>
            </w:tcBorders>
            <w:vAlign w:val="center"/>
          </w:tcPr>
          <w:p w14:paraId="27307CB7">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pacing w:val="20"/>
                <w:kern w:val="2"/>
                <w:sz w:val="28"/>
                <w:szCs w:val="28"/>
                <w:highlight w:val="none"/>
                <w:lang w:val="en-US" w:eastAsia="zh-CN" w:bidi="ar-SA"/>
                <w14:textFill>
                  <w14:solidFill>
                    <w14:schemeClr w14:val="tx1"/>
                  </w14:solidFill>
                </w14:textFill>
              </w:rPr>
            </w:pPr>
          </w:p>
        </w:tc>
      </w:tr>
      <w:tr w14:paraId="678266E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180" w:type="dxa"/>
            <w:tcBorders>
              <w:top w:val="single" w:color="auto" w:sz="2" w:space="0"/>
              <w:bottom w:val="single" w:color="auto" w:sz="2" w:space="0"/>
              <w:right w:val="single" w:color="auto" w:sz="2" w:space="0"/>
            </w:tcBorders>
            <w:vAlign w:val="center"/>
          </w:tcPr>
          <w:p w14:paraId="64E7DFBB">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联 系 人</w:t>
            </w:r>
          </w:p>
        </w:tc>
        <w:tc>
          <w:tcPr>
            <w:tcW w:w="2789" w:type="dxa"/>
            <w:tcBorders>
              <w:top w:val="single" w:color="auto" w:sz="2" w:space="0"/>
              <w:left w:val="single" w:color="auto" w:sz="2" w:space="0"/>
              <w:bottom w:val="single" w:color="auto" w:sz="2" w:space="0"/>
              <w:right w:val="single" w:color="auto" w:sz="2" w:space="0"/>
            </w:tcBorders>
            <w:vAlign w:val="center"/>
          </w:tcPr>
          <w:p w14:paraId="37579C36">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p>
        </w:tc>
        <w:tc>
          <w:tcPr>
            <w:tcW w:w="2288" w:type="dxa"/>
            <w:tcBorders>
              <w:top w:val="single" w:color="auto" w:sz="2" w:space="0"/>
              <w:left w:val="single" w:color="auto" w:sz="2" w:space="0"/>
              <w:bottom w:val="single" w:color="auto" w:sz="2" w:space="0"/>
              <w:right w:val="single" w:color="auto" w:sz="2" w:space="0"/>
            </w:tcBorders>
            <w:vAlign w:val="center"/>
          </w:tcPr>
          <w:p w14:paraId="50C4C2AA">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联 系 人</w:t>
            </w:r>
          </w:p>
        </w:tc>
        <w:tc>
          <w:tcPr>
            <w:tcW w:w="2453" w:type="dxa"/>
            <w:tcBorders>
              <w:top w:val="single" w:color="auto" w:sz="2" w:space="0"/>
              <w:left w:val="single" w:color="auto" w:sz="2" w:space="0"/>
              <w:bottom w:val="single" w:color="auto" w:sz="2" w:space="0"/>
            </w:tcBorders>
            <w:vAlign w:val="center"/>
          </w:tcPr>
          <w:p w14:paraId="3EEEEF59">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pacing w:val="20"/>
                <w:sz w:val="28"/>
                <w:szCs w:val="28"/>
                <w:highlight w:val="none"/>
                <w14:textFill>
                  <w14:solidFill>
                    <w14:schemeClr w14:val="tx1"/>
                  </w14:solidFill>
                </w14:textFill>
              </w:rPr>
            </w:pPr>
          </w:p>
        </w:tc>
      </w:tr>
      <w:tr w14:paraId="1B68AF0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180" w:type="dxa"/>
            <w:tcBorders>
              <w:top w:val="single" w:color="auto" w:sz="2" w:space="0"/>
              <w:bottom w:val="single" w:color="auto" w:sz="2" w:space="0"/>
              <w:right w:val="single" w:color="auto" w:sz="2" w:space="0"/>
            </w:tcBorders>
            <w:vAlign w:val="center"/>
          </w:tcPr>
          <w:p w14:paraId="218E7703">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联系电话</w:t>
            </w:r>
          </w:p>
        </w:tc>
        <w:tc>
          <w:tcPr>
            <w:tcW w:w="2789" w:type="dxa"/>
            <w:tcBorders>
              <w:top w:val="single" w:color="auto" w:sz="2" w:space="0"/>
              <w:left w:val="single" w:color="auto" w:sz="2" w:space="0"/>
              <w:bottom w:val="single" w:color="auto" w:sz="2" w:space="0"/>
              <w:right w:val="single" w:color="auto" w:sz="2" w:space="0"/>
            </w:tcBorders>
            <w:vAlign w:val="center"/>
          </w:tcPr>
          <w:p w14:paraId="7456536D">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p>
        </w:tc>
        <w:tc>
          <w:tcPr>
            <w:tcW w:w="2288" w:type="dxa"/>
            <w:tcBorders>
              <w:top w:val="single" w:color="auto" w:sz="2" w:space="0"/>
              <w:left w:val="single" w:color="auto" w:sz="2" w:space="0"/>
              <w:bottom w:val="single" w:color="auto" w:sz="2" w:space="0"/>
              <w:right w:val="single" w:color="auto" w:sz="2" w:space="0"/>
            </w:tcBorders>
            <w:vAlign w:val="center"/>
          </w:tcPr>
          <w:p w14:paraId="21DB1B67">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联系电话</w:t>
            </w:r>
          </w:p>
        </w:tc>
        <w:tc>
          <w:tcPr>
            <w:tcW w:w="2453" w:type="dxa"/>
            <w:tcBorders>
              <w:top w:val="single" w:color="auto" w:sz="2" w:space="0"/>
              <w:left w:val="single" w:color="auto" w:sz="2" w:space="0"/>
              <w:bottom w:val="single" w:color="auto" w:sz="2" w:space="0"/>
            </w:tcBorders>
            <w:vAlign w:val="center"/>
          </w:tcPr>
          <w:p w14:paraId="4E3E8BB1">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pacing w:val="20"/>
                <w:sz w:val="28"/>
                <w:szCs w:val="28"/>
                <w:highlight w:val="none"/>
                <w14:textFill>
                  <w14:solidFill>
                    <w14:schemeClr w14:val="tx1"/>
                  </w14:solidFill>
                </w14:textFill>
              </w:rPr>
            </w:pPr>
          </w:p>
        </w:tc>
      </w:tr>
      <w:tr w14:paraId="419189E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180" w:type="dxa"/>
            <w:tcBorders>
              <w:top w:val="single" w:color="auto" w:sz="2" w:space="0"/>
              <w:bottom w:val="single" w:color="auto" w:sz="2" w:space="0"/>
              <w:right w:val="single" w:color="auto" w:sz="2" w:space="0"/>
            </w:tcBorders>
            <w:vAlign w:val="center"/>
          </w:tcPr>
          <w:p w14:paraId="1640759C">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通信地址</w:t>
            </w:r>
          </w:p>
        </w:tc>
        <w:tc>
          <w:tcPr>
            <w:tcW w:w="2789" w:type="dxa"/>
            <w:tcBorders>
              <w:top w:val="single" w:color="auto" w:sz="2" w:space="0"/>
              <w:left w:val="single" w:color="auto" w:sz="2" w:space="0"/>
              <w:bottom w:val="single" w:color="auto" w:sz="2" w:space="0"/>
              <w:right w:val="single" w:color="auto" w:sz="2" w:space="0"/>
            </w:tcBorders>
            <w:vAlign w:val="center"/>
          </w:tcPr>
          <w:p w14:paraId="07E61850">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2"/>
                <w:sz w:val="28"/>
                <w:szCs w:val="28"/>
                <w:highlight w:val="none"/>
                <w:lang w:val="en-US" w:eastAsia="zh-CN" w:bidi="ar-SA"/>
                <w14:textFill>
                  <w14:solidFill>
                    <w14:schemeClr w14:val="tx1"/>
                  </w14:solidFill>
                </w14:textFill>
              </w:rPr>
              <w:t>哈密市广场北路18号</w:t>
            </w:r>
          </w:p>
        </w:tc>
        <w:tc>
          <w:tcPr>
            <w:tcW w:w="2288" w:type="dxa"/>
            <w:tcBorders>
              <w:top w:val="single" w:color="auto" w:sz="2" w:space="0"/>
              <w:left w:val="single" w:color="auto" w:sz="2" w:space="0"/>
              <w:bottom w:val="single" w:color="auto" w:sz="2" w:space="0"/>
              <w:right w:val="single" w:color="auto" w:sz="2" w:space="0"/>
            </w:tcBorders>
            <w:vAlign w:val="center"/>
          </w:tcPr>
          <w:p w14:paraId="221E2412">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通信地址</w:t>
            </w:r>
          </w:p>
        </w:tc>
        <w:tc>
          <w:tcPr>
            <w:tcW w:w="2453" w:type="dxa"/>
            <w:tcBorders>
              <w:top w:val="single" w:color="auto" w:sz="2" w:space="0"/>
              <w:left w:val="single" w:color="auto" w:sz="2" w:space="0"/>
              <w:bottom w:val="single" w:color="auto" w:sz="2" w:space="0"/>
            </w:tcBorders>
            <w:vAlign w:val="center"/>
          </w:tcPr>
          <w:p w14:paraId="0C4A0C24">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pacing w:val="20"/>
                <w:sz w:val="28"/>
                <w:szCs w:val="28"/>
                <w:highlight w:val="none"/>
                <w14:textFill>
                  <w14:solidFill>
                    <w14:schemeClr w14:val="tx1"/>
                  </w14:solidFill>
                </w14:textFill>
              </w:rPr>
            </w:pPr>
          </w:p>
        </w:tc>
      </w:tr>
      <w:tr w14:paraId="3464865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180" w:type="dxa"/>
            <w:tcBorders>
              <w:top w:val="single" w:color="auto" w:sz="2" w:space="0"/>
              <w:bottom w:val="single" w:color="auto" w:sz="2" w:space="0"/>
              <w:right w:val="single" w:color="auto" w:sz="2" w:space="0"/>
            </w:tcBorders>
            <w:vAlign w:val="center"/>
          </w:tcPr>
          <w:p w14:paraId="41891303">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邮政编码</w:t>
            </w:r>
          </w:p>
        </w:tc>
        <w:tc>
          <w:tcPr>
            <w:tcW w:w="2789" w:type="dxa"/>
            <w:tcBorders>
              <w:top w:val="single" w:color="auto" w:sz="2" w:space="0"/>
              <w:left w:val="single" w:color="auto" w:sz="2" w:space="0"/>
              <w:bottom w:val="single" w:color="auto" w:sz="2" w:space="0"/>
              <w:right w:val="single" w:color="auto" w:sz="2" w:space="0"/>
            </w:tcBorders>
            <w:vAlign w:val="center"/>
          </w:tcPr>
          <w:p w14:paraId="38B79E6E">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p>
        </w:tc>
        <w:tc>
          <w:tcPr>
            <w:tcW w:w="2288" w:type="dxa"/>
            <w:tcBorders>
              <w:top w:val="single" w:color="auto" w:sz="2" w:space="0"/>
              <w:left w:val="single" w:color="auto" w:sz="2" w:space="0"/>
              <w:bottom w:val="single" w:color="auto" w:sz="2" w:space="0"/>
              <w:right w:val="single" w:color="auto" w:sz="2" w:space="0"/>
            </w:tcBorders>
            <w:vAlign w:val="center"/>
          </w:tcPr>
          <w:p w14:paraId="7613A4F8">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邮政编码</w:t>
            </w:r>
          </w:p>
        </w:tc>
        <w:tc>
          <w:tcPr>
            <w:tcW w:w="2453" w:type="dxa"/>
            <w:tcBorders>
              <w:top w:val="single" w:color="auto" w:sz="2" w:space="0"/>
              <w:left w:val="single" w:color="auto" w:sz="2" w:space="0"/>
              <w:bottom w:val="single" w:color="auto" w:sz="2" w:space="0"/>
            </w:tcBorders>
            <w:vAlign w:val="center"/>
          </w:tcPr>
          <w:p w14:paraId="4475D0C9">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pacing w:val="20"/>
                <w:sz w:val="28"/>
                <w:szCs w:val="28"/>
                <w:highlight w:val="none"/>
                <w14:textFill>
                  <w14:solidFill>
                    <w14:schemeClr w14:val="tx1"/>
                  </w14:solidFill>
                </w14:textFill>
              </w:rPr>
            </w:pPr>
          </w:p>
        </w:tc>
      </w:tr>
      <w:tr w14:paraId="6D5B2F9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180" w:type="dxa"/>
            <w:tcBorders>
              <w:top w:val="single" w:color="auto" w:sz="2" w:space="0"/>
              <w:bottom w:val="single" w:color="auto" w:sz="2" w:space="0"/>
              <w:right w:val="single" w:color="auto" w:sz="2" w:space="0"/>
            </w:tcBorders>
            <w:vAlign w:val="center"/>
          </w:tcPr>
          <w:p w14:paraId="0BC3F45C">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电子邮箱</w:t>
            </w:r>
          </w:p>
        </w:tc>
        <w:tc>
          <w:tcPr>
            <w:tcW w:w="2789" w:type="dxa"/>
            <w:tcBorders>
              <w:top w:val="single" w:color="auto" w:sz="2" w:space="0"/>
              <w:left w:val="single" w:color="auto" w:sz="2" w:space="0"/>
              <w:bottom w:val="single" w:color="auto" w:sz="2" w:space="0"/>
              <w:right w:val="single" w:color="auto" w:sz="2" w:space="0"/>
            </w:tcBorders>
            <w:vAlign w:val="center"/>
          </w:tcPr>
          <w:p w14:paraId="63BFCB50">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p>
        </w:tc>
        <w:tc>
          <w:tcPr>
            <w:tcW w:w="2288" w:type="dxa"/>
            <w:tcBorders>
              <w:top w:val="single" w:color="auto" w:sz="2" w:space="0"/>
              <w:left w:val="single" w:color="auto" w:sz="2" w:space="0"/>
              <w:bottom w:val="single" w:color="auto" w:sz="2" w:space="0"/>
              <w:right w:val="single" w:color="auto" w:sz="2" w:space="0"/>
            </w:tcBorders>
            <w:vAlign w:val="center"/>
          </w:tcPr>
          <w:p w14:paraId="7D7361C3">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电子邮箱</w:t>
            </w:r>
          </w:p>
        </w:tc>
        <w:tc>
          <w:tcPr>
            <w:tcW w:w="2453" w:type="dxa"/>
            <w:tcBorders>
              <w:top w:val="single" w:color="auto" w:sz="2" w:space="0"/>
              <w:left w:val="single" w:color="auto" w:sz="2" w:space="0"/>
              <w:bottom w:val="single" w:color="auto" w:sz="2" w:space="0"/>
            </w:tcBorders>
            <w:vAlign w:val="center"/>
          </w:tcPr>
          <w:p w14:paraId="7929B830">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pacing w:val="20"/>
                <w:sz w:val="28"/>
                <w:szCs w:val="28"/>
                <w:highlight w:val="none"/>
                <w14:textFill>
                  <w14:solidFill>
                    <w14:schemeClr w14:val="tx1"/>
                  </w14:solidFill>
                </w14:textFill>
              </w:rPr>
            </w:pPr>
          </w:p>
        </w:tc>
      </w:tr>
      <w:tr w14:paraId="30EB0AD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180" w:type="dxa"/>
            <w:tcBorders>
              <w:top w:val="single" w:color="auto" w:sz="2" w:space="0"/>
              <w:bottom w:val="single" w:color="auto" w:sz="2" w:space="0"/>
              <w:right w:val="single" w:color="auto" w:sz="2" w:space="0"/>
            </w:tcBorders>
            <w:vAlign w:val="center"/>
          </w:tcPr>
          <w:p w14:paraId="4E6CBF07">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统一社会信用代码</w:t>
            </w:r>
          </w:p>
        </w:tc>
        <w:tc>
          <w:tcPr>
            <w:tcW w:w="2789" w:type="dxa"/>
            <w:tcBorders>
              <w:top w:val="single" w:color="auto" w:sz="2" w:space="0"/>
              <w:left w:val="single" w:color="auto" w:sz="2" w:space="0"/>
              <w:bottom w:val="single" w:color="auto" w:sz="2" w:space="0"/>
              <w:right w:val="single" w:color="auto" w:sz="2" w:space="0"/>
            </w:tcBorders>
            <w:vAlign w:val="center"/>
          </w:tcPr>
          <w:p w14:paraId="7DC20ED1">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p>
        </w:tc>
        <w:tc>
          <w:tcPr>
            <w:tcW w:w="2288" w:type="dxa"/>
            <w:tcBorders>
              <w:top w:val="single" w:color="auto" w:sz="2" w:space="0"/>
              <w:left w:val="single" w:color="auto" w:sz="2" w:space="0"/>
              <w:bottom w:val="single" w:color="auto" w:sz="2" w:space="0"/>
              <w:right w:val="single" w:color="auto" w:sz="2" w:space="0"/>
            </w:tcBorders>
            <w:vAlign w:val="center"/>
          </w:tcPr>
          <w:p w14:paraId="49C6DA4A">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统一社会信用代码</w:t>
            </w:r>
          </w:p>
        </w:tc>
        <w:tc>
          <w:tcPr>
            <w:tcW w:w="2453" w:type="dxa"/>
            <w:tcBorders>
              <w:top w:val="single" w:color="auto" w:sz="2" w:space="0"/>
              <w:left w:val="single" w:color="auto" w:sz="2" w:space="0"/>
              <w:bottom w:val="single" w:color="auto" w:sz="2" w:space="0"/>
            </w:tcBorders>
            <w:vAlign w:val="center"/>
          </w:tcPr>
          <w:p w14:paraId="674703B4">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pacing w:val="20"/>
                <w:sz w:val="28"/>
                <w:szCs w:val="28"/>
                <w:highlight w:val="none"/>
                <w14:textFill>
                  <w14:solidFill>
                    <w14:schemeClr w14:val="tx1"/>
                  </w14:solidFill>
                </w14:textFill>
              </w:rPr>
            </w:pPr>
          </w:p>
        </w:tc>
      </w:tr>
      <w:tr w14:paraId="128DEE2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180" w:type="dxa"/>
            <w:tcBorders>
              <w:top w:val="single" w:color="auto" w:sz="2" w:space="0"/>
              <w:bottom w:val="single" w:color="auto" w:sz="2" w:space="0"/>
              <w:right w:val="single" w:color="auto" w:sz="2" w:space="0"/>
            </w:tcBorders>
            <w:vAlign w:val="center"/>
          </w:tcPr>
          <w:p w14:paraId="6B2DC20E">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p>
        </w:tc>
        <w:tc>
          <w:tcPr>
            <w:tcW w:w="2789" w:type="dxa"/>
            <w:tcBorders>
              <w:top w:val="single" w:color="auto" w:sz="2" w:space="0"/>
              <w:left w:val="single" w:color="auto" w:sz="2" w:space="0"/>
              <w:bottom w:val="single" w:color="auto" w:sz="2" w:space="0"/>
              <w:right w:val="single" w:color="auto" w:sz="2" w:space="0"/>
            </w:tcBorders>
            <w:vAlign w:val="center"/>
          </w:tcPr>
          <w:p w14:paraId="6B964328">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p>
        </w:tc>
        <w:tc>
          <w:tcPr>
            <w:tcW w:w="2288" w:type="dxa"/>
            <w:tcBorders>
              <w:top w:val="single" w:color="auto" w:sz="2" w:space="0"/>
              <w:left w:val="single" w:color="auto" w:sz="2" w:space="0"/>
              <w:bottom w:val="single" w:color="auto" w:sz="2" w:space="0"/>
              <w:right w:val="single" w:color="auto" w:sz="2" w:space="0"/>
            </w:tcBorders>
            <w:vAlign w:val="center"/>
          </w:tcPr>
          <w:p w14:paraId="6688F22D">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开户名称</w:t>
            </w:r>
          </w:p>
        </w:tc>
        <w:tc>
          <w:tcPr>
            <w:tcW w:w="2453" w:type="dxa"/>
            <w:tcBorders>
              <w:top w:val="single" w:color="auto" w:sz="2" w:space="0"/>
              <w:left w:val="single" w:color="auto" w:sz="2" w:space="0"/>
              <w:bottom w:val="single" w:color="auto" w:sz="2" w:space="0"/>
            </w:tcBorders>
            <w:vAlign w:val="center"/>
          </w:tcPr>
          <w:p w14:paraId="577A2F6E">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pacing w:val="20"/>
                <w:sz w:val="28"/>
                <w:szCs w:val="28"/>
                <w:highlight w:val="none"/>
                <w14:textFill>
                  <w14:solidFill>
                    <w14:schemeClr w14:val="tx1"/>
                  </w14:solidFill>
                </w14:textFill>
              </w:rPr>
            </w:pPr>
          </w:p>
        </w:tc>
      </w:tr>
      <w:tr w14:paraId="3993889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180" w:type="dxa"/>
            <w:tcBorders>
              <w:top w:val="single" w:color="auto" w:sz="2" w:space="0"/>
              <w:bottom w:val="single" w:color="auto" w:sz="2" w:space="0"/>
              <w:right w:val="single" w:color="auto" w:sz="2" w:space="0"/>
            </w:tcBorders>
            <w:vAlign w:val="center"/>
          </w:tcPr>
          <w:p w14:paraId="3DC3975A">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p>
        </w:tc>
        <w:tc>
          <w:tcPr>
            <w:tcW w:w="2789" w:type="dxa"/>
            <w:tcBorders>
              <w:top w:val="single" w:color="auto" w:sz="2" w:space="0"/>
              <w:left w:val="single" w:color="auto" w:sz="2" w:space="0"/>
              <w:bottom w:val="single" w:color="auto" w:sz="2" w:space="0"/>
              <w:right w:val="single" w:color="auto" w:sz="2" w:space="0"/>
            </w:tcBorders>
            <w:vAlign w:val="center"/>
          </w:tcPr>
          <w:p w14:paraId="1BBED08C">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p>
        </w:tc>
        <w:tc>
          <w:tcPr>
            <w:tcW w:w="2288" w:type="dxa"/>
            <w:tcBorders>
              <w:top w:val="single" w:color="auto" w:sz="2" w:space="0"/>
              <w:left w:val="single" w:color="auto" w:sz="2" w:space="0"/>
              <w:bottom w:val="single" w:color="auto" w:sz="2" w:space="0"/>
              <w:right w:val="single" w:color="auto" w:sz="2" w:space="0"/>
            </w:tcBorders>
            <w:vAlign w:val="center"/>
          </w:tcPr>
          <w:p w14:paraId="25277B6C">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开户银行</w:t>
            </w:r>
          </w:p>
        </w:tc>
        <w:tc>
          <w:tcPr>
            <w:tcW w:w="2453" w:type="dxa"/>
            <w:tcBorders>
              <w:top w:val="single" w:color="auto" w:sz="2" w:space="0"/>
              <w:left w:val="single" w:color="auto" w:sz="2" w:space="0"/>
              <w:bottom w:val="single" w:color="auto" w:sz="2" w:space="0"/>
            </w:tcBorders>
            <w:vAlign w:val="center"/>
          </w:tcPr>
          <w:p w14:paraId="12F2DE84">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pacing w:val="20"/>
                <w:sz w:val="28"/>
                <w:szCs w:val="28"/>
                <w:highlight w:val="none"/>
                <w14:textFill>
                  <w14:solidFill>
                    <w14:schemeClr w14:val="tx1"/>
                  </w14:solidFill>
                </w14:textFill>
              </w:rPr>
            </w:pPr>
          </w:p>
        </w:tc>
      </w:tr>
      <w:tr w14:paraId="4ADBF5B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180" w:type="dxa"/>
            <w:tcBorders>
              <w:top w:val="single" w:color="auto" w:sz="2" w:space="0"/>
              <w:bottom w:val="single" w:color="auto" w:sz="2" w:space="0"/>
              <w:right w:val="single" w:color="auto" w:sz="2" w:space="0"/>
            </w:tcBorders>
            <w:vAlign w:val="center"/>
          </w:tcPr>
          <w:p w14:paraId="2E691042">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p>
        </w:tc>
        <w:tc>
          <w:tcPr>
            <w:tcW w:w="2789" w:type="dxa"/>
            <w:tcBorders>
              <w:top w:val="single" w:color="auto" w:sz="2" w:space="0"/>
              <w:left w:val="single" w:color="auto" w:sz="2" w:space="0"/>
              <w:bottom w:val="single" w:color="auto" w:sz="2" w:space="0"/>
              <w:right w:val="single" w:color="auto" w:sz="2" w:space="0"/>
            </w:tcBorders>
            <w:vAlign w:val="center"/>
          </w:tcPr>
          <w:p w14:paraId="0AF2CB07">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p>
        </w:tc>
        <w:tc>
          <w:tcPr>
            <w:tcW w:w="2288" w:type="dxa"/>
            <w:tcBorders>
              <w:top w:val="single" w:color="auto" w:sz="2" w:space="0"/>
              <w:left w:val="single" w:color="auto" w:sz="2" w:space="0"/>
              <w:bottom w:val="single" w:color="auto" w:sz="2" w:space="0"/>
              <w:right w:val="single" w:color="auto" w:sz="2" w:space="0"/>
            </w:tcBorders>
            <w:vAlign w:val="center"/>
          </w:tcPr>
          <w:p w14:paraId="4346B238">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银行账号</w:t>
            </w:r>
          </w:p>
        </w:tc>
        <w:tc>
          <w:tcPr>
            <w:tcW w:w="2453" w:type="dxa"/>
            <w:tcBorders>
              <w:top w:val="single" w:color="auto" w:sz="2" w:space="0"/>
              <w:left w:val="single" w:color="auto" w:sz="2" w:space="0"/>
              <w:bottom w:val="single" w:color="auto" w:sz="2" w:space="0"/>
            </w:tcBorders>
            <w:vAlign w:val="center"/>
          </w:tcPr>
          <w:p w14:paraId="22AE4459">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pacing w:val="20"/>
                <w:sz w:val="28"/>
                <w:szCs w:val="28"/>
                <w:highlight w:val="none"/>
                <w14:textFill>
                  <w14:solidFill>
                    <w14:schemeClr w14:val="tx1"/>
                  </w14:solidFill>
                </w14:textFill>
              </w:rPr>
            </w:pPr>
          </w:p>
        </w:tc>
      </w:tr>
      <w:tr w14:paraId="506BB52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9710" w:type="dxa"/>
            <w:gridSpan w:val="4"/>
            <w:tcBorders>
              <w:top w:val="single" w:color="auto" w:sz="2" w:space="0"/>
            </w:tcBorders>
            <w:vAlign w:val="center"/>
          </w:tcPr>
          <w:p w14:paraId="3869A4A0">
            <w:pPr>
              <w:pStyle w:val="14"/>
              <w:pageBreakBefore w:val="0"/>
              <w:kinsoku/>
              <w:wordWrap/>
              <w:overflowPunct/>
              <w:topLinePunct w:val="0"/>
              <w:bidi w:val="0"/>
              <w:adjustRightInd w:val="0"/>
              <w:snapToGrid w:val="0"/>
              <w:spacing w:before="156" w:beforeLines="50" w:after="0" w:afterAutospacing="0" w:line="560" w:lineRule="exact"/>
              <w:ind w:left="0" w:leftChars="0"/>
              <w:jc w:val="left"/>
              <w:textAlignment w:val="auto"/>
              <w:rPr>
                <w:rFonts w:hint="eastAsia" w:asciiTheme="minorEastAsia" w:hAnsiTheme="minorEastAsia" w:eastAsiaTheme="minorEastAsia" w:cstheme="minorEastAsia"/>
                <w:color w:val="000000" w:themeColor="text1"/>
                <w:spacing w:val="20"/>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注：涉及联合体或其他合同主体的信息应按上表格式加列。</w:t>
            </w:r>
          </w:p>
        </w:tc>
      </w:tr>
    </w:tbl>
    <w:p w14:paraId="29C5597A">
      <w:pPr>
        <w:pStyle w:val="3"/>
        <w:pageBreakBefore w:val="0"/>
        <w:kinsoku/>
        <w:wordWrap/>
        <w:overflowPunct/>
        <w:topLinePunct w:val="0"/>
        <w:bidi w:val="0"/>
        <w:adjustRightInd w:val="0"/>
        <w:snapToGrid w:val="0"/>
        <w:spacing w:before="156" w:beforeLines="50" w:afterAutospacing="0" w:line="560" w:lineRule="exact"/>
        <w:jc w:val="center"/>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br w:type="page"/>
      </w:r>
      <w:bookmarkStart w:id="216" w:name="_Toc27624"/>
      <w:r>
        <w:rPr>
          <w:rFonts w:hint="eastAsia" w:asciiTheme="minorEastAsia" w:hAnsiTheme="minorEastAsia" w:eastAsiaTheme="minorEastAsia" w:cstheme="minorEastAsia"/>
          <w:b w:val="0"/>
          <w:bCs w:val="0"/>
          <w:color w:val="000000" w:themeColor="text1"/>
          <w:sz w:val="28"/>
          <w:szCs w:val="28"/>
          <w:highlight w:val="none"/>
          <w14:textFill>
            <w14:solidFill>
              <w14:schemeClr w14:val="tx1"/>
            </w14:solidFill>
          </w14:textFill>
        </w:rPr>
        <w:t>第二节 合同通用条款</w:t>
      </w:r>
      <w:bookmarkEnd w:id="216"/>
    </w:p>
    <w:p w14:paraId="11DE7E7A">
      <w:pPr>
        <w:pageBreakBefore w:val="0"/>
        <w:tabs>
          <w:tab w:val="left" w:pos="8820"/>
          <w:tab w:val="left" w:pos="9345"/>
          <w:tab w:val="left" w:pos="9765"/>
        </w:tabs>
        <w:kinsoku/>
        <w:wordWrap/>
        <w:overflowPunct/>
        <w:topLinePunct w:val="0"/>
        <w:bidi w:val="0"/>
        <w:adjustRightInd w:val="0"/>
        <w:snapToGrid w:val="0"/>
        <w:spacing w:before="0" w:afterAutospacing="0" w:line="560" w:lineRule="exact"/>
        <w:jc w:val="left"/>
        <w:textAlignment w:val="auto"/>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1.</w:t>
      </w:r>
      <w:r>
        <w:rPr>
          <w:rFonts w:hint="eastAsia" w:asciiTheme="minorEastAsia" w:hAnsiTheme="minorEastAsia" w:eastAsiaTheme="minorEastAsia" w:cstheme="minorEastAsia"/>
          <w:b/>
          <w:color w:val="000000" w:themeColor="text1"/>
          <w:sz w:val="28"/>
          <w:szCs w:val="28"/>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定义</w:t>
      </w:r>
    </w:p>
    <w:p w14:paraId="45F117F1">
      <w:pPr>
        <w:pageBreakBefore w:val="0"/>
        <w:kinsoku/>
        <w:wordWrap/>
        <w:overflowPunct/>
        <w:topLinePunct w:val="0"/>
        <w:autoSpaceDE w:val="0"/>
        <w:autoSpaceDN w:val="0"/>
        <w:bidi w:val="0"/>
        <w:adjustRightInd w:val="0"/>
        <w:snapToGrid w:val="0"/>
        <w:spacing w:before="0" w:afterAutospacing="0" w:line="560" w:lineRule="exact"/>
        <w:ind w:firstLine="560" w:firstLineChars="200"/>
        <w:jc w:val="lef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1.1合同当事人</w:t>
      </w:r>
    </w:p>
    <w:p w14:paraId="028FBAE2">
      <w:pPr>
        <w:pageBreakBefore w:val="0"/>
        <w:kinsoku/>
        <w:wordWrap/>
        <w:overflowPunct/>
        <w:topLinePunct w:val="0"/>
        <w:autoSpaceDE w:val="0"/>
        <w:autoSpaceDN w:val="0"/>
        <w:bidi w:val="0"/>
        <w:adjustRightInd w:val="0"/>
        <w:snapToGrid w:val="0"/>
        <w:spacing w:before="0" w:afterAutospacing="0" w:line="560" w:lineRule="exact"/>
        <w:ind w:firstLine="560" w:firstLineChars="200"/>
        <w:jc w:val="lef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（1）采购人（以下称甲方）是指使用财政性资金向供应商购买货物</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及其相关服务的</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国家机关、事业单位、团体组织。</w:t>
      </w:r>
    </w:p>
    <w:p w14:paraId="0400E4A7">
      <w:pPr>
        <w:pageBreakBefore w:val="0"/>
        <w:kinsoku/>
        <w:wordWrap/>
        <w:overflowPunct/>
        <w:topLinePunct w:val="0"/>
        <w:autoSpaceDE w:val="0"/>
        <w:autoSpaceDN w:val="0"/>
        <w:bidi w:val="0"/>
        <w:adjustRightInd w:val="0"/>
        <w:snapToGrid w:val="0"/>
        <w:spacing w:before="0" w:afterAutospacing="0" w:line="560" w:lineRule="exact"/>
        <w:ind w:firstLine="560" w:firstLineChars="200"/>
        <w:jc w:val="lef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（2）供应商（以下称</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乙</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方）是指参加采购活动并且中标（成交），向采购人提供</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合同约定的货物及其相关服务的法人、非法人组织或者自然人</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w:t>
      </w:r>
    </w:p>
    <w:p w14:paraId="46960DD6">
      <w:pPr>
        <w:pageBreakBefore w:val="0"/>
        <w:kinsoku/>
        <w:wordWrap/>
        <w:overflowPunct/>
        <w:topLinePunct w:val="0"/>
        <w:autoSpaceDE w:val="0"/>
        <w:autoSpaceDN w:val="0"/>
        <w:bidi w:val="0"/>
        <w:adjustRightInd w:val="0"/>
        <w:snapToGrid w:val="0"/>
        <w:spacing w:before="0" w:afterAutospacing="0" w:line="560" w:lineRule="exact"/>
        <w:ind w:firstLine="560" w:firstLineChars="200"/>
        <w:jc w:val="lef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（3）其他合同主体是指除采购人和供应商以外，</w:t>
      </w: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依法参与合同缔结或履行，享有权利、承担义务的合同当事人</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w:t>
      </w:r>
    </w:p>
    <w:p w14:paraId="6CEA5730">
      <w:pPr>
        <w:pageBreakBefore w:val="0"/>
        <w:tabs>
          <w:tab w:val="left" w:pos="570"/>
          <w:tab w:val="left" w:pos="9240"/>
          <w:tab w:val="left" w:pos="9555"/>
        </w:tabs>
        <w:kinsoku/>
        <w:wordWrap/>
        <w:overflowPunct/>
        <w:topLinePunct w:val="0"/>
        <w:bidi w:val="0"/>
        <w:adjustRightInd w:val="0"/>
        <w:snapToGrid w:val="0"/>
        <w:spacing w:before="0" w:afterAutospacing="0" w:line="560" w:lineRule="exact"/>
        <w:ind w:firstLine="560" w:firstLineChars="200"/>
        <w:jc w:val="lef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1.2本合同下列术语应解释为：</w:t>
      </w:r>
    </w:p>
    <w:p w14:paraId="0FEE7DC7">
      <w:pPr>
        <w:pageBreakBefore w:val="0"/>
        <w:kinsoku/>
        <w:wordWrap/>
        <w:overflowPunct/>
        <w:topLinePunct w:val="0"/>
        <w:bidi w:val="0"/>
        <w:adjustRightInd w:val="0"/>
        <w:snapToGrid w:val="0"/>
        <w:spacing w:before="0" w:beforeLines="0" w:afterAutospacing="0" w:line="560" w:lineRule="exact"/>
        <w:ind w:firstLine="560" w:firstLineChars="200"/>
        <w:jc w:val="lef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（1）“合同”系指</w:t>
      </w: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合同当事人意思表示达成一致的任何协议，包括签署的</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合同协议书及其变更、补充</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协议，</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合同专用条款</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合同通用条款</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中标</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（成交）</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通知书</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投标（响应）文件</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采购文件</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有关技术文件</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和</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图纸</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，以及</w:t>
      </w:r>
      <w:r>
        <w:rPr>
          <w:rFonts w:hint="eastAsia" w:asciiTheme="minorEastAsia" w:hAnsiTheme="minorEastAsia" w:eastAsiaTheme="minorEastAsia" w:cstheme="minorEastAsia"/>
          <w:bCs w:val="0"/>
          <w:color w:val="000000" w:themeColor="text1"/>
          <w:kern w:val="2"/>
          <w:sz w:val="28"/>
          <w:szCs w:val="28"/>
          <w:highlight w:val="none"/>
          <w:lang w:eastAsia="zh-CN"/>
          <w14:textFill>
            <w14:solidFill>
              <w14:schemeClr w14:val="tx1"/>
            </w14:solidFill>
          </w14:textFill>
        </w:rPr>
        <w:t>国家法律、行政法规和规章制度规定或合同约定的作为合同组成部分的其他文件</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w:t>
      </w:r>
    </w:p>
    <w:p w14:paraId="78CBFCDE">
      <w:pPr>
        <w:pageBreakBefore w:val="0"/>
        <w:tabs>
          <w:tab w:val="left" w:pos="570"/>
          <w:tab w:val="left" w:pos="9240"/>
          <w:tab w:val="left" w:pos="9555"/>
        </w:tabs>
        <w:kinsoku/>
        <w:wordWrap/>
        <w:overflowPunct/>
        <w:topLinePunct w:val="0"/>
        <w:bidi w:val="0"/>
        <w:adjustRightInd w:val="0"/>
        <w:snapToGrid w:val="0"/>
        <w:spacing w:before="0" w:afterAutospacing="0" w:line="560" w:lineRule="exact"/>
        <w:ind w:firstLine="560" w:firstLineChars="200"/>
        <w:jc w:val="lef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）“合同价</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款</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”系指根据本合同规定乙方在全面履行合同义务后甲方应支付给乙方的价款。</w:t>
      </w:r>
    </w:p>
    <w:p w14:paraId="63C68B5D">
      <w:pPr>
        <w:pageBreakBefore w:val="0"/>
        <w:tabs>
          <w:tab w:val="left" w:pos="570"/>
          <w:tab w:val="left" w:pos="9240"/>
          <w:tab w:val="left" w:pos="9555"/>
        </w:tabs>
        <w:kinsoku/>
        <w:wordWrap/>
        <w:overflowPunct/>
        <w:topLinePunct w:val="0"/>
        <w:bidi w:val="0"/>
        <w:adjustRightInd w:val="0"/>
        <w:snapToGrid w:val="0"/>
        <w:spacing w:before="0" w:afterAutospacing="0" w:line="560" w:lineRule="exact"/>
        <w:ind w:firstLine="560" w:firstLineChars="200"/>
        <w:jc w:val="left"/>
        <w:textAlignment w:val="auto"/>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）“货物”系指乙方根据本合同规定须向甲方提供的各种形态和种类的物品，包括原材料、设备、产品（包括软件）及相关的其备品备件、工具、手册及</w:t>
      </w:r>
      <w:r>
        <w:rPr>
          <w:rFonts w:hint="eastAsia" w:asciiTheme="minorEastAsia" w:hAnsiTheme="minorEastAsia" w:eastAsiaTheme="minorEastAsia" w:cstheme="minorEastAsia"/>
          <w:color w:val="000000" w:themeColor="text1"/>
          <w:sz w:val="28"/>
          <w:szCs w:val="28"/>
          <w:highlight w:val="none"/>
          <w:lang w:val="en"/>
          <w14:textFill>
            <w14:solidFill>
              <w14:schemeClr w14:val="tx1"/>
            </w14:solidFill>
          </w14:textFill>
        </w:rPr>
        <w:t>其他</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技术资料和材料</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等</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w:t>
      </w:r>
    </w:p>
    <w:p w14:paraId="35327C08">
      <w:pPr>
        <w:pageBreakBefore w:val="0"/>
        <w:kinsoku/>
        <w:wordWrap/>
        <w:overflowPunct/>
        <w:topLinePunct w:val="0"/>
        <w:bidi w:val="0"/>
        <w:adjustRightInd w:val="0"/>
        <w:snapToGrid w:val="0"/>
        <w:spacing w:before="0" w:afterAutospacing="0" w:line="560" w:lineRule="exact"/>
        <w:ind w:firstLine="560" w:firstLineChars="200"/>
        <w:jc w:val="left"/>
        <w:textAlignment w:val="auto"/>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相关</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服务”系指根据合同规定，乙方应提供的</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与货物有关的</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技术、管理和</w:t>
      </w:r>
      <w:r>
        <w:rPr>
          <w:rFonts w:hint="eastAsia" w:asciiTheme="minorEastAsia" w:hAnsiTheme="minorEastAsia" w:eastAsiaTheme="minorEastAsia" w:cstheme="minorEastAsia"/>
          <w:color w:val="000000" w:themeColor="text1"/>
          <w:sz w:val="28"/>
          <w:szCs w:val="28"/>
          <w:highlight w:val="none"/>
          <w:lang w:val="en"/>
          <w14:textFill>
            <w14:solidFill>
              <w14:schemeClr w14:val="tx1"/>
            </w14:solidFill>
          </w14:textFill>
        </w:rPr>
        <w:t>其他</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服务，包括但不限于：管理和质量保证、运输、保险、检验、现场准备、安装、集成、调试、培训、维修、</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废弃处置、</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技术支持等以及合同中规定乙方应承担的</w:t>
      </w:r>
      <w:r>
        <w:rPr>
          <w:rFonts w:hint="eastAsia" w:asciiTheme="minorEastAsia" w:hAnsiTheme="minorEastAsia" w:eastAsiaTheme="minorEastAsia" w:cstheme="minorEastAsia"/>
          <w:color w:val="000000" w:themeColor="text1"/>
          <w:sz w:val="28"/>
          <w:szCs w:val="28"/>
          <w:highlight w:val="none"/>
          <w:lang w:val="en"/>
          <w14:textFill>
            <w14:solidFill>
              <w14:schemeClr w14:val="tx1"/>
            </w14:solidFill>
          </w14:textFill>
        </w:rPr>
        <w:t>其他</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义务。</w:t>
      </w:r>
    </w:p>
    <w:p w14:paraId="7B88E42C">
      <w:pPr>
        <w:pageBreakBefore w:val="0"/>
        <w:kinsoku/>
        <w:wordWrap/>
        <w:overflowPunct/>
        <w:topLinePunct w:val="0"/>
        <w:bidi w:val="0"/>
        <w:adjustRightInd w:val="0"/>
        <w:snapToGrid w:val="0"/>
        <w:spacing w:before="0" w:afterAutospacing="0" w:line="560" w:lineRule="exact"/>
        <w:ind w:firstLine="560" w:firstLineChars="200"/>
        <w:jc w:val="left"/>
        <w:textAlignment w:val="auto"/>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）“分包”系指中标</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成交</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供应商按采购文件、投标（响应）文件的规定，根据分包意向协议，将中标</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成交</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项目中的部分履约内容，分给具有相应资质条件的供应商履行合同的行为。</w:t>
      </w:r>
    </w:p>
    <w:p w14:paraId="459E93F6">
      <w:pPr>
        <w:pageBreakBefore w:val="0"/>
        <w:tabs>
          <w:tab w:val="left" w:pos="570"/>
          <w:tab w:val="left" w:pos="9240"/>
          <w:tab w:val="left" w:pos="9555"/>
        </w:tabs>
        <w:kinsoku/>
        <w:wordWrap/>
        <w:overflowPunct/>
        <w:topLinePunct w:val="0"/>
        <w:bidi w:val="0"/>
        <w:adjustRightInd w:val="0"/>
        <w:snapToGrid w:val="0"/>
        <w:spacing w:before="0" w:afterAutospacing="0" w:line="560" w:lineRule="exact"/>
        <w:ind w:firstLine="560" w:firstLineChars="200"/>
        <w:jc w:val="lef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）“联合体”系指</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由</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两个以上的自然人、法人或者</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非法人</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组织组成，</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以一个供应商的身份共同参加政府采购的主体。</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联合体各方应在签订合同协议书前向甲方提交联合协议，且明确牵头人及各成员单位的工作分工、权利、义务、责任，联合体各方应共同与甲方签订合同，就合同约定的事项对</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甲方</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承担连带责任。联合体具体要求见【</w:t>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合同专用条款</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w:t>
      </w:r>
    </w:p>
    <w:p w14:paraId="40381C76">
      <w:pPr>
        <w:pageBreakBefore w:val="0"/>
        <w:tabs>
          <w:tab w:val="left" w:pos="570"/>
          <w:tab w:val="left" w:pos="9240"/>
          <w:tab w:val="left" w:pos="9555"/>
        </w:tabs>
        <w:kinsoku/>
        <w:wordWrap/>
        <w:overflowPunct/>
        <w:topLinePunct w:val="0"/>
        <w:bidi w:val="0"/>
        <w:adjustRightInd w:val="0"/>
        <w:snapToGrid w:val="0"/>
        <w:spacing w:before="0" w:afterAutospacing="0" w:line="560" w:lineRule="exact"/>
        <w:ind w:firstLine="560" w:firstLineChars="200"/>
        <w:jc w:val="lef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）其他术语解释，见【</w:t>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合同专用条款</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w:t>
      </w:r>
    </w:p>
    <w:p w14:paraId="0E7CE85E">
      <w:pPr>
        <w:pageBreakBefore w:val="0"/>
        <w:numPr>
          <w:ilvl w:val="0"/>
          <w:numId w:val="7"/>
        </w:numPr>
        <w:kinsoku/>
        <w:wordWrap/>
        <w:overflowPunct/>
        <w:topLinePunct w:val="0"/>
        <w:autoSpaceDE w:val="0"/>
        <w:autoSpaceDN w:val="0"/>
        <w:bidi w:val="0"/>
        <w:adjustRightInd w:val="0"/>
        <w:snapToGrid w:val="0"/>
        <w:spacing w:before="0" w:afterAutospacing="0" w:line="560" w:lineRule="exact"/>
        <w:jc w:val="left"/>
        <w:textAlignment w:val="auto"/>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合同标的及金额</w:t>
      </w:r>
    </w:p>
    <w:p w14:paraId="38CDDF6D">
      <w:pPr>
        <w:pageBreakBefore w:val="0"/>
        <w:kinsoku/>
        <w:wordWrap/>
        <w:overflowPunct/>
        <w:topLinePunct w:val="0"/>
        <w:autoSpaceDE w:val="0"/>
        <w:autoSpaceDN w:val="0"/>
        <w:bidi w:val="0"/>
        <w:adjustRightInd w:val="0"/>
        <w:snapToGrid w:val="0"/>
        <w:spacing w:before="0" w:afterAutospacing="0" w:line="560" w:lineRule="exact"/>
        <w:ind w:firstLine="560" w:firstLineChars="200"/>
        <w:jc w:val="left"/>
        <w:textAlignment w:val="auto"/>
        <w:rPr>
          <w:rFonts w:hint="eastAsia" w:asciiTheme="minorEastAsia" w:hAnsiTheme="minorEastAsia" w:eastAsiaTheme="minorEastAsia" w:cstheme="minorEastAsia"/>
          <w:b/>
          <w:bCs/>
          <w:i/>
          <w:i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2</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.1 合同标的及金额应与中标（成交）结果一致。乙方为履行本合同而发生的所有费用均应包含在合同</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价款</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中，甲方不再另行支付</w:t>
      </w:r>
      <w:r>
        <w:rPr>
          <w:rFonts w:hint="eastAsia" w:asciiTheme="minorEastAsia" w:hAnsiTheme="minorEastAsia" w:eastAsiaTheme="minorEastAsia" w:cstheme="minorEastAsia"/>
          <w:color w:val="000000" w:themeColor="text1"/>
          <w:sz w:val="28"/>
          <w:szCs w:val="28"/>
          <w:highlight w:val="none"/>
          <w:lang w:val="en"/>
          <w14:textFill>
            <w14:solidFill>
              <w14:schemeClr w14:val="tx1"/>
            </w14:solidFill>
          </w14:textFill>
        </w:rPr>
        <w:t>其他</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任何费用。</w:t>
      </w:r>
    </w:p>
    <w:p w14:paraId="115B99FF">
      <w:pPr>
        <w:pageBreakBefore w:val="0"/>
        <w:kinsoku/>
        <w:wordWrap/>
        <w:overflowPunct/>
        <w:topLinePunct w:val="0"/>
        <w:bidi w:val="0"/>
        <w:adjustRightInd w:val="0"/>
        <w:snapToGrid w:val="0"/>
        <w:spacing w:before="0" w:afterAutospacing="0" w:line="560" w:lineRule="exact"/>
        <w:jc w:val="left"/>
        <w:textAlignment w:val="auto"/>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lang w:eastAsia="zh-CN"/>
          <w14:textFill>
            <w14:solidFill>
              <w14:schemeClr w14:val="tx1"/>
            </w14:solidFill>
          </w14:textFill>
        </w:rPr>
        <w:t>3</w:t>
      </w:r>
      <w:r>
        <w:rPr>
          <w:rFonts w:hint="eastAsia" w:asciiTheme="minorEastAsia" w:hAnsiTheme="minorEastAsia" w:eastAsiaTheme="minorEastAsia" w:cstheme="minorEastAsia"/>
          <w:b/>
          <w:color w:val="000000" w:themeColor="text1"/>
          <w:sz w:val="28"/>
          <w:szCs w:val="28"/>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履行合同的时间、地点和方式</w:t>
      </w:r>
    </w:p>
    <w:p w14:paraId="1FB4F3A8">
      <w:pPr>
        <w:pageBreakBefore w:val="0"/>
        <w:kinsoku/>
        <w:wordWrap/>
        <w:overflowPunct/>
        <w:topLinePunct w:val="0"/>
        <w:autoSpaceDE w:val="0"/>
        <w:autoSpaceDN w:val="0"/>
        <w:bidi w:val="0"/>
        <w:adjustRightInd w:val="0"/>
        <w:snapToGrid w:val="0"/>
        <w:spacing w:before="0" w:afterAutospacing="0" w:line="560" w:lineRule="exact"/>
        <w:ind w:firstLine="560" w:firstLineChars="200"/>
        <w:jc w:val="lef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3</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.1 乙方应当在约定的时间、地点</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，按照约定</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方式履行合同。</w:t>
      </w:r>
    </w:p>
    <w:p w14:paraId="6B97F9F8">
      <w:pPr>
        <w:pageBreakBefore w:val="0"/>
        <w:kinsoku/>
        <w:wordWrap/>
        <w:overflowPunct/>
        <w:topLinePunct w:val="0"/>
        <w:autoSpaceDE w:val="0"/>
        <w:autoSpaceDN w:val="0"/>
        <w:bidi w:val="0"/>
        <w:adjustRightInd w:val="0"/>
        <w:snapToGrid w:val="0"/>
        <w:spacing w:before="0" w:afterAutospacing="0" w:line="560" w:lineRule="exact"/>
        <w:jc w:val="left"/>
        <w:textAlignment w:val="auto"/>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eastAsia="zh-CN"/>
          <w14:textFill>
            <w14:solidFill>
              <w14:schemeClr w14:val="tx1"/>
            </w14:solidFill>
          </w14:textFill>
        </w:rPr>
        <w:t>4</w:t>
      </w: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甲方的权利和义务</w:t>
      </w:r>
    </w:p>
    <w:p w14:paraId="7144EF5B">
      <w:pPr>
        <w:pageBreakBefore w:val="0"/>
        <w:kinsoku/>
        <w:wordWrap/>
        <w:overflowPunct/>
        <w:topLinePunct w:val="0"/>
        <w:autoSpaceDE w:val="0"/>
        <w:autoSpaceDN w:val="0"/>
        <w:bidi w:val="0"/>
        <w:adjustRightInd w:val="0"/>
        <w:snapToGrid w:val="0"/>
        <w:spacing w:before="0" w:afterAutospacing="0" w:line="560" w:lineRule="exact"/>
        <w:ind w:firstLine="560" w:firstLineChars="200"/>
        <w:jc w:val="lef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4</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.1 签署合同后，甲方</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应</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确定</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项目负责人（或项目联系人）</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，负责与本合同有关的事务。甲方有权对乙方的履约行为进行检查，并及时确认乙方提交的事项。甲方应当配合乙方完成相关项目实施工作。</w:t>
      </w:r>
    </w:p>
    <w:p w14:paraId="102E1EC3">
      <w:pPr>
        <w:pageBreakBefore w:val="0"/>
        <w:kinsoku/>
        <w:wordWrap/>
        <w:overflowPunct/>
        <w:topLinePunct w:val="0"/>
        <w:autoSpaceDE w:val="0"/>
        <w:autoSpaceDN w:val="0"/>
        <w:bidi w:val="0"/>
        <w:adjustRightInd w:val="0"/>
        <w:snapToGrid w:val="0"/>
        <w:spacing w:before="0" w:afterAutospacing="0" w:line="560" w:lineRule="exact"/>
        <w:ind w:firstLine="560" w:firstLineChars="200"/>
        <w:jc w:val="lef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4</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.2 甲方有权要求乙方按时提交各阶段有关安排计划，并有权定期核对乙方提供货物数量、规格、质量等内容。甲方有权督促乙方工作并要求乙方更换不符合要求的货物。</w:t>
      </w:r>
    </w:p>
    <w:p w14:paraId="38B523B3">
      <w:pPr>
        <w:pageBreakBefore w:val="0"/>
        <w:kinsoku/>
        <w:wordWrap/>
        <w:overflowPunct/>
        <w:topLinePunct w:val="0"/>
        <w:autoSpaceDE w:val="0"/>
        <w:autoSpaceDN w:val="0"/>
        <w:bidi w:val="0"/>
        <w:adjustRightInd w:val="0"/>
        <w:snapToGrid w:val="0"/>
        <w:spacing w:before="0" w:afterAutospacing="0" w:line="560" w:lineRule="exact"/>
        <w:ind w:firstLine="560" w:firstLineChars="200"/>
        <w:jc w:val="lef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4</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.3 甲方有权要求乙方对缺陷部分予以修复，并按合同约定享有货物保修及其他合同约定的权利。</w:t>
      </w:r>
    </w:p>
    <w:p w14:paraId="0A149535">
      <w:pPr>
        <w:pageBreakBefore w:val="0"/>
        <w:kinsoku/>
        <w:wordWrap/>
        <w:overflowPunct/>
        <w:topLinePunct w:val="0"/>
        <w:bidi w:val="0"/>
        <w:snapToGrid w:val="0"/>
        <w:spacing w:afterAutospacing="0" w:line="560" w:lineRule="exact"/>
        <w:ind w:firstLine="560" w:firstLineChars="200"/>
        <w:textAlignment w:val="auto"/>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4.4 甲方应当按照合同约定及时对交付的货物进行验收，</w:t>
      </w:r>
      <w:r>
        <w:rPr>
          <w:rFonts w:hint="eastAsia" w:asciiTheme="minorEastAsia" w:hAnsiTheme="minorEastAsia" w:eastAsiaTheme="minorEastAsia" w:cstheme="minorEastAsia"/>
          <w:b w:val="0"/>
          <w:bCs w:val="0"/>
          <w:color w:val="000000" w:themeColor="text1"/>
          <w:sz w:val="28"/>
          <w:szCs w:val="28"/>
          <w:highlight w:val="none"/>
          <w:lang w:eastAsia="zh-CN"/>
          <w14:textFill>
            <w14:solidFill>
              <w14:schemeClr w14:val="tx1"/>
            </w14:solidFill>
          </w14:textFill>
        </w:rPr>
        <w:t>未</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在</w:t>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【合同专用条款】</w:t>
      </w:r>
      <w:r>
        <w:rPr>
          <w:rFonts w:hint="eastAsia" w:asciiTheme="minorEastAsia" w:hAnsiTheme="minorEastAsia" w:eastAsiaTheme="minorEastAsia" w:cstheme="minorEastAsia"/>
          <w:b w:val="0"/>
          <w:bCs w:val="0"/>
          <w:color w:val="000000" w:themeColor="text1"/>
          <w:sz w:val="28"/>
          <w:szCs w:val="28"/>
          <w:highlight w:val="none"/>
          <w:lang w:eastAsia="zh-CN"/>
          <w14:textFill>
            <w14:solidFill>
              <w14:schemeClr w14:val="tx1"/>
            </w14:solidFill>
          </w14:textFill>
        </w:rPr>
        <w:t>约定的期限内对乙方履约提出任何异议或者向乙方作出任何说明的，</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视为验收通过。</w:t>
      </w:r>
    </w:p>
    <w:p w14:paraId="78DF8054">
      <w:pPr>
        <w:pageBreakBefore w:val="0"/>
        <w:kinsoku/>
        <w:wordWrap/>
        <w:overflowPunct/>
        <w:topLinePunct w:val="0"/>
        <w:autoSpaceDE w:val="0"/>
        <w:autoSpaceDN w:val="0"/>
        <w:bidi w:val="0"/>
        <w:adjustRightInd w:val="0"/>
        <w:snapToGrid w:val="0"/>
        <w:spacing w:afterAutospacing="0" w:line="560" w:lineRule="exact"/>
        <w:ind w:firstLine="560" w:firstLineChars="200"/>
        <w:jc w:val="lef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4</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 xml:space="preserve"> 甲方应当根据合同约定</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及</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时向乙方支付</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合同价款，不得以内部人员变更、履行内部付款流程等为由，拒绝或迟延支付。</w:t>
      </w:r>
    </w:p>
    <w:p w14:paraId="5BB92AEF">
      <w:pPr>
        <w:pageBreakBefore w:val="0"/>
        <w:kinsoku/>
        <w:wordWrap/>
        <w:overflowPunct/>
        <w:topLinePunct w:val="0"/>
        <w:autoSpaceDE w:val="0"/>
        <w:autoSpaceDN w:val="0"/>
        <w:bidi w:val="0"/>
        <w:adjustRightInd w:val="0"/>
        <w:snapToGrid w:val="0"/>
        <w:spacing w:before="0" w:afterAutospacing="0" w:line="560" w:lineRule="exact"/>
        <w:ind w:firstLine="560" w:firstLineChars="200"/>
        <w:jc w:val="lef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4</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 xml:space="preserve"> 国家法律法规规定</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及</w:t>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【合同专用条款】</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约定应</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由甲方承担的其他义务和责任。</w:t>
      </w:r>
    </w:p>
    <w:p w14:paraId="5A382FAD">
      <w:pPr>
        <w:pageBreakBefore w:val="0"/>
        <w:kinsoku/>
        <w:wordWrap/>
        <w:overflowPunct/>
        <w:topLinePunct w:val="0"/>
        <w:autoSpaceDE w:val="0"/>
        <w:autoSpaceDN w:val="0"/>
        <w:bidi w:val="0"/>
        <w:adjustRightInd w:val="0"/>
        <w:snapToGrid w:val="0"/>
        <w:spacing w:before="0" w:afterAutospacing="0" w:line="560" w:lineRule="exact"/>
        <w:jc w:val="left"/>
        <w:textAlignment w:val="auto"/>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eastAsia="zh-CN"/>
          <w14:textFill>
            <w14:solidFill>
              <w14:schemeClr w14:val="tx1"/>
            </w14:solidFill>
          </w14:textFill>
        </w:rPr>
        <w:t>5</w:t>
      </w: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乙方的权利和义务</w:t>
      </w:r>
    </w:p>
    <w:p w14:paraId="6EFF7666">
      <w:pPr>
        <w:pageBreakBefore w:val="0"/>
        <w:kinsoku/>
        <w:wordWrap/>
        <w:overflowPunct/>
        <w:topLinePunct w:val="0"/>
        <w:autoSpaceDE w:val="0"/>
        <w:autoSpaceDN w:val="0"/>
        <w:bidi w:val="0"/>
        <w:adjustRightInd w:val="0"/>
        <w:snapToGrid w:val="0"/>
        <w:spacing w:before="0" w:afterAutospacing="0" w:line="560" w:lineRule="exact"/>
        <w:ind w:firstLine="560" w:firstLineChars="200"/>
        <w:jc w:val="lef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5</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.1 签署合同后，乙方</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应</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确定</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项目负责人（或项目联系人）</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，负责与本合同有关的事务。</w:t>
      </w:r>
    </w:p>
    <w:p w14:paraId="70982943">
      <w:pPr>
        <w:pageBreakBefore w:val="0"/>
        <w:kinsoku/>
        <w:wordWrap/>
        <w:overflowPunct/>
        <w:topLinePunct w:val="0"/>
        <w:autoSpaceDE w:val="0"/>
        <w:autoSpaceDN w:val="0"/>
        <w:bidi w:val="0"/>
        <w:adjustRightInd w:val="0"/>
        <w:snapToGrid w:val="0"/>
        <w:spacing w:before="0" w:afterAutospacing="0" w:line="560" w:lineRule="exact"/>
        <w:ind w:firstLine="560" w:firstLineChars="200"/>
        <w:jc w:val="lef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5</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.2 乙方应按照合同要求履约，充分合理安排，确保提供的货物</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及相关</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服务符合合同</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有关</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要求。接受项目行业管理部门及政府有关部门的指导，配合甲方的履约检查</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及验收</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，并负责项目实施过程中的所有协调工作。</w:t>
      </w:r>
    </w:p>
    <w:p w14:paraId="0CFF7227">
      <w:pPr>
        <w:pStyle w:val="13"/>
        <w:pageBreakBefore w:val="0"/>
        <w:kinsoku/>
        <w:wordWrap/>
        <w:overflowPunct/>
        <w:topLinePunct w:val="0"/>
        <w:bidi w:val="0"/>
        <w:spacing w:after="0" w:afterAutospacing="0" w:line="560" w:lineRule="exact"/>
        <w:ind w:firstLine="492" w:firstLineChars="176"/>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5</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.3乙方有权根据合同约定向甲方收取</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合同价款</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w:t>
      </w:r>
    </w:p>
    <w:p w14:paraId="393047E6">
      <w:pPr>
        <w:pStyle w:val="13"/>
        <w:pageBreakBefore w:val="0"/>
        <w:kinsoku/>
        <w:wordWrap/>
        <w:overflowPunct/>
        <w:topLinePunct w:val="0"/>
        <w:bidi w:val="0"/>
        <w:spacing w:after="0" w:afterAutospacing="0" w:line="560" w:lineRule="exact"/>
        <w:ind w:firstLine="492" w:firstLineChars="176"/>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5</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.4国家法律法规规定</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及</w:t>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【合同专用条款】</w:t>
      </w:r>
      <w:r>
        <w:rPr>
          <w:rFonts w:hint="eastAsia" w:asciiTheme="minorEastAsia" w:hAnsiTheme="minorEastAsia" w:eastAsiaTheme="minorEastAsia" w:cstheme="minorEastAsia"/>
          <w:b w:val="0"/>
          <w:bCs w:val="0"/>
          <w:color w:val="000000" w:themeColor="text1"/>
          <w:sz w:val="28"/>
          <w:szCs w:val="28"/>
          <w:highlight w:val="none"/>
          <w:lang w:eastAsia="zh-CN"/>
          <w14:textFill>
            <w14:solidFill>
              <w14:schemeClr w14:val="tx1"/>
            </w14:solidFill>
          </w14:textFill>
        </w:rPr>
        <w:t>约定应</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由乙方承担的其他义务和责任。</w:t>
      </w:r>
    </w:p>
    <w:p w14:paraId="6648857A">
      <w:pPr>
        <w:pageBreakBefore w:val="0"/>
        <w:numPr>
          <w:ilvl w:val="0"/>
          <w:numId w:val="8"/>
        </w:numPr>
        <w:kinsoku/>
        <w:wordWrap/>
        <w:overflowPunct/>
        <w:topLinePunct w:val="0"/>
        <w:autoSpaceDE w:val="0"/>
        <w:autoSpaceDN w:val="0"/>
        <w:bidi w:val="0"/>
        <w:adjustRightInd w:val="0"/>
        <w:snapToGrid w:val="0"/>
        <w:spacing w:before="0" w:afterAutospacing="0" w:line="560" w:lineRule="exact"/>
        <w:jc w:val="left"/>
        <w:textAlignment w:val="auto"/>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合同履</w:t>
      </w: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行</w:t>
      </w:r>
    </w:p>
    <w:p w14:paraId="5B3D2D5F">
      <w:pPr>
        <w:pageBreakBefore w:val="0"/>
        <w:kinsoku/>
        <w:wordWrap/>
        <w:overflowPunct/>
        <w:topLinePunct w:val="0"/>
        <w:autoSpaceDE w:val="0"/>
        <w:autoSpaceDN w:val="0"/>
        <w:bidi w:val="0"/>
        <w:adjustRightInd w:val="0"/>
        <w:snapToGrid w:val="0"/>
        <w:spacing w:before="0" w:afterAutospacing="0" w:line="560" w:lineRule="exact"/>
        <w:ind w:firstLine="560" w:firstLineChars="200"/>
        <w:jc w:val="lef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6</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.1 甲乙双方应当按照</w:t>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【合同专用条款】</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约定顺序履行合同义务；如果没有先后顺序的，应当同时履行。</w:t>
      </w:r>
    </w:p>
    <w:p w14:paraId="7CE5C885">
      <w:pPr>
        <w:pageBreakBefore w:val="0"/>
        <w:kinsoku/>
        <w:wordWrap/>
        <w:overflowPunct/>
        <w:topLinePunct w:val="0"/>
        <w:autoSpaceDE w:val="0"/>
        <w:autoSpaceDN w:val="0"/>
        <w:bidi w:val="0"/>
        <w:adjustRightInd w:val="0"/>
        <w:snapToGrid w:val="0"/>
        <w:spacing w:before="0" w:afterAutospacing="0" w:line="560" w:lineRule="exact"/>
        <w:ind w:firstLine="560" w:firstLineChars="200"/>
        <w:jc w:val="lef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6</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.2 甲乙双方按照合同约定顺序履行合同义务时，应当先履行一方未履行的，后履行一方有权拒绝其履行请求。先履行一方履行不符合约定的，后履行一方有权拒绝其相应的履行请求。</w:t>
      </w:r>
    </w:p>
    <w:p w14:paraId="7C5F5334">
      <w:pPr>
        <w:pageBreakBefore w:val="0"/>
        <w:kinsoku/>
        <w:wordWrap/>
        <w:overflowPunct/>
        <w:topLinePunct w:val="0"/>
        <w:bidi w:val="0"/>
        <w:adjustRightInd w:val="0"/>
        <w:snapToGrid w:val="0"/>
        <w:spacing w:before="0" w:afterAutospacing="0" w:line="560" w:lineRule="exact"/>
        <w:jc w:val="left"/>
        <w:textAlignment w:val="auto"/>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eastAsia="zh-CN"/>
          <w14:textFill>
            <w14:solidFill>
              <w14:schemeClr w14:val="tx1"/>
            </w14:solidFill>
          </w14:textFill>
        </w:rPr>
        <w:t>7</w:t>
      </w: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货物包装、运输</w:t>
      </w:r>
      <w:r>
        <w:rPr>
          <w:rFonts w:hint="eastAsia" w:asciiTheme="minorEastAsia" w:hAnsiTheme="minorEastAsia" w:eastAsiaTheme="minorEastAsia" w:cstheme="minorEastAsia"/>
          <w:b/>
          <w:bCs/>
          <w:color w:val="000000" w:themeColor="text1"/>
          <w:sz w:val="28"/>
          <w:szCs w:val="28"/>
          <w:highlight w:val="none"/>
          <w:lang w:eastAsia="zh-CN"/>
          <w14:textFill>
            <w14:solidFill>
              <w14:schemeClr w14:val="tx1"/>
            </w14:solidFill>
          </w14:textFill>
        </w:rPr>
        <w:t>、</w:t>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保险</w:t>
      </w:r>
      <w:r>
        <w:rPr>
          <w:rFonts w:hint="eastAsia" w:asciiTheme="minorEastAsia" w:hAnsiTheme="minorEastAsia" w:eastAsiaTheme="minorEastAsia" w:cstheme="minorEastAsia"/>
          <w:b/>
          <w:bCs/>
          <w:color w:val="000000" w:themeColor="text1"/>
          <w:sz w:val="28"/>
          <w:szCs w:val="28"/>
          <w:highlight w:val="none"/>
          <w:lang w:eastAsia="zh-CN"/>
          <w14:textFill>
            <w14:solidFill>
              <w14:schemeClr w14:val="tx1"/>
            </w14:solidFill>
          </w14:textFill>
        </w:rPr>
        <w:t>和交付</w:t>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要求</w:t>
      </w:r>
    </w:p>
    <w:p w14:paraId="1DA24BAF">
      <w:pPr>
        <w:pageBreakBefore w:val="0"/>
        <w:kinsoku/>
        <w:wordWrap/>
        <w:overflowPunct/>
        <w:topLinePunct w:val="0"/>
        <w:autoSpaceDE w:val="0"/>
        <w:autoSpaceDN w:val="0"/>
        <w:bidi w:val="0"/>
        <w:adjustRightInd w:val="0"/>
        <w:snapToGrid w:val="0"/>
        <w:spacing w:before="0" w:afterAutospacing="0" w:line="560" w:lineRule="exact"/>
        <w:ind w:firstLine="560" w:firstLineChars="200"/>
        <w:jc w:val="lef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7</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.1 本合同</w:t>
      </w: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涉及商品包装</w:t>
      </w:r>
      <w:r>
        <w:rPr>
          <w:rFonts w:hint="eastAsia" w:asciiTheme="minorEastAsia" w:hAnsiTheme="minorEastAsia" w:eastAsiaTheme="minorEastAsia" w:cstheme="minorEastAsia"/>
          <w:bCs/>
          <w:color w:val="000000" w:themeColor="text1"/>
          <w:sz w:val="28"/>
          <w:szCs w:val="28"/>
          <w:highlight w:val="none"/>
          <w:lang w:eastAsia="zh-CN"/>
          <w14:textFill>
            <w14:solidFill>
              <w14:schemeClr w14:val="tx1"/>
            </w14:solidFill>
          </w14:textFill>
        </w:rPr>
        <w:t>、</w:t>
      </w: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快递包装的，</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除</w:t>
      </w: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【合同专用条款】</w:t>
      </w: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另有</w:t>
      </w:r>
      <w:r>
        <w:rPr>
          <w:rFonts w:hint="eastAsia" w:asciiTheme="minorEastAsia" w:hAnsiTheme="minorEastAsia" w:eastAsiaTheme="minorEastAsia" w:cstheme="minorEastAsia"/>
          <w:bCs/>
          <w:color w:val="000000" w:themeColor="text1"/>
          <w:sz w:val="28"/>
          <w:szCs w:val="28"/>
          <w:highlight w:val="none"/>
          <w:lang w:eastAsia="zh-CN"/>
          <w14:textFill>
            <w14:solidFill>
              <w14:schemeClr w14:val="tx1"/>
            </w14:solidFill>
          </w14:textFill>
        </w:rPr>
        <w:t>约</w:t>
      </w: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定</w:t>
      </w:r>
      <w:r>
        <w:rPr>
          <w:rFonts w:hint="eastAsia" w:asciiTheme="minorEastAsia" w:hAnsiTheme="minorEastAsia" w:eastAsiaTheme="minorEastAsia" w:cstheme="minorEastAsia"/>
          <w:bCs/>
          <w:color w:val="000000" w:themeColor="text1"/>
          <w:sz w:val="28"/>
          <w:szCs w:val="28"/>
          <w:highlight w:val="none"/>
          <w:lang w:eastAsia="zh-CN"/>
          <w14:textFill>
            <w14:solidFill>
              <w14:schemeClr w14:val="tx1"/>
            </w14:solidFill>
          </w14:textFill>
        </w:rPr>
        <w:t>外</w:t>
      </w: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包装应适应远距离运输、防潮、防震、防锈和防野蛮装卸等要求，确保货物安全无损地运抵</w:t>
      </w: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【合同专用条款】</w:t>
      </w:r>
      <w:r>
        <w:rPr>
          <w:rFonts w:hint="eastAsia" w:asciiTheme="minorEastAsia" w:hAnsiTheme="minorEastAsia" w:eastAsiaTheme="minorEastAsia" w:cstheme="minorEastAsia"/>
          <w:b w:val="0"/>
          <w:bCs/>
          <w:color w:val="000000" w:themeColor="text1"/>
          <w:sz w:val="28"/>
          <w:szCs w:val="28"/>
          <w:highlight w:val="none"/>
          <w:lang w:eastAsia="zh-CN"/>
          <w14:textFill>
            <w14:solidFill>
              <w14:schemeClr w14:val="tx1"/>
            </w14:solidFill>
          </w14:textFill>
        </w:rPr>
        <w:t>约定的</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指定现场。</w:t>
      </w:r>
    </w:p>
    <w:p w14:paraId="3B1F91B7">
      <w:pPr>
        <w:pageBreakBefore w:val="0"/>
        <w:kinsoku/>
        <w:wordWrap/>
        <w:overflowPunct/>
        <w:topLinePunct w:val="0"/>
        <w:bidi w:val="0"/>
        <w:adjustRightInd w:val="0"/>
        <w:snapToGrid w:val="0"/>
        <w:spacing w:before="0" w:afterAutospacing="0" w:line="560" w:lineRule="exact"/>
        <w:ind w:firstLine="560" w:firstLineChars="200"/>
        <w:jc w:val="lef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7</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.2 除</w:t>
      </w: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【合同专用条款】</w:t>
      </w: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另有</w:t>
      </w:r>
      <w:r>
        <w:rPr>
          <w:rFonts w:hint="eastAsia" w:asciiTheme="minorEastAsia" w:hAnsiTheme="minorEastAsia" w:eastAsiaTheme="minorEastAsia" w:cstheme="minorEastAsia"/>
          <w:bCs/>
          <w:color w:val="000000" w:themeColor="text1"/>
          <w:sz w:val="28"/>
          <w:szCs w:val="28"/>
          <w:highlight w:val="none"/>
          <w:lang w:eastAsia="zh-CN"/>
          <w14:textFill>
            <w14:solidFill>
              <w14:schemeClr w14:val="tx1"/>
            </w14:solidFill>
          </w14:textFill>
        </w:rPr>
        <w:t>约</w:t>
      </w: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定</w:t>
      </w:r>
      <w:r>
        <w:rPr>
          <w:rFonts w:hint="eastAsia" w:asciiTheme="minorEastAsia" w:hAnsiTheme="minorEastAsia" w:eastAsiaTheme="minorEastAsia" w:cstheme="minorEastAsia"/>
          <w:bCs/>
          <w:color w:val="000000" w:themeColor="text1"/>
          <w:sz w:val="28"/>
          <w:szCs w:val="28"/>
          <w:highlight w:val="none"/>
          <w:lang w:eastAsia="zh-CN"/>
          <w14:textFill>
            <w14:solidFill>
              <w14:schemeClr w14:val="tx1"/>
            </w14:solidFill>
          </w14:textFill>
        </w:rPr>
        <w:t>外</w:t>
      </w: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乙方负责办理将货物运抵本合同规定的交货地点</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，并装卸、交付至甲方</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的一切运输事项，相关费用应</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包含</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在合同</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价款</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中。</w:t>
      </w:r>
    </w:p>
    <w:p w14:paraId="7CCF04C4">
      <w:pPr>
        <w:pageBreakBefore w:val="0"/>
        <w:kinsoku/>
        <w:wordWrap/>
        <w:overflowPunct/>
        <w:topLinePunct w:val="0"/>
        <w:bidi w:val="0"/>
        <w:adjustRightInd w:val="0"/>
        <w:snapToGrid w:val="0"/>
        <w:spacing w:before="0" w:afterAutospacing="0" w:line="560" w:lineRule="exact"/>
        <w:ind w:firstLine="560" w:firstLineChars="200"/>
        <w:jc w:val="lef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7</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.3 货物保险要求按</w:t>
      </w: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【合同专用条款】</w:t>
      </w: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规定执行</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w:t>
      </w:r>
    </w:p>
    <w:p w14:paraId="58CECAE9">
      <w:pPr>
        <w:pageBreakBefore w:val="0"/>
        <w:kinsoku/>
        <w:wordWrap/>
        <w:overflowPunct/>
        <w:topLinePunct w:val="0"/>
        <w:autoSpaceDE w:val="0"/>
        <w:autoSpaceDN w:val="0"/>
        <w:bidi w:val="0"/>
        <w:adjustRightInd w:val="0"/>
        <w:snapToGrid w:val="0"/>
        <w:spacing w:before="0" w:afterAutospacing="0" w:line="560" w:lineRule="exact"/>
        <w:ind w:firstLine="560" w:firstLineChars="200"/>
        <w:jc w:val="lef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7</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 xml:space="preserve">.4 </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除采购活动</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对商品包装</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快递包装</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达成具体约定外</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，乙方提供产品及相关快递服务</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涉及到</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具体包装要求</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的，</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应</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不低于</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《商品包装政府采购需求标准（试行）</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快递包装政府采购需求标准（试行）》</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标准</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，并作为履约验收的内容，必要时甲方可以要求乙方在履约验收环节出具检测报告。</w:t>
      </w:r>
    </w:p>
    <w:p w14:paraId="0D30084D">
      <w:pPr>
        <w:pageBreakBefore w:val="0"/>
        <w:kinsoku/>
        <w:wordWrap/>
        <w:overflowPunct/>
        <w:topLinePunct w:val="0"/>
        <w:autoSpaceDE w:val="0"/>
        <w:autoSpaceDN w:val="0"/>
        <w:bidi w:val="0"/>
        <w:adjustRightInd w:val="0"/>
        <w:snapToGrid w:val="0"/>
        <w:spacing w:before="0" w:afterAutospacing="0" w:line="560" w:lineRule="exact"/>
        <w:ind w:firstLine="560" w:firstLineChars="200"/>
        <w:jc w:val="lef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 xml:space="preserve">7.5 </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乙方在运输到达之前</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应</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提前通知</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甲方</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，并提示货物运输装卸的注意事项</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，甲方配合乙方做好货物的接收工作。</w:t>
      </w:r>
    </w:p>
    <w:p w14:paraId="10D5B4F9">
      <w:pPr>
        <w:pStyle w:val="171"/>
        <w:pageBreakBefore w:val="0"/>
        <w:kinsoku/>
        <w:wordWrap/>
        <w:overflowPunct/>
        <w:topLinePunct w:val="0"/>
        <w:bidi w:val="0"/>
        <w:spacing w:afterAutospacing="0" w:line="560" w:lineRule="exact"/>
        <w:textAlignment w:val="auto"/>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8"/>
          <w:szCs w:val="28"/>
          <w:highlight w:val="none"/>
          <w:lang w:val="en-US" w:eastAsia="zh-CN"/>
          <w14:textFill>
            <w14:solidFill>
              <w14:schemeClr w14:val="tx1"/>
            </w14:solidFill>
          </w14:textFill>
        </w:rPr>
        <w:t xml:space="preserve">7.6 </w:t>
      </w:r>
      <w:r>
        <w:rPr>
          <w:rFonts w:hint="eastAsia" w:asciiTheme="minorEastAsia" w:hAnsiTheme="minorEastAsia" w:eastAsiaTheme="minorEastAsia" w:cstheme="minorEastAsia"/>
          <w:color w:val="000000" w:themeColor="text1"/>
          <w:kern w:val="2"/>
          <w:sz w:val="28"/>
          <w:szCs w:val="28"/>
          <w:highlight w:val="none"/>
          <w14:textFill>
            <w14:solidFill>
              <w14:schemeClr w14:val="tx1"/>
            </w14:solidFill>
          </w14:textFill>
        </w:rPr>
        <w:t>如因包装</w:t>
      </w:r>
      <w:r>
        <w:rPr>
          <w:rFonts w:hint="eastAsia" w:asciiTheme="minorEastAsia" w:hAnsiTheme="minorEastAsia" w:eastAsiaTheme="minorEastAsia" w:cstheme="minorEastAsia"/>
          <w:color w:val="000000" w:themeColor="text1"/>
          <w:kern w:val="2"/>
          <w:sz w:val="28"/>
          <w:szCs w:val="28"/>
          <w:highlight w:val="none"/>
          <w:lang w:eastAsia="zh-CN"/>
          <w14:textFill>
            <w14:solidFill>
              <w14:schemeClr w14:val="tx1"/>
            </w14:solidFill>
          </w14:textFill>
        </w:rPr>
        <w:t>、运输</w:t>
      </w:r>
      <w:r>
        <w:rPr>
          <w:rFonts w:hint="eastAsia" w:asciiTheme="minorEastAsia" w:hAnsiTheme="minorEastAsia" w:eastAsiaTheme="minorEastAsia" w:cstheme="minorEastAsia"/>
          <w:color w:val="000000" w:themeColor="text1"/>
          <w:kern w:val="2"/>
          <w:sz w:val="28"/>
          <w:szCs w:val="28"/>
          <w:highlight w:val="none"/>
          <w14:textFill>
            <w14:solidFill>
              <w14:schemeClr w14:val="tx1"/>
            </w14:solidFill>
          </w14:textFill>
        </w:rPr>
        <w:t>问题导致货物</w:t>
      </w:r>
      <w:r>
        <w:rPr>
          <w:rFonts w:hint="eastAsia" w:asciiTheme="minorEastAsia" w:hAnsiTheme="minorEastAsia" w:eastAsiaTheme="minorEastAsia" w:cstheme="minorEastAsia"/>
          <w:color w:val="000000" w:themeColor="text1"/>
          <w:kern w:val="2"/>
          <w:sz w:val="28"/>
          <w:szCs w:val="28"/>
          <w:highlight w:val="none"/>
          <w:lang w:eastAsia="zh-CN"/>
          <w14:textFill>
            <w14:solidFill>
              <w14:schemeClr w14:val="tx1"/>
            </w14:solidFill>
          </w14:textFill>
        </w:rPr>
        <w:t>损毁、丢失</w:t>
      </w:r>
      <w:r>
        <w:rPr>
          <w:rFonts w:hint="eastAsia" w:asciiTheme="minorEastAsia" w:hAnsiTheme="minorEastAsia" w:eastAsiaTheme="minorEastAsia" w:cstheme="minorEastAsia"/>
          <w:color w:val="000000" w:themeColor="text1"/>
          <w:kern w:val="2"/>
          <w:sz w:val="28"/>
          <w:szCs w:val="28"/>
          <w:highlight w:val="none"/>
          <w14:textFill>
            <w14:solidFill>
              <w14:schemeClr w14:val="tx1"/>
            </w14:solidFill>
          </w14:textFill>
        </w:rPr>
        <w:t>或者品质下降，</w:t>
      </w:r>
      <w:r>
        <w:rPr>
          <w:rFonts w:hint="eastAsia" w:asciiTheme="minorEastAsia" w:hAnsiTheme="minorEastAsia" w:eastAsiaTheme="minorEastAsia" w:cstheme="minorEastAsia"/>
          <w:color w:val="000000" w:themeColor="text1"/>
          <w:kern w:val="2"/>
          <w:sz w:val="28"/>
          <w:szCs w:val="28"/>
          <w:highlight w:val="none"/>
          <w:lang w:eastAsia="zh-CN"/>
          <w14:textFill>
            <w14:solidFill>
              <w14:schemeClr w14:val="tx1"/>
            </w14:solidFill>
          </w14:textFill>
        </w:rPr>
        <w:t>甲方</w:t>
      </w:r>
      <w:r>
        <w:rPr>
          <w:rFonts w:hint="eastAsia" w:asciiTheme="minorEastAsia" w:hAnsiTheme="minorEastAsia" w:eastAsiaTheme="minorEastAsia" w:cstheme="minorEastAsia"/>
          <w:color w:val="000000" w:themeColor="text1"/>
          <w:kern w:val="2"/>
          <w:sz w:val="28"/>
          <w:szCs w:val="28"/>
          <w:highlight w:val="none"/>
          <w14:textFill>
            <w14:solidFill>
              <w14:schemeClr w14:val="tx1"/>
            </w14:solidFill>
          </w14:textFill>
        </w:rPr>
        <w:t>有权要求降价、换货、拒收部分或整批货物，由此</w:t>
      </w:r>
      <w:r>
        <w:rPr>
          <w:rFonts w:hint="eastAsia" w:asciiTheme="minorEastAsia" w:hAnsiTheme="minorEastAsia" w:eastAsiaTheme="minorEastAsia" w:cstheme="minorEastAsia"/>
          <w:color w:val="000000" w:themeColor="text1"/>
          <w:kern w:val="2"/>
          <w:sz w:val="28"/>
          <w:szCs w:val="28"/>
          <w:highlight w:val="none"/>
          <w:lang w:eastAsia="zh-CN"/>
          <w14:textFill>
            <w14:solidFill>
              <w14:schemeClr w14:val="tx1"/>
            </w14:solidFill>
          </w14:textFill>
        </w:rPr>
        <w:t>产生</w:t>
      </w:r>
      <w:r>
        <w:rPr>
          <w:rFonts w:hint="eastAsia" w:asciiTheme="minorEastAsia" w:hAnsiTheme="minorEastAsia" w:eastAsiaTheme="minorEastAsia" w:cstheme="minorEastAsia"/>
          <w:color w:val="000000" w:themeColor="text1"/>
          <w:kern w:val="2"/>
          <w:sz w:val="28"/>
          <w:szCs w:val="28"/>
          <w:highlight w:val="none"/>
          <w14:textFill>
            <w14:solidFill>
              <w14:schemeClr w14:val="tx1"/>
            </w14:solidFill>
          </w14:textFill>
        </w:rPr>
        <w:t>的费用和损失，均由</w:t>
      </w:r>
      <w:r>
        <w:rPr>
          <w:rFonts w:hint="eastAsia" w:asciiTheme="minorEastAsia" w:hAnsiTheme="minorEastAsia" w:eastAsiaTheme="minorEastAsia" w:cstheme="minorEastAsia"/>
          <w:color w:val="000000" w:themeColor="text1"/>
          <w:kern w:val="2"/>
          <w:sz w:val="28"/>
          <w:szCs w:val="28"/>
          <w:highlight w:val="none"/>
          <w:lang w:eastAsia="zh-CN"/>
          <w14:textFill>
            <w14:solidFill>
              <w14:schemeClr w14:val="tx1"/>
            </w14:solidFill>
          </w14:textFill>
        </w:rPr>
        <w:t>乙方</w:t>
      </w:r>
      <w:r>
        <w:rPr>
          <w:rFonts w:hint="eastAsia" w:asciiTheme="minorEastAsia" w:hAnsiTheme="minorEastAsia" w:eastAsiaTheme="minorEastAsia" w:cstheme="minorEastAsia"/>
          <w:color w:val="000000" w:themeColor="text1"/>
          <w:kern w:val="2"/>
          <w:sz w:val="28"/>
          <w:szCs w:val="28"/>
          <w:highlight w:val="none"/>
          <w14:textFill>
            <w14:solidFill>
              <w14:schemeClr w14:val="tx1"/>
            </w14:solidFill>
          </w14:textFill>
        </w:rPr>
        <w:t>承担。</w:t>
      </w:r>
    </w:p>
    <w:p w14:paraId="6878429E">
      <w:pPr>
        <w:pageBreakBefore w:val="0"/>
        <w:kinsoku/>
        <w:wordWrap/>
        <w:overflowPunct/>
        <w:topLinePunct w:val="0"/>
        <w:bidi w:val="0"/>
        <w:adjustRightInd w:val="0"/>
        <w:snapToGrid w:val="0"/>
        <w:spacing w:before="0" w:afterAutospacing="0" w:line="560" w:lineRule="exact"/>
        <w:jc w:val="left"/>
        <w:textAlignment w:val="auto"/>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lang w:eastAsia="zh-CN"/>
          <w14:textFill>
            <w14:solidFill>
              <w14:schemeClr w14:val="tx1"/>
            </w14:solidFill>
          </w14:textFill>
        </w:rPr>
        <w:t>8</w:t>
      </w:r>
      <w:r>
        <w:rPr>
          <w:rFonts w:hint="eastAsia" w:asciiTheme="minorEastAsia" w:hAnsiTheme="minorEastAsia" w:eastAsiaTheme="minorEastAsia" w:cstheme="minorEastAsia"/>
          <w:b/>
          <w:color w:val="000000" w:themeColor="text1"/>
          <w:sz w:val="28"/>
          <w:szCs w:val="28"/>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质量标准和保证</w:t>
      </w:r>
    </w:p>
    <w:p w14:paraId="03CC6E43">
      <w:pPr>
        <w:pStyle w:val="17"/>
        <w:pageBreakBefore w:val="0"/>
        <w:kinsoku/>
        <w:wordWrap/>
        <w:overflowPunct/>
        <w:topLinePunct w:val="0"/>
        <w:bidi w:val="0"/>
        <w:adjustRightInd w:val="0"/>
        <w:snapToGrid w:val="0"/>
        <w:spacing w:before="0" w:afterAutospacing="0" w:line="560" w:lineRule="exact"/>
        <w:ind w:firstLine="562" w:firstLineChars="200"/>
        <w:jc w:val="left"/>
        <w:textAlignment w:val="auto"/>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8</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.1 质量标准</w:t>
      </w:r>
    </w:p>
    <w:p w14:paraId="76564E62">
      <w:pPr>
        <w:pageBreakBefore w:val="0"/>
        <w:kinsoku/>
        <w:wordWrap/>
        <w:overflowPunct/>
        <w:topLinePunct w:val="0"/>
        <w:autoSpaceDE w:val="0"/>
        <w:autoSpaceDN w:val="0"/>
        <w:bidi w:val="0"/>
        <w:adjustRightInd w:val="0"/>
        <w:snapToGrid w:val="0"/>
        <w:spacing w:before="0" w:afterAutospacing="0" w:line="560" w:lineRule="exact"/>
        <w:ind w:firstLine="560" w:firstLineChars="200"/>
        <w:jc w:val="lef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（1）本合同下</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提供</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的货物应符合</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合同约</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定的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w:t>
      </w:r>
    </w:p>
    <w:p w14:paraId="1E9B9F99">
      <w:pPr>
        <w:pStyle w:val="17"/>
        <w:pageBreakBefore w:val="0"/>
        <w:kinsoku/>
        <w:wordWrap/>
        <w:overflowPunct/>
        <w:topLinePunct w:val="0"/>
        <w:bidi w:val="0"/>
        <w:adjustRightInd w:val="0"/>
        <w:snapToGrid w:val="0"/>
        <w:spacing w:before="0" w:afterAutospacing="0" w:line="560" w:lineRule="exact"/>
        <w:ind w:firstLine="562" w:firstLineChars="200"/>
        <w:jc w:val="lef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（2）采用中华人民共和国法定计量单位。</w:t>
      </w:r>
    </w:p>
    <w:p w14:paraId="43FFA0AB">
      <w:pPr>
        <w:pageBreakBefore w:val="0"/>
        <w:kinsoku/>
        <w:wordWrap/>
        <w:overflowPunct/>
        <w:topLinePunct w:val="0"/>
        <w:autoSpaceDE w:val="0"/>
        <w:autoSpaceDN w:val="0"/>
        <w:bidi w:val="0"/>
        <w:adjustRightInd w:val="0"/>
        <w:snapToGrid w:val="0"/>
        <w:spacing w:before="0" w:afterAutospacing="0" w:line="560" w:lineRule="exact"/>
        <w:ind w:firstLine="560" w:firstLineChars="200"/>
        <w:jc w:val="lef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（3）乙方所</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提供</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的货物应符合国家有关安全、环保、卫生</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的</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规定。</w:t>
      </w:r>
    </w:p>
    <w:p w14:paraId="55C49495">
      <w:pPr>
        <w:pageBreakBefore w:val="0"/>
        <w:kinsoku/>
        <w:wordWrap/>
        <w:overflowPunct/>
        <w:topLinePunct w:val="0"/>
        <w:autoSpaceDE w:val="0"/>
        <w:autoSpaceDN w:val="0"/>
        <w:bidi w:val="0"/>
        <w:adjustRightInd w:val="0"/>
        <w:snapToGrid w:val="0"/>
        <w:spacing w:before="0" w:afterAutospacing="0" w:line="560" w:lineRule="exact"/>
        <w:ind w:firstLine="560" w:firstLineChars="200"/>
        <w:jc w:val="lef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（4）乙方应向甲方提交所</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提供</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货物的技术文件，包括相应的中文技术文件，如：产品目录、图纸、操作手册、使用说明、维护手册或服务指南</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等</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上述</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文件应包装好随货物一同发运。</w:t>
      </w:r>
    </w:p>
    <w:p w14:paraId="6CA0567D">
      <w:pPr>
        <w:pageBreakBefore w:val="0"/>
        <w:kinsoku/>
        <w:wordWrap/>
        <w:overflowPunct/>
        <w:topLinePunct w:val="0"/>
        <w:autoSpaceDE w:val="0"/>
        <w:autoSpaceDN w:val="0"/>
        <w:bidi w:val="0"/>
        <w:adjustRightInd w:val="0"/>
        <w:snapToGrid w:val="0"/>
        <w:spacing w:before="0" w:afterAutospacing="0" w:line="560" w:lineRule="exact"/>
        <w:ind w:firstLine="560" w:firstLineChars="200"/>
        <w:jc w:val="lef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8</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.2 保证</w:t>
      </w:r>
    </w:p>
    <w:p w14:paraId="38422495">
      <w:pPr>
        <w:pageBreakBefore w:val="0"/>
        <w:kinsoku/>
        <w:wordWrap/>
        <w:overflowPunct/>
        <w:topLinePunct w:val="0"/>
        <w:autoSpaceDE w:val="0"/>
        <w:autoSpaceDN w:val="0"/>
        <w:bidi w:val="0"/>
        <w:adjustRightInd w:val="0"/>
        <w:snapToGrid w:val="0"/>
        <w:spacing w:before="0" w:afterAutospacing="0" w:line="560" w:lineRule="exact"/>
        <w:ind w:firstLine="560" w:firstLineChars="200"/>
        <w:jc w:val="lef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（1）乙方应保证</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提供的货物</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完全符合合同规定的质量、规格和性能要求。乙方应保证货物在正确安装、正常使用和保养条件下，在其使用寿命期内具</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备合同约定</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的性能。</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存在</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质量保证期的，货物最终交付验收</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合格</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后</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在</w:t>
      </w: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【合同专用条款】</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规定或乙方</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书面</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承诺（两者以较长的为准）的质量保证期内，本保证保持有效。</w:t>
      </w:r>
    </w:p>
    <w:p w14:paraId="548C723A">
      <w:pPr>
        <w:pageBreakBefore w:val="0"/>
        <w:kinsoku/>
        <w:wordWrap/>
        <w:overflowPunct/>
        <w:topLinePunct w:val="0"/>
        <w:autoSpaceDE w:val="0"/>
        <w:autoSpaceDN w:val="0"/>
        <w:bidi w:val="0"/>
        <w:adjustRightInd w:val="0"/>
        <w:snapToGrid w:val="0"/>
        <w:spacing w:before="0" w:afterAutospacing="0" w:line="560" w:lineRule="exact"/>
        <w:ind w:firstLine="560" w:firstLineChars="200"/>
        <w:jc w:val="lef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（2）在质量保证期内所发现的缺陷，甲方应尽快以书面形式通知乙方。</w:t>
      </w:r>
    </w:p>
    <w:p w14:paraId="39074905">
      <w:pPr>
        <w:pageBreakBefore w:val="0"/>
        <w:kinsoku/>
        <w:wordWrap/>
        <w:overflowPunct/>
        <w:topLinePunct w:val="0"/>
        <w:autoSpaceDE w:val="0"/>
        <w:autoSpaceDN w:val="0"/>
        <w:bidi w:val="0"/>
        <w:adjustRightInd w:val="0"/>
        <w:snapToGrid w:val="0"/>
        <w:spacing w:before="0" w:afterAutospacing="0" w:line="560" w:lineRule="exact"/>
        <w:ind w:firstLine="560" w:firstLineChars="200"/>
        <w:jc w:val="lef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（3）乙方收到通知后</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应在</w:t>
      </w: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【合同专用条款】</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规定的响应时间内以合理的速度免费维修或更换有缺陷的货物或部件。</w:t>
      </w:r>
    </w:p>
    <w:p w14:paraId="6E450BD2">
      <w:pPr>
        <w:pageBreakBefore w:val="0"/>
        <w:kinsoku/>
        <w:wordWrap/>
        <w:overflowPunct/>
        <w:topLinePunct w:val="0"/>
        <w:autoSpaceDE w:val="0"/>
        <w:autoSpaceDN w:val="0"/>
        <w:bidi w:val="0"/>
        <w:adjustRightInd w:val="0"/>
        <w:snapToGrid w:val="0"/>
        <w:spacing w:before="0" w:afterAutospacing="0" w:line="560" w:lineRule="exact"/>
        <w:ind w:firstLine="560" w:firstLineChars="200"/>
        <w:jc w:val="lef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（4）在质量保证期内，如果货物的质量或规格与合同不符，或证实货物是有缺陷的，包括潜在的缺陷或使用不符合要求的材料等，甲方可以根据本合同第1</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.1条规定以书面形式</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追究</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乙方</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的违约责任</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w:t>
      </w:r>
    </w:p>
    <w:p w14:paraId="46373B06">
      <w:pPr>
        <w:pageBreakBefore w:val="0"/>
        <w:kinsoku/>
        <w:wordWrap/>
        <w:overflowPunct/>
        <w:topLinePunct w:val="0"/>
        <w:bidi w:val="0"/>
        <w:adjustRightInd w:val="0"/>
        <w:snapToGrid w:val="0"/>
        <w:spacing w:before="0" w:afterAutospacing="0" w:line="560" w:lineRule="exact"/>
        <w:ind w:firstLine="560" w:firstLineChars="200"/>
        <w:jc w:val="lef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（5）乙方在约定的时间内未能弥补缺陷，甲方可采取必要的补救措施，但其风险和费用将由乙方承担，甲方根据合同</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约定</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对乙方行使的其他权利不受影响。</w:t>
      </w:r>
    </w:p>
    <w:p w14:paraId="14EF7A43">
      <w:pPr>
        <w:pageBreakBefore w:val="0"/>
        <w:kinsoku/>
        <w:wordWrap/>
        <w:overflowPunct/>
        <w:topLinePunct w:val="0"/>
        <w:bidi w:val="0"/>
        <w:adjustRightInd w:val="0"/>
        <w:snapToGrid w:val="0"/>
        <w:spacing w:before="0" w:afterAutospacing="0" w:line="560" w:lineRule="exact"/>
        <w:jc w:val="left"/>
        <w:textAlignment w:val="auto"/>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eastAsia="zh-CN"/>
          <w14:textFill>
            <w14:solidFill>
              <w14:schemeClr w14:val="tx1"/>
            </w14:solidFill>
          </w14:textFill>
        </w:rPr>
        <w:t>9</w:t>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w:t>
      </w: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权利瑕疵担保</w:t>
      </w:r>
    </w:p>
    <w:p w14:paraId="1C77DD82">
      <w:pPr>
        <w:pageBreakBefore w:val="0"/>
        <w:kinsoku/>
        <w:wordWrap/>
        <w:overflowPunct/>
        <w:topLinePunct w:val="0"/>
        <w:autoSpaceDE w:val="0"/>
        <w:autoSpaceDN w:val="0"/>
        <w:bidi w:val="0"/>
        <w:adjustRightInd w:val="0"/>
        <w:snapToGrid w:val="0"/>
        <w:spacing w:before="0" w:afterAutospacing="0" w:line="560" w:lineRule="exact"/>
        <w:ind w:firstLine="560" w:firstLineChars="200"/>
        <w:jc w:val="lef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9</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.1 乙方保证对其出售的货物享有合法的权利。</w:t>
      </w:r>
    </w:p>
    <w:p w14:paraId="225A9D2F">
      <w:pPr>
        <w:pageBreakBefore w:val="0"/>
        <w:kinsoku/>
        <w:wordWrap/>
        <w:overflowPunct/>
        <w:topLinePunct w:val="0"/>
        <w:autoSpaceDE w:val="0"/>
        <w:autoSpaceDN w:val="0"/>
        <w:bidi w:val="0"/>
        <w:adjustRightInd w:val="0"/>
        <w:snapToGrid w:val="0"/>
        <w:spacing w:before="0" w:afterAutospacing="0" w:line="560" w:lineRule="exact"/>
        <w:ind w:firstLine="560" w:firstLineChars="200"/>
        <w:jc w:val="lef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9</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.2 乙方保证在交付的货物上不存在抵押权等担保物权。</w:t>
      </w:r>
    </w:p>
    <w:p w14:paraId="09712C00">
      <w:pPr>
        <w:pageBreakBefore w:val="0"/>
        <w:kinsoku/>
        <w:wordWrap/>
        <w:overflowPunct/>
        <w:topLinePunct w:val="0"/>
        <w:autoSpaceDE w:val="0"/>
        <w:autoSpaceDN w:val="0"/>
        <w:bidi w:val="0"/>
        <w:adjustRightInd w:val="0"/>
        <w:snapToGrid w:val="0"/>
        <w:spacing w:before="0" w:afterAutospacing="0" w:line="560" w:lineRule="exact"/>
        <w:ind w:firstLine="560" w:firstLineChars="200"/>
        <w:jc w:val="lef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9</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.3 如甲方使用</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上述</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货物构成</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对第三人</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侵权的，则由乙方承担全部责任。</w:t>
      </w:r>
    </w:p>
    <w:p w14:paraId="71B8FAA9">
      <w:pPr>
        <w:pageBreakBefore w:val="0"/>
        <w:kinsoku/>
        <w:wordWrap/>
        <w:overflowPunct/>
        <w:topLinePunct w:val="0"/>
        <w:autoSpaceDE w:val="0"/>
        <w:autoSpaceDN w:val="0"/>
        <w:bidi w:val="0"/>
        <w:adjustRightInd w:val="0"/>
        <w:snapToGrid w:val="0"/>
        <w:spacing w:before="0" w:afterAutospacing="0" w:line="560" w:lineRule="exact"/>
        <w:jc w:val="left"/>
        <w:textAlignment w:val="auto"/>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1</w:t>
      </w:r>
      <w:r>
        <w:rPr>
          <w:rFonts w:hint="eastAsia" w:asciiTheme="minorEastAsia" w:hAnsiTheme="minorEastAsia" w:eastAsiaTheme="minorEastAsia" w:cstheme="minorEastAsia"/>
          <w:b/>
          <w:bCs/>
          <w:color w:val="000000" w:themeColor="text1"/>
          <w:sz w:val="28"/>
          <w:szCs w:val="28"/>
          <w:highlight w:val="none"/>
          <w:lang w:eastAsia="zh-CN"/>
          <w14:textFill>
            <w14:solidFill>
              <w14:schemeClr w14:val="tx1"/>
            </w14:solidFill>
          </w14:textFill>
        </w:rPr>
        <w:t>0</w:t>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w:t>
      </w: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知识产权保护</w:t>
      </w:r>
    </w:p>
    <w:p w14:paraId="52172AAB">
      <w:pPr>
        <w:pageBreakBefore w:val="0"/>
        <w:kinsoku/>
        <w:wordWrap/>
        <w:overflowPunct/>
        <w:topLinePunct w:val="0"/>
        <w:autoSpaceDE w:val="0"/>
        <w:autoSpaceDN w:val="0"/>
        <w:bidi w:val="0"/>
        <w:adjustRightInd w:val="0"/>
        <w:snapToGrid w:val="0"/>
        <w:spacing w:before="0" w:afterAutospacing="0" w:line="560" w:lineRule="exact"/>
        <w:ind w:firstLine="560" w:firstLineChars="200"/>
        <w:jc w:val="lef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1</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0</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.1 乙方对其所销售的货物应当享有知识产权或经权利人合法授权，保证没有侵犯任何第三人的知识产权等权利。</w:t>
      </w:r>
      <w:bookmarkStart w:id="217" w:name="_Hlk163047038"/>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因违反前述约定对第三人构成侵权的，应当由乙方向第三人承担法律责任；甲方依法向第三人赔偿后，有权向乙方追偿。甲方有其他损失的，乙方应当赔偿</w:t>
      </w:r>
      <w:bookmarkEnd w:id="217"/>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w:t>
      </w:r>
    </w:p>
    <w:p w14:paraId="2E52E6A9">
      <w:pPr>
        <w:pageBreakBefore w:val="0"/>
        <w:kinsoku/>
        <w:wordWrap/>
        <w:overflowPunct/>
        <w:topLinePunct w:val="0"/>
        <w:autoSpaceDE w:val="0"/>
        <w:autoSpaceDN w:val="0"/>
        <w:bidi w:val="0"/>
        <w:adjustRightInd w:val="0"/>
        <w:snapToGrid w:val="0"/>
        <w:spacing w:before="0" w:afterAutospacing="0" w:line="560" w:lineRule="exact"/>
        <w:jc w:val="left"/>
        <w:textAlignment w:val="auto"/>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1</w:t>
      </w:r>
      <w:r>
        <w:rPr>
          <w:rFonts w:hint="eastAsia" w:asciiTheme="minorEastAsia" w:hAnsiTheme="minorEastAsia" w:eastAsiaTheme="minorEastAsia" w:cstheme="minorEastAsia"/>
          <w:b/>
          <w:bCs/>
          <w:color w:val="000000" w:themeColor="text1"/>
          <w:sz w:val="28"/>
          <w:szCs w:val="28"/>
          <w:highlight w:val="none"/>
          <w:lang w:eastAsia="zh-CN"/>
          <w14:textFill>
            <w14:solidFill>
              <w14:schemeClr w14:val="tx1"/>
            </w14:solidFill>
          </w14:textFill>
        </w:rPr>
        <w:t>1</w:t>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w:t>
      </w: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保密义务</w:t>
      </w:r>
    </w:p>
    <w:p w14:paraId="569BB419">
      <w:pPr>
        <w:pageBreakBefore w:val="0"/>
        <w:kinsoku/>
        <w:wordWrap/>
        <w:overflowPunct/>
        <w:topLinePunct w:val="0"/>
        <w:autoSpaceDE w:val="0"/>
        <w:autoSpaceDN w:val="0"/>
        <w:bidi w:val="0"/>
        <w:adjustRightInd w:val="0"/>
        <w:snapToGrid w:val="0"/>
        <w:spacing w:before="0" w:afterAutospacing="0" w:line="560" w:lineRule="exact"/>
        <w:ind w:firstLine="560" w:firstLineChars="200"/>
        <w:jc w:val="lef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 xml:space="preserve">11.1 </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甲、乙双方</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对</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采购和合同履行过程中所获悉的</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国家秘密、工作秘密、</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商业秘密或者其他应当保密的信息，均有保密义务</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且不受合同有效期所限，直至该信息成为公开信息</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。泄露、不正当地使用</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国家秘密、工作秘密、</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商业秘密或者</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其他应当保密的</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信息，应当承担</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相应</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责任。其他应当保密的信息由双方在</w:t>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【合同专用条款】</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中约定。</w:t>
      </w:r>
    </w:p>
    <w:p w14:paraId="004D928D">
      <w:pPr>
        <w:pageBreakBefore w:val="0"/>
        <w:kinsoku/>
        <w:wordWrap/>
        <w:overflowPunct/>
        <w:topLinePunct w:val="0"/>
        <w:autoSpaceDE w:val="0"/>
        <w:autoSpaceDN w:val="0"/>
        <w:bidi w:val="0"/>
        <w:adjustRightInd w:val="0"/>
        <w:snapToGrid w:val="0"/>
        <w:spacing w:before="0" w:afterAutospacing="0" w:line="560" w:lineRule="exact"/>
        <w:jc w:val="left"/>
        <w:textAlignment w:val="auto"/>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1</w:t>
      </w:r>
      <w:r>
        <w:rPr>
          <w:rFonts w:hint="eastAsia" w:asciiTheme="minorEastAsia" w:hAnsiTheme="minorEastAsia" w:eastAsiaTheme="minorEastAsia" w:cstheme="minorEastAsia"/>
          <w:b/>
          <w:bCs/>
          <w:color w:val="000000" w:themeColor="text1"/>
          <w:sz w:val="28"/>
          <w:szCs w:val="28"/>
          <w:highlight w:val="none"/>
          <w:lang w:eastAsia="zh-CN"/>
          <w14:textFill>
            <w14:solidFill>
              <w14:schemeClr w14:val="tx1"/>
            </w14:solidFill>
          </w14:textFill>
        </w:rPr>
        <w:t>2</w:t>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w:t>
      </w: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合同价款支付</w:t>
      </w:r>
    </w:p>
    <w:p w14:paraId="5AC1E593">
      <w:pPr>
        <w:pageBreakBefore w:val="0"/>
        <w:kinsoku/>
        <w:wordWrap/>
        <w:overflowPunct/>
        <w:topLinePunct w:val="0"/>
        <w:autoSpaceDE/>
        <w:autoSpaceDN/>
        <w:bidi w:val="0"/>
        <w:adjustRightInd w:val="0"/>
        <w:snapToGrid w:val="0"/>
        <w:spacing w:before="0" w:afterAutospacing="0" w:line="560" w:lineRule="exact"/>
        <w:ind w:firstLine="560" w:firstLineChars="200"/>
        <w:jc w:val="left"/>
        <w:textAlignment w:val="auto"/>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1</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2</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 xml:space="preserve">.1 </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合同价款支付</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按照国库集中支付</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制度及财政管理相关</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规定执行。</w:t>
      </w:r>
    </w:p>
    <w:p w14:paraId="7FD5BDB6">
      <w:pPr>
        <w:pStyle w:val="3"/>
        <w:pageBreakBefore w:val="0"/>
        <w:kinsoku/>
        <w:wordWrap/>
        <w:overflowPunct/>
        <w:topLinePunct w:val="0"/>
        <w:bidi w:val="0"/>
        <w:spacing w:afterAutospacing="0" w:line="560" w:lineRule="exact"/>
        <w:ind w:firstLine="560" w:firstLineChars="200"/>
        <w:textAlignment w:val="auto"/>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8"/>
          <w:szCs w:val="28"/>
          <w:highlight w:val="none"/>
          <w:lang w:val="en-US" w:eastAsia="zh-CN"/>
          <w14:textFill>
            <w14:solidFill>
              <w14:schemeClr w14:val="tx1"/>
            </w14:solidFill>
          </w14:textFill>
        </w:rPr>
        <w:t xml:space="preserve">12.2 </w:t>
      </w:r>
      <w:r>
        <w:rPr>
          <w:rFonts w:hint="eastAsia" w:asciiTheme="minorEastAsia" w:hAnsiTheme="minorEastAsia" w:eastAsiaTheme="minorEastAsia" w:cstheme="minorEastAsia"/>
          <w:b w:val="0"/>
          <w:bCs w:val="0"/>
          <w:color w:val="000000" w:themeColor="text1"/>
          <w:kern w:val="2"/>
          <w:sz w:val="28"/>
          <w:szCs w:val="28"/>
          <w:highlight w:val="none"/>
          <w14:textFill>
            <w14:solidFill>
              <w14:schemeClr w14:val="tx1"/>
            </w14:solidFill>
          </w14:textFill>
        </w:rPr>
        <w:t>对于满足合同约定支付条件的，</w:t>
      </w:r>
      <w:r>
        <w:rPr>
          <w:rFonts w:hint="eastAsia" w:asciiTheme="minorEastAsia" w:hAnsiTheme="minorEastAsia" w:eastAsiaTheme="minorEastAsia" w:cstheme="minorEastAsia"/>
          <w:b w:val="0"/>
          <w:bCs w:val="0"/>
          <w:color w:val="000000" w:themeColor="text1"/>
          <w:kern w:val="2"/>
          <w:sz w:val="28"/>
          <w:szCs w:val="28"/>
          <w:highlight w:val="none"/>
          <w:lang w:val="en-US" w:eastAsia="zh-CN"/>
          <w14:textFill>
            <w14:solidFill>
              <w14:schemeClr w14:val="tx1"/>
            </w14:solidFill>
          </w14:textFill>
        </w:rPr>
        <w:t>甲方</w:t>
      </w:r>
      <w:r>
        <w:rPr>
          <w:rFonts w:hint="eastAsia" w:asciiTheme="minorEastAsia" w:hAnsiTheme="minorEastAsia" w:eastAsiaTheme="minorEastAsia" w:cstheme="minorEastAsia"/>
          <w:b w:val="0"/>
          <w:bCs w:val="0"/>
          <w:i w:val="0"/>
          <w:iCs w:val="0"/>
          <w:caps w:val="0"/>
          <w:color w:val="000000" w:themeColor="text1"/>
          <w:spacing w:val="0"/>
          <w:sz w:val="28"/>
          <w:szCs w:val="28"/>
          <w:highlight w:val="none"/>
          <w:shd w:val="clear"/>
          <w:vertAlign w:val="baseline"/>
          <w14:textFill>
            <w14:solidFill>
              <w14:schemeClr w14:val="tx1"/>
            </w14:solidFill>
          </w14:textFill>
        </w:rPr>
        <w:t>原则上应当自收到发票后10个工作日内</w:t>
      </w:r>
      <w:r>
        <w:rPr>
          <w:rFonts w:hint="eastAsia" w:asciiTheme="minorEastAsia" w:hAnsiTheme="minorEastAsia" w:eastAsiaTheme="minorEastAsia" w:cstheme="minorEastAsia"/>
          <w:b w:val="0"/>
          <w:bCs w:val="0"/>
          <w:color w:val="000000" w:themeColor="text1"/>
          <w:kern w:val="2"/>
          <w:sz w:val="28"/>
          <w:szCs w:val="28"/>
          <w:highlight w:val="none"/>
          <w14:textFill>
            <w14:solidFill>
              <w14:schemeClr w14:val="tx1"/>
            </w14:solidFill>
          </w14:textFill>
        </w:rPr>
        <w:t>将资金支付到合同约定的</w:t>
      </w:r>
      <w:r>
        <w:rPr>
          <w:rFonts w:hint="eastAsia" w:asciiTheme="minorEastAsia" w:hAnsiTheme="minorEastAsia" w:eastAsiaTheme="minorEastAsia" w:cstheme="minorEastAsia"/>
          <w:b w:val="0"/>
          <w:bCs w:val="0"/>
          <w:color w:val="000000" w:themeColor="text1"/>
          <w:kern w:val="2"/>
          <w:sz w:val="28"/>
          <w:szCs w:val="28"/>
          <w:highlight w:val="none"/>
          <w:lang w:eastAsia="zh-CN"/>
          <w14:textFill>
            <w14:solidFill>
              <w14:schemeClr w14:val="tx1"/>
            </w14:solidFill>
          </w14:textFill>
        </w:rPr>
        <w:t>乙方</w:t>
      </w:r>
      <w:r>
        <w:rPr>
          <w:rFonts w:hint="eastAsia" w:asciiTheme="minorEastAsia" w:hAnsiTheme="minorEastAsia" w:eastAsiaTheme="minorEastAsia" w:cstheme="minorEastAsia"/>
          <w:b w:val="0"/>
          <w:bCs w:val="0"/>
          <w:color w:val="000000" w:themeColor="text1"/>
          <w:kern w:val="2"/>
          <w:sz w:val="28"/>
          <w:szCs w:val="28"/>
          <w:highlight w:val="none"/>
          <w14:textFill>
            <w14:solidFill>
              <w14:schemeClr w14:val="tx1"/>
            </w14:solidFill>
          </w14:textFill>
        </w:rPr>
        <w:t>账户，不得以机构变动、人员更替、政策调整等为由迟延付款，不得将采购文件和合同中未规定的义务作为向</w:t>
      </w:r>
      <w:r>
        <w:rPr>
          <w:rFonts w:hint="eastAsia" w:asciiTheme="minorEastAsia" w:hAnsiTheme="minorEastAsia" w:eastAsiaTheme="minorEastAsia" w:cstheme="minorEastAsia"/>
          <w:b w:val="0"/>
          <w:bCs w:val="0"/>
          <w:color w:val="000000" w:themeColor="text1"/>
          <w:kern w:val="2"/>
          <w:sz w:val="28"/>
          <w:szCs w:val="28"/>
          <w:highlight w:val="none"/>
          <w:lang w:val="en-US" w:eastAsia="zh-CN"/>
          <w14:textFill>
            <w14:solidFill>
              <w14:schemeClr w14:val="tx1"/>
            </w14:solidFill>
          </w14:textFill>
        </w:rPr>
        <w:t>乙方</w:t>
      </w:r>
      <w:r>
        <w:rPr>
          <w:rFonts w:hint="eastAsia" w:asciiTheme="minorEastAsia" w:hAnsiTheme="minorEastAsia" w:eastAsiaTheme="minorEastAsia" w:cstheme="minorEastAsia"/>
          <w:b w:val="0"/>
          <w:bCs w:val="0"/>
          <w:color w:val="000000" w:themeColor="text1"/>
          <w:kern w:val="2"/>
          <w:sz w:val="28"/>
          <w:szCs w:val="28"/>
          <w:highlight w:val="none"/>
          <w14:textFill>
            <w14:solidFill>
              <w14:schemeClr w14:val="tx1"/>
            </w14:solidFill>
          </w14:textFill>
        </w:rPr>
        <w:t>付款的条件。具体合同价款支付时间在【</w:t>
      </w:r>
      <w:r>
        <w:rPr>
          <w:rFonts w:hint="eastAsia" w:asciiTheme="minorEastAsia" w:hAnsiTheme="minorEastAsia" w:eastAsiaTheme="minorEastAsia" w:cstheme="minorEastAsia"/>
          <w:b/>
          <w:bCs/>
          <w:color w:val="000000" w:themeColor="text1"/>
          <w:kern w:val="2"/>
          <w:sz w:val="28"/>
          <w:szCs w:val="28"/>
          <w:highlight w:val="none"/>
          <w14:textFill>
            <w14:solidFill>
              <w14:schemeClr w14:val="tx1"/>
            </w14:solidFill>
          </w14:textFill>
        </w:rPr>
        <w:t>合同专用条款</w:t>
      </w:r>
      <w:r>
        <w:rPr>
          <w:rFonts w:hint="eastAsia" w:asciiTheme="minorEastAsia" w:hAnsiTheme="minorEastAsia" w:eastAsiaTheme="minorEastAsia" w:cstheme="minorEastAsia"/>
          <w:b w:val="0"/>
          <w:bCs w:val="0"/>
          <w:color w:val="000000" w:themeColor="text1"/>
          <w:kern w:val="2"/>
          <w:sz w:val="28"/>
          <w:szCs w:val="28"/>
          <w:highlight w:val="none"/>
          <w14:textFill>
            <w14:solidFill>
              <w14:schemeClr w14:val="tx1"/>
            </w14:solidFill>
          </w14:textFill>
        </w:rPr>
        <w:t>】中</w:t>
      </w:r>
      <w:r>
        <w:rPr>
          <w:rFonts w:hint="eastAsia" w:asciiTheme="minorEastAsia" w:hAnsiTheme="minorEastAsia" w:eastAsiaTheme="minorEastAsia" w:cstheme="minorEastAsia"/>
          <w:b w:val="0"/>
          <w:bCs w:val="0"/>
          <w:color w:val="000000" w:themeColor="text1"/>
          <w:kern w:val="2"/>
          <w:sz w:val="28"/>
          <w:szCs w:val="28"/>
          <w:highlight w:val="none"/>
          <w:lang w:eastAsia="zh-CN"/>
          <w14:textFill>
            <w14:solidFill>
              <w14:schemeClr w14:val="tx1"/>
            </w14:solidFill>
          </w14:textFill>
        </w:rPr>
        <w:t>约</w:t>
      </w:r>
      <w:r>
        <w:rPr>
          <w:rFonts w:hint="eastAsia" w:asciiTheme="minorEastAsia" w:hAnsiTheme="minorEastAsia" w:eastAsiaTheme="minorEastAsia" w:cstheme="minorEastAsia"/>
          <w:b w:val="0"/>
          <w:bCs w:val="0"/>
          <w:color w:val="000000" w:themeColor="text1"/>
          <w:kern w:val="2"/>
          <w:sz w:val="28"/>
          <w:szCs w:val="28"/>
          <w:highlight w:val="none"/>
          <w14:textFill>
            <w14:solidFill>
              <w14:schemeClr w14:val="tx1"/>
            </w14:solidFill>
          </w14:textFill>
        </w:rPr>
        <w:t>定。</w:t>
      </w:r>
    </w:p>
    <w:p w14:paraId="4B97FD30">
      <w:pPr>
        <w:pStyle w:val="13"/>
        <w:pageBreakBefore w:val="0"/>
        <w:kinsoku/>
        <w:wordWrap/>
        <w:overflowPunct/>
        <w:topLinePunct w:val="0"/>
        <w:bidi w:val="0"/>
        <w:spacing w:after="0" w:afterAutospacing="0" w:line="560" w:lineRule="exact"/>
        <w:textAlignment w:val="auto"/>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1</w:t>
      </w:r>
      <w:r>
        <w:rPr>
          <w:rFonts w:hint="eastAsia" w:asciiTheme="minorEastAsia" w:hAnsiTheme="minorEastAsia" w:eastAsiaTheme="minorEastAsia" w:cstheme="minorEastAsia"/>
          <w:b/>
          <w:bCs/>
          <w:color w:val="000000" w:themeColor="text1"/>
          <w:sz w:val="28"/>
          <w:szCs w:val="28"/>
          <w:highlight w:val="none"/>
          <w:lang w:eastAsia="zh-CN"/>
          <w14:textFill>
            <w14:solidFill>
              <w14:schemeClr w14:val="tx1"/>
            </w14:solidFill>
          </w14:textFill>
        </w:rPr>
        <w:t>3</w:t>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w:t>
      </w: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履约保证金</w:t>
      </w:r>
    </w:p>
    <w:p w14:paraId="2FBFCCEE">
      <w:pPr>
        <w:pageBreakBefore w:val="0"/>
        <w:kinsoku/>
        <w:wordWrap/>
        <w:overflowPunct/>
        <w:topLinePunct w:val="0"/>
        <w:bidi w:val="0"/>
        <w:adjustRightInd w:val="0"/>
        <w:snapToGrid w:val="0"/>
        <w:spacing w:before="0" w:afterAutospacing="0" w:line="560" w:lineRule="exact"/>
        <w:ind w:firstLine="560" w:firstLineChars="200"/>
        <w:jc w:val="lef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1</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3</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.1 乙方应当以支票、汇票、本票或者金融机构、担保机构出具的保函等非现金形式提交。</w:t>
      </w:r>
    </w:p>
    <w:p w14:paraId="2047CCCA">
      <w:pPr>
        <w:pageBreakBefore w:val="0"/>
        <w:kinsoku/>
        <w:wordWrap/>
        <w:overflowPunct/>
        <w:topLinePunct w:val="0"/>
        <w:bidi w:val="0"/>
        <w:adjustRightInd w:val="0"/>
        <w:snapToGrid w:val="0"/>
        <w:spacing w:before="0" w:afterAutospacing="0" w:line="560" w:lineRule="exact"/>
        <w:ind w:firstLine="560" w:firstLineChars="200"/>
        <w:jc w:val="lef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1</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3</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.2 如果乙方</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出现</w:t>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【合同专用条款】</w:t>
      </w:r>
      <w:r>
        <w:rPr>
          <w:rFonts w:hint="eastAsia" w:asciiTheme="minorEastAsia" w:hAnsiTheme="minorEastAsia" w:eastAsiaTheme="minorEastAsia" w:cstheme="minorEastAsia"/>
          <w:b w:val="0"/>
          <w:bCs w:val="0"/>
          <w:color w:val="000000" w:themeColor="text1"/>
          <w:sz w:val="28"/>
          <w:szCs w:val="28"/>
          <w:highlight w:val="none"/>
          <w:lang w:eastAsia="zh-CN"/>
          <w14:textFill>
            <w14:solidFill>
              <w14:schemeClr w14:val="tx1"/>
            </w14:solidFill>
          </w14:textFill>
        </w:rPr>
        <w:t>约定情形的</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，履约保证金不予退还；如果乙方未能按合同约定全面履行义务，甲方有权从履约保证金中取得补偿或赔偿，</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且</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不影响甲方要求乙方承担合同约定的超过履约保证金的违约责任的权利。</w:t>
      </w:r>
    </w:p>
    <w:p w14:paraId="3258792F">
      <w:pPr>
        <w:pageBreakBefore w:val="0"/>
        <w:kinsoku/>
        <w:wordWrap/>
        <w:overflowPunct/>
        <w:topLinePunct w:val="0"/>
        <w:bidi w:val="0"/>
        <w:spacing w:afterAutospacing="0" w:line="560" w:lineRule="exact"/>
        <w:ind w:firstLine="420"/>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1</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3</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.3 甲方在项目通过验收后按照</w:t>
      </w: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【合同专用条款】</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规定的时间内将履约保证金退还乙方；逾期退还的，乙方可要求甲方支付违约金，违约金按照</w:t>
      </w: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【合同专用条款】</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规定支付。</w:t>
      </w:r>
    </w:p>
    <w:p w14:paraId="16B4F971">
      <w:pPr>
        <w:pageBreakBefore w:val="0"/>
        <w:kinsoku/>
        <w:wordWrap/>
        <w:overflowPunct/>
        <w:topLinePunct w:val="0"/>
        <w:autoSpaceDE w:val="0"/>
        <w:autoSpaceDN w:val="0"/>
        <w:bidi w:val="0"/>
        <w:adjustRightInd w:val="0"/>
        <w:snapToGrid w:val="0"/>
        <w:spacing w:before="0" w:afterAutospacing="0" w:line="560" w:lineRule="exact"/>
        <w:jc w:val="left"/>
        <w:textAlignment w:val="auto"/>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1</w:t>
      </w:r>
      <w:r>
        <w:rPr>
          <w:rFonts w:hint="eastAsia" w:asciiTheme="minorEastAsia" w:hAnsiTheme="minorEastAsia" w:eastAsiaTheme="minorEastAsia" w:cstheme="minorEastAsia"/>
          <w:b/>
          <w:bCs/>
          <w:color w:val="000000" w:themeColor="text1"/>
          <w:sz w:val="28"/>
          <w:szCs w:val="28"/>
          <w:highlight w:val="none"/>
          <w:lang w:eastAsia="zh-CN"/>
          <w14:textFill>
            <w14:solidFill>
              <w14:schemeClr w14:val="tx1"/>
            </w14:solidFill>
          </w14:textFill>
        </w:rPr>
        <w:t>4</w:t>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w:t>
      </w: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售后服务</w:t>
      </w:r>
    </w:p>
    <w:p w14:paraId="2426AD61">
      <w:pPr>
        <w:pageBreakBefore w:val="0"/>
        <w:kinsoku/>
        <w:wordWrap/>
        <w:overflowPunct/>
        <w:topLinePunct w:val="0"/>
        <w:autoSpaceDE w:val="0"/>
        <w:autoSpaceDN w:val="0"/>
        <w:bidi w:val="0"/>
        <w:adjustRightInd w:val="0"/>
        <w:snapToGrid w:val="0"/>
        <w:spacing w:before="0" w:afterAutospacing="0" w:line="560" w:lineRule="exact"/>
        <w:ind w:firstLine="560" w:firstLineChars="200"/>
        <w:jc w:val="lef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1</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4</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.1 除项目不涉及或采购活动中明确约定无须承担外，乙方还应提供下列服务：</w:t>
      </w:r>
    </w:p>
    <w:p w14:paraId="11D22831">
      <w:pPr>
        <w:pageBreakBefore w:val="0"/>
        <w:kinsoku/>
        <w:wordWrap/>
        <w:overflowPunct/>
        <w:topLinePunct w:val="0"/>
        <w:autoSpaceDE w:val="0"/>
        <w:autoSpaceDN w:val="0"/>
        <w:bidi w:val="0"/>
        <w:adjustRightInd w:val="0"/>
        <w:snapToGrid w:val="0"/>
        <w:spacing w:before="0" w:afterAutospacing="0" w:line="560" w:lineRule="exact"/>
        <w:ind w:firstLine="560" w:firstLineChars="200"/>
        <w:jc w:val="lef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（1）货物的现场移动、安装、调试、启动监督及技术支持；</w:t>
      </w:r>
    </w:p>
    <w:p w14:paraId="08B9138F">
      <w:pPr>
        <w:pageBreakBefore w:val="0"/>
        <w:kinsoku/>
        <w:wordWrap/>
        <w:overflowPunct/>
        <w:topLinePunct w:val="0"/>
        <w:autoSpaceDE w:val="0"/>
        <w:autoSpaceDN w:val="0"/>
        <w:bidi w:val="0"/>
        <w:adjustRightInd w:val="0"/>
        <w:snapToGrid w:val="0"/>
        <w:spacing w:before="0" w:afterAutospacing="0" w:line="560" w:lineRule="exact"/>
        <w:ind w:firstLine="560" w:firstLineChars="200"/>
        <w:jc w:val="lef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（2）提供货物组装和维修所需的专用工具和辅助材料；</w:t>
      </w:r>
    </w:p>
    <w:p w14:paraId="33AC982C">
      <w:pPr>
        <w:pageBreakBefore w:val="0"/>
        <w:kinsoku/>
        <w:wordWrap/>
        <w:overflowPunct/>
        <w:topLinePunct w:val="0"/>
        <w:autoSpaceDE w:val="0"/>
        <w:autoSpaceDN w:val="0"/>
        <w:bidi w:val="0"/>
        <w:adjustRightInd w:val="0"/>
        <w:snapToGrid w:val="0"/>
        <w:spacing w:before="0" w:afterAutospacing="0" w:line="560" w:lineRule="exact"/>
        <w:ind w:firstLine="560" w:firstLineChars="200"/>
        <w:jc w:val="lef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（3）在</w:t>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【合同专用条款】</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约定</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的期限内对所有的货物实施运行监督、维修，但前提条件是该服务并不能免除乙方在质量保证期内所承担的义务；</w:t>
      </w:r>
    </w:p>
    <w:p w14:paraId="4AD6C1C9">
      <w:pPr>
        <w:pageBreakBefore w:val="0"/>
        <w:kinsoku/>
        <w:wordWrap/>
        <w:overflowPunct/>
        <w:topLinePunct w:val="0"/>
        <w:autoSpaceDE w:val="0"/>
        <w:autoSpaceDN w:val="0"/>
        <w:bidi w:val="0"/>
        <w:adjustRightInd w:val="0"/>
        <w:snapToGrid w:val="0"/>
        <w:spacing w:before="0" w:afterAutospacing="0" w:line="560" w:lineRule="exact"/>
        <w:ind w:firstLine="560" w:firstLineChars="200"/>
        <w:jc w:val="lef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（4）在制造商</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所在地</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或</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指定</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现场就货物的安装、启动、运营、维护</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、废弃处置等</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对甲方操作人员进行培训</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w:t>
      </w:r>
    </w:p>
    <w:p w14:paraId="270E4963">
      <w:pPr>
        <w:pStyle w:val="171"/>
        <w:pageBreakBefore w:val="0"/>
        <w:kinsoku/>
        <w:wordWrap/>
        <w:overflowPunct/>
        <w:topLinePunct w:val="0"/>
        <w:bidi w:val="0"/>
        <w:spacing w:afterAutospacing="0" w:line="560" w:lineRule="exac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（5）依照法律、行政法规的规定或者按照</w:t>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【合同专用条款】</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约定，货物在有效使用年限届满后应予回收的，乙方负有自行或者委托第三人对货物予以回收的义务；</w:t>
      </w:r>
    </w:p>
    <w:p w14:paraId="6FB1D56A">
      <w:pPr>
        <w:pageBreakBefore w:val="0"/>
        <w:kinsoku/>
        <w:wordWrap/>
        <w:overflowPunct/>
        <w:topLinePunct w:val="0"/>
        <w:autoSpaceDE w:val="0"/>
        <w:autoSpaceDN w:val="0"/>
        <w:bidi w:val="0"/>
        <w:adjustRightInd w:val="0"/>
        <w:snapToGrid w:val="0"/>
        <w:spacing w:before="0" w:afterAutospacing="0" w:line="560" w:lineRule="exact"/>
        <w:ind w:firstLine="560" w:firstLineChars="200"/>
        <w:jc w:val="lef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w:t>
      </w: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【合同专用条款】</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规定由乙方提供的其他服务。</w:t>
      </w:r>
    </w:p>
    <w:p w14:paraId="353F33D6">
      <w:pPr>
        <w:pageBreakBefore w:val="0"/>
        <w:kinsoku/>
        <w:wordWrap/>
        <w:overflowPunct/>
        <w:topLinePunct w:val="0"/>
        <w:autoSpaceDE w:val="0"/>
        <w:autoSpaceDN w:val="0"/>
        <w:bidi w:val="0"/>
        <w:adjustRightInd w:val="0"/>
        <w:snapToGrid w:val="0"/>
        <w:spacing w:before="0" w:afterAutospacing="0" w:line="560" w:lineRule="exact"/>
        <w:ind w:firstLine="560" w:firstLineChars="200"/>
        <w:jc w:val="lef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1</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.2 乙方提供的</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售后</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服务的费用</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已</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包含在合同价款中，甲方不再另行支付。</w:t>
      </w:r>
    </w:p>
    <w:p w14:paraId="17B0A016">
      <w:pPr>
        <w:pageBreakBefore w:val="0"/>
        <w:kinsoku/>
        <w:wordWrap/>
        <w:overflowPunct/>
        <w:topLinePunct w:val="0"/>
        <w:bidi w:val="0"/>
        <w:adjustRightInd w:val="0"/>
        <w:snapToGrid w:val="0"/>
        <w:spacing w:before="0" w:afterAutospacing="0" w:line="560" w:lineRule="exact"/>
        <w:jc w:val="left"/>
        <w:textAlignment w:val="auto"/>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1</w:t>
      </w:r>
      <w:r>
        <w:rPr>
          <w:rFonts w:hint="eastAsia" w:asciiTheme="minorEastAsia" w:hAnsiTheme="minorEastAsia" w:eastAsiaTheme="minorEastAsia" w:cstheme="minorEastAsia"/>
          <w:b/>
          <w:bCs/>
          <w:color w:val="000000" w:themeColor="text1"/>
          <w:sz w:val="28"/>
          <w:szCs w:val="28"/>
          <w:highlight w:val="none"/>
          <w:lang w:eastAsia="zh-CN"/>
          <w14:textFill>
            <w14:solidFill>
              <w14:schemeClr w14:val="tx1"/>
            </w14:solidFill>
          </w14:textFill>
        </w:rPr>
        <w:t>5</w:t>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w:t>
      </w: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违约责任</w:t>
      </w:r>
    </w:p>
    <w:p w14:paraId="65756568">
      <w:pPr>
        <w:pageBreakBefore w:val="0"/>
        <w:kinsoku/>
        <w:wordWrap/>
        <w:overflowPunct/>
        <w:topLinePunct w:val="0"/>
        <w:bidi w:val="0"/>
        <w:adjustRightInd w:val="0"/>
        <w:snapToGrid w:val="0"/>
        <w:spacing w:before="0" w:afterAutospacing="0" w:line="560" w:lineRule="exact"/>
        <w:ind w:firstLine="560" w:firstLineChars="200"/>
        <w:jc w:val="left"/>
        <w:textAlignment w:val="auto"/>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1</w:t>
      </w:r>
      <w:r>
        <w:rPr>
          <w:rFonts w:hint="eastAsia" w:asciiTheme="minorEastAsia" w:hAnsiTheme="minorEastAsia" w:eastAsiaTheme="minorEastAsia" w:cstheme="minorEastAsia"/>
          <w:bCs/>
          <w:color w:val="000000" w:themeColor="text1"/>
          <w:sz w:val="28"/>
          <w:szCs w:val="28"/>
          <w:highlight w:val="none"/>
          <w:lang w:eastAsia="zh-CN"/>
          <w14:textFill>
            <w14:solidFill>
              <w14:schemeClr w14:val="tx1"/>
            </w14:solidFill>
          </w14:textFill>
        </w:rPr>
        <w:t>5</w:t>
      </w: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.1质量瑕疵的</w:t>
      </w:r>
      <w:r>
        <w:rPr>
          <w:rFonts w:hint="eastAsia" w:asciiTheme="minorEastAsia" w:hAnsiTheme="minorEastAsia" w:eastAsiaTheme="minorEastAsia" w:cstheme="minorEastAsia"/>
          <w:bCs/>
          <w:color w:val="000000" w:themeColor="text1"/>
          <w:sz w:val="28"/>
          <w:szCs w:val="28"/>
          <w:highlight w:val="none"/>
          <w:lang w:eastAsia="zh-CN"/>
          <w14:textFill>
            <w14:solidFill>
              <w14:schemeClr w14:val="tx1"/>
            </w14:solidFill>
          </w14:textFill>
        </w:rPr>
        <w:t>违约责任</w:t>
      </w:r>
    </w:p>
    <w:p w14:paraId="4DCE6F4C">
      <w:pPr>
        <w:pageBreakBefore w:val="0"/>
        <w:kinsoku/>
        <w:wordWrap/>
        <w:overflowPunct/>
        <w:topLinePunct w:val="0"/>
        <w:autoSpaceDE w:val="0"/>
        <w:autoSpaceDN w:val="0"/>
        <w:bidi w:val="0"/>
        <w:adjustRightInd w:val="0"/>
        <w:snapToGrid w:val="0"/>
        <w:spacing w:before="0" w:afterAutospacing="0" w:line="560" w:lineRule="exact"/>
        <w:ind w:firstLine="560" w:firstLineChars="200"/>
        <w:jc w:val="lef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乙方</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提供</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的产品不符合</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合同约定的</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质量标准或存在产品质量缺陷，</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甲方有权要求乙方根据</w:t>
      </w: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【合同专用条款】</w:t>
      </w:r>
      <w:r>
        <w:rPr>
          <w:rFonts w:hint="eastAsia" w:asciiTheme="minorEastAsia" w:hAnsiTheme="minorEastAsia" w:eastAsiaTheme="minorEastAsia" w:cstheme="minorEastAsia"/>
          <w:b w:val="0"/>
          <w:bCs/>
          <w:color w:val="000000" w:themeColor="text1"/>
          <w:sz w:val="28"/>
          <w:szCs w:val="28"/>
          <w:highlight w:val="none"/>
          <w:lang w:eastAsia="zh-CN"/>
          <w14:textFill>
            <w14:solidFill>
              <w14:schemeClr w14:val="tx1"/>
            </w14:solidFill>
          </w14:textFill>
        </w:rPr>
        <w:t>要求</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及时修理、重作、更换，并承担由此给甲</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方</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造成的损失</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w:t>
      </w:r>
    </w:p>
    <w:p w14:paraId="01814673">
      <w:pPr>
        <w:pageBreakBefore w:val="0"/>
        <w:kinsoku/>
        <w:wordWrap/>
        <w:overflowPunct/>
        <w:topLinePunct w:val="0"/>
        <w:autoSpaceDE w:val="0"/>
        <w:autoSpaceDN w:val="0"/>
        <w:bidi w:val="0"/>
        <w:adjustRightInd w:val="0"/>
        <w:snapToGrid w:val="0"/>
        <w:spacing w:before="0" w:afterAutospacing="0" w:line="560" w:lineRule="exact"/>
        <w:ind w:firstLine="560" w:firstLineChars="200"/>
        <w:jc w:val="left"/>
        <w:textAlignment w:val="auto"/>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1</w:t>
      </w:r>
      <w:r>
        <w:rPr>
          <w:rFonts w:hint="eastAsia" w:asciiTheme="minorEastAsia" w:hAnsiTheme="minorEastAsia" w:eastAsiaTheme="minorEastAsia" w:cstheme="minorEastAsia"/>
          <w:bCs/>
          <w:color w:val="000000" w:themeColor="text1"/>
          <w:sz w:val="28"/>
          <w:szCs w:val="28"/>
          <w:highlight w:val="none"/>
          <w:lang w:eastAsia="zh-CN"/>
          <w14:textFill>
            <w14:solidFill>
              <w14:schemeClr w14:val="tx1"/>
            </w14:solidFill>
          </w14:textFill>
        </w:rPr>
        <w:t>5</w:t>
      </w: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.2 迟延交货的违约责任</w:t>
      </w:r>
    </w:p>
    <w:p w14:paraId="0BFCF8F1">
      <w:pPr>
        <w:pageBreakBefore w:val="0"/>
        <w:kinsoku/>
        <w:wordWrap/>
        <w:overflowPunct/>
        <w:topLinePunct w:val="0"/>
        <w:autoSpaceDE w:val="0"/>
        <w:autoSpaceDN w:val="0"/>
        <w:bidi w:val="0"/>
        <w:adjustRightInd w:val="0"/>
        <w:snapToGrid w:val="0"/>
        <w:spacing w:before="0" w:afterAutospacing="0" w:line="560" w:lineRule="exact"/>
        <w:ind w:firstLine="560" w:firstLineChars="200"/>
        <w:jc w:val="lef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（1）乙方应按照本合同规定的时间、地点交货和提供</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相关</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服务。在履行合同过程中，如果乙方遇到可能</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影响</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按时交货和提供服务的情形时，应及时以书面形式将迟延的事实、可能迟延的期限和理由通知甲方。甲方在收到乙方通知后，应尽快对情况进行评价，并确定是否同意延</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长</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交货时间或延期提供服务。</w:t>
      </w:r>
    </w:p>
    <w:p w14:paraId="1ACCB0C7">
      <w:pPr>
        <w:pageBreakBefore w:val="0"/>
        <w:kinsoku/>
        <w:wordWrap/>
        <w:overflowPunct/>
        <w:topLinePunct w:val="0"/>
        <w:autoSpaceDE w:val="0"/>
        <w:autoSpaceDN w:val="0"/>
        <w:bidi w:val="0"/>
        <w:adjustRightInd w:val="0"/>
        <w:snapToGrid w:val="0"/>
        <w:spacing w:before="0" w:afterAutospacing="0" w:line="560" w:lineRule="exact"/>
        <w:ind w:firstLine="560" w:firstLineChars="200"/>
        <w:jc w:val="left"/>
        <w:textAlignment w:val="auto"/>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（2）如果乙方没有按照合同规定的时间交货和提供</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相关</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服务，甲方有权从货款中扣除误期赔偿费而不影响合同项下的其他补救方法，赔偿费按</w:t>
      </w: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【合同专用条款】</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规定执行。如果涉及公共利益，且赔偿金额无法弥补公共利益损失，</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甲方</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可要求继续履行或者</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采取其他补救措施</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w:t>
      </w:r>
    </w:p>
    <w:p w14:paraId="6F889955">
      <w:pPr>
        <w:pageBreakBefore w:val="0"/>
        <w:kinsoku/>
        <w:wordWrap/>
        <w:overflowPunct/>
        <w:topLinePunct w:val="0"/>
        <w:autoSpaceDE w:val="0"/>
        <w:autoSpaceDN w:val="0"/>
        <w:bidi w:val="0"/>
        <w:adjustRightInd w:val="0"/>
        <w:snapToGrid w:val="0"/>
        <w:spacing w:before="0" w:afterAutospacing="0" w:line="560" w:lineRule="exact"/>
        <w:ind w:firstLine="560" w:firstLineChars="200"/>
        <w:jc w:val="lef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1</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5</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.3 迟延支付的违约责任</w:t>
      </w:r>
    </w:p>
    <w:p w14:paraId="74B459E9">
      <w:pPr>
        <w:pageBreakBefore w:val="0"/>
        <w:kinsoku/>
        <w:wordWrap/>
        <w:overflowPunct/>
        <w:topLinePunct w:val="0"/>
        <w:autoSpaceDE w:val="0"/>
        <w:autoSpaceDN w:val="0"/>
        <w:bidi w:val="0"/>
        <w:adjustRightInd w:val="0"/>
        <w:snapToGrid w:val="0"/>
        <w:spacing w:before="0" w:afterAutospacing="0" w:line="560" w:lineRule="exact"/>
        <w:ind w:firstLine="560" w:firstLineChars="200"/>
        <w:jc w:val="lef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甲方存在迟延支付乙方合同款项的，应当承担</w:t>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【合同专用条款】</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规定的逾期付款利息。</w:t>
      </w:r>
    </w:p>
    <w:p w14:paraId="5F8BB3BB">
      <w:pPr>
        <w:pageBreakBefore w:val="0"/>
        <w:kinsoku/>
        <w:wordWrap/>
        <w:overflowPunct/>
        <w:topLinePunct w:val="0"/>
        <w:bidi w:val="0"/>
        <w:adjustRightInd w:val="0"/>
        <w:snapToGrid w:val="0"/>
        <w:spacing w:before="0" w:afterAutospacing="0" w:line="560" w:lineRule="exact"/>
        <w:ind w:firstLine="560" w:firstLineChars="200"/>
        <w:jc w:val="lef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1</w:t>
      </w:r>
      <w:r>
        <w:rPr>
          <w:rFonts w:hint="eastAsia" w:asciiTheme="minorEastAsia" w:hAnsiTheme="minorEastAsia" w:eastAsiaTheme="minorEastAsia" w:cstheme="minorEastAsia"/>
          <w:bCs/>
          <w:color w:val="000000" w:themeColor="text1"/>
          <w:sz w:val="28"/>
          <w:szCs w:val="28"/>
          <w:highlight w:val="none"/>
          <w:lang w:eastAsia="zh-CN"/>
          <w14:textFill>
            <w14:solidFill>
              <w14:schemeClr w14:val="tx1"/>
            </w14:solidFill>
          </w14:textFill>
        </w:rPr>
        <w:t>5</w:t>
      </w: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.4其他违约责任根据项目实际需要按</w:t>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【合同专用条款】</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规定执行。</w:t>
      </w:r>
    </w:p>
    <w:p w14:paraId="6B96FA58">
      <w:pPr>
        <w:pageBreakBefore w:val="0"/>
        <w:numPr>
          <w:ilvl w:val="0"/>
          <w:numId w:val="9"/>
        </w:numPr>
        <w:kinsoku/>
        <w:wordWrap/>
        <w:overflowPunct/>
        <w:topLinePunct w:val="0"/>
        <w:autoSpaceDE w:val="0"/>
        <w:autoSpaceDN w:val="0"/>
        <w:bidi w:val="0"/>
        <w:adjustRightInd w:val="0"/>
        <w:snapToGrid w:val="0"/>
        <w:spacing w:before="0" w:afterAutospacing="0" w:line="560" w:lineRule="exact"/>
        <w:jc w:val="left"/>
        <w:textAlignment w:val="auto"/>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合同变更</w:t>
      </w:r>
      <w:r>
        <w:rPr>
          <w:rFonts w:hint="eastAsia" w:asciiTheme="minorEastAsia" w:hAnsiTheme="minorEastAsia" w:eastAsiaTheme="minorEastAsia" w:cstheme="minorEastAsia"/>
          <w:b/>
          <w:color w:val="000000" w:themeColor="text1"/>
          <w:sz w:val="28"/>
          <w:szCs w:val="28"/>
          <w:highlight w:val="none"/>
          <w:lang w:eastAsia="zh-CN"/>
          <w14:textFill>
            <w14:solidFill>
              <w14:schemeClr w14:val="tx1"/>
            </w14:solidFill>
          </w14:textFill>
        </w:rPr>
        <w:t>、中止与终止</w:t>
      </w:r>
    </w:p>
    <w:p w14:paraId="3DAB3BF0">
      <w:pPr>
        <w:pageBreakBefore w:val="0"/>
        <w:kinsoku/>
        <w:wordWrap/>
        <w:overflowPunct/>
        <w:topLinePunct w:val="0"/>
        <w:autoSpaceDE/>
        <w:autoSpaceDN/>
        <w:bidi w:val="0"/>
        <w:adjustRightInd w:val="0"/>
        <w:snapToGrid w:val="0"/>
        <w:spacing w:before="0" w:afterAutospacing="0" w:line="560" w:lineRule="exact"/>
        <w:ind w:firstLine="0" w:firstLineChars="0"/>
        <w:jc w:val="lef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1</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.1合同的</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变更</w:t>
      </w:r>
    </w:p>
    <w:p w14:paraId="43F1A7DC">
      <w:pPr>
        <w:pageBreakBefore w:val="0"/>
        <w:kinsoku/>
        <w:wordWrap/>
        <w:overflowPunct/>
        <w:topLinePunct w:val="0"/>
        <w:autoSpaceDE w:val="0"/>
        <w:autoSpaceDN w:val="0"/>
        <w:bidi w:val="0"/>
        <w:adjustRightInd w:val="0"/>
        <w:snapToGrid w:val="0"/>
        <w:spacing w:before="0" w:afterAutospacing="0" w:line="560" w:lineRule="exact"/>
        <w:ind w:firstLine="560" w:firstLineChars="200"/>
        <w:jc w:val="lef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合同履行中，</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在不改变合同其他条款的前提下，甲方可以在合同价款10%的范围内追加与合同标的相同的货物，并就此与乙方协商</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一致后</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签订补充协议。</w:t>
      </w:r>
    </w:p>
    <w:p w14:paraId="76E3AE6C">
      <w:pPr>
        <w:pageBreakBefore w:val="0"/>
        <w:kinsoku/>
        <w:wordWrap/>
        <w:overflowPunct/>
        <w:topLinePunct w:val="0"/>
        <w:bidi w:val="0"/>
        <w:adjustRightInd w:val="0"/>
        <w:snapToGrid w:val="0"/>
        <w:spacing w:before="0" w:afterAutospacing="0" w:line="560" w:lineRule="exact"/>
        <w:ind w:firstLine="560" w:firstLineChars="200"/>
        <w:jc w:val="lef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1</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合同的中止</w:t>
      </w:r>
    </w:p>
    <w:p w14:paraId="4A1FD930">
      <w:pPr>
        <w:pageBreakBefore w:val="0"/>
        <w:kinsoku/>
        <w:wordWrap/>
        <w:overflowPunct/>
        <w:topLinePunct w:val="0"/>
        <w:autoSpaceDE w:val="0"/>
        <w:autoSpaceDN w:val="0"/>
        <w:bidi w:val="0"/>
        <w:adjustRightInd w:val="0"/>
        <w:snapToGrid w:val="0"/>
        <w:spacing w:before="0" w:afterAutospacing="0" w:line="560" w:lineRule="exact"/>
        <w:ind w:firstLine="560" w:firstLineChars="200"/>
        <w:jc w:val="lef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（1）合同履行过程中因供应商就采购文件、采购过程或结果提起投诉的，甲方认为有必要的，</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可以</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中止合同的履行。</w:t>
      </w:r>
    </w:p>
    <w:p w14:paraId="2353873B">
      <w:pPr>
        <w:pageBreakBefore w:val="0"/>
        <w:kinsoku/>
        <w:wordWrap/>
        <w:overflowPunct/>
        <w:topLinePunct w:val="0"/>
        <w:autoSpaceDE w:val="0"/>
        <w:autoSpaceDN w:val="0"/>
        <w:bidi w:val="0"/>
        <w:adjustRightInd w:val="0"/>
        <w:snapToGrid w:val="0"/>
        <w:spacing w:before="0" w:afterAutospacing="0" w:line="560" w:lineRule="exact"/>
        <w:ind w:firstLine="560" w:firstLineChars="200"/>
        <w:jc w:val="lef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（2）</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合同履行过程中，</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如果乙方出现以下情形之一的：1．经营状况严重恶化；2．转移财产、抽逃资金，以逃避债务；3．丧失商业信誉；4．有丧失或者可能丧失履约能力的其他情形</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，乙方有义务及时告知甲方</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。甲方</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有权</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以书面形式通知乙方中止合同</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并要求乙方在合理期限内消除相关情形或者提供适当担保。</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乙方提供适当担保的，</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合同继续</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履行</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；乙</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方在合理期限内未恢复履约能力且未提供适当担保的，视为拒绝</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继续</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履约，甲方</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有权</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解除合同并要求乙方承担</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由此给甲方造成的损失</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w:t>
      </w:r>
    </w:p>
    <w:p w14:paraId="0851B121">
      <w:pPr>
        <w:pStyle w:val="171"/>
        <w:pageBreakBefore w:val="0"/>
        <w:kinsoku/>
        <w:wordWrap/>
        <w:overflowPunct/>
        <w:topLinePunct w:val="0"/>
        <w:bidi w:val="0"/>
        <w:spacing w:afterAutospacing="0" w:line="560" w:lineRule="exact"/>
        <w:jc w:val="both"/>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（3）乙方分立、合并或者变更住所的，应当及时以书面形式告知甲方。乙方没有</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及时告知</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甲方，致使</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合同</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履行发生困难的，甲方可以中止合同履行并要求乙方承担由此给甲方造成的损失。</w:t>
      </w:r>
    </w:p>
    <w:p w14:paraId="5E7B6895">
      <w:pPr>
        <w:pageBreakBefore w:val="0"/>
        <w:kinsoku/>
        <w:wordWrap/>
        <w:overflowPunct/>
        <w:topLinePunct w:val="0"/>
        <w:bidi w:val="0"/>
        <w:snapToGrid w:val="0"/>
        <w:spacing w:afterAutospacing="0" w:line="560" w:lineRule="exact"/>
        <w:ind w:firstLine="560" w:firstLineChars="200"/>
        <w:jc w:val="lef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）甲方不得以行政区划调整、政府换届、机构或者职能调整以及相关责任人更替为由中止合同。</w:t>
      </w:r>
    </w:p>
    <w:p w14:paraId="45622DE4">
      <w:pPr>
        <w:pageBreakBefore w:val="0"/>
        <w:kinsoku/>
        <w:wordWrap/>
        <w:overflowPunct/>
        <w:topLinePunct w:val="0"/>
        <w:bidi w:val="0"/>
        <w:adjustRightInd w:val="0"/>
        <w:snapToGrid w:val="0"/>
        <w:spacing w:before="0" w:afterAutospacing="0" w:line="560" w:lineRule="exact"/>
        <w:ind w:firstLine="560" w:firstLineChars="200"/>
        <w:jc w:val="lef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1</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合同的终止</w:t>
      </w:r>
    </w:p>
    <w:p w14:paraId="27F03B27">
      <w:pPr>
        <w:pageBreakBefore w:val="0"/>
        <w:kinsoku/>
        <w:wordWrap/>
        <w:overflowPunct/>
        <w:topLinePunct w:val="0"/>
        <w:autoSpaceDE w:val="0"/>
        <w:autoSpaceDN w:val="0"/>
        <w:bidi w:val="0"/>
        <w:adjustRightInd w:val="0"/>
        <w:snapToGrid w:val="0"/>
        <w:spacing w:before="0" w:afterAutospacing="0" w:line="560" w:lineRule="exact"/>
        <w:ind w:firstLine="560" w:firstLineChars="200"/>
        <w:jc w:val="lef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（1）合同因有效期限届满而终止；</w:t>
      </w:r>
    </w:p>
    <w:p w14:paraId="60011205">
      <w:pPr>
        <w:pageBreakBefore w:val="0"/>
        <w:kinsoku/>
        <w:wordWrap/>
        <w:overflowPunct/>
        <w:topLinePunct w:val="0"/>
        <w:bidi w:val="0"/>
        <w:snapToGrid w:val="0"/>
        <w:spacing w:afterAutospacing="0" w:line="560" w:lineRule="exact"/>
        <w:ind w:firstLine="560" w:firstLineChars="200"/>
        <w:textAlignment w:val="auto"/>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（2）乙方未</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按</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合同约定履行，构成根本性违约的，甲方有权终止合同</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并追究乙方的违约责</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任</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w:t>
      </w:r>
    </w:p>
    <w:p w14:paraId="6C305FF2">
      <w:pPr>
        <w:pStyle w:val="171"/>
        <w:pageBreakBefore w:val="0"/>
        <w:kinsoku/>
        <w:wordWrap/>
        <w:overflowPunct/>
        <w:topLinePunct w:val="0"/>
        <w:bidi w:val="0"/>
        <w:spacing w:afterAutospacing="0" w:line="560" w:lineRule="exact"/>
        <w:textAlignment w:val="auto"/>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 xml:space="preserve">16.4 </w:t>
      </w:r>
      <w:r>
        <w:rPr>
          <w:rFonts w:hint="eastAsia" w:asciiTheme="minorEastAsia" w:hAnsiTheme="minorEastAsia" w:eastAsiaTheme="minorEastAsia" w:cstheme="minorEastAsia"/>
          <w:color w:val="000000" w:themeColor="text1"/>
          <w:kern w:val="2"/>
          <w:sz w:val="28"/>
          <w:szCs w:val="28"/>
          <w:highlight w:val="none"/>
          <w:lang w:val="en-US" w:eastAsia="zh-CN"/>
          <w14:textFill>
            <w14:solidFill>
              <w14:schemeClr w14:val="tx1"/>
            </w14:solidFill>
          </w14:textFill>
        </w:rPr>
        <w:t>涉及国家利益、社会公共利益的情形</w:t>
      </w:r>
    </w:p>
    <w:p w14:paraId="7ABCA381">
      <w:pPr>
        <w:pStyle w:val="171"/>
        <w:pageBreakBefore w:val="0"/>
        <w:kinsoku/>
        <w:wordWrap/>
        <w:overflowPunct/>
        <w:topLinePunct w:val="0"/>
        <w:bidi w:val="0"/>
        <w:spacing w:afterAutospacing="0" w:line="560" w:lineRule="exact"/>
        <w:jc w:val="both"/>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合同继续履行将损害国家利益和社会公共利益的，双方当事人</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应当变更、</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中止</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或者终止</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合同。有过错的一方应当承担赔偿责任，双方都有过错的，各自承担相应的责任。</w:t>
      </w:r>
    </w:p>
    <w:p w14:paraId="4B4EA171">
      <w:pPr>
        <w:pageBreakBefore w:val="0"/>
        <w:kinsoku/>
        <w:wordWrap/>
        <w:overflowPunct/>
        <w:topLinePunct w:val="0"/>
        <w:autoSpaceDE w:val="0"/>
        <w:autoSpaceDN w:val="0"/>
        <w:bidi w:val="0"/>
        <w:adjustRightInd w:val="0"/>
        <w:snapToGrid w:val="0"/>
        <w:spacing w:before="0" w:afterAutospacing="0" w:line="560" w:lineRule="exact"/>
        <w:jc w:val="left"/>
        <w:textAlignment w:val="auto"/>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1</w:t>
      </w: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7</w:t>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w:t>
      </w: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合同分包</w:t>
      </w:r>
    </w:p>
    <w:p w14:paraId="5BAA9743">
      <w:pPr>
        <w:pageBreakBefore w:val="0"/>
        <w:kinsoku/>
        <w:wordWrap/>
        <w:overflowPunct/>
        <w:topLinePunct w:val="0"/>
        <w:autoSpaceDE w:val="0"/>
        <w:autoSpaceDN w:val="0"/>
        <w:bidi w:val="0"/>
        <w:adjustRightInd w:val="0"/>
        <w:snapToGrid w:val="0"/>
        <w:spacing w:before="0" w:afterAutospacing="0" w:line="560" w:lineRule="exact"/>
        <w:ind w:firstLine="560" w:firstLineChars="200"/>
        <w:jc w:val="lef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1</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.1 乙方不得</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将合同转包给其他供应商。涉及合同分包的，乙方</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应</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根据采购文件和投标（响应）文件规定进行</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合同分包。</w:t>
      </w:r>
    </w:p>
    <w:p w14:paraId="4CE8EEC2">
      <w:pPr>
        <w:pageBreakBefore w:val="0"/>
        <w:kinsoku/>
        <w:wordWrap/>
        <w:overflowPunct/>
        <w:topLinePunct w:val="0"/>
        <w:autoSpaceDE w:val="0"/>
        <w:autoSpaceDN w:val="0"/>
        <w:bidi w:val="0"/>
        <w:adjustRightInd w:val="0"/>
        <w:snapToGrid w:val="0"/>
        <w:spacing w:before="0" w:afterAutospacing="0" w:line="560" w:lineRule="exact"/>
        <w:ind w:firstLine="560" w:firstLineChars="200"/>
        <w:jc w:val="lef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1</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.2 乙方执行政府采购政策向中小企业依法分包的</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乙方应当按采购文件</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和</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投标（响应）文件签订分包</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意向</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协议，分包</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意向</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协议属于本合同组成部分。</w:t>
      </w:r>
    </w:p>
    <w:p w14:paraId="6357A820">
      <w:pPr>
        <w:pageBreakBefore w:val="0"/>
        <w:kinsoku/>
        <w:wordWrap/>
        <w:overflowPunct/>
        <w:topLinePunct w:val="0"/>
        <w:autoSpaceDE w:val="0"/>
        <w:autoSpaceDN w:val="0"/>
        <w:bidi w:val="0"/>
        <w:adjustRightInd w:val="0"/>
        <w:snapToGrid w:val="0"/>
        <w:spacing w:before="0" w:afterAutospacing="0" w:line="560" w:lineRule="exact"/>
        <w:jc w:val="left"/>
        <w:textAlignment w:val="auto"/>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eastAsia="zh-CN"/>
          <w14:textFill>
            <w14:solidFill>
              <w14:schemeClr w14:val="tx1"/>
            </w14:solidFill>
          </w14:textFill>
        </w:rPr>
        <w:t>1</w:t>
      </w: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8</w:t>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w:t>
      </w: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不可抗力</w:t>
      </w:r>
    </w:p>
    <w:p w14:paraId="52505BD9">
      <w:pPr>
        <w:pageBreakBefore w:val="0"/>
        <w:kinsoku/>
        <w:wordWrap/>
        <w:overflowPunct/>
        <w:topLinePunct w:val="0"/>
        <w:autoSpaceDE w:val="0"/>
        <w:autoSpaceDN w:val="0"/>
        <w:bidi w:val="0"/>
        <w:adjustRightInd w:val="0"/>
        <w:snapToGrid w:val="0"/>
        <w:spacing w:before="0" w:afterAutospacing="0" w:line="560" w:lineRule="exact"/>
        <w:ind w:firstLine="560" w:firstLineChars="200"/>
        <w:jc w:val="lef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1</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.1 不可抗力是指合同双方不能预见、不能避免且不能克服的客观情况。</w:t>
      </w:r>
    </w:p>
    <w:p w14:paraId="0BC0B383">
      <w:pPr>
        <w:pageBreakBefore w:val="0"/>
        <w:kinsoku/>
        <w:wordWrap/>
        <w:overflowPunct/>
        <w:topLinePunct w:val="0"/>
        <w:autoSpaceDE w:val="0"/>
        <w:autoSpaceDN w:val="0"/>
        <w:bidi w:val="0"/>
        <w:adjustRightInd w:val="0"/>
        <w:snapToGrid w:val="0"/>
        <w:spacing w:before="0" w:afterAutospacing="0" w:line="560" w:lineRule="exact"/>
        <w:ind w:firstLine="560" w:firstLineChars="200"/>
        <w:jc w:val="lef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1</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.2 任何一方对由于不可抗力造成的部分或全部不能履行合同不承担违约责任。但迟延履行后发生不可抗力的，不能免除责任。</w:t>
      </w:r>
    </w:p>
    <w:p w14:paraId="4C7FE33D">
      <w:pPr>
        <w:pageBreakBefore w:val="0"/>
        <w:kinsoku/>
        <w:wordWrap/>
        <w:overflowPunct/>
        <w:topLinePunct w:val="0"/>
        <w:autoSpaceDE w:val="0"/>
        <w:autoSpaceDN w:val="0"/>
        <w:bidi w:val="0"/>
        <w:adjustRightInd w:val="0"/>
        <w:snapToGrid w:val="0"/>
        <w:spacing w:before="0" w:afterAutospacing="0" w:line="560" w:lineRule="exact"/>
        <w:ind w:firstLine="560" w:firstLineChars="200"/>
        <w:jc w:val="lef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1</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.3 遇有不可抗力的一方，应及时将事件情况以书面形式</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告</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知另一方，并在事件发生后及时向另一方提交合同不能履行或部分不能履行或需要延期履行</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的详细</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报告</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，以</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及证明不可抗力发生及其持续时间的证据</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w:t>
      </w:r>
    </w:p>
    <w:p w14:paraId="17710A54">
      <w:pPr>
        <w:pageBreakBefore w:val="0"/>
        <w:kinsoku/>
        <w:wordWrap/>
        <w:overflowPunct/>
        <w:topLinePunct w:val="0"/>
        <w:autoSpaceDE w:val="0"/>
        <w:autoSpaceDN w:val="0"/>
        <w:bidi w:val="0"/>
        <w:adjustRightInd w:val="0"/>
        <w:snapToGrid w:val="0"/>
        <w:spacing w:before="0" w:afterAutospacing="0" w:line="560" w:lineRule="exact"/>
        <w:jc w:val="left"/>
        <w:textAlignment w:val="auto"/>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19</w:t>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w:t>
      </w: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解决争议的方法</w:t>
      </w:r>
    </w:p>
    <w:p w14:paraId="1B34F648">
      <w:pPr>
        <w:pStyle w:val="171"/>
        <w:pageBreakBefore w:val="0"/>
        <w:kinsoku/>
        <w:wordWrap/>
        <w:overflowPunct/>
        <w:topLinePunct w:val="0"/>
        <w:bidi w:val="0"/>
        <w:spacing w:afterAutospacing="0" w:line="560" w:lineRule="exact"/>
        <w:jc w:val="both"/>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19</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.1 因本合同及合同有关事项发生的争议，由</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甲乙双</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方友好协商解决。协商不成时，可以</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向有关组织申请</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调解。合同一方或</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双</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方不愿调解或调解不成的，可以通过仲裁或诉讼的方式解决争议。</w:t>
      </w:r>
    </w:p>
    <w:p w14:paraId="09EAC192">
      <w:pPr>
        <w:pStyle w:val="171"/>
        <w:pageBreakBefore w:val="0"/>
        <w:kinsoku/>
        <w:wordWrap/>
        <w:overflowPunct/>
        <w:topLinePunct w:val="0"/>
        <w:bidi w:val="0"/>
        <w:spacing w:afterAutospacing="0" w:line="560" w:lineRule="exact"/>
        <w:jc w:val="both"/>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19</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.2 选择仲裁的，应在</w:t>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【合同专用条款】</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中明确仲裁机构及仲裁地；通过诉讼方式解决的，可以在</w:t>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【合同专用条款】</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中进一步约定选择与争议有实际联系的地点的人民法院管辖，但管辖法院的约定不得违反级别管辖和专属管辖的规定。</w:t>
      </w:r>
    </w:p>
    <w:p w14:paraId="3A7AB918">
      <w:pPr>
        <w:pStyle w:val="171"/>
        <w:pageBreakBefore w:val="0"/>
        <w:kinsoku/>
        <w:wordWrap/>
        <w:overflowPunct/>
        <w:topLinePunct w:val="0"/>
        <w:bidi w:val="0"/>
        <w:spacing w:afterAutospacing="0" w:line="560" w:lineRule="exact"/>
        <w:jc w:val="both"/>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19</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.3 如</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甲乙双方</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有争议的事项不影响合同其他部分的履行，在争议解决期间，合同其他部分应</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当</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继续履行。</w:t>
      </w:r>
    </w:p>
    <w:p w14:paraId="1EDD43AB">
      <w:pPr>
        <w:pageBreakBefore w:val="0"/>
        <w:kinsoku/>
        <w:wordWrap/>
        <w:overflowPunct/>
        <w:topLinePunct w:val="0"/>
        <w:autoSpaceDE w:val="0"/>
        <w:autoSpaceDN w:val="0"/>
        <w:bidi w:val="0"/>
        <w:adjustRightInd w:val="0"/>
        <w:snapToGrid w:val="0"/>
        <w:spacing w:before="0" w:afterAutospacing="0" w:line="560" w:lineRule="exact"/>
        <w:jc w:val="lef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lang w:val="en-US" w:eastAsia="zh-CN"/>
          <w14:textFill>
            <w14:solidFill>
              <w14:schemeClr w14:val="tx1"/>
            </w14:solidFill>
          </w14:textFill>
        </w:rPr>
        <w:t>20</w:t>
      </w: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w:t>
      </w:r>
      <w:r>
        <w:rPr>
          <w:rFonts w:hint="eastAsia" w:asciiTheme="minorEastAsia" w:hAnsiTheme="minorEastAsia" w:eastAsiaTheme="minorEastAsia" w:cstheme="minorEastAsia"/>
          <w:b/>
          <w:color w:val="000000" w:themeColor="text1"/>
          <w:sz w:val="28"/>
          <w:szCs w:val="28"/>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采购政策</w:t>
      </w:r>
    </w:p>
    <w:p w14:paraId="1A74E293">
      <w:pPr>
        <w:pageBreakBefore w:val="0"/>
        <w:kinsoku/>
        <w:wordWrap/>
        <w:overflowPunct/>
        <w:topLinePunct w:val="0"/>
        <w:autoSpaceDE w:val="0"/>
        <w:autoSpaceDN w:val="0"/>
        <w:bidi w:val="0"/>
        <w:adjustRightInd w:val="0"/>
        <w:snapToGrid w:val="0"/>
        <w:spacing w:before="0" w:afterAutospacing="0" w:line="560" w:lineRule="exact"/>
        <w:ind w:firstLine="560" w:firstLineChars="200"/>
        <w:jc w:val="left"/>
        <w:textAlignment w:val="auto"/>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 xml:space="preserve">20.1 </w:t>
      </w:r>
      <w:r>
        <w:rPr>
          <w:rFonts w:hint="eastAsia" w:asciiTheme="minorEastAsia" w:hAnsiTheme="minorEastAsia" w:eastAsiaTheme="minorEastAsia" w:cstheme="minorEastAsia"/>
          <w:color w:val="000000" w:themeColor="text1"/>
          <w:sz w:val="28"/>
          <w:szCs w:val="28"/>
          <w:highlight w:val="none"/>
          <w:lang w:val="en-GB"/>
          <w14:textFill>
            <w14:solidFill>
              <w14:schemeClr w14:val="tx1"/>
            </w14:solidFill>
          </w14:textFill>
        </w:rPr>
        <w:t>本合同应当按照规定执行政府采购政策。</w:t>
      </w:r>
    </w:p>
    <w:p w14:paraId="0941B044">
      <w:pPr>
        <w:pageBreakBefore w:val="0"/>
        <w:kinsoku/>
        <w:wordWrap/>
        <w:overflowPunct/>
        <w:topLinePunct w:val="0"/>
        <w:autoSpaceDE w:val="0"/>
        <w:autoSpaceDN w:val="0"/>
        <w:bidi w:val="0"/>
        <w:adjustRightInd w:val="0"/>
        <w:snapToGrid w:val="0"/>
        <w:spacing w:before="0" w:afterAutospacing="0" w:line="560" w:lineRule="exact"/>
        <w:ind w:firstLine="560" w:firstLineChars="200"/>
        <w:jc w:val="lef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2</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0</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 xml:space="preserve"> 本合同依法执行政府采购政策的方式和内容，属于合同履约验收的范围。</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甲乙双方</w:t>
      </w:r>
      <w:r>
        <w:rPr>
          <w:rFonts w:hint="eastAsia" w:asciiTheme="minorEastAsia" w:hAnsiTheme="minorEastAsia" w:eastAsiaTheme="minorEastAsia" w:cstheme="minorEastAsia"/>
          <w:color w:val="000000" w:themeColor="text1"/>
          <w:sz w:val="28"/>
          <w:szCs w:val="28"/>
          <w:highlight w:val="none"/>
          <w:lang w:val="en-GB"/>
          <w14:textFill>
            <w14:solidFill>
              <w14:schemeClr w14:val="tx1"/>
            </w14:solidFill>
          </w14:textFill>
        </w:rPr>
        <w:t>未按规定要求执行政府采购政策造成损失的</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，有过错的一方应当承担赔偿责任，双方都有过错的，各自承担相应的责任。</w:t>
      </w:r>
    </w:p>
    <w:p w14:paraId="0E7BDEC1">
      <w:pPr>
        <w:pStyle w:val="13"/>
        <w:pageBreakBefore w:val="0"/>
        <w:kinsoku/>
        <w:wordWrap/>
        <w:overflowPunct/>
        <w:topLinePunct w:val="0"/>
        <w:bidi w:val="0"/>
        <w:spacing w:after="0" w:afterAutospacing="0" w:line="560" w:lineRule="exact"/>
        <w:ind w:firstLine="560" w:firstLineChars="200"/>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2</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0</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 xml:space="preserve"> 对于</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为落实中小企业支持政策，</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通过采购项目</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整体</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预留、</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设置</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28E07E54">
      <w:pPr>
        <w:pageBreakBefore w:val="0"/>
        <w:kinsoku/>
        <w:wordWrap/>
        <w:overflowPunct/>
        <w:topLinePunct w:val="0"/>
        <w:autoSpaceDE w:val="0"/>
        <w:autoSpaceDN w:val="0"/>
        <w:bidi w:val="0"/>
        <w:adjustRightInd w:val="0"/>
        <w:snapToGrid w:val="0"/>
        <w:spacing w:before="0" w:afterAutospacing="0" w:line="560" w:lineRule="exact"/>
        <w:jc w:val="left"/>
        <w:textAlignment w:val="auto"/>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2</w:t>
      </w:r>
      <w:r>
        <w:rPr>
          <w:rFonts w:hint="eastAsia" w:asciiTheme="minorEastAsia" w:hAnsiTheme="minorEastAsia" w:eastAsiaTheme="minorEastAsia" w:cstheme="minorEastAsia"/>
          <w:b/>
          <w:color w:val="000000" w:themeColor="text1"/>
          <w:sz w:val="28"/>
          <w:szCs w:val="28"/>
          <w:highlight w:val="none"/>
          <w:lang w:val="en-US" w:eastAsia="zh-CN"/>
          <w14:textFill>
            <w14:solidFill>
              <w14:schemeClr w14:val="tx1"/>
            </w14:solidFill>
          </w14:textFill>
        </w:rPr>
        <w:t>1</w:t>
      </w: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w:t>
      </w:r>
      <w:r>
        <w:rPr>
          <w:rFonts w:hint="eastAsia" w:asciiTheme="minorEastAsia" w:hAnsiTheme="minorEastAsia" w:eastAsiaTheme="minorEastAsia" w:cstheme="minorEastAsia"/>
          <w:b/>
          <w:color w:val="000000" w:themeColor="text1"/>
          <w:sz w:val="28"/>
          <w:szCs w:val="28"/>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法律适用</w:t>
      </w:r>
    </w:p>
    <w:p w14:paraId="6ABB3C51">
      <w:pPr>
        <w:pStyle w:val="171"/>
        <w:pageBreakBefore w:val="0"/>
        <w:kinsoku/>
        <w:wordWrap/>
        <w:overflowPunct/>
        <w:topLinePunct w:val="0"/>
        <w:bidi w:val="0"/>
        <w:spacing w:afterAutospacing="0" w:line="560" w:lineRule="exact"/>
        <w:jc w:val="both"/>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2</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.1 本合同的订立、生效、解释、履行及与本合同有关的争议解决，均适用法律、行政法规。</w:t>
      </w:r>
    </w:p>
    <w:p w14:paraId="72636F03">
      <w:pPr>
        <w:pStyle w:val="171"/>
        <w:pageBreakBefore w:val="0"/>
        <w:kinsoku/>
        <w:wordWrap/>
        <w:overflowPunct/>
        <w:topLinePunct w:val="0"/>
        <w:bidi w:val="0"/>
        <w:spacing w:afterAutospacing="0" w:line="560" w:lineRule="exact"/>
        <w:jc w:val="both"/>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2</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.2 本合同条款与法律、行政法规的强制性规定不一致的，双方当事人应按照法律、行政法规的强制性规定修改本合同的相关条款。</w:t>
      </w:r>
    </w:p>
    <w:p w14:paraId="53433435">
      <w:pPr>
        <w:pageBreakBefore w:val="0"/>
        <w:numPr>
          <w:ilvl w:val="-1"/>
          <w:numId w:val="0"/>
        </w:numPr>
        <w:kinsoku/>
        <w:wordWrap/>
        <w:overflowPunct/>
        <w:topLinePunct w:val="0"/>
        <w:autoSpaceDE w:val="0"/>
        <w:autoSpaceDN w:val="0"/>
        <w:bidi w:val="0"/>
        <w:adjustRightInd w:val="0"/>
        <w:snapToGrid w:val="0"/>
        <w:spacing w:before="0" w:afterAutospacing="0" w:line="560" w:lineRule="exact"/>
        <w:jc w:val="left"/>
        <w:textAlignment w:val="auto"/>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lang w:val="en-US" w:eastAsia="zh-CN"/>
          <w14:textFill>
            <w14:solidFill>
              <w14:schemeClr w14:val="tx1"/>
            </w14:solidFill>
          </w14:textFill>
        </w:rPr>
        <w:t xml:space="preserve">22. </w:t>
      </w: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通知</w:t>
      </w:r>
    </w:p>
    <w:p w14:paraId="3ADE7F85">
      <w:pPr>
        <w:pStyle w:val="171"/>
        <w:pageBreakBefore w:val="0"/>
        <w:kinsoku/>
        <w:wordWrap/>
        <w:overflowPunct/>
        <w:topLinePunct w:val="0"/>
        <w:bidi w:val="0"/>
        <w:spacing w:afterAutospacing="0" w:line="560" w:lineRule="exact"/>
        <w:jc w:val="both"/>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2</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.1</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本合同任何一方向对方发出的通知、信件、数据电文等，应当发送至本合同第一部分《合同协议书》所约定的通讯地址、联系人、联系电话或电子邮箱。</w:t>
      </w:r>
    </w:p>
    <w:p w14:paraId="2B9C6C56">
      <w:pPr>
        <w:pStyle w:val="171"/>
        <w:pageBreakBefore w:val="0"/>
        <w:kinsoku/>
        <w:wordWrap/>
        <w:overflowPunct/>
        <w:topLinePunct w:val="0"/>
        <w:bidi w:val="0"/>
        <w:spacing w:afterAutospacing="0" w:line="560" w:lineRule="exact"/>
        <w:ind w:firstLine="0" w:firstLineChars="0"/>
        <w:jc w:val="both"/>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2</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.2</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一方当事人变更名称、</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住所</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、联系人、联系电话或电子邮箱</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等信息</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的，应当在变更后3日内及时书面通知对方，对方实际收到变更通知前的送达仍为有效送达。</w:t>
      </w:r>
    </w:p>
    <w:p w14:paraId="6943D2A0">
      <w:pPr>
        <w:pageBreakBefore w:val="0"/>
        <w:kinsoku/>
        <w:wordWrap/>
        <w:overflowPunct/>
        <w:topLinePunct w:val="0"/>
        <w:bidi w:val="0"/>
        <w:adjustRightInd w:val="0"/>
        <w:snapToGrid w:val="0"/>
        <w:spacing w:before="0" w:afterAutospacing="0" w:line="560" w:lineRule="exact"/>
        <w:ind w:firstLine="560" w:firstLineChars="200"/>
        <w:jc w:val="lef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2</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本合同一方给另一方的通知均应采用书面形式，传真或快递送到本合同中规定的对方的地址和办理签收手续。</w:t>
      </w:r>
    </w:p>
    <w:p w14:paraId="5FFC841E">
      <w:pPr>
        <w:pageBreakBefore w:val="0"/>
        <w:kinsoku/>
        <w:wordWrap/>
        <w:overflowPunct/>
        <w:topLinePunct w:val="0"/>
        <w:bidi w:val="0"/>
        <w:adjustRightInd w:val="0"/>
        <w:snapToGrid w:val="0"/>
        <w:spacing w:before="0" w:afterAutospacing="0" w:line="560" w:lineRule="exact"/>
        <w:ind w:firstLine="560" w:firstLineChars="200"/>
        <w:jc w:val="lef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2</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通知以送达之日或通知书中规定的生效之日起生效，两者中以较迟之日为准。</w:t>
      </w:r>
    </w:p>
    <w:p w14:paraId="2549B9CC">
      <w:pPr>
        <w:pageBreakBefore w:val="0"/>
        <w:numPr>
          <w:ilvl w:val="0"/>
          <w:numId w:val="10"/>
        </w:numPr>
        <w:kinsoku/>
        <w:wordWrap/>
        <w:overflowPunct/>
        <w:topLinePunct w:val="0"/>
        <w:bidi w:val="0"/>
        <w:adjustRightInd w:val="0"/>
        <w:snapToGrid w:val="0"/>
        <w:spacing w:before="0" w:afterAutospacing="0" w:line="560" w:lineRule="exact"/>
        <w:jc w:val="left"/>
        <w:textAlignment w:val="auto"/>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合同未尽事项</w:t>
      </w:r>
    </w:p>
    <w:p w14:paraId="4B7F01E4">
      <w:pPr>
        <w:pageBreakBefore w:val="0"/>
        <w:kinsoku/>
        <w:wordWrap/>
        <w:overflowPunct/>
        <w:topLinePunct w:val="0"/>
        <w:bidi w:val="0"/>
        <w:adjustRightInd w:val="0"/>
        <w:snapToGrid w:val="0"/>
        <w:spacing w:before="0" w:afterAutospacing="0" w:line="560" w:lineRule="exact"/>
        <w:ind w:firstLine="560" w:firstLineChars="200"/>
        <w:jc w:val="left"/>
        <w:textAlignment w:val="auto"/>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2</w:t>
      </w:r>
      <w:r>
        <w:rPr>
          <w:rFonts w:hint="eastAsia" w:asciiTheme="minorEastAsia" w:hAnsiTheme="minorEastAsia" w:eastAsiaTheme="minorEastAsia" w:cstheme="minorEastAsia"/>
          <w:bCs/>
          <w:color w:val="000000" w:themeColor="text1"/>
          <w:sz w:val="28"/>
          <w:szCs w:val="28"/>
          <w:highlight w:val="none"/>
          <w:lang w:val="en-US" w:eastAsia="zh-CN"/>
          <w14:textFill>
            <w14:solidFill>
              <w14:schemeClr w14:val="tx1"/>
            </w14:solidFill>
          </w14:textFill>
        </w:rPr>
        <w:t>3</w:t>
      </w: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.1合同未尽事项见</w:t>
      </w: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【合同专用条款】</w:t>
      </w: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w:t>
      </w:r>
    </w:p>
    <w:p w14:paraId="247A5B0A">
      <w:pPr>
        <w:pageBreakBefore w:val="0"/>
        <w:kinsoku/>
        <w:wordWrap/>
        <w:overflowPunct/>
        <w:topLinePunct w:val="0"/>
        <w:bidi w:val="0"/>
        <w:adjustRightInd w:val="0"/>
        <w:snapToGrid w:val="0"/>
        <w:spacing w:afterAutospacing="0" w:line="560" w:lineRule="exact"/>
        <w:ind w:firstLine="0" w:firstLineChars="0"/>
        <w:jc w:val="lef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8"/>
          <w:szCs w:val="28"/>
          <w:highlight w:val="none"/>
          <w:lang w:val="en-US" w:eastAsia="zh-CN"/>
          <w14:textFill>
            <w14:solidFill>
              <w14:schemeClr w14:val="tx1"/>
            </w14:solidFill>
          </w14:textFill>
        </w:rPr>
        <w:t xml:space="preserve">    23.2 合同附件与合同正文具有同等的法律效力。</w:t>
      </w:r>
      <w:bookmarkStart w:id="218" w:name="_Toc20313"/>
    </w:p>
    <w:p w14:paraId="47C7851B">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b w:val="0"/>
          <w:bCs w:val="0"/>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8"/>
          <w:szCs w:val="28"/>
          <w:highlight w:val="none"/>
          <w14:textFill>
            <w14:solidFill>
              <w14:schemeClr w14:val="tx1"/>
            </w14:solidFill>
          </w14:textFill>
        </w:rPr>
        <w:br w:type="page"/>
      </w:r>
    </w:p>
    <w:p w14:paraId="749B96E3">
      <w:pPr>
        <w:pStyle w:val="3"/>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b w:val="0"/>
          <w:bCs w:val="0"/>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8"/>
          <w:szCs w:val="28"/>
          <w:highlight w:val="none"/>
          <w14:textFill>
            <w14:solidFill>
              <w14:schemeClr w14:val="tx1"/>
            </w14:solidFill>
          </w14:textFill>
        </w:rPr>
        <w:t>第三节 合同专用条款</w:t>
      </w:r>
      <w:bookmarkEnd w:id="218"/>
    </w:p>
    <w:tbl>
      <w:tblPr>
        <w:tblStyle w:val="34"/>
        <w:tblW w:w="9278"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750"/>
        <w:gridCol w:w="1897"/>
        <w:gridCol w:w="5631"/>
      </w:tblGrid>
      <w:tr w14:paraId="3564B7F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750" w:type="dxa"/>
            <w:vAlign w:val="center"/>
          </w:tcPr>
          <w:p w14:paraId="28F66E02">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第二节</w:t>
            </w:r>
          </w:p>
          <w:p w14:paraId="66D284A0">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第</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4.6款</w:t>
            </w:r>
          </w:p>
        </w:tc>
        <w:tc>
          <w:tcPr>
            <w:tcW w:w="1897" w:type="dxa"/>
            <w:vAlign w:val="center"/>
          </w:tcPr>
          <w:p w14:paraId="255DE635">
            <w:pPr>
              <w:pageBreakBefore w:val="0"/>
              <w:kinsoku/>
              <w:wordWrap/>
              <w:overflowPunct/>
              <w:topLinePunct w:val="0"/>
              <w:bidi w:val="0"/>
              <w:adjustRightInd w:val="0"/>
              <w:snapToGrid w:val="0"/>
              <w:spacing w:afterAutospacing="0" w:line="560" w:lineRule="exact"/>
              <w:jc w:val="left"/>
              <w:textAlignment w:val="auto"/>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约定甲方承担的其他义务和责任</w:t>
            </w:r>
          </w:p>
        </w:tc>
        <w:tc>
          <w:tcPr>
            <w:tcW w:w="5631" w:type="dxa"/>
            <w:vAlign w:val="center"/>
          </w:tcPr>
          <w:p w14:paraId="711774D4">
            <w:pPr>
              <w:pageBreakBefore w:val="0"/>
              <w:kinsoku/>
              <w:wordWrap/>
              <w:overflowPunct/>
              <w:topLinePunct w:val="0"/>
              <w:bidi w:val="0"/>
              <w:adjustRightInd w:val="0"/>
              <w:snapToGrid w:val="0"/>
              <w:spacing w:afterAutospacing="0" w:line="560" w:lineRule="exact"/>
              <w:jc w:val="left"/>
              <w:textAlignment w:val="auto"/>
              <w:rPr>
                <w:rFonts w:hint="eastAsia" w:asciiTheme="minorEastAsia" w:hAnsiTheme="minorEastAsia" w:eastAsiaTheme="minorEastAsia" w:cstheme="minorEastAsia"/>
                <w:color w:val="000000" w:themeColor="text1"/>
                <w:kern w:val="2"/>
                <w:sz w:val="28"/>
                <w:szCs w:val="28"/>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8"/>
                <w:szCs w:val="28"/>
                <w:highlight w:val="none"/>
                <w:lang w:val="en-US" w:eastAsia="zh-CN" w:bidi="ar-SA"/>
                <w14:textFill>
                  <w14:solidFill>
                    <w14:schemeClr w14:val="tx1"/>
                  </w14:solidFill>
                </w14:textFill>
              </w:rPr>
              <w:t>/</w:t>
            </w:r>
          </w:p>
        </w:tc>
      </w:tr>
      <w:tr w14:paraId="2E441F6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750" w:type="dxa"/>
            <w:vAlign w:val="center"/>
          </w:tcPr>
          <w:p w14:paraId="23A7B0F9">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第二节</w:t>
            </w:r>
          </w:p>
          <w:p w14:paraId="27E397E7">
            <w:pPr>
              <w:pageBreakBefore w:val="0"/>
              <w:kinsoku/>
              <w:wordWrap/>
              <w:overflowPunct/>
              <w:topLinePunct w:val="0"/>
              <w:bidi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第</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5.4款</w:t>
            </w:r>
          </w:p>
        </w:tc>
        <w:tc>
          <w:tcPr>
            <w:tcW w:w="1897" w:type="dxa"/>
            <w:vAlign w:val="center"/>
          </w:tcPr>
          <w:p w14:paraId="43D1F387">
            <w:pPr>
              <w:pageBreakBefore w:val="0"/>
              <w:kinsoku/>
              <w:wordWrap/>
              <w:overflowPunct/>
              <w:topLinePunct w:val="0"/>
              <w:bidi w:val="0"/>
              <w:adjustRightInd w:val="0"/>
              <w:snapToGrid w:val="0"/>
              <w:spacing w:afterAutospacing="0" w:line="560" w:lineRule="exact"/>
              <w:jc w:val="left"/>
              <w:textAlignment w:val="auto"/>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约定乙方承担的其他义务和责任</w:t>
            </w:r>
          </w:p>
        </w:tc>
        <w:tc>
          <w:tcPr>
            <w:tcW w:w="5631" w:type="dxa"/>
            <w:vAlign w:val="center"/>
          </w:tcPr>
          <w:p w14:paraId="2E0F2C1A">
            <w:pPr>
              <w:pageBreakBefore w:val="0"/>
              <w:kinsoku/>
              <w:wordWrap/>
              <w:overflowPunct/>
              <w:topLinePunct w:val="0"/>
              <w:bidi w:val="0"/>
              <w:adjustRightInd w:val="0"/>
              <w:snapToGrid w:val="0"/>
              <w:spacing w:afterAutospacing="0" w:line="560" w:lineRule="exact"/>
              <w:jc w:val="left"/>
              <w:textAlignment w:val="auto"/>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1、在质保期内，乙方需提供免费的维修及零配件更换，乙方有义务向甲方提供合同项下设备的终生技术支持，包括技术咨询及技术人员的支持和零配件在设备使用寿命内的供应保证，更换配件的质保期应从更换之日起另行计算。</w:t>
            </w:r>
          </w:p>
          <w:p w14:paraId="747BC0F8">
            <w:pPr>
              <w:pageBreakBefore w:val="0"/>
              <w:kinsoku/>
              <w:wordWrap/>
              <w:overflowPunct/>
              <w:topLinePunct w:val="0"/>
              <w:bidi w:val="0"/>
              <w:adjustRightInd w:val="0"/>
              <w:snapToGrid w:val="0"/>
              <w:spacing w:afterAutospacing="0" w:line="560" w:lineRule="exact"/>
              <w:jc w:val="left"/>
              <w:textAlignment w:val="auto"/>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2、在甲方发出要求服务通知的24小时内，乙方指派的服务人员必须到达用户方现场，对设备出现的较大的问题，解决时间不超过2个日历日。</w:t>
            </w:r>
          </w:p>
          <w:p w14:paraId="79561660">
            <w:pPr>
              <w:pageBreakBefore w:val="0"/>
              <w:kinsoku/>
              <w:wordWrap/>
              <w:overflowPunct/>
              <w:topLinePunct w:val="0"/>
              <w:bidi w:val="0"/>
              <w:adjustRightInd w:val="0"/>
              <w:snapToGrid w:val="0"/>
              <w:spacing w:afterAutospacing="0" w:line="560" w:lineRule="exact"/>
              <w:jc w:val="left"/>
              <w:textAlignment w:val="auto"/>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3、如设备维修调试后达不到合同规定的质量或技术指标要求，甲方有权提出退货，并要求乙方退回货款。</w:t>
            </w:r>
          </w:p>
          <w:p w14:paraId="7F31D475">
            <w:pPr>
              <w:pageBreakBefore w:val="0"/>
              <w:kinsoku/>
              <w:wordWrap/>
              <w:overflowPunct/>
              <w:topLinePunct w:val="0"/>
              <w:bidi w:val="0"/>
              <w:adjustRightInd w:val="0"/>
              <w:snapToGrid w:val="0"/>
              <w:spacing w:afterAutospacing="0" w:line="560" w:lineRule="exact"/>
              <w:jc w:val="left"/>
              <w:textAlignment w:val="auto"/>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4、对于隐蔽性的、合理的检查和试验都不能发觉的缺陷，即使质量保证期已过，由于其产品本身的设计缺陷、制造缺陷、安装缺陷造成的故障，仍由乙方免费负责维修、更换。</w:t>
            </w:r>
          </w:p>
          <w:p w14:paraId="24CC7626">
            <w:pPr>
              <w:pStyle w:val="171"/>
              <w:pageBreakBefore w:val="0"/>
              <w:kinsoku/>
              <w:wordWrap/>
              <w:overflowPunct/>
              <w:topLinePunct w:val="0"/>
              <w:bidi w:val="0"/>
              <w:spacing w:afterAutospacing="0" w:line="560" w:lineRule="exact"/>
              <w:ind w:left="0" w:leftChars="0" w:firstLine="0" w:firstLineChars="0"/>
              <w:textAlignment w:val="auto"/>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8"/>
                <w:szCs w:val="28"/>
                <w:highlight w:val="none"/>
                <w:lang w:val="en-US" w:eastAsia="zh-CN" w:bidi="ar-SA"/>
                <w14:textFill>
                  <w14:solidFill>
                    <w14:schemeClr w14:val="tx1"/>
                  </w14:solidFill>
                </w14:textFill>
              </w:rPr>
              <w:t>5、质保期外，终身维修，定期保养，最优惠提供零配件、易损件和耗材。</w:t>
            </w:r>
          </w:p>
        </w:tc>
      </w:tr>
      <w:tr w14:paraId="765D44A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750" w:type="dxa"/>
            <w:vAlign w:val="center"/>
          </w:tcPr>
          <w:p w14:paraId="323A3BF5">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第二节</w:t>
            </w:r>
          </w:p>
          <w:p w14:paraId="0BC435F0">
            <w:pPr>
              <w:pageBreakBefore w:val="0"/>
              <w:kinsoku/>
              <w:wordWrap/>
              <w:overflowPunct/>
              <w:topLinePunct w:val="0"/>
              <w:bidi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第</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6.1款</w:t>
            </w:r>
          </w:p>
        </w:tc>
        <w:tc>
          <w:tcPr>
            <w:tcW w:w="1897" w:type="dxa"/>
            <w:vAlign w:val="center"/>
          </w:tcPr>
          <w:p w14:paraId="0048B285">
            <w:pPr>
              <w:pageBreakBefore w:val="0"/>
              <w:kinsoku/>
              <w:wordWrap/>
              <w:overflowPunct/>
              <w:topLinePunct w:val="0"/>
              <w:bidi w:val="0"/>
              <w:adjustRightInd w:val="0"/>
              <w:snapToGrid w:val="0"/>
              <w:spacing w:afterAutospacing="0" w:line="560" w:lineRule="exact"/>
              <w:jc w:val="left"/>
              <w:textAlignment w:val="auto"/>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履行合同义务的顺序</w:t>
            </w:r>
          </w:p>
        </w:tc>
        <w:tc>
          <w:tcPr>
            <w:tcW w:w="5631" w:type="dxa"/>
            <w:vAlign w:val="center"/>
          </w:tcPr>
          <w:p w14:paraId="3CBBBFCD">
            <w:pPr>
              <w:pageBreakBefore w:val="0"/>
              <w:kinsoku/>
              <w:wordWrap/>
              <w:overflowPunct/>
              <w:topLinePunct w:val="0"/>
              <w:bidi w:val="0"/>
              <w:adjustRightInd w:val="0"/>
              <w:snapToGrid w:val="0"/>
              <w:spacing w:afterAutospacing="0" w:line="560" w:lineRule="exact"/>
              <w:jc w:val="left"/>
              <w:textAlignment w:val="auto"/>
              <w:rPr>
                <w:rFonts w:hint="eastAsia" w:asciiTheme="minorEastAsia" w:hAnsiTheme="minorEastAsia" w:eastAsiaTheme="minorEastAsia" w:cstheme="minorEastAsia"/>
                <w:color w:val="000000" w:themeColor="text1"/>
                <w:kern w:val="2"/>
                <w:sz w:val="28"/>
                <w:szCs w:val="28"/>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8"/>
                <w:szCs w:val="28"/>
                <w:highlight w:val="none"/>
                <w:lang w:val="en-US" w:eastAsia="zh-CN" w:bidi="ar-SA"/>
                <w14:textFill>
                  <w14:solidFill>
                    <w14:schemeClr w14:val="tx1"/>
                  </w14:solidFill>
                </w14:textFill>
              </w:rPr>
              <w:t>/</w:t>
            </w:r>
          </w:p>
        </w:tc>
      </w:tr>
      <w:tr w14:paraId="74A3ADE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750" w:type="dxa"/>
            <w:vMerge w:val="restart"/>
            <w:vAlign w:val="center"/>
          </w:tcPr>
          <w:p w14:paraId="6CE9ECD2">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第二节</w:t>
            </w:r>
          </w:p>
          <w:p w14:paraId="6791DAA4">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第</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.1</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款</w:t>
            </w:r>
          </w:p>
        </w:tc>
        <w:tc>
          <w:tcPr>
            <w:tcW w:w="1897" w:type="dxa"/>
            <w:vAlign w:val="center"/>
          </w:tcPr>
          <w:p w14:paraId="78DB0B8E">
            <w:pPr>
              <w:pageBreakBefore w:val="0"/>
              <w:kinsoku/>
              <w:wordWrap/>
              <w:overflowPunct/>
              <w:topLinePunct w:val="0"/>
              <w:bidi w:val="0"/>
              <w:adjustRightInd w:val="0"/>
              <w:snapToGrid w:val="0"/>
              <w:spacing w:afterAutospacing="0" w:line="560" w:lineRule="exact"/>
              <w:jc w:val="lef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包装</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特殊要求</w:t>
            </w:r>
          </w:p>
        </w:tc>
        <w:tc>
          <w:tcPr>
            <w:tcW w:w="5631" w:type="dxa"/>
            <w:vAlign w:val="center"/>
          </w:tcPr>
          <w:p w14:paraId="5F593BB6">
            <w:pPr>
              <w:pageBreakBefore w:val="0"/>
              <w:kinsoku/>
              <w:wordWrap/>
              <w:overflowPunct/>
              <w:topLinePunct w:val="0"/>
              <w:bidi w:val="0"/>
              <w:spacing w:afterAutospacing="0" w:line="560" w:lineRule="exac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乙方必须提供未经使用的全新产品，采用厂家原装包装。由于包装不善所发生的一切费用和损失，由乙方负担。</w:t>
            </w:r>
          </w:p>
        </w:tc>
      </w:tr>
      <w:tr w14:paraId="66DFA55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750" w:type="dxa"/>
            <w:vMerge w:val="continue"/>
            <w:vAlign w:val="center"/>
          </w:tcPr>
          <w:p w14:paraId="77A3DD2E">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p>
        </w:tc>
        <w:tc>
          <w:tcPr>
            <w:tcW w:w="1897" w:type="dxa"/>
            <w:vAlign w:val="center"/>
          </w:tcPr>
          <w:p w14:paraId="4F8F5A13">
            <w:pPr>
              <w:pageBreakBefore w:val="0"/>
              <w:kinsoku/>
              <w:wordWrap/>
              <w:overflowPunct/>
              <w:topLinePunct w:val="0"/>
              <w:bidi w:val="0"/>
              <w:adjustRightInd w:val="0"/>
              <w:snapToGrid w:val="0"/>
              <w:spacing w:afterAutospacing="0" w:line="560" w:lineRule="exact"/>
              <w:jc w:val="left"/>
              <w:textAlignment w:val="auto"/>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指定现场</w:t>
            </w:r>
          </w:p>
        </w:tc>
        <w:tc>
          <w:tcPr>
            <w:tcW w:w="5631" w:type="dxa"/>
            <w:vAlign w:val="center"/>
          </w:tcPr>
          <w:p w14:paraId="55D7BADE">
            <w:pPr>
              <w:pageBreakBefore w:val="0"/>
              <w:kinsoku/>
              <w:wordWrap/>
              <w:overflowPunct/>
              <w:topLinePunct w:val="0"/>
              <w:bidi w:val="0"/>
              <w:spacing w:afterAutospacing="0" w:line="560" w:lineRule="exact"/>
              <w:textAlignment w:val="auto"/>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甲方指定地点</w:t>
            </w:r>
          </w:p>
        </w:tc>
      </w:tr>
      <w:tr w14:paraId="696C415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750" w:type="dxa"/>
            <w:vAlign w:val="center"/>
          </w:tcPr>
          <w:p w14:paraId="291D21D8">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第二节</w:t>
            </w:r>
          </w:p>
          <w:p w14:paraId="049E6B05">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第</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.2</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款</w:t>
            </w:r>
          </w:p>
        </w:tc>
        <w:tc>
          <w:tcPr>
            <w:tcW w:w="1897" w:type="dxa"/>
            <w:vAlign w:val="center"/>
          </w:tcPr>
          <w:p w14:paraId="1F52F075">
            <w:pPr>
              <w:pageBreakBefore w:val="0"/>
              <w:kinsoku/>
              <w:wordWrap/>
              <w:overflowPunct/>
              <w:topLinePunct w:val="0"/>
              <w:bidi w:val="0"/>
              <w:adjustRightInd w:val="0"/>
              <w:snapToGrid w:val="0"/>
              <w:spacing w:afterAutospacing="0" w:line="560" w:lineRule="exact"/>
              <w:jc w:val="left"/>
              <w:textAlignment w:val="auto"/>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运输特殊要求</w:t>
            </w:r>
          </w:p>
        </w:tc>
        <w:tc>
          <w:tcPr>
            <w:tcW w:w="5631" w:type="dxa"/>
            <w:vAlign w:val="center"/>
          </w:tcPr>
          <w:p w14:paraId="6F3A6425">
            <w:pPr>
              <w:pageBreakBefore w:val="0"/>
              <w:kinsoku/>
              <w:wordWrap/>
              <w:overflowPunct/>
              <w:topLinePunct w:val="0"/>
              <w:bidi w:val="0"/>
              <w:spacing w:afterAutospacing="0" w:line="560" w:lineRule="exact"/>
              <w:textAlignment w:val="auto"/>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w:t>
            </w:r>
          </w:p>
        </w:tc>
      </w:tr>
      <w:tr w14:paraId="1B43EA9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750" w:type="dxa"/>
            <w:vAlign w:val="center"/>
          </w:tcPr>
          <w:p w14:paraId="3DED2FD1">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第二节</w:t>
            </w:r>
          </w:p>
          <w:p w14:paraId="21CEBABE">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第</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.3</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款</w:t>
            </w:r>
          </w:p>
        </w:tc>
        <w:tc>
          <w:tcPr>
            <w:tcW w:w="1897" w:type="dxa"/>
            <w:vAlign w:val="center"/>
          </w:tcPr>
          <w:p w14:paraId="534F48F9">
            <w:pPr>
              <w:pageBreakBefore w:val="0"/>
              <w:kinsoku/>
              <w:wordWrap/>
              <w:overflowPunct/>
              <w:topLinePunct w:val="0"/>
              <w:bidi w:val="0"/>
              <w:adjustRightInd w:val="0"/>
              <w:snapToGrid w:val="0"/>
              <w:spacing w:afterAutospacing="0" w:line="560" w:lineRule="exact"/>
              <w:jc w:val="left"/>
              <w:textAlignment w:val="auto"/>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保险要求</w:t>
            </w:r>
          </w:p>
        </w:tc>
        <w:tc>
          <w:tcPr>
            <w:tcW w:w="5631" w:type="dxa"/>
            <w:vAlign w:val="center"/>
          </w:tcPr>
          <w:p w14:paraId="429363D8">
            <w:pPr>
              <w:pageBreakBefore w:val="0"/>
              <w:kinsoku/>
              <w:wordWrap/>
              <w:overflowPunct/>
              <w:topLinePunct w:val="0"/>
              <w:bidi w:val="0"/>
              <w:spacing w:afterAutospacing="0" w:line="560" w:lineRule="exact"/>
              <w:textAlignment w:val="auto"/>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w:t>
            </w:r>
          </w:p>
        </w:tc>
      </w:tr>
      <w:tr w14:paraId="2AD525B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750" w:type="dxa"/>
            <w:vAlign w:val="center"/>
          </w:tcPr>
          <w:p w14:paraId="013BA67C">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第二节</w:t>
            </w:r>
          </w:p>
          <w:p w14:paraId="22E5984E">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第</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.2（1）项</w:t>
            </w:r>
          </w:p>
        </w:tc>
        <w:tc>
          <w:tcPr>
            <w:tcW w:w="1897" w:type="dxa"/>
            <w:vAlign w:val="center"/>
          </w:tcPr>
          <w:p w14:paraId="70A7B83B">
            <w:pPr>
              <w:pageBreakBefore w:val="0"/>
              <w:kinsoku/>
              <w:wordWrap/>
              <w:overflowPunct/>
              <w:topLinePunct w:val="0"/>
              <w:bidi w:val="0"/>
              <w:adjustRightInd w:val="0"/>
              <w:snapToGrid w:val="0"/>
              <w:spacing w:afterAutospacing="0" w:line="560" w:lineRule="exact"/>
              <w:jc w:val="lef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质量保证期</w:t>
            </w:r>
          </w:p>
        </w:tc>
        <w:tc>
          <w:tcPr>
            <w:tcW w:w="5631" w:type="dxa"/>
            <w:vAlign w:val="center"/>
          </w:tcPr>
          <w:p w14:paraId="0B1C93AB">
            <w:pPr>
              <w:pageBreakBefore w:val="0"/>
              <w:kinsoku/>
              <w:wordWrap/>
              <w:overflowPunct/>
              <w:topLinePunct w:val="0"/>
              <w:autoSpaceDE w:val="0"/>
              <w:autoSpaceDN w:val="0"/>
              <w:bidi w:val="0"/>
              <w:adjustRightInd w:val="0"/>
              <w:snapToGrid w:val="0"/>
              <w:spacing w:afterAutospacing="0" w:line="560" w:lineRule="exact"/>
              <w:jc w:val="left"/>
              <w:textAlignment w:val="auto"/>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自货物验收合格之日起   年。</w:t>
            </w:r>
          </w:p>
        </w:tc>
      </w:tr>
      <w:tr w14:paraId="66409A9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750" w:type="dxa"/>
            <w:vAlign w:val="center"/>
          </w:tcPr>
          <w:p w14:paraId="5AF5B403">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第二节</w:t>
            </w:r>
          </w:p>
          <w:p w14:paraId="73888BA3">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第</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.2（3）项</w:t>
            </w:r>
          </w:p>
        </w:tc>
        <w:tc>
          <w:tcPr>
            <w:tcW w:w="1897" w:type="dxa"/>
            <w:vAlign w:val="center"/>
          </w:tcPr>
          <w:p w14:paraId="240D0F69">
            <w:pPr>
              <w:pageBreakBefore w:val="0"/>
              <w:kinsoku/>
              <w:wordWrap/>
              <w:overflowPunct/>
              <w:topLinePunct w:val="0"/>
              <w:bidi w:val="0"/>
              <w:adjustRightInd w:val="0"/>
              <w:snapToGrid w:val="0"/>
              <w:spacing w:afterAutospacing="0" w:line="560" w:lineRule="exact"/>
              <w:jc w:val="left"/>
              <w:textAlignment w:val="auto"/>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货物质量缺陷</w:t>
            </w:r>
          </w:p>
          <w:p w14:paraId="3AD35CAF">
            <w:pPr>
              <w:pageBreakBefore w:val="0"/>
              <w:kinsoku/>
              <w:wordWrap/>
              <w:overflowPunct/>
              <w:topLinePunct w:val="0"/>
              <w:bidi w:val="0"/>
              <w:adjustRightInd w:val="0"/>
              <w:snapToGrid w:val="0"/>
              <w:spacing w:afterAutospacing="0" w:line="560" w:lineRule="exact"/>
              <w:jc w:val="lef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响应时间</w:t>
            </w:r>
          </w:p>
        </w:tc>
        <w:tc>
          <w:tcPr>
            <w:tcW w:w="5631" w:type="dxa"/>
            <w:vAlign w:val="center"/>
          </w:tcPr>
          <w:p w14:paraId="12EF6447">
            <w:pPr>
              <w:pageBreakBefore w:val="0"/>
              <w:kinsoku/>
              <w:wordWrap/>
              <w:overflowPunct/>
              <w:topLinePunct w:val="0"/>
              <w:bidi w:val="0"/>
              <w:adjustRightInd w:val="0"/>
              <w:snapToGrid w:val="0"/>
              <w:spacing w:afterAutospacing="0" w:line="560" w:lineRule="exact"/>
              <w:jc w:val="both"/>
              <w:textAlignment w:val="auto"/>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收到甲方通知起一日内。</w:t>
            </w:r>
          </w:p>
        </w:tc>
      </w:tr>
      <w:tr w14:paraId="798779C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750" w:type="dxa"/>
            <w:vAlign w:val="center"/>
          </w:tcPr>
          <w:p w14:paraId="3FD1E800">
            <w:pPr>
              <w:pageBreakBefore w:val="0"/>
              <w:kinsoku/>
              <w:wordWrap/>
              <w:overflowPunct/>
              <w:topLinePunct w:val="0"/>
              <w:bidi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第二节</w:t>
            </w:r>
          </w:p>
          <w:p w14:paraId="298455AF">
            <w:pPr>
              <w:pStyle w:val="171"/>
              <w:pageBreakBefore w:val="0"/>
              <w:kinsoku/>
              <w:wordWrap/>
              <w:overflowPunct/>
              <w:topLinePunct w:val="0"/>
              <w:bidi w:val="0"/>
              <w:spacing w:afterAutospacing="0" w:line="560" w:lineRule="exact"/>
              <w:ind w:firstLine="0" w:firstLineChars="0"/>
              <w:jc w:val="center"/>
              <w:textAlignment w:val="auto"/>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第11.1款</w:t>
            </w:r>
          </w:p>
        </w:tc>
        <w:tc>
          <w:tcPr>
            <w:tcW w:w="1897" w:type="dxa"/>
            <w:vAlign w:val="center"/>
          </w:tcPr>
          <w:p w14:paraId="34A91415">
            <w:pPr>
              <w:pageBreakBefore w:val="0"/>
              <w:kinsoku/>
              <w:wordWrap/>
              <w:overflowPunct/>
              <w:topLinePunct w:val="0"/>
              <w:bidi w:val="0"/>
              <w:adjustRightInd w:val="0"/>
              <w:snapToGrid w:val="0"/>
              <w:spacing w:afterAutospacing="0" w:line="560" w:lineRule="exact"/>
              <w:jc w:val="both"/>
              <w:textAlignment w:val="auto"/>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其他应当保密的信息</w:t>
            </w:r>
          </w:p>
        </w:tc>
        <w:tc>
          <w:tcPr>
            <w:tcW w:w="5631" w:type="dxa"/>
            <w:vAlign w:val="center"/>
          </w:tcPr>
          <w:p w14:paraId="4B7C5046">
            <w:pPr>
              <w:pageBreakBefore w:val="0"/>
              <w:kinsoku/>
              <w:wordWrap/>
              <w:overflowPunct/>
              <w:topLinePunct w:val="0"/>
              <w:bidi w:val="0"/>
              <w:adjustRightInd w:val="0"/>
              <w:snapToGrid w:val="0"/>
              <w:spacing w:afterAutospacing="0" w:line="560" w:lineRule="exact"/>
              <w:jc w:val="left"/>
              <w:textAlignment w:val="auto"/>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w:t>
            </w:r>
          </w:p>
        </w:tc>
      </w:tr>
      <w:tr w14:paraId="5771919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750" w:type="dxa"/>
            <w:vAlign w:val="center"/>
          </w:tcPr>
          <w:p w14:paraId="16DE6937">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第二节</w:t>
            </w:r>
          </w:p>
          <w:p w14:paraId="500A9DFC">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第1</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.2款</w:t>
            </w:r>
          </w:p>
        </w:tc>
        <w:tc>
          <w:tcPr>
            <w:tcW w:w="1897" w:type="dxa"/>
            <w:vAlign w:val="center"/>
          </w:tcPr>
          <w:p w14:paraId="667D912B">
            <w:pPr>
              <w:pageBreakBefore w:val="0"/>
              <w:kinsoku/>
              <w:wordWrap/>
              <w:overflowPunct/>
              <w:topLinePunct w:val="0"/>
              <w:bidi w:val="0"/>
              <w:adjustRightInd w:val="0"/>
              <w:snapToGrid w:val="0"/>
              <w:spacing w:afterAutospacing="0" w:line="560" w:lineRule="exact"/>
              <w:jc w:val="left"/>
              <w:textAlignment w:val="auto"/>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合同价款支付</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时间</w:t>
            </w:r>
          </w:p>
        </w:tc>
        <w:tc>
          <w:tcPr>
            <w:tcW w:w="5631" w:type="dxa"/>
            <w:vAlign w:val="center"/>
          </w:tcPr>
          <w:p w14:paraId="7FD662D4">
            <w:pPr>
              <w:pageBreakBefore w:val="0"/>
              <w:kinsoku/>
              <w:wordWrap/>
              <w:overflowPunct/>
              <w:topLinePunct w:val="0"/>
              <w:bidi w:val="0"/>
              <w:adjustRightInd w:val="0"/>
              <w:snapToGrid w:val="0"/>
              <w:spacing w:afterAutospacing="0" w:line="560" w:lineRule="exact"/>
              <w:jc w:val="left"/>
              <w:textAlignment w:val="auto"/>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符合合同价款支付条件，乙方开具合法有效的发票后30日内支付。</w:t>
            </w:r>
          </w:p>
        </w:tc>
      </w:tr>
      <w:tr w14:paraId="488F02E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750" w:type="dxa"/>
            <w:vAlign w:val="center"/>
          </w:tcPr>
          <w:p w14:paraId="733A88AE">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第二节</w:t>
            </w:r>
          </w:p>
          <w:p w14:paraId="5AE7665F">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第</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13.2</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款</w:t>
            </w:r>
          </w:p>
        </w:tc>
        <w:tc>
          <w:tcPr>
            <w:tcW w:w="1897" w:type="dxa"/>
            <w:vAlign w:val="center"/>
          </w:tcPr>
          <w:p w14:paraId="790EE703">
            <w:pPr>
              <w:pageBreakBefore w:val="0"/>
              <w:kinsoku/>
              <w:wordWrap/>
              <w:overflowPunct/>
              <w:topLinePunct w:val="0"/>
              <w:bidi w:val="0"/>
              <w:adjustRightInd w:val="0"/>
              <w:snapToGrid w:val="0"/>
              <w:spacing w:afterAutospacing="0" w:line="560" w:lineRule="exact"/>
              <w:jc w:val="left"/>
              <w:textAlignment w:val="auto"/>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履约保证金不予退还的情形</w:t>
            </w:r>
          </w:p>
        </w:tc>
        <w:tc>
          <w:tcPr>
            <w:tcW w:w="5631" w:type="dxa"/>
            <w:vAlign w:val="center"/>
          </w:tcPr>
          <w:p w14:paraId="0EF9426C">
            <w:pPr>
              <w:pageBreakBefore w:val="0"/>
              <w:kinsoku/>
              <w:wordWrap/>
              <w:overflowPunct/>
              <w:topLinePunct w:val="0"/>
              <w:bidi w:val="0"/>
              <w:adjustRightInd w:val="0"/>
              <w:snapToGrid w:val="0"/>
              <w:spacing w:afterAutospacing="0" w:line="560" w:lineRule="exact"/>
              <w:jc w:val="left"/>
              <w:textAlignment w:val="auto"/>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因乙方原因，造成货物在质保期内不能正常使用，且乙方未在规定时间进行维修、更换。</w:t>
            </w:r>
          </w:p>
        </w:tc>
      </w:tr>
      <w:tr w14:paraId="754A55F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750" w:type="dxa"/>
            <w:vAlign w:val="center"/>
          </w:tcPr>
          <w:p w14:paraId="21844860">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第二节</w:t>
            </w:r>
          </w:p>
          <w:p w14:paraId="71F677C5">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第</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13.3</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款</w:t>
            </w:r>
          </w:p>
        </w:tc>
        <w:tc>
          <w:tcPr>
            <w:tcW w:w="1897" w:type="dxa"/>
            <w:vAlign w:val="center"/>
          </w:tcPr>
          <w:p w14:paraId="7519DBFD">
            <w:pPr>
              <w:pageBreakBefore w:val="0"/>
              <w:kinsoku/>
              <w:wordWrap/>
              <w:overflowPunct/>
              <w:topLinePunct w:val="0"/>
              <w:bidi w:val="0"/>
              <w:adjustRightInd w:val="0"/>
              <w:snapToGrid w:val="0"/>
              <w:spacing w:afterAutospacing="0" w:line="560" w:lineRule="exact"/>
              <w:jc w:val="lef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履约保证金退还时间及</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逾期退还的</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违约金</w:t>
            </w:r>
          </w:p>
        </w:tc>
        <w:tc>
          <w:tcPr>
            <w:tcW w:w="5631" w:type="dxa"/>
            <w:vAlign w:val="center"/>
          </w:tcPr>
          <w:p w14:paraId="449EEF55">
            <w:pPr>
              <w:pageBreakBefore w:val="0"/>
              <w:kinsoku/>
              <w:wordWrap/>
              <w:overflowPunct/>
              <w:topLinePunct w:val="0"/>
              <w:bidi w:val="0"/>
              <w:adjustRightInd w:val="0"/>
              <w:snapToGrid w:val="0"/>
              <w:spacing w:afterAutospacing="0" w:line="560" w:lineRule="exact"/>
              <w:jc w:val="left"/>
              <w:textAlignment w:val="auto"/>
              <w:rPr>
                <w:rFonts w:hint="eastAsia" w:asciiTheme="minorEastAsia" w:hAnsiTheme="minorEastAsia" w:eastAsiaTheme="minorEastAsia" w:cstheme="minorEastAsia"/>
                <w:color w:val="000000" w:themeColor="text1"/>
                <w:sz w:val="28"/>
                <w:szCs w:val="28"/>
                <w:highlight w:val="none"/>
                <w:lang w:val="en-US"/>
                <w14:textFill>
                  <w14:solidFill>
                    <w14:schemeClr w14:val="tx1"/>
                  </w14:solidFill>
                </w14:textFill>
              </w:rPr>
            </w:pPr>
            <w:r>
              <w:rPr>
                <w:rFonts w:hint="eastAsia" w:asciiTheme="minorEastAsia" w:hAnsiTheme="minorEastAsia" w:eastAsiaTheme="minorEastAsia" w:cstheme="minorEastAsia"/>
                <w:bCs/>
                <w:color w:val="000000" w:themeColor="text1"/>
                <w:sz w:val="28"/>
                <w:szCs w:val="28"/>
                <w:highlight w:val="none"/>
                <w:u w:val="none"/>
                <w:lang w:eastAsia="zh-CN"/>
                <w14:textFill>
                  <w14:solidFill>
                    <w14:schemeClr w14:val="tx1"/>
                  </w14:solidFill>
                </w14:textFill>
              </w:rPr>
              <w:t>乙方完成合同约定的所有责任、义务后无息支付</w:t>
            </w:r>
            <w:r>
              <w:rPr>
                <w:rFonts w:hint="eastAsia" w:asciiTheme="minorEastAsia" w:hAnsiTheme="minorEastAsia" w:eastAsiaTheme="minorEastAsia" w:cstheme="minorEastAsia"/>
                <w:bCs/>
                <w:color w:val="000000" w:themeColor="text1"/>
                <w:sz w:val="28"/>
                <w:szCs w:val="28"/>
                <w:highlight w:val="none"/>
                <w:u w:val="none"/>
                <w:lang w:val="en-US" w:eastAsia="zh-CN"/>
                <w14:textFill>
                  <w14:solidFill>
                    <w14:schemeClr w14:val="tx1"/>
                  </w14:solidFill>
                </w14:textFill>
              </w:rPr>
              <w:t>。</w:t>
            </w:r>
          </w:p>
        </w:tc>
      </w:tr>
      <w:tr w14:paraId="765FDC2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750" w:type="dxa"/>
            <w:vAlign w:val="center"/>
          </w:tcPr>
          <w:p w14:paraId="0ED37598">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第二节</w:t>
            </w:r>
          </w:p>
          <w:p w14:paraId="55AD9642">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第1</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.1（</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）项</w:t>
            </w:r>
          </w:p>
        </w:tc>
        <w:tc>
          <w:tcPr>
            <w:tcW w:w="1897" w:type="dxa"/>
            <w:vAlign w:val="center"/>
          </w:tcPr>
          <w:p w14:paraId="4D5DA41D">
            <w:pPr>
              <w:pageBreakBefore w:val="0"/>
              <w:kinsoku/>
              <w:wordWrap/>
              <w:overflowPunct/>
              <w:topLinePunct w:val="0"/>
              <w:bidi w:val="0"/>
              <w:adjustRightInd w:val="0"/>
              <w:snapToGrid w:val="0"/>
              <w:spacing w:afterAutospacing="0" w:line="560" w:lineRule="exact"/>
              <w:jc w:val="left"/>
              <w:textAlignment w:val="auto"/>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运行监督、维修期限</w:t>
            </w:r>
          </w:p>
        </w:tc>
        <w:tc>
          <w:tcPr>
            <w:tcW w:w="5631" w:type="dxa"/>
            <w:vAlign w:val="center"/>
          </w:tcPr>
          <w:p w14:paraId="56049687">
            <w:pPr>
              <w:pageBreakBefore w:val="0"/>
              <w:kinsoku/>
              <w:wordWrap/>
              <w:overflowPunct/>
              <w:topLinePunct w:val="0"/>
              <w:bidi w:val="0"/>
              <w:adjustRightInd w:val="0"/>
              <w:snapToGrid w:val="0"/>
              <w:spacing w:afterAutospacing="0" w:line="560" w:lineRule="exact"/>
              <w:jc w:val="left"/>
              <w:textAlignment w:val="auto"/>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乙方应在货物验收合格后，每</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 xml:space="preserve">   月对货物进行运行监督，并留存书面资料。</w:t>
            </w:r>
          </w:p>
        </w:tc>
      </w:tr>
      <w:tr w14:paraId="0E7A3E0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750" w:type="dxa"/>
            <w:vAlign w:val="center"/>
          </w:tcPr>
          <w:p w14:paraId="485A1F31">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第二节</w:t>
            </w:r>
          </w:p>
          <w:p w14:paraId="48E51130">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第1</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.1（</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）项</w:t>
            </w:r>
          </w:p>
        </w:tc>
        <w:tc>
          <w:tcPr>
            <w:tcW w:w="1897" w:type="dxa"/>
            <w:vAlign w:val="center"/>
          </w:tcPr>
          <w:p w14:paraId="3688540B">
            <w:pPr>
              <w:pageBreakBefore w:val="0"/>
              <w:kinsoku/>
              <w:wordWrap/>
              <w:overflowPunct/>
              <w:topLinePunct w:val="0"/>
              <w:bidi w:val="0"/>
              <w:adjustRightInd w:val="0"/>
              <w:snapToGrid w:val="0"/>
              <w:spacing w:afterAutospacing="0" w:line="560" w:lineRule="exact"/>
              <w:jc w:val="left"/>
              <w:textAlignment w:val="auto"/>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货物回收的约定</w:t>
            </w:r>
          </w:p>
        </w:tc>
        <w:tc>
          <w:tcPr>
            <w:tcW w:w="5631" w:type="dxa"/>
            <w:vAlign w:val="center"/>
          </w:tcPr>
          <w:p w14:paraId="1361C114">
            <w:pPr>
              <w:pageBreakBefore w:val="0"/>
              <w:kinsoku/>
              <w:wordWrap/>
              <w:overflowPunct/>
              <w:topLinePunct w:val="0"/>
              <w:bidi w:val="0"/>
              <w:adjustRightInd w:val="0"/>
              <w:snapToGrid w:val="0"/>
              <w:spacing w:afterAutospacing="0" w:line="560" w:lineRule="exact"/>
              <w:jc w:val="left"/>
              <w:textAlignment w:val="auto"/>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w:t>
            </w:r>
          </w:p>
        </w:tc>
      </w:tr>
      <w:tr w14:paraId="20E35EA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750" w:type="dxa"/>
            <w:vAlign w:val="center"/>
          </w:tcPr>
          <w:p w14:paraId="210AC6B0">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第二节</w:t>
            </w:r>
          </w:p>
          <w:p w14:paraId="62BEA5E3">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第1</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.1（</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）项</w:t>
            </w:r>
          </w:p>
        </w:tc>
        <w:tc>
          <w:tcPr>
            <w:tcW w:w="1897" w:type="dxa"/>
            <w:vAlign w:val="center"/>
          </w:tcPr>
          <w:p w14:paraId="4F57090B">
            <w:pPr>
              <w:pageBreakBefore w:val="0"/>
              <w:kinsoku/>
              <w:wordWrap/>
              <w:overflowPunct/>
              <w:topLinePunct w:val="0"/>
              <w:bidi w:val="0"/>
              <w:adjustRightInd w:val="0"/>
              <w:snapToGrid w:val="0"/>
              <w:spacing w:afterAutospacing="0" w:line="560" w:lineRule="exact"/>
              <w:jc w:val="lef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乙方提供的其他服务</w:t>
            </w:r>
          </w:p>
        </w:tc>
        <w:tc>
          <w:tcPr>
            <w:tcW w:w="5631" w:type="dxa"/>
            <w:vAlign w:val="center"/>
          </w:tcPr>
          <w:p w14:paraId="2E102E84">
            <w:pPr>
              <w:pageBreakBefore w:val="0"/>
              <w:kinsoku/>
              <w:wordWrap/>
              <w:overflowPunct/>
              <w:topLinePunct w:val="0"/>
              <w:bidi w:val="0"/>
              <w:adjustRightInd w:val="0"/>
              <w:snapToGrid w:val="0"/>
              <w:spacing w:afterAutospacing="0" w:line="560" w:lineRule="exact"/>
              <w:jc w:val="left"/>
              <w:textAlignment w:val="auto"/>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乙方须保障甲方在使用其设备、服务及其任何部分不受到第三方关于侵犯专利权、商标权或工业设计权的指控。任何第三方如果提供侵权指控，乙方须与第三方交涉并承担由此而引起的一切法律责任和费用。</w:t>
            </w:r>
          </w:p>
        </w:tc>
      </w:tr>
      <w:tr w14:paraId="001B500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750" w:type="dxa"/>
            <w:vAlign w:val="center"/>
          </w:tcPr>
          <w:p w14:paraId="2D7453A3">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第二节</w:t>
            </w:r>
          </w:p>
          <w:p w14:paraId="5588CCD7">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第1</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1款</w:t>
            </w:r>
          </w:p>
        </w:tc>
        <w:tc>
          <w:tcPr>
            <w:tcW w:w="1897" w:type="dxa"/>
            <w:vAlign w:val="center"/>
          </w:tcPr>
          <w:p w14:paraId="1719341E">
            <w:pPr>
              <w:pageBreakBefore w:val="0"/>
              <w:kinsoku/>
              <w:wordWrap/>
              <w:overflowPunct/>
              <w:topLinePunct w:val="0"/>
              <w:bidi w:val="0"/>
              <w:adjustRightInd w:val="0"/>
              <w:snapToGrid w:val="0"/>
              <w:spacing w:afterAutospacing="0" w:line="560" w:lineRule="exact"/>
              <w:jc w:val="lef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修理、重作、更换相关具体规定</w:t>
            </w:r>
          </w:p>
        </w:tc>
        <w:tc>
          <w:tcPr>
            <w:tcW w:w="5631" w:type="dxa"/>
            <w:vAlign w:val="center"/>
          </w:tcPr>
          <w:p w14:paraId="438E5C99">
            <w:pPr>
              <w:pageBreakBefore w:val="0"/>
              <w:kinsoku/>
              <w:wordWrap/>
              <w:overflowPunct/>
              <w:topLinePunct w:val="0"/>
              <w:bidi w:val="0"/>
              <w:adjustRightInd w:val="0"/>
              <w:snapToGrid w:val="0"/>
              <w:spacing w:afterAutospacing="0" w:line="560" w:lineRule="exact"/>
              <w:jc w:val="left"/>
              <w:textAlignment w:val="auto"/>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乙方</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提供</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的产品不符合</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合同约定的</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质量标准或存在产品质量缺陷</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w:t>
            </w:r>
          </w:p>
        </w:tc>
      </w:tr>
      <w:tr w14:paraId="5121714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750" w:type="dxa"/>
            <w:vAlign w:val="center"/>
          </w:tcPr>
          <w:p w14:paraId="10283342">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第二节</w:t>
            </w:r>
          </w:p>
          <w:p w14:paraId="27D13D56">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第1</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.2（2）项</w:t>
            </w:r>
          </w:p>
        </w:tc>
        <w:tc>
          <w:tcPr>
            <w:tcW w:w="1897" w:type="dxa"/>
            <w:vAlign w:val="center"/>
          </w:tcPr>
          <w:p w14:paraId="1AE229D6">
            <w:pPr>
              <w:pageBreakBefore w:val="0"/>
              <w:kinsoku/>
              <w:wordWrap/>
              <w:overflowPunct/>
              <w:topLinePunct w:val="0"/>
              <w:bidi w:val="0"/>
              <w:adjustRightInd w:val="0"/>
              <w:snapToGrid w:val="0"/>
              <w:spacing w:afterAutospacing="0" w:line="560" w:lineRule="exact"/>
              <w:jc w:val="lef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迟延交货赔偿费</w:t>
            </w:r>
          </w:p>
        </w:tc>
        <w:tc>
          <w:tcPr>
            <w:tcW w:w="5631" w:type="dxa"/>
            <w:vAlign w:val="center"/>
          </w:tcPr>
          <w:p w14:paraId="0C5E4239">
            <w:pPr>
              <w:pageBreakBefore w:val="0"/>
              <w:kinsoku/>
              <w:wordWrap/>
              <w:overflowPunct/>
              <w:topLinePunct w:val="0"/>
              <w:bidi w:val="0"/>
              <w:adjustRightInd w:val="0"/>
              <w:snapToGrid w:val="0"/>
              <w:spacing w:afterAutospacing="0" w:line="560" w:lineRule="exact"/>
              <w:jc w:val="left"/>
              <w:textAlignment w:val="auto"/>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1.乙方应按合同约定的时间及地点向甲方提供符合验收条件的货物，因乙方原因造成项目未在约定期限内完成验收，每逾期一日，按合同金额的0.5%向甲方支付违约金，对甲方造成相应损失的，还应据实赔偿。逾期超过7天的，视为乙方不能交货，甲方有权要求乙方继续交货并按照前述标准支付违约金。此种情形下，甲方也有权解除本合同并追究乙方的不能交货的违约责任。</w:t>
            </w:r>
          </w:p>
        </w:tc>
      </w:tr>
      <w:tr w14:paraId="19B6D50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750" w:type="dxa"/>
            <w:vAlign w:val="center"/>
          </w:tcPr>
          <w:p w14:paraId="052FBAD5">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第二节</w:t>
            </w:r>
          </w:p>
          <w:p w14:paraId="70369F14">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第1</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3款</w:t>
            </w:r>
          </w:p>
        </w:tc>
        <w:tc>
          <w:tcPr>
            <w:tcW w:w="1897" w:type="dxa"/>
            <w:vAlign w:val="center"/>
          </w:tcPr>
          <w:p w14:paraId="6D63B7AD">
            <w:pPr>
              <w:pageBreakBefore w:val="0"/>
              <w:kinsoku/>
              <w:wordWrap/>
              <w:overflowPunct/>
              <w:topLinePunct w:val="0"/>
              <w:bidi w:val="0"/>
              <w:adjustRightInd w:val="0"/>
              <w:snapToGrid w:val="0"/>
              <w:spacing w:afterAutospacing="0" w:line="560" w:lineRule="exact"/>
              <w:jc w:val="lef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逾期付款利息</w:t>
            </w:r>
          </w:p>
        </w:tc>
        <w:tc>
          <w:tcPr>
            <w:tcW w:w="5631" w:type="dxa"/>
            <w:vAlign w:val="center"/>
          </w:tcPr>
          <w:p w14:paraId="7882AF61">
            <w:pPr>
              <w:pageBreakBefore w:val="0"/>
              <w:kinsoku/>
              <w:wordWrap/>
              <w:overflowPunct/>
              <w:topLinePunct w:val="0"/>
              <w:bidi w:val="0"/>
              <w:adjustRightInd w:val="0"/>
              <w:snapToGrid w:val="0"/>
              <w:spacing w:afterAutospacing="0" w:line="560" w:lineRule="exact"/>
              <w:jc w:val="left"/>
              <w:textAlignment w:val="auto"/>
              <w:rPr>
                <w:rFonts w:hint="eastAsia" w:asciiTheme="minorEastAsia" w:hAnsiTheme="minorEastAsia" w:eastAsiaTheme="minorEastAsia" w:cstheme="minorEastAsia"/>
                <w:color w:val="000000" w:themeColor="text1"/>
                <w:sz w:val="28"/>
                <w:szCs w:val="28"/>
                <w:highlight w:val="none"/>
                <w:u w:val="singl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u w:val="single"/>
                <w:lang w:val="en-US" w:eastAsia="zh-CN"/>
                <w14:textFill>
                  <w14:solidFill>
                    <w14:schemeClr w14:val="tx1"/>
                  </w14:solidFill>
                </w14:textFill>
              </w:rPr>
              <w:t>/</w:t>
            </w:r>
          </w:p>
        </w:tc>
      </w:tr>
      <w:tr w14:paraId="3653975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750" w:type="dxa"/>
            <w:tcBorders>
              <w:bottom w:val="single" w:color="auto" w:sz="2" w:space="0"/>
              <w:right w:val="single" w:color="auto" w:sz="2" w:space="0"/>
            </w:tcBorders>
            <w:vAlign w:val="center"/>
          </w:tcPr>
          <w:p w14:paraId="3BE936FE">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第二节</w:t>
            </w:r>
          </w:p>
          <w:p w14:paraId="3C710D73">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第1</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.4</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款</w:t>
            </w:r>
          </w:p>
        </w:tc>
        <w:tc>
          <w:tcPr>
            <w:tcW w:w="1897" w:type="dxa"/>
            <w:tcBorders>
              <w:left w:val="single" w:color="auto" w:sz="2" w:space="0"/>
              <w:bottom w:val="single" w:color="auto" w:sz="2" w:space="0"/>
              <w:right w:val="single" w:color="auto" w:sz="2" w:space="0"/>
            </w:tcBorders>
            <w:vAlign w:val="center"/>
          </w:tcPr>
          <w:p w14:paraId="48BD47CE">
            <w:pPr>
              <w:pageBreakBefore w:val="0"/>
              <w:kinsoku/>
              <w:wordWrap/>
              <w:overflowPunct/>
              <w:topLinePunct w:val="0"/>
              <w:bidi w:val="0"/>
              <w:adjustRightInd w:val="0"/>
              <w:snapToGrid w:val="0"/>
              <w:spacing w:afterAutospacing="0" w:line="560" w:lineRule="exact"/>
              <w:jc w:val="lef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其他违约责任</w:t>
            </w:r>
          </w:p>
        </w:tc>
        <w:tc>
          <w:tcPr>
            <w:tcW w:w="5631" w:type="dxa"/>
            <w:tcBorders>
              <w:left w:val="single" w:color="auto" w:sz="2" w:space="0"/>
              <w:bottom w:val="single" w:color="auto" w:sz="2" w:space="0"/>
            </w:tcBorders>
            <w:vAlign w:val="center"/>
          </w:tcPr>
          <w:p w14:paraId="2F79AB08">
            <w:pPr>
              <w:pageBreakBefore w:val="0"/>
              <w:kinsoku/>
              <w:wordWrap/>
              <w:overflowPunct/>
              <w:topLinePunct w:val="0"/>
              <w:bidi w:val="0"/>
              <w:adjustRightInd w:val="0"/>
              <w:snapToGrid w:val="0"/>
              <w:spacing w:afterAutospacing="0" w:line="560" w:lineRule="exact"/>
              <w:jc w:val="left"/>
              <w:textAlignment w:val="auto"/>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1质保期内，乙方未按合同约定在约定时间内完成货物维修或更换，每逾期一日，按合同金额的0.5%向甲方支付违约金，对甲方造成相应损失的，还应据实赔偿。</w:t>
            </w:r>
          </w:p>
          <w:p w14:paraId="441F4878">
            <w:pPr>
              <w:pageBreakBefore w:val="0"/>
              <w:numPr>
                <w:ilvl w:val="0"/>
                <w:numId w:val="0"/>
              </w:numPr>
              <w:kinsoku/>
              <w:wordWrap/>
              <w:overflowPunct/>
              <w:topLinePunct w:val="0"/>
              <w:bidi w:val="0"/>
              <w:adjustRightInd w:val="0"/>
              <w:snapToGrid w:val="0"/>
              <w:spacing w:afterAutospacing="0" w:line="560" w:lineRule="exact"/>
              <w:ind w:leftChars="0"/>
              <w:jc w:val="left"/>
              <w:textAlignment w:val="auto"/>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2.乙方拒不交货或不能交货的，买方有权单方解除本合同，并按照合同总额的10%要求乙方支付违约金。</w:t>
            </w:r>
          </w:p>
        </w:tc>
      </w:tr>
      <w:tr w14:paraId="090A352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750" w:type="dxa"/>
            <w:tcBorders>
              <w:top w:val="single" w:color="auto" w:sz="2" w:space="0"/>
              <w:right w:val="single" w:color="auto" w:sz="2" w:space="0"/>
            </w:tcBorders>
            <w:vAlign w:val="center"/>
          </w:tcPr>
          <w:p w14:paraId="1A52D9DE">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第二节</w:t>
            </w:r>
          </w:p>
          <w:p w14:paraId="16FC93A8">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第</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19</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.2</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款</w:t>
            </w:r>
          </w:p>
        </w:tc>
        <w:tc>
          <w:tcPr>
            <w:tcW w:w="1897" w:type="dxa"/>
            <w:tcBorders>
              <w:top w:val="single" w:color="auto" w:sz="2" w:space="0"/>
              <w:left w:val="single" w:color="auto" w:sz="2" w:space="0"/>
              <w:right w:val="single" w:color="auto" w:sz="2" w:space="0"/>
            </w:tcBorders>
            <w:vAlign w:val="center"/>
          </w:tcPr>
          <w:p w14:paraId="32C011E8">
            <w:pPr>
              <w:pageBreakBefore w:val="0"/>
              <w:kinsoku/>
              <w:wordWrap/>
              <w:overflowPunct/>
              <w:topLinePunct w:val="0"/>
              <w:bidi w:val="0"/>
              <w:adjustRightInd w:val="0"/>
              <w:snapToGrid w:val="0"/>
              <w:spacing w:afterAutospacing="0" w:line="560" w:lineRule="exact"/>
              <w:jc w:val="lef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解决争议的方法</w:t>
            </w:r>
          </w:p>
        </w:tc>
        <w:tc>
          <w:tcPr>
            <w:tcW w:w="5631" w:type="dxa"/>
            <w:tcBorders>
              <w:top w:val="single" w:color="auto" w:sz="2" w:space="0"/>
              <w:left w:val="single" w:color="auto" w:sz="2" w:space="0"/>
            </w:tcBorders>
            <w:vAlign w:val="center"/>
          </w:tcPr>
          <w:p w14:paraId="0A954A46">
            <w:pPr>
              <w:pageBreakBefore w:val="0"/>
              <w:kinsoku/>
              <w:wordWrap/>
              <w:overflowPunct/>
              <w:topLinePunct w:val="0"/>
              <w:autoSpaceDE w:val="0"/>
              <w:autoSpaceDN w:val="0"/>
              <w:bidi w:val="0"/>
              <w:adjustRightInd w:val="0"/>
              <w:snapToGrid w:val="0"/>
              <w:spacing w:afterAutospacing="0" w:line="560" w:lineRule="exact"/>
              <w:jc w:val="left"/>
              <w:textAlignment w:val="auto"/>
              <w:rPr>
                <w:rFonts w:hint="eastAsia" w:asciiTheme="minorEastAsia" w:hAnsiTheme="minorEastAsia" w:eastAsiaTheme="minorEastAsia" w:cstheme="minorEastAsia"/>
                <w:b w:val="0"/>
                <w:bCs w:val="0"/>
                <w:i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val="0"/>
                <w:bCs w:val="0"/>
                <w:iCs/>
                <w:color w:val="000000" w:themeColor="text1"/>
                <w:sz w:val="28"/>
                <w:szCs w:val="28"/>
                <w:highlight w:val="none"/>
                <w14:textFill>
                  <w14:solidFill>
                    <w14:schemeClr w14:val="tx1"/>
                  </w14:solidFill>
                </w14:textFill>
              </w:rPr>
              <w:t>因本合同及合同有关事项发生的争议，按下列第</w:t>
            </w:r>
            <w:r>
              <w:rPr>
                <w:rFonts w:hint="eastAsia" w:asciiTheme="minorEastAsia" w:hAnsiTheme="minorEastAsia" w:eastAsiaTheme="minorEastAsia" w:cstheme="minorEastAsia"/>
                <w:b w:val="0"/>
                <w:bCs w:val="0"/>
                <w:iCs/>
                <w:color w:val="000000" w:themeColor="text1"/>
                <w:sz w:val="28"/>
                <w:szCs w:val="28"/>
                <w:highlight w:val="none"/>
                <w:u w:val="single"/>
                <w:lang w:val="en-US" w:eastAsia="zh-CN"/>
                <w14:textFill>
                  <w14:solidFill>
                    <w14:schemeClr w14:val="tx1"/>
                  </w14:solidFill>
                </w14:textFill>
              </w:rPr>
              <w:t>2</w:t>
            </w:r>
            <w:r>
              <w:rPr>
                <w:rFonts w:hint="eastAsia" w:asciiTheme="minorEastAsia" w:hAnsiTheme="minorEastAsia" w:eastAsiaTheme="minorEastAsia" w:cstheme="minorEastAsia"/>
                <w:b w:val="0"/>
                <w:bCs w:val="0"/>
                <w:iCs/>
                <w:color w:val="000000" w:themeColor="text1"/>
                <w:sz w:val="28"/>
                <w:szCs w:val="28"/>
                <w:highlight w:val="none"/>
                <w14:textFill>
                  <w14:solidFill>
                    <w14:schemeClr w14:val="tx1"/>
                  </w14:solidFill>
                </w14:textFill>
              </w:rPr>
              <w:t>种方式解决：</w:t>
            </w:r>
          </w:p>
          <w:p w14:paraId="128C1924">
            <w:pPr>
              <w:pageBreakBefore w:val="0"/>
              <w:kinsoku/>
              <w:wordWrap/>
              <w:overflowPunct/>
              <w:topLinePunct w:val="0"/>
              <w:autoSpaceDE w:val="0"/>
              <w:autoSpaceDN w:val="0"/>
              <w:bidi w:val="0"/>
              <w:adjustRightInd w:val="0"/>
              <w:snapToGrid w:val="0"/>
              <w:spacing w:afterAutospacing="0" w:line="560" w:lineRule="exact"/>
              <w:jc w:val="left"/>
              <w:textAlignment w:val="auto"/>
              <w:rPr>
                <w:rFonts w:hint="eastAsia" w:asciiTheme="minorEastAsia" w:hAnsiTheme="minorEastAsia" w:eastAsiaTheme="minorEastAsia" w:cstheme="minorEastAsia"/>
                <w:b w:val="0"/>
                <w:bCs w:val="0"/>
                <w:i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val="0"/>
                <w:bCs w:val="0"/>
                <w:iCs/>
                <w:color w:val="000000" w:themeColor="text1"/>
                <w:sz w:val="28"/>
                <w:szCs w:val="28"/>
                <w:highlight w:val="none"/>
                <w14:textFill>
                  <w14:solidFill>
                    <w14:schemeClr w14:val="tx1"/>
                  </w14:solidFill>
                </w14:textFill>
              </w:rPr>
              <w:t>（1）向</w:t>
            </w:r>
            <w:r>
              <w:rPr>
                <w:rFonts w:hint="eastAsia" w:asciiTheme="minorEastAsia" w:hAnsiTheme="minorEastAsia" w:eastAsiaTheme="minorEastAsia" w:cstheme="minorEastAsia"/>
                <w:b w:val="0"/>
                <w:bCs w:val="0"/>
                <w:iCs/>
                <w:color w:val="000000" w:themeColor="text1"/>
                <w:sz w:val="28"/>
                <w:szCs w:val="28"/>
                <w:highlight w:val="none"/>
                <w:u w:val="single"/>
                <w:lang w:val="en-US" w:eastAsia="zh-CN"/>
                <w14:textFill>
                  <w14:solidFill>
                    <w14:schemeClr w14:val="tx1"/>
                  </w14:solidFill>
                </w14:textFill>
              </w:rPr>
              <w:t>/</w:t>
            </w:r>
            <w:r>
              <w:rPr>
                <w:rFonts w:hint="eastAsia" w:asciiTheme="minorEastAsia" w:hAnsiTheme="minorEastAsia" w:eastAsiaTheme="minorEastAsia" w:cstheme="minorEastAsia"/>
                <w:b w:val="0"/>
                <w:bCs w:val="0"/>
                <w:iCs/>
                <w:color w:val="000000" w:themeColor="text1"/>
                <w:sz w:val="28"/>
                <w:szCs w:val="28"/>
                <w:highlight w:val="none"/>
                <w14:textFill>
                  <w14:solidFill>
                    <w14:schemeClr w14:val="tx1"/>
                  </w14:solidFill>
                </w14:textFill>
              </w:rPr>
              <w:t>仲裁委员会申请仲裁，仲裁地点为</w:t>
            </w:r>
            <w:r>
              <w:rPr>
                <w:rFonts w:hint="eastAsia" w:asciiTheme="minorEastAsia" w:hAnsiTheme="minorEastAsia" w:eastAsiaTheme="minorEastAsia" w:cstheme="minorEastAsia"/>
                <w:b w:val="0"/>
                <w:bCs w:val="0"/>
                <w:iCs/>
                <w:color w:val="000000" w:themeColor="text1"/>
                <w:sz w:val="28"/>
                <w:szCs w:val="28"/>
                <w:highlight w:val="none"/>
                <w:u w:val="single"/>
                <w:lang w:val="en-US" w:eastAsia="zh-CN"/>
                <w14:textFill>
                  <w14:solidFill>
                    <w14:schemeClr w14:val="tx1"/>
                  </w14:solidFill>
                </w14:textFill>
              </w:rPr>
              <w:t>/</w:t>
            </w:r>
            <w:r>
              <w:rPr>
                <w:rFonts w:hint="eastAsia" w:asciiTheme="minorEastAsia" w:hAnsiTheme="minorEastAsia" w:eastAsiaTheme="minorEastAsia" w:cstheme="minorEastAsia"/>
                <w:b w:val="0"/>
                <w:bCs w:val="0"/>
                <w:iCs/>
                <w:color w:val="000000" w:themeColor="text1"/>
                <w:sz w:val="28"/>
                <w:szCs w:val="28"/>
                <w:highlight w:val="none"/>
                <w14:textFill>
                  <w14:solidFill>
                    <w14:schemeClr w14:val="tx1"/>
                  </w14:solidFill>
                </w14:textFill>
              </w:rPr>
              <w:t>；</w:t>
            </w:r>
          </w:p>
          <w:p w14:paraId="0D8084D3">
            <w:pPr>
              <w:pageBreakBefore w:val="0"/>
              <w:kinsoku/>
              <w:wordWrap/>
              <w:overflowPunct/>
              <w:topLinePunct w:val="0"/>
              <w:bidi w:val="0"/>
              <w:adjustRightInd w:val="0"/>
              <w:snapToGrid w:val="0"/>
              <w:spacing w:afterAutospacing="0" w:line="560" w:lineRule="exact"/>
              <w:ind w:firstLine="0" w:firstLineChars="0"/>
              <w:jc w:val="left"/>
              <w:textAlignment w:val="auto"/>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pPr>
            <w:r>
              <w:rPr>
                <w:rFonts w:hint="eastAsia" w:asciiTheme="minorEastAsia" w:hAnsiTheme="minorEastAsia" w:eastAsiaTheme="minorEastAsia" w:cstheme="minorEastAsia"/>
                <w:b w:val="0"/>
                <w:bCs w:val="0"/>
                <w:iCs/>
                <w:color w:val="000000" w:themeColor="text1"/>
                <w:sz w:val="28"/>
                <w:szCs w:val="28"/>
                <w:highlight w:val="none"/>
                <w14:textFill>
                  <w14:solidFill>
                    <w14:schemeClr w14:val="tx1"/>
                  </w14:solidFill>
                </w14:textFill>
              </w:rPr>
              <w:t>（2）向</w:t>
            </w:r>
            <w:r>
              <w:rPr>
                <w:rFonts w:hint="eastAsia" w:asciiTheme="minorEastAsia" w:hAnsiTheme="minorEastAsia" w:eastAsiaTheme="minorEastAsia" w:cstheme="minorEastAsia"/>
                <w:b w:val="0"/>
                <w:bCs w:val="0"/>
                <w:iCs/>
                <w:color w:val="000000" w:themeColor="text1"/>
                <w:sz w:val="28"/>
                <w:szCs w:val="28"/>
                <w:highlight w:val="none"/>
                <w:u w:val="single"/>
                <w:lang w:eastAsia="zh-CN"/>
                <w14:textFill>
                  <w14:solidFill>
                    <w14:schemeClr w14:val="tx1"/>
                  </w14:solidFill>
                </w14:textFill>
              </w:rPr>
              <w:t>伊州区</w:t>
            </w:r>
            <w:r>
              <w:rPr>
                <w:rFonts w:hint="eastAsia" w:asciiTheme="minorEastAsia" w:hAnsiTheme="minorEastAsia" w:eastAsiaTheme="minorEastAsia" w:cstheme="minorEastAsia"/>
                <w:b w:val="0"/>
                <w:bCs w:val="0"/>
                <w:iCs/>
                <w:color w:val="000000" w:themeColor="text1"/>
                <w:sz w:val="28"/>
                <w:szCs w:val="28"/>
                <w:highlight w:val="none"/>
                <w14:textFill>
                  <w14:solidFill>
                    <w14:schemeClr w14:val="tx1"/>
                  </w14:solidFill>
                </w14:textFill>
              </w:rPr>
              <w:t>人民法院起诉</w:t>
            </w:r>
            <w:r>
              <w:rPr>
                <w:rFonts w:hint="eastAsia" w:asciiTheme="minorEastAsia" w:hAnsiTheme="minorEastAsia" w:eastAsiaTheme="minorEastAsia" w:cstheme="minorEastAsia"/>
                <w:b w:val="0"/>
                <w:bCs w:val="0"/>
                <w:iCs/>
                <w:color w:val="000000" w:themeColor="text1"/>
                <w:sz w:val="28"/>
                <w:szCs w:val="28"/>
                <w:highlight w:val="none"/>
                <w:lang w:eastAsia="zh-CN"/>
                <w14:textFill>
                  <w14:solidFill>
                    <w14:schemeClr w14:val="tx1"/>
                  </w14:solidFill>
                </w14:textFill>
              </w:rPr>
              <w:t>，因诉讼产生的诉讼费、律师费、保全费、保全保险费等为实现债权产生的一切费用由违约方承担</w:t>
            </w:r>
            <w:r>
              <w:rPr>
                <w:rFonts w:hint="eastAsia" w:asciiTheme="minorEastAsia" w:hAnsiTheme="minorEastAsia" w:eastAsiaTheme="minorEastAsia" w:cstheme="minorEastAsia"/>
                <w:b w:val="0"/>
                <w:bCs w:val="0"/>
                <w:iCs/>
                <w:color w:val="000000" w:themeColor="text1"/>
                <w:sz w:val="28"/>
                <w:szCs w:val="28"/>
                <w:highlight w:val="none"/>
                <w14:textFill>
                  <w14:solidFill>
                    <w14:schemeClr w14:val="tx1"/>
                  </w14:solidFill>
                </w14:textFill>
              </w:rPr>
              <w:t>。</w:t>
            </w:r>
          </w:p>
        </w:tc>
      </w:tr>
      <w:tr w14:paraId="1AE2EF2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750" w:type="dxa"/>
            <w:vAlign w:val="center"/>
          </w:tcPr>
          <w:p w14:paraId="535CBF9C">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第二节</w:t>
            </w:r>
          </w:p>
          <w:p w14:paraId="63F30DDF">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第2</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3.1</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款</w:t>
            </w:r>
          </w:p>
        </w:tc>
        <w:tc>
          <w:tcPr>
            <w:tcW w:w="1897" w:type="dxa"/>
            <w:vAlign w:val="center"/>
          </w:tcPr>
          <w:p w14:paraId="41A14413">
            <w:pPr>
              <w:pageBreakBefore w:val="0"/>
              <w:kinsoku/>
              <w:wordWrap/>
              <w:overflowPunct/>
              <w:topLinePunct w:val="0"/>
              <w:bidi w:val="0"/>
              <w:adjustRightInd w:val="0"/>
              <w:snapToGrid w:val="0"/>
              <w:spacing w:afterAutospacing="0" w:line="560" w:lineRule="exact"/>
              <w:jc w:val="lef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8"/>
                <w:szCs w:val="28"/>
                <w:highlight w:val="none"/>
                <w:lang w:eastAsia="zh-CN"/>
                <w14:textFill>
                  <w14:solidFill>
                    <w14:schemeClr w14:val="tx1"/>
                  </w14:solidFill>
                </w14:textFill>
              </w:rPr>
              <w:t>其他专用条款</w:t>
            </w:r>
          </w:p>
        </w:tc>
        <w:tc>
          <w:tcPr>
            <w:tcW w:w="5631" w:type="dxa"/>
            <w:vAlign w:val="center"/>
          </w:tcPr>
          <w:p w14:paraId="5297E17C">
            <w:pPr>
              <w:pageBreakBefore w:val="0"/>
              <w:kinsoku/>
              <w:wordWrap/>
              <w:overflowPunct/>
              <w:topLinePunct w:val="0"/>
              <w:bidi w:val="0"/>
              <w:adjustRightInd w:val="0"/>
              <w:snapToGrid w:val="0"/>
              <w:spacing w:afterAutospacing="0" w:line="560" w:lineRule="exact"/>
              <w:jc w:val="left"/>
              <w:textAlignment w:val="auto"/>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val="0"/>
                <w:bCs w:val="0"/>
                <w:iCs/>
                <w:color w:val="000000" w:themeColor="text1"/>
                <w:sz w:val="28"/>
                <w:szCs w:val="28"/>
                <w:highlight w:val="none"/>
                <w:lang w:val="en-US" w:eastAsia="zh-CN"/>
                <w14:textFill>
                  <w14:solidFill>
                    <w14:schemeClr w14:val="tx1"/>
                  </w14:solidFill>
                </w14:textFill>
              </w:rPr>
              <w:t>本合同后附《哈密市中心医院供应商廉洁承诺书》，乙方签字、盖章后作为本合同一部分。</w:t>
            </w:r>
          </w:p>
        </w:tc>
      </w:tr>
    </w:tbl>
    <w:p w14:paraId="77F4DFE2">
      <w:pPr>
        <w:pageBreakBefore w:val="0"/>
        <w:kinsoku/>
        <w:wordWrap/>
        <w:overflowPunct/>
        <w:topLinePunct w:val="0"/>
        <w:bidi w:val="0"/>
        <w:spacing w:afterAutospacing="0" w:line="560" w:lineRule="exac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p>
    <w:p w14:paraId="2D6BBA1A">
      <w:pPr>
        <w:pageBreakBefore w:val="0"/>
        <w:kinsoku/>
        <w:wordWrap/>
        <w:overflowPunct/>
        <w:topLinePunct w:val="0"/>
        <w:bidi w:val="0"/>
        <w:spacing w:afterAutospacing="0" w:line="560" w:lineRule="exac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br w:type="page"/>
      </w:r>
    </w:p>
    <w:p w14:paraId="1887237A">
      <w:pPr>
        <w:pageBreakBefore w:val="0"/>
        <w:kinsoku/>
        <w:wordWrap/>
        <w:overflowPunct/>
        <w:topLinePunct w:val="0"/>
        <w:bidi w:val="0"/>
        <w:spacing w:afterAutospacing="0" w:line="560" w:lineRule="exact"/>
        <w:jc w:val="center"/>
        <w:textAlignment w:val="auto"/>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哈密市中心医院供应商廉洁承诺书</w:t>
      </w:r>
    </w:p>
    <w:p w14:paraId="24C3BE0E">
      <w:pPr>
        <w:pageBreakBefore w:val="0"/>
        <w:numPr>
          <w:ilvl w:val="0"/>
          <w:numId w:val="11"/>
        </w:numPr>
        <w:kinsoku/>
        <w:wordWrap/>
        <w:overflowPunct/>
        <w:topLinePunct w:val="0"/>
        <w:bidi w:val="0"/>
        <w:spacing w:afterAutospacing="0" w:line="560" w:lineRule="exact"/>
        <w:ind w:firstLine="560" w:firstLineChars="200"/>
        <w:jc w:val="both"/>
        <w:textAlignment w:val="auto"/>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严格遵守国家相关法律法规、医院相关规章制度规定，做到诚实守信、廉洁购销、合规经营。</w:t>
      </w:r>
    </w:p>
    <w:p w14:paraId="4D9F1877">
      <w:pPr>
        <w:pageBreakBefore w:val="0"/>
        <w:numPr>
          <w:ilvl w:val="0"/>
          <w:numId w:val="11"/>
        </w:numPr>
        <w:kinsoku/>
        <w:wordWrap/>
        <w:overflowPunct/>
        <w:topLinePunct w:val="0"/>
        <w:bidi w:val="0"/>
        <w:spacing w:afterAutospacing="0" w:line="560" w:lineRule="exact"/>
        <w:ind w:firstLine="560" w:firstLineChars="200"/>
        <w:jc w:val="both"/>
        <w:textAlignment w:val="auto"/>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不将任何生产或者代理的产品在医院采购未完成前交科室进行临床试用或者使用。</w:t>
      </w:r>
    </w:p>
    <w:p w14:paraId="3FFC3E6E">
      <w:pPr>
        <w:pageBreakBefore w:val="0"/>
        <w:numPr>
          <w:ilvl w:val="0"/>
          <w:numId w:val="11"/>
        </w:numPr>
        <w:kinsoku/>
        <w:wordWrap/>
        <w:overflowPunct/>
        <w:topLinePunct w:val="0"/>
        <w:bidi w:val="0"/>
        <w:spacing w:afterAutospacing="0" w:line="560" w:lineRule="exact"/>
        <w:ind w:firstLine="560" w:firstLineChars="200"/>
        <w:jc w:val="both"/>
        <w:textAlignment w:val="auto"/>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不通过打招呼或者暗中授意等不正当手段竞标采购项目，不哄抬物价，牟取暴利，扰乱医院正常工作秩序。</w:t>
      </w:r>
    </w:p>
    <w:p w14:paraId="4946AF46">
      <w:pPr>
        <w:pageBreakBefore w:val="0"/>
        <w:numPr>
          <w:ilvl w:val="0"/>
          <w:numId w:val="11"/>
        </w:numPr>
        <w:kinsoku/>
        <w:wordWrap/>
        <w:overflowPunct/>
        <w:topLinePunct w:val="0"/>
        <w:bidi w:val="0"/>
        <w:spacing w:afterAutospacing="0" w:line="560" w:lineRule="exact"/>
        <w:ind w:firstLine="560" w:firstLineChars="200"/>
        <w:jc w:val="both"/>
        <w:textAlignment w:val="auto"/>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严格管理好公司销售人员，不在采购、销售、使用等环节中进行商业贿赂。</w:t>
      </w:r>
    </w:p>
    <w:p w14:paraId="4FDDB55F">
      <w:pPr>
        <w:pageBreakBefore w:val="0"/>
        <w:numPr>
          <w:ilvl w:val="0"/>
          <w:numId w:val="11"/>
        </w:numPr>
        <w:kinsoku/>
        <w:wordWrap/>
        <w:overflowPunct/>
        <w:topLinePunct w:val="0"/>
        <w:bidi w:val="0"/>
        <w:spacing w:afterAutospacing="0" w:line="560" w:lineRule="exact"/>
        <w:ind w:firstLine="560" w:firstLineChars="200"/>
        <w:jc w:val="both"/>
        <w:textAlignment w:val="auto"/>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不进入诊室、病区和库房，不向医院工作人员打听医疗用品进、销、存量和使用情况。</w:t>
      </w:r>
    </w:p>
    <w:p w14:paraId="2DDC5B49">
      <w:pPr>
        <w:pageBreakBefore w:val="0"/>
        <w:numPr>
          <w:ilvl w:val="0"/>
          <w:numId w:val="11"/>
        </w:numPr>
        <w:kinsoku/>
        <w:wordWrap/>
        <w:overflowPunct/>
        <w:topLinePunct w:val="0"/>
        <w:bidi w:val="0"/>
        <w:spacing w:afterAutospacing="0" w:line="560" w:lineRule="exact"/>
        <w:ind w:firstLine="560" w:firstLineChars="200"/>
        <w:jc w:val="both"/>
        <w:textAlignment w:val="auto"/>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不向医院工作人员及其亲属赠送“红包”“回扣”及礼品、钱款、购物卡、有价证券和贵重礼品等，或给予其他不正当利益。</w:t>
      </w:r>
    </w:p>
    <w:p w14:paraId="2651648C">
      <w:pPr>
        <w:pageBreakBefore w:val="0"/>
        <w:numPr>
          <w:ilvl w:val="0"/>
          <w:numId w:val="11"/>
        </w:numPr>
        <w:kinsoku/>
        <w:wordWrap/>
        <w:overflowPunct/>
        <w:topLinePunct w:val="0"/>
        <w:bidi w:val="0"/>
        <w:spacing w:afterAutospacing="0" w:line="560" w:lineRule="exact"/>
        <w:ind w:firstLine="560" w:firstLineChars="200"/>
        <w:jc w:val="both"/>
        <w:textAlignment w:val="auto"/>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不得以回扣、宴请等方式影响医院工作人员采购或使用医药产品的选择权，不得在学术活动中提供旅游、超标准支付食宿费用。</w:t>
      </w:r>
    </w:p>
    <w:p w14:paraId="240708F6">
      <w:pPr>
        <w:pageBreakBefore w:val="0"/>
        <w:numPr>
          <w:ilvl w:val="0"/>
          <w:numId w:val="0"/>
        </w:numPr>
        <w:kinsoku/>
        <w:wordWrap/>
        <w:overflowPunct/>
        <w:topLinePunct w:val="0"/>
        <w:bidi w:val="0"/>
        <w:spacing w:afterAutospacing="0" w:line="560" w:lineRule="exact"/>
        <w:ind w:firstLine="560" w:firstLineChars="200"/>
        <w:jc w:val="both"/>
        <w:textAlignment w:val="auto"/>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以上承诺本公司将严格履行，如有违背以上承诺的行为，本公司自愿承担相应责任。</w:t>
      </w:r>
    </w:p>
    <w:p w14:paraId="185543E8">
      <w:pPr>
        <w:bidi w:val="0"/>
        <w:rPr>
          <w:rFonts w:hint="eastAsia"/>
          <w:color w:val="000000" w:themeColor="text1"/>
          <w:lang w:val="en-US" w:eastAsia="zh-CN"/>
          <w14:textFill>
            <w14:solidFill>
              <w14:schemeClr w14:val="tx1"/>
            </w14:solidFill>
          </w14:textFill>
        </w:rPr>
      </w:pPr>
    </w:p>
    <w:p w14:paraId="6CE8F82F">
      <w:pPr>
        <w:pageBreakBefore w:val="0"/>
        <w:widowControl/>
        <w:kinsoku/>
        <w:wordWrap/>
        <w:overflowPunct/>
        <w:topLinePunct w:val="0"/>
        <w:bidi w:val="0"/>
        <w:spacing w:beforeAutospacing="1" w:afterAutospacing="0" w:line="560" w:lineRule="exact"/>
        <w:jc w:val="lef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sectPr>
          <w:pgSz w:w="11906" w:h="16838"/>
          <w:pgMar w:top="1134" w:right="1134" w:bottom="1134" w:left="1134" w:header="720" w:footer="720" w:gutter="0"/>
          <w:pgNumType w:fmt="decimal"/>
          <w:cols w:space="720" w:num="1"/>
          <w:docGrid w:type="lines" w:linePitch="331" w:charSpace="0"/>
        </w:sectPr>
      </w:pP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 xml:space="preserve">承诺企业代表签字：                         承诺企业盖章    </w:t>
      </w:r>
    </w:p>
    <w:p w14:paraId="009FB926">
      <w:pPr>
        <w:pStyle w:val="31"/>
        <w:pageBreakBefore w:val="0"/>
        <w:wordWrap/>
        <w:topLinePunct w:val="0"/>
        <w:bidi w:val="0"/>
        <w:spacing w:before="0" w:after="0" w:line="560" w:lineRule="exact"/>
        <w:rPr>
          <w:rFonts w:hint="eastAsia" w:eastAsia="宋体"/>
          <w:color w:val="000000" w:themeColor="text1"/>
          <w:sz w:val="36"/>
          <w:szCs w:val="36"/>
          <w:highlight w:val="none"/>
          <w:lang w:eastAsia="zh-CN"/>
          <w14:textFill>
            <w14:solidFill>
              <w14:schemeClr w14:val="tx1"/>
            </w14:solidFill>
          </w14:textFill>
        </w:rPr>
      </w:pPr>
      <w:bookmarkStart w:id="219" w:name="_Toc14746"/>
      <w:r>
        <w:rPr>
          <w:rFonts w:hint="eastAsia"/>
          <w:color w:val="000000" w:themeColor="text1"/>
          <w:sz w:val="36"/>
          <w:szCs w:val="36"/>
          <w:highlight w:val="none"/>
          <w14:textFill>
            <w14:solidFill>
              <w14:schemeClr w14:val="tx1"/>
            </w14:solidFill>
          </w14:textFill>
        </w:rPr>
        <w:t xml:space="preserve">第六章 </w:t>
      </w:r>
      <w:r>
        <w:rPr>
          <w:rFonts w:hint="eastAsia"/>
          <w:color w:val="000000" w:themeColor="text1"/>
          <w:sz w:val="36"/>
          <w:szCs w:val="36"/>
          <w:highlight w:val="none"/>
          <w:lang w:val="en-US" w:eastAsia="zh-CN"/>
          <w14:textFill>
            <w14:solidFill>
              <w14:schemeClr w14:val="tx1"/>
            </w14:solidFill>
          </w14:textFill>
        </w:rPr>
        <w:t xml:space="preserve"> </w:t>
      </w:r>
      <w:r>
        <w:rPr>
          <w:rFonts w:hint="eastAsia"/>
          <w:color w:val="000000" w:themeColor="text1"/>
          <w:sz w:val="36"/>
          <w:szCs w:val="36"/>
          <w:highlight w:val="none"/>
          <w14:textFill>
            <w14:solidFill>
              <w14:schemeClr w14:val="tx1"/>
            </w14:solidFill>
          </w14:textFill>
        </w:rPr>
        <w:t>投标文件格式</w:t>
      </w:r>
      <w:bookmarkEnd w:id="219"/>
      <w:r>
        <w:rPr>
          <w:rFonts w:hint="eastAsia" w:ascii="宋体" w:hAnsi="宋体" w:eastAsia="宋体" w:cs="宋体"/>
          <w:color w:val="000000" w:themeColor="text1"/>
          <w:sz w:val="36"/>
          <w:szCs w:val="36"/>
          <w:highlight w:val="none"/>
          <w:lang w:eastAsia="zh-CN"/>
          <w14:textFill>
            <w14:solidFill>
              <w14:schemeClr w14:val="tx1"/>
            </w14:solidFill>
          </w14:textFill>
        </w:rPr>
        <w:t>（标项</w:t>
      </w:r>
      <w:r>
        <w:rPr>
          <w:rFonts w:hint="eastAsia" w:ascii="宋体" w:hAnsi="宋体" w:eastAsia="宋体" w:cs="宋体"/>
          <w:color w:val="000000" w:themeColor="text1"/>
          <w:sz w:val="36"/>
          <w:szCs w:val="36"/>
          <w:highlight w:val="none"/>
          <w:lang w:val="en-US" w:eastAsia="zh-CN"/>
          <w14:textFill>
            <w14:solidFill>
              <w14:schemeClr w14:val="tx1"/>
            </w14:solidFill>
          </w14:textFill>
        </w:rPr>
        <w:t>1</w:t>
      </w:r>
      <w:r>
        <w:rPr>
          <w:rFonts w:hint="eastAsia" w:ascii="宋体" w:hAnsi="宋体" w:eastAsia="宋体" w:cs="宋体"/>
          <w:color w:val="000000" w:themeColor="text1"/>
          <w:sz w:val="36"/>
          <w:szCs w:val="36"/>
          <w:highlight w:val="none"/>
          <w:lang w:eastAsia="zh-CN"/>
          <w14:textFill>
            <w14:solidFill>
              <w14:schemeClr w14:val="tx1"/>
            </w14:solidFill>
          </w14:textFill>
        </w:rPr>
        <w:t>）</w:t>
      </w:r>
    </w:p>
    <w:p w14:paraId="376CBEB6">
      <w:pPr>
        <w:pageBreakBefore w:val="0"/>
        <w:wordWrap/>
        <w:topLinePunct w:val="0"/>
        <w:bidi w:val="0"/>
        <w:spacing w:before="120" w:beforeLines="50" w:after="120" w:afterLines="50" w:line="560" w:lineRule="exact"/>
        <w:jc w:val="center"/>
        <w:rPr>
          <w:rFonts w:hint="eastAsia" w:ascii="宋体" w:hAnsi="宋体" w:cs="宋体"/>
          <w:b/>
          <w:color w:val="000000" w:themeColor="text1"/>
          <w:spacing w:val="20"/>
          <w:sz w:val="44"/>
          <w:szCs w:val="44"/>
          <w:highlight w:val="none"/>
          <w:lang w:eastAsia="zh-CN"/>
          <w14:textFill>
            <w14:solidFill>
              <w14:schemeClr w14:val="tx1"/>
            </w14:solidFill>
          </w14:textFill>
        </w:rPr>
      </w:pPr>
    </w:p>
    <w:p w14:paraId="481562ED">
      <w:pPr>
        <w:pageBreakBefore w:val="0"/>
        <w:wordWrap/>
        <w:topLinePunct w:val="0"/>
        <w:bidi w:val="0"/>
        <w:spacing w:before="120" w:beforeLines="50" w:after="120" w:afterLines="50" w:line="560" w:lineRule="exact"/>
        <w:jc w:val="center"/>
        <w:rPr>
          <w:rFonts w:hint="eastAsia" w:ascii="宋体" w:hAnsi="宋体" w:cs="宋体"/>
          <w:b/>
          <w:color w:val="000000" w:themeColor="text1"/>
          <w:spacing w:val="20"/>
          <w:sz w:val="44"/>
          <w:szCs w:val="44"/>
          <w:highlight w:val="none"/>
          <w:lang w:eastAsia="zh-CN"/>
          <w14:textFill>
            <w14:solidFill>
              <w14:schemeClr w14:val="tx1"/>
            </w14:solidFill>
          </w14:textFill>
        </w:rPr>
      </w:pPr>
    </w:p>
    <w:p w14:paraId="7CE5D337">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color w:val="000000" w:themeColor="text1"/>
          <w:sz w:val="32"/>
          <w:szCs w:val="20"/>
          <w:highlight w:val="none"/>
          <w14:textFill>
            <w14:solidFill>
              <w14:schemeClr w14:val="tx1"/>
            </w14:solidFill>
          </w14:textFill>
        </w:rPr>
      </w:pPr>
      <w:bookmarkStart w:id="220" w:name="_Toc14830"/>
      <w:bookmarkStart w:id="221" w:name="_Toc140741993"/>
      <w:bookmarkStart w:id="222" w:name="_Toc140742538"/>
      <w:bookmarkStart w:id="223" w:name="_Toc138610907"/>
      <w:r>
        <w:rPr>
          <w:rFonts w:hint="eastAsia" w:ascii="宋体" w:hAnsi="宋体" w:eastAsia="宋体" w:cs="宋体"/>
          <w:color w:val="000000" w:themeColor="text1"/>
          <w:sz w:val="32"/>
          <w:szCs w:val="20"/>
          <w:highlight w:val="none"/>
          <w14:textFill>
            <w14:solidFill>
              <w14:schemeClr w14:val="tx1"/>
            </w14:solidFill>
          </w14:textFill>
        </w:rPr>
        <w:t>（项目名称）</w:t>
      </w:r>
      <w:bookmarkEnd w:id="220"/>
    </w:p>
    <w:p w14:paraId="64E57223">
      <w:pPr>
        <w:pStyle w:val="156"/>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color w:val="000000" w:themeColor="text1"/>
          <w:sz w:val="32"/>
          <w:szCs w:val="32"/>
          <w:highlight w:val="none"/>
          <w:lang w:eastAsia="zh-CN"/>
          <w14:textFill>
            <w14:solidFill>
              <w14:schemeClr w14:val="tx1"/>
            </w14:solidFill>
          </w14:textFill>
        </w:rPr>
      </w:pPr>
      <w:r>
        <w:rPr>
          <w:rFonts w:hint="eastAsia" w:ascii="宋体" w:hAnsi="宋体" w:eastAsia="宋体" w:cs="宋体"/>
          <w:color w:val="000000" w:themeColor="text1"/>
          <w:sz w:val="32"/>
          <w:szCs w:val="32"/>
          <w:highlight w:val="none"/>
          <w:lang w:eastAsia="zh-CN"/>
          <w14:textFill>
            <w14:solidFill>
              <w14:schemeClr w14:val="tx1"/>
            </w14:solidFill>
          </w14:textFill>
        </w:rPr>
        <w:t>（项目编号</w:t>
      </w:r>
      <w:r>
        <w:rPr>
          <w:rFonts w:hint="eastAsia" w:ascii="宋体" w:hAnsi="宋体" w:cs="宋体"/>
          <w:color w:val="000000" w:themeColor="text1"/>
          <w:sz w:val="32"/>
          <w:szCs w:val="32"/>
          <w:highlight w:val="none"/>
          <w:lang w:eastAsia="zh-CN"/>
          <w14:textFill>
            <w14:solidFill>
              <w14:schemeClr w14:val="tx1"/>
            </w14:solidFill>
          </w14:textFill>
        </w:rPr>
        <w:t>、标项名称</w:t>
      </w:r>
      <w:r>
        <w:rPr>
          <w:rFonts w:hint="eastAsia" w:ascii="宋体" w:hAnsi="宋体" w:eastAsia="宋体" w:cs="宋体"/>
          <w:color w:val="000000" w:themeColor="text1"/>
          <w:sz w:val="32"/>
          <w:szCs w:val="32"/>
          <w:highlight w:val="none"/>
          <w:lang w:eastAsia="zh-CN"/>
          <w14:textFill>
            <w14:solidFill>
              <w14:schemeClr w14:val="tx1"/>
            </w14:solidFill>
          </w14:textFill>
        </w:rPr>
        <w:t>）</w:t>
      </w:r>
    </w:p>
    <w:p w14:paraId="664B271B">
      <w:pPr>
        <w:pStyle w:val="156"/>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 xml:space="preserve">  </w:t>
      </w:r>
    </w:p>
    <w:p w14:paraId="63ACA636">
      <w:pPr>
        <w:pStyle w:val="156"/>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cs="宋体"/>
          <w:color w:val="000000" w:themeColor="text1"/>
          <w:sz w:val="24"/>
          <w:highlight w:val="none"/>
          <w14:textFill>
            <w14:solidFill>
              <w14:schemeClr w14:val="tx1"/>
            </w14:solidFill>
          </w14:textFill>
        </w:rPr>
      </w:pPr>
    </w:p>
    <w:p w14:paraId="39A7CE24">
      <w:pPr>
        <w:pStyle w:val="156"/>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cs="宋体"/>
          <w:color w:val="000000" w:themeColor="text1"/>
          <w:sz w:val="24"/>
          <w:highlight w:val="none"/>
          <w14:textFill>
            <w14:solidFill>
              <w14:schemeClr w14:val="tx1"/>
            </w14:solidFill>
          </w14:textFill>
        </w:rPr>
      </w:pPr>
    </w:p>
    <w:p w14:paraId="46AFB0A3">
      <w:pPr>
        <w:pStyle w:val="156"/>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cs="宋体"/>
          <w:b/>
          <w:color w:val="000000" w:themeColor="text1"/>
          <w:sz w:val="48"/>
          <w:szCs w:val="48"/>
          <w:highlight w:val="none"/>
          <w14:textFill>
            <w14:solidFill>
              <w14:schemeClr w14:val="tx1"/>
            </w14:solidFill>
          </w14:textFill>
        </w:rPr>
      </w:pPr>
      <w:r>
        <w:rPr>
          <w:rFonts w:hint="eastAsia" w:ascii="宋体" w:hAnsi="宋体" w:cs="宋体"/>
          <w:b/>
          <w:color w:val="000000" w:themeColor="text1"/>
          <w:sz w:val="48"/>
          <w:szCs w:val="48"/>
          <w:highlight w:val="none"/>
          <w14:textFill>
            <w14:solidFill>
              <w14:schemeClr w14:val="tx1"/>
            </w14:solidFill>
          </w14:textFill>
        </w:rPr>
        <w:t>响应文件</w:t>
      </w:r>
    </w:p>
    <w:p w14:paraId="6AC97D04">
      <w:pPr>
        <w:pStyle w:val="156"/>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cs="宋体"/>
          <w:color w:val="000000" w:themeColor="text1"/>
          <w:sz w:val="24"/>
          <w:highlight w:val="none"/>
          <w14:textFill>
            <w14:solidFill>
              <w14:schemeClr w14:val="tx1"/>
            </w14:solidFill>
          </w14:textFill>
        </w:rPr>
      </w:pPr>
    </w:p>
    <w:p w14:paraId="4C5B8410">
      <w:pPr>
        <w:pStyle w:val="156"/>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cs="宋体"/>
          <w:color w:val="000000" w:themeColor="text1"/>
          <w:sz w:val="24"/>
          <w:highlight w:val="none"/>
          <w14:textFill>
            <w14:solidFill>
              <w14:schemeClr w14:val="tx1"/>
            </w14:solidFill>
          </w14:textFill>
        </w:rPr>
      </w:pPr>
    </w:p>
    <w:p w14:paraId="2C76FEC9">
      <w:pPr>
        <w:pStyle w:val="156"/>
        <w:pageBreakBefore w:val="0"/>
        <w:wordWrap/>
        <w:topLinePunct w:val="0"/>
        <w:bidi w:val="0"/>
        <w:spacing w:line="560" w:lineRule="exact"/>
        <w:jc w:val="center"/>
        <w:rPr>
          <w:rFonts w:hint="eastAsia" w:ascii="宋体" w:hAnsi="宋体" w:cs="宋体"/>
          <w:b/>
          <w:color w:val="000000" w:themeColor="text1"/>
          <w:sz w:val="24"/>
          <w:highlight w:val="none"/>
          <w14:textFill>
            <w14:solidFill>
              <w14:schemeClr w14:val="tx1"/>
            </w14:solidFill>
          </w14:textFill>
        </w:rPr>
      </w:pPr>
    </w:p>
    <w:p w14:paraId="7EE9FB36">
      <w:pPr>
        <w:pStyle w:val="156"/>
        <w:pageBreakBefore w:val="0"/>
        <w:wordWrap/>
        <w:topLinePunct w:val="0"/>
        <w:bidi w:val="0"/>
        <w:spacing w:line="560" w:lineRule="exact"/>
        <w:jc w:val="center"/>
        <w:rPr>
          <w:rFonts w:hint="eastAsia" w:ascii="宋体" w:hAnsi="宋体" w:cs="宋体"/>
          <w:b/>
          <w:color w:val="000000" w:themeColor="text1"/>
          <w:sz w:val="24"/>
          <w:highlight w:val="none"/>
          <w14:textFill>
            <w14:solidFill>
              <w14:schemeClr w14:val="tx1"/>
            </w14:solidFill>
          </w14:textFill>
        </w:rPr>
      </w:pPr>
    </w:p>
    <w:p w14:paraId="23C590B0">
      <w:pPr>
        <w:pStyle w:val="158"/>
        <w:pageBreakBefore w:val="0"/>
        <w:wordWrap/>
        <w:topLinePunct w:val="0"/>
        <w:bidi w:val="0"/>
        <w:spacing w:line="560" w:lineRule="exact"/>
        <w:rPr>
          <w:rFonts w:hint="eastAsia" w:ascii="宋体" w:hAnsi="宋体" w:cs="宋体"/>
          <w:b/>
          <w:color w:val="000000" w:themeColor="text1"/>
          <w:sz w:val="24"/>
          <w:highlight w:val="none"/>
          <w:lang w:eastAsia="zh-CN"/>
          <w14:textFill>
            <w14:solidFill>
              <w14:schemeClr w14:val="tx1"/>
            </w14:solidFill>
          </w14:textFill>
        </w:rPr>
      </w:pPr>
    </w:p>
    <w:p w14:paraId="5E03DA16">
      <w:pPr>
        <w:pStyle w:val="158"/>
        <w:pageBreakBefore w:val="0"/>
        <w:wordWrap/>
        <w:topLinePunct w:val="0"/>
        <w:bidi w:val="0"/>
        <w:spacing w:line="560" w:lineRule="exact"/>
        <w:rPr>
          <w:rFonts w:hint="eastAsia" w:ascii="宋体" w:hAnsi="宋体" w:cs="宋体"/>
          <w:b/>
          <w:color w:val="000000" w:themeColor="text1"/>
          <w:sz w:val="24"/>
          <w:highlight w:val="none"/>
          <w:lang w:eastAsia="zh-CN"/>
          <w14:textFill>
            <w14:solidFill>
              <w14:schemeClr w14:val="tx1"/>
            </w14:solidFill>
          </w14:textFill>
        </w:rPr>
      </w:pPr>
    </w:p>
    <w:p w14:paraId="53BCF354">
      <w:pPr>
        <w:pStyle w:val="156"/>
        <w:pageBreakBefore w:val="0"/>
        <w:wordWrap/>
        <w:topLinePunct w:val="0"/>
        <w:bidi w:val="0"/>
        <w:spacing w:line="560" w:lineRule="exact"/>
        <w:jc w:val="center"/>
        <w:rPr>
          <w:rFonts w:hint="eastAsia" w:ascii="宋体" w:hAnsi="宋体" w:cs="宋体"/>
          <w:b/>
          <w:color w:val="000000" w:themeColor="text1"/>
          <w:sz w:val="24"/>
          <w:highlight w:val="none"/>
          <w14:textFill>
            <w14:solidFill>
              <w14:schemeClr w14:val="tx1"/>
            </w14:solidFill>
          </w14:textFill>
        </w:rPr>
      </w:pPr>
    </w:p>
    <w:p w14:paraId="0E9B70FC">
      <w:pPr>
        <w:pStyle w:val="156"/>
        <w:keepNext w:val="0"/>
        <w:keepLines w:val="0"/>
        <w:pageBreakBefore w:val="0"/>
        <w:widowControl w:val="0"/>
        <w:kinsoku/>
        <w:wordWrap/>
        <w:overflowPunct/>
        <w:topLinePunct w:val="0"/>
        <w:autoSpaceDE/>
        <w:autoSpaceDN/>
        <w:bidi w:val="0"/>
        <w:adjustRightInd/>
        <w:snapToGrid/>
        <w:spacing w:line="560" w:lineRule="exact"/>
        <w:ind w:firstLine="1400" w:firstLineChars="500"/>
        <w:textAlignment w:val="auto"/>
        <w:rPr>
          <w:rFonts w:hint="eastAsia" w:ascii="宋体" w:hAnsi="宋体" w:cs="宋体"/>
          <w:color w:val="000000" w:themeColor="text1"/>
          <w:sz w:val="28"/>
          <w:szCs w:val="28"/>
          <w:highlight w:val="none"/>
          <w:u w:val="singl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供 应 商：</w:t>
      </w:r>
      <w:r>
        <w:rPr>
          <w:rFonts w:hint="eastAsia" w:ascii="宋体" w:hAnsi="宋体" w:cs="宋体"/>
          <w:color w:val="000000" w:themeColor="text1"/>
          <w:sz w:val="28"/>
          <w:szCs w:val="28"/>
          <w:highlight w:val="none"/>
          <w:u w:val="single"/>
          <w14:textFill>
            <w14:solidFill>
              <w14:schemeClr w14:val="tx1"/>
            </w14:solidFill>
          </w14:textFill>
        </w:rPr>
        <w:t xml:space="preserve">                            </w:t>
      </w:r>
      <w:r>
        <w:rPr>
          <w:rFonts w:hint="eastAsia" w:ascii="宋体" w:hAnsi="宋体" w:cs="宋体"/>
          <w:color w:val="000000" w:themeColor="text1"/>
          <w:sz w:val="28"/>
          <w:szCs w:val="28"/>
          <w:highlight w:val="none"/>
          <w14:textFill>
            <w14:solidFill>
              <w14:schemeClr w14:val="tx1"/>
            </w14:solidFill>
          </w14:textFill>
        </w:rPr>
        <w:t>（电子</w:t>
      </w:r>
      <w:r>
        <w:rPr>
          <w:rFonts w:hint="eastAsia" w:ascii="宋体" w:hAnsi="宋体" w:cs="宋体"/>
          <w:color w:val="000000" w:themeColor="text1"/>
          <w:sz w:val="28"/>
          <w:szCs w:val="28"/>
          <w:highlight w:val="none"/>
          <w:lang w:eastAsia="zh-CN"/>
          <w14:textFill>
            <w14:solidFill>
              <w14:schemeClr w14:val="tx1"/>
            </w14:solidFill>
          </w14:textFill>
        </w:rPr>
        <w:t>公</w:t>
      </w:r>
      <w:r>
        <w:rPr>
          <w:rFonts w:hint="eastAsia" w:ascii="宋体" w:hAnsi="宋体" w:cs="宋体"/>
          <w:color w:val="000000" w:themeColor="text1"/>
          <w:sz w:val="28"/>
          <w:szCs w:val="28"/>
          <w:highlight w:val="none"/>
          <w14:textFill>
            <w14:solidFill>
              <w14:schemeClr w14:val="tx1"/>
            </w14:solidFill>
          </w14:textFill>
        </w:rPr>
        <w:t>章）</w:t>
      </w:r>
    </w:p>
    <w:p w14:paraId="7610EB7E">
      <w:pPr>
        <w:keepNext w:val="0"/>
        <w:keepLines w:val="0"/>
        <w:pageBreakBefore w:val="0"/>
        <w:widowControl w:val="0"/>
        <w:kinsoku/>
        <w:wordWrap/>
        <w:overflowPunct/>
        <w:topLinePunct w:val="0"/>
        <w:autoSpaceDE/>
        <w:autoSpaceDN/>
        <w:bidi w:val="0"/>
        <w:adjustRightInd/>
        <w:snapToGrid/>
        <w:spacing w:line="560" w:lineRule="exact"/>
        <w:ind w:firstLine="1400" w:firstLineChars="500"/>
        <w:textAlignment w:val="auto"/>
        <w:rPr>
          <w:rFonts w:hint="eastAsia"/>
          <w:color w:val="000000" w:themeColor="text1"/>
          <w:highlight w:val="none"/>
          <w14:textFill>
            <w14:solidFill>
              <w14:schemeClr w14:val="tx1"/>
            </w14:solidFill>
          </w14:textFill>
        </w:rPr>
      </w:pPr>
      <w:bookmarkStart w:id="224" w:name="_Toc28221"/>
      <w:r>
        <w:rPr>
          <w:rFonts w:hint="eastAsia" w:ascii="宋体" w:hAnsi="宋体" w:cs="宋体"/>
          <w:color w:val="000000" w:themeColor="text1"/>
          <w:sz w:val="28"/>
          <w:szCs w:val="28"/>
          <w:highlight w:val="none"/>
          <w14:textFill>
            <w14:solidFill>
              <w14:schemeClr w14:val="tx1"/>
            </w14:solidFill>
          </w14:textFill>
        </w:rPr>
        <w:t>法定代表人：</w:t>
      </w:r>
      <w:r>
        <w:rPr>
          <w:rFonts w:hint="eastAsia" w:ascii="宋体" w:hAnsi="宋体" w:eastAsia="宋体" w:cs="宋体"/>
          <w:color w:val="000000" w:themeColor="text1"/>
          <w:kern w:val="2"/>
          <w:sz w:val="28"/>
          <w:szCs w:val="28"/>
          <w:highlight w:val="none"/>
          <w:u w:val="single"/>
          <w:lang w:val="en-US" w:eastAsia="zh-CN" w:bidi="ar-SA"/>
          <w14:textFill>
            <w14:solidFill>
              <w14:schemeClr w14:val="tx1"/>
            </w14:solidFill>
          </w14:textFill>
        </w:rPr>
        <w:t xml:space="preserve">                          </w:t>
      </w:r>
      <w:r>
        <w:rPr>
          <w:rFonts w:hint="eastAsia" w:ascii="宋体" w:hAnsi="宋体" w:cs="宋体"/>
          <w:color w:val="000000" w:themeColor="text1"/>
          <w:sz w:val="28"/>
          <w:szCs w:val="28"/>
          <w:highlight w:val="none"/>
          <w14:textFill>
            <w14:solidFill>
              <w14:schemeClr w14:val="tx1"/>
            </w14:solidFill>
          </w14:textFill>
        </w:rPr>
        <w:t>（</w:t>
      </w:r>
      <w:r>
        <w:rPr>
          <w:rFonts w:hint="eastAsia" w:ascii="宋体" w:hAnsi="宋体" w:cs="宋体"/>
          <w:color w:val="000000" w:themeColor="text1"/>
          <w:sz w:val="28"/>
          <w:szCs w:val="28"/>
          <w:highlight w:val="none"/>
          <w:lang w:eastAsia="zh-CN"/>
          <w14:textFill>
            <w14:solidFill>
              <w14:schemeClr w14:val="tx1"/>
            </w14:solidFill>
          </w14:textFill>
        </w:rPr>
        <w:t>签字或盖章</w:t>
      </w:r>
      <w:r>
        <w:rPr>
          <w:rFonts w:hint="eastAsia" w:ascii="宋体" w:hAnsi="宋体" w:cs="宋体"/>
          <w:color w:val="000000" w:themeColor="text1"/>
          <w:sz w:val="28"/>
          <w:szCs w:val="28"/>
          <w:highlight w:val="none"/>
          <w14:textFill>
            <w14:solidFill>
              <w14:schemeClr w14:val="tx1"/>
            </w14:solidFill>
          </w14:textFill>
        </w:rPr>
        <w:t>）</w:t>
      </w:r>
      <w:bookmarkEnd w:id="224"/>
    </w:p>
    <w:p w14:paraId="34352E64">
      <w:pPr>
        <w:pStyle w:val="158"/>
        <w:keepNext w:val="0"/>
        <w:keepLines w:val="0"/>
        <w:pageBreakBefore w:val="0"/>
        <w:widowControl w:val="0"/>
        <w:kinsoku/>
        <w:wordWrap/>
        <w:overflowPunct/>
        <w:topLinePunct w:val="0"/>
        <w:autoSpaceDE/>
        <w:autoSpaceDN/>
        <w:bidi w:val="0"/>
        <w:adjustRightInd/>
        <w:snapToGrid/>
        <w:spacing w:line="560" w:lineRule="exact"/>
        <w:ind w:firstLine="1400" w:firstLineChars="500"/>
        <w:textAlignment w:val="auto"/>
        <w:rPr>
          <w:rFonts w:ascii="宋体" w:hAnsi="宋体" w:cs="宋体"/>
          <w:color w:val="000000" w:themeColor="text1"/>
          <w:sz w:val="28"/>
          <w:szCs w:val="28"/>
          <w:highlight w:val="none"/>
          <w:u w:val="singl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联 系 人：</w:t>
      </w:r>
      <w:r>
        <w:rPr>
          <w:rFonts w:hint="eastAsia" w:ascii="宋体" w:hAnsi="宋体" w:cs="宋体"/>
          <w:color w:val="000000" w:themeColor="text1"/>
          <w:sz w:val="28"/>
          <w:szCs w:val="28"/>
          <w:highlight w:val="none"/>
          <w:u w:val="single"/>
          <w14:textFill>
            <w14:solidFill>
              <w14:schemeClr w14:val="tx1"/>
            </w14:solidFill>
          </w14:textFill>
        </w:rPr>
        <w:t xml:space="preserve">                            </w:t>
      </w:r>
    </w:p>
    <w:p w14:paraId="7071F36D">
      <w:pPr>
        <w:pStyle w:val="158"/>
        <w:keepNext w:val="0"/>
        <w:keepLines w:val="0"/>
        <w:pageBreakBefore w:val="0"/>
        <w:widowControl w:val="0"/>
        <w:kinsoku/>
        <w:wordWrap/>
        <w:overflowPunct/>
        <w:topLinePunct w:val="0"/>
        <w:autoSpaceDE/>
        <w:autoSpaceDN/>
        <w:bidi w:val="0"/>
        <w:adjustRightInd/>
        <w:snapToGrid/>
        <w:spacing w:line="560" w:lineRule="exact"/>
        <w:ind w:firstLine="1400" w:firstLineChars="500"/>
        <w:textAlignment w:val="auto"/>
        <w:rPr>
          <w:rFonts w:hint="eastAsia" w:ascii="宋体" w:hAnsi="宋体" w:cs="宋体"/>
          <w:color w:val="000000" w:themeColor="text1"/>
          <w:sz w:val="28"/>
          <w:szCs w:val="28"/>
          <w:highlight w:val="none"/>
          <w:u w:val="singl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联系电话：</w:t>
      </w:r>
      <w:r>
        <w:rPr>
          <w:rFonts w:hint="eastAsia" w:ascii="宋体" w:hAnsi="宋体" w:cs="宋体"/>
          <w:color w:val="000000" w:themeColor="text1"/>
          <w:sz w:val="28"/>
          <w:szCs w:val="28"/>
          <w:highlight w:val="none"/>
          <w:u w:val="single"/>
          <w14:textFill>
            <w14:solidFill>
              <w14:schemeClr w14:val="tx1"/>
            </w14:solidFill>
          </w14:textFill>
        </w:rPr>
        <w:t xml:space="preserve">                            </w:t>
      </w:r>
    </w:p>
    <w:p w14:paraId="6495319E">
      <w:pPr>
        <w:pStyle w:val="156"/>
        <w:keepNext w:val="0"/>
        <w:keepLines w:val="0"/>
        <w:pageBreakBefore w:val="0"/>
        <w:widowControl w:val="0"/>
        <w:kinsoku/>
        <w:wordWrap/>
        <w:overflowPunct/>
        <w:topLinePunct w:val="0"/>
        <w:autoSpaceDE/>
        <w:autoSpaceDN/>
        <w:bidi w:val="0"/>
        <w:adjustRightInd/>
        <w:snapToGrid/>
        <w:spacing w:line="560" w:lineRule="exact"/>
        <w:ind w:firstLine="1400" w:firstLineChars="500"/>
        <w:textAlignment w:val="auto"/>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日    期：</w:t>
      </w:r>
      <w:r>
        <w:rPr>
          <w:rFonts w:hint="eastAsia" w:ascii="宋体" w:hAnsi="宋体" w:cs="宋体"/>
          <w:color w:val="000000" w:themeColor="text1"/>
          <w:sz w:val="28"/>
          <w:szCs w:val="28"/>
          <w:highlight w:val="none"/>
          <w:u w:val="single"/>
          <w14:textFill>
            <w14:solidFill>
              <w14:schemeClr w14:val="tx1"/>
            </w14:solidFill>
          </w14:textFill>
        </w:rPr>
        <w:t xml:space="preserve">                            </w:t>
      </w:r>
      <w:r>
        <w:rPr>
          <w:rFonts w:hint="eastAsia" w:ascii="宋体" w:hAnsi="宋体" w:cs="宋体"/>
          <w:color w:val="000000" w:themeColor="text1"/>
          <w:sz w:val="28"/>
          <w:szCs w:val="28"/>
          <w:highlight w:val="none"/>
          <w14:textFill>
            <w14:solidFill>
              <w14:schemeClr w14:val="tx1"/>
            </w14:solidFill>
          </w14:textFill>
        </w:rPr>
        <w:t>（年/月/日）</w:t>
      </w:r>
    </w:p>
    <w:p w14:paraId="66AE2628">
      <w:pPr>
        <w:pageBreakBefore w:val="0"/>
        <w:wordWrap/>
        <w:topLinePunct w:val="0"/>
        <w:bidi w:val="0"/>
        <w:spacing w:line="560" w:lineRule="exact"/>
        <w:rPr>
          <w:rFonts w:hint="eastAsia"/>
          <w:color w:val="000000" w:themeColor="text1"/>
          <w:highlight w:val="none"/>
          <w14:textFill>
            <w14:solidFill>
              <w14:schemeClr w14:val="tx1"/>
            </w14:solidFill>
          </w14:textFill>
        </w:rPr>
      </w:pPr>
    </w:p>
    <w:p w14:paraId="57AFBDBB">
      <w:pPr>
        <w:pageBreakBefore w:val="0"/>
        <w:wordWrap/>
        <w:topLinePunct w:val="0"/>
        <w:bidi w:val="0"/>
        <w:spacing w:line="560" w:lineRule="exact"/>
        <w:rPr>
          <w:rFonts w:hint="eastAsia"/>
          <w:color w:val="000000" w:themeColor="text1"/>
          <w:highlight w:val="none"/>
          <w14:textFill>
            <w14:solidFill>
              <w14:schemeClr w14:val="tx1"/>
            </w14:solidFill>
          </w14:textFill>
        </w:rPr>
      </w:pPr>
    </w:p>
    <w:p w14:paraId="2A70B17D">
      <w:pPr>
        <w:pageBreakBefore w:val="0"/>
        <w:wordWrap/>
        <w:topLinePunct w:val="0"/>
        <w:bidi w:val="0"/>
        <w:spacing w:line="560" w:lineRule="exact"/>
        <w:rPr>
          <w:rFonts w:hint="eastAsia"/>
          <w:color w:val="000000" w:themeColor="text1"/>
          <w:highlight w:val="none"/>
          <w14:textFill>
            <w14:solidFill>
              <w14:schemeClr w14:val="tx1"/>
            </w14:solidFill>
          </w14:textFill>
        </w:rPr>
      </w:pPr>
    </w:p>
    <w:p w14:paraId="73E6DF4C">
      <w:pPr>
        <w:pageBreakBefore w:val="0"/>
        <w:wordWrap/>
        <w:topLinePunct w:val="0"/>
        <w:bidi w:val="0"/>
        <w:spacing w:line="560" w:lineRule="exact"/>
        <w:rPr>
          <w:rFonts w:hint="eastAsia"/>
          <w:color w:val="000000" w:themeColor="text1"/>
          <w:highlight w:val="none"/>
          <w14:textFill>
            <w14:solidFill>
              <w14:schemeClr w14:val="tx1"/>
            </w14:solidFill>
          </w14:textFill>
        </w:rPr>
      </w:pPr>
    </w:p>
    <w:bookmarkEnd w:id="221"/>
    <w:bookmarkEnd w:id="222"/>
    <w:bookmarkEnd w:id="223"/>
    <w:p w14:paraId="6C7C4A0D">
      <w:pPr>
        <w:pageBreakBefore w:val="0"/>
        <w:wordWrap/>
        <w:topLinePunct w:val="0"/>
        <w:bidi w:val="0"/>
        <w:spacing w:line="560" w:lineRule="exact"/>
        <w:jc w:val="center"/>
        <w:rPr>
          <w:rFonts w:cs="仿宋_GB2312" w:asciiTheme="minorEastAsia" w:hAnsiTheme="minorEastAsia" w:eastAsiaTheme="minorEastAsia"/>
          <w:color w:val="000000" w:themeColor="text1"/>
          <w:kern w:val="0"/>
          <w:sz w:val="28"/>
          <w:szCs w:val="28"/>
          <w:highlight w:val="none"/>
          <w14:textFill>
            <w14:solidFill>
              <w14:schemeClr w14:val="tx1"/>
            </w14:solidFill>
          </w14:textFill>
        </w:rPr>
      </w:pPr>
      <w:r>
        <w:rPr>
          <w:rFonts w:hint="eastAsia" w:cs="仿宋_GB2312" w:asciiTheme="minorEastAsia" w:hAnsiTheme="minorEastAsia" w:eastAsiaTheme="minorEastAsia"/>
          <w:b/>
          <w:color w:val="000000" w:themeColor="text1"/>
          <w:kern w:val="0"/>
          <w:sz w:val="28"/>
          <w:szCs w:val="28"/>
          <w:highlight w:val="none"/>
          <w14:textFill>
            <w14:solidFill>
              <w14:schemeClr w14:val="tx1"/>
            </w14:solidFill>
          </w14:textFill>
        </w:rPr>
        <w:t>资格证明文件目录</w:t>
      </w:r>
    </w:p>
    <w:p w14:paraId="12DD2AB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cs="仿宋_GB2312" w:asciiTheme="minorEastAsia" w:hAnsiTheme="minorEastAsia" w:eastAsiaTheme="minorEastAsia"/>
          <w:color w:val="000000" w:themeColor="text1"/>
          <w:kern w:val="0"/>
          <w:sz w:val="28"/>
          <w:szCs w:val="28"/>
          <w:highlight w:val="none"/>
          <w14:textFill>
            <w14:solidFill>
              <w14:schemeClr w14:val="tx1"/>
            </w14:solidFill>
          </w14:textFill>
        </w:rPr>
      </w:pPr>
      <w:r>
        <w:rPr>
          <w:rFonts w:hint="eastAsia" w:cs="仿宋_GB2312" w:asciiTheme="minorEastAsia" w:hAnsiTheme="minorEastAsia" w:eastAsiaTheme="minorEastAsia"/>
          <w:color w:val="000000" w:themeColor="text1"/>
          <w:kern w:val="0"/>
          <w:sz w:val="28"/>
          <w:szCs w:val="28"/>
          <w:highlight w:val="none"/>
          <w14:textFill>
            <w14:solidFill>
              <w14:schemeClr w14:val="tx1"/>
            </w14:solidFill>
          </w14:textFill>
        </w:rPr>
        <w:t>一、合法有效的法人营业执照………………………………………………（页码）</w:t>
      </w:r>
    </w:p>
    <w:p w14:paraId="30ADC1F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cs="仿宋_GB2312" w:asciiTheme="minorEastAsia" w:hAnsiTheme="minorEastAsia" w:eastAsiaTheme="minorEastAsia"/>
          <w:color w:val="000000" w:themeColor="text1"/>
          <w:kern w:val="0"/>
          <w:sz w:val="28"/>
          <w:szCs w:val="28"/>
          <w:highlight w:val="none"/>
          <w14:textFill>
            <w14:solidFill>
              <w14:schemeClr w14:val="tx1"/>
            </w14:solidFill>
          </w14:textFill>
        </w:rPr>
      </w:pPr>
      <w:r>
        <w:rPr>
          <w:rFonts w:hint="eastAsia" w:cs="仿宋_GB2312" w:asciiTheme="minorEastAsia" w:hAnsiTheme="minorEastAsia" w:eastAsiaTheme="minorEastAsia"/>
          <w:color w:val="000000" w:themeColor="text1"/>
          <w:kern w:val="0"/>
          <w:sz w:val="28"/>
          <w:szCs w:val="28"/>
          <w:highlight w:val="none"/>
          <w14:textFill>
            <w14:solidFill>
              <w14:schemeClr w14:val="tx1"/>
            </w14:solidFill>
          </w14:textFill>
        </w:rPr>
        <w:t>二、202</w:t>
      </w:r>
      <w:r>
        <w:rPr>
          <w:rFonts w:hint="eastAsia" w:cs="仿宋_GB2312" w:asciiTheme="minorEastAsia" w:hAnsiTheme="minorEastAsia" w:eastAsiaTheme="minorEastAsia"/>
          <w:color w:val="000000" w:themeColor="text1"/>
          <w:kern w:val="0"/>
          <w:sz w:val="28"/>
          <w:szCs w:val="28"/>
          <w:highlight w:val="none"/>
          <w:lang w:val="en-US" w:eastAsia="zh-CN"/>
          <w14:textFill>
            <w14:solidFill>
              <w14:schemeClr w14:val="tx1"/>
            </w14:solidFill>
          </w14:textFill>
        </w:rPr>
        <w:t>2</w:t>
      </w:r>
      <w:r>
        <w:rPr>
          <w:rFonts w:hint="eastAsia" w:cs="仿宋_GB2312" w:asciiTheme="minorEastAsia" w:hAnsiTheme="minorEastAsia" w:eastAsiaTheme="minorEastAsia"/>
          <w:color w:val="000000" w:themeColor="text1"/>
          <w:kern w:val="0"/>
          <w:sz w:val="28"/>
          <w:szCs w:val="28"/>
          <w:highlight w:val="none"/>
          <w14:textFill>
            <w14:solidFill>
              <w14:schemeClr w14:val="tx1"/>
            </w14:solidFill>
          </w14:textFill>
        </w:rPr>
        <w:t>-202</w:t>
      </w:r>
      <w:r>
        <w:rPr>
          <w:rFonts w:hint="eastAsia" w:cs="仿宋_GB2312" w:asciiTheme="minorEastAsia" w:hAnsiTheme="minorEastAsia" w:eastAsiaTheme="minorEastAsia"/>
          <w:color w:val="000000" w:themeColor="text1"/>
          <w:kern w:val="0"/>
          <w:sz w:val="28"/>
          <w:szCs w:val="28"/>
          <w:highlight w:val="none"/>
          <w:lang w:val="en-US" w:eastAsia="zh-CN"/>
          <w14:textFill>
            <w14:solidFill>
              <w14:schemeClr w14:val="tx1"/>
            </w14:solidFill>
          </w14:textFill>
        </w:rPr>
        <w:t>4</w:t>
      </w:r>
      <w:r>
        <w:rPr>
          <w:rFonts w:hint="eastAsia" w:cs="仿宋_GB2312" w:asciiTheme="minorEastAsia" w:hAnsiTheme="minorEastAsia" w:eastAsiaTheme="minorEastAsia"/>
          <w:color w:val="000000" w:themeColor="text1"/>
          <w:kern w:val="0"/>
          <w:sz w:val="28"/>
          <w:szCs w:val="28"/>
          <w:highlight w:val="none"/>
          <w14:textFill>
            <w14:solidFill>
              <w14:schemeClr w14:val="tx1"/>
            </w14:solidFill>
          </w14:textFill>
        </w:rPr>
        <w:t xml:space="preserve">年任意一年的财务报表或审计报告………………………（页码） </w:t>
      </w:r>
    </w:p>
    <w:p w14:paraId="17B437D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cs="仿宋_GB2312" w:asciiTheme="minorEastAsia" w:hAnsiTheme="minorEastAsia" w:eastAsiaTheme="minorEastAsia"/>
          <w:color w:val="000000" w:themeColor="text1"/>
          <w:kern w:val="0"/>
          <w:sz w:val="28"/>
          <w:szCs w:val="28"/>
          <w:highlight w:val="none"/>
          <w14:textFill>
            <w14:solidFill>
              <w14:schemeClr w14:val="tx1"/>
            </w14:solidFill>
          </w14:textFill>
        </w:rPr>
      </w:pPr>
      <w:r>
        <w:rPr>
          <w:rFonts w:hint="eastAsia" w:cs="仿宋_GB2312" w:asciiTheme="minorEastAsia" w:hAnsiTheme="minorEastAsia" w:eastAsiaTheme="minorEastAsia"/>
          <w:color w:val="000000" w:themeColor="text1"/>
          <w:kern w:val="0"/>
          <w:sz w:val="28"/>
          <w:szCs w:val="28"/>
          <w:highlight w:val="none"/>
          <w14:textFill>
            <w14:solidFill>
              <w14:schemeClr w14:val="tx1"/>
            </w14:solidFill>
          </w14:textFill>
        </w:rPr>
        <w:t>三、根据项目需求提供履行合同所必需的设备和专业技术能力的加盖单位公章的书面承诺函…………………………………………………………………（页码）</w:t>
      </w:r>
    </w:p>
    <w:p w14:paraId="2569734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cs="仿宋_GB2312" w:asciiTheme="minorEastAsia" w:hAnsiTheme="minorEastAsia" w:eastAsiaTheme="minorEastAsia"/>
          <w:color w:val="000000" w:themeColor="text1"/>
          <w:kern w:val="0"/>
          <w:sz w:val="28"/>
          <w:szCs w:val="28"/>
          <w:highlight w:val="none"/>
          <w14:textFill>
            <w14:solidFill>
              <w14:schemeClr w14:val="tx1"/>
            </w14:solidFill>
          </w14:textFill>
        </w:rPr>
      </w:pPr>
      <w:r>
        <w:rPr>
          <w:rFonts w:hint="eastAsia" w:cs="仿宋_GB2312" w:asciiTheme="minorEastAsia" w:hAnsiTheme="minorEastAsia" w:eastAsiaTheme="minorEastAsia"/>
          <w:color w:val="000000" w:themeColor="text1"/>
          <w:kern w:val="0"/>
          <w:sz w:val="28"/>
          <w:szCs w:val="28"/>
          <w:highlight w:val="none"/>
          <w14:textFill>
            <w14:solidFill>
              <w14:schemeClr w14:val="tx1"/>
            </w14:solidFill>
          </w14:textFill>
        </w:rPr>
        <w:t>四、提供参加本次政府采购活动前近半年任意一个月的依法缴纳税收和社会保障资金的相关材料……………………………………………………………（页码）</w:t>
      </w:r>
    </w:p>
    <w:p w14:paraId="5ECAE96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cs="仿宋_GB2312" w:asciiTheme="minorEastAsia" w:hAnsiTheme="minorEastAsia" w:eastAsiaTheme="minorEastAsia"/>
          <w:color w:val="000000" w:themeColor="text1"/>
          <w:kern w:val="0"/>
          <w:sz w:val="28"/>
          <w:szCs w:val="28"/>
          <w:highlight w:val="none"/>
          <w14:textFill>
            <w14:solidFill>
              <w14:schemeClr w14:val="tx1"/>
            </w14:solidFill>
          </w14:textFill>
        </w:rPr>
      </w:pPr>
      <w:r>
        <w:rPr>
          <w:rFonts w:hint="eastAsia" w:cs="仿宋_GB2312" w:asciiTheme="minorEastAsia" w:hAnsiTheme="minorEastAsia" w:eastAsiaTheme="minorEastAsia"/>
          <w:color w:val="000000" w:themeColor="text1"/>
          <w:kern w:val="0"/>
          <w:sz w:val="28"/>
          <w:szCs w:val="28"/>
          <w:highlight w:val="none"/>
          <w14:textFill>
            <w14:solidFill>
              <w14:schemeClr w14:val="tx1"/>
            </w14:solidFill>
          </w14:textFill>
        </w:rPr>
        <w:t>五、提供参加本次政府采购活动前3年内在经营活动中没有重大违法记录的书面承诺函并加盖单位公章……………………………………………………（页码）</w:t>
      </w:r>
    </w:p>
    <w:p w14:paraId="0DD7501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cs="仿宋_GB2312" w:asciiTheme="minorEastAsia" w:hAnsiTheme="minorEastAsia" w:eastAsiaTheme="minorEastAsia"/>
          <w:color w:val="000000" w:themeColor="text1"/>
          <w:kern w:val="0"/>
          <w:sz w:val="28"/>
          <w:szCs w:val="28"/>
          <w:highlight w:val="none"/>
          <w14:textFill>
            <w14:solidFill>
              <w14:schemeClr w14:val="tx1"/>
            </w14:solidFill>
          </w14:textFill>
        </w:rPr>
      </w:pPr>
      <w:r>
        <w:rPr>
          <w:rFonts w:hint="eastAsia" w:cs="仿宋_GB2312" w:asciiTheme="minorEastAsia" w:hAnsiTheme="minorEastAsia" w:eastAsiaTheme="minorEastAsia"/>
          <w:color w:val="000000" w:themeColor="text1"/>
          <w:kern w:val="0"/>
          <w:sz w:val="28"/>
          <w:szCs w:val="28"/>
          <w:highlight w:val="none"/>
          <w14:textFill>
            <w14:solidFill>
              <w14:schemeClr w14:val="tx1"/>
            </w14:solidFill>
          </w14:textFill>
        </w:rPr>
        <w:t>六、</w:t>
      </w:r>
      <w:r>
        <w:rPr>
          <w:rFonts w:hint="eastAsia" w:asciiTheme="minorEastAsia" w:hAnsiTheme="minorEastAsia" w:eastAsiaTheme="minorEastAsia" w:cstheme="minorEastAsia"/>
          <w:color w:val="000000" w:themeColor="text1"/>
          <w:kern w:val="0"/>
          <w:sz w:val="28"/>
          <w:szCs w:val="28"/>
          <w:highlight w:val="none"/>
          <w14:textFill>
            <w14:solidFill>
              <w14:schemeClr w14:val="tx1"/>
            </w14:solidFill>
          </w14:textFill>
        </w:rPr>
        <w:t>法律、行政法规规定的其他条件</w:t>
      </w:r>
      <w:r>
        <w:rPr>
          <w:rFonts w:hint="eastAsia" w:cs="仿宋_GB2312" w:asciiTheme="minorEastAsia" w:hAnsiTheme="minorEastAsia" w:eastAsiaTheme="minorEastAsia"/>
          <w:color w:val="000000" w:themeColor="text1"/>
          <w:kern w:val="0"/>
          <w:sz w:val="28"/>
          <w:szCs w:val="28"/>
          <w:highlight w:val="none"/>
          <w14:textFill>
            <w14:solidFill>
              <w14:schemeClr w14:val="tx1"/>
            </w14:solidFill>
          </w14:textFill>
        </w:rPr>
        <w:t>………………………………………（页码）</w:t>
      </w:r>
    </w:p>
    <w:p w14:paraId="6E0D694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cs="仿宋_GB2312" w:asciiTheme="minorEastAsia" w:hAnsiTheme="minorEastAsia" w:eastAsiaTheme="minorEastAsia"/>
          <w:color w:val="000000" w:themeColor="text1"/>
          <w:kern w:val="0"/>
          <w:sz w:val="28"/>
          <w:szCs w:val="28"/>
          <w:highlight w:val="none"/>
          <w14:textFill>
            <w14:solidFill>
              <w14:schemeClr w14:val="tx1"/>
            </w14:solidFill>
          </w14:textFill>
        </w:rPr>
      </w:pPr>
      <w:r>
        <w:rPr>
          <w:rFonts w:hint="eastAsia" w:cs="仿宋_GB2312" w:asciiTheme="minorEastAsia" w:hAnsiTheme="minorEastAsia" w:eastAsiaTheme="minorEastAsia"/>
          <w:color w:val="000000" w:themeColor="text1"/>
          <w:kern w:val="0"/>
          <w:sz w:val="28"/>
          <w:szCs w:val="28"/>
          <w:highlight w:val="none"/>
          <w14:textFill>
            <w14:solidFill>
              <w14:schemeClr w14:val="tx1"/>
            </w14:solidFill>
          </w14:textFill>
        </w:rPr>
        <w:t>七、投标保证金凭证…………………………………………………………（页码）</w:t>
      </w:r>
    </w:p>
    <w:p w14:paraId="6F610DAC">
      <w:pPr>
        <w:pageBreakBefore w:val="0"/>
        <w:wordWrap/>
        <w:topLinePunct w:val="0"/>
        <w:bidi w:val="0"/>
        <w:spacing w:line="560" w:lineRule="exact"/>
        <w:jc w:val="center"/>
        <w:rPr>
          <w:rFonts w:ascii="宋体" w:hAnsi="宋体" w:cs="宋体"/>
          <w:color w:val="000000" w:themeColor="text1"/>
          <w:highlight w:val="none"/>
          <w14:textFill>
            <w14:solidFill>
              <w14:schemeClr w14:val="tx1"/>
            </w14:solidFill>
          </w14:textFill>
        </w:rPr>
      </w:pPr>
      <w:r>
        <w:rPr>
          <w:rFonts w:hint="eastAsia" w:cs="仿宋_GB2312" w:asciiTheme="minorEastAsia" w:hAnsiTheme="minorEastAsia" w:eastAsiaTheme="minorEastAsia"/>
          <w:b/>
          <w:color w:val="000000" w:themeColor="text1"/>
          <w:kern w:val="0"/>
          <w:sz w:val="28"/>
          <w:szCs w:val="28"/>
          <w:highlight w:val="none"/>
          <w14:textFill>
            <w14:solidFill>
              <w14:schemeClr w14:val="tx1"/>
            </w14:solidFill>
          </w14:textFill>
        </w:rPr>
        <w:t>报价文件目录</w:t>
      </w:r>
    </w:p>
    <w:p w14:paraId="00FC8B44">
      <w:pPr>
        <w:pageBreakBefore w:val="0"/>
        <w:wordWrap/>
        <w:topLinePunct w:val="0"/>
        <w:bidi w:val="0"/>
        <w:spacing w:line="560" w:lineRule="exact"/>
        <w:rPr>
          <w:rFonts w:cs="仿宋_GB2312" w:asciiTheme="minorEastAsia" w:hAnsiTheme="minorEastAsia" w:eastAsiaTheme="minorEastAsia"/>
          <w:color w:val="000000" w:themeColor="text1"/>
          <w:kern w:val="0"/>
          <w:sz w:val="28"/>
          <w:szCs w:val="28"/>
          <w:highlight w:val="none"/>
          <w14:textFill>
            <w14:solidFill>
              <w14:schemeClr w14:val="tx1"/>
            </w14:solidFill>
          </w14:textFill>
        </w:rPr>
      </w:pPr>
      <w:r>
        <w:rPr>
          <w:rFonts w:hint="eastAsia" w:cs="仿宋_GB2312" w:asciiTheme="minorEastAsia" w:hAnsiTheme="minorEastAsia" w:eastAsiaTheme="minorEastAsia"/>
          <w:color w:val="000000" w:themeColor="text1"/>
          <w:kern w:val="0"/>
          <w:sz w:val="28"/>
          <w:szCs w:val="28"/>
          <w:highlight w:val="none"/>
          <w14:textFill>
            <w14:solidFill>
              <w14:schemeClr w14:val="tx1"/>
            </w14:solidFill>
          </w14:textFill>
        </w:rPr>
        <w:t>一、投标函……………………………………………………………………（页码）</w:t>
      </w:r>
    </w:p>
    <w:p w14:paraId="30EE1A04">
      <w:pPr>
        <w:pageBreakBefore w:val="0"/>
        <w:wordWrap/>
        <w:topLinePunct w:val="0"/>
        <w:bidi w:val="0"/>
        <w:spacing w:line="560" w:lineRule="exact"/>
        <w:rPr>
          <w:rFonts w:cs="仿宋_GB2312" w:asciiTheme="minorEastAsia" w:hAnsiTheme="minorEastAsia" w:eastAsiaTheme="minorEastAsia"/>
          <w:color w:val="000000" w:themeColor="text1"/>
          <w:kern w:val="0"/>
          <w:sz w:val="28"/>
          <w:szCs w:val="28"/>
          <w:highlight w:val="none"/>
          <w14:textFill>
            <w14:solidFill>
              <w14:schemeClr w14:val="tx1"/>
            </w14:solidFill>
          </w14:textFill>
        </w:rPr>
      </w:pPr>
      <w:r>
        <w:rPr>
          <w:rFonts w:hint="eastAsia" w:cs="仿宋_GB2312" w:asciiTheme="minorEastAsia" w:hAnsiTheme="minorEastAsia" w:eastAsiaTheme="minorEastAsia"/>
          <w:color w:val="000000" w:themeColor="text1"/>
          <w:kern w:val="0"/>
          <w:sz w:val="28"/>
          <w:szCs w:val="28"/>
          <w:highlight w:val="none"/>
          <w14:textFill>
            <w14:solidFill>
              <w14:schemeClr w14:val="tx1"/>
            </w14:solidFill>
          </w14:textFill>
        </w:rPr>
        <w:t>二、开标一览表………………………………………………………………（页码）</w:t>
      </w:r>
    </w:p>
    <w:p w14:paraId="1E651AF7">
      <w:pPr>
        <w:pageBreakBefore w:val="0"/>
        <w:wordWrap/>
        <w:topLinePunct w:val="0"/>
        <w:bidi w:val="0"/>
        <w:spacing w:line="560" w:lineRule="exact"/>
        <w:rPr>
          <w:rFonts w:cs="仿宋_GB2312" w:asciiTheme="minorEastAsia" w:hAnsiTheme="minorEastAsia" w:eastAsiaTheme="minorEastAsia"/>
          <w:color w:val="000000" w:themeColor="text1"/>
          <w:sz w:val="28"/>
          <w:szCs w:val="28"/>
          <w:highlight w:val="none"/>
          <w14:textFill>
            <w14:solidFill>
              <w14:schemeClr w14:val="tx1"/>
            </w14:solidFill>
          </w14:textFill>
        </w:rPr>
      </w:pPr>
      <w:r>
        <w:rPr>
          <w:rFonts w:hint="eastAsia" w:cs="仿宋_GB2312" w:asciiTheme="minorEastAsia" w:hAnsiTheme="minorEastAsia" w:eastAsiaTheme="minorEastAsia"/>
          <w:color w:val="000000" w:themeColor="text1"/>
          <w:kern w:val="0"/>
          <w:sz w:val="28"/>
          <w:szCs w:val="28"/>
          <w:highlight w:val="none"/>
          <w14:textFill>
            <w14:solidFill>
              <w14:schemeClr w14:val="tx1"/>
            </w14:solidFill>
          </w14:textFill>
        </w:rPr>
        <w:t>三、分项报价表………………………………………………………………（页码）</w:t>
      </w:r>
    </w:p>
    <w:p w14:paraId="40F42CBA">
      <w:pPr>
        <w:pageBreakBefore w:val="0"/>
        <w:widowControl/>
        <w:wordWrap/>
        <w:topLinePunct w:val="0"/>
        <w:bidi w:val="0"/>
        <w:spacing w:line="560" w:lineRule="exact"/>
        <w:jc w:val="left"/>
        <w:rPr>
          <w:rFonts w:hint="eastAsia" w:cs="仿宋_GB2312" w:asciiTheme="minorEastAsia" w:hAnsiTheme="minorEastAsia" w:eastAsiaTheme="minorEastAsia"/>
          <w:b/>
          <w:color w:val="000000" w:themeColor="text1"/>
          <w:kern w:val="0"/>
          <w:sz w:val="28"/>
          <w:szCs w:val="28"/>
          <w:highlight w:val="none"/>
          <w14:textFill>
            <w14:solidFill>
              <w14:schemeClr w14:val="tx1"/>
            </w14:solidFill>
          </w14:textFill>
        </w:rPr>
      </w:pPr>
      <w:r>
        <w:rPr>
          <w:rFonts w:hint="eastAsia" w:cs="仿宋_GB2312" w:asciiTheme="minorEastAsia" w:hAnsiTheme="minorEastAsia" w:eastAsiaTheme="minorEastAsia"/>
          <w:color w:val="000000" w:themeColor="text1"/>
          <w:kern w:val="0"/>
          <w:sz w:val="28"/>
          <w:szCs w:val="28"/>
          <w:highlight w:val="none"/>
          <w14:textFill>
            <w14:solidFill>
              <w14:schemeClr w14:val="tx1"/>
            </w14:solidFill>
          </w14:textFill>
        </w:rPr>
        <w:t>四、中小企业</w:t>
      </w:r>
      <w:r>
        <w:rPr>
          <w:rFonts w:hint="eastAsia" w:cs="仿宋_GB2312" w:asciiTheme="minorEastAsia" w:hAnsiTheme="minorEastAsia" w:eastAsiaTheme="minorEastAsia"/>
          <w:color w:val="000000" w:themeColor="text1"/>
          <w:kern w:val="0"/>
          <w:sz w:val="28"/>
          <w:szCs w:val="28"/>
          <w:highlight w:val="none"/>
          <w:lang w:eastAsia="zh-CN"/>
          <w14:textFill>
            <w14:solidFill>
              <w14:schemeClr w14:val="tx1"/>
            </w14:solidFill>
          </w14:textFill>
        </w:rPr>
        <w:t>声</w:t>
      </w:r>
      <w:r>
        <w:rPr>
          <w:rFonts w:hint="eastAsia" w:cs="仿宋_GB2312" w:asciiTheme="minorEastAsia" w:hAnsiTheme="minorEastAsia" w:eastAsiaTheme="minorEastAsia"/>
          <w:color w:val="000000" w:themeColor="text1"/>
          <w:kern w:val="0"/>
          <w:sz w:val="28"/>
          <w:szCs w:val="28"/>
          <w:highlight w:val="none"/>
          <w14:textFill>
            <w14:solidFill>
              <w14:schemeClr w14:val="tx1"/>
            </w14:solidFill>
          </w14:textFill>
        </w:rPr>
        <w:t>明函…………………………………………………………（页码）</w:t>
      </w:r>
    </w:p>
    <w:p w14:paraId="4EDEA8B2">
      <w:pPr>
        <w:pageBreakBefore w:val="0"/>
        <w:wordWrap/>
        <w:topLinePunct w:val="0"/>
        <w:bidi w:val="0"/>
        <w:spacing w:line="560" w:lineRule="exact"/>
        <w:jc w:val="center"/>
        <w:rPr>
          <w:rFonts w:cs="仿宋_GB2312" w:asciiTheme="minorEastAsia" w:hAnsiTheme="minorEastAsia" w:eastAsiaTheme="minorEastAsia"/>
          <w:b/>
          <w:color w:val="000000" w:themeColor="text1"/>
          <w:kern w:val="0"/>
          <w:sz w:val="28"/>
          <w:szCs w:val="28"/>
          <w:highlight w:val="none"/>
          <w14:textFill>
            <w14:solidFill>
              <w14:schemeClr w14:val="tx1"/>
            </w14:solidFill>
          </w14:textFill>
        </w:rPr>
      </w:pPr>
      <w:r>
        <w:rPr>
          <w:rFonts w:hint="eastAsia" w:cs="仿宋_GB2312" w:asciiTheme="minorEastAsia" w:hAnsiTheme="minorEastAsia" w:eastAsiaTheme="minorEastAsia"/>
          <w:b/>
          <w:color w:val="000000" w:themeColor="text1"/>
          <w:kern w:val="0"/>
          <w:sz w:val="28"/>
          <w:szCs w:val="28"/>
          <w:highlight w:val="none"/>
          <w14:textFill>
            <w14:solidFill>
              <w14:schemeClr w14:val="tx1"/>
            </w14:solidFill>
          </w14:textFill>
        </w:rPr>
        <w:t>商务文件目录</w:t>
      </w:r>
    </w:p>
    <w:p w14:paraId="430C9AED">
      <w:pPr>
        <w:keepNext w:val="0"/>
        <w:keepLines w:val="0"/>
        <w:pageBreakBefore w:val="0"/>
        <w:widowControl w:val="0"/>
        <w:kinsoku/>
        <w:wordWrap/>
        <w:overflowPunct/>
        <w:topLinePunct w:val="0"/>
        <w:autoSpaceDE/>
        <w:autoSpaceDN/>
        <w:bidi w:val="0"/>
        <w:adjustRightInd/>
        <w:snapToGrid/>
        <w:spacing w:line="560" w:lineRule="exact"/>
        <w:textAlignment w:val="auto"/>
        <w:rPr>
          <w:rFonts w:cs="仿宋_GB2312" w:asciiTheme="minorEastAsia" w:hAnsiTheme="minorEastAsia" w:eastAsiaTheme="minorEastAsia"/>
          <w:color w:val="000000" w:themeColor="text1"/>
          <w:sz w:val="28"/>
          <w:szCs w:val="28"/>
          <w:highlight w:val="none"/>
          <w14:textFill>
            <w14:solidFill>
              <w14:schemeClr w14:val="tx1"/>
            </w14:solidFill>
          </w14:textFill>
        </w:rPr>
      </w:pPr>
      <w:r>
        <w:rPr>
          <w:rFonts w:hint="eastAsia" w:cs="仿宋_GB2312" w:asciiTheme="minorEastAsia" w:hAnsiTheme="minorEastAsia" w:eastAsiaTheme="minorEastAsia"/>
          <w:color w:val="000000" w:themeColor="text1"/>
          <w:kern w:val="0"/>
          <w:sz w:val="28"/>
          <w:szCs w:val="28"/>
          <w:highlight w:val="none"/>
          <w14:textFill>
            <w14:solidFill>
              <w14:schemeClr w14:val="tx1"/>
            </w14:solidFill>
          </w14:textFill>
        </w:rPr>
        <w:t>一、</w:t>
      </w:r>
      <w:r>
        <w:rPr>
          <w:rFonts w:hint="eastAsia" w:cs="仿宋_GB2312" w:asciiTheme="minorEastAsia" w:hAnsiTheme="minorEastAsia" w:eastAsiaTheme="minorEastAsia"/>
          <w:color w:val="000000" w:themeColor="text1"/>
          <w:sz w:val="28"/>
          <w:szCs w:val="28"/>
          <w:highlight w:val="none"/>
          <w14:textFill>
            <w14:solidFill>
              <w14:schemeClr w14:val="tx1"/>
            </w14:solidFill>
          </w14:textFill>
        </w:rPr>
        <w:t>无串通投标行为的承诺函</w:t>
      </w:r>
      <w:r>
        <w:rPr>
          <w:rFonts w:hint="eastAsia" w:cs="仿宋_GB2312" w:asciiTheme="minorEastAsia" w:hAnsiTheme="minorEastAsia" w:eastAsiaTheme="minorEastAsia"/>
          <w:color w:val="000000" w:themeColor="text1"/>
          <w:kern w:val="0"/>
          <w:sz w:val="28"/>
          <w:szCs w:val="28"/>
          <w:highlight w:val="none"/>
          <w14:textFill>
            <w14:solidFill>
              <w14:schemeClr w14:val="tx1"/>
            </w14:solidFill>
          </w14:textFill>
        </w:rPr>
        <w:t>………………………………………………（页码）</w:t>
      </w:r>
      <w:r>
        <w:rPr>
          <w:rFonts w:hint="eastAsia" w:cs="仿宋_GB2312" w:asciiTheme="minorEastAsia" w:hAnsiTheme="minorEastAsia" w:eastAsiaTheme="minorEastAsia"/>
          <w:color w:val="000000" w:themeColor="text1"/>
          <w:sz w:val="28"/>
          <w:szCs w:val="28"/>
          <w:highlight w:val="none"/>
          <w14:textFill>
            <w14:solidFill>
              <w14:schemeClr w14:val="tx1"/>
            </w14:solidFill>
          </w14:textFill>
        </w:rPr>
        <w:t xml:space="preserve"> </w:t>
      </w:r>
    </w:p>
    <w:p w14:paraId="04F3BC60">
      <w:pPr>
        <w:keepNext w:val="0"/>
        <w:keepLines w:val="0"/>
        <w:pageBreakBefore w:val="0"/>
        <w:widowControl w:val="0"/>
        <w:kinsoku/>
        <w:wordWrap/>
        <w:overflowPunct/>
        <w:topLinePunct w:val="0"/>
        <w:autoSpaceDE/>
        <w:autoSpaceDN/>
        <w:bidi w:val="0"/>
        <w:adjustRightInd/>
        <w:snapToGrid/>
        <w:spacing w:line="560" w:lineRule="exact"/>
        <w:textAlignment w:val="auto"/>
        <w:rPr>
          <w:rFonts w:cs="仿宋_GB2312" w:asciiTheme="minorEastAsia" w:hAnsiTheme="minorEastAsia" w:eastAsiaTheme="minorEastAsia"/>
          <w:color w:val="000000" w:themeColor="text1"/>
          <w:sz w:val="28"/>
          <w:szCs w:val="28"/>
          <w:highlight w:val="none"/>
          <w14:textFill>
            <w14:solidFill>
              <w14:schemeClr w14:val="tx1"/>
            </w14:solidFill>
          </w14:textFill>
        </w:rPr>
      </w:pPr>
      <w:r>
        <w:rPr>
          <w:rFonts w:hint="eastAsia" w:cs="仿宋_GB2312" w:asciiTheme="minorEastAsia" w:hAnsiTheme="minorEastAsia" w:eastAsiaTheme="minorEastAsia"/>
          <w:color w:val="000000" w:themeColor="text1"/>
          <w:sz w:val="28"/>
          <w:szCs w:val="28"/>
          <w:highlight w:val="none"/>
          <w:lang w:val="en-US" w:eastAsia="zh-CN"/>
          <w14:textFill>
            <w14:solidFill>
              <w14:schemeClr w14:val="tx1"/>
            </w14:solidFill>
          </w14:textFill>
        </w:rPr>
        <w:t>二、</w:t>
      </w:r>
      <w:r>
        <w:rPr>
          <w:rFonts w:hint="eastAsia" w:cs="仿宋_GB2312" w:asciiTheme="minorEastAsia" w:hAnsiTheme="minorEastAsia" w:eastAsiaTheme="minorEastAsia"/>
          <w:color w:val="000000" w:themeColor="text1"/>
          <w:sz w:val="28"/>
          <w:szCs w:val="28"/>
          <w:highlight w:val="none"/>
          <w14:textFill>
            <w14:solidFill>
              <w14:schemeClr w14:val="tx1"/>
            </w14:solidFill>
          </w14:textFill>
        </w:rPr>
        <w:t>法定代表人身份证明</w:t>
      </w:r>
      <w:r>
        <w:rPr>
          <w:rFonts w:hint="eastAsia" w:cs="仿宋_GB2312" w:asciiTheme="minorEastAsia" w:hAnsiTheme="minorEastAsia" w:eastAsiaTheme="minorEastAsia"/>
          <w:color w:val="000000" w:themeColor="text1"/>
          <w:kern w:val="0"/>
          <w:sz w:val="28"/>
          <w:szCs w:val="28"/>
          <w:highlight w:val="none"/>
          <w14:textFill>
            <w14:solidFill>
              <w14:schemeClr w14:val="tx1"/>
            </w14:solidFill>
          </w14:textFill>
        </w:rPr>
        <w:t>……………………………………………………（页码）</w:t>
      </w:r>
    </w:p>
    <w:p w14:paraId="0E45E007">
      <w:pPr>
        <w:keepNext w:val="0"/>
        <w:keepLines w:val="0"/>
        <w:pageBreakBefore w:val="0"/>
        <w:widowControl w:val="0"/>
        <w:kinsoku/>
        <w:wordWrap/>
        <w:overflowPunct/>
        <w:topLinePunct w:val="0"/>
        <w:autoSpaceDE/>
        <w:autoSpaceDN/>
        <w:bidi w:val="0"/>
        <w:adjustRightInd/>
        <w:snapToGrid/>
        <w:spacing w:line="560" w:lineRule="exact"/>
        <w:textAlignment w:val="auto"/>
        <w:rPr>
          <w:rFonts w:cs="仿宋_GB2312" w:asciiTheme="minorEastAsia" w:hAnsiTheme="minorEastAsia" w:eastAsiaTheme="minorEastAsia"/>
          <w:color w:val="000000" w:themeColor="text1"/>
          <w:sz w:val="28"/>
          <w:szCs w:val="28"/>
          <w:highlight w:val="none"/>
          <w14:textFill>
            <w14:solidFill>
              <w14:schemeClr w14:val="tx1"/>
            </w14:solidFill>
          </w14:textFill>
        </w:rPr>
      </w:pPr>
      <w:r>
        <w:rPr>
          <w:rFonts w:hint="eastAsia" w:cs="仿宋_GB2312" w:asciiTheme="minorEastAsia" w:hAnsiTheme="minorEastAsia" w:eastAsiaTheme="minorEastAsia"/>
          <w:color w:val="000000" w:themeColor="text1"/>
          <w:kern w:val="0"/>
          <w:sz w:val="28"/>
          <w:szCs w:val="28"/>
          <w:highlight w:val="none"/>
          <w14:textFill>
            <w14:solidFill>
              <w14:schemeClr w14:val="tx1"/>
            </w14:solidFill>
          </w14:textFill>
        </w:rPr>
        <w:t>三、</w:t>
      </w:r>
      <w:r>
        <w:rPr>
          <w:rFonts w:hint="eastAsia" w:cs="仿宋_GB2312" w:asciiTheme="minorEastAsia" w:hAnsiTheme="minorEastAsia" w:eastAsiaTheme="minorEastAsia"/>
          <w:color w:val="000000" w:themeColor="text1"/>
          <w:sz w:val="28"/>
          <w:szCs w:val="28"/>
          <w:highlight w:val="none"/>
          <w14:textFill>
            <w14:solidFill>
              <w14:schemeClr w14:val="tx1"/>
            </w14:solidFill>
          </w14:textFill>
        </w:rPr>
        <w:t>法定代表人授权委托书</w:t>
      </w:r>
      <w:r>
        <w:rPr>
          <w:rFonts w:hint="eastAsia" w:cs="仿宋_GB2312" w:asciiTheme="minorEastAsia" w:hAnsiTheme="minorEastAsia" w:eastAsiaTheme="minorEastAsia"/>
          <w:color w:val="000000" w:themeColor="text1"/>
          <w:sz w:val="28"/>
          <w:szCs w:val="28"/>
          <w:highlight w:val="none"/>
          <w:lang w:eastAsia="zh-CN"/>
          <w14:textFill>
            <w14:solidFill>
              <w14:schemeClr w14:val="tx1"/>
            </w14:solidFill>
          </w14:textFill>
        </w:rPr>
        <w:t>（（如有委托时））</w:t>
      </w:r>
      <w:r>
        <w:rPr>
          <w:rFonts w:hint="eastAsia" w:cs="仿宋_GB2312" w:asciiTheme="minorEastAsia" w:hAnsiTheme="minorEastAsia" w:eastAsiaTheme="minorEastAsia"/>
          <w:color w:val="000000" w:themeColor="text1"/>
          <w:kern w:val="0"/>
          <w:sz w:val="28"/>
          <w:szCs w:val="28"/>
          <w:highlight w:val="none"/>
          <w14:textFill>
            <w14:solidFill>
              <w14:schemeClr w14:val="tx1"/>
            </w14:solidFill>
          </w14:textFill>
        </w:rPr>
        <w:t>…………………………（页码）</w:t>
      </w:r>
    </w:p>
    <w:p w14:paraId="75D1974C">
      <w:pPr>
        <w:keepNext w:val="0"/>
        <w:keepLines w:val="0"/>
        <w:pageBreakBefore w:val="0"/>
        <w:widowControl w:val="0"/>
        <w:kinsoku/>
        <w:wordWrap/>
        <w:overflowPunct/>
        <w:topLinePunct w:val="0"/>
        <w:autoSpaceDE/>
        <w:autoSpaceDN/>
        <w:bidi w:val="0"/>
        <w:adjustRightInd/>
        <w:snapToGrid/>
        <w:spacing w:line="560" w:lineRule="exact"/>
        <w:textAlignment w:val="auto"/>
        <w:rPr>
          <w:rFonts w:cs="仿宋_GB2312" w:asciiTheme="minorEastAsia" w:hAnsiTheme="minorEastAsia" w:eastAsiaTheme="minorEastAsia"/>
          <w:color w:val="000000" w:themeColor="text1"/>
          <w:sz w:val="28"/>
          <w:szCs w:val="28"/>
          <w:highlight w:val="none"/>
          <w14:textFill>
            <w14:solidFill>
              <w14:schemeClr w14:val="tx1"/>
            </w14:solidFill>
          </w14:textFill>
        </w:rPr>
      </w:pPr>
      <w:r>
        <w:rPr>
          <w:rFonts w:hint="eastAsia" w:cs="仿宋_GB2312" w:asciiTheme="minorEastAsia" w:hAnsiTheme="minorEastAsia" w:eastAsiaTheme="minorEastAsia"/>
          <w:color w:val="000000" w:themeColor="text1"/>
          <w:kern w:val="0"/>
          <w:sz w:val="28"/>
          <w:szCs w:val="28"/>
          <w:highlight w:val="none"/>
          <w14:textFill>
            <w14:solidFill>
              <w14:schemeClr w14:val="tx1"/>
            </w14:solidFill>
          </w14:textFill>
        </w:rPr>
        <w:t>四、</w:t>
      </w:r>
      <w:r>
        <w:rPr>
          <w:rFonts w:hint="eastAsia" w:cs="仿宋_GB2312" w:asciiTheme="minorEastAsia" w:hAnsiTheme="minorEastAsia" w:eastAsiaTheme="minorEastAsia"/>
          <w:color w:val="000000" w:themeColor="text1"/>
          <w:sz w:val="28"/>
          <w:szCs w:val="28"/>
          <w:highlight w:val="none"/>
          <w14:textFill>
            <w14:solidFill>
              <w14:schemeClr w14:val="tx1"/>
            </w14:solidFill>
          </w14:textFill>
        </w:rPr>
        <w:t>商务条款偏离表</w:t>
      </w:r>
      <w:r>
        <w:rPr>
          <w:rFonts w:hint="eastAsia" w:cs="仿宋_GB2312" w:asciiTheme="minorEastAsia" w:hAnsiTheme="minorEastAsia" w:eastAsiaTheme="minorEastAsia"/>
          <w:color w:val="000000" w:themeColor="text1"/>
          <w:kern w:val="0"/>
          <w:sz w:val="28"/>
          <w:szCs w:val="28"/>
          <w:highlight w:val="none"/>
          <w14:textFill>
            <w14:solidFill>
              <w14:schemeClr w14:val="tx1"/>
            </w14:solidFill>
          </w14:textFill>
        </w:rPr>
        <w:t>…………………………………………………………（页码）</w:t>
      </w:r>
    </w:p>
    <w:p w14:paraId="07C3C8C1">
      <w:pPr>
        <w:keepNext w:val="0"/>
        <w:keepLines w:val="0"/>
        <w:pageBreakBefore w:val="0"/>
        <w:widowControl w:val="0"/>
        <w:kinsoku/>
        <w:wordWrap/>
        <w:overflowPunct/>
        <w:topLinePunct w:val="0"/>
        <w:autoSpaceDE/>
        <w:autoSpaceDN/>
        <w:bidi w:val="0"/>
        <w:adjustRightInd/>
        <w:snapToGrid/>
        <w:spacing w:line="560" w:lineRule="exact"/>
        <w:textAlignment w:val="auto"/>
        <w:rPr>
          <w:rFonts w:cs="仿宋_GB2312" w:asciiTheme="minorEastAsia" w:hAnsiTheme="minorEastAsia" w:eastAsiaTheme="minorEastAsia"/>
          <w:color w:val="000000" w:themeColor="text1"/>
          <w:sz w:val="28"/>
          <w:szCs w:val="28"/>
          <w:highlight w:val="none"/>
          <w14:textFill>
            <w14:solidFill>
              <w14:schemeClr w14:val="tx1"/>
            </w14:solidFill>
          </w14:textFill>
        </w:rPr>
      </w:pPr>
      <w:r>
        <w:rPr>
          <w:rFonts w:hint="eastAsia" w:cs="仿宋_GB2312" w:asciiTheme="minorEastAsia" w:hAnsiTheme="minorEastAsia" w:eastAsiaTheme="minorEastAsia"/>
          <w:color w:val="000000" w:themeColor="text1"/>
          <w:kern w:val="0"/>
          <w:sz w:val="28"/>
          <w:szCs w:val="28"/>
          <w:highlight w:val="none"/>
          <w14:textFill>
            <w14:solidFill>
              <w14:schemeClr w14:val="tx1"/>
            </w14:solidFill>
          </w14:textFill>
        </w:rPr>
        <w:t>五、</w:t>
      </w:r>
      <w:r>
        <w:rPr>
          <w:rFonts w:hint="eastAsia" w:cs="仿宋_GB2312" w:asciiTheme="minorEastAsia" w:hAnsiTheme="minorEastAsia" w:eastAsiaTheme="minorEastAsia"/>
          <w:color w:val="000000" w:themeColor="text1"/>
          <w:sz w:val="28"/>
          <w:szCs w:val="28"/>
          <w:highlight w:val="none"/>
          <w:lang w:eastAsia="zh-CN"/>
          <w14:textFill>
            <w14:solidFill>
              <w14:schemeClr w14:val="tx1"/>
            </w14:solidFill>
          </w14:textFill>
        </w:rPr>
        <w:t>供应商</w:t>
      </w:r>
      <w:r>
        <w:rPr>
          <w:rFonts w:hint="eastAsia" w:cs="仿宋_GB2312" w:asciiTheme="minorEastAsia" w:hAnsiTheme="minorEastAsia" w:eastAsiaTheme="minorEastAsia"/>
          <w:color w:val="000000" w:themeColor="text1"/>
          <w:sz w:val="28"/>
          <w:szCs w:val="28"/>
          <w:highlight w:val="none"/>
          <w14:textFill>
            <w14:solidFill>
              <w14:schemeClr w14:val="tx1"/>
            </w14:solidFill>
          </w14:textFill>
        </w:rPr>
        <w:t>情况介绍</w:t>
      </w:r>
      <w:r>
        <w:rPr>
          <w:rFonts w:hint="eastAsia" w:cs="仿宋_GB2312" w:asciiTheme="minorEastAsia" w:hAnsiTheme="minorEastAsia" w:eastAsiaTheme="minorEastAsia"/>
          <w:color w:val="000000" w:themeColor="text1"/>
          <w:kern w:val="0"/>
          <w:sz w:val="28"/>
          <w:szCs w:val="28"/>
          <w:highlight w:val="none"/>
          <w14:textFill>
            <w14:solidFill>
              <w14:schemeClr w14:val="tx1"/>
            </w14:solidFill>
          </w14:textFill>
        </w:rPr>
        <w:t>…………………………………………………………（页码）</w:t>
      </w:r>
    </w:p>
    <w:p w14:paraId="7F1BF260">
      <w:pPr>
        <w:keepNext w:val="0"/>
        <w:keepLines w:val="0"/>
        <w:pageBreakBefore w:val="0"/>
        <w:widowControl w:val="0"/>
        <w:kinsoku/>
        <w:wordWrap/>
        <w:overflowPunct/>
        <w:topLinePunct w:val="0"/>
        <w:autoSpaceDE/>
        <w:autoSpaceDN/>
        <w:bidi w:val="0"/>
        <w:adjustRightInd/>
        <w:snapToGrid/>
        <w:spacing w:line="560" w:lineRule="exact"/>
        <w:textAlignment w:val="auto"/>
        <w:rPr>
          <w:rFonts w:cs="仿宋_GB2312" w:asciiTheme="minorEastAsia" w:hAnsiTheme="minorEastAsia" w:eastAsiaTheme="minorEastAsia"/>
          <w:color w:val="000000" w:themeColor="text1"/>
          <w:sz w:val="28"/>
          <w:szCs w:val="28"/>
          <w:highlight w:val="none"/>
          <w14:textFill>
            <w14:solidFill>
              <w14:schemeClr w14:val="tx1"/>
            </w14:solidFill>
          </w14:textFill>
        </w:rPr>
      </w:pPr>
      <w:r>
        <w:rPr>
          <w:rFonts w:hint="eastAsia" w:cs="仿宋_GB2312" w:asciiTheme="minorEastAsia" w:hAnsiTheme="minorEastAsia" w:eastAsiaTheme="minorEastAsia"/>
          <w:color w:val="000000" w:themeColor="text1"/>
          <w:kern w:val="0"/>
          <w:sz w:val="28"/>
          <w:szCs w:val="28"/>
          <w:highlight w:val="none"/>
          <w14:textFill>
            <w14:solidFill>
              <w14:schemeClr w14:val="tx1"/>
            </w14:solidFill>
          </w14:textFill>
        </w:rPr>
        <w:t>六、</w:t>
      </w:r>
      <w:r>
        <w:rPr>
          <w:rFonts w:hint="eastAsia" w:cs="仿宋_GB2312" w:asciiTheme="minorEastAsia" w:hAnsiTheme="minorEastAsia" w:eastAsiaTheme="minorEastAsia"/>
          <w:color w:val="000000" w:themeColor="text1"/>
          <w:sz w:val="28"/>
          <w:szCs w:val="28"/>
          <w:highlight w:val="none"/>
          <w14:textFill>
            <w14:solidFill>
              <w14:schemeClr w14:val="tx1"/>
            </w14:solidFill>
          </w14:textFill>
        </w:rPr>
        <w:t>供应商类似业绩的证明文件</w:t>
      </w:r>
      <w:r>
        <w:rPr>
          <w:rFonts w:hint="eastAsia" w:cs="仿宋_GB2312" w:asciiTheme="minorEastAsia" w:hAnsiTheme="minorEastAsia" w:eastAsiaTheme="minorEastAsia"/>
          <w:color w:val="000000" w:themeColor="text1"/>
          <w:kern w:val="0"/>
          <w:sz w:val="28"/>
          <w:szCs w:val="28"/>
          <w:highlight w:val="none"/>
          <w14:textFill>
            <w14:solidFill>
              <w14:schemeClr w14:val="tx1"/>
            </w14:solidFill>
          </w14:textFill>
        </w:rPr>
        <w:t>……………………………………………（页码）</w:t>
      </w:r>
    </w:p>
    <w:p w14:paraId="0719B8EA">
      <w:pPr>
        <w:keepNext w:val="0"/>
        <w:keepLines w:val="0"/>
        <w:pageBreakBefore w:val="0"/>
        <w:widowControl w:val="0"/>
        <w:kinsoku/>
        <w:wordWrap/>
        <w:overflowPunct/>
        <w:topLinePunct w:val="0"/>
        <w:autoSpaceDE/>
        <w:autoSpaceDN/>
        <w:bidi w:val="0"/>
        <w:adjustRightInd/>
        <w:snapToGrid/>
        <w:spacing w:line="560" w:lineRule="exact"/>
        <w:textAlignment w:val="auto"/>
        <w:rPr>
          <w:rFonts w:cs="仿宋_GB2312" w:asciiTheme="minorEastAsia" w:hAnsiTheme="minorEastAsia" w:eastAsiaTheme="minorEastAsia"/>
          <w:color w:val="000000" w:themeColor="text1"/>
          <w:sz w:val="28"/>
          <w:szCs w:val="28"/>
          <w:highlight w:val="none"/>
          <w14:textFill>
            <w14:solidFill>
              <w14:schemeClr w14:val="tx1"/>
            </w14:solidFill>
          </w14:textFill>
        </w:rPr>
      </w:pPr>
      <w:r>
        <w:rPr>
          <w:rFonts w:hint="eastAsia" w:cs="仿宋_GB2312" w:asciiTheme="minorEastAsia" w:hAnsiTheme="minorEastAsia" w:eastAsiaTheme="minorEastAsia"/>
          <w:color w:val="000000" w:themeColor="text1"/>
          <w:kern w:val="0"/>
          <w:sz w:val="28"/>
          <w:szCs w:val="28"/>
          <w:highlight w:val="none"/>
          <w14:textFill>
            <w14:solidFill>
              <w14:schemeClr w14:val="tx1"/>
            </w14:solidFill>
          </w14:textFill>
        </w:rPr>
        <w:t>七、</w:t>
      </w:r>
      <w:r>
        <w:rPr>
          <w:rFonts w:hint="eastAsia" w:cs="仿宋_GB2312" w:asciiTheme="minorEastAsia" w:hAnsiTheme="minorEastAsia" w:eastAsiaTheme="minorEastAsia"/>
          <w:color w:val="000000" w:themeColor="text1"/>
          <w:sz w:val="28"/>
          <w:szCs w:val="28"/>
          <w:highlight w:val="none"/>
          <w14:textFill>
            <w14:solidFill>
              <w14:schemeClr w14:val="tx1"/>
            </w14:solidFill>
          </w14:textFill>
        </w:rPr>
        <w:t>项目</w:t>
      </w:r>
      <w:r>
        <w:rPr>
          <w:rFonts w:hint="eastAsia" w:cs="仿宋_GB2312" w:asciiTheme="minorEastAsia" w:hAnsiTheme="minorEastAsia" w:eastAsiaTheme="minorEastAsia"/>
          <w:color w:val="000000" w:themeColor="text1"/>
          <w:sz w:val="28"/>
          <w:szCs w:val="28"/>
          <w:highlight w:val="none"/>
          <w:lang w:eastAsia="zh-CN"/>
          <w14:textFill>
            <w14:solidFill>
              <w14:schemeClr w14:val="tx1"/>
            </w14:solidFill>
          </w14:textFill>
        </w:rPr>
        <w:t>负责人简历表</w:t>
      </w:r>
      <w:r>
        <w:rPr>
          <w:rFonts w:hint="eastAsia" w:cs="仿宋_GB2312" w:asciiTheme="minorEastAsia" w:hAnsiTheme="minorEastAsia" w:eastAsiaTheme="minorEastAsia"/>
          <w:color w:val="000000" w:themeColor="text1"/>
          <w:kern w:val="0"/>
          <w:sz w:val="28"/>
          <w:szCs w:val="28"/>
          <w:highlight w:val="none"/>
          <w14:textFill>
            <w14:solidFill>
              <w14:schemeClr w14:val="tx1"/>
            </w14:solidFill>
          </w14:textFill>
        </w:rPr>
        <w:t>………………………………………………………（页码）</w:t>
      </w:r>
    </w:p>
    <w:p w14:paraId="2D78310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cs="仿宋_GB2312" w:asciiTheme="minorEastAsia" w:hAnsiTheme="minorEastAsia" w:eastAsiaTheme="minorEastAsia"/>
          <w:b/>
          <w:color w:val="000000" w:themeColor="text1"/>
          <w:kern w:val="0"/>
          <w:sz w:val="28"/>
          <w:szCs w:val="28"/>
          <w:highlight w:val="none"/>
          <w14:textFill>
            <w14:solidFill>
              <w14:schemeClr w14:val="tx1"/>
            </w14:solidFill>
          </w14:textFill>
        </w:rPr>
      </w:pPr>
      <w:r>
        <w:rPr>
          <w:rFonts w:hint="eastAsia" w:cs="仿宋_GB2312" w:asciiTheme="minorEastAsia" w:hAnsiTheme="minorEastAsia" w:eastAsiaTheme="minorEastAsia"/>
          <w:color w:val="000000" w:themeColor="text1"/>
          <w:kern w:val="0"/>
          <w:sz w:val="28"/>
          <w:szCs w:val="28"/>
          <w:highlight w:val="none"/>
          <w14:textFill>
            <w14:solidFill>
              <w14:schemeClr w14:val="tx1"/>
            </w14:solidFill>
          </w14:textFill>
        </w:rPr>
        <w:t>八、</w:t>
      </w:r>
      <w:r>
        <w:rPr>
          <w:rFonts w:hint="eastAsia" w:cs="仿宋_GB2312" w:asciiTheme="minorEastAsia" w:hAnsiTheme="minorEastAsia" w:eastAsiaTheme="minorEastAsia"/>
          <w:color w:val="000000" w:themeColor="text1"/>
          <w:sz w:val="28"/>
          <w:szCs w:val="28"/>
          <w:highlight w:val="none"/>
          <w:lang w:eastAsia="zh-CN"/>
          <w14:textFill>
            <w14:solidFill>
              <w14:schemeClr w14:val="tx1"/>
            </w14:solidFill>
          </w14:textFill>
        </w:rPr>
        <w:t>供应商</w:t>
      </w:r>
      <w:r>
        <w:rPr>
          <w:rFonts w:hint="eastAsia" w:cs="仿宋_GB2312" w:asciiTheme="minorEastAsia" w:hAnsiTheme="minorEastAsia" w:eastAsiaTheme="minorEastAsia"/>
          <w:color w:val="000000" w:themeColor="text1"/>
          <w:sz w:val="28"/>
          <w:szCs w:val="28"/>
          <w:highlight w:val="none"/>
          <w14:textFill>
            <w14:solidFill>
              <w14:schemeClr w14:val="tx1"/>
            </w14:solidFill>
          </w14:textFill>
        </w:rPr>
        <w:t>认为需要提供的其他</w:t>
      </w:r>
      <w:r>
        <w:rPr>
          <w:rFonts w:hint="eastAsia" w:cs="仿宋_GB2312" w:asciiTheme="minorEastAsia" w:hAnsiTheme="minorEastAsia" w:eastAsiaTheme="minorEastAsia"/>
          <w:color w:val="000000" w:themeColor="text1"/>
          <w:sz w:val="28"/>
          <w:szCs w:val="28"/>
          <w:highlight w:val="none"/>
          <w:lang w:eastAsia="zh-CN"/>
          <w14:textFill>
            <w14:solidFill>
              <w14:schemeClr w14:val="tx1"/>
            </w14:solidFill>
          </w14:textFill>
        </w:rPr>
        <w:t>商务文件</w:t>
      </w:r>
      <w:r>
        <w:rPr>
          <w:rFonts w:hint="eastAsia" w:cs="仿宋_GB2312" w:asciiTheme="minorEastAsia" w:hAnsiTheme="minorEastAsia" w:eastAsiaTheme="minorEastAsia"/>
          <w:color w:val="000000" w:themeColor="text1"/>
          <w:sz w:val="28"/>
          <w:szCs w:val="28"/>
          <w:highlight w:val="none"/>
          <w14:textFill>
            <w14:solidFill>
              <w14:schemeClr w14:val="tx1"/>
            </w14:solidFill>
          </w14:textFill>
        </w:rPr>
        <w:t>材料</w:t>
      </w:r>
      <w:r>
        <w:rPr>
          <w:rFonts w:hint="eastAsia" w:cs="仿宋_GB2312" w:asciiTheme="minorEastAsia" w:hAnsiTheme="minorEastAsia" w:eastAsiaTheme="minorEastAsia"/>
          <w:color w:val="000000" w:themeColor="text1"/>
          <w:kern w:val="0"/>
          <w:sz w:val="28"/>
          <w:szCs w:val="28"/>
          <w:highlight w:val="none"/>
          <w14:textFill>
            <w14:solidFill>
              <w14:schemeClr w14:val="tx1"/>
            </w14:solidFill>
          </w14:textFill>
        </w:rPr>
        <w:t>……………………………（页码）</w:t>
      </w:r>
    </w:p>
    <w:p w14:paraId="1C1C9600">
      <w:pPr>
        <w:pageBreakBefore w:val="0"/>
        <w:wordWrap/>
        <w:topLinePunct w:val="0"/>
        <w:bidi w:val="0"/>
        <w:spacing w:line="560" w:lineRule="exact"/>
        <w:jc w:val="center"/>
        <w:rPr>
          <w:rFonts w:hint="eastAsia" w:cs="仿宋_GB2312" w:asciiTheme="minorEastAsia" w:hAnsiTheme="minorEastAsia" w:eastAsiaTheme="minorEastAsia"/>
          <w:b/>
          <w:color w:val="000000" w:themeColor="text1"/>
          <w:kern w:val="0"/>
          <w:sz w:val="28"/>
          <w:szCs w:val="28"/>
          <w:highlight w:val="none"/>
          <w14:textFill>
            <w14:solidFill>
              <w14:schemeClr w14:val="tx1"/>
            </w14:solidFill>
          </w14:textFill>
        </w:rPr>
      </w:pPr>
    </w:p>
    <w:p w14:paraId="3F42B16D">
      <w:pPr>
        <w:pageBreakBefore w:val="0"/>
        <w:wordWrap/>
        <w:topLinePunct w:val="0"/>
        <w:bidi w:val="0"/>
        <w:spacing w:line="560" w:lineRule="exact"/>
        <w:jc w:val="center"/>
        <w:rPr>
          <w:rFonts w:cs="仿宋_GB2312" w:asciiTheme="minorEastAsia" w:hAnsiTheme="minorEastAsia" w:eastAsiaTheme="minorEastAsia"/>
          <w:b/>
          <w:color w:val="000000" w:themeColor="text1"/>
          <w:kern w:val="0"/>
          <w:sz w:val="28"/>
          <w:szCs w:val="28"/>
          <w:highlight w:val="none"/>
          <w14:textFill>
            <w14:solidFill>
              <w14:schemeClr w14:val="tx1"/>
            </w14:solidFill>
          </w14:textFill>
        </w:rPr>
      </w:pPr>
      <w:r>
        <w:rPr>
          <w:rFonts w:hint="eastAsia" w:cs="仿宋_GB2312" w:asciiTheme="minorEastAsia" w:hAnsiTheme="minorEastAsia" w:eastAsiaTheme="minorEastAsia"/>
          <w:b/>
          <w:color w:val="000000" w:themeColor="text1"/>
          <w:kern w:val="0"/>
          <w:sz w:val="28"/>
          <w:szCs w:val="28"/>
          <w:highlight w:val="none"/>
          <w14:textFill>
            <w14:solidFill>
              <w14:schemeClr w14:val="tx1"/>
            </w14:solidFill>
          </w14:textFill>
        </w:rPr>
        <w:t>技术文件目录</w:t>
      </w:r>
    </w:p>
    <w:p w14:paraId="359CF760">
      <w:pPr>
        <w:pStyle w:val="112"/>
        <w:keepNext w:val="0"/>
        <w:keepLines w:val="0"/>
        <w:pageBreakBefore w:val="0"/>
        <w:widowControl w:val="0"/>
        <w:kinsoku/>
        <w:wordWrap/>
        <w:overflowPunct/>
        <w:topLinePunct w:val="0"/>
        <w:autoSpaceDE/>
        <w:autoSpaceDN/>
        <w:bidi w:val="0"/>
        <w:adjustRightInd w:val="0"/>
        <w:snapToGrid/>
        <w:spacing w:line="560" w:lineRule="exact"/>
        <w:ind w:left="0" w:firstLine="0" w:firstLineChars="0"/>
        <w:textAlignment w:val="auto"/>
        <w:rPr>
          <w:rFonts w:cs="仿宋_GB2312" w:asciiTheme="minorEastAsia" w:hAnsiTheme="minorEastAsia" w:eastAsiaTheme="minorEastAsia"/>
          <w:color w:val="000000" w:themeColor="text1"/>
          <w:sz w:val="28"/>
          <w:szCs w:val="28"/>
          <w:highlight w:val="none"/>
          <w14:textFill>
            <w14:solidFill>
              <w14:schemeClr w14:val="tx1"/>
            </w14:solidFill>
          </w14:textFill>
        </w:rPr>
      </w:pPr>
      <w:r>
        <w:rPr>
          <w:rFonts w:hint="eastAsia" w:cs="仿宋_GB2312" w:asciiTheme="minorEastAsia" w:hAnsiTheme="minorEastAsia" w:eastAsiaTheme="minorEastAsia"/>
          <w:color w:val="000000" w:themeColor="text1"/>
          <w:sz w:val="28"/>
          <w:szCs w:val="28"/>
          <w:highlight w:val="none"/>
          <w14:textFill>
            <w14:solidFill>
              <w14:schemeClr w14:val="tx1"/>
            </w14:solidFill>
          </w14:textFill>
        </w:rPr>
        <w:t>一、技术需求偏离表……………………………………………………</w:t>
      </w:r>
      <w:r>
        <w:rPr>
          <w:rFonts w:hint="eastAsia" w:cs="仿宋_GB2312" w:asciiTheme="minorEastAsia" w:hAnsiTheme="minorEastAsia" w:eastAsiaTheme="minorEastAsia"/>
          <w:color w:val="000000" w:themeColor="text1"/>
          <w:kern w:val="0"/>
          <w:sz w:val="28"/>
          <w:szCs w:val="28"/>
          <w:highlight w:val="none"/>
          <w14:textFill>
            <w14:solidFill>
              <w14:schemeClr w14:val="tx1"/>
            </w14:solidFill>
          </w14:textFill>
        </w:rPr>
        <w:t>……</w:t>
      </w:r>
      <w:r>
        <w:rPr>
          <w:rFonts w:hint="eastAsia" w:cs="仿宋_GB2312" w:asciiTheme="minorEastAsia" w:hAnsiTheme="minorEastAsia" w:eastAsiaTheme="minorEastAsia"/>
          <w:color w:val="000000" w:themeColor="text1"/>
          <w:sz w:val="28"/>
          <w:szCs w:val="28"/>
          <w:highlight w:val="none"/>
          <w14:textFill>
            <w14:solidFill>
              <w14:schemeClr w14:val="tx1"/>
            </w14:solidFill>
          </w14:textFill>
        </w:rPr>
        <w:t>（页码）</w:t>
      </w:r>
    </w:p>
    <w:p w14:paraId="5BC20BFD">
      <w:pPr>
        <w:pStyle w:val="112"/>
        <w:keepNext w:val="0"/>
        <w:keepLines w:val="0"/>
        <w:pageBreakBefore w:val="0"/>
        <w:widowControl w:val="0"/>
        <w:kinsoku/>
        <w:wordWrap/>
        <w:overflowPunct/>
        <w:topLinePunct w:val="0"/>
        <w:autoSpaceDE/>
        <w:autoSpaceDN/>
        <w:bidi w:val="0"/>
        <w:adjustRightInd w:val="0"/>
        <w:snapToGrid/>
        <w:spacing w:line="560" w:lineRule="exact"/>
        <w:ind w:left="0" w:firstLine="0" w:firstLineChars="0"/>
        <w:textAlignment w:val="auto"/>
        <w:rPr>
          <w:rFonts w:cs="仿宋_GB2312" w:asciiTheme="minorEastAsia" w:hAnsiTheme="minorEastAsia" w:eastAsiaTheme="minorEastAsia"/>
          <w:color w:val="000000" w:themeColor="text1"/>
          <w:sz w:val="28"/>
          <w:szCs w:val="28"/>
          <w:highlight w:val="none"/>
          <w14:textFill>
            <w14:solidFill>
              <w14:schemeClr w14:val="tx1"/>
            </w14:solidFill>
          </w14:textFill>
        </w:rPr>
      </w:pPr>
      <w:r>
        <w:rPr>
          <w:rFonts w:hint="eastAsia" w:cs="仿宋_GB2312" w:asciiTheme="minorEastAsia" w:hAnsiTheme="minorEastAsia" w:eastAsiaTheme="minorEastAsia"/>
          <w:color w:val="000000" w:themeColor="text1"/>
          <w:sz w:val="28"/>
          <w:szCs w:val="28"/>
          <w:highlight w:val="none"/>
          <w14:textFill>
            <w14:solidFill>
              <w14:schemeClr w14:val="tx1"/>
            </w14:solidFill>
          </w14:textFill>
        </w:rPr>
        <w:t>二、采购清单……………………………………………………………</w:t>
      </w:r>
      <w:r>
        <w:rPr>
          <w:rFonts w:hint="eastAsia" w:cs="仿宋_GB2312" w:asciiTheme="minorEastAsia" w:hAnsiTheme="minorEastAsia" w:eastAsiaTheme="minorEastAsia"/>
          <w:color w:val="000000" w:themeColor="text1"/>
          <w:kern w:val="0"/>
          <w:sz w:val="28"/>
          <w:szCs w:val="28"/>
          <w:highlight w:val="none"/>
          <w14:textFill>
            <w14:solidFill>
              <w14:schemeClr w14:val="tx1"/>
            </w14:solidFill>
          </w14:textFill>
        </w:rPr>
        <w:t>……</w:t>
      </w:r>
      <w:r>
        <w:rPr>
          <w:rFonts w:hint="eastAsia" w:cs="仿宋_GB2312" w:asciiTheme="minorEastAsia" w:hAnsiTheme="minorEastAsia" w:eastAsiaTheme="minorEastAsia"/>
          <w:color w:val="000000" w:themeColor="text1"/>
          <w:sz w:val="28"/>
          <w:szCs w:val="28"/>
          <w:highlight w:val="none"/>
          <w14:textFill>
            <w14:solidFill>
              <w14:schemeClr w14:val="tx1"/>
            </w14:solidFill>
          </w14:textFill>
        </w:rPr>
        <w:t>（页码）</w:t>
      </w:r>
    </w:p>
    <w:p w14:paraId="6700525C">
      <w:pPr>
        <w:pStyle w:val="112"/>
        <w:keepNext w:val="0"/>
        <w:keepLines w:val="0"/>
        <w:pageBreakBefore w:val="0"/>
        <w:widowControl w:val="0"/>
        <w:kinsoku/>
        <w:wordWrap/>
        <w:overflowPunct/>
        <w:topLinePunct w:val="0"/>
        <w:autoSpaceDE/>
        <w:autoSpaceDN/>
        <w:bidi w:val="0"/>
        <w:adjustRightInd w:val="0"/>
        <w:snapToGrid/>
        <w:spacing w:line="560" w:lineRule="exact"/>
        <w:ind w:left="0" w:firstLine="0" w:firstLineChars="0"/>
        <w:textAlignment w:val="auto"/>
        <w:rPr>
          <w:rFonts w:cs="仿宋_GB2312" w:asciiTheme="minorEastAsia" w:hAnsiTheme="minorEastAsia" w:eastAsiaTheme="minorEastAsia"/>
          <w:color w:val="000000" w:themeColor="text1"/>
          <w:sz w:val="28"/>
          <w:szCs w:val="28"/>
          <w:highlight w:val="none"/>
          <w14:textFill>
            <w14:solidFill>
              <w14:schemeClr w14:val="tx1"/>
            </w14:solidFill>
          </w14:textFill>
        </w:rPr>
      </w:pPr>
      <w:r>
        <w:rPr>
          <w:rFonts w:hint="eastAsia" w:cs="仿宋_GB2312" w:asciiTheme="minorEastAsia" w:hAnsiTheme="minorEastAsia" w:eastAsiaTheme="minorEastAsia"/>
          <w:color w:val="000000" w:themeColor="text1"/>
          <w:sz w:val="28"/>
          <w:szCs w:val="28"/>
          <w:highlight w:val="none"/>
          <w14:textFill>
            <w14:solidFill>
              <w14:schemeClr w14:val="tx1"/>
            </w14:solidFill>
          </w14:textFill>
        </w:rPr>
        <w:t>三、产品及性能…………………………………………………………</w:t>
      </w:r>
      <w:r>
        <w:rPr>
          <w:rFonts w:hint="eastAsia" w:cs="仿宋_GB2312" w:asciiTheme="minorEastAsia" w:hAnsiTheme="minorEastAsia" w:eastAsiaTheme="minorEastAsia"/>
          <w:color w:val="000000" w:themeColor="text1"/>
          <w:kern w:val="0"/>
          <w:sz w:val="28"/>
          <w:szCs w:val="28"/>
          <w:highlight w:val="none"/>
          <w14:textFill>
            <w14:solidFill>
              <w14:schemeClr w14:val="tx1"/>
            </w14:solidFill>
          </w14:textFill>
        </w:rPr>
        <w:t>……</w:t>
      </w:r>
      <w:r>
        <w:rPr>
          <w:rFonts w:hint="eastAsia" w:cs="仿宋_GB2312" w:asciiTheme="minorEastAsia" w:hAnsiTheme="minorEastAsia" w:eastAsiaTheme="minorEastAsia"/>
          <w:color w:val="000000" w:themeColor="text1"/>
          <w:sz w:val="28"/>
          <w:szCs w:val="28"/>
          <w:highlight w:val="none"/>
          <w14:textFill>
            <w14:solidFill>
              <w14:schemeClr w14:val="tx1"/>
            </w14:solidFill>
          </w14:textFill>
        </w:rPr>
        <w:t>（页码）</w:t>
      </w:r>
    </w:p>
    <w:p w14:paraId="4933DBFA">
      <w:pPr>
        <w:pStyle w:val="112"/>
        <w:keepNext w:val="0"/>
        <w:keepLines w:val="0"/>
        <w:pageBreakBefore w:val="0"/>
        <w:widowControl w:val="0"/>
        <w:kinsoku/>
        <w:wordWrap/>
        <w:overflowPunct/>
        <w:topLinePunct w:val="0"/>
        <w:autoSpaceDE/>
        <w:autoSpaceDN/>
        <w:bidi w:val="0"/>
        <w:adjustRightInd w:val="0"/>
        <w:snapToGrid/>
        <w:spacing w:line="560" w:lineRule="exact"/>
        <w:ind w:left="0" w:firstLine="0" w:firstLineChars="0"/>
        <w:textAlignment w:val="auto"/>
        <w:rPr>
          <w:rFonts w:cs="仿宋_GB2312" w:asciiTheme="minorEastAsia" w:hAnsiTheme="minorEastAsia" w:eastAsiaTheme="minorEastAsia"/>
          <w:color w:val="000000" w:themeColor="text1"/>
          <w:sz w:val="28"/>
          <w:szCs w:val="28"/>
          <w:highlight w:val="none"/>
          <w14:textFill>
            <w14:solidFill>
              <w14:schemeClr w14:val="tx1"/>
            </w14:solidFill>
          </w14:textFill>
        </w:rPr>
      </w:pPr>
      <w:r>
        <w:rPr>
          <w:rFonts w:hint="eastAsia" w:cs="仿宋_GB2312" w:asciiTheme="minorEastAsia" w:hAnsiTheme="minorEastAsia" w:eastAsiaTheme="minorEastAsia"/>
          <w:color w:val="000000" w:themeColor="text1"/>
          <w:sz w:val="28"/>
          <w:szCs w:val="28"/>
          <w:highlight w:val="none"/>
          <w14:textFill>
            <w14:solidFill>
              <w14:schemeClr w14:val="tx1"/>
            </w14:solidFill>
          </w14:textFill>
        </w:rPr>
        <w:t>四、</w:t>
      </w:r>
      <w:r>
        <w:rPr>
          <w:rFonts w:hint="eastAsia" w:cs="仿宋_GB2312" w:asciiTheme="minorEastAsia" w:hAnsiTheme="minorEastAsia" w:eastAsiaTheme="minorEastAsia"/>
          <w:color w:val="000000" w:themeColor="text1"/>
          <w:sz w:val="28"/>
          <w:szCs w:val="28"/>
          <w:highlight w:val="none"/>
          <w:lang w:eastAsia="zh-CN"/>
          <w14:textFill>
            <w14:solidFill>
              <w14:schemeClr w14:val="tx1"/>
            </w14:solidFill>
          </w14:textFill>
        </w:rPr>
        <w:t>技术方案</w:t>
      </w:r>
      <w:r>
        <w:rPr>
          <w:rFonts w:hint="eastAsia" w:cs="仿宋_GB2312" w:asciiTheme="minorEastAsia" w:hAnsiTheme="minorEastAsia" w:eastAsiaTheme="minorEastAsia"/>
          <w:color w:val="000000" w:themeColor="text1"/>
          <w:sz w:val="28"/>
          <w:szCs w:val="28"/>
          <w:highlight w:val="none"/>
          <w14:textFill>
            <w14:solidFill>
              <w14:schemeClr w14:val="tx1"/>
            </w14:solidFill>
          </w14:textFill>
        </w:rPr>
        <w:t>……………………………………………………………</w:t>
      </w:r>
      <w:r>
        <w:rPr>
          <w:rFonts w:hint="eastAsia" w:cs="仿宋_GB2312" w:asciiTheme="minorEastAsia" w:hAnsiTheme="minorEastAsia" w:eastAsiaTheme="minorEastAsia"/>
          <w:color w:val="000000" w:themeColor="text1"/>
          <w:kern w:val="0"/>
          <w:sz w:val="28"/>
          <w:szCs w:val="28"/>
          <w:highlight w:val="none"/>
          <w14:textFill>
            <w14:solidFill>
              <w14:schemeClr w14:val="tx1"/>
            </w14:solidFill>
          </w14:textFill>
        </w:rPr>
        <w:t>……</w:t>
      </w:r>
      <w:r>
        <w:rPr>
          <w:rFonts w:hint="eastAsia" w:cs="仿宋_GB2312" w:asciiTheme="minorEastAsia" w:hAnsiTheme="minorEastAsia" w:eastAsiaTheme="minorEastAsia"/>
          <w:color w:val="000000" w:themeColor="text1"/>
          <w:sz w:val="28"/>
          <w:szCs w:val="28"/>
          <w:highlight w:val="none"/>
          <w14:textFill>
            <w14:solidFill>
              <w14:schemeClr w14:val="tx1"/>
            </w14:solidFill>
          </w14:textFill>
        </w:rPr>
        <w:t>（页码）</w:t>
      </w:r>
    </w:p>
    <w:p w14:paraId="36BBADF1">
      <w:pPr>
        <w:pStyle w:val="112"/>
        <w:keepNext w:val="0"/>
        <w:keepLines w:val="0"/>
        <w:pageBreakBefore w:val="0"/>
        <w:widowControl w:val="0"/>
        <w:kinsoku/>
        <w:wordWrap/>
        <w:overflowPunct/>
        <w:topLinePunct w:val="0"/>
        <w:autoSpaceDE/>
        <w:autoSpaceDN/>
        <w:bidi w:val="0"/>
        <w:adjustRightInd w:val="0"/>
        <w:snapToGrid/>
        <w:spacing w:line="560" w:lineRule="exact"/>
        <w:ind w:left="0" w:firstLine="0" w:firstLineChars="0"/>
        <w:textAlignment w:val="auto"/>
        <w:rPr>
          <w:rFonts w:cs="仿宋_GB2312" w:asciiTheme="minorEastAsia" w:hAnsiTheme="minorEastAsia" w:eastAsiaTheme="minorEastAsia"/>
          <w:color w:val="000000" w:themeColor="text1"/>
          <w:sz w:val="28"/>
          <w:szCs w:val="28"/>
          <w:highlight w:val="none"/>
          <w14:textFill>
            <w14:solidFill>
              <w14:schemeClr w14:val="tx1"/>
            </w14:solidFill>
          </w14:textFill>
        </w:rPr>
      </w:pPr>
      <w:r>
        <w:rPr>
          <w:rFonts w:hint="eastAsia" w:cs="仿宋_GB2312" w:asciiTheme="minorEastAsia" w:hAnsiTheme="minorEastAsia" w:eastAsiaTheme="minorEastAsia"/>
          <w:color w:val="000000" w:themeColor="text1"/>
          <w:sz w:val="28"/>
          <w:szCs w:val="28"/>
          <w:highlight w:val="none"/>
          <w:lang w:eastAsia="zh-CN"/>
          <w14:textFill>
            <w14:solidFill>
              <w14:schemeClr w14:val="tx1"/>
            </w14:solidFill>
          </w14:textFill>
        </w:rPr>
        <w:t>五</w:t>
      </w:r>
      <w:r>
        <w:rPr>
          <w:rFonts w:hint="eastAsia" w:cs="仿宋_GB2312" w:asciiTheme="minorEastAsia" w:hAnsiTheme="minorEastAsia" w:eastAsiaTheme="minorEastAsia"/>
          <w:color w:val="000000" w:themeColor="text1"/>
          <w:sz w:val="28"/>
          <w:szCs w:val="28"/>
          <w:highlight w:val="none"/>
          <w14:textFill>
            <w14:solidFill>
              <w14:schemeClr w14:val="tx1"/>
            </w14:solidFill>
          </w14:textFill>
        </w:rPr>
        <w:t>、</w:t>
      </w:r>
      <w:r>
        <w:rPr>
          <w:rFonts w:hint="eastAsia" w:cs="仿宋_GB2312" w:asciiTheme="minorEastAsia" w:hAnsiTheme="minorEastAsia" w:eastAsiaTheme="minorEastAsia"/>
          <w:color w:val="000000" w:themeColor="text1"/>
          <w:sz w:val="28"/>
          <w:szCs w:val="28"/>
          <w:highlight w:val="none"/>
          <w:lang w:eastAsia="zh-CN"/>
          <w14:textFill>
            <w14:solidFill>
              <w14:schemeClr w14:val="tx1"/>
            </w14:solidFill>
          </w14:textFill>
        </w:rPr>
        <w:t>供应商</w:t>
      </w:r>
      <w:r>
        <w:rPr>
          <w:rFonts w:hint="eastAsia" w:cs="仿宋_GB2312" w:asciiTheme="minorEastAsia" w:hAnsiTheme="minorEastAsia" w:eastAsiaTheme="minorEastAsia"/>
          <w:color w:val="000000" w:themeColor="text1"/>
          <w:sz w:val="28"/>
          <w:szCs w:val="28"/>
          <w:highlight w:val="none"/>
          <w14:textFill>
            <w14:solidFill>
              <w14:schemeClr w14:val="tx1"/>
            </w14:solidFill>
          </w14:textFill>
        </w:rPr>
        <w:t>认为需要的其他技术文件或说明（如有）</w:t>
      </w:r>
      <w:r>
        <w:rPr>
          <w:rFonts w:hint="eastAsia" w:cs="仿宋_GB2312" w:asciiTheme="minorEastAsia" w:hAnsiTheme="minorEastAsia" w:eastAsiaTheme="minorEastAsia"/>
          <w:color w:val="000000" w:themeColor="text1"/>
          <w:sz w:val="28"/>
          <w:szCs w:val="28"/>
          <w:highlight w:val="none"/>
          <w:lang w:val="zh-CN"/>
          <w14:textFill>
            <w14:solidFill>
              <w14:schemeClr w14:val="tx1"/>
            </w14:solidFill>
          </w14:textFill>
        </w:rPr>
        <w:t>………………</w:t>
      </w:r>
      <w:r>
        <w:rPr>
          <w:rFonts w:hint="eastAsia" w:cs="仿宋_GB2312" w:asciiTheme="minorEastAsia" w:hAnsiTheme="minorEastAsia" w:eastAsiaTheme="minorEastAsia"/>
          <w:color w:val="000000" w:themeColor="text1"/>
          <w:kern w:val="0"/>
          <w:sz w:val="28"/>
          <w:szCs w:val="28"/>
          <w:highlight w:val="none"/>
          <w14:textFill>
            <w14:solidFill>
              <w14:schemeClr w14:val="tx1"/>
            </w14:solidFill>
          </w14:textFill>
        </w:rPr>
        <w:t>……</w:t>
      </w:r>
      <w:r>
        <w:rPr>
          <w:rFonts w:hint="eastAsia" w:cs="仿宋_GB2312" w:asciiTheme="minorEastAsia" w:hAnsiTheme="minorEastAsia" w:eastAsiaTheme="minorEastAsia"/>
          <w:color w:val="000000" w:themeColor="text1"/>
          <w:sz w:val="28"/>
          <w:szCs w:val="28"/>
          <w:highlight w:val="none"/>
          <w14:textFill>
            <w14:solidFill>
              <w14:schemeClr w14:val="tx1"/>
            </w14:solidFill>
          </w14:textFill>
        </w:rPr>
        <w:t>（页码）</w:t>
      </w:r>
    </w:p>
    <w:p w14:paraId="0E9ABF95">
      <w:pPr>
        <w:pageBreakBefore w:val="0"/>
        <w:wordWrap/>
        <w:topLinePunct w:val="0"/>
        <w:bidi w:val="0"/>
        <w:spacing w:line="560" w:lineRule="exact"/>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p>
    <w:p w14:paraId="43A747F9">
      <w:pPr>
        <w:keepNext w:val="0"/>
        <w:keepLines w:val="0"/>
        <w:pageBreakBefore w:val="0"/>
        <w:widowControl w:val="0"/>
        <w:kinsoku/>
        <w:wordWrap/>
        <w:overflowPunct/>
        <w:topLinePunct w:val="0"/>
        <w:autoSpaceDE/>
        <w:autoSpaceDN/>
        <w:bidi w:val="0"/>
        <w:adjustRightInd/>
        <w:snapToGrid/>
        <w:spacing w:line="440" w:lineRule="exact"/>
        <w:textAlignment w:val="auto"/>
        <w:rPr>
          <w:rFonts w:cs="仿宋_GB2312" w:asciiTheme="minorEastAsia" w:hAnsiTheme="minorEastAsia" w:eastAsiaTheme="minorEastAsia"/>
          <w:b/>
          <w:bCs/>
          <w:color w:val="000000" w:themeColor="text1"/>
          <w:sz w:val="28"/>
          <w:szCs w:val="28"/>
          <w:highlight w:val="none"/>
          <w14:textFill>
            <w14:solidFill>
              <w14:schemeClr w14:val="tx1"/>
            </w14:solidFill>
          </w14:textFill>
        </w:rPr>
      </w:pPr>
      <w:r>
        <w:rPr>
          <w:rFonts w:hint="eastAsia" w:cs="仿宋_GB2312" w:asciiTheme="minorEastAsia" w:hAnsiTheme="minorEastAsia" w:eastAsiaTheme="minorEastAsia"/>
          <w:b/>
          <w:bCs/>
          <w:color w:val="000000" w:themeColor="text1"/>
          <w:sz w:val="28"/>
          <w:szCs w:val="28"/>
          <w:highlight w:val="none"/>
          <w14:textFill>
            <w14:solidFill>
              <w14:schemeClr w14:val="tx1"/>
            </w14:solidFill>
          </w14:textFill>
        </w:rPr>
        <w:t>注：以上目录是基本格式要求，各</w:t>
      </w:r>
      <w:r>
        <w:rPr>
          <w:rFonts w:hint="eastAsia" w:cs="仿宋_GB2312" w:asciiTheme="minorEastAsia" w:hAnsiTheme="minorEastAsia" w:eastAsiaTheme="minorEastAsia"/>
          <w:b/>
          <w:bCs/>
          <w:color w:val="000000" w:themeColor="text1"/>
          <w:sz w:val="28"/>
          <w:szCs w:val="28"/>
          <w:highlight w:val="none"/>
          <w:lang w:eastAsia="zh-CN"/>
          <w14:textFill>
            <w14:solidFill>
              <w14:schemeClr w14:val="tx1"/>
            </w14:solidFill>
          </w14:textFill>
        </w:rPr>
        <w:t>供应商</w:t>
      </w:r>
      <w:r>
        <w:rPr>
          <w:rFonts w:hint="eastAsia" w:cs="仿宋_GB2312" w:asciiTheme="minorEastAsia" w:hAnsiTheme="minorEastAsia" w:eastAsiaTheme="minorEastAsia"/>
          <w:b/>
          <w:bCs/>
          <w:color w:val="000000" w:themeColor="text1"/>
          <w:sz w:val="28"/>
          <w:szCs w:val="28"/>
          <w:highlight w:val="none"/>
          <w14:textFill>
            <w14:solidFill>
              <w14:schemeClr w14:val="tx1"/>
            </w14:solidFill>
          </w14:textFill>
        </w:rPr>
        <w:t>可根据自身情况进一步向下增加内容或细化。</w:t>
      </w:r>
    </w:p>
    <w:p w14:paraId="7528C8AF">
      <w:pPr>
        <w:pageBreakBefore w:val="0"/>
        <w:widowControl/>
        <w:wordWrap/>
        <w:topLinePunct w:val="0"/>
        <w:bidi w:val="0"/>
        <w:spacing w:line="560" w:lineRule="exact"/>
        <w:jc w:val="left"/>
        <w:rPr>
          <w:rFonts w:asciiTheme="minorEastAsia" w:hAnsiTheme="minorEastAsia" w:eastAsiaTheme="minorEastAsia"/>
          <w:color w:val="000000" w:themeColor="text1"/>
          <w:sz w:val="30"/>
          <w:szCs w:val="20"/>
          <w:highlight w:val="none"/>
          <w14:textFill>
            <w14:solidFill>
              <w14:schemeClr w14:val="tx1"/>
            </w14:solidFill>
          </w14:textFill>
        </w:rPr>
        <w:sectPr>
          <w:pgSz w:w="11906" w:h="16838"/>
          <w:pgMar w:top="1134" w:right="1134" w:bottom="1134" w:left="1134" w:header="720" w:footer="720" w:gutter="0"/>
          <w:pgNumType w:fmt="decimal"/>
          <w:cols w:space="720" w:num="1"/>
          <w:docGrid w:type="lines" w:linePitch="331" w:charSpace="0"/>
        </w:sectPr>
      </w:pPr>
    </w:p>
    <w:p w14:paraId="6C221CE7">
      <w:pPr>
        <w:pStyle w:val="4"/>
        <w:keepNext w:val="0"/>
        <w:keepLines w:val="0"/>
        <w:pageBreakBefore w:val="0"/>
        <w:wordWrap/>
        <w:topLinePunct w:val="0"/>
        <w:bidi w:val="0"/>
        <w:spacing w:line="560" w:lineRule="exact"/>
        <w:jc w:val="center"/>
        <w:rPr>
          <w:color w:val="000000" w:themeColor="text1"/>
          <w:highlight w:val="none"/>
          <w14:textFill>
            <w14:solidFill>
              <w14:schemeClr w14:val="tx1"/>
            </w14:solidFill>
          </w14:textFill>
        </w:rPr>
      </w:pPr>
      <w:bookmarkStart w:id="225" w:name="_Toc25755"/>
      <w:r>
        <w:rPr>
          <w:rFonts w:hint="eastAsia"/>
          <w:color w:val="000000" w:themeColor="text1"/>
          <w:highlight w:val="none"/>
          <w14:textFill>
            <w14:solidFill>
              <w14:schemeClr w14:val="tx1"/>
            </w14:solidFill>
          </w14:textFill>
        </w:rPr>
        <w:t>第</w:t>
      </w:r>
      <w:r>
        <w:rPr>
          <w:rFonts w:hint="eastAsia"/>
          <w:color w:val="000000" w:themeColor="text1"/>
          <w:highlight w:val="none"/>
          <w:lang w:eastAsia="zh-CN"/>
          <w14:textFill>
            <w14:solidFill>
              <w14:schemeClr w14:val="tx1"/>
            </w14:solidFill>
          </w14:textFill>
        </w:rPr>
        <w:t>一</w:t>
      </w:r>
      <w:r>
        <w:rPr>
          <w:rFonts w:hint="eastAsia"/>
          <w:color w:val="000000" w:themeColor="text1"/>
          <w:highlight w:val="none"/>
          <w14:textFill>
            <w14:solidFill>
              <w14:schemeClr w14:val="tx1"/>
            </w14:solidFill>
          </w14:textFill>
        </w:rPr>
        <w:t>节 资格证明文件格式</w:t>
      </w:r>
      <w:bookmarkEnd w:id="225"/>
    </w:p>
    <w:p w14:paraId="07E668AB">
      <w:pPr>
        <w:pStyle w:val="17"/>
        <w:pageBreakBefore w:val="0"/>
        <w:wordWrap/>
        <w:topLinePunct w:val="0"/>
        <w:bidi w:val="0"/>
        <w:spacing w:line="560" w:lineRule="exact"/>
        <w:rPr>
          <w:rFonts w:hint="eastAsia"/>
          <w:color w:val="000000" w:themeColor="text1"/>
          <w:highlight w:val="none"/>
          <w14:textFill>
            <w14:solidFill>
              <w14:schemeClr w14:val="tx1"/>
            </w14:solidFill>
          </w14:textFill>
        </w:rPr>
      </w:pPr>
    </w:p>
    <w:p w14:paraId="0352D9F9">
      <w:pPr>
        <w:pStyle w:val="17"/>
        <w:keepNext w:val="0"/>
        <w:keepLines w:val="0"/>
        <w:pageBreakBefore w:val="0"/>
        <w:kinsoku/>
        <w:wordWrap/>
        <w:overflowPunct/>
        <w:topLinePunct w:val="0"/>
        <w:autoSpaceDE/>
        <w:autoSpaceDN/>
        <w:bidi w:val="0"/>
        <w:adjustRightInd/>
        <w:snapToGrid/>
        <w:spacing w:line="560" w:lineRule="exact"/>
        <w:ind w:right="0" w:firstLine="0" w:firstLineChars="0"/>
        <w:jc w:val="both"/>
        <w:textAlignment w:val="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一、合法有效的法人营业执照</w:t>
      </w:r>
    </w:p>
    <w:p w14:paraId="3758EBE3">
      <w:pPr>
        <w:keepNext w:val="0"/>
        <w:keepLines w:val="0"/>
        <w:pageBreakBefore w:val="0"/>
        <w:kinsoku/>
        <w:wordWrap/>
        <w:overflowPunct/>
        <w:topLinePunct w:val="0"/>
        <w:bidi w:val="0"/>
        <w:adjustRightInd/>
        <w:snapToGrid/>
        <w:spacing w:line="560" w:lineRule="exact"/>
        <w:ind w:left="0" w:leftChars="0" w:firstLine="0" w:firstLineChars="0"/>
        <w:textAlignment w:val="auto"/>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附：企业营业执照</w:t>
      </w:r>
    </w:p>
    <w:p w14:paraId="0BF5E329">
      <w:pPr>
        <w:pStyle w:val="17"/>
        <w:keepNext w:val="0"/>
        <w:keepLines w:val="0"/>
        <w:pageBreakBefore w:val="0"/>
        <w:kinsoku/>
        <w:wordWrap/>
        <w:overflowPunct/>
        <w:topLinePunct w:val="0"/>
        <w:autoSpaceDE/>
        <w:autoSpaceDN/>
        <w:bidi w:val="0"/>
        <w:adjustRightInd/>
        <w:snapToGrid/>
        <w:spacing w:line="560" w:lineRule="exact"/>
        <w:ind w:right="0" w:firstLine="0" w:firstLineChars="0"/>
        <w:jc w:val="both"/>
        <w:textAlignment w:val="auto"/>
        <w:rPr>
          <w:color w:val="000000" w:themeColor="text1"/>
          <w:highlight w:val="none"/>
          <w14:textFill>
            <w14:solidFill>
              <w14:schemeClr w14:val="tx1"/>
            </w14:solidFill>
          </w14:textFill>
        </w:rPr>
      </w:pPr>
    </w:p>
    <w:p w14:paraId="234108E6">
      <w:pPr>
        <w:pStyle w:val="17"/>
        <w:keepNext w:val="0"/>
        <w:keepLines w:val="0"/>
        <w:pageBreakBefore w:val="0"/>
        <w:kinsoku/>
        <w:wordWrap/>
        <w:overflowPunct/>
        <w:topLinePunct w:val="0"/>
        <w:autoSpaceDE/>
        <w:autoSpaceDN/>
        <w:bidi w:val="0"/>
        <w:adjustRightInd/>
        <w:snapToGrid/>
        <w:spacing w:line="560" w:lineRule="exact"/>
        <w:ind w:right="0" w:firstLine="0" w:firstLineChars="0"/>
        <w:jc w:val="both"/>
        <w:textAlignment w:val="auto"/>
        <w:rPr>
          <w:color w:val="000000" w:themeColor="text1"/>
          <w:highlight w:val="none"/>
          <w14:textFill>
            <w14:solidFill>
              <w14:schemeClr w14:val="tx1"/>
            </w14:solidFill>
          </w14:textFill>
        </w:rPr>
      </w:pPr>
    </w:p>
    <w:p w14:paraId="1D5C0B2D">
      <w:pPr>
        <w:pStyle w:val="17"/>
        <w:keepNext w:val="0"/>
        <w:keepLines w:val="0"/>
        <w:pageBreakBefore w:val="0"/>
        <w:kinsoku/>
        <w:wordWrap/>
        <w:overflowPunct/>
        <w:topLinePunct w:val="0"/>
        <w:autoSpaceDE/>
        <w:autoSpaceDN/>
        <w:bidi w:val="0"/>
        <w:adjustRightInd/>
        <w:snapToGrid/>
        <w:spacing w:line="560" w:lineRule="exact"/>
        <w:ind w:right="0" w:firstLine="0" w:firstLineChars="0"/>
        <w:jc w:val="both"/>
        <w:textAlignment w:val="auto"/>
        <w:rPr>
          <w:color w:val="000000" w:themeColor="text1"/>
          <w:highlight w:val="none"/>
          <w14:textFill>
            <w14:solidFill>
              <w14:schemeClr w14:val="tx1"/>
            </w14:solidFill>
          </w14:textFill>
        </w:rPr>
      </w:pPr>
    </w:p>
    <w:p w14:paraId="0EB80765">
      <w:pPr>
        <w:pStyle w:val="17"/>
        <w:keepNext w:val="0"/>
        <w:keepLines w:val="0"/>
        <w:pageBreakBefore w:val="0"/>
        <w:kinsoku/>
        <w:wordWrap/>
        <w:overflowPunct/>
        <w:topLinePunct w:val="0"/>
        <w:autoSpaceDE/>
        <w:autoSpaceDN/>
        <w:bidi w:val="0"/>
        <w:adjustRightInd/>
        <w:snapToGrid/>
        <w:spacing w:line="560" w:lineRule="exact"/>
        <w:ind w:right="0" w:firstLine="0" w:firstLineChars="0"/>
        <w:jc w:val="both"/>
        <w:textAlignment w:val="auto"/>
        <w:rPr>
          <w:color w:val="000000" w:themeColor="text1"/>
          <w:highlight w:val="none"/>
          <w14:textFill>
            <w14:solidFill>
              <w14:schemeClr w14:val="tx1"/>
            </w14:solidFill>
          </w14:textFill>
        </w:rPr>
      </w:pPr>
    </w:p>
    <w:p w14:paraId="27E806C9">
      <w:pPr>
        <w:pStyle w:val="17"/>
        <w:keepNext w:val="0"/>
        <w:keepLines w:val="0"/>
        <w:pageBreakBefore w:val="0"/>
        <w:kinsoku/>
        <w:wordWrap/>
        <w:overflowPunct/>
        <w:topLinePunct w:val="0"/>
        <w:autoSpaceDE/>
        <w:autoSpaceDN/>
        <w:bidi w:val="0"/>
        <w:adjustRightInd/>
        <w:snapToGrid/>
        <w:spacing w:line="560" w:lineRule="exact"/>
        <w:ind w:right="0" w:firstLine="0" w:firstLineChars="0"/>
        <w:jc w:val="both"/>
        <w:textAlignment w:val="auto"/>
        <w:rPr>
          <w:color w:val="000000" w:themeColor="text1"/>
          <w:highlight w:val="none"/>
          <w14:textFill>
            <w14:solidFill>
              <w14:schemeClr w14:val="tx1"/>
            </w14:solidFill>
          </w14:textFill>
        </w:rPr>
      </w:pPr>
    </w:p>
    <w:p w14:paraId="0ADF9588">
      <w:pPr>
        <w:pStyle w:val="17"/>
        <w:keepNext w:val="0"/>
        <w:keepLines w:val="0"/>
        <w:pageBreakBefore w:val="0"/>
        <w:kinsoku/>
        <w:wordWrap/>
        <w:overflowPunct/>
        <w:topLinePunct w:val="0"/>
        <w:autoSpaceDE/>
        <w:autoSpaceDN/>
        <w:bidi w:val="0"/>
        <w:adjustRightInd/>
        <w:snapToGrid/>
        <w:spacing w:line="560" w:lineRule="exact"/>
        <w:ind w:right="0" w:firstLine="0" w:firstLineChars="0"/>
        <w:jc w:val="both"/>
        <w:textAlignment w:val="auto"/>
        <w:rPr>
          <w:color w:val="000000" w:themeColor="text1"/>
          <w:highlight w:val="none"/>
          <w14:textFill>
            <w14:solidFill>
              <w14:schemeClr w14:val="tx1"/>
            </w14:solidFill>
          </w14:textFill>
        </w:rPr>
      </w:pPr>
    </w:p>
    <w:p w14:paraId="02349D1E">
      <w:pPr>
        <w:pStyle w:val="17"/>
        <w:keepNext w:val="0"/>
        <w:keepLines w:val="0"/>
        <w:pageBreakBefore w:val="0"/>
        <w:kinsoku/>
        <w:wordWrap/>
        <w:overflowPunct/>
        <w:topLinePunct w:val="0"/>
        <w:autoSpaceDE/>
        <w:autoSpaceDN/>
        <w:bidi w:val="0"/>
        <w:adjustRightInd/>
        <w:snapToGrid/>
        <w:spacing w:line="560" w:lineRule="exact"/>
        <w:ind w:right="0" w:firstLine="0" w:firstLineChars="0"/>
        <w:jc w:val="both"/>
        <w:textAlignment w:val="auto"/>
        <w:rPr>
          <w:color w:val="000000" w:themeColor="text1"/>
          <w:highlight w:val="none"/>
          <w14:textFill>
            <w14:solidFill>
              <w14:schemeClr w14:val="tx1"/>
            </w14:solidFill>
          </w14:textFill>
        </w:rPr>
      </w:pPr>
    </w:p>
    <w:p w14:paraId="49AABF82">
      <w:pPr>
        <w:pStyle w:val="17"/>
        <w:keepNext w:val="0"/>
        <w:keepLines w:val="0"/>
        <w:pageBreakBefore w:val="0"/>
        <w:kinsoku/>
        <w:wordWrap/>
        <w:overflowPunct/>
        <w:topLinePunct w:val="0"/>
        <w:autoSpaceDE/>
        <w:autoSpaceDN/>
        <w:bidi w:val="0"/>
        <w:adjustRightInd/>
        <w:snapToGrid/>
        <w:spacing w:line="560" w:lineRule="exact"/>
        <w:ind w:right="0" w:firstLine="0" w:firstLineChars="0"/>
        <w:jc w:val="both"/>
        <w:textAlignment w:val="auto"/>
        <w:rPr>
          <w:color w:val="000000" w:themeColor="text1"/>
          <w:highlight w:val="none"/>
          <w14:textFill>
            <w14:solidFill>
              <w14:schemeClr w14:val="tx1"/>
            </w14:solidFill>
          </w14:textFill>
        </w:rPr>
      </w:pPr>
    </w:p>
    <w:p w14:paraId="730136DA">
      <w:pPr>
        <w:pStyle w:val="17"/>
        <w:keepNext w:val="0"/>
        <w:keepLines w:val="0"/>
        <w:pageBreakBefore w:val="0"/>
        <w:kinsoku/>
        <w:wordWrap/>
        <w:overflowPunct/>
        <w:topLinePunct w:val="0"/>
        <w:autoSpaceDE/>
        <w:autoSpaceDN/>
        <w:bidi w:val="0"/>
        <w:adjustRightInd/>
        <w:snapToGrid/>
        <w:spacing w:line="560" w:lineRule="exact"/>
        <w:ind w:right="0" w:firstLine="0" w:firstLineChars="0"/>
        <w:jc w:val="both"/>
        <w:textAlignment w:val="auto"/>
        <w:rPr>
          <w:color w:val="000000" w:themeColor="text1"/>
          <w:highlight w:val="none"/>
          <w14:textFill>
            <w14:solidFill>
              <w14:schemeClr w14:val="tx1"/>
            </w14:solidFill>
          </w14:textFill>
        </w:rPr>
      </w:pPr>
    </w:p>
    <w:p w14:paraId="7A846F34">
      <w:pPr>
        <w:pStyle w:val="17"/>
        <w:keepNext w:val="0"/>
        <w:keepLines w:val="0"/>
        <w:pageBreakBefore w:val="0"/>
        <w:kinsoku/>
        <w:wordWrap/>
        <w:overflowPunct/>
        <w:topLinePunct w:val="0"/>
        <w:autoSpaceDE/>
        <w:autoSpaceDN/>
        <w:bidi w:val="0"/>
        <w:adjustRightInd/>
        <w:snapToGrid/>
        <w:spacing w:line="560" w:lineRule="exact"/>
        <w:ind w:right="0" w:firstLine="0" w:firstLineChars="0"/>
        <w:jc w:val="both"/>
        <w:textAlignment w:val="auto"/>
        <w:rPr>
          <w:color w:val="000000" w:themeColor="text1"/>
          <w:highlight w:val="none"/>
          <w14:textFill>
            <w14:solidFill>
              <w14:schemeClr w14:val="tx1"/>
            </w14:solidFill>
          </w14:textFill>
        </w:rPr>
      </w:pPr>
    </w:p>
    <w:p w14:paraId="23D16C02">
      <w:pPr>
        <w:pStyle w:val="17"/>
        <w:keepNext w:val="0"/>
        <w:keepLines w:val="0"/>
        <w:pageBreakBefore w:val="0"/>
        <w:kinsoku/>
        <w:wordWrap/>
        <w:overflowPunct/>
        <w:topLinePunct w:val="0"/>
        <w:autoSpaceDE/>
        <w:autoSpaceDN/>
        <w:bidi w:val="0"/>
        <w:adjustRightInd/>
        <w:snapToGrid/>
        <w:spacing w:line="560" w:lineRule="exact"/>
        <w:ind w:right="0" w:firstLine="0" w:firstLineChars="0"/>
        <w:jc w:val="both"/>
        <w:textAlignment w:val="auto"/>
        <w:rPr>
          <w:color w:val="000000" w:themeColor="text1"/>
          <w:highlight w:val="none"/>
          <w14:textFill>
            <w14:solidFill>
              <w14:schemeClr w14:val="tx1"/>
            </w14:solidFill>
          </w14:textFill>
        </w:rPr>
      </w:pPr>
    </w:p>
    <w:p w14:paraId="1B436AFC">
      <w:pPr>
        <w:pStyle w:val="17"/>
        <w:keepNext w:val="0"/>
        <w:keepLines w:val="0"/>
        <w:pageBreakBefore w:val="0"/>
        <w:kinsoku/>
        <w:wordWrap/>
        <w:overflowPunct/>
        <w:topLinePunct w:val="0"/>
        <w:autoSpaceDE/>
        <w:autoSpaceDN/>
        <w:bidi w:val="0"/>
        <w:adjustRightInd/>
        <w:snapToGrid/>
        <w:spacing w:line="560" w:lineRule="exact"/>
        <w:ind w:right="0" w:firstLine="0" w:firstLineChars="0"/>
        <w:jc w:val="both"/>
        <w:textAlignment w:val="auto"/>
        <w:rPr>
          <w:color w:val="000000" w:themeColor="text1"/>
          <w:highlight w:val="none"/>
          <w14:textFill>
            <w14:solidFill>
              <w14:schemeClr w14:val="tx1"/>
            </w14:solidFill>
          </w14:textFill>
        </w:rPr>
      </w:pPr>
    </w:p>
    <w:p w14:paraId="1E3AE3C8">
      <w:pPr>
        <w:pStyle w:val="17"/>
        <w:keepNext w:val="0"/>
        <w:keepLines w:val="0"/>
        <w:pageBreakBefore w:val="0"/>
        <w:kinsoku/>
        <w:wordWrap/>
        <w:overflowPunct/>
        <w:topLinePunct w:val="0"/>
        <w:autoSpaceDE/>
        <w:autoSpaceDN/>
        <w:bidi w:val="0"/>
        <w:adjustRightInd/>
        <w:snapToGrid/>
        <w:spacing w:line="560" w:lineRule="exact"/>
        <w:ind w:right="0" w:firstLine="0" w:firstLineChars="0"/>
        <w:jc w:val="both"/>
        <w:textAlignment w:val="auto"/>
        <w:rPr>
          <w:color w:val="000000" w:themeColor="text1"/>
          <w:highlight w:val="none"/>
          <w14:textFill>
            <w14:solidFill>
              <w14:schemeClr w14:val="tx1"/>
            </w14:solidFill>
          </w14:textFill>
        </w:rPr>
      </w:pPr>
    </w:p>
    <w:p w14:paraId="44A5A777">
      <w:pPr>
        <w:pStyle w:val="17"/>
        <w:keepNext w:val="0"/>
        <w:keepLines w:val="0"/>
        <w:pageBreakBefore w:val="0"/>
        <w:kinsoku/>
        <w:wordWrap/>
        <w:overflowPunct/>
        <w:topLinePunct w:val="0"/>
        <w:autoSpaceDE/>
        <w:autoSpaceDN/>
        <w:bidi w:val="0"/>
        <w:adjustRightInd/>
        <w:snapToGrid/>
        <w:spacing w:line="560" w:lineRule="exact"/>
        <w:ind w:right="0" w:firstLine="0" w:firstLineChars="0"/>
        <w:jc w:val="both"/>
        <w:textAlignment w:val="auto"/>
        <w:rPr>
          <w:color w:val="000000" w:themeColor="text1"/>
          <w:highlight w:val="none"/>
          <w14:textFill>
            <w14:solidFill>
              <w14:schemeClr w14:val="tx1"/>
            </w14:solidFill>
          </w14:textFill>
        </w:rPr>
      </w:pPr>
    </w:p>
    <w:p w14:paraId="60C94692">
      <w:pPr>
        <w:pStyle w:val="17"/>
        <w:keepNext w:val="0"/>
        <w:keepLines w:val="0"/>
        <w:pageBreakBefore w:val="0"/>
        <w:kinsoku/>
        <w:wordWrap/>
        <w:overflowPunct/>
        <w:topLinePunct w:val="0"/>
        <w:autoSpaceDE/>
        <w:autoSpaceDN/>
        <w:bidi w:val="0"/>
        <w:adjustRightInd/>
        <w:snapToGrid/>
        <w:spacing w:line="560" w:lineRule="exact"/>
        <w:ind w:right="0" w:firstLine="0" w:firstLineChars="0"/>
        <w:jc w:val="both"/>
        <w:textAlignment w:val="auto"/>
        <w:rPr>
          <w:color w:val="000000" w:themeColor="text1"/>
          <w:highlight w:val="none"/>
          <w14:textFill>
            <w14:solidFill>
              <w14:schemeClr w14:val="tx1"/>
            </w14:solidFill>
          </w14:textFill>
        </w:rPr>
      </w:pPr>
    </w:p>
    <w:p w14:paraId="09299522">
      <w:pPr>
        <w:pStyle w:val="17"/>
        <w:keepNext w:val="0"/>
        <w:keepLines w:val="0"/>
        <w:pageBreakBefore w:val="0"/>
        <w:kinsoku/>
        <w:wordWrap/>
        <w:overflowPunct/>
        <w:topLinePunct w:val="0"/>
        <w:autoSpaceDE/>
        <w:autoSpaceDN/>
        <w:bidi w:val="0"/>
        <w:adjustRightInd/>
        <w:snapToGrid/>
        <w:spacing w:line="560" w:lineRule="exact"/>
        <w:ind w:right="0" w:firstLine="0" w:firstLineChars="0"/>
        <w:jc w:val="both"/>
        <w:textAlignment w:val="auto"/>
        <w:rPr>
          <w:color w:val="000000" w:themeColor="text1"/>
          <w:highlight w:val="none"/>
          <w14:textFill>
            <w14:solidFill>
              <w14:schemeClr w14:val="tx1"/>
            </w14:solidFill>
          </w14:textFill>
        </w:rPr>
      </w:pPr>
    </w:p>
    <w:p w14:paraId="1001335D">
      <w:pPr>
        <w:pStyle w:val="17"/>
        <w:keepNext w:val="0"/>
        <w:keepLines w:val="0"/>
        <w:pageBreakBefore w:val="0"/>
        <w:kinsoku/>
        <w:wordWrap/>
        <w:overflowPunct/>
        <w:topLinePunct w:val="0"/>
        <w:autoSpaceDE/>
        <w:autoSpaceDN/>
        <w:bidi w:val="0"/>
        <w:adjustRightInd/>
        <w:snapToGrid/>
        <w:spacing w:line="560" w:lineRule="exact"/>
        <w:ind w:right="0" w:firstLine="0" w:firstLineChars="0"/>
        <w:jc w:val="both"/>
        <w:textAlignment w:val="auto"/>
        <w:rPr>
          <w:color w:val="000000" w:themeColor="text1"/>
          <w:highlight w:val="none"/>
          <w14:textFill>
            <w14:solidFill>
              <w14:schemeClr w14:val="tx1"/>
            </w14:solidFill>
          </w14:textFill>
        </w:rPr>
      </w:pPr>
    </w:p>
    <w:p w14:paraId="11B75529">
      <w:pPr>
        <w:pStyle w:val="17"/>
        <w:keepNext w:val="0"/>
        <w:keepLines w:val="0"/>
        <w:pageBreakBefore w:val="0"/>
        <w:kinsoku/>
        <w:wordWrap/>
        <w:overflowPunct/>
        <w:topLinePunct w:val="0"/>
        <w:autoSpaceDE/>
        <w:autoSpaceDN/>
        <w:bidi w:val="0"/>
        <w:adjustRightInd/>
        <w:snapToGrid/>
        <w:spacing w:line="560" w:lineRule="exact"/>
        <w:ind w:right="0" w:firstLine="0" w:firstLineChars="0"/>
        <w:jc w:val="both"/>
        <w:textAlignment w:val="auto"/>
        <w:rPr>
          <w:color w:val="000000" w:themeColor="text1"/>
          <w:highlight w:val="none"/>
          <w14:textFill>
            <w14:solidFill>
              <w14:schemeClr w14:val="tx1"/>
            </w14:solidFill>
          </w14:textFill>
        </w:rPr>
      </w:pPr>
    </w:p>
    <w:p w14:paraId="5F624EFA">
      <w:pPr>
        <w:pStyle w:val="17"/>
        <w:keepNext w:val="0"/>
        <w:keepLines w:val="0"/>
        <w:pageBreakBefore w:val="0"/>
        <w:kinsoku/>
        <w:wordWrap/>
        <w:overflowPunct/>
        <w:topLinePunct w:val="0"/>
        <w:autoSpaceDE/>
        <w:autoSpaceDN/>
        <w:bidi w:val="0"/>
        <w:adjustRightInd/>
        <w:snapToGrid/>
        <w:spacing w:line="560" w:lineRule="exact"/>
        <w:ind w:right="0" w:firstLine="0" w:firstLineChars="0"/>
        <w:jc w:val="both"/>
        <w:textAlignment w:val="auto"/>
        <w:rPr>
          <w:color w:val="000000" w:themeColor="text1"/>
          <w:highlight w:val="none"/>
          <w14:textFill>
            <w14:solidFill>
              <w14:schemeClr w14:val="tx1"/>
            </w14:solidFill>
          </w14:textFill>
        </w:rPr>
      </w:pPr>
    </w:p>
    <w:p w14:paraId="3D3924F7">
      <w:pPr>
        <w:pStyle w:val="17"/>
        <w:keepNext w:val="0"/>
        <w:keepLines w:val="0"/>
        <w:pageBreakBefore w:val="0"/>
        <w:kinsoku/>
        <w:wordWrap/>
        <w:overflowPunct/>
        <w:topLinePunct w:val="0"/>
        <w:autoSpaceDE/>
        <w:autoSpaceDN/>
        <w:bidi w:val="0"/>
        <w:adjustRightInd/>
        <w:snapToGrid/>
        <w:spacing w:line="560" w:lineRule="exact"/>
        <w:ind w:right="0" w:firstLine="0" w:firstLineChars="0"/>
        <w:jc w:val="both"/>
        <w:textAlignment w:val="auto"/>
        <w:rPr>
          <w:color w:val="000000" w:themeColor="text1"/>
          <w:highlight w:val="none"/>
          <w14:textFill>
            <w14:solidFill>
              <w14:schemeClr w14:val="tx1"/>
            </w14:solidFill>
          </w14:textFill>
        </w:rPr>
      </w:pPr>
    </w:p>
    <w:p w14:paraId="54A9CA1B">
      <w:pPr>
        <w:pStyle w:val="17"/>
        <w:keepNext w:val="0"/>
        <w:keepLines w:val="0"/>
        <w:pageBreakBefore w:val="0"/>
        <w:kinsoku/>
        <w:wordWrap/>
        <w:overflowPunct/>
        <w:topLinePunct w:val="0"/>
        <w:autoSpaceDE/>
        <w:autoSpaceDN/>
        <w:bidi w:val="0"/>
        <w:adjustRightInd/>
        <w:snapToGrid/>
        <w:spacing w:line="560" w:lineRule="exact"/>
        <w:ind w:right="0" w:firstLine="0" w:firstLineChars="0"/>
        <w:jc w:val="both"/>
        <w:textAlignment w:val="auto"/>
        <w:rPr>
          <w:color w:val="000000" w:themeColor="text1"/>
          <w:highlight w:val="none"/>
          <w14:textFill>
            <w14:solidFill>
              <w14:schemeClr w14:val="tx1"/>
            </w14:solidFill>
          </w14:textFill>
        </w:rPr>
      </w:pPr>
    </w:p>
    <w:p w14:paraId="6A6E2271">
      <w:pPr>
        <w:pStyle w:val="17"/>
        <w:keepNext w:val="0"/>
        <w:keepLines w:val="0"/>
        <w:pageBreakBefore w:val="0"/>
        <w:kinsoku/>
        <w:wordWrap/>
        <w:overflowPunct/>
        <w:topLinePunct w:val="0"/>
        <w:autoSpaceDE/>
        <w:autoSpaceDN/>
        <w:bidi w:val="0"/>
        <w:adjustRightInd/>
        <w:snapToGrid/>
        <w:spacing w:line="560" w:lineRule="exact"/>
        <w:ind w:right="0" w:firstLine="0" w:firstLineChars="0"/>
        <w:jc w:val="both"/>
        <w:textAlignment w:val="auto"/>
        <w:rPr>
          <w:color w:val="000000" w:themeColor="text1"/>
          <w:highlight w:val="none"/>
          <w14:textFill>
            <w14:solidFill>
              <w14:schemeClr w14:val="tx1"/>
            </w14:solidFill>
          </w14:textFill>
        </w:rPr>
      </w:pPr>
    </w:p>
    <w:p w14:paraId="42695605">
      <w:pPr>
        <w:pStyle w:val="17"/>
        <w:keepNext w:val="0"/>
        <w:keepLines w:val="0"/>
        <w:pageBreakBefore w:val="0"/>
        <w:kinsoku/>
        <w:wordWrap/>
        <w:overflowPunct/>
        <w:topLinePunct w:val="0"/>
        <w:autoSpaceDE/>
        <w:autoSpaceDN/>
        <w:bidi w:val="0"/>
        <w:adjustRightInd/>
        <w:snapToGrid/>
        <w:spacing w:line="560" w:lineRule="exact"/>
        <w:ind w:right="0" w:firstLine="0" w:firstLineChars="0"/>
        <w:jc w:val="both"/>
        <w:textAlignment w:val="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二、提供（202</w:t>
      </w:r>
      <w:r>
        <w:rPr>
          <w:rFonts w:hint="eastAsia"/>
          <w:color w:val="000000" w:themeColor="text1"/>
          <w:highlight w:val="none"/>
          <w:lang w:val="en-US" w:eastAsia="zh-CN"/>
          <w14:textFill>
            <w14:solidFill>
              <w14:schemeClr w14:val="tx1"/>
            </w14:solidFill>
          </w14:textFill>
        </w:rPr>
        <w:t>2</w:t>
      </w:r>
      <w:r>
        <w:rPr>
          <w:rFonts w:hint="eastAsia"/>
          <w:color w:val="000000" w:themeColor="text1"/>
          <w:highlight w:val="none"/>
          <w14:textFill>
            <w14:solidFill>
              <w14:schemeClr w14:val="tx1"/>
            </w14:solidFill>
          </w14:textFill>
        </w:rPr>
        <w:t>年-202</w:t>
      </w:r>
      <w:r>
        <w:rPr>
          <w:rFonts w:hint="eastAsia"/>
          <w:color w:val="000000" w:themeColor="text1"/>
          <w:highlight w:val="none"/>
          <w:lang w:val="en-US" w:eastAsia="zh-CN"/>
          <w14:textFill>
            <w14:solidFill>
              <w14:schemeClr w14:val="tx1"/>
            </w14:solidFill>
          </w14:textFill>
        </w:rPr>
        <w:t>4</w:t>
      </w:r>
      <w:r>
        <w:rPr>
          <w:rFonts w:hint="eastAsia"/>
          <w:color w:val="000000" w:themeColor="text1"/>
          <w:highlight w:val="none"/>
          <w14:textFill>
            <w14:solidFill>
              <w14:schemeClr w14:val="tx1"/>
            </w14:solidFill>
          </w14:textFill>
        </w:rPr>
        <w:t>年）任意一年的财务报表或审计报告，成立不足一年的无需提供</w:t>
      </w:r>
    </w:p>
    <w:p w14:paraId="2C4D6082">
      <w:pPr>
        <w:keepNext w:val="0"/>
        <w:keepLines w:val="0"/>
        <w:pageBreakBefore w:val="0"/>
        <w:kinsoku/>
        <w:wordWrap/>
        <w:overflowPunct/>
        <w:topLinePunct w:val="0"/>
        <w:bidi w:val="0"/>
        <w:adjustRightInd/>
        <w:snapToGrid/>
        <w:spacing w:line="560" w:lineRule="exact"/>
        <w:jc w:val="left"/>
        <w:rPr>
          <w:rFonts w:hint="eastAsia" w:ascii="宋体" w:hAnsi="宋体" w:eastAsia="宋体" w:cs="宋体"/>
          <w:color w:val="000000" w:themeColor="text1"/>
          <w:sz w:val="28"/>
          <w:szCs w:val="28"/>
          <w:highlight w:val="none"/>
          <w:lang w:eastAsia="zh-CN"/>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附：提供</w:t>
      </w:r>
      <w:r>
        <w:rPr>
          <w:rFonts w:hint="eastAsia" w:ascii="宋体" w:hAnsi="宋体" w:eastAsia="宋体"/>
          <w:color w:val="000000" w:themeColor="text1"/>
          <w:sz w:val="28"/>
          <w:szCs w:val="28"/>
          <w:highlight w:val="none"/>
          <w14:textFill>
            <w14:solidFill>
              <w14:schemeClr w14:val="tx1"/>
            </w14:solidFill>
          </w14:textFill>
        </w:rPr>
        <w:t>202</w:t>
      </w:r>
      <w:r>
        <w:rPr>
          <w:rFonts w:hint="eastAsia" w:ascii="宋体" w:hAnsi="宋体"/>
          <w:color w:val="000000" w:themeColor="text1"/>
          <w:sz w:val="28"/>
          <w:szCs w:val="28"/>
          <w:highlight w:val="none"/>
          <w:lang w:val="en-US" w:eastAsia="zh-CN"/>
          <w14:textFill>
            <w14:solidFill>
              <w14:schemeClr w14:val="tx1"/>
            </w14:solidFill>
          </w14:textFill>
        </w:rPr>
        <w:t>2</w:t>
      </w:r>
      <w:r>
        <w:rPr>
          <w:rFonts w:hint="eastAsia" w:ascii="宋体" w:hAnsi="宋体" w:eastAsia="宋体"/>
          <w:color w:val="000000" w:themeColor="text1"/>
          <w:sz w:val="28"/>
          <w:szCs w:val="28"/>
          <w:highlight w:val="none"/>
          <w14:textFill>
            <w14:solidFill>
              <w14:schemeClr w14:val="tx1"/>
            </w14:solidFill>
          </w14:textFill>
        </w:rPr>
        <w:t>-202</w:t>
      </w:r>
      <w:r>
        <w:rPr>
          <w:rFonts w:hint="eastAsia" w:ascii="宋体" w:hAnsi="宋体"/>
          <w:color w:val="000000" w:themeColor="text1"/>
          <w:sz w:val="28"/>
          <w:szCs w:val="28"/>
          <w:highlight w:val="none"/>
          <w:lang w:val="en-US" w:eastAsia="zh-CN"/>
          <w14:textFill>
            <w14:solidFill>
              <w14:schemeClr w14:val="tx1"/>
            </w14:solidFill>
          </w14:textFill>
        </w:rPr>
        <w:t>4</w:t>
      </w:r>
      <w:r>
        <w:rPr>
          <w:rFonts w:hint="eastAsia" w:ascii="宋体" w:hAnsi="宋体" w:eastAsia="宋体" w:cs="宋体"/>
          <w:color w:val="000000" w:themeColor="text1"/>
          <w:sz w:val="28"/>
          <w:szCs w:val="28"/>
          <w:highlight w:val="none"/>
          <w14:textFill>
            <w14:solidFill>
              <w14:schemeClr w14:val="tx1"/>
            </w14:solidFill>
          </w14:textFill>
        </w:rPr>
        <w:t>年任意一年的</w:t>
      </w:r>
      <w:r>
        <w:rPr>
          <w:rFonts w:hint="eastAsia" w:ascii="宋体" w:hAnsi="宋体" w:eastAsia="宋体" w:cs="宋体"/>
          <w:color w:val="000000" w:themeColor="text1"/>
          <w:sz w:val="28"/>
          <w:szCs w:val="28"/>
          <w:highlight w:val="none"/>
          <w:lang w:val="en-US" w:eastAsia="zh-CN"/>
          <w14:textFill>
            <w14:solidFill>
              <w14:schemeClr w14:val="tx1"/>
            </w14:solidFill>
          </w14:textFill>
        </w:rPr>
        <w:t>完整</w:t>
      </w:r>
      <w:r>
        <w:rPr>
          <w:rFonts w:hint="eastAsia" w:ascii="宋体" w:hAnsi="宋体" w:eastAsia="宋体" w:cs="宋体"/>
          <w:color w:val="000000" w:themeColor="text1"/>
          <w:sz w:val="28"/>
          <w:szCs w:val="28"/>
          <w:highlight w:val="none"/>
          <w14:textFill>
            <w14:solidFill>
              <w14:schemeClr w14:val="tx1"/>
            </w14:solidFill>
          </w14:textFill>
        </w:rPr>
        <w:t>审计报告或财务报表（应包括资产负债表、现金流量表、利润表），本年度新成立或成立不满一年的无法提供财务审计报告或财务状况报告表的无需提供。</w:t>
      </w:r>
    </w:p>
    <w:p w14:paraId="79115AFA">
      <w:pPr>
        <w:keepNext w:val="0"/>
        <w:keepLines w:val="0"/>
        <w:pageBreakBefore w:val="0"/>
        <w:kinsoku/>
        <w:wordWrap/>
        <w:overflowPunct/>
        <w:topLinePunct w:val="0"/>
        <w:bidi w:val="0"/>
        <w:adjustRightInd/>
        <w:snapToGrid/>
        <w:spacing w:line="560" w:lineRule="exact"/>
        <w:ind w:left="0" w:leftChars="0" w:firstLine="0" w:firstLineChars="0"/>
        <w:textAlignment w:val="auto"/>
        <w:rPr>
          <w:rFonts w:hint="eastAsia" w:ascii="宋体" w:hAnsi="宋体" w:eastAsia="宋体" w:cs="宋体"/>
          <w:color w:val="000000" w:themeColor="text1"/>
          <w:sz w:val="28"/>
          <w:szCs w:val="28"/>
          <w:highlight w:val="none"/>
          <w:lang w:eastAsia="zh-CN"/>
          <w14:textFill>
            <w14:solidFill>
              <w14:schemeClr w14:val="tx1"/>
            </w14:solidFill>
          </w14:textFill>
        </w:rPr>
      </w:pPr>
    </w:p>
    <w:p w14:paraId="2C63A649">
      <w:pPr>
        <w:keepNext w:val="0"/>
        <w:keepLines w:val="0"/>
        <w:pageBreakBefore w:val="0"/>
        <w:kinsoku/>
        <w:wordWrap/>
        <w:overflowPunct/>
        <w:topLinePunct w:val="0"/>
        <w:autoSpaceDE/>
        <w:autoSpaceDN/>
        <w:bidi w:val="0"/>
        <w:adjustRightInd/>
        <w:snapToGrid/>
        <w:spacing w:line="560" w:lineRule="exact"/>
        <w:ind w:right="0" w:firstLine="0" w:firstLineChars="0"/>
        <w:jc w:val="both"/>
        <w:textAlignment w:val="auto"/>
        <w:rPr>
          <w:rFonts w:asciiTheme="minorEastAsia" w:hAnsiTheme="minorEastAsia" w:eastAsiaTheme="minorEastAsia"/>
          <w:color w:val="000000" w:themeColor="text1"/>
          <w:sz w:val="28"/>
          <w:szCs w:val="28"/>
          <w:highlight w:val="none"/>
          <w14:textFill>
            <w14:solidFill>
              <w14:schemeClr w14:val="tx1"/>
            </w14:solidFill>
          </w14:textFill>
        </w:rPr>
      </w:pPr>
    </w:p>
    <w:p w14:paraId="70A75669">
      <w:pPr>
        <w:keepNext w:val="0"/>
        <w:keepLines w:val="0"/>
        <w:pageBreakBefore w:val="0"/>
        <w:kinsoku/>
        <w:wordWrap/>
        <w:overflowPunct/>
        <w:topLinePunct w:val="0"/>
        <w:autoSpaceDE/>
        <w:autoSpaceDN/>
        <w:bidi w:val="0"/>
        <w:adjustRightInd/>
        <w:snapToGrid/>
        <w:spacing w:line="560" w:lineRule="exact"/>
        <w:ind w:right="0" w:firstLine="0" w:firstLineChars="0"/>
        <w:jc w:val="both"/>
        <w:textAlignment w:val="auto"/>
        <w:rPr>
          <w:rFonts w:asciiTheme="minorEastAsia" w:hAnsiTheme="minorEastAsia" w:eastAsiaTheme="minorEastAsia"/>
          <w:color w:val="000000" w:themeColor="text1"/>
          <w:sz w:val="28"/>
          <w:szCs w:val="28"/>
          <w:highlight w:val="none"/>
          <w14:textFill>
            <w14:solidFill>
              <w14:schemeClr w14:val="tx1"/>
            </w14:solidFill>
          </w14:textFill>
        </w:rPr>
      </w:pPr>
    </w:p>
    <w:p w14:paraId="77C2D3D6">
      <w:pPr>
        <w:keepNext w:val="0"/>
        <w:keepLines w:val="0"/>
        <w:pageBreakBefore w:val="0"/>
        <w:kinsoku/>
        <w:wordWrap/>
        <w:overflowPunct/>
        <w:topLinePunct w:val="0"/>
        <w:autoSpaceDE/>
        <w:autoSpaceDN/>
        <w:bidi w:val="0"/>
        <w:adjustRightInd/>
        <w:snapToGrid/>
        <w:spacing w:line="560" w:lineRule="exact"/>
        <w:ind w:right="0" w:firstLine="0" w:firstLineChars="0"/>
        <w:jc w:val="both"/>
        <w:textAlignment w:val="auto"/>
        <w:rPr>
          <w:rFonts w:asciiTheme="minorEastAsia" w:hAnsiTheme="minorEastAsia" w:eastAsiaTheme="minorEastAsia"/>
          <w:color w:val="000000" w:themeColor="text1"/>
          <w:sz w:val="28"/>
          <w:szCs w:val="28"/>
          <w:highlight w:val="none"/>
          <w14:textFill>
            <w14:solidFill>
              <w14:schemeClr w14:val="tx1"/>
            </w14:solidFill>
          </w14:textFill>
        </w:rPr>
      </w:pPr>
    </w:p>
    <w:p w14:paraId="54FC9BAD">
      <w:pPr>
        <w:keepNext w:val="0"/>
        <w:keepLines w:val="0"/>
        <w:pageBreakBefore w:val="0"/>
        <w:kinsoku/>
        <w:wordWrap/>
        <w:overflowPunct/>
        <w:topLinePunct w:val="0"/>
        <w:autoSpaceDE/>
        <w:autoSpaceDN/>
        <w:bidi w:val="0"/>
        <w:adjustRightInd/>
        <w:snapToGrid/>
        <w:spacing w:line="560" w:lineRule="exact"/>
        <w:ind w:right="0" w:firstLine="0" w:firstLineChars="0"/>
        <w:jc w:val="both"/>
        <w:textAlignment w:val="auto"/>
        <w:rPr>
          <w:rFonts w:asciiTheme="minorEastAsia" w:hAnsiTheme="minorEastAsia" w:eastAsiaTheme="minorEastAsia"/>
          <w:color w:val="000000" w:themeColor="text1"/>
          <w:sz w:val="28"/>
          <w:szCs w:val="28"/>
          <w:highlight w:val="none"/>
          <w14:textFill>
            <w14:solidFill>
              <w14:schemeClr w14:val="tx1"/>
            </w14:solidFill>
          </w14:textFill>
        </w:rPr>
      </w:pPr>
    </w:p>
    <w:p w14:paraId="2F0EFCD2">
      <w:pPr>
        <w:keepNext w:val="0"/>
        <w:keepLines w:val="0"/>
        <w:pageBreakBefore w:val="0"/>
        <w:kinsoku/>
        <w:wordWrap/>
        <w:overflowPunct/>
        <w:topLinePunct w:val="0"/>
        <w:autoSpaceDE/>
        <w:autoSpaceDN/>
        <w:bidi w:val="0"/>
        <w:adjustRightInd/>
        <w:snapToGrid/>
        <w:spacing w:line="560" w:lineRule="exact"/>
        <w:ind w:right="0" w:firstLine="0" w:firstLineChars="0"/>
        <w:jc w:val="both"/>
        <w:textAlignment w:val="auto"/>
        <w:rPr>
          <w:rFonts w:asciiTheme="minorEastAsia" w:hAnsiTheme="minorEastAsia" w:eastAsiaTheme="minorEastAsia"/>
          <w:color w:val="000000" w:themeColor="text1"/>
          <w:sz w:val="28"/>
          <w:szCs w:val="28"/>
          <w:highlight w:val="none"/>
          <w14:textFill>
            <w14:solidFill>
              <w14:schemeClr w14:val="tx1"/>
            </w14:solidFill>
          </w14:textFill>
        </w:rPr>
      </w:pPr>
    </w:p>
    <w:p w14:paraId="4D6E64FA">
      <w:pPr>
        <w:keepNext w:val="0"/>
        <w:keepLines w:val="0"/>
        <w:pageBreakBefore w:val="0"/>
        <w:kinsoku/>
        <w:wordWrap/>
        <w:overflowPunct/>
        <w:topLinePunct w:val="0"/>
        <w:autoSpaceDE/>
        <w:autoSpaceDN/>
        <w:bidi w:val="0"/>
        <w:adjustRightInd/>
        <w:snapToGrid/>
        <w:spacing w:line="560" w:lineRule="exact"/>
        <w:ind w:right="0" w:firstLine="0" w:firstLineChars="0"/>
        <w:jc w:val="both"/>
        <w:textAlignment w:val="auto"/>
        <w:rPr>
          <w:rFonts w:asciiTheme="minorEastAsia" w:hAnsiTheme="minorEastAsia" w:eastAsiaTheme="minorEastAsia"/>
          <w:color w:val="000000" w:themeColor="text1"/>
          <w:sz w:val="28"/>
          <w:szCs w:val="28"/>
          <w:highlight w:val="none"/>
          <w14:textFill>
            <w14:solidFill>
              <w14:schemeClr w14:val="tx1"/>
            </w14:solidFill>
          </w14:textFill>
        </w:rPr>
      </w:pPr>
    </w:p>
    <w:p w14:paraId="441A829D">
      <w:pPr>
        <w:keepNext w:val="0"/>
        <w:keepLines w:val="0"/>
        <w:pageBreakBefore w:val="0"/>
        <w:kinsoku/>
        <w:wordWrap/>
        <w:overflowPunct/>
        <w:topLinePunct w:val="0"/>
        <w:autoSpaceDE/>
        <w:autoSpaceDN/>
        <w:bidi w:val="0"/>
        <w:adjustRightInd/>
        <w:snapToGrid/>
        <w:spacing w:line="560" w:lineRule="exact"/>
        <w:ind w:right="0" w:firstLine="0" w:firstLineChars="0"/>
        <w:jc w:val="both"/>
        <w:textAlignment w:val="auto"/>
        <w:rPr>
          <w:rFonts w:asciiTheme="minorEastAsia" w:hAnsiTheme="minorEastAsia" w:eastAsiaTheme="minorEastAsia"/>
          <w:color w:val="000000" w:themeColor="text1"/>
          <w:sz w:val="28"/>
          <w:szCs w:val="28"/>
          <w:highlight w:val="none"/>
          <w14:textFill>
            <w14:solidFill>
              <w14:schemeClr w14:val="tx1"/>
            </w14:solidFill>
          </w14:textFill>
        </w:rPr>
      </w:pPr>
    </w:p>
    <w:p w14:paraId="39A7DF26">
      <w:pPr>
        <w:keepNext w:val="0"/>
        <w:keepLines w:val="0"/>
        <w:pageBreakBefore w:val="0"/>
        <w:kinsoku/>
        <w:wordWrap/>
        <w:overflowPunct/>
        <w:topLinePunct w:val="0"/>
        <w:autoSpaceDE/>
        <w:autoSpaceDN/>
        <w:bidi w:val="0"/>
        <w:adjustRightInd/>
        <w:snapToGrid/>
        <w:spacing w:line="560" w:lineRule="exact"/>
        <w:ind w:right="0" w:firstLine="0" w:firstLineChars="0"/>
        <w:jc w:val="both"/>
        <w:textAlignment w:val="auto"/>
        <w:rPr>
          <w:rFonts w:asciiTheme="minorEastAsia" w:hAnsiTheme="minorEastAsia" w:eastAsiaTheme="minorEastAsia"/>
          <w:color w:val="000000" w:themeColor="text1"/>
          <w:sz w:val="28"/>
          <w:szCs w:val="28"/>
          <w:highlight w:val="none"/>
          <w14:textFill>
            <w14:solidFill>
              <w14:schemeClr w14:val="tx1"/>
            </w14:solidFill>
          </w14:textFill>
        </w:rPr>
      </w:pPr>
    </w:p>
    <w:p w14:paraId="5FDFB09A">
      <w:pPr>
        <w:keepNext w:val="0"/>
        <w:keepLines w:val="0"/>
        <w:pageBreakBefore w:val="0"/>
        <w:kinsoku/>
        <w:wordWrap/>
        <w:overflowPunct/>
        <w:topLinePunct w:val="0"/>
        <w:autoSpaceDE/>
        <w:autoSpaceDN/>
        <w:bidi w:val="0"/>
        <w:adjustRightInd/>
        <w:snapToGrid/>
        <w:spacing w:line="560" w:lineRule="exact"/>
        <w:ind w:right="0" w:firstLine="0" w:firstLineChars="0"/>
        <w:jc w:val="both"/>
        <w:textAlignment w:val="auto"/>
        <w:rPr>
          <w:rFonts w:asciiTheme="minorEastAsia" w:hAnsiTheme="minorEastAsia" w:eastAsiaTheme="minorEastAsia"/>
          <w:color w:val="000000" w:themeColor="text1"/>
          <w:sz w:val="28"/>
          <w:szCs w:val="28"/>
          <w:highlight w:val="none"/>
          <w14:textFill>
            <w14:solidFill>
              <w14:schemeClr w14:val="tx1"/>
            </w14:solidFill>
          </w14:textFill>
        </w:rPr>
      </w:pPr>
    </w:p>
    <w:p w14:paraId="68A4E935">
      <w:pPr>
        <w:keepNext w:val="0"/>
        <w:keepLines w:val="0"/>
        <w:pageBreakBefore w:val="0"/>
        <w:kinsoku/>
        <w:wordWrap/>
        <w:overflowPunct/>
        <w:topLinePunct w:val="0"/>
        <w:autoSpaceDE/>
        <w:autoSpaceDN/>
        <w:bidi w:val="0"/>
        <w:adjustRightInd/>
        <w:snapToGrid/>
        <w:spacing w:line="560" w:lineRule="exact"/>
        <w:ind w:right="0" w:firstLine="0" w:firstLineChars="0"/>
        <w:jc w:val="both"/>
        <w:textAlignment w:val="auto"/>
        <w:rPr>
          <w:rFonts w:asciiTheme="minorEastAsia" w:hAnsiTheme="minorEastAsia" w:eastAsiaTheme="minorEastAsia"/>
          <w:color w:val="000000" w:themeColor="text1"/>
          <w:sz w:val="28"/>
          <w:szCs w:val="28"/>
          <w:highlight w:val="none"/>
          <w14:textFill>
            <w14:solidFill>
              <w14:schemeClr w14:val="tx1"/>
            </w14:solidFill>
          </w14:textFill>
        </w:rPr>
      </w:pPr>
    </w:p>
    <w:p w14:paraId="0EC450B1">
      <w:pPr>
        <w:keepNext w:val="0"/>
        <w:keepLines w:val="0"/>
        <w:pageBreakBefore w:val="0"/>
        <w:kinsoku/>
        <w:wordWrap/>
        <w:overflowPunct/>
        <w:topLinePunct w:val="0"/>
        <w:autoSpaceDE/>
        <w:autoSpaceDN/>
        <w:bidi w:val="0"/>
        <w:adjustRightInd/>
        <w:snapToGrid/>
        <w:spacing w:line="560" w:lineRule="exact"/>
        <w:ind w:right="0" w:firstLine="0" w:firstLineChars="0"/>
        <w:jc w:val="both"/>
        <w:textAlignment w:val="auto"/>
        <w:rPr>
          <w:rFonts w:asciiTheme="minorEastAsia" w:hAnsiTheme="minorEastAsia" w:eastAsiaTheme="minorEastAsia"/>
          <w:color w:val="000000" w:themeColor="text1"/>
          <w:sz w:val="28"/>
          <w:szCs w:val="28"/>
          <w:highlight w:val="none"/>
          <w14:textFill>
            <w14:solidFill>
              <w14:schemeClr w14:val="tx1"/>
            </w14:solidFill>
          </w14:textFill>
        </w:rPr>
      </w:pPr>
    </w:p>
    <w:p w14:paraId="45579D70">
      <w:pPr>
        <w:keepNext w:val="0"/>
        <w:keepLines w:val="0"/>
        <w:pageBreakBefore w:val="0"/>
        <w:kinsoku/>
        <w:wordWrap/>
        <w:overflowPunct/>
        <w:topLinePunct w:val="0"/>
        <w:autoSpaceDE/>
        <w:autoSpaceDN/>
        <w:bidi w:val="0"/>
        <w:adjustRightInd/>
        <w:snapToGrid/>
        <w:spacing w:line="560" w:lineRule="exact"/>
        <w:ind w:right="0" w:firstLine="0" w:firstLineChars="0"/>
        <w:jc w:val="both"/>
        <w:textAlignment w:val="auto"/>
        <w:rPr>
          <w:rFonts w:asciiTheme="minorEastAsia" w:hAnsiTheme="minorEastAsia" w:eastAsiaTheme="minorEastAsia"/>
          <w:color w:val="000000" w:themeColor="text1"/>
          <w:sz w:val="28"/>
          <w:szCs w:val="28"/>
          <w:highlight w:val="none"/>
          <w14:textFill>
            <w14:solidFill>
              <w14:schemeClr w14:val="tx1"/>
            </w14:solidFill>
          </w14:textFill>
        </w:rPr>
      </w:pPr>
    </w:p>
    <w:p w14:paraId="51FD164F">
      <w:pPr>
        <w:keepNext w:val="0"/>
        <w:keepLines w:val="0"/>
        <w:pageBreakBefore w:val="0"/>
        <w:kinsoku/>
        <w:wordWrap/>
        <w:overflowPunct/>
        <w:topLinePunct w:val="0"/>
        <w:autoSpaceDE/>
        <w:autoSpaceDN/>
        <w:bidi w:val="0"/>
        <w:adjustRightInd/>
        <w:snapToGrid/>
        <w:spacing w:line="560" w:lineRule="exact"/>
        <w:ind w:right="0" w:firstLine="0" w:firstLineChars="0"/>
        <w:jc w:val="both"/>
        <w:textAlignment w:val="auto"/>
        <w:rPr>
          <w:rFonts w:asciiTheme="minorEastAsia" w:hAnsiTheme="minorEastAsia" w:eastAsiaTheme="minorEastAsia"/>
          <w:color w:val="000000" w:themeColor="text1"/>
          <w:sz w:val="28"/>
          <w:szCs w:val="28"/>
          <w:highlight w:val="none"/>
          <w14:textFill>
            <w14:solidFill>
              <w14:schemeClr w14:val="tx1"/>
            </w14:solidFill>
          </w14:textFill>
        </w:rPr>
      </w:pPr>
    </w:p>
    <w:p w14:paraId="3AF44ADD">
      <w:pPr>
        <w:keepNext w:val="0"/>
        <w:keepLines w:val="0"/>
        <w:pageBreakBefore w:val="0"/>
        <w:kinsoku/>
        <w:wordWrap/>
        <w:overflowPunct/>
        <w:topLinePunct w:val="0"/>
        <w:autoSpaceDE/>
        <w:autoSpaceDN/>
        <w:bidi w:val="0"/>
        <w:adjustRightInd/>
        <w:snapToGrid/>
        <w:spacing w:line="560" w:lineRule="exact"/>
        <w:ind w:right="0" w:firstLine="0" w:firstLineChars="0"/>
        <w:jc w:val="both"/>
        <w:textAlignment w:val="auto"/>
        <w:rPr>
          <w:rFonts w:asciiTheme="minorEastAsia" w:hAnsiTheme="minorEastAsia" w:eastAsiaTheme="minorEastAsia"/>
          <w:color w:val="000000" w:themeColor="text1"/>
          <w:sz w:val="28"/>
          <w:szCs w:val="28"/>
          <w:highlight w:val="none"/>
          <w14:textFill>
            <w14:solidFill>
              <w14:schemeClr w14:val="tx1"/>
            </w14:solidFill>
          </w14:textFill>
        </w:rPr>
      </w:pPr>
    </w:p>
    <w:p w14:paraId="0D23B20A">
      <w:pPr>
        <w:keepNext w:val="0"/>
        <w:keepLines w:val="0"/>
        <w:pageBreakBefore w:val="0"/>
        <w:kinsoku/>
        <w:wordWrap/>
        <w:overflowPunct/>
        <w:topLinePunct w:val="0"/>
        <w:autoSpaceDE/>
        <w:autoSpaceDN/>
        <w:bidi w:val="0"/>
        <w:adjustRightInd/>
        <w:snapToGrid/>
        <w:spacing w:line="560" w:lineRule="exact"/>
        <w:ind w:right="0" w:firstLine="0" w:firstLineChars="0"/>
        <w:jc w:val="both"/>
        <w:textAlignment w:val="auto"/>
        <w:rPr>
          <w:rFonts w:asciiTheme="minorEastAsia" w:hAnsiTheme="minorEastAsia" w:eastAsiaTheme="minorEastAsia"/>
          <w:color w:val="000000" w:themeColor="text1"/>
          <w:sz w:val="28"/>
          <w:szCs w:val="28"/>
          <w:highlight w:val="none"/>
          <w14:textFill>
            <w14:solidFill>
              <w14:schemeClr w14:val="tx1"/>
            </w14:solidFill>
          </w14:textFill>
        </w:rPr>
      </w:pPr>
    </w:p>
    <w:p w14:paraId="63A417A4">
      <w:pPr>
        <w:keepNext w:val="0"/>
        <w:keepLines w:val="0"/>
        <w:pageBreakBefore w:val="0"/>
        <w:kinsoku/>
        <w:wordWrap/>
        <w:overflowPunct/>
        <w:topLinePunct w:val="0"/>
        <w:autoSpaceDE/>
        <w:autoSpaceDN/>
        <w:bidi w:val="0"/>
        <w:adjustRightInd/>
        <w:snapToGrid/>
        <w:spacing w:line="560" w:lineRule="exact"/>
        <w:ind w:right="0" w:firstLine="0" w:firstLineChars="0"/>
        <w:jc w:val="both"/>
        <w:textAlignment w:val="auto"/>
        <w:rPr>
          <w:rFonts w:asciiTheme="minorEastAsia" w:hAnsiTheme="minorEastAsia" w:eastAsiaTheme="minorEastAsia"/>
          <w:color w:val="000000" w:themeColor="text1"/>
          <w:sz w:val="28"/>
          <w:szCs w:val="28"/>
          <w:highlight w:val="none"/>
          <w14:textFill>
            <w14:solidFill>
              <w14:schemeClr w14:val="tx1"/>
            </w14:solidFill>
          </w14:textFill>
        </w:rPr>
      </w:pPr>
    </w:p>
    <w:p w14:paraId="7B7A80E0">
      <w:pPr>
        <w:keepNext w:val="0"/>
        <w:keepLines w:val="0"/>
        <w:pageBreakBefore w:val="0"/>
        <w:kinsoku/>
        <w:wordWrap/>
        <w:overflowPunct/>
        <w:topLinePunct w:val="0"/>
        <w:autoSpaceDE/>
        <w:autoSpaceDN/>
        <w:bidi w:val="0"/>
        <w:adjustRightInd/>
        <w:snapToGrid/>
        <w:spacing w:line="560" w:lineRule="exact"/>
        <w:ind w:right="0" w:firstLine="0" w:firstLineChars="0"/>
        <w:jc w:val="both"/>
        <w:textAlignment w:val="auto"/>
        <w:rPr>
          <w:rFonts w:hint="eastAsia" w:cs="仿宋_GB2312" w:asciiTheme="minorEastAsia" w:hAnsiTheme="minorEastAsia" w:eastAsiaTheme="minorEastAsia"/>
          <w:b/>
          <w:color w:val="000000" w:themeColor="text1"/>
          <w:kern w:val="0"/>
          <w:sz w:val="28"/>
          <w:szCs w:val="28"/>
          <w:highlight w:val="none"/>
          <w14:textFill>
            <w14:solidFill>
              <w14:schemeClr w14:val="tx1"/>
            </w14:solidFill>
          </w14:textFill>
        </w:rPr>
      </w:pPr>
    </w:p>
    <w:p w14:paraId="3257661E">
      <w:pPr>
        <w:keepNext w:val="0"/>
        <w:keepLines w:val="0"/>
        <w:pageBreakBefore w:val="0"/>
        <w:kinsoku/>
        <w:wordWrap/>
        <w:overflowPunct/>
        <w:topLinePunct w:val="0"/>
        <w:autoSpaceDE/>
        <w:autoSpaceDN/>
        <w:bidi w:val="0"/>
        <w:adjustRightInd/>
        <w:snapToGrid/>
        <w:spacing w:line="560" w:lineRule="exact"/>
        <w:ind w:right="0" w:firstLine="0" w:firstLineChars="0"/>
        <w:jc w:val="both"/>
        <w:textAlignment w:val="auto"/>
        <w:rPr>
          <w:rFonts w:hint="eastAsia" w:cs="仿宋_GB2312" w:asciiTheme="minorEastAsia" w:hAnsiTheme="minorEastAsia" w:eastAsiaTheme="minorEastAsia"/>
          <w:b/>
          <w:color w:val="000000" w:themeColor="text1"/>
          <w:kern w:val="0"/>
          <w:sz w:val="28"/>
          <w:szCs w:val="28"/>
          <w:highlight w:val="none"/>
          <w14:textFill>
            <w14:solidFill>
              <w14:schemeClr w14:val="tx1"/>
            </w14:solidFill>
          </w14:textFill>
        </w:rPr>
      </w:pPr>
    </w:p>
    <w:p w14:paraId="4265EB68">
      <w:pPr>
        <w:keepNext w:val="0"/>
        <w:keepLines w:val="0"/>
        <w:pageBreakBefore w:val="0"/>
        <w:kinsoku/>
        <w:wordWrap/>
        <w:overflowPunct/>
        <w:topLinePunct w:val="0"/>
        <w:autoSpaceDE/>
        <w:autoSpaceDN/>
        <w:bidi w:val="0"/>
        <w:adjustRightInd/>
        <w:snapToGrid/>
        <w:spacing w:line="560" w:lineRule="exact"/>
        <w:ind w:right="0" w:firstLine="0" w:firstLineChars="0"/>
        <w:jc w:val="both"/>
        <w:textAlignment w:val="auto"/>
        <w:rPr>
          <w:rFonts w:hint="eastAsia" w:cs="仿宋_GB2312" w:asciiTheme="minorEastAsia" w:hAnsiTheme="minorEastAsia" w:eastAsiaTheme="minorEastAsia"/>
          <w:b/>
          <w:color w:val="000000" w:themeColor="text1"/>
          <w:kern w:val="0"/>
          <w:sz w:val="28"/>
          <w:szCs w:val="28"/>
          <w:highlight w:val="none"/>
          <w14:textFill>
            <w14:solidFill>
              <w14:schemeClr w14:val="tx1"/>
            </w14:solidFill>
          </w14:textFill>
        </w:rPr>
      </w:pPr>
    </w:p>
    <w:p w14:paraId="3842E8F4">
      <w:pPr>
        <w:keepNext w:val="0"/>
        <w:keepLines w:val="0"/>
        <w:pageBreakBefore w:val="0"/>
        <w:kinsoku/>
        <w:wordWrap/>
        <w:overflowPunct/>
        <w:topLinePunct w:val="0"/>
        <w:autoSpaceDE/>
        <w:autoSpaceDN/>
        <w:bidi w:val="0"/>
        <w:adjustRightInd/>
        <w:snapToGrid/>
        <w:spacing w:line="560" w:lineRule="exact"/>
        <w:ind w:right="0" w:firstLine="0" w:firstLineChars="0"/>
        <w:jc w:val="both"/>
        <w:textAlignment w:val="auto"/>
        <w:rPr>
          <w:rFonts w:hint="eastAsia" w:cs="仿宋_GB2312" w:asciiTheme="minorEastAsia" w:hAnsiTheme="minorEastAsia" w:eastAsiaTheme="minorEastAsia"/>
          <w:b/>
          <w:color w:val="000000" w:themeColor="text1"/>
          <w:kern w:val="0"/>
          <w:sz w:val="28"/>
          <w:szCs w:val="28"/>
          <w:highlight w:val="none"/>
          <w14:textFill>
            <w14:solidFill>
              <w14:schemeClr w14:val="tx1"/>
            </w14:solidFill>
          </w14:textFill>
        </w:rPr>
      </w:pPr>
    </w:p>
    <w:p w14:paraId="1D0ABF29">
      <w:pPr>
        <w:keepNext w:val="0"/>
        <w:keepLines w:val="0"/>
        <w:pageBreakBefore w:val="0"/>
        <w:kinsoku/>
        <w:wordWrap/>
        <w:overflowPunct/>
        <w:topLinePunct w:val="0"/>
        <w:autoSpaceDE/>
        <w:autoSpaceDN/>
        <w:bidi w:val="0"/>
        <w:adjustRightInd/>
        <w:snapToGrid/>
        <w:spacing w:line="560" w:lineRule="exact"/>
        <w:ind w:right="0" w:firstLine="0" w:firstLineChars="0"/>
        <w:jc w:val="both"/>
        <w:textAlignment w:val="auto"/>
        <w:rPr>
          <w:rFonts w:cs="仿宋_GB2312" w:asciiTheme="minorEastAsia" w:hAnsiTheme="minorEastAsia" w:eastAsiaTheme="minorEastAsia"/>
          <w:b/>
          <w:color w:val="000000" w:themeColor="text1"/>
          <w:kern w:val="0"/>
          <w:sz w:val="28"/>
          <w:szCs w:val="28"/>
          <w:highlight w:val="none"/>
          <w14:textFill>
            <w14:solidFill>
              <w14:schemeClr w14:val="tx1"/>
            </w14:solidFill>
          </w14:textFill>
        </w:rPr>
      </w:pPr>
      <w:r>
        <w:rPr>
          <w:rFonts w:hint="eastAsia" w:cs="仿宋_GB2312" w:asciiTheme="minorEastAsia" w:hAnsiTheme="minorEastAsia" w:eastAsiaTheme="minorEastAsia"/>
          <w:b/>
          <w:color w:val="000000" w:themeColor="text1"/>
          <w:kern w:val="0"/>
          <w:sz w:val="28"/>
          <w:szCs w:val="28"/>
          <w:highlight w:val="none"/>
          <w14:textFill>
            <w14:solidFill>
              <w14:schemeClr w14:val="tx1"/>
            </w14:solidFill>
          </w14:textFill>
        </w:rPr>
        <w:t>三、根据项目需求提供履行合同所必需的设备和专业技术能力的加盖单位公章的书面承诺函</w:t>
      </w:r>
    </w:p>
    <w:p w14:paraId="72B8FCF8">
      <w:pPr>
        <w:pStyle w:val="13"/>
        <w:keepNext w:val="0"/>
        <w:keepLines w:val="0"/>
        <w:pageBreakBefore w:val="0"/>
        <w:widowControl w:val="0"/>
        <w:kinsoku/>
        <w:wordWrap/>
        <w:overflowPunct/>
        <w:topLinePunct w:val="0"/>
        <w:bidi w:val="0"/>
        <w:adjustRightInd/>
        <w:snapToGrid/>
        <w:spacing w:after="0" w:line="560" w:lineRule="exact"/>
        <w:textAlignment w:val="auto"/>
        <w:rPr>
          <w:rFonts w:hint="eastAsia" w:ascii="宋体" w:hAnsi="宋体" w:eastAsia="宋体" w:cs="宋体"/>
          <w:color w:val="000000" w:themeColor="text1"/>
          <w:kern w:val="0"/>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致：</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sz w:val="28"/>
          <w:szCs w:val="28"/>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8"/>
          <w:szCs w:val="28"/>
          <w:highlight w:val="none"/>
          <w:u w:val="single"/>
          <w14:textFill>
            <w14:solidFill>
              <w14:schemeClr w14:val="tx1"/>
            </w14:solidFill>
          </w14:textFill>
        </w:rPr>
        <w:t xml:space="preserve">（采购人名称） </w:t>
      </w:r>
    </w:p>
    <w:p w14:paraId="1C415137">
      <w:pPr>
        <w:keepNext w:val="0"/>
        <w:keepLines w:val="0"/>
        <w:pageBreakBefore w:val="0"/>
        <w:widowControl w:val="0"/>
        <w:kinsoku/>
        <w:wordWrap/>
        <w:overflowPunct/>
        <w:topLinePunct w:val="0"/>
        <w:bidi w:val="0"/>
        <w:adjustRightInd/>
        <w:snapToGrid/>
        <w:spacing w:line="560" w:lineRule="exact"/>
        <w:ind w:left="0" w:leftChars="0" w:firstLine="560" w:firstLineChars="200"/>
        <w:textAlignment w:val="auto"/>
        <w:rPr>
          <w:rFonts w:hint="eastAsia" w:ascii="宋体" w:hAnsi="宋体" w:eastAsia="宋体" w:cs="宋体"/>
          <w:color w:val="000000" w:themeColor="text1"/>
          <w:kern w:val="0"/>
          <w:sz w:val="28"/>
          <w:szCs w:val="28"/>
          <w:highlight w:val="none"/>
          <w14:textFill>
            <w14:solidFill>
              <w14:schemeClr w14:val="tx1"/>
            </w14:solidFill>
          </w14:textFill>
        </w:rPr>
      </w:pPr>
      <w:r>
        <w:rPr>
          <w:rFonts w:hint="eastAsia" w:ascii="宋体" w:hAnsi="宋体" w:eastAsia="宋体" w:cs="宋体"/>
          <w:color w:val="000000" w:themeColor="text1"/>
          <w:kern w:val="0"/>
          <w:sz w:val="28"/>
          <w:szCs w:val="28"/>
          <w:highlight w:val="none"/>
          <w14:textFill>
            <w14:solidFill>
              <w14:schemeClr w14:val="tx1"/>
            </w14:solidFill>
          </w14:textFill>
        </w:rPr>
        <w:t>在</w:t>
      </w:r>
      <w:r>
        <w:rPr>
          <w:rFonts w:hint="eastAsia" w:ascii="宋体" w:hAnsi="宋体" w:eastAsia="宋体" w:cs="宋体"/>
          <w:color w:val="000000" w:themeColor="text1"/>
          <w:kern w:val="0"/>
          <w:sz w:val="28"/>
          <w:szCs w:val="28"/>
          <w:highlight w:val="none"/>
          <w:u w:val="single"/>
          <w:lang w:val="en-US" w:eastAsia="zh-CN"/>
          <w14:textFill>
            <w14:solidFill>
              <w14:schemeClr w14:val="tx1"/>
            </w14:solidFill>
          </w14:textFill>
        </w:rPr>
        <w:t xml:space="preserve">            </w:t>
      </w:r>
      <w:r>
        <w:rPr>
          <w:rFonts w:hint="eastAsia" w:ascii="宋体" w:hAnsi="宋体" w:cs="宋体"/>
          <w:color w:val="000000" w:themeColor="text1"/>
          <w:kern w:val="0"/>
          <w:sz w:val="28"/>
          <w:szCs w:val="28"/>
          <w:highlight w:val="none"/>
          <w:u w:val="single"/>
          <w:lang w:val="en-US" w:eastAsia="zh-CN"/>
          <w14:textFill>
            <w14:solidFill>
              <w14:schemeClr w14:val="tx1"/>
            </w14:solidFill>
          </w14:textFill>
        </w:rPr>
        <w:t>（</w:t>
      </w:r>
      <w:r>
        <w:rPr>
          <w:rFonts w:hint="eastAsia" w:ascii="宋体" w:hAnsi="宋体" w:eastAsia="宋体" w:cs="宋体"/>
          <w:color w:val="000000" w:themeColor="text1"/>
          <w:kern w:val="0"/>
          <w:sz w:val="28"/>
          <w:szCs w:val="28"/>
          <w:highlight w:val="none"/>
          <w:u w:val="single"/>
          <w14:textFill>
            <w14:solidFill>
              <w14:schemeClr w14:val="tx1"/>
            </w14:solidFill>
          </w14:textFill>
        </w:rPr>
        <w:t>项目名称</w:t>
      </w:r>
      <w:r>
        <w:rPr>
          <w:rFonts w:hint="eastAsia" w:ascii="宋体" w:hAnsi="宋体" w:cs="宋体"/>
          <w:color w:val="000000" w:themeColor="text1"/>
          <w:kern w:val="0"/>
          <w:sz w:val="28"/>
          <w:szCs w:val="28"/>
          <w:highlight w:val="none"/>
          <w:u w:val="single"/>
          <w:lang w:eastAsia="zh-CN"/>
          <w14:textFill>
            <w14:solidFill>
              <w14:schemeClr w14:val="tx1"/>
            </w14:solidFill>
          </w14:textFill>
        </w:rPr>
        <w:t>、</w:t>
      </w:r>
      <w:r>
        <w:rPr>
          <w:rFonts w:hint="eastAsia" w:ascii="宋体" w:hAnsi="宋体" w:cs="宋体"/>
          <w:color w:val="000000" w:themeColor="text1"/>
          <w:kern w:val="0"/>
          <w:sz w:val="28"/>
          <w:szCs w:val="28"/>
          <w:highlight w:val="none"/>
          <w:u w:val="single"/>
          <w:lang w:val="en-US" w:eastAsia="zh-CN"/>
          <w14:textFill>
            <w14:solidFill>
              <w14:schemeClr w14:val="tx1"/>
            </w14:solidFill>
          </w14:textFill>
        </w:rPr>
        <w:t>项目编号、标项名称）</w:t>
      </w:r>
      <w:r>
        <w:rPr>
          <w:rFonts w:hint="eastAsia" w:ascii="宋体" w:hAnsi="宋体" w:eastAsia="宋体" w:cs="宋体"/>
          <w:color w:val="000000" w:themeColor="text1"/>
          <w:kern w:val="0"/>
          <w:sz w:val="28"/>
          <w:szCs w:val="28"/>
          <w:highlight w:val="none"/>
          <w14:textFill>
            <w14:solidFill>
              <w14:schemeClr w14:val="tx1"/>
            </w14:solidFill>
          </w14:textFill>
        </w:rPr>
        <w:t>，我公司在完全理解本项目招标的技术要求、商务条款及其他内容后，决定参与该项目的投标活动。并承诺，如中标，我公司将提供足够的设备和专业技术能力保证本合同履行。</w:t>
      </w:r>
    </w:p>
    <w:p w14:paraId="277FA42E">
      <w:pPr>
        <w:keepNext w:val="0"/>
        <w:keepLines w:val="0"/>
        <w:pageBreakBefore w:val="0"/>
        <w:widowControl w:val="0"/>
        <w:kinsoku/>
        <w:wordWrap/>
        <w:overflowPunct/>
        <w:topLinePunct w:val="0"/>
        <w:bidi w:val="0"/>
        <w:adjustRightInd/>
        <w:snapToGrid/>
        <w:spacing w:line="560" w:lineRule="exact"/>
        <w:ind w:left="0" w:leftChars="0" w:firstLine="560" w:firstLineChars="200"/>
        <w:textAlignment w:val="auto"/>
        <w:rPr>
          <w:rFonts w:hint="eastAsia" w:ascii="宋体" w:hAnsi="宋体" w:eastAsia="宋体" w:cs="宋体"/>
          <w:color w:val="000000" w:themeColor="text1"/>
          <w:kern w:val="0"/>
          <w:sz w:val="28"/>
          <w:szCs w:val="28"/>
          <w:highlight w:val="none"/>
          <w14:textFill>
            <w14:solidFill>
              <w14:schemeClr w14:val="tx1"/>
            </w14:solidFill>
          </w14:textFill>
        </w:rPr>
      </w:pPr>
      <w:r>
        <w:rPr>
          <w:rFonts w:hint="eastAsia" w:ascii="宋体" w:hAnsi="宋体" w:eastAsia="宋体" w:cs="宋体"/>
          <w:color w:val="000000" w:themeColor="text1"/>
          <w:kern w:val="0"/>
          <w:sz w:val="28"/>
          <w:szCs w:val="28"/>
          <w:highlight w:val="none"/>
          <w14:textFill>
            <w14:solidFill>
              <w14:schemeClr w14:val="tx1"/>
            </w14:solidFill>
          </w14:textFill>
        </w:rPr>
        <w:t>本公司对上述承诺的真实性负责。如有虚假，我公司同意按我方合同违约处理并依法承担相应法律责任。</w:t>
      </w:r>
    </w:p>
    <w:p w14:paraId="4051B89F">
      <w:pPr>
        <w:keepNext w:val="0"/>
        <w:keepLines w:val="0"/>
        <w:pageBreakBefore w:val="0"/>
        <w:widowControl w:val="0"/>
        <w:kinsoku/>
        <w:wordWrap/>
        <w:overflowPunct/>
        <w:topLinePunct w:val="0"/>
        <w:bidi w:val="0"/>
        <w:adjustRightInd/>
        <w:snapToGrid/>
        <w:spacing w:line="560" w:lineRule="exact"/>
        <w:ind w:left="0" w:leftChars="0" w:firstLine="560" w:firstLineChars="200"/>
        <w:textAlignment w:val="auto"/>
        <w:rPr>
          <w:rFonts w:hint="eastAsia" w:ascii="宋体" w:hAnsi="宋体" w:eastAsia="宋体" w:cs="宋体"/>
          <w:color w:val="000000" w:themeColor="text1"/>
          <w:sz w:val="28"/>
          <w:szCs w:val="28"/>
          <w:highlight w:val="none"/>
          <w14:textFill>
            <w14:solidFill>
              <w14:schemeClr w14:val="tx1"/>
            </w14:solidFill>
          </w14:textFill>
        </w:rPr>
      </w:pPr>
    </w:p>
    <w:p w14:paraId="2B3CDC07">
      <w:pPr>
        <w:keepNext w:val="0"/>
        <w:keepLines w:val="0"/>
        <w:pageBreakBefore w:val="0"/>
        <w:widowControl w:val="0"/>
        <w:kinsoku/>
        <w:wordWrap/>
        <w:overflowPunct/>
        <w:topLinePunct w:val="0"/>
        <w:bidi w:val="0"/>
        <w:adjustRightInd/>
        <w:snapToGrid/>
        <w:spacing w:line="560" w:lineRule="exact"/>
        <w:ind w:left="0" w:leftChars="0" w:firstLine="560" w:firstLineChars="200"/>
        <w:textAlignment w:val="auto"/>
        <w:rPr>
          <w:rFonts w:hint="eastAsia" w:ascii="宋体" w:hAnsi="宋体" w:eastAsia="宋体" w:cs="宋体"/>
          <w:color w:val="000000" w:themeColor="text1"/>
          <w:sz w:val="28"/>
          <w:szCs w:val="28"/>
          <w:highlight w:val="none"/>
          <w14:textFill>
            <w14:solidFill>
              <w14:schemeClr w14:val="tx1"/>
            </w14:solidFill>
          </w14:textFill>
        </w:rPr>
      </w:pPr>
    </w:p>
    <w:p w14:paraId="683B8E28">
      <w:pPr>
        <w:keepNext w:val="0"/>
        <w:keepLines w:val="0"/>
        <w:pageBreakBefore w:val="0"/>
        <w:widowControl w:val="0"/>
        <w:kinsoku/>
        <w:wordWrap/>
        <w:overflowPunct/>
        <w:topLinePunct w:val="0"/>
        <w:autoSpaceDE w:val="0"/>
        <w:autoSpaceDN w:val="0"/>
        <w:bidi w:val="0"/>
        <w:adjustRightInd/>
        <w:snapToGrid/>
        <w:spacing w:line="560" w:lineRule="exact"/>
        <w:ind w:left="0" w:leftChars="0" w:firstLine="560" w:firstLineChars="200"/>
        <w:jc w:val="center"/>
        <w:textAlignment w:val="auto"/>
        <w:rPr>
          <w:rFonts w:hint="default" w:ascii="宋体" w:hAnsi="宋体" w:eastAsia="宋体" w:cs="宋体"/>
          <w:color w:val="000000" w:themeColor="text1"/>
          <w:kern w:val="0"/>
          <w:sz w:val="28"/>
          <w:szCs w:val="28"/>
          <w:highlight w:val="none"/>
          <w:u w:val="single"/>
          <w:lang w:val="en-US" w:eastAsia="zh-CN"/>
          <w14:textFill>
            <w14:solidFill>
              <w14:schemeClr w14:val="tx1"/>
            </w14:solidFill>
          </w14:textFill>
        </w:rPr>
      </w:pPr>
      <w:r>
        <w:rPr>
          <w:rFonts w:hint="eastAsia" w:ascii="宋体" w:hAnsi="宋体" w:eastAsia="宋体" w:cs="宋体"/>
          <w:color w:val="000000" w:themeColor="text1"/>
          <w:kern w:val="0"/>
          <w:sz w:val="28"/>
          <w:szCs w:val="28"/>
          <w:highlight w:val="none"/>
          <w:lang w:val="en-US" w:eastAsia="zh-CN"/>
          <w14:textFill>
            <w14:solidFill>
              <w14:schemeClr w14:val="tx1"/>
            </w14:solidFill>
          </w14:textFill>
        </w:rPr>
        <w:t xml:space="preserve">                  </w:t>
      </w:r>
      <w:r>
        <w:rPr>
          <w:rFonts w:hint="eastAsia" w:ascii="宋体" w:hAnsi="宋体" w:eastAsia="宋体" w:cs="宋体"/>
          <w:color w:val="000000" w:themeColor="text1"/>
          <w:kern w:val="0"/>
          <w:sz w:val="28"/>
          <w:szCs w:val="28"/>
          <w:highlight w:val="none"/>
          <w14:textFill>
            <w14:solidFill>
              <w14:schemeClr w14:val="tx1"/>
            </w14:solidFill>
          </w14:textFill>
        </w:rPr>
        <w:t>供应商名称（电子公章）：</w:t>
      </w:r>
      <w:r>
        <w:rPr>
          <w:rFonts w:hint="eastAsia" w:ascii="宋体" w:hAnsi="宋体" w:cs="宋体"/>
          <w:color w:val="000000" w:themeColor="text1"/>
          <w:kern w:val="0"/>
          <w:sz w:val="28"/>
          <w:szCs w:val="28"/>
          <w:highlight w:val="none"/>
          <w:lang w:val="en-US" w:eastAsia="zh-CN"/>
          <w14:textFill>
            <w14:solidFill>
              <w14:schemeClr w14:val="tx1"/>
            </w14:solidFill>
          </w14:textFill>
        </w:rPr>
        <w:t xml:space="preserve"> </w:t>
      </w:r>
      <w:r>
        <w:rPr>
          <w:rFonts w:hint="eastAsia" w:ascii="宋体" w:hAnsi="宋体" w:cs="宋体"/>
          <w:color w:val="000000" w:themeColor="text1"/>
          <w:kern w:val="0"/>
          <w:sz w:val="28"/>
          <w:szCs w:val="28"/>
          <w:highlight w:val="none"/>
          <w:u w:val="single"/>
          <w:lang w:val="en-US" w:eastAsia="zh-CN"/>
          <w14:textFill>
            <w14:solidFill>
              <w14:schemeClr w14:val="tx1"/>
            </w14:solidFill>
          </w14:textFill>
        </w:rPr>
        <w:t xml:space="preserve">        </w:t>
      </w:r>
    </w:p>
    <w:p w14:paraId="5B0A4FDD">
      <w:pPr>
        <w:pStyle w:val="163"/>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宋体" w:hAnsi="宋体" w:eastAsia="宋体" w:cs="宋体"/>
          <w:color w:val="000000" w:themeColor="text1"/>
          <w:kern w:val="0"/>
          <w:sz w:val="28"/>
          <w:szCs w:val="28"/>
          <w:highlight w:val="none"/>
          <w:lang w:val="en-US" w:eastAsia="zh-CN"/>
          <w14:textFill>
            <w14:solidFill>
              <w14:schemeClr w14:val="tx1"/>
            </w14:solidFill>
          </w14:textFill>
        </w:rPr>
      </w:pPr>
      <w:r>
        <w:rPr>
          <w:rFonts w:hint="eastAsia" w:ascii="宋体" w:hAnsi="宋体" w:eastAsia="宋体" w:cs="宋体"/>
          <w:color w:val="000000" w:themeColor="text1"/>
          <w:kern w:val="0"/>
          <w:sz w:val="28"/>
          <w:szCs w:val="28"/>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法定代表人或其委托代理人（签字</w:t>
      </w:r>
      <w:r>
        <w:rPr>
          <w:rFonts w:hint="eastAsia" w:ascii="宋体" w:hAnsi="宋体" w:cs="宋体"/>
          <w:color w:val="000000" w:themeColor="text1"/>
          <w:sz w:val="28"/>
          <w:szCs w:val="28"/>
          <w:highlight w:val="none"/>
          <w:lang w:eastAsia="zh-CN"/>
          <w14:textFill>
            <w14:solidFill>
              <w14:schemeClr w14:val="tx1"/>
            </w14:solidFill>
          </w14:textFill>
        </w:rPr>
        <w:t>或</w:t>
      </w:r>
      <w:r>
        <w:rPr>
          <w:rFonts w:hint="eastAsia" w:ascii="宋体" w:hAnsi="宋体" w:eastAsia="宋体" w:cs="宋体"/>
          <w:color w:val="000000" w:themeColor="text1"/>
          <w:sz w:val="28"/>
          <w:szCs w:val="28"/>
          <w:highlight w:val="none"/>
          <w14:textFill>
            <w14:solidFill>
              <w14:schemeClr w14:val="tx1"/>
            </w14:solidFill>
          </w14:textFill>
        </w:rPr>
        <w:t>盖章）：</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r>
        <w:rPr>
          <w:rFonts w:hint="eastAsia" w:ascii="宋体" w:hAnsi="宋体" w:cs="宋体"/>
          <w:color w:val="000000" w:themeColor="text1"/>
          <w:sz w:val="28"/>
          <w:szCs w:val="28"/>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kern w:val="0"/>
          <w:sz w:val="28"/>
          <w:szCs w:val="28"/>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8"/>
          <w:szCs w:val="28"/>
          <w:highlight w:val="none"/>
          <w:lang w:val="en-US" w:eastAsia="zh-CN"/>
          <w14:textFill>
            <w14:solidFill>
              <w14:schemeClr w14:val="tx1"/>
            </w14:solidFill>
          </w14:textFill>
        </w:rPr>
        <w:t xml:space="preserve">                       </w:t>
      </w:r>
    </w:p>
    <w:p w14:paraId="3738A9B1">
      <w:pPr>
        <w:keepNext w:val="0"/>
        <w:keepLines w:val="0"/>
        <w:pageBreakBefore w:val="0"/>
        <w:widowControl w:val="0"/>
        <w:kinsoku/>
        <w:wordWrap/>
        <w:overflowPunct/>
        <w:topLinePunct w:val="0"/>
        <w:autoSpaceDE w:val="0"/>
        <w:autoSpaceDN w:val="0"/>
        <w:bidi w:val="0"/>
        <w:adjustRightInd/>
        <w:snapToGrid/>
        <w:spacing w:line="560" w:lineRule="exact"/>
        <w:ind w:left="0" w:leftChars="0" w:firstLine="560" w:firstLineChars="200"/>
        <w:jc w:val="center"/>
        <w:textAlignment w:val="auto"/>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lang w:val="en-US" w:eastAsia="zh-CN"/>
          <w14:textFill>
            <w14:solidFill>
              <w14:schemeClr w14:val="tx1"/>
            </w14:solidFill>
          </w14:textFill>
        </w:rPr>
        <w:t xml:space="preserve">            </w:t>
      </w:r>
      <w:r>
        <w:rPr>
          <w:rFonts w:hint="eastAsia" w:ascii="宋体" w:hAnsi="宋体" w:eastAsia="宋体" w:cs="宋体"/>
          <w:color w:val="000000" w:themeColor="text1"/>
          <w:kern w:val="0"/>
          <w:sz w:val="28"/>
          <w:szCs w:val="28"/>
          <w:highlight w:val="none"/>
          <w:lang w:val="zh-CN"/>
          <w14:textFill>
            <w14:solidFill>
              <w14:schemeClr w14:val="tx1"/>
            </w14:solidFill>
          </w14:textFill>
        </w:rPr>
        <w:t xml:space="preserve">日期： </w:t>
      </w:r>
      <w:r>
        <w:rPr>
          <w:rFonts w:hint="eastAsia" w:ascii="宋体" w:hAnsi="宋体" w:eastAsia="宋体" w:cs="宋体"/>
          <w:color w:val="000000" w:themeColor="text1"/>
          <w:kern w:val="0"/>
          <w:sz w:val="28"/>
          <w:szCs w:val="28"/>
          <w:highlight w:val="none"/>
          <w:u w:val="single"/>
          <w:lang w:val="zh-CN"/>
          <w14:textFill>
            <w14:solidFill>
              <w14:schemeClr w14:val="tx1"/>
            </w14:solidFill>
          </w14:textFill>
        </w:rPr>
        <w:t xml:space="preserve"> </w:t>
      </w:r>
      <w:r>
        <w:rPr>
          <w:rFonts w:hint="eastAsia" w:ascii="宋体" w:hAnsi="宋体" w:cs="宋体"/>
          <w:color w:val="000000" w:themeColor="text1"/>
          <w:kern w:val="0"/>
          <w:sz w:val="28"/>
          <w:szCs w:val="28"/>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8"/>
          <w:szCs w:val="28"/>
          <w:highlight w:val="none"/>
          <w:lang w:val="zh-CN"/>
          <w14:textFill>
            <w14:solidFill>
              <w14:schemeClr w14:val="tx1"/>
            </w14:solidFill>
          </w14:textFill>
        </w:rPr>
        <w:t>年</w:t>
      </w:r>
      <w:r>
        <w:rPr>
          <w:rFonts w:hint="eastAsia" w:ascii="宋体" w:hAnsi="宋体" w:cs="宋体"/>
          <w:color w:val="000000" w:themeColor="text1"/>
          <w:kern w:val="0"/>
          <w:sz w:val="28"/>
          <w:szCs w:val="28"/>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8"/>
          <w:szCs w:val="28"/>
          <w:highlight w:val="none"/>
          <w:u w:val="single"/>
          <w:lang w:val="zh-CN"/>
          <w14:textFill>
            <w14:solidFill>
              <w14:schemeClr w14:val="tx1"/>
            </w14:solidFill>
          </w14:textFill>
        </w:rPr>
        <w:t xml:space="preserve"> </w:t>
      </w:r>
      <w:r>
        <w:rPr>
          <w:rFonts w:hint="eastAsia" w:ascii="宋体" w:hAnsi="宋体" w:cs="宋体"/>
          <w:color w:val="000000" w:themeColor="text1"/>
          <w:kern w:val="0"/>
          <w:sz w:val="28"/>
          <w:szCs w:val="28"/>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8"/>
          <w:szCs w:val="28"/>
          <w:highlight w:val="none"/>
          <w:u w:val="single"/>
          <w:lang w:val="zh-CN"/>
          <w14:textFill>
            <w14:solidFill>
              <w14:schemeClr w14:val="tx1"/>
            </w14:solidFill>
          </w14:textFill>
        </w:rPr>
        <w:t xml:space="preserve"> </w:t>
      </w:r>
      <w:r>
        <w:rPr>
          <w:rFonts w:hint="eastAsia" w:ascii="宋体" w:hAnsi="宋体" w:eastAsia="宋体" w:cs="宋体"/>
          <w:color w:val="000000" w:themeColor="text1"/>
          <w:kern w:val="0"/>
          <w:sz w:val="28"/>
          <w:szCs w:val="28"/>
          <w:highlight w:val="none"/>
          <w:lang w:val="zh-CN"/>
          <w14:textFill>
            <w14:solidFill>
              <w14:schemeClr w14:val="tx1"/>
            </w14:solidFill>
          </w14:textFill>
        </w:rPr>
        <w:t>月</w:t>
      </w:r>
      <w:r>
        <w:rPr>
          <w:rFonts w:hint="eastAsia" w:ascii="宋体" w:hAnsi="宋体" w:eastAsia="宋体" w:cs="宋体"/>
          <w:color w:val="000000" w:themeColor="text1"/>
          <w:kern w:val="0"/>
          <w:sz w:val="28"/>
          <w:szCs w:val="28"/>
          <w:highlight w:val="none"/>
          <w:u w:val="single"/>
          <w:lang w:val="zh-CN"/>
          <w14:textFill>
            <w14:solidFill>
              <w14:schemeClr w14:val="tx1"/>
            </w14:solidFill>
          </w14:textFill>
        </w:rPr>
        <w:t xml:space="preserve">   </w:t>
      </w:r>
      <w:r>
        <w:rPr>
          <w:rFonts w:hint="eastAsia" w:ascii="宋体" w:hAnsi="宋体" w:cs="宋体"/>
          <w:color w:val="000000" w:themeColor="text1"/>
          <w:kern w:val="0"/>
          <w:sz w:val="28"/>
          <w:szCs w:val="28"/>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8"/>
          <w:szCs w:val="28"/>
          <w:highlight w:val="none"/>
          <w:lang w:val="zh-CN"/>
          <w14:textFill>
            <w14:solidFill>
              <w14:schemeClr w14:val="tx1"/>
            </w14:solidFill>
          </w14:textFill>
        </w:rPr>
        <w:t>日</w:t>
      </w:r>
    </w:p>
    <w:p w14:paraId="39647132">
      <w:pPr>
        <w:keepNext w:val="0"/>
        <w:keepLines w:val="0"/>
        <w:pageBreakBefore w:val="0"/>
        <w:kinsoku/>
        <w:wordWrap/>
        <w:overflowPunct/>
        <w:topLinePunct w:val="0"/>
        <w:autoSpaceDE/>
        <w:autoSpaceDN/>
        <w:bidi w:val="0"/>
        <w:adjustRightInd/>
        <w:snapToGrid/>
        <w:spacing w:before="165" w:beforeLines="50" w:after="50" w:line="560" w:lineRule="exact"/>
        <w:ind w:right="0" w:firstLine="0" w:firstLineChars="0"/>
        <w:jc w:val="both"/>
        <w:textAlignment w:val="auto"/>
        <w:rPr>
          <w:rFonts w:asciiTheme="minorEastAsia" w:hAnsiTheme="minorEastAsia" w:eastAsiaTheme="minorEastAsia"/>
          <w:b/>
          <w:color w:val="000000" w:themeColor="text1"/>
          <w:sz w:val="28"/>
          <w:szCs w:val="28"/>
          <w:highlight w:val="none"/>
          <w14:textFill>
            <w14:solidFill>
              <w14:schemeClr w14:val="tx1"/>
            </w14:solidFill>
          </w14:textFill>
        </w:rPr>
      </w:pPr>
    </w:p>
    <w:p w14:paraId="259A44E6">
      <w:pPr>
        <w:keepNext w:val="0"/>
        <w:keepLines w:val="0"/>
        <w:pageBreakBefore w:val="0"/>
        <w:kinsoku/>
        <w:wordWrap/>
        <w:overflowPunct/>
        <w:topLinePunct w:val="0"/>
        <w:autoSpaceDE/>
        <w:autoSpaceDN/>
        <w:bidi w:val="0"/>
        <w:adjustRightInd/>
        <w:snapToGrid/>
        <w:spacing w:before="165" w:beforeLines="50" w:after="50" w:line="560" w:lineRule="exact"/>
        <w:ind w:right="0" w:firstLine="0" w:firstLineChars="0"/>
        <w:jc w:val="both"/>
        <w:textAlignment w:val="auto"/>
        <w:rPr>
          <w:rFonts w:asciiTheme="minorEastAsia" w:hAnsiTheme="minorEastAsia" w:eastAsiaTheme="minorEastAsia"/>
          <w:b/>
          <w:color w:val="000000" w:themeColor="text1"/>
          <w:sz w:val="28"/>
          <w:szCs w:val="28"/>
          <w:highlight w:val="none"/>
          <w14:textFill>
            <w14:solidFill>
              <w14:schemeClr w14:val="tx1"/>
            </w14:solidFill>
          </w14:textFill>
        </w:rPr>
      </w:pPr>
    </w:p>
    <w:p w14:paraId="2D8D7A33">
      <w:pPr>
        <w:keepNext w:val="0"/>
        <w:keepLines w:val="0"/>
        <w:pageBreakBefore w:val="0"/>
        <w:kinsoku/>
        <w:wordWrap/>
        <w:overflowPunct/>
        <w:topLinePunct w:val="0"/>
        <w:autoSpaceDE/>
        <w:autoSpaceDN/>
        <w:bidi w:val="0"/>
        <w:adjustRightInd/>
        <w:snapToGrid/>
        <w:spacing w:before="165" w:beforeLines="50" w:after="50" w:line="560" w:lineRule="exact"/>
        <w:ind w:right="0" w:firstLine="0" w:firstLineChars="0"/>
        <w:jc w:val="both"/>
        <w:textAlignment w:val="auto"/>
        <w:rPr>
          <w:rFonts w:asciiTheme="minorEastAsia" w:hAnsiTheme="minorEastAsia" w:eastAsiaTheme="minorEastAsia"/>
          <w:b/>
          <w:color w:val="000000" w:themeColor="text1"/>
          <w:sz w:val="28"/>
          <w:szCs w:val="28"/>
          <w:highlight w:val="none"/>
          <w14:textFill>
            <w14:solidFill>
              <w14:schemeClr w14:val="tx1"/>
            </w14:solidFill>
          </w14:textFill>
        </w:rPr>
      </w:pPr>
    </w:p>
    <w:p w14:paraId="18413819">
      <w:pPr>
        <w:keepNext w:val="0"/>
        <w:keepLines w:val="0"/>
        <w:pageBreakBefore w:val="0"/>
        <w:kinsoku/>
        <w:wordWrap/>
        <w:overflowPunct/>
        <w:topLinePunct w:val="0"/>
        <w:autoSpaceDE/>
        <w:autoSpaceDN/>
        <w:bidi w:val="0"/>
        <w:adjustRightInd/>
        <w:snapToGrid/>
        <w:spacing w:before="165" w:beforeLines="50" w:after="50" w:line="560" w:lineRule="exact"/>
        <w:ind w:right="0" w:firstLine="0" w:firstLineChars="0"/>
        <w:jc w:val="both"/>
        <w:textAlignment w:val="auto"/>
        <w:rPr>
          <w:rFonts w:asciiTheme="minorEastAsia" w:hAnsiTheme="minorEastAsia" w:eastAsiaTheme="minorEastAsia"/>
          <w:b/>
          <w:color w:val="000000" w:themeColor="text1"/>
          <w:sz w:val="28"/>
          <w:szCs w:val="28"/>
          <w:highlight w:val="none"/>
          <w14:textFill>
            <w14:solidFill>
              <w14:schemeClr w14:val="tx1"/>
            </w14:solidFill>
          </w14:textFill>
        </w:rPr>
      </w:pPr>
    </w:p>
    <w:p w14:paraId="6A4BA91E">
      <w:pPr>
        <w:keepNext w:val="0"/>
        <w:keepLines w:val="0"/>
        <w:pageBreakBefore w:val="0"/>
        <w:kinsoku/>
        <w:wordWrap/>
        <w:overflowPunct/>
        <w:topLinePunct w:val="0"/>
        <w:autoSpaceDE/>
        <w:autoSpaceDN/>
        <w:bidi w:val="0"/>
        <w:adjustRightInd/>
        <w:snapToGrid/>
        <w:spacing w:before="165" w:beforeLines="50" w:after="50" w:line="560" w:lineRule="exact"/>
        <w:ind w:right="0" w:firstLine="0" w:firstLineChars="0"/>
        <w:jc w:val="both"/>
        <w:textAlignment w:val="auto"/>
        <w:rPr>
          <w:rFonts w:asciiTheme="minorEastAsia" w:hAnsiTheme="minorEastAsia" w:eastAsiaTheme="minorEastAsia"/>
          <w:b/>
          <w:color w:val="000000" w:themeColor="text1"/>
          <w:sz w:val="28"/>
          <w:szCs w:val="28"/>
          <w:highlight w:val="none"/>
          <w14:textFill>
            <w14:solidFill>
              <w14:schemeClr w14:val="tx1"/>
            </w14:solidFill>
          </w14:textFill>
        </w:rPr>
      </w:pPr>
    </w:p>
    <w:p w14:paraId="7CEA221C">
      <w:pPr>
        <w:keepNext w:val="0"/>
        <w:keepLines w:val="0"/>
        <w:pageBreakBefore w:val="0"/>
        <w:kinsoku/>
        <w:wordWrap/>
        <w:overflowPunct/>
        <w:topLinePunct w:val="0"/>
        <w:autoSpaceDE/>
        <w:autoSpaceDN/>
        <w:bidi w:val="0"/>
        <w:adjustRightInd/>
        <w:snapToGrid/>
        <w:spacing w:before="165" w:beforeLines="50" w:after="50" w:line="560" w:lineRule="exact"/>
        <w:ind w:right="0" w:firstLine="0" w:firstLineChars="0"/>
        <w:jc w:val="both"/>
        <w:textAlignment w:val="auto"/>
        <w:rPr>
          <w:rFonts w:asciiTheme="minorEastAsia" w:hAnsiTheme="minorEastAsia" w:eastAsiaTheme="minorEastAsia"/>
          <w:b/>
          <w:color w:val="000000" w:themeColor="text1"/>
          <w:sz w:val="28"/>
          <w:szCs w:val="28"/>
          <w:highlight w:val="none"/>
          <w14:textFill>
            <w14:solidFill>
              <w14:schemeClr w14:val="tx1"/>
            </w14:solidFill>
          </w14:textFill>
        </w:rPr>
      </w:pPr>
    </w:p>
    <w:p w14:paraId="3F1B5BEE">
      <w:pPr>
        <w:keepNext w:val="0"/>
        <w:keepLines w:val="0"/>
        <w:pageBreakBefore w:val="0"/>
        <w:kinsoku/>
        <w:wordWrap/>
        <w:overflowPunct/>
        <w:topLinePunct w:val="0"/>
        <w:autoSpaceDE/>
        <w:autoSpaceDN/>
        <w:bidi w:val="0"/>
        <w:adjustRightInd/>
        <w:snapToGrid/>
        <w:spacing w:before="165" w:beforeLines="50" w:after="50" w:line="560" w:lineRule="exact"/>
        <w:ind w:right="0" w:firstLine="0" w:firstLineChars="0"/>
        <w:jc w:val="both"/>
        <w:textAlignment w:val="auto"/>
        <w:rPr>
          <w:rFonts w:asciiTheme="minorEastAsia" w:hAnsiTheme="minorEastAsia" w:eastAsiaTheme="minorEastAsia"/>
          <w:b/>
          <w:color w:val="000000" w:themeColor="text1"/>
          <w:sz w:val="28"/>
          <w:szCs w:val="28"/>
          <w:highlight w:val="none"/>
          <w14:textFill>
            <w14:solidFill>
              <w14:schemeClr w14:val="tx1"/>
            </w14:solidFill>
          </w14:textFill>
        </w:rPr>
      </w:pPr>
    </w:p>
    <w:p w14:paraId="03EC1D51">
      <w:pPr>
        <w:keepNext w:val="0"/>
        <w:keepLines w:val="0"/>
        <w:pageBreakBefore w:val="0"/>
        <w:kinsoku/>
        <w:wordWrap/>
        <w:overflowPunct/>
        <w:topLinePunct w:val="0"/>
        <w:autoSpaceDE/>
        <w:autoSpaceDN/>
        <w:bidi w:val="0"/>
        <w:adjustRightInd/>
        <w:snapToGrid/>
        <w:spacing w:line="560" w:lineRule="exact"/>
        <w:ind w:right="0" w:firstLine="0" w:firstLineChars="0"/>
        <w:jc w:val="both"/>
        <w:textAlignment w:val="auto"/>
        <w:rPr>
          <w:rFonts w:hint="eastAsia" w:cs="仿宋_GB2312" w:asciiTheme="minorEastAsia" w:hAnsiTheme="minorEastAsia" w:eastAsiaTheme="minorEastAsia"/>
          <w:b/>
          <w:color w:val="000000" w:themeColor="text1"/>
          <w:kern w:val="0"/>
          <w:sz w:val="28"/>
          <w:szCs w:val="28"/>
          <w:highlight w:val="none"/>
          <w14:textFill>
            <w14:solidFill>
              <w14:schemeClr w14:val="tx1"/>
            </w14:solidFill>
          </w14:textFill>
        </w:rPr>
      </w:pPr>
    </w:p>
    <w:p w14:paraId="6D4FCA53">
      <w:pPr>
        <w:keepNext w:val="0"/>
        <w:keepLines w:val="0"/>
        <w:pageBreakBefore w:val="0"/>
        <w:kinsoku/>
        <w:wordWrap/>
        <w:overflowPunct/>
        <w:topLinePunct w:val="0"/>
        <w:autoSpaceDE/>
        <w:autoSpaceDN/>
        <w:bidi w:val="0"/>
        <w:adjustRightInd/>
        <w:snapToGrid/>
        <w:spacing w:line="560" w:lineRule="exact"/>
        <w:ind w:right="0" w:firstLine="0" w:firstLineChars="0"/>
        <w:jc w:val="both"/>
        <w:textAlignment w:val="auto"/>
        <w:rPr>
          <w:rFonts w:hint="eastAsia" w:cs="仿宋_GB2312" w:asciiTheme="minorEastAsia" w:hAnsiTheme="minorEastAsia" w:eastAsiaTheme="minorEastAsia"/>
          <w:b/>
          <w:color w:val="000000" w:themeColor="text1"/>
          <w:kern w:val="0"/>
          <w:sz w:val="28"/>
          <w:szCs w:val="28"/>
          <w:highlight w:val="none"/>
          <w14:textFill>
            <w14:solidFill>
              <w14:schemeClr w14:val="tx1"/>
            </w14:solidFill>
          </w14:textFill>
        </w:rPr>
      </w:pPr>
    </w:p>
    <w:p w14:paraId="5BA506DA">
      <w:pPr>
        <w:keepNext w:val="0"/>
        <w:keepLines w:val="0"/>
        <w:pageBreakBefore w:val="0"/>
        <w:kinsoku/>
        <w:wordWrap/>
        <w:overflowPunct/>
        <w:topLinePunct w:val="0"/>
        <w:autoSpaceDE/>
        <w:autoSpaceDN/>
        <w:bidi w:val="0"/>
        <w:adjustRightInd/>
        <w:snapToGrid/>
        <w:spacing w:line="560" w:lineRule="exact"/>
        <w:ind w:right="0" w:firstLine="0" w:firstLineChars="0"/>
        <w:jc w:val="both"/>
        <w:textAlignment w:val="auto"/>
        <w:rPr>
          <w:rFonts w:hint="eastAsia" w:cs="仿宋_GB2312" w:asciiTheme="minorEastAsia" w:hAnsiTheme="minorEastAsia" w:eastAsiaTheme="minorEastAsia"/>
          <w:b/>
          <w:color w:val="000000" w:themeColor="text1"/>
          <w:kern w:val="0"/>
          <w:sz w:val="28"/>
          <w:szCs w:val="28"/>
          <w:highlight w:val="none"/>
          <w14:textFill>
            <w14:solidFill>
              <w14:schemeClr w14:val="tx1"/>
            </w14:solidFill>
          </w14:textFill>
        </w:rPr>
      </w:pPr>
    </w:p>
    <w:p w14:paraId="0D6EBA58">
      <w:pPr>
        <w:keepNext w:val="0"/>
        <w:keepLines w:val="0"/>
        <w:pageBreakBefore w:val="0"/>
        <w:kinsoku/>
        <w:wordWrap/>
        <w:overflowPunct/>
        <w:topLinePunct w:val="0"/>
        <w:autoSpaceDE/>
        <w:autoSpaceDN/>
        <w:bidi w:val="0"/>
        <w:adjustRightInd/>
        <w:snapToGrid/>
        <w:spacing w:line="560" w:lineRule="exact"/>
        <w:ind w:right="0" w:firstLine="0" w:firstLineChars="0"/>
        <w:jc w:val="both"/>
        <w:textAlignment w:val="auto"/>
        <w:rPr>
          <w:rFonts w:asciiTheme="minorEastAsia" w:hAnsiTheme="minorEastAsia" w:eastAsiaTheme="minorEastAsia"/>
          <w:b/>
          <w:color w:val="000000" w:themeColor="text1"/>
          <w:sz w:val="28"/>
          <w:szCs w:val="28"/>
          <w:highlight w:val="none"/>
          <w14:textFill>
            <w14:solidFill>
              <w14:schemeClr w14:val="tx1"/>
            </w14:solidFill>
          </w14:textFill>
        </w:rPr>
      </w:pPr>
      <w:r>
        <w:rPr>
          <w:rFonts w:hint="eastAsia" w:cs="仿宋_GB2312" w:asciiTheme="minorEastAsia" w:hAnsiTheme="minorEastAsia" w:eastAsiaTheme="minorEastAsia"/>
          <w:b/>
          <w:color w:val="000000" w:themeColor="text1"/>
          <w:kern w:val="0"/>
          <w:sz w:val="28"/>
          <w:szCs w:val="28"/>
          <w:highlight w:val="none"/>
          <w14:textFill>
            <w14:solidFill>
              <w14:schemeClr w14:val="tx1"/>
            </w14:solidFill>
          </w14:textFill>
        </w:rPr>
        <w:t>四、提供参加本次政府采购活动前近半年任意一个月的依法缴纳税收和社会保障资金的相关材料</w:t>
      </w:r>
    </w:p>
    <w:p w14:paraId="24DD0821">
      <w:pPr>
        <w:keepNext w:val="0"/>
        <w:keepLines w:val="0"/>
        <w:pageBreakBefore w:val="0"/>
        <w:kinsoku/>
        <w:wordWrap/>
        <w:overflowPunct/>
        <w:topLinePunct w:val="0"/>
        <w:bidi w:val="0"/>
        <w:adjustRightInd/>
        <w:snapToGrid/>
        <w:spacing w:line="560" w:lineRule="exact"/>
        <w:ind w:left="0" w:leftChars="0" w:firstLine="0" w:firstLineChars="0"/>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附：企业近半年任意一个月</w:t>
      </w:r>
      <w:r>
        <w:rPr>
          <w:rFonts w:hint="eastAsia" w:ascii="宋体" w:hAnsi="宋体" w:cs="宋体"/>
          <w:color w:val="000000" w:themeColor="text1"/>
          <w:sz w:val="28"/>
          <w:szCs w:val="28"/>
          <w:highlight w:val="none"/>
          <w:lang w:val="en-US" w:eastAsia="zh-CN"/>
          <w14:textFill>
            <w14:solidFill>
              <w14:schemeClr w14:val="tx1"/>
            </w14:solidFill>
          </w14:textFill>
        </w:rPr>
        <w:t>的</w:t>
      </w:r>
      <w:r>
        <w:rPr>
          <w:rFonts w:hint="eastAsia" w:ascii="宋体" w:hAnsi="宋体" w:eastAsia="宋体" w:cs="宋体"/>
          <w:color w:val="000000" w:themeColor="text1"/>
          <w:sz w:val="28"/>
          <w:szCs w:val="28"/>
          <w:highlight w:val="none"/>
          <w14:textFill>
            <w14:solidFill>
              <w14:schemeClr w14:val="tx1"/>
            </w14:solidFill>
          </w14:textFill>
        </w:rPr>
        <w:t>依法缴纳税收证明和社会保障资金缴纳凭证</w:t>
      </w:r>
    </w:p>
    <w:p w14:paraId="0D7E1944">
      <w:pPr>
        <w:keepNext w:val="0"/>
        <w:keepLines w:val="0"/>
        <w:pageBreakBefore w:val="0"/>
        <w:kinsoku/>
        <w:wordWrap/>
        <w:overflowPunct/>
        <w:topLinePunct w:val="0"/>
        <w:autoSpaceDE/>
        <w:autoSpaceDN/>
        <w:bidi w:val="0"/>
        <w:adjustRightInd/>
        <w:snapToGrid/>
        <w:spacing w:line="560" w:lineRule="exact"/>
        <w:ind w:right="0" w:firstLine="0" w:firstLineChars="0"/>
        <w:jc w:val="both"/>
        <w:textAlignment w:val="auto"/>
        <w:rPr>
          <w:rFonts w:cs="仿宋_GB2312" w:asciiTheme="minorEastAsia" w:hAnsiTheme="minorEastAsia" w:eastAsiaTheme="minorEastAsia"/>
          <w:b/>
          <w:color w:val="000000" w:themeColor="text1"/>
          <w:kern w:val="0"/>
          <w:sz w:val="28"/>
          <w:szCs w:val="28"/>
          <w:highlight w:val="none"/>
          <w14:textFill>
            <w14:solidFill>
              <w14:schemeClr w14:val="tx1"/>
            </w14:solidFill>
          </w14:textFill>
        </w:rPr>
      </w:pPr>
    </w:p>
    <w:p w14:paraId="732D1A31">
      <w:pPr>
        <w:keepNext w:val="0"/>
        <w:keepLines w:val="0"/>
        <w:pageBreakBefore w:val="0"/>
        <w:kinsoku/>
        <w:wordWrap/>
        <w:overflowPunct/>
        <w:topLinePunct w:val="0"/>
        <w:autoSpaceDE/>
        <w:autoSpaceDN/>
        <w:bidi w:val="0"/>
        <w:adjustRightInd/>
        <w:snapToGrid/>
        <w:spacing w:line="560" w:lineRule="exact"/>
        <w:ind w:right="0" w:firstLine="0" w:firstLineChars="0"/>
        <w:jc w:val="both"/>
        <w:textAlignment w:val="auto"/>
        <w:rPr>
          <w:rFonts w:cs="仿宋_GB2312" w:asciiTheme="minorEastAsia" w:hAnsiTheme="minorEastAsia" w:eastAsiaTheme="minorEastAsia"/>
          <w:b/>
          <w:color w:val="000000" w:themeColor="text1"/>
          <w:kern w:val="0"/>
          <w:sz w:val="28"/>
          <w:szCs w:val="28"/>
          <w:highlight w:val="none"/>
          <w14:textFill>
            <w14:solidFill>
              <w14:schemeClr w14:val="tx1"/>
            </w14:solidFill>
          </w14:textFill>
        </w:rPr>
      </w:pPr>
    </w:p>
    <w:p w14:paraId="4D4D7093">
      <w:pPr>
        <w:keepNext w:val="0"/>
        <w:keepLines w:val="0"/>
        <w:pageBreakBefore w:val="0"/>
        <w:kinsoku/>
        <w:wordWrap/>
        <w:overflowPunct/>
        <w:topLinePunct w:val="0"/>
        <w:autoSpaceDE/>
        <w:autoSpaceDN/>
        <w:bidi w:val="0"/>
        <w:adjustRightInd/>
        <w:snapToGrid/>
        <w:spacing w:line="560" w:lineRule="exact"/>
        <w:ind w:right="0" w:firstLine="0" w:firstLineChars="0"/>
        <w:jc w:val="both"/>
        <w:textAlignment w:val="auto"/>
        <w:rPr>
          <w:rFonts w:cs="仿宋_GB2312" w:asciiTheme="minorEastAsia" w:hAnsiTheme="minorEastAsia" w:eastAsiaTheme="minorEastAsia"/>
          <w:b/>
          <w:color w:val="000000" w:themeColor="text1"/>
          <w:kern w:val="0"/>
          <w:sz w:val="28"/>
          <w:szCs w:val="28"/>
          <w:highlight w:val="none"/>
          <w14:textFill>
            <w14:solidFill>
              <w14:schemeClr w14:val="tx1"/>
            </w14:solidFill>
          </w14:textFill>
        </w:rPr>
      </w:pPr>
    </w:p>
    <w:p w14:paraId="76C0313B">
      <w:pPr>
        <w:keepNext w:val="0"/>
        <w:keepLines w:val="0"/>
        <w:pageBreakBefore w:val="0"/>
        <w:kinsoku/>
        <w:wordWrap/>
        <w:overflowPunct/>
        <w:topLinePunct w:val="0"/>
        <w:autoSpaceDE/>
        <w:autoSpaceDN/>
        <w:bidi w:val="0"/>
        <w:adjustRightInd/>
        <w:snapToGrid/>
        <w:spacing w:line="560" w:lineRule="exact"/>
        <w:ind w:right="0" w:firstLine="0" w:firstLineChars="0"/>
        <w:jc w:val="both"/>
        <w:textAlignment w:val="auto"/>
        <w:rPr>
          <w:rFonts w:cs="仿宋_GB2312" w:asciiTheme="minorEastAsia" w:hAnsiTheme="minorEastAsia" w:eastAsiaTheme="minorEastAsia"/>
          <w:b/>
          <w:color w:val="000000" w:themeColor="text1"/>
          <w:kern w:val="0"/>
          <w:sz w:val="28"/>
          <w:szCs w:val="28"/>
          <w:highlight w:val="none"/>
          <w14:textFill>
            <w14:solidFill>
              <w14:schemeClr w14:val="tx1"/>
            </w14:solidFill>
          </w14:textFill>
        </w:rPr>
      </w:pPr>
    </w:p>
    <w:p w14:paraId="4DB471B8">
      <w:pPr>
        <w:keepNext w:val="0"/>
        <w:keepLines w:val="0"/>
        <w:pageBreakBefore w:val="0"/>
        <w:kinsoku/>
        <w:wordWrap/>
        <w:overflowPunct/>
        <w:topLinePunct w:val="0"/>
        <w:autoSpaceDE/>
        <w:autoSpaceDN/>
        <w:bidi w:val="0"/>
        <w:adjustRightInd/>
        <w:snapToGrid/>
        <w:spacing w:line="560" w:lineRule="exact"/>
        <w:ind w:right="0" w:firstLine="0" w:firstLineChars="0"/>
        <w:jc w:val="both"/>
        <w:textAlignment w:val="auto"/>
        <w:rPr>
          <w:rFonts w:cs="仿宋_GB2312" w:asciiTheme="minorEastAsia" w:hAnsiTheme="minorEastAsia" w:eastAsiaTheme="minorEastAsia"/>
          <w:b/>
          <w:color w:val="000000" w:themeColor="text1"/>
          <w:kern w:val="0"/>
          <w:sz w:val="28"/>
          <w:szCs w:val="28"/>
          <w:highlight w:val="none"/>
          <w14:textFill>
            <w14:solidFill>
              <w14:schemeClr w14:val="tx1"/>
            </w14:solidFill>
          </w14:textFill>
        </w:rPr>
      </w:pPr>
    </w:p>
    <w:p w14:paraId="5DC1071D">
      <w:pPr>
        <w:keepNext w:val="0"/>
        <w:keepLines w:val="0"/>
        <w:pageBreakBefore w:val="0"/>
        <w:kinsoku/>
        <w:wordWrap/>
        <w:overflowPunct/>
        <w:topLinePunct w:val="0"/>
        <w:autoSpaceDE/>
        <w:autoSpaceDN/>
        <w:bidi w:val="0"/>
        <w:adjustRightInd/>
        <w:snapToGrid/>
        <w:spacing w:line="560" w:lineRule="exact"/>
        <w:ind w:right="0" w:firstLine="0" w:firstLineChars="0"/>
        <w:jc w:val="both"/>
        <w:textAlignment w:val="auto"/>
        <w:rPr>
          <w:rFonts w:cs="仿宋_GB2312" w:asciiTheme="minorEastAsia" w:hAnsiTheme="minorEastAsia" w:eastAsiaTheme="minorEastAsia"/>
          <w:b/>
          <w:color w:val="000000" w:themeColor="text1"/>
          <w:kern w:val="0"/>
          <w:sz w:val="28"/>
          <w:szCs w:val="28"/>
          <w:highlight w:val="none"/>
          <w14:textFill>
            <w14:solidFill>
              <w14:schemeClr w14:val="tx1"/>
            </w14:solidFill>
          </w14:textFill>
        </w:rPr>
      </w:pPr>
    </w:p>
    <w:p w14:paraId="43F95CD2">
      <w:pPr>
        <w:keepNext w:val="0"/>
        <w:keepLines w:val="0"/>
        <w:pageBreakBefore w:val="0"/>
        <w:kinsoku/>
        <w:wordWrap/>
        <w:overflowPunct/>
        <w:topLinePunct w:val="0"/>
        <w:autoSpaceDE/>
        <w:autoSpaceDN/>
        <w:bidi w:val="0"/>
        <w:adjustRightInd/>
        <w:snapToGrid/>
        <w:spacing w:line="560" w:lineRule="exact"/>
        <w:ind w:right="0" w:firstLine="0" w:firstLineChars="0"/>
        <w:jc w:val="both"/>
        <w:textAlignment w:val="auto"/>
        <w:rPr>
          <w:rFonts w:cs="仿宋_GB2312" w:asciiTheme="minorEastAsia" w:hAnsiTheme="minorEastAsia" w:eastAsiaTheme="minorEastAsia"/>
          <w:b/>
          <w:color w:val="000000" w:themeColor="text1"/>
          <w:kern w:val="0"/>
          <w:sz w:val="28"/>
          <w:szCs w:val="28"/>
          <w:highlight w:val="none"/>
          <w14:textFill>
            <w14:solidFill>
              <w14:schemeClr w14:val="tx1"/>
            </w14:solidFill>
          </w14:textFill>
        </w:rPr>
      </w:pPr>
    </w:p>
    <w:p w14:paraId="1C9B3B4E">
      <w:pPr>
        <w:keepNext w:val="0"/>
        <w:keepLines w:val="0"/>
        <w:pageBreakBefore w:val="0"/>
        <w:kinsoku/>
        <w:wordWrap/>
        <w:overflowPunct/>
        <w:topLinePunct w:val="0"/>
        <w:autoSpaceDE/>
        <w:autoSpaceDN/>
        <w:bidi w:val="0"/>
        <w:adjustRightInd/>
        <w:snapToGrid/>
        <w:spacing w:line="560" w:lineRule="exact"/>
        <w:ind w:right="0" w:firstLine="0" w:firstLineChars="0"/>
        <w:jc w:val="both"/>
        <w:textAlignment w:val="auto"/>
        <w:rPr>
          <w:rFonts w:cs="仿宋_GB2312" w:asciiTheme="minorEastAsia" w:hAnsiTheme="minorEastAsia" w:eastAsiaTheme="minorEastAsia"/>
          <w:b/>
          <w:color w:val="000000" w:themeColor="text1"/>
          <w:kern w:val="0"/>
          <w:sz w:val="28"/>
          <w:szCs w:val="28"/>
          <w:highlight w:val="none"/>
          <w14:textFill>
            <w14:solidFill>
              <w14:schemeClr w14:val="tx1"/>
            </w14:solidFill>
          </w14:textFill>
        </w:rPr>
      </w:pPr>
    </w:p>
    <w:p w14:paraId="55C43729">
      <w:pPr>
        <w:keepNext w:val="0"/>
        <w:keepLines w:val="0"/>
        <w:pageBreakBefore w:val="0"/>
        <w:kinsoku/>
        <w:wordWrap/>
        <w:overflowPunct/>
        <w:topLinePunct w:val="0"/>
        <w:autoSpaceDE/>
        <w:autoSpaceDN/>
        <w:bidi w:val="0"/>
        <w:adjustRightInd/>
        <w:snapToGrid/>
        <w:spacing w:line="560" w:lineRule="exact"/>
        <w:ind w:right="0" w:firstLine="0" w:firstLineChars="0"/>
        <w:jc w:val="both"/>
        <w:textAlignment w:val="auto"/>
        <w:rPr>
          <w:rFonts w:cs="仿宋_GB2312" w:asciiTheme="minorEastAsia" w:hAnsiTheme="minorEastAsia" w:eastAsiaTheme="minorEastAsia"/>
          <w:b/>
          <w:color w:val="000000" w:themeColor="text1"/>
          <w:kern w:val="0"/>
          <w:sz w:val="28"/>
          <w:szCs w:val="28"/>
          <w:highlight w:val="none"/>
          <w14:textFill>
            <w14:solidFill>
              <w14:schemeClr w14:val="tx1"/>
            </w14:solidFill>
          </w14:textFill>
        </w:rPr>
      </w:pPr>
    </w:p>
    <w:p w14:paraId="4FE971A1">
      <w:pPr>
        <w:keepNext w:val="0"/>
        <w:keepLines w:val="0"/>
        <w:pageBreakBefore w:val="0"/>
        <w:kinsoku/>
        <w:wordWrap/>
        <w:overflowPunct/>
        <w:topLinePunct w:val="0"/>
        <w:autoSpaceDE/>
        <w:autoSpaceDN/>
        <w:bidi w:val="0"/>
        <w:adjustRightInd/>
        <w:snapToGrid/>
        <w:spacing w:line="560" w:lineRule="exact"/>
        <w:ind w:right="0" w:firstLine="0" w:firstLineChars="0"/>
        <w:jc w:val="both"/>
        <w:textAlignment w:val="auto"/>
        <w:rPr>
          <w:rFonts w:cs="仿宋_GB2312" w:asciiTheme="minorEastAsia" w:hAnsiTheme="minorEastAsia" w:eastAsiaTheme="minorEastAsia"/>
          <w:b/>
          <w:color w:val="000000" w:themeColor="text1"/>
          <w:kern w:val="0"/>
          <w:sz w:val="28"/>
          <w:szCs w:val="28"/>
          <w:highlight w:val="none"/>
          <w14:textFill>
            <w14:solidFill>
              <w14:schemeClr w14:val="tx1"/>
            </w14:solidFill>
          </w14:textFill>
        </w:rPr>
      </w:pPr>
    </w:p>
    <w:p w14:paraId="30BABA92">
      <w:pPr>
        <w:keepNext w:val="0"/>
        <w:keepLines w:val="0"/>
        <w:pageBreakBefore w:val="0"/>
        <w:kinsoku/>
        <w:wordWrap/>
        <w:overflowPunct/>
        <w:topLinePunct w:val="0"/>
        <w:autoSpaceDE/>
        <w:autoSpaceDN/>
        <w:bidi w:val="0"/>
        <w:adjustRightInd/>
        <w:snapToGrid/>
        <w:spacing w:line="560" w:lineRule="exact"/>
        <w:ind w:right="0" w:firstLine="0" w:firstLineChars="0"/>
        <w:jc w:val="both"/>
        <w:textAlignment w:val="auto"/>
        <w:rPr>
          <w:rFonts w:cs="仿宋_GB2312" w:asciiTheme="minorEastAsia" w:hAnsiTheme="minorEastAsia" w:eastAsiaTheme="minorEastAsia"/>
          <w:b/>
          <w:color w:val="000000" w:themeColor="text1"/>
          <w:kern w:val="0"/>
          <w:sz w:val="28"/>
          <w:szCs w:val="28"/>
          <w:highlight w:val="none"/>
          <w14:textFill>
            <w14:solidFill>
              <w14:schemeClr w14:val="tx1"/>
            </w14:solidFill>
          </w14:textFill>
        </w:rPr>
      </w:pPr>
    </w:p>
    <w:p w14:paraId="5D4E8181">
      <w:pPr>
        <w:keepNext w:val="0"/>
        <w:keepLines w:val="0"/>
        <w:pageBreakBefore w:val="0"/>
        <w:kinsoku/>
        <w:wordWrap/>
        <w:overflowPunct/>
        <w:topLinePunct w:val="0"/>
        <w:autoSpaceDE/>
        <w:autoSpaceDN/>
        <w:bidi w:val="0"/>
        <w:adjustRightInd/>
        <w:snapToGrid/>
        <w:spacing w:line="560" w:lineRule="exact"/>
        <w:ind w:right="0" w:firstLine="0" w:firstLineChars="0"/>
        <w:jc w:val="both"/>
        <w:textAlignment w:val="auto"/>
        <w:rPr>
          <w:rFonts w:cs="仿宋_GB2312" w:asciiTheme="minorEastAsia" w:hAnsiTheme="minorEastAsia" w:eastAsiaTheme="minorEastAsia"/>
          <w:b/>
          <w:color w:val="000000" w:themeColor="text1"/>
          <w:kern w:val="0"/>
          <w:sz w:val="28"/>
          <w:szCs w:val="28"/>
          <w:highlight w:val="none"/>
          <w14:textFill>
            <w14:solidFill>
              <w14:schemeClr w14:val="tx1"/>
            </w14:solidFill>
          </w14:textFill>
        </w:rPr>
      </w:pPr>
    </w:p>
    <w:p w14:paraId="616C5A8D">
      <w:pPr>
        <w:keepNext w:val="0"/>
        <w:keepLines w:val="0"/>
        <w:pageBreakBefore w:val="0"/>
        <w:kinsoku/>
        <w:wordWrap/>
        <w:overflowPunct/>
        <w:topLinePunct w:val="0"/>
        <w:autoSpaceDE/>
        <w:autoSpaceDN/>
        <w:bidi w:val="0"/>
        <w:adjustRightInd/>
        <w:snapToGrid/>
        <w:spacing w:line="560" w:lineRule="exact"/>
        <w:ind w:right="0" w:firstLine="0" w:firstLineChars="0"/>
        <w:jc w:val="both"/>
        <w:textAlignment w:val="auto"/>
        <w:rPr>
          <w:rFonts w:cs="仿宋_GB2312" w:asciiTheme="minorEastAsia" w:hAnsiTheme="minorEastAsia" w:eastAsiaTheme="minorEastAsia"/>
          <w:b/>
          <w:color w:val="000000" w:themeColor="text1"/>
          <w:kern w:val="0"/>
          <w:sz w:val="28"/>
          <w:szCs w:val="28"/>
          <w:highlight w:val="none"/>
          <w14:textFill>
            <w14:solidFill>
              <w14:schemeClr w14:val="tx1"/>
            </w14:solidFill>
          </w14:textFill>
        </w:rPr>
      </w:pPr>
    </w:p>
    <w:p w14:paraId="2E40AF04">
      <w:pPr>
        <w:keepNext w:val="0"/>
        <w:keepLines w:val="0"/>
        <w:pageBreakBefore w:val="0"/>
        <w:kinsoku/>
        <w:wordWrap/>
        <w:overflowPunct/>
        <w:topLinePunct w:val="0"/>
        <w:autoSpaceDE/>
        <w:autoSpaceDN/>
        <w:bidi w:val="0"/>
        <w:adjustRightInd/>
        <w:snapToGrid/>
        <w:spacing w:line="560" w:lineRule="exact"/>
        <w:ind w:right="0" w:firstLine="0" w:firstLineChars="0"/>
        <w:jc w:val="both"/>
        <w:textAlignment w:val="auto"/>
        <w:rPr>
          <w:rFonts w:cs="仿宋_GB2312" w:asciiTheme="minorEastAsia" w:hAnsiTheme="minorEastAsia" w:eastAsiaTheme="minorEastAsia"/>
          <w:b/>
          <w:color w:val="000000" w:themeColor="text1"/>
          <w:kern w:val="0"/>
          <w:sz w:val="28"/>
          <w:szCs w:val="28"/>
          <w:highlight w:val="none"/>
          <w14:textFill>
            <w14:solidFill>
              <w14:schemeClr w14:val="tx1"/>
            </w14:solidFill>
          </w14:textFill>
        </w:rPr>
      </w:pPr>
    </w:p>
    <w:p w14:paraId="42023C18">
      <w:pPr>
        <w:keepNext w:val="0"/>
        <w:keepLines w:val="0"/>
        <w:pageBreakBefore w:val="0"/>
        <w:kinsoku/>
        <w:wordWrap/>
        <w:overflowPunct/>
        <w:topLinePunct w:val="0"/>
        <w:autoSpaceDE/>
        <w:autoSpaceDN/>
        <w:bidi w:val="0"/>
        <w:adjustRightInd/>
        <w:snapToGrid/>
        <w:spacing w:line="560" w:lineRule="exact"/>
        <w:ind w:right="0" w:firstLine="0" w:firstLineChars="0"/>
        <w:jc w:val="both"/>
        <w:textAlignment w:val="auto"/>
        <w:rPr>
          <w:rFonts w:cs="仿宋_GB2312" w:asciiTheme="minorEastAsia" w:hAnsiTheme="minorEastAsia" w:eastAsiaTheme="minorEastAsia"/>
          <w:b/>
          <w:color w:val="000000" w:themeColor="text1"/>
          <w:kern w:val="0"/>
          <w:sz w:val="28"/>
          <w:szCs w:val="28"/>
          <w:highlight w:val="none"/>
          <w14:textFill>
            <w14:solidFill>
              <w14:schemeClr w14:val="tx1"/>
            </w14:solidFill>
          </w14:textFill>
        </w:rPr>
      </w:pPr>
    </w:p>
    <w:p w14:paraId="62292E94">
      <w:pPr>
        <w:keepNext w:val="0"/>
        <w:keepLines w:val="0"/>
        <w:pageBreakBefore w:val="0"/>
        <w:kinsoku/>
        <w:wordWrap/>
        <w:overflowPunct/>
        <w:topLinePunct w:val="0"/>
        <w:autoSpaceDE/>
        <w:autoSpaceDN/>
        <w:bidi w:val="0"/>
        <w:adjustRightInd/>
        <w:snapToGrid/>
        <w:spacing w:line="560" w:lineRule="exact"/>
        <w:ind w:right="0" w:firstLine="0" w:firstLineChars="0"/>
        <w:jc w:val="both"/>
        <w:textAlignment w:val="auto"/>
        <w:rPr>
          <w:rFonts w:cs="仿宋_GB2312" w:asciiTheme="minorEastAsia" w:hAnsiTheme="minorEastAsia" w:eastAsiaTheme="minorEastAsia"/>
          <w:b/>
          <w:color w:val="000000" w:themeColor="text1"/>
          <w:kern w:val="0"/>
          <w:sz w:val="28"/>
          <w:szCs w:val="28"/>
          <w:highlight w:val="none"/>
          <w14:textFill>
            <w14:solidFill>
              <w14:schemeClr w14:val="tx1"/>
            </w14:solidFill>
          </w14:textFill>
        </w:rPr>
      </w:pPr>
    </w:p>
    <w:p w14:paraId="0945D15C">
      <w:pPr>
        <w:keepNext w:val="0"/>
        <w:keepLines w:val="0"/>
        <w:pageBreakBefore w:val="0"/>
        <w:kinsoku/>
        <w:wordWrap/>
        <w:overflowPunct/>
        <w:topLinePunct w:val="0"/>
        <w:autoSpaceDE/>
        <w:autoSpaceDN/>
        <w:bidi w:val="0"/>
        <w:adjustRightInd/>
        <w:snapToGrid/>
        <w:spacing w:line="560" w:lineRule="exact"/>
        <w:ind w:right="0" w:firstLine="0" w:firstLineChars="0"/>
        <w:jc w:val="both"/>
        <w:textAlignment w:val="auto"/>
        <w:rPr>
          <w:rFonts w:cs="仿宋_GB2312" w:asciiTheme="minorEastAsia" w:hAnsiTheme="minorEastAsia" w:eastAsiaTheme="minorEastAsia"/>
          <w:b/>
          <w:color w:val="000000" w:themeColor="text1"/>
          <w:kern w:val="0"/>
          <w:sz w:val="28"/>
          <w:szCs w:val="28"/>
          <w:highlight w:val="none"/>
          <w14:textFill>
            <w14:solidFill>
              <w14:schemeClr w14:val="tx1"/>
            </w14:solidFill>
          </w14:textFill>
        </w:rPr>
      </w:pPr>
    </w:p>
    <w:p w14:paraId="0DE6E548">
      <w:pPr>
        <w:keepNext w:val="0"/>
        <w:keepLines w:val="0"/>
        <w:pageBreakBefore w:val="0"/>
        <w:kinsoku/>
        <w:wordWrap/>
        <w:overflowPunct/>
        <w:topLinePunct w:val="0"/>
        <w:autoSpaceDE/>
        <w:autoSpaceDN/>
        <w:bidi w:val="0"/>
        <w:adjustRightInd/>
        <w:snapToGrid/>
        <w:spacing w:line="560" w:lineRule="exact"/>
        <w:ind w:right="0" w:firstLine="0" w:firstLineChars="0"/>
        <w:jc w:val="both"/>
        <w:textAlignment w:val="auto"/>
        <w:rPr>
          <w:rFonts w:cs="仿宋_GB2312" w:asciiTheme="minorEastAsia" w:hAnsiTheme="minorEastAsia" w:eastAsiaTheme="minorEastAsia"/>
          <w:b/>
          <w:color w:val="000000" w:themeColor="text1"/>
          <w:kern w:val="0"/>
          <w:sz w:val="28"/>
          <w:szCs w:val="28"/>
          <w:highlight w:val="none"/>
          <w14:textFill>
            <w14:solidFill>
              <w14:schemeClr w14:val="tx1"/>
            </w14:solidFill>
          </w14:textFill>
        </w:rPr>
      </w:pPr>
    </w:p>
    <w:p w14:paraId="0B9D9A8F">
      <w:pPr>
        <w:keepNext w:val="0"/>
        <w:keepLines w:val="0"/>
        <w:pageBreakBefore w:val="0"/>
        <w:kinsoku/>
        <w:wordWrap/>
        <w:overflowPunct/>
        <w:topLinePunct w:val="0"/>
        <w:autoSpaceDE/>
        <w:autoSpaceDN/>
        <w:bidi w:val="0"/>
        <w:adjustRightInd/>
        <w:snapToGrid/>
        <w:spacing w:line="560" w:lineRule="exact"/>
        <w:ind w:right="0" w:firstLine="0" w:firstLineChars="0"/>
        <w:jc w:val="both"/>
        <w:textAlignment w:val="auto"/>
        <w:rPr>
          <w:rFonts w:cs="仿宋_GB2312" w:asciiTheme="minorEastAsia" w:hAnsiTheme="minorEastAsia" w:eastAsiaTheme="minorEastAsia"/>
          <w:b/>
          <w:color w:val="000000" w:themeColor="text1"/>
          <w:kern w:val="0"/>
          <w:sz w:val="28"/>
          <w:szCs w:val="28"/>
          <w:highlight w:val="none"/>
          <w14:textFill>
            <w14:solidFill>
              <w14:schemeClr w14:val="tx1"/>
            </w14:solidFill>
          </w14:textFill>
        </w:rPr>
      </w:pPr>
    </w:p>
    <w:p w14:paraId="57A73F58">
      <w:pPr>
        <w:keepNext w:val="0"/>
        <w:keepLines w:val="0"/>
        <w:pageBreakBefore w:val="0"/>
        <w:kinsoku/>
        <w:wordWrap/>
        <w:overflowPunct/>
        <w:topLinePunct w:val="0"/>
        <w:autoSpaceDE/>
        <w:autoSpaceDN/>
        <w:bidi w:val="0"/>
        <w:adjustRightInd/>
        <w:snapToGrid/>
        <w:spacing w:line="560" w:lineRule="exact"/>
        <w:ind w:right="0" w:firstLine="0" w:firstLineChars="0"/>
        <w:jc w:val="both"/>
        <w:textAlignment w:val="auto"/>
        <w:rPr>
          <w:rFonts w:hint="eastAsia" w:cs="仿宋_GB2312" w:asciiTheme="minorEastAsia" w:hAnsiTheme="minorEastAsia" w:eastAsiaTheme="minorEastAsia"/>
          <w:b/>
          <w:color w:val="000000" w:themeColor="text1"/>
          <w:kern w:val="0"/>
          <w:sz w:val="28"/>
          <w:szCs w:val="28"/>
          <w:highlight w:val="none"/>
          <w14:textFill>
            <w14:solidFill>
              <w14:schemeClr w14:val="tx1"/>
            </w14:solidFill>
          </w14:textFill>
        </w:rPr>
      </w:pPr>
    </w:p>
    <w:p w14:paraId="75AB61C3">
      <w:pPr>
        <w:keepNext w:val="0"/>
        <w:keepLines w:val="0"/>
        <w:pageBreakBefore w:val="0"/>
        <w:kinsoku/>
        <w:wordWrap/>
        <w:overflowPunct/>
        <w:topLinePunct w:val="0"/>
        <w:autoSpaceDE/>
        <w:autoSpaceDN/>
        <w:bidi w:val="0"/>
        <w:adjustRightInd/>
        <w:snapToGrid/>
        <w:spacing w:line="560" w:lineRule="exact"/>
        <w:ind w:right="0" w:firstLine="0" w:firstLineChars="0"/>
        <w:jc w:val="both"/>
        <w:textAlignment w:val="auto"/>
        <w:rPr>
          <w:rFonts w:hint="eastAsia" w:cs="仿宋_GB2312" w:asciiTheme="minorEastAsia" w:hAnsiTheme="minorEastAsia" w:eastAsiaTheme="minorEastAsia"/>
          <w:b/>
          <w:color w:val="000000" w:themeColor="text1"/>
          <w:kern w:val="0"/>
          <w:sz w:val="28"/>
          <w:szCs w:val="28"/>
          <w:highlight w:val="none"/>
          <w14:textFill>
            <w14:solidFill>
              <w14:schemeClr w14:val="tx1"/>
            </w14:solidFill>
          </w14:textFill>
        </w:rPr>
      </w:pPr>
    </w:p>
    <w:p w14:paraId="482B3071">
      <w:pPr>
        <w:keepNext w:val="0"/>
        <w:keepLines w:val="0"/>
        <w:pageBreakBefore w:val="0"/>
        <w:kinsoku/>
        <w:wordWrap/>
        <w:overflowPunct/>
        <w:topLinePunct w:val="0"/>
        <w:autoSpaceDE/>
        <w:autoSpaceDN/>
        <w:bidi w:val="0"/>
        <w:adjustRightInd/>
        <w:snapToGrid/>
        <w:spacing w:line="560" w:lineRule="exact"/>
        <w:ind w:right="0" w:firstLine="0" w:firstLineChars="0"/>
        <w:jc w:val="both"/>
        <w:textAlignment w:val="auto"/>
        <w:rPr>
          <w:rFonts w:hint="eastAsia" w:cs="仿宋_GB2312" w:asciiTheme="minorEastAsia" w:hAnsiTheme="minorEastAsia" w:eastAsiaTheme="minorEastAsia"/>
          <w:b/>
          <w:color w:val="000000" w:themeColor="text1"/>
          <w:kern w:val="0"/>
          <w:sz w:val="28"/>
          <w:szCs w:val="28"/>
          <w:highlight w:val="none"/>
          <w14:textFill>
            <w14:solidFill>
              <w14:schemeClr w14:val="tx1"/>
            </w14:solidFill>
          </w14:textFill>
        </w:rPr>
      </w:pPr>
    </w:p>
    <w:p w14:paraId="1E08BCAE">
      <w:pPr>
        <w:keepNext w:val="0"/>
        <w:keepLines w:val="0"/>
        <w:pageBreakBefore w:val="0"/>
        <w:kinsoku/>
        <w:wordWrap/>
        <w:overflowPunct/>
        <w:topLinePunct w:val="0"/>
        <w:autoSpaceDE/>
        <w:autoSpaceDN/>
        <w:bidi w:val="0"/>
        <w:adjustRightInd/>
        <w:snapToGrid/>
        <w:spacing w:line="560" w:lineRule="exact"/>
        <w:ind w:right="0" w:firstLine="0" w:firstLineChars="0"/>
        <w:jc w:val="both"/>
        <w:textAlignment w:val="auto"/>
        <w:rPr>
          <w:rFonts w:hint="eastAsia" w:cs="仿宋_GB2312" w:asciiTheme="minorEastAsia" w:hAnsiTheme="minorEastAsia" w:eastAsiaTheme="minorEastAsia"/>
          <w:b/>
          <w:color w:val="000000" w:themeColor="text1"/>
          <w:kern w:val="0"/>
          <w:sz w:val="28"/>
          <w:szCs w:val="28"/>
          <w:highlight w:val="none"/>
          <w14:textFill>
            <w14:solidFill>
              <w14:schemeClr w14:val="tx1"/>
            </w14:solidFill>
          </w14:textFill>
        </w:rPr>
      </w:pPr>
    </w:p>
    <w:p w14:paraId="3FD49236">
      <w:pPr>
        <w:keepNext w:val="0"/>
        <w:keepLines w:val="0"/>
        <w:pageBreakBefore w:val="0"/>
        <w:kinsoku/>
        <w:wordWrap/>
        <w:overflowPunct/>
        <w:topLinePunct w:val="0"/>
        <w:autoSpaceDE/>
        <w:autoSpaceDN/>
        <w:bidi w:val="0"/>
        <w:adjustRightInd/>
        <w:snapToGrid/>
        <w:spacing w:line="560" w:lineRule="exact"/>
        <w:ind w:right="0" w:firstLine="0" w:firstLineChars="0"/>
        <w:jc w:val="both"/>
        <w:textAlignment w:val="auto"/>
        <w:rPr>
          <w:rFonts w:asciiTheme="minorEastAsia" w:hAnsiTheme="minorEastAsia" w:eastAsiaTheme="minorEastAsia"/>
          <w:b/>
          <w:color w:val="000000" w:themeColor="text1"/>
          <w:sz w:val="28"/>
          <w:szCs w:val="28"/>
          <w:highlight w:val="none"/>
          <w14:textFill>
            <w14:solidFill>
              <w14:schemeClr w14:val="tx1"/>
            </w14:solidFill>
          </w14:textFill>
        </w:rPr>
      </w:pPr>
      <w:r>
        <w:rPr>
          <w:rFonts w:hint="eastAsia" w:cs="仿宋_GB2312" w:asciiTheme="minorEastAsia" w:hAnsiTheme="minorEastAsia" w:eastAsiaTheme="minorEastAsia"/>
          <w:b/>
          <w:color w:val="000000" w:themeColor="text1"/>
          <w:kern w:val="0"/>
          <w:sz w:val="28"/>
          <w:szCs w:val="28"/>
          <w:highlight w:val="none"/>
          <w14:textFill>
            <w14:solidFill>
              <w14:schemeClr w14:val="tx1"/>
            </w14:solidFill>
          </w14:textFill>
        </w:rPr>
        <w:t>五、提供参加本次政府采购活动前3年内在经营活动中没有重大违法记录的书面承诺函并加盖单位公章</w:t>
      </w:r>
    </w:p>
    <w:p w14:paraId="59385894">
      <w:pPr>
        <w:pStyle w:val="163"/>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无重大违法记录声明书</w:t>
      </w:r>
    </w:p>
    <w:p w14:paraId="17D2C6FE">
      <w:pPr>
        <w:pStyle w:val="13"/>
        <w:keepNext w:val="0"/>
        <w:keepLines w:val="0"/>
        <w:pageBreakBefore w:val="0"/>
        <w:widowControl w:val="0"/>
        <w:kinsoku/>
        <w:wordWrap/>
        <w:overflowPunct/>
        <w:topLinePunct w:val="0"/>
        <w:bidi w:val="0"/>
        <w:adjustRightInd/>
        <w:snapToGrid/>
        <w:spacing w:after="0" w:line="560" w:lineRule="exact"/>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致：</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sz w:val="28"/>
          <w:szCs w:val="28"/>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8"/>
          <w:szCs w:val="28"/>
          <w:highlight w:val="none"/>
          <w:u w:val="single"/>
          <w14:textFill>
            <w14:solidFill>
              <w14:schemeClr w14:val="tx1"/>
            </w14:solidFill>
          </w14:textFill>
        </w:rPr>
        <w:t xml:space="preserve">（采购人名称） </w:t>
      </w:r>
      <w:r>
        <w:rPr>
          <w:rFonts w:hint="eastAsia" w:ascii="宋体" w:hAnsi="宋体" w:eastAsia="宋体" w:cs="宋体"/>
          <w:color w:val="000000" w:themeColor="text1"/>
          <w:sz w:val="28"/>
          <w:szCs w:val="28"/>
          <w:highlight w:val="none"/>
          <w14:textFill>
            <w14:solidFill>
              <w14:schemeClr w14:val="tx1"/>
            </w14:solidFill>
          </w14:textFill>
        </w:rPr>
        <w:t>：</w:t>
      </w:r>
    </w:p>
    <w:p w14:paraId="2A7CBB47">
      <w:pPr>
        <w:pStyle w:val="163"/>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我公司参与</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项目名称、</w:t>
      </w:r>
      <w:r>
        <w:rPr>
          <w:rFonts w:hint="eastAsia" w:ascii="宋体" w:hAnsi="宋体" w:cs="宋体"/>
          <w:color w:val="000000" w:themeColor="text1"/>
          <w:sz w:val="28"/>
          <w:szCs w:val="28"/>
          <w:highlight w:val="none"/>
          <w:lang w:eastAsia="zh-CN"/>
          <w14:textFill>
            <w14:solidFill>
              <w14:schemeClr w14:val="tx1"/>
            </w14:solidFill>
          </w14:textFill>
        </w:rPr>
        <w:t>项目</w:t>
      </w:r>
      <w:r>
        <w:rPr>
          <w:rFonts w:hint="eastAsia" w:ascii="宋体" w:hAnsi="宋体" w:eastAsia="宋体" w:cs="宋体"/>
          <w:color w:val="000000" w:themeColor="text1"/>
          <w:sz w:val="28"/>
          <w:szCs w:val="28"/>
          <w:highlight w:val="none"/>
          <w14:textFill>
            <w14:solidFill>
              <w14:schemeClr w14:val="tx1"/>
            </w14:solidFill>
          </w14:textFill>
        </w:rPr>
        <w:t>编号</w:t>
      </w:r>
      <w:r>
        <w:rPr>
          <w:rFonts w:hint="eastAsia" w:ascii="宋体" w:hAnsi="宋体" w:cs="宋体"/>
          <w:color w:val="000000" w:themeColor="text1"/>
          <w:sz w:val="28"/>
          <w:szCs w:val="28"/>
          <w:highlight w:val="none"/>
          <w:lang w:eastAsia="zh-CN"/>
          <w14:textFill>
            <w14:solidFill>
              <w14:schemeClr w14:val="tx1"/>
            </w14:solidFill>
          </w14:textFill>
        </w:rPr>
        <w:t>、标项名称</w:t>
      </w:r>
      <w:r>
        <w:rPr>
          <w:rFonts w:hint="eastAsia" w:ascii="宋体" w:hAnsi="宋体" w:eastAsia="宋体" w:cs="宋体"/>
          <w:color w:val="000000" w:themeColor="text1"/>
          <w:sz w:val="28"/>
          <w:szCs w:val="28"/>
          <w:highlight w:val="none"/>
          <w14:textFill>
            <w14:solidFill>
              <w14:schemeClr w14:val="tx1"/>
            </w14:solidFill>
          </w14:textFill>
        </w:rPr>
        <w:t>）投标，本公司郑重声明，我方参加本项目政府采购活动前三年内无重大违法记录，符合《政府采购法》规定的</w:t>
      </w:r>
      <w:r>
        <w:rPr>
          <w:rFonts w:hint="eastAsia" w:ascii="宋体" w:hAnsi="宋体" w:cs="宋体"/>
          <w:color w:val="000000" w:themeColor="text1"/>
          <w:sz w:val="28"/>
          <w:szCs w:val="28"/>
          <w:highlight w:val="none"/>
          <w:lang w:eastAsia="zh-CN"/>
          <w14:textFill>
            <w14:solidFill>
              <w14:schemeClr w14:val="tx1"/>
            </w14:solidFill>
          </w14:textFill>
        </w:rPr>
        <w:t>供应商</w:t>
      </w:r>
      <w:r>
        <w:rPr>
          <w:rFonts w:hint="eastAsia" w:ascii="宋体" w:hAnsi="宋体" w:eastAsia="宋体" w:cs="宋体"/>
          <w:color w:val="000000" w:themeColor="text1"/>
          <w:sz w:val="28"/>
          <w:szCs w:val="28"/>
          <w:highlight w:val="none"/>
          <w14:textFill>
            <w14:solidFill>
              <w14:schemeClr w14:val="tx1"/>
            </w14:solidFill>
          </w14:textFill>
        </w:rPr>
        <w:t>条件。若贵方在本项目采购过程中发现我方政府采购活动前三年内有重大违法记录，我公司将无条件退出本项目的投标，并承担因此引起的一切后果。我方对此声明负全部法律责任。</w:t>
      </w:r>
    </w:p>
    <w:p w14:paraId="2B73A541">
      <w:pPr>
        <w:pStyle w:val="163"/>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特此声明。  </w:t>
      </w:r>
    </w:p>
    <w:p w14:paraId="4F9F397E">
      <w:pPr>
        <w:pStyle w:val="163"/>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color w:val="000000" w:themeColor="text1"/>
          <w:sz w:val="28"/>
          <w:szCs w:val="28"/>
          <w:highlight w:val="none"/>
          <w14:textFill>
            <w14:solidFill>
              <w14:schemeClr w14:val="tx1"/>
            </w14:solidFill>
          </w14:textFill>
        </w:rPr>
      </w:pPr>
    </w:p>
    <w:p w14:paraId="7C3266B3">
      <w:pPr>
        <w:pStyle w:val="163"/>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color w:val="000000" w:themeColor="text1"/>
          <w:sz w:val="28"/>
          <w:szCs w:val="28"/>
          <w:highlight w:val="none"/>
          <w14:textFill>
            <w14:solidFill>
              <w14:schemeClr w14:val="tx1"/>
            </w14:solidFill>
          </w14:textFill>
        </w:rPr>
      </w:pPr>
    </w:p>
    <w:p w14:paraId="1853AC73">
      <w:pPr>
        <w:pStyle w:val="163"/>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color w:val="000000" w:themeColor="text1"/>
          <w:sz w:val="28"/>
          <w:szCs w:val="28"/>
          <w:highlight w:val="none"/>
          <w14:textFill>
            <w14:solidFill>
              <w14:schemeClr w14:val="tx1"/>
            </w14:solidFill>
          </w14:textFill>
        </w:rPr>
      </w:pPr>
    </w:p>
    <w:p w14:paraId="5C7F7E04">
      <w:pPr>
        <w:pStyle w:val="163"/>
        <w:keepNext w:val="0"/>
        <w:keepLines w:val="0"/>
        <w:pageBreakBefore w:val="0"/>
        <w:widowControl w:val="0"/>
        <w:kinsoku/>
        <w:wordWrap/>
        <w:overflowPunct/>
        <w:topLinePunct w:val="0"/>
        <w:autoSpaceDE/>
        <w:autoSpaceDN/>
        <w:bidi w:val="0"/>
        <w:adjustRightInd/>
        <w:snapToGrid/>
        <w:spacing w:line="560" w:lineRule="exact"/>
        <w:ind w:firstLine="2800" w:firstLineChars="1000"/>
        <w:jc w:val="both"/>
        <w:textAlignment w:val="auto"/>
        <w:rPr>
          <w:rFonts w:hint="default"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4"/>
          <w:highlight w:val="none"/>
          <w14:textFill>
            <w14:solidFill>
              <w14:schemeClr w14:val="tx1"/>
            </w14:solidFill>
          </w14:textFill>
        </w:rPr>
        <w:t>供应商名称</w:t>
      </w:r>
      <w:r>
        <w:rPr>
          <w:rFonts w:hint="eastAsia" w:ascii="宋体" w:hAnsi="宋体" w:eastAsia="宋体" w:cs="宋体"/>
          <w:color w:val="000000" w:themeColor="text1"/>
          <w:sz w:val="28"/>
          <w:szCs w:val="28"/>
          <w:highlight w:val="none"/>
          <w14:textFill>
            <w14:solidFill>
              <w14:schemeClr w14:val="tx1"/>
            </w14:solidFill>
          </w14:textFill>
        </w:rPr>
        <w:t>（电子公章）：</w:t>
      </w:r>
      <w:r>
        <w:rPr>
          <w:rFonts w:hint="eastAsia" w:ascii="宋体" w:hAnsi="宋体" w:cs="宋体"/>
          <w:color w:val="000000" w:themeColor="text1"/>
          <w:sz w:val="28"/>
          <w:szCs w:val="28"/>
          <w:highlight w:val="none"/>
          <w:u w:val="single"/>
          <w:lang w:val="en-US" w:eastAsia="zh-CN"/>
          <w14:textFill>
            <w14:solidFill>
              <w14:schemeClr w14:val="tx1"/>
            </w14:solidFill>
          </w14:textFill>
        </w:rPr>
        <w:t xml:space="preserve">             </w:t>
      </w:r>
      <w:r>
        <w:rPr>
          <w:rFonts w:hint="eastAsia" w:ascii="宋体" w:hAnsi="宋体" w:cs="宋体"/>
          <w:color w:val="000000" w:themeColor="text1"/>
          <w:sz w:val="28"/>
          <w:szCs w:val="28"/>
          <w:highlight w:val="none"/>
          <w:lang w:val="en-US" w:eastAsia="zh-CN"/>
          <w14:textFill>
            <w14:solidFill>
              <w14:schemeClr w14:val="tx1"/>
            </w14:solidFill>
          </w14:textFill>
        </w:rPr>
        <w:t xml:space="preserve">  </w:t>
      </w:r>
    </w:p>
    <w:p w14:paraId="4166A4B4">
      <w:pPr>
        <w:pStyle w:val="163"/>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法定代表人或其委托代理人（签字或盖章）：</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p>
    <w:p w14:paraId="57A89B24">
      <w:pPr>
        <w:pStyle w:val="163"/>
        <w:keepNext w:val="0"/>
        <w:keepLines w:val="0"/>
        <w:pageBreakBefore w:val="0"/>
        <w:widowControl w:val="0"/>
        <w:kinsoku/>
        <w:wordWrap/>
        <w:overflowPunct/>
        <w:topLinePunct w:val="0"/>
        <w:autoSpaceDE/>
        <w:autoSpaceDN/>
        <w:bidi w:val="0"/>
        <w:adjustRightInd/>
        <w:snapToGrid/>
        <w:spacing w:line="560" w:lineRule="exact"/>
        <w:ind w:firstLine="2800" w:firstLineChars="1000"/>
        <w:jc w:val="both"/>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日期：</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年</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月</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日</w:t>
      </w:r>
    </w:p>
    <w:p w14:paraId="6C347919">
      <w:pPr>
        <w:keepNext w:val="0"/>
        <w:keepLines w:val="0"/>
        <w:pageBreakBefore w:val="0"/>
        <w:kinsoku/>
        <w:wordWrap/>
        <w:overflowPunct/>
        <w:topLinePunct w:val="0"/>
        <w:autoSpaceDE/>
        <w:autoSpaceDN/>
        <w:bidi w:val="0"/>
        <w:adjustRightInd/>
        <w:snapToGrid/>
        <w:spacing w:line="560" w:lineRule="exact"/>
        <w:ind w:right="0" w:firstLine="0" w:firstLineChars="0"/>
        <w:contextualSpacing/>
        <w:jc w:val="both"/>
        <w:textAlignment w:val="auto"/>
        <w:rPr>
          <w:rFonts w:asciiTheme="minorEastAsia" w:hAnsiTheme="minorEastAsia" w:eastAsiaTheme="minorEastAsia"/>
          <w:color w:val="000000" w:themeColor="text1"/>
          <w:sz w:val="28"/>
          <w:szCs w:val="28"/>
          <w:highlight w:val="none"/>
          <w14:textFill>
            <w14:solidFill>
              <w14:schemeClr w14:val="tx1"/>
            </w14:solidFill>
          </w14:textFill>
        </w:rPr>
      </w:pPr>
    </w:p>
    <w:p w14:paraId="4811F331">
      <w:pPr>
        <w:keepNext w:val="0"/>
        <w:keepLines w:val="0"/>
        <w:pageBreakBefore w:val="0"/>
        <w:kinsoku/>
        <w:wordWrap/>
        <w:overflowPunct/>
        <w:topLinePunct w:val="0"/>
        <w:autoSpaceDE/>
        <w:autoSpaceDN/>
        <w:bidi w:val="0"/>
        <w:adjustRightInd/>
        <w:snapToGrid/>
        <w:spacing w:line="560" w:lineRule="exact"/>
        <w:ind w:right="0" w:firstLine="0" w:firstLineChars="0"/>
        <w:contextualSpacing/>
        <w:jc w:val="both"/>
        <w:textAlignment w:val="auto"/>
        <w:rPr>
          <w:rFonts w:asciiTheme="minorEastAsia" w:hAnsiTheme="minorEastAsia" w:eastAsiaTheme="minorEastAsia"/>
          <w:color w:val="000000" w:themeColor="text1"/>
          <w:sz w:val="28"/>
          <w:szCs w:val="28"/>
          <w:highlight w:val="none"/>
          <w14:textFill>
            <w14:solidFill>
              <w14:schemeClr w14:val="tx1"/>
            </w14:solidFill>
          </w14:textFill>
        </w:rPr>
      </w:pPr>
    </w:p>
    <w:p w14:paraId="16A3534C">
      <w:pPr>
        <w:keepNext w:val="0"/>
        <w:keepLines w:val="0"/>
        <w:pageBreakBefore w:val="0"/>
        <w:kinsoku/>
        <w:wordWrap/>
        <w:overflowPunct/>
        <w:topLinePunct w:val="0"/>
        <w:autoSpaceDE/>
        <w:autoSpaceDN/>
        <w:bidi w:val="0"/>
        <w:adjustRightInd/>
        <w:snapToGrid/>
        <w:spacing w:line="560" w:lineRule="exact"/>
        <w:ind w:right="0" w:firstLine="0" w:firstLineChars="0"/>
        <w:contextualSpacing/>
        <w:jc w:val="both"/>
        <w:textAlignment w:val="auto"/>
        <w:rPr>
          <w:rFonts w:asciiTheme="minorEastAsia" w:hAnsiTheme="minorEastAsia" w:eastAsiaTheme="minorEastAsia"/>
          <w:color w:val="000000" w:themeColor="text1"/>
          <w:sz w:val="28"/>
          <w:szCs w:val="28"/>
          <w:highlight w:val="none"/>
          <w14:textFill>
            <w14:solidFill>
              <w14:schemeClr w14:val="tx1"/>
            </w14:solidFill>
          </w14:textFill>
        </w:rPr>
      </w:pPr>
    </w:p>
    <w:p w14:paraId="0D684C90">
      <w:pPr>
        <w:keepNext w:val="0"/>
        <w:keepLines w:val="0"/>
        <w:pageBreakBefore w:val="0"/>
        <w:kinsoku/>
        <w:wordWrap/>
        <w:overflowPunct/>
        <w:topLinePunct w:val="0"/>
        <w:autoSpaceDE/>
        <w:autoSpaceDN/>
        <w:bidi w:val="0"/>
        <w:adjustRightInd/>
        <w:snapToGrid/>
        <w:spacing w:line="560" w:lineRule="exact"/>
        <w:ind w:right="0" w:firstLine="0" w:firstLineChars="0"/>
        <w:contextualSpacing/>
        <w:jc w:val="both"/>
        <w:textAlignment w:val="auto"/>
        <w:rPr>
          <w:rFonts w:asciiTheme="minorEastAsia" w:hAnsiTheme="minorEastAsia" w:eastAsiaTheme="minorEastAsia"/>
          <w:color w:val="000000" w:themeColor="text1"/>
          <w:sz w:val="28"/>
          <w:szCs w:val="28"/>
          <w:highlight w:val="none"/>
          <w14:textFill>
            <w14:solidFill>
              <w14:schemeClr w14:val="tx1"/>
            </w14:solidFill>
          </w14:textFill>
        </w:rPr>
      </w:pPr>
    </w:p>
    <w:p w14:paraId="2466D55C">
      <w:pPr>
        <w:keepNext w:val="0"/>
        <w:keepLines w:val="0"/>
        <w:pageBreakBefore w:val="0"/>
        <w:kinsoku/>
        <w:wordWrap/>
        <w:overflowPunct/>
        <w:topLinePunct w:val="0"/>
        <w:autoSpaceDE/>
        <w:autoSpaceDN/>
        <w:bidi w:val="0"/>
        <w:adjustRightInd/>
        <w:snapToGrid/>
        <w:spacing w:line="560" w:lineRule="exact"/>
        <w:ind w:right="0" w:firstLine="0" w:firstLineChars="0"/>
        <w:contextualSpacing/>
        <w:jc w:val="both"/>
        <w:textAlignment w:val="auto"/>
        <w:rPr>
          <w:rFonts w:asciiTheme="minorEastAsia" w:hAnsiTheme="minorEastAsia" w:eastAsiaTheme="minorEastAsia"/>
          <w:color w:val="000000" w:themeColor="text1"/>
          <w:sz w:val="28"/>
          <w:szCs w:val="28"/>
          <w:highlight w:val="none"/>
          <w14:textFill>
            <w14:solidFill>
              <w14:schemeClr w14:val="tx1"/>
            </w14:solidFill>
          </w14:textFill>
        </w:rPr>
      </w:pPr>
    </w:p>
    <w:p w14:paraId="70655370">
      <w:pPr>
        <w:keepNext w:val="0"/>
        <w:keepLines w:val="0"/>
        <w:pageBreakBefore w:val="0"/>
        <w:kinsoku/>
        <w:wordWrap/>
        <w:overflowPunct/>
        <w:topLinePunct w:val="0"/>
        <w:autoSpaceDE/>
        <w:autoSpaceDN/>
        <w:bidi w:val="0"/>
        <w:adjustRightInd/>
        <w:snapToGrid/>
        <w:spacing w:line="560" w:lineRule="exact"/>
        <w:ind w:right="0" w:firstLine="0" w:firstLineChars="0"/>
        <w:contextualSpacing/>
        <w:jc w:val="both"/>
        <w:textAlignment w:val="auto"/>
        <w:rPr>
          <w:rFonts w:asciiTheme="minorEastAsia" w:hAnsiTheme="minorEastAsia" w:eastAsiaTheme="minorEastAsia"/>
          <w:color w:val="000000" w:themeColor="text1"/>
          <w:sz w:val="28"/>
          <w:szCs w:val="28"/>
          <w:highlight w:val="none"/>
          <w14:textFill>
            <w14:solidFill>
              <w14:schemeClr w14:val="tx1"/>
            </w14:solidFill>
          </w14:textFill>
        </w:rPr>
      </w:pPr>
    </w:p>
    <w:p w14:paraId="56B8380C">
      <w:pPr>
        <w:keepNext w:val="0"/>
        <w:keepLines w:val="0"/>
        <w:pageBreakBefore w:val="0"/>
        <w:kinsoku/>
        <w:wordWrap/>
        <w:overflowPunct/>
        <w:topLinePunct w:val="0"/>
        <w:autoSpaceDE/>
        <w:autoSpaceDN/>
        <w:bidi w:val="0"/>
        <w:adjustRightInd/>
        <w:snapToGrid/>
        <w:spacing w:line="560" w:lineRule="exact"/>
        <w:ind w:right="0" w:firstLine="0" w:firstLineChars="0"/>
        <w:jc w:val="both"/>
        <w:textAlignment w:val="auto"/>
        <w:rPr>
          <w:rFonts w:hint="eastAsia" w:cs="仿宋_GB2312" w:asciiTheme="minorEastAsia" w:hAnsiTheme="minorEastAsia" w:eastAsiaTheme="minorEastAsia"/>
          <w:b/>
          <w:color w:val="000000" w:themeColor="text1"/>
          <w:kern w:val="0"/>
          <w:sz w:val="28"/>
          <w:szCs w:val="28"/>
          <w:highlight w:val="none"/>
          <w14:textFill>
            <w14:solidFill>
              <w14:schemeClr w14:val="tx1"/>
            </w14:solidFill>
          </w14:textFill>
        </w:rPr>
      </w:pPr>
    </w:p>
    <w:p w14:paraId="3EEDA393">
      <w:pPr>
        <w:keepNext w:val="0"/>
        <w:keepLines w:val="0"/>
        <w:pageBreakBefore w:val="0"/>
        <w:kinsoku/>
        <w:wordWrap/>
        <w:overflowPunct/>
        <w:topLinePunct w:val="0"/>
        <w:autoSpaceDE/>
        <w:autoSpaceDN/>
        <w:bidi w:val="0"/>
        <w:adjustRightInd/>
        <w:snapToGrid/>
        <w:spacing w:line="560" w:lineRule="exact"/>
        <w:ind w:right="0" w:firstLine="0" w:firstLineChars="0"/>
        <w:jc w:val="both"/>
        <w:textAlignment w:val="auto"/>
        <w:rPr>
          <w:rFonts w:hint="eastAsia" w:cs="仿宋_GB2312" w:asciiTheme="minorEastAsia" w:hAnsiTheme="minorEastAsia" w:eastAsiaTheme="minorEastAsia"/>
          <w:b/>
          <w:color w:val="000000" w:themeColor="text1"/>
          <w:kern w:val="0"/>
          <w:sz w:val="28"/>
          <w:szCs w:val="28"/>
          <w:highlight w:val="none"/>
          <w14:textFill>
            <w14:solidFill>
              <w14:schemeClr w14:val="tx1"/>
            </w14:solidFill>
          </w14:textFill>
        </w:rPr>
      </w:pPr>
    </w:p>
    <w:p w14:paraId="49CFA29D">
      <w:pPr>
        <w:keepNext w:val="0"/>
        <w:keepLines w:val="0"/>
        <w:pageBreakBefore w:val="0"/>
        <w:kinsoku/>
        <w:wordWrap/>
        <w:overflowPunct/>
        <w:topLinePunct w:val="0"/>
        <w:autoSpaceDE/>
        <w:autoSpaceDN/>
        <w:bidi w:val="0"/>
        <w:adjustRightInd/>
        <w:snapToGrid/>
        <w:spacing w:line="560" w:lineRule="exact"/>
        <w:ind w:right="0" w:firstLine="0" w:firstLineChars="0"/>
        <w:jc w:val="both"/>
        <w:textAlignment w:val="auto"/>
        <w:rPr>
          <w:rFonts w:hint="eastAsia" w:cs="仿宋_GB2312" w:asciiTheme="minorEastAsia" w:hAnsiTheme="minorEastAsia" w:eastAsiaTheme="minorEastAsia"/>
          <w:b/>
          <w:color w:val="000000" w:themeColor="text1"/>
          <w:kern w:val="0"/>
          <w:sz w:val="28"/>
          <w:szCs w:val="28"/>
          <w:highlight w:val="none"/>
          <w14:textFill>
            <w14:solidFill>
              <w14:schemeClr w14:val="tx1"/>
            </w14:solidFill>
          </w14:textFill>
        </w:rPr>
      </w:pPr>
    </w:p>
    <w:p w14:paraId="34428FDE">
      <w:pPr>
        <w:keepNext w:val="0"/>
        <w:keepLines w:val="0"/>
        <w:pageBreakBefore w:val="0"/>
        <w:kinsoku/>
        <w:wordWrap/>
        <w:overflowPunct/>
        <w:topLinePunct w:val="0"/>
        <w:autoSpaceDE/>
        <w:autoSpaceDN/>
        <w:bidi w:val="0"/>
        <w:adjustRightInd/>
        <w:snapToGrid/>
        <w:spacing w:line="560" w:lineRule="exact"/>
        <w:ind w:right="0" w:firstLine="0" w:firstLineChars="0"/>
        <w:jc w:val="both"/>
        <w:textAlignment w:val="auto"/>
        <w:rPr>
          <w:rFonts w:hint="eastAsia" w:cs="仿宋_GB2312" w:asciiTheme="minorEastAsia" w:hAnsiTheme="minorEastAsia" w:eastAsiaTheme="minorEastAsia"/>
          <w:b/>
          <w:color w:val="000000" w:themeColor="text1"/>
          <w:kern w:val="0"/>
          <w:sz w:val="28"/>
          <w:szCs w:val="28"/>
          <w:highlight w:val="none"/>
          <w14:textFill>
            <w14:solidFill>
              <w14:schemeClr w14:val="tx1"/>
            </w14:solidFill>
          </w14:textFill>
        </w:rPr>
      </w:pPr>
    </w:p>
    <w:p w14:paraId="540BD01A">
      <w:pPr>
        <w:keepNext w:val="0"/>
        <w:keepLines w:val="0"/>
        <w:pageBreakBefore w:val="0"/>
        <w:kinsoku/>
        <w:wordWrap/>
        <w:overflowPunct/>
        <w:topLinePunct w:val="0"/>
        <w:autoSpaceDE/>
        <w:autoSpaceDN/>
        <w:bidi w:val="0"/>
        <w:adjustRightInd/>
        <w:snapToGrid/>
        <w:spacing w:line="560" w:lineRule="exact"/>
        <w:ind w:right="0" w:firstLine="0" w:firstLineChars="0"/>
        <w:jc w:val="both"/>
        <w:textAlignment w:val="auto"/>
        <w:rPr>
          <w:rFonts w:cs="仿宋_GB2312" w:asciiTheme="minorEastAsia" w:hAnsiTheme="minorEastAsia" w:eastAsiaTheme="minorEastAsia"/>
          <w:b/>
          <w:color w:val="000000" w:themeColor="text1"/>
          <w:kern w:val="0"/>
          <w:sz w:val="28"/>
          <w:szCs w:val="28"/>
          <w:highlight w:val="none"/>
          <w14:textFill>
            <w14:solidFill>
              <w14:schemeClr w14:val="tx1"/>
            </w14:solidFill>
          </w14:textFill>
        </w:rPr>
      </w:pPr>
      <w:r>
        <w:rPr>
          <w:rFonts w:hint="eastAsia" w:cs="仿宋_GB2312" w:asciiTheme="minorEastAsia" w:hAnsiTheme="minorEastAsia" w:eastAsiaTheme="minorEastAsia"/>
          <w:b/>
          <w:color w:val="000000" w:themeColor="text1"/>
          <w:kern w:val="0"/>
          <w:sz w:val="28"/>
          <w:szCs w:val="28"/>
          <w:highlight w:val="none"/>
          <w14:textFill>
            <w14:solidFill>
              <w14:schemeClr w14:val="tx1"/>
            </w14:solidFill>
          </w14:textFill>
        </w:rPr>
        <w:t>六、</w:t>
      </w:r>
      <w:r>
        <w:rPr>
          <w:rFonts w:hint="eastAsia" w:ascii="宋体" w:hAnsi="宋体" w:eastAsia="宋体" w:cs="宋体"/>
          <w:b/>
          <w:bCs/>
          <w:i w:val="0"/>
          <w:caps w:val="0"/>
          <w:color w:val="000000" w:themeColor="text1"/>
          <w:spacing w:val="0"/>
          <w:kern w:val="2"/>
          <w:sz w:val="28"/>
          <w:szCs w:val="28"/>
          <w:highlight w:val="none"/>
          <w:lang w:val="en-US" w:eastAsia="zh-CN" w:bidi="ar-SA"/>
          <w14:textFill>
            <w14:solidFill>
              <w14:schemeClr w14:val="tx1"/>
            </w14:solidFill>
          </w14:textFill>
        </w:rPr>
        <w:t>法律、行政法规规定的其他条件。</w:t>
      </w:r>
    </w:p>
    <w:p w14:paraId="4FA83A36">
      <w:pPr>
        <w:pStyle w:val="13"/>
        <w:keepNext w:val="0"/>
        <w:keepLines w:val="0"/>
        <w:pageBreakBefore w:val="0"/>
        <w:widowControl w:val="0"/>
        <w:kinsoku/>
        <w:wordWrap/>
        <w:overflowPunct/>
        <w:topLinePunct w:val="0"/>
        <w:bidi w:val="0"/>
        <w:adjustRightInd/>
        <w:snapToGrid/>
        <w:spacing w:after="0" w:line="560" w:lineRule="exact"/>
        <w:jc w:val="center"/>
        <w:textAlignment w:val="auto"/>
        <w:rPr>
          <w:rFonts w:hint="eastAsia" w:ascii="宋体" w:hAnsi="宋体" w:eastAsia="宋体" w:cs="宋体"/>
          <w:color w:val="000000" w:themeColor="text1"/>
          <w:sz w:val="28"/>
          <w:szCs w:val="28"/>
          <w:highlight w:val="none"/>
          <w:lang w:eastAsia="zh-CN"/>
          <w14:textFill>
            <w14:solidFill>
              <w14:schemeClr w14:val="tx1"/>
            </w14:solidFill>
          </w14:textFill>
        </w:rPr>
      </w:pPr>
    </w:p>
    <w:p w14:paraId="1B0710C9">
      <w:pPr>
        <w:pStyle w:val="13"/>
        <w:keepNext w:val="0"/>
        <w:keepLines w:val="0"/>
        <w:pageBreakBefore w:val="0"/>
        <w:widowControl w:val="0"/>
        <w:kinsoku/>
        <w:wordWrap/>
        <w:overflowPunct/>
        <w:topLinePunct w:val="0"/>
        <w:bidi w:val="0"/>
        <w:adjustRightInd/>
        <w:snapToGrid/>
        <w:spacing w:after="0" w:line="560" w:lineRule="exact"/>
        <w:jc w:val="center"/>
        <w:textAlignment w:val="auto"/>
        <w:rPr>
          <w:rFonts w:hint="eastAsia" w:ascii="宋体" w:hAnsi="宋体" w:eastAsia="宋体" w:cs="宋体"/>
          <w:color w:val="000000" w:themeColor="text1"/>
          <w:sz w:val="28"/>
          <w:szCs w:val="28"/>
          <w:highlight w:val="none"/>
          <w:lang w:eastAsia="zh-CN"/>
          <w14:textFill>
            <w14:solidFill>
              <w14:schemeClr w14:val="tx1"/>
            </w14:solidFill>
          </w14:textFill>
        </w:rPr>
      </w:pPr>
      <w:r>
        <w:rPr>
          <w:rFonts w:hint="eastAsia" w:ascii="宋体" w:hAnsi="宋体" w:eastAsia="宋体" w:cs="宋体"/>
          <w:color w:val="000000" w:themeColor="text1"/>
          <w:sz w:val="28"/>
          <w:szCs w:val="28"/>
          <w:highlight w:val="none"/>
          <w:lang w:eastAsia="zh-CN"/>
          <w14:textFill>
            <w14:solidFill>
              <w14:schemeClr w14:val="tx1"/>
            </w14:solidFill>
          </w14:textFill>
        </w:rPr>
        <w:t>信用信誉承诺函</w:t>
      </w:r>
    </w:p>
    <w:p w14:paraId="289F0997">
      <w:pPr>
        <w:pStyle w:val="13"/>
        <w:keepNext w:val="0"/>
        <w:keepLines w:val="0"/>
        <w:pageBreakBefore w:val="0"/>
        <w:widowControl w:val="0"/>
        <w:kinsoku/>
        <w:wordWrap/>
        <w:overflowPunct/>
        <w:topLinePunct w:val="0"/>
        <w:bidi w:val="0"/>
        <w:adjustRightInd/>
        <w:snapToGrid/>
        <w:spacing w:after="0" w:line="560" w:lineRule="exact"/>
        <w:textAlignment w:val="auto"/>
        <w:rPr>
          <w:rFonts w:hint="eastAsia" w:ascii="宋体" w:hAnsi="宋体" w:eastAsia="宋体" w:cs="宋体"/>
          <w:color w:val="000000" w:themeColor="text1"/>
          <w:kern w:val="0"/>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致：</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sz w:val="28"/>
          <w:szCs w:val="28"/>
          <w:highlight w:val="none"/>
          <w:u w:val="single"/>
          <w:lang w:val="en-US" w:eastAsia="zh-CN"/>
          <w14:textFill>
            <w14:solidFill>
              <w14:schemeClr w14:val="tx1"/>
            </w14:solidFill>
          </w14:textFill>
        </w:rPr>
        <w:t xml:space="preserve">    </w:t>
      </w:r>
      <w:r>
        <w:rPr>
          <w:rFonts w:hint="eastAsia" w:ascii="宋体" w:hAnsi="宋体" w:cs="宋体"/>
          <w:color w:val="000000" w:themeColor="text1"/>
          <w:sz w:val="28"/>
          <w:szCs w:val="28"/>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8"/>
          <w:szCs w:val="28"/>
          <w:highlight w:val="none"/>
          <w:u w:val="single"/>
          <w14:textFill>
            <w14:solidFill>
              <w14:schemeClr w14:val="tx1"/>
            </w14:solidFill>
          </w14:textFill>
        </w:rPr>
        <w:t xml:space="preserve">（采购人名称） </w:t>
      </w:r>
    </w:p>
    <w:p w14:paraId="5AA7DC9C">
      <w:pPr>
        <w:keepNext w:val="0"/>
        <w:keepLines w:val="0"/>
        <w:pageBreakBefore w:val="0"/>
        <w:widowControl w:val="0"/>
        <w:kinsoku/>
        <w:wordWrap/>
        <w:overflowPunct/>
        <w:topLinePunct w:val="0"/>
        <w:bidi w:val="0"/>
        <w:adjustRightInd/>
        <w:snapToGrid/>
        <w:spacing w:line="560" w:lineRule="exact"/>
        <w:ind w:left="0" w:leftChars="0" w:firstLine="560" w:firstLineChars="200"/>
        <w:textAlignment w:val="auto"/>
        <w:rPr>
          <w:rFonts w:hint="eastAsia" w:ascii="宋体" w:hAnsi="宋体" w:eastAsia="宋体" w:cs="宋体"/>
          <w:color w:val="000000" w:themeColor="text1"/>
          <w:kern w:val="0"/>
          <w:sz w:val="28"/>
          <w:szCs w:val="28"/>
          <w:highlight w:val="none"/>
          <w:lang w:eastAsia="zh-CN"/>
          <w14:textFill>
            <w14:solidFill>
              <w14:schemeClr w14:val="tx1"/>
            </w14:solidFill>
          </w14:textFill>
        </w:rPr>
      </w:pPr>
      <w:r>
        <w:rPr>
          <w:rFonts w:hint="eastAsia" w:ascii="宋体" w:hAnsi="宋体" w:eastAsia="宋体" w:cs="宋体"/>
          <w:color w:val="000000" w:themeColor="text1"/>
          <w:kern w:val="0"/>
          <w:sz w:val="28"/>
          <w:szCs w:val="28"/>
          <w:highlight w:val="none"/>
          <w14:textFill>
            <w14:solidFill>
              <w14:schemeClr w14:val="tx1"/>
            </w14:solidFill>
          </w14:textFill>
        </w:rPr>
        <w:t>在</w:t>
      </w:r>
      <w:r>
        <w:rPr>
          <w:rFonts w:hint="eastAsia" w:ascii="宋体" w:hAnsi="宋体" w:eastAsia="宋体" w:cs="宋体"/>
          <w:color w:val="000000" w:themeColor="text1"/>
          <w:kern w:val="0"/>
          <w:sz w:val="28"/>
          <w:szCs w:val="28"/>
          <w:highlight w:val="none"/>
          <w:u w:val="single"/>
          <w:lang w:val="en-US" w:eastAsia="zh-CN"/>
          <w14:textFill>
            <w14:solidFill>
              <w14:schemeClr w14:val="tx1"/>
            </w14:solidFill>
          </w14:textFill>
        </w:rPr>
        <w:t xml:space="preserve">            </w:t>
      </w:r>
      <w:r>
        <w:rPr>
          <w:rFonts w:hint="eastAsia" w:ascii="宋体" w:hAnsi="宋体" w:cs="宋体"/>
          <w:color w:val="000000" w:themeColor="text1"/>
          <w:kern w:val="0"/>
          <w:sz w:val="28"/>
          <w:szCs w:val="28"/>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8"/>
          <w:szCs w:val="28"/>
          <w:highlight w:val="none"/>
          <w:u w:val="single"/>
          <w14:textFill>
            <w14:solidFill>
              <w14:schemeClr w14:val="tx1"/>
            </w14:solidFill>
          </w14:textFill>
        </w:rPr>
        <w:t>项目名称</w:t>
      </w:r>
      <w:r>
        <w:rPr>
          <w:rFonts w:hint="eastAsia" w:ascii="宋体" w:hAnsi="宋体" w:eastAsia="宋体" w:cs="宋体"/>
          <w:color w:val="000000" w:themeColor="text1"/>
          <w:kern w:val="0"/>
          <w:sz w:val="28"/>
          <w:szCs w:val="28"/>
          <w:highlight w:val="none"/>
          <w:u w:val="single"/>
          <w:lang w:eastAsia="zh-CN"/>
          <w14:textFill>
            <w14:solidFill>
              <w14:schemeClr w14:val="tx1"/>
            </w14:solidFill>
          </w14:textFill>
        </w:rPr>
        <w:t>、项目编号</w:t>
      </w:r>
      <w:r>
        <w:rPr>
          <w:rFonts w:hint="eastAsia" w:ascii="宋体" w:hAnsi="宋体" w:cs="宋体"/>
          <w:color w:val="000000" w:themeColor="text1"/>
          <w:kern w:val="0"/>
          <w:sz w:val="28"/>
          <w:szCs w:val="28"/>
          <w:highlight w:val="none"/>
          <w:u w:val="single"/>
          <w:lang w:eastAsia="zh-CN"/>
          <w14:textFill>
            <w14:solidFill>
              <w14:schemeClr w14:val="tx1"/>
            </w14:solidFill>
          </w14:textFill>
        </w:rPr>
        <w:t>、标项名称</w:t>
      </w:r>
      <w:r>
        <w:rPr>
          <w:rFonts w:hint="eastAsia" w:ascii="宋体" w:hAnsi="宋体" w:eastAsia="宋体" w:cs="宋体"/>
          <w:color w:val="000000" w:themeColor="text1"/>
          <w:kern w:val="0"/>
          <w:sz w:val="28"/>
          <w:szCs w:val="28"/>
          <w:highlight w:val="none"/>
          <w14:textFill>
            <w14:solidFill>
              <w14:schemeClr w14:val="tx1"/>
            </w14:solidFill>
          </w14:textFill>
        </w:rPr>
        <w:t>，我公司</w:t>
      </w:r>
      <w:r>
        <w:rPr>
          <w:rFonts w:hint="eastAsia" w:ascii="宋体" w:hAnsi="宋体" w:eastAsia="宋体" w:cs="宋体"/>
          <w:color w:val="000000" w:themeColor="text1"/>
          <w:kern w:val="0"/>
          <w:sz w:val="28"/>
          <w:szCs w:val="28"/>
          <w:highlight w:val="none"/>
          <w:lang w:eastAsia="zh-CN"/>
          <w14:textFill>
            <w14:solidFill>
              <w14:schemeClr w14:val="tx1"/>
            </w14:solidFill>
          </w14:textFill>
        </w:rPr>
        <w:t>承诺，</w:t>
      </w:r>
      <w:r>
        <w:rPr>
          <w:rFonts w:hint="eastAsia" w:ascii="宋体" w:hAnsi="宋体" w:eastAsia="宋体" w:cs="宋体"/>
          <w:color w:val="000000" w:themeColor="text1"/>
          <w:kern w:val="0"/>
          <w:sz w:val="28"/>
          <w:szCs w:val="28"/>
          <w:highlight w:val="none"/>
          <w14:textFill>
            <w14:solidFill>
              <w14:schemeClr w14:val="tx1"/>
            </w14:solidFill>
          </w14:textFill>
        </w:rPr>
        <w:t>在“信用中国”网站</w:t>
      </w:r>
      <w:r>
        <w:rPr>
          <w:rFonts w:hint="eastAsia" w:ascii="宋体" w:hAnsi="宋体" w:eastAsia="宋体" w:cs="宋体"/>
          <w:color w:val="000000" w:themeColor="text1"/>
          <w:kern w:val="0"/>
          <w:sz w:val="28"/>
          <w:szCs w:val="28"/>
          <w:highlight w:val="none"/>
          <w:lang w:eastAsia="zh-CN"/>
          <w14:textFill>
            <w14:solidFill>
              <w14:schemeClr w14:val="tx1"/>
            </w14:solidFill>
          </w14:textFill>
        </w:rPr>
        <w:t>未</w:t>
      </w:r>
      <w:r>
        <w:rPr>
          <w:rFonts w:hint="eastAsia" w:ascii="宋体" w:hAnsi="宋体" w:eastAsia="宋体" w:cs="宋体"/>
          <w:color w:val="000000" w:themeColor="text1"/>
          <w:kern w:val="0"/>
          <w:sz w:val="28"/>
          <w:szCs w:val="28"/>
          <w:highlight w:val="none"/>
          <w14:textFill>
            <w14:solidFill>
              <w14:schemeClr w14:val="tx1"/>
            </w14:solidFill>
          </w14:textFill>
        </w:rPr>
        <w:t>被列入失信被执行人</w:t>
      </w:r>
      <w:r>
        <w:rPr>
          <w:rFonts w:hint="eastAsia" w:ascii="宋体" w:hAnsi="宋体" w:eastAsia="宋体" w:cs="宋体"/>
          <w:color w:val="000000" w:themeColor="text1"/>
          <w:kern w:val="0"/>
          <w:sz w:val="28"/>
          <w:szCs w:val="28"/>
          <w:highlight w:val="none"/>
          <w:lang w:eastAsia="zh-CN"/>
          <w14:textFill>
            <w14:solidFill>
              <w14:schemeClr w14:val="tx1"/>
            </w14:solidFill>
          </w14:textFill>
        </w:rPr>
        <w:t>和</w:t>
      </w:r>
      <w:r>
        <w:rPr>
          <w:rFonts w:hint="eastAsia" w:ascii="宋体" w:hAnsi="宋体" w:eastAsia="宋体" w:cs="宋体"/>
          <w:color w:val="000000" w:themeColor="text1"/>
          <w:kern w:val="0"/>
          <w:sz w:val="28"/>
          <w:szCs w:val="28"/>
          <w:highlight w:val="none"/>
          <w14:textFill>
            <w14:solidFill>
              <w14:schemeClr w14:val="tx1"/>
            </w14:solidFill>
          </w14:textFill>
        </w:rPr>
        <w:t>重大税收违法失信主体、</w:t>
      </w:r>
      <w:r>
        <w:rPr>
          <w:rFonts w:hint="eastAsia" w:ascii="宋体" w:hAnsi="宋体" w:eastAsia="宋体" w:cs="宋体"/>
          <w:color w:val="000000" w:themeColor="text1"/>
          <w:kern w:val="0"/>
          <w:sz w:val="28"/>
          <w:szCs w:val="28"/>
          <w:highlight w:val="none"/>
          <w:lang w:eastAsia="zh-CN"/>
          <w14:textFill>
            <w14:solidFill>
              <w14:schemeClr w14:val="tx1"/>
            </w14:solidFill>
          </w14:textFill>
        </w:rPr>
        <w:t>在</w:t>
      </w:r>
      <w:r>
        <w:rPr>
          <w:rFonts w:hint="eastAsia" w:ascii="宋体" w:hAnsi="宋体" w:eastAsia="宋体" w:cs="宋体"/>
          <w:color w:val="000000" w:themeColor="text1"/>
          <w:kern w:val="0"/>
          <w:sz w:val="28"/>
          <w:szCs w:val="28"/>
          <w:highlight w:val="none"/>
          <w14:textFill>
            <w14:solidFill>
              <w14:schemeClr w14:val="tx1"/>
            </w14:solidFill>
          </w14:textFill>
        </w:rPr>
        <w:t>中国政府采购网</w:t>
      </w:r>
      <w:r>
        <w:rPr>
          <w:rFonts w:hint="eastAsia" w:ascii="宋体" w:hAnsi="宋体" w:eastAsia="宋体" w:cs="宋体"/>
          <w:color w:val="000000" w:themeColor="text1"/>
          <w:kern w:val="0"/>
          <w:sz w:val="28"/>
          <w:szCs w:val="28"/>
          <w:highlight w:val="none"/>
          <w:lang w:eastAsia="zh-CN"/>
          <w14:textFill>
            <w14:solidFill>
              <w14:schemeClr w14:val="tx1"/>
            </w14:solidFill>
          </w14:textFill>
        </w:rPr>
        <w:t>中未被列入</w:t>
      </w:r>
      <w:r>
        <w:rPr>
          <w:rFonts w:hint="eastAsia" w:ascii="宋体" w:hAnsi="宋体" w:eastAsia="宋体" w:cs="宋体"/>
          <w:color w:val="000000" w:themeColor="text1"/>
          <w:kern w:val="0"/>
          <w:sz w:val="28"/>
          <w:szCs w:val="28"/>
          <w:highlight w:val="none"/>
          <w14:textFill>
            <w14:solidFill>
              <w14:schemeClr w14:val="tx1"/>
            </w14:solidFill>
          </w14:textFill>
        </w:rPr>
        <w:t>严重违法失信行为记录名单的（尚在处罚期内的）</w:t>
      </w:r>
      <w:r>
        <w:rPr>
          <w:rFonts w:hint="eastAsia" w:ascii="宋体" w:hAnsi="宋体" w:eastAsia="宋体" w:cs="宋体"/>
          <w:color w:val="000000" w:themeColor="text1"/>
          <w:kern w:val="0"/>
          <w:sz w:val="28"/>
          <w:szCs w:val="28"/>
          <w:highlight w:val="none"/>
          <w:lang w:eastAsia="zh-CN"/>
          <w14:textFill>
            <w14:solidFill>
              <w14:schemeClr w14:val="tx1"/>
            </w14:solidFill>
          </w14:textFill>
        </w:rPr>
        <w:t>。</w:t>
      </w:r>
    </w:p>
    <w:p w14:paraId="5314E999">
      <w:pPr>
        <w:keepNext w:val="0"/>
        <w:keepLines w:val="0"/>
        <w:pageBreakBefore w:val="0"/>
        <w:widowControl w:val="0"/>
        <w:kinsoku/>
        <w:wordWrap/>
        <w:overflowPunct/>
        <w:topLinePunct w:val="0"/>
        <w:bidi w:val="0"/>
        <w:adjustRightInd/>
        <w:snapToGrid/>
        <w:spacing w:line="560" w:lineRule="exact"/>
        <w:ind w:left="0" w:leftChars="0" w:firstLine="560" w:firstLineChars="200"/>
        <w:textAlignment w:val="auto"/>
        <w:rPr>
          <w:rFonts w:hint="eastAsia" w:ascii="宋体" w:hAnsi="宋体" w:eastAsia="宋体" w:cs="宋体"/>
          <w:color w:val="000000" w:themeColor="text1"/>
          <w:kern w:val="0"/>
          <w:sz w:val="28"/>
          <w:szCs w:val="28"/>
          <w:highlight w:val="none"/>
          <w14:textFill>
            <w14:solidFill>
              <w14:schemeClr w14:val="tx1"/>
            </w14:solidFill>
          </w14:textFill>
        </w:rPr>
      </w:pPr>
      <w:r>
        <w:rPr>
          <w:rFonts w:hint="eastAsia" w:ascii="宋体" w:hAnsi="宋体" w:eastAsia="宋体" w:cs="宋体"/>
          <w:color w:val="000000" w:themeColor="text1"/>
          <w:kern w:val="0"/>
          <w:sz w:val="28"/>
          <w:szCs w:val="28"/>
          <w:highlight w:val="none"/>
          <w14:textFill>
            <w14:solidFill>
              <w14:schemeClr w14:val="tx1"/>
            </w14:solidFill>
          </w14:textFill>
        </w:rPr>
        <w:t>本公司对上述承诺的真实性负责。如有虚假，我公司同意</w:t>
      </w:r>
      <w:r>
        <w:rPr>
          <w:rFonts w:hint="eastAsia" w:ascii="宋体" w:hAnsi="宋体" w:eastAsia="宋体" w:cs="宋体"/>
          <w:color w:val="000000" w:themeColor="text1"/>
          <w:kern w:val="0"/>
          <w:sz w:val="28"/>
          <w:szCs w:val="28"/>
          <w:highlight w:val="none"/>
          <w:lang w:val="en-US" w:eastAsia="zh-CN"/>
          <w14:textFill>
            <w14:solidFill>
              <w14:schemeClr w14:val="tx1"/>
            </w14:solidFill>
          </w14:textFill>
        </w:rPr>
        <w:t>承担一切相关的后果，并</w:t>
      </w:r>
      <w:r>
        <w:rPr>
          <w:rFonts w:hint="eastAsia" w:ascii="宋体" w:hAnsi="宋体" w:eastAsia="宋体" w:cs="宋体"/>
          <w:color w:val="000000" w:themeColor="text1"/>
          <w:kern w:val="0"/>
          <w:sz w:val="28"/>
          <w:szCs w:val="28"/>
          <w:highlight w:val="none"/>
          <w14:textFill>
            <w14:solidFill>
              <w14:schemeClr w14:val="tx1"/>
            </w14:solidFill>
          </w14:textFill>
        </w:rPr>
        <w:t>依法承担相应法律责任。</w:t>
      </w:r>
    </w:p>
    <w:p w14:paraId="6404B00B">
      <w:pPr>
        <w:keepNext w:val="0"/>
        <w:keepLines w:val="0"/>
        <w:pageBreakBefore w:val="0"/>
        <w:widowControl w:val="0"/>
        <w:kinsoku/>
        <w:wordWrap/>
        <w:overflowPunct/>
        <w:topLinePunct w:val="0"/>
        <w:bidi w:val="0"/>
        <w:adjustRightInd/>
        <w:snapToGrid/>
        <w:spacing w:line="560" w:lineRule="exact"/>
        <w:ind w:left="0" w:leftChars="0" w:firstLine="560" w:firstLineChars="200"/>
        <w:textAlignment w:val="auto"/>
        <w:rPr>
          <w:rFonts w:hint="eastAsia" w:ascii="宋体" w:hAnsi="宋体" w:eastAsia="宋体" w:cs="宋体"/>
          <w:color w:val="000000" w:themeColor="text1"/>
          <w:sz w:val="28"/>
          <w:szCs w:val="28"/>
          <w:highlight w:val="none"/>
          <w14:textFill>
            <w14:solidFill>
              <w14:schemeClr w14:val="tx1"/>
            </w14:solidFill>
          </w14:textFill>
        </w:rPr>
      </w:pPr>
    </w:p>
    <w:p w14:paraId="275A63C5">
      <w:pPr>
        <w:keepNext w:val="0"/>
        <w:keepLines w:val="0"/>
        <w:pageBreakBefore w:val="0"/>
        <w:widowControl w:val="0"/>
        <w:kinsoku/>
        <w:wordWrap/>
        <w:overflowPunct/>
        <w:topLinePunct w:val="0"/>
        <w:bidi w:val="0"/>
        <w:adjustRightInd/>
        <w:snapToGrid/>
        <w:spacing w:line="560" w:lineRule="exact"/>
        <w:ind w:left="0" w:leftChars="0" w:firstLine="560" w:firstLineChars="200"/>
        <w:textAlignment w:val="auto"/>
        <w:rPr>
          <w:rFonts w:hint="eastAsia" w:ascii="宋体" w:hAnsi="宋体" w:eastAsia="宋体" w:cs="宋体"/>
          <w:color w:val="000000" w:themeColor="text1"/>
          <w:sz w:val="28"/>
          <w:szCs w:val="28"/>
          <w:highlight w:val="none"/>
          <w14:textFill>
            <w14:solidFill>
              <w14:schemeClr w14:val="tx1"/>
            </w14:solidFill>
          </w14:textFill>
        </w:rPr>
      </w:pPr>
    </w:p>
    <w:p w14:paraId="71AD2B29">
      <w:pPr>
        <w:keepNext w:val="0"/>
        <w:keepLines w:val="0"/>
        <w:pageBreakBefore w:val="0"/>
        <w:widowControl w:val="0"/>
        <w:kinsoku/>
        <w:wordWrap/>
        <w:overflowPunct/>
        <w:topLinePunct w:val="0"/>
        <w:autoSpaceDE w:val="0"/>
        <w:autoSpaceDN w:val="0"/>
        <w:bidi w:val="0"/>
        <w:adjustRightInd/>
        <w:snapToGrid/>
        <w:spacing w:line="560" w:lineRule="exact"/>
        <w:ind w:firstLine="2800" w:firstLineChars="1000"/>
        <w:jc w:val="both"/>
        <w:textAlignment w:val="auto"/>
        <w:rPr>
          <w:rFonts w:hint="eastAsia" w:ascii="宋体" w:hAnsi="宋体" w:eastAsia="宋体" w:cs="宋体"/>
          <w:color w:val="000000" w:themeColor="text1"/>
          <w:kern w:val="0"/>
          <w:sz w:val="28"/>
          <w:szCs w:val="28"/>
          <w:highlight w:val="none"/>
          <w:lang w:val="en-US" w:eastAsia="zh-CN"/>
          <w14:textFill>
            <w14:solidFill>
              <w14:schemeClr w14:val="tx1"/>
            </w14:solidFill>
          </w14:textFill>
        </w:rPr>
      </w:pPr>
      <w:r>
        <w:rPr>
          <w:rFonts w:hint="eastAsia" w:ascii="宋体" w:hAnsi="宋体" w:eastAsia="宋体" w:cs="宋体"/>
          <w:color w:val="000000" w:themeColor="text1"/>
          <w:kern w:val="0"/>
          <w:sz w:val="28"/>
          <w:szCs w:val="28"/>
          <w:highlight w:val="none"/>
          <w14:textFill>
            <w14:solidFill>
              <w14:schemeClr w14:val="tx1"/>
            </w14:solidFill>
          </w14:textFill>
        </w:rPr>
        <w:t>供应商名称（电子公章）：</w:t>
      </w:r>
      <w:r>
        <w:rPr>
          <w:rFonts w:hint="eastAsia" w:ascii="宋体" w:hAnsi="宋体" w:eastAsia="宋体" w:cs="宋体"/>
          <w:color w:val="000000" w:themeColor="text1"/>
          <w:kern w:val="0"/>
          <w:sz w:val="28"/>
          <w:szCs w:val="28"/>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8"/>
          <w:szCs w:val="28"/>
          <w:highlight w:val="none"/>
          <w:lang w:val="en-US" w:eastAsia="zh-CN"/>
          <w14:textFill>
            <w14:solidFill>
              <w14:schemeClr w14:val="tx1"/>
            </w14:solidFill>
          </w14:textFill>
        </w:rPr>
        <w:t xml:space="preserve">                               </w:t>
      </w:r>
    </w:p>
    <w:p w14:paraId="7D4AC074">
      <w:pPr>
        <w:keepNext w:val="0"/>
        <w:keepLines w:val="0"/>
        <w:pageBreakBefore w:val="0"/>
        <w:widowControl/>
        <w:kinsoku/>
        <w:wordWrap/>
        <w:overflowPunct/>
        <w:topLinePunct w:val="0"/>
        <w:autoSpaceDE/>
        <w:autoSpaceDN/>
        <w:bidi w:val="0"/>
        <w:adjustRightInd/>
        <w:snapToGrid/>
        <w:spacing w:line="560" w:lineRule="exact"/>
        <w:ind w:right="0" w:firstLine="0" w:firstLineChars="0"/>
        <w:jc w:val="right"/>
        <w:textAlignment w:val="auto"/>
        <w:rPr>
          <w:rFonts w:cs="仿宋_GB2312" w:asciiTheme="minorEastAsia" w:hAnsiTheme="minorEastAsia" w:eastAsiaTheme="minorEastAsia"/>
          <w:color w:val="000000" w:themeColor="text1"/>
          <w:kern w:val="0"/>
          <w:sz w:val="28"/>
          <w:szCs w:val="28"/>
          <w:highlight w:val="none"/>
          <w14:textFill>
            <w14:solidFill>
              <w14:schemeClr w14:val="tx1"/>
            </w14:solidFill>
          </w14:textFill>
        </w:rPr>
      </w:pPr>
      <w:r>
        <w:rPr>
          <w:rFonts w:hint="eastAsia" w:ascii="宋体" w:hAnsi="宋体" w:eastAsia="宋体" w:cs="宋体"/>
          <w:color w:val="000000" w:themeColor="text1"/>
          <w:kern w:val="0"/>
          <w:sz w:val="28"/>
          <w:szCs w:val="28"/>
          <w:highlight w:val="none"/>
          <w:lang w:val="en-US" w:eastAsia="zh-CN"/>
          <w14:textFill>
            <w14:solidFill>
              <w14:schemeClr w14:val="tx1"/>
            </w14:solidFill>
          </w14:textFill>
        </w:rPr>
        <w:t xml:space="preserve">    </w:t>
      </w:r>
      <w:r>
        <w:rPr>
          <w:rFonts w:hint="eastAsia" w:ascii="宋体" w:hAnsi="宋体" w:eastAsia="宋体" w:cs="宋体"/>
          <w:color w:val="000000" w:themeColor="text1"/>
          <w:kern w:val="0"/>
          <w:sz w:val="28"/>
          <w:szCs w:val="28"/>
          <w:highlight w:val="none"/>
          <w:lang w:val="zh-CN"/>
          <w14:textFill>
            <w14:solidFill>
              <w14:schemeClr w14:val="tx1"/>
            </w14:solidFill>
          </w14:textFill>
        </w:rPr>
        <w:t>日</w:t>
      </w:r>
      <w:r>
        <w:rPr>
          <w:rFonts w:hint="eastAsia" w:ascii="宋体" w:hAnsi="宋体" w:eastAsia="宋体" w:cs="宋体"/>
          <w:color w:val="000000" w:themeColor="text1"/>
          <w:kern w:val="0"/>
          <w:sz w:val="28"/>
          <w:szCs w:val="28"/>
          <w:highlight w:val="none"/>
          <w:lang w:val="en-US" w:eastAsia="zh-CN"/>
          <w14:textFill>
            <w14:solidFill>
              <w14:schemeClr w14:val="tx1"/>
            </w14:solidFill>
          </w14:textFill>
        </w:rPr>
        <w:t xml:space="preserve">     </w:t>
      </w:r>
      <w:r>
        <w:rPr>
          <w:rFonts w:hint="eastAsia" w:ascii="宋体" w:hAnsi="宋体" w:eastAsia="宋体" w:cs="宋体"/>
          <w:color w:val="000000" w:themeColor="text1"/>
          <w:kern w:val="0"/>
          <w:sz w:val="28"/>
          <w:szCs w:val="28"/>
          <w:highlight w:val="none"/>
          <w:lang w:val="zh-CN"/>
          <w14:textFill>
            <w14:solidFill>
              <w14:schemeClr w14:val="tx1"/>
            </w14:solidFill>
          </w14:textFill>
        </w:rPr>
        <w:t>期：</w:t>
      </w:r>
      <w:r>
        <w:rPr>
          <w:rFonts w:hint="eastAsia" w:ascii="宋体" w:hAnsi="宋体" w:eastAsia="宋体" w:cs="宋体"/>
          <w:color w:val="000000" w:themeColor="text1"/>
          <w:kern w:val="0"/>
          <w:sz w:val="28"/>
          <w:szCs w:val="28"/>
          <w:highlight w:val="none"/>
          <w:u w:val="single"/>
          <w:lang w:val="zh-CN"/>
          <w14:textFill>
            <w14:solidFill>
              <w14:schemeClr w14:val="tx1"/>
            </w14:solidFill>
          </w14:textFill>
        </w:rPr>
        <w:t xml:space="preserve">  </w:t>
      </w:r>
      <w:r>
        <w:rPr>
          <w:rFonts w:hint="eastAsia" w:ascii="宋体" w:hAnsi="宋体" w:eastAsia="宋体" w:cs="宋体"/>
          <w:color w:val="000000" w:themeColor="text1"/>
          <w:kern w:val="0"/>
          <w:sz w:val="28"/>
          <w:szCs w:val="28"/>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8"/>
          <w:szCs w:val="28"/>
          <w:highlight w:val="none"/>
          <w:lang w:val="zh-CN"/>
          <w14:textFill>
            <w14:solidFill>
              <w14:schemeClr w14:val="tx1"/>
            </w14:solidFill>
          </w14:textFill>
        </w:rPr>
        <w:t>年</w:t>
      </w:r>
      <w:r>
        <w:rPr>
          <w:rFonts w:hint="eastAsia" w:ascii="宋体" w:hAnsi="宋体" w:eastAsia="宋体" w:cs="宋体"/>
          <w:color w:val="000000" w:themeColor="text1"/>
          <w:kern w:val="0"/>
          <w:sz w:val="28"/>
          <w:szCs w:val="28"/>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8"/>
          <w:szCs w:val="28"/>
          <w:highlight w:val="none"/>
          <w:u w:val="single"/>
          <w:lang w:val="zh-CN"/>
          <w14:textFill>
            <w14:solidFill>
              <w14:schemeClr w14:val="tx1"/>
            </w14:solidFill>
          </w14:textFill>
        </w:rPr>
        <w:t xml:space="preserve"> </w:t>
      </w:r>
      <w:r>
        <w:rPr>
          <w:rFonts w:hint="eastAsia" w:ascii="宋体" w:hAnsi="宋体" w:eastAsia="宋体" w:cs="宋体"/>
          <w:color w:val="000000" w:themeColor="text1"/>
          <w:kern w:val="0"/>
          <w:sz w:val="28"/>
          <w:szCs w:val="28"/>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8"/>
          <w:szCs w:val="28"/>
          <w:highlight w:val="none"/>
          <w:u w:val="single"/>
          <w:lang w:val="zh-CN"/>
          <w14:textFill>
            <w14:solidFill>
              <w14:schemeClr w14:val="tx1"/>
            </w14:solidFill>
          </w14:textFill>
        </w:rPr>
        <w:t xml:space="preserve"> </w:t>
      </w:r>
      <w:r>
        <w:rPr>
          <w:rFonts w:hint="eastAsia" w:ascii="宋体" w:hAnsi="宋体" w:eastAsia="宋体" w:cs="宋体"/>
          <w:color w:val="000000" w:themeColor="text1"/>
          <w:kern w:val="0"/>
          <w:sz w:val="28"/>
          <w:szCs w:val="28"/>
          <w:highlight w:val="none"/>
          <w:lang w:val="zh-CN"/>
          <w14:textFill>
            <w14:solidFill>
              <w14:schemeClr w14:val="tx1"/>
            </w14:solidFill>
          </w14:textFill>
        </w:rPr>
        <w:t>月</w:t>
      </w:r>
      <w:r>
        <w:rPr>
          <w:rFonts w:hint="eastAsia" w:ascii="宋体" w:hAnsi="宋体" w:eastAsia="宋体" w:cs="宋体"/>
          <w:color w:val="000000" w:themeColor="text1"/>
          <w:kern w:val="0"/>
          <w:sz w:val="28"/>
          <w:szCs w:val="28"/>
          <w:highlight w:val="none"/>
          <w:u w:val="single"/>
          <w:lang w:val="zh-CN"/>
          <w14:textFill>
            <w14:solidFill>
              <w14:schemeClr w14:val="tx1"/>
            </w14:solidFill>
          </w14:textFill>
        </w:rPr>
        <w:t xml:space="preserve"> </w:t>
      </w:r>
      <w:r>
        <w:rPr>
          <w:rFonts w:hint="eastAsia" w:ascii="宋体" w:hAnsi="宋体" w:eastAsia="宋体" w:cs="宋体"/>
          <w:color w:val="000000" w:themeColor="text1"/>
          <w:kern w:val="0"/>
          <w:sz w:val="28"/>
          <w:szCs w:val="28"/>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8"/>
          <w:szCs w:val="28"/>
          <w:highlight w:val="none"/>
          <w:u w:val="single"/>
          <w:lang w:val="zh-CN"/>
          <w14:textFill>
            <w14:solidFill>
              <w14:schemeClr w14:val="tx1"/>
            </w14:solidFill>
          </w14:textFill>
        </w:rPr>
        <w:t xml:space="preserve">  </w:t>
      </w:r>
      <w:r>
        <w:rPr>
          <w:rFonts w:hint="eastAsia" w:ascii="宋体" w:hAnsi="宋体" w:eastAsia="宋体" w:cs="宋体"/>
          <w:color w:val="000000" w:themeColor="text1"/>
          <w:kern w:val="0"/>
          <w:sz w:val="28"/>
          <w:szCs w:val="28"/>
          <w:highlight w:val="none"/>
          <w:lang w:val="zh-CN"/>
          <w14:textFill>
            <w14:solidFill>
              <w14:schemeClr w14:val="tx1"/>
            </w14:solidFill>
          </w14:textFill>
        </w:rPr>
        <w:t>日</w:t>
      </w:r>
    </w:p>
    <w:p w14:paraId="3CE78114">
      <w:pPr>
        <w:keepNext w:val="0"/>
        <w:keepLines w:val="0"/>
        <w:pageBreakBefore w:val="0"/>
        <w:widowControl/>
        <w:kinsoku/>
        <w:wordWrap/>
        <w:overflowPunct/>
        <w:topLinePunct w:val="0"/>
        <w:autoSpaceDE/>
        <w:autoSpaceDN/>
        <w:bidi w:val="0"/>
        <w:adjustRightInd/>
        <w:snapToGrid/>
        <w:spacing w:line="560" w:lineRule="exact"/>
        <w:ind w:right="0" w:firstLine="0" w:firstLineChars="0"/>
        <w:jc w:val="both"/>
        <w:textAlignment w:val="auto"/>
        <w:rPr>
          <w:rFonts w:cs="仿宋_GB2312" w:asciiTheme="minorEastAsia" w:hAnsiTheme="minorEastAsia" w:eastAsiaTheme="minorEastAsia"/>
          <w:color w:val="000000" w:themeColor="text1"/>
          <w:kern w:val="0"/>
          <w:sz w:val="28"/>
          <w:szCs w:val="28"/>
          <w:highlight w:val="none"/>
          <w14:textFill>
            <w14:solidFill>
              <w14:schemeClr w14:val="tx1"/>
            </w14:solidFill>
          </w14:textFill>
        </w:rPr>
      </w:pPr>
    </w:p>
    <w:p w14:paraId="54104640">
      <w:pPr>
        <w:keepNext w:val="0"/>
        <w:keepLines w:val="0"/>
        <w:pageBreakBefore w:val="0"/>
        <w:widowControl/>
        <w:kinsoku/>
        <w:wordWrap/>
        <w:overflowPunct/>
        <w:topLinePunct w:val="0"/>
        <w:autoSpaceDE/>
        <w:autoSpaceDN/>
        <w:bidi w:val="0"/>
        <w:adjustRightInd/>
        <w:snapToGrid/>
        <w:spacing w:line="560" w:lineRule="exact"/>
        <w:ind w:right="0" w:firstLine="0" w:firstLineChars="0"/>
        <w:jc w:val="both"/>
        <w:textAlignment w:val="auto"/>
        <w:rPr>
          <w:rFonts w:cs="仿宋_GB2312" w:asciiTheme="minorEastAsia" w:hAnsiTheme="minorEastAsia" w:eastAsiaTheme="minorEastAsia"/>
          <w:color w:val="000000" w:themeColor="text1"/>
          <w:kern w:val="0"/>
          <w:sz w:val="28"/>
          <w:szCs w:val="28"/>
          <w:highlight w:val="none"/>
          <w14:textFill>
            <w14:solidFill>
              <w14:schemeClr w14:val="tx1"/>
            </w14:solidFill>
          </w14:textFill>
        </w:rPr>
      </w:pPr>
    </w:p>
    <w:p w14:paraId="32CEC3A9">
      <w:pPr>
        <w:keepNext w:val="0"/>
        <w:keepLines w:val="0"/>
        <w:pageBreakBefore w:val="0"/>
        <w:widowControl/>
        <w:kinsoku/>
        <w:wordWrap/>
        <w:overflowPunct/>
        <w:topLinePunct w:val="0"/>
        <w:autoSpaceDE/>
        <w:autoSpaceDN/>
        <w:bidi w:val="0"/>
        <w:adjustRightInd/>
        <w:snapToGrid/>
        <w:spacing w:line="560" w:lineRule="exact"/>
        <w:ind w:right="0" w:firstLine="0" w:firstLineChars="0"/>
        <w:jc w:val="both"/>
        <w:textAlignment w:val="auto"/>
        <w:rPr>
          <w:rFonts w:cs="仿宋_GB2312" w:asciiTheme="minorEastAsia" w:hAnsiTheme="minorEastAsia" w:eastAsiaTheme="minorEastAsia"/>
          <w:color w:val="000000" w:themeColor="text1"/>
          <w:kern w:val="0"/>
          <w:sz w:val="28"/>
          <w:szCs w:val="28"/>
          <w:highlight w:val="none"/>
          <w14:textFill>
            <w14:solidFill>
              <w14:schemeClr w14:val="tx1"/>
            </w14:solidFill>
          </w14:textFill>
        </w:rPr>
      </w:pPr>
    </w:p>
    <w:p w14:paraId="10A6E9E7">
      <w:pPr>
        <w:keepNext w:val="0"/>
        <w:keepLines w:val="0"/>
        <w:pageBreakBefore w:val="0"/>
        <w:widowControl/>
        <w:kinsoku/>
        <w:wordWrap/>
        <w:overflowPunct/>
        <w:topLinePunct w:val="0"/>
        <w:autoSpaceDE/>
        <w:autoSpaceDN/>
        <w:bidi w:val="0"/>
        <w:adjustRightInd/>
        <w:snapToGrid/>
        <w:spacing w:line="560" w:lineRule="exact"/>
        <w:ind w:right="0" w:firstLine="0" w:firstLineChars="0"/>
        <w:jc w:val="both"/>
        <w:textAlignment w:val="auto"/>
        <w:rPr>
          <w:rFonts w:cs="仿宋_GB2312" w:asciiTheme="minorEastAsia" w:hAnsiTheme="minorEastAsia" w:eastAsiaTheme="minorEastAsia"/>
          <w:color w:val="000000" w:themeColor="text1"/>
          <w:kern w:val="0"/>
          <w:sz w:val="28"/>
          <w:szCs w:val="28"/>
          <w:highlight w:val="none"/>
          <w14:textFill>
            <w14:solidFill>
              <w14:schemeClr w14:val="tx1"/>
            </w14:solidFill>
          </w14:textFill>
        </w:rPr>
      </w:pPr>
    </w:p>
    <w:p w14:paraId="4F1B0203">
      <w:pPr>
        <w:keepNext w:val="0"/>
        <w:keepLines w:val="0"/>
        <w:pageBreakBefore w:val="0"/>
        <w:widowControl/>
        <w:kinsoku/>
        <w:wordWrap/>
        <w:overflowPunct/>
        <w:topLinePunct w:val="0"/>
        <w:autoSpaceDE/>
        <w:autoSpaceDN/>
        <w:bidi w:val="0"/>
        <w:adjustRightInd/>
        <w:snapToGrid/>
        <w:spacing w:line="560" w:lineRule="exact"/>
        <w:ind w:right="0" w:firstLine="0" w:firstLineChars="0"/>
        <w:jc w:val="both"/>
        <w:textAlignment w:val="auto"/>
        <w:rPr>
          <w:rFonts w:cs="仿宋_GB2312" w:asciiTheme="minorEastAsia" w:hAnsiTheme="minorEastAsia" w:eastAsiaTheme="minorEastAsia"/>
          <w:color w:val="000000" w:themeColor="text1"/>
          <w:kern w:val="0"/>
          <w:sz w:val="28"/>
          <w:szCs w:val="28"/>
          <w:highlight w:val="none"/>
          <w14:textFill>
            <w14:solidFill>
              <w14:schemeClr w14:val="tx1"/>
            </w14:solidFill>
          </w14:textFill>
        </w:rPr>
      </w:pPr>
    </w:p>
    <w:p w14:paraId="131C9D0B">
      <w:pPr>
        <w:keepNext w:val="0"/>
        <w:keepLines w:val="0"/>
        <w:pageBreakBefore w:val="0"/>
        <w:widowControl/>
        <w:kinsoku/>
        <w:wordWrap/>
        <w:overflowPunct/>
        <w:topLinePunct w:val="0"/>
        <w:autoSpaceDE/>
        <w:autoSpaceDN/>
        <w:bidi w:val="0"/>
        <w:adjustRightInd/>
        <w:snapToGrid/>
        <w:spacing w:line="560" w:lineRule="exact"/>
        <w:ind w:right="0" w:firstLine="0" w:firstLineChars="0"/>
        <w:jc w:val="both"/>
        <w:textAlignment w:val="auto"/>
        <w:rPr>
          <w:rFonts w:cs="仿宋_GB2312" w:asciiTheme="minorEastAsia" w:hAnsiTheme="minorEastAsia" w:eastAsiaTheme="minorEastAsia"/>
          <w:color w:val="000000" w:themeColor="text1"/>
          <w:kern w:val="0"/>
          <w:sz w:val="28"/>
          <w:szCs w:val="28"/>
          <w:highlight w:val="none"/>
          <w14:textFill>
            <w14:solidFill>
              <w14:schemeClr w14:val="tx1"/>
            </w14:solidFill>
          </w14:textFill>
        </w:rPr>
      </w:pPr>
    </w:p>
    <w:p w14:paraId="770D425C">
      <w:pPr>
        <w:keepNext w:val="0"/>
        <w:keepLines w:val="0"/>
        <w:pageBreakBefore w:val="0"/>
        <w:widowControl/>
        <w:kinsoku/>
        <w:wordWrap/>
        <w:overflowPunct/>
        <w:topLinePunct w:val="0"/>
        <w:autoSpaceDE/>
        <w:autoSpaceDN/>
        <w:bidi w:val="0"/>
        <w:adjustRightInd/>
        <w:snapToGrid/>
        <w:spacing w:line="560" w:lineRule="exact"/>
        <w:ind w:right="0" w:firstLine="0" w:firstLineChars="0"/>
        <w:jc w:val="both"/>
        <w:textAlignment w:val="auto"/>
        <w:rPr>
          <w:rFonts w:cs="仿宋_GB2312" w:asciiTheme="minorEastAsia" w:hAnsiTheme="minorEastAsia" w:eastAsiaTheme="minorEastAsia"/>
          <w:color w:val="000000" w:themeColor="text1"/>
          <w:kern w:val="0"/>
          <w:sz w:val="28"/>
          <w:szCs w:val="28"/>
          <w:highlight w:val="none"/>
          <w14:textFill>
            <w14:solidFill>
              <w14:schemeClr w14:val="tx1"/>
            </w14:solidFill>
          </w14:textFill>
        </w:rPr>
      </w:pPr>
    </w:p>
    <w:p w14:paraId="76655F23">
      <w:pPr>
        <w:keepNext w:val="0"/>
        <w:keepLines w:val="0"/>
        <w:pageBreakBefore w:val="0"/>
        <w:widowControl/>
        <w:kinsoku/>
        <w:wordWrap/>
        <w:overflowPunct/>
        <w:topLinePunct w:val="0"/>
        <w:autoSpaceDE/>
        <w:autoSpaceDN/>
        <w:bidi w:val="0"/>
        <w:adjustRightInd/>
        <w:snapToGrid/>
        <w:spacing w:line="560" w:lineRule="exact"/>
        <w:ind w:right="0" w:firstLine="0" w:firstLineChars="0"/>
        <w:jc w:val="both"/>
        <w:textAlignment w:val="auto"/>
        <w:rPr>
          <w:rFonts w:cs="仿宋_GB2312" w:asciiTheme="minorEastAsia" w:hAnsiTheme="minorEastAsia" w:eastAsiaTheme="minorEastAsia"/>
          <w:color w:val="000000" w:themeColor="text1"/>
          <w:kern w:val="0"/>
          <w:sz w:val="28"/>
          <w:szCs w:val="28"/>
          <w:highlight w:val="none"/>
          <w14:textFill>
            <w14:solidFill>
              <w14:schemeClr w14:val="tx1"/>
            </w14:solidFill>
          </w14:textFill>
        </w:rPr>
      </w:pPr>
    </w:p>
    <w:p w14:paraId="4F6E4092">
      <w:pPr>
        <w:keepNext w:val="0"/>
        <w:keepLines w:val="0"/>
        <w:pageBreakBefore w:val="0"/>
        <w:widowControl/>
        <w:kinsoku/>
        <w:wordWrap/>
        <w:overflowPunct/>
        <w:topLinePunct w:val="0"/>
        <w:autoSpaceDE/>
        <w:autoSpaceDN/>
        <w:bidi w:val="0"/>
        <w:adjustRightInd/>
        <w:snapToGrid/>
        <w:spacing w:line="560" w:lineRule="exact"/>
        <w:ind w:right="0" w:firstLine="0" w:firstLineChars="0"/>
        <w:jc w:val="both"/>
        <w:textAlignment w:val="auto"/>
        <w:rPr>
          <w:rFonts w:cs="仿宋_GB2312" w:asciiTheme="minorEastAsia" w:hAnsiTheme="minorEastAsia" w:eastAsiaTheme="minorEastAsia"/>
          <w:color w:val="000000" w:themeColor="text1"/>
          <w:kern w:val="0"/>
          <w:sz w:val="28"/>
          <w:szCs w:val="28"/>
          <w:highlight w:val="none"/>
          <w14:textFill>
            <w14:solidFill>
              <w14:schemeClr w14:val="tx1"/>
            </w14:solidFill>
          </w14:textFill>
        </w:rPr>
      </w:pPr>
    </w:p>
    <w:p w14:paraId="4D738E8B">
      <w:pPr>
        <w:keepNext w:val="0"/>
        <w:keepLines w:val="0"/>
        <w:pageBreakBefore w:val="0"/>
        <w:widowControl/>
        <w:kinsoku/>
        <w:wordWrap/>
        <w:overflowPunct/>
        <w:topLinePunct w:val="0"/>
        <w:autoSpaceDE/>
        <w:autoSpaceDN/>
        <w:bidi w:val="0"/>
        <w:adjustRightInd/>
        <w:snapToGrid/>
        <w:spacing w:line="560" w:lineRule="exact"/>
        <w:ind w:right="0" w:firstLine="0" w:firstLineChars="0"/>
        <w:jc w:val="both"/>
        <w:textAlignment w:val="auto"/>
        <w:rPr>
          <w:rFonts w:cs="仿宋_GB2312" w:asciiTheme="minorEastAsia" w:hAnsiTheme="minorEastAsia" w:eastAsiaTheme="minorEastAsia"/>
          <w:color w:val="000000" w:themeColor="text1"/>
          <w:kern w:val="0"/>
          <w:sz w:val="28"/>
          <w:szCs w:val="28"/>
          <w:highlight w:val="none"/>
          <w14:textFill>
            <w14:solidFill>
              <w14:schemeClr w14:val="tx1"/>
            </w14:solidFill>
          </w14:textFill>
        </w:rPr>
      </w:pPr>
    </w:p>
    <w:p w14:paraId="76872E44">
      <w:pPr>
        <w:keepNext w:val="0"/>
        <w:keepLines w:val="0"/>
        <w:pageBreakBefore w:val="0"/>
        <w:widowControl/>
        <w:kinsoku/>
        <w:wordWrap/>
        <w:overflowPunct/>
        <w:topLinePunct w:val="0"/>
        <w:autoSpaceDE/>
        <w:autoSpaceDN/>
        <w:bidi w:val="0"/>
        <w:adjustRightInd/>
        <w:snapToGrid/>
        <w:spacing w:line="560" w:lineRule="exact"/>
        <w:ind w:right="0" w:firstLine="0" w:firstLineChars="0"/>
        <w:jc w:val="both"/>
        <w:textAlignment w:val="auto"/>
        <w:rPr>
          <w:rFonts w:cs="仿宋_GB2312" w:asciiTheme="minorEastAsia" w:hAnsiTheme="minorEastAsia" w:eastAsiaTheme="minorEastAsia"/>
          <w:color w:val="000000" w:themeColor="text1"/>
          <w:kern w:val="0"/>
          <w:sz w:val="28"/>
          <w:szCs w:val="28"/>
          <w:highlight w:val="none"/>
          <w14:textFill>
            <w14:solidFill>
              <w14:schemeClr w14:val="tx1"/>
            </w14:solidFill>
          </w14:textFill>
        </w:rPr>
      </w:pPr>
    </w:p>
    <w:p w14:paraId="11CA536D">
      <w:pPr>
        <w:keepNext w:val="0"/>
        <w:keepLines w:val="0"/>
        <w:pageBreakBefore w:val="0"/>
        <w:widowControl/>
        <w:kinsoku/>
        <w:wordWrap/>
        <w:overflowPunct/>
        <w:topLinePunct w:val="0"/>
        <w:autoSpaceDE/>
        <w:autoSpaceDN/>
        <w:bidi w:val="0"/>
        <w:adjustRightInd/>
        <w:snapToGrid/>
        <w:spacing w:line="560" w:lineRule="exact"/>
        <w:ind w:right="0" w:firstLine="0" w:firstLineChars="0"/>
        <w:jc w:val="both"/>
        <w:textAlignment w:val="auto"/>
        <w:rPr>
          <w:rFonts w:cs="仿宋_GB2312" w:asciiTheme="minorEastAsia" w:hAnsiTheme="minorEastAsia" w:eastAsiaTheme="minorEastAsia"/>
          <w:color w:val="000000" w:themeColor="text1"/>
          <w:kern w:val="0"/>
          <w:sz w:val="28"/>
          <w:szCs w:val="28"/>
          <w:highlight w:val="none"/>
          <w14:textFill>
            <w14:solidFill>
              <w14:schemeClr w14:val="tx1"/>
            </w14:solidFill>
          </w14:textFill>
        </w:rPr>
      </w:pPr>
    </w:p>
    <w:p w14:paraId="783ED9D5">
      <w:pPr>
        <w:keepNext w:val="0"/>
        <w:keepLines w:val="0"/>
        <w:pageBreakBefore w:val="0"/>
        <w:widowControl/>
        <w:kinsoku/>
        <w:wordWrap/>
        <w:overflowPunct/>
        <w:topLinePunct w:val="0"/>
        <w:autoSpaceDE/>
        <w:autoSpaceDN/>
        <w:bidi w:val="0"/>
        <w:adjustRightInd/>
        <w:snapToGrid/>
        <w:spacing w:line="560" w:lineRule="exact"/>
        <w:ind w:right="0" w:firstLine="0" w:firstLineChars="0"/>
        <w:jc w:val="both"/>
        <w:textAlignment w:val="auto"/>
        <w:rPr>
          <w:rFonts w:cs="仿宋_GB2312" w:asciiTheme="minorEastAsia" w:hAnsiTheme="minorEastAsia" w:eastAsiaTheme="minorEastAsia"/>
          <w:color w:val="000000" w:themeColor="text1"/>
          <w:kern w:val="0"/>
          <w:sz w:val="28"/>
          <w:szCs w:val="28"/>
          <w:highlight w:val="none"/>
          <w14:textFill>
            <w14:solidFill>
              <w14:schemeClr w14:val="tx1"/>
            </w14:solidFill>
          </w14:textFill>
        </w:rPr>
      </w:pPr>
    </w:p>
    <w:p w14:paraId="42E60377">
      <w:pPr>
        <w:keepNext w:val="0"/>
        <w:keepLines w:val="0"/>
        <w:pageBreakBefore w:val="0"/>
        <w:kinsoku/>
        <w:wordWrap/>
        <w:overflowPunct/>
        <w:topLinePunct w:val="0"/>
        <w:autoSpaceDE/>
        <w:autoSpaceDN/>
        <w:bidi w:val="0"/>
        <w:adjustRightInd/>
        <w:snapToGrid/>
        <w:spacing w:line="560" w:lineRule="exact"/>
        <w:ind w:right="0" w:firstLine="0" w:firstLineChars="0"/>
        <w:jc w:val="both"/>
        <w:textAlignment w:val="auto"/>
        <w:rPr>
          <w:rFonts w:cs="仿宋_GB2312" w:asciiTheme="minorEastAsia" w:hAnsiTheme="minorEastAsia" w:eastAsiaTheme="minorEastAsia"/>
          <w:b/>
          <w:color w:val="000000" w:themeColor="text1"/>
          <w:sz w:val="28"/>
          <w:szCs w:val="28"/>
          <w:highlight w:val="none"/>
          <w14:textFill>
            <w14:solidFill>
              <w14:schemeClr w14:val="tx1"/>
            </w14:solidFill>
          </w14:textFill>
        </w:rPr>
      </w:pPr>
      <w:r>
        <w:rPr>
          <w:rFonts w:hint="eastAsia" w:cs="仿宋_GB2312" w:asciiTheme="minorEastAsia" w:hAnsiTheme="minorEastAsia" w:eastAsiaTheme="minorEastAsia"/>
          <w:b/>
          <w:color w:val="000000" w:themeColor="text1"/>
          <w:sz w:val="28"/>
          <w:szCs w:val="28"/>
          <w:highlight w:val="none"/>
          <w14:textFill>
            <w14:solidFill>
              <w14:schemeClr w14:val="tx1"/>
            </w14:solidFill>
          </w14:textFill>
        </w:rPr>
        <w:t>七、保证金凭证</w:t>
      </w:r>
    </w:p>
    <w:p w14:paraId="3F45901B">
      <w:pPr>
        <w:pStyle w:val="145"/>
        <w:pageBreakBefore w:val="0"/>
        <w:tabs>
          <w:tab w:val="left" w:pos="1429"/>
        </w:tabs>
        <w:wordWrap/>
        <w:topLinePunct w:val="0"/>
        <w:bidi w:val="0"/>
        <w:spacing w:line="560" w:lineRule="exact"/>
        <w:rPr>
          <w:rFonts w:asciiTheme="minorEastAsia" w:hAnsiTheme="minorEastAsia" w:eastAsiaTheme="minorEastAsia"/>
          <w:bCs/>
          <w:color w:val="000000" w:themeColor="text1"/>
          <w:sz w:val="28"/>
          <w:szCs w:val="28"/>
          <w:highlight w:val="none"/>
          <w14:textFill>
            <w14:solidFill>
              <w14:schemeClr w14:val="tx1"/>
            </w14:solidFill>
          </w14:textFill>
        </w:rPr>
      </w:pPr>
      <w:r>
        <w:rPr>
          <w:rFonts w:asciiTheme="minorEastAsia" w:hAnsiTheme="minorEastAsia" w:eastAsiaTheme="minorEastAsia"/>
          <w:bCs/>
          <w:color w:val="000000" w:themeColor="text1"/>
          <w:sz w:val="28"/>
          <w:szCs w:val="28"/>
          <w:highlight w:val="none"/>
          <w14:textFill>
            <w14:solidFill>
              <w14:schemeClr w14:val="tx1"/>
            </w14:solidFill>
          </w14:textFill>
        </w:rPr>
        <w:t>说明：此处上传</w:t>
      </w:r>
      <w:r>
        <w:rPr>
          <w:rFonts w:hint="eastAsia" w:asciiTheme="minorEastAsia" w:hAnsiTheme="minorEastAsia" w:eastAsiaTheme="minorEastAsia"/>
          <w:bCs/>
          <w:color w:val="000000" w:themeColor="text1"/>
          <w:sz w:val="28"/>
          <w:szCs w:val="28"/>
          <w:highlight w:val="none"/>
          <w14:textFill>
            <w14:solidFill>
              <w14:schemeClr w14:val="tx1"/>
            </w14:solidFill>
          </w14:textFill>
        </w:rPr>
        <w:t>投标</w:t>
      </w:r>
      <w:r>
        <w:rPr>
          <w:rFonts w:asciiTheme="minorEastAsia" w:hAnsiTheme="minorEastAsia" w:eastAsiaTheme="minorEastAsia"/>
          <w:bCs/>
          <w:color w:val="000000" w:themeColor="text1"/>
          <w:sz w:val="28"/>
          <w:szCs w:val="28"/>
          <w:highlight w:val="none"/>
          <w14:textFill>
            <w14:solidFill>
              <w14:schemeClr w14:val="tx1"/>
            </w14:solidFill>
          </w14:textFill>
        </w:rPr>
        <w:t>保证金缴纳证明文件</w:t>
      </w:r>
    </w:p>
    <w:p w14:paraId="23A491C5">
      <w:pPr>
        <w:pStyle w:val="145"/>
        <w:pageBreakBefore w:val="0"/>
        <w:tabs>
          <w:tab w:val="left" w:pos="1429"/>
        </w:tabs>
        <w:wordWrap/>
        <w:topLinePunct w:val="0"/>
        <w:bidi w:val="0"/>
        <w:spacing w:line="560" w:lineRule="exact"/>
        <w:rPr>
          <w:rFonts w:asciiTheme="minorEastAsia" w:hAnsiTheme="minorEastAsia" w:eastAsiaTheme="minorEastAsia"/>
          <w:bCs/>
          <w:color w:val="000000" w:themeColor="text1"/>
          <w:sz w:val="28"/>
          <w:szCs w:val="28"/>
          <w:highlight w:val="none"/>
          <w14:textFill>
            <w14:solidFill>
              <w14:schemeClr w14:val="tx1"/>
            </w14:solidFill>
          </w14:textFill>
        </w:rPr>
      </w:pPr>
    </w:p>
    <w:p w14:paraId="6DF74756">
      <w:pPr>
        <w:pStyle w:val="145"/>
        <w:pageBreakBefore w:val="0"/>
        <w:tabs>
          <w:tab w:val="left" w:pos="1429"/>
        </w:tabs>
        <w:wordWrap/>
        <w:topLinePunct w:val="0"/>
        <w:bidi w:val="0"/>
        <w:spacing w:line="560" w:lineRule="exact"/>
        <w:rPr>
          <w:rFonts w:asciiTheme="minorEastAsia" w:hAnsiTheme="minorEastAsia" w:eastAsiaTheme="minorEastAsia"/>
          <w:bCs/>
          <w:color w:val="000000" w:themeColor="text1"/>
          <w:sz w:val="28"/>
          <w:szCs w:val="28"/>
          <w:highlight w:val="none"/>
          <w14:textFill>
            <w14:solidFill>
              <w14:schemeClr w14:val="tx1"/>
            </w14:solidFill>
          </w14:textFill>
        </w:rPr>
      </w:pPr>
    </w:p>
    <w:p w14:paraId="556F3116">
      <w:pPr>
        <w:pStyle w:val="145"/>
        <w:pageBreakBefore w:val="0"/>
        <w:tabs>
          <w:tab w:val="left" w:pos="1429"/>
        </w:tabs>
        <w:wordWrap/>
        <w:topLinePunct w:val="0"/>
        <w:bidi w:val="0"/>
        <w:spacing w:line="560" w:lineRule="exact"/>
        <w:rPr>
          <w:rFonts w:asciiTheme="minorEastAsia" w:hAnsiTheme="minorEastAsia" w:eastAsiaTheme="minorEastAsia"/>
          <w:bCs/>
          <w:color w:val="000000" w:themeColor="text1"/>
          <w:sz w:val="28"/>
          <w:szCs w:val="28"/>
          <w:highlight w:val="none"/>
          <w14:textFill>
            <w14:solidFill>
              <w14:schemeClr w14:val="tx1"/>
            </w14:solidFill>
          </w14:textFill>
        </w:rPr>
      </w:pPr>
    </w:p>
    <w:p w14:paraId="266E08D5">
      <w:pPr>
        <w:pStyle w:val="145"/>
        <w:pageBreakBefore w:val="0"/>
        <w:tabs>
          <w:tab w:val="left" w:pos="1429"/>
        </w:tabs>
        <w:wordWrap/>
        <w:topLinePunct w:val="0"/>
        <w:bidi w:val="0"/>
        <w:spacing w:line="560" w:lineRule="exact"/>
        <w:rPr>
          <w:rFonts w:asciiTheme="minorEastAsia" w:hAnsiTheme="minorEastAsia" w:eastAsiaTheme="minorEastAsia"/>
          <w:bCs/>
          <w:color w:val="000000" w:themeColor="text1"/>
          <w:sz w:val="28"/>
          <w:szCs w:val="28"/>
          <w:highlight w:val="none"/>
          <w14:textFill>
            <w14:solidFill>
              <w14:schemeClr w14:val="tx1"/>
            </w14:solidFill>
          </w14:textFill>
        </w:rPr>
      </w:pPr>
    </w:p>
    <w:p w14:paraId="14CD2CA8">
      <w:pPr>
        <w:pStyle w:val="145"/>
        <w:pageBreakBefore w:val="0"/>
        <w:tabs>
          <w:tab w:val="left" w:pos="1429"/>
        </w:tabs>
        <w:wordWrap/>
        <w:topLinePunct w:val="0"/>
        <w:bidi w:val="0"/>
        <w:spacing w:line="560" w:lineRule="exact"/>
        <w:rPr>
          <w:rFonts w:asciiTheme="minorEastAsia" w:hAnsiTheme="minorEastAsia" w:eastAsiaTheme="minorEastAsia"/>
          <w:bCs/>
          <w:color w:val="000000" w:themeColor="text1"/>
          <w:sz w:val="28"/>
          <w:szCs w:val="28"/>
          <w:highlight w:val="none"/>
          <w14:textFill>
            <w14:solidFill>
              <w14:schemeClr w14:val="tx1"/>
            </w14:solidFill>
          </w14:textFill>
        </w:rPr>
      </w:pPr>
    </w:p>
    <w:p w14:paraId="6D41E48A">
      <w:pPr>
        <w:pStyle w:val="145"/>
        <w:pageBreakBefore w:val="0"/>
        <w:tabs>
          <w:tab w:val="left" w:pos="1429"/>
        </w:tabs>
        <w:wordWrap/>
        <w:topLinePunct w:val="0"/>
        <w:bidi w:val="0"/>
        <w:spacing w:line="560" w:lineRule="exact"/>
        <w:rPr>
          <w:rFonts w:asciiTheme="minorEastAsia" w:hAnsiTheme="minorEastAsia" w:eastAsiaTheme="minorEastAsia"/>
          <w:bCs/>
          <w:color w:val="000000" w:themeColor="text1"/>
          <w:sz w:val="28"/>
          <w:szCs w:val="28"/>
          <w:highlight w:val="none"/>
          <w14:textFill>
            <w14:solidFill>
              <w14:schemeClr w14:val="tx1"/>
            </w14:solidFill>
          </w14:textFill>
        </w:rPr>
      </w:pPr>
    </w:p>
    <w:p w14:paraId="16093D08">
      <w:pPr>
        <w:pStyle w:val="145"/>
        <w:pageBreakBefore w:val="0"/>
        <w:tabs>
          <w:tab w:val="left" w:pos="1429"/>
        </w:tabs>
        <w:wordWrap/>
        <w:topLinePunct w:val="0"/>
        <w:bidi w:val="0"/>
        <w:spacing w:line="560" w:lineRule="exact"/>
        <w:rPr>
          <w:rFonts w:asciiTheme="minorEastAsia" w:hAnsiTheme="minorEastAsia" w:eastAsiaTheme="minorEastAsia"/>
          <w:bCs/>
          <w:color w:val="000000" w:themeColor="text1"/>
          <w:sz w:val="28"/>
          <w:szCs w:val="28"/>
          <w:highlight w:val="none"/>
          <w14:textFill>
            <w14:solidFill>
              <w14:schemeClr w14:val="tx1"/>
            </w14:solidFill>
          </w14:textFill>
        </w:rPr>
      </w:pPr>
    </w:p>
    <w:p w14:paraId="0157CE1C">
      <w:pPr>
        <w:pStyle w:val="145"/>
        <w:pageBreakBefore w:val="0"/>
        <w:tabs>
          <w:tab w:val="left" w:pos="1429"/>
        </w:tabs>
        <w:wordWrap/>
        <w:topLinePunct w:val="0"/>
        <w:bidi w:val="0"/>
        <w:spacing w:line="560" w:lineRule="exact"/>
        <w:rPr>
          <w:rFonts w:asciiTheme="minorEastAsia" w:hAnsiTheme="minorEastAsia" w:eastAsiaTheme="minorEastAsia"/>
          <w:bCs/>
          <w:color w:val="000000" w:themeColor="text1"/>
          <w:sz w:val="28"/>
          <w:szCs w:val="28"/>
          <w:highlight w:val="none"/>
          <w14:textFill>
            <w14:solidFill>
              <w14:schemeClr w14:val="tx1"/>
            </w14:solidFill>
          </w14:textFill>
        </w:rPr>
      </w:pPr>
    </w:p>
    <w:p w14:paraId="27ACF21F">
      <w:pPr>
        <w:pStyle w:val="145"/>
        <w:pageBreakBefore w:val="0"/>
        <w:tabs>
          <w:tab w:val="left" w:pos="1429"/>
        </w:tabs>
        <w:wordWrap/>
        <w:topLinePunct w:val="0"/>
        <w:bidi w:val="0"/>
        <w:spacing w:line="560" w:lineRule="exact"/>
        <w:rPr>
          <w:rFonts w:asciiTheme="minorEastAsia" w:hAnsiTheme="minorEastAsia" w:eastAsiaTheme="minorEastAsia"/>
          <w:bCs/>
          <w:color w:val="000000" w:themeColor="text1"/>
          <w:sz w:val="28"/>
          <w:szCs w:val="28"/>
          <w:highlight w:val="none"/>
          <w14:textFill>
            <w14:solidFill>
              <w14:schemeClr w14:val="tx1"/>
            </w14:solidFill>
          </w14:textFill>
        </w:rPr>
      </w:pPr>
    </w:p>
    <w:p w14:paraId="777CFC5C">
      <w:pPr>
        <w:pStyle w:val="145"/>
        <w:pageBreakBefore w:val="0"/>
        <w:tabs>
          <w:tab w:val="left" w:pos="1429"/>
        </w:tabs>
        <w:wordWrap/>
        <w:topLinePunct w:val="0"/>
        <w:bidi w:val="0"/>
        <w:spacing w:line="560" w:lineRule="exact"/>
        <w:rPr>
          <w:rFonts w:asciiTheme="minorEastAsia" w:hAnsiTheme="minorEastAsia" w:eastAsiaTheme="minorEastAsia"/>
          <w:bCs/>
          <w:color w:val="000000" w:themeColor="text1"/>
          <w:sz w:val="28"/>
          <w:szCs w:val="28"/>
          <w:highlight w:val="none"/>
          <w14:textFill>
            <w14:solidFill>
              <w14:schemeClr w14:val="tx1"/>
            </w14:solidFill>
          </w14:textFill>
        </w:rPr>
      </w:pPr>
    </w:p>
    <w:p w14:paraId="57262E23">
      <w:pPr>
        <w:pStyle w:val="145"/>
        <w:pageBreakBefore w:val="0"/>
        <w:tabs>
          <w:tab w:val="left" w:pos="1429"/>
        </w:tabs>
        <w:wordWrap/>
        <w:topLinePunct w:val="0"/>
        <w:bidi w:val="0"/>
        <w:spacing w:line="560" w:lineRule="exact"/>
        <w:rPr>
          <w:rFonts w:asciiTheme="minorEastAsia" w:hAnsiTheme="minorEastAsia" w:eastAsiaTheme="minorEastAsia"/>
          <w:bCs/>
          <w:color w:val="000000" w:themeColor="text1"/>
          <w:sz w:val="28"/>
          <w:szCs w:val="28"/>
          <w:highlight w:val="none"/>
          <w14:textFill>
            <w14:solidFill>
              <w14:schemeClr w14:val="tx1"/>
            </w14:solidFill>
          </w14:textFill>
        </w:rPr>
      </w:pPr>
    </w:p>
    <w:p w14:paraId="14D836A0">
      <w:pPr>
        <w:pStyle w:val="145"/>
        <w:pageBreakBefore w:val="0"/>
        <w:tabs>
          <w:tab w:val="left" w:pos="1429"/>
        </w:tabs>
        <w:wordWrap/>
        <w:topLinePunct w:val="0"/>
        <w:bidi w:val="0"/>
        <w:spacing w:line="560" w:lineRule="exact"/>
        <w:rPr>
          <w:rFonts w:asciiTheme="minorEastAsia" w:hAnsiTheme="minorEastAsia" w:eastAsiaTheme="minorEastAsia"/>
          <w:bCs/>
          <w:color w:val="000000" w:themeColor="text1"/>
          <w:sz w:val="28"/>
          <w:szCs w:val="28"/>
          <w:highlight w:val="none"/>
          <w14:textFill>
            <w14:solidFill>
              <w14:schemeClr w14:val="tx1"/>
            </w14:solidFill>
          </w14:textFill>
        </w:rPr>
      </w:pPr>
    </w:p>
    <w:p w14:paraId="45616BD4">
      <w:pPr>
        <w:pStyle w:val="145"/>
        <w:pageBreakBefore w:val="0"/>
        <w:tabs>
          <w:tab w:val="left" w:pos="1429"/>
        </w:tabs>
        <w:wordWrap/>
        <w:topLinePunct w:val="0"/>
        <w:bidi w:val="0"/>
        <w:spacing w:line="560" w:lineRule="exact"/>
        <w:rPr>
          <w:rFonts w:asciiTheme="minorEastAsia" w:hAnsiTheme="minorEastAsia" w:eastAsiaTheme="minorEastAsia"/>
          <w:bCs/>
          <w:color w:val="000000" w:themeColor="text1"/>
          <w:sz w:val="28"/>
          <w:szCs w:val="28"/>
          <w:highlight w:val="none"/>
          <w14:textFill>
            <w14:solidFill>
              <w14:schemeClr w14:val="tx1"/>
            </w14:solidFill>
          </w14:textFill>
        </w:rPr>
      </w:pPr>
    </w:p>
    <w:p w14:paraId="63CF6469">
      <w:pPr>
        <w:pStyle w:val="145"/>
        <w:pageBreakBefore w:val="0"/>
        <w:tabs>
          <w:tab w:val="left" w:pos="1429"/>
        </w:tabs>
        <w:wordWrap/>
        <w:topLinePunct w:val="0"/>
        <w:bidi w:val="0"/>
        <w:spacing w:line="560" w:lineRule="exact"/>
        <w:rPr>
          <w:rFonts w:asciiTheme="minorEastAsia" w:hAnsiTheme="minorEastAsia" w:eastAsiaTheme="minorEastAsia"/>
          <w:bCs/>
          <w:color w:val="000000" w:themeColor="text1"/>
          <w:sz w:val="28"/>
          <w:szCs w:val="28"/>
          <w:highlight w:val="none"/>
          <w14:textFill>
            <w14:solidFill>
              <w14:schemeClr w14:val="tx1"/>
            </w14:solidFill>
          </w14:textFill>
        </w:rPr>
      </w:pPr>
    </w:p>
    <w:p w14:paraId="52B95C14">
      <w:pPr>
        <w:pStyle w:val="145"/>
        <w:pageBreakBefore w:val="0"/>
        <w:tabs>
          <w:tab w:val="left" w:pos="1429"/>
        </w:tabs>
        <w:wordWrap/>
        <w:topLinePunct w:val="0"/>
        <w:bidi w:val="0"/>
        <w:spacing w:line="560" w:lineRule="exact"/>
        <w:rPr>
          <w:rFonts w:asciiTheme="minorEastAsia" w:hAnsiTheme="minorEastAsia" w:eastAsiaTheme="minorEastAsia"/>
          <w:bCs/>
          <w:color w:val="000000" w:themeColor="text1"/>
          <w:sz w:val="28"/>
          <w:szCs w:val="28"/>
          <w:highlight w:val="none"/>
          <w14:textFill>
            <w14:solidFill>
              <w14:schemeClr w14:val="tx1"/>
            </w14:solidFill>
          </w14:textFill>
        </w:rPr>
      </w:pPr>
    </w:p>
    <w:p w14:paraId="7DB6D159">
      <w:pPr>
        <w:pStyle w:val="145"/>
        <w:pageBreakBefore w:val="0"/>
        <w:tabs>
          <w:tab w:val="left" w:pos="1429"/>
        </w:tabs>
        <w:wordWrap/>
        <w:topLinePunct w:val="0"/>
        <w:bidi w:val="0"/>
        <w:spacing w:line="560" w:lineRule="exact"/>
        <w:rPr>
          <w:rFonts w:asciiTheme="minorEastAsia" w:hAnsiTheme="minorEastAsia" w:eastAsiaTheme="minorEastAsia"/>
          <w:bCs/>
          <w:color w:val="000000" w:themeColor="text1"/>
          <w:sz w:val="28"/>
          <w:szCs w:val="28"/>
          <w:highlight w:val="none"/>
          <w14:textFill>
            <w14:solidFill>
              <w14:schemeClr w14:val="tx1"/>
            </w14:solidFill>
          </w14:textFill>
        </w:rPr>
      </w:pPr>
    </w:p>
    <w:p w14:paraId="2D2A2F33">
      <w:pPr>
        <w:pStyle w:val="145"/>
        <w:pageBreakBefore w:val="0"/>
        <w:tabs>
          <w:tab w:val="left" w:pos="1429"/>
        </w:tabs>
        <w:wordWrap/>
        <w:topLinePunct w:val="0"/>
        <w:bidi w:val="0"/>
        <w:spacing w:line="560" w:lineRule="exact"/>
        <w:rPr>
          <w:rFonts w:asciiTheme="minorEastAsia" w:hAnsiTheme="minorEastAsia" w:eastAsiaTheme="minorEastAsia"/>
          <w:bCs/>
          <w:color w:val="000000" w:themeColor="text1"/>
          <w:sz w:val="28"/>
          <w:szCs w:val="28"/>
          <w:highlight w:val="none"/>
          <w14:textFill>
            <w14:solidFill>
              <w14:schemeClr w14:val="tx1"/>
            </w14:solidFill>
          </w14:textFill>
        </w:rPr>
      </w:pPr>
    </w:p>
    <w:p w14:paraId="3A330817">
      <w:pPr>
        <w:pStyle w:val="145"/>
        <w:pageBreakBefore w:val="0"/>
        <w:tabs>
          <w:tab w:val="left" w:pos="1429"/>
        </w:tabs>
        <w:wordWrap/>
        <w:topLinePunct w:val="0"/>
        <w:bidi w:val="0"/>
        <w:spacing w:line="560" w:lineRule="exact"/>
        <w:rPr>
          <w:rFonts w:asciiTheme="minorEastAsia" w:hAnsiTheme="minorEastAsia" w:eastAsiaTheme="minorEastAsia"/>
          <w:bCs/>
          <w:color w:val="000000" w:themeColor="text1"/>
          <w:sz w:val="28"/>
          <w:szCs w:val="28"/>
          <w:highlight w:val="none"/>
          <w14:textFill>
            <w14:solidFill>
              <w14:schemeClr w14:val="tx1"/>
            </w14:solidFill>
          </w14:textFill>
        </w:rPr>
      </w:pPr>
    </w:p>
    <w:p w14:paraId="0B3932F6">
      <w:pPr>
        <w:pStyle w:val="145"/>
        <w:pageBreakBefore w:val="0"/>
        <w:tabs>
          <w:tab w:val="left" w:pos="1429"/>
        </w:tabs>
        <w:wordWrap/>
        <w:topLinePunct w:val="0"/>
        <w:bidi w:val="0"/>
        <w:spacing w:line="560" w:lineRule="exact"/>
        <w:rPr>
          <w:rFonts w:asciiTheme="minorEastAsia" w:hAnsiTheme="minorEastAsia" w:eastAsiaTheme="minorEastAsia"/>
          <w:bCs/>
          <w:color w:val="000000" w:themeColor="text1"/>
          <w:sz w:val="28"/>
          <w:szCs w:val="28"/>
          <w:highlight w:val="none"/>
          <w14:textFill>
            <w14:solidFill>
              <w14:schemeClr w14:val="tx1"/>
            </w14:solidFill>
          </w14:textFill>
        </w:rPr>
      </w:pPr>
    </w:p>
    <w:p w14:paraId="78901563">
      <w:pPr>
        <w:pageBreakBefore w:val="0"/>
        <w:wordWrap/>
        <w:topLinePunct w:val="0"/>
        <w:bidi w:val="0"/>
        <w:spacing w:line="560" w:lineRule="exact"/>
        <w:rPr>
          <w:color w:val="000000" w:themeColor="text1"/>
          <w:highlight w:val="none"/>
          <w14:textFill>
            <w14:solidFill>
              <w14:schemeClr w14:val="tx1"/>
            </w14:solidFill>
          </w14:textFill>
        </w:rPr>
      </w:pPr>
    </w:p>
    <w:p w14:paraId="3DAB1E89">
      <w:pPr>
        <w:keepNext w:val="0"/>
        <w:keepLines w:val="0"/>
        <w:pageBreakBefore w:val="0"/>
        <w:kinsoku/>
        <w:wordWrap/>
        <w:overflowPunct/>
        <w:topLinePunct w:val="0"/>
        <w:autoSpaceDE/>
        <w:autoSpaceDN/>
        <w:bidi w:val="0"/>
        <w:adjustRightInd/>
        <w:snapToGrid/>
        <w:spacing w:line="560" w:lineRule="exact"/>
        <w:ind w:right="0" w:firstLine="0" w:firstLineChars="0"/>
        <w:jc w:val="both"/>
        <w:textAlignment w:val="auto"/>
        <w:rPr>
          <w:rFonts w:hint="eastAsia" w:cs="仿宋_GB2312" w:asciiTheme="minorEastAsia" w:hAnsiTheme="minorEastAsia" w:eastAsiaTheme="minorEastAsia"/>
          <w:b/>
          <w:color w:val="000000" w:themeColor="text1"/>
          <w:sz w:val="28"/>
          <w:szCs w:val="28"/>
          <w:highlight w:val="none"/>
          <w:lang w:eastAsia="zh-CN"/>
          <w14:textFill>
            <w14:solidFill>
              <w14:schemeClr w14:val="tx1"/>
            </w14:solidFill>
          </w14:textFill>
        </w:rPr>
      </w:pPr>
    </w:p>
    <w:p w14:paraId="393A60EC">
      <w:pPr>
        <w:keepNext w:val="0"/>
        <w:keepLines w:val="0"/>
        <w:pageBreakBefore w:val="0"/>
        <w:kinsoku/>
        <w:wordWrap/>
        <w:overflowPunct/>
        <w:topLinePunct w:val="0"/>
        <w:autoSpaceDE/>
        <w:autoSpaceDN/>
        <w:bidi w:val="0"/>
        <w:adjustRightInd/>
        <w:snapToGrid/>
        <w:spacing w:line="560" w:lineRule="exact"/>
        <w:ind w:right="0" w:firstLine="0" w:firstLineChars="0"/>
        <w:jc w:val="both"/>
        <w:textAlignment w:val="auto"/>
        <w:rPr>
          <w:rFonts w:hint="eastAsia" w:cs="仿宋_GB2312" w:asciiTheme="minorEastAsia" w:hAnsiTheme="minorEastAsia" w:eastAsiaTheme="minorEastAsia"/>
          <w:b/>
          <w:color w:val="000000" w:themeColor="text1"/>
          <w:sz w:val="28"/>
          <w:szCs w:val="28"/>
          <w:highlight w:val="none"/>
          <w:lang w:eastAsia="zh-CN"/>
          <w14:textFill>
            <w14:solidFill>
              <w14:schemeClr w14:val="tx1"/>
            </w14:solidFill>
          </w14:textFill>
        </w:rPr>
      </w:pPr>
    </w:p>
    <w:p w14:paraId="2714B9EA">
      <w:pPr>
        <w:keepNext w:val="0"/>
        <w:keepLines w:val="0"/>
        <w:pageBreakBefore w:val="0"/>
        <w:kinsoku/>
        <w:wordWrap/>
        <w:overflowPunct/>
        <w:topLinePunct w:val="0"/>
        <w:autoSpaceDE/>
        <w:autoSpaceDN/>
        <w:bidi w:val="0"/>
        <w:adjustRightInd/>
        <w:snapToGrid/>
        <w:spacing w:line="560" w:lineRule="exact"/>
        <w:ind w:right="0" w:firstLine="0" w:firstLineChars="0"/>
        <w:jc w:val="both"/>
        <w:textAlignment w:val="auto"/>
        <w:rPr>
          <w:rFonts w:hint="eastAsia" w:cs="仿宋_GB2312" w:asciiTheme="minorEastAsia" w:hAnsiTheme="minorEastAsia" w:eastAsiaTheme="minorEastAsia"/>
          <w:b/>
          <w:color w:val="000000" w:themeColor="text1"/>
          <w:sz w:val="28"/>
          <w:szCs w:val="28"/>
          <w:highlight w:val="none"/>
          <w:lang w:eastAsia="zh-CN"/>
          <w14:textFill>
            <w14:solidFill>
              <w14:schemeClr w14:val="tx1"/>
            </w14:solidFill>
          </w14:textFill>
        </w:rPr>
      </w:pPr>
    </w:p>
    <w:p w14:paraId="659FC28C">
      <w:pPr>
        <w:keepNext w:val="0"/>
        <w:keepLines w:val="0"/>
        <w:pageBreakBefore w:val="0"/>
        <w:kinsoku/>
        <w:wordWrap/>
        <w:overflowPunct/>
        <w:topLinePunct w:val="0"/>
        <w:autoSpaceDE/>
        <w:autoSpaceDN/>
        <w:bidi w:val="0"/>
        <w:adjustRightInd/>
        <w:snapToGrid/>
        <w:spacing w:line="560" w:lineRule="exact"/>
        <w:ind w:right="0" w:firstLine="0" w:firstLineChars="0"/>
        <w:jc w:val="both"/>
        <w:textAlignment w:val="auto"/>
        <w:rPr>
          <w:rFonts w:hint="eastAsia" w:cs="仿宋_GB2312" w:asciiTheme="minorEastAsia" w:hAnsiTheme="minorEastAsia" w:eastAsiaTheme="minorEastAsia"/>
          <w:b/>
          <w:color w:val="000000" w:themeColor="text1"/>
          <w:sz w:val="28"/>
          <w:szCs w:val="28"/>
          <w:highlight w:val="none"/>
          <w:lang w:eastAsia="zh-CN"/>
          <w14:textFill>
            <w14:solidFill>
              <w14:schemeClr w14:val="tx1"/>
            </w14:solidFill>
          </w14:textFill>
        </w:rPr>
      </w:pPr>
    </w:p>
    <w:p w14:paraId="68BF6143">
      <w:pPr>
        <w:bidi w:val="0"/>
        <w:rPr>
          <w:rFonts w:hint="eastAsia"/>
          <w:color w:val="000000" w:themeColor="text1"/>
          <w14:textFill>
            <w14:solidFill>
              <w14:schemeClr w14:val="tx1"/>
            </w14:solidFill>
          </w14:textFill>
        </w:rPr>
      </w:pPr>
      <w:bookmarkStart w:id="226" w:name="_Toc27725"/>
      <w:bookmarkStart w:id="227" w:name="_Toc140742541"/>
      <w:bookmarkStart w:id="228" w:name="_Toc140741996"/>
      <w:bookmarkStart w:id="229" w:name="_Toc138610910"/>
      <w:bookmarkStart w:id="230" w:name="_Toc19686838"/>
      <w:bookmarkStart w:id="231" w:name="_Toc138610908"/>
      <w:bookmarkStart w:id="232" w:name="_Toc140741994"/>
      <w:bookmarkStart w:id="233" w:name="_Toc140742539"/>
    </w:p>
    <w:p w14:paraId="674A69BD">
      <w:pPr>
        <w:pStyle w:val="4"/>
        <w:keepNext w:val="0"/>
        <w:keepLines w:val="0"/>
        <w:pageBreakBefore w:val="0"/>
        <w:wordWrap/>
        <w:topLinePunct w:val="0"/>
        <w:bidi w:val="0"/>
        <w:spacing w:line="560" w:lineRule="exact"/>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第</w:t>
      </w:r>
      <w:r>
        <w:rPr>
          <w:rFonts w:hint="eastAsia"/>
          <w:color w:val="000000" w:themeColor="text1"/>
          <w:highlight w:val="none"/>
          <w:lang w:eastAsia="zh-CN"/>
          <w14:textFill>
            <w14:solidFill>
              <w14:schemeClr w14:val="tx1"/>
            </w14:solidFill>
          </w14:textFill>
        </w:rPr>
        <w:t>二</w:t>
      </w:r>
      <w:r>
        <w:rPr>
          <w:rFonts w:hint="eastAsia"/>
          <w:color w:val="000000" w:themeColor="text1"/>
          <w:highlight w:val="none"/>
          <w14:textFill>
            <w14:solidFill>
              <w14:schemeClr w14:val="tx1"/>
            </w14:solidFill>
          </w14:textFill>
        </w:rPr>
        <w:t>节 报价文件格式</w:t>
      </w:r>
      <w:bookmarkEnd w:id="226"/>
      <w:bookmarkEnd w:id="227"/>
      <w:bookmarkEnd w:id="228"/>
      <w:bookmarkEnd w:id="229"/>
    </w:p>
    <w:p w14:paraId="22AFC323">
      <w:pPr>
        <w:pStyle w:val="17"/>
        <w:keepNext w:val="0"/>
        <w:keepLines w:val="0"/>
        <w:pageBreakBefore w:val="0"/>
        <w:kinsoku/>
        <w:wordWrap/>
        <w:overflowPunct/>
        <w:topLinePunct w:val="0"/>
        <w:autoSpaceDE/>
        <w:autoSpaceDN/>
        <w:bidi w:val="0"/>
        <w:spacing w:line="520" w:lineRule="exact"/>
        <w:textAlignment w:val="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一、投标函</w:t>
      </w:r>
    </w:p>
    <w:p w14:paraId="3E544EA7">
      <w:pPr>
        <w:pStyle w:val="17"/>
        <w:keepNext w:val="0"/>
        <w:keepLines w:val="0"/>
        <w:pageBreakBefore w:val="0"/>
        <w:kinsoku/>
        <w:wordWrap/>
        <w:overflowPunct/>
        <w:topLinePunct w:val="0"/>
        <w:autoSpaceDE/>
        <w:autoSpaceDN/>
        <w:bidi w:val="0"/>
        <w:spacing w:line="520" w:lineRule="exact"/>
        <w:jc w:val="both"/>
        <w:textAlignment w:val="auto"/>
        <w:rPr>
          <w:b w:val="0"/>
          <w:color w:val="000000" w:themeColor="text1"/>
          <w:highlight w:val="none"/>
          <w14:textFill>
            <w14:solidFill>
              <w14:schemeClr w14:val="tx1"/>
            </w14:solidFill>
          </w14:textFill>
        </w:rPr>
      </w:pPr>
      <w:r>
        <w:rPr>
          <w:rFonts w:hint="eastAsia"/>
          <w:b w:val="0"/>
          <w:color w:val="000000" w:themeColor="text1"/>
          <w:highlight w:val="none"/>
          <w14:textFill>
            <w14:solidFill>
              <w14:schemeClr w14:val="tx1"/>
            </w14:solidFill>
          </w14:textFill>
        </w:rPr>
        <w:t>致：</w:t>
      </w:r>
      <w:r>
        <w:rPr>
          <w:rFonts w:hint="eastAsia"/>
          <w:b w:val="0"/>
          <w:color w:val="000000" w:themeColor="text1"/>
          <w:highlight w:val="none"/>
          <w:lang w:eastAsia="zh-CN"/>
          <w14:textFill>
            <w14:solidFill>
              <w14:schemeClr w14:val="tx1"/>
            </w14:solidFill>
          </w14:textFill>
        </w:rPr>
        <w:t>（</w:t>
      </w:r>
      <w:r>
        <w:rPr>
          <w:rFonts w:hint="eastAsia"/>
          <w:b w:val="0"/>
          <w:color w:val="000000" w:themeColor="text1"/>
          <w:highlight w:val="none"/>
          <w:u w:val="single"/>
          <w:lang w:eastAsia="zh-CN"/>
          <w14:textFill>
            <w14:solidFill>
              <w14:schemeClr w14:val="tx1"/>
            </w14:solidFill>
          </w14:textFill>
        </w:rPr>
        <w:t>采购人名称）</w:t>
      </w:r>
      <w:r>
        <w:rPr>
          <w:rFonts w:hint="eastAsia"/>
          <w:b w:val="0"/>
          <w:color w:val="000000" w:themeColor="text1"/>
          <w:highlight w:val="none"/>
          <w:u w:val="single"/>
          <w:lang w:val="en-US" w:eastAsia="zh-CN"/>
          <w14:textFill>
            <w14:solidFill>
              <w14:schemeClr w14:val="tx1"/>
            </w14:solidFill>
          </w14:textFill>
        </w:rPr>
        <w:t xml:space="preserve">              </w:t>
      </w:r>
      <w:r>
        <w:rPr>
          <w:b w:val="0"/>
          <w:color w:val="000000" w:themeColor="text1"/>
          <w:highlight w:val="none"/>
          <w:u w:val="single"/>
          <w14:textFill>
            <w14:solidFill>
              <w14:schemeClr w14:val="tx1"/>
            </w14:solidFill>
          </w14:textFill>
        </w:rPr>
        <w:t xml:space="preserve"> </w:t>
      </w:r>
    </w:p>
    <w:p w14:paraId="6E47D2D9">
      <w:pPr>
        <w:pStyle w:val="17"/>
        <w:keepNext w:val="0"/>
        <w:keepLines w:val="0"/>
        <w:pageBreakBefore w:val="0"/>
        <w:kinsoku/>
        <w:wordWrap/>
        <w:overflowPunct/>
        <w:topLinePunct w:val="0"/>
        <w:autoSpaceDE/>
        <w:autoSpaceDN/>
        <w:bidi w:val="0"/>
        <w:spacing w:line="520" w:lineRule="exact"/>
        <w:ind w:firstLine="560" w:firstLineChars="200"/>
        <w:jc w:val="both"/>
        <w:textAlignment w:val="auto"/>
        <w:rPr>
          <w:b w:val="0"/>
          <w:color w:val="000000" w:themeColor="text1"/>
          <w:highlight w:val="none"/>
          <w14:textFill>
            <w14:solidFill>
              <w14:schemeClr w14:val="tx1"/>
            </w14:solidFill>
          </w14:textFill>
        </w:rPr>
      </w:pPr>
      <w:r>
        <w:rPr>
          <w:rFonts w:hint="eastAsia"/>
          <w:b w:val="0"/>
          <w:color w:val="000000" w:themeColor="text1"/>
          <w:highlight w:val="none"/>
          <w14:textFill>
            <w14:solidFill>
              <w14:schemeClr w14:val="tx1"/>
            </w14:solidFill>
          </w14:textFill>
        </w:rPr>
        <w:t>我方已仔细阅读了贵方组织的</w:t>
      </w:r>
      <w:r>
        <w:rPr>
          <w:b w:val="0"/>
          <w:color w:val="000000" w:themeColor="text1"/>
          <w:highlight w:val="none"/>
          <w:u w:val="single"/>
          <w14:textFill>
            <w14:solidFill>
              <w14:schemeClr w14:val="tx1"/>
            </w14:solidFill>
          </w14:textFill>
        </w:rPr>
        <w:t xml:space="preserve">  </w:t>
      </w:r>
      <w:r>
        <w:rPr>
          <w:rFonts w:hint="eastAsia"/>
          <w:b w:val="0"/>
          <w:color w:val="000000" w:themeColor="text1"/>
          <w:highlight w:val="none"/>
          <w:u w:val="single"/>
          <w:lang w:val="en-US" w:eastAsia="zh-CN"/>
          <w14:textFill>
            <w14:solidFill>
              <w14:schemeClr w14:val="tx1"/>
            </w14:solidFill>
          </w14:textFill>
        </w:rPr>
        <w:t xml:space="preserve">           （项目名称、</w:t>
      </w:r>
      <w:r>
        <w:rPr>
          <w:rFonts w:hint="eastAsia"/>
          <w:b w:val="0"/>
          <w:color w:val="000000" w:themeColor="text1"/>
          <w:highlight w:val="none"/>
          <w:u w:val="single"/>
          <w14:textFill>
            <w14:solidFill>
              <w14:schemeClr w14:val="tx1"/>
            </w14:solidFill>
          </w14:textFill>
        </w:rPr>
        <w:t>项目编号</w:t>
      </w:r>
      <w:r>
        <w:rPr>
          <w:rFonts w:hint="eastAsia"/>
          <w:b w:val="0"/>
          <w:color w:val="000000" w:themeColor="text1"/>
          <w:highlight w:val="none"/>
          <w:u w:val="single"/>
          <w:lang w:eastAsia="zh-CN"/>
          <w14:textFill>
            <w14:solidFill>
              <w14:schemeClr w14:val="tx1"/>
            </w14:solidFill>
          </w14:textFill>
        </w:rPr>
        <w:t>、标项名称</w:t>
      </w:r>
      <w:r>
        <w:rPr>
          <w:rFonts w:hint="eastAsia"/>
          <w:b w:val="0"/>
          <w:color w:val="000000" w:themeColor="text1"/>
          <w:highlight w:val="none"/>
          <w:u w:val="single"/>
          <w:lang w:val="en-US" w:eastAsia="zh-CN"/>
          <w14:textFill>
            <w14:solidFill>
              <w14:schemeClr w14:val="tx1"/>
            </w14:solidFill>
          </w14:textFill>
        </w:rPr>
        <w:t xml:space="preserve">） </w:t>
      </w:r>
      <w:r>
        <w:rPr>
          <w:rFonts w:hint="eastAsia"/>
          <w:b w:val="0"/>
          <w:color w:val="000000" w:themeColor="text1"/>
          <w:highlight w:val="none"/>
          <w14:textFill>
            <w14:solidFill>
              <w14:schemeClr w14:val="tx1"/>
            </w14:solidFill>
          </w14:textFill>
        </w:rPr>
        <w:t>的招标文件的全部内容，授权</w:t>
      </w:r>
      <w:r>
        <w:rPr>
          <w:b w:val="0"/>
          <w:color w:val="000000" w:themeColor="text1"/>
          <w:highlight w:val="none"/>
          <w:u w:val="single"/>
          <w14:textFill>
            <w14:solidFill>
              <w14:schemeClr w14:val="tx1"/>
            </w14:solidFill>
          </w14:textFill>
        </w:rPr>
        <w:t xml:space="preserve">                      </w:t>
      </w:r>
      <w:r>
        <w:rPr>
          <w:rFonts w:hint="eastAsia"/>
          <w:b w:val="0"/>
          <w:color w:val="000000" w:themeColor="text1"/>
          <w:highlight w:val="none"/>
          <w14:textFill>
            <w14:solidFill>
              <w14:schemeClr w14:val="tx1"/>
            </w14:solidFill>
          </w14:textFill>
        </w:rPr>
        <w:t>(全权代表姓名)</w:t>
      </w:r>
      <w:r>
        <w:rPr>
          <w:b w:val="0"/>
          <w:color w:val="000000" w:themeColor="text1"/>
          <w:highlight w:val="none"/>
          <w:u w:val="single"/>
          <w14:textFill>
            <w14:solidFill>
              <w14:schemeClr w14:val="tx1"/>
            </w14:solidFill>
          </w14:textFill>
        </w:rPr>
        <w:t xml:space="preserve">          </w:t>
      </w:r>
      <w:r>
        <w:rPr>
          <w:rFonts w:hint="eastAsia"/>
          <w:b w:val="0"/>
          <w:color w:val="000000" w:themeColor="text1"/>
          <w:highlight w:val="none"/>
          <w14:textFill>
            <w14:solidFill>
              <w14:schemeClr w14:val="tx1"/>
            </w14:solidFill>
          </w14:textFill>
        </w:rPr>
        <w:t xml:space="preserve"> (职务、职称)为全权代表，现正式递交下述文件参加贵方组织的本次政府采购活动： </w:t>
      </w:r>
    </w:p>
    <w:p w14:paraId="55AB20F5">
      <w:pPr>
        <w:pStyle w:val="17"/>
        <w:keepNext w:val="0"/>
        <w:keepLines w:val="0"/>
        <w:pageBreakBefore w:val="0"/>
        <w:kinsoku/>
        <w:wordWrap/>
        <w:overflowPunct/>
        <w:topLinePunct w:val="0"/>
        <w:autoSpaceDE/>
        <w:autoSpaceDN/>
        <w:bidi w:val="0"/>
        <w:spacing w:line="520" w:lineRule="exact"/>
        <w:jc w:val="both"/>
        <w:textAlignment w:val="auto"/>
        <w:rPr>
          <w:b w:val="0"/>
          <w:color w:val="000000" w:themeColor="text1"/>
          <w:highlight w:val="none"/>
          <w14:textFill>
            <w14:solidFill>
              <w14:schemeClr w14:val="tx1"/>
            </w14:solidFill>
          </w14:textFill>
        </w:rPr>
      </w:pPr>
      <w:r>
        <w:rPr>
          <w:rFonts w:hint="eastAsia"/>
          <w:b w:val="0"/>
          <w:color w:val="000000" w:themeColor="text1"/>
          <w:highlight w:val="none"/>
          <w14:textFill>
            <w14:solidFill>
              <w14:schemeClr w14:val="tx1"/>
            </w14:solidFill>
          </w14:textFill>
        </w:rPr>
        <w:t>一、报价文件电子版一份（包含按</w:t>
      </w:r>
      <w:r>
        <w:rPr>
          <w:rFonts w:hint="eastAsia"/>
          <w:b w:val="0"/>
          <w:color w:val="000000" w:themeColor="text1"/>
          <w:highlight w:val="none"/>
          <w:lang w:eastAsia="zh-CN"/>
          <w14:textFill>
            <w14:solidFill>
              <w14:schemeClr w14:val="tx1"/>
            </w14:solidFill>
          </w14:textFill>
        </w:rPr>
        <w:t>供应商</w:t>
      </w:r>
      <w:r>
        <w:rPr>
          <w:rFonts w:hint="eastAsia"/>
          <w:b w:val="0"/>
          <w:color w:val="000000" w:themeColor="text1"/>
          <w:highlight w:val="none"/>
          <w14:textFill>
            <w14:solidFill>
              <w14:schemeClr w14:val="tx1"/>
            </w14:solidFill>
          </w14:textFill>
        </w:rPr>
        <w:t>须知前附表要求提交的全部文件）；</w:t>
      </w:r>
    </w:p>
    <w:p w14:paraId="50C88275">
      <w:pPr>
        <w:pStyle w:val="17"/>
        <w:keepNext w:val="0"/>
        <w:keepLines w:val="0"/>
        <w:pageBreakBefore w:val="0"/>
        <w:kinsoku/>
        <w:wordWrap/>
        <w:overflowPunct/>
        <w:topLinePunct w:val="0"/>
        <w:autoSpaceDE/>
        <w:autoSpaceDN/>
        <w:bidi w:val="0"/>
        <w:spacing w:line="520" w:lineRule="exact"/>
        <w:jc w:val="both"/>
        <w:textAlignment w:val="auto"/>
        <w:rPr>
          <w:b w:val="0"/>
          <w:color w:val="000000" w:themeColor="text1"/>
          <w:highlight w:val="none"/>
          <w14:textFill>
            <w14:solidFill>
              <w14:schemeClr w14:val="tx1"/>
            </w14:solidFill>
          </w14:textFill>
        </w:rPr>
      </w:pPr>
      <w:r>
        <w:rPr>
          <w:rFonts w:hint="eastAsia"/>
          <w:b w:val="0"/>
          <w:color w:val="000000" w:themeColor="text1"/>
          <w:highlight w:val="none"/>
          <w14:textFill>
            <w14:solidFill>
              <w14:schemeClr w14:val="tx1"/>
            </w14:solidFill>
          </w14:textFill>
        </w:rPr>
        <w:t>二、资格文件电子版一份（包含按</w:t>
      </w:r>
      <w:r>
        <w:rPr>
          <w:rFonts w:hint="eastAsia"/>
          <w:b w:val="0"/>
          <w:color w:val="000000" w:themeColor="text1"/>
          <w:highlight w:val="none"/>
          <w:lang w:eastAsia="zh-CN"/>
          <w14:textFill>
            <w14:solidFill>
              <w14:schemeClr w14:val="tx1"/>
            </w14:solidFill>
          </w14:textFill>
        </w:rPr>
        <w:t>供应商</w:t>
      </w:r>
      <w:r>
        <w:rPr>
          <w:rFonts w:hint="eastAsia"/>
          <w:b w:val="0"/>
          <w:color w:val="000000" w:themeColor="text1"/>
          <w:highlight w:val="none"/>
          <w14:textFill>
            <w14:solidFill>
              <w14:schemeClr w14:val="tx1"/>
            </w14:solidFill>
          </w14:textFill>
        </w:rPr>
        <w:t>须知前附表要求提交的全部文件）；</w:t>
      </w:r>
    </w:p>
    <w:p w14:paraId="68A537A4">
      <w:pPr>
        <w:pStyle w:val="17"/>
        <w:keepNext w:val="0"/>
        <w:keepLines w:val="0"/>
        <w:pageBreakBefore w:val="0"/>
        <w:kinsoku/>
        <w:wordWrap/>
        <w:overflowPunct/>
        <w:topLinePunct w:val="0"/>
        <w:autoSpaceDE/>
        <w:autoSpaceDN/>
        <w:bidi w:val="0"/>
        <w:spacing w:line="520" w:lineRule="exact"/>
        <w:jc w:val="both"/>
        <w:textAlignment w:val="auto"/>
        <w:rPr>
          <w:b w:val="0"/>
          <w:color w:val="000000" w:themeColor="text1"/>
          <w:highlight w:val="none"/>
          <w14:textFill>
            <w14:solidFill>
              <w14:schemeClr w14:val="tx1"/>
            </w14:solidFill>
          </w14:textFill>
        </w:rPr>
      </w:pPr>
      <w:r>
        <w:rPr>
          <w:rFonts w:hint="eastAsia"/>
          <w:b w:val="0"/>
          <w:color w:val="000000" w:themeColor="text1"/>
          <w:highlight w:val="none"/>
          <w14:textFill>
            <w14:solidFill>
              <w14:schemeClr w14:val="tx1"/>
            </w14:solidFill>
          </w14:textFill>
        </w:rPr>
        <w:t>三、技术文件电子版一份（包含按</w:t>
      </w:r>
      <w:r>
        <w:rPr>
          <w:rFonts w:hint="eastAsia"/>
          <w:b w:val="0"/>
          <w:color w:val="000000" w:themeColor="text1"/>
          <w:highlight w:val="none"/>
          <w:lang w:eastAsia="zh-CN"/>
          <w14:textFill>
            <w14:solidFill>
              <w14:schemeClr w14:val="tx1"/>
            </w14:solidFill>
          </w14:textFill>
        </w:rPr>
        <w:t>供应商</w:t>
      </w:r>
      <w:r>
        <w:rPr>
          <w:rFonts w:hint="eastAsia"/>
          <w:b w:val="0"/>
          <w:color w:val="000000" w:themeColor="text1"/>
          <w:highlight w:val="none"/>
          <w14:textFill>
            <w14:solidFill>
              <w14:schemeClr w14:val="tx1"/>
            </w14:solidFill>
          </w14:textFill>
        </w:rPr>
        <w:t>须知前附表要求提交的全部文件）；</w:t>
      </w:r>
    </w:p>
    <w:p w14:paraId="0E96128D">
      <w:pPr>
        <w:pStyle w:val="17"/>
        <w:keepNext w:val="0"/>
        <w:keepLines w:val="0"/>
        <w:pageBreakBefore w:val="0"/>
        <w:kinsoku/>
        <w:wordWrap/>
        <w:overflowPunct/>
        <w:topLinePunct w:val="0"/>
        <w:autoSpaceDE/>
        <w:autoSpaceDN/>
        <w:bidi w:val="0"/>
        <w:spacing w:line="520" w:lineRule="exact"/>
        <w:jc w:val="both"/>
        <w:textAlignment w:val="auto"/>
        <w:rPr>
          <w:b w:val="0"/>
          <w:color w:val="000000" w:themeColor="text1"/>
          <w:highlight w:val="none"/>
          <w14:textFill>
            <w14:solidFill>
              <w14:schemeClr w14:val="tx1"/>
            </w14:solidFill>
          </w14:textFill>
        </w:rPr>
      </w:pPr>
      <w:r>
        <w:rPr>
          <w:rFonts w:hint="eastAsia"/>
          <w:b w:val="0"/>
          <w:color w:val="000000" w:themeColor="text1"/>
          <w:highlight w:val="none"/>
          <w14:textFill>
            <w14:solidFill>
              <w14:schemeClr w14:val="tx1"/>
            </w14:solidFill>
          </w14:textFill>
        </w:rPr>
        <w:t>四、商务文件电子版一份（包含按</w:t>
      </w:r>
      <w:r>
        <w:rPr>
          <w:rFonts w:hint="eastAsia"/>
          <w:b w:val="0"/>
          <w:color w:val="000000" w:themeColor="text1"/>
          <w:highlight w:val="none"/>
          <w:lang w:eastAsia="zh-CN"/>
          <w14:textFill>
            <w14:solidFill>
              <w14:schemeClr w14:val="tx1"/>
            </w14:solidFill>
          </w14:textFill>
        </w:rPr>
        <w:t>供应商</w:t>
      </w:r>
      <w:r>
        <w:rPr>
          <w:rFonts w:hint="eastAsia"/>
          <w:b w:val="0"/>
          <w:color w:val="000000" w:themeColor="text1"/>
          <w:highlight w:val="none"/>
          <w14:textFill>
            <w14:solidFill>
              <w14:schemeClr w14:val="tx1"/>
            </w14:solidFill>
          </w14:textFill>
        </w:rPr>
        <w:t>须知前附表要求提交的全部文件）；</w:t>
      </w:r>
    </w:p>
    <w:p w14:paraId="5729E3DE">
      <w:pPr>
        <w:pStyle w:val="17"/>
        <w:keepNext w:val="0"/>
        <w:keepLines w:val="0"/>
        <w:pageBreakBefore w:val="0"/>
        <w:kinsoku/>
        <w:wordWrap/>
        <w:overflowPunct/>
        <w:topLinePunct w:val="0"/>
        <w:autoSpaceDE/>
        <w:autoSpaceDN/>
        <w:bidi w:val="0"/>
        <w:spacing w:line="520" w:lineRule="exact"/>
        <w:jc w:val="both"/>
        <w:textAlignment w:val="auto"/>
        <w:rPr>
          <w:b w:val="0"/>
          <w:color w:val="000000" w:themeColor="text1"/>
          <w:highlight w:val="none"/>
          <w14:textFill>
            <w14:solidFill>
              <w14:schemeClr w14:val="tx1"/>
            </w14:solidFill>
          </w14:textFill>
        </w:rPr>
      </w:pPr>
      <w:r>
        <w:rPr>
          <w:rFonts w:hint="eastAsia"/>
          <w:b w:val="0"/>
          <w:color w:val="000000" w:themeColor="text1"/>
          <w:highlight w:val="none"/>
          <w14:textFill>
            <w14:solidFill>
              <w14:schemeClr w14:val="tx1"/>
            </w14:solidFill>
          </w14:textFill>
        </w:rPr>
        <w:t>据此函，签字人兹宣布：</w:t>
      </w:r>
    </w:p>
    <w:p w14:paraId="6E339B20">
      <w:pPr>
        <w:pStyle w:val="17"/>
        <w:keepNext w:val="0"/>
        <w:keepLines w:val="0"/>
        <w:pageBreakBefore w:val="0"/>
        <w:kinsoku/>
        <w:wordWrap/>
        <w:overflowPunct/>
        <w:topLinePunct w:val="0"/>
        <w:autoSpaceDE/>
        <w:autoSpaceDN/>
        <w:bidi w:val="0"/>
        <w:spacing w:line="520" w:lineRule="exact"/>
        <w:jc w:val="both"/>
        <w:textAlignment w:val="auto"/>
        <w:rPr>
          <w:b w:val="0"/>
          <w:color w:val="000000" w:themeColor="text1"/>
          <w:highlight w:val="none"/>
          <w:u w:val="single"/>
          <w14:textFill>
            <w14:solidFill>
              <w14:schemeClr w14:val="tx1"/>
            </w14:solidFill>
          </w14:textFill>
        </w:rPr>
      </w:pPr>
      <w:r>
        <w:rPr>
          <w:rFonts w:hint="eastAsia"/>
          <w:b w:val="0"/>
          <w:color w:val="000000" w:themeColor="text1"/>
          <w:highlight w:val="none"/>
          <w14:textFill>
            <w14:solidFill>
              <w14:schemeClr w14:val="tx1"/>
            </w14:solidFill>
          </w14:textFill>
        </w:rPr>
        <w:t>1、我方愿意以</w:t>
      </w:r>
      <w:r>
        <w:rPr>
          <w:rFonts w:hint="eastAsia"/>
          <w:b w:val="0"/>
          <w:color w:val="000000" w:themeColor="text1"/>
          <w:highlight w:val="none"/>
          <w:u w:val="single"/>
          <w14:textFill>
            <w14:solidFill>
              <w14:schemeClr w14:val="tx1"/>
            </w14:solidFill>
          </w14:textFill>
        </w:rPr>
        <w:t xml:space="preserve">          </w:t>
      </w:r>
      <w:r>
        <w:rPr>
          <w:rFonts w:hint="eastAsia"/>
          <w:b w:val="0"/>
          <w:color w:val="000000" w:themeColor="text1"/>
          <w:highlight w:val="none"/>
          <w14:textFill>
            <w14:solidFill>
              <w14:schemeClr w14:val="tx1"/>
            </w14:solidFill>
          </w14:textFill>
        </w:rPr>
        <w:t>元（大写：        ），供货期</w:t>
      </w:r>
      <w:r>
        <w:rPr>
          <w:rFonts w:hint="eastAsia"/>
          <w:b w:val="0"/>
          <w:color w:val="000000" w:themeColor="text1"/>
          <w:highlight w:val="none"/>
          <w:u w:val="single"/>
          <w14:textFill>
            <w14:solidFill>
              <w14:schemeClr w14:val="tx1"/>
            </w14:solidFill>
          </w14:textFill>
        </w:rPr>
        <w:t xml:space="preserve">             </w:t>
      </w:r>
      <w:r>
        <w:rPr>
          <w:rFonts w:hint="eastAsia"/>
          <w:b w:val="0"/>
          <w:color w:val="000000" w:themeColor="text1"/>
          <w:highlight w:val="none"/>
          <w14:textFill>
            <w14:solidFill>
              <w14:schemeClr w14:val="tx1"/>
            </w14:solidFill>
          </w14:textFill>
        </w:rPr>
        <w:t>，提供本项目招标文件第三章“采购需求”中的相应的采购内容。</w:t>
      </w:r>
    </w:p>
    <w:p w14:paraId="2014437E">
      <w:pPr>
        <w:pStyle w:val="17"/>
        <w:keepNext w:val="0"/>
        <w:keepLines w:val="0"/>
        <w:pageBreakBefore w:val="0"/>
        <w:kinsoku/>
        <w:wordWrap/>
        <w:overflowPunct/>
        <w:topLinePunct w:val="0"/>
        <w:autoSpaceDE/>
        <w:autoSpaceDN/>
        <w:bidi w:val="0"/>
        <w:spacing w:line="520" w:lineRule="exact"/>
        <w:jc w:val="both"/>
        <w:textAlignment w:val="auto"/>
        <w:rPr>
          <w:b w:val="0"/>
          <w:color w:val="000000" w:themeColor="text1"/>
          <w:highlight w:val="none"/>
          <w:u w:val="single"/>
          <w14:textFill>
            <w14:solidFill>
              <w14:schemeClr w14:val="tx1"/>
            </w14:solidFill>
          </w14:textFill>
        </w:rPr>
      </w:pPr>
      <w:r>
        <w:rPr>
          <w:rFonts w:hint="eastAsia"/>
          <w:b w:val="0"/>
          <w:color w:val="000000" w:themeColor="text1"/>
          <w:highlight w:val="none"/>
          <w14:textFill>
            <w14:solidFill>
              <w14:schemeClr w14:val="tx1"/>
            </w14:solidFill>
          </w14:textFill>
        </w:rPr>
        <w:t xml:space="preserve">2、我方同意自本项目招标文件“第二章 </w:t>
      </w:r>
      <w:r>
        <w:rPr>
          <w:rFonts w:hint="eastAsia"/>
          <w:b w:val="0"/>
          <w:color w:val="000000" w:themeColor="text1"/>
          <w:highlight w:val="none"/>
          <w:lang w:eastAsia="zh-CN"/>
          <w14:textFill>
            <w14:solidFill>
              <w14:schemeClr w14:val="tx1"/>
            </w14:solidFill>
          </w14:textFill>
        </w:rPr>
        <w:t>供应商</w:t>
      </w:r>
      <w:r>
        <w:rPr>
          <w:rFonts w:hint="eastAsia"/>
          <w:b w:val="0"/>
          <w:color w:val="000000" w:themeColor="text1"/>
          <w:highlight w:val="none"/>
          <w14:textFill>
            <w14:solidFill>
              <w14:schemeClr w14:val="tx1"/>
            </w14:solidFill>
          </w14:textFill>
        </w:rPr>
        <w:t xml:space="preserve">须知”第一节 </w:t>
      </w:r>
      <w:r>
        <w:rPr>
          <w:rFonts w:hint="eastAsia"/>
          <w:b w:val="0"/>
          <w:color w:val="000000" w:themeColor="text1"/>
          <w:highlight w:val="none"/>
          <w:lang w:eastAsia="zh-CN"/>
          <w14:textFill>
            <w14:solidFill>
              <w14:schemeClr w14:val="tx1"/>
            </w14:solidFill>
          </w14:textFill>
        </w:rPr>
        <w:t>供应商</w:t>
      </w:r>
      <w:r>
        <w:rPr>
          <w:rFonts w:hint="eastAsia"/>
          <w:b w:val="0"/>
          <w:color w:val="000000" w:themeColor="text1"/>
          <w:highlight w:val="none"/>
          <w14:textFill>
            <w14:solidFill>
              <w14:schemeClr w14:val="tx1"/>
            </w14:solidFill>
          </w14:textFill>
        </w:rPr>
        <w:t>须知前附表的投标截止时间（开标时间）起遵循本投标函，并承诺在“</w:t>
      </w:r>
      <w:r>
        <w:rPr>
          <w:rFonts w:hint="eastAsia"/>
          <w:b w:val="0"/>
          <w:color w:val="000000" w:themeColor="text1"/>
          <w:highlight w:val="none"/>
          <w:lang w:eastAsia="zh-CN"/>
          <w14:textFill>
            <w14:solidFill>
              <w14:schemeClr w14:val="tx1"/>
            </w14:solidFill>
          </w14:textFill>
        </w:rPr>
        <w:t>供应商</w:t>
      </w:r>
      <w:r>
        <w:rPr>
          <w:rFonts w:hint="eastAsia"/>
          <w:b w:val="0"/>
          <w:color w:val="000000" w:themeColor="text1"/>
          <w:highlight w:val="none"/>
          <w14:textFill>
            <w14:solidFill>
              <w14:schemeClr w14:val="tx1"/>
            </w14:solidFill>
          </w14:textFill>
        </w:rPr>
        <w:t>须知前附表”的投标有效期内不修改、撤销投标文件。</w:t>
      </w:r>
    </w:p>
    <w:p w14:paraId="5F2404E1">
      <w:pPr>
        <w:pStyle w:val="17"/>
        <w:keepNext w:val="0"/>
        <w:keepLines w:val="0"/>
        <w:pageBreakBefore w:val="0"/>
        <w:kinsoku/>
        <w:wordWrap/>
        <w:overflowPunct/>
        <w:topLinePunct w:val="0"/>
        <w:autoSpaceDE/>
        <w:autoSpaceDN/>
        <w:bidi w:val="0"/>
        <w:spacing w:line="520" w:lineRule="exact"/>
        <w:jc w:val="both"/>
        <w:textAlignment w:val="auto"/>
        <w:rPr>
          <w:b w:val="0"/>
          <w:color w:val="000000" w:themeColor="text1"/>
          <w:highlight w:val="none"/>
          <w:u w:val="single"/>
          <w14:textFill>
            <w14:solidFill>
              <w14:schemeClr w14:val="tx1"/>
            </w14:solidFill>
          </w14:textFill>
        </w:rPr>
      </w:pPr>
      <w:r>
        <w:rPr>
          <w:rFonts w:hint="eastAsia"/>
          <w:b w:val="0"/>
          <w:color w:val="000000" w:themeColor="text1"/>
          <w:highlight w:val="none"/>
          <w14:textFill>
            <w14:solidFill>
              <w14:schemeClr w14:val="tx1"/>
            </w14:solidFill>
          </w14:textFill>
        </w:rPr>
        <w:t>3、我方所递交的投标文件及有关资料都是内容完整、真实和准确的。</w:t>
      </w:r>
    </w:p>
    <w:p w14:paraId="0FF183FD">
      <w:pPr>
        <w:pStyle w:val="17"/>
        <w:keepNext w:val="0"/>
        <w:keepLines w:val="0"/>
        <w:pageBreakBefore w:val="0"/>
        <w:kinsoku/>
        <w:wordWrap/>
        <w:overflowPunct/>
        <w:topLinePunct w:val="0"/>
        <w:autoSpaceDE/>
        <w:autoSpaceDN/>
        <w:bidi w:val="0"/>
        <w:spacing w:line="520" w:lineRule="exact"/>
        <w:jc w:val="both"/>
        <w:textAlignment w:val="auto"/>
        <w:rPr>
          <w:b w:val="0"/>
          <w:color w:val="000000" w:themeColor="text1"/>
          <w:highlight w:val="none"/>
          <w14:textFill>
            <w14:solidFill>
              <w14:schemeClr w14:val="tx1"/>
            </w14:solidFill>
          </w14:textFill>
        </w:rPr>
      </w:pPr>
      <w:r>
        <w:rPr>
          <w:rFonts w:hint="eastAsia"/>
          <w:b w:val="0"/>
          <w:color w:val="000000" w:themeColor="text1"/>
          <w:highlight w:val="none"/>
          <w14:textFill>
            <w14:solidFill>
              <w14:schemeClr w14:val="tx1"/>
            </w14:solidFill>
          </w14:textFill>
        </w:rPr>
        <w:t>4、如本项目采购内容涉及须符合国家强制规定的，我方承诺我方本次投标（包括资格条件和所投产品）均符合国家有关强制规定。</w:t>
      </w:r>
    </w:p>
    <w:p w14:paraId="2DDDBC7C">
      <w:pPr>
        <w:pStyle w:val="17"/>
        <w:keepNext w:val="0"/>
        <w:keepLines w:val="0"/>
        <w:pageBreakBefore w:val="0"/>
        <w:kinsoku/>
        <w:wordWrap/>
        <w:overflowPunct/>
        <w:topLinePunct w:val="0"/>
        <w:autoSpaceDE/>
        <w:autoSpaceDN/>
        <w:bidi w:val="0"/>
        <w:spacing w:line="520" w:lineRule="exact"/>
        <w:jc w:val="both"/>
        <w:textAlignment w:val="auto"/>
        <w:rPr>
          <w:b w:val="0"/>
          <w:color w:val="000000" w:themeColor="text1"/>
          <w:highlight w:val="none"/>
          <w14:textFill>
            <w14:solidFill>
              <w14:schemeClr w14:val="tx1"/>
            </w14:solidFill>
          </w14:textFill>
        </w:rPr>
      </w:pPr>
      <w:r>
        <w:rPr>
          <w:rFonts w:hint="eastAsia"/>
          <w:b w:val="0"/>
          <w:color w:val="000000" w:themeColor="text1"/>
          <w:highlight w:val="none"/>
          <w14:textFill>
            <w14:solidFill>
              <w14:schemeClr w14:val="tx1"/>
            </w14:solidFill>
          </w14:textFill>
        </w:rPr>
        <w:t>5、如我方中标，我方承诺在收到中标通知书后，在中标通知书规定的期限内，根据招标文件、我方的投标文件及有关澄清承诺书的要求按第五章“拟签订的合同文本”与采购人订立书面合同，并按照合同约定承担完成合同的责任和义务。</w:t>
      </w:r>
    </w:p>
    <w:p w14:paraId="232DEC04">
      <w:pPr>
        <w:pStyle w:val="17"/>
        <w:keepNext w:val="0"/>
        <w:keepLines w:val="0"/>
        <w:pageBreakBefore w:val="0"/>
        <w:kinsoku/>
        <w:wordWrap/>
        <w:overflowPunct/>
        <w:topLinePunct w:val="0"/>
        <w:autoSpaceDE/>
        <w:autoSpaceDN/>
        <w:bidi w:val="0"/>
        <w:spacing w:line="520" w:lineRule="exact"/>
        <w:jc w:val="both"/>
        <w:textAlignment w:val="auto"/>
        <w:rPr>
          <w:b w:val="0"/>
          <w:color w:val="000000" w:themeColor="text1"/>
          <w:highlight w:val="none"/>
          <w14:textFill>
            <w14:solidFill>
              <w14:schemeClr w14:val="tx1"/>
            </w14:solidFill>
          </w14:textFill>
        </w:rPr>
      </w:pPr>
      <w:r>
        <w:rPr>
          <w:rFonts w:hint="eastAsia"/>
          <w:b w:val="0"/>
          <w:color w:val="000000" w:themeColor="text1"/>
          <w:highlight w:val="none"/>
          <w14:textFill>
            <w14:solidFill>
              <w14:schemeClr w14:val="tx1"/>
            </w14:solidFill>
          </w14:textFill>
        </w:rPr>
        <w:t>6、我方已详细审核招标文件，我方知道必须放弃提出含糊不清或误解问题的权利。</w:t>
      </w:r>
    </w:p>
    <w:p w14:paraId="41B61D6D">
      <w:pPr>
        <w:pStyle w:val="17"/>
        <w:keepNext w:val="0"/>
        <w:keepLines w:val="0"/>
        <w:pageBreakBefore w:val="0"/>
        <w:kinsoku/>
        <w:wordWrap/>
        <w:overflowPunct/>
        <w:topLinePunct w:val="0"/>
        <w:autoSpaceDE/>
        <w:autoSpaceDN/>
        <w:bidi w:val="0"/>
        <w:spacing w:line="520" w:lineRule="exact"/>
        <w:jc w:val="both"/>
        <w:textAlignment w:val="auto"/>
        <w:rPr>
          <w:b w:val="0"/>
          <w:color w:val="000000" w:themeColor="text1"/>
          <w:highlight w:val="none"/>
          <w14:textFill>
            <w14:solidFill>
              <w14:schemeClr w14:val="tx1"/>
            </w14:solidFill>
          </w14:textFill>
        </w:rPr>
      </w:pPr>
      <w:r>
        <w:rPr>
          <w:rFonts w:hint="eastAsia"/>
          <w:b w:val="0"/>
          <w:color w:val="000000" w:themeColor="text1"/>
          <w:highlight w:val="none"/>
          <w14:textFill>
            <w14:solidFill>
              <w14:schemeClr w14:val="tx1"/>
            </w14:solidFill>
          </w14:textFill>
        </w:rPr>
        <w:t>7、我方同意应贵方要求提供与本投标有关的任何数据或资料。若贵方需要，我方愿意提供我方作出的一切承诺的证明材料。</w:t>
      </w:r>
    </w:p>
    <w:p w14:paraId="7C422A8F">
      <w:pPr>
        <w:pStyle w:val="17"/>
        <w:keepNext w:val="0"/>
        <w:keepLines w:val="0"/>
        <w:pageBreakBefore w:val="0"/>
        <w:kinsoku/>
        <w:wordWrap/>
        <w:overflowPunct/>
        <w:topLinePunct w:val="0"/>
        <w:autoSpaceDE/>
        <w:autoSpaceDN/>
        <w:bidi w:val="0"/>
        <w:spacing w:line="520" w:lineRule="exact"/>
        <w:jc w:val="both"/>
        <w:textAlignment w:val="auto"/>
        <w:rPr>
          <w:b w:val="0"/>
          <w:color w:val="000000" w:themeColor="text1"/>
          <w:highlight w:val="none"/>
          <w14:textFill>
            <w14:solidFill>
              <w14:schemeClr w14:val="tx1"/>
            </w14:solidFill>
          </w14:textFill>
        </w:rPr>
      </w:pPr>
      <w:r>
        <w:rPr>
          <w:rFonts w:hint="eastAsia"/>
          <w:b w:val="0"/>
          <w:color w:val="000000" w:themeColor="text1"/>
          <w:highlight w:val="none"/>
          <w14:textFill>
            <w14:solidFill>
              <w14:schemeClr w14:val="tx1"/>
            </w14:solidFill>
          </w14:textFill>
        </w:rPr>
        <w:t>8、我方完全理解贵方不一定接受投标报价最低的</w:t>
      </w:r>
      <w:r>
        <w:rPr>
          <w:rFonts w:hint="eastAsia"/>
          <w:b w:val="0"/>
          <w:color w:val="000000" w:themeColor="text1"/>
          <w:highlight w:val="none"/>
          <w:lang w:eastAsia="zh-CN"/>
          <w14:textFill>
            <w14:solidFill>
              <w14:schemeClr w14:val="tx1"/>
            </w14:solidFill>
          </w14:textFill>
        </w:rPr>
        <w:t>供应商</w:t>
      </w:r>
      <w:r>
        <w:rPr>
          <w:rFonts w:hint="eastAsia"/>
          <w:b w:val="0"/>
          <w:color w:val="000000" w:themeColor="text1"/>
          <w:highlight w:val="none"/>
          <w14:textFill>
            <w14:solidFill>
              <w14:schemeClr w14:val="tx1"/>
            </w14:solidFill>
          </w14:textFill>
        </w:rPr>
        <w:t>为中标供应商的行为。</w:t>
      </w:r>
    </w:p>
    <w:p w14:paraId="6A0898A0">
      <w:pPr>
        <w:pStyle w:val="17"/>
        <w:keepNext w:val="0"/>
        <w:keepLines w:val="0"/>
        <w:pageBreakBefore w:val="0"/>
        <w:kinsoku/>
        <w:wordWrap/>
        <w:overflowPunct/>
        <w:topLinePunct w:val="0"/>
        <w:autoSpaceDE/>
        <w:autoSpaceDN/>
        <w:bidi w:val="0"/>
        <w:spacing w:line="520" w:lineRule="exact"/>
        <w:jc w:val="both"/>
        <w:textAlignment w:val="auto"/>
        <w:rPr>
          <w:b w:val="0"/>
          <w:color w:val="000000" w:themeColor="text1"/>
          <w:highlight w:val="none"/>
          <w14:textFill>
            <w14:solidFill>
              <w14:schemeClr w14:val="tx1"/>
            </w14:solidFill>
          </w14:textFill>
        </w:rPr>
      </w:pPr>
      <w:r>
        <w:rPr>
          <w:rFonts w:hint="eastAsia"/>
          <w:b w:val="0"/>
          <w:color w:val="000000" w:themeColor="text1"/>
          <w:highlight w:val="none"/>
          <w14:textFill>
            <w14:solidFill>
              <w14:schemeClr w14:val="tx1"/>
            </w14:solidFill>
          </w14:textFill>
        </w:rPr>
        <w:t>9、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1696AAB0">
      <w:pPr>
        <w:pStyle w:val="17"/>
        <w:keepNext w:val="0"/>
        <w:keepLines w:val="0"/>
        <w:pageBreakBefore w:val="0"/>
        <w:numPr>
          <w:ilvl w:val="0"/>
          <w:numId w:val="12"/>
        </w:numPr>
        <w:kinsoku/>
        <w:wordWrap/>
        <w:overflowPunct/>
        <w:topLinePunct w:val="0"/>
        <w:autoSpaceDE/>
        <w:autoSpaceDN/>
        <w:bidi w:val="0"/>
        <w:spacing w:line="520" w:lineRule="exact"/>
        <w:jc w:val="both"/>
        <w:textAlignment w:val="auto"/>
        <w:rPr>
          <w:b w:val="0"/>
          <w:color w:val="000000" w:themeColor="text1"/>
          <w:highlight w:val="none"/>
          <w14:textFill>
            <w14:solidFill>
              <w14:schemeClr w14:val="tx1"/>
            </w14:solidFill>
          </w14:textFill>
        </w:rPr>
      </w:pPr>
      <w:r>
        <w:rPr>
          <w:rFonts w:hint="eastAsia"/>
          <w:b w:val="0"/>
          <w:color w:val="000000" w:themeColor="text1"/>
          <w:highlight w:val="none"/>
          <w14:textFill>
            <w14:solidFill>
              <w14:schemeClr w14:val="tx1"/>
            </w14:solidFill>
          </w14:textFill>
        </w:rPr>
        <w:t>提供虚假材料谋取中标、成交的；</w:t>
      </w:r>
    </w:p>
    <w:p w14:paraId="1C47165E">
      <w:pPr>
        <w:pStyle w:val="17"/>
        <w:keepNext w:val="0"/>
        <w:keepLines w:val="0"/>
        <w:pageBreakBefore w:val="0"/>
        <w:numPr>
          <w:ilvl w:val="0"/>
          <w:numId w:val="12"/>
        </w:numPr>
        <w:kinsoku/>
        <w:wordWrap/>
        <w:overflowPunct/>
        <w:topLinePunct w:val="0"/>
        <w:autoSpaceDE/>
        <w:autoSpaceDN/>
        <w:bidi w:val="0"/>
        <w:spacing w:line="520" w:lineRule="exact"/>
        <w:jc w:val="both"/>
        <w:textAlignment w:val="auto"/>
        <w:rPr>
          <w:b w:val="0"/>
          <w:color w:val="000000" w:themeColor="text1"/>
          <w:highlight w:val="none"/>
          <w14:textFill>
            <w14:solidFill>
              <w14:schemeClr w14:val="tx1"/>
            </w14:solidFill>
          </w14:textFill>
        </w:rPr>
      </w:pPr>
      <w:r>
        <w:rPr>
          <w:rFonts w:hint="eastAsia"/>
          <w:b w:val="0"/>
          <w:color w:val="000000" w:themeColor="text1"/>
          <w:highlight w:val="none"/>
          <w14:textFill>
            <w14:solidFill>
              <w14:schemeClr w14:val="tx1"/>
            </w14:solidFill>
          </w14:textFill>
        </w:rPr>
        <w:t>采取不正当手段诋毁、排挤其他供应商的；</w:t>
      </w:r>
    </w:p>
    <w:p w14:paraId="754F99E6">
      <w:pPr>
        <w:pStyle w:val="17"/>
        <w:keepNext w:val="0"/>
        <w:keepLines w:val="0"/>
        <w:pageBreakBefore w:val="0"/>
        <w:numPr>
          <w:ilvl w:val="0"/>
          <w:numId w:val="12"/>
        </w:numPr>
        <w:kinsoku/>
        <w:wordWrap/>
        <w:overflowPunct/>
        <w:topLinePunct w:val="0"/>
        <w:autoSpaceDE/>
        <w:autoSpaceDN/>
        <w:bidi w:val="0"/>
        <w:spacing w:line="520" w:lineRule="exact"/>
        <w:jc w:val="both"/>
        <w:textAlignment w:val="auto"/>
        <w:rPr>
          <w:b w:val="0"/>
          <w:color w:val="000000" w:themeColor="text1"/>
          <w:highlight w:val="none"/>
          <w14:textFill>
            <w14:solidFill>
              <w14:schemeClr w14:val="tx1"/>
            </w14:solidFill>
          </w14:textFill>
        </w:rPr>
      </w:pPr>
      <w:r>
        <w:rPr>
          <w:rFonts w:hint="eastAsia"/>
          <w:b w:val="0"/>
          <w:color w:val="000000" w:themeColor="text1"/>
          <w:highlight w:val="none"/>
          <w14:textFill>
            <w14:solidFill>
              <w14:schemeClr w14:val="tx1"/>
            </w14:solidFill>
          </w14:textFill>
        </w:rPr>
        <w:t>与采购人、其他供应商或者采购代理机构恶意串通的；</w:t>
      </w:r>
    </w:p>
    <w:p w14:paraId="15CF3FE5">
      <w:pPr>
        <w:pStyle w:val="17"/>
        <w:keepNext w:val="0"/>
        <w:keepLines w:val="0"/>
        <w:pageBreakBefore w:val="0"/>
        <w:numPr>
          <w:ilvl w:val="0"/>
          <w:numId w:val="12"/>
        </w:numPr>
        <w:kinsoku/>
        <w:wordWrap/>
        <w:overflowPunct/>
        <w:topLinePunct w:val="0"/>
        <w:autoSpaceDE/>
        <w:autoSpaceDN/>
        <w:bidi w:val="0"/>
        <w:spacing w:line="520" w:lineRule="exact"/>
        <w:jc w:val="both"/>
        <w:textAlignment w:val="auto"/>
        <w:rPr>
          <w:b w:val="0"/>
          <w:color w:val="000000" w:themeColor="text1"/>
          <w:highlight w:val="none"/>
          <w14:textFill>
            <w14:solidFill>
              <w14:schemeClr w14:val="tx1"/>
            </w14:solidFill>
          </w14:textFill>
        </w:rPr>
      </w:pPr>
      <w:r>
        <w:rPr>
          <w:rFonts w:hint="eastAsia"/>
          <w:b w:val="0"/>
          <w:color w:val="000000" w:themeColor="text1"/>
          <w:highlight w:val="none"/>
          <w14:textFill>
            <w14:solidFill>
              <w14:schemeClr w14:val="tx1"/>
            </w14:solidFill>
          </w14:textFill>
        </w:rPr>
        <w:t>向采购人、采购代理机构行贿或者提供其他不正当利益的；</w:t>
      </w:r>
    </w:p>
    <w:p w14:paraId="528CD687">
      <w:pPr>
        <w:pStyle w:val="17"/>
        <w:keepNext w:val="0"/>
        <w:keepLines w:val="0"/>
        <w:pageBreakBefore w:val="0"/>
        <w:numPr>
          <w:ilvl w:val="0"/>
          <w:numId w:val="12"/>
        </w:numPr>
        <w:kinsoku/>
        <w:wordWrap/>
        <w:overflowPunct/>
        <w:topLinePunct w:val="0"/>
        <w:autoSpaceDE/>
        <w:autoSpaceDN/>
        <w:bidi w:val="0"/>
        <w:spacing w:line="520" w:lineRule="exact"/>
        <w:jc w:val="both"/>
        <w:textAlignment w:val="auto"/>
        <w:rPr>
          <w:b w:val="0"/>
          <w:color w:val="000000" w:themeColor="text1"/>
          <w:highlight w:val="none"/>
          <w14:textFill>
            <w14:solidFill>
              <w14:schemeClr w14:val="tx1"/>
            </w14:solidFill>
          </w14:textFill>
        </w:rPr>
      </w:pPr>
      <w:r>
        <w:rPr>
          <w:rFonts w:hint="eastAsia"/>
          <w:b w:val="0"/>
          <w:color w:val="000000" w:themeColor="text1"/>
          <w:highlight w:val="none"/>
          <w14:textFill>
            <w14:solidFill>
              <w14:schemeClr w14:val="tx1"/>
            </w14:solidFill>
          </w14:textFill>
        </w:rPr>
        <w:t>在招标采购过程中与采购人进行协商谈判的；</w:t>
      </w:r>
    </w:p>
    <w:p w14:paraId="742A24F1">
      <w:pPr>
        <w:pStyle w:val="17"/>
        <w:keepNext w:val="0"/>
        <w:keepLines w:val="0"/>
        <w:pageBreakBefore w:val="0"/>
        <w:numPr>
          <w:ilvl w:val="0"/>
          <w:numId w:val="12"/>
        </w:numPr>
        <w:kinsoku/>
        <w:wordWrap/>
        <w:overflowPunct/>
        <w:topLinePunct w:val="0"/>
        <w:autoSpaceDE/>
        <w:autoSpaceDN/>
        <w:bidi w:val="0"/>
        <w:spacing w:line="520" w:lineRule="exact"/>
        <w:jc w:val="both"/>
        <w:textAlignment w:val="auto"/>
        <w:rPr>
          <w:b w:val="0"/>
          <w:color w:val="000000" w:themeColor="text1"/>
          <w:highlight w:val="none"/>
          <w14:textFill>
            <w14:solidFill>
              <w14:schemeClr w14:val="tx1"/>
            </w14:solidFill>
          </w14:textFill>
        </w:rPr>
      </w:pPr>
      <w:r>
        <w:rPr>
          <w:rFonts w:hint="eastAsia"/>
          <w:b w:val="0"/>
          <w:color w:val="000000" w:themeColor="text1"/>
          <w:highlight w:val="none"/>
          <w14:textFill>
            <w14:solidFill>
              <w14:schemeClr w14:val="tx1"/>
            </w14:solidFill>
          </w14:textFill>
        </w:rPr>
        <w:t>拒绝有关部门监督检查或提供虚假情况的。</w:t>
      </w:r>
    </w:p>
    <w:p w14:paraId="3F4CAC0A">
      <w:pPr>
        <w:pStyle w:val="17"/>
        <w:keepNext w:val="0"/>
        <w:keepLines w:val="0"/>
        <w:pageBreakBefore w:val="0"/>
        <w:kinsoku/>
        <w:wordWrap/>
        <w:overflowPunct/>
        <w:topLinePunct w:val="0"/>
        <w:autoSpaceDE/>
        <w:autoSpaceDN/>
        <w:bidi w:val="0"/>
        <w:spacing w:line="520" w:lineRule="exact"/>
        <w:jc w:val="both"/>
        <w:textAlignment w:val="auto"/>
        <w:rPr>
          <w:b w:val="0"/>
          <w:color w:val="000000" w:themeColor="text1"/>
          <w:highlight w:val="none"/>
          <w14:textFill>
            <w14:solidFill>
              <w14:schemeClr w14:val="tx1"/>
            </w14:solidFill>
          </w14:textFill>
        </w:rPr>
      </w:pPr>
      <w:r>
        <w:rPr>
          <w:rFonts w:hint="eastAsia"/>
          <w:b w:val="0"/>
          <w:color w:val="000000" w:themeColor="text1"/>
          <w:highlight w:val="none"/>
          <w14:textFill>
            <w14:solidFill>
              <w14:schemeClr w14:val="tx1"/>
            </w14:solidFill>
          </w14:textFill>
        </w:rPr>
        <w:t xml:space="preserve">10、我方及由本人担任法定代表人的其他机构最近三年内被处罚的违法行为有：                                                                                                                                                              </w:t>
      </w:r>
    </w:p>
    <w:p w14:paraId="0FAF2A87">
      <w:pPr>
        <w:pStyle w:val="17"/>
        <w:keepNext w:val="0"/>
        <w:keepLines w:val="0"/>
        <w:pageBreakBefore w:val="0"/>
        <w:kinsoku/>
        <w:wordWrap/>
        <w:overflowPunct/>
        <w:topLinePunct w:val="0"/>
        <w:autoSpaceDE/>
        <w:autoSpaceDN/>
        <w:bidi w:val="0"/>
        <w:spacing w:line="520" w:lineRule="exact"/>
        <w:jc w:val="both"/>
        <w:textAlignment w:val="auto"/>
        <w:rPr>
          <w:b w:val="0"/>
          <w:color w:val="000000" w:themeColor="text1"/>
          <w:highlight w:val="none"/>
          <w14:textFill>
            <w14:solidFill>
              <w14:schemeClr w14:val="tx1"/>
            </w14:solidFill>
          </w14:textFill>
        </w:rPr>
      </w:pPr>
      <w:r>
        <w:rPr>
          <w:rFonts w:hint="eastAsia"/>
          <w:b w:val="0"/>
          <w:color w:val="000000" w:themeColor="text1"/>
          <w:highlight w:val="none"/>
          <w14:textFill>
            <w14:solidFill>
              <w14:schemeClr w14:val="tx1"/>
            </w14:solidFill>
          </w14:textFill>
        </w:rPr>
        <w:t>11、以上事项如有虚假或隐瞒，我方愿意承担一切后果，并不再寻求任何旨在减轻或免除法律责任的辩解。</w:t>
      </w:r>
    </w:p>
    <w:p w14:paraId="59196ACD">
      <w:pPr>
        <w:pStyle w:val="17"/>
        <w:keepNext w:val="0"/>
        <w:keepLines w:val="0"/>
        <w:pageBreakBefore w:val="0"/>
        <w:kinsoku/>
        <w:wordWrap/>
        <w:overflowPunct/>
        <w:topLinePunct w:val="0"/>
        <w:autoSpaceDE/>
        <w:autoSpaceDN/>
        <w:bidi w:val="0"/>
        <w:spacing w:line="520" w:lineRule="exact"/>
        <w:jc w:val="both"/>
        <w:textAlignment w:val="auto"/>
        <w:rPr>
          <w:b w:val="0"/>
          <w:color w:val="000000" w:themeColor="text1"/>
          <w:highlight w:val="none"/>
          <w14:textFill>
            <w14:solidFill>
              <w14:schemeClr w14:val="tx1"/>
            </w14:solidFill>
          </w14:textFill>
        </w:rPr>
      </w:pPr>
      <w:r>
        <w:rPr>
          <w:rFonts w:hint="eastAsia"/>
          <w:b w:val="0"/>
          <w:color w:val="000000" w:themeColor="text1"/>
          <w:highlight w:val="none"/>
          <w14:textFill>
            <w14:solidFill>
              <w14:schemeClr w14:val="tx1"/>
            </w14:solidFill>
          </w14:textFill>
        </w:rPr>
        <w:t>12、与本投标有关的一切正式往来信函请寄：</w:t>
      </w:r>
    </w:p>
    <w:p w14:paraId="0634FC8E">
      <w:pPr>
        <w:pStyle w:val="17"/>
        <w:keepNext w:val="0"/>
        <w:keepLines w:val="0"/>
        <w:pageBreakBefore w:val="0"/>
        <w:kinsoku/>
        <w:wordWrap/>
        <w:overflowPunct/>
        <w:topLinePunct w:val="0"/>
        <w:autoSpaceDE/>
        <w:autoSpaceDN/>
        <w:bidi w:val="0"/>
        <w:spacing w:line="520" w:lineRule="exact"/>
        <w:jc w:val="left"/>
        <w:textAlignment w:val="auto"/>
        <w:rPr>
          <w:b w:val="0"/>
          <w:color w:val="000000" w:themeColor="text1"/>
          <w:highlight w:val="none"/>
          <w14:textFill>
            <w14:solidFill>
              <w14:schemeClr w14:val="tx1"/>
            </w14:solidFill>
          </w14:textFill>
        </w:rPr>
      </w:pPr>
      <w:r>
        <w:rPr>
          <w:rFonts w:hint="eastAsia"/>
          <w:b w:val="0"/>
          <w:color w:val="000000" w:themeColor="text1"/>
          <w:highlight w:val="none"/>
          <w14:textFill>
            <w14:solidFill>
              <w14:schemeClr w14:val="tx1"/>
            </w14:solidFill>
          </w14:textFill>
        </w:rPr>
        <w:t>地址：</w:t>
      </w:r>
      <w:r>
        <w:rPr>
          <w:rFonts w:hint="eastAsia"/>
          <w:b w:val="0"/>
          <w:color w:val="000000" w:themeColor="text1"/>
          <w:highlight w:val="none"/>
          <w:u w:val="single"/>
          <w14:textFill>
            <w14:solidFill>
              <w14:schemeClr w14:val="tx1"/>
            </w14:solidFill>
          </w14:textFill>
        </w:rPr>
        <w:t xml:space="preserve">                                                     </w:t>
      </w:r>
      <w:r>
        <w:rPr>
          <w:rFonts w:hint="eastAsia"/>
          <w:b w:val="0"/>
          <w:color w:val="000000" w:themeColor="text1"/>
          <w:highlight w:val="none"/>
          <w14:textFill>
            <w14:solidFill>
              <w14:schemeClr w14:val="tx1"/>
            </w14:solidFill>
          </w14:textFill>
        </w:rPr>
        <w:t xml:space="preserve">    </w:t>
      </w:r>
    </w:p>
    <w:p w14:paraId="1F56A4C4">
      <w:pPr>
        <w:pStyle w:val="17"/>
        <w:keepNext w:val="0"/>
        <w:keepLines w:val="0"/>
        <w:pageBreakBefore w:val="0"/>
        <w:kinsoku/>
        <w:wordWrap/>
        <w:overflowPunct/>
        <w:topLinePunct w:val="0"/>
        <w:autoSpaceDE/>
        <w:autoSpaceDN/>
        <w:bidi w:val="0"/>
        <w:spacing w:line="520" w:lineRule="exact"/>
        <w:jc w:val="left"/>
        <w:textAlignment w:val="auto"/>
        <w:rPr>
          <w:b w:val="0"/>
          <w:color w:val="000000" w:themeColor="text1"/>
          <w:highlight w:val="none"/>
          <w14:textFill>
            <w14:solidFill>
              <w14:schemeClr w14:val="tx1"/>
            </w14:solidFill>
          </w14:textFill>
        </w:rPr>
      </w:pPr>
      <w:r>
        <w:rPr>
          <w:rFonts w:hint="eastAsia"/>
          <w:b w:val="0"/>
          <w:color w:val="000000" w:themeColor="text1"/>
          <w:highlight w:val="none"/>
          <w14:textFill>
            <w14:solidFill>
              <w14:schemeClr w14:val="tx1"/>
            </w14:solidFill>
          </w14:textFill>
        </w:rPr>
        <w:t>电话：</w:t>
      </w:r>
      <w:r>
        <w:rPr>
          <w:rFonts w:hint="eastAsia"/>
          <w:b w:val="0"/>
          <w:color w:val="000000" w:themeColor="text1"/>
          <w:highlight w:val="none"/>
          <w:u w:val="single"/>
          <w14:textFill>
            <w14:solidFill>
              <w14:schemeClr w14:val="tx1"/>
            </w14:solidFill>
          </w14:textFill>
        </w:rPr>
        <w:t xml:space="preserve">                                      　　　　　　　　　</w:t>
      </w:r>
    </w:p>
    <w:p w14:paraId="5B1659E7">
      <w:pPr>
        <w:pStyle w:val="17"/>
        <w:keepNext w:val="0"/>
        <w:keepLines w:val="0"/>
        <w:pageBreakBefore w:val="0"/>
        <w:kinsoku/>
        <w:wordWrap/>
        <w:overflowPunct/>
        <w:topLinePunct w:val="0"/>
        <w:autoSpaceDE/>
        <w:autoSpaceDN/>
        <w:bidi w:val="0"/>
        <w:spacing w:line="520" w:lineRule="exact"/>
        <w:jc w:val="left"/>
        <w:textAlignment w:val="auto"/>
        <w:rPr>
          <w:b w:val="0"/>
          <w:color w:val="000000" w:themeColor="text1"/>
          <w:highlight w:val="none"/>
          <w14:textFill>
            <w14:solidFill>
              <w14:schemeClr w14:val="tx1"/>
            </w14:solidFill>
          </w14:textFill>
        </w:rPr>
      </w:pPr>
      <w:r>
        <w:rPr>
          <w:rFonts w:hint="eastAsia"/>
          <w:b w:val="0"/>
          <w:color w:val="000000" w:themeColor="text1"/>
          <w:highlight w:val="none"/>
          <w14:textFill>
            <w14:solidFill>
              <w14:schemeClr w14:val="tx1"/>
            </w14:solidFill>
          </w14:textFill>
        </w:rPr>
        <w:t>传真：</w:t>
      </w:r>
      <w:r>
        <w:rPr>
          <w:rFonts w:hint="eastAsia"/>
          <w:b w:val="0"/>
          <w:color w:val="000000" w:themeColor="text1"/>
          <w:highlight w:val="none"/>
          <w:u w:val="single"/>
          <w14:textFill>
            <w14:solidFill>
              <w14:schemeClr w14:val="tx1"/>
            </w14:solidFill>
          </w14:textFill>
        </w:rPr>
        <w:t>　　　　　　　　　　　　　　　　　　　　　　　　　　　　</w:t>
      </w:r>
    </w:p>
    <w:p w14:paraId="51C21093">
      <w:pPr>
        <w:pStyle w:val="17"/>
        <w:keepNext w:val="0"/>
        <w:keepLines w:val="0"/>
        <w:pageBreakBefore w:val="0"/>
        <w:kinsoku/>
        <w:wordWrap/>
        <w:overflowPunct/>
        <w:topLinePunct w:val="0"/>
        <w:autoSpaceDE/>
        <w:autoSpaceDN/>
        <w:bidi w:val="0"/>
        <w:spacing w:line="520" w:lineRule="exact"/>
        <w:jc w:val="left"/>
        <w:textAlignment w:val="auto"/>
        <w:rPr>
          <w:b w:val="0"/>
          <w:color w:val="000000" w:themeColor="text1"/>
          <w:highlight w:val="none"/>
          <w14:textFill>
            <w14:solidFill>
              <w14:schemeClr w14:val="tx1"/>
            </w14:solidFill>
          </w14:textFill>
        </w:rPr>
      </w:pPr>
      <w:r>
        <w:rPr>
          <w:rFonts w:hint="eastAsia"/>
          <w:b w:val="0"/>
          <w:color w:val="000000" w:themeColor="text1"/>
          <w:highlight w:val="none"/>
          <w14:textFill>
            <w14:solidFill>
              <w14:schemeClr w14:val="tx1"/>
            </w14:solidFill>
          </w14:textFill>
        </w:rPr>
        <w:t>邮政编码：</w:t>
      </w:r>
      <w:r>
        <w:rPr>
          <w:rFonts w:hint="eastAsia"/>
          <w:b w:val="0"/>
          <w:color w:val="000000" w:themeColor="text1"/>
          <w:highlight w:val="none"/>
          <w:u w:val="single"/>
          <w14:textFill>
            <w14:solidFill>
              <w14:schemeClr w14:val="tx1"/>
            </w14:solidFill>
          </w14:textFill>
        </w:rPr>
        <w:t xml:space="preserve">                                                    </w:t>
      </w:r>
    </w:p>
    <w:p w14:paraId="776744FD">
      <w:pPr>
        <w:pStyle w:val="17"/>
        <w:keepNext w:val="0"/>
        <w:keepLines w:val="0"/>
        <w:pageBreakBefore w:val="0"/>
        <w:kinsoku/>
        <w:wordWrap/>
        <w:overflowPunct/>
        <w:topLinePunct w:val="0"/>
        <w:autoSpaceDE/>
        <w:autoSpaceDN/>
        <w:bidi w:val="0"/>
        <w:spacing w:line="520" w:lineRule="exact"/>
        <w:jc w:val="left"/>
        <w:textAlignment w:val="auto"/>
        <w:rPr>
          <w:b w:val="0"/>
          <w:color w:val="000000" w:themeColor="text1"/>
          <w:highlight w:val="none"/>
          <w:u w:val="single"/>
          <w14:textFill>
            <w14:solidFill>
              <w14:schemeClr w14:val="tx1"/>
            </w14:solidFill>
          </w14:textFill>
        </w:rPr>
      </w:pPr>
      <w:r>
        <w:rPr>
          <w:rFonts w:hint="eastAsia"/>
          <w:b w:val="0"/>
          <w:color w:val="000000" w:themeColor="text1"/>
          <w:highlight w:val="none"/>
          <w14:textFill>
            <w14:solidFill>
              <w14:schemeClr w14:val="tx1"/>
            </w14:solidFill>
          </w14:textFill>
        </w:rPr>
        <w:t>开户名称：</w:t>
      </w:r>
      <w:r>
        <w:rPr>
          <w:rFonts w:hint="eastAsia"/>
          <w:b w:val="0"/>
          <w:color w:val="000000" w:themeColor="text1"/>
          <w:highlight w:val="none"/>
          <w:u w:val="single"/>
          <w14:textFill>
            <w14:solidFill>
              <w14:schemeClr w14:val="tx1"/>
            </w14:solidFill>
          </w14:textFill>
        </w:rPr>
        <w:t xml:space="preserve">                                                    </w:t>
      </w:r>
    </w:p>
    <w:p w14:paraId="71CDB32E">
      <w:pPr>
        <w:pStyle w:val="17"/>
        <w:keepNext w:val="0"/>
        <w:keepLines w:val="0"/>
        <w:pageBreakBefore w:val="0"/>
        <w:kinsoku/>
        <w:wordWrap/>
        <w:overflowPunct/>
        <w:topLinePunct w:val="0"/>
        <w:autoSpaceDE/>
        <w:autoSpaceDN/>
        <w:bidi w:val="0"/>
        <w:spacing w:line="520" w:lineRule="exact"/>
        <w:jc w:val="left"/>
        <w:textAlignment w:val="auto"/>
        <w:rPr>
          <w:b w:val="0"/>
          <w:color w:val="000000" w:themeColor="text1"/>
          <w:highlight w:val="none"/>
          <w14:textFill>
            <w14:solidFill>
              <w14:schemeClr w14:val="tx1"/>
            </w14:solidFill>
          </w14:textFill>
        </w:rPr>
      </w:pPr>
      <w:r>
        <w:rPr>
          <w:rFonts w:hint="eastAsia"/>
          <w:b w:val="0"/>
          <w:color w:val="000000" w:themeColor="text1"/>
          <w:highlight w:val="none"/>
          <w14:textFill>
            <w14:solidFill>
              <w14:schemeClr w14:val="tx1"/>
            </w14:solidFill>
          </w14:textFill>
        </w:rPr>
        <w:t>开户银行：</w:t>
      </w:r>
      <w:r>
        <w:rPr>
          <w:rFonts w:hint="eastAsia"/>
          <w:b w:val="0"/>
          <w:color w:val="000000" w:themeColor="text1"/>
          <w:highlight w:val="none"/>
          <w:u w:val="single"/>
          <w14:textFill>
            <w14:solidFill>
              <w14:schemeClr w14:val="tx1"/>
            </w14:solidFill>
          </w14:textFill>
        </w:rPr>
        <w:t xml:space="preserve">                                                    </w:t>
      </w:r>
    </w:p>
    <w:p w14:paraId="73ACF773">
      <w:pPr>
        <w:pStyle w:val="17"/>
        <w:keepNext w:val="0"/>
        <w:keepLines w:val="0"/>
        <w:pageBreakBefore w:val="0"/>
        <w:kinsoku/>
        <w:wordWrap/>
        <w:overflowPunct/>
        <w:topLinePunct w:val="0"/>
        <w:autoSpaceDE/>
        <w:autoSpaceDN/>
        <w:bidi w:val="0"/>
        <w:spacing w:line="520" w:lineRule="exact"/>
        <w:jc w:val="left"/>
        <w:textAlignment w:val="auto"/>
        <w:rPr>
          <w:b w:val="0"/>
          <w:color w:val="000000" w:themeColor="text1"/>
          <w:highlight w:val="none"/>
          <w14:textFill>
            <w14:solidFill>
              <w14:schemeClr w14:val="tx1"/>
            </w14:solidFill>
          </w14:textFill>
        </w:rPr>
      </w:pPr>
      <w:r>
        <w:rPr>
          <w:rFonts w:hint="eastAsia"/>
          <w:b w:val="0"/>
          <w:color w:val="000000" w:themeColor="text1"/>
          <w:highlight w:val="none"/>
          <w14:textFill>
            <w14:solidFill>
              <w14:schemeClr w14:val="tx1"/>
            </w14:solidFill>
          </w14:textFill>
        </w:rPr>
        <w:t>银行账号：</w:t>
      </w:r>
      <w:r>
        <w:rPr>
          <w:rFonts w:hint="eastAsia"/>
          <w:b w:val="0"/>
          <w:color w:val="000000" w:themeColor="text1"/>
          <w:highlight w:val="none"/>
          <w:u w:val="single"/>
          <w14:textFill>
            <w14:solidFill>
              <w14:schemeClr w14:val="tx1"/>
            </w14:solidFill>
          </w14:textFill>
        </w:rPr>
        <w:t xml:space="preserve">                                                    </w:t>
      </w:r>
    </w:p>
    <w:p w14:paraId="58049539">
      <w:pPr>
        <w:keepNext w:val="0"/>
        <w:keepLines w:val="0"/>
        <w:pageBreakBefore w:val="0"/>
        <w:kinsoku/>
        <w:wordWrap/>
        <w:overflowPunct/>
        <w:topLinePunct w:val="0"/>
        <w:autoSpaceDE/>
        <w:autoSpaceDN/>
        <w:bidi w:val="0"/>
        <w:snapToGrid w:val="0"/>
        <w:spacing w:line="520" w:lineRule="exact"/>
        <w:textAlignment w:val="auto"/>
        <w:rPr>
          <w:rFonts w:hint="eastAsia" w:cs="仿宋_GB2312" w:asciiTheme="minorEastAsia" w:hAnsiTheme="minorEastAsia" w:eastAsiaTheme="minorEastAsia"/>
          <w:color w:val="000000" w:themeColor="text1"/>
          <w:kern w:val="0"/>
          <w:sz w:val="28"/>
          <w:szCs w:val="28"/>
          <w:highlight w:val="none"/>
          <w:lang w:val="zh-CN"/>
          <w14:textFill>
            <w14:solidFill>
              <w14:schemeClr w14:val="tx1"/>
            </w14:solidFill>
          </w14:textFill>
        </w:rPr>
      </w:pPr>
    </w:p>
    <w:p w14:paraId="14FFD283">
      <w:pPr>
        <w:keepNext w:val="0"/>
        <w:keepLines w:val="0"/>
        <w:pageBreakBefore w:val="0"/>
        <w:kinsoku/>
        <w:wordWrap/>
        <w:overflowPunct/>
        <w:topLinePunct w:val="0"/>
        <w:autoSpaceDE/>
        <w:autoSpaceDN/>
        <w:bidi w:val="0"/>
        <w:snapToGrid w:val="0"/>
        <w:spacing w:line="520" w:lineRule="exact"/>
        <w:ind w:firstLine="5880" w:firstLineChars="2100"/>
        <w:textAlignment w:val="auto"/>
        <w:rPr>
          <w:rFonts w:cs="仿宋_GB2312" w:asciiTheme="minorEastAsia" w:hAnsiTheme="minorEastAsia" w:eastAsiaTheme="minorEastAsia"/>
          <w:color w:val="000000" w:themeColor="text1"/>
          <w:kern w:val="0"/>
          <w:sz w:val="28"/>
          <w:szCs w:val="28"/>
          <w:highlight w:val="none"/>
          <w14:textFill>
            <w14:solidFill>
              <w14:schemeClr w14:val="tx1"/>
            </w14:solidFill>
          </w14:textFill>
        </w:rPr>
      </w:pPr>
      <w:r>
        <w:rPr>
          <w:rFonts w:hint="eastAsia" w:cs="仿宋_GB2312" w:asciiTheme="minorEastAsia" w:hAnsiTheme="minorEastAsia" w:eastAsiaTheme="minorEastAsia"/>
          <w:color w:val="000000" w:themeColor="text1"/>
          <w:kern w:val="0"/>
          <w:sz w:val="28"/>
          <w:szCs w:val="28"/>
          <w:highlight w:val="none"/>
          <w:lang w:val="zh-CN"/>
          <w14:textFill>
            <w14:solidFill>
              <w14:schemeClr w14:val="tx1"/>
            </w14:solidFill>
          </w14:textFill>
        </w:rPr>
        <w:t>供应商名称(电子公章)：</w:t>
      </w:r>
    </w:p>
    <w:p w14:paraId="1D747F40">
      <w:pPr>
        <w:keepNext w:val="0"/>
        <w:keepLines w:val="0"/>
        <w:pageBreakBefore w:val="0"/>
        <w:kinsoku/>
        <w:wordWrap/>
        <w:overflowPunct/>
        <w:topLinePunct w:val="0"/>
        <w:autoSpaceDE/>
        <w:autoSpaceDN/>
        <w:bidi w:val="0"/>
        <w:snapToGrid w:val="0"/>
        <w:spacing w:line="520" w:lineRule="exact"/>
        <w:jc w:val="right"/>
        <w:textAlignment w:val="auto"/>
        <w:rPr>
          <w:rFonts w:hint="eastAsia" w:cs="仿宋_GB2312" w:asciiTheme="minorEastAsia" w:hAnsiTheme="minorEastAsia" w:eastAsiaTheme="minorEastAsia"/>
          <w:color w:val="000000" w:themeColor="text1"/>
          <w:kern w:val="0"/>
          <w:sz w:val="28"/>
          <w:szCs w:val="28"/>
          <w:highlight w:val="none"/>
          <w:lang w:val="zh-CN"/>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法定代表人或其委托代理人（签字</w:t>
      </w:r>
      <w:r>
        <w:rPr>
          <w:rFonts w:hint="eastAsia" w:ascii="宋体" w:hAnsi="宋体" w:cs="宋体"/>
          <w:color w:val="000000" w:themeColor="text1"/>
          <w:sz w:val="28"/>
          <w:szCs w:val="28"/>
          <w:highlight w:val="none"/>
          <w:lang w:eastAsia="zh-CN"/>
          <w14:textFill>
            <w14:solidFill>
              <w14:schemeClr w14:val="tx1"/>
            </w14:solidFill>
          </w14:textFill>
        </w:rPr>
        <w:t>或</w:t>
      </w:r>
      <w:r>
        <w:rPr>
          <w:rFonts w:hint="eastAsia" w:ascii="宋体" w:hAnsi="宋体" w:eastAsia="宋体" w:cs="宋体"/>
          <w:color w:val="000000" w:themeColor="text1"/>
          <w:sz w:val="28"/>
          <w:szCs w:val="28"/>
          <w:highlight w:val="none"/>
          <w14:textFill>
            <w14:solidFill>
              <w14:schemeClr w14:val="tx1"/>
            </w14:solidFill>
          </w14:textFill>
        </w:rPr>
        <w:t>盖章）：</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r>
        <w:rPr>
          <w:rFonts w:hint="eastAsia" w:ascii="宋体" w:hAnsi="宋体" w:cs="宋体"/>
          <w:color w:val="000000" w:themeColor="text1"/>
          <w:sz w:val="28"/>
          <w:szCs w:val="28"/>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kern w:val="0"/>
          <w:sz w:val="28"/>
          <w:szCs w:val="28"/>
          <w:highlight w:val="none"/>
          <w:u w:val="single"/>
          <w:lang w:val="en-US" w:eastAsia="zh-CN"/>
          <w14:textFill>
            <w14:solidFill>
              <w14:schemeClr w14:val="tx1"/>
            </w14:solidFill>
          </w14:textFill>
        </w:rPr>
        <w:t xml:space="preserve"> </w:t>
      </w:r>
    </w:p>
    <w:p w14:paraId="55FBEFB8">
      <w:pPr>
        <w:keepNext w:val="0"/>
        <w:keepLines w:val="0"/>
        <w:pageBreakBefore w:val="0"/>
        <w:kinsoku/>
        <w:wordWrap/>
        <w:overflowPunct/>
        <w:topLinePunct w:val="0"/>
        <w:autoSpaceDE/>
        <w:autoSpaceDN/>
        <w:bidi w:val="0"/>
        <w:snapToGrid w:val="0"/>
        <w:spacing w:line="520" w:lineRule="exact"/>
        <w:ind w:firstLine="6020" w:firstLineChars="2150"/>
        <w:textAlignment w:val="auto"/>
        <w:rPr>
          <w:rFonts w:cs="仿宋_GB2312" w:asciiTheme="minorEastAsia" w:hAnsiTheme="minorEastAsia" w:eastAsiaTheme="minorEastAsia"/>
          <w:color w:val="000000" w:themeColor="text1"/>
          <w:kern w:val="0"/>
          <w:sz w:val="28"/>
          <w:szCs w:val="28"/>
          <w:highlight w:val="none"/>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8"/>
          <w:szCs w:val="28"/>
          <w:highlight w:val="none"/>
          <w:lang w:val="zh-CN"/>
          <w14:textFill>
            <w14:solidFill>
              <w14:schemeClr w14:val="tx1"/>
            </w14:solidFill>
          </w14:textFill>
        </w:rPr>
        <w:t>日期</w:t>
      </w:r>
      <w:r>
        <w:rPr>
          <w:rFonts w:hint="eastAsia" w:cs="仿宋_GB2312" w:asciiTheme="minorEastAsia" w:hAnsiTheme="minorEastAsia" w:eastAsiaTheme="minorEastAsia"/>
          <w:color w:val="000000" w:themeColor="text1"/>
          <w:kern w:val="0"/>
          <w:sz w:val="28"/>
          <w:szCs w:val="28"/>
          <w:highlight w:val="none"/>
          <w14:textFill>
            <w14:solidFill>
              <w14:schemeClr w14:val="tx1"/>
            </w14:solidFill>
          </w14:textFill>
        </w:rPr>
        <w:t xml:space="preserve">：  年  </w:t>
      </w:r>
      <w:r>
        <w:rPr>
          <w:rFonts w:hint="eastAsia" w:cs="仿宋_GB2312" w:asciiTheme="minorEastAsia" w:hAnsiTheme="minorEastAsia" w:eastAsiaTheme="minorEastAsia"/>
          <w:color w:val="000000" w:themeColor="text1"/>
          <w:kern w:val="0"/>
          <w:sz w:val="28"/>
          <w:szCs w:val="28"/>
          <w:highlight w:val="none"/>
          <w:lang w:val="zh-CN"/>
          <w14:textFill>
            <w14:solidFill>
              <w14:schemeClr w14:val="tx1"/>
            </w14:solidFill>
          </w14:textFill>
        </w:rPr>
        <w:t>月</w:t>
      </w:r>
      <w:r>
        <w:rPr>
          <w:rFonts w:hint="eastAsia" w:cs="仿宋_GB2312" w:asciiTheme="minorEastAsia" w:hAnsiTheme="minorEastAsia" w:eastAsiaTheme="minorEastAsia"/>
          <w:color w:val="000000" w:themeColor="text1"/>
          <w:kern w:val="0"/>
          <w:sz w:val="28"/>
          <w:szCs w:val="28"/>
          <w:highlight w:val="none"/>
          <w14:textFill>
            <w14:solidFill>
              <w14:schemeClr w14:val="tx1"/>
            </w14:solidFill>
          </w14:textFill>
        </w:rPr>
        <w:t xml:space="preserve">   </w:t>
      </w:r>
      <w:r>
        <w:rPr>
          <w:rFonts w:hint="eastAsia" w:cs="仿宋_GB2312" w:asciiTheme="minorEastAsia" w:hAnsiTheme="minorEastAsia" w:eastAsiaTheme="minorEastAsia"/>
          <w:color w:val="000000" w:themeColor="text1"/>
          <w:kern w:val="0"/>
          <w:sz w:val="28"/>
          <w:szCs w:val="28"/>
          <w:highlight w:val="none"/>
          <w:lang w:val="zh-CN"/>
          <w14:textFill>
            <w14:solidFill>
              <w14:schemeClr w14:val="tx1"/>
            </w14:solidFill>
          </w14:textFill>
        </w:rPr>
        <w:t>日</w:t>
      </w:r>
    </w:p>
    <w:p w14:paraId="607A0F34">
      <w:pPr>
        <w:keepNext w:val="0"/>
        <w:keepLines w:val="0"/>
        <w:pageBreakBefore w:val="0"/>
        <w:widowControl/>
        <w:kinsoku/>
        <w:wordWrap/>
        <w:overflowPunct/>
        <w:topLinePunct w:val="0"/>
        <w:autoSpaceDE/>
        <w:autoSpaceDN/>
        <w:bidi w:val="0"/>
        <w:spacing w:line="520" w:lineRule="exact"/>
        <w:jc w:val="left"/>
        <w:textAlignment w:val="auto"/>
        <w:rPr>
          <w:rFonts w:ascii="仿宋_GB2312" w:hAnsi="仿宋" w:eastAsia="仿宋_GB2312" w:cs="仿宋_GB2312"/>
          <w:color w:val="000000" w:themeColor="text1"/>
          <w:kern w:val="0"/>
          <w:sz w:val="24"/>
          <w:highlight w:val="none"/>
          <w:lang w:val="zh-CN"/>
          <w14:textFill>
            <w14:solidFill>
              <w14:schemeClr w14:val="tx1"/>
            </w14:solidFill>
          </w14:textFill>
        </w:rPr>
        <w:sectPr>
          <w:pgSz w:w="11906" w:h="16838"/>
          <w:pgMar w:top="1134" w:right="1134" w:bottom="1134" w:left="1134" w:header="720" w:footer="720" w:gutter="0"/>
          <w:pgNumType w:fmt="decimal"/>
          <w:cols w:space="720" w:num="1"/>
          <w:docGrid w:type="lines" w:linePitch="331" w:charSpace="0"/>
        </w:sectPr>
      </w:pPr>
    </w:p>
    <w:p w14:paraId="13BB5FAB">
      <w:pPr>
        <w:pStyle w:val="17"/>
        <w:pageBreakBefore w:val="0"/>
        <w:wordWrap/>
        <w:topLinePunct w:val="0"/>
        <w:bidi w:val="0"/>
        <w:spacing w:line="560" w:lineRule="exact"/>
        <w:rPr>
          <w:color w:val="000000" w:themeColor="text1"/>
          <w:sz w:val="30"/>
          <w:szCs w:val="30"/>
          <w:highlight w:val="none"/>
          <w14:textFill>
            <w14:solidFill>
              <w14:schemeClr w14:val="tx1"/>
            </w14:solidFill>
          </w14:textFill>
        </w:rPr>
      </w:pPr>
      <w:r>
        <w:rPr>
          <w:rFonts w:hint="eastAsia" w:hAnsi="宋体"/>
          <w:color w:val="000000" w:themeColor="text1"/>
          <w:sz w:val="30"/>
          <w:highlight w:val="none"/>
          <w14:textFill>
            <w14:solidFill>
              <w14:schemeClr w14:val="tx1"/>
            </w14:solidFill>
          </w14:textFill>
        </w:rPr>
        <w:t>二、</w:t>
      </w:r>
      <w:r>
        <w:rPr>
          <w:rFonts w:hint="eastAsia"/>
          <w:color w:val="000000" w:themeColor="text1"/>
          <w:sz w:val="30"/>
          <w:szCs w:val="30"/>
          <w:highlight w:val="none"/>
          <w14:textFill>
            <w14:solidFill>
              <w14:schemeClr w14:val="tx1"/>
            </w14:solidFill>
          </w14:textFill>
        </w:rPr>
        <w:t>开标一览表</w:t>
      </w:r>
      <w:r>
        <w:rPr>
          <w:rFonts w:hint="eastAsia"/>
          <w:color w:val="000000" w:themeColor="text1"/>
          <w:highlight w:val="none"/>
          <w:lang w:val="zh-CN"/>
          <w14:textFill>
            <w14:solidFill>
              <w14:schemeClr w14:val="tx1"/>
            </w14:solidFill>
          </w14:textFill>
        </w:rPr>
        <w:t>(单位均为人民币元)</w:t>
      </w:r>
    </w:p>
    <w:p w14:paraId="09E93107">
      <w:pPr>
        <w:pStyle w:val="17"/>
        <w:pageBreakBefore w:val="0"/>
        <w:wordWrap/>
        <w:topLinePunct w:val="0"/>
        <w:bidi w:val="0"/>
        <w:spacing w:line="560" w:lineRule="exac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                     </w:t>
      </w:r>
    </w:p>
    <w:tbl>
      <w:tblPr>
        <w:tblStyle w:val="34"/>
        <w:tblW w:w="958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0"/>
      </w:tblGrid>
      <w:tr w14:paraId="1A8E8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8" w:hRule="atLeast"/>
        </w:trPr>
        <w:tc>
          <w:tcPr>
            <w:tcW w:w="9580" w:type="dxa"/>
            <w:tcBorders>
              <w:top w:val="single" w:color="auto" w:sz="4" w:space="0"/>
              <w:left w:val="single" w:color="auto" w:sz="4" w:space="0"/>
              <w:bottom w:val="single" w:color="auto" w:sz="4" w:space="0"/>
              <w:right w:val="single" w:color="auto" w:sz="4" w:space="0"/>
            </w:tcBorders>
          </w:tcPr>
          <w:p w14:paraId="622FF97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olor w:val="000000" w:themeColor="text1"/>
                <w:sz w:val="28"/>
                <w:szCs w:val="28"/>
                <w:highlight w:val="none"/>
                <w:lang w:eastAsia="zh-CN"/>
                <w14:textFill>
                  <w14:solidFill>
                    <w14:schemeClr w14:val="tx1"/>
                  </w14:solidFill>
                </w14:textFill>
              </w:rPr>
            </w:pPr>
            <w:r>
              <w:rPr>
                <w:rFonts w:hint="eastAsia" w:asciiTheme="minorEastAsia" w:hAnsiTheme="minorEastAsia" w:eastAsiaTheme="minorEastAsia"/>
                <w:color w:val="000000" w:themeColor="text1"/>
                <w:sz w:val="28"/>
                <w:szCs w:val="28"/>
                <w:highlight w:val="none"/>
                <w:lang w:eastAsia="zh-CN"/>
                <w14:textFill>
                  <w14:solidFill>
                    <w14:schemeClr w14:val="tx1"/>
                  </w14:solidFill>
                </w14:textFill>
              </w:rPr>
              <w:t>标项名称：</w:t>
            </w:r>
          </w:p>
        </w:tc>
      </w:tr>
      <w:tr w14:paraId="79487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3" w:hRule="atLeast"/>
        </w:trPr>
        <w:tc>
          <w:tcPr>
            <w:tcW w:w="9580" w:type="dxa"/>
            <w:tcBorders>
              <w:top w:val="single" w:color="auto" w:sz="4" w:space="0"/>
              <w:left w:val="single" w:color="auto" w:sz="4" w:space="0"/>
              <w:bottom w:val="single" w:color="auto" w:sz="4" w:space="0"/>
              <w:right w:val="single" w:color="auto" w:sz="4" w:space="0"/>
            </w:tcBorders>
          </w:tcPr>
          <w:p w14:paraId="1FE3DF0F">
            <w:pPr>
              <w:keepNext w:val="0"/>
              <w:keepLines w:val="0"/>
              <w:pageBreakBefore w:val="0"/>
              <w:widowControl w:val="0"/>
              <w:kinsoku/>
              <w:wordWrap/>
              <w:overflowPunct/>
              <w:topLinePunct w:val="0"/>
              <w:autoSpaceDE/>
              <w:autoSpaceDN/>
              <w:bidi w:val="0"/>
              <w:adjustRightInd/>
              <w:snapToGrid/>
              <w:spacing w:line="560" w:lineRule="exact"/>
              <w:textAlignment w:val="auto"/>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报价（总报价）：大写：</w:t>
            </w:r>
          </w:p>
          <w:p w14:paraId="25FED039">
            <w:pPr>
              <w:keepNext w:val="0"/>
              <w:keepLines w:val="0"/>
              <w:pageBreakBefore w:val="0"/>
              <w:widowControl w:val="0"/>
              <w:kinsoku/>
              <w:wordWrap/>
              <w:overflowPunct/>
              <w:topLinePunct w:val="0"/>
              <w:autoSpaceDE/>
              <w:autoSpaceDN/>
              <w:bidi w:val="0"/>
              <w:adjustRightInd/>
              <w:snapToGrid/>
              <w:spacing w:line="560" w:lineRule="exact"/>
              <w:textAlignment w:val="auto"/>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 xml:space="preserve">               小写：</w:t>
            </w:r>
          </w:p>
        </w:tc>
      </w:tr>
      <w:tr w14:paraId="68B9F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9" w:hRule="atLeast"/>
        </w:trPr>
        <w:tc>
          <w:tcPr>
            <w:tcW w:w="9580" w:type="dxa"/>
            <w:tcBorders>
              <w:top w:val="single" w:color="auto" w:sz="4" w:space="0"/>
              <w:left w:val="single" w:color="auto" w:sz="4" w:space="0"/>
              <w:bottom w:val="single" w:color="auto" w:sz="4" w:space="0"/>
              <w:right w:val="single" w:color="auto" w:sz="4" w:space="0"/>
            </w:tcBorders>
          </w:tcPr>
          <w:p w14:paraId="572265C6">
            <w:pPr>
              <w:keepNext w:val="0"/>
              <w:keepLines w:val="0"/>
              <w:pageBreakBefore w:val="0"/>
              <w:widowControl w:val="0"/>
              <w:kinsoku/>
              <w:wordWrap/>
              <w:overflowPunct/>
              <w:topLinePunct w:val="0"/>
              <w:autoSpaceDE/>
              <w:autoSpaceDN/>
              <w:bidi w:val="0"/>
              <w:adjustRightInd/>
              <w:snapToGrid/>
              <w:spacing w:line="560" w:lineRule="exact"/>
              <w:textAlignment w:val="auto"/>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供货期：</w:t>
            </w:r>
          </w:p>
        </w:tc>
      </w:tr>
      <w:tr w14:paraId="67EF6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9" w:hRule="atLeast"/>
        </w:trPr>
        <w:tc>
          <w:tcPr>
            <w:tcW w:w="9580" w:type="dxa"/>
            <w:tcBorders>
              <w:top w:val="single" w:color="auto" w:sz="4" w:space="0"/>
              <w:left w:val="single" w:color="auto" w:sz="4" w:space="0"/>
              <w:bottom w:val="single" w:color="auto" w:sz="4" w:space="0"/>
              <w:right w:val="single" w:color="auto" w:sz="4" w:space="0"/>
            </w:tcBorders>
          </w:tcPr>
          <w:p w14:paraId="6F0F3DF6">
            <w:pPr>
              <w:keepNext w:val="0"/>
              <w:keepLines w:val="0"/>
              <w:pageBreakBefore w:val="0"/>
              <w:widowControl w:val="0"/>
              <w:kinsoku/>
              <w:wordWrap/>
              <w:overflowPunct/>
              <w:topLinePunct w:val="0"/>
              <w:autoSpaceDE/>
              <w:autoSpaceDN/>
              <w:bidi w:val="0"/>
              <w:adjustRightInd/>
              <w:snapToGrid/>
              <w:spacing w:line="560" w:lineRule="exact"/>
              <w:textAlignment w:val="auto"/>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质保期：</w:t>
            </w:r>
          </w:p>
        </w:tc>
      </w:tr>
      <w:tr w14:paraId="3176E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4" w:hRule="atLeast"/>
        </w:trPr>
        <w:tc>
          <w:tcPr>
            <w:tcW w:w="9580" w:type="dxa"/>
            <w:tcBorders>
              <w:top w:val="single" w:color="auto" w:sz="4" w:space="0"/>
              <w:left w:val="single" w:color="auto" w:sz="4" w:space="0"/>
              <w:bottom w:val="single" w:color="auto" w:sz="4" w:space="0"/>
              <w:right w:val="single" w:color="auto" w:sz="4" w:space="0"/>
            </w:tcBorders>
          </w:tcPr>
          <w:p w14:paraId="7453A667">
            <w:pPr>
              <w:keepNext w:val="0"/>
              <w:keepLines w:val="0"/>
              <w:pageBreakBefore w:val="0"/>
              <w:widowControl w:val="0"/>
              <w:kinsoku/>
              <w:wordWrap/>
              <w:overflowPunct/>
              <w:topLinePunct w:val="0"/>
              <w:autoSpaceDE/>
              <w:autoSpaceDN/>
              <w:bidi w:val="0"/>
              <w:adjustRightInd/>
              <w:snapToGrid/>
              <w:spacing w:line="560" w:lineRule="exact"/>
              <w:textAlignment w:val="auto"/>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备注：</w:t>
            </w:r>
            <w:r>
              <w:rPr>
                <w:rFonts w:asciiTheme="minorEastAsia" w:hAnsiTheme="minorEastAsia" w:eastAsiaTheme="minorEastAsia"/>
                <w:color w:val="000000" w:themeColor="text1"/>
                <w:sz w:val="28"/>
                <w:szCs w:val="28"/>
                <w:highlight w:val="none"/>
                <w14:textFill>
                  <w14:solidFill>
                    <w14:schemeClr w14:val="tx1"/>
                  </w14:solidFill>
                </w14:textFill>
              </w:rPr>
              <w:t xml:space="preserve"> </w:t>
            </w:r>
          </w:p>
        </w:tc>
      </w:tr>
    </w:tbl>
    <w:p w14:paraId="2A4B4138">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cs="仿宋_GB2312" w:asciiTheme="minorEastAsia" w:hAnsiTheme="minorEastAsia" w:eastAsiaTheme="minorEastAsia"/>
          <w:color w:val="000000" w:themeColor="text1"/>
          <w:kern w:val="0"/>
          <w:sz w:val="28"/>
          <w:szCs w:val="28"/>
          <w:highlight w:val="none"/>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8"/>
          <w:szCs w:val="28"/>
          <w:highlight w:val="none"/>
          <w:lang w:val="zh-CN"/>
          <w14:textFill>
            <w14:solidFill>
              <w14:schemeClr w14:val="tx1"/>
            </w14:solidFill>
          </w14:textFill>
        </w:rPr>
        <w:t xml:space="preserve">注： </w:t>
      </w:r>
    </w:p>
    <w:p w14:paraId="783F5EA8">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cs="仿宋_GB2312" w:asciiTheme="minorEastAsia" w:hAnsiTheme="minorEastAsia" w:eastAsiaTheme="minorEastAsia"/>
          <w:b w:val="0"/>
          <w:bCs/>
          <w:color w:val="000000" w:themeColor="text1"/>
          <w:kern w:val="0"/>
          <w:sz w:val="28"/>
          <w:szCs w:val="28"/>
          <w:highlight w:val="none"/>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8"/>
          <w:szCs w:val="28"/>
          <w:highlight w:val="none"/>
          <w:lang w:val="zh-CN"/>
          <w14:textFill>
            <w14:solidFill>
              <w14:schemeClr w14:val="tx1"/>
            </w14:solidFill>
          </w14:textFill>
        </w:rPr>
        <w:t>1、 供应商需按本表格式填写，不得自行更改，也不得留空, 如有多分标，按分标分别提供开标一览表，必须加盖供应商有效电子公章，</w:t>
      </w:r>
      <w:r>
        <w:rPr>
          <w:rFonts w:hint="eastAsia" w:cs="仿宋_GB2312" w:asciiTheme="minorEastAsia" w:hAnsiTheme="minorEastAsia" w:eastAsiaTheme="minorEastAsia"/>
          <w:b w:val="0"/>
          <w:bCs/>
          <w:color w:val="000000" w:themeColor="text1"/>
          <w:kern w:val="0"/>
          <w:sz w:val="28"/>
          <w:szCs w:val="28"/>
          <w:highlight w:val="none"/>
          <w:lang w:val="zh-CN"/>
          <w14:textFill>
            <w14:solidFill>
              <w14:schemeClr w14:val="tx1"/>
            </w14:solidFill>
          </w14:textFill>
        </w:rPr>
        <w:t>否则其投标作无效标处理。</w:t>
      </w:r>
    </w:p>
    <w:p w14:paraId="4CABA1AF">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cs="仿宋_GB2312" w:asciiTheme="minorEastAsia" w:hAnsiTheme="minorEastAsia" w:eastAsiaTheme="minorEastAsia"/>
          <w:color w:val="000000" w:themeColor="text1"/>
          <w:kern w:val="0"/>
          <w:sz w:val="28"/>
          <w:szCs w:val="28"/>
          <w:highlight w:val="none"/>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8"/>
          <w:szCs w:val="28"/>
          <w:highlight w:val="none"/>
          <w:lang w:val="zh-CN"/>
          <w14:textFill>
            <w14:solidFill>
              <w14:schemeClr w14:val="tx1"/>
            </w14:solidFill>
          </w14:textFill>
        </w:rPr>
        <w:t>2、符合招标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780943F1">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8"/>
          <w:szCs w:val="28"/>
          <w:highlight w:val="none"/>
          <w:lang w:val="zh-CN"/>
          <w14:textFill>
            <w14:solidFill>
              <w14:schemeClr w14:val="tx1"/>
            </w14:solidFill>
          </w14:textFill>
        </w:rPr>
        <w:t>3、本项目报价需包含完成本项目所需的全部费用（包括但不限于各设备运费、吊装、安装、调试、备件、耗材、税金等）。</w:t>
      </w:r>
    </w:p>
    <w:p w14:paraId="5C8655F1">
      <w:pPr>
        <w:pageBreakBefore w:val="0"/>
        <w:wordWrap/>
        <w:topLinePunct w:val="0"/>
        <w:bidi w:val="0"/>
        <w:snapToGrid w:val="0"/>
        <w:spacing w:line="560" w:lineRule="exact"/>
        <w:ind w:firstLine="5880" w:firstLineChars="2100"/>
        <w:rPr>
          <w:rFonts w:hint="eastAsia" w:cs="仿宋_GB2312" w:asciiTheme="minorEastAsia" w:hAnsiTheme="minorEastAsia" w:eastAsiaTheme="minorEastAsia"/>
          <w:color w:val="000000" w:themeColor="text1"/>
          <w:kern w:val="0"/>
          <w:sz w:val="28"/>
          <w:szCs w:val="28"/>
          <w:highlight w:val="none"/>
          <w:lang w:val="zh-CN"/>
          <w14:textFill>
            <w14:solidFill>
              <w14:schemeClr w14:val="tx1"/>
            </w14:solidFill>
          </w14:textFill>
        </w:rPr>
      </w:pPr>
    </w:p>
    <w:p w14:paraId="60689E9E">
      <w:pPr>
        <w:pageBreakBefore w:val="0"/>
        <w:wordWrap/>
        <w:topLinePunct w:val="0"/>
        <w:bidi w:val="0"/>
        <w:snapToGrid w:val="0"/>
        <w:spacing w:line="560" w:lineRule="exact"/>
        <w:ind w:firstLine="5880" w:firstLineChars="2100"/>
        <w:rPr>
          <w:rFonts w:cs="仿宋_GB2312" w:asciiTheme="minorEastAsia" w:hAnsiTheme="minorEastAsia" w:eastAsiaTheme="minorEastAsia"/>
          <w:color w:val="000000" w:themeColor="text1"/>
          <w:kern w:val="0"/>
          <w:sz w:val="28"/>
          <w:szCs w:val="28"/>
          <w:highlight w:val="none"/>
          <w14:textFill>
            <w14:solidFill>
              <w14:schemeClr w14:val="tx1"/>
            </w14:solidFill>
          </w14:textFill>
        </w:rPr>
      </w:pPr>
      <w:r>
        <w:rPr>
          <w:rFonts w:hint="eastAsia" w:cs="仿宋_GB2312" w:asciiTheme="minorEastAsia" w:hAnsiTheme="minorEastAsia" w:eastAsiaTheme="minorEastAsia"/>
          <w:color w:val="000000" w:themeColor="text1"/>
          <w:kern w:val="0"/>
          <w:sz w:val="28"/>
          <w:szCs w:val="28"/>
          <w:highlight w:val="none"/>
          <w:lang w:val="zh-CN"/>
          <w14:textFill>
            <w14:solidFill>
              <w14:schemeClr w14:val="tx1"/>
            </w14:solidFill>
          </w14:textFill>
        </w:rPr>
        <w:t>供应商名称(电子公章)：</w:t>
      </w:r>
    </w:p>
    <w:p w14:paraId="30034813">
      <w:pPr>
        <w:pageBreakBefore w:val="0"/>
        <w:wordWrap/>
        <w:topLinePunct w:val="0"/>
        <w:bidi w:val="0"/>
        <w:snapToGrid w:val="0"/>
        <w:spacing w:line="560" w:lineRule="exact"/>
        <w:jc w:val="right"/>
        <w:rPr>
          <w:rFonts w:hint="eastAsia" w:cs="仿宋_GB2312" w:asciiTheme="minorEastAsia" w:hAnsiTheme="minorEastAsia" w:eastAsiaTheme="minorEastAsia"/>
          <w:color w:val="000000" w:themeColor="text1"/>
          <w:kern w:val="0"/>
          <w:sz w:val="28"/>
          <w:szCs w:val="28"/>
          <w:highlight w:val="none"/>
          <w:lang w:val="zh-CN"/>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法定代表人或其委托代理人（签字</w:t>
      </w:r>
      <w:r>
        <w:rPr>
          <w:rFonts w:hint="eastAsia" w:ascii="宋体" w:hAnsi="宋体" w:cs="宋体"/>
          <w:color w:val="000000" w:themeColor="text1"/>
          <w:sz w:val="28"/>
          <w:szCs w:val="28"/>
          <w:highlight w:val="none"/>
          <w:lang w:eastAsia="zh-CN"/>
          <w14:textFill>
            <w14:solidFill>
              <w14:schemeClr w14:val="tx1"/>
            </w14:solidFill>
          </w14:textFill>
        </w:rPr>
        <w:t>或</w:t>
      </w:r>
      <w:r>
        <w:rPr>
          <w:rFonts w:hint="eastAsia" w:ascii="宋体" w:hAnsi="宋体" w:eastAsia="宋体" w:cs="宋体"/>
          <w:color w:val="000000" w:themeColor="text1"/>
          <w:sz w:val="28"/>
          <w:szCs w:val="28"/>
          <w:highlight w:val="none"/>
          <w14:textFill>
            <w14:solidFill>
              <w14:schemeClr w14:val="tx1"/>
            </w14:solidFill>
          </w14:textFill>
        </w:rPr>
        <w:t>盖章）：</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r>
        <w:rPr>
          <w:rFonts w:hint="eastAsia" w:ascii="宋体" w:hAnsi="宋体" w:cs="宋体"/>
          <w:color w:val="000000" w:themeColor="text1"/>
          <w:sz w:val="28"/>
          <w:szCs w:val="28"/>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kern w:val="0"/>
          <w:sz w:val="28"/>
          <w:szCs w:val="28"/>
          <w:highlight w:val="none"/>
          <w:u w:val="single"/>
          <w:lang w:val="en-US" w:eastAsia="zh-CN"/>
          <w14:textFill>
            <w14:solidFill>
              <w14:schemeClr w14:val="tx1"/>
            </w14:solidFill>
          </w14:textFill>
        </w:rPr>
        <w:t xml:space="preserve"> </w:t>
      </w:r>
    </w:p>
    <w:p w14:paraId="1B2F39C0">
      <w:pPr>
        <w:pageBreakBefore w:val="0"/>
        <w:wordWrap/>
        <w:topLinePunct w:val="0"/>
        <w:bidi w:val="0"/>
        <w:snapToGrid w:val="0"/>
        <w:spacing w:line="560" w:lineRule="exact"/>
        <w:ind w:firstLine="6020" w:firstLineChars="2150"/>
        <w:rPr>
          <w:rFonts w:cs="仿宋_GB2312" w:asciiTheme="minorEastAsia" w:hAnsiTheme="minorEastAsia" w:eastAsiaTheme="minorEastAsia"/>
          <w:color w:val="000000" w:themeColor="text1"/>
          <w:kern w:val="0"/>
          <w:sz w:val="28"/>
          <w:szCs w:val="28"/>
          <w:highlight w:val="none"/>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8"/>
          <w:szCs w:val="28"/>
          <w:highlight w:val="none"/>
          <w:lang w:val="zh-CN"/>
          <w14:textFill>
            <w14:solidFill>
              <w14:schemeClr w14:val="tx1"/>
            </w14:solidFill>
          </w14:textFill>
        </w:rPr>
        <w:t>日期</w:t>
      </w:r>
      <w:r>
        <w:rPr>
          <w:rFonts w:hint="eastAsia" w:cs="仿宋_GB2312" w:asciiTheme="minorEastAsia" w:hAnsiTheme="minorEastAsia" w:eastAsiaTheme="minorEastAsia"/>
          <w:color w:val="000000" w:themeColor="text1"/>
          <w:kern w:val="0"/>
          <w:sz w:val="28"/>
          <w:szCs w:val="28"/>
          <w:highlight w:val="none"/>
          <w14:textFill>
            <w14:solidFill>
              <w14:schemeClr w14:val="tx1"/>
            </w14:solidFill>
          </w14:textFill>
        </w:rPr>
        <w:t xml:space="preserve">：  年  </w:t>
      </w:r>
      <w:r>
        <w:rPr>
          <w:rFonts w:hint="eastAsia" w:cs="仿宋_GB2312" w:asciiTheme="minorEastAsia" w:hAnsiTheme="minorEastAsia" w:eastAsiaTheme="minorEastAsia"/>
          <w:color w:val="000000" w:themeColor="text1"/>
          <w:kern w:val="0"/>
          <w:sz w:val="28"/>
          <w:szCs w:val="28"/>
          <w:highlight w:val="none"/>
          <w:lang w:val="zh-CN"/>
          <w14:textFill>
            <w14:solidFill>
              <w14:schemeClr w14:val="tx1"/>
            </w14:solidFill>
          </w14:textFill>
        </w:rPr>
        <w:t>月</w:t>
      </w:r>
      <w:r>
        <w:rPr>
          <w:rFonts w:hint="eastAsia" w:cs="仿宋_GB2312" w:asciiTheme="minorEastAsia" w:hAnsiTheme="minorEastAsia" w:eastAsiaTheme="minorEastAsia"/>
          <w:color w:val="000000" w:themeColor="text1"/>
          <w:kern w:val="0"/>
          <w:sz w:val="28"/>
          <w:szCs w:val="28"/>
          <w:highlight w:val="none"/>
          <w14:textFill>
            <w14:solidFill>
              <w14:schemeClr w14:val="tx1"/>
            </w14:solidFill>
          </w14:textFill>
        </w:rPr>
        <w:t xml:space="preserve">   </w:t>
      </w:r>
      <w:r>
        <w:rPr>
          <w:rFonts w:hint="eastAsia" w:cs="仿宋_GB2312" w:asciiTheme="minorEastAsia" w:hAnsiTheme="minorEastAsia" w:eastAsiaTheme="minorEastAsia"/>
          <w:color w:val="000000" w:themeColor="text1"/>
          <w:kern w:val="0"/>
          <w:sz w:val="28"/>
          <w:szCs w:val="28"/>
          <w:highlight w:val="none"/>
          <w:lang w:val="zh-CN"/>
          <w14:textFill>
            <w14:solidFill>
              <w14:schemeClr w14:val="tx1"/>
            </w14:solidFill>
          </w14:textFill>
        </w:rPr>
        <w:t>日</w:t>
      </w:r>
    </w:p>
    <w:p w14:paraId="2220E846">
      <w:pPr>
        <w:pStyle w:val="17"/>
        <w:pageBreakBefore w:val="0"/>
        <w:numPr>
          <w:ilvl w:val="0"/>
          <w:numId w:val="13"/>
        </w:numPr>
        <w:wordWrap/>
        <w:topLinePunct w:val="0"/>
        <w:bidi w:val="0"/>
        <w:spacing w:line="560" w:lineRule="exact"/>
        <w:rPr>
          <w:color w:val="000000" w:themeColor="text1"/>
          <w:highlight w:val="none"/>
          <w14:textFill>
            <w14:solidFill>
              <w14:schemeClr w14:val="tx1"/>
            </w14:solidFill>
          </w14:textFill>
        </w:rPr>
      </w:pPr>
      <w:r>
        <w:rPr>
          <w:rFonts w:ascii="仿宋_GB2312" w:hAnsi="仿宋" w:eastAsia="仿宋_GB2312" w:cs="仿宋_GB2312"/>
          <w:color w:val="000000" w:themeColor="text1"/>
          <w:kern w:val="0"/>
          <w:sz w:val="24"/>
          <w:highlight w:val="none"/>
          <w:lang w:val="zh-CN"/>
          <w14:textFill>
            <w14:solidFill>
              <w14:schemeClr w14:val="tx1"/>
            </w14:solidFill>
          </w14:textFill>
        </w:rPr>
        <w:br w:type="page"/>
      </w:r>
      <w:r>
        <w:rPr>
          <w:color w:val="000000" w:themeColor="text1"/>
          <w:highlight w:val="none"/>
          <w14:textFill>
            <w14:solidFill>
              <w14:schemeClr w14:val="tx1"/>
            </w14:solidFill>
          </w14:textFill>
        </w:rPr>
        <w:t>分项报价表</w:t>
      </w:r>
    </w:p>
    <w:p w14:paraId="1AD0EB9F">
      <w:pPr>
        <w:pStyle w:val="17"/>
        <w:pageBreakBefore w:val="0"/>
        <w:numPr>
          <w:ilvl w:val="0"/>
          <w:numId w:val="0"/>
        </w:numPr>
        <w:wordWrap/>
        <w:topLinePunct w:val="0"/>
        <w:bidi w:val="0"/>
        <w:spacing w:line="560" w:lineRule="exact"/>
        <w:jc w:val="both"/>
        <w:rPr>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标项名称：</w:t>
      </w:r>
    </w:p>
    <w:tbl>
      <w:tblPr>
        <w:tblStyle w:val="34"/>
        <w:tblW w:w="104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2"/>
        <w:gridCol w:w="2441"/>
        <w:gridCol w:w="955"/>
        <w:gridCol w:w="2463"/>
        <w:gridCol w:w="955"/>
        <w:gridCol w:w="1106"/>
        <w:gridCol w:w="1134"/>
        <w:gridCol w:w="816"/>
      </w:tblGrid>
      <w:tr w14:paraId="5FFDF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atLeast"/>
          <w:jc w:val="center"/>
        </w:trPr>
        <w:tc>
          <w:tcPr>
            <w:tcW w:w="552" w:type="dxa"/>
            <w:tcBorders>
              <w:top w:val="single" w:color="auto" w:sz="12" w:space="0"/>
              <w:left w:val="single" w:color="auto" w:sz="12" w:space="0"/>
              <w:bottom w:val="single" w:color="auto" w:sz="4" w:space="0"/>
            </w:tcBorders>
            <w:vAlign w:val="center"/>
          </w:tcPr>
          <w:p w14:paraId="2F7F9E02">
            <w:pPr>
              <w:pStyle w:val="169"/>
              <w:pageBreakBefore w:val="0"/>
              <w:tabs>
                <w:tab w:val="left" w:pos="1337"/>
              </w:tabs>
              <w:wordWrap/>
              <w:topLinePunct w:val="0"/>
              <w:bidi w:val="0"/>
              <w:spacing w:line="560" w:lineRule="exact"/>
              <w:ind w:left="-42" w:right="-42"/>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项</w:t>
            </w:r>
          </w:p>
        </w:tc>
        <w:tc>
          <w:tcPr>
            <w:tcW w:w="2441" w:type="dxa"/>
            <w:tcBorders>
              <w:top w:val="single" w:color="auto" w:sz="12" w:space="0"/>
              <w:bottom w:val="single" w:color="auto" w:sz="4" w:space="0"/>
            </w:tcBorders>
            <w:vAlign w:val="center"/>
          </w:tcPr>
          <w:p w14:paraId="6B577F89">
            <w:pPr>
              <w:pStyle w:val="169"/>
              <w:pageBreakBefore w:val="0"/>
              <w:tabs>
                <w:tab w:val="left" w:pos="1337"/>
              </w:tabs>
              <w:wordWrap/>
              <w:topLinePunct w:val="0"/>
              <w:bidi w:val="0"/>
              <w:spacing w:line="560" w:lineRule="exact"/>
              <w:ind w:left="-42" w:right="-42"/>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w:t>
            </w:r>
          </w:p>
        </w:tc>
        <w:tc>
          <w:tcPr>
            <w:tcW w:w="3418" w:type="dxa"/>
            <w:gridSpan w:val="2"/>
            <w:tcBorders>
              <w:top w:val="single" w:color="auto" w:sz="12" w:space="0"/>
              <w:bottom w:val="single" w:color="auto" w:sz="4" w:space="0"/>
            </w:tcBorders>
            <w:vAlign w:val="center"/>
          </w:tcPr>
          <w:p w14:paraId="76756087">
            <w:pPr>
              <w:pStyle w:val="169"/>
              <w:pageBreakBefore w:val="0"/>
              <w:tabs>
                <w:tab w:val="left" w:pos="1337"/>
              </w:tabs>
              <w:wordWrap/>
              <w:topLinePunct w:val="0"/>
              <w:bidi w:val="0"/>
              <w:spacing w:line="560" w:lineRule="exact"/>
              <w:ind w:right="-42"/>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2</w:t>
            </w:r>
          </w:p>
        </w:tc>
        <w:tc>
          <w:tcPr>
            <w:tcW w:w="4011" w:type="dxa"/>
            <w:gridSpan w:val="4"/>
            <w:tcBorders>
              <w:top w:val="single" w:color="auto" w:sz="12" w:space="0"/>
              <w:bottom w:val="single" w:color="auto" w:sz="4" w:space="0"/>
              <w:right w:val="single" w:color="auto" w:sz="12" w:space="0"/>
            </w:tcBorders>
          </w:tcPr>
          <w:p w14:paraId="7731F4DC">
            <w:pPr>
              <w:pStyle w:val="169"/>
              <w:pageBreakBefore w:val="0"/>
              <w:tabs>
                <w:tab w:val="left" w:pos="1337"/>
              </w:tabs>
              <w:wordWrap/>
              <w:topLinePunct w:val="0"/>
              <w:bidi w:val="0"/>
              <w:spacing w:line="560" w:lineRule="exact"/>
              <w:ind w:left="-42" w:right="-42"/>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3</w:t>
            </w:r>
          </w:p>
        </w:tc>
      </w:tr>
      <w:tr w14:paraId="0553A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52" w:type="dxa"/>
            <w:vMerge w:val="restart"/>
            <w:tcBorders>
              <w:left w:val="single" w:color="auto" w:sz="12" w:space="0"/>
            </w:tcBorders>
            <w:vAlign w:val="center"/>
          </w:tcPr>
          <w:p w14:paraId="2CFF1929">
            <w:pPr>
              <w:pStyle w:val="169"/>
              <w:pageBreakBefore w:val="0"/>
              <w:tabs>
                <w:tab w:val="left" w:pos="1337"/>
              </w:tabs>
              <w:wordWrap/>
              <w:topLinePunct w:val="0"/>
              <w:bidi w:val="0"/>
              <w:spacing w:line="560" w:lineRule="exact"/>
              <w:ind w:left="-42" w:right="-42"/>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序</w:t>
            </w:r>
          </w:p>
          <w:p w14:paraId="6624A2A7">
            <w:pPr>
              <w:pStyle w:val="169"/>
              <w:pageBreakBefore w:val="0"/>
              <w:tabs>
                <w:tab w:val="left" w:pos="1337"/>
              </w:tabs>
              <w:wordWrap/>
              <w:topLinePunct w:val="0"/>
              <w:bidi w:val="0"/>
              <w:spacing w:line="560" w:lineRule="exact"/>
              <w:ind w:left="-42" w:right="-42"/>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号</w:t>
            </w:r>
          </w:p>
        </w:tc>
        <w:tc>
          <w:tcPr>
            <w:tcW w:w="2441" w:type="dxa"/>
            <w:vMerge w:val="restart"/>
            <w:vAlign w:val="center"/>
          </w:tcPr>
          <w:p w14:paraId="08E7A312">
            <w:pPr>
              <w:pStyle w:val="169"/>
              <w:pageBreakBefore w:val="0"/>
              <w:tabs>
                <w:tab w:val="left" w:pos="1337"/>
              </w:tabs>
              <w:wordWrap/>
              <w:topLinePunct w:val="0"/>
              <w:bidi w:val="0"/>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产品名称</w:t>
            </w:r>
          </w:p>
        </w:tc>
        <w:tc>
          <w:tcPr>
            <w:tcW w:w="3418" w:type="dxa"/>
            <w:gridSpan w:val="2"/>
            <w:vMerge w:val="restart"/>
            <w:vAlign w:val="center"/>
          </w:tcPr>
          <w:p w14:paraId="5FC38D1D">
            <w:pPr>
              <w:pStyle w:val="169"/>
              <w:pageBreakBefore w:val="0"/>
              <w:tabs>
                <w:tab w:val="left" w:pos="1337"/>
              </w:tabs>
              <w:wordWrap/>
              <w:topLinePunct w:val="0"/>
              <w:bidi w:val="0"/>
              <w:spacing w:line="560" w:lineRule="exact"/>
              <w:ind w:left="-42" w:right="-42"/>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品牌、型号</w:t>
            </w:r>
          </w:p>
        </w:tc>
        <w:tc>
          <w:tcPr>
            <w:tcW w:w="4011" w:type="dxa"/>
            <w:gridSpan w:val="4"/>
            <w:tcBorders>
              <w:right w:val="single" w:color="auto" w:sz="12" w:space="0"/>
            </w:tcBorders>
          </w:tcPr>
          <w:p w14:paraId="2495F296">
            <w:pPr>
              <w:pStyle w:val="169"/>
              <w:pageBreakBefore w:val="0"/>
              <w:wordWrap/>
              <w:topLinePunct w:val="0"/>
              <w:bidi w:val="0"/>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价格（元）</w:t>
            </w:r>
          </w:p>
        </w:tc>
      </w:tr>
      <w:tr w14:paraId="3A91B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52" w:type="dxa"/>
            <w:vMerge w:val="continue"/>
            <w:tcBorders>
              <w:left w:val="single" w:color="auto" w:sz="12" w:space="0"/>
            </w:tcBorders>
            <w:vAlign w:val="center"/>
          </w:tcPr>
          <w:p w14:paraId="2E4CBE30">
            <w:pPr>
              <w:pStyle w:val="169"/>
              <w:pageBreakBefore w:val="0"/>
              <w:tabs>
                <w:tab w:val="left" w:pos="1337"/>
              </w:tabs>
              <w:wordWrap/>
              <w:topLinePunct w:val="0"/>
              <w:bidi w:val="0"/>
              <w:spacing w:line="560" w:lineRule="exact"/>
              <w:ind w:left="-42" w:right="-42"/>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2441" w:type="dxa"/>
            <w:vMerge w:val="continue"/>
            <w:vAlign w:val="center"/>
          </w:tcPr>
          <w:p w14:paraId="482EED76">
            <w:pPr>
              <w:pStyle w:val="169"/>
              <w:pageBreakBefore w:val="0"/>
              <w:tabs>
                <w:tab w:val="left" w:pos="1337"/>
              </w:tabs>
              <w:wordWrap/>
              <w:topLinePunct w:val="0"/>
              <w:bidi w:val="0"/>
              <w:spacing w:line="560" w:lineRule="exact"/>
              <w:ind w:left="-42" w:right="-42"/>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3418" w:type="dxa"/>
            <w:gridSpan w:val="2"/>
            <w:vMerge w:val="continue"/>
            <w:vAlign w:val="center"/>
          </w:tcPr>
          <w:p w14:paraId="7F550A27">
            <w:pPr>
              <w:pStyle w:val="169"/>
              <w:pageBreakBefore w:val="0"/>
              <w:tabs>
                <w:tab w:val="left" w:pos="1337"/>
              </w:tabs>
              <w:wordWrap/>
              <w:topLinePunct w:val="0"/>
              <w:bidi w:val="0"/>
              <w:spacing w:line="560" w:lineRule="exact"/>
              <w:ind w:left="-42" w:right="-42"/>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955" w:type="dxa"/>
            <w:vAlign w:val="center"/>
          </w:tcPr>
          <w:p w14:paraId="228BDF25">
            <w:pPr>
              <w:pStyle w:val="169"/>
              <w:pageBreakBefore w:val="0"/>
              <w:tabs>
                <w:tab w:val="left" w:pos="1337"/>
              </w:tabs>
              <w:wordWrap/>
              <w:topLinePunct w:val="0"/>
              <w:bidi w:val="0"/>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数量</w:t>
            </w:r>
          </w:p>
        </w:tc>
        <w:tc>
          <w:tcPr>
            <w:tcW w:w="1106" w:type="dxa"/>
          </w:tcPr>
          <w:p w14:paraId="4E2AFE9D">
            <w:pPr>
              <w:pStyle w:val="169"/>
              <w:pageBreakBefore w:val="0"/>
              <w:widowControl/>
              <w:wordWrap/>
              <w:topLinePunct w:val="0"/>
              <w:bidi w:val="0"/>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单位</w:t>
            </w:r>
          </w:p>
        </w:tc>
        <w:tc>
          <w:tcPr>
            <w:tcW w:w="1134" w:type="dxa"/>
            <w:vAlign w:val="center"/>
          </w:tcPr>
          <w:p w14:paraId="477D9E98">
            <w:pPr>
              <w:pStyle w:val="169"/>
              <w:pageBreakBefore w:val="0"/>
              <w:widowControl/>
              <w:wordWrap/>
              <w:topLinePunct w:val="0"/>
              <w:bidi w:val="0"/>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单价</w:t>
            </w:r>
          </w:p>
        </w:tc>
        <w:tc>
          <w:tcPr>
            <w:tcW w:w="816" w:type="dxa"/>
            <w:tcBorders>
              <w:right w:val="single" w:color="auto" w:sz="12" w:space="0"/>
            </w:tcBorders>
            <w:vAlign w:val="center"/>
          </w:tcPr>
          <w:p w14:paraId="23BB96E3">
            <w:pPr>
              <w:pStyle w:val="169"/>
              <w:pageBreakBefore w:val="0"/>
              <w:widowControl/>
              <w:wordWrap/>
              <w:topLinePunct w:val="0"/>
              <w:bidi w:val="0"/>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小计</w:t>
            </w:r>
          </w:p>
        </w:tc>
      </w:tr>
      <w:tr w14:paraId="51AAB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52" w:type="dxa"/>
            <w:tcBorders>
              <w:left w:val="single" w:color="auto" w:sz="12" w:space="0"/>
            </w:tcBorders>
            <w:vAlign w:val="center"/>
          </w:tcPr>
          <w:p w14:paraId="75D5CC58">
            <w:pPr>
              <w:pStyle w:val="169"/>
              <w:pageBreakBefore w:val="0"/>
              <w:tabs>
                <w:tab w:val="left" w:pos="1337"/>
              </w:tabs>
              <w:wordWrap/>
              <w:topLinePunct w:val="0"/>
              <w:bidi w:val="0"/>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w:t>
            </w:r>
          </w:p>
        </w:tc>
        <w:tc>
          <w:tcPr>
            <w:tcW w:w="2441" w:type="dxa"/>
            <w:vAlign w:val="center"/>
          </w:tcPr>
          <w:p w14:paraId="130ECA69">
            <w:pPr>
              <w:pStyle w:val="169"/>
              <w:pageBreakBefore w:val="0"/>
              <w:tabs>
                <w:tab w:val="left" w:pos="1337"/>
              </w:tabs>
              <w:wordWrap/>
              <w:topLinePunct w:val="0"/>
              <w:bidi w:val="0"/>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3418" w:type="dxa"/>
            <w:gridSpan w:val="2"/>
            <w:vAlign w:val="center"/>
          </w:tcPr>
          <w:p w14:paraId="28138921">
            <w:pPr>
              <w:pStyle w:val="169"/>
              <w:pageBreakBefore w:val="0"/>
              <w:tabs>
                <w:tab w:val="left" w:pos="1337"/>
              </w:tabs>
              <w:wordWrap/>
              <w:topLinePunct w:val="0"/>
              <w:bidi w:val="0"/>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955" w:type="dxa"/>
            <w:vAlign w:val="center"/>
          </w:tcPr>
          <w:p w14:paraId="6D9DC721">
            <w:pPr>
              <w:pStyle w:val="169"/>
              <w:pageBreakBefore w:val="0"/>
              <w:tabs>
                <w:tab w:val="left" w:pos="1337"/>
              </w:tabs>
              <w:wordWrap/>
              <w:topLinePunct w:val="0"/>
              <w:bidi w:val="0"/>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106" w:type="dxa"/>
          </w:tcPr>
          <w:p w14:paraId="7D3946EE">
            <w:pPr>
              <w:pStyle w:val="169"/>
              <w:pageBreakBefore w:val="0"/>
              <w:tabs>
                <w:tab w:val="left" w:pos="1337"/>
              </w:tabs>
              <w:wordWrap/>
              <w:topLinePunct w:val="0"/>
              <w:bidi w:val="0"/>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134" w:type="dxa"/>
            <w:vAlign w:val="center"/>
          </w:tcPr>
          <w:p w14:paraId="5DD0FED6">
            <w:pPr>
              <w:pStyle w:val="169"/>
              <w:pageBreakBefore w:val="0"/>
              <w:tabs>
                <w:tab w:val="left" w:pos="1337"/>
              </w:tabs>
              <w:wordWrap/>
              <w:topLinePunct w:val="0"/>
              <w:bidi w:val="0"/>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816" w:type="dxa"/>
            <w:tcBorders>
              <w:right w:val="single" w:color="auto" w:sz="12" w:space="0"/>
            </w:tcBorders>
            <w:vAlign w:val="center"/>
          </w:tcPr>
          <w:p w14:paraId="10126CA8">
            <w:pPr>
              <w:pStyle w:val="169"/>
              <w:pageBreakBefore w:val="0"/>
              <w:tabs>
                <w:tab w:val="left" w:pos="1337"/>
              </w:tabs>
              <w:wordWrap/>
              <w:topLinePunct w:val="0"/>
              <w:bidi w:val="0"/>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r>
      <w:tr w14:paraId="5816D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52" w:type="dxa"/>
            <w:tcBorders>
              <w:left w:val="single" w:color="auto" w:sz="12" w:space="0"/>
            </w:tcBorders>
            <w:vAlign w:val="center"/>
          </w:tcPr>
          <w:p w14:paraId="4E64CEF6">
            <w:pPr>
              <w:pStyle w:val="169"/>
              <w:pageBreakBefore w:val="0"/>
              <w:tabs>
                <w:tab w:val="left" w:pos="1337"/>
              </w:tabs>
              <w:wordWrap/>
              <w:topLinePunct w:val="0"/>
              <w:bidi w:val="0"/>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2</w:t>
            </w:r>
          </w:p>
        </w:tc>
        <w:tc>
          <w:tcPr>
            <w:tcW w:w="2441" w:type="dxa"/>
            <w:vAlign w:val="center"/>
          </w:tcPr>
          <w:p w14:paraId="5B7BE7DD">
            <w:pPr>
              <w:pStyle w:val="169"/>
              <w:pageBreakBefore w:val="0"/>
              <w:tabs>
                <w:tab w:val="left" w:pos="1337"/>
              </w:tabs>
              <w:wordWrap/>
              <w:topLinePunct w:val="0"/>
              <w:bidi w:val="0"/>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3418" w:type="dxa"/>
            <w:gridSpan w:val="2"/>
          </w:tcPr>
          <w:p w14:paraId="1A8ED0FD">
            <w:pPr>
              <w:pStyle w:val="169"/>
              <w:pageBreakBefore w:val="0"/>
              <w:tabs>
                <w:tab w:val="left" w:pos="1337"/>
              </w:tabs>
              <w:wordWrap/>
              <w:topLinePunct w:val="0"/>
              <w:bidi w:val="0"/>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955" w:type="dxa"/>
          </w:tcPr>
          <w:p w14:paraId="3B0C719A">
            <w:pPr>
              <w:pStyle w:val="169"/>
              <w:pageBreakBefore w:val="0"/>
              <w:tabs>
                <w:tab w:val="left" w:pos="1337"/>
              </w:tabs>
              <w:wordWrap/>
              <w:topLinePunct w:val="0"/>
              <w:bidi w:val="0"/>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106" w:type="dxa"/>
          </w:tcPr>
          <w:p w14:paraId="608F1A19">
            <w:pPr>
              <w:pStyle w:val="169"/>
              <w:pageBreakBefore w:val="0"/>
              <w:tabs>
                <w:tab w:val="left" w:pos="1337"/>
              </w:tabs>
              <w:wordWrap/>
              <w:topLinePunct w:val="0"/>
              <w:bidi w:val="0"/>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134" w:type="dxa"/>
          </w:tcPr>
          <w:p w14:paraId="6A6CE290">
            <w:pPr>
              <w:pStyle w:val="169"/>
              <w:pageBreakBefore w:val="0"/>
              <w:tabs>
                <w:tab w:val="left" w:pos="1337"/>
              </w:tabs>
              <w:wordWrap/>
              <w:topLinePunct w:val="0"/>
              <w:bidi w:val="0"/>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816" w:type="dxa"/>
            <w:tcBorders>
              <w:right w:val="single" w:color="auto" w:sz="12" w:space="0"/>
            </w:tcBorders>
            <w:vAlign w:val="center"/>
          </w:tcPr>
          <w:p w14:paraId="42CA7876">
            <w:pPr>
              <w:pStyle w:val="169"/>
              <w:pageBreakBefore w:val="0"/>
              <w:tabs>
                <w:tab w:val="left" w:pos="1337"/>
              </w:tabs>
              <w:wordWrap/>
              <w:topLinePunct w:val="0"/>
              <w:bidi w:val="0"/>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r>
      <w:tr w14:paraId="34582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52" w:type="dxa"/>
            <w:tcBorders>
              <w:left w:val="single" w:color="auto" w:sz="12" w:space="0"/>
            </w:tcBorders>
            <w:vAlign w:val="center"/>
          </w:tcPr>
          <w:p w14:paraId="7A07B0FC">
            <w:pPr>
              <w:pStyle w:val="169"/>
              <w:pageBreakBefore w:val="0"/>
              <w:tabs>
                <w:tab w:val="left" w:pos="1337"/>
              </w:tabs>
              <w:wordWrap/>
              <w:topLinePunct w:val="0"/>
              <w:bidi w:val="0"/>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3</w:t>
            </w:r>
          </w:p>
        </w:tc>
        <w:tc>
          <w:tcPr>
            <w:tcW w:w="2441" w:type="dxa"/>
            <w:vAlign w:val="center"/>
          </w:tcPr>
          <w:p w14:paraId="3952A508">
            <w:pPr>
              <w:pStyle w:val="169"/>
              <w:pageBreakBefore w:val="0"/>
              <w:tabs>
                <w:tab w:val="left" w:pos="1337"/>
              </w:tabs>
              <w:wordWrap/>
              <w:topLinePunct w:val="0"/>
              <w:bidi w:val="0"/>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3418" w:type="dxa"/>
            <w:gridSpan w:val="2"/>
          </w:tcPr>
          <w:p w14:paraId="07AE310C">
            <w:pPr>
              <w:pStyle w:val="169"/>
              <w:pageBreakBefore w:val="0"/>
              <w:tabs>
                <w:tab w:val="left" w:pos="1337"/>
              </w:tabs>
              <w:wordWrap/>
              <w:topLinePunct w:val="0"/>
              <w:bidi w:val="0"/>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955" w:type="dxa"/>
          </w:tcPr>
          <w:p w14:paraId="69C50310">
            <w:pPr>
              <w:pStyle w:val="169"/>
              <w:pageBreakBefore w:val="0"/>
              <w:tabs>
                <w:tab w:val="left" w:pos="1337"/>
              </w:tabs>
              <w:wordWrap/>
              <w:topLinePunct w:val="0"/>
              <w:bidi w:val="0"/>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106" w:type="dxa"/>
          </w:tcPr>
          <w:p w14:paraId="4BC78243">
            <w:pPr>
              <w:pStyle w:val="169"/>
              <w:pageBreakBefore w:val="0"/>
              <w:tabs>
                <w:tab w:val="left" w:pos="1337"/>
              </w:tabs>
              <w:wordWrap/>
              <w:topLinePunct w:val="0"/>
              <w:bidi w:val="0"/>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134" w:type="dxa"/>
          </w:tcPr>
          <w:p w14:paraId="3AEC6EBE">
            <w:pPr>
              <w:pStyle w:val="169"/>
              <w:pageBreakBefore w:val="0"/>
              <w:tabs>
                <w:tab w:val="left" w:pos="1337"/>
              </w:tabs>
              <w:wordWrap/>
              <w:topLinePunct w:val="0"/>
              <w:bidi w:val="0"/>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816" w:type="dxa"/>
            <w:tcBorders>
              <w:right w:val="single" w:color="auto" w:sz="12" w:space="0"/>
            </w:tcBorders>
            <w:vAlign w:val="center"/>
          </w:tcPr>
          <w:p w14:paraId="1AF567EF">
            <w:pPr>
              <w:pStyle w:val="169"/>
              <w:pageBreakBefore w:val="0"/>
              <w:tabs>
                <w:tab w:val="left" w:pos="1337"/>
              </w:tabs>
              <w:wordWrap/>
              <w:topLinePunct w:val="0"/>
              <w:bidi w:val="0"/>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r>
      <w:tr w14:paraId="52AA7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52" w:type="dxa"/>
            <w:tcBorders>
              <w:left w:val="single" w:color="auto" w:sz="12" w:space="0"/>
            </w:tcBorders>
            <w:vAlign w:val="center"/>
          </w:tcPr>
          <w:p w14:paraId="006EA1DF">
            <w:pPr>
              <w:pStyle w:val="169"/>
              <w:pageBreakBefore w:val="0"/>
              <w:tabs>
                <w:tab w:val="left" w:pos="1337"/>
              </w:tabs>
              <w:wordWrap/>
              <w:topLinePunct w:val="0"/>
              <w:bidi w:val="0"/>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4</w:t>
            </w:r>
          </w:p>
        </w:tc>
        <w:tc>
          <w:tcPr>
            <w:tcW w:w="2441" w:type="dxa"/>
            <w:vAlign w:val="center"/>
          </w:tcPr>
          <w:p w14:paraId="5C606E86">
            <w:pPr>
              <w:pStyle w:val="169"/>
              <w:pageBreakBefore w:val="0"/>
              <w:tabs>
                <w:tab w:val="left" w:pos="1337"/>
              </w:tabs>
              <w:wordWrap/>
              <w:topLinePunct w:val="0"/>
              <w:bidi w:val="0"/>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3418" w:type="dxa"/>
            <w:gridSpan w:val="2"/>
          </w:tcPr>
          <w:p w14:paraId="41498920">
            <w:pPr>
              <w:pStyle w:val="169"/>
              <w:pageBreakBefore w:val="0"/>
              <w:tabs>
                <w:tab w:val="left" w:pos="1337"/>
              </w:tabs>
              <w:wordWrap/>
              <w:topLinePunct w:val="0"/>
              <w:bidi w:val="0"/>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955" w:type="dxa"/>
          </w:tcPr>
          <w:p w14:paraId="4BE49CBF">
            <w:pPr>
              <w:pStyle w:val="169"/>
              <w:pageBreakBefore w:val="0"/>
              <w:tabs>
                <w:tab w:val="left" w:pos="1337"/>
              </w:tabs>
              <w:wordWrap/>
              <w:topLinePunct w:val="0"/>
              <w:bidi w:val="0"/>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106" w:type="dxa"/>
          </w:tcPr>
          <w:p w14:paraId="716EA491">
            <w:pPr>
              <w:pStyle w:val="169"/>
              <w:pageBreakBefore w:val="0"/>
              <w:tabs>
                <w:tab w:val="left" w:pos="1337"/>
              </w:tabs>
              <w:wordWrap/>
              <w:topLinePunct w:val="0"/>
              <w:bidi w:val="0"/>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134" w:type="dxa"/>
          </w:tcPr>
          <w:p w14:paraId="48FADD7C">
            <w:pPr>
              <w:pStyle w:val="169"/>
              <w:pageBreakBefore w:val="0"/>
              <w:tabs>
                <w:tab w:val="left" w:pos="1337"/>
              </w:tabs>
              <w:wordWrap/>
              <w:topLinePunct w:val="0"/>
              <w:bidi w:val="0"/>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816" w:type="dxa"/>
            <w:tcBorders>
              <w:right w:val="single" w:color="auto" w:sz="12" w:space="0"/>
            </w:tcBorders>
            <w:vAlign w:val="center"/>
          </w:tcPr>
          <w:p w14:paraId="7214133D">
            <w:pPr>
              <w:pStyle w:val="169"/>
              <w:pageBreakBefore w:val="0"/>
              <w:tabs>
                <w:tab w:val="left" w:pos="1337"/>
              </w:tabs>
              <w:wordWrap/>
              <w:topLinePunct w:val="0"/>
              <w:bidi w:val="0"/>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r>
      <w:tr w14:paraId="7338F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52" w:type="dxa"/>
            <w:tcBorders>
              <w:left w:val="single" w:color="auto" w:sz="12" w:space="0"/>
            </w:tcBorders>
            <w:vAlign w:val="center"/>
          </w:tcPr>
          <w:p w14:paraId="1E72AAC3">
            <w:pPr>
              <w:pStyle w:val="169"/>
              <w:pageBreakBefore w:val="0"/>
              <w:tabs>
                <w:tab w:val="left" w:pos="1337"/>
              </w:tabs>
              <w:wordWrap/>
              <w:topLinePunct w:val="0"/>
              <w:bidi w:val="0"/>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5</w:t>
            </w:r>
          </w:p>
        </w:tc>
        <w:tc>
          <w:tcPr>
            <w:tcW w:w="2441" w:type="dxa"/>
            <w:vAlign w:val="center"/>
          </w:tcPr>
          <w:p w14:paraId="752FB141">
            <w:pPr>
              <w:pStyle w:val="169"/>
              <w:pageBreakBefore w:val="0"/>
              <w:tabs>
                <w:tab w:val="left" w:pos="1337"/>
              </w:tabs>
              <w:wordWrap/>
              <w:topLinePunct w:val="0"/>
              <w:bidi w:val="0"/>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w:t>
            </w:r>
          </w:p>
        </w:tc>
        <w:tc>
          <w:tcPr>
            <w:tcW w:w="3418" w:type="dxa"/>
            <w:gridSpan w:val="2"/>
          </w:tcPr>
          <w:p w14:paraId="4544FED4">
            <w:pPr>
              <w:pStyle w:val="169"/>
              <w:pageBreakBefore w:val="0"/>
              <w:tabs>
                <w:tab w:val="left" w:pos="1337"/>
              </w:tabs>
              <w:wordWrap/>
              <w:topLinePunct w:val="0"/>
              <w:bidi w:val="0"/>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955" w:type="dxa"/>
          </w:tcPr>
          <w:p w14:paraId="218F0A24">
            <w:pPr>
              <w:pStyle w:val="169"/>
              <w:pageBreakBefore w:val="0"/>
              <w:tabs>
                <w:tab w:val="left" w:pos="1337"/>
              </w:tabs>
              <w:wordWrap/>
              <w:topLinePunct w:val="0"/>
              <w:bidi w:val="0"/>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106" w:type="dxa"/>
          </w:tcPr>
          <w:p w14:paraId="0B4567AA">
            <w:pPr>
              <w:pStyle w:val="169"/>
              <w:pageBreakBefore w:val="0"/>
              <w:tabs>
                <w:tab w:val="left" w:pos="1337"/>
              </w:tabs>
              <w:wordWrap/>
              <w:topLinePunct w:val="0"/>
              <w:bidi w:val="0"/>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134" w:type="dxa"/>
            <w:vAlign w:val="center"/>
          </w:tcPr>
          <w:p w14:paraId="21029DBA">
            <w:pPr>
              <w:pStyle w:val="169"/>
              <w:pageBreakBefore w:val="0"/>
              <w:tabs>
                <w:tab w:val="left" w:pos="1337"/>
              </w:tabs>
              <w:wordWrap/>
              <w:topLinePunct w:val="0"/>
              <w:bidi w:val="0"/>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816" w:type="dxa"/>
            <w:tcBorders>
              <w:right w:val="single" w:color="auto" w:sz="12" w:space="0"/>
            </w:tcBorders>
            <w:vAlign w:val="center"/>
          </w:tcPr>
          <w:p w14:paraId="58D60820">
            <w:pPr>
              <w:pStyle w:val="169"/>
              <w:pageBreakBefore w:val="0"/>
              <w:tabs>
                <w:tab w:val="left" w:pos="1337"/>
              </w:tabs>
              <w:wordWrap/>
              <w:topLinePunct w:val="0"/>
              <w:bidi w:val="0"/>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r>
      <w:tr w14:paraId="02AD3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52" w:type="dxa"/>
            <w:tcBorders>
              <w:left w:val="single" w:color="auto" w:sz="12" w:space="0"/>
              <w:bottom w:val="single" w:color="auto" w:sz="12" w:space="0"/>
            </w:tcBorders>
            <w:vAlign w:val="center"/>
          </w:tcPr>
          <w:p w14:paraId="2A3D431A">
            <w:pPr>
              <w:pStyle w:val="169"/>
              <w:pageBreakBefore w:val="0"/>
              <w:tabs>
                <w:tab w:val="left" w:pos="1337"/>
              </w:tabs>
              <w:wordWrap/>
              <w:topLinePunct w:val="0"/>
              <w:bidi w:val="0"/>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2441" w:type="dxa"/>
            <w:tcBorders>
              <w:bottom w:val="single" w:color="auto" w:sz="12" w:space="0"/>
            </w:tcBorders>
            <w:vAlign w:val="center"/>
          </w:tcPr>
          <w:p w14:paraId="4A2FF0DA">
            <w:pPr>
              <w:pStyle w:val="169"/>
              <w:pageBreakBefore w:val="0"/>
              <w:tabs>
                <w:tab w:val="left" w:pos="1337"/>
              </w:tabs>
              <w:wordWrap/>
              <w:topLinePunct w:val="0"/>
              <w:bidi w:val="0"/>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合计</w:t>
            </w:r>
          </w:p>
        </w:tc>
        <w:tc>
          <w:tcPr>
            <w:tcW w:w="955" w:type="dxa"/>
            <w:tcBorders>
              <w:bottom w:val="single" w:color="auto" w:sz="12" w:space="0"/>
            </w:tcBorders>
          </w:tcPr>
          <w:p w14:paraId="48C058DD">
            <w:pPr>
              <w:pStyle w:val="169"/>
              <w:pageBreakBefore w:val="0"/>
              <w:tabs>
                <w:tab w:val="left" w:pos="1337"/>
              </w:tabs>
              <w:wordWrap/>
              <w:topLinePunct w:val="0"/>
              <w:bidi w:val="0"/>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6474" w:type="dxa"/>
            <w:gridSpan w:val="5"/>
            <w:tcBorders>
              <w:bottom w:val="single" w:color="auto" w:sz="12" w:space="0"/>
              <w:right w:val="single" w:color="auto" w:sz="12" w:space="0"/>
            </w:tcBorders>
          </w:tcPr>
          <w:p w14:paraId="2F76D5B6">
            <w:pPr>
              <w:pStyle w:val="169"/>
              <w:pageBreakBefore w:val="0"/>
              <w:tabs>
                <w:tab w:val="left" w:pos="1337"/>
              </w:tabs>
              <w:wordWrap/>
              <w:topLinePunct w:val="0"/>
              <w:bidi w:val="0"/>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r>
    </w:tbl>
    <w:p w14:paraId="7422543D">
      <w:pPr>
        <w:pageBreakBefore w:val="0"/>
        <w:widowControl/>
        <w:wordWrap/>
        <w:topLinePunct w:val="0"/>
        <w:bidi w:val="0"/>
        <w:spacing w:line="560" w:lineRule="exact"/>
        <w:jc w:val="left"/>
        <w:rPr>
          <w:rFonts w:ascii="仿宋_GB2312" w:hAnsi="仿宋" w:eastAsia="仿宋_GB2312" w:cs="仿宋_GB2312"/>
          <w:color w:val="000000" w:themeColor="text1"/>
          <w:kern w:val="0"/>
          <w:sz w:val="24"/>
          <w:highlight w:val="none"/>
          <w:lang w:val="zh-CN"/>
          <w14:textFill>
            <w14:solidFill>
              <w14:schemeClr w14:val="tx1"/>
            </w14:solidFill>
          </w14:textFill>
        </w:rPr>
      </w:pPr>
    </w:p>
    <w:p w14:paraId="21022AD8">
      <w:pPr>
        <w:pageBreakBefore w:val="0"/>
        <w:wordWrap/>
        <w:topLinePunct w:val="0"/>
        <w:bidi w:val="0"/>
        <w:snapToGrid w:val="0"/>
        <w:spacing w:line="560" w:lineRule="exact"/>
        <w:rPr>
          <w:rFonts w:ascii="仿宋_GB2312" w:hAnsi="仿宋" w:eastAsia="仿宋_GB2312" w:cs="仿宋_GB2312"/>
          <w:color w:val="000000" w:themeColor="text1"/>
          <w:kern w:val="0"/>
          <w:sz w:val="24"/>
          <w:szCs w:val="21"/>
          <w:highlight w:val="none"/>
          <w14:textFill>
            <w14:solidFill>
              <w14:schemeClr w14:val="tx1"/>
            </w14:solidFill>
          </w14:textFill>
        </w:rPr>
      </w:pPr>
    </w:p>
    <w:p w14:paraId="357BDB6F">
      <w:pPr>
        <w:pageBreakBefore w:val="0"/>
        <w:wordWrap/>
        <w:topLinePunct w:val="0"/>
        <w:bidi w:val="0"/>
        <w:snapToGrid w:val="0"/>
        <w:spacing w:line="560" w:lineRule="exact"/>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t>说明： 1、</w:t>
      </w:r>
      <w:r>
        <w:rPr>
          <w:rFonts w:hint="eastAsia" w:ascii="宋体" w:hAnsi="宋体" w:cs="宋体"/>
          <w:b/>
          <w:bCs/>
          <w:color w:val="000000" w:themeColor="text1"/>
          <w:sz w:val="28"/>
          <w:szCs w:val="28"/>
          <w:highlight w:val="none"/>
          <w:lang w:eastAsia="zh-CN"/>
          <w14:textFill>
            <w14:solidFill>
              <w14:schemeClr w14:val="tx1"/>
            </w14:solidFill>
          </w14:textFill>
        </w:rPr>
        <w:t>供应商</w:t>
      </w:r>
      <w:r>
        <w:rPr>
          <w:rFonts w:hint="eastAsia" w:ascii="宋体" w:hAnsi="宋体" w:eastAsia="宋体" w:cs="宋体"/>
          <w:b/>
          <w:bCs/>
          <w:color w:val="000000" w:themeColor="text1"/>
          <w:sz w:val="28"/>
          <w:szCs w:val="28"/>
          <w:highlight w:val="none"/>
          <w14:textFill>
            <w14:solidFill>
              <w14:schemeClr w14:val="tx1"/>
            </w14:solidFill>
          </w14:textFill>
        </w:rPr>
        <w:t>必须填写分项报价表，否则将导致投标被拒绝。</w:t>
      </w:r>
    </w:p>
    <w:p w14:paraId="233E6A03">
      <w:pPr>
        <w:pageBreakBefore w:val="0"/>
        <w:wordWrap/>
        <w:topLinePunct w:val="0"/>
        <w:bidi w:val="0"/>
        <w:snapToGrid w:val="0"/>
        <w:spacing w:line="560" w:lineRule="exact"/>
        <w:ind w:firstLine="843" w:firstLineChars="300"/>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t xml:space="preserve"> 2、供应商可根据自身需求自行</w:t>
      </w:r>
      <w:r>
        <w:rPr>
          <w:rFonts w:hint="eastAsia" w:ascii="宋体" w:hAnsi="宋体" w:cs="宋体"/>
          <w:b/>
          <w:bCs/>
          <w:color w:val="000000" w:themeColor="text1"/>
          <w:sz w:val="28"/>
          <w:szCs w:val="28"/>
          <w:highlight w:val="none"/>
          <w:lang w:eastAsia="zh-CN"/>
          <w14:textFill>
            <w14:solidFill>
              <w14:schemeClr w14:val="tx1"/>
            </w14:solidFill>
          </w14:textFill>
        </w:rPr>
        <w:t>加</w:t>
      </w:r>
      <w:r>
        <w:rPr>
          <w:rFonts w:hint="eastAsia" w:ascii="宋体" w:hAnsi="宋体" w:eastAsia="宋体" w:cs="宋体"/>
          <w:b/>
          <w:bCs/>
          <w:color w:val="000000" w:themeColor="text1"/>
          <w:sz w:val="28"/>
          <w:szCs w:val="28"/>
          <w:highlight w:val="none"/>
          <w14:textFill>
            <w14:solidFill>
              <w14:schemeClr w14:val="tx1"/>
            </w14:solidFill>
          </w14:textFill>
        </w:rPr>
        <w:t>减行数。</w:t>
      </w:r>
    </w:p>
    <w:p w14:paraId="01FDB9CC">
      <w:pPr>
        <w:pageBreakBefore w:val="0"/>
        <w:wordWrap/>
        <w:topLinePunct w:val="0"/>
        <w:bidi w:val="0"/>
        <w:snapToGrid w:val="0"/>
        <w:spacing w:line="560" w:lineRule="exact"/>
        <w:rPr>
          <w:rFonts w:ascii="仿宋_GB2312" w:hAnsi="仿宋" w:eastAsia="仿宋_GB2312" w:cs="仿宋_GB2312"/>
          <w:color w:val="000000" w:themeColor="text1"/>
          <w:kern w:val="0"/>
          <w:sz w:val="24"/>
          <w:szCs w:val="21"/>
          <w:highlight w:val="none"/>
          <w14:textFill>
            <w14:solidFill>
              <w14:schemeClr w14:val="tx1"/>
            </w14:solidFill>
          </w14:textFill>
        </w:rPr>
      </w:pPr>
    </w:p>
    <w:p w14:paraId="3B7368F7">
      <w:pPr>
        <w:pageBreakBefore w:val="0"/>
        <w:wordWrap/>
        <w:topLinePunct w:val="0"/>
        <w:bidi w:val="0"/>
        <w:snapToGrid w:val="0"/>
        <w:spacing w:line="560" w:lineRule="exact"/>
        <w:ind w:firstLine="480" w:firstLineChars="200"/>
        <w:jc w:val="center"/>
        <w:rPr>
          <w:rFonts w:ascii="仿宋_GB2312" w:hAnsi="仿宋" w:eastAsia="仿宋_GB2312" w:cs="仿宋_GB2312"/>
          <w:color w:val="000000" w:themeColor="text1"/>
          <w:kern w:val="0"/>
          <w:sz w:val="24"/>
          <w:szCs w:val="21"/>
          <w:highlight w:val="none"/>
          <w14:textFill>
            <w14:solidFill>
              <w14:schemeClr w14:val="tx1"/>
            </w14:solidFill>
          </w14:textFill>
        </w:rPr>
      </w:pPr>
    </w:p>
    <w:p w14:paraId="1FE1C282">
      <w:pPr>
        <w:pageBreakBefore w:val="0"/>
        <w:wordWrap/>
        <w:topLinePunct w:val="0"/>
        <w:bidi w:val="0"/>
        <w:snapToGrid w:val="0"/>
        <w:spacing w:line="560" w:lineRule="exact"/>
        <w:ind w:firstLine="480" w:firstLineChars="200"/>
        <w:jc w:val="center"/>
        <w:rPr>
          <w:rFonts w:ascii="仿宋_GB2312" w:hAnsi="仿宋" w:eastAsia="仿宋_GB2312" w:cs="仿宋_GB2312"/>
          <w:color w:val="000000" w:themeColor="text1"/>
          <w:kern w:val="0"/>
          <w:sz w:val="24"/>
          <w:szCs w:val="21"/>
          <w:highlight w:val="none"/>
          <w14:textFill>
            <w14:solidFill>
              <w14:schemeClr w14:val="tx1"/>
            </w14:solidFill>
          </w14:textFill>
        </w:rPr>
      </w:pPr>
    </w:p>
    <w:p w14:paraId="04258FD4">
      <w:pPr>
        <w:pageBreakBefore w:val="0"/>
        <w:wordWrap/>
        <w:topLinePunct w:val="0"/>
        <w:autoSpaceDE w:val="0"/>
        <w:autoSpaceDN w:val="0"/>
        <w:bidi w:val="0"/>
        <w:spacing w:line="560" w:lineRule="exact"/>
        <w:ind w:left="4375" w:leftChars="1950" w:hanging="280" w:hangingChars="100"/>
        <w:rPr>
          <w:rFonts w:cs="仿宋_GB2312" w:asciiTheme="minorEastAsia" w:hAnsiTheme="minorEastAsia" w:eastAsiaTheme="minorEastAsia"/>
          <w:color w:val="000000" w:themeColor="text1"/>
          <w:kern w:val="0"/>
          <w:sz w:val="28"/>
          <w:szCs w:val="28"/>
          <w:highlight w:val="none"/>
          <w14:textFill>
            <w14:solidFill>
              <w14:schemeClr w14:val="tx1"/>
            </w14:solidFill>
          </w14:textFill>
        </w:rPr>
      </w:pPr>
      <w:r>
        <w:rPr>
          <w:rFonts w:hint="eastAsia" w:cs="仿宋_GB2312" w:asciiTheme="minorEastAsia" w:hAnsiTheme="minorEastAsia" w:eastAsiaTheme="minorEastAsia"/>
          <w:color w:val="000000" w:themeColor="text1"/>
          <w:kern w:val="0"/>
          <w:sz w:val="28"/>
          <w:szCs w:val="28"/>
          <w:highlight w:val="none"/>
          <w14:textFill>
            <w14:solidFill>
              <w14:schemeClr w14:val="tx1"/>
            </w14:solidFill>
          </w14:textFill>
        </w:rPr>
        <w:t>供应商名称（</w:t>
      </w:r>
      <w:r>
        <w:rPr>
          <w:rFonts w:hint="eastAsia" w:cs="仿宋_GB2312" w:asciiTheme="minorEastAsia" w:hAnsiTheme="minorEastAsia" w:eastAsiaTheme="minorEastAsia"/>
          <w:color w:val="000000" w:themeColor="text1"/>
          <w:kern w:val="0"/>
          <w:sz w:val="28"/>
          <w:szCs w:val="28"/>
          <w:highlight w:val="none"/>
          <w:lang w:eastAsia="zh-CN"/>
          <w14:textFill>
            <w14:solidFill>
              <w14:schemeClr w14:val="tx1"/>
            </w14:solidFill>
          </w14:textFill>
        </w:rPr>
        <w:t>电子公章</w:t>
      </w:r>
      <w:r>
        <w:rPr>
          <w:rFonts w:hint="eastAsia" w:cs="仿宋_GB2312" w:asciiTheme="minorEastAsia" w:hAnsiTheme="minorEastAsia" w:eastAsiaTheme="minorEastAsia"/>
          <w:color w:val="000000" w:themeColor="text1"/>
          <w:kern w:val="0"/>
          <w:sz w:val="28"/>
          <w:szCs w:val="28"/>
          <w:highlight w:val="none"/>
          <w14:textFill>
            <w14:solidFill>
              <w14:schemeClr w14:val="tx1"/>
            </w14:solidFill>
          </w14:textFill>
        </w:rPr>
        <w:t>）：</w:t>
      </w:r>
    </w:p>
    <w:p w14:paraId="66627D81">
      <w:pPr>
        <w:pageBreakBefore w:val="0"/>
        <w:wordWrap/>
        <w:topLinePunct w:val="0"/>
        <w:autoSpaceDE w:val="0"/>
        <w:autoSpaceDN w:val="0"/>
        <w:bidi w:val="0"/>
        <w:spacing w:line="560" w:lineRule="exact"/>
        <w:ind w:firstLine="4200" w:firstLineChars="1500"/>
        <w:rPr>
          <w:rFonts w:hint="eastAsia" w:cs="仿宋_GB2312" w:asciiTheme="minorEastAsia" w:hAnsiTheme="minorEastAsia" w:eastAsiaTheme="minorEastAsia"/>
          <w:color w:val="000000" w:themeColor="text1"/>
          <w:kern w:val="0"/>
          <w:sz w:val="28"/>
          <w:szCs w:val="28"/>
          <w:highlight w:val="none"/>
          <w:lang w:val="zh-CN"/>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法定代表人或其委托代理人（签字</w:t>
      </w:r>
      <w:r>
        <w:rPr>
          <w:rFonts w:hint="eastAsia" w:ascii="宋体" w:hAnsi="宋体" w:cs="宋体"/>
          <w:color w:val="000000" w:themeColor="text1"/>
          <w:sz w:val="28"/>
          <w:szCs w:val="28"/>
          <w:highlight w:val="none"/>
          <w:lang w:eastAsia="zh-CN"/>
          <w14:textFill>
            <w14:solidFill>
              <w14:schemeClr w14:val="tx1"/>
            </w14:solidFill>
          </w14:textFill>
        </w:rPr>
        <w:t>或</w:t>
      </w:r>
      <w:r>
        <w:rPr>
          <w:rFonts w:hint="eastAsia" w:ascii="宋体" w:hAnsi="宋体" w:eastAsia="宋体" w:cs="宋体"/>
          <w:color w:val="000000" w:themeColor="text1"/>
          <w:sz w:val="28"/>
          <w:szCs w:val="28"/>
          <w:highlight w:val="none"/>
          <w14:textFill>
            <w14:solidFill>
              <w14:schemeClr w14:val="tx1"/>
            </w14:solidFill>
          </w14:textFill>
        </w:rPr>
        <w:t>盖章）：</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r>
        <w:rPr>
          <w:rFonts w:hint="eastAsia" w:ascii="宋体" w:hAnsi="宋体" w:cs="宋体"/>
          <w:color w:val="000000" w:themeColor="text1"/>
          <w:sz w:val="28"/>
          <w:szCs w:val="28"/>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kern w:val="0"/>
          <w:sz w:val="28"/>
          <w:szCs w:val="28"/>
          <w:highlight w:val="none"/>
          <w:u w:val="single"/>
          <w:lang w:val="en-US" w:eastAsia="zh-CN"/>
          <w14:textFill>
            <w14:solidFill>
              <w14:schemeClr w14:val="tx1"/>
            </w14:solidFill>
          </w14:textFill>
        </w:rPr>
        <w:t xml:space="preserve"> </w:t>
      </w:r>
    </w:p>
    <w:p w14:paraId="03DD60AB">
      <w:pPr>
        <w:pageBreakBefore w:val="0"/>
        <w:wordWrap/>
        <w:topLinePunct w:val="0"/>
        <w:autoSpaceDE w:val="0"/>
        <w:autoSpaceDN w:val="0"/>
        <w:bidi w:val="0"/>
        <w:spacing w:line="560" w:lineRule="exact"/>
        <w:ind w:firstLine="4200" w:firstLineChars="1500"/>
        <w:rPr>
          <w:rFonts w:cs="仿宋_GB2312" w:asciiTheme="minorEastAsia" w:hAnsiTheme="minorEastAsia" w:eastAsiaTheme="minorEastAsia"/>
          <w:color w:val="000000" w:themeColor="text1"/>
          <w:kern w:val="0"/>
          <w:sz w:val="28"/>
          <w:szCs w:val="28"/>
          <w:highlight w:val="none"/>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8"/>
          <w:szCs w:val="28"/>
          <w:highlight w:val="none"/>
          <w:lang w:val="zh-CN"/>
          <w14:textFill>
            <w14:solidFill>
              <w14:schemeClr w14:val="tx1"/>
            </w14:solidFill>
          </w14:textFill>
        </w:rPr>
        <w:t>日  期</w:t>
      </w:r>
      <w:r>
        <w:rPr>
          <w:rFonts w:hint="eastAsia" w:cs="仿宋_GB2312" w:asciiTheme="minorEastAsia" w:hAnsiTheme="minorEastAsia" w:eastAsiaTheme="minorEastAsia"/>
          <w:color w:val="000000" w:themeColor="text1"/>
          <w:kern w:val="0"/>
          <w:sz w:val="28"/>
          <w:szCs w:val="28"/>
          <w:highlight w:val="none"/>
          <w14:textFill>
            <w14:solidFill>
              <w14:schemeClr w14:val="tx1"/>
            </w14:solidFill>
          </w14:textFill>
        </w:rPr>
        <w:t xml:space="preserve">：  </w:t>
      </w:r>
      <w:r>
        <w:rPr>
          <w:rFonts w:hint="eastAsia" w:cs="仿宋_GB2312" w:asciiTheme="minorEastAsia" w:hAnsiTheme="minorEastAsia" w:eastAsiaTheme="minorEastAsia"/>
          <w:color w:val="000000" w:themeColor="text1"/>
          <w:kern w:val="0"/>
          <w:sz w:val="28"/>
          <w:szCs w:val="28"/>
          <w:highlight w:val="none"/>
          <w:lang w:val="zh-CN"/>
          <w14:textFill>
            <w14:solidFill>
              <w14:schemeClr w14:val="tx1"/>
            </w14:solidFill>
          </w14:textFill>
        </w:rPr>
        <w:t>年</w:t>
      </w:r>
      <w:r>
        <w:rPr>
          <w:rFonts w:hint="eastAsia" w:cs="仿宋_GB2312" w:asciiTheme="minorEastAsia" w:hAnsiTheme="minorEastAsia" w:eastAsiaTheme="minorEastAsia"/>
          <w:color w:val="000000" w:themeColor="text1"/>
          <w:kern w:val="0"/>
          <w:sz w:val="28"/>
          <w:szCs w:val="28"/>
          <w:highlight w:val="none"/>
          <w14:textFill>
            <w14:solidFill>
              <w14:schemeClr w14:val="tx1"/>
            </w14:solidFill>
          </w14:textFill>
        </w:rPr>
        <w:t xml:space="preserve">  </w:t>
      </w:r>
      <w:r>
        <w:rPr>
          <w:rFonts w:hint="eastAsia" w:cs="仿宋_GB2312" w:asciiTheme="minorEastAsia" w:hAnsiTheme="minorEastAsia" w:eastAsiaTheme="minorEastAsia"/>
          <w:color w:val="000000" w:themeColor="text1"/>
          <w:kern w:val="0"/>
          <w:sz w:val="28"/>
          <w:szCs w:val="28"/>
          <w:highlight w:val="none"/>
          <w:lang w:val="zh-CN"/>
          <w14:textFill>
            <w14:solidFill>
              <w14:schemeClr w14:val="tx1"/>
            </w14:solidFill>
          </w14:textFill>
        </w:rPr>
        <w:t>月</w:t>
      </w:r>
      <w:r>
        <w:rPr>
          <w:rFonts w:hint="eastAsia" w:cs="仿宋_GB2312" w:asciiTheme="minorEastAsia" w:hAnsiTheme="minorEastAsia" w:eastAsiaTheme="minorEastAsia"/>
          <w:color w:val="000000" w:themeColor="text1"/>
          <w:kern w:val="0"/>
          <w:sz w:val="28"/>
          <w:szCs w:val="28"/>
          <w:highlight w:val="none"/>
          <w14:textFill>
            <w14:solidFill>
              <w14:schemeClr w14:val="tx1"/>
            </w14:solidFill>
          </w14:textFill>
        </w:rPr>
        <w:t xml:space="preserve">   </w:t>
      </w:r>
      <w:r>
        <w:rPr>
          <w:rFonts w:hint="eastAsia" w:cs="仿宋_GB2312" w:asciiTheme="minorEastAsia" w:hAnsiTheme="minorEastAsia" w:eastAsiaTheme="minorEastAsia"/>
          <w:color w:val="000000" w:themeColor="text1"/>
          <w:kern w:val="0"/>
          <w:sz w:val="28"/>
          <w:szCs w:val="28"/>
          <w:highlight w:val="none"/>
          <w:lang w:val="zh-CN"/>
          <w14:textFill>
            <w14:solidFill>
              <w14:schemeClr w14:val="tx1"/>
            </w14:solidFill>
          </w14:textFill>
        </w:rPr>
        <w:t>日</w:t>
      </w:r>
    </w:p>
    <w:p w14:paraId="2D807266">
      <w:pPr>
        <w:pageBreakBefore w:val="0"/>
        <w:widowControl/>
        <w:wordWrap/>
        <w:topLinePunct w:val="0"/>
        <w:bidi w:val="0"/>
        <w:spacing w:line="560" w:lineRule="exact"/>
        <w:jc w:val="left"/>
        <w:rPr>
          <w:rFonts w:ascii="宋体" w:hAnsi="宋体"/>
          <w:color w:val="000000" w:themeColor="text1"/>
          <w:szCs w:val="20"/>
          <w:highlight w:val="none"/>
          <w14:textFill>
            <w14:solidFill>
              <w14:schemeClr w14:val="tx1"/>
            </w14:solidFill>
          </w14:textFill>
        </w:rPr>
      </w:pPr>
      <w:r>
        <w:rPr>
          <w:rFonts w:ascii="宋体" w:hAnsi="宋体"/>
          <w:color w:val="000000" w:themeColor="text1"/>
          <w:szCs w:val="20"/>
          <w:highlight w:val="none"/>
          <w14:textFill>
            <w14:solidFill>
              <w14:schemeClr w14:val="tx1"/>
            </w14:solidFill>
          </w14:textFill>
        </w:rPr>
        <w:br w:type="page"/>
      </w:r>
    </w:p>
    <w:p w14:paraId="55E25605">
      <w:pPr>
        <w:pStyle w:val="17"/>
        <w:pageBreakBefore w:val="0"/>
        <w:wordWrap/>
        <w:topLinePunct w:val="0"/>
        <w:bidi w:val="0"/>
        <w:spacing w:line="560" w:lineRule="exact"/>
        <w:rPr>
          <w:rFonts w:hint="eastAsia" w:eastAsiaTheme="minorEastAsia"/>
          <w:color w:val="000000" w:themeColor="text1"/>
          <w:highlight w:val="none"/>
          <w:lang w:eastAsia="zh-CN"/>
          <w14:textFill>
            <w14:solidFill>
              <w14:schemeClr w14:val="tx1"/>
            </w14:solidFill>
          </w14:textFill>
        </w:rPr>
      </w:pPr>
      <w:r>
        <w:rPr>
          <w:rFonts w:hint="eastAsia"/>
          <w:color w:val="000000" w:themeColor="text1"/>
          <w:highlight w:val="none"/>
          <w14:textFill>
            <w14:solidFill>
              <w14:schemeClr w14:val="tx1"/>
            </w14:solidFill>
          </w14:textFill>
        </w:rPr>
        <w:t>四</w:t>
      </w:r>
      <w:r>
        <w:rPr>
          <w:color w:val="000000" w:themeColor="text1"/>
          <w:highlight w:val="none"/>
          <w14:textFill>
            <w14:solidFill>
              <w14:schemeClr w14:val="tx1"/>
            </w14:solidFill>
          </w14:textFill>
        </w:rPr>
        <w:t>、中小企业声明函</w:t>
      </w:r>
      <w:r>
        <w:rPr>
          <w:rFonts w:hint="eastAsia"/>
          <w:color w:val="000000" w:themeColor="text1"/>
          <w:highlight w:val="none"/>
          <w:lang w:eastAsia="zh-CN"/>
          <w14:textFill>
            <w14:solidFill>
              <w14:schemeClr w14:val="tx1"/>
            </w14:solidFill>
          </w14:textFill>
        </w:rPr>
        <w:t>（如有）</w:t>
      </w:r>
    </w:p>
    <w:p w14:paraId="51D7BC12">
      <w:pPr>
        <w:pStyle w:val="13"/>
        <w:pageBreakBefore w:val="0"/>
        <w:wordWrap/>
        <w:topLinePunct w:val="0"/>
        <w:bidi w:val="0"/>
        <w:adjustRightInd w:val="0"/>
        <w:snapToGrid w:val="0"/>
        <w:spacing w:line="560" w:lineRule="exact"/>
        <w:ind w:left="-426" w:leftChars="-203" w:right="142" w:firstLine="560" w:firstLineChars="200"/>
        <w:rPr>
          <w:rFonts w:asciiTheme="minorEastAsia" w:hAnsiTheme="minorEastAsia" w:eastAsiaTheme="minorEastAsia"/>
          <w:color w:val="000000" w:themeColor="text1"/>
          <w:kern w:val="24"/>
          <w:sz w:val="28"/>
          <w:szCs w:val="28"/>
          <w:highlight w:val="none"/>
          <w14:textFill>
            <w14:solidFill>
              <w14:schemeClr w14:val="tx1"/>
            </w14:solidFill>
          </w14:textFill>
        </w:rPr>
      </w:pPr>
      <w:r>
        <w:rPr>
          <w:rFonts w:hint="eastAsia" w:asciiTheme="minorEastAsia" w:hAnsiTheme="minorEastAsia" w:eastAsiaTheme="minorEastAsia"/>
          <w:color w:val="000000" w:themeColor="text1"/>
          <w:kern w:val="24"/>
          <w:sz w:val="28"/>
          <w:szCs w:val="28"/>
          <w:highlight w:val="none"/>
          <w14:textFill>
            <w14:solidFill>
              <w14:schemeClr w14:val="tx1"/>
            </w14:solidFill>
          </w14:textFill>
        </w:rPr>
        <w:t>本公司（联合体）郑重声明，根据《政府采购促进中小企业发展管理办法》（财库﹝2020﹞46号）的规定，本公司（联合体）参加</w:t>
      </w:r>
      <w:r>
        <w:rPr>
          <w:rFonts w:hint="eastAsia" w:asciiTheme="minorEastAsia" w:hAnsiTheme="minorEastAsia" w:eastAsiaTheme="minorEastAsia"/>
          <w:color w:val="000000" w:themeColor="text1"/>
          <w:kern w:val="24"/>
          <w:sz w:val="28"/>
          <w:szCs w:val="28"/>
          <w:highlight w:val="none"/>
          <w:u w:val="single"/>
          <w14:textFill>
            <w14:solidFill>
              <w14:schemeClr w14:val="tx1"/>
            </w14:solidFill>
          </w14:textFill>
        </w:rPr>
        <w:t xml:space="preserve">           （单位名称）的           （项目名称）     </w:t>
      </w:r>
      <w:r>
        <w:rPr>
          <w:rFonts w:hint="eastAsia" w:asciiTheme="minorEastAsia" w:hAnsiTheme="minorEastAsia" w:eastAsiaTheme="minorEastAsia"/>
          <w:color w:val="000000" w:themeColor="text1"/>
          <w:kern w:val="24"/>
          <w:sz w:val="28"/>
          <w:szCs w:val="28"/>
          <w:highlight w:val="none"/>
          <w14:textFill>
            <w14:solidFill>
              <w14:schemeClr w14:val="tx1"/>
            </w14:solidFill>
          </w14:textFill>
        </w:rPr>
        <w:t>采购活动，提供的货物全部由符合政策要求的中小企业制造。相关企业（含联合体中的中小企业、签订分包意向协议的中小企业）的具体情况如下：</w:t>
      </w:r>
    </w:p>
    <w:p w14:paraId="61048155">
      <w:pPr>
        <w:pageBreakBefore w:val="0"/>
        <w:tabs>
          <w:tab w:val="left" w:pos="1384"/>
          <w:tab w:val="left" w:pos="4562"/>
          <w:tab w:val="left" w:pos="6803"/>
        </w:tabs>
        <w:wordWrap/>
        <w:topLinePunct w:val="0"/>
        <w:bidi w:val="0"/>
        <w:adjustRightInd w:val="0"/>
        <w:snapToGrid w:val="0"/>
        <w:spacing w:line="560" w:lineRule="exact"/>
        <w:ind w:left="-426" w:right="-58" w:firstLine="655"/>
        <w:rPr>
          <w:rFonts w:asciiTheme="minorEastAsia" w:hAnsiTheme="minorEastAsia" w:eastAsiaTheme="minorEastAsia"/>
          <w:color w:val="000000" w:themeColor="text1"/>
          <w:kern w:val="24"/>
          <w:sz w:val="28"/>
          <w:szCs w:val="28"/>
          <w:highlight w:val="none"/>
          <w14:textFill>
            <w14:solidFill>
              <w14:schemeClr w14:val="tx1"/>
            </w14:solidFill>
          </w14:textFill>
        </w:rPr>
      </w:pPr>
      <w:r>
        <w:rPr>
          <w:rFonts w:hint="eastAsia" w:asciiTheme="minorEastAsia" w:hAnsiTheme="minorEastAsia" w:eastAsiaTheme="minorEastAsia"/>
          <w:color w:val="000000" w:themeColor="text1"/>
          <w:kern w:val="24"/>
          <w:sz w:val="28"/>
          <w:szCs w:val="28"/>
          <w:highlight w:val="none"/>
          <w14:textFill>
            <w14:solidFill>
              <w14:schemeClr w14:val="tx1"/>
            </w14:solidFill>
          </w14:textFill>
        </w:rPr>
        <w:t>1.</w:t>
      </w:r>
      <w:r>
        <w:rPr>
          <w:rFonts w:hint="eastAsia" w:asciiTheme="minorEastAsia" w:hAnsiTheme="minorEastAsia" w:eastAsiaTheme="minorEastAsia"/>
          <w:color w:val="000000" w:themeColor="text1"/>
          <w:kern w:val="24"/>
          <w:sz w:val="28"/>
          <w:szCs w:val="28"/>
          <w:highlight w:val="none"/>
          <w:u w:val="single"/>
          <w14:textFill>
            <w14:solidFill>
              <w14:schemeClr w14:val="tx1"/>
            </w14:solidFill>
          </w14:textFill>
        </w:rPr>
        <w:t xml:space="preserve">     （标的名称）</w:t>
      </w:r>
      <w:r>
        <w:rPr>
          <w:rFonts w:hint="eastAsia" w:asciiTheme="minorEastAsia" w:hAnsiTheme="minorEastAsia" w:eastAsiaTheme="minorEastAsia"/>
          <w:color w:val="000000" w:themeColor="text1"/>
          <w:kern w:val="24"/>
          <w:sz w:val="28"/>
          <w:szCs w:val="28"/>
          <w:highlight w:val="none"/>
          <w14:textFill>
            <w14:solidFill>
              <w14:schemeClr w14:val="tx1"/>
            </w14:solidFill>
          </w14:textFill>
        </w:rPr>
        <w:t>，属于</w:t>
      </w:r>
      <w:r>
        <w:rPr>
          <w:rFonts w:hint="eastAsia" w:asciiTheme="minorEastAsia" w:hAnsiTheme="minorEastAsia" w:eastAsiaTheme="minorEastAsia"/>
          <w:color w:val="000000" w:themeColor="text1"/>
          <w:kern w:val="24"/>
          <w:sz w:val="28"/>
          <w:szCs w:val="28"/>
          <w:highlight w:val="none"/>
          <w:u w:val="single"/>
          <w14:textFill>
            <w14:solidFill>
              <w14:schemeClr w14:val="tx1"/>
            </w14:solidFill>
          </w14:textFill>
        </w:rPr>
        <w:t>（采购文件所属行业）</w:t>
      </w:r>
      <w:r>
        <w:rPr>
          <w:rFonts w:hint="eastAsia" w:asciiTheme="minorEastAsia" w:hAnsiTheme="minorEastAsia" w:eastAsiaTheme="minorEastAsia"/>
          <w:color w:val="000000" w:themeColor="text1"/>
          <w:kern w:val="24"/>
          <w:sz w:val="28"/>
          <w:szCs w:val="28"/>
          <w:highlight w:val="none"/>
          <w14:textFill>
            <w14:solidFill>
              <w14:schemeClr w14:val="tx1"/>
            </w14:solidFill>
          </w14:textFill>
        </w:rPr>
        <w:t>行业；制造商为</w:t>
      </w:r>
      <w:r>
        <w:rPr>
          <w:rFonts w:hint="eastAsia" w:asciiTheme="minorEastAsia" w:hAnsiTheme="minorEastAsia" w:eastAsiaTheme="minorEastAsia"/>
          <w:color w:val="000000" w:themeColor="text1"/>
          <w:kern w:val="24"/>
          <w:sz w:val="28"/>
          <w:szCs w:val="28"/>
          <w:highlight w:val="none"/>
          <w:u w:val="single"/>
          <w14:textFill>
            <w14:solidFill>
              <w14:schemeClr w14:val="tx1"/>
            </w14:solidFill>
          </w14:textFill>
        </w:rPr>
        <w:t xml:space="preserve">          （企业名称）</w:t>
      </w:r>
      <w:r>
        <w:rPr>
          <w:rFonts w:hint="eastAsia" w:asciiTheme="minorEastAsia" w:hAnsiTheme="minorEastAsia" w:eastAsiaTheme="minorEastAsia"/>
          <w:color w:val="000000" w:themeColor="text1"/>
          <w:kern w:val="24"/>
          <w:sz w:val="28"/>
          <w:szCs w:val="28"/>
          <w:highlight w:val="none"/>
          <w14:textFill>
            <w14:solidFill>
              <w14:schemeClr w14:val="tx1"/>
            </w14:solidFill>
          </w14:textFill>
        </w:rPr>
        <w:t>，从业人员</w:t>
      </w:r>
      <w:r>
        <w:rPr>
          <w:rFonts w:hint="eastAsia" w:asciiTheme="minorEastAsia" w:hAnsiTheme="minorEastAsia" w:eastAsiaTheme="minorEastAsia"/>
          <w:color w:val="000000" w:themeColor="text1"/>
          <w:kern w:val="24"/>
          <w:sz w:val="28"/>
          <w:szCs w:val="28"/>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kern w:val="24"/>
          <w:sz w:val="28"/>
          <w:szCs w:val="28"/>
          <w:highlight w:val="none"/>
          <w14:textFill>
            <w14:solidFill>
              <w14:schemeClr w14:val="tx1"/>
            </w14:solidFill>
          </w14:textFill>
        </w:rPr>
        <w:t>人，营业收入为</w:t>
      </w:r>
      <w:r>
        <w:rPr>
          <w:rFonts w:hint="eastAsia" w:asciiTheme="minorEastAsia" w:hAnsiTheme="minorEastAsia" w:eastAsiaTheme="minorEastAsia"/>
          <w:color w:val="000000" w:themeColor="text1"/>
          <w:kern w:val="24"/>
          <w:sz w:val="28"/>
          <w:szCs w:val="28"/>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kern w:val="24"/>
          <w:sz w:val="28"/>
          <w:szCs w:val="28"/>
          <w:highlight w:val="none"/>
          <w14:textFill>
            <w14:solidFill>
              <w14:schemeClr w14:val="tx1"/>
            </w14:solidFill>
          </w14:textFill>
        </w:rPr>
        <w:t>万元，资产总额为</w:t>
      </w:r>
      <w:r>
        <w:rPr>
          <w:rFonts w:hint="eastAsia" w:asciiTheme="minorEastAsia" w:hAnsiTheme="minorEastAsia" w:eastAsiaTheme="minorEastAsia"/>
          <w:color w:val="000000" w:themeColor="text1"/>
          <w:kern w:val="24"/>
          <w:sz w:val="28"/>
          <w:szCs w:val="28"/>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kern w:val="24"/>
          <w:sz w:val="28"/>
          <w:szCs w:val="28"/>
          <w:highlight w:val="none"/>
          <w14:textFill>
            <w14:solidFill>
              <w14:schemeClr w14:val="tx1"/>
            </w14:solidFill>
          </w14:textFill>
        </w:rPr>
        <w:t>万元，属于</w:t>
      </w:r>
      <w:r>
        <w:rPr>
          <w:rFonts w:hint="eastAsia" w:asciiTheme="minorEastAsia" w:hAnsiTheme="minorEastAsia" w:eastAsiaTheme="minorEastAsia"/>
          <w:color w:val="000000" w:themeColor="text1"/>
          <w:kern w:val="24"/>
          <w:sz w:val="28"/>
          <w:szCs w:val="28"/>
          <w:highlight w:val="none"/>
          <w:u w:val="single"/>
          <w14:textFill>
            <w14:solidFill>
              <w14:schemeClr w14:val="tx1"/>
            </w14:solidFill>
          </w14:textFill>
        </w:rPr>
        <w:t xml:space="preserve">     （中型企业、小型企业、微型企业）</w:t>
      </w:r>
      <w:r>
        <w:rPr>
          <w:rFonts w:hint="eastAsia" w:asciiTheme="minorEastAsia" w:hAnsiTheme="minorEastAsia" w:eastAsiaTheme="minorEastAsia"/>
          <w:color w:val="000000" w:themeColor="text1"/>
          <w:kern w:val="24"/>
          <w:sz w:val="28"/>
          <w:szCs w:val="28"/>
          <w:highlight w:val="none"/>
          <w14:textFill>
            <w14:solidFill>
              <w14:schemeClr w14:val="tx1"/>
            </w14:solidFill>
          </w14:textFill>
        </w:rPr>
        <w:t>；</w:t>
      </w:r>
    </w:p>
    <w:p w14:paraId="5A86BF93">
      <w:pPr>
        <w:pageBreakBefore w:val="0"/>
        <w:tabs>
          <w:tab w:val="left" w:pos="1384"/>
          <w:tab w:val="left" w:pos="4562"/>
          <w:tab w:val="left" w:pos="6803"/>
        </w:tabs>
        <w:wordWrap/>
        <w:topLinePunct w:val="0"/>
        <w:bidi w:val="0"/>
        <w:adjustRightInd w:val="0"/>
        <w:snapToGrid w:val="0"/>
        <w:spacing w:line="560" w:lineRule="exact"/>
        <w:ind w:left="-426" w:right="-58" w:firstLine="655"/>
        <w:rPr>
          <w:rFonts w:asciiTheme="minorEastAsia" w:hAnsiTheme="minorEastAsia" w:eastAsiaTheme="minorEastAsia"/>
          <w:color w:val="000000" w:themeColor="text1"/>
          <w:kern w:val="24"/>
          <w:sz w:val="28"/>
          <w:szCs w:val="28"/>
          <w:highlight w:val="none"/>
          <w14:textFill>
            <w14:solidFill>
              <w14:schemeClr w14:val="tx1"/>
            </w14:solidFill>
          </w14:textFill>
        </w:rPr>
      </w:pPr>
      <w:r>
        <w:rPr>
          <w:rFonts w:hint="eastAsia" w:asciiTheme="minorEastAsia" w:hAnsiTheme="minorEastAsia" w:eastAsiaTheme="minorEastAsia"/>
          <w:color w:val="000000" w:themeColor="text1"/>
          <w:kern w:val="24"/>
          <w:sz w:val="28"/>
          <w:szCs w:val="28"/>
          <w:highlight w:val="none"/>
          <w14:textFill>
            <w14:solidFill>
              <w14:schemeClr w14:val="tx1"/>
            </w14:solidFill>
          </w14:textFill>
        </w:rPr>
        <w:t>2.</w:t>
      </w:r>
      <w:r>
        <w:rPr>
          <w:rFonts w:hint="eastAsia" w:asciiTheme="minorEastAsia" w:hAnsiTheme="minorEastAsia" w:eastAsiaTheme="minorEastAsia"/>
          <w:color w:val="000000" w:themeColor="text1"/>
          <w:kern w:val="24"/>
          <w:sz w:val="28"/>
          <w:szCs w:val="28"/>
          <w:highlight w:val="none"/>
          <w:u w:val="single"/>
          <w14:textFill>
            <w14:solidFill>
              <w14:schemeClr w14:val="tx1"/>
            </w14:solidFill>
          </w14:textFill>
        </w:rPr>
        <w:t xml:space="preserve">     （标的名称）</w:t>
      </w:r>
      <w:r>
        <w:rPr>
          <w:rFonts w:hint="eastAsia" w:asciiTheme="minorEastAsia" w:hAnsiTheme="minorEastAsia" w:eastAsiaTheme="minorEastAsia"/>
          <w:color w:val="000000" w:themeColor="text1"/>
          <w:kern w:val="24"/>
          <w:sz w:val="28"/>
          <w:szCs w:val="28"/>
          <w:highlight w:val="none"/>
          <w14:textFill>
            <w14:solidFill>
              <w14:schemeClr w14:val="tx1"/>
            </w14:solidFill>
          </w14:textFill>
        </w:rPr>
        <w:t>，属于</w:t>
      </w:r>
      <w:r>
        <w:rPr>
          <w:rFonts w:hint="eastAsia" w:asciiTheme="minorEastAsia" w:hAnsiTheme="minorEastAsia" w:eastAsiaTheme="minorEastAsia"/>
          <w:color w:val="000000" w:themeColor="text1"/>
          <w:kern w:val="24"/>
          <w:sz w:val="28"/>
          <w:szCs w:val="28"/>
          <w:highlight w:val="none"/>
          <w:u w:val="single"/>
          <w14:textFill>
            <w14:solidFill>
              <w14:schemeClr w14:val="tx1"/>
            </w14:solidFill>
          </w14:textFill>
        </w:rPr>
        <w:t>（采购文件所属行业）</w:t>
      </w:r>
      <w:r>
        <w:rPr>
          <w:rFonts w:hint="eastAsia" w:asciiTheme="minorEastAsia" w:hAnsiTheme="minorEastAsia" w:eastAsiaTheme="minorEastAsia"/>
          <w:color w:val="000000" w:themeColor="text1"/>
          <w:kern w:val="24"/>
          <w:sz w:val="28"/>
          <w:szCs w:val="28"/>
          <w:highlight w:val="none"/>
          <w14:textFill>
            <w14:solidFill>
              <w14:schemeClr w14:val="tx1"/>
            </w14:solidFill>
          </w14:textFill>
        </w:rPr>
        <w:t>行业；制造商为</w:t>
      </w:r>
      <w:r>
        <w:rPr>
          <w:rFonts w:hint="eastAsia" w:asciiTheme="minorEastAsia" w:hAnsiTheme="minorEastAsia" w:eastAsiaTheme="minorEastAsia"/>
          <w:color w:val="000000" w:themeColor="text1"/>
          <w:kern w:val="24"/>
          <w:sz w:val="28"/>
          <w:szCs w:val="28"/>
          <w:highlight w:val="none"/>
          <w:u w:val="single"/>
          <w14:textFill>
            <w14:solidFill>
              <w14:schemeClr w14:val="tx1"/>
            </w14:solidFill>
          </w14:textFill>
        </w:rPr>
        <w:t xml:space="preserve">          （企业名称）</w:t>
      </w:r>
      <w:r>
        <w:rPr>
          <w:rFonts w:hint="eastAsia" w:asciiTheme="minorEastAsia" w:hAnsiTheme="minorEastAsia" w:eastAsiaTheme="minorEastAsia"/>
          <w:color w:val="000000" w:themeColor="text1"/>
          <w:kern w:val="24"/>
          <w:sz w:val="28"/>
          <w:szCs w:val="28"/>
          <w:highlight w:val="none"/>
          <w14:textFill>
            <w14:solidFill>
              <w14:schemeClr w14:val="tx1"/>
            </w14:solidFill>
          </w14:textFill>
        </w:rPr>
        <w:t>，从业人员</w:t>
      </w:r>
      <w:r>
        <w:rPr>
          <w:rFonts w:hint="eastAsia" w:asciiTheme="minorEastAsia" w:hAnsiTheme="minorEastAsia" w:eastAsiaTheme="minorEastAsia"/>
          <w:color w:val="000000" w:themeColor="text1"/>
          <w:kern w:val="24"/>
          <w:sz w:val="28"/>
          <w:szCs w:val="28"/>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kern w:val="24"/>
          <w:sz w:val="28"/>
          <w:szCs w:val="28"/>
          <w:highlight w:val="none"/>
          <w14:textFill>
            <w14:solidFill>
              <w14:schemeClr w14:val="tx1"/>
            </w14:solidFill>
          </w14:textFill>
        </w:rPr>
        <w:t>人，营业收入为</w:t>
      </w:r>
      <w:r>
        <w:rPr>
          <w:rFonts w:hint="eastAsia" w:asciiTheme="minorEastAsia" w:hAnsiTheme="minorEastAsia" w:eastAsiaTheme="minorEastAsia"/>
          <w:color w:val="000000" w:themeColor="text1"/>
          <w:kern w:val="24"/>
          <w:sz w:val="28"/>
          <w:szCs w:val="28"/>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kern w:val="24"/>
          <w:sz w:val="28"/>
          <w:szCs w:val="28"/>
          <w:highlight w:val="none"/>
          <w14:textFill>
            <w14:solidFill>
              <w14:schemeClr w14:val="tx1"/>
            </w14:solidFill>
          </w14:textFill>
        </w:rPr>
        <w:t>万元，资产总额为</w:t>
      </w:r>
      <w:r>
        <w:rPr>
          <w:rFonts w:hint="eastAsia" w:asciiTheme="minorEastAsia" w:hAnsiTheme="minorEastAsia" w:eastAsiaTheme="minorEastAsia"/>
          <w:color w:val="000000" w:themeColor="text1"/>
          <w:kern w:val="24"/>
          <w:sz w:val="28"/>
          <w:szCs w:val="28"/>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kern w:val="24"/>
          <w:sz w:val="28"/>
          <w:szCs w:val="28"/>
          <w:highlight w:val="none"/>
          <w14:textFill>
            <w14:solidFill>
              <w14:schemeClr w14:val="tx1"/>
            </w14:solidFill>
          </w14:textFill>
        </w:rPr>
        <w:t>万元，属于</w:t>
      </w:r>
      <w:r>
        <w:rPr>
          <w:rFonts w:hint="eastAsia" w:asciiTheme="minorEastAsia" w:hAnsiTheme="minorEastAsia" w:eastAsiaTheme="minorEastAsia"/>
          <w:color w:val="000000" w:themeColor="text1"/>
          <w:kern w:val="24"/>
          <w:sz w:val="28"/>
          <w:szCs w:val="28"/>
          <w:highlight w:val="none"/>
          <w:u w:val="single"/>
          <w14:textFill>
            <w14:solidFill>
              <w14:schemeClr w14:val="tx1"/>
            </w14:solidFill>
          </w14:textFill>
        </w:rPr>
        <w:t xml:space="preserve">     （中型企业、小型企业、微型企业）</w:t>
      </w:r>
      <w:r>
        <w:rPr>
          <w:rFonts w:hint="eastAsia" w:asciiTheme="minorEastAsia" w:hAnsiTheme="minorEastAsia" w:eastAsiaTheme="minorEastAsia"/>
          <w:color w:val="000000" w:themeColor="text1"/>
          <w:kern w:val="24"/>
          <w:sz w:val="28"/>
          <w:szCs w:val="28"/>
          <w:highlight w:val="none"/>
          <w14:textFill>
            <w14:solidFill>
              <w14:schemeClr w14:val="tx1"/>
            </w14:solidFill>
          </w14:textFill>
        </w:rPr>
        <w:t>；</w:t>
      </w:r>
    </w:p>
    <w:p w14:paraId="1B9CE624">
      <w:pPr>
        <w:pStyle w:val="13"/>
        <w:pageBreakBefore w:val="0"/>
        <w:wordWrap/>
        <w:topLinePunct w:val="0"/>
        <w:bidi w:val="0"/>
        <w:adjustRightInd w:val="0"/>
        <w:snapToGrid w:val="0"/>
        <w:spacing w:line="560" w:lineRule="exact"/>
        <w:ind w:left="142" w:right="142"/>
        <w:rPr>
          <w:rFonts w:asciiTheme="minorEastAsia" w:hAnsiTheme="minorEastAsia" w:eastAsiaTheme="minorEastAsia"/>
          <w:color w:val="000000" w:themeColor="text1"/>
          <w:kern w:val="24"/>
          <w:sz w:val="28"/>
          <w:szCs w:val="28"/>
          <w:highlight w:val="none"/>
          <w14:textFill>
            <w14:solidFill>
              <w14:schemeClr w14:val="tx1"/>
            </w14:solidFill>
          </w14:textFill>
        </w:rPr>
      </w:pPr>
      <w:r>
        <w:rPr>
          <w:rFonts w:hint="eastAsia" w:asciiTheme="minorEastAsia" w:hAnsiTheme="minorEastAsia" w:eastAsiaTheme="minorEastAsia"/>
          <w:color w:val="000000" w:themeColor="text1"/>
          <w:kern w:val="24"/>
          <w:sz w:val="28"/>
          <w:szCs w:val="28"/>
          <w:highlight w:val="none"/>
          <w14:textFill>
            <w14:solidFill>
              <w14:schemeClr w14:val="tx1"/>
            </w14:solidFill>
          </w14:textFill>
        </w:rPr>
        <w:t xml:space="preserve">…… </w:t>
      </w:r>
    </w:p>
    <w:p w14:paraId="5FAE6272">
      <w:pPr>
        <w:pStyle w:val="13"/>
        <w:pageBreakBefore w:val="0"/>
        <w:wordWrap/>
        <w:topLinePunct w:val="0"/>
        <w:bidi w:val="0"/>
        <w:adjustRightInd w:val="0"/>
        <w:snapToGrid w:val="0"/>
        <w:spacing w:line="560" w:lineRule="exact"/>
        <w:ind w:left="-405" w:leftChars="-193" w:right="142" w:firstLine="529" w:firstLineChars="189"/>
        <w:rPr>
          <w:rFonts w:asciiTheme="minorEastAsia" w:hAnsiTheme="minorEastAsia" w:eastAsiaTheme="minorEastAsia"/>
          <w:color w:val="000000" w:themeColor="text1"/>
          <w:kern w:val="24"/>
          <w:sz w:val="28"/>
          <w:szCs w:val="28"/>
          <w:highlight w:val="none"/>
          <w14:textFill>
            <w14:solidFill>
              <w14:schemeClr w14:val="tx1"/>
            </w14:solidFill>
          </w14:textFill>
        </w:rPr>
      </w:pPr>
      <w:r>
        <w:rPr>
          <w:rFonts w:hint="eastAsia" w:asciiTheme="minorEastAsia" w:hAnsiTheme="minorEastAsia" w:eastAsiaTheme="minorEastAsia"/>
          <w:color w:val="000000" w:themeColor="text1"/>
          <w:kern w:val="24"/>
          <w:sz w:val="28"/>
          <w:szCs w:val="28"/>
          <w:highlight w:val="none"/>
          <w14:textFill>
            <w14:solidFill>
              <w14:schemeClr w14:val="tx1"/>
            </w14:solidFill>
          </w14:textFill>
        </w:rPr>
        <w:t>以上企业，不属于大企业的分支机构，不存在控股股东为大企业的情形，也不存在与大企业的负责人为同一人的情形。</w:t>
      </w:r>
    </w:p>
    <w:p w14:paraId="3B4C91FB">
      <w:pPr>
        <w:pStyle w:val="13"/>
        <w:pageBreakBefore w:val="0"/>
        <w:wordWrap/>
        <w:topLinePunct w:val="0"/>
        <w:bidi w:val="0"/>
        <w:adjustRightInd w:val="0"/>
        <w:snapToGrid w:val="0"/>
        <w:spacing w:line="560" w:lineRule="exact"/>
        <w:ind w:left="-426" w:right="142" w:firstLine="567"/>
        <w:rPr>
          <w:rFonts w:asciiTheme="minorEastAsia" w:hAnsiTheme="minorEastAsia" w:eastAsiaTheme="minorEastAsia"/>
          <w:color w:val="000000" w:themeColor="text1"/>
          <w:kern w:val="24"/>
          <w:sz w:val="28"/>
          <w:szCs w:val="28"/>
          <w:highlight w:val="none"/>
          <w14:textFill>
            <w14:solidFill>
              <w14:schemeClr w14:val="tx1"/>
            </w14:solidFill>
          </w14:textFill>
        </w:rPr>
      </w:pPr>
      <w:r>
        <w:rPr>
          <w:rFonts w:hint="eastAsia" w:asciiTheme="minorEastAsia" w:hAnsiTheme="minorEastAsia" w:eastAsiaTheme="minorEastAsia"/>
          <w:color w:val="000000" w:themeColor="text1"/>
          <w:kern w:val="24"/>
          <w:sz w:val="28"/>
          <w:szCs w:val="28"/>
          <w:highlight w:val="none"/>
          <w14:textFill>
            <w14:solidFill>
              <w14:schemeClr w14:val="tx1"/>
            </w14:solidFill>
          </w14:textFill>
        </w:rPr>
        <w:t>本企业对上述声明内容的真实性负责。如有虚假，将依法承担相应责任。</w:t>
      </w:r>
    </w:p>
    <w:p w14:paraId="62F7BAF7">
      <w:pPr>
        <w:pageBreakBefore w:val="0"/>
        <w:wordWrap/>
        <w:topLinePunct w:val="0"/>
        <w:autoSpaceDE w:val="0"/>
        <w:autoSpaceDN w:val="0"/>
        <w:bidi w:val="0"/>
        <w:adjustRightInd w:val="0"/>
        <w:snapToGrid w:val="0"/>
        <w:spacing w:line="560" w:lineRule="exact"/>
        <w:rPr>
          <w:rFonts w:cs="仿宋_GB2312" w:asciiTheme="minorEastAsia" w:hAnsiTheme="minorEastAsia" w:eastAsiaTheme="minorEastAsia"/>
          <w:color w:val="000000" w:themeColor="text1"/>
          <w:kern w:val="0"/>
          <w:sz w:val="28"/>
          <w:szCs w:val="28"/>
          <w:highlight w:val="none"/>
          <w14:textFill>
            <w14:solidFill>
              <w14:schemeClr w14:val="tx1"/>
            </w14:solidFill>
          </w14:textFill>
        </w:rPr>
      </w:pPr>
    </w:p>
    <w:p w14:paraId="1ED7D072">
      <w:pPr>
        <w:pageBreakBefore w:val="0"/>
        <w:wordWrap/>
        <w:topLinePunct w:val="0"/>
        <w:autoSpaceDE w:val="0"/>
        <w:autoSpaceDN w:val="0"/>
        <w:bidi w:val="0"/>
        <w:adjustRightInd w:val="0"/>
        <w:snapToGrid w:val="0"/>
        <w:spacing w:line="560" w:lineRule="exact"/>
        <w:ind w:left="4375" w:leftChars="1950" w:hanging="280" w:hangingChars="100"/>
        <w:rPr>
          <w:rFonts w:cs="仿宋_GB2312" w:asciiTheme="minorEastAsia" w:hAnsiTheme="minorEastAsia" w:eastAsiaTheme="minorEastAsia"/>
          <w:color w:val="000000" w:themeColor="text1"/>
          <w:kern w:val="0"/>
          <w:sz w:val="28"/>
          <w:szCs w:val="28"/>
          <w:highlight w:val="none"/>
          <w14:textFill>
            <w14:solidFill>
              <w14:schemeClr w14:val="tx1"/>
            </w14:solidFill>
          </w14:textFill>
        </w:rPr>
      </w:pPr>
      <w:r>
        <w:rPr>
          <w:rFonts w:hint="eastAsia" w:cs="仿宋_GB2312" w:asciiTheme="minorEastAsia" w:hAnsiTheme="minorEastAsia" w:eastAsiaTheme="minorEastAsia"/>
          <w:color w:val="000000" w:themeColor="text1"/>
          <w:kern w:val="0"/>
          <w:sz w:val="28"/>
          <w:szCs w:val="28"/>
          <w:highlight w:val="none"/>
          <w:lang w:eastAsia="zh-CN"/>
          <w14:textFill>
            <w14:solidFill>
              <w14:schemeClr w14:val="tx1"/>
            </w14:solidFill>
          </w14:textFill>
        </w:rPr>
        <w:t>企业</w:t>
      </w:r>
      <w:r>
        <w:rPr>
          <w:rFonts w:hint="eastAsia" w:cs="仿宋_GB2312" w:asciiTheme="minorEastAsia" w:hAnsiTheme="minorEastAsia" w:eastAsiaTheme="minorEastAsia"/>
          <w:color w:val="000000" w:themeColor="text1"/>
          <w:kern w:val="0"/>
          <w:sz w:val="28"/>
          <w:szCs w:val="28"/>
          <w:highlight w:val="none"/>
          <w14:textFill>
            <w14:solidFill>
              <w14:schemeClr w14:val="tx1"/>
            </w14:solidFill>
          </w14:textFill>
        </w:rPr>
        <w:t>名称（</w:t>
      </w:r>
      <w:r>
        <w:rPr>
          <w:rFonts w:hint="eastAsia" w:cs="仿宋_GB2312" w:asciiTheme="minorEastAsia" w:hAnsiTheme="minorEastAsia" w:eastAsiaTheme="minorEastAsia"/>
          <w:color w:val="000000" w:themeColor="text1"/>
          <w:kern w:val="0"/>
          <w:sz w:val="28"/>
          <w:szCs w:val="28"/>
          <w:highlight w:val="none"/>
          <w:lang w:eastAsia="zh-CN"/>
          <w14:textFill>
            <w14:solidFill>
              <w14:schemeClr w14:val="tx1"/>
            </w14:solidFill>
          </w14:textFill>
        </w:rPr>
        <w:t>电子公章</w:t>
      </w:r>
      <w:r>
        <w:rPr>
          <w:rFonts w:hint="eastAsia" w:cs="仿宋_GB2312" w:asciiTheme="minorEastAsia" w:hAnsiTheme="minorEastAsia" w:eastAsiaTheme="minorEastAsia"/>
          <w:color w:val="000000" w:themeColor="text1"/>
          <w:kern w:val="0"/>
          <w:sz w:val="28"/>
          <w:szCs w:val="28"/>
          <w:highlight w:val="none"/>
          <w14:textFill>
            <w14:solidFill>
              <w14:schemeClr w14:val="tx1"/>
            </w14:solidFill>
          </w14:textFill>
        </w:rPr>
        <w:t>）：</w:t>
      </w:r>
    </w:p>
    <w:p w14:paraId="59D1EF5B">
      <w:pPr>
        <w:pageBreakBefore w:val="0"/>
        <w:wordWrap/>
        <w:topLinePunct w:val="0"/>
        <w:autoSpaceDE w:val="0"/>
        <w:autoSpaceDN w:val="0"/>
        <w:bidi w:val="0"/>
        <w:adjustRightInd w:val="0"/>
        <w:snapToGrid w:val="0"/>
        <w:spacing w:line="560" w:lineRule="exact"/>
        <w:ind w:firstLine="4200" w:firstLineChars="1500"/>
        <w:rPr>
          <w:color w:val="000000" w:themeColor="text1"/>
          <w:highlight w:val="none"/>
          <w14:textFill>
            <w14:solidFill>
              <w14:schemeClr w14:val="tx1"/>
            </w14:solidFill>
          </w14:textFill>
        </w:rPr>
      </w:pPr>
      <w:r>
        <w:rPr>
          <w:rFonts w:hint="eastAsia" w:cs="仿宋_GB2312" w:asciiTheme="minorEastAsia" w:hAnsiTheme="minorEastAsia" w:eastAsiaTheme="minorEastAsia"/>
          <w:color w:val="000000" w:themeColor="text1"/>
          <w:kern w:val="0"/>
          <w:sz w:val="28"/>
          <w:szCs w:val="28"/>
          <w:highlight w:val="none"/>
          <w:lang w:val="zh-CN"/>
          <w14:textFill>
            <w14:solidFill>
              <w14:schemeClr w14:val="tx1"/>
            </w14:solidFill>
          </w14:textFill>
        </w:rPr>
        <w:t>日期：  年  月   日</w:t>
      </w:r>
    </w:p>
    <w:p w14:paraId="6101A388">
      <w:pPr>
        <w:keepNext w:val="0"/>
        <w:keepLines w:val="0"/>
        <w:pageBreakBefore w:val="0"/>
        <w:widowControl w:val="0"/>
        <w:kinsoku/>
        <w:wordWrap/>
        <w:overflowPunct/>
        <w:topLinePunct w:val="0"/>
        <w:autoSpaceDE/>
        <w:autoSpaceDN/>
        <w:bidi w:val="0"/>
        <w:adjustRightInd/>
        <w:snapToGrid w:val="0"/>
        <w:spacing w:before="50" w:after="165" w:afterLines="50" w:line="400" w:lineRule="exact"/>
        <w:jc w:val="left"/>
        <w:textAlignment w:val="auto"/>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注：</w:t>
      </w:r>
    </w:p>
    <w:p w14:paraId="130C6139">
      <w:pPr>
        <w:keepNext w:val="0"/>
        <w:keepLines w:val="0"/>
        <w:pageBreakBefore w:val="0"/>
        <w:widowControl w:val="0"/>
        <w:numPr>
          <w:ilvl w:val="0"/>
          <w:numId w:val="14"/>
        </w:numPr>
        <w:kinsoku/>
        <w:wordWrap/>
        <w:overflowPunct/>
        <w:topLinePunct w:val="0"/>
        <w:autoSpaceDE/>
        <w:autoSpaceDN/>
        <w:bidi w:val="0"/>
        <w:adjustRightInd/>
        <w:snapToGrid w:val="0"/>
        <w:spacing w:before="50" w:after="165" w:afterLines="50" w:line="400" w:lineRule="exact"/>
        <w:jc w:val="left"/>
        <w:textAlignment w:val="auto"/>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从业人员、营业收入、资产总额填报上一年度数据，无上一年度数据的新成立企业可不填报。</w:t>
      </w:r>
    </w:p>
    <w:p w14:paraId="6381BE2E">
      <w:pPr>
        <w:pStyle w:val="101"/>
        <w:keepNext w:val="0"/>
        <w:keepLines w:val="0"/>
        <w:pageBreakBefore w:val="0"/>
        <w:widowControl w:val="0"/>
        <w:numPr>
          <w:ilvl w:val="0"/>
          <w:numId w:val="14"/>
        </w:numPr>
        <w:kinsoku/>
        <w:wordWrap/>
        <w:overflowPunct/>
        <w:topLinePunct w:val="0"/>
        <w:autoSpaceDE/>
        <w:autoSpaceDN/>
        <w:bidi w:val="0"/>
        <w:adjustRightInd/>
        <w:snapToGrid w:val="0"/>
        <w:spacing w:before="50" w:after="165" w:afterLines="50" w:line="400" w:lineRule="exact"/>
        <w:ind w:firstLineChars="0"/>
        <w:jc w:val="left"/>
        <w:textAlignment w:val="auto"/>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请根据自己的真实情况出具《中小企业声明函》。依法享受中小企业优惠政策的，采购人或者采购代理机构在公告中标结果时，同时公告其《中小企业声明函》，接受社会监督。</w:t>
      </w:r>
    </w:p>
    <w:p w14:paraId="55115099">
      <w:pPr>
        <w:pStyle w:val="101"/>
        <w:keepNext w:val="0"/>
        <w:keepLines w:val="0"/>
        <w:pageBreakBefore w:val="0"/>
        <w:widowControl w:val="0"/>
        <w:numPr>
          <w:ilvl w:val="0"/>
          <w:numId w:val="14"/>
        </w:numPr>
        <w:kinsoku/>
        <w:wordWrap/>
        <w:overflowPunct/>
        <w:topLinePunct w:val="0"/>
        <w:autoSpaceDE/>
        <w:autoSpaceDN/>
        <w:bidi w:val="0"/>
        <w:adjustRightInd/>
        <w:snapToGrid w:val="0"/>
        <w:spacing w:before="50" w:after="165" w:afterLines="50" w:line="400" w:lineRule="exact"/>
        <w:ind w:firstLineChars="0"/>
        <w:jc w:val="left"/>
        <w:textAlignment w:val="auto"/>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小型、微型企业提供中型企业提供的货物的，视同为中型企业。</w:t>
      </w:r>
    </w:p>
    <w:p w14:paraId="258F6C6D">
      <w:pPr>
        <w:pageBreakBefore w:val="0"/>
        <w:widowControl/>
        <w:wordWrap/>
        <w:topLinePunct w:val="0"/>
        <w:bidi w:val="0"/>
        <w:spacing w:line="560" w:lineRule="exact"/>
        <w:jc w:val="left"/>
        <w:rPr>
          <w:rFonts w:ascii="仿宋" w:hAnsi="仿宋" w:eastAsia="仿宋" w:cs="仿宋_GB2312"/>
          <w:b/>
          <w:color w:val="000000" w:themeColor="text1"/>
          <w:sz w:val="30"/>
          <w:szCs w:val="30"/>
          <w:highlight w:val="none"/>
          <w14:textFill>
            <w14:solidFill>
              <w14:schemeClr w14:val="tx1"/>
            </w14:solidFill>
          </w14:textFill>
        </w:rPr>
      </w:pPr>
      <w:r>
        <w:rPr>
          <w:rFonts w:ascii="仿宋" w:hAnsi="仿宋" w:eastAsia="仿宋" w:cs="仿宋_GB2312"/>
          <w:b/>
          <w:color w:val="000000" w:themeColor="text1"/>
          <w:sz w:val="30"/>
          <w:szCs w:val="30"/>
          <w:highlight w:val="none"/>
          <w14:textFill>
            <w14:solidFill>
              <w14:schemeClr w14:val="tx1"/>
            </w14:solidFill>
          </w14:textFill>
        </w:rPr>
        <w:br w:type="page"/>
      </w:r>
      <w:r>
        <w:rPr>
          <w:rFonts w:hint="eastAsia" w:ascii="微软雅黑" w:hAnsi="微软雅黑" w:eastAsia="微软雅黑" w:cs="微软雅黑"/>
          <w:color w:val="000000" w:themeColor="text1"/>
          <w:sz w:val="32"/>
          <w:szCs w:val="32"/>
          <w:highlight w:val="none"/>
          <w14:textFill>
            <w14:solidFill>
              <w14:schemeClr w14:val="tx1"/>
            </w14:solidFill>
          </w14:textFill>
        </w:rPr>
        <w:t>附件</w:t>
      </w:r>
      <w:r>
        <w:rPr>
          <w:rFonts w:hint="eastAsia" w:ascii="Arial Unicode MS" w:hAnsi="Arial Unicode MS" w:eastAsia="Arial Unicode MS" w:cs="Arial Unicode MS"/>
          <w:color w:val="000000" w:themeColor="text1"/>
          <w:sz w:val="32"/>
          <w:szCs w:val="32"/>
          <w:highlight w:val="none"/>
          <w14:textFill>
            <w14:solidFill>
              <w14:schemeClr w14:val="tx1"/>
            </w14:solidFill>
          </w14:textFill>
        </w:rPr>
        <w:t>1</w:t>
      </w:r>
      <w:r>
        <w:rPr>
          <w:rFonts w:hint="eastAsia" w:ascii="微软雅黑" w:hAnsi="微软雅黑" w:eastAsia="微软雅黑" w:cs="微软雅黑"/>
          <w:color w:val="000000" w:themeColor="text1"/>
          <w:sz w:val="32"/>
          <w:szCs w:val="32"/>
          <w:highlight w:val="none"/>
          <w14:textFill>
            <w14:solidFill>
              <w14:schemeClr w14:val="tx1"/>
            </w14:solidFill>
          </w14:textFill>
        </w:rPr>
        <w:t>：</w:t>
      </w:r>
    </w:p>
    <w:p w14:paraId="03E0AA7F">
      <w:pPr>
        <w:pageBreakBefore w:val="0"/>
        <w:wordWrap/>
        <w:topLinePunct w:val="0"/>
        <w:bidi w:val="0"/>
        <w:spacing w:line="560" w:lineRule="exact"/>
        <w:jc w:val="center"/>
        <w:rPr>
          <w:rFonts w:ascii="Arial Unicode MS" w:hAnsi="Arial Unicode MS" w:eastAsia="Arial Unicode MS" w:cs="Arial Unicode MS"/>
          <w:color w:val="000000" w:themeColor="text1"/>
          <w:sz w:val="40"/>
          <w:szCs w:val="40"/>
          <w:highlight w:val="none"/>
          <w14:textFill>
            <w14:solidFill>
              <w14:schemeClr w14:val="tx1"/>
            </w14:solidFill>
          </w14:textFill>
        </w:rPr>
      </w:pPr>
      <w:r>
        <w:rPr>
          <w:rFonts w:hint="eastAsia" w:ascii="微软雅黑" w:hAnsi="微软雅黑" w:eastAsia="微软雅黑" w:cs="微软雅黑"/>
          <w:color w:val="000000" w:themeColor="text1"/>
          <w:sz w:val="40"/>
          <w:szCs w:val="40"/>
          <w:highlight w:val="none"/>
          <w14:textFill>
            <w14:solidFill>
              <w14:schemeClr w14:val="tx1"/>
            </w14:solidFill>
          </w14:textFill>
        </w:rPr>
        <w:t>中小微企业划型标准</w:t>
      </w:r>
    </w:p>
    <w:tbl>
      <w:tblPr>
        <w:tblStyle w:val="34"/>
        <w:tblW w:w="9198" w:type="dxa"/>
        <w:tblInd w:w="250" w:type="dxa"/>
        <w:tblLayout w:type="fixed"/>
        <w:tblCellMar>
          <w:top w:w="0" w:type="dxa"/>
          <w:left w:w="108" w:type="dxa"/>
          <w:bottom w:w="0" w:type="dxa"/>
          <w:right w:w="108" w:type="dxa"/>
        </w:tblCellMar>
      </w:tblPr>
      <w:tblGrid>
        <w:gridCol w:w="1960"/>
        <w:gridCol w:w="1797"/>
        <w:gridCol w:w="849"/>
        <w:gridCol w:w="1867"/>
        <w:gridCol w:w="1659"/>
        <w:gridCol w:w="1066"/>
      </w:tblGrid>
      <w:tr w14:paraId="08AC0DB9">
        <w:tblPrEx>
          <w:tblCellMar>
            <w:top w:w="0" w:type="dxa"/>
            <w:left w:w="108" w:type="dxa"/>
            <w:bottom w:w="0" w:type="dxa"/>
            <w:right w:w="108" w:type="dxa"/>
          </w:tblCellMar>
        </w:tblPrEx>
        <w:trPr>
          <w:trHeight w:val="702" w:hRule="atLeast"/>
        </w:trPr>
        <w:tc>
          <w:tcPr>
            <w:tcW w:w="1960" w:type="dxa"/>
            <w:tcBorders>
              <w:top w:val="single" w:color="auto" w:sz="4" w:space="0"/>
              <w:left w:val="single" w:color="auto" w:sz="4" w:space="0"/>
              <w:bottom w:val="single" w:color="auto" w:sz="4" w:space="0"/>
              <w:right w:val="single" w:color="auto" w:sz="4" w:space="0"/>
            </w:tcBorders>
            <w:vAlign w:val="center"/>
          </w:tcPr>
          <w:p w14:paraId="01EE99AA">
            <w:pPr>
              <w:pageBreakBefore w:val="0"/>
              <w:widowControl/>
              <w:wordWrap/>
              <w:topLinePunct w:val="0"/>
              <w:bidi w:val="0"/>
              <w:spacing w:line="560" w:lineRule="exact"/>
              <w:jc w:val="left"/>
              <w:rPr>
                <w:rFonts w:ascii="仿宋_GB2312" w:hAnsi="仿宋" w:eastAsia="仿宋_GB2312" w:cs="宋体"/>
                <w:b/>
                <w:color w:val="000000" w:themeColor="text1"/>
                <w:kern w:val="0"/>
                <w:sz w:val="24"/>
                <w:highlight w:val="none"/>
                <w14:textFill>
                  <w14:solidFill>
                    <w14:schemeClr w14:val="tx1"/>
                  </w14:solidFill>
                </w14:textFill>
              </w:rPr>
            </w:pPr>
            <w:r>
              <w:rPr>
                <w:rFonts w:hint="eastAsia" w:ascii="仿宋_GB2312" w:hAnsi="仿宋" w:eastAsia="仿宋_GB2312" w:cs="宋体"/>
                <w:b/>
                <w:color w:val="000000" w:themeColor="text1"/>
                <w:kern w:val="0"/>
                <w:sz w:val="24"/>
                <w:highlight w:val="none"/>
                <w14:textFill>
                  <w14:solidFill>
                    <w14:schemeClr w14:val="tx1"/>
                  </w14:solidFill>
                </w14:textFill>
              </w:rPr>
              <w:t>行业名称</w:t>
            </w:r>
          </w:p>
        </w:tc>
        <w:tc>
          <w:tcPr>
            <w:tcW w:w="1797" w:type="dxa"/>
            <w:tcBorders>
              <w:top w:val="single" w:color="auto" w:sz="4" w:space="0"/>
              <w:left w:val="nil"/>
              <w:bottom w:val="single" w:color="auto" w:sz="4" w:space="0"/>
              <w:right w:val="single" w:color="auto" w:sz="4" w:space="0"/>
            </w:tcBorders>
            <w:vAlign w:val="center"/>
          </w:tcPr>
          <w:p w14:paraId="1886D7D3">
            <w:pPr>
              <w:pageBreakBefore w:val="0"/>
              <w:widowControl/>
              <w:wordWrap/>
              <w:topLinePunct w:val="0"/>
              <w:bidi w:val="0"/>
              <w:spacing w:line="560" w:lineRule="exact"/>
              <w:jc w:val="left"/>
              <w:rPr>
                <w:rFonts w:ascii="仿宋_GB2312" w:hAnsi="仿宋" w:eastAsia="仿宋_GB2312" w:cs="宋体"/>
                <w:b/>
                <w:color w:val="000000" w:themeColor="text1"/>
                <w:kern w:val="0"/>
                <w:sz w:val="24"/>
                <w:highlight w:val="none"/>
                <w14:textFill>
                  <w14:solidFill>
                    <w14:schemeClr w14:val="tx1"/>
                  </w14:solidFill>
                </w14:textFill>
              </w:rPr>
            </w:pPr>
            <w:r>
              <w:rPr>
                <w:rFonts w:hint="eastAsia" w:ascii="仿宋_GB2312" w:hAnsi="仿宋" w:eastAsia="仿宋_GB2312" w:cs="宋体"/>
                <w:b/>
                <w:color w:val="000000" w:themeColor="text1"/>
                <w:kern w:val="0"/>
                <w:sz w:val="24"/>
                <w:highlight w:val="none"/>
                <w14:textFill>
                  <w14:solidFill>
                    <w14:schemeClr w14:val="tx1"/>
                  </w14:solidFill>
                </w14:textFill>
              </w:rPr>
              <w:t>指标名称</w:t>
            </w:r>
          </w:p>
        </w:tc>
        <w:tc>
          <w:tcPr>
            <w:tcW w:w="849" w:type="dxa"/>
            <w:tcBorders>
              <w:top w:val="single" w:color="auto" w:sz="4" w:space="0"/>
              <w:left w:val="nil"/>
              <w:bottom w:val="single" w:color="auto" w:sz="4" w:space="0"/>
              <w:right w:val="single" w:color="auto" w:sz="4" w:space="0"/>
            </w:tcBorders>
            <w:vAlign w:val="center"/>
          </w:tcPr>
          <w:p w14:paraId="6B519D1E">
            <w:pPr>
              <w:pageBreakBefore w:val="0"/>
              <w:widowControl/>
              <w:wordWrap/>
              <w:topLinePunct w:val="0"/>
              <w:bidi w:val="0"/>
              <w:spacing w:line="560" w:lineRule="exact"/>
              <w:jc w:val="left"/>
              <w:rPr>
                <w:rFonts w:ascii="仿宋_GB2312" w:hAnsi="仿宋" w:eastAsia="仿宋_GB2312" w:cs="宋体"/>
                <w:b/>
                <w:color w:val="000000" w:themeColor="text1"/>
                <w:kern w:val="0"/>
                <w:sz w:val="24"/>
                <w:highlight w:val="none"/>
                <w14:textFill>
                  <w14:solidFill>
                    <w14:schemeClr w14:val="tx1"/>
                  </w14:solidFill>
                </w14:textFill>
              </w:rPr>
            </w:pPr>
            <w:r>
              <w:rPr>
                <w:rFonts w:hint="eastAsia" w:ascii="仿宋_GB2312" w:hAnsi="仿宋" w:eastAsia="仿宋_GB2312" w:cs="宋体"/>
                <w:b/>
                <w:color w:val="000000" w:themeColor="text1"/>
                <w:kern w:val="0"/>
                <w:sz w:val="24"/>
                <w:highlight w:val="none"/>
                <w14:textFill>
                  <w14:solidFill>
                    <w14:schemeClr w14:val="tx1"/>
                  </w14:solidFill>
                </w14:textFill>
              </w:rPr>
              <w:t>计量单位</w:t>
            </w:r>
          </w:p>
        </w:tc>
        <w:tc>
          <w:tcPr>
            <w:tcW w:w="1867" w:type="dxa"/>
            <w:tcBorders>
              <w:top w:val="single" w:color="auto" w:sz="4" w:space="0"/>
              <w:left w:val="nil"/>
              <w:bottom w:val="single" w:color="auto" w:sz="4" w:space="0"/>
              <w:right w:val="single" w:color="auto" w:sz="4" w:space="0"/>
            </w:tcBorders>
            <w:vAlign w:val="center"/>
          </w:tcPr>
          <w:p w14:paraId="721F8DF3">
            <w:pPr>
              <w:pageBreakBefore w:val="0"/>
              <w:widowControl/>
              <w:wordWrap/>
              <w:topLinePunct w:val="0"/>
              <w:bidi w:val="0"/>
              <w:spacing w:line="560" w:lineRule="exact"/>
              <w:jc w:val="left"/>
              <w:rPr>
                <w:rFonts w:ascii="仿宋_GB2312" w:hAnsi="仿宋" w:eastAsia="仿宋_GB2312" w:cs="宋体"/>
                <w:b/>
                <w:color w:val="000000" w:themeColor="text1"/>
                <w:kern w:val="0"/>
                <w:sz w:val="24"/>
                <w:highlight w:val="none"/>
                <w14:textFill>
                  <w14:solidFill>
                    <w14:schemeClr w14:val="tx1"/>
                  </w14:solidFill>
                </w14:textFill>
              </w:rPr>
            </w:pPr>
            <w:r>
              <w:rPr>
                <w:rFonts w:hint="eastAsia" w:ascii="仿宋_GB2312" w:hAnsi="仿宋" w:eastAsia="仿宋_GB2312" w:cs="宋体"/>
                <w:b/>
                <w:color w:val="000000" w:themeColor="text1"/>
                <w:kern w:val="0"/>
                <w:sz w:val="24"/>
                <w:highlight w:val="none"/>
                <w14:textFill>
                  <w14:solidFill>
                    <w14:schemeClr w14:val="tx1"/>
                  </w14:solidFill>
                </w14:textFill>
              </w:rPr>
              <w:t>中型</w:t>
            </w:r>
          </w:p>
        </w:tc>
        <w:tc>
          <w:tcPr>
            <w:tcW w:w="1659" w:type="dxa"/>
            <w:tcBorders>
              <w:top w:val="single" w:color="auto" w:sz="4" w:space="0"/>
              <w:left w:val="nil"/>
              <w:bottom w:val="single" w:color="auto" w:sz="4" w:space="0"/>
              <w:right w:val="single" w:color="auto" w:sz="4" w:space="0"/>
            </w:tcBorders>
            <w:vAlign w:val="center"/>
          </w:tcPr>
          <w:p w14:paraId="71357128">
            <w:pPr>
              <w:pageBreakBefore w:val="0"/>
              <w:widowControl/>
              <w:wordWrap/>
              <w:topLinePunct w:val="0"/>
              <w:bidi w:val="0"/>
              <w:spacing w:line="560" w:lineRule="exact"/>
              <w:jc w:val="left"/>
              <w:rPr>
                <w:rFonts w:ascii="仿宋_GB2312" w:hAnsi="仿宋" w:eastAsia="仿宋_GB2312" w:cs="宋体"/>
                <w:b/>
                <w:color w:val="000000" w:themeColor="text1"/>
                <w:kern w:val="0"/>
                <w:sz w:val="24"/>
                <w:highlight w:val="none"/>
                <w14:textFill>
                  <w14:solidFill>
                    <w14:schemeClr w14:val="tx1"/>
                  </w14:solidFill>
                </w14:textFill>
              </w:rPr>
            </w:pPr>
            <w:r>
              <w:rPr>
                <w:rFonts w:hint="eastAsia" w:ascii="仿宋_GB2312" w:hAnsi="仿宋" w:eastAsia="仿宋_GB2312" w:cs="宋体"/>
                <w:b/>
                <w:color w:val="000000" w:themeColor="text1"/>
                <w:kern w:val="0"/>
                <w:sz w:val="24"/>
                <w:highlight w:val="none"/>
                <w14:textFill>
                  <w14:solidFill>
                    <w14:schemeClr w14:val="tx1"/>
                  </w14:solidFill>
                </w14:textFill>
              </w:rPr>
              <w:t>小型</w:t>
            </w:r>
          </w:p>
        </w:tc>
        <w:tc>
          <w:tcPr>
            <w:tcW w:w="1066" w:type="dxa"/>
            <w:tcBorders>
              <w:top w:val="single" w:color="auto" w:sz="4" w:space="0"/>
              <w:left w:val="nil"/>
              <w:bottom w:val="single" w:color="auto" w:sz="4" w:space="0"/>
              <w:right w:val="single" w:color="auto" w:sz="4" w:space="0"/>
            </w:tcBorders>
            <w:vAlign w:val="center"/>
          </w:tcPr>
          <w:p w14:paraId="79580AB6">
            <w:pPr>
              <w:pageBreakBefore w:val="0"/>
              <w:widowControl/>
              <w:wordWrap/>
              <w:topLinePunct w:val="0"/>
              <w:bidi w:val="0"/>
              <w:spacing w:line="560" w:lineRule="exact"/>
              <w:jc w:val="left"/>
              <w:rPr>
                <w:rFonts w:ascii="仿宋_GB2312" w:hAnsi="仿宋" w:eastAsia="仿宋_GB2312" w:cs="宋体"/>
                <w:b/>
                <w:color w:val="000000" w:themeColor="text1"/>
                <w:kern w:val="0"/>
                <w:sz w:val="24"/>
                <w:highlight w:val="none"/>
                <w14:textFill>
                  <w14:solidFill>
                    <w14:schemeClr w14:val="tx1"/>
                  </w14:solidFill>
                </w14:textFill>
              </w:rPr>
            </w:pPr>
            <w:r>
              <w:rPr>
                <w:rFonts w:hint="eastAsia" w:ascii="仿宋_GB2312" w:hAnsi="仿宋" w:eastAsia="仿宋_GB2312" w:cs="宋体"/>
                <w:b/>
                <w:color w:val="000000" w:themeColor="text1"/>
                <w:kern w:val="0"/>
                <w:sz w:val="24"/>
                <w:highlight w:val="none"/>
                <w14:textFill>
                  <w14:solidFill>
                    <w14:schemeClr w14:val="tx1"/>
                  </w14:solidFill>
                </w14:textFill>
              </w:rPr>
              <w:t>微型</w:t>
            </w:r>
          </w:p>
        </w:tc>
      </w:tr>
      <w:tr w14:paraId="31E17EDC">
        <w:tblPrEx>
          <w:tblCellMar>
            <w:top w:w="0" w:type="dxa"/>
            <w:left w:w="108" w:type="dxa"/>
            <w:bottom w:w="0" w:type="dxa"/>
            <w:right w:w="108" w:type="dxa"/>
          </w:tblCellMar>
        </w:tblPrEx>
        <w:trPr>
          <w:trHeight w:val="356" w:hRule="atLeast"/>
        </w:trPr>
        <w:tc>
          <w:tcPr>
            <w:tcW w:w="1960" w:type="dxa"/>
            <w:tcBorders>
              <w:top w:val="nil"/>
              <w:left w:val="single" w:color="auto" w:sz="4" w:space="0"/>
              <w:bottom w:val="single" w:color="auto" w:sz="4" w:space="0"/>
              <w:right w:val="single" w:color="auto" w:sz="4" w:space="0"/>
            </w:tcBorders>
            <w:vAlign w:val="bottom"/>
          </w:tcPr>
          <w:p w14:paraId="068F0BFB">
            <w:pPr>
              <w:pageBreakBefore w:val="0"/>
              <w:widowControl/>
              <w:wordWrap/>
              <w:topLinePunct w:val="0"/>
              <w:bidi w:val="0"/>
              <w:spacing w:line="560" w:lineRule="exact"/>
              <w:jc w:val="center"/>
              <w:rPr>
                <w:rFonts w:ascii="仿宋_GB2312" w:hAnsi="仿宋" w:eastAsia="仿宋_GB2312" w:cs="宋体"/>
                <w:b/>
                <w:bCs/>
                <w:color w:val="000000" w:themeColor="text1"/>
                <w:kern w:val="0"/>
                <w:sz w:val="20"/>
                <w:szCs w:val="20"/>
                <w:highlight w:val="none"/>
                <w14:textFill>
                  <w14:solidFill>
                    <w14:schemeClr w14:val="tx1"/>
                  </w14:solidFill>
                </w14:textFill>
              </w:rPr>
            </w:pPr>
            <w:r>
              <w:rPr>
                <w:rFonts w:hint="eastAsia" w:ascii="仿宋_GB2312" w:hAnsi="仿宋" w:eastAsia="仿宋_GB2312" w:cs="宋体"/>
                <w:b/>
                <w:bCs/>
                <w:color w:val="000000" w:themeColor="text1"/>
                <w:kern w:val="0"/>
                <w:sz w:val="20"/>
                <w:szCs w:val="20"/>
                <w:highlight w:val="none"/>
                <w14:textFill>
                  <w14:solidFill>
                    <w14:schemeClr w14:val="tx1"/>
                  </w14:solidFill>
                </w14:textFill>
              </w:rPr>
              <w:t>农、林、牧、渔</w:t>
            </w:r>
          </w:p>
        </w:tc>
        <w:tc>
          <w:tcPr>
            <w:tcW w:w="1797" w:type="dxa"/>
            <w:tcBorders>
              <w:top w:val="nil"/>
              <w:left w:val="nil"/>
              <w:bottom w:val="single" w:color="auto" w:sz="4" w:space="0"/>
              <w:right w:val="single" w:color="auto" w:sz="4" w:space="0"/>
            </w:tcBorders>
            <w:vAlign w:val="center"/>
          </w:tcPr>
          <w:p w14:paraId="012A9CAB">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营业收入（Y）</w:t>
            </w:r>
          </w:p>
        </w:tc>
        <w:tc>
          <w:tcPr>
            <w:tcW w:w="849" w:type="dxa"/>
            <w:tcBorders>
              <w:top w:val="nil"/>
              <w:left w:val="nil"/>
              <w:bottom w:val="single" w:color="auto" w:sz="4" w:space="0"/>
              <w:right w:val="single" w:color="auto" w:sz="4" w:space="0"/>
            </w:tcBorders>
            <w:vAlign w:val="center"/>
          </w:tcPr>
          <w:p w14:paraId="23A0D007">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万元</w:t>
            </w:r>
          </w:p>
        </w:tc>
        <w:tc>
          <w:tcPr>
            <w:tcW w:w="1867" w:type="dxa"/>
            <w:tcBorders>
              <w:top w:val="nil"/>
              <w:left w:val="nil"/>
              <w:bottom w:val="single" w:color="auto" w:sz="4" w:space="0"/>
              <w:right w:val="single" w:color="auto" w:sz="4" w:space="0"/>
            </w:tcBorders>
            <w:vAlign w:val="center"/>
          </w:tcPr>
          <w:p w14:paraId="5CC5E7B4">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500≤Y＜20000</w:t>
            </w:r>
          </w:p>
        </w:tc>
        <w:tc>
          <w:tcPr>
            <w:tcW w:w="1659" w:type="dxa"/>
            <w:tcBorders>
              <w:top w:val="nil"/>
              <w:left w:val="nil"/>
              <w:bottom w:val="single" w:color="auto" w:sz="4" w:space="0"/>
              <w:right w:val="single" w:color="auto" w:sz="4" w:space="0"/>
            </w:tcBorders>
            <w:vAlign w:val="center"/>
          </w:tcPr>
          <w:p w14:paraId="3065A0FA">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50≤Y＜500</w:t>
            </w:r>
          </w:p>
        </w:tc>
        <w:tc>
          <w:tcPr>
            <w:tcW w:w="1066" w:type="dxa"/>
            <w:tcBorders>
              <w:top w:val="nil"/>
              <w:left w:val="nil"/>
              <w:bottom w:val="single" w:color="auto" w:sz="4" w:space="0"/>
              <w:right w:val="single" w:color="auto" w:sz="4" w:space="0"/>
            </w:tcBorders>
            <w:vAlign w:val="center"/>
          </w:tcPr>
          <w:p w14:paraId="5CA334C5">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Y＜50</w:t>
            </w:r>
          </w:p>
        </w:tc>
      </w:tr>
      <w:tr w14:paraId="3217E27F">
        <w:tblPrEx>
          <w:tblCellMar>
            <w:top w:w="0" w:type="dxa"/>
            <w:left w:w="108" w:type="dxa"/>
            <w:bottom w:w="0" w:type="dxa"/>
            <w:right w:w="108" w:type="dxa"/>
          </w:tblCellMar>
        </w:tblPrEx>
        <w:trPr>
          <w:trHeight w:val="356" w:hRule="atLeast"/>
        </w:trPr>
        <w:tc>
          <w:tcPr>
            <w:tcW w:w="1960" w:type="dxa"/>
            <w:vMerge w:val="restart"/>
            <w:tcBorders>
              <w:top w:val="nil"/>
              <w:left w:val="single" w:color="auto" w:sz="4" w:space="0"/>
              <w:bottom w:val="single" w:color="auto" w:sz="4" w:space="0"/>
              <w:right w:val="single" w:color="auto" w:sz="4" w:space="0"/>
            </w:tcBorders>
            <w:vAlign w:val="bottom"/>
          </w:tcPr>
          <w:p w14:paraId="0B65B1C9">
            <w:pPr>
              <w:pageBreakBefore w:val="0"/>
              <w:widowControl/>
              <w:wordWrap/>
              <w:topLinePunct w:val="0"/>
              <w:bidi w:val="0"/>
              <w:spacing w:line="560" w:lineRule="exact"/>
              <w:jc w:val="center"/>
              <w:rPr>
                <w:rFonts w:ascii="仿宋_GB2312" w:hAnsi="仿宋" w:eastAsia="仿宋_GB2312" w:cs="宋体"/>
                <w:b/>
                <w:bCs/>
                <w:color w:val="000000" w:themeColor="text1"/>
                <w:kern w:val="0"/>
                <w:sz w:val="20"/>
                <w:szCs w:val="20"/>
                <w:highlight w:val="none"/>
                <w14:textFill>
                  <w14:solidFill>
                    <w14:schemeClr w14:val="tx1"/>
                  </w14:solidFill>
                </w14:textFill>
              </w:rPr>
            </w:pPr>
            <w:r>
              <w:rPr>
                <w:rFonts w:hint="eastAsia" w:ascii="仿宋_GB2312" w:hAnsi="仿宋" w:eastAsia="仿宋_GB2312" w:cs="宋体"/>
                <w:b/>
                <w:bCs/>
                <w:color w:val="000000" w:themeColor="text1"/>
                <w:kern w:val="0"/>
                <w:sz w:val="20"/>
                <w:szCs w:val="20"/>
                <w:highlight w:val="none"/>
                <w14:textFill>
                  <w14:solidFill>
                    <w14:schemeClr w14:val="tx1"/>
                  </w14:solidFill>
                </w14:textFill>
              </w:rPr>
              <w:t>工业</w:t>
            </w:r>
          </w:p>
        </w:tc>
        <w:tc>
          <w:tcPr>
            <w:tcW w:w="1797" w:type="dxa"/>
            <w:tcBorders>
              <w:top w:val="nil"/>
              <w:left w:val="nil"/>
              <w:bottom w:val="single" w:color="auto" w:sz="4" w:space="0"/>
              <w:right w:val="single" w:color="auto" w:sz="4" w:space="0"/>
            </w:tcBorders>
            <w:vAlign w:val="center"/>
          </w:tcPr>
          <w:p w14:paraId="3095BC3D">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从业人员（X）</w:t>
            </w:r>
          </w:p>
        </w:tc>
        <w:tc>
          <w:tcPr>
            <w:tcW w:w="849" w:type="dxa"/>
            <w:tcBorders>
              <w:top w:val="nil"/>
              <w:left w:val="nil"/>
              <w:bottom w:val="single" w:color="auto" w:sz="4" w:space="0"/>
              <w:right w:val="single" w:color="auto" w:sz="4" w:space="0"/>
            </w:tcBorders>
            <w:vAlign w:val="center"/>
          </w:tcPr>
          <w:p w14:paraId="6DF99F89">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人</w:t>
            </w:r>
          </w:p>
        </w:tc>
        <w:tc>
          <w:tcPr>
            <w:tcW w:w="1867" w:type="dxa"/>
            <w:tcBorders>
              <w:top w:val="nil"/>
              <w:left w:val="nil"/>
              <w:bottom w:val="single" w:color="auto" w:sz="4" w:space="0"/>
              <w:right w:val="single" w:color="auto" w:sz="4" w:space="0"/>
            </w:tcBorders>
            <w:vAlign w:val="center"/>
          </w:tcPr>
          <w:p w14:paraId="10EB50FC">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300≤X＜1000</w:t>
            </w:r>
          </w:p>
        </w:tc>
        <w:tc>
          <w:tcPr>
            <w:tcW w:w="1659" w:type="dxa"/>
            <w:tcBorders>
              <w:top w:val="nil"/>
              <w:left w:val="nil"/>
              <w:bottom w:val="single" w:color="auto" w:sz="4" w:space="0"/>
              <w:right w:val="single" w:color="auto" w:sz="4" w:space="0"/>
            </w:tcBorders>
            <w:vAlign w:val="center"/>
          </w:tcPr>
          <w:p w14:paraId="5C6F835B">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20≤X＜300</w:t>
            </w:r>
          </w:p>
        </w:tc>
        <w:tc>
          <w:tcPr>
            <w:tcW w:w="1066" w:type="dxa"/>
            <w:tcBorders>
              <w:top w:val="nil"/>
              <w:left w:val="nil"/>
              <w:bottom w:val="single" w:color="auto" w:sz="4" w:space="0"/>
              <w:right w:val="single" w:color="auto" w:sz="4" w:space="0"/>
            </w:tcBorders>
            <w:vAlign w:val="center"/>
          </w:tcPr>
          <w:p w14:paraId="21280FB4">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X＜20</w:t>
            </w:r>
          </w:p>
        </w:tc>
      </w:tr>
      <w:tr w14:paraId="7F54C529">
        <w:tblPrEx>
          <w:tblCellMar>
            <w:top w:w="0" w:type="dxa"/>
            <w:left w:w="108" w:type="dxa"/>
            <w:bottom w:w="0" w:type="dxa"/>
            <w:right w:w="108" w:type="dxa"/>
          </w:tblCellMar>
        </w:tblPrEx>
        <w:trPr>
          <w:trHeight w:val="356" w:hRule="atLeast"/>
        </w:trPr>
        <w:tc>
          <w:tcPr>
            <w:tcW w:w="1960" w:type="dxa"/>
            <w:vMerge w:val="continue"/>
            <w:tcBorders>
              <w:top w:val="nil"/>
              <w:left w:val="single" w:color="auto" w:sz="4" w:space="0"/>
              <w:bottom w:val="single" w:color="auto" w:sz="4" w:space="0"/>
              <w:right w:val="single" w:color="auto" w:sz="4" w:space="0"/>
            </w:tcBorders>
            <w:vAlign w:val="center"/>
          </w:tcPr>
          <w:p w14:paraId="1CFF355D">
            <w:pPr>
              <w:pageBreakBefore w:val="0"/>
              <w:widowControl/>
              <w:wordWrap/>
              <w:topLinePunct w:val="0"/>
              <w:bidi w:val="0"/>
              <w:spacing w:line="560" w:lineRule="exact"/>
              <w:jc w:val="left"/>
              <w:rPr>
                <w:rFonts w:ascii="仿宋_GB2312" w:hAnsi="仿宋" w:eastAsia="仿宋_GB2312" w:cs="宋体"/>
                <w:b/>
                <w:bCs/>
                <w:color w:val="000000" w:themeColor="text1"/>
                <w:kern w:val="0"/>
                <w:sz w:val="20"/>
                <w:szCs w:val="20"/>
                <w:highlight w:val="none"/>
                <w14:textFill>
                  <w14:solidFill>
                    <w14:schemeClr w14:val="tx1"/>
                  </w14:solidFill>
                </w14:textFill>
              </w:rPr>
            </w:pPr>
          </w:p>
        </w:tc>
        <w:tc>
          <w:tcPr>
            <w:tcW w:w="1797" w:type="dxa"/>
            <w:tcBorders>
              <w:top w:val="nil"/>
              <w:left w:val="nil"/>
              <w:bottom w:val="single" w:color="auto" w:sz="4" w:space="0"/>
              <w:right w:val="single" w:color="auto" w:sz="4" w:space="0"/>
            </w:tcBorders>
            <w:vAlign w:val="center"/>
          </w:tcPr>
          <w:p w14:paraId="0F35AAD0">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营业收入（Y）</w:t>
            </w:r>
          </w:p>
        </w:tc>
        <w:tc>
          <w:tcPr>
            <w:tcW w:w="849" w:type="dxa"/>
            <w:tcBorders>
              <w:top w:val="nil"/>
              <w:left w:val="nil"/>
              <w:bottom w:val="single" w:color="auto" w:sz="4" w:space="0"/>
              <w:right w:val="single" w:color="auto" w:sz="4" w:space="0"/>
            </w:tcBorders>
            <w:vAlign w:val="center"/>
          </w:tcPr>
          <w:p w14:paraId="6DE65EF9">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万元</w:t>
            </w:r>
          </w:p>
        </w:tc>
        <w:tc>
          <w:tcPr>
            <w:tcW w:w="1867" w:type="dxa"/>
            <w:tcBorders>
              <w:top w:val="nil"/>
              <w:left w:val="nil"/>
              <w:bottom w:val="single" w:color="auto" w:sz="4" w:space="0"/>
              <w:right w:val="single" w:color="auto" w:sz="4" w:space="0"/>
            </w:tcBorders>
            <w:vAlign w:val="center"/>
          </w:tcPr>
          <w:p w14:paraId="037BCC1A">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2000≤Y＜40000</w:t>
            </w:r>
          </w:p>
        </w:tc>
        <w:tc>
          <w:tcPr>
            <w:tcW w:w="1659" w:type="dxa"/>
            <w:tcBorders>
              <w:top w:val="nil"/>
              <w:left w:val="nil"/>
              <w:bottom w:val="single" w:color="auto" w:sz="4" w:space="0"/>
              <w:right w:val="single" w:color="auto" w:sz="4" w:space="0"/>
            </w:tcBorders>
            <w:vAlign w:val="center"/>
          </w:tcPr>
          <w:p w14:paraId="15619078">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300≤Y＜2000</w:t>
            </w:r>
          </w:p>
        </w:tc>
        <w:tc>
          <w:tcPr>
            <w:tcW w:w="1066" w:type="dxa"/>
            <w:tcBorders>
              <w:top w:val="nil"/>
              <w:left w:val="nil"/>
              <w:bottom w:val="single" w:color="auto" w:sz="4" w:space="0"/>
              <w:right w:val="single" w:color="auto" w:sz="4" w:space="0"/>
            </w:tcBorders>
            <w:vAlign w:val="center"/>
          </w:tcPr>
          <w:p w14:paraId="20F172FB">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Y＜300</w:t>
            </w:r>
          </w:p>
        </w:tc>
      </w:tr>
      <w:tr w14:paraId="68523BD3">
        <w:tblPrEx>
          <w:tblCellMar>
            <w:top w:w="0" w:type="dxa"/>
            <w:left w:w="108" w:type="dxa"/>
            <w:bottom w:w="0" w:type="dxa"/>
            <w:right w:w="108" w:type="dxa"/>
          </w:tblCellMar>
        </w:tblPrEx>
        <w:trPr>
          <w:trHeight w:val="356" w:hRule="atLeast"/>
        </w:trPr>
        <w:tc>
          <w:tcPr>
            <w:tcW w:w="1960" w:type="dxa"/>
            <w:vMerge w:val="restart"/>
            <w:tcBorders>
              <w:top w:val="nil"/>
              <w:left w:val="single" w:color="auto" w:sz="4" w:space="0"/>
              <w:bottom w:val="single" w:color="auto" w:sz="4" w:space="0"/>
              <w:right w:val="single" w:color="auto" w:sz="4" w:space="0"/>
            </w:tcBorders>
            <w:vAlign w:val="bottom"/>
          </w:tcPr>
          <w:p w14:paraId="603EA0EF">
            <w:pPr>
              <w:pageBreakBefore w:val="0"/>
              <w:widowControl/>
              <w:wordWrap/>
              <w:topLinePunct w:val="0"/>
              <w:bidi w:val="0"/>
              <w:spacing w:line="560" w:lineRule="exact"/>
              <w:jc w:val="center"/>
              <w:rPr>
                <w:rFonts w:ascii="仿宋_GB2312" w:hAnsi="仿宋" w:eastAsia="仿宋_GB2312" w:cs="宋体"/>
                <w:b/>
                <w:bCs/>
                <w:color w:val="000000" w:themeColor="text1"/>
                <w:kern w:val="0"/>
                <w:sz w:val="20"/>
                <w:szCs w:val="20"/>
                <w:highlight w:val="none"/>
                <w14:textFill>
                  <w14:solidFill>
                    <w14:schemeClr w14:val="tx1"/>
                  </w14:solidFill>
                </w14:textFill>
              </w:rPr>
            </w:pPr>
            <w:r>
              <w:rPr>
                <w:rFonts w:hint="eastAsia" w:ascii="仿宋_GB2312" w:hAnsi="仿宋" w:eastAsia="仿宋_GB2312" w:cs="宋体"/>
                <w:b/>
                <w:bCs/>
                <w:color w:val="000000" w:themeColor="text1"/>
                <w:kern w:val="0"/>
                <w:sz w:val="20"/>
                <w:szCs w:val="20"/>
                <w:highlight w:val="none"/>
                <w14:textFill>
                  <w14:solidFill>
                    <w14:schemeClr w14:val="tx1"/>
                  </w14:solidFill>
                </w14:textFill>
              </w:rPr>
              <w:t>建筑业</w:t>
            </w:r>
          </w:p>
        </w:tc>
        <w:tc>
          <w:tcPr>
            <w:tcW w:w="1797" w:type="dxa"/>
            <w:tcBorders>
              <w:top w:val="nil"/>
              <w:left w:val="nil"/>
              <w:bottom w:val="single" w:color="auto" w:sz="4" w:space="0"/>
              <w:right w:val="single" w:color="auto" w:sz="4" w:space="0"/>
            </w:tcBorders>
            <w:vAlign w:val="center"/>
          </w:tcPr>
          <w:p w14:paraId="1803401C">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营业收入（Y）</w:t>
            </w:r>
          </w:p>
        </w:tc>
        <w:tc>
          <w:tcPr>
            <w:tcW w:w="849" w:type="dxa"/>
            <w:tcBorders>
              <w:top w:val="nil"/>
              <w:left w:val="nil"/>
              <w:bottom w:val="single" w:color="auto" w:sz="4" w:space="0"/>
              <w:right w:val="single" w:color="auto" w:sz="4" w:space="0"/>
            </w:tcBorders>
            <w:vAlign w:val="center"/>
          </w:tcPr>
          <w:p w14:paraId="1D8B8A0C">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万元</w:t>
            </w:r>
          </w:p>
        </w:tc>
        <w:tc>
          <w:tcPr>
            <w:tcW w:w="1867" w:type="dxa"/>
            <w:tcBorders>
              <w:top w:val="nil"/>
              <w:left w:val="nil"/>
              <w:bottom w:val="single" w:color="auto" w:sz="4" w:space="0"/>
              <w:right w:val="single" w:color="auto" w:sz="4" w:space="0"/>
            </w:tcBorders>
            <w:vAlign w:val="center"/>
          </w:tcPr>
          <w:p w14:paraId="1F507AD0">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6000≤Y＜80000</w:t>
            </w:r>
          </w:p>
        </w:tc>
        <w:tc>
          <w:tcPr>
            <w:tcW w:w="1659" w:type="dxa"/>
            <w:tcBorders>
              <w:top w:val="nil"/>
              <w:left w:val="nil"/>
              <w:bottom w:val="single" w:color="auto" w:sz="4" w:space="0"/>
              <w:right w:val="single" w:color="auto" w:sz="4" w:space="0"/>
            </w:tcBorders>
            <w:vAlign w:val="center"/>
          </w:tcPr>
          <w:p w14:paraId="0028E8EC">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300≤Y＜6000</w:t>
            </w:r>
          </w:p>
        </w:tc>
        <w:tc>
          <w:tcPr>
            <w:tcW w:w="1066" w:type="dxa"/>
            <w:tcBorders>
              <w:top w:val="nil"/>
              <w:left w:val="nil"/>
              <w:bottom w:val="single" w:color="auto" w:sz="4" w:space="0"/>
              <w:right w:val="single" w:color="auto" w:sz="4" w:space="0"/>
            </w:tcBorders>
            <w:vAlign w:val="center"/>
          </w:tcPr>
          <w:p w14:paraId="45AB2466">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Y＜300</w:t>
            </w:r>
          </w:p>
        </w:tc>
      </w:tr>
      <w:tr w14:paraId="2CFBEFFF">
        <w:tblPrEx>
          <w:tblCellMar>
            <w:top w:w="0" w:type="dxa"/>
            <w:left w:w="108" w:type="dxa"/>
            <w:bottom w:w="0" w:type="dxa"/>
            <w:right w:w="108" w:type="dxa"/>
          </w:tblCellMar>
        </w:tblPrEx>
        <w:trPr>
          <w:trHeight w:val="356" w:hRule="atLeast"/>
        </w:trPr>
        <w:tc>
          <w:tcPr>
            <w:tcW w:w="1960" w:type="dxa"/>
            <w:vMerge w:val="continue"/>
            <w:tcBorders>
              <w:top w:val="nil"/>
              <w:left w:val="single" w:color="auto" w:sz="4" w:space="0"/>
              <w:bottom w:val="single" w:color="auto" w:sz="4" w:space="0"/>
              <w:right w:val="single" w:color="auto" w:sz="4" w:space="0"/>
            </w:tcBorders>
            <w:vAlign w:val="center"/>
          </w:tcPr>
          <w:p w14:paraId="44FCC141">
            <w:pPr>
              <w:pageBreakBefore w:val="0"/>
              <w:widowControl/>
              <w:wordWrap/>
              <w:topLinePunct w:val="0"/>
              <w:bidi w:val="0"/>
              <w:spacing w:line="560" w:lineRule="exact"/>
              <w:jc w:val="left"/>
              <w:rPr>
                <w:rFonts w:ascii="仿宋_GB2312" w:hAnsi="仿宋" w:eastAsia="仿宋_GB2312" w:cs="宋体"/>
                <w:b/>
                <w:bCs/>
                <w:color w:val="000000" w:themeColor="text1"/>
                <w:kern w:val="0"/>
                <w:sz w:val="20"/>
                <w:szCs w:val="20"/>
                <w:highlight w:val="none"/>
                <w14:textFill>
                  <w14:solidFill>
                    <w14:schemeClr w14:val="tx1"/>
                  </w14:solidFill>
                </w14:textFill>
              </w:rPr>
            </w:pPr>
          </w:p>
        </w:tc>
        <w:tc>
          <w:tcPr>
            <w:tcW w:w="1797" w:type="dxa"/>
            <w:tcBorders>
              <w:top w:val="nil"/>
              <w:left w:val="nil"/>
              <w:bottom w:val="single" w:color="auto" w:sz="4" w:space="0"/>
              <w:right w:val="single" w:color="auto" w:sz="4" w:space="0"/>
            </w:tcBorders>
            <w:vAlign w:val="center"/>
          </w:tcPr>
          <w:p w14:paraId="604757FE">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资产总额（Z）</w:t>
            </w:r>
          </w:p>
        </w:tc>
        <w:tc>
          <w:tcPr>
            <w:tcW w:w="849" w:type="dxa"/>
            <w:tcBorders>
              <w:top w:val="nil"/>
              <w:left w:val="nil"/>
              <w:bottom w:val="single" w:color="auto" w:sz="4" w:space="0"/>
              <w:right w:val="single" w:color="auto" w:sz="4" w:space="0"/>
            </w:tcBorders>
            <w:vAlign w:val="center"/>
          </w:tcPr>
          <w:p w14:paraId="5A42989D">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万元</w:t>
            </w:r>
          </w:p>
        </w:tc>
        <w:tc>
          <w:tcPr>
            <w:tcW w:w="1867" w:type="dxa"/>
            <w:tcBorders>
              <w:top w:val="nil"/>
              <w:left w:val="nil"/>
              <w:bottom w:val="single" w:color="auto" w:sz="4" w:space="0"/>
              <w:right w:val="single" w:color="auto" w:sz="4" w:space="0"/>
            </w:tcBorders>
            <w:vAlign w:val="center"/>
          </w:tcPr>
          <w:p w14:paraId="14BDF10E">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5000≤Z＜80000</w:t>
            </w:r>
          </w:p>
        </w:tc>
        <w:tc>
          <w:tcPr>
            <w:tcW w:w="1659" w:type="dxa"/>
            <w:tcBorders>
              <w:top w:val="nil"/>
              <w:left w:val="nil"/>
              <w:bottom w:val="single" w:color="auto" w:sz="4" w:space="0"/>
              <w:right w:val="single" w:color="auto" w:sz="4" w:space="0"/>
            </w:tcBorders>
            <w:vAlign w:val="center"/>
          </w:tcPr>
          <w:p w14:paraId="3784C0C5">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300≤Z＜5000</w:t>
            </w:r>
          </w:p>
        </w:tc>
        <w:tc>
          <w:tcPr>
            <w:tcW w:w="1066" w:type="dxa"/>
            <w:tcBorders>
              <w:top w:val="nil"/>
              <w:left w:val="nil"/>
              <w:bottom w:val="single" w:color="auto" w:sz="4" w:space="0"/>
              <w:right w:val="single" w:color="auto" w:sz="4" w:space="0"/>
            </w:tcBorders>
            <w:vAlign w:val="center"/>
          </w:tcPr>
          <w:p w14:paraId="2FC8A93C">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Z＜300</w:t>
            </w:r>
          </w:p>
        </w:tc>
      </w:tr>
      <w:tr w14:paraId="0FA93C9C">
        <w:tblPrEx>
          <w:tblCellMar>
            <w:top w:w="0" w:type="dxa"/>
            <w:left w:w="108" w:type="dxa"/>
            <w:bottom w:w="0" w:type="dxa"/>
            <w:right w:w="108" w:type="dxa"/>
          </w:tblCellMar>
        </w:tblPrEx>
        <w:trPr>
          <w:trHeight w:val="356" w:hRule="atLeast"/>
        </w:trPr>
        <w:tc>
          <w:tcPr>
            <w:tcW w:w="1960" w:type="dxa"/>
            <w:vMerge w:val="restart"/>
            <w:tcBorders>
              <w:top w:val="nil"/>
              <w:left w:val="single" w:color="auto" w:sz="4" w:space="0"/>
              <w:bottom w:val="single" w:color="auto" w:sz="4" w:space="0"/>
              <w:right w:val="single" w:color="auto" w:sz="4" w:space="0"/>
            </w:tcBorders>
            <w:vAlign w:val="bottom"/>
          </w:tcPr>
          <w:p w14:paraId="696D3A60">
            <w:pPr>
              <w:pageBreakBefore w:val="0"/>
              <w:widowControl/>
              <w:wordWrap/>
              <w:topLinePunct w:val="0"/>
              <w:bidi w:val="0"/>
              <w:spacing w:line="560" w:lineRule="exact"/>
              <w:jc w:val="center"/>
              <w:rPr>
                <w:rFonts w:ascii="仿宋_GB2312" w:hAnsi="仿宋" w:eastAsia="仿宋_GB2312" w:cs="宋体"/>
                <w:b/>
                <w:bCs/>
                <w:color w:val="000000" w:themeColor="text1"/>
                <w:kern w:val="0"/>
                <w:sz w:val="20"/>
                <w:szCs w:val="20"/>
                <w:highlight w:val="none"/>
                <w14:textFill>
                  <w14:solidFill>
                    <w14:schemeClr w14:val="tx1"/>
                  </w14:solidFill>
                </w14:textFill>
              </w:rPr>
            </w:pPr>
            <w:r>
              <w:rPr>
                <w:rFonts w:hint="eastAsia" w:ascii="仿宋_GB2312" w:hAnsi="仿宋" w:eastAsia="仿宋_GB2312" w:cs="宋体"/>
                <w:b/>
                <w:bCs/>
                <w:color w:val="000000" w:themeColor="text1"/>
                <w:kern w:val="0"/>
                <w:sz w:val="20"/>
                <w:szCs w:val="20"/>
                <w:highlight w:val="none"/>
                <w14:textFill>
                  <w14:solidFill>
                    <w14:schemeClr w14:val="tx1"/>
                  </w14:solidFill>
                </w14:textFill>
              </w:rPr>
              <w:t>批发业</w:t>
            </w:r>
          </w:p>
        </w:tc>
        <w:tc>
          <w:tcPr>
            <w:tcW w:w="1797" w:type="dxa"/>
            <w:tcBorders>
              <w:top w:val="nil"/>
              <w:left w:val="nil"/>
              <w:bottom w:val="single" w:color="auto" w:sz="4" w:space="0"/>
              <w:right w:val="single" w:color="auto" w:sz="4" w:space="0"/>
            </w:tcBorders>
            <w:vAlign w:val="center"/>
          </w:tcPr>
          <w:p w14:paraId="08437FBF">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从业人员（X）</w:t>
            </w:r>
          </w:p>
        </w:tc>
        <w:tc>
          <w:tcPr>
            <w:tcW w:w="849" w:type="dxa"/>
            <w:tcBorders>
              <w:top w:val="nil"/>
              <w:left w:val="nil"/>
              <w:bottom w:val="single" w:color="auto" w:sz="4" w:space="0"/>
              <w:right w:val="single" w:color="auto" w:sz="4" w:space="0"/>
            </w:tcBorders>
            <w:vAlign w:val="center"/>
          </w:tcPr>
          <w:p w14:paraId="466E5A4D">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人</w:t>
            </w:r>
          </w:p>
        </w:tc>
        <w:tc>
          <w:tcPr>
            <w:tcW w:w="1867" w:type="dxa"/>
            <w:tcBorders>
              <w:top w:val="nil"/>
              <w:left w:val="nil"/>
              <w:bottom w:val="single" w:color="auto" w:sz="4" w:space="0"/>
              <w:right w:val="single" w:color="auto" w:sz="4" w:space="0"/>
            </w:tcBorders>
            <w:vAlign w:val="center"/>
          </w:tcPr>
          <w:p w14:paraId="7F75F03C">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20≤X＜200</w:t>
            </w:r>
          </w:p>
        </w:tc>
        <w:tc>
          <w:tcPr>
            <w:tcW w:w="1659" w:type="dxa"/>
            <w:tcBorders>
              <w:top w:val="nil"/>
              <w:left w:val="nil"/>
              <w:bottom w:val="single" w:color="auto" w:sz="4" w:space="0"/>
              <w:right w:val="single" w:color="auto" w:sz="4" w:space="0"/>
            </w:tcBorders>
            <w:vAlign w:val="center"/>
          </w:tcPr>
          <w:p w14:paraId="1AF6C9EB">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5≤X＜20</w:t>
            </w:r>
          </w:p>
        </w:tc>
        <w:tc>
          <w:tcPr>
            <w:tcW w:w="1066" w:type="dxa"/>
            <w:tcBorders>
              <w:top w:val="nil"/>
              <w:left w:val="nil"/>
              <w:bottom w:val="single" w:color="auto" w:sz="4" w:space="0"/>
              <w:right w:val="single" w:color="auto" w:sz="4" w:space="0"/>
            </w:tcBorders>
            <w:vAlign w:val="center"/>
          </w:tcPr>
          <w:p w14:paraId="207B664D">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X＜5</w:t>
            </w:r>
          </w:p>
        </w:tc>
      </w:tr>
      <w:tr w14:paraId="094079B4">
        <w:tblPrEx>
          <w:tblCellMar>
            <w:top w:w="0" w:type="dxa"/>
            <w:left w:w="108" w:type="dxa"/>
            <w:bottom w:w="0" w:type="dxa"/>
            <w:right w:w="108" w:type="dxa"/>
          </w:tblCellMar>
        </w:tblPrEx>
        <w:trPr>
          <w:trHeight w:val="356" w:hRule="atLeast"/>
        </w:trPr>
        <w:tc>
          <w:tcPr>
            <w:tcW w:w="1960" w:type="dxa"/>
            <w:vMerge w:val="continue"/>
            <w:tcBorders>
              <w:top w:val="nil"/>
              <w:left w:val="single" w:color="auto" w:sz="4" w:space="0"/>
              <w:bottom w:val="single" w:color="auto" w:sz="4" w:space="0"/>
              <w:right w:val="single" w:color="auto" w:sz="4" w:space="0"/>
            </w:tcBorders>
            <w:vAlign w:val="center"/>
          </w:tcPr>
          <w:p w14:paraId="5875AFA7">
            <w:pPr>
              <w:pageBreakBefore w:val="0"/>
              <w:widowControl/>
              <w:wordWrap/>
              <w:topLinePunct w:val="0"/>
              <w:bidi w:val="0"/>
              <w:spacing w:line="560" w:lineRule="exact"/>
              <w:jc w:val="left"/>
              <w:rPr>
                <w:rFonts w:ascii="仿宋_GB2312" w:hAnsi="仿宋" w:eastAsia="仿宋_GB2312" w:cs="宋体"/>
                <w:b/>
                <w:bCs/>
                <w:color w:val="000000" w:themeColor="text1"/>
                <w:kern w:val="0"/>
                <w:sz w:val="20"/>
                <w:szCs w:val="20"/>
                <w:highlight w:val="none"/>
                <w14:textFill>
                  <w14:solidFill>
                    <w14:schemeClr w14:val="tx1"/>
                  </w14:solidFill>
                </w14:textFill>
              </w:rPr>
            </w:pPr>
          </w:p>
        </w:tc>
        <w:tc>
          <w:tcPr>
            <w:tcW w:w="1797" w:type="dxa"/>
            <w:tcBorders>
              <w:top w:val="nil"/>
              <w:left w:val="nil"/>
              <w:bottom w:val="single" w:color="auto" w:sz="4" w:space="0"/>
              <w:right w:val="single" w:color="auto" w:sz="4" w:space="0"/>
            </w:tcBorders>
            <w:vAlign w:val="center"/>
          </w:tcPr>
          <w:p w14:paraId="6499477D">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营业收入（Y）</w:t>
            </w:r>
          </w:p>
        </w:tc>
        <w:tc>
          <w:tcPr>
            <w:tcW w:w="849" w:type="dxa"/>
            <w:tcBorders>
              <w:top w:val="nil"/>
              <w:left w:val="nil"/>
              <w:bottom w:val="single" w:color="auto" w:sz="4" w:space="0"/>
              <w:right w:val="single" w:color="auto" w:sz="4" w:space="0"/>
            </w:tcBorders>
            <w:vAlign w:val="center"/>
          </w:tcPr>
          <w:p w14:paraId="0A2E839A">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万元</w:t>
            </w:r>
          </w:p>
        </w:tc>
        <w:tc>
          <w:tcPr>
            <w:tcW w:w="1867" w:type="dxa"/>
            <w:tcBorders>
              <w:top w:val="nil"/>
              <w:left w:val="nil"/>
              <w:bottom w:val="single" w:color="auto" w:sz="4" w:space="0"/>
              <w:right w:val="single" w:color="auto" w:sz="4" w:space="0"/>
            </w:tcBorders>
            <w:vAlign w:val="center"/>
          </w:tcPr>
          <w:p w14:paraId="5801072B">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5000≤Y＜40000</w:t>
            </w:r>
          </w:p>
        </w:tc>
        <w:tc>
          <w:tcPr>
            <w:tcW w:w="1659" w:type="dxa"/>
            <w:tcBorders>
              <w:top w:val="nil"/>
              <w:left w:val="nil"/>
              <w:bottom w:val="single" w:color="auto" w:sz="4" w:space="0"/>
              <w:right w:val="single" w:color="auto" w:sz="4" w:space="0"/>
            </w:tcBorders>
            <w:vAlign w:val="center"/>
          </w:tcPr>
          <w:p w14:paraId="18060C04">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1000≤Y＜5000</w:t>
            </w:r>
          </w:p>
        </w:tc>
        <w:tc>
          <w:tcPr>
            <w:tcW w:w="1066" w:type="dxa"/>
            <w:tcBorders>
              <w:top w:val="nil"/>
              <w:left w:val="nil"/>
              <w:bottom w:val="single" w:color="auto" w:sz="4" w:space="0"/>
              <w:right w:val="single" w:color="auto" w:sz="4" w:space="0"/>
            </w:tcBorders>
            <w:vAlign w:val="center"/>
          </w:tcPr>
          <w:p w14:paraId="0FBC7528">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Y＜1000</w:t>
            </w:r>
          </w:p>
        </w:tc>
      </w:tr>
      <w:tr w14:paraId="2994E098">
        <w:tblPrEx>
          <w:tblCellMar>
            <w:top w:w="0" w:type="dxa"/>
            <w:left w:w="108" w:type="dxa"/>
            <w:bottom w:w="0" w:type="dxa"/>
            <w:right w:w="108" w:type="dxa"/>
          </w:tblCellMar>
        </w:tblPrEx>
        <w:trPr>
          <w:trHeight w:val="356" w:hRule="atLeast"/>
        </w:trPr>
        <w:tc>
          <w:tcPr>
            <w:tcW w:w="1960" w:type="dxa"/>
            <w:vMerge w:val="restart"/>
            <w:tcBorders>
              <w:top w:val="nil"/>
              <w:left w:val="single" w:color="auto" w:sz="4" w:space="0"/>
              <w:bottom w:val="single" w:color="auto" w:sz="4" w:space="0"/>
              <w:right w:val="single" w:color="auto" w:sz="4" w:space="0"/>
            </w:tcBorders>
            <w:vAlign w:val="bottom"/>
          </w:tcPr>
          <w:p w14:paraId="34B3CB89">
            <w:pPr>
              <w:pageBreakBefore w:val="0"/>
              <w:widowControl/>
              <w:wordWrap/>
              <w:topLinePunct w:val="0"/>
              <w:bidi w:val="0"/>
              <w:spacing w:line="560" w:lineRule="exact"/>
              <w:jc w:val="center"/>
              <w:rPr>
                <w:rFonts w:ascii="仿宋_GB2312" w:hAnsi="仿宋" w:eastAsia="仿宋_GB2312" w:cs="宋体"/>
                <w:b/>
                <w:bCs/>
                <w:color w:val="000000" w:themeColor="text1"/>
                <w:kern w:val="0"/>
                <w:sz w:val="20"/>
                <w:szCs w:val="20"/>
                <w:highlight w:val="none"/>
                <w14:textFill>
                  <w14:solidFill>
                    <w14:schemeClr w14:val="tx1"/>
                  </w14:solidFill>
                </w14:textFill>
              </w:rPr>
            </w:pPr>
            <w:r>
              <w:rPr>
                <w:rFonts w:hint="eastAsia" w:ascii="仿宋_GB2312" w:hAnsi="仿宋" w:eastAsia="仿宋_GB2312" w:cs="宋体"/>
                <w:b/>
                <w:bCs/>
                <w:color w:val="000000" w:themeColor="text1"/>
                <w:kern w:val="0"/>
                <w:sz w:val="20"/>
                <w:szCs w:val="20"/>
                <w:highlight w:val="none"/>
                <w14:textFill>
                  <w14:solidFill>
                    <w14:schemeClr w14:val="tx1"/>
                  </w14:solidFill>
                </w14:textFill>
              </w:rPr>
              <w:t>零售业</w:t>
            </w:r>
          </w:p>
        </w:tc>
        <w:tc>
          <w:tcPr>
            <w:tcW w:w="1797" w:type="dxa"/>
            <w:tcBorders>
              <w:top w:val="nil"/>
              <w:left w:val="nil"/>
              <w:bottom w:val="single" w:color="auto" w:sz="4" w:space="0"/>
              <w:right w:val="single" w:color="auto" w:sz="4" w:space="0"/>
            </w:tcBorders>
            <w:vAlign w:val="center"/>
          </w:tcPr>
          <w:p w14:paraId="01AB31BC">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从业人员（X）</w:t>
            </w:r>
          </w:p>
        </w:tc>
        <w:tc>
          <w:tcPr>
            <w:tcW w:w="849" w:type="dxa"/>
            <w:tcBorders>
              <w:top w:val="nil"/>
              <w:left w:val="nil"/>
              <w:bottom w:val="single" w:color="auto" w:sz="4" w:space="0"/>
              <w:right w:val="single" w:color="auto" w:sz="4" w:space="0"/>
            </w:tcBorders>
            <w:vAlign w:val="center"/>
          </w:tcPr>
          <w:p w14:paraId="6DB54CAA">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人</w:t>
            </w:r>
          </w:p>
        </w:tc>
        <w:tc>
          <w:tcPr>
            <w:tcW w:w="1867" w:type="dxa"/>
            <w:tcBorders>
              <w:top w:val="nil"/>
              <w:left w:val="nil"/>
              <w:bottom w:val="single" w:color="auto" w:sz="4" w:space="0"/>
              <w:right w:val="single" w:color="auto" w:sz="4" w:space="0"/>
            </w:tcBorders>
            <w:vAlign w:val="center"/>
          </w:tcPr>
          <w:p w14:paraId="584232F6">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50≤X＜300</w:t>
            </w:r>
          </w:p>
        </w:tc>
        <w:tc>
          <w:tcPr>
            <w:tcW w:w="1659" w:type="dxa"/>
            <w:tcBorders>
              <w:top w:val="nil"/>
              <w:left w:val="nil"/>
              <w:bottom w:val="single" w:color="auto" w:sz="4" w:space="0"/>
              <w:right w:val="single" w:color="auto" w:sz="4" w:space="0"/>
            </w:tcBorders>
            <w:vAlign w:val="center"/>
          </w:tcPr>
          <w:p w14:paraId="2496CD79">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10≤X＜50</w:t>
            </w:r>
          </w:p>
        </w:tc>
        <w:tc>
          <w:tcPr>
            <w:tcW w:w="1066" w:type="dxa"/>
            <w:tcBorders>
              <w:top w:val="nil"/>
              <w:left w:val="nil"/>
              <w:bottom w:val="single" w:color="auto" w:sz="4" w:space="0"/>
              <w:right w:val="single" w:color="auto" w:sz="4" w:space="0"/>
            </w:tcBorders>
            <w:vAlign w:val="center"/>
          </w:tcPr>
          <w:p w14:paraId="4595FF9E">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X＜10</w:t>
            </w:r>
          </w:p>
        </w:tc>
      </w:tr>
      <w:tr w14:paraId="095639D4">
        <w:tblPrEx>
          <w:tblCellMar>
            <w:top w:w="0" w:type="dxa"/>
            <w:left w:w="108" w:type="dxa"/>
            <w:bottom w:w="0" w:type="dxa"/>
            <w:right w:w="108" w:type="dxa"/>
          </w:tblCellMar>
        </w:tblPrEx>
        <w:trPr>
          <w:trHeight w:val="356" w:hRule="atLeast"/>
        </w:trPr>
        <w:tc>
          <w:tcPr>
            <w:tcW w:w="1960" w:type="dxa"/>
            <w:vMerge w:val="continue"/>
            <w:tcBorders>
              <w:top w:val="nil"/>
              <w:left w:val="single" w:color="auto" w:sz="4" w:space="0"/>
              <w:bottom w:val="single" w:color="auto" w:sz="4" w:space="0"/>
              <w:right w:val="single" w:color="auto" w:sz="4" w:space="0"/>
            </w:tcBorders>
            <w:vAlign w:val="center"/>
          </w:tcPr>
          <w:p w14:paraId="76F554F7">
            <w:pPr>
              <w:pageBreakBefore w:val="0"/>
              <w:widowControl/>
              <w:wordWrap/>
              <w:topLinePunct w:val="0"/>
              <w:bidi w:val="0"/>
              <w:spacing w:line="560" w:lineRule="exact"/>
              <w:jc w:val="left"/>
              <w:rPr>
                <w:rFonts w:ascii="仿宋_GB2312" w:hAnsi="仿宋" w:eastAsia="仿宋_GB2312" w:cs="宋体"/>
                <w:b/>
                <w:bCs/>
                <w:color w:val="000000" w:themeColor="text1"/>
                <w:kern w:val="0"/>
                <w:sz w:val="20"/>
                <w:szCs w:val="20"/>
                <w:highlight w:val="none"/>
                <w14:textFill>
                  <w14:solidFill>
                    <w14:schemeClr w14:val="tx1"/>
                  </w14:solidFill>
                </w14:textFill>
              </w:rPr>
            </w:pPr>
          </w:p>
        </w:tc>
        <w:tc>
          <w:tcPr>
            <w:tcW w:w="1797" w:type="dxa"/>
            <w:tcBorders>
              <w:top w:val="nil"/>
              <w:left w:val="nil"/>
              <w:bottom w:val="single" w:color="auto" w:sz="4" w:space="0"/>
              <w:right w:val="single" w:color="auto" w:sz="4" w:space="0"/>
            </w:tcBorders>
            <w:vAlign w:val="center"/>
          </w:tcPr>
          <w:p w14:paraId="7866DFD2">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营业收入（Y）</w:t>
            </w:r>
          </w:p>
        </w:tc>
        <w:tc>
          <w:tcPr>
            <w:tcW w:w="849" w:type="dxa"/>
            <w:tcBorders>
              <w:top w:val="nil"/>
              <w:left w:val="nil"/>
              <w:bottom w:val="single" w:color="auto" w:sz="4" w:space="0"/>
              <w:right w:val="single" w:color="auto" w:sz="4" w:space="0"/>
            </w:tcBorders>
            <w:vAlign w:val="center"/>
          </w:tcPr>
          <w:p w14:paraId="551E5585">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万元</w:t>
            </w:r>
          </w:p>
        </w:tc>
        <w:tc>
          <w:tcPr>
            <w:tcW w:w="1867" w:type="dxa"/>
            <w:tcBorders>
              <w:top w:val="nil"/>
              <w:left w:val="nil"/>
              <w:bottom w:val="single" w:color="auto" w:sz="4" w:space="0"/>
              <w:right w:val="single" w:color="auto" w:sz="4" w:space="0"/>
            </w:tcBorders>
            <w:vAlign w:val="center"/>
          </w:tcPr>
          <w:p w14:paraId="50C01F57">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500≤Y＜20000</w:t>
            </w:r>
          </w:p>
        </w:tc>
        <w:tc>
          <w:tcPr>
            <w:tcW w:w="1659" w:type="dxa"/>
            <w:tcBorders>
              <w:top w:val="nil"/>
              <w:left w:val="nil"/>
              <w:bottom w:val="single" w:color="auto" w:sz="4" w:space="0"/>
              <w:right w:val="single" w:color="auto" w:sz="4" w:space="0"/>
            </w:tcBorders>
            <w:vAlign w:val="center"/>
          </w:tcPr>
          <w:p w14:paraId="78D524A8">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100≤Y＜500</w:t>
            </w:r>
          </w:p>
        </w:tc>
        <w:tc>
          <w:tcPr>
            <w:tcW w:w="1066" w:type="dxa"/>
            <w:tcBorders>
              <w:top w:val="nil"/>
              <w:left w:val="nil"/>
              <w:bottom w:val="single" w:color="auto" w:sz="4" w:space="0"/>
              <w:right w:val="single" w:color="auto" w:sz="4" w:space="0"/>
            </w:tcBorders>
            <w:vAlign w:val="center"/>
          </w:tcPr>
          <w:p w14:paraId="1EE71E26">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Y＜100</w:t>
            </w:r>
          </w:p>
        </w:tc>
      </w:tr>
      <w:tr w14:paraId="5DFD3ED8">
        <w:tblPrEx>
          <w:tblCellMar>
            <w:top w:w="0" w:type="dxa"/>
            <w:left w:w="108" w:type="dxa"/>
            <w:bottom w:w="0" w:type="dxa"/>
            <w:right w:w="108" w:type="dxa"/>
          </w:tblCellMar>
        </w:tblPrEx>
        <w:trPr>
          <w:trHeight w:val="356" w:hRule="atLeast"/>
        </w:trPr>
        <w:tc>
          <w:tcPr>
            <w:tcW w:w="1960" w:type="dxa"/>
            <w:vMerge w:val="restart"/>
            <w:tcBorders>
              <w:top w:val="nil"/>
              <w:left w:val="single" w:color="auto" w:sz="4" w:space="0"/>
              <w:bottom w:val="single" w:color="auto" w:sz="4" w:space="0"/>
              <w:right w:val="single" w:color="auto" w:sz="4" w:space="0"/>
            </w:tcBorders>
            <w:vAlign w:val="bottom"/>
          </w:tcPr>
          <w:p w14:paraId="33F422BE">
            <w:pPr>
              <w:pageBreakBefore w:val="0"/>
              <w:widowControl/>
              <w:wordWrap/>
              <w:topLinePunct w:val="0"/>
              <w:bidi w:val="0"/>
              <w:spacing w:line="560" w:lineRule="exact"/>
              <w:jc w:val="center"/>
              <w:rPr>
                <w:rFonts w:ascii="仿宋_GB2312" w:hAnsi="仿宋" w:eastAsia="仿宋_GB2312" w:cs="宋体"/>
                <w:b/>
                <w:bCs/>
                <w:color w:val="000000" w:themeColor="text1"/>
                <w:kern w:val="0"/>
                <w:sz w:val="20"/>
                <w:szCs w:val="20"/>
                <w:highlight w:val="none"/>
                <w14:textFill>
                  <w14:solidFill>
                    <w14:schemeClr w14:val="tx1"/>
                  </w14:solidFill>
                </w14:textFill>
              </w:rPr>
            </w:pPr>
            <w:r>
              <w:rPr>
                <w:rFonts w:hint="eastAsia" w:ascii="仿宋_GB2312" w:hAnsi="仿宋" w:eastAsia="仿宋_GB2312" w:cs="宋体"/>
                <w:b/>
                <w:bCs/>
                <w:color w:val="000000" w:themeColor="text1"/>
                <w:kern w:val="0"/>
                <w:sz w:val="20"/>
                <w:szCs w:val="20"/>
                <w:highlight w:val="none"/>
                <w14:textFill>
                  <w14:solidFill>
                    <w14:schemeClr w14:val="tx1"/>
                  </w14:solidFill>
                </w14:textFill>
              </w:rPr>
              <w:t>交通运输业</w:t>
            </w:r>
          </w:p>
        </w:tc>
        <w:tc>
          <w:tcPr>
            <w:tcW w:w="1797" w:type="dxa"/>
            <w:tcBorders>
              <w:top w:val="nil"/>
              <w:left w:val="nil"/>
              <w:bottom w:val="single" w:color="auto" w:sz="4" w:space="0"/>
              <w:right w:val="single" w:color="auto" w:sz="4" w:space="0"/>
            </w:tcBorders>
            <w:vAlign w:val="center"/>
          </w:tcPr>
          <w:p w14:paraId="3B0EE555">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从业人员（X）</w:t>
            </w:r>
          </w:p>
        </w:tc>
        <w:tc>
          <w:tcPr>
            <w:tcW w:w="849" w:type="dxa"/>
            <w:tcBorders>
              <w:top w:val="nil"/>
              <w:left w:val="nil"/>
              <w:bottom w:val="single" w:color="auto" w:sz="4" w:space="0"/>
              <w:right w:val="single" w:color="auto" w:sz="4" w:space="0"/>
            </w:tcBorders>
            <w:vAlign w:val="center"/>
          </w:tcPr>
          <w:p w14:paraId="33890D84">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人</w:t>
            </w:r>
          </w:p>
        </w:tc>
        <w:tc>
          <w:tcPr>
            <w:tcW w:w="1867" w:type="dxa"/>
            <w:tcBorders>
              <w:top w:val="nil"/>
              <w:left w:val="nil"/>
              <w:bottom w:val="single" w:color="auto" w:sz="4" w:space="0"/>
              <w:right w:val="single" w:color="auto" w:sz="4" w:space="0"/>
            </w:tcBorders>
            <w:vAlign w:val="center"/>
          </w:tcPr>
          <w:p w14:paraId="484FF35E">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300≤X＜1000</w:t>
            </w:r>
          </w:p>
        </w:tc>
        <w:tc>
          <w:tcPr>
            <w:tcW w:w="1659" w:type="dxa"/>
            <w:tcBorders>
              <w:top w:val="nil"/>
              <w:left w:val="nil"/>
              <w:bottom w:val="single" w:color="auto" w:sz="4" w:space="0"/>
              <w:right w:val="single" w:color="auto" w:sz="4" w:space="0"/>
            </w:tcBorders>
            <w:vAlign w:val="center"/>
          </w:tcPr>
          <w:p w14:paraId="5FCEBC8A">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20≤X＜300</w:t>
            </w:r>
          </w:p>
        </w:tc>
        <w:tc>
          <w:tcPr>
            <w:tcW w:w="1066" w:type="dxa"/>
            <w:tcBorders>
              <w:top w:val="nil"/>
              <w:left w:val="nil"/>
              <w:bottom w:val="single" w:color="auto" w:sz="4" w:space="0"/>
              <w:right w:val="single" w:color="auto" w:sz="4" w:space="0"/>
            </w:tcBorders>
            <w:vAlign w:val="center"/>
          </w:tcPr>
          <w:p w14:paraId="6B41DC3F">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X＜20</w:t>
            </w:r>
          </w:p>
        </w:tc>
      </w:tr>
      <w:tr w14:paraId="50796594">
        <w:tblPrEx>
          <w:tblCellMar>
            <w:top w:w="0" w:type="dxa"/>
            <w:left w:w="108" w:type="dxa"/>
            <w:bottom w:w="0" w:type="dxa"/>
            <w:right w:w="108" w:type="dxa"/>
          </w:tblCellMar>
        </w:tblPrEx>
        <w:trPr>
          <w:trHeight w:val="356" w:hRule="atLeast"/>
        </w:trPr>
        <w:tc>
          <w:tcPr>
            <w:tcW w:w="1960" w:type="dxa"/>
            <w:vMerge w:val="continue"/>
            <w:tcBorders>
              <w:top w:val="nil"/>
              <w:left w:val="single" w:color="auto" w:sz="4" w:space="0"/>
              <w:bottom w:val="single" w:color="auto" w:sz="4" w:space="0"/>
              <w:right w:val="single" w:color="auto" w:sz="4" w:space="0"/>
            </w:tcBorders>
            <w:vAlign w:val="center"/>
          </w:tcPr>
          <w:p w14:paraId="3998BB09">
            <w:pPr>
              <w:pageBreakBefore w:val="0"/>
              <w:widowControl/>
              <w:wordWrap/>
              <w:topLinePunct w:val="0"/>
              <w:bidi w:val="0"/>
              <w:spacing w:line="560" w:lineRule="exact"/>
              <w:jc w:val="left"/>
              <w:rPr>
                <w:rFonts w:ascii="仿宋_GB2312" w:hAnsi="仿宋" w:eastAsia="仿宋_GB2312" w:cs="宋体"/>
                <w:b/>
                <w:bCs/>
                <w:color w:val="000000" w:themeColor="text1"/>
                <w:kern w:val="0"/>
                <w:sz w:val="20"/>
                <w:szCs w:val="20"/>
                <w:highlight w:val="none"/>
                <w14:textFill>
                  <w14:solidFill>
                    <w14:schemeClr w14:val="tx1"/>
                  </w14:solidFill>
                </w14:textFill>
              </w:rPr>
            </w:pPr>
          </w:p>
        </w:tc>
        <w:tc>
          <w:tcPr>
            <w:tcW w:w="1797" w:type="dxa"/>
            <w:tcBorders>
              <w:top w:val="nil"/>
              <w:left w:val="nil"/>
              <w:bottom w:val="single" w:color="auto" w:sz="4" w:space="0"/>
              <w:right w:val="single" w:color="auto" w:sz="4" w:space="0"/>
            </w:tcBorders>
            <w:vAlign w:val="center"/>
          </w:tcPr>
          <w:p w14:paraId="0E1AE5E1">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营业收入（Y）</w:t>
            </w:r>
          </w:p>
        </w:tc>
        <w:tc>
          <w:tcPr>
            <w:tcW w:w="849" w:type="dxa"/>
            <w:tcBorders>
              <w:top w:val="nil"/>
              <w:left w:val="nil"/>
              <w:bottom w:val="single" w:color="auto" w:sz="4" w:space="0"/>
              <w:right w:val="single" w:color="auto" w:sz="4" w:space="0"/>
            </w:tcBorders>
            <w:vAlign w:val="center"/>
          </w:tcPr>
          <w:p w14:paraId="078B0251">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万元</w:t>
            </w:r>
          </w:p>
        </w:tc>
        <w:tc>
          <w:tcPr>
            <w:tcW w:w="1867" w:type="dxa"/>
            <w:tcBorders>
              <w:top w:val="nil"/>
              <w:left w:val="nil"/>
              <w:bottom w:val="single" w:color="auto" w:sz="4" w:space="0"/>
              <w:right w:val="single" w:color="auto" w:sz="4" w:space="0"/>
            </w:tcBorders>
            <w:vAlign w:val="center"/>
          </w:tcPr>
          <w:p w14:paraId="129A8EE7">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3000≤Y＜30000</w:t>
            </w:r>
          </w:p>
        </w:tc>
        <w:tc>
          <w:tcPr>
            <w:tcW w:w="1659" w:type="dxa"/>
            <w:tcBorders>
              <w:top w:val="nil"/>
              <w:left w:val="nil"/>
              <w:bottom w:val="single" w:color="auto" w:sz="4" w:space="0"/>
              <w:right w:val="single" w:color="auto" w:sz="4" w:space="0"/>
            </w:tcBorders>
            <w:vAlign w:val="center"/>
          </w:tcPr>
          <w:p w14:paraId="3C8AECF8">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200≤Y＜3000</w:t>
            </w:r>
          </w:p>
        </w:tc>
        <w:tc>
          <w:tcPr>
            <w:tcW w:w="1066" w:type="dxa"/>
            <w:tcBorders>
              <w:top w:val="nil"/>
              <w:left w:val="nil"/>
              <w:bottom w:val="single" w:color="auto" w:sz="4" w:space="0"/>
              <w:right w:val="single" w:color="auto" w:sz="4" w:space="0"/>
            </w:tcBorders>
            <w:vAlign w:val="center"/>
          </w:tcPr>
          <w:p w14:paraId="754E0444">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Y＜200</w:t>
            </w:r>
          </w:p>
        </w:tc>
      </w:tr>
      <w:tr w14:paraId="4CA2A8AA">
        <w:tblPrEx>
          <w:tblCellMar>
            <w:top w:w="0" w:type="dxa"/>
            <w:left w:w="108" w:type="dxa"/>
            <w:bottom w:w="0" w:type="dxa"/>
            <w:right w:w="108" w:type="dxa"/>
          </w:tblCellMar>
        </w:tblPrEx>
        <w:trPr>
          <w:trHeight w:val="356" w:hRule="atLeast"/>
        </w:trPr>
        <w:tc>
          <w:tcPr>
            <w:tcW w:w="1960" w:type="dxa"/>
            <w:vMerge w:val="restart"/>
            <w:tcBorders>
              <w:top w:val="nil"/>
              <w:left w:val="single" w:color="auto" w:sz="4" w:space="0"/>
              <w:bottom w:val="single" w:color="auto" w:sz="4" w:space="0"/>
              <w:right w:val="single" w:color="auto" w:sz="4" w:space="0"/>
            </w:tcBorders>
            <w:vAlign w:val="bottom"/>
          </w:tcPr>
          <w:p w14:paraId="46D34751">
            <w:pPr>
              <w:pageBreakBefore w:val="0"/>
              <w:widowControl/>
              <w:wordWrap/>
              <w:topLinePunct w:val="0"/>
              <w:bidi w:val="0"/>
              <w:spacing w:line="560" w:lineRule="exact"/>
              <w:jc w:val="center"/>
              <w:rPr>
                <w:rFonts w:ascii="仿宋_GB2312" w:hAnsi="仿宋" w:eastAsia="仿宋_GB2312" w:cs="宋体"/>
                <w:b/>
                <w:bCs/>
                <w:color w:val="000000" w:themeColor="text1"/>
                <w:kern w:val="0"/>
                <w:sz w:val="20"/>
                <w:szCs w:val="20"/>
                <w:highlight w:val="none"/>
                <w14:textFill>
                  <w14:solidFill>
                    <w14:schemeClr w14:val="tx1"/>
                  </w14:solidFill>
                </w14:textFill>
              </w:rPr>
            </w:pPr>
            <w:r>
              <w:rPr>
                <w:rFonts w:hint="eastAsia" w:ascii="仿宋_GB2312" w:hAnsi="仿宋" w:eastAsia="仿宋_GB2312" w:cs="宋体"/>
                <w:b/>
                <w:bCs/>
                <w:color w:val="000000" w:themeColor="text1"/>
                <w:kern w:val="0"/>
                <w:sz w:val="20"/>
                <w:szCs w:val="20"/>
                <w:highlight w:val="none"/>
                <w14:textFill>
                  <w14:solidFill>
                    <w14:schemeClr w14:val="tx1"/>
                  </w14:solidFill>
                </w14:textFill>
              </w:rPr>
              <w:t>仓储业</w:t>
            </w:r>
          </w:p>
        </w:tc>
        <w:tc>
          <w:tcPr>
            <w:tcW w:w="1797" w:type="dxa"/>
            <w:tcBorders>
              <w:top w:val="nil"/>
              <w:left w:val="nil"/>
              <w:bottom w:val="single" w:color="auto" w:sz="4" w:space="0"/>
              <w:right w:val="single" w:color="auto" w:sz="4" w:space="0"/>
            </w:tcBorders>
            <w:vAlign w:val="center"/>
          </w:tcPr>
          <w:p w14:paraId="73F9B1B5">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从业人员（X）</w:t>
            </w:r>
          </w:p>
        </w:tc>
        <w:tc>
          <w:tcPr>
            <w:tcW w:w="849" w:type="dxa"/>
            <w:tcBorders>
              <w:top w:val="nil"/>
              <w:left w:val="nil"/>
              <w:bottom w:val="single" w:color="auto" w:sz="4" w:space="0"/>
              <w:right w:val="single" w:color="auto" w:sz="4" w:space="0"/>
            </w:tcBorders>
            <w:vAlign w:val="center"/>
          </w:tcPr>
          <w:p w14:paraId="51EC44FE">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人</w:t>
            </w:r>
          </w:p>
        </w:tc>
        <w:tc>
          <w:tcPr>
            <w:tcW w:w="1867" w:type="dxa"/>
            <w:tcBorders>
              <w:top w:val="nil"/>
              <w:left w:val="nil"/>
              <w:bottom w:val="single" w:color="auto" w:sz="4" w:space="0"/>
              <w:right w:val="single" w:color="auto" w:sz="4" w:space="0"/>
            </w:tcBorders>
            <w:vAlign w:val="center"/>
          </w:tcPr>
          <w:p w14:paraId="092945C3">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100≤X＜200</w:t>
            </w:r>
          </w:p>
        </w:tc>
        <w:tc>
          <w:tcPr>
            <w:tcW w:w="1659" w:type="dxa"/>
            <w:tcBorders>
              <w:top w:val="nil"/>
              <w:left w:val="nil"/>
              <w:bottom w:val="single" w:color="auto" w:sz="4" w:space="0"/>
              <w:right w:val="single" w:color="auto" w:sz="4" w:space="0"/>
            </w:tcBorders>
            <w:vAlign w:val="center"/>
          </w:tcPr>
          <w:p w14:paraId="2EB482E9">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20≤X＜100</w:t>
            </w:r>
          </w:p>
        </w:tc>
        <w:tc>
          <w:tcPr>
            <w:tcW w:w="1066" w:type="dxa"/>
            <w:tcBorders>
              <w:top w:val="nil"/>
              <w:left w:val="nil"/>
              <w:bottom w:val="single" w:color="auto" w:sz="4" w:space="0"/>
              <w:right w:val="single" w:color="auto" w:sz="4" w:space="0"/>
            </w:tcBorders>
            <w:vAlign w:val="center"/>
          </w:tcPr>
          <w:p w14:paraId="116354ED">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X＜20</w:t>
            </w:r>
          </w:p>
        </w:tc>
      </w:tr>
      <w:tr w14:paraId="3EB58F1C">
        <w:tblPrEx>
          <w:tblCellMar>
            <w:top w:w="0" w:type="dxa"/>
            <w:left w:w="108" w:type="dxa"/>
            <w:bottom w:w="0" w:type="dxa"/>
            <w:right w:w="108" w:type="dxa"/>
          </w:tblCellMar>
        </w:tblPrEx>
        <w:trPr>
          <w:trHeight w:val="356" w:hRule="atLeast"/>
        </w:trPr>
        <w:tc>
          <w:tcPr>
            <w:tcW w:w="1960" w:type="dxa"/>
            <w:vMerge w:val="continue"/>
            <w:tcBorders>
              <w:top w:val="nil"/>
              <w:left w:val="single" w:color="auto" w:sz="4" w:space="0"/>
              <w:bottom w:val="single" w:color="auto" w:sz="4" w:space="0"/>
              <w:right w:val="single" w:color="auto" w:sz="4" w:space="0"/>
            </w:tcBorders>
            <w:vAlign w:val="center"/>
          </w:tcPr>
          <w:p w14:paraId="70CB7E9F">
            <w:pPr>
              <w:pageBreakBefore w:val="0"/>
              <w:widowControl/>
              <w:wordWrap/>
              <w:topLinePunct w:val="0"/>
              <w:bidi w:val="0"/>
              <w:spacing w:line="560" w:lineRule="exact"/>
              <w:jc w:val="left"/>
              <w:rPr>
                <w:rFonts w:ascii="仿宋_GB2312" w:hAnsi="仿宋" w:eastAsia="仿宋_GB2312" w:cs="宋体"/>
                <w:b/>
                <w:bCs/>
                <w:color w:val="000000" w:themeColor="text1"/>
                <w:kern w:val="0"/>
                <w:sz w:val="20"/>
                <w:szCs w:val="20"/>
                <w:highlight w:val="none"/>
                <w14:textFill>
                  <w14:solidFill>
                    <w14:schemeClr w14:val="tx1"/>
                  </w14:solidFill>
                </w14:textFill>
              </w:rPr>
            </w:pPr>
          </w:p>
        </w:tc>
        <w:tc>
          <w:tcPr>
            <w:tcW w:w="1797" w:type="dxa"/>
            <w:tcBorders>
              <w:top w:val="nil"/>
              <w:left w:val="nil"/>
              <w:bottom w:val="single" w:color="auto" w:sz="4" w:space="0"/>
              <w:right w:val="single" w:color="auto" w:sz="4" w:space="0"/>
            </w:tcBorders>
            <w:vAlign w:val="center"/>
          </w:tcPr>
          <w:p w14:paraId="51AE5FDB">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营业收入（Y）</w:t>
            </w:r>
          </w:p>
        </w:tc>
        <w:tc>
          <w:tcPr>
            <w:tcW w:w="849" w:type="dxa"/>
            <w:tcBorders>
              <w:top w:val="nil"/>
              <w:left w:val="nil"/>
              <w:bottom w:val="single" w:color="auto" w:sz="4" w:space="0"/>
              <w:right w:val="single" w:color="auto" w:sz="4" w:space="0"/>
            </w:tcBorders>
            <w:vAlign w:val="center"/>
          </w:tcPr>
          <w:p w14:paraId="4232D151">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万元</w:t>
            </w:r>
          </w:p>
        </w:tc>
        <w:tc>
          <w:tcPr>
            <w:tcW w:w="1867" w:type="dxa"/>
            <w:tcBorders>
              <w:top w:val="nil"/>
              <w:left w:val="nil"/>
              <w:bottom w:val="single" w:color="auto" w:sz="4" w:space="0"/>
              <w:right w:val="single" w:color="auto" w:sz="4" w:space="0"/>
            </w:tcBorders>
            <w:vAlign w:val="center"/>
          </w:tcPr>
          <w:p w14:paraId="4C70613C">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1000≤Y＜30000</w:t>
            </w:r>
          </w:p>
        </w:tc>
        <w:tc>
          <w:tcPr>
            <w:tcW w:w="1659" w:type="dxa"/>
            <w:tcBorders>
              <w:top w:val="nil"/>
              <w:left w:val="nil"/>
              <w:bottom w:val="single" w:color="auto" w:sz="4" w:space="0"/>
              <w:right w:val="single" w:color="auto" w:sz="4" w:space="0"/>
            </w:tcBorders>
            <w:vAlign w:val="center"/>
          </w:tcPr>
          <w:p w14:paraId="1DE5A222">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100≤Y＜1000</w:t>
            </w:r>
          </w:p>
        </w:tc>
        <w:tc>
          <w:tcPr>
            <w:tcW w:w="1066" w:type="dxa"/>
            <w:tcBorders>
              <w:top w:val="nil"/>
              <w:left w:val="nil"/>
              <w:bottom w:val="single" w:color="auto" w:sz="4" w:space="0"/>
              <w:right w:val="single" w:color="auto" w:sz="4" w:space="0"/>
            </w:tcBorders>
            <w:vAlign w:val="center"/>
          </w:tcPr>
          <w:p w14:paraId="0CA878E5">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Y＜100</w:t>
            </w:r>
          </w:p>
        </w:tc>
      </w:tr>
      <w:tr w14:paraId="7541EA94">
        <w:tblPrEx>
          <w:tblCellMar>
            <w:top w:w="0" w:type="dxa"/>
            <w:left w:w="108" w:type="dxa"/>
            <w:bottom w:w="0" w:type="dxa"/>
            <w:right w:w="108" w:type="dxa"/>
          </w:tblCellMar>
        </w:tblPrEx>
        <w:trPr>
          <w:trHeight w:val="356" w:hRule="atLeast"/>
        </w:trPr>
        <w:tc>
          <w:tcPr>
            <w:tcW w:w="1960" w:type="dxa"/>
            <w:vMerge w:val="restart"/>
            <w:tcBorders>
              <w:top w:val="nil"/>
              <w:left w:val="single" w:color="auto" w:sz="4" w:space="0"/>
              <w:bottom w:val="single" w:color="auto" w:sz="4" w:space="0"/>
              <w:right w:val="single" w:color="auto" w:sz="4" w:space="0"/>
            </w:tcBorders>
            <w:vAlign w:val="bottom"/>
          </w:tcPr>
          <w:p w14:paraId="4B651768">
            <w:pPr>
              <w:pageBreakBefore w:val="0"/>
              <w:widowControl/>
              <w:wordWrap/>
              <w:topLinePunct w:val="0"/>
              <w:bidi w:val="0"/>
              <w:spacing w:line="560" w:lineRule="exact"/>
              <w:jc w:val="center"/>
              <w:rPr>
                <w:rFonts w:ascii="仿宋_GB2312" w:hAnsi="仿宋" w:eastAsia="仿宋_GB2312" w:cs="宋体"/>
                <w:b/>
                <w:bCs/>
                <w:color w:val="000000" w:themeColor="text1"/>
                <w:kern w:val="0"/>
                <w:sz w:val="20"/>
                <w:szCs w:val="20"/>
                <w:highlight w:val="none"/>
                <w14:textFill>
                  <w14:solidFill>
                    <w14:schemeClr w14:val="tx1"/>
                  </w14:solidFill>
                </w14:textFill>
              </w:rPr>
            </w:pPr>
            <w:r>
              <w:rPr>
                <w:rFonts w:hint="eastAsia" w:ascii="仿宋_GB2312" w:hAnsi="仿宋" w:eastAsia="仿宋_GB2312" w:cs="宋体"/>
                <w:b/>
                <w:bCs/>
                <w:color w:val="000000" w:themeColor="text1"/>
                <w:kern w:val="0"/>
                <w:sz w:val="20"/>
                <w:szCs w:val="20"/>
                <w:highlight w:val="none"/>
                <w14:textFill>
                  <w14:solidFill>
                    <w14:schemeClr w14:val="tx1"/>
                  </w14:solidFill>
                </w14:textFill>
              </w:rPr>
              <w:t>邮政业</w:t>
            </w:r>
          </w:p>
        </w:tc>
        <w:tc>
          <w:tcPr>
            <w:tcW w:w="1797" w:type="dxa"/>
            <w:tcBorders>
              <w:top w:val="nil"/>
              <w:left w:val="nil"/>
              <w:bottom w:val="single" w:color="auto" w:sz="4" w:space="0"/>
              <w:right w:val="single" w:color="auto" w:sz="4" w:space="0"/>
            </w:tcBorders>
            <w:vAlign w:val="center"/>
          </w:tcPr>
          <w:p w14:paraId="5BE7666B">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从业人员（X）</w:t>
            </w:r>
          </w:p>
        </w:tc>
        <w:tc>
          <w:tcPr>
            <w:tcW w:w="849" w:type="dxa"/>
            <w:tcBorders>
              <w:top w:val="nil"/>
              <w:left w:val="nil"/>
              <w:bottom w:val="single" w:color="auto" w:sz="4" w:space="0"/>
              <w:right w:val="single" w:color="auto" w:sz="4" w:space="0"/>
            </w:tcBorders>
            <w:vAlign w:val="center"/>
          </w:tcPr>
          <w:p w14:paraId="79D1B34B">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人</w:t>
            </w:r>
          </w:p>
        </w:tc>
        <w:tc>
          <w:tcPr>
            <w:tcW w:w="1867" w:type="dxa"/>
            <w:tcBorders>
              <w:top w:val="nil"/>
              <w:left w:val="nil"/>
              <w:bottom w:val="single" w:color="auto" w:sz="4" w:space="0"/>
              <w:right w:val="single" w:color="auto" w:sz="4" w:space="0"/>
            </w:tcBorders>
            <w:vAlign w:val="center"/>
          </w:tcPr>
          <w:p w14:paraId="3454084B">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300≤X＜1000</w:t>
            </w:r>
          </w:p>
        </w:tc>
        <w:tc>
          <w:tcPr>
            <w:tcW w:w="1659" w:type="dxa"/>
            <w:tcBorders>
              <w:top w:val="nil"/>
              <w:left w:val="nil"/>
              <w:bottom w:val="single" w:color="auto" w:sz="4" w:space="0"/>
              <w:right w:val="single" w:color="auto" w:sz="4" w:space="0"/>
            </w:tcBorders>
            <w:vAlign w:val="center"/>
          </w:tcPr>
          <w:p w14:paraId="21A04922">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20≤X＜300</w:t>
            </w:r>
          </w:p>
        </w:tc>
        <w:tc>
          <w:tcPr>
            <w:tcW w:w="1066" w:type="dxa"/>
            <w:tcBorders>
              <w:top w:val="nil"/>
              <w:left w:val="nil"/>
              <w:bottom w:val="single" w:color="auto" w:sz="4" w:space="0"/>
              <w:right w:val="single" w:color="auto" w:sz="4" w:space="0"/>
            </w:tcBorders>
            <w:vAlign w:val="center"/>
          </w:tcPr>
          <w:p w14:paraId="149AC802">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X＜20</w:t>
            </w:r>
          </w:p>
        </w:tc>
      </w:tr>
      <w:tr w14:paraId="4EAA32A5">
        <w:tblPrEx>
          <w:tblCellMar>
            <w:top w:w="0" w:type="dxa"/>
            <w:left w:w="108" w:type="dxa"/>
            <w:bottom w:w="0" w:type="dxa"/>
            <w:right w:w="108" w:type="dxa"/>
          </w:tblCellMar>
        </w:tblPrEx>
        <w:trPr>
          <w:trHeight w:val="356" w:hRule="atLeast"/>
        </w:trPr>
        <w:tc>
          <w:tcPr>
            <w:tcW w:w="1960" w:type="dxa"/>
            <w:vMerge w:val="continue"/>
            <w:tcBorders>
              <w:top w:val="nil"/>
              <w:left w:val="single" w:color="auto" w:sz="4" w:space="0"/>
              <w:bottom w:val="single" w:color="auto" w:sz="4" w:space="0"/>
              <w:right w:val="single" w:color="auto" w:sz="4" w:space="0"/>
            </w:tcBorders>
            <w:vAlign w:val="center"/>
          </w:tcPr>
          <w:p w14:paraId="51182C1F">
            <w:pPr>
              <w:pageBreakBefore w:val="0"/>
              <w:widowControl/>
              <w:wordWrap/>
              <w:topLinePunct w:val="0"/>
              <w:bidi w:val="0"/>
              <w:spacing w:line="560" w:lineRule="exact"/>
              <w:jc w:val="left"/>
              <w:rPr>
                <w:rFonts w:ascii="仿宋_GB2312" w:hAnsi="仿宋" w:eastAsia="仿宋_GB2312" w:cs="宋体"/>
                <w:b/>
                <w:bCs/>
                <w:color w:val="000000" w:themeColor="text1"/>
                <w:kern w:val="0"/>
                <w:sz w:val="20"/>
                <w:szCs w:val="20"/>
                <w:highlight w:val="none"/>
                <w14:textFill>
                  <w14:solidFill>
                    <w14:schemeClr w14:val="tx1"/>
                  </w14:solidFill>
                </w14:textFill>
              </w:rPr>
            </w:pPr>
          </w:p>
        </w:tc>
        <w:tc>
          <w:tcPr>
            <w:tcW w:w="1797" w:type="dxa"/>
            <w:tcBorders>
              <w:top w:val="nil"/>
              <w:left w:val="nil"/>
              <w:bottom w:val="single" w:color="auto" w:sz="4" w:space="0"/>
              <w:right w:val="single" w:color="auto" w:sz="4" w:space="0"/>
            </w:tcBorders>
            <w:vAlign w:val="center"/>
          </w:tcPr>
          <w:p w14:paraId="7CEEEE7B">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营业收入（Y）</w:t>
            </w:r>
          </w:p>
        </w:tc>
        <w:tc>
          <w:tcPr>
            <w:tcW w:w="849" w:type="dxa"/>
            <w:tcBorders>
              <w:top w:val="nil"/>
              <w:left w:val="nil"/>
              <w:bottom w:val="single" w:color="auto" w:sz="4" w:space="0"/>
              <w:right w:val="single" w:color="auto" w:sz="4" w:space="0"/>
            </w:tcBorders>
            <w:vAlign w:val="center"/>
          </w:tcPr>
          <w:p w14:paraId="55D989DF">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万元</w:t>
            </w:r>
          </w:p>
        </w:tc>
        <w:tc>
          <w:tcPr>
            <w:tcW w:w="1867" w:type="dxa"/>
            <w:tcBorders>
              <w:top w:val="nil"/>
              <w:left w:val="nil"/>
              <w:bottom w:val="single" w:color="auto" w:sz="4" w:space="0"/>
              <w:right w:val="single" w:color="auto" w:sz="4" w:space="0"/>
            </w:tcBorders>
            <w:vAlign w:val="center"/>
          </w:tcPr>
          <w:p w14:paraId="789154A5">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2000≤Y＜30000</w:t>
            </w:r>
          </w:p>
        </w:tc>
        <w:tc>
          <w:tcPr>
            <w:tcW w:w="1659" w:type="dxa"/>
            <w:tcBorders>
              <w:top w:val="nil"/>
              <w:left w:val="nil"/>
              <w:bottom w:val="single" w:color="auto" w:sz="4" w:space="0"/>
              <w:right w:val="single" w:color="auto" w:sz="4" w:space="0"/>
            </w:tcBorders>
            <w:vAlign w:val="center"/>
          </w:tcPr>
          <w:p w14:paraId="1272F8E6">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100≤Y＜2000</w:t>
            </w:r>
          </w:p>
        </w:tc>
        <w:tc>
          <w:tcPr>
            <w:tcW w:w="1066" w:type="dxa"/>
            <w:tcBorders>
              <w:top w:val="nil"/>
              <w:left w:val="nil"/>
              <w:bottom w:val="single" w:color="auto" w:sz="4" w:space="0"/>
              <w:right w:val="single" w:color="auto" w:sz="4" w:space="0"/>
            </w:tcBorders>
            <w:vAlign w:val="center"/>
          </w:tcPr>
          <w:p w14:paraId="0639627C">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Y＜100</w:t>
            </w:r>
          </w:p>
        </w:tc>
      </w:tr>
      <w:tr w14:paraId="2BBAC287">
        <w:tblPrEx>
          <w:tblCellMar>
            <w:top w:w="0" w:type="dxa"/>
            <w:left w:w="108" w:type="dxa"/>
            <w:bottom w:w="0" w:type="dxa"/>
            <w:right w:w="108" w:type="dxa"/>
          </w:tblCellMar>
        </w:tblPrEx>
        <w:trPr>
          <w:trHeight w:val="356" w:hRule="atLeast"/>
        </w:trPr>
        <w:tc>
          <w:tcPr>
            <w:tcW w:w="1960" w:type="dxa"/>
            <w:vMerge w:val="restart"/>
            <w:tcBorders>
              <w:top w:val="nil"/>
              <w:left w:val="single" w:color="auto" w:sz="4" w:space="0"/>
              <w:bottom w:val="single" w:color="auto" w:sz="4" w:space="0"/>
              <w:right w:val="single" w:color="auto" w:sz="4" w:space="0"/>
            </w:tcBorders>
            <w:vAlign w:val="bottom"/>
          </w:tcPr>
          <w:p w14:paraId="27DA5253">
            <w:pPr>
              <w:pageBreakBefore w:val="0"/>
              <w:widowControl/>
              <w:wordWrap/>
              <w:topLinePunct w:val="0"/>
              <w:bidi w:val="0"/>
              <w:spacing w:line="560" w:lineRule="exact"/>
              <w:jc w:val="center"/>
              <w:rPr>
                <w:rFonts w:ascii="仿宋_GB2312" w:hAnsi="仿宋" w:eastAsia="仿宋_GB2312" w:cs="宋体"/>
                <w:b/>
                <w:bCs/>
                <w:color w:val="000000" w:themeColor="text1"/>
                <w:kern w:val="0"/>
                <w:sz w:val="20"/>
                <w:szCs w:val="20"/>
                <w:highlight w:val="none"/>
                <w14:textFill>
                  <w14:solidFill>
                    <w14:schemeClr w14:val="tx1"/>
                  </w14:solidFill>
                </w14:textFill>
              </w:rPr>
            </w:pPr>
            <w:r>
              <w:rPr>
                <w:rFonts w:hint="eastAsia" w:ascii="仿宋_GB2312" w:hAnsi="仿宋" w:eastAsia="仿宋_GB2312" w:cs="宋体"/>
                <w:b/>
                <w:bCs/>
                <w:color w:val="000000" w:themeColor="text1"/>
                <w:kern w:val="0"/>
                <w:sz w:val="20"/>
                <w:szCs w:val="20"/>
                <w:highlight w:val="none"/>
                <w14:textFill>
                  <w14:solidFill>
                    <w14:schemeClr w14:val="tx1"/>
                  </w14:solidFill>
                </w14:textFill>
              </w:rPr>
              <w:t>住宿业</w:t>
            </w:r>
          </w:p>
        </w:tc>
        <w:tc>
          <w:tcPr>
            <w:tcW w:w="1797" w:type="dxa"/>
            <w:tcBorders>
              <w:top w:val="nil"/>
              <w:left w:val="nil"/>
              <w:bottom w:val="single" w:color="auto" w:sz="4" w:space="0"/>
              <w:right w:val="single" w:color="auto" w:sz="4" w:space="0"/>
            </w:tcBorders>
            <w:vAlign w:val="center"/>
          </w:tcPr>
          <w:p w14:paraId="1B221A8E">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从业人员（X）</w:t>
            </w:r>
          </w:p>
        </w:tc>
        <w:tc>
          <w:tcPr>
            <w:tcW w:w="849" w:type="dxa"/>
            <w:tcBorders>
              <w:top w:val="nil"/>
              <w:left w:val="nil"/>
              <w:bottom w:val="single" w:color="auto" w:sz="4" w:space="0"/>
              <w:right w:val="single" w:color="auto" w:sz="4" w:space="0"/>
            </w:tcBorders>
            <w:vAlign w:val="center"/>
          </w:tcPr>
          <w:p w14:paraId="2FFF1EC9">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人</w:t>
            </w:r>
          </w:p>
        </w:tc>
        <w:tc>
          <w:tcPr>
            <w:tcW w:w="1867" w:type="dxa"/>
            <w:tcBorders>
              <w:top w:val="nil"/>
              <w:left w:val="nil"/>
              <w:bottom w:val="single" w:color="auto" w:sz="4" w:space="0"/>
              <w:right w:val="single" w:color="auto" w:sz="4" w:space="0"/>
            </w:tcBorders>
            <w:vAlign w:val="center"/>
          </w:tcPr>
          <w:p w14:paraId="2E3AF6E6">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100≤X＜300</w:t>
            </w:r>
          </w:p>
        </w:tc>
        <w:tc>
          <w:tcPr>
            <w:tcW w:w="1659" w:type="dxa"/>
            <w:tcBorders>
              <w:top w:val="nil"/>
              <w:left w:val="nil"/>
              <w:bottom w:val="single" w:color="auto" w:sz="4" w:space="0"/>
              <w:right w:val="single" w:color="auto" w:sz="4" w:space="0"/>
            </w:tcBorders>
            <w:vAlign w:val="center"/>
          </w:tcPr>
          <w:p w14:paraId="6415F33D">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10≤X＜100</w:t>
            </w:r>
          </w:p>
        </w:tc>
        <w:tc>
          <w:tcPr>
            <w:tcW w:w="1066" w:type="dxa"/>
            <w:tcBorders>
              <w:top w:val="nil"/>
              <w:left w:val="nil"/>
              <w:bottom w:val="single" w:color="auto" w:sz="4" w:space="0"/>
              <w:right w:val="single" w:color="auto" w:sz="4" w:space="0"/>
            </w:tcBorders>
            <w:vAlign w:val="center"/>
          </w:tcPr>
          <w:p w14:paraId="16AE7531">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X＜10</w:t>
            </w:r>
          </w:p>
        </w:tc>
      </w:tr>
      <w:tr w14:paraId="2775AB66">
        <w:tblPrEx>
          <w:tblCellMar>
            <w:top w:w="0" w:type="dxa"/>
            <w:left w:w="108" w:type="dxa"/>
            <w:bottom w:w="0" w:type="dxa"/>
            <w:right w:w="108" w:type="dxa"/>
          </w:tblCellMar>
        </w:tblPrEx>
        <w:trPr>
          <w:trHeight w:val="356" w:hRule="atLeast"/>
        </w:trPr>
        <w:tc>
          <w:tcPr>
            <w:tcW w:w="1960" w:type="dxa"/>
            <w:vMerge w:val="continue"/>
            <w:tcBorders>
              <w:top w:val="nil"/>
              <w:left w:val="single" w:color="auto" w:sz="4" w:space="0"/>
              <w:bottom w:val="single" w:color="auto" w:sz="4" w:space="0"/>
              <w:right w:val="single" w:color="auto" w:sz="4" w:space="0"/>
            </w:tcBorders>
            <w:vAlign w:val="center"/>
          </w:tcPr>
          <w:p w14:paraId="157AC135">
            <w:pPr>
              <w:pageBreakBefore w:val="0"/>
              <w:widowControl/>
              <w:wordWrap/>
              <w:topLinePunct w:val="0"/>
              <w:bidi w:val="0"/>
              <w:spacing w:line="560" w:lineRule="exact"/>
              <w:jc w:val="left"/>
              <w:rPr>
                <w:rFonts w:ascii="仿宋_GB2312" w:hAnsi="仿宋" w:eastAsia="仿宋_GB2312" w:cs="宋体"/>
                <w:b/>
                <w:bCs/>
                <w:color w:val="000000" w:themeColor="text1"/>
                <w:kern w:val="0"/>
                <w:sz w:val="20"/>
                <w:szCs w:val="20"/>
                <w:highlight w:val="none"/>
                <w14:textFill>
                  <w14:solidFill>
                    <w14:schemeClr w14:val="tx1"/>
                  </w14:solidFill>
                </w14:textFill>
              </w:rPr>
            </w:pPr>
          </w:p>
        </w:tc>
        <w:tc>
          <w:tcPr>
            <w:tcW w:w="1797" w:type="dxa"/>
            <w:tcBorders>
              <w:top w:val="nil"/>
              <w:left w:val="nil"/>
              <w:bottom w:val="single" w:color="auto" w:sz="4" w:space="0"/>
              <w:right w:val="single" w:color="auto" w:sz="4" w:space="0"/>
            </w:tcBorders>
            <w:vAlign w:val="center"/>
          </w:tcPr>
          <w:p w14:paraId="4D376DF9">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营业收入（Y）</w:t>
            </w:r>
          </w:p>
        </w:tc>
        <w:tc>
          <w:tcPr>
            <w:tcW w:w="849" w:type="dxa"/>
            <w:tcBorders>
              <w:top w:val="nil"/>
              <w:left w:val="nil"/>
              <w:bottom w:val="single" w:color="auto" w:sz="4" w:space="0"/>
              <w:right w:val="single" w:color="auto" w:sz="4" w:space="0"/>
            </w:tcBorders>
            <w:vAlign w:val="center"/>
          </w:tcPr>
          <w:p w14:paraId="733FC1F6">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万元</w:t>
            </w:r>
          </w:p>
        </w:tc>
        <w:tc>
          <w:tcPr>
            <w:tcW w:w="1867" w:type="dxa"/>
            <w:tcBorders>
              <w:top w:val="nil"/>
              <w:left w:val="nil"/>
              <w:bottom w:val="single" w:color="auto" w:sz="4" w:space="0"/>
              <w:right w:val="single" w:color="auto" w:sz="4" w:space="0"/>
            </w:tcBorders>
            <w:vAlign w:val="center"/>
          </w:tcPr>
          <w:p w14:paraId="636EBC2C">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2000≤Y＜10000</w:t>
            </w:r>
          </w:p>
        </w:tc>
        <w:tc>
          <w:tcPr>
            <w:tcW w:w="1659" w:type="dxa"/>
            <w:tcBorders>
              <w:top w:val="nil"/>
              <w:left w:val="nil"/>
              <w:bottom w:val="single" w:color="auto" w:sz="4" w:space="0"/>
              <w:right w:val="single" w:color="auto" w:sz="4" w:space="0"/>
            </w:tcBorders>
            <w:vAlign w:val="center"/>
          </w:tcPr>
          <w:p w14:paraId="3F4BDE53">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100≤Y＜2000</w:t>
            </w:r>
          </w:p>
        </w:tc>
        <w:tc>
          <w:tcPr>
            <w:tcW w:w="1066" w:type="dxa"/>
            <w:tcBorders>
              <w:top w:val="nil"/>
              <w:left w:val="nil"/>
              <w:bottom w:val="single" w:color="auto" w:sz="4" w:space="0"/>
              <w:right w:val="single" w:color="auto" w:sz="4" w:space="0"/>
            </w:tcBorders>
            <w:vAlign w:val="center"/>
          </w:tcPr>
          <w:p w14:paraId="586A5BAB">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Y＜100</w:t>
            </w:r>
          </w:p>
        </w:tc>
      </w:tr>
      <w:tr w14:paraId="5B977EBC">
        <w:tblPrEx>
          <w:tblCellMar>
            <w:top w:w="0" w:type="dxa"/>
            <w:left w:w="108" w:type="dxa"/>
            <w:bottom w:w="0" w:type="dxa"/>
            <w:right w:w="108" w:type="dxa"/>
          </w:tblCellMar>
        </w:tblPrEx>
        <w:trPr>
          <w:trHeight w:val="356" w:hRule="atLeast"/>
        </w:trPr>
        <w:tc>
          <w:tcPr>
            <w:tcW w:w="1960" w:type="dxa"/>
            <w:vMerge w:val="restart"/>
            <w:tcBorders>
              <w:top w:val="nil"/>
              <w:left w:val="single" w:color="auto" w:sz="4" w:space="0"/>
              <w:bottom w:val="single" w:color="auto" w:sz="4" w:space="0"/>
              <w:right w:val="single" w:color="auto" w:sz="4" w:space="0"/>
            </w:tcBorders>
            <w:vAlign w:val="bottom"/>
          </w:tcPr>
          <w:p w14:paraId="3C1483E4">
            <w:pPr>
              <w:pageBreakBefore w:val="0"/>
              <w:widowControl/>
              <w:wordWrap/>
              <w:topLinePunct w:val="0"/>
              <w:bidi w:val="0"/>
              <w:spacing w:line="560" w:lineRule="exact"/>
              <w:jc w:val="center"/>
              <w:rPr>
                <w:rFonts w:ascii="仿宋_GB2312" w:hAnsi="仿宋" w:eastAsia="仿宋_GB2312" w:cs="宋体"/>
                <w:b/>
                <w:bCs/>
                <w:color w:val="000000" w:themeColor="text1"/>
                <w:kern w:val="0"/>
                <w:sz w:val="20"/>
                <w:szCs w:val="20"/>
                <w:highlight w:val="none"/>
                <w14:textFill>
                  <w14:solidFill>
                    <w14:schemeClr w14:val="tx1"/>
                  </w14:solidFill>
                </w14:textFill>
              </w:rPr>
            </w:pPr>
            <w:r>
              <w:rPr>
                <w:rFonts w:hint="eastAsia" w:ascii="仿宋_GB2312" w:hAnsi="仿宋" w:eastAsia="仿宋_GB2312" w:cs="宋体"/>
                <w:b/>
                <w:bCs/>
                <w:color w:val="000000" w:themeColor="text1"/>
                <w:kern w:val="0"/>
                <w:sz w:val="20"/>
                <w:szCs w:val="20"/>
                <w:highlight w:val="none"/>
                <w14:textFill>
                  <w14:solidFill>
                    <w14:schemeClr w14:val="tx1"/>
                  </w14:solidFill>
                </w14:textFill>
              </w:rPr>
              <w:t>餐饮业</w:t>
            </w:r>
          </w:p>
        </w:tc>
        <w:tc>
          <w:tcPr>
            <w:tcW w:w="1797" w:type="dxa"/>
            <w:tcBorders>
              <w:top w:val="nil"/>
              <w:left w:val="nil"/>
              <w:bottom w:val="single" w:color="auto" w:sz="4" w:space="0"/>
              <w:right w:val="single" w:color="auto" w:sz="4" w:space="0"/>
            </w:tcBorders>
            <w:vAlign w:val="center"/>
          </w:tcPr>
          <w:p w14:paraId="7030B1EF">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从业人员（X）</w:t>
            </w:r>
          </w:p>
        </w:tc>
        <w:tc>
          <w:tcPr>
            <w:tcW w:w="849" w:type="dxa"/>
            <w:tcBorders>
              <w:top w:val="nil"/>
              <w:left w:val="nil"/>
              <w:bottom w:val="single" w:color="auto" w:sz="4" w:space="0"/>
              <w:right w:val="single" w:color="auto" w:sz="4" w:space="0"/>
            </w:tcBorders>
            <w:vAlign w:val="center"/>
          </w:tcPr>
          <w:p w14:paraId="36DD1314">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人</w:t>
            </w:r>
          </w:p>
        </w:tc>
        <w:tc>
          <w:tcPr>
            <w:tcW w:w="1867" w:type="dxa"/>
            <w:tcBorders>
              <w:top w:val="nil"/>
              <w:left w:val="nil"/>
              <w:bottom w:val="single" w:color="auto" w:sz="4" w:space="0"/>
              <w:right w:val="single" w:color="auto" w:sz="4" w:space="0"/>
            </w:tcBorders>
            <w:vAlign w:val="center"/>
          </w:tcPr>
          <w:p w14:paraId="15768052">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100≤X＜300</w:t>
            </w:r>
          </w:p>
        </w:tc>
        <w:tc>
          <w:tcPr>
            <w:tcW w:w="1659" w:type="dxa"/>
            <w:tcBorders>
              <w:top w:val="nil"/>
              <w:left w:val="nil"/>
              <w:bottom w:val="single" w:color="auto" w:sz="4" w:space="0"/>
              <w:right w:val="single" w:color="auto" w:sz="4" w:space="0"/>
            </w:tcBorders>
            <w:vAlign w:val="center"/>
          </w:tcPr>
          <w:p w14:paraId="68B93E1F">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10≤X＜100</w:t>
            </w:r>
          </w:p>
        </w:tc>
        <w:tc>
          <w:tcPr>
            <w:tcW w:w="1066" w:type="dxa"/>
            <w:tcBorders>
              <w:top w:val="nil"/>
              <w:left w:val="nil"/>
              <w:bottom w:val="single" w:color="auto" w:sz="4" w:space="0"/>
              <w:right w:val="single" w:color="auto" w:sz="4" w:space="0"/>
            </w:tcBorders>
            <w:vAlign w:val="center"/>
          </w:tcPr>
          <w:p w14:paraId="3E89DC1A">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X＜10</w:t>
            </w:r>
          </w:p>
        </w:tc>
      </w:tr>
      <w:tr w14:paraId="695B4F75">
        <w:tblPrEx>
          <w:tblCellMar>
            <w:top w:w="0" w:type="dxa"/>
            <w:left w:w="108" w:type="dxa"/>
            <w:bottom w:w="0" w:type="dxa"/>
            <w:right w:w="108" w:type="dxa"/>
          </w:tblCellMar>
        </w:tblPrEx>
        <w:trPr>
          <w:trHeight w:val="356" w:hRule="atLeast"/>
        </w:trPr>
        <w:tc>
          <w:tcPr>
            <w:tcW w:w="1960" w:type="dxa"/>
            <w:vMerge w:val="continue"/>
            <w:tcBorders>
              <w:top w:val="nil"/>
              <w:left w:val="single" w:color="auto" w:sz="4" w:space="0"/>
              <w:bottom w:val="single" w:color="auto" w:sz="4" w:space="0"/>
              <w:right w:val="single" w:color="auto" w:sz="4" w:space="0"/>
            </w:tcBorders>
            <w:vAlign w:val="center"/>
          </w:tcPr>
          <w:p w14:paraId="502C421C">
            <w:pPr>
              <w:pageBreakBefore w:val="0"/>
              <w:widowControl/>
              <w:wordWrap/>
              <w:topLinePunct w:val="0"/>
              <w:bidi w:val="0"/>
              <w:spacing w:line="560" w:lineRule="exact"/>
              <w:jc w:val="left"/>
              <w:rPr>
                <w:rFonts w:ascii="仿宋_GB2312" w:hAnsi="仿宋" w:eastAsia="仿宋_GB2312" w:cs="宋体"/>
                <w:b/>
                <w:bCs/>
                <w:color w:val="000000" w:themeColor="text1"/>
                <w:kern w:val="0"/>
                <w:sz w:val="20"/>
                <w:szCs w:val="20"/>
                <w:highlight w:val="none"/>
                <w14:textFill>
                  <w14:solidFill>
                    <w14:schemeClr w14:val="tx1"/>
                  </w14:solidFill>
                </w14:textFill>
              </w:rPr>
            </w:pPr>
          </w:p>
        </w:tc>
        <w:tc>
          <w:tcPr>
            <w:tcW w:w="1797" w:type="dxa"/>
            <w:tcBorders>
              <w:top w:val="nil"/>
              <w:left w:val="nil"/>
              <w:bottom w:val="single" w:color="auto" w:sz="4" w:space="0"/>
              <w:right w:val="single" w:color="auto" w:sz="4" w:space="0"/>
            </w:tcBorders>
            <w:vAlign w:val="center"/>
          </w:tcPr>
          <w:p w14:paraId="344A360E">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营业收入（Y）</w:t>
            </w:r>
          </w:p>
        </w:tc>
        <w:tc>
          <w:tcPr>
            <w:tcW w:w="849" w:type="dxa"/>
            <w:tcBorders>
              <w:top w:val="nil"/>
              <w:left w:val="nil"/>
              <w:bottom w:val="single" w:color="auto" w:sz="4" w:space="0"/>
              <w:right w:val="single" w:color="auto" w:sz="4" w:space="0"/>
            </w:tcBorders>
            <w:vAlign w:val="center"/>
          </w:tcPr>
          <w:p w14:paraId="6FB61ED3">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万元</w:t>
            </w:r>
          </w:p>
        </w:tc>
        <w:tc>
          <w:tcPr>
            <w:tcW w:w="1867" w:type="dxa"/>
            <w:tcBorders>
              <w:top w:val="nil"/>
              <w:left w:val="nil"/>
              <w:bottom w:val="single" w:color="auto" w:sz="4" w:space="0"/>
              <w:right w:val="single" w:color="auto" w:sz="4" w:space="0"/>
            </w:tcBorders>
            <w:vAlign w:val="center"/>
          </w:tcPr>
          <w:p w14:paraId="4C3D2002">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2000≤Y＜10000</w:t>
            </w:r>
          </w:p>
        </w:tc>
        <w:tc>
          <w:tcPr>
            <w:tcW w:w="1659" w:type="dxa"/>
            <w:tcBorders>
              <w:top w:val="nil"/>
              <w:left w:val="nil"/>
              <w:bottom w:val="single" w:color="auto" w:sz="4" w:space="0"/>
              <w:right w:val="single" w:color="auto" w:sz="4" w:space="0"/>
            </w:tcBorders>
            <w:vAlign w:val="center"/>
          </w:tcPr>
          <w:p w14:paraId="5C6E008A">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100≤Y＜2000</w:t>
            </w:r>
          </w:p>
        </w:tc>
        <w:tc>
          <w:tcPr>
            <w:tcW w:w="1066" w:type="dxa"/>
            <w:tcBorders>
              <w:top w:val="nil"/>
              <w:left w:val="nil"/>
              <w:bottom w:val="single" w:color="auto" w:sz="4" w:space="0"/>
              <w:right w:val="single" w:color="auto" w:sz="4" w:space="0"/>
            </w:tcBorders>
            <w:vAlign w:val="center"/>
          </w:tcPr>
          <w:p w14:paraId="41FA6E6B">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Y＜100</w:t>
            </w:r>
          </w:p>
        </w:tc>
      </w:tr>
      <w:tr w14:paraId="077E475E">
        <w:tblPrEx>
          <w:tblCellMar>
            <w:top w:w="0" w:type="dxa"/>
            <w:left w:w="108" w:type="dxa"/>
            <w:bottom w:w="0" w:type="dxa"/>
            <w:right w:w="108" w:type="dxa"/>
          </w:tblCellMar>
        </w:tblPrEx>
        <w:trPr>
          <w:trHeight w:val="356" w:hRule="atLeast"/>
        </w:trPr>
        <w:tc>
          <w:tcPr>
            <w:tcW w:w="1960" w:type="dxa"/>
            <w:vMerge w:val="restart"/>
            <w:tcBorders>
              <w:top w:val="nil"/>
              <w:left w:val="single" w:color="auto" w:sz="4" w:space="0"/>
              <w:bottom w:val="single" w:color="auto" w:sz="4" w:space="0"/>
              <w:right w:val="single" w:color="auto" w:sz="4" w:space="0"/>
            </w:tcBorders>
            <w:vAlign w:val="bottom"/>
          </w:tcPr>
          <w:p w14:paraId="56F2A12E">
            <w:pPr>
              <w:pageBreakBefore w:val="0"/>
              <w:widowControl/>
              <w:wordWrap/>
              <w:topLinePunct w:val="0"/>
              <w:bidi w:val="0"/>
              <w:spacing w:line="560" w:lineRule="exact"/>
              <w:jc w:val="center"/>
              <w:rPr>
                <w:rFonts w:ascii="仿宋_GB2312" w:hAnsi="仿宋" w:eastAsia="仿宋_GB2312" w:cs="宋体"/>
                <w:b/>
                <w:bCs/>
                <w:color w:val="000000" w:themeColor="text1"/>
                <w:kern w:val="0"/>
                <w:sz w:val="20"/>
                <w:szCs w:val="20"/>
                <w:highlight w:val="none"/>
                <w14:textFill>
                  <w14:solidFill>
                    <w14:schemeClr w14:val="tx1"/>
                  </w14:solidFill>
                </w14:textFill>
              </w:rPr>
            </w:pPr>
            <w:r>
              <w:rPr>
                <w:rFonts w:hint="eastAsia" w:ascii="仿宋_GB2312" w:hAnsi="仿宋" w:eastAsia="仿宋_GB2312" w:cs="宋体"/>
                <w:b/>
                <w:bCs/>
                <w:color w:val="000000" w:themeColor="text1"/>
                <w:kern w:val="0"/>
                <w:sz w:val="20"/>
                <w:szCs w:val="20"/>
                <w:highlight w:val="none"/>
                <w14:textFill>
                  <w14:solidFill>
                    <w14:schemeClr w14:val="tx1"/>
                  </w14:solidFill>
                </w14:textFill>
              </w:rPr>
              <w:t>信息传输业</w:t>
            </w:r>
          </w:p>
        </w:tc>
        <w:tc>
          <w:tcPr>
            <w:tcW w:w="1797" w:type="dxa"/>
            <w:tcBorders>
              <w:top w:val="nil"/>
              <w:left w:val="nil"/>
              <w:bottom w:val="single" w:color="auto" w:sz="4" w:space="0"/>
              <w:right w:val="single" w:color="auto" w:sz="4" w:space="0"/>
            </w:tcBorders>
            <w:vAlign w:val="center"/>
          </w:tcPr>
          <w:p w14:paraId="6FB9738D">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从业人员（X）</w:t>
            </w:r>
          </w:p>
        </w:tc>
        <w:tc>
          <w:tcPr>
            <w:tcW w:w="849" w:type="dxa"/>
            <w:tcBorders>
              <w:top w:val="nil"/>
              <w:left w:val="nil"/>
              <w:bottom w:val="single" w:color="auto" w:sz="4" w:space="0"/>
              <w:right w:val="single" w:color="auto" w:sz="4" w:space="0"/>
            </w:tcBorders>
            <w:vAlign w:val="center"/>
          </w:tcPr>
          <w:p w14:paraId="1A2CF879">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人</w:t>
            </w:r>
          </w:p>
        </w:tc>
        <w:tc>
          <w:tcPr>
            <w:tcW w:w="1867" w:type="dxa"/>
            <w:tcBorders>
              <w:top w:val="nil"/>
              <w:left w:val="nil"/>
              <w:bottom w:val="single" w:color="auto" w:sz="4" w:space="0"/>
              <w:right w:val="single" w:color="auto" w:sz="4" w:space="0"/>
            </w:tcBorders>
            <w:vAlign w:val="center"/>
          </w:tcPr>
          <w:p w14:paraId="69B78B70">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100≤X＜2000</w:t>
            </w:r>
          </w:p>
        </w:tc>
        <w:tc>
          <w:tcPr>
            <w:tcW w:w="1659" w:type="dxa"/>
            <w:tcBorders>
              <w:top w:val="nil"/>
              <w:left w:val="nil"/>
              <w:bottom w:val="single" w:color="auto" w:sz="4" w:space="0"/>
              <w:right w:val="single" w:color="auto" w:sz="4" w:space="0"/>
            </w:tcBorders>
            <w:vAlign w:val="center"/>
          </w:tcPr>
          <w:p w14:paraId="15A115F9">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10≤X＜100</w:t>
            </w:r>
          </w:p>
        </w:tc>
        <w:tc>
          <w:tcPr>
            <w:tcW w:w="1066" w:type="dxa"/>
            <w:tcBorders>
              <w:top w:val="nil"/>
              <w:left w:val="nil"/>
              <w:bottom w:val="single" w:color="auto" w:sz="4" w:space="0"/>
              <w:right w:val="single" w:color="auto" w:sz="4" w:space="0"/>
            </w:tcBorders>
            <w:vAlign w:val="center"/>
          </w:tcPr>
          <w:p w14:paraId="72E16E54">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X＜10</w:t>
            </w:r>
          </w:p>
        </w:tc>
      </w:tr>
      <w:tr w14:paraId="7FA0AE32">
        <w:tblPrEx>
          <w:tblCellMar>
            <w:top w:w="0" w:type="dxa"/>
            <w:left w:w="108" w:type="dxa"/>
            <w:bottom w:w="0" w:type="dxa"/>
            <w:right w:w="108" w:type="dxa"/>
          </w:tblCellMar>
        </w:tblPrEx>
        <w:trPr>
          <w:trHeight w:val="356" w:hRule="atLeast"/>
        </w:trPr>
        <w:tc>
          <w:tcPr>
            <w:tcW w:w="1960" w:type="dxa"/>
            <w:vMerge w:val="continue"/>
            <w:tcBorders>
              <w:top w:val="nil"/>
              <w:left w:val="single" w:color="auto" w:sz="4" w:space="0"/>
              <w:bottom w:val="single" w:color="auto" w:sz="4" w:space="0"/>
              <w:right w:val="single" w:color="auto" w:sz="4" w:space="0"/>
            </w:tcBorders>
            <w:vAlign w:val="center"/>
          </w:tcPr>
          <w:p w14:paraId="41882D73">
            <w:pPr>
              <w:pageBreakBefore w:val="0"/>
              <w:widowControl/>
              <w:wordWrap/>
              <w:topLinePunct w:val="0"/>
              <w:bidi w:val="0"/>
              <w:spacing w:line="560" w:lineRule="exact"/>
              <w:jc w:val="left"/>
              <w:rPr>
                <w:rFonts w:ascii="仿宋_GB2312" w:hAnsi="仿宋" w:eastAsia="仿宋_GB2312" w:cs="宋体"/>
                <w:b/>
                <w:bCs/>
                <w:color w:val="000000" w:themeColor="text1"/>
                <w:kern w:val="0"/>
                <w:sz w:val="20"/>
                <w:szCs w:val="20"/>
                <w:highlight w:val="none"/>
                <w14:textFill>
                  <w14:solidFill>
                    <w14:schemeClr w14:val="tx1"/>
                  </w14:solidFill>
                </w14:textFill>
              </w:rPr>
            </w:pPr>
          </w:p>
        </w:tc>
        <w:tc>
          <w:tcPr>
            <w:tcW w:w="1797" w:type="dxa"/>
            <w:tcBorders>
              <w:top w:val="nil"/>
              <w:left w:val="nil"/>
              <w:bottom w:val="single" w:color="auto" w:sz="4" w:space="0"/>
              <w:right w:val="single" w:color="auto" w:sz="4" w:space="0"/>
            </w:tcBorders>
            <w:vAlign w:val="center"/>
          </w:tcPr>
          <w:p w14:paraId="0F6EEC17">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营业收入（Y）</w:t>
            </w:r>
          </w:p>
        </w:tc>
        <w:tc>
          <w:tcPr>
            <w:tcW w:w="849" w:type="dxa"/>
            <w:tcBorders>
              <w:top w:val="nil"/>
              <w:left w:val="nil"/>
              <w:bottom w:val="single" w:color="auto" w:sz="4" w:space="0"/>
              <w:right w:val="single" w:color="auto" w:sz="4" w:space="0"/>
            </w:tcBorders>
            <w:vAlign w:val="center"/>
          </w:tcPr>
          <w:p w14:paraId="659A0A6A">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万元</w:t>
            </w:r>
          </w:p>
        </w:tc>
        <w:tc>
          <w:tcPr>
            <w:tcW w:w="1867" w:type="dxa"/>
            <w:tcBorders>
              <w:top w:val="nil"/>
              <w:left w:val="nil"/>
              <w:bottom w:val="single" w:color="auto" w:sz="4" w:space="0"/>
              <w:right w:val="single" w:color="auto" w:sz="4" w:space="0"/>
            </w:tcBorders>
            <w:vAlign w:val="center"/>
          </w:tcPr>
          <w:p w14:paraId="11A4C2D9">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1000≤Y＜100000</w:t>
            </w:r>
          </w:p>
        </w:tc>
        <w:tc>
          <w:tcPr>
            <w:tcW w:w="1659" w:type="dxa"/>
            <w:tcBorders>
              <w:top w:val="nil"/>
              <w:left w:val="nil"/>
              <w:bottom w:val="single" w:color="auto" w:sz="4" w:space="0"/>
              <w:right w:val="single" w:color="auto" w:sz="4" w:space="0"/>
            </w:tcBorders>
            <w:vAlign w:val="center"/>
          </w:tcPr>
          <w:p w14:paraId="576E8F49">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100≤Y＜1000</w:t>
            </w:r>
          </w:p>
        </w:tc>
        <w:tc>
          <w:tcPr>
            <w:tcW w:w="1066" w:type="dxa"/>
            <w:tcBorders>
              <w:top w:val="nil"/>
              <w:left w:val="nil"/>
              <w:bottom w:val="single" w:color="auto" w:sz="4" w:space="0"/>
              <w:right w:val="single" w:color="auto" w:sz="4" w:space="0"/>
            </w:tcBorders>
            <w:vAlign w:val="center"/>
          </w:tcPr>
          <w:p w14:paraId="65F5B456">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Y＜100</w:t>
            </w:r>
          </w:p>
        </w:tc>
      </w:tr>
      <w:tr w14:paraId="0C8FABAB">
        <w:tblPrEx>
          <w:tblCellMar>
            <w:top w:w="0" w:type="dxa"/>
            <w:left w:w="108" w:type="dxa"/>
            <w:bottom w:w="0" w:type="dxa"/>
            <w:right w:w="108" w:type="dxa"/>
          </w:tblCellMar>
        </w:tblPrEx>
        <w:trPr>
          <w:trHeight w:val="356" w:hRule="atLeast"/>
        </w:trPr>
        <w:tc>
          <w:tcPr>
            <w:tcW w:w="1960" w:type="dxa"/>
            <w:vMerge w:val="restart"/>
            <w:tcBorders>
              <w:top w:val="nil"/>
              <w:left w:val="single" w:color="auto" w:sz="4" w:space="0"/>
              <w:bottom w:val="single" w:color="auto" w:sz="4" w:space="0"/>
              <w:right w:val="single" w:color="auto" w:sz="4" w:space="0"/>
            </w:tcBorders>
            <w:vAlign w:val="bottom"/>
          </w:tcPr>
          <w:p w14:paraId="655525AE">
            <w:pPr>
              <w:pageBreakBefore w:val="0"/>
              <w:widowControl/>
              <w:wordWrap/>
              <w:topLinePunct w:val="0"/>
              <w:bidi w:val="0"/>
              <w:spacing w:line="560" w:lineRule="exact"/>
              <w:jc w:val="center"/>
              <w:rPr>
                <w:rFonts w:ascii="仿宋_GB2312" w:hAnsi="仿宋" w:eastAsia="仿宋_GB2312" w:cs="宋体"/>
                <w:b/>
                <w:bCs/>
                <w:color w:val="000000" w:themeColor="text1"/>
                <w:kern w:val="0"/>
                <w:sz w:val="20"/>
                <w:szCs w:val="20"/>
                <w:highlight w:val="none"/>
                <w14:textFill>
                  <w14:solidFill>
                    <w14:schemeClr w14:val="tx1"/>
                  </w14:solidFill>
                </w14:textFill>
              </w:rPr>
            </w:pPr>
            <w:r>
              <w:rPr>
                <w:rFonts w:hint="eastAsia" w:ascii="仿宋_GB2312" w:hAnsi="仿宋" w:eastAsia="仿宋_GB2312" w:cs="宋体"/>
                <w:b/>
                <w:bCs/>
                <w:color w:val="000000" w:themeColor="text1"/>
                <w:kern w:val="0"/>
                <w:sz w:val="20"/>
                <w:szCs w:val="20"/>
                <w:highlight w:val="none"/>
                <w14:textFill>
                  <w14:solidFill>
                    <w14:schemeClr w14:val="tx1"/>
                  </w14:solidFill>
                </w14:textFill>
              </w:rPr>
              <w:t>软件和信息技术服务业</w:t>
            </w:r>
          </w:p>
        </w:tc>
        <w:tc>
          <w:tcPr>
            <w:tcW w:w="1797" w:type="dxa"/>
            <w:tcBorders>
              <w:top w:val="nil"/>
              <w:left w:val="nil"/>
              <w:bottom w:val="single" w:color="auto" w:sz="4" w:space="0"/>
              <w:right w:val="single" w:color="auto" w:sz="4" w:space="0"/>
            </w:tcBorders>
            <w:vAlign w:val="center"/>
          </w:tcPr>
          <w:p w14:paraId="5DAC50DF">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从业人员（X）</w:t>
            </w:r>
          </w:p>
        </w:tc>
        <w:tc>
          <w:tcPr>
            <w:tcW w:w="849" w:type="dxa"/>
            <w:tcBorders>
              <w:top w:val="nil"/>
              <w:left w:val="nil"/>
              <w:bottom w:val="single" w:color="auto" w:sz="4" w:space="0"/>
              <w:right w:val="single" w:color="auto" w:sz="4" w:space="0"/>
            </w:tcBorders>
            <w:vAlign w:val="center"/>
          </w:tcPr>
          <w:p w14:paraId="18779346">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人</w:t>
            </w:r>
          </w:p>
        </w:tc>
        <w:tc>
          <w:tcPr>
            <w:tcW w:w="1867" w:type="dxa"/>
            <w:tcBorders>
              <w:top w:val="nil"/>
              <w:left w:val="nil"/>
              <w:bottom w:val="single" w:color="auto" w:sz="4" w:space="0"/>
              <w:right w:val="single" w:color="auto" w:sz="4" w:space="0"/>
            </w:tcBorders>
            <w:vAlign w:val="center"/>
          </w:tcPr>
          <w:p w14:paraId="426536AE">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100≤X＜300</w:t>
            </w:r>
          </w:p>
        </w:tc>
        <w:tc>
          <w:tcPr>
            <w:tcW w:w="1659" w:type="dxa"/>
            <w:tcBorders>
              <w:top w:val="nil"/>
              <w:left w:val="nil"/>
              <w:bottom w:val="single" w:color="auto" w:sz="4" w:space="0"/>
              <w:right w:val="single" w:color="auto" w:sz="4" w:space="0"/>
            </w:tcBorders>
            <w:vAlign w:val="center"/>
          </w:tcPr>
          <w:p w14:paraId="047E38AA">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10≤X＜100</w:t>
            </w:r>
          </w:p>
        </w:tc>
        <w:tc>
          <w:tcPr>
            <w:tcW w:w="1066" w:type="dxa"/>
            <w:tcBorders>
              <w:top w:val="nil"/>
              <w:left w:val="nil"/>
              <w:bottom w:val="single" w:color="auto" w:sz="4" w:space="0"/>
              <w:right w:val="single" w:color="auto" w:sz="4" w:space="0"/>
            </w:tcBorders>
            <w:vAlign w:val="center"/>
          </w:tcPr>
          <w:p w14:paraId="61B80A4D">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X＜10</w:t>
            </w:r>
          </w:p>
        </w:tc>
      </w:tr>
      <w:tr w14:paraId="612A8F14">
        <w:tblPrEx>
          <w:tblCellMar>
            <w:top w:w="0" w:type="dxa"/>
            <w:left w:w="108" w:type="dxa"/>
            <w:bottom w:w="0" w:type="dxa"/>
            <w:right w:w="108" w:type="dxa"/>
          </w:tblCellMar>
        </w:tblPrEx>
        <w:trPr>
          <w:trHeight w:val="356" w:hRule="atLeast"/>
        </w:trPr>
        <w:tc>
          <w:tcPr>
            <w:tcW w:w="1960" w:type="dxa"/>
            <w:vMerge w:val="continue"/>
            <w:tcBorders>
              <w:top w:val="nil"/>
              <w:left w:val="single" w:color="auto" w:sz="4" w:space="0"/>
              <w:bottom w:val="single" w:color="auto" w:sz="4" w:space="0"/>
              <w:right w:val="single" w:color="auto" w:sz="4" w:space="0"/>
            </w:tcBorders>
            <w:vAlign w:val="center"/>
          </w:tcPr>
          <w:p w14:paraId="028B3DEB">
            <w:pPr>
              <w:pageBreakBefore w:val="0"/>
              <w:widowControl/>
              <w:wordWrap/>
              <w:topLinePunct w:val="0"/>
              <w:bidi w:val="0"/>
              <w:spacing w:line="560" w:lineRule="exact"/>
              <w:jc w:val="left"/>
              <w:rPr>
                <w:rFonts w:ascii="仿宋_GB2312" w:hAnsi="仿宋" w:eastAsia="仿宋_GB2312" w:cs="宋体"/>
                <w:b/>
                <w:bCs/>
                <w:color w:val="000000" w:themeColor="text1"/>
                <w:kern w:val="0"/>
                <w:sz w:val="20"/>
                <w:szCs w:val="20"/>
                <w:highlight w:val="none"/>
                <w14:textFill>
                  <w14:solidFill>
                    <w14:schemeClr w14:val="tx1"/>
                  </w14:solidFill>
                </w14:textFill>
              </w:rPr>
            </w:pPr>
          </w:p>
        </w:tc>
        <w:tc>
          <w:tcPr>
            <w:tcW w:w="1797" w:type="dxa"/>
            <w:tcBorders>
              <w:top w:val="nil"/>
              <w:left w:val="nil"/>
              <w:bottom w:val="single" w:color="auto" w:sz="4" w:space="0"/>
              <w:right w:val="single" w:color="auto" w:sz="4" w:space="0"/>
            </w:tcBorders>
            <w:vAlign w:val="center"/>
          </w:tcPr>
          <w:p w14:paraId="5BC7F980">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营业收入（Y）</w:t>
            </w:r>
          </w:p>
        </w:tc>
        <w:tc>
          <w:tcPr>
            <w:tcW w:w="849" w:type="dxa"/>
            <w:tcBorders>
              <w:top w:val="nil"/>
              <w:left w:val="nil"/>
              <w:bottom w:val="single" w:color="auto" w:sz="4" w:space="0"/>
              <w:right w:val="single" w:color="auto" w:sz="4" w:space="0"/>
            </w:tcBorders>
            <w:vAlign w:val="center"/>
          </w:tcPr>
          <w:p w14:paraId="32DB7037">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万元</w:t>
            </w:r>
          </w:p>
        </w:tc>
        <w:tc>
          <w:tcPr>
            <w:tcW w:w="1867" w:type="dxa"/>
            <w:tcBorders>
              <w:top w:val="nil"/>
              <w:left w:val="nil"/>
              <w:bottom w:val="single" w:color="auto" w:sz="4" w:space="0"/>
              <w:right w:val="single" w:color="auto" w:sz="4" w:space="0"/>
            </w:tcBorders>
            <w:vAlign w:val="center"/>
          </w:tcPr>
          <w:p w14:paraId="74807605">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1000≤Y＜10000</w:t>
            </w:r>
          </w:p>
        </w:tc>
        <w:tc>
          <w:tcPr>
            <w:tcW w:w="1659" w:type="dxa"/>
            <w:tcBorders>
              <w:top w:val="nil"/>
              <w:left w:val="nil"/>
              <w:bottom w:val="single" w:color="auto" w:sz="4" w:space="0"/>
              <w:right w:val="single" w:color="auto" w:sz="4" w:space="0"/>
            </w:tcBorders>
            <w:vAlign w:val="center"/>
          </w:tcPr>
          <w:p w14:paraId="2B9AAB27">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50≤Y＜1000</w:t>
            </w:r>
          </w:p>
        </w:tc>
        <w:tc>
          <w:tcPr>
            <w:tcW w:w="1066" w:type="dxa"/>
            <w:tcBorders>
              <w:top w:val="nil"/>
              <w:left w:val="nil"/>
              <w:bottom w:val="single" w:color="auto" w:sz="4" w:space="0"/>
              <w:right w:val="single" w:color="auto" w:sz="4" w:space="0"/>
            </w:tcBorders>
            <w:vAlign w:val="center"/>
          </w:tcPr>
          <w:p w14:paraId="20FC7DDF">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Y＜50</w:t>
            </w:r>
          </w:p>
        </w:tc>
      </w:tr>
      <w:tr w14:paraId="5479457E">
        <w:tblPrEx>
          <w:tblCellMar>
            <w:top w:w="0" w:type="dxa"/>
            <w:left w:w="108" w:type="dxa"/>
            <w:bottom w:w="0" w:type="dxa"/>
            <w:right w:w="108" w:type="dxa"/>
          </w:tblCellMar>
        </w:tblPrEx>
        <w:trPr>
          <w:trHeight w:val="356" w:hRule="atLeast"/>
        </w:trPr>
        <w:tc>
          <w:tcPr>
            <w:tcW w:w="1960" w:type="dxa"/>
            <w:vMerge w:val="restart"/>
            <w:tcBorders>
              <w:top w:val="nil"/>
              <w:left w:val="single" w:color="auto" w:sz="4" w:space="0"/>
              <w:bottom w:val="single" w:color="auto" w:sz="4" w:space="0"/>
              <w:right w:val="single" w:color="auto" w:sz="4" w:space="0"/>
            </w:tcBorders>
            <w:vAlign w:val="bottom"/>
          </w:tcPr>
          <w:p w14:paraId="54F5CE40">
            <w:pPr>
              <w:pageBreakBefore w:val="0"/>
              <w:widowControl/>
              <w:wordWrap/>
              <w:topLinePunct w:val="0"/>
              <w:bidi w:val="0"/>
              <w:spacing w:line="560" w:lineRule="exact"/>
              <w:jc w:val="center"/>
              <w:rPr>
                <w:rFonts w:ascii="仿宋_GB2312" w:hAnsi="仿宋" w:eastAsia="仿宋_GB2312" w:cs="宋体"/>
                <w:b/>
                <w:bCs/>
                <w:color w:val="000000" w:themeColor="text1"/>
                <w:kern w:val="0"/>
                <w:sz w:val="20"/>
                <w:szCs w:val="20"/>
                <w:highlight w:val="none"/>
                <w14:textFill>
                  <w14:solidFill>
                    <w14:schemeClr w14:val="tx1"/>
                  </w14:solidFill>
                </w14:textFill>
              </w:rPr>
            </w:pPr>
            <w:r>
              <w:rPr>
                <w:rFonts w:hint="eastAsia" w:ascii="仿宋_GB2312" w:hAnsi="仿宋" w:eastAsia="仿宋_GB2312" w:cs="宋体"/>
                <w:b/>
                <w:bCs/>
                <w:color w:val="000000" w:themeColor="text1"/>
                <w:kern w:val="0"/>
                <w:sz w:val="20"/>
                <w:szCs w:val="20"/>
                <w:highlight w:val="none"/>
                <w14:textFill>
                  <w14:solidFill>
                    <w14:schemeClr w14:val="tx1"/>
                  </w14:solidFill>
                </w14:textFill>
              </w:rPr>
              <w:t>房地产开发经营</w:t>
            </w:r>
          </w:p>
        </w:tc>
        <w:tc>
          <w:tcPr>
            <w:tcW w:w="1797" w:type="dxa"/>
            <w:tcBorders>
              <w:top w:val="nil"/>
              <w:left w:val="nil"/>
              <w:bottom w:val="single" w:color="auto" w:sz="4" w:space="0"/>
              <w:right w:val="single" w:color="auto" w:sz="4" w:space="0"/>
            </w:tcBorders>
            <w:vAlign w:val="center"/>
          </w:tcPr>
          <w:p w14:paraId="6EBF06F9">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营业收入（Y）</w:t>
            </w:r>
          </w:p>
        </w:tc>
        <w:tc>
          <w:tcPr>
            <w:tcW w:w="849" w:type="dxa"/>
            <w:tcBorders>
              <w:top w:val="nil"/>
              <w:left w:val="nil"/>
              <w:bottom w:val="single" w:color="auto" w:sz="4" w:space="0"/>
              <w:right w:val="single" w:color="auto" w:sz="4" w:space="0"/>
            </w:tcBorders>
            <w:vAlign w:val="center"/>
          </w:tcPr>
          <w:p w14:paraId="2004F1B6">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万元</w:t>
            </w:r>
          </w:p>
        </w:tc>
        <w:tc>
          <w:tcPr>
            <w:tcW w:w="1867" w:type="dxa"/>
            <w:tcBorders>
              <w:top w:val="nil"/>
              <w:left w:val="nil"/>
              <w:bottom w:val="single" w:color="auto" w:sz="4" w:space="0"/>
              <w:right w:val="single" w:color="auto" w:sz="4" w:space="0"/>
            </w:tcBorders>
            <w:vAlign w:val="center"/>
          </w:tcPr>
          <w:p w14:paraId="222C6120">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1000≤Y＜200000</w:t>
            </w:r>
          </w:p>
        </w:tc>
        <w:tc>
          <w:tcPr>
            <w:tcW w:w="1659" w:type="dxa"/>
            <w:tcBorders>
              <w:top w:val="nil"/>
              <w:left w:val="nil"/>
              <w:bottom w:val="single" w:color="auto" w:sz="4" w:space="0"/>
              <w:right w:val="single" w:color="auto" w:sz="4" w:space="0"/>
            </w:tcBorders>
            <w:vAlign w:val="center"/>
          </w:tcPr>
          <w:p w14:paraId="0643C172">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100≤X＜1000</w:t>
            </w:r>
          </w:p>
        </w:tc>
        <w:tc>
          <w:tcPr>
            <w:tcW w:w="1066" w:type="dxa"/>
            <w:tcBorders>
              <w:top w:val="nil"/>
              <w:left w:val="nil"/>
              <w:bottom w:val="single" w:color="auto" w:sz="4" w:space="0"/>
              <w:right w:val="single" w:color="auto" w:sz="4" w:space="0"/>
            </w:tcBorders>
            <w:vAlign w:val="center"/>
          </w:tcPr>
          <w:p w14:paraId="2FA0DAC2">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X＜100</w:t>
            </w:r>
          </w:p>
        </w:tc>
      </w:tr>
      <w:tr w14:paraId="4AD4B484">
        <w:tblPrEx>
          <w:tblCellMar>
            <w:top w:w="0" w:type="dxa"/>
            <w:left w:w="108" w:type="dxa"/>
            <w:bottom w:w="0" w:type="dxa"/>
            <w:right w:w="108" w:type="dxa"/>
          </w:tblCellMar>
        </w:tblPrEx>
        <w:trPr>
          <w:trHeight w:val="356" w:hRule="atLeast"/>
        </w:trPr>
        <w:tc>
          <w:tcPr>
            <w:tcW w:w="1960" w:type="dxa"/>
            <w:vMerge w:val="continue"/>
            <w:tcBorders>
              <w:top w:val="nil"/>
              <w:left w:val="single" w:color="auto" w:sz="4" w:space="0"/>
              <w:bottom w:val="single" w:color="auto" w:sz="4" w:space="0"/>
              <w:right w:val="single" w:color="auto" w:sz="4" w:space="0"/>
            </w:tcBorders>
            <w:vAlign w:val="center"/>
          </w:tcPr>
          <w:p w14:paraId="2493A9A8">
            <w:pPr>
              <w:pageBreakBefore w:val="0"/>
              <w:widowControl/>
              <w:wordWrap/>
              <w:topLinePunct w:val="0"/>
              <w:bidi w:val="0"/>
              <w:spacing w:line="560" w:lineRule="exact"/>
              <w:jc w:val="left"/>
              <w:rPr>
                <w:rFonts w:ascii="仿宋_GB2312" w:hAnsi="仿宋" w:eastAsia="仿宋_GB2312" w:cs="宋体"/>
                <w:b/>
                <w:bCs/>
                <w:color w:val="000000" w:themeColor="text1"/>
                <w:kern w:val="0"/>
                <w:sz w:val="20"/>
                <w:szCs w:val="20"/>
                <w:highlight w:val="none"/>
                <w14:textFill>
                  <w14:solidFill>
                    <w14:schemeClr w14:val="tx1"/>
                  </w14:solidFill>
                </w14:textFill>
              </w:rPr>
            </w:pPr>
          </w:p>
        </w:tc>
        <w:tc>
          <w:tcPr>
            <w:tcW w:w="1797" w:type="dxa"/>
            <w:tcBorders>
              <w:top w:val="nil"/>
              <w:left w:val="nil"/>
              <w:bottom w:val="single" w:color="auto" w:sz="4" w:space="0"/>
              <w:right w:val="single" w:color="auto" w:sz="4" w:space="0"/>
            </w:tcBorders>
            <w:vAlign w:val="center"/>
          </w:tcPr>
          <w:p w14:paraId="6A62CD80">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资产总额（Z）</w:t>
            </w:r>
          </w:p>
        </w:tc>
        <w:tc>
          <w:tcPr>
            <w:tcW w:w="849" w:type="dxa"/>
            <w:tcBorders>
              <w:top w:val="nil"/>
              <w:left w:val="nil"/>
              <w:bottom w:val="single" w:color="auto" w:sz="4" w:space="0"/>
              <w:right w:val="single" w:color="auto" w:sz="4" w:space="0"/>
            </w:tcBorders>
            <w:vAlign w:val="center"/>
          </w:tcPr>
          <w:p w14:paraId="76B220A7">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万元</w:t>
            </w:r>
          </w:p>
        </w:tc>
        <w:tc>
          <w:tcPr>
            <w:tcW w:w="1867" w:type="dxa"/>
            <w:tcBorders>
              <w:top w:val="nil"/>
              <w:left w:val="nil"/>
              <w:bottom w:val="single" w:color="auto" w:sz="4" w:space="0"/>
              <w:right w:val="single" w:color="auto" w:sz="4" w:space="0"/>
            </w:tcBorders>
            <w:vAlign w:val="center"/>
          </w:tcPr>
          <w:p w14:paraId="45A96D4A">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5000≤Z＜10000</w:t>
            </w:r>
          </w:p>
        </w:tc>
        <w:tc>
          <w:tcPr>
            <w:tcW w:w="1659" w:type="dxa"/>
            <w:tcBorders>
              <w:top w:val="nil"/>
              <w:left w:val="nil"/>
              <w:bottom w:val="single" w:color="auto" w:sz="4" w:space="0"/>
              <w:right w:val="single" w:color="auto" w:sz="4" w:space="0"/>
            </w:tcBorders>
            <w:vAlign w:val="center"/>
          </w:tcPr>
          <w:p w14:paraId="2747410D">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2000≤Y＜5000</w:t>
            </w:r>
          </w:p>
        </w:tc>
        <w:tc>
          <w:tcPr>
            <w:tcW w:w="1066" w:type="dxa"/>
            <w:tcBorders>
              <w:top w:val="nil"/>
              <w:left w:val="nil"/>
              <w:bottom w:val="single" w:color="auto" w:sz="4" w:space="0"/>
              <w:right w:val="single" w:color="auto" w:sz="4" w:space="0"/>
            </w:tcBorders>
            <w:vAlign w:val="center"/>
          </w:tcPr>
          <w:p w14:paraId="22B8B979">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Y＜2000</w:t>
            </w:r>
          </w:p>
        </w:tc>
      </w:tr>
      <w:tr w14:paraId="102F81F2">
        <w:tblPrEx>
          <w:tblCellMar>
            <w:top w:w="0" w:type="dxa"/>
            <w:left w:w="108" w:type="dxa"/>
            <w:bottom w:w="0" w:type="dxa"/>
            <w:right w:w="108" w:type="dxa"/>
          </w:tblCellMar>
        </w:tblPrEx>
        <w:trPr>
          <w:trHeight w:val="356" w:hRule="atLeast"/>
        </w:trPr>
        <w:tc>
          <w:tcPr>
            <w:tcW w:w="1960" w:type="dxa"/>
            <w:vMerge w:val="restart"/>
            <w:tcBorders>
              <w:top w:val="nil"/>
              <w:left w:val="single" w:color="auto" w:sz="4" w:space="0"/>
              <w:bottom w:val="single" w:color="auto" w:sz="4" w:space="0"/>
              <w:right w:val="single" w:color="auto" w:sz="4" w:space="0"/>
            </w:tcBorders>
            <w:vAlign w:val="bottom"/>
          </w:tcPr>
          <w:p w14:paraId="180E16A2">
            <w:pPr>
              <w:pageBreakBefore w:val="0"/>
              <w:widowControl/>
              <w:wordWrap/>
              <w:topLinePunct w:val="0"/>
              <w:bidi w:val="0"/>
              <w:spacing w:line="560" w:lineRule="exact"/>
              <w:jc w:val="center"/>
              <w:rPr>
                <w:rFonts w:ascii="仿宋_GB2312" w:hAnsi="仿宋" w:eastAsia="仿宋_GB2312" w:cs="宋体"/>
                <w:b/>
                <w:bCs/>
                <w:color w:val="000000" w:themeColor="text1"/>
                <w:kern w:val="0"/>
                <w:sz w:val="20"/>
                <w:szCs w:val="20"/>
                <w:highlight w:val="none"/>
                <w14:textFill>
                  <w14:solidFill>
                    <w14:schemeClr w14:val="tx1"/>
                  </w14:solidFill>
                </w14:textFill>
              </w:rPr>
            </w:pPr>
            <w:r>
              <w:rPr>
                <w:rFonts w:hint="eastAsia" w:ascii="仿宋_GB2312" w:hAnsi="仿宋" w:eastAsia="仿宋_GB2312" w:cs="宋体"/>
                <w:b/>
                <w:bCs/>
                <w:color w:val="000000" w:themeColor="text1"/>
                <w:kern w:val="0"/>
                <w:sz w:val="20"/>
                <w:szCs w:val="20"/>
                <w:highlight w:val="none"/>
                <w14:textFill>
                  <w14:solidFill>
                    <w14:schemeClr w14:val="tx1"/>
                  </w14:solidFill>
                </w14:textFill>
              </w:rPr>
              <w:t>物业管理</w:t>
            </w:r>
          </w:p>
        </w:tc>
        <w:tc>
          <w:tcPr>
            <w:tcW w:w="1797" w:type="dxa"/>
            <w:tcBorders>
              <w:top w:val="nil"/>
              <w:left w:val="nil"/>
              <w:bottom w:val="single" w:color="auto" w:sz="4" w:space="0"/>
              <w:right w:val="single" w:color="auto" w:sz="4" w:space="0"/>
            </w:tcBorders>
            <w:vAlign w:val="center"/>
          </w:tcPr>
          <w:p w14:paraId="1D64C388">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从业人员（X）</w:t>
            </w:r>
          </w:p>
        </w:tc>
        <w:tc>
          <w:tcPr>
            <w:tcW w:w="849" w:type="dxa"/>
            <w:tcBorders>
              <w:top w:val="nil"/>
              <w:left w:val="nil"/>
              <w:bottom w:val="single" w:color="auto" w:sz="4" w:space="0"/>
              <w:right w:val="single" w:color="auto" w:sz="4" w:space="0"/>
            </w:tcBorders>
            <w:vAlign w:val="center"/>
          </w:tcPr>
          <w:p w14:paraId="127B0601">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人</w:t>
            </w:r>
          </w:p>
        </w:tc>
        <w:tc>
          <w:tcPr>
            <w:tcW w:w="1867" w:type="dxa"/>
            <w:tcBorders>
              <w:top w:val="nil"/>
              <w:left w:val="nil"/>
              <w:bottom w:val="single" w:color="auto" w:sz="4" w:space="0"/>
              <w:right w:val="single" w:color="auto" w:sz="4" w:space="0"/>
            </w:tcBorders>
            <w:vAlign w:val="center"/>
          </w:tcPr>
          <w:p w14:paraId="67D4D1C8">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300≤X＜1000</w:t>
            </w:r>
          </w:p>
        </w:tc>
        <w:tc>
          <w:tcPr>
            <w:tcW w:w="1659" w:type="dxa"/>
            <w:tcBorders>
              <w:top w:val="nil"/>
              <w:left w:val="nil"/>
              <w:bottom w:val="single" w:color="auto" w:sz="4" w:space="0"/>
              <w:right w:val="single" w:color="auto" w:sz="4" w:space="0"/>
            </w:tcBorders>
            <w:vAlign w:val="center"/>
          </w:tcPr>
          <w:p w14:paraId="547AEE0E">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100≤X＜300</w:t>
            </w:r>
          </w:p>
        </w:tc>
        <w:tc>
          <w:tcPr>
            <w:tcW w:w="1066" w:type="dxa"/>
            <w:tcBorders>
              <w:top w:val="nil"/>
              <w:left w:val="nil"/>
              <w:bottom w:val="single" w:color="auto" w:sz="4" w:space="0"/>
              <w:right w:val="single" w:color="auto" w:sz="4" w:space="0"/>
            </w:tcBorders>
            <w:vAlign w:val="center"/>
          </w:tcPr>
          <w:p w14:paraId="62CA9EC0">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X＜100</w:t>
            </w:r>
          </w:p>
        </w:tc>
      </w:tr>
      <w:tr w14:paraId="572C0FA3">
        <w:tblPrEx>
          <w:tblCellMar>
            <w:top w:w="0" w:type="dxa"/>
            <w:left w:w="108" w:type="dxa"/>
            <w:bottom w:w="0" w:type="dxa"/>
            <w:right w:w="108" w:type="dxa"/>
          </w:tblCellMar>
        </w:tblPrEx>
        <w:trPr>
          <w:trHeight w:val="356" w:hRule="atLeast"/>
        </w:trPr>
        <w:tc>
          <w:tcPr>
            <w:tcW w:w="1960" w:type="dxa"/>
            <w:vMerge w:val="continue"/>
            <w:tcBorders>
              <w:top w:val="nil"/>
              <w:left w:val="single" w:color="auto" w:sz="4" w:space="0"/>
              <w:bottom w:val="single" w:color="auto" w:sz="4" w:space="0"/>
              <w:right w:val="single" w:color="auto" w:sz="4" w:space="0"/>
            </w:tcBorders>
            <w:vAlign w:val="center"/>
          </w:tcPr>
          <w:p w14:paraId="6C5E7016">
            <w:pPr>
              <w:pageBreakBefore w:val="0"/>
              <w:widowControl/>
              <w:wordWrap/>
              <w:topLinePunct w:val="0"/>
              <w:bidi w:val="0"/>
              <w:spacing w:line="560" w:lineRule="exact"/>
              <w:jc w:val="left"/>
              <w:rPr>
                <w:rFonts w:ascii="仿宋_GB2312" w:hAnsi="仿宋" w:eastAsia="仿宋_GB2312" w:cs="宋体"/>
                <w:b/>
                <w:bCs/>
                <w:color w:val="000000" w:themeColor="text1"/>
                <w:kern w:val="0"/>
                <w:sz w:val="20"/>
                <w:szCs w:val="20"/>
                <w:highlight w:val="none"/>
                <w14:textFill>
                  <w14:solidFill>
                    <w14:schemeClr w14:val="tx1"/>
                  </w14:solidFill>
                </w14:textFill>
              </w:rPr>
            </w:pPr>
          </w:p>
        </w:tc>
        <w:tc>
          <w:tcPr>
            <w:tcW w:w="1797" w:type="dxa"/>
            <w:tcBorders>
              <w:top w:val="nil"/>
              <w:left w:val="nil"/>
              <w:bottom w:val="single" w:color="auto" w:sz="4" w:space="0"/>
              <w:right w:val="single" w:color="auto" w:sz="4" w:space="0"/>
            </w:tcBorders>
            <w:vAlign w:val="center"/>
          </w:tcPr>
          <w:p w14:paraId="41E3006D">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营业收入（Y）</w:t>
            </w:r>
          </w:p>
        </w:tc>
        <w:tc>
          <w:tcPr>
            <w:tcW w:w="849" w:type="dxa"/>
            <w:tcBorders>
              <w:top w:val="nil"/>
              <w:left w:val="nil"/>
              <w:bottom w:val="single" w:color="auto" w:sz="4" w:space="0"/>
              <w:right w:val="single" w:color="auto" w:sz="4" w:space="0"/>
            </w:tcBorders>
            <w:vAlign w:val="center"/>
          </w:tcPr>
          <w:p w14:paraId="0E0B1998">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万元</w:t>
            </w:r>
          </w:p>
        </w:tc>
        <w:tc>
          <w:tcPr>
            <w:tcW w:w="1867" w:type="dxa"/>
            <w:tcBorders>
              <w:top w:val="nil"/>
              <w:left w:val="nil"/>
              <w:bottom w:val="single" w:color="auto" w:sz="4" w:space="0"/>
              <w:right w:val="single" w:color="auto" w:sz="4" w:space="0"/>
            </w:tcBorders>
            <w:vAlign w:val="center"/>
          </w:tcPr>
          <w:p w14:paraId="0646ECD3">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1000≤Y＜5000</w:t>
            </w:r>
          </w:p>
        </w:tc>
        <w:tc>
          <w:tcPr>
            <w:tcW w:w="1659" w:type="dxa"/>
            <w:tcBorders>
              <w:top w:val="nil"/>
              <w:left w:val="nil"/>
              <w:bottom w:val="single" w:color="auto" w:sz="4" w:space="0"/>
              <w:right w:val="single" w:color="auto" w:sz="4" w:space="0"/>
            </w:tcBorders>
            <w:vAlign w:val="center"/>
          </w:tcPr>
          <w:p w14:paraId="545A9F7E">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500≤Y＜1000</w:t>
            </w:r>
          </w:p>
        </w:tc>
        <w:tc>
          <w:tcPr>
            <w:tcW w:w="1066" w:type="dxa"/>
            <w:tcBorders>
              <w:top w:val="nil"/>
              <w:left w:val="nil"/>
              <w:bottom w:val="single" w:color="auto" w:sz="4" w:space="0"/>
              <w:right w:val="single" w:color="auto" w:sz="4" w:space="0"/>
            </w:tcBorders>
            <w:vAlign w:val="center"/>
          </w:tcPr>
          <w:p w14:paraId="6A70331D">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Y＜500</w:t>
            </w:r>
          </w:p>
        </w:tc>
      </w:tr>
      <w:tr w14:paraId="171B7BFD">
        <w:tblPrEx>
          <w:tblCellMar>
            <w:top w:w="0" w:type="dxa"/>
            <w:left w:w="108" w:type="dxa"/>
            <w:bottom w:w="0" w:type="dxa"/>
            <w:right w:w="108" w:type="dxa"/>
          </w:tblCellMar>
        </w:tblPrEx>
        <w:trPr>
          <w:trHeight w:val="356" w:hRule="atLeast"/>
        </w:trPr>
        <w:tc>
          <w:tcPr>
            <w:tcW w:w="1960" w:type="dxa"/>
            <w:vMerge w:val="restart"/>
            <w:tcBorders>
              <w:top w:val="nil"/>
              <w:left w:val="single" w:color="auto" w:sz="4" w:space="0"/>
              <w:bottom w:val="single" w:color="auto" w:sz="4" w:space="0"/>
              <w:right w:val="single" w:color="auto" w:sz="4" w:space="0"/>
            </w:tcBorders>
            <w:vAlign w:val="bottom"/>
          </w:tcPr>
          <w:p w14:paraId="23EF5E37">
            <w:pPr>
              <w:pageBreakBefore w:val="0"/>
              <w:widowControl/>
              <w:wordWrap/>
              <w:topLinePunct w:val="0"/>
              <w:bidi w:val="0"/>
              <w:spacing w:line="560" w:lineRule="exact"/>
              <w:jc w:val="center"/>
              <w:rPr>
                <w:rFonts w:ascii="仿宋_GB2312" w:hAnsi="仿宋" w:eastAsia="仿宋_GB2312" w:cs="宋体"/>
                <w:b/>
                <w:bCs/>
                <w:color w:val="000000" w:themeColor="text1"/>
                <w:kern w:val="0"/>
                <w:sz w:val="20"/>
                <w:szCs w:val="20"/>
                <w:highlight w:val="none"/>
                <w14:textFill>
                  <w14:solidFill>
                    <w14:schemeClr w14:val="tx1"/>
                  </w14:solidFill>
                </w14:textFill>
              </w:rPr>
            </w:pPr>
            <w:r>
              <w:rPr>
                <w:rFonts w:hint="eastAsia" w:ascii="仿宋_GB2312" w:hAnsi="仿宋" w:eastAsia="仿宋_GB2312" w:cs="宋体"/>
                <w:b/>
                <w:bCs/>
                <w:color w:val="000000" w:themeColor="text1"/>
                <w:kern w:val="0"/>
                <w:sz w:val="20"/>
                <w:szCs w:val="20"/>
                <w:highlight w:val="none"/>
                <w14:textFill>
                  <w14:solidFill>
                    <w14:schemeClr w14:val="tx1"/>
                  </w14:solidFill>
                </w14:textFill>
              </w:rPr>
              <w:t>租赁和商务服务业</w:t>
            </w:r>
          </w:p>
        </w:tc>
        <w:tc>
          <w:tcPr>
            <w:tcW w:w="1797" w:type="dxa"/>
            <w:tcBorders>
              <w:top w:val="nil"/>
              <w:left w:val="nil"/>
              <w:bottom w:val="single" w:color="auto" w:sz="4" w:space="0"/>
              <w:right w:val="single" w:color="auto" w:sz="4" w:space="0"/>
            </w:tcBorders>
            <w:vAlign w:val="center"/>
          </w:tcPr>
          <w:p w14:paraId="578B9E0C">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从业人员（X）</w:t>
            </w:r>
          </w:p>
        </w:tc>
        <w:tc>
          <w:tcPr>
            <w:tcW w:w="849" w:type="dxa"/>
            <w:tcBorders>
              <w:top w:val="nil"/>
              <w:left w:val="nil"/>
              <w:bottom w:val="single" w:color="auto" w:sz="4" w:space="0"/>
              <w:right w:val="single" w:color="auto" w:sz="4" w:space="0"/>
            </w:tcBorders>
            <w:vAlign w:val="center"/>
          </w:tcPr>
          <w:p w14:paraId="312F133F">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人</w:t>
            </w:r>
          </w:p>
        </w:tc>
        <w:tc>
          <w:tcPr>
            <w:tcW w:w="1867" w:type="dxa"/>
            <w:tcBorders>
              <w:top w:val="nil"/>
              <w:left w:val="nil"/>
              <w:bottom w:val="single" w:color="auto" w:sz="4" w:space="0"/>
              <w:right w:val="single" w:color="auto" w:sz="4" w:space="0"/>
            </w:tcBorders>
            <w:vAlign w:val="center"/>
          </w:tcPr>
          <w:p w14:paraId="53ECC0AF">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100≤X＜300</w:t>
            </w:r>
          </w:p>
        </w:tc>
        <w:tc>
          <w:tcPr>
            <w:tcW w:w="1659" w:type="dxa"/>
            <w:tcBorders>
              <w:top w:val="nil"/>
              <w:left w:val="nil"/>
              <w:bottom w:val="single" w:color="auto" w:sz="4" w:space="0"/>
              <w:right w:val="single" w:color="auto" w:sz="4" w:space="0"/>
            </w:tcBorders>
            <w:vAlign w:val="center"/>
          </w:tcPr>
          <w:p w14:paraId="2005797D">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10≤X＜100</w:t>
            </w:r>
          </w:p>
        </w:tc>
        <w:tc>
          <w:tcPr>
            <w:tcW w:w="1066" w:type="dxa"/>
            <w:tcBorders>
              <w:top w:val="nil"/>
              <w:left w:val="nil"/>
              <w:bottom w:val="single" w:color="auto" w:sz="4" w:space="0"/>
              <w:right w:val="single" w:color="auto" w:sz="4" w:space="0"/>
            </w:tcBorders>
            <w:vAlign w:val="center"/>
          </w:tcPr>
          <w:p w14:paraId="6AA78929">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X＜10</w:t>
            </w:r>
          </w:p>
        </w:tc>
      </w:tr>
      <w:tr w14:paraId="48A757CB">
        <w:tblPrEx>
          <w:tblCellMar>
            <w:top w:w="0" w:type="dxa"/>
            <w:left w:w="108" w:type="dxa"/>
            <w:bottom w:w="0" w:type="dxa"/>
            <w:right w:w="108" w:type="dxa"/>
          </w:tblCellMar>
        </w:tblPrEx>
        <w:trPr>
          <w:trHeight w:val="356" w:hRule="atLeast"/>
        </w:trPr>
        <w:tc>
          <w:tcPr>
            <w:tcW w:w="1960" w:type="dxa"/>
            <w:vMerge w:val="continue"/>
            <w:tcBorders>
              <w:top w:val="nil"/>
              <w:left w:val="single" w:color="auto" w:sz="4" w:space="0"/>
              <w:bottom w:val="single" w:color="auto" w:sz="4" w:space="0"/>
              <w:right w:val="single" w:color="auto" w:sz="4" w:space="0"/>
            </w:tcBorders>
            <w:vAlign w:val="center"/>
          </w:tcPr>
          <w:p w14:paraId="00C8CBF4">
            <w:pPr>
              <w:pageBreakBefore w:val="0"/>
              <w:widowControl/>
              <w:wordWrap/>
              <w:topLinePunct w:val="0"/>
              <w:bidi w:val="0"/>
              <w:spacing w:line="560" w:lineRule="exact"/>
              <w:jc w:val="left"/>
              <w:rPr>
                <w:rFonts w:ascii="仿宋_GB2312" w:hAnsi="仿宋" w:eastAsia="仿宋_GB2312" w:cs="宋体"/>
                <w:b/>
                <w:bCs/>
                <w:color w:val="000000" w:themeColor="text1"/>
                <w:kern w:val="0"/>
                <w:sz w:val="20"/>
                <w:szCs w:val="20"/>
                <w:highlight w:val="none"/>
                <w14:textFill>
                  <w14:solidFill>
                    <w14:schemeClr w14:val="tx1"/>
                  </w14:solidFill>
                </w14:textFill>
              </w:rPr>
            </w:pPr>
          </w:p>
        </w:tc>
        <w:tc>
          <w:tcPr>
            <w:tcW w:w="1797" w:type="dxa"/>
            <w:tcBorders>
              <w:top w:val="nil"/>
              <w:left w:val="nil"/>
              <w:bottom w:val="single" w:color="auto" w:sz="4" w:space="0"/>
              <w:right w:val="single" w:color="auto" w:sz="4" w:space="0"/>
            </w:tcBorders>
            <w:vAlign w:val="center"/>
          </w:tcPr>
          <w:p w14:paraId="3187D59F">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资产总额（Z）</w:t>
            </w:r>
          </w:p>
        </w:tc>
        <w:tc>
          <w:tcPr>
            <w:tcW w:w="849" w:type="dxa"/>
            <w:tcBorders>
              <w:top w:val="nil"/>
              <w:left w:val="nil"/>
              <w:bottom w:val="single" w:color="auto" w:sz="4" w:space="0"/>
              <w:right w:val="single" w:color="auto" w:sz="4" w:space="0"/>
            </w:tcBorders>
            <w:vAlign w:val="center"/>
          </w:tcPr>
          <w:p w14:paraId="2FD64A56">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万元</w:t>
            </w:r>
          </w:p>
        </w:tc>
        <w:tc>
          <w:tcPr>
            <w:tcW w:w="1867" w:type="dxa"/>
            <w:tcBorders>
              <w:top w:val="nil"/>
              <w:left w:val="nil"/>
              <w:bottom w:val="single" w:color="auto" w:sz="4" w:space="0"/>
              <w:right w:val="single" w:color="auto" w:sz="4" w:space="0"/>
            </w:tcBorders>
            <w:vAlign w:val="center"/>
          </w:tcPr>
          <w:p w14:paraId="24152FDD">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8000≤Z＜120000</w:t>
            </w:r>
          </w:p>
        </w:tc>
        <w:tc>
          <w:tcPr>
            <w:tcW w:w="1659" w:type="dxa"/>
            <w:tcBorders>
              <w:top w:val="nil"/>
              <w:left w:val="nil"/>
              <w:bottom w:val="single" w:color="auto" w:sz="4" w:space="0"/>
              <w:right w:val="single" w:color="auto" w:sz="4" w:space="0"/>
            </w:tcBorders>
            <w:vAlign w:val="center"/>
          </w:tcPr>
          <w:p w14:paraId="7F11A47D">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100≤Z＜8000</w:t>
            </w:r>
          </w:p>
        </w:tc>
        <w:tc>
          <w:tcPr>
            <w:tcW w:w="1066" w:type="dxa"/>
            <w:tcBorders>
              <w:top w:val="nil"/>
              <w:left w:val="nil"/>
              <w:bottom w:val="single" w:color="auto" w:sz="4" w:space="0"/>
              <w:right w:val="single" w:color="auto" w:sz="4" w:space="0"/>
            </w:tcBorders>
            <w:vAlign w:val="center"/>
          </w:tcPr>
          <w:p w14:paraId="7BE9C0D1">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Y＜100</w:t>
            </w:r>
          </w:p>
        </w:tc>
      </w:tr>
      <w:tr w14:paraId="28244B2E">
        <w:tblPrEx>
          <w:tblCellMar>
            <w:top w:w="0" w:type="dxa"/>
            <w:left w:w="108" w:type="dxa"/>
            <w:bottom w:w="0" w:type="dxa"/>
            <w:right w:w="108" w:type="dxa"/>
          </w:tblCellMar>
        </w:tblPrEx>
        <w:trPr>
          <w:trHeight w:val="367" w:hRule="atLeast"/>
        </w:trPr>
        <w:tc>
          <w:tcPr>
            <w:tcW w:w="1960" w:type="dxa"/>
            <w:tcBorders>
              <w:top w:val="nil"/>
              <w:left w:val="single" w:color="auto" w:sz="4" w:space="0"/>
              <w:bottom w:val="single" w:color="auto" w:sz="4" w:space="0"/>
              <w:right w:val="single" w:color="auto" w:sz="4" w:space="0"/>
            </w:tcBorders>
            <w:vAlign w:val="bottom"/>
          </w:tcPr>
          <w:p w14:paraId="62BA84F5">
            <w:pPr>
              <w:pageBreakBefore w:val="0"/>
              <w:widowControl/>
              <w:wordWrap/>
              <w:topLinePunct w:val="0"/>
              <w:bidi w:val="0"/>
              <w:spacing w:line="560" w:lineRule="exact"/>
              <w:jc w:val="center"/>
              <w:rPr>
                <w:rFonts w:ascii="仿宋_GB2312" w:hAnsi="仿宋" w:eastAsia="仿宋_GB2312" w:cs="宋体"/>
                <w:b/>
                <w:bCs/>
                <w:color w:val="000000" w:themeColor="text1"/>
                <w:kern w:val="0"/>
                <w:sz w:val="20"/>
                <w:szCs w:val="20"/>
                <w:highlight w:val="none"/>
                <w14:textFill>
                  <w14:solidFill>
                    <w14:schemeClr w14:val="tx1"/>
                  </w14:solidFill>
                </w14:textFill>
              </w:rPr>
            </w:pPr>
            <w:r>
              <w:rPr>
                <w:rFonts w:hint="eastAsia" w:ascii="仿宋_GB2312" w:hAnsi="仿宋" w:eastAsia="仿宋_GB2312" w:cs="宋体"/>
                <w:b/>
                <w:bCs/>
                <w:color w:val="000000" w:themeColor="text1"/>
                <w:kern w:val="0"/>
                <w:sz w:val="20"/>
                <w:szCs w:val="20"/>
                <w:highlight w:val="none"/>
                <w14:textFill>
                  <w14:solidFill>
                    <w14:schemeClr w14:val="tx1"/>
                  </w14:solidFill>
                </w14:textFill>
              </w:rPr>
              <w:t>其他未列明行业</w:t>
            </w:r>
          </w:p>
        </w:tc>
        <w:tc>
          <w:tcPr>
            <w:tcW w:w="1797" w:type="dxa"/>
            <w:tcBorders>
              <w:top w:val="nil"/>
              <w:left w:val="nil"/>
              <w:bottom w:val="single" w:color="auto" w:sz="4" w:space="0"/>
              <w:right w:val="single" w:color="auto" w:sz="4" w:space="0"/>
            </w:tcBorders>
            <w:vAlign w:val="center"/>
          </w:tcPr>
          <w:p w14:paraId="3C465349">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从业人员（X）</w:t>
            </w:r>
          </w:p>
        </w:tc>
        <w:tc>
          <w:tcPr>
            <w:tcW w:w="849" w:type="dxa"/>
            <w:tcBorders>
              <w:top w:val="nil"/>
              <w:left w:val="nil"/>
              <w:bottom w:val="single" w:color="auto" w:sz="4" w:space="0"/>
              <w:right w:val="single" w:color="auto" w:sz="4" w:space="0"/>
            </w:tcBorders>
            <w:vAlign w:val="center"/>
          </w:tcPr>
          <w:p w14:paraId="243DCA80">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人</w:t>
            </w:r>
          </w:p>
        </w:tc>
        <w:tc>
          <w:tcPr>
            <w:tcW w:w="1867" w:type="dxa"/>
            <w:tcBorders>
              <w:top w:val="nil"/>
              <w:left w:val="nil"/>
              <w:bottom w:val="single" w:color="auto" w:sz="4" w:space="0"/>
              <w:right w:val="single" w:color="auto" w:sz="4" w:space="0"/>
            </w:tcBorders>
            <w:vAlign w:val="center"/>
          </w:tcPr>
          <w:p w14:paraId="0857E90C">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100≤X＜300</w:t>
            </w:r>
          </w:p>
        </w:tc>
        <w:tc>
          <w:tcPr>
            <w:tcW w:w="1659" w:type="dxa"/>
            <w:tcBorders>
              <w:top w:val="nil"/>
              <w:left w:val="nil"/>
              <w:bottom w:val="single" w:color="auto" w:sz="4" w:space="0"/>
              <w:right w:val="single" w:color="auto" w:sz="4" w:space="0"/>
            </w:tcBorders>
            <w:vAlign w:val="center"/>
          </w:tcPr>
          <w:p w14:paraId="58676600">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10≤X＜100</w:t>
            </w:r>
          </w:p>
        </w:tc>
        <w:tc>
          <w:tcPr>
            <w:tcW w:w="1066" w:type="dxa"/>
            <w:tcBorders>
              <w:top w:val="nil"/>
              <w:left w:val="nil"/>
              <w:bottom w:val="single" w:color="auto" w:sz="4" w:space="0"/>
              <w:right w:val="single" w:color="auto" w:sz="4" w:space="0"/>
            </w:tcBorders>
            <w:vAlign w:val="center"/>
          </w:tcPr>
          <w:p w14:paraId="4564BCBE">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X＜10</w:t>
            </w:r>
          </w:p>
        </w:tc>
      </w:tr>
    </w:tbl>
    <w:p w14:paraId="4E81BEBA">
      <w:pPr>
        <w:pageBreakBefore w:val="0"/>
        <w:wordWrap/>
        <w:topLinePunct w:val="0"/>
        <w:bidi w:val="0"/>
        <w:spacing w:line="560" w:lineRule="exact"/>
        <w:ind w:firstLine="550" w:firstLineChars="250"/>
        <w:rPr>
          <w:rFonts w:ascii="仿宋_GB2312" w:hAnsi="仿宋" w:eastAsia="仿宋_GB2312"/>
          <w:color w:val="000000" w:themeColor="text1"/>
          <w:szCs w:val="21"/>
          <w:highlight w:val="none"/>
          <w14:textFill>
            <w14:solidFill>
              <w14:schemeClr w14:val="tx1"/>
            </w14:solidFill>
          </w14:textFill>
        </w:rPr>
      </w:pPr>
      <w:r>
        <w:rPr>
          <w:rFonts w:hint="eastAsia" w:ascii="仿宋_GB2312" w:hAnsi="仿宋" w:eastAsia="仿宋_GB2312"/>
          <w:color w:val="000000" w:themeColor="text1"/>
          <w:sz w:val="22"/>
          <w:szCs w:val="22"/>
          <w:highlight w:val="none"/>
          <w14:textFill>
            <w14:solidFill>
              <w14:schemeClr w14:val="tx1"/>
            </w14:solidFill>
          </w14:textFill>
        </w:rPr>
        <w:t>说明：上述标准参照《关于印发中小企业划型标准规定的通知》（工信部联企业[2011]300号），大型、中型和小型企业须同时满足所列指标的下限，否则下划一档；微型企业只须满足所列指标中的一项即可。</w:t>
      </w:r>
    </w:p>
    <w:p w14:paraId="31323FB1">
      <w:pPr>
        <w:bidi w:val="0"/>
        <w:rPr>
          <w:rFonts w:hint="eastAsia"/>
          <w:color w:val="000000" w:themeColor="text1"/>
          <w14:textFill>
            <w14:solidFill>
              <w14:schemeClr w14:val="tx1"/>
            </w14:solidFill>
          </w14:textFill>
        </w:rPr>
      </w:pPr>
      <w:bookmarkStart w:id="234" w:name="_Toc10243"/>
    </w:p>
    <w:p w14:paraId="2DB406DF">
      <w:pPr>
        <w:bidi w:val="0"/>
        <w:rPr>
          <w:rFonts w:hint="eastAsia"/>
          <w:color w:val="000000" w:themeColor="text1"/>
          <w14:textFill>
            <w14:solidFill>
              <w14:schemeClr w14:val="tx1"/>
            </w14:solidFill>
          </w14:textFill>
        </w:rPr>
      </w:pPr>
    </w:p>
    <w:p w14:paraId="298FB996">
      <w:pPr>
        <w:bidi w:val="0"/>
        <w:rPr>
          <w:rFonts w:hint="eastAsia"/>
          <w:color w:val="000000" w:themeColor="text1"/>
          <w14:textFill>
            <w14:solidFill>
              <w14:schemeClr w14:val="tx1"/>
            </w14:solidFill>
          </w14:textFill>
        </w:rPr>
      </w:pPr>
    </w:p>
    <w:p w14:paraId="01C4F39A">
      <w:pPr>
        <w:bidi w:val="0"/>
        <w:rPr>
          <w:rFonts w:hint="eastAsia"/>
          <w:color w:val="000000" w:themeColor="text1"/>
          <w14:textFill>
            <w14:solidFill>
              <w14:schemeClr w14:val="tx1"/>
            </w14:solidFill>
          </w14:textFill>
        </w:rPr>
      </w:pPr>
    </w:p>
    <w:p w14:paraId="79A053A6">
      <w:pPr>
        <w:bidi w:val="0"/>
        <w:rPr>
          <w:rFonts w:hint="eastAsia"/>
          <w:color w:val="000000" w:themeColor="text1"/>
          <w14:textFill>
            <w14:solidFill>
              <w14:schemeClr w14:val="tx1"/>
            </w14:solidFill>
          </w14:textFill>
        </w:rPr>
      </w:pPr>
    </w:p>
    <w:p w14:paraId="1A018C32">
      <w:pPr>
        <w:bidi w:val="0"/>
        <w:rPr>
          <w:rFonts w:hint="eastAsia"/>
          <w:color w:val="000000" w:themeColor="text1"/>
          <w14:textFill>
            <w14:solidFill>
              <w14:schemeClr w14:val="tx1"/>
            </w14:solidFill>
          </w14:textFill>
        </w:rPr>
      </w:pPr>
    </w:p>
    <w:p w14:paraId="118D3839">
      <w:pPr>
        <w:bidi w:val="0"/>
        <w:rPr>
          <w:rFonts w:hint="eastAsia"/>
          <w:color w:val="000000" w:themeColor="text1"/>
          <w14:textFill>
            <w14:solidFill>
              <w14:schemeClr w14:val="tx1"/>
            </w14:solidFill>
          </w14:textFill>
        </w:rPr>
      </w:pPr>
    </w:p>
    <w:p w14:paraId="388D3904">
      <w:pPr>
        <w:bidi w:val="0"/>
        <w:rPr>
          <w:rFonts w:hint="eastAsia"/>
          <w:color w:val="000000" w:themeColor="text1"/>
          <w14:textFill>
            <w14:solidFill>
              <w14:schemeClr w14:val="tx1"/>
            </w14:solidFill>
          </w14:textFill>
        </w:rPr>
      </w:pPr>
    </w:p>
    <w:p w14:paraId="75E02D17">
      <w:pPr>
        <w:bidi w:val="0"/>
        <w:rPr>
          <w:rFonts w:hint="eastAsia"/>
          <w:color w:val="000000" w:themeColor="text1"/>
          <w14:textFill>
            <w14:solidFill>
              <w14:schemeClr w14:val="tx1"/>
            </w14:solidFill>
          </w14:textFill>
        </w:rPr>
      </w:pPr>
    </w:p>
    <w:p w14:paraId="1CF25DAB">
      <w:pPr>
        <w:bidi w:val="0"/>
        <w:rPr>
          <w:rFonts w:hint="eastAsia"/>
          <w:color w:val="000000" w:themeColor="text1"/>
          <w14:textFill>
            <w14:solidFill>
              <w14:schemeClr w14:val="tx1"/>
            </w14:solidFill>
          </w14:textFill>
        </w:rPr>
      </w:pPr>
    </w:p>
    <w:p w14:paraId="17094F91">
      <w:pPr>
        <w:bidi w:val="0"/>
        <w:rPr>
          <w:rFonts w:hint="eastAsia"/>
          <w:color w:val="000000" w:themeColor="text1"/>
          <w14:textFill>
            <w14:solidFill>
              <w14:schemeClr w14:val="tx1"/>
            </w14:solidFill>
          </w14:textFill>
        </w:rPr>
      </w:pPr>
    </w:p>
    <w:p w14:paraId="69A08B2A">
      <w:pPr>
        <w:bidi w:val="0"/>
        <w:rPr>
          <w:rFonts w:hint="eastAsia"/>
          <w:color w:val="000000" w:themeColor="text1"/>
          <w14:textFill>
            <w14:solidFill>
              <w14:schemeClr w14:val="tx1"/>
            </w14:solidFill>
          </w14:textFill>
        </w:rPr>
      </w:pPr>
    </w:p>
    <w:p w14:paraId="3545B3B1">
      <w:pPr>
        <w:bidi w:val="0"/>
        <w:rPr>
          <w:rFonts w:hint="eastAsia"/>
          <w:color w:val="000000" w:themeColor="text1"/>
          <w14:textFill>
            <w14:solidFill>
              <w14:schemeClr w14:val="tx1"/>
            </w14:solidFill>
          </w14:textFill>
        </w:rPr>
      </w:pPr>
    </w:p>
    <w:p w14:paraId="6CB159AB">
      <w:pPr>
        <w:bidi w:val="0"/>
        <w:rPr>
          <w:rFonts w:hint="eastAsia"/>
          <w:color w:val="000000" w:themeColor="text1"/>
          <w14:textFill>
            <w14:solidFill>
              <w14:schemeClr w14:val="tx1"/>
            </w14:solidFill>
          </w14:textFill>
        </w:rPr>
      </w:pPr>
    </w:p>
    <w:p w14:paraId="6778BADE">
      <w:pPr>
        <w:bidi w:val="0"/>
        <w:rPr>
          <w:rFonts w:hint="eastAsia"/>
          <w:color w:val="000000" w:themeColor="text1"/>
          <w14:textFill>
            <w14:solidFill>
              <w14:schemeClr w14:val="tx1"/>
            </w14:solidFill>
          </w14:textFill>
        </w:rPr>
      </w:pPr>
    </w:p>
    <w:p w14:paraId="0BEAEB42">
      <w:pPr>
        <w:bidi w:val="0"/>
        <w:rPr>
          <w:rFonts w:hint="eastAsia"/>
          <w:color w:val="000000" w:themeColor="text1"/>
          <w14:textFill>
            <w14:solidFill>
              <w14:schemeClr w14:val="tx1"/>
            </w14:solidFill>
          </w14:textFill>
        </w:rPr>
      </w:pPr>
    </w:p>
    <w:p w14:paraId="43BC97B9">
      <w:pPr>
        <w:bidi w:val="0"/>
        <w:rPr>
          <w:rFonts w:hint="eastAsia"/>
          <w:color w:val="000000" w:themeColor="text1"/>
          <w14:textFill>
            <w14:solidFill>
              <w14:schemeClr w14:val="tx1"/>
            </w14:solidFill>
          </w14:textFill>
        </w:rPr>
      </w:pPr>
    </w:p>
    <w:p w14:paraId="45E7EADA">
      <w:pPr>
        <w:bidi w:val="0"/>
        <w:rPr>
          <w:rFonts w:hint="eastAsia"/>
          <w:color w:val="000000" w:themeColor="text1"/>
          <w14:textFill>
            <w14:solidFill>
              <w14:schemeClr w14:val="tx1"/>
            </w14:solidFill>
          </w14:textFill>
        </w:rPr>
      </w:pPr>
    </w:p>
    <w:p w14:paraId="7A584164">
      <w:pPr>
        <w:bidi w:val="0"/>
        <w:rPr>
          <w:rFonts w:hint="eastAsia"/>
          <w:color w:val="000000" w:themeColor="text1"/>
          <w14:textFill>
            <w14:solidFill>
              <w14:schemeClr w14:val="tx1"/>
            </w14:solidFill>
          </w14:textFill>
        </w:rPr>
      </w:pPr>
    </w:p>
    <w:p w14:paraId="512A95ED">
      <w:pPr>
        <w:bidi w:val="0"/>
        <w:rPr>
          <w:rFonts w:hint="eastAsia"/>
          <w:color w:val="000000" w:themeColor="text1"/>
          <w14:textFill>
            <w14:solidFill>
              <w14:schemeClr w14:val="tx1"/>
            </w14:solidFill>
          </w14:textFill>
        </w:rPr>
      </w:pPr>
    </w:p>
    <w:p w14:paraId="770D39BD">
      <w:pPr>
        <w:bidi w:val="0"/>
        <w:rPr>
          <w:rFonts w:hint="eastAsia"/>
          <w:color w:val="000000" w:themeColor="text1"/>
          <w14:textFill>
            <w14:solidFill>
              <w14:schemeClr w14:val="tx1"/>
            </w14:solidFill>
          </w14:textFill>
        </w:rPr>
      </w:pPr>
    </w:p>
    <w:p w14:paraId="7970F05C">
      <w:pPr>
        <w:bidi w:val="0"/>
        <w:rPr>
          <w:rFonts w:hint="eastAsia"/>
          <w:color w:val="000000" w:themeColor="text1"/>
          <w14:textFill>
            <w14:solidFill>
              <w14:schemeClr w14:val="tx1"/>
            </w14:solidFill>
          </w14:textFill>
        </w:rPr>
      </w:pPr>
    </w:p>
    <w:p w14:paraId="564953F8">
      <w:pPr>
        <w:bidi w:val="0"/>
        <w:rPr>
          <w:rFonts w:hint="eastAsia"/>
          <w:color w:val="000000" w:themeColor="text1"/>
          <w14:textFill>
            <w14:solidFill>
              <w14:schemeClr w14:val="tx1"/>
            </w14:solidFill>
          </w14:textFill>
        </w:rPr>
      </w:pPr>
    </w:p>
    <w:p w14:paraId="7F33E907">
      <w:pPr>
        <w:pStyle w:val="4"/>
        <w:keepNext w:val="0"/>
        <w:keepLines w:val="0"/>
        <w:pageBreakBefore w:val="0"/>
        <w:wordWrap/>
        <w:topLinePunct w:val="0"/>
        <w:bidi w:val="0"/>
        <w:spacing w:line="560" w:lineRule="exact"/>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第</w:t>
      </w:r>
      <w:r>
        <w:rPr>
          <w:rFonts w:hint="eastAsia"/>
          <w:color w:val="000000" w:themeColor="text1"/>
          <w:highlight w:val="none"/>
          <w:lang w:eastAsia="zh-CN"/>
          <w14:textFill>
            <w14:solidFill>
              <w14:schemeClr w14:val="tx1"/>
            </w14:solidFill>
          </w14:textFill>
        </w:rPr>
        <w:t>三</w:t>
      </w:r>
      <w:r>
        <w:rPr>
          <w:rFonts w:hint="eastAsia"/>
          <w:color w:val="000000" w:themeColor="text1"/>
          <w:highlight w:val="none"/>
          <w14:textFill>
            <w14:solidFill>
              <w14:schemeClr w14:val="tx1"/>
            </w14:solidFill>
          </w14:textFill>
        </w:rPr>
        <w:t>节 商务文件格式</w:t>
      </w:r>
      <w:bookmarkEnd w:id="230"/>
      <w:bookmarkEnd w:id="231"/>
      <w:bookmarkEnd w:id="232"/>
      <w:bookmarkEnd w:id="233"/>
      <w:bookmarkEnd w:id="234"/>
    </w:p>
    <w:p w14:paraId="1D1DC5A9">
      <w:pPr>
        <w:pageBreakBefore w:val="0"/>
        <w:wordWrap/>
        <w:topLinePunct w:val="0"/>
        <w:bidi w:val="0"/>
        <w:snapToGrid w:val="0"/>
        <w:spacing w:before="120" w:beforeLines="50" w:after="50" w:line="560" w:lineRule="exact"/>
        <w:ind w:left="420"/>
        <w:jc w:val="center"/>
        <w:rPr>
          <w:rFonts w:ascii="宋体" w:hAnsi="宋体"/>
          <w:b/>
          <w:color w:val="000000" w:themeColor="text1"/>
          <w:szCs w:val="21"/>
          <w:highlight w:val="none"/>
          <w14:textFill>
            <w14:solidFill>
              <w14:schemeClr w14:val="tx1"/>
            </w14:solidFill>
          </w14:textFill>
        </w:rPr>
      </w:pPr>
      <w:r>
        <w:rPr>
          <w:rFonts w:hint="eastAsia" w:asciiTheme="minorEastAsia" w:hAnsiTheme="minorEastAsia" w:eastAsiaTheme="minorEastAsia"/>
          <w:b/>
          <w:bCs/>
          <w:color w:val="000000" w:themeColor="text1"/>
          <w:sz w:val="30"/>
          <w:szCs w:val="30"/>
          <w:highlight w:val="none"/>
          <w14:textFill>
            <w14:solidFill>
              <w14:schemeClr w14:val="tx1"/>
            </w14:solidFill>
          </w14:textFill>
        </w:rPr>
        <w:t>一、无串标行为承诺函</w:t>
      </w:r>
    </w:p>
    <w:p w14:paraId="4365737C">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asciiTheme="minorEastAsia" w:hAnsiTheme="minorEastAsia" w:eastAsia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b/>
          <w:color w:val="000000" w:themeColor="text1"/>
          <w:sz w:val="28"/>
          <w:szCs w:val="28"/>
          <w:highlight w:val="none"/>
          <w14:textFill>
            <w14:solidFill>
              <w14:schemeClr w14:val="tx1"/>
            </w14:solidFill>
          </w14:textFill>
        </w:rPr>
        <w:t>一、我方承诺无下列相互串通投标的情形：</w:t>
      </w:r>
    </w:p>
    <w:p w14:paraId="4A10F173">
      <w:pPr>
        <w:keepNext w:val="0"/>
        <w:keepLines w:val="0"/>
        <w:pageBreakBefore w:val="0"/>
        <w:widowControl w:val="0"/>
        <w:kinsoku/>
        <w:wordWrap/>
        <w:overflowPunct/>
        <w:topLinePunct w:val="0"/>
        <w:autoSpaceDE/>
        <w:autoSpaceDN/>
        <w:bidi w:val="0"/>
        <w:adjustRightInd w:val="0"/>
        <w:snapToGrid w:val="0"/>
        <w:spacing w:line="560" w:lineRule="exact"/>
        <w:ind w:firstLine="548" w:firstLineChars="196"/>
        <w:jc w:val="both"/>
        <w:textAlignment w:val="auto"/>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1.不同</w:t>
      </w:r>
      <w:r>
        <w:rPr>
          <w:rFonts w:hint="eastAsia" w:asciiTheme="minorEastAsia" w:hAnsiTheme="minorEastAsia" w:eastAsiaTheme="minorEastAsia"/>
          <w:color w:val="000000" w:themeColor="text1"/>
          <w:sz w:val="28"/>
          <w:szCs w:val="28"/>
          <w:highlight w:val="none"/>
          <w:lang w:eastAsia="zh-CN"/>
          <w14:textFill>
            <w14:solidFill>
              <w14:schemeClr w14:val="tx1"/>
            </w14:solidFill>
          </w14:textFill>
        </w:rPr>
        <w:t>供应商</w:t>
      </w:r>
      <w:r>
        <w:rPr>
          <w:rFonts w:hint="eastAsia" w:asciiTheme="minorEastAsia" w:hAnsiTheme="minorEastAsia" w:eastAsiaTheme="minorEastAsia"/>
          <w:color w:val="000000" w:themeColor="text1"/>
          <w:sz w:val="28"/>
          <w:szCs w:val="28"/>
          <w:highlight w:val="none"/>
          <w14:textFill>
            <w14:solidFill>
              <w14:schemeClr w14:val="tx1"/>
            </w14:solidFill>
          </w14:textFill>
        </w:rPr>
        <w:t>的投标文件由同一单位或者个人编制；或者不同</w:t>
      </w:r>
      <w:r>
        <w:rPr>
          <w:rFonts w:hint="eastAsia" w:asciiTheme="minorEastAsia" w:hAnsiTheme="minorEastAsia" w:eastAsiaTheme="minorEastAsia"/>
          <w:color w:val="000000" w:themeColor="text1"/>
          <w:sz w:val="28"/>
          <w:szCs w:val="28"/>
          <w:highlight w:val="none"/>
          <w:lang w:eastAsia="zh-CN"/>
          <w14:textFill>
            <w14:solidFill>
              <w14:schemeClr w14:val="tx1"/>
            </w14:solidFill>
          </w14:textFill>
        </w:rPr>
        <w:t>供应商</w:t>
      </w:r>
      <w:r>
        <w:rPr>
          <w:rFonts w:hint="eastAsia" w:asciiTheme="minorEastAsia" w:hAnsiTheme="minorEastAsia" w:eastAsiaTheme="minorEastAsia"/>
          <w:color w:val="000000" w:themeColor="text1"/>
          <w:sz w:val="28"/>
          <w:szCs w:val="28"/>
          <w:highlight w:val="none"/>
          <w14:textFill>
            <w14:solidFill>
              <w14:schemeClr w14:val="tx1"/>
            </w14:solidFill>
          </w14:textFill>
        </w:rPr>
        <w:t>报名的IP地址一致的；或者编制标书硬件设备CPU编号、硬盘编号、网卡地址一致的情况。</w:t>
      </w:r>
    </w:p>
    <w:p w14:paraId="2984661A">
      <w:pPr>
        <w:keepNext w:val="0"/>
        <w:keepLines w:val="0"/>
        <w:pageBreakBefore w:val="0"/>
        <w:widowControl w:val="0"/>
        <w:kinsoku/>
        <w:wordWrap/>
        <w:overflowPunct/>
        <w:topLinePunct w:val="0"/>
        <w:autoSpaceDE/>
        <w:autoSpaceDN/>
        <w:bidi w:val="0"/>
        <w:adjustRightInd w:val="0"/>
        <w:snapToGrid w:val="0"/>
        <w:spacing w:line="560" w:lineRule="exact"/>
        <w:ind w:firstLine="548" w:firstLineChars="196"/>
        <w:jc w:val="both"/>
        <w:textAlignment w:val="auto"/>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2.不同</w:t>
      </w:r>
      <w:r>
        <w:rPr>
          <w:rFonts w:hint="eastAsia" w:asciiTheme="minorEastAsia" w:hAnsiTheme="minorEastAsia" w:eastAsiaTheme="minorEastAsia"/>
          <w:color w:val="000000" w:themeColor="text1"/>
          <w:sz w:val="28"/>
          <w:szCs w:val="28"/>
          <w:highlight w:val="none"/>
          <w:lang w:eastAsia="zh-CN"/>
          <w14:textFill>
            <w14:solidFill>
              <w14:schemeClr w14:val="tx1"/>
            </w14:solidFill>
          </w14:textFill>
        </w:rPr>
        <w:t>供应商</w:t>
      </w:r>
      <w:r>
        <w:rPr>
          <w:rFonts w:hint="eastAsia" w:asciiTheme="minorEastAsia" w:hAnsiTheme="minorEastAsia" w:eastAsiaTheme="minorEastAsia"/>
          <w:color w:val="000000" w:themeColor="text1"/>
          <w:sz w:val="28"/>
          <w:szCs w:val="28"/>
          <w:highlight w:val="none"/>
          <w14:textFill>
            <w14:solidFill>
              <w14:schemeClr w14:val="tx1"/>
            </w14:solidFill>
          </w14:textFill>
        </w:rPr>
        <w:t>委托同一单位或者个人办理投标事宜；</w:t>
      </w:r>
    </w:p>
    <w:p w14:paraId="164DD63B">
      <w:pPr>
        <w:keepNext w:val="0"/>
        <w:keepLines w:val="0"/>
        <w:pageBreakBefore w:val="0"/>
        <w:widowControl w:val="0"/>
        <w:kinsoku/>
        <w:wordWrap/>
        <w:overflowPunct/>
        <w:topLinePunct w:val="0"/>
        <w:autoSpaceDE/>
        <w:autoSpaceDN/>
        <w:bidi w:val="0"/>
        <w:adjustRightInd w:val="0"/>
        <w:snapToGrid w:val="0"/>
        <w:spacing w:line="560" w:lineRule="exact"/>
        <w:ind w:firstLine="548" w:firstLineChars="196"/>
        <w:jc w:val="both"/>
        <w:textAlignment w:val="auto"/>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3.不同的</w:t>
      </w:r>
      <w:r>
        <w:rPr>
          <w:rFonts w:hint="eastAsia" w:asciiTheme="minorEastAsia" w:hAnsiTheme="minorEastAsia" w:eastAsiaTheme="minorEastAsia"/>
          <w:color w:val="000000" w:themeColor="text1"/>
          <w:sz w:val="28"/>
          <w:szCs w:val="28"/>
          <w:highlight w:val="none"/>
          <w:lang w:eastAsia="zh-CN"/>
          <w14:textFill>
            <w14:solidFill>
              <w14:schemeClr w14:val="tx1"/>
            </w14:solidFill>
          </w14:textFill>
        </w:rPr>
        <w:t>供应商</w:t>
      </w:r>
      <w:r>
        <w:rPr>
          <w:rFonts w:hint="eastAsia" w:asciiTheme="minorEastAsia" w:hAnsiTheme="minorEastAsia" w:eastAsiaTheme="minorEastAsia"/>
          <w:color w:val="000000" w:themeColor="text1"/>
          <w:sz w:val="28"/>
          <w:szCs w:val="28"/>
          <w:highlight w:val="none"/>
          <w14:textFill>
            <w14:solidFill>
              <w14:schemeClr w14:val="tx1"/>
            </w14:solidFill>
          </w14:textFill>
        </w:rPr>
        <w:t>的投标文件载明的项目管理员为同一个人；</w:t>
      </w:r>
    </w:p>
    <w:p w14:paraId="71BEDE11">
      <w:pPr>
        <w:keepNext w:val="0"/>
        <w:keepLines w:val="0"/>
        <w:pageBreakBefore w:val="0"/>
        <w:widowControl w:val="0"/>
        <w:kinsoku/>
        <w:wordWrap/>
        <w:overflowPunct/>
        <w:topLinePunct w:val="0"/>
        <w:autoSpaceDE/>
        <w:autoSpaceDN/>
        <w:bidi w:val="0"/>
        <w:adjustRightInd w:val="0"/>
        <w:snapToGrid w:val="0"/>
        <w:spacing w:line="560" w:lineRule="exact"/>
        <w:ind w:firstLine="548" w:firstLineChars="196"/>
        <w:jc w:val="both"/>
        <w:textAlignment w:val="auto"/>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4.不同</w:t>
      </w:r>
      <w:r>
        <w:rPr>
          <w:rFonts w:hint="eastAsia" w:asciiTheme="minorEastAsia" w:hAnsiTheme="minorEastAsia" w:eastAsiaTheme="minorEastAsia"/>
          <w:color w:val="000000" w:themeColor="text1"/>
          <w:sz w:val="28"/>
          <w:szCs w:val="28"/>
          <w:highlight w:val="none"/>
          <w:lang w:eastAsia="zh-CN"/>
          <w14:textFill>
            <w14:solidFill>
              <w14:schemeClr w14:val="tx1"/>
            </w14:solidFill>
          </w14:textFill>
        </w:rPr>
        <w:t>供应商</w:t>
      </w:r>
      <w:r>
        <w:rPr>
          <w:rFonts w:hint="eastAsia" w:asciiTheme="minorEastAsia" w:hAnsiTheme="minorEastAsia" w:eastAsiaTheme="minorEastAsia"/>
          <w:color w:val="000000" w:themeColor="text1"/>
          <w:sz w:val="28"/>
          <w:szCs w:val="28"/>
          <w:highlight w:val="none"/>
          <w14:textFill>
            <w14:solidFill>
              <w14:schemeClr w14:val="tx1"/>
            </w14:solidFill>
          </w14:textFill>
        </w:rPr>
        <w:t>的投标文件异常一致或者投标报价呈规律性差异；</w:t>
      </w:r>
    </w:p>
    <w:p w14:paraId="174F5243">
      <w:pPr>
        <w:keepNext w:val="0"/>
        <w:keepLines w:val="0"/>
        <w:pageBreakBefore w:val="0"/>
        <w:widowControl w:val="0"/>
        <w:kinsoku/>
        <w:wordWrap/>
        <w:overflowPunct/>
        <w:topLinePunct w:val="0"/>
        <w:autoSpaceDE/>
        <w:autoSpaceDN/>
        <w:bidi w:val="0"/>
        <w:adjustRightInd w:val="0"/>
        <w:snapToGrid w:val="0"/>
        <w:spacing w:line="560" w:lineRule="exact"/>
        <w:ind w:firstLine="548" w:firstLineChars="196"/>
        <w:jc w:val="both"/>
        <w:textAlignment w:val="auto"/>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5.不同</w:t>
      </w:r>
      <w:r>
        <w:rPr>
          <w:rFonts w:hint="eastAsia" w:asciiTheme="minorEastAsia" w:hAnsiTheme="minorEastAsia" w:eastAsiaTheme="minorEastAsia"/>
          <w:color w:val="000000" w:themeColor="text1"/>
          <w:sz w:val="28"/>
          <w:szCs w:val="28"/>
          <w:highlight w:val="none"/>
          <w:lang w:eastAsia="zh-CN"/>
          <w14:textFill>
            <w14:solidFill>
              <w14:schemeClr w14:val="tx1"/>
            </w14:solidFill>
          </w14:textFill>
        </w:rPr>
        <w:t>供应商</w:t>
      </w:r>
      <w:r>
        <w:rPr>
          <w:rFonts w:hint="eastAsia" w:asciiTheme="minorEastAsia" w:hAnsiTheme="minorEastAsia" w:eastAsiaTheme="minorEastAsia"/>
          <w:color w:val="000000" w:themeColor="text1"/>
          <w:sz w:val="28"/>
          <w:szCs w:val="28"/>
          <w:highlight w:val="none"/>
          <w14:textFill>
            <w14:solidFill>
              <w14:schemeClr w14:val="tx1"/>
            </w14:solidFill>
          </w14:textFill>
        </w:rPr>
        <w:t>的投标文件相互混装；</w:t>
      </w:r>
    </w:p>
    <w:p w14:paraId="6AF67A6D">
      <w:pPr>
        <w:keepNext w:val="0"/>
        <w:keepLines w:val="0"/>
        <w:pageBreakBefore w:val="0"/>
        <w:widowControl w:val="0"/>
        <w:kinsoku/>
        <w:wordWrap/>
        <w:overflowPunct/>
        <w:topLinePunct w:val="0"/>
        <w:autoSpaceDE/>
        <w:autoSpaceDN/>
        <w:bidi w:val="0"/>
        <w:adjustRightInd w:val="0"/>
        <w:snapToGrid w:val="0"/>
        <w:spacing w:line="560" w:lineRule="exact"/>
        <w:ind w:firstLine="548" w:firstLineChars="196"/>
        <w:jc w:val="both"/>
        <w:textAlignment w:val="auto"/>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6.不同</w:t>
      </w:r>
      <w:r>
        <w:rPr>
          <w:rFonts w:hint="eastAsia" w:asciiTheme="minorEastAsia" w:hAnsiTheme="minorEastAsia" w:eastAsiaTheme="minorEastAsia"/>
          <w:color w:val="000000" w:themeColor="text1"/>
          <w:sz w:val="28"/>
          <w:szCs w:val="28"/>
          <w:highlight w:val="none"/>
          <w:lang w:eastAsia="zh-CN"/>
          <w14:textFill>
            <w14:solidFill>
              <w14:schemeClr w14:val="tx1"/>
            </w14:solidFill>
          </w14:textFill>
        </w:rPr>
        <w:t>供应商</w:t>
      </w:r>
      <w:r>
        <w:rPr>
          <w:rFonts w:hint="eastAsia" w:asciiTheme="minorEastAsia" w:hAnsiTheme="minorEastAsia" w:eastAsiaTheme="minorEastAsia"/>
          <w:color w:val="000000" w:themeColor="text1"/>
          <w:sz w:val="28"/>
          <w:szCs w:val="28"/>
          <w:highlight w:val="none"/>
          <w14:textFill>
            <w14:solidFill>
              <w14:schemeClr w14:val="tx1"/>
            </w14:solidFill>
          </w14:textFill>
        </w:rPr>
        <w:t>的投标保证金从同一单位或者个人账户转出。</w:t>
      </w:r>
    </w:p>
    <w:p w14:paraId="15C72778">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b/>
          <w:color w:val="000000" w:themeColor="text1"/>
          <w:sz w:val="28"/>
          <w:szCs w:val="28"/>
          <w:highlight w:val="none"/>
          <w14:textFill>
            <w14:solidFill>
              <w14:schemeClr w14:val="tx1"/>
            </w14:solidFill>
          </w14:textFill>
        </w:rPr>
        <w:t>二、我方承诺无下列恶意串通的情形：</w:t>
      </w:r>
    </w:p>
    <w:p w14:paraId="68018E76">
      <w:pPr>
        <w:keepNext w:val="0"/>
        <w:keepLines w:val="0"/>
        <w:pageBreakBefore w:val="0"/>
        <w:widowControl w:val="0"/>
        <w:kinsoku/>
        <w:wordWrap/>
        <w:overflowPunct/>
        <w:topLinePunct w:val="0"/>
        <w:autoSpaceDE/>
        <w:autoSpaceDN/>
        <w:bidi w:val="0"/>
        <w:adjustRightInd w:val="0"/>
        <w:snapToGrid w:val="0"/>
        <w:spacing w:line="560" w:lineRule="exact"/>
        <w:ind w:firstLine="548" w:firstLineChars="196"/>
        <w:jc w:val="both"/>
        <w:textAlignment w:val="auto"/>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1.</w:t>
      </w:r>
      <w:r>
        <w:rPr>
          <w:rFonts w:hint="eastAsia" w:asciiTheme="minorEastAsia" w:hAnsiTheme="minorEastAsia" w:eastAsiaTheme="minorEastAsia"/>
          <w:color w:val="000000" w:themeColor="text1"/>
          <w:sz w:val="28"/>
          <w:szCs w:val="28"/>
          <w:highlight w:val="none"/>
          <w:lang w:eastAsia="zh-CN"/>
          <w14:textFill>
            <w14:solidFill>
              <w14:schemeClr w14:val="tx1"/>
            </w14:solidFill>
          </w14:textFill>
        </w:rPr>
        <w:t>供应商</w:t>
      </w:r>
      <w:r>
        <w:rPr>
          <w:rFonts w:hint="eastAsia" w:asciiTheme="minorEastAsia" w:hAnsiTheme="minorEastAsia" w:eastAsiaTheme="minorEastAsia"/>
          <w:color w:val="000000" w:themeColor="text1"/>
          <w:sz w:val="28"/>
          <w:szCs w:val="28"/>
          <w:highlight w:val="none"/>
          <w14:textFill>
            <w14:solidFill>
              <w14:schemeClr w14:val="tx1"/>
            </w14:solidFill>
          </w14:textFill>
        </w:rPr>
        <w:t>直接或者间接从采购人或者采购代理机构处获得其他</w:t>
      </w:r>
      <w:r>
        <w:rPr>
          <w:rFonts w:hint="eastAsia" w:asciiTheme="minorEastAsia" w:hAnsiTheme="minorEastAsia" w:eastAsiaTheme="minorEastAsia"/>
          <w:color w:val="000000" w:themeColor="text1"/>
          <w:sz w:val="28"/>
          <w:szCs w:val="28"/>
          <w:highlight w:val="none"/>
          <w:lang w:eastAsia="zh-CN"/>
          <w14:textFill>
            <w14:solidFill>
              <w14:schemeClr w14:val="tx1"/>
            </w14:solidFill>
          </w14:textFill>
        </w:rPr>
        <w:t>供应商</w:t>
      </w:r>
      <w:r>
        <w:rPr>
          <w:rFonts w:hint="eastAsia" w:asciiTheme="minorEastAsia" w:hAnsiTheme="minorEastAsia" w:eastAsiaTheme="minorEastAsia"/>
          <w:color w:val="000000" w:themeColor="text1"/>
          <w:sz w:val="28"/>
          <w:szCs w:val="28"/>
          <w:highlight w:val="none"/>
          <w14:textFill>
            <w14:solidFill>
              <w14:schemeClr w14:val="tx1"/>
            </w14:solidFill>
          </w14:textFill>
        </w:rPr>
        <w:t>的相关信息并修改其投标文件或者投标文件；</w:t>
      </w:r>
    </w:p>
    <w:p w14:paraId="4C75F6C2">
      <w:pPr>
        <w:keepNext w:val="0"/>
        <w:keepLines w:val="0"/>
        <w:pageBreakBefore w:val="0"/>
        <w:widowControl w:val="0"/>
        <w:kinsoku/>
        <w:wordWrap/>
        <w:overflowPunct/>
        <w:topLinePunct w:val="0"/>
        <w:autoSpaceDE/>
        <w:autoSpaceDN/>
        <w:bidi w:val="0"/>
        <w:adjustRightInd w:val="0"/>
        <w:snapToGrid w:val="0"/>
        <w:spacing w:line="560" w:lineRule="exact"/>
        <w:ind w:firstLine="548" w:firstLineChars="196"/>
        <w:jc w:val="both"/>
        <w:textAlignment w:val="auto"/>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2.</w:t>
      </w:r>
      <w:r>
        <w:rPr>
          <w:rFonts w:hint="eastAsia" w:asciiTheme="minorEastAsia" w:hAnsiTheme="minorEastAsia" w:eastAsiaTheme="minorEastAsia"/>
          <w:color w:val="000000" w:themeColor="text1"/>
          <w:sz w:val="28"/>
          <w:szCs w:val="28"/>
          <w:highlight w:val="none"/>
          <w:lang w:eastAsia="zh-CN"/>
          <w14:textFill>
            <w14:solidFill>
              <w14:schemeClr w14:val="tx1"/>
            </w14:solidFill>
          </w14:textFill>
        </w:rPr>
        <w:t>供应商</w:t>
      </w:r>
      <w:r>
        <w:rPr>
          <w:rFonts w:hint="eastAsia" w:asciiTheme="minorEastAsia" w:hAnsiTheme="minorEastAsia" w:eastAsiaTheme="minorEastAsia"/>
          <w:color w:val="000000" w:themeColor="text1"/>
          <w:sz w:val="28"/>
          <w:szCs w:val="28"/>
          <w:highlight w:val="none"/>
          <w14:textFill>
            <w14:solidFill>
              <w14:schemeClr w14:val="tx1"/>
            </w14:solidFill>
          </w14:textFill>
        </w:rPr>
        <w:t>按照采购人或者采购代理机构的授意撤换、修改投标文件或者投标文件；</w:t>
      </w:r>
    </w:p>
    <w:p w14:paraId="21F04B57">
      <w:pPr>
        <w:keepNext w:val="0"/>
        <w:keepLines w:val="0"/>
        <w:pageBreakBefore w:val="0"/>
        <w:widowControl w:val="0"/>
        <w:kinsoku/>
        <w:wordWrap/>
        <w:overflowPunct/>
        <w:topLinePunct w:val="0"/>
        <w:autoSpaceDE/>
        <w:autoSpaceDN/>
        <w:bidi w:val="0"/>
        <w:adjustRightInd w:val="0"/>
        <w:snapToGrid w:val="0"/>
        <w:spacing w:line="560" w:lineRule="exact"/>
        <w:ind w:firstLine="548" w:firstLineChars="196"/>
        <w:jc w:val="both"/>
        <w:textAlignment w:val="auto"/>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3.</w:t>
      </w:r>
      <w:r>
        <w:rPr>
          <w:rFonts w:hint="eastAsia" w:asciiTheme="minorEastAsia" w:hAnsiTheme="minorEastAsia" w:eastAsiaTheme="minorEastAsia"/>
          <w:color w:val="000000" w:themeColor="text1"/>
          <w:sz w:val="28"/>
          <w:szCs w:val="28"/>
          <w:highlight w:val="none"/>
          <w:lang w:eastAsia="zh-CN"/>
          <w14:textFill>
            <w14:solidFill>
              <w14:schemeClr w14:val="tx1"/>
            </w14:solidFill>
          </w14:textFill>
        </w:rPr>
        <w:t>供应商</w:t>
      </w:r>
      <w:r>
        <w:rPr>
          <w:rFonts w:hint="eastAsia" w:asciiTheme="minorEastAsia" w:hAnsiTheme="minorEastAsia" w:eastAsiaTheme="minorEastAsia"/>
          <w:color w:val="000000" w:themeColor="text1"/>
          <w:sz w:val="28"/>
          <w:szCs w:val="28"/>
          <w:highlight w:val="none"/>
          <w14:textFill>
            <w14:solidFill>
              <w14:schemeClr w14:val="tx1"/>
            </w14:solidFill>
          </w14:textFill>
        </w:rPr>
        <w:t>之间协商报价、技术方案等投标文件或者投标文件的实质性内容；</w:t>
      </w:r>
    </w:p>
    <w:p w14:paraId="56FF8748">
      <w:pPr>
        <w:keepNext w:val="0"/>
        <w:keepLines w:val="0"/>
        <w:pageBreakBefore w:val="0"/>
        <w:widowControl w:val="0"/>
        <w:kinsoku/>
        <w:wordWrap/>
        <w:overflowPunct/>
        <w:topLinePunct w:val="0"/>
        <w:autoSpaceDE/>
        <w:autoSpaceDN/>
        <w:bidi w:val="0"/>
        <w:adjustRightInd w:val="0"/>
        <w:snapToGrid w:val="0"/>
        <w:spacing w:line="560" w:lineRule="exact"/>
        <w:ind w:firstLine="548" w:firstLineChars="196"/>
        <w:jc w:val="both"/>
        <w:textAlignment w:val="auto"/>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4.属于同一集团、协会、商会等组织成员的</w:t>
      </w:r>
      <w:r>
        <w:rPr>
          <w:rFonts w:hint="eastAsia" w:asciiTheme="minorEastAsia" w:hAnsiTheme="minorEastAsia" w:eastAsiaTheme="minorEastAsia"/>
          <w:color w:val="000000" w:themeColor="text1"/>
          <w:sz w:val="28"/>
          <w:szCs w:val="28"/>
          <w:highlight w:val="none"/>
          <w:lang w:eastAsia="zh-CN"/>
          <w14:textFill>
            <w14:solidFill>
              <w14:schemeClr w14:val="tx1"/>
            </w14:solidFill>
          </w14:textFill>
        </w:rPr>
        <w:t>供应商</w:t>
      </w:r>
      <w:r>
        <w:rPr>
          <w:rFonts w:hint="eastAsia" w:asciiTheme="minorEastAsia" w:hAnsiTheme="minorEastAsia" w:eastAsiaTheme="minorEastAsia"/>
          <w:color w:val="000000" w:themeColor="text1"/>
          <w:sz w:val="28"/>
          <w:szCs w:val="28"/>
          <w:highlight w:val="none"/>
          <w14:textFill>
            <w14:solidFill>
              <w14:schemeClr w14:val="tx1"/>
            </w14:solidFill>
          </w14:textFill>
        </w:rPr>
        <w:t>按照该组织要求协同参加政府采购活动；</w:t>
      </w:r>
    </w:p>
    <w:p w14:paraId="58FEB490">
      <w:pPr>
        <w:keepNext w:val="0"/>
        <w:keepLines w:val="0"/>
        <w:pageBreakBefore w:val="0"/>
        <w:widowControl w:val="0"/>
        <w:kinsoku/>
        <w:wordWrap/>
        <w:overflowPunct/>
        <w:topLinePunct w:val="0"/>
        <w:autoSpaceDE/>
        <w:autoSpaceDN/>
        <w:bidi w:val="0"/>
        <w:adjustRightInd w:val="0"/>
        <w:snapToGrid w:val="0"/>
        <w:spacing w:line="560" w:lineRule="exact"/>
        <w:ind w:firstLine="548" w:firstLineChars="196"/>
        <w:jc w:val="both"/>
        <w:textAlignment w:val="auto"/>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5.</w:t>
      </w:r>
      <w:r>
        <w:rPr>
          <w:rFonts w:hint="eastAsia" w:asciiTheme="minorEastAsia" w:hAnsiTheme="minorEastAsia" w:eastAsiaTheme="minorEastAsia"/>
          <w:color w:val="000000" w:themeColor="text1"/>
          <w:sz w:val="28"/>
          <w:szCs w:val="28"/>
          <w:highlight w:val="none"/>
          <w:lang w:eastAsia="zh-CN"/>
          <w14:textFill>
            <w14:solidFill>
              <w14:schemeClr w14:val="tx1"/>
            </w14:solidFill>
          </w14:textFill>
        </w:rPr>
        <w:t>供应商</w:t>
      </w:r>
      <w:r>
        <w:rPr>
          <w:rFonts w:hint="eastAsia" w:asciiTheme="minorEastAsia" w:hAnsiTheme="minorEastAsia" w:eastAsiaTheme="minorEastAsia"/>
          <w:color w:val="000000" w:themeColor="text1"/>
          <w:sz w:val="28"/>
          <w:szCs w:val="28"/>
          <w:highlight w:val="none"/>
          <w14:textFill>
            <w14:solidFill>
              <w14:schemeClr w14:val="tx1"/>
            </w14:solidFill>
          </w14:textFill>
        </w:rPr>
        <w:t>之间事先约定一致抬高或者压低投标报价，或者在招标项目中事先约定轮流以高价位或者低价位中标，或者事先约定由某一特定</w:t>
      </w:r>
      <w:r>
        <w:rPr>
          <w:rFonts w:hint="eastAsia" w:asciiTheme="minorEastAsia" w:hAnsiTheme="minorEastAsia" w:eastAsiaTheme="minorEastAsia"/>
          <w:color w:val="000000" w:themeColor="text1"/>
          <w:sz w:val="28"/>
          <w:szCs w:val="28"/>
          <w:highlight w:val="none"/>
          <w:lang w:eastAsia="zh-CN"/>
          <w14:textFill>
            <w14:solidFill>
              <w14:schemeClr w14:val="tx1"/>
            </w14:solidFill>
          </w14:textFill>
        </w:rPr>
        <w:t>供应商</w:t>
      </w:r>
      <w:r>
        <w:rPr>
          <w:rFonts w:hint="eastAsia" w:asciiTheme="minorEastAsia" w:hAnsiTheme="minorEastAsia" w:eastAsiaTheme="minorEastAsia"/>
          <w:color w:val="000000" w:themeColor="text1"/>
          <w:sz w:val="28"/>
          <w:szCs w:val="28"/>
          <w:highlight w:val="none"/>
          <w14:textFill>
            <w14:solidFill>
              <w14:schemeClr w14:val="tx1"/>
            </w14:solidFill>
          </w14:textFill>
        </w:rPr>
        <w:t>中标，然后再参加投标；</w:t>
      </w:r>
    </w:p>
    <w:p w14:paraId="53C8E2B8">
      <w:pPr>
        <w:keepNext w:val="0"/>
        <w:keepLines w:val="0"/>
        <w:pageBreakBefore w:val="0"/>
        <w:widowControl w:val="0"/>
        <w:kinsoku/>
        <w:wordWrap/>
        <w:overflowPunct/>
        <w:topLinePunct w:val="0"/>
        <w:autoSpaceDE/>
        <w:autoSpaceDN/>
        <w:bidi w:val="0"/>
        <w:adjustRightInd w:val="0"/>
        <w:snapToGrid w:val="0"/>
        <w:spacing w:line="560" w:lineRule="exact"/>
        <w:ind w:firstLine="548" w:firstLineChars="196"/>
        <w:jc w:val="both"/>
        <w:textAlignment w:val="auto"/>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6.</w:t>
      </w:r>
      <w:r>
        <w:rPr>
          <w:rFonts w:hint="eastAsia" w:asciiTheme="minorEastAsia" w:hAnsiTheme="minorEastAsia" w:eastAsiaTheme="minorEastAsia"/>
          <w:color w:val="000000" w:themeColor="text1"/>
          <w:sz w:val="28"/>
          <w:szCs w:val="28"/>
          <w:highlight w:val="none"/>
          <w:lang w:eastAsia="zh-CN"/>
          <w14:textFill>
            <w14:solidFill>
              <w14:schemeClr w14:val="tx1"/>
            </w14:solidFill>
          </w14:textFill>
        </w:rPr>
        <w:t>供应商</w:t>
      </w:r>
      <w:r>
        <w:rPr>
          <w:rFonts w:hint="eastAsia" w:asciiTheme="minorEastAsia" w:hAnsiTheme="minorEastAsia" w:eastAsiaTheme="minorEastAsia"/>
          <w:color w:val="000000" w:themeColor="text1"/>
          <w:sz w:val="28"/>
          <w:szCs w:val="28"/>
          <w:highlight w:val="none"/>
          <w14:textFill>
            <w14:solidFill>
              <w14:schemeClr w14:val="tx1"/>
            </w14:solidFill>
          </w14:textFill>
        </w:rPr>
        <w:t>之间商定部分</w:t>
      </w:r>
      <w:r>
        <w:rPr>
          <w:rFonts w:hint="eastAsia" w:asciiTheme="minorEastAsia" w:hAnsiTheme="minorEastAsia" w:eastAsiaTheme="minorEastAsia"/>
          <w:color w:val="000000" w:themeColor="text1"/>
          <w:sz w:val="28"/>
          <w:szCs w:val="28"/>
          <w:highlight w:val="none"/>
          <w:lang w:eastAsia="zh-CN"/>
          <w14:textFill>
            <w14:solidFill>
              <w14:schemeClr w14:val="tx1"/>
            </w14:solidFill>
          </w14:textFill>
        </w:rPr>
        <w:t>供应商</w:t>
      </w:r>
      <w:r>
        <w:rPr>
          <w:rFonts w:hint="eastAsia" w:asciiTheme="minorEastAsia" w:hAnsiTheme="minorEastAsia" w:eastAsiaTheme="minorEastAsia"/>
          <w:color w:val="000000" w:themeColor="text1"/>
          <w:sz w:val="28"/>
          <w:szCs w:val="28"/>
          <w:highlight w:val="none"/>
          <w14:textFill>
            <w14:solidFill>
              <w14:schemeClr w14:val="tx1"/>
            </w14:solidFill>
          </w14:textFill>
        </w:rPr>
        <w:t>放弃参加政府采购活动或者放弃中标；</w:t>
      </w:r>
    </w:p>
    <w:p w14:paraId="1F568317">
      <w:pPr>
        <w:keepNext w:val="0"/>
        <w:keepLines w:val="0"/>
        <w:pageBreakBefore w:val="0"/>
        <w:widowControl w:val="0"/>
        <w:kinsoku/>
        <w:wordWrap/>
        <w:overflowPunct/>
        <w:topLinePunct w:val="0"/>
        <w:autoSpaceDE/>
        <w:autoSpaceDN/>
        <w:bidi w:val="0"/>
        <w:adjustRightInd w:val="0"/>
        <w:snapToGrid w:val="0"/>
        <w:spacing w:line="560" w:lineRule="exact"/>
        <w:ind w:firstLine="548" w:firstLineChars="196"/>
        <w:jc w:val="both"/>
        <w:textAlignment w:val="auto"/>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7.</w:t>
      </w:r>
      <w:r>
        <w:rPr>
          <w:rFonts w:hint="eastAsia" w:asciiTheme="minorEastAsia" w:hAnsiTheme="minorEastAsia" w:eastAsiaTheme="minorEastAsia"/>
          <w:color w:val="000000" w:themeColor="text1"/>
          <w:sz w:val="28"/>
          <w:szCs w:val="28"/>
          <w:highlight w:val="none"/>
          <w:lang w:eastAsia="zh-CN"/>
          <w14:textFill>
            <w14:solidFill>
              <w14:schemeClr w14:val="tx1"/>
            </w14:solidFill>
          </w14:textFill>
        </w:rPr>
        <w:t>供应商</w:t>
      </w:r>
      <w:r>
        <w:rPr>
          <w:rFonts w:hint="eastAsia" w:asciiTheme="minorEastAsia" w:hAnsiTheme="minorEastAsia" w:eastAsiaTheme="minorEastAsia"/>
          <w:color w:val="000000" w:themeColor="text1"/>
          <w:sz w:val="28"/>
          <w:szCs w:val="28"/>
          <w:highlight w:val="none"/>
          <w14:textFill>
            <w14:solidFill>
              <w14:schemeClr w14:val="tx1"/>
            </w14:solidFill>
          </w14:textFill>
        </w:rPr>
        <w:t>与采购人或者采购代理机构之间、</w:t>
      </w:r>
      <w:r>
        <w:rPr>
          <w:rFonts w:hint="eastAsia" w:asciiTheme="minorEastAsia" w:hAnsiTheme="minorEastAsia" w:eastAsiaTheme="minorEastAsia"/>
          <w:color w:val="000000" w:themeColor="text1"/>
          <w:sz w:val="28"/>
          <w:szCs w:val="28"/>
          <w:highlight w:val="none"/>
          <w:lang w:eastAsia="zh-CN"/>
          <w14:textFill>
            <w14:solidFill>
              <w14:schemeClr w14:val="tx1"/>
            </w14:solidFill>
          </w14:textFill>
        </w:rPr>
        <w:t>供应商</w:t>
      </w:r>
      <w:r>
        <w:rPr>
          <w:rFonts w:hint="eastAsia" w:asciiTheme="minorEastAsia" w:hAnsiTheme="minorEastAsia" w:eastAsiaTheme="minorEastAsia"/>
          <w:color w:val="000000" w:themeColor="text1"/>
          <w:sz w:val="28"/>
          <w:szCs w:val="28"/>
          <w:highlight w:val="none"/>
          <w14:textFill>
            <w14:solidFill>
              <w14:schemeClr w14:val="tx1"/>
            </w14:solidFill>
          </w14:textFill>
        </w:rPr>
        <w:t>相互之间，为谋求特定</w:t>
      </w:r>
      <w:r>
        <w:rPr>
          <w:rFonts w:hint="eastAsia" w:asciiTheme="minorEastAsia" w:hAnsiTheme="minorEastAsia" w:eastAsiaTheme="minorEastAsia"/>
          <w:color w:val="000000" w:themeColor="text1"/>
          <w:sz w:val="28"/>
          <w:szCs w:val="28"/>
          <w:highlight w:val="none"/>
          <w:lang w:eastAsia="zh-CN"/>
          <w14:textFill>
            <w14:solidFill>
              <w14:schemeClr w14:val="tx1"/>
            </w14:solidFill>
          </w14:textFill>
        </w:rPr>
        <w:t>供应商</w:t>
      </w:r>
      <w:r>
        <w:rPr>
          <w:rFonts w:hint="eastAsia" w:asciiTheme="minorEastAsia" w:hAnsiTheme="minorEastAsia" w:eastAsiaTheme="minorEastAsia"/>
          <w:color w:val="000000" w:themeColor="text1"/>
          <w:sz w:val="28"/>
          <w:szCs w:val="28"/>
          <w:highlight w:val="none"/>
          <w14:textFill>
            <w14:solidFill>
              <w14:schemeClr w14:val="tx1"/>
            </w14:solidFill>
          </w14:textFill>
        </w:rPr>
        <w:t>中标或者排斥其他</w:t>
      </w:r>
      <w:r>
        <w:rPr>
          <w:rFonts w:hint="eastAsia" w:asciiTheme="minorEastAsia" w:hAnsiTheme="minorEastAsia" w:eastAsiaTheme="minorEastAsia"/>
          <w:color w:val="000000" w:themeColor="text1"/>
          <w:sz w:val="28"/>
          <w:szCs w:val="28"/>
          <w:highlight w:val="none"/>
          <w:lang w:eastAsia="zh-CN"/>
          <w14:textFill>
            <w14:solidFill>
              <w14:schemeClr w14:val="tx1"/>
            </w14:solidFill>
          </w14:textFill>
        </w:rPr>
        <w:t>供应商</w:t>
      </w:r>
      <w:r>
        <w:rPr>
          <w:rFonts w:hint="eastAsia" w:asciiTheme="minorEastAsia" w:hAnsiTheme="minorEastAsia" w:eastAsiaTheme="minorEastAsia"/>
          <w:color w:val="000000" w:themeColor="text1"/>
          <w:sz w:val="28"/>
          <w:szCs w:val="28"/>
          <w:highlight w:val="none"/>
          <w14:textFill>
            <w14:solidFill>
              <w14:schemeClr w14:val="tx1"/>
            </w14:solidFill>
          </w14:textFill>
        </w:rPr>
        <w:t>的其他串通行为。</w:t>
      </w:r>
    </w:p>
    <w:p w14:paraId="4AFB0D00">
      <w:pPr>
        <w:keepNext w:val="0"/>
        <w:keepLines w:val="0"/>
        <w:pageBreakBefore w:val="0"/>
        <w:widowControl w:val="0"/>
        <w:kinsoku/>
        <w:wordWrap/>
        <w:overflowPunct/>
        <w:topLinePunct w:val="0"/>
        <w:autoSpaceDE/>
        <w:autoSpaceDN/>
        <w:bidi w:val="0"/>
        <w:adjustRightInd w:val="0"/>
        <w:snapToGrid w:val="0"/>
        <w:spacing w:line="560" w:lineRule="exact"/>
        <w:ind w:firstLine="551" w:firstLineChars="196"/>
        <w:jc w:val="both"/>
        <w:textAlignment w:val="auto"/>
        <w:rPr>
          <w:rFonts w:asciiTheme="minorEastAsia" w:hAnsiTheme="minorEastAsia" w:eastAsia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b/>
          <w:color w:val="000000" w:themeColor="text1"/>
          <w:sz w:val="28"/>
          <w:szCs w:val="28"/>
          <w:highlight w:val="none"/>
          <w14:textFill>
            <w14:solidFill>
              <w14:schemeClr w14:val="tx1"/>
            </w14:solidFill>
          </w14:textFill>
        </w:rPr>
        <w:t>以上情形一经核查属实，接受政府采购监管部门对我方认定存在围标串标行为，我方愿意承担一切后果，并不再寻求任何旨在减轻或者免除法律责任的辩解。</w:t>
      </w:r>
    </w:p>
    <w:p w14:paraId="7BE46708">
      <w:pPr>
        <w:pageBreakBefore w:val="0"/>
        <w:wordWrap/>
        <w:topLinePunct w:val="0"/>
        <w:bidi w:val="0"/>
        <w:adjustRightInd w:val="0"/>
        <w:snapToGrid w:val="0"/>
        <w:spacing w:line="560" w:lineRule="exact"/>
        <w:ind w:firstLine="4200" w:firstLineChars="1500"/>
        <w:rPr>
          <w:rFonts w:cs="仿宋_GB2312" w:asciiTheme="minorEastAsia" w:hAnsiTheme="minorEastAsia" w:eastAsiaTheme="minorEastAsia"/>
          <w:color w:val="000000" w:themeColor="text1"/>
          <w:kern w:val="0"/>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lang w:eastAsia="zh-CN"/>
          <w14:textFill>
            <w14:solidFill>
              <w14:schemeClr w14:val="tx1"/>
            </w14:solidFill>
          </w14:textFill>
        </w:rPr>
        <w:t>供应商</w:t>
      </w:r>
      <w:r>
        <w:rPr>
          <w:rFonts w:hint="eastAsia" w:cs="仿宋_GB2312" w:asciiTheme="minorEastAsia" w:hAnsiTheme="minorEastAsia" w:eastAsiaTheme="minorEastAsia"/>
          <w:color w:val="000000" w:themeColor="text1"/>
          <w:kern w:val="0"/>
          <w:sz w:val="28"/>
          <w:szCs w:val="28"/>
          <w:highlight w:val="none"/>
          <w:lang w:val="zh-CN"/>
          <w14:textFill>
            <w14:solidFill>
              <w14:schemeClr w14:val="tx1"/>
            </w14:solidFill>
          </w14:textFill>
        </w:rPr>
        <w:t>名称(电子公章)：</w:t>
      </w:r>
    </w:p>
    <w:p w14:paraId="6833C357">
      <w:pPr>
        <w:pageBreakBefore w:val="0"/>
        <w:wordWrap/>
        <w:topLinePunct w:val="0"/>
        <w:bidi w:val="0"/>
        <w:adjustRightInd w:val="0"/>
        <w:snapToGrid w:val="0"/>
        <w:spacing w:line="560" w:lineRule="exact"/>
        <w:ind w:firstLine="4200" w:firstLineChars="1500"/>
        <w:rPr>
          <w:rFonts w:hint="eastAsia" w:cs="仿宋_GB2312" w:asciiTheme="minorEastAsia" w:hAnsiTheme="minorEastAsia" w:eastAsiaTheme="minorEastAsia"/>
          <w:color w:val="000000" w:themeColor="text1"/>
          <w:kern w:val="0"/>
          <w:sz w:val="28"/>
          <w:szCs w:val="28"/>
          <w:highlight w:val="none"/>
          <w:lang w:val="zh-CN"/>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法定代表人或其委托代理人（签字</w:t>
      </w:r>
      <w:r>
        <w:rPr>
          <w:rFonts w:hint="eastAsia" w:ascii="宋体" w:hAnsi="宋体" w:cs="宋体"/>
          <w:color w:val="000000" w:themeColor="text1"/>
          <w:sz w:val="28"/>
          <w:szCs w:val="28"/>
          <w:highlight w:val="none"/>
          <w:lang w:eastAsia="zh-CN"/>
          <w14:textFill>
            <w14:solidFill>
              <w14:schemeClr w14:val="tx1"/>
            </w14:solidFill>
          </w14:textFill>
        </w:rPr>
        <w:t>或</w:t>
      </w:r>
      <w:r>
        <w:rPr>
          <w:rFonts w:hint="eastAsia" w:ascii="宋体" w:hAnsi="宋体" w:eastAsia="宋体" w:cs="宋体"/>
          <w:color w:val="000000" w:themeColor="text1"/>
          <w:sz w:val="28"/>
          <w:szCs w:val="28"/>
          <w:highlight w:val="none"/>
          <w14:textFill>
            <w14:solidFill>
              <w14:schemeClr w14:val="tx1"/>
            </w14:solidFill>
          </w14:textFill>
        </w:rPr>
        <w:t>盖章）：</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r>
        <w:rPr>
          <w:rFonts w:hint="eastAsia" w:ascii="宋体" w:hAnsi="宋体" w:cs="宋体"/>
          <w:color w:val="000000" w:themeColor="text1"/>
          <w:sz w:val="28"/>
          <w:szCs w:val="28"/>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kern w:val="0"/>
          <w:sz w:val="28"/>
          <w:szCs w:val="28"/>
          <w:highlight w:val="none"/>
          <w:u w:val="single"/>
          <w:lang w:val="en-US" w:eastAsia="zh-CN"/>
          <w14:textFill>
            <w14:solidFill>
              <w14:schemeClr w14:val="tx1"/>
            </w14:solidFill>
          </w14:textFill>
        </w:rPr>
        <w:t xml:space="preserve"> </w:t>
      </w:r>
    </w:p>
    <w:p w14:paraId="2336351E">
      <w:pPr>
        <w:pageBreakBefore w:val="0"/>
        <w:wordWrap/>
        <w:topLinePunct w:val="0"/>
        <w:bidi w:val="0"/>
        <w:adjustRightInd w:val="0"/>
        <w:snapToGrid w:val="0"/>
        <w:spacing w:line="560" w:lineRule="exact"/>
        <w:ind w:firstLine="4200" w:firstLineChars="1500"/>
        <w:rPr>
          <w:rFonts w:cs="仿宋_GB2312" w:asciiTheme="minorEastAsia" w:hAnsiTheme="minorEastAsia" w:eastAsiaTheme="minorEastAsia"/>
          <w:color w:val="000000" w:themeColor="text1"/>
          <w:kern w:val="0"/>
          <w:sz w:val="28"/>
          <w:szCs w:val="28"/>
          <w:highlight w:val="none"/>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8"/>
          <w:szCs w:val="28"/>
          <w:highlight w:val="none"/>
          <w:lang w:val="zh-CN"/>
          <w14:textFill>
            <w14:solidFill>
              <w14:schemeClr w14:val="tx1"/>
            </w14:solidFill>
          </w14:textFill>
        </w:rPr>
        <w:t>日  期</w:t>
      </w:r>
      <w:r>
        <w:rPr>
          <w:rFonts w:hint="eastAsia" w:cs="仿宋_GB2312" w:asciiTheme="minorEastAsia" w:hAnsiTheme="minorEastAsia" w:eastAsiaTheme="minorEastAsia"/>
          <w:color w:val="000000" w:themeColor="text1"/>
          <w:kern w:val="0"/>
          <w:sz w:val="28"/>
          <w:szCs w:val="28"/>
          <w:highlight w:val="none"/>
          <w14:textFill>
            <w14:solidFill>
              <w14:schemeClr w14:val="tx1"/>
            </w14:solidFill>
          </w14:textFill>
        </w:rPr>
        <w:t xml:space="preserve">：  年  </w:t>
      </w:r>
      <w:r>
        <w:rPr>
          <w:rFonts w:hint="eastAsia" w:cs="仿宋_GB2312" w:asciiTheme="minorEastAsia" w:hAnsiTheme="minorEastAsia" w:eastAsiaTheme="minorEastAsia"/>
          <w:color w:val="000000" w:themeColor="text1"/>
          <w:kern w:val="0"/>
          <w:sz w:val="28"/>
          <w:szCs w:val="28"/>
          <w:highlight w:val="none"/>
          <w:lang w:val="zh-CN"/>
          <w14:textFill>
            <w14:solidFill>
              <w14:schemeClr w14:val="tx1"/>
            </w14:solidFill>
          </w14:textFill>
        </w:rPr>
        <w:t>月</w:t>
      </w:r>
      <w:r>
        <w:rPr>
          <w:rFonts w:hint="eastAsia" w:cs="仿宋_GB2312" w:asciiTheme="minorEastAsia" w:hAnsiTheme="minorEastAsia" w:eastAsiaTheme="minorEastAsia"/>
          <w:color w:val="000000" w:themeColor="text1"/>
          <w:kern w:val="0"/>
          <w:sz w:val="28"/>
          <w:szCs w:val="28"/>
          <w:highlight w:val="none"/>
          <w14:textFill>
            <w14:solidFill>
              <w14:schemeClr w14:val="tx1"/>
            </w14:solidFill>
          </w14:textFill>
        </w:rPr>
        <w:t xml:space="preserve">   </w:t>
      </w:r>
      <w:r>
        <w:rPr>
          <w:rFonts w:hint="eastAsia" w:cs="仿宋_GB2312" w:asciiTheme="minorEastAsia" w:hAnsiTheme="minorEastAsia" w:eastAsiaTheme="minorEastAsia"/>
          <w:color w:val="000000" w:themeColor="text1"/>
          <w:kern w:val="0"/>
          <w:sz w:val="28"/>
          <w:szCs w:val="28"/>
          <w:highlight w:val="none"/>
          <w:lang w:val="zh-CN"/>
          <w14:textFill>
            <w14:solidFill>
              <w14:schemeClr w14:val="tx1"/>
            </w14:solidFill>
          </w14:textFill>
        </w:rPr>
        <w:t>日</w:t>
      </w:r>
    </w:p>
    <w:p w14:paraId="3D8272CE">
      <w:pPr>
        <w:pStyle w:val="17"/>
        <w:pageBreakBefore w:val="0"/>
        <w:wordWrap/>
        <w:topLinePunct w:val="0"/>
        <w:bidi w:val="0"/>
        <w:spacing w:line="560" w:lineRule="exact"/>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br w:type="page"/>
      </w:r>
      <w:r>
        <w:rPr>
          <w:rFonts w:hint="eastAsia"/>
          <w:color w:val="000000" w:themeColor="text1"/>
          <w:highlight w:val="none"/>
          <w14:textFill>
            <w14:solidFill>
              <w14:schemeClr w14:val="tx1"/>
            </w14:solidFill>
          </w14:textFill>
        </w:rPr>
        <w:t>二、法定代表人身份证明</w:t>
      </w:r>
    </w:p>
    <w:p w14:paraId="32EF8850">
      <w:pPr>
        <w:pageBreakBefore w:val="0"/>
        <w:wordWrap/>
        <w:topLinePunct w:val="0"/>
        <w:bidi w:val="0"/>
        <w:spacing w:before="240" w:beforeLines="100" w:after="120" w:afterLines="50" w:line="560" w:lineRule="exact"/>
        <w:rPr>
          <w:rFonts w:ascii="黑体" w:hAnsi="宋体" w:eastAsia="黑体"/>
          <w:color w:val="000000" w:themeColor="text1"/>
          <w:sz w:val="32"/>
          <w:szCs w:val="32"/>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lang w:eastAsia="zh-CN"/>
          <w14:textFill>
            <w14:solidFill>
              <w14:schemeClr w14:val="tx1"/>
            </w14:solidFill>
          </w14:textFill>
        </w:rPr>
        <w:t>供</w:t>
      </w:r>
      <w:r>
        <w:rPr>
          <w:rFonts w:hint="eastAsia" w:asciiTheme="minorEastAsia" w:hAnsiTheme="minorEastAsia" w:eastAsiaTheme="minorEastAsia"/>
          <w:color w:val="000000" w:themeColor="text1"/>
          <w:sz w:val="28"/>
          <w:szCs w:val="28"/>
          <w:highlight w:val="none"/>
          <w:lang w:val="en-US" w:eastAsia="zh-CN"/>
          <w14:textFill>
            <w14:solidFill>
              <w14:schemeClr w14:val="tx1"/>
            </w14:solidFill>
          </w14:textFill>
        </w:rPr>
        <w:t xml:space="preserve"> </w:t>
      </w:r>
      <w:r>
        <w:rPr>
          <w:rFonts w:hint="eastAsia" w:asciiTheme="minorEastAsia" w:hAnsiTheme="minorEastAsia" w:eastAsiaTheme="minorEastAsia"/>
          <w:color w:val="000000" w:themeColor="text1"/>
          <w:sz w:val="28"/>
          <w:szCs w:val="28"/>
          <w:highlight w:val="none"/>
          <w:lang w:eastAsia="zh-CN"/>
          <w14:textFill>
            <w14:solidFill>
              <w14:schemeClr w14:val="tx1"/>
            </w14:solidFill>
          </w14:textFill>
        </w:rPr>
        <w:t>应</w:t>
      </w:r>
      <w:r>
        <w:rPr>
          <w:rFonts w:hint="eastAsia" w:asciiTheme="minorEastAsia" w:hAnsiTheme="minorEastAsia" w:eastAsiaTheme="minorEastAsia"/>
          <w:color w:val="000000" w:themeColor="text1"/>
          <w:sz w:val="28"/>
          <w:szCs w:val="28"/>
          <w:highlight w:val="none"/>
          <w:lang w:val="en-US" w:eastAsia="zh-CN"/>
          <w14:textFill>
            <w14:solidFill>
              <w14:schemeClr w14:val="tx1"/>
            </w14:solidFill>
          </w14:textFill>
        </w:rPr>
        <w:t xml:space="preserve"> </w:t>
      </w:r>
      <w:r>
        <w:rPr>
          <w:rFonts w:hint="eastAsia" w:asciiTheme="minorEastAsia" w:hAnsiTheme="minorEastAsia" w:eastAsiaTheme="minorEastAsia"/>
          <w:color w:val="000000" w:themeColor="text1"/>
          <w:sz w:val="28"/>
          <w:szCs w:val="28"/>
          <w:highlight w:val="none"/>
          <w:lang w:eastAsia="zh-CN"/>
          <w14:textFill>
            <w14:solidFill>
              <w14:schemeClr w14:val="tx1"/>
            </w14:solidFill>
          </w14:textFill>
        </w:rPr>
        <w:t>商</w:t>
      </w:r>
      <w:r>
        <w:rPr>
          <w:rFonts w:hint="eastAsia" w:asciiTheme="minorEastAsia" w:hAnsiTheme="minorEastAsia" w:eastAsiaTheme="minorEastAsia"/>
          <w:color w:val="000000" w:themeColor="text1"/>
          <w:sz w:val="28"/>
          <w:szCs w:val="28"/>
          <w:highlight w:val="none"/>
          <w14:textFill>
            <w14:solidFill>
              <w14:schemeClr w14:val="tx1"/>
            </w14:solidFill>
          </w14:textFill>
        </w:rPr>
        <w:t>：</w:t>
      </w:r>
      <w:r>
        <w:rPr>
          <w:rFonts w:hint="eastAsia" w:asciiTheme="minorEastAsia" w:hAnsiTheme="minorEastAsia" w:eastAsiaTheme="minorEastAsia"/>
          <w:color w:val="000000" w:themeColor="text1"/>
          <w:sz w:val="28"/>
          <w:szCs w:val="28"/>
          <w:highlight w:val="none"/>
          <w:u w:val="single"/>
          <w14:textFill>
            <w14:solidFill>
              <w14:schemeClr w14:val="tx1"/>
            </w14:solidFill>
          </w14:textFill>
        </w:rPr>
        <w:t xml:space="preserve">                                                        </w:t>
      </w:r>
    </w:p>
    <w:p w14:paraId="61418159">
      <w:pPr>
        <w:pageBreakBefore w:val="0"/>
        <w:wordWrap/>
        <w:topLinePunct w:val="0"/>
        <w:bidi w:val="0"/>
        <w:spacing w:line="560" w:lineRule="exact"/>
        <w:jc w:val="left"/>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地    址：</w:t>
      </w:r>
      <w:r>
        <w:rPr>
          <w:rFonts w:hint="eastAsia" w:asciiTheme="minorEastAsia" w:hAnsiTheme="minorEastAsia" w:eastAsiaTheme="minorEastAsia"/>
          <w:color w:val="000000" w:themeColor="text1"/>
          <w:sz w:val="28"/>
          <w:szCs w:val="28"/>
          <w:highlight w:val="none"/>
          <w:u w:val="single"/>
          <w14:textFill>
            <w14:solidFill>
              <w14:schemeClr w14:val="tx1"/>
            </w14:solidFill>
          </w14:textFill>
        </w:rPr>
        <w:t xml:space="preserve">                                                        </w:t>
      </w:r>
    </w:p>
    <w:p w14:paraId="2D0EDA3F">
      <w:pPr>
        <w:pageBreakBefore w:val="0"/>
        <w:wordWrap/>
        <w:topLinePunct w:val="0"/>
        <w:bidi w:val="0"/>
        <w:spacing w:line="560" w:lineRule="exact"/>
        <w:jc w:val="left"/>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姓    名：</w:t>
      </w:r>
      <w:r>
        <w:rPr>
          <w:rFonts w:hint="eastAsia" w:asciiTheme="minorEastAsia" w:hAnsiTheme="minorEastAsia" w:eastAsiaTheme="minorEastAsia"/>
          <w:color w:val="000000" w:themeColor="text1"/>
          <w:sz w:val="28"/>
          <w:szCs w:val="28"/>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z w:val="28"/>
          <w:szCs w:val="28"/>
          <w:highlight w:val="none"/>
          <w14:textFill>
            <w14:solidFill>
              <w14:schemeClr w14:val="tx1"/>
            </w14:solidFill>
          </w14:textFill>
        </w:rPr>
        <w:t>性      别：</w:t>
      </w:r>
      <w:r>
        <w:rPr>
          <w:rFonts w:hint="eastAsia" w:asciiTheme="minorEastAsia" w:hAnsiTheme="minorEastAsia" w:eastAsiaTheme="minorEastAsia"/>
          <w:color w:val="000000" w:themeColor="text1"/>
          <w:sz w:val="28"/>
          <w:szCs w:val="28"/>
          <w:highlight w:val="none"/>
          <w:u w:val="single"/>
          <w14:textFill>
            <w14:solidFill>
              <w14:schemeClr w14:val="tx1"/>
            </w14:solidFill>
          </w14:textFill>
        </w:rPr>
        <w:t xml:space="preserve">                </w:t>
      </w:r>
    </w:p>
    <w:p w14:paraId="200EFF80">
      <w:pPr>
        <w:pageBreakBefore w:val="0"/>
        <w:wordWrap/>
        <w:topLinePunct w:val="0"/>
        <w:bidi w:val="0"/>
        <w:spacing w:line="560" w:lineRule="exact"/>
        <w:jc w:val="left"/>
        <w:rPr>
          <w:rFonts w:asciiTheme="minorEastAsia" w:hAnsiTheme="minorEastAsia" w:eastAsiaTheme="minorEastAsia"/>
          <w:color w:val="000000" w:themeColor="text1"/>
          <w:sz w:val="28"/>
          <w:szCs w:val="28"/>
          <w:highlight w:val="none"/>
          <w:u w:val="singl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年    龄：</w:t>
      </w:r>
      <w:r>
        <w:rPr>
          <w:rFonts w:hint="eastAsia" w:asciiTheme="minorEastAsia" w:hAnsiTheme="minorEastAsia" w:eastAsiaTheme="minorEastAsia"/>
          <w:color w:val="000000" w:themeColor="text1"/>
          <w:sz w:val="28"/>
          <w:szCs w:val="28"/>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z w:val="28"/>
          <w:szCs w:val="28"/>
          <w:highlight w:val="none"/>
          <w14:textFill>
            <w14:solidFill>
              <w14:schemeClr w14:val="tx1"/>
            </w14:solidFill>
          </w14:textFill>
        </w:rPr>
        <w:t>职      务：</w:t>
      </w:r>
      <w:r>
        <w:rPr>
          <w:rFonts w:hint="eastAsia" w:asciiTheme="minorEastAsia" w:hAnsiTheme="minorEastAsia" w:eastAsiaTheme="minorEastAsia"/>
          <w:color w:val="000000" w:themeColor="text1"/>
          <w:sz w:val="28"/>
          <w:szCs w:val="28"/>
          <w:highlight w:val="none"/>
          <w:u w:val="single"/>
          <w14:textFill>
            <w14:solidFill>
              <w14:schemeClr w14:val="tx1"/>
            </w14:solidFill>
          </w14:textFill>
        </w:rPr>
        <w:t xml:space="preserve">                </w:t>
      </w:r>
    </w:p>
    <w:p w14:paraId="78664A1F">
      <w:pPr>
        <w:pageBreakBefore w:val="0"/>
        <w:wordWrap/>
        <w:topLinePunct w:val="0"/>
        <w:bidi w:val="0"/>
        <w:spacing w:line="560" w:lineRule="exact"/>
        <w:jc w:val="left"/>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身份证号码：</w:t>
      </w:r>
      <w:r>
        <w:rPr>
          <w:rFonts w:asciiTheme="minorEastAsia" w:hAnsiTheme="minorEastAsia" w:eastAsiaTheme="minorEastAsia"/>
          <w:color w:val="000000" w:themeColor="text1"/>
          <w:sz w:val="28"/>
          <w:szCs w:val="28"/>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z w:val="28"/>
          <w:szCs w:val="28"/>
          <w:highlight w:val="none"/>
          <w14:textFill>
            <w14:solidFill>
              <w14:schemeClr w14:val="tx1"/>
            </w14:solidFill>
          </w14:textFill>
        </w:rPr>
        <w:t>系</w:t>
      </w:r>
      <w:r>
        <w:rPr>
          <w:rFonts w:hint="eastAsia" w:asciiTheme="minorEastAsia" w:hAnsiTheme="minorEastAsia" w:eastAsiaTheme="minorEastAsia"/>
          <w:color w:val="000000" w:themeColor="text1"/>
          <w:sz w:val="28"/>
          <w:szCs w:val="28"/>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z w:val="28"/>
          <w:szCs w:val="28"/>
          <w:highlight w:val="none"/>
          <w:u w:val="single"/>
          <w:lang w:eastAsia="zh-CN"/>
          <w14:textFill>
            <w14:solidFill>
              <w14:schemeClr w14:val="tx1"/>
            </w14:solidFill>
          </w14:textFill>
        </w:rPr>
        <w:t>供应商</w:t>
      </w:r>
      <w:r>
        <w:rPr>
          <w:rFonts w:hint="eastAsia" w:asciiTheme="minorEastAsia" w:hAnsiTheme="minorEastAsia" w:eastAsiaTheme="minorEastAsia"/>
          <w:color w:val="000000" w:themeColor="text1"/>
          <w:sz w:val="28"/>
          <w:szCs w:val="28"/>
          <w:highlight w:val="none"/>
          <w:u w:val="single"/>
          <w14:textFill>
            <w14:solidFill>
              <w14:schemeClr w14:val="tx1"/>
            </w14:solidFill>
          </w14:textFill>
        </w:rPr>
        <w:t xml:space="preserve">名称）              </w:t>
      </w:r>
      <w:r>
        <w:rPr>
          <w:rFonts w:hint="eastAsia" w:asciiTheme="minorEastAsia" w:hAnsiTheme="minorEastAsia" w:eastAsiaTheme="minorEastAsia"/>
          <w:color w:val="000000" w:themeColor="text1"/>
          <w:sz w:val="28"/>
          <w:szCs w:val="28"/>
          <w:highlight w:val="none"/>
          <w14:textFill>
            <w14:solidFill>
              <w14:schemeClr w14:val="tx1"/>
            </w14:solidFill>
          </w14:textFill>
        </w:rPr>
        <w:t>的法定代表人。</w:t>
      </w:r>
    </w:p>
    <w:p w14:paraId="1D867629">
      <w:pPr>
        <w:pageBreakBefore w:val="0"/>
        <w:wordWrap/>
        <w:topLinePunct w:val="0"/>
        <w:bidi w:val="0"/>
        <w:spacing w:line="560" w:lineRule="exact"/>
        <w:ind w:left="540"/>
        <w:jc w:val="left"/>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特此证明。</w:t>
      </w:r>
    </w:p>
    <w:p w14:paraId="655D8F2E">
      <w:pPr>
        <w:pageBreakBefore w:val="0"/>
        <w:wordWrap/>
        <w:topLinePunct w:val="0"/>
        <w:bidi w:val="0"/>
        <w:spacing w:line="560" w:lineRule="exact"/>
        <w:ind w:left="540"/>
        <w:jc w:val="left"/>
        <w:rPr>
          <w:rFonts w:asciiTheme="minorEastAsia" w:hAnsiTheme="minorEastAsia" w:eastAsiaTheme="minorEastAsia"/>
          <w:color w:val="000000" w:themeColor="text1"/>
          <w:sz w:val="28"/>
          <w:szCs w:val="28"/>
          <w:highlight w:val="none"/>
          <w14:textFill>
            <w14:solidFill>
              <w14:schemeClr w14:val="tx1"/>
            </w14:solidFill>
          </w14:textFill>
        </w:rPr>
      </w:pPr>
    </w:p>
    <w:p w14:paraId="6C01075F">
      <w:pPr>
        <w:pageBreakBefore w:val="0"/>
        <w:wordWrap/>
        <w:topLinePunct w:val="0"/>
        <w:bidi w:val="0"/>
        <w:spacing w:line="560" w:lineRule="exact"/>
        <w:ind w:left="540"/>
        <w:jc w:val="left"/>
        <w:rPr>
          <w:rFonts w:asciiTheme="minorEastAsia" w:hAnsiTheme="minorEastAsia" w:eastAsiaTheme="minorEastAsia"/>
          <w:color w:val="000000" w:themeColor="text1"/>
          <w:sz w:val="28"/>
          <w:szCs w:val="28"/>
          <w:highlight w:val="none"/>
          <w14:textFill>
            <w14:solidFill>
              <w14:schemeClr w14:val="tx1"/>
            </w14:solidFill>
          </w14:textFill>
        </w:rPr>
      </w:pPr>
    </w:p>
    <w:p w14:paraId="45A25A9F">
      <w:pPr>
        <w:pageBreakBefore w:val="0"/>
        <w:wordWrap/>
        <w:topLinePunct w:val="0"/>
        <w:bidi w:val="0"/>
        <w:spacing w:line="560" w:lineRule="exact"/>
        <w:ind w:left="540"/>
        <w:jc w:val="left"/>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附件：法定代表人有效身份证正、反面复印件</w:t>
      </w:r>
    </w:p>
    <w:p w14:paraId="0EB96A84">
      <w:pPr>
        <w:pageBreakBefore w:val="0"/>
        <w:wordWrap/>
        <w:topLinePunct w:val="0"/>
        <w:bidi w:val="0"/>
        <w:spacing w:line="560" w:lineRule="exact"/>
        <w:ind w:left="540"/>
        <w:jc w:val="left"/>
        <w:rPr>
          <w:rFonts w:asciiTheme="minorEastAsia" w:hAnsiTheme="minorEastAsia" w:eastAsiaTheme="minorEastAsia"/>
          <w:color w:val="000000" w:themeColor="text1"/>
          <w:sz w:val="28"/>
          <w:szCs w:val="28"/>
          <w:highlight w:val="none"/>
          <w14:textFill>
            <w14:solidFill>
              <w14:schemeClr w14:val="tx1"/>
            </w14:solidFill>
          </w14:textFill>
        </w:rPr>
      </w:pPr>
    </w:p>
    <w:p w14:paraId="61C657F2">
      <w:pPr>
        <w:pageBreakBefore w:val="0"/>
        <w:wordWrap/>
        <w:topLinePunct w:val="0"/>
        <w:bidi w:val="0"/>
        <w:spacing w:line="560" w:lineRule="exact"/>
        <w:ind w:left="540"/>
        <w:jc w:val="left"/>
        <w:rPr>
          <w:rFonts w:asciiTheme="minorEastAsia" w:hAnsiTheme="minorEastAsia" w:eastAsiaTheme="minorEastAsia"/>
          <w:color w:val="000000" w:themeColor="text1"/>
          <w:sz w:val="28"/>
          <w:szCs w:val="28"/>
          <w:highlight w:val="none"/>
          <w14:textFill>
            <w14:solidFill>
              <w14:schemeClr w14:val="tx1"/>
            </w14:solidFill>
          </w14:textFill>
        </w:rPr>
      </w:pPr>
    </w:p>
    <w:p w14:paraId="431681DF">
      <w:pPr>
        <w:pageBreakBefore w:val="0"/>
        <w:wordWrap/>
        <w:topLinePunct w:val="0"/>
        <w:bidi w:val="0"/>
        <w:spacing w:line="560" w:lineRule="exact"/>
        <w:ind w:left="540"/>
        <w:jc w:val="left"/>
        <w:rPr>
          <w:rFonts w:asciiTheme="minorEastAsia" w:hAnsiTheme="minorEastAsia" w:eastAsiaTheme="minorEastAsia"/>
          <w:color w:val="000000" w:themeColor="text1"/>
          <w:sz w:val="28"/>
          <w:szCs w:val="28"/>
          <w:highlight w:val="none"/>
          <w14:textFill>
            <w14:solidFill>
              <w14:schemeClr w14:val="tx1"/>
            </w14:solidFill>
          </w14:textFill>
        </w:rPr>
      </w:pPr>
    </w:p>
    <w:p w14:paraId="392412D9">
      <w:pPr>
        <w:pageBreakBefore w:val="0"/>
        <w:wordWrap/>
        <w:topLinePunct w:val="0"/>
        <w:bidi w:val="0"/>
        <w:spacing w:line="560" w:lineRule="exact"/>
        <w:ind w:left="540"/>
        <w:jc w:val="left"/>
        <w:rPr>
          <w:rFonts w:asciiTheme="minorEastAsia" w:hAnsiTheme="minorEastAsia" w:eastAsiaTheme="minorEastAsia"/>
          <w:color w:val="000000" w:themeColor="text1"/>
          <w:sz w:val="28"/>
          <w:szCs w:val="28"/>
          <w:highlight w:val="none"/>
          <w14:textFill>
            <w14:solidFill>
              <w14:schemeClr w14:val="tx1"/>
            </w14:solidFill>
          </w14:textFill>
        </w:rPr>
      </w:pPr>
    </w:p>
    <w:p w14:paraId="06E2374C">
      <w:pPr>
        <w:pageBreakBefore w:val="0"/>
        <w:wordWrap/>
        <w:topLinePunct w:val="0"/>
        <w:bidi w:val="0"/>
        <w:spacing w:line="560" w:lineRule="exact"/>
        <w:ind w:left="540"/>
        <w:jc w:val="left"/>
        <w:rPr>
          <w:rFonts w:asciiTheme="minorEastAsia" w:hAnsiTheme="minorEastAsia" w:eastAsiaTheme="minorEastAsia"/>
          <w:color w:val="000000" w:themeColor="text1"/>
          <w:sz w:val="28"/>
          <w:szCs w:val="28"/>
          <w:highlight w:val="none"/>
          <w14:textFill>
            <w14:solidFill>
              <w14:schemeClr w14:val="tx1"/>
            </w14:solidFill>
          </w14:textFill>
        </w:rPr>
      </w:pPr>
    </w:p>
    <w:p w14:paraId="2ED3E985">
      <w:pPr>
        <w:pageBreakBefore w:val="0"/>
        <w:wordWrap/>
        <w:topLinePunct w:val="0"/>
        <w:bidi w:val="0"/>
        <w:spacing w:line="560" w:lineRule="exact"/>
        <w:ind w:left="540"/>
        <w:jc w:val="left"/>
        <w:rPr>
          <w:rFonts w:asciiTheme="minorEastAsia" w:hAnsiTheme="minorEastAsia" w:eastAsiaTheme="minorEastAsia"/>
          <w:color w:val="000000" w:themeColor="text1"/>
          <w:sz w:val="28"/>
          <w:szCs w:val="28"/>
          <w:highlight w:val="none"/>
          <w14:textFill>
            <w14:solidFill>
              <w14:schemeClr w14:val="tx1"/>
            </w14:solidFill>
          </w14:textFill>
        </w:rPr>
      </w:pPr>
    </w:p>
    <w:p w14:paraId="30FA1473">
      <w:pPr>
        <w:pageBreakBefore w:val="0"/>
        <w:wordWrap/>
        <w:topLinePunct w:val="0"/>
        <w:bidi w:val="0"/>
        <w:snapToGrid w:val="0"/>
        <w:spacing w:line="560" w:lineRule="exact"/>
        <w:ind w:firstLine="4480" w:firstLineChars="1600"/>
        <w:jc w:val="left"/>
        <w:rPr>
          <w:rFonts w:cs="仿宋_GB2312" w:asciiTheme="minorEastAsia" w:hAnsiTheme="minorEastAsia" w:eastAsiaTheme="minorEastAsia"/>
          <w:color w:val="000000" w:themeColor="text1"/>
          <w:kern w:val="0"/>
          <w:sz w:val="28"/>
          <w:szCs w:val="28"/>
          <w:highlight w:val="none"/>
          <w14:textFill>
            <w14:solidFill>
              <w14:schemeClr w14:val="tx1"/>
            </w14:solidFill>
          </w14:textFill>
        </w:rPr>
      </w:pPr>
      <w:r>
        <w:rPr>
          <w:rFonts w:hint="eastAsia" w:cs="仿宋_GB2312" w:asciiTheme="minorEastAsia" w:hAnsiTheme="minorEastAsia" w:eastAsiaTheme="minorEastAsia"/>
          <w:color w:val="000000" w:themeColor="text1"/>
          <w:kern w:val="0"/>
          <w:sz w:val="28"/>
          <w:szCs w:val="28"/>
          <w:highlight w:val="none"/>
          <w:lang w:val="zh-CN"/>
          <w14:textFill>
            <w14:solidFill>
              <w14:schemeClr w14:val="tx1"/>
            </w14:solidFill>
          </w14:textFill>
        </w:rPr>
        <w:t>供应商名称(电子公章)：</w:t>
      </w:r>
    </w:p>
    <w:p w14:paraId="087F2594">
      <w:pPr>
        <w:pageBreakBefore w:val="0"/>
        <w:wordWrap/>
        <w:topLinePunct w:val="0"/>
        <w:bidi w:val="0"/>
        <w:snapToGrid w:val="0"/>
        <w:spacing w:line="560" w:lineRule="exact"/>
        <w:ind w:firstLine="4480" w:firstLineChars="1600"/>
        <w:jc w:val="left"/>
        <w:rPr>
          <w:rFonts w:cs="仿宋_GB2312" w:asciiTheme="minorEastAsia" w:hAnsiTheme="minorEastAsia" w:eastAsiaTheme="minorEastAsia"/>
          <w:color w:val="000000" w:themeColor="text1"/>
          <w:kern w:val="0"/>
          <w:sz w:val="28"/>
          <w:szCs w:val="28"/>
          <w:highlight w:val="none"/>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8"/>
          <w:szCs w:val="28"/>
          <w:highlight w:val="none"/>
          <w:lang w:val="zh-CN"/>
          <w14:textFill>
            <w14:solidFill>
              <w14:schemeClr w14:val="tx1"/>
            </w14:solidFill>
          </w14:textFill>
        </w:rPr>
        <w:t>日  期</w:t>
      </w:r>
      <w:r>
        <w:rPr>
          <w:rFonts w:hint="eastAsia" w:cs="仿宋_GB2312" w:asciiTheme="minorEastAsia" w:hAnsiTheme="minorEastAsia" w:eastAsiaTheme="minorEastAsia"/>
          <w:color w:val="000000" w:themeColor="text1"/>
          <w:kern w:val="0"/>
          <w:sz w:val="28"/>
          <w:szCs w:val="28"/>
          <w:highlight w:val="none"/>
          <w14:textFill>
            <w14:solidFill>
              <w14:schemeClr w14:val="tx1"/>
            </w14:solidFill>
          </w14:textFill>
        </w:rPr>
        <w:t xml:space="preserve">：  年  </w:t>
      </w:r>
      <w:r>
        <w:rPr>
          <w:rFonts w:hint="eastAsia" w:cs="仿宋_GB2312" w:asciiTheme="minorEastAsia" w:hAnsiTheme="minorEastAsia" w:eastAsiaTheme="minorEastAsia"/>
          <w:color w:val="000000" w:themeColor="text1"/>
          <w:kern w:val="0"/>
          <w:sz w:val="28"/>
          <w:szCs w:val="28"/>
          <w:highlight w:val="none"/>
          <w:lang w:val="zh-CN"/>
          <w14:textFill>
            <w14:solidFill>
              <w14:schemeClr w14:val="tx1"/>
            </w14:solidFill>
          </w14:textFill>
        </w:rPr>
        <w:t>月</w:t>
      </w:r>
      <w:r>
        <w:rPr>
          <w:rFonts w:hint="eastAsia" w:cs="仿宋_GB2312" w:asciiTheme="minorEastAsia" w:hAnsiTheme="minorEastAsia" w:eastAsiaTheme="minorEastAsia"/>
          <w:color w:val="000000" w:themeColor="text1"/>
          <w:kern w:val="0"/>
          <w:sz w:val="28"/>
          <w:szCs w:val="28"/>
          <w:highlight w:val="none"/>
          <w14:textFill>
            <w14:solidFill>
              <w14:schemeClr w14:val="tx1"/>
            </w14:solidFill>
          </w14:textFill>
        </w:rPr>
        <w:t xml:space="preserve">   </w:t>
      </w:r>
      <w:r>
        <w:rPr>
          <w:rFonts w:hint="eastAsia" w:cs="仿宋_GB2312" w:asciiTheme="minorEastAsia" w:hAnsiTheme="minorEastAsia" w:eastAsiaTheme="minorEastAsia"/>
          <w:color w:val="000000" w:themeColor="text1"/>
          <w:kern w:val="0"/>
          <w:sz w:val="28"/>
          <w:szCs w:val="28"/>
          <w:highlight w:val="none"/>
          <w:lang w:val="zh-CN"/>
          <w14:textFill>
            <w14:solidFill>
              <w14:schemeClr w14:val="tx1"/>
            </w14:solidFill>
          </w14:textFill>
        </w:rPr>
        <w:t>日</w:t>
      </w:r>
    </w:p>
    <w:p w14:paraId="7A17907E">
      <w:pPr>
        <w:pageBreakBefore w:val="0"/>
        <w:wordWrap/>
        <w:topLinePunct w:val="0"/>
        <w:bidi w:val="0"/>
        <w:snapToGrid w:val="0"/>
        <w:spacing w:before="120" w:beforeLines="50" w:after="50" w:line="560" w:lineRule="exact"/>
        <w:jc w:val="left"/>
        <w:rPr>
          <w:rFonts w:ascii="宋体" w:hAnsi="宋体"/>
          <w:color w:val="000000" w:themeColor="text1"/>
          <w:sz w:val="24"/>
          <w:highlight w:val="none"/>
          <w14:textFill>
            <w14:solidFill>
              <w14:schemeClr w14:val="tx1"/>
            </w14:solidFill>
          </w14:textFill>
        </w:rPr>
      </w:pPr>
    </w:p>
    <w:p w14:paraId="0AD6F9E8">
      <w:pPr>
        <w:pageBreakBefore w:val="0"/>
        <w:wordWrap/>
        <w:topLinePunct w:val="0"/>
        <w:bidi w:val="0"/>
        <w:snapToGrid w:val="0"/>
        <w:spacing w:before="120" w:beforeLines="50" w:after="50" w:line="560" w:lineRule="exact"/>
        <w:ind w:firstLine="602" w:firstLineChars="250"/>
        <w:jc w:val="left"/>
        <w:rPr>
          <w:rFonts w:ascii="宋体" w:hAnsi="宋体"/>
          <w:b/>
          <w:color w:val="000000" w:themeColor="text1"/>
          <w:sz w:val="24"/>
          <w:szCs w:val="20"/>
          <w:highlight w:val="none"/>
          <w14:textFill>
            <w14:solidFill>
              <w14:schemeClr w14:val="tx1"/>
            </w14:solidFill>
          </w14:textFill>
        </w:rPr>
      </w:pPr>
    </w:p>
    <w:tbl>
      <w:tblPr>
        <w:tblStyle w:val="34"/>
        <w:tblpPr w:leftFromText="180" w:rightFromText="180" w:vertAnchor="text" w:horzAnchor="margin" w:tblpXSpec="center" w:tblpY="1169"/>
        <w:tblW w:w="84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0"/>
      </w:tblGrid>
      <w:tr w14:paraId="79907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5" w:hRule="atLeast"/>
          <w:jc w:val="center"/>
        </w:trPr>
        <w:tc>
          <w:tcPr>
            <w:tcW w:w="8460" w:type="dxa"/>
            <w:tcBorders>
              <w:top w:val="single" w:color="auto" w:sz="4" w:space="0"/>
              <w:left w:val="single" w:color="auto" w:sz="4" w:space="0"/>
              <w:bottom w:val="single" w:color="auto" w:sz="4" w:space="0"/>
              <w:right w:val="single" w:color="auto" w:sz="4" w:space="0"/>
            </w:tcBorders>
          </w:tcPr>
          <w:p w14:paraId="4BA2E530">
            <w:pPr>
              <w:pageBreakBefore w:val="0"/>
              <w:wordWrap/>
              <w:topLinePunct w:val="0"/>
              <w:bidi w:val="0"/>
              <w:spacing w:line="560" w:lineRule="exact"/>
              <w:rPr>
                <w:rFonts w:ascii="宋体"/>
                <w:b/>
                <w:color w:val="000000" w:themeColor="text1"/>
                <w:sz w:val="24"/>
                <w:highlight w:val="none"/>
                <w14:textFill>
                  <w14:solidFill>
                    <w14:schemeClr w14:val="tx1"/>
                  </w14:solidFill>
                </w14:textFill>
              </w:rPr>
            </w:pPr>
          </w:p>
          <w:p w14:paraId="314100D1">
            <w:pPr>
              <w:pageBreakBefore w:val="0"/>
              <w:wordWrap/>
              <w:topLinePunct w:val="0"/>
              <w:bidi w:val="0"/>
              <w:spacing w:line="560" w:lineRule="exact"/>
              <w:rPr>
                <w:rFonts w:ascii="宋体"/>
                <w:b/>
                <w:color w:val="000000" w:themeColor="text1"/>
                <w:sz w:val="24"/>
                <w:highlight w:val="none"/>
                <w14:textFill>
                  <w14:solidFill>
                    <w14:schemeClr w14:val="tx1"/>
                  </w14:solidFill>
                </w14:textFill>
              </w:rPr>
            </w:pPr>
            <w:r>
              <w:rPr>
                <w:rFonts w:hint="eastAsia" w:ascii="宋体"/>
                <w:b/>
                <w:color w:val="000000" w:themeColor="text1"/>
                <w:sz w:val="24"/>
                <w:highlight w:val="none"/>
                <w14:textFill>
                  <w14:solidFill>
                    <w14:schemeClr w14:val="tx1"/>
                  </w14:solidFill>
                </w14:textFill>
              </w:rPr>
              <w:t>法定代表身份证复印件粘帖处（正、反面）</w:t>
            </w:r>
          </w:p>
        </w:tc>
      </w:tr>
    </w:tbl>
    <w:p w14:paraId="61561AF9">
      <w:pPr>
        <w:pStyle w:val="17"/>
        <w:pageBreakBefore w:val="0"/>
        <w:wordWrap/>
        <w:topLinePunct w:val="0"/>
        <w:bidi w:val="0"/>
        <w:spacing w:line="560" w:lineRule="exact"/>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附件：</w:t>
      </w:r>
    </w:p>
    <w:p w14:paraId="70F48578">
      <w:pPr>
        <w:pStyle w:val="17"/>
        <w:pageBreakBefore w:val="0"/>
        <w:wordWrap/>
        <w:topLinePunct w:val="0"/>
        <w:bidi w:val="0"/>
        <w:spacing w:line="560" w:lineRule="exact"/>
        <w:rPr>
          <w:color w:val="000000" w:themeColor="text1"/>
          <w:highlight w:val="none"/>
          <w14:textFill>
            <w14:solidFill>
              <w14:schemeClr w14:val="tx1"/>
            </w14:solidFill>
          </w14:textFill>
        </w:rPr>
      </w:pPr>
    </w:p>
    <w:p w14:paraId="773D5D05">
      <w:pPr>
        <w:pageBreakBefore w:val="0"/>
        <w:widowControl/>
        <w:wordWrap/>
        <w:topLinePunct w:val="0"/>
        <w:bidi w:val="0"/>
        <w:spacing w:line="560" w:lineRule="exact"/>
        <w:jc w:val="left"/>
        <w:rPr>
          <w:rFonts w:ascii="宋体" w:hAnsi="宋体"/>
          <w:b/>
          <w:color w:val="000000" w:themeColor="text1"/>
          <w:sz w:val="24"/>
          <w:szCs w:val="20"/>
          <w:highlight w:val="none"/>
          <w14:textFill>
            <w14:solidFill>
              <w14:schemeClr w14:val="tx1"/>
            </w14:solidFill>
          </w14:textFill>
        </w:rPr>
      </w:pPr>
      <w:r>
        <w:rPr>
          <w:rFonts w:hAnsi="宋体"/>
          <w:b/>
          <w:color w:val="000000" w:themeColor="text1"/>
          <w:sz w:val="24"/>
          <w:highlight w:val="none"/>
          <w14:textFill>
            <w14:solidFill>
              <w14:schemeClr w14:val="tx1"/>
            </w14:solidFill>
          </w14:textFill>
        </w:rPr>
        <w:br w:type="page"/>
      </w:r>
    </w:p>
    <w:p w14:paraId="5E9E8C89">
      <w:pPr>
        <w:pageBreakBefore w:val="0"/>
        <w:wordWrap/>
        <w:topLinePunct w:val="0"/>
        <w:bidi w:val="0"/>
        <w:spacing w:line="560" w:lineRule="exact"/>
        <w:jc w:val="center"/>
        <w:rPr>
          <w:b/>
          <w:color w:val="000000" w:themeColor="text1"/>
          <w:sz w:val="28"/>
          <w:szCs w:val="28"/>
          <w:highlight w:val="none"/>
          <w14:textFill>
            <w14:solidFill>
              <w14:schemeClr w14:val="tx1"/>
            </w14:solidFill>
          </w14:textFill>
        </w:rPr>
      </w:pPr>
      <w:r>
        <w:rPr>
          <w:rFonts w:hint="eastAsia"/>
          <w:b/>
          <w:color w:val="000000" w:themeColor="text1"/>
          <w:sz w:val="28"/>
          <w:szCs w:val="28"/>
          <w:highlight w:val="none"/>
          <w14:textFill>
            <w14:solidFill>
              <w14:schemeClr w14:val="tx1"/>
            </w14:solidFill>
          </w14:textFill>
        </w:rPr>
        <w:t>三、法定代表人授权委托书（如有委托时）</w:t>
      </w:r>
    </w:p>
    <w:p w14:paraId="0F6E643A">
      <w:pPr>
        <w:pageBreakBefore w:val="0"/>
        <w:wordWrap/>
        <w:topLinePunct w:val="0"/>
        <w:bidi w:val="0"/>
        <w:spacing w:line="560" w:lineRule="exact"/>
        <w:rPr>
          <w:color w:val="000000" w:themeColor="text1"/>
          <w:sz w:val="28"/>
          <w:szCs w:val="28"/>
          <w:highlight w:val="none"/>
          <w14:textFill>
            <w14:solidFill>
              <w14:schemeClr w14:val="tx1"/>
            </w14:solidFill>
          </w14:textFill>
        </w:rPr>
      </w:pPr>
    </w:p>
    <w:p w14:paraId="1015822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color w:val="000000" w:themeColor="text1"/>
          <w:sz w:val="28"/>
          <w:szCs w:val="28"/>
          <w:highlight w:val="none"/>
          <w:u w:val="single"/>
          <w:lang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t>致：</w:t>
      </w:r>
      <w:r>
        <w:rPr>
          <w:rFonts w:hint="eastAsia" w:asciiTheme="minorEastAsia" w:hAnsiTheme="minorEastAsia" w:eastAsiaTheme="minorEastAsia" w:cstheme="minorEastAsia"/>
          <w:color w:val="000000" w:themeColor="text1"/>
          <w:sz w:val="28"/>
          <w:szCs w:val="28"/>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highlight w:val="none"/>
          <w:u w:val="single"/>
          <w:lang w:eastAsia="zh-CN"/>
          <w14:textFill>
            <w14:solidFill>
              <w14:schemeClr w14:val="tx1"/>
            </w14:solidFill>
          </w14:textFill>
        </w:rPr>
        <w:t>采购人名称）</w:t>
      </w:r>
    </w:p>
    <w:p w14:paraId="60D4DBB4">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 xml:space="preserve">本人 </w:t>
      </w:r>
      <w: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（姓名）系</w:t>
      </w:r>
      <w: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名称）的法定代表人，现授权我单位在职正式员工</w:t>
      </w:r>
      <w: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（姓名和职务）为我方代理人。代理人根据授权，以我方名义签署、澄清、说明、补正、递交、撤回、修改贵方组织的</w:t>
      </w:r>
      <w: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highlight w:val="none"/>
          <w:u w:val="single"/>
          <w:lang w:val="en-US" w:eastAsia="zh-CN"/>
          <w14:textFill>
            <w14:solidFill>
              <w14:schemeClr w14:val="tx1"/>
            </w14:solidFill>
          </w14:textFill>
        </w:rPr>
        <w:t xml:space="preserve">         （项目名称、标项名称）   </w:t>
      </w:r>
      <w: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（项目编号：</w:t>
      </w:r>
      <w:r>
        <w:rPr>
          <w:rFonts w:hint="eastAsia" w:asciiTheme="minorEastAsia" w:hAnsiTheme="minorEastAsia" w:eastAsiaTheme="minorEastAsia" w:cstheme="minorEastAsia"/>
          <w:color w:val="000000" w:themeColor="text1"/>
          <w:sz w:val="28"/>
          <w:szCs w:val="28"/>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）的投标文件、签订合同和处理一切有关事宜，其法律后果由我方承担。</w:t>
      </w:r>
    </w:p>
    <w:p w14:paraId="739B4D4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本授权书于</w:t>
      </w:r>
      <w: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年</w:t>
      </w:r>
      <w: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月</w:t>
      </w:r>
      <w: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日签字生效，委托期限：</w:t>
      </w:r>
      <w: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w:t>
      </w:r>
    </w:p>
    <w:p w14:paraId="7C48A17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代理人无转委托权。</w:t>
      </w:r>
    </w:p>
    <w:p w14:paraId="09E2A3E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p>
    <w:p w14:paraId="529E8DA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p>
    <w:p w14:paraId="32D9A6D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p>
    <w:p w14:paraId="1707E55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 xml:space="preserve">       供应商名称</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电子公章</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 xml:space="preserve">）：                                    </w:t>
      </w:r>
    </w:p>
    <w:p w14:paraId="535FCE7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法定代表人（</w:t>
      </w:r>
      <w:r>
        <w:rPr>
          <w:rFonts w:hint="eastAsia" w:ascii="宋体" w:hAnsi="宋体" w:eastAsia="宋体" w:cs="宋体"/>
          <w:color w:val="000000" w:themeColor="text1"/>
          <w:sz w:val="28"/>
          <w:szCs w:val="28"/>
          <w:highlight w:val="none"/>
          <w14:textFill>
            <w14:solidFill>
              <w14:schemeClr w14:val="tx1"/>
            </w14:solidFill>
          </w14:textFill>
        </w:rPr>
        <w:t>签字或盖章</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 xml:space="preserve">）：    </w:t>
      </w:r>
      <w:r>
        <w:rPr>
          <w:color w:val="000000" w:themeColor="text1"/>
          <w:highlight w:val="none"/>
          <w14:textFill>
            <w14:solidFill>
              <w14:schemeClr w14:val="tx1"/>
            </w14:solidFill>
          </w14:textFill>
        </w:rPr>
        <w:t xml:space="preserve">                            </w:t>
      </w:r>
    </w:p>
    <w:p w14:paraId="069780F2">
      <w:pPr>
        <w:pStyle w:val="17"/>
        <w:pageBreakBefore w:val="0"/>
        <w:wordWrap/>
        <w:topLinePunct w:val="0"/>
        <w:bidi w:val="0"/>
        <w:spacing w:before="120" w:after="120" w:line="560" w:lineRule="exact"/>
        <w:outlineLvl w:val="9"/>
        <w:rPr>
          <w:color w:val="000000" w:themeColor="text1"/>
          <w:highlight w:val="none"/>
          <w14:textFill>
            <w14:solidFill>
              <w14:schemeClr w14:val="tx1"/>
            </w14:solidFill>
          </w14:textFill>
        </w:rPr>
      </w:pPr>
    </w:p>
    <w:p w14:paraId="134B2D3F">
      <w:pPr>
        <w:pageBreakBefore w:val="0"/>
        <w:wordWrap/>
        <w:topLinePunct w:val="0"/>
        <w:autoSpaceDE w:val="0"/>
        <w:autoSpaceDN w:val="0"/>
        <w:bidi w:val="0"/>
        <w:adjustRightInd w:val="0"/>
        <w:spacing w:line="560" w:lineRule="exact"/>
        <w:ind w:firstLine="420" w:firstLineChars="200"/>
        <w:jc w:val="left"/>
        <w:rPr>
          <w:rFonts w:ascii="宋体" w:cs="宋体"/>
          <w:color w:val="000000" w:themeColor="text1"/>
          <w:kern w:val="0"/>
          <w:szCs w:val="21"/>
          <w:highlight w:val="none"/>
          <w14:textFill>
            <w14:solidFill>
              <w14:schemeClr w14:val="tx1"/>
            </w14:solidFill>
          </w14:textFill>
        </w:rPr>
      </w:pPr>
      <w:r>
        <w:rPr>
          <w:rFonts w:hint="eastAsia" w:ascii="宋体" w:cs="宋体"/>
          <w:color w:val="000000" w:themeColor="text1"/>
          <w:kern w:val="0"/>
          <w:szCs w:val="21"/>
          <w:highlight w:val="none"/>
          <w14:textFill>
            <w14:solidFill>
              <w14:schemeClr w14:val="tx1"/>
            </w14:solidFill>
          </w14:textFill>
        </w:rPr>
        <w:t xml:space="preserve"> </w:t>
      </w:r>
    </w:p>
    <w:p w14:paraId="3BF4DF24">
      <w:pPr>
        <w:pageBreakBefore w:val="0"/>
        <w:wordWrap/>
        <w:topLinePunct w:val="0"/>
        <w:autoSpaceDE w:val="0"/>
        <w:autoSpaceDN w:val="0"/>
        <w:bidi w:val="0"/>
        <w:adjustRightInd w:val="0"/>
        <w:spacing w:line="560" w:lineRule="exact"/>
        <w:ind w:firstLine="420" w:firstLineChars="200"/>
        <w:jc w:val="left"/>
        <w:rPr>
          <w:rFonts w:ascii="宋体" w:cs="宋体"/>
          <w:color w:val="000000" w:themeColor="text1"/>
          <w:kern w:val="0"/>
          <w:szCs w:val="21"/>
          <w:highlight w:val="none"/>
          <w14:textFill>
            <w14:solidFill>
              <w14:schemeClr w14:val="tx1"/>
            </w14:solidFill>
          </w14:textFill>
        </w:rPr>
      </w:pPr>
    </w:p>
    <w:p w14:paraId="5A144E4F">
      <w:pPr>
        <w:pageBreakBefore w:val="0"/>
        <w:wordWrap/>
        <w:topLinePunct w:val="0"/>
        <w:autoSpaceDE w:val="0"/>
        <w:autoSpaceDN w:val="0"/>
        <w:bidi w:val="0"/>
        <w:adjustRightInd w:val="0"/>
        <w:spacing w:line="560" w:lineRule="exact"/>
        <w:ind w:firstLine="420" w:firstLineChars="200"/>
        <w:jc w:val="left"/>
        <w:rPr>
          <w:rFonts w:ascii="宋体" w:cs="宋体"/>
          <w:color w:val="000000" w:themeColor="text1"/>
          <w:kern w:val="0"/>
          <w:szCs w:val="21"/>
          <w:highlight w:val="none"/>
          <w14:textFill>
            <w14:solidFill>
              <w14:schemeClr w14:val="tx1"/>
            </w14:solidFill>
          </w14:textFill>
        </w:rPr>
      </w:pPr>
    </w:p>
    <w:p w14:paraId="31F64FD8">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注：</w:t>
      </w:r>
    </w:p>
    <w:p w14:paraId="37B6E8DC">
      <w:pPr>
        <w:keepNext w:val="0"/>
        <w:keepLines w:val="0"/>
        <w:pageBreakBefore w:val="0"/>
        <w:widowControl w:val="0"/>
        <w:kinsoku/>
        <w:wordWrap/>
        <w:overflowPunct/>
        <w:topLinePunct w:val="0"/>
        <w:autoSpaceDE/>
        <w:autoSpaceDN/>
        <w:bidi w:val="0"/>
        <w:adjustRightInd/>
        <w:snapToGrid w:val="0"/>
        <w:spacing w:line="560" w:lineRule="exact"/>
        <w:jc w:val="lef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1. 供应商为其他组织或者自然人时，本招标文件规定的法定代表人指负责人或者自然人。本招标文件所称负责人是指参加投标的其他组织营业执照上的负责人，本招标文件所称自然人指参与投标的自然人本人。</w:t>
      </w:r>
    </w:p>
    <w:p w14:paraId="2CD91A6C">
      <w:pPr>
        <w:pageBreakBefore w:val="0"/>
        <w:widowControl/>
        <w:wordWrap/>
        <w:topLinePunct w:val="0"/>
        <w:bidi w:val="0"/>
        <w:spacing w:line="560" w:lineRule="exact"/>
        <w:jc w:val="left"/>
        <w:rPr>
          <w:rFonts w:ascii="宋体"/>
          <w:b/>
          <w:color w:val="000000" w:themeColor="text1"/>
          <w:sz w:val="24"/>
          <w:highlight w:val="none"/>
          <w14:textFill>
            <w14:solidFill>
              <w14:schemeClr w14:val="tx1"/>
            </w14:solidFill>
          </w14:textFill>
        </w:rPr>
      </w:pPr>
    </w:p>
    <w:p w14:paraId="29C502D9">
      <w:pPr>
        <w:pageBreakBefore w:val="0"/>
        <w:wordWrap/>
        <w:topLinePunct w:val="0"/>
        <w:bidi w:val="0"/>
        <w:spacing w:line="560" w:lineRule="exact"/>
        <w:rPr>
          <w:rFonts w:hint="eastAsia" w:ascii="宋体"/>
          <w:b/>
          <w:color w:val="000000" w:themeColor="text1"/>
          <w:sz w:val="24"/>
          <w:highlight w:val="none"/>
          <w14:textFill>
            <w14:solidFill>
              <w14:schemeClr w14:val="tx1"/>
            </w14:solidFill>
          </w14:textFill>
        </w:rPr>
      </w:pPr>
    </w:p>
    <w:p w14:paraId="56B02CB8">
      <w:pPr>
        <w:pageBreakBefore w:val="0"/>
        <w:wordWrap/>
        <w:topLinePunct w:val="0"/>
        <w:bidi w:val="0"/>
        <w:spacing w:line="560" w:lineRule="exact"/>
        <w:rPr>
          <w:b/>
          <w:color w:val="000000" w:themeColor="text1"/>
          <w:sz w:val="24"/>
          <w:highlight w:val="none"/>
          <w14:textFill>
            <w14:solidFill>
              <w14:schemeClr w14:val="tx1"/>
            </w14:solidFill>
          </w14:textFill>
        </w:rPr>
      </w:pPr>
      <w:r>
        <w:rPr>
          <w:rFonts w:hint="eastAsia" w:ascii="宋体"/>
          <w:b/>
          <w:color w:val="000000" w:themeColor="text1"/>
          <w:sz w:val="24"/>
          <w:highlight w:val="none"/>
          <w14:textFill>
            <w14:solidFill>
              <w14:schemeClr w14:val="tx1"/>
            </w14:solidFill>
          </w14:textFill>
        </w:rPr>
        <w:t>附件：</w:t>
      </w:r>
    </w:p>
    <w:tbl>
      <w:tblPr>
        <w:tblStyle w:val="34"/>
        <w:tblpPr w:leftFromText="180" w:rightFromText="180" w:vertAnchor="text" w:horzAnchor="margin" w:tblpXSpec="center" w:tblpY="263"/>
        <w:tblW w:w="79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0"/>
      </w:tblGrid>
      <w:tr w14:paraId="1A974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0" w:hRule="atLeast"/>
          <w:jc w:val="center"/>
        </w:trPr>
        <w:tc>
          <w:tcPr>
            <w:tcW w:w="7990" w:type="dxa"/>
            <w:tcBorders>
              <w:top w:val="single" w:color="auto" w:sz="4" w:space="0"/>
              <w:left w:val="single" w:color="auto" w:sz="4" w:space="0"/>
              <w:bottom w:val="single" w:color="auto" w:sz="4" w:space="0"/>
              <w:right w:val="single" w:color="auto" w:sz="4" w:space="0"/>
            </w:tcBorders>
          </w:tcPr>
          <w:p w14:paraId="05BA6782">
            <w:pPr>
              <w:pageBreakBefore w:val="0"/>
              <w:wordWrap/>
              <w:topLinePunct w:val="0"/>
              <w:bidi w:val="0"/>
              <w:spacing w:line="560" w:lineRule="exact"/>
              <w:rPr>
                <w:rFonts w:ascii="宋体"/>
                <w:b/>
                <w:color w:val="000000" w:themeColor="text1"/>
                <w:sz w:val="24"/>
                <w:highlight w:val="none"/>
                <w14:textFill>
                  <w14:solidFill>
                    <w14:schemeClr w14:val="tx1"/>
                  </w14:solidFill>
                </w14:textFill>
              </w:rPr>
            </w:pPr>
          </w:p>
          <w:p w14:paraId="0FB0D289">
            <w:pPr>
              <w:pageBreakBefore w:val="0"/>
              <w:wordWrap/>
              <w:topLinePunct w:val="0"/>
              <w:bidi w:val="0"/>
              <w:spacing w:line="560" w:lineRule="exact"/>
              <w:rPr>
                <w:rFonts w:ascii="宋体"/>
                <w:b/>
                <w:color w:val="000000" w:themeColor="text1"/>
                <w:sz w:val="24"/>
                <w:highlight w:val="none"/>
                <w14:textFill>
                  <w14:solidFill>
                    <w14:schemeClr w14:val="tx1"/>
                  </w14:solidFill>
                </w14:textFill>
              </w:rPr>
            </w:pPr>
            <w:r>
              <w:rPr>
                <w:rFonts w:hint="eastAsia" w:ascii="宋体"/>
                <w:b/>
                <w:color w:val="000000" w:themeColor="text1"/>
                <w:sz w:val="24"/>
                <w:highlight w:val="none"/>
                <w14:textFill>
                  <w14:solidFill>
                    <w14:schemeClr w14:val="tx1"/>
                  </w14:solidFill>
                </w14:textFill>
              </w:rPr>
              <w:t>全权代表身份证复印件粘帖处（正、反面）</w:t>
            </w:r>
          </w:p>
        </w:tc>
      </w:tr>
    </w:tbl>
    <w:p w14:paraId="0B7F8DBC">
      <w:pPr>
        <w:pageBreakBefore w:val="0"/>
        <w:wordWrap/>
        <w:topLinePunct w:val="0"/>
        <w:bidi w:val="0"/>
        <w:snapToGrid w:val="0"/>
        <w:spacing w:before="50" w:after="120" w:afterLines="50" w:line="560" w:lineRule="exact"/>
        <w:jc w:val="left"/>
        <w:rPr>
          <w:rFonts w:ascii="仿宋_GB2312" w:hAnsi="仿宋_GB2312" w:eastAsia="仿宋_GB2312" w:cs="仿宋_GB2312"/>
          <w:color w:val="000000" w:themeColor="text1"/>
          <w:szCs w:val="21"/>
          <w:highlight w:val="none"/>
          <w14:textFill>
            <w14:solidFill>
              <w14:schemeClr w14:val="tx1"/>
            </w14:solidFill>
          </w14:textFill>
        </w:rPr>
      </w:pPr>
    </w:p>
    <w:p w14:paraId="201A4C61">
      <w:pPr>
        <w:pageBreakBefore w:val="0"/>
        <w:wordWrap/>
        <w:topLinePunct w:val="0"/>
        <w:bidi w:val="0"/>
        <w:snapToGrid w:val="0"/>
        <w:spacing w:before="120" w:beforeLines="50" w:after="50" w:line="560" w:lineRule="exact"/>
        <w:ind w:firstLine="566" w:firstLineChars="236"/>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br w:type="page"/>
      </w:r>
    </w:p>
    <w:p w14:paraId="7F97D233">
      <w:pPr>
        <w:pageBreakBefore w:val="0"/>
        <w:wordWrap/>
        <w:topLinePunct w:val="0"/>
        <w:bidi w:val="0"/>
        <w:spacing w:line="560" w:lineRule="exact"/>
        <w:jc w:val="center"/>
        <w:rPr>
          <w:rFonts w:ascii="宋体" w:hAnsi="宋体"/>
          <w:color w:val="000000" w:themeColor="text1"/>
          <w:sz w:val="24"/>
          <w:highlight w:val="none"/>
          <w14:textFill>
            <w14:solidFill>
              <w14:schemeClr w14:val="tx1"/>
            </w14:solidFill>
          </w14:textFill>
        </w:rPr>
      </w:pPr>
      <w:r>
        <w:rPr>
          <w:rFonts w:hint="eastAsia"/>
          <w:b/>
          <w:bCs/>
          <w:color w:val="000000" w:themeColor="text1"/>
          <w:sz w:val="30"/>
          <w:szCs w:val="30"/>
          <w:highlight w:val="none"/>
          <w14:textFill>
            <w14:solidFill>
              <w14:schemeClr w14:val="tx1"/>
            </w14:solidFill>
          </w14:textFill>
        </w:rPr>
        <w:t>四、商务条款偏离表</w:t>
      </w:r>
    </w:p>
    <w:p w14:paraId="6F278C6A">
      <w:pPr>
        <w:pStyle w:val="17"/>
        <w:pageBreakBefore w:val="0"/>
        <w:wordWrap/>
        <w:topLinePunct w:val="0"/>
        <w:bidi w:val="0"/>
        <w:spacing w:line="560" w:lineRule="exact"/>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供应商根据本项目招标文件，详细填写相应的具体内容。“偏离说明”一栏应当选择“正偏离”、“负偏离”或“无偏离”进行填写。</w:t>
      </w:r>
    </w:p>
    <w:tbl>
      <w:tblPr>
        <w:tblStyle w:val="34"/>
        <w:tblpPr w:leftFromText="180" w:rightFromText="180" w:vertAnchor="text" w:horzAnchor="margin" w:tblpXSpec="center" w:tblpY="94"/>
        <w:tblW w:w="9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800"/>
        <w:gridCol w:w="3429"/>
        <w:gridCol w:w="1434"/>
      </w:tblGrid>
      <w:tr w14:paraId="1AC47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817" w:type="dxa"/>
            <w:tcBorders>
              <w:top w:val="single" w:color="auto" w:sz="4" w:space="0"/>
              <w:left w:val="single" w:color="auto" w:sz="4" w:space="0"/>
              <w:bottom w:val="single" w:color="auto" w:sz="4" w:space="0"/>
              <w:right w:val="single" w:color="auto" w:sz="4" w:space="0"/>
            </w:tcBorders>
            <w:vAlign w:val="center"/>
          </w:tcPr>
          <w:p w14:paraId="4581B3FC">
            <w:pPr>
              <w:pageBreakBefore w:val="0"/>
              <w:wordWrap/>
              <w:topLinePunct w:val="0"/>
              <w:bidi w:val="0"/>
              <w:spacing w:line="560" w:lineRule="exact"/>
              <w:jc w:val="center"/>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项号</w:t>
            </w:r>
          </w:p>
        </w:tc>
        <w:tc>
          <w:tcPr>
            <w:tcW w:w="3800" w:type="dxa"/>
            <w:tcBorders>
              <w:top w:val="single" w:color="auto" w:sz="4" w:space="0"/>
              <w:left w:val="single" w:color="auto" w:sz="4" w:space="0"/>
              <w:bottom w:val="single" w:color="auto" w:sz="4" w:space="0"/>
              <w:right w:val="single" w:color="auto" w:sz="4" w:space="0"/>
            </w:tcBorders>
            <w:vAlign w:val="center"/>
          </w:tcPr>
          <w:p w14:paraId="030E56AC">
            <w:pPr>
              <w:pageBreakBefore w:val="0"/>
              <w:wordWrap/>
              <w:topLinePunct w:val="0"/>
              <w:bidi w:val="0"/>
              <w:spacing w:line="560" w:lineRule="exact"/>
              <w:jc w:val="center"/>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招标文件的商务需求</w:t>
            </w:r>
          </w:p>
        </w:tc>
        <w:tc>
          <w:tcPr>
            <w:tcW w:w="3429" w:type="dxa"/>
            <w:tcBorders>
              <w:top w:val="single" w:color="auto" w:sz="4" w:space="0"/>
              <w:left w:val="single" w:color="auto" w:sz="4" w:space="0"/>
              <w:bottom w:val="single" w:color="auto" w:sz="4" w:space="0"/>
              <w:right w:val="single" w:color="auto" w:sz="4" w:space="0"/>
            </w:tcBorders>
            <w:vAlign w:val="center"/>
          </w:tcPr>
          <w:p w14:paraId="1295A407">
            <w:pPr>
              <w:pageBreakBefore w:val="0"/>
              <w:wordWrap/>
              <w:topLinePunct w:val="0"/>
              <w:bidi w:val="0"/>
              <w:spacing w:line="560" w:lineRule="exact"/>
              <w:jc w:val="center"/>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投标文件承诺的商务条款</w:t>
            </w:r>
          </w:p>
        </w:tc>
        <w:tc>
          <w:tcPr>
            <w:tcW w:w="1434" w:type="dxa"/>
            <w:tcBorders>
              <w:top w:val="single" w:color="auto" w:sz="4" w:space="0"/>
              <w:left w:val="single" w:color="auto" w:sz="4" w:space="0"/>
              <w:bottom w:val="single" w:color="auto" w:sz="4" w:space="0"/>
              <w:right w:val="single" w:color="auto" w:sz="4" w:space="0"/>
            </w:tcBorders>
            <w:vAlign w:val="center"/>
          </w:tcPr>
          <w:p w14:paraId="579353CF">
            <w:pPr>
              <w:pageBreakBefore w:val="0"/>
              <w:wordWrap/>
              <w:topLinePunct w:val="0"/>
              <w:bidi w:val="0"/>
              <w:spacing w:line="560" w:lineRule="exact"/>
              <w:jc w:val="center"/>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偏离说明</w:t>
            </w:r>
          </w:p>
        </w:tc>
      </w:tr>
      <w:tr w14:paraId="5BE05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7" w:hRule="atLeast"/>
        </w:trPr>
        <w:tc>
          <w:tcPr>
            <w:tcW w:w="817" w:type="dxa"/>
            <w:tcBorders>
              <w:top w:val="single" w:color="auto" w:sz="4" w:space="0"/>
              <w:left w:val="single" w:color="auto" w:sz="4" w:space="0"/>
              <w:bottom w:val="single" w:color="auto" w:sz="4" w:space="0"/>
              <w:right w:val="single" w:color="auto" w:sz="4" w:space="0"/>
            </w:tcBorders>
          </w:tcPr>
          <w:p w14:paraId="2D670F8E">
            <w:pPr>
              <w:pageBreakBefore w:val="0"/>
              <w:wordWrap/>
              <w:topLinePunct w:val="0"/>
              <w:bidi w:val="0"/>
              <w:spacing w:line="560" w:lineRule="exact"/>
              <w:rPr>
                <w:rFonts w:asciiTheme="minorEastAsia" w:hAnsiTheme="minorEastAsia" w:eastAsiaTheme="minorEastAsia"/>
                <w:color w:val="000000" w:themeColor="text1"/>
                <w:sz w:val="28"/>
                <w:szCs w:val="28"/>
                <w:highlight w:val="none"/>
                <w14:textFill>
                  <w14:solidFill>
                    <w14:schemeClr w14:val="tx1"/>
                  </w14:solidFill>
                </w14:textFill>
              </w:rPr>
            </w:pPr>
          </w:p>
        </w:tc>
        <w:tc>
          <w:tcPr>
            <w:tcW w:w="3800" w:type="dxa"/>
            <w:tcBorders>
              <w:top w:val="single" w:color="auto" w:sz="4" w:space="0"/>
              <w:left w:val="single" w:color="auto" w:sz="4" w:space="0"/>
              <w:bottom w:val="single" w:color="auto" w:sz="4" w:space="0"/>
              <w:right w:val="single" w:color="auto" w:sz="4" w:space="0"/>
            </w:tcBorders>
          </w:tcPr>
          <w:p w14:paraId="448A0D26">
            <w:pPr>
              <w:pageBreakBefore w:val="0"/>
              <w:wordWrap/>
              <w:topLinePunct w:val="0"/>
              <w:bidi w:val="0"/>
              <w:spacing w:line="560" w:lineRule="exact"/>
              <w:rPr>
                <w:rFonts w:asciiTheme="minorEastAsia" w:hAnsiTheme="minorEastAsia" w:eastAsiaTheme="minorEastAsia"/>
                <w:color w:val="000000" w:themeColor="text1"/>
                <w:sz w:val="28"/>
                <w:szCs w:val="28"/>
                <w:highlight w:val="none"/>
                <w14:textFill>
                  <w14:solidFill>
                    <w14:schemeClr w14:val="tx1"/>
                  </w14:solidFill>
                </w14:textFill>
              </w:rPr>
            </w:pPr>
          </w:p>
        </w:tc>
        <w:tc>
          <w:tcPr>
            <w:tcW w:w="3429" w:type="dxa"/>
            <w:tcBorders>
              <w:top w:val="single" w:color="auto" w:sz="4" w:space="0"/>
              <w:left w:val="single" w:color="auto" w:sz="4" w:space="0"/>
              <w:bottom w:val="single" w:color="auto" w:sz="4" w:space="0"/>
              <w:right w:val="single" w:color="auto" w:sz="4" w:space="0"/>
            </w:tcBorders>
          </w:tcPr>
          <w:p w14:paraId="6863785D">
            <w:pPr>
              <w:pageBreakBefore w:val="0"/>
              <w:wordWrap/>
              <w:topLinePunct w:val="0"/>
              <w:bidi w:val="0"/>
              <w:spacing w:line="560" w:lineRule="exact"/>
              <w:rPr>
                <w:rFonts w:asciiTheme="minorEastAsia" w:hAnsiTheme="minorEastAsia" w:eastAsiaTheme="minorEastAsia"/>
                <w:color w:val="000000" w:themeColor="text1"/>
                <w:sz w:val="28"/>
                <w:szCs w:val="28"/>
                <w:highlight w:val="none"/>
                <w14:textFill>
                  <w14:solidFill>
                    <w14:schemeClr w14:val="tx1"/>
                  </w14:solidFill>
                </w14:textFill>
              </w:rPr>
            </w:pPr>
          </w:p>
        </w:tc>
        <w:tc>
          <w:tcPr>
            <w:tcW w:w="1434" w:type="dxa"/>
            <w:tcBorders>
              <w:top w:val="single" w:color="auto" w:sz="4" w:space="0"/>
              <w:left w:val="single" w:color="auto" w:sz="4" w:space="0"/>
              <w:bottom w:val="single" w:color="auto" w:sz="4" w:space="0"/>
              <w:right w:val="single" w:color="auto" w:sz="4" w:space="0"/>
            </w:tcBorders>
            <w:vAlign w:val="center"/>
          </w:tcPr>
          <w:p w14:paraId="30D1D870">
            <w:pPr>
              <w:pageBreakBefore w:val="0"/>
              <w:wordWrap/>
              <w:topLinePunct w:val="0"/>
              <w:bidi w:val="0"/>
              <w:spacing w:line="560" w:lineRule="exact"/>
              <w:jc w:val="center"/>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正偏离（负偏离或无偏离）</w:t>
            </w:r>
          </w:p>
        </w:tc>
      </w:tr>
      <w:tr w14:paraId="36F61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817" w:type="dxa"/>
            <w:tcBorders>
              <w:top w:val="single" w:color="auto" w:sz="4" w:space="0"/>
              <w:left w:val="single" w:color="auto" w:sz="4" w:space="0"/>
              <w:bottom w:val="single" w:color="auto" w:sz="4" w:space="0"/>
              <w:right w:val="single" w:color="auto" w:sz="4" w:space="0"/>
            </w:tcBorders>
          </w:tcPr>
          <w:p w14:paraId="037D61C8">
            <w:pPr>
              <w:pageBreakBefore w:val="0"/>
              <w:wordWrap/>
              <w:topLinePunct w:val="0"/>
              <w:bidi w:val="0"/>
              <w:spacing w:line="560" w:lineRule="exact"/>
              <w:rPr>
                <w:rFonts w:asciiTheme="minorEastAsia" w:hAnsiTheme="minorEastAsia" w:eastAsiaTheme="minorEastAsia"/>
                <w:color w:val="000000" w:themeColor="text1"/>
                <w:sz w:val="28"/>
                <w:szCs w:val="28"/>
                <w:highlight w:val="none"/>
                <w14:textFill>
                  <w14:solidFill>
                    <w14:schemeClr w14:val="tx1"/>
                  </w14:solidFill>
                </w14:textFill>
              </w:rPr>
            </w:pPr>
          </w:p>
        </w:tc>
        <w:tc>
          <w:tcPr>
            <w:tcW w:w="3800" w:type="dxa"/>
            <w:tcBorders>
              <w:top w:val="single" w:color="auto" w:sz="4" w:space="0"/>
              <w:left w:val="single" w:color="auto" w:sz="4" w:space="0"/>
              <w:bottom w:val="single" w:color="auto" w:sz="4" w:space="0"/>
              <w:right w:val="single" w:color="auto" w:sz="4" w:space="0"/>
            </w:tcBorders>
          </w:tcPr>
          <w:p w14:paraId="2DFC2100">
            <w:pPr>
              <w:pageBreakBefore w:val="0"/>
              <w:wordWrap/>
              <w:topLinePunct w:val="0"/>
              <w:bidi w:val="0"/>
              <w:spacing w:line="560" w:lineRule="exact"/>
              <w:rPr>
                <w:rFonts w:asciiTheme="minorEastAsia" w:hAnsiTheme="minorEastAsia" w:eastAsiaTheme="minorEastAsia"/>
                <w:color w:val="000000" w:themeColor="text1"/>
                <w:sz w:val="28"/>
                <w:szCs w:val="28"/>
                <w:highlight w:val="none"/>
                <w14:textFill>
                  <w14:solidFill>
                    <w14:schemeClr w14:val="tx1"/>
                  </w14:solidFill>
                </w14:textFill>
              </w:rPr>
            </w:pPr>
          </w:p>
        </w:tc>
        <w:tc>
          <w:tcPr>
            <w:tcW w:w="3429" w:type="dxa"/>
            <w:tcBorders>
              <w:top w:val="single" w:color="auto" w:sz="4" w:space="0"/>
              <w:left w:val="single" w:color="auto" w:sz="4" w:space="0"/>
              <w:bottom w:val="single" w:color="auto" w:sz="4" w:space="0"/>
              <w:right w:val="single" w:color="auto" w:sz="4" w:space="0"/>
            </w:tcBorders>
          </w:tcPr>
          <w:p w14:paraId="34524A83">
            <w:pPr>
              <w:pageBreakBefore w:val="0"/>
              <w:wordWrap/>
              <w:topLinePunct w:val="0"/>
              <w:bidi w:val="0"/>
              <w:spacing w:line="560" w:lineRule="exact"/>
              <w:rPr>
                <w:rFonts w:asciiTheme="minorEastAsia" w:hAnsiTheme="minorEastAsia" w:eastAsiaTheme="minorEastAsia"/>
                <w:color w:val="000000" w:themeColor="text1"/>
                <w:sz w:val="28"/>
                <w:szCs w:val="28"/>
                <w:highlight w:val="none"/>
                <w14:textFill>
                  <w14:solidFill>
                    <w14:schemeClr w14:val="tx1"/>
                  </w14:solidFill>
                </w14:textFill>
              </w:rPr>
            </w:pPr>
          </w:p>
        </w:tc>
        <w:tc>
          <w:tcPr>
            <w:tcW w:w="1434" w:type="dxa"/>
            <w:tcBorders>
              <w:top w:val="single" w:color="auto" w:sz="4" w:space="0"/>
              <w:left w:val="single" w:color="auto" w:sz="4" w:space="0"/>
              <w:bottom w:val="single" w:color="auto" w:sz="4" w:space="0"/>
              <w:right w:val="single" w:color="auto" w:sz="4" w:space="0"/>
            </w:tcBorders>
            <w:vAlign w:val="center"/>
          </w:tcPr>
          <w:p w14:paraId="269CC1D5">
            <w:pPr>
              <w:pageBreakBefore w:val="0"/>
              <w:wordWrap/>
              <w:topLinePunct w:val="0"/>
              <w:bidi w:val="0"/>
              <w:spacing w:line="560" w:lineRule="exact"/>
              <w:jc w:val="center"/>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正偏离（负偏离或无偏离）</w:t>
            </w:r>
          </w:p>
        </w:tc>
      </w:tr>
      <w:tr w14:paraId="409AA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817" w:type="dxa"/>
            <w:tcBorders>
              <w:top w:val="single" w:color="auto" w:sz="4" w:space="0"/>
              <w:left w:val="single" w:color="auto" w:sz="4" w:space="0"/>
              <w:bottom w:val="single" w:color="auto" w:sz="4" w:space="0"/>
              <w:right w:val="single" w:color="auto" w:sz="4" w:space="0"/>
            </w:tcBorders>
          </w:tcPr>
          <w:p w14:paraId="68E744D1">
            <w:pPr>
              <w:pageBreakBefore w:val="0"/>
              <w:wordWrap/>
              <w:topLinePunct w:val="0"/>
              <w:bidi w:val="0"/>
              <w:spacing w:line="560" w:lineRule="exact"/>
              <w:rPr>
                <w:rFonts w:asciiTheme="minorEastAsia" w:hAnsiTheme="minorEastAsia" w:eastAsiaTheme="minorEastAsia"/>
                <w:color w:val="000000" w:themeColor="text1"/>
                <w:sz w:val="28"/>
                <w:szCs w:val="28"/>
                <w:highlight w:val="none"/>
                <w14:textFill>
                  <w14:solidFill>
                    <w14:schemeClr w14:val="tx1"/>
                  </w14:solidFill>
                </w14:textFill>
              </w:rPr>
            </w:pPr>
          </w:p>
        </w:tc>
        <w:tc>
          <w:tcPr>
            <w:tcW w:w="3800" w:type="dxa"/>
            <w:tcBorders>
              <w:top w:val="single" w:color="auto" w:sz="4" w:space="0"/>
              <w:left w:val="single" w:color="auto" w:sz="4" w:space="0"/>
              <w:bottom w:val="single" w:color="auto" w:sz="4" w:space="0"/>
              <w:right w:val="single" w:color="auto" w:sz="4" w:space="0"/>
            </w:tcBorders>
          </w:tcPr>
          <w:p w14:paraId="6839447B">
            <w:pPr>
              <w:pageBreakBefore w:val="0"/>
              <w:wordWrap/>
              <w:topLinePunct w:val="0"/>
              <w:bidi w:val="0"/>
              <w:spacing w:line="560" w:lineRule="exact"/>
              <w:rPr>
                <w:rFonts w:asciiTheme="minorEastAsia" w:hAnsiTheme="minorEastAsia" w:eastAsiaTheme="minorEastAsia"/>
                <w:color w:val="000000" w:themeColor="text1"/>
                <w:sz w:val="28"/>
                <w:szCs w:val="28"/>
                <w:highlight w:val="none"/>
                <w14:textFill>
                  <w14:solidFill>
                    <w14:schemeClr w14:val="tx1"/>
                  </w14:solidFill>
                </w14:textFill>
              </w:rPr>
            </w:pPr>
          </w:p>
        </w:tc>
        <w:tc>
          <w:tcPr>
            <w:tcW w:w="3429" w:type="dxa"/>
            <w:tcBorders>
              <w:top w:val="single" w:color="auto" w:sz="4" w:space="0"/>
              <w:left w:val="single" w:color="auto" w:sz="4" w:space="0"/>
              <w:bottom w:val="single" w:color="auto" w:sz="4" w:space="0"/>
              <w:right w:val="single" w:color="auto" w:sz="4" w:space="0"/>
            </w:tcBorders>
          </w:tcPr>
          <w:p w14:paraId="46F79484">
            <w:pPr>
              <w:pageBreakBefore w:val="0"/>
              <w:wordWrap/>
              <w:topLinePunct w:val="0"/>
              <w:bidi w:val="0"/>
              <w:spacing w:line="560" w:lineRule="exact"/>
              <w:rPr>
                <w:rFonts w:asciiTheme="minorEastAsia" w:hAnsiTheme="minorEastAsia" w:eastAsiaTheme="minorEastAsia"/>
                <w:color w:val="000000" w:themeColor="text1"/>
                <w:sz w:val="28"/>
                <w:szCs w:val="28"/>
                <w:highlight w:val="none"/>
                <w14:textFill>
                  <w14:solidFill>
                    <w14:schemeClr w14:val="tx1"/>
                  </w14:solidFill>
                </w14:textFill>
              </w:rPr>
            </w:pPr>
          </w:p>
        </w:tc>
        <w:tc>
          <w:tcPr>
            <w:tcW w:w="1434" w:type="dxa"/>
            <w:tcBorders>
              <w:top w:val="single" w:color="auto" w:sz="4" w:space="0"/>
              <w:left w:val="single" w:color="auto" w:sz="4" w:space="0"/>
              <w:bottom w:val="single" w:color="auto" w:sz="4" w:space="0"/>
              <w:right w:val="single" w:color="auto" w:sz="4" w:space="0"/>
            </w:tcBorders>
            <w:vAlign w:val="center"/>
          </w:tcPr>
          <w:p w14:paraId="1B978B0E">
            <w:pPr>
              <w:pageBreakBefore w:val="0"/>
              <w:wordWrap/>
              <w:topLinePunct w:val="0"/>
              <w:bidi w:val="0"/>
              <w:spacing w:line="560" w:lineRule="exact"/>
              <w:jc w:val="center"/>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正偏离（负偏离或无偏离）</w:t>
            </w:r>
          </w:p>
        </w:tc>
      </w:tr>
      <w:tr w14:paraId="2DA64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9480" w:type="dxa"/>
            <w:gridSpan w:val="4"/>
            <w:tcBorders>
              <w:top w:val="single" w:color="auto" w:sz="4" w:space="0"/>
              <w:left w:val="single" w:color="auto" w:sz="4" w:space="0"/>
              <w:bottom w:val="single" w:color="auto" w:sz="4" w:space="0"/>
              <w:right w:val="single" w:color="auto" w:sz="4" w:space="0"/>
            </w:tcBorders>
          </w:tcPr>
          <w:p w14:paraId="544C9BB7">
            <w:pPr>
              <w:pageBreakBefore w:val="0"/>
              <w:wordWrap/>
              <w:topLinePunct w:val="0"/>
              <w:bidi w:val="0"/>
              <w:spacing w:line="560" w:lineRule="exact"/>
              <w:rPr>
                <w:rFonts w:ascii="宋体" w:hAnsi="宋体"/>
                <w:color w:val="000000" w:themeColor="text1"/>
                <w:szCs w:val="21"/>
                <w:highlight w:val="none"/>
                <w14:textFill>
                  <w14:solidFill>
                    <w14:schemeClr w14:val="tx1"/>
                  </w14:solidFill>
                </w14:textFill>
              </w:rPr>
            </w:pPr>
          </w:p>
        </w:tc>
      </w:tr>
    </w:tbl>
    <w:p w14:paraId="4A27D296">
      <w:pPr>
        <w:pStyle w:val="17"/>
        <w:pageBreakBefore w:val="0"/>
        <w:wordWrap/>
        <w:topLinePunct w:val="0"/>
        <w:bidi w:val="0"/>
        <w:spacing w:line="560" w:lineRule="exact"/>
        <w:rPr>
          <w:color w:val="000000" w:themeColor="text1"/>
          <w:highlight w:val="none"/>
          <w14:textFill>
            <w14:solidFill>
              <w14:schemeClr w14:val="tx1"/>
            </w14:solidFill>
          </w14:textFill>
        </w:rPr>
      </w:pPr>
    </w:p>
    <w:p w14:paraId="3993A61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注：</w:t>
      </w:r>
    </w:p>
    <w:p w14:paraId="2C63906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1.商务偏离表按本招标文件自行填写。表格内容不得留空。</w:t>
      </w:r>
    </w:p>
    <w:p w14:paraId="12ED1EA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2.当投标文件的商务内容低于招标文件要求时，供应商应当如实写明“负偏离”，否则视为虚假应标。</w:t>
      </w:r>
    </w:p>
    <w:p w14:paraId="7FB97F3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olor w:val="000000" w:themeColor="text1"/>
          <w:sz w:val="28"/>
          <w:szCs w:val="28"/>
          <w:highlight w:val="none"/>
          <w14:textFill>
            <w14:solidFill>
              <w14:schemeClr w14:val="tx1"/>
            </w14:solidFill>
          </w14:textFill>
        </w:rPr>
      </w:pPr>
    </w:p>
    <w:p w14:paraId="740DDDFE">
      <w:pPr>
        <w:pageBreakBefore w:val="0"/>
        <w:wordWrap/>
        <w:topLinePunct w:val="0"/>
        <w:bidi w:val="0"/>
        <w:snapToGrid w:val="0"/>
        <w:spacing w:before="165" w:beforeLines="50" w:after="50" w:line="560" w:lineRule="exact"/>
        <w:jc w:val="both"/>
        <w:rPr>
          <w:rFonts w:hint="eastAsia"/>
          <w:b/>
          <w:bCs/>
          <w:color w:val="000000" w:themeColor="text1"/>
          <w:sz w:val="30"/>
          <w:szCs w:val="30"/>
          <w:highlight w:val="none"/>
          <w14:textFill>
            <w14:solidFill>
              <w14:schemeClr w14:val="tx1"/>
            </w14:solidFill>
          </w14:textFill>
        </w:rPr>
      </w:pPr>
    </w:p>
    <w:p w14:paraId="40E85E39">
      <w:pPr>
        <w:pageBreakBefore w:val="0"/>
        <w:wordWrap/>
        <w:topLinePunct w:val="0"/>
        <w:bidi w:val="0"/>
        <w:snapToGrid w:val="0"/>
        <w:spacing w:before="165" w:beforeLines="50" w:after="50" w:line="560" w:lineRule="exact"/>
        <w:jc w:val="center"/>
        <w:rPr>
          <w:b/>
          <w:bCs/>
          <w:color w:val="000000" w:themeColor="text1"/>
          <w:sz w:val="30"/>
          <w:szCs w:val="30"/>
          <w:highlight w:val="none"/>
          <w14:textFill>
            <w14:solidFill>
              <w14:schemeClr w14:val="tx1"/>
            </w14:solidFill>
          </w14:textFill>
        </w:rPr>
      </w:pPr>
      <w:r>
        <w:rPr>
          <w:rFonts w:hint="eastAsia"/>
          <w:b/>
          <w:bCs/>
          <w:color w:val="000000" w:themeColor="text1"/>
          <w:sz w:val="30"/>
          <w:szCs w:val="30"/>
          <w:highlight w:val="none"/>
          <w14:textFill>
            <w14:solidFill>
              <w14:schemeClr w14:val="tx1"/>
            </w14:solidFill>
          </w14:textFill>
        </w:rPr>
        <w:t>五、</w:t>
      </w:r>
      <w:r>
        <w:rPr>
          <w:rFonts w:hint="eastAsia"/>
          <w:b/>
          <w:bCs/>
          <w:color w:val="000000" w:themeColor="text1"/>
          <w:sz w:val="30"/>
          <w:szCs w:val="30"/>
          <w:highlight w:val="none"/>
          <w:lang w:eastAsia="zh-CN"/>
          <w14:textFill>
            <w14:solidFill>
              <w14:schemeClr w14:val="tx1"/>
            </w14:solidFill>
          </w14:textFill>
        </w:rPr>
        <w:t>供应商</w:t>
      </w:r>
      <w:r>
        <w:rPr>
          <w:rFonts w:hint="eastAsia"/>
          <w:b/>
          <w:bCs/>
          <w:color w:val="000000" w:themeColor="text1"/>
          <w:sz w:val="30"/>
          <w:szCs w:val="30"/>
          <w:highlight w:val="none"/>
          <w14:textFill>
            <w14:solidFill>
              <w14:schemeClr w14:val="tx1"/>
            </w14:solidFill>
          </w14:textFill>
        </w:rPr>
        <w:t>情况介绍</w:t>
      </w:r>
    </w:p>
    <w:tbl>
      <w:tblPr>
        <w:tblStyle w:val="34"/>
        <w:tblW w:w="87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936"/>
        <w:gridCol w:w="1214"/>
        <w:gridCol w:w="1007"/>
        <w:gridCol w:w="1100"/>
        <w:gridCol w:w="1318"/>
        <w:gridCol w:w="43"/>
        <w:gridCol w:w="779"/>
        <w:gridCol w:w="1303"/>
      </w:tblGrid>
      <w:tr w14:paraId="64C3A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32" w:hRule="atLeast"/>
          <w:jc w:val="center"/>
        </w:trPr>
        <w:tc>
          <w:tcPr>
            <w:tcW w:w="1936" w:type="dxa"/>
            <w:vAlign w:val="center"/>
          </w:tcPr>
          <w:p w14:paraId="22E5D7B1">
            <w:pPr>
              <w:pageBreakBefore w:val="0"/>
              <w:wordWrap/>
              <w:topLinePunct w:val="0"/>
              <w:bidi w:val="0"/>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投标人名称</w:t>
            </w:r>
          </w:p>
        </w:tc>
        <w:tc>
          <w:tcPr>
            <w:tcW w:w="6764" w:type="dxa"/>
            <w:gridSpan w:val="7"/>
            <w:vAlign w:val="center"/>
          </w:tcPr>
          <w:p w14:paraId="56B0BAB8">
            <w:pPr>
              <w:pageBreakBefore w:val="0"/>
              <w:wordWrap/>
              <w:topLinePunct w:val="0"/>
              <w:bidi w:val="0"/>
              <w:spacing w:line="560" w:lineRule="exact"/>
              <w:ind w:firstLine="255"/>
              <w:jc w:val="center"/>
              <w:rPr>
                <w:rFonts w:hint="eastAsia" w:ascii="宋体" w:hAnsi="宋体" w:eastAsia="宋体" w:cs="宋体"/>
                <w:color w:val="000000" w:themeColor="text1"/>
                <w:sz w:val="28"/>
                <w:szCs w:val="28"/>
                <w:highlight w:val="none"/>
                <w14:textFill>
                  <w14:solidFill>
                    <w14:schemeClr w14:val="tx1"/>
                  </w14:solidFill>
                </w14:textFill>
              </w:rPr>
            </w:pPr>
          </w:p>
        </w:tc>
      </w:tr>
      <w:tr w14:paraId="1F16C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32" w:hRule="atLeast"/>
          <w:jc w:val="center"/>
        </w:trPr>
        <w:tc>
          <w:tcPr>
            <w:tcW w:w="1936" w:type="dxa"/>
            <w:vAlign w:val="center"/>
          </w:tcPr>
          <w:p w14:paraId="22F13884">
            <w:pPr>
              <w:pageBreakBefore w:val="0"/>
              <w:wordWrap/>
              <w:topLinePunct w:val="0"/>
              <w:bidi w:val="0"/>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注册地址</w:t>
            </w:r>
          </w:p>
        </w:tc>
        <w:tc>
          <w:tcPr>
            <w:tcW w:w="3321" w:type="dxa"/>
            <w:gridSpan w:val="3"/>
            <w:vAlign w:val="center"/>
          </w:tcPr>
          <w:p w14:paraId="35D30F2C">
            <w:pPr>
              <w:pageBreakBefore w:val="0"/>
              <w:wordWrap/>
              <w:topLinePunct w:val="0"/>
              <w:bidi w:val="0"/>
              <w:spacing w:line="560" w:lineRule="exact"/>
              <w:ind w:firstLine="255"/>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318" w:type="dxa"/>
            <w:vAlign w:val="center"/>
          </w:tcPr>
          <w:p w14:paraId="730EE430">
            <w:pPr>
              <w:pageBreakBefore w:val="0"/>
              <w:wordWrap/>
              <w:topLinePunct w:val="0"/>
              <w:bidi w:val="0"/>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邮政编码</w:t>
            </w:r>
          </w:p>
        </w:tc>
        <w:tc>
          <w:tcPr>
            <w:tcW w:w="2125" w:type="dxa"/>
            <w:gridSpan w:val="3"/>
            <w:vAlign w:val="center"/>
          </w:tcPr>
          <w:p w14:paraId="57AFBB8D">
            <w:pPr>
              <w:pageBreakBefore w:val="0"/>
              <w:wordWrap/>
              <w:topLinePunct w:val="0"/>
              <w:bidi w:val="0"/>
              <w:spacing w:line="560" w:lineRule="exact"/>
              <w:ind w:firstLine="255"/>
              <w:jc w:val="center"/>
              <w:rPr>
                <w:rFonts w:hint="eastAsia" w:ascii="宋体" w:hAnsi="宋体" w:eastAsia="宋体" w:cs="宋体"/>
                <w:color w:val="000000" w:themeColor="text1"/>
                <w:sz w:val="28"/>
                <w:szCs w:val="28"/>
                <w:highlight w:val="none"/>
                <w14:textFill>
                  <w14:solidFill>
                    <w14:schemeClr w14:val="tx1"/>
                  </w14:solidFill>
                </w14:textFill>
              </w:rPr>
            </w:pPr>
          </w:p>
        </w:tc>
      </w:tr>
      <w:tr w14:paraId="3813C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32" w:hRule="atLeast"/>
          <w:jc w:val="center"/>
        </w:trPr>
        <w:tc>
          <w:tcPr>
            <w:tcW w:w="1936" w:type="dxa"/>
            <w:vMerge w:val="restart"/>
            <w:vAlign w:val="center"/>
          </w:tcPr>
          <w:p w14:paraId="2BC14365">
            <w:pPr>
              <w:pageBreakBefore w:val="0"/>
              <w:wordWrap/>
              <w:topLinePunct w:val="0"/>
              <w:bidi w:val="0"/>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联系方式</w:t>
            </w:r>
          </w:p>
        </w:tc>
        <w:tc>
          <w:tcPr>
            <w:tcW w:w="1214" w:type="dxa"/>
            <w:vAlign w:val="center"/>
          </w:tcPr>
          <w:p w14:paraId="1BA1D6C0">
            <w:pPr>
              <w:pageBreakBefore w:val="0"/>
              <w:wordWrap/>
              <w:topLinePunct w:val="0"/>
              <w:bidi w:val="0"/>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联系人</w:t>
            </w:r>
          </w:p>
        </w:tc>
        <w:tc>
          <w:tcPr>
            <w:tcW w:w="2107" w:type="dxa"/>
            <w:gridSpan w:val="2"/>
            <w:vAlign w:val="center"/>
          </w:tcPr>
          <w:p w14:paraId="4A571B3D">
            <w:pPr>
              <w:pageBreakBefore w:val="0"/>
              <w:wordWrap/>
              <w:topLinePunct w:val="0"/>
              <w:bidi w:val="0"/>
              <w:spacing w:line="560" w:lineRule="exact"/>
              <w:ind w:firstLine="255"/>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318" w:type="dxa"/>
            <w:vAlign w:val="center"/>
          </w:tcPr>
          <w:p w14:paraId="3584681B">
            <w:pPr>
              <w:pageBreakBefore w:val="0"/>
              <w:wordWrap/>
              <w:topLinePunct w:val="0"/>
              <w:bidi w:val="0"/>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电话</w:t>
            </w:r>
          </w:p>
        </w:tc>
        <w:tc>
          <w:tcPr>
            <w:tcW w:w="2125" w:type="dxa"/>
            <w:gridSpan w:val="3"/>
            <w:vAlign w:val="center"/>
          </w:tcPr>
          <w:p w14:paraId="7FAED014">
            <w:pPr>
              <w:pageBreakBefore w:val="0"/>
              <w:wordWrap/>
              <w:topLinePunct w:val="0"/>
              <w:bidi w:val="0"/>
              <w:spacing w:line="560" w:lineRule="exact"/>
              <w:ind w:firstLine="255"/>
              <w:jc w:val="center"/>
              <w:rPr>
                <w:rFonts w:hint="eastAsia" w:ascii="宋体" w:hAnsi="宋体" w:eastAsia="宋体" w:cs="宋体"/>
                <w:color w:val="000000" w:themeColor="text1"/>
                <w:sz w:val="28"/>
                <w:szCs w:val="28"/>
                <w:highlight w:val="none"/>
                <w14:textFill>
                  <w14:solidFill>
                    <w14:schemeClr w14:val="tx1"/>
                  </w14:solidFill>
                </w14:textFill>
              </w:rPr>
            </w:pPr>
          </w:p>
        </w:tc>
      </w:tr>
      <w:tr w14:paraId="262F4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32" w:hRule="atLeast"/>
          <w:jc w:val="center"/>
        </w:trPr>
        <w:tc>
          <w:tcPr>
            <w:tcW w:w="1936" w:type="dxa"/>
            <w:vMerge w:val="continue"/>
            <w:vAlign w:val="center"/>
          </w:tcPr>
          <w:p w14:paraId="7205277A">
            <w:pPr>
              <w:pageBreakBefore w:val="0"/>
              <w:wordWrap/>
              <w:topLinePunct w:val="0"/>
              <w:bidi w:val="0"/>
              <w:spacing w:line="560" w:lineRule="exact"/>
              <w:ind w:firstLine="255"/>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214" w:type="dxa"/>
            <w:vAlign w:val="center"/>
          </w:tcPr>
          <w:p w14:paraId="73A52C4B">
            <w:pPr>
              <w:pageBreakBefore w:val="0"/>
              <w:wordWrap/>
              <w:topLinePunct w:val="0"/>
              <w:bidi w:val="0"/>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传真</w:t>
            </w:r>
          </w:p>
        </w:tc>
        <w:tc>
          <w:tcPr>
            <w:tcW w:w="2107" w:type="dxa"/>
            <w:gridSpan w:val="2"/>
            <w:vAlign w:val="center"/>
          </w:tcPr>
          <w:p w14:paraId="79AD5D0A">
            <w:pPr>
              <w:pageBreakBefore w:val="0"/>
              <w:wordWrap/>
              <w:topLinePunct w:val="0"/>
              <w:bidi w:val="0"/>
              <w:spacing w:line="560" w:lineRule="exact"/>
              <w:ind w:firstLine="255"/>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318" w:type="dxa"/>
            <w:vAlign w:val="center"/>
          </w:tcPr>
          <w:p w14:paraId="2660C7FA">
            <w:pPr>
              <w:pageBreakBefore w:val="0"/>
              <w:wordWrap/>
              <w:topLinePunct w:val="0"/>
              <w:bidi w:val="0"/>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网址</w:t>
            </w:r>
          </w:p>
        </w:tc>
        <w:tc>
          <w:tcPr>
            <w:tcW w:w="2125" w:type="dxa"/>
            <w:gridSpan w:val="3"/>
            <w:vAlign w:val="center"/>
          </w:tcPr>
          <w:p w14:paraId="489E664E">
            <w:pPr>
              <w:pageBreakBefore w:val="0"/>
              <w:wordWrap/>
              <w:topLinePunct w:val="0"/>
              <w:bidi w:val="0"/>
              <w:spacing w:line="560" w:lineRule="exact"/>
              <w:ind w:firstLine="255"/>
              <w:jc w:val="center"/>
              <w:rPr>
                <w:rFonts w:hint="eastAsia" w:ascii="宋体" w:hAnsi="宋体" w:eastAsia="宋体" w:cs="宋体"/>
                <w:color w:val="000000" w:themeColor="text1"/>
                <w:sz w:val="28"/>
                <w:szCs w:val="28"/>
                <w:highlight w:val="none"/>
                <w14:textFill>
                  <w14:solidFill>
                    <w14:schemeClr w14:val="tx1"/>
                  </w14:solidFill>
                </w14:textFill>
              </w:rPr>
            </w:pPr>
          </w:p>
        </w:tc>
      </w:tr>
      <w:tr w14:paraId="475DF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27" w:hRule="atLeast"/>
          <w:jc w:val="center"/>
        </w:trPr>
        <w:tc>
          <w:tcPr>
            <w:tcW w:w="1936" w:type="dxa"/>
            <w:vAlign w:val="center"/>
          </w:tcPr>
          <w:p w14:paraId="79B38784">
            <w:pPr>
              <w:pageBreakBefore w:val="0"/>
              <w:wordWrap/>
              <w:topLinePunct w:val="0"/>
              <w:bidi w:val="0"/>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营业执照注册号</w:t>
            </w:r>
          </w:p>
        </w:tc>
        <w:tc>
          <w:tcPr>
            <w:tcW w:w="6764" w:type="dxa"/>
            <w:gridSpan w:val="7"/>
            <w:vAlign w:val="center"/>
          </w:tcPr>
          <w:p w14:paraId="7D440D1A">
            <w:pPr>
              <w:pageBreakBefore w:val="0"/>
              <w:wordWrap/>
              <w:topLinePunct w:val="0"/>
              <w:bidi w:val="0"/>
              <w:spacing w:line="560" w:lineRule="exact"/>
              <w:ind w:firstLine="255"/>
              <w:jc w:val="center"/>
              <w:rPr>
                <w:rFonts w:hint="eastAsia" w:ascii="宋体" w:hAnsi="宋体" w:eastAsia="宋体" w:cs="宋体"/>
                <w:color w:val="000000" w:themeColor="text1"/>
                <w:sz w:val="28"/>
                <w:szCs w:val="28"/>
                <w:highlight w:val="none"/>
                <w14:textFill>
                  <w14:solidFill>
                    <w14:schemeClr w14:val="tx1"/>
                  </w14:solidFill>
                </w14:textFill>
              </w:rPr>
            </w:pPr>
          </w:p>
        </w:tc>
      </w:tr>
      <w:tr w14:paraId="61F97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32" w:hRule="atLeast"/>
          <w:jc w:val="center"/>
        </w:trPr>
        <w:tc>
          <w:tcPr>
            <w:tcW w:w="1936" w:type="dxa"/>
            <w:vAlign w:val="center"/>
          </w:tcPr>
          <w:p w14:paraId="05B71556">
            <w:pPr>
              <w:pageBreakBefore w:val="0"/>
              <w:wordWrap/>
              <w:topLinePunct w:val="0"/>
              <w:bidi w:val="0"/>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法定代表人</w:t>
            </w:r>
          </w:p>
        </w:tc>
        <w:tc>
          <w:tcPr>
            <w:tcW w:w="1214" w:type="dxa"/>
            <w:vAlign w:val="center"/>
          </w:tcPr>
          <w:p w14:paraId="2B7C9921">
            <w:pPr>
              <w:pageBreakBefore w:val="0"/>
              <w:wordWrap/>
              <w:topLinePunct w:val="0"/>
              <w:bidi w:val="0"/>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姓名</w:t>
            </w:r>
          </w:p>
        </w:tc>
        <w:tc>
          <w:tcPr>
            <w:tcW w:w="1007" w:type="dxa"/>
            <w:vAlign w:val="center"/>
          </w:tcPr>
          <w:p w14:paraId="685B03C2">
            <w:pPr>
              <w:pageBreakBefore w:val="0"/>
              <w:wordWrap/>
              <w:topLinePunct w:val="0"/>
              <w:bidi w:val="0"/>
              <w:spacing w:line="560" w:lineRule="exact"/>
              <w:ind w:firstLine="255"/>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100" w:type="dxa"/>
            <w:vAlign w:val="center"/>
          </w:tcPr>
          <w:p w14:paraId="19B7889B">
            <w:pPr>
              <w:pageBreakBefore w:val="0"/>
              <w:wordWrap/>
              <w:topLinePunct w:val="0"/>
              <w:bidi w:val="0"/>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技术</w:t>
            </w:r>
          </w:p>
          <w:p w14:paraId="40DE6012">
            <w:pPr>
              <w:pageBreakBefore w:val="0"/>
              <w:wordWrap/>
              <w:topLinePunct w:val="0"/>
              <w:bidi w:val="0"/>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职称</w:t>
            </w:r>
          </w:p>
        </w:tc>
        <w:tc>
          <w:tcPr>
            <w:tcW w:w="1361" w:type="dxa"/>
            <w:gridSpan w:val="2"/>
            <w:vAlign w:val="center"/>
          </w:tcPr>
          <w:p w14:paraId="0FAC763F">
            <w:pPr>
              <w:pageBreakBefore w:val="0"/>
              <w:wordWrap/>
              <w:topLinePunct w:val="0"/>
              <w:bidi w:val="0"/>
              <w:spacing w:line="560" w:lineRule="exact"/>
              <w:ind w:firstLine="255"/>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779" w:type="dxa"/>
            <w:vAlign w:val="center"/>
          </w:tcPr>
          <w:p w14:paraId="546A39E3">
            <w:pPr>
              <w:pageBreakBefore w:val="0"/>
              <w:wordWrap/>
              <w:topLinePunct w:val="0"/>
              <w:bidi w:val="0"/>
              <w:spacing w:line="560" w:lineRule="exact"/>
              <w:ind w:firstLine="140" w:firstLineChars="50"/>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电话</w:t>
            </w:r>
          </w:p>
        </w:tc>
        <w:tc>
          <w:tcPr>
            <w:tcW w:w="1303" w:type="dxa"/>
            <w:vAlign w:val="center"/>
          </w:tcPr>
          <w:p w14:paraId="39FE699E">
            <w:pPr>
              <w:pageBreakBefore w:val="0"/>
              <w:wordWrap/>
              <w:topLinePunct w:val="0"/>
              <w:bidi w:val="0"/>
              <w:spacing w:line="560" w:lineRule="exact"/>
              <w:ind w:firstLine="255"/>
              <w:jc w:val="center"/>
              <w:rPr>
                <w:rFonts w:hint="eastAsia" w:ascii="宋体" w:hAnsi="宋体" w:eastAsia="宋体" w:cs="宋体"/>
                <w:color w:val="000000" w:themeColor="text1"/>
                <w:sz w:val="28"/>
                <w:szCs w:val="28"/>
                <w:highlight w:val="none"/>
                <w14:textFill>
                  <w14:solidFill>
                    <w14:schemeClr w14:val="tx1"/>
                  </w14:solidFill>
                </w14:textFill>
              </w:rPr>
            </w:pPr>
          </w:p>
        </w:tc>
      </w:tr>
      <w:tr w14:paraId="680AE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32" w:hRule="atLeast"/>
          <w:jc w:val="center"/>
        </w:trPr>
        <w:tc>
          <w:tcPr>
            <w:tcW w:w="1936" w:type="dxa"/>
            <w:vAlign w:val="center"/>
          </w:tcPr>
          <w:p w14:paraId="713AE1C6">
            <w:pPr>
              <w:pageBreakBefore w:val="0"/>
              <w:wordWrap/>
              <w:topLinePunct w:val="0"/>
              <w:bidi w:val="0"/>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技术负责人</w:t>
            </w:r>
          </w:p>
        </w:tc>
        <w:tc>
          <w:tcPr>
            <w:tcW w:w="1214" w:type="dxa"/>
            <w:vAlign w:val="center"/>
          </w:tcPr>
          <w:p w14:paraId="3423E126">
            <w:pPr>
              <w:pageBreakBefore w:val="0"/>
              <w:wordWrap/>
              <w:topLinePunct w:val="0"/>
              <w:bidi w:val="0"/>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姓名</w:t>
            </w:r>
          </w:p>
        </w:tc>
        <w:tc>
          <w:tcPr>
            <w:tcW w:w="1007" w:type="dxa"/>
            <w:vAlign w:val="center"/>
          </w:tcPr>
          <w:p w14:paraId="5E85AED9">
            <w:pPr>
              <w:pageBreakBefore w:val="0"/>
              <w:wordWrap/>
              <w:topLinePunct w:val="0"/>
              <w:bidi w:val="0"/>
              <w:spacing w:line="560" w:lineRule="exact"/>
              <w:ind w:firstLine="255"/>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100" w:type="dxa"/>
            <w:vAlign w:val="center"/>
          </w:tcPr>
          <w:p w14:paraId="38C9EC86">
            <w:pPr>
              <w:pageBreakBefore w:val="0"/>
              <w:wordWrap/>
              <w:topLinePunct w:val="0"/>
              <w:bidi w:val="0"/>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技术</w:t>
            </w:r>
          </w:p>
          <w:p w14:paraId="5A944D39">
            <w:pPr>
              <w:pageBreakBefore w:val="0"/>
              <w:wordWrap/>
              <w:topLinePunct w:val="0"/>
              <w:bidi w:val="0"/>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职称</w:t>
            </w:r>
          </w:p>
        </w:tc>
        <w:tc>
          <w:tcPr>
            <w:tcW w:w="1361" w:type="dxa"/>
            <w:gridSpan w:val="2"/>
            <w:vAlign w:val="center"/>
          </w:tcPr>
          <w:p w14:paraId="17E55EFD">
            <w:pPr>
              <w:pageBreakBefore w:val="0"/>
              <w:wordWrap/>
              <w:topLinePunct w:val="0"/>
              <w:bidi w:val="0"/>
              <w:spacing w:line="560" w:lineRule="exact"/>
              <w:ind w:firstLine="255"/>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779" w:type="dxa"/>
            <w:vAlign w:val="center"/>
          </w:tcPr>
          <w:p w14:paraId="65F55A84">
            <w:pPr>
              <w:pageBreakBefore w:val="0"/>
              <w:wordWrap/>
              <w:topLinePunct w:val="0"/>
              <w:bidi w:val="0"/>
              <w:spacing w:line="560" w:lineRule="exact"/>
              <w:ind w:firstLine="140" w:firstLineChars="50"/>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电话</w:t>
            </w:r>
          </w:p>
        </w:tc>
        <w:tc>
          <w:tcPr>
            <w:tcW w:w="1303" w:type="dxa"/>
            <w:vAlign w:val="center"/>
          </w:tcPr>
          <w:p w14:paraId="789788AB">
            <w:pPr>
              <w:pageBreakBefore w:val="0"/>
              <w:wordWrap/>
              <w:topLinePunct w:val="0"/>
              <w:bidi w:val="0"/>
              <w:spacing w:line="560" w:lineRule="exact"/>
              <w:ind w:firstLine="255"/>
              <w:jc w:val="center"/>
              <w:rPr>
                <w:rFonts w:hint="eastAsia" w:ascii="宋体" w:hAnsi="宋体" w:eastAsia="宋体" w:cs="宋体"/>
                <w:color w:val="000000" w:themeColor="text1"/>
                <w:sz w:val="28"/>
                <w:szCs w:val="28"/>
                <w:highlight w:val="none"/>
                <w14:textFill>
                  <w14:solidFill>
                    <w14:schemeClr w14:val="tx1"/>
                  </w14:solidFill>
                </w14:textFill>
              </w:rPr>
            </w:pPr>
          </w:p>
        </w:tc>
      </w:tr>
      <w:tr w14:paraId="28416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32" w:hRule="atLeast"/>
          <w:jc w:val="center"/>
        </w:trPr>
        <w:tc>
          <w:tcPr>
            <w:tcW w:w="1936" w:type="dxa"/>
            <w:vAlign w:val="center"/>
          </w:tcPr>
          <w:p w14:paraId="51B80641">
            <w:pPr>
              <w:pageBreakBefore w:val="0"/>
              <w:wordWrap/>
              <w:topLinePunct w:val="0"/>
              <w:bidi w:val="0"/>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成立时间</w:t>
            </w:r>
          </w:p>
        </w:tc>
        <w:tc>
          <w:tcPr>
            <w:tcW w:w="2221" w:type="dxa"/>
            <w:gridSpan w:val="2"/>
            <w:vAlign w:val="center"/>
          </w:tcPr>
          <w:p w14:paraId="2AC1FD98">
            <w:pPr>
              <w:pageBreakBefore w:val="0"/>
              <w:wordWrap/>
              <w:topLinePunct w:val="0"/>
              <w:bidi w:val="0"/>
              <w:spacing w:line="560" w:lineRule="exact"/>
              <w:ind w:firstLine="255"/>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4543" w:type="dxa"/>
            <w:gridSpan w:val="5"/>
            <w:vAlign w:val="center"/>
          </w:tcPr>
          <w:p w14:paraId="75F99B74">
            <w:pPr>
              <w:pageBreakBefore w:val="0"/>
              <w:wordWrap/>
              <w:topLinePunct w:val="0"/>
              <w:bidi w:val="0"/>
              <w:spacing w:line="560" w:lineRule="exact"/>
              <w:ind w:firstLine="255"/>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员工总人数：</w:t>
            </w:r>
          </w:p>
        </w:tc>
      </w:tr>
      <w:tr w14:paraId="3FB96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32" w:hRule="atLeast"/>
          <w:jc w:val="center"/>
        </w:trPr>
        <w:tc>
          <w:tcPr>
            <w:tcW w:w="1936" w:type="dxa"/>
            <w:vAlign w:val="center"/>
          </w:tcPr>
          <w:p w14:paraId="5AD31ABF">
            <w:pPr>
              <w:pageBreakBefore w:val="0"/>
              <w:wordWrap/>
              <w:topLinePunct w:val="0"/>
              <w:bidi w:val="0"/>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注册资金</w:t>
            </w:r>
          </w:p>
        </w:tc>
        <w:tc>
          <w:tcPr>
            <w:tcW w:w="6764" w:type="dxa"/>
            <w:gridSpan w:val="7"/>
            <w:vAlign w:val="center"/>
          </w:tcPr>
          <w:p w14:paraId="5BB5E6AC">
            <w:pPr>
              <w:pageBreakBefore w:val="0"/>
              <w:wordWrap/>
              <w:topLinePunct w:val="0"/>
              <w:bidi w:val="0"/>
              <w:spacing w:line="560" w:lineRule="exact"/>
              <w:ind w:firstLine="255"/>
              <w:jc w:val="center"/>
              <w:rPr>
                <w:rFonts w:hint="eastAsia" w:ascii="宋体" w:hAnsi="宋体" w:eastAsia="宋体" w:cs="宋体"/>
                <w:color w:val="000000" w:themeColor="text1"/>
                <w:sz w:val="28"/>
                <w:szCs w:val="28"/>
                <w:highlight w:val="none"/>
                <w14:textFill>
                  <w14:solidFill>
                    <w14:schemeClr w14:val="tx1"/>
                  </w14:solidFill>
                </w14:textFill>
              </w:rPr>
            </w:pPr>
          </w:p>
        </w:tc>
      </w:tr>
      <w:tr w14:paraId="47C38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32" w:hRule="atLeast"/>
          <w:jc w:val="center"/>
        </w:trPr>
        <w:tc>
          <w:tcPr>
            <w:tcW w:w="1936" w:type="dxa"/>
            <w:vAlign w:val="center"/>
          </w:tcPr>
          <w:p w14:paraId="717ADBDD">
            <w:pPr>
              <w:pageBreakBefore w:val="0"/>
              <w:wordWrap/>
              <w:topLinePunct w:val="0"/>
              <w:bidi w:val="0"/>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开户银行</w:t>
            </w:r>
          </w:p>
        </w:tc>
        <w:tc>
          <w:tcPr>
            <w:tcW w:w="6764" w:type="dxa"/>
            <w:gridSpan w:val="7"/>
            <w:vAlign w:val="center"/>
          </w:tcPr>
          <w:p w14:paraId="29570F6B">
            <w:pPr>
              <w:pageBreakBefore w:val="0"/>
              <w:wordWrap/>
              <w:topLinePunct w:val="0"/>
              <w:bidi w:val="0"/>
              <w:spacing w:line="560" w:lineRule="exact"/>
              <w:ind w:firstLine="255"/>
              <w:jc w:val="center"/>
              <w:rPr>
                <w:rFonts w:hint="eastAsia" w:ascii="宋体" w:hAnsi="宋体" w:eastAsia="宋体" w:cs="宋体"/>
                <w:color w:val="000000" w:themeColor="text1"/>
                <w:sz w:val="28"/>
                <w:szCs w:val="28"/>
                <w:highlight w:val="none"/>
                <w14:textFill>
                  <w14:solidFill>
                    <w14:schemeClr w14:val="tx1"/>
                  </w14:solidFill>
                </w14:textFill>
              </w:rPr>
            </w:pPr>
          </w:p>
        </w:tc>
      </w:tr>
      <w:tr w14:paraId="0F000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2" w:hRule="atLeast"/>
          <w:jc w:val="center"/>
        </w:trPr>
        <w:tc>
          <w:tcPr>
            <w:tcW w:w="1936" w:type="dxa"/>
            <w:vAlign w:val="center"/>
          </w:tcPr>
          <w:p w14:paraId="171E00E4">
            <w:pPr>
              <w:pageBreakBefore w:val="0"/>
              <w:wordWrap/>
              <w:topLinePunct w:val="0"/>
              <w:bidi w:val="0"/>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账号</w:t>
            </w:r>
          </w:p>
        </w:tc>
        <w:tc>
          <w:tcPr>
            <w:tcW w:w="6764" w:type="dxa"/>
            <w:gridSpan w:val="7"/>
            <w:vAlign w:val="center"/>
          </w:tcPr>
          <w:p w14:paraId="37BCF516">
            <w:pPr>
              <w:pageBreakBefore w:val="0"/>
              <w:wordWrap/>
              <w:topLinePunct w:val="0"/>
              <w:bidi w:val="0"/>
              <w:spacing w:line="560" w:lineRule="exact"/>
              <w:ind w:firstLine="255"/>
              <w:jc w:val="center"/>
              <w:rPr>
                <w:rFonts w:hint="eastAsia" w:ascii="宋体" w:hAnsi="宋体" w:eastAsia="宋体" w:cs="宋体"/>
                <w:color w:val="000000" w:themeColor="text1"/>
                <w:sz w:val="28"/>
                <w:szCs w:val="28"/>
                <w:highlight w:val="none"/>
                <w14:textFill>
                  <w14:solidFill>
                    <w14:schemeClr w14:val="tx1"/>
                  </w14:solidFill>
                </w14:textFill>
              </w:rPr>
            </w:pPr>
          </w:p>
        </w:tc>
      </w:tr>
      <w:tr w14:paraId="12E9B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2" w:hRule="atLeast"/>
          <w:jc w:val="center"/>
        </w:trPr>
        <w:tc>
          <w:tcPr>
            <w:tcW w:w="1936" w:type="dxa"/>
            <w:vMerge w:val="restart"/>
            <w:vAlign w:val="center"/>
          </w:tcPr>
          <w:p w14:paraId="7DE5B13A">
            <w:pPr>
              <w:pStyle w:val="164"/>
              <w:pageBreakBefore w:val="0"/>
              <w:wordWrap/>
              <w:topLinePunct w:val="0"/>
              <w:bidi w:val="0"/>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企业关联情况</w:t>
            </w:r>
          </w:p>
        </w:tc>
        <w:tc>
          <w:tcPr>
            <w:tcW w:w="6764" w:type="dxa"/>
            <w:gridSpan w:val="7"/>
            <w:vAlign w:val="center"/>
          </w:tcPr>
          <w:p w14:paraId="0F6AA30A">
            <w:pPr>
              <w:pStyle w:val="164"/>
              <w:keepNext w:val="0"/>
              <w:keepLines w:val="0"/>
              <w:pageBreakBefore w:val="0"/>
              <w:widowControl w:val="0"/>
              <w:kinsoku/>
              <w:wordWrap/>
              <w:overflowPunct/>
              <w:topLinePunct w:val="0"/>
              <w:autoSpaceDE/>
              <w:autoSpaceDN/>
              <w:bidi w:val="0"/>
              <w:adjustRightInd/>
              <w:snapToGrid/>
              <w:spacing w:line="560" w:lineRule="exact"/>
              <w:ind w:left="0"/>
              <w:jc w:val="both"/>
              <w:textAlignment w:val="auto"/>
              <w:rPr>
                <w:rFonts w:hint="eastAsia" w:ascii="宋体" w:hAnsi="宋体" w:eastAsia="宋体" w:cs="宋体"/>
                <w:color w:val="000000" w:themeColor="text1"/>
                <w:sz w:val="28"/>
                <w:szCs w:val="28"/>
                <w:highlight w:val="none"/>
                <w:lang w:eastAsia="zh-CN"/>
                <w14:textFill>
                  <w14:solidFill>
                    <w14:schemeClr w14:val="tx1"/>
                  </w14:solidFill>
                </w14:textFill>
              </w:rPr>
            </w:pPr>
            <w:r>
              <w:rPr>
                <w:rFonts w:hint="eastAsia" w:ascii="宋体" w:hAnsi="宋体" w:eastAsia="宋体" w:cs="宋体"/>
                <w:color w:val="000000" w:themeColor="text1"/>
                <w:sz w:val="28"/>
                <w:szCs w:val="28"/>
                <w:highlight w:val="none"/>
                <w:lang w:eastAsia="zh-CN"/>
                <w14:textFill>
                  <w14:solidFill>
                    <w14:schemeClr w14:val="tx1"/>
                  </w14:solidFill>
                </w14:textFill>
              </w:rPr>
              <w:t>1：与我公司单位负责人为同一人的其他单位名称：</w:t>
            </w:r>
          </w:p>
        </w:tc>
      </w:tr>
      <w:tr w14:paraId="3DB1B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28" w:hRule="atLeast"/>
          <w:jc w:val="center"/>
        </w:trPr>
        <w:tc>
          <w:tcPr>
            <w:tcW w:w="1936" w:type="dxa"/>
            <w:vMerge w:val="continue"/>
            <w:vAlign w:val="center"/>
          </w:tcPr>
          <w:p w14:paraId="792568D6">
            <w:pPr>
              <w:pStyle w:val="160"/>
              <w:pageBreakBefore w:val="0"/>
              <w:widowControl/>
              <w:wordWrap/>
              <w:topLinePunct w:val="0"/>
              <w:bidi w:val="0"/>
              <w:spacing w:line="560" w:lineRule="exact"/>
              <w:jc w:val="left"/>
              <w:rPr>
                <w:rFonts w:hint="eastAsia" w:ascii="宋体" w:hAnsi="宋体" w:eastAsia="宋体" w:cs="宋体"/>
                <w:color w:val="000000" w:themeColor="text1"/>
                <w:sz w:val="28"/>
                <w:szCs w:val="28"/>
                <w:highlight w:val="none"/>
                <w14:textFill>
                  <w14:solidFill>
                    <w14:schemeClr w14:val="tx1"/>
                  </w14:solidFill>
                </w14:textFill>
              </w:rPr>
            </w:pPr>
          </w:p>
        </w:tc>
        <w:tc>
          <w:tcPr>
            <w:tcW w:w="6764" w:type="dxa"/>
            <w:gridSpan w:val="7"/>
            <w:vAlign w:val="center"/>
          </w:tcPr>
          <w:p w14:paraId="047EB317">
            <w:pPr>
              <w:pStyle w:val="164"/>
              <w:keepNext w:val="0"/>
              <w:keepLines w:val="0"/>
              <w:pageBreakBefore w:val="0"/>
              <w:widowControl w:val="0"/>
              <w:kinsoku/>
              <w:wordWrap/>
              <w:overflowPunct/>
              <w:topLinePunct w:val="0"/>
              <w:autoSpaceDE/>
              <w:autoSpaceDN/>
              <w:bidi w:val="0"/>
              <w:adjustRightInd/>
              <w:snapToGrid/>
              <w:spacing w:line="560" w:lineRule="exact"/>
              <w:ind w:left="0"/>
              <w:jc w:val="both"/>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□无；</w:t>
            </w:r>
            <w:r>
              <w:rPr>
                <w:rFonts w:hint="eastAsia" w:ascii="宋体" w:hAnsi="宋体" w:eastAsia="宋体" w:cs="宋体"/>
                <w:color w:val="000000" w:themeColor="text1"/>
                <w:sz w:val="28"/>
                <w:szCs w:val="28"/>
                <w:highlight w:val="none"/>
                <w:lang w:eastAsia="zh-CN"/>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 xml:space="preserve"> □有：</w:t>
            </w:r>
          </w:p>
        </w:tc>
      </w:tr>
      <w:tr w14:paraId="2F956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2" w:hRule="atLeast"/>
          <w:jc w:val="center"/>
        </w:trPr>
        <w:tc>
          <w:tcPr>
            <w:tcW w:w="1936" w:type="dxa"/>
            <w:vMerge w:val="continue"/>
            <w:vAlign w:val="center"/>
          </w:tcPr>
          <w:p w14:paraId="6C88D2B3">
            <w:pPr>
              <w:pStyle w:val="160"/>
              <w:pageBreakBefore w:val="0"/>
              <w:widowControl/>
              <w:wordWrap/>
              <w:topLinePunct w:val="0"/>
              <w:bidi w:val="0"/>
              <w:spacing w:line="560" w:lineRule="exact"/>
              <w:jc w:val="left"/>
              <w:rPr>
                <w:rFonts w:hint="eastAsia" w:ascii="宋体" w:hAnsi="宋体" w:eastAsia="宋体" w:cs="宋体"/>
                <w:color w:val="000000" w:themeColor="text1"/>
                <w:sz w:val="28"/>
                <w:szCs w:val="28"/>
                <w:highlight w:val="none"/>
                <w14:textFill>
                  <w14:solidFill>
                    <w14:schemeClr w14:val="tx1"/>
                  </w14:solidFill>
                </w14:textFill>
              </w:rPr>
            </w:pPr>
          </w:p>
        </w:tc>
        <w:tc>
          <w:tcPr>
            <w:tcW w:w="6764" w:type="dxa"/>
            <w:gridSpan w:val="7"/>
            <w:vAlign w:val="center"/>
          </w:tcPr>
          <w:p w14:paraId="6355AFC5">
            <w:pPr>
              <w:pStyle w:val="164"/>
              <w:keepNext w:val="0"/>
              <w:keepLines w:val="0"/>
              <w:pageBreakBefore w:val="0"/>
              <w:widowControl w:val="0"/>
              <w:kinsoku/>
              <w:wordWrap/>
              <w:overflowPunct/>
              <w:topLinePunct w:val="0"/>
              <w:autoSpaceDE/>
              <w:autoSpaceDN/>
              <w:bidi w:val="0"/>
              <w:adjustRightInd/>
              <w:snapToGrid/>
              <w:spacing w:line="560" w:lineRule="exact"/>
              <w:ind w:left="0"/>
              <w:jc w:val="both"/>
              <w:textAlignment w:val="auto"/>
              <w:rPr>
                <w:rFonts w:hint="eastAsia" w:ascii="宋体" w:hAnsi="宋体" w:eastAsia="宋体" w:cs="宋体"/>
                <w:color w:val="000000" w:themeColor="text1"/>
                <w:sz w:val="28"/>
                <w:szCs w:val="28"/>
                <w:highlight w:val="none"/>
                <w:lang w:eastAsia="zh-CN"/>
                <w14:textFill>
                  <w14:solidFill>
                    <w14:schemeClr w14:val="tx1"/>
                  </w14:solidFill>
                </w14:textFill>
              </w:rPr>
            </w:pPr>
            <w:r>
              <w:rPr>
                <w:rFonts w:hint="eastAsia" w:ascii="宋体" w:hAnsi="宋体" w:eastAsia="宋体" w:cs="宋体"/>
                <w:color w:val="000000" w:themeColor="text1"/>
                <w:sz w:val="28"/>
                <w:szCs w:val="28"/>
                <w:highlight w:val="none"/>
                <w:lang w:eastAsia="zh-CN"/>
                <w14:textFill>
                  <w14:solidFill>
                    <w14:schemeClr w14:val="tx1"/>
                  </w14:solidFill>
                </w14:textFill>
              </w:rPr>
              <w:t xml:space="preserve">2、与我公司存在控股、管理关系的其他单位的名称： </w:t>
            </w:r>
          </w:p>
        </w:tc>
      </w:tr>
      <w:tr w14:paraId="40942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04" w:hRule="atLeast"/>
          <w:jc w:val="center"/>
        </w:trPr>
        <w:tc>
          <w:tcPr>
            <w:tcW w:w="1936" w:type="dxa"/>
            <w:vMerge w:val="continue"/>
            <w:vAlign w:val="center"/>
          </w:tcPr>
          <w:p w14:paraId="7DA6595F">
            <w:pPr>
              <w:pStyle w:val="160"/>
              <w:pageBreakBefore w:val="0"/>
              <w:widowControl/>
              <w:wordWrap/>
              <w:topLinePunct w:val="0"/>
              <w:bidi w:val="0"/>
              <w:spacing w:line="560" w:lineRule="exact"/>
              <w:jc w:val="left"/>
              <w:rPr>
                <w:rFonts w:hint="eastAsia" w:ascii="宋体" w:hAnsi="宋体" w:eastAsia="宋体" w:cs="宋体"/>
                <w:color w:val="000000" w:themeColor="text1"/>
                <w:sz w:val="28"/>
                <w:szCs w:val="28"/>
                <w:highlight w:val="none"/>
                <w14:textFill>
                  <w14:solidFill>
                    <w14:schemeClr w14:val="tx1"/>
                  </w14:solidFill>
                </w14:textFill>
              </w:rPr>
            </w:pPr>
          </w:p>
        </w:tc>
        <w:tc>
          <w:tcPr>
            <w:tcW w:w="6764" w:type="dxa"/>
            <w:gridSpan w:val="7"/>
            <w:vAlign w:val="center"/>
          </w:tcPr>
          <w:p w14:paraId="0C3C19F8">
            <w:pPr>
              <w:pStyle w:val="164"/>
              <w:keepNext w:val="0"/>
              <w:keepLines w:val="0"/>
              <w:pageBreakBefore w:val="0"/>
              <w:widowControl w:val="0"/>
              <w:kinsoku/>
              <w:wordWrap/>
              <w:overflowPunct/>
              <w:topLinePunct w:val="0"/>
              <w:autoSpaceDE/>
              <w:autoSpaceDN/>
              <w:bidi w:val="0"/>
              <w:adjustRightInd/>
              <w:snapToGrid/>
              <w:spacing w:line="560" w:lineRule="exact"/>
              <w:ind w:left="0"/>
              <w:jc w:val="both"/>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□无；</w:t>
            </w:r>
            <w:r>
              <w:rPr>
                <w:rFonts w:hint="eastAsia" w:ascii="宋体" w:hAnsi="宋体" w:eastAsia="宋体" w:cs="宋体"/>
                <w:color w:val="000000" w:themeColor="text1"/>
                <w:sz w:val="28"/>
                <w:szCs w:val="28"/>
                <w:highlight w:val="none"/>
                <w:lang w:eastAsia="zh-CN"/>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 xml:space="preserve"> □有：</w:t>
            </w:r>
          </w:p>
        </w:tc>
      </w:tr>
      <w:tr w14:paraId="53DBE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13" w:hRule="atLeast"/>
          <w:jc w:val="center"/>
        </w:trPr>
        <w:tc>
          <w:tcPr>
            <w:tcW w:w="1936" w:type="dxa"/>
            <w:vMerge w:val="continue"/>
            <w:vAlign w:val="center"/>
          </w:tcPr>
          <w:p w14:paraId="47EB0B26">
            <w:pPr>
              <w:pStyle w:val="160"/>
              <w:pageBreakBefore w:val="0"/>
              <w:widowControl/>
              <w:wordWrap/>
              <w:topLinePunct w:val="0"/>
              <w:bidi w:val="0"/>
              <w:spacing w:line="560" w:lineRule="exact"/>
              <w:jc w:val="left"/>
              <w:rPr>
                <w:rFonts w:hint="eastAsia" w:ascii="宋体" w:hAnsi="宋体" w:eastAsia="宋体" w:cs="宋体"/>
                <w:color w:val="000000" w:themeColor="text1"/>
                <w:sz w:val="28"/>
                <w:szCs w:val="28"/>
                <w:highlight w:val="none"/>
                <w14:textFill>
                  <w14:solidFill>
                    <w14:schemeClr w14:val="tx1"/>
                  </w14:solidFill>
                </w14:textFill>
              </w:rPr>
            </w:pPr>
          </w:p>
        </w:tc>
        <w:tc>
          <w:tcPr>
            <w:tcW w:w="6764" w:type="dxa"/>
            <w:gridSpan w:val="7"/>
            <w:vAlign w:val="center"/>
          </w:tcPr>
          <w:p w14:paraId="224803E6">
            <w:pPr>
              <w:pStyle w:val="164"/>
              <w:keepNext w:val="0"/>
              <w:keepLines w:val="0"/>
              <w:pageBreakBefore w:val="0"/>
              <w:widowControl w:val="0"/>
              <w:kinsoku/>
              <w:wordWrap/>
              <w:overflowPunct/>
              <w:topLinePunct w:val="0"/>
              <w:autoSpaceDE/>
              <w:autoSpaceDN/>
              <w:bidi w:val="0"/>
              <w:adjustRightInd/>
              <w:snapToGrid/>
              <w:spacing w:line="560" w:lineRule="exact"/>
              <w:ind w:left="0"/>
              <w:jc w:val="both"/>
              <w:textAlignment w:val="auto"/>
              <w:rPr>
                <w:rFonts w:hint="eastAsia" w:ascii="宋体" w:hAnsi="宋体" w:eastAsia="宋体" w:cs="宋体"/>
                <w:color w:val="000000" w:themeColor="text1"/>
                <w:sz w:val="28"/>
                <w:szCs w:val="28"/>
                <w:highlight w:val="none"/>
                <w:lang w:eastAsia="zh-CN"/>
                <w14:textFill>
                  <w14:solidFill>
                    <w14:schemeClr w14:val="tx1"/>
                  </w14:solidFill>
                </w14:textFill>
              </w:rPr>
            </w:pPr>
            <w:r>
              <w:rPr>
                <w:rFonts w:hint="eastAsia" w:ascii="宋体" w:hAnsi="宋体" w:eastAsia="宋体" w:cs="宋体"/>
                <w:color w:val="000000" w:themeColor="text1"/>
                <w:sz w:val="28"/>
                <w:szCs w:val="28"/>
                <w:highlight w:val="none"/>
                <w:lang w:eastAsia="zh-CN"/>
                <w14:textFill>
                  <w14:solidFill>
                    <w14:schemeClr w14:val="tx1"/>
                  </w14:solidFill>
                </w14:textFill>
              </w:rPr>
              <w:t>备注：1、“单位负责人”是指单位法定代表人或者法律、行政法规规定代表单位行使职权的主要负责人。</w:t>
            </w:r>
          </w:p>
          <w:p w14:paraId="4DB6789C">
            <w:pPr>
              <w:pStyle w:val="164"/>
              <w:keepNext w:val="0"/>
              <w:keepLines w:val="0"/>
              <w:pageBreakBefore w:val="0"/>
              <w:widowControl w:val="0"/>
              <w:kinsoku/>
              <w:wordWrap/>
              <w:overflowPunct/>
              <w:topLinePunct w:val="0"/>
              <w:autoSpaceDE/>
              <w:autoSpaceDN/>
              <w:bidi w:val="0"/>
              <w:adjustRightInd/>
              <w:snapToGrid/>
              <w:spacing w:line="560" w:lineRule="exact"/>
              <w:ind w:left="0"/>
              <w:jc w:val="both"/>
              <w:textAlignment w:val="auto"/>
              <w:rPr>
                <w:rFonts w:hint="eastAsia" w:ascii="宋体" w:hAnsi="宋体" w:eastAsia="宋体" w:cs="宋体"/>
                <w:color w:val="000000" w:themeColor="text1"/>
                <w:sz w:val="28"/>
                <w:szCs w:val="28"/>
                <w:highlight w:val="none"/>
                <w:lang w:eastAsia="zh-CN"/>
                <w14:textFill>
                  <w14:solidFill>
                    <w14:schemeClr w14:val="tx1"/>
                  </w14:solidFill>
                </w14:textFill>
              </w:rPr>
            </w:pPr>
            <w:r>
              <w:rPr>
                <w:rFonts w:hint="eastAsia" w:ascii="宋体" w:hAnsi="宋体" w:eastAsia="宋体" w:cs="宋体"/>
                <w:color w:val="000000" w:themeColor="text1"/>
                <w:sz w:val="28"/>
                <w:szCs w:val="28"/>
                <w:highlight w:val="none"/>
                <w:lang w:eastAsia="zh-CN"/>
                <w14:textFill>
                  <w14:solidFill>
                    <w14:schemeClr w14:val="tx1"/>
                  </w14:solidFill>
                </w14:textFill>
              </w:rPr>
              <w:t>2、本条所规定的控股、管理关系仅限于直接控股、直接管理关系，不包括间接的控股或管理关系。</w:t>
            </w:r>
          </w:p>
        </w:tc>
      </w:tr>
    </w:tbl>
    <w:p w14:paraId="426742BD">
      <w:pPr>
        <w:pageBreakBefore w:val="0"/>
        <w:wordWrap/>
        <w:topLinePunct w:val="0"/>
        <w:bidi w:val="0"/>
        <w:snapToGrid w:val="0"/>
        <w:spacing w:line="560" w:lineRule="exact"/>
        <w:ind w:firstLine="4935" w:firstLineChars="2350"/>
        <w:rPr>
          <w:rFonts w:hAnsi="宋体"/>
          <w:color w:val="000000" w:themeColor="text1"/>
          <w:szCs w:val="21"/>
          <w:highlight w:val="none"/>
          <w14:textFill>
            <w14:solidFill>
              <w14:schemeClr w14:val="tx1"/>
            </w14:solidFill>
          </w14:textFill>
        </w:rPr>
      </w:pPr>
      <w:r>
        <w:rPr>
          <w:rFonts w:hAnsi="宋体"/>
          <w:color w:val="000000" w:themeColor="text1"/>
          <w:szCs w:val="21"/>
          <w:highlight w:val="none"/>
          <w14:textFill>
            <w14:solidFill>
              <w14:schemeClr w14:val="tx1"/>
            </w14:solidFill>
          </w14:textFill>
        </w:rPr>
        <w:t xml:space="preserve"> </w:t>
      </w:r>
    </w:p>
    <w:p w14:paraId="4D52DF76">
      <w:pPr>
        <w:pageBreakBefore w:val="0"/>
        <w:wordWrap/>
        <w:topLinePunct w:val="0"/>
        <w:bidi w:val="0"/>
        <w:snapToGrid w:val="0"/>
        <w:spacing w:line="560" w:lineRule="exact"/>
        <w:jc w:val="center"/>
        <w:rPr>
          <w:b/>
          <w:bCs/>
          <w:color w:val="000000" w:themeColor="text1"/>
          <w:sz w:val="30"/>
          <w:szCs w:val="30"/>
          <w:highlight w:val="none"/>
          <w14:textFill>
            <w14:solidFill>
              <w14:schemeClr w14:val="tx1"/>
            </w14:solidFill>
          </w14:textFill>
        </w:rPr>
      </w:pPr>
      <w:r>
        <w:rPr>
          <w:rFonts w:hint="eastAsia"/>
          <w:b/>
          <w:bCs/>
          <w:color w:val="000000" w:themeColor="text1"/>
          <w:sz w:val="30"/>
          <w:szCs w:val="30"/>
          <w:highlight w:val="none"/>
          <w14:textFill>
            <w14:solidFill>
              <w14:schemeClr w14:val="tx1"/>
            </w14:solidFill>
          </w14:textFill>
        </w:rPr>
        <w:t>六、</w:t>
      </w:r>
      <w:r>
        <w:rPr>
          <w:rFonts w:hint="eastAsia"/>
          <w:b/>
          <w:bCs/>
          <w:color w:val="000000" w:themeColor="text1"/>
          <w:sz w:val="30"/>
          <w:szCs w:val="30"/>
          <w:highlight w:val="none"/>
          <w:lang w:eastAsia="zh-CN"/>
          <w14:textFill>
            <w14:solidFill>
              <w14:schemeClr w14:val="tx1"/>
            </w14:solidFill>
          </w14:textFill>
        </w:rPr>
        <w:t>供应商</w:t>
      </w:r>
      <w:r>
        <w:rPr>
          <w:rFonts w:hint="eastAsia"/>
          <w:b/>
          <w:bCs/>
          <w:color w:val="000000" w:themeColor="text1"/>
          <w:sz w:val="30"/>
          <w:szCs w:val="30"/>
          <w:highlight w:val="none"/>
          <w14:textFill>
            <w14:solidFill>
              <w14:schemeClr w14:val="tx1"/>
            </w14:solidFill>
          </w14:textFill>
        </w:rPr>
        <w:t>类似的业绩证明文件</w:t>
      </w:r>
    </w:p>
    <w:tbl>
      <w:tblPr>
        <w:tblStyle w:val="34"/>
        <w:tblW w:w="8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7"/>
        <w:gridCol w:w="6106"/>
      </w:tblGrid>
      <w:tr w14:paraId="4E813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2417" w:type="dxa"/>
            <w:noWrap w:val="0"/>
            <w:vAlign w:val="center"/>
          </w:tcPr>
          <w:p w14:paraId="6715AC7D">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cs="仿宋_GB2312"/>
                <w:color w:val="000000" w:themeColor="text1"/>
                <w:sz w:val="28"/>
                <w:szCs w:val="28"/>
                <w:highlight w:val="none"/>
                <w14:textFill>
                  <w14:solidFill>
                    <w14:schemeClr w14:val="tx1"/>
                  </w14:solidFill>
                </w14:textFill>
              </w:rPr>
            </w:pPr>
            <w:r>
              <w:rPr>
                <w:rFonts w:hint="eastAsia" w:cs="仿宋_GB2312"/>
                <w:color w:val="000000" w:themeColor="text1"/>
                <w:sz w:val="28"/>
                <w:szCs w:val="28"/>
                <w:highlight w:val="none"/>
                <w14:textFill>
                  <w14:solidFill>
                    <w14:schemeClr w14:val="tx1"/>
                  </w14:solidFill>
                </w14:textFill>
              </w:rPr>
              <w:t>序号</w:t>
            </w:r>
          </w:p>
        </w:tc>
        <w:tc>
          <w:tcPr>
            <w:tcW w:w="6106" w:type="dxa"/>
            <w:noWrap w:val="0"/>
            <w:vAlign w:val="center"/>
          </w:tcPr>
          <w:p w14:paraId="50ADCD61">
            <w:pPr>
              <w:pageBreakBefore w:val="0"/>
              <w:wordWrap/>
              <w:topLinePunct w:val="0"/>
              <w:bidi w:val="0"/>
              <w:spacing w:line="560" w:lineRule="exact"/>
              <w:jc w:val="center"/>
              <w:rPr>
                <w:rFonts w:hint="eastAsia" w:cs="仿宋_GB2312"/>
                <w:color w:val="000000" w:themeColor="text1"/>
                <w:highlight w:val="none"/>
                <w14:textFill>
                  <w14:solidFill>
                    <w14:schemeClr w14:val="tx1"/>
                  </w14:solidFill>
                </w14:textFill>
              </w:rPr>
            </w:pPr>
          </w:p>
        </w:tc>
      </w:tr>
      <w:tr w14:paraId="72DC7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2417" w:type="dxa"/>
            <w:noWrap w:val="0"/>
            <w:vAlign w:val="center"/>
          </w:tcPr>
          <w:p w14:paraId="451671E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cs="仿宋_GB2312"/>
                <w:color w:val="000000" w:themeColor="text1"/>
                <w:sz w:val="28"/>
                <w:szCs w:val="28"/>
                <w:highlight w:val="none"/>
                <w14:textFill>
                  <w14:solidFill>
                    <w14:schemeClr w14:val="tx1"/>
                  </w14:solidFill>
                </w14:textFill>
              </w:rPr>
            </w:pPr>
            <w:r>
              <w:rPr>
                <w:rFonts w:hint="eastAsia" w:cs="仿宋_GB2312"/>
                <w:color w:val="000000" w:themeColor="text1"/>
                <w:sz w:val="28"/>
                <w:szCs w:val="28"/>
                <w:highlight w:val="none"/>
                <w14:textFill>
                  <w14:solidFill>
                    <w14:schemeClr w14:val="tx1"/>
                  </w14:solidFill>
                </w14:textFill>
              </w:rPr>
              <w:t>项目名称</w:t>
            </w:r>
          </w:p>
        </w:tc>
        <w:tc>
          <w:tcPr>
            <w:tcW w:w="6106" w:type="dxa"/>
            <w:noWrap w:val="0"/>
            <w:vAlign w:val="center"/>
          </w:tcPr>
          <w:p w14:paraId="1824B529">
            <w:pPr>
              <w:pageBreakBefore w:val="0"/>
              <w:wordWrap/>
              <w:topLinePunct w:val="0"/>
              <w:bidi w:val="0"/>
              <w:spacing w:line="560" w:lineRule="exact"/>
              <w:jc w:val="center"/>
              <w:rPr>
                <w:rFonts w:hint="eastAsia" w:cs="仿宋_GB2312"/>
                <w:color w:val="000000" w:themeColor="text1"/>
                <w:highlight w:val="none"/>
                <w14:textFill>
                  <w14:solidFill>
                    <w14:schemeClr w14:val="tx1"/>
                  </w14:solidFill>
                </w14:textFill>
              </w:rPr>
            </w:pPr>
          </w:p>
        </w:tc>
      </w:tr>
      <w:tr w14:paraId="192F9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2417" w:type="dxa"/>
            <w:noWrap w:val="0"/>
            <w:vAlign w:val="center"/>
          </w:tcPr>
          <w:p w14:paraId="35A656E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cs="仿宋_GB2312"/>
                <w:color w:val="000000" w:themeColor="text1"/>
                <w:sz w:val="28"/>
                <w:szCs w:val="28"/>
                <w:highlight w:val="none"/>
                <w14:textFill>
                  <w14:solidFill>
                    <w14:schemeClr w14:val="tx1"/>
                  </w14:solidFill>
                </w14:textFill>
              </w:rPr>
            </w:pPr>
            <w:r>
              <w:rPr>
                <w:rFonts w:hint="eastAsia" w:cs="仿宋_GB2312"/>
                <w:color w:val="000000" w:themeColor="text1"/>
                <w:sz w:val="28"/>
                <w:szCs w:val="28"/>
                <w:highlight w:val="none"/>
                <w14:textFill>
                  <w14:solidFill>
                    <w14:schemeClr w14:val="tx1"/>
                  </w14:solidFill>
                </w14:textFill>
              </w:rPr>
              <w:t>项目所在地</w:t>
            </w:r>
          </w:p>
        </w:tc>
        <w:tc>
          <w:tcPr>
            <w:tcW w:w="6106" w:type="dxa"/>
            <w:noWrap w:val="0"/>
            <w:vAlign w:val="center"/>
          </w:tcPr>
          <w:p w14:paraId="1772D9F6">
            <w:pPr>
              <w:pageBreakBefore w:val="0"/>
              <w:wordWrap/>
              <w:topLinePunct w:val="0"/>
              <w:bidi w:val="0"/>
              <w:spacing w:line="560" w:lineRule="exact"/>
              <w:jc w:val="center"/>
              <w:rPr>
                <w:rFonts w:hint="eastAsia" w:cs="仿宋_GB2312"/>
                <w:color w:val="000000" w:themeColor="text1"/>
                <w:highlight w:val="none"/>
                <w14:textFill>
                  <w14:solidFill>
                    <w14:schemeClr w14:val="tx1"/>
                  </w14:solidFill>
                </w14:textFill>
              </w:rPr>
            </w:pPr>
          </w:p>
        </w:tc>
      </w:tr>
      <w:tr w14:paraId="3FA68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2417" w:type="dxa"/>
            <w:noWrap w:val="0"/>
            <w:vAlign w:val="center"/>
          </w:tcPr>
          <w:p w14:paraId="55572AB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cs="仿宋_GB2312"/>
                <w:color w:val="000000" w:themeColor="text1"/>
                <w:sz w:val="28"/>
                <w:szCs w:val="28"/>
                <w:highlight w:val="none"/>
                <w14:textFill>
                  <w14:solidFill>
                    <w14:schemeClr w14:val="tx1"/>
                  </w14:solidFill>
                </w14:textFill>
              </w:rPr>
            </w:pPr>
            <w:r>
              <w:rPr>
                <w:rFonts w:hint="eastAsia" w:cs="仿宋_GB2312"/>
                <w:color w:val="000000" w:themeColor="text1"/>
                <w:sz w:val="28"/>
                <w:szCs w:val="28"/>
                <w:highlight w:val="none"/>
                <w14:textFill>
                  <w14:solidFill>
                    <w14:schemeClr w14:val="tx1"/>
                  </w14:solidFill>
                </w14:textFill>
              </w:rPr>
              <w:t>发包人名称</w:t>
            </w:r>
          </w:p>
        </w:tc>
        <w:tc>
          <w:tcPr>
            <w:tcW w:w="6106" w:type="dxa"/>
            <w:noWrap w:val="0"/>
            <w:vAlign w:val="center"/>
          </w:tcPr>
          <w:p w14:paraId="480B2121">
            <w:pPr>
              <w:pageBreakBefore w:val="0"/>
              <w:wordWrap/>
              <w:topLinePunct w:val="0"/>
              <w:bidi w:val="0"/>
              <w:spacing w:line="560" w:lineRule="exact"/>
              <w:jc w:val="center"/>
              <w:rPr>
                <w:rFonts w:hint="eastAsia" w:cs="仿宋_GB2312"/>
                <w:color w:val="000000" w:themeColor="text1"/>
                <w:highlight w:val="none"/>
                <w14:textFill>
                  <w14:solidFill>
                    <w14:schemeClr w14:val="tx1"/>
                  </w14:solidFill>
                </w14:textFill>
              </w:rPr>
            </w:pPr>
          </w:p>
        </w:tc>
      </w:tr>
      <w:tr w14:paraId="3D59E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2417" w:type="dxa"/>
            <w:noWrap w:val="0"/>
            <w:vAlign w:val="center"/>
          </w:tcPr>
          <w:p w14:paraId="4C08756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cs="仿宋_GB2312"/>
                <w:color w:val="000000" w:themeColor="text1"/>
                <w:sz w:val="28"/>
                <w:szCs w:val="28"/>
                <w:highlight w:val="none"/>
                <w14:textFill>
                  <w14:solidFill>
                    <w14:schemeClr w14:val="tx1"/>
                  </w14:solidFill>
                </w14:textFill>
              </w:rPr>
            </w:pPr>
            <w:r>
              <w:rPr>
                <w:rFonts w:hint="eastAsia" w:cs="仿宋_GB2312"/>
                <w:color w:val="000000" w:themeColor="text1"/>
                <w:sz w:val="28"/>
                <w:szCs w:val="28"/>
                <w:highlight w:val="none"/>
                <w14:textFill>
                  <w14:solidFill>
                    <w14:schemeClr w14:val="tx1"/>
                  </w14:solidFill>
                </w14:textFill>
              </w:rPr>
              <w:t>合同价格</w:t>
            </w:r>
          </w:p>
        </w:tc>
        <w:tc>
          <w:tcPr>
            <w:tcW w:w="6106" w:type="dxa"/>
            <w:noWrap w:val="0"/>
            <w:vAlign w:val="center"/>
          </w:tcPr>
          <w:p w14:paraId="3F548FE2">
            <w:pPr>
              <w:pageBreakBefore w:val="0"/>
              <w:wordWrap/>
              <w:topLinePunct w:val="0"/>
              <w:bidi w:val="0"/>
              <w:spacing w:line="560" w:lineRule="exact"/>
              <w:jc w:val="center"/>
              <w:rPr>
                <w:rFonts w:hint="eastAsia" w:cs="仿宋_GB2312"/>
                <w:color w:val="000000" w:themeColor="text1"/>
                <w:highlight w:val="none"/>
                <w14:textFill>
                  <w14:solidFill>
                    <w14:schemeClr w14:val="tx1"/>
                  </w14:solidFill>
                </w14:textFill>
              </w:rPr>
            </w:pPr>
          </w:p>
        </w:tc>
      </w:tr>
      <w:tr w14:paraId="39D8B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2417" w:type="dxa"/>
            <w:noWrap w:val="0"/>
            <w:vAlign w:val="center"/>
          </w:tcPr>
          <w:p w14:paraId="2EEA26A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cs="仿宋_GB2312"/>
                <w:color w:val="000000" w:themeColor="text1"/>
                <w:sz w:val="28"/>
                <w:szCs w:val="28"/>
                <w:highlight w:val="none"/>
                <w14:textFill>
                  <w14:solidFill>
                    <w14:schemeClr w14:val="tx1"/>
                  </w14:solidFill>
                </w14:textFill>
              </w:rPr>
            </w:pPr>
            <w:r>
              <w:rPr>
                <w:rFonts w:hint="eastAsia" w:cs="仿宋_GB2312"/>
                <w:color w:val="000000" w:themeColor="text1"/>
                <w:sz w:val="28"/>
                <w:szCs w:val="28"/>
                <w:highlight w:val="none"/>
                <w14:textFill>
                  <w14:solidFill>
                    <w14:schemeClr w14:val="tx1"/>
                  </w14:solidFill>
                </w14:textFill>
              </w:rPr>
              <w:t>服务期限</w:t>
            </w:r>
          </w:p>
        </w:tc>
        <w:tc>
          <w:tcPr>
            <w:tcW w:w="6106" w:type="dxa"/>
            <w:noWrap w:val="0"/>
            <w:vAlign w:val="center"/>
          </w:tcPr>
          <w:p w14:paraId="6737FD87">
            <w:pPr>
              <w:pageBreakBefore w:val="0"/>
              <w:wordWrap/>
              <w:topLinePunct w:val="0"/>
              <w:bidi w:val="0"/>
              <w:spacing w:line="560" w:lineRule="exact"/>
              <w:jc w:val="center"/>
              <w:rPr>
                <w:rFonts w:hint="eastAsia" w:cs="仿宋_GB2312"/>
                <w:color w:val="000000" w:themeColor="text1"/>
                <w:highlight w:val="none"/>
                <w14:textFill>
                  <w14:solidFill>
                    <w14:schemeClr w14:val="tx1"/>
                  </w14:solidFill>
                </w14:textFill>
              </w:rPr>
            </w:pPr>
          </w:p>
        </w:tc>
      </w:tr>
      <w:tr w14:paraId="529C6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2417" w:type="dxa"/>
            <w:noWrap w:val="0"/>
            <w:vAlign w:val="center"/>
          </w:tcPr>
          <w:p w14:paraId="34BA236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cs="仿宋_GB2312"/>
                <w:color w:val="000000" w:themeColor="text1"/>
                <w:sz w:val="28"/>
                <w:szCs w:val="28"/>
                <w:highlight w:val="none"/>
                <w14:textFill>
                  <w14:solidFill>
                    <w14:schemeClr w14:val="tx1"/>
                  </w14:solidFill>
                </w14:textFill>
              </w:rPr>
            </w:pPr>
            <w:r>
              <w:rPr>
                <w:rFonts w:hint="eastAsia" w:cs="仿宋_GB2312"/>
                <w:color w:val="000000" w:themeColor="text1"/>
                <w:sz w:val="28"/>
                <w:szCs w:val="28"/>
                <w:highlight w:val="none"/>
                <w14:textFill>
                  <w14:solidFill>
                    <w14:schemeClr w14:val="tx1"/>
                  </w14:solidFill>
                </w14:textFill>
              </w:rPr>
              <w:t>承担的工作</w:t>
            </w:r>
          </w:p>
        </w:tc>
        <w:tc>
          <w:tcPr>
            <w:tcW w:w="6106" w:type="dxa"/>
            <w:noWrap w:val="0"/>
            <w:vAlign w:val="center"/>
          </w:tcPr>
          <w:p w14:paraId="51127CB7">
            <w:pPr>
              <w:pageBreakBefore w:val="0"/>
              <w:wordWrap/>
              <w:topLinePunct w:val="0"/>
              <w:bidi w:val="0"/>
              <w:spacing w:line="560" w:lineRule="exact"/>
              <w:jc w:val="center"/>
              <w:rPr>
                <w:rFonts w:hint="eastAsia" w:cs="仿宋_GB2312"/>
                <w:color w:val="000000" w:themeColor="text1"/>
                <w:highlight w:val="none"/>
                <w14:textFill>
                  <w14:solidFill>
                    <w14:schemeClr w14:val="tx1"/>
                  </w14:solidFill>
                </w14:textFill>
              </w:rPr>
            </w:pPr>
          </w:p>
        </w:tc>
      </w:tr>
      <w:tr w14:paraId="18804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2417" w:type="dxa"/>
            <w:noWrap w:val="0"/>
            <w:vAlign w:val="center"/>
          </w:tcPr>
          <w:p w14:paraId="347528EF">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cs="仿宋_GB2312"/>
                <w:color w:val="000000" w:themeColor="text1"/>
                <w:sz w:val="28"/>
                <w:szCs w:val="28"/>
                <w:highlight w:val="none"/>
                <w14:textFill>
                  <w14:solidFill>
                    <w14:schemeClr w14:val="tx1"/>
                  </w14:solidFill>
                </w14:textFill>
              </w:rPr>
            </w:pPr>
            <w:r>
              <w:rPr>
                <w:rFonts w:hint="eastAsia" w:cs="仿宋_GB2312"/>
                <w:color w:val="000000" w:themeColor="text1"/>
                <w:sz w:val="28"/>
                <w:szCs w:val="28"/>
                <w:highlight w:val="none"/>
                <w14:textFill>
                  <w14:solidFill>
                    <w14:schemeClr w14:val="tx1"/>
                  </w14:solidFill>
                </w14:textFill>
              </w:rPr>
              <w:t>服务质量</w:t>
            </w:r>
          </w:p>
        </w:tc>
        <w:tc>
          <w:tcPr>
            <w:tcW w:w="6106" w:type="dxa"/>
            <w:noWrap w:val="0"/>
            <w:vAlign w:val="center"/>
          </w:tcPr>
          <w:p w14:paraId="73D5665B">
            <w:pPr>
              <w:pageBreakBefore w:val="0"/>
              <w:wordWrap/>
              <w:topLinePunct w:val="0"/>
              <w:bidi w:val="0"/>
              <w:spacing w:line="560" w:lineRule="exact"/>
              <w:jc w:val="center"/>
              <w:rPr>
                <w:rFonts w:hint="eastAsia" w:cs="仿宋_GB2312"/>
                <w:color w:val="000000" w:themeColor="text1"/>
                <w:highlight w:val="none"/>
                <w14:textFill>
                  <w14:solidFill>
                    <w14:schemeClr w14:val="tx1"/>
                  </w14:solidFill>
                </w14:textFill>
              </w:rPr>
            </w:pPr>
          </w:p>
        </w:tc>
      </w:tr>
      <w:tr w14:paraId="7369B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2417" w:type="dxa"/>
            <w:noWrap w:val="0"/>
            <w:vAlign w:val="center"/>
          </w:tcPr>
          <w:p w14:paraId="4833EB1A">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cs="仿宋_GB2312"/>
                <w:color w:val="000000" w:themeColor="text1"/>
                <w:sz w:val="28"/>
                <w:szCs w:val="28"/>
                <w:highlight w:val="none"/>
                <w14:textFill>
                  <w14:solidFill>
                    <w14:schemeClr w14:val="tx1"/>
                  </w14:solidFill>
                </w14:textFill>
              </w:rPr>
            </w:pPr>
            <w:r>
              <w:rPr>
                <w:rFonts w:hint="eastAsia" w:cs="仿宋_GB2312"/>
                <w:color w:val="000000" w:themeColor="text1"/>
                <w:sz w:val="28"/>
                <w:szCs w:val="28"/>
                <w:highlight w:val="none"/>
                <w14:textFill>
                  <w14:solidFill>
                    <w14:schemeClr w14:val="tx1"/>
                  </w14:solidFill>
                </w14:textFill>
              </w:rPr>
              <w:t>项目负责人</w:t>
            </w:r>
          </w:p>
        </w:tc>
        <w:tc>
          <w:tcPr>
            <w:tcW w:w="6106" w:type="dxa"/>
            <w:noWrap w:val="0"/>
            <w:vAlign w:val="center"/>
          </w:tcPr>
          <w:p w14:paraId="7E40F4AE">
            <w:pPr>
              <w:pageBreakBefore w:val="0"/>
              <w:wordWrap/>
              <w:topLinePunct w:val="0"/>
              <w:bidi w:val="0"/>
              <w:spacing w:line="560" w:lineRule="exact"/>
              <w:jc w:val="center"/>
              <w:rPr>
                <w:rFonts w:hint="eastAsia" w:cs="仿宋_GB2312"/>
                <w:color w:val="000000" w:themeColor="text1"/>
                <w:highlight w:val="none"/>
                <w14:textFill>
                  <w14:solidFill>
                    <w14:schemeClr w14:val="tx1"/>
                  </w14:solidFill>
                </w14:textFill>
              </w:rPr>
            </w:pPr>
          </w:p>
        </w:tc>
      </w:tr>
      <w:tr w14:paraId="1C0D4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2417" w:type="dxa"/>
            <w:noWrap w:val="0"/>
            <w:vAlign w:val="center"/>
          </w:tcPr>
          <w:p w14:paraId="0B098D0D">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cs="仿宋_GB2312"/>
                <w:color w:val="000000" w:themeColor="text1"/>
                <w:sz w:val="28"/>
                <w:szCs w:val="28"/>
                <w:highlight w:val="none"/>
                <w14:textFill>
                  <w14:solidFill>
                    <w14:schemeClr w14:val="tx1"/>
                  </w14:solidFill>
                </w14:textFill>
              </w:rPr>
            </w:pPr>
            <w:r>
              <w:rPr>
                <w:rFonts w:hint="eastAsia" w:cs="仿宋_GB2312"/>
                <w:color w:val="000000" w:themeColor="text1"/>
                <w:sz w:val="28"/>
                <w:szCs w:val="28"/>
                <w:highlight w:val="none"/>
                <w14:textFill>
                  <w14:solidFill>
                    <w14:schemeClr w14:val="tx1"/>
                  </w14:solidFill>
                </w14:textFill>
              </w:rPr>
              <w:t>项目描述</w:t>
            </w:r>
          </w:p>
        </w:tc>
        <w:tc>
          <w:tcPr>
            <w:tcW w:w="6106" w:type="dxa"/>
            <w:noWrap w:val="0"/>
            <w:vAlign w:val="center"/>
          </w:tcPr>
          <w:p w14:paraId="5B5CC607">
            <w:pPr>
              <w:pageBreakBefore w:val="0"/>
              <w:wordWrap/>
              <w:topLinePunct w:val="0"/>
              <w:bidi w:val="0"/>
              <w:spacing w:line="560" w:lineRule="exact"/>
              <w:jc w:val="center"/>
              <w:rPr>
                <w:rFonts w:hint="eastAsia" w:cs="仿宋_GB2312"/>
                <w:color w:val="000000" w:themeColor="text1"/>
                <w:highlight w:val="none"/>
                <w14:textFill>
                  <w14:solidFill>
                    <w14:schemeClr w14:val="tx1"/>
                  </w14:solidFill>
                </w14:textFill>
              </w:rPr>
            </w:pPr>
          </w:p>
        </w:tc>
      </w:tr>
      <w:tr w14:paraId="1C5F3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2417" w:type="dxa"/>
            <w:noWrap w:val="0"/>
            <w:vAlign w:val="center"/>
          </w:tcPr>
          <w:p w14:paraId="6B219EA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cs="仿宋_GB2312"/>
                <w:color w:val="000000" w:themeColor="text1"/>
                <w:sz w:val="28"/>
                <w:szCs w:val="28"/>
                <w:highlight w:val="none"/>
                <w14:textFill>
                  <w14:solidFill>
                    <w14:schemeClr w14:val="tx1"/>
                  </w14:solidFill>
                </w14:textFill>
              </w:rPr>
            </w:pPr>
            <w:r>
              <w:rPr>
                <w:rFonts w:hint="eastAsia" w:cs="仿宋_GB2312"/>
                <w:color w:val="000000" w:themeColor="text1"/>
                <w:sz w:val="28"/>
                <w:szCs w:val="28"/>
                <w:highlight w:val="none"/>
                <w14:textFill>
                  <w14:solidFill>
                    <w14:schemeClr w14:val="tx1"/>
                  </w14:solidFill>
                </w14:textFill>
              </w:rPr>
              <w:t>备注</w:t>
            </w:r>
          </w:p>
        </w:tc>
        <w:tc>
          <w:tcPr>
            <w:tcW w:w="6106" w:type="dxa"/>
            <w:noWrap w:val="0"/>
            <w:vAlign w:val="center"/>
          </w:tcPr>
          <w:p w14:paraId="401C2AE6">
            <w:pPr>
              <w:pageBreakBefore w:val="0"/>
              <w:wordWrap/>
              <w:topLinePunct w:val="0"/>
              <w:bidi w:val="0"/>
              <w:spacing w:line="560" w:lineRule="exact"/>
              <w:jc w:val="center"/>
              <w:rPr>
                <w:rFonts w:hint="eastAsia" w:cs="仿宋_GB2312"/>
                <w:color w:val="000000" w:themeColor="text1"/>
                <w:highlight w:val="none"/>
                <w14:textFill>
                  <w14:solidFill>
                    <w14:schemeClr w14:val="tx1"/>
                  </w14:solidFill>
                </w14:textFill>
              </w:rPr>
            </w:pPr>
          </w:p>
        </w:tc>
      </w:tr>
    </w:tbl>
    <w:p w14:paraId="58B80E09">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Theme="minorEastAsia" w:hAnsiTheme="minorEastAsia" w:eastAsiaTheme="minorEastAsia" w:cstheme="minorEastAsia"/>
          <w:color w:val="000000" w:themeColor="text1"/>
          <w:kern w:val="0"/>
          <w:sz w:val="28"/>
          <w:szCs w:val="28"/>
          <w:highlight w:val="none"/>
          <w:lang w:val="zh-CN"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注：</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可按上述的格式自行编制，须随表提交相应的合同</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或</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中标通知书。</w:t>
      </w:r>
      <w:r>
        <w:rPr>
          <w:rFonts w:hint="eastAsia" w:asciiTheme="minorEastAsia" w:hAnsiTheme="minorEastAsia" w:eastAsiaTheme="minorEastAsia"/>
          <w:bCs/>
          <w:color w:val="000000" w:themeColor="text1"/>
          <w:kern w:val="0"/>
          <w:sz w:val="28"/>
          <w:szCs w:val="28"/>
          <w:highlight w:val="none"/>
          <w:lang w:eastAsia="zh-CN"/>
          <w14:textFill>
            <w14:solidFill>
              <w14:schemeClr w14:val="tx1"/>
            </w14:solidFill>
          </w14:textFill>
        </w:rPr>
        <w:t>类似业绩：</w:t>
      </w:r>
      <w:r>
        <w:rPr>
          <w:rFonts w:hint="eastAsia" w:asciiTheme="minorEastAsia" w:hAnsiTheme="minorEastAsia" w:eastAsiaTheme="minorEastAsia"/>
          <w:bCs/>
          <w:color w:val="000000" w:themeColor="text1"/>
          <w:kern w:val="0"/>
          <w:sz w:val="28"/>
          <w:szCs w:val="28"/>
          <w:highlight w:val="none"/>
          <w14:textFill>
            <w14:solidFill>
              <w14:schemeClr w14:val="tx1"/>
            </w14:solidFill>
          </w14:textFill>
        </w:rPr>
        <w:t>近三年（202</w:t>
      </w:r>
      <w:r>
        <w:rPr>
          <w:rFonts w:hint="eastAsia" w:asciiTheme="minorEastAsia" w:hAnsiTheme="minorEastAsia" w:eastAsiaTheme="minorEastAsia"/>
          <w:bCs/>
          <w:color w:val="000000" w:themeColor="text1"/>
          <w:kern w:val="0"/>
          <w:sz w:val="28"/>
          <w:szCs w:val="28"/>
          <w:highlight w:val="none"/>
          <w:lang w:val="en-US" w:eastAsia="zh-CN"/>
          <w14:textFill>
            <w14:solidFill>
              <w14:schemeClr w14:val="tx1"/>
            </w14:solidFill>
          </w14:textFill>
        </w:rPr>
        <w:t>2</w:t>
      </w:r>
      <w:r>
        <w:rPr>
          <w:rFonts w:hint="eastAsia" w:asciiTheme="minorEastAsia" w:hAnsiTheme="minorEastAsia" w:eastAsiaTheme="minorEastAsia"/>
          <w:bCs/>
          <w:color w:val="000000" w:themeColor="text1"/>
          <w:kern w:val="0"/>
          <w:sz w:val="28"/>
          <w:szCs w:val="28"/>
          <w:highlight w:val="none"/>
          <w14:textFill>
            <w14:solidFill>
              <w14:schemeClr w14:val="tx1"/>
            </w14:solidFill>
          </w14:textFill>
        </w:rPr>
        <w:t>年</w:t>
      </w:r>
      <w:r>
        <w:rPr>
          <w:rFonts w:hint="eastAsia" w:asciiTheme="minorEastAsia" w:hAnsiTheme="minorEastAsia" w:eastAsiaTheme="minorEastAsia"/>
          <w:bCs/>
          <w:color w:val="000000" w:themeColor="text1"/>
          <w:kern w:val="0"/>
          <w:sz w:val="28"/>
          <w:szCs w:val="28"/>
          <w:highlight w:val="none"/>
          <w:lang w:val="en-US" w:eastAsia="zh-CN"/>
          <w14:textFill>
            <w14:solidFill>
              <w14:schemeClr w14:val="tx1"/>
            </w14:solidFill>
          </w14:textFill>
        </w:rPr>
        <w:t>1月1日</w:t>
      </w:r>
      <w:r>
        <w:rPr>
          <w:rFonts w:hint="eastAsia" w:asciiTheme="minorEastAsia" w:hAnsiTheme="minorEastAsia" w:eastAsiaTheme="minorEastAsia"/>
          <w:bCs/>
          <w:color w:val="000000" w:themeColor="text1"/>
          <w:kern w:val="0"/>
          <w:sz w:val="28"/>
          <w:szCs w:val="28"/>
          <w:highlight w:val="none"/>
          <w14:textFill>
            <w14:solidFill>
              <w14:schemeClr w14:val="tx1"/>
            </w14:solidFill>
          </w14:textFill>
        </w:rPr>
        <w:t>-至今）</w:t>
      </w:r>
      <w:r>
        <w:rPr>
          <w:rFonts w:hint="eastAsia" w:asciiTheme="minorEastAsia" w:hAnsiTheme="minorEastAsia" w:eastAsiaTheme="minorEastAsia"/>
          <w:bCs/>
          <w:color w:val="000000" w:themeColor="text1"/>
          <w:kern w:val="0"/>
          <w:sz w:val="28"/>
          <w:szCs w:val="28"/>
          <w:highlight w:val="none"/>
          <w:lang w:eastAsia="zh-CN"/>
          <w14:textFill>
            <w14:solidFill>
              <w14:schemeClr w14:val="tx1"/>
            </w14:solidFill>
          </w14:textFill>
        </w:rPr>
        <w:t>。</w:t>
      </w:r>
    </w:p>
    <w:p w14:paraId="0FF23C61">
      <w:pPr>
        <w:keepNext w:val="0"/>
        <w:keepLines w:val="0"/>
        <w:pageBreakBefore w:val="0"/>
        <w:widowControl w:val="0"/>
        <w:kinsoku/>
        <w:wordWrap/>
        <w:overflowPunct/>
        <w:topLinePunct w:val="0"/>
        <w:autoSpaceDE/>
        <w:autoSpaceDN/>
        <w:bidi w:val="0"/>
        <w:adjustRightInd/>
        <w:snapToGrid w:val="0"/>
        <w:spacing w:line="560" w:lineRule="exact"/>
        <w:ind w:left="0" w:leftChars="0"/>
        <w:jc w:val="center"/>
        <w:textAlignment w:val="auto"/>
        <w:rPr>
          <w:rFonts w:hint="eastAsia" w:asciiTheme="minorEastAsia" w:hAnsiTheme="minorEastAsia" w:eastAsiaTheme="minorEastAsia" w:cstheme="minorEastAsia"/>
          <w:color w:val="000000" w:themeColor="text1"/>
          <w:kern w:val="0"/>
          <w:sz w:val="28"/>
          <w:szCs w:val="28"/>
          <w:highlight w:val="none"/>
          <w:lang w:val="zh-CN"/>
          <w14:textFill>
            <w14:solidFill>
              <w14:schemeClr w14:val="tx1"/>
            </w14:solidFill>
          </w14:textFill>
        </w:rPr>
      </w:pPr>
    </w:p>
    <w:p w14:paraId="4626E514">
      <w:pPr>
        <w:pageBreakBefore w:val="0"/>
        <w:widowControl/>
        <w:wordWrap/>
        <w:topLinePunct w:val="0"/>
        <w:bidi w:val="0"/>
        <w:spacing w:line="560" w:lineRule="exact"/>
        <w:jc w:val="left"/>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ascii="仿宋_GB2312" w:hAnsi="仿宋" w:eastAsia="仿宋_GB2312" w:cs="仿宋_GB2312"/>
          <w:color w:val="000000" w:themeColor="text1"/>
          <w:kern w:val="0"/>
          <w:sz w:val="24"/>
          <w:highlight w:val="none"/>
          <w:lang w:val="zh-CN"/>
          <w14:textFill>
            <w14:solidFill>
              <w14:schemeClr w14:val="tx1"/>
            </w14:solidFill>
          </w14:textFill>
        </w:rPr>
        <w:br w:type="page"/>
      </w:r>
    </w:p>
    <w:p w14:paraId="53BC238B">
      <w:pPr>
        <w:pageBreakBefore w:val="0"/>
        <w:wordWrap/>
        <w:topLinePunct w:val="0"/>
        <w:bidi w:val="0"/>
        <w:snapToGrid w:val="0"/>
        <w:spacing w:before="165" w:beforeLines="50" w:after="50" w:line="560" w:lineRule="exact"/>
        <w:ind w:firstLine="602" w:firstLineChars="200"/>
        <w:jc w:val="center"/>
        <w:rPr>
          <w:b/>
          <w:bCs/>
          <w:color w:val="000000" w:themeColor="text1"/>
          <w:sz w:val="30"/>
          <w:szCs w:val="30"/>
          <w:highlight w:val="none"/>
          <w14:textFill>
            <w14:solidFill>
              <w14:schemeClr w14:val="tx1"/>
            </w14:solidFill>
          </w14:textFill>
        </w:rPr>
      </w:pPr>
      <w:bookmarkStart w:id="235" w:name="_Toc19686839"/>
      <w:r>
        <w:rPr>
          <w:rFonts w:hint="eastAsia"/>
          <w:b/>
          <w:bCs/>
          <w:color w:val="000000" w:themeColor="text1"/>
          <w:sz w:val="30"/>
          <w:szCs w:val="30"/>
          <w:highlight w:val="none"/>
          <w:lang w:eastAsia="zh-CN"/>
          <w14:textFill>
            <w14:solidFill>
              <w14:schemeClr w14:val="tx1"/>
            </w14:solidFill>
          </w14:textFill>
        </w:rPr>
        <w:t>七</w:t>
      </w:r>
      <w:r>
        <w:rPr>
          <w:rFonts w:hint="eastAsia"/>
          <w:b/>
          <w:bCs/>
          <w:color w:val="000000" w:themeColor="text1"/>
          <w:sz w:val="30"/>
          <w:szCs w:val="30"/>
          <w:highlight w:val="none"/>
          <w14:textFill>
            <w14:solidFill>
              <w14:schemeClr w14:val="tx1"/>
            </w14:solidFill>
          </w14:textFill>
        </w:rPr>
        <w:t>、项目负责人简历表</w:t>
      </w:r>
    </w:p>
    <w:tbl>
      <w:tblPr>
        <w:tblStyle w:val="34"/>
        <w:tblW w:w="10095" w:type="dxa"/>
        <w:jc w:val="center"/>
        <w:tblLayout w:type="fixed"/>
        <w:tblCellMar>
          <w:top w:w="0" w:type="dxa"/>
          <w:left w:w="108" w:type="dxa"/>
          <w:bottom w:w="0" w:type="dxa"/>
          <w:right w:w="108" w:type="dxa"/>
        </w:tblCellMar>
      </w:tblPr>
      <w:tblGrid>
        <w:gridCol w:w="1096"/>
        <w:gridCol w:w="730"/>
        <w:gridCol w:w="890"/>
        <w:gridCol w:w="915"/>
        <w:gridCol w:w="1412"/>
        <w:gridCol w:w="836"/>
        <w:gridCol w:w="1495"/>
        <w:gridCol w:w="474"/>
        <w:gridCol w:w="2247"/>
      </w:tblGrid>
      <w:tr w14:paraId="7C84D664">
        <w:tblPrEx>
          <w:tblCellMar>
            <w:top w:w="0" w:type="dxa"/>
            <w:left w:w="108" w:type="dxa"/>
            <w:bottom w:w="0" w:type="dxa"/>
            <w:right w:w="108" w:type="dxa"/>
          </w:tblCellMar>
        </w:tblPrEx>
        <w:trPr>
          <w:trHeight w:val="1174" w:hRule="exact"/>
          <w:jc w:val="center"/>
        </w:trPr>
        <w:tc>
          <w:tcPr>
            <w:tcW w:w="1096" w:type="dxa"/>
            <w:tcBorders>
              <w:top w:val="single" w:color="000000" w:sz="4" w:space="0"/>
              <w:left w:val="single" w:color="000000" w:sz="4" w:space="0"/>
              <w:bottom w:val="single" w:color="000000" w:sz="4" w:space="0"/>
              <w:right w:val="single" w:color="000000" w:sz="4" w:space="0"/>
            </w:tcBorders>
            <w:vAlign w:val="center"/>
          </w:tcPr>
          <w:p w14:paraId="5314E121">
            <w:pPr>
              <w:pStyle w:val="93"/>
              <w:keepNext w:val="0"/>
              <w:keepLines w:val="0"/>
              <w:pageBreakBefore w:val="0"/>
              <w:widowControl w:val="0"/>
              <w:tabs>
                <w:tab w:val="left" w:pos="692"/>
              </w:tabs>
              <w:kinsoku/>
              <w:wordWrap/>
              <w:overflowPunct w:val="0"/>
              <w:topLinePunct w:val="0"/>
              <w:autoSpaceDE/>
              <w:autoSpaceDN/>
              <w:bidi w:val="0"/>
              <w:adjustRightInd/>
              <w:snapToGrid/>
              <w:spacing w:line="560" w:lineRule="exact"/>
              <w:ind w:left="0" w:right="0" w:firstLine="0"/>
              <w:jc w:val="center"/>
              <w:textAlignment w:val="auto"/>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姓名</w:t>
            </w:r>
          </w:p>
        </w:tc>
        <w:tc>
          <w:tcPr>
            <w:tcW w:w="1620" w:type="dxa"/>
            <w:gridSpan w:val="2"/>
            <w:tcBorders>
              <w:top w:val="single" w:color="000000" w:sz="4" w:space="0"/>
              <w:left w:val="single" w:color="000000" w:sz="4" w:space="0"/>
              <w:bottom w:val="single" w:color="000000" w:sz="4" w:space="0"/>
              <w:right w:val="single" w:color="000000" w:sz="4" w:space="0"/>
            </w:tcBorders>
            <w:vAlign w:val="center"/>
          </w:tcPr>
          <w:p w14:paraId="0A06D578">
            <w:pPr>
              <w:keepNext w:val="0"/>
              <w:keepLines w:val="0"/>
              <w:pageBreakBefore w:val="0"/>
              <w:widowControl w:val="0"/>
              <w:kinsoku/>
              <w:wordWrap/>
              <w:topLinePunct w:val="0"/>
              <w:autoSpaceDE/>
              <w:autoSpaceDN/>
              <w:bidi w:val="0"/>
              <w:adjustRightInd/>
              <w:snapToGrid/>
              <w:spacing w:line="560" w:lineRule="exact"/>
              <w:ind w:left="0" w:right="0" w:firstLine="0"/>
              <w:jc w:val="center"/>
              <w:textAlignment w:val="auto"/>
              <w:rPr>
                <w:rFonts w:ascii="宋体" w:hAnsi="宋体" w:cs="宋体"/>
                <w:color w:val="000000" w:themeColor="text1"/>
                <w:sz w:val="28"/>
                <w:szCs w:val="28"/>
                <w:highlight w:val="none"/>
                <w14:textFill>
                  <w14:solidFill>
                    <w14:schemeClr w14:val="tx1"/>
                  </w14:solidFill>
                </w14:textFill>
              </w:rPr>
            </w:pPr>
          </w:p>
        </w:tc>
        <w:tc>
          <w:tcPr>
            <w:tcW w:w="915" w:type="dxa"/>
            <w:tcBorders>
              <w:top w:val="single" w:color="000000" w:sz="4" w:space="0"/>
              <w:left w:val="single" w:color="000000" w:sz="4" w:space="0"/>
              <w:bottom w:val="single" w:color="000000" w:sz="4" w:space="0"/>
              <w:right w:val="single" w:color="000000" w:sz="4" w:space="0"/>
            </w:tcBorders>
            <w:vAlign w:val="center"/>
          </w:tcPr>
          <w:p w14:paraId="3B1C308A">
            <w:pPr>
              <w:pStyle w:val="93"/>
              <w:keepNext w:val="0"/>
              <w:keepLines w:val="0"/>
              <w:pageBreakBefore w:val="0"/>
              <w:widowControl w:val="0"/>
              <w:kinsoku/>
              <w:wordWrap/>
              <w:overflowPunct w:val="0"/>
              <w:topLinePunct w:val="0"/>
              <w:autoSpaceDE/>
              <w:autoSpaceDN/>
              <w:bidi w:val="0"/>
              <w:adjustRightInd/>
              <w:snapToGrid/>
              <w:spacing w:line="560" w:lineRule="exact"/>
              <w:ind w:left="0" w:right="0" w:firstLine="0"/>
              <w:jc w:val="center"/>
              <w:textAlignment w:val="auto"/>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年龄</w:t>
            </w:r>
          </w:p>
        </w:tc>
        <w:tc>
          <w:tcPr>
            <w:tcW w:w="1412" w:type="dxa"/>
            <w:tcBorders>
              <w:top w:val="single" w:color="000000" w:sz="4" w:space="0"/>
              <w:left w:val="single" w:color="000000" w:sz="4" w:space="0"/>
              <w:bottom w:val="single" w:color="000000" w:sz="4" w:space="0"/>
              <w:right w:val="single" w:color="000000" w:sz="4" w:space="0"/>
            </w:tcBorders>
            <w:vAlign w:val="center"/>
          </w:tcPr>
          <w:p w14:paraId="2EA757A8">
            <w:pPr>
              <w:keepNext w:val="0"/>
              <w:keepLines w:val="0"/>
              <w:pageBreakBefore w:val="0"/>
              <w:widowControl w:val="0"/>
              <w:kinsoku/>
              <w:wordWrap/>
              <w:topLinePunct w:val="0"/>
              <w:autoSpaceDE/>
              <w:autoSpaceDN/>
              <w:bidi w:val="0"/>
              <w:adjustRightInd/>
              <w:snapToGrid/>
              <w:spacing w:line="560" w:lineRule="exact"/>
              <w:ind w:left="0" w:right="0" w:firstLine="0"/>
              <w:jc w:val="center"/>
              <w:textAlignment w:val="auto"/>
              <w:rPr>
                <w:rFonts w:ascii="宋体" w:hAnsi="宋体" w:cs="宋体"/>
                <w:color w:val="000000" w:themeColor="text1"/>
                <w:sz w:val="28"/>
                <w:szCs w:val="28"/>
                <w:highlight w:val="none"/>
                <w14:textFill>
                  <w14:solidFill>
                    <w14:schemeClr w14:val="tx1"/>
                  </w14:solidFill>
                </w14:textFill>
              </w:rPr>
            </w:pPr>
          </w:p>
        </w:tc>
        <w:tc>
          <w:tcPr>
            <w:tcW w:w="2805" w:type="dxa"/>
            <w:gridSpan w:val="3"/>
            <w:tcBorders>
              <w:top w:val="single" w:color="000000" w:sz="4" w:space="0"/>
              <w:left w:val="single" w:color="000000" w:sz="4" w:space="0"/>
              <w:bottom w:val="single" w:color="000000" w:sz="4" w:space="0"/>
              <w:right w:val="single" w:color="000000" w:sz="4" w:space="0"/>
            </w:tcBorders>
            <w:vAlign w:val="center"/>
          </w:tcPr>
          <w:p w14:paraId="38395481">
            <w:pPr>
              <w:pStyle w:val="93"/>
              <w:keepNext w:val="0"/>
              <w:keepLines w:val="0"/>
              <w:pageBreakBefore w:val="0"/>
              <w:widowControl w:val="0"/>
              <w:kinsoku/>
              <w:wordWrap/>
              <w:overflowPunct w:val="0"/>
              <w:topLinePunct w:val="0"/>
              <w:autoSpaceDE/>
              <w:autoSpaceDN/>
              <w:bidi w:val="0"/>
              <w:adjustRightInd/>
              <w:snapToGrid/>
              <w:spacing w:line="560" w:lineRule="exact"/>
              <w:ind w:left="0" w:right="0" w:firstLine="0"/>
              <w:jc w:val="center"/>
              <w:textAlignment w:val="auto"/>
              <w:rPr>
                <w:rFonts w:hAnsi="宋体" w:cs="宋体"/>
                <w:color w:val="000000" w:themeColor="text1"/>
                <w:sz w:val="28"/>
                <w:szCs w:val="28"/>
                <w:highlight w:val="none"/>
                <w:lang w:eastAsia="zh-CN"/>
                <w14:textFill>
                  <w14:solidFill>
                    <w14:schemeClr w14:val="tx1"/>
                  </w14:solidFill>
                </w14:textFill>
              </w:rPr>
            </w:pPr>
            <w:r>
              <w:rPr>
                <w:rFonts w:hint="eastAsia" w:hAnsi="宋体" w:cs="宋体"/>
                <w:color w:val="000000" w:themeColor="text1"/>
                <w:sz w:val="28"/>
                <w:szCs w:val="28"/>
                <w:highlight w:val="none"/>
                <w:lang w:eastAsia="zh-CN"/>
                <w14:textFill>
                  <w14:solidFill>
                    <w14:schemeClr w14:val="tx1"/>
                  </w14:solidFill>
                </w14:textFill>
              </w:rPr>
              <w:t>执业资格证书（或上岗证书）名称（如有）</w:t>
            </w:r>
          </w:p>
        </w:tc>
        <w:tc>
          <w:tcPr>
            <w:tcW w:w="2247" w:type="dxa"/>
            <w:tcBorders>
              <w:top w:val="single" w:color="000000" w:sz="4" w:space="0"/>
              <w:left w:val="single" w:color="000000" w:sz="4" w:space="0"/>
              <w:bottom w:val="single" w:color="000000" w:sz="4" w:space="0"/>
              <w:right w:val="single" w:color="000000" w:sz="4" w:space="0"/>
            </w:tcBorders>
            <w:vAlign w:val="center"/>
          </w:tcPr>
          <w:p w14:paraId="220775E1">
            <w:pPr>
              <w:keepNext w:val="0"/>
              <w:keepLines w:val="0"/>
              <w:pageBreakBefore w:val="0"/>
              <w:widowControl w:val="0"/>
              <w:kinsoku/>
              <w:wordWrap/>
              <w:topLinePunct w:val="0"/>
              <w:autoSpaceDE/>
              <w:autoSpaceDN/>
              <w:bidi w:val="0"/>
              <w:adjustRightInd/>
              <w:snapToGrid/>
              <w:spacing w:line="560" w:lineRule="exact"/>
              <w:ind w:left="0" w:right="0" w:firstLine="0"/>
              <w:jc w:val="center"/>
              <w:textAlignment w:val="auto"/>
              <w:rPr>
                <w:rFonts w:ascii="宋体" w:hAnsi="宋体" w:cs="宋体"/>
                <w:color w:val="000000" w:themeColor="text1"/>
                <w:sz w:val="28"/>
                <w:szCs w:val="28"/>
                <w:highlight w:val="none"/>
                <w14:textFill>
                  <w14:solidFill>
                    <w14:schemeClr w14:val="tx1"/>
                  </w14:solidFill>
                </w14:textFill>
              </w:rPr>
            </w:pPr>
          </w:p>
        </w:tc>
      </w:tr>
      <w:tr w14:paraId="60282D75">
        <w:tblPrEx>
          <w:tblCellMar>
            <w:top w:w="0" w:type="dxa"/>
            <w:left w:w="108" w:type="dxa"/>
            <w:bottom w:w="0" w:type="dxa"/>
            <w:right w:w="108" w:type="dxa"/>
          </w:tblCellMar>
        </w:tblPrEx>
        <w:trPr>
          <w:trHeight w:val="950" w:hRule="exact"/>
          <w:jc w:val="center"/>
        </w:trPr>
        <w:tc>
          <w:tcPr>
            <w:tcW w:w="1096" w:type="dxa"/>
            <w:tcBorders>
              <w:top w:val="single" w:color="000000" w:sz="4" w:space="0"/>
              <w:left w:val="single" w:color="000000" w:sz="4" w:space="0"/>
              <w:bottom w:val="single" w:color="000000" w:sz="4" w:space="0"/>
              <w:right w:val="single" w:color="000000" w:sz="4" w:space="0"/>
            </w:tcBorders>
            <w:vAlign w:val="center"/>
          </w:tcPr>
          <w:p w14:paraId="47669042">
            <w:pPr>
              <w:pStyle w:val="93"/>
              <w:keepNext w:val="0"/>
              <w:keepLines w:val="0"/>
              <w:pageBreakBefore w:val="0"/>
              <w:widowControl w:val="0"/>
              <w:tabs>
                <w:tab w:val="left" w:pos="692"/>
              </w:tabs>
              <w:kinsoku/>
              <w:wordWrap/>
              <w:overflowPunct w:val="0"/>
              <w:topLinePunct w:val="0"/>
              <w:autoSpaceDE/>
              <w:autoSpaceDN/>
              <w:bidi w:val="0"/>
              <w:adjustRightInd/>
              <w:snapToGrid/>
              <w:spacing w:line="560" w:lineRule="exact"/>
              <w:ind w:left="0" w:right="0" w:firstLine="0"/>
              <w:jc w:val="center"/>
              <w:textAlignment w:val="auto"/>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职称</w:t>
            </w:r>
          </w:p>
        </w:tc>
        <w:tc>
          <w:tcPr>
            <w:tcW w:w="1620" w:type="dxa"/>
            <w:gridSpan w:val="2"/>
            <w:tcBorders>
              <w:top w:val="single" w:color="000000" w:sz="4" w:space="0"/>
              <w:left w:val="single" w:color="000000" w:sz="4" w:space="0"/>
              <w:bottom w:val="single" w:color="000000" w:sz="4" w:space="0"/>
              <w:right w:val="single" w:color="000000" w:sz="4" w:space="0"/>
            </w:tcBorders>
            <w:vAlign w:val="center"/>
          </w:tcPr>
          <w:p w14:paraId="2499C9EF">
            <w:pPr>
              <w:keepNext w:val="0"/>
              <w:keepLines w:val="0"/>
              <w:pageBreakBefore w:val="0"/>
              <w:widowControl w:val="0"/>
              <w:kinsoku/>
              <w:wordWrap/>
              <w:topLinePunct w:val="0"/>
              <w:autoSpaceDE/>
              <w:autoSpaceDN/>
              <w:bidi w:val="0"/>
              <w:adjustRightInd/>
              <w:snapToGrid/>
              <w:spacing w:line="560" w:lineRule="exact"/>
              <w:ind w:left="0" w:right="0" w:firstLine="0"/>
              <w:jc w:val="center"/>
              <w:textAlignment w:val="auto"/>
              <w:rPr>
                <w:rFonts w:ascii="宋体" w:hAnsi="宋体" w:cs="宋体"/>
                <w:color w:val="000000" w:themeColor="text1"/>
                <w:sz w:val="28"/>
                <w:szCs w:val="28"/>
                <w:highlight w:val="none"/>
                <w14:textFill>
                  <w14:solidFill>
                    <w14:schemeClr w14:val="tx1"/>
                  </w14:solidFill>
                </w14:textFill>
              </w:rPr>
            </w:pPr>
          </w:p>
        </w:tc>
        <w:tc>
          <w:tcPr>
            <w:tcW w:w="915" w:type="dxa"/>
            <w:tcBorders>
              <w:top w:val="single" w:color="000000" w:sz="4" w:space="0"/>
              <w:left w:val="single" w:color="000000" w:sz="4" w:space="0"/>
              <w:bottom w:val="single" w:color="000000" w:sz="4" w:space="0"/>
              <w:right w:val="single" w:color="000000" w:sz="4" w:space="0"/>
            </w:tcBorders>
            <w:vAlign w:val="center"/>
          </w:tcPr>
          <w:p w14:paraId="27AFC196">
            <w:pPr>
              <w:pStyle w:val="93"/>
              <w:keepNext w:val="0"/>
              <w:keepLines w:val="0"/>
              <w:pageBreakBefore w:val="0"/>
              <w:widowControl w:val="0"/>
              <w:kinsoku/>
              <w:wordWrap/>
              <w:overflowPunct w:val="0"/>
              <w:topLinePunct w:val="0"/>
              <w:autoSpaceDE/>
              <w:autoSpaceDN/>
              <w:bidi w:val="0"/>
              <w:adjustRightInd/>
              <w:snapToGrid/>
              <w:spacing w:line="560" w:lineRule="exact"/>
              <w:ind w:left="0" w:right="0" w:firstLine="0"/>
              <w:jc w:val="center"/>
              <w:textAlignment w:val="auto"/>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学历</w:t>
            </w:r>
          </w:p>
        </w:tc>
        <w:tc>
          <w:tcPr>
            <w:tcW w:w="1412" w:type="dxa"/>
            <w:tcBorders>
              <w:top w:val="single" w:color="000000" w:sz="4" w:space="0"/>
              <w:left w:val="single" w:color="000000" w:sz="4" w:space="0"/>
              <w:bottom w:val="single" w:color="000000" w:sz="4" w:space="0"/>
              <w:right w:val="single" w:color="000000" w:sz="4" w:space="0"/>
            </w:tcBorders>
            <w:vAlign w:val="center"/>
          </w:tcPr>
          <w:p w14:paraId="5F3489DC">
            <w:pPr>
              <w:keepNext w:val="0"/>
              <w:keepLines w:val="0"/>
              <w:pageBreakBefore w:val="0"/>
              <w:widowControl w:val="0"/>
              <w:kinsoku/>
              <w:wordWrap/>
              <w:topLinePunct w:val="0"/>
              <w:autoSpaceDE/>
              <w:autoSpaceDN/>
              <w:bidi w:val="0"/>
              <w:adjustRightInd/>
              <w:snapToGrid/>
              <w:spacing w:line="560" w:lineRule="exact"/>
              <w:ind w:left="0" w:right="0" w:firstLine="0"/>
              <w:jc w:val="center"/>
              <w:textAlignment w:val="auto"/>
              <w:rPr>
                <w:rFonts w:ascii="宋体" w:hAnsi="宋体" w:cs="宋体"/>
                <w:color w:val="000000" w:themeColor="text1"/>
                <w:sz w:val="28"/>
                <w:szCs w:val="28"/>
                <w:highlight w:val="none"/>
                <w14:textFill>
                  <w14:solidFill>
                    <w14:schemeClr w14:val="tx1"/>
                  </w14:solidFill>
                </w14:textFill>
              </w:rPr>
            </w:pPr>
          </w:p>
        </w:tc>
        <w:tc>
          <w:tcPr>
            <w:tcW w:w="2805" w:type="dxa"/>
            <w:gridSpan w:val="3"/>
            <w:tcBorders>
              <w:top w:val="single" w:color="000000" w:sz="4" w:space="0"/>
              <w:left w:val="single" w:color="000000" w:sz="4" w:space="0"/>
              <w:bottom w:val="single" w:color="000000" w:sz="4" w:space="0"/>
              <w:right w:val="single" w:color="000000" w:sz="4" w:space="0"/>
            </w:tcBorders>
            <w:vAlign w:val="center"/>
          </w:tcPr>
          <w:p w14:paraId="6AD09F01">
            <w:pPr>
              <w:pStyle w:val="93"/>
              <w:keepNext w:val="0"/>
              <w:keepLines w:val="0"/>
              <w:pageBreakBefore w:val="0"/>
              <w:widowControl w:val="0"/>
              <w:kinsoku/>
              <w:wordWrap/>
              <w:overflowPunct w:val="0"/>
              <w:topLinePunct w:val="0"/>
              <w:autoSpaceDE/>
              <w:autoSpaceDN/>
              <w:bidi w:val="0"/>
              <w:adjustRightInd/>
              <w:snapToGrid/>
              <w:spacing w:line="560" w:lineRule="exact"/>
              <w:ind w:left="0" w:right="0" w:firstLine="0"/>
              <w:jc w:val="center"/>
              <w:textAlignment w:val="auto"/>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拟在本项目任职</w:t>
            </w:r>
          </w:p>
        </w:tc>
        <w:tc>
          <w:tcPr>
            <w:tcW w:w="2247" w:type="dxa"/>
            <w:tcBorders>
              <w:top w:val="single" w:color="000000" w:sz="4" w:space="0"/>
              <w:left w:val="single" w:color="000000" w:sz="4" w:space="0"/>
              <w:bottom w:val="single" w:color="000000" w:sz="4" w:space="0"/>
              <w:right w:val="single" w:color="000000" w:sz="4" w:space="0"/>
            </w:tcBorders>
            <w:vAlign w:val="center"/>
          </w:tcPr>
          <w:p w14:paraId="0B94C374">
            <w:pPr>
              <w:keepNext w:val="0"/>
              <w:keepLines w:val="0"/>
              <w:pageBreakBefore w:val="0"/>
              <w:widowControl w:val="0"/>
              <w:kinsoku/>
              <w:wordWrap/>
              <w:topLinePunct w:val="0"/>
              <w:autoSpaceDE/>
              <w:autoSpaceDN/>
              <w:bidi w:val="0"/>
              <w:adjustRightInd/>
              <w:snapToGrid/>
              <w:spacing w:line="560" w:lineRule="exact"/>
              <w:ind w:left="0" w:right="0" w:firstLine="0"/>
              <w:jc w:val="center"/>
              <w:textAlignment w:val="auto"/>
              <w:rPr>
                <w:rFonts w:ascii="宋体" w:hAnsi="宋体" w:cs="宋体"/>
                <w:color w:val="000000" w:themeColor="text1"/>
                <w:sz w:val="28"/>
                <w:szCs w:val="28"/>
                <w:highlight w:val="none"/>
                <w14:textFill>
                  <w14:solidFill>
                    <w14:schemeClr w14:val="tx1"/>
                  </w14:solidFill>
                </w14:textFill>
              </w:rPr>
            </w:pPr>
          </w:p>
        </w:tc>
      </w:tr>
      <w:tr w14:paraId="3080E0CB">
        <w:tblPrEx>
          <w:tblCellMar>
            <w:top w:w="0" w:type="dxa"/>
            <w:left w:w="108" w:type="dxa"/>
            <w:bottom w:w="0" w:type="dxa"/>
            <w:right w:w="108" w:type="dxa"/>
          </w:tblCellMar>
        </w:tblPrEx>
        <w:trPr>
          <w:trHeight w:val="1002" w:hRule="exact"/>
          <w:jc w:val="center"/>
        </w:trPr>
        <w:tc>
          <w:tcPr>
            <w:tcW w:w="1096" w:type="dxa"/>
            <w:tcBorders>
              <w:top w:val="single" w:color="000000" w:sz="4" w:space="0"/>
              <w:left w:val="single" w:color="000000" w:sz="4" w:space="0"/>
              <w:bottom w:val="single" w:color="000000" w:sz="4" w:space="0"/>
              <w:right w:val="single" w:color="000000" w:sz="4" w:space="0"/>
            </w:tcBorders>
            <w:vAlign w:val="center"/>
          </w:tcPr>
          <w:p w14:paraId="549B2C06">
            <w:pPr>
              <w:pStyle w:val="93"/>
              <w:keepNext w:val="0"/>
              <w:keepLines w:val="0"/>
              <w:pageBreakBefore w:val="0"/>
              <w:widowControl w:val="0"/>
              <w:kinsoku/>
              <w:wordWrap/>
              <w:overflowPunct w:val="0"/>
              <w:topLinePunct w:val="0"/>
              <w:autoSpaceDE/>
              <w:autoSpaceDN/>
              <w:bidi w:val="0"/>
              <w:adjustRightInd/>
              <w:snapToGrid/>
              <w:spacing w:line="560" w:lineRule="exact"/>
              <w:ind w:left="0" w:right="0" w:firstLine="0"/>
              <w:jc w:val="center"/>
              <w:textAlignment w:val="auto"/>
              <w:rPr>
                <w:rFonts w:hint="eastAsia"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工作</w:t>
            </w:r>
          </w:p>
          <w:p w14:paraId="409AE6EF">
            <w:pPr>
              <w:pStyle w:val="93"/>
              <w:keepNext w:val="0"/>
              <w:keepLines w:val="0"/>
              <w:pageBreakBefore w:val="0"/>
              <w:widowControl w:val="0"/>
              <w:kinsoku/>
              <w:wordWrap/>
              <w:overflowPunct w:val="0"/>
              <w:topLinePunct w:val="0"/>
              <w:autoSpaceDE/>
              <w:autoSpaceDN/>
              <w:bidi w:val="0"/>
              <w:adjustRightInd/>
              <w:snapToGrid/>
              <w:spacing w:line="560" w:lineRule="exact"/>
              <w:ind w:left="0" w:right="0" w:firstLine="0"/>
              <w:jc w:val="center"/>
              <w:textAlignment w:val="auto"/>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年限</w:t>
            </w:r>
          </w:p>
        </w:tc>
        <w:tc>
          <w:tcPr>
            <w:tcW w:w="3947" w:type="dxa"/>
            <w:gridSpan w:val="4"/>
            <w:tcBorders>
              <w:top w:val="single" w:color="000000" w:sz="4" w:space="0"/>
              <w:left w:val="single" w:color="000000" w:sz="4" w:space="0"/>
              <w:bottom w:val="single" w:color="000000" w:sz="4" w:space="0"/>
              <w:right w:val="single" w:color="000000" w:sz="4" w:space="0"/>
            </w:tcBorders>
            <w:vAlign w:val="center"/>
          </w:tcPr>
          <w:p w14:paraId="02927CF5">
            <w:pPr>
              <w:keepNext w:val="0"/>
              <w:keepLines w:val="0"/>
              <w:pageBreakBefore w:val="0"/>
              <w:widowControl w:val="0"/>
              <w:kinsoku/>
              <w:wordWrap/>
              <w:topLinePunct w:val="0"/>
              <w:autoSpaceDE/>
              <w:autoSpaceDN/>
              <w:bidi w:val="0"/>
              <w:adjustRightInd/>
              <w:snapToGrid/>
              <w:spacing w:line="560" w:lineRule="exact"/>
              <w:ind w:left="0" w:right="0" w:firstLine="0"/>
              <w:jc w:val="center"/>
              <w:textAlignment w:val="auto"/>
              <w:rPr>
                <w:rFonts w:ascii="宋体" w:hAnsi="宋体" w:cs="宋体"/>
                <w:color w:val="000000" w:themeColor="text1"/>
                <w:sz w:val="28"/>
                <w:szCs w:val="28"/>
                <w:highlight w:val="none"/>
                <w14:textFill>
                  <w14:solidFill>
                    <w14:schemeClr w14:val="tx1"/>
                  </w14:solidFill>
                </w14:textFill>
              </w:rPr>
            </w:pPr>
          </w:p>
        </w:tc>
        <w:tc>
          <w:tcPr>
            <w:tcW w:w="2805" w:type="dxa"/>
            <w:gridSpan w:val="3"/>
            <w:tcBorders>
              <w:top w:val="single" w:color="000000" w:sz="4" w:space="0"/>
              <w:left w:val="single" w:color="000000" w:sz="4" w:space="0"/>
              <w:bottom w:val="single" w:color="000000" w:sz="4" w:space="0"/>
              <w:right w:val="single" w:color="000000" w:sz="4" w:space="0"/>
            </w:tcBorders>
            <w:vAlign w:val="center"/>
          </w:tcPr>
          <w:p w14:paraId="76105A93">
            <w:pPr>
              <w:pStyle w:val="93"/>
              <w:keepNext w:val="0"/>
              <w:keepLines w:val="0"/>
              <w:pageBreakBefore w:val="0"/>
              <w:widowControl w:val="0"/>
              <w:kinsoku/>
              <w:wordWrap/>
              <w:overflowPunct w:val="0"/>
              <w:topLinePunct w:val="0"/>
              <w:autoSpaceDE/>
              <w:autoSpaceDN/>
              <w:bidi w:val="0"/>
              <w:adjustRightInd/>
              <w:snapToGrid/>
              <w:spacing w:line="560" w:lineRule="exact"/>
              <w:ind w:left="0" w:right="0" w:firstLine="0"/>
              <w:jc w:val="center"/>
              <w:textAlignment w:val="auto"/>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从事该岗位工作年限</w:t>
            </w:r>
          </w:p>
        </w:tc>
        <w:tc>
          <w:tcPr>
            <w:tcW w:w="2247" w:type="dxa"/>
            <w:tcBorders>
              <w:top w:val="single" w:color="000000" w:sz="4" w:space="0"/>
              <w:left w:val="single" w:color="000000" w:sz="4" w:space="0"/>
              <w:bottom w:val="single" w:color="000000" w:sz="4" w:space="0"/>
              <w:right w:val="single" w:color="000000" w:sz="4" w:space="0"/>
            </w:tcBorders>
            <w:vAlign w:val="center"/>
          </w:tcPr>
          <w:p w14:paraId="0B38F3F5">
            <w:pPr>
              <w:keepNext w:val="0"/>
              <w:keepLines w:val="0"/>
              <w:pageBreakBefore w:val="0"/>
              <w:widowControl w:val="0"/>
              <w:kinsoku/>
              <w:wordWrap/>
              <w:topLinePunct w:val="0"/>
              <w:autoSpaceDE/>
              <w:autoSpaceDN/>
              <w:bidi w:val="0"/>
              <w:adjustRightInd/>
              <w:snapToGrid/>
              <w:spacing w:line="560" w:lineRule="exact"/>
              <w:ind w:left="0" w:right="0" w:firstLine="0"/>
              <w:jc w:val="center"/>
              <w:textAlignment w:val="auto"/>
              <w:rPr>
                <w:rFonts w:ascii="宋体" w:hAnsi="宋体" w:cs="宋体"/>
                <w:color w:val="000000" w:themeColor="text1"/>
                <w:sz w:val="28"/>
                <w:szCs w:val="28"/>
                <w:highlight w:val="none"/>
                <w14:textFill>
                  <w14:solidFill>
                    <w14:schemeClr w14:val="tx1"/>
                  </w14:solidFill>
                </w14:textFill>
              </w:rPr>
            </w:pPr>
          </w:p>
        </w:tc>
      </w:tr>
      <w:tr w14:paraId="44B60574">
        <w:tblPrEx>
          <w:tblCellMar>
            <w:top w:w="0" w:type="dxa"/>
            <w:left w:w="108" w:type="dxa"/>
            <w:bottom w:w="0" w:type="dxa"/>
            <w:right w:w="108" w:type="dxa"/>
          </w:tblCellMar>
        </w:tblPrEx>
        <w:trPr>
          <w:trHeight w:val="1146" w:hRule="exact"/>
          <w:jc w:val="center"/>
        </w:trPr>
        <w:tc>
          <w:tcPr>
            <w:tcW w:w="1096" w:type="dxa"/>
            <w:tcBorders>
              <w:top w:val="single" w:color="000000" w:sz="4" w:space="0"/>
              <w:left w:val="single" w:color="000000" w:sz="4" w:space="0"/>
              <w:bottom w:val="single" w:color="000000" w:sz="4" w:space="0"/>
              <w:right w:val="single" w:color="000000" w:sz="4" w:space="0"/>
            </w:tcBorders>
            <w:vAlign w:val="center"/>
          </w:tcPr>
          <w:p w14:paraId="34982193">
            <w:pPr>
              <w:pStyle w:val="93"/>
              <w:keepNext w:val="0"/>
              <w:keepLines w:val="0"/>
              <w:pageBreakBefore w:val="0"/>
              <w:widowControl w:val="0"/>
              <w:kinsoku/>
              <w:wordWrap/>
              <w:overflowPunct w:val="0"/>
              <w:topLinePunct w:val="0"/>
              <w:autoSpaceDE/>
              <w:autoSpaceDN/>
              <w:bidi w:val="0"/>
              <w:adjustRightInd/>
              <w:snapToGrid/>
              <w:spacing w:line="560" w:lineRule="exact"/>
              <w:ind w:left="0" w:right="0" w:firstLine="0"/>
              <w:jc w:val="center"/>
              <w:textAlignment w:val="auto"/>
              <w:rPr>
                <w:rFonts w:hint="eastAsia"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毕业</w:t>
            </w:r>
          </w:p>
          <w:p w14:paraId="682CAD33">
            <w:pPr>
              <w:pStyle w:val="93"/>
              <w:keepNext w:val="0"/>
              <w:keepLines w:val="0"/>
              <w:pageBreakBefore w:val="0"/>
              <w:widowControl w:val="0"/>
              <w:kinsoku/>
              <w:wordWrap/>
              <w:overflowPunct w:val="0"/>
              <w:topLinePunct w:val="0"/>
              <w:autoSpaceDE/>
              <w:autoSpaceDN/>
              <w:bidi w:val="0"/>
              <w:adjustRightInd/>
              <w:snapToGrid/>
              <w:spacing w:line="560" w:lineRule="exact"/>
              <w:ind w:left="0" w:right="0" w:firstLine="0"/>
              <w:jc w:val="center"/>
              <w:textAlignment w:val="auto"/>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学校</w:t>
            </w:r>
          </w:p>
        </w:tc>
        <w:tc>
          <w:tcPr>
            <w:tcW w:w="8999" w:type="dxa"/>
            <w:gridSpan w:val="8"/>
            <w:tcBorders>
              <w:top w:val="single" w:color="000000" w:sz="4" w:space="0"/>
              <w:left w:val="single" w:color="000000" w:sz="4" w:space="0"/>
              <w:bottom w:val="single" w:color="000000" w:sz="4" w:space="0"/>
              <w:right w:val="single" w:color="000000" w:sz="4" w:space="0"/>
            </w:tcBorders>
            <w:vAlign w:val="center"/>
          </w:tcPr>
          <w:p w14:paraId="312568C9">
            <w:pPr>
              <w:pStyle w:val="93"/>
              <w:keepNext w:val="0"/>
              <w:keepLines w:val="0"/>
              <w:pageBreakBefore w:val="0"/>
              <w:widowControl w:val="0"/>
              <w:tabs>
                <w:tab w:val="left" w:pos="3357"/>
                <w:tab w:val="left" w:pos="4617"/>
              </w:tabs>
              <w:kinsoku/>
              <w:wordWrap/>
              <w:overflowPunct w:val="0"/>
              <w:topLinePunct w:val="0"/>
              <w:autoSpaceDE/>
              <w:autoSpaceDN/>
              <w:bidi w:val="0"/>
              <w:adjustRightInd/>
              <w:snapToGrid/>
              <w:spacing w:line="560" w:lineRule="exact"/>
              <w:ind w:left="0" w:right="0" w:firstLine="0"/>
              <w:jc w:val="center"/>
              <w:textAlignment w:val="auto"/>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年毕业于</w:t>
            </w:r>
            <w:r>
              <w:rPr>
                <w:rFonts w:hint="eastAsia" w:hAnsi="宋体" w:cs="宋体"/>
                <w:color w:val="000000" w:themeColor="text1"/>
                <w:sz w:val="28"/>
                <w:szCs w:val="28"/>
                <w:highlight w:val="none"/>
                <w14:textFill>
                  <w14:solidFill>
                    <w14:schemeClr w14:val="tx1"/>
                  </w14:solidFill>
                </w14:textFill>
              </w:rPr>
              <w:tab/>
            </w:r>
            <w:r>
              <w:rPr>
                <w:rFonts w:hint="eastAsia" w:hAnsi="宋体" w:cs="宋体"/>
                <w:color w:val="000000" w:themeColor="text1"/>
                <w:sz w:val="28"/>
                <w:szCs w:val="28"/>
                <w:highlight w:val="none"/>
                <w14:textFill>
                  <w14:solidFill>
                    <w14:schemeClr w14:val="tx1"/>
                  </w14:solidFill>
                </w14:textFill>
              </w:rPr>
              <w:t>学校</w:t>
            </w:r>
            <w:r>
              <w:rPr>
                <w:rFonts w:hint="eastAsia" w:hAnsi="宋体" w:cs="宋体"/>
                <w:color w:val="000000" w:themeColor="text1"/>
                <w:sz w:val="28"/>
                <w:szCs w:val="28"/>
                <w:highlight w:val="none"/>
                <w14:textFill>
                  <w14:solidFill>
                    <w14:schemeClr w14:val="tx1"/>
                  </w14:solidFill>
                </w14:textFill>
              </w:rPr>
              <w:tab/>
            </w:r>
            <w:r>
              <w:rPr>
                <w:rFonts w:hint="eastAsia" w:hAnsi="宋体" w:cs="宋体"/>
                <w:color w:val="000000" w:themeColor="text1"/>
                <w:sz w:val="28"/>
                <w:szCs w:val="28"/>
                <w:highlight w:val="none"/>
                <w:lang w:val="en-US" w:eastAsia="zh-CN"/>
                <w14:textFill>
                  <w14:solidFill>
                    <w14:schemeClr w14:val="tx1"/>
                  </w14:solidFill>
                </w14:textFill>
              </w:rPr>
              <w:t xml:space="preserve">   </w:t>
            </w:r>
            <w:r>
              <w:rPr>
                <w:rFonts w:hint="eastAsia" w:hAnsi="宋体" w:cs="宋体"/>
                <w:color w:val="000000" w:themeColor="text1"/>
                <w:sz w:val="28"/>
                <w:szCs w:val="28"/>
                <w:highlight w:val="none"/>
                <w14:textFill>
                  <w14:solidFill>
                    <w14:schemeClr w14:val="tx1"/>
                  </w14:solidFill>
                </w14:textFill>
              </w:rPr>
              <w:t>专业</w:t>
            </w:r>
          </w:p>
        </w:tc>
      </w:tr>
      <w:tr w14:paraId="35E70081">
        <w:tblPrEx>
          <w:tblCellMar>
            <w:top w:w="0" w:type="dxa"/>
            <w:left w:w="108" w:type="dxa"/>
            <w:bottom w:w="0" w:type="dxa"/>
            <w:right w:w="108" w:type="dxa"/>
          </w:tblCellMar>
        </w:tblPrEx>
        <w:trPr>
          <w:trHeight w:val="642" w:hRule="atLeast"/>
          <w:jc w:val="center"/>
        </w:trPr>
        <w:tc>
          <w:tcPr>
            <w:tcW w:w="10095" w:type="dxa"/>
            <w:gridSpan w:val="9"/>
            <w:tcBorders>
              <w:top w:val="single" w:color="000000" w:sz="4" w:space="0"/>
              <w:left w:val="single" w:color="000000" w:sz="4" w:space="0"/>
              <w:bottom w:val="single" w:color="000000" w:sz="4" w:space="0"/>
              <w:right w:val="single" w:color="000000" w:sz="4" w:space="0"/>
            </w:tcBorders>
            <w:vAlign w:val="center"/>
          </w:tcPr>
          <w:p w14:paraId="5478A704">
            <w:pPr>
              <w:pStyle w:val="93"/>
              <w:keepNext w:val="0"/>
              <w:keepLines w:val="0"/>
              <w:pageBreakBefore w:val="0"/>
              <w:widowControl w:val="0"/>
              <w:kinsoku/>
              <w:wordWrap/>
              <w:overflowPunct w:val="0"/>
              <w:topLinePunct w:val="0"/>
              <w:autoSpaceDE/>
              <w:autoSpaceDN/>
              <w:bidi w:val="0"/>
              <w:adjustRightInd/>
              <w:snapToGrid/>
              <w:spacing w:line="560" w:lineRule="exact"/>
              <w:ind w:left="0" w:right="0" w:firstLine="0"/>
              <w:jc w:val="center"/>
              <w:textAlignment w:val="auto"/>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主要工作经历</w:t>
            </w:r>
          </w:p>
        </w:tc>
      </w:tr>
      <w:tr w14:paraId="0475E0D5">
        <w:tblPrEx>
          <w:tblCellMar>
            <w:top w:w="0" w:type="dxa"/>
            <w:left w:w="108" w:type="dxa"/>
            <w:bottom w:w="0" w:type="dxa"/>
            <w:right w:w="108" w:type="dxa"/>
          </w:tblCellMar>
        </w:tblPrEx>
        <w:trPr>
          <w:trHeight w:val="662" w:hRule="exact"/>
          <w:jc w:val="center"/>
        </w:trPr>
        <w:tc>
          <w:tcPr>
            <w:tcW w:w="1826" w:type="dxa"/>
            <w:gridSpan w:val="2"/>
            <w:tcBorders>
              <w:top w:val="single" w:color="000000" w:sz="4" w:space="0"/>
              <w:left w:val="single" w:color="000000" w:sz="4" w:space="0"/>
              <w:bottom w:val="single" w:color="000000" w:sz="4" w:space="0"/>
              <w:right w:val="single" w:color="000000" w:sz="4" w:space="0"/>
            </w:tcBorders>
            <w:vAlign w:val="center"/>
          </w:tcPr>
          <w:p w14:paraId="29864409">
            <w:pPr>
              <w:pStyle w:val="93"/>
              <w:keepNext w:val="0"/>
              <w:keepLines w:val="0"/>
              <w:pageBreakBefore w:val="0"/>
              <w:widowControl w:val="0"/>
              <w:tabs>
                <w:tab w:val="left" w:pos="871"/>
              </w:tabs>
              <w:kinsoku/>
              <w:wordWrap/>
              <w:overflowPunct w:val="0"/>
              <w:topLinePunct w:val="0"/>
              <w:autoSpaceDE/>
              <w:autoSpaceDN/>
              <w:bidi w:val="0"/>
              <w:adjustRightInd/>
              <w:snapToGrid/>
              <w:spacing w:line="560" w:lineRule="exact"/>
              <w:ind w:left="0" w:right="0" w:firstLine="0"/>
              <w:jc w:val="center"/>
              <w:textAlignment w:val="auto"/>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时</w:t>
            </w:r>
            <w:r>
              <w:rPr>
                <w:rFonts w:hint="eastAsia" w:hAnsi="宋体" w:cs="宋体"/>
                <w:color w:val="000000" w:themeColor="text1"/>
                <w:sz w:val="28"/>
                <w:szCs w:val="28"/>
                <w:highlight w:val="none"/>
                <w14:textFill>
                  <w14:solidFill>
                    <w14:schemeClr w14:val="tx1"/>
                  </w14:solidFill>
                </w14:textFill>
              </w:rPr>
              <w:tab/>
            </w:r>
            <w:r>
              <w:rPr>
                <w:rFonts w:hint="eastAsia" w:hAnsi="宋体" w:cs="宋体"/>
                <w:color w:val="000000" w:themeColor="text1"/>
                <w:sz w:val="28"/>
                <w:szCs w:val="28"/>
                <w:highlight w:val="none"/>
                <w14:textFill>
                  <w14:solidFill>
                    <w14:schemeClr w14:val="tx1"/>
                  </w14:solidFill>
                </w14:textFill>
              </w:rPr>
              <w:t>间</w:t>
            </w:r>
          </w:p>
        </w:tc>
        <w:tc>
          <w:tcPr>
            <w:tcW w:w="4053" w:type="dxa"/>
            <w:gridSpan w:val="4"/>
            <w:tcBorders>
              <w:top w:val="single" w:color="000000" w:sz="4" w:space="0"/>
              <w:left w:val="single" w:color="000000" w:sz="4" w:space="0"/>
              <w:bottom w:val="single" w:color="000000" w:sz="4" w:space="0"/>
              <w:right w:val="single" w:color="000000" w:sz="4" w:space="0"/>
            </w:tcBorders>
            <w:vAlign w:val="center"/>
          </w:tcPr>
          <w:p w14:paraId="65058A1E">
            <w:pPr>
              <w:pStyle w:val="93"/>
              <w:keepNext w:val="0"/>
              <w:keepLines w:val="0"/>
              <w:pageBreakBefore w:val="0"/>
              <w:widowControl w:val="0"/>
              <w:kinsoku/>
              <w:wordWrap/>
              <w:overflowPunct w:val="0"/>
              <w:topLinePunct w:val="0"/>
              <w:autoSpaceDE/>
              <w:autoSpaceDN/>
              <w:bidi w:val="0"/>
              <w:adjustRightInd/>
              <w:snapToGrid/>
              <w:spacing w:line="560" w:lineRule="exact"/>
              <w:ind w:left="0" w:right="0" w:firstLine="0"/>
              <w:jc w:val="center"/>
              <w:textAlignment w:val="auto"/>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参加过的类似项目</w:t>
            </w:r>
          </w:p>
        </w:tc>
        <w:tc>
          <w:tcPr>
            <w:tcW w:w="1495" w:type="dxa"/>
            <w:tcBorders>
              <w:top w:val="single" w:color="000000" w:sz="4" w:space="0"/>
              <w:left w:val="single" w:color="000000" w:sz="4" w:space="0"/>
              <w:bottom w:val="single" w:color="000000" w:sz="4" w:space="0"/>
              <w:right w:val="single" w:color="000000" w:sz="4" w:space="0"/>
            </w:tcBorders>
            <w:vAlign w:val="center"/>
          </w:tcPr>
          <w:p w14:paraId="552A369E">
            <w:pPr>
              <w:pStyle w:val="93"/>
              <w:keepNext w:val="0"/>
              <w:keepLines w:val="0"/>
              <w:pageBreakBefore w:val="0"/>
              <w:widowControl w:val="0"/>
              <w:kinsoku/>
              <w:wordWrap/>
              <w:overflowPunct w:val="0"/>
              <w:topLinePunct w:val="0"/>
              <w:autoSpaceDE/>
              <w:autoSpaceDN/>
              <w:bidi w:val="0"/>
              <w:adjustRightInd/>
              <w:snapToGrid/>
              <w:spacing w:line="560" w:lineRule="exact"/>
              <w:ind w:left="0" w:right="0" w:firstLine="0"/>
              <w:jc w:val="center"/>
              <w:textAlignment w:val="auto"/>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担任职务</w:t>
            </w:r>
          </w:p>
        </w:tc>
        <w:tc>
          <w:tcPr>
            <w:tcW w:w="2721" w:type="dxa"/>
            <w:gridSpan w:val="2"/>
            <w:tcBorders>
              <w:top w:val="single" w:color="000000" w:sz="4" w:space="0"/>
              <w:left w:val="single" w:color="000000" w:sz="4" w:space="0"/>
              <w:bottom w:val="single" w:color="000000" w:sz="4" w:space="0"/>
              <w:right w:val="single" w:color="000000" w:sz="4" w:space="0"/>
            </w:tcBorders>
            <w:vAlign w:val="center"/>
          </w:tcPr>
          <w:p w14:paraId="19809C0F">
            <w:pPr>
              <w:pStyle w:val="93"/>
              <w:keepNext w:val="0"/>
              <w:keepLines w:val="0"/>
              <w:pageBreakBefore w:val="0"/>
              <w:widowControl w:val="0"/>
              <w:kinsoku/>
              <w:wordWrap/>
              <w:overflowPunct w:val="0"/>
              <w:topLinePunct w:val="0"/>
              <w:autoSpaceDE/>
              <w:autoSpaceDN/>
              <w:bidi w:val="0"/>
              <w:adjustRightInd/>
              <w:snapToGrid/>
              <w:spacing w:line="560" w:lineRule="exact"/>
              <w:ind w:left="0" w:right="0" w:firstLine="0"/>
              <w:jc w:val="center"/>
              <w:textAlignment w:val="auto"/>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lang w:eastAsia="zh-CN"/>
                <w14:textFill>
                  <w14:solidFill>
                    <w14:schemeClr w14:val="tx1"/>
                  </w14:solidFill>
                </w14:textFill>
              </w:rPr>
              <w:t>采购</w:t>
            </w:r>
            <w:r>
              <w:rPr>
                <w:rFonts w:hint="eastAsia" w:hAnsi="宋体" w:cs="宋体"/>
                <w:color w:val="000000" w:themeColor="text1"/>
                <w:sz w:val="28"/>
                <w:szCs w:val="28"/>
                <w:highlight w:val="none"/>
                <w14:textFill>
                  <w14:solidFill>
                    <w14:schemeClr w14:val="tx1"/>
                  </w14:solidFill>
                </w14:textFill>
              </w:rPr>
              <w:t>人</w:t>
            </w:r>
          </w:p>
        </w:tc>
      </w:tr>
      <w:tr w14:paraId="753D2348">
        <w:tblPrEx>
          <w:tblCellMar>
            <w:top w:w="0" w:type="dxa"/>
            <w:left w:w="108" w:type="dxa"/>
            <w:bottom w:w="0" w:type="dxa"/>
            <w:right w:w="108" w:type="dxa"/>
          </w:tblCellMar>
        </w:tblPrEx>
        <w:trPr>
          <w:trHeight w:val="648" w:hRule="exact"/>
          <w:jc w:val="center"/>
        </w:trPr>
        <w:tc>
          <w:tcPr>
            <w:tcW w:w="1826" w:type="dxa"/>
            <w:gridSpan w:val="2"/>
            <w:tcBorders>
              <w:top w:val="single" w:color="000000" w:sz="4" w:space="0"/>
              <w:left w:val="single" w:color="000000" w:sz="4" w:space="0"/>
              <w:bottom w:val="single" w:color="000000" w:sz="4" w:space="0"/>
              <w:right w:val="single" w:color="000000" w:sz="4" w:space="0"/>
            </w:tcBorders>
            <w:vAlign w:val="center"/>
          </w:tcPr>
          <w:p w14:paraId="76422B42">
            <w:pPr>
              <w:keepNext w:val="0"/>
              <w:keepLines w:val="0"/>
              <w:pageBreakBefore w:val="0"/>
              <w:widowControl w:val="0"/>
              <w:kinsoku/>
              <w:wordWrap/>
              <w:topLinePunct w:val="0"/>
              <w:autoSpaceDE/>
              <w:autoSpaceDN/>
              <w:bidi w:val="0"/>
              <w:adjustRightInd/>
              <w:snapToGrid/>
              <w:spacing w:line="560" w:lineRule="exact"/>
              <w:ind w:left="0" w:right="0" w:firstLine="0"/>
              <w:jc w:val="center"/>
              <w:textAlignment w:val="auto"/>
              <w:rPr>
                <w:rFonts w:ascii="宋体" w:hAnsi="宋体" w:cs="宋体"/>
                <w:color w:val="000000" w:themeColor="text1"/>
                <w:sz w:val="28"/>
                <w:szCs w:val="28"/>
                <w:highlight w:val="none"/>
                <w14:textFill>
                  <w14:solidFill>
                    <w14:schemeClr w14:val="tx1"/>
                  </w14:solidFill>
                </w14:textFill>
              </w:rPr>
            </w:pPr>
          </w:p>
        </w:tc>
        <w:tc>
          <w:tcPr>
            <w:tcW w:w="4053" w:type="dxa"/>
            <w:gridSpan w:val="4"/>
            <w:tcBorders>
              <w:top w:val="single" w:color="000000" w:sz="4" w:space="0"/>
              <w:left w:val="single" w:color="000000" w:sz="4" w:space="0"/>
              <w:bottom w:val="single" w:color="000000" w:sz="4" w:space="0"/>
              <w:right w:val="single" w:color="000000" w:sz="4" w:space="0"/>
            </w:tcBorders>
            <w:vAlign w:val="center"/>
          </w:tcPr>
          <w:p w14:paraId="6A37280F">
            <w:pPr>
              <w:keepNext w:val="0"/>
              <w:keepLines w:val="0"/>
              <w:pageBreakBefore w:val="0"/>
              <w:widowControl w:val="0"/>
              <w:kinsoku/>
              <w:wordWrap/>
              <w:topLinePunct w:val="0"/>
              <w:autoSpaceDE/>
              <w:autoSpaceDN/>
              <w:bidi w:val="0"/>
              <w:adjustRightInd/>
              <w:snapToGrid/>
              <w:spacing w:line="560" w:lineRule="exact"/>
              <w:ind w:left="0" w:right="0" w:firstLine="0"/>
              <w:jc w:val="center"/>
              <w:textAlignment w:val="auto"/>
              <w:rPr>
                <w:rFonts w:ascii="宋体" w:hAnsi="宋体" w:cs="宋体"/>
                <w:color w:val="000000" w:themeColor="text1"/>
                <w:sz w:val="28"/>
                <w:szCs w:val="28"/>
                <w:highlight w:val="none"/>
                <w14:textFill>
                  <w14:solidFill>
                    <w14:schemeClr w14:val="tx1"/>
                  </w14:solidFill>
                </w14:textFill>
              </w:rPr>
            </w:pPr>
          </w:p>
        </w:tc>
        <w:tc>
          <w:tcPr>
            <w:tcW w:w="1495" w:type="dxa"/>
            <w:tcBorders>
              <w:top w:val="single" w:color="000000" w:sz="4" w:space="0"/>
              <w:left w:val="single" w:color="000000" w:sz="4" w:space="0"/>
              <w:bottom w:val="single" w:color="000000" w:sz="4" w:space="0"/>
              <w:right w:val="single" w:color="000000" w:sz="4" w:space="0"/>
            </w:tcBorders>
            <w:vAlign w:val="center"/>
          </w:tcPr>
          <w:p w14:paraId="0E54E1B3">
            <w:pPr>
              <w:keepNext w:val="0"/>
              <w:keepLines w:val="0"/>
              <w:pageBreakBefore w:val="0"/>
              <w:widowControl w:val="0"/>
              <w:kinsoku/>
              <w:wordWrap/>
              <w:topLinePunct w:val="0"/>
              <w:autoSpaceDE/>
              <w:autoSpaceDN/>
              <w:bidi w:val="0"/>
              <w:adjustRightInd/>
              <w:snapToGrid/>
              <w:spacing w:line="560" w:lineRule="exact"/>
              <w:ind w:left="0" w:right="0" w:firstLine="0"/>
              <w:jc w:val="center"/>
              <w:textAlignment w:val="auto"/>
              <w:rPr>
                <w:rFonts w:ascii="宋体" w:hAnsi="宋体" w:cs="宋体"/>
                <w:color w:val="000000" w:themeColor="text1"/>
                <w:sz w:val="28"/>
                <w:szCs w:val="28"/>
                <w:highlight w:val="none"/>
                <w14:textFill>
                  <w14:solidFill>
                    <w14:schemeClr w14:val="tx1"/>
                  </w14:solidFill>
                </w14:textFill>
              </w:rPr>
            </w:pPr>
          </w:p>
        </w:tc>
        <w:tc>
          <w:tcPr>
            <w:tcW w:w="2721" w:type="dxa"/>
            <w:gridSpan w:val="2"/>
            <w:tcBorders>
              <w:top w:val="single" w:color="000000" w:sz="4" w:space="0"/>
              <w:left w:val="single" w:color="000000" w:sz="4" w:space="0"/>
              <w:bottom w:val="single" w:color="000000" w:sz="4" w:space="0"/>
              <w:right w:val="single" w:color="000000" w:sz="4" w:space="0"/>
            </w:tcBorders>
            <w:vAlign w:val="center"/>
          </w:tcPr>
          <w:p w14:paraId="7ED8005C">
            <w:pPr>
              <w:keepNext w:val="0"/>
              <w:keepLines w:val="0"/>
              <w:pageBreakBefore w:val="0"/>
              <w:widowControl w:val="0"/>
              <w:kinsoku/>
              <w:wordWrap/>
              <w:topLinePunct w:val="0"/>
              <w:autoSpaceDE/>
              <w:autoSpaceDN/>
              <w:bidi w:val="0"/>
              <w:adjustRightInd/>
              <w:snapToGrid/>
              <w:spacing w:line="560" w:lineRule="exact"/>
              <w:ind w:left="0" w:right="0" w:firstLine="0"/>
              <w:jc w:val="center"/>
              <w:textAlignment w:val="auto"/>
              <w:rPr>
                <w:rFonts w:ascii="宋体" w:hAnsi="宋体" w:cs="宋体"/>
                <w:color w:val="000000" w:themeColor="text1"/>
                <w:sz w:val="28"/>
                <w:szCs w:val="28"/>
                <w:highlight w:val="none"/>
                <w14:textFill>
                  <w14:solidFill>
                    <w14:schemeClr w14:val="tx1"/>
                  </w14:solidFill>
                </w14:textFill>
              </w:rPr>
            </w:pPr>
          </w:p>
        </w:tc>
      </w:tr>
      <w:tr w14:paraId="09BA8432">
        <w:tblPrEx>
          <w:tblCellMar>
            <w:top w:w="0" w:type="dxa"/>
            <w:left w:w="108" w:type="dxa"/>
            <w:bottom w:w="0" w:type="dxa"/>
            <w:right w:w="108" w:type="dxa"/>
          </w:tblCellMar>
        </w:tblPrEx>
        <w:trPr>
          <w:trHeight w:val="647" w:hRule="exact"/>
          <w:jc w:val="center"/>
        </w:trPr>
        <w:tc>
          <w:tcPr>
            <w:tcW w:w="1826" w:type="dxa"/>
            <w:gridSpan w:val="2"/>
            <w:tcBorders>
              <w:top w:val="single" w:color="000000" w:sz="4" w:space="0"/>
              <w:left w:val="single" w:color="000000" w:sz="4" w:space="0"/>
              <w:bottom w:val="single" w:color="000000" w:sz="4" w:space="0"/>
              <w:right w:val="single" w:color="000000" w:sz="4" w:space="0"/>
            </w:tcBorders>
            <w:vAlign w:val="center"/>
          </w:tcPr>
          <w:p w14:paraId="6C3A4F0B">
            <w:pPr>
              <w:keepNext w:val="0"/>
              <w:keepLines w:val="0"/>
              <w:pageBreakBefore w:val="0"/>
              <w:widowControl w:val="0"/>
              <w:kinsoku/>
              <w:wordWrap/>
              <w:topLinePunct w:val="0"/>
              <w:autoSpaceDE/>
              <w:autoSpaceDN/>
              <w:bidi w:val="0"/>
              <w:adjustRightInd/>
              <w:snapToGrid/>
              <w:spacing w:line="560" w:lineRule="exact"/>
              <w:ind w:left="0" w:right="0" w:firstLine="0"/>
              <w:jc w:val="center"/>
              <w:textAlignment w:val="auto"/>
              <w:rPr>
                <w:rFonts w:ascii="宋体" w:hAnsi="宋体" w:cs="宋体"/>
                <w:color w:val="000000" w:themeColor="text1"/>
                <w:sz w:val="28"/>
                <w:szCs w:val="28"/>
                <w:highlight w:val="none"/>
                <w14:textFill>
                  <w14:solidFill>
                    <w14:schemeClr w14:val="tx1"/>
                  </w14:solidFill>
                </w14:textFill>
              </w:rPr>
            </w:pPr>
          </w:p>
        </w:tc>
        <w:tc>
          <w:tcPr>
            <w:tcW w:w="4053" w:type="dxa"/>
            <w:gridSpan w:val="4"/>
            <w:tcBorders>
              <w:top w:val="single" w:color="000000" w:sz="4" w:space="0"/>
              <w:left w:val="single" w:color="000000" w:sz="4" w:space="0"/>
              <w:bottom w:val="single" w:color="000000" w:sz="4" w:space="0"/>
              <w:right w:val="single" w:color="000000" w:sz="4" w:space="0"/>
            </w:tcBorders>
            <w:vAlign w:val="center"/>
          </w:tcPr>
          <w:p w14:paraId="4829DB03">
            <w:pPr>
              <w:keepNext w:val="0"/>
              <w:keepLines w:val="0"/>
              <w:pageBreakBefore w:val="0"/>
              <w:widowControl w:val="0"/>
              <w:kinsoku/>
              <w:wordWrap/>
              <w:topLinePunct w:val="0"/>
              <w:autoSpaceDE/>
              <w:autoSpaceDN/>
              <w:bidi w:val="0"/>
              <w:adjustRightInd/>
              <w:snapToGrid/>
              <w:spacing w:line="560" w:lineRule="exact"/>
              <w:ind w:left="0" w:right="0" w:firstLine="0"/>
              <w:jc w:val="center"/>
              <w:textAlignment w:val="auto"/>
              <w:rPr>
                <w:rFonts w:ascii="宋体" w:hAnsi="宋体" w:cs="宋体"/>
                <w:color w:val="000000" w:themeColor="text1"/>
                <w:sz w:val="28"/>
                <w:szCs w:val="28"/>
                <w:highlight w:val="none"/>
                <w14:textFill>
                  <w14:solidFill>
                    <w14:schemeClr w14:val="tx1"/>
                  </w14:solidFill>
                </w14:textFill>
              </w:rPr>
            </w:pPr>
          </w:p>
        </w:tc>
        <w:tc>
          <w:tcPr>
            <w:tcW w:w="1495" w:type="dxa"/>
            <w:tcBorders>
              <w:top w:val="single" w:color="000000" w:sz="4" w:space="0"/>
              <w:left w:val="single" w:color="000000" w:sz="4" w:space="0"/>
              <w:bottom w:val="single" w:color="000000" w:sz="4" w:space="0"/>
              <w:right w:val="single" w:color="000000" w:sz="4" w:space="0"/>
            </w:tcBorders>
            <w:vAlign w:val="center"/>
          </w:tcPr>
          <w:p w14:paraId="4F73FAE0">
            <w:pPr>
              <w:keepNext w:val="0"/>
              <w:keepLines w:val="0"/>
              <w:pageBreakBefore w:val="0"/>
              <w:widowControl w:val="0"/>
              <w:kinsoku/>
              <w:wordWrap/>
              <w:topLinePunct w:val="0"/>
              <w:autoSpaceDE/>
              <w:autoSpaceDN/>
              <w:bidi w:val="0"/>
              <w:adjustRightInd/>
              <w:snapToGrid/>
              <w:spacing w:line="560" w:lineRule="exact"/>
              <w:ind w:left="0" w:right="0" w:firstLine="0"/>
              <w:jc w:val="center"/>
              <w:textAlignment w:val="auto"/>
              <w:rPr>
                <w:rFonts w:ascii="宋体" w:hAnsi="宋体" w:cs="宋体"/>
                <w:color w:val="000000" w:themeColor="text1"/>
                <w:sz w:val="28"/>
                <w:szCs w:val="28"/>
                <w:highlight w:val="none"/>
                <w14:textFill>
                  <w14:solidFill>
                    <w14:schemeClr w14:val="tx1"/>
                  </w14:solidFill>
                </w14:textFill>
              </w:rPr>
            </w:pPr>
          </w:p>
        </w:tc>
        <w:tc>
          <w:tcPr>
            <w:tcW w:w="2721" w:type="dxa"/>
            <w:gridSpan w:val="2"/>
            <w:tcBorders>
              <w:top w:val="single" w:color="000000" w:sz="4" w:space="0"/>
              <w:left w:val="single" w:color="000000" w:sz="4" w:space="0"/>
              <w:bottom w:val="single" w:color="000000" w:sz="4" w:space="0"/>
              <w:right w:val="single" w:color="000000" w:sz="4" w:space="0"/>
            </w:tcBorders>
            <w:vAlign w:val="center"/>
          </w:tcPr>
          <w:p w14:paraId="5303F685">
            <w:pPr>
              <w:keepNext w:val="0"/>
              <w:keepLines w:val="0"/>
              <w:pageBreakBefore w:val="0"/>
              <w:widowControl w:val="0"/>
              <w:kinsoku/>
              <w:wordWrap/>
              <w:topLinePunct w:val="0"/>
              <w:autoSpaceDE/>
              <w:autoSpaceDN/>
              <w:bidi w:val="0"/>
              <w:adjustRightInd/>
              <w:snapToGrid/>
              <w:spacing w:line="560" w:lineRule="exact"/>
              <w:ind w:left="0" w:right="0" w:firstLine="0"/>
              <w:jc w:val="center"/>
              <w:textAlignment w:val="auto"/>
              <w:rPr>
                <w:rFonts w:ascii="宋体" w:hAnsi="宋体" w:cs="宋体"/>
                <w:color w:val="000000" w:themeColor="text1"/>
                <w:sz w:val="28"/>
                <w:szCs w:val="28"/>
                <w:highlight w:val="none"/>
                <w14:textFill>
                  <w14:solidFill>
                    <w14:schemeClr w14:val="tx1"/>
                  </w14:solidFill>
                </w14:textFill>
              </w:rPr>
            </w:pPr>
          </w:p>
        </w:tc>
      </w:tr>
      <w:tr w14:paraId="508C1E7E">
        <w:tblPrEx>
          <w:tblCellMar>
            <w:top w:w="0" w:type="dxa"/>
            <w:left w:w="108" w:type="dxa"/>
            <w:bottom w:w="0" w:type="dxa"/>
            <w:right w:w="108" w:type="dxa"/>
          </w:tblCellMar>
        </w:tblPrEx>
        <w:trPr>
          <w:trHeight w:val="647" w:hRule="exact"/>
          <w:jc w:val="center"/>
        </w:trPr>
        <w:tc>
          <w:tcPr>
            <w:tcW w:w="1826" w:type="dxa"/>
            <w:gridSpan w:val="2"/>
            <w:tcBorders>
              <w:top w:val="single" w:color="000000" w:sz="4" w:space="0"/>
              <w:left w:val="single" w:color="000000" w:sz="4" w:space="0"/>
              <w:bottom w:val="single" w:color="000000" w:sz="4" w:space="0"/>
              <w:right w:val="single" w:color="000000" w:sz="4" w:space="0"/>
            </w:tcBorders>
            <w:vAlign w:val="center"/>
          </w:tcPr>
          <w:p w14:paraId="759870A0">
            <w:pPr>
              <w:keepNext w:val="0"/>
              <w:keepLines w:val="0"/>
              <w:pageBreakBefore w:val="0"/>
              <w:widowControl w:val="0"/>
              <w:kinsoku/>
              <w:wordWrap/>
              <w:topLinePunct w:val="0"/>
              <w:autoSpaceDE/>
              <w:autoSpaceDN/>
              <w:bidi w:val="0"/>
              <w:adjustRightInd/>
              <w:snapToGrid/>
              <w:spacing w:line="560" w:lineRule="exact"/>
              <w:ind w:left="0" w:right="0" w:firstLine="0"/>
              <w:jc w:val="center"/>
              <w:textAlignment w:val="auto"/>
              <w:rPr>
                <w:rFonts w:ascii="宋体" w:hAnsi="宋体" w:cs="宋体"/>
                <w:color w:val="000000" w:themeColor="text1"/>
                <w:sz w:val="28"/>
                <w:szCs w:val="28"/>
                <w:highlight w:val="none"/>
                <w14:textFill>
                  <w14:solidFill>
                    <w14:schemeClr w14:val="tx1"/>
                  </w14:solidFill>
                </w14:textFill>
              </w:rPr>
            </w:pPr>
          </w:p>
        </w:tc>
        <w:tc>
          <w:tcPr>
            <w:tcW w:w="4053" w:type="dxa"/>
            <w:gridSpan w:val="4"/>
            <w:tcBorders>
              <w:top w:val="single" w:color="000000" w:sz="4" w:space="0"/>
              <w:left w:val="single" w:color="000000" w:sz="4" w:space="0"/>
              <w:bottom w:val="single" w:color="000000" w:sz="4" w:space="0"/>
              <w:right w:val="single" w:color="000000" w:sz="4" w:space="0"/>
            </w:tcBorders>
            <w:vAlign w:val="center"/>
          </w:tcPr>
          <w:p w14:paraId="6FFFA5CE">
            <w:pPr>
              <w:keepNext w:val="0"/>
              <w:keepLines w:val="0"/>
              <w:pageBreakBefore w:val="0"/>
              <w:widowControl w:val="0"/>
              <w:kinsoku/>
              <w:wordWrap/>
              <w:topLinePunct w:val="0"/>
              <w:autoSpaceDE/>
              <w:autoSpaceDN/>
              <w:bidi w:val="0"/>
              <w:adjustRightInd/>
              <w:snapToGrid/>
              <w:spacing w:line="560" w:lineRule="exact"/>
              <w:ind w:left="0" w:right="0" w:firstLine="0"/>
              <w:jc w:val="center"/>
              <w:textAlignment w:val="auto"/>
              <w:rPr>
                <w:rFonts w:ascii="宋体" w:hAnsi="宋体" w:cs="宋体"/>
                <w:color w:val="000000" w:themeColor="text1"/>
                <w:sz w:val="28"/>
                <w:szCs w:val="28"/>
                <w:highlight w:val="none"/>
                <w14:textFill>
                  <w14:solidFill>
                    <w14:schemeClr w14:val="tx1"/>
                  </w14:solidFill>
                </w14:textFill>
              </w:rPr>
            </w:pPr>
          </w:p>
        </w:tc>
        <w:tc>
          <w:tcPr>
            <w:tcW w:w="1495" w:type="dxa"/>
            <w:tcBorders>
              <w:top w:val="single" w:color="000000" w:sz="4" w:space="0"/>
              <w:left w:val="single" w:color="000000" w:sz="4" w:space="0"/>
              <w:bottom w:val="single" w:color="000000" w:sz="4" w:space="0"/>
              <w:right w:val="single" w:color="000000" w:sz="4" w:space="0"/>
            </w:tcBorders>
            <w:vAlign w:val="center"/>
          </w:tcPr>
          <w:p w14:paraId="2130D07B">
            <w:pPr>
              <w:keepNext w:val="0"/>
              <w:keepLines w:val="0"/>
              <w:pageBreakBefore w:val="0"/>
              <w:widowControl w:val="0"/>
              <w:kinsoku/>
              <w:wordWrap/>
              <w:topLinePunct w:val="0"/>
              <w:autoSpaceDE/>
              <w:autoSpaceDN/>
              <w:bidi w:val="0"/>
              <w:adjustRightInd/>
              <w:snapToGrid/>
              <w:spacing w:line="560" w:lineRule="exact"/>
              <w:ind w:left="0" w:right="0" w:firstLine="0"/>
              <w:jc w:val="center"/>
              <w:textAlignment w:val="auto"/>
              <w:rPr>
                <w:rFonts w:ascii="宋体" w:hAnsi="宋体" w:cs="宋体"/>
                <w:color w:val="000000" w:themeColor="text1"/>
                <w:sz w:val="28"/>
                <w:szCs w:val="28"/>
                <w:highlight w:val="none"/>
                <w14:textFill>
                  <w14:solidFill>
                    <w14:schemeClr w14:val="tx1"/>
                  </w14:solidFill>
                </w14:textFill>
              </w:rPr>
            </w:pPr>
          </w:p>
        </w:tc>
        <w:tc>
          <w:tcPr>
            <w:tcW w:w="2721" w:type="dxa"/>
            <w:gridSpan w:val="2"/>
            <w:tcBorders>
              <w:top w:val="single" w:color="000000" w:sz="4" w:space="0"/>
              <w:left w:val="single" w:color="000000" w:sz="4" w:space="0"/>
              <w:bottom w:val="single" w:color="000000" w:sz="4" w:space="0"/>
              <w:right w:val="single" w:color="000000" w:sz="4" w:space="0"/>
            </w:tcBorders>
            <w:vAlign w:val="center"/>
          </w:tcPr>
          <w:p w14:paraId="589A231A">
            <w:pPr>
              <w:keepNext w:val="0"/>
              <w:keepLines w:val="0"/>
              <w:pageBreakBefore w:val="0"/>
              <w:widowControl w:val="0"/>
              <w:kinsoku/>
              <w:wordWrap/>
              <w:topLinePunct w:val="0"/>
              <w:autoSpaceDE/>
              <w:autoSpaceDN/>
              <w:bidi w:val="0"/>
              <w:adjustRightInd/>
              <w:snapToGrid/>
              <w:spacing w:line="560" w:lineRule="exact"/>
              <w:ind w:left="0" w:right="0" w:firstLine="0"/>
              <w:jc w:val="center"/>
              <w:textAlignment w:val="auto"/>
              <w:rPr>
                <w:rFonts w:ascii="宋体" w:hAnsi="宋体" w:cs="宋体"/>
                <w:color w:val="000000" w:themeColor="text1"/>
                <w:sz w:val="28"/>
                <w:szCs w:val="28"/>
                <w:highlight w:val="none"/>
                <w14:textFill>
                  <w14:solidFill>
                    <w14:schemeClr w14:val="tx1"/>
                  </w14:solidFill>
                </w14:textFill>
              </w:rPr>
            </w:pPr>
          </w:p>
        </w:tc>
      </w:tr>
      <w:tr w14:paraId="4D9F9D3F">
        <w:tblPrEx>
          <w:tblCellMar>
            <w:top w:w="0" w:type="dxa"/>
            <w:left w:w="108" w:type="dxa"/>
            <w:bottom w:w="0" w:type="dxa"/>
            <w:right w:w="108" w:type="dxa"/>
          </w:tblCellMar>
        </w:tblPrEx>
        <w:trPr>
          <w:trHeight w:val="648" w:hRule="exact"/>
          <w:jc w:val="center"/>
        </w:trPr>
        <w:tc>
          <w:tcPr>
            <w:tcW w:w="1826" w:type="dxa"/>
            <w:gridSpan w:val="2"/>
            <w:tcBorders>
              <w:top w:val="single" w:color="000000" w:sz="4" w:space="0"/>
              <w:left w:val="single" w:color="000000" w:sz="4" w:space="0"/>
              <w:bottom w:val="single" w:color="000000" w:sz="4" w:space="0"/>
              <w:right w:val="single" w:color="000000" w:sz="4" w:space="0"/>
            </w:tcBorders>
            <w:vAlign w:val="center"/>
          </w:tcPr>
          <w:p w14:paraId="55F2F47F">
            <w:pPr>
              <w:keepNext w:val="0"/>
              <w:keepLines w:val="0"/>
              <w:pageBreakBefore w:val="0"/>
              <w:widowControl w:val="0"/>
              <w:kinsoku/>
              <w:wordWrap/>
              <w:topLinePunct w:val="0"/>
              <w:autoSpaceDE/>
              <w:autoSpaceDN/>
              <w:bidi w:val="0"/>
              <w:adjustRightInd/>
              <w:snapToGrid/>
              <w:spacing w:line="560" w:lineRule="exact"/>
              <w:ind w:left="0" w:right="0" w:firstLine="0"/>
              <w:jc w:val="center"/>
              <w:textAlignment w:val="auto"/>
              <w:rPr>
                <w:rFonts w:ascii="宋体" w:hAnsi="宋体" w:cs="宋体"/>
                <w:color w:val="000000" w:themeColor="text1"/>
                <w:sz w:val="28"/>
                <w:szCs w:val="28"/>
                <w:highlight w:val="none"/>
                <w14:textFill>
                  <w14:solidFill>
                    <w14:schemeClr w14:val="tx1"/>
                  </w14:solidFill>
                </w14:textFill>
              </w:rPr>
            </w:pPr>
          </w:p>
        </w:tc>
        <w:tc>
          <w:tcPr>
            <w:tcW w:w="4053" w:type="dxa"/>
            <w:gridSpan w:val="4"/>
            <w:tcBorders>
              <w:top w:val="single" w:color="000000" w:sz="4" w:space="0"/>
              <w:left w:val="single" w:color="000000" w:sz="4" w:space="0"/>
              <w:bottom w:val="single" w:color="000000" w:sz="4" w:space="0"/>
              <w:right w:val="single" w:color="000000" w:sz="4" w:space="0"/>
            </w:tcBorders>
            <w:vAlign w:val="center"/>
          </w:tcPr>
          <w:p w14:paraId="7D42CA94">
            <w:pPr>
              <w:keepNext w:val="0"/>
              <w:keepLines w:val="0"/>
              <w:pageBreakBefore w:val="0"/>
              <w:widowControl w:val="0"/>
              <w:kinsoku/>
              <w:wordWrap/>
              <w:topLinePunct w:val="0"/>
              <w:autoSpaceDE/>
              <w:autoSpaceDN/>
              <w:bidi w:val="0"/>
              <w:adjustRightInd/>
              <w:snapToGrid/>
              <w:spacing w:line="560" w:lineRule="exact"/>
              <w:ind w:left="0" w:right="0" w:firstLine="0"/>
              <w:jc w:val="center"/>
              <w:textAlignment w:val="auto"/>
              <w:rPr>
                <w:rFonts w:ascii="宋体" w:hAnsi="宋体" w:cs="宋体"/>
                <w:color w:val="000000" w:themeColor="text1"/>
                <w:sz w:val="28"/>
                <w:szCs w:val="28"/>
                <w:highlight w:val="none"/>
                <w14:textFill>
                  <w14:solidFill>
                    <w14:schemeClr w14:val="tx1"/>
                  </w14:solidFill>
                </w14:textFill>
              </w:rPr>
            </w:pPr>
          </w:p>
        </w:tc>
        <w:tc>
          <w:tcPr>
            <w:tcW w:w="1495" w:type="dxa"/>
            <w:tcBorders>
              <w:top w:val="single" w:color="000000" w:sz="4" w:space="0"/>
              <w:left w:val="single" w:color="000000" w:sz="4" w:space="0"/>
              <w:bottom w:val="single" w:color="000000" w:sz="4" w:space="0"/>
              <w:right w:val="single" w:color="000000" w:sz="4" w:space="0"/>
            </w:tcBorders>
            <w:vAlign w:val="center"/>
          </w:tcPr>
          <w:p w14:paraId="463B28A9">
            <w:pPr>
              <w:keepNext w:val="0"/>
              <w:keepLines w:val="0"/>
              <w:pageBreakBefore w:val="0"/>
              <w:widowControl w:val="0"/>
              <w:kinsoku/>
              <w:wordWrap/>
              <w:topLinePunct w:val="0"/>
              <w:autoSpaceDE/>
              <w:autoSpaceDN/>
              <w:bidi w:val="0"/>
              <w:adjustRightInd/>
              <w:snapToGrid/>
              <w:spacing w:line="560" w:lineRule="exact"/>
              <w:ind w:left="0" w:right="0" w:firstLine="0"/>
              <w:jc w:val="center"/>
              <w:textAlignment w:val="auto"/>
              <w:rPr>
                <w:rFonts w:ascii="宋体" w:hAnsi="宋体" w:cs="宋体"/>
                <w:color w:val="000000" w:themeColor="text1"/>
                <w:sz w:val="28"/>
                <w:szCs w:val="28"/>
                <w:highlight w:val="none"/>
                <w14:textFill>
                  <w14:solidFill>
                    <w14:schemeClr w14:val="tx1"/>
                  </w14:solidFill>
                </w14:textFill>
              </w:rPr>
            </w:pPr>
          </w:p>
        </w:tc>
        <w:tc>
          <w:tcPr>
            <w:tcW w:w="2721" w:type="dxa"/>
            <w:gridSpan w:val="2"/>
            <w:tcBorders>
              <w:top w:val="single" w:color="000000" w:sz="4" w:space="0"/>
              <w:left w:val="single" w:color="000000" w:sz="4" w:space="0"/>
              <w:bottom w:val="single" w:color="000000" w:sz="4" w:space="0"/>
              <w:right w:val="single" w:color="000000" w:sz="4" w:space="0"/>
            </w:tcBorders>
            <w:vAlign w:val="center"/>
          </w:tcPr>
          <w:p w14:paraId="1B4FEEC2">
            <w:pPr>
              <w:keepNext w:val="0"/>
              <w:keepLines w:val="0"/>
              <w:pageBreakBefore w:val="0"/>
              <w:widowControl w:val="0"/>
              <w:kinsoku/>
              <w:wordWrap/>
              <w:topLinePunct w:val="0"/>
              <w:autoSpaceDE/>
              <w:autoSpaceDN/>
              <w:bidi w:val="0"/>
              <w:adjustRightInd/>
              <w:snapToGrid/>
              <w:spacing w:line="560" w:lineRule="exact"/>
              <w:ind w:left="0" w:right="0" w:firstLine="0"/>
              <w:jc w:val="center"/>
              <w:textAlignment w:val="auto"/>
              <w:rPr>
                <w:rFonts w:ascii="宋体" w:hAnsi="宋体" w:cs="宋体"/>
                <w:color w:val="000000" w:themeColor="text1"/>
                <w:sz w:val="28"/>
                <w:szCs w:val="28"/>
                <w:highlight w:val="none"/>
                <w14:textFill>
                  <w14:solidFill>
                    <w14:schemeClr w14:val="tx1"/>
                  </w14:solidFill>
                </w14:textFill>
              </w:rPr>
            </w:pPr>
          </w:p>
        </w:tc>
      </w:tr>
      <w:tr w14:paraId="6D0B5E52">
        <w:tblPrEx>
          <w:tblCellMar>
            <w:top w:w="0" w:type="dxa"/>
            <w:left w:w="108" w:type="dxa"/>
            <w:bottom w:w="0" w:type="dxa"/>
            <w:right w:w="108" w:type="dxa"/>
          </w:tblCellMar>
        </w:tblPrEx>
        <w:trPr>
          <w:trHeight w:val="647" w:hRule="exact"/>
          <w:jc w:val="center"/>
        </w:trPr>
        <w:tc>
          <w:tcPr>
            <w:tcW w:w="1826" w:type="dxa"/>
            <w:gridSpan w:val="2"/>
            <w:tcBorders>
              <w:top w:val="single" w:color="000000" w:sz="4" w:space="0"/>
              <w:left w:val="single" w:color="000000" w:sz="4" w:space="0"/>
              <w:bottom w:val="single" w:color="000000" w:sz="4" w:space="0"/>
              <w:right w:val="single" w:color="000000" w:sz="4" w:space="0"/>
            </w:tcBorders>
            <w:vAlign w:val="center"/>
          </w:tcPr>
          <w:p w14:paraId="04EA7458">
            <w:pPr>
              <w:keepNext w:val="0"/>
              <w:keepLines w:val="0"/>
              <w:pageBreakBefore w:val="0"/>
              <w:widowControl w:val="0"/>
              <w:kinsoku/>
              <w:wordWrap/>
              <w:topLinePunct w:val="0"/>
              <w:autoSpaceDE/>
              <w:autoSpaceDN/>
              <w:bidi w:val="0"/>
              <w:adjustRightInd/>
              <w:snapToGrid/>
              <w:spacing w:line="560" w:lineRule="exact"/>
              <w:ind w:left="0" w:right="0" w:firstLine="0"/>
              <w:jc w:val="center"/>
              <w:textAlignment w:val="auto"/>
              <w:rPr>
                <w:rFonts w:ascii="宋体" w:hAnsi="宋体" w:cs="宋体"/>
                <w:color w:val="000000" w:themeColor="text1"/>
                <w:sz w:val="28"/>
                <w:szCs w:val="28"/>
                <w:highlight w:val="none"/>
                <w14:textFill>
                  <w14:solidFill>
                    <w14:schemeClr w14:val="tx1"/>
                  </w14:solidFill>
                </w14:textFill>
              </w:rPr>
            </w:pPr>
          </w:p>
        </w:tc>
        <w:tc>
          <w:tcPr>
            <w:tcW w:w="4053" w:type="dxa"/>
            <w:gridSpan w:val="4"/>
            <w:tcBorders>
              <w:top w:val="single" w:color="000000" w:sz="4" w:space="0"/>
              <w:left w:val="single" w:color="000000" w:sz="4" w:space="0"/>
              <w:bottom w:val="single" w:color="000000" w:sz="4" w:space="0"/>
              <w:right w:val="single" w:color="000000" w:sz="4" w:space="0"/>
            </w:tcBorders>
            <w:vAlign w:val="center"/>
          </w:tcPr>
          <w:p w14:paraId="59AED2B2">
            <w:pPr>
              <w:keepNext w:val="0"/>
              <w:keepLines w:val="0"/>
              <w:pageBreakBefore w:val="0"/>
              <w:widowControl w:val="0"/>
              <w:kinsoku/>
              <w:wordWrap/>
              <w:topLinePunct w:val="0"/>
              <w:autoSpaceDE/>
              <w:autoSpaceDN/>
              <w:bidi w:val="0"/>
              <w:adjustRightInd/>
              <w:snapToGrid/>
              <w:spacing w:line="560" w:lineRule="exact"/>
              <w:ind w:left="0" w:right="0" w:firstLine="0"/>
              <w:jc w:val="center"/>
              <w:textAlignment w:val="auto"/>
              <w:rPr>
                <w:rFonts w:ascii="宋体" w:hAnsi="宋体" w:cs="宋体"/>
                <w:color w:val="000000" w:themeColor="text1"/>
                <w:sz w:val="28"/>
                <w:szCs w:val="28"/>
                <w:highlight w:val="none"/>
                <w14:textFill>
                  <w14:solidFill>
                    <w14:schemeClr w14:val="tx1"/>
                  </w14:solidFill>
                </w14:textFill>
              </w:rPr>
            </w:pPr>
          </w:p>
        </w:tc>
        <w:tc>
          <w:tcPr>
            <w:tcW w:w="1495" w:type="dxa"/>
            <w:tcBorders>
              <w:top w:val="single" w:color="000000" w:sz="4" w:space="0"/>
              <w:left w:val="single" w:color="000000" w:sz="4" w:space="0"/>
              <w:bottom w:val="single" w:color="000000" w:sz="4" w:space="0"/>
              <w:right w:val="single" w:color="000000" w:sz="4" w:space="0"/>
            </w:tcBorders>
            <w:vAlign w:val="center"/>
          </w:tcPr>
          <w:p w14:paraId="1A0D1122">
            <w:pPr>
              <w:keepNext w:val="0"/>
              <w:keepLines w:val="0"/>
              <w:pageBreakBefore w:val="0"/>
              <w:widowControl w:val="0"/>
              <w:kinsoku/>
              <w:wordWrap/>
              <w:topLinePunct w:val="0"/>
              <w:autoSpaceDE/>
              <w:autoSpaceDN/>
              <w:bidi w:val="0"/>
              <w:adjustRightInd/>
              <w:snapToGrid/>
              <w:spacing w:line="560" w:lineRule="exact"/>
              <w:ind w:left="0" w:right="0" w:firstLine="0"/>
              <w:jc w:val="center"/>
              <w:textAlignment w:val="auto"/>
              <w:rPr>
                <w:rFonts w:ascii="宋体" w:hAnsi="宋体" w:cs="宋体"/>
                <w:color w:val="000000" w:themeColor="text1"/>
                <w:sz w:val="28"/>
                <w:szCs w:val="28"/>
                <w:highlight w:val="none"/>
                <w14:textFill>
                  <w14:solidFill>
                    <w14:schemeClr w14:val="tx1"/>
                  </w14:solidFill>
                </w14:textFill>
              </w:rPr>
            </w:pPr>
          </w:p>
        </w:tc>
        <w:tc>
          <w:tcPr>
            <w:tcW w:w="2721" w:type="dxa"/>
            <w:gridSpan w:val="2"/>
            <w:tcBorders>
              <w:top w:val="single" w:color="000000" w:sz="4" w:space="0"/>
              <w:left w:val="single" w:color="000000" w:sz="4" w:space="0"/>
              <w:bottom w:val="single" w:color="000000" w:sz="4" w:space="0"/>
              <w:right w:val="single" w:color="000000" w:sz="4" w:space="0"/>
            </w:tcBorders>
            <w:vAlign w:val="center"/>
          </w:tcPr>
          <w:p w14:paraId="087CB227">
            <w:pPr>
              <w:keepNext w:val="0"/>
              <w:keepLines w:val="0"/>
              <w:pageBreakBefore w:val="0"/>
              <w:widowControl w:val="0"/>
              <w:kinsoku/>
              <w:wordWrap/>
              <w:topLinePunct w:val="0"/>
              <w:autoSpaceDE/>
              <w:autoSpaceDN/>
              <w:bidi w:val="0"/>
              <w:adjustRightInd/>
              <w:snapToGrid/>
              <w:spacing w:line="560" w:lineRule="exact"/>
              <w:ind w:left="0" w:right="0" w:firstLine="0"/>
              <w:jc w:val="center"/>
              <w:textAlignment w:val="auto"/>
              <w:rPr>
                <w:rFonts w:ascii="宋体" w:hAnsi="宋体" w:cs="宋体"/>
                <w:color w:val="000000" w:themeColor="text1"/>
                <w:sz w:val="28"/>
                <w:szCs w:val="28"/>
                <w:highlight w:val="none"/>
                <w14:textFill>
                  <w14:solidFill>
                    <w14:schemeClr w14:val="tx1"/>
                  </w14:solidFill>
                </w14:textFill>
              </w:rPr>
            </w:pPr>
          </w:p>
        </w:tc>
      </w:tr>
      <w:tr w14:paraId="3AD30855">
        <w:tblPrEx>
          <w:tblCellMar>
            <w:top w:w="0" w:type="dxa"/>
            <w:left w:w="108" w:type="dxa"/>
            <w:bottom w:w="0" w:type="dxa"/>
            <w:right w:w="108" w:type="dxa"/>
          </w:tblCellMar>
        </w:tblPrEx>
        <w:trPr>
          <w:trHeight w:val="647" w:hRule="exact"/>
          <w:jc w:val="center"/>
        </w:trPr>
        <w:tc>
          <w:tcPr>
            <w:tcW w:w="1826" w:type="dxa"/>
            <w:gridSpan w:val="2"/>
            <w:tcBorders>
              <w:top w:val="single" w:color="000000" w:sz="4" w:space="0"/>
              <w:left w:val="single" w:color="000000" w:sz="4" w:space="0"/>
              <w:bottom w:val="single" w:color="000000" w:sz="4" w:space="0"/>
              <w:right w:val="single" w:color="000000" w:sz="4" w:space="0"/>
            </w:tcBorders>
            <w:vAlign w:val="center"/>
          </w:tcPr>
          <w:p w14:paraId="5BF3192C">
            <w:pPr>
              <w:keepNext w:val="0"/>
              <w:keepLines w:val="0"/>
              <w:pageBreakBefore w:val="0"/>
              <w:widowControl w:val="0"/>
              <w:kinsoku/>
              <w:wordWrap/>
              <w:topLinePunct w:val="0"/>
              <w:autoSpaceDE/>
              <w:autoSpaceDN/>
              <w:bidi w:val="0"/>
              <w:adjustRightInd/>
              <w:snapToGrid/>
              <w:spacing w:line="560" w:lineRule="exact"/>
              <w:ind w:left="0" w:right="0" w:firstLine="0"/>
              <w:jc w:val="center"/>
              <w:textAlignment w:val="auto"/>
              <w:rPr>
                <w:rFonts w:ascii="宋体" w:hAnsi="宋体" w:cs="宋体"/>
                <w:color w:val="000000" w:themeColor="text1"/>
                <w:sz w:val="28"/>
                <w:szCs w:val="28"/>
                <w:highlight w:val="none"/>
                <w14:textFill>
                  <w14:solidFill>
                    <w14:schemeClr w14:val="tx1"/>
                  </w14:solidFill>
                </w14:textFill>
              </w:rPr>
            </w:pPr>
          </w:p>
        </w:tc>
        <w:tc>
          <w:tcPr>
            <w:tcW w:w="4053" w:type="dxa"/>
            <w:gridSpan w:val="4"/>
            <w:tcBorders>
              <w:top w:val="single" w:color="000000" w:sz="4" w:space="0"/>
              <w:left w:val="single" w:color="000000" w:sz="4" w:space="0"/>
              <w:bottom w:val="single" w:color="000000" w:sz="4" w:space="0"/>
              <w:right w:val="single" w:color="000000" w:sz="4" w:space="0"/>
            </w:tcBorders>
            <w:vAlign w:val="center"/>
          </w:tcPr>
          <w:p w14:paraId="20701B9D">
            <w:pPr>
              <w:keepNext w:val="0"/>
              <w:keepLines w:val="0"/>
              <w:pageBreakBefore w:val="0"/>
              <w:widowControl w:val="0"/>
              <w:kinsoku/>
              <w:wordWrap/>
              <w:topLinePunct w:val="0"/>
              <w:autoSpaceDE/>
              <w:autoSpaceDN/>
              <w:bidi w:val="0"/>
              <w:adjustRightInd/>
              <w:snapToGrid/>
              <w:spacing w:line="560" w:lineRule="exact"/>
              <w:ind w:left="0" w:right="0" w:firstLine="0"/>
              <w:jc w:val="center"/>
              <w:textAlignment w:val="auto"/>
              <w:rPr>
                <w:rFonts w:ascii="宋体" w:hAnsi="宋体" w:cs="宋体"/>
                <w:color w:val="000000" w:themeColor="text1"/>
                <w:sz w:val="28"/>
                <w:szCs w:val="28"/>
                <w:highlight w:val="none"/>
                <w14:textFill>
                  <w14:solidFill>
                    <w14:schemeClr w14:val="tx1"/>
                  </w14:solidFill>
                </w14:textFill>
              </w:rPr>
            </w:pPr>
          </w:p>
        </w:tc>
        <w:tc>
          <w:tcPr>
            <w:tcW w:w="1495" w:type="dxa"/>
            <w:tcBorders>
              <w:top w:val="single" w:color="000000" w:sz="4" w:space="0"/>
              <w:left w:val="single" w:color="000000" w:sz="4" w:space="0"/>
              <w:bottom w:val="single" w:color="000000" w:sz="4" w:space="0"/>
              <w:right w:val="single" w:color="000000" w:sz="4" w:space="0"/>
            </w:tcBorders>
            <w:vAlign w:val="center"/>
          </w:tcPr>
          <w:p w14:paraId="657AD1E9">
            <w:pPr>
              <w:keepNext w:val="0"/>
              <w:keepLines w:val="0"/>
              <w:pageBreakBefore w:val="0"/>
              <w:widowControl w:val="0"/>
              <w:kinsoku/>
              <w:wordWrap/>
              <w:topLinePunct w:val="0"/>
              <w:autoSpaceDE/>
              <w:autoSpaceDN/>
              <w:bidi w:val="0"/>
              <w:adjustRightInd/>
              <w:snapToGrid/>
              <w:spacing w:line="560" w:lineRule="exact"/>
              <w:ind w:left="0" w:right="0" w:firstLine="0"/>
              <w:jc w:val="center"/>
              <w:textAlignment w:val="auto"/>
              <w:rPr>
                <w:rFonts w:ascii="宋体" w:hAnsi="宋体" w:cs="宋体"/>
                <w:color w:val="000000" w:themeColor="text1"/>
                <w:sz w:val="28"/>
                <w:szCs w:val="28"/>
                <w:highlight w:val="none"/>
                <w14:textFill>
                  <w14:solidFill>
                    <w14:schemeClr w14:val="tx1"/>
                  </w14:solidFill>
                </w14:textFill>
              </w:rPr>
            </w:pPr>
          </w:p>
        </w:tc>
        <w:tc>
          <w:tcPr>
            <w:tcW w:w="2721" w:type="dxa"/>
            <w:gridSpan w:val="2"/>
            <w:tcBorders>
              <w:top w:val="single" w:color="000000" w:sz="4" w:space="0"/>
              <w:left w:val="single" w:color="000000" w:sz="4" w:space="0"/>
              <w:bottom w:val="single" w:color="000000" w:sz="4" w:space="0"/>
              <w:right w:val="single" w:color="000000" w:sz="4" w:space="0"/>
            </w:tcBorders>
            <w:vAlign w:val="center"/>
          </w:tcPr>
          <w:p w14:paraId="367EA4C1">
            <w:pPr>
              <w:keepNext w:val="0"/>
              <w:keepLines w:val="0"/>
              <w:pageBreakBefore w:val="0"/>
              <w:widowControl w:val="0"/>
              <w:kinsoku/>
              <w:wordWrap/>
              <w:topLinePunct w:val="0"/>
              <w:autoSpaceDE/>
              <w:autoSpaceDN/>
              <w:bidi w:val="0"/>
              <w:adjustRightInd/>
              <w:snapToGrid/>
              <w:spacing w:line="560" w:lineRule="exact"/>
              <w:ind w:left="0" w:right="0" w:firstLine="0"/>
              <w:jc w:val="center"/>
              <w:textAlignment w:val="auto"/>
              <w:rPr>
                <w:rFonts w:ascii="宋体" w:hAnsi="宋体" w:cs="宋体"/>
                <w:color w:val="000000" w:themeColor="text1"/>
                <w:sz w:val="28"/>
                <w:szCs w:val="28"/>
                <w:highlight w:val="none"/>
                <w14:textFill>
                  <w14:solidFill>
                    <w14:schemeClr w14:val="tx1"/>
                  </w14:solidFill>
                </w14:textFill>
              </w:rPr>
            </w:pPr>
          </w:p>
        </w:tc>
      </w:tr>
      <w:tr w14:paraId="167CBC47">
        <w:tblPrEx>
          <w:tblCellMar>
            <w:top w:w="0" w:type="dxa"/>
            <w:left w:w="108" w:type="dxa"/>
            <w:bottom w:w="0" w:type="dxa"/>
            <w:right w:w="108" w:type="dxa"/>
          </w:tblCellMar>
        </w:tblPrEx>
        <w:trPr>
          <w:trHeight w:val="657" w:hRule="exact"/>
          <w:jc w:val="center"/>
        </w:trPr>
        <w:tc>
          <w:tcPr>
            <w:tcW w:w="1826" w:type="dxa"/>
            <w:gridSpan w:val="2"/>
            <w:tcBorders>
              <w:top w:val="single" w:color="000000" w:sz="4" w:space="0"/>
              <w:left w:val="single" w:color="000000" w:sz="4" w:space="0"/>
              <w:bottom w:val="single" w:color="000000" w:sz="4" w:space="0"/>
              <w:right w:val="single" w:color="000000" w:sz="4" w:space="0"/>
            </w:tcBorders>
            <w:vAlign w:val="center"/>
          </w:tcPr>
          <w:p w14:paraId="155860FC">
            <w:pPr>
              <w:keepNext w:val="0"/>
              <w:keepLines w:val="0"/>
              <w:pageBreakBefore w:val="0"/>
              <w:widowControl w:val="0"/>
              <w:kinsoku/>
              <w:wordWrap/>
              <w:topLinePunct w:val="0"/>
              <w:autoSpaceDE/>
              <w:autoSpaceDN/>
              <w:bidi w:val="0"/>
              <w:adjustRightInd/>
              <w:snapToGrid/>
              <w:spacing w:line="560" w:lineRule="exact"/>
              <w:ind w:left="0" w:right="0" w:firstLine="0"/>
              <w:jc w:val="center"/>
              <w:textAlignment w:val="auto"/>
              <w:rPr>
                <w:rFonts w:ascii="宋体" w:hAnsi="宋体" w:cs="宋体"/>
                <w:color w:val="000000" w:themeColor="text1"/>
                <w:sz w:val="28"/>
                <w:szCs w:val="28"/>
                <w:highlight w:val="none"/>
                <w14:textFill>
                  <w14:solidFill>
                    <w14:schemeClr w14:val="tx1"/>
                  </w14:solidFill>
                </w14:textFill>
              </w:rPr>
            </w:pPr>
          </w:p>
        </w:tc>
        <w:tc>
          <w:tcPr>
            <w:tcW w:w="4053" w:type="dxa"/>
            <w:gridSpan w:val="4"/>
            <w:tcBorders>
              <w:top w:val="single" w:color="000000" w:sz="4" w:space="0"/>
              <w:left w:val="single" w:color="000000" w:sz="4" w:space="0"/>
              <w:bottom w:val="single" w:color="000000" w:sz="4" w:space="0"/>
              <w:right w:val="single" w:color="000000" w:sz="4" w:space="0"/>
            </w:tcBorders>
            <w:vAlign w:val="center"/>
          </w:tcPr>
          <w:p w14:paraId="6E07DFF3">
            <w:pPr>
              <w:keepNext w:val="0"/>
              <w:keepLines w:val="0"/>
              <w:pageBreakBefore w:val="0"/>
              <w:widowControl w:val="0"/>
              <w:kinsoku/>
              <w:wordWrap/>
              <w:topLinePunct w:val="0"/>
              <w:autoSpaceDE/>
              <w:autoSpaceDN/>
              <w:bidi w:val="0"/>
              <w:adjustRightInd/>
              <w:snapToGrid/>
              <w:spacing w:line="560" w:lineRule="exact"/>
              <w:ind w:left="0" w:right="0" w:firstLine="0"/>
              <w:jc w:val="center"/>
              <w:textAlignment w:val="auto"/>
              <w:rPr>
                <w:rFonts w:ascii="宋体" w:hAnsi="宋体" w:cs="宋体"/>
                <w:color w:val="000000" w:themeColor="text1"/>
                <w:sz w:val="28"/>
                <w:szCs w:val="28"/>
                <w:highlight w:val="none"/>
                <w14:textFill>
                  <w14:solidFill>
                    <w14:schemeClr w14:val="tx1"/>
                  </w14:solidFill>
                </w14:textFill>
              </w:rPr>
            </w:pPr>
          </w:p>
        </w:tc>
        <w:tc>
          <w:tcPr>
            <w:tcW w:w="1495" w:type="dxa"/>
            <w:tcBorders>
              <w:top w:val="single" w:color="000000" w:sz="4" w:space="0"/>
              <w:left w:val="single" w:color="000000" w:sz="4" w:space="0"/>
              <w:bottom w:val="single" w:color="000000" w:sz="4" w:space="0"/>
              <w:right w:val="single" w:color="000000" w:sz="4" w:space="0"/>
            </w:tcBorders>
            <w:vAlign w:val="center"/>
          </w:tcPr>
          <w:p w14:paraId="0BD3CFDF">
            <w:pPr>
              <w:keepNext w:val="0"/>
              <w:keepLines w:val="0"/>
              <w:pageBreakBefore w:val="0"/>
              <w:widowControl w:val="0"/>
              <w:kinsoku/>
              <w:wordWrap/>
              <w:topLinePunct w:val="0"/>
              <w:autoSpaceDE/>
              <w:autoSpaceDN/>
              <w:bidi w:val="0"/>
              <w:adjustRightInd/>
              <w:snapToGrid/>
              <w:spacing w:line="560" w:lineRule="exact"/>
              <w:ind w:left="0" w:right="0" w:firstLine="0"/>
              <w:jc w:val="center"/>
              <w:textAlignment w:val="auto"/>
              <w:rPr>
                <w:rFonts w:ascii="宋体" w:hAnsi="宋体" w:cs="宋体"/>
                <w:color w:val="000000" w:themeColor="text1"/>
                <w:sz w:val="28"/>
                <w:szCs w:val="28"/>
                <w:highlight w:val="none"/>
                <w14:textFill>
                  <w14:solidFill>
                    <w14:schemeClr w14:val="tx1"/>
                  </w14:solidFill>
                </w14:textFill>
              </w:rPr>
            </w:pPr>
          </w:p>
        </w:tc>
        <w:tc>
          <w:tcPr>
            <w:tcW w:w="2721" w:type="dxa"/>
            <w:gridSpan w:val="2"/>
            <w:tcBorders>
              <w:top w:val="single" w:color="000000" w:sz="4" w:space="0"/>
              <w:left w:val="single" w:color="000000" w:sz="4" w:space="0"/>
              <w:bottom w:val="single" w:color="000000" w:sz="4" w:space="0"/>
              <w:right w:val="single" w:color="000000" w:sz="4" w:space="0"/>
            </w:tcBorders>
            <w:vAlign w:val="center"/>
          </w:tcPr>
          <w:p w14:paraId="036F76A8">
            <w:pPr>
              <w:keepNext w:val="0"/>
              <w:keepLines w:val="0"/>
              <w:pageBreakBefore w:val="0"/>
              <w:widowControl w:val="0"/>
              <w:kinsoku/>
              <w:wordWrap/>
              <w:topLinePunct w:val="0"/>
              <w:autoSpaceDE/>
              <w:autoSpaceDN/>
              <w:bidi w:val="0"/>
              <w:adjustRightInd/>
              <w:snapToGrid/>
              <w:spacing w:line="560" w:lineRule="exact"/>
              <w:ind w:left="0" w:right="0" w:firstLine="0"/>
              <w:jc w:val="center"/>
              <w:textAlignment w:val="auto"/>
              <w:rPr>
                <w:rFonts w:ascii="宋体" w:hAnsi="宋体" w:cs="宋体"/>
                <w:color w:val="000000" w:themeColor="text1"/>
                <w:sz w:val="28"/>
                <w:szCs w:val="28"/>
                <w:highlight w:val="none"/>
                <w14:textFill>
                  <w14:solidFill>
                    <w14:schemeClr w14:val="tx1"/>
                  </w14:solidFill>
                </w14:textFill>
              </w:rPr>
            </w:pPr>
          </w:p>
        </w:tc>
      </w:tr>
    </w:tbl>
    <w:p w14:paraId="7B46D95C">
      <w:pPr>
        <w:pageBreakBefore w:val="0"/>
        <w:wordWrap/>
        <w:topLinePunct w:val="0"/>
        <w:bidi w:val="0"/>
        <w:snapToGrid w:val="0"/>
        <w:spacing w:before="165" w:beforeLines="50" w:after="50" w:line="560" w:lineRule="exact"/>
        <w:jc w:val="both"/>
        <w:rPr>
          <w:rFonts w:hint="eastAsia" w:asciiTheme="minorEastAsia" w:hAnsiTheme="minorEastAsia" w:eastAsiaTheme="minorEastAsia"/>
          <w:b/>
          <w:bCs/>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b/>
          <w:bCs/>
          <w:color w:val="000000" w:themeColor="text1"/>
          <w:sz w:val="28"/>
          <w:szCs w:val="28"/>
          <w:highlight w:val="none"/>
          <w:lang w:val="en-US" w:eastAsia="zh-CN"/>
          <w14:textFill>
            <w14:solidFill>
              <w14:schemeClr w14:val="tx1"/>
            </w14:solidFill>
          </w14:textFill>
        </w:rPr>
        <w:t>附：项目负责人提供由本单位缴纳的近半年任意一个月的社保证明材料。</w:t>
      </w:r>
    </w:p>
    <w:p w14:paraId="369B8897">
      <w:pPr>
        <w:pageBreakBefore w:val="0"/>
        <w:wordWrap/>
        <w:topLinePunct w:val="0"/>
        <w:bidi w:val="0"/>
        <w:snapToGrid w:val="0"/>
        <w:spacing w:before="165" w:beforeLines="50" w:after="50" w:line="560" w:lineRule="exact"/>
        <w:ind w:firstLine="602" w:firstLineChars="200"/>
        <w:jc w:val="center"/>
        <w:rPr>
          <w:b/>
          <w:bCs/>
          <w:color w:val="000000" w:themeColor="text1"/>
          <w:sz w:val="30"/>
          <w:szCs w:val="30"/>
          <w:highlight w:val="none"/>
          <w14:textFill>
            <w14:solidFill>
              <w14:schemeClr w14:val="tx1"/>
            </w14:solidFill>
          </w14:textFill>
        </w:rPr>
      </w:pPr>
    </w:p>
    <w:p w14:paraId="05AC6FE0">
      <w:pPr>
        <w:pageBreakBefore w:val="0"/>
        <w:widowControl/>
        <w:wordWrap/>
        <w:topLinePunct w:val="0"/>
        <w:bidi w:val="0"/>
        <w:spacing w:line="560" w:lineRule="exact"/>
        <w:jc w:val="left"/>
        <w:rPr>
          <w:b/>
          <w:bCs/>
          <w:color w:val="000000" w:themeColor="text1"/>
          <w:sz w:val="30"/>
          <w:szCs w:val="30"/>
          <w:highlight w:val="none"/>
          <w14:textFill>
            <w14:solidFill>
              <w14:schemeClr w14:val="tx1"/>
            </w14:solidFill>
          </w14:textFill>
        </w:rPr>
      </w:pPr>
      <w:r>
        <w:rPr>
          <w:b/>
          <w:bCs/>
          <w:color w:val="000000" w:themeColor="text1"/>
          <w:sz w:val="30"/>
          <w:szCs w:val="30"/>
          <w:highlight w:val="none"/>
          <w14:textFill>
            <w14:solidFill>
              <w14:schemeClr w14:val="tx1"/>
            </w14:solidFill>
          </w14:textFill>
        </w:rPr>
        <w:br w:type="page"/>
      </w:r>
    </w:p>
    <w:p w14:paraId="76D6EDAD">
      <w:pPr>
        <w:pageBreakBefore w:val="0"/>
        <w:numPr>
          <w:ilvl w:val="0"/>
          <w:numId w:val="0"/>
        </w:numPr>
        <w:wordWrap/>
        <w:topLinePunct w:val="0"/>
        <w:bidi w:val="0"/>
        <w:snapToGrid w:val="0"/>
        <w:spacing w:before="165" w:beforeLines="50" w:after="50" w:line="560" w:lineRule="exact"/>
        <w:ind w:firstLine="602" w:firstLineChars="200"/>
        <w:jc w:val="center"/>
        <w:rPr>
          <w:rFonts w:hint="eastAsia"/>
          <w:b/>
          <w:bCs/>
          <w:color w:val="000000" w:themeColor="text1"/>
          <w:sz w:val="30"/>
          <w:szCs w:val="30"/>
          <w:highlight w:val="none"/>
          <w14:textFill>
            <w14:solidFill>
              <w14:schemeClr w14:val="tx1"/>
            </w14:solidFill>
          </w14:textFill>
        </w:rPr>
      </w:pPr>
      <w:r>
        <w:rPr>
          <w:rFonts w:hint="eastAsia" w:ascii="Times New Roman" w:hAnsi="Times New Roman" w:eastAsia="宋体" w:cs="Times New Roman"/>
          <w:b/>
          <w:bCs/>
          <w:color w:val="000000" w:themeColor="text1"/>
          <w:kern w:val="2"/>
          <w:sz w:val="30"/>
          <w:szCs w:val="30"/>
          <w:highlight w:val="none"/>
          <w:lang w:val="en-US" w:eastAsia="zh-CN" w:bidi="ar-SA"/>
          <w14:textFill>
            <w14:solidFill>
              <w14:schemeClr w14:val="tx1"/>
            </w14:solidFill>
          </w14:textFill>
        </w:rPr>
        <w:t>八、</w:t>
      </w:r>
      <w:r>
        <w:rPr>
          <w:rFonts w:hint="eastAsia"/>
          <w:b/>
          <w:bCs/>
          <w:color w:val="000000" w:themeColor="text1"/>
          <w:sz w:val="30"/>
          <w:szCs w:val="30"/>
          <w:highlight w:val="none"/>
          <w:lang w:eastAsia="zh-CN"/>
          <w14:textFill>
            <w14:solidFill>
              <w14:schemeClr w14:val="tx1"/>
            </w14:solidFill>
          </w14:textFill>
        </w:rPr>
        <w:t>供应商</w:t>
      </w:r>
      <w:r>
        <w:rPr>
          <w:rFonts w:hint="eastAsia"/>
          <w:b/>
          <w:bCs/>
          <w:color w:val="000000" w:themeColor="text1"/>
          <w:sz w:val="30"/>
          <w:szCs w:val="30"/>
          <w:highlight w:val="none"/>
          <w14:textFill>
            <w14:solidFill>
              <w14:schemeClr w14:val="tx1"/>
            </w14:solidFill>
          </w14:textFill>
        </w:rPr>
        <w:t>认为需要提供的其他</w:t>
      </w:r>
      <w:r>
        <w:rPr>
          <w:rFonts w:hint="eastAsia"/>
          <w:b/>
          <w:bCs/>
          <w:color w:val="000000" w:themeColor="text1"/>
          <w:sz w:val="30"/>
          <w:szCs w:val="30"/>
          <w:highlight w:val="none"/>
          <w:lang w:eastAsia="zh-CN"/>
          <w14:textFill>
            <w14:solidFill>
              <w14:schemeClr w14:val="tx1"/>
            </w14:solidFill>
          </w14:textFill>
        </w:rPr>
        <w:t>商务文件</w:t>
      </w:r>
      <w:r>
        <w:rPr>
          <w:rFonts w:hint="eastAsia"/>
          <w:b/>
          <w:bCs/>
          <w:color w:val="000000" w:themeColor="text1"/>
          <w:sz w:val="30"/>
          <w:szCs w:val="30"/>
          <w:highlight w:val="none"/>
          <w14:textFill>
            <w14:solidFill>
              <w14:schemeClr w14:val="tx1"/>
            </w14:solidFill>
          </w14:textFill>
        </w:rPr>
        <w:t>材料（如有）</w:t>
      </w:r>
    </w:p>
    <w:p w14:paraId="5A4DBE5E">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default"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sectPr>
          <w:headerReference r:id="rId8" w:type="default"/>
          <w:pgSz w:w="11906" w:h="16838"/>
          <w:pgMar w:top="1134" w:right="1134" w:bottom="1134" w:left="1134" w:header="720" w:footer="720" w:gutter="0"/>
          <w:pgNumType w:fmt="decimal"/>
          <w:cols w:space="720" w:num="1"/>
          <w:docGrid w:type="lines" w:linePitch="331" w:charSpace="0"/>
        </w:sectPr>
      </w:pP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1、供应商提供信用中国网站（https://www.creditchina.gov.cn）查询截图（共需“失信被执行人”、“重大税收违法失信主体”(进入信用中国网站-信用服务-失信被执行人、重大税收违法失信主体-查询、截图)和中国政府采购网网站（http://www.ccgp.gov.cn）查询截图（</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instrText xml:space="preserve"> HYPERLINK "http://www.ccgp.gov.cn/search/cr/" \o "政府采购严重违法失信行为记录名单" </w:instrTex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政府采购严重违法失信行为记录名单</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），此项仅作为资料留存使用。</w:t>
      </w:r>
    </w:p>
    <w:bookmarkEnd w:id="235"/>
    <w:p w14:paraId="7B1BFD99">
      <w:pPr>
        <w:pStyle w:val="4"/>
        <w:keepNext w:val="0"/>
        <w:keepLines w:val="0"/>
        <w:pageBreakBefore w:val="0"/>
        <w:wordWrap/>
        <w:topLinePunct w:val="0"/>
        <w:bidi w:val="0"/>
        <w:spacing w:line="560" w:lineRule="exact"/>
        <w:ind w:left="0" w:leftChars="0" w:firstLine="0" w:firstLineChars="0"/>
        <w:jc w:val="center"/>
        <w:rPr>
          <w:rFonts w:hint="eastAsia"/>
          <w:color w:val="000000" w:themeColor="text1"/>
          <w:highlight w:val="none"/>
          <w14:textFill>
            <w14:solidFill>
              <w14:schemeClr w14:val="tx1"/>
            </w14:solidFill>
          </w14:textFill>
        </w:rPr>
      </w:pPr>
      <w:bookmarkStart w:id="236" w:name="_Toc30125"/>
      <w:bookmarkStart w:id="237" w:name="_Toc140741995"/>
      <w:bookmarkStart w:id="238" w:name="_Toc138610909"/>
      <w:bookmarkStart w:id="239" w:name="_Toc140742540"/>
      <w:r>
        <w:rPr>
          <w:rFonts w:hint="eastAsia"/>
          <w:color w:val="000000" w:themeColor="text1"/>
          <w:highlight w:val="none"/>
          <w14:textFill>
            <w14:solidFill>
              <w14:schemeClr w14:val="tx1"/>
            </w14:solidFill>
          </w14:textFill>
        </w:rPr>
        <w:t>第</w:t>
      </w:r>
      <w:r>
        <w:rPr>
          <w:rFonts w:hint="eastAsia"/>
          <w:color w:val="000000" w:themeColor="text1"/>
          <w:highlight w:val="none"/>
          <w:lang w:eastAsia="zh-CN"/>
          <w14:textFill>
            <w14:solidFill>
              <w14:schemeClr w14:val="tx1"/>
            </w14:solidFill>
          </w14:textFill>
        </w:rPr>
        <w:t>四</w:t>
      </w:r>
      <w:r>
        <w:rPr>
          <w:rFonts w:hint="eastAsia"/>
          <w:color w:val="000000" w:themeColor="text1"/>
          <w:highlight w:val="none"/>
          <w14:textFill>
            <w14:solidFill>
              <w14:schemeClr w14:val="tx1"/>
            </w14:solidFill>
          </w14:textFill>
        </w:rPr>
        <w:t>节 技术文件格式</w:t>
      </w:r>
      <w:bookmarkEnd w:id="236"/>
      <w:bookmarkEnd w:id="237"/>
      <w:bookmarkEnd w:id="238"/>
      <w:bookmarkEnd w:id="239"/>
    </w:p>
    <w:p w14:paraId="165E9134">
      <w:pPr>
        <w:pStyle w:val="17"/>
        <w:pageBreakBefore w:val="0"/>
        <w:wordWrap/>
        <w:topLinePunct w:val="0"/>
        <w:bidi w:val="0"/>
        <w:spacing w:line="560" w:lineRule="exac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一、技术需求偏离表</w:t>
      </w:r>
    </w:p>
    <w:p w14:paraId="0410538B">
      <w:pPr>
        <w:pStyle w:val="17"/>
        <w:pageBreakBefore w:val="0"/>
        <w:wordWrap/>
        <w:topLinePunct w:val="0"/>
        <w:bidi w:val="0"/>
        <w:spacing w:line="560" w:lineRule="exact"/>
        <w:jc w:val="both"/>
        <w:rPr>
          <w:rFonts w:hint="eastAsia" w:eastAsiaTheme="minor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标项名称：</w:t>
      </w:r>
    </w:p>
    <w:tbl>
      <w:tblPr>
        <w:tblStyle w:val="34"/>
        <w:tblW w:w="96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2128"/>
        <w:gridCol w:w="2410"/>
        <w:gridCol w:w="2378"/>
        <w:gridCol w:w="1732"/>
      </w:tblGrid>
      <w:tr w14:paraId="7B063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trPr>
        <w:tc>
          <w:tcPr>
            <w:tcW w:w="957" w:type="dxa"/>
            <w:vAlign w:val="center"/>
          </w:tcPr>
          <w:p w14:paraId="11898DDC">
            <w:pPr>
              <w:pageBreakBefore w:val="0"/>
              <w:wordWrap/>
              <w:topLinePunct w:val="0"/>
              <w:bidi w:val="0"/>
              <w:spacing w:line="56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序号</w:t>
            </w:r>
          </w:p>
        </w:tc>
        <w:tc>
          <w:tcPr>
            <w:tcW w:w="2128" w:type="dxa"/>
            <w:vAlign w:val="center"/>
          </w:tcPr>
          <w:p w14:paraId="5EF0C197">
            <w:pPr>
              <w:pageBreakBefore w:val="0"/>
              <w:wordWrap/>
              <w:topLinePunct w:val="0"/>
              <w:bidi w:val="0"/>
              <w:spacing w:line="56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产品名称</w:t>
            </w:r>
          </w:p>
        </w:tc>
        <w:tc>
          <w:tcPr>
            <w:tcW w:w="2410" w:type="dxa"/>
            <w:vAlign w:val="center"/>
          </w:tcPr>
          <w:p w14:paraId="51C9F642">
            <w:pPr>
              <w:pageBreakBefore w:val="0"/>
              <w:wordWrap/>
              <w:topLinePunct w:val="0"/>
              <w:bidi w:val="0"/>
              <w:spacing w:line="56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招标产品参数</w:t>
            </w:r>
          </w:p>
        </w:tc>
        <w:tc>
          <w:tcPr>
            <w:tcW w:w="2378" w:type="dxa"/>
            <w:vAlign w:val="center"/>
          </w:tcPr>
          <w:p w14:paraId="27D4BF45">
            <w:pPr>
              <w:pageBreakBefore w:val="0"/>
              <w:wordWrap/>
              <w:topLinePunct w:val="0"/>
              <w:bidi w:val="0"/>
              <w:spacing w:line="56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投标产品参数</w:t>
            </w:r>
          </w:p>
        </w:tc>
        <w:tc>
          <w:tcPr>
            <w:tcW w:w="1732" w:type="dxa"/>
            <w:vAlign w:val="center"/>
          </w:tcPr>
          <w:p w14:paraId="0886B2DD">
            <w:pPr>
              <w:pageBreakBefore w:val="0"/>
              <w:wordWrap/>
              <w:topLinePunct w:val="0"/>
              <w:bidi w:val="0"/>
              <w:spacing w:line="56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偏离说明</w:t>
            </w:r>
          </w:p>
        </w:tc>
      </w:tr>
      <w:tr w14:paraId="17A2C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957" w:type="dxa"/>
            <w:vAlign w:val="center"/>
          </w:tcPr>
          <w:p w14:paraId="15581ABB">
            <w:pPr>
              <w:pageBreakBefore w:val="0"/>
              <w:wordWrap/>
              <w:topLinePunct w:val="0"/>
              <w:bidi w:val="0"/>
              <w:spacing w:line="56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c>
          <w:tcPr>
            <w:tcW w:w="2128" w:type="dxa"/>
          </w:tcPr>
          <w:p w14:paraId="793834E1">
            <w:pPr>
              <w:pageBreakBefore w:val="0"/>
              <w:wordWrap/>
              <w:topLinePunct w:val="0"/>
              <w:bidi w:val="0"/>
              <w:spacing w:line="560" w:lineRule="exact"/>
              <w:rPr>
                <w:rFonts w:hint="eastAsia" w:ascii="宋体" w:hAnsi="宋体" w:eastAsia="宋体" w:cs="宋体"/>
                <w:color w:val="000000" w:themeColor="text1"/>
                <w:sz w:val="24"/>
                <w:szCs w:val="24"/>
                <w:highlight w:val="none"/>
                <w14:textFill>
                  <w14:solidFill>
                    <w14:schemeClr w14:val="tx1"/>
                  </w14:solidFill>
                </w14:textFill>
              </w:rPr>
            </w:pPr>
          </w:p>
        </w:tc>
        <w:tc>
          <w:tcPr>
            <w:tcW w:w="2410" w:type="dxa"/>
          </w:tcPr>
          <w:p w14:paraId="33C27DCD">
            <w:pPr>
              <w:pageBreakBefore w:val="0"/>
              <w:wordWrap/>
              <w:topLinePunct w:val="0"/>
              <w:bidi w:val="0"/>
              <w:spacing w:line="560" w:lineRule="exact"/>
              <w:rPr>
                <w:rFonts w:hint="eastAsia" w:ascii="宋体" w:hAnsi="宋体" w:eastAsia="宋体" w:cs="宋体"/>
                <w:color w:val="000000" w:themeColor="text1"/>
                <w:sz w:val="24"/>
                <w:szCs w:val="24"/>
                <w:highlight w:val="none"/>
                <w14:textFill>
                  <w14:solidFill>
                    <w14:schemeClr w14:val="tx1"/>
                  </w14:solidFill>
                </w14:textFill>
              </w:rPr>
            </w:pPr>
          </w:p>
        </w:tc>
        <w:tc>
          <w:tcPr>
            <w:tcW w:w="2378" w:type="dxa"/>
          </w:tcPr>
          <w:p w14:paraId="130FB453">
            <w:pPr>
              <w:pageBreakBefore w:val="0"/>
              <w:wordWrap/>
              <w:topLinePunct w:val="0"/>
              <w:bidi w:val="0"/>
              <w:spacing w:line="560" w:lineRule="exact"/>
              <w:rPr>
                <w:rFonts w:hint="eastAsia" w:ascii="宋体" w:hAnsi="宋体" w:eastAsia="宋体" w:cs="宋体"/>
                <w:color w:val="000000" w:themeColor="text1"/>
                <w:sz w:val="24"/>
                <w:szCs w:val="24"/>
                <w:highlight w:val="none"/>
                <w14:textFill>
                  <w14:solidFill>
                    <w14:schemeClr w14:val="tx1"/>
                  </w14:solidFill>
                </w14:textFill>
              </w:rPr>
            </w:pPr>
          </w:p>
        </w:tc>
        <w:tc>
          <w:tcPr>
            <w:tcW w:w="1732" w:type="dxa"/>
          </w:tcPr>
          <w:p w14:paraId="5A91F226">
            <w:pPr>
              <w:pageBreakBefore w:val="0"/>
              <w:wordWrap/>
              <w:topLinePunct w:val="0"/>
              <w:bidi w:val="0"/>
              <w:spacing w:line="560" w:lineRule="exact"/>
              <w:rPr>
                <w:rFonts w:hint="eastAsia" w:ascii="宋体" w:hAnsi="宋体" w:eastAsia="宋体" w:cs="宋体"/>
                <w:color w:val="000000" w:themeColor="text1"/>
                <w:sz w:val="24"/>
                <w:szCs w:val="24"/>
                <w:highlight w:val="none"/>
                <w14:textFill>
                  <w14:solidFill>
                    <w14:schemeClr w14:val="tx1"/>
                  </w14:solidFill>
                </w14:textFill>
              </w:rPr>
            </w:pPr>
          </w:p>
        </w:tc>
      </w:tr>
      <w:tr w14:paraId="68A34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957" w:type="dxa"/>
            <w:vAlign w:val="center"/>
          </w:tcPr>
          <w:p w14:paraId="2135FB0B">
            <w:pPr>
              <w:pageBreakBefore w:val="0"/>
              <w:wordWrap/>
              <w:topLinePunct w:val="0"/>
              <w:bidi w:val="0"/>
              <w:spacing w:line="56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p>
        </w:tc>
        <w:tc>
          <w:tcPr>
            <w:tcW w:w="2128" w:type="dxa"/>
          </w:tcPr>
          <w:p w14:paraId="4D1A8ED0">
            <w:pPr>
              <w:pageBreakBefore w:val="0"/>
              <w:wordWrap/>
              <w:topLinePunct w:val="0"/>
              <w:bidi w:val="0"/>
              <w:spacing w:line="560" w:lineRule="exact"/>
              <w:rPr>
                <w:rFonts w:hint="eastAsia" w:ascii="宋体" w:hAnsi="宋体" w:eastAsia="宋体" w:cs="宋体"/>
                <w:color w:val="000000" w:themeColor="text1"/>
                <w:sz w:val="24"/>
                <w:szCs w:val="24"/>
                <w:highlight w:val="none"/>
                <w14:textFill>
                  <w14:solidFill>
                    <w14:schemeClr w14:val="tx1"/>
                  </w14:solidFill>
                </w14:textFill>
              </w:rPr>
            </w:pPr>
          </w:p>
        </w:tc>
        <w:tc>
          <w:tcPr>
            <w:tcW w:w="2410" w:type="dxa"/>
          </w:tcPr>
          <w:p w14:paraId="364D818A">
            <w:pPr>
              <w:pageBreakBefore w:val="0"/>
              <w:wordWrap/>
              <w:topLinePunct w:val="0"/>
              <w:bidi w:val="0"/>
              <w:spacing w:line="560" w:lineRule="exact"/>
              <w:rPr>
                <w:rFonts w:hint="eastAsia" w:ascii="宋体" w:hAnsi="宋体" w:eastAsia="宋体" w:cs="宋体"/>
                <w:color w:val="000000" w:themeColor="text1"/>
                <w:sz w:val="24"/>
                <w:szCs w:val="24"/>
                <w:highlight w:val="none"/>
                <w14:textFill>
                  <w14:solidFill>
                    <w14:schemeClr w14:val="tx1"/>
                  </w14:solidFill>
                </w14:textFill>
              </w:rPr>
            </w:pPr>
          </w:p>
        </w:tc>
        <w:tc>
          <w:tcPr>
            <w:tcW w:w="2378" w:type="dxa"/>
          </w:tcPr>
          <w:p w14:paraId="2A8CF7F2">
            <w:pPr>
              <w:pageBreakBefore w:val="0"/>
              <w:wordWrap/>
              <w:topLinePunct w:val="0"/>
              <w:bidi w:val="0"/>
              <w:spacing w:line="560" w:lineRule="exact"/>
              <w:rPr>
                <w:rFonts w:hint="eastAsia" w:ascii="宋体" w:hAnsi="宋体" w:eastAsia="宋体" w:cs="宋体"/>
                <w:color w:val="000000" w:themeColor="text1"/>
                <w:sz w:val="24"/>
                <w:szCs w:val="24"/>
                <w:highlight w:val="none"/>
                <w14:textFill>
                  <w14:solidFill>
                    <w14:schemeClr w14:val="tx1"/>
                  </w14:solidFill>
                </w14:textFill>
              </w:rPr>
            </w:pPr>
          </w:p>
        </w:tc>
        <w:tc>
          <w:tcPr>
            <w:tcW w:w="1732" w:type="dxa"/>
          </w:tcPr>
          <w:p w14:paraId="2E300174">
            <w:pPr>
              <w:pageBreakBefore w:val="0"/>
              <w:wordWrap/>
              <w:topLinePunct w:val="0"/>
              <w:bidi w:val="0"/>
              <w:spacing w:line="560" w:lineRule="exact"/>
              <w:rPr>
                <w:rFonts w:hint="eastAsia" w:ascii="宋体" w:hAnsi="宋体" w:eastAsia="宋体" w:cs="宋体"/>
                <w:color w:val="000000" w:themeColor="text1"/>
                <w:sz w:val="24"/>
                <w:szCs w:val="24"/>
                <w:highlight w:val="none"/>
                <w14:textFill>
                  <w14:solidFill>
                    <w14:schemeClr w14:val="tx1"/>
                  </w14:solidFill>
                </w14:textFill>
              </w:rPr>
            </w:pPr>
          </w:p>
        </w:tc>
      </w:tr>
      <w:tr w14:paraId="3643E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957" w:type="dxa"/>
            <w:vAlign w:val="center"/>
          </w:tcPr>
          <w:p w14:paraId="71A6FF1B">
            <w:pPr>
              <w:pageBreakBefore w:val="0"/>
              <w:wordWrap/>
              <w:topLinePunct w:val="0"/>
              <w:bidi w:val="0"/>
              <w:spacing w:line="56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w:t>
            </w:r>
          </w:p>
        </w:tc>
        <w:tc>
          <w:tcPr>
            <w:tcW w:w="2128" w:type="dxa"/>
          </w:tcPr>
          <w:p w14:paraId="0E5AF790">
            <w:pPr>
              <w:pageBreakBefore w:val="0"/>
              <w:wordWrap/>
              <w:topLinePunct w:val="0"/>
              <w:bidi w:val="0"/>
              <w:spacing w:line="560" w:lineRule="exact"/>
              <w:rPr>
                <w:rFonts w:hint="eastAsia" w:ascii="宋体" w:hAnsi="宋体" w:eastAsia="宋体" w:cs="宋体"/>
                <w:color w:val="000000" w:themeColor="text1"/>
                <w:sz w:val="24"/>
                <w:szCs w:val="24"/>
                <w:highlight w:val="none"/>
                <w14:textFill>
                  <w14:solidFill>
                    <w14:schemeClr w14:val="tx1"/>
                  </w14:solidFill>
                </w14:textFill>
              </w:rPr>
            </w:pPr>
          </w:p>
        </w:tc>
        <w:tc>
          <w:tcPr>
            <w:tcW w:w="2410" w:type="dxa"/>
          </w:tcPr>
          <w:p w14:paraId="208F3E79">
            <w:pPr>
              <w:pageBreakBefore w:val="0"/>
              <w:wordWrap/>
              <w:topLinePunct w:val="0"/>
              <w:bidi w:val="0"/>
              <w:spacing w:line="560" w:lineRule="exact"/>
              <w:rPr>
                <w:rFonts w:hint="eastAsia" w:ascii="宋体" w:hAnsi="宋体" w:eastAsia="宋体" w:cs="宋体"/>
                <w:color w:val="000000" w:themeColor="text1"/>
                <w:sz w:val="24"/>
                <w:szCs w:val="24"/>
                <w:highlight w:val="none"/>
                <w14:textFill>
                  <w14:solidFill>
                    <w14:schemeClr w14:val="tx1"/>
                  </w14:solidFill>
                </w14:textFill>
              </w:rPr>
            </w:pPr>
          </w:p>
        </w:tc>
        <w:tc>
          <w:tcPr>
            <w:tcW w:w="2378" w:type="dxa"/>
          </w:tcPr>
          <w:p w14:paraId="636ADFD7">
            <w:pPr>
              <w:pageBreakBefore w:val="0"/>
              <w:wordWrap/>
              <w:topLinePunct w:val="0"/>
              <w:bidi w:val="0"/>
              <w:spacing w:line="560" w:lineRule="exact"/>
              <w:rPr>
                <w:rFonts w:hint="eastAsia" w:ascii="宋体" w:hAnsi="宋体" w:eastAsia="宋体" w:cs="宋体"/>
                <w:color w:val="000000" w:themeColor="text1"/>
                <w:sz w:val="24"/>
                <w:szCs w:val="24"/>
                <w:highlight w:val="none"/>
                <w14:textFill>
                  <w14:solidFill>
                    <w14:schemeClr w14:val="tx1"/>
                  </w14:solidFill>
                </w14:textFill>
              </w:rPr>
            </w:pPr>
          </w:p>
        </w:tc>
        <w:tc>
          <w:tcPr>
            <w:tcW w:w="1732" w:type="dxa"/>
          </w:tcPr>
          <w:p w14:paraId="5F3641A1">
            <w:pPr>
              <w:pageBreakBefore w:val="0"/>
              <w:wordWrap/>
              <w:topLinePunct w:val="0"/>
              <w:bidi w:val="0"/>
              <w:spacing w:line="560" w:lineRule="exact"/>
              <w:rPr>
                <w:rFonts w:hint="eastAsia" w:ascii="宋体" w:hAnsi="宋体" w:eastAsia="宋体" w:cs="宋体"/>
                <w:color w:val="000000" w:themeColor="text1"/>
                <w:sz w:val="24"/>
                <w:szCs w:val="24"/>
                <w:highlight w:val="none"/>
                <w14:textFill>
                  <w14:solidFill>
                    <w14:schemeClr w14:val="tx1"/>
                  </w14:solidFill>
                </w14:textFill>
              </w:rPr>
            </w:pPr>
          </w:p>
        </w:tc>
      </w:tr>
      <w:tr w14:paraId="2DB7F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957" w:type="dxa"/>
            <w:vAlign w:val="center"/>
          </w:tcPr>
          <w:p w14:paraId="303911DB">
            <w:pPr>
              <w:pageBreakBefore w:val="0"/>
              <w:wordWrap/>
              <w:topLinePunct w:val="0"/>
              <w:bidi w:val="0"/>
              <w:spacing w:line="56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w:t>
            </w:r>
          </w:p>
        </w:tc>
        <w:tc>
          <w:tcPr>
            <w:tcW w:w="2128" w:type="dxa"/>
          </w:tcPr>
          <w:p w14:paraId="232647B6">
            <w:pPr>
              <w:pageBreakBefore w:val="0"/>
              <w:wordWrap/>
              <w:topLinePunct w:val="0"/>
              <w:bidi w:val="0"/>
              <w:spacing w:line="560" w:lineRule="exact"/>
              <w:rPr>
                <w:rFonts w:hint="eastAsia" w:ascii="宋体" w:hAnsi="宋体" w:eastAsia="宋体" w:cs="宋体"/>
                <w:color w:val="000000" w:themeColor="text1"/>
                <w:sz w:val="24"/>
                <w:szCs w:val="24"/>
                <w:highlight w:val="none"/>
                <w14:textFill>
                  <w14:solidFill>
                    <w14:schemeClr w14:val="tx1"/>
                  </w14:solidFill>
                </w14:textFill>
              </w:rPr>
            </w:pPr>
          </w:p>
        </w:tc>
        <w:tc>
          <w:tcPr>
            <w:tcW w:w="2410" w:type="dxa"/>
          </w:tcPr>
          <w:p w14:paraId="44EB0204">
            <w:pPr>
              <w:pageBreakBefore w:val="0"/>
              <w:wordWrap/>
              <w:topLinePunct w:val="0"/>
              <w:bidi w:val="0"/>
              <w:spacing w:line="560" w:lineRule="exact"/>
              <w:rPr>
                <w:rFonts w:hint="eastAsia" w:ascii="宋体" w:hAnsi="宋体" w:eastAsia="宋体" w:cs="宋体"/>
                <w:color w:val="000000" w:themeColor="text1"/>
                <w:sz w:val="24"/>
                <w:szCs w:val="24"/>
                <w:highlight w:val="none"/>
                <w14:textFill>
                  <w14:solidFill>
                    <w14:schemeClr w14:val="tx1"/>
                  </w14:solidFill>
                </w14:textFill>
              </w:rPr>
            </w:pPr>
          </w:p>
        </w:tc>
        <w:tc>
          <w:tcPr>
            <w:tcW w:w="2378" w:type="dxa"/>
          </w:tcPr>
          <w:p w14:paraId="70695B91">
            <w:pPr>
              <w:pageBreakBefore w:val="0"/>
              <w:wordWrap/>
              <w:topLinePunct w:val="0"/>
              <w:bidi w:val="0"/>
              <w:spacing w:line="560" w:lineRule="exact"/>
              <w:rPr>
                <w:rFonts w:hint="eastAsia" w:ascii="宋体" w:hAnsi="宋体" w:eastAsia="宋体" w:cs="宋体"/>
                <w:color w:val="000000" w:themeColor="text1"/>
                <w:sz w:val="24"/>
                <w:szCs w:val="24"/>
                <w:highlight w:val="none"/>
                <w14:textFill>
                  <w14:solidFill>
                    <w14:schemeClr w14:val="tx1"/>
                  </w14:solidFill>
                </w14:textFill>
              </w:rPr>
            </w:pPr>
          </w:p>
        </w:tc>
        <w:tc>
          <w:tcPr>
            <w:tcW w:w="1732" w:type="dxa"/>
          </w:tcPr>
          <w:p w14:paraId="404C7E1A">
            <w:pPr>
              <w:pageBreakBefore w:val="0"/>
              <w:wordWrap/>
              <w:topLinePunct w:val="0"/>
              <w:bidi w:val="0"/>
              <w:spacing w:line="560" w:lineRule="exact"/>
              <w:rPr>
                <w:rFonts w:hint="eastAsia" w:ascii="宋体" w:hAnsi="宋体" w:eastAsia="宋体" w:cs="宋体"/>
                <w:color w:val="000000" w:themeColor="text1"/>
                <w:sz w:val="24"/>
                <w:szCs w:val="24"/>
                <w:highlight w:val="none"/>
                <w14:textFill>
                  <w14:solidFill>
                    <w14:schemeClr w14:val="tx1"/>
                  </w14:solidFill>
                </w14:textFill>
              </w:rPr>
            </w:pPr>
          </w:p>
        </w:tc>
      </w:tr>
      <w:tr w14:paraId="71AFD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957" w:type="dxa"/>
            <w:vAlign w:val="center"/>
          </w:tcPr>
          <w:p w14:paraId="2B7BBA0F">
            <w:pPr>
              <w:pageBreakBefore w:val="0"/>
              <w:wordWrap/>
              <w:topLinePunct w:val="0"/>
              <w:bidi w:val="0"/>
              <w:spacing w:line="56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w:t>
            </w:r>
          </w:p>
        </w:tc>
        <w:tc>
          <w:tcPr>
            <w:tcW w:w="2128" w:type="dxa"/>
          </w:tcPr>
          <w:p w14:paraId="7F451746">
            <w:pPr>
              <w:pageBreakBefore w:val="0"/>
              <w:wordWrap/>
              <w:topLinePunct w:val="0"/>
              <w:bidi w:val="0"/>
              <w:spacing w:line="560" w:lineRule="exact"/>
              <w:rPr>
                <w:rFonts w:hint="eastAsia" w:ascii="宋体" w:hAnsi="宋体" w:eastAsia="宋体" w:cs="宋体"/>
                <w:color w:val="000000" w:themeColor="text1"/>
                <w:sz w:val="24"/>
                <w:szCs w:val="24"/>
                <w:highlight w:val="none"/>
                <w14:textFill>
                  <w14:solidFill>
                    <w14:schemeClr w14:val="tx1"/>
                  </w14:solidFill>
                </w14:textFill>
              </w:rPr>
            </w:pPr>
          </w:p>
        </w:tc>
        <w:tc>
          <w:tcPr>
            <w:tcW w:w="2410" w:type="dxa"/>
          </w:tcPr>
          <w:p w14:paraId="4E430576">
            <w:pPr>
              <w:pageBreakBefore w:val="0"/>
              <w:wordWrap/>
              <w:topLinePunct w:val="0"/>
              <w:bidi w:val="0"/>
              <w:spacing w:line="560" w:lineRule="exact"/>
              <w:rPr>
                <w:rFonts w:hint="eastAsia" w:ascii="宋体" w:hAnsi="宋体" w:eastAsia="宋体" w:cs="宋体"/>
                <w:color w:val="000000" w:themeColor="text1"/>
                <w:sz w:val="24"/>
                <w:szCs w:val="24"/>
                <w:highlight w:val="none"/>
                <w14:textFill>
                  <w14:solidFill>
                    <w14:schemeClr w14:val="tx1"/>
                  </w14:solidFill>
                </w14:textFill>
              </w:rPr>
            </w:pPr>
          </w:p>
        </w:tc>
        <w:tc>
          <w:tcPr>
            <w:tcW w:w="2378" w:type="dxa"/>
          </w:tcPr>
          <w:p w14:paraId="402EA921">
            <w:pPr>
              <w:pageBreakBefore w:val="0"/>
              <w:wordWrap/>
              <w:topLinePunct w:val="0"/>
              <w:bidi w:val="0"/>
              <w:spacing w:line="560" w:lineRule="exact"/>
              <w:rPr>
                <w:rFonts w:hint="eastAsia" w:ascii="宋体" w:hAnsi="宋体" w:eastAsia="宋体" w:cs="宋体"/>
                <w:color w:val="000000" w:themeColor="text1"/>
                <w:sz w:val="24"/>
                <w:szCs w:val="24"/>
                <w:highlight w:val="none"/>
                <w14:textFill>
                  <w14:solidFill>
                    <w14:schemeClr w14:val="tx1"/>
                  </w14:solidFill>
                </w14:textFill>
              </w:rPr>
            </w:pPr>
          </w:p>
        </w:tc>
        <w:tc>
          <w:tcPr>
            <w:tcW w:w="1732" w:type="dxa"/>
          </w:tcPr>
          <w:p w14:paraId="4991617B">
            <w:pPr>
              <w:pageBreakBefore w:val="0"/>
              <w:wordWrap/>
              <w:topLinePunct w:val="0"/>
              <w:bidi w:val="0"/>
              <w:spacing w:line="560" w:lineRule="exact"/>
              <w:rPr>
                <w:rFonts w:hint="eastAsia" w:ascii="宋体" w:hAnsi="宋体" w:eastAsia="宋体" w:cs="宋体"/>
                <w:color w:val="000000" w:themeColor="text1"/>
                <w:sz w:val="24"/>
                <w:szCs w:val="24"/>
                <w:highlight w:val="none"/>
                <w14:textFill>
                  <w14:solidFill>
                    <w14:schemeClr w14:val="tx1"/>
                  </w14:solidFill>
                </w14:textFill>
              </w:rPr>
            </w:pPr>
          </w:p>
        </w:tc>
      </w:tr>
      <w:tr w14:paraId="7E7A9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957" w:type="dxa"/>
            <w:vAlign w:val="center"/>
          </w:tcPr>
          <w:p w14:paraId="726D3DA1">
            <w:pPr>
              <w:pageBreakBefore w:val="0"/>
              <w:wordWrap/>
              <w:topLinePunct w:val="0"/>
              <w:bidi w:val="0"/>
              <w:spacing w:line="56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w:t>
            </w:r>
          </w:p>
        </w:tc>
        <w:tc>
          <w:tcPr>
            <w:tcW w:w="2128" w:type="dxa"/>
          </w:tcPr>
          <w:p w14:paraId="4CBC8B45">
            <w:pPr>
              <w:pageBreakBefore w:val="0"/>
              <w:wordWrap/>
              <w:topLinePunct w:val="0"/>
              <w:bidi w:val="0"/>
              <w:spacing w:line="560" w:lineRule="exact"/>
              <w:rPr>
                <w:rFonts w:hint="eastAsia" w:ascii="宋体" w:hAnsi="宋体" w:eastAsia="宋体" w:cs="宋体"/>
                <w:color w:val="000000" w:themeColor="text1"/>
                <w:sz w:val="24"/>
                <w:szCs w:val="24"/>
                <w:highlight w:val="none"/>
                <w14:textFill>
                  <w14:solidFill>
                    <w14:schemeClr w14:val="tx1"/>
                  </w14:solidFill>
                </w14:textFill>
              </w:rPr>
            </w:pPr>
          </w:p>
        </w:tc>
        <w:tc>
          <w:tcPr>
            <w:tcW w:w="2410" w:type="dxa"/>
          </w:tcPr>
          <w:p w14:paraId="1831E3F3">
            <w:pPr>
              <w:pageBreakBefore w:val="0"/>
              <w:wordWrap/>
              <w:topLinePunct w:val="0"/>
              <w:bidi w:val="0"/>
              <w:spacing w:line="560" w:lineRule="exact"/>
              <w:rPr>
                <w:rFonts w:hint="eastAsia" w:ascii="宋体" w:hAnsi="宋体" w:eastAsia="宋体" w:cs="宋体"/>
                <w:color w:val="000000" w:themeColor="text1"/>
                <w:sz w:val="24"/>
                <w:szCs w:val="24"/>
                <w:highlight w:val="none"/>
                <w14:textFill>
                  <w14:solidFill>
                    <w14:schemeClr w14:val="tx1"/>
                  </w14:solidFill>
                </w14:textFill>
              </w:rPr>
            </w:pPr>
          </w:p>
        </w:tc>
        <w:tc>
          <w:tcPr>
            <w:tcW w:w="2378" w:type="dxa"/>
          </w:tcPr>
          <w:p w14:paraId="02FB6211">
            <w:pPr>
              <w:pageBreakBefore w:val="0"/>
              <w:wordWrap/>
              <w:topLinePunct w:val="0"/>
              <w:bidi w:val="0"/>
              <w:spacing w:line="560" w:lineRule="exact"/>
              <w:rPr>
                <w:rFonts w:hint="eastAsia" w:ascii="宋体" w:hAnsi="宋体" w:eastAsia="宋体" w:cs="宋体"/>
                <w:color w:val="000000" w:themeColor="text1"/>
                <w:sz w:val="24"/>
                <w:szCs w:val="24"/>
                <w:highlight w:val="none"/>
                <w14:textFill>
                  <w14:solidFill>
                    <w14:schemeClr w14:val="tx1"/>
                  </w14:solidFill>
                </w14:textFill>
              </w:rPr>
            </w:pPr>
          </w:p>
        </w:tc>
        <w:tc>
          <w:tcPr>
            <w:tcW w:w="1732" w:type="dxa"/>
          </w:tcPr>
          <w:p w14:paraId="4CDD8114">
            <w:pPr>
              <w:pageBreakBefore w:val="0"/>
              <w:wordWrap/>
              <w:topLinePunct w:val="0"/>
              <w:bidi w:val="0"/>
              <w:spacing w:line="560" w:lineRule="exact"/>
              <w:rPr>
                <w:rFonts w:hint="eastAsia" w:ascii="宋体" w:hAnsi="宋体" w:eastAsia="宋体" w:cs="宋体"/>
                <w:color w:val="000000" w:themeColor="text1"/>
                <w:sz w:val="24"/>
                <w:szCs w:val="24"/>
                <w:highlight w:val="none"/>
                <w14:textFill>
                  <w14:solidFill>
                    <w14:schemeClr w14:val="tx1"/>
                  </w14:solidFill>
                </w14:textFill>
              </w:rPr>
            </w:pPr>
          </w:p>
        </w:tc>
      </w:tr>
      <w:tr w14:paraId="1159D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957" w:type="dxa"/>
            <w:vAlign w:val="center"/>
          </w:tcPr>
          <w:p w14:paraId="1C205FCB">
            <w:pPr>
              <w:pageBreakBefore w:val="0"/>
              <w:wordWrap/>
              <w:topLinePunct w:val="0"/>
              <w:bidi w:val="0"/>
              <w:spacing w:line="56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p>
        </w:tc>
        <w:tc>
          <w:tcPr>
            <w:tcW w:w="2128" w:type="dxa"/>
          </w:tcPr>
          <w:p w14:paraId="405C6CC4">
            <w:pPr>
              <w:pageBreakBefore w:val="0"/>
              <w:wordWrap/>
              <w:topLinePunct w:val="0"/>
              <w:bidi w:val="0"/>
              <w:spacing w:line="560" w:lineRule="exact"/>
              <w:rPr>
                <w:rFonts w:hint="eastAsia" w:ascii="宋体" w:hAnsi="宋体" w:eastAsia="宋体" w:cs="宋体"/>
                <w:color w:val="000000" w:themeColor="text1"/>
                <w:sz w:val="24"/>
                <w:szCs w:val="24"/>
                <w:highlight w:val="none"/>
                <w14:textFill>
                  <w14:solidFill>
                    <w14:schemeClr w14:val="tx1"/>
                  </w14:solidFill>
                </w14:textFill>
              </w:rPr>
            </w:pPr>
          </w:p>
        </w:tc>
        <w:tc>
          <w:tcPr>
            <w:tcW w:w="2410" w:type="dxa"/>
          </w:tcPr>
          <w:p w14:paraId="3FD068FA">
            <w:pPr>
              <w:pageBreakBefore w:val="0"/>
              <w:wordWrap/>
              <w:topLinePunct w:val="0"/>
              <w:bidi w:val="0"/>
              <w:spacing w:line="560" w:lineRule="exact"/>
              <w:rPr>
                <w:rFonts w:hint="eastAsia" w:ascii="宋体" w:hAnsi="宋体" w:eastAsia="宋体" w:cs="宋体"/>
                <w:color w:val="000000" w:themeColor="text1"/>
                <w:sz w:val="24"/>
                <w:szCs w:val="24"/>
                <w:highlight w:val="none"/>
                <w14:textFill>
                  <w14:solidFill>
                    <w14:schemeClr w14:val="tx1"/>
                  </w14:solidFill>
                </w14:textFill>
              </w:rPr>
            </w:pPr>
          </w:p>
        </w:tc>
        <w:tc>
          <w:tcPr>
            <w:tcW w:w="2378" w:type="dxa"/>
          </w:tcPr>
          <w:p w14:paraId="361E8F0F">
            <w:pPr>
              <w:pageBreakBefore w:val="0"/>
              <w:wordWrap/>
              <w:topLinePunct w:val="0"/>
              <w:bidi w:val="0"/>
              <w:spacing w:line="560" w:lineRule="exact"/>
              <w:rPr>
                <w:rFonts w:hint="eastAsia" w:ascii="宋体" w:hAnsi="宋体" w:eastAsia="宋体" w:cs="宋体"/>
                <w:color w:val="000000" w:themeColor="text1"/>
                <w:sz w:val="24"/>
                <w:szCs w:val="24"/>
                <w:highlight w:val="none"/>
                <w14:textFill>
                  <w14:solidFill>
                    <w14:schemeClr w14:val="tx1"/>
                  </w14:solidFill>
                </w14:textFill>
              </w:rPr>
            </w:pPr>
          </w:p>
        </w:tc>
        <w:tc>
          <w:tcPr>
            <w:tcW w:w="1732" w:type="dxa"/>
          </w:tcPr>
          <w:p w14:paraId="268169FF">
            <w:pPr>
              <w:pageBreakBefore w:val="0"/>
              <w:wordWrap/>
              <w:topLinePunct w:val="0"/>
              <w:bidi w:val="0"/>
              <w:spacing w:line="560" w:lineRule="exact"/>
              <w:rPr>
                <w:rFonts w:hint="eastAsia" w:ascii="宋体" w:hAnsi="宋体" w:eastAsia="宋体" w:cs="宋体"/>
                <w:color w:val="000000" w:themeColor="text1"/>
                <w:sz w:val="24"/>
                <w:szCs w:val="24"/>
                <w:highlight w:val="none"/>
                <w14:textFill>
                  <w14:solidFill>
                    <w14:schemeClr w14:val="tx1"/>
                  </w14:solidFill>
                </w14:textFill>
              </w:rPr>
            </w:pPr>
          </w:p>
        </w:tc>
      </w:tr>
      <w:tr w14:paraId="2E63C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957" w:type="dxa"/>
            <w:vAlign w:val="center"/>
          </w:tcPr>
          <w:p w14:paraId="4FDDC68D">
            <w:pPr>
              <w:pageBreakBefore w:val="0"/>
              <w:wordWrap/>
              <w:topLinePunct w:val="0"/>
              <w:bidi w:val="0"/>
              <w:spacing w:line="56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p>
        </w:tc>
        <w:tc>
          <w:tcPr>
            <w:tcW w:w="2128" w:type="dxa"/>
          </w:tcPr>
          <w:p w14:paraId="76B72838">
            <w:pPr>
              <w:pageBreakBefore w:val="0"/>
              <w:wordWrap/>
              <w:topLinePunct w:val="0"/>
              <w:bidi w:val="0"/>
              <w:spacing w:line="560" w:lineRule="exact"/>
              <w:rPr>
                <w:rFonts w:hint="eastAsia" w:ascii="宋体" w:hAnsi="宋体" w:eastAsia="宋体" w:cs="宋体"/>
                <w:color w:val="000000" w:themeColor="text1"/>
                <w:sz w:val="24"/>
                <w:szCs w:val="24"/>
                <w:highlight w:val="none"/>
                <w14:textFill>
                  <w14:solidFill>
                    <w14:schemeClr w14:val="tx1"/>
                  </w14:solidFill>
                </w14:textFill>
              </w:rPr>
            </w:pPr>
          </w:p>
        </w:tc>
        <w:tc>
          <w:tcPr>
            <w:tcW w:w="2410" w:type="dxa"/>
          </w:tcPr>
          <w:p w14:paraId="0C8B7284">
            <w:pPr>
              <w:pageBreakBefore w:val="0"/>
              <w:wordWrap/>
              <w:topLinePunct w:val="0"/>
              <w:bidi w:val="0"/>
              <w:spacing w:line="560" w:lineRule="exact"/>
              <w:rPr>
                <w:rFonts w:hint="eastAsia" w:ascii="宋体" w:hAnsi="宋体" w:eastAsia="宋体" w:cs="宋体"/>
                <w:color w:val="000000" w:themeColor="text1"/>
                <w:sz w:val="24"/>
                <w:szCs w:val="24"/>
                <w:highlight w:val="none"/>
                <w14:textFill>
                  <w14:solidFill>
                    <w14:schemeClr w14:val="tx1"/>
                  </w14:solidFill>
                </w14:textFill>
              </w:rPr>
            </w:pPr>
          </w:p>
        </w:tc>
        <w:tc>
          <w:tcPr>
            <w:tcW w:w="2378" w:type="dxa"/>
          </w:tcPr>
          <w:p w14:paraId="36E429BB">
            <w:pPr>
              <w:pageBreakBefore w:val="0"/>
              <w:wordWrap/>
              <w:topLinePunct w:val="0"/>
              <w:bidi w:val="0"/>
              <w:spacing w:line="560" w:lineRule="exact"/>
              <w:rPr>
                <w:rFonts w:hint="eastAsia" w:ascii="宋体" w:hAnsi="宋体" w:eastAsia="宋体" w:cs="宋体"/>
                <w:color w:val="000000" w:themeColor="text1"/>
                <w:sz w:val="24"/>
                <w:szCs w:val="24"/>
                <w:highlight w:val="none"/>
                <w14:textFill>
                  <w14:solidFill>
                    <w14:schemeClr w14:val="tx1"/>
                  </w14:solidFill>
                </w14:textFill>
              </w:rPr>
            </w:pPr>
          </w:p>
        </w:tc>
        <w:tc>
          <w:tcPr>
            <w:tcW w:w="1732" w:type="dxa"/>
          </w:tcPr>
          <w:p w14:paraId="3ACD4AF8">
            <w:pPr>
              <w:pageBreakBefore w:val="0"/>
              <w:wordWrap/>
              <w:topLinePunct w:val="0"/>
              <w:bidi w:val="0"/>
              <w:spacing w:line="560" w:lineRule="exact"/>
              <w:rPr>
                <w:rFonts w:hint="eastAsia" w:ascii="宋体" w:hAnsi="宋体" w:eastAsia="宋体" w:cs="宋体"/>
                <w:color w:val="000000" w:themeColor="text1"/>
                <w:sz w:val="24"/>
                <w:szCs w:val="24"/>
                <w:highlight w:val="none"/>
                <w14:textFill>
                  <w14:solidFill>
                    <w14:schemeClr w14:val="tx1"/>
                  </w14:solidFill>
                </w14:textFill>
              </w:rPr>
            </w:pPr>
          </w:p>
        </w:tc>
      </w:tr>
      <w:tr w14:paraId="32248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957" w:type="dxa"/>
            <w:vAlign w:val="center"/>
          </w:tcPr>
          <w:p w14:paraId="6646296F">
            <w:pPr>
              <w:pageBreakBefore w:val="0"/>
              <w:wordWrap/>
              <w:topLinePunct w:val="0"/>
              <w:bidi w:val="0"/>
              <w:spacing w:line="56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p>
        </w:tc>
        <w:tc>
          <w:tcPr>
            <w:tcW w:w="2128" w:type="dxa"/>
          </w:tcPr>
          <w:p w14:paraId="4DDFF59D">
            <w:pPr>
              <w:pageBreakBefore w:val="0"/>
              <w:wordWrap/>
              <w:topLinePunct w:val="0"/>
              <w:bidi w:val="0"/>
              <w:spacing w:line="560" w:lineRule="exact"/>
              <w:rPr>
                <w:rFonts w:hint="eastAsia" w:ascii="宋体" w:hAnsi="宋体" w:eastAsia="宋体" w:cs="宋体"/>
                <w:color w:val="000000" w:themeColor="text1"/>
                <w:sz w:val="24"/>
                <w:szCs w:val="24"/>
                <w:highlight w:val="none"/>
                <w14:textFill>
                  <w14:solidFill>
                    <w14:schemeClr w14:val="tx1"/>
                  </w14:solidFill>
                </w14:textFill>
              </w:rPr>
            </w:pPr>
          </w:p>
        </w:tc>
        <w:tc>
          <w:tcPr>
            <w:tcW w:w="2410" w:type="dxa"/>
          </w:tcPr>
          <w:p w14:paraId="41F7F506">
            <w:pPr>
              <w:pageBreakBefore w:val="0"/>
              <w:wordWrap/>
              <w:topLinePunct w:val="0"/>
              <w:bidi w:val="0"/>
              <w:spacing w:line="560" w:lineRule="exact"/>
              <w:rPr>
                <w:rFonts w:hint="eastAsia" w:ascii="宋体" w:hAnsi="宋体" w:eastAsia="宋体" w:cs="宋体"/>
                <w:color w:val="000000" w:themeColor="text1"/>
                <w:sz w:val="24"/>
                <w:szCs w:val="24"/>
                <w:highlight w:val="none"/>
                <w14:textFill>
                  <w14:solidFill>
                    <w14:schemeClr w14:val="tx1"/>
                  </w14:solidFill>
                </w14:textFill>
              </w:rPr>
            </w:pPr>
          </w:p>
        </w:tc>
        <w:tc>
          <w:tcPr>
            <w:tcW w:w="2378" w:type="dxa"/>
          </w:tcPr>
          <w:p w14:paraId="391ADF65">
            <w:pPr>
              <w:pageBreakBefore w:val="0"/>
              <w:wordWrap/>
              <w:topLinePunct w:val="0"/>
              <w:bidi w:val="0"/>
              <w:spacing w:line="560" w:lineRule="exact"/>
              <w:rPr>
                <w:rFonts w:hint="eastAsia" w:ascii="宋体" w:hAnsi="宋体" w:eastAsia="宋体" w:cs="宋体"/>
                <w:color w:val="000000" w:themeColor="text1"/>
                <w:sz w:val="24"/>
                <w:szCs w:val="24"/>
                <w:highlight w:val="none"/>
                <w14:textFill>
                  <w14:solidFill>
                    <w14:schemeClr w14:val="tx1"/>
                  </w14:solidFill>
                </w14:textFill>
              </w:rPr>
            </w:pPr>
          </w:p>
        </w:tc>
        <w:tc>
          <w:tcPr>
            <w:tcW w:w="1732" w:type="dxa"/>
          </w:tcPr>
          <w:p w14:paraId="4C8A6EA7">
            <w:pPr>
              <w:pageBreakBefore w:val="0"/>
              <w:wordWrap/>
              <w:topLinePunct w:val="0"/>
              <w:bidi w:val="0"/>
              <w:spacing w:line="560" w:lineRule="exact"/>
              <w:rPr>
                <w:rFonts w:hint="eastAsia" w:ascii="宋体" w:hAnsi="宋体" w:eastAsia="宋体" w:cs="宋体"/>
                <w:color w:val="000000" w:themeColor="text1"/>
                <w:sz w:val="24"/>
                <w:szCs w:val="24"/>
                <w:highlight w:val="none"/>
                <w14:textFill>
                  <w14:solidFill>
                    <w14:schemeClr w14:val="tx1"/>
                  </w14:solidFill>
                </w14:textFill>
              </w:rPr>
            </w:pPr>
          </w:p>
        </w:tc>
      </w:tr>
    </w:tbl>
    <w:p w14:paraId="130A1043">
      <w:pPr>
        <w:keepNext w:val="0"/>
        <w:keepLines w:val="0"/>
        <w:pageBreakBefore w:val="0"/>
        <w:widowControl w:val="0"/>
        <w:kinsoku/>
        <w:wordWrap/>
        <w:overflowPunct/>
        <w:topLinePunct w:val="0"/>
        <w:autoSpaceDE w:val="0"/>
        <w:autoSpaceDN w:val="0"/>
        <w:bidi w:val="0"/>
        <w:adjustRightInd/>
        <w:snapToGrid/>
        <w:spacing w:line="560" w:lineRule="exact"/>
        <w:ind w:left="0" w:leftChars="0" w:firstLine="0" w:firstLineChars="0"/>
        <w:textAlignment w:val="auto"/>
        <w:rPr>
          <w:rFonts w:hint="eastAsia" w:ascii="宋体" w:hAnsi="宋体" w:eastAsia="宋体" w:cs="宋体"/>
          <w:b/>
          <w:bCs/>
          <w:color w:val="000000" w:themeColor="text1"/>
          <w:kern w:val="0"/>
          <w:sz w:val="28"/>
          <w:szCs w:val="28"/>
          <w:highlight w:val="none"/>
          <w14:textFill>
            <w14:solidFill>
              <w14:schemeClr w14:val="tx1"/>
            </w14:solidFill>
          </w14:textFill>
        </w:rPr>
      </w:pPr>
      <w:r>
        <w:rPr>
          <w:rFonts w:hint="eastAsia" w:ascii="宋体" w:hAnsi="宋体" w:cs="宋体"/>
          <w:b/>
          <w:bCs/>
          <w:color w:val="000000" w:themeColor="text1"/>
          <w:kern w:val="0"/>
          <w:sz w:val="28"/>
          <w:szCs w:val="28"/>
          <w:highlight w:val="none"/>
          <w:lang w:eastAsia="zh-CN"/>
          <w14:textFill>
            <w14:solidFill>
              <w14:schemeClr w14:val="tx1"/>
            </w14:solidFill>
          </w14:textFill>
        </w:rPr>
        <w:t>注：</w:t>
      </w:r>
      <w:r>
        <w:rPr>
          <w:rFonts w:hint="eastAsia" w:ascii="宋体" w:hAnsi="宋体" w:cs="宋体"/>
          <w:b/>
          <w:bCs/>
          <w:color w:val="000000" w:themeColor="text1"/>
          <w:kern w:val="0"/>
          <w:sz w:val="28"/>
          <w:szCs w:val="28"/>
          <w:highlight w:val="none"/>
          <w:lang w:val="en-US" w:eastAsia="zh-CN"/>
          <w14:textFill>
            <w14:solidFill>
              <w14:schemeClr w14:val="tx1"/>
            </w14:solidFill>
          </w14:textFill>
        </w:rPr>
        <w:t>1</w:t>
      </w:r>
      <w:r>
        <w:rPr>
          <w:rFonts w:hint="eastAsia" w:ascii="宋体" w:hAnsi="宋体" w:eastAsia="宋体" w:cs="宋体"/>
          <w:b/>
          <w:bCs/>
          <w:color w:val="000000" w:themeColor="text1"/>
          <w:kern w:val="0"/>
          <w:sz w:val="28"/>
          <w:szCs w:val="28"/>
          <w:highlight w:val="none"/>
          <w14:textFill>
            <w14:solidFill>
              <w14:schemeClr w14:val="tx1"/>
            </w14:solidFill>
          </w14:textFill>
        </w:rPr>
        <w:t>.相关证明材料</w:t>
      </w:r>
      <w:r>
        <w:rPr>
          <w:rFonts w:hint="eastAsia" w:ascii="宋体" w:hAnsi="宋体" w:cs="宋体"/>
          <w:b/>
          <w:bCs/>
          <w:color w:val="000000" w:themeColor="text1"/>
          <w:kern w:val="0"/>
          <w:sz w:val="28"/>
          <w:szCs w:val="28"/>
          <w:highlight w:val="none"/>
          <w:lang w:eastAsia="zh-CN"/>
          <w14:textFill>
            <w14:solidFill>
              <w14:schemeClr w14:val="tx1"/>
            </w14:solidFill>
          </w14:textFill>
        </w:rPr>
        <w:t>如有</w:t>
      </w:r>
      <w:r>
        <w:rPr>
          <w:rFonts w:hint="eastAsia" w:ascii="宋体" w:hAnsi="宋体" w:eastAsia="宋体" w:cs="宋体"/>
          <w:b/>
          <w:bCs/>
          <w:color w:val="000000" w:themeColor="text1"/>
          <w:kern w:val="0"/>
          <w:sz w:val="28"/>
          <w:szCs w:val="28"/>
          <w:highlight w:val="none"/>
          <w14:textFill>
            <w14:solidFill>
              <w14:schemeClr w14:val="tx1"/>
            </w14:solidFill>
          </w14:textFill>
        </w:rPr>
        <w:t>（</w:t>
      </w:r>
      <w:r>
        <w:rPr>
          <w:rFonts w:hint="eastAsia" w:ascii="宋体" w:hAnsi="宋体" w:cs="宋体"/>
          <w:b/>
          <w:bCs/>
          <w:color w:val="000000" w:themeColor="text1"/>
          <w:kern w:val="0"/>
          <w:sz w:val="28"/>
          <w:szCs w:val="28"/>
          <w:highlight w:val="none"/>
          <w:lang w:eastAsia="zh-CN"/>
          <w14:textFill>
            <w14:solidFill>
              <w14:schemeClr w14:val="tx1"/>
            </w14:solidFill>
          </w14:textFill>
        </w:rPr>
        <w:t>如有设备的</w:t>
      </w:r>
      <w:r>
        <w:rPr>
          <w:rFonts w:hint="eastAsia" w:ascii="宋体" w:hAnsi="宋体" w:eastAsia="宋体" w:cs="宋体"/>
          <w:b/>
          <w:bCs/>
          <w:color w:val="000000" w:themeColor="text1"/>
          <w:kern w:val="0"/>
          <w:sz w:val="28"/>
          <w:szCs w:val="28"/>
          <w:highlight w:val="none"/>
          <w14:textFill>
            <w14:solidFill>
              <w14:schemeClr w14:val="tx1"/>
            </w14:solidFill>
          </w14:textFill>
        </w:rPr>
        <w:t>检测报告、</w:t>
      </w:r>
      <w:r>
        <w:rPr>
          <w:rFonts w:hint="eastAsia" w:ascii="宋体" w:hAnsi="宋体" w:cs="宋体"/>
          <w:b/>
          <w:bCs/>
          <w:color w:val="000000" w:themeColor="text1"/>
          <w:kern w:val="0"/>
          <w:sz w:val="28"/>
          <w:szCs w:val="28"/>
          <w:highlight w:val="none"/>
          <w:lang w:eastAsia="zh-CN"/>
          <w14:textFill>
            <w14:solidFill>
              <w14:schemeClr w14:val="tx1"/>
            </w14:solidFill>
          </w14:textFill>
        </w:rPr>
        <w:t>彩页、照片</w:t>
      </w:r>
      <w:r>
        <w:rPr>
          <w:rFonts w:hint="eastAsia" w:ascii="宋体" w:hAnsi="宋体" w:eastAsia="宋体" w:cs="宋体"/>
          <w:b/>
          <w:bCs/>
          <w:color w:val="000000" w:themeColor="text1"/>
          <w:kern w:val="0"/>
          <w:sz w:val="28"/>
          <w:szCs w:val="28"/>
          <w:highlight w:val="none"/>
          <w14:textFill>
            <w14:solidFill>
              <w14:schemeClr w14:val="tx1"/>
            </w14:solidFill>
          </w14:textFill>
        </w:rPr>
        <w:t>等）。</w:t>
      </w:r>
    </w:p>
    <w:p w14:paraId="42DAD650">
      <w:pPr>
        <w:keepNext w:val="0"/>
        <w:keepLines w:val="0"/>
        <w:pageBreakBefore w:val="0"/>
        <w:widowControl w:val="0"/>
        <w:kinsoku/>
        <w:wordWrap/>
        <w:overflowPunct/>
        <w:topLinePunct w:val="0"/>
        <w:autoSpaceDE w:val="0"/>
        <w:autoSpaceDN w:val="0"/>
        <w:bidi w:val="0"/>
        <w:adjustRightInd/>
        <w:snapToGrid/>
        <w:spacing w:line="560" w:lineRule="exact"/>
        <w:ind w:left="0" w:leftChars="0" w:firstLine="562" w:firstLineChars="200"/>
        <w:textAlignment w:val="auto"/>
        <w:rPr>
          <w:rFonts w:hint="eastAsia" w:ascii="宋体" w:hAnsi="宋体" w:eastAsia="宋体" w:cs="宋体"/>
          <w:b/>
          <w:bCs/>
          <w:color w:val="000000" w:themeColor="text1"/>
          <w:kern w:val="0"/>
          <w:sz w:val="28"/>
          <w:szCs w:val="28"/>
          <w:highlight w:val="none"/>
          <w:lang w:val="en-US" w:eastAsia="zh-CN"/>
          <w14:textFill>
            <w14:solidFill>
              <w14:schemeClr w14:val="tx1"/>
            </w14:solidFill>
          </w14:textFill>
        </w:rPr>
      </w:pPr>
      <w:r>
        <w:rPr>
          <w:rFonts w:hint="eastAsia" w:ascii="宋体" w:hAnsi="宋体" w:cs="宋体"/>
          <w:b/>
          <w:bCs/>
          <w:color w:val="000000" w:themeColor="text1"/>
          <w:kern w:val="0"/>
          <w:sz w:val="28"/>
          <w:szCs w:val="28"/>
          <w:highlight w:val="none"/>
          <w:lang w:val="en-US" w:eastAsia="zh-CN"/>
          <w14:textFill>
            <w14:solidFill>
              <w14:schemeClr w14:val="tx1"/>
            </w14:solidFill>
          </w14:textFill>
        </w:rPr>
        <w:t>2、供应商可根据自身需求自行加减行数。</w:t>
      </w:r>
    </w:p>
    <w:p w14:paraId="77F07DAE">
      <w:pPr>
        <w:pageBreakBefore w:val="0"/>
        <w:wordWrap/>
        <w:topLinePunct w:val="0"/>
        <w:bidi w:val="0"/>
        <w:snapToGrid w:val="0"/>
        <w:spacing w:line="560" w:lineRule="exact"/>
        <w:rPr>
          <w:rFonts w:cs="仿宋_GB2312" w:asciiTheme="minorEastAsia" w:hAnsiTheme="minorEastAsia" w:eastAsiaTheme="minorEastAsia"/>
          <w:color w:val="000000" w:themeColor="text1"/>
          <w:kern w:val="0"/>
          <w:sz w:val="24"/>
          <w:highlight w:val="none"/>
          <w:lang w:val="zh-CN"/>
          <w14:textFill>
            <w14:solidFill>
              <w14:schemeClr w14:val="tx1"/>
            </w14:solidFill>
          </w14:textFill>
        </w:rPr>
      </w:pPr>
    </w:p>
    <w:p w14:paraId="079A4337">
      <w:pPr>
        <w:pageBreakBefore w:val="0"/>
        <w:wordWrap/>
        <w:topLinePunct w:val="0"/>
        <w:bidi w:val="0"/>
        <w:snapToGrid w:val="0"/>
        <w:spacing w:line="560" w:lineRule="exact"/>
        <w:rPr>
          <w:rFonts w:cs="仿宋_GB2312" w:asciiTheme="minorEastAsia" w:hAnsiTheme="minorEastAsia" w:eastAsiaTheme="minorEastAsia"/>
          <w:color w:val="000000" w:themeColor="text1"/>
          <w:kern w:val="0"/>
          <w:sz w:val="24"/>
          <w:highlight w:val="none"/>
          <w:lang w:val="zh-CN"/>
          <w14:textFill>
            <w14:solidFill>
              <w14:schemeClr w14:val="tx1"/>
            </w14:solidFill>
          </w14:textFill>
        </w:rPr>
      </w:pPr>
    </w:p>
    <w:p w14:paraId="71FF7B31">
      <w:pPr>
        <w:pageBreakBefore w:val="0"/>
        <w:wordWrap/>
        <w:topLinePunct w:val="0"/>
        <w:bidi w:val="0"/>
        <w:snapToGrid w:val="0"/>
        <w:spacing w:line="560" w:lineRule="exact"/>
        <w:rPr>
          <w:rFonts w:cs="仿宋_GB2312" w:asciiTheme="minorEastAsia" w:hAnsiTheme="minorEastAsia" w:eastAsiaTheme="minorEastAsia"/>
          <w:color w:val="000000" w:themeColor="text1"/>
          <w:kern w:val="0"/>
          <w:sz w:val="24"/>
          <w:highlight w:val="none"/>
          <w:lang w:val="zh-CN"/>
          <w14:textFill>
            <w14:solidFill>
              <w14:schemeClr w14:val="tx1"/>
            </w14:solidFill>
          </w14:textFill>
        </w:rPr>
      </w:pPr>
    </w:p>
    <w:p w14:paraId="646DD159">
      <w:pPr>
        <w:pageBreakBefore w:val="0"/>
        <w:wordWrap/>
        <w:topLinePunct w:val="0"/>
        <w:bidi w:val="0"/>
        <w:snapToGrid w:val="0"/>
        <w:spacing w:line="560" w:lineRule="exact"/>
        <w:rPr>
          <w:rFonts w:cs="仿宋_GB2312" w:asciiTheme="minorEastAsia" w:hAnsiTheme="minorEastAsia" w:eastAsiaTheme="minorEastAsia"/>
          <w:color w:val="000000" w:themeColor="text1"/>
          <w:kern w:val="0"/>
          <w:sz w:val="24"/>
          <w:highlight w:val="none"/>
          <w:lang w:val="zh-CN"/>
          <w14:textFill>
            <w14:solidFill>
              <w14:schemeClr w14:val="tx1"/>
            </w14:solidFill>
          </w14:textFill>
        </w:rPr>
      </w:pPr>
    </w:p>
    <w:p w14:paraId="5C27FA2B">
      <w:pPr>
        <w:pageBreakBefore w:val="0"/>
        <w:wordWrap/>
        <w:topLinePunct w:val="0"/>
        <w:bidi w:val="0"/>
        <w:snapToGrid w:val="0"/>
        <w:spacing w:line="560" w:lineRule="exact"/>
        <w:rPr>
          <w:rFonts w:cs="仿宋_GB2312" w:asciiTheme="minorEastAsia" w:hAnsiTheme="minorEastAsia" w:eastAsiaTheme="minorEastAsia"/>
          <w:color w:val="000000" w:themeColor="text1"/>
          <w:kern w:val="0"/>
          <w:sz w:val="24"/>
          <w:highlight w:val="none"/>
          <w:lang w:val="zh-CN"/>
          <w14:textFill>
            <w14:solidFill>
              <w14:schemeClr w14:val="tx1"/>
            </w14:solidFill>
          </w14:textFill>
        </w:rPr>
      </w:pPr>
    </w:p>
    <w:p w14:paraId="6D425B3B">
      <w:pPr>
        <w:pStyle w:val="17"/>
        <w:pageBreakBefore w:val="0"/>
        <w:wordWrap/>
        <w:topLinePunct w:val="0"/>
        <w:bidi w:val="0"/>
        <w:spacing w:line="560" w:lineRule="exac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二、</w:t>
      </w:r>
      <w:r>
        <w:rPr>
          <w:rFonts w:hint="eastAsia"/>
          <w:color w:val="000000" w:themeColor="text1"/>
          <w:highlight w:val="none"/>
          <w14:textFill>
            <w14:solidFill>
              <w14:schemeClr w14:val="tx1"/>
            </w14:solidFill>
          </w14:textFill>
        </w:rPr>
        <w:t>采购清单</w:t>
      </w:r>
    </w:p>
    <w:p w14:paraId="39358EB8">
      <w:pPr>
        <w:pStyle w:val="17"/>
        <w:pageBreakBefore w:val="0"/>
        <w:wordWrap/>
        <w:topLinePunct w:val="0"/>
        <w:bidi w:val="0"/>
        <w:spacing w:line="560" w:lineRule="exact"/>
        <w:ind w:firstLine="281" w:firstLineChars="100"/>
        <w:jc w:val="both"/>
        <w:rPr>
          <w:rFonts w:hint="eastAsia" w:eastAsiaTheme="minor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标项名称：</w:t>
      </w:r>
    </w:p>
    <w:tbl>
      <w:tblPr>
        <w:tblStyle w:val="34"/>
        <w:tblW w:w="9060" w:type="dxa"/>
        <w:jc w:val="center"/>
        <w:tblLayout w:type="fixed"/>
        <w:tblCellMar>
          <w:top w:w="15" w:type="dxa"/>
          <w:left w:w="15" w:type="dxa"/>
          <w:bottom w:w="15" w:type="dxa"/>
          <w:right w:w="15" w:type="dxa"/>
        </w:tblCellMar>
      </w:tblPr>
      <w:tblGrid>
        <w:gridCol w:w="622"/>
        <w:gridCol w:w="1472"/>
        <w:gridCol w:w="4542"/>
        <w:gridCol w:w="606"/>
        <w:gridCol w:w="606"/>
        <w:gridCol w:w="606"/>
        <w:gridCol w:w="606"/>
      </w:tblGrid>
      <w:tr w14:paraId="4CB812A5">
        <w:tblPrEx>
          <w:tblCellMar>
            <w:top w:w="15" w:type="dxa"/>
            <w:left w:w="15" w:type="dxa"/>
            <w:bottom w:w="15" w:type="dxa"/>
            <w:right w:w="15" w:type="dxa"/>
          </w:tblCellMar>
        </w:tblPrEx>
        <w:trPr>
          <w:trHeight w:val="838" w:hRule="atLeast"/>
          <w:jc w:val="center"/>
        </w:trPr>
        <w:tc>
          <w:tcPr>
            <w:tcW w:w="622" w:type="dxa"/>
            <w:tcBorders>
              <w:top w:val="single" w:color="auto" w:sz="4" w:space="0"/>
              <w:left w:val="single" w:color="auto" w:sz="4" w:space="0"/>
              <w:bottom w:val="single" w:color="auto" w:sz="4" w:space="0"/>
              <w:right w:val="single" w:color="auto" w:sz="4" w:space="0"/>
            </w:tcBorders>
            <w:vAlign w:val="center"/>
          </w:tcPr>
          <w:p w14:paraId="642F5545">
            <w:pPr>
              <w:pageBreakBefore w:val="0"/>
              <w:wordWrap/>
              <w:topLinePunct w:val="0"/>
              <w:bidi w:val="0"/>
              <w:spacing w:line="560" w:lineRule="exact"/>
              <w:jc w:val="center"/>
              <w:textAlignment w:val="center"/>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kern w:val="0"/>
                <w:sz w:val="28"/>
                <w:szCs w:val="28"/>
                <w:highlight w:val="none"/>
                <w14:textFill>
                  <w14:solidFill>
                    <w14:schemeClr w14:val="tx1"/>
                  </w14:solidFill>
                </w14:textFill>
              </w:rPr>
              <w:t>序号</w:t>
            </w:r>
          </w:p>
        </w:tc>
        <w:tc>
          <w:tcPr>
            <w:tcW w:w="1472" w:type="dxa"/>
            <w:tcBorders>
              <w:top w:val="single" w:color="auto" w:sz="4" w:space="0"/>
              <w:left w:val="single" w:color="auto" w:sz="4" w:space="0"/>
              <w:bottom w:val="single" w:color="auto" w:sz="4" w:space="0"/>
              <w:right w:val="single" w:color="auto" w:sz="4" w:space="0"/>
            </w:tcBorders>
            <w:vAlign w:val="center"/>
          </w:tcPr>
          <w:p w14:paraId="2E95DEBA">
            <w:pPr>
              <w:pageBreakBefore w:val="0"/>
              <w:wordWrap/>
              <w:topLinePunct w:val="0"/>
              <w:bidi w:val="0"/>
              <w:spacing w:line="560" w:lineRule="exact"/>
              <w:jc w:val="center"/>
              <w:textAlignment w:val="center"/>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kern w:val="0"/>
                <w:sz w:val="28"/>
                <w:szCs w:val="28"/>
                <w:highlight w:val="none"/>
                <w14:textFill>
                  <w14:solidFill>
                    <w14:schemeClr w14:val="tx1"/>
                  </w14:solidFill>
                </w14:textFill>
              </w:rPr>
              <w:t>设备名称</w:t>
            </w:r>
          </w:p>
        </w:tc>
        <w:tc>
          <w:tcPr>
            <w:tcW w:w="4542" w:type="dxa"/>
            <w:tcBorders>
              <w:top w:val="single" w:color="auto" w:sz="4" w:space="0"/>
              <w:left w:val="single" w:color="auto" w:sz="4" w:space="0"/>
              <w:bottom w:val="single" w:color="auto" w:sz="4" w:space="0"/>
              <w:right w:val="single" w:color="auto" w:sz="4" w:space="0"/>
            </w:tcBorders>
            <w:vAlign w:val="center"/>
          </w:tcPr>
          <w:p w14:paraId="3C738AB0">
            <w:pPr>
              <w:pageBreakBefore w:val="0"/>
              <w:wordWrap/>
              <w:topLinePunct w:val="0"/>
              <w:bidi w:val="0"/>
              <w:spacing w:line="560" w:lineRule="exact"/>
              <w:jc w:val="center"/>
              <w:textAlignment w:val="center"/>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kern w:val="0"/>
                <w:sz w:val="28"/>
                <w:szCs w:val="28"/>
                <w:highlight w:val="none"/>
                <w14:textFill>
                  <w14:solidFill>
                    <w14:schemeClr w14:val="tx1"/>
                  </w14:solidFill>
                </w14:textFill>
              </w:rPr>
              <w:t>技术参数</w:t>
            </w:r>
          </w:p>
        </w:tc>
        <w:tc>
          <w:tcPr>
            <w:tcW w:w="606" w:type="dxa"/>
            <w:tcBorders>
              <w:top w:val="single" w:color="auto" w:sz="4" w:space="0"/>
              <w:left w:val="single" w:color="auto" w:sz="4" w:space="0"/>
              <w:bottom w:val="single" w:color="auto" w:sz="4" w:space="0"/>
              <w:right w:val="single" w:color="auto" w:sz="4" w:space="0"/>
            </w:tcBorders>
            <w:vAlign w:val="center"/>
          </w:tcPr>
          <w:p w14:paraId="752DBA4B">
            <w:pPr>
              <w:pageBreakBefore w:val="0"/>
              <w:wordWrap/>
              <w:topLinePunct w:val="0"/>
              <w:bidi w:val="0"/>
              <w:spacing w:line="560" w:lineRule="exact"/>
              <w:jc w:val="center"/>
              <w:textAlignment w:val="center"/>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kern w:val="0"/>
                <w:sz w:val="28"/>
                <w:szCs w:val="28"/>
                <w:highlight w:val="none"/>
                <w14:textFill>
                  <w14:solidFill>
                    <w14:schemeClr w14:val="tx1"/>
                  </w14:solidFill>
                </w14:textFill>
              </w:rPr>
              <w:t>数量</w:t>
            </w:r>
          </w:p>
        </w:tc>
        <w:tc>
          <w:tcPr>
            <w:tcW w:w="606" w:type="dxa"/>
            <w:tcBorders>
              <w:top w:val="single" w:color="auto" w:sz="4" w:space="0"/>
              <w:left w:val="single" w:color="auto" w:sz="4" w:space="0"/>
              <w:bottom w:val="single" w:color="auto" w:sz="4" w:space="0"/>
              <w:right w:val="single" w:color="auto" w:sz="4" w:space="0"/>
            </w:tcBorders>
            <w:vAlign w:val="center"/>
          </w:tcPr>
          <w:p w14:paraId="629E1B78">
            <w:pPr>
              <w:pageBreakBefore w:val="0"/>
              <w:wordWrap/>
              <w:topLinePunct w:val="0"/>
              <w:bidi w:val="0"/>
              <w:spacing w:line="560" w:lineRule="exact"/>
              <w:jc w:val="center"/>
              <w:textAlignment w:val="center"/>
              <w:rPr>
                <w:rFonts w:cs="宋体" w:asciiTheme="minorEastAsia" w:hAnsiTheme="minorEastAsia" w:eastAsiaTheme="minorEastAsia"/>
                <w:color w:val="000000" w:themeColor="text1"/>
                <w:kern w:val="0"/>
                <w:sz w:val="28"/>
                <w:szCs w:val="28"/>
                <w:highlight w:val="none"/>
                <w14:textFill>
                  <w14:solidFill>
                    <w14:schemeClr w14:val="tx1"/>
                  </w14:solidFill>
                </w14:textFill>
              </w:rPr>
            </w:pPr>
            <w:r>
              <w:rPr>
                <w:rFonts w:cs="宋体" w:asciiTheme="minorEastAsia" w:hAnsiTheme="minorEastAsia" w:eastAsiaTheme="minorEastAsia"/>
                <w:color w:val="000000" w:themeColor="text1"/>
                <w:kern w:val="0"/>
                <w:sz w:val="28"/>
                <w:szCs w:val="28"/>
                <w:highlight w:val="none"/>
                <w14:textFill>
                  <w14:solidFill>
                    <w14:schemeClr w14:val="tx1"/>
                  </w14:solidFill>
                </w14:textFill>
              </w:rPr>
              <w:t>品牌</w:t>
            </w:r>
          </w:p>
        </w:tc>
        <w:tc>
          <w:tcPr>
            <w:tcW w:w="606" w:type="dxa"/>
            <w:tcBorders>
              <w:top w:val="single" w:color="auto" w:sz="4" w:space="0"/>
              <w:left w:val="single" w:color="auto" w:sz="4" w:space="0"/>
              <w:bottom w:val="single" w:color="auto" w:sz="4" w:space="0"/>
              <w:right w:val="single" w:color="auto" w:sz="4" w:space="0"/>
            </w:tcBorders>
            <w:vAlign w:val="center"/>
          </w:tcPr>
          <w:p w14:paraId="7AE4855B">
            <w:pPr>
              <w:pageBreakBefore w:val="0"/>
              <w:wordWrap/>
              <w:topLinePunct w:val="0"/>
              <w:bidi w:val="0"/>
              <w:spacing w:line="560" w:lineRule="exact"/>
              <w:jc w:val="center"/>
              <w:textAlignment w:val="center"/>
              <w:rPr>
                <w:rFonts w:cs="宋体" w:asciiTheme="minorEastAsia" w:hAnsiTheme="minorEastAsia" w:eastAsiaTheme="minorEastAsia"/>
                <w:color w:val="000000" w:themeColor="text1"/>
                <w:kern w:val="0"/>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kern w:val="0"/>
                <w:sz w:val="28"/>
                <w:szCs w:val="28"/>
                <w:highlight w:val="none"/>
                <w14:textFill>
                  <w14:solidFill>
                    <w14:schemeClr w14:val="tx1"/>
                  </w14:solidFill>
                </w14:textFill>
              </w:rPr>
              <w:t>型号</w:t>
            </w:r>
          </w:p>
        </w:tc>
        <w:tc>
          <w:tcPr>
            <w:tcW w:w="606" w:type="dxa"/>
            <w:tcBorders>
              <w:top w:val="single" w:color="auto" w:sz="4" w:space="0"/>
              <w:left w:val="single" w:color="auto" w:sz="4" w:space="0"/>
              <w:bottom w:val="single" w:color="auto" w:sz="4" w:space="0"/>
              <w:right w:val="single" w:color="auto" w:sz="4" w:space="0"/>
            </w:tcBorders>
            <w:vAlign w:val="center"/>
          </w:tcPr>
          <w:p w14:paraId="07C9A0B0">
            <w:pPr>
              <w:pageBreakBefore w:val="0"/>
              <w:wordWrap/>
              <w:topLinePunct w:val="0"/>
              <w:bidi w:val="0"/>
              <w:spacing w:line="560" w:lineRule="exact"/>
              <w:jc w:val="center"/>
              <w:textAlignment w:val="center"/>
              <w:rPr>
                <w:rFonts w:cs="宋体" w:asciiTheme="minorEastAsia" w:hAnsiTheme="minorEastAsia" w:eastAsiaTheme="minorEastAsia"/>
                <w:color w:val="000000" w:themeColor="text1"/>
                <w:kern w:val="0"/>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kern w:val="0"/>
                <w:sz w:val="28"/>
                <w:szCs w:val="28"/>
                <w:highlight w:val="none"/>
                <w14:textFill>
                  <w14:solidFill>
                    <w14:schemeClr w14:val="tx1"/>
                  </w14:solidFill>
                </w14:textFill>
              </w:rPr>
              <w:t>备注</w:t>
            </w:r>
          </w:p>
        </w:tc>
      </w:tr>
      <w:tr w14:paraId="0908BAB6">
        <w:tblPrEx>
          <w:tblCellMar>
            <w:top w:w="15" w:type="dxa"/>
            <w:left w:w="15" w:type="dxa"/>
            <w:bottom w:w="15" w:type="dxa"/>
            <w:right w:w="15" w:type="dxa"/>
          </w:tblCellMar>
        </w:tblPrEx>
        <w:trPr>
          <w:trHeight w:val="690" w:hRule="atLeast"/>
          <w:jc w:val="center"/>
        </w:trPr>
        <w:tc>
          <w:tcPr>
            <w:tcW w:w="622" w:type="dxa"/>
            <w:tcBorders>
              <w:top w:val="single" w:color="auto" w:sz="4" w:space="0"/>
              <w:left w:val="single" w:color="auto" w:sz="4" w:space="0"/>
              <w:bottom w:val="single" w:color="auto" w:sz="4" w:space="0"/>
              <w:right w:val="single" w:color="auto" w:sz="4" w:space="0"/>
            </w:tcBorders>
            <w:vAlign w:val="center"/>
          </w:tcPr>
          <w:p w14:paraId="440CBC7B">
            <w:pPr>
              <w:pageBreakBefore w:val="0"/>
              <w:wordWrap/>
              <w:topLinePunct w:val="0"/>
              <w:bidi w:val="0"/>
              <w:spacing w:line="560" w:lineRule="exact"/>
              <w:jc w:val="center"/>
              <w:textAlignment w:val="center"/>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1</w:t>
            </w:r>
          </w:p>
        </w:tc>
        <w:tc>
          <w:tcPr>
            <w:tcW w:w="1472" w:type="dxa"/>
            <w:tcBorders>
              <w:top w:val="single" w:color="auto" w:sz="4" w:space="0"/>
              <w:left w:val="single" w:color="auto" w:sz="4" w:space="0"/>
              <w:bottom w:val="single" w:color="auto" w:sz="4" w:space="0"/>
              <w:right w:val="single" w:color="auto" w:sz="4" w:space="0"/>
            </w:tcBorders>
            <w:vAlign w:val="center"/>
          </w:tcPr>
          <w:p w14:paraId="0E7CE5D0">
            <w:pPr>
              <w:pageBreakBefore w:val="0"/>
              <w:wordWrap/>
              <w:topLinePunct w:val="0"/>
              <w:bidi w:val="0"/>
              <w:spacing w:line="560" w:lineRule="exact"/>
              <w:jc w:val="center"/>
              <w:textAlignment w:val="center"/>
              <w:rPr>
                <w:rFonts w:cs="宋体" w:asciiTheme="minorEastAsia" w:hAnsiTheme="minorEastAsia" w:eastAsiaTheme="minorEastAsia"/>
                <w:color w:val="000000" w:themeColor="text1"/>
                <w:sz w:val="28"/>
                <w:szCs w:val="28"/>
                <w:highlight w:val="none"/>
                <w14:textFill>
                  <w14:solidFill>
                    <w14:schemeClr w14:val="tx1"/>
                  </w14:solidFill>
                </w14:textFill>
              </w:rPr>
            </w:pPr>
          </w:p>
        </w:tc>
        <w:tc>
          <w:tcPr>
            <w:tcW w:w="4542" w:type="dxa"/>
            <w:tcBorders>
              <w:top w:val="single" w:color="auto" w:sz="4" w:space="0"/>
              <w:left w:val="single" w:color="auto" w:sz="4" w:space="0"/>
              <w:bottom w:val="single" w:color="auto" w:sz="4" w:space="0"/>
              <w:right w:val="single" w:color="auto" w:sz="4" w:space="0"/>
            </w:tcBorders>
            <w:vAlign w:val="center"/>
          </w:tcPr>
          <w:p w14:paraId="7765EC54">
            <w:pPr>
              <w:pageBreakBefore w:val="0"/>
              <w:wordWrap/>
              <w:topLinePunct w:val="0"/>
              <w:bidi w:val="0"/>
              <w:spacing w:line="560" w:lineRule="exact"/>
              <w:jc w:val="center"/>
              <w:textAlignment w:val="center"/>
              <w:rPr>
                <w:rFonts w:cs="宋体" w:asciiTheme="minorEastAsia" w:hAnsiTheme="minorEastAsia" w:eastAsiaTheme="minorEastAsia"/>
                <w:color w:val="000000" w:themeColor="text1"/>
                <w:sz w:val="28"/>
                <w:szCs w:val="28"/>
                <w:highlight w:val="none"/>
                <w14:textFill>
                  <w14:solidFill>
                    <w14:schemeClr w14:val="tx1"/>
                  </w14:solidFill>
                </w14:textFill>
              </w:rPr>
            </w:pPr>
          </w:p>
        </w:tc>
        <w:tc>
          <w:tcPr>
            <w:tcW w:w="606" w:type="dxa"/>
            <w:tcBorders>
              <w:top w:val="single" w:color="auto" w:sz="4" w:space="0"/>
              <w:left w:val="single" w:color="auto" w:sz="4" w:space="0"/>
              <w:bottom w:val="single" w:color="auto" w:sz="4" w:space="0"/>
              <w:right w:val="single" w:color="auto" w:sz="4" w:space="0"/>
            </w:tcBorders>
            <w:vAlign w:val="center"/>
          </w:tcPr>
          <w:p w14:paraId="1377FF21">
            <w:pPr>
              <w:pageBreakBefore w:val="0"/>
              <w:wordWrap/>
              <w:topLinePunct w:val="0"/>
              <w:bidi w:val="0"/>
              <w:spacing w:line="560" w:lineRule="exact"/>
              <w:jc w:val="center"/>
              <w:textAlignment w:val="center"/>
              <w:rPr>
                <w:rFonts w:cs="宋体" w:asciiTheme="minorEastAsia" w:hAnsiTheme="minorEastAsia" w:eastAsiaTheme="minorEastAsia"/>
                <w:color w:val="000000" w:themeColor="text1"/>
                <w:sz w:val="28"/>
                <w:szCs w:val="28"/>
                <w:highlight w:val="none"/>
                <w14:textFill>
                  <w14:solidFill>
                    <w14:schemeClr w14:val="tx1"/>
                  </w14:solidFill>
                </w14:textFill>
              </w:rPr>
            </w:pPr>
          </w:p>
        </w:tc>
        <w:tc>
          <w:tcPr>
            <w:tcW w:w="606" w:type="dxa"/>
            <w:tcBorders>
              <w:top w:val="single" w:color="auto" w:sz="4" w:space="0"/>
              <w:left w:val="single" w:color="auto" w:sz="4" w:space="0"/>
              <w:bottom w:val="single" w:color="auto" w:sz="4" w:space="0"/>
              <w:right w:val="single" w:color="auto" w:sz="4" w:space="0"/>
            </w:tcBorders>
            <w:vAlign w:val="center"/>
          </w:tcPr>
          <w:p w14:paraId="759B9C64">
            <w:pPr>
              <w:pageBreakBefore w:val="0"/>
              <w:wordWrap/>
              <w:topLinePunct w:val="0"/>
              <w:bidi w:val="0"/>
              <w:spacing w:line="560" w:lineRule="exact"/>
              <w:jc w:val="center"/>
              <w:rPr>
                <w:rFonts w:cs="宋体" w:asciiTheme="minorEastAsia" w:hAnsiTheme="minorEastAsia" w:eastAsiaTheme="minorEastAsia"/>
                <w:color w:val="000000" w:themeColor="text1"/>
                <w:sz w:val="28"/>
                <w:szCs w:val="28"/>
                <w:highlight w:val="none"/>
                <w14:textFill>
                  <w14:solidFill>
                    <w14:schemeClr w14:val="tx1"/>
                  </w14:solidFill>
                </w14:textFill>
              </w:rPr>
            </w:pPr>
          </w:p>
        </w:tc>
        <w:tc>
          <w:tcPr>
            <w:tcW w:w="606" w:type="dxa"/>
            <w:tcBorders>
              <w:top w:val="single" w:color="auto" w:sz="4" w:space="0"/>
              <w:left w:val="single" w:color="auto" w:sz="4" w:space="0"/>
              <w:bottom w:val="single" w:color="auto" w:sz="4" w:space="0"/>
              <w:right w:val="single" w:color="auto" w:sz="4" w:space="0"/>
            </w:tcBorders>
          </w:tcPr>
          <w:p w14:paraId="7BA2CFA8">
            <w:pPr>
              <w:pageBreakBefore w:val="0"/>
              <w:wordWrap/>
              <w:topLinePunct w:val="0"/>
              <w:bidi w:val="0"/>
              <w:spacing w:line="560" w:lineRule="exact"/>
              <w:jc w:val="center"/>
              <w:rPr>
                <w:rFonts w:cs="宋体" w:asciiTheme="minorEastAsia" w:hAnsiTheme="minorEastAsia" w:eastAsiaTheme="minorEastAsia"/>
                <w:color w:val="000000" w:themeColor="text1"/>
                <w:sz w:val="28"/>
                <w:szCs w:val="28"/>
                <w:highlight w:val="none"/>
                <w14:textFill>
                  <w14:solidFill>
                    <w14:schemeClr w14:val="tx1"/>
                  </w14:solidFill>
                </w14:textFill>
              </w:rPr>
            </w:pPr>
          </w:p>
        </w:tc>
        <w:tc>
          <w:tcPr>
            <w:tcW w:w="606" w:type="dxa"/>
            <w:tcBorders>
              <w:top w:val="single" w:color="auto" w:sz="4" w:space="0"/>
              <w:left w:val="single" w:color="auto" w:sz="4" w:space="0"/>
              <w:bottom w:val="single" w:color="auto" w:sz="4" w:space="0"/>
              <w:right w:val="single" w:color="auto" w:sz="4" w:space="0"/>
            </w:tcBorders>
          </w:tcPr>
          <w:p w14:paraId="3070400F">
            <w:pPr>
              <w:pageBreakBefore w:val="0"/>
              <w:wordWrap/>
              <w:topLinePunct w:val="0"/>
              <w:bidi w:val="0"/>
              <w:spacing w:line="560" w:lineRule="exact"/>
              <w:jc w:val="center"/>
              <w:rPr>
                <w:rFonts w:cs="宋体" w:asciiTheme="minorEastAsia" w:hAnsiTheme="minorEastAsia" w:eastAsiaTheme="minorEastAsia"/>
                <w:color w:val="000000" w:themeColor="text1"/>
                <w:sz w:val="28"/>
                <w:szCs w:val="28"/>
                <w:highlight w:val="none"/>
                <w14:textFill>
                  <w14:solidFill>
                    <w14:schemeClr w14:val="tx1"/>
                  </w14:solidFill>
                </w14:textFill>
              </w:rPr>
            </w:pPr>
          </w:p>
        </w:tc>
      </w:tr>
      <w:tr w14:paraId="23ACC64B">
        <w:tblPrEx>
          <w:tblCellMar>
            <w:top w:w="15" w:type="dxa"/>
            <w:left w:w="15" w:type="dxa"/>
            <w:bottom w:w="15" w:type="dxa"/>
            <w:right w:w="15" w:type="dxa"/>
          </w:tblCellMar>
        </w:tblPrEx>
        <w:trPr>
          <w:trHeight w:val="690" w:hRule="atLeast"/>
          <w:jc w:val="center"/>
        </w:trPr>
        <w:tc>
          <w:tcPr>
            <w:tcW w:w="622" w:type="dxa"/>
            <w:tcBorders>
              <w:top w:val="single" w:color="auto" w:sz="4" w:space="0"/>
              <w:left w:val="single" w:color="auto" w:sz="4" w:space="0"/>
              <w:bottom w:val="single" w:color="auto" w:sz="4" w:space="0"/>
              <w:right w:val="single" w:color="auto" w:sz="4" w:space="0"/>
            </w:tcBorders>
            <w:vAlign w:val="center"/>
          </w:tcPr>
          <w:p w14:paraId="26C21CD0">
            <w:pPr>
              <w:pageBreakBefore w:val="0"/>
              <w:wordWrap/>
              <w:topLinePunct w:val="0"/>
              <w:bidi w:val="0"/>
              <w:spacing w:line="560" w:lineRule="exact"/>
              <w:jc w:val="center"/>
              <w:textAlignment w:val="center"/>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2</w:t>
            </w:r>
          </w:p>
        </w:tc>
        <w:tc>
          <w:tcPr>
            <w:tcW w:w="1472" w:type="dxa"/>
            <w:tcBorders>
              <w:top w:val="single" w:color="auto" w:sz="4" w:space="0"/>
              <w:left w:val="single" w:color="auto" w:sz="4" w:space="0"/>
              <w:bottom w:val="single" w:color="auto" w:sz="4" w:space="0"/>
              <w:right w:val="single" w:color="auto" w:sz="4" w:space="0"/>
            </w:tcBorders>
            <w:vAlign w:val="center"/>
          </w:tcPr>
          <w:p w14:paraId="466FE3B9">
            <w:pPr>
              <w:pageBreakBefore w:val="0"/>
              <w:wordWrap/>
              <w:topLinePunct w:val="0"/>
              <w:bidi w:val="0"/>
              <w:spacing w:line="560" w:lineRule="exact"/>
              <w:jc w:val="center"/>
              <w:textAlignment w:val="center"/>
              <w:rPr>
                <w:rFonts w:cs="宋体" w:asciiTheme="minorEastAsia" w:hAnsiTheme="minorEastAsia" w:eastAsiaTheme="minorEastAsia"/>
                <w:color w:val="000000" w:themeColor="text1"/>
                <w:sz w:val="28"/>
                <w:szCs w:val="28"/>
                <w:highlight w:val="none"/>
                <w14:textFill>
                  <w14:solidFill>
                    <w14:schemeClr w14:val="tx1"/>
                  </w14:solidFill>
                </w14:textFill>
              </w:rPr>
            </w:pPr>
          </w:p>
        </w:tc>
        <w:tc>
          <w:tcPr>
            <w:tcW w:w="4542" w:type="dxa"/>
            <w:tcBorders>
              <w:top w:val="single" w:color="auto" w:sz="4" w:space="0"/>
              <w:left w:val="single" w:color="auto" w:sz="4" w:space="0"/>
              <w:bottom w:val="single" w:color="auto" w:sz="4" w:space="0"/>
              <w:right w:val="single" w:color="auto" w:sz="4" w:space="0"/>
            </w:tcBorders>
            <w:vAlign w:val="center"/>
          </w:tcPr>
          <w:p w14:paraId="681C7B07">
            <w:pPr>
              <w:pageBreakBefore w:val="0"/>
              <w:wordWrap/>
              <w:topLinePunct w:val="0"/>
              <w:bidi w:val="0"/>
              <w:spacing w:line="560" w:lineRule="exact"/>
              <w:jc w:val="center"/>
              <w:textAlignment w:val="center"/>
              <w:rPr>
                <w:rFonts w:cs="宋体" w:asciiTheme="minorEastAsia" w:hAnsiTheme="minorEastAsia" w:eastAsiaTheme="minorEastAsia"/>
                <w:color w:val="000000" w:themeColor="text1"/>
                <w:sz w:val="28"/>
                <w:szCs w:val="28"/>
                <w:highlight w:val="none"/>
                <w14:textFill>
                  <w14:solidFill>
                    <w14:schemeClr w14:val="tx1"/>
                  </w14:solidFill>
                </w14:textFill>
              </w:rPr>
            </w:pPr>
          </w:p>
        </w:tc>
        <w:tc>
          <w:tcPr>
            <w:tcW w:w="606" w:type="dxa"/>
            <w:tcBorders>
              <w:top w:val="single" w:color="auto" w:sz="4" w:space="0"/>
              <w:left w:val="single" w:color="auto" w:sz="4" w:space="0"/>
              <w:bottom w:val="single" w:color="auto" w:sz="4" w:space="0"/>
              <w:right w:val="single" w:color="auto" w:sz="4" w:space="0"/>
            </w:tcBorders>
            <w:vAlign w:val="center"/>
          </w:tcPr>
          <w:p w14:paraId="074124D2">
            <w:pPr>
              <w:pageBreakBefore w:val="0"/>
              <w:wordWrap/>
              <w:topLinePunct w:val="0"/>
              <w:bidi w:val="0"/>
              <w:spacing w:line="560" w:lineRule="exact"/>
              <w:jc w:val="center"/>
              <w:textAlignment w:val="center"/>
              <w:rPr>
                <w:rFonts w:cs="宋体" w:asciiTheme="minorEastAsia" w:hAnsiTheme="minorEastAsia" w:eastAsiaTheme="minorEastAsia"/>
                <w:color w:val="000000" w:themeColor="text1"/>
                <w:sz w:val="28"/>
                <w:szCs w:val="28"/>
                <w:highlight w:val="none"/>
                <w14:textFill>
                  <w14:solidFill>
                    <w14:schemeClr w14:val="tx1"/>
                  </w14:solidFill>
                </w14:textFill>
              </w:rPr>
            </w:pPr>
          </w:p>
        </w:tc>
        <w:tc>
          <w:tcPr>
            <w:tcW w:w="606" w:type="dxa"/>
            <w:tcBorders>
              <w:top w:val="single" w:color="auto" w:sz="4" w:space="0"/>
              <w:left w:val="single" w:color="auto" w:sz="4" w:space="0"/>
              <w:bottom w:val="single" w:color="auto" w:sz="4" w:space="0"/>
              <w:right w:val="single" w:color="auto" w:sz="4" w:space="0"/>
            </w:tcBorders>
            <w:vAlign w:val="center"/>
          </w:tcPr>
          <w:p w14:paraId="04119D22">
            <w:pPr>
              <w:pageBreakBefore w:val="0"/>
              <w:wordWrap/>
              <w:topLinePunct w:val="0"/>
              <w:bidi w:val="0"/>
              <w:spacing w:line="560" w:lineRule="exact"/>
              <w:jc w:val="center"/>
              <w:rPr>
                <w:rFonts w:cs="宋体" w:asciiTheme="minorEastAsia" w:hAnsiTheme="minorEastAsia" w:eastAsiaTheme="minorEastAsia"/>
                <w:color w:val="000000" w:themeColor="text1"/>
                <w:sz w:val="28"/>
                <w:szCs w:val="28"/>
                <w:highlight w:val="none"/>
                <w14:textFill>
                  <w14:solidFill>
                    <w14:schemeClr w14:val="tx1"/>
                  </w14:solidFill>
                </w14:textFill>
              </w:rPr>
            </w:pPr>
          </w:p>
        </w:tc>
        <w:tc>
          <w:tcPr>
            <w:tcW w:w="606" w:type="dxa"/>
            <w:tcBorders>
              <w:top w:val="single" w:color="auto" w:sz="4" w:space="0"/>
              <w:left w:val="single" w:color="auto" w:sz="4" w:space="0"/>
              <w:bottom w:val="single" w:color="auto" w:sz="4" w:space="0"/>
              <w:right w:val="single" w:color="auto" w:sz="4" w:space="0"/>
            </w:tcBorders>
          </w:tcPr>
          <w:p w14:paraId="58FF195B">
            <w:pPr>
              <w:pageBreakBefore w:val="0"/>
              <w:wordWrap/>
              <w:topLinePunct w:val="0"/>
              <w:bidi w:val="0"/>
              <w:spacing w:line="560" w:lineRule="exact"/>
              <w:jc w:val="center"/>
              <w:rPr>
                <w:rFonts w:cs="宋体" w:asciiTheme="minorEastAsia" w:hAnsiTheme="minorEastAsia" w:eastAsiaTheme="minorEastAsia"/>
                <w:color w:val="000000" w:themeColor="text1"/>
                <w:sz w:val="28"/>
                <w:szCs w:val="28"/>
                <w:highlight w:val="none"/>
                <w14:textFill>
                  <w14:solidFill>
                    <w14:schemeClr w14:val="tx1"/>
                  </w14:solidFill>
                </w14:textFill>
              </w:rPr>
            </w:pPr>
          </w:p>
        </w:tc>
        <w:tc>
          <w:tcPr>
            <w:tcW w:w="606" w:type="dxa"/>
            <w:tcBorders>
              <w:top w:val="single" w:color="auto" w:sz="4" w:space="0"/>
              <w:left w:val="single" w:color="auto" w:sz="4" w:space="0"/>
              <w:bottom w:val="single" w:color="auto" w:sz="4" w:space="0"/>
              <w:right w:val="single" w:color="auto" w:sz="4" w:space="0"/>
            </w:tcBorders>
          </w:tcPr>
          <w:p w14:paraId="16308568">
            <w:pPr>
              <w:pageBreakBefore w:val="0"/>
              <w:wordWrap/>
              <w:topLinePunct w:val="0"/>
              <w:bidi w:val="0"/>
              <w:spacing w:line="560" w:lineRule="exact"/>
              <w:jc w:val="center"/>
              <w:rPr>
                <w:rFonts w:cs="宋体" w:asciiTheme="minorEastAsia" w:hAnsiTheme="minorEastAsia" w:eastAsiaTheme="minorEastAsia"/>
                <w:color w:val="000000" w:themeColor="text1"/>
                <w:sz w:val="28"/>
                <w:szCs w:val="28"/>
                <w:highlight w:val="none"/>
                <w14:textFill>
                  <w14:solidFill>
                    <w14:schemeClr w14:val="tx1"/>
                  </w14:solidFill>
                </w14:textFill>
              </w:rPr>
            </w:pPr>
          </w:p>
        </w:tc>
      </w:tr>
      <w:tr w14:paraId="1847DD78">
        <w:tblPrEx>
          <w:tblCellMar>
            <w:top w:w="15" w:type="dxa"/>
            <w:left w:w="15" w:type="dxa"/>
            <w:bottom w:w="15" w:type="dxa"/>
            <w:right w:w="15" w:type="dxa"/>
          </w:tblCellMar>
        </w:tblPrEx>
        <w:trPr>
          <w:trHeight w:val="690" w:hRule="atLeast"/>
          <w:jc w:val="center"/>
        </w:trPr>
        <w:tc>
          <w:tcPr>
            <w:tcW w:w="622" w:type="dxa"/>
            <w:tcBorders>
              <w:top w:val="single" w:color="auto" w:sz="4" w:space="0"/>
              <w:left w:val="single" w:color="auto" w:sz="4" w:space="0"/>
              <w:bottom w:val="single" w:color="auto" w:sz="4" w:space="0"/>
              <w:right w:val="single" w:color="auto" w:sz="4" w:space="0"/>
            </w:tcBorders>
            <w:vAlign w:val="center"/>
          </w:tcPr>
          <w:p w14:paraId="57674AF6">
            <w:pPr>
              <w:pageBreakBefore w:val="0"/>
              <w:wordWrap/>
              <w:topLinePunct w:val="0"/>
              <w:bidi w:val="0"/>
              <w:spacing w:line="560" w:lineRule="exact"/>
              <w:jc w:val="center"/>
              <w:textAlignment w:val="center"/>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3</w:t>
            </w:r>
          </w:p>
        </w:tc>
        <w:tc>
          <w:tcPr>
            <w:tcW w:w="1472" w:type="dxa"/>
            <w:tcBorders>
              <w:top w:val="single" w:color="auto" w:sz="4" w:space="0"/>
              <w:left w:val="single" w:color="auto" w:sz="4" w:space="0"/>
              <w:bottom w:val="single" w:color="auto" w:sz="4" w:space="0"/>
              <w:right w:val="single" w:color="auto" w:sz="4" w:space="0"/>
            </w:tcBorders>
            <w:vAlign w:val="center"/>
          </w:tcPr>
          <w:p w14:paraId="2DDE6152">
            <w:pPr>
              <w:pageBreakBefore w:val="0"/>
              <w:wordWrap/>
              <w:topLinePunct w:val="0"/>
              <w:bidi w:val="0"/>
              <w:spacing w:line="560" w:lineRule="exact"/>
              <w:jc w:val="center"/>
              <w:textAlignment w:val="center"/>
              <w:rPr>
                <w:rFonts w:cs="宋体" w:asciiTheme="minorEastAsia" w:hAnsiTheme="minorEastAsia" w:eastAsiaTheme="minorEastAsia"/>
                <w:color w:val="000000" w:themeColor="text1"/>
                <w:sz w:val="28"/>
                <w:szCs w:val="28"/>
                <w:highlight w:val="none"/>
                <w14:textFill>
                  <w14:solidFill>
                    <w14:schemeClr w14:val="tx1"/>
                  </w14:solidFill>
                </w14:textFill>
              </w:rPr>
            </w:pPr>
          </w:p>
        </w:tc>
        <w:tc>
          <w:tcPr>
            <w:tcW w:w="4542" w:type="dxa"/>
            <w:tcBorders>
              <w:top w:val="single" w:color="auto" w:sz="4" w:space="0"/>
              <w:left w:val="single" w:color="auto" w:sz="4" w:space="0"/>
              <w:bottom w:val="single" w:color="auto" w:sz="4" w:space="0"/>
              <w:right w:val="single" w:color="auto" w:sz="4" w:space="0"/>
            </w:tcBorders>
            <w:vAlign w:val="center"/>
          </w:tcPr>
          <w:p w14:paraId="72BAAF5A">
            <w:pPr>
              <w:pageBreakBefore w:val="0"/>
              <w:wordWrap/>
              <w:topLinePunct w:val="0"/>
              <w:bidi w:val="0"/>
              <w:spacing w:line="560" w:lineRule="exact"/>
              <w:jc w:val="center"/>
              <w:textAlignment w:val="center"/>
              <w:rPr>
                <w:rFonts w:cs="宋体" w:asciiTheme="minorEastAsia" w:hAnsiTheme="minorEastAsia" w:eastAsiaTheme="minorEastAsia"/>
                <w:color w:val="000000" w:themeColor="text1"/>
                <w:sz w:val="28"/>
                <w:szCs w:val="28"/>
                <w:highlight w:val="none"/>
                <w14:textFill>
                  <w14:solidFill>
                    <w14:schemeClr w14:val="tx1"/>
                  </w14:solidFill>
                </w14:textFill>
              </w:rPr>
            </w:pPr>
          </w:p>
        </w:tc>
        <w:tc>
          <w:tcPr>
            <w:tcW w:w="606" w:type="dxa"/>
            <w:tcBorders>
              <w:top w:val="single" w:color="auto" w:sz="4" w:space="0"/>
              <w:left w:val="single" w:color="auto" w:sz="4" w:space="0"/>
              <w:bottom w:val="single" w:color="auto" w:sz="4" w:space="0"/>
              <w:right w:val="single" w:color="auto" w:sz="4" w:space="0"/>
            </w:tcBorders>
            <w:vAlign w:val="center"/>
          </w:tcPr>
          <w:p w14:paraId="6CC5A188">
            <w:pPr>
              <w:pageBreakBefore w:val="0"/>
              <w:wordWrap/>
              <w:topLinePunct w:val="0"/>
              <w:bidi w:val="0"/>
              <w:spacing w:line="560" w:lineRule="exact"/>
              <w:jc w:val="center"/>
              <w:textAlignment w:val="center"/>
              <w:rPr>
                <w:rFonts w:cs="宋体" w:asciiTheme="minorEastAsia" w:hAnsiTheme="minorEastAsia" w:eastAsiaTheme="minorEastAsia"/>
                <w:color w:val="000000" w:themeColor="text1"/>
                <w:sz w:val="28"/>
                <w:szCs w:val="28"/>
                <w:highlight w:val="none"/>
                <w14:textFill>
                  <w14:solidFill>
                    <w14:schemeClr w14:val="tx1"/>
                  </w14:solidFill>
                </w14:textFill>
              </w:rPr>
            </w:pPr>
          </w:p>
        </w:tc>
        <w:tc>
          <w:tcPr>
            <w:tcW w:w="606" w:type="dxa"/>
            <w:tcBorders>
              <w:top w:val="single" w:color="auto" w:sz="4" w:space="0"/>
              <w:left w:val="single" w:color="auto" w:sz="4" w:space="0"/>
              <w:bottom w:val="single" w:color="auto" w:sz="4" w:space="0"/>
              <w:right w:val="single" w:color="auto" w:sz="4" w:space="0"/>
            </w:tcBorders>
            <w:vAlign w:val="center"/>
          </w:tcPr>
          <w:p w14:paraId="3302C510">
            <w:pPr>
              <w:pageBreakBefore w:val="0"/>
              <w:wordWrap/>
              <w:topLinePunct w:val="0"/>
              <w:bidi w:val="0"/>
              <w:spacing w:line="560" w:lineRule="exact"/>
              <w:jc w:val="center"/>
              <w:rPr>
                <w:rFonts w:cs="宋体" w:asciiTheme="minorEastAsia" w:hAnsiTheme="minorEastAsia" w:eastAsiaTheme="minorEastAsia"/>
                <w:color w:val="000000" w:themeColor="text1"/>
                <w:sz w:val="28"/>
                <w:szCs w:val="28"/>
                <w:highlight w:val="none"/>
                <w14:textFill>
                  <w14:solidFill>
                    <w14:schemeClr w14:val="tx1"/>
                  </w14:solidFill>
                </w14:textFill>
              </w:rPr>
            </w:pPr>
          </w:p>
        </w:tc>
        <w:tc>
          <w:tcPr>
            <w:tcW w:w="606" w:type="dxa"/>
            <w:tcBorders>
              <w:top w:val="single" w:color="auto" w:sz="4" w:space="0"/>
              <w:left w:val="single" w:color="auto" w:sz="4" w:space="0"/>
              <w:bottom w:val="single" w:color="auto" w:sz="4" w:space="0"/>
              <w:right w:val="single" w:color="auto" w:sz="4" w:space="0"/>
            </w:tcBorders>
          </w:tcPr>
          <w:p w14:paraId="28C75D81">
            <w:pPr>
              <w:pageBreakBefore w:val="0"/>
              <w:wordWrap/>
              <w:topLinePunct w:val="0"/>
              <w:bidi w:val="0"/>
              <w:spacing w:line="560" w:lineRule="exact"/>
              <w:jc w:val="center"/>
              <w:rPr>
                <w:rFonts w:cs="宋体" w:asciiTheme="minorEastAsia" w:hAnsiTheme="minorEastAsia" w:eastAsiaTheme="minorEastAsia"/>
                <w:color w:val="000000" w:themeColor="text1"/>
                <w:sz w:val="28"/>
                <w:szCs w:val="28"/>
                <w:highlight w:val="none"/>
                <w14:textFill>
                  <w14:solidFill>
                    <w14:schemeClr w14:val="tx1"/>
                  </w14:solidFill>
                </w14:textFill>
              </w:rPr>
            </w:pPr>
          </w:p>
        </w:tc>
        <w:tc>
          <w:tcPr>
            <w:tcW w:w="606" w:type="dxa"/>
            <w:tcBorders>
              <w:top w:val="single" w:color="auto" w:sz="4" w:space="0"/>
              <w:left w:val="single" w:color="auto" w:sz="4" w:space="0"/>
              <w:bottom w:val="single" w:color="auto" w:sz="4" w:space="0"/>
              <w:right w:val="single" w:color="auto" w:sz="4" w:space="0"/>
            </w:tcBorders>
          </w:tcPr>
          <w:p w14:paraId="09F7B414">
            <w:pPr>
              <w:pageBreakBefore w:val="0"/>
              <w:wordWrap/>
              <w:topLinePunct w:val="0"/>
              <w:bidi w:val="0"/>
              <w:spacing w:line="560" w:lineRule="exact"/>
              <w:jc w:val="center"/>
              <w:rPr>
                <w:rFonts w:cs="宋体" w:asciiTheme="minorEastAsia" w:hAnsiTheme="minorEastAsia" w:eastAsiaTheme="minorEastAsia"/>
                <w:color w:val="000000" w:themeColor="text1"/>
                <w:sz w:val="28"/>
                <w:szCs w:val="28"/>
                <w:highlight w:val="none"/>
                <w14:textFill>
                  <w14:solidFill>
                    <w14:schemeClr w14:val="tx1"/>
                  </w14:solidFill>
                </w14:textFill>
              </w:rPr>
            </w:pPr>
          </w:p>
        </w:tc>
      </w:tr>
      <w:tr w14:paraId="6708D8D7">
        <w:tblPrEx>
          <w:tblCellMar>
            <w:top w:w="15" w:type="dxa"/>
            <w:left w:w="15" w:type="dxa"/>
            <w:bottom w:w="15" w:type="dxa"/>
            <w:right w:w="15" w:type="dxa"/>
          </w:tblCellMar>
        </w:tblPrEx>
        <w:trPr>
          <w:trHeight w:val="690" w:hRule="atLeast"/>
          <w:jc w:val="center"/>
        </w:trPr>
        <w:tc>
          <w:tcPr>
            <w:tcW w:w="622" w:type="dxa"/>
            <w:tcBorders>
              <w:top w:val="single" w:color="auto" w:sz="4" w:space="0"/>
              <w:left w:val="single" w:color="auto" w:sz="4" w:space="0"/>
              <w:bottom w:val="single" w:color="auto" w:sz="4" w:space="0"/>
              <w:right w:val="single" w:color="auto" w:sz="4" w:space="0"/>
            </w:tcBorders>
            <w:vAlign w:val="center"/>
          </w:tcPr>
          <w:p w14:paraId="1A902140">
            <w:pPr>
              <w:pageBreakBefore w:val="0"/>
              <w:wordWrap/>
              <w:topLinePunct w:val="0"/>
              <w:bidi w:val="0"/>
              <w:spacing w:line="560" w:lineRule="exact"/>
              <w:jc w:val="center"/>
              <w:textAlignment w:val="center"/>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4</w:t>
            </w:r>
          </w:p>
        </w:tc>
        <w:tc>
          <w:tcPr>
            <w:tcW w:w="1472" w:type="dxa"/>
            <w:tcBorders>
              <w:top w:val="single" w:color="auto" w:sz="4" w:space="0"/>
              <w:left w:val="single" w:color="auto" w:sz="4" w:space="0"/>
              <w:bottom w:val="single" w:color="auto" w:sz="4" w:space="0"/>
              <w:right w:val="single" w:color="auto" w:sz="4" w:space="0"/>
            </w:tcBorders>
            <w:vAlign w:val="center"/>
          </w:tcPr>
          <w:p w14:paraId="40282124">
            <w:pPr>
              <w:pageBreakBefore w:val="0"/>
              <w:wordWrap/>
              <w:topLinePunct w:val="0"/>
              <w:bidi w:val="0"/>
              <w:spacing w:line="560" w:lineRule="exact"/>
              <w:jc w:val="center"/>
              <w:textAlignment w:val="center"/>
              <w:rPr>
                <w:rFonts w:cs="宋体" w:asciiTheme="minorEastAsia" w:hAnsiTheme="minorEastAsia" w:eastAsiaTheme="minorEastAsia"/>
                <w:color w:val="000000" w:themeColor="text1"/>
                <w:sz w:val="28"/>
                <w:szCs w:val="28"/>
                <w:highlight w:val="none"/>
                <w14:textFill>
                  <w14:solidFill>
                    <w14:schemeClr w14:val="tx1"/>
                  </w14:solidFill>
                </w14:textFill>
              </w:rPr>
            </w:pPr>
          </w:p>
        </w:tc>
        <w:tc>
          <w:tcPr>
            <w:tcW w:w="4542" w:type="dxa"/>
            <w:tcBorders>
              <w:top w:val="single" w:color="auto" w:sz="4" w:space="0"/>
              <w:left w:val="single" w:color="auto" w:sz="4" w:space="0"/>
              <w:bottom w:val="single" w:color="auto" w:sz="4" w:space="0"/>
              <w:right w:val="single" w:color="auto" w:sz="4" w:space="0"/>
            </w:tcBorders>
            <w:vAlign w:val="center"/>
          </w:tcPr>
          <w:p w14:paraId="7F34877F">
            <w:pPr>
              <w:pageBreakBefore w:val="0"/>
              <w:wordWrap/>
              <w:topLinePunct w:val="0"/>
              <w:bidi w:val="0"/>
              <w:spacing w:line="560" w:lineRule="exact"/>
              <w:jc w:val="center"/>
              <w:textAlignment w:val="center"/>
              <w:rPr>
                <w:rFonts w:cs="宋体" w:asciiTheme="minorEastAsia" w:hAnsiTheme="minorEastAsia" w:eastAsiaTheme="minorEastAsia"/>
                <w:color w:val="000000" w:themeColor="text1"/>
                <w:sz w:val="28"/>
                <w:szCs w:val="28"/>
                <w:highlight w:val="none"/>
                <w14:textFill>
                  <w14:solidFill>
                    <w14:schemeClr w14:val="tx1"/>
                  </w14:solidFill>
                </w14:textFill>
              </w:rPr>
            </w:pPr>
          </w:p>
        </w:tc>
        <w:tc>
          <w:tcPr>
            <w:tcW w:w="606" w:type="dxa"/>
            <w:tcBorders>
              <w:top w:val="single" w:color="auto" w:sz="4" w:space="0"/>
              <w:left w:val="single" w:color="auto" w:sz="4" w:space="0"/>
              <w:bottom w:val="single" w:color="auto" w:sz="4" w:space="0"/>
              <w:right w:val="single" w:color="auto" w:sz="4" w:space="0"/>
            </w:tcBorders>
            <w:vAlign w:val="center"/>
          </w:tcPr>
          <w:p w14:paraId="21C8FFB5">
            <w:pPr>
              <w:pageBreakBefore w:val="0"/>
              <w:wordWrap/>
              <w:topLinePunct w:val="0"/>
              <w:bidi w:val="0"/>
              <w:spacing w:line="560" w:lineRule="exact"/>
              <w:jc w:val="center"/>
              <w:textAlignment w:val="center"/>
              <w:rPr>
                <w:rFonts w:cs="宋体" w:asciiTheme="minorEastAsia" w:hAnsiTheme="minorEastAsia" w:eastAsiaTheme="minorEastAsia"/>
                <w:color w:val="000000" w:themeColor="text1"/>
                <w:sz w:val="28"/>
                <w:szCs w:val="28"/>
                <w:highlight w:val="none"/>
                <w14:textFill>
                  <w14:solidFill>
                    <w14:schemeClr w14:val="tx1"/>
                  </w14:solidFill>
                </w14:textFill>
              </w:rPr>
            </w:pPr>
          </w:p>
        </w:tc>
        <w:tc>
          <w:tcPr>
            <w:tcW w:w="606" w:type="dxa"/>
            <w:tcBorders>
              <w:top w:val="single" w:color="auto" w:sz="4" w:space="0"/>
              <w:left w:val="single" w:color="auto" w:sz="4" w:space="0"/>
              <w:bottom w:val="single" w:color="auto" w:sz="4" w:space="0"/>
              <w:right w:val="single" w:color="auto" w:sz="4" w:space="0"/>
            </w:tcBorders>
            <w:vAlign w:val="center"/>
          </w:tcPr>
          <w:p w14:paraId="05008172">
            <w:pPr>
              <w:pageBreakBefore w:val="0"/>
              <w:wordWrap/>
              <w:topLinePunct w:val="0"/>
              <w:bidi w:val="0"/>
              <w:spacing w:line="560" w:lineRule="exact"/>
              <w:jc w:val="center"/>
              <w:rPr>
                <w:rFonts w:cs="宋体" w:asciiTheme="minorEastAsia" w:hAnsiTheme="minorEastAsia" w:eastAsiaTheme="minorEastAsia"/>
                <w:color w:val="000000" w:themeColor="text1"/>
                <w:sz w:val="28"/>
                <w:szCs w:val="28"/>
                <w:highlight w:val="none"/>
                <w14:textFill>
                  <w14:solidFill>
                    <w14:schemeClr w14:val="tx1"/>
                  </w14:solidFill>
                </w14:textFill>
              </w:rPr>
            </w:pPr>
          </w:p>
        </w:tc>
        <w:tc>
          <w:tcPr>
            <w:tcW w:w="606" w:type="dxa"/>
            <w:tcBorders>
              <w:top w:val="single" w:color="auto" w:sz="4" w:space="0"/>
              <w:left w:val="single" w:color="auto" w:sz="4" w:space="0"/>
              <w:bottom w:val="single" w:color="auto" w:sz="4" w:space="0"/>
              <w:right w:val="single" w:color="auto" w:sz="4" w:space="0"/>
            </w:tcBorders>
          </w:tcPr>
          <w:p w14:paraId="28398AB0">
            <w:pPr>
              <w:pageBreakBefore w:val="0"/>
              <w:wordWrap/>
              <w:topLinePunct w:val="0"/>
              <w:bidi w:val="0"/>
              <w:spacing w:line="560" w:lineRule="exact"/>
              <w:jc w:val="center"/>
              <w:rPr>
                <w:rFonts w:cs="宋体" w:asciiTheme="minorEastAsia" w:hAnsiTheme="minorEastAsia" w:eastAsiaTheme="minorEastAsia"/>
                <w:color w:val="000000" w:themeColor="text1"/>
                <w:sz w:val="28"/>
                <w:szCs w:val="28"/>
                <w:highlight w:val="none"/>
                <w14:textFill>
                  <w14:solidFill>
                    <w14:schemeClr w14:val="tx1"/>
                  </w14:solidFill>
                </w14:textFill>
              </w:rPr>
            </w:pPr>
          </w:p>
        </w:tc>
        <w:tc>
          <w:tcPr>
            <w:tcW w:w="606" w:type="dxa"/>
            <w:tcBorders>
              <w:top w:val="single" w:color="auto" w:sz="4" w:space="0"/>
              <w:left w:val="single" w:color="auto" w:sz="4" w:space="0"/>
              <w:bottom w:val="single" w:color="auto" w:sz="4" w:space="0"/>
              <w:right w:val="single" w:color="auto" w:sz="4" w:space="0"/>
            </w:tcBorders>
          </w:tcPr>
          <w:p w14:paraId="0D477A62">
            <w:pPr>
              <w:pageBreakBefore w:val="0"/>
              <w:wordWrap/>
              <w:topLinePunct w:val="0"/>
              <w:bidi w:val="0"/>
              <w:spacing w:line="560" w:lineRule="exact"/>
              <w:jc w:val="center"/>
              <w:rPr>
                <w:rFonts w:cs="宋体" w:asciiTheme="minorEastAsia" w:hAnsiTheme="minorEastAsia" w:eastAsiaTheme="minorEastAsia"/>
                <w:color w:val="000000" w:themeColor="text1"/>
                <w:sz w:val="28"/>
                <w:szCs w:val="28"/>
                <w:highlight w:val="none"/>
                <w14:textFill>
                  <w14:solidFill>
                    <w14:schemeClr w14:val="tx1"/>
                  </w14:solidFill>
                </w14:textFill>
              </w:rPr>
            </w:pPr>
          </w:p>
        </w:tc>
      </w:tr>
      <w:tr w14:paraId="2028B705">
        <w:tblPrEx>
          <w:tblCellMar>
            <w:top w:w="15" w:type="dxa"/>
            <w:left w:w="15" w:type="dxa"/>
            <w:bottom w:w="15" w:type="dxa"/>
            <w:right w:w="15" w:type="dxa"/>
          </w:tblCellMar>
        </w:tblPrEx>
        <w:trPr>
          <w:trHeight w:val="690" w:hRule="atLeast"/>
          <w:jc w:val="center"/>
        </w:trPr>
        <w:tc>
          <w:tcPr>
            <w:tcW w:w="622" w:type="dxa"/>
            <w:tcBorders>
              <w:top w:val="single" w:color="auto" w:sz="4" w:space="0"/>
              <w:left w:val="single" w:color="auto" w:sz="4" w:space="0"/>
              <w:bottom w:val="single" w:color="auto" w:sz="4" w:space="0"/>
              <w:right w:val="single" w:color="auto" w:sz="4" w:space="0"/>
            </w:tcBorders>
            <w:vAlign w:val="center"/>
          </w:tcPr>
          <w:p w14:paraId="2BD427CE">
            <w:pPr>
              <w:pageBreakBefore w:val="0"/>
              <w:wordWrap/>
              <w:topLinePunct w:val="0"/>
              <w:bidi w:val="0"/>
              <w:spacing w:line="560" w:lineRule="exact"/>
              <w:jc w:val="center"/>
              <w:textAlignment w:val="center"/>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5</w:t>
            </w:r>
          </w:p>
        </w:tc>
        <w:tc>
          <w:tcPr>
            <w:tcW w:w="1472" w:type="dxa"/>
            <w:tcBorders>
              <w:top w:val="single" w:color="auto" w:sz="4" w:space="0"/>
              <w:left w:val="single" w:color="auto" w:sz="4" w:space="0"/>
              <w:bottom w:val="single" w:color="auto" w:sz="4" w:space="0"/>
              <w:right w:val="single" w:color="auto" w:sz="4" w:space="0"/>
            </w:tcBorders>
            <w:vAlign w:val="center"/>
          </w:tcPr>
          <w:p w14:paraId="7580BD91">
            <w:pPr>
              <w:pageBreakBefore w:val="0"/>
              <w:wordWrap/>
              <w:topLinePunct w:val="0"/>
              <w:bidi w:val="0"/>
              <w:spacing w:line="560" w:lineRule="exact"/>
              <w:jc w:val="center"/>
              <w:textAlignment w:val="center"/>
              <w:rPr>
                <w:rFonts w:cs="宋体" w:asciiTheme="minorEastAsia" w:hAnsiTheme="minorEastAsia" w:eastAsiaTheme="minorEastAsia"/>
                <w:color w:val="000000" w:themeColor="text1"/>
                <w:sz w:val="28"/>
                <w:szCs w:val="28"/>
                <w:highlight w:val="none"/>
                <w14:textFill>
                  <w14:solidFill>
                    <w14:schemeClr w14:val="tx1"/>
                  </w14:solidFill>
                </w14:textFill>
              </w:rPr>
            </w:pPr>
          </w:p>
        </w:tc>
        <w:tc>
          <w:tcPr>
            <w:tcW w:w="4542" w:type="dxa"/>
            <w:tcBorders>
              <w:top w:val="single" w:color="auto" w:sz="4" w:space="0"/>
              <w:left w:val="single" w:color="auto" w:sz="4" w:space="0"/>
              <w:bottom w:val="single" w:color="auto" w:sz="4" w:space="0"/>
              <w:right w:val="single" w:color="auto" w:sz="4" w:space="0"/>
            </w:tcBorders>
            <w:vAlign w:val="center"/>
          </w:tcPr>
          <w:p w14:paraId="544D4556">
            <w:pPr>
              <w:pageBreakBefore w:val="0"/>
              <w:wordWrap/>
              <w:topLinePunct w:val="0"/>
              <w:bidi w:val="0"/>
              <w:spacing w:line="560" w:lineRule="exact"/>
              <w:jc w:val="center"/>
              <w:textAlignment w:val="center"/>
              <w:rPr>
                <w:rFonts w:cs="宋体" w:asciiTheme="minorEastAsia" w:hAnsiTheme="minorEastAsia" w:eastAsiaTheme="minorEastAsia"/>
                <w:color w:val="000000" w:themeColor="text1"/>
                <w:sz w:val="28"/>
                <w:szCs w:val="28"/>
                <w:highlight w:val="none"/>
                <w14:textFill>
                  <w14:solidFill>
                    <w14:schemeClr w14:val="tx1"/>
                  </w14:solidFill>
                </w14:textFill>
              </w:rPr>
            </w:pPr>
          </w:p>
        </w:tc>
        <w:tc>
          <w:tcPr>
            <w:tcW w:w="606" w:type="dxa"/>
            <w:tcBorders>
              <w:top w:val="single" w:color="auto" w:sz="4" w:space="0"/>
              <w:left w:val="single" w:color="auto" w:sz="4" w:space="0"/>
              <w:bottom w:val="single" w:color="auto" w:sz="4" w:space="0"/>
              <w:right w:val="single" w:color="auto" w:sz="4" w:space="0"/>
            </w:tcBorders>
            <w:vAlign w:val="center"/>
          </w:tcPr>
          <w:p w14:paraId="2F953DFA">
            <w:pPr>
              <w:pageBreakBefore w:val="0"/>
              <w:wordWrap/>
              <w:topLinePunct w:val="0"/>
              <w:bidi w:val="0"/>
              <w:spacing w:line="560" w:lineRule="exact"/>
              <w:jc w:val="center"/>
              <w:textAlignment w:val="center"/>
              <w:rPr>
                <w:rFonts w:cs="宋体" w:asciiTheme="minorEastAsia" w:hAnsiTheme="minorEastAsia" w:eastAsiaTheme="minorEastAsia"/>
                <w:color w:val="000000" w:themeColor="text1"/>
                <w:sz w:val="28"/>
                <w:szCs w:val="28"/>
                <w:highlight w:val="none"/>
                <w14:textFill>
                  <w14:solidFill>
                    <w14:schemeClr w14:val="tx1"/>
                  </w14:solidFill>
                </w14:textFill>
              </w:rPr>
            </w:pPr>
          </w:p>
        </w:tc>
        <w:tc>
          <w:tcPr>
            <w:tcW w:w="606" w:type="dxa"/>
            <w:tcBorders>
              <w:top w:val="single" w:color="auto" w:sz="4" w:space="0"/>
              <w:left w:val="single" w:color="auto" w:sz="4" w:space="0"/>
              <w:bottom w:val="single" w:color="auto" w:sz="4" w:space="0"/>
              <w:right w:val="single" w:color="auto" w:sz="4" w:space="0"/>
            </w:tcBorders>
            <w:vAlign w:val="center"/>
          </w:tcPr>
          <w:p w14:paraId="5635DA3E">
            <w:pPr>
              <w:pageBreakBefore w:val="0"/>
              <w:wordWrap/>
              <w:topLinePunct w:val="0"/>
              <w:bidi w:val="0"/>
              <w:spacing w:line="560" w:lineRule="exact"/>
              <w:jc w:val="center"/>
              <w:rPr>
                <w:rFonts w:cs="宋体" w:asciiTheme="minorEastAsia" w:hAnsiTheme="minorEastAsia" w:eastAsiaTheme="minorEastAsia"/>
                <w:color w:val="000000" w:themeColor="text1"/>
                <w:sz w:val="28"/>
                <w:szCs w:val="28"/>
                <w:highlight w:val="none"/>
                <w14:textFill>
                  <w14:solidFill>
                    <w14:schemeClr w14:val="tx1"/>
                  </w14:solidFill>
                </w14:textFill>
              </w:rPr>
            </w:pPr>
          </w:p>
        </w:tc>
        <w:tc>
          <w:tcPr>
            <w:tcW w:w="606" w:type="dxa"/>
            <w:tcBorders>
              <w:top w:val="single" w:color="auto" w:sz="4" w:space="0"/>
              <w:left w:val="single" w:color="auto" w:sz="4" w:space="0"/>
              <w:bottom w:val="single" w:color="auto" w:sz="4" w:space="0"/>
              <w:right w:val="single" w:color="auto" w:sz="4" w:space="0"/>
            </w:tcBorders>
          </w:tcPr>
          <w:p w14:paraId="4092A443">
            <w:pPr>
              <w:pageBreakBefore w:val="0"/>
              <w:wordWrap/>
              <w:topLinePunct w:val="0"/>
              <w:bidi w:val="0"/>
              <w:spacing w:line="560" w:lineRule="exact"/>
              <w:jc w:val="center"/>
              <w:rPr>
                <w:rFonts w:cs="宋体" w:asciiTheme="minorEastAsia" w:hAnsiTheme="minorEastAsia" w:eastAsiaTheme="minorEastAsia"/>
                <w:color w:val="000000" w:themeColor="text1"/>
                <w:sz w:val="28"/>
                <w:szCs w:val="28"/>
                <w:highlight w:val="none"/>
                <w14:textFill>
                  <w14:solidFill>
                    <w14:schemeClr w14:val="tx1"/>
                  </w14:solidFill>
                </w14:textFill>
              </w:rPr>
            </w:pPr>
          </w:p>
        </w:tc>
        <w:tc>
          <w:tcPr>
            <w:tcW w:w="606" w:type="dxa"/>
            <w:tcBorders>
              <w:top w:val="single" w:color="auto" w:sz="4" w:space="0"/>
              <w:left w:val="single" w:color="auto" w:sz="4" w:space="0"/>
              <w:bottom w:val="single" w:color="auto" w:sz="4" w:space="0"/>
              <w:right w:val="single" w:color="auto" w:sz="4" w:space="0"/>
            </w:tcBorders>
          </w:tcPr>
          <w:p w14:paraId="3AAA7C62">
            <w:pPr>
              <w:pageBreakBefore w:val="0"/>
              <w:wordWrap/>
              <w:topLinePunct w:val="0"/>
              <w:bidi w:val="0"/>
              <w:spacing w:line="560" w:lineRule="exact"/>
              <w:jc w:val="center"/>
              <w:rPr>
                <w:rFonts w:cs="宋体" w:asciiTheme="minorEastAsia" w:hAnsiTheme="minorEastAsia" w:eastAsiaTheme="minorEastAsia"/>
                <w:color w:val="000000" w:themeColor="text1"/>
                <w:sz w:val="28"/>
                <w:szCs w:val="28"/>
                <w:highlight w:val="none"/>
                <w14:textFill>
                  <w14:solidFill>
                    <w14:schemeClr w14:val="tx1"/>
                  </w14:solidFill>
                </w14:textFill>
              </w:rPr>
            </w:pPr>
          </w:p>
        </w:tc>
      </w:tr>
      <w:tr w14:paraId="5F499148">
        <w:tblPrEx>
          <w:tblCellMar>
            <w:top w:w="15" w:type="dxa"/>
            <w:left w:w="15" w:type="dxa"/>
            <w:bottom w:w="15" w:type="dxa"/>
            <w:right w:w="15" w:type="dxa"/>
          </w:tblCellMar>
        </w:tblPrEx>
        <w:trPr>
          <w:trHeight w:val="690" w:hRule="atLeast"/>
          <w:jc w:val="center"/>
        </w:trPr>
        <w:tc>
          <w:tcPr>
            <w:tcW w:w="622" w:type="dxa"/>
            <w:tcBorders>
              <w:top w:val="single" w:color="auto" w:sz="4" w:space="0"/>
              <w:left w:val="single" w:color="auto" w:sz="4" w:space="0"/>
              <w:bottom w:val="single" w:color="auto" w:sz="4" w:space="0"/>
              <w:right w:val="single" w:color="auto" w:sz="4" w:space="0"/>
            </w:tcBorders>
            <w:vAlign w:val="center"/>
          </w:tcPr>
          <w:p w14:paraId="218F9341">
            <w:pPr>
              <w:pageBreakBefore w:val="0"/>
              <w:wordWrap/>
              <w:topLinePunct w:val="0"/>
              <w:bidi w:val="0"/>
              <w:spacing w:line="560" w:lineRule="exact"/>
              <w:jc w:val="center"/>
              <w:textAlignment w:val="center"/>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cs="宋体" w:asciiTheme="minorEastAsia" w:hAnsiTheme="minorEastAsia" w:eastAsiaTheme="minorEastAsia"/>
                <w:color w:val="000000" w:themeColor="text1"/>
                <w:sz w:val="28"/>
                <w:szCs w:val="28"/>
                <w:highlight w:val="none"/>
                <w14:textFill>
                  <w14:solidFill>
                    <w14:schemeClr w14:val="tx1"/>
                  </w14:solidFill>
                </w14:textFill>
              </w:rPr>
              <w:t>…</w:t>
            </w:r>
          </w:p>
        </w:tc>
        <w:tc>
          <w:tcPr>
            <w:tcW w:w="1472" w:type="dxa"/>
            <w:tcBorders>
              <w:top w:val="single" w:color="auto" w:sz="4" w:space="0"/>
              <w:left w:val="single" w:color="auto" w:sz="4" w:space="0"/>
              <w:bottom w:val="single" w:color="auto" w:sz="4" w:space="0"/>
              <w:right w:val="single" w:color="auto" w:sz="4" w:space="0"/>
            </w:tcBorders>
            <w:vAlign w:val="center"/>
          </w:tcPr>
          <w:p w14:paraId="2F873A98">
            <w:pPr>
              <w:pageBreakBefore w:val="0"/>
              <w:wordWrap/>
              <w:topLinePunct w:val="0"/>
              <w:bidi w:val="0"/>
              <w:spacing w:line="560" w:lineRule="exact"/>
              <w:jc w:val="center"/>
              <w:textAlignment w:val="center"/>
              <w:rPr>
                <w:rFonts w:cs="宋体" w:asciiTheme="minorEastAsia" w:hAnsiTheme="minorEastAsia" w:eastAsiaTheme="minorEastAsia"/>
                <w:color w:val="000000" w:themeColor="text1"/>
                <w:sz w:val="28"/>
                <w:szCs w:val="28"/>
                <w:highlight w:val="none"/>
                <w14:textFill>
                  <w14:solidFill>
                    <w14:schemeClr w14:val="tx1"/>
                  </w14:solidFill>
                </w14:textFill>
              </w:rPr>
            </w:pPr>
          </w:p>
        </w:tc>
        <w:tc>
          <w:tcPr>
            <w:tcW w:w="4542" w:type="dxa"/>
            <w:tcBorders>
              <w:top w:val="single" w:color="auto" w:sz="4" w:space="0"/>
              <w:left w:val="single" w:color="auto" w:sz="4" w:space="0"/>
              <w:bottom w:val="single" w:color="auto" w:sz="4" w:space="0"/>
              <w:right w:val="single" w:color="auto" w:sz="4" w:space="0"/>
            </w:tcBorders>
            <w:vAlign w:val="center"/>
          </w:tcPr>
          <w:p w14:paraId="49C5CE40">
            <w:pPr>
              <w:pageBreakBefore w:val="0"/>
              <w:wordWrap/>
              <w:topLinePunct w:val="0"/>
              <w:bidi w:val="0"/>
              <w:spacing w:line="560" w:lineRule="exact"/>
              <w:jc w:val="center"/>
              <w:textAlignment w:val="center"/>
              <w:rPr>
                <w:rFonts w:cs="宋体" w:asciiTheme="minorEastAsia" w:hAnsiTheme="minorEastAsia" w:eastAsiaTheme="minorEastAsia"/>
                <w:color w:val="000000" w:themeColor="text1"/>
                <w:sz w:val="28"/>
                <w:szCs w:val="28"/>
                <w:highlight w:val="none"/>
                <w14:textFill>
                  <w14:solidFill>
                    <w14:schemeClr w14:val="tx1"/>
                  </w14:solidFill>
                </w14:textFill>
              </w:rPr>
            </w:pPr>
          </w:p>
        </w:tc>
        <w:tc>
          <w:tcPr>
            <w:tcW w:w="606" w:type="dxa"/>
            <w:tcBorders>
              <w:top w:val="single" w:color="auto" w:sz="4" w:space="0"/>
              <w:left w:val="single" w:color="auto" w:sz="4" w:space="0"/>
              <w:bottom w:val="single" w:color="auto" w:sz="4" w:space="0"/>
              <w:right w:val="single" w:color="auto" w:sz="4" w:space="0"/>
            </w:tcBorders>
            <w:vAlign w:val="center"/>
          </w:tcPr>
          <w:p w14:paraId="53DC42C1">
            <w:pPr>
              <w:pageBreakBefore w:val="0"/>
              <w:wordWrap/>
              <w:topLinePunct w:val="0"/>
              <w:bidi w:val="0"/>
              <w:spacing w:line="560" w:lineRule="exact"/>
              <w:jc w:val="center"/>
              <w:textAlignment w:val="center"/>
              <w:rPr>
                <w:rFonts w:cs="宋体" w:asciiTheme="minorEastAsia" w:hAnsiTheme="minorEastAsia" w:eastAsiaTheme="minorEastAsia"/>
                <w:color w:val="000000" w:themeColor="text1"/>
                <w:sz w:val="28"/>
                <w:szCs w:val="28"/>
                <w:highlight w:val="none"/>
                <w14:textFill>
                  <w14:solidFill>
                    <w14:schemeClr w14:val="tx1"/>
                  </w14:solidFill>
                </w14:textFill>
              </w:rPr>
            </w:pPr>
          </w:p>
        </w:tc>
        <w:tc>
          <w:tcPr>
            <w:tcW w:w="606" w:type="dxa"/>
            <w:tcBorders>
              <w:top w:val="single" w:color="auto" w:sz="4" w:space="0"/>
              <w:left w:val="single" w:color="auto" w:sz="4" w:space="0"/>
              <w:bottom w:val="single" w:color="auto" w:sz="4" w:space="0"/>
              <w:right w:val="single" w:color="auto" w:sz="4" w:space="0"/>
            </w:tcBorders>
            <w:vAlign w:val="center"/>
          </w:tcPr>
          <w:p w14:paraId="52ECD350">
            <w:pPr>
              <w:pageBreakBefore w:val="0"/>
              <w:wordWrap/>
              <w:topLinePunct w:val="0"/>
              <w:bidi w:val="0"/>
              <w:spacing w:line="560" w:lineRule="exact"/>
              <w:jc w:val="center"/>
              <w:rPr>
                <w:rFonts w:cs="宋体" w:asciiTheme="minorEastAsia" w:hAnsiTheme="minorEastAsia" w:eastAsiaTheme="minorEastAsia"/>
                <w:color w:val="000000" w:themeColor="text1"/>
                <w:sz w:val="28"/>
                <w:szCs w:val="28"/>
                <w:highlight w:val="none"/>
                <w14:textFill>
                  <w14:solidFill>
                    <w14:schemeClr w14:val="tx1"/>
                  </w14:solidFill>
                </w14:textFill>
              </w:rPr>
            </w:pPr>
          </w:p>
        </w:tc>
        <w:tc>
          <w:tcPr>
            <w:tcW w:w="606" w:type="dxa"/>
            <w:tcBorders>
              <w:top w:val="single" w:color="auto" w:sz="4" w:space="0"/>
              <w:left w:val="single" w:color="auto" w:sz="4" w:space="0"/>
              <w:bottom w:val="single" w:color="auto" w:sz="4" w:space="0"/>
              <w:right w:val="single" w:color="auto" w:sz="4" w:space="0"/>
            </w:tcBorders>
          </w:tcPr>
          <w:p w14:paraId="5D609F68">
            <w:pPr>
              <w:pageBreakBefore w:val="0"/>
              <w:wordWrap/>
              <w:topLinePunct w:val="0"/>
              <w:bidi w:val="0"/>
              <w:spacing w:line="560" w:lineRule="exact"/>
              <w:jc w:val="center"/>
              <w:rPr>
                <w:rFonts w:cs="宋体" w:asciiTheme="minorEastAsia" w:hAnsiTheme="minorEastAsia" w:eastAsiaTheme="minorEastAsia"/>
                <w:color w:val="000000" w:themeColor="text1"/>
                <w:sz w:val="28"/>
                <w:szCs w:val="28"/>
                <w:highlight w:val="none"/>
                <w14:textFill>
                  <w14:solidFill>
                    <w14:schemeClr w14:val="tx1"/>
                  </w14:solidFill>
                </w14:textFill>
              </w:rPr>
            </w:pPr>
          </w:p>
        </w:tc>
        <w:tc>
          <w:tcPr>
            <w:tcW w:w="606" w:type="dxa"/>
            <w:tcBorders>
              <w:top w:val="single" w:color="auto" w:sz="4" w:space="0"/>
              <w:left w:val="single" w:color="auto" w:sz="4" w:space="0"/>
              <w:bottom w:val="single" w:color="auto" w:sz="4" w:space="0"/>
              <w:right w:val="single" w:color="auto" w:sz="4" w:space="0"/>
            </w:tcBorders>
          </w:tcPr>
          <w:p w14:paraId="38A23082">
            <w:pPr>
              <w:pageBreakBefore w:val="0"/>
              <w:wordWrap/>
              <w:topLinePunct w:val="0"/>
              <w:bidi w:val="0"/>
              <w:spacing w:line="560" w:lineRule="exact"/>
              <w:jc w:val="center"/>
              <w:rPr>
                <w:rFonts w:cs="宋体" w:asciiTheme="minorEastAsia" w:hAnsiTheme="minorEastAsia" w:eastAsiaTheme="minorEastAsia"/>
                <w:color w:val="000000" w:themeColor="text1"/>
                <w:sz w:val="28"/>
                <w:szCs w:val="28"/>
                <w:highlight w:val="none"/>
                <w14:textFill>
                  <w14:solidFill>
                    <w14:schemeClr w14:val="tx1"/>
                  </w14:solidFill>
                </w14:textFill>
              </w:rPr>
            </w:pPr>
          </w:p>
        </w:tc>
      </w:tr>
      <w:tr w14:paraId="46215FB5">
        <w:tblPrEx>
          <w:tblCellMar>
            <w:top w:w="15" w:type="dxa"/>
            <w:left w:w="15" w:type="dxa"/>
            <w:bottom w:w="15" w:type="dxa"/>
            <w:right w:w="15" w:type="dxa"/>
          </w:tblCellMar>
        </w:tblPrEx>
        <w:trPr>
          <w:trHeight w:val="690" w:hRule="atLeast"/>
          <w:jc w:val="center"/>
        </w:trPr>
        <w:tc>
          <w:tcPr>
            <w:tcW w:w="622" w:type="dxa"/>
            <w:tcBorders>
              <w:top w:val="single" w:color="auto" w:sz="4" w:space="0"/>
              <w:left w:val="single" w:color="auto" w:sz="4" w:space="0"/>
              <w:bottom w:val="single" w:color="auto" w:sz="4" w:space="0"/>
              <w:right w:val="single" w:color="auto" w:sz="4" w:space="0"/>
            </w:tcBorders>
            <w:vAlign w:val="center"/>
          </w:tcPr>
          <w:p w14:paraId="7A02E20C">
            <w:pPr>
              <w:pageBreakBefore w:val="0"/>
              <w:wordWrap/>
              <w:topLinePunct w:val="0"/>
              <w:bidi w:val="0"/>
              <w:spacing w:line="560" w:lineRule="exact"/>
              <w:jc w:val="center"/>
              <w:textAlignment w:val="center"/>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cs="宋体" w:asciiTheme="minorEastAsia" w:hAnsiTheme="minorEastAsia" w:eastAsiaTheme="minorEastAsia"/>
                <w:color w:val="000000" w:themeColor="text1"/>
                <w:sz w:val="28"/>
                <w:szCs w:val="28"/>
                <w:highlight w:val="none"/>
                <w14:textFill>
                  <w14:solidFill>
                    <w14:schemeClr w14:val="tx1"/>
                  </w14:solidFill>
                </w14:textFill>
              </w:rPr>
              <w:t>…</w:t>
            </w:r>
          </w:p>
        </w:tc>
        <w:tc>
          <w:tcPr>
            <w:tcW w:w="1472" w:type="dxa"/>
            <w:tcBorders>
              <w:top w:val="single" w:color="auto" w:sz="4" w:space="0"/>
              <w:left w:val="single" w:color="auto" w:sz="4" w:space="0"/>
              <w:bottom w:val="single" w:color="auto" w:sz="4" w:space="0"/>
              <w:right w:val="single" w:color="auto" w:sz="4" w:space="0"/>
            </w:tcBorders>
            <w:vAlign w:val="center"/>
          </w:tcPr>
          <w:p w14:paraId="5CAF738E">
            <w:pPr>
              <w:pageBreakBefore w:val="0"/>
              <w:wordWrap/>
              <w:topLinePunct w:val="0"/>
              <w:bidi w:val="0"/>
              <w:spacing w:line="560" w:lineRule="exact"/>
              <w:jc w:val="center"/>
              <w:textAlignment w:val="center"/>
              <w:rPr>
                <w:rFonts w:cs="宋体" w:asciiTheme="minorEastAsia" w:hAnsiTheme="minorEastAsia" w:eastAsiaTheme="minorEastAsia"/>
                <w:color w:val="000000" w:themeColor="text1"/>
                <w:sz w:val="28"/>
                <w:szCs w:val="28"/>
                <w:highlight w:val="none"/>
                <w14:textFill>
                  <w14:solidFill>
                    <w14:schemeClr w14:val="tx1"/>
                  </w14:solidFill>
                </w14:textFill>
              </w:rPr>
            </w:pPr>
          </w:p>
        </w:tc>
        <w:tc>
          <w:tcPr>
            <w:tcW w:w="4542" w:type="dxa"/>
            <w:tcBorders>
              <w:top w:val="single" w:color="auto" w:sz="4" w:space="0"/>
              <w:left w:val="single" w:color="auto" w:sz="4" w:space="0"/>
              <w:bottom w:val="single" w:color="auto" w:sz="4" w:space="0"/>
              <w:right w:val="single" w:color="auto" w:sz="4" w:space="0"/>
            </w:tcBorders>
            <w:vAlign w:val="center"/>
          </w:tcPr>
          <w:p w14:paraId="464DCC3E">
            <w:pPr>
              <w:pageBreakBefore w:val="0"/>
              <w:wordWrap/>
              <w:topLinePunct w:val="0"/>
              <w:bidi w:val="0"/>
              <w:spacing w:line="560" w:lineRule="exact"/>
              <w:jc w:val="center"/>
              <w:textAlignment w:val="center"/>
              <w:rPr>
                <w:rFonts w:cs="宋体" w:asciiTheme="minorEastAsia" w:hAnsiTheme="minorEastAsia" w:eastAsiaTheme="minorEastAsia"/>
                <w:color w:val="000000" w:themeColor="text1"/>
                <w:sz w:val="28"/>
                <w:szCs w:val="28"/>
                <w:highlight w:val="none"/>
                <w14:textFill>
                  <w14:solidFill>
                    <w14:schemeClr w14:val="tx1"/>
                  </w14:solidFill>
                </w14:textFill>
              </w:rPr>
            </w:pPr>
          </w:p>
        </w:tc>
        <w:tc>
          <w:tcPr>
            <w:tcW w:w="606" w:type="dxa"/>
            <w:tcBorders>
              <w:top w:val="single" w:color="auto" w:sz="4" w:space="0"/>
              <w:left w:val="single" w:color="auto" w:sz="4" w:space="0"/>
              <w:bottom w:val="single" w:color="auto" w:sz="4" w:space="0"/>
              <w:right w:val="single" w:color="auto" w:sz="4" w:space="0"/>
            </w:tcBorders>
            <w:vAlign w:val="center"/>
          </w:tcPr>
          <w:p w14:paraId="5C90217A">
            <w:pPr>
              <w:pageBreakBefore w:val="0"/>
              <w:wordWrap/>
              <w:topLinePunct w:val="0"/>
              <w:bidi w:val="0"/>
              <w:spacing w:line="560" w:lineRule="exact"/>
              <w:jc w:val="center"/>
              <w:textAlignment w:val="center"/>
              <w:rPr>
                <w:rFonts w:cs="宋体" w:asciiTheme="minorEastAsia" w:hAnsiTheme="minorEastAsia" w:eastAsiaTheme="minorEastAsia"/>
                <w:color w:val="000000" w:themeColor="text1"/>
                <w:sz w:val="28"/>
                <w:szCs w:val="28"/>
                <w:highlight w:val="none"/>
                <w14:textFill>
                  <w14:solidFill>
                    <w14:schemeClr w14:val="tx1"/>
                  </w14:solidFill>
                </w14:textFill>
              </w:rPr>
            </w:pPr>
          </w:p>
        </w:tc>
        <w:tc>
          <w:tcPr>
            <w:tcW w:w="606" w:type="dxa"/>
            <w:tcBorders>
              <w:top w:val="single" w:color="auto" w:sz="4" w:space="0"/>
              <w:left w:val="single" w:color="auto" w:sz="4" w:space="0"/>
              <w:bottom w:val="single" w:color="auto" w:sz="4" w:space="0"/>
              <w:right w:val="single" w:color="auto" w:sz="4" w:space="0"/>
            </w:tcBorders>
            <w:vAlign w:val="center"/>
          </w:tcPr>
          <w:p w14:paraId="6FE5856E">
            <w:pPr>
              <w:pageBreakBefore w:val="0"/>
              <w:wordWrap/>
              <w:topLinePunct w:val="0"/>
              <w:bidi w:val="0"/>
              <w:spacing w:line="560" w:lineRule="exact"/>
              <w:jc w:val="center"/>
              <w:rPr>
                <w:rFonts w:cs="宋体" w:asciiTheme="minorEastAsia" w:hAnsiTheme="minorEastAsia" w:eastAsiaTheme="minorEastAsia"/>
                <w:color w:val="000000" w:themeColor="text1"/>
                <w:sz w:val="28"/>
                <w:szCs w:val="28"/>
                <w:highlight w:val="none"/>
                <w14:textFill>
                  <w14:solidFill>
                    <w14:schemeClr w14:val="tx1"/>
                  </w14:solidFill>
                </w14:textFill>
              </w:rPr>
            </w:pPr>
          </w:p>
        </w:tc>
        <w:tc>
          <w:tcPr>
            <w:tcW w:w="606" w:type="dxa"/>
            <w:tcBorders>
              <w:top w:val="single" w:color="auto" w:sz="4" w:space="0"/>
              <w:left w:val="single" w:color="auto" w:sz="4" w:space="0"/>
              <w:bottom w:val="single" w:color="auto" w:sz="4" w:space="0"/>
              <w:right w:val="single" w:color="auto" w:sz="4" w:space="0"/>
            </w:tcBorders>
          </w:tcPr>
          <w:p w14:paraId="007E260C">
            <w:pPr>
              <w:pageBreakBefore w:val="0"/>
              <w:wordWrap/>
              <w:topLinePunct w:val="0"/>
              <w:bidi w:val="0"/>
              <w:spacing w:line="560" w:lineRule="exact"/>
              <w:jc w:val="center"/>
              <w:rPr>
                <w:rFonts w:cs="宋体" w:asciiTheme="minorEastAsia" w:hAnsiTheme="minorEastAsia" w:eastAsiaTheme="minorEastAsia"/>
                <w:color w:val="000000" w:themeColor="text1"/>
                <w:sz w:val="28"/>
                <w:szCs w:val="28"/>
                <w:highlight w:val="none"/>
                <w14:textFill>
                  <w14:solidFill>
                    <w14:schemeClr w14:val="tx1"/>
                  </w14:solidFill>
                </w14:textFill>
              </w:rPr>
            </w:pPr>
          </w:p>
        </w:tc>
        <w:tc>
          <w:tcPr>
            <w:tcW w:w="606" w:type="dxa"/>
            <w:tcBorders>
              <w:top w:val="single" w:color="auto" w:sz="4" w:space="0"/>
              <w:left w:val="single" w:color="auto" w:sz="4" w:space="0"/>
              <w:bottom w:val="single" w:color="auto" w:sz="4" w:space="0"/>
              <w:right w:val="single" w:color="auto" w:sz="4" w:space="0"/>
            </w:tcBorders>
          </w:tcPr>
          <w:p w14:paraId="30B1B2B6">
            <w:pPr>
              <w:pageBreakBefore w:val="0"/>
              <w:wordWrap/>
              <w:topLinePunct w:val="0"/>
              <w:bidi w:val="0"/>
              <w:spacing w:line="560" w:lineRule="exact"/>
              <w:jc w:val="center"/>
              <w:rPr>
                <w:rFonts w:cs="宋体" w:asciiTheme="minorEastAsia" w:hAnsiTheme="minorEastAsia" w:eastAsiaTheme="minorEastAsia"/>
                <w:color w:val="000000" w:themeColor="text1"/>
                <w:sz w:val="28"/>
                <w:szCs w:val="28"/>
                <w:highlight w:val="none"/>
                <w14:textFill>
                  <w14:solidFill>
                    <w14:schemeClr w14:val="tx1"/>
                  </w14:solidFill>
                </w14:textFill>
              </w:rPr>
            </w:pPr>
          </w:p>
        </w:tc>
      </w:tr>
    </w:tbl>
    <w:p w14:paraId="44143C74">
      <w:pPr>
        <w:pageBreakBefore w:val="0"/>
        <w:wordWrap/>
        <w:topLinePunct w:val="0"/>
        <w:bidi w:val="0"/>
        <w:snapToGrid w:val="0"/>
        <w:spacing w:line="560" w:lineRule="exact"/>
        <w:ind w:firstLine="602" w:firstLineChars="200"/>
        <w:rPr>
          <w:rFonts w:ascii="仿宋" w:hAnsi="仿宋" w:eastAsia="仿宋" w:cs="仿宋_GB2312"/>
          <w:b/>
          <w:color w:val="000000" w:themeColor="text1"/>
          <w:sz w:val="30"/>
          <w:szCs w:val="30"/>
          <w:highlight w:val="none"/>
          <w14:textFill>
            <w14:solidFill>
              <w14:schemeClr w14:val="tx1"/>
            </w14:solidFill>
          </w14:textFill>
        </w:rPr>
      </w:pPr>
    </w:p>
    <w:p w14:paraId="1A7DB59B">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t>注：1、供应商应提供本次招标项目的招标范围中的所有设备。</w:t>
      </w:r>
    </w:p>
    <w:p w14:paraId="7E9183DB">
      <w:pPr>
        <w:keepNext w:val="0"/>
        <w:keepLines w:val="0"/>
        <w:pageBreakBefore w:val="0"/>
        <w:widowControl w:val="0"/>
        <w:kinsoku/>
        <w:wordWrap/>
        <w:overflowPunct/>
        <w:topLinePunct w:val="0"/>
        <w:autoSpaceDE/>
        <w:autoSpaceDN/>
        <w:bidi w:val="0"/>
        <w:adjustRightInd/>
        <w:snapToGrid w:val="0"/>
        <w:spacing w:line="560" w:lineRule="exact"/>
        <w:ind w:firstLine="562" w:firstLineChars="200"/>
        <w:textAlignment w:val="auto"/>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t>2、如中标单位所提供的的货物不符合要求，采购方有权要求中标单位退换全部设备，并由中标单位承担采购方的所造成的全部损失。</w:t>
      </w:r>
    </w:p>
    <w:p w14:paraId="44EBE5F3">
      <w:pPr>
        <w:keepNext w:val="0"/>
        <w:keepLines w:val="0"/>
        <w:pageBreakBefore w:val="0"/>
        <w:widowControl w:val="0"/>
        <w:kinsoku/>
        <w:wordWrap/>
        <w:overflowPunct/>
        <w:topLinePunct w:val="0"/>
        <w:autoSpaceDE/>
        <w:autoSpaceDN/>
        <w:bidi w:val="0"/>
        <w:adjustRightInd/>
        <w:snapToGrid w:val="0"/>
        <w:spacing w:line="560" w:lineRule="exact"/>
        <w:ind w:firstLine="562" w:firstLineChars="200"/>
        <w:textAlignment w:val="auto"/>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t>3、供应商可根据自身需求更改采购清单表格格式，但不可删减主要内容（如</w:t>
      </w:r>
      <w:r>
        <w:rPr>
          <w:rFonts w:hint="eastAsia" w:ascii="宋体" w:hAnsi="宋体" w:cs="宋体"/>
          <w:b/>
          <w:bCs/>
          <w:color w:val="000000" w:themeColor="text1"/>
          <w:sz w:val="28"/>
          <w:szCs w:val="28"/>
          <w:highlight w:val="none"/>
          <w:lang w:eastAsia="zh-CN"/>
          <w14:textFill>
            <w14:solidFill>
              <w14:schemeClr w14:val="tx1"/>
            </w14:solidFill>
          </w14:textFill>
        </w:rPr>
        <w:t>设备</w:t>
      </w:r>
      <w:r>
        <w:rPr>
          <w:rFonts w:hint="eastAsia" w:ascii="宋体" w:hAnsi="宋体" w:eastAsia="宋体" w:cs="宋体"/>
          <w:b/>
          <w:bCs/>
          <w:color w:val="000000" w:themeColor="text1"/>
          <w:sz w:val="28"/>
          <w:szCs w:val="28"/>
          <w:highlight w:val="none"/>
          <w14:textFill>
            <w14:solidFill>
              <w14:schemeClr w14:val="tx1"/>
            </w14:solidFill>
          </w14:textFill>
        </w:rPr>
        <w:t>名称</w:t>
      </w:r>
      <w:r>
        <w:rPr>
          <w:rFonts w:hint="eastAsia" w:ascii="宋体" w:hAnsi="宋体" w:cs="宋体"/>
          <w:b/>
          <w:bCs/>
          <w:color w:val="000000" w:themeColor="text1"/>
          <w:sz w:val="28"/>
          <w:szCs w:val="28"/>
          <w:highlight w:val="none"/>
          <w:lang w:eastAsia="zh-CN"/>
          <w14:textFill>
            <w14:solidFill>
              <w14:schemeClr w14:val="tx1"/>
            </w14:solidFill>
          </w14:textFill>
        </w:rPr>
        <w:t>、技术</w:t>
      </w:r>
      <w:r>
        <w:rPr>
          <w:rFonts w:hint="eastAsia" w:ascii="宋体" w:hAnsi="宋体" w:eastAsia="宋体" w:cs="宋体"/>
          <w:b/>
          <w:bCs/>
          <w:color w:val="000000" w:themeColor="text1"/>
          <w:sz w:val="28"/>
          <w:szCs w:val="28"/>
          <w:highlight w:val="none"/>
          <w14:textFill>
            <w14:solidFill>
              <w14:schemeClr w14:val="tx1"/>
            </w14:solidFill>
          </w14:textFill>
        </w:rPr>
        <w:t>参数</w:t>
      </w:r>
      <w:r>
        <w:rPr>
          <w:rFonts w:hint="eastAsia" w:ascii="宋体" w:hAnsi="宋体" w:cs="宋体"/>
          <w:b/>
          <w:bCs/>
          <w:color w:val="000000" w:themeColor="text1"/>
          <w:sz w:val="28"/>
          <w:szCs w:val="28"/>
          <w:highlight w:val="none"/>
          <w:lang w:eastAsia="zh-CN"/>
          <w14:textFill>
            <w14:solidFill>
              <w14:schemeClr w14:val="tx1"/>
            </w14:solidFill>
          </w14:textFill>
        </w:rPr>
        <w:t>、</w:t>
      </w:r>
      <w:r>
        <w:rPr>
          <w:rFonts w:hint="eastAsia" w:ascii="宋体" w:hAnsi="宋体" w:eastAsia="宋体" w:cs="宋体"/>
          <w:b/>
          <w:bCs/>
          <w:color w:val="000000" w:themeColor="text1"/>
          <w:sz w:val="28"/>
          <w:szCs w:val="28"/>
          <w:highlight w:val="none"/>
          <w14:textFill>
            <w14:solidFill>
              <w14:schemeClr w14:val="tx1"/>
            </w14:solidFill>
          </w14:textFill>
        </w:rPr>
        <w:t>数量</w:t>
      </w:r>
      <w:r>
        <w:rPr>
          <w:rFonts w:hint="eastAsia" w:ascii="宋体" w:hAnsi="宋体" w:cs="宋体"/>
          <w:b/>
          <w:bCs/>
          <w:color w:val="000000" w:themeColor="text1"/>
          <w:sz w:val="28"/>
          <w:szCs w:val="28"/>
          <w:highlight w:val="none"/>
          <w:lang w:eastAsia="zh-CN"/>
          <w14:textFill>
            <w14:solidFill>
              <w14:schemeClr w14:val="tx1"/>
            </w14:solidFill>
          </w14:textFill>
        </w:rPr>
        <w:t>、品牌、型号</w:t>
      </w:r>
      <w:r>
        <w:rPr>
          <w:rFonts w:hint="eastAsia" w:ascii="宋体" w:hAnsi="宋体" w:eastAsia="宋体" w:cs="宋体"/>
          <w:b/>
          <w:bCs/>
          <w:color w:val="000000" w:themeColor="text1"/>
          <w:sz w:val="28"/>
          <w:szCs w:val="28"/>
          <w:highlight w:val="none"/>
          <w14:textFill>
            <w14:solidFill>
              <w14:schemeClr w14:val="tx1"/>
            </w14:solidFill>
          </w14:textFill>
        </w:rPr>
        <w:t>）。</w:t>
      </w:r>
    </w:p>
    <w:p w14:paraId="20F96857">
      <w:pPr>
        <w:pageBreakBefore w:val="0"/>
        <w:wordWrap/>
        <w:topLinePunct w:val="0"/>
        <w:autoSpaceDE w:val="0"/>
        <w:autoSpaceDN w:val="0"/>
        <w:bidi w:val="0"/>
        <w:spacing w:line="560" w:lineRule="exact"/>
        <w:ind w:left="4375" w:leftChars="1950" w:hanging="280" w:hangingChars="100"/>
        <w:rPr>
          <w:rFonts w:cs="仿宋_GB2312" w:asciiTheme="minorEastAsia" w:hAnsiTheme="minorEastAsia" w:eastAsiaTheme="minorEastAsia"/>
          <w:color w:val="000000" w:themeColor="text1"/>
          <w:kern w:val="0"/>
          <w:sz w:val="28"/>
          <w:szCs w:val="28"/>
          <w:highlight w:val="none"/>
          <w14:textFill>
            <w14:solidFill>
              <w14:schemeClr w14:val="tx1"/>
            </w14:solidFill>
          </w14:textFill>
        </w:rPr>
      </w:pPr>
    </w:p>
    <w:p w14:paraId="61D3D9AD">
      <w:pPr>
        <w:pageBreakBefore w:val="0"/>
        <w:wordWrap/>
        <w:topLinePunct w:val="0"/>
        <w:autoSpaceDE w:val="0"/>
        <w:autoSpaceDN w:val="0"/>
        <w:bidi w:val="0"/>
        <w:spacing w:line="560" w:lineRule="exact"/>
        <w:ind w:left="4375" w:leftChars="1950" w:hanging="280" w:hangingChars="100"/>
        <w:rPr>
          <w:rFonts w:cs="仿宋_GB2312" w:asciiTheme="minorEastAsia" w:hAnsiTheme="minorEastAsia" w:eastAsiaTheme="minorEastAsia"/>
          <w:color w:val="000000" w:themeColor="text1"/>
          <w:kern w:val="0"/>
          <w:sz w:val="28"/>
          <w:szCs w:val="28"/>
          <w:highlight w:val="none"/>
          <w14:textFill>
            <w14:solidFill>
              <w14:schemeClr w14:val="tx1"/>
            </w14:solidFill>
          </w14:textFill>
        </w:rPr>
      </w:pPr>
    </w:p>
    <w:p w14:paraId="620C8E91">
      <w:pPr>
        <w:pageBreakBefore w:val="0"/>
        <w:wordWrap/>
        <w:topLinePunct w:val="0"/>
        <w:autoSpaceDE w:val="0"/>
        <w:autoSpaceDN w:val="0"/>
        <w:bidi w:val="0"/>
        <w:spacing w:line="560" w:lineRule="exact"/>
        <w:ind w:left="4375" w:leftChars="1950" w:hanging="280" w:hangingChars="100"/>
        <w:rPr>
          <w:rFonts w:cs="仿宋_GB2312" w:asciiTheme="minorEastAsia" w:hAnsiTheme="minorEastAsia" w:eastAsiaTheme="minorEastAsia"/>
          <w:color w:val="000000" w:themeColor="text1"/>
          <w:kern w:val="0"/>
          <w:sz w:val="28"/>
          <w:szCs w:val="28"/>
          <w:highlight w:val="none"/>
          <w14:textFill>
            <w14:solidFill>
              <w14:schemeClr w14:val="tx1"/>
            </w14:solidFill>
          </w14:textFill>
        </w:rPr>
      </w:pPr>
    </w:p>
    <w:p w14:paraId="0B98EC31">
      <w:pPr>
        <w:pageBreakBefore w:val="0"/>
        <w:widowControl/>
        <w:wordWrap/>
        <w:topLinePunct w:val="0"/>
        <w:bidi w:val="0"/>
        <w:spacing w:line="560" w:lineRule="exact"/>
        <w:jc w:val="left"/>
        <w:rPr>
          <w:b/>
          <w:bCs/>
          <w:color w:val="000000" w:themeColor="text1"/>
          <w:sz w:val="30"/>
          <w:szCs w:val="30"/>
          <w:highlight w:val="none"/>
          <w14:textFill>
            <w14:solidFill>
              <w14:schemeClr w14:val="tx1"/>
            </w14:solidFill>
          </w14:textFill>
        </w:rPr>
      </w:pPr>
    </w:p>
    <w:p w14:paraId="57587A21">
      <w:pPr>
        <w:pageBreakBefore w:val="0"/>
        <w:widowControl/>
        <w:wordWrap/>
        <w:topLinePunct w:val="0"/>
        <w:bidi w:val="0"/>
        <w:spacing w:line="560" w:lineRule="exact"/>
        <w:jc w:val="left"/>
        <w:rPr>
          <w:b/>
          <w:bCs/>
          <w:color w:val="000000" w:themeColor="text1"/>
          <w:sz w:val="30"/>
          <w:szCs w:val="30"/>
          <w:highlight w:val="none"/>
          <w14:textFill>
            <w14:solidFill>
              <w14:schemeClr w14:val="tx1"/>
            </w14:solidFill>
          </w14:textFill>
        </w:rPr>
      </w:pPr>
      <w:r>
        <w:rPr>
          <w:b/>
          <w:bCs/>
          <w:color w:val="000000" w:themeColor="text1"/>
          <w:sz w:val="30"/>
          <w:szCs w:val="30"/>
          <w:highlight w:val="none"/>
          <w14:textFill>
            <w14:solidFill>
              <w14:schemeClr w14:val="tx1"/>
            </w14:solidFill>
          </w14:textFill>
        </w:rPr>
        <w:br w:type="page"/>
      </w:r>
    </w:p>
    <w:p w14:paraId="449D159B">
      <w:pPr>
        <w:pageBreakBefore w:val="0"/>
        <w:wordWrap/>
        <w:topLinePunct w:val="0"/>
        <w:bidi w:val="0"/>
        <w:snapToGrid w:val="0"/>
        <w:spacing w:before="165" w:beforeLines="50" w:after="50" w:line="560" w:lineRule="exact"/>
        <w:jc w:val="center"/>
        <w:rPr>
          <w:rFonts w:hint="eastAsia" w:asciiTheme="minorEastAsia" w:hAnsiTheme="minorEastAsia" w:eastAsiaTheme="minorEastAsia"/>
          <w:b/>
          <w:bCs/>
          <w:color w:val="000000" w:themeColor="text1"/>
          <w:sz w:val="30"/>
          <w:szCs w:val="30"/>
          <w:highlight w:val="none"/>
          <w:lang w:eastAsia="zh-CN"/>
          <w14:textFill>
            <w14:solidFill>
              <w14:schemeClr w14:val="tx1"/>
            </w14:solidFill>
          </w14:textFill>
        </w:rPr>
      </w:pPr>
      <w:r>
        <w:rPr>
          <w:rFonts w:hint="eastAsia" w:asciiTheme="minorEastAsia" w:hAnsiTheme="minorEastAsia" w:eastAsiaTheme="minorEastAsia"/>
          <w:b/>
          <w:bCs/>
          <w:color w:val="000000" w:themeColor="text1"/>
          <w:sz w:val="30"/>
          <w:szCs w:val="30"/>
          <w:highlight w:val="none"/>
          <w:lang w:eastAsia="zh-CN"/>
          <w14:textFill>
            <w14:solidFill>
              <w14:schemeClr w14:val="tx1"/>
            </w14:solidFill>
          </w14:textFill>
        </w:rPr>
        <w:t>三、产品及性能</w:t>
      </w:r>
    </w:p>
    <w:p w14:paraId="7C4D87FC">
      <w:pPr>
        <w:pageBreakBefore w:val="0"/>
        <w:wordWrap/>
        <w:topLinePunct w:val="0"/>
        <w:autoSpaceDE w:val="0"/>
        <w:autoSpaceDN w:val="0"/>
        <w:bidi w:val="0"/>
        <w:spacing w:line="560" w:lineRule="exact"/>
        <w:jc w:val="center"/>
        <w:rPr>
          <w:rFonts w:hint="eastAsia" w:cs="仿宋_GB2312" w:asciiTheme="minorEastAsia" w:hAnsiTheme="minorEastAsia" w:eastAsiaTheme="minorEastAsia"/>
          <w:color w:val="000000" w:themeColor="text1"/>
          <w:sz w:val="24"/>
          <w:highlight w:val="none"/>
          <w:lang w:val="en-US" w:eastAsia="zh-CN"/>
          <w14:textFill>
            <w14:solidFill>
              <w14:schemeClr w14:val="tx1"/>
            </w14:solidFill>
          </w14:textFill>
        </w:rPr>
      </w:pPr>
      <w:r>
        <w:rPr>
          <w:rFonts w:hint="eastAsia" w:cs="仿宋_GB2312" w:asciiTheme="minorEastAsia" w:hAnsiTheme="minorEastAsia" w:eastAsiaTheme="minorEastAsia"/>
          <w:color w:val="000000" w:themeColor="text1"/>
          <w:sz w:val="28"/>
          <w:szCs w:val="28"/>
          <w:highlight w:val="none"/>
          <w:lang w:eastAsia="zh-CN"/>
          <w14:textFill>
            <w14:solidFill>
              <w14:schemeClr w14:val="tx1"/>
            </w14:solidFill>
          </w14:textFill>
        </w:rPr>
        <w:t>供应商</w:t>
      </w:r>
      <w:r>
        <w:rPr>
          <w:rFonts w:hint="eastAsia" w:cs="仿宋_GB2312" w:asciiTheme="minorEastAsia" w:hAnsiTheme="minorEastAsia" w:eastAsiaTheme="minorEastAsia"/>
          <w:color w:val="000000" w:themeColor="text1"/>
          <w:sz w:val="28"/>
          <w:szCs w:val="28"/>
          <w:highlight w:val="none"/>
          <w14:textFill>
            <w14:solidFill>
              <w14:schemeClr w14:val="tx1"/>
            </w14:solidFill>
          </w14:textFill>
        </w:rPr>
        <w:t>根据采购需求及评分标准要求</w:t>
      </w:r>
      <w:r>
        <w:rPr>
          <w:rFonts w:hint="eastAsia" w:cs="仿宋_GB2312" w:asciiTheme="minorEastAsia" w:hAnsiTheme="minorEastAsia" w:eastAsiaTheme="minorEastAsia"/>
          <w:color w:val="000000" w:themeColor="text1"/>
          <w:sz w:val="28"/>
          <w:szCs w:val="28"/>
          <w:highlight w:val="none"/>
          <w:lang w:eastAsia="zh-CN"/>
          <w14:textFill>
            <w14:solidFill>
              <w14:schemeClr w14:val="tx1"/>
            </w14:solidFill>
          </w14:textFill>
        </w:rPr>
        <w:t>自</w:t>
      </w:r>
      <w:r>
        <w:rPr>
          <w:rFonts w:hint="eastAsia" w:cs="仿宋_GB2312" w:asciiTheme="minorEastAsia" w:hAnsiTheme="minorEastAsia" w:eastAsiaTheme="minorEastAsia"/>
          <w:color w:val="000000" w:themeColor="text1"/>
          <w:sz w:val="28"/>
          <w:szCs w:val="28"/>
          <w:highlight w:val="none"/>
          <w:lang w:val="en-US" w:eastAsia="zh-CN"/>
          <w14:textFill>
            <w14:solidFill>
              <w14:schemeClr w14:val="tx1"/>
            </w14:solidFill>
          </w14:textFill>
        </w:rPr>
        <w:t>行</w:t>
      </w:r>
      <w:r>
        <w:rPr>
          <w:rFonts w:hint="eastAsia" w:cs="仿宋_GB2312" w:asciiTheme="minorEastAsia" w:hAnsiTheme="minorEastAsia" w:eastAsiaTheme="minorEastAsia"/>
          <w:color w:val="000000" w:themeColor="text1"/>
          <w:sz w:val="28"/>
          <w:szCs w:val="28"/>
          <w:highlight w:val="none"/>
          <w14:textFill>
            <w14:solidFill>
              <w14:schemeClr w14:val="tx1"/>
            </w14:solidFill>
          </w14:textFill>
        </w:rPr>
        <w:t>编制</w:t>
      </w:r>
    </w:p>
    <w:p w14:paraId="0C987BD1">
      <w:pPr>
        <w:pageBreakBefore w:val="0"/>
        <w:widowControl/>
        <w:wordWrap/>
        <w:topLinePunct w:val="0"/>
        <w:bidi w:val="0"/>
        <w:spacing w:line="560" w:lineRule="exact"/>
        <w:jc w:val="left"/>
        <w:rPr>
          <w:b/>
          <w:bCs/>
          <w:color w:val="000000" w:themeColor="text1"/>
          <w:sz w:val="30"/>
          <w:szCs w:val="30"/>
          <w:highlight w:val="none"/>
          <w14:textFill>
            <w14:solidFill>
              <w14:schemeClr w14:val="tx1"/>
            </w14:solidFill>
          </w14:textFill>
        </w:rPr>
      </w:pPr>
    </w:p>
    <w:p w14:paraId="3BDB5AC6">
      <w:pPr>
        <w:pageBreakBefore w:val="0"/>
        <w:widowControl/>
        <w:wordWrap/>
        <w:topLinePunct w:val="0"/>
        <w:bidi w:val="0"/>
        <w:spacing w:line="560" w:lineRule="exact"/>
        <w:jc w:val="left"/>
        <w:rPr>
          <w:b/>
          <w:bCs/>
          <w:color w:val="000000" w:themeColor="text1"/>
          <w:sz w:val="30"/>
          <w:szCs w:val="30"/>
          <w:highlight w:val="none"/>
          <w14:textFill>
            <w14:solidFill>
              <w14:schemeClr w14:val="tx1"/>
            </w14:solidFill>
          </w14:textFill>
        </w:rPr>
      </w:pPr>
    </w:p>
    <w:p w14:paraId="2C9501B1">
      <w:pPr>
        <w:pageBreakBefore w:val="0"/>
        <w:widowControl/>
        <w:wordWrap/>
        <w:topLinePunct w:val="0"/>
        <w:bidi w:val="0"/>
        <w:spacing w:line="560" w:lineRule="exact"/>
        <w:jc w:val="left"/>
        <w:rPr>
          <w:b/>
          <w:bCs/>
          <w:color w:val="000000" w:themeColor="text1"/>
          <w:sz w:val="30"/>
          <w:szCs w:val="30"/>
          <w:highlight w:val="none"/>
          <w14:textFill>
            <w14:solidFill>
              <w14:schemeClr w14:val="tx1"/>
            </w14:solidFill>
          </w14:textFill>
        </w:rPr>
      </w:pPr>
    </w:p>
    <w:p w14:paraId="07319A71">
      <w:pPr>
        <w:pageBreakBefore w:val="0"/>
        <w:widowControl/>
        <w:wordWrap/>
        <w:topLinePunct w:val="0"/>
        <w:bidi w:val="0"/>
        <w:spacing w:line="560" w:lineRule="exact"/>
        <w:jc w:val="left"/>
        <w:rPr>
          <w:b/>
          <w:bCs/>
          <w:color w:val="000000" w:themeColor="text1"/>
          <w:sz w:val="30"/>
          <w:szCs w:val="30"/>
          <w:highlight w:val="none"/>
          <w14:textFill>
            <w14:solidFill>
              <w14:schemeClr w14:val="tx1"/>
            </w14:solidFill>
          </w14:textFill>
        </w:rPr>
      </w:pPr>
    </w:p>
    <w:p w14:paraId="2DE46E6B">
      <w:pPr>
        <w:pageBreakBefore w:val="0"/>
        <w:widowControl/>
        <w:wordWrap/>
        <w:topLinePunct w:val="0"/>
        <w:bidi w:val="0"/>
        <w:spacing w:line="560" w:lineRule="exact"/>
        <w:jc w:val="left"/>
        <w:rPr>
          <w:b/>
          <w:bCs/>
          <w:color w:val="000000" w:themeColor="text1"/>
          <w:sz w:val="30"/>
          <w:szCs w:val="30"/>
          <w:highlight w:val="none"/>
          <w14:textFill>
            <w14:solidFill>
              <w14:schemeClr w14:val="tx1"/>
            </w14:solidFill>
          </w14:textFill>
        </w:rPr>
      </w:pPr>
    </w:p>
    <w:p w14:paraId="3D232FF4">
      <w:pPr>
        <w:pageBreakBefore w:val="0"/>
        <w:widowControl/>
        <w:wordWrap/>
        <w:topLinePunct w:val="0"/>
        <w:bidi w:val="0"/>
        <w:spacing w:line="560" w:lineRule="exact"/>
        <w:jc w:val="left"/>
        <w:rPr>
          <w:b/>
          <w:bCs/>
          <w:color w:val="000000" w:themeColor="text1"/>
          <w:sz w:val="30"/>
          <w:szCs w:val="30"/>
          <w:highlight w:val="none"/>
          <w14:textFill>
            <w14:solidFill>
              <w14:schemeClr w14:val="tx1"/>
            </w14:solidFill>
          </w14:textFill>
        </w:rPr>
      </w:pPr>
    </w:p>
    <w:p w14:paraId="6339B99C">
      <w:pPr>
        <w:pageBreakBefore w:val="0"/>
        <w:widowControl/>
        <w:wordWrap/>
        <w:topLinePunct w:val="0"/>
        <w:bidi w:val="0"/>
        <w:spacing w:line="560" w:lineRule="exact"/>
        <w:jc w:val="left"/>
        <w:rPr>
          <w:b/>
          <w:bCs/>
          <w:color w:val="000000" w:themeColor="text1"/>
          <w:sz w:val="30"/>
          <w:szCs w:val="30"/>
          <w:highlight w:val="none"/>
          <w14:textFill>
            <w14:solidFill>
              <w14:schemeClr w14:val="tx1"/>
            </w14:solidFill>
          </w14:textFill>
        </w:rPr>
      </w:pPr>
    </w:p>
    <w:p w14:paraId="33CB9E01">
      <w:pPr>
        <w:pageBreakBefore w:val="0"/>
        <w:widowControl/>
        <w:wordWrap/>
        <w:topLinePunct w:val="0"/>
        <w:bidi w:val="0"/>
        <w:spacing w:line="560" w:lineRule="exact"/>
        <w:jc w:val="left"/>
        <w:rPr>
          <w:b/>
          <w:bCs/>
          <w:color w:val="000000" w:themeColor="text1"/>
          <w:sz w:val="30"/>
          <w:szCs w:val="30"/>
          <w:highlight w:val="none"/>
          <w14:textFill>
            <w14:solidFill>
              <w14:schemeClr w14:val="tx1"/>
            </w14:solidFill>
          </w14:textFill>
        </w:rPr>
      </w:pPr>
    </w:p>
    <w:p w14:paraId="38875E59">
      <w:pPr>
        <w:pageBreakBefore w:val="0"/>
        <w:widowControl/>
        <w:wordWrap/>
        <w:topLinePunct w:val="0"/>
        <w:bidi w:val="0"/>
        <w:spacing w:line="560" w:lineRule="exact"/>
        <w:jc w:val="left"/>
        <w:rPr>
          <w:b/>
          <w:bCs/>
          <w:color w:val="000000" w:themeColor="text1"/>
          <w:sz w:val="30"/>
          <w:szCs w:val="30"/>
          <w:highlight w:val="none"/>
          <w14:textFill>
            <w14:solidFill>
              <w14:schemeClr w14:val="tx1"/>
            </w14:solidFill>
          </w14:textFill>
        </w:rPr>
      </w:pPr>
    </w:p>
    <w:p w14:paraId="3A2AAE92">
      <w:pPr>
        <w:pageBreakBefore w:val="0"/>
        <w:widowControl/>
        <w:wordWrap/>
        <w:topLinePunct w:val="0"/>
        <w:bidi w:val="0"/>
        <w:spacing w:line="560" w:lineRule="exact"/>
        <w:jc w:val="left"/>
        <w:rPr>
          <w:b/>
          <w:bCs/>
          <w:color w:val="000000" w:themeColor="text1"/>
          <w:sz w:val="30"/>
          <w:szCs w:val="30"/>
          <w:highlight w:val="none"/>
          <w14:textFill>
            <w14:solidFill>
              <w14:schemeClr w14:val="tx1"/>
            </w14:solidFill>
          </w14:textFill>
        </w:rPr>
      </w:pPr>
    </w:p>
    <w:p w14:paraId="6F182E88">
      <w:pPr>
        <w:pageBreakBefore w:val="0"/>
        <w:widowControl/>
        <w:wordWrap/>
        <w:topLinePunct w:val="0"/>
        <w:bidi w:val="0"/>
        <w:spacing w:line="560" w:lineRule="exact"/>
        <w:jc w:val="left"/>
        <w:rPr>
          <w:b/>
          <w:bCs/>
          <w:color w:val="000000" w:themeColor="text1"/>
          <w:sz w:val="30"/>
          <w:szCs w:val="30"/>
          <w:highlight w:val="none"/>
          <w14:textFill>
            <w14:solidFill>
              <w14:schemeClr w14:val="tx1"/>
            </w14:solidFill>
          </w14:textFill>
        </w:rPr>
      </w:pPr>
    </w:p>
    <w:p w14:paraId="30852DE0">
      <w:pPr>
        <w:pageBreakBefore w:val="0"/>
        <w:widowControl/>
        <w:wordWrap/>
        <w:topLinePunct w:val="0"/>
        <w:bidi w:val="0"/>
        <w:spacing w:line="560" w:lineRule="exact"/>
        <w:jc w:val="left"/>
        <w:rPr>
          <w:b/>
          <w:bCs/>
          <w:color w:val="000000" w:themeColor="text1"/>
          <w:sz w:val="30"/>
          <w:szCs w:val="30"/>
          <w:highlight w:val="none"/>
          <w14:textFill>
            <w14:solidFill>
              <w14:schemeClr w14:val="tx1"/>
            </w14:solidFill>
          </w14:textFill>
        </w:rPr>
      </w:pPr>
    </w:p>
    <w:p w14:paraId="7C7EAEA8">
      <w:pPr>
        <w:pageBreakBefore w:val="0"/>
        <w:widowControl/>
        <w:wordWrap/>
        <w:topLinePunct w:val="0"/>
        <w:bidi w:val="0"/>
        <w:spacing w:line="560" w:lineRule="exact"/>
        <w:jc w:val="left"/>
        <w:rPr>
          <w:b/>
          <w:bCs/>
          <w:color w:val="000000" w:themeColor="text1"/>
          <w:sz w:val="30"/>
          <w:szCs w:val="30"/>
          <w:highlight w:val="none"/>
          <w14:textFill>
            <w14:solidFill>
              <w14:schemeClr w14:val="tx1"/>
            </w14:solidFill>
          </w14:textFill>
        </w:rPr>
      </w:pPr>
    </w:p>
    <w:p w14:paraId="533EE816">
      <w:pPr>
        <w:pageBreakBefore w:val="0"/>
        <w:widowControl/>
        <w:wordWrap/>
        <w:topLinePunct w:val="0"/>
        <w:bidi w:val="0"/>
        <w:spacing w:line="560" w:lineRule="exact"/>
        <w:jc w:val="left"/>
        <w:rPr>
          <w:b/>
          <w:bCs/>
          <w:color w:val="000000" w:themeColor="text1"/>
          <w:sz w:val="30"/>
          <w:szCs w:val="30"/>
          <w:highlight w:val="none"/>
          <w14:textFill>
            <w14:solidFill>
              <w14:schemeClr w14:val="tx1"/>
            </w14:solidFill>
          </w14:textFill>
        </w:rPr>
      </w:pPr>
    </w:p>
    <w:p w14:paraId="7B85EC16">
      <w:pPr>
        <w:pageBreakBefore w:val="0"/>
        <w:widowControl/>
        <w:wordWrap/>
        <w:topLinePunct w:val="0"/>
        <w:bidi w:val="0"/>
        <w:spacing w:line="560" w:lineRule="exact"/>
        <w:jc w:val="left"/>
        <w:rPr>
          <w:b/>
          <w:bCs/>
          <w:color w:val="000000" w:themeColor="text1"/>
          <w:sz w:val="30"/>
          <w:szCs w:val="30"/>
          <w:highlight w:val="none"/>
          <w14:textFill>
            <w14:solidFill>
              <w14:schemeClr w14:val="tx1"/>
            </w14:solidFill>
          </w14:textFill>
        </w:rPr>
      </w:pPr>
    </w:p>
    <w:p w14:paraId="30E0E98B">
      <w:pPr>
        <w:pageBreakBefore w:val="0"/>
        <w:widowControl/>
        <w:wordWrap/>
        <w:topLinePunct w:val="0"/>
        <w:bidi w:val="0"/>
        <w:spacing w:line="560" w:lineRule="exact"/>
        <w:jc w:val="left"/>
        <w:rPr>
          <w:b/>
          <w:bCs/>
          <w:color w:val="000000" w:themeColor="text1"/>
          <w:sz w:val="30"/>
          <w:szCs w:val="30"/>
          <w:highlight w:val="none"/>
          <w14:textFill>
            <w14:solidFill>
              <w14:schemeClr w14:val="tx1"/>
            </w14:solidFill>
          </w14:textFill>
        </w:rPr>
      </w:pPr>
    </w:p>
    <w:p w14:paraId="3E12BBE4">
      <w:pPr>
        <w:pageBreakBefore w:val="0"/>
        <w:widowControl/>
        <w:wordWrap/>
        <w:topLinePunct w:val="0"/>
        <w:bidi w:val="0"/>
        <w:spacing w:line="560" w:lineRule="exact"/>
        <w:jc w:val="left"/>
        <w:rPr>
          <w:b/>
          <w:bCs/>
          <w:color w:val="000000" w:themeColor="text1"/>
          <w:sz w:val="30"/>
          <w:szCs w:val="30"/>
          <w:highlight w:val="none"/>
          <w14:textFill>
            <w14:solidFill>
              <w14:schemeClr w14:val="tx1"/>
            </w14:solidFill>
          </w14:textFill>
        </w:rPr>
      </w:pPr>
    </w:p>
    <w:p w14:paraId="0CB58449">
      <w:pPr>
        <w:pageBreakBefore w:val="0"/>
        <w:widowControl/>
        <w:wordWrap/>
        <w:topLinePunct w:val="0"/>
        <w:bidi w:val="0"/>
        <w:spacing w:line="560" w:lineRule="exact"/>
        <w:jc w:val="left"/>
        <w:rPr>
          <w:b/>
          <w:bCs/>
          <w:color w:val="000000" w:themeColor="text1"/>
          <w:sz w:val="30"/>
          <w:szCs w:val="30"/>
          <w:highlight w:val="none"/>
          <w14:textFill>
            <w14:solidFill>
              <w14:schemeClr w14:val="tx1"/>
            </w14:solidFill>
          </w14:textFill>
        </w:rPr>
      </w:pPr>
    </w:p>
    <w:p w14:paraId="2E080B95">
      <w:pPr>
        <w:pageBreakBefore w:val="0"/>
        <w:widowControl/>
        <w:wordWrap/>
        <w:topLinePunct w:val="0"/>
        <w:bidi w:val="0"/>
        <w:spacing w:line="560" w:lineRule="exact"/>
        <w:jc w:val="left"/>
        <w:rPr>
          <w:b/>
          <w:bCs/>
          <w:color w:val="000000" w:themeColor="text1"/>
          <w:sz w:val="30"/>
          <w:szCs w:val="30"/>
          <w:highlight w:val="none"/>
          <w14:textFill>
            <w14:solidFill>
              <w14:schemeClr w14:val="tx1"/>
            </w14:solidFill>
          </w14:textFill>
        </w:rPr>
      </w:pPr>
    </w:p>
    <w:p w14:paraId="5F3EDCE8">
      <w:pPr>
        <w:pageBreakBefore w:val="0"/>
        <w:widowControl/>
        <w:wordWrap/>
        <w:topLinePunct w:val="0"/>
        <w:bidi w:val="0"/>
        <w:spacing w:line="560" w:lineRule="exact"/>
        <w:jc w:val="left"/>
        <w:rPr>
          <w:b/>
          <w:bCs/>
          <w:color w:val="000000" w:themeColor="text1"/>
          <w:sz w:val="30"/>
          <w:szCs w:val="30"/>
          <w:highlight w:val="none"/>
          <w14:textFill>
            <w14:solidFill>
              <w14:schemeClr w14:val="tx1"/>
            </w14:solidFill>
          </w14:textFill>
        </w:rPr>
      </w:pPr>
    </w:p>
    <w:p w14:paraId="41F541EB">
      <w:pPr>
        <w:pageBreakBefore w:val="0"/>
        <w:wordWrap/>
        <w:topLinePunct w:val="0"/>
        <w:bidi w:val="0"/>
        <w:snapToGrid w:val="0"/>
        <w:spacing w:before="165" w:beforeLines="50" w:after="50" w:line="560" w:lineRule="exact"/>
        <w:jc w:val="center"/>
        <w:rPr>
          <w:rFonts w:hint="eastAsia" w:asciiTheme="minorEastAsia" w:hAnsiTheme="minorEastAsia" w:eastAsiaTheme="minorEastAsia"/>
          <w:b/>
          <w:bCs/>
          <w:color w:val="000000" w:themeColor="text1"/>
          <w:sz w:val="30"/>
          <w:szCs w:val="30"/>
          <w:highlight w:val="none"/>
          <w:lang w:eastAsia="zh-CN"/>
          <w14:textFill>
            <w14:solidFill>
              <w14:schemeClr w14:val="tx1"/>
            </w14:solidFill>
          </w14:textFill>
        </w:rPr>
      </w:pPr>
    </w:p>
    <w:p w14:paraId="5112BBE6">
      <w:pPr>
        <w:pageBreakBefore w:val="0"/>
        <w:wordWrap/>
        <w:topLinePunct w:val="0"/>
        <w:bidi w:val="0"/>
        <w:snapToGrid w:val="0"/>
        <w:spacing w:before="165" w:beforeLines="50" w:after="50" w:line="560" w:lineRule="exact"/>
        <w:jc w:val="center"/>
        <w:rPr>
          <w:rFonts w:hint="eastAsia" w:asciiTheme="minorEastAsia" w:hAnsiTheme="minorEastAsia" w:eastAsiaTheme="minorEastAsia"/>
          <w:b/>
          <w:bCs/>
          <w:color w:val="000000" w:themeColor="text1"/>
          <w:sz w:val="30"/>
          <w:szCs w:val="30"/>
          <w:highlight w:val="none"/>
          <w:lang w:eastAsia="zh-CN"/>
          <w14:textFill>
            <w14:solidFill>
              <w14:schemeClr w14:val="tx1"/>
            </w14:solidFill>
          </w14:textFill>
        </w:rPr>
      </w:pPr>
    </w:p>
    <w:p w14:paraId="7279624B">
      <w:pPr>
        <w:pageBreakBefore w:val="0"/>
        <w:wordWrap/>
        <w:topLinePunct w:val="0"/>
        <w:bidi w:val="0"/>
        <w:snapToGrid w:val="0"/>
        <w:spacing w:before="165" w:beforeLines="50" w:after="50" w:line="560" w:lineRule="exact"/>
        <w:jc w:val="center"/>
        <w:rPr>
          <w:rFonts w:hint="eastAsia" w:asciiTheme="minorEastAsia" w:hAnsiTheme="minorEastAsia" w:eastAsiaTheme="minorEastAsia"/>
          <w:b/>
          <w:bCs/>
          <w:color w:val="000000" w:themeColor="text1"/>
          <w:sz w:val="30"/>
          <w:szCs w:val="30"/>
          <w:highlight w:val="none"/>
          <w:lang w:eastAsia="zh-CN"/>
          <w14:textFill>
            <w14:solidFill>
              <w14:schemeClr w14:val="tx1"/>
            </w14:solidFill>
          </w14:textFill>
        </w:rPr>
      </w:pPr>
    </w:p>
    <w:p w14:paraId="03A45CB7">
      <w:pPr>
        <w:pageBreakBefore w:val="0"/>
        <w:wordWrap/>
        <w:topLinePunct w:val="0"/>
        <w:bidi w:val="0"/>
        <w:snapToGrid w:val="0"/>
        <w:spacing w:before="165" w:beforeLines="50" w:after="50" w:line="560" w:lineRule="exact"/>
        <w:jc w:val="center"/>
        <w:rPr>
          <w:rFonts w:hint="eastAsia" w:asciiTheme="minorEastAsia" w:hAnsiTheme="minorEastAsia" w:eastAsiaTheme="minorEastAsia"/>
          <w:b/>
          <w:bCs/>
          <w:color w:val="000000" w:themeColor="text1"/>
          <w:sz w:val="30"/>
          <w:szCs w:val="30"/>
          <w:highlight w:val="none"/>
          <w:lang w:eastAsia="zh-CN"/>
          <w14:textFill>
            <w14:solidFill>
              <w14:schemeClr w14:val="tx1"/>
            </w14:solidFill>
          </w14:textFill>
        </w:rPr>
      </w:pPr>
      <w:r>
        <w:rPr>
          <w:rFonts w:hint="eastAsia" w:asciiTheme="minorEastAsia" w:hAnsiTheme="minorEastAsia" w:eastAsiaTheme="minorEastAsia"/>
          <w:b/>
          <w:bCs/>
          <w:color w:val="000000" w:themeColor="text1"/>
          <w:sz w:val="30"/>
          <w:szCs w:val="30"/>
          <w:highlight w:val="none"/>
          <w:lang w:eastAsia="zh-CN"/>
          <w14:textFill>
            <w14:solidFill>
              <w14:schemeClr w14:val="tx1"/>
            </w14:solidFill>
          </w14:textFill>
        </w:rPr>
        <w:t>四</w:t>
      </w:r>
      <w:r>
        <w:rPr>
          <w:rFonts w:hint="eastAsia" w:asciiTheme="minorEastAsia" w:hAnsiTheme="minorEastAsia" w:eastAsiaTheme="minorEastAsia"/>
          <w:b/>
          <w:bCs/>
          <w:color w:val="000000" w:themeColor="text1"/>
          <w:sz w:val="30"/>
          <w:szCs w:val="30"/>
          <w:highlight w:val="none"/>
          <w14:textFill>
            <w14:solidFill>
              <w14:schemeClr w14:val="tx1"/>
            </w14:solidFill>
          </w14:textFill>
        </w:rPr>
        <w:t>、</w:t>
      </w:r>
      <w:r>
        <w:rPr>
          <w:rFonts w:hint="eastAsia" w:asciiTheme="minorEastAsia" w:hAnsiTheme="minorEastAsia" w:eastAsiaTheme="minorEastAsia"/>
          <w:b/>
          <w:bCs/>
          <w:color w:val="000000" w:themeColor="text1"/>
          <w:sz w:val="30"/>
          <w:szCs w:val="30"/>
          <w:highlight w:val="none"/>
          <w:lang w:eastAsia="zh-CN"/>
          <w14:textFill>
            <w14:solidFill>
              <w14:schemeClr w14:val="tx1"/>
            </w14:solidFill>
          </w14:textFill>
        </w:rPr>
        <w:t>技术方案</w:t>
      </w:r>
    </w:p>
    <w:p w14:paraId="4BE01391">
      <w:pPr>
        <w:pageBreakBefore w:val="0"/>
        <w:wordWrap/>
        <w:topLinePunct w:val="0"/>
        <w:autoSpaceDE w:val="0"/>
        <w:autoSpaceDN w:val="0"/>
        <w:bidi w:val="0"/>
        <w:spacing w:line="560" w:lineRule="exact"/>
        <w:jc w:val="center"/>
        <w:rPr>
          <w:rFonts w:hint="eastAsia" w:cs="仿宋_GB2312" w:asciiTheme="minorEastAsia" w:hAnsiTheme="minorEastAsia" w:eastAsiaTheme="minorEastAsia"/>
          <w:color w:val="000000" w:themeColor="text1"/>
          <w:sz w:val="24"/>
          <w:highlight w:val="none"/>
          <w:lang w:val="en-US" w:eastAsia="zh-CN"/>
          <w14:textFill>
            <w14:solidFill>
              <w14:schemeClr w14:val="tx1"/>
            </w14:solidFill>
          </w14:textFill>
        </w:rPr>
      </w:pPr>
      <w:r>
        <w:rPr>
          <w:rFonts w:hint="eastAsia" w:cs="仿宋_GB2312" w:asciiTheme="minorEastAsia" w:hAnsiTheme="minorEastAsia" w:eastAsiaTheme="minorEastAsia"/>
          <w:color w:val="000000" w:themeColor="text1"/>
          <w:sz w:val="28"/>
          <w:szCs w:val="28"/>
          <w:highlight w:val="none"/>
          <w:lang w:eastAsia="zh-CN"/>
          <w14:textFill>
            <w14:solidFill>
              <w14:schemeClr w14:val="tx1"/>
            </w14:solidFill>
          </w14:textFill>
        </w:rPr>
        <w:t>供应商</w:t>
      </w:r>
      <w:r>
        <w:rPr>
          <w:rFonts w:hint="eastAsia" w:cs="仿宋_GB2312" w:asciiTheme="minorEastAsia" w:hAnsiTheme="minorEastAsia" w:eastAsiaTheme="minorEastAsia"/>
          <w:color w:val="000000" w:themeColor="text1"/>
          <w:sz w:val="28"/>
          <w:szCs w:val="28"/>
          <w:highlight w:val="none"/>
          <w14:textFill>
            <w14:solidFill>
              <w14:schemeClr w14:val="tx1"/>
            </w14:solidFill>
          </w14:textFill>
        </w:rPr>
        <w:t>根据采购需求及评分标准要求</w:t>
      </w:r>
      <w:r>
        <w:rPr>
          <w:rFonts w:hint="eastAsia" w:cs="仿宋_GB2312" w:asciiTheme="minorEastAsia" w:hAnsiTheme="minorEastAsia" w:eastAsiaTheme="minorEastAsia"/>
          <w:color w:val="000000" w:themeColor="text1"/>
          <w:sz w:val="28"/>
          <w:szCs w:val="28"/>
          <w:highlight w:val="none"/>
          <w:lang w:eastAsia="zh-CN"/>
          <w14:textFill>
            <w14:solidFill>
              <w14:schemeClr w14:val="tx1"/>
            </w14:solidFill>
          </w14:textFill>
        </w:rPr>
        <w:t>自</w:t>
      </w:r>
      <w:r>
        <w:rPr>
          <w:rFonts w:hint="eastAsia" w:cs="仿宋_GB2312" w:asciiTheme="minorEastAsia" w:hAnsiTheme="minorEastAsia" w:eastAsiaTheme="minorEastAsia"/>
          <w:color w:val="000000" w:themeColor="text1"/>
          <w:sz w:val="28"/>
          <w:szCs w:val="28"/>
          <w:highlight w:val="none"/>
          <w:lang w:val="en-US" w:eastAsia="zh-CN"/>
          <w14:textFill>
            <w14:solidFill>
              <w14:schemeClr w14:val="tx1"/>
            </w14:solidFill>
          </w14:textFill>
        </w:rPr>
        <w:t>行</w:t>
      </w:r>
      <w:r>
        <w:rPr>
          <w:rFonts w:hint="eastAsia" w:cs="仿宋_GB2312" w:asciiTheme="minorEastAsia" w:hAnsiTheme="minorEastAsia" w:eastAsiaTheme="minorEastAsia"/>
          <w:color w:val="000000" w:themeColor="text1"/>
          <w:sz w:val="28"/>
          <w:szCs w:val="28"/>
          <w:highlight w:val="none"/>
          <w14:textFill>
            <w14:solidFill>
              <w14:schemeClr w14:val="tx1"/>
            </w14:solidFill>
          </w14:textFill>
        </w:rPr>
        <w:t>编制</w:t>
      </w:r>
    </w:p>
    <w:p w14:paraId="47DA616C">
      <w:pPr>
        <w:pageBreakBefore w:val="0"/>
        <w:wordWrap/>
        <w:topLinePunct w:val="0"/>
        <w:bidi w:val="0"/>
        <w:snapToGrid w:val="0"/>
        <w:spacing w:before="165" w:beforeLines="50" w:after="50" w:line="560" w:lineRule="exact"/>
        <w:jc w:val="center"/>
        <w:rPr>
          <w:rFonts w:asciiTheme="minorEastAsia" w:hAnsiTheme="minorEastAsia" w:eastAsiaTheme="minorEastAsia"/>
          <w:b/>
          <w:bCs/>
          <w:color w:val="000000" w:themeColor="text1"/>
          <w:sz w:val="30"/>
          <w:szCs w:val="30"/>
          <w:highlight w:val="none"/>
          <w14:textFill>
            <w14:solidFill>
              <w14:schemeClr w14:val="tx1"/>
            </w14:solidFill>
          </w14:textFill>
        </w:rPr>
      </w:pPr>
    </w:p>
    <w:p w14:paraId="2AAF93F9">
      <w:pPr>
        <w:pageBreakBefore w:val="0"/>
        <w:wordWrap/>
        <w:topLinePunct w:val="0"/>
        <w:bidi w:val="0"/>
        <w:snapToGrid w:val="0"/>
        <w:spacing w:before="165" w:beforeLines="50" w:after="50" w:line="560" w:lineRule="exact"/>
        <w:jc w:val="center"/>
        <w:rPr>
          <w:rFonts w:asciiTheme="minorEastAsia" w:hAnsiTheme="minorEastAsia" w:eastAsiaTheme="minorEastAsia"/>
          <w:b/>
          <w:bCs/>
          <w:color w:val="000000" w:themeColor="text1"/>
          <w:sz w:val="30"/>
          <w:szCs w:val="30"/>
          <w:highlight w:val="none"/>
          <w14:textFill>
            <w14:solidFill>
              <w14:schemeClr w14:val="tx1"/>
            </w14:solidFill>
          </w14:textFill>
        </w:rPr>
      </w:pPr>
    </w:p>
    <w:p w14:paraId="79864C24">
      <w:pPr>
        <w:pageBreakBefore w:val="0"/>
        <w:wordWrap/>
        <w:topLinePunct w:val="0"/>
        <w:bidi w:val="0"/>
        <w:snapToGrid w:val="0"/>
        <w:spacing w:before="165" w:beforeLines="50" w:after="50" w:line="560" w:lineRule="exact"/>
        <w:jc w:val="center"/>
        <w:rPr>
          <w:rFonts w:asciiTheme="minorEastAsia" w:hAnsiTheme="minorEastAsia" w:eastAsiaTheme="minorEastAsia"/>
          <w:b/>
          <w:bCs/>
          <w:color w:val="000000" w:themeColor="text1"/>
          <w:sz w:val="30"/>
          <w:szCs w:val="30"/>
          <w:highlight w:val="none"/>
          <w14:textFill>
            <w14:solidFill>
              <w14:schemeClr w14:val="tx1"/>
            </w14:solidFill>
          </w14:textFill>
        </w:rPr>
      </w:pPr>
    </w:p>
    <w:p w14:paraId="33DB6921">
      <w:pPr>
        <w:pageBreakBefore w:val="0"/>
        <w:wordWrap/>
        <w:topLinePunct w:val="0"/>
        <w:bidi w:val="0"/>
        <w:snapToGrid w:val="0"/>
        <w:spacing w:before="165" w:beforeLines="50" w:after="50" w:line="560" w:lineRule="exact"/>
        <w:jc w:val="center"/>
        <w:rPr>
          <w:rFonts w:asciiTheme="minorEastAsia" w:hAnsiTheme="minorEastAsia" w:eastAsiaTheme="minorEastAsia"/>
          <w:b/>
          <w:bCs/>
          <w:color w:val="000000" w:themeColor="text1"/>
          <w:sz w:val="30"/>
          <w:szCs w:val="30"/>
          <w:highlight w:val="none"/>
          <w14:textFill>
            <w14:solidFill>
              <w14:schemeClr w14:val="tx1"/>
            </w14:solidFill>
          </w14:textFill>
        </w:rPr>
      </w:pPr>
    </w:p>
    <w:p w14:paraId="47970FA6">
      <w:pPr>
        <w:pageBreakBefore w:val="0"/>
        <w:wordWrap/>
        <w:topLinePunct w:val="0"/>
        <w:bidi w:val="0"/>
        <w:snapToGrid w:val="0"/>
        <w:spacing w:before="165" w:beforeLines="50" w:after="50" w:line="560" w:lineRule="exact"/>
        <w:jc w:val="center"/>
        <w:rPr>
          <w:rFonts w:asciiTheme="minorEastAsia" w:hAnsiTheme="minorEastAsia" w:eastAsiaTheme="minorEastAsia"/>
          <w:b/>
          <w:bCs/>
          <w:color w:val="000000" w:themeColor="text1"/>
          <w:sz w:val="30"/>
          <w:szCs w:val="30"/>
          <w:highlight w:val="none"/>
          <w14:textFill>
            <w14:solidFill>
              <w14:schemeClr w14:val="tx1"/>
            </w14:solidFill>
          </w14:textFill>
        </w:rPr>
      </w:pPr>
    </w:p>
    <w:p w14:paraId="79897B26">
      <w:pPr>
        <w:pageBreakBefore w:val="0"/>
        <w:wordWrap/>
        <w:topLinePunct w:val="0"/>
        <w:bidi w:val="0"/>
        <w:snapToGrid w:val="0"/>
        <w:spacing w:before="165" w:beforeLines="50" w:after="50" w:line="560" w:lineRule="exact"/>
        <w:jc w:val="center"/>
        <w:rPr>
          <w:rFonts w:asciiTheme="minorEastAsia" w:hAnsiTheme="minorEastAsia" w:eastAsiaTheme="minorEastAsia"/>
          <w:b/>
          <w:bCs/>
          <w:color w:val="000000" w:themeColor="text1"/>
          <w:sz w:val="30"/>
          <w:szCs w:val="30"/>
          <w:highlight w:val="none"/>
          <w14:textFill>
            <w14:solidFill>
              <w14:schemeClr w14:val="tx1"/>
            </w14:solidFill>
          </w14:textFill>
        </w:rPr>
      </w:pPr>
    </w:p>
    <w:p w14:paraId="40834208">
      <w:pPr>
        <w:pageBreakBefore w:val="0"/>
        <w:wordWrap/>
        <w:topLinePunct w:val="0"/>
        <w:bidi w:val="0"/>
        <w:snapToGrid w:val="0"/>
        <w:spacing w:before="165" w:beforeLines="50" w:after="50" w:line="560" w:lineRule="exact"/>
        <w:jc w:val="center"/>
        <w:rPr>
          <w:rFonts w:asciiTheme="minorEastAsia" w:hAnsiTheme="minorEastAsia" w:eastAsiaTheme="minorEastAsia"/>
          <w:b/>
          <w:bCs/>
          <w:color w:val="000000" w:themeColor="text1"/>
          <w:sz w:val="30"/>
          <w:szCs w:val="30"/>
          <w:highlight w:val="none"/>
          <w14:textFill>
            <w14:solidFill>
              <w14:schemeClr w14:val="tx1"/>
            </w14:solidFill>
          </w14:textFill>
        </w:rPr>
      </w:pPr>
    </w:p>
    <w:p w14:paraId="1970CDDC">
      <w:pPr>
        <w:pageBreakBefore w:val="0"/>
        <w:wordWrap/>
        <w:topLinePunct w:val="0"/>
        <w:bidi w:val="0"/>
        <w:snapToGrid w:val="0"/>
        <w:spacing w:before="165" w:beforeLines="50" w:after="50" w:line="560" w:lineRule="exact"/>
        <w:jc w:val="center"/>
        <w:rPr>
          <w:rFonts w:asciiTheme="minorEastAsia" w:hAnsiTheme="minorEastAsia" w:eastAsiaTheme="minorEastAsia"/>
          <w:b/>
          <w:bCs/>
          <w:color w:val="000000" w:themeColor="text1"/>
          <w:sz w:val="30"/>
          <w:szCs w:val="30"/>
          <w:highlight w:val="none"/>
          <w14:textFill>
            <w14:solidFill>
              <w14:schemeClr w14:val="tx1"/>
            </w14:solidFill>
          </w14:textFill>
        </w:rPr>
      </w:pPr>
    </w:p>
    <w:p w14:paraId="6A2EA97F">
      <w:pPr>
        <w:pageBreakBefore w:val="0"/>
        <w:wordWrap/>
        <w:topLinePunct w:val="0"/>
        <w:bidi w:val="0"/>
        <w:snapToGrid w:val="0"/>
        <w:spacing w:before="165" w:beforeLines="50" w:after="50" w:line="560" w:lineRule="exact"/>
        <w:jc w:val="center"/>
        <w:rPr>
          <w:rFonts w:asciiTheme="minorEastAsia" w:hAnsiTheme="minorEastAsia" w:eastAsiaTheme="minorEastAsia"/>
          <w:b/>
          <w:bCs/>
          <w:color w:val="000000" w:themeColor="text1"/>
          <w:sz w:val="30"/>
          <w:szCs w:val="30"/>
          <w:highlight w:val="none"/>
          <w14:textFill>
            <w14:solidFill>
              <w14:schemeClr w14:val="tx1"/>
            </w14:solidFill>
          </w14:textFill>
        </w:rPr>
      </w:pPr>
    </w:p>
    <w:p w14:paraId="42B8F3F7">
      <w:pPr>
        <w:pageBreakBefore w:val="0"/>
        <w:wordWrap/>
        <w:topLinePunct w:val="0"/>
        <w:bidi w:val="0"/>
        <w:snapToGrid w:val="0"/>
        <w:spacing w:before="165" w:beforeLines="50" w:after="50" w:line="560" w:lineRule="exact"/>
        <w:jc w:val="center"/>
        <w:rPr>
          <w:rFonts w:asciiTheme="minorEastAsia" w:hAnsiTheme="minorEastAsia" w:eastAsiaTheme="minorEastAsia"/>
          <w:b/>
          <w:bCs/>
          <w:color w:val="000000" w:themeColor="text1"/>
          <w:sz w:val="30"/>
          <w:szCs w:val="30"/>
          <w:highlight w:val="none"/>
          <w14:textFill>
            <w14:solidFill>
              <w14:schemeClr w14:val="tx1"/>
            </w14:solidFill>
          </w14:textFill>
        </w:rPr>
      </w:pPr>
    </w:p>
    <w:p w14:paraId="3408D6CE">
      <w:pPr>
        <w:pageBreakBefore w:val="0"/>
        <w:wordWrap/>
        <w:topLinePunct w:val="0"/>
        <w:bidi w:val="0"/>
        <w:snapToGrid w:val="0"/>
        <w:spacing w:before="165" w:beforeLines="50" w:after="50" w:line="560" w:lineRule="exact"/>
        <w:jc w:val="center"/>
        <w:rPr>
          <w:rFonts w:asciiTheme="minorEastAsia" w:hAnsiTheme="minorEastAsia" w:eastAsiaTheme="minorEastAsia"/>
          <w:b/>
          <w:bCs/>
          <w:color w:val="000000" w:themeColor="text1"/>
          <w:sz w:val="30"/>
          <w:szCs w:val="30"/>
          <w:highlight w:val="none"/>
          <w14:textFill>
            <w14:solidFill>
              <w14:schemeClr w14:val="tx1"/>
            </w14:solidFill>
          </w14:textFill>
        </w:rPr>
      </w:pPr>
    </w:p>
    <w:p w14:paraId="464CC1BF">
      <w:pPr>
        <w:pageBreakBefore w:val="0"/>
        <w:wordWrap/>
        <w:topLinePunct w:val="0"/>
        <w:bidi w:val="0"/>
        <w:snapToGrid w:val="0"/>
        <w:spacing w:before="165" w:beforeLines="50" w:after="50" w:line="560" w:lineRule="exact"/>
        <w:jc w:val="center"/>
        <w:rPr>
          <w:rFonts w:asciiTheme="minorEastAsia" w:hAnsiTheme="minorEastAsia" w:eastAsiaTheme="minorEastAsia"/>
          <w:b/>
          <w:bCs/>
          <w:color w:val="000000" w:themeColor="text1"/>
          <w:sz w:val="30"/>
          <w:szCs w:val="30"/>
          <w:highlight w:val="none"/>
          <w14:textFill>
            <w14:solidFill>
              <w14:schemeClr w14:val="tx1"/>
            </w14:solidFill>
          </w14:textFill>
        </w:rPr>
      </w:pPr>
    </w:p>
    <w:p w14:paraId="68B15F15">
      <w:pPr>
        <w:pageBreakBefore w:val="0"/>
        <w:wordWrap/>
        <w:topLinePunct w:val="0"/>
        <w:bidi w:val="0"/>
        <w:snapToGrid w:val="0"/>
        <w:spacing w:before="165" w:beforeLines="50" w:after="50" w:line="560" w:lineRule="exact"/>
        <w:jc w:val="center"/>
        <w:rPr>
          <w:rFonts w:asciiTheme="minorEastAsia" w:hAnsiTheme="minorEastAsia" w:eastAsiaTheme="minorEastAsia"/>
          <w:b/>
          <w:bCs/>
          <w:color w:val="000000" w:themeColor="text1"/>
          <w:sz w:val="30"/>
          <w:szCs w:val="30"/>
          <w:highlight w:val="none"/>
          <w14:textFill>
            <w14:solidFill>
              <w14:schemeClr w14:val="tx1"/>
            </w14:solidFill>
          </w14:textFill>
        </w:rPr>
      </w:pPr>
    </w:p>
    <w:p w14:paraId="24973F8A">
      <w:pPr>
        <w:pageBreakBefore w:val="0"/>
        <w:wordWrap/>
        <w:topLinePunct w:val="0"/>
        <w:bidi w:val="0"/>
        <w:snapToGrid w:val="0"/>
        <w:spacing w:before="165" w:beforeLines="50" w:after="50" w:line="560" w:lineRule="exact"/>
        <w:jc w:val="center"/>
        <w:rPr>
          <w:rFonts w:asciiTheme="minorEastAsia" w:hAnsiTheme="minorEastAsia" w:eastAsiaTheme="minorEastAsia"/>
          <w:b/>
          <w:bCs/>
          <w:color w:val="000000" w:themeColor="text1"/>
          <w:sz w:val="30"/>
          <w:szCs w:val="30"/>
          <w:highlight w:val="none"/>
          <w14:textFill>
            <w14:solidFill>
              <w14:schemeClr w14:val="tx1"/>
            </w14:solidFill>
          </w14:textFill>
        </w:rPr>
      </w:pPr>
    </w:p>
    <w:p w14:paraId="64AEC4EE">
      <w:pPr>
        <w:pageBreakBefore w:val="0"/>
        <w:wordWrap/>
        <w:topLinePunct w:val="0"/>
        <w:bidi w:val="0"/>
        <w:snapToGrid w:val="0"/>
        <w:spacing w:before="165" w:beforeLines="50" w:after="50" w:line="560" w:lineRule="exact"/>
        <w:jc w:val="center"/>
        <w:rPr>
          <w:rFonts w:asciiTheme="minorEastAsia" w:hAnsiTheme="minorEastAsia" w:eastAsiaTheme="minorEastAsia"/>
          <w:b/>
          <w:bCs/>
          <w:color w:val="000000" w:themeColor="text1"/>
          <w:sz w:val="30"/>
          <w:szCs w:val="30"/>
          <w:highlight w:val="none"/>
          <w14:textFill>
            <w14:solidFill>
              <w14:schemeClr w14:val="tx1"/>
            </w14:solidFill>
          </w14:textFill>
        </w:rPr>
      </w:pPr>
    </w:p>
    <w:p w14:paraId="5BE9ACA8">
      <w:pPr>
        <w:pageBreakBefore w:val="0"/>
        <w:wordWrap/>
        <w:topLinePunct w:val="0"/>
        <w:bidi w:val="0"/>
        <w:snapToGrid w:val="0"/>
        <w:spacing w:before="165" w:beforeLines="50" w:after="50" w:line="560" w:lineRule="exact"/>
        <w:jc w:val="center"/>
        <w:rPr>
          <w:rFonts w:asciiTheme="minorEastAsia" w:hAnsiTheme="minorEastAsia" w:eastAsiaTheme="minorEastAsia"/>
          <w:b/>
          <w:bCs/>
          <w:color w:val="000000" w:themeColor="text1"/>
          <w:sz w:val="30"/>
          <w:szCs w:val="30"/>
          <w:highlight w:val="none"/>
          <w14:textFill>
            <w14:solidFill>
              <w14:schemeClr w14:val="tx1"/>
            </w14:solidFill>
          </w14:textFill>
        </w:rPr>
      </w:pPr>
    </w:p>
    <w:p w14:paraId="6400B913">
      <w:pPr>
        <w:pageBreakBefore w:val="0"/>
        <w:wordWrap/>
        <w:topLinePunct w:val="0"/>
        <w:bidi w:val="0"/>
        <w:snapToGrid w:val="0"/>
        <w:spacing w:before="165" w:beforeLines="50" w:after="50" w:line="560" w:lineRule="exact"/>
        <w:jc w:val="center"/>
        <w:rPr>
          <w:rFonts w:asciiTheme="minorEastAsia" w:hAnsiTheme="minorEastAsia" w:eastAsiaTheme="minorEastAsia"/>
          <w:b/>
          <w:bCs/>
          <w:color w:val="000000" w:themeColor="text1"/>
          <w:sz w:val="30"/>
          <w:szCs w:val="30"/>
          <w:highlight w:val="none"/>
          <w14:textFill>
            <w14:solidFill>
              <w14:schemeClr w14:val="tx1"/>
            </w14:solidFill>
          </w14:textFill>
        </w:rPr>
      </w:pPr>
    </w:p>
    <w:p w14:paraId="07631D36">
      <w:pPr>
        <w:pageBreakBefore w:val="0"/>
        <w:wordWrap/>
        <w:topLinePunct w:val="0"/>
        <w:bidi w:val="0"/>
        <w:snapToGrid w:val="0"/>
        <w:spacing w:before="165" w:beforeLines="50" w:after="50" w:line="560" w:lineRule="exact"/>
        <w:jc w:val="both"/>
        <w:rPr>
          <w:rFonts w:asciiTheme="minorEastAsia" w:hAnsiTheme="minorEastAsia" w:eastAsiaTheme="minorEastAsia"/>
          <w:b/>
          <w:bCs/>
          <w:color w:val="000000" w:themeColor="text1"/>
          <w:sz w:val="30"/>
          <w:szCs w:val="30"/>
          <w:highlight w:val="none"/>
          <w14:textFill>
            <w14:solidFill>
              <w14:schemeClr w14:val="tx1"/>
            </w14:solidFill>
          </w14:textFill>
        </w:rPr>
      </w:pPr>
    </w:p>
    <w:p w14:paraId="4B9E75AC">
      <w:pPr>
        <w:pageBreakBefore w:val="0"/>
        <w:widowControl/>
        <w:wordWrap/>
        <w:topLinePunct w:val="0"/>
        <w:bidi w:val="0"/>
        <w:spacing w:line="560" w:lineRule="exact"/>
        <w:jc w:val="center"/>
        <w:rPr>
          <w:rFonts w:hint="eastAsia" w:asciiTheme="minorEastAsia" w:hAnsiTheme="minorEastAsia" w:eastAsiaTheme="minorEastAsia"/>
          <w:b/>
          <w:bCs/>
          <w:color w:val="000000" w:themeColor="text1"/>
          <w:sz w:val="30"/>
          <w:szCs w:val="30"/>
          <w:highlight w:val="none"/>
          <w:lang w:eastAsia="zh-CN"/>
          <w14:textFill>
            <w14:solidFill>
              <w14:schemeClr w14:val="tx1"/>
            </w14:solidFill>
          </w14:textFill>
        </w:rPr>
      </w:pPr>
      <w:r>
        <w:rPr>
          <w:rFonts w:hint="eastAsia" w:asciiTheme="minorEastAsia" w:hAnsiTheme="minorEastAsia" w:eastAsiaTheme="minorEastAsia"/>
          <w:b/>
          <w:bCs/>
          <w:color w:val="000000" w:themeColor="text1"/>
          <w:sz w:val="30"/>
          <w:szCs w:val="30"/>
          <w:highlight w:val="none"/>
          <w:lang w:eastAsia="zh-CN"/>
          <w14:textFill>
            <w14:solidFill>
              <w14:schemeClr w14:val="tx1"/>
            </w14:solidFill>
          </w14:textFill>
        </w:rPr>
        <w:t>五</w:t>
      </w:r>
      <w:r>
        <w:rPr>
          <w:rFonts w:hint="eastAsia" w:asciiTheme="minorEastAsia" w:hAnsiTheme="minorEastAsia" w:eastAsiaTheme="minorEastAsia"/>
          <w:b/>
          <w:bCs/>
          <w:color w:val="000000" w:themeColor="text1"/>
          <w:sz w:val="30"/>
          <w:szCs w:val="30"/>
          <w:highlight w:val="none"/>
          <w14:textFill>
            <w14:solidFill>
              <w14:schemeClr w14:val="tx1"/>
            </w14:solidFill>
          </w14:textFill>
        </w:rPr>
        <w:t>、</w:t>
      </w:r>
      <w:r>
        <w:rPr>
          <w:rFonts w:hint="eastAsia" w:asciiTheme="minorEastAsia" w:hAnsiTheme="minorEastAsia" w:eastAsiaTheme="minorEastAsia"/>
          <w:b/>
          <w:bCs/>
          <w:color w:val="000000" w:themeColor="text1"/>
          <w:sz w:val="30"/>
          <w:szCs w:val="30"/>
          <w:highlight w:val="none"/>
          <w:lang w:eastAsia="zh-CN"/>
          <w14:textFill>
            <w14:solidFill>
              <w14:schemeClr w14:val="tx1"/>
            </w14:solidFill>
          </w14:textFill>
        </w:rPr>
        <w:t>供应商</w:t>
      </w:r>
      <w:r>
        <w:rPr>
          <w:rFonts w:hint="eastAsia" w:asciiTheme="minorEastAsia" w:hAnsiTheme="minorEastAsia" w:eastAsiaTheme="minorEastAsia"/>
          <w:b/>
          <w:bCs/>
          <w:color w:val="000000" w:themeColor="text1"/>
          <w:sz w:val="30"/>
          <w:szCs w:val="30"/>
          <w:highlight w:val="none"/>
          <w14:textFill>
            <w14:solidFill>
              <w14:schemeClr w14:val="tx1"/>
            </w14:solidFill>
          </w14:textFill>
        </w:rPr>
        <w:t>认为需要的其他技术文件或说明</w:t>
      </w:r>
      <w:r>
        <w:rPr>
          <w:rFonts w:hint="eastAsia" w:asciiTheme="minorEastAsia" w:hAnsiTheme="minorEastAsia" w:eastAsiaTheme="minorEastAsia"/>
          <w:b/>
          <w:bCs/>
          <w:color w:val="000000" w:themeColor="text1"/>
          <w:sz w:val="30"/>
          <w:szCs w:val="30"/>
          <w:highlight w:val="none"/>
          <w:lang w:eastAsia="zh-CN"/>
          <w14:textFill>
            <w14:solidFill>
              <w14:schemeClr w14:val="tx1"/>
            </w14:solidFill>
          </w14:textFill>
        </w:rPr>
        <w:t>（如有）</w:t>
      </w:r>
    </w:p>
    <w:p w14:paraId="7A013ADE">
      <w:pPr>
        <w:pageBreakBefore w:val="0"/>
        <w:wordWrap/>
        <w:topLinePunct w:val="0"/>
        <w:bidi w:val="0"/>
        <w:spacing w:line="560" w:lineRule="exact"/>
        <w:jc w:val="center"/>
        <w:rPr>
          <w:rFonts w:cs="仿宋_GB2312" w:asciiTheme="minorEastAsia" w:hAnsiTheme="minorEastAsia" w:eastAsiaTheme="minorEastAsia"/>
          <w:color w:val="000000" w:themeColor="text1"/>
          <w:sz w:val="28"/>
          <w:szCs w:val="28"/>
          <w:highlight w:val="none"/>
          <w14:textFill>
            <w14:solidFill>
              <w14:schemeClr w14:val="tx1"/>
            </w14:solidFill>
          </w14:textFill>
        </w:rPr>
      </w:pPr>
      <w:r>
        <w:rPr>
          <w:rFonts w:hint="eastAsia" w:cs="仿宋_GB2312" w:asciiTheme="minorEastAsia" w:hAnsiTheme="minorEastAsia" w:eastAsiaTheme="minorEastAsia"/>
          <w:color w:val="000000" w:themeColor="text1"/>
          <w:sz w:val="28"/>
          <w:szCs w:val="28"/>
          <w:highlight w:val="none"/>
          <w14:textFill>
            <w14:solidFill>
              <w14:schemeClr w14:val="tx1"/>
            </w14:solidFill>
          </w14:textFill>
        </w:rPr>
        <w:t>（由</w:t>
      </w:r>
      <w:r>
        <w:rPr>
          <w:rFonts w:hint="eastAsia" w:cs="仿宋_GB2312" w:asciiTheme="minorEastAsia" w:hAnsiTheme="minorEastAsia" w:eastAsiaTheme="minorEastAsia"/>
          <w:color w:val="000000" w:themeColor="text1"/>
          <w:sz w:val="28"/>
          <w:szCs w:val="28"/>
          <w:highlight w:val="none"/>
          <w:lang w:eastAsia="zh-CN"/>
          <w14:textFill>
            <w14:solidFill>
              <w14:schemeClr w14:val="tx1"/>
            </w14:solidFill>
          </w14:textFill>
        </w:rPr>
        <w:t>供应商</w:t>
      </w:r>
      <w:r>
        <w:rPr>
          <w:rFonts w:hint="eastAsia" w:cs="仿宋_GB2312" w:asciiTheme="minorEastAsia" w:hAnsiTheme="minorEastAsia" w:eastAsiaTheme="minorEastAsia"/>
          <w:color w:val="000000" w:themeColor="text1"/>
          <w:sz w:val="28"/>
          <w:szCs w:val="28"/>
          <w:highlight w:val="none"/>
          <w14:textFill>
            <w14:solidFill>
              <w14:schemeClr w14:val="tx1"/>
            </w14:solidFill>
          </w14:textFill>
        </w:rPr>
        <w:t>根据采购需求自行编制）</w:t>
      </w:r>
    </w:p>
    <w:p w14:paraId="2FB1B568">
      <w:pPr>
        <w:pageBreakBefore w:val="0"/>
        <w:wordWrap/>
        <w:topLinePunct w:val="0"/>
        <w:bidi w:val="0"/>
        <w:spacing w:line="560" w:lineRule="exact"/>
        <w:jc w:val="center"/>
        <w:rPr>
          <w:rFonts w:ascii="仿宋_GB2312" w:hAnsi="仿宋" w:eastAsia="仿宋_GB2312" w:cs="仿宋_GB2312"/>
          <w:color w:val="000000" w:themeColor="text1"/>
          <w:sz w:val="24"/>
          <w:highlight w:val="none"/>
          <w14:textFill>
            <w14:solidFill>
              <w14:schemeClr w14:val="tx1"/>
            </w14:solidFill>
          </w14:textFill>
        </w:rPr>
      </w:pPr>
    </w:p>
    <w:p w14:paraId="50C11992">
      <w:pPr>
        <w:pageBreakBefore w:val="0"/>
        <w:widowControl/>
        <w:wordWrap/>
        <w:topLinePunct w:val="0"/>
        <w:bidi w:val="0"/>
        <w:spacing w:line="560" w:lineRule="exact"/>
        <w:jc w:val="left"/>
        <w:rPr>
          <w:rFonts w:ascii="宋体" w:hAnsi="宋体"/>
          <w:b/>
          <w:bCs/>
          <w:color w:val="000000" w:themeColor="text1"/>
          <w:sz w:val="24"/>
          <w:highlight w:val="none"/>
          <w14:textFill>
            <w14:solidFill>
              <w14:schemeClr w14:val="tx1"/>
            </w14:solidFill>
          </w14:textFill>
        </w:rPr>
        <w:sectPr>
          <w:headerReference r:id="rId9" w:type="default"/>
          <w:pgSz w:w="11906" w:h="16838"/>
          <w:pgMar w:top="1134" w:right="1134" w:bottom="1134" w:left="1134" w:header="720" w:footer="720" w:gutter="0"/>
          <w:pgNumType w:fmt="decimal"/>
          <w:cols w:space="720" w:num="1"/>
          <w:docGrid w:type="lines" w:linePitch="331" w:charSpace="0"/>
        </w:sectPr>
      </w:pPr>
    </w:p>
    <w:p w14:paraId="11116903">
      <w:pPr>
        <w:pStyle w:val="31"/>
        <w:pageBreakBefore w:val="0"/>
        <w:wordWrap/>
        <w:topLinePunct w:val="0"/>
        <w:bidi w:val="0"/>
        <w:spacing w:before="0" w:after="0" w:line="560" w:lineRule="exact"/>
        <w:rPr>
          <w:color w:val="000000" w:themeColor="text1"/>
          <w:sz w:val="36"/>
          <w:szCs w:val="36"/>
          <w:highlight w:val="none"/>
          <w14:textFill>
            <w14:solidFill>
              <w14:schemeClr w14:val="tx1"/>
            </w14:solidFill>
          </w14:textFill>
        </w:rPr>
      </w:pPr>
      <w:bookmarkStart w:id="240" w:name="_Toc24257"/>
      <w:bookmarkStart w:id="241" w:name="_Toc140741998"/>
      <w:r>
        <w:rPr>
          <w:rFonts w:hint="eastAsia"/>
          <w:color w:val="000000" w:themeColor="text1"/>
          <w:sz w:val="36"/>
          <w:szCs w:val="36"/>
          <w:highlight w:val="none"/>
          <w14:textFill>
            <w14:solidFill>
              <w14:schemeClr w14:val="tx1"/>
            </w14:solidFill>
          </w14:textFill>
        </w:rPr>
        <w:t>第七章</w:t>
      </w:r>
      <w:r>
        <w:rPr>
          <w:color w:val="000000" w:themeColor="text1"/>
          <w:sz w:val="36"/>
          <w:szCs w:val="36"/>
          <w:highlight w:val="none"/>
          <w14:textFill>
            <w14:solidFill>
              <w14:schemeClr w14:val="tx1"/>
            </w14:solidFill>
          </w14:textFill>
        </w:rPr>
        <w:t xml:space="preserve"> </w:t>
      </w:r>
      <w:r>
        <w:rPr>
          <w:rFonts w:hint="eastAsia"/>
          <w:color w:val="000000" w:themeColor="text1"/>
          <w:sz w:val="36"/>
          <w:szCs w:val="36"/>
          <w:highlight w:val="none"/>
          <w:lang w:val="en-US" w:eastAsia="zh-CN"/>
          <w14:textFill>
            <w14:solidFill>
              <w14:schemeClr w14:val="tx1"/>
            </w14:solidFill>
          </w14:textFill>
        </w:rPr>
        <w:t xml:space="preserve"> </w:t>
      </w:r>
      <w:r>
        <w:rPr>
          <w:rFonts w:hint="eastAsia"/>
          <w:color w:val="000000" w:themeColor="text1"/>
          <w:sz w:val="36"/>
          <w:szCs w:val="36"/>
          <w:highlight w:val="none"/>
          <w14:textFill>
            <w14:solidFill>
              <w14:schemeClr w14:val="tx1"/>
            </w14:solidFill>
          </w14:textFill>
        </w:rPr>
        <w:t>质疑、投诉证明材料格式</w:t>
      </w:r>
      <w:bookmarkEnd w:id="240"/>
      <w:bookmarkEnd w:id="241"/>
    </w:p>
    <w:p w14:paraId="25358B37">
      <w:pPr>
        <w:pStyle w:val="3"/>
        <w:pageBreakBefore w:val="0"/>
        <w:wordWrap/>
        <w:topLinePunct w:val="0"/>
        <w:bidi w:val="0"/>
        <w:spacing w:line="560" w:lineRule="exact"/>
        <w:jc w:val="center"/>
        <w:rPr>
          <w:rFonts w:ascii="宋体" w:hAnsi="宋体"/>
          <w:b w:val="0"/>
          <w:bCs w:val="0"/>
          <w:color w:val="000000" w:themeColor="text1"/>
          <w:highlight w:val="none"/>
          <w14:textFill>
            <w14:solidFill>
              <w14:schemeClr w14:val="tx1"/>
            </w14:solidFill>
          </w14:textFill>
        </w:rPr>
      </w:pPr>
      <w:bookmarkStart w:id="242" w:name="_Toc140742544"/>
      <w:bookmarkStart w:id="243" w:name="_Toc28674"/>
      <w:bookmarkStart w:id="244" w:name="_Toc138610913"/>
      <w:bookmarkStart w:id="245" w:name="_Toc140741999"/>
      <w:r>
        <w:rPr>
          <w:rFonts w:hint="eastAsia" w:ascii="宋体" w:hAnsi="宋体"/>
          <w:b w:val="0"/>
          <w:bCs w:val="0"/>
          <w:color w:val="000000" w:themeColor="text1"/>
          <w:highlight w:val="none"/>
          <w14:textFill>
            <w14:solidFill>
              <w14:schemeClr w14:val="tx1"/>
            </w14:solidFill>
          </w14:textFill>
        </w:rPr>
        <w:t>第一节 质疑函（格式）</w:t>
      </w:r>
      <w:bookmarkEnd w:id="242"/>
      <w:bookmarkEnd w:id="243"/>
      <w:bookmarkEnd w:id="244"/>
      <w:bookmarkEnd w:id="245"/>
    </w:p>
    <w:p w14:paraId="701E246E">
      <w:pPr>
        <w:pageBreakBefore w:val="0"/>
        <w:wordWrap/>
        <w:topLinePunct w:val="0"/>
        <w:bidi w:val="0"/>
        <w:spacing w:line="560" w:lineRule="exact"/>
        <w:jc w:val="center"/>
        <w:rPr>
          <w:rFonts w:ascii="仿宋" w:hAnsi="仿宋" w:eastAsia="仿宋" w:cs="仿宋"/>
          <w:b/>
          <w:bCs/>
          <w:color w:val="000000" w:themeColor="text1"/>
          <w:sz w:val="44"/>
          <w:szCs w:val="44"/>
          <w:highlight w:val="none"/>
          <w14:textFill>
            <w14:solidFill>
              <w14:schemeClr w14:val="tx1"/>
            </w14:solidFill>
          </w14:textFill>
        </w:rPr>
      </w:pPr>
      <w:r>
        <w:rPr>
          <w:rFonts w:hint="eastAsia" w:ascii="仿宋" w:hAnsi="仿宋" w:eastAsia="仿宋" w:cs="仿宋"/>
          <w:b/>
          <w:bCs/>
          <w:color w:val="000000" w:themeColor="text1"/>
          <w:sz w:val="44"/>
          <w:szCs w:val="44"/>
          <w:highlight w:val="none"/>
          <w14:textFill>
            <w14:solidFill>
              <w14:schemeClr w14:val="tx1"/>
            </w14:solidFill>
          </w14:textFill>
        </w:rPr>
        <w:t>质疑函范本</w:t>
      </w:r>
    </w:p>
    <w:p w14:paraId="22BE4D21">
      <w:pPr>
        <w:pageBreakBefore w:val="0"/>
        <w:wordWrap/>
        <w:topLinePunct w:val="0"/>
        <w:bidi w:val="0"/>
        <w:adjustRightInd w:val="0"/>
        <w:snapToGrid w:val="0"/>
        <w:spacing w:before="331" w:beforeLines="100" w:line="560" w:lineRule="exact"/>
        <w:rPr>
          <w:rFonts w:cs="仿宋" w:asciiTheme="minorEastAsia" w:hAnsiTheme="minorEastAsia" w:eastAsiaTheme="minorEastAsia"/>
          <w:bCs/>
          <w:color w:val="000000" w:themeColor="text1"/>
          <w:sz w:val="28"/>
          <w:szCs w:val="28"/>
          <w:highlight w:val="none"/>
          <w14:textFill>
            <w14:solidFill>
              <w14:schemeClr w14:val="tx1"/>
            </w14:solidFill>
          </w14:textFill>
        </w:rPr>
      </w:pPr>
      <w:r>
        <w:rPr>
          <w:rFonts w:hint="eastAsia" w:cs="仿宋" w:asciiTheme="minorEastAsia" w:hAnsiTheme="minorEastAsia" w:eastAsiaTheme="minorEastAsia"/>
          <w:bCs/>
          <w:color w:val="000000" w:themeColor="text1"/>
          <w:sz w:val="28"/>
          <w:szCs w:val="28"/>
          <w:highlight w:val="none"/>
          <w14:textFill>
            <w14:solidFill>
              <w14:schemeClr w14:val="tx1"/>
            </w14:solidFill>
          </w14:textFill>
        </w:rPr>
        <w:t>一、质疑供应商基本信息</w:t>
      </w:r>
    </w:p>
    <w:p w14:paraId="704D0B02">
      <w:pPr>
        <w:pageBreakBefore w:val="0"/>
        <w:wordWrap/>
        <w:topLinePunct w:val="0"/>
        <w:bidi w:val="0"/>
        <w:adjustRightInd w:val="0"/>
        <w:snapToGrid w:val="0"/>
        <w:spacing w:line="560" w:lineRule="exact"/>
        <w:rPr>
          <w:rFonts w:cs="仿宋" w:asciiTheme="minorEastAsia" w:hAnsiTheme="minorEastAsia" w:eastAsiaTheme="minorEastAsia"/>
          <w:color w:val="000000" w:themeColor="text1"/>
          <w:sz w:val="28"/>
          <w:szCs w:val="28"/>
          <w:highlight w:val="none"/>
          <w:u w:val="dotted"/>
          <w14:textFill>
            <w14:solidFill>
              <w14:schemeClr w14:val="tx1"/>
            </w14:solidFill>
          </w14:textFill>
        </w:rPr>
      </w:pPr>
      <w:r>
        <w:rPr>
          <w:rFonts w:hint="eastAsia" w:cs="仿宋" w:asciiTheme="minorEastAsia" w:hAnsiTheme="minorEastAsia" w:eastAsiaTheme="minorEastAsia"/>
          <w:color w:val="000000" w:themeColor="text1"/>
          <w:sz w:val="28"/>
          <w:szCs w:val="28"/>
          <w:highlight w:val="none"/>
          <w14:textFill>
            <w14:solidFill>
              <w14:schemeClr w14:val="tx1"/>
            </w14:solidFill>
          </w14:textFill>
        </w:rPr>
        <w:t>质疑供应商：</w:t>
      </w:r>
      <w:r>
        <w:rPr>
          <w:rFonts w:hint="eastAsia" w:cs="仿宋" w:asciiTheme="minorEastAsia" w:hAnsiTheme="minorEastAsia" w:eastAsiaTheme="minorEastAsia"/>
          <w:color w:val="000000" w:themeColor="text1"/>
          <w:sz w:val="28"/>
          <w:szCs w:val="28"/>
          <w:highlight w:val="none"/>
          <w:u w:val="dotted"/>
          <w14:textFill>
            <w14:solidFill>
              <w14:schemeClr w14:val="tx1"/>
            </w14:solidFill>
          </w14:textFill>
        </w:rPr>
        <w:t xml:space="preserve">                                        </w:t>
      </w:r>
    </w:p>
    <w:p w14:paraId="4EA80B1D">
      <w:pPr>
        <w:pageBreakBefore w:val="0"/>
        <w:wordWrap/>
        <w:topLinePunct w:val="0"/>
        <w:bidi w:val="0"/>
        <w:adjustRightInd w:val="0"/>
        <w:snapToGrid w:val="0"/>
        <w:spacing w:line="560" w:lineRule="exact"/>
        <w:rPr>
          <w:rFonts w:cs="仿宋" w:asciiTheme="minorEastAsia" w:hAnsiTheme="minorEastAsia" w:eastAsiaTheme="minorEastAsia"/>
          <w:color w:val="000000" w:themeColor="text1"/>
          <w:sz w:val="28"/>
          <w:szCs w:val="28"/>
          <w:highlight w:val="none"/>
          <w14:textFill>
            <w14:solidFill>
              <w14:schemeClr w14:val="tx1"/>
            </w14:solidFill>
          </w14:textFill>
        </w:rPr>
      </w:pPr>
      <w:r>
        <w:rPr>
          <w:rFonts w:hint="eastAsia" w:cs="仿宋" w:asciiTheme="minorEastAsia" w:hAnsiTheme="minorEastAsia" w:eastAsiaTheme="minorEastAsia"/>
          <w:color w:val="000000" w:themeColor="text1"/>
          <w:sz w:val="28"/>
          <w:szCs w:val="28"/>
          <w:highlight w:val="none"/>
          <w14:textFill>
            <w14:solidFill>
              <w14:schemeClr w14:val="tx1"/>
            </w14:solidFill>
          </w14:textFill>
        </w:rPr>
        <w:t>地址：</w:t>
      </w:r>
      <w:r>
        <w:rPr>
          <w:rFonts w:hint="eastAsia" w:cs="仿宋" w:asciiTheme="minorEastAsia" w:hAnsiTheme="minorEastAsia" w:eastAsiaTheme="minorEastAsia"/>
          <w:color w:val="000000" w:themeColor="text1"/>
          <w:sz w:val="28"/>
          <w:szCs w:val="28"/>
          <w:highlight w:val="none"/>
          <w:u w:val="dotted"/>
          <w14:textFill>
            <w14:solidFill>
              <w14:schemeClr w14:val="tx1"/>
            </w14:solidFill>
          </w14:textFill>
        </w:rPr>
        <w:t xml:space="preserve">                          </w:t>
      </w:r>
      <w:r>
        <w:rPr>
          <w:rFonts w:hint="eastAsia" w:cs="仿宋" w:asciiTheme="minorEastAsia" w:hAnsiTheme="minorEastAsia" w:eastAsiaTheme="minorEastAsia"/>
          <w:color w:val="000000" w:themeColor="text1"/>
          <w:sz w:val="28"/>
          <w:szCs w:val="28"/>
          <w:highlight w:val="none"/>
          <w14:textFill>
            <w14:solidFill>
              <w14:schemeClr w14:val="tx1"/>
            </w14:solidFill>
          </w14:textFill>
        </w:rPr>
        <w:t>邮编：</w:t>
      </w:r>
      <w:r>
        <w:rPr>
          <w:rFonts w:hint="eastAsia" w:cs="仿宋" w:asciiTheme="minorEastAsia" w:hAnsiTheme="minorEastAsia" w:eastAsiaTheme="minorEastAsia"/>
          <w:color w:val="000000" w:themeColor="text1"/>
          <w:sz w:val="28"/>
          <w:szCs w:val="28"/>
          <w:highlight w:val="none"/>
          <w:u w:val="dotted"/>
          <w14:textFill>
            <w14:solidFill>
              <w14:schemeClr w14:val="tx1"/>
            </w14:solidFill>
          </w14:textFill>
        </w:rPr>
        <w:t xml:space="preserve">                                                   </w:t>
      </w:r>
    </w:p>
    <w:p w14:paraId="4931652F">
      <w:pPr>
        <w:pageBreakBefore w:val="0"/>
        <w:wordWrap/>
        <w:topLinePunct w:val="0"/>
        <w:bidi w:val="0"/>
        <w:adjustRightInd w:val="0"/>
        <w:snapToGrid w:val="0"/>
        <w:spacing w:line="560" w:lineRule="exact"/>
        <w:rPr>
          <w:rFonts w:cs="仿宋" w:asciiTheme="minorEastAsia" w:hAnsiTheme="minorEastAsia" w:eastAsiaTheme="minorEastAsia"/>
          <w:color w:val="000000" w:themeColor="text1"/>
          <w:sz w:val="28"/>
          <w:szCs w:val="28"/>
          <w:highlight w:val="none"/>
          <w14:textFill>
            <w14:solidFill>
              <w14:schemeClr w14:val="tx1"/>
            </w14:solidFill>
          </w14:textFill>
        </w:rPr>
      </w:pPr>
      <w:r>
        <w:rPr>
          <w:rFonts w:hint="eastAsia" w:cs="仿宋" w:asciiTheme="minorEastAsia" w:hAnsiTheme="minorEastAsia" w:eastAsiaTheme="minorEastAsia"/>
          <w:color w:val="000000" w:themeColor="text1"/>
          <w:sz w:val="28"/>
          <w:szCs w:val="28"/>
          <w:highlight w:val="none"/>
          <w14:textFill>
            <w14:solidFill>
              <w14:schemeClr w14:val="tx1"/>
            </w14:solidFill>
          </w14:textFill>
        </w:rPr>
        <w:t>联系人：</w:t>
      </w:r>
      <w:r>
        <w:rPr>
          <w:rFonts w:hint="eastAsia" w:cs="仿宋" w:asciiTheme="minorEastAsia" w:hAnsiTheme="minorEastAsia" w:eastAsiaTheme="minorEastAsia"/>
          <w:color w:val="000000" w:themeColor="text1"/>
          <w:sz w:val="28"/>
          <w:szCs w:val="28"/>
          <w:highlight w:val="none"/>
          <w:u w:val="dotted"/>
          <w14:textFill>
            <w14:solidFill>
              <w14:schemeClr w14:val="tx1"/>
            </w14:solidFill>
          </w14:textFill>
        </w:rPr>
        <w:t xml:space="preserve">                      </w:t>
      </w:r>
      <w:r>
        <w:rPr>
          <w:rFonts w:hint="eastAsia" w:cs="仿宋" w:asciiTheme="minorEastAsia" w:hAnsiTheme="minorEastAsia" w:eastAsiaTheme="minorEastAsia"/>
          <w:color w:val="000000" w:themeColor="text1"/>
          <w:sz w:val="28"/>
          <w:szCs w:val="28"/>
          <w:highlight w:val="none"/>
          <w14:textFill>
            <w14:solidFill>
              <w14:schemeClr w14:val="tx1"/>
            </w14:solidFill>
          </w14:textFill>
        </w:rPr>
        <w:t>联系电话：</w:t>
      </w:r>
      <w:r>
        <w:rPr>
          <w:rFonts w:hint="eastAsia" w:cs="仿宋" w:asciiTheme="minorEastAsia" w:hAnsiTheme="minorEastAsia" w:eastAsiaTheme="minorEastAsia"/>
          <w:color w:val="000000" w:themeColor="text1"/>
          <w:sz w:val="28"/>
          <w:szCs w:val="28"/>
          <w:highlight w:val="none"/>
          <w:u w:val="dotted"/>
          <w14:textFill>
            <w14:solidFill>
              <w14:schemeClr w14:val="tx1"/>
            </w14:solidFill>
          </w14:textFill>
        </w:rPr>
        <w:t xml:space="preserve">                              </w:t>
      </w:r>
    </w:p>
    <w:p w14:paraId="5AF60529">
      <w:pPr>
        <w:pageBreakBefore w:val="0"/>
        <w:wordWrap/>
        <w:topLinePunct w:val="0"/>
        <w:bidi w:val="0"/>
        <w:adjustRightInd w:val="0"/>
        <w:snapToGrid w:val="0"/>
        <w:spacing w:line="560" w:lineRule="exact"/>
        <w:rPr>
          <w:rFonts w:cs="仿宋" w:asciiTheme="minorEastAsia" w:hAnsiTheme="minorEastAsia" w:eastAsiaTheme="minorEastAsia"/>
          <w:color w:val="000000" w:themeColor="text1"/>
          <w:sz w:val="28"/>
          <w:szCs w:val="28"/>
          <w:highlight w:val="none"/>
          <w:u w:val="dotted"/>
          <w14:textFill>
            <w14:solidFill>
              <w14:schemeClr w14:val="tx1"/>
            </w14:solidFill>
          </w14:textFill>
        </w:rPr>
      </w:pPr>
      <w:r>
        <w:rPr>
          <w:rFonts w:hint="eastAsia" w:cs="仿宋" w:asciiTheme="minorEastAsia" w:hAnsiTheme="minorEastAsia" w:eastAsiaTheme="minorEastAsia"/>
          <w:color w:val="000000" w:themeColor="text1"/>
          <w:sz w:val="28"/>
          <w:szCs w:val="28"/>
          <w:highlight w:val="none"/>
          <w14:textFill>
            <w14:solidFill>
              <w14:schemeClr w14:val="tx1"/>
            </w14:solidFill>
          </w14:textFill>
        </w:rPr>
        <w:t>授权代表：</w:t>
      </w:r>
      <w:r>
        <w:rPr>
          <w:rFonts w:hint="eastAsia" w:cs="仿宋" w:asciiTheme="minorEastAsia" w:hAnsiTheme="minorEastAsia" w:eastAsiaTheme="minorEastAsia"/>
          <w:color w:val="000000" w:themeColor="text1"/>
          <w:sz w:val="28"/>
          <w:szCs w:val="28"/>
          <w:highlight w:val="none"/>
          <w:u w:val="dotted"/>
          <w14:textFill>
            <w14:solidFill>
              <w14:schemeClr w14:val="tx1"/>
            </w14:solidFill>
          </w14:textFill>
        </w:rPr>
        <w:t xml:space="preserve">                                          </w:t>
      </w:r>
    </w:p>
    <w:p w14:paraId="4ECC17CC">
      <w:pPr>
        <w:pageBreakBefore w:val="0"/>
        <w:wordWrap/>
        <w:topLinePunct w:val="0"/>
        <w:bidi w:val="0"/>
        <w:adjustRightInd w:val="0"/>
        <w:snapToGrid w:val="0"/>
        <w:spacing w:line="560" w:lineRule="exact"/>
        <w:rPr>
          <w:rFonts w:cs="仿宋" w:asciiTheme="minorEastAsia" w:hAnsiTheme="minorEastAsia" w:eastAsiaTheme="minorEastAsia"/>
          <w:color w:val="000000" w:themeColor="text1"/>
          <w:sz w:val="28"/>
          <w:szCs w:val="28"/>
          <w:highlight w:val="none"/>
          <w14:textFill>
            <w14:solidFill>
              <w14:schemeClr w14:val="tx1"/>
            </w14:solidFill>
          </w14:textFill>
        </w:rPr>
      </w:pPr>
      <w:r>
        <w:rPr>
          <w:rFonts w:hint="eastAsia" w:cs="仿宋" w:asciiTheme="minorEastAsia" w:hAnsiTheme="minorEastAsia" w:eastAsiaTheme="minorEastAsia"/>
          <w:color w:val="000000" w:themeColor="text1"/>
          <w:sz w:val="28"/>
          <w:szCs w:val="28"/>
          <w:highlight w:val="none"/>
          <w14:textFill>
            <w14:solidFill>
              <w14:schemeClr w14:val="tx1"/>
            </w14:solidFill>
          </w14:textFill>
        </w:rPr>
        <w:t>联系电话：</w:t>
      </w:r>
      <w:r>
        <w:rPr>
          <w:rFonts w:hint="eastAsia" w:cs="仿宋" w:asciiTheme="minorEastAsia" w:hAnsiTheme="minorEastAsia" w:eastAsiaTheme="minorEastAsia"/>
          <w:color w:val="000000" w:themeColor="text1"/>
          <w:sz w:val="28"/>
          <w:szCs w:val="28"/>
          <w:highlight w:val="none"/>
          <w:u w:val="dotted"/>
          <w14:textFill>
            <w14:solidFill>
              <w14:schemeClr w14:val="tx1"/>
            </w14:solidFill>
          </w14:textFill>
        </w:rPr>
        <w:t xml:space="preserve">                                           </w:t>
      </w:r>
      <w:r>
        <w:rPr>
          <w:rFonts w:hint="eastAsia" w:cs="仿宋" w:asciiTheme="minorEastAsia" w:hAnsiTheme="minorEastAsia" w:eastAsiaTheme="minorEastAsia"/>
          <w:color w:val="000000" w:themeColor="text1"/>
          <w:sz w:val="28"/>
          <w:szCs w:val="28"/>
          <w:highlight w:val="none"/>
          <w14:textFill>
            <w14:solidFill>
              <w14:schemeClr w14:val="tx1"/>
            </w14:solidFill>
          </w14:textFill>
        </w:rPr>
        <w:t xml:space="preserve"> </w:t>
      </w:r>
    </w:p>
    <w:p w14:paraId="0518C2E2">
      <w:pPr>
        <w:pageBreakBefore w:val="0"/>
        <w:wordWrap/>
        <w:topLinePunct w:val="0"/>
        <w:bidi w:val="0"/>
        <w:adjustRightInd w:val="0"/>
        <w:snapToGrid w:val="0"/>
        <w:spacing w:line="560" w:lineRule="exact"/>
        <w:rPr>
          <w:rFonts w:cs="仿宋" w:asciiTheme="minorEastAsia" w:hAnsiTheme="minorEastAsia" w:eastAsiaTheme="minorEastAsia"/>
          <w:color w:val="000000" w:themeColor="text1"/>
          <w:sz w:val="28"/>
          <w:szCs w:val="28"/>
          <w:highlight w:val="none"/>
          <w14:textFill>
            <w14:solidFill>
              <w14:schemeClr w14:val="tx1"/>
            </w14:solidFill>
          </w14:textFill>
        </w:rPr>
      </w:pPr>
      <w:r>
        <w:rPr>
          <w:rFonts w:hint="eastAsia" w:cs="仿宋" w:asciiTheme="minorEastAsia" w:hAnsiTheme="minorEastAsia" w:eastAsiaTheme="minorEastAsia"/>
          <w:color w:val="000000" w:themeColor="text1"/>
          <w:sz w:val="28"/>
          <w:szCs w:val="28"/>
          <w:highlight w:val="none"/>
          <w14:textFill>
            <w14:solidFill>
              <w14:schemeClr w14:val="tx1"/>
            </w14:solidFill>
          </w14:textFill>
        </w:rPr>
        <w:t xml:space="preserve">地址： </w:t>
      </w:r>
      <w:r>
        <w:rPr>
          <w:rFonts w:hint="eastAsia" w:cs="仿宋" w:asciiTheme="minorEastAsia" w:hAnsiTheme="minorEastAsia" w:eastAsiaTheme="minorEastAsia"/>
          <w:color w:val="000000" w:themeColor="text1"/>
          <w:sz w:val="28"/>
          <w:szCs w:val="28"/>
          <w:highlight w:val="none"/>
          <w:u w:val="dotted"/>
          <w14:textFill>
            <w14:solidFill>
              <w14:schemeClr w14:val="tx1"/>
            </w14:solidFill>
          </w14:textFill>
        </w:rPr>
        <w:t xml:space="preserve">                        </w:t>
      </w:r>
      <w:r>
        <w:rPr>
          <w:rFonts w:hint="eastAsia" w:cs="仿宋" w:asciiTheme="minorEastAsia" w:hAnsiTheme="minorEastAsia" w:eastAsiaTheme="minorEastAsia"/>
          <w:color w:val="000000" w:themeColor="text1"/>
          <w:sz w:val="28"/>
          <w:szCs w:val="28"/>
          <w:highlight w:val="none"/>
          <w14:textFill>
            <w14:solidFill>
              <w14:schemeClr w14:val="tx1"/>
            </w14:solidFill>
          </w14:textFill>
        </w:rPr>
        <w:t>邮编：</w:t>
      </w:r>
      <w:r>
        <w:rPr>
          <w:rFonts w:hint="eastAsia" w:cs="仿宋" w:asciiTheme="minorEastAsia" w:hAnsiTheme="minorEastAsia" w:eastAsiaTheme="minorEastAsia"/>
          <w:color w:val="000000" w:themeColor="text1"/>
          <w:sz w:val="28"/>
          <w:szCs w:val="28"/>
          <w:highlight w:val="none"/>
          <w:u w:val="dotted"/>
          <w14:textFill>
            <w14:solidFill>
              <w14:schemeClr w14:val="tx1"/>
            </w14:solidFill>
          </w14:textFill>
        </w:rPr>
        <w:t xml:space="preserve">                                                </w:t>
      </w:r>
    </w:p>
    <w:p w14:paraId="1AF486DD">
      <w:pPr>
        <w:pageBreakBefore w:val="0"/>
        <w:wordWrap/>
        <w:topLinePunct w:val="0"/>
        <w:bidi w:val="0"/>
        <w:adjustRightInd w:val="0"/>
        <w:snapToGrid w:val="0"/>
        <w:spacing w:line="560" w:lineRule="exact"/>
        <w:rPr>
          <w:rFonts w:cs="仿宋" w:asciiTheme="minorEastAsia" w:hAnsiTheme="minorEastAsia" w:eastAsiaTheme="minorEastAsia"/>
          <w:bCs/>
          <w:color w:val="000000" w:themeColor="text1"/>
          <w:sz w:val="28"/>
          <w:szCs w:val="28"/>
          <w:highlight w:val="none"/>
          <w14:textFill>
            <w14:solidFill>
              <w14:schemeClr w14:val="tx1"/>
            </w14:solidFill>
          </w14:textFill>
        </w:rPr>
      </w:pPr>
      <w:r>
        <w:rPr>
          <w:rFonts w:hint="eastAsia" w:cs="仿宋" w:asciiTheme="minorEastAsia" w:hAnsiTheme="minorEastAsia" w:eastAsiaTheme="minorEastAsia"/>
          <w:bCs/>
          <w:color w:val="000000" w:themeColor="text1"/>
          <w:sz w:val="28"/>
          <w:szCs w:val="28"/>
          <w:highlight w:val="none"/>
          <w14:textFill>
            <w14:solidFill>
              <w14:schemeClr w14:val="tx1"/>
            </w14:solidFill>
          </w14:textFill>
        </w:rPr>
        <w:t>二、质疑项目基本情况</w:t>
      </w:r>
    </w:p>
    <w:p w14:paraId="2D8302D0">
      <w:pPr>
        <w:pageBreakBefore w:val="0"/>
        <w:wordWrap/>
        <w:topLinePunct w:val="0"/>
        <w:bidi w:val="0"/>
        <w:adjustRightInd w:val="0"/>
        <w:snapToGrid w:val="0"/>
        <w:spacing w:line="560" w:lineRule="exact"/>
        <w:rPr>
          <w:rFonts w:cs="仿宋" w:asciiTheme="minorEastAsia" w:hAnsiTheme="minorEastAsia" w:eastAsiaTheme="minorEastAsia"/>
          <w:color w:val="000000" w:themeColor="text1"/>
          <w:sz w:val="28"/>
          <w:szCs w:val="28"/>
          <w:highlight w:val="none"/>
          <w14:textFill>
            <w14:solidFill>
              <w14:schemeClr w14:val="tx1"/>
            </w14:solidFill>
          </w14:textFill>
        </w:rPr>
      </w:pPr>
      <w:r>
        <w:rPr>
          <w:rFonts w:hint="eastAsia" w:cs="仿宋" w:asciiTheme="minorEastAsia" w:hAnsiTheme="minorEastAsia" w:eastAsiaTheme="minorEastAsia"/>
          <w:color w:val="000000" w:themeColor="text1"/>
          <w:sz w:val="28"/>
          <w:szCs w:val="28"/>
          <w:highlight w:val="none"/>
          <w14:textFill>
            <w14:solidFill>
              <w14:schemeClr w14:val="tx1"/>
            </w14:solidFill>
          </w14:textFill>
        </w:rPr>
        <w:t>质疑项目的名称：</w:t>
      </w:r>
      <w:r>
        <w:rPr>
          <w:rFonts w:hint="eastAsia" w:cs="仿宋" w:asciiTheme="minorEastAsia" w:hAnsiTheme="minorEastAsia" w:eastAsiaTheme="minorEastAsia"/>
          <w:color w:val="000000" w:themeColor="text1"/>
          <w:sz w:val="28"/>
          <w:szCs w:val="28"/>
          <w:highlight w:val="none"/>
          <w:u w:val="dotted"/>
          <w14:textFill>
            <w14:solidFill>
              <w14:schemeClr w14:val="tx1"/>
            </w14:solidFill>
          </w14:textFill>
        </w:rPr>
        <w:t xml:space="preserve">                                            </w:t>
      </w:r>
    </w:p>
    <w:p w14:paraId="3EC3C6A8">
      <w:pPr>
        <w:pageBreakBefore w:val="0"/>
        <w:wordWrap/>
        <w:topLinePunct w:val="0"/>
        <w:bidi w:val="0"/>
        <w:adjustRightInd w:val="0"/>
        <w:snapToGrid w:val="0"/>
        <w:spacing w:line="560" w:lineRule="exact"/>
        <w:rPr>
          <w:rFonts w:cs="仿宋" w:asciiTheme="minorEastAsia" w:hAnsiTheme="minorEastAsia" w:eastAsiaTheme="minorEastAsia"/>
          <w:color w:val="000000" w:themeColor="text1"/>
          <w:sz w:val="28"/>
          <w:szCs w:val="28"/>
          <w:highlight w:val="none"/>
          <w14:textFill>
            <w14:solidFill>
              <w14:schemeClr w14:val="tx1"/>
            </w14:solidFill>
          </w14:textFill>
        </w:rPr>
      </w:pPr>
      <w:r>
        <w:rPr>
          <w:rFonts w:hint="eastAsia" w:cs="仿宋" w:asciiTheme="minorEastAsia" w:hAnsiTheme="minorEastAsia" w:eastAsiaTheme="minorEastAsia"/>
          <w:color w:val="000000" w:themeColor="text1"/>
          <w:sz w:val="28"/>
          <w:szCs w:val="28"/>
          <w:highlight w:val="none"/>
          <w14:textFill>
            <w14:solidFill>
              <w14:schemeClr w14:val="tx1"/>
            </w14:solidFill>
          </w14:textFill>
        </w:rPr>
        <w:t>质疑项目的编号：</w:t>
      </w:r>
      <w:r>
        <w:rPr>
          <w:rFonts w:hint="eastAsia" w:cs="仿宋" w:asciiTheme="minorEastAsia" w:hAnsiTheme="minorEastAsia" w:eastAsiaTheme="minorEastAsia"/>
          <w:color w:val="000000" w:themeColor="text1"/>
          <w:sz w:val="28"/>
          <w:szCs w:val="28"/>
          <w:highlight w:val="none"/>
          <w:u w:val="dotted"/>
          <w14:textFill>
            <w14:solidFill>
              <w14:schemeClr w14:val="tx1"/>
            </w14:solidFill>
          </w14:textFill>
        </w:rPr>
        <w:t xml:space="preserve">                 </w:t>
      </w:r>
      <w:r>
        <w:rPr>
          <w:rFonts w:hint="eastAsia" w:cs="仿宋" w:asciiTheme="minorEastAsia" w:hAnsiTheme="minorEastAsia" w:eastAsiaTheme="minorEastAsia"/>
          <w:color w:val="000000" w:themeColor="text1"/>
          <w:sz w:val="28"/>
          <w:szCs w:val="28"/>
          <w:highlight w:val="none"/>
          <w14:textFill>
            <w14:solidFill>
              <w14:schemeClr w14:val="tx1"/>
            </w14:solidFill>
          </w14:textFill>
        </w:rPr>
        <w:t>包号：</w:t>
      </w:r>
      <w:r>
        <w:rPr>
          <w:rFonts w:hint="eastAsia" w:cs="仿宋" w:asciiTheme="minorEastAsia" w:hAnsiTheme="minorEastAsia" w:eastAsiaTheme="minorEastAsia"/>
          <w:color w:val="000000" w:themeColor="text1"/>
          <w:sz w:val="28"/>
          <w:szCs w:val="28"/>
          <w:highlight w:val="none"/>
          <w:u w:val="dotted"/>
          <w14:textFill>
            <w14:solidFill>
              <w14:schemeClr w14:val="tx1"/>
            </w14:solidFill>
          </w14:textFill>
        </w:rPr>
        <w:t xml:space="preserve">                 </w:t>
      </w:r>
    </w:p>
    <w:p w14:paraId="22F1FA75">
      <w:pPr>
        <w:pageBreakBefore w:val="0"/>
        <w:wordWrap/>
        <w:topLinePunct w:val="0"/>
        <w:bidi w:val="0"/>
        <w:adjustRightInd w:val="0"/>
        <w:snapToGrid w:val="0"/>
        <w:spacing w:line="560" w:lineRule="exact"/>
        <w:rPr>
          <w:rFonts w:cs="仿宋" w:asciiTheme="minorEastAsia" w:hAnsiTheme="minorEastAsia" w:eastAsiaTheme="minorEastAsia"/>
          <w:color w:val="000000" w:themeColor="text1"/>
          <w:sz w:val="28"/>
          <w:szCs w:val="28"/>
          <w:highlight w:val="none"/>
          <w:u w:val="dotted"/>
          <w14:textFill>
            <w14:solidFill>
              <w14:schemeClr w14:val="tx1"/>
            </w14:solidFill>
          </w14:textFill>
        </w:rPr>
      </w:pPr>
      <w:r>
        <w:rPr>
          <w:rFonts w:hint="eastAsia" w:cs="仿宋" w:asciiTheme="minorEastAsia" w:hAnsiTheme="minorEastAsia" w:eastAsiaTheme="minorEastAsia"/>
          <w:color w:val="000000" w:themeColor="text1"/>
          <w:sz w:val="28"/>
          <w:szCs w:val="28"/>
          <w:highlight w:val="none"/>
          <w14:textFill>
            <w14:solidFill>
              <w14:schemeClr w14:val="tx1"/>
            </w14:solidFill>
          </w14:textFill>
        </w:rPr>
        <w:t>采购人名称：</w:t>
      </w:r>
      <w:r>
        <w:rPr>
          <w:rFonts w:hint="eastAsia" w:cs="仿宋" w:asciiTheme="minorEastAsia" w:hAnsiTheme="minorEastAsia" w:eastAsiaTheme="minorEastAsia"/>
          <w:color w:val="000000" w:themeColor="text1"/>
          <w:sz w:val="28"/>
          <w:szCs w:val="28"/>
          <w:highlight w:val="none"/>
          <w:u w:val="dotted"/>
          <w14:textFill>
            <w14:solidFill>
              <w14:schemeClr w14:val="tx1"/>
            </w14:solidFill>
          </w14:textFill>
        </w:rPr>
        <w:t xml:space="preserve">                                            </w:t>
      </w:r>
    </w:p>
    <w:p w14:paraId="380476C0">
      <w:pPr>
        <w:pageBreakBefore w:val="0"/>
        <w:wordWrap/>
        <w:topLinePunct w:val="0"/>
        <w:bidi w:val="0"/>
        <w:adjustRightInd w:val="0"/>
        <w:snapToGrid w:val="0"/>
        <w:spacing w:line="560" w:lineRule="exact"/>
        <w:rPr>
          <w:rFonts w:cs="仿宋" w:asciiTheme="minorEastAsia" w:hAnsiTheme="minorEastAsia" w:eastAsiaTheme="minorEastAsia"/>
          <w:color w:val="000000" w:themeColor="text1"/>
          <w:sz w:val="28"/>
          <w:szCs w:val="28"/>
          <w:highlight w:val="none"/>
          <w14:textFill>
            <w14:solidFill>
              <w14:schemeClr w14:val="tx1"/>
            </w14:solidFill>
          </w14:textFill>
        </w:rPr>
      </w:pPr>
      <w:r>
        <w:rPr>
          <w:rFonts w:hint="eastAsia" w:cs="仿宋" w:asciiTheme="minorEastAsia" w:hAnsiTheme="minorEastAsia" w:eastAsiaTheme="minorEastAsia"/>
          <w:color w:val="000000" w:themeColor="text1"/>
          <w:sz w:val="28"/>
          <w:szCs w:val="28"/>
          <w:highlight w:val="none"/>
          <w14:textFill>
            <w14:solidFill>
              <w14:schemeClr w14:val="tx1"/>
            </w14:solidFill>
          </w14:textFill>
        </w:rPr>
        <w:t>采购文件获取日期：</w:t>
      </w:r>
      <w:r>
        <w:rPr>
          <w:rFonts w:hint="eastAsia" w:cs="仿宋" w:asciiTheme="minorEastAsia" w:hAnsiTheme="minorEastAsia" w:eastAsiaTheme="minorEastAsia"/>
          <w:color w:val="000000" w:themeColor="text1"/>
          <w:sz w:val="28"/>
          <w:szCs w:val="28"/>
          <w:highlight w:val="none"/>
          <w:u w:val="dotted"/>
          <w14:textFill>
            <w14:solidFill>
              <w14:schemeClr w14:val="tx1"/>
            </w14:solidFill>
          </w14:textFill>
        </w:rPr>
        <w:t xml:space="preserve">                                           </w:t>
      </w:r>
    </w:p>
    <w:p w14:paraId="49ECE8BB">
      <w:pPr>
        <w:pageBreakBefore w:val="0"/>
        <w:wordWrap/>
        <w:topLinePunct w:val="0"/>
        <w:bidi w:val="0"/>
        <w:adjustRightInd w:val="0"/>
        <w:snapToGrid w:val="0"/>
        <w:spacing w:line="560" w:lineRule="exact"/>
        <w:rPr>
          <w:rFonts w:cs="仿宋" w:asciiTheme="minorEastAsia" w:hAnsiTheme="minorEastAsia" w:eastAsiaTheme="minorEastAsia"/>
          <w:bCs/>
          <w:color w:val="000000" w:themeColor="text1"/>
          <w:sz w:val="28"/>
          <w:szCs w:val="28"/>
          <w:highlight w:val="none"/>
          <w14:textFill>
            <w14:solidFill>
              <w14:schemeClr w14:val="tx1"/>
            </w14:solidFill>
          </w14:textFill>
        </w:rPr>
      </w:pPr>
      <w:r>
        <w:rPr>
          <w:rFonts w:hint="eastAsia" w:cs="仿宋" w:asciiTheme="minorEastAsia" w:hAnsiTheme="minorEastAsia" w:eastAsiaTheme="minorEastAsia"/>
          <w:bCs/>
          <w:color w:val="000000" w:themeColor="text1"/>
          <w:sz w:val="28"/>
          <w:szCs w:val="28"/>
          <w:highlight w:val="none"/>
          <w14:textFill>
            <w14:solidFill>
              <w14:schemeClr w14:val="tx1"/>
            </w14:solidFill>
          </w14:textFill>
        </w:rPr>
        <w:t>三、质疑事项具体内容</w:t>
      </w:r>
    </w:p>
    <w:p w14:paraId="6795DAF9">
      <w:pPr>
        <w:pageBreakBefore w:val="0"/>
        <w:wordWrap/>
        <w:topLinePunct w:val="0"/>
        <w:bidi w:val="0"/>
        <w:adjustRightInd w:val="0"/>
        <w:snapToGrid w:val="0"/>
        <w:spacing w:line="560" w:lineRule="exact"/>
        <w:rPr>
          <w:rFonts w:cs="仿宋" w:asciiTheme="minorEastAsia" w:hAnsiTheme="minorEastAsia" w:eastAsiaTheme="minorEastAsia"/>
          <w:color w:val="000000" w:themeColor="text1"/>
          <w:sz w:val="28"/>
          <w:szCs w:val="28"/>
          <w:highlight w:val="none"/>
          <w:u w:val="dotted"/>
          <w14:textFill>
            <w14:solidFill>
              <w14:schemeClr w14:val="tx1"/>
            </w14:solidFill>
          </w14:textFill>
        </w:rPr>
      </w:pPr>
      <w:r>
        <w:rPr>
          <w:rFonts w:hint="eastAsia" w:cs="仿宋" w:asciiTheme="minorEastAsia" w:hAnsiTheme="minorEastAsia" w:eastAsiaTheme="minorEastAsia"/>
          <w:color w:val="000000" w:themeColor="text1"/>
          <w:sz w:val="28"/>
          <w:szCs w:val="28"/>
          <w:highlight w:val="none"/>
          <w14:textFill>
            <w14:solidFill>
              <w14:schemeClr w14:val="tx1"/>
            </w14:solidFill>
          </w14:textFill>
        </w:rPr>
        <w:t>质疑事项1：</w:t>
      </w:r>
      <w:r>
        <w:rPr>
          <w:rFonts w:hint="eastAsia" w:cs="仿宋" w:asciiTheme="minorEastAsia" w:hAnsiTheme="minorEastAsia" w:eastAsiaTheme="minorEastAsia"/>
          <w:color w:val="000000" w:themeColor="text1"/>
          <w:sz w:val="28"/>
          <w:szCs w:val="28"/>
          <w:highlight w:val="none"/>
          <w:u w:val="dotted"/>
          <w14:textFill>
            <w14:solidFill>
              <w14:schemeClr w14:val="tx1"/>
            </w14:solidFill>
          </w14:textFill>
        </w:rPr>
        <w:t xml:space="preserve">                                         </w:t>
      </w:r>
    </w:p>
    <w:p w14:paraId="1E5C82FA">
      <w:pPr>
        <w:pageBreakBefore w:val="0"/>
        <w:wordWrap/>
        <w:topLinePunct w:val="0"/>
        <w:bidi w:val="0"/>
        <w:adjustRightInd w:val="0"/>
        <w:snapToGrid w:val="0"/>
        <w:spacing w:line="560" w:lineRule="exact"/>
        <w:rPr>
          <w:rFonts w:cs="仿宋" w:asciiTheme="minorEastAsia" w:hAnsiTheme="minorEastAsia" w:eastAsiaTheme="minorEastAsia"/>
          <w:color w:val="000000" w:themeColor="text1"/>
          <w:sz w:val="28"/>
          <w:szCs w:val="28"/>
          <w:highlight w:val="none"/>
          <w:u w:val="dotted"/>
          <w14:textFill>
            <w14:solidFill>
              <w14:schemeClr w14:val="tx1"/>
            </w14:solidFill>
          </w14:textFill>
        </w:rPr>
      </w:pPr>
      <w:r>
        <w:rPr>
          <w:rFonts w:hint="eastAsia" w:cs="仿宋" w:asciiTheme="minorEastAsia" w:hAnsiTheme="minorEastAsia" w:eastAsiaTheme="minorEastAsia"/>
          <w:color w:val="000000" w:themeColor="text1"/>
          <w:sz w:val="28"/>
          <w:szCs w:val="28"/>
          <w:highlight w:val="none"/>
          <w14:textFill>
            <w14:solidFill>
              <w14:schemeClr w14:val="tx1"/>
            </w14:solidFill>
          </w14:textFill>
        </w:rPr>
        <w:t>事实依据：</w:t>
      </w:r>
      <w:r>
        <w:rPr>
          <w:rFonts w:hint="eastAsia" w:cs="仿宋" w:asciiTheme="minorEastAsia" w:hAnsiTheme="minorEastAsia" w:eastAsiaTheme="minorEastAsia"/>
          <w:color w:val="000000" w:themeColor="text1"/>
          <w:sz w:val="28"/>
          <w:szCs w:val="28"/>
          <w:highlight w:val="none"/>
          <w:u w:val="dotted"/>
          <w14:textFill>
            <w14:solidFill>
              <w14:schemeClr w14:val="tx1"/>
            </w14:solidFill>
          </w14:textFill>
        </w:rPr>
        <w:t xml:space="preserve">                                          </w:t>
      </w:r>
    </w:p>
    <w:p w14:paraId="459ADC9F">
      <w:pPr>
        <w:pageBreakBefore w:val="0"/>
        <w:wordWrap/>
        <w:topLinePunct w:val="0"/>
        <w:bidi w:val="0"/>
        <w:adjustRightInd w:val="0"/>
        <w:snapToGrid w:val="0"/>
        <w:spacing w:line="560" w:lineRule="exact"/>
        <w:rPr>
          <w:rFonts w:cs="仿宋" w:asciiTheme="minorEastAsia" w:hAnsiTheme="minorEastAsia" w:eastAsiaTheme="minorEastAsia"/>
          <w:color w:val="000000" w:themeColor="text1"/>
          <w:sz w:val="28"/>
          <w:szCs w:val="28"/>
          <w:highlight w:val="none"/>
          <w:u w:val="dotted"/>
          <w14:textFill>
            <w14:solidFill>
              <w14:schemeClr w14:val="tx1"/>
            </w14:solidFill>
          </w14:textFill>
        </w:rPr>
      </w:pPr>
      <w:r>
        <w:rPr>
          <w:rFonts w:hint="eastAsia" w:cs="仿宋" w:asciiTheme="minorEastAsia" w:hAnsiTheme="minorEastAsia" w:eastAsiaTheme="minorEastAsia"/>
          <w:color w:val="000000" w:themeColor="text1"/>
          <w:sz w:val="28"/>
          <w:szCs w:val="28"/>
          <w:highlight w:val="none"/>
          <w14:textFill>
            <w14:solidFill>
              <w14:schemeClr w14:val="tx1"/>
            </w14:solidFill>
          </w14:textFill>
        </w:rPr>
        <w:t>法律依据：</w:t>
      </w:r>
      <w:r>
        <w:rPr>
          <w:rFonts w:hint="eastAsia" w:cs="仿宋" w:asciiTheme="minorEastAsia" w:hAnsiTheme="minorEastAsia" w:eastAsiaTheme="minorEastAsia"/>
          <w:color w:val="000000" w:themeColor="text1"/>
          <w:sz w:val="28"/>
          <w:szCs w:val="28"/>
          <w:highlight w:val="none"/>
          <w:u w:val="dotted"/>
          <w14:textFill>
            <w14:solidFill>
              <w14:schemeClr w14:val="tx1"/>
            </w14:solidFill>
          </w14:textFill>
        </w:rPr>
        <w:t xml:space="preserve">                                          </w:t>
      </w:r>
    </w:p>
    <w:p w14:paraId="112B9BA5">
      <w:pPr>
        <w:pageBreakBefore w:val="0"/>
        <w:wordWrap/>
        <w:topLinePunct w:val="0"/>
        <w:bidi w:val="0"/>
        <w:adjustRightInd w:val="0"/>
        <w:snapToGrid w:val="0"/>
        <w:spacing w:line="560" w:lineRule="exact"/>
        <w:rPr>
          <w:rFonts w:cs="仿宋" w:asciiTheme="minorEastAsia" w:hAnsiTheme="minorEastAsia" w:eastAsiaTheme="minorEastAsia"/>
          <w:color w:val="000000" w:themeColor="text1"/>
          <w:sz w:val="28"/>
          <w:szCs w:val="28"/>
          <w:highlight w:val="none"/>
          <w:u w:val="dotted"/>
          <w14:textFill>
            <w14:solidFill>
              <w14:schemeClr w14:val="tx1"/>
            </w14:solidFill>
          </w14:textFill>
        </w:rPr>
      </w:pPr>
      <w:r>
        <w:rPr>
          <w:rFonts w:hint="eastAsia" w:cs="仿宋" w:asciiTheme="minorEastAsia" w:hAnsiTheme="minorEastAsia" w:eastAsiaTheme="minorEastAsia"/>
          <w:color w:val="000000" w:themeColor="text1"/>
          <w:sz w:val="28"/>
          <w:szCs w:val="28"/>
          <w:highlight w:val="none"/>
          <w14:textFill>
            <w14:solidFill>
              <w14:schemeClr w14:val="tx1"/>
            </w14:solidFill>
          </w14:textFill>
        </w:rPr>
        <w:t>质疑事项2</w:t>
      </w:r>
    </w:p>
    <w:p w14:paraId="628FE4AE">
      <w:pPr>
        <w:pageBreakBefore w:val="0"/>
        <w:wordWrap/>
        <w:topLinePunct w:val="0"/>
        <w:bidi w:val="0"/>
        <w:adjustRightInd w:val="0"/>
        <w:snapToGrid w:val="0"/>
        <w:spacing w:line="560" w:lineRule="exact"/>
        <w:rPr>
          <w:rFonts w:cs="仿宋" w:asciiTheme="minorEastAsia" w:hAnsiTheme="minorEastAsia" w:eastAsiaTheme="minorEastAsia"/>
          <w:bCs/>
          <w:color w:val="000000" w:themeColor="text1"/>
          <w:sz w:val="28"/>
          <w:szCs w:val="28"/>
          <w:highlight w:val="none"/>
          <w14:textFill>
            <w14:solidFill>
              <w14:schemeClr w14:val="tx1"/>
            </w14:solidFill>
          </w14:textFill>
        </w:rPr>
      </w:pPr>
      <w:r>
        <w:rPr>
          <w:rFonts w:hint="eastAsia" w:cs="仿宋" w:asciiTheme="minorEastAsia" w:hAnsiTheme="minorEastAsia" w:eastAsiaTheme="minorEastAsia"/>
          <w:bCs/>
          <w:color w:val="000000" w:themeColor="text1"/>
          <w:sz w:val="28"/>
          <w:szCs w:val="28"/>
          <w:highlight w:val="none"/>
          <w14:textFill>
            <w14:solidFill>
              <w14:schemeClr w14:val="tx1"/>
            </w14:solidFill>
          </w14:textFill>
        </w:rPr>
        <w:t>四、与质疑事项相关的质疑请求</w:t>
      </w:r>
    </w:p>
    <w:p w14:paraId="3A193635">
      <w:pPr>
        <w:pageBreakBefore w:val="0"/>
        <w:wordWrap/>
        <w:topLinePunct w:val="0"/>
        <w:bidi w:val="0"/>
        <w:adjustRightInd w:val="0"/>
        <w:snapToGrid w:val="0"/>
        <w:spacing w:line="560" w:lineRule="exact"/>
        <w:rPr>
          <w:rFonts w:cs="仿宋" w:asciiTheme="minorEastAsia" w:hAnsiTheme="minorEastAsia" w:eastAsiaTheme="minorEastAsia"/>
          <w:color w:val="000000" w:themeColor="text1"/>
          <w:sz w:val="28"/>
          <w:szCs w:val="28"/>
          <w:highlight w:val="none"/>
          <w:u w:val="dotted"/>
          <w14:textFill>
            <w14:solidFill>
              <w14:schemeClr w14:val="tx1"/>
            </w14:solidFill>
          </w14:textFill>
        </w:rPr>
      </w:pPr>
      <w:r>
        <w:rPr>
          <w:rFonts w:hint="eastAsia" w:cs="仿宋" w:asciiTheme="minorEastAsia" w:hAnsiTheme="minorEastAsia" w:eastAsiaTheme="minorEastAsia"/>
          <w:color w:val="000000" w:themeColor="text1"/>
          <w:sz w:val="28"/>
          <w:szCs w:val="28"/>
          <w:highlight w:val="none"/>
          <w14:textFill>
            <w14:solidFill>
              <w14:schemeClr w14:val="tx1"/>
            </w14:solidFill>
          </w14:textFill>
        </w:rPr>
        <w:t>请求：</w:t>
      </w:r>
      <w:r>
        <w:rPr>
          <w:rFonts w:hint="eastAsia" w:cs="仿宋" w:asciiTheme="minorEastAsia" w:hAnsiTheme="minorEastAsia" w:eastAsiaTheme="minorEastAsia"/>
          <w:color w:val="000000" w:themeColor="text1"/>
          <w:sz w:val="28"/>
          <w:szCs w:val="28"/>
          <w:highlight w:val="none"/>
          <w:u w:val="dotted"/>
          <w14:textFill>
            <w14:solidFill>
              <w14:schemeClr w14:val="tx1"/>
            </w14:solidFill>
          </w14:textFill>
        </w:rPr>
        <w:t xml:space="preserve">                                               </w:t>
      </w:r>
    </w:p>
    <w:p w14:paraId="4351ABEF">
      <w:pPr>
        <w:pageBreakBefore w:val="0"/>
        <w:wordWrap/>
        <w:topLinePunct w:val="0"/>
        <w:bidi w:val="0"/>
        <w:adjustRightInd w:val="0"/>
        <w:snapToGrid w:val="0"/>
        <w:spacing w:line="560" w:lineRule="exact"/>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 xml:space="preserve">签字(签章)：                   公章：                      </w:t>
      </w:r>
    </w:p>
    <w:p w14:paraId="76390892">
      <w:pPr>
        <w:pageBreakBefore w:val="0"/>
        <w:wordWrap/>
        <w:topLinePunct w:val="0"/>
        <w:bidi w:val="0"/>
        <w:adjustRightInd w:val="0"/>
        <w:snapToGrid w:val="0"/>
        <w:spacing w:line="560" w:lineRule="exact"/>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 xml:space="preserve">日期：    </w:t>
      </w:r>
    </w:p>
    <w:p w14:paraId="42AF4979">
      <w:pPr>
        <w:pageBreakBefore w:val="0"/>
        <w:wordWrap/>
        <w:topLinePunct w:val="0"/>
        <w:bidi w:val="0"/>
        <w:spacing w:line="560" w:lineRule="exact"/>
        <w:rPr>
          <w:rFonts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质疑函制作说明：</w:t>
      </w:r>
    </w:p>
    <w:p w14:paraId="3D6CA399">
      <w:pPr>
        <w:pageBreakBefore w:val="0"/>
        <w:widowControl/>
        <w:wordWrap/>
        <w:topLinePunct w:val="0"/>
        <w:bidi w:val="0"/>
        <w:spacing w:line="560" w:lineRule="exact"/>
        <w:ind w:firstLine="480" w:firstLineChars="200"/>
        <w:jc w:val="left"/>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1.供应商提出质疑时，应提交质疑函和必要的证明材料。</w:t>
      </w:r>
    </w:p>
    <w:p w14:paraId="29B38EAD">
      <w:pPr>
        <w:pageBreakBefore w:val="0"/>
        <w:widowControl/>
        <w:wordWrap/>
        <w:topLinePunct w:val="0"/>
        <w:bidi w:val="0"/>
        <w:spacing w:line="560" w:lineRule="exact"/>
        <w:ind w:firstLine="480" w:firstLineChars="200"/>
        <w:jc w:val="left"/>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2.质疑供应商若委托代理人进行质疑的，质疑函应按要求列明“授权代表”的有关内容，并在附件中提交由质疑</w:t>
      </w:r>
      <w:r>
        <w:rPr>
          <w:rFonts w:hint="eastAsia" w:cs="宋体" w:asciiTheme="minorEastAsia" w:hAnsiTheme="minorEastAsia" w:eastAsiaTheme="minorEastAsia"/>
          <w:color w:val="000000" w:themeColor="text1"/>
          <w:kern w:val="0"/>
          <w:sz w:val="24"/>
          <w:highlight w:val="none"/>
          <w14:textFill>
            <w14:solidFill>
              <w14:schemeClr w14:val="tx1"/>
            </w14:solidFill>
          </w14:textFill>
        </w:rPr>
        <w:t>供应商签署的授权委托书。授权委托书应载明代理人的姓名或者名称、代理事项、具体权限、期限和相关事项。</w:t>
      </w:r>
    </w:p>
    <w:p w14:paraId="1C5F6050">
      <w:pPr>
        <w:pageBreakBefore w:val="0"/>
        <w:widowControl/>
        <w:wordWrap/>
        <w:topLinePunct w:val="0"/>
        <w:bidi w:val="0"/>
        <w:spacing w:line="560" w:lineRule="exact"/>
        <w:ind w:firstLine="480" w:firstLineChars="200"/>
        <w:jc w:val="left"/>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3.质疑供应商若对项目的某一分包进行质疑，质疑函中应列明具体分包号。</w:t>
      </w:r>
    </w:p>
    <w:p w14:paraId="648EE651">
      <w:pPr>
        <w:pageBreakBefore w:val="0"/>
        <w:widowControl/>
        <w:wordWrap/>
        <w:topLinePunct w:val="0"/>
        <w:bidi w:val="0"/>
        <w:spacing w:line="560" w:lineRule="exact"/>
        <w:ind w:firstLine="480" w:firstLineChars="200"/>
        <w:jc w:val="left"/>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4.质疑函的质疑事项应具体、明确，并有必要的事实依据和法律依据。</w:t>
      </w:r>
    </w:p>
    <w:p w14:paraId="6CB55AE1">
      <w:pPr>
        <w:pageBreakBefore w:val="0"/>
        <w:widowControl/>
        <w:wordWrap/>
        <w:topLinePunct w:val="0"/>
        <w:bidi w:val="0"/>
        <w:spacing w:line="560" w:lineRule="exact"/>
        <w:ind w:firstLine="480" w:firstLineChars="200"/>
        <w:jc w:val="left"/>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5.质疑函的质疑请求应与质疑事项相关。</w:t>
      </w:r>
    </w:p>
    <w:p w14:paraId="33194FF6">
      <w:pPr>
        <w:pageBreakBefore w:val="0"/>
        <w:widowControl/>
        <w:wordWrap/>
        <w:topLinePunct w:val="0"/>
        <w:bidi w:val="0"/>
        <w:spacing w:line="560" w:lineRule="exact"/>
        <w:ind w:firstLine="480" w:firstLineChars="200"/>
        <w:jc w:val="left"/>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6.质疑供应商为自然人的，质疑函应由本人签字；质疑供应商为法人或者其他组织的，质疑函应由法定代表人、主要负责人，或者其授权代表签字或者盖章，并加盖公章。</w:t>
      </w:r>
    </w:p>
    <w:p w14:paraId="0EE8BF26">
      <w:pPr>
        <w:pageBreakBefore w:val="0"/>
        <w:widowControl/>
        <w:wordWrap/>
        <w:topLinePunct w:val="0"/>
        <w:bidi w:val="0"/>
        <w:spacing w:line="560" w:lineRule="exact"/>
        <w:ind w:firstLine="600" w:firstLineChars="200"/>
        <w:jc w:val="left"/>
        <w:rPr>
          <w:rFonts w:ascii="仿宋_GB2312" w:eastAsia="仿宋_GB2312"/>
          <w:color w:val="000000" w:themeColor="text1"/>
          <w:sz w:val="30"/>
          <w:szCs w:val="30"/>
          <w:highlight w:val="none"/>
          <w14:textFill>
            <w14:solidFill>
              <w14:schemeClr w14:val="tx1"/>
            </w14:solidFill>
          </w14:textFill>
        </w:rPr>
      </w:pPr>
    </w:p>
    <w:p w14:paraId="436C936B">
      <w:pPr>
        <w:pageBreakBefore w:val="0"/>
        <w:widowControl/>
        <w:wordWrap/>
        <w:topLinePunct w:val="0"/>
        <w:bidi w:val="0"/>
        <w:spacing w:line="560" w:lineRule="exact"/>
        <w:jc w:val="left"/>
        <w:rPr>
          <w:rFonts w:ascii="ˎ̥" w:hAnsi="ˎ̥" w:cs="宋体"/>
          <w:color w:val="000000" w:themeColor="text1"/>
          <w:kern w:val="0"/>
          <w:sz w:val="24"/>
          <w:highlight w:val="none"/>
          <w14:textFill>
            <w14:solidFill>
              <w14:schemeClr w14:val="tx1"/>
            </w14:solidFill>
          </w14:textFill>
        </w:rPr>
        <w:sectPr>
          <w:pgSz w:w="11906" w:h="16838"/>
          <w:pgMar w:top="1134" w:right="1134" w:bottom="1134" w:left="1134" w:header="720" w:footer="720" w:gutter="0"/>
          <w:pgNumType w:fmt="decimal"/>
          <w:cols w:space="720" w:num="1"/>
          <w:docGrid w:type="lines" w:linePitch="331" w:charSpace="0"/>
        </w:sectPr>
      </w:pPr>
    </w:p>
    <w:p w14:paraId="5D1666DD">
      <w:pPr>
        <w:pStyle w:val="3"/>
        <w:pageBreakBefore w:val="0"/>
        <w:wordWrap/>
        <w:topLinePunct w:val="0"/>
        <w:bidi w:val="0"/>
        <w:spacing w:line="560" w:lineRule="exact"/>
        <w:jc w:val="center"/>
        <w:rPr>
          <w:rFonts w:ascii="宋体" w:hAnsi="宋体"/>
          <w:b w:val="0"/>
          <w:bCs w:val="0"/>
          <w:color w:val="000000" w:themeColor="text1"/>
          <w:highlight w:val="none"/>
          <w14:textFill>
            <w14:solidFill>
              <w14:schemeClr w14:val="tx1"/>
            </w14:solidFill>
          </w14:textFill>
        </w:rPr>
      </w:pPr>
      <w:bookmarkStart w:id="246" w:name="_Toc140742000"/>
      <w:bookmarkStart w:id="247" w:name="_Toc140742545"/>
      <w:bookmarkStart w:id="248" w:name="_Toc20151"/>
      <w:bookmarkStart w:id="249" w:name="_Toc138610914"/>
      <w:r>
        <w:rPr>
          <w:rFonts w:hint="eastAsia" w:ascii="宋体" w:hAnsi="宋体"/>
          <w:b w:val="0"/>
          <w:bCs w:val="0"/>
          <w:color w:val="000000" w:themeColor="text1"/>
          <w:highlight w:val="none"/>
          <w14:textFill>
            <w14:solidFill>
              <w14:schemeClr w14:val="tx1"/>
            </w14:solidFill>
          </w14:textFill>
        </w:rPr>
        <w:t>第二节 投诉书（格式）</w:t>
      </w:r>
      <w:bookmarkEnd w:id="246"/>
      <w:bookmarkEnd w:id="247"/>
      <w:bookmarkEnd w:id="248"/>
      <w:bookmarkEnd w:id="249"/>
    </w:p>
    <w:p w14:paraId="626C2ED2">
      <w:pPr>
        <w:pageBreakBefore w:val="0"/>
        <w:wordWrap/>
        <w:topLinePunct w:val="0"/>
        <w:bidi w:val="0"/>
        <w:spacing w:line="560" w:lineRule="exact"/>
        <w:jc w:val="center"/>
        <w:rPr>
          <w:rFonts w:ascii="宋体" w:hAnsi="宋体"/>
          <w:b/>
          <w:color w:val="000000" w:themeColor="text1"/>
          <w:sz w:val="44"/>
          <w:szCs w:val="44"/>
          <w:highlight w:val="none"/>
          <w14:textFill>
            <w14:solidFill>
              <w14:schemeClr w14:val="tx1"/>
            </w14:solidFill>
          </w14:textFill>
        </w:rPr>
      </w:pPr>
      <w:r>
        <w:rPr>
          <w:rFonts w:hint="eastAsia" w:ascii="宋体" w:hAnsi="宋体"/>
          <w:b/>
          <w:color w:val="000000" w:themeColor="text1"/>
          <w:sz w:val="44"/>
          <w:szCs w:val="44"/>
          <w:highlight w:val="none"/>
          <w14:textFill>
            <w14:solidFill>
              <w14:schemeClr w14:val="tx1"/>
            </w14:solidFill>
          </w14:textFill>
        </w:rPr>
        <w:t>投诉书范本</w:t>
      </w:r>
    </w:p>
    <w:p w14:paraId="547407B5">
      <w:pPr>
        <w:pageBreakBefore w:val="0"/>
        <w:wordWrap/>
        <w:topLinePunct w:val="0"/>
        <w:bidi w:val="0"/>
        <w:spacing w:line="560" w:lineRule="exact"/>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一、投诉相关主体基本情况</w:t>
      </w:r>
    </w:p>
    <w:p w14:paraId="551C7C87">
      <w:pPr>
        <w:pageBreakBefore w:val="0"/>
        <w:wordWrap/>
        <w:topLinePunct w:val="0"/>
        <w:bidi w:val="0"/>
        <w:spacing w:line="560" w:lineRule="exact"/>
        <w:rPr>
          <w:rFonts w:asciiTheme="minorEastAsia" w:hAnsiTheme="minorEastAsia" w:eastAsiaTheme="minorEastAsia"/>
          <w:color w:val="000000" w:themeColor="text1"/>
          <w:sz w:val="28"/>
          <w:szCs w:val="28"/>
          <w:highlight w:val="none"/>
          <w:u w:val="dotted"/>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投诉人：</w:t>
      </w:r>
      <w:r>
        <w:rPr>
          <w:rFonts w:hint="eastAsia" w:asciiTheme="minorEastAsia" w:hAnsiTheme="minorEastAsia" w:eastAsiaTheme="minorEastAsia"/>
          <w:color w:val="000000" w:themeColor="text1"/>
          <w:sz w:val="28"/>
          <w:szCs w:val="28"/>
          <w:highlight w:val="none"/>
          <w:u w:val="dotted"/>
          <w14:textFill>
            <w14:solidFill>
              <w14:schemeClr w14:val="tx1"/>
            </w14:solidFill>
          </w14:textFill>
        </w:rPr>
        <w:t xml:space="preserve">                                               </w:t>
      </w:r>
    </w:p>
    <w:p w14:paraId="1238FA77">
      <w:pPr>
        <w:pageBreakBefore w:val="0"/>
        <w:wordWrap/>
        <w:topLinePunct w:val="0"/>
        <w:bidi w:val="0"/>
        <w:spacing w:line="560" w:lineRule="exact"/>
        <w:rPr>
          <w:rFonts w:asciiTheme="minorEastAsia" w:hAnsiTheme="minorEastAsia" w:eastAsiaTheme="minorEastAsia"/>
          <w:color w:val="000000" w:themeColor="text1"/>
          <w:sz w:val="28"/>
          <w:szCs w:val="28"/>
          <w:highlight w:val="none"/>
          <w:u w:val="singl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地     址：</w:t>
      </w:r>
      <w:r>
        <w:rPr>
          <w:rFonts w:hint="eastAsia" w:asciiTheme="minorEastAsia" w:hAnsiTheme="minorEastAsia" w:eastAsiaTheme="minorEastAsia"/>
          <w:color w:val="000000" w:themeColor="text1"/>
          <w:sz w:val="28"/>
          <w:szCs w:val="28"/>
          <w:highlight w:val="none"/>
          <w:u w:val="dotted"/>
          <w14:textFill>
            <w14:solidFill>
              <w14:schemeClr w14:val="tx1"/>
            </w14:solidFill>
          </w14:textFill>
        </w:rPr>
        <w:t xml:space="preserve">                             </w:t>
      </w:r>
      <w:r>
        <w:rPr>
          <w:rFonts w:hint="eastAsia" w:asciiTheme="minorEastAsia" w:hAnsiTheme="minorEastAsia" w:eastAsiaTheme="minorEastAsia"/>
          <w:color w:val="000000" w:themeColor="text1"/>
          <w:sz w:val="28"/>
          <w:szCs w:val="28"/>
          <w:highlight w:val="none"/>
          <w14:textFill>
            <w14:solidFill>
              <w14:schemeClr w14:val="tx1"/>
            </w14:solidFill>
          </w14:textFill>
        </w:rPr>
        <w:t>邮编：</w:t>
      </w:r>
      <w:r>
        <w:rPr>
          <w:rFonts w:hint="eastAsia" w:asciiTheme="minorEastAsia" w:hAnsiTheme="minorEastAsia" w:eastAsiaTheme="minorEastAsia"/>
          <w:color w:val="000000" w:themeColor="text1"/>
          <w:sz w:val="28"/>
          <w:szCs w:val="28"/>
          <w:highlight w:val="none"/>
          <w:u w:val="dotted"/>
          <w14:textFill>
            <w14:solidFill>
              <w14:schemeClr w14:val="tx1"/>
            </w14:solidFill>
          </w14:textFill>
        </w:rPr>
        <w:t xml:space="preserve">         </w:t>
      </w:r>
      <w:r>
        <w:rPr>
          <w:rFonts w:hint="eastAsia" w:asciiTheme="minorEastAsia" w:hAnsiTheme="minorEastAsia" w:eastAsiaTheme="minorEastAsia"/>
          <w:color w:val="000000" w:themeColor="text1"/>
          <w:sz w:val="28"/>
          <w:szCs w:val="28"/>
          <w:highlight w:val="none"/>
          <w:u w:val="single"/>
          <w14:textFill>
            <w14:solidFill>
              <w14:schemeClr w14:val="tx1"/>
            </w14:solidFill>
          </w14:textFill>
        </w:rPr>
        <w:t xml:space="preserve">   </w:t>
      </w:r>
    </w:p>
    <w:p w14:paraId="29779724">
      <w:pPr>
        <w:pageBreakBefore w:val="0"/>
        <w:tabs>
          <w:tab w:val="left" w:pos="6510"/>
        </w:tabs>
        <w:wordWrap/>
        <w:topLinePunct w:val="0"/>
        <w:bidi w:val="0"/>
        <w:spacing w:line="560" w:lineRule="exact"/>
        <w:jc w:val="left"/>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法定代表人/主要负责人：</w:t>
      </w:r>
      <w:r>
        <w:rPr>
          <w:rFonts w:hint="eastAsia" w:asciiTheme="minorEastAsia" w:hAnsiTheme="minorEastAsia" w:eastAsiaTheme="minorEastAsia"/>
          <w:color w:val="000000" w:themeColor="text1"/>
          <w:sz w:val="28"/>
          <w:szCs w:val="28"/>
          <w:highlight w:val="none"/>
          <w:u w:val="dotted"/>
          <w14:textFill>
            <w14:solidFill>
              <w14:schemeClr w14:val="tx1"/>
            </w14:solidFill>
          </w14:textFill>
        </w:rPr>
        <w:t xml:space="preserve">                                   </w:t>
      </w:r>
      <w:r>
        <w:rPr>
          <w:rFonts w:hint="eastAsia" w:asciiTheme="minorEastAsia" w:hAnsiTheme="minorEastAsia" w:eastAsiaTheme="minorEastAsia"/>
          <w:color w:val="000000" w:themeColor="text1"/>
          <w:sz w:val="28"/>
          <w:szCs w:val="28"/>
          <w:highlight w:val="none"/>
          <w14:textFill>
            <w14:solidFill>
              <w14:schemeClr w14:val="tx1"/>
            </w14:solidFill>
          </w14:textFill>
        </w:rPr>
        <w:t xml:space="preserve">  </w:t>
      </w:r>
    </w:p>
    <w:p w14:paraId="4B5794BC">
      <w:pPr>
        <w:pageBreakBefore w:val="0"/>
        <w:tabs>
          <w:tab w:val="left" w:pos="6510"/>
        </w:tabs>
        <w:wordWrap/>
        <w:topLinePunct w:val="0"/>
        <w:bidi w:val="0"/>
        <w:spacing w:line="560" w:lineRule="exact"/>
        <w:rPr>
          <w:rFonts w:asciiTheme="minorEastAsia" w:hAnsiTheme="minorEastAsia" w:eastAsiaTheme="minorEastAsia"/>
          <w:color w:val="000000" w:themeColor="text1"/>
          <w:sz w:val="28"/>
          <w:szCs w:val="28"/>
          <w:highlight w:val="none"/>
          <w:u w:val="dotted"/>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联系电话：</w:t>
      </w:r>
      <w:r>
        <w:rPr>
          <w:rFonts w:hint="eastAsia" w:asciiTheme="minorEastAsia" w:hAnsiTheme="minorEastAsia" w:eastAsiaTheme="minorEastAsia"/>
          <w:color w:val="000000" w:themeColor="text1"/>
          <w:sz w:val="28"/>
          <w:szCs w:val="28"/>
          <w:highlight w:val="none"/>
          <w:u w:val="dotted"/>
          <w14:textFill>
            <w14:solidFill>
              <w14:schemeClr w14:val="tx1"/>
            </w14:solidFill>
          </w14:textFill>
        </w:rPr>
        <w:t xml:space="preserve">                                             </w:t>
      </w:r>
    </w:p>
    <w:p w14:paraId="5B70AB4F">
      <w:pPr>
        <w:pageBreakBefore w:val="0"/>
        <w:wordWrap/>
        <w:topLinePunct w:val="0"/>
        <w:bidi w:val="0"/>
        <w:spacing w:line="560" w:lineRule="exact"/>
        <w:rPr>
          <w:rFonts w:asciiTheme="minorEastAsia" w:hAnsiTheme="minorEastAsia" w:eastAsiaTheme="minorEastAsia"/>
          <w:color w:val="000000" w:themeColor="text1"/>
          <w:sz w:val="28"/>
          <w:szCs w:val="28"/>
          <w:highlight w:val="none"/>
          <w:u w:val="dotted"/>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授权代表：</w:t>
      </w:r>
      <w:r>
        <w:rPr>
          <w:rFonts w:hint="eastAsia" w:asciiTheme="minorEastAsia" w:hAnsiTheme="minorEastAsia" w:eastAsiaTheme="minorEastAsia"/>
          <w:color w:val="000000" w:themeColor="text1"/>
          <w:sz w:val="28"/>
          <w:szCs w:val="28"/>
          <w:highlight w:val="none"/>
          <w:u w:val="dotted"/>
          <w14:textFill>
            <w14:solidFill>
              <w14:schemeClr w14:val="tx1"/>
            </w14:solidFill>
          </w14:textFill>
        </w:rPr>
        <w:t xml:space="preserve">             </w:t>
      </w:r>
      <w:r>
        <w:rPr>
          <w:rFonts w:hint="eastAsia" w:asciiTheme="minorEastAsia" w:hAnsiTheme="minorEastAsia" w:eastAsiaTheme="minorEastAsia"/>
          <w:color w:val="000000" w:themeColor="text1"/>
          <w:sz w:val="28"/>
          <w:szCs w:val="28"/>
          <w:highlight w:val="none"/>
          <w14:textFill>
            <w14:solidFill>
              <w14:schemeClr w14:val="tx1"/>
            </w14:solidFill>
          </w14:textFill>
        </w:rPr>
        <w:t>联系电话</w:t>
      </w:r>
      <w:r>
        <w:rPr>
          <w:rFonts w:hint="eastAsia" w:asciiTheme="minorEastAsia" w:hAnsiTheme="minorEastAsia" w:eastAsiaTheme="minorEastAsia"/>
          <w:color w:val="000000" w:themeColor="text1"/>
          <w:sz w:val="28"/>
          <w:szCs w:val="28"/>
          <w:highlight w:val="none"/>
          <w:u w:val="dotted"/>
          <w14:textFill>
            <w14:solidFill>
              <w14:schemeClr w14:val="tx1"/>
            </w14:solidFill>
          </w14:textFill>
        </w:rPr>
        <w:t xml:space="preserve">：                  </w:t>
      </w:r>
    </w:p>
    <w:p w14:paraId="2BDC0098">
      <w:pPr>
        <w:pageBreakBefore w:val="0"/>
        <w:wordWrap/>
        <w:topLinePunct w:val="0"/>
        <w:bidi w:val="0"/>
        <w:spacing w:line="560" w:lineRule="exact"/>
        <w:rPr>
          <w:rFonts w:asciiTheme="minorEastAsia" w:hAnsiTheme="minorEastAsia" w:eastAsiaTheme="minorEastAsia"/>
          <w:color w:val="000000" w:themeColor="text1"/>
          <w:sz w:val="28"/>
          <w:szCs w:val="28"/>
          <w:highlight w:val="none"/>
          <w:u w:val="dotted"/>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地     址：</w:t>
      </w:r>
      <w:r>
        <w:rPr>
          <w:rFonts w:hint="eastAsia" w:asciiTheme="minorEastAsia" w:hAnsiTheme="minorEastAsia" w:eastAsiaTheme="minorEastAsia"/>
          <w:color w:val="000000" w:themeColor="text1"/>
          <w:sz w:val="28"/>
          <w:szCs w:val="28"/>
          <w:highlight w:val="none"/>
          <w:u w:val="dotted"/>
          <w14:textFill>
            <w14:solidFill>
              <w14:schemeClr w14:val="tx1"/>
            </w14:solidFill>
          </w14:textFill>
        </w:rPr>
        <w:t xml:space="preserve">                             </w:t>
      </w:r>
      <w:r>
        <w:rPr>
          <w:rFonts w:hint="eastAsia" w:asciiTheme="minorEastAsia" w:hAnsiTheme="minorEastAsia" w:eastAsiaTheme="minorEastAsia"/>
          <w:color w:val="000000" w:themeColor="text1"/>
          <w:sz w:val="28"/>
          <w:szCs w:val="28"/>
          <w:highlight w:val="none"/>
          <w14:textFill>
            <w14:solidFill>
              <w14:schemeClr w14:val="tx1"/>
            </w14:solidFill>
          </w14:textFill>
        </w:rPr>
        <w:t>邮编：</w:t>
      </w:r>
      <w:r>
        <w:rPr>
          <w:rFonts w:hint="eastAsia" w:asciiTheme="minorEastAsia" w:hAnsiTheme="minorEastAsia" w:eastAsiaTheme="minorEastAsia"/>
          <w:color w:val="000000" w:themeColor="text1"/>
          <w:sz w:val="28"/>
          <w:szCs w:val="28"/>
          <w:highlight w:val="none"/>
          <w:u w:val="dotted"/>
          <w14:textFill>
            <w14:solidFill>
              <w14:schemeClr w14:val="tx1"/>
            </w14:solidFill>
          </w14:textFill>
        </w:rPr>
        <w:t xml:space="preserve">         </w:t>
      </w:r>
      <w:r>
        <w:rPr>
          <w:rFonts w:hint="eastAsia" w:asciiTheme="minorEastAsia" w:hAnsiTheme="minorEastAsia" w:eastAsiaTheme="minorEastAsia"/>
          <w:color w:val="000000" w:themeColor="text1"/>
          <w:sz w:val="28"/>
          <w:szCs w:val="28"/>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z w:val="28"/>
          <w:szCs w:val="28"/>
          <w:highlight w:val="none"/>
          <w:u w:val="dotted"/>
          <w14:textFill>
            <w14:solidFill>
              <w14:schemeClr w14:val="tx1"/>
            </w14:solidFill>
          </w14:textFill>
        </w:rPr>
        <w:t xml:space="preserve">                   </w:t>
      </w:r>
    </w:p>
    <w:p w14:paraId="379B96AF">
      <w:pPr>
        <w:pageBreakBefore w:val="0"/>
        <w:wordWrap/>
        <w:topLinePunct w:val="0"/>
        <w:bidi w:val="0"/>
        <w:spacing w:line="560" w:lineRule="exact"/>
        <w:rPr>
          <w:rFonts w:asciiTheme="minorEastAsia" w:hAnsiTheme="minorEastAsia" w:eastAsiaTheme="minorEastAsia"/>
          <w:color w:val="000000" w:themeColor="text1"/>
          <w:sz w:val="28"/>
          <w:szCs w:val="28"/>
          <w:highlight w:val="none"/>
          <w:u w:val="singl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被投诉人1：</w:t>
      </w:r>
      <w:r>
        <w:rPr>
          <w:rFonts w:hint="eastAsia" w:asciiTheme="minorEastAsia" w:hAnsiTheme="minorEastAsia" w:eastAsiaTheme="minorEastAsia"/>
          <w:color w:val="000000" w:themeColor="text1"/>
          <w:sz w:val="28"/>
          <w:szCs w:val="28"/>
          <w:highlight w:val="none"/>
          <w:u w:val="dotted"/>
          <w14:textFill>
            <w14:solidFill>
              <w14:schemeClr w14:val="tx1"/>
            </w14:solidFill>
          </w14:textFill>
        </w:rPr>
        <w:t xml:space="preserve">                                           </w:t>
      </w:r>
      <w:r>
        <w:rPr>
          <w:rFonts w:hint="eastAsia" w:asciiTheme="minorEastAsia" w:hAnsiTheme="minorEastAsia" w:eastAsiaTheme="minorEastAsia"/>
          <w:color w:val="000000" w:themeColor="text1"/>
          <w:sz w:val="28"/>
          <w:szCs w:val="28"/>
          <w:highlight w:val="none"/>
          <w:u w:val="single"/>
          <w14:textFill>
            <w14:solidFill>
              <w14:schemeClr w14:val="tx1"/>
            </w14:solidFill>
          </w14:textFill>
        </w:rPr>
        <w:t xml:space="preserve">  </w:t>
      </w:r>
    </w:p>
    <w:p w14:paraId="1E4A64B7">
      <w:pPr>
        <w:pageBreakBefore w:val="0"/>
        <w:wordWrap/>
        <w:topLinePunct w:val="0"/>
        <w:bidi w:val="0"/>
        <w:spacing w:line="560" w:lineRule="exact"/>
        <w:rPr>
          <w:rFonts w:asciiTheme="minorEastAsia" w:hAnsiTheme="minorEastAsia" w:eastAsiaTheme="minorEastAsia"/>
          <w:color w:val="000000" w:themeColor="text1"/>
          <w:sz w:val="28"/>
          <w:szCs w:val="28"/>
          <w:highlight w:val="none"/>
          <w:u w:val="singl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地     址：</w:t>
      </w:r>
      <w:r>
        <w:rPr>
          <w:rFonts w:hint="eastAsia" w:asciiTheme="minorEastAsia" w:hAnsiTheme="minorEastAsia" w:eastAsiaTheme="minorEastAsia"/>
          <w:color w:val="000000" w:themeColor="text1"/>
          <w:sz w:val="28"/>
          <w:szCs w:val="28"/>
          <w:highlight w:val="none"/>
          <w:u w:val="dotted"/>
          <w14:textFill>
            <w14:solidFill>
              <w14:schemeClr w14:val="tx1"/>
            </w14:solidFill>
          </w14:textFill>
        </w:rPr>
        <w:t xml:space="preserve">                             </w:t>
      </w:r>
      <w:r>
        <w:rPr>
          <w:rFonts w:hint="eastAsia" w:asciiTheme="minorEastAsia" w:hAnsiTheme="minorEastAsia" w:eastAsiaTheme="minorEastAsia"/>
          <w:color w:val="000000" w:themeColor="text1"/>
          <w:sz w:val="28"/>
          <w:szCs w:val="28"/>
          <w:highlight w:val="none"/>
          <w14:textFill>
            <w14:solidFill>
              <w14:schemeClr w14:val="tx1"/>
            </w14:solidFill>
          </w14:textFill>
        </w:rPr>
        <w:t>邮编：</w:t>
      </w:r>
      <w:r>
        <w:rPr>
          <w:rFonts w:hint="eastAsia" w:asciiTheme="minorEastAsia" w:hAnsiTheme="minorEastAsia" w:eastAsiaTheme="minorEastAsia"/>
          <w:color w:val="000000" w:themeColor="text1"/>
          <w:sz w:val="28"/>
          <w:szCs w:val="28"/>
          <w:highlight w:val="none"/>
          <w:u w:val="dotted"/>
          <w14:textFill>
            <w14:solidFill>
              <w14:schemeClr w14:val="tx1"/>
            </w14:solidFill>
          </w14:textFill>
        </w:rPr>
        <w:t xml:space="preserve">          </w:t>
      </w:r>
      <w:r>
        <w:rPr>
          <w:rFonts w:hint="eastAsia" w:asciiTheme="minorEastAsia" w:hAnsiTheme="minorEastAsia" w:eastAsiaTheme="minorEastAsia"/>
          <w:color w:val="000000" w:themeColor="text1"/>
          <w:sz w:val="28"/>
          <w:szCs w:val="28"/>
          <w:highlight w:val="none"/>
          <w:u w:val="single"/>
          <w14:textFill>
            <w14:solidFill>
              <w14:schemeClr w14:val="tx1"/>
            </w14:solidFill>
          </w14:textFill>
        </w:rPr>
        <w:t xml:space="preserve"> </w:t>
      </w:r>
    </w:p>
    <w:p w14:paraId="7BB9081E">
      <w:pPr>
        <w:pageBreakBefore w:val="0"/>
        <w:wordWrap/>
        <w:topLinePunct w:val="0"/>
        <w:bidi w:val="0"/>
        <w:spacing w:line="560" w:lineRule="exact"/>
        <w:rPr>
          <w:rFonts w:asciiTheme="minorEastAsia" w:hAnsiTheme="minorEastAsia" w:eastAsiaTheme="minorEastAsia"/>
          <w:color w:val="000000" w:themeColor="text1"/>
          <w:sz w:val="28"/>
          <w:szCs w:val="28"/>
          <w:highlight w:val="none"/>
          <w:u w:val="singl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联系人：</w:t>
      </w:r>
      <w:r>
        <w:rPr>
          <w:rFonts w:hint="eastAsia" w:asciiTheme="minorEastAsia" w:hAnsiTheme="minorEastAsia" w:eastAsiaTheme="minorEastAsia"/>
          <w:color w:val="000000" w:themeColor="text1"/>
          <w:sz w:val="28"/>
          <w:szCs w:val="28"/>
          <w:highlight w:val="none"/>
          <w:u w:val="dotted"/>
          <w14:textFill>
            <w14:solidFill>
              <w14:schemeClr w14:val="tx1"/>
            </w14:solidFill>
          </w14:textFill>
        </w:rPr>
        <w:t xml:space="preserve">               </w:t>
      </w:r>
      <w:r>
        <w:rPr>
          <w:rFonts w:hint="eastAsia" w:asciiTheme="minorEastAsia" w:hAnsiTheme="minorEastAsia" w:eastAsiaTheme="minorEastAsia"/>
          <w:color w:val="000000" w:themeColor="text1"/>
          <w:sz w:val="28"/>
          <w:szCs w:val="28"/>
          <w:highlight w:val="none"/>
          <w14:textFill>
            <w14:solidFill>
              <w14:schemeClr w14:val="tx1"/>
            </w14:solidFill>
          </w14:textFill>
        </w:rPr>
        <w:t>联系电话：</w:t>
      </w:r>
      <w:r>
        <w:rPr>
          <w:rFonts w:hint="eastAsia" w:asciiTheme="minorEastAsia" w:hAnsiTheme="minorEastAsia" w:eastAsiaTheme="minorEastAsia"/>
          <w:color w:val="000000" w:themeColor="text1"/>
          <w:sz w:val="28"/>
          <w:szCs w:val="28"/>
          <w:highlight w:val="none"/>
          <w:u w:val="dotted"/>
          <w14:textFill>
            <w14:solidFill>
              <w14:schemeClr w14:val="tx1"/>
            </w14:solidFill>
          </w14:textFill>
        </w:rPr>
        <w:t xml:space="preserve">                      </w:t>
      </w:r>
      <w:r>
        <w:rPr>
          <w:rFonts w:hint="eastAsia" w:asciiTheme="minorEastAsia" w:hAnsiTheme="minorEastAsia" w:eastAsiaTheme="minorEastAsia"/>
          <w:color w:val="000000" w:themeColor="text1"/>
          <w:sz w:val="28"/>
          <w:szCs w:val="28"/>
          <w:highlight w:val="none"/>
          <w:u w:val="single"/>
          <w14:textFill>
            <w14:solidFill>
              <w14:schemeClr w14:val="tx1"/>
            </w14:solidFill>
          </w14:textFill>
        </w:rPr>
        <w:t xml:space="preserve"> </w:t>
      </w:r>
    </w:p>
    <w:p w14:paraId="1F67FD44">
      <w:pPr>
        <w:pageBreakBefore w:val="0"/>
        <w:wordWrap/>
        <w:topLinePunct w:val="0"/>
        <w:bidi w:val="0"/>
        <w:spacing w:line="560" w:lineRule="exact"/>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被投诉人2</w:t>
      </w:r>
    </w:p>
    <w:p w14:paraId="413AA1C6">
      <w:pPr>
        <w:pageBreakBefore w:val="0"/>
        <w:wordWrap/>
        <w:topLinePunct w:val="0"/>
        <w:bidi w:val="0"/>
        <w:spacing w:line="560" w:lineRule="exact"/>
        <w:rPr>
          <w:rFonts w:asciiTheme="minorEastAsia" w:hAnsiTheme="minorEastAsia" w:eastAsiaTheme="minorEastAsia"/>
          <w:color w:val="000000" w:themeColor="text1"/>
          <w:sz w:val="28"/>
          <w:szCs w:val="28"/>
          <w:highlight w:val="none"/>
          <w:u w:val="dotted"/>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w:t>
      </w:r>
    </w:p>
    <w:p w14:paraId="34D851A4">
      <w:pPr>
        <w:pageBreakBefore w:val="0"/>
        <w:wordWrap/>
        <w:topLinePunct w:val="0"/>
        <w:bidi w:val="0"/>
        <w:spacing w:line="560" w:lineRule="exact"/>
        <w:rPr>
          <w:rFonts w:asciiTheme="minorEastAsia" w:hAnsiTheme="minorEastAsia" w:eastAsiaTheme="minorEastAsia"/>
          <w:color w:val="000000" w:themeColor="text1"/>
          <w:sz w:val="28"/>
          <w:szCs w:val="28"/>
          <w:highlight w:val="none"/>
          <w:u w:val="singl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相关供应商：</w:t>
      </w:r>
      <w:r>
        <w:rPr>
          <w:rFonts w:hint="eastAsia" w:asciiTheme="minorEastAsia" w:hAnsiTheme="minorEastAsia" w:eastAsiaTheme="minorEastAsia"/>
          <w:color w:val="000000" w:themeColor="text1"/>
          <w:sz w:val="28"/>
          <w:szCs w:val="28"/>
          <w:highlight w:val="none"/>
          <w:u w:val="dotted"/>
          <w14:textFill>
            <w14:solidFill>
              <w14:schemeClr w14:val="tx1"/>
            </w14:solidFill>
          </w14:textFill>
        </w:rPr>
        <w:t xml:space="preserve">                                           </w:t>
      </w:r>
      <w:r>
        <w:rPr>
          <w:rFonts w:hint="eastAsia" w:asciiTheme="minorEastAsia" w:hAnsiTheme="minorEastAsia" w:eastAsiaTheme="minorEastAsia"/>
          <w:color w:val="000000" w:themeColor="text1"/>
          <w:sz w:val="28"/>
          <w:szCs w:val="28"/>
          <w:highlight w:val="none"/>
          <w:u w:val="single"/>
          <w14:textFill>
            <w14:solidFill>
              <w14:schemeClr w14:val="tx1"/>
            </w14:solidFill>
          </w14:textFill>
        </w:rPr>
        <w:t xml:space="preserve">    </w:t>
      </w:r>
    </w:p>
    <w:p w14:paraId="42F4E198">
      <w:pPr>
        <w:pageBreakBefore w:val="0"/>
        <w:wordWrap/>
        <w:topLinePunct w:val="0"/>
        <w:bidi w:val="0"/>
        <w:spacing w:line="560" w:lineRule="exact"/>
        <w:rPr>
          <w:rFonts w:asciiTheme="minorEastAsia" w:hAnsiTheme="minorEastAsia" w:eastAsiaTheme="minorEastAsia"/>
          <w:color w:val="000000" w:themeColor="text1"/>
          <w:sz w:val="28"/>
          <w:szCs w:val="28"/>
          <w:highlight w:val="none"/>
          <w:u w:val="singl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地     址：</w:t>
      </w:r>
      <w:r>
        <w:rPr>
          <w:rFonts w:hint="eastAsia" w:asciiTheme="minorEastAsia" w:hAnsiTheme="minorEastAsia" w:eastAsiaTheme="minorEastAsia"/>
          <w:color w:val="000000" w:themeColor="text1"/>
          <w:sz w:val="28"/>
          <w:szCs w:val="28"/>
          <w:highlight w:val="none"/>
          <w:u w:val="dotted"/>
          <w14:textFill>
            <w14:solidFill>
              <w14:schemeClr w14:val="tx1"/>
            </w14:solidFill>
          </w14:textFill>
        </w:rPr>
        <w:t xml:space="preserve">                             </w:t>
      </w:r>
      <w:r>
        <w:rPr>
          <w:rFonts w:hint="eastAsia" w:asciiTheme="minorEastAsia" w:hAnsiTheme="minorEastAsia" w:eastAsiaTheme="minorEastAsia"/>
          <w:color w:val="000000" w:themeColor="text1"/>
          <w:sz w:val="28"/>
          <w:szCs w:val="28"/>
          <w:highlight w:val="none"/>
          <w14:textFill>
            <w14:solidFill>
              <w14:schemeClr w14:val="tx1"/>
            </w14:solidFill>
          </w14:textFill>
        </w:rPr>
        <w:t>邮编：</w:t>
      </w:r>
      <w:r>
        <w:rPr>
          <w:rFonts w:hint="eastAsia" w:asciiTheme="minorEastAsia" w:hAnsiTheme="minorEastAsia" w:eastAsiaTheme="minorEastAsia"/>
          <w:color w:val="000000" w:themeColor="text1"/>
          <w:sz w:val="28"/>
          <w:szCs w:val="28"/>
          <w:highlight w:val="none"/>
          <w:u w:val="dotted"/>
          <w14:textFill>
            <w14:solidFill>
              <w14:schemeClr w14:val="tx1"/>
            </w14:solidFill>
          </w14:textFill>
        </w:rPr>
        <w:t xml:space="preserve">          </w:t>
      </w:r>
      <w:r>
        <w:rPr>
          <w:rFonts w:hint="eastAsia" w:asciiTheme="minorEastAsia" w:hAnsiTheme="minorEastAsia" w:eastAsiaTheme="minorEastAsia"/>
          <w:color w:val="000000" w:themeColor="text1"/>
          <w:sz w:val="28"/>
          <w:szCs w:val="28"/>
          <w:highlight w:val="none"/>
          <w:u w:val="single"/>
          <w14:textFill>
            <w14:solidFill>
              <w14:schemeClr w14:val="tx1"/>
            </w14:solidFill>
          </w14:textFill>
        </w:rPr>
        <w:t xml:space="preserve"> </w:t>
      </w:r>
    </w:p>
    <w:p w14:paraId="4F882385">
      <w:pPr>
        <w:pageBreakBefore w:val="0"/>
        <w:wordWrap/>
        <w:topLinePunct w:val="0"/>
        <w:bidi w:val="0"/>
        <w:spacing w:line="560" w:lineRule="exact"/>
        <w:rPr>
          <w:rFonts w:asciiTheme="minorEastAsia" w:hAnsiTheme="minorEastAsia" w:eastAsiaTheme="minorEastAsia"/>
          <w:color w:val="000000" w:themeColor="text1"/>
          <w:sz w:val="28"/>
          <w:szCs w:val="28"/>
          <w:highlight w:val="none"/>
          <w:u w:val="singl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联系人：</w:t>
      </w:r>
      <w:r>
        <w:rPr>
          <w:rFonts w:hint="eastAsia" w:asciiTheme="minorEastAsia" w:hAnsiTheme="minorEastAsia" w:eastAsiaTheme="minorEastAsia"/>
          <w:color w:val="000000" w:themeColor="text1"/>
          <w:sz w:val="28"/>
          <w:szCs w:val="28"/>
          <w:highlight w:val="none"/>
          <w:u w:val="dotted"/>
          <w14:textFill>
            <w14:solidFill>
              <w14:schemeClr w14:val="tx1"/>
            </w14:solidFill>
          </w14:textFill>
        </w:rPr>
        <w:t xml:space="preserve">               </w:t>
      </w:r>
      <w:r>
        <w:rPr>
          <w:rFonts w:hint="eastAsia" w:asciiTheme="minorEastAsia" w:hAnsiTheme="minorEastAsia" w:eastAsiaTheme="minorEastAsia"/>
          <w:color w:val="000000" w:themeColor="text1"/>
          <w:sz w:val="28"/>
          <w:szCs w:val="28"/>
          <w:highlight w:val="none"/>
          <w14:textFill>
            <w14:solidFill>
              <w14:schemeClr w14:val="tx1"/>
            </w14:solidFill>
          </w14:textFill>
        </w:rPr>
        <w:t>联系电话：</w:t>
      </w:r>
      <w:r>
        <w:rPr>
          <w:rFonts w:hint="eastAsia" w:asciiTheme="minorEastAsia" w:hAnsiTheme="minorEastAsia" w:eastAsiaTheme="minorEastAsia"/>
          <w:color w:val="000000" w:themeColor="text1"/>
          <w:sz w:val="28"/>
          <w:szCs w:val="28"/>
          <w:highlight w:val="none"/>
          <w:u w:val="dotted"/>
          <w14:textFill>
            <w14:solidFill>
              <w14:schemeClr w14:val="tx1"/>
            </w14:solidFill>
          </w14:textFill>
        </w:rPr>
        <w:t xml:space="preserve">                      </w:t>
      </w:r>
      <w:r>
        <w:rPr>
          <w:rFonts w:hint="eastAsia" w:asciiTheme="minorEastAsia" w:hAnsiTheme="minorEastAsia" w:eastAsiaTheme="minorEastAsia"/>
          <w:color w:val="000000" w:themeColor="text1"/>
          <w:sz w:val="28"/>
          <w:szCs w:val="28"/>
          <w:highlight w:val="none"/>
          <w:u w:val="single"/>
          <w14:textFill>
            <w14:solidFill>
              <w14:schemeClr w14:val="tx1"/>
            </w14:solidFill>
          </w14:textFill>
        </w:rPr>
        <w:t xml:space="preserve">      </w:t>
      </w:r>
    </w:p>
    <w:p w14:paraId="5E879CF7">
      <w:pPr>
        <w:pageBreakBefore w:val="0"/>
        <w:wordWrap/>
        <w:topLinePunct w:val="0"/>
        <w:bidi w:val="0"/>
        <w:spacing w:line="560" w:lineRule="exact"/>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二、投诉项目基本情况</w:t>
      </w:r>
    </w:p>
    <w:p w14:paraId="16D9F741">
      <w:pPr>
        <w:pageBreakBefore w:val="0"/>
        <w:wordWrap/>
        <w:topLinePunct w:val="0"/>
        <w:bidi w:val="0"/>
        <w:spacing w:line="560" w:lineRule="exact"/>
        <w:rPr>
          <w:rFonts w:asciiTheme="minorEastAsia" w:hAnsiTheme="minorEastAsia" w:eastAsiaTheme="minorEastAsia"/>
          <w:color w:val="000000" w:themeColor="text1"/>
          <w:sz w:val="28"/>
          <w:szCs w:val="28"/>
          <w:highlight w:val="none"/>
          <w:u w:val="dotted"/>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采购项目名称：</w:t>
      </w:r>
      <w:r>
        <w:rPr>
          <w:rFonts w:hint="eastAsia" w:asciiTheme="minorEastAsia" w:hAnsiTheme="minorEastAsia" w:eastAsiaTheme="minorEastAsia"/>
          <w:color w:val="000000" w:themeColor="text1"/>
          <w:sz w:val="28"/>
          <w:szCs w:val="28"/>
          <w:highlight w:val="none"/>
          <w:u w:val="dotted"/>
          <w14:textFill>
            <w14:solidFill>
              <w14:schemeClr w14:val="tx1"/>
            </w14:solidFill>
          </w14:textFill>
        </w:rPr>
        <w:t xml:space="preserve">                                            </w:t>
      </w:r>
    </w:p>
    <w:p w14:paraId="2D16453E">
      <w:pPr>
        <w:pageBreakBefore w:val="0"/>
        <w:wordWrap/>
        <w:topLinePunct w:val="0"/>
        <w:bidi w:val="0"/>
        <w:spacing w:line="560" w:lineRule="exact"/>
        <w:rPr>
          <w:rFonts w:asciiTheme="minorEastAsia" w:hAnsiTheme="minorEastAsia" w:eastAsiaTheme="minorEastAsia"/>
          <w:color w:val="000000" w:themeColor="text1"/>
          <w:sz w:val="28"/>
          <w:szCs w:val="28"/>
          <w:highlight w:val="none"/>
          <w:u w:val="singl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采购项目编号：</w:t>
      </w:r>
      <w:r>
        <w:rPr>
          <w:rFonts w:hint="eastAsia" w:asciiTheme="minorEastAsia" w:hAnsiTheme="minorEastAsia" w:eastAsiaTheme="minorEastAsia"/>
          <w:color w:val="000000" w:themeColor="text1"/>
          <w:sz w:val="28"/>
          <w:szCs w:val="28"/>
          <w:highlight w:val="none"/>
          <w:u w:val="dotted"/>
          <w14:textFill>
            <w14:solidFill>
              <w14:schemeClr w14:val="tx1"/>
            </w14:solidFill>
          </w14:textFill>
        </w:rPr>
        <w:t xml:space="preserve">                       </w:t>
      </w:r>
      <w:r>
        <w:rPr>
          <w:rFonts w:hint="eastAsia" w:asciiTheme="minorEastAsia" w:hAnsiTheme="minorEastAsia" w:eastAsiaTheme="minorEastAsia"/>
          <w:color w:val="000000" w:themeColor="text1"/>
          <w:sz w:val="28"/>
          <w:szCs w:val="28"/>
          <w:highlight w:val="none"/>
          <w14:textFill>
            <w14:solidFill>
              <w14:schemeClr w14:val="tx1"/>
            </w14:solidFill>
          </w14:textFill>
        </w:rPr>
        <w:t>包号：</w:t>
      </w:r>
      <w:r>
        <w:rPr>
          <w:rFonts w:hint="eastAsia" w:asciiTheme="minorEastAsia" w:hAnsiTheme="minorEastAsia" w:eastAsiaTheme="minorEastAsia"/>
          <w:color w:val="000000" w:themeColor="text1"/>
          <w:sz w:val="28"/>
          <w:szCs w:val="28"/>
          <w:highlight w:val="none"/>
          <w:u w:val="dotted"/>
          <w14:textFill>
            <w14:solidFill>
              <w14:schemeClr w14:val="tx1"/>
            </w14:solidFill>
          </w14:textFill>
        </w:rPr>
        <w:t xml:space="preserve">              </w:t>
      </w:r>
    </w:p>
    <w:p w14:paraId="38062DD8">
      <w:pPr>
        <w:pageBreakBefore w:val="0"/>
        <w:wordWrap/>
        <w:topLinePunct w:val="0"/>
        <w:bidi w:val="0"/>
        <w:spacing w:line="560" w:lineRule="exact"/>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采购人名称：</w:t>
      </w:r>
      <w:r>
        <w:rPr>
          <w:rFonts w:hint="eastAsia" w:asciiTheme="minorEastAsia" w:hAnsiTheme="minorEastAsia" w:eastAsiaTheme="minorEastAsia"/>
          <w:color w:val="000000" w:themeColor="text1"/>
          <w:sz w:val="28"/>
          <w:szCs w:val="28"/>
          <w:highlight w:val="none"/>
          <w:u w:val="dotted"/>
          <w14:textFill>
            <w14:solidFill>
              <w14:schemeClr w14:val="tx1"/>
            </w14:solidFill>
          </w14:textFill>
        </w:rPr>
        <w:t xml:space="preserve">                                             </w:t>
      </w:r>
    </w:p>
    <w:p w14:paraId="12BB1092">
      <w:pPr>
        <w:pageBreakBefore w:val="0"/>
        <w:wordWrap/>
        <w:topLinePunct w:val="0"/>
        <w:bidi w:val="0"/>
        <w:spacing w:line="560" w:lineRule="exact"/>
        <w:rPr>
          <w:rFonts w:asciiTheme="minorEastAsia" w:hAnsiTheme="minorEastAsia" w:eastAsiaTheme="minorEastAsia"/>
          <w:color w:val="000000" w:themeColor="text1"/>
          <w:sz w:val="28"/>
          <w:szCs w:val="28"/>
          <w:highlight w:val="none"/>
          <w:u w:val="singl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代理机构名称：</w:t>
      </w:r>
      <w:r>
        <w:rPr>
          <w:rFonts w:hint="eastAsia" w:asciiTheme="minorEastAsia" w:hAnsiTheme="minorEastAsia" w:eastAsiaTheme="minorEastAsia"/>
          <w:color w:val="000000" w:themeColor="text1"/>
          <w:sz w:val="28"/>
          <w:szCs w:val="28"/>
          <w:highlight w:val="none"/>
          <w:u w:val="dotted"/>
          <w14:textFill>
            <w14:solidFill>
              <w14:schemeClr w14:val="tx1"/>
            </w14:solidFill>
          </w14:textFill>
        </w:rPr>
        <w:t xml:space="preserve">                                         </w:t>
      </w:r>
    </w:p>
    <w:p w14:paraId="38DC3070">
      <w:pPr>
        <w:pageBreakBefore w:val="0"/>
        <w:wordWrap/>
        <w:topLinePunct w:val="0"/>
        <w:bidi w:val="0"/>
        <w:spacing w:line="560" w:lineRule="exact"/>
        <w:rPr>
          <w:rFonts w:asciiTheme="minorEastAsia" w:hAnsiTheme="minorEastAsia" w:eastAsiaTheme="minorEastAsia"/>
          <w:color w:val="000000" w:themeColor="text1"/>
          <w:sz w:val="28"/>
          <w:szCs w:val="28"/>
          <w:highlight w:val="none"/>
          <w:u w:val="dotted"/>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采购文件公告:</w:t>
      </w:r>
      <w:r>
        <w:rPr>
          <w:rFonts w:hint="eastAsia" w:asciiTheme="minorEastAsia" w:hAnsiTheme="minorEastAsia" w:eastAsiaTheme="minorEastAsia"/>
          <w:color w:val="000000" w:themeColor="text1"/>
          <w:sz w:val="28"/>
          <w:szCs w:val="28"/>
          <w:highlight w:val="none"/>
          <w:u w:val="dotted"/>
          <w14:textFill>
            <w14:solidFill>
              <w14:schemeClr w14:val="tx1"/>
            </w14:solidFill>
          </w14:textFill>
        </w:rPr>
        <w:t xml:space="preserve">是/否 </w:t>
      </w:r>
      <w:r>
        <w:rPr>
          <w:rFonts w:hint="eastAsia" w:asciiTheme="minorEastAsia" w:hAnsiTheme="minorEastAsia" w:eastAsiaTheme="minorEastAsia"/>
          <w:color w:val="000000" w:themeColor="text1"/>
          <w:sz w:val="28"/>
          <w:szCs w:val="28"/>
          <w:highlight w:val="none"/>
          <w14:textFill>
            <w14:solidFill>
              <w14:schemeClr w14:val="tx1"/>
            </w14:solidFill>
          </w14:textFill>
        </w:rPr>
        <w:t>公告期限：</w:t>
      </w:r>
      <w:r>
        <w:rPr>
          <w:rFonts w:hint="eastAsia" w:asciiTheme="minorEastAsia" w:hAnsiTheme="minorEastAsia" w:eastAsiaTheme="minorEastAsia"/>
          <w:color w:val="000000" w:themeColor="text1"/>
          <w:sz w:val="28"/>
          <w:szCs w:val="28"/>
          <w:highlight w:val="none"/>
          <w:u w:val="dotted"/>
          <w14:textFill>
            <w14:solidFill>
              <w14:schemeClr w14:val="tx1"/>
            </w14:solidFill>
          </w14:textFill>
        </w:rPr>
        <w:t xml:space="preserve">                                 </w:t>
      </w:r>
    </w:p>
    <w:p w14:paraId="68307730">
      <w:pPr>
        <w:pageBreakBefore w:val="0"/>
        <w:wordWrap/>
        <w:topLinePunct w:val="0"/>
        <w:bidi w:val="0"/>
        <w:spacing w:line="560" w:lineRule="exact"/>
        <w:rPr>
          <w:rFonts w:asciiTheme="minorEastAsia" w:hAnsiTheme="minorEastAsia" w:eastAsiaTheme="minorEastAsia"/>
          <w:color w:val="000000" w:themeColor="text1"/>
          <w:sz w:val="28"/>
          <w:szCs w:val="28"/>
          <w:highlight w:val="none"/>
          <w:u w:val="singl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采购结果公告:</w:t>
      </w:r>
      <w:r>
        <w:rPr>
          <w:rFonts w:hint="eastAsia" w:asciiTheme="minorEastAsia" w:hAnsiTheme="minorEastAsia" w:eastAsiaTheme="minorEastAsia"/>
          <w:color w:val="000000" w:themeColor="text1"/>
          <w:sz w:val="28"/>
          <w:szCs w:val="28"/>
          <w:highlight w:val="none"/>
          <w:u w:val="dotted"/>
          <w14:textFill>
            <w14:solidFill>
              <w14:schemeClr w14:val="tx1"/>
            </w14:solidFill>
          </w14:textFill>
        </w:rPr>
        <w:t xml:space="preserve">是/否 </w:t>
      </w:r>
      <w:r>
        <w:rPr>
          <w:rFonts w:hint="eastAsia" w:asciiTheme="minorEastAsia" w:hAnsiTheme="minorEastAsia" w:eastAsiaTheme="minorEastAsia"/>
          <w:color w:val="000000" w:themeColor="text1"/>
          <w:sz w:val="28"/>
          <w:szCs w:val="28"/>
          <w:highlight w:val="none"/>
          <w14:textFill>
            <w14:solidFill>
              <w14:schemeClr w14:val="tx1"/>
            </w14:solidFill>
          </w14:textFill>
        </w:rPr>
        <w:t>公告期限：</w:t>
      </w:r>
      <w:r>
        <w:rPr>
          <w:rFonts w:hint="eastAsia" w:asciiTheme="minorEastAsia" w:hAnsiTheme="minorEastAsia" w:eastAsiaTheme="minorEastAsia"/>
          <w:color w:val="000000" w:themeColor="text1"/>
          <w:sz w:val="28"/>
          <w:szCs w:val="28"/>
          <w:highlight w:val="none"/>
          <w:u w:val="dotted"/>
          <w14:textFill>
            <w14:solidFill>
              <w14:schemeClr w14:val="tx1"/>
            </w14:solidFill>
          </w14:textFill>
        </w:rPr>
        <w:t xml:space="preserve">                        </w:t>
      </w:r>
    </w:p>
    <w:p w14:paraId="5DED7B97">
      <w:pPr>
        <w:pageBreakBefore w:val="0"/>
        <w:wordWrap/>
        <w:topLinePunct w:val="0"/>
        <w:bidi w:val="0"/>
        <w:spacing w:line="560" w:lineRule="exact"/>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三、质疑基本情况</w:t>
      </w:r>
    </w:p>
    <w:p w14:paraId="4C9F303A">
      <w:pPr>
        <w:pageBreakBefore w:val="0"/>
        <w:wordWrap/>
        <w:topLinePunct w:val="0"/>
        <w:bidi w:val="0"/>
        <w:spacing w:line="560" w:lineRule="exact"/>
        <w:ind w:firstLine="560" w:firstLineChars="200"/>
        <w:rPr>
          <w:rFonts w:asciiTheme="minorEastAsia" w:hAnsiTheme="minorEastAsia" w:eastAsiaTheme="minorEastAsia"/>
          <w:color w:val="000000" w:themeColor="text1"/>
          <w:sz w:val="28"/>
          <w:szCs w:val="28"/>
          <w:highlight w:val="none"/>
          <w:u w:val="dotted"/>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投诉人于</w:t>
      </w:r>
      <w:r>
        <w:rPr>
          <w:rFonts w:hint="eastAsia" w:asciiTheme="minorEastAsia" w:hAnsiTheme="minorEastAsia" w:eastAsiaTheme="minorEastAsia"/>
          <w:color w:val="000000" w:themeColor="text1"/>
          <w:sz w:val="28"/>
          <w:szCs w:val="28"/>
          <w:highlight w:val="none"/>
          <w:u w:val="dotted"/>
          <w14:textFill>
            <w14:solidFill>
              <w14:schemeClr w14:val="tx1"/>
            </w14:solidFill>
          </w14:textFill>
        </w:rPr>
        <w:t xml:space="preserve">   </w:t>
      </w:r>
      <w:r>
        <w:rPr>
          <w:rFonts w:hint="eastAsia" w:asciiTheme="minorEastAsia" w:hAnsiTheme="minorEastAsia" w:eastAsiaTheme="minorEastAsia"/>
          <w:color w:val="000000" w:themeColor="text1"/>
          <w:sz w:val="28"/>
          <w:szCs w:val="28"/>
          <w:highlight w:val="none"/>
          <w14:textFill>
            <w14:solidFill>
              <w14:schemeClr w14:val="tx1"/>
            </w14:solidFill>
          </w14:textFill>
        </w:rPr>
        <w:t>年</w:t>
      </w:r>
      <w:r>
        <w:rPr>
          <w:rFonts w:hint="eastAsia" w:asciiTheme="minorEastAsia" w:hAnsiTheme="minorEastAsia" w:eastAsiaTheme="minorEastAsia"/>
          <w:color w:val="000000" w:themeColor="text1"/>
          <w:sz w:val="28"/>
          <w:szCs w:val="28"/>
          <w:highlight w:val="none"/>
          <w:u w:val="dotted"/>
          <w14:textFill>
            <w14:solidFill>
              <w14:schemeClr w14:val="tx1"/>
            </w14:solidFill>
          </w14:textFill>
        </w:rPr>
        <w:t xml:space="preserve">   </w:t>
      </w:r>
      <w:r>
        <w:rPr>
          <w:rFonts w:hint="eastAsia" w:asciiTheme="minorEastAsia" w:hAnsiTheme="minorEastAsia" w:eastAsiaTheme="minorEastAsia"/>
          <w:color w:val="000000" w:themeColor="text1"/>
          <w:sz w:val="28"/>
          <w:szCs w:val="28"/>
          <w:highlight w:val="none"/>
          <w14:textFill>
            <w14:solidFill>
              <w14:schemeClr w14:val="tx1"/>
            </w14:solidFill>
          </w14:textFill>
        </w:rPr>
        <w:t>月</w:t>
      </w:r>
      <w:r>
        <w:rPr>
          <w:rFonts w:hint="eastAsia" w:asciiTheme="minorEastAsia" w:hAnsiTheme="minorEastAsia" w:eastAsiaTheme="minorEastAsia"/>
          <w:color w:val="000000" w:themeColor="text1"/>
          <w:sz w:val="28"/>
          <w:szCs w:val="28"/>
          <w:highlight w:val="none"/>
          <w:u w:val="dotted"/>
          <w14:textFill>
            <w14:solidFill>
              <w14:schemeClr w14:val="tx1"/>
            </w14:solidFill>
          </w14:textFill>
        </w:rPr>
        <w:t xml:space="preserve">  </w:t>
      </w:r>
      <w:r>
        <w:rPr>
          <w:rFonts w:hint="eastAsia" w:asciiTheme="minorEastAsia" w:hAnsiTheme="minorEastAsia" w:eastAsiaTheme="minorEastAsia"/>
          <w:color w:val="000000" w:themeColor="text1"/>
          <w:sz w:val="28"/>
          <w:szCs w:val="28"/>
          <w:highlight w:val="none"/>
          <w14:textFill>
            <w14:solidFill>
              <w14:schemeClr w14:val="tx1"/>
            </w14:solidFill>
          </w14:textFill>
        </w:rPr>
        <w:t>日,向</w:t>
      </w:r>
      <w:r>
        <w:rPr>
          <w:rFonts w:hint="eastAsia" w:asciiTheme="minorEastAsia" w:hAnsiTheme="minorEastAsia" w:eastAsiaTheme="minorEastAsia"/>
          <w:color w:val="000000" w:themeColor="text1"/>
          <w:sz w:val="28"/>
          <w:szCs w:val="28"/>
          <w:highlight w:val="none"/>
          <w:u w:val="dotted"/>
          <w14:textFill>
            <w14:solidFill>
              <w14:schemeClr w14:val="tx1"/>
            </w14:solidFill>
          </w14:textFill>
        </w:rPr>
        <w:t xml:space="preserve">                   </w:t>
      </w:r>
      <w:r>
        <w:rPr>
          <w:rFonts w:hint="eastAsia" w:asciiTheme="minorEastAsia" w:hAnsiTheme="minorEastAsia" w:eastAsiaTheme="minorEastAsia"/>
          <w:color w:val="000000" w:themeColor="text1"/>
          <w:sz w:val="28"/>
          <w:szCs w:val="28"/>
          <w:highlight w:val="none"/>
          <w14:textFill>
            <w14:solidFill>
              <w14:schemeClr w14:val="tx1"/>
            </w14:solidFill>
          </w14:textFill>
        </w:rPr>
        <w:t>提出质疑，质疑事项为：</w:t>
      </w:r>
      <w:r>
        <w:rPr>
          <w:rFonts w:hint="eastAsia" w:asciiTheme="minorEastAsia" w:hAnsiTheme="minorEastAsia" w:eastAsiaTheme="minorEastAsia"/>
          <w:color w:val="000000" w:themeColor="text1"/>
          <w:sz w:val="28"/>
          <w:szCs w:val="28"/>
          <w:highlight w:val="none"/>
          <w:u w:val="dotted"/>
          <w14:textFill>
            <w14:solidFill>
              <w14:schemeClr w14:val="tx1"/>
            </w14:solidFill>
          </w14:textFill>
        </w:rPr>
        <w:t xml:space="preserve">                                </w:t>
      </w:r>
    </w:p>
    <w:p w14:paraId="23E3CC03">
      <w:pPr>
        <w:pageBreakBefore w:val="0"/>
        <w:wordWrap/>
        <w:topLinePunct w:val="0"/>
        <w:bidi w:val="0"/>
        <w:spacing w:line="560" w:lineRule="exact"/>
        <w:rPr>
          <w:rFonts w:asciiTheme="minorEastAsia" w:hAnsiTheme="minorEastAsia" w:eastAsiaTheme="minorEastAsia"/>
          <w:color w:val="000000" w:themeColor="text1"/>
          <w:sz w:val="28"/>
          <w:szCs w:val="28"/>
          <w:highlight w:val="none"/>
          <w:u w:val="dotted"/>
          <w14:textFill>
            <w14:solidFill>
              <w14:schemeClr w14:val="tx1"/>
            </w14:solidFill>
          </w14:textFill>
        </w:rPr>
      </w:pPr>
      <w:r>
        <w:rPr>
          <w:rFonts w:hint="eastAsia" w:asciiTheme="minorEastAsia" w:hAnsiTheme="minorEastAsia" w:eastAsiaTheme="minorEastAsia"/>
          <w:color w:val="000000" w:themeColor="text1"/>
          <w:sz w:val="28"/>
          <w:szCs w:val="28"/>
          <w:highlight w:val="none"/>
          <w:u w:val="dotted"/>
          <w14:textFill>
            <w14:solidFill>
              <w14:schemeClr w14:val="tx1"/>
            </w14:solidFill>
          </w14:textFill>
        </w:rPr>
        <w:t xml:space="preserve">                                                     </w:t>
      </w:r>
      <w:r>
        <w:rPr>
          <w:rFonts w:hint="eastAsia" w:asciiTheme="minorEastAsia" w:hAnsiTheme="minorEastAsia" w:eastAsiaTheme="minorEastAsia"/>
          <w:color w:val="000000" w:themeColor="text1"/>
          <w:sz w:val="28"/>
          <w:szCs w:val="28"/>
          <w:highlight w:val="none"/>
          <w14:textFill>
            <w14:solidFill>
              <w14:schemeClr w14:val="tx1"/>
            </w14:solidFill>
          </w14:textFill>
        </w:rPr>
        <w:t xml:space="preserve">  </w:t>
      </w:r>
    </w:p>
    <w:p w14:paraId="6D87393C">
      <w:pPr>
        <w:pageBreakBefore w:val="0"/>
        <w:wordWrap/>
        <w:topLinePunct w:val="0"/>
        <w:bidi w:val="0"/>
        <w:spacing w:line="560" w:lineRule="exact"/>
        <w:ind w:firstLine="420" w:firstLineChars="150"/>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u w:val="dotted"/>
          <w14:textFill>
            <w14:solidFill>
              <w14:schemeClr w14:val="tx1"/>
            </w14:solidFill>
          </w14:textFill>
        </w:rPr>
        <w:t>采购人/代理机构</w:t>
      </w:r>
      <w:r>
        <w:rPr>
          <w:rFonts w:hint="eastAsia" w:asciiTheme="minorEastAsia" w:hAnsiTheme="minorEastAsia" w:eastAsiaTheme="minorEastAsia"/>
          <w:color w:val="000000" w:themeColor="text1"/>
          <w:sz w:val="28"/>
          <w:szCs w:val="28"/>
          <w:highlight w:val="none"/>
          <w14:textFill>
            <w14:solidFill>
              <w14:schemeClr w14:val="tx1"/>
            </w14:solidFill>
          </w14:textFill>
        </w:rPr>
        <w:t>于</w:t>
      </w:r>
      <w:r>
        <w:rPr>
          <w:rFonts w:hint="eastAsia" w:asciiTheme="minorEastAsia" w:hAnsiTheme="minorEastAsia" w:eastAsiaTheme="minorEastAsia"/>
          <w:color w:val="000000" w:themeColor="text1"/>
          <w:sz w:val="28"/>
          <w:szCs w:val="28"/>
          <w:highlight w:val="none"/>
          <w:u w:val="dotted"/>
          <w14:textFill>
            <w14:solidFill>
              <w14:schemeClr w14:val="tx1"/>
            </w14:solidFill>
          </w14:textFill>
        </w:rPr>
        <w:t xml:space="preserve">   </w:t>
      </w:r>
      <w:r>
        <w:rPr>
          <w:rFonts w:hint="eastAsia" w:asciiTheme="minorEastAsia" w:hAnsiTheme="minorEastAsia" w:eastAsiaTheme="minorEastAsia"/>
          <w:color w:val="000000" w:themeColor="text1"/>
          <w:sz w:val="28"/>
          <w:szCs w:val="28"/>
          <w:highlight w:val="none"/>
          <w14:textFill>
            <w14:solidFill>
              <w14:schemeClr w14:val="tx1"/>
            </w14:solidFill>
          </w14:textFill>
        </w:rPr>
        <w:t>年</w:t>
      </w:r>
      <w:r>
        <w:rPr>
          <w:rFonts w:hint="eastAsia" w:asciiTheme="minorEastAsia" w:hAnsiTheme="minorEastAsia" w:eastAsiaTheme="minorEastAsia"/>
          <w:color w:val="000000" w:themeColor="text1"/>
          <w:sz w:val="28"/>
          <w:szCs w:val="28"/>
          <w:highlight w:val="none"/>
          <w:u w:val="dotted"/>
          <w14:textFill>
            <w14:solidFill>
              <w14:schemeClr w14:val="tx1"/>
            </w14:solidFill>
          </w14:textFill>
        </w:rPr>
        <w:t xml:space="preserve">   </w:t>
      </w:r>
      <w:r>
        <w:rPr>
          <w:rFonts w:hint="eastAsia" w:asciiTheme="minorEastAsia" w:hAnsiTheme="minorEastAsia" w:eastAsiaTheme="minorEastAsia"/>
          <w:color w:val="000000" w:themeColor="text1"/>
          <w:sz w:val="28"/>
          <w:szCs w:val="28"/>
          <w:highlight w:val="none"/>
          <w14:textFill>
            <w14:solidFill>
              <w14:schemeClr w14:val="tx1"/>
            </w14:solidFill>
          </w14:textFill>
        </w:rPr>
        <w:t>月</w:t>
      </w:r>
      <w:r>
        <w:rPr>
          <w:rFonts w:hint="eastAsia" w:asciiTheme="minorEastAsia" w:hAnsiTheme="minorEastAsia" w:eastAsiaTheme="minorEastAsia"/>
          <w:color w:val="000000" w:themeColor="text1"/>
          <w:sz w:val="28"/>
          <w:szCs w:val="28"/>
          <w:highlight w:val="none"/>
          <w:u w:val="dotted"/>
          <w14:textFill>
            <w14:solidFill>
              <w14:schemeClr w14:val="tx1"/>
            </w14:solidFill>
          </w14:textFill>
        </w:rPr>
        <w:t xml:space="preserve">   </w:t>
      </w:r>
      <w:r>
        <w:rPr>
          <w:rFonts w:hint="eastAsia" w:asciiTheme="minorEastAsia" w:hAnsiTheme="minorEastAsia" w:eastAsiaTheme="minorEastAsia"/>
          <w:color w:val="000000" w:themeColor="text1"/>
          <w:sz w:val="28"/>
          <w:szCs w:val="28"/>
          <w:highlight w:val="none"/>
          <w14:textFill>
            <w14:solidFill>
              <w14:schemeClr w14:val="tx1"/>
            </w14:solidFill>
          </w14:textFill>
        </w:rPr>
        <w:t>日,就质疑事项作出了答复/没有在法定期限内作出答复。</w:t>
      </w:r>
    </w:p>
    <w:p w14:paraId="5296C602">
      <w:pPr>
        <w:pageBreakBefore w:val="0"/>
        <w:wordWrap/>
        <w:topLinePunct w:val="0"/>
        <w:bidi w:val="0"/>
        <w:spacing w:line="560" w:lineRule="exact"/>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四、投诉事项具体内容</w:t>
      </w:r>
    </w:p>
    <w:p w14:paraId="378AA00D">
      <w:pPr>
        <w:pageBreakBefore w:val="0"/>
        <w:wordWrap/>
        <w:topLinePunct w:val="0"/>
        <w:bidi w:val="0"/>
        <w:spacing w:line="560" w:lineRule="exact"/>
        <w:rPr>
          <w:rFonts w:asciiTheme="minorEastAsia" w:hAnsiTheme="minorEastAsia" w:eastAsiaTheme="minorEastAsia"/>
          <w:color w:val="000000" w:themeColor="text1"/>
          <w:sz w:val="28"/>
          <w:szCs w:val="28"/>
          <w:highlight w:val="none"/>
          <w:u w:val="singl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投诉事项 1：</w:t>
      </w:r>
      <w:r>
        <w:rPr>
          <w:rFonts w:hint="eastAsia" w:asciiTheme="minorEastAsia" w:hAnsiTheme="minorEastAsia" w:eastAsiaTheme="minorEastAsia"/>
          <w:color w:val="000000" w:themeColor="text1"/>
          <w:sz w:val="28"/>
          <w:szCs w:val="28"/>
          <w:highlight w:val="none"/>
          <w:u w:val="dotted"/>
          <w14:textFill>
            <w14:solidFill>
              <w14:schemeClr w14:val="tx1"/>
            </w14:solidFill>
          </w14:textFill>
        </w:rPr>
        <w:t xml:space="preserve">                                       </w:t>
      </w:r>
    </w:p>
    <w:p w14:paraId="1195F656">
      <w:pPr>
        <w:pageBreakBefore w:val="0"/>
        <w:wordWrap/>
        <w:topLinePunct w:val="0"/>
        <w:bidi w:val="0"/>
        <w:spacing w:line="560" w:lineRule="exact"/>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事实依据：</w:t>
      </w:r>
      <w:r>
        <w:rPr>
          <w:rFonts w:hint="eastAsia" w:asciiTheme="minorEastAsia" w:hAnsiTheme="minorEastAsia" w:eastAsiaTheme="minorEastAsia"/>
          <w:color w:val="000000" w:themeColor="text1"/>
          <w:sz w:val="28"/>
          <w:szCs w:val="28"/>
          <w:highlight w:val="none"/>
          <w:u w:val="dotted"/>
          <w14:textFill>
            <w14:solidFill>
              <w14:schemeClr w14:val="tx1"/>
            </w14:solidFill>
          </w14:textFill>
        </w:rPr>
        <w:t xml:space="preserve">                                         </w:t>
      </w:r>
    </w:p>
    <w:p w14:paraId="0F17D40E">
      <w:pPr>
        <w:pageBreakBefore w:val="0"/>
        <w:wordWrap/>
        <w:topLinePunct w:val="0"/>
        <w:bidi w:val="0"/>
        <w:spacing w:line="560" w:lineRule="exact"/>
        <w:rPr>
          <w:rFonts w:asciiTheme="minorEastAsia" w:hAnsiTheme="minorEastAsia" w:eastAsiaTheme="minorEastAsia"/>
          <w:color w:val="000000" w:themeColor="text1"/>
          <w:sz w:val="28"/>
          <w:szCs w:val="28"/>
          <w:highlight w:val="none"/>
          <w:u w:val="dotted"/>
          <w14:textFill>
            <w14:solidFill>
              <w14:schemeClr w14:val="tx1"/>
            </w14:solidFill>
          </w14:textFill>
        </w:rPr>
      </w:pPr>
      <w:r>
        <w:rPr>
          <w:rFonts w:hint="eastAsia" w:asciiTheme="minorEastAsia" w:hAnsiTheme="minorEastAsia" w:eastAsiaTheme="minorEastAsia"/>
          <w:color w:val="000000" w:themeColor="text1"/>
          <w:sz w:val="28"/>
          <w:szCs w:val="28"/>
          <w:highlight w:val="none"/>
          <w:u w:val="dotted"/>
          <w14:textFill>
            <w14:solidFill>
              <w14:schemeClr w14:val="tx1"/>
            </w14:solidFill>
          </w14:textFill>
        </w:rPr>
        <w:t xml:space="preserve">                                                      </w:t>
      </w:r>
    </w:p>
    <w:p w14:paraId="3F435154">
      <w:pPr>
        <w:pageBreakBefore w:val="0"/>
        <w:wordWrap/>
        <w:topLinePunct w:val="0"/>
        <w:bidi w:val="0"/>
        <w:spacing w:line="560" w:lineRule="exact"/>
        <w:rPr>
          <w:rFonts w:asciiTheme="minorEastAsia" w:hAnsiTheme="minorEastAsia" w:eastAsiaTheme="minorEastAsia"/>
          <w:color w:val="000000" w:themeColor="text1"/>
          <w:sz w:val="28"/>
          <w:szCs w:val="28"/>
          <w:highlight w:val="none"/>
          <w:u w:val="singl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法律依据：</w:t>
      </w:r>
      <w:r>
        <w:rPr>
          <w:rFonts w:hint="eastAsia" w:asciiTheme="minorEastAsia" w:hAnsiTheme="minorEastAsia" w:eastAsiaTheme="minorEastAsia"/>
          <w:color w:val="000000" w:themeColor="text1"/>
          <w:sz w:val="28"/>
          <w:szCs w:val="28"/>
          <w:highlight w:val="none"/>
          <w:u w:val="dotted"/>
          <w14:textFill>
            <w14:solidFill>
              <w14:schemeClr w14:val="tx1"/>
            </w14:solidFill>
          </w14:textFill>
        </w:rPr>
        <w:t xml:space="preserve">                                          </w:t>
      </w:r>
    </w:p>
    <w:p w14:paraId="5EE83787">
      <w:pPr>
        <w:pageBreakBefore w:val="0"/>
        <w:wordWrap/>
        <w:topLinePunct w:val="0"/>
        <w:bidi w:val="0"/>
        <w:spacing w:line="560" w:lineRule="exact"/>
        <w:rPr>
          <w:rFonts w:asciiTheme="minorEastAsia" w:hAnsiTheme="minorEastAsia" w:eastAsiaTheme="minorEastAsia"/>
          <w:color w:val="000000" w:themeColor="text1"/>
          <w:sz w:val="28"/>
          <w:szCs w:val="28"/>
          <w:highlight w:val="none"/>
          <w:u w:val="dotted"/>
          <w14:textFill>
            <w14:solidFill>
              <w14:schemeClr w14:val="tx1"/>
            </w14:solidFill>
          </w14:textFill>
        </w:rPr>
      </w:pPr>
      <w:r>
        <w:rPr>
          <w:rFonts w:hint="eastAsia" w:asciiTheme="minorEastAsia" w:hAnsiTheme="minorEastAsia" w:eastAsiaTheme="minorEastAsia"/>
          <w:color w:val="000000" w:themeColor="text1"/>
          <w:sz w:val="28"/>
          <w:szCs w:val="28"/>
          <w:highlight w:val="none"/>
          <w:u w:val="dotted"/>
          <w14:textFill>
            <w14:solidFill>
              <w14:schemeClr w14:val="tx1"/>
            </w14:solidFill>
          </w14:textFill>
        </w:rPr>
        <w:t xml:space="preserve">                                                      </w:t>
      </w:r>
    </w:p>
    <w:p w14:paraId="1F02D0C8">
      <w:pPr>
        <w:pageBreakBefore w:val="0"/>
        <w:wordWrap/>
        <w:topLinePunct w:val="0"/>
        <w:bidi w:val="0"/>
        <w:spacing w:line="560" w:lineRule="exact"/>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投诉事项2</w:t>
      </w:r>
    </w:p>
    <w:p w14:paraId="630BB2F1">
      <w:pPr>
        <w:pageBreakBefore w:val="0"/>
        <w:wordWrap/>
        <w:topLinePunct w:val="0"/>
        <w:bidi w:val="0"/>
        <w:spacing w:line="560" w:lineRule="exact"/>
        <w:rPr>
          <w:rFonts w:asciiTheme="minorEastAsia" w:hAnsiTheme="minorEastAsia" w:eastAsiaTheme="minorEastAsia"/>
          <w:color w:val="000000" w:themeColor="text1"/>
          <w:sz w:val="28"/>
          <w:szCs w:val="28"/>
          <w:highlight w:val="none"/>
          <w:u w:val="dotted"/>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w:t>
      </w:r>
    </w:p>
    <w:p w14:paraId="48B5052C">
      <w:pPr>
        <w:pageBreakBefore w:val="0"/>
        <w:wordWrap/>
        <w:topLinePunct w:val="0"/>
        <w:bidi w:val="0"/>
        <w:spacing w:line="560" w:lineRule="exact"/>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五、与投诉事项相关的投诉请求</w:t>
      </w:r>
    </w:p>
    <w:p w14:paraId="15BDEDAE">
      <w:pPr>
        <w:pageBreakBefore w:val="0"/>
        <w:wordWrap/>
        <w:topLinePunct w:val="0"/>
        <w:bidi w:val="0"/>
        <w:spacing w:line="560" w:lineRule="exact"/>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请求：</w:t>
      </w:r>
      <w:r>
        <w:rPr>
          <w:rFonts w:hint="eastAsia" w:asciiTheme="minorEastAsia" w:hAnsiTheme="minorEastAsia" w:eastAsiaTheme="minorEastAsia"/>
          <w:color w:val="000000" w:themeColor="text1"/>
          <w:sz w:val="28"/>
          <w:szCs w:val="28"/>
          <w:highlight w:val="none"/>
          <w:u w:val="dotted"/>
          <w14:textFill>
            <w14:solidFill>
              <w14:schemeClr w14:val="tx1"/>
            </w14:solidFill>
          </w14:textFill>
        </w:rPr>
        <w:t xml:space="preserve">                                              </w:t>
      </w:r>
      <w:r>
        <w:rPr>
          <w:rFonts w:hint="eastAsia" w:asciiTheme="minorEastAsia" w:hAnsiTheme="minorEastAsia" w:eastAsiaTheme="minorEastAsia"/>
          <w:color w:val="000000" w:themeColor="text1"/>
          <w:sz w:val="28"/>
          <w:szCs w:val="28"/>
          <w:highlight w:val="none"/>
          <w14:textFill>
            <w14:solidFill>
              <w14:schemeClr w14:val="tx1"/>
            </w14:solidFill>
          </w14:textFill>
        </w:rPr>
        <w:t xml:space="preserve"> </w:t>
      </w:r>
    </w:p>
    <w:p w14:paraId="6AB268CA">
      <w:pPr>
        <w:pageBreakBefore w:val="0"/>
        <w:wordWrap/>
        <w:topLinePunct w:val="0"/>
        <w:bidi w:val="0"/>
        <w:spacing w:line="560" w:lineRule="exact"/>
        <w:rPr>
          <w:rFonts w:asciiTheme="minorEastAsia" w:hAnsiTheme="minorEastAsia" w:eastAsiaTheme="minorEastAsia"/>
          <w:color w:val="000000" w:themeColor="text1"/>
          <w:sz w:val="28"/>
          <w:szCs w:val="28"/>
          <w:highlight w:val="none"/>
          <w:u w:val="singl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 xml:space="preserve">                                                                                                    </w:t>
      </w:r>
    </w:p>
    <w:p w14:paraId="10290134">
      <w:pPr>
        <w:pageBreakBefore w:val="0"/>
        <w:wordWrap/>
        <w:topLinePunct w:val="0"/>
        <w:bidi w:val="0"/>
        <w:spacing w:line="560" w:lineRule="exact"/>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 xml:space="preserve">签字(签章)：                   公章：                      </w:t>
      </w:r>
    </w:p>
    <w:p w14:paraId="4EECF1E7">
      <w:pPr>
        <w:pageBreakBefore w:val="0"/>
        <w:wordWrap/>
        <w:topLinePunct w:val="0"/>
        <w:bidi w:val="0"/>
        <w:spacing w:line="560" w:lineRule="exact"/>
        <w:rPr>
          <w:rFonts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 xml:space="preserve">日期：    </w:t>
      </w:r>
    </w:p>
    <w:p w14:paraId="0A7028A7">
      <w:pPr>
        <w:pageBreakBefore w:val="0"/>
        <w:wordWrap/>
        <w:topLinePunct w:val="0"/>
        <w:bidi w:val="0"/>
        <w:spacing w:line="560" w:lineRule="exact"/>
        <w:rPr>
          <w:rFonts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投诉书制作说明：</w:t>
      </w:r>
    </w:p>
    <w:p w14:paraId="11CF376F">
      <w:pPr>
        <w:pageBreakBefore w:val="0"/>
        <w:widowControl/>
        <w:wordWrap/>
        <w:topLinePunct w:val="0"/>
        <w:bidi w:val="0"/>
        <w:spacing w:line="560" w:lineRule="exact"/>
        <w:ind w:firstLine="480" w:firstLineChars="200"/>
        <w:rPr>
          <w:rFonts w:cs="宋体"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1.投诉人提起投诉时，应当提交投诉书和必要的证明材料，并按照被投诉人和与投诉事项有关的供应商数量提供投诉书副本。</w:t>
      </w:r>
    </w:p>
    <w:p w14:paraId="20BC76F7">
      <w:pPr>
        <w:pageBreakBefore w:val="0"/>
        <w:widowControl/>
        <w:wordWrap/>
        <w:topLinePunct w:val="0"/>
        <w:bidi w:val="0"/>
        <w:spacing w:line="560" w:lineRule="exact"/>
        <w:ind w:firstLine="480" w:firstLineChars="200"/>
        <w:jc w:val="left"/>
        <w:rPr>
          <w:rFonts w:cs="宋体"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2.投诉人若委托代理人进行投诉的，投诉书应按照要求列明“授权代表”的有关内容，并在附件中提交由</w:t>
      </w:r>
      <w:r>
        <w:rPr>
          <w:rFonts w:hint="eastAsia" w:cs="宋体" w:asciiTheme="minorEastAsia" w:hAnsiTheme="minorEastAsia" w:eastAsiaTheme="minorEastAsia"/>
          <w:color w:val="000000" w:themeColor="text1"/>
          <w:kern w:val="0"/>
          <w:sz w:val="24"/>
          <w:highlight w:val="none"/>
          <w14:textFill>
            <w14:solidFill>
              <w14:schemeClr w14:val="tx1"/>
            </w14:solidFill>
          </w14:textFill>
        </w:rPr>
        <w:t>投诉人签署的授权委托书。授权委托书应当载明代理人的姓名或者名称、代理事项、具体权限、期限和相关事项。</w:t>
      </w:r>
    </w:p>
    <w:p w14:paraId="259A0A06">
      <w:pPr>
        <w:pageBreakBefore w:val="0"/>
        <w:widowControl/>
        <w:wordWrap/>
        <w:topLinePunct w:val="0"/>
        <w:bidi w:val="0"/>
        <w:spacing w:line="560" w:lineRule="exact"/>
        <w:ind w:firstLine="480" w:firstLineChars="200"/>
        <w:jc w:val="left"/>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3.投诉人若对项目的某一分包进行投诉，投诉书应列明具体分包号。</w:t>
      </w:r>
    </w:p>
    <w:p w14:paraId="27A97A4F">
      <w:pPr>
        <w:pageBreakBefore w:val="0"/>
        <w:widowControl/>
        <w:wordWrap/>
        <w:topLinePunct w:val="0"/>
        <w:bidi w:val="0"/>
        <w:spacing w:line="560" w:lineRule="exact"/>
        <w:ind w:firstLine="480" w:firstLineChars="200"/>
        <w:jc w:val="left"/>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4.投诉书应简要列明质疑事项，质疑函、质疑答复等作为附件材料提供。</w:t>
      </w:r>
    </w:p>
    <w:p w14:paraId="26905AA3">
      <w:pPr>
        <w:pageBreakBefore w:val="0"/>
        <w:widowControl/>
        <w:wordWrap/>
        <w:topLinePunct w:val="0"/>
        <w:bidi w:val="0"/>
        <w:spacing w:line="560" w:lineRule="exact"/>
        <w:ind w:firstLine="480" w:firstLineChars="200"/>
        <w:jc w:val="left"/>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5.投诉书的投诉事项应具体、明确，并有必要的事实依据和法律依据。</w:t>
      </w:r>
    </w:p>
    <w:p w14:paraId="63766751">
      <w:pPr>
        <w:pageBreakBefore w:val="0"/>
        <w:widowControl/>
        <w:wordWrap/>
        <w:topLinePunct w:val="0"/>
        <w:bidi w:val="0"/>
        <w:spacing w:line="560" w:lineRule="exact"/>
        <w:ind w:firstLine="480" w:firstLineChars="200"/>
        <w:jc w:val="left"/>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6.投诉书的投诉请求应与投诉事项相关。</w:t>
      </w:r>
    </w:p>
    <w:p w14:paraId="08502357">
      <w:pPr>
        <w:pageBreakBefore w:val="0"/>
        <w:widowControl/>
        <w:wordWrap/>
        <w:topLinePunct w:val="0"/>
        <w:bidi w:val="0"/>
        <w:spacing w:line="560" w:lineRule="exact"/>
        <w:ind w:firstLine="480" w:firstLineChars="200"/>
        <w:jc w:val="left"/>
        <w:rPr>
          <w:rFonts w:cs="宋体"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7.投诉人为自然人的，投诉书应当由本人签字；投诉人为法人或者其他组织的，投诉书应当由法定代表人、主要负责人，或者其授权代表签字或者盖章，并加盖公章。</w:t>
      </w:r>
    </w:p>
    <w:p w14:paraId="444E1B85">
      <w:pPr>
        <w:pageBreakBefore w:val="0"/>
        <w:wordWrap/>
        <w:topLinePunct w:val="0"/>
        <w:bidi w:val="0"/>
        <w:snapToGrid w:val="0"/>
        <w:spacing w:before="50" w:after="165" w:afterLines="50" w:line="560" w:lineRule="exact"/>
        <w:ind w:firstLine="480" w:firstLineChars="200"/>
        <w:jc w:val="left"/>
        <w:rPr>
          <w:color w:val="000000" w:themeColor="text1"/>
          <w:sz w:val="24"/>
          <w:highlight w:val="none"/>
          <w14:textFill>
            <w14:solidFill>
              <w14:schemeClr w14:val="tx1"/>
            </w14:solidFill>
          </w14:textFill>
        </w:rPr>
      </w:pPr>
    </w:p>
    <w:p w14:paraId="75A98294">
      <w:pPr>
        <w:pageBreakBefore w:val="0"/>
        <w:wordWrap/>
        <w:topLinePunct w:val="0"/>
        <w:bidi w:val="0"/>
        <w:spacing w:line="560" w:lineRule="exact"/>
        <w:rPr>
          <w:color w:val="000000" w:themeColor="text1"/>
          <w:highlight w:val="none"/>
          <w14:textFill>
            <w14:solidFill>
              <w14:schemeClr w14:val="tx1"/>
            </w14:solidFill>
          </w14:textFill>
        </w:rPr>
        <w:sectPr>
          <w:footerReference r:id="rId13" w:type="first"/>
          <w:headerReference r:id="rId10" w:type="default"/>
          <w:footerReference r:id="rId11" w:type="default"/>
          <w:footerReference r:id="rId12" w:type="even"/>
          <w:pgSz w:w="11906" w:h="16838"/>
          <w:pgMar w:top="1134" w:right="1134" w:bottom="1134" w:left="1134" w:header="720" w:footer="720" w:gutter="0"/>
          <w:pgNumType w:fmt="decimal"/>
          <w:cols w:space="720" w:num="1"/>
          <w:docGrid w:type="lines" w:linePitch="331" w:charSpace="0"/>
        </w:sectPr>
      </w:pPr>
    </w:p>
    <w:p w14:paraId="03E1283B">
      <w:pPr>
        <w:pageBreakBefore w:val="0"/>
        <w:wordWrap/>
        <w:topLinePunct w:val="0"/>
        <w:bidi w:val="0"/>
        <w:spacing w:before="165" w:beforeLines="50" w:line="560" w:lineRule="exact"/>
        <w:rPr>
          <w:rFonts w:asciiTheme="minorEastAsia" w:hAnsiTheme="minorEastAsia" w:eastAsiaTheme="minorEastAsia"/>
          <w:b/>
          <w:bCs/>
          <w:color w:val="000000" w:themeColor="text1"/>
          <w:sz w:val="36"/>
          <w:szCs w:val="36"/>
          <w:highlight w:val="none"/>
          <w14:textFill>
            <w14:solidFill>
              <w14:schemeClr w14:val="tx1"/>
            </w14:solidFill>
          </w14:textFill>
        </w:rPr>
      </w:pPr>
    </w:p>
    <w:p w14:paraId="733E385F">
      <w:pPr>
        <w:pageBreakBefore w:val="0"/>
        <w:wordWrap/>
        <w:topLinePunct w:val="0"/>
        <w:bidi w:val="0"/>
        <w:spacing w:before="165" w:beforeLines="50" w:line="560" w:lineRule="exact"/>
        <w:rPr>
          <w:rFonts w:asciiTheme="minorEastAsia" w:hAnsiTheme="minorEastAsia" w:eastAsiaTheme="minorEastAsia"/>
          <w:b/>
          <w:bCs/>
          <w:color w:val="000000" w:themeColor="text1"/>
          <w:sz w:val="36"/>
          <w:szCs w:val="36"/>
          <w:highlight w:val="none"/>
          <w14:textFill>
            <w14:solidFill>
              <w14:schemeClr w14:val="tx1"/>
            </w14:solidFill>
          </w14:textFill>
        </w:rPr>
      </w:pPr>
    </w:p>
    <w:p w14:paraId="15362C49">
      <w:pPr>
        <w:pageBreakBefore w:val="0"/>
        <w:wordWrap/>
        <w:topLinePunct w:val="0"/>
        <w:bidi w:val="0"/>
        <w:spacing w:before="165" w:beforeLines="50" w:line="560" w:lineRule="exact"/>
        <w:jc w:val="center"/>
        <w:rPr>
          <w:rFonts w:ascii="仿宋_GB2312" w:hAnsi="宋体" w:eastAsia="仿宋_GB2312"/>
          <w:b/>
          <w:color w:val="000000" w:themeColor="text1"/>
          <w:sz w:val="48"/>
          <w:szCs w:val="48"/>
          <w:highlight w:val="none"/>
          <w14:textFill>
            <w14:solidFill>
              <w14:schemeClr w14:val="tx1"/>
            </w14:solidFill>
          </w14:textFill>
        </w:rPr>
      </w:pPr>
      <w:r>
        <w:rPr>
          <w:rFonts w:hint="eastAsia" w:asciiTheme="minorEastAsia" w:hAnsiTheme="minorEastAsia" w:eastAsiaTheme="minorEastAsia"/>
          <w:b/>
          <w:bCs/>
          <w:color w:val="000000" w:themeColor="text1"/>
          <w:sz w:val="56"/>
          <w:szCs w:val="56"/>
          <w:highlight w:val="none"/>
          <w:lang w:eastAsia="zh-CN"/>
          <w14:textFill>
            <w14:solidFill>
              <w14:schemeClr w14:val="tx1"/>
            </w14:solidFill>
          </w14:textFill>
        </w:rPr>
        <w:t>哈密市中心医院2025年医疗设备购置项目（第一批）（二次）</w:t>
      </w:r>
    </w:p>
    <w:p w14:paraId="5D805322">
      <w:pPr>
        <w:pageBreakBefore w:val="0"/>
        <w:wordWrap/>
        <w:topLinePunct w:val="0"/>
        <w:bidi w:val="0"/>
        <w:spacing w:before="165" w:beforeLines="50" w:line="560" w:lineRule="exact"/>
        <w:jc w:val="center"/>
        <w:rPr>
          <w:rFonts w:hint="default" w:asciiTheme="minorEastAsia" w:hAnsiTheme="minorEastAsia" w:eastAsiaTheme="minorEastAsia"/>
          <w:b/>
          <w:bCs/>
          <w:color w:val="000000" w:themeColor="text1"/>
          <w:sz w:val="56"/>
          <w:szCs w:val="56"/>
          <w:highlight w:val="none"/>
          <w:lang w:val="en-US" w:eastAsia="zh-CN"/>
          <w14:textFill>
            <w14:solidFill>
              <w14:schemeClr w14:val="tx1"/>
            </w14:solidFill>
          </w14:textFill>
        </w:rPr>
      </w:pPr>
      <w:r>
        <w:rPr>
          <w:rFonts w:hint="eastAsia" w:asciiTheme="minorEastAsia" w:hAnsiTheme="minorEastAsia" w:eastAsiaTheme="minorEastAsia"/>
          <w:b/>
          <w:bCs/>
          <w:color w:val="000000" w:themeColor="text1"/>
          <w:sz w:val="56"/>
          <w:szCs w:val="56"/>
          <w:highlight w:val="none"/>
          <w:lang w:val="en-US" w:eastAsia="zh-CN"/>
          <w14:textFill>
            <w14:solidFill>
              <w14:schemeClr w14:val="tx1"/>
            </w14:solidFill>
          </w14:textFill>
        </w:rPr>
        <w:t>标项二</w:t>
      </w:r>
    </w:p>
    <w:p w14:paraId="0B3E98EE">
      <w:pPr>
        <w:pageBreakBefore w:val="0"/>
        <w:wordWrap/>
        <w:topLinePunct w:val="0"/>
        <w:bidi w:val="0"/>
        <w:spacing w:before="165" w:beforeLines="50" w:line="560" w:lineRule="exact"/>
        <w:jc w:val="center"/>
        <w:rPr>
          <w:rFonts w:ascii="仿宋_GB2312" w:hAnsi="宋体" w:eastAsia="仿宋_GB2312"/>
          <w:b/>
          <w:color w:val="000000" w:themeColor="text1"/>
          <w:sz w:val="48"/>
          <w:szCs w:val="48"/>
          <w:highlight w:val="none"/>
          <w14:textFill>
            <w14:solidFill>
              <w14:schemeClr w14:val="tx1"/>
            </w14:solidFill>
          </w14:textFill>
        </w:rPr>
      </w:pPr>
    </w:p>
    <w:p w14:paraId="668EFA59">
      <w:pPr>
        <w:pageBreakBefore w:val="0"/>
        <w:wordWrap/>
        <w:topLinePunct w:val="0"/>
        <w:bidi w:val="0"/>
        <w:spacing w:before="165" w:beforeLines="50" w:line="560" w:lineRule="exact"/>
        <w:jc w:val="both"/>
        <w:rPr>
          <w:rFonts w:ascii="仿宋_GB2312" w:hAnsi="宋体" w:eastAsia="仿宋_GB2312"/>
          <w:b/>
          <w:color w:val="000000" w:themeColor="text1"/>
          <w:sz w:val="48"/>
          <w:szCs w:val="48"/>
          <w:highlight w:val="none"/>
          <w14:textFill>
            <w14:solidFill>
              <w14:schemeClr w14:val="tx1"/>
            </w14:solidFill>
          </w14:textFill>
        </w:rPr>
      </w:pPr>
    </w:p>
    <w:p w14:paraId="2E67283A">
      <w:pPr>
        <w:pageBreakBefore w:val="0"/>
        <w:wordWrap/>
        <w:topLinePunct w:val="0"/>
        <w:bidi w:val="0"/>
        <w:snapToGrid w:val="0"/>
        <w:spacing w:before="165" w:beforeLines="50" w:line="560" w:lineRule="exact"/>
        <w:jc w:val="center"/>
        <w:rPr>
          <w:rFonts w:asciiTheme="minorEastAsia" w:hAnsiTheme="minorEastAsia" w:eastAsiaTheme="minorEastAsia"/>
          <w:color w:val="000000" w:themeColor="text1"/>
          <w:sz w:val="72"/>
          <w:szCs w:val="72"/>
          <w:highlight w:val="none"/>
          <w14:textFill>
            <w14:solidFill>
              <w14:schemeClr w14:val="tx1"/>
            </w14:solidFill>
          </w14:textFill>
        </w:rPr>
      </w:pPr>
      <w:r>
        <w:rPr>
          <w:rFonts w:hint="eastAsia" w:asciiTheme="minorEastAsia" w:hAnsiTheme="minorEastAsia" w:eastAsiaTheme="minorEastAsia"/>
          <w:color w:val="000000" w:themeColor="text1"/>
          <w:sz w:val="72"/>
          <w:szCs w:val="72"/>
          <w:highlight w:val="none"/>
          <w14:textFill>
            <w14:solidFill>
              <w14:schemeClr w14:val="tx1"/>
            </w14:solidFill>
          </w14:textFill>
        </w:rPr>
        <w:t>招 标 文 件</w:t>
      </w:r>
    </w:p>
    <w:p w14:paraId="408E297A">
      <w:pPr>
        <w:pageBreakBefore w:val="0"/>
        <w:wordWrap/>
        <w:topLinePunct w:val="0"/>
        <w:bidi w:val="0"/>
        <w:snapToGrid w:val="0"/>
        <w:spacing w:before="165" w:beforeLines="50" w:line="560" w:lineRule="exact"/>
        <w:jc w:val="center"/>
        <w:rPr>
          <w:rFonts w:asciiTheme="minorEastAsia" w:hAnsiTheme="minorEastAsia" w:eastAsiaTheme="minorEastAsia"/>
          <w:color w:val="000000" w:themeColor="text1"/>
          <w:sz w:val="30"/>
          <w:szCs w:val="72"/>
          <w:highlight w:val="none"/>
          <w14:textFill>
            <w14:solidFill>
              <w14:schemeClr w14:val="tx1"/>
            </w14:solidFill>
          </w14:textFill>
        </w:rPr>
      </w:pPr>
      <w:r>
        <w:rPr>
          <w:rFonts w:hint="eastAsia" w:asciiTheme="minorEastAsia" w:hAnsiTheme="minorEastAsia" w:eastAsiaTheme="minorEastAsia"/>
          <w:color w:val="000000" w:themeColor="text1"/>
          <w:sz w:val="30"/>
          <w:szCs w:val="72"/>
          <w:highlight w:val="none"/>
          <w14:textFill>
            <w14:solidFill>
              <w14:schemeClr w14:val="tx1"/>
            </w14:solidFill>
          </w14:textFill>
        </w:rPr>
        <w:t>（全流程电子化评标）</w:t>
      </w:r>
    </w:p>
    <w:p w14:paraId="723218A2">
      <w:pPr>
        <w:pageBreakBefore w:val="0"/>
        <w:wordWrap/>
        <w:topLinePunct w:val="0"/>
        <w:bidi w:val="0"/>
        <w:spacing w:before="165" w:beforeLines="50" w:line="560" w:lineRule="exact"/>
        <w:jc w:val="center"/>
        <w:rPr>
          <w:rFonts w:asciiTheme="minorEastAsia" w:hAnsiTheme="minorEastAsia" w:eastAsiaTheme="minorEastAsia"/>
          <w:color w:val="000000" w:themeColor="text1"/>
          <w:sz w:val="30"/>
          <w:szCs w:val="72"/>
          <w:highlight w:val="none"/>
          <w14:textFill>
            <w14:solidFill>
              <w14:schemeClr w14:val="tx1"/>
            </w14:solidFill>
          </w14:textFill>
        </w:rPr>
      </w:pPr>
      <w:r>
        <w:rPr>
          <w:rFonts w:hint="eastAsia" w:asciiTheme="minorEastAsia" w:hAnsiTheme="minorEastAsia" w:eastAsiaTheme="minorEastAsia"/>
          <w:color w:val="000000" w:themeColor="text1"/>
          <w:sz w:val="30"/>
          <w:szCs w:val="72"/>
          <w:highlight w:val="none"/>
          <w14:textFill>
            <w14:solidFill>
              <w14:schemeClr w14:val="tx1"/>
            </w14:solidFill>
          </w14:textFill>
        </w:rPr>
        <w:t xml:space="preserve">  </w:t>
      </w:r>
    </w:p>
    <w:p w14:paraId="0B95813F">
      <w:pPr>
        <w:pageBreakBefore w:val="0"/>
        <w:wordWrap/>
        <w:topLinePunct w:val="0"/>
        <w:bidi w:val="0"/>
        <w:spacing w:before="165" w:beforeLines="50" w:line="560" w:lineRule="exact"/>
        <w:rPr>
          <w:rFonts w:asciiTheme="minorEastAsia" w:hAnsiTheme="minorEastAsia" w:eastAsiaTheme="minorEastAsia"/>
          <w:color w:val="000000" w:themeColor="text1"/>
          <w:sz w:val="30"/>
          <w:szCs w:val="72"/>
          <w:highlight w:val="none"/>
          <w14:textFill>
            <w14:solidFill>
              <w14:schemeClr w14:val="tx1"/>
            </w14:solidFill>
          </w14:textFill>
        </w:rPr>
      </w:pPr>
    </w:p>
    <w:p w14:paraId="5F414881">
      <w:pPr>
        <w:pageBreakBefore w:val="0"/>
        <w:wordWrap/>
        <w:topLinePunct w:val="0"/>
        <w:bidi w:val="0"/>
        <w:spacing w:before="165" w:beforeLines="50" w:line="560" w:lineRule="exact"/>
        <w:rPr>
          <w:rFonts w:asciiTheme="minorEastAsia" w:hAnsiTheme="minorEastAsia" w:eastAsiaTheme="minorEastAsia"/>
          <w:color w:val="000000" w:themeColor="text1"/>
          <w:sz w:val="30"/>
          <w:szCs w:val="72"/>
          <w:highlight w:val="none"/>
          <w14:textFill>
            <w14:solidFill>
              <w14:schemeClr w14:val="tx1"/>
            </w14:solidFill>
          </w14:textFill>
        </w:rPr>
      </w:pPr>
    </w:p>
    <w:p w14:paraId="5F032C78">
      <w:pPr>
        <w:pageBreakBefore w:val="0"/>
        <w:wordWrap/>
        <w:topLinePunct w:val="0"/>
        <w:bidi w:val="0"/>
        <w:spacing w:before="165" w:beforeLines="50" w:line="560" w:lineRule="exact"/>
        <w:rPr>
          <w:rFonts w:asciiTheme="minorEastAsia" w:hAnsiTheme="minorEastAsia" w:eastAsiaTheme="minorEastAsia"/>
          <w:color w:val="000000" w:themeColor="text1"/>
          <w:sz w:val="30"/>
          <w:szCs w:val="72"/>
          <w:highlight w:val="none"/>
          <w14:textFill>
            <w14:solidFill>
              <w14:schemeClr w14:val="tx1"/>
            </w14:solidFill>
          </w14:textFill>
        </w:rPr>
      </w:pPr>
    </w:p>
    <w:p w14:paraId="0A0E032D">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heme="minorEastAsia" w:hAnsiTheme="minorEastAsia" w:eastAsiaTheme="minorEastAsia"/>
          <w:b/>
          <w:bCs/>
          <w:color w:val="000000" w:themeColor="text1"/>
          <w:sz w:val="30"/>
          <w:szCs w:val="30"/>
          <w:highlight w:val="none"/>
          <w:u w:val="single"/>
          <w:lang w:val="en-US" w:eastAsia="zh-CN"/>
          <w14:textFill>
            <w14:solidFill>
              <w14:schemeClr w14:val="tx1"/>
            </w14:solidFill>
          </w14:textFill>
        </w:rPr>
      </w:pPr>
      <w:r>
        <w:rPr>
          <w:rFonts w:hint="eastAsia" w:asciiTheme="minorEastAsia" w:hAnsiTheme="minorEastAsia" w:eastAsiaTheme="minorEastAsia"/>
          <w:b/>
          <w:bCs/>
          <w:color w:val="000000" w:themeColor="text1"/>
          <w:sz w:val="30"/>
          <w:szCs w:val="30"/>
          <w:highlight w:val="none"/>
          <w14:textFill>
            <w14:solidFill>
              <w14:schemeClr w14:val="tx1"/>
            </w14:solidFill>
          </w14:textFill>
        </w:rPr>
        <w:t>项 目 名 称：</w:t>
      </w:r>
      <w:r>
        <w:rPr>
          <w:rFonts w:hint="eastAsia" w:asciiTheme="minorEastAsia" w:hAnsiTheme="minorEastAsia" w:eastAsiaTheme="minorEastAsia"/>
          <w:b/>
          <w:bCs/>
          <w:color w:val="000000" w:themeColor="text1"/>
          <w:sz w:val="30"/>
          <w:szCs w:val="30"/>
          <w:highlight w:val="none"/>
          <w:u w:val="single"/>
          <w:lang w:eastAsia="zh-CN"/>
          <w14:textFill>
            <w14:solidFill>
              <w14:schemeClr w14:val="tx1"/>
            </w14:solidFill>
          </w14:textFill>
        </w:rPr>
        <w:t>哈密市中心医院2025年医疗设备购置项目（第一批）（二次）</w:t>
      </w:r>
    </w:p>
    <w:p w14:paraId="360D411A">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heme="minorEastAsia" w:hAnsiTheme="minorEastAsia" w:eastAsiaTheme="minorEastAsia"/>
          <w:b/>
          <w:bCs/>
          <w:color w:val="000000" w:themeColor="text1"/>
          <w:sz w:val="30"/>
          <w:szCs w:val="30"/>
          <w:highlight w:val="none"/>
          <w:lang w:val="en-US" w:eastAsia="zh-CN"/>
          <w14:textFill>
            <w14:solidFill>
              <w14:schemeClr w14:val="tx1"/>
            </w14:solidFill>
          </w14:textFill>
        </w:rPr>
      </w:pPr>
      <w:r>
        <w:rPr>
          <w:rFonts w:hint="eastAsia" w:asciiTheme="minorEastAsia" w:hAnsiTheme="minorEastAsia" w:eastAsiaTheme="minorEastAsia"/>
          <w:b/>
          <w:bCs/>
          <w:color w:val="000000" w:themeColor="text1"/>
          <w:sz w:val="30"/>
          <w:szCs w:val="30"/>
          <w:highlight w:val="none"/>
          <w14:textFill>
            <w14:solidFill>
              <w14:schemeClr w14:val="tx1"/>
            </w14:solidFill>
          </w14:textFill>
        </w:rPr>
        <w:t>项 目 编 号：</w:t>
      </w:r>
      <w:r>
        <w:rPr>
          <w:rFonts w:hint="eastAsia" w:asciiTheme="minorEastAsia" w:hAnsiTheme="minorEastAsia" w:eastAsiaTheme="minorEastAsia"/>
          <w:b/>
          <w:bCs/>
          <w:color w:val="000000" w:themeColor="text1"/>
          <w:sz w:val="30"/>
          <w:szCs w:val="30"/>
          <w:highlight w:val="none"/>
          <w:u w:val="single"/>
          <w:lang w:eastAsia="zh-CN"/>
          <w14:textFill>
            <w14:solidFill>
              <w14:schemeClr w14:val="tx1"/>
            </w14:solidFill>
          </w14:textFill>
        </w:rPr>
        <w:t>XJCY(HM)-2025019</w:t>
      </w:r>
      <w:r>
        <w:rPr>
          <w:rFonts w:hint="eastAsia" w:asciiTheme="minorEastAsia" w:hAnsiTheme="minorEastAsia" w:eastAsiaTheme="minorEastAsia"/>
          <w:b/>
          <w:bCs/>
          <w:color w:val="000000" w:themeColor="text1"/>
          <w:sz w:val="30"/>
          <w:szCs w:val="30"/>
          <w:highlight w:val="none"/>
          <w:u w:val="single"/>
          <w:lang w:val="en-US" w:eastAsia="zh-CN"/>
          <w14:textFill>
            <w14:solidFill>
              <w14:schemeClr w14:val="tx1"/>
            </w14:solidFill>
          </w14:textFill>
        </w:rPr>
        <w:t xml:space="preserve">-01                                      </w:t>
      </w:r>
    </w:p>
    <w:p w14:paraId="2AA159E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b/>
          <w:color w:val="000000" w:themeColor="text1"/>
          <w:sz w:val="30"/>
          <w:szCs w:val="30"/>
          <w:highlight w:val="none"/>
          <w:lang w:eastAsia="zh-CN"/>
          <w14:textFill>
            <w14:solidFill>
              <w14:schemeClr w14:val="tx1"/>
            </w14:solidFill>
          </w14:textFill>
        </w:rPr>
      </w:pPr>
      <w:r>
        <w:rPr>
          <w:rFonts w:hint="eastAsia" w:asciiTheme="minorEastAsia" w:hAnsiTheme="minorEastAsia" w:eastAsiaTheme="minorEastAsia"/>
          <w:b/>
          <w:color w:val="000000" w:themeColor="text1"/>
          <w:sz w:val="30"/>
          <w:szCs w:val="30"/>
          <w:highlight w:val="none"/>
          <w14:textFill>
            <w14:solidFill>
              <w14:schemeClr w14:val="tx1"/>
            </w14:solidFill>
          </w14:textFill>
        </w:rPr>
        <w:t xml:space="preserve">采  购   人： </w:t>
      </w:r>
      <w:r>
        <w:rPr>
          <w:rFonts w:hint="eastAsia" w:asciiTheme="minorEastAsia" w:hAnsiTheme="minorEastAsia" w:eastAsiaTheme="minorEastAsia"/>
          <w:b/>
          <w:color w:val="000000" w:themeColor="text1"/>
          <w:sz w:val="30"/>
          <w:szCs w:val="30"/>
          <w:highlight w:val="none"/>
          <w:u w:val="single"/>
          <w:lang w:eastAsia="zh-CN"/>
          <w14:textFill>
            <w14:solidFill>
              <w14:schemeClr w14:val="tx1"/>
            </w14:solidFill>
          </w14:textFill>
        </w:rPr>
        <w:t xml:space="preserve">哈密市中心医院   </w:t>
      </w:r>
      <w:r>
        <w:rPr>
          <w:rFonts w:hint="eastAsia" w:asciiTheme="minorEastAsia" w:hAnsiTheme="minorEastAsia" w:eastAsiaTheme="minorEastAsia"/>
          <w:b/>
          <w:color w:val="000000" w:themeColor="text1"/>
          <w:sz w:val="30"/>
          <w:szCs w:val="30"/>
          <w:highlight w:val="none"/>
          <w:u w:val="single"/>
          <w:lang w:val="en-US" w:eastAsia="zh-CN"/>
          <w14:textFill>
            <w14:solidFill>
              <w14:schemeClr w14:val="tx1"/>
            </w14:solidFill>
          </w14:textFill>
        </w:rPr>
        <w:t xml:space="preserve">                                      </w:t>
      </w:r>
      <w:r>
        <w:rPr>
          <w:rFonts w:hint="eastAsia" w:asciiTheme="minorEastAsia" w:hAnsiTheme="minorEastAsia" w:eastAsiaTheme="minorEastAsia"/>
          <w:b/>
          <w:color w:val="000000" w:themeColor="text1"/>
          <w:sz w:val="30"/>
          <w:szCs w:val="30"/>
          <w:highlight w:val="none"/>
          <w:u w:val="single"/>
          <w:lang w:eastAsia="zh-CN"/>
          <w14:textFill>
            <w14:solidFill>
              <w14:schemeClr w14:val="tx1"/>
            </w14:solidFill>
          </w14:textFill>
        </w:rPr>
        <w:t xml:space="preserve"> </w:t>
      </w:r>
    </w:p>
    <w:p w14:paraId="73972DAA">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heme="minorEastAsia" w:hAnsiTheme="minorEastAsia" w:eastAsiaTheme="minorEastAsia"/>
          <w:b/>
          <w:color w:val="000000" w:themeColor="text1"/>
          <w:sz w:val="32"/>
          <w:szCs w:val="32"/>
          <w:highlight w:val="none"/>
          <w:lang w:val="en-US" w:eastAsia="zh-CN"/>
          <w14:textFill>
            <w14:solidFill>
              <w14:schemeClr w14:val="tx1"/>
            </w14:solidFill>
          </w14:textFill>
        </w:rPr>
      </w:pPr>
      <w:r>
        <w:rPr>
          <w:rFonts w:hint="eastAsia" w:asciiTheme="minorEastAsia" w:hAnsiTheme="minorEastAsia" w:eastAsiaTheme="minorEastAsia"/>
          <w:b/>
          <w:color w:val="000000" w:themeColor="text1"/>
          <w:sz w:val="30"/>
          <w:szCs w:val="30"/>
          <w:highlight w:val="none"/>
          <w14:textFill>
            <w14:solidFill>
              <w14:schemeClr w14:val="tx1"/>
            </w14:solidFill>
          </w14:textFill>
        </w:rPr>
        <w:t>采购代理机构：</w:t>
      </w:r>
      <w:r>
        <w:rPr>
          <w:rFonts w:hint="eastAsia" w:asciiTheme="minorEastAsia" w:hAnsiTheme="minorEastAsia" w:eastAsiaTheme="minorEastAsia"/>
          <w:b/>
          <w:color w:val="000000" w:themeColor="text1"/>
          <w:sz w:val="30"/>
          <w:szCs w:val="30"/>
          <w:highlight w:val="none"/>
          <w:u w:val="single"/>
          <w:lang w:eastAsia="zh-CN"/>
          <w14:textFill>
            <w14:solidFill>
              <w14:schemeClr w14:val="tx1"/>
            </w14:solidFill>
          </w14:textFill>
        </w:rPr>
        <w:t>新疆诚誉工程项目管理有限公司</w:t>
      </w:r>
      <w:r>
        <w:rPr>
          <w:rFonts w:hint="eastAsia" w:asciiTheme="minorEastAsia" w:hAnsiTheme="minorEastAsia" w:eastAsiaTheme="minorEastAsia"/>
          <w:b/>
          <w:color w:val="000000" w:themeColor="text1"/>
          <w:sz w:val="30"/>
          <w:szCs w:val="30"/>
          <w:highlight w:val="none"/>
          <w:u w:val="single"/>
          <w:lang w:val="en-US" w:eastAsia="zh-CN"/>
          <w14:textFill>
            <w14:solidFill>
              <w14:schemeClr w14:val="tx1"/>
            </w14:solidFill>
          </w14:textFill>
        </w:rPr>
        <w:t xml:space="preserve">                       </w:t>
      </w:r>
      <w:r>
        <w:rPr>
          <w:rFonts w:hint="eastAsia" w:asciiTheme="minorEastAsia" w:hAnsiTheme="minorEastAsia" w:eastAsiaTheme="minorEastAsia"/>
          <w:b/>
          <w:color w:val="000000" w:themeColor="text1"/>
          <w:sz w:val="32"/>
          <w:szCs w:val="32"/>
          <w:highlight w:val="none"/>
          <w:u w:val="single"/>
          <w:lang w:val="en-US" w:eastAsia="zh-CN"/>
          <w14:textFill>
            <w14:solidFill>
              <w14:schemeClr w14:val="tx1"/>
            </w14:solidFill>
          </w14:textFill>
        </w:rPr>
        <w:t xml:space="preserve">    </w:t>
      </w:r>
    </w:p>
    <w:p w14:paraId="2BF85772">
      <w:pPr>
        <w:pStyle w:val="17"/>
        <w:pageBreakBefore w:val="0"/>
        <w:wordWrap/>
        <w:topLinePunct w:val="0"/>
        <w:bidi w:val="0"/>
        <w:spacing w:line="560" w:lineRule="exact"/>
        <w:rPr>
          <w:rFonts w:hint="eastAsia"/>
          <w:color w:val="000000" w:themeColor="text1"/>
          <w:highlight w:val="none"/>
          <w14:textFill>
            <w14:solidFill>
              <w14:schemeClr w14:val="tx1"/>
            </w14:solidFill>
          </w14:textFill>
        </w:rPr>
      </w:pPr>
    </w:p>
    <w:p w14:paraId="4991AD50">
      <w:pPr>
        <w:pStyle w:val="17"/>
        <w:pageBreakBefore w:val="0"/>
        <w:wordWrap/>
        <w:topLinePunct w:val="0"/>
        <w:bidi w:val="0"/>
        <w:spacing w:line="560" w:lineRule="exact"/>
        <w:rPr>
          <w:color w:val="000000" w:themeColor="text1"/>
          <w:highlight w:val="none"/>
          <w14:textFill>
            <w14:solidFill>
              <w14:schemeClr w14:val="tx1"/>
            </w14:solidFill>
          </w14:textFill>
        </w:rPr>
      </w:pPr>
      <w:r>
        <w:rPr>
          <w:rFonts w:hint="eastAsia"/>
          <w:color w:val="000000" w:themeColor="text1"/>
          <w:sz w:val="30"/>
          <w:szCs w:val="30"/>
          <w:highlight w:val="none"/>
          <w14:textFill>
            <w14:solidFill>
              <w14:schemeClr w14:val="tx1"/>
            </w14:solidFill>
          </w14:textFill>
        </w:rPr>
        <w:t xml:space="preserve">  202</w:t>
      </w:r>
      <w:r>
        <w:rPr>
          <w:rFonts w:hint="eastAsia"/>
          <w:color w:val="000000" w:themeColor="text1"/>
          <w:sz w:val="30"/>
          <w:szCs w:val="30"/>
          <w:highlight w:val="none"/>
          <w:lang w:val="en-US" w:eastAsia="zh-CN"/>
          <w14:textFill>
            <w14:solidFill>
              <w14:schemeClr w14:val="tx1"/>
            </w14:solidFill>
          </w14:textFill>
        </w:rPr>
        <w:t>5</w:t>
      </w:r>
      <w:r>
        <w:rPr>
          <w:rFonts w:hint="eastAsia"/>
          <w:color w:val="000000" w:themeColor="text1"/>
          <w:sz w:val="30"/>
          <w:szCs w:val="30"/>
          <w:highlight w:val="none"/>
          <w14:textFill>
            <w14:solidFill>
              <w14:schemeClr w14:val="tx1"/>
            </w14:solidFill>
          </w14:textFill>
        </w:rPr>
        <w:t>年</w:t>
      </w:r>
      <w:r>
        <w:rPr>
          <w:rFonts w:hint="eastAsia"/>
          <w:color w:val="000000" w:themeColor="text1"/>
          <w:sz w:val="30"/>
          <w:szCs w:val="30"/>
          <w:highlight w:val="none"/>
          <w:lang w:val="en-US" w:eastAsia="zh-CN"/>
          <w14:textFill>
            <w14:solidFill>
              <w14:schemeClr w14:val="tx1"/>
            </w14:solidFill>
          </w14:textFill>
        </w:rPr>
        <w:t>6</w:t>
      </w:r>
      <w:r>
        <w:rPr>
          <w:rFonts w:hint="eastAsia"/>
          <w:color w:val="000000" w:themeColor="text1"/>
          <w:sz w:val="30"/>
          <w:szCs w:val="30"/>
          <w:highlight w:val="none"/>
          <w14:textFill>
            <w14:solidFill>
              <w14:schemeClr w14:val="tx1"/>
            </w14:solidFill>
          </w14:textFill>
        </w:rPr>
        <w:t xml:space="preserve">月  </w:t>
      </w:r>
      <w:r>
        <w:rPr>
          <w:rFonts w:hint="eastAsia"/>
          <w:color w:val="000000" w:themeColor="text1"/>
          <w:highlight w:val="none"/>
          <w14:textFill>
            <w14:solidFill>
              <w14:schemeClr w14:val="tx1"/>
            </w14:solidFill>
          </w14:textFill>
        </w:rPr>
        <w:t xml:space="preserve"> </w:t>
      </w:r>
    </w:p>
    <w:p w14:paraId="097FCFF3">
      <w:pPr>
        <w:pStyle w:val="17"/>
        <w:pageBreakBefore w:val="0"/>
        <w:wordWrap/>
        <w:topLinePunct w:val="0"/>
        <w:bidi w:val="0"/>
        <w:spacing w:line="560" w:lineRule="exact"/>
        <w:rPr>
          <w:rFonts w:hint="eastAsia"/>
          <w:color w:val="000000" w:themeColor="text1"/>
          <w:highlight w:val="none"/>
          <w14:textFill>
            <w14:solidFill>
              <w14:schemeClr w14:val="tx1"/>
            </w14:solidFill>
          </w14:textFill>
        </w:rPr>
        <w:sectPr>
          <w:headerReference r:id="rId14" w:type="default"/>
          <w:footerReference r:id="rId15" w:type="default"/>
          <w:pgSz w:w="11906" w:h="16838"/>
          <w:pgMar w:top="1134" w:right="1134" w:bottom="1134" w:left="1134" w:header="720" w:footer="720" w:gutter="0"/>
          <w:pgNumType w:start="1"/>
          <w:cols w:space="720" w:num="1"/>
          <w:docGrid w:type="lines" w:linePitch="331" w:charSpace="0"/>
        </w:sectPr>
      </w:pPr>
    </w:p>
    <w:p w14:paraId="462A2A4F">
      <w:pPr>
        <w:pStyle w:val="17"/>
        <w:pageBreakBefore w:val="0"/>
        <w:wordWrap/>
        <w:topLinePunct w:val="0"/>
        <w:bidi w:val="0"/>
        <w:spacing w:line="560" w:lineRule="exact"/>
        <w:rPr>
          <w:rFonts w:hint="eastAsia"/>
          <w:color w:val="000000" w:themeColor="text1"/>
          <w:sz w:val="36"/>
          <w:szCs w:val="36"/>
          <w:highlight w:val="none"/>
          <w14:textFill>
            <w14:solidFill>
              <w14:schemeClr w14:val="tx1"/>
            </w14:solidFill>
          </w14:textFill>
        </w:rPr>
      </w:pPr>
    </w:p>
    <w:p w14:paraId="128CC638">
      <w:pPr>
        <w:pStyle w:val="17"/>
        <w:pageBreakBefore w:val="0"/>
        <w:wordWrap/>
        <w:topLinePunct w:val="0"/>
        <w:bidi w:val="0"/>
        <w:spacing w:line="560" w:lineRule="exact"/>
        <w:rPr>
          <w:color w:val="000000" w:themeColor="text1"/>
          <w:sz w:val="36"/>
          <w:szCs w:val="36"/>
          <w:highlight w:val="none"/>
          <w14:textFill>
            <w14:solidFill>
              <w14:schemeClr w14:val="tx1"/>
            </w14:solidFill>
          </w14:textFill>
        </w:rPr>
      </w:pPr>
      <w:r>
        <w:rPr>
          <w:rFonts w:hint="eastAsia"/>
          <w:color w:val="000000" w:themeColor="text1"/>
          <w:sz w:val="36"/>
          <w:szCs w:val="36"/>
          <w:highlight w:val="none"/>
          <w14:textFill>
            <w14:solidFill>
              <w14:schemeClr w14:val="tx1"/>
            </w14:solidFill>
          </w14:textFill>
        </w:rPr>
        <w:t>目</w:t>
      </w:r>
      <w:r>
        <w:rPr>
          <w:color w:val="000000" w:themeColor="text1"/>
          <w:sz w:val="36"/>
          <w:szCs w:val="36"/>
          <w:highlight w:val="none"/>
          <w14:textFill>
            <w14:solidFill>
              <w14:schemeClr w14:val="tx1"/>
            </w14:solidFill>
          </w14:textFill>
        </w:rPr>
        <w:t xml:space="preserve">     </w:t>
      </w:r>
      <w:r>
        <w:rPr>
          <w:rFonts w:hint="eastAsia"/>
          <w:color w:val="000000" w:themeColor="text1"/>
          <w:sz w:val="36"/>
          <w:szCs w:val="36"/>
          <w:highlight w:val="none"/>
          <w14:textFill>
            <w14:solidFill>
              <w14:schemeClr w14:val="tx1"/>
            </w14:solidFill>
          </w14:textFill>
        </w:rPr>
        <w:t>录</w:t>
      </w:r>
    </w:p>
    <w:p w14:paraId="574CE8BC">
      <w:pPr>
        <w:pStyle w:val="24"/>
        <w:keepNext w:val="0"/>
        <w:keepLines w:val="0"/>
        <w:pageBreakBefore w:val="0"/>
        <w:widowControl w:val="0"/>
        <w:tabs>
          <w:tab w:val="right" w:leader="dot" w:pos="9638"/>
        </w:tabs>
        <w:kinsoku/>
        <w:wordWrap/>
        <w:overflowPunct/>
        <w:topLinePunct w:val="0"/>
        <w:autoSpaceDE/>
        <w:autoSpaceDN/>
        <w:bidi w:val="0"/>
        <w:adjustRightInd/>
        <w:snapToGrid/>
        <w:spacing w:before="0" w:after="0" w:line="560" w:lineRule="exact"/>
        <w:textAlignment w:val="auto"/>
        <w:rPr>
          <w:rFonts w:hint="eastAsia" w:ascii="宋体" w:hAnsi="宋体" w:eastAsia="宋体" w:cs="宋体"/>
          <w:b w:val="0"/>
          <w:bCs w:val="0"/>
          <w:color w:val="000000" w:themeColor="text1"/>
          <w:sz w:val="28"/>
          <w:szCs w:val="28"/>
          <w:highlight w:val="none"/>
          <w14:textFill>
            <w14:solidFill>
              <w14:schemeClr w14:val="tx1"/>
            </w14:solidFill>
          </w14:textFill>
        </w:rPr>
      </w:pPr>
      <w:r>
        <w:rPr>
          <w:rFonts w:hint="eastAsia" w:ascii="宋体" w:hAnsi="宋体" w:eastAsia="宋体" w:cs="宋体"/>
          <w:b w:val="0"/>
          <w:bCs w:val="0"/>
          <w:caps w:val="0"/>
          <w:color w:val="000000" w:themeColor="text1"/>
          <w:sz w:val="28"/>
          <w:szCs w:val="28"/>
          <w:highlight w:val="none"/>
          <w:u w:val="none"/>
          <w14:textFill>
            <w14:solidFill>
              <w14:schemeClr w14:val="tx1"/>
            </w14:solidFill>
          </w14:textFill>
        </w:rPr>
        <w:fldChar w:fldCharType="begin"/>
      </w:r>
      <w:r>
        <w:rPr>
          <w:rFonts w:hint="eastAsia" w:ascii="宋体" w:hAnsi="宋体" w:eastAsia="宋体" w:cs="宋体"/>
          <w:b w:val="0"/>
          <w:bCs w:val="0"/>
          <w:caps w:val="0"/>
          <w:color w:val="000000" w:themeColor="text1"/>
          <w:sz w:val="28"/>
          <w:szCs w:val="28"/>
          <w:highlight w:val="none"/>
          <w:u w:val="none"/>
          <w14:textFill>
            <w14:solidFill>
              <w14:schemeClr w14:val="tx1"/>
            </w14:solidFill>
          </w14:textFill>
        </w:rPr>
        <w:instrText xml:space="preserve"> TOC \o "1-3" \h \z \u </w:instrText>
      </w:r>
      <w:r>
        <w:rPr>
          <w:rFonts w:hint="eastAsia" w:ascii="宋体" w:hAnsi="宋体" w:eastAsia="宋体" w:cs="宋体"/>
          <w:b w:val="0"/>
          <w:bCs w:val="0"/>
          <w:caps w:val="0"/>
          <w:color w:val="000000" w:themeColor="text1"/>
          <w:sz w:val="28"/>
          <w:szCs w:val="28"/>
          <w:highlight w:val="none"/>
          <w:u w:val="none"/>
          <w14:textFill>
            <w14:solidFill>
              <w14:schemeClr w14:val="tx1"/>
            </w14:solidFill>
          </w14:textFill>
        </w:rPr>
        <w:fldChar w:fldCharType="separate"/>
      </w:r>
      <w:r>
        <w:rPr>
          <w:rFonts w:hint="eastAsia" w:ascii="宋体" w:hAnsi="宋体" w:eastAsia="宋体" w:cs="宋体"/>
          <w:b w:val="0"/>
          <w:bCs w:val="0"/>
          <w:caps w:val="0"/>
          <w:color w:val="000000" w:themeColor="text1"/>
          <w:sz w:val="28"/>
          <w:szCs w:val="28"/>
          <w:highlight w:val="none"/>
          <w:u w:val="none"/>
          <w14:textFill>
            <w14:solidFill>
              <w14:schemeClr w14:val="tx1"/>
            </w14:solidFill>
          </w14:textFill>
        </w:rPr>
        <w:fldChar w:fldCharType="begin"/>
      </w:r>
      <w:r>
        <w:rPr>
          <w:rFonts w:hint="eastAsia" w:ascii="宋体" w:hAnsi="宋体" w:eastAsia="宋体" w:cs="宋体"/>
          <w:b w:val="0"/>
          <w:bCs w:val="0"/>
          <w:caps w:val="0"/>
          <w:color w:val="000000" w:themeColor="text1"/>
          <w:sz w:val="28"/>
          <w:szCs w:val="28"/>
          <w:highlight w:val="none"/>
          <w14:textFill>
            <w14:solidFill>
              <w14:schemeClr w14:val="tx1"/>
            </w14:solidFill>
          </w14:textFill>
        </w:rPr>
        <w:instrText xml:space="preserve"> HYPERLINK \l _Toc17893 </w:instrText>
      </w:r>
      <w:r>
        <w:rPr>
          <w:rFonts w:hint="eastAsia" w:ascii="宋体" w:hAnsi="宋体" w:eastAsia="宋体" w:cs="宋体"/>
          <w:b w:val="0"/>
          <w:bCs w:val="0"/>
          <w:caps w:val="0"/>
          <w:color w:val="000000" w:themeColor="text1"/>
          <w:sz w:val="28"/>
          <w:szCs w:val="28"/>
          <w:highlight w:val="none"/>
          <w14:textFill>
            <w14:solidFill>
              <w14:schemeClr w14:val="tx1"/>
            </w14:solidFill>
          </w14:textFill>
        </w:rPr>
        <w:fldChar w:fldCharType="separate"/>
      </w:r>
      <w:r>
        <w:rPr>
          <w:rFonts w:hint="eastAsia" w:ascii="宋体" w:hAnsi="宋体" w:eastAsia="宋体" w:cs="宋体"/>
          <w:b w:val="0"/>
          <w:bCs w:val="0"/>
          <w:color w:val="000000" w:themeColor="text1"/>
          <w:sz w:val="28"/>
          <w:szCs w:val="28"/>
          <w:highlight w:val="none"/>
          <w14:textFill>
            <w14:solidFill>
              <w14:schemeClr w14:val="tx1"/>
            </w14:solidFill>
          </w14:textFill>
        </w:rPr>
        <w:t>第一章  招标公告</w:t>
      </w:r>
      <w:r>
        <w:rPr>
          <w:rFonts w:hint="eastAsia" w:ascii="宋体" w:hAnsi="宋体" w:eastAsia="宋体" w:cs="宋体"/>
          <w:b w:val="0"/>
          <w:bCs w:val="0"/>
          <w:color w:val="000000" w:themeColor="text1"/>
          <w:sz w:val="28"/>
          <w:szCs w:val="28"/>
          <w:highlight w:val="none"/>
          <w14:textFill>
            <w14:solidFill>
              <w14:schemeClr w14:val="tx1"/>
            </w14:solidFill>
          </w14:textFill>
        </w:rPr>
        <w:tab/>
      </w:r>
      <w:r>
        <w:rPr>
          <w:rFonts w:hint="eastAsia" w:ascii="宋体" w:hAnsi="宋体" w:eastAsia="宋体" w:cs="宋体"/>
          <w:b w:val="0"/>
          <w:bCs w:val="0"/>
          <w:color w:val="000000" w:themeColor="text1"/>
          <w:sz w:val="28"/>
          <w:szCs w:val="28"/>
          <w:highlight w:val="none"/>
          <w14:textFill>
            <w14:solidFill>
              <w14:schemeClr w14:val="tx1"/>
            </w14:solidFill>
          </w14:textFill>
        </w:rPr>
        <w:fldChar w:fldCharType="begin"/>
      </w:r>
      <w:r>
        <w:rPr>
          <w:rFonts w:hint="eastAsia" w:ascii="宋体" w:hAnsi="宋体" w:eastAsia="宋体" w:cs="宋体"/>
          <w:b w:val="0"/>
          <w:bCs w:val="0"/>
          <w:color w:val="000000" w:themeColor="text1"/>
          <w:sz w:val="28"/>
          <w:szCs w:val="28"/>
          <w:highlight w:val="none"/>
          <w14:textFill>
            <w14:solidFill>
              <w14:schemeClr w14:val="tx1"/>
            </w14:solidFill>
          </w14:textFill>
        </w:rPr>
        <w:instrText xml:space="preserve"> PAGEREF _Toc17893 \h </w:instrText>
      </w:r>
      <w:r>
        <w:rPr>
          <w:rFonts w:hint="eastAsia" w:ascii="宋体" w:hAnsi="宋体" w:eastAsia="宋体" w:cs="宋体"/>
          <w:b w:val="0"/>
          <w:bCs w:val="0"/>
          <w:color w:val="000000" w:themeColor="text1"/>
          <w:sz w:val="28"/>
          <w:szCs w:val="28"/>
          <w:highlight w:val="none"/>
          <w14:textFill>
            <w14:solidFill>
              <w14:schemeClr w14:val="tx1"/>
            </w14:solidFill>
          </w14:textFill>
        </w:rPr>
        <w:fldChar w:fldCharType="separate"/>
      </w:r>
      <w:r>
        <w:rPr>
          <w:rFonts w:hint="eastAsia" w:ascii="宋体" w:hAnsi="宋体" w:eastAsia="宋体" w:cs="宋体"/>
          <w:b w:val="0"/>
          <w:bCs w:val="0"/>
          <w:color w:val="000000" w:themeColor="text1"/>
          <w:sz w:val="28"/>
          <w:szCs w:val="28"/>
          <w:highlight w:val="none"/>
          <w14:textFill>
            <w14:solidFill>
              <w14:schemeClr w14:val="tx1"/>
            </w14:solidFill>
          </w14:textFill>
        </w:rPr>
        <w:t>2</w:t>
      </w:r>
      <w:r>
        <w:rPr>
          <w:rFonts w:hint="eastAsia" w:ascii="宋体" w:hAnsi="宋体" w:eastAsia="宋体" w:cs="宋体"/>
          <w:b w:val="0"/>
          <w:bCs w:val="0"/>
          <w:color w:val="000000" w:themeColor="text1"/>
          <w:sz w:val="28"/>
          <w:szCs w:val="28"/>
          <w:highlight w:val="none"/>
          <w14:textFill>
            <w14:solidFill>
              <w14:schemeClr w14:val="tx1"/>
            </w14:solidFill>
          </w14:textFill>
        </w:rPr>
        <w:fldChar w:fldCharType="end"/>
      </w:r>
      <w:r>
        <w:rPr>
          <w:rFonts w:hint="eastAsia" w:ascii="宋体" w:hAnsi="宋体" w:eastAsia="宋体" w:cs="宋体"/>
          <w:b w:val="0"/>
          <w:bCs w:val="0"/>
          <w:caps w:val="0"/>
          <w:color w:val="000000" w:themeColor="text1"/>
          <w:sz w:val="28"/>
          <w:szCs w:val="28"/>
          <w:highlight w:val="none"/>
          <w:u w:val="none"/>
          <w14:textFill>
            <w14:solidFill>
              <w14:schemeClr w14:val="tx1"/>
            </w14:solidFill>
          </w14:textFill>
        </w:rPr>
        <w:fldChar w:fldCharType="end"/>
      </w:r>
    </w:p>
    <w:p w14:paraId="425B49DF">
      <w:pPr>
        <w:pStyle w:val="24"/>
        <w:keepNext w:val="0"/>
        <w:keepLines w:val="0"/>
        <w:pageBreakBefore w:val="0"/>
        <w:widowControl w:val="0"/>
        <w:tabs>
          <w:tab w:val="right" w:leader="dot" w:pos="9638"/>
        </w:tabs>
        <w:kinsoku/>
        <w:wordWrap/>
        <w:overflowPunct/>
        <w:topLinePunct w:val="0"/>
        <w:autoSpaceDE/>
        <w:autoSpaceDN/>
        <w:bidi w:val="0"/>
        <w:adjustRightInd/>
        <w:snapToGrid/>
        <w:spacing w:before="0" w:after="0" w:line="560" w:lineRule="exact"/>
        <w:textAlignment w:val="auto"/>
        <w:rPr>
          <w:rFonts w:hint="eastAsia" w:ascii="宋体" w:hAnsi="宋体" w:eastAsia="宋体" w:cs="宋体"/>
          <w:b w:val="0"/>
          <w:bCs w:val="0"/>
          <w:color w:val="000000" w:themeColor="text1"/>
          <w:sz w:val="28"/>
          <w:szCs w:val="28"/>
          <w:highlight w:val="none"/>
          <w14:textFill>
            <w14:solidFill>
              <w14:schemeClr w14:val="tx1"/>
            </w14:solidFill>
          </w14:textFill>
        </w:rPr>
      </w:pPr>
      <w:r>
        <w:rPr>
          <w:rFonts w:hint="eastAsia" w:ascii="宋体" w:hAnsi="宋体" w:eastAsia="宋体" w:cs="宋体"/>
          <w:b w:val="0"/>
          <w:bCs w:val="0"/>
          <w:caps/>
          <w:color w:val="000000" w:themeColor="text1"/>
          <w:sz w:val="28"/>
          <w:szCs w:val="28"/>
          <w:highlight w:val="none"/>
          <w14:textFill>
            <w14:solidFill>
              <w14:schemeClr w14:val="tx1"/>
            </w14:solidFill>
          </w14:textFill>
        </w:rPr>
        <w:fldChar w:fldCharType="begin"/>
      </w:r>
      <w:r>
        <w:rPr>
          <w:rFonts w:hint="eastAsia" w:ascii="宋体" w:hAnsi="宋体" w:eastAsia="宋体" w:cs="宋体"/>
          <w:b w:val="0"/>
          <w:bCs w:val="0"/>
          <w:caps/>
          <w:color w:val="000000" w:themeColor="text1"/>
          <w:sz w:val="28"/>
          <w:szCs w:val="28"/>
          <w:highlight w:val="none"/>
          <w14:textFill>
            <w14:solidFill>
              <w14:schemeClr w14:val="tx1"/>
            </w14:solidFill>
          </w14:textFill>
        </w:rPr>
        <w:instrText xml:space="preserve"> HYPERLINK \l _Toc4957 </w:instrText>
      </w:r>
      <w:r>
        <w:rPr>
          <w:rFonts w:hint="eastAsia" w:ascii="宋体" w:hAnsi="宋体" w:eastAsia="宋体" w:cs="宋体"/>
          <w:b w:val="0"/>
          <w:bCs w:val="0"/>
          <w:caps/>
          <w:color w:val="000000" w:themeColor="text1"/>
          <w:sz w:val="28"/>
          <w:szCs w:val="28"/>
          <w:highlight w:val="none"/>
          <w14:textFill>
            <w14:solidFill>
              <w14:schemeClr w14:val="tx1"/>
            </w14:solidFill>
          </w14:textFill>
        </w:rPr>
        <w:fldChar w:fldCharType="separate"/>
      </w:r>
      <w:r>
        <w:rPr>
          <w:rFonts w:hint="eastAsia" w:ascii="宋体" w:hAnsi="宋体" w:eastAsia="宋体" w:cs="宋体"/>
          <w:b w:val="0"/>
          <w:bCs w:val="0"/>
          <w:color w:val="000000" w:themeColor="text1"/>
          <w:sz w:val="28"/>
          <w:szCs w:val="28"/>
          <w:highlight w:val="none"/>
          <w14:textFill>
            <w14:solidFill>
              <w14:schemeClr w14:val="tx1"/>
            </w14:solidFill>
          </w14:textFill>
        </w:rPr>
        <w:t xml:space="preserve">第二章  </w:t>
      </w:r>
      <w:r>
        <w:rPr>
          <w:rFonts w:hint="eastAsia" w:ascii="宋体" w:hAnsi="宋体" w:eastAsia="宋体" w:cs="宋体"/>
          <w:b w:val="0"/>
          <w:bCs w:val="0"/>
          <w:color w:val="000000" w:themeColor="text1"/>
          <w:sz w:val="28"/>
          <w:szCs w:val="28"/>
          <w:highlight w:val="none"/>
          <w:lang w:eastAsia="zh-CN"/>
          <w14:textFill>
            <w14:solidFill>
              <w14:schemeClr w14:val="tx1"/>
            </w14:solidFill>
          </w14:textFill>
        </w:rPr>
        <w:t>供应商</w:t>
      </w:r>
      <w:r>
        <w:rPr>
          <w:rFonts w:hint="eastAsia" w:ascii="宋体" w:hAnsi="宋体" w:eastAsia="宋体" w:cs="宋体"/>
          <w:b w:val="0"/>
          <w:bCs w:val="0"/>
          <w:color w:val="000000" w:themeColor="text1"/>
          <w:sz w:val="28"/>
          <w:szCs w:val="28"/>
          <w:highlight w:val="none"/>
          <w14:textFill>
            <w14:solidFill>
              <w14:schemeClr w14:val="tx1"/>
            </w14:solidFill>
          </w14:textFill>
        </w:rPr>
        <w:t>须知表</w:t>
      </w:r>
      <w:r>
        <w:rPr>
          <w:rFonts w:hint="eastAsia" w:ascii="宋体" w:hAnsi="宋体" w:eastAsia="宋体" w:cs="宋体"/>
          <w:b w:val="0"/>
          <w:bCs w:val="0"/>
          <w:color w:val="000000" w:themeColor="text1"/>
          <w:sz w:val="28"/>
          <w:szCs w:val="28"/>
          <w:highlight w:val="none"/>
          <w14:textFill>
            <w14:solidFill>
              <w14:schemeClr w14:val="tx1"/>
            </w14:solidFill>
          </w14:textFill>
        </w:rPr>
        <w:tab/>
      </w:r>
      <w:r>
        <w:rPr>
          <w:rFonts w:hint="eastAsia" w:ascii="宋体" w:hAnsi="宋体" w:eastAsia="宋体" w:cs="宋体"/>
          <w:b w:val="0"/>
          <w:bCs w:val="0"/>
          <w:color w:val="000000" w:themeColor="text1"/>
          <w:sz w:val="28"/>
          <w:szCs w:val="28"/>
          <w:highlight w:val="none"/>
          <w14:textFill>
            <w14:solidFill>
              <w14:schemeClr w14:val="tx1"/>
            </w14:solidFill>
          </w14:textFill>
        </w:rPr>
        <w:fldChar w:fldCharType="begin"/>
      </w:r>
      <w:r>
        <w:rPr>
          <w:rFonts w:hint="eastAsia" w:ascii="宋体" w:hAnsi="宋体" w:eastAsia="宋体" w:cs="宋体"/>
          <w:b w:val="0"/>
          <w:bCs w:val="0"/>
          <w:color w:val="000000" w:themeColor="text1"/>
          <w:sz w:val="28"/>
          <w:szCs w:val="28"/>
          <w:highlight w:val="none"/>
          <w14:textFill>
            <w14:solidFill>
              <w14:schemeClr w14:val="tx1"/>
            </w14:solidFill>
          </w14:textFill>
        </w:rPr>
        <w:instrText xml:space="preserve"> PAGEREF _Toc4957 \h </w:instrText>
      </w:r>
      <w:r>
        <w:rPr>
          <w:rFonts w:hint="eastAsia" w:ascii="宋体" w:hAnsi="宋体" w:eastAsia="宋体" w:cs="宋体"/>
          <w:b w:val="0"/>
          <w:bCs w:val="0"/>
          <w:color w:val="000000" w:themeColor="text1"/>
          <w:sz w:val="28"/>
          <w:szCs w:val="28"/>
          <w:highlight w:val="none"/>
          <w14:textFill>
            <w14:solidFill>
              <w14:schemeClr w14:val="tx1"/>
            </w14:solidFill>
          </w14:textFill>
        </w:rPr>
        <w:fldChar w:fldCharType="separate"/>
      </w:r>
      <w:r>
        <w:rPr>
          <w:rFonts w:hint="eastAsia" w:ascii="宋体" w:hAnsi="宋体" w:eastAsia="宋体" w:cs="宋体"/>
          <w:b w:val="0"/>
          <w:bCs w:val="0"/>
          <w:color w:val="000000" w:themeColor="text1"/>
          <w:sz w:val="28"/>
          <w:szCs w:val="28"/>
          <w:highlight w:val="none"/>
          <w14:textFill>
            <w14:solidFill>
              <w14:schemeClr w14:val="tx1"/>
            </w14:solidFill>
          </w14:textFill>
        </w:rPr>
        <w:t>7</w:t>
      </w:r>
      <w:r>
        <w:rPr>
          <w:rFonts w:hint="eastAsia" w:ascii="宋体" w:hAnsi="宋体" w:eastAsia="宋体" w:cs="宋体"/>
          <w:b w:val="0"/>
          <w:bCs w:val="0"/>
          <w:color w:val="000000" w:themeColor="text1"/>
          <w:sz w:val="28"/>
          <w:szCs w:val="28"/>
          <w:highlight w:val="none"/>
          <w14:textFill>
            <w14:solidFill>
              <w14:schemeClr w14:val="tx1"/>
            </w14:solidFill>
          </w14:textFill>
        </w:rPr>
        <w:fldChar w:fldCharType="end"/>
      </w:r>
      <w:r>
        <w:rPr>
          <w:rFonts w:hint="eastAsia" w:ascii="宋体" w:hAnsi="宋体" w:eastAsia="宋体" w:cs="宋体"/>
          <w:b w:val="0"/>
          <w:bCs w:val="0"/>
          <w:caps/>
          <w:color w:val="000000" w:themeColor="text1"/>
          <w:sz w:val="28"/>
          <w:szCs w:val="28"/>
          <w:highlight w:val="none"/>
          <w14:textFill>
            <w14:solidFill>
              <w14:schemeClr w14:val="tx1"/>
            </w14:solidFill>
          </w14:textFill>
        </w:rPr>
        <w:fldChar w:fldCharType="end"/>
      </w:r>
    </w:p>
    <w:p w14:paraId="662BBCC2">
      <w:pPr>
        <w:pStyle w:val="24"/>
        <w:keepNext w:val="0"/>
        <w:keepLines w:val="0"/>
        <w:pageBreakBefore w:val="0"/>
        <w:widowControl w:val="0"/>
        <w:tabs>
          <w:tab w:val="right" w:leader="dot" w:pos="9638"/>
        </w:tabs>
        <w:kinsoku/>
        <w:wordWrap/>
        <w:overflowPunct/>
        <w:topLinePunct w:val="0"/>
        <w:autoSpaceDE/>
        <w:autoSpaceDN/>
        <w:bidi w:val="0"/>
        <w:adjustRightInd/>
        <w:snapToGrid/>
        <w:spacing w:before="0" w:after="0" w:line="560" w:lineRule="exact"/>
        <w:textAlignment w:val="auto"/>
        <w:rPr>
          <w:rFonts w:hint="eastAsia" w:ascii="宋体" w:hAnsi="宋体" w:eastAsia="宋体" w:cs="宋体"/>
          <w:b w:val="0"/>
          <w:bCs w:val="0"/>
          <w:color w:val="000000" w:themeColor="text1"/>
          <w:sz w:val="28"/>
          <w:szCs w:val="28"/>
          <w:highlight w:val="none"/>
          <w14:textFill>
            <w14:solidFill>
              <w14:schemeClr w14:val="tx1"/>
            </w14:solidFill>
          </w14:textFill>
        </w:rPr>
      </w:pPr>
      <w:r>
        <w:rPr>
          <w:rFonts w:hint="eastAsia" w:ascii="宋体" w:hAnsi="宋体" w:eastAsia="宋体" w:cs="宋体"/>
          <w:b w:val="0"/>
          <w:bCs w:val="0"/>
          <w:caps/>
          <w:color w:val="000000" w:themeColor="text1"/>
          <w:sz w:val="28"/>
          <w:szCs w:val="28"/>
          <w:highlight w:val="none"/>
          <w14:textFill>
            <w14:solidFill>
              <w14:schemeClr w14:val="tx1"/>
            </w14:solidFill>
          </w14:textFill>
        </w:rPr>
        <w:fldChar w:fldCharType="begin"/>
      </w:r>
      <w:r>
        <w:rPr>
          <w:rFonts w:hint="eastAsia" w:ascii="宋体" w:hAnsi="宋体" w:eastAsia="宋体" w:cs="宋体"/>
          <w:b w:val="0"/>
          <w:bCs w:val="0"/>
          <w:caps/>
          <w:color w:val="000000" w:themeColor="text1"/>
          <w:sz w:val="28"/>
          <w:szCs w:val="28"/>
          <w:highlight w:val="none"/>
          <w14:textFill>
            <w14:solidFill>
              <w14:schemeClr w14:val="tx1"/>
            </w14:solidFill>
          </w14:textFill>
        </w:rPr>
        <w:instrText xml:space="preserve"> HYPERLINK \l _Toc24808 </w:instrText>
      </w:r>
      <w:r>
        <w:rPr>
          <w:rFonts w:hint="eastAsia" w:ascii="宋体" w:hAnsi="宋体" w:eastAsia="宋体" w:cs="宋体"/>
          <w:b w:val="0"/>
          <w:bCs w:val="0"/>
          <w:caps/>
          <w:color w:val="000000" w:themeColor="text1"/>
          <w:sz w:val="28"/>
          <w:szCs w:val="28"/>
          <w:highlight w:val="none"/>
          <w14:textFill>
            <w14:solidFill>
              <w14:schemeClr w14:val="tx1"/>
            </w14:solidFill>
          </w14:textFill>
        </w:rPr>
        <w:fldChar w:fldCharType="separate"/>
      </w:r>
      <w:r>
        <w:rPr>
          <w:rFonts w:hint="eastAsia" w:ascii="宋体" w:hAnsi="宋体" w:eastAsia="宋体" w:cs="宋体"/>
          <w:b w:val="0"/>
          <w:bCs w:val="0"/>
          <w:color w:val="000000" w:themeColor="text1"/>
          <w:sz w:val="28"/>
          <w:szCs w:val="28"/>
          <w:highlight w:val="none"/>
          <w14:textFill>
            <w14:solidFill>
              <w14:schemeClr w14:val="tx1"/>
            </w14:solidFill>
          </w14:textFill>
        </w:rPr>
        <w:t>第三章  采购需求</w:t>
      </w:r>
      <w:r>
        <w:rPr>
          <w:rFonts w:hint="eastAsia" w:ascii="宋体" w:hAnsi="宋体" w:eastAsia="宋体" w:cs="宋体"/>
          <w:b w:val="0"/>
          <w:bCs w:val="0"/>
          <w:color w:val="000000" w:themeColor="text1"/>
          <w:sz w:val="28"/>
          <w:szCs w:val="28"/>
          <w:highlight w:val="none"/>
          <w14:textFill>
            <w14:solidFill>
              <w14:schemeClr w14:val="tx1"/>
            </w14:solidFill>
          </w14:textFill>
        </w:rPr>
        <w:tab/>
      </w:r>
      <w:r>
        <w:rPr>
          <w:rFonts w:hint="eastAsia" w:ascii="宋体" w:hAnsi="宋体" w:eastAsia="宋体" w:cs="宋体"/>
          <w:b w:val="0"/>
          <w:bCs w:val="0"/>
          <w:color w:val="000000" w:themeColor="text1"/>
          <w:sz w:val="28"/>
          <w:szCs w:val="28"/>
          <w:highlight w:val="none"/>
          <w14:textFill>
            <w14:solidFill>
              <w14:schemeClr w14:val="tx1"/>
            </w14:solidFill>
          </w14:textFill>
        </w:rPr>
        <w:fldChar w:fldCharType="begin"/>
      </w:r>
      <w:r>
        <w:rPr>
          <w:rFonts w:hint="eastAsia" w:ascii="宋体" w:hAnsi="宋体" w:eastAsia="宋体" w:cs="宋体"/>
          <w:b w:val="0"/>
          <w:bCs w:val="0"/>
          <w:color w:val="000000" w:themeColor="text1"/>
          <w:sz w:val="28"/>
          <w:szCs w:val="28"/>
          <w:highlight w:val="none"/>
          <w14:textFill>
            <w14:solidFill>
              <w14:schemeClr w14:val="tx1"/>
            </w14:solidFill>
          </w14:textFill>
        </w:rPr>
        <w:instrText xml:space="preserve"> PAGEREF _Toc24808 \h </w:instrText>
      </w:r>
      <w:r>
        <w:rPr>
          <w:rFonts w:hint="eastAsia" w:ascii="宋体" w:hAnsi="宋体" w:eastAsia="宋体" w:cs="宋体"/>
          <w:b w:val="0"/>
          <w:bCs w:val="0"/>
          <w:color w:val="000000" w:themeColor="text1"/>
          <w:sz w:val="28"/>
          <w:szCs w:val="28"/>
          <w:highlight w:val="none"/>
          <w14:textFill>
            <w14:solidFill>
              <w14:schemeClr w14:val="tx1"/>
            </w14:solidFill>
          </w14:textFill>
        </w:rPr>
        <w:fldChar w:fldCharType="separate"/>
      </w:r>
      <w:r>
        <w:rPr>
          <w:rFonts w:hint="eastAsia" w:ascii="宋体" w:hAnsi="宋体" w:eastAsia="宋体" w:cs="宋体"/>
          <w:b w:val="0"/>
          <w:bCs w:val="0"/>
          <w:color w:val="000000" w:themeColor="text1"/>
          <w:sz w:val="28"/>
          <w:szCs w:val="28"/>
          <w:highlight w:val="none"/>
          <w14:textFill>
            <w14:solidFill>
              <w14:schemeClr w14:val="tx1"/>
            </w14:solidFill>
          </w14:textFill>
        </w:rPr>
        <w:t>38</w:t>
      </w:r>
      <w:r>
        <w:rPr>
          <w:rFonts w:hint="eastAsia" w:ascii="宋体" w:hAnsi="宋体" w:eastAsia="宋体" w:cs="宋体"/>
          <w:b w:val="0"/>
          <w:bCs w:val="0"/>
          <w:color w:val="000000" w:themeColor="text1"/>
          <w:sz w:val="28"/>
          <w:szCs w:val="28"/>
          <w:highlight w:val="none"/>
          <w14:textFill>
            <w14:solidFill>
              <w14:schemeClr w14:val="tx1"/>
            </w14:solidFill>
          </w14:textFill>
        </w:rPr>
        <w:fldChar w:fldCharType="end"/>
      </w:r>
      <w:r>
        <w:rPr>
          <w:rFonts w:hint="eastAsia" w:ascii="宋体" w:hAnsi="宋体" w:eastAsia="宋体" w:cs="宋体"/>
          <w:b w:val="0"/>
          <w:bCs w:val="0"/>
          <w:caps/>
          <w:color w:val="000000" w:themeColor="text1"/>
          <w:sz w:val="28"/>
          <w:szCs w:val="28"/>
          <w:highlight w:val="none"/>
          <w14:textFill>
            <w14:solidFill>
              <w14:schemeClr w14:val="tx1"/>
            </w14:solidFill>
          </w14:textFill>
        </w:rPr>
        <w:fldChar w:fldCharType="end"/>
      </w:r>
    </w:p>
    <w:p w14:paraId="39F7E2C1">
      <w:pPr>
        <w:pStyle w:val="24"/>
        <w:keepNext w:val="0"/>
        <w:keepLines w:val="0"/>
        <w:pageBreakBefore w:val="0"/>
        <w:widowControl w:val="0"/>
        <w:tabs>
          <w:tab w:val="right" w:leader="dot" w:pos="9638"/>
        </w:tabs>
        <w:kinsoku/>
        <w:wordWrap/>
        <w:overflowPunct/>
        <w:topLinePunct w:val="0"/>
        <w:autoSpaceDE/>
        <w:autoSpaceDN/>
        <w:bidi w:val="0"/>
        <w:adjustRightInd/>
        <w:snapToGrid/>
        <w:spacing w:before="0" w:after="0" w:line="560" w:lineRule="exact"/>
        <w:textAlignment w:val="auto"/>
        <w:rPr>
          <w:rFonts w:hint="eastAsia" w:ascii="宋体" w:hAnsi="宋体" w:eastAsia="宋体" w:cs="宋体"/>
          <w:b w:val="0"/>
          <w:bCs w:val="0"/>
          <w:color w:val="000000" w:themeColor="text1"/>
          <w:sz w:val="28"/>
          <w:szCs w:val="28"/>
          <w:highlight w:val="none"/>
          <w14:textFill>
            <w14:solidFill>
              <w14:schemeClr w14:val="tx1"/>
            </w14:solidFill>
          </w14:textFill>
        </w:rPr>
      </w:pPr>
      <w:r>
        <w:rPr>
          <w:rFonts w:hint="eastAsia" w:ascii="宋体" w:hAnsi="宋体" w:eastAsia="宋体" w:cs="宋体"/>
          <w:b w:val="0"/>
          <w:bCs w:val="0"/>
          <w:caps/>
          <w:color w:val="000000" w:themeColor="text1"/>
          <w:sz w:val="28"/>
          <w:szCs w:val="28"/>
          <w:highlight w:val="none"/>
          <w14:textFill>
            <w14:solidFill>
              <w14:schemeClr w14:val="tx1"/>
            </w14:solidFill>
          </w14:textFill>
        </w:rPr>
        <w:fldChar w:fldCharType="begin"/>
      </w:r>
      <w:r>
        <w:rPr>
          <w:rFonts w:hint="eastAsia" w:ascii="宋体" w:hAnsi="宋体" w:eastAsia="宋体" w:cs="宋体"/>
          <w:b w:val="0"/>
          <w:bCs w:val="0"/>
          <w:caps/>
          <w:color w:val="000000" w:themeColor="text1"/>
          <w:sz w:val="28"/>
          <w:szCs w:val="28"/>
          <w:highlight w:val="none"/>
          <w14:textFill>
            <w14:solidFill>
              <w14:schemeClr w14:val="tx1"/>
            </w14:solidFill>
          </w14:textFill>
        </w:rPr>
        <w:instrText xml:space="preserve"> HYPERLINK \l _Toc25374 </w:instrText>
      </w:r>
      <w:r>
        <w:rPr>
          <w:rFonts w:hint="eastAsia" w:ascii="宋体" w:hAnsi="宋体" w:eastAsia="宋体" w:cs="宋体"/>
          <w:b w:val="0"/>
          <w:bCs w:val="0"/>
          <w:caps/>
          <w:color w:val="000000" w:themeColor="text1"/>
          <w:sz w:val="28"/>
          <w:szCs w:val="28"/>
          <w:highlight w:val="none"/>
          <w14:textFill>
            <w14:solidFill>
              <w14:schemeClr w14:val="tx1"/>
            </w14:solidFill>
          </w14:textFill>
        </w:rPr>
        <w:fldChar w:fldCharType="separate"/>
      </w:r>
      <w:r>
        <w:rPr>
          <w:rFonts w:hint="eastAsia" w:ascii="宋体" w:hAnsi="宋体" w:eastAsia="宋体" w:cs="宋体"/>
          <w:b w:val="0"/>
          <w:bCs w:val="0"/>
          <w:color w:val="000000" w:themeColor="text1"/>
          <w:sz w:val="28"/>
          <w:szCs w:val="28"/>
          <w:highlight w:val="none"/>
          <w14:textFill>
            <w14:solidFill>
              <w14:schemeClr w14:val="tx1"/>
            </w14:solidFill>
          </w14:textFill>
        </w:rPr>
        <w:t>第四章  评标方法及评分标准</w:t>
      </w:r>
      <w:r>
        <w:rPr>
          <w:rFonts w:hint="eastAsia" w:ascii="宋体" w:hAnsi="宋体" w:eastAsia="宋体" w:cs="宋体"/>
          <w:b w:val="0"/>
          <w:bCs w:val="0"/>
          <w:color w:val="000000" w:themeColor="text1"/>
          <w:sz w:val="28"/>
          <w:szCs w:val="28"/>
          <w:highlight w:val="none"/>
          <w14:textFill>
            <w14:solidFill>
              <w14:schemeClr w14:val="tx1"/>
            </w14:solidFill>
          </w14:textFill>
        </w:rPr>
        <w:tab/>
      </w:r>
      <w:r>
        <w:rPr>
          <w:rFonts w:hint="eastAsia" w:ascii="宋体" w:hAnsi="宋体" w:eastAsia="宋体" w:cs="宋体"/>
          <w:b w:val="0"/>
          <w:bCs w:val="0"/>
          <w:color w:val="000000" w:themeColor="text1"/>
          <w:sz w:val="28"/>
          <w:szCs w:val="28"/>
          <w:highlight w:val="none"/>
          <w14:textFill>
            <w14:solidFill>
              <w14:schemeClr w14:val="tx1"/>
            </w14:solidFill>
          </w14:textFill>
        </w:rPr>
        <w:fldChar w:fldCharType="begin"/>
      </w:r>
      <w:r>
        <w:rPr>
          <w:rFonts w:hint="eastAsia" w:ascii="宋体" w:hAnsi="宋体" w:eastAsia="宋体" w:cs="宋体"/>
          <w:b w:val="0"/>
          <w:bCs w:val="0"/>
          <w:color w:val="000000" w:themeColor="text1"/>
          <w:sz w:val="28"/>
          <w:szCs w:val="28"/>
          <w:highlight w:val="none"/>
          <w14:textFill>
            <w14:solidFill>
              <w14:schemeClr w14:val="tx1"/>
            </w14:solidFill>
          </w14:textFill>
        </w:rPr>
        <w:instrText xml:space="preserve"> PAGEREF _Toc25374 \h </w:instrText>
      </w:r>
      <w:r>
        <w:rPr>
          <w:rFonts w:hint="eastAsia" w:ascii="宋体" w:hAnsi="宋体" w:eastAsia="宋体" w:cs="宋体"/>
          <w:b w:val="0"/>
          <w:bCs w:val="0"/>
          <w:color w:val="000000" w:themeColor="text1"/>
          <w:sz w:val="28"/>
          <w:szCs w:val="28"/>
          <w:highlight w:val="none"/>
          <w14:textFill>
            <w14:solidFill>
              <w14:schemeClr w14:val="tx1"/>
            </w14:solidFill>
          </w14:textFill>
        </w:rPr>
        <w:fldChar w:fldCharType="separate"/>
      </w:r>
      <w:r>
        <w:rPr>
          <w:rFonts w:hint="eastAsia" w:ascii="宋体" w:hAnsi="宋体" w:eastAsia="宋体" w:cs="宋体"/>
          <w:b w:val="0"/>
          <w:bCs w:val="0"/>
          <w:color w:val="000000" w:themeColor="text1"/>
          <w:sz w:val="28"/>
          <w:szCs w:val="28"/>
          <w:highlight w:val="none"/>
          <w14:textFill>
            <w14:solidFill>
              <w14:schemeClr w14:val="tx1"/>
            </w14:solidFill>
          </w14:textFill>
        </w:rPr>
        <w:t>40</w:t>
      </w:r>
      <w:r>
        <w:rPr>
          <w:rFonts w:hint="eastAsia" w:ascii="宋体" w:hAnsi="宋体" w:eastAsia="宋体" w:cs="宋体"/>
          <w:b w:val="0"/>
          <w:bCs w:val="0"/>
          <w:color w:val="000000" w:themeColor="text1"/>
          <w:sz w:val="28"/>
          <w:szCs w:val="28"/>
          <w:highlight w:val="none"/>
          <w14:textFill>
            <w14:solidFill>
              <w14:schemeClr w14:val="tx1"/>
            </w14:solidFill>
          </w14:textFill>
        </w:rPr>
        <w:fldChar w:fldCharType="end"/>
      </w:r>
      <w:r>
        <w:rPr>
          <w:rFonts w:hint="eastAsia" w:ascii="宋体" w:hAnsi="宋体" w:eastAsia="宋体" w:cs="宋体"/>
          <w:b w:val="0"/>
          <w:bCs w:val="0"/>
          <w:caps/>
          <w:color w:val="000000" w:themeColor="text1"/>
          <w:sz w:val="28"/>
          <w:szCs w:val="28"/>
          <w:highlight w:val="none"/>
          <w14:textFill>
            <w14:solidFill>
              <w14:schemeClr w14:val="tx1"/>
            </w14:solidFill>
          </w14:textFill>
        </w:rPr>
        <w:fldChar w:fldCharType="end"/>
      </w:r>
    </w:p>
    <w:p w14:paraId="5DF3313F">
      <w:pPr>
        <w:pStyle w:val="24"/>
        <w:keepNext w:val="0"/>
        <w:keepLines w:val="0"/>
        <w:pageBreakBefore w:val="0"/>
        <w:widowControl w:val="0"/>
        <w:tabs>
          <w:tab w:val="right" w:leader="dot" w:pos="9638"/>
        </w:tabs>
        <w:kinsoku/>
        <w:wordWrap/>
        <w:overflowPunct/>
        <w:topLinePunct w:val="0"/>
        <w:autoSpaceDE/>
        <w:autoSpaceDN/>
        <w:bidi w:val="0"/>
        <w:adjustRightInd/>
        <w:snapToGrid/>
        <w:spacing w:before="0" w:after="0" w:line="560" w:lineRule="exact"/>
        <w:textAlignment w:val="auto"/>
        <w:rPr>
          <w:rFonts w:hint="eastAsia" w:ascii="宋体" w:hAnsi="宋体" w:eastAsia="宋体" w:cs="宋体"/>
          <w:b w:val="0"/>
          <w:bCs w:val="0"/>
          <w:color w:val="000000" w:themeColor="text1"/>
          <w:sz w:val="28"/>
          <w:szCs w:val="28"/>
          <w:highlight w:val="none"/>
          <w14:textFill>
            <w14:solidFill>
              <w14:schemeClr w14:val="tx1"/>
            </w14:solidFill>
          </w14:textFill>
        </w:rPr>
      </w:pPr>
      <w:r>
        <w:rPr>
          <w:rFonts w:hint="eastAsia" w:ascii="宋体" w:hAnsi="宋体" w:eastAsia="宋体" w:cs="宋体"/>
          <w:b w:val="0"/>
          <w:bCs w:val="0"/>
          <w:caps/>
          <w:color w:val="000000" w:themeColor="text1"/>
          <w:sz w:val="28"/>
          <w:szCs w:val="28"/>
          <w:highlight w:val="none"/>
          <w14:textFill>
            <w14:solidFill>
              <w14:schemeClr w14:val="tx1"/>
            </w14:solidFill>
          </w14:textFill>
        </w:rPr>
        <w:fldChar w:fldCharType="begin"/>
      </w:r>
      <w:r>
        <w:rPr>
          <w:rFonts w:hint="eastAsia" w:ascii="宋体" w:hAnsi="宋体" w:eastAsia="宋体" w:cs="宋体"/>
          <w:b w:val="0"/>
          <w:bCs w:val="0"/>
          <w:caps/>
          <w:color w:val="000000" w:themeColor="text1"/>
          <w:sz w:val="28"/>
          <w:szCs w:val="28"/>
          <w:highlight w:val="none"/>
          <w14:textFill>
            <w14:solidFill>
              <w14:schemeClr w14:val="tx1"/>
            </w14:solidFill>
          </w14:textFill>
        </w:rPr>
        <w:instrText xml:space="preserve"> HYPERLINK \l _Toc28798 </w:instrText>
      </w:r>
      <w:r>
        <w:rPr>
          <w:rFonts w:hint="eastAsia" w:ascii="宋体" w:hAnsi="宋体" w:eastAsia="宋体" w:cs="宋体"/>
          <w:b w:val="0"/>
          <w:bCs w:val="0"/>
          <w:caps/>
          <w:color w:val="000000" w:themeColor="text1"/>
          <w:sz w:val="28"/>
          <w:szCs w:val="28"/>
          <w:highlight w:val="none"/>
          <w14:textFill>
            <w14:solidFill>
              <w14:schemeClr w14:val="tx1"/>
            </w14:solidFill>
          </w14:textFill>
        </w:rPr>
        <w:fldChar w:fldCharType="separate"/>
      </w:r>
      <w:r>
        <w:rPr>
          <w:rFonts w:hint="eastAsia" w:ascii="宋体" w:hAnsi="宋体" w:eastAsia="宋体" w:cs="宋体"/>
          <w:b w:val="0"/>
          <w:bCs w:val="0"/>
          <w:color w:val="000000" w:themeColor="text1"/>
          <w:sz w:val="28"/>
          <w:szCs w:val="28"/>
          <w:highlight w:val="none"/>
          <w14:textFill>
            <w14:solidFill>
              <w14:schemeClr w14:val="tx1"/>
            </w14:solidFill>
          </w14:textFill>
        </w:rPr>
        <w:t>第五章 拟签订的合同文本</w:t>
      </w:r>
      <w:r>
        <w:rPr>
          <w:rFonts w:hint="eastAsia" w:ascii="宋体" w:hAnsi="宋体" w:eastAsia="宋体" w:cs="宋体"/>
          <w:b w:val="0"/>
          <w:bCs w:val="0"/>
          <w:color w:val="000000" w:themeColor="text1"/>
          <w:sz w:val="28"/>
          <w:szCs w:val="28"/>
          <w:highlight w:val="none"/>
          <w14:textFill>
            <w14:solidFill>
              <w14:schemeClr w14:val="tx1"/>
            </w14:solidFill>
          </w14:textFill>
        </w:rPr>
        <w:tab/>
      </w:r>
      <w:r>
        <w:rPr>
          <w:rFonts w:hint="eastAsia" w:ascii="宋体" w:hAnsi="宋体" w:eastAsia="宋体" w:cs="宋体"/>
          <w:b w:val="0"/>
          <w:bCs w:val="0"/>
          <w:color w:val="000000" w:themeColor="text1"/>
          <w:sz w:val="28"/>
          <w:szCs w:val="28"/>
          <w:highlight w:val="none"/>
          <w14:textFill>
            <w14:solidFill>
              <w14:schemeClr w14:val="tx1"/>
            </w14:solidFill>
          </w14:textFill>
        </w:rPr>
        <w:fldChar w:fldCharType="begin"/>
      </w:r>
      <w:r>
        <w:rPr>
          <w:rFonts w:hint="eastAsia" w:ascii="宋体" w:hAnsi="宋体" w:eastAsia="宋体" w:cs="宋体"/>
          <w:b w:val="0"/>
          <w:bCs w:val="0"/>
          <w:color w:val="000000" w:themeColor="text1"/>
          <w:sz w:val="28"/>
          <w:szCs w:val="28"/>
          <w:highlight w:val="none"/>
          <w14:textFill>
            <w14:solidFill>
              <w14:schemeClr w14:val="tx1"/>
            </w14:solidFill>
          </w14:textFill>
        </w:rPr>
        <w:instrText xml:space="preserve"> PAGEREF _Toc28798 \h </w:instrText>
      </w:r>
      <w:r>
        <w:rPr>
          <w:rFonts w:hint="eastAsia" w:ascii="宋体" w:hAnsi="宋体" w:eastAsia="宋体" w:cs="宋体"/>
          <w:b w:val="0"/>
          <w:bCs w:val="0"/>
          <w:color w:val="000000" w:themeColor="text1"/>
          <w:sz w:val="28"/>
          <w:szCs w:val="28"/>
          <w:highlight w:val="none"/>
          <w14:textFill>
            <w14:solidFill>
              <w14:schemeClr w14:val="tx1"/>
            </w14:solidFill>
          </w14:textFill>
        </w:rPr>
        <w:fldChar w:fldCharType="separate"/>
      </w:r>
      <w:r>
        <w:rPr>
          <w:rFonts w:hint="eastAsia" w:ascii="宋体" w:hAnsi="宋体" w:eastAsia="宋体" w:cs="宋体"/>
          <w:b w:val="0"/>
          <w:bCs w:val="0"/>
          <w:color w:val="000000" w:themeColor="text1"/>
          <w:sz w:val="28"/>
          <w:szCs w:val="28"/>
          <w:highlight w:val="none"/>
          <w14:textFill>
            <w14:solidFill>
              <w14:schemeClr w14:val="tx1"/>
            </w14:solidFill>
          </w14:textFill>
        </w:rPr>
        <w:t>51</w:t>
      </w:r>
      <w:r>
        <w:rPr>
          <w:rFonts w:hint="eastAsia" w:ascii="宋体" w:hAnsi="宋体" w:eastAsia="宋体" w:cs="宋体"/>
          <w:b w:val="0"/>
          <w:bCs w:val="0"/>
          <w:color w:val="000000" w:themeColor="text1"/>
          <w:sz w:val="28"/>
          <w:szCs w:val="28"/>
          <w:highlight w:val="none"/>
          <w14:textFill>
            <w14:solidFill>
              <w14:schemeClr w14:val="tx1"/>
            </w14:solidFill>
          </w14:textFill>
        </w:rPr>
        <w:fldChar w:fldCharType="end"/>
      </w:r>
      <w:r>
        <w:rPr>
          <w:rFonts w:hint="eastAsia" w:ascii="宋体" w:hAnsi="宋体" w:eastAsia="宋体" w:cs="宋体"/>
          <w:b w:val="0"/>
          <w:bCs w:val="0"/>
          <w:caps/>
          <w:color w:val="000000" w:themeColor="text1"/>
          <w:sz w:val="28"/>
          <w:szCs w:val="28"/>
          <w:highlight w:val="none"/>
          <w14:textFill>
            <w14:solidFill>
              <w14:schemeClr w14:val="tx1"/>
            </w14:solidFill>
          </w14:textFill>
        </w:rPr>
        <w:fldChar w:fldCharType="end"/>
      </w:r>
    </w:p>
    <w:p w14:paraId="5D51F5F3">
      <w:pPr>
        <w:pStyle w:val="24"/>
        <w:keepNext w:val="0"/>
        <w:keepLines w:val="0"/>
        <w:pageBreakBefore w:val="0"/>
        <w:widowControl w:val="0"/>
        <w:tabs>
          <w:tab w:val="right" w:leader="dot" w:pos="9638"/>
        </w:tabs>
        <w:kinsoku/>
        <w:wordWrap/>
        <w:overflowPunct/>
        <w:topLinePunct w:val="0"/>
        <w:autoSpaceDE/>
        <w:autoSpaceDN/>
        <w:bidi w:val="0"/>
        <w:adjustRightInd/>
        <w:snapToGrid/>
        <w:spacing w:before="0" w:after="0" w:line="560" w:lineRule="exact"/>
        <w:textAlignment w:val="auto"/>
        <w:rPr>
          <w:rFonts w:hint="eastAsia" w:ascii="宋体" w:hAnsi="宋体" w:eastAsia="宋体" w:cs="宋体"/>
          <w:b w:val="0"/>
          <w:bCs w:val="0"/>
          <w:color w:val="000000" w:themeColor="text1"/>
          <w:sz w:val="28"/>
          <w:szCs w:val="28"/>
          <w:highlight w:val="none"/>
          <w14:textFill>
            <w14:solidFill>
              <w14:schemeClr w14:val="tx1"/>
            </w14:solidFill>
          </w14:textFill>
        </w:rPr>
      </w:pPr>
      <w:r>
        <w:rPr>
          <w:rFonts w:hint="eastAsia" w:ascii="宋体" w:hAnsi="宋体" w:eastAsia="宋体" w:cs="宋体"/>
          <w:b w:val="0"/>
          <w:bCs w:val="0"/>
          <w:caps/>
          <w:color w:val="000000" w:themeColor="text1"/>
          <w:sz w:val="28"/>
          <w:szCs w:val="28"/>
          <w:highlight w:val="none"/>
          <w14:textFill>
            <w14:solidFill>
              <w14:schemeClr w14:val="tx1"/>
            </w14:solidFill>
          </w14:textFill>
        </w:rPr>
        <w:fldChar w:fldCharType="begin"/>
      </w:r>
      <w:r>
        <w:rPr>
          <w:rFonts w:hint="eastAsia" w:ascii="宋体" w:hAnsi="宋体" w:eastAsia="宋体" w:cs="宋体"/>
          <w:b w:val="0"/>
          <w:bCs w:val="0"/>
          <w:caps/>
          <w:color w:val="000000" w:themeColor="text1"/>
          <w:sz w:val="28"/>
          <w:szCs w:val="28"/>
          <w:highlight w:val="none"/>
          <w14:textFill>
            <w14:solidFill>
              <w14:schemeClr w14:val="tx1"/>
            </w14:solidFill>
          </w14:textFill>
        </w:rPr>
        <w:instrText xml:space="preserve"> HYPERLINK \l _Toc14746 </w:instrText>
      </w:r>
      <w:r>
        <w:rPr>
          <w:rFonts w:hint="eastAsia" w:ascii="宋体" w:hAnsi="宋体" w:eastAsia="宋体" w:cs="宋体"/>
          <w:b w:val="0"/>
          <w:bCs w:val="0"/>
          <w:caps/>
          <w:color w:val="000000" w:themeColor="text1"/>
          <w:sz w:val="28"/>
          <w:szCs w:val="28"/>
          <w:highlight w:val="none"/>
          <w14:textFill>
            <w14:solidFill>
              <w14:schemeClr w14:val="tx1"/>
            </w14:solidFill>
          </w14:textFill>
        </w:rPr>
        <w:fldChar w:fldCharType="separate"/>
      </w:r>
      <w:r>
        <w:rPr>
          <w:rFonts w:hint="eastAsia" w:ascii="宋体" w:hAnsi="宋体" w:eastAsia="宋体" w:cs="宋体"/>
          <w:b w:val="0"/>
          <w:bCs w:val="0"/>
          <w:color w:val="000000" w:themeColor="text1"/>
          <w:sz w:val="28"/>
          <w:szCs w:val="28"/>
          <w:highlight w:val="none"/>
          <w14:textFill>
            <w14:solidFill>
              <w14:schemeClr w14:val="tx1"/>
            </w14:solidFill>
          </w14:textFill>
        </w:rPr>
        <w:t xml:space="preserve">第六章 </w:t>
      </w:r>
      <w:r>
        <w:rPr>
          <w:rFonts w:hint="eastAsia" w:ascii="宋体" w:hAnsi="宋体" w:eastAsia="宋体" w:cs="宋体"/>
          <w:b w:val="0"/>
          <w:bCs w:val="0"/>
          <w:color w:val="000000" w:themeColor="text1"/>
          <w:sz w:val="28"/>
          <w:szCs w:val="28"/>
          <w:highlight w:val="non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highlight w:val="none"/>
          <w14:textFill>
            <w14:solidFill>
              <w14:schemeClr w14:val="tx1"/>
            </w14:solidFill>
          </w14:textFill>
        </w:rPr>
        <w:t>投标文件格式</w:t>
      </w:r>
      <w:r>
        <w:rPr>
          <w:rFonts w:hint="eastAsia" w:ascii="宋体" w:hAnsi="宋体" w:eastAsia="宋体" w:cs="宋体"/>
          <w:b w:val="0"/>
          <w:bCs w:val="0"/>
          <w:color w:val="000000" w:themeColor="text1"/>
          <w:sz w:val="28"/>
          <w:szCs w:val="28"/>
          <w:highlight w:val="none"/>
          <w14:textFill>
            <w14:solidFill>
              <w14:schemeClr w14:val="tx1"/>
            </w14:solidFill>
          </w14:textFill>
        </w:rPr>
        <w:tab/>
      </w:r>
      <w:r>
        <w:rPr>
          <w:rFonts w:hint="eastAsia" w:ascii="宋体" w:hAnsi="宋体" w:eastAsia="宋体" w:cs="宋体"/>
          <w:b w:val="0"/>
          <w:bCs w:val="0"/>
          <w:color w:val="000000" w:themeColor="text1"/>
          <w:sz w:val="28"/>
          <w:szCs w:val="28"/>
          <w:highlight w:val="none"/>
          <w14:textFill>
            <w14:solidFill>
              <w14:schemeClr w14:val="tx1"/>
            </w14:solidFill>
          </w14:textFill>
        </w:rPr>
        <w:fldChar w:fldCharType="begin"/>
      </w:r>
      <w:r>
        <w:rPr>
          <w:rFonts w:hint="eastAsia" w:ascii="宋体" w:hAnsi="宋体" w:eastAsia="宋体" w:cs="宋体"/>
          <w:b w:val="0"/>
          <w:bCs w:val="0"/>
          <w:color w:val="000000" w:themeColor="text1"/>
          <w:sz w:val="28"/>
          <w:szCs w:val="28"/>
          <w:highlight w:val="none"/>
          <w14:textFill>
            <w14:solidFill>
              <w14:schemeClr w14:val="tx1"/>
            </w14:solidFill>
          </w14:textFill>
        </w:rPr>
        <w:instrText xml:space="preserve"> PAGEREF _Toc14746 \h </w:instrText>
      </w:r>
      <w:r>
        <w:rPr>
          <w:rFonts w:hint="eastAsia" w:ascii="宋体" w:hAnsi="宋体" w:eastAsia="宋体" w:cs="宋体"/>
          <w:b w:val="0"/>
          <w:bCs w:val="0"/>
          <w:color w:val="000000" w:themeColor="text1"/>
          <w:sz w:val="28"/>
          <w:szCs w:val="28"/>
          <w:highlight w:val="none"/>
          <w14:textFill>
            <w14:solidFill>
              <w14:schemeClr w14:val="tx1"/>
            </w14:solidFill>
          </w14:textFill>
        </w:rPr>
        <w:fldChar w:fldCharType="separate"/>
      </w:r>
      <w:r>
        <w:rPr>
          <w:rFonts w:hint="eastAsia" w:ascii="宋体" w:hAnsi="宋体" w:eastAsia="宋体" w:cs="宋体"/>
          <w:b w:val="0"/>
          <w:bCs w:val="0"/>
          <w:color w:val="000000" w:themeColor="text1"/>
          <w:sz w:val="28"/>
          <w:szCs w:val="28"/>
          <w:highlight w:val="none"/>
          <w14:textFill>
            <w14:solidFill>
              <w14:schemeClr w14:val="tx1"/>
            </w14:solidFill>
          </w14:textFill>
        </w:rPr>
        <w:t>72</w:t>
      </w:r>
      <w:r>
        <w:rPr>
          <w:rFonts w:hint="eastAsia" w:ascii="宋体" w:hAnsi="宋体" w:eastAsia="宋体" w:cs="宋体"/>
          <w:b w:val="0"/>
          <w:bCs w:val="0"/>
          <w:color w:val="000000" w:themeColor="text1"/>
          <w:sz w:val="28"/>
          <w:szCs w:val="28"/>
          <w:highlight w:val="none"/>
          <w14:textFill>
            <w14:solidFill>
              <w14:schemeClr w14:val="tx1"/>
            </w14:solidFill>
          </w14:textFill>
        </w:rPr>
        <w:fldChar w:fldCharType="end"/>
      </w:r>
      <w:r>
        <w:rPr>
          <w:rFonts w:hint="eastAsia" w:ascii="宋体" w:hAnsi="宋体" w:eastAsia="宋体" w:cs="宋体"/>
          <w:b w:val="0"/>
          <w:bCs w:val="0"/>
          <w:caps/>
          <w:color w:val="000000" w:themeColor="text1"/>
          <w:sz w:val="28"/>
          <w:szCs w:val="28"/>
          <w:highlight w:val="none"/>
          <w14:textFill>
            <w14:solidFill>
              <w14:schemeClr w14:val="tx1"/>
            </w14:solidFill>
          </w14:textFill>
        </w:rPr>
        <w:fldChar w:fldCharType="end"/>
      </w:r>
    </w:p>
    <w:p w14:paraId="1CFCFAC8">
      <w:pPr>
        <w:pStyle w:val="24"/>
        <w:keepNext w:val="0"/>
        <w:keepLines w:val="0"/>
        <w:pageBreakBefore w:val="0"/>
        <w:widowControl w:val="0"/>
        <w:tabs>
          <w:tab w:val="right" w:leader="dot" w:pos="9638"/>
        </w:tabs>
        <w:kinsoku/>
        <w:wordWrap/>
        <w:overflowPunct/>
        <w:topLinePunct w:val="0"/>
        <w:autoSpaceDE/>
        <w:autoSpaceDN/>
        <w:bidi w:val="0"/>
        <w:adjustRightInd/>
        <w:snapToGrid/>
        <w:spacing w:before="0" w:after="0" w:line="560" w:lineRule="exact"/>
        <w:textAlignment w:val="auto"/>
        <w:rPr>
          <w:rFonts w:hint="eastAsia" w:ascii="宋体" w:hAnsi="宋体" w:eastAsia="宋体" w:cs="宋体"/>
          <w:b w:val="0"/>
          <w:bCs w:val="0"/>
          <w:color w:val="000000" w:themeColor="text1"/>
          <w:sz w:val="28"/>
          <w:szCs w:val="28"/>
          <w:highlight w:val="none"/>
          <w14:textFill>
            <w14:solidFill>
              <w14:schemeClr w14:val="tx1"/>
            </w14:solidFill>
          </w14:textFill>
        </w:rPr>
      </w:pPr>
      <w:r>
        <w:rPr>
          <w:rFonts w:hint="eastAsia" w:ascii="宋体" w:hAnsi="宋体" w:eastAsia="宋体" w:cs="宋体"/>
          <w:b w:val="0"/>
          <w:bCs w:val="0"/>
          <w:caps/>
          <w:color w:val="000000" w:themeColor="text1"/>
          <w:sz w:val="28"/>
          <w:szCs w:val="28"/>
          <w:highlight w:val="none"/>
          <w14:textFill>
            <w14:solidFill>
              <w14:schemeClr w14:val="tx1"/>
            </w14:solidFill>
          </w14:textFill>
        </w:rPr>
        <w:fldChar w:fldCharType="begin"/>
      </w:r>
      <w:r>
        <w:rPr>
          <w:rFonts w:hint="eastAsia" w:ascii="宋体" w:hAnsi="宋体" w:eastAsia="宋体" w:cs="宋体"/>
          <w:b w:val="0"/>
          <w:bCs w:val="0"/>
          <w:caps/>
          <w:color w:val="000000" w:themeColor="text1"/>
          <w:sz w:val="28"/>
          <w:szCs w:val="28"/>
          <w:highlight w:val="none"/>
          <w14:textFill>
            <w14:solidFill>
              <w14:schemeClr w14:val="tx1"/>
            </w14:solidFill>
          </w14:textFill>
        </w:rPr>
        <w:instrText xml:space="preserve"> HYPERLINK \l _Toc24257 </w:instrText>
      </w:r>
      <w:r>
        <w:rPr>
          <w:rFonts w:hint="eastAsia" w:ascii="宋体" w:hAnsi="宋体" w:eastAsia="宋体" w:cs="宋体"/>
          <w:b w:val="0"/>
          <w:bCs w:val="0"/>
          <w:caps/>
          <w:color w:val="000000" w:themeColor="text1"/>
          <w:sz w:val="28"/>
          <w:szCs w:val="28"/>
          <w:highlight w:val="none"/>
          <w14:textFill>
            <w14:solidFill>
              <w14:schemeClr w14:val="tx1"/>
            </w14:solidFill>
          </w14:textFill>
        </w:rPr>
        <w:fldChar w:fldCharType="separate"/>
      </w:r>
      <w:r>
        <w:rPr>
          <w:rFonts w:hint="eastAsia" w:ascii="宋体" w:hAnsi="宋体" w:eastAsia="宋体" w:cs="宋体"/>
          <w:b w:val="0"/>
          <w:bCs w:val="0"/>
          <w:color w:val="000000" w:themeColor="text1"/>
          <w:sz w:val="28"/>
          <w:szCs w:val="28"/>
          <w:highlight w:val="none"/>
          <w14:textFill>
            <w14:solidFill>
              <w14:schemeClr w14:val="tx1"/>
            </w14:solidFill>
          </w14:textFill>
        </w:rPr>
        <w:t xml:space="preserve">第七章 </w:t>
      </w:r>
      <w:r>
        <w:rPr>
          <w:rFonts w:hint="eastAsia" w:ascii="宋体" w:hAnsi="宋体" w:eastAsia="宋体" w:cs="宋体"/>
          <w:b w:val="0"/>
          <w:bCs w:val="0"/>
          <w:color w:val="000000" w:themeColor="text1"/>
          <w:sz w:val="28"/>
          <w:szCs w:val="28"/>
          <w:highlight w:val="non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highlight w:val="none"/>
          <w14:textFill>
            <w14:solidFill>
              <w14:schemeClr w14:val="tx1"/>
            </w14:solidFill>
          </w14:textFill>
        </w:rPr>
        <w:t>质疑、投诉证明材料格式</w:t>
      </w:r>
      <w:r>
        <w:rPr>
          <w:rFonts w:hint="eastAsia" w:ascii="宋体" w:hAnsi="宋体" w:eastAsia="宋体" w:cs="宋体"/>
          <w:b w:val="0"/>
          <w:bCs w:val="0"/>
          <w:color w:val="000000" w:themeColor="text1"/>
          <w:sz w:val="28"/>
          <w:szCs w:val="28"/>
          <w:highlight w:val="none"/>
          <w14:textFill>
            <w14:solidFill>
              <w14:schemeClr w14:val="tx1"/>
            </w14:solidFill>
          </w14:textFill>
        </w:rPr>
        <w:tab/>
      </w:r>
      <w:r>
        <w:rPr>
          <w:rFonts w:hint="eastAsia" w:ascii="宋体" w:hAnsi="宋体" w:eastAsia="宋体" w:cs="宋体"/>
          <w:b w:val="0"/>
          <w:bCs w:val="0"/>
          <w:color w:val="000000" w:themeColor="text1"/>
          <w:sz w:val="28"/>
          <w:szCs w:val="28"/>
          <w:highlight w:val="none"/>
          <w14:textFill>
            <w14:solidFill>
              <w14:schemeClr w14:val="tx1"/>
            </w14:solidFill>
          </w14:textFill>
        </w:rPr>
        <w:fldChar w:fldCharType="begin"/>
      </w:r>
      <w:r>
        <w:rPr>
          <w:rFonts w:hint="eastAsia" w:ascii="宋体" w:hAnsi="宋体" w:eastAsia="宋体" w:cs="宋体"/>
          <w:b w:val="0"/>
          <w:bCs w:val="0"/>
          <w:color w:val="000000" w:themeColor="text1"/>
          <w:sz w:val="28"/>
          <w:szCs w:val="28"/>
          <w:highlight w:val="none"/>
          <w14:textFill>
            <w14:solidFill>
              <w14:schemeClr w14:val="tx1"/>
            </w14:solidFill>
          </w14:textFill>
        </w:rPr>
        <w:instrText xml:space="preserve"> PAGEREF _Toc24257 \h </w:instrText>
      </w:r>
      <w:r>
        <w:rPr>
          <w:rFonts w:hint="eastAsia" w:ascii="宋体" w:hAnsi="宋体" w:eastAsia="宋体" w:cs="宋体"/>
          <w:b w:val="0"/>
          <w:bCs w:val="0"/>
          <w:color w:val="000000" w:themeColor="text1"/>
          <w:sz w:val="28"/>
          <w:szCs w:val="28"/>
          <w:highlight w:val="none"/>
          <w14:textFill>
            <w14:solidFill>
              <w14:schemeClr w14:val="tx1"/>
            </w14:solidFill>
          </w14:textFill>
        </w:rPr>
        <w:fldChar w:fldCharType="separate"/>
      </w:r>
      <w:r>
        <w:rPr>
          <w:rFonts w:hint="eastAsia" w:ascii="宋体" w:hAnsi="宋体" w:eastAsia="宋体" w:cs="宋体"/>
          <w:b w:val="0"/>
          <w:bCs w:val="0"/>
          <w:color w:val="000000" w:themeColor="text1"/>
          <w:sz w:val="28"/>
          <w:szCs w:val="28"/>
          <w:highlight w:val="none"/>
          <w14:textFill>
            <w14:solidFill>
              <w14:schemeClr w14:val="tx1"/>
            </w14:solidFill>
          </w14:textFill>
        </w:rPr>
        <w:t>105</w:t>
      </w:r>
      <w:r>
        <w:rPr>
          <w:rFonts w:hint="eastAsia" w:ascii="宋体" w:hAnsi="宋体" w:eastAsia="宋体" w:cs="宋体"/>
          <w:b w:val="0"/>
          <w:bCs w:val="0"/>
          <w:color w:val="000000" w:themeColor="text1"/>
          <w:sz w:val="28"/>
          <w:szCs w:val="28"/>
          <w:highlight w:val="none"/>
          <w14:textFill>
            <w14:solidFill>
              <w14:schemeClr w14:val="tx1"/>
            </w14:solidFill>
          </w14:textFill>
        </w:rPr>
        <w:fldChar w:fldCharType="end"/>
      </w:r>
      <w:r>
        <w:rPr>
          <w:rFonts w:hint="eastAsia" w:ascii="宋体" w:hAnsi="宋体" w:eastAsia="宋体" w:cs="宋体"/>
          <w:b w:val="0"/>
          <w:bCs w:val="0"/>
          <w:caps/>
          <w:color w:val="000000" w:themeColor="text1"/>
          <w:sz w:val="28"/>
          <w:szCs w:val="28"/>
          <w:highlight w:val="none"/>
          <w14:textFill>
            <w14:solidFill>
              <w14:schemeClr w14:val="tx1"/>
            </w14:solidFill>
          </w14:textFill>
        </w:rPr>
        <w:fldChar w:fldCharType="end"/>
      </w:r>
    </w:p>
    <w:p w14:paraId="275C118D">
      <w:pPr>
        <w:pStyle w:val="17"/>
        <w:keepNext w:val="0"/>
        <w:keepLines w:val="0"/>
        <w:pageBreakBefore w:val="0"/>
        <w:widowControl w:val="0"/>
        <w:kinsoku/>
        <w:wordWrap/>
        <w:overflowPunct/>
        <w:topLinePunct w:val="0"/>
        <w:autoSpaceDE/>
        <w:autoSpaceDN/>
        <w:bidi w:val="0"/>
        <w:adjustRightInd/>
        <w:snapToGrid/>
        <w:spacing w:line="560" w:lineRule="exact"/>
        <w:textAlignment w:val="auto"/>
        <w:rPr>
          <w:color w:val="000000" w:themeColor="text1"/>
          <w:highlight w:val="none"/>
          <w14:textFill>
            <w14:solidFill>
              <w14:schemeClr w14:val="tx1"/>
            </w14:solidFill>
          </w14:textFill>
        </w:rPr>
        <w:sectPr>
          <w:footerReference r:id="rId16" w:type="default"/>
          <w:pgSz w:w="11906" w:h="16838"/>
          <w:pgMar w:top="1134" w:right="1134" w:bottom="1134" w:left="1134" w:header="720" w:footer="720" w:gutter="0"/>
          <w:pgNumType w:start="1"/>
          <w:cols w:space="720" w:num="1"/>
          <w:docGrid w:type="lines" w:linePitch="331" w:charSpace="0"/>
        </w:sectPr>
      </w:pPr>
      <w:r>
        <w:rPr>
          <w:rFonts w:hint="eastAsia" w:ascii="宋体" w:hAnsi="宋体" w:eastAsia="宋体" w:cs="宋体"/>
          <w:b w:val="0"/>
          <w:bCs w:val="0"/>
          <w:caps/>
          <w:color w:val="000000" w:themeColor="text1"/>
          <w:sz w:val="28"/>
          <w:szCs w:val="28"/>
          <w:highlight w:val="none"/>
          <w14:textFill>
            <w14:solidFill>
              <w14:schemeClr w14:val="tx1"/>
            </w14:solidFill>
          </w14:textFill>
        </w:rPr>
        <w:fldChar w:fldCharType="end"/>
      </w:r>
      <w:r>
        <w:rPr>
          <w:rFonts w:hint="eastAsia"/>
          <w:color w:val="000000" w:themeColor="text1"/>
          <w:highlight w:val="none"/>
          <w14:textFill>
            <w14:solidFill>
              <w14:schemeClr w14:val="tx1"/>
            </w14:solidFill>
          </w14:textFill>
        </w:rPr>
        <w:tab/>
      </w:r>
    </w:p>
    <w:p w14:paraId="03D035E7">
      <w:pPr>
        <w:pStyle w:val="31"/>
        <w:pageBreakBefore w:val="0"/>
        <w:widowControl w:val="0"/>
        <w:kinsoku/>
        <w:wordWrap/>
        <w:overflowPunct/>
        <w:topLinePunct w:val="0"/>
        <w:autoSpaceDE/>
        <w:autoSpaceDN/>
        <w:bidi w:val="0"/>
        <w:adjustRightInd/>
        <w:snapToGrid/>
        <w:spacing w:before="0" w:after="0" w:line="560" w:lineRule="exact"/>
        <w:ind w:left="0" w:leftChars="0"/>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第一章  招标公告</w:t>
      </w:r>
    </w:p>
    <w:p w14:paraId="59E4B2EF">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560" w:lineRule="exact"/>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项目概况</w:t>
      </w:r>
    </w:p>
    <w:p w14:paraId="5591EF7E">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560" w:lineRule="exact"/>
        <w:ind w:left="0" w:leftChars="0" w:firstLine="562" w:firstLineChars="200"/>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cs="宋体"/>
          <w:b/>
          <w:bCs/>
          <w:color w:val="000000" w:themeColor="text1"/>
          <w:sz w:val="28"/>
          <w:szCs w:val="28"/>
          <w:highlight w:val="none"/>
          <w:u w:val="single"/>
          <w:lang w:eastAsia="zh-CN"/>
          <w14:textFill>
            <w14:solidFill>
              <w14:schemeClr w14:val="tx1"/>
            </w14:solidFill>
          </w14:textFill>
        </w:rPr>
        <w:t>哈密市中心医院2025年医疗设备购置项目（第一批）（二次）（</w:t>
      </w:r>
      <w:r>
        <w:rPr>
          <w:rFonts w:hint="eastAsia" w:ascii="宋体" w:hAnsi="宋体" w:eastAsia="宋体" w:cs="宋体"/>
          <w:color w:val="000000" w:themeColor="text1"/>
          <w:sz w:val="28"/>
          <w:szCs w:val="28"/>
          <w:highlight w:val="none"/>
          <w14:textFill>
            <w14:solidFill>
              <w14:schemeClr w14:val="tx1"/>
            </w14:solidFill>
          </w14:textFill>
        </w:rPr>
        <w:t>采购项目的潜在供应商应在</w:t>
      </w:r>
      <w:r>
        <w:rPr>
          <w:rFonts w:hint="eastAsia" w:ascii="宋体" w:hAnsi="宋体" w:eastAsia="宋体" w:cs="宋体"/>
          <w:color w:val="000000" w:themeColor="text1"/>
          <w:sz w:val="28"/>
          <w:szCs w:val="28"/>
          <w:highlight w:val="none"/>
          <w:u w:val="single"/>
          <w14:textFill>
            <w14:solidFill>
              <w14:schemeClr w14:val="tx1"/>
            </w14:solidFill>
          </w14:textFill>
        </w:rPr>
        <w:t>新疆政府采购网（http://www.ccgp-xinjiang.gov.cn）</w:t>
      </w:r>
      <w:r>
        <w:rPr>
          <w:rFonts w:hint="eastAsia" w:ascii="宋体" w:hAnsi="宋体" w:eastAsia="宋体" w:cs="宋体"/>
          <w:color w:val="000000" w:themeColor="text1"/>
          <w:sz w:val="28"/>
          <w:szCs w:val="28"/>
          <w:highlight w:val="none"/>
          <w14:textFill>
            <w14:solidFill>
              <w14:schemeClr w14:val="tx1"/>
            </w14:solidFill>
          </w14:textFill>
        </w:rPr>
        <w:t>政采云平台线上获取采购文件，并于</w:t>
      </w:r>
      <w:r>
        <w:rPr>
          <w:rFonts w:hint="eastAsia" w:ascii="宋体" w:hAnsi="宋体" w:eastAsia="宋体" w:cs="宋体"/>
          <w:b/>
          <w:bCs/>
          <w:color w:val="000000" w:themeColor="text1"/>
          <w:sz w:val="28"/>
          <w:szCs w:val="28"/>
          <w:highlight w:val="none"/>
          <w:u w:val="single"/>
          <w14:textFill>
            <w14:solidFill>
              <w14:schemeClr w14:val="tx1"/>
            </w14:solidFill>
          </w14:textFill>
        </w:rPr>
        <w:t>202</w:t>
      </w:r>
      <w:r>
        <w:rPr>
          <w:rFonts w:hint="eastAsia" w:ascii="宋体" w:hAnsi="宋体" w:cs="宋体"/>
          <w:b/>
          <w:bCs/>
          <w:color w:val="000000" w:themeColor="text1"/>
          <w:sz w:val="28"/>
          <w:szCs w:val="28"/>
          <w:highlight w:val="none"/>
          <w:u w:val="single"/>
          <w:lang w:val="en-US" w:eastAsia="zh-CN"/>
          <w14:textFill>
            <w14:solidFill>
              <w14:schemeClr w14:val="tx1"/>
            </w14:solidFill>
          </w14:textFill>
        </w:rPr>
        <w:t>5</w:t>
      </w:r>
      <w:r>
        <w:rPr>
          <w:rFonts w:hint="eastAsia" w:ascii="宋体" w:hAnsi="宋体" w:eastAsia="宋体" w:cs="宋体"/>
          <w:b/>
          <w:bCs/>
          <w:color w:val="000000" w:themeColor="text1"/>
          <w:sz w:val="28"/>
          <w:szCs w:val="28"/>
          <w:highlight w:val="none"/>
          <w:u w:val="single"/>
          <w14:textFill>
            <w14:solidFill>
              <w14:schemeClr w14:val="tx1"/>
            </w14:solidFill>
          </w14:textFill>
        </w:rPr>
        <w:t>年</w:t>
      </w:r>
      <w:r>
        <w:rPr>
          <w:rFonts w:hint="eastAsia" w:ascii="宋体" w:hAnsi="宋体" w:cs="宋体"/>
          <w:b/>
          <w:bCs/>
          <w:color w:val="000000" w:themeColor="text1"/>
          <w:sz w:val="28"/>
          <w:szCs w:val="28"/>
          <w:highlight w:val="none"/>
          <w:u w:val="single"/>
          <w:lang w:val="en-US" w:eastAsia="zh-CN"/>
          <w14:textFill>
            <w14:solidFill>
              <w14:schemeClr w14:val="tx1"/>
            </w14:solidFill>
          </w14:textFill>
        </w:rPr>
        <w:t>07</w:t>
      </w:r>
      <w:r>
        <w:rPr>
          <w:rFonts w:hint="eastAsia" w:ascii="宋体" w:hAnsi="宋体" w:eastAsia="宋体" w:cs="宋体"/>
          <w:b/>
          <w:bCs/>
          <w:color w:val="000000" w:themeColor="text1"/>
          <w:sz w:val="28"/>
          <w:szCs w:val="28"/>
          <w:highlight w:val="none"/>
          <w:u w:val="single"/>
          <w14:textFill>
            <w14:solidFill>
              <w14:schemeClr w14:val="tx1"/>
            </w14:solidFill>
          </w14:textFill>
        </w:rPr>
        <w:t>月</w:t>
      </w:r>
      <w:r>
        <w:rPr>
          <w:rFonts w:hint="eastAsia" w:ascii="宋体" w:hAnsi="宋体" w:cs="宋体"/>
          <w:b/>
          <w:bCs/>
          <w:color w:val="000000" w:themeColor="text1"/>
          <w:sz w:val="28"/>
          <w:szCs w:val="28"/>
          <w:highlight w:val="none"/>
          <w:u w:val="single"/>
          <w:lang w:val="en-US" w:eastAsia="zh-CN"/>
          <w14:textFill>
            <w14:solidFill>
              <w14:schemeClr w14:val="tx1"/>
            </w14:solidFill>
          </w14:textFill>
        </w:rPr>
        <w:t>17</w:t>
      </w:r>
      <w:r>
        <w:rPr>
          <w:rFonts w:hint="eastAsia" w:ascii="宋体" w:hAnsi="宋体" w:eastAsia="宋体" w:cs="宋体"/>
          <w:b/>
          <w:bCs/>
          <w:color w:val="000000" w:themeColor="text1"/>
          <w:sz w:val="28"/>
          <w:szCs w:val="28"/>
          <w:highlight w:val="none"/>
          <w:u w:val="single"/>
          <w14:textFill>
            <w14:solidFill>
              <w14:schemeClr w14:val="tx1"/>
            </w14:solidFill>
          </w14:textFill>
        </w:rPr>
        <w:t>日1</w:t>
      </w:r>
      <w:r>
        <w:rPr>
          <w:rFonts w:hint="eastAsia" w:ascii="宋体" w:hAnsi="宋体" w:cs="宋体"/>
          <w:b/>
          <w:bCs/>
          <w:color w:val="000000" w:themeColor="text1"/>
          <w:sz w:val="28"/>
          <w:szCs w:val="28"/>
          <w:highlight w:val="none"/>
          <w:u w:val="single"/>
          <w:lang w:val="en-US" w:eastAsia="zh-CN"/>
          <w14:textFill>
            <w14:solidFill>
              <w14:schemeClr w14:val="tx1"/>
            </w14:solidFill>
          </w14:textFill>
        </w:rPr>
        <w:t>1</w:t>
      </w:r>
      <w:r>
        <w:rPr>
          <w:rFonts w:hint="eastAsia" w:ascii="宋体" w:hAnsi="宋体" w:eastAsia="宋体" w:cs="宋体"/>
          <w:b/>
          <w:bCs/>
          <w:color w:val="000000" w:themeColor="text1"/>
          <w:sz w:val="28"/>
          <w:szCs w:val="28"/>
          <w:highlight w:val="none"/>
          <w:u w:val="single"/>
          <w14:textFill>
            <w14:solidFill>
              <w14:schemeClr w14:val="tx1"/>
            </w14:solidFill>
          </w14:textFill>
        </w:rPr>
        <w:t>点00分</w:t>
      </w:r>
      <w:r>
        <w:rPr>
          <w:rFonts w:hint="eastAsia" w:ascii="宋体" w:hAnsi="宋体" w:eastAsia="宋体" w:cs="宋体"/>
          <w:bCs/>
          <w:color w:val="000000" w:themeColor="text1"/>
          <w:sz w:val="28"/>
          <w:szCs w:val="28"/>
          <w:highlight w:val="none"/>
          <w14:textFill>
            <w14:solidFill>
              <w14:schemeClr w14:val="tx1"/>
            </w14:solidFill>
          </w14:textFill>
        </w:rPr>
        <w:t>（北京时间）前提交响应文件</w:t>
      </w:r>
      <w:r>
        <w:rPr>
          <w:rFonts w:hint="eastAsia" w:ascii="宋体" w:hAnsi="宋体" w:eastAsia="宋体" w:cs="宋体"/>
          <w:color w:val="000000" w:themeColor="text1"/>
          <w:sz w:val="28"/>
          <w:szCs w:val="28"/>
          <w:highlight w:val="none"/>
          <w14:textFill>
            <w14:solidFill>
              <w14:schemeClr w14:val="tx1"/>
            </w14:solidFill>
          </w14:textFill>
        </w:rPr>
        <w:t>。</w:t>
      </w:r>
    </w:p>
    <w:p w14:paraId="20436F7D">
      <w:pPr>
        <w:pStyle w:val="3"/>
        <w:keepNext/>
        <w:keepLines/>
        <w:pageBreakBefore w:val="0"/>
        <w:widowControl w:val="0"/>
        <w:kinsoku/>
        <w:wordWrap/>
        <w:overflowPunct/>
        <w:topLinePunct w:val="0"/>
        <w:autoSpaceDE/>
        <w:autoSpaceDN/>
        <w:bidi w:val="0"/>
        <w:adjustRightInd/>
        <w:snapToGrid/>
        <w:spacing w:before="0" w:after="0" w:line="560" w:lineRule="exact"/>
        <w:ind w:left="0" w:leftChars="0"/>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一、项目基本情况</w:t>
      </w:r>
    </w:p>
    <w:p w14:paraId="1C88D134">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项目编号：</w:t>
      </w:r>
      <w:r>
        <w:rPr>
          <w:rFonts w:hint="eastAsia" w:ascii="宋体" w:hAnsi="宋体" w:cs="宋体"/>
          <w:color w:val="000000" w:themeColor="text1"/>
          <w:sz w:val="28"/>
          <w:szCs w:val="28"/>
          <w:highlight w:val="none"/>
          <w:lang w:eastAsia="zh-CN"/>
          <w14:textFill>
            <w14:solidFill>
              <w14:schemeClr w14:val="tx1"/>
            </w14:solidFill>
          </w14:textFill>
        </w:rPr>
        <w:t>XJCY(HM)-2025019</w:t>
      </w:r>
      <w:r>
        <w:rPr>
          <w:rFonts w:hint="eastAsia" w:ascii="宋体" w:hAnsi="宋体" w:cs="宋体"/>
          <w:color w:val="000000" w:themeColor="text1"/>
          <w:sz w:val="28"/>
          <w:szCs w:val="28"/>
          <w:highlight w:val="none"/>
          <w:lang w:val="en-US" w:eastAsia="zh-CN"/>
          <w14:textFill>
            <w14:solidFill>
              <w14:schemeClr w14:val="tx1"/>
            </w14:solidFill>
          </w14:textFill>
        </w:rPr>
        <w:t>-01</w:t>
      </w:r>
    </w:p>
    <w:p w14:paraId="7A275F69">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cs="宋体"/>
          <w:color w:val="000000" w:themeColor="text1"/>
          <w:sz w:val="28"/>
          <w:szCs w:val="28"/>
          <w:highlight w:val="none"/>
          <w:lang w:eastAsia="zh-CN"/>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项目名称：</w:t>
      </w:r>
      <w:r>
        <w:rPr>
          <w:rFonts w:hint="eastAsia" w:ascii="宋体" w:hAnsi="宋体" w:cs="宋体"/>
          <w:color w:val="000000" w:themeColor="text1"/>
          <w:sz w:val="28"/>
          <w:szCs w:val="28"/>
          <w:highlight w:val="none"/>
          <w:lang w:eastAsia="zh-CN"/>
          <w14:textFill>
            <w14:solidFill>
              <w14:schemeClr w14:val="tx1"/>
            </w14:solidFill>
          </w14:textFill>
        </w:rPr>
        <w:t>哈密市中心医院2025年医疗设备购置项目（第一批）（二次）</w:t>
      </w:r>
    </w:p>
    <w:p w14:paraId="470F47E7">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预算金额：</w:t>
      </w:r>
      <w:r>
        <w:rPr>
          <w:rFonts w:hint="eastAsia" w:ascii="宋体" w:hAnsi="宋体" w:cs="宋体"/>
          <w:color w:val="000000" w:themeColor="text1"/>
          <w:sz w:val="28"/>
          <w:szCs w:val="28"/>
          <w:highlight w:val="none"/>
          <w:lang w:val="en-US" w:eastAsia="zh-CN"/>
          <w14:textFill>
            <w14:solidFill>
              <w14:schemeClr w14:val="tx1"/>
            </w14:solidFill>
          </w14:textFill>
        </w:rPr>
        <w:t>42.8万</w:t>
      </w:r>
      <w:r>
        <w:rPr>
          <w:rFonts w:hint="eastAsia" w:ascii="宋体" w:hAnsi="宋体" w:eastAsia="宋体" w:cs="宋体"/>
          <w:color w:val="000000" w:themeColor="text1"/>
          <w:sz w:val="28"/>
          <w:szCs w:val="28"/>
          <w:highlight w:val="none"/>
          <w14:textFill>
            <w14:solidFill>
              <w14:schemeClr w14:val="tx1"/>
            </w14:solidFill>
          </w14:textFill>
        </w:rPr>
        <w:t>元</w:t>
      </w:r>
    </w:p>
    <w:p w14:paraId="39DC4AD0">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lang w:eastAsia="zh-CN"/>
          <w14:textFill>
            <w14:solidFill>
              <w14:schemeClr w14:val="tx1"/>
            </w14:solidFill>
          </w14:textFill>
        </w:rPr>
        <w:t>最高限价：</w:t>
      </w:r>
      <w:r>
        <w:rPr>
          <w:rFonts w:hint="eastAsia" w:ascii="宋体" w:hAnsi="宋体" w:cs="宋体"/>
          <w:color w:val="000000" w:themeColor="text1"/>
          <w:sz w:val="28"/>
          <w:szCs w:val="28"/>
          <w:highlight w:val="none"/>
          <w:lang w:val="en-US" w:eastAsia="zh-CN"/>
          <w14:textFill>
            <w14:solidFill>
              <w14:schemeClr w14:val="tx1"/>
            </w14:solidFill>
          </w14:textFill>
        </w:rPr>
        <w:t>180000元、 200000元、20000元、28000元</w:t>
      </w:r>
    </w:p>
    <w:p w14:paraId="61D3261B">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采购需求：</w:t>
      </w:r>
    </w:p>
    <w:p w14:paraId="361108FD">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cs="宋体"/>
          <w:color w:val="000000" w:themeColor="text1"/>
          <w:sz w:val="28"/>
          <w:szCs w:val="28"/>
          <w:highlight w:val="none"/>
          <w:lang w:eastAsia="zh-CN"/>
          <w14:textFill>
            <w14:solidFill>
              <w14:schemeClr w14:val="tx1"/>
            </w14:solidFill>
          </w14:textFill>
        </w:rPr>
      </w:pPr>
      <w:r>
        <w:rPr>
          <w:rFonts w:hint="eastAsia" w:ascii="宋体" w:hAnsi="宋体" w:cs="宋体"/>
          <w:color w:val="000000" w:themeColor="text1"/>
          <w:sz w:val="28"/>
          <w:szCs w:val="28"/>
          <w:highlight w:val="none"/>
          <w:lang w:eastAsia="zh-CN"/>
          <w14:textFill>
            <w14:solidFill>
              <w14:schemeClr w14:val="tx1"/>
            </w14:solidFill>
          </w14:textFill>
        </w:rPr>
        <w:t>标项一</w:t>
      </w:r>
    </w:p>
    <w:p w14:paraId="3A0B2910">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cs="宋体"/>
          <w:color w:val="000000" w:themeColor="text1"/>
          <w:sz w:val="28"/>
          <w:szCs w:val="28"/>
          <w:highlight w:val="none"/>
          <w:lang w:eastAsia="zh-CN"/>
          <w14:textFill>
            <w14:solidFill>
              <w14:schemeClr w14:val="tx1"/>
            </w14:solidFill>
          </w14:textFill>
        </w:rPr>
      </w:pPr>
      <w:r>
        <w:rPr>
          <w:rFonts w:hint="eastAsia" w:ascii="宋体" w:hAnsi="宋体" w:cs="宋体"/>
          <w:color w:val="000000" w:themeColor="text1"/>
          <w:sz w:val="28"/>
          <w:szCs w:val="28"/>
          <w:highlight w:val="none"/>
          <w:lang w:eastAsia="zh-CN"/>
          <w14:textFill>
            <w14:solidFill>
              <w14:schemeClr w14:val="tx1"/>
            </w14:solidFill>
          </w14:textFill>
        </w:rPr>
        <w:t>标项名称:十功能自动煎药机</w:t>
      </w:r>
      <w:r>
        <w:rPr>
          <w:rFonts w:hint="eastAsia" w:ascii="宋体" w:hAnsi="宋体" w:cs="宋体"/>
          <w:color w:val="000000" w:themeColor="text1"/>
          <w:sz w:val="28"/>
          <w:szCs w:val="28"/>
          <w:highlight w:val="none"/>
          <w:lang w:eastAsia="zh-CN"/>
          <w14:textFill>
            <w14:solidFill>
              <w14:schemeClr w14:val="tx1"/>
            </w14:solidFill>
          </w14:textFill>
        </w:rPr>
        <w:br w:type="textWrapping"/>
      </w:r>
      <w:r>
        <w:rPr>
          <w:rFonts w:hint="eastAsia" w:ascii="宋体" w:hAnsi="宋体" w:cs="宋体"/>
          <w:color w:val="000000" w:themeColor="text1"/>
          <w:sz w:val="28"/>
          <w:szCs w:val="28"/>
          <w:highlight w:val="none"/>
          <w:lang w:eastAsia="zh-CN"/>
          <w14:textFill>
            <w14:solidFill>
              <w14:schemeClr w14:val="tx1"/>
            </w14:solidFill>
          </w14:textFill>
        </w:rPr>
        <w:t>数量:</w:t>
      </w:r>
      <w:r>
        <w:rPr>
          <w:rFonts w:hint="eastAsia" w:ascii="宋体" w:hAnsi="宋体" w:cs="宋体"/>
          <w:color w:val="000000" w:themeColor="text1"/>
          <w:sz w:val="28"/>
          <w:szCs w:val="28"/>
          <w:highlight w:val="none"/>
          <w:lang w:val="en-US" w:eastAsia="zh-CN"/>
          <w14:textFill>
            <w14:solidFill>
              <w14:schemeClr w14:val="tx1"/>
            </w14:solidFill>
          </w14:textFill>
        </w:rPr>
        <w:t>3</w:t>
      </w:r>
      <w:r>
        <w:rPr>
          <w:rFonts w:hint="eastAsia" w:ascii="宋体" w:hAnsi="宋体" w:cs="宋体"/>
          <w:color w:val="000000" w:themeColor="text1"/>
          <w:sz w:val="28"/>
          <w:szCs w:val="28"/>
          <w:highlight w:val="none"/>
          <w:lang w:eastAsia="zh-CN"/>
          <w14:textFill>
            <w14:solidFill>
              <w14:schemeClr w14:val="tx1"/>
            </w14:solidFill>
          </w14:textFill>
        </w:rPr>
        <w:br w:type="textWrapping"/>
      </w:r>
      <w:r>
        <w:rPr>
          <w:rFonts w:hint="eastAsia" w:ascii="宋体" w:hAnsi="宋体" w:cs="宋体"/>
          <w:color w:val="000000" w:themeColor="text1"/>
          <w:sz w:val="28"/>
          <w:szCs w:val="28"/>
          <w:highlight w:val="none"/>
          <w:lang w:eastAsia="zh-CN"/>
          <w14:textFill>
            <w14:solidFill>
              <w14:schemeClr w14:val="tx1"/>
            </w14:solidFill>
          </w14:textFill>
        </w:rPr>
        <w:t>预算金额（元）:</w:t>
      </w:r>
      <w:r>
        <w:rPr>
          <w:rFonts w:hint="eastAsia" w:ascii="宋体" w:hAnsi="宋体" w:cs="宋体"/>
          <w:color w:val="000000" w:themeColor="text1"/>
          <w:sz w:val="28"/>
          <w:szCs w:val="28"/>
          <w:highlight w:val="none"/>
          <w:lang w:val="en-US" w:eastAsia="zh-CN"/>
          <w14:textFill>
            <w14:solidFill>
              <w14:schemeClr w14:val="tx1"/>
            </w14:solidFill>
          </w14:textFill>
        </w:rPr>
        <w:t>180000</w:t>
      </w:r>
      <w:r>
        <w:rPr>
          <w:rFonts w:hint="eastAsia" w:ascii="宋体" w:hAnsi="宋体" w:cs="宋体"/>
          <w:color w:val="000000" w:themeColor="text1"/>
          <w:sz w:val="28"/>
          <w:szCs w:val="28"/>
          <w:highlight w:val="none"/>
          <w:lang w:eastAsia="zh-CN"/>
          <w14:textFill>
            <w14:solidFill>
              <w14:schemeClr w14:val="tx1"/>
            </w14:solidFill>
          </w14:textFill>
        </w:rPr>
        <w:br w:type="textWrapping"/>
      </w:r>
      <w:r>
        <w:rPr>
          <w:rFonts w:hint="eastAsia" w:ascii="宋体" w:hAnsi="宋体" w:cs="宋体"/>
          <w:color w:val="000000" w:themeColor="text1"/>
          <w:sz w:val="28"/>
          <w:szCs w:val="28"/>
          <w:highlight w:val="none"/>
          <w:lang w:eastAsia="zh-CN"/>
          <w14:textFill>
            <w14:solidFill>
              <w14:schemeClr w14:val="tx1"/>
            </w14:solidFill>
          </w14:textFill>
        </w:rPr>
        <w:t>单位：台 </w:t>
      </w:r>
      <w:r>
        <w:rPr>
          <w:rFonts w:hint="eastAsia" w:ascii="宋体" w:hAnsi="宋体" w:cs="宋体"/>
          <w:color w:val="000000" w:themeColor="text1"/>
          <w:sz w:val="28"/>
          <w:szCs w:val="28"/>
          <w:highlight w:val="none"/>
          <w:lang w:eastAsia="zh-CN"/>
          <w14:textFill>
            <w14:solidFill>
              <w14:schemeClr w14:val="tx1"/>
            </w14:solidFill>
          </w14:textFill>
        </w:rPr>
        <w:br w:type="textWrapping"/>
      </w:r>
      <w:r>
        <w:rPr>
          <w:rFonts w:hint="eastAsia" w:ascii="宋体" w:hAnsi="宋体" w:cs="宋体"/>
          <w:color w:val="000000" w:themeColor="text1"/>
          <w:sz w:val="28"/>
          <w:szCs w:val="28"/>
          <w:highlight w:val="none"/>
          <w:lang w:eastAsia="zh-CN"/>
          <w14:textFill>
            <w14:solidFill>
              <w14:schemeClr w14:val="tx1"/>
            </w14:solidFill>
          </w14:textFill>
        </w:rPr>
        <w:t>简要规格描述或项目基本概况介绍、用途：采购十功能自动煎药机。（具体参数要求详见招标文件）</w:t>
      </w:r>
      <w:r>
        <w:rPr>
          <w:rFonts w:hint="eastAsia" w:ascii="宋体" w:hAnsi="宋体" w:cs="宋体"/>
          <w:color w:val="000000" w:themeColor="text1"/>
          <w:sz w:val="28"/>
          <w:szCs w:val="28"/>
          <w:highlight w:val="none"/>
          <w:lang w:eastAsia="zh-CN"/>
          <w14:textFill>
            <w14:solidFill>
              <w14:schemeClr w14:val="tx1"/>
            </w14:solidFill>
          </w14:textFill>
        </w:rPr>
        <w:br w:type="textWrapping"/>
      </w:r>
      <w:r>
        <w:rPr>
          <w:rFonts w:hint="eastAsia" w:ascii="宋体" w:hAnsi="宋体" w:cs="宋体"/>
          <w:color w:val="000000" w:themeColor="text1"/>
          <w:sz w:val="28"/>
          <w:szCs w:val="28"/>
          <w:highlight w:val="none"/>
          <w:lang w:eastAsia="zh-CN"/>
          <w14:textFill>
            <w14:solidFill>
              <w14:schemeClr w14:val="tx1"/>
            </w14:solidFill>
          </w14:textFill>
        </w:rPr>
        <w:t>备注：</w:t>
      </w:r>
    </w:p>
    <w:p w14:paraId="7AE86326">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cs="宋体"/>
          <w:color w:val="000000" w:themeColor="text1"/>
          <w:sz w:val="28"/>
          <w:szCs w:val="28"/>
          <w:highlight w:val="none"/>
          <w:lang w:eastAsia="zh-CN"/>
          <w14:textFill>
            <w14:solidFill>
              <w14:schemeClr w14:val="tx1"/>
            </w14:solidFill>
          </w14:textFill>
        </w:rPr>
      </w:pPr>
      <w:r>
        <w:rPr>
          <w:rFonts w:hint="eastAsia" w:ascii="宋体" w:hAnsi="宋体" w:cs="宋体"/>
          <w:color w:val="000000" w:themeColor="text1"/>
          <w:sz w:val="28"/>
          <w:szCs w:val="28"/>
          <w:highlight w:val="none"/>
          <w:lang w:eastAsia="zh-CN"/>
          <w14:textFill>
            <w14:solidFill>
              <w14:schemeClr w14:val="tx1"/>
            </w14:solidFill>
          </w14:textFill>
        </w:rPr>
        <w:t>标项二</w:t>
      </w:r>
    </w:p>
    <w:p w14:paraId="71F63719">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lang w:eastAsia="zh-CN"/>
          <w14:textFill>
            <w14:solidFill>
              <w14:schemeClr w14:val="tx1"/>
            </w14:solidFill>
          </w14:textFill>
        </w:rPr>
        <w:t>标项名称:健康体检一体机</w:t>
      </w:r>
      <w:r>
        <w:rPr>
          <w:rFonts w:hint="eastAsia" w:ascii="宋体" w:hAnsi="宋体" w:cs="宋体"/>
          <w:color w:val="000000" w:themeColor="text1"/>
          <w:sz w:val="28"/>
          <w:szCs w:val="28"/>
          <w:highlight w:val="none"/>
          <w:lang w:eastAsia="zh-CN"/>
          <w14:textFill>
            <w14:solidFill>
              <w14:schemeClr w14:val="tx1"/>
            </w14:solidFill>
          </w14:textFill>
        </w:rPr>
        <w:br w:type="textWrapping"/>
      </w:r>
      <w:r>
        <w:rPr>
          <w:rFonts w:hint="eastAsia" w:ascii="宋体" w:hAnsi="宋体" w:cs="宋体"/>
          <w:color w:val="000000" w:themeColor="text1"/>
          <w:sz w:val="28"/>
          <w:szCs w:val="28"/>
          <w:highlight w:val="none"/>
          <w:lang w:eastAsia="zh-CN"/>
          <w14:textFill>
            <w14:solidFill>
              <w14:schemeClr w14:val="tx1"/>
            </w14:solidFill>
          </w14:textFill>
        </w:rPr>
        <w:t>数量:1</w:t>
      </w:r>
      <w:r>
        <w:rPr>
          <w:rFonts w:hint="eastAsia" w:ascii="宋体" w:hAnsi="宋体" w:cs="宋体"/>
          <w:color w:val="000000" w:themeColor="text1"/>
          <w:sz w:val="28"/>
          <w:szCs w:val="28"/>
          <w:highlight w:val="none"/>
          <w:lang w:eastAsia="zh-CN"/>
          <w14:textFill>
            <w14:solidFill>
              <w14:schemeClr w14:val="tx1"/>
            </w14:solidFill>
          </w14:textFill>
        </w:rPr>
        <w:br w:type="textWrapping"/>
      </w:r>
      <w:r>
        <w:rPr>
          <w:rFonts w:hint="eastAsia" w:ascii="宋体" w:hAnsi="宋体" w:cs="宋体"/>
          <w:color w:val="000000" w:themeColor="text1"/>
          <w:sz w:val="28"/>
          <w:szCs w:val="28"/>
          <w:highlight w:val="none"/>
          <w:lang w:eastAsia="zh-CN"/>
          <w14:textFill>
            <w14:solidFill>
              <w14:schemeClr w14:val="tx1"/>
            </w14:solidFill>
          </w14:textFill>
        </w:rPr>
        <w:t>预算金额（元）:</w:t>
      </w:r>
      <w:r>
        <w:rPr>
          <w:rFonts w:hint="eastAsia" w:ascii="宋体" w:hAnsi="宋体" w:cs="宋体"/>
          <w:color w:val="000000" w:themeColor="text1"/>
          <w:sz w:val="28"/>
          <w:szCs w:val="28"/>
          <w:highlight w:val="none"/>
          <w:lang w:val="en-US" w:eastAsia="zh-CN"/>
          <w14:textFill>
            <w14:solidFill>
              <w14:schemeClr w14:val="tx1"/>
            </w14:solidFill>
          </w14:textFill>
        </w:rPr>
        <w:t>200000</w:t>
      </w:r>
      <w:r>
        <w:rPr>
          <w:rFonts w:hint="eastAsia" w:ascii="宋体" w:hAnsi="宋体" w:cs="宋体"/>
          <w:color w:val="000000" w:themeColor="text1"/>
          <w:sz w:val="28"/>
          <w:szCs w:val="28"/>
          <w:highlight w:val="none"/>
          <w:lang w:eastAsia="zh-CN"/>
          <w14:textFill>
            <w14:solidFill>
              <w14:schemeClr w14:val="tx1"/>
            </w14:solidFill>
          </w14:textFill>
        </w:rPr>
        <w:br w:type="textWrapping"/>
      </w:r>
      <w:r>
        <w:rPr>
          <w:rFonts w:hint="eastAsia" w:ascii="宋体" w:hAnsi="宋体" w:cs="宋体"/>
          <w:color w:val="000000" w:themeColor="text1"/>
          <w:sz w:val="28"/>
          <w:szCs w:val="28"/>
          <w:highlight w:val="none"/>
          <w:lang w:eastAsia="zh-CN"/>
          <w14:textFill>
            <w14:solidFill>
              <w14:schemeClr w14:val="tx1"/>
            </w14:solidFill>
          </w14:textFill>
        </w:rPr>
        <w:t>单位：台 </w:t>
      </w:r>
      <w:r>
        <w:rPr>
          <w:rFonts w:hint="eastAsia" w:ascii="宋体" w:hAnsi="宋体" w:cs="宋体"/>
          <w:color w:val="000000" w:themeColor="text1"/>
          <w:sz w:val="28"/>
          <w:szCs w:val="28"/>
          <w:highlight w:val="none"/>
          <w:lang w:eastAsia="zh-CN"/>
          <w14:textFill>
            <w14:solidFill>
              <w14:schemeClr w14:val="tx1"/>
            </w14:solidFill>
          </w14:textFill>
        </w:rPr>
        <w:br w:type="textWrapping"/>
      </w:r>
      <w:r>
        <w:rPr>
          <w:rFonts w:hint="eastAsia" w:ascii="宋体" w:hAnsi="宋体" w:cs="宋体"/>
          <w:color w:val="000000" w:themeColor="text1"/>
          <w:sz w:val="28"/>
          <w:szCs w:val="28"/>
          <w:highlight w:val="none"/>
          <w:lang w:eastAsia="zh-CN"/>
          <w14:textFill>
            <w14:solidFill>
              <w14:schemeClr w14:val="tx1"/>
            </w14:solidFill>
          </w14:textFill>
        </w:rPr>
        <w:t>简要规格描述或项目基本概况介绍、用途：采购健康体检一体机。（具体参数要求详见招标文件）</w:t>
      </w:r>
      <w:r>
        <w:rPr>
          <w:rFonts w:hint="eastAsia" w:ascii="宋体" w:hAnsi="宋体" w:cs="宋体"/>
          <w:color w:val="000000" w:themeColor="text1"/>
          <w:sz w:val="28"/>
          <w:szCs w:val="28"/>
          <w:highlight w:val="none"/>
          <w:lang w:eastAsia="zh-CN"/>
          <w14:textFill>
            <w14:solidFill>
              <w14:schemeClr w14:val="tx1"/>
            </w14:solidFill>
          </w14:textFill>
        </w:rPr>
        <w:br w:type="textWrapping"/>
      </w:r>
      <w:r>
        <w:rPr>
          <w:rFonts w:hint="eastAsia" w:ascii="宋体" w:hAnsi="宋体" w:cs="宋体"/>
          <w:color w:val="000000" w:themeColor="text1"/>
          <w:sz w:val="28"/>
          <w:szCs w:val="28"/>
          <w:highlight w:val="none"/>
          <w:lang w:eastAsia="zh-CN"/>
          <w14:textFill>
            <w14:solidFill>
              <w14:schemeClr w14:val="tx1"/>
            </w14:solidFill>
          </w14:textFill>
        </w:rPr>
        <w:t>备注：</w:t>
      </w:r>
    </w:p>
    <w:p w14:paraId="0554CC93">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cs="宋体"/>
          <w:color w:val="000000" w:themeColor="text1"/>
          <w:sz w:val="28"/>
          <w:szCs w:val="28"/>
          <w:highlight w:val="none"/>
          <w:lang w:eastAsia="zh-CN"/>
          <w14:textFill>
            <w14:solidFill>
              <w14:schemeClr w14:val="tx1"/>
            </w14:solidFill>
          </w14:textFill>
        </w:rPr>
      </w:pPr>
      <w:r>
        <w:rPr>
          <w:rFonts w:hint="eastAsia" w:ascii="宋体" w:hAnsi="宋体" w:cs="宋体"/>
          <w:color w:val="000000" w:themeColor="text1"/>
          <w:sz w:val="28"/>
          <w:szCs w:val="28"/>
          <w:highlight w:val="none"/>
          <w:lang w:eastAsia="zh-CN"/>
          <w14:textFill>
            <w14:solidFill>
              <w14:schemeClr w14:val="tx1"/>
            </w14:solidFill>
          </w14:textFill>
        </w:rPr>
        <w:t>标项三</w:t>
      </w:r>
    </w:p>
    <w:p w14:paraId="742B203A">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lang w:eastAsia="zh-CN"/>
          <w14:textFill>
            <w14:solidFill>
              <w14:schemeClr w14:val="tx1"/>
            </w14:solidFill>
          </w14:textFill>
        </w:rPr>
        <w:t>标项名称:</w:t>
      </w:r>
      <w:r>
        <w:rPr>
          <w:rFonts w:hint="eastAsia" w:ascii="宋体" w:hAnsi="宋体" w:cs="宋体"/>
          <w:color w:val="000000" w:themeColor="text1"/>
          <w:sz w:val="28"/>
          <w:szCs w:val="28"/>
          <w:highlight w:val="none"/>
          <w:lang w:val="en-US" w:eastAsia="zh-CN"/>
          <w14:textFill>
            <w14:solidFill>
              <w14:schemeClr w14:val="tx1"/>
            </w14:solidFill>
          </w14:textFill>
        </w:rPr>
        <w:t>汤剂包装机</w:t>
      </w:r>
      <w:r>
        <w:rPr>
          <w:rFonts w:hint="eastAsia" w:ascii="宋体" w:hAnsi="宋体" w:cs="宋体"/>
          <w:color w:val="000000" w:themeColor="text1"/>
          <w:sz w:val="28"/>
          <w:szCs w:val="28"/>
          <w:highlight w:val="none"/>
          <w:lang w:eastAsia="zh-CN"/>
          <w14:textFill>
            <w14:solidFill>
              <w14:schemeClr w14:val="tx1"/>
            </w14:solidFill>
          </w14:textFill>
        </w:rPr>
        <w:br w:type="textWrapping"/>
      </w:r>
      <w:r>
        <w:rPr>
          <w:rFonts w:hint="eastAsia" w:ascii="宋体" w:hAnsi="宋体" w:cs="宋体"/>
          <w:color w:val="000000" w:themeColor="text1"/>
          <w:sz w:val="28"/>
          <w:szCs w:val="28"/>
          <w:highlight w:val="none"/>
          <w:lang w:eastAsia="zh-CN"/>
          <w14:textFill>
            <w14:solidFill>
              <w14:schemeClr w14:val="tx1"/>
            </w14:solidFill>
          </w14:textFill>
        </w:rPr>
        <w:t>数量:1</w:t>
      </w:r>
      <w:r>
        <w:rPr>
          <w:rFonts w:hint="eastAsia" w:ascii="宋体" w:hAnsi="宋体" w:cs="宋体"/>
          <w:color w:val="000000" w:themeColor="text1"/>
          <w:sz w:val="28"/>
          <w:szCs w:val="28"/>
          <w:highlight w:val="none"/>
          <w:lang w:eastAsia="zh-CN"/>
          <w14:textFill>
            <w14:solidFill>
              <w14:schemeClr w14:val="tx1"/>
            </w14:solidFill>
          </w14:textFill>
        </w:rPr>
        <w:br w:type="textWrapping"/>
      </w:r>
      <w:r>
        <w:rPr>
          <w:rFonts w:hint="eastAsia" w:ascii="宋体" w:hAnsi="宋体" w:cs="宋体"/>
          <w:color w:val="000000" w:themeColor="text1"/>
          <w:sz w:val="28"/>
          <w:szCs w:val="28"/>
          <w:highlight w:val="none"/>
          <w:lang w:eastAsia="zh-CN"/>
          <w14:textFill>
            <w14:solidFill>
              <w14:schemeClr w14:val="tx1"/>
            </w14:solidFill>
          </w14:textFill>
        </w:rPr>
        <w:t>预算金额（元）:</w:t>
      </w:r>
      <w:r>
        <w:rPr>
          <w:rFonts w:hint="eastAsia" w:ascii="宋体" w:hAnsi="宋体" w:cs="宋体"/>
          <w:color w:val="000000" w:themeColor="text1"/>
          <w:sz w:val="28"/>
          <w:szCs w:val="28"/>
          <w:highlight w:val="none"/>
          <w:lang w:val="en-US" w:eastAsia="zh-CN"/>
          <w14:textFill>
            <w14:solidFill>
              <w14:schemeClr w14:val="tx1"/>
            </w14:solidFill>
          </w14:textFill>
        </w:rPr>
        <w:t>20000</w:t>
      </w:r>
      <w:r>
        <w:rPr>
          <w:rFonts w:hint="eastAsia" w:ascii="宋体" w:hAnsi="宋体" w:cs="宋体"/>
          <w:color w:val="000000" w:themeColor="text1"/>
          <w:sz w:val="28"/>
          <w:szCs w:val="28"/>
          <w:highlight w:val="none"/>
          <w:lang w:eastAsia="zh-CN"/>
          <w14:textFill>
            <w14:solidFill>
              <w14:schemeClr w14:val="tx1"/>
            </w14:solidFill>
          </w14:textFill>
        </w:rPr>
        <w:br w:type="textWrapping"/>
      </w:r>
      <w:r>
        <w:rPr>
          <w:rFonts w:hint="eastAsia" w:ascii="宋体" w:hAnsi="宋体" w:cs="宋体"/>
          <w:color w:val="000000" w:themeColor="text1"/>
          <w:sz w:val="28"/>
          <w:szCs w:val="28"/>
          <w:highlight w:val="none"/>
          <w:lang w:eastAsia="zh-CN"/>
          <w14:textFill>
            <w14:solidFill>
              <w14:schemeClr w14:val="tx1"/>
            </w14:solidFill>
          </w14:textFill>
        </w:rPr>
        <w:t>单位：台 </w:t>
      </w:r>
      <w:r>
        <w:rPr>
          <w:rFonts w:hint="eastAsia" w:ascii="宋体" w:hAnsi="宋体" w:cs="宋体"/>
          <w:color w:val="000000" w:themeColor="text1"/>
          <w:sz w:val="28"/>
          <w:szCs w:val="28"/>
          <w:highlight w:val="none"/>
          <w:lang w:eastAsia="zh-CN"/>
          <w14:textFill>
            <w14:solidFill>
              <w14:schemeClr w14:val="tx1"/>
            </w14:solidFill>
          </w14:textFill>
        </w:rPr>
        <w:br w:type="textWrapping"/>
      </w:r>
      <w:r>
        <w:rPr>
          <w:rFonts w:hint="eastAsia" w:ascii="宋体" w:hAnsi="宋体" w:cs="宋体"/>
          <w:color w:val="000000" w:themeColor="text1"/>
          <w:sz w:val="28"/>
          <w:szCs w:val="28"/>
          <w:highlight w:val="none"/>
          <w:lang w:eastAsia="zh-CN"/>
          <w14:textFill>
            <w14:solidFill>
              <w14:schemeClr w14:val="tx1"/>
            </w14:solidFill>
          </w14:textFill>
        </w:rPr>
        <w:t>简要规格描述或项目基本概况介绍、用途：采购</w:t>
      </w:r>
      <w:r>
        <w:rPr>
          <w:rFonts w:hint="eastAsia" w:ascii="宋体" w:hAnsi="宋体" w:cs="宋体"/>
          <w:color w:val="000000" w:themeColor="text1"/>
          <w:sz w:val="28"/>
          <w:szCs w:val="28"/>
          <w:highlight w:val="none"/>
          <w:lang w:val="en-US" w:eastAsia="zh-CN"/>
          <w14:textFill>
            <w14:solidFill>
              <w14:schemeClr w14:val="tx1"/>
            </w14:solidFill>
          </w14:textFill>
        </w:rPr>
        <w:t>汤剂包装机</w:t>
      </w:r>
      <w:r>
        <w:rPr>
          <w:rFonts w:hint="eastAsia" w:ascii="宋体" w:hAnsi="宋体" w:cs="宋体"/>
          <w:color w:val="000000" w:themeColor="text1"/>
          <w:sz w:val="28"/>
          <w:szCs w:val="28"/>
          <w:highlight w:val="none"/>
          <w:lang w:eastAsia="zh-CN"/>
          <w14:textFill>
            <w14:solidFill>
              <w14:schemeClr w14:val="tx1"/>
            </w14:solidFill>
          </w14:textFill>
        </w:rPr>
        <w:t>。（具体参数要求详见招标文件）</w:t>
      </w:r>
      <w:r>
        <w:rPr>
          <w:rFonts w:hint="eastAsia" w:ascii="宋体" w:hAnsi="宋体" w:cs="宋体"/>
          <w:color w:val="000000" w:themeColor="text1"/>
          <w:sz w:val="28"/>
          <w:szCs w:val="28"/>
          <w:highlight w:val="none"/>
          <w:lang w:eastAsia="zh-CN"/>
          <w14:textFill>
            <w14:solidFill>
              <w14:schemeClr w14:val="tx1"/>
            </w14:solidFill>
          </w14:textFill>
        </w:rPr>
        <w:br w:type="textWrapping"/>
      </w:r>
      <w:r>
        <w:rPr>
          <w:rFonts w:hint="eastAsia" w:ascii="宋体" w:hAnsi="宋体" w:cs="宋体"/>
          <w:color w:val="000000" w:themeColor="text1"/>
          <w:sz w:val="28"/>
          <w:szCs w:val="28"/>
          <w:highlight w:val="none"/>
          <w:lang w:eastAsia="zh-CN"/>
          <w14:textFill>
            <w14:solidFill>
              <w14:schemeClr w14:val="tx1"/>
            </w14:solidFill>
          </w14:textFill>
        </w:rPr>
        <w:t>备注：</w:t>
      </w:r>
    </w:p>
    <w:p w14:paraId="60F0E77F">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cs="宋体"/>
          <w:color w:val="000000" w:themeColor="text1"/>
          <w:sz w:val="28"/>
          <w:szCs w:val="28"/>
          <w:highlight w:val="none"/>
          <w:lang w:eastAsia="zh-CN"/>
          <w14:textFill>
            <w14:solidFill>
              <w14:schemeClr w14:val="tx1"/>
            </w14:solidFill>
          </w14:textFill>
        </w:rPr>
      </w:pPr>
      <w:r>
        <w:rPr>
          <w:rFonts w:hint="eastAsia" w:ascii="宋体" w:hAnsi="宋体" w:cs="宋体"/>
          <w:color w:val="000000" w:themeColor="text1"/>
          <w:sz w:val="28"/>
          <w:szCs w:val="28"/>
          <w:highlight w:val="none"/>
          <w:lang w:eastAsia="zh-CN"/>
          <w14:textFill>
            <w14:solidFill>
              <w14:schemeClr w14:val="tx1"/>
            </w14:solidFill>
          </w14:textFill>
        </w:rPr>
        <w:t>标项四</w:t>
      </w:r>
    </w:p>
    <w:p w14:paraId="5C8D88C6">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cs="宋体"/>
          <w:color w:val="000000" w:themeColor="text1"/>
          <w:sz w:val="28"/>
          <w:szCs w:val="28"/>
          <w:highlight w:val="none"/>
          <w:lang w:eastAsia="zh-CN"/>
          <w14:textFill>
            <w14:solidFill>
              <w14:schemeClr w14:val="tx1"/>
            </w14:solidFill>
          </w14:textFill>
        </w:rPr>
      </w:pPr>
      <w:r>
        <w:rPr>
          <w:rFonts w:hint="eastAsia" w:ascii="宋体" w:hAnsi="宋体" w:cs="宋体"/>
          <w:color w:val="000000" w:themeColor="text1"/>
          <w:sz w:val="28"/>
          <w:szCs w:val="28"/>
          <w:highlight w:val="none"/>
          <w:lang w:eastAsia="zh-CN"/>
          <w14:textFill>
            <w14:solidFill>
              <w14:schemeClr w14:val="tx1"/>
            </w14:solidFill>
          </w14:textFill>
        </w:rPr>
        <w:t>标项名称:智能头痛舒眠仪</w:t>
      </w:r>
      <w:r>
        <w:rPr>
          <w:rFonts w:hint="eastAsia" w:ascii="宋体" w:hAnsi="宋体" w:cs="宋体"/>
          <w:color w:val="000000" w:themeColor="text1"/>
          <w:sz w:val="28"/>
          <w:szCs w:val="28"/>
          <w:highlight w:val="none"/>
          <w:lang w:eastAsia="zh-CN"/>
          <w14:textFill>
            <w14:solidFill>
              <w14:schemeClr w14:val="tx1"/>
            </w14:solidFill>
          </w14:textFill>
        </w:rPr>
        <w:br w:type="textWrapping"/>
      </w:r>
      <w:r>
        <w:rPr>
          <w:rFonts w:hint="eastAsia" w:ascii="宋体" w:hAnsi="宋体" w:cs="宋体"/>
          <w:color w:val="000000" w:themeColor="text1"/>
          <w:sz w:val="28"/>
          <w:szCs w:val="28"/>
          <w:highlight w:val="none"/>
          <w:lang w:eastAsia="zh-CN"/>
          <w14:textFill>
            <w14:solidFill>
              <w14:schemeClr w14:val="tx1"/>
            </w14:solidFill>
          </w14:textFill>
        </w:rPr>
        <w:t>数量:</w:t>
      </w:r>
      <w:r>
        <w:rPr>
          <w:rFonts w:hint="eastAsia" w:ascii="宋体" w:hAnsi="宋体" w:cs="宋体"/>
          <w:color w:val="000000" w:themeColor="text1"/>
          <w:sz w:val="28"/>
          <w:szCs w:val="28"/>
          <w:highlight w:val="none"/>
          <w:lang w:val="en-US" w:eastAsia="zh-CN"/>
          <w14:textFill>
            <w14:solidFill>
              <w14:schemeClr w14:val="tx1"/>
            </w14:solidFill>
          </w14:textFill>
        </w:rPr>
        <w:t>10</w:t>
      </w:r>
      <w:r>
        <w:rPr>
          <w:rFonts w:hint="eastAsia" w:ascii="宋体" w:hAnsi="宋体" w:cs="宋体"/>
          <w:color w:val="000000" w:themeColor="text1"/>
          <w:sz w:val="28"/>
          <w:szCs w:val="28"/>
          <w:highlight w:val="none"/>
          <w:lang w:eastAsia="zh-CN"/>
          <w14:textFill>
            <w14:solidFill>
              <w14:schemeClr w14:val="tx1"/>
            </w14:solidFill>
          </w14:textFill>
        </w:rPr>
        <w:br w:type="textWrapping"/>
      </w:r>
      <w:r>
        <w:rPr>
          <w:rFonts w:hint="eastAsia" w:ascii="宋体" w:hAnsi="宋体" w:cs="宋体"/>
          <w:color w:val="000000" w:themeColor="text1"/>
          <w:sz w:val="28"/>
          <w:szCs w:val="28"/>
          <w:highlight w:val="none"/>
          <w:lang w:eastAsia="zh-CN"/>
          <w14:textFill>
            <w14:solidFill>
              <w14:schemeClr w14:val="tx1"/>
            </w14:solidFill>
          </w14:textFill>
        </w:rPr>
        <w:t>预算金额（元）:</w:t>
      </w:r>
      <w:r>
        <w:rPr>
          <w:rFonts w:hint="eastAsia" w:ascii="宋体" w:hAnsi="宋体" w:cs="宋体"/>
          <w:color w:val="000000" w:themeColor="text1"/>
          <w:sz w:val="28"/>
          <w:szCs w:val="28"/>
          <w:highlight w:val="none"/>
          <w:lang w:val="en-US" w:eastAsia="zh-CN"/>
          <w14:textFill>
            <w14:solidFill>
              <w14:schemeClr w14:val="tx1"/>
            </w14:solidFill>
          </w14:textFill>
        </w:rPr>
        <w:t>28000</w:t>
      </w:r>
      <w:r>
        <w:rPr>
          <w:rFonts w:hint="eastAsia" w:ascii="宋体" w:hAnsi="宋体" w:cs="宋体"/>
          <w:color w:val="000000" w:themeColor="text1"/>
          <w:sz w:val="28"/>
          <w:szCs w:val="28"/>
          <w:highlight w:val="none"/>
          <w:lang w:eastAsia="zh-CN"/>
          <w14:textFill>
            <w14:solidFill>
              <w14:schemeClr w14:val="tx1"/>
            </w14:solidFill>
          </w14:textFill>
        </w:rPr>
        <w:br w:type="textWrapping"/>
      </w:r>
      <w:r>
        <w:rPr>
          <w:rFonts w:hint="eastAsia" w:ascii="宋体" w:hAnsi="宋体" w:cs="宋体"/>
          <w:color w:val="000000" w:themeColor="text1"/>
          <w:sz w:val="28"/>
          <w:szCs w:val="28"/>
          <w:highlight w:val="none"/>
          <w:lang w:eastAsia="zh-CN"/>
          <w14:textFill>
            <w14:solidFill>
              <w14:schemeClr w14:val="tx1"/>
            </w14:solidFill>
          </w14:textFill>
        </w:rPr>
        <w:t>单位：台 </w:t>
      </w:r>
      <w:r>
        <w:rPr>
          <w:rFonts w:hint="eastAsia" w:ascii="宋体" w:hAnsi="宋体" w:cs="宋体"/>
          <w:color w:val="000000" w:themeColor="text1"/>
          <w:sz w:val="28"/>
          <w:szCs w:val="28"/>
          <w:highlight w:val="none"/>
          <w:lang w:eastAsia="zh-CN"/>
          <w14:textFill>
            <w14:solidFill>
              <w14:schemeClr w14:val="tx1"/>
            </w14:solidFill>
          </w14:textFill>
        </w:rPr>
        <w:br w:type="textWrapping"/>
      </w:r>
      <w:r>
        <w:rPr>
          <w:rFonts w:hint="eastAsia" w:ascii="宋体" w:hAnsi="宋体" w:cs="宋体"/>
          <w:color w:val="000000" w:themeColor="text1"/>
          <w:sz w:val="28"/>
          <w:szCs w:val="28"/>
          <w:highlight w:val="none"/>
          <w:lang w:eastAsia="zh-CN"/>
          <w14:textFill>
            <w14:solidFill>
              <w14:schemeClr w14:val="tx1"/>
            </w14:solidFill>
          </w14:textFill>
        </w:rPr>
        <w:t>简要规格描述或项目基本概况介绍、用途：采购智能头痛舒眠仪。（具体参数要求详见招标文件）</w:t>
      </w:r>
      <w:r>
        <w:rPr>
          <w:rFonts w:hint="eastAsia" w:ascii="宋体" w:hAnsi="宋体" w:cs="宋体"/>
          <w:color w:val="000000" w:themeColor="text1"/>
          <w:sz w:val="28"/>
          <w:szCs w:val="28"/>
          <w:highlight w:val="none"/>
          <w:lang w:eastAsia="zh-CN"/>
          <w14:textFill>
            <w14:solidFill>
              <w14:schemeClr w14:val="tx1"/>
            </w14:solidFill>
          </w14:textFill>
        </w:rPr>
        <w:br w:type="textWrapping"/>
      </w:r>
      <w:r>
        <w:rPr>
          <w:rFonts w:hint="eastAsia" w:ascii="宋体" w:hAnsi="宋体" w:cs="宋体"/>
          <w:color w:val="000000" w:themeColor="text1"/>
          <w:sz w:val="28"/>
          <w:szCs w:val="28"/>
          <w:highlight w:val="none"/>
          <w:lang w:eastAsia="zh-CN"/>
          <w14:textFill>
            <w14:solidFill>
              <w14:schemeClr w14:val="tx1"/>
            </w14:solidFill>
          </w14:textFill>
        </w:rPr>
        <w:t>备注：</w:t>
      </w:r>
    </w:p>
    <w:p w14:paraId="77D85E68">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合同履</w:t>
      </w:r>
      <w:r>
        <w:rPr>
          <w:rFonts w:hint="eastAsia" w:ascii="宋体" w:hAnsi="宋体" w:eastAsia="宋体" w:cs="宋体"/>
          <w:color w:val="000000" w:themeColor="text1"/>
          <w:sz w:val="28"/>
          <w:szCs w:val="28"/>
          <w:highlight w:val="none"/>
          <w:lang w:eastAsia="zh-CN"/>
          <w14:textFill>
            <w14:solidFill>
              <w14:schemeClr w14:val="tx1"/>
            </w14:solidFill>
          </w14:textFill>
        </w:rPr>
        <w:t>约</w:t>
      </w:r>
      <w:r>
        <w:rPr>
          <w:rFonts w:hint="eastAsia" w:ascii="宋体" w:hAnsi="宋体" w:eastAsia="宋体" w:cs="宋体"/>
          <w:color w:val="000000" w:themeColor="text1"/>
          <w:sz w:val="28"/>
          <w:szCs w:val="28"/>
          <w:highlight w:val="none"/>
          <w14:textFill>
            <w14:solidFill>
              <w14:schemeClr w14:val="tx1"/>
            </w14:solidFill>
          </w14:textFill>
        </w:rPr>
        <w:t>期限：</w:t>
      </w:r>
      <w:r>
        <w:rPr>
          <w:rFonts w:hint="eastAsia" w:ascii="宋体" w:hAnsi="宋体" w:cs="宋体"/>
          <w:color w:val="000000" w:themeColor="text1"/>
          <w:sz w:val="28"/>
          <w:szCs w:val="28"/>
          <w:highlight w:val="none"/>
          <w:lang w:eastAsia="zh-CN"/>
          <w14:textFill>
            <w14:solidFill>
              <w14:schemeClr w14:val="tx1"/>
            </w14:solidFill>
          </w14:textFill>
        </w:rPr>
        <w:t>标项</w:t>
      </w:r>
      <w:r>
        <w:rPr>
          <w:rFonts w:hint="eastAsia" w:ascii="宋体" w:hAnsi="宋体" w:cs="宋体"/>
          <w:color w:val="000000" w:themeColor="text1"/>
          <w:sz w:val="28"/>
          <w:szCs w:val="28"/>
          <w:highlight w:val="none"/>
          <w:lang w:val="en-US" w:eastAsia="zh-CN"/>
          <w14:textFill>
            <w14:solidFill>
              <w14:schemeClr w14:val="tx1"/>
            </w14:solidFill>
          </w14:textFill>
        </w:rPr>
        <w:t>1、 标项2、标项3、标项4，</w:t>
      </w:r>
      <w:r>
        <w:rPr>
          <w:rFonts w:hint="eastAsia" w:ascii="宋体" w:hAnsi="宋体" w:eastAsia="宋体" w:cs="宋体"/>
          <w:color w:val="000000" w:themeColor="text1"/>
          <w:sz w:val="28"/>
          <w:szCs w:val="28"/>
          <w:highlight w:val="none"/>
          <w14:textFill>
            <w14:solidFill>
              <w14:schemeClr w14:val="tx1"/>
            </w14:solidFill>
          </w14:textFill>
        </w:rPr>
        <w:t>详见招标文件</w:t>
      </w:r>
    </w:p>
    <w:p w14:paraId="2FDFB7B0">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本项目</w:t>
      </w:r>
      <w:r>
        <w:rPr>
          <w:rFonts w:hint="eastAsia" w:ascii="宋体" w:hAnsi="宋体" w:cs="宋体"/>
          <w:color w:val="000000" w:themeColor="text1"/>
          <w:sz w:val="28"/>
          <w:szCs w:val="28"/>
          <w:highlight w:val="none"/>
          <w:lang w:eastAsia="zh-CN"/>
          <w14:textFill>
            <w14:solidFill>
              <w14:schemeClr w14:val="tx1"/>
            </w14:solidFill>
          </w14:textFill>
        </w:rPr>
        <w:t>标项</w:t>
      </w:r>
      <w:r>
        <w:rPr>
          <w:rFonts w:hint="eastAsia" w:ascii="宋体" w:hAnsi="宋体" w:cs="宋体"/>
          <w:color w:val="000000" w:themeColor="text1"/>
          <w:sz w:val="28"/>
          <w:szCs w:val="28"/>
          <w:highlight w:val="none"/>
          <w:lang w:val="en-US" w:eastAsia="zh-CN"/>
          <w14:textFill>
            <w14:solidFill>
              <w14:schemeClr w14:val="tx1"/>
            </w14:solidFill>
          </w14:textFill>
        </w:rPr>
        <w:t>1、 标项2、标项3、标项4</w:t>
      </w:r>
      <w:r>
        <w:rPr>
          <w:rFonts w:hint="eastAsia" w:ascii="宋体" w:hAnsi="宋体" w:eastAsia="宋体" w:cs="宋体"/>
          <w:color w:val="000000" w:themeColor="text1"/>
          <w:sz w:val="28"/>
          <w:szCs w:val="28"/>
          <w:highlight w:val="none"/>
          <w14:textFill>
            <w14:solidFill>
              <w14:schemeClr w14:val="tx1"/>
            </w14:solidFill>
          </w14:textFill>
        </w:rPr>
        <w:t>（否）接受联合体投标</w:t>
      </w:r>
    </w:p>
    <w:p w14:paraId="5EDBAA51">
      <w:pPr>
        <w:pStyle w:val="3"/>
        <w:keepNext/>
        <w:keepLines/>
        <w:pageBreakBefore w:val="0"/>
        <w:widowControl w:val="0"/>
        <w:kinsoku/>
        <w:wordWrap/>
        <w:overflowPunct/>
        <w:topLinePunct w:val="0"/>
        <w:autoSpaceDE/>
        <w:autoSpaceDN/>
        <w:bidi w:val="0"/>
        <w:adjustRightInd/>
        <w:snapToGrid/>
        <w:spacing w:before="0" w:after="0" w:line="560" w:lineRule="exact"/>
        <w:ind w:left="0" w:leftChars="0"/>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二、</w:t>
      </w:r>
      <w:r>
        <w:rPr>
          <w:rFonts w:hint="eastAsia" w:ascii="宋体" w:hAnsi="宋体" w:eastAsia="宋体" w:cs="宋体"/>
          <w:color w:val="000000" w:themeColor="text1"/>
          <w:sz w:val="28"/>
          <w:szCs w:val="28"/>
          <w:highlight w:val="none"/>
          <w:lang w:eastAsia="zh-CN"/>
          <w14:textFill>
            <w14:solidFill>
              <w14:schemeClr w14:val="tx1"/>
            </w14:solidFill>
          </w14:textFill>
        </w:rPr>
        <w:t>供应商</w:t>
      </w:r>
      <w:r>
        <w:rPr>
          <w:rFonts w:hint="eastAsia" w:ascii="宋体" w:hAnsi="宋体" w:eastAsia="宋体" w:cs="宋体"/>
          <w:color w:val="000000" w:themeColor="text1"/>
          <w:sz w:val="28"/>
          <w:szCs w:val="28"/>
          <w:highlight w:val="none"/>
          <w14:textFill>
            <w14:solidFill>
              <w14:schemeClr w14:val="tx1"/>
            </w14:solidFill>
          </w14:textFill>
        </w:rPr>
        <w:t>的资格要求：</w:t>
      </w:r>
    </w:p>
    <w:p w14:paraId="2DC0D66A">
      <w:pPr>
        <w:pageBreakBefore w:val="0"/>
        <w:widowControl w:val="0"/>
        <w:kinsoku/>
        <w:wordWrap/>
        <w:overflowPunct/>
        <w:topLinePunct w:val="0"/>
        <w:autoSpaceDE/>
        <w:autoSpaceDN/>
        <w:bidi w:val="0"/>
        <w:adjustRightInd/>
        <w:snapToGrid/>
        <w:spacing w:line="560" w:lineRule="exact"/>
        <w:ind w:left="0" w:leftChars="0"/>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1.满足《中华人民共和国政府采购法》第二十二条规定；</w:t>
      </w:r>
    </w:p>
    <w:p w14:paraId="5440AF8D">
      <w:pPr>
        <w:pageBreakBefore w:val="0"/>
        <w:widowControl w:val="0"/>
        <w:kinsoku/>
        <w:wordWrap/>
        <w:overflowPunct/>
        <w:topLinePunct w:val="0"/>
        <w:autoSpaceDE/>
        <w:autoSpaceDN/>
        <w:bidi w:val="0"/>
        <w:adjustRightInd/>
        <w:snapToGrid/>
        <w:spacing w:line="560" w:lineRule="exact"/>
        <w:ind w:left="0" w:leftChars="0"/>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（1）具有独立承担民事责任的能力；</w:t>
      </w:r>
    </w:p>
    <w:p w14:paraId="7653FA7F">
      <w:pPr>
        <w:pageBreakBefore w:val="0"/>
        <w:widowControl w:val="0"/>
        <w:kinsoku/>
        <w:wordWrap/>
        <w:overflowPunct/>
        <w:topLinePunct w:val="0"/>
        <w:autoSpaceDE/>
        <w:autoSpaceDN/>
        <w:bidi w:val="0"/>
        <w:adjustRightInd/>
        <w:snapToGrid/>
        <w:spacing w:line="560" w:lineRule="exact"/>
        <w:ind w:left="0" w:leftChars="0"/>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（2）具有良好的商业信誉和健全的财务会计制度； </w:t>
      </w:r>
      <w:r>
        <w:rPr>
          <w:rFonts w:hint="eastAsia" w:ascii="宋体" w:hAnsi="宋体" w:eastAsia="宋体" w:cs="宋体"/>
          <w:color w:val="000000" w:themeColor="text1"/>
          <w:sz w:val="28"/>
          <w:szCs w:val="28"/>
          <w:highlight w:val="none"/>
          <w14:textFill>
            <w14:solidFill>
              <w14:schemeClr w14:val="tx1"/>
            </w14:solidFill>
          </w14:textFill>
        </w:rPr>
        <w:br w:type="textWrapping"/>
      </w:r>
      <w:r>
        <w:rPr>
          <w:rFonts w:hint="eastAsia" w:ascii="宋体" w:hAnsi="宋体" w:eastAsia="宋体" w:cs="宋体"/>
          <w:color w:val="000000" w:themeColor="text1"/>
          <w:sz w:val="28"/>
          <w:szCs w:val="28"/>
          <w:highlight w:val="none"/>
          <w14:textFill>
            <w14:solidFill>
              <w14:schemeClr w14:val="tx1"/>
            </w14:solidFill>
          </w14:textFill>
        </w:rPr>
        <w:t>（3）具有履行合同所必需的设备和专业技术能力；</w:t>
      </w:r>
    </w:p>
    <w:p w14:paraId="7573B033">
      <w:pPr>
        <w:pageBreakBefore w:val="0"/>
        <w:widowControl w:val="0"/>
        <w:kinsoku/>
        <w:wordWrap/>
        <w:overflowPunct/>
        <w:topLinePunct w:val="0"/>
        <w:autoSpaceDE/>
        <w:autoSpaceDN/>
        <w:bidi w:val="0"/>
        <w:adjustRightInd/>
        <w:snapToGrid/>
        <w:spacing w:line="560" w:lineRule="exact"/>
        <w:ind w:left="0" w:leftChars="0"/>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（4）有依法缴纳税收和社会保障资金的良好记录； </w:t>
      </w:r>
      <w:r>
        <w:rPr>
          <w:rFonts w:hint="eastAsia" w:ascii="宋体" w:hAnsi="宋体" w:eastAsia="宋体" w:cs="宋体"/>
          <w:color w:val="000000" w:themeColor="text1"/>
          <w:sz w:val="28"/>
          <w:szCs w:val="28"/>
          <w:highlight w:val="none"/>
          <w14:textFill>
            <w14:solidFill>
              <w14:schemeClr w14:val="tx1"/>
            </w14:solidFill>
          </w14:textFill>
        </w:rPr>
        <w:br w:type="textWrapping"/>
      </w:r>
      <w:r>
        <w:rPr>
          <w:rFonts w:hint="eastAsia" w:ascii="宋体" w:hAnsi="宋体" w:eastAsia="宋体" w:cs="宋体"/>
          <w:color w:val="000000" w:themeColor="text1"/>
          <w:sz w:val="28"/>
          <w:szCs w:val="28"/>
          <w:highlight w:val="none"/>
          <w14:textFill>
            <w14:solidFill>
              <w14:schemeClr w14:val="tx1"/>
            </w14:solidFill>
          </w14:textFill>
        </w:rPr>
        <w:t xml:space="preserve">（5）参加政府采购活动前三年内，在经营活动中没有重大违法记录； </w:t>
      </w:r>
      <w:r>
        <w:rPr>
          <w:rFonts w:hint="eastAsia" w:ascii="宋体" w:hAnsi="宋体" w:eastAsia="宋体" w:cs="宋体"/>
          <w:color w:val="000000" w:themeColor="text1"/>
          <w:sz w:val="28"/>
          <w:szCs w:val="28"/>
          <w:highlight w:val="none"/>
          <w14:textFill>
            <w14:solidFill>
              <w14:schemeClr w14:val="tx1"/>
            </w14:solidFill>
          </w14:textFill>
        </w:rPr>
        <w:br w:type="textWrapping"/>
      </w:r>
      <w:r>
        <w:rPr>
          <w:rFonts w:hint="eastAsia" w:ascii="宋体" w:hAnsi="宋体" w:eastAsia="宋体" w:cs="宋体"/>
          <w:color w:val="000000" w:themeColor="text1"/>
          <w:sz w:val="28"/>
          <w:szCs w:val="28"/>
          <w:highlight w:val="none"/>
          <w14:textFill>
            <w14:solidFill>
              <w14:schemeClr w14:val="tx1"/>
            </w14:solidFill>
          </w14:textFill>
        </w:rPr>
        <w:t>（6）法律、行政法规规定的其他条件。</w:t>
      </w:r>
    </w:p>
    <w:p w14:paraId="76F031D5">
      <w:pPr>
        <w:pageBreakBefore w:val="0"/>
        <w:widowControl w:val="0"/>
        <w:kinsoku/>
        <w:wordWrap/>
        <w:overflowPunct/>
        <w:topLinePunct w:val="0"/>
        <w:autoSpaceDE/>
        <w:autoSpaceDN/>
        <w:bidi w:val="0"/>
        <w:adjustRightInd/>
        <w:snapToGrid/>
        <w:spacing w:line="560" w:lineRule="exact"/>
        <w:ind w:left="0" w:leftChars="0"/>
        <w:textAlignment w:val="auto"/>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t>2.落实政府采购政策需满足的资格要求：</w:t>
      </w:r>
      <w:r>
        <w:rPr>
          <w:rFonts w:hint="eastAsia" w:ascii="宋体" w:hAnsi="宋体" w:cs="宋体"/>
          <w:color w:val="000000" w:themeColor="text1"/>
          <w:sz w:val="28"/>
          <w:szCs w:val="28"/>
          <w:highlight w:val="none"/>
          <w:lang w:eastAsia="zh-CN"/>
          <w14:textFill>
            <w14:solidFill>
              <w14:schemeClr w14:val="tx1"/>
            </w14:solidFill>
          </w14:textFill>
        </w:rPr>
        <w:t>标项</w:t>
      </w:r>
      <w:r>
        <w:rPr>
          <w:rFonts w:hint="eastAsia" w:ascii="宋体" w:hAnsi="宋体" w:cs="宋体"/>
          <w:color w:val="000000" w:themeColor="text1"/>
          <w:sz w:val="28"/>
          <w:szCs w:val="28"/>
          <w:highlight w:val="none"/>
          <w:lang w:val="en-US" w:eastAsia="zh-CN"/>
          <w14:textFill>
            <w14:solidFill>
              <w14:schemeClr w14:val="tx1"/>
            </w14:solidFill>
          </w14:textFill>
        </w:rPr>
        <w:t>1、 标项2、标项3、标项4，</w:t>
      </w:r>
      <w:r>
        <w:rPr>
          <w:rFonts w:hint="eastAsia" w:ascii="宋体" w:hAnsi="宋体" w:cs="宋体"/>
          <w:color w:val="000000" w:themeColor="text1"/>
          <w:sz w:val="28"/>
          <w:szCs w:val="28"/>
          <w:highlight w:val="none"/>
          <w:lang w:eastAsia="zh-CN"/>
          <w14:textFill>
            <w14:solidFill>
              <w14:schemeClr w14:val="tx1"/>
            </w14:solidFill>
          </w14:textFill>
        </w:rPr>
        <w:t>本项目为非专门面向中小企业采购项目，根据《政府采购促进中小企业发展管理办法》（财库【2020】46号）及（财库[2022]19号）的规定，评标时将给予此类企业进行价格扣除10%的优惠，用优惠后的价格参与评审。</w:t>
      </w:r>
    </w:p>
    <w:p w14:paraId="64313EC6">
      <w:pPr>
        <w:pageBreakBefore w:val="0"/>
        <w:kinsoku/>
        <w:wordWrap/>
        <w:overflowPunct/>
        <w:topLinePunct w:val="0"/>
        <w:autoSpaceDE/>
        <w:autoSpaceDN/>
        <w:bidi w:val="0"/>
        <w:adjustRightInd w:val="0"/>
        <w:snapToGrid w:val="0"/>
        <w:spacing w:line="560" w:lineRule="exact"/>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3.本项目的特定资格要求</w:t>
      </w:r>
      <w:r>
        <w:rPr>
          <w:rFonts w:hint="eastAsia" w:ascii="宋体" w:hAnsi="宋体" w:eastAsia="宋体" w:cs="宋体"/>
          <w:color w:val="000000" w:themeColor="text1"/>
          <w:sz w:val="28"/>
          <w:szCs w:val="28"/>
          <w:highlight w:val="none"/>
          <w14:textFill>
            <w14:solidFill>
              <w14:schemeClr w14:val="tx1"/>
            </w14:solidFill>
          </w14:textFill>
        </w:rPr>
        <w:t>：</w:t>
      </w:r>
    </w:p>
    <w:p w14:paraId="371ED1AC">
      <w:pPr>
        <w:pageBreakBefore w:val="0"/>
        <w:kinsoku/>
        <w:wordWrap/>
        <w:overflowPunct/>
        <w:topLinePunct w:val="0"/>
        <w:autoSpaceDE/>
        <w:autoSpaceDN/>
        <w:bidi w:val="0"/>
        <w:adjustRightInd w:val="0"/>
        <w:snapToGrid w:val="0"/>
        <w:spacing w:line="560" w:lineRule="exact"/>
        <w:textAlignment w:val="auto"/>
        <w:rPr>
          <w:rFonts w:hint="eastAsia" w:ascii="宋体" w:hAnsi="宋体" w:cs="宋体"/>
          <w:color w:val="000000" w:themeColor="text1"/>
          <w:sz w:val="28"/>
          <w:szCs w:val="28"/>
          <w:highlight w:val="none"/>
          <w:lang w:val="en-US" w:eastAsia="zh-CN"/>
          <w14:textFill>
            <w14:solidFill>
              <w14:schemeClr w14:val="tx1"/>
            </w14:solidFill>
          </w14:textFill>
        </w:rPr>
      </w:pPr>
      <w:r>
        <w:rPr>
          <w:rFonts w:hint="eastAsia" w:ascii="宋体" w:hAnsi="宋体" w:cs="宋体"/>
          <w:color w:val="000000" w:themeColor="text1"/>
          <w:sz w:val="28"/>
          <w:szCs w:val="28"/>
          <w:highlight w:val="none"/>
          <w:lang w:eastAsia="zh-CN"/>
          <w14:textFill>
            <w14:solidFill>
              <w14:schemeClr w14:val="tx1"/>
            </w14:solidFill>
          </w14:textFill>
        </w:rPr>
        <w:t>标项</w:t>
      </w:r>
      <w:r>
        <w:rPr>
          <w:rFonts w:hint="eastAsia" w:ascii="宋体" w:hAnsi="宋体" w:cs="宋体"/>
          <w:color w:val="000000" w:themeColor="text1"/>
          <w:sz w:val="28"/>
          <w:szCs w:val="28"/>
          <w:highlight w:val="none"/>
          <w:lang w:val="en-US" w:eastAsia="zh-CN"/>
          <w14:textFill>
            <w14:solidFill>
              <w14:schemeClr w14:val="tx1"/>
            </w14:solidFill>
          </w14:textFill>
        </w:rPr>
        <w:t>1：无</w:t>
      </w:r>
    </w:p>
    <w:p w14:paraId="48C6DEE3">
      <w:pPr>
        <w:pageBreakBefore w:val="0"/>
        <w:kinsoku/>
        <w:wordWrap/>
        <w:overflowPunct/>
        <w:topLinePunct w:val="0"/>
        <w:autoSpaceDE/>
        <w:autoSpaceDN/>
        <w:bidi w:val="0"/>
        <w:adjustRightInd w:val="0"/>
        <w:snapToGrid w:val="0"/>
        <w:spacing w:line="560" w:lineRule="exact"/>
        <w:textAlignment w:val="auto"/>
        <w:rPr>
          <w:rFonts w:hint="eastAsia" w:ascii="宋体" w:hAnsi="宋体" w:cs="宋体"/>
          <w:color w:val="000000" w:themeColor="text1"/>
          <w:sz w:val="28"/>
          <w:szCs w:val="28"/>
          <w:highlight w:val="none"/>
          <w:lang w:val="en-US" w:eastAsia="zh-CN"/>
          <w14:textFill>
            <w14:solidFill>
              <w14:schemeClr w14:val="tx1"/>
            </w14:solidFill>
          </w14:textFill>
        </w:rPr>
      </w:pPr>
      <w:r>
        <w:rPr>
          <w:rFonts w:hint="eastAsia" w:ascii="宋体" w:hAnsi="宋体" w:cs="宋体"/>
          <w:color w:val="000000" w:themeColor="text1"/>
          <w:sz w:val="28"/>
          <w:szCs w:val="28"/>
          <w:highlight w:val="none"/>
          <w:lang w:val="en-US" w:eastAsia="zh-CN"/>
          <w14:textFill>
            <w14:solidFill>
              <w14:schemeClr w14:val="tx1"/>
            </w14:solidFill>
          </w14:textFill>
        </w:rPr>
        <w:t>标项2：无</w:t>
      </w:r>
    </w:p>
    <w:p w14:paraId="287B350A">
      <w:pPr>
        <w:pageBreakBefore w:val="0"/>
        <w:kinsoku/>
        <w:wordWrap/>
        <w:overflowPunct/>
        <w:topLinePunct w:val="0"/>
        <w:autoSpaceDE/>
        <w:autoSpaceDN/>
        <w:bidi w:val="0"/>
        <w:adjustRightInd w:val="0"/>
        <w:snapToGrid w:val="0"/>
        <w:spacing w:line="560" w:lineRule="exact"/>
        <w:textAlignment w:val="auto"/>
        <w:rPr>
          <w:rFonts w:hint="eastAsia" w:ascii="宋体" w:hAnsi="宋体" w:cs="宋体"/>
          <w:color w:val="000000" w:themeColor="text1"/>
          <w:sz w:val="28"/>
          <w:szCs w:val="28"/>
          <w:highlight w:val="none"/>
          <w:lang w:val="en-US" w:eastAsia="zh-CN"/>
          <w14:textFill>
            <w14:solidFill>
              <w14:schemeClr w14:val="tx1"/>
            </w14:solidFill>
          </w14:textFill>
        </w:rPr>
      </w:pPr>
      <w:r>
        <w:rPr>
          <w:rFonts w:hint="eastAsia" w:ascii="宋体" w:hAnsi="宋体" w:cs="宋体"/>
          <w:color w:val="000000" w:themeColor="text1"/>
          <w:sz w:val="28"/>
          <w:szCs w:val="28"/>
          <w:highlight w:val="none"/>
          <w:lang w:val="en-US" w:eastAsia="zh-CN"/>
          <w14:textFill>
            <w14:solidFill>
              <w14:schemeClr w14:val="tx1"/>
            </w14:solidFill>
          </w14:textFill>
        </w:rPr>
        <w:t>标项3：无</w:t>
      </w:r>
    </w:p>
    <w:p w14:paraId="270891AF">
      <w:pPr>
        <w:pageBreakBefore w:val="0"/>
        <w:kinsoku/>
        <w:wordWrap/>
        <w:overflowPunct/>
        <w:topLinePunct w:val="0"/>
        <w:autoSpaceDE/>
        <w:autoSpaceDN/>
        <w:bidi w:val="0"/>
        <w:adjustRightInd w:val="0"/>
        <w:snapToGrid w:val="0"/>
        <w:spacing w:line="560" w:lineRule="exact"/>
        <w:textAlignment w:val="auto"/>
        <w:rPr>
          <w:rFonts w:hint="eastAsia" w:ascii="宋体" w:hAnsi="宋体" w:cs="宋体"/>
          <w:color w:val="000000" w:themeColor="text1"/>
          <w:sz w:val="28"/>
          <w:szCs w:val="28"/>
          <w:highlight w:val="none"/>
          <w:lang w:val="en-US" w:eastAsia="zh-CN"/>
          <w14:textFill>
            <w14:solidFill>
              <w14:schemeClr w14:val="tx1"/>
            </w14:solidFill>
          </w14:textFill>
        </w:rPr>
      </w:pPr>
      <w:r>
        <w:rPr>
          <w:rFonts w:hint="eastAsia" w:ascii="宋体" w:hAnsi="宋体" w:cs="宋体"/>
          <w:color w:val="000000" w:themeColor="text1"/>
          <w:sz w:val="28"/>
          <w:szCs w:val="28"/>
          <w:highlight w:val="none"/>
          <w:lang w:val="en-US" w:eastAsia="zh-CN"/>
          <w14:textFill>
            <w14:solidFill>
              <w14:schemeClr w14:val="tx1"/>
            </w14:solidFill>
          </w14:textFill>
        </w:rPr>
        <w:t>标项4：</w:t>
      </w:r>
    </w:p>
    <w:p w14:paraId="62F156E5">
      <w:pPr>
        <w:pageBreakBefore w:val="0"/>
        <w:kinsoku/>
        <w:wordWrap/>
        <w:overflowPunct/>
        <w:topLinePunct w:val="0"/>
        <w:autoSpaceDE/>
        <w:autoSpaceDN/>
        <w:bidi w:val="0"/>
        <w:adjustRightInd w:val="0"/>
        <w:snapToGrid w:val="0"/>
        <w:spacing w:line="560" w:lineRule="exact"/>
        <w:textAlignment w:val="auto"/>
        <w:rPr>
          <w:rFonts w:hint="eastAsia" w:ascii="宋体" w:hAnsi="宋体" w:cs="宋体"/>
          <w:color w:val="000000" w:themeColor="text1"/>
          <w:sz w:val="28"/>
          <w:szCs w:val="28"/>
          <w:highlight w:val="none"/>
          <w:lang w:val="en-US" w:eastAsia="zh-CN"/>
          <w14:textFill>
            <w14:solidFill>
              <w14:schemeClr w14:val="tx1"/>
            </w14:solidFill>
          </w14:textFill>
        </w:rPr>
      </w:pPr>
      <w:r>
        <w:rPr>
          <w:rFonts w:hint="eastAsia" w:ascii="宋体" w:hAnsi="宋体" w:cs="宋体"/>
          <w:b w:val="0"/>
          <w:bCs/>
          <w:color w:val="000000" w:themeColor="text1"/>
          <w:sz w:val="28"/>
          <w:szCs w:val="28"/>
          <w:highlight w:val="none"/>
          <w:lang w:eastAsia="zh-CN"/>
          <w14:textFill>
            <w14:solidFill>
              <w14:schemeClr w14:val="tx1"/>
            </w14:solidFill>
          </w14:textFill>
        </w:rPr>
        <w:t>（1）供应商为制造商需提供《医疗器械生产许可证》 及投标产品《医疗器械注册证》；（2）供应商为代理商需提供有效的行政主管部门颁发的《医疗器械经营备案证》</w:t>
      </w:r>
      <w:r>
        <w:rPr>
          <w:rFonts w:hint="eastAsia" w:ascii="宋体" w:hAnsi="宋体" w:cs="宋体"/>
          <w:b w:val="0"/>
          <w:bCs/>
          <w:color w:val="000000" w:themeColor="text1"/>
          <w:sz w:val="28"/>
          <w:szCs w:val="28"/>
          <w:highlight w:val="none"/>
          <w:lang w:val="en-US" w:eastAsia="zh-CN"/>
          <w14:textFill>
            <w14:solidFill>
              <w14:schemeClr w14:val="tx1"/>
            </w14:solidFill>
          </w14:textFill>
        </w:rPr>
        <w:t>和</w:t>
      </w:r>
      <w:r>
        <w:rPr>
          <w:rFonts w:hint="eastAsia" w:ascii="宋体" w:hAnsi="宋体" w:cs="宋体"/>
          <w:b w:val="0"/>
          <w:bCs/>
          <w:color w:val="000000" w:themeColor="text1"/>
          <w:sz w:val="28"/>
          <w:szCs w:val="28"/>
          <w:highlight w:val="none"/>
          <w:lang w:eastAsia="zh-CN"/>
          <w14:textFill>
            <w14:solidFill>
              <w14:schemeClr w14:val="tx1"/>
            </w14:solidFill>
          </w14:textFill>
        </w:rPr>
        <w:t>《医疗器械经营许可证》及制造商的《医疗器械生产许可证》和投标产品《医疗器械注册证》；</w:t>
      </w:r>
    </w:p>
    <w:p w14:paraId="599B989A">
      <w:pPr>
        <w:pStyle w:val="3"/>
        <w:keepNext/>
        <w:keepLines/>
        <w:pageBreakBefore w:val="0"/>
        <w:widowControl w:val="0"/>
        <w:kinsoku/>
        <w:wordWrap/>
        <w:overflowPunct/>
        <w:topLinePunct w:val="0"/>
        <w:autoSpaceDE/>
        <w:autoSpaceDN/>
        <w:bidi w:val="0"/>
        <w:adjustRightInd/>
        <w:snapToGrid/>
        <w:spacing w:before="0" w:after="0" w:line="560" w:lineRule="exact"/>
        <w:ind w:left="0" w:leftChars="0"/>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三、获取采购文件：</w:t>
      </w:r>
    </w:p>
    <w:p w14:paraId="55E37E9E">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时间：</w:t>
      </w:r>
      <w:r>
        <w:rPr>
          <w:rFonts w:hint="eastAsia" w:ascii="宋体" w:hAnsi="宋体" w:eastAsia="宋体" w:cs="宋体"/>
          <w:b/>
          <w:bCs/>
          <w:color w:val="000000" w:themeColor="text1"/>
          <w:sz w:val="28"/>
          <w:szCs w:val="28"/>
          <w:highlight w:val="none"/>
          <w:u w:val="single"/>
          <w14:textFill>
            <w14:solidFill>
              <w14:schemeClr w14:val="tx1"/>
            </w14:solidFill>
          </w14:textFill>
        </w:rPr>
        <w:t>202</w:t>
      </w:r>
      <w:r>
        <w:rPr>
          <w:rFonts w:hint="eastAsia" w:ascii="宋体" w:hAnsi="宋体" w:cs="宋体"/>
          <w:b/>
          <w:bCs/>
          <w:color w:val="000000" w:themeColor="text1"/>
          <w:sz w:val="28"/>
          <w:szCs w:val="28"/>
          <w:highlight w:val="none"/>
          <w:u w:val="single"/>
          <w:lang w:val="en-US" w:eastAsia="zh-CN"/>
          <w14:textFill>
            <w14:solidFill>
              <w14:schemeClr w14:val="tx1"/>
            </w14:solidFill>
          </w14:textFill>
        </w:rPr>
        <w:t>5</w:t>
      </w:r>
      <w:r>
        <w:rPr>
          <w:rFonts w:hint="eastAsia" w:ascii="宋体" w:hAnsi="宋体" w:eastAsia="宋体" w:cs="宋体"/>
          <w:b/>
          <w:bCs/>
          <w:color w:val="000000" w:themeColor="text1"/>
          <w:sz w:val="28"/>
          <w:szCs w:val="28"/>
          <w:highlight w:val="none"/>
          <w:u w:val="single"/>
          <w14:textFill>
            <w14:solidFill>
              <w14:schemeClr w14:val="tx1"/>
            </w14:solidFill>
          </w14:textFill>
        </w:rPr>
        <w:t>年</w:t>
      </w:r>
      <w:r>
        <w:rPr>
          <w:rFonts w:hint="eastAsia" w:ascii="宋体" w:hAnsi="宋体" w:cs="宋体"/>
          <w:b/>
          <w:bCs/>
          <w:color w:val="000000" w:themeColor="text1"/>
          <w:sz w:val="28"/>
          <w:szCs w:val="28"/>
          <w:highlight w:val="none"/>
          <w:u w:val="single"/>
          <w:lang w:val="en-US" w:eastAsia="zh-CN"/>
          <w14:textFill>
            <w14:solidFill>
              <w14:schemeClr w14:val="tx1"/>
            </w14:solidFill>
          </w14:textFill>
        </w:rPr>
        <w:t>06</w:t>
      </w:r>
      <w:r>
        <w:rPr>
          <w:rFonts w:hint="eastAsia" w:ascii="宋体" w:hAnsi="宋体" w:eastAsia="宋体" w:cs="宋体"/>
          <w:b/>
          <w:bCs/>
          <w:color w:val="000000" w:themeColor="text1"/>
          <w:sz w:val="28"/>
          <w:szCs w:val="28"/>
          <w:highlight w:val="none"/>
          <w:u w:val="single"/>
          <w14:textFill>
            <w14:solidFill>
              <w14:schemeClr w14:val="tx1"/>
            </w14:solidFill>
          </w14:textFill>
        </w:rPr>
        <w:t>月</w:t>
      </w:r>
      <w:r>
        <w:rPr>
          <w:rFonts w:hint="eastAsia" w:ascii="宋体" w:hAnsi="宋体" w:cs="宋体"/>
          <w:b/>
          <w:bCs/>
          <w:color w:val="000000" w:themeColor="text1"/>
          <w:sz w:val="28"/>
          <w:szCs w:val="28"/>
          <w:highlight w:val="none"/>
          <w:u w:val="single"/>
          <w:lang w:val="en-US" w:eastAsia="zh-CN"/>
          <w14:textFill>
            <w14:solidFill>
              <w14:schemeClr w14:val="tx1"/>
            </w14:solidFill>
          </w14:textFill>
        </w:rPr>
        <w:t>27</w:t>
      </w:r>
      <w:r>
        <w:rPr>
          <w:rFonts w:hint="eastAsia" w:ascii="宋体" w:hAnsi="宋体" w:eastAsia="宋体" w:cs="宋体"/>
          <w:b/>
          <w:bCs/>
          <w:color w:val="000000" w:themeColor="text1"/>
          <w:sz w:val="28"/>
          <w:szCs w:val="28"/>
          <w:highlight w:val="none"/>
          <w:u w:val="single"/>
          <w14:textFill>
            <w14:solidFill>
              <w14:schemeClr w14:val="tx1"/>
            </w14:solidFill>
          </w14:textFill>
        </w:rPr>
        <w:t>日</w:t>
      </w:r>
      <w:r>
        <w:rPr>
          <w:rFonts w:hint="eastAsia" w:ascii="宋体" w:hAnsi="宋体" w:eastAsia="宋体" w:cs="宋体"/>
          <w:b/>
          <w:bCs/>
          <w:color w:val="000000" w:themeColor="text1"/>
          <w:sz w:val="28"/>
          <w:szCs w:val="28"/>
          <w:highlight w:val="none"/>
          <w14:textFill>
            <w14:solidFill>
              <w14:schemeClr w14:val="tx1"/>
            </w14:solidFill>
          </w14:textFill>
        </w:rPr>
        <w:t>至</w:t>
      </w:r>
      <w:r>
        <w:rPr>
          <w:rFonts w:hint="eastAsia" w:ascii="宋体" w:hAnsi="宋体" w:eastAsia="宋体" w:cs="宋体"/>
          <w:b/>
          <w:bCs/>
          <w:color w:val="000000" w:themeColor="text1"/>
          <w:sz w:val="28"/>
          <w:szCs w:val="28"/>
          <w:highlight w:val="none"/>
          <w:u w:val="single"/>
          <w14:textFill>
            <w14:solidFill>
              <w14:schemeClr w14:val="tx1"/>
            </w14:solidFill>
          </w14:textFill>
        </w:rPr>
        <w:t>202</w:t>
      </w:r>
      <w:r>
        <w:rPr>
          <w:rFonts w:hint="eastAsia" w:ascii="宋体" w:hAnsi="宋体" w:cs="宋体"/>
          <w:b/>
          <w:bCs/>
          <w:color w:val="000000" w:themeColor="text1"/>
          <w:sz w:val="28"/>
          <w:szCs w:val="28"/>
          <w:highlight w:val="none"/>
          <w:u w:val="single"/>
          <w:lang w:val="en-US" w:eastAsia="zh-CN"/>
          <w14:textFill>
            <w14:solidFill>
              <w14:schemeClr w14:val="tx1"/>
            </w14:solidFill>
          </w14:textFill>
        </w:rPr>
        <w:t>5</w:t>
      </w:r>
      <w:r>
        <w:rPr>
          <w:rFonts w:hint="eastAsia" w:ascii="宋体" w:hAnsi="宋体" w:eastAsia="宋体" w:cs="宋体"/>
          <w:b/>
          <w:bCs/>
          <w:color w:val="000000" w:themeColor="text1"/>
          <w:sz w:val="28"/>
          <w:szCs w:val="28"/>
          <w:highlight w:val="none"/>
          <w:u w:val="single"/>
          <w14:textFill>
            <w14:solidFill>
              <w14:schemeClr w14:val="tx1"/>
            </w14:solidFill>
          </w14:textFill>
        </w:rPr>
        <w:t>年</w:t>
      </w:r>
      <w:r>
        <w:rPr>
          <w:rFonts w:hint="eastAsia" w:ascii="宋体" w:hAnsi="宋体" w:cs="宋体"/>
          <w:b/>
          <w:bCs/>
          <w:color w:val="000000" w:themeColor="text1"/>
          <w:sz w:val="28"/>
          <w:szCs w:val="28"/>
          <w:highlight w:val="none"/>
          <w:u w:val="single"/>
          <w:lang w:val="en-US" w:eastAsia="zh-CN"/>
          <w14:textFill>
            <w14:solidFill>
              <w14:schemeClr w14:val="tx1"/>
            </w14:solidFill>
          </w14:textFill>
        </w:rPr>
        <w:t>07</w:t>
      </w:r>
      <w:r>
        <w:rPr>
          <w:rFonts w:hint="eastAsia" w:ascii="宋体" w:hAnsi="宋体" w:eastAsia="宋体" w:cs="宋体"/>
          <w:b/>
          <w:bCs/>
          <w:color w:val="000000" w:themeColor="text1"/>
          <w:sz w:val="28"/>
          <w:szCs w:val="28"/>
          <w:highlight w:val="none"/>
          <w:u w:val="single"/>
          <w14:textFill>
            <w14:solidFill>
              <w14:schemeClr w14:val="tx1"/>
            </w14:solidFill>
          </w14:textFill>
        </w:rPr>
        <w:t>月</w:t>
      </w:r>
      <w:r>
        <w:rPr>
          <w:rFonts w:hint="eastAsia" w:ascii="宋体" w:hAnsi="宋体" w:cs="宋体"/>
          <w:b/>
          <w:bCs/>
          <w:color w:val="000000" w:themeColor="text1"/>
          <w:sz w:val="28"/>
          <w:szCs w:val="28"/>
          <w:highlight w:val="none"/>
          <w:u w:val="single"/>
          <w:lang w:val="en-US" w:eastAsia="zh-CN"/>
          <w14:textFill>
            <w14:solidFill>
              <w14:schemeClr w14:val="tx1"/>
            </w14:solidFill>
          </w14:textFill>
        </w:rPr>
        <w:t>03</w:t>
      </w:r>
      <w:r>
        <w:rPr>
          <w:rFonts w:hint="eastAsia" w:ascii="宋体" w:hAnsi="宋体" w:eastAsia="宋体" w:cs="宋体"/>
          <w:b/>
          <w:bCs/>
          <w:color w:val="000000" w:themeColor="text1"/>
          <w:sz w:val="28"/>
          <w:szCs w:val="28"/>
          <w:highlight w:val="none"/>
          <w:u w:val="single"/>
          <w14:textFill>
            <w14:solidFill>
              <w14:schemeClr w14:val="tx1"/>
            </w14:solidFill>
          </w14:textFill>
        </w:rPr>
        <w:t>日</w:t>
      </w:r>
      <w:r>
        <w:rPr>
          <w:rFonts w:hint="eastAsia" w:ascii="宋体" w:hAnsi="宋体" w:eastAsia="宋体" w:cs="宋体"/>
          <w:color w:val="000000" w:themeColor="text1"/>
          <w:sz w:val="28"/>
          <w:szCs w:val="28"/>
          <w:highlight w:val="none"/>
          <w:u w:val="single"/>
          <w14:textFill>
            <w14:solidFill>
              <w14:schemeClr w14:val="tx1"/>
            </w14:solidFill>
          </w14:textFill>
        </w:rPr>
        <w:t>（招标文件的发售期限自开始之日起不得少于5个工作日）</w:t>
      </w:r>
      <w:r>
        <w:rPr>
          <w:rFonts w:hint="eastAsia" w:ascii="宋体" w:hAnsi="宋体" w:eastAsia="宋体" w:cs="宋体"/>
          <w:color w:val="000000" w:themeColor="text1"/>
          <w:sz w:val="28"/>
          <w:szCs w:val="28"/>
          <w:highlight w:val="none"/>
          <w14:textFill>
            <w14:solidFill>
              <w14:schemeClr w14:val="tx1"/>
            </w14:solidFill>
          </w14:textFill>
        </w:rPr>
        <w:t>，每天上午</w:t>
      </w:r>
      <w:r>
        <w:rPr>
          <w:rFonts w:hint="eastAsia" w:ascii="宋体" w:hAnsi="宋体" w:eastAsia="宋体" w:cs="宋体"/>
          <w:color w:val="000000" w:themeColor="text1"/>
          <w:sz w:val="28"/>
          <w:szCs w:val="28"/>
          <w:highlight w:val="none"/>
          <w:u w:val="single"/>
          <w14:textFill>
            <w14:solidFill>
              <w14:schemeClr w14:val="tx1"/>
            </w14:solidFill>
          </w14:textFill>
        </w:rPr>
        <w:t>0</w:t>
      </w:r>
      <w:r>
        <w:rPr>
          <w:rFonts w:hint="eastAsia" w:ascii="宋体" w:hAnsi="宋体" w:cs="宋体"/>
          <w:color w:val="000000" w:themeColor="text1"/>
          <w:sz w:val="28"/>
          <w:szCs w:val="28"/>
          <w:highlight w:val="none"/>
          <w:u w:val="single"/>
          <w:lang w:val="en-US" w:eastAsia="zh-CN"/>
          <w14:textFill>
            <w14:solidFill>
              <w14:schemeClr w14:val="tx1"/>
            </w14:solidFill>
          </w14:textFill>
        </w:rPr>
        <w:t>0</w:t>
      </w:r>
      <w:r>
        <w:rPr>
          <w:rFonts w:hint="eastAsia" w:ascii="宋体" w:hAnsi="宋体" w:eastAsia="宋体" w:cs="宋体"/>
          <w:color w:val="000000" w:themeColor="text1"/>
          <w:sz w:val="28"/>
          <w:szCs w:val="28"/>
          <w:highlight w:val="none"/>
          <w:u w:val="single"/>
          <w14:textFill>
            <w14:solidFill>
              <w14:schemeClr w14:val="tx1"/>
            </w14:solidFill>
          </w14:textFill>
        </w:rPr>
        <w:t>：</w:t>
      </w:r>
      <w:r>
        <w:rPr>
          <w:rFonts w:hint="eastAsia" w:ascii="宋体" w:hAnsi="宋体" w:cs="宋体"/>
          <w:color w:val="000000" w:themeColor="text1"/>
          <w:sz w:val="28"/>
          <w:szCs w:val="28"/>
          <w:highlight w:val="none"/>
          <w:u w:val="single"/>
          <w:lang w:val="en-US" w:eastAsia="zh-CN"/>
          <w14:textFill>
            <w14:solidFill>
              <w14:schemeClr w14:val="tx1"/>
            </w14:solidFill>
          </w14:textFill>
        </w:rPr>
        <w:t>0</w:t>
      </w:r>
      <w:r>
        <w:rPr>
          <w:rFonts w:hint="eastAsia" w:ascii="宋体" w:hAnsi="宋体" w:eastAsia="宋体" w:cs="宋体"/>
          <w:color w:val="000000" w:themeColor="text1"/>
          <w:sz w:val="28"/>
          <w:szCs w:val="28"/>
          <w:highlight w:val="none"/>
          <w:u w:val="single"/>
          <w14:textFill>
            <w14:solidFill>
              <w14:schemeClr w14:val="tx1"/>
            </w14:solidFill>
          </w14:textFill>
        </w:rPr>
        <w:t>0</w:t>
      </w:r>
      <w:r>
        <w:rPr>
          <w:rFonts w:hint="eastAsia" w:ascii="宋体" w:hAnsi="宋体" w:eastAsia="宋体" w:cs="宋体"/>
          <w:color w:val="000000" w:themeColor="text1"/>
          <w:sz w:val="28"/>
          <w:szCs w:val="28"/>
          <w:highlight w:val="none"/>
          <w14:textFill>
            <w14:solidFill>
              <w14:schemeClr w14:val="tx1"/>
            </w14:solidFill>
          </w14:textFill>
        </w:rPr>
        <w:t>至</w:t>
      </w:r>
      <w:r>
        <w:rPr>
          <w:rFonts w:hint="eastAsia" w:ascii="宋体" w:hAnsi="宋体" w:eastAsia="宋体" w:cs="宋体"/>
          <w:color w:val="000000" w:themeColor="text1"/>
          <w:sz w:val="28"/>
          <w:szCs w:val="28"/>
          <w:highlight w:val="none"/>
          <w:u w:val="single"/>
          <w14:textFill>
            <w14:solidFill>
              <w14:schemeClr w14:val="tx1"/>
            </w14:solidFill>
          </w14:textFill>
        </w:rPr>
        <w:t>1</w:t>
      </w:r>
      <w:r>
        <w:rPr>
          <w:rFonts w:hint="eastAsia" w:ascii="宋体" w:hAnsi="宋体" w:cs="宋体"/>
          <w:color w:val="000000" w:themeColor="text1"/>
          <w:sz w:val="28"/>
          <w:szCs w:val="28"/>
          <w:highlight w:val="none"/>
          <w:u w:val="single"/>
          <w:lang w:val="en-US" w:eastAsia="zh-CN"/>
          <w14:textFill>
            <w14:solidFill>
              <w14:schemeClr w14:val="tx1"/>
            </w14:solidFill>
          </w14:textFill>
        </w:rPr>
        <w:t>4</w:t>
      </w:r>
      <w:r>
        <w:rPr>
          <w:rFonts w:hint="eastAsia" w:ascii="宋体" w:hAnsi="宋体" w:eastAsia="宋体" w:cs="宋体"/>
          <w:color w:val="000000" w:themeColor="text1"/>
          <w:sz w:val="28"/>
          <w:szCs w:val="28"/>
          <w:highlight w:val="none"/>
          <w:u w:val="single"/>
          <w14:textFill>
            <w14:solidFill>
              <w14:schemeClr w14:val="tx1"/>
            </w14:solidFill>
          </w14:textFill>
        </w:rPr>
        <w:t>：</w:t>
      </w:r>
      <w:r>
        <w:rPr>
          <w:rFonts w:hint="eastAsia" w:ascii="宋体" w:hAnsi="宋体" w:cs="宋体"/>
          <w:color w:val="000000" w:themeColor="text1"/>
          <w:sz w:val="28"/>
          <w:szCs w:val="28"/>
          <w:highlight w:val="none"/>
          <w:u w:val="single"/>
          <w:lang w:val="en-US" w:eastAsia="zh-CN"/>
          <w14:textFill>
            <w14:solidFill>
              <w14:schemeClr w14:val="tx1"/>
            </w14:solidFill>
          </w14:textFill>
        </w:rPr>
        <w:t>0</w:t>
      </w:r>
      <w:r>
        <w:rPr>
          <w:rFonts w:hint="eastAsia" w:ascii="宋体" w:hAnsi="宋体" w:eastAsia="宋体" w:cs="宋体"/>
          <w:color w:val="000000" w:themeColor="text1"/>
          <w:sz w:val="28"/>
          <w:szCs w:val="28"/>
          <w:highlight w:val="none"/>
          <w:u w:val="single"/>
          <w14:textFill>
            <w14:solidFill>
              <w14:schemeClr w14:val="tx1"/>
            </w14:solidFill>
          </w14:textFill>
        </w:rPr>
        <w:t>0</w:t>
      </w:r>
      <w:r>
        <w:rPr>
          <w:rFonts w:hint="eastAsia" w:ascii="宋体" w:hAnsi="宋体" w:eastAsia="宋体" w:cs="宋体"/>
          <w:color w:val="000000" w:themeColor="text1"/>
          <w:sz w:val="28"/>
          <w:szCs w:val="28"/>
          <w:highlight w:val="none"/>
          <w14:textFill>
            <w14:solidFill>
              <w14:schemeClr w14:val="tx1"/>
            </w14:solidFill>
          </w14:textFill>
        </w:rPr>
        <w:t>，下午</w:t>
      </w:r>
      <w:r>
        <w:rPr>
          <w:rFonts w:hint="eastAsia" w:ascii="宋体" w:hAnsi="宋体" w:eastAsia="宋体" w:cs="宋体"/>
          <w:color w:val="000000" w:themeColor="text1"/>
          <w:sz w:val="28"/>
          <w:szCs w:val="28"/>
          <w:highlight w:val="none"/>
          <w:u w:val="single"/>
          <w14:textFill>
            <w14:solidFill>
              <w14:schemeClr w14:val="tx1"/>
            </w14:solidFill>
          </w14:textFill>
        </w:rPr>
        <w:t>1</w:t>
      </w:r>
      <w:r>
        <w:rPr>
          <w:rFonts w:hint="eastAsia" w:ascii="宋体" w:hAnsi="宋体" w:cs="宋体"/>
          <w:color w:val="000000" w:themeColor="text1"/>
          <w:sz w:val="28"/>
          <w:szCs w:val="28"/>
          <w:highlight w:val="none"/>
          <w:u w:val="single"/>
          <w:lang w:val="en-US" w:eastAsia="zh-CN"/>
          <w14:textFill>
            <w14:solidFill>
              <w14:schemeClr w14:val="tx1"/>
            </w14:solidFill>
          </w14:textFill>
        </w:rPr>
        <w:t>4</w:t>
      </w:r>
      <w:r>
        <w:rPr>
          <w:rFonts w:hint="eastAsia" w:ascii="宋体" w:hAnsi="宋体" w:eastAsia="宋体" w:cs="宋体"/>
          <w:color w:val="000000" w:themeColor="text1"/>
          <w:sz w:val="28"/>
          <w:szCs w:val="28"/>
          <w:highlight w:val="none"/>
          <w:u w:val="single"/>
          <w14:textFill>
            <w14:solidFill>
              <w14:schemeClr w14:val="tx1"/>
            </w14:solidFill>
          </w14:textFill>
        </w:rPr>
        <w:t>：</w:t>
      </w:r>
      <w:r>
        <w:rPr>
          <w:rFonts w:hint="eastAsia" w:ascii="宋体" w:hAnsi="宋体" w:cs="宋体"/>
          <w:color w:val="000000" w:themeColor="text1"/>
          <w:sz w:val="28"/>
          <w:szCs w:val="28"/>
          <w:highlight w:val="none"/>
          <w:u w:val="single"/>
          <w:lang w:val="en-US" w:eastAsia="zh-CN"/>
          <w14:textFill>
            <w14:solidFill>
              <w14:schemeClr w14:val="tx1"/>
            </w14:solidFill>
          </w14:textFill>
        </w:rPr>
        <w:t>0</w:t>
      </w:r>
      <w:r>
        <w:rPr>
          <w:rFonts w:hint="eastAsia" w:ascii="宋体" w:hAnsi="宋体" w:eastAsia="宋体" w:cs="宋体"/>
          <w:color w:val="000000" w:themeColor="text1"/>
          <w:sz w:val="28"/>
          <w:szCs w:val="28"/>
          <w:highlight w:val="none"/>
          <w:u w:val="single"/>
          <w14:textFill>
            <w14:solidFill>
              <w14:schemeClr w14:val="tx1"/>
            </w14:solidFill>
          </w14:textFill>
        </w:rPr>
        <w:t>0</w:t>
      </w:r>
      <w:r>
        <w:rPr>
          <w:rFonts w:hint="eastAsia" w:ascii="宋体" w:hAnsi="宋体" w:eastAsia="宋体" w:cs="宋体"/>
          <w:color w:val="000000" w:themeColor="text1"/>
          <w:sz w:val="28"/>
          <w:szCs w:val="28"/>
          <w:highlight w:val="none"/>
          <w14:textFill>
            <w14:solidFill>
              <w14:schemeClr w14:val="tx1"/>
            </w14:solidFill>
          </w14:textFill>
        </w:rPr>
        <w:t>至</w:t>
      </w:r>
      <w:r>
        <w:rPr>
          <w:rFonts w:hint="eastAsia" w:ascii="宋体" w:hAnsi="宋体" w:cs="宋体"/>
          <w:color w:val="000000" w:themeColor="text1"/>
          <w:sz w:val="28"/>
          <w:szCs w:val="28"/>
          <w:highlight w:val="none"/>
          <w:u w:val="single"/>
          <w:lang w:val="en-US" w:eastAsia="zh-CN"/>
          <w14:textFill>
            <w14:solidFill>
              <w14:schemeClr w14:val="tx1"/>
            </w14:solidFill>
          </w14:textFill>
        </w:rPr>
        <w:t>23</w:t>
      </w:r>
      <w:r>
        <w:rPr>
          <w:rFonts w:hint="eastAsia" w:ascii="宋体" w:hAnsi="宋体" w:eastAsia="宋体" w:cs="宋体"/>
          <w:color w:val="000000" w:themeColor="text1"/>
          <w:sz w:val="28"/>
          <w:szCs w:val="28"/>
          <w:highlight w:val="none"/>
          <w:u w:val="single"/>
          <w14:textFill>
            <w14:solidFill>
              <w14:schemeClr w14:val="tx1"/>
            </w14:solidFill>
          </w14:textFill>
        </w:rPr>
        <w:t>:</w:t>
      </w:r>
      <w:r>
        <w:rPr>
          <w:rFonts w:hint="eastAsia" w:ascii="宋体" w:hAnsi="宋体" w:cs="宋体"/>
          <w:color w:val="000000" w:themeColor="text1"/>
          <w:sz w:val="28"/>
          <w:szCs w:val="28"/>
          <w:highlight w:val="none"/>
          <w:u w:val="single"/>
          <w:lang w:val="en-US" w:eastAsia="zh-CN"/>
          <w14:textFill>
            <w14:solidFill>
              <w14:schemeClr w14:val="tx1"/>
            </w14:solidFill>
          </w14:textFill>
        </w:rPr>
        <w:t>59</w:t>
      </w:r>
      <w:r>
        <w:rPr>
          <w:rFonts w:hint="eastAsia" w:ascii="宋体" w:hAnsi="宋体" w:eastAsia="宋体" w:cs="宋体"/>
          <w:color w:val="000000" w:themeColor="text1"/>
          <w:sz w:val="28"/>
          <w:szCs w:val="28"/>
          <w:highlight w:val="none"/>
          <w14:textFill>
            <w14:solidFill>
              <w14:schemeClr w14:val="tx1"/>
            </w14:solidFill>
          </w14:textFill>
        </w:rPr>
        <w:t>（北京时间，法定节假日除外 ）</w:t>
      </w:r>
    </w:p>
    <w:p w14:paraId="48835042">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宋体" w:hAnsi="宋体" w:eastAsia="宋体" w:cs="宋体"/>
          <w:color w:val="000000" w:themeColor="text1"/>
          <w:sz w:val="28"/>
          <w:szCs w:val="28"/>
          <w:highlight w:val="none"/>
          <w:u w:val="singl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地点：新疆政府采购网（http://www.ccgp-xinjiang.gov.cn）政采云平台线上获取</w:t>
      </w:r>
    </w:p>
    <w:p w14:paraId="5D611FC2">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方式：供应商登录政采云平台https://www.zcygov.cn/在线申请获取采购文件（进入“项目采购”应用，在获取采购文件菜单中选择项目，申请获取采购文件）。</w:t>
      </w:r>
    </w:p>
    <w:p w14:paraId="57CA7D81">
      <w:pPr>
        <w:pStyle w:val="3"/>
        <w:keepNext/>
        <w:keepLines/>
        <w:pageBreakBefore w:val="0"/>
        <w:widowControl w:val="0"/>
        <w:kinsoku/>
        <w:wordWrap/>
        <w:overflowPunct/>
        <w:topLinePunct w:val="0"/>
        <w:autoSpaceDE/>
        <w:autoSpaceDN/>
        <w:bidi w:val="0"/>
        <w:adjustRightInd/>
        <w:snapToGrid/>
        <w:spacing w:before="0" w:after="0" w:line="560" w:lineRule="exact"/>
        <w:ind w:left="0" w:leftChars="0"/>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四、响应文件截止时间、提交地址：</w:t>
      </w:r>
    </w:p>
    <w:p w14:paraId="6AC707F7">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宋体" w:hAnsi="宋体" w:eastAsia="宋体" w:cs="宋体"/>
          <w:bCs/>
          <w:color w:val="000000" w:themeColor="text1"/>
          <w:sz w:val="28"/>
          <w:szCs w:val="28"/>
          <w:highlight w:val="none"/>
          <w:u w:val="singl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截止时间：</w:t>
      </w:r>
      <w:r>
        <w:rPr>
          <w:rFonts w:hint="eastAsia" w:ascii="宋体" w:hAnsi="宋体" w:eastAsia="宋体" w:cs="宋体"/>
          <w:b/>
          <w:bCs/>
          <w:color w:val="000000" w:themeColor="text1"/>
          <w:sz w:val="28"/>
          <w:szCs w:val="28"/>
          <w:highlight w:val="none"/>
          <w:u w:val="single"/>
          <w14:textFill>
            <w14:solidFill>
              <w14:schemeClr w14:val="tx1"/>
            </w14:solidFill>
          </w14:textFill>
        </w:rPr>
        <w:t>202</w:t>
      </w:r>
      <w:r>
        <w:rPr>
          <w:rFonts w:hint="eastAsia" w:ascii="宋体" w:hAnsi="宋体" w:cs="宋体"/>
          <w:b/>
          <w:bCs/>
          <w:color w:val="000000" w:themeColor="text1"/>
          <w:sz w:val="28"/>
          <w:szCs w:val="28"/>
          <w:highlight w:val="none"/>
          <w:u w:val="single"/>
          <w:lang w:val="en-US" w:eastAsia="zh-CN"/>
          <w14:textFill>
            <w14:solidFill>
              <w14:schemeClr w14:val="tx1"/>
            </w14:solidFill>
          </w14:textFill>
        </w:rPr>
        <w:t>5</w:t>
      </w:r>
      <w:r>
        <w:rPr>
          <w:rFonts w:hint="eastAsia" w:ascii="宋体" w:hAnsi="宋体" w:eastAsia="宋体" w:cs="宋体"/>
          <w:b/>
          <w:bCs/>
          <w:color w:val="000000" w:themeColor="text1"/>
          <w:sz w:val="28"/>
          <w:szCs w:val="28"/>
          <w:highlight w:val="none"/>
          <w:u w:val="single"/>
          <w14:textFill>
            <w14:solidFill>
              <w14:schemeClr w14:val="tx1"/>
            </w14:solidFill>
          </w14:textFill>
        </w:rPr>
        <w:t>年</w:t>
      </w:r>
      <w:r>
        <w:rPr>
          <w:rFonts w:hint="eastAsia" w:ascii="宋体" w:hAnsi="宋体" w:cs="宋体"/>
          <w:b/>
          <w:bCs/>
          <w:color w:val="000000" w:themeColor="text1"/>
          <w:sz w:val="28"/>
          <w:szCs w:val="28"/>
          <w:highlight w:val="none"/>
          <w:u w:val="single"/>
          <w:lang w:val="en-US" w:eastAsia="zh-CN"/>
          <w14:textFill>
            <w14:solidFill>
              <w14:schemeClr w14:val="tx1"/>
            </w14:solidFill>
          </w14:textFill>
        </w:rPr>
        <w:t>07</w:t>
      </w:r>
      <w:r>
        <w:rPr>
          <w:rFonts w:hint="eastAsia" w:ascii="宋体" w:hAnsi="宋体" w:eastAsia="宋体" w:cs="宋体"/>
          <w:b/>
          <w:bCs/>
          <w:color w:val="000000" w:themeColor="text1"/>
          <w:sz w:val="28"/>
          <w:szCs w:val="28"/>
          <w:highlight w:val="none"/>
          <w:u w:val="single"/>
          <w14:textFill>
            <w14:solidFill>
              <w14:schemeClr w14:val="tx1"/>
            </w14:solidFill>
          </w14:textFill>
        </w:rPr>
        <w:t>月</w:t>
      </w:r>
      <w:r>
        <w:rPr>
          <w:rFonts w:hint="eastAsia" w:ascii="宋体" w:hAnsi="宋体" w:cs="宋体"/>
          <w:b/>
          <w:bCs/>
          <w:color w:val="000000" w:themeColor="text1"/>
          <w:sz w:val="28"/>
          <w:szCs w:val="28"/>
          <w:highlight w:val="none"/>
          <w:u w:val="single"/>
          <w:lang w:val="en-US" w:eastAsia="zh-CN"/>
          <w14:textFill>
            <w14:solidFill>
              <w14:schemeClr w14:val="tx1"/>
            </w14:solidFill>
          </w14:textFill>
        </w:rPr>
        <w:t>17</w:t>
      </w:r>
      <w:r>
        <w:rPr>
          <w:rFonts w:hint="eastAsia" w:ascii="宋体" w:hAnsi="宋体" w:eastAsia="宋体" w:cs="宋体"/>
          <w:b/>
          <w:bCs/>
          <w:color w:val="000000" w:themeColor="text1"/>
          <w:sz w:val="28"/>
          <w:szCs w:val="28"/>
          <w:highlight w:val="none"/>
          <w:u w:val="single"/>
          <w14:textFill>
            <w14:solidFill>
              <w14:schemeClr w14:val="tx1"/>
            </w14:solidFill>
          </w14:textFill>
        </w:rPr>
        <w:t>日1</w:t>
      </w:r>
      <w:r>
        <w:rPr>
          <w:rFonts w:hint="eastAsia" w:ascii="宋体" w:hAnsi="宋体" w:cs="宋体"/>
          <w:b/>
          <w:bCs/>
          <w:color w:val="000000" w:themeColor="text1"/>
          <w:sz w:val="28"/>
          <w:szCs w:val="28"/>
          <w:highlight w:val="none"/>
          <w:u w:val="single"/>
          <w:lang w:val="en-US" w:eastAsia="zh-CN"/>
          <w14:textFill>
            <w14:solidFill>
              <w14:schemeClr w14:val="tx1"/>
            </w14:solidFill>
          </w14:textFill>
        </w:rPr>
        <w:t>1</w:t>
      </w:r>
      <w:r>
        <w:rPr>
          <w:rFonts w:hint="eastAsia" w:ascii="宋体" w:hAnsi="宋体" w:eastAsia="宋体" w:cs="宋体"/>
          <w:b/>
          <w:bCs/>
          <w:color w:val="000000" w:themeColor="text1"/>
          <w:sz w:val="28"/>
          <w:szCs w:val="28"/>
          <w:highlight w:val="none"/>
          <w:u w:val="single"/>
          <w14:textFill>
            <w14:solidFill>
              <w14:schemeClr w14:val="tx1"/>
            </w14:solidFill>
          </w14:textFill>
        </w:rPr>
        <w:t>点00分</w:t>
      </w:r>
      <w:r>
        <w:rPr>
          <w:rFonts w:hint="eastAsia" w:ascii="宋体" w:hAnsi="宋体" w:eastAsia="宋体" w:cs="宋体"/>
          <w:bCs/>
          <w:color w:val="000000" w:themeColor="text1"/>
          <w:sz w:val="28"/>
          <w:szCs w:val="28"/>
          <w:highlight w:val="none"/>
          <w14:textFill>
            <w14:solidFill>
              <w14:schemeClr w14:val="tx1"/>
            </w14:solidFill>
          </w14:textFill>
        </w:rPr>
        <w:t>（北京时间）</w:t>
      </w:r>
    </w:p>
    <w:p w14:paraId="0D97C934">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提交地址：新疆政府采购网（</w:t>
      </w:r>
      <w:r>
        <w:rPr>
          <w:rFonts w:hint="eastAsia" w:ascii="宋体" w:hAnsi="宋体" w:eastAsia="宋体" w:cs="宋体"/>
          <w:color w:val="000000" w:themeColor="text1"/>
          <w:sz w:val="28"/>
          <w:szCs w:val="28"/>
          <w:highlight w:val="none"/>
          <w14:textFill>
            <w14:solidFill>
              <w14:schemeClr w14:val="tx1"/>
            </w14:solidFill>
          </w14:textFill>
        </w:rPr>
        <w:fldChar w:fldCharType="begin"/>
      </w:r>
      <w:r>
        <w:rPr>
          <w:rFonts w:hint="eastAsia" w:ascii="宋体" w:hAnsi="宋体" w:eastAsia="宋体" w:cs="宋体"/>
          <w:color w:val="000000" w:themeColor="text1"/>
          <w:sz w:val="28"/>
          <w:szCs w:val="28"/>
          <w:highlight w:val="none"/>
          <w14:textFill>
            <w14:solidFill>
              <w14:schemeClr w14:val="tx1"/>
            </w14:solidFill>
          </w14:textFill>
        </w:rPr>
        <w:instrText xml:space="preserve"> HYPERLINK "http://www.ccgp-xinjiang.gov.cn）政采" </w:instrText>
      </w:r>
      <w:r>
        <w:rPr>
          <w:rFonts w:hint="eastAsia" w:ascii="宋体" w:hAnsi="宋体" w:eastAsia="宋体" w:cs="宋体"/>
          <w:color w:val="000000" w:themeColor="text1"/>
          <w:sz w:val="28"/>
          <w:szCs w:val="28"/>
          <w:highlight w:val="none"/>
          <w14:textFill>
            <w14:solidFill>
              <w14:schemeClr w14:val="tx1"/>
            </w14:solidFill>
          </w14:textFill>
        </w:rPr>
        <w:fldChar w:fldCharType="separate"/>
      </w:r>
      <w:r>
        <w:rPr>
          <w:rStyle w:val="39"/>
          <w:rFonts w:hint="eastAsia" w:ascii="宋体" w:hAnsi="宋体" w:eastAsia="宋体" w:cs="宋体"/>
          <w:color w:val="000000" w:themeColor="text1"/>
          <w:sz w:val="28"/>
          <w:szCs w:val="28"/>
          <w:highlight w:val="none"/>
          <w14:textFill>
            <w14:solidFill>
              <w14:schemeClr w14:val="tx1"/>
            </w14:solidFill>
          </w14:textFill>
        </w:rPr>
        <w:t>http://www.ccgp-xinjiang.gov.cn）</w:t>
      </w:r>
      <w:r>
        <w:rPr>
          <w:rStyle w:val="39"/>
          <w:rFonts w:hint="eastAsia" w:ascii="宋体" w:hAnsi="宋体" w:eastAsia="宋体" w:cs="宋体"/>
          <w:color w:val="000000" w:themeColor="text1"/>
          <w:sz w:val="28"/>
          <w:szCs w:val="28"/>
          <w:highlight w:val="none"/>
          <w:u w:val="none"/>
          <w14:textFill>
            <w14:solidFill>
              <w14:schemeClr w14:val="tx1"/>
            </w14:solidFill>
          </w14:textFill>
        </w:rPr>
        <w:t>政采</w:t>
      </w:r>
      <w:r>
        <w:rPr>
          <w:rStyle w:val="39"/>
          <w:rFonts w:hint="eastAsia" w:ascii="宋体" w:hAnsi="宋体" w:eastAsia="宋体" w:cs="宋体"/>
          <w:color w:val="000000" w:themeColor="text1"/>
          <w:sz w:val="28"/>
          <w:szCs w:val="28"/>
          <w:highlight w:val="none"/>
          <w:u w:val="none"/>
          <w14:textFill>
            <w14:solidFill>
              <w14:schemeClr w14:val="tx1"/>
            </w14:solidFill>
          </w14:textFill>
        </w:rPr>
        <w:fldChar w:fldCharType="end"/>
      </w:r>
      <w:r>
        <w:rPr>
          <w:rFonts w:hint="eastAsia" w:ascii="宋体" w:hAnsi="宋体" w:eastAsia="宋体" w:cs="宋体"/>
          <w:color w:val="000000" w:themeColor="text1"/>
          <w:sz w:val="28"/>
          <w:szCs w:val="28"/>
          <w:highlight w:val="none"/>
          <w14:textFill>
            <w14:solidFill>
              <w14:schemeClr w14:val="tx1"/>
            </w14:solidFill>
          </w14:textFill>
        </w:rPr>
        <w:t>云投标客户端投标</w:t>
      </w:r>
    </w:p>
    <w:p w14:paraId="599AE795">
      <w:pPr>
        <w:pStyle w:val="3"/>
        <w:keepNext/>
        <w:keepLines/>
        <w:pageBreakBefore w:val="0"/>
        <w:widowControl w:val="0"/>
        <w:kinsoku/>
        <w:wordWrap/>
        <w:overflowPunct/>
        <w:topLinePunct w:val="0"/>
        <w:autoSpaceDE/>
        <w:autoSpaceDN/>
        <w:bidi w:val="0"/>
        <w:adjustRightInd/>
        <w:snapToGrid/>
        <w:spacing w:before="0" w:after="0" w:line="560" w:lineRule="exact"/>
        <w:ind w:left="0" w:leftChars="0"/>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五、提交投标文件截止时间、开标时间和地点：</w:t>
      </w:r>
    </w:p>
    <w:p w14:paraId="36A72633">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宋体" w:hAnsi="宋体" w:eastAsia="宋体" w:cs="宋体"/>
          <w:bCs/>
          <w:color w:val="000000" w:themeColor="text1"/>
          <w:sz w:val="28"/>
          <w:szCs w:val="28"/>
          <w:highlight w:val="none"/>
          <w:u w:val="singl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开标时间：</w:t>
      </w:r>
      <w:r>
        <w:rPr>
          <w:rFonts w:hint="eastAsia" w:ascii="宋体" w:hAnsi="宋体" w:eastAsia="宋体" w:cs="宋体"/>
          <w:b/>
          <w:bCs/>
          <w:color w:val="000000" w:themeColor="text1"/>
          <w:sz w:val="28"/>
          <w:szCs w:val="28"/>
          <w:highlight w:val="none"/>
          <w:u w:val="single"/>
          <w14:textFill>
            <w14:solidFill>
              <w14:schemeClr w14:val="tx1"/>
            </w14:solidFill>
          </w14:textFill>
        </w:rPr>
        <w:t>202</w:t>
      </w:r>
      <w:r>
        <w:rPr>
          <w:rFonts w:hint="eastAsia" w:ascii="宋体" w:hAnsi="宋体" w:cs="宋体"/>
          <w:b/>
          <w:bCs/>
          <w:color w:val="000000" w:themeColor="text1"/>
          <w:sz w:val="28"/>
          <w:szCs w:val="28"/>
          <w:highlight w:val="none"/>
          <w:u w:val="single"/>
          <w:lang w:val="en-US" w:eastAsia="zh-CN"/>
          <w14:textFill>
            <w14:solidFill>
              <w14:schemeClr w14:val="tx1"/>
            </w14:solidFill>
          </w14:textFill>
        </w:rPr>
        <w:t>5</w:t>
      </w:r>
      <w:r>
        <w:rPr>
          <w:rFonts w:hint="eastAsia" w:ascii="宋体" w:hAnsi="宋体" w:eastAsia="宋体" w:cs="宋体"/>
          <w:b/>
          <w:bCs/>
          <w:color w:val="000000" w:themeColor="text1"/>
          <w:sz w:val="28"/>
          <w:szCs w:val="28"/>
          <w:highlight w:val="none"/>
          <w:u w:val="single"/>
          <w14:textFill>
            <w14:solidFill>
              <w14:schemeClr w14:val="tx1"/>
            </w14:solidFill>
          </w14:textFill>
        </w:rPr>
        <w:t>年</w:t>
      </w:r>
      <w:r>
        <w:rPr>
          <w:rFonts w:hint="eastAsia" w:ascii="宋体" w:hAnsi="宋体" w:cs="宋体"/>
          <w:b/>
          <w:bCs/>
          <w:color w:val="000000" w:themeColor="text1"/>
          <w:sz w:val="28"/>
          <w:szCs w:val="28"/>
          <w:highlight w:val="none"/>
          <w:u w:val="single"/>
          <w:lang w:val="en-US" w:eastAsia="zh-CN"/>
          <w14:textFill>
            <w14:solidFill>
              <w14:schemeClr w14:val="tx1"/>
            </w14:solidFill>
          </w14:textFill>
        </w:rPr>
        <w:t>07</w:t>
      </w:r>
      <w:r>
        <w:rPr>
          <w:rFonts w:hint="eastAsia" w:ascii="宋体" w:hAnsi="宋体" w:eastAsia="宋体" w:cs="宋体"/>
          <w:b/>
          <w:bCs/>
          <w:color w:val="000000" w:themeColor="text1"/>
          <w:sz w:val="28"/>
          <w:szCs w:val="28"/>
          <w:highlight w:val="none"/>
          <w:u w:val="single"/>
          <w14:textFill>
            <w14:solidFill>
              <w14:schemeClr w14:val="tx1"/>
            </w14:solidFill>
          </w14:textFill>
        </w:rPr>
        <w:t>月</w:t>
      </w:r>
      <w:r>
        <w:rPr>
          <w:rFonts w:hint="eastAsia" w:ascii="宋体" w:hAnsi="宋体" w:cs="宋体"/>
          <w:b/>
          <w:bCs/>
          <w:color w:val="000000" w:themeColor="text1"/>
          <w:sz w:val="28"/>
          <w:szCs w:val="28"/>
          <w:highlight w:val="none"/>
          <w:u w:val="single"/>
          <w:lang w:val="en-US" w:eastAsia="zh-CN"/>
          <w14:textFill>
            <w14:solidFill>
              <w14:schemeClr w14:val="tx1"/>
            </w14:solidFill>
          </w14:textFill>
        </w:rPr>
        <w:t>17</w:t>
      </w:r>
      <w:r>
        <w:rPr>
          <w:rFonts w:hint="eastAsia" w:ascii="宋体" w:hAnsi="宋体" w:eastAsia="宋体" w:cs="宋体"/>
          <w:b/>
          <w:bCs/>
          <w:color w:val="000000" w:themeColor="text1"/>
          <w:sz w:val="28"/>
          <w:szCs w:val="28"/>
          <w:highlight w:val="none"/>
          <w:u w:val="single"/>
          <w14:textFill>
            <w14:solidFill>
              <w14:schemeClr w14:val="tx1"/>
            </w14:solidFill>
          </w14:textFill>
        </w:rPr>
        <w:t>日1</w:t>
      </w:r>
      <w:r>
        <w:rPr>
          <w:rFonts w:hint="eastAsia" w:ascii="宋体" w:hAnsi="宋体" w:cs="宋体"/>
          <w:b/>
          <w:bCs/>
          <w:color w:val="000000" w:themeColor="text1"/>
          <w:sz w:val="28"/>
          <w:szCs w:val="28"/>
          <w:highlight w:val="none"/>
          <w:u w:val="single"/>
          <w:lang w:val="en-US" w:eastAsia="zh-CN"/>
          <w14:textFill>
            <w14:solidFill>
              <w14:schemeClr w14:val="tx1"/>
            </w14:solidFill>
          </w14:textFill>
        </w:rPr>
        <w:t>1</w:t>
      </w:r>
      <w:r>
        <w:rPr>
          <w:rFonts w:hint="eastAsia" w:ascii="宋体" w:hAnsi="宋体" w:eastAsia="宋体" w:cs="宋体"/>
          <w:b/>
          <w:bCs/>
          <w:color w:val="000000" w:themeColor="text1"/>
          <w:sz w:val="28"/>
          <w:szCs w:val="28"/>
          <w:highlight w:val="none"/>
          <w:u w:val="single"/>
          <w14:textFill>
            <w14:solidFill>
              <w14:schemeClr w14:val="tx1"/>
            </w14:solidFill>
          </w14:textFill>
        </w:rPr>
        <w:t>点00分</w:t>
      </w:r>
      <w:r>
        <w:rPr>
          <w:rFonts w:hint="eastAsia" w:ascii="宋体" w:hAnsi="宋体" w:eastAsia="宋体" w:cs="宋体"/>
          <w:bCs/>
          <w:color w:val="000000" w:themeColor="text1"/>
          <w:sz w:val="28"/>
          <w:szCs w:val="28"/>
          <w:highlight w:val="none"/>
          <w14:textFill>
            <w14:solidFill>
              <w14:schemeClr w14:val="tx1"/>
            </w14:solidFill>
          </w14:textFill>
        </w:rPr>
        <w:t>（北京时间）</w:t>
      </w:r>
    </w:p>
    <w:p w14:paraId="75AFAFFD">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开标地点：新疆政府采购网（</w:t>
      </w:r>
      <w:r>
        <w:rPr>
          <w:rFonts w:hint="eastAsia" w:ascii="宋体" w:hAnsi="宋体" w:eastAsia="宋体" w:cs="宋体"/>
          <w:color w:val="000000" w:themeColor="text1"/>
          <w:sz w:val="28"/>
          <w:szCs w:val="28"/>
          <w:highlight w:val="none"/>
          <w14:textFill>
            <w14:solidFill>
              <w14:schemeClr w14:val="tx1"/>
            </w14:solidFill>
          </w14:textFill>
        </w:rPr>
        <w:fldChar w:fldCharType="begin"/>
      </w:r>
      <w:r>
        <w:rPr>
          <w:rFonts w:hint="eastAsia" w:ascii="宋体" w:hAnsi="宋体" w:eastAsia="宋体" w:cs="宋体"/>
          <w:color w:val="000000" w:themeColor="text1"/>
          <w:sz w:val="28"/>
          <w:szCs w:val="28"/>
          <w:highlight w:val="none"/>
          <w14:textFill>
            <w14:solidFill>
              <w14:schemeClr w14:val="tx1"/>
            </w14:solidFill>
          </w14:textFill>
        </w:rPr>
        <w:instrText xml:space="preserve"> HYPERLINK "http://www.ccgp-xinjiang.gov.cn）政采" </w:instrText>
      </w:r>
      <w:r>
        <w:rPr>
          <w:rFonts w:hint="eastAsia" w:ascii="宋体" w:hAnsi="宋体" w:eastAsia="宋体" w:cs="宋体"/>
          <w:color w:val="000000" w:themeColor="text1"/>
          <w:sz w:val="28"/>
          <w:szCs w:val="28"/>
          <w:highlight w:val="none"/>
          <w14:textFill>
            <w14:solidFill>
              <w14:schemeClr w14:val="tx1"/>
            </w14:solidFill>
          </w14:textFill>
        </w:rPr>
        <w:fldChar w:fldCharType="separate"/>
      </w:r>
      <w:r>
        <w:rPr>
          <w:rStyle w:val="39"/>
          <w:rFonts w:hint="eastAsia" w:ascii="宋体" w:hAnsi="宋体" w:eastAsia="宋体" w:cs="宋体"/>
          <w:color w:val="000000" w:themeColor="text1"/>
          <w:sz w:val="28"/>
          <w:szCs w:val="28"/>
          <w:highlight w:val="none"/>
          <w14:textFill>
            <w14:solidFill>
              <w14:schemeClr w14:val="tx1"/>
            </w14:solidFill>
          </w14:textFill>
        </w:rPr>
        <w:t>http://www.ccgp-xinjiang.gov.cn）</w:t>
      </w:r>
      <w:r>
        <w:rPr>
          <w:rStyle w:val="39"/>
          <w:rFonts w:hint="eastAsia" w:ascii="宋体" w:hAnsi="宋体" w:eastAsia="宋体" w:cs="宋体"/>
          <w:color w:val="000000" w:themeColor="text1"/>
          <w:sz w:val="28"/>
          <w:szCs w:val="28"/>
          <w:highlight w:val="none"/>
          <w:u w:val="none"/>
          <w14:textFill>
            <w14:solidFill>
              <w14:schemeClr w14:val="tx1"/>
            </w14:solidFill>
          </w14:textFill>
        </w:rPr>
        <w:t>政采</w:t>
      </w:r>
      <w:r>
        <w:rPr>
          <w:rStyle w:val="39"/>
          <w:rFonts w:hint="eastAsia" w:ascii="宋体" w:hAnsi="宋体" w:eastAsia="宋体" w:cs="宋体"/>
          <w:color w:val="000000" w:themeColor="text1"/>
          <w:sz w:val="28"/>
          <w:szCs w:val="28"/>
          <w:highlight w:val="none"/>
          <w14:textFill>
            <w14:solidFill>
              <w14:schemeClr w14:val="tx1"/>
            </w14:solidFill>
          </w14:textFill>
        </w:rPr>
        <w:fldChar w:fldCharType="end"/>
      </w:r>
      <w:r>
        <w:rPr>
          <w:rFonts w:hint="eastAsia" w:ascii="宋体" w:hAnsi="宋体" w:eastAsia="宋体" w:cs="宋体"/>
          <w:color w:val="000000" w:themeColor="text1"/>
          <w:sz w:val="28"/>
          <w:szCs w:val="28"/>
          <w:highlight w:val="none"/>
          <w14:textFill>
            <w14:solidFill>
              <w14:schemeClr w14:val="tx1"/>
            </w14:solidFill>
          </w14:textFill>
        </w:rPr>
        <w:t>云平台</w:t>
      </w:r>
    </w:p>
    <w:p w14:paraId="5671716D">
      <w:pPr>
        <w:pStyle w:val="3"/>
        <w:keepNext/>
        <w:keepLines/>
        <w:pageBreakBefore w:val="0"/>
        <w:widowControl w:val="0"/>
        <w:kinsoku/>
        <w:wordWrap/>
        <w:overflowPunct/>
        <w:topLinePunct w:val="0"/>
        <w:autoSpaceDE/>
        <w:autoSpaceDN/>
        <w:bidi w:val="0"/>
        <w:adjustRightInd/>
        <w:snapToGrid/>
        <w:spacing w:before="0" w:after="0" w:line="560" w:lineRule="exact"/>
        <w:ind w:left="0" w:leftChars="0"/>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六、公告期限</w:t>
      </w:r>
    </w:p>
    <w:p w14:paraId="6C3D360B">
      <w:pPr>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宋体" w:hAnsi="宋体" w:eastAsia="宋体" w:cs="宋体"/>
          <w:color w:val="000000" w:themeColor="text1"/>
          <w:kern w:val="0"/>
          <w:sz w:val="28"/>
          <w:szCs w:val="28"/>
          <w:highlight w:val="none"/>
          <w14:textFill>
            <w14:solidFill>
              <w14:schemeClr w14:val="tx1"/>
            </w14:solidFill>
          </w14:textFill>
        </w:rPr>
      </w:pPr>
      <w:r>
        <w:rPr>
          <w:rFonts w:hint="eastAsia" w:ascii="宋体" w:hAnsi="宋体" w:eastAsia="宋体" w:cs="宋体"/>
          <w:color w:val="000000" w:themeColor="text1"/>
          <w:kern w:val="0"/>
          <w:sz w:val="28"/>
          <w:szCs w:val="28"/>
          <w:highlight w:val="none"/>
          <w14:textFill>
            <w14:solidFill>
              <w14:schemeClr w14:val="tx1"/>
            </w14:solidFill>
          </w14:textFill>
        </w:rPr>
        <w:t>自本公告发布之日起</w:t>
      </w:r>
      <w:r>
        <w:rPr>
          <w:rFonts w:hint="eastAsia" w:ascii="宋体" w:hAnsi="宋体" w:cs="宋体"/>
          <w:color w:val="000000" w:themeColor="text1"/>
          <w:kern w:val="0"/>
          <w:sz w:val="28"/>
          <w:szCs w:val="28"/>
          <w:highlight w:val="none"/>
          <w:lang w:val="en-US" w:eastAsia="zh-CN"/>
          <w14:textFill>
            <w14:solidFill>
              <w14:schemeClr w14:val="tx1"/>
            </w14:solidFill>
          </w14:textFill>
        </w:rPr>
        <w:t>5</w:t>
      </w:r>
      <w:r>
        <w:rPr>
          <w:rFonts w:hint="eastAsia" w:ascii="宋体" w:hAnsi="宋体" w:eastAsia="宋体" w:cs="宋体"/>
          <w:color w:val="000000" w:themeColor="text1"/>
          <w:kern w:val="0"/>
          <w:sz w:val="28"/>
          <w:szCs w:val="28"/>
          <w:highlight w:val="none"/>
          <w14:textFill>
            <w14:solidFill>
              <w14:schemeClr w14:val="tx1"/>
            </w14:solidFill>
          </w14:textFill>
        </w:rPr>
        <w:t>个工作日。</w:t>
      </w:r>
    </w:p>
    <w:p w14:paraId="68F6B0E8">
      <w:pPr>
        <w:pStyle w:val="3"/>
        <w:keepNext/>
        <w:keepLines/>
        <w:pageBreakBefore w:val="0"/>
        <w:widowControl w:val="0"/>
        <w:kinsoku/>
        <w:wordWrap/>
        <w:overflowPunct/>
        <w:topLinePunct w:val="0"/>
        <w:autoSpaceDE/>
        <w:autoSpaceDN/>
        <w:bidi w:val="0"/>
        <w:adjustRightInd/>
        <w:snapToGrid/>
        <w:spacing w:before="0" w:after="0" w:line="560" w:lineRule="exact"/>
        <w:ind w:left="0" w:leftChars="0"/>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七、其他补充事宜</w:t>
      </w:r>
    </w:p>
    <w:p w14:paraId="21D43388">
      <w:pPr>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1、本项目实行网上投标，采用电子投标文件；</w:t>
      </w:r>
    </w:p>
    <w:p w14:paraId="1550E95F">
      <w:pPr>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2、各供应商应在开标前应确保成为新疆政府采购网正式注册入库供应商，并完成CA数字证书（符合国密标准）申领。因未注册入库、未办理CA数字证书等原因造成无法投标或投标失败等后果由供应商自行承担。有意向参与新疆区域电子开评标的供应商，可访问新疆数字证书认证中心官方网站（https://www.xjca.com.cn/）或下载“新疆政务通”APP自行进行申领。如需咨询，请联系新疆CA服务热线95763；</w:t>
      </w:r>
    </w:p>
    <w:p w14:paraId="42F90A83">
      <w:pPr>
        <w:keepNext w:val="0"/>
        <w:keepLines w:val="0"/>
        <w:pageBreakBefore w:val="0"/>
        <w:widowControl w:val="0"/>
        <w:kinsoku/>
        <w:wordWrap w:val="0"/>
        <w:overflowPunct/>
        <w:topLinePunct w:val="0"/>
        <w:autoSpaceDE/>
        <w:autoSpaceDN/>
        <w:bidi w:val="0"/>
        <w:adjustRightInd/>
        <w:snapToGrid/>
        <w:spacing w:line="560" w:lineRule="exact"/>
        <w:ind w:left="0" w:leftChars="0" w:firstLine="560" w:firstLineChars="200"/>
        <w:textAlignment w:val="auto"/>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3、供应商将政采云电子交易客户端下载、安装完成后，可通过账号密码或CA登录客户端进行投标文件的制作。在使用政采云投标客户端时，建议使用WIN7及以上操作系统。客户端请至新疆政府采购网（http://www.ccgp-xinjiang.gov.cn/）下载专区查看，如有问题可拨打政采云客户服务热线95763进行咨询。如因供应商自身原因导致在规定时间内无法正常解密的（如：浏览器故障、未安装相关驱动、网络故障、加密CA与解密CA不一致等），采购中心/代理机构不予异常处理，视为供应商自动弃标。</w:t>
      </w:r>
    </w:p>
    <w:p w14:paraId="69F3CEE1">
      <w:pPr>
        <w:keepNext w:val="0"/>
        <w:keepLines w:val="0"/>
        <w:pageBreakBefore w:val="0"/>
        <w:widowControl w:val="0"/>
        <w:kinsoku/>
        <w:wordWrap w:val="0"/>
        <w:overflowPunct/>
        <w:topLinePunct w:val="0"/>
        <w:autoSpaceDE/>
        <w:autoSpaceDN/>
        <w:bidi w:val="0"/>
        <w:adjustRightInd/>
        <w:snapToGrid/>
        <w:spacing w:line="560" w:lineRule="exact"/>
        <w:ind w:left="0" w:leftChars="0" w:firstLine="560" w:firstLineChars="200"/>
        <w:textAlignment w:val="auto"/>
        <w:rPr>
          <w:rFonts w:hint="eastAsia" w:ascii="宋体" w:hAnsi="宋体" w:eastAsia="宋体" w:cs="宋体"/>
          <w:color w:val="000000" w:themeColor="text1"/>
          <w:kern w:val="0"/>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 xml:space="preserve">4、供应商操作指南详见新疆政府采购网（http://www.ccgp-xinjiang.gov.cn/）—办事指南—操作指南。  </w:t>
      </w:r>
      <w:r>
        <w:rPr>
          <w:rFonts w:hint="eastAsia" w:ascii="宋体" w:hAnsi="宋体" w:eastAsia="宋体" w:cs="宋体"/>
          <w:color w:val="000000" w:themeColor="text1"/>
          <w:kern w:val="0"/>
          <w:sz w:val="28"/>
          <w:szCs w:val="28"/>
          <w:highlight w:val="none"/>
          <w14:textFill>
            <w14:solidFill>
              <w14:schemeClr w14:val="tx1"/>
            </w14:solidFill>
          </w14:textFill>
        </w:rPr>
        <w:t xml:space="preserve"> </w:t>
      </w:r>
    </w:p>
    <w:p w14:paraId="4EF838A2">
      <w:pPr>
        <w:pStyle w:val="3"/>
        <w:keepNext/>
        <w:keepLines/>
        <w:pageBreakBefore w:val="0"/>
        <w:widowControl w:val="0"/>
        <w:kinsoku/>
        <w:wordWrap/>
        <w:overflowPunct/>
        <w:topLinePunct w:val="0"/>
        <w:autoSpaceDE/>
        <w:autoSpaceDN/>
        <w:bidi w:val="0"/>
        <w:adjustRightInd/>
        <w:snapToGrid/>
        <w:spacing w:before="0" w:after="0" w:line="560" w:lineRule="exact"/>
        <w:ind w:left="0" w:leftChars="0"/>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八、凡对本次采购提出询问，请按以下方式联系。</w:t>
      </w:r>
    </w:p>
    <w:p w14:paraId="5666CF0B">
      <w:pPr>
        <w:pageBreakBefore w:val="0"/>
        <w:widowControl w:val="0"/>
        <w:kinsoku/>
        <w:wordWrap/>
        <w:overflowPunct/>
        <w:topLinePunct w:val="0"/>
        <w:autoSpaceDE/>
        <w:autoSpaceDN/>
        <w:bidi w:val="0"/>
        <w:adjustRightInd/>
        <w:snapToGrid/>
        <w:spacing w:line="560" w:lineRule="exact"/>
        <w:ind w:left="0" w:leftChars="0"/>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1.采购人信息</w:t>
      </w:r>
    </w:p>
    <w:p w14:paraId="7C10C0CD">
      <w:pPr>
        <w:pageBreakBefore w:val="0"/>
        <w:widowControl w:val="0"/>
        <w:kinsoku/>
        <w:wordWrap/>
        <w:overflowPunct/>
        <w:topLinePunct w:val="0"/>
        <w:autoSpaceDE/>
        <w:autoSpaceDN/>
        <w:bidi w:val="0"/>
        <w:adjustRightInd/>
        <w:snapToGrid/>
        <w:spacing w:line="560" w:lineRule="exact"/>
        <w:ind w:left="0" w:leftChars="0" w:firstLine="560" w:firstLineChars="200"/>
        <w:jc w:val="left"/>
        <w:textAlignment w:val="auto"/>
        <w:rPr>
          <w:rFonts w:hint="eastAsia" w:ascii="宋体" w:hAnsi="宋体" w:eastAsia="宋体" w:cs="宋体"/>
          <w:color w:val="000000" w:themeColor="text1"/>
          <w:sz w:val="28"/>
          <w:szCs w:val="28"/>
          <w:highlight w:val="none"/>
          <w:u w:val="single"/>
          <w:lang w:eastAsia="zh-CN"/>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名    称：</w:t>
      </w:r>
      <w:r>
        <w:rPr>
          <w:rFonts w:hint="eastAsia" w:ascii="宋体" w:hAnsi="宋体" w:cs="宋体"/>
          <w:color w:val="000000" w:themeColor="text1"/>
          <w:sz w:val="28"/>
          <w:szCs w:val="28"/>
          <w:highlight w:val="none"/>
          <w:u w:val="single"/>
          <w:lang w:eastAsia="zh-CN"/>
          <w14:textFill>
            <w14:solidFill>
              <w14:schemeClr w14:val="tx1"/>
            </w14:solidFill>
          </w14:textFill>
        </w:rPr>
        <w:t xml:space="preserve">哈密市中心医院    </w:t>
      </w:r>
    </w:p>
    <w:p w14:paraId="455795A5">
      <w:pPr>
        <w:pageBreakBefore w:val="0"/>
        <w:widowControl w:val="0"/>
        <w:kinsoku/>
        <w:wordWrap/>
        <w:overflowPunct/>
        <w:topLinePunct w:val="0"/>
        <w:autoSpaceDE/>
        <w:autoSpaceDN/>
        <w:bidi w:val="0"/>
        <w:adjustRightInd/>
        <w:snapToGrid/>
        <w:spacing w:line="560" w:lineRule="exact"/>
        <w:ind w:left="0" w:leftChars="0" w:firstLine="560" w:firstLineChars="200"/>
        <w:jc w:val="left"/>
        <w:textAlignment w:val="auto"/>
        <w:rPr>
          <w:rFonts w:hint="eastAsia" w:ascii="宋体" w:hAnsi="宋体" w:eastAsia="宋体" w:cs="宋体"/>
          <w:color w:val="000000" w:themeColor="text1"/>
          <w:sz w:val="28"/>
          <w:szCs w:val="28"/>
          <w:highlight w:val="none"/>
          <w:lang w:eastAsia="zh-CN"/>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地    址：</w:t>
      </w:r>
      <w:r>
        <w:rPr>
          <w:rFonts w:hint="eastAsia" w:ascii="宋体" w:hAnsi="宋体" w:eastAsia="宋体" w:cs="宋体"/>
          <w:color w:val="000000" w:themeColor="text1"/>
          <w:sz w:val="28"/>
          <w:szCs w:val="28"/>
          <w:highlight w:val="none"/>
          <w:u w:val="single"/>
          <w14:textFill>
            <w14:solidFill>
              <w14:schemeClr w14:val="tx1"/>
            </w14:solidFill>
          </w14:textFill>
        </w:rPr>
        <w:t>哈密市伊州区广场北路18号</w:t>
      </w:r>
    </w:p>
    <w:p w14:paraId="49307B38">
      <w:pPr>
        <w:pageBreakBefore w:val="0"/>
        <w:widowControl w:val="0"/>
        <w:kinsoku/>
        <w:wordWrap/>
        <w:overflowPunct/>
        <w:topLinePunct w:val="0"/>
        <w:autoSpaceDE/>
        <w:autoSpaceDN/>
        <w:bidi w:val="0"/>
        <w:adjustRightInd/>
        <w:snapToGrid/>
        <w:spacing w:line="560" w:lineRule="exact"/>
        <w:ind w:left="0" w:leftChars="0" w:firstLine="560" w:firstLineChars="200"/>
        <w:jc w:val="left"/>
        <w:textAlignment w:val="auto"/>
        <w:rPr>
          <w:rFonts w:hint="eastAsia" w:ascii="宋体" w:hAnsi="宋体" w:eastAsia="宋体" w:cs="宋体"/>
          <w:color w:val="000000" w:themeColor="text1"/>
          <w:sz w:val="28"/>
          <w:szCs w:val="28"/>
          <w:highlight w:val="none"/>
          <w:u w:val="single"/>
          <w:lang w:eastAsia="zh-CN"/>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联系方式：</w:t>
      </w:r>
      <w:r>
        <w:rPr>
          <w:rFonts w:hint="eastAsia" w:ascii="宋体" w:hAnsi="宋体" w:eastAsia="宋体" w:cs="宋体"/>
          <w:color w:val="000000" w:themeColor="text1"/>
          <w:sz w:val="28"/>
          <w:szCs w:val="28"/>
          <w:highlight w:val="none"/>
          <w:u w:val="single"/>
          <w14:textFill>
            <w14:solidFill>
              <w14:schemeClr w14:val="tx1"/>
            </w14:solidFill>
          </w14:textFill>
        </w:rPr>
        <w:t>0902-2260357</w:t>
      </w:r>
    </w:p>
    <w:p w14:paraId="24848D61">
      <w:pPr>
        <w:pageBreakBefore w:val="0"/>
        <w:widowControl w:val="0"/>
        <w:kinsoku/>
        <w:wordWrap/>
        <w:overflowPunct/>
        <w:topLinePunct w:val="0"/>
        <w:autoSpaceDE/>
        <w:autoSpaceDN/>
        <w:bidi w:val="0"/>
        <w:adjustRightInd/>
        <w:snapToGrid/>
        <w:spacing w:line="560" w:lineRule="exact"/>
        <w:ind w:left="0" w:leftChars="0"/>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2.采购代理机构信息</w:t>
      </w:r>
    </w:p>
    <w:p w14:paraId="35A0A59D">
      <w:pPr>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宋体" w:hAnsi="宋体" w:eastAsia="宋体" w:cs="宋体"/>
          <w:color w:val="000000" w:themeColor="text1"/>
          <w:sz w:val="28"/>
          <w:szCs w:val="28"/>
          <w:highlight w:val="none"/>
          <w:u w:val="single"/>
          <w:lang w:eastAsia="zh-CN"/>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名    称：</w:t>
      </w:r>
      <w:r>
        <w:rPr>
          <w:rFonts w:hint="eastAsia" w:ascii="宋体" w:hAnsi="宋体" w:cs="宋体"/>
          <w:color w:val="000000" w:themeColor="text1"/>
          <w:sz w:val="28"/>
          <w:szCs w:val="28"/>
          <w:highlight w:val="none"/>
          <w:u w:val="single"/>
          <w:lang w:eastAsia="zh-CN"/>
          <w14:textFill>
            <w14:solidFill>
              <w14:schemeClr w14:val="tx1"/>
            </w14:solidFill>
          </w14:textFill>
        </w:rPr>
        <w:t>新疆诚誉工程项目管理有限公司</w:t>
      </w:r>
    </w:p>
    <w:p w14:paraId="2B748350">
      <w:pPr>
        <w:pageBreakBefore w:val="0"/>
        <w:widowControl w:val="0"/>
        <w:kinsoku/>
        <w:wordWrap/>
        <w:overflowPunct/>
        <w:topLinePunct w:val="0"/>
        <w:autoSpaceDE/>
        <w:autoSpaceDN/>
        <w:bidi w:val="0"/>
        <w:adjustRightInd/>
        <w:snapToGrid/>
        <w:spacing w:line="560" w:lineRule="exact"/>
        <w:ind w:left="1399" w:leftChars="266" w:hanging="840" w:hangingChars="300"/>
        <w:textAlignment w:val="auto"/>
        <w:rPr>
          <w:rFonts w:hint="eastAsia" w:ascii="宋体" w:hAnsi="宋体" w:eastAsia="宋体" w:cs="宋体"/>
          <w:color w:val="000000" w:themeColor="text1"/>
          <w:sz w:val="28"/>
          <w:szCs w:val="28"/>
          <w:highlight w:val="none"/>
          <w:lang w:eastAsia="zh-CN"/>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地　　址：</w:t>
      </w:r>
      <w:r>
        <w:rPr>
          <w:rFonts w:hint="eastAsia" w:ascii="宋体" w:hAnsi="宋体" w:cs="宋体"/>
          <w:color w:val="000000" w:themeColor="text1"/>
          <w:sz w:val="28"/>
          <w:szCs w:val="28"/>
          <w:highlight w:val="none"/>
          <w:u w:val="single"/>
          <w:lang w:eastAsia="zh-CN"/>
          <w14:textFill>
            <w14:solidFill>
              <w14:schemeClr w14:val="tx1"/>
            </w14:solidFill>
          </w14:textFill>
        </w:rPr>
        <w:t>乌鲁木齐市会展大道599号新疆财富中心C座6楼601室</w:t>
      </w:r>
    </w:p>
    <w:p w14:paraId="26384D13">
      <w:pPr>
        <w:pageBreakBefore w:val="0"/>
        <w:widowControl w:val="0"/>
        <w:kinsoku/>
        <w:wordWrap/>
        <w:overflowPunct/>
        <w:topLinePunct w:val="0"/>
        <w:autoSpaceDE/>
        <w:autoSpaceDN/>
        <w:bidi w:val="0"/>
        <w:adjustRightInd/>
        <w:snapToGrid/>
        <w:spacing w:line="560" w:lineRule="exact"/>
        <w:ind w:left="0" w:leftChars="0"/>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3.项目联系方式</w:t>
      </w:r>
    </w:p>
    <w:p w14:paraId="7DA8BC03">
      <w:pPr>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宋体" w:hAnsi="宋体" w:eastAsia="宋体" w:cs="宋体"/>
          <w:color w:val="000000" w:themeColor="text1"/>
          <w:sz w:val="28"/>
          <w:szCs w:val="28"/>
          <w:highlight w:val="none"/>
          <w:lang w:eastAsia="zh-CN"/>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项目联系人：</w:t>
      </w:r>
      <w:r>
        <w:rPr>
          <w:rFonts w:hint="eastAsia" w:ascii="宋体" w:hAnsi="宋体" w:cs="宋体"/>
          <w:color w:val="000000" w:themeColor="text1"/>
          <w:sz w:val="28"/>
          <w:szCs w:val="28"/>
          <w:highlight w:val="none"/>
          <w:u w:val="single"/>
          <w:lang w:eastAsia="zh-CN"/>
          <w14:textFill>
            <w14:solidFill>
              <w14:schemeClr w14:val="tx1"/>
            </w14:solidFill>
          </w14:textFill>
        </w:rPr>
        <w:t>刘慧敏、赵箭</w:t>
      </w:r>
    </w:p>
    <w:p w14:paraId="1A57B19D">
      <w:pPr>
        <w:pageBreakBefore w:val="0"/>
        <w:widowControl w:val="0"/>
        <w:tabs>
          <w:tab w:val="right" w:pos="9864"/>
        </w:tabs>
        <w:kinsoku/>
        <w:wordWrap/>
        <w:overflowPunct/>
        <w:topLinePunct w:val="0"/>
        <w:autoSpaceDE/>
        <w:autoSpaceDN/>
        <w:bidi w:val="0"/>
        <w:adjustRightInd/>
        <w:snapToGrid/>
        <w:spacing w:line="560" w:lineRule="exact"/>
        <w:ind w:left="0" w:leftChars="0" w:firstLine="560" w:firstLineChars="200"/>
        <w:textAlignment w:val="auto"/>
        <w:rPr>
          <w:rFonts w:ascii="宋体" w:hAnsi="宋体"/>
          <w:b/>
          <w:color w:val="000000" w:themeColor="text1"/>
          <w:sz w:val="28"/>
          <w:szCs w:val="32"/>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电　　 话：</w:t>
      </w:r>
      <w:r>
        <w:rPr>
          <w:rFonts w:hint="eastAsia" w:ascii="宋体" w:hAnsi="宋体" w:cs="宋体"/>
          <w:color w:val="000000" w:themeColor="text1"/>
          <w:sz w:val="28"/>
          <w:szCs w:val="28"/>
          <w:highlight w:val="none"/>
          <w:u w:val="single"/>
          <w:lang w:val="en-US" w:eastAsia="zh-CN"/>
          <w14:textFill>
            <w14:solidFill>
              <w14:schemeClr w14:val="tx1"/>
            </w14:solidFill>
          </w14:textFill>
        </w:rPr>
        <w:t>15899485207、19999115800</w:t>
      </w:r>
      <w:r>
        <w:rPr>
          <w:rFonts w:ascii="宋体" w:hAnsi="宋体" w:cs="宋体"/>
          <w:color w:val="000000" w:themeColor="text1"/>
          <w:sz w:val="24"/>
          <w:szCs w:val="28"/>
          <w:highlight w:val="none"/>
          <w14:textFill>
            <w14:solidFill>
              <w14:schemeClr w14:val="tx1"/>
            </w14:solidFill>
          </w14:textFill>
        </w:rPr>
        <w:tab/>
      </w:r>
    </w:p>
    <w:p w14:paraId="0EF36136">
      <w:pPr>
        <w:bidi w:val="0"/>
        <w:rPr>
          <w:rFonts w:hint="eastAsia"/>
          <w:color w:val="000000" w:themeColor="text1"/>
          <w14:textFill>
            <w14:solidFill>
              <w14:schemeClr w14:val="tx1"/>
            </w14:solidFill>
          </w14:textFill>
        </w:rPr>
      </w:pPr>
    </w:p>
    <w:p w14:paraId="1060042C">
      <w:pPr>
        <w:rPr>
          <w:rFonts w:hint="eastAsia"/>
          <w:color w:val="000000" w:themeColor="text1"/>
          <w14:textFill>
            <w14:solidFill>
              <w14:schemeClr w14:val="tx1"/>
            </w14:solidFill>
          </w14:textFill>
        </w:rPr>
      </w:pPr>
    </w:p>
    <w:p w14:paraId="4E49381B">
      <w:pPr>
        <w:rPr>
          <w:rFonts w:hint="eastAsia"/>
          <w:color w:val="000000" w:themeColor="text1"/>
          <w14:textFill>
            <w14:solidFill>
              <w14:schemeClr w14:val="tx1"/>
            </w14:solidFill>
          </w14:textFill>
        </w:rPr>
      </w:pPr>
    </w:p>
    <w:p w14:paraId="79286BFD">
      <w:pPr>
        <w:rPr>
          <w:rFonts w:hint="eastAsia"/>
          <w:color w:val="000000" w:themeColor="text1"/>
          <w14:textFill>
            <w14:solidFill>
              <w14:schemeClr w14:val="tx1"/>
            </w14:solidFill>
          </w14:textFill>
        </w:rPr>
      </w:pPr>
    </w:p>
    <w:p w14:paraId="61797D55">
      <w:pPr>
        <w:rPr>
          <w:rFonts w:hint="eastAsia"/>
          <w:color w:val="000000" w:themeColor="text1"/>
          <w:highlight w:val="none"/>
          <w14:textFill>
            <w14:solidFill>
              <w14:schemeClr w14:val="tx1"/>
            </w14:solidFill>
          </w14:textFill>
        </w:rPr>
      </w:pPr>
    </w:p>
    <w:p w14:paraId="15ED6D20">
      <w:pPr>
        <w:rPr>
          <w:rFonts w:hint="eastAsia"/>
          <w:color w:val="000000" w:themeColor="text1"/>
          <w:highlight w:val="none"/>
          <w14:textFill>
            <w14:solidFill>
              <w14:schemeClr w14:val="tx1"/>
            </w14:solidFill>
          </w14:textFill>
        </w:rPr>
      </w:pPr>
    </w:p>
    <w:p w14:paraId="23CD8909">
      <w:pPr>
        <w:rPr>
          <w:rFonts w:hint="eastAsia"/>
          <w:color w:val="000000" w:themeColor="text1"/>
          <w:highlight w:val="none"/>
          <w14:textFill>
            <w14:solidFill>
              <w14:schemeClr w14:val="tx1"/>
            </w14:solidFill>
          </w14:textFill>
        </w:rPr>
      </w:pPr>
    </w:p>
    <w:p w14:paraId="1CE2B38A">
      <w:pPr>
        <w:rPr>
          <w:rFonts w:hint="eastAsia"/>
          <w:color w:val="000000" w:themeColor="text1"/>
          <w:highlight w:val="none"/>
          <w14:textFill>
            <w14:solidFill>
              <w14:schemeClr w14:val="tx1"/>
            </w14:solidFill>
          </w14:textFill>
        </w:rPr>
      </w:pPr>
    </w:p>
    <w:p w14:paraId="0453A067">
      <w:pPr>
        <w:rPr>
          <w:rFonts w:hint="eastAsia"/>
          <w:color w:val="000000" w:themeColor="text1"/>
          <w:highlight w:val="none"/>
          <w14:textFill>
            <w14:solidFill>
              <w14:schemeClr w14:val="tx1"/>
            </w14:solidFill>
          </w14:textFill>
        </w:rPr>
      </w:pPr>
    </w:p>
    <w:p w14:paraId="0F312A52">
      <w:pPr>
        <w:rPr>
          <w:rFonts w:hint="eastAsia"/>
          <w:color w:val="000000" w:themeColor="text1"/>
          <w:highlight w:val="none"/>
          <w14:textFill>
            <w14:solidFill>
              <w14:schemeClr w14:val="tx1"/>
            </w14:solidFill>
          </w14:textFill>
        </w:rPr>
      </w:pPr>
    </w:p>
    <w:p w14:paraId="3077EEF0">
      <w:pPr>
        <w:rPr>
          <w:rFonts w:hint="eastAsia"/>
          <w:color w:val="000000" w:themeColor="text1"/>
          <w:highlight w:val="none"/>
          <w14:textFill>
            <w14:solidFill>
              <w14:schemeClr w14:val="tx1"/>
            </w14:solidFill>
          </w14:textFill>
        </w:rPr>
      </w:pPr>
    </w:p>
    <w:p w14:paraId="3E56D15F">
      <w:pPr>
        <w:rPr>
          <w:rFonts w:hint="eastAsia"/>
          <w:color w:val="000000" w:themeColor="text1"/>
          <w:highlight w:val="none"/>
          <w14:textFill>
            <w14:solidFill>
              <w14:schemeClr w14:val="tx1"/>
            </w14:solidFill>
          </w14:textFill>
        </w:rPr>
      </w:pPr>
    </w:p>
    <w:p w14:paraId="1014CB6F">
      <w:pPr>
        <w:rPr>
          <w:rFonts w:hint="eastAsia"/>
          <w:color w:val="000000" w:themeColor="text1"/>
          <w:highlight w:val="none"/>
          <w14:textFill>
            <w14:solidFill>
              <w14:schemeClr w14:val="tx1"/>
            </w14:solidFill>
          </w14:textFill>
        </w:rPr>
      </w:pPr>
    </w:p>
    <w:p w14:paraId="6B9CF284">
      <w:pPr>
        <w:rPr>
          <w:rFonts w:hint="eastAsia"/>
          <w:color w:val="000000" w:themeColor="text1"/>
          <w:highlight w:val="none"/>
          <w14:textFill>
            <w14:solidFill>
              <w14:schemeClr w14:val="tx1"/>
            </w14:solidFill>
          </w14:textFill>
        </w:rPr>
      </w:pPr>
    </w:p>
    <w:p w14:paraId="1B365689">
      <w:pPr>
        <w:rPr>
          <w:rFonts w:hint="eastAsia"/>
          <w:color w:val="000000" w:themeColor="text1"/>
          <w:highlight w:val="none"/>
          <w14:textFill>
            <w14:solidFill>
              <w14:schemeClr w14:val="tx1"/>
            </w14:solidFill>
          </w14:textFill>
        </w:rPr>
      </w:pPr>
    </w:p>
    <w:p w14:paraId="73C0F972">
      <w:pPr>
        <w:rPr>
          <w:rFonts w:hint="eastAsia"/>
          <w:color w:val="000000" w:themeColor="text1"/>
          <w:highlight w:val="none"/>
          <w14:textFill>
            <w14:solidFill>
              <w14:schemeClr w14:val="tx1"/>
            </w14:solidFill>
          </w14:textFill>
        </w:rPr>
      </w:pPr>
    </w:p>
    <w:p w14:paraId="1BFA5153">
      <w:pPr>
        <w:rPr>
          <w:rFonts w:hint="eastAsia"/>
          <w:color w:val="000000" w:themeColor="text1"/>
          <w:highlight w:val="none"/>
          <w14:textFill>
            <w14:solidFill>
              <w14:schemeClr w14:val="tx1"/>
            </w14:solidFill>
          </w14:textFill>
        </w:rPr>
      </w:pPr>
    </w:p>
    <w:p w14:paraId="14DCCC97">
      <w:pPr>
        <w:rPr>
          <w:rFonts w:hint="eastAsia"/>
          <w:color w:val="000000" w:themeColor="text1"/>
          <w:highlight w:val="none"/>
          <w14:textFill>
            <w14:solidFill>
              <w14:schemeClr w14:val="tx1"/>
            </w14:solidFill>
          </w14:textFill>
        </w:rPr>
      </w:pPr>
    </w:p>
    <w:p w14:paraId="726D9168">
      <w:pPr>
        <w:rPr>
          <w:rFonts w:hint="eastAsia"/>
          <w:color w:val="000000" w:themeColor="text1"/>
          <w:highlight w:val="none"/>
          <w14:textFill>
            <w14:solidFill>
              <w14:schemeClr w14:val="tx1"/>
            </w14:solidFill>
          </w14:textFill>
        </w:rPr>
      </w:pPr>
    </w:p>
    <w:p w14:paraId="685C195E">
      <w:pPr>
        <w:rPr>
          <w:rFonts w:hint="eastAsia"/>
          <w:color w:val="000000" w:themeColor="text1"/>
          <w:highlight w:val="none"/>
          <w14:textFill>
            <w14:solidFill>
              <w14:schemeClr w14:val="tx1"/>
            </w14:solidFill>
          </w14:textFill>
        </w:rPr>
      </w:pPr>
    </w:p>
    <w:p w14:paraId="4257E74A">
      <w:pPr>
        <w:rPr>
          <w:rFonts w:hint="eastAsia"/>
          <w:color w:val="000000" w:themeColor="text1"/>
          <w:highlight w:val="none"/>
          <w14:textFill>
            <w14:solidFill>
              <w14:schemeClr w14:val="tx1"/>
            </w14:solidFill>
          </w14:textFill>
        </w:rPr>
      </w:pPr>
    </w:p>
    <w:p w14:paraId="796DF522">
      <w:pPr>
        <w:rPr>
          <w:rFonts w:hint="eastAsia"/>
          <w:color w:val="000000" w:themeColor="text1"/>
          <w:highlight w:val="none"/>
          <w14:textFill>
            <w14:solidFill>
              <w14:schemeClr w14:val="tx1"/>
            </w14:solidFill>
          </w14:textFill>
        </w:rPr>
      </w:pPr>
    </w:p>
    <w:p w14:paraId="0CE79972">
      <w:pPr>
        <w:rPr>
          <w:rFonts w:hint="eastAsia"/>
          <w:color w:val="000000" w:themeColor="text1"/>
          <w:highlight w:val="none"/>
          <w14:textFill>
            <w14:solidFill>
              <w14:schemeClr w14:val="tx1"/>
            </w14:solidFill>
          </w14:textFill>
        </w:rPr>
      </w:pPr>
    </w:p>
    <w:p w14:paraId="10462066">
      <w:pPr>
        <w:pStyle w:val="31"/>
        <w:pageBreakBefore w:val="0"/>
        <w:numPr>
          <w:ilvl w:val="0"/>
          <w:numId w:val="1"/>
        </w:numPr>
        <w:wordWrap/>
        <w:topLinePunct w:val="0"/>
        <w:bidi w:val="0"/>
        <w:spacing w:before="0" w:after="0" w:line="560" w:lineRule="exact"/>
        <w:rPr>
          <w:rFonts w:hint="eastAsia" w:ascii="宋体" w:hAnsi="宋体" w:eastAsia="宋体" w:cs="宋体"/>
          <w:color w:val="000000" w:themeColor="text1"/>
          <w:sz w:val="36"/>
          <w:szCs w:val="36"/>
          <w:highlight w:val="none"/>
          <w14:textFill>
            <w14:solidFill>
              <w14:schemeClr w14:val="tx1"/>
            </w14:solidFill>
          </w14:textFill>
        </w:rPr>
      </w:pPr>
      <w:r>
        <w:rPr>
          <w:color w:val="000000" w:themeColor="text1"/>
          <w:sz w:val="36"/>
          <w:szCs w:val="36"/>
          <w:highlight w:val="none"/>
          <w14:textFill>
            <w14:solidFill>
              <w14:schemeClr w14:val="tx1"/>
            </w14:solidFill>
          </w14:textFill>
        </w:rPr>
        <w:t xml:space="preserve"> </w:t>
      </w:r>
      <w:r>
        <w:rPr>
          <w:rFonts w:hint="eastAsia"/>
          <w:color w:val="000000" w:themeColor="text1"/>
          <w:sz w:val="36"/>
          <w:szCs w:val="36"/>
          <w:highlight w:val="none"/>
          <w:lang w:eastAsia="zh-CN"/>
          <w14:textFill>
            <w14:solidFill>
              <w14:schemeClr w14:val="tx1"/>
            </w14:solidFill>
          </w14:textFill>
        </w:rPr>
        <w:t>供应商</w:t>
      </w:r>
      <w:r>
        <w:rPr>
          <w:rFonts w:hint="eastAsia"/>
          <w:color w:val="000000" w:themeColor="text1"/>
          <w:sz w:val="36"/>
          <w:szCs w:val="36"/>
          <w:highlight w:val="none"/>
          <w14:textFill>
            <w14:solidFill>
              <w14:schemeClr w14:val="tx1"/>
            </w14:solidFill>
          </w14:textFill>
        </w:rPr>
        <w:t>须知表</w:t>
      </w:r>
      <w:r>
        <w:rPr>
          <w:rFonts w:hint="eastAsia"/>
          <w:color w:val="000000" w:themeColor="text1"/>
          <w:sz w:val="36"/>
          <w:szCs w:val="36"/>
          <w:highlight w:val="none"/>
          <w:lang w:eastAsia="zh-CN"/>
          <w14:textFill>
            <w14:solidFill>
              <w14:schemeClr w14:val="tx1"/>
            </w14:solidFill>
          </w14:textFill>
        </w:rPr>
        <w:t>（</w:t>
      </w:r>
      <w:r>
        <w:rPr>
          <w:rFonts w:hint="eastAsia" w:ascii="宋体" w:hAnsi="宋体" w:eastAsia="宋体" w:cs="宋体"/>
          <w:color w:val="000000" w:themeColor="text1"/>
          <w:sz w:val="36"/>
          <w:szCs w:val="36"/>
          <w:highlight w:val="none"/>
          <w14:textFill>
            <w14:solidFill>
              <w14:schemeClr w14:val="tx1"/>
            </w14:solidFill>
          </w14:textFill>
        </w:rPr>
        <w:t>标项</w:t>
      </w:r>
      <w:r>
        <w:rPr>
          <w:rFonts w:hint="eastAsia" w:ascii="宋体" w:hAnsi="宋体" w:cs="宋体"/>
          <w:color w:val="000000" w:themeColor="text1"/>
          <w:sz w:val="36"/>
          <w:szCs w:val="36"/>
          <w:highlight w:val="none"/>
          <w:lang w:val="en-US" w:eastAsia="zh-CN"/>
          <w14:textFill>
            <w14:solidFill>
              <w14:schemeClr w14:val="tx1"/>
            </w14:solidFill>
          </w14:textFill>
        </w:rPr>
        <w:t>2</w:t>
      </w:r>
      <w:r>
        <w:rPr>
          <w:rFonts w:hint="eastAsia" w:ascii="宋体" w:hAnsi="宋体" w:eastAsia="宋体" w:cs="宋体"/>
          <w:color w:val="000000" w:themeColor="text1"/>
          <w:sz w:val="36"/>
          <w:szCs w:val="36"/>
          <w:highlight w:val="none"/>
          <w:lang w:eastAsia="zh-CN"/>
          <w14:textFill>
            <w14:solidFill>
              <w14:schemeClr w14:val="tx1"/>
            </w14:solidFill>
          </w14:textFill>
        </w:rPr>
        <w:t>）</w:t>
      </w:r>
    </w:p>
    <w:tbl>
      <w:tblPr>
        <w:tblStyle w:val="34"/>
        <w:tblW w:w="10529" w:type="dxa"/>
        <w:tblInd w:w="-17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93"/>
        <w:gridCol w:w="2239"/>
        <w:gridCol w:w="7297"/>
      </w:tblGrid>
      <w:tr w14:paraId="20DDA4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14:paraId="2557D09D">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序号</w:t>
            </w:r>
          </w:p>
        </w:tc>
        <w:tc>
          <w:tcPr>
            <w:tcW w:w="2239" w:type="dxa"/>
            <w:tcBorders>
              <w:top w:val="single" w:color="auto" w:sz="4" w:space="0"/>
              <w:left w:val="single" w:color="auto" w:sz="4" w:space="0"/>
              <w:bottom w:val="single" w:color="auto" w:sz="4" w:space="0"/>
              <w:right w:val="single" w:color="auto" w:sz="4" w:space="0"/>
            </w:tcBorders>
            <w:vAlign w:val="center"/>
          </w:tcPr>
          <w:p w14:paraId="1391852A">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项目内容</w:t>
            </w:r>
          </w:p>
        </w:tc>
        <w:tc>
          <w:tcPr>
            <w:tcW w:w="7297" w:type="dxa"/>
            <w:tcBorders>
              <w:top w:val="single" w:color="auto" w:sz="4" w:space="0"/>
              <w:left w:val="single" w:color="auto" w:sz="4" w:space="0"/>
              <w:bottom w:val="single" w:color="auto" w:sz="4" w:space="0"/>
              <w:right w:val="single" w:color="auto" w:sz="4" w:space="0"/>
            </w:tcBorders>
            <w:vAlign w:val="center"/>
          </w:tcPr>
          <w:p w14:paraId="230F6E21">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编列内容</w:t>
            </w:r>
          </w:p>
        </w:tc>
      </w:tr>
      <w:tr w14:paraId="4BEFF8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14:paraId="2367804B">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w:t>
            </w:r>
          </w:p>
        </w:tc>
        <w:tc>
          <w:tcPr>
            <w:tcW w:w="2239" w:type="dxa"/>
            <w:tcBorders>
              <w:top w:val="single" w:color="auto" w:sz="4" w:space="0"/>
              <w:left w:val="single" w:color="auto" w:sz="4" w:space="0"/>
              <w:bottom w:val="single" w:color="auto" w:sz="4" w:space="0"/>
              <w:right w:val="single" w:color="auto" w:sz="4" w:space="0"/>
            </w:tcBorders>
            <w:vAlign w:val="center"/>
          </w:tcPr>
          <w:p w14:paraId="4B2E86F8">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项目名称</w:t>
            </w:r>
          </w:p>
        </w:tc>
        <w:tc>
          <w:tcPr>
            <w:tcW w:w="7297" w:type="dxa"/>
            <w:tcBorders>
              <w:top w:val="single" w:color="auto" w:sz="4" w:space="0"/>
              <w:left w:val="single" w:color="auto" w:sz="4" w:space="0"/>
              <w:bottom w:val="single" w:color="auto" w:sz="4" w:space="0"/>
              <w:right w:val="single" w:color="auto" w:sz="4" w:space="0"/>
            </w:tcBorders>
            <w:vAlign w:val="center"/>
          </w:tcPr>
          <w:p w14:paraId="08381C27">
            <w:pPr>
              <w:pStyle w:val="11"/>
              <w:keepNext w:val="0"/>
              <w:keepLines w:val="0"/>
              <w:pageBreakBefore w:val="0"/>
              <w:kinsoku/>
              <w:wordWrap/>
              <w:overflowPunct/>
              <w:topLinePunct w:val="0"/>
              <w:bidi w:val="0"/>
              <w:adjustRightInd/>
              <w:snapToGrid/>
              <w:spacing w:line="560" w:lineRule="exact"/>
              <w:rPr>
                <w:rFonts w:hint="eastAsia" w:ascii="宋体" w:hAnsi="宋体" w:eastAsia="宋体" w:cs="宋体"/>
                <w:color w:val="000000" w:themeColor="text1"/>
                <w:sz w:val="28"/>
                <w:szCs w:val="28"/>
                <w:highlight w:val="none"/>
                <w:lang w:eastAsia="zh-CN"/>
                <w14:textFill>
                  <w14:solidFill>
                    <w14:schemeClr w14:val="tx1"/>
                  </w14:solidFill>
                </w14:textFill>
              </w:rPr>
            </w:pPr>
            <w:r>
              <w:rPr>
                <w:rFonts w:hint="eastAsia" w:ascii="宋体" w:hAnsi="宋体" w:cs="宋体"/>
                <w:color w:val="000000" w:themeColor="text1"/>
                <w:sz w:val="28"/>
                <w:szCs w:val="28"/>
                <w:highlight w:val="none"/>
                <w:lang w:eastAsia="zh-CN"/>
                <w14:textFill>
                  <w14:solidFill>
                    <w14:schemeClr w14:val="tx1"/>
                  </w14:solidFill>
                </w14:textFill>
              </w:rPr>
              <w:t>哈密市中心医院2025年医疗设备购置项目（第一批）（二次）</w:t>
            </w:r>
          </w:p>
        </w:tc>
      </w:tr>
      <w:tr w14:paraId="49F982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14:paraId="67D9FF6E">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2</w:t>
            </w:r>
          </w:p>
        </w:tc>
        <w:tc>
          <w:tcPr>
            <w:tcW w:w="2239" w:type="dxa"/>
            <w:tcBorders>
              <w:top w:val="single" w:color="auto" w:sz="4" w:space="0"/>
              <w:left w:val="single" w:color="auto" w:sz="4" w:space="0"/>
              <w:bottom w:val="single" w:color="auto" w:sz="4" w:space="0"/>
              <w:right w:val="single" w:color="auto" w:sz="4" w:space="0"/>
            </w:tcBorders>
            <w:vAlign w:val="center"/>
          </w:tcPr>
          <w:p w14:paraId="751C866D">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采购人</w:t>
            </w:r>
          </w:p>
        </w:tc>
        <w:tc>
          <w:tcPr>
            <w:tcW w:w="7297" w:type="dxa"/>
            <w:tcBorders>
              <w:top w:val="single" w:color="auto" w:sz="4" w:space="0"/>
              <w:left w:val="single" w:color="auto" w:sz="4" w:space="0"/>
              <w:bottom w:val="single" w:color="auto" w:sz="4" w:space="0"/>
              <w:right w:val="single" w:color="auto" w:sz="4" w:space="0"/>
            </w:tcBorders>
            <w:vAlign w:val="center"/>
          </w:tcPr>
          <w:p w14:paraId="6A9807E4">
            <w:pPr>
              <w:keepNext w:val="0"/>
              <w:keepLines w:val="0"/>
              <w:pageBreakBefore w:val="0"/>
              <w:kinsoku/>
              <w:wordWrap/>
              <w:overflowPunct/>
              <w:topLinePunct w:val="0"/>
              <w:bidi w:val="0"/>
              <w:adjustRightInd/>
              <w:snapToGrid/>
              <w:spacing w:line="560" w:lineRule="exact"/>
              <w:rPr>
                <w:rFonts w:hint="eastAsia" w:ascii="宋体" w:hAnsi="宋体" w:eastAsia="宋体" w:cs="宋体"/>
                <w:color w:val="000000" w:themeColor="text1"/>
                <w:sz w:val="28"/>
                <w:szCs w:val="28"/>
                <w:highlight w:val="none"/>
                <w:u w:val="single"/>
                <w:lang w:eastAsia="zh-CN"/>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名    称：</w:t>
            </w:r>
            <w:r>
              <w:rPr>
                <w:rFonts w:hint="eastAsia" w:ascii="宋体" w:hAnsi="宋体" w:cs="宋体"/>
                <w:color w:val="000000" w:themeColor="text1"/>
                <w:sz w:val="28"/>
                <w:szCs w:val="28"/>
                <w:highlight w:val="none"/>
                <w:u w:val="single"/>
                <w:lang w:eastAsia="zh-CN"/>
                <w14:textFill>
                  <w14:solidFill>
                    <w14:schemeClr w14:val="tx1"/>
                  </w14:solidFill>
                </w14:textFill>
              </w:rPr>
              <w:t xml:space="preserve">哈密市中心医院 </w:t>
            </w:r>
          </w:p>
          <w:p w14:paraId="24F2EC0F">
            <w:pPr>
              <w:keepNext w:val="0"/>
              <w:keepLines w:val="0"/>
              <w:pageBreakBefore w:val="0"/>
              <w:kinsoku/>
              <w:wordWrap/>
              <w:overflowPunct/>
              <w:topLinePunct w:val="0"/>
              <w:bidi w:val="0"/>
              <w:adjustRightInd/>
              <w:snapToGrid/>
              <w:spacing w:line="560" w:lineRule="exact"/>
              <w:rPr>
                <w:rFonts w:hint="eastAsia" w:ascii="宋体" w:hAnsi="宋体" w:eastAsia="宋体" w:cs="宋体"/>
                <w:color w:val="000000" w:themeColor="text1"/>
                <w:sz w:val="28"/>
                <w:szCs w:val="28"/>
                <w:highlight w:val="none"/>
                <w:lang w:eastAsia="zh-CN"/>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地    址：</w:t>
            </w:r>
            <w:r>
              <w:rPr>
                <w:rFonts w:hint="eastAsia" w:ascii="宋体" w:hAnsi="宋体" w:cs="宋体"/>
                <w:color w:val="000000" w:themeColor="text1"/>
                <w:sz w:val="28"/>
                <w:szCs w:val="28"/>
                <w:highlight w:val="none"/>
                <w:u w:val="single"/>
                <w:lang w:eastAsia="zh-CN"/>
                <w14:textFill>
                  <w14:solidFill>
                    <w14:schemeClr w14:val="tx1"/>
                  </w14:solidFill>
                </w14:textFill>
              </w:rPr>
              <w:t>哈密市伊州区广场北路18号</w:t>
            </w:r>
          </w:p>
          <w:p w14:paraId="401116AC">
            <w:pPr>
              <w:keepNext w:val="0"/>
              <w:keepLines w:val="0"/>
              <w:pageBreakBefore w:val="0"/>
              <w:kinsoku/>
              <w:wordWrap/>
              <w:overflowPunct/>
              <w:topLinePunct w:val="0"/>
              <w:bidi w:val="0"/>
              <w:adjustRightInd/>
              <w:snapToGrid/>
              <w:spacing w:line="560" w:lineRule="exact"/>
              <w:rPr>
                <w:rFonts w:hint="eastAsia" w:ascii="宋体" w:hAnsi="宋体" w:eastAsia="宋体" w:cs="宋体"/>
                <w:color w:val="000000" w:themeColor="text1"/>
                <w:sz w:val="28"/>
                <w:szCs w:val="28"/>
                <w:highlight w:val="none"/>
                <w:u w:val="single"/>
                <w:lang w:eastAsia="zh-CN"/>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联系方式：</w:t>
            </w:r>
            <w:r>
              <w:rPr>
                <w:rFonts w:hint="eastAsia" w:ascii="宋体" w:hAnsi="宋体" w:eastAsia="宋体" w:cs="宋体"/>
                <w:color w:val="000000" w:themeColor="text1"/>
                <w:sz w:val="28"/>
                <w:szCs w:val="28"/>
                <w:highlight w:val="none"/>
                <w:u w:val="single"/>
                <w14:textFill>
                  <w14:solidFill>
                    <w14:schemeClr w14:val="tx1"/>
                  </w14:solidFill>
                </w14:textFill>
              </w:rPr>
              <w:t>0902-2260357</w:t>
            </w:r>
          </w:p>
        </w:tc>
      </w:tr>
      <w:tr w14:paraId="5443B3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14:paraId="09A11298">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3</w:t>
            </w:r>
          </w:p>
        </w:tc>
        <w:tc>
          <w:tcPr>
            <w:tcW w:w="2239" w:type="dxa"/>
            <w:tcBorders>
              <w:top w:val="single" w:color="auto" w:sz="4" w:space="0"/>
              <w:left w:val="single" w:color="auto" w:sz="4" w:space="0"/>
              <w:bottom w:val="single" w:color="auto" w:sz="4" w:space="0"/>
              <w:right w:val="single" w:color="auto" w:sz="4" w:space="0"/>
            </w:tcBorders>
            <w:vAlign w:val="center"/>
          </w:tcPr>
          <w:p w14:paraId="51BDFB02">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采购代理机构</w:t>
            </w:r>
          </w:p>
        </w:tc>
        <w:tc>
          <w:tcPr>
            <w:tcW w:w="7297" w:type="dxa"/>
            <w:tcBorders>
              <w:top w:val="single" w:color="auto" w:sz="4" w:space="0"/>
              <w:left w:val="single" w:color="auto" w:sz="4" w:space="0"/>
              <w:bottom w:val="single" w:color="auto" w:sz="4" w:space="0"/>
              <w:right w:val="single" w:color="auto" w:sz="4" w:space="0"/>
            </w:tcBorders>
            <w:vAlign w:val="center"/>
          </w:tcPr>
          <w:p w14:paraId="0E41A381">
            <w:pPr>
              <w:keepNext w:val="0"/>
              <w:keepLines w:val="0"/>
              <w:pageBreakBefore w:val="0"/>
              <w:kinsoku/>
              <w:wordWrap/>
              <w:overflowPunct/>
              <w:topLinePunct w:val="0"/>
              <w:bidi w:val="0"/>
              <w:adjustRightInd/>
              <w:snapToGrid/>
              <w:spacing w:line="560" w:lineRule="exact"/>
              <w:rPr>
                <w:rFonts w:hint="eastAsia" w:ascii="宋体" w:hAnsi="宋体" w:eastAsia="宋体" w:cs="宋体"/>
                <w:color w:val="000000" w:themeColor="text1"/>
                <w:sz w:val="28"/>
                <w:szCs w:val="28"/>
                <w:highlight w:val="none"/>
                <w:u w:val="single"/>
                <w:lang w:eastAsia="zh-CN"/>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名    称：</w:t>
            </w:r>
            <w:r>
              <w:rPr>
                <w:rFonts w:hint="eastAsia" w:ascii="宋体" w:hAnsi="宋体" w:cs="宋体"/>
                <w:color w:val="000000" w:themeColor="text1"/>
                <w:sz w:val="28"/>
                <w:szCs w:val="28"/>
                <w:highlight w:val="none"/>
                <w:u w:val="single"/>
                <w:lang w:eastAsia="zh-CN"/>
                <w14:textFill>
                  <w14:solidFill>
                    <w14:schemeClr w14:val="tx1"/>
                  </w14:solidFill>
                </w14:textFill>
              </w:rPr>
              <w:t>新疆诚誉工程项目管理有限公司</w:t>
            </w:r>
          </w:p>
          <w:p w14:paraId="6DE73546">
            <w:pPr>
              <w:keepNext w:val="0"/>
              <w:keepLines w:val="0"/>
              <w:pageBreakBefore w:val="0"/>
              <w:kinsoku/>
              <w:wordWrap/>
              <w:overflowPunct/>
              <w:topLinePunct w:val="0"/>
              <w:bidi w:val="0"/>
              <w:adjustRightInd/>
              <w:snapToGrid/>
              <w:spacing w:line="560" w:lineRule="exact"/>
              <w:rPr>
                <w:rFonts w:hint="eastAsia" w:ascii="宋体" w:hAnsi="宋体" w:eastAsia="宋体" w:cs="宋体"/>
                <w:color w:val="000000" w:themeColor="text1"/>
                <w:sz w:val="28"/>
                <w:szCs w:val="28"/>
                <w:highlight w:val="none"/>
                <w:lang w:eastAsia="zh-CN"/>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地　　址：</w:t>
            </w:r>
            <w:r>
              <w:rPr>
                <w:rFonts w:hint="eastAsia" w:ascii="宋体" w:hAnsi="宋体" w:cs="宋体"/>
                <w:color w:val="000000" w:themeColor="text1"/>
                <w:sz w:val="28"/>
                <w:szCs w:val="28"/>
                <w:highlight w:val="none"/>
                <w:u w:val="single"/>
                <w:lang w:eastAsia="zh-CN"/>
                <w14:textFill>
                  <w14:solidFill>
                    <w14:schemeClr w14:val="tx1"/>
                  </w14:solidFill>
                </w14:textFill>
              </w:rPr>
              <w:t>乌鲁木齐市会展大道599号新疆财富中心C座6楼601室</w:t>
            </w:r>
          </w:p>
          <w:p w14:paraId="5C7E39A9">
            <w:pPr>
              <w:keepNext w:val="0"/>
              <w:keepLines w:val="0"/>
              <w:pageBreakBefore w:val="0"/>
              <w:kinsoku/>
              <w:wordWrap/>
              <w:overflowPunct/>
              <w:topLinePunct w:val="0"/>
              <w:bidi w:val="0"/>
              <w:adjustRightInd/>
              <w:snapToGrid/>
              <w:spacing w:line="560" w:lineRule="exact"/>
              <w:rPr>
                <w:rFonts w:hint="eastAsia" w:ascii="宋体" w:hAnsi="宋体" w:eastAsia="宋体" w:cs="宋体"/>
                <w:color w:val="000000" w:themeColor="text1"/>
                <w:sz w:val="28"/>
                <w:szCs w:val="28"/>
                <w:highlight w:val="none"/>
                <w:lang w:eastAsia="zh-CN"/>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项目联系人：</w:t>
            </w:r>
            <w:r>
              <w:rPr>
                <w:rFonts w:hint="eastAsia" w:ascii="宋体" w:hAnsi="宋体" w:cs="宋体"/>
                <w:color w:val="000000" w:themeColor="text1"/>
                <w:sz w:val="28"/>
                <w:szCs w:val="28"/>
                <w:highlight w:val="none"/>
                <w:u w:val="single"/>
                <w:lang w:eastAsia="zh-CN"/>
                <w14:textFill>
                  <w14:solidFill>
                    <w14:schemeClr w14:val="tx1"/>
                  </w14:solidFill>
                </w14:textFill>
              </w:rPr>
              <w:t>刘慧敏、赵箭</w:t>
            </w:r>
          </w:p>
          <w:p w14:paraId="760CE599">
            <w:pPr>
              <w:pStyle w:val="11"/>
              <w:keepNext w:val="0"/>
              <w:keepLines w:val="0"/>
              <w:pageBreakBefore w:val="0"/>
              <w:kinsoku/>
              <w:wordWrap/>
              <w:overflowPunct/>
              <w:topLinePunct w:val="0"/>
              <w:bidi w:val="0"/>
              <w:adjustRightInd/>
              <w:snapToGrid/>
              <w:spacing w:line="560" w:lineRule="exact"/>
              <w:rPr>
                <w:rFonts w:hint="default"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电　　 话：</w:t>
            </w:r>
            <w:r>
              <w:rPr>
                <w:rFonts w:hint="eastAsia" w:ascii="宋体" w:hAnsi="宋体" w:cs="宋体"/>
                <w:color w:val="000000" w:themeColor="text1"/>
                <w:sz w:val="28"/>
                <w:szCs w:val="28"/>
                <w:highlight w:val="none"/>
                <w:u w:val="single"/>
                <w:lang w:val="en-US" w:eastAsia="zh-CN"/>
                <w14:textFill>
                  <w14:solidFill>
                    <w14:schemeClr w14:val="tx1"/>
                  </w14:solidFill>
                </w14:textFill>
              </w:rPr>
              <w:t>15899485207、19999115800</w:t>
            </w:r>
          </w:p>
        </w:tc>
      </w:tr>
      <w:tr w14:paraId="628F37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14:paraId="04D58AA1">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color w:val="000000" w:themeColor="text1"/>
                <w:sz w:val="28"/>
                <w:szCs w:val="28"/>
                <w:highlight w:val="none"/>
                <w:lang w:eastAsia="zh-CN"/>
                <w14:textFill>
                  <w14:solidFill>
                    <w14:schemeClr w14:val="tx1"/>
                  </w14:solidFill>
                </w14:textFill>
              </w:rPr>
            </w:pPr>
            <w:r>
              <w:rPr>
                <w:rFonts w:hint="eastAsia" w:ascii="宋体" w:hAnsi="宋体" w:cs="宋体"/>
                <w:color w:val="000000" w:themeColor="text1"/>
                <w:sz w:val="28"/>
                <w:szCs w:val="28"/>
                <w:highlight w:val="none"/>
                <w:lang w:val="en-US" w:eastAsia="zh-CN"/>
                <w14:textFill>
                  <w14:solidFill>
                    <w14:schemeClr w14:val="tx1"/>
                  </w14:solidFill>
                </w14:textFill>
              </w:rPr>
              <w:t>4</w:t>
            </w:r>
          </w:p>
        </w:tc>
        <w:tc>
          <w:tcPr>
            <w:tcW w:w="2239" w:type="dxa"/>
            <w:tcBorders>
              <w:top w:val="single" w:color="auto" w:sz="4" w:space="0"/>
              <w:left w:val="single" w:color="auto" w:sz="4" w:space="0"/>
              <w:bottom w:val="single" w:color="auto" w:sz="4" w:space="0"/>
              <w:right w:val="single" w:color="auto" w:sz="4" w:space="0"/>
            </w:tcBorders>
            <w:vAlign w:val="center"/>
          </w:tcPr>
          <w:p w14:paraId="358932B3">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是否接受联合体投标</w:t>
            </w:r>
          </w:p>
        </w:tc>
        <w:tc>
          <w:tcPr>
            <w:tcW w:w="7297" w:type="dxa"/>
            <w:tcBorders>
              <w:top w:val="single" w:color="auto" w:sz="4" w:space="0"/>
              <w:left w:val="single" w:color="auto" w:sz="4" w:space="0"/>
              <w:bottom w:val="single" w:color="auto" w:sz="4" w:space="0"/>
              <w:right w:val="single" w:color="auto" w:sz="4" w:space="0"/>
            </w:tcBorders>
            <w:vAlign w:val="center"/>
          </w:tcPr>
          <w:p w14:paraId="0A7FDCBA">
            <w:pPr>
              <w:pStyle w:val="11"/>
              <w:keepNext w:val="0"/>
              <w:keepLines w:val="0"/>
              <w:pageBreakBefore w:val="0"/>
              <w:kinsoku/>
              <w:wordWrap/>
              <w:overflowPunct/>
              <w:topLinePunct w:val="0"/>
              <w:bidi w:val="0"/>
              <w:adjustRightInd/>
              <w:snapToGrid/>
              <w:spacing w:line="560" w:lineRule="exac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不允许联合体投标。</w:t>
            </w:r>
          </w:p>
        </w:tc>
      </w:tr>
      <w:tr w14:paraId="1D5C15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14:paraId="6F997959">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color w:val="000000" w:themeColor="text1"/>
                <w:sz w:val="28"/>
                <w:szCs w:val="28"/>
                <w:highlight w:val="none"/>
                <w:lang w:eastAsia="zh-CN"/>
                <w14:textFill>
                  <w14:solidFill>
                    <w14:schemeClr w14:val="tx1"/>
                  </w14:solidFill>
                </w14:textFill>
              </w:rPr>
            </w:pPr>
            <w:r>
              <w:rPr>
                <w:rFonts w:hint="eastAsia" w:ascii="宋体" w:hAnsi="宋体" w:cs="宋体"/>
                <w:color w:val="000000" w:themeColor="text1"/>
                <w:sz w:val="28"/>
                <w:szCs w:val="28"/>
                <w:highlight w:val="none"/>
                <w:lang w:val="en-US" w:eastAsia="zh-CN"/>
                <w14:textFill>
                  <w14:solidFill>
                    <w14:schemeClr w14:val="tx1"/>
                  </w14:solidFill>
                </w14:textFill>
              </w:rPr>
              <w:t>5</w:t>
            </w:r>
          </w:p>
        </w:tc>
        <w:tc>
          <w:tcPr>
            <w:tcW w:w="2239" w:type="dxa"/>
            <w:tcBorders>
              <w:top w:val="single" w:color="auto" w:sz="4" w:space="0"/>
              <w:left w:val="single" w:color="auto" w:sz="4" w:space="0"/>
              <w:bottom w:val="single" w:color="auto" w:sz="4" w:space="0"/>
              <w:right w:val="single" w:color="auto" w:sz="4" w:space="0"/>
            </w:tcBorders>
            <w:vAlign w:val="center"/>
          </w:tcPr>
          <w:p w14:paraId="1FD98BB0">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联合体投标要求</w:t>
            </w:r>
          </w:p>
        </w:tc>
        <w:tc>
          <w:tcPr>
            <w:tcW w:w="7297" w:type="dxa"/>
            <w:tcBorders>
              <w:top w:val="single" w:color="auto" w:sz="4" w:space="0"/>
              <w:left w:val="single" w:color="auto" w:sz="4" w:space="0"/>
              <w:bottom w:val="single" w:color="auto" w:sz="4" w:space="0"/>
              <w:right w:val="single" w:color="auto" w:sz="4" w:space="0"/>
            </w:tcBorders>
            <w:vAlign w:val="center"/>
          </w:tcPr>
          <w:p w14:paraId="54259C5D">
            <w:pPr>
              <w:pStyle w:val="11"/>
              <w:keepNext w:val="0"/>
              <w:keepLines w:val="0"/>
              <w:pageBreakBefore w:val="0"/>
              <w:kinsoku/>
              <w:wordWrap/>
              <w:overflowPunct/>
              <w:topLinePunct w:val="0"/>
              <w:bidi w:val="0"/>
              <w:adjustRightInd/>
              <w:snapToGrid/>
              <w:spacing w:line="560" w:lineRule="exac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无</w:t>
            </w:r>
          </w:p>
        </w:tc>
      </w:tr>
      <w:tr w14:paraId="68CB33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14:paraId="5961E6D4">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color w:val="000000" w:themeColor="text1"/>
                <w:sz w:val="28"/>
                <w:szCs w:val="28"/>
                <w:highlight w:val="none"/>
                <w:lang w:eastAsia="zh-CN"/>
                <w14:textFill>
                  <w14:solidFill>
                    <w14:schemeClr w14:val="tx1"/>
                  </w14:solidFill>
                </w14:textFill>
              </w:rPr>
            </w:pPr>
            <w:r>
              <w:rPr>
                <w:rFonts w:hint="eastAsia" w:ascii="宋体" w:hAnsi="宋体" w:cs="宋体"/>
                <w:color w:val="000000" w:themeColor="text1"/>
                <w:sz w:val="28"/>
                <w:szCs w:val="28"/>
                <w:highlight w:val="none"/>
                <w:lang w:val="en-US" w:eastAsia="zh-CN"/>
                <w14:textFill>
                  <w14:solidFill>
                    <w14:schemeClr w14:val="tx1"/>
                  </w14:solidFill>
                </w14:textFill>
              </w:rPr>
              <w:t>6</w:t>
            </w:r>
          </w:p>
        </w:tc>
        <w:tc>
          <w:tcPr>
            <w:tcW w:w="2239" w:type="dxa"/>
            <w:tcBorders>
              <w:top w:val="single" w:color="auto" w:sz="4" w:space="0"/>
              <w:left w:val="single" w:color="auto" w:sz="4" w:space="0"/>
              <w:bottom w:val="single" w:color="auto" w:sz="4" w:space="0"/>
              <w:right w:val="single" w:color="auto" w:sz="4" w:space="0"/>
            </w:tcBorders>
            <w:vAlign w:val="center"/>
          </w:tcPr>
          <w:p w14:paraId="2CFD5BE9">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是否允许转包/分包</w:t>
            </w:r>
          </w:p>
        </w:tc>
        <w:tc>
          <w:tcPr>
            <w:tcW w:w="7297" w:type="dxa"/>
            <w:tcBorders>
              <w:top w:val="single" w:color="auto" w:sz="4" w:space="0"/>
              <w:left w:val="single" w:color="auto" w:sz="4" w:space="0"/>
              <w:bottom w:val="single" w:color="auto" w:sz="4" w:space="0"/>
              <w:right w:val="single" w:color="auto" w:sz="4" w:space="0"/>
            </w:tcBorders>
            <w:vAlign w:val="center"/>
          </w:tcPr>
          <w:p w14:paraId="65A0907F">
            <w:pPr>
              <w:pStyle w:val="11"/>
              <w:keepNext w:val="0"/>
              <w:keepLines w:val="0"/>
              <w:pageBreakBefore w:val="0"/>
              <w:kinsoku/>
              <w:wordWrap/>
              <w:overflowPunct/>
              <w:topLinePunct w:val="0"/>
              <w:bidi w:val="0"/>
              <w:adjustRightInd/>
              <w:snapToGrid/>
              <w:spacing w:line="560" w:lineRule="exac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w:t>
            </w:r>
          </w:p>
        </w:tc>
      </w:tr>
      <w:tr w14:paraId="12FCCF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14:paraId="2BA8B28E">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color w:val="000000" w:themeColor="text1"/>
                <w:sz w:val="28"/>
                <w:szCs w:val="28"/>
                <w:highlight w:val="none"/>
                <w:lang w:eastAsia="zh-CN"/>
                <w14:textFill>
                  <w14:solidFill>
                    <w14:schemeClr w14:val="tx1"/>
                  </w14:solidFill>
                </w14:textFill>
              </w:rPr>
            </w:pPr>
            <w:r>
              <w:rPr>
                <w:rFonts w:hint="eastAsia" w:ascii="宋体" w:hAnsi="宋体" w:cs="宋体"/>
                <w:color w:val="000000" w:themeColor="text1"/>
                <w:sz w:val="28"/>
                <w:szCs w:val="28"/>
                <w:highlight w:val="none"/>
                <w:lang w:val="en-US" w:eastAsia="zh-CN"/>
                <w14:textFill>
                  <w14:solidFill>
                    <w14:schemeClr w14:val="tx1"/>
                  </w14:solidFill>
                </w14:textFill>
              </w:rPr>
              <w:t>7</w:t>
            </w:r>
          </w:p>
        </w:tc>
        <w:tc>
          <w:tcPr>
            <w:tcW w:w="2239" w:type="dxa"/>
            <w:tcBorders>
              <w:top w:val="single" w:color="auto" w:sz="4" w:space="0"/>
              <w:left w:val="single" w:color="auto" w:sz="4" w:space="0"/>
              <w:bottom w:val="single" w:color="auto" w:sz="4" w:space="0"/>
              <w:right w:val="single" w:color="auto" w:sz="4" w:space="0"/>
            </w:tcBorders>
            <w:vAlign w:val="center"/>
          </w:tcPr>
          <w:p w14:paraId="2338359C">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媒体发布渠道</w:t>
            </w:r>
          </w:p>
        </w:tc>
        <w:tc>
          <w:tcPr>
            <w:tcW w:w="7297" w:type="dxa"/>
            <w:tcBorders>
              <w:top w:val="single" w:color="auto" w:sz="4" w:space="0"/>
              <w:left w:val="single" w:color="auto" w:sz="4" w:space="0"/>
              <w:bottom w:val="single" w:color="auto" w:sz="4" w:space="0"/>
              <w:right w:val="single" w:color="auto" w:sz="4" w:space="0"/>
            </w:tcBorders>
            <w:vAlign w:val="center"/>
          </w:tcPr>
          <w:p w14:paraId="1DC47790">
            <w:pPr>
              <w:keepNext w:val="0"/>
              <w:keepLines w:val="0"/>
              <w:pageBreakBefore w:val="0"/>
              <w:kinsoku/>
              <w:wordWrap/>
              <w:overflowPunct/>
              <w:topLinePunct w:val="0"/>
              <w:bidi w:val="0"/>
              <w:adjustRightInd/>
              <w:snapToGrid/>
              <w:spacing w:line="560" w:lineRule="exac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新疆政府采购网（http://www.ccgp-xinjiang.gov.cn）</w:t>
            </w:r>
          </w:p>
        </w:tc>
      </w:tr>
      <w:tr w14:paraId="3AD613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14:paraId="6E00AB36">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color w:val="000000" w:themeColor="text1"/>
                <w:sz w:val="28"/>
                <w:szCs w:val="28"/>
                <w:highlight w:val="none"/>
                <w:lang w:eastAsia="zh-CN"/>
                <w14:textFill>
                  <w14:solidFill>
                    <w14:schemeClr w14:val="tx1"/>
                  </w14:solidFill>
                </w14:textFill>
              </w:rPr>
            </w:pPr>
            <w:r>
              <w:rPr>
                <w:rFonts w:hint="eastAsia" w:ascii="宋体" w:hAnsi="宋体" w:cs="宋体"/>
                <w:color w:val="000000" w:themeColor="text1"/>
                <w:sz w:val="28"/>
                <w:szCs w:val="28"/>
                <w:highlight w:val="none"/>
                <w:lang w:val="en-US" w:eastAsia="zh-CN"/>
                <w14:textFill>
                  <w14:solidFill>
                    <w14:schemeClr w14:val="tx1"/>
                  </w14:solidFill>
                </w14:textFill>
              </w:rPr>
              <w:t>8</w:t>
            </w:r>
          </w:p>
        </w:tc>
        <w:tc>
          <w:tcPr>
            <w:tcW w:w="2239" w:type="dxa"/>
            <w:tcBorders>
              <w:top w:val="single" w:color="auto" w:sz="4" w:space="0"/>
              <w:left w:val="single" w:color="auto" w:sz="4" w:space="0"/>
              <w:bottom w:val="single" w:color="auto" w:sz="4" w:space="0"/>
              <w:right w:val="single" w:color="auto" w:sz="4" w:space="0"/>
            </w:tcBorders>
            <w:vAlign w:val="center"/>
          </w:tcPr>
          <w:p w14:paraId="7E6CD015">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是否组织标前答疑会</w:t>
            </w:r>
          </w:p>
        </w:tc>
        <w:tc>
          <w:tcPr>
            <w:tcW w:w="7297" w:type="dxa"/>
            <w:tcBorders>
              <w:top w:val="single" w:color="auto" w:sz="4" w:space="0"/>
              <w:left w:val="single" w:color="auto" w:sz="4" w:space="0"/>
              <w:bottom w:val="single" w:color="auto" w:sz="4" w:space="0"/>
              <w:right w:val="single" w:color="auto" w:sz="4" w:space="0"/>
            </w:tcBorders>
            <w:vAlign w:val="center"/>
          </w:tcPr>
          <w:p w14:paraId="6853FADD">
            <w:pPr>
              <w:keepNext w:val="0"/>
              <w:keepLines w:val="0"/>
              <w:pageBreakBefore w:val="0"/>
              <w:kinsoku/>
              <w:wordWrap/>
              <w:overflowPunct/>
              <w:topLinePunct w:val="0"/>
              <w:bidi w:val="0"/>
              <w:adjustRightInd/>
              <w:snapToGrid/>
              <w:spacing w:line="560" w:lineRule="exac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不组织召开 </w:t>
            </w:r>
          </w:p>
        </w:tc>
      </w:tr>
      <w:tr w14:paraId="7AF77B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3" w:type="dxa"/>
            <w:tcBorders>
              <w:top w:val="nil"/>
              <w:left w:val="single" w:color="auto" w:sz="4" w:space="0"/>
              <w:bottom w:val="nil"/>
              <w:right w:val="single" w:color="auto" w:sz="4" w:space="0"/>
            </w:tcBorders>
            <w:vAlign w:val="center"/>
          </w:tcPr>
          <w:p w14:paraId="6C788D17">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color w:val="000000" w:themeColor="text1"/>
                <w:sz w:val="28"/>
                <w:szCs w:val="28"/>
                <w:highlight w:val="none"/>
                <w:lang w:eastAsia="zh-CN"/>
                <w14:textFill>
                  <w14:solidFill>
                    <w14:schemeClr w14:val="tx1"/>
                  </w14:solidFill>
                </w14:textFill>
              </w:rPr>
            </w:pPr>
            <w:r>
              <w:rPr>
                <w:rFonts w:hint="eastAsia" w:ascii="宋体" w:hAnsi="宋体" w:cs="宋体"/>
                <w:color w:val="000000" w:themeColor="text1"/>
                <w:sz w:val="28"/>
                <w:szCs w:val="28"/>
                <w:highlight w:val="none"/>
                <w:lang w:val="en-US" w:eastAsia="zh-CN"/>
                <w14:textFill>
                  <w14:solidFill>
                    <w14:schemeClr w14:val="tx1"/>
                  </w14:solidFill>
                </w14:textFill>
              </w:rPr>
              <w:t>9</w:t>
            </w:r>
          </w:p>
        </w:tc>
        <w:tc>
          <w:tcPr>
            <w:tcW w:w="2239" w:type="dxa"/>
            <w:tcBorders>
              <w:top w:val="single" w:color="auto" w:sz="4" w:space="0"/>
              <w:left w:val="single" w:color="auto" w:sz="4" w:space="0"/>
              <w:bottom w:val="single" w:color="auto" w:sz="4" w:space="0"/>
              <w:right w:val="single" w:color="auto" w:sz="4" w:space="0"/>
            </w:tcBorders>
            <w:vAlign w:val="center"/>
          </w:tcPr>
          <w:p w14:paraId="5F4B621A">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资格证明文件</w:t>
            </w:r>
          </w:p>
          <w:p w14:paraId="666987C4">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组成</w:t>
            </w:r>
          </w:p>
        </w:tc>
        <w:tc>
          <w:tcPr>
            <w:tcW w:w="7297" w:type="dxa"/>
            <w:tcBorders>
              <w:top w:val="single" w:color="auto" w:sz="4" w:space="0"/>
              <w:left w:val="single" w:color="auto" w:sz="4" w:space="0"/>
              <w:bottom w:val="single" w:color="auto" w:sz="4" w:space="0"/>
              <w:right w:val="single" w:color="auto" w:sz="4" w:space="0"/>
            </w:tcBorders>
            <w:vAlign w:val="center"/>
          </w:tcPr>
          <w:p w14:paraId="7C9D5603">
            <w:pPr>
              <w:keepNext w:val="0"/>
              <w:keepLines w:val="0"/>
              <w:pageBreakBefore w:val="0"/>
              <w:kinsoku/>
              <w:wordWrap/>
              <w:overflowPunct/>
              <w:topLinePunct w:val="0"/>
              <w:bidi w:val="0"/>
              <w:adjustRightInd/>
              <w:snapToGrid/>
              <w:spacing w:line="560" w:lineRule="exact"/>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1、具有独立承担民事责任的能力；（提供合法有效的法人营业执照）</w:t>
            </w:r>
          </w:p>
          <w:p w14:paraId="5BE5FFE8">
            <w:pPr>
              <w:keepNext w:val="0"/>
              <w:keepLines w:val="0"/>
              <w:pageBreakBefore w:val="0"/>
              <w:kinsoku/>
              <w:wordWrap/>
              <w:overflowPunct/>
              <w:topLinePunct w:val="0"/>
              <w:bidi w:val="0"/>
              <w:adjustRightInd/>
              <w:snapToGrid/>
              <w:spacing w:line="560" w:lineRule="exact"/>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2、具有良好的商业信誉和健全的财务会计制度；（</w:t>
            </w:r>
            <w:r>
              <w:rPr>
                <w:rFonts w:hint="eastAsia" w:ascii="宋体" w:hAnsi="宋体" w:cs="宋体"/>
                <w:color w:val="000000" w:themeColor="text1"/>
                <w:sz w:val="28"/>
                <w:szCs w:val="28"/>
                <w:highlight w:val="none"/>
                <w:lang w:val="en-US" w:eastAsia="zh-CN"/>
                <w14:textFill>
                  <w14:solidFill>
                    <w14:schemeClr w14:val="tx1"/>
                  </w14:solidFill>
                </w14:textFill>
              </w:rPr>
              <w:t>提供</w:t>
            </w:r>
            <w:r>
              <w:rPr>
                <w:rFonts w:hint="eastAsia" w:ascii="宋体" w:hAnsi="宋体" w:eastAsia="宋体"/>
                <w:color w:val="000000" w:themeColor="text1"/>
                <w:sz w:val="28"/>
                <w:szCs w:val="28"/>
                <w:highlight w:val="none"/>
                <w14:textFill>
                  <w14:solidFill>
                    <w14:schemeClr w14:val="tx1"/>
                  </w14:solidFill>
                </w14:textFill>
              </w:rPr>
              <w:t>202</w:t>
            </w:r>
            <w:r>
              <w:rPr>
                <w:rFonts w:hint="eastAsia" w:ascii="宋体" w:hAnsi="宋体"/>
                <w:color w:val="000000" w:themeColor="text1"/>
                <w:sz w:val="28"/>
                <w:szCs w:val="28"/>
                <w:highlight w:val="none"/>
                <w:lang w:val="en-US" w:eastAsia="zh-CN"/>
                <w14:textFill>
                  <w14:solidFill>
                    <w14:schemeClr w14:val="tx1"/>
                  </w14:solidFill>
                </w14:textFill>
              </w:rPr>
              <w:t>2</w:t>
            </w:r>
            <w:r>
              <w:rPr>
                <w:rFonts w:hint="eastAsia" w:ascii="宋体" w:hAnsi="宋体" w:eastAsia="宋体"/>
                <w:color w:val="000000" w:themeColor="text1"/>
                <w:sz w:val="28"/>
                <w:szCs w:val="28"/>
                <w:highlight w:val="none"/>
                <w14:textFill>
                  <w14:solidFill>
                    <w14:schemeClr w14:val="tx1"/>
                  </w14:solidFill>
                </w14:textFill>
              </w:rPr>
              <w:t>-202</w:t>
            </w:r>
            <w:r>
              <w:rPr>
                <w:rFonts w:hint="eastAsia" w:ascii="宋体" w:hAnsi="宋体"/>
                <w:color w:val="000000" w:themeColor="text1"/>
                <w:sz w:val="28"/>
                <w:szCs w:val="28"/>
                <w:highlight w:val="none"/>
                <w:lang w:val="en-US" w:eastAsia="zh-CN"/>
                <w14:textFill>
                  <w14:solidFill>
                    <w14:schemeClr w14:val="tx1"/>
                  </w14:solidFill>
                </w14:textFill>
              </w:rPr>
              <w:t>4</w:t>
            </w:r>
            <w:r>
              <w:rPr>
                <w:rFonts w:hint="eastAsia" w:ascii="宋体" w:hAnsi="宋体" w:eastAsia="宋体" w:cs="宋体"/>
                <w:color w:val="000000" w:themeColor="text1"/>
                <w:sz w:val="28"/>
                <w:szCs w:val="28"/>
                <w:highlight w:val="none"/>
                <w14:textFill>
                  <w14:solidFill>
                    <w14:schemeClr w14:val="tx1"/>
                  </w14:solidFill>
                </w14:textFill>
              </w:rPr>
              <w:t>年任意一年的</w:t>
            </w:r>
            <w:r>
              <w:rPr>
                <w:rFonts w:hint="eastAsia" w:ascii="宋体" w:hAnsi="宋体" w:eastAsia="宋体" w:cs="宋体"/>
                <w:color w:val="000000" w:themeColor="text1"/>
                <w:sz w:val="28"/>
                <w:szCs w:val="28"/>
                <w:highlight w:val="none"/>
                <w:lang w:val="en-US" w:eastAsia="zh-CN"/>
                <w14:textFill>
                  <w14:solidFill>
                    <w14:schemeClr w14:val="tx1"/>
                  </w14:solidFill>
                </w14:textFill>
              </w:rPr>
              <w:t>完整</w:t>
            </w:r>
            <w:r>
              <w:rPr>
                <w:rFonts w:hint="eastAsia" w:ascii="宋体" w:hAnsi="宋体" w:eastAsia="宋体" w:cs="宋体"/>
                <w:color w:val="000000" w:themeColor="text1"/>
                <w:sz w:val="28"/>
                <w:szCs w:val="28"/>
                <w:highlight w:val="none"/>
                <w14:textFill>
                  <w14:solidFill>
                    <w14:schemeClr w14:val="tx1"/>
                  </w14:solidFill>
                </w14:textFill>
              </w:rPr>
              <w:t xml:space="preserve">审计报告或财务报表（应包括资产负债表、现金流量表、利润表），本年度新成立或成立不满一年的无法提供财务审计报告或财务状况报告表的无需提供。） </w:t>
            </w:r>
          </w:p>
          <w:p w14:paraId="0E37C31E">
            <w:pPr>
              <w:keepNext w:val="0"/>
              <w:keepLines w:val="0"/>
              <w:pageBreakBefore w:val="0"/>
              <w:kinsoku/>
              <w:wordWrap/>
              <w:overflowPunct/>
              <w:topLinePunct w:val="0"/>
              <w:bidi w:val="0"/>
              <w:adjustRightInd/>
              <w:snapToGrid/>
              <w:spacing w:line="560" w:lineRule="exact"/>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3、具有履行合同所必需的设备和专业技术能力；（根据项目需求提供履行合同所必需的设备和专业技术能力的加盖单位公章的书面承诺函）</w:t>
            </w:r>
          </w:p>
          <w:p w14:paraId="5667AF53">
            <w:pPr>
              <w:keepNext w:val="0"/>
              <w:keepLines w:val="0"/>
              <w:pageBreakBefore w:val="0"/>
              <w:kinsoku/>
              <w:wordWrap/>
              <w:overflowPunct/>
              <w:topLinePunct w:val="0"/>
              <w:bidi w:val="0"/>
              <w:adjustRightInd/>
              <w:snapToGrid/>
              <w:spacing w:line="560" w:lineRule="exact"/>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4、有依法缴纳税收和社会保障资金的良好记录；（提供参加本次政府采购活动前近半年任意一个月的依法缴纳税收和社会保障资金的相关材料） </w:t>
            </w:r>
          </w:p>
          <w:p w14:paraId="679F8B8B">
            <w:pPr>
              <w:keepNext w:val="0"/>
              <w:keepLines w:val="0"/>
              <w:pageBreakBefore w:val="0"/>
              <w:kinsoku/>
              <w:wordWrap/>
              <w:overflowPunct/>
              <w:topLinePunct w:val="0"/>
              <w:bidi w:val="0"/>
              <w:adjustRightInd/>
              <w:snapToGrid/>
              <w:spacing w:line="560" w:lineRule="exact"/>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5、参加政府采购活动前三年内，在经营活动中没有重大违法记录；（提供参加本次政府采购活动前3年内在经营活动中没有重大违法记录的书面承诺函并加盖单位公章）</w:t>
            </w:r>
          </w:p>
          <w:p w14:paraId="14E3270F">
            <w:pPr>
              <w:keepNext w:val="0"/>
              <w:keepLines w:val="0"/>
              <w:pageBreakBefore w:val="0"/>
              <w:kinsoku/>
              <w:wordWrap/>
              <w:overflowPunct/>
              <w:topLinePunct w:val="0"/>
              <w:bidi w:val="0"/>
              <w:adjustRightInd/>
              <w:snapToGrid/>
              <w:spacing w:line="560" w:lineRule="exact"/>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6、法律、行政法规规定的其他条件</w:t>
            </w:r>
            <w:r>
              <w:rPr>
                <w:rFonts w:hint="eastAsia" w:ascii="宋体" w:hAnsi="宋体" w:cs="宋体"/>
                <w:color w:val="000000" w:themeColor="text1"/>
                <w:sz w:val="28"/>
                <w:szCs w:val="28"/>
                <w:highlight w:val="none"/>
                <w:lang w:eastAsia="zh-CN"/>
                <w14:textFill>
                  <w14:solidFill>
                    <w14:schemeClr w14:val="tx1"/>
                  </w14:solidFill>
                </w14:textFill>
              </w:rPr>
              <w:t>（提供信用信誉承诺函）</w:t>
            </w:r>
            <w:r>
              <w:rPr>
                <w:rFonts w:hint="eastAsia" w:ascii="宋体" w:hAnsi="宋体" w:eastAsia="宋体" w:cs="宋体"/>
                <w:color w:val="000000" w:themeColor="text1"/>
                <w:sz w:val="28"/>
                <w:szCs w:val="28"/>
                <w:highlight w:val="none"/>
                <w14:textFill>
                  <w14:solidFill>
                    <w14:schemeClr w14:val="tx1"/>
                  </w14:solidFill>
                </w14:textFill>
              </w:rPr>
              <w:t>；</w:t>
            </w:r>
          </w:p>
          <w:p w14:paraId="6099832C">
            <w:pPr>
              <w:keepNext w:val="0"/>
              <w:keepLines w:val="0"/>
              <w:pageBreakBefore w:val="0"/>
              <w:numPr>
                <w:ilvl w:val="0"/>
                <w:numId w:val="0"/>
              </w:numPr>
              <w:kinsoku/>
              <w:wordWrap/>
              <w:overflowPunct/>
              <w:topLinePunct w:val="0"/>
              <w:bidi w:val="0"/>
              <w:adjustRightInd/>
              <w:snapToGrid/>
              <w:spacing w:line="560" w:lineRule="exact"/>
              <w:jc w:val="both"/>
              <w:rPr>
                <w:rFonts w:hint="eastAsia" w:ascii="宋体" w:hAnsi="宋体" w:eastAsia="宋体" w:cs="宋体"/>
                <w:color w:val="000000" w:themeColor="text1"/>
                <w:sz w:val="28"/>
                <w:szCs w:val="28"/>
                <w:highlight w:val="none"/>
                <w:lang w:eastAsia="zh-CN"/>
                <w14:textFill>
                  <w14:solidFill>
                    <w14:schemeClr w14:val="tx1"/>
                  </w14:solidFill>
                </w14:textFill>
              </w:rPr>
            </w:pPr>
            <w:r>
              <w:rPr>
                <w:rFonts w:hint="eastAsia" w:ascii="宋体" w:hAnsi="宋体" w:eastAsia="宋体" w:cs="宋体"/>
                <w:color w:val="000000" w:themeColor="text1"/>
                <w:kern w:val="2"/>
                <w:sz w:val="28"/>
                <w:szCs w:val="28"/>
                <w:lang w:val="en-US" w:eastAsia="zh-CN" w:bidi="ar-SA"/>
                <w14:textFill>
                  <w14:solidFill>
                    <w14:schemeClr w14:val="tx1"/>
                  </w14:solidFill>
                </w14:textFill>
              </w:rPr>
              <w:t>7、</w:t>
            </w:r>
            <w:r>
              <w:rPr>
                <w:rFonts w:hint="eastAsia" w:ascii="宋体" w:hAnsi="宋体" w:eastAsia="宋体" w:cs="宋体"/>
                <w:color w:val="000000" w:themeColor="text1"/>
                <w:sz w:val="28"/>
                <w:szCs w:val="28"/>
                <w:highlight w:val="none"/>
                <w14:textFill>
                  <w14:solidFill>
                    <w14:schemeClr w14:val="tx1"/>
                  </w14:solidFill>
                </w14:textFill>
              </w:rPr>
              <w:t>投标保证金凭证；</w:t>
            </w:r>
          </w:p>
        </w:tc>
      </w:tr>
      <w:tr w14:paraId="5E2D9E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3" w:type="dxa"/>
            <w:tcBorders>
              <w:top w:val="nil"/>
              <w:left w:val="single" w:color="auto" w:sz="4" w:space="0"/>
              <w:bottom w:val="nil"/>
              <w:right w:val="single" w:color="auto" w:sz="4" w:space="0"/>
            </w:tcBorders>
            <w:vAlign w:val="center"/>
          </w:tcPr>
          <w:p w14:paraId="598E7E8F">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2239" w:type="dxa"/>
            <w:tcBorders>
              <w:top w:val="single" w:color="auto" w:sz="4" w:space="0"/>
              <w:left w:val="single" w:color="auto" w:sz="4" w:space="0"/>
              <w:bottom w:val="single" w:color="auto" w:sz="4" w:space="0"/>
              <w:right w:val="single" w:color="auto" w:sz="4" w:space="0"/>
            </w:tcBorders>
            <w:vAlign w:val="center"/>
          </w:tcPr>
          <w:p w14:paraId="34F20181">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商务文件组成</w:t>
            </w:r>
          </w:p>
          <w:p w14:paraId="3FB6BB77">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7297" w:type="dxa"/>
            <w:tcBorders>
              <w:top w:val="single" w:color="auto" w:sz="4" w:space="0"/>
              <w:left w:val="single" w:color="auto" w:sz="4" w:space="0"/>
              <w:bottom w:val="single" w:color="auto" w:sz="4" w:space="0"/>
              <w:right w:val="single" w:color="auto" w:sz="4" w:space="0"/>
            </w:tcBorders>
            <w:vAlign w:val="center"/>
          </w:tcPr>
          <w:p w14:paraId="131F91C8">
            <w:pPr>
              <w:keepNext w:val="0"/>
              <w:keepLines w:val="0"/>
              <w:pageBreakBefore w:val="0"/>
              <w:kinsoku/>
              <w:wordWrap/>
              <w:overflowPunct/>
              <w:topLinePunct w:val="0"/>
              <w:bidi w:val="0"/>
              <w:adjustRightInd/>
              <w:snapToGrid/>
              <w:spacing w:line="56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1、无串通投标行为的承诺函； </w:t>
            </w:r>
          </w:p>
          <w:p w14:paraId="440998E9">
            <w:pPr>
              <w:keepNext w:val="0"/>
              <w:keepLines w:val="0"/>
              <w:pageBreakBefore w:val="0"/>
              <w:kinsoku/>
              <w:wordWrap/>
              <w:overflowPunct/>
              <w:topLinePunct w:val="0"/>
              <w:bidi w:val="0"/>
              <w:adjustRightInd/>
              <w:snapToGrid/>
              <w:spacing w:line="56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2、法定代表人身份证明；</w:t>
            </w:r>
          </w:p>
          <w:p w14:paraId="3777EDE1">
            <w:pPr>
              <w:keepNext w:val="0"/>
              <w:keepLines w:val="0"/>
              <w:pageBreakBefore w:val="0"/>
              <w:kinsoku/>
              <w:wordWrap/>
              <w:overflowPunct/>
              <w:topLinePunct w:val="0"/>
              <w:bidi w:val="0"/>
              <w:adjustRightInd/>
              <w:snapToGrid/>
              <w:spacing w:line="56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3、法定代表人授权委托书（如有委托时）；</w:t>
            </w:r>
          </w:p>
          <w:p w14:paraId="0568D6E7">
            <w:pPr>
              <w:keepNext w:val="0"/>
              <w:keepLines w:val="0"/>
              <w:pageBreakBefore w:val="0"/>
              <w:kinsoku/>
              <w:wordWrap/>
              <w:overflowPunct/>
              <w:topLinePunct w:val="0"/>
              <w:bidi w:val="0"/>
              <w:adjustRightInd/>
              <w:snapToGrid/>
              <w:spacing w:line="56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4、商务条款偏离表；</w:t>
            </w:r>
          </w:p>
          <w:p w14:paraId="7954436F">
            <w:pPr>
              <w:keepNext w:val="0"/>
              <w:keepLines w:val="0"/>
              <w:pageBreakBefore w:val="0"/>
              <w:kinsoku/>
              <w:wordWrap/>
              <w:overflowPunct/>
              <w:topLinePunct w:val="0"/>
              <w:bidi w:val="0"/>
              <w:adjustRightInd/>
              <w:snapToGrid/>
              <w:spacing w:line="56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5、</w:t>
            </w:r>
            <w:r>
              <w:rPr>
                <w:rFonts w:hint="eastAsia" w:ascii="宋体" w:hAnsi="宋体" w:cs="宋体"/>
                <w:color w:val="000000" w:themeColor="text1"/>
                <w:sz w:val="28"/>
                <w:szCs w:val="28"/>
                <w:highlight w:val="none"/>
                <w:lang w:eastAsia="zh-CN"/>
                <w14:textFill>
                  <w14:solidFill>
                    <w14:schemeClr w14:val="tx1"/>
                  </w14:solidFill>
                </w14:textFill>
              </w:rPr>
              <w:t>供应商</w:t>
            </w:r>
            <w:r>
              <w:rPr>
                <w:rFonts w:hint="eastAsia" w:ascii="宋体" w:hAnsi="宋体" w:eastAsia="宋体" w:cs="宋体"/>
                <w:color w:val="000000" w:themeColor="text1"/>
                <w:sz w:val="28"/>
                <w:szCs w:val="28"/>
                <w:highlight w:val="none"/>
                <w14:textFill>
                  <w14:solidFill>
                    <w14:schemeClr w14:val="tx1"/>
                  </w14:solidFill>
                </w14:textFill>
              </w:rPr>
              <w:t>情况介绍；</w:t>
            </w:r>
          </w:p>
          <w:p w14:paraId="4404D710">
            <w:pPr>
              <w:keepNext w:val="0"/>
              <w:keepLines w:val="0"/>
              <w:pageBreakBefore w:val="0"/>
              <w:kinsoku/>
              <w:wordWrap/>
              <w:overflowPunct/>
              <w:topLinePunct w:val="0"/>
              <w:bidi w:val="0"/>
              <w:adjustRightInd/>
              <w:snapToGrid/>
              <w:spacing w:line="56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6、供应商类似业绩的证明文件；</w:t>
            </w:r>
          </w:p>
          <w:p w14:paraId="0E19D534">
            <w:pPr>
              <w:keepNext w:val="0"/>
              <w:keepLines w:val="0"/>
              <w:pageBreakBefore w:val="0"/>
              <w:kinsoku/>
              <w:wordWrap/>
              <w:overflowPunct/>
              <w:topLinePunct w:val="0"/>
              <w:bidi w:val="0"/>
              <w:adjustRightInd/>
              <w:snapToGrid/>
              <w:spacing w:line="560" w:lineRule="exact"/>
              <w:jc w:val="left"/>
              <w:rPr>
                <w:rFonts w:hint="eastAsia" w:ascii="宋体" w:hAnsi="宋体" w:eastAsia="宋体" w:cs="宋体"/>
                <w:color w:val="000000" w:themeColor="text1"/>
                <w:sz w:val="28"/>
                <w:szCs w:val="28"/>
                <w:highlight w:val="none"/>
                <w:lang w:eastAsia="zh-CN"/>
                <w14:textFill>
                  <w14:solidFill>
                    <w14:schemeClr w14:val="tx1"/>
                  </w14:solidFill>
                </w14:textFill>
              </w:rPr>
            </w:pPr>
            <w:r>
              <w:rPr>
                <w:rFonts w:hint="eastAsia" w:ascii="宋体" w:hAnsi="宋体" w:cs="宋体"/>
                <w:color w:val="000000" w:themeColor="text1"/>
                <w:sz w:val="28"/>
                <w:szCs w:val="28"/>
                <w:highlight w:val="none"/>
                <w:lang w:val="en-US" w:eastAsia="zh-CN"/>
                <w14:textFill>
                  <w14:solidFill>
                    <w14:schemeClr w14:val="tx1"/>
                  </w14:solidFill>
                </w14:textFill>
              </w:rPr>
              <w:t>7</w:t>
            </w:r>
            <w:r>
              <w:rPr>
                <w:rFonts w:hint="eastAsia" w:ascii="宋体" w:hAnsi="宋体" w:eastAsia="宋体" w:cs="宋体"/>
                <w:color w:val="000000" w:themeColor="text1"/>
                <w:sz w:val="28"/>
                <w:szCs w:val="28"/>
                <w:highlight w:val="none"/>
                <w14:textFill>
                  <w14:solidFill>
                    <w14:schemeClr w14:val="tx1"/>
                  </w14:solidFill>
                </w14:textFill>
              </w:rPr>
              <w:t>、项目</w:t>
            </w:r>
            <w:r>
              <w:rPr>
                <w:rFonts w:hint="eastAsia" w:ascii="宋体" w:hAnsi="宋体" w:cs="宋体"/>
                <w:color w:val="000000" w:themeColor="text1"/>
                <w:sz w:val="28"/>
                <w:szCs w:val="28"/>
                <w:highlight w:val="none"/>
                <w:lang w:eastAsia="zh-CN"/>
                <w14:textFill>
                  <w14:solidFill>
                    <w14:schemeClr w14:val="tx1"/>
                  </w14:solidFill>
                </w14:textFill>
              </w:rPr>
              <w:t>负责人简历表</w:t>
            </w:r>
            <w:r>
              <w:rPr>
                <w:rFonts w:hint="eastAsia" w:ascii="宋体" w:hAnsi="宋体" w:eastAsia="宋体" w:cs="宋体"/>
                <w:color w:val="000000" w:themeColor="text1"/>
                <w:sz w:val="28"/>
                <w:szCs w:val="28"/>
                <w:highlight w:val="none"/>
                <w:lang w:eastAsia="zh-CN"/>
                <w14:textFill>
                  <w14:solidFill>
                    <w14:schemeClr w14:val="tx1"/>
                  </w14:solidFill>
                </w14:textFill>
              </w:rPr>
              <w:t>；</w:t>
            </w:r>
          </w:p>
          <w:p w14:paraId="2A6DBD9C">
            <w:pPr>
              <w:keepNext w:val="0"/>
              <w:keepLines w:val="0"/>
              <w:pageBreakBefore w:val="0"/>
              <w:kinsoku/>
              <w:wordWrap/>
              <w:overflowPunct/>
              <w:topLinePunct w:val="0"/>
              <w:bidi w:val="0"/>
              <w:adjustRightInd/>
              <w:snapToGrid/>
              <w:spacing w:line="56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lang w:val="en-US" w:eastAsia="zh-CN"/>
                <w14:textFill>
                  <w14:solidFill>
                    <w14:schemeClr w14:val="tx1"/>
                  </w14:solidFill>
                </w14:textFill>
              </w:rPr>
              <w:t>8</w:t>
            </w:r>
            <w:r>
              <w:rPr>
                <w:rFonts w:hint="eastAsia" w:ascii="宋体" w:hAnsi="宋体" w:eastAsia="宋体" w:cs="宋体"/>
                <w:color w:val="000000" w:themeColor="text1"/>
                <w:sz w:val="28"/>
                <w:szCs w:val="28"/>
                <w:highlight w:val="none"/>
                <w14:textFill>
                  <w14:solidFill>
                    <w14:schemeClr w14:val="tx1"/>
                  </w14:solidFill>
                </w14:textFill>
              </w:rPr>
              <w:t>、</w:t>
            </w:r>
            <w:r>
              <w:rPr>
                <w:rFonts w:hint="eastAsia" w:ascii="宋体" w:hAnsi="宋体" w:cs="宋体"/>
                <w:color w:val="000000" w:themeColor="text1"/>
                <w:sz w:val="28"/>
                <w:szCs w:val="28"/>
                <w:highlight w:val="none"/>
                <w:lang w:eastAsia="zh-CN"/>
                <w14:textFill>
                  <w14:solidFill>
                    <w14:schemeClr w14:val="tx1"/>
                  </w14:solidFill>
                </w14:textFill>
              </w:rPr>
              <w:t>供应商</w:t>
            </w:r>
            <w:r>
              <w:rPr>
                <w:rFonts w:hint="eastAsia" w:ascii="宋体" w:hAnsi="宋体" w:eastAsia="宋体" w:cs="宋体"/>
                <w:color w:val="000000" w:themeColor="text1"/>
                <w:sz w:val="28"/>
                <w:szCs w:val="28"/>
                <w:highlight w:val="none"/>
                <w14:textFill>
                  <w14:solidFill>
                    <w14:schemeClr w14:val="tx1"/>
                  </w14:solidFill>
                </w14:textFill>
              </w:rPr>
              <w:t>认为需要提供的其他</w:t>
            </w:r>
            <w:r>
              <w:rPr>
                <w:rFonts w:hint="eastAsia" w:ascii="宋体" w:hAnsi="宋体" w:cs="宋体"/>
                <w:color w:val="000000" w:themeColor="text1"/>
                <w:sz w:val="28"/>
                <w:szCs w:val="28"/>
                <w:highlight w:val="none"/>
                <w:lang w:eastAsia="zh-CN"/>
                <w14:textFill>
                  <w14:solidFill>
                    <w14:schemeClr w14:val="tx1"/>
                  </w14:solidFill>
                </w14:textFill>
              </w:rPr>
              <w:t>商务文件</w:t>
            </w:r>
            <w:r>
              <w:rPr>
                <w:rFonts w:hint="eastAsia" w:ascii="宋体" w:hAnsi="宋体" w:eastAsia="宋体" w:cs="宋体"/>
                <w:color w:val="000000" w:themeColor="text1"/>
                <w:sz w:val="28"/>
                <w:szCs w:val="28"/>
                <w:highlight w:val="none"/>
                <w14:textFill>
                  <w14:solidFill>
                    <w14:schemeClr w14:val="tx1"/>
                  </w14:solidFill>
                </w14:textFill>
              </w:rPr>
              <w:t>材料。</w:t>
            </w:r>
          </w:p>
        </w:tc>
      </w:tr>
      <w:tr w14:paraId="3C57AE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3" w:type="dxa"/>
            <w:vMerge w:val="restart"/>
            <w:tcBorders>
              <w:top w:val="nil"/>
              <w:left w:val="single" w:color="auto" w:sz="4" w:space="0"/>
              <w:bottom w:val="single" w:color="auto" w:sz="4" w:space="0"/>
              <w:right w:val="single" w:color="auto" w:sz="4" w:space="0"/>
            </w:tcBorders>
            <w:vAlign w:val="center"/>
          </w:tcPr>
          <w:p w14:paraId="789C9598">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2239" w:type="dxa"/>
            <w:tcBorders>
              <w:top w:val="single" w:color="auto" w:sz="4" w:space="0"/>
              <w:left w:val="single" w:color="auto" w:sz="4" w:space="0"/>
              <w:bottom w:val="single" w:color="auto" w:sz="4" w:space="0"/>
              <w:right w:val="single" w:color="auto" w:sz="4" w:space="0"/>
            </w:tcBorders>
            <w:vAlign w:val="center"/>
          </w:tcPr>
          <w:p w14:paraId="4C184216">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技术文件组成</w:t>
            </w:r>
          </w:p>
          <w:p w14:paraId="6E49E35D">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7297" w:type="dxa"/>
            <w:tcBorders>
              <w:top w:val="single" w:color="auto" w:sz="4" w:space="0"/>
              <w:left w:val="single" w:color="auto" w:sz="4" w:space="0"/>
              <w:bottom w:val="single" w:color="auto" w:sz="4" w:space="0"/>
              <w:right w:val="single" w:color="auto" w:sz="4" w:space="0"/>
            </w:tcBorders>
            <w:vAlign w:val="center"/>
          </w:tcPr>
          <w:p w14:paraId="644A6631">
            <w:pPr>
              <w:keepNext w:val="0"/>
              <w:keepLines w:val="0"/>
              <w:pageBreakBefore w:val="0"/>
              <w:kinsoku/>
              <w:wordWrap/>
              <w:overflowPunct/>
              <w:topLinePunct w:val="0"/>
              <w:bidi w:val="0"/>
              <w:adjustRightInd/>
              <w:snapToGrid/>
              <w:spacing w:line="560" w:lineRule="exact"/>
              <w:rPr>
                <w:rFonts w:hint="eastAsia" w:ascii="宋体" w:hAnsi="宋体" w:eastAsia="宋体" w:cs="宋体"/>
                <w:color w:val="000000" w:themeColor="text1"/>
                <w:sz w:val="28"/>
                <w:szCs w:val="28"/>
                <w:highlight w:val="none"/>
                <w:lang w:eastAsia="zh-CN"/>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1、技术需求偏离表</w:t>
            </w:r>
            <w:r>
              <w:rPr>
                <w:rFonts w:hint="eastAsia" w:ascii="宋体" w:hAnsi="宋体" w:cs="宋体"/>
                <w:color w:val="000000" w:themeColor="text1"/>
                <w:sz w:val="28"/>
                <w:szCs w:val="28"/>
                <w:highlight w:val="none"/>
                <w:lang w:eastAsia="zh-CN"/>
                <w14:textFill>
                  <w14:solidFill>
                    <w14:schemeClr w14:val="tx1"/>
                  </w14:solidFill>
                </w14:textFill>
              </w:rPr>
              <w:t>；</w:t>
            </w:r>
          </w:p>
          <w:p w14:paraId="4DF1D763">
            <w:pPr>
              <w:keepNext w:val="0"/>
              <w:keepLines w:val="0"/>
              <w:pageBreakBefore w:val="0"/>
              <w:kinsoku/>
              <w:wordWrap/>
              <w:overflowPunct/>
              <w:topLinePunct w:val="0"/>
              <w:bidi w:val="0"/>
              <w:adjustRightInd/>
              <w:snapToGrid/>
              <w:spacing w:line="560" w:lineRule="exact"/>
              <w:rPr>
                <w:rFonts w:hint="eastAsia" w:ascii="宋体" w:hAnsi="宋体" w:eastAsia="宋体" w:cs="宋体"/>
                <w:color w:val="000000" w:themeColor="text1"/>
                <w:sz w:val="28"/>
                <w:szCs w:val="28"/>
                <w:highlight w:val="none"/>
                <w:lang w:eastAsia="zh-CN"/>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2、采购清单</w:t>
            </w:r>
            <w:r>
              <w:rPr>
                <w:rFonts w:hint="eastAsia" w:ascii="宋体" w:hAnsi="宋体" w:cs="宋体"/>
                <w:color w:val="000000" w:themeColor="text1"/>
                <w:sz w:val="28"/>
                <w:szCs w:val="28"/>
                <w:highlight w:val="none"/>
                <w:lang w:eastAsia="zh-CN"/>
                <w14:textFill>
                  <w14:solidFill>
                    <w14:schemeClr w14:val="tx1"/>
                  </w14:solidFill>
                </w14:textFill>
              </w:rPr>
              <w:t>；</w:t>
            </w:r>
          </w:p>
          <w:p w14:paraId="6AAF761D">
            <w:pPr>
              <w:keepNext w:val="0"/>
              <w:keepLines w:val="0"/>
              <w:pageBreakBefore w:val="0"/>
              <w:kinsoku/>
              <w:wordWrap/>
              <w:overflowPunct/>
              <w:topLinePunct w:val="0"/>
              <w:bidi w:val="0"/>
              <w:adjustRightInd/>
              <w:snapToGrid/>
              <w:spacing w:line="560" w:lineRule="exact"/>
              <w:rPr>
                <w:rFonts w:hint="eastAsia" w:ascii="宋体" w:hAnsi="宋体" w:eastAsia="宋体" w:cs="宋体"/>
                <w:color w:val="000000" w:themeColor="text1"/>
                <w:sz w:val="28"/>
                <w:szCs w:val="28"/>
                <w:highlight w:val="none"/>
                <w:lang w:eastAsia="zh-CN"/>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3、产品及性能</w:t>
            </w:r>
            <w:r>
              <w:rPr>
                <w:rFonts w:hint="eastAsia" w:ascii="宋体" w:hAnsi="宋体" w:cs="宋体"/>
                <w:color w:val="000000" w:themeColor="text1"/>
                <w:sz w:val="28"/>
                <w:szCs w:val="28"/>
                <w:highlight w:val="none"/>
                <w:lang w:eastAsia="zh-CN"/>
                <w14:textFill>
                  <w14:solidFill>
                    <w14:schemeClr w14:val="tx1"/>
                  </w14:solidFill>
                </w14:textFill>
              </w:rPr>
              <w:t>；</w:t>
            </w:r>
          </w:p>
          <w:p w14:paraId="2FBAE565">
            <w:pPr>
              <w:keepNext w:val="0"/>
              <w:keepLines w:val="0"/>
              <w:pageBreakBefore w:val="0"/>
              <w:kinsoku/>
              <w:wordWrap/>
              <w:overflowPunct/>
              <w:topLinePunct w:val="0"/>
              <w:bidi w:val="0"/>
              <w:adjustRightInd/>
              <w:snapToGrid/>
              <w:spacing w:line="560" w:lineRule="exact"/>
              <w:rPr>
                <w:rFonts w:hint="eastAsia" w:ascii="宋体" w:hAnsi="宋体" w:eastAsia="宋体" w:cs="宋体"/>
                <w:color w:val="000000" w:themeColor="text1"/>
                <w:sz w:val="28"/>
                <w:szCs w:val="28"/>
                <w:highlight w:val="none"/>
                <w:lang w:eastAsia="zh-CN"/>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4、</w:t>
            </w:r>
            <w:r>
              <w:rPr>
                <w:rFonts w:hint="eastAsia" w:ascii="宋体" w:hAnsi="宋体" w:cs="宋体"/>
                <w:color w:val="000000" w:themeColor="text1"/>
                <w:sz w:val="28"/>
                <w:szCs w:val="28"/>
                <w:highlight w:val="none"/>
                <w:lang w:eastAsia="zh-CN"/>
                <w14:textFill>
                  <w14:solidFill>
                    <w14:schemeClr w14:val="tx1"/>
                  </w14:solidFill>
                </w14:textFill>
              </w:rPr>
              <w:t>技术</w:t>
            </w:r>
            <w:r>
              <w:rPr>
                <w:rFonts w:hint="eastAsia" w:ascii="宋体" w:hAnsi="宋体" w:eastAsia="宋体" w:cs="宋体"/>
                <w:color w:val="000000" w:themeColor="text1"/>
                <w:sz w:val="28"/>
                <w:szCs w:val="28"/>
                <w:highlight w:val="none"/>
                <w14:textFill>
                  <w14:solidFill>
                    <w14:schemeClr w14:val="tx1"/>
                  </w14:solidFill>
                </w14:textFill>
              </w:rPr>
              <w:t>方案</w:t>
            </w:r>
            <w:r>
              <w:rPr>
                <w:rFonts w:hint="eastAsia" w:ascii="宋体" w:hAnsi="宋体" w:cs="宋体"/>
                <w:color w:val="000000" w:themeColor="text1"/>
                <w:sz w:val="28"/>
                <w:szCs w:val="28"/>
                <w:highlight w:val="none"/>
                <w:lang w:eastAsia="zh-CN"/>
                <w14:textFill>
                  <w14:solidFill>
                    <w14:schemeClr w14:val="tx1"/>
                  </w14:solidFill>
                </w14:textFill>
              </w:rPr>
              <w:t>；</w:t>
            </w:r>
          </w:p>
          <w:p w14:paraId="4C4AB041">
            <w:pPr>
              <w:keepNext w:val="0"/>
              <w:keepLines w:val="0"/>
              <w:pageBreakBefore w:val="0"/>
              <w:kinsoku/>
              <w:wordWrap/>
              <w:overflowPunct/>
              <w:topLinePunct w:val="0"/>
              <w:bidi w:val="0"/>
              <w:adjustRightInd/>
              <w:snapToGrid/>
              <w:spacing w:line="560" w:lineRule="exact"/>
              <w:rPr>
                <w:rFonts w:hint="eastAsia" w:ascii="宋体" w:hAnsi="宋体" w:eastAsia="宋体" w:cs="宋体"/>
                <w:color w:val="000000" w:themeColor="text1"/>
                <w:sz w:val="28"/>
                <w:szCs w:val="28"/>
                <w:highlight w:val="none"/>
                <w:lang w:eastAsia="zh-CN"/>
                <w14:textFill>
                  <w14:solidFill>
                    <w14:schemeClr w14:val="tx1"/>
                  </w14:solidFill>
                </w14:textFill>
              </w:rPr>
            </w:pPr>
            <w:r>
              <w:rPr>
                <w:rFonts w:hint="eastAsia" w:ascii="宋体" w:hAnsi="宋体" w:cs="宋体"/>
                <w:color w:val="000000" w:themeColor="text1"/>
                <w:sz w:val="28"/>
                <w:szCs w:val="28"/>
                <w:highlight w:val="none"/>
                <w:lang w:val="en-US" w:eastAsia="zh-CN"/>
                <w14:textFill>
                  <w14:solidFill>
                    <w14:schemeClr w14:val="tx1"/>
                  </w14:solidFill>
                </w14:textFill>
              </w:rPr>
              <w:t>5</w:t>
            </w:r>
            <w:r>
              <w:rPr>
                <w:rFonts w:hint="eastAsia" w:ascii="宋体" w:hAnsi="宋体" w:eastAsia="宋体" w:cs="宋体"/>
                <w:color w:val="000000" w:themeColor="text1"/>
                <w:sz w:val="28"/>
                <w:szCs w:val="28"/>
                <w:highlight w:val="none"/>
                <w14:textFill>
                  <w14:solidFill>
                    <w14:schemeClr w14:val="tx1"/>
                  </w14:solidFill>
                </w14:textFill>
              </w:rPr>
              <w:t>、</w:t>
            </w:r>
            <w:r>
              <w:rPr>
                <w:rFonts w:hint="eastAsia" w:ascii="宋体" w:hAnsi="宋体" w:cs="宋体"/>
                <w:color w:val="000000" w:themeColor="text1"/>
                <w:sz w:val="28"/>
                <w:szCs w:val="28"/>
                <w:highlight w:val="none"/>
                <w:lang w:eastAsia="zh-CN"/>
                <w14:textFill>
                  <w14:solidFill>
                    <w14:schemeClr w14:val="tx1"/>
                  </w14:solidFill>
                </w14:textFill>
              </w:rPr>
              <w:t>供应商</w:t>
            </w:r>
            <w:r>
              <w:rPr>
                <w:rFonts w:hint="eastAsia" w:ascii="宋体" w:hAnsi="宋体" w:eastAsia="宋体" w:cs="宋体"/>
                <w:color w:val="000000" w:themeColor="text1"/>
                <w:sz w:val="28"/>
                <w:szCs w:val="28"/>
                <w:highlight w:val="none"/>
                <w14:textFill>
                  <w14:solidFill>
                    <w14:schemeClr w14:val="tx1"/>
                  </w14:solidFill>
                </w14:textFill>
              </w:rPr>
              <w:t>认为需要的其他技术文件或说明</w:t>
            </w:r>
            <w:r>
              <w:rPr>
                <w:rFonts w:hint="eastAsia" w:ascii="宋体" w:hAnsi="宋体" w:cs="宋体"/>
                <w:color w:val="000000" w:themeColor="text1"/>
                <w:sz w:val="28"/>
                <w:szCs w:val="28"/>
                <w:highlight w:val="none"/>
                <w:lang w:eastAsia="zh-CN"/>
                <w14:textFill>
                  <w14:solidFill>
                    <w14:schemeClr w14:val="tx1"/>
                  </w14:solidFill>
                </w14:textFill>
              </w:rPr>
              <w:t>；</w:t>
            </w:r>
          </w:p>
        </w:tc>
      </w:tr>
      <w:tr w14:paraId="1CC749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3" w:type="dxa"/>
            <w:vMerge w:val="continue"/>
            <w:tcBorders>
              <w:top w:val="nil"/>
              <w:left w:val="single" w:color="auto" w:sz="4" w:space="0"/>
              <w:bottom w:val="single" w:color="auto" w:sz="4" w:space="0"/>
              <w:right w:val="single" w:color="auto" w:sz="4" w:space="0"/>
            </w:tcBorders>
            <w:vAlign w:val="center"/>
          </w:tcPr>
          <w:p w14:paraId="5912B77D">
            <w:pPr>
              <w:keepNext w:val="0"/>
              <w:keepLines w:val="0"/>
              <w:pageBreakBefore w:val="0"/>
              <w:widowControl/>
              <w:kinsoku/>
              <w:wordWrap/>
              <w:overflowPunct/>
              <w:topLinePunct w:val="0"/>
              <w:bidi w:val="0"/>
              <w:adjustRightInd/>
              <w:snapToGrid/>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2239" w:type="dxa"/>
            <w:tcBorders>
              <w:top w:val="single" w:color="auto" w:sz="4" w:space="0"/>
              <w:left w:val="single" w:color="auto" w:sz="4" w:space="0"/>
              <w:bottom w:val="single" w:color="auto" w:sz="4" w:space="0"/>
              <w:right w:val="single" w:color="auto" w:sz="4" w:space="0"/>
            </w:tcBorders>
            <w:vAlign w:val="center"/>
          </w:tcPr>
          <w:p w14:paraId="2E309163">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报价文件组成</w:t>
            </w:r>
          </w:p>
        </w:tc>
        <w:tc>
          <w:tcPr>
            <w:tcW w:w="7297" w:type="dxa"/>
            <w:tcBorders>
              <w:top w:val="single" w:color="auto" w:sz="4" w:space="0"/>
              <w:left w:val="single" w:color="auto" w:sz="4" w:space="0"/>
              <w:bottom w:val="single" w:color="auto" w:sz="4" w:space="0"/>
              <w:right w:val="single" w:color="auto" w:sz="4" w:space="0"/>
            </w:tcBorders>
            <w:vAlign w:val="center"/>
          </w:tcPr>
          <w:p w14:paraId="352384A3">
            <w:pPr>
              <w:keepNext w:val="0"/>
              <w:keepLines w:val="0"/>
              <w:pageBreakBefore w:val="0"/>
              <w:tabs>
                <w:tab w:val="left" w:pos="459"/>
              </w:tabs>
              <w:kinsoku/>
              <w:wordWrap/>
              <w:overflowPunct/>
              <w:topLinePunct w:val="0"/>
              <w:bidi w:val="0"/>
              <w:adjustRightInd/>
              <w:snapToGrid/>
              <w:spacing w:line="56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1、投标函； </w:t>
            </w:r>
          </w:p>
          <w:p w14:paraId="0E4B3D22">
            <w:pPr>
              <w:keepNext w:val="0"/>
              <w:keepLines w:val="0"/>
              <w:pageBreakBefore w:val="0"/>
              <w:tabs>
                <w:tab w:val="left" w:pos="459"/>
              </w:tabs>
              <w:kinsoku/>
              <w:wordWrap/>
              <w:overflowPunct/>
              <w:topLinePunct w:val="0"/>
              <w:bidi w:val="0"/>
              <w:adjustRightInd/>
              <w:snapToGrid/>
              <w:spacing w:line="56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2、开标一览表；</w:t>
            </w:r>
          </w:p>
          <w:p w14:paraId="3AA97727">
            <w:pPr>
              <w:keepNext w:val="0"/>
              <w:keepLines w:val="0"/>
              <w:pageBreakBefore w:val="0"/>
              <w:tabs>
                <w:tab w:val="left" w:pos="459"/>
              </w:tabs>
              <w:kinsoku/>
              <w:wordWrap/>
              <w:overflowPunct/>
              <w:topLinePunct w:val="0"/>
              <w:bidi w:val="0"/>
              <w:adjustRightInd/>
              <w:snapToGrid/>
              <w:spacing w:line="560" w:lineRule="exact"/>
              <w:jc w:val="left"/>
              <w:rPr>
                <w:rFonts w:hint="eastAsia" w:ascii="宋体" w:hAnsi="宋体" w:eastAsia="宋体" w:cs="宋体"/>
                <w:color w:val="000000" w:themeColor="text1"/>
                <w:sz w:val="28"/>
                <w:szCs w:val="28"/>
                <w:highlight w:val="none"/>
                <w:lang w:eastAsia="zh-CN"/>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3、分项报价表</w:t>
            </w:r>
            <w:r>
              <w:rPr>
                <w:rFonts w:hint="eastAsia" w:ascii="宋体" w:hAnsi="宋体" w:cs="宋体"/>
                <w:color w:val="000000" w:themeColor="text1"/>
                <w:sz w:val="28"/>
                <w:szCs w:val="28"/>
                <w:highlight w:val="none"/>
                <w:lang w:eastAsia="zh-CN"/>
                <w14:textFill>
                  <w14:solidFill>
                    <w14:schemeClr w14:val="tx1"/>
                  </w14:solidFill>
                </w14:textFill>
              </w:rPr>
              <w:t>；</w:t>
            </w:r>
          </w:p>
          <w:p w14:paraId="7AA042E1">
            <w:pPr>
              <w:keepNext w:val="0"/>
              <w:keepLines w:val="0"/>
              <w:pageBreakBefore w:val="0"/>
              <w:tabs>
                <w:tab w:val="left" w:pos="459"/>
              </w:tabs>
              <w:kinsoku/>
              <w:wordWrap/>
              <w:overflowPunct/>
              <w:topLinePunct w:val="0"/>
              <w:bidi w:val="0"/>
              <w:adjustRightInd/>
              <w:snapToGrid/>
              <w:spacing w:line="560" w:lineRule="exact"/>
              <w:jc w:val="left"/>
              <w:rPr>
                <w:rFonts w:hint="eastAsia" w:ascii="宋体" w:hAnsi="宋体" w:eastAsia="宋体" w:cs="宋体"/>
                <w:color w:val="000000" w:themeColor="text1"/>
                <w:sz w:val="28"/>
                <w:szCs w:val="28"/>
                <w:highlight w:val="none"/>
                <w:lang w:eastAsia="zh-CN"/>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4、中小企业声明函</w:t>
            </w:r>
            <w:r>
              <w:rPr>
                <w:rFonts w:hint="eastAsia" w:ascii="宋体" w:hAnsi="宋体" w:cs="宋体"/>
                <w:color w:val="000000" w:themeColor="text1"/>
                <w:sz w:val="28"/>
                <w:szCs w:val="28"/>
                <w:highlight w:val="none"/>
                <w:lang w:eastAsia="zh-CN"/>
                <w14:textFill>
                  <w14:solidFill>
                    <w14:schemeClr w14:val="tx1"/>
                  </w14:solidFill>
                </w14:textFill>
              </w:rPr>
              <w:t>；</w:t>
            </w:r>
          </w:p>
        </w:tc>
      </w:tr>
      <w:tr w14:paraId="133DC9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14:paraId="2DDEECFE">
            <w:pPr>
              <w:keepNext w:val="0"/>
              <w:keepLines w:val="0"/>
              <w:pageBreakBefore w:val="0"/>
              <w:kinsoku/>
              <w:wordWrap/>
              <w:overflowPunct/>
              <w:topLinePunct w:val="0"/>
              <w:bidi w:val="0"/>
              <w:adjustRightInd/>
              <w:snapToGrid/>
              <w:spacing w:line="560" w:lineRule="exact"/>
              <w:jc w:val="center"/>
              <w:rPr>
                <w:rFonts w:hint="default"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cs="宋体"/>
                <w:color w:val="000000" w:themeColor="text1"/>
                <w:sz w:val="28"/>
                <w:szCs w:val="28"/>
                <w:highlight w:val="none"/>
                <w:lang w:val="en-US" w:eastAsia="zh-CN"/>
                <w14:textFill>
                  <w14:solidFill>
                    <w14:schemeClr w14:val="tx1"/>
                  </w14:solidFill>
                </w14:textFill>
              </w:rPr>
              <w:t>10</w:t>
            </w:r>
          </w:p>
        </w:tc>
        <w:tc>
          <w:tcPr>
            <w:tcW w:w="2239" w:type="dxa"/>
            <w:tcBorders>
              <w:top w:val="single" w:color="auto" w:sz="4" w:space="0"/>
              <w:left w:val="single" w:color="auto" w:sz="4" w:space="0"/>
              <w:bottom w:val="single" w:color="auto" w:sz="4" w:space="0"/>
              <w:right w:val="single" w:color="auto" w:sz="4" w:space="0"/>
            </w:tcBorders>
            <w:vAlign w:val="center"/>
          </w:tcPr>
          <w:p w14:paraId="2E106229">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投标报价要求</w:t>
            </w:r>
          </w:p>
        </w:tc>
        <w:tc>
          <w:tcPr>
            <w:tcW w:w="7297" w:type="dxa"/>
            <w:tcBorders>
              <w:top w:val="single" w:color="auto" w:sz="4" w:space="0"/>
              <w:left w:val="single" w:color="auto" w:sz="4" w:space="0"/>
              <w:bottom w:val="single" w:color="auto" w:sz="4" w:space="0"/>
              <w:right w:val="single" w:color="auto" w:sz="4" w:space="0"/>
            </w:tcBorders>
            <w:vAlign w:val="center"/>
          </w:tcPr>
          <w:p w14:paraId="0DB49D31">
            <w:pPr>
              <w:keepNext w:val="0"/>
              <w:keepLines w:val="0"/>
              <w:pageBreakBefore w:val="0"/>
              <w:kinsoku/>
              <w:wordWrap/>
              <w:overflowPunct/>
              <w:topLinePunct w:val="0"/>
              <w:bidi w:val="0"/>
              <w:adjustRightInd/>
              <w:snapToGrid/>
              <w:spacing w:line="560" w:lineRule="exact"/>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t>最高限价：</w:t>
            </w:r>
            <w:r>
              <w:rPr>
                <w:rFonts w:hint="eastAsia" w:ascii="宋体" w:hAnsi="宋体" w:cs="宋体"/>
                <w:b/>
                <w:bCs/>
                <w:color w:val="000000" w:themeColor="text1"/>
                <w:sz w:val="28"/>
                <w:szCs w:val="28"/>
                <w:highlight w:val="none"/>
                <w:lang w:val="en-US" w:eastAsia="zh-CN"/>
                <w14:textFill>
                  <w14:solidFill>
                    <w14:schemeClr w14:val="tx1"/>
                  </w14:solidFill>
                </w14:textFill>
              </w:rPr>
              <w:t>200000</w:t>
            </w:r>
            <w:r>
              <w:rPr>
                <w:rFonts w:hint="eastAsia" w:ascii="宋体" w:hAnsi="宋体" w:eastAsia="宋体" w:cs="宋体"/>
                <w:b/>
                <w:bCs/>
                <w:color w:val="000000" w:themeColor="text1"/>
                <w:sz w:val="28"/>
                <w:szCs w:val="28"/>
                <w:highlight w:val="none"/>
                <w14:textFill>
                  <w14:solidFill>
                    <w14:schemeClr w14:val="tx1"/>
                  </w14:solidFill>
                </w14:textFill>
              </w:rPr>
              <w:t>元</w:t>
            </w:r>
          </w:p>
          <w:p w14:paraId="7FC1AB3E">
            <w:pPr>
              <w:keepNext w:val="0"/>
              <w:keepLines w:val="0"/>
              <w:pageBreakBefore w:val="0"/>
              <w:kinsoku/>
              <w:wordWrap/>
              <w:overflowPunct/>
              <w:topLinePunct w:val="0"/>
              <w:bidi w:val="0"/>
              <w:adjustRightInd/>
              <w:snapToGrid/>
              <w:spacing w:line="560" w:lineRule="exac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总</w:t>
            </w:r>
            <w:r>
              <w:rPr>
                <w:rFonts w:hint="eastAsia" w:ascii="宋体" w:hAnsi="宋体" w:cs="宋体"/>
                <w:color w:val="000000" w:themeColor="text1"/>
                <w:sz w:val="28"/>
                <w:szCs w:val="28"/>
                <w:highlight w:val="none"/>
                <w:lang w:eastAsia="zh-CN"/>
                <w14:textFill>
                  <w14:solidFill>
                    <w14:schemeClr w14:val="tx1"/>
                  </w14:solidFill>
                </w14:textFill>
              </w:rPr>
              <w:t>价</w:t>
            </w:r>
            <w:r>
              <w:rPr>
                <w:rFonts w:hint="eastAsia" w:ascii="宋体" w:hAnsi="宋体" w:eastAsia="宋体" w:cs="宋体"/>
                <w:color w:val="000000" w:themeColor="text1"/>
                <w:sz w:val="28"/>
                <w:szCs w:val="28"/>
                <w:highlight w:val="none"/>
                <w14:textFill>
                  <w14:solidFill>
                    <w14:schemeClr w14:val="tx1"/>
                  </w14:solidFill>
                </w14:textFill>
              </w:rPr>
              <w:t>报价且不得超过最高限价。</w:t>
            </w:r>
          </w:p>
          <w:p w14:paraId="13DE3537">
            <w:pPr>
              <w:keepNext w:val="0"/>
              <w:keepLines w:val="0"/>
              <w:pageBreakBefore w:val="0"/>
              <w:kinsoku/>
              <w:wordWrap/>
              <w:overflowPunct/>
              <w:topLinePunct w:val="0"/>
              <w:bidi w:val="0"/>
              <w:adjustRightInd/>
              <w:snapToGrid/>
              <w:spacing w:line="560" w:lineRule="exact"/>
              <w:rPr>
                <w:rFonts w:hint="default"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注：本项目报价需包含完成本项目所需的全部费用（包括但不限于各设备运费、吊装、安装、调试、备件、耗材、税金等）</w:t>
            </w:r>
          </w:p>
        </w:tc>
      </w:tr>
      <w:tr w14:paraId="6FA283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14:paraId="3FD5991A">
            <w:pPr>
              <w:keepNext w:val="0"/>
              <w:keepLines w:val="0"/>
              <w:pageBreakBefore w:val="0"/>
              <w:kinsoku/>
              <w:wordWrap/>
              <w:overflowPunct/>
              <w:topLinePunct w:val="0"/>
              <w:bidi w:val="0"/>
              <w:adjustRightInd/>
              <w:snapToGrid/>
              <w:spacing w:line="560" w:lineRule="exact"/>
              <w:jc w:val="center"/>
              <w:rPr>
                <w:rFonts w:hint="default"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cs="宋体"/>
                <w:color w:val="000000" w:themeColor="text1"/>
                <w:sz w:val="28"/>
                <w:szCs w:val="28"/>
                <w:highlight w:val="none"/>
                <w:lang w:val="en-US" w:eastAsia="zh-CN"/>
                <w14:textFill>
                  <w14:solidFill>
                    <w14:schemeClr w14:val="tx1"/>
                  </w14:solidFill>
                </w14:textFill>
              </w:rPr>
              <w:t>11</w:t>
            </w:r>
          </w:p>
        </w:tc>
        <w:tc>
          <w:tcPr>
            <w:tcW w:w="2239" w:type="dxa"/>
            <w:tcBorders>
              <w:top w:val="single" w:color="auto" w:sz="4" w:space="0"/>
              <w:left w:val="single" w:color="auto" w:sz="4" w:space="0"/>
              <w:bottom w:val="single" w:color="auto" w:sz="4" w:space="0"/>
              <w:right w:val="single" w:color="auto" w:sz="4" w:space="0"/>
            </w:tcBorders>
            <w:vAlign w:val="center"/>
          </w:tcPr>
          <w:p w14:paraId="70E75618">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投标有效期</w:t>
            </w:r>
          </w:p>
        </w:tc>
        <w:tc>
          <w:tcPr>
            <w:tcW w:w="7297" w:type="dxa"/>
            <w:tcBorders>
              <w:top w:val="single" w:color="auto" w:sz="4" w:space="0"/>
              <w:left w:val="single" w:color="auto" w:sz="4" w:space="0"/>
              <w:bottom w:val="single" w:color="auto" w:sz="4" w:space="0"/>
              <w:right w:val="single" w:color="auto" w:sz="4" w:space="0"/>
            </w:tcBorders>
            <w:vAlign w:val="center"/>
          </w:tcPr>
          <w:p w14:paraId="7FACB1E0">
            <w:pPr>
              <w:keepNext w:val="0"/>
              <w:keepLines w:val="0"/>
              <w:pageBreakBefore w:val="0"/>
              <w:kinsoku/>
              <w:wordWrap/>
              <w:overflowPunct/>
              <w:topLinePunct w:val="0"/>
              <w:bidi w:val="0"/>
              <w:adjustRightInd/>
              <w:snapToGrid/>
              <w:spacing w:line="560" w:lineRule="exac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自投标截止之日起</w:t>
            </w:r>
            <w:r>
              <w:rPr>
                <w:rFonts w:hint="eastAsia" w:ascii="宋体" w:hAnsi="宋体" w:eastAsia="宋体" w:cs="宋体"/>
                <w:color w:val="000000" w:themeColor="text1"/>
                <w:sz w:val="28"/>
                <w:szCs w:val="28"/>
                <w:highlight w:val="none"/>
                <w:u w:val="single"/>
                <w14:textFill>
                  <w14:solidFill>
                    <w14:schemeClr w14:val="tx1"/>
                  </w14:solidFill>
                </w14:textFill>
              </w:rPr>
              <w:t xml:space="preserve">90日历天 </w:t>
            </w:r>
            <w:r>
              <w:rPr>
                <w:rFonts w:hint="eastAsia" w:ascii="宋体" w:hAnsi="宋体" w:eastAsia="宋体" w:cs="宋体"/>
                <w:color w:val="000000" w:themeColor="text1"/>
                <w:sz w:val="28"/>
                <w:szCs w:val="28"/>
                <w:highlight w:val="none"/>
                <w14:textFill>
                  <w14:solidFill>
                    <w14:schemeClr w14:val="tx1"/>
                  </w14:solidFill>
                </w14:textFill>
              </w:rPr>
              <w:t>。</w:t>
            </w:r>
          </w:p>
        </w:tc>
      </w:tr>
      <w:tr w14:paraId="0A7AF6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14:paraId="10BFA376">
            <w:pPr>
              <w:keepNext w:val="0"/>
              <w:keepLines w:val="0"/>
              <w:pageBreakBefore w:val="0"/>
              <w:kinsoku/>
              <w:wordWrap/>
              <w:overflowPunct/>
              <w:topLinePunct w:val="0"/>
              <w:bidi w:val="0"/>
              <w:adjustRightInd/>
              <w:snapToGrid/>
              <w:spacing w:line="560" w:lineRule="exact"/>
              <w:jc w:val="center"/>
              <w:rPr>
                <w:rFonts w:hint="default"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cs="宋体"/>
                <w:color w:val="000000" w:themeColor="text1"/>
                <w:sz w:val="28"/>
                <w:szCs w:val="28"/>
                <w:highlight w:val="none"/>
                <w:lang w:val="en-US" w:eastAsia="zh-CN"/>
                <w14:textFill>
                  <w14:solidFill>
                    <w14:schemeClr w14:val="tx1"/>
                  </w14:solidFill>
                </w14:textFill>
              </w:rPr>
              <w:t>12</w:t>
            </w:r>
          </w:p>
        </w:tc>
        <w:tc>
          <w:tcPr>
            <w:tcW w:w="2239" w:type="dxa"/>
            <w:tcBorders>
              <w:top w:val="single" w:color="auto" w:sz="4" w:space="0"/>
              <w:left w:val="single" w:color="auto" w:sz="4" w:space="0"/>
              <w:bottom w:val="single" w:color="auto" w:sz="4" w:space="0"/>
              <w:right w:val="single" w:color="auto" w:sz="4" w:space="0"/>
            </w:tcBorders>
            <w:vAlign w:val="center"/>
          </w:tcPr>
          <w:p w14:paraId="3B0C9206">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投标保证金金额</w:t>
            </w:r>
          </w:p>
        </w:tc>
        <w:tc>
          <w:tcPr>
            <w:tcW w:w="7297" w:type="dxa"/>
            <w:tcBorders>
              <w:top w:val="single" w:color="auto" w:sz="4" w:space="0"/>
              <w:left w:val="single" w:color="auto" w:sz="4" w:space="0"/>
              <w:bottom w:val="single" w:color="auto" w:sz="4" w:space="0"/>
              <w:right w:val="single" w:color="auto" w:sz="4" w:space="0"/>
            </w:tcBorders>
            <w:vAlign w:val="center"/>
          </w:tcPr>
          <w:p w14:paraId="0F643123">
            <w:pPr>
              <w:keepNext w:val="0"/>
              <w:keepLines w:val="0"/>
              <w:pageBreakBefore w:val="0"/>
              <w:kinsoku/>
              <w:wordWrap/>
              <w:overflowPunct/>
              <w:topLinePunct w:val="0"/>
              <w:autoSpaceDE w:val="0"/>
              <w:autoSpaceDN w:val="0"/>
              <w:bidi w:val="0"/>
              <w:adjustRightInd/>
              <w:snapToGrid/>
              <w:spacing w:line="560" w:lineRule="exact"/>
              <w:textAlignment w:val="bottom"/>
              <w:rPr>
                <w:rFonts w:hint="default" w:ascii="宋体" w:hAnsi="宋体" w:eastAsia="宋体" w:cs="宋体"/>
                <w:b/>
                <w:bCs/>
                <w:color w:val="000000" w:themeColor="text1"/>
                <w:sz w:val="28"/>
                <w:szCs w:val="28"/>
                <w:highlight w:val="none"/>
                <w:lang w:val="en-US" w:eastAsia="zh-CN"/>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t>投标保证金</w:t>
            </w:r>
            <w:r>
              <w:rPr>
                <w:rFonts w:hint="eastAsia" w:ascii="宋体" w:hAnsi="宋体" w:cs="宋体"/>
                <w:b/>
                <w:bCs/>
                <w:color w:val="000000" w:themeColor="text1"/>
                <w:sz w:val="28"/>
                <w:szCs w:val="28"/>
                <w:highlight w:val="none"/>
                <w:lang w:val="en-US" w:eastAsia="zh-CN"/>
                <w14:textFill>
                  <w14:solidFill>
                    <w14:schemeClr w14:val="tx1"/>
                  </w14:solidFill>
                </w14:textFill>
              </w:rPr>
              <w:t>缴纳方式：电汇、网银转账、保函等非现金形式缴纳</w:t>
            </w:r>
          </w:p>
          <w:p w14:paraId="73072F8E">
            <w:pPr>
              <w:keepNext w:val="0"/>
              <w:keepLines w:val="0"/>
              <w:pageBreakBefore w:val="0"/>
              <w:kinsoku/>
              <w:wordWrap/>
              <w:overflowPunct/>
              <w:topLinePunct w:val="0"/>
              <w:autoSpaceDE w:val="0"/>
              <w:autoSpaceDN w:val="0"/>
              <w:bidi w:val="0"/>
              <w:adjustRightInd/>
              <w:snapToGrid/>
              <w:spacing w:line="560" w:lineRule="exact"/>
              <w:textAlignment w:val="bottom"/>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t>投标保证金金额：</w:t>
            </w:r>
            <w:r>
              <w:rPr>
                <w:rFonts w:hint="eastAsia" w:ascii="宋体" w:hAnsi="宋体" w:cs="宋体"/>
                <w:b/>
                <w:bCs/>
                <w:color w:val="000000" w:themeColor="text1"/>
                <w:sz w:val="28"/>
                <w:szCs w:val="28"/>
                <w:highlight w:val="none"/>
                <w:lang w:val="en-US" w:eastAsia="zh-CN"/>
                <w14:textFill>
                  <w14:solidFill>
                    <w14:schemeClr w14:val="tx1"/>
                  </w14:solidFill>
                </w14:textFill>
              </w:rPr>
              <w:t>4000</w:t>
            </w:r>
            <w:r>
              <w:rPr>
                <w:rFonts w:hint="eastAsia" w:ascii="宋体" w:hAnsi="宋体" w:eastAsia="宋体" w:cs="宋体"/>
                <w:b/>
                <w:bCs/>
                <w:color w:val="000000" w:themeColor="text1"/>
                <w:sz w:val="28"/>
                <w:szCs w:val="28"/>
                <w:highlight w:val="none"/>
                <w14:textFill>
                  <w14:solidFill>
                    <w14:schemeClr w14:val="tx1"/>
                  </w14:solidFill>
                </w14:textFill>
              </w:rPr>
              <w:t>元(人民币</w:t>
            </w:r>
            <w:r>
              <w:rPr>
                <w:rFonts w:hint="eastAsia" w:ascii="宋体" w:hAnsi="宋体" w:cs="宋体"/>
                <w:b/>
                <w:bCs/>
                <w:color w:val="000000" w:themeColor="text1"/>
                <w:sz w:val="28"/>
                <w:szCs w:val="28"/>
                <w:highlight w:val="none"/>
                <w:lang w:val="en-US" w:eastAsia="zh-CN"/>
                <w14:textFill>
                  <w14:solidFill>
                    <w14:schemeClr w14:val="tx1"/>
                  </w14:solidFill>
                </w14:textFill>
              </w:rPr>
              <w:t>肆仟</w:t>
            </w:r>
            <w:r>
              <w:rPr>
                <w:rFonts w:hint="eastAsia" w:ascii="宋体" w:hAnsi="宋体" w:eastAsia="宋体" w:cs="宋体"/>
                <w:b/>
                <w:bCs/>
                <w:color w:val="000000" w:themeColor="text1"/>
                <w:sz w:val="28"/>
                <w:szCs w:val="28"/>
                <w:highlight w:val="none"/>
                <w14:textFill>
                  <w14:solidFill>
                    <w14:schemeClr w14:val="tx1"/>
                  </w14:solidFill>
                </w14:textFill>
              </w:rPr>
              <w:t>元整)</w:t>
            </w:r>
          </w:p>
          <w:p w14:paraId="53104D89">
            <w:pPr>
              <w:keepNext w:val="0"/>
              <w:keepLines w:val="0"/>
              <w:pageBreakBefore w:val="0"/>
              <w:kinsoku/>
              <w:wordWrap/>
              <w:overflowPunct/>
              <w:topLinePunct w:val="0"/>
              <w:autoSpaceDE w:val="0"/>
              <w:autoSpaceDN w:val="0"/>
              <w:bidi w:val="0"/>
              <w:adjustRightInd/>
              <w:snapToGrid/>
              <w:spacing w:line="560" w:lineRule="exact"/>
              <w:textAlignment w:val="bottom"/>
              <w:rPr>
                <w:rFonts w:hint="eastAsia" w:ascii="宋体" w:hAnsi="宋体" w:eastAsia="宋体" w:cs="宋体"/>
                <w:color w:val="000000" w:themeColor="text1"/>
                <w:sz w:val="28"/>
                <w:szCs w:val="28"/>
                <w:highlight w:val="none"/>
                <w:lang w:eastAsia="zh-CN"/>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单位名称：新疆诚誉工程项目管理有限公司哈密分公司</w:t>
            </w:r>
          </w:p>
          <w:p w14:paraId="12894F46">
            <w:pPr>
              <w:keepNext w:val="0"/>
              <w:keepLines w:val="0"/>
              <w:pageBreakBefore w:val="0"/>
              <w:kinsoku/>
              <w:wordWrap/>
              <w:overflowPunct/>
              <w:topLinePunct w:val="0"/>
              <w:autoSpaceDE w:val="0"/>
              <w:autoSpaceDN w:val="0"/>
              <w:bidi w:val="0"/>
              <w:adjustRightInd/>
              <w:snapToGrid/>
              <w:spacing w:line="560" w:lineRule="exact"/>
              <w:textAlignment w:val="bottom"/>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开户行：</w:t>
            </w:r>
            <w:r>
              <w:rPr>
                <w:rFonts w:hint="eastAsia" w:ascii="宋体" w:hAnsi="宋体" w:cs="宋体"/>
                <w:color w:val="000000" w:themeColor="text1"/>
                <w:sz w:val="28"/>
                <w:szCs w:val="28"/>
                <w:highlight w:val="none"/>
                <w:lang w:eastAsia="zh-CN"/>
                <w14:textFill>
                  <w14:solidFill>
                    <w14:schemeClr w14:val="tx1"/>
                  </w14:solidFill>
                </w14:textFill>
              </w:rPr>
              <w:t>中国银行股份有限公司哈密市分行</w:t>
            </w:r>
          </w:p>
          <w:p w14:paraId="159EB0C8">
            <w:pPr>
              <w:keepNext w:val="0"/>
              <w:keepLines w:val="0"/>
              <w:pageBreakBefore w:val="0"/>
              <w:kinsoku/>
              <w:wordWrap/>
              <w:overflowPunct/>
              <w:topLinePunct w:val="0"/>
              <w:autoSpaceDE w:val="0"/>
              <w:autoSpaceDN w:val="0"/>
              <w:bidi w:val="0"/>
              <w:adjustRightInd/>
              <w:snapToGrid/>
              <w:spacing w:line="560" w:lineRule="exact"/>
              <w:textAlignment w:val="bottom"/>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账号：</w:t>
            </w:r>
            <w:r>
              <w:rPr>
                <w:rFonts w:hint="eastAsia" w:ascii="宋体" w:hAnsi="宋体" w:cs="宋体"/>
                <w:color w:val="000000" w:themeColor="text1"/>
                <w:sz w:val="28"/>
                <w:szCs w:val="28"/>
                <w:highlight w:val="none"/>
                <w:lang w:eastAsia="zh-CN"/>
                <w14:textFill>
                  <w14:solidFill>
                    <w14:schemeClr w14:val="tx1"/>
                  </w14:solidFill>
                </w14:textFill>
              </w:rPr>
              <w:t>107682200924</w:t>
            </w:r>
          </w:p>
          <w:p w14:paraId="464D3A63">
            <w:pPr>
              <w:keepNext w:val="0"/>
              <w:keepLines w:val="0"/>
              <w:pageBreakBefore w:val="0"/>
              <w:kinsoku/>
              <w:wordWrap/>
              <w:overflowPunct/>
              <w:topLinePunct w:val="0"/>
              <w:autoSpaceDE w:val="0"/>
              <w:autoSpaceDN w:val="0"/>
              <w:bidi w:val="0"/>
              <w:adjustRightInd/>
              <w:snapToGrid/>
              <w:spacing w:line="560" w:lineRule="exact"/>
              <w:textAlignment w:val="bottom"/>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注：1、保证金必须从企业基本帐户缴纳至采购代理机构给定的基本账户。以个人、企业的办事处、分公司、子公司名义或从他人帐户、供应商企业的其他账户缴纳的保证金无效。注：</w:t>
            </w:r>
            <w:r>
              <w:rPr>
                <w:rFonts w:hint="eastAsia" w:ascii="宋体" w:hAnsi="宋体" w:eastAsia="宋体" w:cs="宋体"/>
                <w:color w:val="000000" w:themeColor="text1"/>
                <w:sz w:val="28"/>
                <w:szCs w:val="28"/>
                <w:highlight w:val="none"/>
                <w:shd w:val="clear"/>
                <w14:textFill>
                  <w14:solidFill>
                    <w14:schemeClr w14:val="tx1"/>
                  </w14:solidFill>
                </w14:textFill>
              </w:rPr>
              <w:t>。注：</w:t>
            </w:r>
            <w:r>
              <w:rPr>
                <w:rFonts w:hint="eastAsia" w:ascii="宋体" w:hAnsi="宋体" w:cs="宋体"/>
                <w:color w:val="000000" w:themeColor="text1"/>
                <w:sz w:val="28"/>
                <w:szCs w:val="28"/>
                <w:highlight w:val="none"/>
                <w:shd w:val="clear"/>
                <w:lang w:eastAsia="zh-CN"/>
                <w14:textFill>
                  <w14:solidFill>
                    <w14:schemeClr w14:val="tx1"/>
                  </w14:solidFill>
                </w14:textFill>
              </w:rPr>
              <w:t>打款时须注明项目名称、标项名称或标项号（可简写）。</w:t>
            </w:r>
            <w:r>
              <w:rPr>
                <w:rFonts w:hint="eastAsia" w:ascii="宋体" w:hAnsi="宋体" w:eastAsia="宋体" w:cs="宋体"/>
                <w:color w:val="000000" w:themeColor="text1"/>
                <w:sz w:val="28"/>
                <w:szCs w:val="28"/>
                <w:highlight w:val="none"/>
                <w14:textFill>
                  <w14:solidFill>
                    <w14:schemeClr w14:val="tx1"/>
                  </w14:solidFill>
                </w14:textFill>
              </w:rPr>
              <w:t>2、保证金必须在投标截止时间（开标时间）前缴纳至招标代理公司账户。供应商需自行评估因异地、跨行、公休日等因素造成的保证金到账延迟风险，并承担相应责任。</w:t>
            </w:r>
          </w:p>
          <w:p w14:paraId="7459401E">
            <w:pPr>
              <w:keepNext w:val="0"/>
              <w:keepLines w:val="0"/>
              <w:pageBreakBefore w:val="0"/>
              <w:kinsoku/>
              <w:wordWrap/>
              <w:overflowPunct/>
              <w:topLinePunct w:val="0"/>
              <w:autoSpaceDE w:val="0"/>
              <w:autoSpaceDN w:val="0"/>
              <w:bidi w:val="0"/>
              <w:adjustRightInd/>
              <w:snapToGrid/>
              <w:spacing w:line="560" w:lineRule="exact"/>
              <w:textAlignment w:val="bottom"/>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3、到账截止时间：</w:t>
            </w:r>
            <w:r>
              <w:rPr>
                <w:rFonts w:hint="eastAsia" w:ascii="宋体" w:hAnsi="宋体" w:eastAsia="宋体" w:cs="宋体"/>
                <w:b/>
                <w:bCs/>
                <w:color w:val="000000" w:themeColor="text1"/>
                <w:sz w:val="28"/>
                <w:szCs w:val="28"/>
                <w:highlight w:val="none"/>
                <w:u w:val="single"/>
                <w14:textFill>
                  <w14:solidFill>
                    <w14:schemeClr w14:val="tx1"/>
                  </w14:solidFill>
                </w14:textFill>
              </w:rPr>
              <w:t>202</w:t>
            </w:r>
            <w:r>
              <w:rPr>
                <w:rFonts w:hint="eastAsia" w:ascii="宋体" w:hAnsi="宋体" w:cs="宋体"/>
                <w:b/>
                <w:bCs/>
                <w:color w:val="000000" w:themeColor="text1"/>
                <w:sz w:val="28"/>
                <w:szCs w:val="28"/>
                <w:highlight w:val="none"/>
                <w:u w:val="single"/>
                <w:lang w:val="en-US" w:eastAsia="zh-CN"/>
                <w14:textFill>
                  <w14:solidFill>
                    <w14:schemeClr w14:val="tx1"/>
                  </w14:solidFill>
                </w14:textFill>
              </w:rPr>
              <w:t>5</w:t>
            </w:r>
            <w:r>
              <w:rPr>
                <w:rFonts w:hint="eastAsia" w:ascii="宋体" w:hAnsi="宋体" w:eastAsia="宋体" w:cs="宋体"/>
                <w:b/>
                <w:bCs/>
                <w:color w:val="000000" w:themeColor="text1"/>
                <w:sz w:val="28"/>
                <w:szCs w:val="28"/>
                <w:highlight w:val="none"/>
                <w:u w:val="single"/>
                <w14:textFill>
                  <w14:solidFill>
                    <w14:schemeClr w14:val="tx1"/>
                  </w14:solidFill>
                </w14:textFill>
              </w:rPr>
              <w:t>年</w:t>
            </w:r>
            <w:r>
              <w:rPr>
                <w:rFonts w:hint="eastAsia" w:ascii="宋体" w:hAnsi="宋体" w:cs="宋体"/>
                <w:b/>
                <w:bCs/>
                <w:color w:val="000000" w:themeColor="text1"/>
                <w:sz w:val="28"/>
                <w:szCs w:val="28"/>
                <w:highlight w:val="none"/>
                <w:u w:val="single"/>
                <w:lang w:val="en-US" w:eastAsia="zh-CN"/>
                <w14:textFill>
                  <w14:solidFill>
                    <w14:schemeClr w14:val="tx1"/>
                  </w14:solidFill>
                </w14:textFill>
              </w:rPr>
              <w:t>07</w:t>
            </w:r>
            <w:r>
              <w:rPr>
                <w:rFonts w:hint="eastAsia" w:ascii="宋体" w:hAnsi="宋体" w:eastAsia="宋体" w:cs="宋体"/>
                <w:b/>
                <w:bCs/>
                <w:color w:val="000000" w:themeColor="text1"/>
                <w:sz w:val="28"/>
                <w:szCs w:val="28"/>
                <w:highlight w:val="none"/>
                <w:u w:val="single"/>
                <w14:textFill>
                  <w14:solidFill>
                    <w14:schemeClr w14:val="tx1"/>
                  </w14:solidFill>
                </w14:textFill>
              </w:rPr>
              <w:t>月</w:t>
            </w:r>
            <w:r>
              <w:rPr>
                <w:rFonts w:hint="eastAsia" w:ascii="宋体" w:hAnsi="宋体" w:cs="宋体"/>
                <w:b/>
                <w:bCs/>
                <w:color w:val="000000" w:themeColor="text1"/>
                <w:sz w:val="28"/>
                <w:szCs w:val="28"/>
                <w:highlight w:val="none"/>
                <w:u w:val="single"/>
                <w:lang w:val="en-US" w:eastAsia="zh-CN"/>
                <w14:textFill>
                  <w14:solidFill>
                    <w14:schemeClr w14:val="tx1"/>
                  </w14:solidFill>
                </w14:textFill>
              </w:rPr>
              <w:t>17</w:t>
            </w:r>
            <w:r>
              <w:rPr>
                <w:rFonts w:hint="eastAsia" w:ascii="宋体" w:hAnsi="宋体" w:eastAsia="宋体" w:cs="宋体"/>
                <w:b/>
                <w:bCs/>
                <w:color w:val="000000" w:themeColor="text1"/>
                <w:sz w:val="28"/>
                <w:szCs w:val="28"/>
                <w:highlight w:val="none"/>
                <w:u w:val="single"/>
                <w14:textFill>
                  <w14:solidFill>
                    <w14:schemeClr w14:val="tx1"/>
                  </w14:solidFill>
                </w14:textFill>
              </w:rPr>
              <w:t>日1</w:t>
            </w:r>
            <w:r>
              <w:rPr>
                <w:rFonts w:hint="eastAsia" w:ascii="宋体" w:hAnsi="宋体" w:cs="宋体"/>
                <w:b/>
                <w:bCs/>
                <w:color w:val="000000" w:themeColor="text1"/>
                <w:sz w:val="28"/>
                <w:szCs w:val="28"/>
                <w:highlight w:val="none"/>
                <w:u w:val="single"/>
                <w:lang w:val="en-US" w:eastAsia="zh-CN"/>
                <w14:textFill>
                  <w14:solidFill>
                    <w14:schemeClr w14:val="tx1"/>
                  </w14:solidFill>
                </w14:textFill>
              </w:rPr>
              <w:t>1</w:t>
            </w:r>
            <w:r>
              <w:rPr>
                <w:rFonts w:hint="eastAsia" w:ascii="宋体" w:hAnsi="宋体" w:eastAsia="宋体" w:cs="宋体"/>
                <w:b/>
                <w:bCs/>
                <w:color w:val="000000" w:themeColor="text1"/>
                <w:sz w:val="28"/>
                <w:szCs w:val="28"/>
                <w:highlight w:val="none"/>
                <w:u w:val="single"/>
                <w14:textFill>
                  <w14:solidFill>
                    <w14:schemeClr w14:val="tx1"/>
                  </w14:solidFill>
                </w14:textFill>
              </w:rPr>
              <w:t>点00分</w:t>
            </w:r>
            <w:r>
              <w:rPr>
                <w:rFonts w:hint="eastAsia" w:ascii="宋体" w:hAnsi="宋体" w:eastAsia="宋体" w:cs="宋体"/>
                <w:color w:val="000000" w:themeColor="text1"/>
                <w:sz w:val="28"/>
                <w:szCs w:val="28"/>
                <w:highlight w:val="none"/>
                <w14:textFill>
                  <w14:solidFill>
                    <w14:schemeClr w14:val="tx1"/>
                  </w14:solidFill>
                </w14:textFill>
              </w:rPr>
              <w:t>（北京时间）（以银行记录确认到账为准）。</w:t>
            </w:r>
          </w:p>
          <w:p w14:paraId="1B9DCF83">
            <w:pPr>
              <w:keepNext w:val="0"/>
              <w:keepLines w:val="0"/>
              <w:pageBreakBefore w:val="0"/>
              <w:kinsoku/>
              <w:wordWrap/>
              <w:overflowPunct/>
              <w:topLinePunct w:val="0"/>
              <w:autoSpaceDE w:val="0"/>
              <w:autoSpaceDN w:val="0"/>
              <w:bidi w:val="0"/>
              <w:adjustRightInd/>
              <w:snapToGrid/>
              <w:spacing w:line="560" w:lineRule="exact"/>
              <w:textAlignment w:val="bottom"/>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4、为简化手续，优化流程，采用电子支付方式提交保证金的，在退还时，按原路退回，收取时不开具收据，退还时也不要求提交收据。</w:t>
            </w:r>
          </w:p>
          <w:p w14:paraId="22BFE435">
            <w:pPr>
              <w:keepNext w:val="0"/>
              <w:keepLines w:val="0"/>
              <w:pageBreakBefore w:val="0"/>
              <w:kinsoku/>
              <w:wordWrap/>
              <w:overflowPunct/>
              <w:topLinePunct w:val="0"/>
              <w:autoSpaceDE w:val="0"/>
              <w:autoSpaceDN w:val="0"/>
              <w:bidi w:val="0"/>
              <w:adjustRightInd/>
              <w:snapToGrid/>
              <w:spacing w:line="560" w:lineRule="exact"/>
              <w:textAlignment w:val="bottom"/>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5、采用电子保函形式应按以下要求办理：</w:t>
            </w:r>
          </w:p>
          <w:p w14:paraId="55D4BC7F">
            <w:pPr>
              <w:keepNext w:val="0"/>
              <w:keepLines w:val="0"/>
              <w:pageBreakBefore w:val="0"/>
              <w:kinsoku/>
              <w:wordWrap/>
              <w:overflowPunct/>
              <w:topLinePunct w:val="0"/>
              <w:autoSpaceDE w:val="0"/>
              <w:autoSpaceDN w:val="0"/>
              <w:bidi w:val="0"/>
              <w:adjustRightInd/>
              <w:snapToGrid/>
              <w:spacing w:line="560" w:lineRule="exact"/>
              <w:textAlignment w:val="bottom"/>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（1）电子保函按照“一标段一保函”的原则。</w:t>
            </w:r>
          </w:p>
          <w:p w14:paraId="5602D5CB">
            <w:pPr>
              <w:keepNext w:val="0"/>
              <w:keepLines w:val="0"/>
              <w:pageBreakBefore w:val="0"/>
              <w:kinsoku/>
              <w:wordWrap/>
              <w:overflowPunct/>
              <w:topLinePunct w:val="0"/>
              <w:autoSpaceDE w:val="0"/>
              <w:autoSpaceDN w:val="0"/>
              <w:bidi w:val="0"/>
              <w:adjustRightInd/>
              <w:snapToGrid/>
              <w:spacing w:line="560" w:lineRule="exact"/>
              <w:textAlignment w:val="bottom"/>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（2）电子保函须在招标文件规定的投标截止时间前办理完成。</w:t>
            </w:r>
          </w:p>
          <w:p w14:paraId="47394527">
            <w:pPr>
              <w:keepNext w:val="0"/>
              <w:keepLines w:val="0"/>
              <w:pageBreakBefore w:val="0"/>
              <w:kinsoku/>
              <w:wordWrap/>
              <w:overflowPunct/>
              <w:topLinePunct w:val="0"/>
              <w:autoSpaceDE w:val="0"/>
              <w:autoSpaceDN w:val="0"/>
              <w:bidi w:val="0"/>
              <w:adjustRightInd/>
              <w:snapToGrid/>
              <w:spacing w:line="560" w:lineRule="exact"/>
              <w:textAlignment w:val="bottom"/>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（3）具体办理流程详见新疆政府采购网《新疆政府采购电子保函操作流程》。</w:t>
            </w:r>
          </w:p>
          <w:p w14:paraId="25D44B2E">
            <w:pPr>
              <w:keepNext w:val="0"/>
              <w:keepLines w:val="0"/>
              <w:pageBreakBefore w:val="0"/>
              <w:kinsoku/>
              <w:wordWrap/>
              <w:overflowPunct/>
              <w:topLinePunct w:val="0"/>
              <w:autoSpaceDE w:val="0"/>
              <w:autoSpaceDN w:val="0"/>
              <w:bidi w:val="0"/>
              <w:adjustRightInd/>
              <w:snapToGrid/>
              <w:spacing w:line="560" w:lineRule="exact"/>
              <w:textAlignment w:val="bottom"/>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（4）供应商以保函形式缴纳投标保证金的，将电子投标保单作为电子响应文件组成部分在投标时一并提交。</w:t>
            </w:r>
          </w:p>
          <w:p w14:paraId="305262E6">
            <w:pPr>
              <w:pageBreakBefore w:val="0"/>
              <w:wordWrap/>
              <w:topLinePunct w:val="0"/>
              <w:bidi w:val="0"/>
              <w:spacing w:line="560" w:lineRule="exac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（备注：如采用电子保函形式缴纳的，在投标截止日之前须从新疆电子保函服务管理平台中确认是否生效。电子保函服务管理平台技术人员联系方式：95763。）</w:t>
            </w:r>
          </w:p>
        </w:tc>
      </w:tr>
      <w:tr w14:paraId="48C996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14:paraId="6333CB46">
            <w:pPr>
              <w:keepNext w:val="0"/>
              <w:keepLines w:val="0"/>
              <w:pageBreakBefore w:val="0"/>
              <w:kinsoku/>
              <w:wordWrap/>
              <w:overflowPunct/>
              <w:topLinePunct w:val="0"/>
              <w:bidi w:val="0"/>
              <w:adjustRightInd/>
              <w:snapToGrid/>
              <w:spacing w:line="560" w:lineRule="exact"/>
              <w:jc w:val="center"/>
              <w:rPr>
                <w:rFonts w:hint="default"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cs="宋体"/>
                <w:color w:val="000000" w:themeColor="text1"/>
                <w:sz w:val="28"/>
                <w:szCs w:val="28"/>
                <w:highlight w:val="none"/>
                <w:lang w:val="en-US" w:eastAsia="zh-CN"/>
                <w14:textFill>
                  <w14:solidFill>
                    <w14:schemeClr w14:val="tx1"/>
                  </w14:solidFill>
                </w14:textFill>
              </w:rPr>
              <w:t>13</w:t>
            </w:r>
          </w:p>
        </w:tc>
        <w:tc>
          <w:tcPr>
            <w:tcW w:w="2239" w:type="dxa"/>
            <w:tcBorders>
              <w:top w:val="single" w:color="auto" w:sz="4" w:space="0"/>
              <w:left w:val="single" w:color="auto" w:sz="4" w:space="0"/>
              <w:bottom w:val="single" w:color="auto" w:sz="4" w:space="0"/>
              <w:right w:val="single" w:color="auto" w:sz="4" w:space="0"/>
            </w:tcBorders>
            <w:vAlign w:val="center"/>
          </w:tcPr>
          <w:p w14:paraId="5BA3D501">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投标文件编制</w:t>
            </w:r>
          </w:p>
          <w:p w14:paraId="47D446E7">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要求</w:t>
            </w:r>
          </w:p>
        </w:tc>
        <w:tc>
          <w:tcPr>
            <w:tcW w:w="7297" w:type="dxa"/>
            <w:tcBorders>
              <w:top w:val="single" w:color="auto" w:sz="4" w:space="0"/>
              <w:left w:val="single" w:color="auto" w:sz="4" w:space="0"/>
              <w:bottom w:val="single" w:color="auto" w:sz="4" w:space="0"/>
              <w:right w:val="single" w:color="auto" w:sz="4" w:space="0"/>
            </w:tcBorders>
            <w:vAlign w:val="center"/>
          </w:tcPr>
          <w:p w14:paraId="1BD9EE63">
            <w:pPr>
              <w:keepNext w:val="0"/>
              <w:keepLines w:val="0"/>
              <w:pageBreakBefore w:val="0"/>
              <w:kinsoku/>
              <w:wordWrap/>
              <w:overflowPunct/>
              <w:topLinePunct w:val="0"/>
              <w:bidi w:val="0"/>
              <w:adjustRightInd/>
              <w:snapToGrid/>
              <w:spacing w:line="560" w:lineRule="exact"/>
              <w:rPr>
                <w:rFonts w:hint="eastAsia" w:ascii="宋体" w:hAnsi="宋体" w:eastAsia="宋体" w:cs="宋体"/>
                <w:b w:val="0"/>
                <w:bCs/>
                <w:color w:val="000000" w:themeColor="text1"/>
                <w:sz w:val="28"/>
                <w:szCs w:val="28"/>
                <w:highlight w:val="none"/>
                <w:u w:val="none"/>
                <w14:textFill>
                  <w14:solidFill>
                    <w14:schemeClr w14:val="tx1"/>
                  </w14:solidFill>
                </w14:textFill>
              </w:rPr>
            </w:pPr>
            <w:r>
              <w:rPr>
                <w:rFonts w:hint="eastAsia" w:ascii="宋体" w:hAnsi="宋体" w:eastAsia="宋体" w:cs="宋体"/>
                <w:b w:val="0"/>
                <w:bCs/>
                <w:color w:val="000000" w:themeColor="text1"/>
                <w:sz w:val="28"/>
                <w:szCs w:val="28"/>
                <w:highlight w:val="none"/>
                <w:u w:val="none"/>
                <w14:textFill>
                  <w14:solidFill>
                    <w14:schemeClr w14:val="tx1"/>
                  </w14:solidFill>
                </w14:textFill>
              </w:rPr>
              <w:t>投标文件应按报价文件、资格证明文件、商务</w:t>
            </w:r>
            <w:r>
              <w:rPr>
                <w:rFonts w:hint="eastAsia" w:ascii="宋体" w:hAnsi="宋体" w:eastAsia="宋体" w:cs="宋体"/>
                <w:b w:val="0"/>
                <w:bCs/>
                <w:color w:val="000000" w:themeColor="text1"/>
                <w:sz w:val="28"/>
                <w:szCs w:val="28"/>
                <w:highlight w:val="none"/>
                <w:u w:val="none"/>
                <w:lang w:eastAsia="zh-CN"/>
                <w14:textFill>
                  <w14:solidFill>
                    <w14:schemeClr w14:val="tx1"/>
                  </w14:solidFill>
                </w14:textFill>
              </w:rPr>
              <w:t>文件</w:t>
            </w:r>
            <w:r>
              <w:rPr>
                <w:rFonts w:hint="eastAsia" w:ascii="宋体" w:hAnsi="宋体" w:eastAsia="宋体" w:cs="宋体"/>
                <w:b w:val="0"/>
                <w:bCs/>
                <w:color w:val="000000" w:themeColor="text1"/>
                <w:sz w:val="28"/>
                <w:szCs w:val="28"/>
                <w:highlight w:val="none"/>
                <w:u w:val="none"/>
                <w14:textFill>
                  <w14:solidFill>
                    <w14:schemeClr w14:val="tx1"/>
                  </w14:solidFill>
                </w14:textFill>
              </w:rPr>
              <w:t>、技术文件分别编制，报价文件、资格证明文件分别生成电子文件，商务</w:t>
            </w:r>
            <w:r>
              <w:rPr>
                <w:rFonts w:hint="eastAsia" w:ascii="宋体" w:hAnsi="宋体" w:eastAsia="宋体" w:cs="宋体"/>
                <w:b w:val="0"/>
                <w:bCs/>
                <w:color w:val="000000" w:themeColor="text1"/>
                <w:sz w:val="28"/>
                <w:szCs w:val="28"/>
                <w:highlight w:val="none"/>
                <w:u w:val="none"/>
                <w:lang w:eastAsia="zh-CN"/>
                <w14:textFill>
                  <w14:solidFill>
                    <w14:schemeClr w14:val="tx1"/>
                  </w14:solidFill>
                </w14:textFill>
              </w:rPr>
              <w:t>文件</w:t>
            </w:r>
            <w:r>
              <w:rPr>
                <w:rFonts w:hint="eastAsia" w:ascii="宋体" w:hAnsi="宋体" w:eastAsia="宋体" w:cs="宋体"/>
                <w:b w:val="0"/>
                <w:bCs/>
                <w:color w:val="000000" w:themeColor="text1"/>
                <w:sz w:val="28"/>
                <w:szCs w:val="28"/>
                <w:highlight w:val="none"/>
                <w:u w:val="none"/>
                <w14:textFill>
                  <w14:solidFill>
                    <w14:schemeClr w14:val="tx1"/>
                  </w14:solidFill>
                </w14:textFill>
              </w:rPr>
              <w:t>、技术文件按顺序合并生成电子文件。电子版投标文件制作方式见招标公告。</w:t>
            </w:r>
          </w:p>
          <w:p w14:paraId="579785D0">
            <w:pPr>
              <w:keepNext w:val="0"/>
              <w:keepLines w:val="0"/>
              <w:pageBreakBefore w:val="0"/>
              <w:kinsoku/>
              <w:wordWrap/>
              <w:overflowPunct/>
              <w:topLinePunct w:val="0"/>
              <w:bidi w:val="0"/>
              <w:adjustRightInd/>
              <w:snapToGrid/>
              <w:spacing w:line="560" w:lineRule="exact"/>
              <w:rPr>
                <w:rFonts w:hint="eastAsia" w:ascii="宋体" w:hAnsi="宋体" w:eastAsia="宋体" w:cs="宋体"/>
                <w:b/>
                <w:color w:val="000000" w:themeColor="text1"/>
                <w:sz w:val="28"/>
                <w:szCs w:val="28"/>
                <w:highlight w:val="none"/>
                <w:u w:val="single"/>
                <w14:textFill>
                  <w14:solidFill>
                    <w14:schemeClr w14:val="tx1"/>
                  </w14:solidFill>
                </w14:textFill>
              </w:rPr>
            </w:pPr>
            <w:r>
              <w:rPr>
                <w:rFonts w:hint="eastAsia" w:ascii="宋体" w:hAnsi="宋体" w:eastAsia="宋体" w:cs="宋体"/>
                <w:b/>
                <w:bCs w:val="0"/>
                <w:color w:val="000000" w:themeColor="text1"/>
                <w:sz w:val="28"/>
                <w:szCs w:val="28"/>
                <w:highlight w:val="none"/>
                <w:u w:val="none"/>
                <w14:textFill>
                  <w14:solidFill>
                    <w14:schemeClr w14:val="tx1"/>
                  </w14:solidFill>
                </w14:textFill>
              </w:rPr>
              <w:t>在开标结束后中标单位须向采购代理机构递交纸质响应文件</w:t>
            </w:r>
            <w:r>
              <w:rPr>
                <w:rFonts w:hint="eastAsia" w:ascii="宋体" w:hAnsi="宋体" w:cs="宋体"/>
                <w:b/>
                <w:bCs w:val="0"/>
                <w:color w:val="000000" w:themeColor="text1"/>
                <w:sz w:val="28"/>
                <w:szCs w:val="28"/>
                <w:highlight w:val="none"/>
                <w:u w:val="none"/>
                <w:lang w:eastAsia="zh-CN"/>
                <w14:textFill>
                  <w14:solidFill>
                    <w14:schemeClr w14:val="tx1"/>
                  </w14:solidFill>
                </w14:textFill>
              </w:rPr>
              <w:t>一</w:t>
            </w:r>
            <w:r>
              <w:rPr>
                <w:rFonts w:hint="eastAsia" w:ascii="宋体" w:hAnsi="宋体" w:eastAsia="宋体" w:cs="宋体"/>
                <w:b/>
                <w:bCs w:val="0"/>
                <w:color w:val="000000" w:themeColor="text1"/>
                <w:sz w:val="28"/>
                <w:szCs w:val="28"/>
                <w:highlight w:val="none"/>
                <w:u w:val="none"/>
                <w14:textFill>
                  <w14:solidFill>
                    <w14:schemeClr w14:val="tx1"/>
                  </w14:solidFill>
                </w14:textFill>
              </w:rPr>
              <w:t>份，印章齐全。</w:t>
            </w:r>
          </w:p>
        </w:tc>
      </w:tr>
      <w:tr w14:paraId="4468EF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14:paraId="067F0686">
            <w:pPr>
              <w:keepNext w:val="0"/>
              <w:keepLines w:val="0"/>
              <w:pageBreakBefore w:val="0"/>
              <w:kinsoku/>
              <w:wordWrap/>
              <w:overflowPunct/>
              <w:topLinePunct w:val="0"/>
              <w:bidi w:val="0"/>
              <w:adjustRightInd/>
              <w:snapToGrid/>
              <w:spacing w:line="560" w:lineRule="exact"/>
              <w:jc w:val="center"/>
              <w:rPr>
                <w:rFonts w:hint="default"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cs="宋体"/>
                <w:color w:val="000000" w:themeColor="text1"/>
                <w:sz w:val="28"/>
                <w:szCs w:val="28"/>
                <w:highlight w:val="none"/>
                <w:lang w:val="en-US" w:eastAsia="zh-CN"/>
                <w14:textFill>
                  <w14:solidFill>
                    <w14:schemeClr w14:val="tx1"/>
                  </w14:solidFill>
                </w14:textFill>
              </w:rPr>
              <w:t>14</w:t>
            </w:r>
          </w:p>
        </w:tc>
        <w:tc>
          <w:tcPr>
            <w:tcW w:w="2239" w:type="dxa"/>
            <w:tcBorders>
              <w:top w:val="single" w:color="auto" w:sz="4" w:space="0"/>
              <w:left w:val="single" w:color="auto" w:sz="4" w:space="0"/>
              <w:bottom w:val="single" w:color="auto" w:sz="4" w:space="0"/>
              <w:right w:val="single" w:color="auto" w:sz="4" w:space="0"/>
            </w:tcBorders>
            <w:vAlign w:val="center"/>
          </w:tcPr>
          <w:p w14:paraId="290E3365">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备份投标文件</w:t>
            </w:r>
          </w:p>
        </w:tc>
        <w:tc>
          <w:tcPr>
            <w:tcW w:w="7297" w:type="dxa"/>
            <w:tcBorders>
              <w:top w:val="single" w:color="auto" w:sz="4" w:space="0"/>
              <w:left w:val="single" w:color="auto" w:sz="4" w:space="0"/>
              <w:bottom w:val="single" w:color="auto" w:sz="4" w:space="0"/>
              <w:right w:val="single" w:color="auto" w:sz="4" w:space="0"/>
            </w:tcBorders>
            <w:vAlign w:val="center"/>
          </w:tcPr>
          <w:p w14:paraId="127CD945">
            <w:pPr>
              <w:keepNext w:val="0"/>
              <w:keepLines w:val="0"/>
              <w:pageBreakBefore w:val="0"/>
              <w:kinsoku/>
              <w:wordWrap/>
              <w:overflowPunct/>
              <w:topLinePunct w:val="0"/>
              <w:autoSpaceDE w:val="0"/>
              <w:autoSpaceDN w:val="0"/>
              <w:bidi w:val="0"/>
              <w:adjustRightInd/>
              <w:snapToGrid/>
              <w:spacing w:line="560" w:lineRule="exact"/>
              <w:textAlignment w:val="bottom"/>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本项目不接受备份投标文件。</w:t>
            </w:r>
          </w:p>
        </w:tc>
      </w:tr>
      <w:tr w14:paraId="56629A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993" w:type="dxa"/>
            <w:vMerge w:val="restart"/>
            <w:tcBorders>
              <w:top w:val="single" w:color="auto" w:sz="4" w:space="0"/>
              <w:left w:val="single" w:color="auto" w:sz="4" w:space="0"/>
              <w:bottom w:val="nil"/>
              <w:right w:val="single" w:color="auto" w:sz="4" w:space="0"/>
            </w:tcBorders>
            <w:vAlign w:val="center"/>
          </w:tcPr>
          <w:p w14:paraId="0E558D38">
            <w:pPr>
              <w:keepNext w:val="0"/>
              <w:keepLines w:val="0"/>
              <w:pageBreakBefore w:val="0"/>
              <w:kinsoku/>
              <w:wordWrap/>
              <w:overflowPunct/>
              <w:topLinePunct w:val="0"/>
              <w:bidi w:val="0"/>
              <w:adjustRightInd/>
              <w:snapToGrid/>
              <w:spacing w:line="560" w:lineRule="exact"/>
              <w:jc w:val="center"/>
              <w:rPr>
                <w:rFonts w:hint="default"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cs="宋体"/>
                <w:color w:val="000000" w:themeColor="text1"/>
                <w:sz w:val="28"/>
                <w:szCs w:val="28"/>
                <w:highlight w:val="none"/>
                <w:lang w:val="en-US" w:eastAsia="zh-CN"/>
                <w14:textFill>
                  <w14:solidFill>
                    <w14:schemeClr w14:val="tx1"/>
                  </w14:solidFill>
                </w14:textFill>
              </w:rPr>
              <w:t>15</w:t>
            </w:r>
          </w:p>
        </w:tc>
        <w:tc>
          <w:tcPr>
            <w:tcW w:w="2239" w:type="dxa"/>
            <w:tcBorders>
              <w:top w:val="single" w:color="auto" w:sz="4" w:space="0"/>
              <w:left w:val="single" w:color="auto" w:sz="4" w:space="0"/>
              <w:bottom w:val="single" w:color="auto" w:sz="4" w:space="0"/>
              <w:right w:val="single" w:color="auto" w:sz="4" w:space="0"/>
            </w:tcBorders>
            <w:vAlign w:val="center"/>
          </w:tcPr>
          <w:p w14:paraId="34CF2FC2">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投标截止时间</w:t>
            </w:r>
          </w:p>
        </w:tc>
        <w:tc>
          <w:tcPr>
            <w:tcW w:w="7297" w:type="dxa"/>
            <w:tcBorders>
              <w:top w:val="single" w:color="auto" w:sz="4" w:space="0"/>
              <w:left w:val="single" w:color="auto" w:sz="4" w:space="0"/>
              <w:bottom w:val="single" w:color="auto" w:sz="4" w:space="0"/>
              <w:right w:val="single" w:color="auto" w:sz="4" w:space="0"/>
            </w:tcBorders>
            <w:vAlign w:val="center"/>
          </w:tcPr>
          <w:p w14:paraId="07743A5C">
            <w:pPr>
              <w:keepNext w:val="0"/>
              <w:keepLines w:val="0"/>
              <w:pageBreakBefore w:val="0"/>
              <w:kinsoku/>
              <w:wordWrap/>
              <w:overflowPunct/>
              <w:topLinePunct w:val="0"/>
              <w:bidi w:val="0"/>
              <w:adjustRightInd/>
              <w:snapToGrid/>
              <w:spacing w:line="560" w:lineRule="exact"/>
              <w:rPr>
                <w:rFonts w:hint="eastAsia" w:ascii="宋体" w:hAnsi="宋体" w:eastAsia="宋体" w:cs="宋体"/>
                <w:color w:val="000000" w:themeColor="text1"/>
                <w:sz w:val="28"/>
                <w:szCs w:val="28"/>
                <w:highlight w:val="none"/>
                <w:u w:val="singl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详见招标公告</w:t>
            </w:r>
          </w:p>
        </w:tc>
      </w:tr>
      <w:tr w14:paraId="7A5AB8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993" w:type="dxa"/>
            <w:vMerge w:val="continue"/>
            <w:tcBorders>
              <w:top w:val="single" w:color="auto" w:sz="4" w:space="0"/>
              <w:left w:val="single" w:color="auto" w:sz="4" w:space="0"/>
              <w:bottom w:val="nil"/>
              <w:right w:val="single" w:color="auto" w:sz="4" w:space="0"/>
            </w:tcBorders>
            <w:vAlign w:val="center"/>
          </w:tcPr>
          <w:p w14:paraId="42346F6C">
            <w:pPr>
              <w:keepNext w:val="0"/>
              <w:keepLines w:val="0"/>
              <w:pageBreakBefore w:val="0"/>
              <w:widowControl/>
              <w:kinsoku/>
              <w:wordWrap/>
              <w:overflowPunct/>
              <w:topLinePunct w:val="0"/>
              <w:bidi w:val="0"/>
              <w:adjustRightInd/>
              <w:snapToGrid/>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2239" w:type="dxa"/>
            <w:tcBorders>
              <w:top w:val="single" w:color="auto" w:sz="4" w:space="0"/>
              <w:left w:val="single" w:color="auto" w:sz="4" w:space="0"/>
              <w:bottom w:val="single" w:color="auto" w:sz="4" w:space="0"/>
              <w:right w:val="single" w:color="auto" w:sz="4" w:space="0"/>
            </w:tcBorders>
            <w:vAlign w:val="center"/>
          </w:tcPr>
          <w:p w14:paraId="7DE03B3D">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投标文件提交起止时间</w:t>
            </w:r>
          </w:p>
        </w:tc>
        <w:tc>
          <w:tcPr>
            <w:tcW w:w="7297" w:type="dxa"/>
            <w:tcBorders>
              <w:top w:val="single" w:color="auto" w:sz="4" w:space="0"/>
              <w:left w:val="single" w:color="auto" w:sz="4" w:space="0"/>
              <w:bottom w:val="single" w:color="auto" w:sz="4" w:space="0"/>
              <w:right w:val="single" w:color="auto" w:sz="4" w:space="0"/>
            </w:tcBorders>
            <w:vAlign w:val="center"/>
          </w:tcPr>
          <w:p w14:paraId="33F8D131">
            <w:pPr>
              <w:keepNext w:val="0"/>
              <w:keepLines w:val="0"/>
              <w:pageBreakBefore w:val="0"/>
              <w:kinsoku/>
              <w:wordWrap/>
              <w:overflowPunct/>
              <w:topLinePunct w:val="0"/>
              <w:bidi w:val="0"/>
              <w:adjustRightInd/>
              <w:snapToGrid/>
              <w:spacing w:line="560" w:lineRule="exac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详见招标公告</w:t>
            </w:r>
          </w:p>
        </w:tc>
      </w:tr>
      <w:tr w14:paraId="621D87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993" w:type="dxa"/>
            <w:vMerge w:val="continue"/>
            <w:tcBorders>
              <w:top w:val="single" w:color="auto" w:sz="4" w:space="0"/>
              <w:left w:val="single" w:color="auto" w:sz="4" w:space="0"/>
              <w:bottom w:val="nil"/>
              <w:right w:val="single" w:color="auto" w:sz="4" w:space="0"/>
            </w:tcBorders>
            <w:vAlign w:val="center"/>
          </w:tcPr>
          <w:p w14:paraId="352317B8">
            <w:pPr>
              <w:keepNext w:val="0"/>
              <w:keepLines w:val="0"/>
              <w:pageBreakBefore w:val="0"/>
              <w:widowControl/>
              <w:kinsoku/>
              <w:wordWrap/>
              <w:overflowPunct/>
              <w:topLinePunct w:val="0"/>
              <w:bidi w:val="0"/>
              <w:adjustRightInd/>
              <w:snapToGrid/>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2239" w:type="dxa"/>
            <w:tcBorders>
              <w:top w:val="single" w:color="auto" w:sz="4" w:space="0"/>
              <w:left w:val="single" w:color="auto" w:sz="4" w:space="0"/>
              <w:bottom w:val="single" w:color="auto" w:sz="4" w:space="0"/>
              <w:right w:val="single" w:color="auto" w:sz="4" w:space="0"/>
            </w:tcBorders>
            <w:vAlign w:val="center"/>
          </w:tcPr>
          <w:p w14:paraId="620A696F">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投标地点</w:t>
            </w:r>
          </w:p>
        </w:tc>
        <w:tc>
          <w:tcPr>
            <w:tcW w:w="7297" w:type="dxa"/>
            <w:tcBorders>
              <w:top w:val="single" w:color="auto" w:sz="4" w:space="0"/>
              <w:left w:val="single" w:color="auto" w:sz="4" w:space="0"/>
              <w:bottom w:val="single" w:color="auto" w:sz="4" w:space="0"/>
              <w:right w:val="single" w:color="auto" w:sz="4" w:space="0"/>
            </w:tcBorders>
            <w:vAlign w:val="center"/>
          </w:tcPr>
          <w:p w14:paraId="73F8FDED">
            <w:pPr>
              <w:keepNext w:val="0"/>
              <w:keepLines w:val="0"/>
              <w:pageBreakBefore w:val="0"/>
              <w:kinsoku/>
              <w:wordWrap/>
              <w:overflowPunct/>
              <w:topLinePunct w:val="0"/>
              <w:bidi w:val="0"/>
              <w:adjustRightInd/>
              <w:snapToGrid/>
              <w:spacing w:line="560" w:lineRule="exac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新疆政府采购网（http://www.ccgp-xinjiang.gov.cn）政采云投标客户端投标</w:t>
            </w:r>
          </w:p>
        </w:tc>
      </w:tr>
      <w:tr w14:paraId="42C3B4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993" w:type="dxa"/>
            <w:vMerge w:val="continue"/>
            <w:tcBorders>
              <w:top w:val="single" w:color="auto" w:sz="4" w:space="0"/>
              <w:left w:val="single" w:color="auto" w:sz="4" w:space="0"/>
              <w:bottom w:val="nil"/>
              <w:right w:val="single" w:color="auto" w:sz="4" w:space="0"/>
            </w:tcBorders>
            <w:vAlign w:val="center"/>
          </w:tcPr>
          <w:p w14:paraId="28EFA343">
            <w:pPr>
              <w:keepNext w:val="0"/>
              <w:keepLines w:val="0"/>
              <w:pageBreakBefore w:val="0"/>
              <w:widowControl/>
              <w:kinsoku/>
              <w:wordWrap/>
              <w:overflowPunct/>
              <w:topLinePunct w:val="0"/>
              <w:bidi w:val="0"/>
              <w:adjustRightInd/>
              <w:snapToGrid/>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2239" w:type="dxa"/>
            <w:tcBorders>
              <w:top w:val="single" w:color="auto" w:sz="4" w:space="0"/>
              <w:left w:val="single" w:color="auto" w:sz="4" w:space="0"/>
              <w:bottom w:val="single" w:color="auto" w:sz="4" w:space="0"/>
              <w:right w:val="single" w:color="auto" w:sz="4" w:space="0"/>
            </w:tcBorders>
            <w:vAlign w:val="center"/>
          </w:tcPr>
          <w:p w14:paraId="4B30CA04">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lang w:eastAsia="zh-CN"/>
                <w14:textFill>
                  <w14:solidFill>
                    <w14:schemeClr w14:val="tx1"/>
                  </w14:solidFill>
                </w14:textFill>
              </w:rPr>
              <w:t>供应商</w:t>
            </w:r>
            <w:r>
              <w:rPr>
                <w:rFonts w:hint="eastAsia" w:ascii="宋体" w:hAnsi="宋体" w:eastAsia="宋体" w:cs="宋体"/>
                <w:color w:val="000000" w:themeColor="text1"/>
                <w:sz w:val="28"/>
                <w:szCs w:val="28"/>
                <w:highlight w:val="none"/>
                <w14:textFill>
                  <w14:solidFill>
                    <w14:schemeClr w14:val="tx1"/>
                  </w14:solidFill>
                </w14:textFill>
              </w:rPr>
              <w:t>递交投标样品截止时间及地点</w:t>
            </w:r>
          </w:p>
        </w:tc>
        <w:tc>
          <w:tcPr>
            <w:tcW w:w="7297" w:type="dxa"/>
            <w:tcBorders>
              <w:top w:val="single" w:color="auto" w:sz="4" w:space="0"/>
              <w:left w:val="single" w:color="auto" w:sz="4" w:space="0"/>
              <w:bottom w:val="single" w:color="auto" w:sz="4" w:space="0"/>
              <w:right w:val="single" w:color="auto" w:sz="4" w:space="0"/>
            </w:tcBorders>
            <w:vAlign w:val="center"/>
          </w:tcPr>
          <w:p w14:paraId="611FC3FE">
            <w:pPr>
              <w:keepNext w:val="0"/>
              <w:keepLines w:val="0"/>
              <w:pageBreakBefore w:val="0"/>
              <w:kinsoku/>
              <w:wordWrap/>
              <w:overflowPunct/>
              <w:topLinePunct w:val="0"/>
              <w:bidi w:val="0"/>
              <w:adjustRightInd/>
              <w:snapToGrid/>
              <w:spacing w:line="560" w:lineRule="exac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无</w:t>
            </w:r>
          </w:p>
        </w:tc>
      </w:tr>
      <w:tr w14:paraId="1FB90E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81" w:hRule="atLeast"/>
        </w:trPr>
        <w:tc>
          <w:tcPr>
            <w:tcW w:w="993" w:type="dxa"/>
            <w:tcBorders>
              <w:top w:val="single" w:color="auto" w:sz="4" w:space="0"/>
              <w:left w:val="single" w:color="auto" w:sz="4" w:space="0"/>
              <w:bottom w:val="single" w:color="auto" w:sz="4" w:space="0"/>
              <w:right w:val="single" w:color="auto" w:sz="4" w:space="0"/>
            </w:tcBorders>
            <w:vAlign w:val="center"/>
          </w:tcPr>
          <w:p w14:paraId="1B4592D7">
            <w:pPr>
              <w:keepNext w:val="0"/>
              <w:keepLines w:val="0"/>
              <w:pageBreakBefore w:val="0"/>
              <w:kinsoku/>
              <w:wordWrap/>
              <w:overflowPunct/>
              <w:topLinePunct w:val="0"/>
              <w:bidi w:val="0"/>
              <w:adjustRightInd/>
              <w:snapToGrid/>
              <w:spacing w:line="560" w:lineRule="exact"/>
              <w:jc w:val="center"/>
              <w:rPr>
                <w:rFonts w:hint="default"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cs="宋体"/>
                <w:color w:val="000000" w:themeColor="text1"/>
                <w:sz w:val="28"/>
                <w:szCs w:val="28"/>
                <w:highlight w:val="none"/>
                <w:lang w:val="en-US" w:eastAsia="zh-CN"/>
                <w14:textFill>
                  <w14:solidFill>
                    <w14:schemeClr w14:val="tx1"/>
                  </w14:solidFill>
                </w14:textFill>
              </w:rPr>
              <w:t>16</w:t>
            </w:r>
          </w:p>
        </w:tc>
        <w:tc>
          <w:tcPr>
            <w:tcW w:w="2239" w:type="dxa"/>
            <w:tcBorders>
              <w:top w:val="single" w:color="auto" w:sz="4" w:space="0"/>
              <w:left w:val="single" w:color="auto" w:sz="4" w:space="0"/>
              <w:bottom w:val="single" w:color="auto" w:sz="4" w:space="0"/>
              <w:right w:val="single" w:color="auto" w:sz="4" w:space="0"/>
            </w:tcBorders>
            <w:vAlign w:val="center"/>
          </w:tcPr>
          <w:p w14:paraId="0B45037C">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开标时间、地点</w:t>
            </w:r>
          </w:p>
        </w:tc>
        <w:tc>
          <w:tcPr>
            <w:tcW w:w="7297" w:type="dxa"/>
            <w:tcBorders>
              <w:top w:val="single" w:color="auto" w:sz="4" w:space="0"/>
              <w:left w:val="single" w:color="auto" w:sz="4" w:space="0"/>
              <w:bottom w:val="single" w:color="auto" w:sz="4" w:space="0"/>
              <w:right w:val="single" w:color="auto" w:sz="4" w:space="0"/>
            </w:tcBorders>
            <w:vAlign w:val="center"/>
          </w:tcPr>
          <w:p w14:paraId="24992E41">
            <w:pPr>
              <w:keepNext w:val="0"/>
              <w:keepLines w:val="0"/>
              <w:pageBreakBefore w:val="0"/>
              <w:kinsoku/>
              <w:wordWrap/>
              <w:overflowPunct/>
              <w:topLinePunct w:val="0"/>
              <w:bidi w:val="0"/>
              <w:adjustRightInd/>
              <w:snapToGrid/>
              <w:spacing w:line="560" w:lineRule="exac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u w:val="single"/>
                <w14:textFill>
                  <w14:solidFill>
                    <w14:schemeClr w14:val="tx1"/>
                  </w14:solidFill>
                </w14:textFill>
              </w:rPr>
              <w:t>202</w:t>
            </w:r>
            <w:r>
              <w:rPr>
                <w:rFonts w:hint="eastAsia" w:ascii="宋体" w:hAnsi="宋体" w:cs="宋体"/>
                <w:b/>
                <w:bCs/>
                <w:color w:val="000000" w:themeColor="text1"/>
                <w:sz w:val="28"/>
                <w:szCs w:val="28"/>
                <w:highlight w:val="none"/>
                <w:u w:val="single"/>
                <w:lang w:val="en-US" w:eastAsia="zh-CN"/>
                <w14:textFill>
                  <w14:solidFill>
                    <w14:schemeClr w14:val="tx1"/>
                  </w14:solidFill>
                </w14:textFill>
              </w:rPr>
              <w:t>5</w:t>
            </w:r>
            <w:r>
              <w:rPr>
                <w:rFonts w:hint="eastAsia" w:ascii="宋体" w:hAnsi="宋体" w:eastAsia="宋体" w:cs="宋体"/>
                <w:b/>
                <w:bCs/>
                <w:color w:val="000000" w:themeColor="text1"/>
                <w:sz w:val="28"/>
                <w:szCs w:val="28"/>
                <w:highlight w:val="none"/>
                <w:u w:val="single"/>
                <w14:textFill>
                  <w14:solidFill>
                    <w14:schemeClr w14:val="tx1"/>
                  </w14:solidFill>
                </w14:textFill>
              </w:rPr>
              <w:t>年</w:t>
            </w:r>
            <w:r>
              <w:rPr>
                <w:rFonts w:hint="eastAsia" w:ascii="宋体" w:hAnsi="宋体" w:cs="宋体"/>
                <w:b/>
                <w:bCs/>
                <w:color w:val="000000" w:themeColor="text1"/>
                <w:sz w:val="28"/>
                <w:szCs w:val="28"/>
                <w:highlight w:val="none"/>
                <w:u w:val="single"/>
                <w:lang w:val="en-US" w:eastAsia="zh-CN"/>
                <w14:textFill>
                  <w14:solidFill>
                    <w14:schemeClr w14:val="tx1"/>
                  </w14:solidFill>
                </w14:textFill>
              </w:rPr>
              <w:t>07</w:t>
            </w:r>
            <w:r>
              <w:rPr>
                <w:rFonts w:hint="eastAsia" w:ascii="宋体" w:hAnsi="宋体" w:eastAsia="宋体" w:cs="宋体"/>
                <w:b/>
                <w:bCs/>
                <w:color w:val="000000" w:themeColor="text1"/>
                <w:sz w:val="28"/>
                <w:szCs w:val="28"/>
                <w:highlight w:val="none"/>
                <w:u w:val="single"/>
                <w14:textFill>
                  <w14:solidFill>
                    <w14:schemeClr w14:val="tx1"/>
                  </w14:solidFill>
                </w14:textFill>
              </w:rPr>
              <w:t>月</w:t>
            </w:r>
            <w:r>
              <w:rPr>
                <w:rFonts w:hint="eastAsia" w:ascii="宋体" w:hAnsi="宋体" w:cs="宋体"/>
                <w:b/>
                <w:bCs/>
                <w:color w:val="000000" w:themeColor="text1"/>
                <w:sz w:val="28"/>
                <w:szCs w:val="28"/>
                <w:highlight w:val="none"/>
                <w:u w:val="single"/>
                <w:lang w:val="en-US" w:eastAsia="zh-CN"/>
                <w14:textFill>
                  <w14:solidFill>
                    <w14:schemeClr w14:val="tx1"/>
                  </w14:solidFill>
                </w14:textFill>
              </w:rPr>
              <w:t>17</w:t>
            </w:r>
            <w:r>
              <w:rPr>
                <w:rFonts w:hint="eastAsia" w:ascii="宋体" w:hAnsi="宋体" w:eastAsia="宋体" w:cs="宋体"/>
                <w:b/>
                <w:bCs/>
                <w:color w:val="000000" w:themeColor="text1"/>
                <w:sz w:val="28"/>
                <w:szCs w:val="28"/>
                <w:highlight w:val="none"/>
                <w:u w:val="single"/>
                <w14:textFill>
                  <w14:solidFill>
                    <w14:schemeClr w14:val="tx1"/>
                  </w14:solidFill>
                </w14:textFill>
              </w:rPr>
              <w:t>日1</w:t>
            </w:r>
            <w:r>
              <w:rPr>
                <w:rFonts w:hint="eastAsia" w:ascii="宋体" w:hAnsi="宋体" w:cs="宋体"/>
                <w:b/>
                <w:bCs/>
                <w:color w:val="000000" w:themeColor="text1"/>
                <w:sz w:val="28"/>
                <w:szCs w:val="28"/>
                <w:highlight w:val="none"/>
                <w:u w:val="single"/>
                <w:lang w:val="en-US" w:eastAsia="zh-CN"/>
                <w14:textFill>
                  <w14:solidFill>
                    <w14:schemeClr w14:val="tx1"/>
                  </w14:solidFill>
                </w14:textFill>
              </w:rPr>
              <w:t>1</w:t>
            </w:r>
            <w:r>
              <w:rPr>
                <w:rFonts w:hint="eastAsia" w:ascii="宋体" w:hAnsi="宋体" w:eastAsia="宋体" w:cs="宋体"/>
                <w:b/>
                <w:bCs/>
                <w:color w:val="000000" w:themeColor="text1"/>
                <w:sz w:val="28"/>
                <w:szCs w:val="28"/>
                <w:highlight w:val="none"/>
                <w:u w:val="single"/>
                <w14:textFill>
                  <w14:solidFill>
                    <w14:schemeClr w14:val="tx1"/>
                  </w14:solidFill>
                </w14:textFill>
              </w:rPr>
              <w:t>点00分</w:t>
            </w:r>
            <w:r>
              <w:rPr>
                <w:rFonts w:hint="eastAsia" w:ascii="宋体" w:hAnsi="宋体" w:eastAsia="宋体" w:cs="宋体"/>
                <w:color w:val="000000" w:themeColor="text1"/>
                <w:sz w:val="28"/>
                <w:szCs w:val="28"/>
                <w:highlight w:val="none"/>
                <w14:textFill>
                  <w14:solidFill>
                    <w14:schemeClr w14:val="tx1"/>
                  </w14:solidFill>
                </w14:textFill>
              </w:rPr>
              <w:t>（北京时间）</w:t>
            </w:r>
          </w:p>
          <w:p w14:paraId="606007CD">
            <w:pPr>
              <w:keepNext w:val="0"/>
              <w:keepLines w:val="0"/>
              <w:pageBreakBefore w:val="0"/>
              <w:kinsoku/>
              <w:wordWrap/>
              <w:overflowPunct/>
              <w:topLinePunct w:val="0"/>
              <w:bidi w:val="0"/>
              <w:adjustRightInd/>
              <w:snapToGrid/>
              <w:spacing w:line="560" w:lineRule="exac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新疆政府采购网（http://www.ccgp-xinjiang.gov.cn）政采云平台</w:t>
            </w:r>
          </w:p>
        </w:tc>
      </w:tr>
      <w:tr w14:paraId="23CC00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8" w:hRule="atLeast"/>
        </w:trPr>
        <w:tc>
          <w:tcPr>
            <w:tcW w:w="993" w:type="dxa"/>
            <w:vMerge w:val="restart"/>
            <w:tcBorders>
              <w:top w:val="single" w:color="auto" w:sz="4" w:space="0"/>
              <w:left w:val="single" w:color="auto" w:sz="4" w:space="0"/>
              <w:bottom w:val="single" w:color="auto" w:sz="4" w:space="0"/>
              <w:right w:val="single" w:color="auto" w:sz="4" w:space="0"/>
            </w:tcBorders>
            <w:vAlign w:val="center"/>
          </w:tcPr>
          <w:p w14:paraId="44A0AA92">
            <w:pPr>
              <w:keepNext w:val="0"/>
              <w:keepLines w:val="0"/>
              <w:pageBreakBefore w:val="0"/>
              <w:kinsoku/>
              <w:wordWrap/>
              <w:overflowPunct/>
              <w:topLinePunct w:val="0"/>
              <w:bidi w:val="0"/>
              <w:adjustRightInd/>
              <w:snapToGrid/>
              <w:spacing w:line="560" w:lineRule="exact"/>
              <w:jc w:val="center"/>
              <w:rPr>
                <w:rFonts w:hint="default"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cs="宋体"/>
                <w:color w:val="000000" w:themeColor="text1"/>
                <w:sz w:val="28"/>
                <w:szCs w:val="28"/>
                <w:highlight w:val="none"/>
                <w:lang w:val="en-US" w:eastAsia="zh-CN"/>
                <w14:textFill>
                  <w14:solidFill>
                    <w14:schemeClr w14:val="tx1"/>
                  </w14:solidFill>
                </w14:textFill>
              </w:rPr>
              <w:t>17</w:t>
            </w:r>
          </w:p>
        </w:tc>
        <w:tc>
          <w:tcPr>
            <w:tcW w:w="2239" w:type="dxa"/>
            <w:tcBorders>
              <w:top w:val="single" w:color="auto" w:sz="4" w:space="0"/>
              <w:left w:val="single" w:color="auto" w:sz="4" w:space="0"/>
              <w:bottom w:val="single" w:color="auto" w:sz="4" w:space="0"/>
              <w:right w:val="single" w:color="auto" w:sz="4" w:space="0"/>
            </w:tcBorders>
            <w:vAlign w:val="center"/>
          </w:tcPr>
          <w:p w14:paraId="29A65AE9">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lang w:eastAsia="zh-CN"/>
                <w14:textFill>
                  <w14:solidFill>
                    <w14:schemeClr w14:val="tx1"/>
                  </w14:solidFill>
                </w14:textFill>
              </w:rPr>
              <w:t>供应商</w:t>
            </w:r>
            <w:r>
              <w:rPr>
                <w:rFonts w:hint="eastAsia" w:ascii="宋体" w:hAnsi="宋体" w:eastAsia="宋体" w:cs="宋体"/>
                <w:color w:val="000000" w:themeColor="text1"/>
                <w:sz w:val="28"/>
                <w:szCs w:val="28"/>
                <w:highlight w:val="none"/>
                <w14:textFill>
                  <w14:solidFill>
                    <w14:schemeClr w14:val="tx1"/>
                  </w14:solidFill>
                </w14:textFill>
              </w:rPr>
              <w:t>信用查询渠道</w:t>
            </w:r>
          </w:p>
        </w:tc>
        <w:tc>
          <w:tcPr>
            <w:tcW w:w="7297" w:type="dxa"/>
            <w:tcBorders>
              <w:top w:val="single" w:color="auto" w:sz="4" w:space="0"/>
              <w:left w:val="single" w:color="auto" w:sz="4" w:space="0"/>
              <w:bottom w:val="single" w:color="auto" w:sz="4" w:space="0"/>
              <w:right w:val="single" w:color="auto" w:sz="4" w:space="0"/>
            </w:tcBorders>
            <w:vAlign w:val="center"/>
          </w:tcPr>
          <w:p w14:paraId="471AC11B">
            <w:pPr>
              <w:keepNext w:val="0"/>
              <w:keepLines w:val="0"/>
              <w:pageBreakBefore w:val="0"/>
              <w:kinsoku/>
              <w:wordWrap/>
              <w:overflowPunct/>
              <w:topLinePunct w:val="0"/>
              <w:bidi w:val="0"/>
              <w:adjustRightInd/>
              <w:snapToGrid/>
              <w:spacing w:line="560" w:lineRule="exac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查询渠道：“信用中国”网站(www.creditchina.gov.cn) 、中国政府采购网(www.ccgp.gov.cn)。</w:t>
            </w:r>
          </w:p>
        </w:tc>
      </w:tr>
      <w:tr w14:paraId="6AA95A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993" w:type="dxa"/>
            <w:vMerge w:val="continue"/>
            <w:tcBorders>
              <w:top w:val="single" w:color="auto" w:sz="4" w:space="0"/>
              <w:left w:val="single" w:color="auto" w:sz="4" w:space="0"/>
              <w:bottom w:val="single" w:color="auto" w:sz="4" w:space="0"/>
              <w:right w:val="single" w:color="auto" w:sz="4" w:space="0"/>
            </w:tcBorders>
            <w:vAlign w:val="center"/>
          </w:tcPr>
          <w:p w14:paraId="7B2AEB28">
            <w:pPr>
              <w:keepNext w:val="0"/>
              <w:keepLines w:val="0"/>
              <w:pageBreakBefore w:val="0"/>
              <w:widowControl/>
              <w:kinsoku/>
              <w:wordWrap/>
              <w:overflowPunct/>
              <w:topLinePunct w:val="0"/>
              <w:bidi w:val="0"/>
              <w:adjustRightInd/>
              <w:snapToGrid/>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2239" w:type="dxa"/>
            <w:tcBorders>
              <w:top w:val="single" w:color="auto" w:sz="4" w:space="0"/>
              <w:left w:val="single" w:color="auto" w:sz="4" w:space="0"/>
              <w:bottom w:val="single" w:color="auto" w:sz="4" w:space="0"/>
              <w:right w:val="single" w:color="auto" w:sz="4" w:space="0"/>
            </w:tcBorders>
            <w:vAlign w:val="center"/>
          </w:tcPr>
          <w:p w14:paraId="55DF40C3">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信用信息</w:t>
            </w:r>
          </w:p>
          <w:p w14:paraId="62F1208A">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使用规则</w:t>
            </w:r>
          </w:p>
        </w:tc>
        <w:tc>
          <w:tcPr>
            <w:tcW w:w="7297" w:type="dxa"/>
            <w:tcBorders>
              <w:top w:val="single" w:color="auto" w:sz="4" w:space="0"/>
              <w:left w:val="single" w:color="auto" w:sz="4" w:space="0"/>
              <w:bottom w:val="single" w:color="auto" w:sz="4" w:space="0"/>
              <w:right w:val="single" w:color="auto" w:sz="4" w:space="0"/>
            </w:tcBorders>
            <w:vAlign w:val="center"/>
          </w:tcPr>
          <w:p w14:paraId="4BE3D596">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lang w:val="en-US" w:eastAsia="zh-CN"/>
                <w14:textFill>
                  <w14:solidFill>
                    <w14:schemeClr w14:val="tx1"/>
                  </w14:solidFill>
                </w14:textFill>
              </w:rPr>
              <w:t>1</w:t>
            </w:r>
            <w:r>
              <w:rPr>
                <w:rFonts w:hint="eastAsia" w:ascii="宋体" w:hAnsi="宋体" w:eastAsia="宋体" w:cs="宋体"/>
                <w:color w:val="000000" w:themeColor="text1"/>
                <w:sz w:val="28"/>
                <w:szCs w:val="28"/>
                <w:highlight w:val="none"/>
                <w14:textFill>
                  <w14:solidFill>
                    <w14:schemeClr w14:val="tx1"/>
                  </w14:solidFill>
                </w14:textFill>
              </w:rPr>
              <w:t>、根据《关于在政府采购活动中查询及使用信用记录有关问题的通知》(财库(2016)125号)的规定，对被列入“失信被执行人”“重大税收违法失信主体”的供应商，拒绝参与本项目政府采购活动。</w:t>
            </w:r>
          </w:p>
          <w:p w14:paraId="238110BE">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lang w:val="en-US" w:eastAsia="zh-CN"/>
                <w14:textFill>
                  <w14:solidFill>
                    <w14:schemeClr w14:val="tx1"/>
                  </w14:solidFill>
                </w14:textFill>
              </w:rPr>
              <w:t>2</w:t>
            </w:r>
            <w:r>
              <w:rPr>
                <w:rFonts w:hint="eastAsia" w:ascii="宋体" w:hAnsi="宋体" w:eastAsia="宋体" w:cs="宋体"/>
                <w:color w:val="000000" w:themeColor="text1"/>
                <w:sz w:val="28"/>
                <w:szCs w:val="28"/>
                <w:highlight w:val="none"/>
                <w14:textFill>
                  <w14:solidFill>
                    <w14:schemeClr w14:val="tx1"/>
                  </w14:solidFill>
                </w14:textFill>
              </w:rPr>
              <w:t>、两个以上的自然人、法人或者其他组织组成一个联合体，以一个供应商的身份共同参加政府采购活动的，将对所有联合体成员进行信用记录查询，联合体成员存在不良信用记录的，视同联合体存在不良信用记录</w:t>
            </w:r>
          </w:p>
          <w:p w14:paraId="519E87EC">
            <w:pPr>
              <w:keepNext w:val="0"/>
              <w:keepLines w:val="0"/>
              <w:pageBreakBefore w:val="0"/>
              <w:kinsoku/>
              <w:wordWrap/>
              <w:overflowPunct/>
              <w:topLinePunct w:val="0"/>
              <w:bidi w:val="0"/>
              <w:adjustRightInd/>
              <w:snapToGrid/>
              <w:spacing w:line="560" w:lineRule="exac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lang w:val="en-US" w:eastAsia="zh-CN"/>
                <w14:textFill>
                  <w14:solidFill>
                    <w14:schemeClr w14:val="tx1"/>
                  </w14:solidFill>
                </w14:textFill>
              </w:rPr>
              <w:t>3</w:t>
            </w:r>
            <w:r>
              <w:rPr>
                <w:rFonts w:hint="eastAsia" w:ascii="宋体" w:hAnsi="宋体" w:eastAsia="宋体" w:cs="宋体"/>
                <w:color w:val="000000" w:themeColor="text1"/>
                <w:sz w:val="28"/>
                <w:szCs w:val="28"/>
                <w:highlight w:val="none"/>
                <w14:textFill>
                  <w14:solidFill>
                    <w14:schemeClr w14:val="tx1"/>
                  </w14:solidFill>
                </w14:textFill>
              </w:rPr>
              <w:t>、供应商存在不良信用记录的，其响应将按无效处理</w:t>
            </w:r>
            <w:r>
              <w:rPr>
                <w:rFonts w:hint="eastAsia" w:ascii="宋体" w:hAnsi="宋体" w:cs="宋体"/>
                <w:color w:val="000000" w:themeColor="text1"/>
                <w:sz w:val="28"/>
                <w:szCs w:val="28"/>
                <w:highlight w:val="none"/>
                <w:lang w:eastAsia="zh-CN"/>
                <w14:textFill>
                  <w14:solidFill>
                    <w14:schemeClr w14:val="tx1"/>
                  </w14:solidFill>
                </w14:textFill>
              </w:rPr>
              <w:t>。</w:t>
            </w:r>
          </w:p>
        </w:tc>
      </w:tr>
      <w:tr w14:paraId="518D5A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14:paraId="79A09FDB">
            <w:pPr>
              <w:keepNext w:val="0"/>
              <w:keepLines w:val="0"/>
              <w:pageBreakBefore w:val="0"/>
              <w:kinsoku/>
              <w:wordWrap/>
              <w:overflowPunct/>
              <w:topLinePunct w:val="0"/>
              <w:bidi w:val="0"/>
              <w:adjustRightInd/>
              <w:snapToGrid/>
              <w:spacing w:line="560" w:lineRule="exact"/>
              <w:jc w:val="center"/>
              <w:rPr>
                <w:rFonts w:hint="default"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cs="宋体"/>
                <w:color w:val="000000" w:themeColor="text1"/>
                <w:sz w:val="28"/>
                <w:szCs w:val="28"/>
                <w:highlight w:val="none"/>
                <w:lang w:val="en-US" w:eastAsia="zh-CN"/>
                <w14:textFill>
                  <w14:solidFill>
                    <w14:schemeClr w14:val="tx1"/>
                  </w14:solidFill>
                </w14:textFill>
              </w:rPr>
              <w:t>18</w:t>
            </w:r>
          </w:p>
        </w:tc>
        <w:tc>
          <w:tcPr>
            <w:tcW w:w="2239" w:type="dxa"/>
            <w:tcBorders>
              <w:top w:val="single" w:color="auto" w:sz="4" w:space="0"/>
              <w:left w:val="single" w:color="auto" w:sz="4" w:space="0"/>
              <w:bottom w:val="single" w:color="auto" w:sz="4" w:space="0"/>
              <w:right w:val="single" w:color="auto" w:sz="4" w:space="0"/>
            </w:tcBorders>
            <w:vAlign w:val="center"/>
          </w:tcPr>
          <w:p w14:paraId="567BCB77">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评标方法</w:t>
            </w:r>
          </w:p>
        </w:tc>
        <w:tc>
          <w:tcPr>
            <w:tcW w:w="7297" w:type="dxa"/>
            <w:tcBorders>
              <w:top w:val="single" w:color="auto" w:sz="4" w:space="0"/>
              <w:left w:val="single" w:color="auto" w:sz="4" w:space="0"/>
              <w:bottom w:val="single" w:color="auto" w:sz="4" w:space="0"/>
              <w:right w:val="single" w:color="auto" w:sz="4" w:space="0"/>
            </w:tcBorders>
            <w:vAlign w:val="center"/>
          </w:tcPr>
          <w:p w14:paraId="31C32727">
            <w:pPr>
              <w:keepNext w:val="0"/>
              <w:keepLines w:val="0"/>
              <w:pageBreakBefore w:val="0"/>
              <w:kinsoku/>
              <w:wordWrap/>
              <w:overflowPunct/>
              <w:topLinePunct w:val="0"/>
              <w:autoSpaceDE w:val="0"/>
              <w:autoSpaceDN w:val="0"/>
              <w:bidi w:val="0"/>
              <w:adjustRightInd/>
              <w:snapToGrid/>
              <w:spacing w:line="560" w:lineRule="exact"/>
              <w:textAlignment w:val="bottom"/>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综合评分法</w:t>
            </w:r>
          </w:p>
        </w:tc>
      </w:tr>
      <w:tr w14:paraId="1DA569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993" w:type="dxa"/>
            <w:tcBorders>
              <w:top w:val="single" w:color="auto" w:sz="4" w:space="0"/>
              <w:left w:val="single" w:color="auto" w:sz="4" w:space="0"/>
              <w:bottom w:val="single" w:color="auto" w:sz="4" w:space="0"/>
              <w:right w:val="single" w:color="auto" w:sz="4" w:space="0"/>
            </w:tcBorders>
            <w:vAlign w:val="center"/>
          </w:tcPr>
          <w:p w14:paraId="5D9A6016">
            <w:pPr>
              <w:keepNext w:val="0"/>
              <w:keepLines w:val="0"/>
              <w:pageBreakBefore w:val="0"/>
              <w:kinsoku/>
              <w:wordWrap/>
              <w:overflowPunct/>
              <w:topLinePunct w:val="0"/>
              <w:bidi w:val="0"/>
              <w:adjustRightInd/>
              <w:snapToGrid/>
              <w:spacing w:line="560" w:lineRule="exact"/>
              <w:jc w:val="center"/>
              <w:rPr>
                <w:rFonts w:hint="default"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cs="宋体"/>
                <w:color w:val="000000" w:themeColor="text1"/>
                <w:sz w:val="28"/>
                <w:szCs w:val="28"/>
                <w:highlight w:val="none"/>
                <w:lang w:val="en-US" w:eastAsia="zh-CN"/>
                <w14:textFill>
                  <w14:solidFill>
                    <w14:schemeClr w14:val="tx1"/>
                  </w14:solidFill>
                </w14:textFill>
              </w:rPr>
              <w:t>19</w:t>
            </w:r>
          </w:p>
        </w:tc>
        <w:tc>
          <w:tcPr>
            <w:tcW w:w="2239" w:type="dxa"/>
            <w:tcBorders>
              <w:top w:val="single" w:color="auto" w:sz="4" w:space="0"/>
              <w:left w:val="single" w:color="auto" w:sz="4" w:space="0"/>
              <w:bottom w:val="single" w:color="auto" w:sz="4" w:space="0"/>
              <w:right w:val="single" w:color="auto" w:sz="4" w:space="0"/>
            </w:tcBorders>
            <w:vAlign w:val="center"/>
          </w:tcPr>
          <w:p w14:paraId="51FB8230">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t>允许负偏离项</w:t>
            </w:r>
          </w:p>
        </w:tc>
        <w:tc>
          <w:tcPr>
            <w:tcW w:w="7297" w:type="dxa"/>
            <w:tcBorders>
              <w:top w:val="single" w:color="auto" w:sz="4" w:space="0"/>
              <w:left w:val="single" w:color="auto" w:sz="4" w:space="0"/>
              <w:bottom w:val="single" w:color="auto" w:sz="4" w:space="0"/>
              <w:right w:val="single" w:color="auto" w:sz="4" w:space="0"/>
            </w:tcBorders>
            <w:vAlign w:val="center"/>
          </w:tcPr>
          <w:p w14:paraId="6E561449">
            <w:pPr>
              <w:keepNext w:val="0"/>
              <w:keepLines w:val="0"/>
              <w:pageBreakBefore w:val="0"/>
              <w:kinsoku/>
              <w:wordWrap/>
              <w:overflowPunct/>
              <w:topLinePunct w:val="0"/>
              <w:bidi w:val="0"/>
              <w:adjustRightInd/>
              <w:snapToGrid/>
              <w:spacing w:line="560" w:lineRule="exact"/>
              <w:rPr>
                <w:rFonts w:hint="default" w:ascii="宋体" w:hAnsi="宋体" w:eastAsia="宋体" w:cs="宋体"/>
                <w:b/>
                <w:bCs/>
                <w:color w:val="000000" w:themeColor="text1"/>
                <w:sz w:val="28"/>
                <w:szCs w:val="28"/>
                <w:highlight w:val="none"/>
                <w:lang w:val="en-US" w:eastAsia="zh-CN"/>
                <w14:textFill>
                  <w14:solidFill>
                    <w14:schemeClr w14:val="tx1"/>
                  </w14:solidFill>
                </w14:textFill>
              </w:rPr>
            </w:pPr>
            <w:r>
              <w:rPr>
                <w:rFonts w:hint="eastAsia" w:ascii="宋体" w:hAnsi="宋体" w:cs="宋体"/>
                <w:b/>
                <w:bCs/>
                <w:color w:val="000000" w:themeColor="text1"/>
                <w:sz w:val="28"/>
                <w:szCs w:val="28"/>
                <w:highlight w:val="none"/>
                <w:shd w:val="clear"/>
                <w:lang w:eastAsia="zh-CN"/>
                <w14:textFill>
                  <w14:solidFill>
                    <w14:schemeClr w14:val="tx1"/>
                  </w14:solidFill>
                </w14:textFill>
              </w:rPr>
              <w:t>本项目技术参数允许偏离，商务条款不允许偏离</w:t>
            </w:r>
          </w:p>
        </w:tc>
      </w:tr>
      <w:tr w14:paraId="357C1B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14:paraId="064E0083">
            <w:pPr>
              <w:keepNext w:val="0"/>
              <w:keepLines w:val="0"/>
              <w:pageBreakBefore w:val="0"/>
              <w:kinsoku/>
              <w:wordWrap/>
              <w:overflowPunct/>
              <w:topLinePunct w:val="0"/>
              <w:bidi w:val="0"/>
              <w:adjustRightInd/>
              <w:snapToGrid/>
              <w:spacing w:line="560" w:lineRule="exact"/>
              <w:jc w:val="center"/>
              <w:rPr>
                <w:rFonts w:hint="default"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cs="宋体"/>
                <w:color w:val="000000" w:themeColor="text1"/>
                <w:sz w:val="28"/>
                <w:szCs w:val="28"/>
                <w:highlight w:val="none"/>
                <w:lang w:val="en-US" w:eastAsia="zh-CN"/>
                <w14:textFill>
                  <w14:solidFill>
                    <w14:schemeClr w14:val="tx1"/>
                  </w14:solidFill>
                </w14:textFill>
              </w:rPr>
              <w:t>20</w:t>
            </w:r>
          </w:p>
        </w:tc>
        <w:tc>
          <w:tcPr>
            <w:tcW w:w="2239" w:type="dxa"/>
            <w:tcBorders>
              <w:top w:val="single" w:color="auto" w:sz="4" w:space="0"/>
              <w:left w:val="single" w:color="auto" w:sz="4" w:space="0"/>
              <w:bottom w:val="single" w:color="auto" w:sz="4" w:space="0"/>
              <w:right w:val="single" w:color="auto" w:sz="4" w:space="0"/>
            </w:tcBorders>
            <w:vAlign w:val="center"/>
          </w:tcPr>
          <w:p w14:paraId="1893FDCA">
            <w:pPr>
              <w:keepNext w:val="0"/>
              <w:keepLines w:val="0"/>
              <w:pageBreakBefore w:val="0"/>
              <w:kinsoku/>
              <w:wordWrap/>
              <w:overflowPunct/>
              <w:topLinePunct w:val="0"/>
              <w:autoSpaceDE w:val="0"/>
              <w:autoSpaceDN w:val="0"/>
              <w:bidi w:val="0"/>
              <w:adjustRightInd/>
              <w:snapToGrid/>
              <w:spacing w:line="560" w:lineRule="exact"/>
              <w:jc w:val="center"/>
              <w:textAlignment w:val="bottom"/>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确定中标人时，出现中标候选人分数并列的情形，确定中标人方式</w:t>
            </w:r>
          </w:p>
        </w:tc>
        <w:tc>
          <w:tcPr>
            <w:tcW w:w="7297" w:type="dxa"/>
            <w:tcBorders>
              <w:top w:val="single" w:color="auto" w:sz="4" w:space="0"/>
              <w:left w:val="single" w:color="auto" w:sz="4" w:space="0"/>
              <w:bottom w:val="single" w:color="auto" w:sz="4" w:space="0"/>
              <w:right w:val="single" w:color="auto" w:sz="4" w:space="0"/>
            </w:tcBorders>
            <w:vAlign w:val="center"/>
          </w:tcPr>
          <w:p w14:paraId="2DF8C23D">
            <w:pPr>
              <w:keepNext w:val="0"/>
              <w:keepLines w:val="0"/>
              <w:pageBreakBefore w:val="0"/>
              <w:kinsoku/>
              <w:wordWrap/>
              <w:overflowPunct/>
              <w:topLinePunct w:val="0"/>
              <w:autoSpaceDE w:val="0"/>
              <w:autoSpaceDN w:val="0"/>
              <w:bidi w:val="0"/>
              <w:adjustRightInd/>
              <w:snapToGrid/>
              <w:spacing w:line="560" w:lineRule="exact"/>
              <w:textAlignment w:val="bottom"/>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采用综合评分法的，按综合得分由高到低顺序排列。若综合得分相同的，按投标报价由低到高顺序排列。若综合得分且投标报价相同的，货物类采购项目以技术性能得分较高者为先。 </w:t>
            </w:r>
          </w:p>
        </w:tc>
      </w:tr>
      <w:tr w14:paraId="0E7826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93" w:type="dxa"/>
            <w:tcBorders>
              <w:top w:val="single" w:color="auto" w:sz="4" w:space="0"/>
              <w:left w:val="single" w:color="auto" w:sz="4" w:space="0"/>
              <w:bottom w:val="single" w:color="auto" w:sz="4" w:space="0"/>
              <w:right w:val="single" w:color="auto" w:sz="4" w:space="0"/>
            </w:tcBorders>
            <w:vAlign w:val="center"/>
          </w:tcPr>
          <w:p w14:paraId="235FAEDC">
            <w:pPr>
              <w:keepNext w:val="0"/>
              <w:keepLines w:val="0"/>
              <w:pageBreakBefore w:val="0"/>
              <w:kinsoku/>
              <w:wordWrap/>
              <w:overflowPunct/>
              <w:topLinePunct w:val="0"/>
              <w:bidi w:val="0"/>
              <w:adjustRightInd/>
              <w:snapToGrid/>
              <w:spacing w:line="560" w:lineRule="exact"/>
              <w:jc w:val="center"/>
              <w:rPr>
                <w:rFonts w:hint="default"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cs="宋体"/>
                <w:color w:val="000000" w:themeColor="text1"/>
                <w:sz w:val="28"/>
                <w:szCs w:val="28"/>
                <w:highlight w:val="none"/>
                <w:lang w:val="en-US" w:eastAsia="zh-CN"/>
                <w14:textFill>
                  <w14:solidFill>
                    <w14:schemeClr w14:val="tx1"/>
                  </w14:solidFill>
                </w14:textFill>
              </w:rPr>
              <w:t>21</w:t>
            </w:r>
          </w:p>
        </w:tc>
        <w:tc>
          <w:tcPr>
            <w:tcW w:w="2239" w:type="dxa"/>
            <w:tcBorders>
              <w:top w:val="single" w:color="auto" w:sz="4" w:space="0"/>
              <w:left w:val="single" w:color="auto" w:sz="4" w:space="0"/>
              <w:bottom w:val="single" w:color="auto" w:sz="4" w:space="0"/>
              <w:right w:val="single" w:color="auto" w:sz="4" w:space="0"/>
            </w:tcBorders>
            <w:vAlign w:val="center"/>
          </w:tcPr>
          <w:p w14:paraId="3F823D1E">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履约保证金金额</w:t>
            </w:r>
          </w:p>
        </w:tc>
        <w:tc>
          <w:tcPr>
            <w:tcW w:w="7297" w:type="dxa"/>
            <w:tcBorders>
              <w:top w:val="single" w:color="auto" w:sz="4" w:space="0"/>
              <w:left w:val="single" w:color="auto" w:sz="4" w:space="0"/>
              <w:bottom w:val="single" w:color="auto" w:sz="4" w:space="0"/>
              <w:right w:val="single" w:color="auto" w:sz="4" w:space="0"/>
            </w:tcBorders>
            <w:vAlign w:val="bottom"/>
          </w:tcPr>
          <w:p w14:paraId="2C1849C5">
            <w:pPr>
              <w:keepNext w:val="0"/>
              <w:keepLines w:val="0"/>
              <w:pageBreakBefore w:val="0"/>
              <w:kinsoku/>
              <w:wordWrap/>
              <w:overflowPunct/>
              <w:topLinePunct w:val="0"/>
              <w:autoSpaceDE w:val="0"/>
              <w:autoSpaceDN w:val="0"/>
              <w:bidi w:val="0"/>
              <w:adjustRightInd/>
              <w:snapToGrid/>
              <w:spacing w:line="560" w:lineRule="exact"/>
              <w:jc w:val="left"/>
              <w:textAlignment w:val="bottom"/>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w:t>
            </w:r>
          </w:p>
        </w:tc>
      </w:tr>
      <w:tr w14:paraId="67ED76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14:paraId="6E8A5B90">
            <w:pPr>
              <w:keepNext w:val="0"/>
              <w:keepLines w:val="0"/>
              <w:pageBreakBefore w:val="0"/>
              <w:kinsoku/>
              <w:wordWrap/>
              <w:overflowPunct/>
              <w:topLinePunct w:val="0"/>
              <w:bidi w:val="0"/>
              <w:adjustRightInd/>
              <w:snapToGrid/>
              <w:spacing w:line="560" w:lineRule="exact"/>
              <w:jc w:val="center"/>
              <w:rPr>
                <w:rFonts w:hint="default"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cs="宋体"/>
                <w:color w:val="000000" w:themeColor="text1"/>
                <w:sz w:val="28"/>
                <w:szCs w:val="28"/>
                <w:highlight w:val="none"/>
                <w:lang w:val="en-US" w:eastAsia="zh-CN"/>
                <w14:textFill>
                  <w14:solidFill>
                    <w14:schemeClr w14:val="tx1"/>
                  </w14:solidFill>
                </w14:textFill>
              </w:rPr>
              <w:t>22</w:t>
            </w:r>
          </w:p>
        </w:tc>
        <w:tc>
          <w:tcPr>
            <w:tcW w:w="2239" w:type="dxa"/>
            <w:tcBorders>
              <w:top w:val="single" w:color="auto" w:sz="4" w:space="0"/>
              <w:left w:val="single" w:color="auto" w:sz="4" w:space="0"/>
              <w:bottom w:val="single" w:color="auto" w:sz="4" w:space="0"/>
              <w:right w:val="single" w:color="auto" w:sz="4" w:space="0"/>
            </w:tcBorders>
            <w:vAlign w:val="center"/>
          </w:tcPr>
          <w:p w14:paraId="5DD04499">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签订电子合同携带的材料</w:t>
            </w:r>
          </w:p>
        </w:tc>
        <w:tc>
          <w:tcPr>
            <w:tcW w:w="7297" w:type="dxa"/>
            <w:tcBorders>
              <w:top w:val="single" w:color="auto" w:sz="4" w:space="0"/>
              <w:left w:val="single" w:color="auto" w:sz="4" w:space="0"/>
              <w:bottom w:val="single" w:color="auto" w:sz="4" w:space="0"/>
              <w:right w:val="single" w:color="auto" w:sz="4" w:space="0"/>
            </w:tcBorders>
            <w:vAlign w:val="center"/>
          </w:tcPr>
          <w:p w14:paraId="4E3491C8">
            <w:pPr>
              <w:keepNext w:val="0"/>
              <w:keepLines w:val="0"/>
              <w:pageBreakBefore w:val="0"/>
              <w:kinsoku/>
              <w:wordWrap/>
              <w:overflowPunct/>
              <w:topLinePunct w:val="0"/>
              <w:autoSpaceDE w:val="0"/>
              <w:autoSpaceDN w:val="0"/>
              <w:bidi w:val="0"/>
              <w:adjustRightInd/>
              <w:snapToGrid/>
              <w:spacing w:line="560" w:lineRule="exact"/>
              <w:textAlignment w:val="bottom"/>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电子采购合同需要供应商通过有效CA证书进行电子签名与签章</w:t>
            </w:r>
          </w:p>
        </w:tc>
      </w:tr>
      <w:tr w14:paraId="74C73A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993" w:type="dxa"/>
            <w:vMerge w:val="restart"/>
            <w:tcBorders>
              <w:top w:val="single" w:color="auto" w:sz="4" w:space="0"/>
              <w:left w:val="single" w:color="auto" w:sz="4" w:space="0"/>
              <w:bottom w:val="single" w:color="auto" w:sz="4" w:space="0"/>
              <w:right w:val="single" w:color="auto" w:sz="4" w:space="0"/>
            </w:tcBorders>
            <w:vAlign w:val="center"/>
          </w:tcPr>
          <w:p w14:paraId="6108CB78">
            <w:pPr>
              <w:keepNext w:val="0"/>
              <w:keepLines w:val="0"/>
              <w:pageBreakBefore w:val="0"/>
              <w:kinsoku/>
              <w:wordWrap/>
              <w:overflowPunct/>
              <w:topLinePunct w:val="0"/>
              <w:bidi w:val="0"/>
              <w:adjustRightInd/>
              <w:snapToGrid/>
              <w:spacing w:line="560" w:lineRule="exact"/>
              <w:jc w:val="center"/>
              <w:rPr>
                <w:rFonts w:hint="default"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cs="宋体"/>
                <w:color w:val="000000" w:themeColor="text1"/>
                <w:sz w:val="28"/>
                <w:szCs w:val="28"/>
                <w:highlight w:val="none"/>
                <w:lang w:val="en-US" w:eastAsia="zh-CN"/>
                <w14:textFill>
                  <w14:solidFill>
                    <w14:schemeClr w14:val="tx1"/>
                  </w14:solidFill>
                </w14:textFill>
              </w:rPr>
              <w:t>23</w:t>
            </w:r>
          </w:p>
        </w:tc>
        <w:tc>
          <w:tcPr>
            <w:tcW w:w="2239" w:type="dxa"/>
            <w:tcBorders>
              <w:top w:val="single" w:color="auto" w:sz="4" w:space="0"/>
              <w:left w:val="single" w:color="auto" w:sz="4" w:space="0"/>
              <w:bottom w:val="single" w:color="auto" w:sz="4" w:space="0"/>
              <w:right w:val="single" w:color="auto" w:sz="4" w:space="0"/>
            </w:tcBorders>
            <w:vAlign w:val="center"/>
          </w:tcPr>
          <w:p w14:paraId="05202097">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接收质疑函方式</w:t>
            </w:r>
          </w:p>
        </w:tc>
        <w:tc>
          <w:tcPr>
            <w:tcW w:w="7297" w:type="dxa"/>
            <w:tcBorders>
              <w:top w:val="single" w:color="auto" w:sz="4" w:space="0"/>
              <w:left w:val="single" w:color="auto" w:sz="4" w:space="0"/>
              <w:bottom w:val="single" w:color="auto" w:sz="4" w:space="0"/>
              <w:right w:val="single" w:color="auto" w:sz="4" w:space="0"/>
            </w:tcBorders>
            <w:vAlign w:val="center"/>
          </w:tcPr>
          <w:p w14:paraId="5ED0314F">
            <w:pPr>
              <w:keepNext w:val="0"/>
              <w:keepLines w:val="0"/>
              <w:pageBreakBefore w:val="0"/>
              <w:kinsoku/>
              <w:wordWrap/>
              <w:overflowPunct/>
              <w:topLinePunct w:val="0"/>
              <w:bidi w:val="0"/>
              <w:adjustRightInd/>
              <w:snapToGrid/>
              <w:spacing w:line="560" w:lineRule="exac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以书面形式提交</w:t>
            </w:r>
            <w:r>
              <w:rPr>
                <w:rFonts w:hint="eastAsia" w:ascii="宋体" w:hAnsi="宋体" w:cs="宋体"/>
                <w:color w:val="000000" w:themeColor="text1"/>
                <w:sz w:val="28"/>
                <w:szCs w:val="28"/>
                <w:highlight w:val="none"/>
                <w:lang w:eastAsia="zh-CN"/>
                <w14:textFill>
                  <w14:solidFill>
                    <w14:schemeClr w14:val="tx1"/>
                  </w14:solidFill>
                </w14:textFill>
              </w:rPr>
              <w:t>，</w:t>
            </w:r>
            <w:r>
              <w:rPr>
                <w:rFonts w:hint="eastAsia" w:ascii="宋体" w:hAnsi="宋体" w:eastAsia="宋体" w:cs="宋体"/>
                <w:color w:val="000000" w:themeColor="text1"/>
                <w:sz w:val="28"/>
                <w:szCs w:val="28"/>
                <w:highlight w:val="none"/>
                <w14:textFill>
                  <w14:solidFill>
                    <w14:schemeClr w14:val="tx1"/>
                  </w14:solidFill>
                </w14:textFill>
              </w:rPr>
              <w:t>供应商应在法定质疑期内一次性提出所有质疑内容。</w:t>
            </w:r>
          </w:p>
        </w:tc>
      </w:tr>
      <w:tr w14:paraId="7D6E2F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993" w:type="dxa"/>
            <w:vMerge w:val="continue"/>
            <w:tcBorders>
              <w:top w:val="single" w:color="auto" w:sz="4" w:space="0"/>
              <w:left w:val="single" w:color="auto" w:sz="4" w:space="0"/>
              <w:bottom w:val="single" w:color="auto" w:sz="4" w:space="0"/>
              <w:right w:val="single" w:color="auto" w:sz="4" w:space="0"/>
            </w:tcBorders>
            <w:vAlign w:val="center"/>
          </w:tcPr>
          <w:p w14:paraId="18D0D9A1">
            <w:pPr>
              <w:keepNext w:val="0"/>
              <w:keepLines w:val="0"/>
              <w:pageBreakBefore w:val="0"/>
              <w:widowControl/>
              <w:kinsoku/>
              <w:wordWrap/>
              <w:overflowPunct/>
              <w:topLinePunct w:val="0"/>
              <w:bidi w:val="0"/>
              <w:adjustRightInd/>
              <w:snapToGrid/>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2239" w:type="dxa"/>
            <w:tcBorders>
              <w:top w:val="single" w:color="auto" w:sz="4" w:space="0"/>
              <w:left w:val="single" w:color="auto" w:sz="4" w:space="0"/>
              <w:bottom w:val="single" w:color="auto" w:sz="4" w:space="0"/>
              <w:right w:val="single" w:color="auto" w:sz="4" w:space="0"/>
            </w:tcBorders>
            <w:vAlign w:val="center"/>
          </w:tcPr>
          <w:p w14:paraId="713AAC11">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质疑联系部门及联系方式</w:t>
            </w:r>
          </w:p>
        </w:tc>
        <w:tc>
          <w:tcPr>
            <w:tcW w:w="7297" w:type="dxa"/>
            <w:tcBorders>
              <w:top w:val="single" w:color="auto" w:sz="4" w:space="0"/>
              <w:left w:val="single" w:color="auto" w:sz="4" w:space="0"/>
              <w:bottom w:val="single" w:color="auto" w:sz="4" w:space="0"/>
              <w:right w:val="single" w:color="auto" w:sz="4" w:space="0"/>
            </w:tcBorders>
            <w:vAlign w:val="center"/>
          </w:tcPr>
          <w:p w14:paraId="32A43A50">
            <w:pPr>
              <w:keepNext w:val="0"/>
              <w:keepLines w:val="0"/>
              <w:pageBreakBefore w:val="0"/>
              <w:kinsoku/>
              <w:wordWrap/>
              <w:overflowPunct/>
              <w:topLinePunct w:val="0"/>
              <w:bidi w:val="0"/>
              <w:adjustRightInd/>
              <w:snapToGrid/>
              <w:spacing w:line="560" w:lineRule="exac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u w:val="single"/>
                <w14:textFill>
                  <w14:solidFill>
                    <w14:schemeClr w14:val="tx1"/>
                  </w14:solidFill>
                </w14:textFill>
              </w:rPr>
              <w:t>（1）</w:t>
            </w:r>
            <w:r>
              <w:rPr>
                <w:rFonts w:hint="eastAsia" w:ascii="宋体" w:hAnsi="宋体" w:cs="宋体"/>
                <w:color w:val="000000" w:themeColor="text1"/>
                <w:sz w:val="28"/>
                <w:szCs w:val="28"/>
                <w:highlight w:val="none"/>
                <w:u w:val="single"/>
                <w:lang w:eastAsia="zh-CN"/>
                <w14:textFill>
                  <w14:solidFill>
                    <w14:schemeClr w14:val="tx1"/>
                  </w14:solidFill>
                </w14:textFill>
              </w:rPr>
              <w:t>新疆诚誉工程项目管理有限公司</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w:t>
            </w:r>
          </w:p>
          <w:p w14:paraId="1BF0A6BA">
            <w:pPr>
              <w:keepNext w:val="0"/>
              <w:keepLines w:val="0"/>
              <w:pageBreakBefore w:val="0"/>
              <w:kinsoku/>
              <w:wordWrap/>
              <w:overflowPunct/>
              <w:topLinePunct w:val="0"/>
              <w:bidi w:val="0"/>
              <w:adjustRightInd/>
              <w:snapToGrid/>
              <w:spacing w:line="560" w:lineRule="exact"/>
              <w:rPr>
                <w:rFonts w:hint="default" w:ascii="宋体" w:hAnsi="宋体" w:cs="宋体"/>
                <w:color w:val="000000" w:themeColor="text1"/>
                <w:sz w:val="28"/>
                <w:szCs w:val="28"/>
                <w:highlight w:val="none"/>
                <w:u w:val="single"/>
                <w:lang w:val="en-US" w:eastAsia="zh-CN"/>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联系电话：</w:t>
            </w:r>
            <w:r>
              <w:rPr>
                <w:rFonts w:hint="eastAsia" w:ascii="宋体" w:hAnsi="宋体" w:cs="宋体"/>
                <w:color w:val="000000" w:themeColor="text1"/>
                <w:sz w:val="28"/>
                <w:szCs w:val="28"/>
                <w:highlight w:val="none"/>
                <w:u w:val="single"/>
                <w:lang w:val="en-US" w:eastAsia="zh-CN"/>
                <w14:textFill>
                  <w14:solidFill>
                    <w14:schemeClr w14:val="tx1"/>
                  </w14:solidFill>
                </w14:textFill>
              </w:rPr>
              <w:t>0902-2307055</w:t>
            </w:r>
          </w:p>
          <w:p w14:paraId="6731275B">
            <w:pPr>
              <w:keepNext w:val="0"/>
              <w:keepLines w:val="0"/>
              <w:pageBreakBefore w:val="0"/>
              <w:kinsoku/>
              <w:wordWrap/>
              <w:overflowPunct/>
              <w:topLinePunct w:val="0"/>
              <w:bidi w:val="0"/>
              <w:adjustRightInd/>
              <w:snapToGrid/>
              <w:spacing w:line="560" w:lineRule="exact"/>
              <w:rPr>
                <w:rFonts w:hint="eastAsia" w:ascii="宋体" w:hAnsi="宋体" w:eastAsia="宋体" w:cs="宋体"/>
                <w:color w:val="000000" w:themeColor="text1"/>
                <w:sz w:val="18"/>
                <w:szCs w:val="18"/>
                <w:highlight w:val="none"/>
                <w:lang w:eastAsia="zh-CN"/>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通讯地址：</w:t>
            </w:r>
            <w:r>
              <w:rPr>
                <w:rFonts w:hint="eastAsia" w:ascii="宋体" w:hAnsi="宋体" w:cs="宋体"/>
                <w:color w:val="000000" w:themeColor="text1"/>
                <w:sz w:val="28"/>
                <w:szCs w:val="28"/>
                <w:highlight w:val="none"/>
                <w:u w:val="single"/>
                <w:lang w:eastAsia="zh-CN"/>
                <w14:textFill>
                  <w14:solidFill>
                    <w14:schemeClr w14:val="tx1"/>
                  </w14:solidFill>
                </w14:textFill>
              </w:rPr>
              <w:t>乌鲁木齐市会展大道599号新疆财富中心C座6楼601室</w:t>
            </w:r>
          </w:p>
          <w:p w14:paraId="57404626">
            <w:pPr>
              <w:keepNext w:val="0"/>
              <w:keepLines w:val="0"/>
              <w:pageBreakBefore w:val="0"/>
              <w:kinsoku/>
              <w:wordWrap/>
              <w:overflowPunct/>
              <w:topLinePunct w:val="0"/>
              <w:bidi w:val="0"/>
              <w:adjustRightInd/>
              <w:snapToGrid/>
              <w:spacing w:line="560" w:lineRule="exac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u w:val="single"/>
                <w14:textFill>
                  <w14:solidFill>
                    <w14:schemeClr w14:val="tx1"/>
                  </w14:solidFill>
                </w14:textFill>
              </w:rPr>
              <w:t>（2）</w:t>
            </w:r>
            <w:r>
              <w:rPr>
                <w:rFonts w:hint="eastAsia" w:ascii="宋体" w:hAnsi="宋体" w:cs="宋体"/>
                <w:color w:val="000000" w:themeColor="text1"/>
                <w:sz w:val="28"/>
                <w:szCs w:val="28"/>
                <w:highlight w:val="none"/>
                <w:u w:val="single"/>
                <w:lang w:eastAsia="zh-CN"/>
                <w14:textFill>
                  <w14:solidFill>
                    <w14:schemeClr w14:val="tx1"/>
                  </w14:solidFill>
                </w14:textFill>
              </w:rPr>
              <w:t xml:space="preserve">哈密市中心医院  </w:t>
            </w:r>
            <w:r>
              <w:rPr>
                <w:rFonts w:hint="eastAsia" w:ascii="宋体" w:hAnsi="宋体" w:eastAsia="宋体" w:cs="宋体"/>
                <w:color w:val="000000" w:themeColor="text1"/>
                <w:sz w:val="28"/>
                <w:szCs w:val="28"/>
                <w:highlight w:val="none"/>
                <w:u w:val="single"/>
                <w:lang w:eastAsia="zh-CN"/>
                <w14:textFill>
                  <w14:solidFill>
                    <w14:schemeClr w14:val="tx1"/>
                  </w14:solidFill>
                </w14:textFill>
              </w:rPr>
              <w:t xml:space="preserve"> </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w:t>
            </w:r>
          </w:p>
          <w:p w14:paraId="6B9F5316">
            <w:pPr>
              <w:keepNext w:val="0"/>
              <w:keepLines w:val="0"/>
              <w:pageBreakBefore w:val="0"/>
              <w:kinsoku/>
              <w:wordWrap/>
              <w:overflowPunct/>
              <w:topLinePunct w:val="0"/>
              <w:bidi w:val="0"/>
              <w:adjustRightInd/>
              <w:snapToGrid/>
              <w:spacing w:line="560" w:lineRule="exact"/>
              <w:rPr>
                <w:rFonts w:hint="eastAsia" w:ascii="宋体" w:hAnsi="宋体" w:eastAsia="宋体" w:cs="宋体"/>
                <w:color w:val="000000" w:themeColor="text1"/>
                <w:sz w:val="28"/>
                <w:szCs w:val="28"/>
                <w:highlight w:val="none"/>
                <w:lang w:eastAsia="zh-CN"/>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联系电话：</w:t>
            </w:r>
            <w:r>
              <w:rPr>
                <w:rFonts w:hint="eastAsia" w:ascii="宋体" w:hAnsi="宋体" w:eastAsia="宋体" w:cs="宋体"/>
                <w:color w:val="000000" w:themeColor="text1"/>
                <w:sz w:val="28"/>
                <w:szCs w:val="28"/>
                <w:highlight w:val="none"/>
                <w:u w:val="single"/>
                <w14:textFill>
                  <w14:solidFill>
                    <w14:schemeClr w14:val="tx1"/>
                  </w14:solidFill>
                </w14:textFill>
              </w:rPr>
              <w:t>0902-2260357</w:t>
            </w:r>
          </w:p>
          <w:p w14:paraId="195BAF2D">
            <w:pPr>
              <w:keepNext w:val="0"/>
              <w:keepLines w:val="0"/>
              <w:pageBreakBefore w:val="0"/>
              <w:kinsoku/>
              <w:wordWrap/>
              <w:overflowPunct/>
              <w:topLinePunct w:val="0"/>
              <w:bidi w:val="0"/>
              <w:adjustRightInd/>
              <w:snapToGrid/>
              <w:spacing w:line="560" w:lineRule="exact"/>
              <w:rPr>
                <w:rFonts w:hint="eastAsia" w:ascii="宋体" w:hAnsi="宋体" w:eastAsia="宋体" w:cs="宋体"/>
                <w:color w:val="000000" w:themeColor="text1"/>
                <w:sz w:val="28"/>
                <w:szCs w:val="28"/>
                <w:highlight w:val="none"/>
                <w:lang w:eastAsia="zh-CN"/>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通讯地址：</w:t>
            </w:r>
            <w:r>
              <w:rPr>
                <w:rFonts w:hint="eastAsia" w:ascii="宋体" w:hAnsi="宋体" w:cs="宋体"/>
                <w:color w:val="000000" w:themeColor="text1"/>
                <w:sz w:val="28"/>
                <w:szCs w:val="28"/>
                <w:highlight w:val="none"/>
                <w:u w:val="single"/>
                <w:lang w:eastAsia="zh-CN"/>
                <w14:textFill>
                  <w14:solidFill>
                    <w14:schemeClr w14:val="tx1"/>
                  </w14:solidFill>
                </w14:textFill>
              </w:rPr>
              <w:t>哈密市伊州区广场北路18号</w:t>
            </w:r>
          </w:p>
        </w:tc>
      </w:tr>
      <w:tr w14:paraId="257E1C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993" w:type="dxa"/>
            <w:vMerge w:val="continue"/>
            <w:tcBorders>
              <w:top w:val="single" w:color="auto" w:sz="4" w:space="0"/>
              <w:left w:val="single" w:color="auto" w:sz="4" w:space="0"/>
              <w:bottom w:val="single" w:color="auto" w:sz="4" w:space="0"/>
              <w:right w:val="single" w:color="auto" w:sz="4" w:space="0"/>
            </w:tcBorders>
            <w:vAlign w:val="center"/>
          </w:tcPr>
          <w:p w14:paraId="7204B105">
            <w:pPr>
              <w:keepNext w:val="0"/>
              <w:keepLines w:val="0"/>
              <w:pageBreakBefore w:val="0"/>
              <w:widowControl/>
              <w:kinsoku/>
              <w:wordWrap/>
              <w:overflowPunct/>
              <w:topLinePunct w:val="0"/>
              <w:bidi w:val="0"/>
              <w:adjustRightInd/>
              <w:snapToGrid/>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2239" w:type="dxa"/>
            <w:tcBorders>
              <w:top w:val="single" w:color="auto" w:sz="4" w:space="0"/>
              <w:left w:val="single" w:color="auto" w:sz="4" w:space="0"/>
              <w:bottom w:val="single" w:color="auto" w:sz="4" w:space="0"/>
              <w:right w:val="single" w:color="auto" w:sz="4" w:space="0"/>
            </w:tcBorders>
            <w:vAlign w:val="center"/>
          </w:tcPr>
          <w:p w14:paraId="53AB565E">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现场提交质疑办理业务时间</w:t>
            </w:r>
          </w:p>
        </w:tc>
        <w:tc>
          <w:tcPr>
            <w:tcW w:w="7297" w:type="dxa"/>
            <w:tcBorders>
              <w:top w:val="single" w:color="auto" w:sz="4" w:space="0"/>
              <w:left w:val="single" w:color="auto" w:sz="4" w:space="0"/>
              <w:bottom w:val="single" w:color="auto" w:sz="4" w:space="0"/>
              <w:right w:val="single" w:color="auto" w:sz="4" w:space="0"/>
            </w:tcBorders>
            <w:vAlign w:val="center"/>
          </w:tcPr>
          <w:p w14:paraId="4907AEF2">
            <w:pPr>
              <w:keepNext w:val="0"/>
              <w:keepLines w:val="0"/>
              <w:pageBreakBefore w:val="0"/>
              <w:kinsoku/>
              <w:wordWrap/>
              <w:overflowPunct/>
              <w:topLinePunct w:val="0"/>
              <w:bidi w:val="0"/>
              <w:adjustRightInd/>
              <w:snapToGrid/>
              <w:spacing w:line="560" w:lineRule="exac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质疑期内每个工作日</w:t>
            </w:r>
            <w:r>
              <w:rPr>
                <w:rFonts w:hint="eastAsia" w:ascii="宋体" w:hAnsi="宋体" w:eastAsia="宋体" w:cs="宋体"/>
                <w:color w:val="000000" w:themeColor="text1"/>
                <w:sz w:val="28"/>
                <w:szCs w:val="28"/>
                <w:highlight w:val="none"/>
                <w:u w:val="single"/>
                <w14:textFill>
                  <w14:solidFill>
                    <w14:schemeClr w14:val="tx1"/>
                  </w14:solidFill>
                </w14:textFill>
              </w:rPr>
              <w:t>09</w:t>
            </w:r>
            <w:r>
              <w:rPr>
                <w:rFonts w:hint="eastAsia" w:ascii="宋体" w:hAnsi="宋体" w:eastAsia="宋体" w:cs="宋体"/>
                <w:color w:val="000000" w:themeColor="text1"/>
                <w:sz w:val="28"/>
                <w:szCs w:val="28"/>
                <w:highlight w:val="none"/>
                <w14:textFill>
                  <w14:solidFill>
                    <w14:schemeClr w14:val="tx1"/>
                  </w14:solidFill>
                </w14:textFill>
              </w:rPr>
              <w:t>时</w:t>
            </w:r>
            <w:r>
              <w:rPr>
                <w:rFonts w:hint="eastAsia" w:ascii="宋体" w:hAnsi="宋体" w:eastAsia="宋体" w:cs="宋体"/>
                <w:color w:val="000000" w:themeColor="text1"/>
                <w:sz w:val="28"/>
                <w:szCs w:val="28"/>
                <w:highlight w:val="none"/>
                <w:u w:val="single"/>
                <w14:textFill>
                  <w14:solidFill>
                    <w14:schemeClr w14:val="tx1"/>
                  </w14:solidFill>
                </w14:textFill>
              </w:rPr>
              <w:t xml:space="preserve"> 30 </w:t>
            </w:r>
            <w:r>
              <w:rPr>
                <w:rFonts w:hint="eastAsia" w:ascii="宋体" w:hAnsi="宋体" w:eastAsia="宋体" w:cs="宋体"/>
                <w:color w:val="000000" w:themeColor="text1"/>
                <w:sz w:val="28"/>
                <w:szCs w:val="28"/>
                <w:highlight w:val="none"/>
                <w14:textFill>
                  <w14:solidFill>
                    <w14:schemeClr w14:val="tx1"/>
                  </w14:solidFill>
                </w14:textFill>
              </w:rPr>
              <w:t>分到</w:t>
            </w:r>
            <w:r>
              <w:rPr>
                <w:rFonts w:hint="eastAsia" w:ascii="宋体" w:hAnsi="宋体" w:eastAsia="宋体" w:cs="宋体"/>
                <w:color w:val="000000" w:themeColor="text1"/>
                <w:sz w:val="28"/>
                <w:szCs w:val="28"/>
                <w:highlight w:val="none"/>
                <w:u w:val="single"/>
                <w14:textFill>
                  <w14:solidFill>
                    <w14:schemeClr w14:val="tx1"/>
                  </w14:solidFill>
                </w14:textFill>
              </w:rPr>
              <w:t xml:space="preserve"> 13  </w:t>
            </w:r>
            <w:r>
              <w:rPr>
                <w:rFonts w:hint="eastAsia" w:ascii="宋体" w:hAnsi="宋体" w:eastAsia="宋体" w:cs="宋体"/>
                <w:color w:val="000000" w:themeColor="text1"/>
                <w:sz w:val="28"/>
                <w:szCs w:val="28"/>
                <w:highlight w:val="none"/>
                <w14:textFill>
                  <w14:solidFill>
                    <w14:schemeClr w14:val="tx1"/>
                  </w14:solidFill>
                </w14:textFill>
              </w:rPr>
              <w:t>时</w:t>
            </w:r>
            <w:r>
              <w:rPr>
                <w:rFonts w:hint="eastAsia" w:ascii="宋体" w:hAnsi="宋体" w:eastAsia="宋体" w:cs="宋体"/>
                <w:color w:val="000000" w:themeColor="text1"/>
                <w:sz w:val="28"/>
                <w:szCs w:val="28"/>
                <w:highlight w:val="none"/>
                <w:u w:val="single"/>
                <w14:textFill>
                  <w14:solidFill>
                    <w14:schemeClr w14:val="tx1"/>
                  </w14:solidFill>
                </w14:textFill>
              </w:rPr>
              <w:t xml:space="preserve">  30 </w:t>
            </w:r>
            <w:r>
              <w:rPr>
                <w:rFonts w:hint="eastAsia" w:ascii="宋体" w:hAnsi="宋体" w:eastAsia="宋体" w:cs="宋体"/>
                <w:color w:val="000000" w:themeColor="text1"/>
                <w:sz w:val="28"/>
                <w:szCs w:val="28"/>
                <w:highlight w:val="none"/>
                <w14:textFill>
                  <w14:solidFill>
                    <w14:schemeClr w14:val="tx1"/>
                  </w14:solidFill>
                </w14:textFill>
              </w:rPr>
              <w:t>分，</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r>
              <w:rPr>
                <w:rFonts w:hint="eastAsia" w:ascii="宋体" w:hAnsi="宋体" w:cs="宋体"/>
                <w:color w:val="000000" w:themeColor="text1"/>
                <w:sz w:val="28"/>
                <w:szCs w:val="28"/>
                <w:highlight w:val="none"/>
                <w:u w:val="single"/>
                <w:lang w:val="en-US" w:eastAsia="zh-CN"/>
                <w14:textFill>
                  <w14:solidFill>
                    <w14:schemeClr w14:val="tx1"/>
                  </w14:solidFill>
                </w14:textFill>
              </w:rPr>
              <w:t>16</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时</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r>
              <w:rPr>
                <w:rFonts w:hint="eastAsia" w:ascii="宋体" w:hAnsi="宋体" w:cs="宋体"/>
                <w:color w:val="000000" w:themeColor="text1"/>
                <w:sz w:val="28"/>
                <w:szCs w:val="28"/>
                <w:highlight w:val="none"/>
                <w:u w:val="single"/>
                <w:lang w:val="en-US" w:eastAsia="zh-CN"/>
                <w14:textFill>
                  <w14:solidFill>
                    <w14:schemeClr w14:val="tx1"/>
                  </w14:solidFill>
                </w14:textFill>
              </w:rPr>
              <w:t>00</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分到</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r>
              <w:rPr>
                <w:rFonts w:hint="eastAsia" w:ascii="宋体" w:hAnsi="宋体" w:cs="宋体"/>
                <w:color w:val="000000" w:themeColor="text1"/>
                <w:sz w:val="28"/>
                <w:szCs w:val="28"/>
                <w:highlight w:val="none"/>
                <w:u w:val="single"/>
                <w:lang w:val="en-US" w:eastAsia="zh-CN"/>
                <w14:textFill>
                  <w14:solidFill>
                    <w14:schemeClr w14:val="tx1"/>
                  </w14:solidFill>
                </w14:textFill>
              </w:rPr>
              <w:t>20</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时</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r>
              <w:rPr>
                <w:rFonts w:hint="eastAsia" w:ascii="宋体" w:hAnsi="宋体" w:cs="宋体"/>
                <w:color w:val="000000" w:themeColor="text1"/>
                <w:sz w:val="28"/>
                <w:szCs w:val="28"/>
                <w:highlight w:val="none"/>
                <w:u w:val="single"/>
                <w:lang w:val="en-US" w:eastAsia="zh-CN"/>
                <w14:textFill>
                  <w14:solidFill>
                    <w14:schemeClr w14:val="tx1"/>
                  </w14:solidFill>
                </w14:textFill>
              </w:rPr>
              <w:t>00</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分</w:t>
            </w:r>
          </w:p>
        </w:tc>
      </w:tr>
      <w:tr w14:paraId="26115B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993" w:type="dxa"/>
            <w:tcBorders>
              <w:top w:val="nil"/>
              <w:left w:val="single" w:color="auto" w:sz="4" w:space="0"/>
              <w:bottom w:val="single" w:color="auto" w:sz="4" w:space="0"/>
              <w:right w:val="single" w:color="auto" w:sz="4" w:space="0"/>
            </w:tcBorders>
            <w:vAlign w:val="center"/>
          </w:tcPr>
          <w:p w14:paraId="4A906982">
            <w:pPr>
              <w:keepNext w:val="0"/>
              <w:keepLines w:val="0"/>
              <w:pageBreakBefore w:val="0"/>
              <w:kinsoku/>
              <w:wordWrap/>
              <w:overflowPunct/>
              <w:topLinePunct w:val="0"/>
              <w:bidi w:val="0"/>
              <w:adjustRightInd/>
              <w:snapToGrid/>
              <w:spacing w:line="560" w:lineRule="exact"/>
              <w:jc w:val="center"/>
              <w:rPr>
                <w:rFonts w:hint="default"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cs="宋体"/>
                <w:color w:val="000000" w:themeColor="text1"/>
                <w:sz w:val="28"/>
                <w:szCs w:val="28"/>
                <w:highlight w:val="none"/>
                <w:lang w:val="en-US" w:eastAsia="zh-CN"/>
                <w14:textFill>
                  <w14:solidFill>
                    <w14:schemeClr w14:val="tx1"/>
                  </w14:solidFill>
                </w14:textFill>
              </w:rPr>
              <w:t>24</w:t>
            </w:r>
          </w:p>
        </w:tc>
        <w:tc>
          <w:tcPr>
            <w:tcW w:w="2239" w:type="dxa"/>
            <w:tcBorders>
              <w:top w:val="single" w:color="auto" w:sz="4" w:space="0"/>
              <w:left w:val="single" w:color="auto" w:sz="4" w:space="0"/>
              <w:bottom w:val="single" w:color="auto" w:sz="4" w:space="0"/>
              <w:right w:val="single" w:color="auto" w:sz="4" w:space="0"/>
            </w:tcBorders>
            <w:vAlign w:val="center"/>
          </w:tcPr>
          <w:p w14:paraId="3C9E8B17">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投诉受理方式</w:t>
            </w:r>
          </w:p>
        </w:tc>
        <w:tc>
          <w:tcPr>
            <w:tcW w:w="7297" w:type="dxa"/>
            <w:tcBorders>
              <w:top w:val="single" w:color="auto" w:sz="4" w:space="0"/>
              <w:left w:val="single" w:color="auto" w:sz="4" w:space="0"/>
              <w:bottom w:val="single" w:color="auto" w:sz="4" w:space="0"/>
              <w:right w:val="single" w:color="auto" w:sz="4" w:space="0"/>
            </w:tcBorders>
            <w:vAlign w:val="center"/>
          </w:tcPr>
          <w:p w14:paraId="576A10A2">
            <w:pPr>
              <w:keepNext w:val="0"/>
              <w:keepLines w:val="0"/>
              <w:pageBreakBefore w:val="0"/>
              <w:kinsoku/>
              <w:wordWrap/>
              <w:overflowPunct/>
              <w:topLinePunct w:val="0"/>
              <w:bidi w:val="0"/>
              <w:adjustRightInd/>
              <w:snapToGrid/>
              <w:spacing w:line="560" w:lineRule="exac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受理方式：纸质方式受理，投诉书正、副本（经过质疑的事项才可投诉）。 </w:t>
            </w:r>
          </w:p>
        </w:tc>
      </w:tr>
      <w:tr w14:paraId="3CB93E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42" w:hRule="atLeast"/>
        </w:trPr>
        <w:tc>
          <w:tcPr>
            <w:tcW w:w="993" w:type="dxa"/>
            <w:vMerge w:val="restart"/>
            <w:tcBorders>
              <w:top w:val="single" w:color="auto" w:sz="4" w:space="0"/>
              <w:left w:val="single" w:color="auto" w:sz="4" w:space="0"/>
              <w:bottom w:val="single" w:color="auto" w:sz="4" w:space="0"/>
              <w:right w:val="single" w:color="auto" w:sz="4" w:space="0"/>
            </w:tcBorders>
            <w:vAlign w:val="center"/>
          </w:tcPr>
          <w:p w14:paraId="7EF6759B">
            <w:pPr>
              <w:keepNext w:val="0"/>
              <w:keepLines w:val="0"/>
              <w:pageBreakBefore w:val="0"/>
              <w:kinsoku/>
              <w:wordWrap/>
              <w:overflowPunct/>
              <w:topLinePunct w:val="0"/>
              <w:bidi w:val="0"/>
              <w:adjustRightInd/>
              <w:snapToGrid/>
              <w:spacing w:line="560" w:lineRule="exact"/>
              <w:jc w:val="center"/>
              <w:rPr>
                <w:rFonts w:hint="default"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cs="宋体"/>
                <w:color w:val="000000" w:themeColor="text1"/>
                <w:sz w:val="28"/>
                <w:szCs w:val="28"/>
                <w:highlight w:val="none"/>
                <w:lang w:val="en-US" w:eastAsia="zh-CN"/>
                <w14:textFill>
                  <w14:solidFill>
                    <w14:schemeClr w14:val="tx1"/>
                  </w14:solidFill>
                </w14:textFill>
              </w:rPr>
              <w:t>25</w:t>
            </w:r>
          </w:p>
        </w:tc>
        <w:tc>
          <w:tcPr>
            <w:tcW w:w="2239" w:type="dxa"/>
            <w:tcBorders>
              <w:top w:val="single" w:color="auto" w:sz="4" w:space="0"/>
              <w:left w:val="single" w:color="auto" w:sz="4" w:space="0"/>
              <w:bottom w:val="single" w:color="auto" w:sz="4" w:space="0"/>
              <w:right w:val="single" w:color="auto" w:sz="4" w:space="0"/>
            </w:tcBorders>
            <w:vAlign w:val="center"/>
          </w:tcPr>
          <w:p w14:paraId="2B10DE20">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采购代理费支付方式</w:t>
            </w:r>
          </w:p>
        </w:tc>
        <w:tc>
          <w:tcPr>
            <w:tcW w:w="7297" w:type="dxa"/>
            <w:tcBorders>
              <w:top w:val="single" w:color="auto" w:sz="4" w:space="0"/>
              <w:left w:val="single" w:color="auto" w:sz="4" w:space="0"/>
              <w:bottom w:val="single" w:color="auto" w:sz="4" w:space="0"/>
              <w:right w:val="single" w:color="auto" w:sz="4" w:space="0"/>
            </w:tcBorders>
            <w:vAlign w:val="center"/>
          </w:tcPr>
          <w:p w14:paraId="7DCFCC5C">
            <w:pPr>
              <w:keepNext w:val="0"/>
              <w:keepLines w:val="0"/>
              <w:pageBreakBefore w:val="0"/>
              <w:kinsoku/>
              <w:wordWrap/>
              <w:overflowPunct/>
              <w:topLinePunct w:val="0"/>
              <w:bidi w:val="0"/>
              <w:adjustRightInd/>
              <w:snapToGrid/>
              <w:spacing w:line="560" w:lineRule="exac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本项目代理费由中标人在领取中标通知书前，一次性向采购代理机构支付。</w:t>
            </w:r>
          </w:p>
        </w:tc>
      </w:tr>
      <w:tr w14:paraId="20B665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5" w:hRule="atLeast"/>
        </w:trPr>
        <w:tc>
          <w:tcPr>
            <w:tcW w:w="993" w:type="dxa"/>
            <w:vMerge w:val="continue"/>
            <w:tcBorders>
              <w:top w:val="single" w:color="auto" w:sz="4" w:space="0"/>
              <w:left w:val="single" w:color="auto" w:sz="4" w:space="0"/>
              <w:bottom w:val="single" w:color="auto" w:sz="4" w:space="0"/>
              <w:right w:val="single" w:color="auto" w:sz="4" w:space="0"/>
            </w:tcBorders>
            <w:vAlign w:val="center"/>
          </w:tcPr>
          <w:p w14:paraId="2D8DF18C">
            <w:pPr>
              <w:keepNext w:val="0"/>
              <w:keepLines w:val="0"/>
              <w:pageBreakBefore w:val="0"/>
              <w:widowControl/>
              <w:kinsoku/>
              <w:wordWrap/>
              <w:overflowPunct/>
              <w:topLinePunct w:val="0"/>
              <w:bidi w:val="0"/>
              <w:adjustRightInd/>
              <w:snapToGrid/>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2239" w:type="dxa"/>
            <w:tcBorders>
              <w:top w:val="single" w:color="auto" w:sz="4" w:space="0"/>
              <w:left w:val="single" w:color="auto" w:sz="4" w:space="0"/>
              <w:bottom w:val="single" w:color="auto" w:sz="4" w:space="0"/>
              <w:right w:val="single" w:color="auto" w:sz="4" w:space="0"/>
            </w:tcBorders>
            <w:vAlign w:val="center"/>
          </w:tcPr>
          <w:p w14:paraId="0EC7DCD6">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采购代理费收取</w:t>
            </w:r>
          </w:p>
        </w:tc>
        <w:tc>
          <w:tcPr>
            <w:tcW w:w="7297" w:type="dxa"/>
            <w:tcBorders>
              <w:top w:val="single" w:color="auto" w:sz="4" w:space="0"/>
              <w:left w:val="single" w:color="auto" w:sz="4" w:space="0"/>
              <w:bottom w:val="single" w:color="auto" w:sz="4" w:space="0"/>
              <w:right w:val="single" w:color="auto" w:sz="4" w:space="0"/>
            </w:tcBorders>
            <w:vAlign w:val="center"/>
          </w:tcPr>
          <w:p w14:paraId="5CE8F4BF">
            <w:pPr>
              <w:keepNext w:val="0"/>
              <w:keepLines w:val="0"/>
              <w:pageBreakBefore w:val="0"/>
              <w:kinsoku/>
              <w:wordWrap/>
              <w:overflowPunct/>
              <w:topLinePunct w:val="0"/>
              <w:bidi w:val="0"/>
              <w:adjustRightInd/>
              <w:snapToGrid/>
              <w:spacing w:line="560" w:lineRule="exact"/>
              <w:rPr>
                <w:rFonts w:hint="eastAsia" w:ascii="宋体" w:hAnsi="宋体" w:eastAsia="宋体" w:cs="宋体"/>
                <w:color w:val="000000" w:themeColor="text1"/>
                <w:sz w:val="28"/>
                <w:szCs w:val="28"/>
                <w:highlight w:val="none"/>
                <w14:textFill>
                  <w14:solidFill>
                    <w14:schemeClr w14:val="tx1"/>
                  </w14:solidFill>
                </w14:textFill>
              </w:rPr>
            </w:pPr>
            <w:r>
              <w:rPr>
                <w:rFonts w:hint="eastAsia"/>
                <w:color w:val="000000" w:themeColor="text1"/>
                <w:kern w:val="2"/>
                <w:sz w:val="28"/>
                <w:szCs w:val="21"/>
                <w:lang w:val="en-US" w:eastAsia="zh-CN"/>
                <w14:textFill>
                  <w14:solidFill>
                    <w14:schemeClr w14:val="tx1"/>
                  </w14:solidFill>
                </w14:textFill>
              </w:rPr>
              <w:t>参照国家发展改革委员会发改价格〔2015〕299号）文件及《招标代理服务收费管理暂行办法》（计价格〔2002〕1980号）标准</w:t>
            </w:r>
            <w:r>
              <w:rPr>
                <w:rFonts w:hint="eastAsia"/>
                <w:b/>
                <w:color w:val="000000" w:themeColor="text1"/>
                <w:kern w:val="2"/>
                <w:sz w:val="28"/>
                <w:szCs w:val="21"/>
                <w:u w:val="single"/>
                <w:lang w:val="en-US" w:eastAsia="zh-CN"/>
                <w14:textFill>
                  <w14:solidFill>
                    <w14:schemeClr w14:val="tx1"/>
                  </w14:solidFill>
                </w14:textFill>
              </w:rPr>
              <w:t xml:space="preserve">  下浮55%  </w:t>
            </w:r>
            <w:r>
              <w:rPr>
                <w:rFonts w:hint="eastAsia"/>
                <w:color w:val="000000" w:themeColor="text1"/>
                <w:kern w:val="2"/>
                <w:sz w:val="28"/>
                <w:szCs w:val="21"/>
                <w:lang w:val="en-US" w:eastAsia="zh-CN"/>
                <w14:textFill>
                  <w14:solidFill>
                    <w14:schemeClr w14:val="tx1"/>
                  </w14:solidFill>
                </w14:textFill>
              </w:rPr>
              <w:t>计取</w:t>
            </w:r>
          </w:p>
        </w:tc>
      </w:tr>
      <w:tr w14:paraId="22E72D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993" w:type="dxa"/>
            <w:vMerge w:val="continue"/>
            <w:tcBorders>
              <w:top w:val="single" w:color="auto" w:sz="4" w:space="0"/>
              <w:left w:val="single" w:color="auto" w:sz="4" w:space="0"/>
              <w:bottom w:val="single" w:color="auto" w:sz="4" w:space="0"/>
              <w:right w:val="single" w:color="auto" w:sz="4" w:space="0"/>
            </w:tcBorders>
            <w:vAlign w:val="center"/>
          </w:tcPr>
          <w:p w14:paraId="01A15931">
            <w:pPr>
              <w:keepNext w:val="0"/>
              <w:keepLines w:val="0"/>
              <w:pageBreakBefore w:val="0"/>
              <w:widowControl/>
              <w:kinsoku/>
              <w:wordWrap/>
              <w:overflowPunct/>
              <w:topLinePunct w:val="0"/>
              <w:bidi w:val="0"/>
              <w:adjustRightInd/>
              <w:snapToGrid/>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2239" w:type="dxa"/>
            <w:tcBorders>
              <w:top w:val="single" w:color="auto" w:sz="4" w:space="0"/>
              <w:left w:val="single" w:color="auto" w:sz="4" w:space="0"/>
              <w:bottom w:val="single" w:color="auto" w:sz="4" w:space="0"/>
              <w:right w:val="single" w:color="auto" w:sz="4" w:space="0"/>
            </w:tcBorders>
            <w:vAlign w:val="center"/>
          </w:tcPr>
          <w:p w14:paraId="430CE281">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代理服务费收款账户信息</w:t>
            </w:r>
          </w:p>
        </w:tc>
        <w:tc>
          <w:tcPr>
            <w:tcW w:w="7297" w:type="dxa"/>
            <w:tcBorders>
              <w:top w:val="single" w:color="auto" w:sz="4" w:space="0"/>
              <w:left w:val="single" w:color="auto" w:sz="4" w:space="0"/>
              <w:bottom w:val="single" w:color="auto" w:sz="4" w:space="0"/>
              <w:right w:val="single" w:color="auto" w:sz="4" w:space="0"/>
            </w:tcBorders>
            <w:vAlign w:val="center"/>
          </w:tcPr>
          <w:p w14:paraId="322964AF">
            <w:pPr>
              <w:keepNext w:val="0"/>
              <w:keepLines w:val="0"/>
              <w:pageBreakBefore w:val="0"/>
              <w:kinsoku/>
              <w:wordWrap/>
              <w:overflowPunct/>
              <w:topLinePunct w:val="0"/>
              <w:bidi w:val="0"/>
              <w:adjustRightInd/>
              <w:snapToGrid/>
              <w:spacing w:line="560" w:lineRule="exact"/>
              <w:rPr>
                <w:rFonts w:hint="eastAsia" w:ascii="宋体" w:hAnsi="宋体" w:eastAsia="宋体" w:cs="宋体"/>
                <w:color w:val="000000" w:themeColor="text1"/>
                <w:sz w:val="28"/>
                <w:szCs w:val="28"/>
                <w:highlight w:val="none"/>
                <w:lang w:eastAsia="zh-CN"/>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开户名称：新疆诚誉工程项目管理有限公司哈密分公司</w:t>
            </w:r>
          </w:p>
          <w:p w14:paraId="66BEBAAF">
            <w:pPr>
              <w:keepNext w:val="0"/>
              <w:keepLines w:val="0"/>
              <w:pageBreakBefore w:val="0"/>
              <w:kinsoku/>
              <w:wordWrap/>
              <w:overflowPunct/>
              <w:topLinePunct w:val="0"/>
              <w:bidi w:val="0"/>
              <w:adjustRightInd/>
              <w:snapToGrid/>
              <w:spacing w:line="560" w:lineRule="exac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开户银行：</w:t>
            </w:r>
            <w:r>
              <w:rPr>
                <w:rFonts w:hint="eastAsia" w:ascii="宋体" w:hAnsi="宋体" w:cs="宋体"/>
                <w:color w:val="000000" w:themeColor="text1"/>
                <w:sz w:val="28"/>
                <w:szCs w:val="28"/>
                <w:highlight w:val="none"/>
                <w:lang w:eastAsia="zh-CN"/>
                <w14:textFill>
                  <w14:solidFill>
                    <w14:schemeClr w14:val="tx1"/>
                  </w14:solidFill>
                </w14:textFill>
              </w:rPr>
              <w:t>中国银行股份有限公司哈密市分行</w:t>
            </w:r>
          </w:p>
          <w:p w14:paraId="43207D3E">
            <w:pPr>
              <w:keepNext w:val="0"/>
              <w:keepLines w:val="0"/>
              <w:pageBreakBefore w:val="0"/>
              <w:kinsoku/>
              <w:wordWrap/>
              <w:overflowPunct/>
              <w:topLinePunct w:val="0"/>
              <w:bidi w:val="0"/>
              <w:adjustRightInd/>
              <w:snapToGrid/>
              <w:spacing w:line="560" w:lineRule="exac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银行账号：</w:t>
            </w:r>
            <w:r>
              <w:rPr>
                <w:rFonts w:hint="eastAsia" w:ascii="宋体" w:hAnsi="宋体" w:cs="宋体"/>
                <w:color w:val="000000" w:themeColor="text1"/>
                <w:sz w:val="28"/>
                <w:szCs w:val="28"/>
                <w:highlight w:val="none"/>
                <w:lang w:eastAsia="zh-CN"/>
                <w14:textFill>
                  <w14:solidFill>
                    <w14:schemeClr w14:val="tx1"/>
                  </w14:solidFill>
                </w14:textFill>
              </w:rPr>
              <w:t>107682200924</w:t>
            </w:r>
          </w:p>
        </w:tc>
      </w:tr>
      <w:tr w14:paraId="568308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14:paraId="514C127E">
            <w:pPr>
              <w:keepNext w:val="0"/>
              <w:keepLines w:val="0"/>
              <w:pageBreakBefore w:val="0"/>
              <w:kinsoku/>
              <w:wordWrap/>
              <w:overflowPunct/>
              <w:topLinePunct w:val="0"/>
              <w:bidi w:val="0"/>
              <w:adjustRightInd/>
              <w:snapToGrid/>
              <w:spacing w:line="560" w:lineRule="exact"/>
              <w:jc w:val="center"/>
              <w:rPr>
                <w:rFonts w:hint="default"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cs="宋体"/>
                <w:color w:val="000000" w:themeColor="text1"/>
                <w:sz w:val="28"/>
                <w:szCs w:val="28"/>
                <w:highlight w:val="none"/>
                <w:lang w:val="en-US" w:eastAsia="zh-CN"/>
                <w14:textFill>
                  <w14:solidFill>
                    <w14:schemeClr w14:val="tx1"/>
                  </w14:solidFill>
                </w14:textFill>
              </w:rPr>
              <w:t>26</w:t>
            </w:r>
          </w:p>
        </w:tc>
        <w:tc>
          <w:tcPr>
            <w:tcW w:w="2239" w:type="dxa"/>
            <w:tcBorders>
              <w:top w:val="single" w:color="auto" w:sz="4" w:space="0"/>
              <w:left w:val="single" w:color="auto" w:sz="4" w:space="0"/>
              <w:bottom w:val="single" w:color="auto" w:sz="4" w:space="0"/>
              <w:right w:val="single" w:color="auto" w:sz="4" w:space="0"/>
            </w:tcBorders>
            <w:vAlign w:val="center"/>
          </w:tcPr>
          <w:p w14:paraId="6415AD2F">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t>供货期</w:t>
            </w:r>
          </w:p>
        </w:tc>
        <w:tc>
          <w:tcPr>
            <w:tcW w:w="7297" w:type="dxa"/>
            <w:tcBorders>
              <w:top w:val="single" w:color="auto" w:sz="4" w:space="0"/>
              <w:left w:val="single" w:color="auto" w:sz="4" w:space="0"/>
              <w:bottom w:val="single" w:color="auto" w:sz="4" w:space="0"/>
              <w:right w:val="single" w:color="auto" w:sz="4" w:space="0"/>
            </w:tcBorders>
            <w:vAlign w:val="center"/>
          </w:tcPr>
          <w:p w14:paraId="1F4041AF">
            <w:pPr>
              <w:keepNext w:val="0"/>
              <w:keepLines w:val="0"/>
              <w:pageBreakBefore w:val="0"/>
              <w:kinsoku/>
              <w:wordWrap/>
              <w:overflowPunct/>
              <w:topLinePunct w:val="0"/>
              <w:bidi w:val="0"/>
              <w:adjustRightInd/>
              <w:snapToGrid/>
              <w:spacing w:line="560" w:lineRule="exact"/>
              <w:rPr>
                <w:rFonts w:hint="default" w:ascii="宋体" w:hAnsi="宋体" w:eastAsia="宋体" w:cs="宋体"/>
                <w:b/>
                <w:bCs/>
                <w:color w:val="000000" w:themeColor="text1"/>
                <w:sz w:val="28"/>
                <w:szCs w:val="28"/>
                <w:highlight w:val="none"/>
                <w:lang w:val="en-US" w:eastAsia="zh-CN"/>
                <w14:textFill>
                  <w14:solidFill>
                    <w14:schemeClr w14:val="tx1"/>
                  </w14:solidFill>
                </w14:textFill>
              </w:rPr>
            </w:pPr>
            <w:r>
              <w:rPr>
                <w:rFonts w:hint="eastAsia" w:ascii="宋体" w:hAnsi="宋体" w:cs="宋体"/>
                <w:b/>
                <w:bCs/>
                <w:color w:val="000000" w:themeColor="text1"/>
                <w:sz w:val="28"/>
                <w:szCs w:val="28"/>
                <w:highlight w:val="none"/>
                <w:lang w:val="en-US" w:eastAsia="zh-CN"/>
                <w14:textFill>
                  <w14:solidFill>
                    <w14:schemeClr w14:val="tx1"/>
                  </w14:solidFill>
                </w14:textFill>
              </w:rPr>
              <w:t>自中标结果公示发布之日起30天。</w:t>
            </w:r>
          </w:p>
        </w:tc>
      </w:tr>
      <w:tr w14:paraId="7BB904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14:paraId="4CD78A12">
            <w:pPr>
              <w:keepNext w:val="0"/>
              <w:keepLines w:val="0"/>
              <w:pageBreakBefore w:val="0"/>
              <w:kinsoku/>
              <w:wordWrap/>
              <w:overflowPunct/>
              <w:topLinePunct w:val="0"/>
              <w:bidi w:val="0"/>
              <w:adjustRightInd/>
              <w:snapToGrid/>
              <w:spacing w:line="560" w:lineRule="exact"/>
              <w:jc w:val="center"/>
              <w:rPr>
                <w:rFonts w:hint="default"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cs="宋体"/>
                <w:color w:val="000000" w:themeColor="text1"/>
                <w:sz w:val="28"/>
                <w:szCs w:val="28"/>
                <w:highlight w:val="none"/>
                <w:lang w:val="en-US" w:eastAsia="zh-CN"/>
                <w14:textFill>
                  <w14:solidFill>
                    <w14:schemeClr w14:val="tx1"/>
                  </w14:solidFill>
                </w14:textFill>
              </w:rPr>
              <w:t>27</w:t>
            </w:r>
          </w:p>
        </w:tc>
        <w:tc>
          <w:tcPr>
            <w:tcW w:w="2239" w:type="dxa"/>
            <w:tcBorders>
              <w:top w:val="single" w:color="auto" w:sz="4" w:space="0"/>
              <w:left w:val="single" w:color="auto" w:sz="4" w:space="0"/>
              <w:bottom w:val="single" w:color="auto" w:sz="4" w:space="0"/>
              <w:right w:val="single" w:color="auto" w:sz="4" w:space="0"/>
            </w:tcBorders>
            <w:vAlign w:val="center"/>
          </w:tcPr>
          <w:p w14:paraId="35AA0A37">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付款方式</w:t>
            </w:r>
          </w:p>
        </w:tc>
        <w:tc>
          <w:tcPr>
            <w:tcW w:w="7297" w:type="dxa"/>
            <w:tcBorders>
              <w:top w:val="single" w:color="auto" w:sz="4" w:space="0"/>
              <w:left w:val="single" w:color="auto" w:sz="4" w:space="0"/>
              <w:bottom w:val="single" w:color="auto" w:sz="4" w:space="0"/>
              <w:right w:val="single" w:color="auto" w:sz="4" w:space="0"/>
            </w:tcBorders>
            <w:vAlign w:val="center"/>
          </w:tcPr>
          <w:p w14:paraId="42D3F808">
            <w:pPr>
              <w:keepNext w:val="0"/>
              <w:keepLines w:val="0"/>
              <w:pageBreakBefore w:val="0"/>
              <w:kinsoku/>
              <w:wordWrap/>
              <w:overflowPunct/>
              <w:topLinePunct w:val="0"/>
              <w:bidi w:val="0"/>
              <w:adjustRightInd/>
              <w:snapToGrid/>
              <w:spacing w:line="560" w:lineRule="exact"/>
              <w:rPr>
                <w:rFonts w:hint="eastAsia" w:ascii="宋体" w:hAnsi="宋体" w:eastAsia="宋体" w:cs="宋体"/>
                <w:color w:val="000000" w:themeColor="text1"/>
                <w:sz w:val="28"/>
                <w:szCs w:val="28"/>
                <w:highlight w:val="none"/>
                <w:lang w:eastAsia="zh-CN"/>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设备安装验收完成，培训结束后使用满2个月无任何问题支付合同总金额的80%，自验收合格之日起设备使用满1年后无任何问题支付合同总金额的10%，合同内容全部履约完成后支付合同总金额的10%</w:t>
            </w:r>
            <w:r>
              <w:rPr>
                <w:rFonts w:hint="eastAsia" w:ascii="宋体" w:hAnsi="宋体" w:cs="宋体"/>
                <w:color w:val="000000" w:themeColor="text1"/>
                <w:sz w:val="28"/>
                <w:szCs w:val="28"/>
                <w:highlight w:val="none"/>
                <w:lang w:eastAsia="zh-CN"/>
                <w14:textFill>
                  <w14:solidFill>
                    <w14:schemeClr w14:val="tx1"/>
                  </w14:solidFill>
                </w14:textFill>
              </w:rPr>
              <w:t>。</w:t>
            </w:r>
          </w:p>
        </w:tc>
      </w:tr>
      <w:tr w14:paraId="344A7A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14:paraId="4570317D">
            <w:pPr>
              <w:keepNext w:val="0"/>
              <w:keepLines w:val="0"/>
              <w:pageBreakBefore w:val="0"/>
              <w:kinsoku/>
              <w:wordWrap/>
              <w:overflowPunct/>
              <w:topLinePunct w:val="0"/>
              <w:bidi w:val="0"/>
              <w:adjustRightInd/>
              <w:snapToGrid/>
              <w:spacing w:line="560" w:lineRule="exact"/>
              <w:jc w:val="center"/>
              <w:rPr>
                <w:rFonts w:hint="default"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cs="宋体"/>
                <w:color w:val="000000" w:themeColor="text1"/>
                <w:sz w:val="28"/>
                <w:szCs w:val="28"/>
                <w:highlight w:val="none"/>
                <w:lang w:val="en-US" w:eastAsia="zh-CN"/>
                <w14:textFill>
                  <w14:solidFill>
                    <w14:schemeClr w14:val="tx1"/>
                  </w14:solidFill>
                </w14:textFill>
              </w:rPr>
              <w:t>28</w:t>
            </w:r>
          </w:p>
        </w:tc>
        <w:tc>
          <w:tcPr>
            <w:tcW w:w="2239" w:type="dxa"/>
            <w:tcBorders>
              <w:top w:val="single" w:color="auto" w:sz="4" w:space="0"/>
              <w:left w:val="single" w:color="auto" w:sz="4" w:space="0"/>
              <w:bottom w:val="single" w:color="auto" w:sz="4" w:space="0"/>
              <w:right w:val="single" w:color="auto" w:sz="4" w:space="0"/>
            </w:tcBorders>
            <w:vAlign w:val="center"/>
          </w:tcPr>
          <w:p w14:paraId="2E1155AB">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t>质保期</w:t>
            </w:r>
          </w:p>
        </w:tc>
        <w:tc>
          <w:tcPr>
            <w:tcW w:w="7297" w:type="dxa"/>
            <w:tcBorders>
              <w:top w:val="single" w:color="auto" w:sz="4" w:space="0"/>
              <w:left w:val="single" w:color="auto" w:sz="4" w:space="0"/>
              <w:bottom w:val="single" w:color="auto" w:sz="4" w:space="0"/>
              <w:right w:val="single" w:color="auto" w:sz="4" w:space="0"/>
            </w:tcBorders>
            <w:vAlign w:val="center"/>
          </w:tcPr>
          <w:p w14:paraId="12DC4BD4">
            <w:pPr>
              <w:keepNext w:val="0"/>
              <w:keepLines w:val="0"/>
              <w:pageBreakBefore w:val="0"/>
              <w:kinsoku/>
              <w:wordWrap/>
              <w:overflowPunct/>
              <w:topLinePunct w:val="0"/>
              <w:bidi w:val="0"/>
              <w:adjustRightInd/>
              <w:snapToGrid/>
              <w:spacing w:line="560" w:lineRule="exact"/>
              <w:rPr>
                <w:rFonts w:hint="eastAsia" w:ascii="宋体" w:hAnsi="宋体" w:eastAsia="宋体" w:cs="宋体"/>
                <w:b/>
                <w:bCs/>
                <w:color w:val="000000" w:themeColor="text1"/>
                <w:sz w:val="28"/>
                <w:szCs w:val="28"/>
                <w:highlight w:val="none"/>
                <w:lang w:val="en-US" w:eastAsia="zh-CN"/>
                <w14:textFill>
                  <w14:solidFill>
                    <w14:schemeClr w14:val="tx1"/>
                  </w14:solidFill>
                </w14:textFill>
              </w:rPr>
            </w:pPr>
            <w:r>
              <w:rPr>
                <w:rFonts w:hint="eastAsia" w:ascii="宋体" w:hAnsi="宋体" w:eastAsia="宋体" w:cs="宋体"/>
                <w:b/>
                <w:bCs/>
                <w:color w:val="000000" w:themeColor="text1"/>
                <w:sz w:val="28"/>
                <w:szCs w:val="28"/>
                <w:highlight w:val="none"/>
                <w:lang w:val="en-US" w:eastAsia="zh-CN"/>
                <w14:textFill>
                  <w14:solidFill>
                    <w14:schemeClr w14:val="tx1"/>
                  </w14:solidFill>
                </w14:textFill>
              </w:rPr>
              <w:t>自验收合格之日起两年</w:t>
            </w:r>
          </w:p>
        </w:tc>
      </w:tr>
      <w:tr w14:paraId="04BF0B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14:paraId="3ED8F6A2">
            <w:pPr>
              <w:keepNext w:val="0"/>
              <w:keepLines w:val="0"/>
              <w:pageBreakBefore w:val="0"/>
              <w:kinsoku/>
              <w:wordWrap/>
              <w:overflowPunct/>
              <w:topLinePunct w:val="0"/>
              <w:bidi w:val="0"/>
              <w:adjustRightInd/>
              <w:snapToGrid/>
              <w:spacing w:line="560" w:lineRule="exact"/>
              <w:jc w:val="center"/>
              <w:rPr>
                <w:rFonts w:hint="default"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cs="宋体"/>
                <w:color w:val="000000" w:themeColor="text1"/>
                <w:sz w:val="28"/>
                <w:szCs w:val="28"/>
                <w:highlight w:val="none"/>
                <w:lang w:val="en-US" w:eastAsia="zh-CN"/>
                <w14:textFill>
                  <w14:solidFill>
                    <w14:schemeClr w14:val="tx1"/>
                  </w14:solidFill>
                </w14:textFill>
              </w:rPr>
              <w:t>29</w:t>
            </w:r>
          </w:p>
        </w:tc>
        <w:tc>
          <w:tcPr>
            <w:tcW w:w="2239" w:type="dxa"/>
            <w:tcBorders>
              <w:top w:val="single" w:color="auto" w:sz="4" w:space="0"/>
              <w:left w:val="single" w:color="auto" w:sz="4" w:space="0"/>
              <w:bottom w:val="single" w:color="auto" w:sz="4" w:space="0"/>
              <w:right w:val="single" w:color="auto" w:sz="4" w:space="0"/>
            </w:tcBorders>
            <w:vAlign w:val="center"/>
          </w:tcPr>
          <w:p w14:paraId="7CB1A7E1">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中小微型企业</w:t>
            </w:r>
          </w:p>
          <w:p w14:paraId="6851BA6F">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有关政策</w:t>
            </w:r>
          </w:p>
        </w:tc>
        <w:tc>
          <w:tcPr>
            <w:tcW w:w="7297" w:type="dxa"/>
            <w:tcBorders>
              <w:top w:val="single" w:color="auto" w:sz="4" w:space="0"/>
              <w:left w:val="single" w:color="auto" w:sz="4" w:space="0"/>
              <w:bottom w:val="single" w:color="auto" w:sz="4" w:space="0"/>
              <w:right w:val="single" w:color="auto" w:sz="4" w:space="0"/>
            </w:tcBorders>
            <w:vAlign w:val="center"/>
          </w:tcPr>
          <w:p w14:paraId="4F62A605">
            <w:pPr>
              <w:pStyle w:val="144"/>
              <w:keepNext w:val="0"/>
              <w:keepLines w:val="0"/>
              <w:pageBreakBefore w:val="0"/>
              <w:kinsoku/>
              <w:wordWrap/>
              <w:overflowPunct/>
              <w:topLinePunct w:val="0"/>
              <w:bidi w:val="0"/>
              <w:adjustRightInd/>
              <w:snapToGrid/>
              <w:spacing w:line="560" w:lineRule="exac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kern w:val="0"/>
                <w:sz w:val="28"/>
                <w:szCs w:val="28"/>
                <w:highlight w:val="none"/>
                <w14:textFill>
                  <w14:solidFill>
                    <w14:schemeClr w14:val="tx1"/>
                  </w14:solidFill>
                </w14:textFill>
              </w:rPr>
              <w:t>(1)根据财政部、工业和信息化部发布的关于印发《政府采</w:t>
            </w:r>
            <w:r>
              <w:rPr>
                <w:rFonts w:hint="eastAsia" w:ascii="宋体" w:hAnsi="宋体" w:eastAsia="宋体" w:cs="宋体"/>
                <w:color w:val="000000" w:themeColor="text1"/>
                <w:sz w:val="28"/>
                <w:szCs w:val="28"/>
                <w:highlight w:val="none"/>
                <w14:textFill>
                  <w14:solidFill>
                    <w14:schemeClr w14:val="tx1"/>
                  </w14:solidFill>
                </w14:textFill>
              </w:rPr>
              <w:t>购促进中小企业发展管理办法》的通知，财库[2020]46号）规定执行；本次采购标的所属行业为</w:t>
            </w:r>
            <w:r>
              <w:rPr>
                <w:rFonts w:hint="eastAsia" w:ascii="宋体" w:hAnsi="宋体" w:eastAsia="宋体" w:cs="宋体"/>
                <w:b/>
                <w:bCs/>
                <w:color w:val="000000" w:themeColor="text1"/>
                <w:sz w:val="28"/>
                <w:szCs w:val="28"/>
                <w:highlight w:val="none"/>
                <w:u w:val="single"/>
                <w14:textFill>
                  <w14:solidFill>
                    <w14:schemeClr w14:val="tx1"/>
                  </w14:solidFill>
                </w14:textFill>
              </w:rPr>
              <w:t>工业</w:t>
            </w:r>
            <w:r>
              <w:rPr>
                <w:rFonts w:hint="eastAsia" w:ascii="宋体" w:hAnsi="宋体" w:eastAsia="宋体" w:cs="宋体"/>
                <w:color w:val="000000" w:themeColor="text1"/>
                <w:sz w:val="28"/>
                <w:szCs w:val="28"/>
                <w:highlight w:val="none"/>
                <w14:textFill>
                  <w14:solidFill>
                    <w14:schemeClr w14:val="tx1"/>
                  </w14:solidFill>
                </w14:textFill>
              </w:rPr>
              <w:t>，中小微型企业需按照招标文件格式要求提供《中小企业声明函》，符合要求的小微型企业可享受相应政策。</w:t>
            </w:r>
          </w:p>
          <w:p w14:paraId="19860C6B">
            <w:pPr>
              <w:keepNext w:val="0"/>
              <w:keepLines w:val="0"/>
              <w:pageBreakBefore w:val="0"/>
              <w:kinsoku/>
              <w:wordWrap/>
              <w:overflowPunct/>
              <w:topLinePunct w:val="0"/>
              <w:bidi w:val="0"/>
              <w:adjustRightInd/>
              <w:snapToGrid/>
              <w:spacing w:line="560" w:lineRule="exac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(2)价格扣除幅度：价格给予</w:t>
            </w:r>
            <w:r>
              <w:rPr>
                <w:rFonts w:hint="eastAsia" w:ascii="宋体" w:hAnsi="宋体" w:eastAsia="宋体" w:cs="宋体"/>
                <w:color w:val="000000" w:themeColor="text1"/>
                <w:sz w:val="28"/>
                <w:szCs w:val="28"/>
                <w:highlight w:val="none"/>
                <w:u w:val="single"/>
                <w14:textFill>
                  <w14:solidFill>
                    <w14:schemeClr w14:val="tx1"/>
                  </w14:solidFill>
                </w14:textFill>
              </w:rPr>
              <w:t>10%</w:t>
            </w:r>
            <w:r>
              <w:rPr>
                <w:rFonts w:hint="eastAsia" w:ascii="宋体" w:hAnsi="宋体" w:eastAsia="宋体" w:cs="宋体"/>
                <w:color w:val="000000" w:themeColor="text1"/>
                <w:sz w:val="28"/>
                <w:szCs w:val="28"/>
                <w:highlight w:val="none"/>
                <w14:textFill>
                  <w14:solidFill>
                    <w14:schemeClr w14:val="tx1"/>
                  </w14:solidFill>
                </w14:textFill>
              </w:rPr>
              <w:t>的扣除，计算投标报价分时，用扣除后的价格参与评审。</w:t>
            </w:r>
          </w:p>
        </w:tc>
      </w:tr>
      <w:tr w14:paraId="79604D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14:paraId="770FAD65">
            <w:pPr>
              <w:keepNext w:val="0"/>
              <w:keepLines w:val="0"/>
              <w:pageBreakBefore w:val="0"/>
              <w:kinsoku/>
              <w:wordWrap/>
              <w:overflowPunct/>
              <w:topLinePunct w:val="0"/>
              <w:bidi w:val="0"/>
              <w:adjustRightInd/>
              <w:snapToGrid/>
              <w:spacing w:line="560" w:lineRule="exact"/>
              <w:jc w:val="center"/>
              <w:rPr>
                <w:rFonts w:hint="default" w:ascii="宋体" w:hAnsi="宋体" w:cs="宋体"/>
                <w:color w:val="000000" w:themeColor="text1"/>
                <w:sz w:val="28"/>
                <w:szCs w:val="28"/>
                <w:highlight w:val="none"/>
                <w:lang w:val="en-US" w:eastAsia="zh-CN"/>
                <w14:textFill>
                  <w14:solidFill>
                    <w14:schemeClr w14:val="tx1"/>
                  </w14:solidFill>
                </w14:textFill>
              </w:rPr>
            </w:pPr>
            <w:r>
              <w:rPr>
                <w:rFonts w:hint="eastAsia" w:ascii="宋体" w:hAnsi="宋体" w:cs="宋体"/>
                <w:color w:val="000000" w:themeColor="text1"/>
                <w:sz w:val="28"/>
                <w:szCs w:val="28"/>
                <w:highlight w:val="none"/>
                <w:lang w:val="en-US" w:eastAsia="zh-CN"/>
                <w14:textFill>
                  <w14:solidFill>
                    <w14:schemeClr w14:val="tx1"/>
                  </w14:solidFill>
                </w14:textFill>
              </w:rPr>
              <w:t>30</w:t>
            </w:r>
          </w:p>
        </w:tc>
        <w:tc>
          <w:tcPr>
            <w:tcW w:w="2239" w:type="dxa"/>
            <w:tcBorders>
              <w:top w:val="single" w:color="auto" w:sz="4" w:space="0"/>
              <w:left w:val="single" w:color="auto" w:sz="4" w:space="0"/>
              <w:bottom w:val="single" w:color="auto" w:sz="4" w:space="0"/>
              <w:right w:val="single" w:color="auto" w:sz="4" w:space="0"/>
            </w:tcBorders>
            <w:vAlign w:val="center"/>
          </w:tcPr>
          <w:p w14:paraId="334EBC60">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推荐成交候选供应商的数量</w:t>
            </w:r>
          </w:p>
        </w:tc>
        <w:tc>
          <w:tcPr>
            <w:tcW w:w="7297" w:type="dxa"/>
            <w:tcBorders>
              <w:top w:val="single" w:color="auto" w:sz="4" w:space="0"/>
              <w:left w:val="single" w:color="auto" w:sz="4" w:space="0"/>
              <w:bottom w:val="single" w:color="auto" w:sz="4" w:space="0"/>
              <w:right w:val="single" w:color="auto" w:sz="4" w:space="0"/>
            </w:tcBorders>
            <w:vAlign w:val="center"/>
          </w:tcPr>
          <w:p w14:paraId="436DB11B">
            <w:pPr>
              <w:keepNext w:val="0"/>
              <w:keepLines w:val="0"/>
              <w:pageBreakBefore w:val="0"/>
              <w:kinsoku/>
              <w:wordWrap/>
              <w:overflowPunct/>
              <w:topLinePunct w:val="0"/>
              <w:bidi w:val="0"/>
              <w:adjustRightInd/>
              <w:snapToGrid/>
              <w:spacing w:line="560" w:lineRule="exac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 3 家</w:t>
            </w:r>
          </w:p>
        </w:tc>
      </w:tr>
      <w:tr w14:paraId="50A5DC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14:paraId="77E0E1C8">
            <w:pPr>
              <w:keepNext w:val="0"/>
              <w:keepLines w:val="0"/>
              <w:pageBreakBefore w:val="0"/>
              <w:kinsoku/>
              <w:wordWrap/>
              <w:overflowPunct/>
              <w:topLinePunct w:val="0"/>
              <w:bidi w:val="0"/>
              <w:adjustRightInd/>
              <w:snapToGrid/>
              <w:spacing w:line="560" w:lineRule="exact"/>
              <w:jc w:val="center"/>
              <w:rPr>
                <w:rFonts w:hint="default"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cs="宋体"/>
                <w:color w:val="000000" w:themeColor="text1"/>
                <w:sz w:val="28"/>
                <w:szCs w:val="28"/>
                <w:highlight w:val="none"/>
                <w:lang w:val="en-US" w:eastAsia="zh-CN"/>
                <w14:textFill>
                  <w14:solidFill>
                    <w14:schemeClr w14:val="tx1"/>
                  </w14:solidFill>
                </w14:textFill>
              </w:rPr>
              <w:t>31</w:t>
            </w:r>
          </w:p>
        </w:tc>
        <w:tc>
          <w:tcPr>
            <w:tcW w:w="2239" w:type="dxa"/>
            <w:tcBorders>
              <w:top w:val="single" w:color="auto" w:sz="4" w:space="0"/>
              <w:left w:val="single" w:color="auto" w:sz="4" w:space="0"/>
              <w:bottom w:val="single" w:color="auto" w:sz="4" w:space="0"/>
              <w:right w:val="single" w:color="auto" w:sz="4" w:space="0"/>
            </w:tcBorders>
            <w:vAlign w:val="center"/>
          </w:tcPr>
          <w:p w14:paraId="1B4A12D0">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解释</w:t>
            </w:r>
          </w:p>
        </w:tc>
        <w:tc>
          <w:tcPr>
            <w:tcW w:w="7297" w:type="dxa"/>
            <w:tcBorders>
              <w:top w:val="single" w:color="auto" w:sz="4" w:space="0"/>
              <w:left w:val="single" w:color="auto" w:sz="4" w:space="0"/>
              <w:bottom w:val="single" w:color="auto" w:sz="4" w:space="0"/>
              <w:right w:val="single" w:color="auto" w:sz="4" w:space="0"/>
            </w:tcBorders>
            <w:vAlign w:val="center"/>
          </w:tcPr>
          <w:p w14:paraId="1C1E1E06">
            <w:pPr>
              <w:keepNext w:val="0"/>
              <w:keepLines w:val="0"/>
              <w:pageBreakBefore w:val="0"/>
              <w:kinsoku/>
              <w:wordWrap/>
              <w:overflowPunct/>
              <w:topLinePunct w:val="0"/>
              <w:bidi w:val="0"/>
              <w:adjustRightInd/>
              <w:snapToGrid/>
              <w:spacing w:line="560" w:lineRule="exact"/>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解释权：</w:t>
            </w:r>
            <w:r>
              <w:rPr>
                <w:rFonts w:hint="eastAsia" w:ascii="宋体" w:hAnsi="宋体" w:eastAsia="宋体" w:cs="宋体"/>
                <w:color w:val="000000" w:themeColor="text1"/>
                <w:sz w:val="28"/>
                <w:szCs w:val="28"/>
                <w:highlight w:val="none"/>
                <w14:textFill>
                  <w14:solidFill>
                    <w14:schemeClr w14:val="tx1"/>
                  </w14:solidFill>
                </w14:textFill>
              </w:rPr>
              <w:t>构成本招标文件的各个组成文件应互为解释，互为说明；除招标文件中有特别规定外，仅适用于招标投标阶段的规定，按更正公告（澄清公告）、招标公告、采购需求、</w:t>
            </w:r>
            <w:r>
              <w:rPr>
                <w:rFonts w:hint="eastAsia" w:ascii="宋体" w:hAnsi="宋体" w:cs="宋体"/>
                <w:color w:val="000000" w:themeColor="text1"/>
                <w:sz w:val="28"/>
                <w:szCs w:val="28"/>
                <w:highlight w:val="none"/>
                <w:lang w:eastAsia="zh-CN"/>
                <w14:textFill>
                  <w14:solidFill>
                    <w14:schemeClr w14:val="tx1"/>
                  </w14:solidFill>
                </w14:textFill>
              </w:rPr>
              <w:t>供应商</w:t>
            </w:r>
            <w:r>
              <w:rPr>
                <w:rFonts w:hint="eastAsia" w:ascii="宋体" w:hAnsi="宋体" w:eastAsia="宋体" w:cs="宋体"/>
                <w:color w:val="000000" w:themeColor="text1"/>
                <w:sz w:val="28"/>
                <w:szCs w:val="28"/>
                <w:highlight w:val="none"/>
                <w14:textFill>
                  <w14:solidFill>
                    <w14:schemeClr w14:val="tx1"/>
                  </w14:solidFill>
                </w14:textFill>
              </w:rPr>
              <w:t>须知、评标方法及评标标准、拟签订的合同文本、投标文件格式的先后顺序解释；同一组成文件中就同一事项的规定或者约定不一致的，以编排顺序在后者为准；同一组成文件不同版本之间有不一致的，以形成时间在后者为准；更正公告（澄清公告）与同步更新的招标文件不一致时以更正公告（澄清公告）为准。按本款前述规定仍不能形成结论的</w:t>
            </w:r>
            <w:r>
              <w:rPr>
                <w:rFonts w:hint="eastAsia" w:ascii="宋体" w:hAnsi="宋体" w:eastAsia="宋体" w:cs="宋体"/>
                <w:b/>
                <w:color w:val="000000" w:themeColor="text1"/>
                <w:sz w:val="28"/>
                <w:szCs w:val="28"/>
                <w:highlight w:val="none"/>
                <w14:textFill>
                  <w14:solidFill>
                    <w14:schemeClr w14:val="tx1"/>
                  </w14:solidFill>
                </w14:textFill>
              </w:rPr>
              <w:t>，由采购人或者采购代理机构负责解释。</w:t>
            </w:r>
          </w:p>
          <w:p w14:paraId="77210BCA">
            <w:pPr>
              <w:keepNext w:val="0"/>
              <w:keepLines w:val="0"/>
              <w:pageBreakBefore w:val="0"/>
              <w:kinsoku/>
              <w:wordWrap/>
              <w:overflowPunct/>
              <w:topLinePunct w:val="0"/>
              <w:bidi w:val="0"/>
              <w:adjustRightInd/>
              <w:snapToGrid/>
              <w:spacing w:line="560" w:lineRule="exact"/>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法律责任：</w:t>
            </w:r>
          </w:p>
          <w:p w14:paraId="7CB09DE4">
            <w:pPr>
              <w:keepNext w:val="0"/>
              <w:keepLines w:val="0"/>
              <w:pageBreakBefore w:val="0"/>
              <w:kinsoku/>
              <w:wordWrap/>
              <w:overflowPunct/>
              <w:topLinePunct w:val="0"/>
              <w:bidi w:val="0"/>
              <w:adjustRightInd/>
              <w:snapToGrid/>
              <w:spacing w:line="560" w:lineRule="exac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本采购文件根据《中华人民共和国政府采购法》、《中华人民共和国民法典》；《中华人民共和国政府采购法实施条例》、《政府采购非招标采购方式管理办法》等有关法律、法规编制，参与本项目的各政府采购当事人依法享有上述法律法规所赋予的权利与义务。</w:t>
            </w:r>
          </w:p>
        </w:tc>
      </w:tr>
      <w:tr w14:paraId="664D56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14:paraId="359636B2">
            <w:pPr>
              <w:keepNext w:val="0"/>
              <w:keepLines w:val="0"/>
              <w:pageBreakBefore w:val="0"/>
              <w:kinsoku/>
              <w:wordWrap/>
              <w:overflowPunct/>
              <w:topLinePunct w:val="0"/>
              <w:bidi w:val="0"/>
              <w:adjustRightInd/>
              <w:snapToGrid/>
              <w:spacing w:line="560" w:lineRule="exact"/>
              <w:jc w:val="center"/>
              <w:rPr>
                <w:rFonts w:hint="default"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cs="宋体"/>
                <w:color w:val="000000" w:themeColor="text1"/>
                <w:sz w:val="28"/>
                <w:szCs w:val="28"/>
                <w:highlight w:val="none"/>
                <w:lang w:val="en-US" w:eastAsia="zh-CN"/>
                <w14:textFill>
                  <w14:solidFill>
                    <w14:schemeClr w14:val="tx1"/>
                  </w14:solidFill>
                </w14:textFill>
              </w:rPr>
              <w:t>32</w:t>
            </w:r>
          </w:p>
        </w:tc>
        <w:tc>
          <w:tcPr>
            <w:tcW w:w="2239" w:type="dxa"/>
            <w:tcBorders>
              <w:top w:val="single" w:color="auto" w:sz="4" w:space="0"/>
              <w:left w:val="single" w:color="auto" w:sz="4" w:space="0"/>
              <w:bottom w:val="single" w:color="auto" w:sz="4" w:space="0"/>
              <w:right w:val="single" w:color="auto" w:sz="4" w:space="0"/>
            </w:tcBorders>
            <w:vAlign w:val="center"/>
          </w:tcPr>
          <w:p w14:paraId="098E05CE">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其他释义</w:t>
            </w:r>
          </w:p>
        </w:tc>
        <w:tc>
          <w:tcPr>
            <w:tcW w:w="7297" w:type="dxa"/>
            <w:tcBorders>
              <w:top w:val="single" w:color="auto" w:sz="4" w:space="0"/>
              <w:left w:val="single" w:color="auto" w:sz="4" w:space="0"/>
              <w:bottom w:val="single" w:color="auto" w:sz="4" w:space="0"/>
              <w:right w:val="single" w:color="auto" w:sz="4" w:space="0"/>
            </w:tcBorders>
            <w:vAlign w:val="center"/>
          </w:tcPr>
          <w:p w14:paraId="6E8CAE3B">
            <w:pPr>
              <w:keepNext w:val="0"/>
              <w:keepLines w:val="0"/>
              <w:pageBreakBefore w:val="0"/>
              <w:kinsoku/>
              <w:wordWrap/>
              <w:overflowPunct/>
              <w:topLinePunct w:val="0"/>
              <w:bidi w:val="0"/>
              <w:adjustRightInd/>
              <w:snapToGrid/>
              <w:spacing w:line="560" w:lineRule="exac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1.本招标文件中描述</w:t>
            </w:r>
            <w:r>
              <w:rPr>
                <w:rFonts w:hint="eastAsia" w:ascii="宋体" w:hAnsi="宋体" w:cs="宋体"/>
                <w:color w:val="000000" w:themeColor="text1"/>
                <w:sz w:val="28"/>
                <w:szCs w:val="28"/>
                <w:highlight w:val="none"/>
                <w:lang w:eastAsia="zh-CN"/>
                <w14:textFill>
                  <w14:solidFill>
                    <w14:schemeClr w14:val="tx1"/>
                  </w14:solidFill>
                </w14:textFill>
              </w:rPr>
              <w:t>供应商</w:t>
            </w:r>
            <w:r>
              <w:rPr>
                <w:rFonts w:hint="eastAsia" w:ascii="宋体" w:hAnsi="宋体" w:eastAsia="宋体" w:cs="宋体"/>
                <w:color w:val="000000" w:themeColor="text1"/>
                <w:sz w:val="28"/>
                <w:szCs w:val="28"/>
                <w:highlight w:val="none"/>
                <w14:textFill>
                  <w14:solidFill>
                    <w14:schemeClr w14:val="tx1"/>
                  </w14:solidFill>
                </w14:textFill>
              </w:rPr>
              <w:t>的“公章”是指根据我国对公章的管理规定，用</w:t>
            </w:r>
            <w:r>
              <w:rPr>
                <w:rFonts w:hint="eastAsia" w:ascii="宋体" w:hAnsi="宋体" w:cs="宋体"/>
                <w:color w:val="000000" w:themeColor="text1"/>
                <w:sz w:val="28"/>
                <w:szCs w:val="28"/>
                <w:highlight w:val="none"/>
                <w:lang w:eastAsia="zh-CN"/>
                <w14:textFill>
                  <w14:solidFill>
                    <w14:schemeClr w14:val="tx1"/>
                  </w14:solidFill>
                </w14:textFill>
              </w:rPr>
              <w:t>供应商</w:t>
            </w:r>
            <w:r>
              <w:rPr>
                <w:rFonts w:hint="eastAsia" w:ascii="宋体" w:hAnsi="宋体" w:eastAsia="宋体" w:cs="宋体"/>
                <w:color w:val="000000" w:themeColor="text1"/>
                <w:sz w:val="28"/>
                <w:szCs w:val="28"/>
                <w:highlight w:val="none"/>
                <w14:textFill>
                  <w14:solidFill>
                    <w14:schemeClr w14:val="tx1"/>
                  </w14:solidFill>
                </w14:textFill>
              </w:rPr>
              <w:t>法定主体行为名称制作的印章，除本招标文件有特殊规定外，</w:t>
            </w:r>
            <w:r>
              <w:rPr>
                <w:rFonts w:hint="eastAsia" w:ascii="宋体" w:hAnsi="宋体" w:cs="宋体"/>
                <w:color w:val="000000" w:themeColor="text1"/>
                <w:sz w:val="28"/>
                <w:szCs w:val="28"/>
                <w:highlight w:val="none"/>
                <w:lang w:eastAsia="zh-CN"/>
                <w14:textFill>
                  <w14:solidFill>
                    <w14:schemeClr w14:val="tx1"/>
                  </w14:solidFill>
                </w14:textFill>
              </w:rPr>
              <w:t>供应商</w:t>
            </w:r>
            <w:r>
              <w:rPr>
                <w:rFonts w:hint="eastAsia" w:ascii="宋体" w:hAnsi="宋体" w:eastAsia="宋体" w:cs="宋体"/>
                <w:color w:val="000000" w:themeColor="text1"/>
                <w:sz w:val="28"/>
                <w:szCs w:val="28"/>
                <w:highlight w:val="none"/>
                <w14:textFill>
                  <w14:solidFill>
                    <w14:schemeClr w14:val="tx1"/>
                  </w14:solidFill>
                </w14:textFill>
              </w:rPr>
              <w:t>的财务章、部门章、分公司章、工会章、合同章、投标专用章、业务专用章及银行的转账章、现金收讫章、现金付讫章等其他形式印章均不能代替公章。</w:t>
            </w:r>
          </w:p>
          <w:p w14:paraId="778004DE">
            <w:pPr>
              <w:keepNext w:val="0"/>
              <w:keepLines w:val="0"/>
              <w:pageBreakBefore w:val="0"/>
              <w:kinsoku/>
              <w:wordWrap/>
              <w:overflowPunct/>
              <w:topLinePunct w:val="0"/>
              <w:bidi w:val="0"/>
              <w:adjustRightInd/>
              <w:snapToGrid/>
              <w:spacing w:line="560" w:lineRule="exac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2.</w:t>
            </w:r>
            <w:r>
              <w:rPr>
                <w:rFonts w:hint="eastAsia" w:ascii="宋体" w:hAnsi="宋体" w:cs="宋体"/>
                <w:color w:val="000000" w:themeColor="text1"/>
                <w:sz w:val="28"/>
                <w:szCs w:val="28"/>
                <w:highlight w:val="none"/>
                <w:lang w:eastAsia="zh-CN"/>
                <w14:textFill>
                  <w14:solidFill>
                    <w14:schemeClr w14:val="tx1"/>
                  </w14:solidFill>
                </w14:textFill>
              </w:rPr>
              <w:t>供应商</w:t>
            </w:r>
            <w:r>
              <w:rPr>
                <w:rFonts w:hint="eastAsia" w:ascii="宋体" w:hAnsi="宋体" w:eastAsia="宋体" w:cs="宋体"/>
                <w:color w:val="000000" w:themeColor="text1"/>
                <w:sz w:val="28"/>
                <w:szCs w:val="28"/>
                <w:highlight w:val="none"/>
                <w14:textFill>
                  <w14:solidFill>
                    <w14:schemeClr w14:val="tx1"/>
                  </w14:solidFill>
                </w14:textFill>
              </w:rPr>
              <w:t>为其他组织或者自然人时，本招标文件规定的法定代表人指负责人或者自然人。本招标文件所称负责人是指参加投标的其他组织营业执照上的负责人，本招标文件所称自然人指参与投标的自然人本人。</w:t>
            </w:r>
          </w:p>
          <w:p w14:paraId="7A98EB67">
            <w:pPr>
              <w:keepNext w:val="0"/>
              <w:keepLines w:val="0"/>
              <w:pageBreakBefore w:val="0"/>
              <w:kinsoku/>
              <w:wordWrap/>
              <w:overflowPunct/>
              <w:topLinePunct w:val="0"/>
              <w:bidi w:val="0"/>
              <w:adjustRightInd/>
              <w:snapToGrid/>
              <w:spacing w:line="560" w:lineRule="exac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3.本招标文件中描述</w:t>
            </w:r>
            <w:r>
              <w:rPr>
                <w:rFonts w:hint="eastAsia" w:ascii="宋体" w:hAnsi="宋体" w:cs="宋体"/>
                <w:color w:val="000000" w:themeColor="text1"/>
                <w:sz w:val="28"/>
                <w:szCs w:val="28"/>
                <w:highlight w:val="none"/>
                <w:lang w:eastAsia="zh-CN"/>
                <w14:textFill>
                  <w14:solidFill>
                    <w14:schemeClr w14:val="tx1"/>
                  </w14:solidFill>
                </w14:textFill>
              </w:rPr>
              <w:t>供应商</w:t>
            </w:r>
            <w:r>
              <w:rPr>
                <w:rFonts w:hint="eastAsia" w:ascii="宋体" w:hAnsi="宋体" w:eastAsia="宋体" w:cs="宋体"/>
                <w:color w:val="000000" w:themeColor="text1"/>
                <w:sz w:val="28"/>
                <w:szCs w:val="28"/>
                <w:highlight w:val="none"/>
                <w14:textFill>
                  <w14:solidFill>
                    <w14:schemeClr w14:val="tx1"/>
                  </w14:solidFill>
                </w14:textFill>
              </w:rPr>
              <w:t>的“签字”是指</w:t>
            </w:r>
            <w:r>
              <w:rPr>
                <w:rFonts w:hint="eastAsia" w:ascii="宋体" w:hAnsi="宋体" w:cs="宋体"/>
                <w:color w:val="000000" w:themeColor="text1"/>
                <w:sz w:val="28"/>
                <w:szCs w:val="28"/>
                <w:highlight w:val="none"/>
                <w:lang w:eastAsia="zh-CN"/>
                <w14:textFill>
                  <w14:solidFill>
                    <w14:schemeClr w14:val="tx1"/>
                  </w14:solidFill>
                </w14:textFill>
              </w:rPr>
              <w:t>供应商</w:t>
            </w:r>
            <w:r>
              <w:rPr>
                <w:rFonts w:hint="eastAsia" w:ascii="宋体" w:hAnsi="宋体" w:eastAsia="宋体" w:cs="宋体"/>
                <w:color w:val="000000" w:themeColor="text1"/>
                <w:sz w:val="28"/>
                <w:szCs w:val="28"/>
                <w:highlight w:val="none"/>
                <w14:textFill>
                  <w14:solidFill>
                    <w14:schemeClr w14:val="tx1"/>
                  </w14:solidFill>
                </w14:textFill>
              </w:rPr>
              <w:t>的法定代表人或者委托代理人亲自在文件规定签署处亲笔写上个人的名字的行为，签字章、印鉴、影印等其他形式均不能代替亲笔签字。</w:t>
            </w:r>
          </w:p>
          <w:p w14:paraId="56DC9DB8">
            <w:pPr>
              <w:keepNext w:val="0"/>
              <w:keepLines w:val="0"/>
              <w:pageBreakBefore w:val="0"/>
              <w:kinsoku/>
              <w:wordWrap/>
              <w:overflowPunct/>
              <w:topLinePunct w:val="0"/>
              <w:bidi w:val="0"/>
              <w:adjustRightInd/>
              <w:snapToGrid/>
              <w:spacing w:line="560" w:lineRule="exac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4.自然人投标的，招标文件规定盖公章处由自然人摁手指指印。</w:t>
            </w:r>
          </w:p>
          <w:p w14:paraId="39E0B8E2">
            <w:pPr>
              <w:keepNext w:val="0"/>
              <w:keepLines w:val="0"/>
              <w:pageBreakBefore w:val="0"/>
              <w:kinsoku/>
              <w:wordWrap/>
              <w:overflowPunct/>
              <w:topLinePunct w:val="0"/>
              <w:bidi w:val="0"/>
              <w:adjustRightInd/>
              <w:snapToGrid/>
              <w:spacing w:line="560" w:lineRule="exact"/>
              <w:jc w:val="left"/>
              <w:rPr>
                <w:rFonts w:hint="eastAsia" w:ascii="宋体" w:hAnsi="宋体" w:eastAsia="宋体" w:cs="宋体"/>
                <w:b w:val="0"/>
                <w:bCs w:val="0"/>
                <w:color w:val="000000" w:themeColor="text1"/>
                <w:sz w:val="28"/>
                <w:szCs w:val="28"/>
                <w:highlight w:val="none"/>
                <w14:textFill>
                  <w14:solidFill>
                    <w14:schemeClr w14:val="tx1"/>
                  </w14:solidFill>
                </w14:textFill>
              </w:rPr>
            </w:pPr>
            <w:r>
              <w:rPr>
                <w:rFonts w:hint="eastAsia" w:ascii="宋体" w:hAnsi="宋体" w:eastAsia="宋体" w:cs="宋体"/>
                <w:b w:val="0"/>
                <w:bCs w:val="0"/>
                <w:color w:val="000000" w:themeColor="text1"/>
                <w:sz w:val="28"/>
                <w:szCs w:val="28"/>
                <w:highlight w:val="none"/>
                <w14:textFill>
                  <w14:solidFill>
                    <w14:schemeClr w14:val="tx1"/>
                  </w14:solidFill>
                </w14:textFill>
              </w:rPr>
              <w:t>5.本招标文件所称的“以上”“以下”“以内”“届满”，包括本数；所称的“不满”“超过”“以外”，不包括本数。</w:t>
            </w:r>
          </w:p>
          <w:p w14:paraId="543F5494">
            <w:pPr>
              <w:keepNext w:val="0"/>
              <w:keepLines w:val="0"/>
              <w:pageBreakBefore w:val="0"/>
              <w:kinsoku/>
              <w:wordWrap/>
              <w:overflowPunct/>
              <w:topLinePunct w:val="0"/>
              <w:bidi w:val="0"/>
              <w:adjustRightInd/>
              <w:snapToGrid/>
              <w:spacing w:line="560" w:lineRule="exact"/>
              <w:jc w:val="left"/>
              <w:rPr>
                <w:rFonts w:hint="eastAsia" w:ascii="宋体" w:hAnsi="宋体" w:eastAsia="宋体" w:cs="宋体"/>
                <w:b w:val="0"/>
                <w:bCs w:val="0"/>
                <w:color w:val="000000" w:themeColor="text1"/>
                <w:sz w:val="28"/>
                <w:szCs w:val="28"/>
                <w:highlight w:val="none"/>
                <w14:textFill>
                  <w14:solidFill>
                    <w14:schemeClr w14:val="tx1"/>
                  </w14:solidFill>
                </w14:textFill>
              </w:rPr>
            </w:pPr>
            <w:r>
              <w:rPr>
                <w:rFonts w:hint="eastAsia" w:ascii="宋体" w:hAnsi="宋体" w:eastAsia="宋体" w:cs="宋体"/>
                <w:b w:val="0"/>
                <w:bCs w:val="0"/>
                <w:color w:val="000000" w:themeColor="text1"/>
                <w:sz w:val="28"/>
                <w:szCs w:val="28"/>
                <w:highlight w:val="none"/>
                <w14:textFill>
                  <w14:solidFill>
                    <w14:schemeClr w14:val="tx1"/>
                  </w14:solidFill>
                </w14:textFill>
              </w:rPr>
              <w:t>6. 本项目为全流程电子化开评标，</w:t>
            </w:r>
            <w:r>
              <w:rPr>
                <w:rFonts w:hint="eastAsia" w:ascii="宋体" w:hAnsi="宋体" w:cs="宋体"/>
                <w:b w:val="0"/>
                <w:bCs w:val="0"/>
                <w:color w:val="000000" w:themeColor="text1"/>
                <w:sz w:val="28"/>
                <w:szCs w:val="28"/>
                <w:highlight w:val="none"/>
                <w:lang w:eastAsia="zh-CN"/>
                <w14:textFill>
                  <w14:solidFill>
                    <w14:schemeClr w14:val="tx1"/>
                  </w14:solidFill>
                </w14:textFill>
              </w:rPr>
              <w:t>供应商</w:t>
            </w:r>
            <w:r>
              <w:rPr>
                <w:rFonts w:hint="eastAsia" w:ascii="宋体" w:hAnsi="宋体" w:eastAsia="宋体" w:cs="宋体"/>
                <w:b w:val="0"/>
                <w:bCs w:val="0"/>
                <w:color w:val="000000" w:themeColor="text1"/>
                <w:sz w:val="28"/>
                <w:szCs w:val="28"/>
                <w:highlight w:val="none"/>
                <w14:textFill>
                  <w14:solidFill>
                    <w14:schemeClr w14:val="tx1"/>
                  </w14:solidFill>
                </w14:textFill>
              </w:rPr>
              <w:t>须自备具备视频及语音通话功能的设备</w:t>
            </w:r>
          </w:p>
          <w:p w14:paraId="14C304AE">
            <w:pPr>
              <w:keepNext w:val="0"/>
              <w:keepLines w:val="0"/>
              <w:pageBreakBefore w:val="0"/>
              <w:kinsoku/>
              <w:wordWrap/>
              <w:overflowPunct/>
              <w:topLinePunct w:val="0"/>
              <w:bidi w:val="0"/>
              <w:adjustRightInd/>
              <w:snapToGrid/>
              <w:spacing w:line="560" w:lineRule="exact"/>
              <w:jc w:val="left"/>
              <w:rPr>
                <w:rFonts w:hint="eastAsia" w:ascii="宋体" w:hAnsi="宋体" w:eastAsia="宋体" w:cs="宋体"/>
                <w:b w:val="0"/>
                <w:bCs w:val="0"/>
                <w:color w:val="000000" w:themeColor="text1"/>
                <w:sz w:val="28"/>
                <w:szCs w:val="28"/>
                <w:highlight w:val="none"/>
                <w14:textFill>
                  <w14:solidFill>
                    <w14:schemeClr w14:val="tx1"/>
                  </w14:solidFill>
                </w14:textFill>
              </w:rPr>
            </w:pPr>
            <w:r>
              <w:rPr>
                <w:rFonts w:hint="eastAsia" w:ascii="宋体" w:hAnsi="宋体" w:eastAsia="宋体" w:cs="宋体"/>
                <w:b w:val="0"/>
                <w:bCs w:val="0"/>
                <w:color w:val="000000" w:themeColor="text1"/>
                <w:sz w:val="28"/>
                <w:szCs w:val="28"/>
                <w:highlight w:val="none"/>
                <w:lang w:val="en-US" w:eastAsia="zh-CN"/>
                <w14:textFill>
                  <w14:solidFill>
                    <w14:schemeClr w14:val="tx1"/>
                  </w14:solidFill>
                </w14:textFill>
              </w:rPr>
              <w:t>7、</w:t>
            </w:r>
            <w:r>
              <w:rPr>
                <w:rFonts w:hint="eastAsia" w:ascii="宋体" w:hAnsi="宋体" w:eastAsia="宋体" w:cs="宋体"/>
                <w:b w:val="0"/>
                <w:bCs w:val="0"/>
                <w:color w:val="000000" w:themeColor="text1"/>
                <w:sz w:val="28"/>
                <w:szCs w:val="28"/>
                <w:highlight w:val="none"/>
                <w:lang w:eastAsia="zh-CN"/>
                <w14:textFill>
                  <w14:solidFill>
                    <w14:schemeClr w14:val="tx1"/>
                  </w14:solidFill>
                </w14:textFill>
              </w:rPr>
              <w:t>招标</w:t>
            </w:r>
            <w:r>
              <w:rPr>
                <w:rFonts w:hint="eastAsia" w:ascii="宋体" w:hAnsi="宋体" w:eastAsia="宋体" w:cs="宋体"/>
                <w:b w:val="0"/>
                <w:bCs w:val="0"/>
                <w:color w:val="000000" w:themeColor="text1"/>
                <w:sz w:val="28"/>
                <w:szCs w:val="28"/>
                <w:highlight w:val="none"/>
                <w14:textFill>
                  <w14:solidFill>
                    <w14:schemeClr w14:val="tx1"/>
                  </w14:solidFill>
                </w14:textFill>
              </w:rPr>
              <w:t>文件</w:t>
            </w:r>
            <w:r>
              <w:rPr>
                <w:rFonts w:hint="eastAsia" w:ascii="宋体" w:hAnsi="宋体" w:eastAsia="宋体" w:cs="宋体"/>
                <w:b w:val="0"/>
                <w:bCs w:val="0"/>
                <w:color w:val="000000" w:themeColor="text1"/>
                <w:sz w:val="28"/>
                <w:szCs w:val="28"/>
                <w:highlight w:val="none"/>
                <w:lang w:eastAsia="zh-CN"/>
                <w14:textFill>
                  <w14:solidFill>
                    <w14:schemeClr w14:val="tx1"/>
                  </w14:solidFill>
                </w14:textFill>
              </w:rPr>
              <w:t>第六章投标</w:t>
            </w:r>
            <w:r>
              <w:rPr>
                <w:rFonts w:hint="eastAsia" w:ascii="宋体" w:hAnsi="宋体" w:eastAsia="宋体" w:cs="宋体"/>
                <w:b w:val="0"/>
                <w:bCs w:val="0"/>
                <w:color w:val="000000" w:themeColor="text1"/>
                <w:sz w:val="28"/>
                <w:szCs w:val="28"/>
                <w:highlight w:val="none"/>
                <w14:textFill>
                  <w14:solidFill>
                    <w14:schemeClr w14:val="tx1"/>
                  </w14:solidFill>
                </w14:textFill>
              </w:rPr>
              <w:t>文件</w:t>
            </w:r>
            <w:r>
              <w:rPr>
                <w:rFonts w:hint="eastAsia" w:ascii="宋体" w:hAnsi="宋体" w:eastAsia="宋体" w:cs="宋体"/>
                <w:b w:val="0"/>
                <w:bCs w:val="0"/>
                <w:color w:val="000000" w:themeColor="text1"/>
                <w:sz w:val="28"/>
                <w:szCs w:val="28"/>
                <w:highlight w:val="none"/>
                <w:lang w:eastAsia="zh-CN"/>
                <w14:textFill>
                  <w14:solidFill>
                    <w14:schemeClr w14:val="tx1"/>
                  </w14:solidFill>
                </w14:textFill>
              </w:rPr>
              <w:t>格式</w:t>
            </w:r>
            <w:r>
              <w:rPr>
                <w:rFonts w:hint="eastAsia" w:ascii="宋体" w:hAnsi="宋体" w:eastAsia="宋体" w:cs="宋体"/>
                <w:b w:val="0"/>
                <w:bCs w:val="0"/>
                <w:color w:val="000000" w:themeColor="text1"/>
                <w:sz w:val="28"/>
                <w:szCs w:val="28"/>
                <w:highlight w:val="none"/>
                <w14:textFill>
                  <w14:solidFill>
                    <w14:schemeClr w14:val="tx1"/>
                  </w14:solidFill>
                </w14:textFill>
              </w:rPr>
              <w:t>要求盖单位章和签字的地方，</w:t>
            </w:r>
            <w:r>
              <w:rPr>
                <w:rFonts w:hint="eastAsia" w:ascii="宋体" w:hAnsi="宋体" w:eastAsia="宋体" w:cs="宋体"/>
                <w:b w:val="0"/>
                <w:bCs w:val="0"/>
                <w:color w:val="000000" w:themeColor="text1"/>
                <w:sz w:val="28"/>
                <w:szCs w:val="28"/>
                <w:highlight w:val="none"/>
                <w:lang w:eastAsia="zh-CN"/>
                <w14:textFill>
                  <w14:solidFill>
                    <w14:schemeClr w14:val="tx1"/>
                  </w14:solidFill>
                </w14:textFill>
              </w:rPr>
              <w:t>供应商</w:t>
            </w:r>
            <w:r>
              <w:rPr>
                <w:rFonts w:hint="eastAsia" w:ascii="宋体" w:hAnsi="宋体" w:eastAsia="宋体" w:cs="宋体"/>
                <w:b w:val="0"/>
                <w:bCs w:val="0"/>
                <w:color w:val="000000" w:themeColor="text1"/>
                <w:sz w:val="28"/>
                <w:szCs w:val="28"/>
                <w:highlight w:val="none"/>
                <w14:textFill>
                  <w14:solidFill>
                    <w14:schemeClr w14:val="tx1"/>
                  </w14:solidFill>
                </w14:textFill>
              </w:rPr>
              <w:t>均应使用CA数字证书加盖企业</w:t>
            </w:r>
            <w:r>
              <w:rPr>
                <w:rFonts w:hint="eastAsia" w:ascii="宋体" w:hAnsi="宋体" w:eastAsia="宋体" w:cs="宋体"/>
                <w:b w:val="0"/>
                <w:bCs w:val="0"/>
                <w:color w:val="000000" w:themeColor="text1"/>
                <w:sz w:val="28"/>
                <w:szCs w:val="28"/>
                <w:highlight w:val="none"/>
                <w:lang w:eastAsia="zh-CN"/>
                <w14:textFill>
                  <w14:solidFill>
                    <w14:schemeClr w14:val="tx1"/>
                  </w14:solidFill>
                </w14:textFill>
              </w:rPr>
              <w:t>电子公章</w:t>
            </w:r>
            <w:r>
              <w:rPr>
                <w:rFonts w:hint="eastAsia" w:ascii="宋体" w:hAnsi="宋体" w:eastAsia="宋体" w:cs="宋体"/>
                <w:b w:val="0"/>
                <w:bCs w:val="0"/>
                <w:color w:val="000000" w:themeColor="text1"/>
                <w:sz w:val="28"/>
                <w:szCs w:val="28"/>
                <w:highlight w:val="none"/>
                <w14:textFill>
                  <w14:solidFill>
                    <w14:schemeClr w14:val="tx1"/>
                  </w14:solidFill>
                </w14:textFill>
              </w:rPr>
              <w:t>和法定代表人章或签名（按格式要求）。</w:t>
            </w:r>
          </w:p>
          <w:p w14:paraId="1BFC16C2">
            <w:pPr>
              <w:keepNext w:val="0"/>
              <w:keepLines w:val="0"/>
              <w:pageBreakBefore w:val="0"/>
              <w:widowControl/>
              <w:suppressLineNumbers w:val="0"/>
              <w:wordWrap/>
              <w:topLinePunct w:val="0"/>
              <w:bidi w:val="0"/>
              <w:spacing w:line="560" w:lineRule="exact"/>
              <w:jc w:val="left"/>
              <w:rPr>
                <w:color w:val="000000" w:themeColor="text1"/>
                <w:highlight w:val="none"/>
                <w14:textFill>
                  <w14:solidFill>
                    <w14:schemeClr w14:val="tx1"/>
                  </w14:solidFill>
                </w14:textFill>
              </w:rPr>
            </w:pPr>
            <w:r>
              <w:rPr>
                <w:rFonts w:hint="eastAsia" w:ascii="宋体" w:hAnsi="宋体" w:eastAsia="宋体" w:cs="宋体"/>
                <w:color w:val="000000" w:themeColor="text1"/>
                <w:kern w:val="0"/>
                <w:sz w:val="28"/>
                <w:szCs w:val="28"/>
                <w:highlight w:val="none"/>
                <w:lang w:val="en-US" w:eastAsia="zh-CN" w:bidi="ar"/>
                <w14:textFill>
                  <w14:solidFill>
                    <w14:schemeClr w14:val="tx1"/>
                  </w14:solidFill>
                </w14:textFill>
              </w:rPr>
              <w:t xml:space="preserve">8、分公司参加投标时，文件法定代表人签字或签章的， </w:t>
            </w:r>
          </w:p>
          <w:p w14:paraId="78CD372C">
            <w:pPr>
              <w:keepNext w:val="0"/>
              <w:keepLines w:val="0"/>
              <w:pageBreakBefore w:val="0"/>
              <w:widowControl/>
              <w:suppressLineNumbers w:val="0"/>
              <w:wordWrap/>
              <w:topLinePunct w:val="0"/>
              <w:bidi w:val="0"/>
              <w:spacing w:line="560" w:lineRule="exact"/>
              <w:jc w:val="left"/>
              <w:rPr>
                <w:rFonts w:hint="eastAsia" w:ascii="宋体" w:hAnsi="宋体" w:eastAsia="宋体" w:cs="宋体"/>
                <w:color w:val="000000" w:themeColor="text1"/>
                <w:kern w:val="0"/>
                <w:sz w:val="28"/>
                <w:szCs w:val="28"/>
                <w:highlight w:val="none"/>
                <w:lang w:val="en-US" w:eastAsia="zh-CN" w:bidi="ar"/>
                <w14:textFill>
                  <w14:solidFill>
                    <w14:schemeClr w14:val="tx1"/>
                  </w14:solidFill>
                </w14:textFill>
              </w:rPr>
            </w:pPr>
            <w:r>
              <w:rPr>
                <w:rFonts w:hint="eastAsia" w:ascii="宋体" w:hAnsi="宋体" w:eastAsia="宋体" w:cs="宋体"/>
                <w:color w:val="000000" w:themeColor="text1"/>
                <w:kern w:val="0"/>
                <w:sz w:val="28"/>
                <w:szCs w:val="28"/>
                <w:highlight w:val="none"/>
                <w:lang w:val="en-US" w:eastAsia="zh-CN" w:bidi="ar"/>
                <w14:textFill>
                  <w14:solidFill>
                    <w14:schemeClr w14:val="tx1"/>
                  </w14:solidFill>
                </w14:textFill>
              </w:rPr>
              <w:t>负责人签字或签章也予以认可。</w:t>
            </w:r>
          </w:p>
          <w:p w14:paraId="5E20F768">
            <w:pPr>
              <w:keepNext w:val="0"/>
              <w:keepLines w:val="0"/>
              <w:pageBreakBefore w:val="0"/>
              <w:widowControl/>
              <w:numPr>
                <w:ilvl w:val="0"/>
                <w:numId w:val="0"/>
              </w:numPr>
              <w:suppressLineNumbers w:val="0"/>
              <w:wordWrap/>
              <w:topLinePunct w:val="0"/>
              <w:bidi w:val="0"/>
              <w:spacing w:line="560" w:lineRule="exact"/>
              <w:ind w:leftChars="0"/>
              <w:jc w:val="left"/>
              <w:rPr>
                <w:rFonts w:hint="default" w:ascii="宋体" w:hAnsi="宋体" w:cs="宋体"/>
                <w:color w:val="000000" w:themeColor="text1"/>
                <w:kern w:val="0"/>
                <w:sz w:val="28"/>
                <w:szCs w:val="28"/>
                <w:highlight w:val="green"/>
                <w:lang w:val="en-US" w:eastAsia="zh-CN" w:bidi="ar"/>
                <w14:textFill>
                  <w14:solidFill>
                    <w14:schemeClr w14:val="tx1"/>
                  </w14:solidFill>
                </w14:textFill>
              </w:rPr>
            </w:pPr>
            <w:r>
              <w:rPr>
                <w:rFonts w:hint="eastAsia" w:ascii="宋体" w:hAnsi="宋体" w:cs="宋体"/>
                <w:color w:val="000000" w:themeColor="text1"/>
                <w:kern w:val="0"/>
                <w:sz w:val="28"/>
                <w:szCs w:val="28"/>
                <w:highlight w:val="none"/>
                <w:lang w:val="en-US" w:eastAsia="zh-CN" w:bidi="ar"/>
                <w14:textFill>
                  <w14:solidFill>
                    <w14:schemeClr w14:val="tx1"/>
                  </w14:solidFill>
                </w14:textFill>
              </w:rPr>
              <w:t>9、相同品牌产品且通过资格审查、符合性审查的不同投标人参加同一标项下投标的，按一家投标人计算，评审后得分最高的同品牌投标人获得中标人推荐资格,评审得分相同的，按照投标报价由低到高顺序排列,得分且投标报价相同的，按技术指标优劣顺序排列，其他同品牌投标人不作为中标候选人。</w:t>
            </w:r>
          </w:p>
        </w:tc>
      </w:tr>
      <w:tr w14:paraId="3A6C23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14:paraId="6358FB5A">
            <w:pPr>
              <w:keepNext w:val="0"/>
              <w:keepLines w:val="0"/>
              <w:pageBreakBefore w:val="0"/>
              <w:kinsoku/>
              <w:wordWrap/>
              <w:overflowPunct/>
              <w:topLinePunct w:val="0"/>
              <w:bidi w:val="0"/>
              <w:adjustRightInd/>
              <w:snapToGrid/>
              <w:spacing w:line="560" w:lineRule="exact"/>
              <w:jc w:val="center"/>
              <w:rPr>
                <w:rFonts w:hint="default"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cs="宋体"/>
                <w:color w:val="000000" w:themeColor="text1"/>
                <w:sz w:val="28"/>
                <w:szCs w:val="28"/>
                <w:highlight w:val="none"/>
                <w:lang w:val="en-US" w:eastAsia="zh-CN"/>
                <w14:textFill>
                  <w14:solidFill>
                    <w14:schemeClr w14:val="tx1"/>
                  </w14:solidFill>
                </w14:textFill>
              </w:rPr>
              <w:t>33</w:t>
            </w:r>
          </w:p>
        </w:tc>
        <w:tc>
          <w:tcPr>
            <w:tcW w:w="2239" w:type="dxa"/>
            <w:tcBorders>
              <w:top w:val="single" w:color="auto" w:sz="4" w:space="0"/>
              <w:left w:val="single" w:color="auto" w:sz="4" w:space="0"/>
              <w:bottom w:val="single" w:color="auto" w:sz="4" w:space="0"/>
              <w:right w:val="single" w:color="auto" w:sz="4" w:space="0"/>
            </w:tcBorders>
            <w:vAlign w:val="center"/>
          </w:tcPr>
          <w:p w14:paraId="0E912545">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b/>
                <w:bCs w:val="0"/>
                <w:color w:val="000000" w:themeColor="text1"/>
                <w:sz w:val="28"/>
                <w:szCs w:val="28"/>
                <w:highlight w:val="none"/>
                <w14:textFill>
                  <w14:solidFill>
                    <w14:schemeClr w14:val="tx1"/>
                  </w14:solidFill>
                </w14:textFill>
              </w:rPr>
              <w:t>低于成本价不正当竞争预防措施</w:t>
            </w:r>
          </w:p>
        </w:tc>
        <w:tc>
          <w:tcPr>
            <w:tcW w:w="7297" w:type="dxa"/>
            <w:tcBorders>
              <w:top w:val="single" w:color="auto" w:sz="4" w:space="0"/>
              <w:left w:val="single" w:color="auto" w:sz="4" w:space="0"/>
              <w:bottom w:val="single" w:color="auto" w:sz="4" w:space="0"/>
              <w:right w:val="single" w:color="auto" w:sz="4" w:space="0"/>
            </w:tcBorders>
            <w:vAlign w:val="center"/>
          </w:tcPr>
          <w:p w14:paraId="7927E02E">
            <w:pPr>
              <w:pStyle w:val="166"/>
              <w:keepNext w:val="0"/>
              <w:keepLines w:val="0"/>
              <w:pageBreakBefore w:val="0"/>
              <w:kinsoku/>
              <w:wordWrap/>
              <w:overflowPunct/>
              <w:topLinePunct w:val="0"/>
              <w:bidi w:val="0"/>
              <w:spacing w:line="560" w:lineRule="exact"/>
              <w:ind w:leftChars="0" w:firstLine="0" w:firstLineChars="0"/>
              <w:rPr>
                <w:rFonts w:hint="eastAsia" w:ascii="宋体" w:hAnsi="宋体" w:eastAsia="宋体" w:cs="宋体"/>
                <w:bCs/>
                <w:color w:val="000000" w:themeColor="text1"/>
                <w:kern w:val="0"/>
                <w:sz w:val="28"/>
                <w:szCs w:val="28"/>
                <w:highlight w:val="none"/>
                <w14:textFill>
                  <w14:solidFill>
                    <w14:schemeClr w14:val="tx1"/>
                  </w14:solidFill>
                </w14:textFill>
              </w:rPr>
            </w:pPr>
            <w:r>
              <w:rPr>
                <w:rFonts w:hint="eastAsia" w:ascii="宋体" w:hAnsi="宋体" w:eastAsia="宋体" w:cs="宋体"/>
                <w:bCs/>
                <w:color w:val="000000" w:themeColor="text1"/>
                <w:kern w:val="0"/>
                <w:sz w:val="28"/>
                <w:szCs w:val="28"/>
                <w:highlight w:val="none"/>
                <w14:textFill>
                  <w14:solidFill>
                    <w14:schemeClr w14:val="tx1"/>
                  </w14:solidFill>
                </w14:textFill>
              </w:rPr>
              <w:t>在评标过程中，评标小组认为</w:t>
            </w:r>
            <w:r>
              <w:rPr>
                <w:rFonts w:hint="eastAsia" w:ascii="宋体" w:hAnsi="宋体" w:cs="宋体"/>
                <w:bCs/>
                <w:color w:val="000000" w:themeColor="text1"/>
                <w:kern w:val="0"/>
                <w:sz w:val="28"/>
                <w:szCs w:val="28"/>
                <w:highlight w:val="none"/>
                <w:lang w:eastAsia="zh-CN"/>
                <w14:textFill>
                  <w14:solidFill>
                    <w14:schemeClr w14:val="tx1"/>
                  </w14:solidFill>
                </w14:textFill>
              </w:rPr>
              <w:t>供应商</w:t>
            </w:r>
            <w:r>
              <w:rPr>
                <w:rFonts w:hint="eastAsia" w:ascii="宋体" w:hAnsi="宋体" w:eastAsia="宋体" w:cs="宋体"/>
                <w:bCs/>
                <w:color w:val="000000" w:themeColor="text1"/>
                <w:kern w:val="0"/>
                <w:sz w:val="28"/>
                <w:szCs w:val="28"/>
                <w:highlight w:val="none"/>
                <w14:textFill>
                  <w14:solidFill>
                    <w14:schemeClr w14:val="tx1"/>
                  </w14:solidFill>
                </w14:textFill>
              </w:rPr>
              <w:t>的报价明显低于其他通过符合性审查</w:t>
            </w:r>
            <w:r>
              <w:rPr>
                <w:rFonts w:hint="eastAsia" w:ascii="宋体" w:hAnsi="宋体" w:cs="宋体"/>
                <w:bCs/>
                <w:color w:val="000000" w:themeColor="text1"/>
                <w:kern w:val="0"/>
                <w:sz w:val="28"/>
                <w:szCs w:val="28"/>
                <w:highlight w:val="none"/>
                <w:lang w:eastAsia="zh-CN"/>
                <w14:textFill>
                  <w14:solidFill>
                    <w14:schemeClr w14:val="tx1"/>
                  </w14:solidFill>
                </w14:textFill>
              </w:rPr>
              <w:t>供应商</w:t>
            </w:r>
            <w:r>
              <w:rPr>
                <w:rFonts w:hint="eastAsia" w:ascii="宋体" w:hAnsi="宋体" w:eastAsia="宋体" w:cs="宋体"/>
                <w:bCs/>
                <w:color w:val="000000" w:themeColor="text1"/>
                <w:kern w:val="0"/>
                <w:sz w:val="28"/>
                <w:szCs w:val="28"/>
                <w:highlight w:val="none"/>
                <w14:textFill>
                  <w14:solidFill>
                    <w14:schemeClr w14:val="tx1"/>
                  </w14:solidFill>
                </w14:textFill>
              </w:rPr>
              <w:t>的报价，有可能影响产品质量或者不能诚信履约的，评标小组应当要求其在评标现场合理的时间内提供成本构成书面说明，并提交相关证明材料。</w:t>
            </w:r>
            <w:r>
              <w:rPr>
                <w:rFonts w:hint="eastAsia" w:ascii="宋体" w:hAnsi="宋体" w:cs="宋体"/>
                <w:bCs/>
                <w:color w:val="000000" w:themeColor="text1"/>
                <w:kern w:val="0"/>
                <w:sz w:val="28"/>
                <w:szCs w:val="28"/>
                <w:highlight w:val="none"/>
                <w:lang w:eastAsia="zh-CN"/>
                <w14:textFill>
                  <w14:solidFill>
                    <w14:schemeClr w14:val="tx1"/>
                  </w14:solidFill>
                </w14:textFill>
              </w:rPr>
              <w:t>供应商</w:t>
            </w:r>
            <w:r>
              <w:rPr>
                <w:rFonts w:hint="eastAsia" w:ascii="宋体" w:hAnsi="宋体" w:eastAsia="宋体" w:cs="宋体"/>
                <w:bCs/>
                <w:color w:val="000000" w:themeColor="text1"/>
                <w:kern w:val="0"/>
                <w:sz w:val="28"/>
                <w:szCs w:val="28"/>
                <w:highlight w:val="none"/>
                <w14:textFill>
                  <w14:solidFill>
                    <w14:schemeClr w14:val="tx1"/>
                  </w14:solidFill>
                </w14:textFill>
              </w:rPr>
              <w:t>书面说明应当按照国家财务会计制度的规定要求，逐项就</w:t>
            </w:r>
            <w:r>
              <w:rPr>
                <w:rFonts w:hint="eastAsia" w:ascii="宋体" w:hAnsi="宋体" w:cs="宋体"/>
                <w:bCs/>
                <w:color w:val="000000" w:themeColor="text1"/>
                <w:kern w:val="0"/>
                <w:sz w:val="28"/>
                <w:szCs w:val="28"/>
                <w:highlight w:val="none"/>
                <w:lang w:eastAsia="zh-CN"/>
                <w14:textFill>
                  <w14:solidFill>
                    <w14:schemeClr w14:val="tx1"/>
                  </w14:solidFill>
                </w14:textFill>
              </w:rPr>
              <w:t>供应商</w:t>
            </w:r>
            <w:r>
              <w:rPr>
                <w:rFonts w:hint="eastAsia" w:ascii="宋体" w:hAnsi="宋体" w:eastAsia="宋体" w:cs="宋体"/>
                <w:bCs/>
                <w:color w:val="000000" w:themeColor="text1"/>
                <w:kern w:val="0"/>
                <w:sz w:val="28"/>
                <w:szCs w:val="28"/>
                <w:highlight w:val="none"/>
                <w14:textFill>
                  <w14:solidFill>
                    <w14:schemeClr w14:val="tx1"/>
                  </w14:solidFill>
                </w14:textFill>
              </w:rPr>
              <w:t>提供的货物、工程和服务的主营业务成本（应根据</w:t>
            </w:r>
            <w:r>
              <w:rPr>
                <w:rFonts w:hint="eastAsia" w:ascii="宋体" w:hAnsi="宋体" w:cs="宋体"/>
                <w:bCs/>
                <w:color w:val="000000" w:themeColor="text1"/>
                <w:kern w:val="0"/>
                <w:sz w:val="28"/>
                <w:szCs w:val="28"/>
                <w:highlight w:val="none"/>
                <w:lang w:eastAsia="zh-CN"/>
                <w14:textFill>
                  <w14:solidFill>
                    <w14:schemeClr w14:val="tx1"/>
                  </w14:solidFill>
                </w14:textFill>
              </w:rPr>
              <w:t>供应商</w:t>
            </w:r>
            <w:r>
              <w:rPr>
                <w:rFonts w:hint="eastAsia" w:ascii="宋体" w:hAnsi="宋体" w:eastAsia="宋体" w:cs="宋体"/>
                <w:bCs/>
                <w:color w:val="000000" w:themeColor="text1"/>
                <w:kern w:val="0"/>
                <w:sz w:val="28"/>
                <w:szCs w:val="28"/>
                <w:highlight w:val="none"/>
                <w14:textFill>
                  <w14:solidFill>
                    <w14:schemeClr w14:val="tx1"/>
                  </w14:solidFill>
                </w14:textFill>
              </w:rPr>
              <w:t>企业类型予以区别）、税金及附加、销售费用、管理费用、财务费用等成本构成事项详细陈述。</w:t>
            </w:r>
          </w:p>
          <w:p w14:paraId="4764427C">
            <w:pPr>
              <w:pStyle w:val="166"/>
              <w:keepNext w:val="0"/>
              <w:keepLines w:val="0"/>
              <w:pageBreakBefore w:val="0"/>
              <w:kinsoku/>
              <w:wordWrap/>
              <w:overflowPunct/>
              <w:topLinePunct w:val="0"/>
              <w:bidi w:val="0"/>
              <w:spacing w:line="560" w:lineRule="exact"/>
              <w:ind w:leftChars="0" w:firstLine="0" w:firstLineChars="0"/>
              <w:rPr>
                <w:rFonts w:hint="eastAsia" w:ascii="宋体" w:hAnsi="宋体" w:eastAsia="宋体" w:cs="宋体"/>
                <w:bCs/>
                <w:color w:val="000000" w:themeColor="text1"/>
                <w:kern w:val="0"/>
                <w:sz w:val="28"/>
                <w:szCs w:val="28"/>
                <w:highlight w:val="none"/>
                <w14:textFill>
                  <w14:solidFill>
                    <w14:schemeClr w14:val="tx1"/>
                  </w14:solidFill>
                </w14:textFill>
              </w:rPr>
            </w:pPr>
            <w:r>
              <w:rPr>
                <w:rFonts w:hint="eastAsia" w:ascii="宋体" w:hAnsi="宋体" w:cs="宋体"/>
                <w:bCs/>
                <w:color w:val="000000" w:themeColor="text1"/>
                <w:kern w:val="0"/>
                <w:sz w:val="28"/>
                <w:szCs w:val="28"/>
                <w:highlight w:val="none"/>
                <w:lang w:eastAsia="zh-CN"/>
                <w14:textFill>
                  <w14:solidFill>
                    <w14:schemeClr w14:val="tx1"/>
                  </w14:solidFill>
                </w14:textFill>
              </w:rPr>
              <w:t>供应商</w:t>
            </w:r>
            <w:r>
              <w:rPr>
                <w:rFonts w:hint="eastAsia" w:ascii="宋体" w:hAnsi="宋体" w:eastAsia="宋体" w:cs="宋体"/>
                <w:bCs/>
                <w:color w:val="000000" w:themeColor="text1"/>
                <w:kern w:val="0"/>
                <w:sz w:val="28"/>
                <w:szCs w:val="28"/>
                <w:highlight w:val="none"/>
                <w14:textFill>
                  <w14:solidFill>
                    <w14:schemeClr w14:val="tx1"/>
                  </w14:solidFill>
                </w14:textFill>
              </w:rPr>
              <w:t>书面说明应当签字确认或者加盖公章，否则无效。书面说明的签字确认，</w:t>
            </w:r>
            <w:r>
              <w:rPr>
                <w:rFonts w:hint="eastAsia" w:ascii="宋体" w:hAnsi="宋体" w:cs="宋体"/>
                <w:bCs/>
                <w:color w:val="000000" w:themeColor="text1"/>
                <w:kern w:val="0"/>
                <w:sz w:val="28"/>
                <w:szCs w:val="28"/>
                <w:highlight w:val="none"/>
                <w:lang w:eastAsia="zh-CN"/>
                <w14:textFill>
                  <w14:solidFill>
                    <w14:schemeClr w14:val="tx1"/>
                  </w14:solidFill>
                </w14:textFill>
              </w:rPr>
              <w:t>供应商</w:t>
            </w:r>
            <w:r>
              <w:rPr>
                <w:rFonts w:hint="eastAsia" w:ascii="宋体" w:hAnsi="宋体" w:eastAsia="宋体" w:cs="宋体"/>
                <w:bCs/>
                <w:color w:val="000000" w:themeColor="text1"/>
                <w:kern w:val="0"/>
                <w:sz w:val="28"/>
                <w:szCs w:val="28"/>
                <w:highlight w:val="none"/>
                <w14:textFill>
                  <w14:solidFill>
                    <w14:schemeClr w14:val="tx1"/>
                  </w14:solidFill>
                </w14:textFill>
              </w:rPr>
              <w:t>为法人的，由其法定代表人或者代理人签字确认；</w:t>
            </w:r>
            <w:r>
              <w:rPr>
                <w:rFonts w:hint="eastAsia" w:ascii="宋体" w:hAnsi="宋体" w:cs="宋体"/>
                <w:bCs/>
                <w:color w:val="000000" w:themeColor="text1"/>
                <w:kern w:val="0"/>
                <w:sz w:val="28"/>
                <w:szCs w:val="28"/>
                <w:highlight w:val="none"/>
                <w:lang w:eastAsia="zh-CN"/>
                <w14:textFill>
                  <w14:solidFill>
                    <w14:schemeClr w14:val="tx1"/>
                  </w14:solidFill>
                </w14:textFill>
              </w:rPr>
              <w:t>供应商</w:t>
            </w:r>
            <w:r>
              <w:rPr>
                <w:rFonts w:hint="eastAsia" w:ascii="宋体" w:hAnsi="宋体" w:eastAsia="宋体" w:cs="宋体"/>
                <w:bCs/>
                <w:color w:val="000000" w:themeColor="text1"/>
                <w:kern w:val="0"/>
                <w:sz w:val="28"/>
                <w:szCs w:val="28"/>
                <w:highlight w:val="none"/>
                <w14:textFill>
                  <w14:solidFill>
                    <w14:schemeClr w14:val="tx1"/>
                  </w14:solidFill>
                </w14:textFill>
              </w:rPr>
              <w:t>为其他组织的，由其主要负责人或者代理人签字确认；</w:t>
            </w:r>
            <w:r>
              <w:rPr>
                <w:rFonts w:hint="eastAsia" w:ascii="宋体" w:hAnsi="宋体" w:cs="宋体"/>
                <w:bCs/>
                <w:color w:val="000000" w:themeColor="text1"/>
                <w:kern w:val="0"/>
                <w:sz w:val="28"/>
                <w:szCs w:val="28"/>
                <w:highlight w:val="none"/>
                <w:lang w:eastAsia="zh-CN"/>
                <w14:textFill>
                  <w14:solidFill>
                    <w14:schemeClr w14:val="tx1"/>
                  </w14:solidFill>
                </w14:textFill>
              </w:rPr>
              <w:t>供应商</w:t>
            </w:r>
            <w:r>
              <w:rPr>
                <w:rFonts w:hint="eastAsia" w:ascii="宋体" w:hAnsi="宋体" w:eastAsia="宋体" w:cs="宋体"/>
                <w:bCs/>
                <w:color w:val="000000" w:themeColor="text1"/>
                <w:kern w:val="0"/>
                <w:sz w:val="28"/>
                <w:szCs w:val="28"/>
                <w:highlight w:val="none"/>
                <w14:textFill>
                  <w14:solidFill>
                    <w14:schemeClr w14:val="tx1"/>
                  </w14:solidFill>
                </w14:textFill>
              </w:rPr>
              <w:t>为自然人的，由其本人或者代理人签字确认。</w:t>
            </w:r>
          </w:p>
          <w:p w14:paraId="6A9F842F">
            <w:pPr>
              <w:keepNext w:val="0"/>
              <w:keepLines w:val="0"/>
              <w:pageBreakBefore w:val="0"/>
              <w:kinsoku/>
              <w:wordWrap/>
              <w:overflowPunct/>
              <w:topLinePunct w:val="0"/>
              <w:bidi w:val="0"/>
              <w:adjustRightInd/>
              <w:snapToGrid/>
              <w:spacing w:line="560" w:lineRule="exact"/>
              <w:jc w:val="left"/>
              <w:rPr>
                <w:rFonts w:hint="eastAsia" w:ascii="宋体" w:hAnsi="宋体" w:eastAsia="宋体" w:cs="宋体"/>
                <w:b/>
                <w:bCs/>
                <w:color w:val="000000" w:themeColor="text1"/>
                <w:sz w:val="28"/>
                <w:szCs w:val="28"/>
                <w:highlight w:val="none"/>
                <w:lang w:val="en-US" w:eastAsia="zh-CN"/>
                <w14:textFill>
                  <w14:solidFill>
                    <w14:schemeClr w14:val="tx1"/>
                  </w14:solidFill>
                </w14:textFill>
              </w:rPr>
            </w:pPr>
            <w:r>
              <w:rPr>
                <w:rFonts w:hint="eastAsia" w:ascii="宋体" w:hAnsi="宋体" w:cs="宋体"/>
                <w:bCs/>
                <w:color w:val="000000" w:themeColor="text1"/>
                <w:kern w:val="0"/>
                <w:sz w:val="28"/>
                <w:szCs w:val="28"/>
                <w:highlight w:val="none"/>
                <w:lang w:eastAsia="zh-CN"/>
                <w14:textFill>
                  <w14:solidFill>
                    <w14:schemeClr w14:val="tx1"/>
                  </w14:solidFill>
                </w14:textFill>
              </w:rPr>
              <w:t>供应商</w:t>
            </w:r>
            <w:r>
              <w:rPr>
                <w:rFonts w:hint="eastAsia" w:ascii="宋体" w:hAnsi="宋体" w:eastAsia="宋体" w:cs="宋体"/>
                <w:bCs/>
                <w:color w:val="000000" w:themeColor="text1"/>
                <w:kern w:val="0"/>
                <w:sz w:val="28"/>
                <w:szCs w:val="28"/>
                <w:highlight w:val="none"/>
                <w14:textFill>
                  <w14:solidFill>
                    <w14:schemeClr w14:val="tx1"/>
                  </w14:solidFill>
                </w14:textFill>
              </w:rPr>
              <w:t>提供书面说明后，评标小组应当结合采购项目采购需求、专业实际情况、</w:t>
            </w:r>
            <w:r>
              <w:rPr>
                <w:rFonts w:hint="eastAsia" w:ascii="宋体" w:hAnsi="宋体" w:cs="宋体"/>
                <w:bCs/>
                <w:color w:val="000000" w:themeColor="text1"/>
                <w:kern w:val="0"/>
                <w:sz w:val="28"/>
                <w:szCs w:val="28"/>
                <w:highlight w:val="none"/>
                <w:lang w:eastAsia="zh-CN"/>
                <w14:textFill>
                  <w14:solidFill>
                    <w14:schemeClr w14:val="tx1"/>
                  </w14:solidFill>
                </w14:textFill>
              </w:rPr>
              <w:t>供应商</w:t>
            </w:r>
            <w:r>
              <w:rPr>
                <w:rFonts w:hint="eastAsia" w:ascii="宋体" w:hAnsi="宋体" w:eastAsia="宋体" w:cs="宋体"/>
                <w:bCs/>
                <w:color w:val="000000" w:themeColor="text1"/>
                <w:kern w:val="0"/>
                <w:sz w:val="28"/>
                <w:szCs w:val="28"/>
                <w:highlight w:val="none"/>
                <w14:textFill>
                  <w14:solidFill>
                    <w14:schemeClr w14:val="tx1"/>
                  </w14:solidFill>
                </w14:textFill>
              </w:rPr>
              <w:t>财务状况报告、与其他</w:t>
            </w:r>
            <w:r>
              <w:rPr>
                <w:rFonts w:hint="eastAsia" w:ascii="宋体" w:hAnsi="宋体" w:cs="宋体"/>
                <w:bCs/>
                <w:color w:val="000000" w:themeColor="text1"/>
                <w:kern w:val="0"/>
                <w:sz w:val="28"/>
                <w:szCs w:val="28"/>
                <w:highlight w:val="none"/>
                <w:lang w:eastAsia="zh-CN"/>
                <w14:textFill>
                  <w14:solidFill>
                    <w14:schemeClr w14:val="tx1"/>
                  </w14:solidFill>
                </w14:textFill>
              </w:rPr>
              <w:t>供应商</w:t>
            </w:r>
            <w:r>
              <w:rPr>
                <w:rFonts w:hint="eastAsia" w:ascii="宋体" w:hAnsi="宋体" w:eastAsia="宋体" w:cs="宋体"/>
                <w:bCs/>
                <w:color w:val="000000" w:themeColor="text1"/>
                <w:kern w:val="0"/>
                <w:sz w:val="28"/>
                <w:szCs w:val="28"/>
                <w:highlight w:val="none"/>
                <w14:textFill>
                  <w14:solidFill>
                    <w14:schemeClr w14:val="tx1"/>
                  </w14:solidFill>
                </w14:textFill>
              </w:rPr>
              <w:t>比较情况等就</w:t>
            </w:r>
            <w:r>
              <w:rPr>
                <w:rFonts w:hint="eastAsia" w:ascii="宋体" w:hAnsi="宋体" w:cs="宋体"/>
                <w:bCs/>
                <w:color w:val="000000" w:themeColor="text1"/>
                <w:kern w:val="0"/>
                <w:sz w:val="28"/>
                <w:szCs w:val="28"/>
                <w:highlight w:val="none"/>
                <w:lang w:eastAsia="zh-CN"/>
                <w14:textFill>
                  <w14:solidFill>
                    <w14:schemeClr w14:val="tx1"/>
                  </w14:solidFill>
                </w14:textFill>
              </w:rPr>
              <w:t>供应商</w:t>
            </w:r>
            <w:r>
              <w:rPr>
                <w:rFonts w:hint="eastAsia" w:ascii="宋体" w:hAnsi="宋体" w:eastAsia="宋体" w:cs="宋体"/>
                <w:bCs/>
                <w:color w:val="000000" w:themeColor="text1"/>
                <w:kern w:val="0"/>
                <w:sz w:val="28"/>
                <w:szCs w:val="28"/>
                <w:highlight w:val="none"/>
                <w14:textFill>
                  <w14:solidFill>
                    <w14:schemeClr w14:val="tx1"/>
                  </w14:solidFill>
                </w14:textFill>
              </w:rPr>
              <w:t>书面说明进行审查评价。</w:t>
            </w:r>
            <w:r>
              <w:rPr>
                <w:rFonts w:hint="eastAsia" w:ascii="宋体" w:hAnsi="宋体" w:cs="宋体"/>
                <w:bCs/>
                <w:color w:val="000000" w:themeColor="text1"/>
                <w:kern w:val="0"/>
                <w:sz w:val="28"/>
                <w:szCs w:val="28"/>
                <w:highlight w:val="none"/>
                <w:lang w:eastAsia="zh-CN"/>
                <w14:textFill>
                  <w14:solidFill>
                    <w14:schemeClr w14:val="tx1"/>
                  </w14:solidFill>
                </w14:textFill>
              </w:rPr>
              <w:t>供应商</w:t>
            </w:r>
            <w:r>
              <w:rPr>
                <w:rFonts w:hint="eastAsia" w:ascii="宋体" w:hAnsi="宋体" w:eastAsia="宋体" w:cs="宋体"/>
                <w:bCs/>
                <w:color w:val="000000" w:themeColor="text1"/>
                <w:kern w:val="0"/>
                <w:sz w:val="28"/>
                <w:szCs w:val="28"/>
                <w:highlight w:val="none"/>
                <w14:textFill>
                  <w14:solidFill>
                    <w14:schemeClr w14:val="tx1"/>
                  </w14:solidFill>
                </w14:textFill>
              </w:rPr>
              <w:t>拒绝或者变相拒绝提供有效书面说明或者书面说明不能证明其报价合理性的，评标小组应当将其投标文件作为无效处理。</w:t>
            </w:r>
          </w:p>
        </w:tc>
      </w:tr>
      <w:tr w14:paraId="5F8E2B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14:paraId="29DAAAAE">
            <w:pPr>
              <w:keepNext w:val="0"/>
              <w:keepLines w:val="0"/>
              <w:pageBreakBefore w:val="0"/>
              <w:kinsoku/>
              <w:wordWrap/>
              <w:overflowPunct/>
              <w:topLinePunct w:val="0"/>
              <w:bidi w:val="0"/>
              <w:adjustRightInd/>
              <w:snapToGrid/>
              <w:spacing w:line="560" w:lineRule="exact"/>
              <w:jc w:val="center"/>
              <w:rPr>
                <w:rFonts w:hint="eastAsia" w:ascii="宋体" w:hAnsi="宋体" w:cs="宋体"/>
                <w:color w:val="000000" w:themeColor="text1"/>
                <w:sz w:val="28"/>
                <w:szCs w:val="28"/>
                <w:highlight w:val="none"/>
                <w:lang w:val="en-US" w:eastAsia="zh-CN"/>
                <w14:textFill>
                  <w14:solidFill>
                    <w14:schemeClr w14:val="tx1"/>
                  </w14:solidFill>
                </w14:textFill>
              </w:rPr>
            </w:pPr>
            <w:r>
              <w:rPr>
                <w:rFonts w:hint="eastAsia" w:ascii="宋体" w:hAnsi="宋体" w:cs="宋体"/>
                <w:color w:val="000000" w:themeColor="text1"/>
                <w:sz w:val="28"/>
                <w:szCs w:val="28"/>
                <w:highlight w:val="none"/>
                <w:lang w:val="en-US" w:eastAsia="zh-CN"/>
                <w14:textFill>
                  <w14:solidFill>
                    <w14:schemeClr w14:val="tx1"/>
                  </w14:solidFill>
                </w14:textFill>
              </w:rPr>
              <w:t>34</w:t>
            </w:r>
          </w:p>
        </w:tc>
        <w:tc>
          <w:tcPr>
            <w:tcW w:w="2239" w:type="dxa"/>
            <w:tcBorders>
              <w:top w:val="single" w:color="auto" w:sz="4" w:space="0"/>
              <w:left w:val="single" w:color="auto" w:sz="4" w:space="0"/>
              <w:bottom w:val="single" w:color="auto" w:sz="4" w:space="0"/>
              <w:right w:val="single" w:color="auto" w:sz="4" w:space="0"/>
            </w:tcBorders>
            <w:vAlign w:val="center"/>
          </w:tcPr>
          <w:p w14:paraId="297D391A">
            <w:pPr>
              <w:pStyle w:val="159"/>
              <w:keepLines w:val="0"/>
              <w:pageBreakBefore w:val="0"/>
              <w:widowControl w:val="0"/>
              <w:shd w:val="clear" w:color="auto" w:fill="auto"/>
              <w:kinsoku/>
              <w:wordWrap/>
              <w:overflowPunct/>
              <w:topLinePunct w:val="0"/>
              <w:bidi w:val="0"/>
              <w:adjustRightInd/>
              <w:snapToGrid/>
              <w:spacing w:line="360" w:lineRule="auto"/>
              <w:ind w:left="0" w:leftChars="0" w:firstLine="0" w:firstLineChars="0"/>
              <w:jc w:val="center"/>
              <w:textAlignment w:val="auto"/>
              <w:rPr>
                <w:rFonts w:hint="eastAsia" w:ascii="宋体" w:hAnsi="宋体" w:eastAsia="宋体" w:cs="宋体"/>
                <w:b/>
                <w:bCs w:val="0"/>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lang w:eastAsia="zh-CN"/>
                <w14:textFill>
                  <w14:solidFill>
                    <w14:schemeClr w14:val="tx1"/>
                  </w14:solidFill>
                </w14:textFill>
              </w:rPr>
              <w:t>评审</w:t>
            </w:r>
            <w:r>
              <w:rPr>
                <w:rFonts w:hint="eastAsia" w:ascii="宋体" w:hAnsi="宋体" w:eastAsia="宋体" w:cs="宋体"/>
                <w:b/>
                <w:bCs/>
                <w:color w:val="000000" w:themeColor="text1"/>
                <w:sz w:val="28"/>
                <w:szCs w:val="28"/>
                <w:highlight w:val="none"/>
                <w14:textFill>
                  <w14:solidFill>
                    <w14:schemeClr w14:val="tx1"/>
                  </w14:solidFill>
                </w14:textFill>
              </w:rPr>
              <w:t>小组的组建及确定方式</w:t>
            </w:r>
          </w:p>
        </w:tc>
        <w:tc>
          <w:tcPr>
            <w:tcW w:w="7297" w:type="dxa"/>
            <w:tcBorders>
              <w:top w:val="single" w:color="auto" w:sz="4" w:space="0"/>
              <w:left w:val="single" w:color="auto" w:sz="4" w:space="0"/>
              <w:bottom w:val="single" w:color="auto" w:sz="4" w:space="0"/>
              <w:right w:val="single" w:color="auto" w:sz="4" w:space="0"/>
            </w:tcBorders>
            <w:vAlign w:val="center"/>
          </w:tcPr>
          <w:p w14:paraId="1CB8D820">
            <w:pPr>
              <w:pStyle w:val="159"/>
              <w:keepLines w:val="0"/>
              <w:pageBreakBefore w:val="0"/>
              <w:widowControl w:val="0"/>
              <w:shd w:val="clear" w:color="auto" w:fill="auto"/>
              <w:kinsoku/>
              <w:wordWrap/>
              <w:overflowPunct/>
              <w:topLinePunct w:val="0"/>
              <w:bidi w:val="0"/>
              <w:adjustRightInd/>
              <w:snapToGrid/>
              <w:spacing w:line="360" w:lineRule="auto"/>
              <w:ind w:left="0" w:leftChars="0" w:firstLine="0" w:firstLineChars="0"/>
              <w:textAlignment w:val="auto"/>
              <w:rPr>
                <w:rFonts w:hint="eastAsia" w:ascii="宋体" w:hAnsi="宋体" w:cs="宋体"/>
                <w:bCs/>
                <w:color w:val="000000" w:themeColor="text1"/>
                <w:kern w:val="0"/>
                <w:sz w:val="28"/>
                <w:szCs w:val="28"/>
                <w:highlight w:val="none"/>
                <w:lang w:eastAsia="zh-CN"/>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采购人依法组建</w:t>
            </w:r>
            <w:r>
              <w:rPr>
                <w:rFonts w:hint="eastAsia" w:ascii="宋体" w:hAnsi="宋体" w:eastAsia="宋体" w:cs="宋体"/>
                <w:color w:val="000000" w:themeColor="text1"/>
                <w:sz w:val="28"/>
                <w:szCs w:val="28"/>
                <w:highlight w:val="none"/>
                <w:lang w:eastAsia="zh-CN"/>
                <w14:textFill>
                  <w14:solidFill>
                    <w14:schemeClr w14:val="tx1"/>
                  </w14:solidFill>
                </w14:textFill>
              </w:rPr>
              <w:t>评审</w:t>
            </w:r>
            <w:r>
              <w:rPr>
                <w:rFonts w:hint="eastAsia" w:ascii="宋体" w:hAnsi="宋体" w:eastAsia="宋体" w:cs="宋体"/>
                <w:color w:val="000000" w:themeColor="text1"/>
                <w:sz w:val="28"/>
                <w:szCs w:val="28"/>
                <w:highlight w:val="none"/>
                <w14:textFill>
                  <w14:solidFill>
                    <w14:schemeClr w14:val="tx1"/>
                  </w14:solidFill>
                </w14:textFill>
              </w:rPr>
              <w:t>小组共</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sz w:val="28"/>
                <w:szCs w:val="28"/>
                <w:highlight w:val="none"/>
                <w:u w:val="single"/>
                <w:lang w:val="en-US" w:eastAsia="zh-CN"/>
                <w14:textFill>
                  <w14:solidFill>
                    <w14:schemeClr w14:val="tx1"/>
                  </w14:solidFill>
                </w14:textFill>
              </w:rPr>
              <w:t>5</w:t>
            </w:r>
            <w:r>
              <w:rPr>
                <w:rFonts w:hint="eastAsia" w:ascii="宋体" w:hAnsi="宋体" w:eastAsia="宋体" w:cs="宋体"/>
                <w:color w:val="000000" w:themeColor="text1"/>
                <w:sz w:val="28"/>
                <w:szCs w:val="28"/>
                <w:highlight w:val="none"/>
                <w14:textFill>
                  <w14:solidFill>
                    <w14:schemeClr w14:val="tx1"/>
                  </w14:solidFill>
                </w14:textFill>
              </w:rPr>
              <w:t>人，</w:t>
            </w:r>
            <w:r>
              <w:rPr>
                <w:rFonts w:hint="eastAsia" w:ascii="宋体" w:hAnsi="宋体" w:eastAsia="宋体" w:cs="宋体"/>
                <w:color w:val="000000" w:themeColor="text1"/>
                <w:sz w:val="28"/>
                <w:szCs w:val="28"/>
                <w:highlight w:val="none"/>
                <w:lang w:val="en-US" w:eastAsia="zh-CN"/>
                <w14:textFill>
                  <w14:solidFill>
                    <w14:schemeClr w14:val="tx1"/>
                  </w14:solidFill>
                </w14:textFill>
              </w:rPr>
              <w:t>由</w:t>
            </w:r>
            <w:r>
              <w:rPr>
                <w:rFonts w:hint="eastAsia" w:ascii="宋体" w:hAnsi="宋体" w:eastAsia="宋体" w:cs="宋体"/>
                <w:color w:val="000000" w:themeColor="text1"/>
                <w:sz w:val="28"/>
                <w:szCs w:val="28"/>
                <w:highlight w:val="none"/>
                <w14:textFill>
                  <w14:solidFill>
                    <w14:schemeClr w14:val="tx1"/>
                  </w14:solidFill>
                </w14:textFill>
              </w:rPr>
              <w:t>采购人代表</w:t>
            </w:r>
            <w:r>
              <w:rPr>
                <w:rFonts w:hint="eastAsia" w:ascii="宋体" w:hAnsi="宋体" w:eastAsia="宋体" w:cs="宋体"/>
                <w:color w:val="000000" w:themeColor="text1"/>
                <w:sz w:val="28"/>
                <w:szCs w:val="28"/>
                <w:highlight w:val="none"/>
                <w:u w:val="none"/>
                <w:lang w:eastAsia="zh-CN"/>
                <w14:textFill>
                  <w14:solidFill>
                    <w14:schemeClr w14:val="tx1"/>
                  </w14:solidFill>
                </w14:textFill>
              </w:rPr>
              <w:t>（</w:t>
            </w:r>
            <w:r>
              <w:rPr>
                <w:rFonts w:hint="eastAsia" w:ascii="宋体" w:hAnsi="宋体" w:eastAsia="宋体" w:cs="宋体"/>
                <w:color w:val="000000" w:themeColor="text1"/>
                <w:sz w:val="28"/>
                <w:szCs w:val="28"/>
                <w:highlight w:val="none"/>
                <w:u w:val="none"/>
                <w:lang w:val="en-US" w:eastAsia="zh-CN"/>
                <w14:textFill>
                  <w14:solidFill>
                    <w14:schemeClr w14:val="tx1"/>
                  </w14:solidFill>
                </w14:textFill>
              </w:rPr>
              <w:t>如有</w:t>
            </w:r>
            <w:r>
              <w:rPr>
                <w:rFonts w:hint="eastAsia" w:ascii="宋体" w:hAnsi="宋体" w:eastAsia="宋体" w:cs="宋体"/>
                <w:color w:val="000000" w:themeColor="text1"/>
                <w:sz w:val="28"/>
                <w:szCs w:val="28"/>
                <w:highlight w:val="none"/>
                <w:u w:val="none"/>
                <w:lang w:eastAsia="zh-CN"/>
                <w14:textFill>
                  <w14:solidFill>
                    <w14:schemeClr w14:val="tx1"/>
                  </w14:solidFill>
                </w14:textFill>
              </w:rPr>
              <w:t>）</w:t>
            </w:r>
            <w:r>
              <w:rPr>
                <w:rFonts w:hint="eastAsia" w:ascii="宋体" w:hAnsi="宋体" w:eastAsia="宋体" w:cs="宋体"/>
                <w:color w:val="000000" w:themeColor="text1"/>
                <w:sz w:val="28"/>
                <w:szCs w:val="28"/>
                <w:highlight w:val="none"/>
                <w14:textFill>
                  <w14:solidFill>
                    <w14:schemeClr w14:val="tx1"/>
                  </w14:solidFill>
                </w14:textFill>
              </w:rPr>
              <w:t>和专家评委组成</w:t>
            </w:r>
            <w:r>
              <w:rPr>
                <w:rFonts w:hint="eastAsia" w:ascii="宋体" w:hAnsi="宋体" w:eastAsia="宋体" w:cs="宋体"/>
                <w:color w:val="000000" w:themeColor="text1"/>
                <w:sz w:val="28"/>
                <w:szCs w:val="28"/>
                <w:highlight w:val="none"/>
                <w:u w:val="none"/>
                <w:lang w:eastAsia="zh-CN"/>
                <w14:textFill>
                  <w14:solidFill>
                    <w14:schemeClr w14:val="tx1"/>
                  </w14:solidFill>
                </w14:textFill>
              </w:rPr>
              <w:t>。</w:t>
            </w:r>
            <w:r>
              <w:rPr>
                <w:rFonts w:hint="eastAsia" w:ascii="宋体" w:hAnsi="宋体" w:eastAsia="宋体" w:cs="宋体"/>
                <w:color w:val="000000" w:themeColor="text1"/>
                <w:sz w:val="28"/>
                <w:szCs w:val="28"/>
                <w:highlight w:val="none"/>
                <w14:textFill>
                  <w14:solidFill>
                    <w14:schemeClr w14:val="tx1"/>
                  </w14:solidFill>
                </w14:textFill>
              </w:rPr>
              <w:t>谈判小组确定方式：</w:t>
            </w:r>
            <w:r>
              <w:rPr>
                <w:rFonts w:hint="eastAsia" w:ascii="宋体" w:hAnsi="宋体" w:eastAsia="宋体" w:cs="宋体"/>
                <w:color w:val="000000" w:themeColor="text1"/>
                <w:sz w:val="28"/>
                <w:szCs w:val="28"/>
                <w:highlight w:val="none"/>
                <w:u w:val="single"/>
                <w:lang w:eastAsia="zh-CN"/>
                <w14:textFill>
                  <w14:solidFill>
                    <w14:schemeClr w14:val="tx1"/>
                  </w14:solidFill>
                </w14:textFill>
              </w:rPr>
              <w:t>新疆政府采购网</w:t>
            </w:r>
            <w:r>
              <w:rPr>
                <w:rFonts w:hint="eastAsia" w:ascii="宋体" w:hAnsi="宋体" w:eastAsia="宋体" w:cs="宋体"/>
                <w:color w:val="000000" w:themeColor="text1"/>
                <w:sz w:val="28"/>
                <w:szCs w:val="28"/>
                <w:highlight w:val="none"/>
                <w:u w:val="single"/>
                <w14:textFill>
                  <w14:solidFill>
                    <w14:schemeClr w14:val="tx1"/>
                  </w14:solidFill>
                </w14:textFill>
              </w:rPr>
              <w:t>专家库中随机抽取确定</w:t>
            </w:r>
            <w:r>
              <w:rPr>
                <w:rFonts w:hint="eastAsia" w:ascii="宋体" w:hAnsi="宋体" w:eastAsia="宋体" w:cs="宋体"/>
                <w:color w:val="000000" w:themeColor="text1"/>
                <w:sz w:val="28"/>
                <w:szCs w:val="28"/>
                <w:highlight w:val="none"/>
                <w:u w:val="single"/>
                <w:lang w:val="en-US" w:eastAsia="zh-CN"/>
                <w14:textFill>
                  <w14:solidFill>
                    <w14:schemeClr w14:val="tx1"/>
                  </w14:solidFill>
                </w14:textFill>
              </w:rPr>
              <w:t xml:space="preserve"> </w:t>
            </w:r>
          </w:p>
        </w:tc>
      </w:tr>
    </w:tbl>
    <w:p w14:paraId="4644DD04">
      <w:pPr>
        <w:pStyle w:val="143"/>
        <w:pageBreakBefore w:val="0"/>
        <w:wordWrap/>
        <w:topLinePunct w:val="0"/>
        <w:bidi w:val="0"/>
        <w:spacing w:line="560" w:lineRule="exact"/>
        <w:rPr>
          <w:rFonts w:ascii="宋体" w:hAnsi="宋体" w:cs="宋体"/>
          <w:color w:val="000000" w:themeColor="text1"/>
          <w:kern w:val="0"/>
          <w:sz w:val="28"/>
          <w:szCs w:val="28"/>
          <w:highlight w:val="none"/>
          <w14:textFill>
            <w14:solidFill>
              <w14:schemeClr w14:val="tx1"/>
            </w14:solidFill>
          </w14:textFill>
        </w:rPr>
        <w:sectPr>
          <w:footerReference r:id="rId17" w:type="default"/>
          <w:pgSz w:w="11906" w:h="16838"/>
          <w:pgMar w:top="1134" w:right="1134" w:bottom="1134" w:left="1134" w:header="720" w:footer="720" w:gutter="0"/>
          <w:pgNumType w:fmt="decimal" w:start="1"/>
          <w:cols w:space="720" w:num="1"/>
          <w:docGrid w:type="lines" w:linePitch="331" w:charSpace="0"/>
        </w:sectPr>
      </w:pPr>
      <w:r>
        <w:rPr>
          <w:b/>
          <w:bCs w:val="0"/>
          <w:color w:val="000000" w:themeColor="text1"/>
          <w:kern w:val="0"/>
          <w:sz w:val="28"/>
          <w:szCs w:val="28"/>
          <w:highlight w:val="none"/>
          <w14:textFill>
            <w14:solidFill>
              <w14:schemeClr w14:val="tx1"/>
            </w14:solidFill>
          </w14:textFill>
        </w:rPr>
        <w:t>注：</w:t>
      </w:r>
      <w:r>
        <w:rPr>
          <w:rFonts w:hint="eastAsia" w:ascii="宋体" w:hAnsi="宋体" w:cs="宋体"/>
          <w:b/>
          <w:bCs w:val="0"/>
          <w:color w:val="000000" w:themeColor="text1"/>
          <w:kern w:val="0"/>
          <w:sz w:val="28"/>
          <w:szCs w:val="28"/>
          <w:highlight w:val="none"/>
          <w14:textFill>
            <w14:solidFill>
              <w14:schemeClr w14:val="tx1"/>
            </w14:solidFill>
          </w14:textFill>
        </w:rPr>
        <w:t>本表内容与招标文件其它内容不一致的，应当以本表内容为准。</w:t>
      </w:r>
    </w:p>
    <w:p w14:paraId="4D9EBEB5">
      <w:pPr>
        <w:pStyle w:val="4"/>
        <w:keepNext w:val="0"/>
        <w:keepLines w:val="0"/>
        <w:pageBreakBefore w:val="0"/>
        <w:kinsoku/>
        <w:wordWrap/>
        <w:overflowPunct/>
        <w:topLinePunct w:val="0"/>
        <w:bidi w:val="0"/>
        <w:adjustRightInd/>
        <w:snapToGrid/>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一、</w:t>
      </w:r>
      <w:r>
        <w:rPr>
          <w:rFonts w:hint="eastAsia" w:ascii="宋体" w:hAnsi="宋体" w:eastAsia="宋体" w:cs="宋体"/>
          <w:color w:val="000000" w:themeColor="text1"/>
          <w:sz w:val="28"/>
          <w:szCs w:val="28"/>
          <w:highlight w:val="none"/>
          <w:lang w:eastAsia="zh-CN"/>
          <w14:textFill>
            <w14:solidFill>
              <w14:schemeClr w14:val="tx1"/>
            </w14:solidFill>
          </w14:textFill>
        </w:rPr>
        <w:t>供应商</w:t>
      </w:r>
      <w:r>
        <w:rPr>
          <w:rFonts w:hint="eastAsia" w:ascii="宋体" w:hAnsi="宋体" w:eastAsia="宋体" w:cs="宋体"/>
          <w:color w:val="000000" w:themeColor="text1"/>
          <w:sz w:val="28"/>
          <w:szCs w:val="28"/>
          <w:highlight w:val="none"/>
          <w14:textFill>
            <w14:solidFill>
              <w14:schemeClr w14:val="tx1"/>
            </w14:solidFill>
          </w14:textFill>
        </w:rPr>
        <w:t>须知正文</w:t>
      </w:r>
    </w:p>
    <w:p w14:paraId="3EB1FBAD">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1.适用范围</w:t>
      </w:r>
    </w:p>
    <w:p w14:paraId="5163AF24">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1.1适用法律：本项目采购人、采购代理机构、</w:t>
      </w:r>
      <w:r>
        <w:rPr>
          <w:rFonts w:hint="eastAsia" w:ascii="宋体" w:hAnsi="宋体" w:cs="宋体"/>
          <w:color w:val="000000" w:themeColor="text1"/>
          <w:sz w:val="28"/>
          <w:szCs w:val="28"/>
          <w:highlight w:val="none"/>
          <w:lang w:eastAsia="zh-CN"/>
          <w14:textFill>
            <w14:solidFill>
              <w14:schemeClr w14:val="tx1"/>
            </w14:solidFill>
          </w14:textFill>
        </w:rPr>
        <w:t>供应商</w:t>
      </w:r>
      <w:r>
        <w:rPr>
          <w:rFonts w:hint="eastAsia" w:ascii="宋体" w:hAnsi="宋体" w:eastAsia="宋体" w:cs="宋体"/>
          <w:color w:val="000000" w:themeColor="text1"/>
          <w:sz w:val="28"/>
          <w:szCs w:val="28"/>
          <w:highlight w:val="none"/>
          <w14:textFill>
            <w14:solidFill>
              <w14:schemeClr w14:val="tx1"/>
            </w14:solidFill>
          </w14:textFill>
        </w:rPr>
        <w:t>、评标委员会的相关行为均受《中华人民共和国政府采购法》、《中华人民共和国政府采购法实施条例》、《政府采购货物和货物招标投标管理办法》及本项目本级和上级财政部门政府采购有关规定的约束和保护。</w:t>
      </w:r>
    </w:p>
    <w:p w14:paraId="24756959">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1.2本招标文件</w:t>
      </w:r>
      <w:r>
        <w:rPr>
          <w:rFonts w:hint="eastAsia" w:ascii="宋体" w:hAnsi="宋体" w:eastAsia="宋体" w:cs="宋体"/>
          <w:color w:val="000000" w:themeColor="text1"/>
          <w:spacing w:val="-6"/>
          <w:sz w:val="28"/>
          <w:szCs w:val="28"/>
          <w:highlight w:val="none"/>
          <w14:textFill>
            <w14:solidFill>
              <w14:schemeClr w14:val="tx1"/>
            </w14:solidFill>
          </w14:textFill>
        </w:rPr>
        <w:t>适用于本项目的所有采购程序和环节（法律、法规另有规定的，从其规定）。</w:t>
      </w:r>
    </w:p>
    <w:p w14:paraId="737DB8FB">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2.定义</w:t>
      </w:r>
    </w:p>
    <w:p w14:paraId="4E202A24">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b w:val="0"/>
          <w:bCs/>
          <w:color w:val="000000" w:themeColor="text1"/>
          <w:sz w:val="28"/>
          <w:szCs w:val="28"/>
          <w:highlight w:val="none"/>
          <w14:textFill>
            <w14:solidFill>
              <w14:schemeClr w14:val="tx1"/>
            </w14:solidFill>
          </w14:textFill>
        </w:rPr>
      </w:pPr>
      <w:r>
        <w:rPr>
          <w:rFonts w:hint="eastAsia" w:ascii="宋体" w:hAnsi="宋体" w:eastAsia="宋体" w:cs="宋体"/>
          <w:b w:val="0"/>
          <w:bCs/>
          <w:color w:val="000000" w:themeColor="text1"/>
          <w:sz w:val="28"/>
          <w:szCs w:val="28"/>
          <w:highlight w:val="none"/>
          <w14:textFill>
            <w14:solidFill>
              <w14:schemeClr w14:val="tx1"/>
            </w14:solidFill>
          </w14:textFill>
        </w:rPr>
        <w:t>2.1“采购人”是指依法进行政府采购的国家机关、事业单位、团体组织。</w:t>
      </w:r>
    </w:p>
    <w:p w14:paraId="06F9BA28">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b w:val="0"/>
          <w:bCs/>
          <w:color w:val="000000" w:themeColor="text1"/>
          <w:sz w:val="28"/>
          <w:szCs w:val="28"/>
          <w:highlight w:val="none"/>
          <w14:textFill>
            <w14:solidFill>
              <w14:schemeClr w14:val="tx1"/>
            </w14:solidFill>
          </w14:textFill>
        </w:rPr>
      </w:pPr>
      <w:r>
        <w:rPr>
          <w:rFonts w:hint="eastAsia" w:ascii="宋体" w:hAnsi="宋体" w:eastAsia="宋体" w:cs="宋体"/>
          <w:b w:val="0"/>
          <w:bCs/>
          <w:color w:val="000000" w:themeColor="text1"/>
          <w:sz w:val="28"/>
          <w:szCs w:val="28"/>
          <w:highlight w:val="none"/>
          <w14:textFill>
            <w14:solidFill>
              <w14:schemeClr w14:val="tx1"/>
            </w14:solidFill>
          </w14:textFill>
        </w:rPr>
        <w:t>2.2“采购代理机构” 指政府采购集中采购机构和集中采购机构以外的采购代理机构。</w:t>
      </w:r>
    </w:p>
    <w:p w14:paraId="5FB43534">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b w:val="0"/>
          <w:bCs/>
          <w:color w:val="000000" w:themeColor="text1"/>
          <w:sz w:val="28"/>
          <w:szCs w:val="28"/>
          <w:highlight w:val="none"/>
          <w14:textFill>
            <w14:solidFill>
              <w14:schemeClr w14:val="tx1"/>
            </w14:solidFill>
          </w14:textFill>
        </w:rPr>
      </w:pPr>
      <w:r>
        <w:rPr>
          <w:rFonts w:hint="eastAsia" w:ascii="宋体" w:hAnsi="宋体" w:eastAsia="宋体" w:cs="宋体"/>
          <w:b w:val="0"/>
          <w:bCs/>
          <w:color w:val="000000" w:themeColor="text1"/>
          <w:sz w:val="28"/>
          <w:szCs w:val="28"/>
          <w:highlight w:val="none"/>
          <w14:textFill>
            <w14:solidFill>
              <w14:schemeClr w14:val="tx1"/>
            </w14:solidFill>
          </w14:textFill>
        </w:rPr>
        <w:t>2.3“供应商”是指向采购人提供货物、工程或者服务的法人、其他组织或者自然人。</w:t>
      </w:r>
    </w:p>
    <w:p w14:paraId="728973B0">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2.4“</w:t>
      </w:r>
      <w:r>
        <w:rPr>
          <w:rFonts w:hint="eastAsia" w:ascii="宋体" w:hAnsi="宋体" w:cs="宋体"/>
          <w:color w:val="000000" w:themeColor="text1"/>
          <w:sz w:val="28"/>
          <w:szCs w:val="28"/>
          <w:highlight w:val="none"/>
          <w:lang w:eastAsia="zh-CN"/>
          <w14:textFill>
            <w14:solidFill>
              <w14:schemeClr w14:val="tx1"/>
            </w14:solidFill>
          </w14:textFill>
        </w:rPr>
        <w:t>供应商</w:t>
      </w:r>
      <w:r>
        <w:rPr>
          <w:rFonts w:hint="eastAsia" w:ascii="宋体" w:hAnsi="宋体" w:eastAsia="宋体" w:cs="宋体"/>
          <w:color w:val="000000" w:themeColor="text1"/>
          <w:sz w:val="28"/>
          <w:szCs w:val="28"/>
          <w:highlight w:val="none"/>
          <w14:textFill>
            <w14:solidFill>
              <w14:schemeClr w14:val="tx1"/>
            </w14:solidFill>
          </w14:textFill>
        </w:rPr>
        <w:t>”是指响应招标、参加投标竞争的法人、非法人组织或者自然人。</w:t>
      </w:r>
    </w:p>
    <w:p w14:paraId="5020DA1E">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b w:val="0"/>
          <w:bCs/>
          <w:color w:val="000000" w:themeColor="text1"/>
          <w:sz w:val="28"/>
          <w:szCs w:val="28"/>
          <w:highlight w:val="none"/>
          <w14:textFill>
            <w14:solidFill>
              <w14:schemeClr w14:val="tx1"/>
            </w14:solidFill>
          </w14:textFill>
        </w:rPr>
      </w:pPr>
      <w:r>
        <w:rPr>
          <w:rFonts w:hint="eastAsia" w:ascii="宋体" w:hAnsi="宋体" w:eastAsia="宋体" w:cs="宋体"/>
          <w:b w:val="0"/>
          <w:bCs/>
          <w:color w:val="000000" w:themeColor="text1"/>
          <w:sz w:val="28"/>
          <w:szCs w:val="28"/>
          <w:highlight w:val="none"/>
          <w14:textFill>
            <w14:solidFill>
              <w14:schemeClr w14:val="tx1"/>
            </w14:solidFill>
          </w14:textFill>
        </w:rPr>
        <w:t>2.5“货物”是指各种形态和种类的物品，包括原材料、燃料、设备、产品等。</w:t>
      </w:r>
    </w:p>
    <w:p w14:paraId="410F01E7">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2.6“售后服务” 是指商品出售以后所提供的各种服务，包含但不限于</w:t>
      </w:r>
      <w:r>
        <w:rPr>
          <w:rFonts w:hint="eastAsia" w:ascii="宋体" w:hAnsi="宋体" w:cs="宋体"/>
          <w:color w:val="000000" w:themeColor="text1"/>
          <w:sz w:val="28"/>
          <w:szCs w:val="28"/>
          <w:highlight w:val="none"/>
          <w:lang w:eastAsia="zh-CN"/>
          <w14:textFill>
            <w14:solidFill>
              <w14:schemeClr w14:val="tx1"/>
            </w14:solidFill>
          </w14:textFill>
        </w:rPr>
        <w:t>供应商</w:t>
      </w:r>
      <w:r>
        <w:rPr>
          <w:rFonts w:hint="eastAsia" w:ascii="宋体" w:hAnsi="宋体" w:eastAsia="宋体" w:cs="宋体"/>
          <w:color w:val="000000" w:themeColor="text1"/>
          <w:sz w:val="28"/>
          <w:szCs w:val="28"/>
          <w:highlight w:val="none"/>
          <w14:textFill>
            <w14:solidFill>
              <w14:schemeClr w14:val="tx1"/>
            </w14:solidFill>
          </w14:textFill>
        </w:rPr>
        <w:t>须承担的备品备件、包装、运输、装卸、保险、货到就位以及安装、调试、培训、保修以及其他各种服务。</w:t>
      </w:r>
    </w:p>
    <w:p w14:paraId="7EBBEC42">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2.7“书面形式”是指合同书、信件和数据电文（包括电报、电传、传真、电子数据交换和电子邮件）等可以有形地表现所载内容的形式。</w:t>
      </w:r>
    </w:p>
    <w:p w14:paraId="3AE41E36">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2.8“实质性要求”是指招标文件中已经指明不满足则投标无效的条款，或者不能负偏离的条款，或者采购需求中带“★”的条款。</w:t>
      </w:r>
    </w:p>
    <w:p w14:paraId="7CFDCC9D">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2.9 “正偏离”，是指投标文件对招标文件“采购需求”中有关条款作出的响应优于条款要求并有利于采购人的情形。</w:t>
      </w:r>
    </w:p>
    <w:p w14:paraId="4622BEE4">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2.10“负偏离”，是指投标文件对招标文件“采购需求”中有关条款作出的响应不满足条款要求，导致采购人要求不能得到满足的情形。</w:t>
      </w:r>
    </w:p>
    <w:p w14:paraId="53CF554F">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2.11“允许负偏离的条款”是指采购需求中的不属于“实质性要求”的条款。</w:t>
      </w:r>
    </w:p>
    <w:p w14:paraId="7A1446DD">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3.</w:t>
      </w:r>
      <w:r>
        <w:rPr>
          <w:rFonts w:hint="eastAsia" w:ascii="宋体" w:hAnsi="宋体" w:cs="宋体"/>
          <w:color w:val="000000" w:themeColor="text1"/>
          <w:sz w:val="28"/>
          <w:szCs w:val="28"/>
          <w:highlight w:val="none"/>
          <w:lang w:eastAsia="zh-CN"/>
          <w14:textFill>
            <w14:solidFill>
              <w14:schemeClr w14:val="tx1"/>
            </w14:solidFill>
          </w14:textFill>
        </w:rPr>
        <w:t>供应商</w:t>
      </w:r>
      <w:r>
        <w:rPr>
          <w:rFonts w:hint="eastAsia" w:ascii="宋体" w:hAnsi="宋体" w:eastAsia="宋体" w:cs="宋体"/>
          <w:color w:val="000000" w:themeColor="text1"/>
          <w:sz w:val="28"/>
          <w:szCs w:val="28"/>
          <w:highlight w:val="none"/>
          <w14:textFill>
            <w14:solidFill>
              <w14:schemeClr w14:val="tx1"/>
            </w14:solidFill>
          </w14:textFill>
        </w:rPr>
        <w:t>的资格要求</w:t>
      </w:r>
    </w:p>
    <w:p w14:paraId="2481A962">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lang w:eastAsia="zh-CN"/>
          <w14:textFill>
            <w14:solidFill>
              <w14:schemeClr w14:val="tx1"/>
            </w14:solidFill>
          </w14:textFill>
        </w:rPr>
        <w:t>供应商</w:t>
      </w:r>
      <w:r>
        <w:rPr>
          <w:rFonts w:hint="eastAsia" w:ascii="宋体" w:hAnsi="宋体" w:eastAsia="宋体" w:cs="宋体"/>
          <w:color w:val="000000" w:themeColor="text1"/>
          <w:sz w:val="28"/>
          <w:szCs w:val="28"/>
          <w:highlight w:val="none"/>
          <w14:textFill>
            <w14:solidFill>
              <w14:schemeClr w14:val="tx1"/>
            </w14:solidFill>
          </w14:textFill>
        </w:rPr>
        <w:t>的资格要求详见“招标公告”。</w:t>
      </w:r>
    </w:p>
    <w:p w14:paraId="382794FF">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4.投标委托</w:t>
      </w:r>
    </w:p>
    <w:p w14:paraId="704B0419">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lang w:eastAsia="zh-CN"/>
          <w14:textFill>
            <w14:solidFill>
              <w14:schemeClr w14:val="tx1"/>
            </w14:solidFill>
          </w14:textFill>
        </w:rPr>
        <w:t>供应商</w:t>
      </w:r>
      <w:r>
        <w:rPr>
          <w:rFonts w:hint="eastAsia" w:ascii="宋体" w:hAnsi="宋体" w:eastAsia="宋体" w:cs="宋体"/>
          <w:color w:val="000000" w:themeColor="text1"/>
          <w:sz w:val="28"/>
          <w:szCs w:val="28"/>
          <w:highlight w:val="none"/>
          <w14:textFill>
            <w14:solidFill>
              <w14:schemeClr w14:val="tx1"/>
            </w14:solidFill>
          </w14:textFill>
        </w:rPr>
        <w:t>代表参加投标活动过程中必须携带个人有效身份证件。如</w:t>
      </w:r>
      <w:r>
        <w:rPr>
          <w:rFonts w:hint="eastAsia" w:ascii="宋体" w:hAnsi="宋体" w:cs="宋体"/>
          <w:color w:val="000000" w:themeColor="text1"/>
          <w:sz w:val="28"/>
          <w:szCs w:val="28"/>
          <w:highlight w:val="none"/>
          <w:lang w:eastAsia="zh-CN"/>
          <w14:textFill>
            <w14:solidFill>
              <w14:schemeClr w14:val="tx1"/>
            </w14:solidFill>
          </w14:textFill>
        </w:rPr>
        <w:t>供应商</w:t>
      </w:r>
      <w:r>
        <w:rPr>
          <w:rFonts w:hint="eastAsia" w:ascii="宋体" w:hAnsi="宋体" w:eastAsia="宋体" w:cs="宋体"/>
          <w:color w:val="000000" w:themeColor="text1"/>
          <w:sz w:val="28"/>
          <w:szCs w:val="28"/>
          <w:highlight w:val="none"/>
          <w14:textFill>
            <w14:solidFill>
              <w14:schemeClr w14:val="tx1"/>
            </w14:solidFill>
          </w14:textFill>
        </w:rPr>
        <w:t>代表不是法定代表人，须持有法定代表人授权委托书（正本用原件，副本用复印件，按第六章要求格式填写）。</w:t>
      </w:r>
    </w:p>
    <w:p w14:paraId="2C708BAB">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5.投标费用</w:t>
      </w:r>
    </w:p>
    <w:p w14:paraId="214245EA">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投标费用：</w:t>
      </w:r>
      <w:r>
        <w:rPr>
          <w:rFonts w:hint="eastAsia" w:ascii="宋体" w:hAnsi="宋体" w:cs="宋体"/>
          <w:color w:val="000000" w:themeColor="text1"/>
          <w:sz w:val="28"/>
          <w:szCs w:val="28"/>
          <w:highlight w:val="none"/>
          <w:lang w:eastAsia="zh-CN"/>
          <w14:textFill>
            <w14:solidFill>
              <w14:schemeClr w14:val="tx1"/>
            </w14:solidFill>
          </w14:textFill>
        </w:rPr>
        <w:t>供应商</w:t>
      </w:r>
      <w:r>
        <w:rPr>
          <w:rFonts w:hint="eastAsia" w:ascii="宋体" w:hAnsi="宋体" w:eastAsia="宋体" w:cs="宋体"/>
          <w:color w:val="000000" w:themeColor="text1"/>
          <w:sz w:val="28"/>
          <w:szCs w:val="28"/>
          <w:highlight w:val="none"/>
          <w14:textFill>
            <w14:solidFill>
              <w14:schemeClr w14:val="tx1"/>
            </w14:solidFill>
          </w14:textFill>
        </w:rPr>
        <w:t>应承担参与本次采购活动有关的所有费用，包括但不限于勘查现场、编制投标文件、参加澄清说明、签订合同等，不论投标结果如何，均应自行承担。</w:t>
      </w:r>
    </w:p>
    <w:p w14:paraId="112A7E8C">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6.联合体投标</w:t>
      </w:r>
    </w:p>
    <w:p w14:paraId="4604AF35">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6.1本项目是否接受联合体投标，详见“</w:t>
      </w:r>
      <w:r>
        <w:rPr>
          <w:rFonts w:hint="eastAsia" w:ascii="宋体" w:hAnsi="宋体" w:cs="宋体"/>
          <w:color w:val="000000" w:themeColor="text1"/>
          <w:sz w:val="28"/>
          <w:szCs w:val="28"/>
          <w:highlight w:val="none"/>
          <w:lang w:eastAsia="zh-CN"/>
          <w14:textFill>
            <w14:solidFill>
              <w14:schemeClr w14:val="tx1"/>
            </w14:solidFill>
          </w14:textFill>
        </w:rPr>
        <w:t>供应商</w:t>
      </w:r>
      <w:r>
        <w:rPr>
          <w:rFonts w:hint="eastAsia" w:ascii="宋体" w:hAnsi="宋体" w:eastAsia="宋体" w:cs="宋体"/>
          <w:color w:val="000000" w:themeColor="text1"/>
          <w:sz w:val="28"/>
          <w:szCs w:val="28"/>
          <w:highlight w:val="none"/>
          <w14:textFill>
            <w14:solidFill>
              <w14:schemeClr w14:val="tx1"/>
            </w14:solidFill>
          </w14:textFill>
        </w:rPr>
        <w:t>须知前附表”。</w:t>
      </w:r>
    </w:p>
    <w:p w14:paraId="163ADDA4">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6.2如接受联合体投标，联合体投标要求详见“</w:t>
      </w:r>
      <w:r>
        <w:rPr>
          <w:rFonts w:hint="eastAsia" w:ascii="宋体" w:hAnsi="宋体" w:cs="宋体"/>
          <w:bCs/>
          <w:color w:val="000000" w:themeColor="text1"/>
          <w:sz w:val="28"/>
          <w:szCs w:val="28"/>
          <w:highlight w:val="none"/>
          <w:lang w:eastAsia="zh-CN"/>
          <w14:textFill>
            <w14:solidFill>
              <w14:schemeClr w14:val="tx1"/>
            </w14:solidFill>
          </w14:textFill>
        </w:rPr>
        <w:t>供应商</w:t>
      </w:r>
      <w:r>
        <w:rPr>
          <w:rFonts w:hint="eastAsia" w:ascii="宋体" w:hAnsi="宋体" w:eastAsia="宋体" w:cs="宋体"/>
          <w:bCs/>
          <w:color w:val="000000" w:themeColor="text1"/>
          <w:sz w:val="28"/>
          <w:szCs w:val="28"/>
          <w:highlight w:val="none"/>
          <w14:textFill>
            <w14:solidFill>
              <w14:schemeClr w14:val="tx1"/>
            </w14:solidFill>
          </w14:textFill>
        </w:rPr>
        <w:t>须知前附表”。</w:t>
      </w:r>
    </w:p>
    <w:p w14:paraId="5D740FFB">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shd w:val="clear" w:color="auto" w:fill="FFFFFF"/>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6.3根据《政府采购促进中小企业发展管理办法》（财库[2020]46号）第九条规定，接受大中型企业与小微企业组成联合体的采购项目，对于联合协议约定小微企业的合同份额占到合同总金额 30%以上的，采购人、采购代理机构应当对联合体的报价给予 4%-6%（工程项目为 1%—2%）的扣除，用扣除后的价格参加评审。组成联合体的小微企业与联合体内其他企业、分包企业之间存在直接控股、管理关系的，不享受价格扣除优惠政策。</w:t>
      </w:r>
    </w:p>
    <w:p w14:paraId="3BBD0FA0">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7.转包与分包             </w:t>
      </w:r>
    </w:p>
    <w:p w14:paraId="5455B2D1">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b w:val="0"/>
          <w:bCs/>
          <w:color w:val="000000" w:themeColor="text1"/>
          <w:sz w:val="28"/>
          <w:szCs w:val="28"/>
          <w:highlight w:val="none"/>
          <w14:textFill>
            <w14:solidFill>
              <w14:schemeClr w14:val="tx1"/>
            </w14:solidFill>
          </w14:textFill>
        </w:rPr>
      </w:pPr>
      <w:r>
        <w:rPr>
          <w:rFonts w:hint="eastAsia" w:ascii="宋体" w:hAnsi="宋体" w:eastAsia="宋体" w:cs="宋体"/>
          <w:b w:val="0"/>
          <w:bCs/>
          <w:color w:val="000000" w:themeColor="text1"/>
          <w:sz w:val="28"/>
          <w:szCs w:val="28"/>
          <w:highlight w:val="none"/>
          <w14:textFill>
            <w14:solidFill>
              <w14:schemeClr w14:val="tx1"/>
            </w14:solidFill>
          </w14:textFill>
        </w:rPr>
        <w:t>7.1本项目是否允许分包详见“</w:t>
      </w:r>
      <w:r>
        <w:rPr>
          <w:rFonts w:hint="eastAsia" w:ascii="宋体" w:hAnsi="宋体" w:cs="宋体"/>
          <w:b w:val="0"/>
          <w:bCs/>
          <w:color w:val="000000" w:themeColor="text1"/>
          <w:sz w:val="28"/>
          <w:szCs w:val="28"/>
          <w:highlight w:val="none"/>
          <w:lang w:eastAsia="zh-CN"/>
          <w14:textFill>
            <w14:solidFill>
              <w14:schemeClr w14:val="tx1"/>
            </w14:solidFill>
          </w14:textFill>
        </w:rPr>
        <w:t>供应商</w:t>
      </w:r>
      <w:r>
        <w:rPr>
          <w:rFonts w:hint="eastAsia" w:ascii="宋体" w:hAnsi="宋体" w:eastAsia="宋体" w:cs="宋体"/>
          <w:b w:val="0"/>
          <w:bCs/>
          <w:color w:val="000000" w:themeColor="text1"/>
          <w:sz w:val="28"/>
          <w:szCs w:val="28"/>
          <w:highlight w:val="none"/>
          <w14:textFill>
            <w14:solidFill>
              <w14:schemeClr w14:val="tx1"/>
            </w14:solidFill>
          </w14:textFill>
        </w:rPr>
        <w:t>须知前附表”，本项目不允许违法分包。</w:t>
      </w:r>
      <w:r>
        <w:rPr>
          <w:rFonts w:hint="eastAsia" w:ascii="宋体" w:hAnsi="宋体" w:cs="宋体"/>
          <w:b w:val="0"/>
          <w:bCs/>
          <w:color w:val="000000" w:themeColor="text1"/>
          <w:sz w:val="28"/>
          <w:szCs w:val="28"/>
          <w:highlight w:val="none"/>
          <w:lang w:eastAsia="zh-CN"/>
          <w14:textFill>
            <w14:solidFill>
              <w14:schemeClr w14:val="tx1"/>
            </w14:solidFill>
          </w14:textFill>
        </w:rPr>
        <w:t>供应商</w:t>
      </w:r>
      <w:r>
        <w:rPr>
          <w:rFonts w:hint="eastAsia" w:ascii="宋体" w:hAnsi="宋体" w:eastAsia="宋体" w:cs="宋体"/>
          <w:b w:val="0"/>
          <w:bCs/>
          <w:color w:val="000000" w:themeColor="text1"/>
          <w:sz w:val="28"/>
          <w:szCs w:val="28"/>
          <w:highlight w:val="none"/>
          <w14:textFill>
            <w14:solidFill>
              <w14:schemeClr w14:val="tx1"/>
            </w14:solidFill>
          </w14:textFill>
        </w:rPr>
        <w:t>根据招标文件的规定和采购项目的实际情况，拟在中标后将中标项目的非主体、非关键性工作分包的，应当在投标文件中载明分包承担主体，分包承担主体应当具备相应资质条件且不得再次分包。</w:t>
      </w:r>
    </w:p>
    <w:p w14:paraId="61A5B883">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7.2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1716AAAE">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8.特别说明：</w:t>
      </w:r>
    </w:p>
    <w:p w14:paraId="431E46C6">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b w:val="0"/>
          <w:bCs/>
          <w:color w:val="000000" w:themeColor="text1"/>
          <w:sz w:val="28"/>
          <w:szCs w:val="28"/>
          <w:highlight w:val="none"/>
          <w14:textFill>
            <w14:solidFill>
              <w14:schemeClr w14:val="tx1"/>
            </w14:solidFill>
          </w14:textFill>
        </w:rPr>
      </w:pPr>
      <w:r>
        <w:rPr>
          <w:rFonts w:hint="eastAsia" w:ascii="宋体" w:hAnsi="宋体" w:eastAsia="宋体" w:cs="宋体"/>
          <w:b w:val="0"/>
          <w:bCs/>
          <w:color w:val="000000" w:themeColor="text1"/>
          <w:sz w:val="28"/>
          <w:szCs w:val="28"/>
          <w:highlight w:val="none"/>
          <w14:textFill>
            <w14:solidFill>
              <w14:schemeClr w14:val="tx1"/>
            </w14:solidFill>
          </w14:textFill>
        </w:rPr>
        <w:t>8.1如果本招标文件要求</w:t>
      </w:r>
      <w:r>
        <w:rPr>
          <w:rFonts w:hint="eastAsia" w:ascii="宋体" w:hAnsi="宋体" w:cs="宋体"/>
          <w:b w:val="0"/>
          <w:bCs/>
          <w:color w:val="000000" w:themeColor="text1"/>
          <w:sz w:val="28"/>
          <w:szCs w:val="28"/>
          <w:highlight w:val="none"/>
          <w:lang w:eastAsia="zh-CN"/>
          <w14:textFill>
            <w14:solidFill>
              <w14:schemeClr w14:val="tx1"/>
            </w14:solidFill>
          </w14:textFill>
        </w:rPr>
        <w:t>供应商</w:t>
      </w:r>
      <w:r>
        <w:rPr>
          <w:rFonts w:hint="eastAsia" w:ascii="宋体" w:hAnsi="宋体" w:eastAsia="宋体" w:cs="宋体"/>
          <w:b w:val="0"/>
          <w:bCs/>
          <w:color w:val="000000" w:themeColor="text1"/>
          <w:sz w:val="28"/>
          <w:szCs w:val="28"/>
          <w:highlight w:val="none"/>
          <w14:textFill>
            <w14:solidFill>
              <w14:schemeClr w14:val="tx1"/>
            </w14:solidFill>
          </w14:textFill>
        </w:rPr>
        <w:t>提供资格、信誉、荣誉、业绩与企业认证等材料的，则</w:t>
      </w:r>
      <w:r>
        <w:rPr>
          <w:rFonts w:hint="eastAsia" w:ascii="宋体" w:hAnsi="宋体" w:cs="宋体"/>
          <w:b w:val="0"/>
          <w:bCs/>
          <w:color w:val="000000" w:themeColor="text1"/>
          <w:sz w:val="28"/>
          <w:szCs w:val="28"/>
          <w:highlight w:val="none"/>
          <w:lang w:eastAsia="zh-CN"/>
          <w14:textFill>
            <w14:solidFill>
              <w14:schemeClr w14:val="tx1"/>
            </w14:solidFill>
          </w14:textFill>
        </w:rPr>
        <w:t>供应商</w:t>
      </w:r>
      <w:r>
        <w:rPr>
          <w:rFonts w:hint="eastAsia" w:ascii="宋体" w:hAnsi="宋体" w:eastAsia="宋体" w:cs="宋体"/>
          <w:b w:val="0"/>
          <w:bCs/>
          <w:color w:val="000000" w:themeColor="text1"/>
          <w:sz w:val="28"/>
          <w:szCs w:val="28"/>
          <w:highlight w:val="none"/>
          <w14:textFill>
            <w14:solidFill>
              <w14:schemeClr w14:val="tx1"/>
            </w14:solidFill>
          </w14:textFill>
        </w:rPr>
        <w:t>所提供的以上材料必须为</w:t>
      </w:r>
      <w:r>
        <w:rPr>
          <w:rFonts w:hint="eastAsia" w:ascii="宋体" w:hAnsi="宋体" w:cs="宋体"/>
          <w:b w:val="0"/>
          <w:bCs/>
          <w:color w:val="000000" w:themeColor="text1"/>
          <w:sz w:val="28"/>
          <w:szCs w:val="28"/>
          <w:highlight w:val="none"/>
          <w:lang w:eastAsia="zh-CN"/>
          <w14:textFill>
            <w14:solidFill>
              <w14:schemeClr w14:val="tx1"/>
            </w14:solidFill>
          </w14:textFill>
        </w:rPr>
        <w:t>供应商</w:t>
      </w:r>
      <w:r>
        <w:rPr>
          <w:rFonts w:hint="eastAsia" w:ascii="宋体" w:hAnsi="宋体" w:eastAsia="宋体" w:cs="宋体"/>
          <w:b w:val="0"/>
          <w:bCs/>
          <w:color w:val="000000" w:themeColor="text1"/>
          <w:sz w:val="28"/>
          <w:szCs w:val="28"/>
          <w:highlight w:val="none"/>
          <w14:textFill>
            <w14:solidFill>
              <w14:schemeClr w14:val="tx1"/>
            </w14:solidFill>
          </w14:textFill>
        </w:rPr>
        <w:t>所拥有。</w:t>
      </w:r>
    </w:p>
    <w:p w14:paraId="3B693801">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b w:val="0"/>
          <w:bCs/>
          <w:color w:val="000000" w:themeColor="text1"/>
          <w:sz w:val="28"/>
          <w:szCs w:val="28"/>
          <w:highlight w:val="none"/>
          <w14:textFill>
            <w14:solidFill>
              <w14:schemeClr w14:val="tx1"/>
            </w14:solidFill>
          </w14:textFill>
        </w:rPr>
      </w:pPr>
      <w:r>
        <w:rPr>
          <w:rFonts w:hint="eastAsia" w:ascii="宋体" w:hAnsi="宋体" w:eastAsia="宋体" w:cs="宋体"/>
          <w:b w:val="0"/>
          <w:bCs/>
          <w:color w:val="000000" w:themeColor="text1"/>
          <w:sz w:val="28"/>
          <w:szCs w:val="28"/>
          <w:highlight w:val="none"/>
          <w14:textFill>
            <w14:solidFill>
              <w14:schemeClr w14:val="tx1"/>
            </w14:solidFill>
          </w14:textFill>
        </w:rPr>
        <w:t>8.2</w:t>
      </w:r>
      <w:r>
        <w:rPr>
          <w:rFonts w:hint="eastAsia" w:ascii="宋体" w:hAnsi="宋体" w:cs="宋体"/>
          <w:b w:val="0"/>
          <w:bCs/>
          <w:color w:val="000000" w:themeColor="text1"/>
          <w:sz w:val="28"/>
          <w:szCs w:val="28"/>
          <w:highlight w:val="none"/>
          <w:lang w:eastAsia="zh-CN"/>
          <w14:textFill>
            <w14:solidFill>
              <w14:schemeClr w14:val="tx1"/>
            </w14:solidFill>
          </w14:textFill>
        </w:rPr>
        <w:t>供应商</w:t>
      </w:r>
      <w:r>
        <w:rPr>
          <w:rFonts w:hint="eastAsia" w:ascii="宋体" w:hAnsi="宋体" w:eastAsia="宋体" w:cs="宋体"/>
          <w:b w:val="0"/>
          <w:bCs/>
          <w:color w:val="000000" w:themeColor="text1"/>
          <w:sz w:val="28"/>
          <w:szCs w:val="28"/>
          <w:highlight w:val="none"/>
          <w14:textFill>
            <w14:solidFill>
              <w14:schemeClr w14:val="tx1"/>
            </w14:solidFill>
          </w14:textFill>
        </w:rPr>
        <w:t>应仔细阅读招标文件的所有内容，按照招标文件的要求提交投标文件，并对所提供的全部资料的真实性承担法律责任。</w:t>
      </w:r>
    </w:p>
    <w:p w14:paraId="2DCF919A">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b w:val="0"/>
          <w:bCs/>
          <w:color w:val="000000" w:themeColor="text1"/>
          <w:sz w:val="28"/>
          <w:szCs w:val="28"/>
          <w:highlight w:val="none"/>
          <w14:textFill>
            <w14:solidFill>
              <w14:schemeClr w14:val="tx1"/>
            </w14:solidFill>
          </w14:textFill>
        </w:rPr>
      </w:pPr>
      <w:r>
        <w:rPr>
          <w:rFonts w:hint="eastAsia" w:ascii="宋体" w:hAnsi="宋体" w:eastAsia="宋体" w:cs="宋体"/>
          <w:b w:val="0"/>
          <w:bCs/>
          <w:color w:val="000000" w:themeColor="text1"/>
          <w:sz w:val="28"/>
          <w:szCs w:val="28"/>
          <w:highlight w:val="none"/>
          <w14:textFill>
            <w14:solidFill>
              <w14:schemeClr w14:val="tx1"/>
            </w14:solidFill>
          </w14:textFill>
        </w:rPr>
        <w:t>8.3</w:t>
      </w:r>
      <w:r>
        <w:rPr>
          <w:rFonts w:hint="eastAsia" w:ascii="宋体" w:hAnsi="宋体" w:cs="宋体"/>
          <w:b w:val="0"/>
          <w:bCs/>
          <w:color w:val="000000" w:themeColor="text1"/>
          <w:sz w:val="28"/>
          <w:szCs w:val="28"/>
          <w:highlight w:val="none"/>
          <w:lang w:eastAsia="zh-CN"/>
          <w14:textFill>
            <w14:solidFill>
              <w14:schemeClr w14:val="tx1"/>
            </w14:solidFill>
          </w14:textFill>
        </w:rPr>
        <w:t>供应商</w:t>
      </w:r>
      <w:r>
        <w:rPr>
          <w:rFonts w:hint="eastAsia" w:ascii="宋体" w:hAnsi="宋体" w:eastAsia="宋体" w:cs="宋体"/>
          <w:b w:val="0"/>
          <w:bCs/>
          <w:color w:val="000000" w:themeColor="text1"/>
          <w:sz w:val="28"/>
          <w:szCs w:val="28"/>
          <w:highlight w:val="none"/>
          <w14:textFill>
            <w14:solidFill>
              <w14:schemeClr w14:val="tx1"/>
            </w14:solidFill>
          </w14:textFill>
        </w:rPr>
        <w:t>在投标活动中提供任何虚假材料，将报监管部门查处；中标后发现的，中标人须依照《中华人民共和国消费者权益保护法》规定赔偿采购人，且民事赔偿并不免除违法</w:t>
      </w:r>
      <w:r>
        <w:rPr>
          <w:rFonts w:hint="eastAsia" w:ascii="宋体" w:hAnsi="宋体" w:cs="宋体"/>
          <w:b w:val="0"/>
          <w:bCs/>
          <w:color w:val="000000" w:themeColor="text1"/>
          <w:sz w:val="28"/>
          <w:szCs w:val="28"/>
          <w:highlight w:val="none"/>
          <w:lang w:eastAsia="zh-CN"/>
          <w14:textFill>
            <w14:solidFill>
              <w14:schemeClr w14:val="tx1"/>
            </w14:solidFill>
          </w14:textFill>
        </w:rPr>
        <w:t>供应商</w:t>
      </w:r>
      <w:r>
        <w:rPr>
          <w:rFonts w:hint="eastAsia" w:ascii="宋体" w:hAnsi="宋体" w:eastAsia="宋体" w:cs="宋体"/>
          <w:b w:val="0"/>
          <w:bCs/>
          <w:color w:val="000000" w:themeColor="text1"/>
          <w:sz w:val="28"/>
          <w:szCs w:val="28"/>
          <w:highlight w:val="none"/>
          <w14:textFill>
            <w14:solidFill>
              <w14:schemeClr w14:val="tx1"/>
            </w14:solidFill>
          </w14:textFill>
        </w:rPr>
        <w:t>的行政与刑事责任。</w:t>
      </w:r>
    </w:p>
    <w:p w14:paraId="5E8F0657">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9.回避与串通投标</w:t>
      </w:r>
    </w:p>
    <w:p w14:paraId="081EE2B3">
      <w:pPr>
        <w:keepNext w:val="0"/>
        <w:keepLines w:val="0"/>
        <w:pageBreakBefore w:val="0"/>
        <w:kinsoku/>
        <w:wordWrap/>
        <w:overflowPunct/>
        <w:topLinePunct w:val="0"/>
        <w:bidi w:val="0"/>
        <w:adjustRightInd/>
        <w:snapToGrid/>
        <w:spacing w:line="560" w:lineRule="exact"/>
        <w:ind w:firstLine="562" w:firstLineChars="200"/>
        <w:jc w:val="both"/>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9.1在政府采购活动中，采购人员及相关人员与供应商有下列利害关系之一的，应当回避：</w:t>
      </w:r>
    </w:p>
    <w:p w14:paraId="09338DBB">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（1）参加采购活动前3年内与供应商存在劳动关系；</w:t>
      </w:r>
    </w:p>
    <w:p w14:paraId="163C41AF">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（2）参加采购活动前3年内担任供应商的董事、监事；</w:t>
      </w:r>
    </w:p>
    <w:p w14:paraId="033AEC15">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（3）参加采购活动前3年内是供应商的控股股东或者实际控制人；</w:t>
      </w:r>
    </w:p>
    <w:p w14:paraId="25D8E4CF">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（4）与供应商的法定代表人或者负责人有夫妻、直系血亲、三代以内旁系血亲或者近姻亲关系；</w:t>
      </w:r>
    </w:p>
    <w:p w14:paraId="05A55A63">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（5）与供应商有其他可能影响政府采购活动公平、公正进行的关系。</w:t>
      </w:r>
    </w:p>
    <w:p w14:paraId="74487872">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55A6E382">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9.2有下列情形之一的视为</w:t>
      </w:r>
      <w:r>
        <w:rPr>
          <w:rFonts w:hint="eastAsia" w:ascii="宋体" w:hAnsi="宋体" w:cs="宋体"/>
          <w:color w:val="000000" w:themeColor="text1"/>
          <w:sz w:val="28"/>
          <w:szCs w:val="28"/>
          <w:highlight w:val="none"/>
          <w:lang w:eastAsia="zh-CN"/>
          <w14:textFill>
            <w14:solidFill>
              <w14:schemeClr w14:val="tx1"/>
            </w14:solidFill>
          </w14:textFill>
        </w:rPr>
        <w:t>供应商</w:t>
      </w:r>
      <w:r>
        <w:rPr>
          <w:rFonts w:hint="eastAsia" w:ascii="宋体" w:hAnsi="宋体" w:eastAsia="宋体" w:cs="宋体"/>
          <w:color w:val="000000" w:themeColor="text1"/>
          <w:sz w:val="28"/>
          <w:szCs w:val="28"/>
          <w:highlight w:val="none"/>
          <w14:textFill>
            <w14:solidFill>
              <w14:schemeClr w14:val="tx1"/>
            </w14:solidFill>
          </w14:textFill>
        </w:rPr>
        <w:t>相互串通投标，投标文件将被视为无效：</w:t>
      </w:r>
    </w:p>
    <w:p w14:paraId="52A54216">
      <w:pPr>
        <w:keepNext w:val="0"/>
        <w:keepLines w:val="0"/>
        <w:pageBreakBefore w:val="0"/>
        <w:kinsoku/>
        <w:wordWrap/>
        <w:overflowPunct/>
        <w:topLinePunct w:val="0"/>
        <w:bidi w:val="0"/>
        <w:adjustRightInd/>
        <w:snapToGrid/>
        <w:spacing w:line="560" w:lineRule="exact"/>
        <w:ind w:firstLine="562" w:firstLineChars="200"/>
        <w:jc w:val="both"/>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（1）不同</w:t>
      </w:r>
      <w:r>
        <w:rPr>
          <w:rFonts w:hint="eastAsia" w:ascii="宋体" w:hAnsi="宋体" w:cs="宋体"/>
          <w:b/>
          <w:color w:val="000000" w:themeColor="text1"/>
          <w:sz w:val="28"/>
          <w:szCs w:val="28"/>
          <w:highlight w:val="none"/>
          <w:lang w:eastAsia="zh-CN"/>
          <w14:textFill>
            <w14:solidFill>
              <w14:schemeClr w14:val="tx1"/>
            </w14:solidFill>
          </w14:textFill>
        </w:rPr>
        <w:t>供应商</w:t>
      </w:r>
      <w:r>
        <w:rPr>
          <w:rFonts w:hint="eastAsia" w:ascii="宋体" w:hAnsi="宋体" w:eastAsia="宋体" w:cs="宋体"/>
          <w:b/>
          <w:color w:val="000000" w:themeColor="text1"/>
          <w:sz w:val="28"/>
          <w:szCs w:val="28"/>
          <w:highlight w:val="none"/>
          <w14:textFill>
            <w14:solidFill>
              <w14:schemeClr w14:val="tx1"/>
            </w14:solidFill>
          </w14:textFill>
        </w:rPr>
        <w:t>的投标文件由同一单位或者个人编制；或者不同</w:t>
      </w:r>
      <w:r>
        <w:rPr>
          <w:rFonts w:hint="eastAsia" w:ascii="宋体" w:hAnsi="宋体" w:cs="宋体"/>
          <w:b/>
          <w:color w:val="000000" w:themeColor="text1"/>
          <w:sz w:val="28"/>
          <w:szCs w:val="28"/>
          <w:highlight w:val="none"/>
          <w:lang w:eastAsia="zh-CN"/>
          <w14:textFill>
            <w14:solidFill>
              <w14:schemeClr w14:val="tx1"/>
            </w14:solidFill>
          </w14:textFill>
        </w:rPr>
        <w:t>供应商</w:t>
      </w:r>
      <w:r>
        <w:rPr>
          <w:rFonts w:hint="eastAsia" w:ascii="宋体" w:hAnsi="宋体" w:eastAsia="宋体" w:cs="宋体"/>
          <w:b/>
          <w:color w:val="000000" w:themeColor="text1"/>
          <w:sz w:val="28"/>
          <w:szCs w:val="28"/>
          <w:highlight w:val="none"/>
          <w14:textFill>
            <w14:solidFill>
              <w14:schemeClr w14:val="tx1"/>
            </w14:solidFill>
          </w14:textFill>
        </w:rPr>
        <w:t>报名的IP地址一致的；或者编制标书硬件设备CPU编号、硬盘编号、网卡地址一致的情况。</w:t>
      </w:r>
    </w:p>
    <w:p w14:paraId="6CF03205">
      <w:pPr>
        <w:keepNext w:val="0"/>
        <w:keepLines w:val="0"/>
        <w:pageBreakBefore w:val="0"/>
        <w:kinsoku/>
        <w:wordWrap/>
        <w:overflowPunct/>
        <w:topLinePunct w:val="0"/>
        <w:bidi w:val="0"/>
        <w:adjustRightInd/>
        <w:snapToGrid/>
        <w:spacing w:line="560" w:lineRule="exact"/>
        <w:ind w:firstLine="562" w:firstLineChars="200"/>
        <w:jc w:val="both"/>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（2）不同</w:t>
      </w:r>
      <w:r>
        <w:rPr>
          <w:rFonts w:hint="eastAsia" w:ascii="宋体" w:hAnsi="宋体" w:cs="宋体"/>
          <w:b/>
          <w:color w:val="000000" w:themeColor="text1"/>
          <w:sz w:val="28"/>
          <w:szCs w:val="28"/>
          <w:highlight w:val="none"/>
          <w:lang w:eastAsia="zh-CN"/>
          <w14:textFill>
            <w14:solidFill>
              <w14:schemeClr w14:val="tx1"/>
            </w14:solidFill>
          </w14:textFill>
        </w:rPr>
        <w:t>供应商</w:t>
      </w:r>
      <w:r>
        <w:rPr>
          <w:rFonts w:hint="eastAsia" w:ascii="宋体" w:hAnsi="宋体" w:eastAsia="宋体" w:cs="宋体"/>
          <w:b/>
          <w:color w:val="000000" w:themeColor="text1"/>
          <w:sz w:val="28"/>
          <w:szCs w:val="28"/>
          <w:highlight w:val="none"/>
          <w14:textFill>
            <w14:solidFill>
              <w14:schemeClr w14:val="tx1"/>
            </w14:solidFill>
          </w14:textFill>
        </w:rPr>
        <w:t>委托同一单位或者个人办理投标事宜；</w:t>
      </w:r>
    </w:p>
    <w:p w14:paraId="5A75D61A">
      <w:pPr>
        <w:keepNext w:val="0"/>
        <w:keepLines w:val="0"/>
        <w:pageBreakBefore w:val="0"/>
        <w:kinsoku/>
        <w:wordWrap/>
        <w:overflowPunct/>
        <w:topLinePunct w:val="0"/>
        <w:bidi w:val="0"/>
        <w:adjustRightInd/>
        <w:snapToGrid/>
        <w:spacing w:line="560" w:lineRule="exact"/>
        <w:ind w:firstLine="562" w:firstLineChars="200"/>
        <w:jc w:val="both"/>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（3）不同的</w:t>
      </w:r>
      <w:r>
        <w:rPr>
          <w:rFonts w:hint="eastAsia" w:ascii="宋体" w:hAnsi="宋体" w:cs="宋体"/>
          <w:b/>
          <w:color w:val="000000" w:themeColor="text1"/>
          <w:sz w:val="28"/>
          <w:szCs w:val="28"/>
          <w:highlight w:val="none"/>
          <w:lang w:eastAsia="zh-CN"/>
          <w14:textFill>
            <w14:solidFill>
              <w14:schemeClr w14:val="tx1"/>
            </w14:solidFill>
          </w14:textFill>
        </w:rPr>
        <w:t>供应商</w:t>
      </w:r>
      <w:r>
        <w:rPr>
          <w:rFonts w:hint="eastAsia" w:ascii="宋体" w:hAnsi="宋体" w:eastAsia="宋体" w:cs="宋体"/>
          <w:b/>
          <w:color w:val="000000" w:themeColor="text1"/>
          <w:sz w:val="28"/>
          <w:szCs w:val="28"/>
          <w:highlight w:val="none"/>
          <w14:textFill>
            <w14:solidFill>
              <w14:schemeClr w14:val="tx1"/>
            </w14:solidFill>
          </w14:textFill>
        </w:rPr>
        <w:t>的投标文件载明的项目管理员为同一个人；</w:t>
      </w:r>
    </w:p>
    <w:p w14:paraId="679A87F0">
      <w:pPr>
        <w:keepNext w:val="0"/>
        <w:keepLines w:val="0"/>
        <w:pageBreakBefore w:val="0"/>
        <w:kinsoku/>
        <w:wordWrap/>
        <w:overflowPunct/>
        <w:topLinePunct w:val="0"/>
        <w:bidi w:val="0"/>
        <w:adjustRightInd/>
        <w:snapToGrid/>
        <w:spacing w:line="560" w:lineRule="exact"/>
        <w:ind w:firstLine="562" w:firstLineChars="200"/>
        <w:jc w:val="both"/>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（4）不同</w:t>
      </w:r>
      <w:r>
        <w:rPr>
          <w:rFonts w:hint="eastAsia" w:ascii="宋体" w:hAnsi="宋体" w:cs="宋体"/>
          <w:b/>
          <w:color w:val="000000" w:themeColor="text1"/>
          <w:sz w:val="28"/>
          <w:szCs w:val="28"/>
          <w:highlight w:val="none"/>
          <w:lang w:eastAsia="zh-CN"/>
          <w14:textFill>
            <w14:solidFill>
              <w14:schemeClr w14:val="tx1"/>
            </w14:solidFill>
          </w14:textFill>
        </w:rPr>
        <w:t>供应商</w:t>
      </w:r>
      <w:r>
        <w:rPr>
          <w:rFonts w:hint="eastAsia" w:ascii="宋体" w:hAnsi="宋体" w:eastAsia="宋体" w:cs="宋体"/>
          <w:b/>
          <w:color w:val="000000" w:themeColor="text1"/>
          <w:sz w:val="28"/>
          <w:szCs w:val="28"/>
          <w:highlight w:val="none"/>
          <w14:textFill>
            <w14:solidFill>
              <w14:schemeClr w14:val="tx1"/>
            </w14:solidFill>
          </w14:textFill>
        </w:rPr>
        <w:t>的电子或纸质投标文件异常一致或者投标报价呈规律性差异；</w:t>
      </w:r>
    </w:p>
    <w:p w14:paraId="4C301F0E">
      <w:pPr>
        <w:keepNext w:val="0"/>
        <w:keepLines w:val="0"/>
        <w:pageBreakBefore w:val="0"/>
        <w:kinsoku/>
        <w:wordWrap/>
        <w:overflowPunct/>
        <w:topLinePunct w:val="0"/>
        <w:bidi w:val="0"/>
        <w:adjustRightInd/>
        <w:snapToGrid/>
        <w:spacing w:line="560" w:lineRule="exact"/>
        <w:ind w:firstLine="562" w:firstLineChars="200"/>
        <w:jc w:val="both"/>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（5）不同</w:t>
      </w:r>
      <w:r>
        <w:rPr>
          <w:rFonts w:hint="eastAsia" w:ascii="宋体" w:hAnsi="宋体" w:cs="宋体"/>
          <w:b/>
          <w:color w:val="000000" w:themeColor="text1"/>
          <w:sz w:val="28"/>
          <w:szCs w:val="28"/>
          <w:highlight w:val="none"/>
          <w:lang w:eastAsia="zh-CN"/>
          <w14:textFill>
            <w14:solidFill>
              <w14:schemeClr w14:val="tx1"/>
            </w14:solidFill>
          </w14:textFill>
        </w:rPr>
        <w:t>供应商</w:t>
      </w:r>
      <w:r>
        <w:rPr>
          <w:rFonts w:hint="eastAsia" w:ascii="宋体" w:hAnsi="宋体" w:eastAsia="宋体" w:cs="宋体"/>
          <w:b/>
          <w:color w:val="000000" w:themeColor="text1"/>
          <w:sz w:val="28"/>
          <w:szCs w:val="28"/>
          <w:highlight w:val="none"/>
          <w14:textFill>
            <w14:solidFill>
              <w14:schemeClr w14:val="tx1"/>
            </w14:solidFill>
          </w14:textFill>
        </w:rPr>
        <w:t>的纸质投标文件相互混装；</w:t>
      </w:r>
    </w:p>
    <w:p w14:paraId="24B4EFD2">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9.3供应商有下列情形之一的，属于恶意串通行为，将报同级监督管理部门：</w:t>
      </w:r>
    </w:p>
    <w:p w14:paraId="0389DD92">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（1）供应商直接或者间接从采购人或者采购代理机构处获得其他供应商的相关信息并修改其投标文件或者投标文件；</w:t>
      </w:r>
    </w:p>
    <w:p w14:paraId="60B3BEDA">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（2）供应商按照采购人或者采购代理机构的授意撤换、修改投标文件或者投标文件；</w:t>
      </w:r>
    </w:p>
    <w:p w14:paraId="71D4EBD6">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（3）供应商之间协商报价、技术方案等投标文件或者投标文件的实质性内容；</w:t>
      </w:r>
    </w:p>
    <w:p w14:paraId="2AAD7DFD">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（4）属于同一集团、协会、商会等组织成员的供应商按照该组织要求协同参加政府采购活动；</w:t>
      </w:r>
    </w:p>
    <w:p w14:paraId="6F1B1EB0">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（5）供应商之间事先约定一致抬高或者压低投标报价，或者在招标项目中事先约定轮流以高价位或者低价位中标，或者事先约定由某一特定供应商中标，然后再参加投标；</w:t>
      </w:r>
    </w:p>
    <w:p w14:paraId="73BF3464">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（6）供应商之间商定部分供应商放弃参加政府采购活动或者放弃中标；</w:t>
      </w:r>
    </w:p>
    <w:p w14:paraId="6B3069A3">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（7）供应商与采购人或者采购代理机构之间、供应商相互之间，为谋求特定供应商中标或者排斥其他供应商的其他串通行为。</w:t>
      </w:r>
    </w:p>
    <w:p w14:paraId="0CA07FA1">
      <w:pPr>
        <w:pStyle w:val="4"/>
        <w:keepNext w:val="0"/>
        <w:keepLines w:val="0"/>
        <w:pageBreakBefore w:val="0"/>
        <w:kinsoku/>
        <w:wordWrap/>
        <w:overflowPunct/>
        <w:topLinePunct w:val="0"/>
        <w:bidi w:val="0"/>
        <w:adjustRightInd/>
        <w:snapToGrid/>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二、招标文件</w:t>
      </w:r>
    </w:p>
    <w:p w14:paraId="61EE3EE3">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10.招标文件的组成</w:t>
      </w:r>
    </w:p>
    <w:p w14:paraId="32EE610A">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第一章 招标公告；</w:t>
      </w:r>
    </w:p>
    <w:p w14:paraId="71C3A43F">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第二章 </w:t>
      </w:r>
      <w:r>
        <w:rPr>
          <w:rFonts w:hint="eastAsia" w:ascii="宋体" w:hAnsi="宋体" w:cs="宋体"/>
          <w:color w:val="000000" w:themeColor="text1"/>
          <w:sz w:val="28"/>
          <w:szCs w:val="28"/>
          <w:highlight w:val="none"/>
          <w:lang w:eastAsia="zh-CN"/>
          <w14:textFill>
            <w14:solidFill>
              <w14:schemeClr w14:val="tx1"/>
            </w14:solidFill>
          </w14:textFill>
        </w:rPr>
        <w:t>供应商</w:t>
      </w:r>
      <w:r>
        <w:rPr>
          <w:rFonts w:hint="eastAsia" w:ascii="宋体" w:hAnsi="宋体" w:eastAsia="宋体" w:cs="宋体"/>
          <w:color w:val="000000" w:themeColor="text1"/>
          <w:sz w:val="28"/>
          <w:szCs w:val="28"/>
          <w:highlight w:val="none"/>
          <w14:textFill>
            <w14:solidFill>
              <w14:schemeClr w14:val="tx1"/>
            </w14:solidFill>
          </w14:textFill>
        </w:rPr>
        <w:t>须知</w:t>
      </w:r>
      <w:r>
        <w:rPr>
          <w:rFonts w:hint="eastAsia" w:ascii="宋体" w:hAnsi="宋体" w:cs="宋体"/>
          <w:color w:val="000000" w:themeColor="text1"/>
          <w:sz w:val="28"/>
          <w:szCs w:val="28"/>
          <w:highlight w:val="none"/>
          <w:lang w:val="en-US" w:eastAsia="zh-CN"/>
          <w14:textFill>
            <w14:solidFill>
              <w14:schemeClr w14:val="tx1"/>
            </w14:solidFill>
          </w14:textFill>
        </w:rPr>
        <w:t>表</w:t>
      </w:r>
      <w:r>
        <w:rPr>
          <w:rFonts w:hint="eastAsia" w:ascii="宋体" w:hAnsi="宋体" w:eastAsia="宋体" w:cs="宋体"/>
          <w:color w:val="000000" w:themeColor="text1"/>
          <w:sz w:val="28"/>
          <w:szCs w:val="28"/>
          <w:highlight w:val="none"/>
          <w14:textFill>
            <w14:solidFill>
              <w14:schemeClr w14:val="tx1"/>
            </w14:solidFill>
          </w14:textFill>
        </w:rPr>
        <w:t xml:space="preserve">； </w:t>
      </w:r>
    </w:p>
    <w:p w14:paraId="258FC4E3">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第三章 采购需求；</w:t>
      </w:r>
    </w:p>
    <w:p w14:paraId="7D5BD3A9">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第四章 评标方法及评标标准；</w:t>
      </w:r>
    </w:p>
    <w:p w14:paraId="22E9E925">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第五章 拟签订的合同文本；</w:t>
      </w:r>
    </w:p>
    <w:p w14:paraId="719699AF">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第六章 投标文件格式；</w:t>
      </w:r>
    </w:p>
    <w:p w14:paraId="63B544FB">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第七章 质疑、投诉材料格式</w:t>
      </w:r>
    </w:p>
    <w:p w14:paraId="62E4E98A">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根据本章第11.1项的规定对公开招标文件所做的澄清、修改，构成招标文件的组成部分。当公开招标文件与招标文件的澄清和修改就同一内容的表述不一致时，以最后澄清或修改公告为准。</w:t>
      </w:r>
    </w:p>
    <w:p w14:paraId="55417348">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11.招标文件的澄清、修改 、现场考察和答疑会</w:t>
      </w:r>
    </w:p>
    <w:p w14:paraId="4F9AA719">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b w:val="0"/>
          <w:bCs/>
          <w:color w:val="000000" w:themeColor="text1"/>
          <w:sz w:val="28"/>
          <w:szCs w:val="28"/>
          <w:highlight w:val="none"/>
          <w14:textFill>
            <w14:solidFill>
              <w14:schemeClr w14:val="tx1"/>
            </w14:solidFill>
          </w14:textFill>
        </w:rPr>
      </w:pPr>
      <w:r>
        <w:rPr>
          <w:rFonts w:hint="eastAsia" w:ascii="宋体" w:hAnsi="宋体" w:eastAsia="宋体" w:cs="宋体"/>
          <w:b w:val="0"/>
          <w:bCs/>
          <w:color w:val="000000" w:themeColor="text1"/>
          <w:sz w:val="28"/>
          <w:szCs w:val="28"/>
          <w:highlight w:val="none"/>
          <w14:textFill>
            <w14:solidFill>
              <w14:schemeClr w14:val="tx1"/>
            </w14:solidFill>
          </w14:textFill>
        </w:rPr>
        <w:t xml:space="preserve"> 11.1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14:paraId="618C2810">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11.2 </w:t>
      </w:r>
      <w:r>
        <w:rPr>
          <w:rFonts w:hint="eastAsia" w:ascii="宋体" w:hAnsi="宋体" w:cs="宋体"/>
          <w:color w:val="000000" w:themeColor="text1"/>
          <w:sz w:val="28"/>
          <w:szCs w:val="28"/>
          <w:highlight w:val="none"/>
          <w:lang w:eastAsia="zh-CN"/>
          <w14:textFill>
            <w14:solidFill>
              <w14:schemeClr w14:val="tx1"/>
            </w14:solidFill>
          </w14:textFill>
        </w:rPr>
        <w:t>供应商</w:t>
      </w:r>
      <w:r>
        <w:rPr>
          <w:rFonts w:hint="eastAsia" w:ascii="宋体" w:hAnsi="宋体" w:eastAsia="宋体" w:cs="宋体"/>
          <w:color w:val="000000" w:themeColor="text1"/>
          <w:sz w:val="28"/>
          <w:szCs w:val="28"/>
          <w:highlight w:val="none"/>
          <w14:textFill>
            <w14:solidFill>
              <w14:schemeClr w14:val="tx1"/>
            </w14:solidFill>
          </w14:textFill>
        </w:rPr>
        <w:t>应认真审阅本公开招标文件，如有疑问，或发现其中有误或有要求不合理的，应在</w:t>
      </w:r>
      <w:r>
        <w:rPr>
          <w:rFonts w:hint="eastAsia" w:ascii="宋体" w:hAnsi="宋体" w:cs="宋体"/>
          <w:color w:val="000000" w:themeColor="text1"/>
          <w:sz w:val="28"/>
          <w:szCs w:val="28"/>
          <w:highlight w:val="none"/>
          <w:lang w:eastAsia="zh-CN"/>
          <w14:textFill>
            <w14:solidFill>
              <w14:schemeClr w14:val="tx1"/>
            </w14:solidFill>
          </w14:textFill>
        </w:rPr>
        <w:t>供应商</w:t>
      </w:r>
      <w:r>
        <w:rPr>
          <w:rFonts w:hint="eastAsia" w:ascii="宋体" w:hAnsi="宋体" w:eastAsia="宋体" w:cs="宋体"/>
          <w:color w:val="000000" w:themeColor="text1"/>
          <w:sz w:val="28"/>
          <w:szCs w:val="28"/>
          <w:highlight w:val="none"/>
          <w14:textFill>
            <w14:solidFill>
              <w14:schemeClr w14:val="tx1"/>
            </w14:solidFill>
          </w14:textFill>
        </w:rPr>
        <w:t>须知前附表规定的</w:t>
      </w:r>
      <w:r>
        <w:rPr>
          <w:rFonts w:hint="eastAsia" w:ascii="宋体" w:hAnsi="宋体" w:eastAsia="宋体" w:cs="宋体"/>
          <w:color w:val="000000" w:themeColor="text1"/>
          <w:kern w:val="0"/>
          <w:sz w:val="28"/>
          <w:szCs w:val="28"/>
          <w:highlight w:val="none"/>
          <w14:textFill>
            <w14:solidFill>
              <w14:schemeClr w14:val="tx1"/>
            </w14:solidFill>
          </w14:textFill>
        </w:rPr>
        <w:t>投标截止时间</w:t>
      </w:r>
      <w:r>
        <w:rPr>
          <w:rFonts w:hint="eastAsia" w:ascii="宋体" w:hAnsi="宋体" w:eastAsia="宋体" w:cs="宋体"/>
          <w:color w:val="000000" w:themeColor="text1"/>
          <w:sz w:val="28"/>
          <w:szCs w:val="28"/>
          <w:highlight w:val="none"/>
          <w14:textFill>
            <w14:solidFill>
              <w14:schemeClr w14:val="tx1"/>
            </w14:solidFill>
          </w14:textFill>
        </w:rPr>
        <w:t>前以书面形式要求采购人或采购代理机构对招标文件予以澄清；否则，由此产生的后果由</w:t>
      </w:r>
      <w:r>
        <w:rPr>
          <w:rFonts w:hint="eastAsia" w:ascii="宋体" w:hAnsi="宋体" w:cs="宋体"/>
          <w:color w:val="000000" w:themeColor="text1"/>
          <w:sz w:val="28"/>
          <w:szCs w:val="28"/>
          <w:highlight w:val="none"/>
          <w:lang w:eastAsia="zh-CN"/>
          <w14:textFill>
            <w14:solidFill>
              <w14:schemeClr w14:val="tx1"/>
            </w14:solidFill>
          </w14:textFill>
        </w:rPr>
        <w:t>供应商</w:t>
      </w:r>
      <w:r>
        <w:rPr>
          <w:rFonts w:hint="eastAsia" w:ascii="宋体" w:hAnsi="宋体" w:eastAsia="宋体" w:cs="宋体"/>
          <w:color w:val="000000" w:themeColor="text1"/>
          <w:sz w:val="28"/>
          <w:szCs w:val="28"/>
          <w:highlight w:val="none"/>
          <w14:textFill>
            <w14:solidFill>
              <w14:schemeClr w14:val="tx1"/>
            </w14:solidFill>
          </w14:textFill>
        </w:rPr>
        <w:t>自行负责。</w:t>
      </w:r>
    </w:p>
    <w:p w14:paraId="6542E549">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11.3 采购人或者采购代理机构可以对已发出的招标文件进行必要的澄清或者修改。澄清或者修改的内容可能影响投标文件编制的，采购人或者采购代理机构应当在投标截止时间至少15日前，以书面形式通知(在“</w:t>
      </w:r>
      <w:r>
        <w:rPr>
          <w:rFonts w:hint="eastAsia" w:ascii="宋体" w:hAnsi="宋体" w:cs="宋体"/>
          <w:color w:val="000000" w:themeColor="text1"/>
          <w:sz w:val="28"/>
          <w:szCs w:val="28"/>
          <w:highlight w:val="none"/>
          <w:lang w:eastAsia="zh-CN"/>
          <w14:textFill>
            <w14:solidFill>
              <w14:schemeClr w14:val="tx1"/>
            </w14:solidFill>
          </w14:textFill>
        </w:rPr>
        <w:t>供应商</w:t>
      </w:r>
      <w:r>
        <w:rPr>
          <w:rFonts w:hint="eastAsia" w:ascii="宋体" w:hAnsi="宋体" w:eastAsia="宋体" w:cs="宋体"/>
          <w:color w:val="000000" w:themeColor="text1"/>
          <w:sz w:val="28"/>
          <w:szCs w:val="28"/>
          <w:highlight w:val="none"/>
          <w14:textFill>
            <w14:solidFill>
              <w14:schemeClr w14:val="tx1"/>
            </w14:solidFill>
          </w14:textFill>
        </w:rPr>
        <w:t>须知前附表”规定的政府采购信息发布媒体上发布更正公告及平台短信通知)所有获取招标文件的潜在</w:t>
      </w:r>
      <w:r>
        <w:rPr>
          <w:rFonts w:hint="eastAsia" w:ascii="宋体" w:hAnsi="宋体" w:cs="宋体"/>
          <w:color w:val="000000" w:themeColor="text1"/>
          <w:sz w:val="28"/>
          <w:szCs w:val="28"/>
          <w:highlight w:val="none"/>
          <w:lang w:eastAsia="zh-CN"/>
          <w14:textFill>
            <w14:solidFill>
              <w14:schemeClr w14:val="tx1"/>
            </w14:solidFill>
          </w14:textFill>
        </w:rPr>
        <w:t>供应商</w:t>
      </w:r>
      <w:r>
        <w:rPr>
          <w:rFonts w:hint="eastAsia" w:ascii="宋体" w:hAnsi="宋体" w:eastAsia="宋体" w:cs="宋体"/>
          <w:color w:val="000000" w:themeColor="text1"/>
          <w:sz w:val="28"/>
          <w:szCs w:val="28"/>
          <w:highlight w:val="none"/>
          <w14:textFill>
            <w14:solidFill>
              <w14:schemeClr w14:val="tx1"/>
            </w14:solidFill>
          </w14:textFill>
        </w:rPr>
        <w:t>；不足15日的，采购人或者采购代理机构应当顺延提交投标文件的截止时间。发出的澄清或者修改不影响投标文件编制的也应在截标前3日发出。</w:t>
      </w:r>
    </w:p>
    <w:p w14:paraId="15ABE311">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11.4 采购人和采购代理机构可以视采购具体情况，变更投标截止时间和开标时间，将变更时间将在“</w:t>
      </w:r>
      <w:r>
        <w:rPr>
          <w:rFonts w:hint="eastAsia" w:ascii="宋体" w:hAnsi="宋体" w:cs="宋体"/>
          <w:color w:val="000000" w:themeColor="text1"/>
          <w:sz w:val="28"/>
          <w:szCs w:val="28"/>
          <w:highlight w:val="none"/>
          <w:lang w:eastAsia="zh-CN"/>
          <w14:textFill>
            <w14:solidFill>
              <w14:schemeClr w14:val="tx1"/>
            </w14:solidFill>
          </w14:textFill>
        </w:rPr>
        <w:t>供应商</w:t>
      </w:r>
      <w:r>
        <w:rPr>
          <w:rFonts w:hint="eastAsia" w:ascii="宋体" w:hAnsi="宋体" w:eastAsia="宋体" w:cs="宋体"/>
          <w:color w:val="000000" w:themeColor="text1"/>
          <w:sz w:val="28"/>
          <w:szCs w:val="28"/>
          <w:highlight w:val="none"/>
          <w14:textFill>
            <w14:solidFill>
              <w14:schemeClr w14:val="tx1"/>
            </w14:solidFill>
          </w14:textFill>
        </w:rPr>
        <w:t>须知前附表”</w:t>
      </w:r>
      <w:r>
        <w:rPr>
          <w:rFonts w:hint="eastAsia" w:ascii="宋体" w:hAnsi="宋体" w:eastAsia="宋体" w:cs="宋体"/>
          <w:color w:val="000000" w:themeColor="text1"/>
          <w:kern w:val="0"/>
          <w:sz w:val="28"/>
          <w:szCs w:val="28"/>
          <w:highlight w:val="none"/>
          <w14:textFill>
            <w14:solidFill>
              <w14:schemeClr w14:val="tx1"/>
            </w14:solidFill>
          </w14:textFill>
        </w:rPr>
        <w:t>规定的政府采购信息发布媒体上</w:t>
      </w:r>
      <w:r>
        <w:rPr>
          <w:rFonts w:hint="eastAsia" w:ascii="宋体" w:hAnsi="宋体" w:eastAsia="宋体" w:cs="宋体"/>
          <w:color w:val="000000" w:themeColor="text1"/>
          <w:sz w:val="28"/>
          <w:szCs w:val="28"/>
          <w:highlight w:val="none"/>
          <w14:textFill>
            <w14:solidFill>
              <w14:schemeClr w14:val="tx1"/>
            </w14:solidFill>
          </w14:textFill>
        </w:rPr>
        <w:t>发布更正公告。</w:t>
      </w:r>
    </w:p>
    <w:p w14:paraId="58510B95">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11.5采购人或者采购代理机构可以在招标文件提供期限截止后，组织已获取招标文件的潜在</w:t>
      </w:r>
      <w:r>
        <w:rPr>
          <w:rFonts w:hint="eastAsia" w:ascii="宋体" w:hAnsi="宋体" w:cs="宋体"/>
          <w:color w:val="000000" w:themeColor="text1"/>
          <w:sz w:val="28"/>
          <w:szCs w:val="28"/>
          <w:highlight w:val="none"/>
          <w:lang w:eastAsia="zh-CN"/>
          <w14:textFill>
            <w14:solidFill>
              <w14:schemeClr w14:val="tx1"/>
            </w14:solidFill>
          </w14:textFill>
        </w:rPr>
        <w:t>供应商</w:t>
      </w:r>
      <w:r>
        <w:rPr>
          <w:rFonts w:hint="eastAsia" w:ascii="宋体" w:hAnsi="宋体" w:eastAsia="宋体" w:cs="宋体"/>
          <w:color w:val="000000" w:themeColor="text1"/>
          <w:sz w:val="28"/>
          <w:szCs w:val="28"/>
          <w:highlight w:val="none"/>
          <w14:textFill>
            <w14:solidFill>
              <w14:schemeClr w14:val="tx1"/>
            </w14:solidFill>
          </w14:textFill>
        </w:rPr>
        <w:t>现场考察或者召开开标前答疑会，具体详见“</w:t>
      </w:r>
      <w:r>
        <w:rPr>
          <w:rFonts w:hint="eastAsia" w:ascii="宋体" w:hAnsi="宋体" w:cs="宋体"/>
          <w:color w:val="000000" w:themeColor="text1"/>
          <w:sz w:val="28"/>
          <w:szCs w:val="28"/>
          <w:highlight w:val="none"/>
          <w:lang w:eastAsia="zh-CN"/>
          <w14:textFill>
            <w14:solidFill>
              <w14:schemeClr w14:val="tx1"/>
            </w14:solidFill>
          </w14:textFill>
        </w:rPr>
        <w:t>供应商</w:t>
      </w:r>
      <w:r>
        <w:rPr>
          <w:rFonts w:hint="eastAsia" w:ascii="宋体" w:hAnsi="宋体" w:eastAsia="宋体" w:cs="宋体"/>
          <w:color w:val="000000" w:themeColor="text1"/>
          <w:sz w:val="28"/>
          <w:szCs w:val="28"/>
          <w:highlight w:val="none"/>
          <w14:textFill>
            <w14:solidFill>
              <w14:schemeClr w14:val="tx1"/>
            </w14:solidFill>
          </w14:textFill>
        </w:rPr>
        <w:t>须知前附表”。</w:t>
      </w:r>
    </w:p>
    <w:p w14:paraId="5FBFBE31">
      <w:pPr>
        <w:pStyle w:val="4"/>
        <w:keepNext w:val="0"/>
        <w:keepLines w:val="0"/>
        <w:pageBreakBefore w:val="0"/>
        <w:kinsoku/>
        <w:wordWrap/>
        <w:overflowPunct/>
        <w:topLinePunct w:val="0"/>
        <w:bidi w:val="0"/>
        <w:adjustRightInd/>
        <w:snapToGrid/>
        <w:spacing w:line="560" w:lineRule="exact"/>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三、投标文件的编制</w:t>
      </w:r>
    </w:p>
    <w:p w14:paraId="53C840AA">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12.投标文件的编制原则</w:t>
      </w:r>
    </w:p>
    <w:p w14:paraId="46358833">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12.1</w:t>
      </w:r>
      <w:r>
        <w:rPr>
          <w:rFonts w:hint="eastAsia" w:ascii="宋体" w:hAnsi="宋体" w:cs="宋体"/>
          <w:color w:val="000000" w:themeColor="text1"/>
          <w:sz w:val="28"/>
          <w:szCs w:val="28"/>
          <w:highlight w:val="none"/>
          <w:lang w:eastAsia="zh-CN"/>
          <w14:textFill>
            <w14:solidFill>
              <w14:schemeClr w14:val="tx1"/>
            </w14:solidFill>
          </w14:textFill>
        </w:rPr>
        <w:t>供应商</w:t>
      </w:r>
      <w:r>
        <w:rPr>
          <w:rFonts w:hint="eastAsia" w:ascii="宋体" w:hAnsi="宋体" w:eastAsia="宋体" w:cs="宋体"/>
          <w:color w:val="000000" w:themeColor="text1"/>
          <w:sz w:val="28"/>
          <w:szCs w:val="28"/>
          <w:highlight w:val="none"/>
          <w14:textFill>
            <w14:solidFill>
              <w14:schemeClr w14:val="tx1"/>
            </w14:solidFill>
          </w14:textFill>
        </w:rPr>
        <w:t>必须按照招标文件的要求编制投标文件。投标文件必须对招标文件提出的要求和条件作出明确响应。</w:t>
      </w:r>
    </w:p>
    <w:p w14:paraId="0ECAFDE3">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12.2</w:t>
      </w:r>
      <w:r>
        <w:rPr>
          <w:rFonts w:hint="eastAsia" w:ascii="宋体" w:hAnsi="宋体" w:cs="宋体"/>
          <w:color w:val="000000" w:themeColor="text1"/>
          <w:sz w:val="28"/>
          <w:szCs w:val="28"/>
          <w:highlight w:val="none"/>
          <w:lang w:eastAsia="zh-CN"/>
          <w14:textFill>
            <w14:solidFill>
              <w14:schemeClr w14:val="tx1"/>
            </w14:solidFill>
          </w14:textFill>
        </w:rPr>
        <w:t>供应商</w:t>
      </w:r>
      <w:r>
        <w:rPr>
          <w:rFonts w:hint="eastAsia" w:ascii="宋体" w:hAnsi="宋体" w:eastAsia="宋体" w:cs="宋体"/>
          <w:color w:val="000000" w:themeColor="text1"/>
          <w:sz w:val="28"/>
          <w:szCs w:val="28"/>
          <w:highlight w:val="none"/>
          <w14:textFill>
            <w14:solidFill>
              <w14:schemeClr w14:val="tx1"/>
            </w14:solidFill>
          </w14:textFill>
        </w:rPr>
        <w:t>应根据自身实际情况如实响应招标文件，不得仅将招标文件内容简单复制粘贴作为投标响应，还应当提供相关证明材料，否则将作无效响应处理（定制采购项目不适用本条款）。对于重要技术条款或技术参数应当在投标文件中提供技术支持资料，技术支持资料以招标文件中规定的形式为准，否则将视为无效技术支持资料。</w:t>
      </w:r>
    </w:p>
    <w:p w14:paraId="24E2BE10">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13.投标文件的组成</w:t>
      </w:r>
    </w:p>
    <w:p w14:paraId="61717C1D">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13.1投标文件由报价文件、资格证明文件、商务文件、技术文件四部分组成。</w:t>
      </w:r>
    </w:p>
    <w:p w14:paraId="5284B015">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（1）资格证明文件：具体材料见“</w:t>
      </w:r>
      <w:r>
        <w:rPr>
          <w:rFonts w:hint="eastAsia" w:ascii="宋体" w:hAnsi="宋体" w:cs="宋体"/>
          <w:bCs/>
          <w:color w:val="000000" w:themeColor="text1"/>
          <w:sz w:val="28"/>
          <w:szCs w:val="28"/>
          <w:highlight w:val="none"/>
          <w:lang w:eastAsia="zh-CN"/>
          <w14:textFill>
            <w14:solidFill>
              <w14:schemeClr w14:val="tx1"/>
            </w14:solidFill>
          </w14:textFill>
        </w:rPr>
        <w:t>供应商</w:t>
      </w:r>
      <w:r>
        <w:rPr>
          <w:rFonts w:hint="eastAsia" w:ascii="宋体" w:hAnsi="宋体" w:eastAsia="宋体" w:cs="宋体"/>
          <w:bCs/>
          <w:color w:val="000000" w:themeColor="text1"/>
          <w:sz w:val="28"/>
          <w:szCs w:val="28"/>
          <w:highlight w:val="none"/>
          <w14:textFill>
            <w14:solidFill>
              <w14:schemeClr w14:val="tx1"/>
            </w14:solidFill>
          </w14:textFill>
        </w:rPr>
        <w:t>须知前附表”。</w:t>
      </w:r>
    </w:p>
    <w:p w14:paraId="4766CC55">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（2）商务文件：具体材料见“</w:t>
      </w:r>
      <w:r>
        <w:rPr>
          <w:rFonts w:hint="eastAsia" w:ascii="宋体" w:hAnsi="宋体" w:cs="宋体"/>
          <w:bCs/>
          <w:color w:val="000000" w:themeColor="text1"/>
          <w:sz w:val="28"/>
          <w:szCs w:val="28"/>
          <w:highlight w:val="none"/>
          <w:lang w:eastAsia="zh-CN"/>
          <w14:textFill>
            <w14:solidFill>
              <w14:schemeClr w14:val="tx1"/>
            </w14:solidFill>
          </w14:textFill>
        </w:rPr>
        <w:t>供应商</w:t>
      </w:r>
      <w:r>
        <w:rPr>
          <w:rFonts w:hint="eastAsia" w:ascii="宋体" w:hAnsi="宋体" w:eastAsia="宋体" w:cs="宋体"/>
          <w:bCs/>
          <w:color w:val="000000" w:themeColor="text1"/>
          <w:sz w:val="28"/>
          <w:szCs w:val="28"/>
          <w:highlight w:val="none"/>
          <w14:textFill>
            <w14:solidFill>
              <w14:schemeClr w14:val="tx1"/>
            </w14:solidFill>
          </w14:textFill>
        </w:rPr>
        <w:t>须知前附表”。</w:t>
      </w:r>
    </w:p>
    <w:p w14:paraId="73EBC8AD">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（3）技术文件：具体材料见“</w:t>
      </w:r>
      <w:r>
        <w:rPr>
          <w:rFonts w:hint="eastAsia" w:ascii="宋体" w:hAnsi="宋体" w:cs="宋体"/>
          <w:bCs/>
          <w:color w:val="000000" w:themeColor="text1"/>
          <w:sz w:val="28"/>
          <w:szCs w:val="28"/>
          <w:highlight w:val="none"/>
          <w:lang w:eastAsia="zh-CN"/>
          <w14:textFill>
            <w14:solidFill>
              <w14:schemeClr w14:val="tx1"/>
            </w14:solidFill>
          </w14:textFill>
        </w:rPr>
        <w:t>供应商</w:t>
      </w:r>
      <w:r>
        <w:rPr>
          <w:rFonts w:hint="eastAsia" w:ascii="宋体" w:hAnsi="宋体" w:eastAsia="宋体" w:cs="宋体"/>
          <w:bCs/>
          <w:color w:val="000000" w:themeColor="text1"/>
          <w:sz w:val="28"/>
          <w:szCs w:val="28"/>
          <w:highlight w:val="none"/>
          <w14:textFill>
            <w14:solidFill>
              <w14:schemeClr w14:val="tx1"/>
            </w14:solidFill>
          </w14:textFill>
        </w:rPr>
        <w:t xml:space="preserve">须知前附表”。 </w:t>
      </w:r>
    </w:p>
    <w:p w14:paraId="354B21B7">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（4）报价文件： 具体材料见“</w:t>
      </w:r>
      <w:r>
        <w:rPr>
          <w:rFonts w:hint="eastAsia" w:ascii="宋体" w:hAnsi="宋体" w:cs="宋体"/>
          <w:bCs/>
          <w:color w:val="000000" w:themeColor="text1"/>
          <w:sz w:val="28"/>
          <w:szCs w:val="28"/>
          <w:highlight w:val="none"/>
          <w:lang w:eastAsia="zh-CN"/>
          <w14:textFill>
            <w14:solidFill>
              <w14:schemeClr w14:val="tx1"/>
            </w14:solidFill>
          </w14:textFill>
        </w:rPr>
        <w:t>供应商</w:t>
      </w:r>
      <w:r>
        <w:rPr>
          <w:rFonts w:hint="eastAsia" w:ascii="宋体" w:hAnsi="宋体" w:eastAsia="宋体" w:cs="宋体"/>
          <w:bCs/>
          <w:color w:val="000000" w:themeColor="text1"/>
          <w:sz w:val="28"/>
          <w:szCs w:val="28"/>
          <w:highlight w:val="none"/>
          <w14:textFill>
            <w14:solidFill>
              <w14:schemeClr w14:val="tx1"/>
            </w14:solidFill>
          </w14:textFill>
        </w:rPr>
        <w:t>须知前附表”。</w:t>
      </w:r>
    </w:p>
    <w:p w14:paraId="0ECE7AAC">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13.2投标文件电子版：具体要求见本节19.投标文件编制。</w:t>
      </w:r>
    </w:p>
    <w:p w14:paraId="51BBEF55">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14.投标文件的语言及计量</w:t>
      </w:r>
    </w:p>
    <w:p w14:paraId="49A00230">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14.1语言文字</w:t>
      </w:r>
    </w:p>
    <w:p w14:paraId="4FA9E240">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投标文件以及</w:t>
      </w:r>
      <w:r>
        <w:rPr>
          <w:rFonts w:hint="eastAsia" w:ascii="宋体" w:hAnsi="宋体" w:cs="宋体"/>
          <w:bCs/>
          <w:color w:val="000000" w:themeColor="text1"/>
          <w:sz w:val="28"/>
          <w:szCs w:val="28"/>
          <w:highlight w:val="none"/>
          <w:lang w:eastAsia="zh-CN"/>
          <w14:textFill>
            <w14:solidFill>
              <w14:schemeClr w14:val="tx1"/>
            </w14:solidFill>
          </w14:textFill>
        </w:rPr>
        <w:t>供应商</w:t>
      </w:r>
      <w:r>
        <w:rPr>
          <w:rFonts w:hint="eastAsia" w:ascii="宋体" w:hAnsi="宋体" w:eastAsia="宋体" w:cs="宋体"/>
          <w:bCs/>
          <w:color w:val="000000" w:themeColor="text1"/>
          <w:sz w:val="28"/>
          <w:szCs w:val="28"/>
          <w:highlight w:val="none"/>
          <w14:textFill>
            <w14:solidFill>
              <w14:schemeClr w14:val="tx1"/>
            </w14:solidFill>
          </w14:textFill>
        </w:rPr>
        <w:t>与采购人就有关投标事宜的所有来往函电，均应以中文书写（除专用术语外，与招标投标有关的语言均使用中文。必要时专用术语应附有中文注释）。</w:t>
      </w:r>
      <w:r>
        <w:rPr>
          <w:rFonts w:hint="eastAsia" w:ascii="宋体" w:hAnsi="宋体" w:cs="宋体"/>
          <w:bCs/>
          <w:color w:val="000000" w:themeColor="text1"/>
          <w:sz w:val="28"/>
          <w:szCs w:val="28"/>
          <w:highlight w:val="none"/>
          <w:lang w:eastAsia="zh-CN"/>
          <w14:textFill>
            <w14:solidFill>
              <w14:schemeClr w14:val="tx1"/>
            </w14:solidFill>
          </w14:textFill>
        </w:rPr>
        <w:t>供应商</w:t>
      </w:r>
      <w:r>
        <w:rPr>
          <w:rFonts w:hint="eastAsia" w:ascii="宋体" w:hAnsi="宋体" w:eastAsia="宋体" w:cs="宋体"/>
          <w:bCs/>
          <w:color w:val="000000" w:themeColor="text1"/>
          <w:sz w:val="28"/>
          <w:szCs w:val="28"/>
          <w:highlight w:val="none"/>
          <w14:textFill>
            <w14:solidFill>
              <w14:schemeClr w14:val="tx1"/>
            </w14:solidFill>
          </w14:textFill>
        </w:rPr>
        <w:t>提交的支持文件和印刷的文献可以使用别的语言，但其相应内容应同时附中文翻译文本，在解释投标文件时以中文翻译文本为主。对不同文字文本投标文件的解释发生异议的，以中文文本为准。</w:t>
      </w:r>
    </w:p>
    <w:p w14:paraId="3AA79FE7">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14.2投标计量单位</w:t>
      </w:r>
    </w:p>
    <w:p w14:paraId="414A6451">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招标文件已有明确规定的，使用招标文件规定的计量单位；招标文件没有规定的，应采用中华人民共和国法定计量单位，货币种类为人民币，否则视同未响应。</w:t>
      </w:r>
    </w:p>
    <w:p w14:paraId="3A555CEA">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15.投标的风险</w:t>
      </w:r>
    </w:p>
    <w:p w14:paraId="524A47E8">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b w:val="0"/>
          <w:bCs w:val="0"/>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投标文件分为资格文件、商务文件、技术文件、报价文件四部分（其中：商务文件与技术文件合并编辑成一个电子文档）。各</w:t>
      </w:r>
      <w:r>
        <w:rPr>
          <w:rFonts w:hint="eastAsia" w:ascii="宋体" w:hAnsi="宋体" w:cs="宋体"/>
          <w:color w:val="000000" w:themeColor="text1"/>
          <w:sz w:val="28"/>
          <w:szCs w:val="28"/>
          <w:highlight w:val="none"/>
          <w:lang w:eastAsia="zh-CN"/>
          <w14:textFill>
            <w14:solidFill>
              <w14:schemeClr w14:val="tx1"/>
            </w14:solidFill>
          </w14:textFill>
        </w:rPr>
        <w:t>供应商</w:t>
      </w:r>
      <w:r>
        <w:rPr>
          <w:rFonts w:hint="eastAsia" w:ascii="宋体" w:hAnsi="宋体" w:eastAsia="宋体" w:cs="宋体"/>
          <w:color w:val="000000" w:themeColor="text1"/>
          <w:sz w:val="28"/>
          <w:szCs w:val="28"/>
          <w:highlight w:val="none"/>
          <w14:textFill>
            <w14:solidFill>
              <w14:schemeClr w14:val="tx1"/>
            </w14:solidFill>
          </w14:textFill>
        </w:rPr>
        <w:t>在编制投标文件时请按照招标文件规定的格式进行，混乱的编排导致投标文件被误读或评标委员会查找不到有效文件是</w:t>
      </w:r>
      <w:r>
        <w:rPr>
          <w:rFonts w:hint="eastAsia" w:ascii="宋体" w:hAnsi="宋体" w:cs="宋体"/>
          <w:color w:val="000000" w:themeColor="text1"/>
          <w:sz w:val="28"/>
          <w:szCs w:val="28"/>
          <w:highlight w:val="none"/>
          <w:lang w:eastAsia="zh-CN"/>
          <w14:textFill>
            <w14:solidFill>
              <w14:schemeClr w14:val="tx1"/>
            </w14:solidFill>
          </w14:textFill>
        </w:rPr>
        <w:t>供应商</w:t>
      </w:r>
      <w:r>
        <w:rPr>
          <w:rFonts w:hint="eastAsia" w:ascii="宋体" w:hAnsi="宋体" w:eastAsia="宋体" w:cs="宋体"/>
          <w:color w:val="000000" w:themeColor="text1"/>
          <w:sz w:val="28"/>
          <w:szCs w:val="28"/>
          <w:highlight w:val="none"/>
          <w14:textFill>
            <w14:solidFill>
              <w14:schemeClr w14:val="tx1"/>
            </w14:solidFill>
          </w14:textFill>
        </w:rPr>
        <w:t>的风险</w:t>
      </w:r>
      <w:r>
        <w:rPr>
          <w:rFonts w:hint="eastAsia" w:ascii="宋体" w:hAnsi="宋体" w:eastAsia="宋体" w:cs="宋体"/>
          <w:b w:val="0"/>
          <w:bCs w:val="0"/>
          <w:color w:val="000000" w:themeColor="text1"/>
          <w:sz w:val="28"/>
          <w:szCs w:val="28"/>
          <w:highlight w:val="none"/>
          <w14:textFill>
            <w14:solidFill>
              <w14:schemeClr w14:val="tx1"/>
            </w14:solidFill>
          </w14:textFill>
        </w:rPr>
        <w:t>。</w:t>
      </w:r>
      <w:r>
        <w:rPr>
          <w:rFonts w:hint="eastAsia" w:ascii="宋体" w:hAnsi="宋体" w:eastAsia="宋体" w:cs="宋体"/>
          <w:color w:val="000000" w:themeColor="text1"/>
          <w:sz w:val="28"/>
          <w:szCs w:val="28"/>
          <w:highlight w:val="none"/>
          <w14:textFill>
            <w14:solidFill>
              <w14:schemeClr w14:val="tx1"/>
            </w14:solidFill>
          </w14:textFill>
        </w:rPr>
        <w:t>★</w:t>
      </w:r>
      <w:r>
        <w:rPr>
          <w:rFonts w:hint="eastAsia" w:ascii="宋体" w:hAnsi="宋体" w:eastAsia="宋体" w:cs="宋体"/>
          <w:b w:val="0"/>
          <w:bCs w:val="0"/>
          <w:color w:val="000000" w:themeColor="text1"/>
          <w:sz w:val="28"/>
          <w:szCs w:val="28"/>
          <w:highlight w:val="none"/>
          <w14:textFill>
            <w14:solidFill>
              <w14:schemeClr w14:val="tx1"/>
            </w14:solidFill>
          </w14:textFill>
        </w:rPr>
        <w:t>投标文件未按规定的格式编制的、没有按照招标文件要求提供全部资料、没有对招标文件作出实质性响应，投标无效；</w:t>
      </w:r>
    </w:p>
    <w:p w14:paraId="2B4FD905">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16.投标报价</w:t>
      </w:r>
    </w:p>
    <w:p w14:paraId="3F2DE4D4">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16.1投标报价应按“第六章　投标文件格式”中“开标一览表”格式填写。</w:t>
      </w:r>
    </w:p>
    <w:p w14:paraId="3EC76F81">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16.2投标报价具体包括内容详见“</w:t>
      </w:r>
      <w:r>
        <w:rPr>
          <w:rFonts w:hint="eastAsia" w:ascii="宋体" w:hAnsi="宋体" w:cs="宋体"/>
          <w:bCs/>
          <w:color w:val="000000" w:themeColor="text1"/>
          <w:sz w:val="28"/>
          <w:szCs w:val="28"/>
          <w:highlight w:val="none"/>
          <w:lang w:eastAsia="zh-CN"/>
          <w14:textFill>
            <w14:solidFill>
              <w14:schemeClr w14:val="tx1"/>
            </w14:solidFill>
          </w14:textFill>
        </w:rPr>
        <w:t>供应商</w:t>
      </w:r>
      <w:r>
        <w:rPr>
          <w:rFonts w:hint="eastAsia" w:ascii="宋体" w:hAnsi="宋体" w:eastAsia="宋体" w:cs="宋体"/>
          <w:bCs/>
          <w:color w:val="000000" w:themeColor="text1"/>
          <w:sz w:val="28"/>
          <w:szCs w:val="28"/>
          <w:highlight w:val="none"/>
          <w14:textFill>
            <w14:solidFill>
              <w14:schemeClr w14:val="tx1"/>
            </w14:solidFill>
          </w14:textFill>
        </w:rPr>
        <w:t>须知前附表”。</w:t>
      </w:r>
    </w:p>
    <w:p w14:paraId="410415E6">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16.3</w:t>
      </w:r>
      <w:r>
        <w:rPr>
          <w:rFonts w:hint="eastAsia" w:ascii="宋体" w:hAnsi="宋体" w:cs="宋体"/>
          <w:bCs/>
          <w:color w:val="000000" w:themeColor="text1"/>
          <w:sz w:val="28"/>
          <w:szCs w:val="28"/>
          <w:highlight w:val="none"/>
          <w:lang w:eastAsia="zh-CN"/>
          <w14:textFill>
            <w14:solidFill>
              <w14:schemeClr w14:val="tx1"/>
            </w14:solidFill>
          </w14:textFill>
        </w:rPr>
        <w:t>供应商</w:t>
      </w:r>
      <w:r>
        <w:rPr>
          <w:rFonts w:hint="eastAsia" w:ascii="宋体" w:hAnsi="宋体" w:eastAsia="宋体" w:cs="宋体"/>
          <w:bCs/>
          <w:color w:val="000000" w:themeColor="text1"/>
          <w:sz w:val="28"/>
          <w:szCs w:val="28"/>
          <w:highlight w:val="none"/>
          <w14:textFill>
            <w14:solidFill>
              <w14:schemeClr w14:val="tx1"/>
            </w14:solidFill>
          </w14:textFill>
        </w:rPr>
        <w:t>必须就所投每个分标的全部内容分别作完整唯一总价报价，不得存在漏项报价；</w:t>
      </w:r>
      <w:r>
        <w:rPr>
          <w:rFonts w:hint="eastAsia" w:ascii="宋体" w:hAnsi="宋体" w:cs="宋体"/>
          <w:bCs/>
          <w:color w:val="000000" w:themeColor="text1"/>
          <w:sz w:val="28"/>
          <w:szCs w:val="28"/>
          <w:highlight w:val="none"/>
          <w:lang w:eastAsia="zh-CN"/>
          <w14:textFill>
            <w14:solidFill>
              <w14:schemeClr w14:val="tx1"/>
            </w14:solidFill>
          </w14:textFill>
        </w:rPr>
        <w:t>供应商</w:t>
      </w:r>
      <w:r>
        <w:rPr>
          <w:rFonts w:hint="eastAsia" w:ascii="宋体" w:hAnsi="宋体" w:eastAsia="宋体" w:cs="宋体"/>
          <w:bCs/>
          <w:color w:val="000000" w:themeColor="text1"/>
          <w:sz w:val="28"/>
          <w:szCs w:val="28"/>
          <w:highlight w:val="none"/>
          <w14:textFill>
            <w14:solidFill>
              <w14:schemeClr w14:val="tx1"/>
            </w14:solidFill>
          </w14:textFill>
        </w:rPr>
        <w:t>必须就所投的单项内容作唯一报价。</w:t>
      </w:r>
    </w:p>
    <w:p w14:paraId="41740AFD">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17.投标有效期</w:t>
      </w:r>
    </w:p>
    <w:p w14:paraId="2286695C">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17.1投标有效期是指为保证采购人有足够的时间在开标后完成评标、定标、合同签订等工作而要求</w:t>
      </w:r>
      <w:r>
        <w:rPr>
          <w:rFonts w:hint="eastAsia" w:ascii="宋体" w:hAnsi="宋体" w:cs="宋体"/>
          <w:bCs/>
          <w:color w:val="000000" w:themeColor="text1"/>
          <w:sz w:val="28"/>
          <w:szCs w:val="28"/>
          <w:highlight w:val="none"/>
          <w:lang w:eastAsia="zh-CN"/>
          <w14:textFill>
            <w14:solidFill>
              <w14:schemeClr w14:val="tx1"/>
            </w14:solidFill>
          </w14:textFill>
        </w:rPr>
        <w:t>供应商</w:t>
      </w:r>
      <w:r>
        <w:rPr>
          <w:rFonts w:hint="eastAsia" w:ascii="宋体" w:hAnsi="宋体" w:eastAsia="宋体" w:cs="宋体"/>
          <w:bCs/>
          <w:color w:val="000000" w:themeColor="text1"/>
          <w:sz w:val="28"/>
          <w:szCs w:val="28"/>
          <w:highlight w:val="none"/>
          <w14:textFill>
            <w14:solidFill>
              <w14:schemeClr w14:val="tx1"/>
            </w14:solidFill>
          </w14:textFill>
        </w:rPr>
        <w:t>提交的投标文件在一定时间内保持有效的期限。</w:t>
      </w:r>
    </w:p>
    <w:p w14:paraId="786DD4B7">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17.2 投标有效期应按规定的期限作出承诺，具体详见“</w:t>
      </w:r>
      <w:r>
        <w:rPr>
          <w:rFonts w:hint="eastAsia" w:ascii="宋体" w:hAnsi="宋体" w:cs="宋体"/>
          <w:bCs/>
          <w:color w:val="000000" w:themeColor="text1"/>
          <w:sz w:val="28"/>
          <w:szCs w:val="28"/>
          <w:highlight w:val="none"/>
          <w:lang w:eastAsia="zh-CN"/>
          <w14:textFill>
            <w14:solidFill>
              <w14:schemeClr w14:val="tx1"/>
            </w14:solidFill>
          </w14:textFill>
        </w:rPr>
        <w:t>供应商</w:t>
      </w:r>
      <w:r>
        <w:rPr>
          <w:rFonts w:hint="eastAsia" w:ascii="宋体" w:hAnsi="宋体" w:eastAsia="宋体" w:cs="宋体"/>
          <w:bCs/>
          <w:color w:val="000000" w:themeColor="text1"/>
          <w:sz w:val="28"/>
          <w:szCs w:val="28"/>
          <w:highlight w:val="none"/>
          <w14:textFill>
            <w14:solidFill>
              <w14:schemeClr w14:val="tx1"/>
            </w14:solidFill>
          </w14:textFill>
        </w:rPr>
        <w:t>须知前附表”。</w:t>
      </w:r>
    </w:p>
    <w:p w14:paraId="551ED531">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17.3</w:t>
      </w:r>
      <w:r>
        <w:rPr>
          <w:rFonts w:hint="eastAsia" w:ascii="宋体" w:hAnsi="宋体" w:cs="宋体"/>
          <w:bCs/>
          <w:color w:val="000000" w:themeColor="text1"/>
          <w:sz w:val="28"/>
          <w:szCs w:val="28"/>
          <w:highlight w:val="none"/>
          <w:lang w:eastAsia="zh-CN"/>
          <w14:textFill>
            <w14:solidFill>
              <w14:schemeClr w14:val="tx1"/>
            </w14:solidFill>
          </w14:textFill>
        </w:rPr>
        <w:t>供应商</w:t>
      </w:r>
      <w:r>
        <w:rPr>
          <w:rFonts w:hint="eastAsia" w:ascii="宋体" w:hAnsi="宋体" w:eastAsia="宋体" w:cs="宋体"/>
          <w:bCs/>
          <w:color w:val="000000" w:themeColor="text1"/>
          <w:sz w:val="28"/>
          <w:szCs w:val="28"/>
          <w:highlight w:val="none"/>
          <w14:textFill>
            <w14:solidFill>
              <w14:schemeClr w14:val="tx1"/>
            </w14:solidFill>
          </w14:textFill>
        </w:rPr>
        <w:t>的投标文件在投标有效期内均保持有效。</w:t>
      </w:r>
    </w:p>
    <w:p w14:paraId="58EEC549">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18.投标保证金</w:t>
      </w:r>
    </w:p>
    <w:p w14:paraId="48F0C498">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见“</w:t>
      </w:r>
      <w:r>
        <w:rPr>
          <w:rFonts w:hint="eastAsia" w:ascii="宋体" w:hAnsi="宋体" w:cs="宋体"/>
          <w:bCs/>
          <w:color w:val="000000" w:themeColor="text1"/>
          <w:sz w:val="28"/>
          <w:szCs w:val="28"/>
          <w:highlight w:val="none"/>
          <w:lang w:eastAsia="zh-CN"/>
          <w14:textFill>
            <w14:solidFill>
              <w14:schemeClr w14:val="tx1"/>
            </w14:solidFill>
          </w14:textFill>
        </w:rPr>
        <w:t>供应商</w:t>
      </w:r>
      <w:r>
        <w:rPr>
          <w:rFonts w:hint="eastAsia" w:ascii="宋体" w:hAnsi="宋体" w:eastAsia="宋体" w:cs="宋体"/>
          <w:bCs/>
          <w:color w:val="000000" w:themeColor="text1"/>
          <w:sz w:val="28"/>
          <w:szCs w:val="28"/>
          <w:highlight w:val="none"/>
          <w14:textFill>
            <w14:solidFill>
              <w14:schemeClr w14:val="tx1"/>
            </w14:solidFill>
          </w14:textFill>
        </w:rPr>
        <w:t>须知前附表”。</w:t>
      </w:r>
    </w:p>
    <w:p w14:paraId="128F4D19">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19.投标文件的编制</w:t>
      </w:r>
    </w:p>
    <w:p w14:paraId="37E3E83B">
      <w:pPr>
        <w:keepNext w:val="0"/>
        <w:keepLines w:val="0"/>
        <w:pageBreakBefore w:val="0"/>
        <w:kinsoku/>
        <w:wordWrap/>
        <w:overflowPunct/>
        <w:topLinePunct w:val="0"/>
        <w:bidi w:val="0"/>
        <w:adjustRightInd/>
        <w:snapToGrid/>
        <w:spacing w:line="560" w:lineRule="exact"/>
        <w:ind w:firstLine="562"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19.1投标文件编制要求详见“</w:t>
      </w:r>
      <w:r>
        <w:rPr>
          <w:rFonts w:hint="eastAsia" w:ascii="宋体" w:hAnsi="宋体" w:cs="宋体"/>
          <w:color w:val="000000" w:themeColor="text1"/>
          <w:sz w:val="28"/>
          <w:szCs w:val="28"/>
          <w:highlight w:val="none"/>
          <w:lang w:eastAsia="zh-CN"/>
          <w14:textFill>
            <w14:solidFill>
              <w14:schemeClr w14:val="tx1"/>
            </w14:solidFill>
          </w14:textFill>
        </w:rPr>
        <w:t>供应商</w:t>
      </w:r>
      <w:r>
        <w:rPr>
          <w:rFonts w:hint="eastAsia" w:ascii="宋体" w:hAnsi="宋体" w:eastAsia="宋体" w:cs="宋体"/>
          <w:color w:val="000000" w:themeColor="text1"/>
          <w:sz w:val="28"/>
          <w:szCs w:val="28"/>
          <w:highlight w:val="none"/>
          <w14:textFill>
            <w14:solidFill>
              <w14:schemeClr w14:val="tx1"/>
            </w14:solidFill>
          </w14:textFill>
        </w:rPr>
        <w:t>须知前附表”。</w:t>
      </w:r>
      <w:r>
        <w:rPr>
          <w:rFonts w:hint="eastAsia" w:ascii="宋体" w:hAnsi="宋体" w:cs="宋体"/>
          <w:color w:val="000000" w:themeColor="text1"/>
          <w:sz w:val="28"/>
          <w:szCs w:val="28"/>
          <w:highlight w:val="none"/>
          <w:lang w:eastAsia="zh-CN"/>
          <w14:textFill>
            <w14:solidFill>
              <w14:schemeClr w14:val="tx1"/>
            </w14:solidFill>
          </w14:textFill>
        </w:rPr>
        <w:t>供应商</w:t>
      </w:r>
      <w:r>
        <w:rPr>
          <w:rFonts w:hint="eastAsia" w:ascii="宋体" w:hAnsi="宋体" w:eastAsia="宋体" w:cs="宋体"/>
          <w:color w:val="000000" w:themeColor="text1"/>
          <w:sz w:val="28"/>
          <w:szCs w:val="28"/>
          <w:highlight w:val="none"/>
          <w14:textFill>
            <w14:solidFill>
              <w14:schemeClr w14:val="tx1"/>
            </w14:solidFill>
          </w14:textFill>
        </w:rPr>
        <w:t>应按本招标文件规定的格式和顺序编制、装订投标文件并标注页码，投标文件内容不完整、编排混乱导致投标文件被误读、漏读或者查找不到相关内容的，由此引发的后果由</w:t>
      </w:r>
      <w:r>
        <w:rPr>
          <w:rFonts w:hint="eastAsia" w:ascii="宋体" w:hAnsi="宋体" w:cs="宋体"/>
          <w:color w:val="000000" w:themeColor="text1"/>
          <w:sz w:val="28"/>
          <w:szCs w:val="28"/>
          <w:highlight w:val="none"/>
          <w:lang w:eastAsia="zh-CN"/>
          <w14:textFill>
            <w14:solidFill>
              <w14:schemeClr w14:val="tx1"/>
            </w14:solidFill>
          </w14:textFill>
        </w:rPr>
        <w:t>供应商</w:t>
      </w:r>
      <w:r>
        <w:rPr>
          <w:rFonts w:hint="eastAsia" w:ascii="宋体" w:hAnsi="宋体" w:eastAsia="宋体" w:cs="宋体"/>
          <w:color w:val="000000" w:themeColor="text1"/>
          <w:sz w:val="28"/>
          <w:szCs w:val="28"/>
          <w:highlight w:val="none"/>
          <w14:textFill>
            <w14:solidFill>
              <w14:schemeClr w14:val="tx1"/>
            </w14:solidFill>
          </w14:textFill>
        </w:rPr>
        <w:t xml:space="preserve">承担。 </w:t>
      </w:r>
    </w:p>
    <w:p w14:paraId="76813A33">
      <w:pPr>
        <w:pStyle w:val="108"/>
        <w:keepNext w:val="0"/>
        <w:keepLines w:val="0"/>
        <w:pageBreakBefore w:val="0"/>
        <w:kinsoku/>
        <w:wordWrap/>
        <w:overflowPunct/>
        <w:topLinePunct w:val="0"/>
        <w:bidi w:val="0"/>
        <w:adjustRightInd/>
        <w:snapToGrid/>
        <w:spacing w:before="0" w:line="560" w:lineRule="exact"/>
        <w:ind w:firstLine="56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19.2投标文件按照招标文件第六章格式要求在规定位置进行签署、盖章。</w:t>
      </w:r>
      <w:r>
        <w:rPr>
          <w:rFonts w:hint="eastAsia" w:ascii="宋体" w:hAnsi="宋体" w:eastAsia="宋体" w:cs="宋体"/>
          <w:color w:val="000000" w:themeColor="text1"/>
          <w:sz w:val="28"/>
          <w:szCs w:val="28"/>
          <w:highlight w:val="none"/>
          <w:lang w:eastAsia="zh-CN"/>
          <w14:textFill>
            <w14:solidFill>
              <w14:schemeClr w14:val="tx1"/>
            </w14:solidFill>
          </w14:textFill>
        </w:rPr>
        <w:t>供应商</w:t>
      </w:r>
      <w:r>
        <w:rPr>
          <w:rFonts w:hint="eastAsia" w:ascii="宋体" w:hAnsi="宋体" w:eastAsia="宋体" w:cs="宋体"/>
          <w:color w:val="000000" w:themeColor="text1"/>
          <w:sz w:val="28"/>
          <w:szCs w:val="28"/>
          <w:highlight w:val="none"/>
          <w14:textFill>
            <w14:solidFill>
              <w14:schemeClr w14:val="tx1"/>
            </w14:solidFill>
          </w14:textFill>
        </w:rPr>
        <w:t>的投标文件未按照招标文件要求签署、盖章的，</w:t>
      </w:r>
      <w:r>
        <w:rPr>
          <w:rFonts w:hint="eastAsia" w:ascii="宋体" w:hAnsi="宋体" w:eastAsia="宋体" w:cs="宋体"/>
          <w:b/>
          <w:color w:val="000000" w:themeColor="text1"/>
          <w:sz w:val="28"/>
          <w:szCs w:val="28"/>
          <w:highlight w:val="none"/>
          <w14:textFill>
            <w14:solidFill>
              <w14:schemeClr w14:val="tx1"/>
            </w14:solidFill>
          </w14:textFill>
        </w:rPr>
        <w:t>其投标无效。</w:t>
      </w:r>
      <w:r>
        <w:rPr>
          <w:rFonts w:hint="eastAsia" w:ascii="宋体" w:hAnsi="宋体" w:eastAsia="宋体" w:cs="宋体"/>
          <w:color w:val="000000" w:themeColor="text1"/>
          <w:sz w:val="28"/>
          <w:szCs w:val="28"/>
          <w:highlight w:val="none"/>
          <w14:textFill>
            <w14:solidFill>
              <w14:schemeClr w14:val="tx1"/>
            </w14:solidFill>
          </w14:textFill>
        </w:rPr>
        <w:t>骑缝盖公章不视为在规定位置盖章。</w:t>
      </w:r>
    </w:p>
    <w:p w14:paraId="22F150F5">
      <w:pPr>
        <w:pStyle w:val="108"/>
        <w:keepNext w:val="0"/>
        <w:keepLines w:val="0"/>
        <w:pageBreakBefore w:val="0"/>
        <w:kinsoku/>
        <w:wordWrap/>
        <w:overflowPunct/>
        <w:topLinePunct w:val="0"/>
        <w:bidi w:val="0"/>
        <w:adjustRightInd/>
        <w:snapToGrid/>
        <w:spacing w:before="0" w:line="560" w:lineRule="exact"/>
        <w:ind w:firstLine="56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19.3为确保网上操作合法、有效和安全，</w:t>
      </w:r>
      <w:r>
        <w:rPr>
          <w:rFonts w:hint="eastAsia" w:ascii="宋体" w:hAnsi="宋体" w:eastAsia="宋体" w:cs="宋体"/>
          <w:color w:val="000000" w:themeColor="text1"/>
          <w:sz w:val="28"/>
          <w:szCs w:val="28"/>
          <w:highlight w:val="none"/>
          <w:lang w:eastAsia="zh-CN"/>
          <w14:textFill>
            <w14:solidFill>
              <w14:schemeClr w14:val="tx1"/>
            </w14:solidFill>
          </w14:textFill>
        </w:rPr>
        <w:t>供应商</w:t>
      </w:r>
      <w:r>
        <w:rPr>
          <w:rFonts w:hint="eastAsia" w:ascii="宋体" w:hAnsi="宋体" w:eastAsia="宋体" w:cs="宋体"/>
          <w:color w:val="000000" w:themeColor="text1"/>
          <w:sz w:val="28"/>
          <w:szCs w:val="28"/>
          <w:highlight w:val="none"/>
          <w14:textFill>
            <w14:solidFill>
              <w14:schemeClr w14:val="tx1"/>
            </w14:solidFill>
          </w14:textFill>
        </w:rPr>
        <w:t>应当在投标截止时间前完成在“政采云”平台的身份认证，确保在电子投标过程中能够对相关数据电文进行加密和使用电子签名。</w:t>
      </w:r>
    </w:p>
    <w:p w14:paraId="40332545">
      <w:pPr>
        <w:keepNext w:val="0"/>
        <w:keepLines w:val="0"/>
        <w:pageBreakBefore w:val="0"/>
        <w:kinsoku/>
        <w:wordWrap/>
        <w:overflowPunct/>
        <w:topLinePunct w:val="0"/>
        <w:bidi w:val="0"/>
        <w:adjustRightInd/>
        <w:snapToGrid/>
        <w:spacing w:line="560" w:lineRule="exact"/>
        <w:ind w:firstLine="562" w:firstLineChars="200"/>
        <w:jc w:val="both"/>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19.4投标文件中标注的</w:t>
      </w:r>
      <w:r>
        <w:rPr>
          <w:rFonts w:hint="eastAsia" w:ascii="宋体" w:hAnsi="宋体" w:cs="宋体"/>
          <w:b/>
          <w:color w:val="000000" w:themeColor="text1"/>
          <w:sz w:val="28"/>
          <w:szCs w:val="28"/>
          <w:highlight w:val="none"/>
          <w:lang w:eastAsia="zh-CN"/>
          <w14:textFill>
            <w14:solidFill>
              <w14:schemeClr w14:val="tx1"/>
            </w14:solidFill>
          </w14:textFill>
        </w:rPr>
        <w:t>供应商</w:t>
      </w:r>
      <w:r>
        <w:rPr>
          <w:rFonts w:hint="eastAsia" w:ascii="宋体" w:hAnsi="宋体" w:eastAsia="宋体" w:cs="宋体"/>
          <w:b/>
          <w:color w:val="000000" w:themeColor="text1"/>
          <w:sz w:val="28"/>
          <w:szCs w:val="28"/>
          <w:highlight w:val="none"/>
          <w14:textFill>
            <w14:solidFill>
              <w14:schemeClr w14:val="tx1"/>
            </w14:solidFill>
          </w14:textFill>
        </w:rPr>
        <w:t>名称应与主体资格证明（如营业执照、事业单位法人证书、执业许可证、自然人身份证等）及公章一致，</w:t>
      </w:r>
      <w:r>
        <w:rPr>
          <w:rFonts w:hint="eastAsia" w:ascii="宋体" w:hAnsi="宋体" w:eastAsia="宋体" w:cs="宋体"/>
          <w:color w:val="000000" w:themeColor="text1"/>
          <w:sz w:val="28"/>
          <w:szCs w:val="28"/>
          <w:highlight w:val="none"/>
          <w14:textFill>
            <w14:solidFill>
              <w14:schemeClr w14:val="tx1"/>
            </w14:solidFill>
          </w14:textFill>
        </w:rPr>
        <w:t>否则作无效投标处理</w:t>
      </w:r>
      <w:r>
        <w:rPr>
          <w:rFonts w:hint="eastAsia" w:ascii="宋体" w:hAnsi="宋体" w:eastAsia="宋体" w:cs="宋体"/>
          <w:b/>
          <w:color w:val="000000" w:themeColor="text1"/>
          <w:sz w:val="28"/>
          <w:szCs w:val="28"/>
          <w:highlight w:val="none"/>
          <w14:textFill>
            <w14:solidFill>
              <w14:schemeClr w14:val="tx1"/>
            </w14:solidFill>
          </w14:textFill>
        </w:rPr>
        <w:t>。</w:t>
      </w:r>
    </w:p>
    <w:p w14:paraId="7A2B6FAA">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 19.5投标文件应避免涂改、行间插字或者删除，</w:t>
      </w:r>
      <w:r>
        <w:rPr>
          <w:rFonts w:hint="eastAsia" w:ascii="宋体" w:hAnsi="宋体" w:eastAsia="宋体" w:cs="宋体"/>
          <w:b/>
          <w:color w:val="000000" w:themeColor="text1"/>
          <w:sz w:val="28"/>
          <w:szCs w:val="28"/>
          <w:highlight w:val="none"/>
          <w14:textFill>
            <w14:solidFill>
              <w14:schemeClr w14:val="tx1"/>
            </w14:solidFill>
          </w14:textFill>
        </w:rPr>
        <w:t>否则其投标无效。</w:t>
      </w:r>
    </w:p>
    <w:p w14:paraId="0E066DE8">
      <w:pPr>
        <w:keepNext w:val="0"/>
        <w:keepLines w:val="0"/>
        <w:pageBreakBefore w:val="0"/>
        <w:kinsoku/>
        <w:wordWrap/>
        <w:overflowPunct/>
        <w:topLinePunct w:val="0"/>
        <w:bidi w:val="0"/>
        <w:adjustRightInd/>
        <w:snapToGrid/>
        <w:spacing w:line="560" w:lineRule="exact"/>
        <w:ind w:firstLine="694" w:firstLineChars="248"/>
        <w:jc w:val="both"/>
        <w:rPr>
          <w:rFonts w:hint="eastAsia" w:ascii="宋体" w:hAnsi="宋体" w:eastAsia="宋体" w:cs="宋体"/>
          <w:b w:val="0"/>
          <w:bCs/>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19.6 对招标文件的实质性要求和条件作出响应是指</w:t>
      </w:r>
      <w:r>
        <w:rPr>
          <w:rFonts w:hint="eastAsia" w:ascii="宋体" w:hAnsi="宋体" w:cs="宋体"/>
          <w:color w:val="000000" w:themeColor="text1"/>
          <w:sz w:val="28"/>
          <w:szCs w:val="28"/>
          <w:highlight w:val="none"/>
          <w:lang w:eastAsia="zh-CN"/>
          <w14:textFill>
            <w14:solidFill>
              <w14:schemeClr w14:val="tx1"/>
            </w14:solidFill>
          </w14:textFill>
        </w:rPr>
        <w:t>供应商</w:t>
      </w:r>
      <w:r>
        <w:rPr>
          <w:rFonts w:hint="eastAsia" w:ascii="宋体" w:hAnsi="宋体" w:eastAsia="宋体" w:cs="宋体"/>
          <w:color w:val="000000" w:themeColor="text1"/>
          <w:sz w:val="28"/>
          <w:szCs w:val="28"/>
          <w:highlight w:val="none"/>
          <w14:textFill>
            <w14:solidFill>
              <w14:schemeClr w14:val="tx1"/>
            </w14:solidFill>
          </w14:textFill>
        </w:rPr>
        <w:t>必须对招标文件中标注为实质性要求和条件的货物内容及要求、商务条款及其它内容</w:t>
      </w:r>
      <w:r>
        <w:rPr>
          <w:rFonts w:hint="eastAsia" w:ascii="宋体" w:hAnsi="宋体" w:eastAsia="宋体" w:cs="宋体"/>
          <w:b w:val="0"/>
          <w:bCs/>
          <w:color w:val="000000" w:themeColor="text1"/>
          <w:sz w:val="28"/>
          <w:szCs w:val="28"/>
          <w:highlight w:val="none"/>
          <w14:textFill>
            <w14:solidFill>
              <w14:schemeClr w14:val="tx1"/>
            </w14:solidFill>
          </w14:textFill>
        </w:rPr>
        <w:t>作出满足或者优于原要求和条件的承诺。</w:t>
      </w:r>
    </w:p>
    <w:p w14:paraId="412C5263">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b w:val="0"/>
          <w:bCs/>
          <w:color w:val="000000" w:themeColor="text1"/>
          <w:sz w:val="28"/>
          <w:szCs w:val="28"/>
          <w:highlight w:val="none"/>
          <w:u w:val="single"/>
          <w14:textFill>
            <w14:solidFill>
              <w14:schemeClr w14:val="tx1"/>
            </w14:solidFill>
          </w14:textFill>
        </w:rPr>
      </w:pPr>
      <w:r>
        <w:rPr>
          <w:rFonts w:hint="eastAsia" w:ascii="宋体" w:hAnsi="宋体" w:eastAsia="宋体" w:cs="宋体"/>
          <w:b w:val="0"/>
          <w:bCs/>
          <w:color w:val="000000" w:themeColor="text1"/>
          <w:sz w:val="28"/>
          <w:szCs w:val="28"/>
          <w:highlight w:val="none"/>
          <w:u w:val="single"/>
          <w14:textFill>
            <w14:solidFill>
              <w14:schemeClr w14:val="tx1"/>
            </w14:solidFill>
          </w14:textFill>
        </w:rPr>
        <w:t xml:space="preserve">19.7本项目为全流程电子化项目，异常情况见“第二节 </w:t>
      </w:r>
      <w:r>
        <w:rPr>
          <w:rFonts w:hint="eastAsia" w:ascii="宋体" w:hAnsi="宋体" w:cs="宋体"/>
          <w:b w:val="0"/>
          <w:bCs/>
          <w:color w:val="000000" w:themeColor="text1"/>
          <w:sz w:val="28"/>
          <w:szCs w:val="28"/>
          <w:highlight w:val="none"/>
          <w:u w:val="single"/>
          <w:lang w:eastAsia="zh-CN"/>
          <w14:textFill>
            <w14:solidFill>
              <w14:schemeClr w14:val="tx1"/>
            </w14:solidFill>
          </w14:textFill>
        </w:rPr>
        <w:t>供应商</w:t>
      </w:r>
      <w:r>
        <w:rPr>
          <w:rFonts w:hint="eastAsia" w:ascii="宋体" w:hAnsi="宋体" w:eastAsia="宋体" w:cs="宋体"/>
          <w:b w:val="0"/>
          <w:bCs/>
          <w:color w:val="000000" w:themeColor="text1"/>
          <w:sz w:val="28"/>
          <w:szCs w:val="28"/>
          <w:highlight w:val="none"/>
          <w:u w:val="single"/>
          <w14:textFill>
            <w14:solidFill>
              <w14:schemeClr w14:val="tx1"/>
            </w14:solidFill>
          </w14:textFill>
        </w:rPr>
        <w:t>须知正文”中“四、24.2开标程序。</w:t>
      </w:r>
    </w:p>
    <w:p w14:paraId="74D9DE56">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20.备份投标文件</w:t>
      </w:r>
    </w:p>
    <w:p w14:paraId="7893EF2F">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详见在“</w:t>
      </w:r>
      <w:r>
        <w:rPr>
          <w:rFonts w:hint="eastAsia" w:ascii="宋体" w:hAnsi="宋体" w:cs="宋体"/>
          <w:bCs/>
          <w:color w:val="000000" w:themeColor="text1"/>
          <w:sz w:val="28"/>
          <w:szCs w:val="28"/>
          <w:highlight w:val="none"/>
          <w:lang w:eastAsia="zh-CN"/>
          <w14:textFill>
            <w14:solidFill>
              <w14:schemeClr w14:val="tx1"/>
            </w14:solidFill>
          </w14:textFill>
        </w:rPr>
        <w:t>供应商</w:t>
      </w:r>
      <w:r>
        <w:rPr>
          <w:rFonts w:hint="eastAsia" w:ascii="宋体" w:hAnsi="宋体" w:eastAsia="宋体" w:cs="宋体"/>
          <w:bCs/>
          <w:color w:val="000000" w:themeColor="text1"/>
          <w:sz w:val="28"/>
          <w:szCs w:val="28"/>
          <w:highlight w:val="none"/>
          <w14:textFill>
            <w14:solidFill>
              <w14:schemeClr w14:val="tx1"/>
            </w14:solidFill>
          </w14:textFill>
        </w:rPr>
        <w:t>须知前附表”。</w:t>
      </w:r>
    </w:p>
    <w:p w14:paraId="587C0132">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21.投标文件的提交</w:t>
      </w:r>
    </w:p>
    <w:p w14:paraId="24BF35FA">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21.1</w:t>
      </w:r>
      <w:r>
        <w:rPr>
          <w:rFonts w:hint="eastAsia" w:ascii="宋体" w:hAnsi="宋体" w:cs="宋体"/>
          <w:bCs/>
          <w:color w:val="000000" w:themeColor="text1"/>
          <w:sz w:val="28"/>
          <w:szCs w:val="28"/>
          <w:highlight w:val="none"/>
          <w:lang w:eastAsia="zh-CN"/>
          <w14:textFill>
            <w14:solidFill>
              <w14:schemeClr w14:val="tx1"/>
            </w14:solidFill>
          </w14:textFill>
        </w:rPr>
        <w:t>供应商</w:t>
      </w:r>
      <w:r>
        <w:rPr>
          <w:rFonts w:hint="eastAsia" w:ascii="宋体" w:hAnsi="宋体" w:eastAsia="宋体" w:cs="宋体"/>
          <w:bCs/>
          <w:color w:val="000000" w:themeColor="text1"/>
          <w:sz w:val="28"/>
          <w:szCs w:val="28"/>
          <w:highlight w:val="none"/>
          <w14:textFill>
            <w14:solidFill>
              <w14:schemeClr w14:val="tx1"/>
            </w14:solidFill>
          </w14:textFill>
        </w:rPr>
        <w:t>必须在“</w:t>
      </w:r>
      <w:r>
        <w:rPr>
          <w:rFonts w:hint="eastAsia" w:ascii="宋体" w:hAnsi="宋体" w:cs="宋体"/>
          <w:bCs/>
          <w:color w:val="000000" w:themeColor="text1"/>
          <w:sz w:val="28"/>
          <w:szCs w:val="28"/>
          <w:highlight w:val="none"/>
          <w:lang w:eastAsia="zh-CN"/>
          <w14:textFill>
            <w14:solidFill>
              <w14:schemeClr w14:val="tx1"/>
            </w14:solidFill>
          </w14:textFill>
        </w:rPr>
        <w:t>供应商</w:t>
      </w:r>
      <w:r>
        <w:rPr>
          <w:rFonts w:hint="eastAsia" w:ascii="宋体" w:hAnsi="宋体" w:eastAsia="宋体" w:cs="宋体"/>
          <w:bCs/>
          <w:color w:val="000000" w:themeColor="text1"/>
          <w:sz w:val="28"/>
          <w:szCs w:val="28"/>
          <w:highlight w:val="none"/>
          <w14:textFill>
            <w14:solidFill>
              <w14:schemeClr w14:val="tx1"/>
            </w14:solidFill>
          </w14:textFill>
        </w:rPr>
        <w:t xml:space="preserve">须知前附表”规定的投标文件接收时间和投标地点提交电子版投标文件。电子投标文件应在制作完成后，在投标截止时间前通过有效数字证书（CA认证锁）进行电子签章、加密，然后通过网络将加密的电子投标文件递交至“新疆政采云平台”。 </w:t>
      </w:r>
      <w:r>
        <w:rPr>
          <w:rFonts w:hint="eastAsia" w:ascii="宋体" w:hAnsi="宋体" w:eastAsia="宋体" w:cs="宋体"/>
          <w:b/>
          <w:color w:val="000000" w:themeColor="text1"/>
          <w:sz w:val="28"/>
          <w:szCs w:val="28"/>
          <w:highlight w:val="none"/>
          <w14:textFill>
            <w14:solidFill>
              <w14:schemeClr w14:val="tx1"/>
            </w14:solidFill>
          </w14:textFill>
        </w:rPr>
        <w:t xml:space="preserve"> </w:t>
      </w:r>
    </w:p>
    <w:p w14:paraId="6F3D7A3E">
      <w:pPr>
        <w:keepNext w:val="0"/>
        <w:keepLines w:val="0"/>
        <w:pageBreakBefore w:val="0"/>
        <w:kinsoku/>
        <w:wordWrap/>
        <w:overflowPunct/>
        <w:topLinePunct w:val="0"/>
        <w:bidi w:val="0"/>
        <w:adjustRightInd/>
        <w:snapToGrid/>
        <w:spacing w:line="560" w:lineRule="exact"/>
        <w:ind w:firstLine="562" w:firstLineChars="200"/>
        <w:jc w:val="both"/>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21.2未在规定时间内提交或者未按照招标文件要求密封或者标记的电子投标文件，“政采云”平台将拒收。</w:t>
      </w:r>
    </w:p>
    <w:p w14:paraId="327B8CF1">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21.3电子版投标文件提交方式见“招标公告”中“提交投标文件截止时间、开标时间和地点”</w:t>
      </w:r>
      <w:r>
        <w:rPr>
          <w:rFonts w:hint="eastAsia" w:ascii="宋体" w:hAnsi="宋体" w:eastAsia="宋体" w:cs="宋体"/>
          <w:b/>
          <w:color w:val="000000" w:themeColor="text1"/>
          <w:sz w:val="28"/>
          <w:szCs w:val="28"/>
          <w:highlight w:val="none"/>
          <w14:textFill>
            <w14:solidFill>
              <w14:schemeClr w14:val="tx1"/>
            </w14:solidFill>
          </w14:textFill>
        </w:rPr>
        <w:t xml:space="preserve"> 。</w:t>
      </w:r>
    </w:p>
    <w:p w14:paraId="3AE39B96">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22. 投标文件的补充、修改、撤回与退回</w:t>
      </w:r>
    </w:p>
    <w:p w14:paraId="389F0334">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22.1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政采云”平台将拒收。（补充、修改或者撤回方式见公告附件“电子投标文件制作与投送教程”）</w:t>
      </w:r>
    </w:p>
    <w:p w14:paraId="52A1649E">
      <w:pPr>
        <w:pStyle w:val="108"/>
        <w:keepNext w:val="0"/>
        <w:keepLines w:val="0"/>
        <w:pageBreakBefore w:val="0"/>
        <w:kinsoku/>
        <w:wordWrap/>
        <w:overflowPunct/>
        <w:topLinePunct w:val="0"/>
        <w:bidi w:val="0"/>
        <w:adjustRightInd/>
        <w:snapToGrid/>
        <w:spacing w:before="0" w:line="560" w:lineRule="exact"/>
        <w:ind w:firstLine="56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22.2“政采云”平台收到投标文件，将妥善保存并即时向供应商发出确认回执通知。在投标截止时间前，除供应商补充、修改或者撤回投标文件外，任何单位和个人不得解密或提取投标文件。</w:t>
      </w:r>
    </w:p>
    <w:p w14:paraId="1C4A82C9">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22.3在投标截止时间止提交电子版投标文件的</w:t>
      </w:r>
      <w:r>
        <w:rPr>
          <w:rFonts w:hint="eastAsia" w:ascii="宋体" w:hAnsi="宋体" w:cs="宋体"/>
          <w:color w:val="000000" w:themeColor="text1"/>
          <w:sz w:val="28"/>
          <w:szCs w:val="28"/>
          <w:highlight w:val="none"/>
          <w:lang w:eastAsia="zh-CN"/>
          <w14:textFill>
            <w14:solidFill>
              <w14:schemeClr w14:val="tx1"/>
            </w14:solidFill>
          </w14:textFill>
        </w:rPr>
        <w:t>供应商</w:t>
      </w:r>
      <w:r>
        <w:rPr>
          <w:rFonts w:hint="eastAsia" w:ascii="宋体" w:hAnsi="宋体" w:eastAsia="宋体" w:cs="宋体"/>
          <w:color w:val="000000" w:themeColor="text1"/>
          <w:sz w:val="28"/>
          <w:szCs w:val="28"/>
          <w:highlight w:val="none"/>
          <w14:textFill>
            <w14:solidFill>
              <w14:schemeClr w14:val="tx1"/>
            </w14:solidFill>
          </w14:textFill>
        </w:rPr>
        <w:t>不足3家时，电子版投标文件由代理机构在“政采云”平台操作退回，除此之外采购人和采购代理机构对已提交的投标文件概不退回。</w:t>
      </w:r>
    </w:p>
    <w:p w14:paraId="559E7DE3">
      <w:pPr>
        <w:pStyle w:val="4"/>
        <w:keepNext w:val="0"/>
        <w:keepLines w:val="0"/>
        <w:pageBreakBefore w:val="0"/>
        <w:kinsoku/>
        <w:wordWrap/>
        <w:overflowPunct/>
        <w:topLinePunct w:val="0"/>
        <w:bidi w:val="0"/>
        <w:adjustRightInd/>
        <w:snapToGrid/>
        <w:spacing w:line="560" w:lineRule="exact"/>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四、开    标</w:t>
      </w:r>
    </w:p>
    <w:p w14:paraId="4F5A6E09">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23.开标时间和地点</w:t>
      </w:r>
    </w:p>
    <w:p w14:paraId="5BEDF39B">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23.1开标时间及地点详见“</w:t>
      </w:r>
      <w:r>
        <w:rPr>
          <w:rFonts w:hint="eastAsia" w:ascii="宋体" w:hAnsi="宋体" w:cs="宋体"/>
          <w:bCs/>
          <w:color w:val="000000" w:themeColor="text1"/>
          <w:sz w:val="28"/>
          <w:szCs w:val="28"/>
          <w:highlight w:val="none"/>
          <w:lang w:eastAsia="zh-CN"/>
          <w14:textFill>
            <w14:solidFill>
              <w14:schemeClr w14:val="tx1"/>
            </w14:solidFill>
          </w14:textFill>
        </w:rPr>
        <w:t>供应商</w:t>
      </w:r>
      <w:r>
        <w:rPr>
          <w:rFonts w:hint="eastAsia" w:ascii="宋体" w:hAnsi="宋体" w:eastAsia="宋体" w:cs="宋体"/>
          <w:bCs/>
          <w:color w:val="000000" w:themeColor="text1"/>
          <w:sz w:val="28"/>
          <w:szCs w:val="28"/>
          <w:highlight w:val="none"/>
          <w14:textFill>
            <w14:solidFill>
              <w14:schemeClr w14:val="tx1"/>
            </w14:solidFill>
          </w14:textFill>
        </w:rPr>
        <w:t>须知前附表”</w:t>
      </w:r>
    </w:p>
    <w:p w14:paraId="1062CC22">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23.2如</w:t>
      </w:r>
      <w:r>
        <w:rPr>
          <w:rFonts w:hint="eastAsia" w:ascii="宋体" w:hAnsi="宋体" w:cs="宋体"/>
          <w:bCs/>
          <w:color w:val="000000" w:themeColor="text1"/>
          <w:sz w:val="28"/>
          <w:szCs w:val="28"/>
          <w:highlight w:val="none"/>
          <w:lang w:eastAsia="zh-CN"/>
          <w14:textFill>
            <w14:solidFill>
              <w14:schemeClr w14:val="tx1"/>
            </w14:solidFill>
          </w14:textFill>
        </w:rPr>
        <w:t>供应商</w:t>
      </w:r>
      <w:r>
        <w:rPr>
          <w:rFonts w:hint="eastAsia" w:ascii="宋体" w:hAnsi="宋体" w:eastAsia="宋体" w:cs="宋体"/>
          <w:bCs/>
          <w:color w:val="000000" w:themeColor="text1"/>
          <w:sz w:val="28"/>
          <w:szCs w:val="28"/>
          <w:highlight w:val="none"/>
          <w14:textFill>
            <w14:solidFill>
              <w14:schemeClr w14:val="tx1"/>
            </w14:solidFill>
          </w14:textFill>
        </w:rPr>
        <w:t>成功解密投标文件，但未在“政采云”电子开标大厅参加开标的，视同认可开标过程和结果，</w:t>
      </w:r>
      <w:r>
        <w:rPr>
          <w:rFonts w:hint="eastAsia" w:ascii="宋体" w:hAnsi="宋体" w:eastAsia="宋体" w:cs="宋体"/>
          <w:color w:val="000000" w:themeColor="text1"/>
          <w:sz w:val="28"/>
          <w:szCs w:val="28"/>
          <w:highlight w:val="none"/>
          <w14:textFill>
            <w14:solidFill>
              <w14:schemeClr w14:val="tx1"/>
            </w14:solidFill>
          </w14:textFill>
        </w:rPr>
        <w:t>由此产生的后果由</w:t>
      </w:r>
      <w:r>
        <w:rPr>
          <w:rFonts w:hint="eastAsia" w:ascii="宋体" w:hAnsi="宋体" w:cs="宋体"/>
          <w:color w:val="000000" w:themeColor="text1"/>
          <w:sz w:val="28"/>
          <w:szCs w:val="28"/>
          <w:highlight w:val="none"/>
          <w:lang w:eastAsia="zh-CN"/>
          <w14:textFill>
            <w14:solidFill>
              <w14:schemeClr w14:val="tx1"/>
            </w14:solidFill>
          </w14:textFill>
        </w:rPr>
        <w:t>供应商</w:t>
      </w:r>
      <w:r>
        <w:rPr>
          <w:rFonts w:hint="eastAsia" w:ascii="宋体" w:hAnsi="宋体" w:eastAsia="宋体" w:cs="宋体"/>
          <w:color w:val="000000" w:themeColor="text1"/>
          <w:sz w:val="28"/>
          <w:szCs w:val="28"/>
          <w:highlight w:val="none"/>
          <w14:textFill>
            <w14:solidFill>
              <w14:schemeClr w14:val="tx1"/>
            </w14:solidFill>
          </w14:textFill>
        </w:rPr>
        <w:t xml:space="preserve">自行负责。 </w:t>
      </w:r>
      <w:r>
        <w:rPr>
          <w:rFonts w:hint="eastAsia" w:ascii="宋体" w:hAnsi="宋体" w:cs="宋体"/>
          <w:color w:val="000000" w:themeColor="text1"/>
          <w:sz w:val="28"/>
          <w:szCs w:val="28"/>
          <w:highlight w:val="none"/>
          <w:lang w:eastAsia="zh-CN"/>
          <w14:textFill>
            <w14:solidFill>
              <w14:schemeClr w14:val="tx1"/>
            </w14:solidFill>
          </w14:textFill>
        </w:rPr>
        <w:t>供应商</w:t>
      </w:r>
      <w:r>
        <w:rPr>
          <w:rFonts w:hint="eastAsia" w:ascii="宋体" w:hAnsi="宋体" w:eastAsia="宋体" w:cs="宋体"/>
          <w:color w:val="000000" w:themeColor="text1"/>
          <w:sz w:val="28"/>
          <w:szCs w:val="28"/>
          <w:highlight w:val="none"/>
          <w14:textFill>
            <w14:solidFill>
              <w14:schemeClr w14:val="tx1"/>
            </w14:solidFill>
          </w14:textFill>
        </w:rPr>
        <w:t>不足3家的，不得开标。</w:t>
      </w:r>
    </w:p>
    <w:p w14:paraId="63097CCA">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24.开标程序</w:t>
      </w:r>
    </w:p>
    <w:p w14:paraId="440BC526">
      <w:pPr>
        <w:keepNext w:val="0"/>
        <w:keepLines w:val="0"/>
        <w:pageBreakBefore w:val="0"/>
        <w:kinsoku/>
        <w:wordWrap/>
        <w:overflowPunct/>
        <w:topLinePunct w:val="0"/>
        <w:autoSpaceDE w:val="0"/>
        <w:autoSpaceDN w:val="0"/>
        <w:bidi w:val="0"/>
        <w:adjustRightInd/>
        <w:snapToGrid/>
        <w:spacing w:line="560" w:lineRule="exact"/>
        <w:ind w:firstLine="560" w:firstLineChars="200"/>
        <w:jc w:val="both"/>
        <w:rPr>
          <w:rFonts w:hint="eastAsia" w:ascii="宋体" w:hAnsi="宋体" w:eastAsia="宋体" w:cs="宋体"/>
          <w:color w:val="000000" w:themeColor="text1"/>
          <w:kern w:val="0"/>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24.1</w:t>
      </w:r>
      <w:r>
        <w:rPr>
          <w:rFonts w:hint="eastAsia" w:ascii="宋体" w:hAnsi="宋体" w:eastAsia="宋体" w:cs="宋体"/>
          <w:color w:val="000000" w:themeColor="text1"/>
          <w:kern w:val="0"/>
          <w:sz w:val="28"/>
          <w:szCs w:val="28"/>
          <w:highlight w:val="none"/>
          <w14:textFill>
            <w14:solidFill>
              <w14:schemeClr w14:val="tx1"/>
            </w14:solidFill>
          </w14:textFill>
        </w:rPr>
        <w:t>开标形式：</w:t>
      </w:r>
    </w:p>
    <w:p w14:paraId="4E52D54A">
      <w:pPr>
        <w:keepNext w:val="0"/>
        <w:keepLines w:val="0"/>
        <w:pageBreakBefore w:val="0"/>
        <w:kinsoku/>
        <w:wordWrap/>
        <w:overflowPunct/>
        <w:topLinePunct w:val="0"/>
        <w:autoSpaceDE w:val="0"/>
        <w:autoSpaceDN w:val="0"/>
        <w:bidi w:val="0"/>
        <w:adjustRightInd/>
        <w:snapToGrid/>
        <w:spacing w:line="560" w:lineRule="exact"/>
        <w:ind w:firstLine="560" w:firstLineChars="200"/>
        <w:jc w:val="both"/>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w:t>
      </w:r>
      <w:r>
        <w:rPr>
          <w:rFonts w:hint="eastAsia" w:ascii="宋体" w:hAnsi="宋体" w:eastAsia="宋体" w:cs="宋体"/>
          <w:bCs/>
          <w:color w:val="000000" w:themeColor="text1"/>
          <w:sz w:val="28"/>
          <w:szCs w:val="28"/>
          <w:highlight w:val="none"/>
          <w14:textFill>
            <w14:solidFill>
              <w14:schemeClr w14:val="tx1"/>
            </w14:solidFill>
          </w14:textFill>
        </w:rPr>
        <w:t>开标的准备工作由采购代理机构负责落实，采购代理机构必须基于“政采云”平台选取评审专家，如采购代理机构未按规定选取专家的，视为本次开评标无效，应当重新采购；</w:t>
      </w:r>
    </w:p>
    <w:p w14:paraId="182BA451">
      <w:pPr>
        <w:keepNext w:val="0"/>
        <w:keepLines w:val="0"/>
        <w:pageBreakBefore w:val="0"/>
        <w:kinsoku/>
        <w:wordWrap/>
        <w:overflowPunct/>
        <w:topLinePunct w:val="0"/>
        <w:autoSpaceDE w:val="0"/>
        <w:autoSpaceDN w:val="0"/>
        <w:bidi w:val="0"/>
        <w:adjustRightInd/>
        <w:snapToGrid/>
        <w:spacing w:line="560" w:lineRule="exact"/>
        <w:ind w:firstLine="560" w:firstLineChars="200"/>
        <w:jc w:val="both"/>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（2）采购代理机构将按照招标文件规定的时间通过“政采云”平台组织线上开标活动、开启投标文件，所有供应商均应当准时在线参加。</w:t>
      </w:r>
      <w:r>
        <w:rPr>
          <w:rFonts w:hint="eastAsia" w:ascii="宋体" w:hAnsi="宋体" w:cs="宋体"/>
          <w:bCs/>
          <w:color w:val="000000" w:themeColor="text1"/>
          <w:sz w:val="28"/>
          <w:szCs w:val="28"/>
          <w:highlight w:val="none"/>
          <w:lang w:eastAsia="zh-CN"/>
          <w14:textFill>
            <w14:solidFill>
              <w14:schemeClr w14:val="tx1"/>
            </w14:solidFill>
          </w14:textFill>
        </w:rPr>
        <w:t>供应商</w:t>
      </w:r>
      <w:r>
        <w:rPr>
          <w:rFonts w:hint="eastAsia" w:ascii="宋体" w:hAnsi="宋体" w:eastAsia="宋体" w:cs="宋体"/>
          <w:bCs/>
          <w:color w:val="000000" w:themeColor="text1"/>
          <w:sz w:val="28"/>
          <w:szCs w:val="28"/>
          <w:highlight w:val="none"/>
          <w14:textFill>
            <w14:solidFill>
              <w14:schemeClr w14:val="tx1"/>
            </w14:solidFill>
          </w14:textFill>
        </w:rPr>
        <w:t>如不参加开标大会的，视同认可开标结果，事后不得对采购相关人员、开标过程和开标结果提出异议，同时</w:t>
      </w:r>
      <w:r>
        <w:rPr>
          <w:rFonts w:hint="eastAsia" w:ascii="宋体" w:hAnsi="宋体" w:cs="宋体"/>
          <w:bCs/>
          <w:color w:val="000000" w:themeColor="text1"/>
          <w:sz w:val="28"/>
          <w:szCs w:val="28"/>
          <w:highlight w:val="none"/>
          <w:lang w:eastAsia="zh-CN"/>
          <w14:textFill>
            <w14:solidFill>
              <w14:schemeClr w14:val="tx1"/>
            </w14:solidFill>
          </w14:textFill>
        </w:rPr>
        <w:t>供应商</w:t>
      </w:r>
      <w:r>
        <w:rPr>
          <w:rFonts w:hint="eastAsia" w:ascii="宋体" w:hAnsi="宋体" w:eastAsia="宋体" w:cs="宋体"/>
          <w:bCs/>
          <w:color w:val="000000" w:themeColor="text1"/>
          <w:sz w:val="28"/>
          <w:szCs w:val="28"/>
          <w:highlight w:val="none"/>
          <w14:textFill>
            <w14:solidFill>
              <w14:schemeClr w14:val="tx1"/>
            </w14:solidFill>
          </w14:textFill>
        </w:rPr>
        <w:t>因未在线参加开标而导致投标文件无法按时解密等一切后果由</w:t>
      </w:r>
      <w:r>
        <w:rPr>
          <w:rFonts w:hint="eastAsia" w:ascii="宋体" w:hAnsi="宋体" w:cs="宋体"/>
          <w:bCs/>
          <w:color w:val="000000" w:themeColor="text1"/>
          <w:sz w:val="28"/>
          <w:szCs w:val="28"/>
          <w:highlight w:val="none"/>
          <w:lang w:eastAsia="zh-CN"/>
          <w14:textFill>
            <w14:solidFill>
              <w14:schemeClr w14:val="tx1"/>
            </w14:solidFill>
          </w14:textFill>
        </w:rPr>
        <w:t>供应商</w:t>
      </w:r>
      <w:r>
        <w:rPr>
          <w:rFonts w:hint="eastAsia" w:ascii="宋体" w:hAnsi="宋体" w:eastAsia="宋体" w:cs="宋体"/>
          <w:bCs/>
          <w:color w:val="000000" w:themeColor="text1"/>
          <w:sz w:val="28"/>
          <w:szCs w:val="28"/>
          <w:highlight w:val="none"/>
          <w14:textFill>
            <w14:solidFill>
              <w14:schemeClr w14:val="tx1"/>
            </w14:solidFill>
          </w14:textFill>
        </w:rPr>
        <w:t>自己承担。</w:t>
      </w:r>
    </w:p>
    <w:p w14:paraId="28E3EAFE">
      <w:pPr>
        <w:keepNext w:val="0"/>
        <w:keepLines w:val="0"/>
        <w:pageBreakBefore w:val="0"/>
        <w:kinsoku/>
        <w:wordWrap/>
        <w:overflowPunct/>
        <w:topLinePunct w:val="0"/>
        <w:autoSpaceDE w:val="0"/>
        <w:autoSpaceDN w:val="0"/>
        <w:bidi w:val="0"/>
        <w:adjustRightInd/>
        <w:snapToGrid/>
        <w:spacing w:line="560" w:lineRule="exact"/>
        <w:ind w:firstLine="560" w:firstLineChars="200"/>
        <w:jc w:val="both"/>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24.2开标程序：</w:t>
      </w:r>
    </w:p>
    <w:p w14:paraId="016FC702">
      <w:pPr>
        <w:keepNext w:val="0"/>
        <w:keepLines w:val="0"/>
        <w:pageBreakBefore w:val="0"/>
        <w:kinsoku/>
        <w:wordWrap/>
        <w:overflowPunct/>
        <w:topLinePunct w:val="0"/>
        <w:bidi w:val="0"/>
        <w:adjustRightInd/>
        <w:snapToGrid/>
        <w:spacing w:line="560" w:lineRule="exact"/>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（1）解密电子投标文件。“政采云”平台按开标时间自动提取所有投标文件。采购代理机构依托“政采云”平台向各</w:t>
      </w:r>
      <w:r>
        <w:rPr>
          <w:rFonts w:hint="eastAsia" w:ascii="宋体" w:hAnsi="宋体" w:cs="宋体"/>
          <w:color w:val="000000" w:themeColor="text1"/>
          <w:sz w:val="28"/>
          <w:szCs w:val="28"/>
          <w:highlight w:val="none"/>
          <w:lang w:eastAsia="zh-CN"/>
          <w14:textFill>
            <w14:solidFill>
              <w14:schemeClr w14:val="tx1"/>
            </w14:solidFill>
          </w14:textFill>
        </w:rPr>
        <w:t>供应商</w:t>
      </w:r>
      <w:r>
        <w:rPr>
          <w:rFonts w:hint="eastAsia" w:ascii="宋体" w:hAnsi="宋体" w:eastAsia="宋体" w:cs="宋体"/>
          <w:color w:val="000000" w:themeColor="text1"/>
          <w:sz w:val="28"/>
          <w:szCs w:val="28"/>
          <w:highlight w:val="none"/>
          <w14:textFill>
            <w14:solidFill>
              <w14:schemeClr w14:val="tx1"/>
            </w14:solidFill>
          </w14:textFill>
        </w:rPr>
        <w:t>发出电子加密投标文件【开始解密】通知，由</w:t>
      </w:r>
      <w:r>
        <w:rPr>
          <w:rFonts w:hint="eastAsia" w:ascii="宋体" w:hAnsi="宋体" w:cs="宋体"/>
          <w:color w:val="000000" w:themeColor="text1"/>
          <w:sz w:val="28"/>
          <w:szCs w:val="28"/>
          <w:highlight w:val="none"/>
          <w:lang w:eastAsia="zh-CN"/>
          <w14:textFill>
            <w14:solidFill>
              <w14:schemeClr w14:val="tx1"/>
            </w14:solidFill>
          </w14:textFill>
        </w:rPr>
        <w:t>供应商</w:t>
      </w:r>
      <w:r>
        <w:rPr>
          <w:rFonts w:hint="eastAsia" w:ascii="宋体" w:hAnsi="宋体" w:eastAsia="宋体" w:cs="宋体"/>
          <w:color w:val="000000" w:themeColor="text1"/>
          <w:sz w:val="28"/>
          <w:szCs w:val="28"/>
          <w:highlight w:val="none"/>
          <w14:textFill>
            <w14:solidFill>
              <w14:schemeClr w14:val="tx1"/>
            </w14:solidFill>
          </w14:textFill>
        </w:rPr>
        <w:t>按招标文件规定的时间内自行进行投标文件解密。</w:t>
      </w:r>
      <w:r>
        <w:rPr>
          <w:rFonts w:hint="eastAsia" w:ascii="宋体" w:hAnsi="宋体" w:cs="宋体"/>
          <w:color w:val="000000" w:themeColor="text1"/>
          <w:sz w:val="28"/>
          <w:szCs w:val="28"/>
          <w:highlight w:val="none"/>
          <w:lang w:eastAsia="zh-CN"/>
          <w14:textFill>
            <w14:solidFill>
              <w14:schemeClr w14:val="tx1"/>
            </w14:solidFill>
          </w14:textFill>
        </w:rPr>
        <w:t>供应商</w:t>
      </w:r>
      <w:r>
        <w:rPr>
          <w:rFonts w:hint="eastAsia" w:ascii="宋体" w:hAnsi="宋体" w:eastAsia="宋体" w:cs="宋体"/>
          <w:color w:val="000000" w:themeColor="text1"/>
          <w:sz w:val="28"/>
          <w:szCs w:val="28"/>
          <w:highlight w:val="none"/>
          <w14:textFill>
            <w14:solidFill>
              <w14:schemeClr w14:val="tx1"/>
            </w14:solidFill>
          </w14:textFill>
        </w:rPr>
        <w:t>的法定代表人或其委托代理人须携带加密时所用的CA锁准时登录到“政采云”平台电子开标大厅签到并对电子投标文件解密。开标后5分钟</w:t>
      </w:r>
      <w:r>
        <w:rPr>
          <w:rFonts w:hint="eastAsia" w:ascii="宋体" w:hAnsi="宋体" w:cs="宋体"/>
          <w:color w:val="000000" w:themeColor="text1"/>
          <w:sz w:val="28"/>
          <w:szCs w:val="28"/>
          <w:highlight w:val="none"/>
          <w:lang w:eastAsia="zh-CN"/>
          <w14:textFill>
            <w14:solidFill>
              <w14:schemeClr w14:val="tx1"/>
            </w14:solidFill>
          </w14:textFill>
        </w:rPr>
        <w:t>供应商</w:t>
      </w:r>
      <w:r>
        <w:rPr>
          <w:rFonts w:hint="eastAsia" w:ascii="宋体" w:hAnsi="宋体" w:eastAsia="宋体" w:cs="宋体"/>
          <w:color w:val="000000" w:themeColor="text1"/>
          <w:sz w:val="28"/>
          <w:szCs w:val="28"/>
          <w:highlight w:val="none"/>
          <w14:textFill>
            <w14:solidFill>
              <w14:schemeClr w14:val="tx1"/>
            </w14:solidFill>
          </w14:textFill>
        </w:rPr>
        <w:t>还未进行解密的，代理机构要通知</w:t>
      </w:r>
      <w:r>
        <w:rPr>
          <w:rFonts w:hint="eastAsia" w:ascii="宋体" w:hAnsi="宋体" w:cs="宋体"/>
          <w:color w:val="000000" w:themeColor="text1"/>
          <w:sz w:val="28"/>
          <w:szCs w:val="28"/>
          <w:highlight w:val="none"/>
          <w:lang w:eastAsia="zh-CN"/>
          <w14:textFill>
            <w14:solidFill>
              <w14:schemeClr w14:val="tx1"/>
            </w14:solidFill>
          </w14:textFill>
        </w:rPr>
        <w:t>供应商</w:t>
      </w:r>
      <w:r>
        <w:rPr>
          <w:rFonts w:hint="eastAsia" w:ascii="宋体" w:hAnsi="宋体" w:eastAsia="宋体" w:cs="宋体"/>
          <w:color w:val="000000" w:themeColor="text1"/>
          <w:sz w:val="28"/>
          <w:szCs w:val="28"/>
          <w:highlight w:val="none"/>
          <w14:textFill>
            <w14:solidFill>
              <w14:schemeClr w14:val="tx1"/>
            </w14:solidFill>
          </w14:textFill>
        </w:rPr>
        <w:t>。通知后，投标文件仍未按时解密，或者</w:t>
      </w:r>
      <w:r>
        <w:rPr>
          <w:rFonts w:hint="eastAsia" w:ascii="宋体" w:hAnsi="宋体" w:cs="宋体"/>
          <w:color w:val="000000" w:themeColor="text1"/>
          <w:sz w:val="28"/>
          <w:szCs w:val="28"/>
          <w:highlight w:val="none"/>
          <w:lang w:eastAsia="zh-CN"/>
          <w14:textFill>
            <w14:solidFill>
              <w14:schemeClr w14:val="tx1"/>
            </w14:solidFill>
          </w14:textFill>
        </w:rPr>
        <w:t>供应商</w:t>
      </w:r>
      <w:r>
        <w:rPr>
          <w:rFonts w:hint="eastAsia" w:ascii="宋体" w:hAnsi="宋体" w:eastAsia="宋体" w:cs="宋体"/>
          <w:color w:val="000000" w:themeColor="text1"/>
          <w:sz w:val="28"/>
          <w:szCs w:val="28"/>
          <w:highlight w:val="none"/>
          <w14:textFill>
            <w14:solidFill>
              <w14:schemeClr w14:val="tx1"/>
            </w14:solidFill>
          </w14:textFill>
        </w:rPr>
        <w:t>没预留联系方式或预留联系方式无效，导致代理机构无法联系到</w:t>
      </w:r>
      <w:r>
        <w:rPr>
          <w:rFonts w:hint="eastAsia" w:ascii="宋体" w:hAnsi="宋体" w:cs="宋体"/>
          <w:color w:val="000000" w:themeColor="text1"/>
          <w:sz w:val="28"/>
          <w:szCs w:val="28"/>
          <w:highlight w:val="none"/>
          <w:lang w:eastAsia="zh-CN"/>
          <w14:textFill>
            <w14:solidFill>
              <w14:schemeClr w14:val="tx1"/>
            </w14:solidFill>
          </w14:textFill>
        </w:rPr>
        <w:t>供应商</w:t>
      </w:r>
      <w:r>
        <w:rPr>
          <w:rFonts w:hint="eastAsia" w:ascii="宋体" w:hAnsi="宋体" w:eastAsia="宋体" w:cs="宋体"/>
          <w:color w:val="000000" w:themeColor="text1"/>
          <w:sz w:val="28"/>
          <w:szCs w:val="28"/>
          <w:highlight w:val="none"/>
          <w14:textFill>
            <w14:solidFill>
              <w14:schemeClr w14:val="tx1"/>
            </w14:solidFill>
          </w14:textFill>
        </w:rPr>
        <w:t>进行解密的，均视为无效投标。</w:t>
      </w:r>
    </w:p>
    <w:p w14:paraId="5D3D3DB5">
      <w:pPr>
        <w:keepNext w:val="0"/>
        <w:keepLines w:val="0"/>
        <w:pageBreakBefore w:val="0"/>
        <w:kinsoku/>
        <w:wordWrap/>
        <w:overflowPunct/>
        <w:topLinePunct w:val="0"/>
        <w:bidi w:val="0"/>
        <w:adjustRightInd/>
        <w:snapToGrid/>
        <w:spacing w:line="560" w:lineRule="exact"/>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（解密异常情况处理：详见本章29.3 电子交易活动的中止。）</w:t>
      </w:r>
    </w:p>
    <w:p w14:paraId="20A4D120">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（2）</w:t>
      </w:r>
      <w:r>
        <w:rPr>
          <w:rFonts w:hint="eastAsia" w:ascii="宋体" w:hAnsi="宋体" w:eastAsia="宋体" w:cs="宋体"/>
          <w:b w:val="0"/>
          <w:bCs/>
          <w:color w:val="000000" w:themeColor="text1"/>
          <w:sz w:val="28"/>
          <w:szCs w:val="28"/>
          <w:highlight w:val="none"/>
          <w14:textFill>
            <w14:solidFill>
              <w14:schemeClr w14:val="tx1"/>
            </w14:solidFill>
          </w14:textFill>
        </w:rPr>
        <w:t>电子唱标。</w:t>
      </w:r>
      <w:r>
        <w:rPr>
          <w:rFonts w:hint="eastAsia" w:ascii="宋体" w:hAnsi="宋体" w:eastAsia="宋体" w:cs="宋体"/>
          <w:color w:val="000000" w:themeColor="text1"/>
          <w:sz w:val="28"/>
          <w:szCs w:val="28"/>
          <w:highlight w:val="none"/>
          <w14:textFill>
            <w14:solidFill>
              <w14:schemeClr w14:val="tx1"/>
            </w14:solidFill>
          </w14:textFill>
        </w:rPr>
        <w:t>投标文件解密结束，各投标供应商报价均在“政采云”平台远程不见面开标大厅展示；</w:t>
      </w:r>
    </w:p>
    <w:p w14:paraId="25FB2A21">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（3）</w:t>
      </w:r>
      <w:r>
        <w:rPr>
          <w:rFonts w:hint="eastAsia" w:ascii="宋体" w:hAnsi="宋体" w:eastAsia="宋体" w:cs="宋体"/>
          <w:b w:val="0"/>
          <w:bCs/>
          <w:color w:val="000000" w:themeColor="text1"/>
          <w:sz w:val="28"/>
          <w:szCs w:val="28"/>
          <w:highlight w:val="none"/>
          <w14:textFill>
            <w14:solidFill>
              <w14:schemeClr w14:val="tx1"/>
            </w14:solidFill>
          </w14:textFill>
        </w:rPr>
        <w:t>签署电子《政府采购活动现场确认声明书》。</w:t>
      </w:r>
      <w:r>
        <w:rPr>
          <w:rFonts w:hint="eastAsia" w:ascii="宋体" w:hAnsi="宋体" w:eastAsia="宋体" w:cs="宋体"/>
          <w:color w:val="000000" w:themeColor="text1"/>
          <w:sz w:val="28"/>
          <w:szCs w:val="28"/>
          <w:highlight w:val="none"/>
          <w14:textFill>
            <w14:solidFill>
              <w14:schemeClr w14:val="tx1"/>
            </w14:solidFill>
          </w14:textFill>
        </w:rPr>
        <w:t>通过邮件形式在远程不见面开标大厅发送各</w:t>
      </w:r>
      <w:r>
        <w:rPr>
          <w:rFonts w:hint="eastAsia" w:ascii="宋体" w:hAnsi="宋体" w:cs="宋体"/>
          <w:color w:val="000000" w:themeColor="text1"/>
          <w:sz w:val="28"/>
          <w:szCs w:val="28"/>
          <w:highlight w:val="none"/>
          <w:lang w:eastAsia="zh-CN"/>
          <w14:textFill>
            <w14:solidFill>
              <w14:schemeClr w14:val="tx1"/>
            </w14:solidFill>
          </w14:textFill>
        </w:rPr>
        <w:t>供应商</w:t>
      </w:r>
      <w:r>
        <w:rPr>
          <w:rFonts w:hint="eastAsia" w:ascii="宋体" w:hAnsi="宋体" w:eastAsia="宋体" w:cs="宋体"/>
          <w:color w:val="000000" w:themeColor="text1"/>
          <w:sz w:val="28"/>
          <w:szCs w:val="28"/>
          <w:highlight w:val="none"/>
          <w14:textFill>
            <w14:solidFill>
              <w14:schemeClr w14:val="tx1"/>
            </w14:solidFill>
          </w14:textFill>
        </w:rPr>
        <w:t>签署电子《政府采购活动现场确认声明书》。</w:t>
      </w:r>
    </w:p>
    <w:p w14:paraId="630D8BCB">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（4）开标过程由采购代理机构如实记录，并电子留痕，由参加电子开标的各</w:t>
      </w:r>
      <w:r>
        <w:rPr>
          <w:rFonts w:hint="eastAsia" w:ascii="宋体" w:hAnsi="宋体" w:cs="宋体"/>
          <w:bCs/>
          <w:color w:val="000000" w:themeColor="text1"/>
          <w:sz w:val="28"/>
          <w:szCs w:val="28"/>
          <w:highlight w:val="none"/>
          <w:lang w:eastAsia="zh-CN"/>
          <w14:textFill>
            <w14:solidFill>
              <w14:schemeClr w14:val="tx1"/>
            </w14:solidFill>
          </w14:textFill>
        </w:rPr>
        <w:t>供应商</w:t>
      </w:r>
      <w:r>
        <w:rPr>
          <w:rFonts w:hint="eastAsia" w:ascii="宋体" w:hAnsi="宋体" w:eastAsia="宋体" w:cs="宋体"/>
          <w:bCs/>
          <w:color w:val="000000" w:themeColor="text1"/>
          <w:sz w:val="28"/>
          <w:szCs w:val="28"/>
          <w:highlight w:val="none"/>
          <w14:textFill>
            <w14:solidFill>
              <w14:schemeClr w14:val="tx1"/>
            </w14:solidFill>
          </w14:textFill>
        </w:rPr>
        <w:t>代表对电子开标记录在开标记录公布后15分钟内进行当场校核及勘误，并线上确认，未确认的视同认可开标结果。</w:t>
      </w:r>
    </w:p>
    <w:p w14:paraId="099BBB61">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（5）</w:t>
      </w:r>
      <w:r>
        <w:rPr>
          <w:rFonts w:hint="eastAsia" w:ascii="宋体" w:hAnsi="宋体" w:cs="宋体"/>
          <w:bCs/>
          <w:color w:val="000000" w:themeColor="text1"/>
          <w:sz w:val="28"/>
          <w:szCs w:val="28"/>
          <w:highlight w:val="none"/>
          <w:lang w:eastAsia="zh-CN"/>
          <w14:textFill>
            <w14:solidFill>
              <w14:schemeClr w14:val="tx1"/>
            </w14:solidFill>
          </w14:textFill>
        </w:rPr>
        <w:t>供应商</w:t>
      </w:r>
      <w:r>
        <w:rPr>
          <w:rFonts w:hint="eastAsia" w:ascii="宋体" w:hAnsi="宋体" w:eastAsia="宋体" w:cs="宋体"/>
          <w:bCs/>
          <w:color w:val="000000" w:themeColor="text1"/>
          <w:sz w:val="28"/>
          <w:szCs w:val="28"/>
          <w:highlight w:val="none"/>
          <w14:textFill>
            <w14:solidFill>
              <w14:schemeClr w14:val="tx1"/>
            </w14:solidFill>
          </w14:textFill>
        </w:rPr>
        <w:t>代表对开标过程和开标记录有疑义，以及认为采购人、采购代理机构相关工作人员有需要回避的情形的，应当场提出在线询问或者回避申请。采购人、采购代理机构对</w:t>
      </w:r>
      <w:r>
        <w:rPr>
          <w:rFonts w:hint="eastAsia" w:ascii="宋体" w:hAnsi="宋体" w:cs="宋体"/>
          <w:bCs/>
          <w:color w:val="000000" w:themeColor="text1"/>
          <w:sz w:val="28"/>
          <w:szCs w:val="28"/>
          <w:highlight w:val="none"/>
          <w:lang w:eastAsia="zh-CN"/>
          <w14:textFill>
            <w14:solidFill>
              <w14:schemeClr w14:val="tx1"/>
            </w14:solidFill>
          </w14:textFill>
        </w:rPr>
        <w:t>供应商</w:t>
      </w:r>
      <w:r>
        <w:rPr>
          <w:rFonts w:hint="eastAsia" w:ascii="宋体" w:hAnsi="宋体" w:eastAsia="宋体" w:cs="宋体"/>
          <w:bCs/>
          <w:color w:val="000000" w:themeColor="text1"/>
          <w:sz w:val="28"/>
          <w:szCs w:val="28"/>
          <w:highlight w:val="none"/>
          <w14:textFill>
            <w14:solidFill>
              <w14:schemeClr w14:val="tx1"/>
            </w14:solidFill>
          </w14:textFill>
        </w:rPr>
        <w:t>代表提出的询问或者回避申请应当及时处理。</w:t>
      </w:r>
    </w:p>
    <w:p w14:paraId="1E054F4D">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（6）开标结束。</w:t>
      </w:r>
    </w:p>
    <w:p w14:paraId="7F47F681">
      <w:pPr>
        <w:pStyle w:val="17"/>
        <w:keepNext w:val="0"/>
        <w:keepLines w:val="0"/>
        <w:pageBreakBefore w:val="0"/>
        <w:kinsoku/>
        <w:wordWrap/>
        <w:overflowPunct/>
        <w:topLinePunct w:val="0"/>
        <w:bidi w:val="0"/>
        <w:adjustRightInd/>
        <w:snapToGrid/>
        <w:spacing w:line="560" w:lineRule="exact"/>
        <w:jc w:val="both"/>
        <w:rPr>
          <w:rFonts w:hint="eastAsia" w:ascii="宋体" w:hAnsi="宋体" w:eastAsia="宋体" w:cs="宋体"/>
          <w:b w:val="0"/>
          <w:bCs w:val="0"/>
          <w:color w:val="000000" w:themeColor="text1"/>
          <w:sz w:val="28"/>
          <w:szCs w:val="28"/>
          <w:highlight w:val="none"/>
          <w14:textFill>
            <w14:solidFill>
              <w14:schemeClr w14:val="tx1"/>
            </w14:solidFill>
          </w14:textFill>
        </w:rPr>
      </w:pPr>
      <w:r>
        <w:rPr>
          <w:rFonts w:hint="eastAsia" w:ascii="宋体" w:hAnsi="宋体" w:eastAsia="宋体" w:cs="宋体"/>
          <w:b w:val="0"/>
          <w:bCs w:val="0"/>
          <w:color w:val="000000" w:themeColor="text1"/>
          <w:sz w:val="28"/>
          <w:szCs w:val="28"/>
          <w:highlight w:val="none"/>
          <w14:textFill>
            <w14:solidFill>
              <w14:schemeClr w14:val="tx1"/>
            </w14:solidFill>
          </w14:textFill>
        </w:rPr>
        <w:t>特别说明：如遇“政采云”平台电子化开标或评审程序调整的，按调整后执行。</w:t>
      </w:r>
    </w:p>
    <w:p w14:paraId="1ECC6B1B">
      <w:pPr>
        <w:pStyle w:val="4"/>
        <w:keepNext w:val="0"/>
        <w:keepLines w:val="0"/>
        <w:pageBreakBefore w:val="0"/>
        <w:kinsoku/>
        <w:wordWrap/>
        <w:overflowPunct/>
        <w:topLinePunct w:val="0"/>
        <w:bidi w:val="0"/>
        <w:adjustRightInd/>
        <w:snapToGrid/>
        <w:spacing w:line="560" w:lineRule="exact"/>
        <w:jc w:val="both"/>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t>五、资格审查</w:t>
      </w:r>
    </w:p>
    <w:p w14:paraId="00279CF1">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b w:val="0"/>
          <w:bCs w:val="0"/>
          <w:color w:val="000000" w:themeColor="text1"/>
          <w:sz w:val="28"/>
          <w:szCs w:val="28"/>
          <w:highlight w:val="none"/>
          <w14:textFill>
            <w14:solidFill>
              <w14:schemeClr w14:val="tx1"/>
            </w14:solidFill>
          </w14:textFill>
        </w:rPr>
      </w:pPr>
      <w:r>
        <w:rPr>
          <w:rFonts w:hint="eastAsia" w:ascii="宋体" w:hAnsi="宋体" w:eastAsia="宋体" w:cs="宋体"/>
          <w:b w:val="0"/>
          <w:bCs w:val="0"/>
          <w:color w:val="000000" w:themeColor="text1"/>
          <w:sz w:val="28"/>
          <w:szCs w:val="28"/>
          <w:highlight w:val="none"/>
          <w14:textFill>
            <w14:solidFill>
              <w14:schemeClr w14:val="tx1"/>
            </w14:solidFill>
          </w14:textFill>
        </w:rPr>
        <w:t>25.资格审查</w:t>
      </w:r>
    </w:p>
    <w:p w14:paraId="1A22E2F7">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宋体" w:hAnsi="宋体" w:eastAsia="宋体" w:cs="宋体"/>
          <w:b w:val="0"/>
          <w:bCs w:val="0"/>
          <w:color w:val="000000" w:themeColor="text1"/>
          <w:sz w:val="28"/>
          <w:szCs w:val="28"/>
          <w:highlight w:val="none"/>
          <w14:textFill>
            <w14:solidFill>
              <w14:schemeClr w14:val="tx1"/>
            </w14:solidFill>
          </w14:textFill>
        </w:rPr>
      </w:pPr>
      <w:r>
        <w:rPr>
          <w:rFonts w:hint="eastAsia" w:ascii="宋体" w:hAnsi="宋体" w:eastAsia="宋体" w:cs="宋体"/>
          <w:b w:val="0"/>
          <w:bCs w:val="0"/>
          <w:color w:val="000000" w:themeColor="text1"/>
          <w:sz w:val="28"/>
          <w:szCs w:val="28"/>
          <w:highlight w:val="none"/>
          <w14:textFill>
            <w14:solidFill>
              <w14:schemeClr w14:val="tx1"/>
            </w14:solidFill>
          </w14:textFill>
        </w:rPr>
        <w:t xml:space="preserve"> 25.1开标结束后，采购人或评标委员会依法通过电子投标文件对</w:t>
      </w:r>
      <w:r>
        <w:rPr>
          <w:rFonts w:hint="eastAsia" w:ascii="宋体" w:hAnsi="宋体" w:cs="宋体"/>
          <w:b w:val="0"/>
          <w:bCs w:val="0"/>
          <w:color w:val="000000" w:themeColor="text1"/>
          <w:sz w:val="28"/>
          <w:szCs w:val="28"/>
          <w:highlight w:val="none"/>
          <w:lang w:eastAsia="zh-CN"/>
          <w14:textFill>
            <w14:solidFill>
              <w14:schemeClr w14:val="tx1"/>
            </w14:solidFill>
          </w14:textFill>
        </w:rPr>
        <w:t>供应商</w:t>
      </w:r>
      <w:r>
        <w:rPr>
          <w:rFonts w:hint="eastAsia" w:ascii="宋体" w:hAnsi="宋体" w:eastAsia="宋体" w:cs="宋体"/>
          <w:b w:val="0"/>
          <w:bCs w:val="0"/>
          <w:color w:val="000000" w:themeColor="text1"/>
          <w:sz w:val="28"/>
          <w:szCs w:val="28"/>
          <w:highlight w:val="none"/>
          <w14:textFill>
            <w14:solidFill>
              <w14:schemeClr w14:val="tx1"/>
            </w14:solidFill>
          </w14:textFill>
        </w:rPr>
        <w:t>的资格进行线上审查。</w:t>
      </w:r>
    </w:p>
    <w:p w14:paraId="164230E9">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宋体" w:hAnsi="宋体" w:eastAsia="宋体" w:cs="宋体"/>
          <w:b w:val="0"/>
          <w:bCs w:val="0"/>
          <w:color w:val="000000" w:themeColor="text1"/>
          <w:sz w:val="28"/>
          <w:szCs w:val="28"/>
          <w:highlight w:val="none"/>
          <w14:textFill>
            <w14:solidFill>
              <w14:schemeClr w14:val="tx1"/>
            </w14:solidFill>
          </w14:textFill>
        </w:rPr>
      </w:pPr>
      <w:r>
        <w:rPr>
          <w:rFonts w:hint="eastAsia" w:ascii="宋体" w:hAnsi="宋体" w:eastAsia="宋体" w:cs="宋体"/>
          <w:b w:val="0"/>
          <w:bCs w:val="0"/>
          <w:color w:val="000000" w:themeColor="text1"/>
          <w:sz w:val="28"/>
          <w:szCs w:val="28"/>
          <w:highlight w:val="none"/>
          <w14:textFill>
            <w14:solidFill>
              <w14:schemeClr w14:val="tx1"/>
            </w14:solidFill>
          </w14:textFill>
        </w:rPr>
        <w:t xml:space="preserve"> 25.2采购人或评标委员会依据法律法规和招标文件的规定，对</w:t>
      </w:r>
      <w:r>
        <w:rPr>
          <w:rFonts w:hint="eastAsia" w:ascii="宋体" w:hAnsi="宋体" w:cs="宋体"/>
          <w:b w:val="0"/>
          <w:bCs w:val="0"/>
          <w:color w:val="000000" w:themeColor="text1"/>
          <w:sz w:val="28"/>
          <w:szCs w:val="28"/>
          <w:highlight w:val="none"/>
          <w:lang w:eastAsia="zh-CN"/>
          <w14:textFill>
            <w14:solidFill>
              <w14:schemeClr w14:val="tx1"/>
            </w14:solidFill>
          </w14:textFill>
        </w:rPr>
        <w:t>供应商</w:t>
      </w:r>
      <w:r>
        <w:rPr>
          <w:rFonts w:hint="eastAsia" w:ascii="宋体" w:hAnsi="宋体" w:eastAsia="宋体" w:cs="宋体"/>
          <w:b w:val="0"/>
          <w:bCs w:val="0"/>
          <w:color w:val="000000" w:themeColor="text1"/>
          <w:sz w:val="28"/>
          <w:szCs w:val="28"/>
          <w:highlight w:val="none"/>
          <w14:textFill>
            <w14:solidFill>
              <w14:schemeClr w14:val="tx1"/>
            </w14:solidFill>
          </w14:textFill>
        </w:rPr>
        <w:t>的基本资格条件、特定资格条件进行审查。</w:t>
      </w:r>
    </w:p>
    <w:p w14:paraId="71C66AA6">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25.3资格审查标准为本“招标文件”中“</w:t>
      </w:r>
      <w:r>
        <w:rPr>
          <w:rFonts w:hint="eastAsia" w:ascii="宋体" w:hAnsi="宋体" w:cs="宋体"/>
          <w:color w:val="000000" w:themeColor="text1"/>
          <w:sz w:val="28"/>
          <w:szCs w:val="28"/>
          <w:highlight w:val="none"/>
          <w:lang w:eastAsia="zh-CN"/>
          <w14:textFill>
            <w14:solidFill>
              <w14:schemeClr w14:val="tx1"/>
            </w14:solidFill>
          </w14:textFill>
        </w:rPr>
        <w:t>供应商</w:t>
      </w:r>
      <w:r>
        <w:rPr>
          <w:rFonts w:hint="eastAsia" w:ascii="宋体" w:hAnsi="宋体" w:eastAsia="宋体" w:cs="宋体"/>
          <w:color w:val="000000" w:themeColor="text1"/>
          <w:sz w:val="28"/>
          <w:szCs w:val="28"/>
          <w:highlight w:val="none"/>
          <w14:textFill>
            <w14:solidFill>
              <w14:schemeClr w14:val="tx1"/>
            </w14:solidFill>
          </w14:textFill>
        </w:rPr>
        <w:t>须知前附表”13.1点载明对</w:t>
      </w:r>
      <w:r>
        <w:rPr>
          <w:rFonts w:hint="eastAsia" w:ascii="宋体" w:hAnsi="宋体" w:cs="宋体"/>
          <w:color w:val="000000" w:themeColor="text1"/>
          <w:sz w:val="28"/>
          <w:szCs w:val="28"/>
          <w:highlight w:val="none"/>
          <w:lang w:eastAsia="zh-CN"/>
          <w14:textFill>
            <w14:solidFill>
              <w14:schemeClr w14:val="tx1"/>
            </w14:solidFill>
          </w14:textFill>
        </w:rPr>
        <w:t>供应商</w:t>
      </w:r>
      <w:r>
        <w:rPr>
          <w:rFonts w:hint="eastAsia" w:ascii="宋体" w:hAnsi="宋体" w:eastAsia="宋体" w:cs="宋体"/>
          <w:color w:val="000000" w:themeColor="text1"/>
          <w:sz w:val="28"/>
          <w:szCs w:val="28"/>
          <w:highlight w:val="none"/>
          <w14:textFill>
            <w14:solidFill>
              <w14:schemeClr w14:val="tx1"/>
            </w14:solidFill>
          </w14:textFill>
        </w:rPr>
        <w:t>资格要求的条件。本项目资格审查采用合格制，凡符合招标文件规定的</w:t>
      </w:r>
      <w:r>
        <w:rPr>
          <w:rFonts w:hint="eastAsia" w:ascii="宋体" w:hAnsi="宋体" w:cs="宋体"/>
          <w:color w:val="000000" w:themeColor="text1"/>
          <w:sz w:val="28"/>
          <w:szCs w:val="28"/>
          <w:highlight w:val="none"/>
          <w:lang w:eastAsia="zh-CN"/>
          <w14:textFill>
            <w14:solidFill>
              <w14:schemeClr w14:val="tx1"/>
            </w14:solidFill>
          </w14:textFill>
        </w:rPr>
        <w:t>供应商</w:t>
      </w:r>
      <w:r>
        <w:rPr>
          <w:rFonts w:hint="eastAsia" w:ascii="宋体" w:hAnsi="宋体" w:eastAsia="宋体" w:cs="宋体"/>
          <w:color w:val="000000" w:themeColor="text1"/>
          <w:sz w:val="28"/>
          <w:szCs w:val="28"/>
          <w:highlight w:val="none"/>
          <w14:textFill>
            <w14:solidFill>
              <w14:schemeClr w14:val="tx1"/>
            </w14:solidFill>
          </w14:textFill>
        </w:rPr>
        <w:t>资格要求的</w:t>
      </w:r>
      <w:r>
        <w:rPr>
          <w:rFonts w:hint="eastAsia" w:ascii="宋体" w:hAnsi="宋体" w:cs="宋体"/>
          <w:color w:val="000000" w:themeColor="text1"/>
          <w:sz w:val="28"/>
          <w:szCs w:val="28"/>
          <w:highlight w:val="none"/>
          <w:lang w:eastAsia="zh-CN"/>
          <w14:textFill>
            <w14:solidFill>
              <w14:schemeClr w14:val="tx1"/>
            </w14:solidFill>
          </w14:textFill>
        </w:rPr>
        <w:t>供应商</w:t>
      </w:r>
      <w:r>
        <w:rPr>
          <w:rFonts w:hint="eastAsia" w:ascii="宋体" w:hAnsi="宋体" w:eastAsia="宋体" w:cs="宋体"/>
          <w:color w:val="000000" w:themeColor="text1"/>
          <w:sz w:val="28"/>
          <w:szCs w:val="28"/>
          <w:highlight w:val="none"/>
          <w14:textFill>
            <w14:solidFill>
              <w14:schemeClr w14:val="tx1"/>
            </w14:solidFill>
          </w14:textFill>
        </w:rPr>
        <w:t>均通过资格审查。</w:t>
      </w:r>
    </w:p>
    <w:p w14:paraId="33DCD303">
      <w:pPr>
        <w:keepNext w:val="0"/>
        <w:keepLines w:val="0"/>
        <w:pageBreakBefore w:val="0"/>
        <w:kinsoku/>
        <w:wordWrap/>
        <w:overflowPunct/>
        <w:topLinePunct w:val="0"/>
        <w:bidi w:val="0"/>
        <w:adjustRightInd/>
        <w:snapToGrid/>
        <w:spacing w:line="560" w:lineRule="exact"/>
        <w:ind w:firstLine="562" w:firstLineChars="200"/>
        <w:jc w:val="both"/>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t>25.4</w:t>
      </w:r>
      <w:r>
        <w:rPr>
          <w:rFonts w:hint="eastAsia" w:ascii="宋体" w:hAnsi="宋体" w:cs="宋体"/>
          <w:b/>
          <w:bCs/>
          <w:color w:val="000000" w:themeColor="text1"/>
          <w:sz w:val="28"/>
          <w:szCs w:val="28"/>
          <w:highlight w:val="none"/>
          <w:lang w:eastAsia="zh-CN"/>
          <w14:textFill>
            <w14:solidFill>
              <w14:schemeClr w14:val="tx1"/>
            </w14:solidFill>
          </w14:textFill>
        </w:rPr>
        <w:t>供应商</w:t>
      </w:r>
      <w:r>
        <w:rPr>
          <w:rFonts w:hint="eastAsia" w:ascii="宋体" w:hAnsi="宋体" w:eastAsia="宋体" w:cs="宋体"/>
          <w:b/>
          <w:bCs/>
          <w:color w:val="000000" w:themeColor="text1"/>
          <w:sz w:val="28"/>
          <w:szCs w:val="28"/>
          <w:highlight w:val="none"/>
          <w14:textFill>
            <w14:solidFill>
              <w14:schemeClr w14:val="tx1"/>
            </w14:solidFill>
          </w14:textFill>
        </w:rPr>
        <w:t>有下列情形之一的，资格审查不通过，作无效投标处理：</w:t>
      </w:r>
    </w:p>
    <w:p w14:paraId="5634BF9F">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（1）不具备招标文件中规定的资格要求的；（注：其中信用查询规则见“</w:t>
      </w:r>
      <w:r>
        <w:rPr>
          <w:rFonts w:hint="eastAsia" w:ascii="宋体" w:hAnsi="宋体" w:cs="宋体"/>
          <w:color w:val="000000" w:themeColor="text1"/>
          <w:sz w:val="28"/>
          <w:szCs w:val="28"/>
          <w:highlight w:val="none"/>
          <w:lang w:eastAsia="zh-CN"/>
          <w14:textFill>
            <w14:solidFill>
              <w14:schemeClr w14:val="tx1"/>
            </w14:solidFill>
          </w14:textFill>
        </w:rPr>
        <w:t>供应商</w:t>
      </w:r>
      <w:r>
        <w:rPr>
          <w:rFonts w:hint="eastAsia" w:ascii="宋体" w:hAnsi="宋体" w:eastAsia="宋体" w:cs="宋体"/>
          <w:color w:val="000000" w:themeColor="text1"/>
          <w:sz w:val="28"/>
          <w:szCs w:val="28"/>
          <w:highlight w:val="none"/>
          <w14:textFill>
            <w14:solidFill>
              <w14:schemeClr w14:val="tx1"/>
            </w14:solidFill>
          </w14:textFill>
        </w:rPr>
        <w:t>须知前附表”，“政采云”平台已与“信用中国”平台做接口，审查专家可直接在线查询）</w:t>
      </w:r>
    </w:p>
    <w:p w14:paraId="5CBA944C">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（2）投标文件未提供任一项“</w:t>
      </w:r>
      <w:r>
        <w:rPr>
          <w:rFonts w:hint="eastAsia" w:ascii="宋体" w:hAnsi="宋体" w:cs="宋体"/>
          <w:color w:val="000000" w:themeColor="text1"/>
          <w:sz w:val="28"/>
          <w:szCs w:val="28"/>
          <w:highlight w:val="none"/>
          <w:lang w:eastAsia="zh-CN"/>
          <w14:textFill>
            <w14:solidFill>
              <w14:schemeClr w14:val="tx1"/>
            </w14:solidFill>
          </w14:textFill>
        </w:rPr>
        <w:t>供应商</w:t>
      </w:r>
      <w:r>
        <w:rPr>
          <w:rFonts w:hint="eastAsia" w:ascii="宋体" w:hAnsi="宋体" w:eastAsia="宋体" w:cs="宋体"/>
          <w:color w:val="000000" w:themeColor="text1"/>
          <w:sz w:val="28"/>
          <w:szCs w:val="28"/>
          <w:highlight w:val="none"/>
          <w14:textFill>
            <w14:solidFill>
              <w14:schemeClr w14:val="tx1"/>
            </w14:solidFill>
          </w14:textFill>
        </w:rPr>
        <w:t>须知前附表”资格证明文件规定的“必须提供”的文件资料的；</w:t>
      </w:r>
    </w:p>
    <w:p w14:paraId="590390A2">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（3）投标文件提供的资格证明文件出现任一项不符合“</w:t>
      </w:r>
      <w:r>
        <w:rPr>
          <w:rFonts w:hint="eastAsia" w:ascii="宋体" w:hAnsi="宋体" w:cs="宋体"/>
          <w:color w:val="000000" w:themeColor="text1"/>
          <w:sz w:val="28"/>
          <w:szCs w:val="28"/>
          <w:highlight w:val="none"/>
          <w:lang w:eastAsia="zh-CN"/>
          <w14:textFill>
            <w14:solidFill>
              <w14:schemeClr w14:val="tx1"/>
            </w14:solidFill>
          </w14:textFill>
        </w:rPr>
        <w:t>供应商</w:t>
      </w:r>
      <w:r>
        <w:rPr>
          <w:rFonts w:hint="eastAsia" w:ascii="宋体" w:hAnsi="宋体" w:eastAsia="宋体" w:cs="宋体"/>
          <w:color w:val="000000" w:themeColor="text1"/>
          <w:sz w:val="28"/>
          <w:szCs w:val="28"/>
          <w:highlight w:val="none"/>
          <w14:textFill>
            <w14:solidFill>
              <w14:schemeClr w14:val="tx1"/>
            </w14:solidFill>
          </w14:textFill>
        </w:rPr>
        <w:t>须知前附表”资格证明文件规定的“必须提供”的文件资料要求或者无效的。</w:t>
      </w:r>
    </w:p>
    <w:p w14:paraId="6D59E427">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25.5资格审查的合格</w:t>
      </w:r>
      <w:r>
        <w:rPr>
          <w:rFonts w:hint="eastAsia" w:ascii="宋体" w:hAnsi="宋体" w:eastAsia="宋体" w:cs="宋体"/>
          <w:color w:val="000000" w:themeColor="text1"/>
          <w:sz w:val="28"/>
          <w:szCs w:val="28"/>
          <w:highlight w:val="none"/>
          <w:lang w:eastAsia="zh-CN"/>
          <w14:textFill>
            <w14:solidFill>
              <w14:schemeClr w14:val="tx1"/>
            </w14:solidFill>
          </w14:textFill>
        </w:rPr>
        <w:t>供应商</w:t>
      </w:r>
      <w:r>
        <w:rPr>
          <w:rFonts w:hint="eastAsia" w:ascii="宋体" w:hAnsi="宋体" w:eastAsia="宋体" w:cs="宋体"/>
          <w:color w:val="000000" w:themeColor="text1"/>
          <w:sz w:val="28"/>
          <w:szCs w:val="28"/>
          <w:highlight w:val="none"/>
          <w14:textFill>
            <w14:solidFill>
              <w14:schemeClr w14:val="tx1"/>
            </w14:solidFill>
          </w14:textFill>
        </w:rPr>
        <w:t>不足3家的，不得进行下一步工作。</w:t>
      </w:r>
    </w:p>
    <w:p w14:paraId="7F6A04FA">
      <w:pPr>
        <w:pStyle w:val="4"/>
        <w:keepNext w:val="0"/>
        <w:keepLines w:val="0"/>
        <w:pageBreakBefore w:val="0"/>
        <w:kinsoku/>
        <w:wordWrap/>
        <w:overflowPunct/>
        <w:topLinePunct w:val="0"/>
        <w:bidi w:val="0"/>
        <w:adjustRightInd/>
        <w:snapToGrid/>
        <w:spacing w:line="560" w:lineRule="exact"/>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六、评   标</w:t>
      </w:r>
    </w:p>
    <w:p w14:paraId="3ABEB633">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26.组建评标委员会</w:t>
      </w:r>
    </w:p>
    <w:p w14:paraId="3A3FDD37">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评标委员会由采购人代表和评审专家组成，人数为5人以上单数，其中评审专家不得少于成员总数的三分之二。</w:t>
      </w:r>
    </w:p>
    <w:p w14:paraId="029B93CE">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参加过采购项目前期咨询论证的专家，不得参加该采购项目的评审活动。</w:t>
      </w:r>
    </w:p>
    <w:p w14:paraId="249F362D">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27.评标的依据</w:t>
      </w:r>
    </w:p>
    <w:p w14:paraId="64227EFE">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评标委员会以招标文件为依据对投标文件进行评审，“第四章 评标方法和评标标准”没有规定的方法、评审因素和标准，不作为评标依据。</w:t>
      </w:r>
    </w:p>
    <w:p w14:paraId="39C9B633">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28.评标原则</w:t>
      </w:r>
    </w:p>
    <w:p w14:paraId="52013CD9">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28.1评标原则。评标委员会评标时必须公平、公正、客观，不带任何倾向性和启发性；不得向外界透露任何与评标有关的内容；任何单位和个人不得干扰、影响评标的正常进行；评标委员会及有关工作人员不得私下与</w:t>
      </w:r>
      <w:r>
        <w:rPr>
          <w:rFonts w:hint="eastAsia" w:ascii="宋体" w:hAnsi="宋体" w:cs="宋体"/>
          <w:color w:val="000000" w:themeColor="text1"/>
          <w:sz w:val="28"/>
          <w:szCs w:val="28"/>
          <w:highlight w:val="none"/>
          <w:lang w:eastAsia="zh-CN"/>
          <w14:textFill>
            <w14:solidFill>
              <w14:schemeClr w14:val="tx1"/>
            </w14:solidFill>
          </w14:textFill>
        </w:rPr>
        <w:t>供应商</w:t>
      </w:r>
      <w:r>
        <w:rPr>
          <w:rFonts w:hint="eastAsia" w:ascii="宋体" w:hAnsi="宋体" w:eastAsia="宋体" w:cs="宋体"/>
          <w:color w:val="000000" w:themeColor="text1"/>
          <w:sz w:val="28"/>
          <w:szCs w:val="28"/>
          <w:highlight w:val="none"/>
          <w14:textFill>
            <w14:solidFill>
              <w14:schemeClr w14:val="tx1"/>
            </w14:solidFill>
          </w14:textFill>
        </w:rPr>
        <w:t>接触，不得收受利害关系人的财物或者其他好处。</w:t>
      </w:r>
    </w:p>
    <w:p w14:paraId="5CED1B59">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28.2评委表决。在评标过程中出现法律法规和招标文件均没有明确规定的情形时，由评标委员会现场协商解决，协商不一致的，由全体评委投票表决，以得票率二分之一以上专家的意见为准并由采购代理机构作记录。</w:t>
      </w:r>
    </w:p>
    <w:p w14:paraId="5423C49D">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28.3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14:paraId="36419E89">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28.4评标过程的监控。本项目电子评标过程实行网上留痕、全程录音、录像监控，</w:t>
      </w:r>
      <w:r>
        <w:rPr>
          <w:rFonts w:hint="eastAsia" w:ascii="宋体" w:hAnsi="宋体" w:cs="宋体"/>
          <w:color w:val="000000" w:themeColor="text1"/>
          <w:sz w:val="28"/>
          <w:szCs w:val="28"/>
          <w:highlight w:val="none"/>
          <w:lang w:eastAsia="zh-CN"/>
          <w14:textFill>
            <w14:solidFill>
              <w14:schemeClr w14:val="tx1"/>
            </w14:solidFill>
          </w14:textFill>
        </w:rPr>
        <w:t>供应商</w:t>
      </w:r>
      <w:r>
        <w:rPr>
          <w:rFonts w:hint="eastAsia" w:ascii="宋体" w:hAnsi="宋体" w:eastAsia="宋体" w:cs="宋体"/>
          <w:color w:val="000000" w:themeColor="text1"/>
          <w:sz w:val="28"/>
          <w:szCs w:val="28"/>
          <w:highlight w:val="none"/>
          <w14:textFill>
            <w14:solidFill>
              <w14:schemeClr w14:val="tx1"/>
            </w14:solidFill>
          </w14:textFill>
        </w:rPr>
        <w:t>在评标过程中所进行的试图影响评标结果的不公正活动，可能导致其投标按无效处理。</w:t>
      </w:r>
    </w:p>
    <w:p w14:paraId="57335D68">
      <w:pPr>
        <w:keepNext w:val="0"/>
        <w:keepLines w:val="0"/>
        <w:pageBreakBefore w:val="0"/>
        <w:widowControl/>
        <w:kinsoku/>
        <w:wordWrap/>
        <w:overflowPunct/>
        <w:topLinePunct w:val="0"/>
        <w:bidi w:val="0"/>
        <w:adjustRightInd/>
        <w:snapToGrid/>
        <w:spacing w:line="560" w:lineRule="exact"/>
        <w:ind w:firstLine="560" w:firstLineChars="200"/>
        <w:jc w:val="both"/>
        <w:textAlignment w:val="baseline"/>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28.5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51AFD03B">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29.评标方法及评标标准</w:t>
      </w:r>
    </w:p>
    <w:p w14:paraId="6721E894">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29.1本项目的评标方法详见“</w:t>
      </w:r>
      <w:r>
        <w:rPr>
          <w:rFonts w:hint="eastAsia" w:ascii="宋体" w:hAnsi="宋体" w:cs="宋体"/>
          <w:color w:val="000000" w:themeColor="text1"/>
          <w:sz w:val="28"/>
          <w:szCs w:val="28"/>
          <w:highlight w:val="none"/>
          <w:lang w:eastAsia="zh-CN"/>
          <w14:textFill>
            <w14:solidFill>
              <w14:schemeClr w14:val="tx1"/>
            </w14:solidFill>
          </w14:textFill>
        </w:rPr>
        <w:t>供应商</w:t>
      </w:r>
      <w:r>
        <w:rPr>
          <w:rFonts w:hint="eastAsia" w:ascii="宋体" w:hAnsi="宋体" w:eastAsia="宋体" w:cs="宋体"/>
          <w:color w:val="000000" w:themeColor="text1"/>
          <w:sz w:val="28"/>
          <w:szCs w:val="28"/>
          <w:highlight w:val="none"/>
          <w14:textFill>
            <w14:solidFill>
              <w14:schemeClr w14:val="tx1"/>
            </w14:solidFill>
          </w14:textFill>
        </w:rPr>
        <w:t>须知前附表”。</w:t>
      </w:r>
    </w:p>
    <w:p w14:paraId="20506510">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29.2 评标委员会按照</w:t>
      </w:r>
      <w:r>
        <w:rPr>
          <w:rFonts w:hint="eastAsia" w:ascii="宋体" w:hAnsi="宋体" w:eastAsia="宋体" w:cs="宋体"/>
          <w:b/>
          <w:color w:val="000000" w:themeColor="text1"/>
          <w:sz w:val="28"/>
          <w:szCs w:val="28"/>
          <w:highlight w:val="none"/>
          <w14:textFill>
            <w14:solidFill>
              <w14:schemeClr w14:val="tx1"/>
            </w14:solidFill>
          </w14:textFill>
        </w:rPr>
        <w:t>“第四章 评标方法和评标标准”</w:t>
      </w:r>
      <w:r>
        <w:rPr>
          <w:rFonts w:hint="eastAsia" w:ascii="宋体" w:hAnsi="宋体" w:eastAsia="宋体" w:cs="宋体"/>
          <w:color w:val="000000" w:themeColor="text1"/>
          <w:sz w:val="28"/>
          <w:szCs w:val="28"/>
          <w:highlight w:val="none"/>
          <w14:textFill>
            <w14:solidFill>
              <w14:schemeClr w14:val="tx1"/>
            </w14:solidFill>
          </w14:textFill>
        </w:rPr>
        <w:t>规定的方法、评审因素、标准和程序对投标文件进行评审。</w:t>
      </w:r>
    </w:p>
    <w:p w14:paraId="160B2B7F">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29.3 电子交易活动的中止。采购过程中出现以下情形，导致电子交易平台无法正常运行，或者无法保证电子交易的公平、公正和安全时，采购机构可中止电子交易活动：</w:t>
      </w:r>
    </w:p>
    <w:p w14:paraId="59B25845">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（1）电子交易平台发生故障而无法登录访问的； </w:t>
      </w:r>
    </w:p>
    <w:p w14:paraId="0BFEAC2A">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（2）电子交易平台应用或数据库出现错误，不能进行正常操作的；</w:t>
      </w:r>
    </w:p>
    <w:p w14:paraId="2151956F">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（3）电子交易平台发现严重安全漏洞，有潜在泄密危险的；</w:t>
      </w:r>
    </w:p>
    <w:p w14:paraId="75C9522C">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（4）病毒发作导致不能进行正常操作的； </w:t>
      </w:r>
    </w:p>
    <w:p w14:paraId="25E02DF2">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（4）其他无法保证电子交易的公平、公正和安全的情况。</w:t>
      </w:r>
    </w:p>
    <w:p w14:paraId="6596FE33">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29.4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48F0BC9E">
      <w:pPr>
        <w:pStyle w:val="4"/>
        <w:keepNext w:val="0"/>
        <w:keepLines w:val="0"/>
        <w:pageBreakBefore w:val="0"/>
        <w:kinsoku/>
        <w:wordWrap/>
        <w:overflowPunct/>
        <w:topLinePunct w:val="0"/>
        <w:bidi w:val="0"/>
        <w:adjustRightInd/>
        <w:snapToGrid/>
        <w:spacing w:line="560" w:lineRule="exact"/>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七、中标和合同</w:t>
      </w:r>
    </w:p>
    <w:p w14:paraId="338B8847">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30.确定中标人</w:t>
      </w:r>
    </w:p>
    <w:p w14:paraId="3B49376E">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b w:val="0"/>
          <w:bCs w:val="0"/>
          <w:color w:val="000000" w:themeColor="text1"/>
          <w:sz w:val="28"/>
          <w:szCs w:val="28"/>
          <w:highlight w:val="none"/>
          <w14:textFill>
            <w14:solidFill>
              <w14:schemeClr w14:val="tx1"/>
            </w14:solidFill>
          </w14:textFill>
        </w:rPr>
      </w:pPr>
      <w:r>
        <w:rPr>
          <w:rFonts w:hint="eastAsia" w:ascii="宋体" w:hAnsi="宋体" w:eastAsia="宋体" w:cs="宋体"/>
          <w:b w:val="0"/>
          <w:bCs w:val="0"/>
          <w:color w:val="000000" w:themeColor="text1"/>
          <w:sz w:val="28"/>
          <w:szCs w:val="28"/>
          <w:highlight w:val="none"/>
          <w14:textFill>
            <w14:solidFill>
              <w14:schemeClr w14:val="tx1"/>
            </w14:solidFill>
          </w14:textFill>
        </w:rPr>
        <w:t>30.1本项目授权评标委员会直接按第四章“评标方法及标准”的规定排列中标候选人顺序，并依照次序确定中标人。</w:t>
      </w:r>
    </w:p>
    <w:p w14:paraId="02920E12">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b w:val="0"/>
          <w:bCs w:val="0"/>
          <w:color w:val="000000" w:themeColor="text1"/>
          <w:sz w:val="28"/>
          <w:szCs w:val="28"/>
          <w:highlight w:val="none"/>
          <w14:textFill>
            <w14:solidFill>
              <w14:schemeClr w14:val="tx1"/>
            </w14:solidFill>
          </w14:textFill>
        </w:rPr>
      </w:pPr>
      <w:r>
        <w:rPr>
          <w:rFonts w:hint="eastAsia" w:ascii="宋体" w:hAnsi="宋体" w:eastAsia="宋体" w:cs="宋体"/>
          <w:b w:val="0"/>
          <w:bCs w:val="0"/>
          <w:color w:val="000000" w:themeColor="text1"/>
          <w:sz w:val="28"/>
          <w:szCs w:val="28"/>
          <w:highlight w:val="none"/>
          <w14:textFill>
            <w14:solidFill>
              <w14:schemeClr w14:val="tx1"/>
            </w14:solidFill>
          </w14:textFill>
        </w:rPr>
        <w:t>30.2提供相同品牌产品且通过资格审查、符合性审查的不同</w:t>
      </w:r>
      <w:r>
        <w:rPr>
          <w:rFonts w:hint="eastAsia" w:ascii="宋体" w:hAnsi="宋体" w:cs="宋体"/>
          <w:b w:val="0"/>
          <w:bCs w:val="0"/>
          <w:color w:val="000000" w:themeColor="text1"/>
          <w:sz w:val="28"/>
          <w:szCs w:val="28"/>
          <w:highlight w:val="none"/>
          <w:lang w:eastAsia="zh-CN"/>
          <w14:textFill>
            <w14:solidFill>
              <w14:schemeClr w14:val="tx1"/>
            </w14:solidFill>
          </w14:textFill>
        </w:rPr>
        <w:t>供应商</w:t>
      </w:r>
      <w:r>
        <w:rPr>
          <w:rFonts w:hint="eastAsia" w:ascii="宋体" w:hAnsi="宋体" w:eastAsia="宋体" w:cs="宋体"/>
          <w:b w:val="0"/>
          <w:bCs w:val="0"/>
          <w:color w:val="000000" w:themeColor="text1"/>
          <w:sz w:val="28"/>
          <w:szCs w:val="28"/>
          <w:highlight w:val="none"/>
          <w14:textFill>
            <w14:solidFill>
              <w14:schemeClr w14:val="tx1"/>
            </w14:solidFill>
          </w14:textFill>
        </w:rPr>
        <w:t>参加同一合同项下投标的，按一家</w:t>
      </w:r>
      <w:r>
        <w:rPr>
          <w:rFonts w:hint="eastAsia" w:ascii="宋体" w:hAnsi="宋体" w:cs="宋体"/>
          <w:b w:val="0"/>
          <w:bCs w:val="0"/>
          <w:color w:val="000000" w:themeColor="text1"/>
          <w:sz w:val="28"/>
          <w:szCs w:val="28"/>
          <w:highlight w:val="none"/>
          <w:lang w:eastAsia="zh-CN"/>
          <w14:textFill>
            <w14:solidFill>
              <w14:schemeClr w14:val="tx1"/>
            </w14:solidFill>
          </w14:textFill>
        </w:rPr>
        <w:t>供应商</w:t>
      </w:r>
      <w:r>
        <w:rPr>
          <w:rFonts w:hint="eastAsia" w:ascii="宋体" w:hAnsi="宋体" w:eastAsia="宋体" w:cs="宋体"/>
          <w:b w:val="0"/>
          <w:bCs w:val="0"/>
          <w:color w:val="000000" w:themeColor="text1"/>
          <w:sz w:val="28"/>
          <w:szCs w:val="28"/>
          <w:highlight w:val="none"/>
          <w14:textFill>
            <w14:solidFill>
              <w14:schemeClr w14:val="tx1"/>
            </w14:solidFill>
          </w14:textFill>
        </w:rPr>
        <w:t>计算，采用综合评分法则以评审得分最高者获得中标人推荐资格，采用综合评分法评审得分相同的，按“</w:t>
      </w:r>
      <w:r>
        <w:rPr>
          <w:rFonts w:hint="eastAsia" w:ascii="宋体" w:hAnsi="宋体" w:cs="宋体"/>
          <w:b w:val="0"/>
          <w:bCs w:val="0"/>
          <w:color w:val="000000" w:themeColor="text1"/>
          <w:sz w:val="28"/>
          <w:szCs w:val="28"/>
          <w:highlight w:val="none"/>
          <w:lang w:eastAsia="zh-CN"/>
          <w14:textFill>
            <w14:solidFill>
              <w14:schemeClr w14:val="tx1"/>
            </w14:solidFill>
          </w14:textFill>
        </w:rPr>
        <w:t>供应商</w:t>
      </w:r>
      <w:r>
        <w:rPr>
          <w:rFonts w:hint="eastAsia" w:ascii="宋体" w:hAnsi="宋体" w:eastAsia="宋体" w:cs="宋体"/>
          <w:b w:val="0"/>
          <w:bCs w:val="0"/>
          <w:color w:val="000000" w:themeColor="text1"/>
          <w:sz w:val="28"/>
          <w:szCs w:val="28"/>
          <w:highlight w:val="none"/>
          <w14:textFill>
            <w14:solidFill>
              <w14:schemeClr w14:val="tx1"/>
            </w14:solidFill>
          </w14:textFill>
        </w:rPr>
        <w:t>须知前附表”规定方式确定，确定后其他同品牌</w:t>
      </w:r>
      <w:r>
        <w:rPr>
          <w:rFonts w:hint="eastAsia" w:ascii="宋体" w:hAnsi="宋体" w:cs="宋体"/>
          <w:b w:val="0"/>
          <w:bCs w:val="0"/>
          <w:color w:val="000000" w:themeColor="text1"/>
          <w:sz w:val="28"/>
          <w:szCs w:val="28"/>
          <w:highlight w:val="none"/>
          <w:lang w:eastAsia="zh-CN"/>
          <w14:textFill>
            <w14:solidFill>
              <w14:schemeClr w14:val="tx1"/>
            </w14:solidFill>
          </w14:textFill>
        </w:rPr>
        <w:t>供应商</w:t>
      </w:r>
      <w:r>
        <w:rPr>
          <w:rFonts w:hint="eastAsia" w:ascii="宋体" w:hAnsi="宋体" w:eastAsia="宋体" w:cs="宋体"/>
          <w:b w:val="0"/>
          <w:bCs w:val="0"/>
          <w:color w:val="000000" w:themeColor="text1"/>
          <w:sz w:val="28"/>
          <w:szCs w:val="28"/>
          <w:highlight w:val="none"/>
          <w14:textFill>
            <w14:solidFill>
              <w14:schemeClr w14:val="tx1"/>
            </w14:solidFill>
          </w14:textFill>
        </w:rPr>
        <w:t>投标无效或不作为中标候选人。</w:t>
      </w:r>
    </w:p>
    <w:p w14:paraId="4E0E51FF">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30.3采购人、采购代理机构认为供应商对采购过程、中标结果提出的质疑成立且影响或者可能影响中标结果的，合格供应商符合法定数量时，可以从合格的中标候选人中另行确定中标人的，应当依法另行确定中标人；否则应当重新开展采购活动。</w:t>
      </w:r>
    </w:p>
    <w:p w14:paraId="5B9CA9C0">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30.4中标供应商无正当理由拒签合同的，根据《中华人民共和国政府采购法》第七十七条第一款规定处理。</w:t>
      </w:r>
    </w:p>
    <w:p w14:paraId="2C57C6CB">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30.5根据《中华人民共和国民法典》第五百六十三条，因不可抗力致使不能实现合同目的的，当事人可以解除合同。</w:t>
      </w:r>
    </w:p>
    <w:p w14:paraId="514BFBC6">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31. 结果公告</w:t>
      </w:r>
    </w:p>
    <w:p w14:paraId="4D65A387">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31.1在中标供应商确定之日起2个工作日内，由采购代理机构</w:t>
      </w:r>
      <w:r>
        <w:rPr>
          <w:rFonts w:hint="eastAsia" w:ascii="宋体" w:hAnsi="宋体" w:eastAsia="宋体" w:cs="宋体"/>
          <w:b/>
          <w:color w:val="000000" w:themeColor="text1"/>
          <w:sz w:val="28"/>
          <w:szCs w:val="28"/>
          <w:highlight w:val="none"/>
          <w14:textFill>
            <w14:solidFill>
              <w14:schemeClr w14:val="tx1"/>
            </w14:solidFill>
          </w14:textFill>
        </w:rPr>
        <w:t>在招标公告发布媒体上</w:t>
      </w:r>
      <w:r>
        <w:rPr>
          <w:rFonts w:hint="eastAsia" w:ascii="宋体" w:hAnsi="宋体" w:eastAsia="宋体" w:cs="宋体"/>
          <w:color w:val="000000" w:themeColor="text1"/>
          <w:sz w:val="28"/>
          <w:szCs w:val="28"/>
          <w:highlight w:val="none"/>
          <w14:textFill>
            <w14:solidFill>
              <w14:schemeClr w14:val="tx1"/>
            </w14:solidFill>
          </w14:textFill>
        </w:rPr>
        <w:t>发布中标结果公告，中标结果公告期限为1个工作日，发布中标结果公告的同时向中标供应商发出中标通知书。</w:t>
      </w:r>
      <w:r>
        <w:rPr>
          <w:rFonts w:hint="eastAsia" w:ascii="宋体" w:hAnsi="宋体" w:eastAsia="宋体" w:cs="宋体"/>
          <w:b/>
          <w:color w:val="000000" w:themeColor="text1"/>
          <w:sz w:val="28"/>
          <w:szCs w:val="28"/>
          <w:highlight w:val="none"/>
          <w14:textFill>
            <w14:solidFill>
              <w14:schemeClr w14:val="tx1"/>
            </w14:solidFill>
          </w14:textFill>
        </w:rPr>
        <w:t>采购代理机构发出中标通知书前，应当对中标人信用进行核实，对列入失信被执行人、重大税收违法失信主体、政府采购严重违法失信行为记录名单及其他不符合《中华人民共和国政府采购法》第二十二条规定条件的</w:t>
      </w:r>
      <w:r>
        <w:rPr>
          <w:rFonts w:hint="eastAsia" w:ascii="宋体" w:hAnsi="宋体" w:cs="宋体"/>
          <w:b/>
          <w:color w:val="000000" w:themeColor="text1"/>
          <w:sz w:val="28"/>
          <w:szCs w:val="28"/>
          <w:highlight w:val="none"/>
          <w:lang w:eastAsia="zh-CN"/>
          <w14:textFill>
            <w14:solidFill>
              <w14:schemeClr w14:val="tx1"/>
            </w14:solidFill>
          </w14:textFill>
        </w:rPr>
        <w:t>供应商</w:t>
      </w:r>
      <w:r>
        <w:rPr>
          <w:rFonts w:hint="eastAsia" w:ascii="宋体" w:hAnsi="宋体" w:eastAsia="宋体" w:cs="宋体"/>
          <w:b/>
          <w:color w:val="000000" w:themeColor="text1"/>
          <w:sz w:val="28"/>
          <w:szCs w:val="28"/>
          <w:highlight w:val="none"/>
          <w14:textFill>
            <w14:solidFill>
              <w14:schemeClr w14:val="tx1"/>
            </w14:solidFill>
          </w14:textFill>
        </w:rPr>
        <w:t>，取消其中标资格，并确定排名第二的中标候选人为中标人。</w:t>
      </w:r>
      <w:r>
        <w:rPr>
          <w:rFonts w:hint="eastAsia" w:ascii="宋体" w:hAnsi="宋体" w:eastAsia="宋体" w:cs="宋体"/>
          <w:color w:val="000000" w:themeColor="text1"/>
          <w:sz w:val="28"/>
          <w:szCs w:val="28"/>
          <w:highlight w:val="none"/>
          <w14:textFill>
            <w14:solidFill>
              <w14:schemeClr w14:val="tx1"/>
            </w14:solidFill>
          </w14:textFill>
        </w:rPr>
        <w:t>排名第二的中标候选人因前款规定的同样原因被取消中标资格的，授权的评标委员会可以确定排名第三的中标候选人为中标人，以此类推。</w:t>
      </w:r>
    </w:p>
    <w:p w14:paraId="6306AB68">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以上信息查询记录及相关证据与采购文件一并保存。</w:t>
      </w:r>
    </w:p>
    <w:p w14:paraId="2E694BFD">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31.2中小企业在政府采购活动过程中，请根据企业的真实情况出具《中小企业声明函》。依法享受中小企业优惠政策的，采购人或者采购代理机构在公告中标结果时，同时公告其《中小企业声明函》，接受社会监督。</w:t>
      </w:r>
    </w:p>
    <w:p w14:paraId="7653D442">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32.发出中标通知书</w:t>
      </w:r>
    </w:p>
    <w:p w14:paraId="7917F34C">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b w:val="0"/>
          <w:bCs/>
          <w:color w:val="000000" w:themeColor="text1"/>
          <w:sz w:val="28"/>
          <w:szCs w:val="28"/>
          <w:highlight w:val="none"/>
          <w14:textFill>
            <w14:solidFill>
              <w14:schemeClr w14:val="tx1"/>
            </w14:solidFill>
          </w14:textFill>
        </w:rPr>
      </w:pPr>
      <w:r>
        <w:rPr>
          <w:rFonts w:hint="eastAsia" w:ascii="宋体" w:hAnsi="宋体" w:eastAsia="宋体" w:cs="宋体"/>
          <w:b w:val="0"/>
          <w:bCs/>
          <w:color w:val="000000" w:themeColor="text1"/>
          <w:sz w:val="28"/>
          <w:szCs w:val="28"/>
          <w:highlight w:val="none"/>
          <w14:textFill>
            <w14:solidFill>
              <w14:schemeClr w14:val="tx1"/>
            </w14:solidFill>
          </w14:textFill>
        </w:rPr>
        <w:t>32.1对未通过资格审查的</w:t>
      </w:r>
      <w:r>
        <w:rPr>
          <w:rFonts w:hint="eastAsia" w:ascii="宋体" w:hAnsi="宋体" w:cs="宋体"/>
          <w:b w:val="0"/>
          <w:bCs/>
          <w:color w:val="000000" w:themeColor="text1"/>
          <w:sz w:val="28"/>
          <w:szCs w:val="28"/>
          <w:highlight w:val="none"/>
          <w:lang w:eastAsia="zh-CN"/>
          <w14:textFill>
            <w14:solidFill>
              <w14:schemeClr w14:val="tx1"/>
            </w14:solidFill>
          </w14:textFill>
        </w:rPr>
        <w:t>供应商</w:t>
      </w:r>
      <w:r>
        <w:rPr>
          <w:rFonts w:hint="eastAsia" w:ascii="宋体" w:hAnsi="宋体" w:eastAsia="宋体" w:cs="宋体"/>
          <w:b w:val="0"/>
          <w:bCs/>
          <w:color w:val="000000" w:themeColor="text1"/>
          <w:sz w:val="28"/>
          <w:szCs w:val="28"/>
          <w:highlight w:val="none"/>
          <w14:textFill>
            <w14:solidFill>
              <w14:schemeClr w14:val="tx1"/>
            </w14:solidFill>
          </w14:textFill>
        </w:rPr>
        <w:t>，采购人或采购机构应当告知其未通过的原因；采用综合评分办法评审的，采购人或采购机构还应当告知未中标人本人的评审得分与排序。</w:t>
      </w:r>
    </w:p>
    <w:p w14:paraId="2E5EE9BC">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b w:val="0"/>
          <w:bCs/>
          <w:color w:val="000000" w:themeColor="text1"/>
          <w:sz w:val="28"/>
          <w:szCs w:val="28"/>
          <w:highlight w:val="none"/>
          <w14:textFill>
            <w14:solidFill>
              <w14:schemeClr w14:val="tx1"/>
            </w14:solidFill>
          </w14:textFill>
        </w:rPr>
      </w:pPr>
      <w:r>
        <w:rPr>
          <w:rFonts w:hint="eastAsia" w:ascii="宋体" w:hAnsi="宋体" w:eastAsia="宋体" w:cs="宋体"/>
          <w:b w:val="0"/>
          <w:bCs/>
          <w:color w:val="000000" w:themeColor="text1"/>
          <w:sz w:val="28"/>
          <w:szCs w:val="28"/>
          <w:highlight w:val="none"/>
          <w14:textFill>
            <w14:solidFill>
              <w14:schemeClr w14:val="tx1"/>
            </w14:solidFill>
          </w14:textFill>
        </w:rPr>
        <w:t>33. 无义务解释未中标原因</w:t>
      </w:r>
    </w:p>
    <w:p w14:paraId="6E3759E1">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b w:val="0"/>
          <w:bCs/>
          <w:color w:val="000000" w:themeColor="text1"/>
          <w:sz w:val="28"/>
          <w:szCs w:val="28"/>
          <w:highlight w:val="none"/>
          <w14:textFill>
            <w14:solidFill>
              <w14:schemeClr w14:val="tx1"/>
            </w14:solidFill>
          </w14:textFill>
        </w:rPr>
      </w:pPr>
      <w:r>
        <w:rPr>
          <w:rFonts w:hint="eastAsia" w:ascii="宋体" w:hAnsi="宋体" w:eastAsia="宋体" w:cs="宋体"/>
          <w:b w:val="0"/>
          <w:bCs/>
          <w:color w:val="000000" w:themeColor="text1"/>
          <w:sz w:val="28"/>
          <w:szCs w:val="28"/>
          <w:highlight w:val="none"/>
          <w14:textFill>
            <w14:solidFill>
              <w14:schemeClr w14:val="tx1"/>
            </w14:solidFill>
          </w14:textFill>
        </w:rPr>
        <w:t>采购代理机构无义务向未中标的</w:t>
      </w:r>
      <w:r>
        <w:rPr>
          <w:rFonts w:hint="eastAsia" w:ascii="宋体" w:hAnsi="宋体" w:cs="宋体"/>
          <w:b w:val="0"/>
          <w:bCs/>
          <w:color w:val="000000" w:themeColor="text1"/>
          <w:sz w:val="28"/>
          <w:szCs w:val="28"/>
          <w:highlight w:val="none"/>
          <w:lang w:eastAsia="zh-CN"/>
          <w14:textFill>
            <w14:solidFill>
              <w14:schemeClr w14:val="tx1"/>
            </w14:solidFill>
          </w14:textFill>
        </w:rPr>
        <w:t>供应商</w:t>
      </w:r>
      <w:r>
        <w:rPr>
          <w:rFonts w:hint="eastAsia" w:ascii="宋体" w:hAnsi="宋体" w:eastAsia="宋体" w:cs="宋体"/>
          <w:b w:val="0"/>
          <w:bCs/>
          <w:color w:val="000000" w:themeColor="text1"/>
          <w:sz w:val="28"/>
          <w:szCs w:val="28"/>
          <w:highlight w:val="none"/>
          <w14:textFill>
            <w14:solidFill>
              <w14:schemeClr w14:val="tx1"/>
            </w14:solidFill>
          </w14:textFill>
        </w:rPr>
        <w:t>解释未中标原因和退还投标文件。</w:t>
      </w:r>
    </w:p>
    <w:p w14:paraId="5102FE9F">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34.合同授予标准</w:t>
      </w:r>
    </w:p>
    <w:p w14:paraId="1EB1C7CF">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合同将授予被确定实质上响应招标文件要求，具备履行合同能力的中标人（招标文件另有约定多名中标人的除外）。</w:t>
      </w:r>
    </w:p>
    <w:p w14:paraId="522CEAB2">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35.履约保证金</w:t>
      </w:r>
    </w:p>
    <w:p w14:paraId="117474A3">
      <w:pPr>
        <w:pStyle w:val="108"/>
        <w:keepNext w:val="0"/>
        <w:keepLines w:val="0"/>
        <w:pageBreakBefore w:val="0"/>
        <w:kinsoku/>
        <w:wordWrap/>
        <w:overflowPunct/>
        <w:topLinePunct w:val="0"/>
        <w:bidi w:val="0"/>
        <w:adjustRightInd/>
        <w:snapToGrid/>
        <w:spacing w:before="0" w:line="560" w:lineRule="exact"/>
        <w:ind w:firstLine="560"/>
        <w:jc w:val="both"/>
        <w:rPr>
          <w:rFonts w:hint="eastAsia" w:ascii="宋体" w:hAnsi="宋体" w:eastAsia="宋体" w:cs="宋体"/>
          <w:color w:val="000000" w:themeColor="text1"/>
          <w:kern w:val="0"/>
          <w:sz w:val="28"/>
          <w:szCs w:val="28"/>
          <w:highlight w:val="none"/>
          <w:lang w:val="zh-CN"/>
          <w14:textFill>
            <w14:solidFill>
              <w14:schemeClr w14:val="tx1"/>
            </w14:solidFill>
          </w14:textFill>
        </w:rPr>
      </w:pPr>
      <w:r>
        <w:rPr>
          <w:rFonts w:hint="eastAsia" w:ascii="宋体" w:hAnsi="宋体" w:eastAsia="宋体" w:cs="宋体"/>
          <w:color w:val="000000" w:themeColor="text1"/>
          <w:kern w:val="0"/>
          <w:sz w:val="28"/>
          <w:szCs w:val="28"/>
          <w:highlight w:val="none"/>
          <w:lang w:val="zh-CN"/>
          <w14:textFill>
            <w14:solidFill>
              <w14:schemeClr w14:val="tx1"/>
            </w14:solidFill>
          </w14:textFill>
        </w:rPr>
        <w:t>见“供应商须知前附表”。</w:t>
      </w:r>
    </w:p>
    <w:p w14:paraId="23414A94">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36.签订合同</w:t>
      </w:r>
    </w:p>
    <w:p w14:paraId="342C478B">
      <w:pPr>
        <w:pStyle w:val="108"/>
        <w:keepNext w:val="0"/>
        <w:keepLines w:val="0"/>
        <w:pageBreakBefore w:val="0"/>
        <w:kinsoku/>
        <w:wordWrap/>
        <w:overflowPunct/>
        <w:topLinePunct w:val="0"/>
        <w:bidi w:val="0"/>
        <w:adjustRightInd/>
        <w:snapToGrid/>
        <w:spacing w:before="0" w:line="560" w:lineRule="exact"/>
        <w:ind w:firstLine="562"/>
        <w:jc w:val="both"/>
        <w:rPr>
          <w:rFonts w:hint="eastAsia" w:ascii="宋体" w:hAnsi="宋体" w:eastAsia="宋体" w:cs="宋体"/>
          <w:color w:val="000000" w:themeColor="text1"/>
          <w:kern w:val="0"/>
          <w:sz w:val="28"/>
          <w:szCs w:val="28"/>
          <w:highlight w:val="none"/>
          <w:lang w:val="zh-CN"/>
          <w14:textFill>
            <w14:solidFill>
              <w14:schemeClr w14:val="tx1"/>
            </w14:solidFill>
          </w14:textFill>
        </w:rPr>
      </w:pPr>
      <w:r>
        <w:rPr>
          <w:rFonts w:hint="eastAsia" w:ascii="宋体" w:hAnsi="宋体" w:eastAsia="宋体" w:cs="宋体"/>
          <w:b w:val="0"/>
          <w:bCs/>
          <w:color w:val="000000" w:themeColor="text1"/>
          <w:sz w:val="28"/>
          <w:szCs w:val="28"/>
          <w:highlight w:val="none"/>
          <w14:textFill>
            <w14:solidFill>
              <w14:schemeClr w14:val="tx1"/>
            </w14:solidFill>
          </w14:textFill>
        </w:rPr>
        <w:t xml:space="preserve"> 36.1中标人领取电子中标通知书后，</w:t>
      </w:r>
      <w:r>
        <w:rPr>
          <w:rFonts w:hint="eastAsia" w:ascii="宋体" w:hAnsi="宋体" w:eastAsia="宋体" w:cs="宋体"/>
          <w:color w:val="000000" w:themeColor="text1"/>
          <w:kern w:val="0"/>
          <w:sz w:val="28"/>
          <w:szCs w:val="28"/>
          <w:highlight w:val="none"/>
          <w:lang w:val="zh-CN"/>
          <w14:textFill>
            <w14:solidFill>
              <w14:schemeClr w14:val="tx1"/>
            </w14:solidFill>
          </w14:textFill>
        </w:rPr>
        <w:t>按规定的日期、时间、地点，由法定代表人或其授权代表与采购人代表签订采购合同。如中标人为联合体的，由联合体成员各方法定代表人或其授权代表与采购人代表共同签订合同，签订携带资料详见“供应商须知前附表”。</w:t>
      </w:r>
    </w:p>
    <w:p w14:paraId="41EF5259">
      <w:pPr>
        <w:pStyle w:val="108"/>
        <w:keepNext w:val="0"/>
        <w:keepLines w:val="0"/>
        <w:pageBreakBefore w:val="0"/>
        <w:kinsoku/>
        <w:wordWrap/>
        <w:overflowPunct/>
        <w:topLinePunct w:val="0"/>
        <w:bidi w:val="0"/>
        <w:adjustRightInd/>
        <w:snapToGrid/>
        <w:spacing w:before="0" w:line="560" w:lineRule="exact"/>
        <w:ind w:firstLine="560"/>
        <w:jc w:val="both"/>
        <w:rPr>
          <w:rFonts w:hint="eastAsia" w:ascii="宋体" w:hAnsi="宋体" w:eastAsia="宋体" w:cs="宋体"/>
          <w:color w:val="000000" w:themeColor="text1"/>
          <w:kern w:val="0"/>
          <w:sz w:val="28"/>
          <w:szCs w:val="28"/>
          <w:highlight w:val="none"/>
          <w:lang w:val="zh-CN"/>
          <w14:textFill>
            <w14:solidFill>
              <w14:schemeClr w14:val="tx1"/>
            </w14:solidFill>
          </w14:textFill>
        </w:rPr>
      </w:pPr>
      <w:r>
        <w:rPr>
          <w:rFonts w:hint="eastAsia" w:ascii="宋体" w:hAnsi="宋体" w:eastAsia="宋体" w:cs="宋体"/>
          <w:color w:val="000000" w:themeColor="text1"/>
          <w:kern w:val="0"/>
          <w:sz w:val="28"/>
          <w:szCs w:val="28"/>
          <w:highlight w:val="none"/>
          <w:lang w:val="zh-CN"/>
          <w14:textFill>
            <w14:solidFill>
              <w14:schemeClr w14:val="tx1"/>
            </w14:solidFill>
          </w14:textFill>
        </w:rPr>
        <w:t>36.2</w:t>
      </w:r>
      <w:r>
        <w:rPr>
          <w:rFonts w:hint="eastAsia" w:ascii="宋体" w:hAnsi="宋体" w:eastAsia="宋体" w:cs="宋体"/>
          <w:color w:val="000000" w:themeColor="text1"/>
          <w:sz w:val="28"/>
          <w:szCs w:val="28"/>
          <w:highlight w:val="none"/>
          <w14:textFill>
            <w14:solidFill>
              <w14:schemeClr w14:val="tx1"/>
            </w14:solidFill>
          </w14:textFill>
        </w:rPr>
        <w:t>采购合同由采购人与中标供应商根据招标文件、投标文件等内容通过政府采购电子交易平台在线签订，自动备案。</w:t>
      </w:r>
    </w:p>
    <w:p w14:paraId="588F30D8">
      <w:pPr>
        <w:pStyle w:val="108"/>
        <w:keepNext w:val="0"/>
        <w:keepLines w:val="0"/>
        <w:pageBreakBefore w:val="0"/>
        <w:kinsoku/>
        <w:wordWrap/>
        <w:overflowPunct/>
        <w:topLinePunct w:val="0"/>
        <w:bidi w:val="0"/>
        <w:adjustRightInd/>
        <w:snapToGrid/>
        <w:spacing w:before="0" w:line="560" w:lineRule="exact"/>
        <w:ind w:firstLine="56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36.3签订合同时间：按中标通知书规定的时间与采购人签订合同（最长不能超过25日）。</w:t>
      </w:r>
    </w:p>
    <w:p w14:paraId="08A1DB72">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36.4中标人拒绝与采购人签订合同的，采购人可以按照评审报告推荐的中标候选人名单排序，确定下一候选人为中标人，也可以重新开展政府采购活动。如采购人无正当理由拒签合同的，给中标供应商造成损失的，中标供应商可追究采购人承担相应的法律责任。</w:t>
      </w:r>
    </w:p>
    <w:p w14:paraId="5BC1B54F">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36.5政府采购合同是政府采购项目验收的依据，中标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328EC348">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36.6采购人或中标供应商不得单方面向合同另一方提出任何招标文件没有约定的条件或不合理的要求，作为签订合同的条件；也不得协商另行订立背离招标文件和合同实质性内容的协议。</w:t>
      </w:r>
    </w:p>
    <w:p w14:paraId="32AAC7B2">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36.7如签订合同并生效后，供应商无故拒绝或延期，除按照合同条款处理外，将承担相应的法律责任。</w:t>
      </w:r>
    </w:p>
    <w:p w14:paraId="31992AD2">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b w:val="0"/>
          <w:bCs/>
          <w:color w:val="000000" w:themeColor="text1"/>
          <w:sz w:val="28"/>
          <w:szCs w:val="28"/>
          <w:highlight w:val="none"/>
          <w14:textFill>
            <w14:solidFill>
              <w14:schemeClr w14:val="tx1"/>
            </w14:solidFill>
          </w14:textFill>
        </w:rPr>
      </w:pPr>
      <w:r>
        <w:rPr>
          <w:rFonts w:hint="eastAsia" w:ascii="宋体" w:hAnsi="宋体" w:eastAsia="宋体" w:cs="宋体"/>
          <w:b w:val="0"/>
          <w:bCs/>
          <w:color w:val="000000" w:themeColor="text1"/>
          <w:sz w:val="28"/>
          <w:szCs w:val="28"/>
          <w:highlight w:val="none"/>
          <w14:textFill>
            <w14:solidFill>
              <w14:schemeClr w14:val="tx1"/>
            </w14:solidFill>
          </w14:textFill>
        </w:rPr>
        <w:t>36.8采购人需追加与合同标的相同的货物或者货物的，在不改变原合同条款且已报财政部门批准落实资金的前提下，可从原中标供应商处添购，所签订的补充添置合同的采购资金总额不超过原采购合同金额的10%。</w:t>
      </w:r>
    </w:p>
    <w:p w14:paraId="0A11DC66">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37.政府采购合同公告</w:t>
      </w:r>
    </w:p>
    <w:p w14:paraId="7CDB9FB4">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采购人或者受托采购代理机构应当自政府采购合同签订之日起2个工作日内，将政府采购合同</w:t>
      </w:r>
      <w:r>
        <w:rPr>
          <w:rFonts w:hint="eastAsia" w:ascii="宋体" w:hAnsi="宋体" w:eastAsia="宋体" w:cs="宋体"/>
          <w:bCs/>
          <w:color w:val="000000" w:themeColor="text1"/>
          <w:sz w:val="28"/>
          <w:szCs w:val="28"/>
          <w:highlight w:val="none"/>
          <w14:textFill>
            <w14:solidFill>
              <w14:schemeClr w14:val="tx1"/>
            </w14:solidFill>
          </w14:textFill>
        </w:rPr>
        <w:t>在以下媒体上发布</w:t>
      </w:r>
      <w:r>
        <w:rPr>
          <w:rFonts w:hint="eastAsia" w:ascii="宋体" w:hAnsi="宋体" w:eastAsia="宋体" w:cs="宋体"/>
          <w:color w:val="000000" w:themeColor="text1"/>
          <w:kern w:val="0"/>
          <w:sz w:val="28"/>
          <w:szCs w:val="28"/>
          <w:highlight w:val="none"/>
          <w14:textFill>
            <w14:solidFill>
              <w14:schemeClr w14:val="tx1"/>
            </w14:solidFill>
          </w14:textFill>
        </w:rPr>
        <w:t xml:space="preserve"> “新疆政府采购网”（http://www.ccgp-xinjiang.gov.cn）</w:t>
      </w:r>
      <w:r>
        <w:rPr>
          <w:rFonts w:hint="eastAsia" w:ascii="宋体" w:hAnsi="宋体" w:eastAsia="宋体" w:cs="宋体"/>
          <w:color w:val="000000" w:themeColor="text1"/>
          <w:sz w:val="28"/>
          <w:szCs w:val="28"/>
          <w:highlight w:val="none"/>
          <w14:textFill>
            <w14:solidFill>
              <w14:schemeClr w14:val="tx1"/>
            </w14:solidFill>
          </w14:textFill>
        </w:rPr>
        <w:t>上公告，但政府采购合同中涉及国家秘密、商业秘密的内容除外。</w:t>
      </w:r>
    </w:p>
    <w:p w14:paraId="1516D803">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38. 询问、质疑和投诉</w:t>
      </w:r>
    </w:p>
    <w:p w14:paraId="3BDD1A49">
      <w:pPr>
        <w:keepNext w:val="0"/>
        <w:keepLines w:val="0"/>
        <w:pageBreakBefore w:val="0"/>
        <w:kinsoku/>
        <w:wordWrap/>
        <w:overflowPunct/>
        <w:topLinePunct w:val="0"/>
        <w:bidi w:val="0"/>
        <w:adjustRightInd/>
        <w:snapToGrid/>
        <w:spacing w:line="560" w:lineRule="exact"/>
        <w:ind w:firstLine="562" w:firstLineChars="200"/>
        <w:jc w:val="both"/>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38.1询问</w:t>
      </w:r>
    </w:p>
    <w:p w14:paraId="02B1AF79">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38.1.1供应商在开标前对政府采购活动事项有疑问的，可以向采购人或采购代理机构项目负责人提出询问。</w:t>
      </w:r>
    </w:p>
    <w:p w14:paraId="6ECDC352">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38.1.2采购人或采购人委托的采购代理机构自受理询问之日起3个工作日内对供应商依法提出的询问作出答复，</w:t>
      </w:r>
      <w:r>
        <w:rPr>
          <w:rFonts w:hint="eastAsia" w:ascii="宋体" w:hAnsi="宋体" w:eastAsia="宋体" w:cs="宋体"/>
          <w:color w:val="000000" w:themeColor="text1"/>
          <w:sz w:val="28"/>
          <w:szCs w:val="28"/>
          <w:highlight w:val="none"/>
          <w14:textFill>
            <w14:solidFill>
              <w14:schemeClr w14:val="tx1"/>
            </w14:solidFill>
          </w14:textFill>
        </w:rPr>
        <w:t>但答复内容不得涉及商业秘密</w:t>
      </w:r>
      <w:r>
        <w:rPr>
          <w:rFonts w:hint="eastAsia" w:ascii="宋体" w:hAnsi="宋体" w:eastAsia="宋体" w:cs="宋体"/>
          <w:bCs/>
          <w:color w:val="000000" w:themeColor="text1"/>
          <w:sz w:val="28"/>
          <w:szCs w:val="28"/>
          <w:highlight w:val="none"/>
          <w14:textFill>
            <w14:solidFill>
              <w14:schemeClr w14:val="tx1"/>
            </w14:solidFill>
          </w14:textFill>
        </w:rPr>
        <w:t>。</w:t>
      </w:r>
    </w:p>
    <w:p w14:paraId="23789F1A">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38.1.3 询问事项可能影响中标、成交结果的，采购人应当暂停签订合同，已经签订合同的，应当中止履行合同。</w:t>
      </w:r>
    </w:p>
    <w:p w14:paraId="5881B8CE">
      <w:pPr>
        <w:keepNext w:val="0"/>
        <w:keepLines w:val="0"/>
        <w:pageBreakBefore w:val="0"/>
        <w:kinsoku/>
        <w:wordWrap/>
        <w:overflowPunct/>
        <w:topLinePunct w:val="0"/>
        <w:bidi w:val="0"/>
        <w:adjustRightInd/>
        <w:snapToGrid/>
        <w:spacing w:line="560" w:lineRule="exact"/>
        <w:ind w:firstLine="562"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38.2质疑</w:t>
      </w:r>
    </w:p>
    <w:p w14:paraId="46513B88">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b w:val="0"/>
          <w:bCs w:val="0"/>
          <w:color w:val="000000" w:themeColor="text1"/>
          <w:sz w:val="28"/>
          <w:szCs w:val="28"/>
          <w:highlight w:val="none"/>
          <w14:textFill>
            <w14:solidFill>
              <w14:schemeClr w14:val="tx1"/>
            </w14:solidFill>
          </w14:textFill>
        </w:rPr>
      </w:pPr>
      <w:r>
        <w:rPr>
          <w:rFonts w:hint="eastAsia" w:ascii="宋体" w:hAnsi="宋体" w:eastAsia="宋体" w:cs="宋体"/>
          <w:b w:val="0"/>
          <w:bCs w:val="0"/>
          <w:color w:val="000000" w:themeColor="text1"/>
          <w:sz w:val="28"/>
          <w:szCs w:val="28"/>
          <w:highlight w:val="none"/>
          <w14:textFill>
            <w14:solidFill>
              <w14:schemeClr w14:val="tx1"/>
            </w14:solidFill>
          </w14:textFill>
        </w:rPr>
        <w:t>38.2.1供应商认为招标文件、采购过程或者中标结果使自己的合法权益受到损害的，必须在知道或者应知其权益受到损害之日起7个工作日内，以书面形式向采购人、采购代理机构提出质疑，质疑有效期结束后，采购人或采购代理机构不再受理该项目质疑。采购人、采购代理机构接收质疑函的方式、联系部门、联系电话和通讯地址等信息详见“</w:t>
      </w:r>
      <w:r>
        <w:rPr>
          <w:rFonts w:hint="eastAsia" w:ascii="宋体" w:hAnsi="宋体" w:cs="宋体"/>
          <w:b w:val="0"/>
          <w:bCs w:val="0"/>
          <w:color w:val="000000" w:themeColor="text1"/>
          <w:sz w:val="28"/>
          <w:szCs w:val="28"/>
          <w:highlight w:val="none"/>
          <w:lang w:eastAsia="zh-CN"/>
          <w14:textFill>
            <w14:solidFill>
              <w14:schemeClr w14:val="tx1"/>
            </w14:solidFill>
          </w14:textFill>
        </w:rPr>
        <w:t>供应商</w:t>
      </w:r>
      <w:r>
        <w:rPr>
          <w:rFonts w:hint="eastAsia" w:ascii="宋体" w:hAnsi="宋体" w:eastAsia="宋体" w:cs="宋体"/>
          <w:b w:val="0"/>
          <w:bCs w:val="0"/>
          <w:color w:val="000000" w:themeColor="text1"/>
          <w:sz w:val="28"/>
          <w:szCs w:val="28"/>
          <w:highlight w:val="none"/>
          <w14:textFill>
            <w14:solidFill>
              <w14:schemeClr w14:val="tx1"/>
            </w14:solidFill>
          </w14:textFill>
        </w:rPr>
        <w:t xml:space="preserve">须知前附表”。具体质疑起算时间及处理方式如下： </w:t>
      </w:r>
    </w:p>
    <w:p w14:paraId="389AC1A5">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（1）潜在供应商依法获取公开招标文件后，认为采购文件使自己的权益受到损害的，应当在公开招标文件公告期限届满之日起7个工作日内提出质疑。</w:t>
      </w:r>
      <w:r>
        <w:rPr>
          <w:rFonts w:hint="eastAsia" w:ascii="宋体" w:hAnsi="宋体" w:eastAsia="宋体" w:cs="宋体"/>
          <w:color w:val="000000" w:themeColor="text1"/>
          <w:sz w:val="28"/>
          <w:szCs w:val="28"/>
          <w:highlight w:val="none"/>
          <w14:textFill>
            <w14:solidFill>
              <w14:schemeClr w14:val="tx1"/>
            </w14:solidFill>
          </w14:textFill>
        </w:rPr>
        <w:t>委托代理协议无特殊约定的，</w:t>
      </w:r>
      <w:r>
        <w:rPr>
          <w:rFonts w:hint="eastAsia" w:ascii="宋体" w:hAnsi="宋体" w:eastAsia="宋体" w:cs="宋体"/>
          <w:bCs/>
          <w:color w:val="000000" w:themeColor="text1"/>
          <w:sz w:val="28"/>
          <w:szCs w:val="28"/>
          <w:highlight w:val="none"/>
          <w14:textFill>
            <w14:solidFill>
              <w14:schemeClr w14:val="tx1"/>
            </w14:solidFill>
          </w14:textFill>
        </w:rPr>
        <w:t>对公开招标文件中采购需求（含资格要求、采购预算和评分办法）的质疑由采购人受理并负责答复；对公开招标文件中的采购执行程序的质疑由采购代理机构受理并负责答复。</w:t>
      </w:r>
    </w:p>
    <w:p w14:paraId="6D428353">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2）供应商认为采购过程使自己的权益受到损害的，应当在各采购程序环节结束之日起7个工作日内提出质疑。对采购过程中资格审查、符合性审查等具体评审情况的质疑应向采购人或代理机构提出，由采购人或代理机构受理并负责答复；对采购过程中采购执行程序的质疑由采购代理机构受理并负责答复。</w:t>
      </w:r>
    </w:p>
    <w:p w14:paraId="3BA1BB71">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（3）供应商认为中标或者成交结果使自己的权益受到损害的，应当在中标或者成交结果公告期限届满之日起7个工作日内提出质疑，由采购人受理并负责答复。</w:t>
      </w:r>
    </w:p>
    <w:p w14:paraId="1CCBD125">
      <w:pPr>
        <w:keepNext w:val="0"/>
        <w:keepLines w:val="0"/>
        <w:pageBreakBefore w:val="0"/>
        <w:kinsoku/>
        <w:wordWrap/>
        <w:overflowPunct/>
        <w:topLinePunct w:val="0"/>
        <w:bidi w:val="0"/>
        <w:adjustRightInd/>
        <w:snapToGrid/>
        <w:spacing w:line="560" w:lineRule="exact"/>
        <w:ind w:firstLine="562" w:firstLineChars="200"/>
        <w:jc w:val="both"/>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t>38.2.2</w:t>
      </w:r>
      <w:r>
        <w:rPr>
          <w:rFonts w:hint="eastAsia" w:ascii="宋体" w:hAnsi="宋体" w:eastAsia="宋体" w:cs="宋体"/>
          <w:bCs/>
          <w:color w:val="000000" w:themeColor="text1"/>
          <w:sz w:val="28"/>
          <w:szCs w:val="28"/>
          <w:highlight w:val="none"/>
          <w14:textFill>
            <w14:solidFill>
              <w14:schemeClr w14:val="tx1"/>
            </w14:solidFill>
          </w14:textFill>
        </w:rPr>
        <w:t>供应商质疑实行实名制，其质疑应当有具体的质疑事项及事实根据，质疑应当坚持依法依规、诚实信用原则，不得进行虚假、恶意质疑。</w:t>
      </w:r>
    </w:p>
    <w:p w14:paraId="0F59EFCC">
      <w:pPr>
        <w:keepNext w:val="0"/>
        <w:keepLines w:val="0"/>
        <w:pageBreakBefore w:val="0"/>
        <w:kinsoku/>
        <w:wordWrap/>
        <w:overflowPunct/>
        <w:topLinePunct w:val="0"/>
        <w:bidi w:val="0"/>
        <w:adjustRightInd/>
        <w:snapToGrid/>
        <w:spacing w:line="560" w:lineRule="exact"/>
        <w:ind w:firstLine="562" w:firstLineChars="200"/>
        <w:jc w:val="both"/>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t>38.2.3</w:t>
      </w:r>
      <w:r>
        <w:rPr>
          <w:rFonts w:hint="eastAsia" w:ascii="宋体" w:hAnsi="宋体" w:eastAsia="宋体" w:cs="宋体"/>
          <w:bCs/>
          <w:color w:val="000000" w:themeColor="text1"/>
          <w:sz w:val="28"/>
          <w:szCs w:val="28"/>
          <w:highlight w:val="none"/>
          <w14:textFill>
            <w14:solidFill>
              <w14:schemeClr w14:val="tx1"/>
            </w14:solidFill>
          </w14:textFill>
        </w:rPr>
        <w:t xml:space="preserve"> 质疑供应商可以委托代理人办理质疑事务。委托代理人应熟悉相关业务情况。代理人办理质疑事务时，除提交质疑书外，还应当提交质疑供应商的授权委托书和委托代理人身份证明复印件</w:t>
      </w:r>
      <w:r>
        <w:rPr>
          <w:rFonts w:hint="eastAsia" w:ascii="宋体" w:hAnsi="宋体" w:eastAsia="宋体" w:cs="宋体"/>
          <w:color w:val="000000" w:themeColor="text1"/>
          <w:sz w:val="28"/>
          <w:szCs w:val="28"/>
          <w:highlight w:val="none"/>
          <w14:textFill>
            <w14:solidFill>
              <w14:schemeClr w14:val="tx1"/>
            </w14:solidFill>
          </w14:textFill>
        </w:rPr>
        <w:t>。</w:t>
      </w:r>
    </w:p>
    <w:p w14:paraId="2C6A674B">
      <w:pPr>
        <w:keepNext w:val="0"/>
        <w:keepLines w:val="0"/>
        <w:pageBreakBefore w:val="0"/>
        <w:kinsoku/>
        <w:wordWrap/>
        <w:overflowPunct/>
        <w:topLinePunct w:val="0"/>
        <w:bidi w:val="0"/>
        <w:adjustRightInd/>
        <w:snapToGrid/>
        <w:spacing w:line="560" w:lineRule="exact"/>
        <w:ind w:firstLine="562" w:firstLineChars="200"/>
        <w:jc w:val="both"/>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t>38.2.4 质疑供应商提起质疑应当符合下列条件：</w:t>
      </w:r>
    </w:p>
    <w:p w14:paraId="0801EB12">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（1）质疑供应商是参与所质疑项目采购活动的供应商（潜在供应商已依法获取可之一的采购文件的，可以对该采购文件质疑）；</w:t>
      </w:r>
    </w:p>
    <w:p w14:paraId="1F7E7D0F">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（2）质疑函内容符合本章第38.2.5项的规定；</w:t>
      </w:r>
    </w:p>
    <w:p w14:paraId="2DB087FB">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（3）在质疑有效期限内提起质疑；</w:t>
      </w:r>
    </w:p>
    <w:p w14:paraId="04A6C789">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（4）属于所质疑的采购人或采购人委托的采购代理机构组织的采购活动；</w:t>
      </w:r>
    </w:p>
    <w:p w14:paraId="0F1C71AD">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 xml:space="preserve">（5）同一质疑事项未经采购人或采购人委托的采购代理机构质疑处理； </w:t>
      </w:r>
    </w:p>
    <w:p w14:paraId="69621E6F">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（6）供应商对同一采购程序环节的质疑应当在质疑有效期内一次性提出；</w:t>
      </w:r>
    </w:p>
    <w:p w14:paraId="2F2F7FB0">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（7）供应商提交质疑应当提交必要的证明材料，证明材料应以合法手段取得；</w:t>
      </w:r>
    </w:p>
    <w:p w14:paraId="3585808D">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（8）财政部门规定的其他条件。</w:t>
      </w:r>
    </w:p>
    <w:p w14:paraId="562B558A">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 38.2.5 </w:t>
      </w:r>
      <w:r>
        <w:rPr>
          <w:rFonts w:hint="eastAsia" w:ascii="宋体" w:hAnsi="宋体" w:eastAsia="宋体" w:cs="宋体"/>
          <w:bCs/>
          <w:color w:val="000000" w:themeColor="text1"/>
          <w:sz w:val="28"/>
          <w:szCs w:val="28"/>
          <w:highlight w:val="none"/>
          <w14:textFill>
            <w14:solidFill>
              <w14:schemeClr w14:val="tx1"/>
            </w14:solidFill>
          </w14:textFill>
        </w:rPr>
        <w:t>供应商提出质疑应当提交质疑函和必要的证明材料，针对同一采购程序环节的质疑必须在法定质疑期内一次性提出。质疑函应当包括下列内容（质疑函格式后附）：</w:t>
      </w:r>
    </w:p>
    <w:p w14:paraId="159441F3">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（1）供应商的姓名或者名称、地址、邮编、联系人及联系电话；</w:t>
      </w:r>
    </w:p>
    <w:p w14:paraId="52B870E7">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（2）质疑项目的名称、编号；</w:t>
      </w:r>
    </w:p>
    <w:p w14:paraId="09E233E5">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（3）具体、明确的质疑事项和与质疑事项相关的请求；</w:t>
      </w:r>
    </w:p>
    <w:p w14:paraId="18CEC557">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（4）事实依据（列明权益受到损害的事实和理由）；</w:t>
      </w:r>
    </w:p>
    <w:p w14:paraId="15AA52B5">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（5）必要的法律依据；</w:t>
      </w:r>
    </w:p>
    <w:p w14:paraId="198868ED">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（6）提出质疑的日期。</w:t>
      </w:r>
    </w:p>
    <w:p w14:paraId="53BCF38F">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供应商为自然人的，应当由本人签字；供应商为法人或者其他组织的，应当由法定代表人、主要负责人，或者其委托代理人签字或者盖章，并加盖公章。</w:t>
      </w:r>
    </w:p>
    <w:p w14:paraId="5EDB99D0">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b w:val="0"/>
          <w:bCs/>
          <w:color w:val="000000" w:themeColor="text1"/>
          <w:sz w:val="28"/>
          <w:szCs w:val="28"/>
          <w:highlight w:val="none"/>
          <w14:textFill>
            <w14:solidFill>
              <w14:schemeClr w14:val="tx1"/>
            </w14:solidFill>
          </w14:textFill>
        </w:rPr>
      </w:pPr>
      <w:r>
        <w:rPr>
          <w:rFonts w:hint="eastAsia" w:ascii="宋体" w:hAnsi="宋体" w:eastAsia="宋体" w:cs="宋体"/>
          <w:b w:val="0"/>
          <w:bCs/>
          <w:color w:val="000000" w:themeColor="text1"/>
          <w:sz w:val="28"/>
          <w:szCs w:val="28"/>
          <w:highlight w:val="none"/>
          <w14:textFill>
            <w14:solidFill>
              <w14:schemeClr w14:val="tx1"/>
            </w14:solidFill>
          </w14:textFill>
        </w:rPr>
        <w:t>38.2.6采购人或采购人委托的采购代理机构在收到质疑函后7个工作日内作出答复，并以书面形式通知质疑供应商及其他有关供应商。对不符合质疑条件的质疑，答复不予受理，并说明理由；对符合质疑条件的质疑，对质疑事项作出答复</w:t>
      </w:r>
    </w:p>
    <w:p w14:paraId="07562AFB">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3</w:t>
      </w:r>
      <w:r>
        <w:rPr>
          <w:rFonts w:hint="eastAsia" w:ascii="宋体" w:hAnsi="宋体" w:eastAsia="宋体" w:cs="宋体"/>
          <w:bCs/>
          <w:color w:val="000000" w:themeColor="text1"/>
          <w:sz w:val="28"/>
          <w:szCs w:val="28"/>
          <w:highlight w:val="none"/>
          <w14:textFill>
            <w14:solidFill>
              <w14:schemeClr w14:val="tx1"/>
            </w14:solidFill>
          </w14:textFill>
        </w:rPr>
        <w:t>8.2.7采购人、采购代理机构认为供应商质疑不成立，或者成立但未对中标结果构成影响的，继续开展采购活动；认为供应商质疑成立且影响或者可能影响中标结果的，按照下列情况处理：</w:t>
      </w:r>
    </w:p>
    <w:p w14:paraId="3DE727BB">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　　（一）对招标文件提出的质疑，依法通过澄清或者修改可以继续开展采购活动的，澄清或者修改招标文件后继续开展采购活动；否则应当修改招标文件后重新开展采购活动。</w:t>
      </w:r>
    </w:p>
    <w:p w14:paraId="4D587CA4">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　　（二）对采购过程、中标结果提出的质疑，合格供应商符合法定数量时，可以从合格的中标候选人中另行确定中标供应商的，应当依法另行确定中标供应商；否则应当重新开展采购活动。</w:t>
      </w:r>
    </w:p>
    <w:p w14:paraId="57F9F0B3">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质疑答复导致中标结果改变的，采购人或者采购代理机构应当将有关情况书面报告本级财政部门。</w:t>
      </w:r>
    </w:p>
    <w:p w14:paraId="2B8C6849">
      <w:pPr>
        <w:keepNext w:val="0"/>
        <w:keepLines w:val="0"/>
        <w:pageBreakBefore w:val="0"/>
        <w:kinsoku/>
        <w:wordWrap/>
        <w:overflowPunct/>
        <w:topLinePunct w:val="0"/>
        <w:bidi w:val="0"/>
        <w:adjustRightInd/>
        <w:snapToGrid/>
        <w:spacing w:line="560" w:lineRule="exact"/>
        <w:ind w:firstLine="562" w:firstLineChars="200"/>
        <w:jc w:val="both"/>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38.3投诉</w:t>
      </w:r>
    </w:p>
    <w:p w14:paraId="12B0E9E6">
      <w:pPr>
        <w:keepNext w:val="0"/>
        <w:keepLines w:val="0"/>
        <w:pageBreakBefore w:val="0"/>
        <w:kinsoku/>
        <w:wordWrap/>
        <w:overflowPunct/>
        <w:topLinePunct w:val="0"/>
        <w:bidi w:val="0"/>
        <w:adjustRightInd/>
        <w:snapToGrid/>
        <w:spacing w:line="560" w:lineRule="exact"/>
        <w:ind w:firstLine="562" w:firstLineChars="200"/>
        <w:jc w:val="both"/>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38.3</w:t>
      </w:r>
      <w:r>
        <w:rPr>
          <w:rFonts w:hint="eastAsia" w:ascii="宋体" w:hAnsi="宋体" w:eastAsia="宋体" w:cs="宋体"/>
          <w:bCs/>
          <w:color w:val="000000" w:themeColor="text1"/>
          <w:sz w:val="28"/>
          <w:szCs w:val="28"/>
          <w:highlight w:val="none"/>
          <w14:textFill>
            <w14:solidFill>
              <w14:schemeClr w14:val="tx1"/>
            </w14:solidFill>
          </w14:textFill>
        </w:rPr>
        <w:t>.</w:t>
      </w:r>
      <w:r>
        <w:rPr>
          <w:rFonts w:hint="eastAsia" w:ascii="宋体" w:hAnsi="宋体" w:eastAsia="宋体" w:cs="宋体"/>
          <w:b/>
          <w:bCs/>
          <w:color w:val="000000" w:themeColor="text1"/>
          <w:sz w:val="28"/>
          <w:szCs w:val="28"/>
          <w:highlight w:val="none"/>
          <w14:textFill>
            <w14:solidFill>
              <w14:schemeClr w14:val="tx1"/>
            </w14:solidFill>
          </w14:textFill>
        </w:rPr>
        <w:t xml:space="preserve">1 </w:t>
      </w:r>
      <w:r>
        <w:rPr>
          <w:rFonts w:hint="eastAsia" w:ascii="宋体" w:hAnsi="宋体" w:eastAsia="宋体" w:cs="宋体"/>
          <w:bCs/>
          <w:color w:val="000000" w:themeColor="text1"/>
          <w:sz w:val="28"/>
          <w:szCs w:val="28"/>
          <w:highlight w:val="none"/>
          <w14:textFill>
            <w14:solidFill>
              <w14:schemeClr w14:val="tx1"/>
            </w14:solidFill>
          </w14:textFill>
        </w:rPr>
        <w:t xml:space="preserve"> 供应商认为采购文件、采购过程、中标和成交结果使自己的合法权益受到损害的，应当首先依法向采购人或采购人委托的</w:t>
      </w:r>
      <w:r>
        <w:rPr>
          <w:rFonts w:hint="eastAsia" w:ascii="宋体" w:hAnsi="宋体" w:eastAsia="宋体" w:cs="宋体"/>
          <w:color w:val="000000" w:themeColor="text1"/>
          <w:sz w:val="28"/>
          <w:szCs w:val="28"/>
          <w:highlight w:val="none"/>
          <w14:textFill>
            <w14:solidFill>
              <w14:schemeClr w14:val="tx1"/>
            </w14:solidFill>
          </w14:textFill>
        </w:rPr>
        <w:t>采购代理机构</w:t>
      </w:r>
      <w:r>
        <w:rPr>
          <w:rFonts w:hint="eastAsia" w:ascii="宋体" w:hAnsi="宋体" w:eastAsia="宋体" w:cs="宋体"/>
          <w:bCs/>
          <w:color w:val="000000" w:themeColor="text1"/>
          <w:sz w:val="28"/>
          <w:szCs w:val="28"/>
          <w:highlight w:val="none"/>
          <w14:textFill>
            <w14:solidFill>
              <w14:schemeClr w14:val="tx1"/>
            </w14:solidFill>
          </w14:textFill>
        </w:rPr>
        <w:t>提出质疑。对采购人、</w:t>
      </w:r>
      <w:r>
        <w:rPr>
          <w:rFonts w:hint="eastAsia" w:ascii="宋体" w:hAnsi="宋体" w:eastAsia="宋体" w:cs="宋体"/>
          <w:color w:val="000000" w:themeColor="text1"/>
          <w:sz w:val="28"/>
          <w:szCs w:val="28"/>
          <w:highlight w:val="none"/>
          <w14:textFill>
            <w14:solidFill>
              <w14:schemeClr w14:val="tx1"/>
            </w14:solidFill>
          </w14:textFill>
        </w:rPr>
        <w:t>采购代理机构</w:t>
      </w:r>
      <w:r>
        <w:rPr>
          <w:rFonts w:hint="eastAsia" w:ascii="宋体" w:hAnsi="宋体" w:eastAsia="宋体" w:cs="宋体"/>
          <w:bCs/>
          <w:color w:val="000000" w:themeColor="text1"/>
          <w:sz w:val="28"/>
          <w:szCs w:val="28"/>
          <w:highlight w:val="none"/>
          <w14:textFill>
            <w14:solidFill>
              <w14:schemeClr w14:val="tx1"/>
            </w14:solidFill>
          </w14:textFill>
        </w:rPr>
        <w:t>的答复不满意，或者采购人、</w:t>
      </w:r>
      <w:r>
        <w:rPr>
          <w:rFonts w:hint="eastAsia" w:ascii="宋体" w:hAnsi="宋体" w:eastAsia="宋体" w:cs="宋体"/>
          <w:color w:val="000000" w:themeColor="text1"/>
          <w:sz w:val="28"/>
          <w:szCs w:val="28"/>
          <w:highlight w:val="none"/>
          <w14:textFill>
            <w14:solidFill>
              <w14:schemeClr w14:val="tx1"/>
            </w14:solidFill>
          </w14:textFill>
        </w:rPr>
        <w:t>采购代理机构</w:t>
      </w:r>
      <w:r>
        <w:rPr>
          <w:rFonts w:hint="eastAsia" w:ascii="宋体" w:hAnsi="宋体" w:eastAsia="宋体" w:cs="宋体"/>
          <w:bCs/>
          <w:color w:val="000000" w:themeColor="text1"/>
          <w:sz w:val="28"/>
          <w:szCs w:val="28"/>
          <w:highlight w:val="none"/>
          <w14:textFill>
            <w14:solidFill>
              <w14:schemeClr w14:val="tx1"/>
            </w14:solidFill>
          </w14:textFill>
        </w:rPr>
        <w:t>未在规定期限内做出答复的，供应商可以在答复期满后15个工作日内向哈密市政府采购监督管理部门提起投诉，投诉联系方式见“</w:t>
      </w:r>
      <w:r>
        <w:rPr>
          <w:rFonts w:hint="eastAsia" w:ascii="宋体" w:hAnsi="宋体" w:cs="宋体"/>
          <w:bCs/>
          <w:color w:val="000000" w:themeColor="text1"/>
          <w:sz w:val="28"/>
          <w:szCs w:val="28"/>
          <w:highlight w:val="none"/>
          <w:lang w:eastAsia="zh-CN"/>
          <w14:textFill>
            <w14:solidFill>
              <w14:schemeClr w14:val="tx1"/>
            </w14:solidFill>
          </w14:textFill>
        </w:rPr>
        <w:t>供应商</w:t>
      </w:r>
      <w:r>
        <w:rPr>
          <w:rFonts w:hint="eastAsia" w:ascii="宋体" w:hAnsi="宋体" w:eastAsia="宋体" w:cs="宋体"/>
          <w:bCs/>
          <w:color w:val="000000" w:themeColor="text1"/>
          <w:sz w:val="28"/>
          <w:szCs w:val="28"/>
          <w:highlight w:val="none"/>
          <w14:textFill>
            <w14:solidFill>
              <w14:schemeClr w14:val="tx1"/>
            </w14:solidFill>
          </w14:textFill>
        </w:rPr>
        <w:t>须知前附表”。</w:t>
      </w:r>
    </w:p>
    <w:p w14:paraId="78629796">
      <w:pPr>
        <w:keepNext w:val="0"/>
        <w:keepLines w:val="0"/>
        <w:pageBreakBefore w:val="0"/>
        <w:kinsoku/>
        <w:wordWrap/>
        <w:overflowPunct/>
        <w:topLinePunct w:val="0"/>
        <w:bidi w:val="0"/>
        <w:adjustRightInd/>
        <w:snapToGrid/>
        <w:spacing w:line="560" w:lineRule="exact"/>
        <w:ind w:firstLine="562" w:firstLineChars="200"/>
        <w:jc w:val="both"/>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 xml:space="preserve">38.3.2 </w:t>
      </w:r>
      <w:r>
        <w:rPr>
          <w:rFonts w:hint="eastAsia" w:ascii="宋体" w:hAnsi="宋体" w:eastAsia="宋体" w:cs="宋体"/>
          <w:color w:val="000000" w:themeColor="text1"/>
          <w:sz w:val="28"/>
          <w:szCs w:val="28"/>
          <w:highlight w:val="none"/>
          <w14:textFill>
            <w14:solidFill>
              <w14:schemeClr w14:val="tx1"/>
            </w14:solidFill>
          </w14:textFill>
        </w:rPr>
        <w:t xml:space="preserve"> 投诉人投诉时，应当提交投诉书，并按照被投诉采购人、采购代理机构和与投诉事项有关的供应商数量提供投诉书的副本。投诉书应当包括下列主要内容（如材料中有外文资料应同时附上对应的中文译本）</w:t>
      </w:r>
      <w:r>
        <w:rPr>
          <w:rFonts w:hint="eastAsia" w:ascii="宋体" w:hAnsi="宋体" w:eastAsia="宋体" w:cs="宋体"/>
          <w:bCs/>
          <w:color w:val="000000" w:themeColor="text1"/>
          <w:sz w:val="28"/>
          <w:szCs w:val="28"/>
          <w:highlight w:val="none"/>
          <w14:textFill>
            <w14:solidFill>
              <w14:schemeClr w14:val="tx1"/>
            </w14:solidFill>
          </w14:textFill>
        </w:rPr>
        <w:t>（投诉书格式后附）</w:t>
      </w:r>
      <w:r>
        <w:rPr>
          <w:rFonts w:hint="eastAsia" w:ascii="宋体" w:hAnsi="宋体" w:eastAsia="宋体" w:cs="宋体"/>
          <w:color w:val="000000" w:themeColor="text1"/>
          <w:sz w:val="28"/>
          <w:szCs w:val="28"/>
          <w:highlight w:val="none"/>
          <w14:textFill>
            <w14:solidFill>
              <w14:schemeClr w14:val="tx1"/>
            </w14:solidFill>
          </w14:textFill>
        </w:rPr>
        <w:t>：</w:t>
      </w:r>
    </w:p>
    <w:p w14:paraId="5F0A69DF">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（1）投诉人和被投诉人的名称、地址、邮编、联系人及联系电话等； </w:t>
      </w:r>
    </w:p>
    <w:p w14:paraId="161F0139">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（2）质疑和质疑答复情况及相关证明材料； </w:t>
      </w:r>
    </w:p>
    <w:p w14:paraId="29311C89">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（3）具体、明确的投诉事项和与投诉事项相关的投诉请求；</w:t>
      </w:r>
    </w:p>
    <w:p w14:paraId="2AB60B94">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（4）事实依据；</w:t>
      </w:r>
    </w:p>
    <w:p w14:paraId="7153F236">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（5）法律依据；</w:t>
      </w:r>
    </w:p>
    <w:p w14:paraId="4EB89FB5">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（6）提起投诉的日期。</w:t>
      </w:r>
    </w:p>
    <w:p w14:paraId="587D624F">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（7）附件材料：营业执照副本内页复印件（要求证件有效并清晰反映企业法人经营范围；近期连续三个月依法缴纳税收和在职职工社会保障资金证明材料（复印件）。</w:t>
      </w:r>
      <w:r>
        <w:rPr>
          <w:rFonts w:hint="eastAsia" w:ascii="宋体" w:hAnsi="宋体" w:eastAsia="宋体" w:cs="宋体"/>
          <w:color w:val="000000" w:themeColor="text1"/>
          <w:sz w:val="28"/>
          <w:szCs w:val="28"/>
          <w:highlight w:val="none"/>
          <w14:textFill>
            <w14:solidFill>
              <w14:schemeClr w14:val="tx1"/>
            </w14:solidFill>
          </w14:textFill>
        </w:rPr>
        <w:tab/>
      </w:r>
    </w:p>
    <w:p w14:paraId="02A590CA">
      <w:pPr>
        <w:keepNext w:val="0"/>
        <w:keepLines w:val="0"/>
        <w:pageBreakBefore w:val="0"/>
        <w:kinsoku/>
        <w:wordWrap/>
        <w:overflowPunct/>
        <w:topLinePunct w:val="0"/>
        <w:bidi w:val="0"/>
        <w:adjustRightInd/>
        <w:snapToGrid/>
        <w:spacing w:line="560" w:lineRule="exact"/>
        <w:ind w:firstLine="562" w:firstLineChars="200"/>
        <w:jc w:val="both"/>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 xml:space="preserve">38.3.3  </w:t>
      </w:r>
      <w:r>
        <w:rPr>
          <w:rFonts w:hint="eastAsia" w:ascii="宋体" w:hAnsi="宋体" w:eastAsia="宋体" w:cs="宋体"/>
          <w:color w:val="000000" w:themeColor="text1"/>
          <w:sz w:val="28"/>
          <w:szCs w:val="28"/>
          <w:highlight w:val="none"/>
          <w14:textFill>
            <w14:solidFill>
              <w14:schemeClr w14:val="tx1"/>
            </w14:solidFill>
          </w14:textFill>
        </w:rPr>
        <w:t>投诉人可以委托代理人办理投诉事务。</w:t>
      </w:r>
      <w:r>
        <w:rPr>
          <w:rFonts w:hint="eastAsia" w:ascii="宋体" w:hAnsi="宋体" w:eastAsia="宋体" w:cs="宋体"/>
          <w:bCs/>
          <w:color w:val="000000" w:themeColor="text1"/>
          <w:sz w:val="28"/>
          <w:szCs w:val="28"/>
          <w:highlight w:val="none"/>
          <w14:textFill>
            <w14:solidFill>
              <w14:schemeClr w14:val="tx1"/>
            </w14:solidFill>
          </w14:textFill>
        </w:rPr>
        <w:t>委托代理人应熟悉相关业务情况。</w:t>
      </w:r>
      <w:r>
        <w:rPr>
          <w:rFonts w:hint="eastAsia" w:ascii="宋体" w:hAnsi="宋体" w:eastAsia="宋体" w:cs="宋体"/>
          <w:color w:val="000000" w:themeColor="text1"/>
          <w:sz w:val="28"/>
          <w:szCs w:val="28"/>
          <w:highlight w:val="none"/>
          <w14:textFill>
            <w14:solidFill>
              <w14:schemeClr w14:val="tx1"/>
            </w14:solidFill>
          </w14:textFill>
        </w:rPr>
        <w:t>代理人办理投诉事务时，除提交投诉书外，还应当提交投诉人的授权委托书和委托代理人身份证明复印件。</w:t>
      </w:r>
    </w:p>
    <w:p w14:paraId="27FC3F7E">
      <w:pPr>
        <w:keepNext w:val="0"/>
        <w:keepLines w:val="0"/>
        <w:pageBreakBefore w:val="0"/>
        <w:kinsoku/>
        <w:wordWrap/>
        <w:overflowPunct/>
        <w:topLinePunct w:val="0"/>
        <w:bidi w:val="0"/>
        <w:adjustRightInd/>
        <w:snapToGrid/>
        <w:spacing w:line="560" w:lineRule="exact"/>
        <w:ind w:firstLine="562"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38.3.4</w:t>
      </w:r>
      <w:r>
        <w:rPr>
          <w:rFonts w:hint="eastAsia" w:ascii="宋体" w:hAnsi="宋体" w:eastAsia="宋体" w:cs="宋体"/>
          <w:color w:val="000000" w:themeColor="text1"/>
          <w:sz w:val="28"/>
          <w:szCs w:val="28"/>
          <w:highlight w:val="none"/>
          <w14:textFill>
            <w14:solidFill>
              <w14:schemeClr w14:val="tx1"/>
            </w14:solidFill>
          </w14:textFill>
        </w:rPr>
        <w:t xml:space="preserve">  投诉人提起投诉应当符合下列条件：</w:t>
      </w:r>
    </w:p>
    <w:p w14:paraId="05A89F98">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（1）投诉人是参与所投诉政府采购活动的供应商；</w:t>
      </w:r>
    </w:p>
    <w:p w14:paraId="083E3652">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（2）提起投诉前已依法进行质疑；</w:t>
      </w:r>
    </w:p>
    <w:p w14:paraId="45A43E38">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（3）投诉书内容符合本章第38.3.2项的规定；</w:t>
      </w:r>
    </w:p>
    <w:p w14:paraId="78441FC9">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（4）在投诉有效期限内提起投诉；</w:t>
      </w:r>
    </w:p>
    <w:p w14:paraId="286A70FD">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（5）属于哈密市伊州区政府采购监督管理部门管辖；</w:t>
      </w:r>
    </w:p>
    <w:p w14:paraId="6F317065">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（6）同一投诉事项未经</w:t>
      </w:r>
      <w:r>
        <w:rPr>
          <w:rFonts w:hint="eastAsia" w:ascii="宋体" w:hAnsi="宋体" w:eastAsia="宋体" w:cs="宋体"/>
          <w:bCs/>
          <w:color w:val="000000" w:themeColor="text1"/>
          <w:sz w:val="28"/>
          <w:szCs w:val="28"/>
          <w:highlight w:val="none"/>
          <w14:textFill>
            <w14:solidFill>
              <w14:schemeClr w14:val="tx1"/>
            </w14:solidFill>
          </w14:textFill>
        </w:rPr>
        <w:t>政府采购监督管理部门</w:t>
      </w:r>
      <w:r>
        <w:rPr>
          <w:rFonts w:hint="eastAsia" w:ascii="宋体" w:hAnsi="宋体" w:eastAsia="宋体" w:cs="宋体"/>
          <w:color w:val="000000" w:themeColor="text1"/>
          <w:sz w:val="28"/>
          <w:szCs w:val="28"/>
          <w:highlight w:val="none"/>
          <w14:textFill>
            <w14:solidFill>
              <w14:schemeClr w14:val="tx1"/>
            </w14:solidFill>
          </w14:textFill>
        </w:rPr>
        <w:t>投诉处理；</w:t>
      </w:r>
    </w:p>
    <w:p w14:paraId="558DFA61">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（7）国务院财政部门规定的其他条件。</w:t>
      </w:r>
    </w:p>
    <w:p w14:paraId="01F2DCE6">
      <w:pPr>
        <w:keepNext w:val="0"/>
        <w:keepLines w:val="0"/>
        <w:pageBreakBefore w:val="0"/>
        <w:kinsoku/>
        <w:wordWrap/>
        <w:overflowPunct/>
        <w:topLinePunct w:val="0"/>
        <w:bidi w:val="0"/>
        <w:adjustRightInd/>
        <w:snapToGrid/>
        <w:spacing w:line="560" w:lineRule="exact"/>
        <w:ind w:firstLine="562"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38.3.5</w:t>
      </w:r>
      <w:r>
        <w:rPr>
          <w:rFonts w:hint="eastAsia" w:ascii="宋体" w:hAnsi="宋体" w:eastAsia="宋体" w:cs="宋体"/>
          <w:color w:val="000000" w:themeColor="text1"/>
          <w:sz w:val="28"/>
          <w:szCs w:val="28"/>
          <w:highlight w:val="none"/>
          <w14:textFill>
            <w14:solidFill>
              <w14:schemeClr w14:val="tx1"/>
            </w14:solidFill>
          </w14:textFill>
        </w:rPr>
        <w:t xml:space="preserve">  政府采购监督管理部门自受理投诉之日起30个工作日内，对投诉事项作出处理决定，并以书面形式通知投诉人、被投诉人及其他与投诉处理结果有利害关系的政府采购当事人。并将投诉结果在新疆政府采购网（http://www.ccgp-xinjiang.gov.cn）发布。</w:t>
      </w:r>
    </w:p>
    <w:p w14:paraId="7DD2F92D">
      <w:pPr>
        <w:keepNext w:val="0"/>
        <w:keepLines w:val="0"/>
        <w:pageBreakBefore w:val="0"/>
        <w:kinsoku/>
        <w:wordWrap/>
        <w:overflowPunct/>
        <w:topLinePunct w:val="0"/>
        <w:bidi w:val="0"/>
        <w:adjustRightInd/>
        <w:snapToGrid/>
        <w:spacing w:line="560" w:lineRule="exact"/>
        <w:ind w:firstLine="562"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38.3.6</w:t>
      </w:r>
      <w:r>
        <w:rPr>
          <w:rFonts w:hint="eastAsia" w:ascii="宋体" w:hAnsi="宋体" w:eastAsia="宋体" w:cs="宋体"/>
          <w:color w:val="000000" w:themeColor="text1"/>
          <w:sz w:val="28"/>
          <w:szCs w:val="28"/>
          <w:highlight w:val="none"/>
          <w14:textFill>
            <w14:solidFill>
              <w14:schemeClr w14:val="tx1"/>
            </w14:solidFill>
          </w14:textFill>
        </w:rPr>
        <w:t xml:space="preserve">  哈密市伊州区政府采购监督管理部门在处理投诉事项期间，可以视具体情况暂停采购活动。</w:t>
      </w:r>
    </w:p>
    <w:p w14:paraId="2C9B922D">
      <w:pPr>
        <w:pStyle w:val="4"/>
        <w:keepNext w:val="0"/>
        <w:keepLines w:val="0"/>
        <w:pageBreakBefore w:val="0"/>
        <w:kinsoku/>
        <w:wordWrap/>
        <w:overflowPunct/>
        <w:topLinePunct w:val="0"/>
        <w:bidi w:val="0"/>
        <w:adjustRightInd/>
        <w:snapToGrid/>
        <w:spacing w:line="560" w:lineRule="exact"/>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八、验收</w:t>
      </w:r>
    </w:p>
    <w:p w14:paraId="2D6A1629">
      <w:pPr>
        <w:keepNext w:val="0"/>
        <w:keepLines w:val="0"/>
        <w:pageBreakBefore w:val="0"/>
        <w:kinsoku/>
        <w:wordWrap/>
        <w:overflowPunct/>
        <w:topLinePunct w:val="0"/>
        <w:bidi w:val="0"/>
        <w:adjustRightInd/>
        <w:snapToGrid/>
        <w:spacing w:line="560" w:lineRule="exact"/>
        <w:ind w:firstLine="562" w:firstLineChars="200"/>
        <w:jc w:val="both"/>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39.验收</w:t>
      </w:r>
    </w:p>
    <w:p w14:paraId="3487F445">
      <w:pPr>
        <w:keepNext w:val="0"/>
        <w:keepLines w:val="0"/>
        <w:pageBreakBefore w:val="0"/>
        <w:tabs>
          <w:tab w:val="left" w:pos="0"/>
        </w:tabs>
        <w:kinsoku/>
        <w:wordWrap/>
        <w:overflowPunct/>
        <w:topLinePunct w:val="0"/>
        <w:bidi w:val="0"/>
        <w:adjustRightInd/>
        <w:snapToGrid/>
        <w:spacing w:line="560" w:lineRule="exact"/>
        <w:ind w:firstLine="48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39.1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431D315">
      <w:pPr>
        <w:keepNext w:val="0"/>
        <w:keepLines w:val="0"/>
        <w:pageBreakBefore w:val="0"/>
        <w:tabs>
          <w:tab w:val="left" w:pos="0"/>
        </w:tabs>
        <w:kinsoku/>
        <w:wordWrap/>
        <w:overflowPunct/>
        <w:topLinePunct w:val="0"/>
        <w:bidi w:val="0"/>
        <w:adjustRightInd/>
        <w:snapToGrid/>
        <w:spacing w:line="560" w:lineRule="exact"/>
        <w:ind w:firstLine="48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39.2采购人可以邀请参加本项目的其他</w:t>
      </w:r>
      <w:r>
        <w:rPr>
          <w:rFonts w:hint="eastAsia" w:ascii="宋体" w:hAnsi="宋体" w:cs="宋体"/>
          <w:color w:val="000000" w:themeColor="text1"/>
          <w:sz w:val="28"/>
          <w:szCs w:val="28"/>
          <w:highlight w:val="none"/>
          <w:lang w:eastAsia="zh-CN"/>
          <w14:textFill>
            <w14:solidFill>
              <w14:schemeClr w14:val="tx1"/>
            </w14:solidFill>
          </w14:textFill>
        </w:rPr>
        <w:t>供应商</w:t>
      </w:r>
      <w:r>
        <w:rPr>
          <w:rFonts w:hint="eastAsia" w:ascii="宋体" w:hAnsi="宋体" w:eastAsia="宋体" w:cs="宋体"/>
          <w:color w:val="000000" w:themeColor="text1"/>
          <w:sz w:val="28"/>
          <w:szCs w:val="28"/>
          <w:highlight w:val="none"/>
          <w14:textFill>
            <w14:solidFill>
              <w14:schemeClr w14:val="tx1"/>
            </w14:solidFill>
          </w14:textFill>
        </w:rPr>
        <w:t>或者第三方机构参与验收。参与验收的</w:t>
      </w:r>
      <w:r>
        <w:rPr>
          <w:rFonts w:hint="eastAsia" w:ascii="宋体" w:hAnsi="宋体" w:cs="宋体"/>
          <w:color w:val="000000" w:themeColor="text1"/>
          <w:sz w:val="28"/>
          <w:szCs w:val="28"/>
          <w:highlight w:val="none"/>
          <w:lang w:eastAsia="zh-CN"/>
          <w14:textFill>
            <w14:solidFill>
              <w14:schemeClr w14:val="tx1"/>
            </w14:solidFill>
          </w14:textFill>
        </w:rPr>
        <w:t>供应商</w:t>
      </w:r>
      <w:r>
        <w:rPr>
          <w:rFonts w:hint="eastAsia" w:ascii="宋体" w:hAnsi="宋体" w:eastAsia="宋体" w:cs="宋体"/>
          <w:color w:val="000000" w:themeColor="text1"/>
          <w:sz w:val="28"/>
          <w:szCs w:val="28"/>
          <w:highlight w:val="none"/>
          <w14:textFill>
            <w14:solidFill>
              <w14:schemeClr w14:val="tx1"/>
            </w14:solidFill>
          </w14:textFill>
        </w:rPr>
        <w:t>或者第三方机构的意见作为验收书的参考资料一并存档。</w:t>
      </w:r>
    </w:p>
    <w:p w14:paraId="2691626B">
      <w:pPr>
        <w:keepNext w:val="0"/>
        <w:keepLines w:val="0"/>
        <w:pageBreakBefore w:val="0"/>
        <w:tabs>
          <w:tab w:val="left" w:pos="0"/>
        </w:tabs>
        <w:kinsoku/>
        <w:wordWrap/>
        <w:overflowPunct/>
        <w:topLinePunct w:val="0"/>
        <w:bidi w:val="0"/>
        <w:adjustRightInd/>
        <w:snapToGrid/>
        <w:spacing w:line="560" w:lineRule="exact"/>
        <w:ind w:firstLine="48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39.3严格按照采购合同开展履约验收。采购人成立验收小组，按照采购合同的约定对供应商履约情况进行验收。验收时，按照采购合同的约定对每一项技术、货物、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4DB4BEF">
      <w:pPr>
        <w:keepNext w:val="0"/>
        <w:keepLines w:val="0"/>
        <w:pageBreakBefore w:val="0"/>
        <w:tabs>
          <w:tab w:val="left" w:pos="0"/>
        </w:tabs>
        <w:kinsoku/>
        <w:wordWrap/>
        <w:overflowPunct/>
        <w:topLinePunct w:val="0"/>
        <w:bidi w:val="0"/>
        <w:adjustRightInd/>
        <w:snapToGrid/>
        <w:spacing w:line="560" w:lineRule="exact"/>
        <w:ind w:firstLine="48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39.4验收合格的项目，采购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0FAA4232">
      <w:pPr>
        <w:pStyle w:val="4"/>
        <w:keepNext w:val="0"/>
        <w:keepLines w:val="0"/>
        <w:pageBreakBefore w:val="0"/>
        <w:kinsoku/>
        <w:wordWrap/>
        <w:overflowPunct/>
        <w:topLinePunct w:val="0"/>
        <w:bidi w:val="0"/>
        <w:adjustRightInd/>
        <w:snapToGrid/>
        <w:spacing w:line="560" w:lineRule="exact"/>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九、其他事项</w:t>
      </w:r>
    </w:p>
    <w:p w14:paraId="5DBFCDAB">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40.代理货物费</w:t>
      </w:r>
    </w:p>
    <w:p w14:paraId="2B10EC15">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b w:val="0"/>
          <w:bCs/>
          <w:color w:val="000000" w:themeColor="text1"/>
          <w:sz w:val="28"/>
          <w:szCs w:val="28"/>
          <w:highlight w:val="none"/>
          <w14:textFill>
            <w14:solidFill>
              <w14:schemeClr w14:val="tx1"/>
            </w14:solidFill>
          </w14:textFill>
        </w:rPr>
      </w:pPr>
      <w:r>
        <w:rPr>
          <w:rFonts w:hint="eastAsia" w:ascii="宋体" w:hAnsi="宋体" w:eastAsia="宋体" w:cs="宋体"/>
          <w:b w:val="0"/>
          <w:bCs/>
          <w:color w:val="000000" w:themeColor="text1"/>
          <w:sz w:val="28"/>
          <w:szCs w:val="28"/>
          <w:highlight w:val="none"/>
          <w14:textFill>
            <w14:solidFill>
              <w14:schemeClr w14:val="tx1"/>
            </w14:solidFill>
          </w14:textFill>
        </w:rPr>
        <w:t>代理货物收费标准及缴费账户详见“</w:t>
      </w:r>
      <w:r>
        <w:rPr>
          <w:rFonts w:hint="eastAsia" w:ascii="宋体" w:hAnsi="宋体" w:cs="宋体"/>
          <w:b w:val="0"/>
          <w:bCs/>
          <w:color w:val="000000" w:themeColor="text1"/>
          <w:sz w:val="28"/>
          <w:szCs w:val="28"/>
          <w:highlight w:val="none"/>
          <w:lang w:eastAsia="zh-CN"/>
          <w14:textFill>
            <w14:solidFill>
              <w14:schemeClr w14:val="tx1"/>
            </w14:solidFill>
          </w14:textFill>
        </w:rPr>
        <w:t>供应商</w:t>
      </w:r>
      <w:r>
        <w:rPr>
          <w:rFonts w:hint="eastAsia" w:ascii="宋体" w:hAnsi="宋体" w:eastAsia="宋体" w:cs="宋体"/>
          <w:b w:val="0"/>
          <w:bCs/>
          <w:color w:val="000000" w:themeColor="text1"/>
          <w:sz w:val="28"/>
          <w:szCs w:val="28"/>
          <w:highlight w:val="none"/>
          <w14:textFill>
            <w14:solidFill>
              <w14:schemeClr w14:val="tx1"/>
            </w14:solidFill>
          </w14:textFill>
        </w:rPr>
        <w:t>须知前附表”，</w:t>
      </w:r>
      <w:r>
        <w:rPr>
          <w:rFonts w:hint="eastAsia" w:ascii="宋体" w:hAnsi="宋体" w:cs="宋体"/>
          <w:b w:val="0"/>
          <w:bCs/>
          <w:color w:val="000000" w:themeColor="text1"/>
          <w:sz w:val="28"/>
          <w:szCs w:val="28"/>
          <w:highlight w:val="none"/>
          <w:lang w:eastAsia="zh-CN"/>
          <w14:textFill>
            <w14:solidFill>
              <w14:schemeClr w14:val="tx1"/>
            </w14:solidFill>
          </w14:textFill>
        </w:rPr>
        <w:t>供应商</w:t>
      </w:r>
      <w:r>
        <w:rPr>
          <w:rFonts w:hint="eastAsia" w:ascii="宋体" w:hAnsi="宋体" w:eastAsia="宋体" w:cs="宋体"/>
          <w:b w:val="0"/>
          <w:bCs/>
          <w:color w:val="000000" w:themeColor="text1"/>
          <w:sz w:val="28"/>
          <w:szCs w:val="28"/>
          <w:highlight w:val="none"/>
          <w14:textFill>
            <w14:solidFill>
              <w14:schemeClr w14:val="tx1"/>
            </w14:solidFill>
          </w14:textFill>
        </w:rPr>
        <w:t>为联合体的，可以由联合体中的一方或者多方共同交纳代理货物费。</w:t>
      </w:r>
    </w:p>
    <w:p w14:paraId="36DBD9B7">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41. 需要补充的其他内容</w:t>
      </w:r>
    </w:p>
    <w:p w14:paraId="7B12F36E">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41.1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由中小企业制造，即货物由中小企业生产且使用该中小企业商号或者注册商标，不对其中涉及的工程承建商和服务的承接商作出要求的，享受本文件规定的中小企业扶持政策。</w:t>
      </w:r>
    </w:p>
    <w:p w14:paraId="21401EC9">
      <w:pPr>
        <w:keepNext w:val="0"/>
        <w:keepLines w:val="0"/>
        <w:pageBreakBefore w:val="0"/>
        <w:kinsoku/>
        <w:wordWrap/>
        <w:overflowPunct/>
        <w:topLinePunct w:val="0"/>
        <w:bidi w:val="0"/>
        <w:adjustRightInd/>
        <w:snapToGrid/>
        <w:spacing w:line="560" w:lineRule="exact"/>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在货物采购项目中，供应商提供的货物既有中小企业制造货物，也有大型企业制造货物的，不享受本文件规定的中小企业扶持政策。以联合体形式参加政府采购活动，联合体各方均为中小企业的，联合体视同中小企业。其中，联合体各方均为小微企业的，联合体视同小微企业。</w:t>
      </w:r>
    </w:p>
    <w:p w14:paraId="282C0E30">
      <w:pPr>
        <w:keepNext w:val="0"/>
        <w:keepLines w:val="0"/>
        <w:pageBreakBefore w:val="0"/>
        <w:kinsoku/>
        <w:wordWrap/>
        <w:overflowPunct/>
        <w:topLinePunct w:val="0"/>
        <w:bidi w:val="0"/>
        <w:adjustRightInd/>
        <w:snapToGrid/>
        <w:spacing w:line="560" w:lineRule="exact"/>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依据本文件规定享受扶持政策获得政府采购合同的，小微企业不得将合同分包给大中型企业，中型企业不得将合同分包给大型企业。</w:t>
      </w:r>
    </w:p>
    <w:p w14:paraId="7180510A">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45.本招标文件解释规则详见“</w:t>
      </w:r>
      <w:r>
        <w:rPr>
          <w:rFonts w:hint="eastAsia" w:ascii="宋体" w:hAnsi="宋体" w:cs="宋体"/>
          <w:color w:val="000000" w:themeColor="text1"/>
          <w:sz w:val="28"/>
          <w:szCs w:val="28"/>
          <w:highlight w:val="none"/>
          <w:lang w:eastAsia="zh-CN"/>
          <w14:textFill>
            <w14:solidFill>
              <w14:schemeClr w14:val="tx1"/>
            </w14:solidFill>
          </w14:textFill>
        </w:rPr>
        <w:t>供应商</w:t>
      </w:r>
      <w:r>
        <w:rPr>
          <w:rFonts w:hint="eastAsia" w:ascii="宋体" w:hAnsi="宋体" w:eastAsia="宋体" w:cs="宋体"/>
          <w:color w:val="000000" w:themeColor="text1"/>
          <w:sz w:val="28"/>
          <w:szCs w:val="28"/>
          <w:highlight w:val="none"/>
          <w14:textFill>
            <w14:solidFill>
              <w14:schemeClr w14:val="tx1"/>
            </w14:solidFill>
          </w14:textFill>
        </w:rPr>
        <w:t>须知前附表”。</w:t>
      </w:r>
    </w:p>
    <w:p w14:paraId="69F5DD74">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46.其他事项详见“</w:t>
      </w:r>
      <w:r>
        <w:rPr>
          <w:rFonts w:hint="eastAsia" w:ascii="宋体" w:hAnsi="宋体" w:cs="宋体"/>
          <w:color w:val="000000" w:themeColor="text1"/>
          <w:sz w:val="28"/>
          <w:szCs w:val="28"/>
          <w:highlight w:val="none"/>
          <w:lang w:eastAsia="zh-CN"/>
          <w14:textFill>
            <w14:solidFill>
              <w14:schemeClr w14:val="tx1"/>
            </w14:solidFill>
          </w14:textFill>
        </w:rPr>
        <w:t>供应商</w:t>
      </w:r>
      <w:r>
        <w:rPr>
          <w:rFonts w:hint="eastAsia" w:ascii="宋体" w:hAnsi="宋体" w:eastAsia="宋体" w:cs="宋体"/>
          <w:color w:val="000000" w:themeColor="text1"/>
          <w:sz w:val="28"/>
          <w:szCs w:val="28"/>
          <w:highlight w:val="none"/>
          <w14:textFill>
            <w14:solidFill>
              <w14:schemeClr w14:val="tx1"/>
            </w14:solidFill>
          </w14:textFill>
        </w:rPr>
        <w:t>须知前附表”。</w:t>
      </w:r>
    </w:p>
    <w:p w14:paraId="2FD8E358">
      <w:pPr>
        <w:pageBreakBefore w:val="0"/>
        <w:widowControl/>
        <w:wordWrap/>
        <w:topLinePunct w:val="0"/>
        <w:bidi w:val="0"/>
        <w:spacing w:line="560" w:lineRule="exact"/>
        <w:jc w:val="left"/>
        <w:rPr>
          <w:b/>
          <w:color w:val="000000" w:themeColor="text1"/>
          <w:sz w:val="36"/>
          <w:szCs w:val="20"/>
          <w:highlight w:val="none"/>
          <w14:textFill>
            <w14:solidFill>
              <w14:schemeClr w14:val="tx1"/>
            </w14:solidFill>
          </w14:textFill>
        </w:rPr>
      </w:pPr>
      <w:r>
        <w:rPr>
          <w:b/>
          <w:color w:val="000000" w:themeColor="text1"/>
          <w:sz w:val="36"/>
          <w:highlight w:val="none"/>
          <w14:textFill>
            <w14:solidFill>
              <w14:schemeClr w14:val="tx1"/>
            </w14:solidFill>
          </w14:textFill>
        </w:rPr>
        <w:br w:type="page"/>
      </w:r>
    </w:p>
    <w:p w14:paraId="4D7AC241">
      <w:pPr>
        <w:pStyle w:val="31"/>
        <w:pageBreakBefore w:val="0"/>
        <w:wordWrap/>
        <w:topLinePunct w:val="0"/>
        <w:bidi w:val="0"/>
        <w:spacing w:before="0" w:after="0" w:line="560" w:lineRule="exact"/>
        <w:rPr>
          <w:color w:val="000000" w:themeColor="text1"/>
          <w:sz w:val="36"/>
          <w:szCs w:val="36"/>
          <w:highlight w:val="none"/>
          <w14:textFill>
            <w14:solidFill>
              <w14:schemeClr w14:val="tx1"/>
            </w14:solidFill>
          </w14:textFill>
        </w:rPr>
      </w:pPr>
      <w:r>
        <w:rPr>
          <w:rFonts w:hint="eastAsia"/>
          <w:color w:val="000000" w:themeColor="text1"/>
          <w:sz w:val="36"/>
          <w:szCs w:val="36"/>
          <w:highlight w:val="none"/>
          <w14:textFill>
            <w14:solidFill>
              <w14:schemeClr w14:val="tx1"/>
            </w14:solidFill>
          </w14:textFill>
        </w:rPr>
        <w:t>第三章  采购需求</w:t>
      </w:r>
      <w:r>
        <w:rPr>
          <w:rFonts w:hint="eastAsia" w:ascii="宋体" w:hAnsi="宋体" w:eastAsia="宋体" w:cs="宋体"/>
          <w:color w:val="000000" w:themeColor="text1"/>
          <w:sz w:val="36"/>
          <w:szCs w:val="36"/>
          <w:highlight w:val="none"/>
          <w:lang w:eastAsia="zh-CN"/>
          <w14:textFill>
            <w14:solidFill>
              <w14:schemeClr w14:val="tx1"/>
            </w14:solidFill>
          </w14:textFill>
        </w:rPr>
        <w:t>（标项</w:t>
      </w:r>
      <w:r>
        <w:rPr>
          <w:rFonts w:hint="eastAsia" w:ascii="宋体" w:hAnsi="宋体" w:cs="宋体"/>
          <w:color w:val="000000" w:themeColor="text1"/>
          <w:sz w:val="36"/>
          <w:szCs w:val="36"/>
          <w:highlight w:val="none"/>
          <w:lang w:val="en-US" w:eastAsia="zh-CN"/>
          <w14:textFill>
            <w14:solidFill>
              <w14:schemeClr w14:val="tx1"/>
            </w14:solidFill>
          </w14:textFill>
        </w:rPr>
        <w:t>2</w:t>
      </w:r>
      <w:r>
        <w:rPr>
          <w:rFonts w:hint="eastAsia" w:ascii="宋体" w:hAnsi="宋体" w:eastAsia="宋体" w:cs="宋体"/>
          <w:color w:val="000000" w:themeColor="text1"/>
          <w:sz w:val="36"/>
          <w:szCs w:val="36"/>
          <w:highlight w:val="none"/>
          <w:lang w:eastAsia="zh-CN"/>
          <w14:textFill>
            <w14:solidFill>
              <w14:schemeClr w14:val="tx1"/>
            </w14:solidFill>
          </w14:textFill>
        </w:rPr>
        <w:t>）</w:t>
      </w:r>
    </w:p>
    <w:p w14:paraId="68F105B3">
      <w:pPr>
        <w:keepNext w:val="0"/>
        <w:keepLines w:val="0"/>
        <w:pageBreakBefore w:val="0"/>
        <w:widowControl/>
        <w:kinsoku w:val="0"/>
        <w:wordWrap/>
        <w:overflowPunct/>
        <w:topLinePunct w:val="0"/>
        <w:autoSpaceDE w:val="0"/>
        <w:autoSpaceDN w:val="0"/>
        <w:bidi w:val="0"/>
        <w:adjustRightInd/>
        <w:snapToGrid/>
        <w:spacing w:line="560" w:lineRule="exact"/>
        <w:jc w:val="both"/>
        <w:textAlignment w:val="baseline"/>
        <w:rPr>
          <w:rFonts w:hint="eastAsia" w:ascii="宋体" w:hAnsi="宋体" w:eastAsia="宋体" w:cs="宋体"/>
          <w:b/>
          <w:bCs/>
          <w:color w:val="000000" w:themeColor="text1"/>
          <w:sz w:val="28"/>
          <w:szCs w:val="28"/>
          <w:highlight w:val="none"/>
          <w:lang w:eastAsia="zh-CN"/>
          <w14:textFill>
            <w14:solidFill>
              <w14:schemeClr w14:val="tx1"/>
            </w14:solidFill>
          </w14:textFill>
        </w:rPr>
      </w:pPr>
      <w:r>
        <w:rPr>
          <w:rFonts w:hint="eastAsia" w:ascii="宋体" w:hAnsi="宋体" w:eastAsia="宋体" w:cs="宋体"/>
          <w:b/>
          <w:bCs/>
          <w:color w:val="000000" w:themeColor="text1"/>
          <w:sz w:val="28"/>
          <w:szCs w:val="28"/>
          <w:highlight w:val="none"/>
          <w:lang w:eastAsia="zh-CN"/>
          <w14:textFill>
            <w14:solidFill>
              <w14:schemeClr w14:val="tx1"/>
            </w14:solidFill>
          </w14:textFill>
        </w:rPr>
        <w:t>一、设备购置清单</w:t>
      </w:r>
    </w:p>
    <w:tbl>
      <w:tblPr>
        <w:tblStyle w:val="34"/>
        <w:tblW w:w="921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15"/>
        <w:gridCol w:w="3933"/>
        <w:gridCol w:w="2035"/>
        <w:gridCol w:w="2035"/>
      </w:tblGrid>
      <w:tr w14:paraId="1A038F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1" w:hRule="atLeast"/>
          <w:jc w:val="center"/>
        </w:trPr>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44C90">
            <w:pPr>
              <w:keepNext w:val="0"/>
              <w:keepLines w:val="0"/>
              <w:pageBreakBefore w:val="0"/>
              <w:widowControl/>
              <w:suppressLineNumbers w:val="0"/>
              <w:wordWrap/>
              <w:overflowPunct/>
              <w:topLinePunct w:val="0"/>
              <w:bidi w:val="0"/>
              <w:adjustRightInd/>
              <w:snapToGrid/>
              <w:spacing w:line="560" w:lineRule="exact"/>
              <w:jc w:val="center"/>
              <w:textAlignment w:val="center"/>
              <w:rPr>
                <w:rFonts w:hint="eastAsia" w:ascii="宋体" w:hAnsi="宋体" w:eastAsia="宋体" w:cs="宋体"/>
                <w:b/>
                <w:bCs/>
                <w:i w:val="0"/>
                <w:iCs w:val="0"/>
                <w:color w:val="000000" w:themeColor="text1"/>
                <w:sz w:val="28"/>
                <w:szCs w:val="28"/>
                <w:highlight w:val="none"/>
                <w:u w:val="none"/>
                <w14:textFill>
                  <w14:solidFill>
                    <w14:schemeClr w14:val="tx1"/>
                  </w14:solidFill>
                </w14:textFill>
              </w:rPr>
            </w:pPr>
            <w:r>
              <w:rPr>
                <w:rFonts w:hint="eastAsia" w:ascii="宋体" w:hAnsi="宋体" w:eastAsia="宋体" w:cs="宋体"/>
                <w:b/>
                <w:bCs/>
                <w:i w:val="0"/>
                <w:iCs w:val="0"/>
                <w:snapToGrid w:val="0"/>
                <w:color w:val="000000" w:themeColor="text1"/>
                <w:kern w:val="0"/>
                <w:sz w:val="28"/>
                <w:szCs w:val="28"/>
                <w:highlight w:val="none"/>
                <w:u w:val="none"/>
                <w:lang w:val="en-US" w:eastAsia="zh-CN" w:bidi="ar"/>
                <w14:textFill>
                  <w14:solidFill>
                    <w14:schemeClr w14:val="tx1"/>
                  </w14:solidFill>
                </w14:textFill>
              </w:rPr>
              <w:t>序号</w:t>
            </w:r>
          </w:p>
        </w:tc>
        <w:tc>
          <w:tcPr>
            <w:tcW w:w="3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9E27C">
            <w:pPr>
              <w:keepNext w:val="0"/>
              <w:keepLines w:val="0"/>
              <w:pageBreakBefore w:val="0"/>
              <w:widowControl/>
              <w:suppressLineNumbers w:val="0"/>
              <w:wordWrap/>
              <w:overflowPunct/>
              <w:topLinePunct w:val="0"/>
              <w:bidi w:val="0"/>
              <w:adjustRightInd/>
              <w:snapToGrid/>
              <w:spacing w:line="560" w:lineRule="exact"/>
              <w:jc w:val="center"/>
              <w:textAlignment w:val="center"/>
              <w:rPr>
                <w:rFonts w:hint="eastAsia" w:ascii="宋体" w:hAnsi="宋体" w:eastAsia="宋体" w:cs="宋体"/>
                <w:b/>
                <w:bCs/>
                <w:i w:val="0"/>
                <w:iCs w:val="0"/>
                <w:color w:val="000000" w:themeColor="text1"/>
                <w:sz w:val="28"/>
                <w:szCs w:val="28"/>
                <w:highlight w:val="none"/>
                <w:u w:val="none"/>
                <w14:textFill>
                  <w14:solidFill>
                    <w14:schemeClr w14:val="tx1"/>
                  </w14:solidFill>
                </w14:textFill>
              </w:rPr>
            </w:pPr>
            <w:r>
              <w:rPr>
                <w:rFonts w:hint="eastAsia" w:ascii="宋体" w:hAnsi="宋体" w:eastAsia="宋体" w:cs="宋体"/>
                <w:b/>
                <w:bCs/>
                <w:i w:val="0"/>
                <w:iCs w:val="0"/>
                <w:snapToGrid w:val="0"/>
                <w:color w:val="000000" w:themeColor="text1"/>
                <w:kern w:val="0"/>
                <w:sz w:val="28"/>
                <w:szCs w:val="28"/>
                <w:highlight w:val="none"/>
                <w:u w:val="none"/>
                <w:lang w:val="en-US" w:eastAsia="zh-CN" w:bidi="ar"/>
                <w14:textFill>
                  <w14:solidFill>
                    <w14:schemeClr w14:val="tx1"/>
                  </w14:solidFill>
                </w14:textFill>
              </w:rPr>
              <w:t>设备名称</w:t>
            </w:r>
          </w:p>
        </w:tc>
        <w:tc>
          <w:tcPr>
            <w:tcW w:w="2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F139B">
            <w:pPr>
              <w:keepNext w:val="0"/>
              <w:keepLines w:val="0"/>
              <w:pageBreakBefore w:val="0"/>
              <w:widowControl/>
              <w:suppressLineNumbers w:val="0"/>
              <w:wordWrap/>
              <w:overflowPunct/>
              <w:topLinePunct w:val="0"/>
              <w:bidi w:val="0"/>
              <w:adjustRightInd/>
              <w:snapToGrid/>
              <w:spacing w:line="560" w:lineRule="exact"/>
              <w:jc w:val="center"/>
              <w:textAlignment w:val="center"/>
              <w:rPr>
                <w:rFonts w:hint="eastAsia" w:ascii="宋体" w:hAnsi="宋体" w:eastAsia="宋体" w:cs="宋体"/>
                <w:b/>
                <w:bCs/>
                <w:i w:val="0"/>
                <w:iCs w:val="0"/>
                <w:color w:val="000000" w:themeColor="text1"/>
                <w:sz w:val="28"/>
                <w:szCs w:val="28"/>
                <w:highlight w:val="none"/>
                <w:u w:val="none"/>
                <w14:textFill>
                  <w14:solidFill>
                    <w14:schemeClr w14:val="tx1"/>
                  </w14:solidFill>
                </w14:textFill>
              </w:rPr>
            </w:pPr>
            <w:r>
              <w:rPr>
                <w:rFonts w:hint="eastAsia" w:ascii="宋体" w:hAnsi="宋体" w:eastAsia="宋体" w:cs="宋体"/>
                <w:b/>
                <w:bCs/>
                <w:i w:val="0"/>
                <w:iCs w:val="0"/>
                <w:snapToGrid w:val="0"/>
                <w:color w:val="000000" w:themeColor="text1"/>
                <w:kern w:val="0"/>
                <w:sz w:val="28"/>
                <w:szCs w:val="28"/>
                <w:highlight w:val="none"/>
                <w:u w:val="none"/>
                <w:lang w:val="en-US" w:eastAsia="zh-CN" w:bidi="ar"/>
                <w14:textFill>
                  <w14:solidFill>
                    <w14:schemeClr w14:val="tx1"/>
                  </w14:solidFill>
                </w14:textFill>
              </w:rPr>
              <w:t>单位</w:t>
            </w:r>
          </w:p>
        </w:tc>
        <w:tc>
          <w:tcPr>
            <w:tcW w:w="2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F2190">
            <w:pPr>
              <w:keepNext w:val="0"/>
              <w:keepLines w:val="0"/>
              <w:pageBreakBefore w:val="0"/>
              <w:widowControl/>
              <w:suppressLineNumbers w:val="0"/>
              <w:wordWrap/>
              <w:overflowPunct/>
              <w:topLinePunct w:val="0"/>
              <w:bidi w:val="0"/>
              <w:adjustRightInd/>
              <w:snapToGrid/>
              <w:spacing w:line="560" w:lineRule="exact"/>
              <w:jc w:val="center"/>
              <w:textAlignment w:val="center"/>
              <w:rPr>
                <w:rFonts w:hint="eastAsia" w:ascii="宋体" w:hAnsi="宋体" w:eastAsia="宋体" w:cs="宋体"/>
                <w:b/>
                <w:bCs/>
                <w:i w:val="0"/>
                <w:iCs w:val="0"/>
                <w:color w:val="000000" w:themeColor="text1"/>
                <w:sz w:val="28"/>
                <w:szCs w:val="28"/>
                <w:highlight w:val="none"/>
                <w:u w:val="none"/>
                <w14:textFill>
                  <w14:solidFill>
                    <w14:schemeClr w14:val="tx1"/>
                  </w14:solidFill>
                </w14:textFill>
              </w:rPr>
            </w:pPr>
            <w:r>
              <w:rPr>
                <w:rFonts w:hint="eastAsia" w:ascii="宋体" w:hAnsi="宋体" w:eastAsia="宋体" w:cs="宋体"/>
                <w:b/>
                <w:bCs/>
                <w:i w:val="0"/>
                <w:iCs w:val="0"/>
                <w:snapToGrid w:val="0"/>
                <w:color w:val="000000" w:themeColor="text1"/>
                <w:kern w:val="0"/>
                <w:sz w:val="28"/>
                <w:szCs w:val="28"/>
                <w:highlight w:val="none"/>
                <w:u w:val="none"/>
                <w:lang w:val="en-US" w:eastAsia="zh-CN" w:bidi="ar"/>
                <w14:textFill>
                  <w14:solidFill>
                    <w14:schemeClr w14:val="tx1"/>
                  </w14:solidFill>
                </w14:textFill>
              </w:rPr>
              <w:t>数量</w:t>
            </w:r>
          </w:p>
        </w:tc>
      </w:tr>
      <w:tr w14:paraId="425424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4" w:hRule="atLeast"/>
          <w:jc w:val="center"/>
        </w:trPr>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8F01B">
            <w:pPr>
              <w:keepNext w:val="0"/>
              <w:keepLines w:val="0"/>
              <w:pageBreakBefore w:val="0"/>
              <w:widowControl/>
              <w:suppressLineNumbers w:val="0"/>
              <w:wordWrap/>
              <w:overflowPunct/>
              <w:topLinePunct w:val="0"/>
              <w:bidi w:val="0"/>
              <w:adjustRightInd/>
              <w:snapToGrid/>
              <w:spacing w:line="560" w:lineRule="exact"/>
              <w:jc w:val="center"/>
              <w:textAlignment w:val="center"/>
              <w:rPr>
                <w:rFonts w:hint="eastAsia" w:ascii="宋体" w:hAnsi="宋体" w:eastAsia="宋体" w:cs="宋体"/>
                <w:i w:val="0"/>
                <w:iCs w:val="0"/>
                <w:color w:val="000000" w:themeColor="text1"/>
                <w:sz w:val="28"/>
                <w:szCs w:val="28"/>
                <w:highlight w:val="none"/>
                <w:u w:val="none"/>
                <w14:textFill>
                  <w14:solidFill>
                    <w14:schemeClr w14:val="tx1"/>
                  </w14:solidFill>
                </w14:textFill>
              </w:rPr>
            </w:pPr>
            <w:r>
              <w:rPr>
                <w:rFonts w:hint="eastAsia" w:ascii="宋体" w:hAnsi="宋体" w:eastAsia="宋体" w:cs="宋体"/>
                <w:i w:val="0"/>
                <w:iCs w:val="0"/>
                <w:snapToGrid w:val="0"/>
                <w:color w:val="000000" w:themeColor="text1"/>
                <w:kern w:val="0"/>
                <w:sz w:val="28"/>
                <w:szCs w:val="28"/>
                <w:highlight w:val="none"/>
                <w:u w:val="none"/>
                <w:lang w:val="en-US" w:eastAsia="zh-CN" w:bidi="ar"/>
                <w14:textFill>
                  <w14:solidFill>
                    <w14:schemeClr w14:val="tx1"/>
                  </w14:solidFill>
                </w14:textFill>
              </w:rPr>
              <w:t>1</w:t>
            </w:r>
          </w:p>
        </w:tc>
        <w:tc>
          <w:tcPr>
            <w:tcW w:w="3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E0471">
            <w:pPr>
              <w:keepNext w:val="0"/>
              <w:keepLines w:val="0"/>
              <w:pageBreakBefore w:val="0"/>
              <w:widowControl/>
              <w:suppressLineNumbers w:val="0"/>
              <w:wordWrap/>
              <w:overflowPunct/>
              <w:topLinePunct w:val="0"/>
              <w:bidi w:val="0"/>
              <w:adjustRightInd/>
              <w:snapToGrid/>
              <w:spacing w:line="560" w:lineRule="exact"/>
              <w:jc w:val="center"/>
              <w:textAlignment w:val="center"/>
              <w:rPr>
                <w:rFonts w:hint="default" w:ascii="宋体" w:hAnsi="宋体" w:eastAsia="宋体" w:cs="宋体"/>
                <w:i w:val="0"/>
                <w:iCs w:val="0"/>
                <w:color w:val="000000" w:themeColor="text1"/>
                <w:sz w:val="28"/>
                <w:szCs w:val="28"/>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28"/>
                <w:szCs w:val="28"/>
                <w:highlight w:val="none"/>
                <w:u w:val="none"/>
                <w14:textFill>
                  <w14:solidFill>
                    <w14:schemeClr w14:val="tx1"/>
                  </w14:solidFill>
                </w14:textFill>
              </w:rPr>
              <w:t>健康</w:t>
            </w:r>
            <w:r>
              <w:rPr>
                <w:rFonts w:hint="eastAsia" w:ascii="宋体" w:hAnsi="宋体" w:eastAsia="宋体" w:cs="宋体"/>
                <w:i w:val="0"/>
                <w:iCs w:val="0"/>
                <w:color w:val="000000" w:themeColor="text1"/>
                <w:sz w:val="28"/>
                <w:szCs w:val="28"/>
                <w:highlight w:val="none"/>
                <w:u w:val="none"/>
                <w:lang w:val="en-US" w:eastAsia="zh-CN"/>
                <w14:textFill>
                  <w14:solidFill>
                    <w14:schemeClr w14:val="tx1"/>
                  </w14:solidFill>
                </w14:textFill>
              </w:rPr>
              <w:t>体检</w:t>
            </w:r>
            <w:r>
              <w:rPr>
                <w:rFonts w:hint="eastAsia" w:ascii="宋体" w:hAnsi="宋体" w:eastAsia="宋体" w:cs="宋体"/>
                <w:i w:val="0"/>
                <w:iCs w:val="0"/>
                <w:color w:val="000000" w:themeColor="text1"/>
                <w:sz w:val="28"/>
                <w:szCs w:val="28"/>
                <w:highlight w:val="none"/>
                <w:u w:val="none"/>
                <w14:textFill>
                  <w14:solidFill>
                    <w14:schemeClr w14:val="tx1"/>
                  </w14:solidFill>
                </w14:textFill>
              </w:rPr>
              <w:t>一体机</w:t>
            </w:r>
          </w:p>
        </w:tc>
        <w:tc>
          <w:tcPr>
            <w:tcW w:w="2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8DEF1">
            <w:pPr>
              <w:keepNext w:val="0"/>
              <w:keepLines w:val="0"/>
              <w:pageBreakBefore w:val="0"/>
              <w:widowControl/>
              <w:suppressLineNumbers w:val="0"/>
              <w:wordWrap/>
              <w:overflowPunct/>
              <w:topLinePunct w:val="0"/>
              <w:bidi w:val="0"/>
              <w:adjustRightInd/>
              <w:snapToGrid/>
              <w:spacing w:line="560" w:lineRule="exact"/>
              <w:jc w:val="center"/>
              <w:textAlignment w:val="center"/>
              <w:rPr>
                <w:rFonts w:hint="eastAsia" w:ascii="宋体" w:hAnsi="宋体" w:eastAsia="宋体" w:cs="宋体"/>
                <w:i w:val="0"/>
                <w:iCs w:val="0"/>
                <w:color w:val="000000" w:themeColor="text1"/>
                <w:sz w:val="28"/>
                <w:szCs w:val="28"/>
                <w:highlight w:val="none"/>
                <w:u w:val="none"/>
                <w14:textFill>
                  <w14:solidFill>
                    <w14:schemeClr w14:val="tx1"/>
                  </w14:solidFill>
                </w14:textFill>
              </w:rPr>
            </w:pPr>
            <w:r>
              <w:rPr>
                <w:rFonts w:hint="eastAsia" w:ascii="宋体" w:hAnsi="宋体" w:eastAsia="宋体" w:cs="宋体"/>
                <w:i w:val="0"/>
                <w:iCs w:val="0"/>
                <w:snapToGrid w:val="0"/>
                <w:color w:val="000000" w:themeColor="text1"/>
                <w:kern w:val="0"/>
                <w:sz w:val="28"/>
                <w:szCs w:val="28"/>
                <w:highlight w:val="none"/>
                <w:u w:val="none"/>
                <w:lang w:val="en-US" w:eastAsia="zh-CN" w:bidi="ar"/>
                <w14:textFill>
                  <w14:solidFill>
                    <w14:schemeClr w14:val="tx1"/>
                  </w14:solidFill>
                </w14:textFill>
              </w:rPr>
              <w:t>台</w:t>
            </w:r>
          </w:p>
        </w:tc>
        <w:tc>
          <w:tcPr>
            <w:tcW w:w="2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9A4B6">
            <w:pPr>
              <w:keepNext w:val="0"/>
              <w:keepLines w:val="0"/>
              <w:pageBreakBefore w:val="0"/>
              <w:widowControl/>
              <w:suppressLineNumbers w:val="0"/>
              <w:wordWrap/>
              <w:overflowPunct/>
              <w:topLinePunct w:val="0"/>
              <w:bidi w:val="0"/>
              <w:adjustRightInd/>
              <w:snapToGrid/>
              <w:spacing w:line="560" w:lineRule="exact"/>
              <w:jc w:val="center"/>
              <w:textAlignment w:val="center"/>
              <w:rPr>
                <w:rFonts w:hint="eastAsia" w:ascii="宋体" w:hAnsi="宋体" w:eastAsia="宋体" w:cs="宋体"/>
                <w:i w:val="0"/>
                <w:iCs w:val="0"/>
                <w:color w:val="000000" w:themeColor="text1"/>
                <w:sz w:val="28"/>
                <w:szCs w:val="28"/>
                <w:highlight w:val="none"/>
                <w:u w:val="none"/>
                <w:lang w:val="en-US" w:eastAsia="zh-CN"/>
                <w14:textFill>
                  <w14:solidFill>
                    <w14:schemeClr w14:val="tx1"/>
                  </w14:solidFill>
                </w14:textFill>
              </w:rPr>
            </w:pPr>
            <w:r>
              <w:rPr>
                <w:rFonts w:hint="eastAsia" w:ascii="宋体" w:hAnsi="宋体" w:cs="宋体"/>
                <w:i w:val="0"/>
                <w:iCs w:val="0"/>
                <w:color w:val="000000" w:themeColor="text1"/>
                <w:sz w:val="28"/>
                <w:szCs w:val="28"/>
                <w:highlight w:val="none"/>
                <w:u w:val="none"/>
                <w:lang w:val="en-US" w:eastAsia="zh-CN"/>
                <w14:textFill>
                  <w14:solidFill>
                    <w14:schemeClr w14:val="tx1"/>
                  </w14:solidFill>
                </w14:textFill>
              </w:rPr>
              <w:t>1</w:t>
            </w:r>
          </w:p>
        </w:tc>
      </w:tr>
    </w:tbl>
    <w:p w14:paraId="5A302897">
      <w:pPr>
        <w:bidi w:val="0"/>
        <w:rPr>
          <w:rFonts w:hint="eastAsia"/>
          <w:color w:val="000000" w:themeColor="text1"/>
          <w:lang w:eastAsia="zh-CN"/>
          <w14:textFill>
            <w14:solidFill>
              <w14:schemeClr w14:val="tx1"/>
            </w14:solidFill>
          </w14:textFill>
        </w:rPr>
      </w:pPr>
    </w:p>
    <w:p w14:paraId="43524E3C">
      <w:pPr>
        <w:keepNext w:val="0"/>
        <w:keepLines w:val="0"/>
        <w:pageBreakBefore w:val="0"/>
        <w:widowControl/>
        <w:kinsoku w:val="0"/>
        <w:wordWrap/>
        <w:overflowPunct/>
        <w:topLinePunct w:val="0"/>
        <w:autoSpaceDE w:val="0"/>
        <w:autoSpaceDN w:val="0"/>
        <w:bidi w:val="0"/>
        <w:adjustRightInd/>
        <w:snapToGrid/>
        <w:spacing w:line="560" w:lineRule="exact"/>
        <w:jc w:val="both"/>
        <w:textAlignment w:val="baseline"/>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bCs/>
          <w:color w:val="000000" w:themeColor="text1"/>
          <w:sz w:val="28"/>
          <w:szCs w:val="28"/>
          <w:highlight w:val="none"/>
          <w:lang w:eastAsia="zh-CN"/>
          <w14:textFill>
            <w14:solidFill>
              <w14:schemeClr w14:val="tx1"/>
            </w14:solidFill>
          </w14:textFill>
        </w:rPr>
        <w:t>二、技术参数</w:t>
      </w:r>
    </w:p>
    <w:p w14:paraId="4F56E545">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t>健康</w:t>
      </w:r>
      <w:r>
        <w:rPr>
          <w:rFonts w:hint="eastAsia" w:ascii="宋体" w:hAnsi="宋体" w:eastAsia="宋体" w:cs="宋体"/>
          <w:b/>
          <w:bCs/>
          <w:color w:val="000000" w:themeColor="text1"/>
          <w:sz w:val="28"/>
          <w:szCs w:val="28"/>
          <w:highlight w:val="none"/>
          <w:lang w:val="en-US" w:eastAsia="zh-CN"/>
          <w14:textFill>
            <w14:solidFill>
              <w14:schemeClr w14:val="tx1"/>
            </w14:solidFill>
          </w14:textFill>
        </w:rPr>
        <w:t>体检</w:t>
      </w:r>
      <w:r>
        <w:rPr>
          <w:rFonts w:hint="eastAsia" w:ascii="宋体" w:hAnsi="宋体" w:eastAsia="宋体" w:cs="宋体"/>
          <w:b/>
          <w:bCs/>
          <w:color w:val="000000" w:themeColor="text1"/>
          <w:sz w:val="28"/>
          <w:szCs w:val="28"/>
          <w:highlight w:val="none"/>
          <w14:textFill>
            <w14:solidFill>
              <w14:schemeClr w14:val="tx1"/>
            </w14:solidFill>
          </w14:textFill>
        </w:rPr>
        <w:t>一体机</w:t>
      </w:r>
    </w:p>
    <w:p w14:paraId="5B0AEE72">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bCs/>
          <w:color w:val="000000" w:themeColor="text1"/>
          <w:sz w:val="24"/>
          <w:szCs w:val="24"/>
          <w:highlight w:val="none"/>
          <w:shd w:val="clear" w:color="auto" w:fill="FFFFFF"/>
          <w14:textFill>
            <w14:solidFill>
              <w14:schemeClr w14:val="tx1"/>
            </w14:solidFill>
          </w14:textFill>
        </w:rPr>
      </w:pPr>
      <w:r>
        <w:rPr>
          <w:rFonts w:hint="eastAsia" w:ascii="宋体" w:hAnsi="宋体" w:eastAsia="宋体" w:cs="宋体"/>
          <w:b/>
          <w:bCs/>
          <w:color w:val="000000" w:themeColor="text1"/>
          <w:sz w:val="24"/>
          <w:szCs w:val="24"/>
          <w:highlight w:val="none"/>
          <w:shd w:val="clear" w:color="auto" w:fill="FFFFFF"/>
          <w14:textFill>
            <w14:solidFill>
              <w14:schemeClr w14:val="tx1"/>
            </w14:solidFill>
          </w14:textFill>
        </w:rPr>
        <w:t>整机参数：</w:t>
      </w:r>
    </w:p>
    <w:p w14:paraId="6EBA0007">
      <w:pPr>
        <w:keepNext w:val="0"/>
        <w:keepLines w:val="0"/>
        <w:pageBreakBefore w:val="0"/>
        <w:widowControl w:val="0"/>
        <w:numPr>
          <w:ilvl w:val="0"/>
          <w:numId w:val="15"/>
        </w:numPr>
        <w:kinsoku/>
        <w:wordWrap/>
        <w:overflowPunct/>
        <w:topLinePunct w:val="0"/>
        <w:autoSpaceDE/>
        <w:autoSpaceDN/>
        <w:bidi w:val="0"/>
        <w:adjustRightInd/>
        <w:snapToGrid/>
        <w:spacing w:line="560" w:lineRule="exact"/>
        <w:textAlignment w:val="auto"/>
        <w:rPr>
          <w:rFonts w:hint="eastAsia" w:ascii="宋体" w:hAnsi="宋体" w:eastAsia="宋体" w:cs="宋体"/>
          <w:color w:val="000000" w:themeColor="text1"/>
          <w:sz w:val="28"/>
          <w:szCs w:val="28"/>
          <w:highlight w:val="none"/>
          <w:shd w:val="clear" w:color="auto" w:fill="FFFFFF"/>
          <w14:textFill>
            <w14:solidFill>
              <w14:schemeClr w14:val="tx1"/>
            </w14:solidFill>
          </w14:textFill>
        </w:rPr>
      </w:pPr>
      <w:r>
        <w:rPr>
          <w:rFonts w:hint="eastAsia" w:ascii="宋体" w:hAnsi="宋体" w:eastAsia="宋体" w:cs="宋体"/>
          <w:color w:val="000000" w:themeColor="text1"/>
          <w:sz w:val="28"/>
          <w:szCs w:val="28"/>
          <w:highlight w:val="none"/>
          <w:shd w:val="clear" w:color="auto" w:fill="FFFFFF"/>
          <w14:textFill>
            <w14:solidFill>
              <w14:schemeClr w14:val="tx1"/>
            </w14:solidFill>
          </w14:textFill>
        </w:rPr>
        <w:t>主要检测功能：身高，体重，BMI（体质指数），血压（高压、低压），脉率（心率），脂肪率（人体成分：体脂肪量、体脂肪率、基础代谢、体水分量、体水分率、体骨骼量、体肌肉量、体肌肉率、蛋白质量、蛋白质率、皮下脂肪量、皮下脂肪率，除脂肪量、细胞内液、细胞外液、矿物质量、其他成分等）、体温，腰臀比，12导心电，心理测评，视力、散光、色弱等项目。</w:t>
      </w:r>
    </w:p>
    <w:p w14:paraId="413D5D33">
      <w:pPr>
        <w:keepNext w:val="0"/>
        <w:keepLines w:val="0"/>
        <w:pageBreakBefore w:val="0"/>
        <w:widowControl w:val="0"/>
        <w:numPr>
          <w:ilvl w:val="0"/>
          <w:numId w:val="15"/>
        </w:numPr>
        <w:kinsoku/>
        <w:wordWrap/>
        <w:overflowPunct/>
        <w:topLinePunct w:val="0"/>
        <w:autoSpaceDE/>
        <w:autoSpaceDN/>
        <w:bidi w:val="0"/>
        <w:adjustRightInd/>
        <w:snapToGrid/>
        <w:spacing w:line="560" w:lineRule="exact"/>
        <w:textAlignment w:val="auto"/>
        <w:rPr>
          <w:rFonts w:hint="eastAsia" w:ascii="宋体" w:hAnsi="宋体" w:eastAsia="宋体" w:cs="宋体"/>
          <w:color w:val="000000" w:themeColor="text1"/>
          <w:sz w:val="28"/>
          <w:szCs w:val="28"/>
          <w:highlight w:val="none"/>
          <w:shd w:val="clear" w:color="auto" w:fill="FFFFFF"/>
          <w14:textFill>
            <w14:solidFill>
              <w14:schemeClr w14:val="tx1"/>
            </w14:solidFill>
          </w14:textFill>
        </w:rPr>
      </w:pPr>
      <w:r>
        <w:rPr>
          <w:rFonts w:hint="eastAsia" w:ascii="宋体" w:hAnsi="宋体" w:eastAsia="宋体" w:cs="宋体"/>
          <w:color w:val="000000" w:themeColor="text1"/>
          <w:sz w:val="28"/>
          <w:szCs w:val="28"/>
          <w:highlight w:val="none"/>
          <w:shd w:val="clear" w:color="auto" w:fill="FFFFFF"/>
          <w14:textFill>
            <w14:solidFill>
              <w14:schemeClr w14:val="tx1"/>
            </w14:solidFill>
          </w14:textFill>
        </w:rPr>
        <w:t>具有语音提示引导检测者完成检测。</w:t>
      </w:r>
    </w:p>
    <w:p w14:paraId="1E62FA74">
      <w:pPr>
        <w:keepNext w:val="0"/>
        <w:keepLines w:val="0"/>
        <w:pageBreakBefore w:val="0"/>
        <w:widowControl w:val="0"/>
        <w:numPr>
          <w:ilvl w:val="0"/>
          <w:numId w:val="15"/>
        </w:numPr>
        <w:kinsoku/>
        <w:wordWrap/>
        <w:overflowPunct/>
        <w:topLinePunct w:val="0"/>
        <w:autoSpaceDE/>
        <w:autoSpaceDN/>
        <w:bidi w:val="0"/>
        <w:adjustRightInd/>
        <w:snapToGrid/>
        <w:spacing w:line="560" w:lineRule="exact"/>
        <w:textAlignment w:val="auto"/>
        <w:rPr>
          <w:rFonts w:hint="eastAsia" w:ascii="宋体" w:hAnsi="宋体" w:eastAsia="宋体" w:cs="宋体"/>
          <w:color w:val="000000" w:themeColor="text1"/>
          <w:sz w:val="28"/>
          <w:szCs w:val="28"/>
          <w:highlight w:val="none"/>
          <w:shd w:val="clear" w:color="auto" w:fill="FFFFFF"/>
          <w14:textFill>
            <w14:solidFill>
              <w14:schemeClr w14:val="tx1"/>
            </w14:solidFill>
          </w14:textFill>
        </w:rPr>
      </w:pPr>
      <w:r>
        <w:rPr>
          <w:rFonts w:hint="eastAsia" w:ascii="宋体" w:hAnsi="宋体" w:eastAsia="宋体" w:cs="宋体"/>
          <w:color w:val="000000" w:themeColor="text1"/>
          <w:sz w:val="28"/>
          <w:szCs w:val="28"/>
          <w:highlight w:val="none"/>
          <w:shd w:val="clear" w:color="auto" w:fill="FFFFFF"/>
          <w14:textFill>
            <w14:solidFill>
              <w14:schemeClr w14:val="tx1"/>
            </w14:solidFill>
          </w14:textFill>
        </w:rPr>
        <w:t>内置摄像头用于人脸识别和身份证读卡器读取用户信息。</w:t>
      </w:r>
    </w:p>
    <w:p w14:paraId="4A01886F">
      <w:pPr>
        <w:keepNext w:val="0"/>
        <w:keepLines w:val="0"/>
        <w:pageBreakBefore w:val="0"/>
        <w:widowControl w:val="0"/>
        <w:numPr>
          <w:ilvl w:val="0"/>
          <w:numId w:val="15"/>
        </w:numPr>
        <w:kinsoku/>
        <w:wordWrap/>
        <w:overflowPunct/>
        <w:topLinePunct w:val="0"/>
        <w:autoSpaceDE/>
        <w:autoSpaceDN/>
        <w:bidi w:val="0"/>
        <w:adjustRightInd/>
        <w:snapToGrid/>
        <w:spacing w:line="560" w:lineRule="exact"/>
        <w:textAlignment w:val="auto"/>
        <w:rPr>
          <w:rFonts w:hint="eastAsia" w:ascii="宋体" w:hAnsi="宋体" w:eastAsia="宋体" w:cs="宋体"/>
          <w:color w:val="000000" w:themeColor="text1"/>
          <w:sz w:val="28"/>
          <w:szCs w:val="28"/>
          <w:highlight w:val="none"/>
          <w:shd w:val="clear" w:color="auto" w:fill="FFFFFF"/>
          <w14:textFill>
            <w14:solidFill>
              <w14:schemeClr w14:val="tx1"/>
            </w14:solidFill>
          </w14:textFill>
        </w:rPr>
      </w:pPr>
      <w:r>
        <w:rPr>
          <w:rFonts w:hint="eastAsia" w:ascii="宋体" w:hAnsi="宋体" w:eastAsia="宋体" w:cs="宋体"/>
          <w:color w:val="000000" w:themeColor="text1"/>
          <w:sz w:val="28"/>
          <w:szCs w:val="28"/>
          <w:highlight w:val="none"/>
          <w:shd w:val="clear" w:color="auto" w:fill="FFFFFF"/>
          <w14:textFill>
            <w14:solidFill>
              <w14:schemeClr w14:val="tx1"/>
            </w14:solidFill>
          </w14:textFill>
        </w:rPr>
        <w:t>高清触摸大屏及安卓6.0以上操作系统，液晶屏上可以设置显示使用单位名称，滚动文字自动循环播放视频音频及图片宣传健康知识或卫生医疗政策，使用单位可以自己更换宣传片。</w:t>
      </w:r>
    </w:p>
    <w:p w14:paraId="3139F1C5">
      <w:pPr>
        <w:keepNext w:val="0"/>
        <w:keepLines w:val="0"/>
        <w:pageBreakBefore w:val="0"/>
        <w:widowControl w:val="0"/>
        <w:numPr>
          <w:ilvl w:val="0"/>
          <w:numId w:val="15"/>
        </w:numPr>
        <w:kinsoku/>
        <w:wordWrap/>
        <w:overflowPunct/>
        <w:topLinePunct w:val="0"/>
        <w:autoSpaceDE/>
        <w:autoSpaceDN/>
        <w:bidi w:val="0"/>
        <w:adjustRightInd/>
        <w:snapToGrid/>
        <w:spacing w:line="560" w:lineRule="exact"/>
        <w:textAlignment w:val="auto"/>
        <w:rPr>
          <w:rFonts w:hint="eastAsia" w:ascii="宋体" w:hAnsi="宋体" w:eastAsia="宋体" w:cs="宋体"/>
          <w:color w:val="000000" w:themeColor="text1"/>
          <w:sz w:val="28"/>
          <w:szCs w:val="28"/>
          <w:highlight w:val="none"/>
          <w:shd w:val="clear" w:color="auto" w:fill="FFFFFF"/>
          <w14:textFill>
            <w14:solidFill>
              <w14:schemeClr w14:val="tx1"/>
            </w14:solidFill>
          </w14:textFill>
        </w:rPr>
      </w:pPr>
      <w:r>
        <w:rPr>
          <w:rFonts w:hint="eastAsia" w:ascii="宋体" w:hAnsi="宋体" w:eastAsia="宋体" w:cs="宋体"/>
          <w:color w:val="000000" w:themeColor="text1"/>
          <w:sz w:val="28"/>
          <w:szCs w:val="28"/>
          <w:highlight w:val="none"/>
          <w:shd w:val="clear" w:color="auto" w:fill="FFFFFF"/>
          <w14:textFill>
            <w14:solidFill>
              <w14:schemeClr w14:val="tx1"/>
            </w14:solidFill>
          </w14:textFill>
        </w:rPr>
        <w:t>数据通讯：无线通讯：WiFi；有线通讯：RJ45网口等方便用户接入医院系统或远程健康系统，</w:t>
      </w:r>
    </w:p>
    <w:p w14:paraId="57DA6B77">
      <w:pPr>
        <w:keepNext w:val="0"/>
        <w:keepLines w:val="0"/>
        <w:pageBreakBefore w:val="0"/>
        <w:widowControl w:val="0"/>
        <w:numPr>
          <w:ilvl w:val="0"/>
          <w:numId w:val="15"/>
        </w:numPr>
        <w:kinsoku/>
        <w:wordWrap/>
        <w:overflowPunct/>
        <w:topLinePunct w:val="0"/>
        <w:autoSpaceDE/>
        <w:autoSpaceDN/>
        <w:bidi w:val="0"/>
        <w:adjustRightInd/>
        <w:snapToGrid/>
        <w:spacing w:line="560" w:lineRule="exact"/>
        <w:textAlignment w:val="auto"/>
        <w:rPr>
          <w:rFonts w:hint="eastAsia" w:ascii="宋体" w:hAnsi="宋体" w:eastAsia="宋体" w:cs="宋体"/>
          <w:color w:val="000000" w:themeColor="text1"/>
          <w:sz w:val="28"/>
          <w:szCs w:val="28"/>
          <w:highlight w:val="none"/>
          <w:shd w:val="clear" w:color="auto" w:fill="FFFFFF"/>
          <w14:textFill>
            <w14:solidFill>
              <w14:schemeClr w14:val="tx1"/>
            </w14:solidFill>
          </w14:textFill>
        </w:rPr>
      </w:pPr>
      <w:r>
        <w:rPr>
          <w:rFonts w:hint="eastAsia" w:ascii="宋体" w:hAnsi="宋体" w:eastAsia="宋体" w:cs="宋体"/>
          <w:color w:val="000000" w:themeColor="text1"/>
          <w:sz w:val="28"/>
          <w:szCs w:val="28"/>
          <w:highlight w:val="none"/>
          <w:shd w:val="clear" w:color="auto" w:fill="FFFFFF"/>
          <w14:textFill>
            <w14:solidFill>
              <w14:schemeClr w14:val="tx1"/>
            </w14:solidFill>
          </w14:textFill>
        </w:rPr>
        <w:t>一体式设计，所有外围检测设备、读卡器、摄像头、触摸屏等全部为嵌入式设计。安装移动轮，可方便移动。</w:t>
      </w:r>
    </w:p>
    <w:p w14:paraId="6E685E84">
      <w:pPr>
        <w:keepNext w:val="0"/>
        <w:keepLines w:val="0"/>
        <w:pageBreakBefore w:val="0"/>
        <w:widowControl w:val="0"/>
        <w:numPr>
          <w:ilvl w:val="0"/>
          <w:numId w:val="15"/>
        </w:numPr>
        <w:kinsoku/>
        <w:wordWrap/>
        <w:overflowPunct/>
        <w:topLinePunct w:val="0"/>
        <w:autoSpaceDE/>
        <w:autoSpaceDN/>
        <w:bidi w:val="0"/>
        <w:adjustRightInd/>
        <w:snapToGrid/>
        <w:spacing w:line="560" w:lineRule="exact"/>
        <w:textAlignment w:val="auto"/>
        <w:rPr>
          <w:rFonts w:hint="eastAsia" w:ascii="宋体" w:hAnsi="宋体" w:eastAsia="宋体" w:cs="宋体"/>
          <w:color w:val="000000" w:themeColor="text1"/>
          <w:sz w:val="28"/>
          <w:szCs w:val="28"/>
          <w:highlight w:val="none"/>
          <w:shd w:val="clear" w:color="auto" w:fill="FFFFFF"/>
          <w14:textFill>
            <w14:solidFill>
              <w14:schemeClr w14:val="tx1"/>
            </w14:solidFill>
          </w14:textFill>
        </w:rPr>
      </w:pPr>
      <w:r>
        <w:rPr>
          <w:rFonts w:hint="eastAsia" w:ascii="宋体" w:hAnsi="宋体" w:eastAsia="宋体" w:cs="宋体"/>
          <w:color w:val="000000" w:themeColor="text1"/>
          <w:sz w:val="28"/>
          <w:szCs w:val="28"/>
          <w:highlight w:val="none"/>
          <w:shd w:val="clear" w:color="auto" w:fill="FFFFFF"/>
          <w14:textFill>
            <w14:solidFill>
              <w14:schemeClr w14:val="tx1"/>
            </w14:solidFill>
          </w14:textFill>
        </w:rPr>
        <w:t>一体机系统须开放数据接口，支持和第三方数据平台对接，将检测数据上传到指定的数据服务端。</w:t>
      </w:r>
    </w:p>
    <w:p w14:paraId="26F005AF">
      <w:pPr>
        <w:pStyle w:val="31"/>
        <w:pageBreakBefore w:val="0"/>
        <w:wordWrap/>
        <w:topLinePunct w:val="0"/>
        <w:bidi w:val="0"/>
        <w:spacing w:before="0" w:after="0" w:line="560" w:lineRule="exact"/>
        <w:rPr>
          <w:rFonts w:hint="eastAsia" w:eastAsia="宋体"/>
          <w:color w:val="000000" w:themeColor="text1"/>
          <w:sz w:val="36"/>
          <w:szCs w:val="36"/>
          <w:highlight w:val="none"/>
          <w:lang w:eastAsia="zh-CN"/>
          <w14:textFill>
            <w14:solidFill>
              <w14:schemeClr w14:val="tx1"/>
            </w14:solidFill>
          </w14:textFill>
        </w:rPr>
      </w:pPr>
      <w:r>
        <w:rPr>
          <w:rFonts w:hint="eastAsia"/>
          <w:color w:val="000000" w:themeColor="text1"/>
          <w:sz w:val="36"/>
          <w:szCs w:val="36"/>
          <w:highlight w:val="none"/>
          <w14:textFill>
            <w14:solidFill>
              <w14:schemeClr w14:val="tx1"/>
            </w14:solidFill>
          </w14:textFill>
        </w:rPr>
        <w:t>第四章</w:t>
      </w:r>
      <w:r>
        <w:rPr>
          <w:color w:val="000000" w:themeColor="text1"/>
          <w:sz w:val="36"/>
          <w:szCs w:val="36"/>
          <w:highlight w:val="none"/>
          <w14:textFill>
            <w14:solidFill>
              <w14:schemeClr w14:val="tx1"/>
            </w14:solidFill>
          </w14:textFill>
        </w:rPr>
        <w:t xml:space="preserve">  </w:t>
      </w:r>
      <w:r>
        <w:rPr>
          <w:rFonts w:hint="eastAsia"/>
          <w:color w:val="000000" w:themeColor="text1"/>
          <w:sz w:val="36"/>
          <w:szCs w:val="36"/>
          <w:highlight w:val="none"/>
          <w14:textFill>
            <w14:solidFill>
              <w14:schemeClr w14:val="tx1"/>
            </w14:solidFill>
          </w14:textFill>
        </w:rPr>
        <w:t>评标方法及评分标准</w:t>
      </w:r>
      <w:r>
        <w:rPr>
          <w:rFonts w:hint="eastAsia" w:ascii="宋体" w:hAnsi="宋体" w:eastAsia="宋体" w:cs="宋体"/>
          <w:color w:val="000000" w:themeColor="text1"/>
          <w:sz w:val="36"/>
          <w:szCs w:val="36"/>
          <w:highlight w:val="none"/>
          <w:lang w:eastAsia="zh-CN"/>
          <w14:textFill>
            <w14:solidFill>
              <w14:schemeClr w14:val="tx1"/>
            </w14:solidFill>
          </w14:textFill>
        </w:rPr>
        <w:t>（标项</w:t>
      </w:r>
      <w:r>
        <w:rPr>
          <w:rFonts w:hint="eastAsia" w:ascii="宋体" w:hAnsi="宋体" w:cs="宋体"/>
          <w:color w:val="000000" w:themeColor="text1"/>
          <w:sz w:val="36"/>
          <w:szCs w:val="36"/>
          <w:highlight w:val="none"/>
          <w:lang w:val="en-US" w:eastAsia="zh-CN"/>
          <w14:textFill>
            <w14:solidFill>
              <w14:schemeClr w14:val="tx1"/>
            </w14:solidFill>
          </w14:textFill>
        </w:rPr>
        <w:t>2</w:t>
      </w:r>
      <w:r>
        <w:rPr>
          <w:rFonts w:hint="eastAsia" w:ascii="宋体" w:hAnsi="宋体" w:eastAsia="宋体" w:cs="宋体"/>
          <w:color w:val="000000" w:themeColor="text1"/>
          <w:sz w:val="36"/>
          <w:szCs w:val="36"/>
          <w:highlight w:val="none"/>
          <w:lang w:eastAsia="zh-CN"/>
          <w14:textFill>
            <w14:solidFill>
              <w14:schemeClr w14:val="tx1"/>
            </w14:solidFill>
          </w14:textFill>
        </w:rPr>
        <w:t>）</w:t>
      </w:r>
    </w:p>
    <w:p w14:paraId="35C5A111">
      <w:pPr>
        <w:pStyle w:val="4"/>
        <w:keepNext w:val="0"/>
        <w:keepLines w:val="0"/>
        <w:pageBreakBefore w:val="0"/>
        <w:wordWrap/>
        <w:topLinePunct w:val="0"/>
        <w:bidi w:val="0"/>
        <w:spacing w:line="560" w:lineRule="exact"/>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第一节</w:t>
      </w:r>
      <w:r>
        <w:rPr>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评标方法</w:t>
      </w:r>
    </w:p>
    <w:p w14:paraId="4A70A4FC">
      <w:pPr>
        <w:keepNext w:val="0"/>
        <w:keepLines w:val="0"/>
        <w:pageBreakBefore w:val="0"/>
        <w:widowControl w:val="0"/>
        <w:kinsoku/>
        <w:wordWrap/>
        <w:overflowPunct/>
        <w:topLinePunct w:val="0"/>
        <w:bidi w:val="0"/>
        <w:adjustRightInd/>
        <w:snapToGrid w:val="0"/>
        <w:spacing w:line="560" w:lineRule="exact"/>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本项目采用 以下方式进行评审。</w:t>
      </w:r>
    </w:p>
    <w:p w14:paraId="3DA783A0">
      <w:pPr>
        <w:keepNext w:val="0"/>
        <w:keepLines w:val="0"/>
        <w:pageBreakBefore w:val="0"/>
        <w:widowControl w:val="0"/>
        <w:kinsoku/>
        <w:wordWrap/>
        <w:overflowPunct/>
        <w:topLinePunct w:val="0"/>
        <w:autoSpaceDE w:val="0"/>
        <w:autoSpaceDN w:val="0"/>
        <w:bidi w:val="0"/>
        <w:adjustRightInd/>
        <w:snapToGrid w:val="0"/>
        <w:spacing w:line="560" w:lineRule="exact"/>
        <w:ind w:firstLine="560" w:firstLineChars="200"/>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综合评分法，是指投标文件满足招标文件全部实质性要求，且按照评审因素的量化指标评审得分最高的</w:t>
      </w:r>
      <w:r>
        <w:rPr>
          <w:rFonts w:hint="eastAsia" w:ascii="宋体" w:hAnsi="宋体" w:cs="宋体"/>
          <w:color w:val="000000" w:themeColor="text1"/>
          <w:sz w:val="28"/>
          <w:szCs w:val="28"/>
          <w:highlight w:val="none"/>
          <w:lang w:eastAsia="zh-CN"/>
          <w14:textFill>
            <w14:solidFill>
              <w14:schemeClr w14:val="tx1"/>
            </w14:solidFill>
          </w14:textFill>
        </w:rPr>
        <w:t>供应商</w:t>
      </w:r>
      <w:r>
        <w:rPr>
          <w:rFonts w:hint="eastAsia" w:ascii="宋体" w:hAnsi="宋体" w:eastAsia="宋体" w:cs="宋体"/>
          <w:color w:val="000000" w:themeColor="text1"/>
          <w:sz w:val="28"/>
          <w:szCs w:val="28"/>
          <w:highlight w:val="none"/>
          <w14:textFill>
            <w14:solidFill>
              <w14:schemeClr w14:val="tx1"/>
            </w14:solidFill>
          </w14:textFill>
        </w:rPr>
        <w:t>为中标候选人的评标方法。评标委员会将对各</w:t>
      </w:r>
      <w:r>
        <w:rPr>
          <w:rFonts w:hint="eastAsia" w:ascii="宋体" w:hAnsi="宋体" w:cs="宋体"/>
          <w:color w:val="000000" w:themeColor="text1"/>
          <w:sz w:val="28"/>
          <w:szCs w:val="28"/>
          <w:highlight w:val="none"/>
          <w:lang w:eastAsia="zh-CN"/>
          <w14:textFill>
            <w14:solidFill>
              <w14:schemeClr w14:val="tx1"/>
            </w14:solidFill>
          </w14:textFill>
        </w:rPr>
        <w:t>供应商</w:t>
      </w:r>
      <w:r>
        <w:rPr>
          <w:rFonts w:hint="eastAsia" w:ascii="宋体" w:hAnsi="宋体" w:eastAsia="宋体" w:cs="宋体"/>
          <w:color w:val="000000" w:themeColor="text1"/>
          <w:sz w:val="28"/>
          <w:szCs w:val="28"/>
          <w:highlight w:val="none"/>
          <w14:textFill>
            <w14:solidFill>
              <w14:schemeClr w14:val="tx1"/>
            </w14:solidFill>
          </w14:textFill>
        </w:rPr>
        <w:t>的投标报价、技术和货物方案、</w:t>
      </w:r>
      <w:r>
        <w:rPr>
          <w:rFonts w:hint="eastAsia" w:ascii="宋体" w:hAnsi="宋体" w:cs="宋体"/>
          <w:color w:val="000000" w:themeColor="text1"/>
          <w:sz w:val="28"/>
          <w:szCs w:val="28"/>
          <w:highlight w:val="none"/>
          <w:lang w:eastAsia="zh-CN"/>
          <w14:textFill>
            <w14:solidFill>
              <w14:schemeClr w14:val="tx1"/>
            </w14:solidFill>
          </w14:textFill>
        </w:rPr>
        <w:t>供应商</w:t>
      </w:r>
      <w:r>
        <w:rPr>
          <w:rFonts w:hint="eastAsia" w:ascii="宋体" w:hAnsi="宋体" w:eastAsia="宋体" w:cs="宋体"/>
          <w:color w:val="000000" w:themeColor="text1"/>
          <w:sz w:val="28"/>
          <w:szCs w:val="28"/>
          <w:highlight w:val="none"/>
          <w14:textFill>
            <w14:solidFill>
              <w14:schemeClr w14:val="tx1"/>
            </w14:solidFill>
          </w14:textFill>
        </w:rPr>
        <w:t>的企业实力及资质等方面进行综合评审，对实质上响应招标文件的</w:t>
      </w:r>
      <w:r>
        <w:rPr>
          <w:rFonts w:hint="eastAsia" w:ascii="宋体" w:hAnsi="宋体" w:cs="宋体"/>
          <w:color w:val="000000" w:themeColor="text1"/>
          <w:sz w:val="28"/>
          <w:szCs w:val="28"/>
          <w:highlight w:val="none"/>
          <w:lang w:eastAsia="zh-CN"/>
          <w14:textFill>
            <w14:solidFill>
              <w14:schemeClr w14:val="tx1"/>
            </w14:solidFill>
          </w14:textFill>
        </w:rPr>
        <w:t>供应商</w:t>
      </w:r>
      <w:r>
        <w:rPr>
          <w:rFonts w:hint="eastAsia" w:ascii="宋体" w:hAnsi="宋体" w:eastAsia="宋体" w:cs="宋体"/>
          <w:color w:val="000000" w:themeColor="text1"/>
          <w:sz w:val="28"/>
          <w:szCs w:val="28"/>
          <w:highlight w:val="none"/>
          <w14:textFill>
            <w14:solidFill>
              <w14:schemeClr w14:val="tx1"/>
            </w14:solidFill>
          </w14:textFill>
        </w:rPr>
        <w:t>，由各评委独立记名打分。经统计，得出各</w:t>
      </w:r>
      <w:r>
        <w:rPr>
          <w:rFonts w:hint="eastAsia" w:ascii="宋体" w:hAnsi="宋体" w:cs="宋体"/>
          <w:color w:val="000000" w:themeColor="text1"/>
          <w:sz w:val="28"/>
          <w:szCs w:val="28"/>
          <w:highlight w:val="none"/>
          <w:lang w:eastAsia="zh-CN"/>
          <w14:textFill>
            <w14:solidFill>
              <w14:schemeClr w14:val="tx1"/>
            </w14:solidFill>
          </w14:textFill>
        </w:rPr>
        <w:t>供应商</w:t>
      </w:r>
      <w:r>
        <w:rPr>
          <w:rFonts w:hint="eastAsia" w:ascii="宋体" w:hAnsi="宋体" w:eastAsia="宋体" w:cs="宋体"/>
          <w:color w:val="000000" w:themeColor="text1"/>
          <w:sz w:val="28"/>
          <w:szCs w:val="28"/>
          <w:highlight w:val="none"/>
          <w14:textFill>
            <w14:solidFill>
              <w14:schemeClr w14:val="tx1"/>
            </w14:solidFill>
          </w14:textFill>
        </w:rPr>
        <w:t xml:space="preserve">的综合得分,按综合得分由高到低顺序排列。若综合得分相同的，按投标报价由低到高顺序排列。若综合得分且投标报价相同的，货物类采购项目以技术性能得分较高者为先，货物类采购项目以实力信誉及业绩得分较高者为先。 </w:t>
      </w:r>
    </w:p>
    <w:p w14:paraId="6CECD65E">
      <w:pPr>
        <w:pStyle w:val="4"/>
        <w:keepNext w:val="0"/>
        <w:keepLines w:val="0"/>
        <w:pageBreakBefore w:val="0"/>
        <w:wordWrap/>
        <w:topLinePunct w:val="0"/>
        <w:bidi w:val="0"/>
        <w:spacing w:line="560" w:lineRule="exact"/>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第二节</w:t>
      </w:r>
      <w:r>
        <w:rPr>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评标程序</w:t>
      </w:r>
    </w:p>
    <w:p w14:paraId="7D265F24">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asciiTheme="minorEastAsia" w:hAnsiTheme="minorEastAsia" w:eastAsia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b/>
          <w:color w:val="000000" w:themeColor="text1"/>
          <w:sz w:val="28"/>
          <w:szCs w:val="28"/>
          <w:highlight w:val="none"/>
          <w14:textFill>
            <w14:solidFill>
              <w14:schemeClr w14:val="tx1"/>
            </w14:solidFill>
          </w14:textFill>
        </w:rPr>
        <w:t>1.符合性审查</w:t>
      </w:r>
    </w:p>
    <w:p w14:paraId="39D17567">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评标委员会应当对符合资格的</w:t>
      </w:r>
      <w:r>
        <w:rPr>
          <w:rFonts w:hint="eastAsia" w:asciiTheme="minorEastAsia" w:hAnsiTheme="minorEastAsia" w:eastAsiaTheme="minorEastAsia"/>
          <w:color w:val="000000" w:themeColor="text1"/>
          <w:sz w:val="28"/>
          <w:szCs w:val="28"/>
          <w:highlight w:val="none"/>
          <w:lang w:eastAsia="zh-CN"/>
          <w14:textFill>
            <w14:solidFill>
              <w14:schemeClr w14:val="tx1"/>
            </w14:solidFill>
          </w14:textFill>
        </w:rPr>
        <w:t>供应商</w:t>
      </w:r>
      <w:r>
        <w:rPr>
          <w:rFonts w:hint="eastAsia" w:asciiTheme="minorEastAsia" w:hAnsiTheme="minorEastAsia" w:eastAsiaTheme="minorEastAsia"/>
          <w:color w:val="000000" w:themeColor="text1"/>
          <w:sz w:val="28"/>
          <w:szCs w:val="28"/>
          <w:highlight w:val="none"/>
          <w14:textFill>
            <w14:solidFill>
              <w14:schemeClr w14:val="tx1"/>
            </w14:solidFill>
          </w14:textFill>
        </w:rPr>
        <w:t>的投标文件进行投标报价、商务、技术等实质性内容符合性审查，以确定其是否满足招标文件的实质性要求。</w:t>
      </w:r>
    </w:p>
    <w:p w14:paraId="66A48B34">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asciiTheme="minorEastAsia" w:hAnsiTheme="minorEastAsia" w:eastAsia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b/>
          <w:color w:val="000000" w:themeColor="text1"/>
          <w:sz w:val="28"/>
          <w:szCs w:val="28"/>
          <w:highlight w:val="none"/>
          <w14:textFill>
            <w14:solidFill>
              <w14:schemeClr w14:val="tx1"/>
            </w14:solidFill>
          </w14:textFill>
        </w:rPr>
        <w:t>2.符合性审查不通过而导致投标无效的情形</w:t>
      </w:r>
    </w:p>
    <w:p w14:paraId="6FCB870C">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lang w:eastAsia="zh-CN"/>
          <w14:textFill>
            <w14:solidFill>
              <w14:schemeClr w14:val="tx1"/>
            </w14:solidFill>
          </w14:textFill>
        </w:rPr>
        <w:t>供应商</w:t>
      </w:r>
      <w:r>
        <w:rPr>
          <w:rFonts w:hint="eastAsia" w:asciiTheme="minorEastAsia" w:hAnsiTheme="minorEastAsia" w:eastAsiaTheme="minorEastAsia"/>
          <w:color w:val="000000" w:themeColor="text1"/>
          <w:sz w:val="28"/>
          <w:szCs w:val="28"/>
          <w:highlight w:val="none"/>
          <w14:textFill>
            <w14:solidFill>
              <w14:schemeClr w14:val="tx1"/>
            </w14:solidFill>
          </w14:textFill>
        </w:rPr>
        <w:t>的投标文件中存在对招标文件的任何实质性要求和条件的负偏离，将被视为投标无效。</w:t>
      </w:r>
    </w:p>
    <w:p w14:paraId="20391272">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2.1在报价评审时，如发现下列情形之一的，将被视为投标无效：</w:t>
      </w:r>
    </w:p>
    <w:p w14:paraId="4841BCAD">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（1）投标文件未提供“</w:t>
      </w:r>
      <w:r>
        <w:rPr>
          <w:rFonts w:hint="eastAsia" w:asciiTheme="minorEastAsia" w:hAnsiTheme="minorEastAsia" w:eastAsiaTheme="minorEastAsia"/>
          <w:color w:val="000000" w:themeColor="text1"/>
          <w:sz w:val="28"/>
          <w:szCs w:val="28"/>
          <w:highlight w:val="none"/>
          <w:lang w:eastAsia="zh-CN"/>
          <w14:textFill>
            <w14:solidFill>
              <w14:schemeClr w14:val="tx1"/>
            </w14:solidFill>
          </w14:textFill>
        </w:rPr>
        <w:t>供应商</w:t>
      </w:r>
      <w:r>
        <w:rPr>
          <w:rFonts w:hint="eastAsia" w:asciiTheme="minorEastAsia" w:hAnsiTheme="minorEastAsia" w:eastAsiaTheme="minorEastAsia"/>
          <w:color w:val="000000" w:themeColor="text1"/>
          <w:sz w:val="28"/>
          <w:szCs w:val="28"/>
          <w:highlight w:val="none"/>
          <w14:textFill>
            <w14:solidFill>
              <w14:schemeClr w14:val="tx1"/>
            </w14:solidFill>
          </w14:textFill>
        </w:rPr>
        <w:t>须知前附表”第13.1条规定中“必须提供”的文件资料的;</w:t>
      </w:r>
    </w:p>
    <w:p w14:paraId="7AEED2D0">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（2）未采用人民币报价或者未按照招标文件标明的币种报价的；</w:t>
      </w:r>
    </w:p>
    <w:p w14:paraId="062BB239">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（3）报价超出招标文件规定最高限价，或者超出采购预算金额（包括分项预算）的；</w:t>
      </w:r>
    </w:p>
    <w:p w14:paraId="57984F67">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（4）</w:t>
      </w:r>
      <w:r>
        <w:rPr>
          <w:rFonts w:hint="eastAsia" w:asciiTheme="minorEastAsia" w:hAnsiTheme="minorEastAsia" w:eastAsiaTheme="minorEastAsia"/>
          <w:color w:val="000000" w:themeColor="text1"/>
          <w:sz w:val="28"/>
          <w:szCs w:val="28"/>
          <w:highlight w:val="none"/>
          <w:lang w:eastAsia="zh-CN"/>
          <w14:textFill>
            <w14:solidFill>
              <w14:schemeClr w14:val="tx1"/>
            </w14:solidFill>
          </w14:textFill>
        </w:rPr>
        <w:t>供应商</w:t>
      </w:r>
      <w:r>
        <w:rPr>
          <w:rFonts w:hint="eastAsia" w:asciiTheme="minorEastAsia" w:hAnsiTheme="minorEastAsia" w:eastAsiaTheme="minorEastAsia"/>
          <w:color w:val="000000" w:themeColor="text1"/>
          <w:sz w:val="28"/>
          <w:szCs w:val="28"/>
          <w:highlight w:val="none"/>
          <w14:textFill>
            <w14:solidFill>
              <w14:schemeClr w14:val="tx1"/>
            </w14:solidFill>
          </w14:textFill>
        </w:rPr>
        <w:t>未就所投的进行报价或者存在漏项报价；</w:t>
      </w:r>
      <w:r>
        <w:rPr>
          <w:rFonts w:hint="eastAsia" w:asciiTheme="minorEastAsia" w:hAnsiTheme="minorEastAsia" w:eastAsiaTheme="minorEastAsia"/>
          <w:color w:val="000000" w:themeColor="text1"/>
          <w:sz w:val="28"/>
          <w:szCs w:val="28"/>
          <w:highlight w:val="none"/>
          <w:lang w:eastAsia="zh-CN"/>
          <w14:textFill>
            <w14:solidFill>
              <w14:schemeClr w14:val="tx1"/>
            </w14:solidFill>
          </w14:textFill>
        </w:rPr>
        <w:t>供应商</w:t>
      </w:r>
      <w:r>
        <w:rPr>
          <w:rFonts w:hint="eastAsia" w:asciiTheme="minorEastAsia" w:hAnsiTheme="minorEastAsia" w:eastAsiaTheme="minorEastAsia"/>
          <w:color w:val="000000" w:themeColor="text1"/>
          <w:sz w:val="28"/>
          <w:szCs w:val="28"/>
          <w:highlight w:val="none"/>
          <w14:textFill>
            <w14:solidFill>
              <w14:schemeClr w14:val="tx1"/>
            </w14:solidFill>
          </w14:textFill>
        </w:rPr>
        <w:t>未就所投的单项内容作唯一报价；</w:t>
      </w:r>
      <w:r>
        <w:rPr>
          <w:rFonts w:hint="eastAsia" w:asciiTheme="minorEastAsia" w:hAnsiTheme="minorEastAsia" w:eastAsiaTheme="minorEastAsia"/>
          <w:color w:val="000000" w:themeColor="text1"/>
          <w:sz w:val="28"/>
          <w:szCs w:val="28"/>
          <w:highlight w:val="none"/>
          <w:lang w:eastAsia="zh-CN"/>
          <w14:textFill>
            <w14:solidFill>
              <w14:schemeClr w14:val="tx1"/>
            </w14:solidFill>
          </w14:textFill>
        </w:rPr>
        <w:t>供应商</w:t>
      </w:r>
      <w:r>
        <w:rPr>
          <w:rFonts w:hint="eastAsia" w:asciiTheme="minorEastAsia" w:hAnsiTheme="minorEastAsia" w:eastAsiaTheme="minorEastAsia"/>
          <w:color w:val="000000" w:themeColor="text1"/>
          <w:sz w:val="28"/>
          <w:szCs w:val="28"/>
          <w:highlight w:val="none"/>
          <w14:textFill>
            <w14:solidFill>
              <w14:schemeClr w14:val="tx1"/>
            </w14:solidFill>
          </w14:textFill>
        </w:rPr>
        <w:t>未就所投的全部内容作唯一总价报价；存在有选择、有条件报价的（招标文件允许有备选方案或者其他约定的除外）；</w:t>
      </w:r>
    </w:p>
    <w:p w14:paraId="7FBA4B0F">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（5）修正后的报价，</w:t>
      </w:r>
      <w:r>
        <w:rPr>
          <w:rFonts w:hint="eastAsia" w:asciiTheme="minorEastAsia" w:hAnsiTheme="minorEastAsia" w:eastAsiaTheme="minorEastAsia"/>
          <w:color w:val="000000" w:themeColor="text1"/>
          <w:sz w:val="28"/>
          <w:szCs w:val="28"/>
          <w:highlight w:val="none"/>
          <w:lang w:eastAsia="zh-CN"/>
          <w14:textFill>
            <w14:solidFill>
              <w14:schemeClr w14:val="tx1"/>
            </w14:solidFill>
          </w14:textFill>
        </w:rPr>
        <w:t>供应商</w:t>
      </w:r>
      <w:r>
        <w:rPr>
          <w:rFonts w:hint="eastAsia" w:asciiTheme="minorEastAsia" w:hAnsiTheme="minorEastAsia" w:eastAsiaTheme="minorEastAsia"/>
          <w:color w:val="000000" w:themeColor="text1"/>
          <w:sz w:val="28"/>
          <w:szCs w:val="28"/>
          <w:highlight w:val="none"/>
          <w14:textFill>
            <w14:solidFill>
              <w14:schemeClr w14:val="tx1"/>
            </w14:solidFill>
          </w14:textFill>
        </w:rPr>
        <w:t>不确认的；</w:t>
      </w:r>
    </w:p>
    <w:p w14:paraId="3165CCD4">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（6）</w:t>
      </w:r>
      <w:r>
        <w:rPr>
          <w:rFonts w:hint="eastAsia" w:asciiTheme="minorEastAsia" w:hAnsiTheme="minorEastAsia" w:eastAsiaTheme="minorEastAsia"/>
          <w:color w:val="000000" w:themeColor="text1"/>
          <w:sz w:val="28"/>
          <w:szCs w:val="28"/>
          <w:highlight w:val="none"/>
          <w:lang w:eastAsia="zh-CN"/>
          <w14:textFill>
            <w14:solidFill>
              <w14:schemeClr w14:val="tx1"/>
            </w14:solidFill>
          </w14:textFill>
        </w:rPr>
        <w:t>供应商</w:t>
      </w:r>
      <w:r>
        <w:rPr>
          <w:rFonts w:hint="eastAsia" w:asciiTheme="minorEastAsia" w:hAnsiTheme="minorEastAsia" w:eastAsiaTheme="minorEastAsia"/>
          <w:color w:val="000000" w:themeColor="text1"/>
          <w:sz w:val="28"/>
          <w:szCs w:val="28"/>
          <w:highlight w:val="none"/>
          <w14:textFill>
            <w14:solidFill>
              <w14:schemeClr w14:val="tx1"/>
            </w14:solidFill>
          </w14:textFill>
        </w:rPr>
        <w:t>属于本章第5条第（2）项情形的。</w:t>
      </w:r>
    </w:p>
    <w:p w14:paraId="7F401F1A">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2.2在商务评审时，如发现下列情形之一的，将被视为投标无效：</w:t>
      </w:r>
    </w:p>
    <w:p w14:paraId="004E8DFE">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（1）投标文件未按招标文件要求签署、盖章的；</w:t>
      </w:r>
    </w:p>
    <w:p w14:paraId="7D4CFF85">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 xml:space="preserve">（2）委托代理人未能出具有效身份证明或者出具的身份证明与授权委托书中的信息不符的； </w:t>
      </w:r>
    </w:p>
    <w:p w14:paraId="3766402A">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（3）投标文件未提供“</w:t>
      </w:r>
      <w:r>
        <w:rPr>
          <w:rFonts w:hint="eastAsia" w:asciiTheme="minorEastAsia" w:hAnsiTheme="minorEastAsia" w:eastAsiaTheme="minorEastAsia"/>
          <w:color w:val="000000" w:themeColor="text1"/>
          <w:sz w:val="28"/>
          <w:szCs w:val="28"/>
          <w:highlight w:val="none"/>
          <w:lang w:eastAsia="zh-CN"/>
          <w14:textFill>
            <w14:solidFill>
              <w14:schemeClr w14:val="tx1"/>
            </w14:solidFill>
          </w14:textFill>
        </w:rPr>
        <w:t>供应商</w:t>
      </w:r>
      <w:r>
        <w:rPr>
          <w:rFonts w:hint="eastAsia" w:asciiTheme="minorEastAsia" w:hAnsiTheme="minorEastAsia" w:eastAsiaTheme="minorEastAsia"/>
          <w:color w:val="000000" w:themeColor="text1"/>
          <w:sz w:val="28"/>
          <w:szCs w:val="28"/>
          <w:highlight w:val="none"/>
          <w14:textFill>
            <w14:solidFill>
              <w14:schemeClr w14:val="tx1"/>
            </w14:solidFill>
          </w14:textFill>
        </w:rPr>
        <w:t>须知前附表”第13.1条规定中“必须提供”或者“委托时必须提供”的文件资料的;</w:t>
      </w:r>
    </w:p>
    <w:p w14:paraId="5D5865DC">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（4）投标有效期、项目完成时间（交货时间、货物完成时间或者货物期等）、质保期、售后货物等招标文件中标“</w:t>
      </w:r>
      <w:r>
        <w:rPr>
          <w:rFonts w:hint="eastAsia" w:ascii="宋体" w:hAnsi="宋体" w:eastAsia="宋体" w:cs="宋体"/>
          <w:color w:val="000000" w:themeColor="text1"/>
          <w:sz w:val="28"/>
          <w:szCs w:val="28"/>
          <w:highlight w:val="none"/>
          <w14:textFill>
            <w14:solidFill>
              <w14:schemeClr w14:val="tx1"/>
            </w14:solidFill>
          </w14:textFill>
        </w:rPr>
        <w:t>★</w:t>
      </w:r>
      <w:r>
        <w:rPr>
          <w:rFonts w:hint="eastAsia" w:asciiTheme="minorEastAsia" w:hAnsiTheme="minorEastAsia" w:eastAsiaTheme="minorEastAsia"/>
          <w:color w:val="000000" w:themeColor="text1"/>
          <w:sz w:val="28"/>
          <w:szCs w:val="28"/>
          <w:highlight w:val="none"/>
          <w14:textFill>
            <w14:solidFill>
              <w14:schemeClr w14:val="tx1"/>
            </w14:solidFill>
          </w14:textFill>
        </w:rPr>
        <w:t>”的商务条款发生负偏离的；</w:t>
      </w:r>
    </w:p>
    <w:p w14:paraId="4D75CF7D">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（5）商务条款评审允许负偏离的条款数超过“</w:t>
      </w:r>
      <w:r>
        <w:rPr>
          <w:rFonts w:hint="eastAsia" w:asciiTheme="minorEastAsia" w:hAnsiTheme="minorEastAsia" w:eastAsiaTheme="minorEastAsia"/>
          <w:color w:val="000000" w:themeColor="text1"/>
          <w:sz w:val="28"/>
          <w:szCs w:val="28"/>
          <w:highlight w:val="none"/>
          <w:lang w:eastAsia="zh-CN"/>
          <w14:textFill>
            <w14:solidFill>
              <w14:schemeClr w14:val="tx1"/>
            </w14:solidFill>
          </w14:textFill>
        </w:rPr>
        <w:t>供应商</w:t>
      </w:r>
      <w:r>
        <w:rPr>
          <w:rFonts w:hint="eastAsia" w:asciiTheme="minorEastAsia" w:hAnsiTheme="minorEastAsia" w:eastAsiaTheme="minorEastAsia"/>
          <w:color w:val="000000" w:themeColor="text1"/>
          <w:sz w:val="28"/>
          <w:szCs w:val="28"/>
          <w:highlight w:val="none"/>
          <w14:textFill>
            <w14:solidFill>
              <w14:schemeClr w14:val="tx1"/>
            </w14:solidFill>
          </w14:textFill>
        </w:rPr>
        <w:t>须知前附表”规定项数的。</w:t>
      </w:r>
    </w:p>
    <w:p w14:paraId="7C5CB1C9">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（6）投标文件的实质性内容未使用中文表述、使用计量单位不符合招标文件要求的；</w:t>
      </w:r>
    </w:p>
    <w:p w14:paraId="5B474729">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（7）投标文件中的文件资料因填写不齐全或者内容虚假或者出现其他情形而导致被评标委员会认定无效的；</w:t>
      </w:r>
    </w:p>
    <w:p w14:paraId="6CA3C517">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（8）投标文件含有采购人不能接受的附加条件的；</w:t>
      </w:r>
    </w:p>
    <w:p w14:paraId="72E365DC">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（9）未响应招标文件实质性要求的；</w:t>
      </w:r>
    </w:p>
    <w:p w14:paraId="39E7FCD8">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（10）属于</w:t>
      </w:r>
      <w:r>
        <w:rPr>
          <w:rFonts w:hint="eastAsia" w:asciiTheme="minorEastAsia" w:hAnsiTheme="minorEastAsia" w:eastAsiaTheme="minorEastAsia"/>
          <w:color w:val="000000" w:themeColor="text1"/>
          <w:sz w:val="28"/>
          <w:szCs w:val="28"/>
          <w:highlight w:val="none"/>
          <w:lang w:eastAsia="zh-CN"/>
          <w14:textFill>
            <w14:solidFill>
              <w14:schemeClr w14:val="tx1"/>
            </w14:solidFill>
          </w14:textFill>
        </w:rPr>
        <w:t>供应商</w:t>
      </w:r>
      <w:r>
        <w:rPr>
          <w:rFonts w:hint="eastAsia" w:asciiTheme="minorEastAsia" w:hAnsiTheme="minorEastAsia" w:eastAsiaTheme="minorEastAsia"/>
          <w:color w:val="000000" w:themeColor="text1"/>
          <w:sz w:val="28"/>
          <w:szCs w:val="28"/>
          <w:highlight w:val="none"/>
          <w14:textFill>
            <w14:solidFill>
              <w14:schemeClr w14:val="tx1"/>
            </w14:solidFill>
          </w14:textFill>
        </w:rPr>
        <w:t>须知正文第9.2条情形的；</w:t>
      </w:r>
    </w:p>
    <w:p w14:paraId="6BE80986">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（11）法律、法规和招标文件规定的其他无效情形。</w:t>
      </w:r>
    </w:p>
    <w:p w14:paraId="0A83FE05">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2.3在技术评审时，如发现下列情形之一的，将被视为投标无效：</w:t>
      </w:r>
    </w:p>
    <w:p w14:paraId="5CD47CC6">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w:t>
      </w:r>
      <w:r>
        <w:rPr>
          <w:rFonts w:asciiTheme="minorEastAsia" w:hAnsiTheme="minorEastAsia" w:eastAsiaTheme="minorEastAsia"/>
          <w:color w:val="000000" w:themeColor="text1"/>
          <w:sz w:val="28"/>
          <w:szCs w:val="28"/>
          <w:highlight w:val="none"/>
          <w14:textFill>
            <w14:solidFill>
              <w14:schemeClr w14:val="tx1"/>
            </w14:solidFill>
          </w14:textFill>
        </w:rPr>
        <w:t>1</w:t>
      </w:r>
      <w:r>
        <w:rPr>
          <w:rFonts w:hint="eastAsia" w:asciiTheme="minorEastAsia" w:hAnsiTheme="minorEastAsia" w:eastAsiaTheme="minorEastAsia"/>
          <w:color w:val="000000" w:themeColor="text1"/>
          <w:sz w:val="28"/>
          <w:szCs w:val="28"/>
          <w:highlight w:val="none"/>
          <w14:textFill>
            <w14:solidFill>
              <w14:schemeClr w14:val="tx1"/>
            </w14:solidFill>
          </w14:textFill>
        </w:rPr>
        <w:t>）不满足招标文件要求的货物内容、技术要求、安全、质量标准，或者与招标文件中标“</w:t>
      </w:r>
      <w:r>
        <w:rPr>
          <w:rFonts w:hint="eastAsia" w:ascii="宋体" w:hAnsi="宋体" w:eastAsia="宋体" w:cs="宋体"/>
          <w:color w:val="000000" w:themeColor="text1"/>
          <w:sz w:val="28"/>
          <w:szCs w:val="28"/>
          <w:highlight w:val="none"/>
          <w14:textFill>
            <w14:solidFill>
              <w14:schemeClr w14:val="tx1"/>
            </w14:solidFill>
          </w14:textFill>
        </w:rPr>
        <w:t>★</w:t>
      </w:r>
      <w:r>
        <w:rPr>
          <w:rFonts w:hint="eastAsia" w:asciiTheme="minorEastAsia" w:hAnsiTheme="minorEastAsia" w:eastAsiaTheme="minorEastAsia"/>
          <w:color w:val="000000" w:themeColor="text1"/>
          <w:sz w:val="28"/>
          <w:szCs w:val="28"/>
          <w:highlight w:val="none"/>
          <w14:textFill>
            <w14:solidFill>
              <w14:schemeClr w14:val="tx1"/>
            </w14:solidFill>
          </w14:textFill>
        </w:rPr>
        <w:t>”的技术需求发生负偏离的；</w:t>
      </w:r>
    </w:p>
    <w:p w14:paraId="5CBF7BD3">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w:t>
      </w:r>
      <w:r>
        <w:rPr>
          <w:rFonts w:asciiTheme="minorEastAsia" w:hAnsiTheme="minorEastAsia" w:eastAsiaTheme="minorEastAsia"/>
          <w:color w:val="000000" w:themeColor="text1"/>
          <w:sz w:val="28"/>
          <w:szCs w:val="28"/>
          <w:highlight w:val="none"/>
          <w14:textFill>
            <w14:solidFill>
              <w14:schemeClr w14:val="tx1"/>
            </w14:solidFill>
          </w14:textFill>
        </w:rPr>
        <w:t>2</w:t>
      </w:r>
      <w:r>
        <w:rPr>
          <w:rFonts w:hint="eastAsia" w:asciiTheme="minorEastAsia" w:hAnsiTheme="minorEastAsia" w:eastAsiaTheme="minorEastAsia"/>
          <w:color w:val="000000" w:themeColor="text1"/>
          <w:sz w:val="28"/>
          <w:szCs w:val="28"/>
          <w:highlight w:val="none"/>
          <w14:textFill>
            <w14:solidFill>
              <w14:schemeClr w14:val="tx1"/>
            </w14:solidFill>
          </w14:textFill>
        </w:rPr>
        <w:t>）技术需求评审允许负偏离的条款数超过“</w:t>
      </w:r>
      <w:r>
        <w:rPr>
          <w:rFonts w:hint="eastAsia" w:asciiTheme="minorEastAsia" w:hAnsiTheme="minorEastAsia" w:eastAsiaTheme="minorEastAsia"/>
          <w:color w:val="000000" w:themeColor="text1"/>
          <w:sz w:val="28"/>
          <w:szCs w:val="28"/>
          <w:highlight w:val="none"/>
          <w:lang w:eastAsia="zh-CN"/>
          <w14:textFill>
            <w14:solidFill>
              <w14:schemeClr w14:val="tx1"/>
            </w14:solidFill>
          </w14:textFill>
        </w:rPr>
        <w:t>供应商</w:t>
      </w:r>
      <w:r>
        <w:rPr>
          <w:rFonts w:hint="eastAsia" w:asciiTheme="minorEastAsia" w:hAnsiTheme="minorEastAsia" w:eastAsiaTheme="minorEastAsia"/>
          <w:color w:val="000000" w:themeColor="text1"/>
          <w:sz w:val="28"/>
          <w:szCs w:val="28"/>
          <w:highlight w:val="none"/>
          <w14:textFill>
            <w14:solidFill>
              <w14:schemeClr w14:val="tx1"/>
            </w14:solidFill>
          </w14:textFill>
        </w:rPr>
        <w:t>须知前附表”规定项数的；</w:t>
      </w:r>
    </w:p>
    <w:p w14:paraId="61CB1E33">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w:t>
      </w:r>
      <w:r>
        <w:rPr>
          <w:rFonts w:asciiTheme="minorEastAsia" w:hAnsiTheme="minorEastAsia" w:eastAsiaTheme="minorEastAsia"/>
          <w:color w:val="000000" w:themeColor="text1"/>
          <w:sz w:val="28"/>
          <w:szCs w:val="28"/>
          <w:highlight w:val="none"/>
          <w14:textFill>
            <w14:solidFill>
              <w14:schemeClr w14:val="tx1"/>
            </w14:solidFill>
          </w14:textFill>
        </w:rPr>
        <w:t>3</w:t>
      </w:r>
      <w:r>
        <w:rPr>
          <w:rFonts w:hint="eastAsia" w:asciiTheme="minorEastAsia" w:hAnsiTheme="minorEastAsia" w:eastAsiaTheme="minorEastAsia"/>
          <w:color w:val="000000" w:themeColor="text1"/>
          <w:sz w:val="28"/>
          <w:szCs w:val="28"/>
          <w:highlight w:val="none"/>
          <w14:textFill>
            <w14:solidFill>
              <w14:schemeClr w14:val="tx1"/>
            </w14:solidFill>
          </w14:textFill>
        </w:rPr>
        <w:t>）投标文件未提供“</w:t>
      </w:r>
      <w:r>
        <w:rPr>
          <w:rFonts w:hint="eastAsia" w:asciiTheme="minorEastAsia" w:hAnsiTheme="minorEastAsia" w:eastAsiaTheme="minorEastAsia"/>
          <w:color w:val="000000" w:themeColor="text1"/>
          <w:sz w:val="28"/>
          <w:szCs w:val="28"/>
          <w:highlight w:val="none"/>
          <w:lang w:eastAsia="zh-CN"/>
          <w14:textFill>
            <w14:solidFill>
              <w14:schemeClr w14:val="tx1"/>
            </w14:solidFill>
          </w14:textFill>
        </w:rPr>
        <w:t>供应商</w:t>
      </w:r>
      <w:r>
        <w:rPr>
          <w:rFonts w:hint="eastAsia" w:asciiTheme="minorEastAsia" w:hAnsiTheme="minorEastAsia" w:eastAsiaTheme="minorEastAsia"/>
          <w:color w:val="000000" w:themeColor="text1"/>
          <w:sz w:val="28"/>
          <w:szCs w:val="28"/>
          <w:highlight w:val="none"/>
          <w14:textFill>
            <w14:solidFill>
              <w14:schemeClr w14:val="tx1"/>
            </w14:solidFill>
          </w14:textFill>
        </w:rPr>
        <w:t>须知前附表”第</w:t>
      </w:r>
      <w:r>
        <w:rPr>
          <w:rFonts w:asciiTheme="minorEastAsia" w:hAnsiTheme="minorEastAsia" w:eastAsiaTheme="minorEastAsia"/>
          <w:color w:val="000000" w:themeColor="text1"/>
          <w:sz w:val="28"/>
          <w:szCs w:val="28"/>
          <w:highlight w:val="none"/>
          <w14:textFill>
            <w14:solidFill>
              <w14:schemeClr w14:val="tx1"/>
            </w14:solidFill>
          </w14:textFill>
        </w:rPr>
        <w:t>13.1</w:t>
      </w:r>
      <w:r>
        <w:rPr>
          <w:rFonts w:hint="eastAsia" w:asciiTheme="minorEastAsia" w:hAnsiTheme="minorEastAsia" w:eastAsiaTheme="minorEastAsia"/>
          <w:color w:val="000000" w:themeColor="text1"/>
          <w:sz w:val="28"/>
          <w:szCs w:val="28"/>
          <w:highlight w:val="none"/>
          <w14:textFill>
            <w14:solidFill>
              <w14:schemeClr w14:val="tx1"/>
            </w14:solidFill>
          </w14:textFill>
        </w:rPr>
        <w:t>条规定中“必须提供”的文件资料的</w:t>
      </w:r>
      <w:r>
        <w:rPr>
          <w:rFonts w:asciiTheme="minorEastAsia" w:hAnsiTheme="minorEastAsia" w:eastAsiaTheme="minorEastAsia"/>
          <w:color w:val="000000" w:themeColor="text1"/>
          <w:sz w:val="28"/>
          <w:szCs w:val="28"/>
          <w:highlight w:val="none"/>
          <w14:textFill>
            <w14:solidFill>
              <w14:schemeClr w14:val="tx1"/>
            </w14:solidFill>
          </w14:textFill>
        </w:rPr>
        <w:t>;</w:t>
      </w:r>
    </w:p>
    <w:p w14:paraId="1D63876A">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w:t>
      </w:r>
      <w:r>
        <w:rPr>
          <w:rFonts w:asciiTheme="minorEastAsia" w:hAnsiTheme="minorEastAsia" w:eastAsiaTheme="minorEastAsia"/>
          <w:color w:val="000000" w:themeColor="text1"/>
          <w:sz w:val="28"/>
          <w:szCs w:val="28"/>
          <w:highlight w:val="none"/>
          <w14:textFill>
            <w14:solidFill>
              <w14:schemeClr w14:val="tx1"/>
            </w14:solidFill>
          </w14:textFill>
        </w:rPr>
        <w:t>4</w:t>
      </w:r>
      <w:r>
        <w:rPr>
          <w:rFonts w:hint="eastAsia" w:asciiTheme="minorEastAsia" w:hAnsiTheme="minorEastAsia" w:eastAsiaTheme="minorEastAsia"/>
          <w:color w:val="000000" w:themeColor="text1"/>
          <w:sz w:val="28"/>
          <w:szCs w:val="28"/>
          <w:highlight w:val="none"/>
          <w14:textFill>
            <w14:solidFill>
              <w14:schemeClr w14:val="tx1"/>
            </w14:solidFill>
          </w14:textFill>
        </w:rPr>
        <w:t>）虚假投标，或者出现其他情形而导致被评标委员会认定无效的；</w:t>
      </w:r>
    </w:p>
    <w:p w14:paraId="15FE312D">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w:t>
      </w:r>
      <w:r>
        <w:rPr>
          <w:rFonts w:asciiTheme="minorEastAsia" w:hAnsiTheme="minorEastAsia" w:eastAsiaTheme="minorEastAsia"/>
          <w:color w:val="000000" w:themeColor="text1"/>
          <w:sz w:val="28"/>
          <w:szCs w:val="28"/>
          <w:highlight w:val="none"/>
          <w14:textFill>
            <w14:solidFill>
              <w14:schemeClr w14:val="tx1"/>
            </w14:solidFill>
          </w14:textFill>
        </w:rPr>
        <w:t>5</w:t>
      </w:r>
      <w:r>
        <w:rPr>
          <w:rFonts w:hint="eastAsia" w:asciiTheme="minorEastAsia" w:hAnsiTheme="minorEastAsia" w:eastAsiaTheme="minorEastAsia"/>
          <w:color w:val="000000" w:themeColor="text1"/>
          <w:sz w:val="28"/>
          <w:szCs w:val="28"/>
          <w:highlight w:val="none"/>
          <w14:textFill>
            <w14:solidFill>
              <w14:schemeClr w14:val="tx1"/>
            </w14:solidFill>
          </w14:textFill>
        </w:rPr>
        <w:t>）招标文件要求提供技术方案的，投标技术方案不明确，招标文件未允许但存在一个或者一个以上备选（替代）投标方案的。</w:t>
      </w:r>
    </w:p>
    <w:p w14:paraId="06CB20D5">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asciiTheme="minorEastAsia" w:hAnsiTheme="minorEastAsia" w:eastAsia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b/>
          <w:color w:val="000000" w:themeColor="text1"/>
          <w:sz w:val="28"/>
          <w:szCs w:val="28"/>
          <w:highlight w:val="none"/>
          <w14:textFill>
            <w14:solidFill>
              <w14:schemeClr w14:val="tx1"/>
            </w14:solidFill>
          </w14:textFill>
        </w:rPr>
        <w:t>3.澄清补正、说明或者补正</w:t>
      </w:r>
    </w:p>
    <w:p w14:paraId="1DAD59BD">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cs="Courier New" w:asciiTheme="minorEastAsia" w:hAnsiTheme="minorEastAsia" w:eastAsiaTheme="minorEastAsia"/>
          <w:color w:val="000000" w:themeColor="text1"/>
          <w:sz w:val="28"/>
          <w:szCs w:val="28"/>
          <w:highlight w:val="none"/>
          <w14:textFill>
            <w14:solidFill>
              <w14:schemeClr w14:val="tx1"/>
            </w14:solidFill>
          </w14:textFill>
        </w:rPr>
      </w:pPr>
      <w:r>
        <w:rPr>
          <w:rFonts w:hint="eastAsia" w:cs="Courier New" w:asciiTheme="minorEastAsia" w:hAnsiTheme="minorEastAsia" w:eastAsiaTheme="minorEastAsia"/>
          <w:color w:val="000000" w:themeColor="text1"/>
          <w:sz w:val="28"/>
          <w:szCs w:val="28"/>
          <w:highlight w:val="none"/>
          <w14:textFill>
            <w14:solidFill>
              <w14:schemeClr w14:val="tx1"/>
            </w14:solidFill>
          </w14:textFill>
        </w:rPr>
        <w:t>对投标文件中含义不明确、同类问题表述不一致或者有明显文字和计算错误的内容，评标委员会应在“政采云”平台发布电子澄清函，要求</w:t>
      </w:r>
      <w:r>
        <w:rPr>
          <w:rFonts w:hint="eastAsia" w:cs="Courier New" w:asciiTheme="minorEastAsia" w:hAnsiTheme="minorEastAsia" w:eastAsiaTheme="minorEastAsia"/>
          <w:color w:val="000000" w:themeColor="text1"/>
          <w:sz w:val="28"/>
          <w:szCs w:val="28"/>
          <w:highlight w:val="none"/>
          <w:lang w:eastAsia="zh-CN"/>
          <w14:textFill>
            <w14:solidFill>
              <w14:schemeClr w14:val="tx1"/>
            </w14:solidFill>
          </w14:textFill>
        </w:rPr>
        <w:t>供应商</w:t>
      </w:r>
      <w:r>
        <w:rPr>
          <w:rFonts w:hint="eastAsia" w:cs="Courier New" w:asciiTheme="minorEastAsia" w:hAnsiTheme="minorEastAsia" w:eastAsiaTheme="minorEastAsia"/>
          <w:color w:val="000000" w:themeColor="text1"/>
          <w:sz w:val="28"/>
          <w:szCs w:val="28"/>
          <w:highlight w:val="none"/>
          <w14:textFill>
            <w14:solidFill>
              <w14:schemeClr w14:val="tx1"/>
            </w14:solidFill>
          </w14:textFill>
        </w:rPr>
        <w:t>在规定时间内作出必要的澄清、说明或者补正。</w:t>
      </w:r>
      <w:r>
        <w:rPr>
          <w:rFonts w:hint="eastAsia" w:cs="Courier New" w:asciiTheme="minorEastAsia" w:hAnsiTheme="minorEastAsia" w:eastAsiaTheme="minorEastAsia"/>
          <w:color w:val="000000" w:themeColor="text1"/>
          <w:sz w:val="28"/>
          <w:szCs w:val="28"/>
          <w:highlight w:val="none"/>
          <w:lang w:eastAsia="zh-CN"/>
          <w14:textFill>
            <w14:solidFill>
              <w14:schemeClr w14:val="tx1"/>
            </w14:solidFill>
          </w14:textFill>
        </w:rPr>
        <w:t>供应商</w:t>
      </w:r>
      <w:r>
        <w:rPr>
          <w:rFonts w:hint="eastAsia" w:cs="Courier New" w:asciiTheme="minorEastAsia" w:hAnsiTheme="minorEastAsia" w:eastAsiaTheme="minorEastAsia"/>
          <w:color w:val="000000" w:themeColor="text1"/>
          <w:sz w:val="28"/>
          <w:szCs w:val="28"/>
          <w:highlight w:val="none"/>
          <w14:textFill>
            <w14:solidFill>
              <w14:schemeClr w14:val="tx1"/>
            </w14:solidFill>
          </w14:textFill>
        </w:rPr>
        <w:t>在“政采云”平台接收到电子澄清函后根据澄清函内容上传PDF格式回函，电子澄清答复函使用CA证书加盖单位公章后在线上传至评标委员会。</w:t>
      </w:r>
      <w:r>
        <w:rPr>
          <w:rFonts w:hint="eastAsia" w:cs="Courier New" w:asciiTheme="minorEastAsia" w:hAnsiTheme="minorEastAsia" w:eastAsiaTheme="minorEastAsia"/>
          <w:color w:val="000000" w:themeColor="text1"/>
          <w:sz w:val="28"/>
          <w:szCs w:val="28"/>
          <w:highlight w:val="none"/>
          <w:lang w:eastAsia="zh-CN"/>
          <w14:textFill>
            <w14:solidFill>
              <w14:schemeClr w14:val="tx1"/>
            </w14:solidFill>
          </w14:textFill>
        </w:rPr>
        <w:t>供应商</w:t>
      </w:r>
      <w:r>
        <w:rPr>
          <w:rFonts w:hint="eastAsia" w:cs="Courier New" w:asciiTheme="minorEastAsia" w:hAnsiTheme="minorEastAsia" w:eastAsiaTheme="minorEastAsia"/>
          <w:color w:val="000000" w:themeColor="text1"/>
          <w:sz w:val="28"/>
          <w:szCs w:val="28"/>
          <w:highlight w:val="none"/>
          <w14:textFill>
            <w14:solidFill>
              <w14:schemeClr w14:val="tx1"/>
            </w14:solidFill>
          </w14:textFill>
        </w:rPr>
        <w:t>的澄清、说明或者补正不得超出投标文件的范围或者改变投标文件的实质性内容。</w:t>
      </w:r>
      <w:r>
        <w:rPr>
          <w:rFonts w:hint="eastAsia" w:cs="Courier New" w:asciiTheme="minorEastAsia" w:hAnsiTheme="minorEastAsia" w:eastAsiaTheme="minorEastAsia"/>
          <w:color w:val="000000" w:themeColor="text1"/>
          <w:sz w:val="28"/>
          <w:szCs w:val="28"/>
          <w:highlight w:val="none"/>
          <w:lang w:eastAsia="zh-CN"/>
          <w14:textFill>
            <w14:solidFill>
              <w14:schemeClr w14:val="tx1"/>
            </w14:solidFill>
          </w14:textFill>
        </w:rPr>
        <w:t>供应商</w:t>
      </w:r>
      <w:r>
        <w:rPr>
          <w:rFonts w:hint="eastAsia" w:cs="Courier New" w:asciiTheme="minorEastAsia" w:hAnsiTheme="minorEastAsia" w:eastAsiaTheme="minorEastAsia"/>
          <w:color w:val="000000" w:themeColor="text1"/>
          <w:sz w:val="28"/>
          <w:szCs w:val="28"/>
          <w:highlight w:val="none"/>
          <w14:textFill>
            <w14:solidFill>
              <w14:schemeClr w14:val="tx1"/>
            </w14:solidFill>
          </w14:textFill>
        </w:rPr>
        <w:t>未在规定时间内进行澄清、说明或者补正的，按无效投标处理。</w:t>
      </w:r>
    </w:p>
    <w:p w14:paraId="53304187">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cs="Courier New" w:asciiTheme="minorEastAsia" w:hAnsiTheme="minorEastAsia" w:eastAsiaTheme="minorEastAsia"/>
          <w:color w:val="000000" w:themeColor="text1"/>
          <w:sz w:val="28"/>
          <w:szCs w:val="28"/>
          <w:highlight w:val="none"/>
          <w14:textFill>
            <w14:solidFill>
              <w14:schemeClr w14:val="tx1"/>
            </w14:solidFill>
          </w14:textFill>
        </w:rPr>
      </w:pPr>
      <w:r>
        <w:rPr>
          <w:rFonts w:hint="eastAsia" w:cs="Courier New" w:asciiTheme="minorEastAsia" w:hAnsiTheme="minorEastAsia" w:eastAsiaTheme="minorEastAsia"/>
          <w:color w:val="000000" w:themeColor="text1"/>
          <w:sz w:val="28"/>
          <w:szCs w:val="28"/>
          <w:highlight w:val="none"/>
          <w14:textFill>
            <w14:solidFill>
              <w14:schemeClr w14:val="tx1"/>
            </w14:solidFill>
          </w14:textFill>
        </w:rPr>
        <w:t>异常情况处理：如遇无法正常使用线上发送澄清函的情况，将启动书面形式办理。启动书面形式办理的情况下，评标委员会以书面形式要求</w:t>
      </w:r>
      <w:r>
        <w:rPr>
          <w:rFonts w:hint="eastAsia" w:cs="Courier New" w:asciiTheme="minorEastAsia" w:hAnsiTheme="minorEastAsia" w:eastAsiaTheme="minorEastAsia"/>
          <w:color w:val="000000" w:themeColor="text1"/>
          <w:sz w:val="28"/>
          <w:szCs w:val="28"/>
          <w:highlight w:val="none"/>
          <w:lang w:eastAsia="zh-CN"/>
          <w14:textFill>
            <w14:solidFill>
              <w14:schemeClr w14:val="tx1"/>
            </w14:solidFill>
          </w14:textFill>
        </w:rPr>
        <w:t>供应商</w:t>
      </w:r>
      <w:r>
        <w:rPr>
          <w:rFonts w:hint="eastAsia" w:cs="Courier New" w:asciiTheme="minorEastAsia" w:hAnsiTheme="minorEastAsia" w:eastAsiaTheme="minorEastAsia"/>
          <w:color w:val="000000" w:themeColor="text1"/>
          <w:sz w:val="28"/>
          <w:szCs w:val="28"/>
          <w:highlight w:val="none"/>
          <w14:textFill>
            <w14:solidFill>
              <w14:schemeClr w14:val="tx1"/>
            </w14:solidFill>
          </w14:textFill>
        </w:rPr>
        <w:t>在规定时间内作出必要的澄清、说明或者补正。</w:t>
      </w:r>
      <w:r>
        <w:rPr>
          <w:rFonts w:hint="eastAsia" w:cs="Courier New" w:asciiTheme="minorEastAsia" w:hAnsiTheme="minorEastAsia" w:eastAsiaTheme="minorEastAsia"/>
          <w:color w:val="000000" w:themeColor="text1"/>
          <w:sz w:val="28"/>
          <w:szCs w:val="28"/>
          <w:highlight w:val="none"/>
          <w:lang w:eastAsia="zh-CN"/>
          <w14:textFill>
            <w14:solidFill>
              <w14:schemeClr w14:val="tx1"/>
            </w14:solidFill>
          </w14:textFill>
        </w:rPr>
        <w:t>供应商</w:t>
      </w:r>
      <w:r>
        <w:rPr>
          <w:rFonts w:hint="eastAsia" w:cs="Courier New" w:asciiTheme="minorEastAsia" w:hAnsiTheme="minorEastAsia" w:eastAsiaTheme="minorEastAsia"/>
          <w:color w:val="000000" w:themeColor="text1"/>
          <w:sz w:val="28"/>
          <w:szCs w:val="28"/>
          <w:highlight w:val="none"/>
          <w14:textFill>
            <w14:solidFill>
              <w14:schemeClr w14:val="tx1"/>
            </w14:solidFill>
          </w14:textFill>
        </w:rPr>
        <w:t>的澄清、说明或者补正必须采用书面形式，并加盖公章，或者由法定代表人或者其授权的代表签字。</w:t>
      </w:r>
    </w:p>
    <w:p w14:paraId="163DC8D2">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asciiTheme="minorEastAsia" w:hAnsiTheme="minorEastAsia" w:eastAsia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b/>
          <w:color w:val="000000" w:themeColor="text1"/>
          <w:sz w:val="28"/>
          <w:szCs w:val="28"/>
          <w:highlight w:val="none"/>
          <w14:textFill>
            <w14:solidFill>
              <w14:schemeClr w14:val="tx1"/>
            </w14:solidFill>
          </w14:textFill>
        </w:rPr>
        <w:t>4.投标文件修正</w:t>
      </w:r>
    </w:p>
    <w:p w14:paraId="7F13364E">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 xml:space="preserve">4.1投标文件报价出现前后不一致的，按照下列规定修正： </w:t>
      </w:r>
    </w:p>
    <w:p w14:paraId="072A30AD">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w:t>
      </w:r>
      <w:r>
        <w:rPr>
          <w:rFonts w:asciiTheme="minorEastAsia" w:hAnsiTheme="minorEastAsia" w:eastAsiaTheme="minorEastAsia"/>
          <w:color w:val="000000" w:themeColor="text1"/>
          <w:sz w:val="28"/>
          <w:szCs w:val="28"/>
          <w:highlight w:val="none"/>
          <w14:textFill>
            <w14:solidFill>
              <w14:schemeClr w14:val="tx1"/>
            </w14:solidFill>
          </w14:textFill>
        </w:rPr>
        <w:t>1</w:t>
      </w:r>
      <w:r>
        <w:rPr>
          <w:rFonts w:hint="eastAsia" w:asciiTheme="minorEastAsia" w:hAnsiTheme="minorEastAsia" w:eastAsiaTheme="minorEastAsia"/>
          <w:color w:val="000000" w:themeColor="text1"/>
          <w:sz w:val="28"/>
          <w:szCs w:val="28"/>
          <w:highlight w:val="none"/>
          <w14:textFill>
            <w14:solidFill>
              <w14:schemeClr w14:val="tx1"/>
            </w14:solidFill>
          </w14:textFill>
        </w:rPr>
        <w:t>）报价文件中“开标一览表”内容与投标文件中相应内容不一致的，以“开标一览表”为准；</w:t>
      </w:r>
    </w:p>
    <w:p w14:paraId="4ACAF00C">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w:t>
      </w:r>
      <w:r>
        <w:rPr>
          <w:rFonts w:asciiTheme="minorEastAsia" w:hAnsiTheme="minorEastAsia" w:eastAsiaTheme="minorEastAsia"/>
          <w:color w:val="000000" w:themeColor="text1"/>
          <w:sz w:val="28"/>
          <w:szCs w:val="28"/>
          <w:highlight w:val="none"/>
          <w14:textFill>
            <w14:solidFill>
              <w14:schemeClr w14:val="tx1"/>
            </w14:solidFill>
          </w14:textFill>
        </w:rPr>
        <w:t>2</w:t>
      </w:r>
      <w:r>
        <w:rPr>
          <w:rFonts w:hint="eastAsia" w:asciiTheme="minorEastAsia" w:hAnsiTheme="minorEastAsia" w:eastAsiaTheme="minorEastAsia"/>
          <w:color w:val="000000" w:themeColor="text1"/>
          <w:sz w:val="28"/>
          <w:szCs w:val="28"/>
          <w:highlight w:val="none"/>
          <w14:textFill>
            <w14:solidFill>
              <w14:schemeClr w14:val="tx1"/>
            </w14:solidFill>
          </w14:textFill>
        </w:rPr>
        <w:t>）大写金额和小写金额不一致的，以大写金额为准；</w:t>
      </w:r>
    </w:p>
    <w:p w14:paraId="701C5545">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w:t>
      </w:r>
      <w:r>
        <w:rPr>
          <w:rFonts w:asciiTheme="minorEastAsia" w:hAnsiTheme="minorEastAsia" w:eastAsiaTheme="minorEastAsia"/>
          <w:color w:val="000000" w:themeColor="text1"/>
          <w:sz w:val="28"/>
          <w:szCs w:val="28"/>
          <w:highlight w:val="none"/>
          <w14:textFill>
            <w14:solidFill>
              <w14:schemeClr w14:val="tx1"/>
            </w14:solidFill>
          </w14:textFill>
        </w:rPr>
        <w:t>3</w:t>
      </w:r>
      <w:r>
        <w:rPr>
          <w:rFonts w:hint="eastAsia" w:asciiTheme="minorEastAsia" w:hAnsiTheme="minorEastAsia" w:eastAsiaTheme="minorEastAsia"/>
          <w:color w:val="000000" w:themeColor="text1"/>
          <w:sz w:val="28"/>
          <w:szCs w:val="28"/>
          <w:highlight w:val="none"/>
          <w14:textFill>
            <w14:solidFill>
              <w14:schemeClr w14:val="tx1"/>
            </w14:solidFill>
          </w14:textFill>
        </w:rPr>
        <w:t>）单价金额小数点或者百分比有明显错位的，以开标一览表的总价为准，并修改单价；</w:t>
      </w:r>
    </w:p>
    <w:p w14:paraId="1BD8FFA5">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w:t>
      </w:r>
      <w:r>
        <w:rPr>
          <w:rFonts w:asciiTheme="minorEastAsia" w:hAnsiTheme="minorEastAsia" w:eastAsiaTheme="minorEastAsia"/>
          <w:color w:val="000000" w:themeColor="text1"/>
          <w:sz w:val="28"/>
          <w:szCs w:val="28"/>
          <w:highlight w:val="none"/>
          <w14:textFill>
            <w14:solidFill>
              <w14:schemeClr w14:val="tx1"/>
            </w14:solidFill>
          </w14:textFill>
        </w:rPr>
        <w:t>4</w:t>
      </w:r>
      <w:r>
        <w:rPr>
          <w:rFonts w:hint="eastAsia" w:asciiTheme="minorEastAsia" w:hAnsiTheme="minorEastAsia" w:eastAsiaTheme="minorEastAsia"/>
          <w:color w:val="000000" w:themeColor="text1"/>
          <w:sz w:val="28"/>
          <w:szCs w:val="28"/>
          <w:highlight w:val="none"/>
          <w14:textFill>
            <w14:solidFill>
              <w14:schemeClr w14:val="tx1"/>
            </w14:solidFill>
          </w14:textFill>
        </w:rPr>
        <w:t>）总价金额与按单价汇总金额不一致的，以单价金额计算结果为准。</w:t>
      </w:r>
    </w:p>
    <w:p w14:paraId="064D450B">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同时出现两种以上不一致的，按照以上（</w:t>
      </w:r>
      <w:r>
        <w:rPr>
          <w:rFonts w:asciiTheme="minorEastAsia" w:hAnsiTheme="minorEastAsia" w:eastAsiaTheme="minorEastAsia"/>
          <w:color w:val="000000" w:themeColor="text1"/>
          <w:sz w:val="28"/>
          <w:szCs w:val="28"/>
          <w:highlight w:val="none"/>
          <w14:textFill>
            <w14:solidFill>
              <w14:schemeClr w14:val="tx1"/>
            </w14:solidFill>
          </w14:textFill>
        </w:rPr>
        <w:t>1</w:t>
      </w:r>
      <w:r>
        <w:rPr>
          <w:rFonts w:hint="eastAsia" w:asciiTheme="minorEastAsia" w:hAnsiTheme="minorEastAsia" w:eastAsiaTheme="minorEastAsia"/>
          <w:color w:val="000000" w:themeColor="text1"/>
          <w:sz w:val="28"/>
          <w:szCs w:val="28"/>
          <w:highlight w:val="none"/>
          <w14:textFill>
            <w14:solidFill>
              <w14:schemeClr w14:val="tx1"/>
            </w14:solidFill>
          </w14:textFill>
        </w:rPr>
        <w:t>）</w:t>
      </w:r>
      <w:r>
        <w:rPr>
          <w:rFonts w:asciiTheme="minorEastAsia" w:hAnsiTheme="minorEastAsia" w:eastAsiaTheme="minorEastAsia"/>
          <w:color w:val="000000" w:themeColor="text1"/>
          <w:sz w:val="28"/>
          <w:szCs w:val="28"/>
          <w:highlight w:val="none"/>
          <w14:textFill>
            <w14:solidFill>
              <w14:schemeClr w14:val="tx1"/>
            </w14:solidFill>
          </w14:textFill>
        </w:rPr>
        <w:t>-</w:t>
      </w:r>
      <w:r>
        <w:rPr>
          <w:rFonts w:hint="eastAsia" w:asciiTheme="minorEastAsia" w:hAnsiTheme="minorEastAsia" w:eastAsiaTheme="minorEastAsia"/>
          <w:color w:val="000000" w:themeColor="text1"/>
          <w:sz w:val="28"/>
          <w:szCs w:val="28"/>
          <w:highlight w:val="none"/>
          <w14:textFill>
            <w14:solidFill>
              <w14:schemeClr w14:val="tx1"/>
            </w14:solidFill>
          </w14:textFill>
        </w:rPr>
        <w:t>（</w:t>
      </w:r>
      <w:r>
        <w:rPr>
          <w:rFonts w:asciiTheme="minorEastAsia" w:hAnsiTheme="minorEastAsia" w:eastAsiaTheme="minorEastAsia"/>
          <w:color w:val="000000" w:themeColor="text1"/>
          <w:sz w:val="28"/>
          <w:szCs w:val="28"/>
          <w:highlight w:val="none"/>
          <w14:textFill>
            <w14:solidFill>
              <w14:schemeClr w14:val="tx1"/>
            </w14:solidFill>
          </w14:textFill>
        </w:rPr>
        <w:t>4</w:t>
      </w:r>
      <w:r>
        <w:rPr>
          <w:rFonts w:hint="eastAsia" w:asciiTheme="minorEastAsia" w:hAnsiTheme="minorEastAsia" w:eastAsiaTheme="minorEastAsia"/>
          <w:color w:val="000000" w:themeColor="text1"/>
          <w:sz w:val="28"/>
          <w:szCs w:val="28"/>
          <w:highlight w:val="none"/>
          <w14:textFill>
            <w14:solidFill>
              <w14:schemeClr w14:val="tx1"/>
            </w14:solidFill>
          </w14:textFill>
        </w:rPr>
        <w:t>）规定的顺序修正。修正后的报价经</w:t>
      </w:r>
      <w:r>
        <w:rPr>
          <w:rFonts w:hint="eastAsia" w:asciiTheme="minorEastAsia" w:hAnsiTheme="minorEastAsia" w:eastAsiaTheme="minorEastAsia"/>
          <w:color w:val="000000" w:themeColor="text1"/>
          <w:sz w:val="28"/>
          <w:szCs w:val="28"/>
          <w:highlight w:val="none"/>
          <w:lang w:eastAsia="zh-CN"/>
          <w14:textFill>
            <w14:solidFill>
              <w14:schemeClr w14:val="tx1"/>
            </w14:solidFill>
          </w14:textFill>
        </w:rPr>
        <w:t>供应商</w:t>
      </w:r>
      <w:r>
        <w:rPr>
          <w:rFonts w:hint="eastAsia" w:asciiTheme="minorEastAsia" w:hAnsiTheme="minorEastAsia" w:eastAsiaTheme="minorEastAsia"/>
          <w:color w:val="000000" w:themeColor="text1"/>
          <w:sz w:val="28"/>
          <w:szCs w:val="28"/>
          <w:highlight w:val="none"/>
          <w14:textFill>
            <w14:solidFill>
              <w14:schemeClr w14:val="tx1"/>
            </w14:solidFill>
          </w14:textFill>
        </w:rPr>
        <w:t>确认后产生约束力，</w:t>
      </w:r>
      <w:r>
        <w:rPr>
          <w:rFonts w:hint="eastAsia" w:asciiTheme="minorEastAsia" w:hAnsiTheme="minorEastAsia" w:eastAsiaTheme="minorEastAsia"/>
          <w:color w:val="000000" w:themeColor="text1"/>
          <w:sz w:val="28"/>
          <w:szCs w:val="28"/>
          <w:highlight w:val="none"/>
          <w:lang w:eastAsia="zh-CN"/>
          <w14:textFill>
            <w14:solidFill>
              <w14:schemeClr w14:val="tx1"/>
            </w14:solidFill>
          </w14:textFill>
        </w:rPr>
        <w:t>供应商</w:t>
      </w:r>
      <w:r>
        <w:rPr>
          <w:rFonts w:hint="eastAsia" w:asciiTheme="minorEastAsia" w:hAnsiTheme="minorEastAsia" w:eastAsiaTheme="minorEastAsia"/>
          <w:color w:val="000000" w:themeColor="text1"/>
          <w:sz w:val="28"/>
          <w:szCs w:val="28"/>
          <w:highlight w:val="none"/>
          <w14:textFill>
            <w14:solidFill>
              <w14:schemeClr w14:val="tx1"/>
            </w14:solidFill>
          </w14:textFill>
        </w:rPr>
        <w:t>不确认的，其投标无效。</w:t>
      </w:r>
    </w:p>
    <w:p w14:paraId="0CE9A1F9">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4.2经</w:t>
      </w:r>
      <w:r>
        <w:rPr>
          <w:rFonts w:hint="eastAsia" w:asciiTheme="minorEastAsia" w:hAnsiTheme="minorEastAsia" w:eastAsiaTheme="minorEastAsia"/>
          <w:color w:val="000000" w:themeColor="text1"/>
          <w:sz w:val="28"/>
          <w:szCs w:val="28"/>
          <w:highlight w:val="none"/>
          <w:lang w:eastAsia="zh-CN"/>
          <w14:textFill>
            <w14:solidFill>
              <w14:schemeClr w14:val="tx1"/>
            </w14:solidFill>
          </w14:textFill>
        </w:rPr>
        <w:t>供应商</w:t>
      </w:r>
      <w:r>
        <w:rPr>
          <w:rFonts w:hint="eastAsia" w:asciiTheme="minorEastAsia" w:hAnsiTheme="minorEastAsia" w:eastAsiaTheme="minorEastAsia"/>
          <w:color w:val="000000" w:themeColor="text1"/>
          <w:sz w:val="28"/>
          <w:szCs w:val="28"/>
          <w:highlight w:val="none"/>
          <w14:textFill>
            <w14:solidFill>
              <w14:schemeClr w14:val="tx1"/>
            </w14:solidFill>
          </w14:textFill>
        </w:rPr>
        <w:t>确认修正后的报价若超过采购预算金额或者最高限价，</w:t>
      </w:r>
      <w:r>
        <w:rPr>
          <w:rFonts w:hint="eastAsia" w:asciiTheme="minorEastAsia" w:hAnsiTheme="minorEastAsia" w:eastAsiaTheme="minorEastAsia"/>
          <w:color w:val="000000" w:themeColor="text1"/>
          <w:sz w:val="28"/>
          <w:szCs w:val="28"/>
          <w:highlight w:val="none"/>
          <w:lang w:eastAsia="zh-CN"/>
          <w14:textFill>
            <w14:solidFill>
              <w14:schemeClr w14:val="tx1"/>
            </w14:solidFill>
          </w14:textFill>
        </w:rPr>
        <w:t>供应商</w:t>
      </w:r>
      <w:r>
        <w:rPr>
          <w:rFonts w:hint="eastAsia" w:asciiTheme="minorEastAsia" w:hAnsiTheme="minorEastAsia" w:eastAsiaTheme="minorEastAsia"/>
          <w:color w:val="000000" w:themeColor="text1"/>
          <w:sz w:val="28"/>
          <w:szCs w:val="28"/>
          <w:highlight w:val="none"/>
          <w14:textFill>
            <w14:solidFill>
              <w14:schemeClr w14:val="tx1"/>
            </w14:solidFill>
          </w14:textFill>
        </w:rPr>
        <w:t>的投标文件作无效投标处理。</w:t>
      </w:r>
    </w:p>
    <w:p w14:paraId="22DB7BF1">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4.3经</w:t>
      </w:r>
      <w:r>
        <w:rPr>
          <w:rFonts w:hint="eastAsia" w:asciiTheme="minorEastAsia" w:hAnsiTheme="minorEastAsia" w:eastAsiaTheme="minorEastAsia"/>
          <w:color w:val="000000" w:themeColor="text1"/>
          <w:sz w:val="28"/>
          <w:szCs w:val="28"/>
          <w:highlight w:val="none"/>
          <w:lang w:eastAsia="zh-CN"/>
          <w14:textFill>
            <w14:solidFill>
              <w14:schemeClr w14:val="tx1"/>
            </w14:solidFill>
          </w14:textFill>
        </w:rPr>
        <w:t>供应商</w:t>
      </w:r>
      <w:r>
        <w:rPr>
          <w:rFonts w:hint="eastAsia" w:asciiTheme="minorEastAsia" w:hAnsiTheme="minorEastAsia" w:eastAsiaTheme="minorEastAsia"/>
          <w:color w:val="000000" w:themeColor="text1"/>
          <w:sz w:val="28"/>
          <w:szCs w:val="28"/>
          <w:highlight w:val="none"/>
          <w14:textFill>
            <w14:solidFill>
              <w14:schemeClr w14:val="tx1"/>
            </w14:solidFill>
          </w14:textFill>
        </w:rPr>
        <w:t>确认修正后的报价作为签订合同的依据，并以此报价计算价格分。</w:t>
      </w:r>
    </w:p>
    <w:p w14:paraId="3AE65487">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5.比较与评价</w:t>
      </w:r>
    </w:p>
    <w:p w14:paraId="6505CE73">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asciiTheme="minorEastAsia" w:hAnsiTheme="minorEastAsia" w:eastAsiaTheme="minorEastAsia"/>
          <w:color w:val="000000" w:themeColor="text1"/>
          <w:sz w:val="28"/>
          <w:szCs w:val="28"/>
          <w:highlight w:val="none"/>
          <w14:textFill>
            <w14:solidFill>
              <w14:schemeClr w14:val="tx1"/>
            </w14:solidFill>
          </w14:textFill>
        </w:rPr>
      </w:pPr>
      <w:r>
        <w:rPr>
          <w:rFonts w:asciiTheme="minorEastAsia" w:hAnsiTheme="minorEastAsia" w:eastAsiaTheme="minorEastAsia"/>
          <w:color w:val="000000" w:themeColor="text1"/>
          <w:sz w:val="28"/>
          <w:szCs w:val="28"/>
          <w:highlight w:val="none"/>
          <w14:textFill>
            <w14:solidFill>
              <w14:schemeClr w14:val="tx1"/>
            </w14:solidFill>
          </w14:textFill>
        </w:rPr>
        <w:t>5.1</w:t>
      </w:r>
      <w:r>
        <w:rPr>
          <w:rFonts w:hint="eastAsia" w:asciiTheme="minorEastAsia" w:hAnsiTheme="minorEastAsia" w:eastAsiaTheme="minorEastAsia"/>
          <w:color w:val="000000" w:themeColor="text1"/>
          <w:sz w:val="28"/>
          <w:szCs w:val="28"/>
          <w:highlight w:val="none"/>
          <w14:textFill>
            <w14:solidFill>
              <w14:schemeClr w14:val="tx1"/>
            </w14:solidFill>
          </w14:textFill>
        </w:rPr>
        <w:t>评标委员会按照招标文件中规定的评标方法和评标标准，对符合性审查合格的投标文件进行商务和技术评估，综合比较与评价。</w:t>
      </w:r>
    </w:p>
    <w:p w14:paraId="6819FD6A">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asciiTheme="minorEastAsia" w:hAnsiTheme="minorEastAsia" w:eastAsiaTheme="minorEastAsia"/>
          <w:color w:val="000000" w:themeColor="text1"/>
          <w:sz w:val="28"/>
          <w:szCs w:val="28"/>
          <w:highlight w:val="none"/>
          <w14:textFill>
            <w14:solidFill>
              <w14:schemeClr w14:val="tx1"/>
            </w14:solidFill>
          </w14:textFill>
        </w:rPr>
      </w:pPr>
      <w:r>
        <w:rPr>
          <w:rFonts w:asciiTheme="minorEastAsia" w:hAnsiTheme="minorEastAsia" w:eastAsiaTheme="minorEastAsia"/>
          <w:color w:val="000000" w:themeColor="text1"/>
          <w:sz w:val="28"/>
          <w:szCs w:val="28"/>
          <w:highlight w:val="none"/>
          <w14:textFill>
            <w14:solidFill>
              <w14:schemeClr w14:val="tx1"/>
            </w14:solidFill>
          </w14:textFill>
        </w:rPr>
        <w:t>5.2</w:t>
      </w:r>
      <w:r>
        <w:rPr>
          <w:rFonts w:hint="eastAsia" w:asciiTheme="minorEastAsia" w:hAnsiTheme="minorEastAsia" w:eastAsiaTheme="minorEastAsia"/>
          <w:color w:val="000000" w:themeColor="text1"/>
          <w:sz w:val="28"/>
          <w:szCs w:val="28"/>
          <w:highlight w:val="none"/>
          <w14:textFill>
            <w14:solidFill>
              <w14:schemeClr w14:val="tx1"/>
            </w14:solidFill>
          </w14:textFill>
        </w:rPr>
        <w:t>评标委员会独立对每个</w:t>
      </w:r>
      <w:r>
        <w:rPr>
          <w:rFonts w:hint="eastAsia" w:asciiTheme="minorEastAsia" w:hAnsiTheme="minorEastAsia" w:eastAsiaTheme="minorEastAsia"/>
          <w:color w:val="000000" w:themeColor="text1"/>
          <w:sz w:val="28"/>
          <w:szCs w:val="28"/>
          <w:highlight w:val="none"/>
          <w:lang w:eastAsia="zh-CN"/>
          <w14:textFill>
            <w14:solidFill>
              <w14:schemeClr w14:val="tx1"/>
            </w14:solidFill>
          </w14:textFill>
        </w:rPr>
        <w:t>供应商</w:t>
      </w:r>
      <w:r>
        <w:rPr>
          <w:rFonts w:hint="eastAsia" w:asciiTheme="minorEastAsia" w:hAnsiTheme="minorEastAsia" w:eastAsiaTheme="minorEastAsia"/>
          <w:color w:val="000000" w:themeColor="text1"/>
          <w:sz w:val="28"/>
          <w:szCs w:val="28"/>
          <w:highlight w:val="none"/>
          <w14:textFill>
            <w14:solidFill>
              <w14:schemeClr w14:val="tx1"/>
            </w14:solidFill>
          </w14:textFill>
        </w:rPr>
        <w:t>的投标文件进行评价，并汇总每个</w:t>
      </w:r>
      <w:r>
        <w:rPr>
          <w:rFonts w:hint="eastAsia" w:asciiTheme="minorEastAsia" w:hAnsiTheme="minorEastAsia" w:eastAsiaTheme="minorEastAsia"/>
          <w:color w:val="000000" w:themeColor="text1"/>
          <w:sz w:val="28"/>
          <w:szCs w:val="28"/>
          <w:highlight w:val="none"/>
          <w:lang w:eastAsia="zh-CN"/>
          <w14:textFill>
            <w14:solidFill>
              <w14:schemeClr w14:val="tx1"/>
            </w14:solidFill>
          </w14:textFill>
        </w:rPr>
        <w:t>供应商</w:t>
      </w:r>
      <w:r>
        <w:rPr>
          <w:rFonts w:hint="eastAsia" w:asciiTheme="minorEastAsia" w:hAnsiTheme="minorEastAsia" w:eastAsiaTheme="minorEastAsia"/>
          <w:color w:val="000000" w:themeColor="text1"/>
          <w:sz w:val="28"/>
          <w:szCs w:val="28"/>
          <w:highlight w:val="none"/>
          <w14:textFill>
            <w14:solidFill>
              <w14:schemeClr w14:val="tx1"/>
            </w14:solidFill>
          </w14:textFill>
        </w:rPr>
        <w:t>的得分。</w:t>
      </w:r>
    </w:p>
    <w:p w14:paraId="21C38643">
      <w:pPr>
        <w:keepNext w:val="0"/>
        <w:keepLines w:val="0"/>
        <w:pageBreakBefore w:val="0"/>
        <w:widowControl/>
        <w:numPr>
          <w:ilvl w:val="0"/>
          <w:numId w:val="16"/>
        </w:numPr>
        <w:kinsoku/>
        <w:wordWrap/>
        <w:overflowPunct/>
        <w:topLinePunct w:val="0"/>
        <w:autoSpaceDE/>
        <w:autoSpaceDN/>
        <w:bidi w:val="0"/>
        <w:adjustRightInd/>
        <w:snapToGrid/>
        <w:spacing w:line="560" w:lineRule="exact"/>
        <w:ind w:firstLine="560" w:firstLineChars="200"/>
        <w:jc w:val="left"/>
        <w:textAlignment w:val="auto"/>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评审委员会成员要根据政府采购法律法规和采购文件所载明的评审方法、标准进行评审。对供应商的价格分等客观评分项的评分应当一致，对其他需要借助专业知识评判的主观评分项，应当严格按照评分细则公正评分。</w:t>
      </w:r>
    </w:p>
    <w:p w14:paraId="434783DB">
      <w:pPr>
        <w:keepNext w:val="0"/>
        <w:keepLines w:val="0"/>
        <w:pageBreakBefore w:val="0"/>
        <w:widowControl/>
        <w:numPr>
          <w:ilvl w:val="0"/>
          <w:numId w:val="16"/>
        </w:numPr>
        <w:kinsoku/>
        <w:wordWrap/>
        <w:overflowPunct/>
        <w:topLinePunct w:val="0"/>
        <w:autoSpaceDE/>
        <w:autoSpaceDN/>
        <w:bidi w:val="0"/>
        <w:adjustRightInd/>
        <w:snapToGrid/>
        <w:spacing w:line="560" w:lineRule="exact"/>
        <w:ind w:firstLine="560" w:firstLineChars="200"/>
        <w:jc w:val="left"/>
        <w:textAlignment w:val="auto"/>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评标委员会认为</w:t>
      </w:r>
      <w:r>
        <w:rPr>
          <w:rFonts w:hint="eastAsia" w:asciiTheme="minorEastAsia" w:hAnsiTheme="minorEastAsia" w:eastAsiaTheme="minorEastAsia"/>
          <w:color w:val="000000" w:themeColor="text1"/>
          <w:sz w:val="28"/>
          <w:szCs w:val="28"/>
          <w:highlight w:val="none"/>
          <w:lang w:eastAsia="zh-CN"/>
          <w14:textFill>
            <w14:solidFill>
              <w14:schemeClr w14:val="tx1"/>
            </w14:solidFill>
          </w14:textFill>
        </w:rPr>
        <w:t>供应商</w:t>
      </w:r>
      <w:r>
        <w:rPr>
          <w:rFonts w:hint="eastAsia" w:asciiTheme="minorEastAsia" w:hAnsiTheme="minorEastAsia" w:eastAsiaTheme="minorEastAsia"/>
          <w:color w:val="000000" w:themeColor="text1"/>
          <w:sz w:val="28"/>
          <w:szCs w:val="28"/>
          <w:highlight w:val="none"/>
          <w14:textFill>
            <w14:solidFill>
              <w14:schemeClr w14:val="tx1"/>
            </w14:solidFill>
          </w14:textFill>
        </w:rPr>
        <w:t>的报价明显低于其他通过符合性审查</w:t>
      </w:r>
      <w:r>
        <w:rPr>
          <w:rFonts w:hint="eastAsia" w:asciiTheme="minorEastAsia" w:hAnsiTheme="minorEastAsia" w:eastAsiaTheme="minorEastAsia"/>
          <w:color w:val="000000" w:themeColor="text1"/>
          <w:sz w:val="28"/>
          <w:szCs w:val="28"/>
          <w:highlight w:val="none"/>
          <w:lang w:eastAsia="zh-CN"/>
          <w14:textFill>
            <w14:solidFill>
              <w14:schemeClr w14:val="tx1"/>
            </w14:solidFill>
          </w14:textFill>
        </w:rPr>
        <w:t>供应商</w:t>
      </w:r>
      <w:r>
        <w:rPr>
          <w:rFonts w:hint="eastAsia" w:asciiTheme="minorEastAsia" w:hAnsiTheme="minorEastAsia" w:eastAsiaTheme="minorEastAsia"/>
          <w:color w:val="000000" w:themeColor="text1"/>
          <w:sz w:val="28"/>
          <w:szCs w:val="28"/>
          <w:highlight w:val="none"/>
          <w14:textFill>
            <w14:solidFill>
              <w14:schemeClr w14:val="tx1"/>
            </w14:solidFill>
          </w14:textFill>
        </w:rPr>
        <w:t>的报价，有可能影响产品质量或者不能诚信履约的，应当要求其在评标现场合理的时间内提供书面说明，必要时提交相关证明材料；</w:t>
      </w:r>
      <w:r>
        <w:rPr>
          <w:rFonts w:hint="eastAsia" w:asciiTheme="minorEastAsia" w:hAnsiTheme="minorEastAsia" w:eastAsiaTheme="minorEastAsia"/>
          <w:color w:val="000000" w:themeColor="text1"/>
          <w:sz w:val="28"/>
          <w:szCs w:val="28"/>
          <w:highlight w:val="none"/>
          <w:lang w:eastAsia="zh-CN"/>
          <w14:textFill>
            <w14:solidFill>
              <w14:schemeClr w14:val="tx1"/>
            </w14:solidFill>
          </w14:textFill>
        </w:rPr>
        <w:t>供应商</w:t>
      </w:r>
      <w:r>
        <w:rPr>
          <w:rFonts w:hint="eastAsia" w:asciiTheme="minorEastAsia" w:hAnsiTheme="minorEastAsia" w:eastAsiaTheme="minorEastAsia"/>
          <w:color w:val="000000" w:themeColor="text1"/>
          <w:sz w:val="28"/>
          <w:szCs w:val="28"/>
          <w:highlight w:val="none"/>
          <w14:textFill>
            <w14:solidFill>
              <w14:schemeClr w14:val="tx1"/>
            </w14:solidFill>
          </w14:textFill>
        </w:rPr>
        <w:t>不能证明其报价合理性的，评标委员会将其作为无效投标处理。</w:t>
      </w:r>
    </w:p>
    <w:p w14:paraId="624C2AC3">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asciiTheme="minorEastAsia" w:hAnsiTheme="minorEastAsia" w:eastAsiaTheme="minorEastAsia"/>
          <w:color w:val="000000" w:themeColor="text1"/>
          <w:sz w:val="28"/>
          <w:szCs w:val="28"/>
          <w:highlight w:val="none"/>
          <w14:textFill>
            <w14:solidFill>
              <w14:schemeClr w14:val="tx1"/>
            </w14:solidFill>
          </w14:textFill>
        </w:rPr>
      </w:pPr>
      <w:r>
        <w:rPr>
          <w:rFonts w:asciiTheme="minorEastAsia" w:hAnsiTheme="minorEastAsia" w:eastAsiaTheme="minorEastAsia"/>
          <w:color w:val="000000" w:themeColor="text1"/>
          <w:sz w:val="28"/>
          <w:szCs w:val="28"/>
          <w:highlight w:val="none"/>
          <w14:textFill>
            <w14:solidFill>
              <w14:schemeClr w14:val="tx1"/>
            </w14:solidFill>
          </w14:textFill>
        </w:rPr>
        <w:t>5.3</w:t>
      </w:r>
      <w:r>
        <w:rPr>
          <w:rFonts w:hint="eastAsia" w:asciiTheme="minorEastAsia" w:hAnsiTheme="minorEastAsia" w:eastAsiaTheme="minorEastAsia"/>
          <w:color w:val="000000" w:themeColor="text1"/>
          <w:sz w:val="28"/>
          <w:szCs w:val="28"/>
          <w:highlight w:val="none"/>
          <w14:textFill>
            <w14:solidFill>
              <w14:schemeClr w14:val="tx1"/>
            </w14:solidFill>
          </w14:textFill>
        </w:rPr>
        <w:t>评标委员会按照招标文件中规定的评标方法和标准计算各</w:t>
      </w:r>
      <w:r>
        <w:rPr>
          <w:rFonts w:hint="eastAsia" w:asciiTheme="minorEastAsia" w:hAnsiTheme="minorEastAsia" w:eastAsiaTheme="minorEastAsia"/>
          <w:color w:val="000000" w:themeColor="text1"/>
          <w:sz w:val="28"/>
          <w:szCs w:val="28"/>
          <w:highlight w:val="none"/>
          <w:lang w:eastAsia="zh-CN"/>
          <w14:textFill>
            <w14:solidFill>
              <w14:schemeClr w14:val="tx1"/>
            </w14:solidFill>
          </w14:textFill>
        </w:rPr>
        <w:t>供应商</w:t>
      </w:r>
      <w:r>
        <w:rPr>
          <w:rFonts w:hint="eastAsia" w:asciiTheme="minorEastAsia" w:hAnsiTheme="minorEastAsia" w:eastAsiaTheme="minorEastAsia"/>
          <w:color w:val="000000" w:themeColor="text1"/>
          <w:sz w:val="28"/>
          <w:szCs w:val="28"/>
          <w:highlight w:val="none"/>
          <w14:textFill>
            <w14:solidFill>
              <w14:schemeClr w14:val="tx1"/>
            </w14:solidFill>
          </w14:textFill>
        </w:rPr>
        <w:t>的报价得分。在计算过程中，不得去掉最高报价或者最低报价。</w:t>
      </w:r>
    </w:p>
    <w:p w14:paraId="65AD132D">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asciiTheme="minorEastAsia" w:hAnsiTheme="minorEastAsia" w:eastAsiaTheme="minorEastAsia"/>
          <w:color w:val="000000" w:themeColor="text1"/>
          <w:sz w:val="28"/>
          <w:szCs w:val="28"/>
          <w:highlight w:val="none"/>
          <w14:textFill>
            <w14:solidFill>
              <w14:schemeClr w14:val="tx1"/>
            </w14:solidFill>
          </w14:textFill>
        </w:rPr>
      </w:pPr>
      <w:r>
        <w:rPr>
          <w:rFonts w:asciiTheme="minorEastAsia" w:hAnsiTheme="minorEastAsia" w:eastAsiaTheme="minorEastAsia"/>
          <w:color w:val="000000" w:themeColor="text1"/>
          <w:sz w:val="28"/>
          <w:szCs w:val="28"/>
          <w:highlight w:val="none"/>
          <w14:textFill>
            <w14:solidFill>
              <w14:schemeClr w14:val="tx1"/>
            </w14:solidFill>
          </w14:textFill>
        </w:rPr>
        <w:t>5.4</w:t>
      </w:r>
      <w:r>
        <w:rPr>
          <w:rFonts w:hint="eastAsia" w:asciiTheme="minorEastAsia" w:hAnsiTheme="minorEastAsia" w:eastAsiaTheme="minorEastAsia"/>
          <w:color w:val="000000" w:themeColor="text1"/>
          <w:sz w:val="28"/>
          <w:szCs w:val="28"/>
          <w:highlight w:val="none"/>
          <w14:textFill>
            <w14:solidFill>
              <w14:schemeClr w14:val="tx1"/>
            </w14:solidFill>
          </w14:textFill>
        </w:rPr>
        <w:t>各</w:t>
      </w:r>
      <w:r>
        <w:rPr>
          <w:rFonts w:hint="eastAsia" w:asciiTheme="minorEastAsia" w:hAnsiTheme="minorEastAsia" w:eastAsiaTheme="minorEastAsia"/>
          <w:color w:val="000000" w:themeColor="text1"/>
          <w:sz w:val="28"/>
          <w:szCs w:val="28"/>
          <w:highlight w:val="none"/>
          <w:lang w:eastAsia="zh-CN"/>
          <w14:textFill>
            <w14:solidFill>
              <w14:schemeClr w14:val="tx1"/>
            </w14:solidFill>
          </w14:textFill>
        </w:rPr>
        <w:t>供应商</w:t>
      </w:r>
      <w:r>
        <w:rPr>
          <w:rFonts w:hint="eastAsia" w:asciiTheme="minorEastAsia" w:hAnsiTheme="minorEastAsia" w:eastAsiaTheme="minorEastAsia"/>
          <w:color w:val="000000" w:themeColor="text1"/>
          <w:sz w:val="28"/>
          <w:szCs w:val="28"/>
          <w:highlight w:val="none"/>
          <w14:textFill>
            <w14:solidFill>
              <w14:schemeClr w14:val="tx1"/>
            </w14:solidFill>
          </w14:textFill>
        </w:rPr>
        <w:t>的得分为所有评委的有效评分的算术平均数。</w:t>
      </w:r>
    </w:p>
    <w:p w14:paraId="32BF1E99">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asciiTheme="minorEastAsia" w:hAnsiTheme="minorEastAsia" w:eastAsiaTheme="minorEastAsia"/>
          <w:color w:val="000000" w:themeColor="text1"/>
          <w:sz w:val="28"/>
          <w:szCs w:val="28"/>
          <w:highlight w:val="none"/>
          <w14:textFill>
            <w14:solidFill>
              <w14:schemeClr w14:val="tx1"/>
            </w14:solidFill>
          </w14:textFill>
        </w:rPr>
      </w:pPr>
      <w:r>
        <w:rPr>
          <w:rFonts w:asciiTheme="minorEastAsia" w:hAnsiTheme="minorEastAsia" w:eastAsiaTheme="minorEastAsia"/>
          <w:color w:val="000000" w:themeColor="text1"/>
          <w:sz w:val="28"/>
          <w:szCs w:val="28"/>
          <w:highlight w:val="none"/>
          <w14:textFill>
            <w14:solidFill>
              <w14:schemeClr w14:val="tx1"/>
            </w14:solidFill>
          </w14:textFill>
        </w:rPr>
        <w:t>5.5</w:t>
      </w:r>
      <w:r>
        <w:rPr>
          <w:rFonts w:hint="eastAsia" w:asciiTheme="minorEastAsia" w:hAnsiTheme="minorEastAsia" w:eastAsiaTheme="minorEastAsia"/>
          <w:color w:val="000000" w:themeColor="text1"/>
          <w:sz w:val="28"/>
          <w:szCs w:val="28"/>
          <w:highlight w:val="none"/>
          <w14:textFill>
            <w14:solidFill>
              <w14:schemeClr w14:val="tx1"/>
            </w14:solidFill>
          </w14:textFill>
        </w:rPr>
        <w:t>评标委员会按照招标文件中的规定推荐中标候选人。</w:t>
      </w:r>
    </w:p>
    <w:p w14:paraId="057DFFD7">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asciiTheme="minorEastAsia" w:hAnsiTheme="minorEastAsia" w:eastAsiaTheme="minorEastAsia"/>
          <w:color w:val="000000" w:themeColor="text1"/>
          <w:sz w:val="28"/>
          <w:szCs w:val="28"/>
          <w:highlight w:val="none"/>
          <w14:textFill>
            <w14:solidFill>
              <w14:schemeClr w14:val="tx1"/>
            </w14:solidFill>
          </w14:textFill>
        </w:rPr>
      </w:pPr>
      <w:r>
        <w:rPr>
          <w:rFonts w:asciiTheme="minorEastAsia" w:hAnsiTheme="minorEastAsia" w:eastAsiaTheme="minorEastAsia"/>
          <w:color w:val="000000" w:themeColor="text1"/>
          <w:sz w:val="28"/>
          <w:szCs w:val="28"/>
          <w:highlight w:val="none"/>
          <w14:textFill>
            <w14:solidFill>
              <w14:schemeClr w14:val="tx1"/>
            </w14:solidFill>
          </w14:textFill>
        </w:rPr>
        <w:t>5.6</w:t>
      </w:r>
      <w:r>
        <w:rPr>
          <w:rFonts w:hint="eastAsia" w:asciiTheme="minorEastAsia" w:hAnsiTheme="minorEastAsia" w:eastAsiaTheme="minorEastAsia"/>
          <w:color w:val="000000" w:themeColor="text1"/>
          <w:sz w:val="28"/>
          <w:szCs w:val="28"/>
          <w:highlight w:val="none"/>
          <w14:textFill>
            <w14:solidFill>
              <w14:schemeClr w14:val="tx1"/>
            </w14:solidFill>
          </w14:textFill>
        </w:rPr>
        <w:t>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应当在评标报告上签署不同意见及理由，否则视为同意评标报告。</w:t>
      </w:r>
    </w:p>
    <w:p w14:paraId="71C8C3A5">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asciiTheme="minorEastAsia" w:hAnsiTheme="minorEastAsia" w:eastAsia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b/>
          <w:color w:val="000000" w:themeColor="text1"/>
          <w:sz w:val="28"/>
          <w:szCs w:val="28"/>
          <w:highlight w:val="none"/>
          <w14:textFill>
            <w14:solidFill>
              <w14:schemeClr w14:val="tx1"/>
            </w14:solidFill>
          </w14:textFill>
        </w:rPr>
        <w:t>6.评审复核</w:t>
      </w:r>
    </w:p>
    <w:p w14:paraId="712ADA6D">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6.1评标报告签署前，评标委员会要对评审结果进行复核，复核意见要体现在评标报告中。</w:t>
      </w:r>
    </w:p>
    <w:p w14:paraId="7F09BCCC">
      <w:pPr>
        <w:keepNext w:val="0"/>
        <w:keepLines w:val="0"/>
        <w:pageBreakBefore w:val="0"/>
        <w:widowControl/>
        <w:kinsoku/>
        <w:wordWrap/>
        <w:overflowPunct/>
        <w:topLinePunct w:val="0"/>
        <w:autoSpaceDE/>
        <w:autoSpaceDN/>
        <w:bidi w:val="0"/>
        <w:adjustRightInd w:val="0"/>
        <w:snapToGrid w:val="0"/>
        <w:spacing w:line="560" w:lineRule="exact"/>
        <w:ind w:firstLine="560" w:firstLineChars="200"/>
        <w:jc w:val="left"/>
        <w:textAlignment w:val="baseline"/>
        <w:rPr>
          <w:rFonts w:asciiTheme="minorEastAsia" w:hAnsiTheme="minorEastAsia" w:eastAsiaTheme="minorEastAsia"/>
          <w:color w:val="000000" w:themeColor="text1"/>
          <w:sz w:val="28"/>
          <w:szCs w:val="28"/>
          <w:highlight w:val="none"/>
          <w14:textFill>
            <w14:solidFill>
              <w14:schemeClr w14:val="tx1"/>
            </w14:solidFill>
          </w14:textFill>
        </w:rPr>
      </w:pPr>
      <w:r>
        <w:rPr>
          <w:rFonts w:asciiTheme="minorEastAsia" w:hAnsiTheme="minorEastAsia" w:eastAsiaTheme="minorEastAsia"/>
          <w:color w:val="000000" w:themeColor="text1"/>
          <w:sz w:val="28"/>
          <w:szCs w:val="28"/>
          <w:highlight w:val="none"/>
          <w14:textFill>
            <w14:solidFill>
              <w14:schemeClr w14:val="tx1"/>
            </w14:solidFill>
          </w14:textFill>
        </w:rPr>
        <w:t>6.2</w:t>
      </w:r>
      <w:r>
        <w:rPr>
          <w:rFonts w:hint="eastAsia" w:asciiTheme="minorEastAsia" w:hAnsiTheme="minorEastAsia" w:eastAsiaTheme="minorEastAsia"/>
          <w:color w:val="000000" w:themeColor="text1"/>
          <w:sz w:val="28"/>
          <w:szCs w:val="28"/>
          <w:highlight w:val="none"/>
          <w14:textFill>
            <w14:solidFill>
              <w14:schemeClr w14:val="tx1"/>
            </w14:solidFill>
          </w14:textFill>
        </w:rPr>
        <w:t>评标结果汇总完成后，除下列情形外，任何人不得修改评标结果：</w:t>
      </w:r>
    </w:p>
    <w:p w14:paraId="3884D760">
      <w:pPr>
        <w:keepNext w:val="0"/>
        <w:keepLines w:val="0"/>
        <w:pageBreakBefore w:val="0"/>
        <w:widowControl/>
        <w:kinsoku/>
        <w:wordWrap/>
        <w:overflowPunct/>
        <w:topLinePunct w:val="0"/>
        <w:autoSpaceDE/>
        <w:autoSpaceDN/>
        <w:bidi w:val="0"/>
        <w:adjustRightInd w:val="0"/>
        <w:snapToGrid w:val="0"/>
        <w:spacing w:line="560" w:lineRule="exact"/>
        <w:jc w:val="left"/>
        <w:textAlignment w:val="baseline"/>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　　（一）分值汇总计算错误的；</w:t>
      </w:r>
    </w:p>
    <w:p w14:paraId="5505A866">
      <w:pPr>
        <w:keepNext w:val="0"/>
        <w:keepLines w:val="0"/>
        <w:pageBreakBefore w:val="0"/>
        <w:widowControl/>
        <w:kinsoku/>
        <w:wordWrap/>
        <w:overflowPunct/>
        <w:topLinePunct w:val="0"/>
        <w:autoSpaceDE/>
        <w:autoSpaceDN/>
        <w:bidi w:val="0"/>
        <w:adjustRightInd w:val="0"/>
        <w:snapToGrid w:val="0"/>
        <w:spacing w:line="560" w:lineRule="exact"/>
        <w:jc w:val="left"/>
        <w:textAlignment w:val="baseline"/>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　　（二）分项评分超出评分标准范围的；</w:t>
      </w:r>
    </w:p>
    <w:p w14:paraId="2133D0BB">
      <w:pPr>
        <w:keepNext w:val="0"/>
        <w:keepLines w:val="0"/>
        <w:pageBreakBefore w:val="0"/>
        <w:widowControl/>
        <w:kinsoku/>
        <w:wordWrap/>
        <w:overflowPunct/>
        <w:topLinePunct w:val="0"/>
        <w:autoSpaceDE/>
        <w:autoSpaceDN/>
        <w:bidi w:val="0"/>
        <w:adjustRightInd w:val="0"/>
        <w:snapToGrid w:val="0"/>
        <w:spacing w:line="560" w:lineRule="exact"/>
        <w:jc w:val="left"/>
        <w:textAlignment w:val="baseline"/>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　　（三）评标委员会成员对客观评审因素评分不一致的；</w:t>
      </w:r>
    </w:p>
    <w:p w14:paraId="246719E5">
      <w:pPr>
        <w:keepNext w:val="0"/>
        <w:keepLines w:val="0"/>
        <w:pageBreakBefore w:val="0"/>
        <w:widowControl/>
        <w:kinsoku/>
        <w:wordWrap/>
        <w:overflowPunct/>
        <w:topLinePunct w:val="0"/>
        <w:autoSpaceDE/>
        <w:autoSpaceDN/>
        <w:bidi w:val="0"/>
        <w:adjustRightInd w:val="0"/>
        <w:snapToGrid w:val="0"/>
        <w:spacing w:line="560" w:lineRule="exact"/>
        <w:jc w:val="left"/>
        <w:textAlignment w:val="baseline"/>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　　（四）经评标委员会认定评分畸高、畸低的。</w:t>
      </w:r>
    </w:p>
    <w:p w14:paraId="43104E05">
      <w:pPr>
        <w:keepNext w:val="0"/>
        <w:keepLines w:val="0"/>
        <w:pageBreakBefore w:val="0"/>
        <w:kinsoku/>
        <w:wordWrap/>
        <w:overflowPunct/>
        <w:topLinePunct w:val="0"/>
        <w:autoSpaceDE/>
        <w:autoSpaceDN/>
        <w:bidi w:val="0"/>
        <w:adjustRightInd w:val="0"/>
        <w:snapToGrid w:val="0"/>
        <w:spacing w:line="560" w:lineRule="exact"/>
        <w:ind w:firstLine="560" w:firstLineChars="200"/>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26137D27">
      <w:pPr>
        <w:pageBreakBefore w:val="0"/>
        <w:widowControl/>
        <w:wordWrap/>
        <w:topLinePunct w:val="0"/>
        <w:bidi w:val="0"/>
        <w:spacing w:line="560" w:lineRule="exact"/>
        <w:jc w:val="left"/>
        <w:rPr>
          <w:rFonts w:asciiTheme="minorEastAsia" w:hAnsiTheme="minorEastAsia" w:eastAsiaTheme="minorEastAsia"/>
          <w:color w:val="000000" w:themeColor="text1"/>
          <w:sz w:val="28"/>
          <w:szCs w:val="28"/>
          <w:highlight w:val="none"/>
          <w14:textFill>
            <w14:solidFill>
              <w14:schemeClr w14:val="tx1"/>
            </w14:solidFill>
          </w14:textFill>
        </w:rPr>
      </w:pPr>
      <w:r>
        <w:rPr>
          <w:rFonts w:asciiTheme="minorEastAsia" w:hAnsiTheme="minorEastAsia" w:eastAsiaTheme="minorEastAsia"/>
          <w:color w:val="000000" w:themeColor="text1"/>
          <w:sz w:val="28"/>
          <w:szCs w:val="28"/>
          <w:highlight w:val="none"/>
          <w14:textFill>
            <w14:solidFill>
              <w14:schemeClr w14:val="tx1"/>
            </w14:solidFill>
          </w14:textFill>
        </w:rPr>
        <w:br w:type="page"/>
      </w:r>
    </w:p>
    <w:tbl>
      <w:tblPr>
        <w:tblStyle w:val="34"/>
        <w:tblpPr w:leftFromText="180" w:rightFromText="180" w:vertAnchor="text" w:horzAnchor="margin" w:tblpY="272"/>
        <w:tblOverlap w:val="never"/>
        <w:tblW w:w="9532" w:type="dxa"/>
        <w:tblInd w:w="0"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75" w:type="dxa"/>
          <w:left w:w="75" w:type="dxa"/>
          <w:bottom w:w="75" w:type="dxa"/>
          <w:right w:w="75" w:type="dxa"/>
        </w:tblCellMar>
      </w:tblPr>
      <w:tblGrid>
        <w:gridCol w:w="430"/>
        <w:gridCol w:w="495"/>
        <w:gridCol w:w="1852"/>
        <w:gridCol w:w="5020"/>
        <w:gridCol w:w="879"/>
        <w:gridCol w:w="856"/>
      </w:tblGrid>
      <w:tr w14:paraId="5EFB7565">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23" w:hRule="atLeast"/>
        </w:trPr>
        <w:tc>
          <w:tcPr>
            <w:tcW w:w="925" w:type="dxa"/>
            <w:gridSpan w:val="2"/>
            <w:vMerge w:val="restart"/>
            <w:tcBorders>
              <w:top w:val="outset" w:color="auto" w:sz="6" w:space="0"/>
              <w:left w:val="outset" w:color="auto" w:sz="6" w:space="0"/>
              <w:bottom w:val="outset" w:color="auto" w:sz="6" w:space="0"/>
              <w:right w:val="outset" w:color="auto" w:sz="6" w:space="0"/>
            </w:tcBorders>
            <w:vAlign w:val="center"/>
          </w:tcPr>
          <w:p w14:paraId="72C6C1ED">
            <w:pPr>
              <w:pStyle w:val="145"/>
              <w:pageBreakBefore w:val="0"/>
              <w:wordWrap/>
              <w:topLinePunct w:val="0"/>
              <w:bidi w:val="0"/>
              <w:spacing w:line="560" w:lineRule="exact"/>
              <w:jc w:val="center"/>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评分因素</w:t>
            </w:r>
          </w:p>
        </w:tc>
        <w:tc>
          <w:tcPr>
            <w:tcW w:w="1852" w:type="dxa"/>
            <w:vMerge w:val="restart"/>
            <w:tcBorders>
              <w:top w:val="outset" w:color="auto" w:sz="6" w:space="0"/>
              <w:left w:val="outset" w:color="auto" w:sz="6" w:space="0"/>
              <w:bottom w:val="outset" w:color="auto" w:sz="6" w:space="0"/>
              <w:right w:val="outset" w:color="auto" w:sz="6" w:space="0"/>
            </w:tcBorders>
            <w:vAlign w:val="center"/>
          </w:tcPr>
          <w:p w14:paraId="05850ADC">
            <w:pPr>
              <w:pStyle w:val="145"/>
              <w:pageBreakBefore w:val="0"/>
              <w:wordWrap/>
              <w:topLinePunct w:val="0"/>
              <w:bidi w:val="0"/>
              <w:spacing w:line="560" w:lineRule="exact"/>
              <w:jc w:val="center"/>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评分点</w:t>
            </w:r>
          </w:p>
        </w:tc>
        <w:tc>
          <w:tcPr>
            <w:tcW w:w="5020" w:type="dxa"/>
            <w:vMerge w:val="restart"/>
            <w:tcBorders>
              <w:top w:val="outset" w:color="auto" w:sz="6" w:space="0"/>
              <w:left w:val="outset" w:color="auto" w:sz="6" w:space="0"/>
              <w:bottom w:val="outset" w:color="auto" w:sz="6" w:space="0"/>
              <w:right w:val="outset" w:color="auto" w:sz="6" w:space="0"/>
            </w:tcBorders>
            <w:vAlign w:val="center"/>
          </w:tcPr>
          <w:p w14:paraId="3270623D">
            <w:pPr>
              <w:pStyle w:val="145"/>
              <w:pageBreakBefore w:val="0"/>
              <w:wordWrap/>
              <w:topLinePunct w:val="0"/>
              <w:bidi w:val="0"/>
              <w:spacing w:line="560" w:lineRule="exact"/>
              <w:jc w:val="center"/>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评分标准</w:t>
            </w:r>
          </w:p>
        </w:tc>
        <w:tc>
          <w:tcPr>
            <w:tcW w:w="1735" w:type="dxa"/>
            <w:gridSpan w:val="2"/>
            <w:tcBorders>
              <w:top w:val="outset" w:color="auto" w:sz="6" w:space="0"/>
              <w:left w:val="outset" w:color="auto" w:sz="6" w:space="0"/>
              <w:bottom w:val="outset" w:color="auto" w:sz="6" w:space="0"/>
              <w:right w:val="outset" w:color="auto" w:sz="6" w:space="0"/>
            </w:tcBorders>
            <w:vAlign w:val="center"/>
          </w:tcPr>
          <w:p w14:paraId="5FE9C435">
            <w:pPr>
              <w:pStyle w:val="145"/>
              <w:pageBreakBefore w:val="0"/>
              <w:wordWrap/>
              <w:topLinePunct w:val="0"/>
              <w:bidi w:val="0"/>
              <w:spacing w:line="560" w:lineRule="exact"/>
              <w:jc w:val="center"/>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评审意见</w:t>
            </w:r>
          </w:p>
        </w:tc>
      </w:tr>
      <w:tr w14:paraId="514B4A76">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23" w:hRule="atLeast"/>
        </w:trPr>
        <w:tc>
          <w:tcPr>
            <w:tcW w:w="925" w:type="dxa"/>
            <w:gridSpan w:val="2"/>
            <w:vMerge w:val="continue"/>
            <w:tcBorders>
              <w:top w:val="outset" w:color="auto" w:sz="6" w:space="0"/>
              <w:left w:val="outset" w:color="auto" w:sz="6" w:space="0"/>
              <w:bottom w:val="outset" w:color="auto" w:sz="6" w:space="0"/>
              <w:right w:val="outset" w:color="auto" w:sz="6" w:space="0"/>
            </w:tcBorders>
            <w:vAlign w:val="center"/>
          </w:tcPr>
          <w:p w14:paraId="247927FE">
            <w:pPr>
              <w:pStyle w:val="145"/>
              <w:pageBreakBefore w:val="0"/>
              <w:wordWrap/>
              <w:topLinePunct w:val="0"/>
              <w:bidi w:val="0"/>
              <w:spacing w:line="560" w:lineRule="exact"/>
              <w:jc w:val="center"/>
              <w:rPr>
                <w:rFonts w:cs="宋体" w:asciiTheme="minorEastAsia" w:hAnsiTheme="minorEastAsia" w:eastAsiaTheme="minorEastAsia"/>
                <w:color w:val="000000" w:themeColor="text1"/>
                <w:sz w:val="28"/>
                <w:szCs w:val="28"/>
                <w:highlight w:val="none"/>
                <w14:textFill>
                  <w14:solidFill>
                    <w14:schemeClr w14:val="tx1"/>
                  </w14:solidFill>
                </w14:textFill>
              </w:rPr>
            </w:pPr>
          </w:p>
        </w:tc>
        <w:tc>
          <w:tcPr>
            <w:tcW w:w="1852" w:type="dxa"/>
            <w:vMerge w:val="continue"/>
            <w:tcBorders>
              <w:top w:val="outset" w:color="auto" w:sz="6" w:space="0"/>
              <w:left w:val="outset" w:color="auto" w:sz="6" w:space="0"/>
              <w:bottom w:val="outset" w:color="auto" w:sz="6" w:space="0"/>
              <w:right w:val="outset" w:color="auto" w:sz="6" w:space="0"/>
            </w:tcBorders>
            <w:vAlign w:val="center"/>
          </w:tcPr>
          <w:p w14:paraId="29CC5E54">
            <w:pPr>
              <w:pStyle w:val="145"/>
              <w:pageBreakBefore w:val="0"/>
              <w:wordWrap/>
              <w:topLinePunct w:val="0"/>
              <w:bidi w:val="0"/>
              <w:spacing w:line="560" w:lineRule="exact"/>
              <w:jc w:val="center"/>
              <w:rPr>
                <w:rFonts w:cs="宋体" w:asciiTheme="minorEastAsia" w:hAnsiTheme="minorEastAsia" w:eastAsiaTheme="minorEastAsia"/>
                <w:color w:val="000000" w:themeColor="text1"/>
                <w:sz w:val="28"/>
                <w:szCs w:val="28"/>
                <w:highlight w:val="none"/>
                <w14:textFill>
                  <w14:solidFill>
                    <w14:schemeClr w14:val="tx1"/>
                  </w14:solidFill>
                </w14:textFill>
              </w:rPr>
            </w:pPr>
          </w:p>
        </w:tc>
        <w:tc>
          <w:tcPr>
            <w:tcW w:w="5020" w:type="dxa"/>
            <w:vMerge w:val="continue"/>
            <w:tcBorders>
              <w:top w:val="outset" w:color="auto" w:sz="6" w:space="0"/>
              <w:left w:val="outset" w:color="auto" w:sz="6" w:space="0"/>
              <w:bottom w:val="outset" w:color="auto" w:sz="6" w:space="0"/>
              <w:right w:val="outset" w:color="auto" w:sz="6" w:space="0"/>
            </w:tcBorders>
            <w:vAlign w:val="center"/>
          </w:tcPr>
          <w:p w14:paraId="334070F9">
            <w:pPr>
              <w:pStyle w:val="145"/>
              <w:pageBreakBefore w:val="0"/>
              <w:wordWrap/>
              <w:topLinePunct w:val="0"/>
              <w:bidi w:val="0"/>
              <w:spacing w:line="560" w:lineRule="exact"/>
              <w:jc w:val="center"/>
              <w:rPr>
                <w:rFonts w:cs="宋体" w:asciiTheme="minorEastAsia" w:hAnsiTheme="minorEastAsia" w:eastAsiaTheme="minorEastAsia"/>
                <w:color w:val="000000" w:themeColor="text1"/>
                <w:sz w:val="28"/>
                <w:szCs w:val="28"/>
                <w:highlight w:val="none"/>
                <w14:textFill>
                  <w14:solidFill>
                    <w14:schemeClr w14:val="tx1"/>
                  </w14:solidFill>
                </w14:textFill>
              </w:rPr>
            </w:pPr>
          </w:p>
        </w:tc>
        <w:tc>
          <w:tcPr>
            <w:tcW w:w="879" w:type="dxa"/>
            <w:tcBorders>
              <w:top w:val="outset" w:color="auto" w:sz="6" w:space="0"/>
              <w:left w:val="outset" w:color="auto" w:sz="6" w:space="0"/>
              <w:bottom w:val="outset" w:color="auto" w:sz="6" w:space="0"/>
              <w:right w:val="outset" w:color="auto" w:sz="6" w:space="0"/>
            </w:tcBorders>
            <w:vAlign w:val="center"/>
          </w:tcPr>
          <w:p w14:paraId="507493F1">
            <w:pPr>
              <w:pStyle w:val="145"/>
              <w:pageBreakBefore w:val="0"/>
              <w:wordWrap/>
              <w:topLinePunct w:val="0"/>
              <w:bidi w:val="0"/>
              <w:spacing w:line="560" w:lineRule="exact"/>
              <w:jc w:val="center"/>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是</w:t>
            </w:r>
          </w:p>
        </w:tc>
        <w:tc>
          <w:tcPr>
            <w:tcW w:w="856" w:type="dxa"/>
            <w:tcBorders>
              <w:top w:val="outset" w:color="auto" w:sz="6" w:space="0"/>
              <w:left w:val="outset" w:color="auto" w:sz="6" w:space="0"/>
              <w:bottom w:val="outset" w:color="auto" w:sz="6" w:space="0"/>
              <w:right w:val="outset" w:color="auto" w:sz="6" w:space="0"/>
            </w:tcBorders>
            <w:vAlign w:val="center"/>
          </w:tcPr>
          <w:p w14:paraId="1A388F23">
            <w:pPr>
              <w:pStyle w:val="145"/>
              <w:pageBreakBefore w:val="0"/>
              <w:wordWrap/>
              <w:topLinePunct w:val="0"/>
              <w:bidi w:val="0"/>
              <w:spacing w:line="560" w:lineRule="exact"/>
              <w:jc w:val="center"/>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否</w:t>
            </w:r>
          </w:p>
        </w:tc>
      </w:tr>
      <w:tr w14:paraId="01473D05">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23" w:hRule="atLeast"/>
        </w:trPr>
        <w:tc>
          <w:tcPr>
            <w:tcW w:w="430" w:type="dxa"/>
            <w:vMerge w:val="restart"/>
            <w:tcBorders>
              <w:top w:val="outset" w:color="auto" w:sz="6" w:space="0"/>
              <w:left w:val="outset" w:color="auto" w:sz="6" w:space="0"/>
              <w:right w:val="outset" w:color="auto" w:sz="6" w:space="0"/>
            </w:tcBorders>
            <w:vAlign w:val="center"/>
          </w:tcPr>
          <w:p w14:paraId="5A68DC07">
            <w:pPr>
              <w:pStyle w:val="145"/>
              <w:pageBreakBefore w:val="0"/>
              <w:wordWrap/>
              <w:topLinePunct w:val="0"/>
              <w:bidi w:val="0"/>
              <w:spacing w:line="560" w:lineRule="exact"/>
              <w:jc w:val="center"/>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初步评审</w:t>
            </w:r>
          </w:p>
        </w:tc>
        <w:tc>
          <w:tcPr>
            <w:tcW w:w="495" w:type="dxa"/>
            <w:vMerge w:val="restart"/>
            <w:tcBorders>
              <w:top w:val="outset" w:color="auto" w:sz="6" w:space="0"/>
              <w:left w:val="outset" w:color="auto" w:sz="6" w:space="0"/>
              <w:right w:val="outset" w:color="auto" w:sz="6" w:space="0"/>
            </w:tcBorders>
            <w:vAlign w:val="center"/>
          </w:tcPr>
          <w:p w14:paraId="3FC16A13">
            <w:pPr>
              <w:pStyle w:val="145"/>
              <w:pageBreakBefore w:val="0"/>
              <w:wordWrap/>
              <w:topLinePunct w:val="0"/>
              <w:bidi w:val="0"/>
              <w:spacing w:line="560" w:lineRule="exact"/>
              <w:jc w:val="center"/>
              <w:rPr>
                <w:rFonts w:hint="eastAsia" w:cs="宋体" w:asciiTheme="minorEastAsia" w:hAnsiTheme="minorEastAsia" w:eastAsiaTheme="minorEastAsia"/>
                <w:color w:val="000000" w:themeColor="text1"/>
                <w:sz w:val="28"/>
                <w:szCs w:val="28"/>
                <w:highlight w:val="none"/>
                <w:lang w:eastAsia="zh-CN"/>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资格</w:t>
            </w:r>
            <w:r>
              <w:rPr>
                <w:rFonts w:hint="eastAsia" w:cs="宋体" w:asciiTheme="minorEastAsia" w:hAnsiTheme="minorEastAsia" w:eastAsiaTheme="minorEastAsia"/>
                <w:color w:val="000000" w:themeColor="text1"/>
                <w:sz w:val="28"/>
                <w:szCs w:val="28"/>
                <w:highlight w:val="none"/>
                <w:lang w:eastAsia="zh-CN"/>
                <w14:textFill>
                  <w14:solidFill>
                    <w14:schemeClr w14:val="tx1"/>
                  </w14:solidFill>
                </w14:textFill>
              </w:rPr>
              <w:t>性</w:t>
            </w:r>
          </w:p>
          <w:p w14:paraId="6F7F13D5">
            <w:pPr>
              <w:pStyle w:val="145"/>
              <w:pageBreakBefore w:val="0"/>
              <w:wordWrap/>
              <w:topLinePunct w:val="0"/>
              <w:bidi w:val="0"/>
              <w:spacing w:line="560" w:lineRule="exact"/>
              <w:jc w:val="center"/>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检查</w:t>
            </w:r>
          </w:p>
        </w:tc>
        <w:tc>
          <w:tcPr>
            <w:tcW w:w="1852" w:type="dxa"/>
            <w:tcBorders>
              <w:top w:val="outset" w:color="auto" w:sz="6" w:space="0"/>
              <w:left w:val="outset" w:color="auto" w:sz="6" w:space="0"/>
              <w:bottom w:val="outset" w:color="auto" w:sz="6" w:space="0"/>
              <w:right w:val="outset" w:color="auto" w:sz="6" w:space="0"/>
            </w:tcBorders>
            <w:vAlign w:val="center"/>
          </w:tcPr>
          <w:p w14:paraId="755FD588">
            <w:pPr>
              <w:pStyle w:val="145"/>
              <w:pageBreakBefore w:val="0"/>
              <w:wordWrap/>
              <w:topLinePunct w:val="0"/>
              <w:bidi w:val="0"/>
              <w:adjustRightInd w:val="0"/>
              <w:snapToGrid w:val="0"/>
              <w:spacing w:line="560" w:lineRule="exact"/>
              <w:jc w:val="center"/>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营业执照</w:t>
            </w:r>
          </w:p>
        </w:tc>
        <w:tc>
          <w:tcPr>
            <w:tcW w:w="5020" w:type="dxa"/>
            <w:tcBorders>
              <w:top w:val="outset" w:color="auto" w:sz="6" w:space="0"/>
              <w:left w:val="outset" w:color="auto" w:sz="6" w:space="0"/>
              <w:bottom w:val="outset" w:color="auto" w:sz="6" w:space="0"/>
              <w:right w:val="outset" w:color="auto" w:sz="6" w:space="0"/>
            </w:tcBorders>
            <w:vAlign w:val="center"/>
          </w:tcPr>
          <w:p w14:paraId="0EED9D54">
            <w:pPr>
              <w:pStyle w:val="145"/>
              <w:pageBreakBefore w:val="0"/>
              <w:wordWrap/>
              <w:topLinePunct w:val="0"/>
              <w:bidi w:val="0"/>
              <w:adjustRightInd w:val="0"/>
              <w:snapToGrid w:val="0"/>
              <w:spacing w:line="560" w:lineRule="exact"/>
              <w:jc w:val="both"/>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lang w:eastAsia="zh-CN"/>
                <w14:textFill>
                  <w14:solidFill>
                    <w14:schemeClr w14:val="tx1"/>
                  </w14:solidFill>
                </w14:textFill>
              </w:rPr>
              <w:t>提供</w:t>
            </w:r>
            <w:r>
              <w:rPr>
                <w:rFonts w:hint="eastAsia" w:ascii="宋体" w:hAnsi="宋体" w:eastAsia="宋体" w:cs="宋体"/>
                <w:color w:val="000000" w:themeColor="text1"/>
                <w:sz w:val="28"/>
                <w:szCs w:val="28"/>
                <w:highlight w:val="none"/>
                <w14:textFill>
                  <w14:solidFill>
                    <w14:schemeClr w14:val="tx1"/>
                  </w14:solidFill>
                </w14:textFill>
              </w:rPr>
              <w:t>具有合法有效的营业执照</w:t>
            </w:r>
          </w:p>
        </w:tc>
        <w:tc>
          <w:tcPr>
            <w:tcW w:w="879" w:type="dxa"/>
            <w:tcBorders>
              <w:top w:val="outset" w:color="auto" w:sz="6" w:space="0"/>
              <w:left w:val="outset" w:color="auto" w:sz="6" w:space="0"/>
              <w:bottom w:val="outset" w:color="auto" w:sz="6" w:space="0"/>
              <w:right w:val="outset" w:color="auto" w:sz="6" w:space="0"/>
            </w:tcBorders>
            <w:vAlign w:val="center"/>
          </w:tcPr>
          <w:p w14:paraId="1AF2012C">
            <w:pPr>
              <w:pStyle w:val="145"/>
              <w:pageBreakBefore w:val="0"/>
              <w:wordWrap/>
              <w:topLinePunct w:val="0"/>
              <w:bidi w:val="0"/>
              <w:spacing w:line="560" w:lineRule="exact"/>
              <w:rPr>
                <w:rFonts w:cs="宋体" w:asciiTheme="minorEastAsia" w:hAnsiTheme="minorEastAsia" w:eastAsiaTheme="minorEastAsia"/>
                <w:color w:val="000000" w:themeColor="text1"/>
                <w:sz w:val="28"/>
                <w:szCs w:val="28"/>
                <w:highlight w:val="none"/>
                <w14:textFill>
                  <w14:solidFill>
                    <w14:schemeClr w14:val="tx1"/>
                  </w14:solidFill>
                </w14:textFill>
              </w:rPr>
            </w:pPr>
          </w:p>
        </w:tc>
        <w:tc>
          <w:tcPr>
            <w:tcW w:w="856" w:type="dxa"/>
            <w:tcBorders>
              <w:top w:val="outset" w:color="auto" w:sz="6" w:space="0"/>
              <w:left w:val="outset" w:color="auto" w:sz="6" w:space="0"/>
              <w:bottom w:val="outset" w:color="auto" w:sz="6" w:space="0"/>
              <w:right w:val="outset" w:color="auto" w:sz="6" w:space="0"/>
            </w:tcBorders>
            <w:vAlign w:val="center"/>
          </w:tcPr>
          <w:p w14:paraId="2784A527">
            <w:pPr>
              <w:pStyle w:val="145"/>
              <w:pageBreakBefore w:val="0"/>
              <w:wordWrap/>
              <w:topLinePunct w:val="0"/>
              <w:bidi w:val="0"/>
              <w:spacing w:line="560" w:lineRule="exact"/>
              <w:rPr>
                <w:rFonts w:cs="宋体" w:asciiTheme="minorEastAsia" w:hAnsiTheme="minorEastAsia" w:eastAsiaTheme="minorEastAsia"/>
                <w:color w:val="000000" w:themeColor="text1"/>
                <w:sz w:val="28"/>
                <w:szCs w:val="28"/>
                <w:highlight w:val="none"/>
                <w14:textFill>
                  <w14:solidFill>
                    <w14:schemeClr w14:val="tx1"/>
                  </w14:solidFill>
                </w14:textFill>
              </w:rPr>
            </w:pPr>
          </w:p>
        </w:tc>
      </w:tr>
      <w:tr w14:paraId="45EB777B">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23" w:hRule="atLeast"/>
        </w:trPr>
        <w:tc>
          <w:tcPr>
            <w:tcW w:w="430" w:type="dxa"/>
            <w:vMerge w:val="continue"/>
            <w:tcBorders>
              <w:left w:val="outset" w:color="auto" w:sz="6" w:space="0"/>
              <w:right w:val="outset" w:color="auto" w:sz="6" w:space="0"/>
            </w:tcBorders>
            <w:vAlign w:val="center"/>
          </w:tcPr>
          <w:p w14:paraId="38FD1156">
            <w:pPr>
              <w:pStyle w:val="145"/>
              <w:pageBreakBefore w:val="0"/>
              <w:wordWrap/>
              <w:topLinePunct w:val="0"/>
              <w:bidi w:val="0"/>
              <w:spacing w:line="560" w:lineRule="exact"/>
              <w:rPr>
                <w:rFonts w:cs="宋体" w:asciiTheme="minorEastAsia" w:hAnsiTheme="minorEastAsia" w:eastAsiaTheme="minorEastAsia"/>
                <w:color w:val="000000" w:themeColor="text1"/>
                <w:sz w:val="28"/>
                <w:szCs w:val="28"/>
                <w:highlight w:val="none"/>
                <w14:textFill>
                  <w14:solidFill>
                    <w14:schemeClr w14:val="tx1"/>
                  </w14:solidFill>
                </w14:textFill>
              </w:rPr>
            </w:pPr>
          </w:p>
        </w:tc>
        <w:tc>
          <w:tcPr>
            <w:tcW w:w="495" w:type="dxa"/>
            <w:vMerge w:val="continue"/>
            <w:tcBorders>
              <w:left w:val="outset" w:color="auto" w:sz="6" w:space="0"/>
              <w:right w:val="outset" w:color="auto" w:sz="6" w:space="0"/>
            </w:tcBorders>
            <w:vAlign w:val="center"/>
          </w:tcPr>
          <w:p w14:paraId="0192CA0C">
            <w:pPr>
              <w:pStyle w:val="145"/>
              <w:pageBreakBefore w:val="0"/>
              <w:wordWrap/>
              <w:topLinePunct w:val="0"/>
              <w:bidi w:val="0"/>
              <w:spacing w:line="560" w:lineRule="exact"/>
              <w:rPr>
                <w:rFonts w:cs="宋体" w:asciiTheme="minorEastAsia" w:hAnsiTheme="minorEastAsia" w:eastAsiaTheme="minorEastAsia"/>
                <w:color w:val="000000" w:themeColor="text1"/>
                <w:sz w:val="28"/>
                <w:szCs w:val="28"/>
                <w:highlight w:val="none"/>
                <w14:textFill>
                  <w14:solidFill>
                    <w14:schemeClr w14:val="tx1"/>
                  </w14:solidFill>
                </w14:textFill>
              </w:rPr>
            </w:pPr>
          </w:p>
        </w:tc>
        <w:tc>
          <w:tcPr>
            <w:tcW w:w="1852" w:type="dxa"/>
            <w:tcBorders>
              <w:top w:val="outset" w:color="auto" w:sz="6" w:space="0"/>
              <w:left w:val="outset" w:color="auto" w:sz="6" w:space="0"/>
              <w:bottom w:val="outset" w:color="auto" w:sz="6" w:space="0"/>
              <w:right w:val="outset" w:color="auto" w:sz="6" w:space="0"/>
            </w:tcBorders>
            <w:vAlign w:val="center"/>
          </w:tcPr>
          <w:p w14:paraId="601B58B8">
            <w:pPr>
              <w:pStyle w:val="145"/>
              <w:pageBreakBefore w:val="0"/>
              <w:wordWrap/>
              <w:topLinePunct w:val="0"/>
              <w:bidi w:val="0"/>
              <w:adjustRightInd w:val="0"/>
              <w:snapToGrid w:val="0"/>
              <w:spacing w:line="560" w:lineRule="exact"/>
              <w:jc w:val="center"/>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ascii="宋体" w:hAnsi="宋体" w:eastAsia="宋体" w:cs="宋体"/>
                <w:color w:val="000000" w:themeColor="text1"/>
                <w:sz w:val="28"/>
                <w:szCs w:val="28"/>
                <w:highlight w:val="none"/>
                <w14:textFill>
                  <w14:solidFill>
                    <w14:schemeClr w14:val="tx1"/>
                  </w14:solidFill>
                </w14:textFill>
              </w:rPr>
              <w:t>财务</w:t>
            </w:r>
          </w:p>
        </w:tc>
        <w:tc>
          <w:tcPr>
            <w:tcW w:w="5020" w:type="dxa"/>
            <w:tcBorders>
              <w:top w:val="outset" w:color="auto" w:sz="6" w:space="0"/>
              <w:left w:val="outset" w:color="auto" w:sz="6" w:space="0"/>
              <w:bottom w:val="outset" w:color="auto" w:sz="6" w:space="0"/>
              <w:right w:val="outset" w:color="auto" w:sz="6" w:space="0"/>
            </w:tcBorders>
            <w:vAlign w:val="center"/>
          </w:tcPr>
          <w:p w14:paraId="5B5CBBD8">
            <w:pPr>
              <w:pStyle w:val="145"/>
              <w:pageBreakBefore w:val="0"/>
              <w:wordWrap/>
              <w:topLinePunct w:val="0"/>
              <w:bidi w:val="0"/>
              <w:adjustRightInd w:val="0"/>
              <w:snapToGrid w:val="0"/>
              <w:spacing w:line="560" w:lineRule="exact"/>
              <w:jc w:val="both"/>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提供</w:t>
            </w:r>
            <w:r>
              <w:rPr>
                <w:rFonts w:hint="eastAsia" w:ascii="宋体" w:hAnsi="宋体" w:eastAsia="宋体"/>
                <w:color w:val="000000" w:themeColor="text1"/>
                <w:sz w:val="28"/>
                <w:szCs w:val="28"/>
                <w:highlight w:val="none"/>
                <w14:textFill>
                  <w14:solidFill>
                    <w14:schemeClr w14:val="tx1"/>
                  </w14:solidFill>
                </w14:textFill>
              </w:rPr>
              <w:t>202</w:t>
            </w:r>
            <w:r>
              <w:rPr>
                <w:rFonts w:hint="eastAsia" w:ascii="宋体" w:hAnsi="宋体" w:eastAsia="宋体"/>
                <w:color w:val="000000" w:themeColor="text1"/>
                <w:sz w:val="28"/>
                <w:szCs w:val="28"/>
                <w:highlight w:val="none"/>
                <w:lang w:val="en-US" w:eastAsia="zh-CN"/>
                <w14:textFill>
                  <w14:solidFill>
                    <w14:schemeClr w14:val="tx1"/>
                  </w14:solidFill>
                </w14:textFill>
              </w:rPr>
              <w:t>2</w:t>
            </w:r>
            <w:r>
              <w:rPr>
                <w:rFonts w:hint="eastAsia" w:ascii="宋体" w:hAnsi="宋体" w:eastAsia="宋体"/>
                <w:color w:val="000000" w:themeColor="text1"/>
                <w:sz w:val="28"/>
                <w:szCs w:val="28"/>
                <w:highlight w:val="none"/>
                <w14:textFill>
                  <w14:solidFill>
                    <w14:schemeClr w14:val="tx1"/>
                  </w14:solidFill>
                </w14:textFill>
              </w:rPr>
              <w:t>-202</w:t>
            </w:r>
            <w:r>
              <w:rPr>
                <w:rFonts w:hint="eastAsia" w:ascii="宋体" w:hAnsi="宋体" w:eastAsia="宋体"/>
                <w:color w:val="000000" w:themeColor="text1"/>
                <w:sz w:val="28"/>
                <w:szCs w:val="28"/>
                <w:highlight w:val="none"/>
                <w:lang w:val="en-US" w:eastAsia="zh-CN"/>
                <w14:textFill>
                  <w14:solidFill>
                    <w14:schemeClr w14:val="tx1"/>
                  </w14:solidFill>
                </w14:textFill>
              </w:rPr>
              <w:t>4</w:t>
            </w:r>
            <w:r>
              <w:rPr>
                <w:rFonts w:hint="eastAsia" w:ascii="宋体" w:hAnsi="宋体" w:eastAsia="宋体" w:cs="宋体"/>
                <w:color w:val="000000" w:themeColor="text1"/>
                <w:sz w:val="28"/>
                <w:szCs w:val="28"/>
                <w:highlight w:val="none"/>
                <w14:textFill>
                  <w14:solidFill>
                    <w14:schemeClr w14:val="tx1"/>
                  </w14:solidFill>
                </w14:textFill>
              </w:rPr>
              <w:t>年任意一年的</w:t>
            </w:r>
            <w:r>
              <w:rPr>
                <w:rFonts w:hint="eastAsia" w:ascii="宋体" w:hAnsi="宋体" w:eastAsia="宋体" w:cs="宋体"/>
                <w:color w:val="000000" w:themeColor="text1"/>
                <w:sz w:val="28"/>
                <w:szCs w:val="28"/>
                <w:highlight w:val="none"/>
                <w:lang w:val="en-US" w:eastAsia="zh-CN"/>
                <w14:textFill>
                  <w14:solidFill>
                    <w14:schemeClr w14:val="tx1"/>
                  </w14:solidFill>
                </w14:textFill>
              </w:rPr>
              <w:t>完整</w:t>
            </w:r>
            <w:r>
              <w:rPr>
                <w:rFonts w:hint="eastAsia" w:ascii="宋体" w:hAnsi="宋体" w:eastAsia="宋体" w:cs="宋体"/>
                <w:color w:val="000000" w:themeColor="text1"/>
                <w:sz w:val="28"/>
                <w:szCs w:val="28"/>
                <w:highlight w:val="none"/>
                <w14:textFill>
                  <w14:solidFill>
                    <w14:schemeClr w14:val="tx1"/>
                  </w14:solidFill>
                </w14:textFill>
              </w:rPr>
              <w:t>审计报告或财务报表（应包括资产负债表、现金流量表、利润表），本年度新成立或成立不满一年的无法提供财务审计报告或财务状况报告表的无需提供。</w:t>
            </w:r>
          </w:p>
        </w:tc>
        <w:tc>
          <w:tcPr>
            <w:tcW w:w="879" w:type="dxa"/>
            <w:tcBorders>
              <w:top w:val="outset" w:color="auto" w:sz="6" w:space="0"/>
              <w:left w:val="outset" w:color="auto" w:sz="6" w:space="0"/>
              <w:bottom w:val="outset" w:color="auto" w:sz="6" w:space="0"/>
              <w:right w:val="outset" w:color="auto" w:sz="6" w:space="0"/>
            </w:tcBorders>
            <w:vAlign w:val="center"/>
          </w:tcPr>
          <w:p w14:paraId="348E8EB6">
            <w:pPr>
              <w:pStyle w:val="145"/>
              <w:pageBreakBefore w:val="0"/>
              <w:wordWrap/>
              <w:topLinePunct w:val="0"/>
              <w:bidi w:val="0"/>
              <w:spacing w:line="560" w:lineRule="exact"/>
              <w:rPr>
                <w:rFonts w:cs="宋体" w:asciiTheme="minorEastAsia" w:hAnsiTheme="minorEastAsia" w:eastAsiaTheme="minorEastAsia"/>
                <w:color w:val="000000" w:themeColor="text1"/>
                <w:sz w:val="28"/>
                <w:szCs w:val="28"/>
                <w:highlight w:val="none"/>
                <w14:textFill>
                  <w14:solidFill>
                    <w14:schemeClr w14:val="tx1"/>
                  </w14:solidFill>
                </w14:textFill>
              </w:rPr>
            </w:pPr>
          </w:p>
        </w:tc>
        <w:tc>
          <w:tcPr>
            <w:tcW w:w="856" w:type="dxa"/>
            <w:tcBorders>
              <w:top w:val="outset" w:color="auto" w:sz="6" w:space="0"/>
              <w:left w:val="outset" w:color="auto" w:sz="6" w:space="0"/>
              <w:bottom w:val="outset" w:color="auto" w:sz="6" w:space="0"/>
              <w:right w:val="outset" w:color="auto" w:sz="6" w:space="0"/>
            </w:tcBorders>
            <w:vAlign w:val="center"/>
          </w:tcPr>
          <w:p w14:paraId="72A953C4">
            <w:pPr>
              <w:pStyle w:val="145"/>
              <w:pageBreakBefore w:val="0"/>
              <w:wordWrap/>
              <w:topLinePunct w:val="0"/>
              <w:bidi w:val="0"/>
              <w:spacing w:line="560" w:lineRule="exact"/>
              <w:rPr>
                <w:rFonts w:cs="宋体" w:asciiTheme="minorEastAsia" w:hAnsiTheme="minorEastAsia" w:eastAsiaTheme="minorEastAsia"/>
                <w:color w:val="000000" w:themeColor="text1"/>
                <w:sz w:val="28"/>
                <w:szCs w:val="28"/>
                <w:highlight w:val="none"/>
                <w14:textFill>
                  <w14:solidFill>
                    <w14:schemeClr w14:val="tx1"/>
                  </w14:solidFill>
                </w14:textFill>
              </w:rPr>
            </w:pPr>
          </w:p>
        </w:tc>
      </w:tr>
      <w:tr w14:paraId="6EFCE298">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23" w:hRule="atLeast"/>
        </w:trPr>
        <w:tc>
          <w:tcPr>
            <w:tcW w:w="430" w:type="dxa"/>
            <w:vMerge w:val="continue"/>
            <w:tcBorders>
              <w:left w:val="outset" w:color="auto" w:sz="6" w:space="0"/>
              <w:right w:val="outset" w:color="auto" w:sz="6" w:space="0"/>
            </w:tcBorders>
            <w:vAlign w:val="center"/>
          </w:tcPr>
          <w:p w14:paraId="32469170">
            <w:pPr>
              <w:pStyle w:val="145"/>
              <w:pageBreakBefore w:val="0"/>
              <w:wordWrap/>
              <w:topLinePunct w:val="0"/>
              <w:bidi w:val="0"/>
              <w:spacing w:line="560" w:lineRule="exact"/>
              <w:rPr>
                <w:rFonts w:cs="宋体" w:asciiTheme="minorEastAsia" w:hAnsiTheme="minorEastAsia" w:eastAsiaTheme="minorEastAsia"/>
                <w:color w:val="000000" w:themeColor="text1"/>
                <w:sz w:val="28"/>
                <w:szCs w:val="28"/>
                <w:highlight w:val="none"/>
                <w14:textFill>
                  <w14:solidFill>
                    <w14:schemeClr w14:val="tx1"/>
                  </w14:solidFill>
                </w14:textFill>
              </w:rPr>
            </w:pPr>
          </w:p>
        </w:tc>
        <w:tc>
          <w:tcPr>
            <w:tcW w:w="495" w:type="dxa"/>
            <w:vMerge w:val="continue"/>
            <w:tcBorders>
              <w:left w:val="outset" w:color="auto" w:sz="6" w:space="0"/>
              <w:right w:val="outset" w:color="auto" w:sz="6" w:space="0"/>
            </w:tcBorders>
            <w:vAlign w:val="center"/>
          </w:tcPr>
          <w:p w14:paraId="68436C7B">
            <w:pPr>
              <w:pStyle w:val="145"/>
              <w:pageBreakBefore w:val="0"/>
              <w:wordWrap/>
              <w:topLinePunct w:val="0"/>
              <w:bidi w:val="0"/>
              <w:spacing w:line="560" w:lineRule="exact"/>
              <w:rPr>
                <w:rFonts w:cs="宋体" w:asciiTheme="minorEastAsia" w:hAnsiTheme="minorEastAsia" w:eastAsiaTheme="minorEastAsia"/>
                <w:color w:val="000000" w:themeColor="text1"/>
                <w:sz w:val="28"/>
                <w:szCs w:val="28"/>
                <w:highlight w:val="none"/>
                <w14:textFill>
                  <w14:solidFill>
                    <w14:schemeClr w14:val="tx1"/>
                  </w14:solidFill>
                </w14:textFill>
              </w:rPr>
            </w:pPr>
          </w:p>
        </w:tc>
        <w:tc>
          <w:tcPr>
            <w:tcW w:w="1852" w:type="dxa"/>
            <w:tcBorders>
              <w:top w:val="outset" w:color="auto" w:sz="6" w:space="0"/>
              <w:left w:val="outset" w:color="auto" w:sz="6" w:space="0"/>
              <w:bottom w:val="outset" w:color="auto" w:sz="6" w:space="0"/>
              <w:right w:val="outset" w:color="auto" w:sz="6" w:space="0"/>
            </w:tcBorders>
            <w:vAlign w:val="center"/>
          </w:tcPr>
          <w:p w14:paraId="7250C3E0">
            <w:pPr>
              <w:pStyle w:val="145"/>
              <w:pageBreakBefore w:val="0"/>
              <w:wordWrap/>
              <w:topLinePunct w:val="0"/>
              <w:bidi w:val="0"/>
              <w:adjustRightInd w:val="0"/>
              <w:snapToGrid w:val="0"/>
              <w:spacing w:line="560" w:lineRule="exact"/>
              <w:jc w:val="center"/>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履行合同所必需的设备和专业技术能力</w:t>
            </w:r>
          </w:p>
        </w:tc>
        <w:tc>
          <w:tcPr>
            <w:tcW w:w="5020" w:type="dxa"/>
            <w:tcBorders>
              <w:top w:val="outset" w:color="auto" w:sz="6" w:space="0"/>
              <w:left w:val="outset" w:color="auto" w:sz="6" w:space="0"/>
              <w:bottom w:val="outset" w:color="auto" w:sz="6" w:space="0"/>
              <w:right w:val="outset" w:color="auto" w:sz="6" w:space="0"/>
            </w:tcBorders>
            <w:vAlign w:val="center"/>
          </w:tcPr>
          <w:p w14:paraId="091A3FEF">
            <w:pPr>
              <w:pStyle w:val="145"/>
              <w:pageBreakBefore w:val="0"/>
              <w:wordWrap/>
              <w:topLinePunct w:val="0"/>
              <w:bidi w:val="0"/>
              <w:adjustRightInd w:val="0"/>
              <w:snapToGrid w:val="0"/>
              <w:spacing w:line="560" w:lineRule="exact"/>
              <w:jc w:val="both"/>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根据项目需求提供履行合同所必需的设备和专业技术能力的加盖单位公章的书面承诺函</w:t>
            </w:r>
          </w:p>
        </w:tc>
        <w:tc>
          <w:tcPr>
            <w:tcW w:w="879" w:type="dxa"/>
            <w:tcBorders>
              <w:top w:val="outset" w:color="auto" w:sz="6" w:space="0"/>
              <w:left w:val="outset" w:color="auto" w:sz="6" w:space="0"/>
              <w:bottom w:val="outset" w:color="auto" w:sz="6" w:space="0"/>
              <w:right w:val="outset" w:color="auto" w:sz="6" w:space="0"/>
            </w:tcBorders>
            <w:vAlign w:val="center"/>
          </w:tcPr>
          <w:p w14:paraId="2DCCF2F5">
            <w:pPr>
              <w:pStyle w:val="145"/>
              <w:pageBreakBefore w:val="0"/>
              <w:wordWrap/>
              <w:topLinePunct w:val="0"/>
              <w:bidi w:val="0"/>
              <w:spacing w:line="560" w:lineRule="exact"/>
              <w:rPr>
                <w:rFonts w:cs="宋体" w:asciiTheme="minorEastAsia" w:hAnsiTheme="minorEastAsia" w:eastAsiaTheme="minorEastAsia"/>
                <w:color w:val="000000" w:themeColor="text1"/>
                <w:sz w:val="28"/>
                <w:szCs w:val="28"/>
                <w:highlight w:val="none"/>
                <w14:textFill>
                  <w14:solidFill>
                    <w14:schemeClr w14:val="tx1"/>
                  </w14:solidFill>
                </w14:textFill>
              </w:rPr>
            </w:pPr>
          </w:p>
        </w:tc>
        <w:tc>
          <w:tcPr>
            <w:tcW w:w="856" w:type="dxa"/>
            <w:tcBorders>
              <w:top w:val="outset" w:color="auto" w:sz="6" w:space="0"/>
              <w:left w:val="outset" w:color="auto" w:sz="6" w:space="0"/>
              <w:bottom w:val="outset" w:color="auto" w:sz="6" w:space="0"/>
              <w:right w:val="outset" w:color="auto" w:sz="6" w:space="0"/>
            </w:tcBorders>
            <w:vAlign w:val="center"/>
          </w:tcPr>
          <w:p w14:paraId="34E5C7F7">
            <w:pPr>
              <w:pStyle w:val="145"/>
              <w:pageBreakBefore w:val="0"/>
              <w:wordWrap/>
              <w:topLinePunct w:val="0"/>
              <w:bidi w:val="0"/>
              <w:spacing w:line="560" w:lineRule="exact"/>
              <w:rPr>
                <w:rFonts w:cs="宋体" w:asciiTheme="minorEastAsia" w:hAnsiTheme="minorEastAsia" w:eastAsiaTheme="minorEastAsia"/>
                <w:color w:val="000000" w:themeColor="text1"/>
                <w:sz w:val="28"/>
                <w:szCs w:val="28"/>
                <w:highlight w:val="none"/>
                <w14:textFill>
                  <w14:solidFill>
                    <w14:schemeClr w14:val="tx1"/>
                  </w14:solidFill>
                </w14:textFill>
              </w:rPr>
            </w:pPr>
          </w:p>
        </w:tc>
      </w:tr>
      <w:tr w14:paraId="56A768B6">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23" w:hRule="atLeast"/>
        </w:trPr>
        <w:tc>
          <w:tcPr>
            <w:tcW w:w="430" w:type="dxa"/>
            <w:vMerge w:val="continue"/>
            <w:tcBorders>
              <w:left w:val="outset" w:color="auto" w:sz="6" w:space="0"/>
              <w:right w:val="outset" w:color="auto" w:sz="6" w:space="0"/>
            </w:tcBorders>
            <w:vAlign w:val="center"/>
          </w:tcPr>
          <w:p w14:paraId="74795470">
            <w:pPr>
              <w:pStyle w:val="145"/>
              <w:pageBreakBefore w:val="0"/>
              <w:wordWrap/>
              <w:topLinePunct w:val="0"/>
              <w:bidi w:val="0"/>
              <w:spacing w:line="560" w:lineRule="exact"/>
              <w:rPr>
                <w:rFonts w:cs="宋体" w:asciiTheme="minorEastAsia" w:hAnsiTheme="minorEastAsia" w:eastAsiaTheme="minorEastAsia"/>
                <w:color w:val="000000" w:themeColor="text1"/>
                <w:sz w:val="28"/>
                <w:szCs w:val="28"/>
                <w:highlight w:val="none"/>
                <w14:textFill>
                  <w14:solidFill>
                    <w14:schemeClr w14:val="tx1"/>
                  </w14:solidFill>
                </w14:textFill>
              </w:rPr>
            </w:pPr>
          </w:p>
        </w:tc>
        <w:tc>
          <w:tcPr>
            <w:tcW w:w="495" w:type="dxa"/>
            <w:vMerge w:val="continue"/>
            <w:tcBorders>
              <w:left w:val="outset" w:color="auto" w:sz="6" w:space="0"/>
              <w:right w:val="outset" w:color="auto" w:sz="6" w:space="0"/>
            </w:tcBorders>
            <w:vAlign w:val="center"/>
          </w:tcPr>
          <w:p w14:paraId="2B5C85DB">
            <w:pPr>
              <w:pStyle w:val="145"/>
              <w:pageBreakBefore w:val="0"/>
              <w:wordWrap/>
              <w:topLinePunct w:val="0"/>
              <w:bidi w:val="0"/>
              <w:spacing w:line="560" w:lineRule="exact"/>
              <w:rPr>
                <w:rFonts w:cs="宋体" w:asciiTheme="minorEastAsia" w:hAnsiTheme="minorEastAsia" w:eastAsiaTheme="minorEastAsia"/>
                <w:color w:val="000000" w:themeColor="text1"/>
                <w:sz w:val="28"/>
                <w:szCs w:val="28"/>
                <w:highlight w:val="none"/>
                <w14:textFill>
                  <w14:solidFill>
                    <w14:schemeClr w14:val="tx1"/>
                  </w14:solidFill>
                </w14:textFill>
              </w:rPr>
            </w:pPr>
          </w:p>
        </w:tc>
        <w:tc>
          <w:tcPr>
            <w:tcW w:w="1852" w:type="dxa"/>
            <w:tcBorders>
              <w:top w:val="outset" w:color="auto" w:sz="6" w:space="0"/>
              <w:left w:val="outset" w:color="auto" w:sz="6" w:space="0"/>
              <w:bottom w:val="outset" w:color="auto" w:sz="6" w:space="0"/>
              <w:right w:val="outset" w:color="auto" w:sz="6" w:space="0"/>
            </w:tcBorders>
            <w:vAlign w:val="center"/>
          </w:tcPr>
          <w:p w14:paraId="7B1F3E35">
            <w:pPr>
              <w:pStyle w:val="145"/>
              <w:pageBreakBefore w:val="0"/>
              <w:wordWrap/>
              <w:topLinePunct w:val="0"/>
              <w:bidi w:val="0"/>
              <w:adjustRightInd w:val="0"/>
              <w:snapToGrid w:val="0"/>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依法缴纳税收和社会保障</w:t>
            </w:r>
          </w:p>
          <w:p w14:paraId="13B67CA9">
            <w:pPr>
              <w:pStyle w:val="145"/>
              <w:pageBreakBefore w:val="0"/>
              <w:wordWrap/>
              <w:topLinePunct w:val="0"/>
              <w:bidi w:val="0"/>
              <w:adjustRightInd w:val="0"/>
              <w:snapToGrid w:val="0"/>
              <w:spacing w:line="560" w:lineRule="exact"/>
              <w:jc w:val="center"/>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资金</w:t>
            </w:r>
          </w:p>
        </w:tc>
        <w:tc>
          <w:tcPr>
            <w:tcW w:w="5020" w:type="dxa"/>
            <w:tcBorders>
              <w:top w:val="outset" w:color="auto" w:sz="6" w:space="0"/>
              <w:left w:val="outset" w:color="auto" w:sz="6" w:space="0"/>
              <w:bottom w:val="outset" w:color="auto" w:sz="6" w:space="0"/>
              <w:right w:val="outset" w:color="auto" w:sz="6" w:space="0"/>
            </w:tcBorders>
            <w:vAlign w:val="center"/>
          </w:tcPr>
          <w:p w14:paraId="348AB872">
            <w:pPr>
              <w:pStyle w:val="145"/>
              <w:pageBreakBefore w:val="0"/>
              <w:wordWrap/>
              <w:topLinePunct w:val="0"/>
              <w:bidi w:val="0"/>
              <w:adjustRightInd w:val="0"/>
              <w:snapToGrid w:val="0"/>
              <w:spacing w:line="560" w:lineRule="exact"/>
              <w:jc w:val="both"/>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提供参加本次政府采购活动前近半年内任意一个月的依法缴纳税收和社会保障资金的相关材料</w:t>
            </w:r>
          </w:p>
        </w:tc>
        <w:tc>
          <w:tcPr>
            <w:tcW w:w="879" w:type="dxa"/>
            <w:tcBorders>
              <w:top w:val="outset" w:color="auto" w:sz="6" w:space="0"/>
              <w:left w:val="outset" w:color="auto" w:sz="6" w:space="0"/>
              <w:bottom w:val="outset" w:color="auto" w:sz="6" w:space="0"/>
              <w:right w:val="outset" w:color="auto" w:sz="6" w:space="0"/>
            </w:tcBorders>
            <w:vAlign w:val="center"/>
          </w:tcPr>
          <w:p w14:paraId="259AA065">
            <w:pPr>
              <w:pStyle w:val="145"/>
              <w:pageBreakBefore w:val="0"/>
              <w:wordWrap/>
              <w:topLinePunct w:val="0"/>
              <w:bidi w:val="0"/>
              <w:spacing w:line="560" w:lineRule="exact"/>
              <w:rPr>
                <w:rFonts w:cs="宋体" w:asciiTheme="minorEastAsia" w:hAnsiTheme="minorEastAsia" w:eastAsiaTheme="minorEastAsia"/>
                <w:color w:val="000000" w:themeColor="text1"/>
                <w:sz w:val="28"/>
                <w:szCs w:val="28"/>
                <w:highlight w:val="none"/>
                <w14:textFill>
                  <w14:solidFill>
                    <w14:schemeClr w14:val="tx1"/>
                  </w14:solidFill>
                </w14:textFill>
              </w:rPr>
            </w:pPr>
          </w:p>
        </w:tc>
        <w:tc>
          <w:tcPr>
            <w:tcW w:w="856" w:type="dxa"/>
            <w:tcBorders>
              <w:top w:val="outset" w:color="auto" w:sz="6" w:space="0"/>
              <w:left w:val="outset" w:color="auto" w:sz="6" w:space="0"/>
              <w:bottom w:val="outset" w:color="auto" w:sz="6" w:space="0"/>
              <w:right w:val="outset" w:color="auto" w:sz="6" w:space="0"/>
            </w:tcBorders>
            <w:vAlign w:val="center"/>
          </w:tcPr>
          <w:p w14:paraId="53259CD3">
            <w:pPr>
              <w:pStyle w:val="145"/>
              <w:pageBreakBefore w:val="0"/>
              <w:wordWrap/>
              <w:topLinePunct w:val="0"/>
              <w:bidi w:val="0"/>
              <w:spacing w:line="560" w:lineRule="exact"/>
              <w:rPr>
                <w:rFonts w:cs="宋体" w:asciiTheme="minorEastAsia" w:hAnsiTheme="minorEastAsia" w:eastAsiaTheme="minorEastAsia"/>
                <w:color w:val="000000" w:themeColor="text1"/>
                <w:sz w:val="28"/>
                <w:szCs w:val="28"/>
                <w:highlight w:val="none"/>
                <w14:textFill>
                  <w14:solidFill>
                    <w14:schemeClr w14:val="tx1"/>
                  </w14:solidFill>
                </w14:textFill>
              </w:rPr>
            </w:pPr>
          </w:p>
        </w:tc>
      </w:tr>
      <w:tr w14:paraId="2183AAF3">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23" w:hRule="atLeast"/>
        </w:trPr>
        <w:tc>
          <w:tcPr>
            <w:tcW w:w="430" w:type="dxa"/>
            <w:vMerge w:val="continue"/>
            <w:tcBorders>
              <w:left w:val="outset" w:color="auto" w:sz="6" w:space="0"/>
              <w:right w:val="outset" w:color="auto" w:sz="6" w:space="0"/>
            </w:tcBorders>
            <w:vAlign w:val="center"/>
          </w:tcPr>
          <w:p w14:paraId="3FD23D17">
            <w:pPr>
              <w:pStyle w:val="145"/>
              <w:pageBreakBefore w:val="0"/>
              <w:wordWrap/>
              <w:topLinePunct w:val="0"/>
              <w:bidi w:val="0"/>
              <w:spacing w:line="560" w:lineRule="exact"/>
              <w:rPr>
                <w:rFonts w:cs="宋体" w:asciiTheme="minorEastAsia" w:hAnsiTheme="minorEastAsia" w:eastAsiaTheme="minorEastAsia"/>
                <w:color w:val="000000" w:themeColor="text1"/>
                <w:sz w:val="28"/>
                <w:szCs w:val="28"/>
                <w:highlight w:val="none"/>
                <w14:textFill>
                  <w14:solidFill>
                    <w14:schemeClr w14:val="tx1"/>
                  </w14:solidFill>
                </w14:textFill>
              </w:rPr>
            </w:pPr>
          </w:p>
        </w:tc>
        <w:tc>
          <w:tcPr>
            <w:tcW w:w="495" w:type="dxa"/>
            <w:vMerge w:val="continue"/>
            <w:tcBorders>
              <w:left w:val="outset" w:color="auto" w:sz="6" w:space="0"/>
              <w:right w:val="outset" w:color="auto" w:sz="6" w:space="0"/>
            </w:tcBorders>
            <w:vAlign w:val="center"/>
          </w:tcPr>
          <w:p w14:paraId="71E8837B">
            <w:pPr>
              <w:pStyle w:val="145"/>
              <w:pageBreakBefore w:val="0"/>
              <w:wordWrap/>
              <w:topLinePunct w:val="0"/>
              <w:bidi w:val="0"/>
              <w:spacing w:line="560" w:lineRule="exact"/>
              <w:rPr>
                <w:rFonts w:cs="宋体" w:asciiTheme="minorEastAsia" w:hAnsiTheme="minorEastAsia" w:eastAsiaTheme="minorEastAsia"/>
                <w:color w:val="000000" w:themeColor="text1"/>
                <w:sz w:val="28"/>
                <w:szCs w:val="28"/>
                <w:highlight w:val="none"/>
                <w14:textFill>
                  <w14:solidFill>
                    <w14:schemeClr w14:val="tx1"/>
                  </w14:solidFill>
                </w14:textFill>
              </w:rPr>
            </w:pPr>
          </w:p>
        </w:tc>
        <w:tc>
          <w:tcPr>
            <w:tcW w:w="1852" w:type="dxa"/>
            <w:tcBorders>
              <w:top w:val="outset" w:color="auto" w:sz="6" w:space="0"/>
              <w:left w:val="outset" w:color="auto" w:sz="6" w:space="0"/>
              <w:bottom w:val="outset" w:color="auto" w:sz="6" w:space="0"/>
              <w:right w:val="outset" w:color="auto" w:sz="6" w:space="0"/>
            </w:tcBorders>
            <w:vAlign w:val="center"/>
          </w:tcPr>
          <w:p w14:paraId="0E36869C">
            <w:pPr>
              <w:pStyle w:val="145"/>
              <w:pageBreakBefore w:val="0"/>
              <w:wordWrap/>
              <w:topLinePunct w:val="0"/>
              <w:bidi w:val="0"/>
              <w:adjustRightInd w:val="0"/>
              <w:snapToGrid w:val="0"/>
              <w:spacing w:line="560" w:lineRule="exact"/>
              <w:jc w:val="center"/>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前3年内在经营活动中没有重大违法记录</w:t>
            </w:r>
          </w:p>
        </w:tc>
        <w:tc>
          <w:tcPr>
            <w:tcW w:w="5020" w:type="dxa"/>
            <w:tcBorders>
              <w:top w:val="outset" w:color="auto" w:sz="6" w:space="0"/>
              <w:left w:val="outset" w:color="auto" w:sz="6" w:space="0"/>
              <w:bottom w:val="outset" w:color="auto" w:sz="6" w:space="0"/>
              <w:right w:val="outset" w:color="auto" w:sz="6" w:space="0"/>
            </w:tcBorders>
            <w:vAlign w:val="center"/>
          </w:tcPr>
          <w:p w14:paraId="04E63443">
            <w:pPr>
              <w:pStyle w:val="145"/>
              <w:pageBreakBefore w:val="0"/>
              <w:wordWrap/>
              <w:topLinePunct w:val="0"/>
              <w:bidi w:val="0"/>
              <w:adjustRightInd w:val="0"/>
              <w:snapToGrid w:val="0"/>
              <w:spacing w:line="560" w:lineRule="exact"/>
              <w:jc w:val="both"/>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提供参加本次政府采购活动前3年内在经营活动中没有重大违法记录的书面承诺函并加盖单位公章</w:t>
            </w:r>
          </w:p>
        </w:tc>
        <w:tc>
          <w:tcPr>
            <w:tcW w:w="879" w:type="dxa"/>
            <w:tcBorders>
              <w:top w:val="outset" w:color="auto" w:sz="6" w:space="0"/>
              <w:left w:val="outset" w:color="auto" w:sz="6" w:space="0"/>
              <w:bottom w:val="outset" w:color="auto" w:sz="6" w:space="0"/>
              <w:right w:val="outset" w:color="auto" w:sz="6" w:space="0"/>
            </w:tcBorders>
            <w:vAlign w:val="center"/>
          </w:tcPr>
          <w:p w14:paraId="5D1B39FD">
            <w:pPr>
              <w:pStyle w:val="145"/>
              <w:pageBreakBefore w:val="0"/>
              <w:wordWrap/>
              <w:topLinePunct w:val="0"/>
              <w:bidi w:val="0"/>
              <w:spacing w:line="560" w:lineRule="exact"/>
              <w:rPr>
                <w:rFonts w:cs="宋体" w:asciiTheme="minorEastAsia" w:hAnsiTheme="minorEastAsia" w:eastAsiaTheme="minorEastAsia"/>
                <w:color w:val="000000" w:themeColor="text1"/>
                <w:sz w:val="28"/>
                <w:szCs w:val="28"/>
                <w:highlight w:val="none"/>
                <w14:textFill>
                  <w14:solidFill>
                    <w14:schemeClr w14:val="tx1"/>
                  </w14:solidFill>
                </w14:textFill>
              </w:rPr>
            </w:pPr>
          </w:p>
        </w:tc>
        <w:tc>
          <w:tcPr>
            <w:tcW w:w="856" w:type="dxa"/>
            <w:tcBorders>
              <w:top w:val="outset" w:color="auto" w:sz="6" w:space="0"/>
              <w:left w:val="outset" w:color="auto" w:sz="6" w:space="0"/>
              <w:bottom w:val="outset" w:color="auto" w:sz="6" w:space="0"/>
              <w:right w:val="outset" w:color="auto" w:sz="6" w:space="0"/>
            </w:tcBorders>
            <w:vAlign w:val="center"/>
          </w:tcPr>
          <w:p w14:paraId="1B8E8F49">
            <w:pPr>
              <w:pStyle w:val="145"/>
              <w:pageBreakBefore w:val="0"/>
              <w:wordWrap/>
              <w:topLinePunct w:val="0"/>
              <w:bidi w:val="0"/>
              <w:spacing w:line="560" w:lineRule="exact"/>
              <w:rPr>
                <w:rFonts w:cs="宋体" w:asciiTheme="minorEastAsia" w:hAnsiTheme="minorEastAsia" w:eastAsiaTheme="minorEastAsia"/>
                <w:color w:val="000000" w:themeColor="text1"/>
                <w:sz w:val="28"/>
                <w:szCs w:val="28"/>
                <w:highlight w:val="none"/>
                <w14:textFill>
                  <w14:solidFill>
                    <w14:schemeClr w14:val="tx1"/>
                  </w14:solidFill>
                </w14:textFill>
              </w:rPr>
            </w:pPr>
          </w:p>
        </w:tc>
      </w:tr>
      <w:tr w14:paraId="6D6C5D1E">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1680" w:hRule="atLeast"/>
        </w:trPr>
        <w:tc>
          <w:tcPr>
            <w:tcW w:w="430" w:type="dxa"/>
            <w:vMerge w:val="continue"/>
            <w:tcBorders>
              <w:left w:val="outset" w:color="auto" w:sz="6" w:space="0"/>
              <w:right w:val="outset" w:color="auto" w:sz="6" w:space="0"/>
            </w:tcBorders>
            <w:vAlign w:val="center"/>
          </w:tcPr>
          <w:p w14:paraId="09240618">
            <w:pPr>
              <w:pStyle w:val="145"/>
              <w:pageBreakBefore w:val="0"/>
              <w:wordWrap/>
              <w:topLinePunct w:val="0"/>
              <w:bidi w:val="0"/>
              <w:spacing w:line="560" w:lineRule="exact"/>
              <w:rPr>
                <w:rFonts w:cs="宋体" w:asciiTheme="minorEastAsia" w:hAnsiTheme="minorEastAsia" w:eastAsiaTheme="minorEastAsia"/>
                <w:color w:val="000000" w:themeColor="text1"/>
                <w:sz w:val="28"/>
                <w:szCs w:val="28"/>
                <w:highlight w:val="none"/>
                <w14:textFill>
                  <w14:solidFill>
                    <w14:schemeClr w14:val="tx1"/>
                  </w14:solidFill>
                </w14:textFill>
              </w:rPr>
            </w:pPr>
          </w:p>
        </w:tc>
        <w:tc>
          <w:tcPr>
            <w:tcW w:w="495" w:type="dxa"/>
            <w:vMerge w:val="continue"/>
            <w:tcBorders>
              <w:left w:val="outset" w:color="auto" w:sz="6" w:space="0"/>
              <w:right w:val="outset" w:color="auto" w:sz="6" w:space="0"/>
            </w:tcBorders>
            <w:vAlign w:val="center"/>
          </w:tcPr>
          <w:p w14:paraId="3F786BD9">
            <w:pPr>
              <w:pStyle w:val="145"/>
              <w:pageBreakBefore w:val="0"/>
              <w:wordWrap/>
              <w:topLinePunct w:val="0"/>
              <w:bidi w:val="0"/>
              <w:spacing w:line="560" w:lineRule="exact"/>
              <w:rPr>
                <w:rFonts w:cs="宋体" w:asciiTheme="minorEastAsia" w:hAnsiTheme="minorEastAsia" w:eastAsiaTheme="minorEastAsia"/>
                <w:color w:val="000000" w:themeColor="text1"/>
                <w:sz w:val="28"/>
                <w:szCs w:val="28"/>
                <w:highlight w:val="none"/>
                <w14:textFill>
                  <w14:solidFill>
                    <w14:schemeClr w14:val="tx1"/>
                  </w14:solidFill>
                </w14:textFill>
              </w:rPr>
            </w:pPr>
          </w:p>
        </w:tc>
        <w:tc>
          <w:tcPr>
            <w:tcW w:w="1852" w:type="dxa"/>
            <w:tcBorders>
              <w:top w:val="outset" w:color="auto" w:sz="6" w:space="0"/>
              <w:left w:val="outset" w:color="auto" w:sz="6" w:space="0"/>
              <w:bottom w:val="outset" w:color="auto" w:sz="6" w:space="0"/>
              <w:right w:val="outset" w:color="auto" w:sz="6" w:space="0"/>
            </w:tcBorders>
            <w:vAlign w:val="center"/>
          </w:tcPr>
          <w:p w14:paraId="0FFD2A7E">
            <w:pPr>
              <w:pStyle w:val="145"/>
              <w:pageBreakBefore w:val="0"/>
              <w:kinsoku/>
              <w:wordWrap/>
              <w:topLinePunct w:val="0"/>
              <w:bidi w:val="0"/>
              <w:spacing w:line="560" w:lineRule="exact"/>
              <w:jc w:val="center"/>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法律、行政法规规定的其他条件</w:t>
            </w:r>
          </w:p>
        </w:tc>
        <w:tc>
          <w:tcPr>
            <w:tcW w:w="5020" w:type="dxa"/>
            <w:tcBorders>
              <w:top w:val="outset" w:color="auto" w:sz="6" w:space="0"/>
              <w:left w:val="outset" w:color="auto" w:sz="6" w:space="0"/>
              <w:bottom w:val="outset" w:color="auto" w:sz="6" w:space="0"/>
              <w:right w:val="outset" w:color="auto" w:sz="6" w:space="0"/>
            </w:tcBorders>
            <w:vAlign w:val="center"/>
          </w:tcPr>
          <w:p w14:paraId="333D9266">
            <w:pPr>
              <w:pStyle w:val="145"/>
              <w:pageBreakBefore w:val="0"/>
              <w:kinsoku/>
              <w:wordWrap/>
              <w:topLinePunct w:val="0"/>
              <w:bidi w:val="0"/>
              <w:spacing w:line="560" w:lineRule="exact"/>
              <w:jc w:val="both"/>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提供信用信誉承诺函</w:t>
            </w:r>
          </w:p>
        </w:tc>
        <w:tc>
          <w:tcPr>
            <w:tcW w:w="879" w:type="dxa"/>
            <w:tcBorders>
              <w:top w:val="outset" w:color="auto" w:sz="6" w:space="0"/>
              <w:left w:val="outset" w:color="auto" w:sz="6" w:space="0"/>
              <w:bottom w:val="outset" w:color="auto" w:sz="6" w:space="0"/>
              <w:right w:val="outset" w:color="auto" w:sz="6" w:space="0"/>
            </w:tcBorders>
            <w:vAlign w:val="center"/>
          </w:tcPr>
          <w:p w14:paraId="69207C71">
            <w:pPr>
              <w:pStyle w:val="145"/>
              <w:pageBreakBefore w:val="0"/>
              <w:wordWrap/>
              <w:topLinePunct w:val="0"/>
              <w:bidi w:val="0"/>
              <w:spacing w:line="560" w:lineRule="exact"/>
              <w:rPr>
                <w:rFonts w:cs="宋体" w:asciiTheme="minorEastAsia" w:hAnsiTheme="minorEastAsia" w:eastAsiaTheme="minorEastAsia"/>
                <w:color w:val="000000" w:themeColor="text1"/>
                <w:sz w:val="28"/>
                <w:szCs w:val="28"/>
                <w:highlight w:val="none"/>
                <w14:textFill>
                  <w14:solidFill>
                    <w14:schemeClr w14:val="tx1"/>
                  </w14:solidFill>
                </w14:textFill>
              </w:rPr>
            </w:pPr>
          </w:p>
        </w:tc>
        <w:tc>
          <w:tcPr>
            <w:tcW w:w="856" w:type="dxa"/>
            <w:tcBorders>
              <w:top w:val="outset" w:color="auto" w:sz="6" w:space="0"/>
              <w:left w:val="outset" w:color="auto" w:sz="6" w:space="0"/>
              <w:bottom w:val="outset" w:color="auto" w:sz="6" w:space="0"/>
              <w:right w:val="outset" w:color="auto" w:sz="6" w:space="0"/>
            </w:tcBorders>
            <w:vAlign w:val="center"/>
          </w:tcPr>
          <w:p w14:paraId="119B3313">
            <w:pPr>
              <w:pStyle w:val="145"/>
              <w:pageBreakBefore w:val="0"/>
              <w:wordWrap/>
              <w:topLinePunct w:val="0"/>
              <w:bidi w:val="0"/>
              <w:spacing w:line="560" w:lineRule="exact"/>
              <w:rPr>
                <w:rFonts w:cs="宋体" w:asciiTheme="minorEastAsia" w:hAnsiTheme="minorEastAsia" w:eastAsiaTheme="minorEastAsia"/>
                <w:color w:val="000000" w:themeColor="text1"/>
                <w:sz w:val="28"/>
                <w:szCs w:val="28"/>
                <w:highlight w:val="none"/>
                <w14:textFill>
                  <w14:solidFill>
                    <w14:schemeClr w14:val="tx1"/>
                  </w14:solidFill>
                </w14:textFill>
              </w:rPr>
            </w:pPr>
          </w:p>
        </w:tc>
      </w:tr>
      <w:tr w14:paraId="10647772">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23" w:hRule="atLeast"/>
        </w:trPr>
        <w:tc>
          <w:tcPr>
            <w:tcW w:w="430" w:type="dxa"/>
            <w:vMerge w:val="continue"/>
            <w:tcBorders>
              <w:left w:val="outset" w:color="auto" w:sz="6" w:space="0"/>
              <w:right w:val="outset" w:color="auto" w:sz="6" w:space="0"/>
            </w:tcBorders>
            <w:vAlign w:val="center"/>
          </w:tcPr>
          <w:p w14:paraId="13F42136">
            <w:pPr>
              <w:pStyle w:val="145"/>
              <w:pageBreakBefore w:val="0"/>
              <w:wordWrap/>
              <w:topLinePunct w:val="0"/>
              <w:bidi w:val="0"/>
              <w:spacing w:line="560" w:lineRule="exact"/>
              <w:rPr>
                <w:rFonts w:cs="宋体" w:asciiTheme="minorEastAsia" w:hAnsiTheme="minorEastAsia" w:eastAsiaTheme="minorEastAsia"/>
                <w:color w:val="000000" w:themeColor="text1"/>
                <w:sz w:val="28"/>
                <w:szCs w:val="28"/>
                <w:highlight w:val="none"/>
                <w14:textFill>
                  <w14:solidFill>
                    <w14:schemeClr w14:val="tx1"/>
                  </w14:solidFill>
                </w14:textFill>
              </w:rPr>
            </w:pPr>
          </w:p>
        </w:tc>
        <w:tc>
          <w:tcPr>
            <w:tcW w:w="495" w:type="dxa"/>
            <w:vMerge w:val="continue"/>
            <w:tcBorders>
              <w:left w:val="outset" w:color="auto" w:sz="6" w:space="0"/>
              <w:right w:val="outset" w:color="auto" w:sz="6" w:space="0"/>
            </w:tcBorders>
            <w:vAlign w:val="center"/>
          </w:tcPr>
          <w:p w14:paraId="7F94E72E">
            <w:pPr>
              <w:pStyle w:val="145"/>
              <w:pageBreakBefore w:val="0"/>
              <w:wordWrap/>
              <w:topLinePunct w:val="0"/>
              <w:bidi w:val="0"/>
              <w:spacing w:line="560" w:lineRule="exact"/>
              <w:rPr>
                <w:rFonts w:cs="宋体" w:asciiTheme="minorEastAsia" w:hAnsiTheme="minorEastAsia" w:eastAsiaTheme="minorEastAsia"/>
                <w:color w:val="000000" w:themeColor="text1"/>
                <w:sz w:val="28"/>
                <w:szCs w:val="28"/>
                <w:highlight w:val="none"/>
                <w14:textFill>
                  <w14:solidFill>
                    <w14:schemeClr w14:val="tx1"/>
                  </w14:solidFill>
                </w14:textFill>
              </w:rPr>
            </w:pPr>
          </w:p>
        </w:tc>
        <w:tc>
          <w:tcPr>
            <w:tcW w:w="1852" w:type="dxa"/>
            <w:tcBorders>
              <w:top w:val="outset" w:color="auto" w:sz="6" w:space="0"/>
              <w:left w:val="outset" w:color="auto" w:sz="6" w:space="0"/>
              <w:bottom w:val="outset" w:color="auto" w:sz="6" w:space="0"/>
              <w:right w:val="outset" w:color="auto" w:sz="6" w:space="0"/>
            </w:tcBorders>
            <w:vAlign w:val="center"/>
          </w:tcPr>
          <w:p w14:paraId="49CA00BE">
            <w:pPr>
              <w:pStyle w:val="145"/>
              <w:pageBreakBefore w:val="0"/>
              <w:wordWrap/>
              <w:topLinePunct w:val="0"/>
              <w:bidi w:val="0"/>
              <w:spacing w:line="560" w:lineRule="exact"/>
              <w:jc w:val="center"/>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投标保证金</w:t>
            </w:r>
          </w:p>
        </w:tc>
        <w:tc>
          <w:tcPr>
            <w:tcW w:w="5020" w:type="dxa"/>
            <w:tcBorders>
              <w:top w:val="outset" w:color="auto" w:sz="6" w:space="0"/>
              <w:left w:val="outset" w:color="auto" w:sz="6" w:space="0"/>
              <w:bottom w:val="outset" w:color="auto" w:sz="6" w:space="0"/>
              <w:right w:val="outset" w:color="auto" w:sz="6" w:space="0"/>
            </w:tcBorders>
            <w:vAlign w:val="center"/>
          </w:tcPr>
          <w:p w14:paraId="28B648D0">
            <w:pPr>
              <w:pStyle w:val="145"/>
              <w:pageBreakBefore w:val="0"/>
              <w:wordWrap/>
              <w:topLinePunct w:val="0"/>
              <w:bidi w:val="0"/>
              <w:spacing w:line="560" w:lineRule="exact"/>
              <w:jc w:val="both"/>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lang w:eastAsia="zh-CN"/>
                <w14:textFill>
                  <w14:solidFill>
                    <w14:schemeClr w14:val="tx1"/>
                  </w14:solidFill>
                </w14:textFill>
              </w:rPr>
              <w:t>投标保证金凭证</w:t>
            </w:r>
          </w:p>
        </w:tc>
        <w:tc>
          <w:tcPr>
            <w:tcW w:w="879" w:type="dxa"/>
            <w:tcBorders>
              <w:top w:val="outset" w:color="auto" w:sz="6" w:space="0"/>
              <w:left w:val="outset" w:color="auto" w:sz="6" w:space="0"/>
              <w:bottom w:val="outset" w:color="auto" w:sz="6" w:space="0"/>
              <w:right w:val="outset" w:color="auto" w:sz="6" w:space="0"/>
            </w:tcBorders>
            <w:vAlign w:val="center"/>
          </w:tcPr>
          <w:p w14:paraId="35C95856">
            <w:pPr>
              <w:pStyle w:val="145"/>
              <w:pageBreakBefore w:val="0"/>
              <w:wordWrap/>
              <w:topLinePunct w:val="0"/>
              <w:bidi w:val="0"/>
              <w:spacing w:line="560" w:lineRule="exact"/>
              <w:rPr>
                <w:rFonts w:cs="宋体" w:asciiTheme="minorEastAsia" w:hAnsiTheme="minorEastAsia" w:eastAsiaTheme="minorEastAsia"/>
                <w:color w:val="000000" w:themeColor="text1"/>
                <w:sz w:val="28"/>
                <w:szCs w:val="28"/>
                <w:highlight w:val="none"/>
                <w14:textFill>
                  <w14:solidFill>
                    <w14:schemeClr w14:val="tx1"/>
                  </w14:solidFill>
                </w14:textFill>
              </w:rPr>
            </w:pPr>
          </w:p>
        </w:tc>
        <w:tc>
          <w:tcPr>
            <w:tcW w:w="856" w:type="dxa"/>
            <w:tcBorders>
              <w:top w:val="outset" w:color="auto" w:sz="6" w:space="0"/>
              <w:left w:val="outset" w:color="auto" w:sz="6" w:space="0"/>
              <w:bottom w:val="outset" w:color="auto" w:sz="6" w:space="0"/>
              <w:right w:val="outset" w:color="auto" w:sz="6" w:space="0"/>
            </w:tcBorders>
            <w:vAlign w:val="center"/>
          </w:tcPr>
          <w:p w14:paraId="377F1314">
            <w:pPr>
              <w:pStyle w:val="145"/>
              <w:pageBreakBefore w:val="0"/>
              <w:wordWrap/>
              <w:topLinePunct w:val="0"/>
              <w:bidi w:val="0"/>
              <w:spacing w:line="560" w:lineRule="exact"/>
              <w:rPr>
                <w:rFonts w:cs="宋体" w:asciiTheme="minorEastAsia" w:hAnsiTheme="minorEastAsia" w:eastAsiaTheme="minorEastAsia"/>
                <w:color w:val="000000" w:themeColor="text1"/>
                <w:sz w:val="28"/>
                <w:szCs w:val="28"/>
                <w:highlight w:val="none"/>
                <w14:textFill>
                  <w14:solidFill>
                    <w14:schemeClr w14:val="tx1"/>
                  </w14:solidFill>
                </w14:textFill>
              </w:rPr>
            </w:pPr>
          </w:p>
        </w:tc>
      </w:tr>
      <w:tr w14:paraId="1A46C649">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23" w:hRule="atLeast"/>
        </w:trPr>
        <w:tc>
          <w:tcPr>
            <w:tcW w:w="430" w:type="dxa"/>
            <w:vMerge w:val="continue"/>
            <w:tcBorders>
              <w:left w:val="outset" w:color="auto" w:sz="6" w:space="0"/>
              <w:right w:val="single" w:color="auto" w:sz="4" w:space="0"/>
            </w:tcBorders>
            <w:vAlign w:val="center"/>
          </w:tcPr>
          <w:p w14:paraId="6AF19BE9">
            <w:pPr>
              <w:pStyle w:val="145"/>
              <w:pageBreakBefore w:val="0"/>
              <w:wordWrap/>
              <w:topLinePunct w:val="0"/>
              <w:bidi w:val="0"/>
              <w:spacing w:line="560" w:lineRule="exact"/>
              <w:rPr>
                <w:rFonts w:cs="宋体" w:asciiTheme="minorEastAsia" w:hAnsiTheme="minorEastAsia" w:eastAsiaTheme="minorEastAsia"/>
                <w:color w:val="000000" w:themeColor="text1"/>
                <w:sz w:val="28"/>
                <w:szCs w:val="28"/>
                <w:highlight w:val="none"/>
                <w14:textFill>
                  <w14:solidFill>
                    <w14:schemeClr w14:val="tx1"/>
                  </w14:solidFill>
                </w14:textFill>
              </w:rPr>
            </w:pPr>
          </w:p>
        </w:tc>
        <w:tc>
          <w:tcPr>
            <w:tcW w:w="495" w:type="dxa"/>
            <w:vMerge w:val="restart"/>
            <w:tcBorders>
              <w:top w:val="single" w:color="auto" w:sz="4" w:space="0"/>
              <w:left w:val="single" w:color="auto" w:sz="4" w:space="0"/>
              <w:bottom w:val="single" w:color="auto" w:sz="4" w:space="0"/>
              <w:right w:val="single" w:color="auto" w:sz="4" w:space="0"/>
            </w:tcBorders>
            <w:vAlign w:val="center"/>
          </w:tcPr>
          <w:p w14:paraId="0C4E72E1">
            <w:pPr>
              <w:pStyle w:val="145"/>
              <w:pageBreakBefore w:val="0"/>
              <w:wordWrap/>
              <w:topLinePunct w:val="0"/>
              <w:bidi w:val="0"/>
              <w:spacing w:line="560" w:lineRule="exact"/>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符合性检查</w:t>
            </w:r>
          </w:p>
        </w:tc>
        <w:tc>
          <w:tcPr>
            <w:tcW w:w="1852" w:type="dxa"/>
            <w:tcBorders>
              <w:top w:val="outset" w:color="auto" w:sz="6" w:space="0"/>
              <w:left w:val="single" w:color="auto" w:sz="4" w:space="0"/>
              <w:right w:val="outset" w:color="auto" w:sz="6" w:space="0"/>
            </w:tcBorders>
            <w:vAlign w:val="center"/>
          </w:tcPr>
          <w:p w14:paraId="71CA3040">
            <w:pPr>
              <w:pStyle w:val="145"/>
              <w:pageBreakBefore w:val="0"/>
              <w:wordWrap/>
              <w:topLinePunct w:val="0"/>
              <w:bidi w:val="0"/>
              <w:adjustRightInd w:val="0"/>
              <w:snapToGrid w:val="0"/>
              <w:spacing w:line="560" w:lineRule="exact"/>
              <w:jc w:val="center"/>
              <w:rPr>
                <w:rFonts w:hint="eastAsia"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响应文件的</w:t>
            </w:r>
          </w:p>
          <w:p w14:paraId="69A5ECED">
            <w:pPr>
              <w:pStyle w:val="145"/>
              <w:pageBreakBefore w:val="0"/>
              <w:wordWrap/>
              <w:topLinePunct w:val="0"/>
              <w:bidi w:val="0"/>
              <w:adjustRightInd w:val="0"/>
              <w:snapToGrid w:val="0"/>
              <w:spacing w:line="560" w:lineRule="exact"/>
              <w:jc w:val="center"/>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签署</w:t>
            </w:r>
          </w:p>
        </w:tc>
        <w:tc>
          <w:tcPr>
            <w:tcW w:w="5020" w:type="dxa"/>
            <w:tcBorders>
              <w:top w:val="outset" w:color="auto" w:sz="6" w:space="0"/>
              <w:left w:val="outset" w:color="auto" w:sz="6" w:space="0"/>
              <w:right w:val="outset" w:color="auto" w:sz="6" w:space="0"/>
            </w:tcBorders>
            <w:vAlign w:val="center"/>
          </w:tcPr>
          <w:p w14:paraId="709DA63E">
            <w:pPr>
              <w:pStyle w:val="145"/>
              <w:pageBreakBefore w:val="0"/>
              <w:wordWrap/>
              <w:topLinePunct w:val="0"/>
              <w:bidi w:val="0"/>
              <w:adjustRightInd w:val="0"/>
              <w:snapToGrid w:val="0"/>
              <w:spacing w:line="560" w:lineRule="exact"/>
              <w:jc w:val="center"/>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按招标文件要求在规定区域加盖单位公章和法定代表人章或签字</w:t>
            </w:r>
          </w:p>
        </w:tc>
        <w:tc>
          <w:tcPr>
            <w:tcW w:w="879" w:type="dxa"/>
            <w:tcBorders>
              <w:top w:val="outset" w:color="auto" w:sz="6" w:space="0"/>
              <w:left w:val="outset" w:color="auto" w:sz="6" w:space="0"/>
              <w:right w:val="outset" w:color="auto" w:sz="6" w:space="0"/>
            </w:tcBorders>
            <w:vAlign w:val="center"/>
          </w:tcPr>
          <w:p w14:paraId="6F6E7442">
            <w:pPr>
              <w:pStyle w:val="145"/>
              <w:pageBreakBefore w:val="0"/>
              <w:wordWrap/>
              <w:topLinePunct w:val="0"/>
              <w:bidi w:val="0"/>
              <w:spacing w:line="560" w:lineRule="exact"/>
              <w:rPr>
                <w:rFonts w:cs="宋体" w:asciiTheme="minorEastAsia" w:hAnsiTheme="minorEastAsia" w:eastAsiaTheme="minorEastAsia"/>
                <w:color w:val="000000" w:themeColor="text1"/>
                <w:sz w:val="28"/>
                <w:szCs w:val="28"/>
                <w:highlight w:val="none"/>
                <w14:textFill>
                  <w14:solidFill>
                    <w14:schemeClr w14:val="tx1"/>
                  </w14:solidFill>
                </w14:textFill>
              </w:rPr>
            </w:pPr>
          </w:p>
        </w:tc>
        <w:tc>
          <w:tcPr>
            <w:tcW w:w="856" w:type="dxa"/>
            <w:tcBorders>
              <w:top w:val="outset" w:color="auto" w:sz="6" w:space="0"/>
              <w:left w:val="outset" w:color="auto" w:sz="6" w:space="0"/>
              <w:right w:val="outset" w:color="auto" w:sz="6" w:space="0"/>
            </w:tcBorders>
            <w:vAlign w:val="center"/>
          </w:tcPr>
          <w:p w14:paraId="20C53286">
            <w:pPr>
              <w:pStyle w:val="145"/>
              <w:pageBreakBefore w:val="0"/>
              <w:wordWrap/>
              <w:topLinePunct w:val="0"/>
              <w:bidi w:val="0"/>
              <w:spacing w:line="560" w:lineRule="exact"/>
              <w:rPr>
                <w:rFonts w:cs="宋体" w:asciiTheme="minorEastAsia" w:hAnsiTheme="minorEastAsia" w:eastAsiaTheme="minorEastAsia"/>
                <w:color w:val="000000" w:themeColor="text1"/>
                <w:sz w:val="28"/>
                <w:szCs w:val="28"/>
                <w:highlight w:val="none"/>
                <w14:textFill>
                  <w14:solidFill>
                    <w14:schemeClr w14:val="tx1"/>
                  </w14:solidFill>
                </w14:textFill>
              </w:rPr>
            </w:pPr>
          </w:p>
        </w:tc>
      </w:tr>
      <w:tr w14:paraId="5717FD2C">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23" w:hRule="atLeast"/>
        </w:trPr>
        <w:tc>
          <w:tcPr>
            <w:tcW w:w="430" w:type="dxa"/>
            <w:vMerge w:val="continue"/>
            <w:tcBorders>
              <w:left w:val="outset" w:color="auto" w:sz="6" w:space="0"/>
              <w:right w:val="single" w:color="auto" w:sz="4" w:space="0"/>
            </w:tcBorders>
            <w:vAlign w:val="center"/>
          </w:tcPr>
          <w:p w14:paraId="51B7E76C">
            <w:pPr>
              <w:pStyle w:val="145"/>
              <w:pageBreakBefore w:val="0"/>
              <w:wordWrap/>
              <w:topLinePunct w:val="0"/>
              <w:bidi w:val="0"/>
              <w:spacing w:line="560" w:lineRule="exact"/>
              <w:rPr>
                <w:rFonts w:cs="宋体" w:asciiTheme="minorEastAsia" w:hAnsiTheme="minorEastAsia" w:eastAsiaTheme="minorEastAsia"/>
                <w:color w:val="000000" w:themeColor="text1"/>
                <w:sz w:val="28"/>
                <w:szCs w:val="28"/>
                <w:highlight w:val="none"/>
                <w14:textFill>
                  <w14:solidFill>
                    <w14:schemeClr w14:val="tx1"/>
                  </w14:solidFill>
                </w14:textFill>
              </w:rPr>
            </w:pPr>
          </w:p>
        </w:tc>
        <w:tc>
          <w:tcPr>
            <w:tcW w:w="495" w:type="dxa"/>
            <w:vMerge w:val="continue"/>
            <w:tcBorders>
              <w:top w:val="single" w:color="auto" w:sz="4" w:space="0"/>
              <w:left w:val="single" w:color="auto" w:sz="4" w:space="0"/>
              <w:bottom w:val="single" w:color="auto" w:sz="4" w:space="0"/>
              <w:right w:val="single" w:color="auto" w:sz="4" w:space="0"/>
            </w:tcBorders>
            <w:vAlign w:val="center"/>
          </w:tcPr>
          <w:p w14:paraId="297FABA6">
            <w:pPr>
              <w:pStyle w:val="145"/>
              <w:pageBreakBefore w:val="0"/>
              <w:wordWrap/>
              <w:topLinePunct w:val="0"/>
              <w:bidi w:val="0"/>
              <w:spacing w:line="560" w:lineRule="exact"/>
              <w:rPr>
                <w:rFonts w:cs="宋体" w:asciiTheme="minorEastAsia" w:hAnsiTheme="minorEastAsia" w:eastAsiaTheme="minorEastAsia"/>
                <w:color w:val="000000" w:themeColor="text1"/>
                <w:sz w:val="28"/>
                <w:szCs w:val="28"/>
                <w:highlight w:val="none"/>
                <w14:textFill>
                  <w14:solidFill>
                    <w14:schemeClr w14:val="tx1"/>
                  </w14:solidFill>
                </w14:textFill>
              </w:rPr>
            </w:pPr>
          </w:p>
        </w:tc>
        <w:tc>
          <w:tcPr>
            <w:tcW w:w="1852" w:type="dxa"/>
            <w:tcBorders>
              <w:top w:val="outset" w:color="auto" w:sz="6" w:space="0"/>
              <w:left w:val="single" w:color="auto" w:sz="4" w:space="0"/>
              <w:right w:val="outset" w:color="auto" w:sz="6" w:space="0"/>
            </w:tcBorders>
            <w:vAlign w:val="center"/>
          </w:tcPr>
          <w:p w14:paraId="7522A557">
            <w:pPr>
              <w:pStyle w:val="145"/>
              <w:pageBreakBefore w:val="0"/>
              <w:wordWrap/>
              <w:topLinePunct w:val="0"/>
              <w:bidi w:val="0"/>
              <w:adjustRightInd w:val="0"/>
              <w:snapToGrid w:val="0"/>
              <w:spacing w:line="560" w:lineRule="exact"/>
              <w:jc w:val="center"/>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报价唯一</w:t>
            </w:r>
          </w:p>
        </w:tc>
        <w:tc>
          <w:tcPr>
            <w:tcW w:w="5020" w:type="dxa"/>
            <w:tcBorders>
              <w:top w:val="outset" w:color="auto" w:sz="6" w:space="0"/>
              <w:left w:val="outset" w:color="auto" w:sz="6" w:space="0"/>
              <w:right w:val="outset" w:color="auto" w:sz="6" w:space="0"/>
            </w:tcBorders>
            <w:vAlign w:val="center"/>
          </w:tcPr>
          <w:p w14:paraId="4E5B36BD">
            <w:pPr>
              <w:pStyle w:val="145"/>
              <w:pageBreakBefore w:val="0"/>
              <w:wordWrap/>
              <w:topLinePunct w:val="0"/>
              <w:bidi w:val="0"/>
              <w:adjustRightInd w:val="0"/>
              <w:snapToGrid w:val="0"/>
              <w:spacing w:line="560" w:lineRule="exact"/>
              <w:jc w:val="center"/>
              <w:rPr>
                <w:rFonts w:hint="eastAsia" w:cs="宋体" w:asciiTheme="minorEastAsia" w:hAnsiTheme="minorEastAsia" w:eastAsiaTheme="minorEastAsia"/>
                <w:color w:val="000000" w:themeColor="text1"/>
                <w:sz w:val="28"/>
                <w:szCs w:val="28"/>
                <w:highlight w:val="none"/>
                <w:lang w:eastAsia="zh-CN"/>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只有一个有效报价且未超过</w:t>
            </w:r>
            <w:r>
              <w:rPr>
                <w:rFonts w:hint="eastAsia" w:cs="宋体" w:asciiTheme="minorEastAsia" w:hAnsiTheme="minorEastAsia" w:eastAsiaTheme="minorEastAsia"/>
                <w:color w:val="000000" w:themeColor="text1"/>
                <w:sz w:val="28"/>
                <w:szCs w:val="28"/>
                <w:highlight w:val="none"/>
                <w:lang w:eastAsia="zh-CN"/>
                <w14:textFill>
                  <w14:solidFill>
                    <w14:schemeClr w14:val="tx1"/>
                  </w14:solidFill>
                </w14:textFill>
              </w:rPr>
              <w:t>最高限价</w:t>
            </w:r>
          </w:p>
        </w:tc>
        <w:tc>
          <w:tcPr>
            <w:tcW w:w="879" w:type="dxa"/>
            <w:tcBorders>
              <w:top w:val="outset" w:color="auto" w:sz="6" w:space="0"/>
              <w:left w:val="outset" w:color="auto" w:sz="6" w:space="0"/>
              <w:right w:val="outset" w:color="auto" w:sz="6" w:space="0"/>
            </w:tcBorders>
            <w:vAlign w:val="center"/>
          </w:tcPr>
          <w:p w14:paraId="4B995E3A">
            <w:pPr>
              <w:pStyle w:val="145"/>
              <w:pageBreakBefore w:val="0"/>
              <w:wordWrap/>
              <w:topLinePunct w:val="0"/>
              <w:bidi w:val="0"/>
              <w:spacing w:line="560" w:lineRule="exact"/>
              <w:rPr>
                <w:rFonts w:cs="宋体" w:asciiTheme="minorEastAsia" w:hAnsiTheme="minorEastAsia" w:eastAsiaTheme="minorEastAsia"/>
                <w:color w:val="000000" w:themeColor="text1"/>
                <w:sz w:val="28"/>
                <w:szCs w:val="28"/>
                <w:highlight w:val="none"/>
                <w14:textFill>
                  <w14:solidFill>
                    <w14:schemeClr w14:val="tx1"/>
                  </w14:solidFill>
                </w14:textFill>
              </w:rPr>
            </w:pPr>
          </w:p>
        </w:tc>
        <w:tc>
          <w:tcPr>
            <w:tcW w:w="856" w:type="dxa"/>
            <w:tcBorders>
              <w:top w:val="outset" w:color="auto" w:sz="6" w:space="0"/>
              <w:left w:val="outset" w:color="auto" w:sz="6" w:space="0"/>
              <w:right w:val="outset" w:color="auto" w:sz="6" w:space="0"/>
            </w:tcBorders>
            <w:vAlign w:val="center"/>
          </w:tcPr>
          <w:p w14:paraId="790F6125">
            <w:pPr>
              <w:pStyle w:val="145"/>
              <w:pageBreakBefore w:val="0"/>
              <w:wordWrap/>
              <w:topLinePunct w:val="0"/>
              <w:bidi w:val="0"/>
              <w:spacing w:line="560" w:lineRule="exact"/>
              <w:rPr>
                <w:rFonts w:cs="宋体" w:asciiTheme="minorEastAsia" w:hAnsiTheme="minorEastAsia" w:eastAsiaTheme="minorEastAsia"/>
                <w:color w:val="000000" w:themeColor="text1"/>
                <w:sz w:val="28"/>
                <w:szCs w:val="28"/>
                <w:highlight w:val="none"/>
                <w14:textFill>
                  <w14:solidFill>
                    <w14:schemeClr w14:val="tx1"/>
                  </w14:solidFill>
                </w14:textFill>
              </w:rPr>
            </w:pPr>
          </w:p>
        </w:tc>
      </w:tr>
      <w:tr w14:paraId="5BFA8FF9">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23" w:hRule="atLeast"/>
        </w:trPr>
        <w:tc>
          <w:tcPr>
            <w:tcW w:w="430" w:type="dxa"/>
            <w:vMerge w:val="continue"/>
            <w:tcBorders>
              <w:left w:val="outset" w:color="auto" w:sz="6" w:space="0"/>
              <w:right w:val="single" w:color="auto" w:sz="4" w:space="0"/>
            </w:tcBorders>
            <w:vAlign w:val="center"/>
          </w:tcPr>
          <w:p w14:paraId="6D8E8189">
            <w:pPr>
              <w:pStyle w:val="145"/>
              <w:pageBreakBefore w:val="0"/>
              <w:wordWrap/>
              <w:topLinePunct w:val="0"/>
              <w:bidi w:val="0"/>
              <w:spacing w:line="560" w:lineRule="exact"/>
              <w:rPr>
                <w:rFonts w:cs="宋体" w:asciiTheme="minorEastAsia" w:hAnsiTheme="minorEastAsia" w:eastAsiaTheme="minorEastAsia"/>
                <w:color w:val="000000" w:themeColor="text1"/>
                <w:sz w:val="28"/>
                <w:szCs w:val="28"/>
                <w:highlight w:val="none"/>
                <w14:textFill>
                  <w14:solidFill>
                    <w14:schemeClr w14:val="tx1"/>
                  </w14:solidFill>
                </w14:textFill>
              </w:rPr>
            </w:pPr>
          </w:p>
        </w:tc>
        <w:tc>
          <w:tcPr>
            <w:tcW w:w="495" w:type="dxa"/>
            <w:vMerge w:val="continue"/>
            <w:tcBorders>
              <w:top w:val="single" w:color="auto" w:sz="4" w:space="0"/>
              <w:left w:val="single" w:color="auto" w:sz="4" w:space="0"/>
              <w:bottom w:val="single" w:color="auto" w:sz="4" w:space="0"/>
              <w:right w:val="single" w:color="auto" w:sz="4" w:space="0"/>
            </w:tcBorders>
            <w:vAlign w:val="center"/>
          </w:tcPr>
          <w:p w14:paraId="36163F15">
            <w:pPr>
              <w:pStyle w:val="145"/>
              <w:pageBreakBefore w:val="0"/>
              <w:wordWrap/>
              <w:topLinePunct w:val="0"/>
              <w:bidi w:val="0"/>
              <w:spacing w:line="560" w:lineRule="exact"/>
              <w:rPr>
                <w:rFonts w:cs="宋体" w:asciiTheme="minorEastAsia" w:hAnsiTheme="minorEastAsia" w:eastAsiaTheme="minorEastAsia"/>
                <w:color w:val="000000" w:themeColor="text1"/>
                <w:sz w:val="28"/>
                <w:szCs w:val="28"/>
                <w:highlight w:val="none"/>
                <w14:textFill>
                  <w14:solidFill>
                    <w14:schemeClr w14:val="tx1"/>
                  </w14:solidFill>
                </w14:textFill>
              </w:rPr>
            </w:pPr>
          </w:p>
        </w:tc>
        <w:tc>
          <w:tcPr>
            <w:tcW w:w="1852" w:type="dxa"/>
            <w:tcBorders>
              <w:top w:val="outset" w:color="auto" w:sz="6" w:space="0"/>
              <w:left w:val="single" w:color="auto" w:sz="4" w:space="0"/>
              <w:bottom w:val="outset" w:color="auto" w:sz="6" w:space="0"/>
              <w:right w:val="outset" w:color="auto" w:sz="6" w:space="0"/>
            </w:tcBorders>
            <w:vAlign w:val="center"/>
          </w:tcPr>
          <w:p w14:paraId="2BAEF2A6">
            <w:pPr>
              <w:pStyle w:val="145"/>
              <w:pageBreakBefore w:val="0"/>
              <w:wordWrap/>
              <w:topLinePunct w:val="0"/>
              <w:bidi w:val="0"/>
              <w:adjustRightInd w:val="0"/>
              <w:snapToGrid w:val="0"/>
              <w:spacing w:line="560" w:lineRule="exact"/>
              <w:jc w:val="center"/>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商务要求</w:t>
            </w:r>
          </w:p>
        </w:tc>
        <w:tc>
          <w:tcPr>
            <w:tcW w:w="5020" w:type="dxa"/>
            <w:tcBorders>
              <w:top w:val="outset" w:color="auto" w:sz="6" w:space="0"/>
              <w:left w:val="outset" w:color="auto" w:sz="6" w:space="0"/>
              <w:bottom w:val="outset" w:color="auto" w:sz="6" w:space="0"/>
              <w:right w:val="outset" w:color="auto" w:sz="6" w:space="0"/>
            </w:tcBorders>
            <w:vAlign w:val="center"/>
          </w:tcPr>
          <w:p w14:paraId="5589D765">
            <w:pPr>
              <w:pStyle w:val="145"/>
              <w:pageBreakBefore w:val="0"/>
              <w:wordWrap/>
              <w:topLinePunct w:val="0"/>
              <w:bidi w:val="0"/>
              <w:adjustRightInd w:val="0"/>
              <w:snapToGrid w:val="0"/>
              <w:spacing w:line="560" w:lineRule="exact"/>
              <w:jc w:val="center"/>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响应文件未附有采购人不能接受或不符合招标文件的商务要求</w:t>
            </w:r>
          </w:p>
        </w:tc>
        <w:tc>
          <w:tcPr>
            <w:tcW w:w="879" w:type="dxa"/>
            <w:tcBorders>
              <w:top w:val="outset" w:color="auto" w:sz="6" w:space="0"/>
              <w:left w:val="outset" w:color="auto" w:sz="6" w:space="0"/>
              <w:bottom w:val="outset" w:color="auto" w:sz="6" w:space="0"/>
              <w:right w:val="outset" w:color="auto" w:sz="6" w:space="0"/>
            </w:tcBorders>
            <w:vAlign w:val="center"/>
          </w:tcPr>
          <w:p w14:paraId="16548328">
            <w:pPr>
              <w:pStyle w:val="145"/>
              <w:pageBreakBefore w:val="0"/>
              <w:wordWrap/>
              <w:topLinePunct w:val="0"/>
              <w:bidi w:val="0"/>
              <w:spacing w:line="560" w:lineRule="exact"/>
              <w:rPr>
                <w:rFonts w:cs="宋体" w:asciiTheme="minorEastAsia" w:hAnsiTheme="minorEastAsia" w:eastAsiaTheme="minorEastAsia"/>
                <w:color w:val="000000" w:themeColor="text1"/>
                <w:sz w:val="28"/>
                <w:szCs w:val="28"/>
                <w:highlight w:val="none"/>
                <w14:textFill>
                  <w14:solidFill>
                    <w14:schemeClr w14:val="tx1"/>
                  </w14:solidFill>
                </w14:textFill>
              </w:rPr>
            </w:pPr>
          </w:p>
        </w:tc>
        <w:tc>
          <w:tcPr>
            <w:tcW w:w="856" w:type="dxa"/>
            <w:tcBorders>
              <w:top w:val="outset" w:color="auto" w:sz="6" w:space="0"/>
              <w:left w:val="outset" w:color="auto" w:sz="6" w:space="0"/>
              <w:bottom w:val="outset" w:color="auto" w:sz="6" w:space="0"/>
              <w:right w:val="outset" w:color="auto" w:sz="6" w:space="0"/>
            </w:tcBorders>
            <w:vAlign w:val="center"/>
          </w:tcPr>
          <w:p w14:paraId="091D945F">
            <w:pPr>
              <w:pStyle w:val="145"/>
              <w:pageBreakBefore w:val="0"/>
              <w:wordWrap/>
              <w:topLinePunct w:val="0"/>
              <w:bidi w:val="0"/>
              <w:spacing w:line="560" w:lineRule="exact"/>
              <w:rPr>
                <w:rFonts w:cs="宋体" w:asciiTheme="minorEastAsia" w:hAnsiTheme="minorEastAsia" w:eastAsiaTheme="minorEastAsia"/>
                <w:color w:val="000000" w:themeColor="text1"/>
                <w:sz w:val="28"/>
                <w:szCs w:val="28"/>
                <w:highlight w:val="none"/>
                <w14:textFill>
                  <w14:solidFill>
                    <w14:schemeClr w14:val="tx1"/>
                  </w14:solidFill>
                </w14:textFill>
              </w:rPr>
            </w:pPr>
          </w:p>
        </w:tc>
      </w:tr>
      <w:tr w14:paraId="6ECA6437">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23" w:hRule="atLeast"/>
        </w:trPr>
        <w:tc>
          <w:tcPr>
            <w:tcW w:w="430" w:type="dxa"/>
            <w:vMerge w:val="continue"/>
            <w:tcBorders>
              <w:left w:val="outset" w:color="auto" w:sz="6" w:space="0"/>
              <w:bottom w:val="outset" w:color="auto" w:sz="6" w:space="0"/>
              <w:right w:val="single" w:color="auto" w:sz="4" w:space="0"/>
            </w:tcBorders>
            <w:vAlign w:val="center"/>
          </w:tcPr>
          <w:p w14:paraId="1E46D380">
            <w:pPr>
              <w:pStyle w:val="145"/>
              <w:pageBreakBefore w:val="0"/>
              <w:wordWrap/>
              <w:topLinePunct w:val="0"/>
              <w:bidi w:val="0"/>
              <w:spacing w:line="560" w:lineRule="exact"/>
              <w:rPr>
                <w:rFonts w:cs="宋体" w:asciiTheme="minorEastAsia" w:hAnsiTheme="minorEastAsia" w:eastAsiaTheme="minorEastAsia"/>
                <w:color w:val="000000" w:themeColor="text1"/>
                <w:sz w:val="28"/>
                <w:szCs w:val="28"/>
                <w:highlight w:val="none"/>
                <w14:textFill>
                  <w14:solidFill>
                    <w14:schemeClr w14:val="tx1"/>
                  </w14:solidFill>
                </w14:textFill>
              </w:rPr>
            </w:pPr>
          </w:p>
        </w:tc>
        <w:tc>
          <w:tcPr>
            <w:tcW w:w="495" w:type="dxa"/>
            <w:vMerge w:val="continue"/>
            <w:tcBorders>
              <w:top w:val="single" w:color="auto" w:sz="4" w:space="0"/>
              <w:left w:val="single" w:color="auto" w:sz="4" w:space="0"/>
              <w:bottom w:val="single" w:color="auto" w:sz="4" w:space="0"/>
              <w:right w:val="single" w:color="auto" w:sz="4" w:space="0"/>
            </w:tcBorders>
            <w:vAlign w:val="center"/>
          </w:tcPr>
          <w:p w14:paraId="3760AB20">
            <w:pPr>
              <w:pStyle w:val="145"/>
              <w:pageBreakBefore w:val="0"/>
              <w:wordWrap/>
              <w:topLinePunct w:val="0"/>
              <w:bidi w:val="0"/>
              <w:spacing w:line="560" w:lineRule="exact"/>
              <w:rPr>
                <w:rFonts w:cs="宋体" w:asciiTheme="minorEastAsia" w:hAnsiTheme="minorEastAsia" w:eastAsiaTheme="minorEastAsia"/>
                <w:color w:val="000000" w:themeColor="text1"/>
                <w:sz w:val="28"/>
                <w:szCs w:val="28"/>
                <w:highlight w:val="none"/>
                <w14:textFill>
                  <w14:solidFill>
                    <w14:schemeClr w14:val="tx1"/>
                  </w14:solidFill>
                </w14:textFill>
              </w:rPr>
            </w:pPr>
          </w:p>
        </w:tc>
        <w:tc>
          <w:tcPr>
            <w:tcW w:w="1852" w:type="dxa"/>
            <w:tcBorders>
              <w:top w:val="outset" w:color="auto" w:sz="6" w:space="0"/>
              <w:left w:val="single" w:color="auto" w:sz="4" w:space="0"/>
              <w:bottom w:val="outset" w:color="auto" w:sz="6" w:space="0"/>
              <w:right w:val="outset" w:color="auto" w:sz="6" w:space="0"/>
            </w:tcBorders>
            <w:vAlign w:val="center"/>
          </w:tcPr>
          <w:p w14:paraId="1CD42815">
            <w:pPr>
              <w:pStyle w:val="145"/>
              <w:pageBreakBefore w:val="0"/>
              <w:wordWrap/>
              <w:topLinePunct w:val="0"/>
              <w:bidi w:val="0"/>
              <w:adjustRightInd w:val="0"/>
              <w:snapToGrid w:val="0"/>
              <w:spacing w:line="560" w:lineRule="exact"/>
              <w:jc w:val="center"/>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lang w:val="en-US" w:eastAsia="zh-CN"/>
                <w14:textFill>
                  <w14:solidFill>
                    <w14:schemeClr w14:val="tx1"/>
                  </w14:solidFill>
                </w14:textFill>
              </w:rPr>
              <w:t>技术</w:t>
            </w:r>
            <w:r>
              <w:rPr>
                <w:rFonts w:hint="eastAsia" w:cs="宋体" w:asciiTheme="minorEastAsia" w:hAnsiTheme="minorEastAsia" w:eastAsiaTheme="minorEastAsia"/>
                <w:color w:val="000000" w:themeColor="text1"/>
                <w:sz w:val="28"/>
                <w:szCs w:val="28"/>
                <w:highlight w:val="none"/>
                <w14:textFill>
                  <w14:solidFill>
                    <w14:schemeClr w14:val="tx1"/>
                  </w14:solidFill>
                </w14:textFill>
              </w:rPr>
              <w:t>要求</w:t>
            </w:r>
          </w:p>
        </w:tc>
        <w:tc>
          <w:tcPr>
            <w:tcW w:w="5020" w:type="dxa"/>
            <w:tcBorders>
              <w:top w:val="outset" w:color="auto" w:sz="6" w:space="0"/>
              <w:left w:val="outset" w:color="auto" w:sz="6" w:space="0"/>
              <w:bottom w:val="outset" w:color="auto" w:sz="6" w:space="0"/>
              <w:right w:val="outset" w:color="auto" w:sz="6" w:space="0"/>
            </w:tcBorders>
            <w:vAlign w:val="center"/>
          </w:tcPr>
          <w:p w14:paraId="00B11C0D">
            <w:pPr>
              <w:pStyle w:val="145"/>
              <w:pageBreakBefore w:val="0"/>
              <w:wordWrap/>
              <w:topLinePunct w:val="0"/>
              <w:bidi w:val="0"/>
              <w:adjustRightInd w:val="0"/>
              <w:snapToGrid w:val="0"/>
              <w:spacing w:line="560" w:lineRule="exact"/>
              <w:jc w:val="center"/>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响应文件未附有采购人不能接受或不符合招标文件的</w:t>
            </w:r>
            <w:r>
              <w:rPr>
                <w:rFonts w:hint="eastAsia" w:cs="宋体" w:asciiTheme="minorEastAsia" w:hAnsiTheme="minorEastAsia" w:eastAsiaTheme="minorEastAsia"/>
                <w:color w:val="000000" w:themeColor="text1"/>
                <w:sz w:val="28"/>
                <w:szCs w:val="28"/>
                <w:highlight w:val="none"/>
                <w:lang w:val="en-US" w:eastAsia="zh-CN"/>
                <w14:textFill>
                  <w14:solidFill>
                    <w14:schemeClr w14:val="tx1"/>
                  </w14:solidFill>
                </w14:textFill>
              </w:rPr>
              <w:t>技术</w:t>
            </w:r>
            <w:r>
              <w:rPr>
                <w:rFonts w:hint="eastAsia" w:cs="宋体" w:asciiTheme="minorEastAsia" w:hAnsiTheme="minorEastAsia" w:eastAsiaTheme="minorEastAsia"/>
                <w:color w:val="000000" w:themeColor="text1"/>
                <w:sz w:val="28"/>
                <w:szCs w:val="28"/>
                <w:highlight w:val="none"/>
                <w14:textFill>
                  <w14:solidFill>
                    <w14:schemeClr w14:val="tx1"/>
                  </w14:solidFill>
                </w14:textFill>
              </w:rPr>
              <w:t>要求</w:t>
            </w:r>
          </w:p>
        </w:tc>
        <w:tc>
          <w:tcPr>
            <w:tcW w:w="879" w:type="dxa"/>
            <w:tcBorders>
              <w:top w:val="outset" w:color="auto" w:sz="6" w:space="0"/>
              <w:left w:val="outset" w:color="auto" w:sz="6" w:space="0"/>
              <w:bottom w:val="outset" w:color="auto" w:sz="6" w:space="0"/>
              <w:right w:val="outset" w:color="auto" w:sz="6" w:space="0"/>
            </w:tcBorders>
            <w:vAlign w:val="center"/>
          </w:tcPr>
          <w:p w14:paraId="5E193B52">
            <w:pPr>
              <w:pStyle w:val="145"/>
              <w:pageBreakBefore w:val="0"/>
              <w:wordWrap/>
              <w:topLinePunct w:val="0"/>
              <w:bidi w:val="0"/>
              <w:spacing w:line="560" w:lineRule="exact"/>
              <w:rPr>
                <w:rFonts w:cs="宋体" w:asciiTheme="minorEastAsia" w:hAnsiTheme="minorEastAsia" w:eastAsiaTheme="minorEastAsia"/>
                <w:color w:val="000000" w:themeColor="text1"/>
                <w:sz w:val="28"/>
                <w:szCs w:val="28"/>
                <w:highlight w:val="none"/>
                <w14:textFill>
                  <w14:solidFill>
                    <w14:schemeClr w14:val="tx1"/>
                  </w14:solidFill>
                </w14:textFill>
              </w:rPr>
            </w:pPr>
          </w:p>
        </w:tc>
        <w:tc>
          <w:tcPr>
            <w:tcW w:w="856" w:type="dxa"/>
            <w:tcBorders>
              <w:top w:val="outset" w:color="auto" w:sz="6" w:space="0"/>
              <w:left w:val="outset" w:color="auto" w:sz="6" w:space="0"/>
              <w:bottom w:val="outset" w:color="auto" w:sz="6" w:space="0"/>
              <w:right w:val="outset" w:color="auto" w:sz="6" w:space="0"/>
            </w:tcBorders>
            <w:vAlign w:val="center"/>
          </w:tcPr>
          <w:p w14:paraId="54C8C2B6">
            <w:pPr>
              <w:pStyle w:val="145"/>
              <w:pageBreakBefore w:val="0"/>
              <w:wordWrap/>
              <w:topLinePunct w:val="0"/>
              <w:bidi w:val="0"/>
              <w:spacing w:line="560" w:lineRule="exact"/>
              <w:rPr>
                <w:rFonts w:cs="宋体" w:asciiTheme="minorEastAsia" w:hAnsiTheme="minorEastAsia" w:eastAsiaTheme="minorEastAsia"/>
                <w:color w:val="000000" w:themeColor="text1"/>
                <w:sz w:val="28"/>
                <w:szCs w:val="28"/>
                <w:highlight w:val="none"/>
                <w14:textFill>
                  <w14:solidFill>
                    <w14:schemeClr w14:val="tx1"/>
                  </w14:solidFill>
                </w14:textFill>
              </w:rPr>
            </w:pPr>
          </w:p>
        </w:tc>
      </w:tr>
    </w:tbl>
    <w:p w14:paraId="45C22817">
      <w:pPr>
        <w:pageBreakBefore w:val="0"/>
        <w:widowControl/>
        <w:wordWrap/>
        <w:topLinePunct w:val="0"/>
        <w:bidi w:val="0"/>
        <w:spacing w:line="560" w:lineRule="exact"/>
        <w:jc w:val="left"/>
        <w:rPr>
          <w:rFonts w:hAnsi="宋体"/>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br w:type="page"/>
      </w:r>
    </w:p>
    <w:p w14:paraId="511549AF">
      <w:pPr>
        <w:pStyle w:val="4"/>
        <w:keepNext w:val="0"/>
        <w:keepLines w:val="0"/>
        <w:pageBreakBefore w:val="0"/>
        <w:kinsoku/>
        <w:wordWrap/>
        <w:overflowPunct/>
        <w:topLinePunct w:val="0"/>
        <w:autoSpaceDE/>
        <w:autoSpaceDN/>
        <w:bidi w:val="0"/>
        <w:adjustRightInd/>
        <w:snapToGrid/>
        <w:spacing w:line="560" w:lineRule="exact"/>
        <w:jc w:val="center"/>
        <w:textAlignment w:val="auto"/>
        <w:rPr>
          <w:rFonts w:hint="default"/>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第三节</w:t>
      </w:r>
      <w:r>
        <w:rPr>
          <w:color w:val="000000" w:themeColor="text1"/>
          <w:sz w:val="28"/>
          <w:szCs w:val="28"/>
          <w:highlight w:val="none"/>
          <w14:textFill>
            <w14:solidFill>
              <w14:schemeClr w14:val="tx1"/>
            </w14:solidFill>
          </w14:textFill>
        </w:rPr>
        <w:t xml:space="preserve"> </w:t>
      </w:r>
      <w:r>
        <w:rPr>
          <w:rFonts w:hint="eastAsia"/>
          <w:color w:val="000000" w:themeColor="text1"/>
          <w:sz w:val="28"/>
          <w:szCs w:val="28"/>
          <w:highlight w:val="none"/>
          <w14:textFill>
            <w14:solidFill>
              <w14:schemeClr w14:val="tx1"/>
            </w14:solidFill>
          </w14:textFill>
        </w:rPr>
        <w:t>评分标准</w:t>
      </w:r>
      <w:r>
        <w:rPr>
          <w:rFonts w:hint="default"/>
          <w:color w:val="000000" w:themeColor="text1"/>
          <w:sz w:val="28"/>
          <w:szCs w:val="28"/>
          <w:highlight w:val="none"/>
          <w14:textFill>
            <w14:solidFill>
              <w14:schemeClr w14:val="tx1"/>
            </w14:solidFill>
          </w14:textFill>
        </w:rPr>
        <w:t>（标项</w:t>
      </w:r>
      <w:r>
        <w:rPr>
          <w:rFonts w:hint="eastAsia"/>
          <w:color w:val="000000" w:themeColor="text1"/>
          <w:sz w:val="28"/>
          <w:szCs w:val="28"/>
          <w:highlight w:val="none"/>
          <w:lang w:val="en-US" w:eastAsia="zh-CN"/>
          <w14:textFill>
            <w14:solidFill>
              <w14:schemeClr w14:val="tx1"/>
            </w14:solidFill>
          </w14:textFill>
        </w:rPr>
        <w:t>2</w:t>
      </w:r>
      <w:r>
        <w:rPr>
          <w:rFonts w:hint="default"/>
          <w:color w:val="000000" w:themeColor="text1"/>
          <w:sz w:val="28"/>
          <w:szCs w:val="28"/>
          <w:highlight w:val="none"/>
          <w14:textFill>
            <w14:solidFill>
              <w14:schemeClr w14:val="tx1"/>
            </w14:solidFill>
          </w14:textFill>
        </w:rPr>
        <w:t>）</w:t>
      </w:r>
    </w:p>
    <w:p w14:paraId="24F4D230">
      <w:pPr>
        <w:pStyle w:val="17"/>
        <w:keepNext w:val="0"/>
        <w:keepLines w:val="0"/>
        <w:pageBreakBefore w:val="0"/>
        <w:kinsoku/>
        <w:wordWrap/>
        <w:overflowPunct/>
        <w:topLinePunct w:val="0"/>
        <w:autoSpaceDE/>
        <w:autoSpaceDN/>
        <w:bidi w:val="0"/>
        <w:adjustRightInd/>
        <w:snapToGrid/>
        <w:spacing w:line="560" w:lineRule="exact"/>
        <w:textAlignment w:val="auto"/>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一、综合评分法</w:t>
      </w:r>
    </w:p>
    <w:p w14:paraId="09CEE976">
      <w:pPr>
        <w:keepNext w:val="0"/>
        <w:keepLines w:val="0"/>
        <w:pageBreakBefore w:val="0"/>
        <w:kinsoku/>
        <w:wordWrap/>
        <w:overflowPunct/>
        <w:topLinePunct w:val="0"/>
        <w:autoSpaceDE/>
        <w:autoSpaceDN/>
        <w:bidi w:val="0"/>
        <w:adjustRightInd/>
        <w:snapToGrid/>
        <w:spacing w:line="560" w:lineRule="exact"/>
        <w:textAlignment w:val="auto"/>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注：1、计分方法按四舍五入取至百分位。</w:t>
      </w:r>
    </w:p>
    <w:p w14:paraId="4E9A6B57">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asciiTheme="minorEastAsia" w:hAnsiTheme="minorEastAsia" w:eastAsiaTheme="minorEastAsia"/>
          <w:bCs/>
          <w:color w:val="000000" w:themeColor="text1"/>
          <w:sz w:val="28"/>
          <w:szCs w:val="28"/>
          <w:highlight w:val="none"/>
          <w:u w:val="single"/>
          <w14:textFill>
            <w14:solidFill>
              <w14:schemeClr w14:val="tx1"/>
            </w14:solidFill>
          </w14:textFill>
        </w:rPr>
      </w:pPr>
      <w:r>
        <w:rPr>
          <w:rFonts w:hint="eastAsia" w:asciiTheme="minorEastAsia" w:hAnsiTheme="minorEastAsia" w:eastAsiaTheme="minorEastAsia"/>
          <w:bCs/>
          <w:color w:val="000000" w:themeColor="text1"/>
          <w:sz w:val="28"/>
          <w:szCs w:val="28"/>
          <w:highlight w:val="none"/>
          <w14:textFill>
            <w14:solidFill>
              <w14:schemeClr w14:val="tx1"/>
            </w14:solidFill>
          </w14:textFill>
        </w:rPr>
        <w:t>总得分=</w:t>
      </w:r>
      <w:r>
        <w:rPr>
          <w:rFonts w:hint="eastAsia" w:asciiTheme="minorEastAsia" w:hAnsiTheme="minorEastAsia" w:eastAsiaTheme="minorEastAsia"/>
          <w:bCs/>
          <w:color w:val="000000" w:themeColor="text1"/>
          <w:sz w:val="28"/>
          <w:szCs w:val="28"/>
          <w:highlight w:val="none"/>
          <w:u w:val="single"/>
          <w14:textFill>
            <w14:solidFill>
              <w14:schemeClr w14:val="tx1"/>
            </w14:solidFill>
          </w14:textFill>
        </w:rPr>
        <w:t xml:space="preserve"> 报价得分+ 商务得分+技术得分                                                           </w:t>
      </w:r>
    </w:p>
    <w:p w14:paraId="3750F4B8">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asciiTheme="minorEastAsia" w:hAnsiTheme="minorEastAsia" w:eastAsiaTheme="minorEastAsia"/>
          <w:bCs/>
          <w:color w:val="000000" w:themeColor="text1"/>
          <w:sz w:val="28"/>
          <w:szCs w:val="28"/>
          <w:highlight w:val="none"/>
          <w14:textFill>
            <w14:solidFill>
              <w14:schemeClr w14:val="tx1"/>
            </w14:solidFill>
          </w14:textFill>
        </w:rPr>
      </w:pPr>
      <w:r>
        <w:rPr>
          <w:rFonts w:asciiTheme="minorEastAsia" w:hAnsiTheme="minorEastAsia" w:eastAsiaTheme="minorEastAsia"/>
          <w:bCs/>
          <w:color w:val="000000" w:themeColor="text1"/>
          <w:sz w:val="28"/>
          <w:szCs w:val="28"/>
          <w:highlight w:val="none"/>
          <w14:textFill>
            <w14:solidFill>
              <w14:schemeClr w14:val="tx1"/>
            </w14:solidFill>
          </w14:textFill>
        </w:rPr>
        <w:t xml:space="preserve"> </w:t>
      </w:r>
      <w:r>
        <w:rPr>
          <w:rFonts w:hint="eastAsia" w:asciiTheme="minorEastAsia" w:hAnsiTheme="minorEastAsia" w:eastAsiaTheme="minorEastAsia"/>
          <w:bCs/>
          <w:color w:val="000000" w:themeColor="text1"/>
          <w:sz w:val="28"/>
          <w:szCs w:val="28"/>
          <w:highlight w:val="none"/>
          <w14:textFill>
            <w14:solidFill>
              <w14:schemeClr w14:val="tx1"/>
            </w14:solidFill>
          </w14:textFill>
        </w:rPr>
        <w:t>标项</w:t>
      </w:r>
      <w:r>
        <w:rPr>
          <w:rFonts w:hint="eastAsia" w:asciiTheme="minorEastAsia" w:hAnsiTheme="minorEastAsia" w:eastAsiaTheme="minorEastAsia"/>
          <w:bCs/>
          <w:color w:val="000000" w:themeColor="text1"/>
          <w:sz w:val="28"/>
          <w:szCs w:val="28"/>
          <w:highlight w:val="none"/>
          <w:lang w:val="en-US" w:eastAsia="zh-CN"/>
          <w14:textFill>
            <w14:solidFill>
              <w14:schemeClr w14:val="tx1"/>
            </w14:solidFill>
          </w14:textFill>
        </w:rPr>
        <w:t>2</w:t>
      </w:r>
      <w:r>
        <w:rPr>
          <w:rFonts w:asciiTheme="minorEastAsia" w:hAnsiTheme="minorEastAsia" w:eastAsiaTheme="minorEastAsia"/>
          <w:bCs/>
          <w:color w:val="000000" w:themeColor="text1"/>
          <w:sz w:val="28"/>
          <w:szCs w:val="28"/>
          <w:highlight w:val="none"/>
          <w14:textFill>
            <w14:solidFill>
              <w14:schemeClr w14:val="tx1"/>
            </w14:solidFill>
          </w14:textFill>
        </w:rPr>
        <w:t xml:space="preserve">的评分方法 </w:t>
      </w:r>
    </w:p>
    <w:tbl>
      <w:tblPr>
        <w:tblStyle w:val="35"/>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3"/>
        <w:gridCol w:w="1500"/>
        <w:gridCol w:w="6283"/>
        <w:gridCol w:w="1088"/>
      </w:tblGrid>
      <w:tr w14:paraId="63C44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 w:type="dxa"/>
            <w:vAlign w:val="center"/>
          </w:tcPr>
          <w:p w14:paraId="552CF0B0">
            <w:pPr>
              <w:keepNext w:val="0"/>
              <w:keepLines w:val="0"/>
              <w:pageBreakBefore w:val="0"/>
              <w:kinsoku/>
              <w:wordWrap/>
              <w:overflowPunct/>
              <w:topLinePunct w:val="0"/>
              <w:autoSpaceDE/>
              <w:autoSpaceDN/>
              <w:bidi w:val="0"/>
              <w:adjustRightInd/>
              <w:snapToGrid/>
              <w:spacing w:line="560" w:lineRule="exact"/>
              <w:jc w:val="center"/>
              <w:textAlignment w:val="auto"/>
              <w:rPr>
                <w:rFonts w:asciiTheme="minorEastAsia" w:hAnsiTheme="minorEastAsia" w:eastAsiaTheme="minorEastAsia"/>
                <w:bCs/>
                <w:color w:val="000000" w:themeColor="text1"/>
                <w:kern w:val="0"/>
                <w:sz w:val="28"/>
                <w:szCs w:val="28"/>
                <w:highlight w:val="none"/>
                <w14:textFill>
                  <w14:solidFill>
                    <w14:schemeClr w14:val="tx1"/>
                  </w14:solidFill>
                </w14:textFill>
              </w:rPr>
            </w:pPr>
            <w:r>
              <w:rPr>
                <w:rFonts w:hint="eastAsia" w:asciiTheme="minorEastAsia" w:hAnsiTheme="minorEastAsia" w:eastAsiaTheme="minorEastAsia"/>
                <w:bCs/>
                <w:color w:val="000000" w:themeColor="text1"/>
                <w:kern w:val="0"/>
                <w:sz w:val="28"/>
                <w:szCs w:val="28"/>
                <w:highlight w:val="none"/>
                <w14:textFill>
                  <w14:solidFill>
                    <w14:schemeClr w14:val="tx1"/>
                  </w14:solidFill>
                </w14:textFill>
              </w:rPr>
              <w:t>序号</w:t>
            </w:r>
          </w:p>
        </w:tc>
        <w:tc>
          <w:tcPr>
            <w:tcW w:w="1500" w:type="dxa"/>
            <w:vAlign w:val="center"/>
          </w:tcPr>
          <w:p w14:paraId="55DFAEE4">
            <w:pPr>
              <w:keepNext w:val="0"/>
              <w:keepLines w:val="0"/>
              <w:pageBreakBefore w:val="0"/>
              <w:kinsoku/>
              <w:wordWrap/>
              <w:overflowPunct/>
              <w:topLinePunct w:val="0"/>
              <w:autoSpaceDE/>
              <w:autoSpaceDN/>
              <w:bidi w:val="0"/>
              <w:adjustRightInd/>
              <w:snapToGrid/>
              <w:spacing w:line="560" w:lineRule="exact"/>
              <w:jc w:val="center"/>
              <w:textAlignment w:val="auto"/>
              <w:rPr>
                <w:rFonts w:asciiTheme="minorEastAsia" w:hAnsiTheme="minorEastAsia" w:eastAsiaTheme="minorEastAsia"/>
                <w:bCs/>
                <w:color w:val="000000" w:themeColor="text1"/>
                <w:kern w:val="0"/>
                <w:sz w:val="28"/>
                <w:szCs w:val="28"/>
                <w:highlight w:val="none"/>
                <w14:textFill>
                  <w14:solidFill>
                    <w14:schemeClr w14:val="tx1"/>
                  </w14:solidFill>
                </w14:textFill>
              </w:rPr>
            </w:pPr>
            <w:r>
              <w:rPr>
                <w:rFonts w:hint="eastAsia" w:asciiTheme="minorEastAsia" w:hAnsiTheme="minorEastAsia" w:eastAsiaTheme="minorEastAsia"/>
                <w:bCs/>
                <w:color w:val="000000" w:themeColor="text1"/>
                <w:kern w:val="0"/>
                <w:sz w:val="28"/>
                <w:szCs w:val="28"/>
                <w:highlight w:val="none"/>
                <w14:textFill>
                  <w14:solidFill>
                    <w14:schemeClr w14:val="tx1"/>
                  </w14:solidFill>
                </w14:textFill>
              </w:rPr>
              <w:t>评分类型</w:t>
            </w:r>
          </w:p>
        </w:tc>
        <w:tc>
          <w:tcPr>
            <w:tcW w:w="6283" w:type="dxa"/>
            <w:vAlign w:val="center"/>
          </w:tcPr>
          <w:p w14:paraId="441245CF">
            <w:pPr>
              <w:keepNext w:val="0"/>
              <w:keepLines w:val="0"/>
              <w:pageBreakBefore w:val="0"/>
              <w:kinsoku/>
              <w:wordWrap/>
              <w:overflowPunct/>
              <w:topLinePunct w:val="0"/>
              <w:autoSpaceDE/>
              <w:autoSpaceDN/>
              <w:bidi w:val="0"/>
              <w:adjustRightInd/>
              <w:snapToGrid/>
              <w:spacing w:line="560" w:lineRule="exact"/>
              <w:jc w:val="center"/>
              <w:textAlignment w:val="auto"/>
              <w:rPr>
                <w:rFonts w:asciiTheme="minorEastAsia" w:hAnsiTheme="minorEastAsia" w:eastAsiaTheme="minorEastAsia"/>
                <w:bCs/>
                <w:color w:val="000000" w:themeColor="text1"/>
                <w:kern w:val="0"/>
                <w:sz w:val="28"/>
                <w:szCs w:val="28"/>
                <w:highlight w:val="none"/>
                <w14:textFill>
                  <w14:solidFill>
                    <w14:schemeClr w14:val="tx1"/>
                  </w14:solidFill>
                </w14:textFill>
              </w:rPr>
            </w:pPr>
            <w:r>
              <w:rPr>
                <w:rFonts w:hint="eastAsia" w:asciiTheme="minorEastAsia" w:hAnsiTheme="minorEastAsia" w:eastAsiaTheme="minorEastAsia"/>
                <w:bCs/>
                <w:color w:val="000000" w:themeColor="text1"/>
                <w:kern w:val="0"/>
                <w:sz w:val="28"/>
                <w:szCs w:val="28"/>
                <w:highlight w:val="none"/>
                <w14:textFill>
                  <w14:solidFill>
                    <w14:schemeClr w14:val="tx1"/>
                  </w14:solidFill>
                </w14:textFill>
              </w:rPr>
              <w:t>评分标准</w:t>
            </w:r>
          </w:p>
        </w:tc>
        <w:tc>
          <w:tcPr>
            <w:tcW w:w="1088" w:type="dxa"/>
            <w:vAlign w:val="center"/>
          </w:tcPr>
          <w:p w14:paraId="3083E269">
            <w:pPr>
              <w:keepNext w:val="0"/>
              <w:keepLines w:val="0"/>
              <w:pageBreakBefore w:val="0"/>
              <w:kinsoku/>
              <w:wordWrap/>
              <w:overflowPunct/>
              <w:topLinePunct w:val="0"/>
              <w:autoSpaceDE/>
              <w:autoSpaceDN/>
              <w:bidi w:val="0"/>
              <w:adjustRightInd/>
              <w:snapToGrid/>
              <w:spacing w:line="560" w:lineRule="exact"/>
              <w:jc w:val="center"/>
              <w:textAlignment w:val="auto"/>
              <w:rPr>
                <w:rFonts w:asciiTheme="minorEastAsia" w:hAnsiTheme="minorEastAsia" w:eastAsiaTheme="minorEastAsia"/>
                <w:bCs/>
                <w:color w:val="000000" w:themeColor="text1"/>
                <w:kern w:val="0"/>
                <w:sz w:val="28"/>
                <w:szCs w:val="28"/>
                <w:highlight w:val="none"/>
                <w14:textFill>
                  <w14:solidFill>
                    <w14:schemeClr w14:val="tx1"/>
                  </w14:solidFill>
                </w14:textFill>
              </w:rPr>
            </w:pPr>
            <w:r>
              <w:rPr>
                <w:rFonts w:hint="eastAsia" w:asciiTheme="minorEastAsia" w:hAnsiTheme="minorEastAsia" w:eastAsiaTheme="minorEastAsia"/>
                <w:bCs/>
                <w:color w:val="000000" w:themeColor="text1"/>
                <w:kern w:val="0"/>
                <w:sz w:val="28"/>
                <w:szCs w:val="28"/>
                <w:highlight w:val="none"/>
                <w14:textFill>
                  <w14:solidFill>
                    <w14:schemeClr w14:val="tx1"/>
                  </w14:solidFill>
                </w14:textFill>
              </w:rPr>
              <w:t>分值</w:t>
            </w:r>
          </w:p>
        </w:tc>
      </w:tr>
      <w:tr w14:paraId="70169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 w:type="dxa"/>
            <w:vAlign w:val="center"/>
          </w:tcPr>
          <w:p w14:paraId="2569687E">
            <w:pPr>
              <w:keepNext w:val="0"/>
              <w:keepLines w:val="0"/>
              <w:pageBreakBefore w:val="0"/>
              <w:kinsoku/>
              <w:wordWrap/>
              <w:overflowPunct/>
              <w:topLinePunct w:val="0"/>
              <w:autoSpaceDE/>
              <w:autoSpaceDN/>
              <w:bidi w:val="0"/>
              <w:adjustRightInd/>
              <w:snapToGrid/>
              <w:spacing w:line="560" w:lineRule="exact"/>
              <w:jc w:val="center"/>
              <w:textAlignment w:val="auto"/>
              <w:rPr>
                <w:rFonts w:asciiTheme="minorEastAsia" w:hAnsiTheme="minorEastAsia" w:eastAsiaTheme="minorEastAsia"/>
                <w:bCs/>
                <w:color w:val="000000" w:themeColor="text1"/>
                <w:kern w:val="0"/>
                <w:sz w:val="28"/>
                <w:szCs w:val="28"/>
                <w:highlight w:val="none"/>
                <w14:textFill>
                  <w14:solidFill>
                    <w14:schemeClr w14:val="tx1"/>
                  </w14:solidFill>
                </w14:textFill>
              </w:rPr>
            </w:pPr>
            <w:r>
              <w:rPr>
                <w:rFonts w:asciiTheme="minorEastAsia" w:hAnsiTheme="minorEastAsia" w:eastAsiaTheme="minorEastAsia"/>
                <w:bCs/>
                <w:color w:val="000000" w:themeColor="text1"/>
                <w:kern w:val="0"/>
                <w:sz w:val="28"/>
                <w:szCs w:val="28"/>
                <w:highlight w:val="none"/>
                <w14:textFill>
                  <w14:solidFill>
                    <w14:schemeClr w14:val="tx1"/>
                  </w14:solidFill>
                </w14:textFill>
              </w:rPr>
              <w:t>1</w:t>
            </w:r>
          </w:p>
        </w:tc>
        <w:tc>
          <w:tcPr>
            <w:tcW w:w="1500" w:type="dxa"/>
            <w:vAlign w:val="center"/>
          </w:tcPr>
          <w:p w14:paraId="4F86BDA6">
            <w:pPr>
              <w:keepNext w:val="0"/>
              <w:keepLines w:val="0"/>
              <w:pageBreakBefore w:val="0"/>
              <w:kinsoku/>
              <w:wordWrap/>
              <w:overflowPunct/>
              <w:topLinePunct w:val="0"/>
              <w:autoSpaceDE/>
              <w:autoSpaceDN/>
              <w:bidi w:val="0"/>
              <w:adjustRightInd/>
              <w:snapToGrid/>
              <w:spacing w:line="560" w:lineRule="exact"/>
              <w:jc w:val="center"/>
              <w:textAlignment w:val="auto"/>
              <w:rPr>
                <w:rFonts w:asciiTheme="minorEastAsia" w:hAnsiTheme="minorEastAsia" w:eastAsiaTheme="minorEastAsia"/>
                <w:bCs/>
                <w:color w:val="000000" w:themeColor="text1"/>
                <w:kern w:val="0"/>
                <w:sz w:val="28"/>
                <w:szCs w:val="28"/>
                <w:highlight w:val="none"/>
                <w14:textFill>
                  <w14:solidFill>
                    <w14:schemeClr w14:val="tx1"/>
                  </w14:solidFill>
                </w14:textFill>
              </w:rPr>
            </w:pPr>
            <w:r>
              <w:rPr>
                <w:rFonts w:hint="eastAsia" w:asciiTheme="minorEastAsia" w:hAnsiTheme="minorEastAsia" w:eastAsiaTheme="minorEastAsia"/>
                <w:bCs/>
                <w:color w:val="000000" w:themeColor="text1"/>
                <w:kern w:val="0"/>
                <w:sz w:val="28"/>
                <w:szCs w:val="28"/>
                <w:highlight w:val="none"/>
                <w14:textFill>
                  <w14:solidFill>
                    <w14:schemeClr w14:val="tx1"/>
                  </w14:solidFill>
                </w14:textFill>
              </w:rPr>
              <w:t>报价</w:t>
            </w:r>
          </w:p>
        </w:tc>
        <w:tc>
          <w:tcPr>
            <w:tcW w:w="6283" w:type="dxa"/>
          </w:tcPr>
          <w:p w14:paraId="345EC991">
            <w:pPr>
              <w:keepNext w:val="0"/>
              <w:keepLines w:val="0"/>
              <w:pageBreakBefore w:val="0"/>
              <w:kinsoku/>
              <w:wordWrap/>
              <w:overflowPunct/>
              <w:topLinePunct w:val="0"/>
              <w:autoSpaceDE/>
              <w:autoSpaceDN/>
              <w:bidi w:val="0"/>
              <w:adjustRightInd/>
              <w:snapToGrid/>
              <w:spacing w:line="560" w:lineRule="exact"/>
              <w:textAlignment w:val="auto"/>
              <w:rPr>
                <w:rFonts w:asciiTheme="minorEastAsia" w:hAnsiTheme="minorEastAsia" w:eastAsiaTheme="minorEastAsia"/>
                <w:bCs/>
                <w:color w:val="000000" w:themeColor="text1"/>
                <w:kern w:val="0"/>
                <w:sz w:val="28"/>
                <w:szCs w:val="28"/>
                <w:highlight w:val="none"/>
                <w14:textFill>
                  <w14:solidFill>
                    <w14:schemeClr w14:val="tx1"/>
                  </w14:solidFill>
                </w14:textFill>
              </w:rPr>
            </w:pPr>
            <w:r>
              <w:rPr>
                <w:rFonts w:hint="eastAsia" w:asciiTheme="minorEastAsia" w:hAnsiTheme="minorEastAsia" w:eastAsiaTheme="minorEastAsia"/>
                <w:bCs/>
                <w:color w:val="000000" w:themeColor="text1"/>
                <w:kern w:val="0"/>
                <w:sz w:val="28"/>
                <w:szCs w:val="28"/>
                <w:highlight w:val="none"/>
                <w14:textFill>
                  <w14:solidFill>
                    <w14:schemeClr w14:val="tx1"/>
                  </w14:solidFill>
                </w14:textFill>
              </w:rPr>
              <w:t>(评标基准价/投标报价)*最大分值</w:t>
            </w:r>
          </w:p>
          <w:p w14:paraId="4FCA4014">
            <w:pPr>
              <w:keepNext w:val="0"/>
              <w:keepLines w:val="0"/>
              <w:pageBreakBefore w:val="0"/>
              <w:kinsoku/>
              <w:wordWrap/>
              <w:overflowPunct/>
              <w:topLinePunct w:val="0"/>
              <w:autoSpaceDE/>
              <w:autoSpaceDN/>
              <w:bidi w:val="0"/>
              <w:adjustRightInd/>
              <w:snapToGrid/>
              <w:spacing w:line="560" w:lineRule="exact"/>
              <w:textAlignment w:val="auto"/>
              <w:rPr>
                <w:rFonts w:asciiTheme="minorEastAsia" w:hAnsiTheme="minorEastAsia" w:eastAsiaTheme="minorEastAsia"/>
                <w:bCs/>
                <w:color w:val="000000" w:themeColor="text1"/>
                <w:kern w:val="0"/>
                <w:sz w:val="28"/>
                <w:szCs w:val="28"/>
                <w:highlight w:val="none"/>
                <w14:textFill>
                  <w14:solidFill>
                    <w14:schemeClr w14:val="tx1"/>
                  </w14:solidFill>
                </w14:textFill>
              </w:rPr>
            </w:pPr>
            <w:r>
              <w:rPr>
                <w:rFonts w:hint="eastAsia" w:asciiTheme="minorEastAsia" w:hAnsiTheme="minorEastAsia" w:eastAsiaTheme="minorEastAsia"/>
                <w:bCs/>
                <w:color w:val="000000" w:themeColor="text1"/>
                <w:kern w:val="0"/>
                <w:sz w:val="28"/>
                <w:szCs w:val="28"/>
                <w:highlight w:val="none"/>
                <w14:textFill>
                  <w14:solidFill>
                    <w14:schemeClr w14:val="tx1"/>
                  </w14:solidFill>
                </w14:textFill>
              </w:rPr>
              <w:t>1.评标基准价：满足招标文件要求且经算术修正，依据政府采购政策进行价格扣除后的最低投标报价为评标基准价；</w:t>
            </w:r>
          </w:p>
          <w:p w14:paraId="1FF67798">
            <w:pPr>
              <w:keepNext w:val="0"/>
              <w:keepLines w:val="0"/>
              <w:pageBreakBefore w:val="0"/>
              <w:kinsoku/>
              <w:wordWrap/>
              <w:overflowPunct/>
              <w:topLinePunct w:val="0"/>
              <w:autoSpaceDE/>
              <w:autoSpaceDN/>
              <w:bidi w:val="0"/>
              <w:adjustRightInd/>
              <w:snapToGrid/>
              <w:spacing w:line="560" w:lineRule="exact"/>
              <w:textAlignment w:val="auto"/>
              <w:rPr>
                <w:rFonts w:asciiTheme="minorEastAsia" w:hAnsiTheme="minorEastAsia" w:eastAsiaTheme="minorEastAsia"/>
                <w:bCs/>
                <w:color w:val="000000" w:themeColor="text1"/>
                <w:kern w:val="0"/>
                <w:sz w:val="28"/>
                <w:szCs w:val="28"/>
                <w:highlight w:val="none"/>
                <w14:textFill>
                  <w14:solidFill>
                    <w14:schemeClr w14:val="tx1"/>
                  </w14:solidFill>
                </w14:textFill>
              </w:rPr>
            </w:pPr>
            <w:r>
              <w:rPr>
                <w:rFonts w:hint="eastAsia" w:asciiTheme="minorEastAsia" w:hAnsiTheme="minorEastAsia" w:eastAsiaTheme="minorEastAsia"/>
                <w:bCs/>
                <w:color w:val="000000" w:themeColor="text1"/>
                <w:kern w:val="0"/>
                <w:sz w:val="28"/>
                <w:szCs w:val="28"/>
                <w:highlight w:val="none"/>
                <w14:textFill>
                  <w14:solidFill>
                    <w14:schemeClr w14:val="tx1"/>
                  </w14:solidFill>
                </w14:textFill>
              </w:rPr>
              <w:t>2.投标报价：评标委员会以开标一览表中报价为基础，对其进行算术修正，依据政府采购政策进行价格扣除后，作为投标报价得分计算的依据。</w:t>
            </w:r>
          </w:p>
        </w:tc>
        <w:tc>
          <w:tcPr>
            <w:tcW w:w="1088" w:type="dxa"/>
            <w:vAlign w:val="center"/>
          </w:tcPr>
          <w:p w14:paraId="20217D66">
            <w:pPr>
              <w:keepNext w:val="0"/>
              <w:keepLines w:val="0"/>
              <w:pageBreakBefore w:val="0"/>
              <w:kinsoku/>
              <w:wordWrap/>
              <w:overflowPunct/>
              <w:topLinePunct w:val="0"/>
              <w:autoSpaceDE/>
              <w:autoSpaceDN/>
              <w:bidi w:val="0"/>
              <w:adjustRightInd/>
              <w:snapToGrid/>
              <w:spacing w:line="560" w:lineRule="exact"/>
              <w:jc w:val="center"/>
              <w:textAlignment w:val="auto"/>
              <w:rPr>
                <w:rFonts w:asciiTheme="minorEastAsia" w:hAnsiTheme="minorEastAsia" w:eastAsiaTheme="minorEastAsia"/>
                <w:bCs/>
                <w:color w:val="000000" w:themeColor="text1"/>
                <w:kern w:val="0"/>
                <w:sz w:val="28"/>
                <w:szCs w:val="28"/>
                <w:highlight w:val="none"/>
                <w14:textFill>
                  <w14:solidFill>
                    <w14:schemeClr w14:val="tx1"/>
                  </w14:solidFill>
                </w14:textFill>
              </w:rPr>
            </w:pPr>
            <w:r>
              <w:rPr>
                <w:rFonts w:asciiTheme="minorEastAsia" w:hAnsiTheme="minorEastAsia" w:eastAsiaTheme="minorEastAsia"/>
                <w:bCs/>
                <w:color w:val="000000" w:themeColor="text1"/>
                <w:kern w:val="0"/>
                <w:sz w:val="28"/>
                <w:szCs w:val="28"/>
                <w:highlight w:val="none"/>
                <w14:textFill>
                  <w14:solidFill>
                    <w14:schemeClr w14:val="tx1"/>
                  </w14:solidFill>
                </w14:textFill>
              </w:rPr>
              <w:t>30</w:t>
            </w:r>
          </w:p>
        </w:tc>
      </w:tr>
      <w:tr w14:paraId="2AF26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gridSpan w:val="4"/>
            <w:vAlign w:val="center"/>
          </w:tcPr>
          <w:p w14:paraId="5E79D019">
            <w:pPr>
              <w:keepNext w:val="0"/>
              <w:keepLines w:val="0"/>
              <w:pageBreakBefore w:val="0"/>
              <w:kinsoku/>
              <w:wordWrap/>
              <w:overflowPunct/>
              <w:topLinePunct w:val="0"/>
              <w:autoSpaceDE/>
              <w:autoSpaceDN/>
              <w:bidi w:val="0"/>
              <w:adjustRightInd/>
              <w:snapToGrid/>
              <w:spacing w:line="560" w:lineRule="exact"/>
              <w:jc w:val="left"/>
              <w:textAlignment w:val="auto"/>
              <w:rPr>
                <w:rFonts w:asciiTheme="minorEastAsia" w:hAnsiTheme="minorEastAsia" w:eastAsiaTheme="minorEastAsia"/>
                <w:bCs/>
                <w:color w:val="000000" w:themeColor="text1"/>
                <w:kern w:val="0"/>
                <w:sz w:val="28"/>
                <w:szCs w:val="28"/>
                <w:highlight w:val="none"/>
                <w14:textFill>
                  <w14:solidFill>
                    <w14:schemeClr w14:val="tx1"/>
                  </w14:solidFill>
                </w14:textFill>
              </w:rPr>
            </w:pPr>
            <w:r>
              <w:rPr>
                <w:rFonts w:hint="eastAsia" w:asciiTheme="minorEastAsia" w:hAnsiTheme="minorEastAsia" w:eastAsiaTheme="minorEastAsia"/>
                <w:bCs/>
                <w:color w:val="000000" w:themeColor="text1"/>
                <w:kern w:val="0"/>
                <w:sz w:val="28"/>
                <w:szCs w:val="28"/>
                <w:highlight w:val="none"/>
                <w14:textFill>
                  <w14:solidFill>
                    <w14:schemeClr w14:val="tx1"/>
                  </w14:solidFill>
                </w14:textFill>
              </w:rPr>
              <w:t>商务部分（</w:t>
            </w:r>
            <w:r>
              <w:rPr>
                <w:rFonts w:hint="eastAsia" w:asciiTheme="minorEastAsia" w:hAnsiTheme="minorEastAsia" w:eastAsiaTheme="minorEastAsia"/>
                <w:bCs/>
                <w:color w:val="000000" w:themeColor="text1"/>
                <w:kern w:val="0"/>
                <w:sz w:val="28"/>
                <w:szCs w:val="28"/>
                <w:highlight w:val="none"/>
                <w:lang w:val="en-US" w:eastAsia="zh-CN"/>
                <w14:textFill>
                  <w14:solidFill>
                    <w14:schemeClr w14:val="tx1"/>
                  </w14:solidFill>
                </w14:textFill>
              </w:rPr>
              <w:t>6</w:t>
            </w:r>
            <w:r>
              <w:rPr>
                <w:rFonts w:hint="eastAsia" w:asciiTheme="minorEastAsia" w:hAnsiTheme="minorEastAsia" w:eastAsiaTheme="minorEastAsia"/>
                <w:bCs/>
                <w:color w:val="000000" w:themeColor="text1"/>
                <w:kern w:val="0"/>
                <w:sz w:val="28"/>
                <w:szCs w:val="28"/>
                <w:highlight w:val="none"/>
                <w14:textFill>
                  <w14:solidFill>
                    <w14:schemeClr w14:val="tx1"/>
                  </w14:solidFill>
                </w14:textFill>
              </w:rPr>
              <w:t>分）</w:t>
            </w:r>
          </w:p>
        </w:tc>
      </w:tr>
      <w:tr w14:paraId="11C9E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 w:type="dxa"/>
            <w:vAlign w:val="center"/>
          </w:tcPr>
          <w:p w14:paraId="573439FC">
            <w:pPr>
              <w:keepNext w:val="0"/>
              <w:keepLines w:val="0"/>
              <w:pageBreakBefore w:val="0"/>
              <w:kinsoku/>
              <w:wordWrap/>
              <w:overflowPunct/>
              <w:topLinePunct w:val="0"/>
              <w:autoSpaceDE/>
              <w:autoSpaceDN/>
              <w:bidi w:val="0"/>
              <w:adjustRightInd/>
              <w:snapToGrid/>
              <w:spacing w:line="560" w:lineRule="exact"/>
              <w:jc w:val="center"/>
              <w:textAlignment w:val="auto"/>
              <w:rPr>
                <w:rFonts w:asciiTheme="minorEastAsia" w:hAnsiTheme="minorEastAsia" w:eastAsiaTheme="minorEastAsia"/>
                <w:bCs/>
                <w:color w:val="000000" w:themeColor="text1"/>
                <w:kern w:val="0"/>
                <w:sz w:val="28"/>
                <w:szCs w:val="28"/>
                <w:highlight w:val="none"/>
                <w14:textFill>
                  <w14:solidFill>
                    <w14:schemeClr w14:val="tx1"/>
                  </w14:solidFill>
                </w14:textFill>
              </w:rPr>
            </w:pPr>
            <w:r>
              <w:rPr>
                <w:rFonts w:hint="eastAsia" w:asciiTheme="minorEastAsia" w:hAnsiTheme="minorEastAsia" w:eastAsiaTheme="minorEastAsia"/>
                <w:bCs/>
                <w:color w:val="000000" w:themeColor="text1"/>
                <w:kern w:val="0"/>
                <w:sz w:val="28"/>
                <w:szCs w:val="28"/>
                <w:highlight w:val="none"/>
                <w14:textFill>
                  <w14:solidFill>
                    <w14:schemeClr w14:val="tx1"/>
                  </w14:solidFill>
                </w14:textFill>
              </w:rPr>
              <w:t>1</w:t>
            </w:r>
          </w:p>
        </w:tc>
        <w:tc>
          <w:tcPr>
            <w:tcW w:w="1500" w:type="dxa"/>
            <w:vAlign w:val="center"/>
          </w:tcPr>
          <w:p w14:paraId="1007C91E">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bCs/>
                <w:color w:val="000000" w:themeColor="text1"/>
                <w:kern w:val="0"/>
                <w:sz w:val="28"/>
                <w:szCs w:val="28"/>
                <w:highlight w:val="none"/>
                <w14:textFill>
                  <w14:solidFill>
                    <w14:schemeClr w14:val="tx1"/>
                  </w14:solidFill>
                </w14:textFill>
              </w:rPr>
            </w:pPr>
            <w:r>
              <w:rPr>
                <w:rFonts w:hint="eastAsia" w:asciiTheme="minorEastAsia" w:hAnsiTheme="minorEastAsia" w:eastAsiaTheme="minorEastAsia"/>
                <w:bCs/>
                <w:color w:val="000000" w:themeColor="text1"/>
                <w:kern w:val="0"/>
                <w:sz w:val="28"/>
                <w:szCs w:val="28"/>
                <w:highlight w:val="none"/>
                <w14:textFill>
                  <w14:solidFill>
                    <w14:schemeClr w14:val="tx1"/>
                  </w14:solidFill>
                </w14:textFill>
              </w:rPr>
              <w:t>业绩</w:t>
            </w:r>
          </w:p>
          <w:p w14:paraId="51C4CE2E">
            <w:pPr>
              <w:keepNext w:val="0"/>
              <w:keepLines w:val="0"/>
              <w:pageBreakBefore w:val="0"/>
              <w:kinsoku/>
              <w:wordWrap/>
              <w:overflowPunct/>
              <w:topLinePunct w:val="0"/>
              <w:autoSpaceDE/>
              <w:autoSpaceDN/>
              <w:bidi w:val="0"/>
              <w:adjustRightInd/>
              <w:snapToGrid/>
              <w:spacing w:line="560" w:lineRule="exact"/>
              <w:jc w:val="center"/>
              <w:textAlignment w:val="auto"/>
              <w:rPr>
                <w:rFonts w:asciiTheme="minorEastAsia" w:hAnsiTheme="minorEastAsia" w:eastAsiaTheme="minorEastAsia"/>
                <w:bCs/>
                <w:color w:val="000000" w:themeColor="text1"/>
                <w:kern w:val="0"/>
                <w:sz w:val="28"/>
                <w:szCs w:val="28"/>
                <w:highlight w:val="none"/>
                <w14:textFill>
                  <w14:solidFill>
                    <w14:schemeClr w14:val="tx1"/>
                  </w14:solidFill>
                </w14:textFill>
              </w:rPr>
            </w:pPr>
            <w:r>
              <w:rPr>
                <w:rFonts w:hint="eastAsia" w:asciiTheme="minorEastAsia" w:hAnsiTheme="minorEastAsia" w:eastAsiaTheme="minorEastAsia"/>
                <w:bCs/>
                <w:color w:val="000000" w:themeColor="text1"/>
                <w:kern w:val="0"/>
                <w:sz w:val="28"/>
                <w:szCs w:val="28"/>
                <w:highlight w:val="none"/>
                <w14:textFill>
                  <w14:solidFill>
                    <w14:schemeClr w14:val="tx1"/>
                  </w14:solidFill>
                </w14:textFill>
              </w:rPr>
              <w:t>情况</w:t>
            </w:r>
          </w:p>
        </w:tc>
        <w:tc>
          <w:tcPr>
            <w:tcW w:w="6283" w:type="dxa"/>
          </w:tcPr>
          <w:p w14:paraId="2A17DAC1">
            <w:pPr>
              <w:keepNext w:val="0"/>
              <w:keepLines w:val="0"/>
              <w:pageBreakBefore w:val="0"/>
              <w:kinsoku/>
              <w:wordWrap/>
              <w:overflowPunct/>
              <w:topLinePunct w:val="0"/>
              <w:autoSpaceDE/>
              <w:autoSpaceDN/>
              <w:bidi w:val="0"/>
              <w:adjustRightInd/>
              <w:snapToGrid/>
              <w:spacing w:line="560" w:lineRule="exact"/>
              <w:textAlignment w:val="auto"/>
              <w:rPr>
                <w:rFonts w:asciiTheme="minorEastAsia" w:hAnsiTheme="minorEastAsia" w:eastAsiaTheme="minorEastAsia"/>
                <w:bCs/>
                <w:color w:val="000000" w:themeColor="text1"/>
                <w:kern w:val="0"/>
                <w:sz w:val="28"/>
                <w:szCs w:val="28"/>
                <w:highlight w:val="none"/>
                <w14:textFill>
                  <w14:solidFill>
                    <w14:schemeClr w14:val="tx1"/>
                  </w14:solidFill>
                </w14:textFill>
              </w:rPr>
            </w:pPr>
            <w:r>
              <w:rPr>
                <w:rFonts w:hint="eastAsia" w:asciiTheme="minorEastAsia" w:hAnsiTheme="minorEastAsia" w:eastAsiaTheme="minorEastAsia"/>
                <w:bCs/>
                <w:color w:val="000000" w:themeColor="text1"/>
                <w:kern w:val="0"/>
                <w:sz w:val="28"/>
                <w:szCs w:val="28"/>
                <w:highlight w:val="none"/>
                <w:shd w:val="clear"/>
                <w14:textFill>
                  <w14:solidFill>
                    <w14:schemeClr w14:val="tx1"/>
                  </w14:solidFill>
                </w14:textFill>
              </w:rPr>
              <w:t>近三年（202</w:t>
            </w:r>
            <w:r>
              <w:rPr>
                <w:rFonts w:hint="eastAsia" w:asciiTheme="minorEastAsia" w:hAnsiTheme="minorEastAsia" w:eastAsiaTheme="minorEastAsia"/>
                <w:bCs/>
                <w:color w:val="000000" w:themeColor="text1"/>
                <w:kern w:val="0"/>
                <w:sz w:val="28"/>
                <w:szCs w:val="28"/>
                <w:highlight w:val="none"/>
                <w:shd w:val="clear"/>
                <w:lang w:val="en-US" w:eastAsia="zh-CN"/>
                <w14:textFill>
                  <w14:solidFill>
                    <w14:schemeClr w14:val="tx1"/>
                  </w14:solidFill>
                </w14:textFill>
              </w:rPr>
              <w:t>2</w:t>
            </w:r>
            <w:r>
              <w:rPr>
                <w:rFonts w:hint="eastAsia" w:asciiTheme="minorEastAsia" w:hAnsiTheme="minorEastAsia" w:eastAsiaTheme="minorEastAsia"/>
                <w:bCs/>
                <w:color w:val="000000" w:themeColor="text1"/>
                <w:kern w:val="0"/>
                <w:sz w:val="28"/>
                <w:szCs w:val="28"/>
                <w:highlight w:val="none"/>
                <w:shd w:val="clear"/>
                <w14:textFill>
                  <w14:solidFill>
                    <w14:schemeClr w14:val="tx1"/>
                  </w14:solidFill>
                </w14:textFill>
              </w:rPr>
              <w:t>年</w:t>
            </w:r>
            <w:r>
              <w:rPr>
                <w:rFonts w:hint="eastAsia" w:asciiTheme="minorEastAsia" w:hAnsiTheme="minorEastAsia" w:eastAsiaTheme="minorEastAsia"/>
                <w:bCs/>
                <w:color w:val="000000" w:themeColor="text1"/>
                <w:kern w:val="0"/>
                <w:sz w:val="28"/>
                <w:szCs w:val="28"/>
                <w:highlight w:val="none"/>
                <w:shd w:val="clear"/>
                <w:lang w:val="en-US" w:eastAsia="zh-CN"/>
                <w14:textFill>
                  <w14:solidFill>
                    <w14:schemeClr w14:val="tx1"/>
                  </w14:solidFill>
                </w14:textFill>
              </w:rPr>
              <w:t>1月1日</w:t>
            </w:r>
            <w:r>
              <w:rPr>
                <w:rFonts w:hint="eastAsia" w:asciiTheme="minorEastAsia" w:hAnsiTheme="minorEastAsia" w:eastAsiaTheme="minorEastAsia"/>
                <w:bCs/>
                <w:color w:val="000000" w:themeColor="text1"/>
                <w:kern w:val="0"/>
                <w:sz w:val="28"/>
                <w:szCs w:val="28"/>
                <w:highlight w:val="none"/>
                <w:shd w:val="clear"/>
                <w14:textFill>
                  <w14:solidFill>
                    <w14:schemeClr w14:val="tx1"/>
                  </w14:solidFill>
                </w14:textFill>
              </w:rPr>
              <w:t>-至今）</w:t>
            </w:r>
            <w:r>
              <w:rPr>
                <w:rFonts w:hint="eastAsia" w:asciiTheme="minorEastAsia" w:hAnsiTheme="minorEastAsia" w:eastAsiaTheme="minorEastAsia"/>
                <w:bCs/>
                <w:color w:val="000000" w:themeColor="text1"/>
                <w:kern w:val="0"/>
                <w:sz w:val="28"/>
                <w:szCs w:val="28"/>
                <w:highlight w:val="none"/>
                <w14:textFill>
                  <w14:solidFill>
                    <w14:schemeClr w14:val="tx1"/>
                  </w14:solidFill>
                </w14:textFill>
              </w:rPr>
              <w:t>内具有良好的类似业绩，并提供证明材料（中标通知书或合同），每提供一项业绩得2分，最高得4分。</w:t>
            </w:r>
          </w:p>
        </w:tc>
        <w:tc>
          <w:tcPr>
            <w:tcW w:w="1088" w:type="dxa"/>
            <w:vAlign w:val="center"/>
          </w:tcPr>
          <w:p w14:paraId="48B17B27">
            <w:pPr>
              <w:keepNext w:val="0"/>
              <w:keepLines w:val="0"/>
              <w:pageBreakBefore w:val="0"/>
              <w:kinsoku/>
              <w:wordWrap/>
              <w:overflowPunct/>
              <w:topLinePunct w:val="0"/>
              <w:autoSpaceDE/>
              <w:autoSpaceDN/>
              <w:bidi w:val="0"/>
              <w:adjustRightInd/>
              <w:snapToGrid/>
              <w:spacing w:line="560" w:lineRule="exact"/>
              <w:jc w:val="center"/>
              <w:textAlignment w:val="auto"/>
              <w:rPr>
                <w:rFonts w:asciiTheme="minorEastAsia" w:hAnsiTheme="minorEastAsia" w:eastAsiaTheme="minorEastAsia"/>
                <w:bCs/>
                <w:color w:val="000000" w:themeColor="text1"/>
                <w:kern w:val="0"/>
                <w:sz w:val="28"/>
                <w:szCs w:val="28"/>
                <w:highlight w:val="none"/>
                <w14:textFill>
                  <w14:solidFill>
                    <w14:schemeClr w14:val="tx1"/>
                  </w14:solidFill>
                </w14:textFill>
              </w:rPr>
            </w:pPr>
            <w:r>
              <w:rPr>
                <w:rFonts w:hint="eastAsia" w:asciiTheme="minorEastAsia" w:hAnsiTheme="minorEastAsia" w:eastAsiaTheme="minorEastAsia"/>
                <w:bCs/>
                <w:color w:val="000000" w:themeColor="text1"/>
                <w:kern w:val="0"/>
                <w:sz w:val="28"/>
                <w:szCs w:val="28"/>
                <w:highlight w:val="none"/>
                <w14:textFill>
                  <w14:solidFill>
                    <w14:schemeClr w14:val="tx1"/>
                  </w14:solidFill>
                </w14:textFill>
              </w:rPr>
              <w:t>4</w:t>
            </w:r>
          </w:p>
        </w:tc>
      </w:tr>
      <w:tr w14:paraId="2B9E0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 w:type="dxa"/>
            <w:vAlign w:val="center"/>
          </w:tcPr>
          <w:p w14:paraId="21C90A98">
            <w:pPr>
              <w:keepNext w:val="0"/>
              <w:keepLines w:val="0"/>
              <w:pageBreakBefore w:val="0"/>
              <w:kinsoku/>
              <w:wordWrap/>
              <w:overflowPunct/>
              <w:topLinePunct w:val="0"/>
              <w:autoSpaceDE/>
              <w:autoSpaceDN/>
              <w:bidi w:val="0"/>
              <w:adjustRightInd/>
              <w:snapToGrid/>
              <w:spacing w:line="560" w:lineRule="exact"/>
              <w:jc w:val="center"/>
              <w:textAlignment w:val="auto"/>
              <w:rPr>
                <w:rFonts w:asciiTheme="minorEastAsia" w:hAnsiTheme="minorEastAsia" w:eastAsiaTheme="minorEastAsia"/>
                <w:bCs/>
                <w:color w:val="000000" w:themeColor="text1"/>
                <w:kern w:val="0"/>
                <w:sz w:val="28"/>
                <w:szCs w:val="28"/>
                <w:highlight w:val="none"/>
                <w14:textFill>
                  <w14:solidFill>
                    <w14:schemeClr w14:val="tx1"/>
                  </w14:solidFill>
                </w14:textFill>
              </w:rPr>
            </w:pPr>
            <w:r>
              <w:rPr>
                <w:rFonts w:hint="eastAsia" w:asciiTheme="minorEastAsia" w:hAnsiTheme="minorEastAsia" w:eastAsiaTheme="minorEastAsia"/>
                <w:bCs/>
                <w:color w:val="000000" w:themeColor="text1"/>
                <w:kern w:val="0"/>
                <w:sz w:val="28"/>
                <w:szCs w:val="28"/>
                <w:highlight w:val="none"/>
                <w14:textFill>
                  <w14:solidFill>
                    <w14:schemeClr w14:val="tx1"/>
                  </w14:solidFill>
                </w14:textFill>
              </w:rPr>
              <w:t>2</w:t>
            </w:r>
          </w:p>
        </w:tc>
        <w:tc>
          <w:tcPr>
            <w:tcW w:w="1500" w:type="dxa"/>
            <w:vAlign w:val="center"/>
          </w:tcPr>
          <w:p w14:paraId="683E5762">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cs="Times New Roman" w:asciiTheme="minorEastAsia" w:hAnsiTheme="minorEastAsia" w:eastAsiaTheme="minorEastAsia"/>
                <w:bCs/>
                <w:color w:val="000000" w:themeColor="text1"/>
                <w:kern w:val="0"/>
                <w:sz w:val="28"/>
                <w:szCs w:val="28"/>
                <w:highlight w:val="none"/>
                <w14:textFill>
                  <w14:solidFill>
                    <w14:schemeClr w14:val="tx1"/>
                  </w14:solidFill>
                </w14:textFill>
              </w:rPr>
            </w:pPr>
            <w:r>
              <w:rPr>
                <w:rFonts w:hint="eastAsia" w:cs="Times New Roman" w:asciiTheme="minorEastAsia" w:hAnsiTheme="minorEastAsia" w:eastAsiaTheme="minorEastAsia"/>
                <w:bCs/>
                <w:color w:val="000000" w:themeColor="text1"/>
                <w:kern w:val="0"/>
                <w:sz w:val="28"/>
                <w:szCs w:val="28"/>
                <w:highlight w:val="none"/>
                <w:lang w:val="en-US" w:eastAsia="zh-CN"/>
                <w14:textFill>
                  <w14:solidFill>
                    <w14:schemeClr w14:val="tx1"/>
                  </w14:solidFill>
                </w14:textFill>
              </w:rPr>
              <w:t>项目负责人要求</w:t>
            </w:r>
          </w:p>
        </w:tc>
        <w:tc>
          <w:tcPr>
            <w:tcW w:w="6283" w:type="dxa"/>
            <w:vAlign w:val="center"/>
          </w:tcPr>
          <w:p w14:paraId="1B99949C">
            <w:pPr>
              <w:keepNext w:val="0"/>
              <w:keepLines w:val="0"/>
              <w:pageBreakBefore w:val="0"/>
              <w:kinsoku/>
              <w:wordWrap/>
              <w:overflowPunct/>
              <w:topLinePunct w:val="0"/>
              <w:autoSpaceDE/>
              <w:autoSpaceDN/>
              <w:bidi w:val="0"/>
              <w:adjustRightInd/>
              <w:snapToGrid/>
              <w:spacing w:line="560" w:lineRule="exact"/>
              <w:jc w:val="both"/>
              <w:textAlignment w:val="auto"/>
              <w:rPr>
                <w:rFonts w:hint="default" w:cs="Times New Roman" w:asciiTheme="minorEastAsia" w:hAnsiTheme="minorEastAsia" w:eastAsiaTheme="minorEastAsia"/>
                <w:bCs/>
                <w:color w:val="000000" w:themeColor="text1"/>
                <w:kern w:val="0"/>
                <w:sz w:val="28"/>
                <w:szCs w:val="28"/>
                <w:highlight w:val="none"/>
                <w:lang w:val="en-US" w:eastAsia="zh-CN"/>
                <w14:textFill>
                  <w14:solidFill>
                    <w14:schemeClr w14:val="tx1"/>
                  </w14:solidFill>
                </w14:textFill>
              </w:rPr>
            </w:pPr>
            <w:r>
              <w:rPr>
                <w:rFonts w:hint="eastAsia" w:cs="Times New Roman" w:asciiTheme="minorEastAsia" w:hAnsiTheme="minorEastAsia" w:eastAsiaTheme="minorEastAsia"/>
                <w:bCs/>
                <w:color w:val="000000" w:themeColor="text1"/>
                <w:kern w:val="0"/>
                <w:sz w:val="28"/>
                <w:szCs w:val="28"/>
                <w:highlight w:val="none"/>
                <w14:textFill>
                  <w14:solidFill>
                    <w14:schemeClr w14:val="tx1"/>
                  </w14:solidFill>
                </w14:textFill>
              </w:rPr>
              <w:t>针对本项目指派一名项目负责人，与采购人保持经常性联系，负责安排及全面督导项目的供货、安装、验收及移交工作，以减少交流的中间环节，得</w:t>
            </w:r>
            <w:r>
              <w:rPr>
                <w:rFonts w:hint="eastAsia" w:cs="Times New Roman" w:asciiTheme="minorEastAsia" w:hAnsiTheme="minorEastAsia" w:eastAsiaTheme="minorEastAsia"/>
                <w:bCs/>
                <w:color w:val="000000" w:themeColor="text1"/>
                <w:kern w:val="0"/>
                <w:sz w:val="28"/>
                <w:szCs w:val="28"/>
                <w:highlight w:val="none"/>
                <w:lang w:val="en-US" w:eastAsia="zh-CN"/>
                <w14:textFill>
                  <w14:solidFill>
                    <w14:schemeClr w14:val="tx1"/>
                  </w14:solidFill>
                </w14:textFill>
              </w:rPr>
              <w:t>3</w:t>
            </w:r>
            <w:r>
              <w:rPr>
                <w:rFonts w:hint="eastAsia" w:cs="Times New Roman" w:asciiTheme="minorEastAsia" w:hAnsiTheme="minorEastAsia" w:eastAsiaTheme="minorEastAsia"/>
                <w:bCs/>
                <w:color w:val="000000" w:themeColor="text1"/>
                <w:kern w:val="0"/>
                <w:sz w:val="28"/>
                <w:szCs w:val="28"/>
                <w:highlight w:val="none"/>
                <w14:textFill>
                  <w14:solidFill>
                    <w14:schemeClr w14:val="tx1"/>
                  </w14:solidFill>
                </w14:textFill>
              </w:rPr>
              <w:t>分；否则不得分。</w:t>
            </w:r>
            <w:r>
              <w:rPr>
                <w:rFonts w:hint="eastAsia" w:cs="Times New Roman" w:asciiTheme="minorEastAsia" w:hAnsiTheme="minorEastAsia" w:eastAsiaTheme="minorEastAsia"/>
                <w:bCs/>
                <w:color w:val="000000" w:themeColor="text1"/>
                <w:kern w:val="0"/>
                <w:sz w:val="28"/>
                <w:szCs w:val="28"/>
                <w:highlight w:val="none"/>
                <w:lang w:val="en-US" w:eastAsia="zh-CN"/>
                <w14:textFill>
                  <w14:solidFill>
                    <w14:schemeClr w14:val="tx1"/>
                  </w14:solidFill>
                </w14:textFill>
              </w:rPr>
              <w:t>注：需提供项目负责人由本单位缴纳的近半年任意一个月的社保证明材料，不提供不得分。</w:t>
            </w:r>
          </w:p>
        </w:tc>
        <w:tc>
          <w:tcPr>
            <w:tcW w:w="1088" w:type="dxa"/>
            <w:vAlign w:val="center"/>
          </w:tcPr>
          <w:p w14:paraId="75132881">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bCs/>
                <w:color w:val="000000" w:themeColor="text1"/>
                <w:kern w:val="0"/>
                <w:sz w:val="28"/>
                <w:szCs w:val="28"/>
                <w:highlight w:val="none"/>
                <w:lang w:eastAsia="zh-CN"/>
                <w14:textFill>
                  <w14:solidFill>
                    <w14:schemeClr w14:val="tx1"/>
                  </w14:solidFill>
                </w14:textFill>
              </w:rPr>
            </w:pPr>
            <w:r>
              <w:rPr>
                <w:rFonts w:hint="eastAsia" w:asciiTheme="minorEastAsia" w:hAnsiTheme="minorEastAsia" w:eastAsiaTheme="minorEastAsia"/>
                <w:bCs/>
                <w:color w:val="000000" w:themeColor="text1"/>
                <w:kern w:val="0"/>
                <w:sz w:val="28"/>
                <w:szCs w:val="28"/>
                <w:highlight w:val="none"/>
                <w:lang w:val="en-US" w:eastAsia="zh-CN"/>
                <w14:textFill>
                  <w14:solidFill>
                    <w14:schemeClr w14:val="tx1"/>
                  </w14:solidFill>
                </w14:textFill>
              </w:rPr>
              <w:t>3</w:t>
            </w:r>
          </w:p>
        </w:tc>
      </w:tr>
      <w:tr w14:paraId="1E654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gridSpan w:val="4"/>
            <w:vAlign w:val="center"/>
          </w:tcPr>
          <w:p w14:paraId="5767BAA8">
            <w:pPr>
              <w:keepNext w:val="0"/>
              <w:keepLines w:val="0"/>
              <w:pageBreakBefore w:val="0"/>
              <w:kinsoku/>
              <w:wordWrap/>
              <w:overflowPunct/>
              <w:topLinePunct w:val="0"/>
              <w:autoSpaceDE/>
              <w:autoSpaceDN/>
              <w:bidi w:val="0"/>
              <w:adjustRightInd/>
              <w:snapToGrid/>
              <w:spacing w:line="560" w:lineRule="exact"/>
              <w:jc w:val="left"/>
              <w:textAlignment w:val="auto"/>
              <w:rPr>
                <w:rFonts w:asciiTheme="minorEastAsia" w:hAnsiTheme="minorEastAsia" w:eastAsiaTheme="minorEastAsia"/>
                <w:bCs/>
                <w:color w:val="000000" w:themeColor="text1"/>
                <w:kern w:val="0"/>
                <w:sz w:val="28"/>
                <w:szCs w:val="28"/>
                <w:highlight w:val="none"/>
                <w14:textFill>
                  <w14:solidFill>
                    <w14:schemeClr w14:val="tx1"/>
                  </w14:solidFill>
                </w14:textFill>
              </w:rPr>
            </w:pPr>
            <w:r>
              <w:rPr>
                <w:rFonts w:hint="eastAsia" w:asciiTheme="minorEastAsia" w:hAnsiTheme="minorEastAsia" w:eastAsiaTheme="minorEastAsia"/>
                <w:bCs/>
                <w:color w:val="000000" w:themeColor="text1"/>
                <w:kern w:val="0"/>
                <w:sz w:val="28"/>
                <w:szCs w:val="28"/>
                <w:highlight w:val="none"/>
                <w14:textFill>
                  <w14:solidFill>
                    <w14:schemeClr w14:val="tx1"/>
                  </w14:solidFill>
                </w14:textFill>
              </w:rPr>
              <w:t>技术部分（</w:t>
            </w:r>
            <w:r>
              <w:rPr>
                <w:rFonts w:hint="eastAsia" w:asciiTheme="minorEastAsia" w:hAnsiTheme="minorEastAsia" w:eastAsiaTheme="minorEastAsia"/>
                <w:bCs/>
                <w:color w:val="000000" w:themeColor="text1"/>
                <w:kern w:val="0"/>
                <w:sz w:val="28"/>
                <w:szCs w:val="28"/>
                <w:highlight w:val="none"/>
                <w:lang w:val="en-US" w:eastAsia="zh-CN"/>
                <w14:textFill>
                  <w14:solidFill>
                    <w14:schemeClr w14:val="tx1"/>
                  </w14:solidFill>
                </w14:textFill>
              </w:rPr>
              <w:t>64</w:t>
            </w:r>
            <w:r>
              <w:rPr>
                <w:rFonts w:hint="eastAsia" w:asciiTheme="minorEastAsia" w:hAnsiTheme="minorEastAsia" w:eastAsiaTheme="minorEastAsia"/>
                <w:bCs/>
                <w:color w:val="000000" w:themeColor="text1"/>
                <w:kern w:val="0"/>
                <w:sz w:val="28"/>
                <w:szCs w:val="28"/>
                <w:highlight w:val="none"/>
                <w14:textFill>
                  <w14:solidFill>
                    <w14:schemeClr w14:val="tx1"/>
                  </w14:solidFill>
                </w14:textFill>
              </w:rPr>
              <w:t>分）</w:t>
            </w:r>
          </w:p>
        </w:tc>
      </w:tr>
      <w:tr w14:paraId="2462D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 w:type="dxa"/>
            <w:vAlign w:val="center"/>
          </w:tcPr>
          <w:p w14:paraId="4A851504">
            <w:pPr>
              <w:keepNext w:val="0"/>
              <w:keepLines w:val="0"/>
              <w:pageBreakBefore w:val="0"/>
              <w:kinsoku/>
              <w:wordWrap/>
              <w:overflowPunct/>
              <w:topLinePunct w:val="0"/>
              <w:autoSpaceDE/>
              <w:autoSpaceDN/>
              <w:bidi w:val="0"/>
              <w:adjustRightInd/>
              <w:snapToGrid/>
              <w:spacing w:line="560" w:lineRule="exact"/>
              <w:jc w:val="center"/>
              <w:textAlignment w:val="auto"/>
              <w:rPr>
                <w:rFonts w:asciiTheme="minorEastAsia" w:hAnsiTheme="minorEastAsia" w:eastAsiaTheme="minorEastAsia"/>
                <w:bCs/>
                <w:color w:val="000000" w:themeColor="text1"/>
                <w:kern w:val="0"/>
                <w:sz w:val="28"/>
                <w:szCs w:val="28"/>
                <w:highlight w:val="none"/>
                <w14:textFill>
                  <w14:solidFill>
                    <w14:schemeClr w14:val="tx1"/>
                  </w14:solidFill>
                </w14:textFill>
              </w:rPr>
            </w:pPr>
            <w:r>
              <w:rPr>
                <w:rFonts w:hint="eastAsia" w:asciiTheme="minorEastAsia" w:hAnsiTheme="minorEastAsia" w:eastAsiaTheme="minorEastAsia"/>
                <w:bCs/>
                <w:color w:val="000000" w:themeColor="text1"/>
                <w:kern w:val="0"/>
                <w:sz w:val="28"/>
                <w:szCs w:val="28"/>
                <w:highlight w:val="none"/>
                <w14:textFill>
                  <w14:solidFill>
                    <w14:schemeClr w14:val="tx1"/>
                  </w14:solidFill>
                </w14:textFill>
              </w:rPr>
              <w:t>1</w:t>
            </w:r>
          </w:p>
        </w:tc>
        <w:tc>
          <w:tcPr>
            <w:tcW w:w="1500" w:type="dxa"/>
            <w:vAlign w:val="center"/>
          </w:tcPr>
          <w:p w14:paraId="1A817891">
            <w:pPr>
              <w:pageBreakBefore w:val="0"/>
              <w:kinsoku/>
              <w:wordWrap/>
              <w:overflowPunct/>
              <w:topLinePunct w:val="0"/>
              <w:autoSpaceDE/>
              <w:autoSpaceDN/>
              <w:bidi w:val="0"/>
              <w:spacing w:line="560" w:lineRule="exact"/>
              <w:jc w:val="center"/>
              <w:textAlignment w:val="auto"/>
              <w:rPr>
                <w:rFonts w:asciiTheme="minorEastAsia" w:hAnsiTheme="minorEastAsia" w:eastAsiaTheme="minorEastAsia"/>
                <w:bCs/>
                <w:color w:val="000000" w:themeColor="text1"/>
                <w:kern w:val="0"/>
                <w:sz w:val="28"/>
                <w:szCs w:val="28"/>
                <w:highlight w:val="none"/>
                <w14:textFill>
                  <w14:solidFill>
                    <w14:schemeClr w14:val="tx1"/>
                  </w14:solidFill>
                </w14:textFill>
              </w:rPr>
            </w:pPr>
            <w:r>
              <w:rPr>
                <w:rFonts w:hint="eastAsia" w:ascii="宋体" w:hAnsi="宋体" w:eastAsia="宋体" w:cs="宋体"/>
                <w:color w:val="000000" w:themeColor="text1"/>
                <w:kern w:val="0"/>
                <w:sz w:val="28"/>
                <w:szCs w:val="28"/>
                <w:highlight w:val="none"/>
                <w14:textFill>
                  <w14:solidFill>
                    <w14:schemeClr w14:val="tx1"/>
                  </w14:solidFill>
                </w14:textFill>
              </w:rPr>
              <w:t>功能指标及技术参数要求</w:t>
            </w:r>
          </w:p>
        </w:tc>
        <w:tc>
          <w:tcPr>
            <w:tcW w:w="6283" w:type="dxa"/>
            <w:vAlign w:val="center"/>
          </w:tcPr>
          <w:p w14:paraId="5F7BD454">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000000" w:themeColor="text1"/>
                <w:kern w:val="0"/>
                <w:sz w:val="28"/>
                <w:szCs w:val="28"/>
                <w:highlight w:val="none"/>
                <w14:textFill>
                  <w14:solidFill>
                    <w14:schemeClr w14:val="tx1"/>
                  </w14:solidFill>
                </w14:textFill>
              </w:rPr>
            </w:pPr>
            <w:r>
              <w:rPr>
                <w:rFonts w:hint="eastAsia" w:ascii="宋体" w:hAnsi="宋体" w:eastAsia="宋体" w:cs="宋体"/>
                <w:color w:val="000000" w:themeColor="text1"/>
                <w:kern w:val="0"/>
                <w:sz w:val="28"/>
                <w:szCs w:val="28"/>
                <w:highlight w:val="none"/>
                <w14:textFill>
                  <w14:solidFill>
                    <w14:schemeClr w14:val="tx1"/>
                  </w14:solidFill>
                </w14:textFill>
              </w:rPr>
              <w:t>对照第</w:t>
            </w:r>
            <w:r>
              <w:rPr>
                <w:rFonts w:hint="eastAsia" w:ascii="宋体" w:hAnsi="宋体" w:eastAsia="宋体" w:cs="宋体"/>
                <w:color w:val="000000" w:themeColor="text1"/>
                <w:kern w:val="0"/>
                <w:sz w:val="28"/>
                <w:szCs w:val="28"/>
                <w:highlight w:val="none"/>
                <w:lang w:val="en-US" w:eastAsia="zh-CN"/>
                <w14:textFill>
                  <w14:solidFill>
                    <w14:schemeClr w14:val="tx1"/>
                  </w14:solidFill>
                </w14:textFill>
              </w:rPr>
              <w:t>三</w:t>
            </w:r>
            <w:r>
              <w:rPr>
                <w:rFonts w:hint="eastAsia" w:ascii="宋体" w:hAnsi="宋体" w:eastAsia="宋体" w:cs="宋体"/>
                <w:color w:val="000000" w:themeColor="text1"/>
                <w:kern w:val="0"/>
                <w:sz w:val="28"/>
                <w:szCs w:val="28"/>
                <w:highlight w:val="none"/>
                <w14:textFill>
                  <w14:solidFill>
                    <w14:schemeClr w14:val="tx1"/>
                  </w14:solidFill>
                </w14:textFill>
              </w:rPr>
              <w:t>章“</w:t>
            </w:r>
            <w:r>
              <w:rPr>
                <w:rFonts w:hint="eastAsia" w:ascii="宋体" w:hAnsi="宋体" w:eastAsia="宋体" w:cs="宋体"/>
                <w:color w:val="000000" w:themeColor="text1"/>
                <w:kern w:val="0"/>
                <w:sz w:val="28"/>
                <w:szCs w:val="28"/>
                <w:highlight w:val="none"/>
                <w:lang w:val="en-US" w:eastAsia="zh-CN"/>
                <w14:textFill>
                  <w14:solidFill>
                    <w14:schemeClr w14:val="tx1"/>
                  </w14:solidFill>
                </w14:textFill>
              </w:rPr>
              <w:t>采购</w:t>
            </w:r>
            <w:r>
              <w:rPr>
                <w:rFonts w:hint="eastAsia" w:ascii="宋体" w:hAnsi="宋体" w:eastAsia="宋体" w:cs="宋体"/>
                <w:color w:val="000000" w:themeColor="text1"/>
                <w:kern w:val="0"/>
                <w:sz w:val="28"/>
                <w:szCs w:val="28"/>
                <w:highlight w:val="none"/>
                <w14:textFill>
                  <w14:solidFill>
                    <w14:schemeClr w14:val="tx1"/>
                  </w14:solidFill>
                </w14:textFill>
              </w:rPr>
              <w:t>需求”的技术参数根据投标人提供的产品配置及技术性能指标的响应情况进行评审。</w:t>
            </w:r>
          </w:p>
          <w:p w14:paraId="06FBD8F0">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宋体" w:hAnsi="宋体" w:eastAsia="宋体" w:cs="宋体"/>
                <w:color w:val="000000" w:themeColor="text1"/>
                <w:kern w:val="0"/>
                <w:sz w:val="28"/>
                <w:szCs w:val="28"/>
                <w:highlight w:val="none"/>
                <w:lang w:val="en-US" w:eastAsia="zh-CN"/>
                <w14:textFill>
                  <w14:solidFill>
                    <w14:schemeClr w14:val="tx1"/>
                  </w14:solidFill>
                </w14:textFill>
              </w:rPr>
            </w:pPr>
            <w:r>
              <w:rPr>
                <w:rFonts w:hint="eastAsia" w:ascii="宋体" w:hAnsi="宋体" w:eastAsia="宋体" w:cs="宋体"/>
                <w:color w:val="000000" w:themeColor="text1"/>
                <w:kern w:val="0"/>
                <w:sz w:val="28"/>
                <w:szCs w:val="28"/>
                <w:highlight w:val="none"/>
                <w:lang w:val="en-US" w:eastAsia="zh-CN"/>
                <w14:textFill>
                  <w14:solidFill>
                    <w14:schemeClr w14:val="tx1"/>
                  </w14:solidFill>
                </w14:textFill>
              </w:rPr>
              <w:t xml:space="preserve">   </w:t>
            </w:r>
            <w:r>
              <w:rPr>
                <w:rFonts w:hint="eastAsia" w:ascii="宋体" w:hAnsi="宋体" w:eastAsia="宋体" w:cs="宋体"/>
                <w:color w:val="000000" w:themeColor="text1"/>
                <w:kern w:val="0"/>
                <w:sz w:val="28"/>
                <w:szCs w:val="28"/>
                <w:highlight w:val="none"/>
                <w14:textFill>
                  <w14:solidFill>
                    <w14:schemeClr w14:val="tx1"/>
                  </w14:solidFill>
                </w14:textFill>
              </w:rPr>
              <w:t>1.本标</w:t>
            </w:r>
            <w:r>
              <w:rPr>
                <w:rFonts w:hint="eastAsia" w:ascii="宋体" w:hAnsi="宋体" w:cs="宋体"/>
                <w:color w:val="000000" w:themeColor="text1"/>
                <w:kern w:val="0"/>
                <w:sz w:val="28"/>
                <w:szCs w:val="28"/>
                <w:highlight w:val="none"/>
                <w:lang w:eastAsia="zh-CN"/>
                <w14:textFill>
                  <w14:solidFill>
                    <w14:schemeClr w14:val="tx1"/>
                  </w14:solidFill>
                </w14:textFill>
              </w:rPr>
              <w:t>项</w:t>
            </w:r>
            <w:r>
              <w:rPr>
                <w:rFonts w:hint="eastAsia" w:ascii="宋体" w:hAnsi="宋体" w:cs="宋体"/>
                <w:color w:val="000000" w:themeColor="text1"/>
                <w:kern w:val="0"/>
                <w:sz w:val="28"/>
                <w:szCs w:val="28"/>
                <w:highlight w:val="none"/>
                <w:lang w:val="en-US" w:eastAsia="zh-CN"/>
                <w14:textFill>
                  <w14:solidFill>
                    <w14:schemeClr w14:val="tx1"/>
                  </w14:solidFill>
                </w14:textFill>
              </w:rPr>
              <w:t>1</w:t>
            </w:r>
            <w:r>
              <w:rPr>
                <w:rFonts w:hint="eastAsia" w:ascii="宋体" w:hAnsi="宋体" w:eastAsia="宋体" w:cs="宋体"/>
                <w:color w:val="000000" w:themeColor="text1"/>
                <w:kern w:val="0"/>
                <w:sz w:val="28"/>
                <w:szCs w:val="28"/>
                <w:highlight w:val="none"/>
                <w14:textFill>
                  <w14:solidFill>
                    <w14:schemeClr w14:val="tx1"/>
                  </w14:solidFill>
                </w14:textFill>
              </w:rPr>
              <w:t>种产品，投标人投产品技术参数完全响应招标文件要求的，得</w:t>
            </w:r>
            <w:r>
              <w:rPr>
                <w:rFonts w:hint="eastAsia" w:ascii="宋体" w:hAnsi="宋体" w:cs="宋体"/>
                <w:color w:val="000000" w:themeColor="text1"/>
                <w:kern w:val="0"/>
                <w:sz w:val="28"/>
                <w:szCs w:val="28"/>
                <w:highlight w:val="none"/>
                <w:lang w:val="en-US" w:eastAsia="zh-CN"/>
                <w14:textFill>
                  <w14:solidFill>
                    <w14:schemeClr w14:val="tx1"/>
                  </w14:solidFill>
                </w14:textFill>
              </w:rPr>
              <w:t>36</w:t>
            </w:r>
            <w:r>
              <w:rPr>
                <w:rFonts w:hint="eastAsia" w:ascii="宋体" w:hAnsi="宋体" w:eastAsia="宋体" w:cs="宋体"/>
                <w:color w:val="000000" w:themeColor="text1"/>
                <w:kern w:val="0"/>
                <w:sz w:val="28"/>
                <w:szCs w:val="28"/>
                <w:highlight w:val="none"/>
                <w14:textFill>
                  <w14:solidFill>
                    <w14:schemeClr w14:val="tx1"/>
                  </w14:solidFill>
                </w14:textFill>
              </w:rPr>
              <w:t>分；</w:t>
            </w:r>
          </w:p>
          <w:p w14:paraId="65A6FF79">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宋体" w:hAnsi="宋体" w:eastAsia="宋体" w:cs="宋体"/>
                <w:color w:val="000000" w:themeColor="text1"/>
                <w:kern w:val="0"/>
                <w:sz w:val="28"/>
                <w:szCs w:val="28"/>
                <w:highlight w:val="none"/>
                <w:lang w:val="en-US" w:eastAsia="zh-CN"/>
                <w14:textFill>
                  <w14:solidFill>
                    <w14:schemeClr w14:val="tx1"/>
                  </w14:solidFill>
                </w14:textFill>
              </w:rPr>
            </w:pPr>
            <w:r>
              <w:rPr>
                <w:rFonts w:hint="eastAsia" w:ascii="宋体" w:hAnsi="宋体" w:cs="宋体"/>
                <w:color w:val="000000" w:themeColor="text1"/>
                <w:kern w:val="0"/>
                <w:sz w:val="28"/>
                <w:szCs w:val="28"/>
                <w:highlight w:val="none"/>
                <w:lang w:val="en-US" w:eastAsia="zh-CN"/>
                <w14:textFill>
                  <w14:solidFill>
                    <w14:schemeClr w14:val="tx1"/>
                  </w14:solidFill>
                </w14:textFill>
              </w:rPr>
              <w:t>2</w:t>
            </w:r>
            <w:r>
              <w:rPr>
                <w:rFonts w:hint="eastAsia" w:ascii="宋体" w:hAnsi="宋体" w:eastAsia="宋体" w:cs="宋体"/>
                <w:color w:val="000000" w:themeColor="text1"/>
                <w:kern w:val="0"/>
                <w:sz w:val="28"/>
                <w:szCs w:val="28"/>
                <w:highlight w:val="none"/>
                <w:lang w:val="en-US" w:eastAsia="zh-CN"/>
                <w14:textFill>
                  <w14:solidFill>
                    <w14:schemeClr w14:val="tx1"/>
                  </w14:solidFill>
                </w14:textFill>
              </w:rPr>
              <w:t>.</w:t>
            </w:r>
            <w:r>
              <w:rPr>
                <w:rFonts w:hint="eastAsia" w:ascii="宋体" w:hAnsi="宋体" w:cs="宋体"/>
                <w:color w:val="000000" w:themeColor="text1"/>
                <w:kern w:val="0"/>
                <w:sz w:val="28"/>
                <w:szCs w:val="28"/>
                <w:highlight w:val="none"/>
                <w:lang w:val="en-US" w:eastAsia="zh-CN"/>
                <w14:textFill>
                  <w14:solidFill>
                    <w14:schemeClr w14:val="tx1"/>
                  </w14:solidFill>
                </w14:textFill>
              </w:rPr>
              <w:t>所投</w:t>
            </w:r>
            <w:r>
              <w:rPr>
                <w:rFonts w:hint="eastAsia" w:ascii="宋体" w:hAnsi="宋体" w:eastAsia="宋体" w:cs="宋体"/>
                <w:color w:val="000000" w:themeColor="text1"/>
                <w:kern w:val="0"/>
                <w:sz w:val="28"/>
                <w:szCs w:val="28"/>
                <w:highlight w:val="none"/>
                <w:lang w:val="en-US" w:eastAsia="zh-CN"/>
                <w14:textFill>
                  <w14:solidFill>
                    <w14:schemeClr w14:val="tx1"/>
                  </w14:solidFill>
                </w14:textFill>
              </w:rPr>
              <w:t>产品技术参数存在负偏离的，每一条扣</w:t>
            </w:r>
            <w:r>
              <w:rPr>
                <w:rFonts w:hint="eastAsia" w:ascii="宋体" w:hAnsi="宋体" w:cs="宋体"/>
                <w:color w:val="000000" w:themeColor="text1"/>
                <w:kern w:val="0"/>
                <w:sz w:val="28"/>
                <w:szCs w:val="28"/>
                <w:highlight w:val="none"/>
                <w:lang w:val="en-US" w:eastAsia="zh-CN"/>
                <w14:textFill>
                  <w14:solidFill>
                    <w14:schemeClr w14:val="tx1"/>
                  </w14:solidFill>
                </w14:textFill>
              </w:rPr>
              <w:t>10</w:t>
            </w:r>
            <w:r>
              <w:rPr>
                <w:rFonts w:hint="eastAsia" w:ascii="宋体" w:hAnsi="宋体" w:eastAsia="宋体" w:cs="宋体"/>
                <w:color w:val="000000" w:themeColor="text1"/>
                <w:kern w:val="0"/>
                <w:sz w:val="28"/>
                <w:szCs w:val="28"/>
                <w:highlight w:val="none"/>
                <w:lang w:val="en-US" w:eastAsia="zh-CN"/>
                <w14:textFill>
                  <w14:solidFill>
                    <w14:schemeClr w14:val="tx1"/>
                  </w14:solidFill>
                </w14:textFill>
              </w:rPr>
              <w:t>分，</w:t>
            </w:r>
            <w:r>
              <w:rPr>
                <w:rFonts w:hint="eastAsia" w:ascii="宋体" w:hAnsi="宋体" w:cs="宋体"/>
                <w:color w:val="000000" w:themeColor="text1"/>
                <w:kern w:val="0"/>
                <w:sz w:val="28"/>
                <w:szCs w:val="28"/>
                <w:highlight w:val="none"/>
                <w:lang w:val="en-US" w:eastAsia="zh-CN"/>
                <w14:textFill>
                  <w14:solidFill>
                    <w14:schemeClr w14:val="tx1"/>
                  </w14:solidFill>
                </w14:textFill>
              </w:rPr>
              <w:t>扣完为止</w:t>
            </w:r>
            <w:r>
              <w:rPr>
                <w:rFonts w:hint="eastAsia" w:ascii="宋体" w:hAnsi="宋体" w:eastAsia="宋体" w:cs="宋体"/>
                <w:color w:val="000000" w:themeColor="text1"/>
                <w:kern w:val="0"/>
                <w:sz w:val="28"/>
                <w:szCs w:val="28"/>
                <w:highlight w:val="none"/>
                <w:lang w:val="en-US" w:eastAsia="zh-CN"/>
                <w14:textFill>
                  <w14:solidFill>
                    <w14:schemeClr w14:val="tx1"/>
                  </w14:solidFill>
                </w14:textFill>
              </w:rPr>
              <w:t>。</w:t>
            </w:r>
          </w:p>
          <w:p w14:paraId="0862D867">
            <w:pPr>
              <w:pageBreakBefore w:val="0"/>
              <w:numPr>
                <w:ilvl w:val="0"/>
                <w:numId w:val="0"/>
              </w:numPr>
              <w:kinsoku/>
              <w:wordWrap/>
              <w:overflowPunct/>
              <w:topLinePunct w:val="0"/>
              <w:autoSpaceDE/>
              <w:autoSpaceDN/>
              <w:bidi w:val="0"/>
              <w:spacing w:line="560" w:lineRule="exact"/>
              <w:jc w:val="left"/>
              <w:textAlignment w:val="auto"/>
              <w:rPr>
                <w:rFonts w:hint="default" w:ascii="宋体" w:hAnsi="宋体" w:eastAsia="宋体" w:cs="宋体"/>
                <w:color w:val="000000" w:themeColor="text1"/>
                <w:kern w:val="0"/>
                <w:sz w:val="28"/>
                <w:szCs w:val="28"/>
                <w:highlight w:val="none"/>
                <w:lang w:val="en-US" w:eastAsia="zh-CN"/>
                <w14:textFill>
                  <w14:solidFill>
                    <w14:schemeClr w14:val="tx1"/>
                  </w14:solidFill>
                </w14:textFill>
              </w:rPr>
            </w:pPr>
            <w:r>
              <w:rPr>
                <w:b/>
                <w:bCs/>
                <w:color w:val="000000" w:themeColor="text1"/>
                <w:sz w:val="28"/>
                <w:szCs w:val="28"/>
                <w:highlight w:val="none"/>
                <w14:textFill>
                  <w14:solidFill>
                    <w14:schemeClr w14:val="tx1"/>
                  </w14:solidFill>
                </w14:textFill>
              </w:rPr>
              <w:t>注：负偏离评审依据：</w:t>
            </w:r>
            <w:r>
              <w:rPr>
                <w:rFonts w:hint="eastAsia"/>
                <w:b/>
                <w:bCs/>
                <w:color w:val="000000" w:themeColor="text1"/>
                <w:sz w:val="28"/>
                <w:szCs w:val="28"/>
                <w:highlight w:val="none"/>
                <w14:textFill>
                  <w14:solidFill>
                    <w14:schemeClr w14:val="tx1"/>
                  </w14:solidFill>
                </w14:textFill>
              </w:rPr>
              <w:t>①</w:t>
            </w:r>
            <w:r>
              <w:rPr>
                <w:b/>
                <w:bCs/>
                <w:color w:val="000000" w:themeColor="text1"/>
                <w:sz w:val="28"/>
                <w:szCs w:val="28"/>
                <w:highlight w:val="none"/>
                <w14:textFill>
                  <w14:solidFill>
                    <w14:schemeClr w14:val="tx1"/>
                  </w14:solidFill>
                </w14:textFill>
              </w:rPr>
              <w:t>所</w:t>
            </w:r>
            <w:r>
              <w:rPr>
                <w:rFonts w:hint="eastAsia"/>
                <w:b/>
                <w:bCs/>
                <w:color w:val="000000" w:themeColor="text1"/>
                <w:sz w:val="28"/>
                <w:szCs w:val="28"/>
                <w:highlight w:val="none"/>
                <w14:textFill>
                  <w14:solidFill>
                    <w14:schemeClr w14:val="tx1"/>
                  </w14:solidFill>
                </w14:textFill>
              </w:rPr>
              <w:t>提供</w:t>
            </w:r>
            <w:r>
              <w:rPr>
                <w:b/>
                <w:bCs/>
                <w:color w:val="000000" w:themeColor="text1"/>
                <w:sz w:val="28"/>
                <w:szCs w:val="28"/>
                <w:highlight w:val="none"/>
                <w14:textFill>
                  <w14:solidFill>
                    <w14:schemeClr w14:val="tx1"/>
                  </w14:solidFill>
                </w14:textFill>
              </w:rPr>
              <w:t>产品技术参数低于</w:t>
            </w:r>
            <w:r>
              <w:rPr>
                <w:rFonts w:hint="eastAsia"/>
                <w:b/>
                <w:bCs/>
                <w:color w:val="000000" w:themeColor="text1"/>
                <w:sz w:val="28"/>
                <w:szCs w:val="28"/>
                <w:highlight w:val="none"/>
                <w14:textFill>
                  <w14:solidFill>
                    <w14:schemeClr w14:val="tx1"/>
                  </w14:solidFill>
                </w14:textFill>
              </w:rPr>
              <w:t>招标</w:t>
            </w:r>
            <w:r>
              <w:rPr>
                <w:b/>
                <w:bCs/>
                <w:color w:val="000000" w:themeColor="text1"/>
                <w:sz w:val="28"/>
                <w:szCs w:val="28"/>
                <w:highlight w:val="none"/>
                <w14:textFill>
                  <w14:solidFill>
                    <w14:schemeClr w14:val="tx1"/>
                  </w14:solidFill>
                </w14:textFill>
              </w:rPr>
              <w:t>文件要求的，视为负偏离；</w:t>
            </w:r>
            <w:r>
              <w:rPr>
                <w:rFonts w:hint="eastAsia"/>
                <w:b/>
                <w:bCs/>
                <w:color w:val="000000" w:themeColor="text1"/>
                <w:sz w:val="28"/>
                <w:szCs w:val="28"/>
                <w:highlight w:val="none"/>
                <w14:textFill>
                  <w14:solidFill>
                    <w14:schemeClr w14:val="tx1"/>
                  </w14:solidFill>
                </w14:textFill>
              </w:rPr>
              <w:t>②</w:t>
            </w:r>
            <w:r>
              <w:rPr>
                <w:b/>
                <w:bCs/>
                <w:color w:val="000000" w:themeColor="text1"/>
                <w:sz w:val="28"/>
                <w:szCs w:val="28"/>
                <w:highlight w:val="none"/>
                <w14:textFill>
                  <w14:solidFill>
                    <w14:schemeClr w14:val="tx1"/>
                  </w14:solidFill>
                </w14:textFill>
              </w:rPr>
              <w:t>技术参数响应条款</w:t>
            </w:r>
            <w:r>
              <w:rPr>
                <w:rFonts w:hint="eastAsia"/>
                <w:b/>
                <w:bCs/>
                <w:color w:val="000000" w:themeColor="text1"/>
                <w:sz w:val="28"/>
                <w:szCs w:val="28"/>
                <w:highlight w:val="none"/>
                <w14:textFill>
                  <w14:solidFill>
                    <w14:schemeClr w14:val="tx1"/>
                  </w14:solidFill>
                </w14:textFill>
              </w:rPr>
              <w:t>（以投标文件内技术偏离表为准）</w:t>
            </w:r>
            <w:r>
              <w:rPr>
                <w:b/>
                <w:bCs/>
                <w:color w:val="000000" w:themeColor="text1"/>
                <w:sz w:val="28"/>
                <w:szCs w:val="28"/>
                <w:highlight w:val="none"/>
                <w14:textFill>
                  <w14:solidFill>
                    <w14:schemeClr w14:val="tx1"/>
                  </w14:solidFill>
                </w14:textFill>
              </w:rPr>
              <w:t>与</w:t>
            </w:r>
            <w:r>
              <w:rPr>
                <w:rFonts w:hint="eastAsia"/>
                <w:b/>
                <w:bCs/>
                <w:color w:val="000000" w:themeColor="text1"/>
                <w:sz w:val="28"/>
                <w:szCs w:val="28"/>
                <w:highlight w:val="none"/>
                <w14:textFill>
                  <w14:solidFill>
                    <w14:schemeClr w14:val="tx1"/>
                  </w14:solidFill>
                </w14:textFill>
              </w:rPr>
              <w:t>招标</w:t>
            </w:r>
            <w:r>
              <w:rPr>
                <w:b/>
                <w:bCs/>
                <w:color w:val="000000" w:themeColor="text1"/>
                <w:sz w:val="28"/>
                <w:szCs w:val="28"/>
                <w:highlight w:val="none"/>
                <w14:textFill>
                  <w14:solidFill>
                    <w14:schemeClr w14:val="tx1"/>
                  </w14:solidFill>
                </w14:textFill>
              </w:rPr>
              <w:t>文件对比有缺项、漏项的，视为负偏离；</w:t>
            </w:r>
            <w:r>
              <w:rPr>
                <w:rFonts w:hint="eastAsia"/>
                <w:b/>
                <w:bCs/>
                <w:color w:val="000000" w:themeColor="text1"/>
                <w:sz w:val="28"/>
                <w:szCs w:val="28"/>
                <w:highlight w:val="none"/>
                <w14:textFill>
                  <w14:solidFill>
                    <w14:schemeClr w14:val="tx1"/>
                  </w14:solidFill>
                </w14:textFill>
              </w:rPr>
              <w:t>③投标文件内技术偏离表完全复制招标文件技术参数的（不涉及具体参数指标的描述性技术要求除外），视为负偏离；</w:t>
            </w:r>
          </w:p>
        </w:tc>
        <w:tc>
          <w:tcPr>
            <w:tcW w:w="1088" w:type="dxa"/>
            <w:vAlign w:val="center"/>
          </w:tcPr>
          <w:p w14:paraId="6F2D35E5">
            <w:pPr>
              <w:pageBreakBefore w:val="0"/>
              <w:kinsoku/>
              <w:wordWrap/>
              <w:overflowPunct/>
              <w:topLinePunct w:val="0"/>
              <w:autoSpaceDE/>
              <w:autoSpaceDN/>
              <w:bidi w:val="0"/>
              <w:spacing w:line="560" w:lineRule="exact"/>
              <w:jc w:val="center"/>
              <w:textAlignment w:val="auto"/>
              <w:rPr>
                <w:rFonts w:hint="default" w:asciiTheme="minorEastAsia" w:hAnsiTheme="minorEastAsia" w:eastAsiaTheme="minorEastAsia"/>
                <w:bCs/>
                <w:color w:val="000000" w:themeColor="text1"/>
                <w:kern w:val="0"/>
                <w:sz w:val="28"/>
                <w:szCs w:val="28"/>
                <w:highlight w:val="none"/>
                <w:lang w:val="en-US"/>
                <w14:textFill>
                  <w14:solidFill>
                    <w14:schemeClr w14:val="tx1"/>
                  </w14:solidFill>
                </w14:textFill>
              </w:rPr>
            </w:pPr>
            <w:r>
              <w:rPr>
                <w:rFonts w:hint="eastAsia" w:ascii="宋体" w:hAnsi="宋体" w:cs="宋体"/>
                <w:color w:val="000000" w:themeColor="text1"/>
                <w:kern w:val="0"/>
                <w:sz w:val="28"/>
                <w:szCs w:val="28"/>
                <w:highlight w:val="none"/>
                <w:lang w:val="en-US" w:eastAsia="zh-CN"/>
                <w14:textFill>
                  <w14:solidFill>
                    <w14:schemeClr w14:val="tx1"/>
                  </w14:solidFill>
                </w14:textFill>
              </w:rPr>
              <w:t>36</w:t>
            </w:r>
          </w:p>
        </w:tc>
      </w:tr>
      <w:tr w14:paraId="1E8D7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 w:type="dxa"/>
            <w:vAlign w:val="center"/>
          </w:tcPr>
          <w:p w14:paraId="1FCC5C53">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bCs/>
                <w:color w:val="000000" w:themeColor="text1"/>
                <w:kern w:val="0"/>
                <w:sz w:val="28"/>
                <w:szCs w:val="28"/>
                <w:highlight w:val="none"/>
                <w:lang w:val="en-US" w:eastAsia="zh-CN"/>
                <w14:textFill>
                  <w14:solidFill>
                    <w14:schemeClr w14:val="tx1"/>
                  </w14:solidFill>
                </w14:textFill>
              </w:rPr>
            </w:pPr>
            <w:r>
              <w:rPr>
                <w:rFonts w:hint="eastAsia" w:asciiTheme="minorEastAsia" w:hAnsiTheme="minorEastAsia" w:eastAsiaTheme="minorEastAsia"/>
                <w:bCs/>
                <w:color w:val="000000" w:themeColor="text1"/>
                <w:kern w:val="0"/>
                <w:sz w:val="28"/>
                <w:szCs w:val="28"/>
                <w:highlight w:val="none"/>
                <w:lang w:val="en-US" w:eastAsia="zh-CN"/>
                <w14:textFill>
                  <w14:solidFill>
                    <w14:schemeClr w14:val="tx1"/>
                  </w14:solidFill>
                </w14:textFill>
              </w:rPr>
              <w:t>2</w:t>
            </w:r>
          </w:p>
        </w:tc>
        <w:tc>
          <w:tcPr>
            <w:tcW w:w="1500" w:type="dxa"/>
            <w:vAlign w:val="center"/>
          </w:tcPr>
          <w:p w14:paraId="2969BF4D">
            <w:pPr>
              <w:pageBreakBefore w:val="0"/>
              <w:kinsoku/>
              <w:wordWrap/>
              <w:overflowPunct/>
              <w:topLinePunct w:val="0"/>
              <w:autoSpaceDE/>
              <w:autoSpaceDN/>
              <w:bidi w:val="0"/>
              <w:spacing w:line="560" w:lineRule="exact"/>
              <w:jc w:val="center"/>
              <w:textAlignment w:val="auto"/>
              <w:rPr>
                <w:rFonts w:hint="eastAsia" w:ascii="宋体" w:hAnsi="宋体" w:eastAsia="宋体" w:cs="宋体"/>
                <w:color w:val="000000" w:themeColor="text1"/>
                <w:kern w:val="0"/>
                <w:sz w:val="28"/>
                <w:szCs w:val="28"/>
                <w:highlight w:val="none"/>
                <w:lang w:eastAsia="zh-CN"/>
                <w14:textFill>
                  <w14:solidFill>
                    <w14:schemeClr w14:val="tx1"/>
                  </w14:solidFill>
                </w14:textFill>
              </w:rPr>
            </w:pPr>
            <w:r>
              <w:rPr>
                <w:rFonts w:hint="eastAsia" w:ascii="宋体" w:hAnsi="宋体" w:eastAsia="宋体" w:cs="宋体"/>
                <w:color w:val="000000" w:themeColor="text1"/>
                <w:kern w:val="0"/>
                <w:sz w:val="28"/>
                <w:szCs w:val="28"/>
                <w:highlight w:val="none"/>
                <w14:textFill>
                  <w14:solidFill>
                    <w14:schemeClr w14:val="tx1"/>
                  </w14:solidFill>
                </w14:textFill>
              </w:rPr>
              <w:t>项目实施总体方案</w:t>
            </w:r>
          </w:p>
        </w:tc>
        <w:tc>
          <w:tcPr>
            <w:tcW w:w="6283" w:type="dxa"/>
            <w:vAlign w:val="center"/>
          </w:tcPr>
          <w:p w14:paraId="70E43F8B">
            <w:pPr>
              <w:pageBreakBefore w:val="0"/>
              <w:kinsoku/>
              <w:wordWrap/>
              <w:overflowPunct/>
              <w:topLinePunct w:val="0"/>
              <w:autoSpaceDE/>
              <w:autoSpaceDN/>
              <w:bidi w:val="0"/>
              <w:spacing w:line="560" w:lineRule="exact"/>
              <w:jc w:val="left"/>
              <w:textAlignment w:val="auto"/>
              <w:rPr>
                <w:rFonts w:hint="eastAsia" w:ascii="宋体" w:hAnsi="宋体" w:eastAsia="宋体" w:cs="宋体"/>
                <w:color w:val="000000" w:themeColor="text1"/>
                <w:kern w:val="0"/>
                <w:sz w:val="28"/>
                <w:szCs w:val="28"/>
                <w:highlight w:val="none"/>
                <w14:textFill>
                  <w14:solidFill>
                    <w14:schemeClr w14:val="tx1"/>
                  </w14:solidFill>
                </w14:textFill>
              </w:rPr>
            </w:pPr>
            <w:r>
              <w:rPr>
                <w:rFonts w:hint="eastAsia" w:ascii="宋体" w:hAnsi="宋体" w:eastAsia="宋体" w:cs="宋体"/>
                <w:color w:val="000000" w:themeColor="text1"/>
                <w:kern w:val="0"/>
                <w:sz w:val="28"/>
                <w:szCs w:val="28"/>
                <w:highlight w:val="none"/>
                <w14:textFill>
                  <w14:solidFill>
                    <w14:schemeClr w14:val="tx1"/>
                  </w14:solidFill>
                </w14:textFill>
              </w:rPr>
              <w:t>项目实施总体方案：1、针对本项目有供货安装调试</w:t>
            </w:r>
            <w:r>
              <w:rPr>
                <w:rFonts w:hint="eastAsia" w:ascii="宋体" w:hAnsi="宋体" w:eastAsia="宋体" w:cs="宋体"/>
                <w:color w:val="000000" w:themeColor="text1"/>
                <w:kern w:val="0"/>
                <w:sz w:val="28"/>
                <w:szCs w:val="28"/>
                <w:highlight w:val="none"/>
                <w:lang w:eastAsia="zh-CN"/>
                <w14:textFill>
                  <w14:solidFill>
                    <w14:schemeClr w14:val="tx1"/>
                  </w14:solidFill>
                </w14:textFill>
              </w:rPr>
              <w:t>方案</w:t>
            </w:r>
            <w:r>
              <w:rPr>
                <w:rFonts w:hint="eastAsia" w:ascii="宋体" w:hAnsi="宋体" w:cs="宋体"/>
                <w:color w:val="000000" w:themeColor="text1"/>
                <w:kern w:val="0"/>
                <w:sz w:val="28"/>
                <w:szCs w:val="28"/>
                <w:highlight w:val="none"/>
                <w:lang w:eastAsia="zh-CN"/>
                <w14:textFill>
                  <w14:solidFill>
                    <w14:schemeClr w14:val="tx1"/>
                  </w14:solidFill>
                </w14:textFill>
              </w:rPr>
              <w:t>、</w:t>
            </w:r>
            <w:r>
              <w:rPr>
                <w:rFonts w:hint="eastAsia" w:ascii="宋体" w:hAnsi="宋体" w:eastAsia="宋体" w:cs="宋体"/>
                <w:color w:val="000000" w:themeColor="text1"/>
                <w:kern w:val="0"/>
                <w:sz w:val="28"/>
                <w:szCs w:val="28"/>
                <w:highlight w:val="none"/>
                <w14:textFill>
                  <w14:solidFill>
                    <w14:schemeClr w14:val="tx1"/>
                  </w14:solidFill>
                </w14:textFill>
              </w:rPr>
              <w:t>人员安排方案，每有一项得</w:t>
            </w:r>
            <w:r>
              <w:rPr>
                <w:rFonts w:hint="eastAsia" w:ascii="宋体" w:hAnsi="宋体" w:cs="宋体"/>
                <w:color w:val="000000" w:themeColor="text1"/>
                <w:kern w:val="0"/>
                <w:sz w:val="28"/>
                <w:szCs w:val="28"/>
                <w:highlight w:val="none"/>
                <w:lang w:val="en-US" w:eastAsia="zh-CN"/>
                <w14:textFill>
                  <w14:solidFill>
                    <w14:schemeClr w14:val="tx1"/>
                  </w14:solidFill>
                </w14:textFill>
              </w:rPr>
              <w:t>1</w:t>
            </w:r>
            <w:r>
              <w:rPr>
                <w:rFonts w:hint="eastAsia" w:ascii="宋体" w:hAnsi="宋体" w:eastAsia="宋体" w:cs="宋体"/>
                <w:color w:val="000000" w:themeColor="text1"/>
                <w:kern w:val="0"/>
                <w:sz w:val="28"/>
                <w:szCs w:val="28"/>
                <w:highlight w:val="none"/>
                <w14:textFill>
                  <w14:solidFill>
                    <w14:schemeClr w14:val="tx1"/>
                  </w14:solidFill>
                </w14:textFill>
              </w:rPr>
              <w:t>分，满</w:t>
            </w:r>
            <w:r>
              <w:rPr>
                <w:rFonts w:hint="eastAsia" w:ascii="宋体" w:hAnsi="宋体" w:cs="宋体"/>
                <w:color w:val="000000" w:themeColor="text1"/>
                <w:kern w:val="0"/>
                <w:sz w:val="28"/>
                <w:szCs w:val="28"/>
                <w:highlight w:val="none"/>
                <w:lang w:val="en-US" w:eastAsia="zh-CN"/>
                <w14:textFill>
                  <w14:solidFill>
                    <w14:schemeClr w14:val="tx1"/>
                  </w14:solidFill>
                </w14:textFill>
              </w:rPr>
              <w:t>2</w:t>
            </w:r>
            <w:r>
              <w:rPr>
                <w:rFonts w:hint="eastAsia" w:ascii="宋体" w:hAnsi="宋体" w:eastAsia="宋体" w:cs="宋体"/>
                <w:color w:val="000000" w:themeColor="text1"/>
                <w:kern w:val="0"/>
                <w:sz w:val="28"/>
                <w:szCs w:val="28"/>
                <w:highlight w:val="none"/>
                <w14:textFill>
                  <w14:solidFill>
                    <w14:schemeClr w14:val="tx1"/>
                  </w14:solidFill>
                </w14:textFill>
              </w:rPr>
              <w:t>分，未提供不得分；2、有安全保证措施、成品保护措施每有一项得</w:t>
            </w:r>
            <w:r>
              <w:rPr>
                <w:rFonts w:hint="eastAsia" w:ascii="宋体" w:hAnsi="宋体" w:cs="宋体"/>
                <w:color w:val="000000" w:themeColor="text1"/>
                <w:kern w:val="0"/>
                <w:sz w:val="28"/>
                <w:szCs w:val="28"/>
                <w:highlight w:val="none"/>
                <w:lang w:val="en-US" w:eastAsia="zh-CN"/>
                <w14:textFill>
                  <w14:solidFill>
                    <w14:schemeClr w14:val="tx1"/>
                  </w14:solidFill>
                </w14:textFill>
              </w:rPr>
              <w:t>1</w:t>
            </w:r>
            <w:r>
              <w:rPr>
                <w:rFonts w:hint="eastAsia" w:ascii="宋体" w:hAnsi="宋体" w:eastAsia="宋体" w:cs="宋体"/>
                <w:color w:val="000000" w:themeColor="text1"/>
                <w:kern w:val="0"/>
                <w:sz w:val="28"/>
                <w:szCs w:val="28"/>
                <w:highlight w:val="none"/>
                <w14:textFill>
                  <w14:solidFill>
                    <w14:schemeClr w14:val="tx1"/>
                  </w14:solidFill>
                </w14:textFill>
              </w:rPr>
              <w:t>分，满分</w:t>
            </w:r>
            <w:r>
              <w:rPr>
                <w:rFonts w:hint="eastAsia" w:ascii="宋体" w:hAnsi="宋体" w:cs="宋体"/>
                <w:color w:val="000000" w:themeColor="text1"/>
                <w:kern w:val="0"/>
                <w:sz w:val="28"/>
                <w:szCs w:val="28"/>
                <w:highlight w:val="none"/>
                <w:lang w:val="en-US" w:eastAsia="zh-CN"/>
                <w14:textFill>
                  <w14:solidFill>
                    <w14:schemeClr w14:val="tx1"/>
                  </w14:solidFill>
                </w14:textFill>
              </w:rPr>
              <w:t>2</w:t>
            </w:r>
            <w:r>
              <w:rPr>
                <w:rFonts w:hint="eastAsia" w:ascii="宋体" w:hAnsi="宋体" w:eastAsia="宋体" w:cs="宋体"/>
                <w:color w:val="000000" w:themeColor="text1"/>
                <w:kern w:val="0"/>
                <w:sz w:val="28"/>
                <w:szCs w:val="28"/>
                <w:highlight w:val="none"/>
                <w14:textFill>
                  <w14:solidFill>
                    <w14:schemeClr w14:val="tx1"/>
                  </w14:solidFill>
                </w14:textFill>
              </w:rPr>
              <w:t>分，未提供不得分；</w:t>
            </w:r>
            <w:r>
              <w:rPr>
                <w:rFonts w:hint="eastAsia" w:ascii="宋体" w:hAnsi="宋体" w:eastAsia="宋体" w:cs="宋体"/>
                <w:color w:val="000000" w:themeColor="text1"/>
                <w:kern w:val="0"/>
                <w:sz w:val="28"/>
                <w:szCs w:val="28"/>
                <w:highlight w:val="none"/>
                <w:lang w:val="en-US" w:eastAsia="zh-CN" w:bidi="ar-SA"/>
                <w14:textFill>
                  <w14:solidFill>
                    <w14:schemeClr w14:val="tx1"/>
                  </w14:solidFill>
                </w14:textFill>
              </w:rPr>
              <w:t>3、</w:t>
            </w:r>
            <w:r>
              <w:rPr>
                <w:rFonts w:hint="eastAsia" w:ascii="宋体" w:hAnsi="宋体" w:eastAsia="宋体" w:cs="宋体"/>
                <w:color w:val="000000" w:themeColor="text1"/>
                <w:kern w:val="0"/>
                <w:sz w:val="28"/>
                <w:szCs w:val="28"/>
                <w:highlight w:val="none"/>
                <w14:textFill>
                  <w14:solidFill>
                    <w14:schemeClr w14:val="tx1"/>
                  </w14:solidFill>
                </w14:textFill>
              </w:rPr>
              <w:t>有</w:t>
            </w:r>
            <w:r>
              <w:rPr>
                <w:rFonts w:hint="eastAsia" w:ascii="宋体" w:hAnsi="宋体" w:cs="宋体"/>
                <w:color w:val="000000" w:themeColor="text1"/>
                <w:kern w:val="0"/>
                <w:sz w:val="28"/>
                <w:szCs w:val="28"/>
                <w:highlight w:val="none"/>
                <w:lang w:eastAsia="zh-CN"/>
                <w14:textFill>
                  <w14:solidFill>
                    <w14:schemeClr w14:val="tx1"/>
                  </w14:solidFill>
                </w14:textFill>
              </w:rPr>
              <w:t>运输保障措施、</w:t>
            </w:r>
            <w:r>
              <w:rPr>
                <w:rFonts w:hint="eastAsia" w:ascii="宋体" w:hAnsi="宋体" w:eastAsia="宋体" w:cs="宋体"/>
                <w:color w:val="000000" w:themeColor="text1"/>
                <w:kern w:val="0"/>
                <w:sz w:val="28"/>
                <w:szCs w:val="28"/>
                <w:highlight w:val="none"/>
                <w14:textFill>
                  <w14:solidFill>
                    <w14:schemeClr w14:val="tx1"/>
                  </w14:solidFill>
                </w14:textFill>
              </w:rPr>
              <w:t>供货应急处理措施</w:t>
            </w:r>
            <w:r>
              <w:rPr>
                <w:rFonts w:hint="eastAsia" w:ascii="宋体" w:hAnsi="宋体" w:cs="宋体"/>
                <w:color w:val="000000" w:themeColor="text1"/>
                <w:kern w:val="0"/>
                <w:sz w:val="28"/>
                <w:szCs w:val="28"/>
                <w:highlight w:val="none"/>
                <w:lang w:eastAsia="zh-CN"/>
                <w14:textFill>
                  <w14:solidFill>
                    <w14:schemeClr w14:val="tx1"/>
                  </w14:solidFill>
                </w14:textFill>
              </w:rPr>
              <w:t>，每有一项得</w:t>
            </w:r>
            <w:r>
              <w:rPr>
                <w:rFonts w:hint="eastAsia" w:ascii="宋体" w:hAnsi="宋体" w:cs="宋体"/>
                <w:color w:val="000000" w:themeColor="text1"/>
                <w:kern w:val="0"/>
                <w:sz w:val="28"/>
                <w:szCs w:val="28"/>
                <w:highlight w:val="none"/>
                <w:lang w:val="en-US" w:eastAsia="zh-CN"/>
                <w14:textFill>
                  <w14:solidFill>
                    <w14:schemeClr w14:val="tx1"/>
                  </w14:solidFill>
                </w14:textFill>
              </w:rPr>
              <w:t>1</w:t>
            </w:r>
            <w:r>
              <w:rPr>
                <w:rFonts w:hint="eastAsia" w:ascii="宋体" w:hAnsi="宋体" w:eastAsia="宋体" w:cs="宋体"/>
                <w:color w:val="000000" w:themeColor="text1"/>
                <w:kern w:val="0"/>
                <w:sz w:val="28"/>
                <w:szCs w:val="28"/>
                <w:highlight w:val="none"/>
                <w14:textFill>
                  <w14:solidFill>
                    <w14:schemeClr w14:val="tx1"/>
                  </w14:solidFill>
                </w14:textFill>
              </w:rPr>
              <w:t>分，</w:t>
            </w:r>
            <w:r>
              <w:rPr>
                <w:rFonts w:hint="eastAsia" w:ascii="宋体" w:hAnsi="宋体" w:cs="宋体"/>
                <w:color w:val="000000" w:themeColor="text1"/>
                <w:kern w:val="0"/>
                <w:sz w:val="28"/>
                <w:szCs w:val="28"/>
                <w:highlight w:val="none"/>
                <w:lang w:eastAsia="zh-CN"/>
                <w14:textFill>
                  <w14:solidFill>
                    <w14:schemeClr w14:val="tx1"/>
                  </w14:solidFill>
                </w14:textFill>
              </w:rPr>
              <w:t>满分</w:t>
            </w:r>
            <w:r>
              <w:rPr>
                <w:rFonts w:hint="eastAsia" w:ascii="宋体" w:hAnsi="宋体" w:cs="宋体"/>
                <w:color w:val="000000" w:themeColor="text1"/>
                <w:kern w:val="0"/>
                <w:sz w:val="28"/>
                <w:szCs w:val="28"/>
                <w:highlight w:val="none"/>
                <w:lang w:val="en-US" w:eastAsia="zh-CN"/>
                <w14:textFill>
                  <w14:solidFill>
                    <w14:schemeClr w14:val="tx1"/>
                  </w14:solidFill>
                </w14:textFill>
              </w:rPr>
              <w:t>2分；</w:t>
            </w:r>
            <w:r>
              <w:rPr>
                <w:rFonts w:hint="eastAsia" w:ascii="宋体" w:hAnsi="宋体" w:eastAsia="宋体" w:cs="宋体"/>
                <w:color w:val="000000" w:themeColor="text1"/>
                <w:kern w:val="0"/>
                <w:sz w:val="28"/>
                <w:szCs w:val="28"/>
                <w:highlight w:val="none"/>
                <w14:textFill>
                  <w14:solidFill>
                    <w14:schemeClr w14:val="tx1"/>
                  </w14:solidFill>
                </w14:textFill>
              </w:rPr>
              <w:t>未提供不得分。</w:t>
            </w:r>
          </w:p>
          <w:p w14:paraId="21C80F6A">
            <w:pPr>
              <w:pageBreakBefore w:val="0"/>
              <w:kinsoku/>
              <w:wordWrap/>
              <w:overflowPunct/>
              <w:topLinePunct w:val="0"/>
              <w:autoSpaceDE/>
              <w:autoSpaceDN/>
              <w:bidi w:val="0"/>
              <w:spacing w:line="560" w:lineRule="exact"/>
              <w:jc w:val="left"/>
              <w:textAlignment w:val="auto"/>
              <w:rPr>
                <w:rFonts w:hint="default"/>
                <w:b w:val="0"/>
                <w:bCs w:val="0"/>
                <w:color w:val="000000" w:themeColor="text1"/>
                <w:sz w:val="28"/>
                <w:szCs w:val="28"/>
                <w:highlight w:val="none"/>
                <w:lang w:val="en-US" w:eastAsia="zh-CN"/>
                <w14:textFill>
                  <w14:solidFill>
                    <w14:schemeClr w14:val="tx1"/>
                  </w14:solidFill>
                </w14:textFill>
              </w:rPr>
            </w:pPr>
            <w:r>
              <w:rPr>
                <w:rFonts w:hint="eastAsia" w:ascii="宋体" w:hAnsi="宋体" w:cs="宋体"/>
                <w:color w:val="000000" w:themeColor="text1"/>
                <w:kern w:val="0"/>
                <w:sz w:val="28"/>
                <w:szCs w:val="28"/>
                <w:highlight w:val="none"/>
                <w:lang w:eastAsia="zh-CN"/>
                <w14:textFill>
                  <w14:solidFill>
                    <w14:schemeClr w14:val="tx1"/>
                  </w14:solidFill>
                </w14:textFill>
              </w:rPr>
              <w:t>注</w:t>
            </w:r>
            <w:r>
              <w:rPr>
                <w:rFonts w:hint="eastAsia" w:ascii="宋体" w:hAnsi="宋体" w:cs="宋体"/>
                <w:color w:val="000000" w:themeColor="text1"/>
                <w:kern w:val="0"/>
                <w:sz w:val="28"/>
                <w:szCs w:val="28"/>
                <w:highlight w:val="none"/>
                <w:lang w:val="en-US" w:eastAsia="zh-CN"/>
                <w14:textFill>
                  <w14:solidFill>
                    <w14:schemeClr w14:val="tx1"/>
                  </w14:solidFill>
                </w14:textFill>
              </w:rPr>
              <w:t>:</w:t>
            </w:r>
            <w:r>
              <w:rPr>
                <w:rFonts w:hint="eastAsia" w:ascii="宋体" w:hAnsi="宋体" w:eastAsia="宋体" w:cs="宋体"/>
                <w:color w:val="000000" w:themeColor="text1"/>
                <w:kern w:val="0"/>
                <w:sz w:val="28"/>
                <w:szCs w:val="28"/>
                <w:highlight w:val="none"/>
                <w:lang w:eastAsia="zh-CN"/>
                <w14:textFill>
                  <w14:solidFill>
                    <w14:schemeClr w14:val="tx1"/>
                  </w14:solidFill>
                </w14:textFill>
              </w:rPr>
              <w:t>以上</w:t>
            </w:r>
            <w:r>
              <w:rPr>
                <w:rFonts w:hint="eastAsia" w:ascii="宋体" w:hAnsi="宋体" w:cs="宋体"/>
                <w:color w:val="000000" w:themeColor="text1"/>
                <w:kern w:val="0"/>
                <w:sz w:val="28"/>
                <w:szCs w:val="28"/>
                <w:highlight w:val="none"/>
                <w:lang w:eastAsia="zh-CN"/>
                <w14:textFill>
                  <w14:solidFill>
                    <w14:schemeClr w14:val="tx1"/>
                  </w14:solidFill>
                </w14:textFill>
              </w:rPr>
              <w:t>内容</w:t>
            </w:r>
            <w:r>
              <w:rPr>
                <w:rFonts w:hint="eastAsia" w:ascii="宋体" w:hAnsi="宋体" w:eastAsia="宋体" w:cs="宋体"/>
                <w:color w:val="000000" w:themeColor="text1"/>
                <w:kern w:val="0"/>
                <w:sz w:val="28"/>
                <w:szCs w:val="28"/>
                <w:highlight w:val="none"/>
                <w:lang w:eastAsia="zh-CN"/>
                <w14:textFill>
                  <w14:solidFill>
                    <w14:schemeClr w14:val="tx1"/>
                  </w14:solidFill>
                </w14:textFill>
              </w:rPr>
              <w:t xml:space="preserve">每有一处存在不足（存在不足是指逻辑不严谨、内容不完整、表述不清晰、实操性不强或不符合项目实际情况）扣 </w:t>
            </w:r>
            <w:r>
              <w:rPr>
                <w:rFonts w:hint="eastAsia" w:ascii="宋体" w:hAnsi="宋体" w:cs="宋体"/>
                <w:color w:val="000000" w:themeColor="text1"/>
                <w:kern w:val="0"/>
                <w:sz w:val="28"/>
                <w:szCs w:val="28"/>
                <w:highlight w:val="none"/>
                <w:lang w:val="en-US" w:eastAsia="zh-CN"/>
                <w14:textFill>
                  <w14:solidFill>
                    <w14:schemeClr w14:val="tx1"/>
                  </w14:solidFill>
                </w14:textFill>
              </w:rPr>
              <w:t>0.5</w:t>
            </w:r>
            <w:r>
              <w:rPr>
                <w:rFonts w:hint="eastAsia" w:ascii="宋体" w:hAnsi="宋体" w:eastAsia="宋体" w:cs="宋体"/>
                <w:color w:val="000000" w:themeColor="text1"/>
                <w:kern w:val="0"/>
                <w:sz w:val="28"/>
                <w:szCs w:val="28"/>
                <w:highlight w:val="none"/>
                <w:lang w:eastAsia="zh-CN"/>
                <w14:textFill>
                  <w14:solidFill>
                    <w14:schemeClr w14:val="tx1"/>
                  </w14:solidFill>
                </w14:textFill>
              </w:rPr>
              <w:t>分，直至扣完为止，未提供不得分。</w:t>
            </w:r>
          </w:p>
        </w:tc>
        <w:tc>
          <w:tcPr>
            <w:tcW w:w="1088" w:type="dxa"/>
            <w:vAlign w:val="center"/>
          </w:tcPr>
          <w:p w14:paraId="6EC77853">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宋体" w:hAnsi="宋体" w:cs="宋体"/>
                <w:color w:val="000000" w:themeColor="text1"/>
                <w:kern w:val="0"/>
                <w:sz w:val="28"/>
                <w:szCs w:val="28"/>
                <w:highlight w:val="none"/>
                <w:lang w:val="en-US" w:eastAsia="zh-CN"/>
                <w14:textFill>
                  <w14:solidFill>
                    <w14:schemeClr w14:val="tx1"/>
                  </w14:solidFill>
                </w14:textFill>
              </w:rPr>
            </w:pPr>
            <w:r>
              <w:rPr>
                <w:rFonts w:hint="eastAsia" w:asciiTheme="minorEastAsia" w:hAnsiTheme="minorEastAsia" w:eastAsiaTheme="minorEastAsia"/>
                <w:bCs/>
                <w:color w:val="000000" w:themeColor="text1"/>
                <w:kern w:val="0"/>
                <w:sz w:val="28"/>
                <w:szCs w:val="28"/>
                <w:highlight w:val="none"/>
                <w:lang w:val="en-US" w:eastAsia="zh-CN"/>
                <w14:textFill>
                  <w14:solidFill>
                    <w14:schemeClr w14:val="tx1"/>
                  </w14:solidFill>
                </w14:textFill>
              </w:rPr>
              <w:t>6</w:t>
            </w:r>
          </w:p>
        </w:tc>
      </w:tr>
      <w:tr w14:paraId="41520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 w:type="dxa"/>
            <w:vAlign w:val="center"/>
          </w:tcPr>
          <w:p w14:paraId="5ED94523">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bCs/>
                <w:color w:val="000000" w:themeColor="text1"/>
                <w:kern w:val="0"/>
                <w:sz w:val="28"/>
                <w:szCs w:val="28"/>
                <w:highlight w:val="none"/>
                <w:lang w:eastAsia="zh-CN"/>
                <w14:textFill>
                  <w14:solidFill>
                    <w14:schemeClr w14:val="tx1"/>
                  </w14:solidFill>
                </w14:textFill>
              </w:rPr>
            </w:pPr>
            <w:r>
              <w:rPr>
                <w:rFonts w:hint="eastAsia" w:asciiTheme="minorEastAsia" w:hAnsiTheme="minorEastAsia" w:eastAsiaTheme="minorEastAsia"/>
                <w:bCs/>
                <w:color w:val="000000" w:themeColor="text1"/>
                <w:kern w:val="0"/>
                <w:sz w:val="28"/>
                <w:szCs w:val="28"/>
                <w:highlight w:val="none"/>
                <w:lang w:val="en-US" w:eastAsia="zh-CN"/>
                <w14:textFill>
                  <w14:solidFill>
                    <w14:schemeClr w14:val="tx1"/>
                  </w14:solidFill>
                </w14:textFill>
              </w:rPr>
              <w:t>3</w:t>
            </w:r>
          </w:p>
        </w:tc>
        <w:tc>
          <w:tcPr>
            <w:tcW w:w="1500" w:type="dxa"/>
            <w:vAlign w:val="center"/>
          </w:tcPr>
          <w:p w14:paraId="2FA216D5">
            <w:pPr>
              <w:pageBreakBefore w:val="0"/>
              <w:kinsoku/>
              <w:wordWrap/>
              <w:overflowPunct/>
              <w:topLinePunct w:val="0"/>
              <w:autoSpaceDE/>
              <w:autoSpaceDN/>
              <w:bidi w:val="0"/>
              <w:spacing w:line="360" w:lineRule="auto"/>
              <w:jc w:val="center"/>
              <w:textAlignment w:val="auto"/>
              <w:rPr>
                <w:rFonts w:asciiTheme="minorEastAsia" w:hAnsiTheme="minorEastAsia" w:eastAsiaTheme="minorEastAsia"/>
                <w:bCs/>
                <w:color w:val="000000" w:themeColor="text1"/>
                <w:kern w:val="0"/>
                <w:sz w:val="28"/>
                <w:szCs w:val="28"/>
                <w:highlight w:val="none"/>
                <w14:textFill>
                  <w14:solidFill>
                    <w14:schemeClr w14:val="tx1"/>
                  </w14:solidFill>
                </w14:textFill>
              </w:rPr>
            </w:pPr>
            <w:r>
              <w:rPr>
                <w:rFonts w:hint="eastAsia" w:ascii="宋体" w:hAnsi="宋体" w:eastAsia="宋体" w:cs="宋体"/>
                <w:color w:val="000000" w:themeColor="text1"/>
                <w:kern w:val="0"/>
                <w:sz w:val="28"/>
                <w:szCs w:val="28"/>
                <w:highlight w:val="none"/>
                <w14:textFill>
                  <w14:solidFill>
                    <w14:schemeClr w14:val="tx1"/>
                  </w14:solidFill>
                </w14:textFill>
              </w:rPr>
              <w:t>进度计划与质量保证</w:t>
            </w:r>
          </w:p>
        </w:tc>
        <w:tc>
          <w:tcPr>
            <w:tcW w:w="6283" w:type="dxa"/>
            <w:vAlign w:val="center"/>
          </w:tcPr>
          <w:p w14:paraId="33630261">
            <w:pPr>
              <w:pageBreakBefore w:val="0"/>
              <w:kinsoku/>
              <w:wordWrap/>
              <w:overflowPunct/>
              <w:topLinePunct w:val="0"/>
              <w:autoSpaceDE/>
              <w:autoSpaceDN/>
              <w:bidi w:val="0"/>
              <w:spacing w:line="360" w:lineRule="auto"/>
              <w:jc w:val="left"/>
              <w:textAlignment w:val="auto"/>
              <w:rPr>
                <w:rFonts w:asciiTheme="minorEastAsia" w:hAnsiTheme="minorEastAsia" w:eastAsiaTheme="minorEastAsia"/>
                <w:bCs/>
                <w:color w:val="000000" w:themeColor="text1"/>
                <w:kern w:val="0"/>
                <w:sz w:val="28"/>
                <w:szCs w:val="28"/>
                <w:highlight w:val="none"/>
                <w14:textFill>
                  <w14:solidFill>
                    <w14:schemeClr w14:val="tx1"/>
                  </w14:solidFill>
                </w14:textFill>
              </w:rPr>
            </w:pPr>
            <w:r>
              <w:rPr>
                <w:rFonts w:hint="eastAsia" w:ascii="宋体" w:hAnsi="宋体" w:eastAsia="宋体" w:cs="宋体"/>
                <w:color w:val="000000" w:themeColor="text1"/>
                <w:kern w:val="0"/>
                <w:sz w:val="28"/>
                <w:szCs w:val="28"/>
                <w:highlight w:val="none"/>
                <w14:textFill>
                  <w14:solidFill>
                    <w14:schemeClr w14:val="tx1"/>
                  </w14:solidFill>
                </w14:textFill>
              </w:rPr>
              <w:t>评委根据提供对进度计划、质量保证措施方案实施要点进行评分。进度计划、质量保证措施解决方案</w:t>
            </w:r>
            <w:r>
              <w:rPr>
                <w:rFonts w:hint="eastAsia" w:ascii="宋体" w:hAnsi="宋体" w:eastAsia="宋体" w:cs="宋体"/>
                <w:color w:val="000000" w:themeColor="text1"/>
                <w:kern w:val="0"/>
                <w:sz w:val="28"/>
                <w:szCs w:val="28"/>
                <w:highlight w:val="none"/>
                <w:lang w:val="en-US" w:eastAsia="zh-CN"/>
                <w14:textFill>
                  <w14:solidFill>
                    <w14:schemeClr w14:val="tx1"/>
                  </w14:solidFill>
                </w14:textFill>
              </w:rPr>
              <w:t>内容</w:t>
            </w:r>
            <w:r>
              <w:rPr>
                <w:rFonts w:hint="eastAsia" w:ascii="宋体" w:hAnsi="宋体" w:eastAsia="宋体" w:cs="宋体"/>
                <w:color w:val="000000" w:themeColor="text1"/>
                <w:kern w:val="0"/>
                <w:sz w:val="28"/>
                <w:szCs w:val="28"/>
                <w:highlight w:val="none"/>
                <w14:textFill>
                  <w14:solidFill>
                    <w14:schemeClr w14:val="tx1"/>
                  </w14:solidFill>
                </w14:textFill>
              </w:rPr>
              <w:t>完整</w:t>
            </w:r>
            <w:r>
              <w:rPr>
                <w:rFonts w:hint="eastAsia" w:ascii="宋体" w:hAnsi="宋体" w:eastAsia="宋体" w:cs="宋体"/>
                <w:color w:val="000000" w:themeColor="text1"/>
                <w:kern w:val="0"/>
                <w:sz w:val="28"/>
                <w:szCs w:val="28"/>
                <w:highlight w:val="none"/>
                <w:lang w:eastAsia="zh-CN"/>
                <w14:textFill>
                  <w14:solidFill>
                    <w14:schemeClr w14:val="tx1"/>
                  </w14:solidFill>
                </w14:textFill>
              </w:rPr>
              <w:t>、</w:t>
            </w:r>
            <w:r>
              <w:rPr>
                <w:rFonts w:hint="eastAsia" w:ascii="宋体" w:hAnsi="宋体" w:eastAsia="宋体" w:cs="宋体"/>
                <w:color w:val="000000" w:themeColor="text1"/>
                <w:kern w:val="0"/>
                <w:sz w:val="28"/>
                <w:szCs w:val="28"/>
                <w:highlight w:val="none"/>
                <w:lang w:val="en-US" w:eastAsia="zh-CN"/>
                <w14:textFill>
                  <w14:solidFill>
                    <w14:schemeClr w14:val="tx1"/>
                  </w14:solidFill>
                </w14:textFill>
              </w:rPr>
              <w:t>合理</w:t>
            </w:r>
            <w:r>
              <w:rPr>
                <w:rFonts w:hint="eastAsia" w:ascii="宋体" w:hAnsi="宋体" w:eastAsia="宋体" w:cs="宋体"/>
                <w:color w:val="000000" w:themeColor="text1"/>
                <w:kern w:val="0"/>
                <w:sz w:val="28"/>
                <w:szCs w:val="28"/>
                <w:highlight w:val="none"/>
                <w14:textFill>
                  <w14:solidFill>
                    <w14:schemeClr w14:val="tx1"/>
                  </w14:solidFill>
                </w14:textFill>
              </w:rPr>
              <w:t>的得</w:t>
            </w:r>
            <w:r>
              <w:rPr>
                <w:rFonts w:hint="eastAsia" w:ascii="宋体" w:hAnsi="宋体" w:cs="宋体"/>
                <w:color w:val="000000" w:themeColor="text1"/>
                <w:kern w:val="0"/>
                <w:sz w:val="28"/>
                <w:szCs w:val="28"/>
                <w:highlight w:val="none"/>
                <w:lang w:val="en-US" w:eastAsia="zh-CN"/>
                <w14:textFill>
                  <w14:solidFill>
                    <w14:schemeClr w14:val="tx1"/>
                  </w14:solidFill>
                </w14:textFill>
              </w:rPr>
              <w:t>6</w:t>
            </w:r>
            <w:r>
              <w:rPr>
                <w:rFonts w:hint="eastAsia" w:ascii="宋体" w:hAnsi="宋体" w:eastAsia="宋体" w:cs="宋体"/>
                <w:color w:val="000000" w:themeColor="text1"/>
                <w:kern w:val="0"/>
                <w:sz w:val="28"/>
                <w:szCs w:val="28"/>
                <w:highlight w:val="none"/>
                <w14:textFill>
                  <w14:solidFill>
                    <w14:schemeClr w14:val="tx1"/>
                  </w14:solidFill>
                </w14:textFill>
              </w:rPr>
              <w:t>分；进度计划、质量保证措施解决方案</w:t>
            </w:r>
            <w:r>
              <w:rPr>
                <w:rFonts w:hint="eastAsia" w:ascii="宋体" w:hAnsi="宋体" w:eastAsia="宋体" w:cs="宋体"/>
                <w:color w:val="000000" w:themeColor="text1"/>
                <w:kern w:val="0"/>
                <w:sz w:val="28"/>
                <w:szCs w:val="28"/>
                <w:highlight w:val="none"/>
                <w:lang w:val="en-US" w:eastAsia="zh-CN"/>
                <w14:textFill>
                  <w14:solidFill>
                    <w14:schemeClr w14:val="tx1"/>
                  </w14:solidFill>
                </w14:textFill>
              </w:rPr>
              <w:t>内容</w:t>
            </w:r>
            <w:r>
              <w:rPr>
                <w:rFonts w:hint="eastAsia" w:ascii="宋体" w:hAnsi="宋体" w:eastAsia="宋体" w:cs="宋体"/>
                <w:color w:val="000000" w:themeColor="text1"/>
                <w:kern w:val="0"/>
                <w:sz w:val="28"/>
                <w:szCs w:val="28"/>
                <w:highlight w:val="none"/>
                <w14:textFill>
                  <w14:solidFill>
                    <w14:schemeClr w14:val="tx1"/>
                  </w14:solidFill>
                </w14:textFill>
              </w:rPr>
              <w:t>简略</w:t>
            </w:r>
            <w:r>
              <w:rPr>
                <w:rFonts w:hint="eastAsia" w:ascii="宋体" w:hAnsi="宋体" w:eastAsia="宋体" w:cs="宋体"/>
                <w:color w:val="000000" w:themeColor="text1"/>
                <w:kern w:val="0"/>
                <w:sz w:val="28"/>
                <w:szCs w:val="28"/>
                <w:highlight w:val="none"/>
                <w:lang w:eastAsia="zh-CN"/>
                <w14:textFill>
                  <w14:solidFill>
                    <w14:schemeClr w14:val="tx1"/>
                  </w14:solidFill>
                </w14:textFill>
              </w:rPr>
              <w:t>、</w:t>
            </w:r>
            <w:r>
              <w:rPr>
                <w:rFonts w:hint="eastAsia" w:ascii="宋体" w:hAnsi="宋体" w:eastAsia="宋体" w:cs="宋体"/>
                <w:color w:val="000000" w:themeColor="text1"/>
                <w:kern w:val="0"/>
                <w:sz w:val="28"/>
                <w:szCs w:val="28"/>
                <w:highlight w:val="none"/>
                <w:lang w:val="en-US" w:eastAsia="zh-CN"/>
                <w14:textFill>
                  <w14:solidFill>
                    <w14:schemeClr w14:val="tx1"/>
                  </w14:solidFill>
                </w14:textFill>
              </w:rPr>
              <w:t>较为合理</w:t>
            </w:r>
            <w:r>
              <w:rPr>
                <w:rFonts w:hint="eastAsia" w:ascii="宋体" w:hAnsi="宋体" w:eastAsia="宋体" w:cs="宋体"/>
                <w:color w:val="000000" w:themeColor="text1"/>
                <w:kern w:val="0"/>
                <w:sz w:val="28"/>
                <w:szCs w:val="28"/>
                <w:highlight w:val="none"/>
                <w14:textFill>
                  <w14:solidFill>
                    <w14:schemeClr w14:val="tx1"/>
                  </w14:solidFill>
                </w14:textFill>
              </w:rPr>
              <w:t>的得</w:t>
            </w:r>
            <w:r>
              <w:rPr>
                <w:rFonts w:hint="eastAsia" w:ascii="宋体" w:hAnsi="宋体" w:cs="宋体"/>
                <w:color w:val="000000" w:themeColor="text1"/>
                <w:kern w:val="0"/>
                <w:sz w:val="28"/>
                <w:szCs w:val="28"/>
                <w:highlight w:val="none"/>
                <w:lang w:val="en-US" w:eastAsia="zh-CN"/>
                <w14:textFill>
                  <w14:solidFill>
                    <w14:schemeClr w14:val="tx1"/>
                  </w14:solidFill>
                </w14:textFill>
              </w:rPr>
              <w:t>4</w:t>
            </w:r>
            <w:r>
              <w:rPr>
                <w:rFonts w:hint="eastAsia" w:ascii="宋体" w:hAnsi="宋体" w:eastAsia="宋体" w:cs="宋体"/>
                <w:color w:val="000000" w:themeColor="text1"/>
                <w:kern w:val="0"/>
                <w:sz w:val="28"/>
                <w:szCs w:val="28"/>
                <w:highlight w:val="none"/>
                <w14:textFill>
                  <w14:solidFill>
                    <w14:schemeClr w14:val="tx1"/>
                  </w14:solidFill>
                </w14:textFill>
              </w:rPr>
              <w:t>分；未提供或进度计划、质量保证措施解决方案不合理的得</w:t>
            </w:r>
            <w:r>
              <w:rPr>
                <w:rFonts w:hint="eastAsia" w:ascii="宋体" w:hAnsi="宋体" w:cs="宋体"/>
                <w:color w:val="000000" w:themeColor="text1"/>
                <w:kern w:val="0"/>
                <w:sz w:val="28"/>
                <w:szCs w:val="28"/>
                <w:highlight w:val="none"/>
                <w:lang w:val="en-US" w:eastAsia="zh-CN"/>
                <w14:textFill>
                  <w14:solidFill>
                    <w14:schemeClr w14:val="tx1"/>
                  </w14:solidFill>
                </w14:textFill>
              </w:rPr>
              <w:t>2</w:t>
            </w:r>
            <w:r>
              <w:rPr>
                <w:rFonts w:hint="eastAsia" w:ascii="宋体" w:hAnsi="宋体" w:eastAsia="宋体" w:cs="宋体"/>
                <w:color w:val="000000" w:themeColor="text1"/>
                <w:kern w:val="0"/>
                <w:sz w:val="28"/>
                <w:szCs w:val="28"/>
                <w:highlight w:val="none"/>
                <w14:textFill>
                  <w14:solidFill>
                    <w14:schemeClr w14:val="tx1"/>
                  </w14:solidFill>
                </w14:textFill>
              </w:rPr>
              <w:t>分。</w:t>
            </w:r>
          </w:p>
        </w:tc>
        <w:tc>
          <w:tcPr>
            <w:tcW w:w="1088" w:type="dxa"/>
            <w:vAlign w:val="center"/>
          </w:tcPr>
          <w:p w14:paraId="0B1A3393">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bCs/>
                <w:color w:val="000000" w:themeColor="text1"/>
                <w:kern w:val="0"/>
                <w:sz w:val="28"/>
                <w:szCs w:val="28"/>
                <w:highlight w:val="none"/>
                <w:lang w:val="en-US" w:eastAsia="zh-CN"/>
                <w14:textFill>
                  <w14:solidFill>
                    <w14:schemeClr w14:val="tx1"/>
                  </w14:solidFill>
                </w14:textFill>
              </w:rPr>
            </w:pPr>
            <w:r>
              <w:rPr>
                <w:rFonts w:hint="eastAsia" w:asciiTheme="minorEastAsia" w:hAnsiTheme="minorEastAsia" w:eastAsiaTheme="minorEastAsia"/>
                <w:bCs/>
                <w:color w:val="000000" w:themeColor="text1"/>
                <w:kern w:val="0"/>
                <w:sz w:val="28"/>
                <w:szCs w:val="28"/>
                <w:highlight w:val="none"/>
                <w:lang w:val="en-US" w:eastAsia="zh-CN"/>
                <w14:textFill>
                  <w14:solidFill>
                    <w14:schemeClr w14:val="tx1"/>
                  </w14:solidFill>
                </w14:textFill>
              </w:rPr>
              <w:t>6</w:t>
            </w:r>
          </w:p>
        </w:tc>
      </w:tr>
      <w:tr w14:paraId="20B2F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 w:type="dxa"/>
            <w:vAlign w:val="center"/>
          </w:tcPr>
          <w:p w14:paraId="2CDFC880">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bCs/>
                <w:color w:val="000000" w:themeColor="text1"/>
                <w:kern w:val="0"/>
                <w:sz w:val="28"/>
                <w:szCs w:val="28"/>
                <w:highlight w:val="none"/>
                <w:lang w:eastAsia="zh-CN"/>
                <w14:textFill>
                  <w14:solidFill>
                    <w14:schemeClr w14:val="tx1"/>
                  </w14:solidFill>
                </w14:textFill>
              </w:rPr>
            </w:pPr>
            <w:r>
              <w:rPr>
                <w:rFonts w:hint="eastAsia" w:asciiTheme="minorEastAsia" w:hAnsiTheme="minorEastAsia" w:eastAsiaTheme="minorEastAsia"/>
                <w:bCs/>
                <w:color w:val="000000" w:themeColor="text1"/>
                <w:kern w:val="0"/>
                <w:sz w:val="28"/>
                <w:szCs w:val="28"/>
                <w:highlight w:val="none"/>
                <w:lang w:val="en-US" w:eastAsia="zh-CN"/>
                <w14:textFill>
                  <w14:solidFill>
                    <w14:schemeClr w14:val="tx1"/>
                  </w14:solidFill>
                </w14:textFill>
              </w:rPr>
              <w:t>4</w:t>
            </w:r>
          </w:p>
        </w:tc>
        <w:tc>
          <w:tcPr>
            <w:tcW w:w="1500" w:type="dxa"/>
            <w:vAlign w:val="center"/>
          </w:tcPr>
          <w:p w14:paraId="3820F06C">
            <w:pPr>
              <w:pageBreakBefore w:val="0"/>
              <w:kinsoku/>
              <w:wordWrap/>
              <w:overflowPunct/>
              <w:topLinePunct w:val="0"/>
              <w:autoSpaceDE/>
              <w:autoSpaceDN/>
              <w:bidi w:val="0"/>
              <w:spacing w:line="560" w:lineRule="exact"/>
              <w:jc w:val="center"/>
              <w:textAlignment w:val="auto"/>
              <w:rPr>
                <w:rFonts w:asciiTheme="minorEastAsia" w:hAnsiTheme="minorEastAsia" w:eastAsiaTheme="minorEastAsia"/>
                <w:bCs/>
                <w:color w:val="000000" w:themeColor="text1"/>
                <w:kern w:val="0"/>
                <w:sz w:val="28"/>
                <w:szCs w:val="28"/>
                <w:highlight w:val="none"/>
                <w14:textFill>
                  <w14:solidFill>
                    <w14:schemeClr w14:val="tx1"/>
                  </w14:solidFill>
                </w14:textFill>
              </w:rPr>
            </w:pPr>
            <w:r>
              <w:rPr>
                <w:rFonts w:hint="eastAsia" w:ascii="宋体" w:hAnsi="宋体" w:eastAsia="宋体" w:cs="宋体"/>
                <w:color w:val="000000" w:themeColor="text1"/>
                <w:kern w:val="0"/>
                <w:sz w:val="28"/>
                <w:szCs w:val="28"/>
                <w:highlight w:val="none"/>
                <w14:textFill>
                  <w14:solidFill>
                    <w14:schemeClr w14:val="tx1"/>
                  </w14:solidFill>
                </w14:textFill>
              </w:rPr>
              <w:t>验收方案和措施</w:t>
            </w:r>
          </w:p>
        </w:tc>
        <w:tc>
          <w:tcPr>
            <w:tcW w:w="6283" w:type="dxa"/>
            <w:vAlign w:val="center"/>
          </w:tcPr>
          <w:p w14:paraId="5BC379C9">
            <w:pPr>
              <w:pageBreakBefore w:val="0"/>
              <w:kinsoku/>
              <w:wordWrap/>
              <w:overflowPunct/>
              <w:topLinePunct w:val="0"/>
              <w:autoSpaceDE/>
              <w:autoSpaceDN/>
              <w:bidi w:val="0"/>
              <w:spacing w:line="560" w:lineRule="exact"/>
              <w:jc w:val="left"/>
              <w:textAlignment w:val="auto"/>
              <w:rPr>
                <w:rFonts w:asciiTheme="minorEastAsia" w:hAnsiTheme="minorEastAsia" w:eastAsiaTheme="minorEastAsia"/>
                <w:bCs/>
                <w:color w:val="000000" w:themeColor="text1"/>
                <w:kern w:val="0"/>
                <w:sz w:val="28"/>
                <w:szCs w:val="28"/>
                <w:highlight w:val="none"/>
                <w14:textFill>
                  <w14:solidFill>
                    <w14:schemeClr w14:val="tx1"/>
                  </w14:solidFill>
                </w14:textFill>
              </w:rPr>
            </w:pPr>
            <w:r>
              <w:rPr>
                <w:rFonts w:hint="eastAsia" w:ascii="宋体" w:hAnsi="宋体" w:eastAsia="宋体" w:cs="宋体"/>
                <w:color w:val="000000" w:themeColor="text1"/>
                <w:kern w:val="0"/>
                <w:sz w:val="28"/>
                <w:szCs w:val="28"/>
                <w:highlight w:val="none"/>
                <w14:textFill>
                  <w14:solidFill>
                    <w14:schemeClr w14:val="tx1"/>
                  </w14:solidFill>
                </w14:textFill>
              </w:rPr>
              <w:t>根据本项目的实际情况，自行编制验收方案和措施；验收方案和措施优质完整符合项目实际需要</w:t>
            </w:r>
            <w:r>
              <w:rPr>
                <w:rFonts w:hint="eastAsia" w:ascii="宋体" w:hAnsi="宋体" w:cs="宋体"/>
                <w:color w:val="000000" w:themeColor="text1"/>
                <w:kern w:val="0"/>
                <w:sz w:val="28"/>
                <w:szCs w:val="28"/>
                <w:highlight w:val="none"/>
                <w:lang w:eastAsia="zh-CN"/>
                <w14:textFill>
                  <w14:solidFill>
                    <w14:schemeClr w14:val="tx1"/>
                  </w14:solidFill>
                </w14:textFill>
              </w:rPr>
              <w:t>的</w:t>
            </w:r>
            <w:r>
              <w:rPr>
                <w:rFonts w:hint="eastAsia" w:ascii="宋体" w:hAnsi="宋体" w:eastAsia="宋体" w:cs="宋体"/>
                <w:color w:val="000000" w:themeColor="text1"/>
                <w:kern w:val="0"/>
                <w:sz w:val="28"/>
                <w:szCs w:val="28"/>
                <w:highlight w:val="none"/>
                <w14:textFill>
                  <w14:solidFill>
                    <w14:schemeClr w14:val="tx1"/>
                  </w14:solidFill>
                </w14:textFill>
              </w:rPr>
              <w:t>得</w:t>
            </w:r>
            <w:r>
              <w:rPr>
                <w:rFonts w:hint="eastAsia" w:ascii="宋体" w:hAnsi="宋体" w:cs="宋体"/>
                <w:color w:val="000000" w:themeColor="text1"/>
                <w:kern w:val="0"/>
                <w:sz w:val="28"/>
                <w:szCs w:val="28"/>
                <w:highlight w:val="none"/>
                <w:lang w:val="en-US" w:eastAsia="zh-CN"/>
                <w14:textFill>
                  <w14:solidFill>
                    <w14:schemeClr w14:val="tx1"/>
                  </w14:solidFill>
                </w14:textFill>
              </w:rPr>
              <w:t>5</w:t>
            </w:r>
            <w:r>
              <w:rPr>
                <w:rFonts w:hint="eastAsia" w:ascii="宋体" w:hAnsi="宋体" w:eastAsia="宋体" w:cs="宋体"/>
                <w:color w:val="000000" w:themeColor="text1"/>
                <w:kern w:val="0"/>
                <w:sz w:val="28"/>
                <w:szCs w:val="28"/>
                <w:highlight w:val="none"/>
                <w14:textFill>
                  <w14:solidFill>
                    <w14:schemeClr w14:val="tx1"/>
                  </w14:solidFill>
                </w14:textFill>
              </w:rPr>
              <w:t>分</w:t>
            </w:r>
            <w:r>
              <w:rPr>
                <w:rFonts w:hint="eastAsia" w:ascii="宋体" w:hAnsi="宋体" w:cs="宋体"/>
                <w:color w:val="000000" w:themeColor="text1"/>
                <w:kern w:val="0"/>
                <w:sz w:val="28"/>
                <w:szCs w:val="28"/>
                <w:highlight w:val="none"/>
                <w:lang w:eastAsia="zh-CN"/>
                <w14:textFill>
                  <w14:solidFill>
                    <w14:schemeClr w14:val="tx1"/>
                  </w14:solidFill>
                </w14:textFill>
              </w:rPr>
              <w:t>；</w:t>
            </w:r>
            <w:r>
              <w:rPr>
                <w:rFonts w:hint="eastAsia" w:ascii="宋体" w:hAnsi="宋体" w:eastAsia="宋体" w:cs="宋体"/>
                <w:color w:val="000000" w:themeColor="text1"/>
                <w:kern w:val="0"/>
                <w:sz w:val="28"/>
                <w:szCs w:val="28"/>
                <w:highlight w:val="none"/>
                <w14:textFill>
                  <w14:solidFill>
                    <w14:schemeClr w14:val="tx1"/>
                  </w14:solidFill>
                </w14:textFill>
              </w:rPr>
              <w:t>验收方案和措施基本满足</w:t>
            </w:r>
            <w:r>
              <w:rPr>
                <w:rFonts w:hint="eastAsia" w:ascii="宋体" w:hAnsi="宋体" w:cs="宋体"/>
                <w:color w:val="000000" w:themeColor="text1"/>
                <w:kern w:val="0"/>
                <w:sz w:val="28"/>
                <w:szCs w:val="28"/>
                <w:highlight w:val="none"/>
                <w:lang w:eastAsia="zh-CN"/>
                <w14:textFill>
                  <w14:solidFill>
                    <w14:schemeClr w14:val="tx1"/>
                  </w14:solidFill>
                </w14:textFill>
              </w:rPr>
              <w:t>采购人实际</w:t>
            </w:r>
            <w:r>
              <w:rPr>
                <w:rFonts w:hint="eastAsia" w:ascii="宋体" w:hAnsi="宋体" w:eastAsia="宋体" w:cs="宋体"/>
                <w:color w:val="000000" w:themeColor="text1"/>
                <w:kern w:val="0"/>
                <w:sz w:val="28"/>
                <w:szCs w:val="28"/>
                <w:highlight w:val="none"/>
                <w14:textFill>
                  <w14:solidFill>
                    <w14:schemeClr w14:val="tx1"/>
                  </w14:solidFill>
                </w14:textFill>
              </w:rPr>
              <w:t>需要</w:t>
            </w:r>
            <w:r>
              <w:rPr>
                <w:rFonts w:hint="eastAsia" w:ascii="宋体" w:hAnsi="宋体" w:cs="宋体"/>
                <w:color w:val="000000" w:themeColor="text1"/>
                <w:kern w:val="0"/>
                <w:sz w:val="28"/>
                <w:szCs w:val="28"/>
                <w:highlight w:val="none"/>
                <w:lang w:eastAsia="zh-CN"/>
                <w14:textFill>
                  <w14:solidFill>
                    <w14:schemeClr w14:val="tx1"/>
                  </w14:solidFill>
                </w14:textFill>
              </w:rPr>
              <w:t>的</w:t>
            </w:r>
            <w:r>
              <w:rPr>
                <w:rFonts w:hint="eastAsia" w:ascii="宋体" w:hAnsi="宋体" w:eastAsia="宋体" w:cs="宋体"/>
                <w:color w:val="000000" w:themeColor="text1"/>
                <w:kern w:val="0"/>
                <w:sz w:val="28"/>
                <w:szCs w:val="28"/>
                <w:highlight w:val="none"/>
                <w14:textFill>
                  <w14:solidFill>
                    <w14:schemeClr w14:val="tx1"/>
                  </w14:solidFill>
                </w14:textFill>
              </w:rPr>
              <w:t>得</w:t>
            </w:r>
            <w:r>
              <w:rPr>
                <w:rFonts w:hint="eastAsia" w:ascii="宋体" w:hAnsi="宋体" w:cs="宋体"/>
                <w:color w:val="000000" w:themeColor="text1"/>
                <w:kern w:val="0"/>
                <w:sz w:val="28"/>
                <w:szCs w:val="28"/>
                <w:highlight w:val="none"/>
                <w:lang w:val="en-US" w:eastAsia="zh-CN"/>
                <w14:textFill>
                  <w14:solidFill>
                    <w14:schemeClr w14:val="tx1"/>
                  </w14:solidFill>
                </w14:textFill>
              </w:rPr>
              <w:t>3</w:t>
            </w:r>
            <w:r>
              <w:rPr>
                <w:rFonts w:hint="eastAsia" w:ascii="宋体" w:hAnsi="宋体" w:eastAsia="宋体" w:cs="宋体"/>
                <w:color w:val="000000" w:themeColor="text1"/>
                <w:kern w:val="0"/>
                <w:sz w:val="28"/>
                <w:szCs w:val="28"/>
                <w:highlight w:val="none"/>
                <w14:textFill>
                  <w14:solidFill>
                    <w14:schemeClr w14:val="tx1"/>
                  </w14:solidFill>
                </w14:textFill>
              </w:rPr>
              <w:t>分</w:t>
            </w:r>
            <w:r>
              <w:rPr>
                <w:rFonts w:hint="eastAsia" w:ascii="宋体" w:hAnsi="宋体" w:cs="宋体"/>
                <w:color w:val="000000" w:themeColor="text1"/>
                <w:kern w:val="0"/>
                <w:sz w:val="28"/>
                <w:szCs w:val="28"/>
                <w:highlight w:val="none"/>
                <w:lang w:eastAsia="zh-CN"/>
                <w14:textFill>
                  <w14:solidFill>
                    <w14:schemeClr w14:val="tx1"/>
                  </w14:solidFill>
                </w14:textFill>
              </w:rPr>
              <w:t>；</w:t>
            </w:r>
            <w:r>
              <w:rPr>
                <w:rFonts w:hint="eastAsia" w:ascii="宋体" w:hAnsi="宋体" w:eastAsia="宋体" w:cs="宋体"/>
                <w:color w:val="000000" w:themeColor="text1"/>
                <w:kern w:val="0"/>
                <w:sz w:val="28"/>
                <w:szCs w:val="28"/>
                <w:highlight w:val="none"/>
                <w:lang w:eastAsia="zh-CN"/>
                <w14:textFill>
                  <w14:solidFill>
                    <w14:schemeClr w14:val="tx1"/>
                  </w14:solidFill>
                </w14:textFill>
              </w:rPr>
              <w:t>不提供不得分。</w:t>
            </w:r>
          </w:p>
        </w:tc>
        <w:tc>
          <w:tcPr>
            <w:tcW w:w="1088" w:type="dxa"/>
            <w:vAlign w:val="center"/>
          </w:tcPr>
          <w:p w14:paraId="3645A57F">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bCs/>
                <w:color w:val="000000" w:themeColor="text1"/>
                <w:kern w:val="0"/>
                <w:sz w:val="28"/>
                <w:szCs w:val="28"/>
                <w:highlight w:val="none"/>
                <w:lang w:eastAsia="zh-CN"/>
                <w14:textFill>
                  <w14:solidFill>
                    <w14:schemeClr w14:val="tx1"/>
                  </w14:solidFill>
                </w14:textFill>
              </w:rPr>
            </w:pPr>
            <w:r>
              <w:rPr>
                <w:rFonts w:hint="eastAsia" w:asciiTheme="minorEastAsia" w:hAnsiTheme="minorEastAsia" w:eastAsiaTheme="minorEastAsia"/>
                <w:bCs/>
                <w:color w:val="000000" w:themeColor="text1"/>
                <w:kern w:val="0"/>
                <w:sz w:val="28"/>
                <w:szCs w:val="28"/>
                <w:highlight w:val="none"/>
                <w:lang w:val="en-US" w:eastAsia="zh-CN"/>
                <w14:textFill>
                  <w14:solidFill>
                    <w14:schemeClr w14:val="tx1"/>
                  </w14:solidFill>
                </w14:textFill>
              </w:rPr>
              <w:t>5</w:t>
            </w:r>
          </w:p>
        </w:tc>
      </w:tr>
      <w:tr w14:paraId="64FDD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 w:type="dxa"/>
            <w:vAlign w:val="center"/>
          </w:tcPr>
          <w:p w14:paraId="5778B222">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bCs/>
                <w:color w:val="000000" w:themeColor="text1"/>
                <w:kern w:val="0"/>
                <w:sz w:val="28"/>
                <w:szCs w:val="28"/>
                <w:highlight w:val="none"/>
                <w:lang w:eastAsia="zh-CN"/>
                <w14:textFill>
                  <w14:solidFill>
                    <w14:schemeClr w14:val="tx1"/>
                  </w14:solidFill>
                </w14:textFill>
              </w:rPr>
            </w:pPr>
            <w:r>
              <w:rPr>
                <w:rFonts w:hint="eastAsia" w:asciiTheme="minorEastAsia" w:hAnsiTheme="minorEastAsia" w:eastAsiaTheme="minorEastAsia"/>
                <w:bCs/>
                <w:color w:val="000000" w:themeColor="text1"/>
                <w:kern w:val="0"/>
                <w:sz w:val="28"/>
                <w:szCs w:val="28"/>
                <w:highlight w:val="none"/>
                <w:lang w:val="en-US" w:eastAsia="zh-CN"/>
                <w14:textFill>
                  <w14:solidFill>
                    <w14:schemeClr w14:val="tx1"/>
                  </w14:solidFill>
                </w14:textFill>
              </w:rPr>
              <w:t>5</w:t>
            </w:r>
          </w:p>
        </w:tc>
        <w:tc>
          <w:tcPr>
            <w:tcW w:w="1500" w:type="dxa"/>
            <w:vAlign w:val="center"/>
          </w:tcPr>
          <w:p w14:paraId="2F4F50BA">
            <w:pPr>
              <w:pageBreakBefore w:val="0"/>
              <w:kinsoku/>
              <w:wordWrap/>
              <w:overflowPunct/>
              <w:topLinePunct w:val="0"/>
              <w:autoSpaceDE/>
              <w:autoSpaceDN/>
              <w:bidi w:val="0"/>
              <w:spacing w:line="560" w:lineRule="exact"/>
              <w:jc w:val="center"/>
              <w:textAlignment w:val="auto"/>
              <w:rPr>
                <w:rFonts w:asciiTheme="minorEastAsia" w:hAnsiTheme="minorEastAsia" w:eastAsiaTheme="minorEastAsia"/>
                <w:bCs/>
                <w:color w:val="000000" w:themeColor="text1"/>
                <w:kern w:val="0"/>
                <w:sz w:val="28"/>
                <w:szCs w:val="28"/>
                <w:highlight w:val="none"/>
                <w14:textFill>
                  <w14:solidFill>
                    <w14:schemeClr w14:val="tx1"/>
                  </w14:solidFill>
                </w14:textFill>
              </w:rPr>
            </w:pPr>
            <w:r>
              <w:rPr>
                <w:rFonts w:hint="eastAsia" w:ascii="宋体" w:hAnsi="宋体" w:eastAsia="宋体" w:cs="宋体"/>
                <w:color w:val="000000" w:themeColor="text1"/>
                <w:kern w:val="0"/>
                <w:sz w:val="28"/>
                <w:szCs w:val="28"/>
                <w:highlight w:val="none"/>
                <w:lang w:eastAsia="zh-CN"/>
                <w14:textFill>
                  <w14:solidFill>
                    <w14:schemeClr w14:val="tx1"/>
                  </w14:solidFill>
                </w14:textFill>
              </w:rPr>
              <w:t>培训方案</w:t>
            </w:r>
          </w:p>
        </w:tc>
        <w:tc>
          <w:tcPr>
            <w:tcW w:w="6283" w:type="dxa"/>
            <w:vAlign w:val="center"/>
          </w:tcPr>
          <w:p w14:paraId="66266DA4">
            <w:pPr>
              <w:pageBreakBefore w:val="0"/>
              <w:kinsoku/>
              <w:wordWrap/>
              <w:overflowPunct/>
              <w:topLinePunct w:val="0"/>
              <w:autoSpaceDE/>
              <w:autoSpaceDN/>
              <w:bidi w:val="0"/>
              <w:spacing w:line="560" w:lineRule="exact"/>
              <w:jc w:val="left"/>
              <w:textAlignment w:val="auto"/>
              <w:rPr>
                <w:rFonts w:asciiTheme="minorEastAsia" w:hAnsiTheme="minorEastAsia" w:eastAsiaTheme="minorEastAsia"/>
                <w:bCs/>
                <w:color w:val="000000" w:themeColor="text1"/>
                <w:kern w:val="0"/>
                <w:sz w:val="28"/>
                <w:szCs w:val="28"/>
                <w:highlight w:val="none"/>
                <w14:textFill>
                  <w14:solidFill>
                    <w14:schemeClr w14:val="tx1"/>
                  </w14:solidFill>
                </w14:textFill>
              </w:rPr>
            </w:pPr>
            <w:r>
              <w:rPr>
                <w:rFonts w:hint="eastAsia" w:ascii="宋体" w:hAnsi="宋体" w:eastAsia="宋体" w:cs="宋体"/>
                <w:color w:val="000000" w:themeColor="text1"/>
                <w:kern w:val="0"/>
                <w:sz w:val="28"/>
                <w:szCs w:val="28"/>
                <w:highlight w:val="none"/>
                <w:lang w:eastAsia="zh-CN"/>
                <w14:textFill>
                  <w14:solidFill>
                    <w14:schemeClr w14:val="tx1"/>
                  </w14:solidFill>
                </w14:textFill>
              </w:rPr>
              <w:t>针对本项目制定</w:t>
            </w:r>
            <w:r>
              <w:rPr>
                <w:rFonts w:hint="eastAsia" w:ascii="宋体" w:hAnsi="宋体" w:cs="宋体"/>
                <w:color w:val="000000" w:themeColor="text1"/>
                <w:kern w:val="0"/>
                <w:sz w:val="28"/>
                <w:szCs w:val="28"/>
                <w:highlight w:val="none"/>
                <w:lang w:eastAsia="zh-CN"/>
                <w14:textFill>
                  <w14:solidFill>
                    <w14:schemeClr w14:val="tx1"/>
                  </w14:solidFill>
                </w14:textFill>
              </w:rPr>
              <w:t>符合项目情况的</w:t>
            </w:r>
            <w:r>
              <w:rPr>
                <w:rFonts w:hint="eastAsia" w:ascii="宋体" w:hAnsi="宋体" w:eastAsia="宋体" w:cs="宋体"/>
                <w:color w:val="000000" w:themeColor="text1"/>
                <w:kern w:val="0"/>
                <w:sz w:val="28"/>
                <w:szCs w:val="28"/>
                <w:highlight w:val="none"/>
                <w:lang w:eastAsia="zh-CN"/>
                <w14:textFill>
                  <w14:solidFill>
                    <w14:schemeClr w14:val="tx1"/>
                  </w14:solidFill>
                </w14:textFill>
              </w:rPr>
              <w:t>培训方案；</w:t>
            </w:r>
            <w:r>
              <w:rPr>
                <w:rFonts w:hint="eastAsia" w:ascii="宋体" w:hAnsi="宋体" w:cs="宋体"/>
                <w:color w:val="000000" w:themeColor="text1"/>
                <w:kern w:val="0"/>
                <w:sz w:val="28"/>
                <w:szCs w:val="28"/>
                <w:highlight w:val="none"/>
                <w:lang w:eastAsia="zh-CN"/>
                <w14:textFill>
                  <w14:solidFill>
                    <w14:schemeClr w14:val="tx1"/>
                  </w14:solidFill>
                </w14:textFill>
              </w:rPr>
              <w:t>包括但不限于</w:t>
            </w:r>
            <w:r>
              <w:rPr>
                <w:rFonts w:hint="eastAsia" w:ascii="宋体" w:hAnsi="宋体" w:eastAsia="宋体" w:cs="宋体"/>
                <w:color w:val="000000" w:themeColor="text1"/>
                <w:kern w:val="0"/>
                <w:sz w:val="28"/>
                <w:szCs w:val="28"/>
                <w:highlight w:val="none"/>
                <w:lang w:eastAsia="zh-CN"/>
                <w14:textFill>
                  <w14:solidFill>
                    <w14:schemeClr w14:val="tx1"/>
                  </w14:solidFill>
                </w14:textFill>
              </w:rPr>
              <w:t>培训</w:t>
            </w:r>
            <w:r>
              <w:rPr>
                <w:rFonts w:hint="eastAsia" w:ascii="宋体" w:hAnsi="宋体" w:cs="宋体"/>
                <w:color w:val="000000" w:themeColor="text1"/>
                <w:kern w:val="0"/>
                <w:sz w:val="28"/>
                <w:szCs w:val="28"/>
                <w:highlight w:val="none"/>
                <w:lang w:eastAsia="zh-CN"/>
                <w14:textFill>
                  <w14:solidFill>
                    <w14:schemeClr w14:val="tx1"/>
                  </w14:solidFill>
                </w14:textFill>
              </w:rPr>
              <w:t>时间、培训</w:t>
            </w:r>
            <w:r>
              <w:rPr>
                <w:rFonts w:hint="eastAsia" w:ascii="宋体" w:hAnsi="宋体" w:eastAsia="宋体" w:cs="宋体"/>
                <w:color w:val="000000" w:themeColor="text1"/>
                <w:kern w:val="0"/>
                <w:sz w:val="28"/>
                <w:szCs w:val="28"/>
                <w:highlight w:val="none"/>
                <w:lang w:eastAsia="zh-CN"/>
                <w14:textFill>
                  <w14:solidFill>
                    <w14:schemeClr w14:val="tx1"/>
                  </w14:solidFill>
                </w14:textFill>
              </w:rPr>
              <w:t>团队</w:t>
            </w:r>
            <w:r>
              <w:rPr>
                <w:rFonts w:hint="eastAsia" w:ascii="宋体" w:hAnsi="宋体" w:cs="宋体"/>
                <w:color w:val="000000" w:themeColor="text1"/>
                <w:kern w:val="0"/>
                <w:sz w:val="28"/>
                <w:szCs w:val="28"/>
                <w:highlight w:val="none"/>
                <w:lang w:eastAsia="zh-CN"/>
                <w14:textFill>
                  <w14:solidFill>
                    <w14:schemeClr w14:val="tx1"/>
                  </w14:solidFill>
                </w14:textFill>
              </w:rPr>
              <w:t>、</w:t>
            </w:r>
            <w:r>
              <w:rPr>
                <w:rFonts w:hint="eastAsia" w:ascii="宋体" w:hAnsi="宋体" w:eastAsia="宋体" w:cs="宋体"/>
                <w:color w:val="000000" w:themeColor="text1"/>
                <w:kern w:val="0"/>
                <w:sz w:val="28"/>
                <w:szCs w:val="28"/>
                <w:highlight w:val="none"/>
                <w:lang w:eastAsia="zh-CN"/>
                <w14:textFill>
                  <w14:solidFill>
                    <w14:schemeClr w14:val="tx1"/>
                  </w14:solidFill>
                </w14:textFill>
              </w:rPr>
              <w:t>培训</w:t>
            </w:r>
            <w:r>
              <w:rPr>
                <w:rFonts w:hint="eastAsia" w:ascii="宋体" w:hAnsi="宋体" w:cs="宋体"/>
                <w:color w:val="000000" w:themeColor="text1"/>
                <w:kern w:val="0"/>
                <w:sz w:val="28"/>
                <w:szCs w:val="28"/>
                <w:highlight w:val="none"/>
                <w:lang w:eastAsia="zh-CN"/>
                <w14:textFill>
                  <w14:solidFill>
                    <w14:schemeClr w14:val="tx1"/>
                  </w14:solidFill>
                </w14:textFill>
              </w:rPr>
              <w:t>内容等方面</w:t>
            </w:r>
            <w:r>
              <w:rPr>
                <w:rFonts w:hint="eastAsia" w:ascii="宋体" w:hAnsi="宋体" w:eastAsia="宋体" w:cs="宋体"/>
                <w:color w:val="000000" w:themeColor="text1"/>
                <w:kern w:val="0"/>
                <w:sz w:val="28"/>
                <w:szCs w:val="28"/>
                <w:highlight w:val="none"/>
                <w:lang w:eastAsia="zh-CN"/>
                <w14:textFill>
                  <w14:solidFill>
                    <w14:schemeClr w14:val="tx1"/>
                  </w14:solidFill>
                </w14:textFill>
              </w:rPr>
              <w:t>。对</w:t>
            </w:r>
            <w:r>
              <w:rPr>
                <w:rFonts w:hint="eastAsia" w:ascii="宋体" w:hAnsi="宋体" w:cs="宋体"/>
                <w:color w:val="000000" w:themeColor="text1"/>
                <w:kern w:val="0"/>
                <w:sz w:val="28"/>
                <w:szCs w:val="28"/>
                <w:highlight w:val="none"/>
                <w:lang w:eastAsia="zh-CN"/>
                <w14:textFill>
                  <w14:solidFill>
                    <w14:schemeClr w14:val="tx1"/>
                  </w14:solidFill>
                </w14:textFill>
              </w:rPr>
              <w:t>方案</w:t>
            </w:r>
            <w:r>
              <w:rPr>
                <w:rFonts w:hint="eastAsia" w:ascii="宋体" w:hAnsi="宋体" w:eastAsia="宋体" w:cs="宋体"/>
                <w:color w:val="000000" w:themeColor="text1"/>
                <w:kern w:val="0"/>
                <w:sz w:val="28"/>
                <w:szCs w:val="28"/>
                <w:highlight w:val="none"/>
                <w:lang w:eastAsia="zh-CN"/>
                <w14:textFill>
                  <w14:solidFill>
                    <w14:schemeClr w14:val="tx1"/>
                  </w14:solidFill>
                </w14:textFill>
              </w:rPr>
              <w:t>进行综合评比</w:t>
            </w:r>
            <w:r>
              <w:rPr>
                <w:rFonts w:hint="eastAsia" w:ascii="宋体" w:hAnsi="宋体" w:cs="宋体"/>
                <w:color w:val="000000" w:themeColor="text1"/>
                <w:kern w:val="0"/>
                <w:sz w:val="28"/>
                <w:szCs w:val="28"/>
                <w:highlight w:val="none"/>
                <w:lang w:eastAsia="zh-CN"/>
                <w14:textFill>
                  <w14:solidFill>
                    <w14:schemeClr w14:val="tx1"/>
                  </w14:solidFill>
                </w14:textFill>
              </w:rPr>
              <w:t>，</w:t>
            </w:r>
            <w:r>
              <w:rPr>
                <w:rFonts w:hint="eastAsia" w:ascii="宋体" w:hAnsi="宋体" w:eastAsia="宋体" w:cs="宋体"/>
                <w:color w:val="000000" w:themeColor="text1"/>
                <w:kern w:val="0"/>
                <w:sz w:val="28"/>
                <w:szCs w:val="28"/>
                <w:highlight w:val="none"/>
                <w:lang w:eastAsia="zh-CN"/>
                <w14:textFill>
                  <w14:solidFill>
                    <w14:schemeClr w14:val="tx1"/>
                  </w14:solidFill>
                </w14:textFill>
              </w:rPr>
              <w:t>提供优质完整符合项目实际情况的</w:t>
            </w:r>
            <w:r>
              <w:rPr>
                <w:rFonts w:hint="eastAsia" w:ascii="宋体" w:hAnsi="宋体" w:cs="宋体"/>
                <w:color w:val="000000" w:themeColor="text1"/>
                <w:kern w:val="0"/>
                <w:sz w:val="28"/>
                <w:szCs w:val="28"/>
                <w:highlight w:val="none"/>
                <w:lang w:eastAsia="zh-CN"/>
                <w14:textFill>
                  <w14:solidFill>
                    <w14:schemeClr w14:val="tx1"/>
                  </w14:solidFill>
                </w14:textFill>
              </w:rPr>
              <w:t>方案</w:t>
            </w:r>
            <w:r>
              <w:rPr>
                <w:rFonts w:hint="eastAsia" w:ascii="宋体" w:hAnsi="宋体" w:eastAsia="宋体" w:cs="宋体"/>
                <w:color w:val="000000" w:themeColor="text1"/>
                <w:kern w:val="0"/>
                <w:sz w:val="28"/>
                <w:szCs w:val="28"/>
                <w:highlight w:val="none"/>
                <w:lang w:eastAsia="zh-CN"/>
                <w14:textFill>
                  <w14:solidFill>
                    <w14:schemeClr w14:val="tx1"/>
                  </w14:solidFill>
                </w14:textFill>
              </w:rPr>
              <w:t>得</w:t>
            </w:r>
            <w:r>
              <w:rPr>
                <w:rFonts w:hint="eastAsia" w:ascii="宋体" w:hAnsi="宋体" w:cs="宋体"/>
                <w:color w:val="000000" w:themeColor="text1"/>
                <w:kern w:val="0"/>
                <w:sz w:val="28"/>
                <w:szCs w:val="28"/>
                <w:highlight w:val="none"/>
                <w:lang w:val="en-US" w:eastAsia="zh-CN"/>
                <w14:textFill>
                  <w14:solidFill>
                    <w14:schemeClr w14:val="tx1"/>
                  </w14:solidFill>
                </w14:textFill>
              </w:rPr>
              <w:t>5</w:t>
            </w:r>
            <w:r>
              <w:rPr>
                <w:rFonts w:hint="eastAsia" w:ascii="宋体" w:hAnsi="宋体" w:eastAsia="宋体" w:cs="宋体"/>
                <w:color w:val="000000" w:themeColor="text1"/>
                <w:kern w:val="0"/>
                <w:sz w:val="28"/>
                <w:szCs w:val="28"/>
                <w:highlight w:val="none"/>
                <w:lang w:eastAsia="zh-CN"/>
                <w14:textFill>
                  <w14:solidFill>
                    <w14:schemeClr w14:val="tx1"/>
                  </w14:solidFill>
                </w14:textFill>
              </w:rPr>
              <w:t>分</w:t>
            </w:r>
            <w:r>
              <w:rPr>
                <w:rFonts w:hint="eastAsia" w:ascii="宋体" w:hAnsi="宋体" w:cs="宋体"/>
                <w:color w:val="000000" w:themeColor="text1"/>
                <w:kern w:val="0"/>
                <w:sz w:val="28"/>
                <w:szCs w:val="28"/>
                <w:highlight w:val="none"/>
                <w:lang w:eastAsia="zh-CN"/>
                <w14:textFill>
                  <w14:solidFill>
                    <w14:schemeClr w14:val="tx1"/>
                  </w14:solidFill>
                </w14:textFill>
              </w:rPr>
              <w:t>；</w:t>
            </w:r>
            <w:r>
              <w:rPr>
                <w:rFonts w:hint="eastAsia" w:ascii="宋体" w:hAnsi="宋体" w:eastAsia="宋体" w:cs="宋体"/>
                <w:color w:val="000000" w:themeColor="text1"/>
                <w:kern w:val="0"/>
                <w:sz w:val="28"/>
                <w:szCs w:val="28"/>
                <w:highlight w:val="none"/>
                <w:lang w:eastAsia="zh-CN"/>
                <w14:textFill>
                  <w14:solidFill>
                    <w14:schemeClr w14:val="tx1"/>
                  </w14:solidFill>
                </w14:textFill>
              </w:rPr>
              <w:t>能基本满足采购人需求的</w:t>
            </w:r>
            <w:r>
              <w:rPr>
                <w:rFonts w:hint="eastAsia" w:ascii="宋体" w:hAnsi="宋体" w:cs="宋体"/>
                <w:color w:val="000000" w:themeColor="text1"/>
                <w:kern w:val="0"/>
                <w:sz w:val="28"/>
                <w:szCs w:val="28"/>
                <w:highlight w:val="none"/>
                <w:lang w:eastAsia="zh-CN"/>
                <w14:textFill>
                  <w14:solidFill>
                    <w14:schemeClr w14:val="tx1"/>
                  </w14:solidFill>
                </w14:textFill>
              </w:rPr>
              <w:t>得</w:t>
            </w:r>
            <w:r>
              <w:rPr>
                <w:rFonts w:hint="eastAsia" w:ascii="宋体" w:hAnsi="宋体" w:cs="宋体"/>
                <w:color w:val="000000" w:themeColor="text1"/>
                <w:kern w:val="0"/>
                <w:sz w:val="28"/>
                <w:szCs w:val="28"/>
                <w:highlight w:val="none"/>
                <w:lang w:val="en-US" w:eastAsia="zh-CN"/>
                <w14:textFill>
                  <w14:solidFill>
                    <w14:schemeClr w14:val="tx1"/>
                  </w14:solidFill>
                </w14:textFill>
              </w:rPr>
              <w:t>3</w:t>
            </w:r>
            <w:r>
              <w:rPr>
                <w:rFonts w:hint="eastAsia" w:ascii="宋体" w:hAnsi="宋体" w:eastAsia="宋体" w:cs="宋体"/>
                <w:color w:val="000000" w:themeColor="text1"/>
                <w:kern w:val="0"/>
                <w:sz w:val="28"/>
                <w:szCs w:val="28"/>
                <w:highlight w:val="none"/>
                <w:lang w:eastAsia="zh-CN"/>
                <w14:textFill>
                  <w14:solidFill>
                    <w14:schemeClr w14:val="tx1"/>
                  </w14:solidFill>
                </w14:textFill>
              </w:rPr>
              <w:t>分；未提供不得分。</w:t>
            </w:r>
          </w:p>
        </w:tc>
        <w:tc>
          <w:tcPr>
            <w:tcW w:w="1088" w:type="dxa"/>
            <w:vAlign w:val="center"/>
          </w:tcPr>
          <w:p w14:paraId="29058FB3">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bCs/>
                <w:color w:val="000000" w:themeColor="text1"/>
                <w:kern w:val="0"/>
                <w:sz w:val="28"/>
                <w:szCs w:val="28"/>
                <w:highlight w:val="none"/>
                <w:lang w:eastAsia="zh-CN"/>
                <w14:textFill>
                  <w14:solidFill>
                    <w14:schemeClr w14:val="tx1"/>
                  </w14:solidFill>
                </w14:textFill>
              </w:rPr>
            </w:pPr>
            <w:r>
              <w:rPr>
                <w:rFonts w:hint="eastAsia" w:asciiTheme="minorEastAsia" w:hAnsiTheme="minorEastAsia" w:eastAsiaTheme="minorEastAsia"/>
                <w:bCs/>
                <w:color w:val="000000" w:themeColor="text1"/>
                <w:kern w:val="0"/>
                <w:sz w:val="28"/>
                <w:szCs w:val="28"/>
                <w:highlight w:val="none"/>
                <w:lang w:val="en-US" w:eastAsia="zh-CN"/>
                <w14:textFill>
                  <w14:solidFill>
                    <w14:schemeClr w14:val="tx1"/>
                  </w14:solidFill>
                </w14:textFill>
              </w:rPr>
              <w:t>5</w:t>
            </w:r>
          </w:p>
        </w:tc>
      </w:tr>
      <w:tr w14:paraId="414A1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 w:type="dxa"/>
            <w:vAlign w:val="center"/>
          </w:tcPr>
          <w:p w14:paraId="5FB4BF5D">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heme="minorEastAsia" w:hAnsiTheme="minorEastAsia" w:eastAsiaTheme="minorEastAsia"/>
                <w:bCs/>
                <w:color w:val="000000" w:themeColor="text1"/>
                <w:kern w:val="0"/>
                <w:sz w:val="28"/>
                <w:szCs w:val="28"/>
                <w:highlight w:val="none"/>
                <w:lang w:val="en-US" w:eastAsia="zh-CN"/>
                <w14:textFill>
                  <w14:solidFill>
                    <w14:schemeClr w14:val="tx1"/>
                  </w14:solidFill>
                </w14:textFill>
              </w:rPr>
            </w:pPr>
            <w:r>
              <w:rPr>
                <w:rFonts w:hint="eastAsia" w:asciiTheme="minorEastAsia" w:hAnsiTheme="minorEastAsia" w:eastAsiaTheme="minorEastAsia"/>
                <w:bCs/>
                <w:color w:val="000000" w:themeColor="text1"/>
                <w:kern w:val="0"/>
                <w:sz w:val="28"/>
                <w:szCs w:val="28"/>
                <w:highlight w:val="none"/>
                <w:lang w:val="en-US" w:eastAsia="zh-CN"/>
                <w14:textFill>
                  <w14:solidFill>
                    <w14:schemeClr w14:val="tx1"/>
                  </w14:solidFill>
                </w14:textFill>
              </w:rPr>
              <w:t>6</w:t>
            </w:r>
          </w:p>
        </w:tc>
        <w:tc>
          <w:tcPr>
            <w:tcW w:w="1500" w:type="dxa"/>
            <w:vAlign w:val="center"/>
          </w:tcPr>
          <w:p w14:paraId="23774F95">
            <w:pPr>
              <w:pageBreakBefore w:val="0"/>
              <w:kinsoku/>
              <w:wordWrap/>
              <w:overflowPunct/>
              <w:topLinePunct w:val="0"/>
              <w:autoSpaceDE/>
              <w:autoSpaceDN/>
              <w:bidi w:val="0"/>
              <w:spacing w:line="560" w:lineRule="exact"/>
              <w:jc w:val="center"/>
              <w:textAlignment w:val="auto"/>
              <w:rPr>
                <w:rFonts w:hint="eastAsia" w:ascii="宋体" w:hAnsi="宋体" w:eastAsia="宋体" w:cs="宋体"/>
                <w:color w:val="000000" w:themeColor="text1"/>
                <w:kern w:val="0"/>
                <w:sz w:val="28"/>
                <w:szCs w:val="28"/>
                <w:highlight w:val="none"/>
                <w:lang w:eastAsia="zh-CN"/>
                <w14:textFill>
                  <w14:solidFill>
                    <w14:schemeClr w14:val="tx1"/>
                  </w14:solidFill>
                </w14:textFill>
              </w:rPr>
            </w:pPr>
            <w:r>
              <w:rPr>
                <w:rFonts w:hint="eastAsia" w:ascii="宋体" w:hAnsi="宋体" w:eastAsia="宋体" w:cs="宋体"/>
                <w:color w:val="000000" w:themeColor="text1"/>
                <w:kern w:val="0"/>
                <w:sz w:val="28"/>
                <w:szCs w:val="28"/>
                <w:highlight w:val="none"/>
                <w14:textFill>
                  <w14:solidFill>
                    <w14:schemeClr w14:val="tx1"/>
                  </w14:solidFill>
                </w14:textFill>
              </w:rPr>
              <w:t>售后服务</w:t>
            </w:r>
          </w:p>
        </w:tc>
        <w:tc>
          <w:tcPr>
            <w:tcW w:w="6283" w:type="dxa"/>
            <w:vAlign w:val="center"/>
          </w:tcPr>
          <w:p w14:paraId="0516337E">
            <w:pPr>
              <w:pageBreakBefore w:val="0"/>
              <w:kinsoku/>
              <w:wordWrap/>
              <w:overflowPunct/>
              <w:topLinePunct w:val="0"/>
              <w:autoSpaceDE/>
              <w:autoSpaceDN/>
              <w:bidi w:val="0"/>
              <w:spacing w:line="560" w:lineRule="exact"/>
              <w:jc w:val="left"/>
              <w:textAlignment w:val="auto"/>
              <w:rPr>
                <w:rFonts w:hint="eastAsia" w:ascii="宋体" w:hAnsi="宋体" w:eastAsia="宋体" w:cs="宋体"/>
                <w:color w:val="000000" w:themeColor="text1"/>
                <w:kern w:val="0"/>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lang w:eastAsia="zh-CN"/>
                <w14:textFill>
                  <w14:solidFill>
                    <w14:schemeClr w14:val="tx1"/>
                  </w14:solidFill>
                </w14:textFill>
              </w:rPr>
              <w:t>（</w:t>
            </w:r>
            <w:r>
              <w:rPr>
                <w:rFonts w:hint="eastAsia" w:ascii="宋体" w:hAnsi="宋体" w:cs="宋体"/>
                <w:color w:val="000000" w:themeColor="text1"/>
                <w:kern w:val="0"/>
                <w:sz w:val="28"/>
                <w:szCs w:val="28"/>
                <w:highlight w:val="none"/>
                <w:lang w:val="en-US" w:eastAsia="zh-CN"/>
                <w14:textFill>
                  <w14:solidFill>
                    <w14:schemeClr w14:val="tx1"/>
                  </w14:solidFill>
                </w14:textFill>
              </w:rPr>
              <w:t>1</w:t>
            </w:r>
            <w:r>
              <w:rPr>
                <w:rFonts w:hint="eastAsia" w:ascii="宋体" w:hAnsi="宋体" w:cs="宋体"/>
                <w:color w:val="000000" w:themeColor="text1"/>
                <w:kern w:val="0"/>
                <w:sz w:val="28"/>
                <w:szCs w:val="28"/>
                <w:highlight w:val="none"/>
                <w:lang w:eastAsia="zh-CN"/>
                <w14:textFill>
                  <w14:solidFill>
                    <w14:schemeClr w14:val="tx1"/>
                  </w14:solidFill>
                </w14:textFill>
              </w:rPr>
              <w:t>）</w:t>
            </w:r>
            <w:r>
              <w:rPr>
                <w:rFonts w:hint="eastAsia" w:ascii="宋体" w:hAnsi="宋体" w:eastAsia="宋体" w:cs="宋体"/>
                <w:color w:val="000000" w:themeColor="text1"/>
                <w:kern w:val="0"/>
                <w:sz w:val="28"/>
                <w:szCs w:val="28"/>
                <w:highlight w:val="none"/>
                <w14:textFill>
                  <w14:solidFill>
                    <w14:schemeClr w14:val="tx1"/>
                  </w14:solidFill>
                </w14:textFill>
              </w:rPr>
              <w:t>需具备完整的售后服务体系；</w:t>
            </w:r>
          </w:p>
          <w:p w14:paraId="57F7129F">
            <w:pPr>
              <w:pageBreakBefore w:val="0"/>
              <w:kinsoku/>
              <w:wordWrap/>
              <w:overflowPunct/>
              <w:topLinePunct w:val="0"/>
              <w:autoSpaceDE/>
              <w:autoSpaceDN/>
              <w:bidi w:val="0"/>
              <w:spacing w:line="560" w:lineRule="exact"/>
              <w:jc w:val="left"/>
              <w:textAlignment w:val="auto"/>
              <w:rPr>
                <w:rFonts w:hint="eastAsia" w:ascii="宋体" w:hAnsi="宋体" w:eastAsia="宋体" w:cs="宋体"/>
                <w:color w:val="000000" w:themeColor="text1"/>
                <w:kern w:val="0"/>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lang w:eastAsia="zh-CN"/>
                <w14:textFill>
                  <w14:solidFill>
                    <w14:schemeClr w14:val="tx1"/>
                  </w14:solidFill>
                </w14:textFill>
              </w:rPr>
              <w:t>（</w:t>
            </w:r>
            <w:r>
              <w:rPr>
                <w:rFonts w:hint="eastAsia" w:ascii="宋体" w:hAnsi="宋体" w:cs="宋体"/>
                <w:color w:val="000000" w:themeColor="text1"/>
                <w:kern w:val="0"/>
                <w:sz w:val="28"/>
                <w:szCs w:val="28"/>
                <w:highlight w:val="none"/>
                <w:lang w:val="en-US" w:eastAsia="zh-CN"/>
                <w14:textFill>
                  <w14:solidFill>
                    <w14:schemeClr w14:val="tx1"/>
                  </w14:solidFill>
                </w14:textFill>
              </w:rPr>
              <w:t>2</w:t>
            </w:r>
            <w:r>
              <w:rPr>
                <w:rFonts w:hint="eastAsia" w:ascii="宋体" w:hAnsi="宋体" w:cs="宋体"/>
                <w:color w:val="000000" w:themeColor="text1"/>
                <w:kern w:val="0"/>
                <w:sz w:val="28"/>
                <w:szCs w:val="28"/>
                <w:highlight w:val="none"/>
                <w:lang w:eastAsia="zh-CN"/>
                <w14:textFill>
                  <w14:solidFill>
                    <w14:schemeClr w14:val="tx1"/>
                  </w14:solidFill>
                </w14:textFill>
              </w:rPr>
              <w:t>）</w:t>
            </w:r>
            <w:r>
              <w:rPr>
                <w:rFonts w:hint="eastAsia" w:ascii="宋体" w:hAnsi="宋体" w:eastAsia="宋体" w:cs="宋体"/>
                <w:color w:val="000000" w:themeColor="text1"/>
                <w:kern w:val="0"/>
                <w:sz w:val="28"/>
                <w:szCs w:val="28"/>
                <w:highlight w:val="none"/>
                <w14:textFill>
                  <w14:solidFill>
                    <w14:schemeClr w14:val="tx1"/>
                  </w14:solidFill>
                </w14:textFill>
              </w:rPr>
              <w:t>服务响应时间、修复时间、应急处理等售后计划措施合理售后服务说明是否合理 ；</w:t>
            </w:r>
          </w:p>
          <w:p w14:paraId="122A1145">
            <w:pPr>
              <w:pageBreakBefore w:val="0"/>
              <w:kinsoku/>
              <w:wordWrap/>
              <w:overflowPunct/>
              <w:topLinePunct w:val="0"/>
              <w:autoSpaceDE/>
              <w:autoSpaceDN/>
              <w:bidi w:val="0"/>
              <w:spacing w:line="560" w:lineRule="exact"/>
              <w:jc w:val="left"/>
              <w:textAlignment w:val="auto"/>
              <w:rPr>
                <w:rFonts w:hint="eastAsia" w:ascii="宋体" w:hAnsi="宋体" w:eastAsia="宋体" w:cs="宋体"/>
                <w:color w:val="000000" w:themeColor="text1"/>
                <w:kern w:val="0"/>
                <w:sz w:val="28"/>
                <w:szCs w:val="28"/>
                <w:highlight w:val="none"/>
                <w14:textFill>
                  <w14:solidFill>
                    <w14:schemeClr w14:val="tx1"/>
                  </w14:solidFill>
                </w14:textFill>
              </w:rPr>
            </w:pPr>
            <w:r>
              <w:rPr>
                <w:rFonts w:hint="eastAsia" w:ascii="宋体" w:hAnsi="宋体" w:eastAsia="宋体" w:cs="宋体"/>
                <w:color w:val="000000" w:themeColor="text1"/>
                <w:kern w:val="0"/>
                <w:sz w:val="28"/>
                <w:szCs w:val="28"/>
                <w:highlight w:val="none"/>
                <w14:textFill>
                  <w14:solidFill>
                    <w14:schemeClr w14:val="tx1"/>
                  </w14:solidFill>
                </w14:textFill>
              </w:rPr>
              <w:t>（3）需提供针对本项目的售后服务方案，方案优质完整，具有较强的针对性和可行性；</w:t>
            </w:r>
          </w:p>
          <w:p w14:paraId="674844F3">
            <w:pPr>
              <w:pageBreakBefore w:val="0"/>
              <w:kinsoku/>
              <w:wordWrap/>
              <w:overflowPunct/>
              <w:topLinePunct w:val="0"/>
              <w:autoSpaceDE/>
              <w:autoSpaceDN/>
              <w:bidi w:val="0"/>
              <w:spacing w:line="560" w:lineRule="exact"/>
              <w:jc w:val="left"/>
              <w:textAlignment w:val="auto"/>
              <w:rPr>
                <w:rFonts w:hint="eastAsia" w:ascii="宋体" w:hAnsi="宋体" w:eastAsia="宋体" w:cs="宋体"/>
                <w:color w:val="000000" w:themeColor="text1"/>
                <w:kern w:val="0"/>
                <w:sz w:val="28"/>
                <w:szCs w:val="28"/>
                <w:highlight w:val="none"/>
                <w14:textFill>
                  <w14:solidFill>
                    <w14:schemeClr w14:val="tx1"/>
                  </w14:solidFill>
                </w14:textFill>
              </w:rPr>
            </w:pPr>
            <w:r>
              <w:rPr>
                <w:rFonts w:hint="eastAsia" w:ascii="宋体" w:hAnsi="宋体" w:eastAsia="宋体" w:cs="宋体"/>
                <w:color w:val="000000" w:themeColor="text1"/>
                <w:kern w:val="0"/>
                <w:sz w:val="28"/>
                <w:szCs w:val="28"/>
                <w:highlight w:val="none"/>
                <w14:textFill>
                  <w14:solidFill>
                    <w14:schemeClr w14:val="tx1"/>
                  </w14:solidFill>
                </w14:textFill>
              </w:rPr>
              <w:t>对以上三项内容进行综合评比，提供优质完整</w:t>
            </w:r>
            <w:r>
              <w:rPr>
                <w:rFonts w:hint="eastAsia" w:ascii="宋体" w:hAnsi="宋体" w:eastAsia="宋体" w:cs="宋体"/>
                <w:color w:val="000000" w:themeColor="text1"/>
                <w:kern w:val="0"/>
                <w:sz w:val="28"/>
                <w:szCs w:val="28"/>
                <w:highlight w:val="none"/>
                <w:lang w:eastAsia="zh-CN"/>
                <w14:textFill>
                  <w14:solidFill>
                    <w14:schemeClr w14:val="tx1"/>
                  </w14:solidFill>
                </w14:textFill>
              </w:rPr>
              <w:t>符合项目实际情况的</w:t>
            </w:r>
            <w:r>
              <w:rPr>
                <w:rFonts w:hint="eastAsia" w:ascii="宋体" w:hAnsi="宋体" w:eastAsia="宋体" w:cs="宋体"/>
                <w:color w:val="000000" w:themeColor="text1"/>
                <w:kern w:val="0"/>
                <w:sz w:val="28"/>
                <w:szCs w:val="28"/>
                <w:highlight w:val="none"/>
                <w14:textFill>
                  <w14:solidFill>
                    <w14:schemeClr w14:val="tx1"/>
                  </w14:solidFill>
                </w14:textFill>
              </w:rPr>
              <w:t>得</w:t>
            </w:r>
            <w:r>
              <w:rPr>
                <w:rFonts w:hint="eastAsia" w:ascii="宋体" w:hAnsi="宋体" w:cs="宋体"/>
                <w:color w:val="000000" w:themeColor="text1"/>
                <w:kern w:val="0"/>
                <w:sz w:val="28"/>
                <w:szCs w:val="28"/>
                <w:highlight w:val="none"/>
                <w:lang w:val="en-US" w:eastAsia="zh-CN"/>
                <w14:textFill>
                  <w14:solidFill>
                    <w14:schemeClr w14:val="tx1"/>
                  </w14:solidFill>
                </w14:textFill>
              </w:rPr>
              <w:t>5</w:t>
            </w:r>
            <w:r>
              <w:rPr>
                <w:rFonts w:hint="eastAsia" w:ascii="宋体" w:hAnsi="宋体" w:eastAsia="宋体" w:cs="宋体"/>
                <w:color w:val="000000" w:themeColor="text1"/>
                <w:kern w:val="0"/>
                <w:sz w:val="28"/>
                <w:szCs w:val="28"/>
                <w:highlight w:val="none"/>
                <w14:textFill>
                  <w14:solidFill>
                    <w14:schemeClr w14:val="tx1"/>
                  </w14:solidFill>
                </w14:textFill>
              </w:rPr>
              <w:t xml:space="preserve">分、能基本满足采购人需求的 </w:t>
            </w:r>
            <w:r>
              <w:rPr>
                <w:rFonts w:hint="eastAsia" w:ascii="宋体" w:hAnsi="宋体" w:cs="宋体"/>
                <w:color w:val="000000" w:themeColor="text1"/>
                <w:kern w:val="0"/>
                <w:sz w:val="28"/>
                <w:szCs w:val="28"/>
                <w:highlight w:val="none"/>
                <w:lang w:eastAsia="zh-CN"/>
                <w14:textFill>
                  <w14:solidFill>
                    <w14:schemeClr w14:val="tx1"/>
                  </w14:solidFill>
                </w14:textFill>
              </w:rPr>
              <w:t>得</w:t>
            </w:r>
            <w:r>
              <w:rPr>
                <w:rFonts w:hint="eastAsia" w:ascii="宋体" w:hAnsi="宋体" w:cs="宋体"/>
                <w:color w:val="000000" w:themeColor="text1"/>
                <w:kern w:val="0"/>
                <w:sz w:val="28"/>
                <w:szCs w:val="28"/>
                <w:highlight w:val="none"/>
                <w:lang w:val="en-US" w:eastAsia="zh-CN"/>
                <w14:textFill>
                  <w14:solidFill>
                    <w14:schemeClr w14:val="tx1"/>
                  </w14:solidFill>
                </w14:textFill>
              </w:rPr>
              <w:t>3</w:t>
            </w:r>
            <w:r>
              <w:rPr>
                <w:rFonts w:hint="eastAsia" w:ascii="宋体" w:hAnsi="宋体" w:eastAsia="宋体" w:cs="宋体"/>
                <w:color w:val="000000" w:themeColor="text1"/>
                <w:kern w:val="0"/>
                <w:sz w:val="28"/>
                <w:szCs w:val="28"/>
                <w:highlight w:val="none"/>
                <w14:textFill>
                  <w14:solidFill>
                    <w14:schemeClr w14:val="tx1"/>
                  </w14:solidFill>
                </w14:textFill>
              </w:rPr>
              <w:t>分</w:t>
            </w:r>
            <w:r>
              <w:rPr>
                <w:rFonts w:hint="eastAsia" w:ascii="宋体" w:hAnsi="宋体" w:eastAsia="宋体" w:cs="宋体"/>
                <w:color w:val="000000" w:themeColor="text1"/>
                <w:kern w:val="0"/>
                <w:sz w:val="28"/>
                <w:szCs w:val="28"/>
                <w:highlight w:val="none"/>
                <w:lang w:eastAsia="zh-CN"/>
                <w14:textFill>
                  <w14:solidFill>
                    <w14:schemeClr w14:val="tx1"/>
                  </w14:solidFill>
                </w14:textFill>
              </w:rPr>
              <w:t>；</w:t>
            </w:r>
            <w:r>
              <w:rPr>
                <w:rFonts w:hint="eastAsia" w:ascii="宋体" w:hAnsi="宋体" w:eastAsia="宋体" w:cs="宋体"/>
                <w:color w:val="000000" w:themeColor="text1"/>
                <w:kern w:val="0"/>
                <w:sz w:val="28"/>
                <w:szCs w:val="28"/>
                <w:highlight w:val="none"/>
                <w14:textFill>
                  <w14:solidFill>
                    <w14:schemeClr w14:val="tx1"/>
                  </w14:solidFill>
                </w14:textFill>
              </w:rPr>
              <w:t>未提供不得分。</w:t>
            </w:r>
          </w:p>
        </w:tc>
        <w:tc>
          <w:tcPr>
            <w:tcW w:w="1088" w:type="dxa"/>
            <w:vAlign w:val="center"/>
          </w:tcPr>
          <w:p w14:paraId="16535DC4">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heme="minorEastAsia" w:hAnsiTheme="minorEastAsia" w:eastAsiaTheme="minorEastAsia"/>
                <w:bCs/>
                <w:color w:val="000000" w:themeColor="text1"/>
                <w:kern w:val="0"/>
                <w:sz w:val="28"/>
                <w:szCs w:val="28"/>
                <w:highlight w:val="none"/>
                <w:lang w:val="en-US" w:eastAsia="zh-CN"/>
                <w14:textFill>
                  <w14:solidFill>
                    <w14:schemeClr w14:val="tx1"/>
                  </w14:solidFill>
                </w14:textFill>
              </w:rPr>
            </w:pPr>
            <w:r>
              <w:rPr>
                <w:rFonts w:hint="eastAsia" w:asciiTheme="minorEastAsia" w:hAnsiTheme="minorEastAsia" w:eastAsiaTheme="minorEastAsia"/>
                <w:bCs/>
                <w:color w:val="000000" w:themeColor="text1"/>
                <w:kern w:val="0"/>
                <w:sz w:val="28"/>
                <w:szCs w:val="28"/>
                <w:highlight w:val="none"/>
                <w:lang w:val="en-US" w:eastAsia="zh-CN"/>
                <w14:textFill>
                  <w14:solidFill>
                    <w14:schemeClr w14:val="tx1"/>
                  </w14:solidFill>
                </w14:textFill>
              </w:rPr>
              <w:t>5</w:t>
            </w:r>
          </w:p>
        </w:tc>
      </w:tr>
    </w:tbl>
    <w:p w14:paraId="274B7042">
      <w:pPr>
        <w:pageBreakBefore w:val="0"/>
        <w:wordWrap/>
        <w:topLinePunct w:val="0"/>
        <w:bidi w:val="0"/>
        <w:spacing w:line="560" w:lineRule="exact"/>
        <w:rPr>
          <w:rFonts w:hint="eastAsia"/>
          <w:color w:val="000000" w:themeColor="text1"/>
          <w:highlight w:val="none"/>
          <w14:textFill>
            <w14:solidFill>
              <w14:schemeClr w14:val="tx1"/>
            </w14:solidFill>
          </w14:textFill>
        </w:rPr>
      </w:pPr>
    </w:p>
    <w:p w14:paraId="3F0F6209">
      <w:pPr>
        <w:pageBreakBefore w:val="0"/>
        <w:wordWrap/>
        <w:topLinePunct w:val="0"/>
        <w:bidi w:val="0"/>
        <w:spacing w:line="560" w:lineRule="exact"/>
        <w:rPr>
          <w:rFonts w:hint="eastAsia"/>
          <w:color w:val="000000" w:themeColor="text1"/>
          <w:highlight w:val="none"/>
          <w14:textFill>
            <w14:solidFill>
              <w14:schemeClr w14:val="tx1"/>
            </w14:solidFill>
          </w14:textFill>
        </w:rPr>
      </w:pPr>
    </w:p>
    <w:p w14:paraId="63E156B4">
      <w:pPr>
        <w:pageBreakBefore w:val="0"/>
        <w:wordWrap/>
        <w:topLinePunct w:val="0"/>
        <w:bidi w:val="0"/>
        <w:spacing w:line="560" w:lineRule="exact"/>
        <w:rPr>
          <w:rFonts w:hint="eastAsia"/>
          <w:color w:val="000000" w:themeColor="text1"/>
          <w:highlight w:val="none"/>
          <w14:textFill>
            <w14:solidFill>
              <w14:schemeClr w14:val="tx1"/>
            </w14:solidFill>
          </w14:textFill>
        </w:rPr>
      </w:pPr>
    </w:p>
    <w:p w14:paraId="66CC028C">
      <w:pPr>
        <w:pageBreakBefore w:val="0"/>
        <w:wordWrap/>
        <w:topLinePunct w:val="0"/>
        <w:bidi w:val="0"/>
        <w:spacing w:line="560" w:lineRule="exact"/>
        <w:rPr>
          <w:rFonts w:hint="eastAsia"/>
          <w:color w:val="000000" w:themeColor="text1"/>
          <w:highlight w:val="none"/>
          <w14:textFill>
            <w14:solidFill>
              <w14:schemeClr w14:val="tx1"/>
            </w14:solidFill>
          </w14:textFill>
        </w:rPr>
      </w:pPr>
    </w:p>
    <w:p w14:paraId="726E8AB4">
      <w:pPr>
        <w:pageBreakBefore w:val="0"/>
        <w:wordWrap/>
        <w:topLinePunct w:val="0"/>
        <w:bidi w:val="0"/>
        <w:spacing w:line="560" w:lineRule="exact"/>
        <w:rPr>
          <w:rFonts w:hint="eastAsia"/>
          <w:color w:val="000000" w:themeColor="text1"/>
          <w:highlight w:val="none"/>
          <w14:textFill>
            <w14:solidFill>
              <w14:schemeClr w14:val="tx1"/>
            </w14:solidFill>
          </w14:textFill>
        </w:rPr>
      </w:pPr>
    </w:p>
    <w:p w14:paraId="30FED6FF">
      <w:pPr>
        <w:pStyle w:val="4"/>
        <w:keepNext w:val="0"/>
        <w:keepLines w:val="0"/>
        <w:pageBreakBefore w:val="0"/>
        <w:kinsoku/>
        <w:wordWrap/>
        <w:overflowPunct/>
        <w:topLinePunct w:val="0"/>
        <w:autoSpaceDE/>
        <w:autoSpaceDN/>
        <w:bidi w:val="0"/>
        <w:adjustRightInd/>
        <w:snapToGrid/>
        <w:spacing w:line="560" w:lineRule="exact"/>
        <w:jc w:val="center"/>
        <w:textAlignment w:val="auto"/>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第四节</w:t>
      </w:r>
      <w:r>
        <w:rPr>
          <w:color w:val="000000" w:themeColor="text1"/>
          <w:sz w:val="28"/>
          <w:szCs w:val="28"/>
          <w:highlight w:val="none"/>
          <w14:textFill>
            <w14:solidFill>
              <w14:schemeClr w14:val="tx1"/>
            </w14:solidFill>
          </w14:textFill>
        </w:rPr>
        <w:t xml:space="preserve"> </w:t>
      </w:r>
      <w:r>
        <w:rPr>
          <w:rFonts w:hint="eastAsia"/>
          <w:color w:val="000000" w:themeColor="text1"/>
          <w:sz w:val="28"/>
          <w:szCs w:val="28"/>
          <w:highlight w:val="none"/>
          <w14:textFill>
            <w14:solidFill>
              <w14:schemeClr w14:val="tx1"/>
            </w14:solidFill>
          </w14:textFill>
        </w:rPr>
        <w:t>中标候选人推荐原则</w:t>
      </w:r>
    </w:p>
    <w:p w14:paraId="6804FFE6">
      <w:pPr>
        <w:pStyle w:val="17"/>
        <w:keepNext w:val="0"/>
        <w:keepLines w:val="0"/>
        <w:pageBreakBefore w:val="0"/>
        <w:kinsoku/>
        <w:wordWrap/>
        <w:overflowPunct/>
        <w:topLinePunct w:val="0"/>
        <w:autoSpaceDE/>
        <w:autoSpaceDN/>
        <w:bidi w:val="0"/>
        <w:adjustRightInd/>
        <w:snapToGrid/>
        <w:spacing w:line="560" w:lineRule="exact"/>
        <w:textAlignment w:val="auto"/>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一、综合评分法</w:t>
      </w:r>
    </w:p>
    <w:p w14:paraId="1A307343">
      <w:pPr>
        <w:pStyle w:val="17"/>
        <w:keepNext w:val="0"/>
        <w:keepLines w:val="0"/>
        <w:pageBreakBefore w:val="0"/>
        <w:kinsoku/>
        <w:wordWrap/>
        <w:overflowPunct/>
        <w:topLinePunct w:val="0"/>
        <w:autoSpaceDE/>
        <w:autoSpaceDN/>
        <w:bidi w:val="0"/>
        <w:adjustRightInd/>
        <w:snapToGrid/>
        <w:spacing w:line="560" w:lineRule="exact"/>
        <w:ind w:firstLine="560" w:firstLineChars="200"/>
        <w:jc w:val="both"/>
        <w:textAlignment w:val="auto"/>
        <w:rPr>
          <w:b w:val="0"/>
          <w:bCs w:val="0"/>
          <w:color w:val="000000" w:themeColor="text1"/>
          <w:sz w:val="28"/>
          <w:szCs w:val="28"/>
          <w:highlight w:val="none"/>
          <w14:textFill>
            <w14:solidFill>
              <w14:schemeClr w14:val="tx1"/>
            </w14:solidFill>
          </w14:textFill>
        </w:rPr>
      </w:pPr>
      <w:r>
        <w:rPr>
          <w:rFonts w:hint="eastAsia"/>
          <w:b w:val="0"/>
          <w:bCs w:val="0"/>
          <w:color w:val="000000" w:themeColor="text1"/>
          <w:sz w:val="28"/>
          <w:szCs w:val="28"/>
          <w:highlight w:val="none"/>
          <w14:textFill>
            <w14:solidFill>
              <w14:schemeClr w14:val="tx1"/>
            </w14:solidFill>
          </w14:textFill>
        </w:rPr>
        <w:t>1.评标委员会将根据总得分由高到低排列次序并推荐中标候选人。总得分相同的，以投标报价由低到高顺序排列。得分相同且投标报价相同的并列，投标文件满足招标文件全部实质性要求，且按照评审因素的量化指标评审得分最高的</w:t>
      </w:r>
      <w:r>
        <w:rPr>
          <w:rFonts w:hint="eastAsia"/>
          <w:b w:val="0"/>
          <w:bCs w:val="0"/>
          <w:color w:val="000000" w:themeColor="text1"/>
          <w:sz w:val="28"/>
          <w:szCs w:val="28"/>
          <w:highlight w:val="none"/>
          <w:lang w:eastAsia="zh-CN"/>
          <w14:textFill>
            <w14:solidFill>
              <w14:schemeClr w14:val="tx1"/>
            </w14:solidFill>
          </w14:textFill>
        </w:rPr>
        <w:t>供应商</w:t>
      </w:r>
      <w:r>
        <w:rPr>
          <w:rFonts w:hint="eastAsia"/>
          <w:b w:val="0"/>
          <w:bCs w:val="0"/>
          <w:color w:val="000000" w:themeColor="text1"/>
          <w:sz w:val="28"/>
          <w:szCs w:val="28"/>
          <w:highlight w:val="none"/>
          <w14:textFill>
            <w14:solidFill>
              <w14:schemeClr w14:val="tx1"/>
            </w14:solidFill>
          </w14:textFill>
        </w:rPr>
        <w:t>为排名第一的中标候选人。</w:t>
      </w:r>
    </w:p>
    <w:p w14:paraId="26E30D1B">
      <w:pPr>
        <w:pStyle w:val="17"/>
        <w:keepNext w:val="0"/>
        <w:keepLines w:val="0"/>
        <w:pageBreakBefore w:val="0"/>
        <w:kinsoku/>
        <w:wordWrap/>
        <w:overflowPunct/>
        <w:topLinePunct w:val="0"/>
        <w:autoSpaceDE/>
        <w:autoSpaceDN/>
        <w:bidi w:val="0"/>
        <w:adjustRightInd/>
        <w:snapToGrid/>
        <w:spacing w:line="560" w:lineRule="exact"/>
        <w:ind w:firstLine="560" w:firstLineChars="200"/>
        <w:jc w:val="both"/>
        <w:textAlignment w:val="auto"/>
        <w:rPr>
          <w:b w:val="0"/>
          <w:bCs w:val="0"/>
          <w:color w:val="000000" w:themeColor="text1"/>
          <w:sz w:val="28"/>
          <w:szCs w:val="28"/>
          <w:highlight w:val="none"/>
          <w14:textFill>
            <w14:solidFill>
              <w14:schemeClr w14:val="tx1"/>
            </w14:solidFill>
          </w14:textFill>
        </w:rPr>
      </w:pPr>
      <w:r>
        <w:rPr>
          <w:rFonts w:hint="eastAsia"/>
          <w:b w:val="0"/>
          <w:bCs w:val="0"/>
          <w:color w:val="000000" w:themeColor="text1"/>
          <w:sz w:val="28"/>
          <w:szCs w:val="28"/>
          <w:highlight w:val="none"/>
          <w14:textFill>
            <w14:solidFill>
              <w14:schemeClr w14:val="tx1"/>
            </w14:solidFill>
          </w14:textFill>
        </w:rPr>
        <w:t>2.根据《政府采购货物和服务招标投标管理办法》（财政部令第87号）第三十一条第二款规定，采用综合评分法的采购项目，提供相同品牌产品且通过资格审查、符合性审查的不同</w:t>
      </w:r>
      <w:r>
        <w:rPr>
          <w:rFonts w:hint="eastAsia"/>
          <w:b w:val="0"/>
          <w:bCs w:val="0"/>
          <w:color w:val="000000" w:themeColor="text1"/>
          <w:sz w:val="28"/>
          <w:szCs w:val="28"/>
          <w:highlight w:val="none"/>
          <w:lang w:eastAsia="zh-CN"/>
          <w14:textFill>
            <w14:solidFill>
              <w14:schemeClr w14:val="tx1"/>
            </w14:solidFill>
          </w14:textFill>
        </w:rPr>
        <w:t>供应商</w:t>
      </w:r>
      <w:r>
        <w:rPr>
          <w:rFonts w:hint="eastAsia"/>
          <w:b w:val="0"/>
          <w:bCs w:val="0"/>
          <w:color w:val="000000" w:themeColor="text1"/>
          <w:sz w:val="28"/>
          <w:szCs w:val="28"/>
          <w:highlight w:val="none"/>
          <w14:textFill>
            <w14:solidFill>
              <w14:schemeClr w14:val="tx1"/>
            </w14:solidFill>
          </w14:textFill>
        </w:rPr>
        <w:t>参加同一合同项下投标的，按一家</w:t>
      </w:r>
      <w:r>
        <w:rPr>
          <w:rFonts w:hint="eastAsia"/>
          <w:b w:val="0"/>
          <w:bCs w:val="0"/>
          <w:color w:val="000000" w:themeColor="text1"/>
          <w:sz w:val="28"/>
          <w:szCs w:val="28"/>
          <w:highlight w:val="none"/>
          <w:lang w:eastAsia="zh-CN"/>
          <w14:textFill>
            <w14:solidFill>
              <w14:schemeClr w14:val="tx1"/>
            </w14:solidFill>
          </w14:textFill>
        </w:rPr>
        <w:t>供应商</w:t>
      </w:r>
      <w:r>
        <w:rPr>
          <w:rFonts w:hint="eastAsia"/>
          <w:b w:val="0"/>
          <w:bCs w:val="0"/>
          <w:color w:val="000000" w:themeColor="text1"/>
          <w:sz w:val="28"/>
          <w:szCs w:val="28"/>
          <w:highlight w:val="none"/>
          <w14:textFill>
            <w14:solidFill>
              <w14:schemeClr w14:val="tx1"/>
            </w14:solidFill>
          </w14:textFill>
        </w:rPr>
        <w:t>计算，评审后得分最高的同品牌</w:t>
      </w:r>
      <w:r>
        <w:rPr>
          <w:rFonts w:hint="eastAsia"/>
          <w:b w:val="0"/>
          <w:bCs w:val="0"/>
          <w:color w:val="000000" w:themeColor="text1"/>
          <w:sz w:val="28"/>
          <w:szCs w:val="28"/>
          <w:highlight w:val="none"/>
          <w:lang w:eastAsia="zh-CN"/>
          <w14:textFill>
            <w14:solidFill>
              <w14:schemeClr w14:val="tx1"/>
            </w14:solidFill>
          </w14:textFill>
        </w:rPr>
        <w:t>供应商</w:t>
      </w:r>
      <w:r>
        <w:rPr>
          <w:rFonts w:hint="eastAsia"/>
          <w:b w:val="0"/>
          <w:bCs w:val="0"/>
          <w:color w:val="000000" w:themeColor="text1"/>
          <w:sz w:val="28"/>
          <w:szCs w:val="28"/>
          <w:highlight w:val="none"/>
          <w14:textFill>
            <w14:solidFill>
              <w14:schemeClr w14:val="tx1"/>
            </w14:solidFill>
          </w14:textFill>
        </w:rPr>
        <w:t>获得中标人推荐资格；评审得分相同的，按照“</w:t>
      </w:r>
      <w:r>
        <w:rPr>
          <w:rFonts w:hint="eastAsia"/>
          <w:b w:val="0"/>
          <w:bCs w:val="0"/>
          <w:color w:val="000000" w:themeColor="text1"/>
          <w:sz w:val="28"/>
          <w:szCs w:val="28"/>
          <w:highlight w:val="none"/>
          <w:lang w:eastAsia="zh-CN"/>
          <w14:textFill>
            <w14:solidFill>
              <w14:schemeClr w14:val="tx1"/>
            </w14:solidFill>
          </w14:textFill>
        </w:rPr>
        <w:t>供应商</w:t>
      </w:r>
      <w:r>
        <w:rPr>
          <w:rFonts w:hint="eastAsia"/>
          <w:b w:val="0"/>
          <w:bCs w:val="0"/>
          <w:color w:val="000000" w:themeColor="text1"/>
          <w:sz w:val="28"/>
          <w:szCs w:val="28"/>
          <w:highlight w:val="none"/>
          <w14:textFill>
            <w14:solidFill>
              <w14:schemeClr w14:val="tx1"/>
            </w14:solidFill>
          </w14:textFill>
        </w:rPr>
        <w:t>须知前附表”及“</w:t>
      </w:r>
      <w:r>
        <w:rPr>
          <w:rFonts w:hint="eastAsia"/>
          <w:b w:val="0"/>
          <w:bCs w:val="0"/>
          <w:color w:val="000000" w:themeColor="text1"/>
          <w:sz w:val="28"/>
          <w:szCs w:val="28"/>
          <w:highlight w:val="none"/>
          <w:lang w:eastAsia="zh-CN"/>
          <w14:textFill>
            <w14:solidFill>
              <w14:schemeClr w14:val="tx1"/>
            </w14:solidFill>
          </w14:textFill>
        </w:rPr>
        <w:t>供应商</w:t>
      </w:r>
      <w:r>
        <w:rPr>
          <w:rFonts w:hint="eastAsia"/>
          <w:b w:val="0"/>
          <w:bCs w:val="0"/>
          <w:color w:val="000000" w:themeColor="text1"/>
          <w:sz w:val="28"/>
          <w:szCs w:val="28"/>
          <w:highlight w:val="none"/>
          <w14:textFill>
            <w14:solidFill>
              <w14:schemeClr w14:val="tx1"/>
            </w14:solidFill>
          </w14:textFill>
        </w:rPr>
        <w:t>须知正文”推荐。</w:t>
      </w:r>
    </w:p>
    <w:p w14:paraId="6F115FE2">
      <w:pPr>
        <w:pStyle w:val="4"/>
        <w:keepNext w:val="0"/>
        <w:keepLines w:val="0"/>
        <w:pageBreakBefore w:val="0"/>
        <w:kinsoku/>
        <w:wordWrap/>
        <w:overflowPunct/>
        <w:topLinePunct w:val="0"/>
        <w:autoSpaceDE/>
        <w:autoSpaceDN/>
        <w:bidi w:val="0"/>
        <w:adjustRightInd/>
        <w:snapToGrid/>
        <w:spacing w:line="560" w:lineRule="exact"/>
        <w:jc w:val="center"/>
        <w:textAlignment w:val="auto"/>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第五节</w:t>
      </w:r>
      <w:r>
        <w:rPr>
          <w:color w:val="000000" w:themeColor="text1"/>
          <w:sz w:val="28"/>
          <w:szCs w:val="28"/>
          <w:highlight w:val="none"/>
          <w14:textFill>
            <w14:solidFill>
              <w14:schemeClr w14:val="tx1"/>
            </w14:solidFill>
          </w14:textFill>
        </w:rPr>
        <w:t xml:space="preserve"> </w:t>
      </w:r>
      <w:r>
        <w:rPr>
          <w:rFonts w:hint="eastAsia"/>
          <w:color w:val="000000" w:themeColor="text1"/>
          <w:sz w:val="28"/>
          <w:szCs w:val="28"/>
          <w:highlight w:val="none"/>
          <w14:textFill>
            <w14:solidFill>
              <w14:schemeClr w14:val="tx1"/>
            </w14:solidFill>
          </w14:textFill>
        </w:rPr>
        <w:t>评标报告</w:t>
      </w:r>
    </w:p>
    <w:p w14:paraId="0A23C763">
      <w:pPr>
        <w:pStyle w:val="108"/>
        <w:keepNext w:val="0"/>
        <w:keepLines w:val="0"/>
        <w:pageBreakBefore w:val="0"/>
        <w:kinsoku/>
        <w:wordWrap/>
        <w:overflowPunct/>
        <w:topLinePunct w:val="0"/>
        <w:autoSpaceDE/>
        <w:autoSpaceDN/>
        <w:bidi w:val="0"/>
        <w:adjustRightInd/>
        <w:snapToGrid/>
        <w:spacing w:before="0" w:line="560" w:lineRule="exact"/>
        <w:ind w:firstLine="560"/>
        <w:textAlignment w:val="auto"/>
        <w:rPr>
          <w:rFonts w:asciiTheme="minorEastAsia" w:hAnsiTheme="minorEastAsia"/>
          <w:color w:val="000000" w:themeColor="text1"/>
          <w:sz w:val="28"/>
          <w:szCs w:val="28"/>
          <w:highlight w:val="none"/>
          <w14:textFill>
            <w14:solidFill>
              <w14:schemeClr w14:val="tx1"/>
            </w14:solidFill>
          </w14:textFill>
        </w:rPr>
      </w:pPr>
      <w:r>
        <w:rPr>
          <w:rFonts w:hint="eastAsia" w:asciiTheme="minorEastAsia" w:hAnsiTheme="minorEastAsia"/>
          <w:color w:val="000000" w:themeColor="text1"/>
          <w:sz w:val="28"/>
          <w:szCs w:val="28"/>
          <w:highlight w:val="none"/>
          <w14:textFill>
            <w14:solidFill>
              <w14:schemeClr w14:val="tx1"/>
            </w14:solidFill>
          </w14:textFill>
        </w:rPr>
        <w:t>（一）评标报告与推荐中标候选人</w:t>
      </w:r>
    </w:p>
    <w:p w14:paraId="7B4E7C0E">
      <w:pPr>
        <w:pStyle w:val="17"/>
        <w:keepNext w:val="0"/>
        <w:keepLines w:val="0"/>
        <w:pageBreakBefore w:val="0"/>
        <w:kinsoku/>
        <w:wordWrap/>
        <w:overflowPunct/>
        <w:topLinePunct w:val="0"/>
        <w:autoSpaceDE/>
        <w:autoSpaceDN/>
        <w:bidi w:val="0"/>
        <w:adjustRightInd/>
        <w:snapToGrid/>
        <w:spacing w:line="560" w:lineRule="exact"/>
        <w:jc w:val="both"/>
        <w:textAlignment w:val="auto"/>
        <w:rPr>
          <w:b w:val="0"/>
          <w:bCs w:val="0"/>
          <w:color w:val="000000" w:themeColor="text1"/>
          <w:sz w:val="28"/>
          <w:szCs w:val="28"/>
          <w:highlight w:val="none"/>
          <w14:textFill>
            <w14:solidFill>
              <w14:schemeClr w14:val="tx1"/>
            </w14:solidFill>
          </w14:textFill>
        </w:rPr>
      </w:pPr>
      <w:r>
        <w:rPr>
          <w:rFonts w:hint="eastAsia"/>
          <w:b w:val="0"/>
          <w:bCs w:val="0"/>
          <w:color w:val="000000" w:themeColor="text1"/>
          <w:sz w:val="28"/>
          <w:szCs w:val="28"/>
          <w:highlight w:val="none"/>
          <w14:textFill>
            <w14:solidFill>
              <w14:schemeClr w14:val="tx1"/>
            </w14:solidFill>
          </w14:textFill>
        </w:rPr>
        <w:t>评标委员会根据原始评标记录和评标结果编写评标报告，并通过电子交易平台向采购人、采购代理机构提交。</w:t>
      </w:r>
    </w:p>
    <w:p w14:paraId="78D5052B">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（二）评标争议事项处理</w:t>
      </w:r>
    </w:p>
    <w:p w14:paraId="291E05EE">
      <w:pPr>
        <w:pStyle w:val="17"/>
        <w:keepNext w:val="0"/>
        <w:keepLines w:val="0"/>
        <w:pageBreakBefore w:val="0"/>
        <w:kinsoku/>
        <w:wordWrap/>
        <w:overflowPunct/>
        <w:topLinePunct w:val="0"/>
        <w:autoSpaceDE/>
        <w:autoSpaceDN/>
        <w:bidi w:val="0"/>
        <w:adjustRightInd/>
        <w:snapToGrid/>
        <w:spacing w:line="560" w:lineRule="exact"/>
        <w:jc w:val="both"/>
        <w:textAlignment w:val="auto"/>
        <w:rPr>
          <w:color w:val="000000" w:themeColor="text1"/>
          <w:sz w:val="28"/>
          <w:szCs w:val="28"/>
          <w:highlight w:val="none"/>
          <w14:textFill>
            <w14:solidFill>
              <w14:schemeClr w14:val="tx1"/>
            </w14:solidFill>
          </w14:textFill>
        </w:rPr>
        <w:sectPr>
          <w:pgSz w:w="11906" w:h="16838"/>
          <w:pgMar w:top="1134" w:right="1134" w:bottom="1134" w:left="1134" w:header="720" w:footer="720" w:gutter="0"/>
          <w:pgNumType w:fmt="decimal"/>
          <w:cols w:space="720" w:num="1"/>
          <w:docGrid w:type="lines" w:linePitch="331" w:charSpace="0"/>
        </w:sectPr>
      </w:pPr>
      <w:r>
        <w:rPr>
          <w:rFonts w:hint="eastAsia"/>
          <w:b w:val="0"/>
          <w:bCs w:val="0"/>
          <w:color w:val="000000" w:themeColor="text1"/>
          <w:sz w:val="28"/>
          <w:szCs w:val="28"/>
          <w:highlight w:val="none"/>
          <w14:textFill>
            <w14:solidFill>
              <w14:schemeClr w14:val="tx1"/>
            </w14:solidFill>
          </w14:textFill>
        </w:rPr>
        <w:t>评标委员会成员对需要共同认定的事项存在争议的，应当按照少数服从多数的原则作出结论。持不同意见的评标委员会成员应当在评标报告上签署不同意见及理由，否则视为同意评标报告。</w:t>
      </w:r>
    </w:p>
    <w:p w14:paraId="3E61EB59">
      <w:pPr>
        <w:pStyle w:val="31"/>
        <w:pageBreakBefore w:val="0"/>
        <w:numPr>
          <w:ilvl w:val="0"/>
          <w:numId w:val="3"/>
        </w:numPr>
        <w:wordWrap/>
        <w:topLinePunct w:val="0"/>
        <w:bidi w:val="0"/>
        <w:spacing w:before="0" w:after="0" w:line="560" w:lineRule="exact"/>
        <w:rPr>
          <w:rFonts w:hint="eastAsia"/>
          <w:color w:val="000000" w:themeColor="text1"/>
          <w:sz w:val="28"/>
          <w:szCs w:val="28"/>
          <w:highlight w:val="none"/>
          <w14:textFill>
            <w14:solidFill>
              <w14:schemeClr w14:val="tx1"/>
            </w14:solidFill>
          </w14:textFill>
        </w:rPr>
      </w:pPr>
      <w:r>
        <w:rPr>
          <w:rFonts w:hint="eastAsia"/>
          <w:color w:val="000000" w:themeColor="text1"/>
          <w:sz w:val="28"/>
          <w:szCs w:val="28"/>
          <w:highlight w:val="none"/>
          <w:lang w:val="en-US" w:eastAsia="zh-CN"/>
          <w14:textFill>
            <w14:solidFill>
              <w14:schemeClr w14:val="tx1"/>
            </w14:solidFill>
          </w14:textFill>
        </w:rPr>
        <w:t xml:space="preserve">  </w:t>
      </w:r>
      <w:r>
        <w:rPr>
          <w:rFonts w:hint="eastAsia"/>
          <w:color w:val="000000" w:themeColor="text1"/>
          <w:sz w:val="28"/>
          <w:szCs w:val="28"/>
          <w:highlight w:val="none"/>
          <w14:textFill>
            <w14:solidFill>
              <w14:schemeClr w14:val="tx1"/>
            </w14:solidFill>
          </w14:textFill>
        </w:rPr>
        <w:t>拟签订的合同文本</w:t>
      </w:r>
    </w:p>
    <w:p w14:paraId="1974D849">
      <w:pPr>
        <w:pageBreakBefore w:val="0"/>
        <w:widowControl w:val="0"/>
        <w:numPr>
          <w:ilvl w:val="0"/>
          <w:numId w:val="0"/>
        </w:numPr>
        <w:wordWrap/>
        <w:topLinePunct w:val="0"/>
        <w:bidi w:val="0"/>
        <w:spacing w:line="560" w:lineRule="exact"/>
        <w:jc w:val="both"/>
        <w:rPr>
          <w:color w:val="000000" w:themeColor="text1"/>
          <w:sz w:val="28"/>
          <w:szCs w:val="28"/>
          <w:highlight w:val="none"/>
          <w14:textFill>
            <w14:solidFill>
              <w14:schemeClr w14:val="tx1"/>
            </w14:solidFill>
          </w14:textFill>
        </w:rPr>
      </w:pPr>
    </w:p>
    <w:p w14:paraId="3BF37D97">
      <w:pPr>
        <w:pStyle w:val="13"/>
        <w:spacing w:after="0"/>
        <w:jc w:val="center"/>
        <w:rPr>
          <w:rFonts w:ascii="宋体" w:hAnsi="宋体" w:cs="宋体"/>
          <w:b/>
          <w:bCs/>
          <w:color w:val="000000" w:themeColor="text1"/>
          <w:spacing w:val="-20"/>
          <w:kern w:val="44"/>
          <w:sz w:val="28"/>
          <w:szCs w:val="28"/>
          <w:highlight w:val="none"/>
          <w14:textFill>
            <w14:solidFill>
              <w14:schemeClr w14:val="tx1"/>
            </w14:solidFill>
          </w14:textFill>
        </w:rPr>
      </w:pPr>
    </w:p>
    <w:p w14:paraId="74DB327E">
      <w:pPr>
        <w:pStyle w:val="13"/>
        <w:pageBreakBefore w:val="0"/>
        <w:kinsoku/>
        <w:wordWrap/>
        <w:overflowPunct/>
        <w:topLinePunct w:val="0"/>
        <w:bidi w:val="0"/>
        <w:spacing w:after="0" w:afterAutospacing="0" w:line="560" w:lineRule="exact"/>
        <w:jc w:val="center"/>
        <w:textAlignment w:val="auto"/>
        <w:rPr>
          <w:rFonts w:hint="eastAsia" w:asciiTheme="minorEastAsia" w:hAnsiTheme="minorEastAsia" w:eastAsiaTheme="minorEastAsia" w:cstheme="minorEastAsia"/>
          <w:b/>
          <w:bCs/>
          <w:color w:val="000000" w:themeColor="text1"/>
          <w:spacing w:val="-20"/>
          <w:kern w:val="44"/>
          <w:sz w:val="28"/>
          <w:szCs w:val="28"/>
          <w:highlight w:val="none"/>
          <w14:textFill>
            <w14:solidFill>
              <w14:schemeClr w14:val="tx1"/>
            </w14:solidFill>
          </w14:textFill>
        </w:rPr>
      </w:pPr>
    </w:p>
    <w:p w14:paraId="00F16B19">
      <w:pPr>
        <w:pStyle w:val="13"/>
        <w:pageBreakBefore w:val="0"/>
        <w:kinsoku/>
        <w:wordWrap/>
        <w:overflowPunct/>
        <w:topLinePunct w:val="0"/>
        <w:bidi w:val="0"/>
        <w:spacing w:after="0" w:afterAutospacing="0" w:line="560" w:lineRule="exact"/>
        <w:jc w:val="center"/>
        <w:textAlignment w:val="auto"/>
        <w:rPr>
          <w:rFonts w:hint="eastAsia" w:asciiTheme="minorEastAsia" w:hAnsiTheme="minorEastAsia" w:eastAsiaTheme="minorEastAsia" w:cstheme="minorEastAsia"/>
          <w:b/>
          <w:bCs/>
          <w:color w:val="000000" w:themeColor="text1"/>
          <w:spacing w:val="-20"/>
          <w:kern w:val="44"/>
          <w:sz w:val="28"/>
          <w:szCs w:val="28"/>
          <w:highlight w:val="none"/>
          <w14:textFill>
            <w14:solidFill>
              <w14:schemeClr w14:val="tx1"/>
            </w14:solidFill>
          </w14:textFill>
        </w:rPr>
      </w:pPr>
    </w:p>
    <w:p w14:paraId="2C68B475">
      <w:pPr>
        <w:pStyle w:val="13"/>
        <w:pageBreakBefore w:val="0"/>
        <w:kinsoku/>
        <w:wordWrap/>
        <w:overflowPunct/>
        <w:topLinePunct w:val="0"/>
        <w:bidi w:val="0"/>
        <w:spacing w:after="0" w:afterAutospacing="0" w:line="560" w:lineRule="exact"/>
        <w:jc w:val="center"/>
        <w:textAlignment w:val="auto"/>
        <w:rPr>
          <w:rFonts w:hint="eastAsia" w:asciiTheme="minorEastAsia" w:hAnsiTheme="minorEastAsia" w:eastAsiaTheme="minorEastAsia" w:cstheme="minorEastAsia"/>
          <w:b/>
          <w:bCs/>
          <w:color w:val="000000" w:themeColor="text1"/>
          <w:spacing w:val="-20"/>
          <w:kern w:val="44"/>
          <w:sz w:val="28"/>
          <w:szCs w:val="28"/>
          <w:highlight w:val="none"/>
          <w14:textFill>
            <w14:solidFill>
              <w14:schemeClr w14:val="tx1"/>
            </w14:solidFill>
          </w14:textFill>
        </w:rPr>
      </w:pPr>
    </w:p>
    <w:p w14:paraId="6071994D">
      <w:pPr>
        <w:pStyle w:val="13"/>
        <w:pageBreakBefore w:val="0"/>
        <w:kinsoku/>
        <w:wordWrap/>
        <w:overflowPunct/>
        <w:topLinePunct w:val="0"/>
        <w:bidi w:val="0"/>
        <w:spacing w:after="0" w:afterAutospacing="0" w:line="560" w:lineRule="exact"/>
        <w:jc w:val="center"/>
        <w:textAlignment w:val="auto"/>
        <w:rPr>
          <w:rFonts w:hint="eastAsia" w:asciiTheme="minorEastAsia" w:hAnsiTheme="minorEastAsia" w:eastAsiaTheme="minorEastAsia" w:cstheme="minorEastAsia"/>
          <w:b/>
          <w:bCs/>
          <w:color w:val="000000" w:themeColor="text1"/>
          <w:spacing w:val="-20"/>
          <w:kern w:val="44"/>
          <w:sz w:val="28"/>
          <w:szCs w:val="28"/>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pacing w:val="-20"/>
          <w:kern w:val="44"/>
          <w:sz w:val="28"/>
          <w:szCs w:val="28"/>
          <w:highlight w:val="none"/>
          <w:lang w:eastAsia="zh-CN"/>
          <w14:textFill>
            <w14:solidFill>
              <w14:schemeClr w14:val="tx1"/>
            </w14:solidFill>
          </w14:textFill>
        </w:rPr>
        <w:t>哈密市中心医院</w:t>
      </w:r>
    </w:p>
    <w:p w14:paraId="2DB7D5A2">
      <w:pPr>
        <w:pStyle w:val="13"/>
        <w:pageBreakBefore w:val="0"/>
        <w:kinsoku/>
        <w:wordWrap/>
        <w:overflowPunct/>
        <w:topLinePunct w:val="0"/>
        <w:bidi w:val="0"/>
        <w:spacing w:after="0" w:afterAutospacing="0" w:line="560" w:lineRule="exact"/>
        <w:jc w:val="center"/>
        <w:textAlignment w:val="auto"/>
        <w:rPr>
          <w:rFonts w:hint="eastAsia" w:asciiTheme="minorEastAsia" w:hAnsiTheme="minorEastAsia" w:eastAsiaTheme="minorEastAsia" w:cstheme="minorEastAsia"/>
          <w:b/>
          <w:bCs/>
          <w:color w:val="000000" w:themeColor="text1"/>
          <w:spacing w:val="-20"/>
          <w:kern w:val="44"/>
          <w:sz w:val="28"/>
          <w:szCs w:val="28"/>
          <w:highlight w:val="none"/>
          <w14:textFill>
            <w14:solidFill>
              <w14:schemeClr w14:val="tx1"/>
            </w14:solidFill>
          </w14:textFill>
        </w:rPr>
      </w:pPr>
      <w:r>
        <w:rPr>
          <w:rFonts w:hint="eastAsia" w:asciiTheme="minorEastAsia" w:hAnsiTheme="minorEastAsia" w:eastAsiaTheme="minorEastAsia" w:cstheme="minorEastAsia"/>
          <w:b/>
          <w:bCs/>
          <w:color w:val="000000" w:themeColor="text1"/>
          <w:spacing w:val="-20"/>
          <w:kern w:val="44"/>
          <w:sz w:val="28"/>
          <w:szCs w:val="28"/>
          <w:highlight w:val="none"/>
          <w:lang w:eastAsia="zh-CN"/>
          <w14:textFill>
            <w14:solidFill>
              <w14:schemeClr w14:val="tx1"/>
            </w14:solidFill>
          </w14:textFill>
        </w:rPr>
        <w:t>货物买卖</w:t>
      </w:r>
      <w:r>
        <w:rPr>
          <w:rFonts w:hint="eastAsia" w:asciiTheme="minorEastAsia" w:hAnsiTheme="minorEastAsia" w:eastAsiaTheme="minorEastAsia" w:cstheme="minorEastAsia"/>
          <w:b/>
          <w:bCs/>
          <w:color w:val="000000" w:themeColor="text1"/>
          <w:spacing w:val="-20"/>
          <w:kern w:val="44"/>
          <w:sz w:val="28"/>
          <w:szCs w:val="28"/>
          <w:highlight w:val="none"/>
          <w14:textFill>
            <w14:solidFill>
              <w14:schemeClr w14:val="tx1"/>
            </w14:solidFill>
          </w14:textFill>
        </w:rPr>
        <w:t>合同</w:t>
      </w:r>
    </w:p>
    <w:p w14:paraId="10E55EBE">
      <w:pPr>
        <w:pageBreakBefore w:val="0"/>
        <w:kinsoku/>
        <w:wordWrap/>
        <w:overflowPunct/>
        <w:topLinePunct w:val="0"/>
        <w:bidi w:val="0"/>
        <w:spacing w:afterAutospacing="0" w:line="560" w:lineRule="exact"/>
        <w:textAlignment w:val="auto"/>
        <w:rPr>
          <w:rFonts w:hint="eastAsia" w:asciiTheme="minorEastAsia" w:hAnsiTheme="minorEastAsia" w:eastAsiaTheme="minorEastAsia" w:cstheme="minorEastAsia"/>
          <w:b/>
          <w:bCs/>
          <w:color w:val="000000" w:themeColor="text1"/>
          <w:spacing w:val="-20"/>
          <w:kern w:val="44"/>
          <w:sz w:val="28"/>
          <w:szCs w:val="28"/>
          <w:highlight w:val="none"/>
          <w14:textFill>
            <w14:solidFill>
              <w14:schemeClr w14:val="tx1"/>
            </w14:solidFill>
          </w14:textFill>
        </w:rPr>
      </w:pPr>
    </w:p>
    <w:p w14:paraId="23F26DC1">
      <w:pPr>
        <w:pStyle w:val="171"/>
        <w:pageBreakBefore w:val="0"/>
        <w:kinsoku/>
        <w:wordWrap/>
        <w:overflowPunct/>
        <w:topLinePunct w:val="0"/>
        <w:bidi w:val="0"/>
        <w:spacing w:afterAutospacing="0" w:line="560" w:lineRule="exact"/>
        <w:textAlignment w:val="auto"/>
        <w:rPr>
          <w:rFonts w:hint="eastAsia" w:asciiTheme="minorEastAsia" w:hAnsiTheme="minorEastAsia" w:eastAsiaTheme="minorEastAsia" w:cstheme="minorEastAsia"/>
          <w:b/>
          <w:bCs/>
          <w:color w:val="000000" w:themeColor="text1"/>
          <w:spacing w:val="-20"/>
          <w:kern w:val="44"/>
          <w:sz w:val="28"/>
          <w:szCs w:val="28"/>
          <w:highlight w:val="none"/>
          <w14:textFill>
            <w14:solidFill>
              <w14:schemeClr w14:val="tx1"/>
            </w14:solidFill>
          </w14:textFill>
        </w:rPr>
      </w:pPr>
    </w:p>
    <w:p w14:paraId="5A2653FE">
      <w:pPr>
        <w:pStyle w:val="171"/>
        <w:pageBreakBefore w:val="0"/>
        <w:kinsoku/>
        <w:wordWrap/>
        <w:overflowPunct/>
        <w:topLinePunct w:val="0"/>
        <w:bidi w:val="0"/>
        <w:spacing w:afterAutospacing="0" w:line="560" w:lineRule="exact"/>
        <w:textAlignment w:val="auto"/>
        <w:rPr>
          <w:rFonts w:hint="eastAsia" w:asciiTheme="minorEastAsia" w:hAnsiTheme="minorEastAsia" w:eastAsiaTheme="minorEastAsia" w:cstheme="minorEastAsia"/>
          <w:b/>
          <w:bCs/>
          <w:color w:val="000000" w:themeColor="text1"/>
          <w:spacing w:val="-20"/>
          <w:kern w:val="44"/>
          <w:sz w:val="28"/>
          <w:szCs w:val="28"/>
          <w:highlight w:val="none"/>
          <w14:textFill>
            <w14:solidFill>
              <w14:schemeClr w14:val="tx1"/>
            </w14:solidFill>
          </w14:textFill>
        </w:rPr>
      </w:pPr>
    </w:p>
    <w:p w14:paraId="0912F950">
      <w:pPr>
        <w:pStyle w:val="171"/>
        <w:pageBreakBefore w:val="0"/>
        <w:kinsoku/>
        <w:wordWrap/>
        <w:overflowPunct/>
        <w:topLinePunct w:val="0"/>
        <w:bidi w:val="0"/>
        <w:spacing w:afterAutospacing="0" w:line="560" w:lineRule="exact"/>
        <w:textAlignment w:val="auto"/>
        <w:rPr>
          <w:rFonts w:hint="eastAsia" w:asciiTheme="minorEastAsia" w:hAnsiTheme="minorEastAsia" w:eastAsiaTheme="minorEastAsia" w:cstheme="minorEastAsia"/>
          <w:b/>
          <w:bCs/>
          <w:color w:val="000000" w:themeColor="text1"/>
          <w:spacing w:val="-20"/>
          <w:kern w:val="44"/>
          <w:sz w:val="28"/>
          <w:szCs w:val="28"/>
          <w:highlight w:val="none"/>
          <w14:textFill>
            <w14:solidFill>
              <w14:schemeClr w14:val="tx1"/>
            </w14:solidFill>
          </w14:textFill>
        </w:rPr>
      </w:pPr>
    </w:p>
    <w:p w14:paraId="72760AE7">
      <w:pPr>
        <w:pStyle w:val="171"/>
        <w:pageBreakBefore w:val="0"/>
        <w:kinsoku/>
        <w:wordWrap/>
        <w:overflowPunct/>
        <w:topLinePunct w:val="0"/>
        <w:bidi w:val="0"/>
        <w:spacing w:afterAutospacing="0" w:line="560" w:lineRule="exact"/>
        <w:textAlignment w:val="auto"/>
        <w:rPr>
          <w:rFonts w:hint="eastAsia" w:asciiTheme="minorEastAsia" w:hAnsiTheme="minorEastAsia" w:eastAsiaTheme="minorEastAsia" w:cstheme="minorEastAsia"/>
          <w:b/>
          <w:bCs/>
          <w:color w:val="000000" w:themeColor="text1"/>
          <w:spacing w:val="-20"/>
          <w:kern w:val="44"/>
          <w:sz w:val="28"/>
          <w:szCs w:val="28"/>
          <w:highlight w:val="none"/>
          <w14:textFill>
            <w14:solidFill>
              <w14:schemeClr w14:val="tx1"/>
            </w14:solidFill>
          </w14:textFill>
        </w:rPr>
      </w:pPr>
    </w:p>
    <w:p w14:paraId="6E32F8DA">
      <w:pPr>
        <w:pStyle w:val="171"/>
        <w:pageBreakBefore w:val="0"/>
        <w:kinsoku/>
        <w:wordWrap/>
        <w:overflowPunct/>
        <w:topLinePunct w:val="0"/>
        <w:bidi w:val="0"/>
        <w:spacing w:afterAutospacing="0" w:line="560" w:lineRule="exact"/>
        <w:textAlignment w:val="auto"/>
        <w:rPr>
          <w:rFonts w:hint="eastAsia" w:asciiTheme="minorEastAsia" w:hAnsiTheme="minorEastAsia" w:eastAsiaTheme="minorEastAsia" w:cstheme="minorEastAsia"/>
          <w:b/>
          <w:bCs/>
          <w:color w:val="000000" w:themeColor="text1"/>
          <w:spacing w:val="-20"/>
          <w:kern w:val="44"/>
          <w:sz w:val="28"/>
          <w:szCs w:val="28"/>
          <w:highlight w:val="none"/>
          <w14:textFill>
            <w14:solidFill>
              <w14:schemeClr w14:val="tx1"/>
            </w14:solidFill>
          </w14:textFill>
        </w:rPr>
      </w:pPr>
    </w:p>
    <w:p w14:paraId="7BCDD473">
      <w:pPr>
        <w:pageBreakBefore w:val="0"/>
        <w:kinsoku/>
        <w:wordWrap/>
        <w:overflowPunct/>
        <w:topLinePunct w:val="0"/>
        <w:bidi w:val="0"/>
        <w:spacing w:afterAutospacing="0" w:line="560" w:lineRule="exact"/>
        <w:textAlignment w:val="auto"/>
        <w:rPr>
          <w:rFonts w:hint="eastAsia" w:asciiTheme="minorEastAsia" w:hAnsiTheme="minorEastAsia" w:eastAsiaTheme="minorEastAsia" w:cstheme="minorEastAsia"/>
          <w:b/>
          <w:bCs/>
          <w:color w:val="000000" w:themeColor="text1"/>
          <w:spacing w:val="-20"/>
          <w:kern w:val="44"/>
          <w:sz w:val="28"/>
          <w:szCs w:val="28"/>
          <w:highlight w:val="none"/>
          <w14:textFill>
            <w14:solidFill>
              <w14:schemeClr w14:val="tx1"/>
            </w14:solidFill>
          </w14:textFill>
        </w:rPr>
      </w:pPr>
    </w:p>
    <w:p w14:paraId="797B3D4A">
      <w:pPr>
        <w:pageBreakBefore w:val="0"/>
        <w:kinsoku/>
        <w:wordWrap/>
        <w:overflowPunct/>
        <w:topLinePunct w:val="0"/>
        <w:bidi w:val="0"/>
        <w:spacing w:afterAutospacing="0" w:line="560" w:lineRule="exact"/>
        <w:textAlignment w:val="auto"/>
        <w:rPr>
          <w:rFonts w:hint="eastAsia" w:asciiTheme="minorEastAsia" w:hAnsiTheme="minorEastAsia" w:eastAsiaTheme="minorEastAsia" w:cstheme="minorEastAsia"/>
          <w:b/>
          <w:bCs/>
          <w:color w:val="000000" w:themeColor="text1"/>
          <w:spacing w:val="-20"/>
          <w:kern w:val="44"/>
          <w:sz w:val="28"/>
          <w:szCs w:val="28"/>
          <w:highlight w:val="none"/>
          <w14:textFill>
            <w14:solidFill>
              <w14:schemeClr w14:val="tx1"/>
            </w14:solidFill>
          </w14:textFill>
        </w:rPr>
      </w:pPr>
    </w:p>
    <w:p w14:paraId="5D541CE4">
      <w:pPr>
        <w:pageBreakBefore w:val="0"/>
        <w:kinsoku/>
        <w:wordWrap/>
        <w:overflowPunct/>
        <w:topLinePunct w:val="0"/>
        <w:bidi w:val="0"/>
        <w:spacing w:afterAutospacing="0" w:line="560" w:lineRule="exact"/>
        <w:ind w:left="420" w:leftChars="200"/>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8"/>
          <w:szCs w:val="28"/>
          <w:highlight w:val="none"/>
          <w14:textFill>
            <w14:solidFill>
              <w14:schemeClr w14:val="tx1"/>
            </w14:solidFill>
          </w14:textFill>
        </w:rPr>
        <w:t>项目名称：</w:t>
      </w:r>
      <w:r>
        <w:rPr>
          <w:rFonts w:hint="eastAsia" w:asciiTheme="minorEastAsia" w:hAnsiTheme="minorEastAsia" w:eastAsiaTheme="minorEastAsia" w:cstheme="minorEastAsia"/>
          <w:color w:val="000000" w:themeColor="text1"/>
          <w:sz w:val="28"/>
          <w:szCs w:val="28"/>
          <w:highlight w:val="none"/>
          <w:u w:val="single"/>
          <w:lang w:eastAsia="zh-CN"/>
          <w14:textFill>
            <w14:solidFill>
              <w14:schemeClr w14:val="tx1"/>
            </w14:solidFill>
          </w14:textFill>
        </w:rPr>
        <w:t>按哈密市中心医院中标通知书项目名称填写</w:t>
      </w:r>
    </w:p>
    <w:p w14:paraId="588397ED">
      <w:pPr>
        <w:pageBreakBefore w:val="0"/>
        <w:kinsoku/>
        <w:wordWrap/>
        <w:overflowPunct/>
        <w:topLinePunct w:val="0"/>
        <w:bidi w:val="0"/>
        <w:spacing w:afterAutospacing="0" w:line="560" w:lineRule="exact"/>
        <w:ind w:left="420" w:leftChars="200"/>
        <w:textAlignment w:val="auto"/>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合同编号：</w:t>
      </w:r>
      <w: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t xml:space="preserve">                             </w:t>
      </w:r>
    </w:p>
    <w:p w14:paraId="30397BF0">
      <w:pPr>
        <w:pageBreakBefore w:val="0"/>
        <w:kinsoku/>
        <w:wordWrap/>
        <w:overflowPunct/>
        <w:topLinePunct w:val="0"/>
        <w:bidi w:val="0"/>
        <w:spacing w:afterAutospacing="0" w:line="560" w:lineRule="exact"/>
        <w:ind w:left="420" w:leftChars="200"/>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甲    方：</w:t>
      </w:r>
      <w: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highlight w:val="none"/>
          <w:u w:val="single"/>
          <w:lang w:eastAsia="zh-CN"/>
          <w14:textFill>
            <w14:solidFill>
              <w14:schemeClr w14:val="tx1"/>
            </w14:solidFill>
          </w14:textFill>
        </w:rPr>
        <w:t>哈密市中心医院</w:t>
      </w:r>
      <w: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t xml:space="preserve">  </w:t>
      </w:r>
    </w:p>
    <w:p w14:paraId="155CC14A">
      <w:pPr>
        <w:pageBreakBefore w:val="0"/>
        <w:kinsoku/>
        <w:wordWrap/>
        <w:overflowPunct/>
        <w:topLinePunct w:val="0"/>
        <w:bidi w:val="0"/>
        <w:spacing w:afterAutospacing="0" w:line="560" w:lineRule="exact"/>
        <w:ind w:left="420" w:leftChars="200"/>
        <w:textAlignment w:val="auto"/>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乙    方：</w:t>
      </w:r>
      <w: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t xml:space="preserve">                             </w:t>
      </w:r>
    </w:p>
    <w:p w14:paraId="22AD3EA3">
      <w:pPr>
        <w:pageBreakBefore w:val="0"/>
        <w:kinsoku/>
        <w:wordWrap/>
        <w:overflowPunct/>
        <w:topLinePunct w:val="0"/>
        <w:bidi w:val="0"/>
        <w:spacing w:afterAutospacing="0" w:line="560" w:lineRule="exact"/>
        <w:ind w:left="420" w:leftChars="200"/>
        <w:textAlignment w:val="auto"/>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签订日期</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highlight w:val="none"/>
          <w:u w:val="single"/>
          <w:lang w:eastAsia="zh-CN"/>
          <w14:textFill>
            <w14:solidFill>
              <w14:schemeClr w14:val="tx1"/>
            </w14:solidFill>
          </w14:textFill>
        </w:rPr>
        <w:t>年</w:t>
      </w:r>
      <w: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highlight w:val="none"/>
          <w:u w:val="single"/>
          <w:lang w:eastAsia="zh-CN"/>
          <w14:textFill>
            <w14:solidFill>
              <w14:schemeClr w14:val="tx1"/>
            </w14:solidFill>
          </w14:textFill>
        </w:rPr>
        <w:t>月</w:t>
      </w:r>
      <w: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highlight w:val="none"/>
          <w:u w:val="single"/>
          <w:lang w:eastAsia="zh-CN"/>
          <w14:textFill>
            <w14:solidFill>
              <w14:schemeClr w14:val="tx1"/>
            </w14:solidFill>
          </w14:textFill>
        </w:rPr>
        <w:t>日</w:t>
      </w:r>
      <w: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t xml:space="preserve">        </w:t>
      </w:r>
    </w:p>
    <w:p w14:paraId="2141DE16">
      <w:pPr>
        <w:bidi w:val="0"/>
        <w:rPr>
          <w:rFonts w:hint="eastAsia"/>
          <w:color w:val="000000" w:themeColor="text1"/>
          <w14:textFill>
            <w14:solidFill>
              <w14:schemeClr w14:val="tx1"/>
            </w14:solidFill>
          </w14:textFill>
        </w:rPr>
      </w:pPr>
    </w:p>
    <w:p w14:paraId="7C0D6CDE">
      <w:pPr>
        <w:pageBreakBefore w:val="0"/>
        <w:kinsoku/>
        <w:wordWrap/>
        <w:overflowPunct/>
        <w:topLinePunct w:val="0"/>
        <w:bidi w:val="0"/>
        <w:spacing w:afterAutospacing="0" w:line="560" w:lineRule="exac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br w:type="page"/>
      </w:r>
    </w:p>
    <w:p w14:paraId="0B2C5FAB">
      <w:pPr>
        <w:pageBreakBefore w:val="0"/>
        <w:kinsoku/>
        <w:wordWrap/>
        <w:overflowPunct/>
        <w:topLinePunct w:val="0"/>
        <w:bidi w:val="0"/>
        <w:spacing w:afterAutospacing="0" w:line="560" w:lineRule="exact"/>
        <w:jc w:val="center"/>
        <w:textAlignment w:val="auto"/>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使</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用</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说</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明</w:t>
      </w:r>
    </w:p>
    <w:p w14:paraId="699B8912">
      <w:pPr>
        <w:pageBreakBefore w:val="0"/>
        <w:kinsoku/>
        <w:wordWrap/>
        <w:overflowPunct/>
        <w:topLinePunct w:val="0"/>
        <w:bidi w:val="0"/>
        <w:spacing w:afterAutospacing="0" w:line="560" w:lineRule="exact"/>
        <w:ind w:firstLine="560" w:firstLineChars="200"/>
        <w:textAlignment w:val="auto"/>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pPr>
    </w:p>
    <w:p w14:paraId="391E2D28">
      <w:pPr>
        <w:pageBreakBefore w:val="0"/>
        <w:kinsoku/>
        <w:wordWrap/>
        <w:overflowPunct/>
        <w:topLinePunct w:val="0"/>
        <w:bidi w:val="0"/>
        <w:spacing w:afterAutospacing="0" w:line="560" w:lineRule="exact"/>
        <w:ind w:firstLine="560" w:firstLineChars="200"/>
        <w:textAlignment w:val="auto"/>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1.本合同标准文本适用于购买现成货物的采购项目，不包括需要供应商定制开发、创新研发的货物采购项目。</w:t>
      </w:r>
    </w:p>
    <w:p w14:paraId="7835FF59">
      <w:pPr>
        <w:pageBreakBefore w:val="0"/>
        <w:kinsoku/>
        <w:wordWrap/>
        <w:overflowPunct/>
        <w:topLinePunct w:val="0"/>
        <w:bidi w:val="0"/>
        <w:spacing w:afterAutospacing="0" w:line="560" w:lineRule="exact"/>
        <w:ind w:firstLine="0" w:firstLineChars="0"/>
        <w:textAlignment w:val="auto"/>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 xml:space="preserve">   2.本合同标准文本为货物买卖合同编制提供参考，可以结合采购项目具体情况，对文本作必要的调整修订后使用。</w:t>
      </w:r>
    </w:p>
    <w:p w14:paraId="5C8E73A6">
      <w:pPr>
        <w:pageBreakBefore w:val="0"/>
        <w:kinsoku/>
        <w:wordWrap/>
        <w:overflowPunct/>
        <w:topLinePunct w:val="0"/>
        <w:bidi w:val="0"/>
        <w:spacing w:afterAutospacing="0" w:line="560" w:lineRule="exact"/>
        <w:ind w:firstLine="560" w:firstLineChars="200"/>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sectPr>
          <w:headerReference r:id="rId18" w:type="default"/>
          <w:footerReference r:id="rId19"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3.本合同标准文本各条款中，如涉及填写多家供应商、制造商，多种采购标的、分包主要内容等信息的，可根据采购项目具体情况添加信息项。</w:t>
      </w:r>
    </w:p>
    <w:p w14:paraId="7355602B">
      <w:pPr>
        <w:pStyle w:val="3"/>
        <w:pageBreakBefore w:val="0"/>
        <w:kinsoku/>
        <w:wordWrap/>
        <w:overflowPunct/>
        <w:topLinePunct w:val="0"/>
        <w:bidi w:val="0"/>
        <w:adjustRightInd w:val="0"/>
        <w:snapToGrid w:val="0"/>
        <w:spacing w:beforeLines="0" w:afterAutospacing="0" w:line="560" w:lineRule="exact"/>
        <w:jc w:val="center"/>
        <w:textAlignment w:val="auto"/>
        <w:rPr>
          <w:rFonts w:hint="eastAsia" w:asciiTheme="minorEastAsia" w:hAnsiTheme="minorEastAsia" w:eastAsiaTheme="minorEastAsia" w:cstheme="minorEastAsia"/>
          <w:b w:val="0"/>
          <w:bCs w:val="0"/>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8"/>
          <w:szCs w:val="28"/>
          <w:highlight w:val="none"/>
          <w14:textFill>
            <w14:solidFill>
              <w14:schemeClr w14:val="tx1"/>
            </w14:solidFill>
          </w14:textFill>
        </w:rPr>
        <w:t>第一节 合同协议书</w:t>
      </w:r>
    </w:p>
    <w:p w14:paraId="11FB88A1">
      <w:pPr>
        <w:pageBreakBefore w:val="0"/>
        <w:kinsoku/>
        <w:wordWrap/>
        <w:overflowPunct/>
        <w:topLinePunct w:val="0"/>
        <w:bidi w:val="0"/>
        <w:adjustRightInd w:val="0"/>
        <w:snapToGrid w:val="0"/>
        <w:spacing w:before="0" w:beforeLines="0" w:afterAutospacing="0" w:line="560" w:lineRule="exac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甲方（全称）：</w:t>
      </w:r>
      <w: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highlight w:val="none"/>
          <w:u w:val="single"/>
          <w:lang w:eastAsia="zh-CN"/>
          <w14:textFill>
            <w14:solidFill>
              <w14:schemeClr w14:val="tx1"/>
            </w14:solidFill>
          </w14:textFill>
        </w:rPr>
        <w:t>哈密市中心医院</w:t>
      </w:r>
      <w: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t xml:space="preserve">       </w:t>
      </w:r>
    </w:p>
    <w:p w14:paraId="17754D4A">
      <w:pPr>
        <w:pageBreakBefore w:val="0"/>
        <w:kinsoku/>
        <w:wordWrap/>
        <w:overflowPunct/>
        <w:topLinePunct w:val="0"/>
        <w:bidi w:val="0"/>
        <w:adjustRightInd w:val="0"/>
        <w:snapToGrid w:val="0"/>
        <w:spacing w:before="0" w:beforeLines="0" w:afterAutospacing="0" w:line="560" w:lineRule="exact"/>
        <w:textAlignment w:val="auto"/>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乙方（全称）：</w:t>
      </w:r>
      <w: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t xml:space="preserve">                       </w:t>
      </w:r>
    </w:p>
    <w:p w14:paraId="044E5779">
      <w:pPr>
        <w:pStyle w:val="14"/>
        <w:pageBreakBefore w:val="0"/>
        <w:kinsoku/>
        <w:wordWrap/>
        <w:overflowPunct/>
        <w:topLinePunct w:val="0"/>
        <w:bidi w:val="0"/>
        <w:adjustRightInd w:val="0"/>
        <w:snapToGrid w:val="0"/>
        <w:spacing w:before="0" w:beforeLines="0" w:after="0" w:afterAutospacing="0" w:line="560" w:lineRule="exact"/>
        <w:ind w:left="0" w:leftChars="0" w:firstLine="544" w:firstLineChars="200"/>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依据《中华人民共和国民法典》</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《中华人民共和国政府采购法》等有关的法律法规，以及</w:t>
      </w:r>
      <w:r>
        <w:rPr>
          <w:rFonts w:hint="eastAsia" w:asciiTheme="minorEastAsia" w:hAnsiTheme="minorEastAsia" w:eastAsiaTheme="minorEastAsia" w:cstheme="minorEastAsia"/>
          <w:i w:val="0"/>
          <w:iCs w:val="0"/>
          <w:color w:val="000000" w:themeColor="text1"/>
          <w:sz w:val="28"/>
          <w:szCs w:val="28"/>
          <w:highlight w:val="none"/>
          <w:u w:val="none"/>
          <w:lang w:eastAsia="zh-CN"/>
          <w14:textFill>
            <w14:solidFill>
              <w14:schemeClr w14:val="tx1"/>
            </w14:solidFill>
          </w14:textFill>
        </w:rPr>
        <w:t>本采购项目</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的</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招标</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/谈判</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文件等</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采购文件</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 xml:space="preserve">乙方的《投标（响应）文件》及《中标（成交）通知书》，甲乙双方同意签订本合同。具体情况及要求如下：     </w:t>
      </w:r>
    </w:p>
    <w:p w14:paraId="6E9C19D9">
      <w:pPr>
        <w:pageBreakBefore w:val="0"/>
        <w:numPr>
          <w:ilvl w:val="0"/>
          <w:numId w:val="4"/>
        </w:numPr>
        <w:kinsoku/>
        <w:wordWrap/>
        <w:overflowPunct/>
        <w:topLinePunct w:val="0"/>
        <w:bidi w:val="0"/>
        <w:adjustRightInd w:val="0"/>
        <w:snapToGrid w:val="0"/>
        <w:spacing w:before="0" w:beforeLines="0" w:afterAutospacing="0" w:line="560" w:lineRule="exact"/>
        <w:ind w:firstLine="562" w:firstLineChars="200"/>
        <w:textAlignment w:val="auto"/>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项目信息</w:t>
      </w:r>
    </w:p>
    <w:p w14:paraId="29394C0C">
      <w:pPr>
        <w:pStyle w:val="14"/>
        <w:pageBreakBefore w:val="0"/>
        <w:numPr>
          <w:ilvl w:val="0"/>
          <w:numId w:val="5"/>
        </w:numPr>
        <w:kinsoku/>
        <w:wordWrap/>
        <w:overflowPunct/>
        <w:topLinePunct w:val="0"/>
        <w:bidi w:val="0"/>
        <w:adjustRightInd w:val="0"/>
        <w:snapToGrid w:val="0"/>
        <w:spacing w:before="0" w:beforeLines="0" w:after="0" w:afterAutospacing="0" w:line="560" w:lineRule="exact"/>
        <w:ind w:left="0" w:leftChars="0" w:firstLine="544" w:firstLineChars="200"/>
        <w:textAlignment w:val="auto"/>
        <w:rPr>
          <w:rFonts w:hint="eastAsia" w:asciiTheme="minorEastAsia" w:hAnsiTheme="minorEastAsia" w:eastAsiaTheme="minorEastAsia" w:cstheme="minorEastAsia"/>
          <w:color w:val="000000" w:themeColor="text1"/>
          <w:sz w:val="28"/>
          <w:szCs w:val="28"/>
          <w:highlight w:val="none"/>
          <w:u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采购项目名称：</w:t>
      </w:r>
      <w: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highlight w:val="none"/>
          <w:u w:val="single"/>
          <w:lang w:eastAsia="zh-CN"/>
          <w14:textFill>
            <w14:solidFill>
              <w14:schemeClr w14:val="tx1"/>
            </w14:solidFill>
          </w14:textFill>
        </w:rPr>
        <w:t>同中标通知书一致</w:t>
      </w:r>
      <w: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t xml:space="preserve">                 </w:t>
      </w:r>
    </w:p>
    <w:p w14:paraId="7A2E5404">
      <w:pPr>
        <w:pageBreakBefore w:val="0"/>
        <w:kinsoku/>
        <w:wordWrap/>
        <w:overflowPunct/>
        <w:topLinePunct w:val="0"/>
        <w:bidi w:val="0"/>
        <w:adjustRightInd w:val="0"/>
        <w:snapToGrid w:val="0"/>
        <w:spacing w:before="0" w:beforeLines="0" w:afterAutospacing="0" w:line="560" w:lineRule="exact"/>
        <w:ind w:firstLine="560" w:firstLineChars="200"/>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）项目内容：</w:t>
      </w:r>
    </w:p>
    <w:p w14:paraId="19D1CDCA">
      <w:pPr>
        <w:pageBreakBefore w:val="0"/>
        <w:numPr>
          <w:ilvl w:val="-1"/>
          <w:numId w:val="0"/>
        </w:numPr>
        <w:kinsoku/>
        <w:wordWrap/>
        <w:overflowPunct/>
        <w:topLinePunct w:val="0"/>
        <w:bidi w:val="0"/>
        <w:adjustRightInd w:val="0"/>
        <w:snapToGrid w:val="0"/>
        <w:spacing w:before="0" w:beforeLines="0" w:afterAutospacing="0" w:line="560" w:lineRule="exact"/>
        <w:ind w:firstLine="560" w:firstLineChars="200"/>
        <w:textAlignment w:val="auto"/>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采购标的及数量</w:t>
      </w:r>
    </w:p>
    <w:tbl>
      <w:tblPr>
        <w:tblStyle w:val="3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1217"/>
        <w:gridCol w:w="1217"/>
        <w:gridCol w:w="1217"/>
        <w:gridCol w:w="1218"/>
        <w:gridCol w:w="1218"/>
        <w:gridCol w:w="1218"/>
      </w:tblGrid>
      <w:tr w14:paraId="68B0F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Align w:val="center"/>
          </w:tcPr>
          <w:p w14:paraId="6D6DAA34">
            <w:pPr>
              <w:pageBreakBefore w:val="0"/>
              <w:numPr>
                <w:ilvl w:val="-1"/>
                <w:numId w:val="0"/>
              </w:numPr>
              <w:kinsoku/>
              <w:wordWrap/>
              <w:overflowPunct/>
              <w:topLinePunct w:val="0"/>
              <w:bidi w:val="0"/>
              <w:adjustRightInd w:val="0"/>
              <w:snapToGrid w:val="0"/>
              <w:spacing w:before="0" w:beforeLines="0" w:afterAutospacing="0" w:line="560" w:lineRule="exact"/>
              <w:ind w:left="0" w:leftChars="0" w:firstLine="0" w:firstLineChars="0"/>
              <w:jc w:val="center"/>
              <w:textAlignment w:val="auto"/>
              <w:rPr>
                <w:rFonts w:hint="eastAsia" w:asciiTheme="minorEastAsia" w:hAnsiTheme="minorEastAsia" w:eastAsiaTheme="minorEastAsia" w:cstheme="minorEastAsia"/>
                <w:color w:val="000000" w:themeColor="text1"/>
                <w:kern w:val="2"/>
                <w:sz w:val="28"/>
                <w:szCs w:val="28"/>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产品名称</w:t>
            </w:r>
          </w:p>
        </w:tc>
        <w:tc>
          <w:tcPr>
            <w:tcW w:w="1217" w:type="dxa"/>
            <w:vAlign w:val="center"/>
          </w:tcPr>
          <w:p w14:paraId="57385A43">
            <w:pPr>
              <w:pageBreakBefore w:val="0"/>
              <w:numPr>
                <w:ilvl w:val="-1"/>
                <w:numId w:val="0"/>
              </w:numPr>
              <w:kinsoku/>
              <w:wordWrap/>
              <w:overflowPunct/>
              <w:topLinePunct w:val="0"/>
              <w:bidi w:val="0"/>
              <w:adjustRightInd w:val="0"/>
              <w:snapToGrid w:val="0"/>
              <w:spacing w:before="0" w:beforeLines="0" w:afterAutospacing="0" w:line="560" w:lineRule="exact"/>
              <w:ind w:left="0" w:leftChars="0" w:firstLine="560" w:firstLineChars="200"/>
              <w:jc w:val="center"/>
              <w:textAlignment w:val="auto"/>
              <w:rPr>
                <w:rFonts w:hint="eastAsia" w:asciiTheme="minorEastAsia" w:hAnsiTheme="minorEastAsia" w:eastAsiaTheme="minorEastAsia" w:cstheme="minorEastAsia"/>
                <w:color w:val="000000" w:themeColor="text1"/>
                <w:kern w:val="2"/>
                <w:sz w:val="28"/>
                <w:szCs w:val="28"/>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型号</w:t>
            </w:r>
          </w:p>
        </w:tc>
        <w:tc>
          <w:tcPr>
            <w:tcW w:w="1217" w:type="dxa"/>
            <w:vAlign w:val="center"/>
          </w:tcPr>
          <w:p w14:paraId="125A7EBA">
            <w:pPr>
              <w:pageBreakBefore w:val="0"/>
              <w:numPr>
                <w:ilvl w:val="-1"/>
                <w:numId w:val="0"/>
              </w:numPr>
              <w:kinsoku/>
              <w:wordWrap/>
              <w:overflowPunct/>
              <w:topLinePunct w:val="0"/>
              <w:bidi w:val="0"/>
              <w:adjustRightInd w:val="0"/>
              <w:snapToGrid w:val="0"/>
              <w:spacing w:before="0" w:beforeLines="0" w:afterAutospacing="0" w:line="560" w:lineRule="exact"/>
              <w:ind w:left="0" w:leftChars="0" w:firstLine="0" w:firstLineChars="0"/>
              <w:jc w:val="center"/>
              <w:textAlignment w:val="auto"/>
              <w:rPr>
                <w:rFonts w:hint="eastAsia" w:asciiTheme="minorEastAsia" w:hAnsiTheme="minorEastAsia" w:eastAsiaTheme="minorEastAsia" w:cstheme="minorEastAsia"/>
                <w:color w:val="000000" w:themeColor="text1"/>
                <w:kern w:val="2"/>
                <w:sz w:val="28"/>
                <w:szCs w:val="28"/>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生产厂家</w:t>
            </w:r>
          </w:p>
        </w:tc>
        <w:tc>
          <w:tcPr>
            <w:tcW w:w="1217" w:type="dxa"/>
            <w:vAlign w:val="center"/>
          </w:tcPr>
          <w:p w14:paraId="7CB30DF1">
            <w:pPr>
              <w:pageBreakBefore w:val="0"/>
              <w:numPr>
                <w:ilvl w:val="-1"/>
                <w:numId w:val="0"/>
              </w:numPr>
              <w:kinsoku/>
              <w:wordWrap/>
              <w:overflowPunct/>
              <w:topLinePunct w:val="0"/>
              <w:bidi w:val="0"/>
              <w:adjustRightInd w:val="0"/>
              <w:snapToGrid w:val="0"/>
              <w:spacing w:before="0" w:beforeLines="0" w:afterAutospacing="0" w:line="560" w:lineRule="exact"/>
              <w:ind w:left="0" w:leftChars="0" w:firstLine="0" w:firstLineChars="0"/>
              <w:jc w:val="center"/>
              <w:textAlignment w:val="auto"/>
              <w:rPr>
                <w:rFonts w:hint="eastAsia" w:asciiTheme="minorEastAsia" w:hAnsiTheme="minorEastAsia" w:eastAsiaTheme="minorEastAsia" w:cstheme="minorEastAsia"/>
                <w:color w:val="000000" w:themeColor="text1"/>
                <w:kern w:val="2"/>
                <w:sz w:val="28"/>
                <w:szCs w:val="28"/>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注册证号</w:t>
            </w:r>
          </w:p>
        </w:tc>
        <w:tc>
          <w:tcPr>
            <w:tcW w:w="1218" w:type="dxa"/>
            <w:vAlign w:val="center"/>
          </w:tcPr>
          <w:p w14:paraId="5867B5AC">
            <w:pPr>
              <w:pageBreakBefore w:val="0"/>
              <w:numPr>
                <w:ilvl w:val="-1"/>
                <w:numId w:val="0"/>
              </w:numPr>
              <w:kinsoku/>
              <w:wordWrap/>
              <w:overflowPunct/>
              <w:topLinePunct w:val="0"/>
              <w:bidi w:val="0"/>
              <w:adjustRightInd w:val="0"/>
              <w:snapToGrid w:val="0"/>
              <w:spacing w:before="0" w:beforeLines="0" w:afterAutospacing="0" w:line="560" w:lineRule="exact"/>
              <w:ind w:left="0" w:leftChars="0" w:firstLine="0" w:firstLineChars="0"/>
              <w:jc w:val="center"/>
              <w:textAlignment w:val="auto"/>
              <w:rPr>
                <w:rFonts w:hint="eastAsia" w:asciiTheme="minorEastAsia" w:hAnsiTheme="minorEastAsia" w:eastAsiaTheme="minorEastAsia" w:cstheme="minorEastAsia"/>
                <w:color w:val="000000" w:themeColor="text1"/>
                <w:kern w:val="2"/>
                <w:sz w:val="28"/>
                <w:szCs w:val="28"/>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数量</w:t>
            </w:r>
          </w:p>
        </w:tc>
        <w:tc>
          <w:tcPr>
            <w:tcW w:w="1218" w:type="dxa"/>
            <w:vAlign w:val="center"/>
          </w:tcPr>
          <w:p w14:paraId="6C101C81">
            <w:pPr>
              <w:pageBreakBefore w:val="0"/>
              <w:numPr>
                <w:ilvl w:val="-1"/>
                <w:numId w:val="0"/>
              </w:numPr>
              <w:kinsoku/>
              <w:wordWrap/>
              <w:overflowPunct/>
              <w:topLinePunct w:val="0"/>
              <w:bidi w:val="0"/>
              <w:adjustRightInd w:val="0"/>
              <w:snapToGrid w:val="0"/>
              <w:spacing w:before="0" w:beforeLines="0" w:afterAutospacing="0" w:line="560" w:lineRule="exact"/>
              <w:ind w:left="0" w:leftChars="0" w:firstLine="0" w:firstLineChars="0"/>
              <w:jc w:val="center"/>
              <w:textAlignment w:val="auto"/>
              <w:rPr>
                <w:rFonts w:hint="eastAsia" w:asciiTheme="minorEastAsia" w:hAnsiTheme="minorEastAsia" w:eastAsiaTheme="minorEastAsia" w:cstheme="minorEastAsia"/>
                <w:color w:val="000000" w:themeColor="text1"/>
                <w:kern w:val="2"/>
                <w:sz w:val="28"/>
                <w:szCs w:val="28"/>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单价</w:t>
            </w:r>
          </w:p>
        </w:tc>
        <w:tc>
          <w:tcPr>
            <w:tcW w:w="1218" w:type="dxa"/>
            <w:vAlign w:val="center"/>
          </w:tcPr>
          <w:p w14:paraId="73D3DF67">
            <w:pPr>
              <w:pageBreakBefore w:val="0"/>
              <w:numPr>
                <w:ilvl w:val="-1"/>
                <w:numId w:val="0"/>
              </w:numPr>
              <w:kinsoku/>
              <w:wordWrap/>
              <w:overflowPunct/>
              <w:topLinePunct w:val="0"/>
              <w:bidi w:val="0"/>
              <w:adjustRightInd w:val="0"/>
              <w:snapToGrid w:val="0"/>
              <w:spacing w:before="0" w:beforeLines="0" w:afterAutospacing="0" w:line="560" w:lineRule="exact"/>
              <w:ind w:left="0" w:leftChars="0" w:firstLine="0" w:firstLineChars="0"/>
              <w:jc w:val="center"/>
              <w:textAlignment w:val="auto"/>
              <w:rPr>
                <w:rFonts w:hint="eastAsia" w:asciiTheme="minorEastAsia" w:hAnsiTheme="minorEastAsia" w:eastAsiaTheme="minorEastAsia" w:cstheme="minorEastAsia"/>
                <w:color w:val="000000" w:themeColor="text1"/>
                <w:kern w:val="2"/>
                <w:sz w:val="28"/>
                <w:szCs w:val="28"/>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合计</w:t>
            </w:r>
          </w:p>
        </w:tc>
      </w:tr>
      <w:tr w14:paraId="39433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Align w:val="center"/>
          </w:tcPr>
          <w:p w14:paraId="6A01F329">
            <w:pPr>
              <w:pStyle w:val="171"/>
              <w:pageBreakBefore w:val="0"/>
              <w:widowControl w:val="0"/>
              <w:kinsoku/>
              <w:wordWrap/>
              <w:overflowPunct/>
              <w:topLinePunct w:val="0"/>
              <w:bidi w:val="0"/>
              <w:spacing w:afterAutospacing="0" w:line="560" w:lineRule="exact"/>
              <w:ind w:firstLine="560" w:firstLineChars="200"/>
              <w:jc w:val="center"/>
              <w:textAlignment w:val="auto"/>
              <w:rPr>
                <w:rFonts w:hint="eastAsia" w:asciiTheme="minorEastAsia" w:hAnsiTheme="minorEastAsia" w:eastAsiaTheme="minorEastAsia" w:cstheme="minorEastAsia"/>
                <w:color w:val="000000" w:themeColor="text1"/>
                <w:sz w:val="28"/>
                <w:szCs w:val="28"/>
                <w:highlight w:val="none"/>
                <w:vertAlign w:val="baseline"/>
                <w:lang w:val="en-US" w:eastAsia="zh-CN" w:bidi="ar-SA"/>
                <w14:textFill>
                  <w14:solidFill>
                    <w14:schemeClr w14:val="tx1"/>
                  </w14:solidFill>
                </w14:textFill>
              </w:rPr>
            </w:pPr>
          </w:p>
        </w:tc>
        <w:tc>
          <w:tcPr>
            <w:tcW w:w="1217" w:type="dxa"/>
            <w:vAlign w:val="center"/>
          </w:tcPr>
          <w:p w14:paraId="7010919D">
            <w:pPr>
              <w:pStyle w:val="171"/>
              <w:pageBreakBefore w:val="0"/>
              <w:widowControl w:val="0"/>
              <w:kinsoku/>
              <w:wordWrap/>
              <w:overflowPunct/>
              <w:topLinePunct w:val="0"/>
              <w:bidi w:val="0"/>
              <w:spacing w:afterAutospacing="0" w:line="560" w:lineRule="exact"/>
              <w:ind w:firstLine="560" w:firstLineChars="200"/>
              <w:jc w:val="center"/>
              <w:textAlignment w:val="auto"/>
              <w:rPr>
                <w:rFonts w:hint="eastAsia" w:asciiTheme="minorEastAsia" w:hAnsiTheme="minorEastAsia" w:eastAsiaTheme="minorEastAsia" w:cstheme="minorEastAsia"/>
                <w:color w:val="000000" w:themeColor="text1"/>
                <w:sz w:val="28"/>
                <w:szCs w:val="28"/>
                <w:highlight w:val="none"/>
                <w:vertAlign w:val="baseline"/>
                <w:lang w:val="en-US" w:eastAsia="zh-CN" w:bidi="ar-SA"/>
                <w14:textFill>
                  <w14:solidFill>
                    <w14:schemeClr w14:val="tx1"/>
                  </w14:solidFill>
                </w14:textFill>
              </w:rPr>
            </w:pPr>
          </w:p>
        </w:tc>
        <w:tc>
          <w:tcPr>
            <w:tcW w:w="1217" w:type="dxa"/>
            <w:vAlign w:val="center"/>
          </w:tcPr>
          <w:p w14:paraId="33B4527B">
            <w:pPr>
              <w:pStyle w:val="171"/>
              <w:pageBreakBefore w:val="0"/>
              <w:widowControl w:val="0"/>
              <w:kinsoku/>
              <w:wordWrap/>
              <w:overflowPunct/>
              <w:topLinePunct w:val="0"/>
              <w:bidi w:val="0"/>
              <w:spacing w:afterAutospacing="0" w:line="560" w:lineRule="exact"/>
              <w:ind w:firstLine="560" w:firstLineChars="200"/>
              <w:jc w:val="center"/>
              <w:textAlignment w:val="auto"/>
              <w:rPr>
                <w:rFonts w:hint="eastAsia" w:asciiTheme="minorEastAsia" w:hAnsiTheme="minorEastAsia" w:eastAsiaTheme="minorEastAsia" w:cstheme="minorEastAsia"/>
                <w:color w:val="000000" w:themeColor="text1"/>
                <w:sz w:val="28"/>
                <w:szCs w:val="28"/>
                <w:highlight w:val="none"/>
                <w:vertAlign w:val="baseline"/>
                <w:lang w:val="en-US" w:eastAsia="zh-CN" w:bidi="ar-SA"/>
                <w14:textFill>
                  <w14:solidFill>
                    <w14:schemeClr w14:val="tx1"/>
                  </w14:solidFill>
                </w14:textFill>
              </w:rPr>
            </w:pPr>
          </w:p>
        </w:tc>
        <w:tc>
          <w:tcPr>
            <w:tcW w:w="1217" w:type="dxa"/>
            <w:vAlign w:val="center"/>
          </w:tcPr>
          <w:p w14:paraId="317434D6">
            <w:pPr>
              <w:pStyle w:val="171"/>
              <w:pageBreakBefore w:val="0"/>
              <w:widowControl w:val="0"/>
              <w:kinsoku/>
              <w:wordWrap/>
              <w:overflowPunct/>
              <w:topLinePunct w:val="0"/>
              <w:bidi w:val="0"/>
              <w:spacing w:afterAutospacing="0" w:line="560" w:lineRule="exact"/>
              <w:ind w:firstLine="560" w:firstLineChars="200"/>
              <w:jc w:val="center"/>
              <w:textAlignment w:val="auto"/>
              <w:rPr>
                <w:rFonts w:hint="eastAsia" w:asciiTheme="minorEastAsia" w:hAnsiTheme="minorEastAsia" w:eastAsiaTheme="minorEastAsia" w:cstheme="minorEastAsia"/>
                <w:color w:val="000000" w:themeColor="text1"/>
                <w:sz w:val="28"/>
                <w:szCs w:val="28"/>
                <w:highlight w:val="none"/>
                <w:vertAlign w:val="baseline"/>
                <w:lang w:val="en-US" w:eastAsia="zh-CN" w:bidi="ar-SA"/>
                <w14:textFill>
                  <w14:solidFill>
                    <w14:schemeClr w14:val="tx1"/>
                  </w14:solidFill>
                </w14:textFill>
              </w:rPr>
            </w:pPr>
          </w:p>
        </w:tc>
        <w:tc>
          <w:tcPr>
            <w:tcW w:w="1218" w:type="dxa"/>
            <w:vAlign w:val="center"/>
          </w:tcPr>
          <w:p w14:paraId="0D512CA7">
            <w:pPr>
              <w:pStyle w:val="171"/>
              <w:pageBreakBefore w:val="0"/>
              <w:widowControl w:val="0"/>
              <w:kinsoku/>
              <w:wordWrap/>
              <w:overflowPunct/>
              <w:topLinePunct w:val="0"/>
              <w:bidi w:val="0"/>
              <w:spacing w:afterAutospacing="0" w:line="560" w:lineRule="exact"/>
              <w:ind w:firstLine="560" w:firstLineChars="200"/>
              <w:jc w:val="center"/>
              <w:textAlignment w:val="auto"/>
              <w:rPr>
                <w:rFonts w:hint="eastAsia" w:asciiTheme="minorEastAsia" w:hAnsiTheme="minorEastAsia" w:eastAsiaTheme="minorEastAsia" w:cstheme="minorEastAsia"/>
                <w:color w:val="000000" w:themeColor="text1"/>
                <w:sz w:val="28"/>
                <w:szCs w:val="28"/>
                <w:highlight w:val="none"/>
                <w:vertAlign w:val="baseline"/>
                <w:lang w:val="en-US" w:eastAsia="zh-CN" w:bidi="ar-SA"/>
                <w14:textFill>
                  <w14:solidFill>
                    <w14:schemeClr w14:val="tx1"/>
                  </w14:solidFill>
                </w14:textFill>
              </w:rPr>
            </w:pPr>
          </w:p>
        </w:tc>
        <w:tc>
          <w:tcPr>
            <w:tcW w:w="1218" w:type="dxa"/>
            <w:vAlign w:val="center"/>
          </w:tcPr>
          <w:p w14:paraId="7C62FB98">
            <w:pPr>
              <w:pStyle w:val="171"/>
              <w:pageBreakBefore w:val="0"/>
              <w:widowControl w:val="0"/>
              <w:kinsoku/>
              <w:wordWrap/>
              <w:overflowPunct/>
              <w:topLinePunct w:val="0"/>
              <w:bidi w:val="0"/>
              <w:spacing w:afterAutospacing="0" w:line="560" w:lineRule="exact"/>
              <w:ind w:firstLine="560" w:firstLineChars="200"/>
              <w:jc w:val="center"/>
              <w:textAlignment w:val="auto"/>
              <w:rPr>
                <w:rFonts w:hint="eastAsia" w:asciiTheme="minorEastAsia" w:hAnsiTheme="minorEastAsia" w:eastAsiaTheme="minorEastAsia" w:cstheme="minorEastAsia"/>
                <w:color w:val="000000" w:themeColor="text1"/>
                <w:sz w:val="28"/>
                <w:szCs w:val="28"/>
                <w:highlight w:val="none"/>
                <w:vertAlign w:val="baseline"/>
                <w:lang w:val="en-US" w:eastAsia="zh-CN" w:bidi="ar-SA"/>
                <w14:textFill>
                  <w14:solidFill>
                    <w14:schemeClr w14:val="tx1"/>
                  </w14:solidFill>
                </w14:textFill>
              </w:rPr>
            </w:pPr>
          </w:p>
        </w:tc>
        <w:tc>
          <w:tcPr>
            <w:tcW w:w="1218" w:type="dxa"/>
            <w:vAlign w:val="center"/>
          </w:tcPr>
          <w:p w14:paraId="7976D587">
            <w:pPr>
              <w:pStyle w:val="171"/>
              <w:pageBreakBefore w:val="0"/>
              <w:widowControl w:val="0"/>
              <w:kinsoku/>
              <w:wordWrap/>
              <w:overflowPunct/>
              <w:topLinePunct w:val="0"/>
              <w:bidi w:val="0"/>
              <w:spacing w:afterAutospacing="0" w:line="560" w:lineRule="exact"/>
              <w:ind w:firstLine="560" w:firstLineChars="200"/>
              <w:jc w:val="center"/>
              <w:textAlignment w:val="auto"/>
              <w:rPr>
                <w:rFonts w:hint="eastAsia" w:asciiTheme="minorEastAsia" w:hAnsiTheme="minorEastAsia" w:eastAsiaTheme="minorEastAsia" w:cstheme="minorEastAsia"/>
                <w:color w:val="000000" w:themeColor="text1"/>
                <w:sz w:val="28"/>
                <w:szCs w:val="28"/>
                <w:highlight w:val="none"/>
                <w:vertAlign w:val="baseline"/>
                <w:lang w:val="en-US" w:eastAsia="zh-CN" w:bidi="ar-SA"/>
                <w14:textFill>
                  <w14:solidFill>
                    <w14:schemeClr w14:val="tx1"/>
                  </w14:solidFill>
                </w14:textFill>
              </w:rPr>
            </w:pPr>
          </w:p>
        </w:tc>
      </w:tr>
    </w:tbl>
    <w:p w14:paraId="6D617B94">
      <w:pPr>
        <w:pStyle w:val="171"/>
        <w:pageBreakBefore w:val="0"/>
        <w:numPr>
          <w:ilvl w:val="-1"/>
          <w:numId w:val="0"/>
        </w:numPr>
        <w:kinsoku/>
        <w:wordWrap/>
        <w:overflowPunct/>
        <w:topLinePunct w:val="0"/>
        <w:bidi w:val="0"/>
        <w:adjustRightInd w:val="0"/>
        <w:snapToGrid w:val="0"/>
        <w:spacing w:before="0" w:beforeLines="0" w:afterAutospacing="0" w:line="560" w:lineRule="exact"/>
        <w:ind w:left="0" w:firstLine="420" w:firstLineChars="0"/>
        <w:textAlignment w:val="auto"/>
        <w:rPr>
          <w:rFonts w:hint="eastAsia" w:asciiTheme="minorEastAsia" w:hAnsiTheme="minorEastAsia" w:eastAsiaTheme="minorEastAsia" w:cstheme="minorEastAsia"/>
          <w:iCs w:val="0"/>
          <w:color w:val="000000" w:themeColor="text1"/>
          <w:sz w:val="28"/>
          <w:szCs w:val="28"/>
          <w:highlight w:val="none"/>
          <w:lang w:eastAsia="zh-CN"/>
          <w14:textFill>
            <w14:solidFill>
              <w14:schemeClr w14:val="tx1"/>
            </w14:solidFill>
          </w14:textFill>
        </w:rPr>
      </w:pPr>
      <w:r>
        <w:rPr>
          <w:rFonts w:hint="eastAsia" w:asciiTheme="minorEastAsia" w:hAnsiTheme="minorEastAsia" w:eastAsiaTheme="minorEastAsia" w:cstheme="minorEastAsia"/>
          <w:iCs w:val="0"/>
          <w:color w:val="000000" w:themeColor="text1"/>
          <w:sz w:val="28"/>
          <w:szCs w:val="28"/>
          <w:highlight w:val="none"/>
          <w:lang w:val="en-US" w:eastAsia="zh-CN"/>
          <w14:textFill>
            <w14:solidFill>
              <w14:schemeClr w14:val="tx1"/>
            </w14:solidFill>
          </w14:textFill>
        </w:rPr>
        <w:t>（3）采购方式：</w:t>
      </w:r>
      <w:r>
        <w:rPr>
          <w:rFonts w:hint="eastAsia" w:asciiTheme="minorEastAsia" w:hAnsiTheme="minorEastAsia" w:eastAsiaTheme="minorEastAsia" w:cstheme="minorEastAsia"/>
          <w:iCs w:val="0"/>
          <w:color w:val="000000" w:themeColor="text1"/>
          <w:sz w:val="28"/>
          <w:szCs w:val="28"/>
          <w:highlight w:val="none"/>
          <w14:textFill>
            <w14:solidFill>
              <w14:schemeClr w14:val="tx1"/>
            </w14:solidFill>
          </w14:textFill>
        </w:rPr>
        <w:sym w:font="Wingdings" w:char="00FE"/>
      </w:r>
      <w:r>
        <w:rPr>
          <w:rFonts w:hint="eastAsia" w:asciiTheme="minorEastAsia" w:hAnsiTheme="minorEastAsia" w:eastAsiaTheme="minorEastAsia" w:cstheme="minorEastAsia"/>
          <w:iCs w:val="0"/>
          <w:color w:val="000000" w:themeColor="text1"/>
          <w:sz w:val="28"/>
          <w:szCs w:val="28"/>
          <w:highlight w:val="none"/>
          <w:lang w:eastAsia="zh-CN"/>
          <w14:textFill>
            <w14:solidFill>
              <w14:schemeClr w14:val="tx1"/>
            </w14:solidFill>
          </w14:textFill>
        </w:rPr>
        <w:t>公开招标</w:t>
      </w:r>
      <w:r>
        <w:rPr>
          <w:rFonts w:hint="eastAsia" w:asciiTheme="minorEastAsia" w:hAnsiTheme="minorEastAsia" w:eastAsiaTheme="minorEastAsia" w:cstheme="minorEastAsia"/>
          <w:iCs w:val="0"/>
          <w:color w:val="000000" w:themeColor="text1"/>
          <w:sz w:val="28"/>
          <w:szCs w:val="28"/>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iCs w:val="0"/>
          <w:color w:val="000000" w:themeColor="text1"/>
          <w:sz w:val="28"/>
          <w:szCs w:val="28"/>
          <w:highlight w:val="none"/>
          <w14:textFill>
            <w14:solidFill>
              <w14:schemeClr w14:val="tx1"/>
            </w14:solidFill>
          </w14:textFill>
        </w:rPr>
        <w:sym w:font="Wingdings" w:char="00A8"/>
      </w:r>
      <w:r>
        <w:rPr>
          <w:rFonts w:hint="eastAsia" w:asciiTheme="minorEastAsia" w:hAnsiTheme="minorEastAsia" w:eastAsiaTheme="minorEastAsia" w:cstheme="minorEastAsia"/>
          <w:iCs w:val="0"/>
          <w:color w:val="000000" w:themeColor="text1"/>
          <w:sz w:val="28"/>
          <w:szCs w:val="28"/>
          <w:highlight w:val="none"/>
          <w:lang w:eastAsia="zh-CN"/>
          <w14:textFill>
            <w14:solidFill>
              <w14:schemeClr w14:val="tx1"/>
            </w14:solidFill>
          </w14:textFill>
        </w:rPr>
        <w:t>邀请招标</w:t>
      </w:r>
      <w:r>
        <w:rPr>
          <w:rFonts w:hint="eastAsia" w:asciiTheme="minorEastAsia" w:hAnsiTheme="minorEastAsia" w:eastAsiaTheme="minorEastAsia" w:cstheme="minorEastAsia"/>
          <w:iCs w:val="0"/>
          <w:color w:val="000000" w:themeColor="text1"/>
          <w:sz w:val="28"/>
          <w:szCs w:val="28"/>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iCs w:val="0"/>
          <w:color w:val="000000" w:themeColor="text1"/>
          <w:sz w:val="28"/>
          <w:szCs w:val="28"/>
          <w:highlight w:val="none"/>
          <w14:textFill>
            <w14:solidFill>
              <w14:schemeClr w14:val="tx1"/>
            </w14:solidFill>
          </w14:textFill>
        </w:rPr>
        <w:sym w:font="Wingdings" w:char="00A8"/>
      </w:r>
      <w:r>
        <w:rPr>
          <w:rFonts w:hint="eastAsia" w:asciiTheme="minorEastAsia" w:hAnsiTheme="minorEastAsia" w:eastAsiaTheme="minorEastAsia" w:cstheme="minorEastAsia"/>
          <w:iCs w:val="0"/>
          <w:color w:val="000000" w:themeColor="text1"/>
          <w:sz w:val="28"/>
          <w:szCs w:val="28"/>
          <w:highlight w:val="none"/>
          <w:lang w:eastAsia="zh-CN"/>
          <w14:textFill>
            <w14:solidFill>
              <w14:schemeClr w14:val="tx1"/>
            </w14:solidFill>
          </w14:textFill>
        </w:rPr>
        <w:t>竞争性谈判</w:t>
      </w:r>
      <w:r>
        <w:rPr>
          <w:rFonts w:hint="eastAsia" w:asciiTheme="minorEastAsia" w:hAnsiTheme="minorEastAsia" w:eastAsiaTheme="minorEastAsia" w:cstheme="minorEastAsia"/>
          <w:iCs w:val="0"/>
          <w:color w:val="000000" w:themeColor="text1"/>
          <w:sz w:val="28"/>
          <w:szCs w:val="28"/>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iCs w:val="0"/>
          <w:color w:val="000000" w:themeColor="text1"/>
          <w:sz w:val="28"/>
          <w:szCs w:val="28"/>
          <w:highlight w:val="none"/>
          <w14:textFill>
            <w14:solidFill>
              <w14:schemeClr w14:val="tx1"/>
            </w14:solidFill>
          </w14:textFill>
        </w:rPr>
        <w:sym w:font="Wingdings" w:char="00A8"/>
      </w:r>
      <w:r>
        <w:rPr>
          <w:rFonts w:hint="eastAsia" w:asciiTheme="minorEastAsia" w:hAnsiTheme="minorEastAsia" w:eastAsiaTheme="minorEastAsia" w:cstheme="minorEastAsia"/>
          <w:iCs w:val="0"/>
          <w:color w:val="000000" w:themeColor="text1"/>
          <w:sz w:val="28"/>
          <w:szCs w:val="28"/>
          <w:highlight w:val="none"/>
          <w:lang w:eastAsia="zh-CN"/>
          <w14:textFill>
            <w14:solidFill>
              <w14:schemeClr w14:val="tx1"/>
            </w14:solidFill>
          </w14:textFill>
        </w:rPr>
        <w:t>竞争性磋商</w:t>
      </w:r>
    </w:p>
    <w:p w14:paraId="0E5DA088">
      <w:pPr>
        <w:pStyle w:val="171"/>
        <w:pageBreakBefore w:val="0"/>
        <w:numPr>
          <w:ilvl w:val="-1"/>
          <w:numId w:val="0"/>
        </w:numPr>
        <w:kinsoku/>
        <w:wordWrap/>
        <w:overflowPunct/>
        <w:topLinePunct w:val="0"/>
        <w:bidi w:val="0"/>
        <w:adjustRightInd w:val="0"/>
        <w:snapToGrid w:val="0"/>
        <w:spacing w:before="0" w:beforeLines="0" w:afterAutospacing="0" w:line="560" w:lineRule="exact"/>
        <w:ind w:left="0" w:firstLine="420" w:firstLineChars="0"/>
        <w:textAlignment w:val="auto"/>
        <w:rPr>
          <w:rFonts w:hint="eastAsia" w:asciiTheme="minorEastAsia" w:hAnsiTheme="minorEastAsia" w:eastAsiaTheme="minorEastAsia" w:cstheme="minorEastAsia"/>
          <w:iCs w:val="0"/>
          <w:color w:val="000000" w:themeColor="text1"/>
          <w:sz w:val="28"/>
          <w:szCs w:val="28"/>
          <w:highlight w:val="none"/>
          <w:u w:val="singl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u w:val="none"/>
          <w:lang w:val="en-US" w:eastAsia="zh-CN"/>
          <w14:textFill>
            <w14:solidFill>
              <w14:schemeClr w14:val="tx1"/>
            </w14:solidFill>
          </w14:textFill>
        </w:rPr>
        <w:t xml:space="preserve">                  </w:t>
      </w:r>
      <w:r>
        <w:rPr>
          <w:rFonts w:hint="eastAsia" w:asciiTheme="minorEastAsia" w:hAnsiTheme="minorEastAsia" w:eastAsiaTheme="minorEastAsia" w:cstheme="minorEastAsia"/>
          <w:iCs w:val="0"/>
          <w:color w:val="000000" w:themeColor="text1"/>
          <w:sz w:val="28"/>
          <w:szCs w:val="28"/>
          <w:highlight w:val="none"/>
          <w14:textFill>
            <w14:solidFill>
              <w14:schemeClr w14:val="tx1"/>
            </w14:solidFill>
          </w14:textFill>
        </w:rPr>
        <w:sym w:font="Wingdings" w:char="00A8"/>
      </w:r>
      <w:r>
        <w:rPr>
          <w:rFonts w:hint="eastAsia" w:asciiTheme="minorEastAsia" w:hAnsiTheme="minorEastAsia" w:eastAsiaTheme="minorEastAsia" w:cstheme="minorEastAsia"/>
          <w:iCs w:val="0"/>
          <w:color w:val="000000" w:themeColor="text1"/>
          <w:sz w:val="28"/>
          <w:szCs w:val="28"/>
          <w:highlight w:val="none"/>
          <w:lang w:eastAsia="zh-CN"/>
          <w14:textFill>
            <w14:solidFill>
              <w14:schemeClr w14:val="tx1"/>
            </w14:solidFill>
          </w14:textFill>
        </w:rPr>
        <w:t>询价</w:t>
      </w:r>
      <w:r>
        <w:rPr>
          <w:rFonts w:hint="eastAsia" w:asciiTheme="minorEastAsia" w:hAnsiTheme="minorEastAsia" w:eastAsiaTheme="minorEastAsia" w:cstheme="minorEastAsia"/>
          <w:iCs w:val="0"/>
          <w:color w:val="000000" w:themeColor="text1"/>
          <w:sz w:val="28"/>
          <w:szCs w:val="28"/>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iCs w:val="0"/>
          <w:color w:val="000000" w:themeColor="text1"/>
          <w:sz w:val="28"/>
          <w:szCs w:val="28"/>
          <w:highlight w:val="none"/>
          <w14:textFill>
            <w14:solidFill>
              <w14:schemeClr w14:val="tx1"/>
            </w14:solidFill>
          </w14:textFill>
        </w:rPr>
        <w:sym w:font="Wingdings" w:char="00A8"/>
      </w:r>
      <w:r>
        <w:rPr>
          <w:rFonts w:hint="eastAsia" w:asciiTheme="minorEastAsia" w:hAnsiTheme="minorEastAsia" w:eastAsiaTheme="minorEastAsia" w:cstheme="minorEastAsia"/>
          <w:iCs w:val="0"/>
          <w:color w:val="000000" w:themeColor="text1"/>
          <w:sz w:val="28"/>
          <w:szCs w:val="28"/>
          <w:highlight w:val="none"/>
          <w:lang w:eastAsia="zh-CN"/>
          <w14:textFill>
            <w14:solidFill>
              <w14:schemeClr w14:val="tx1"/>
            </w14:solidFill>
          </w14:textFill>
        </w:rPr>
        <w:t>单一来源</w:t>
      </w:r>
      <w:r>
        <w:rPr>
          <w:rFonts w:hint="eastAsia" w:asciiTheme="minorEastAsia" w:hAnsiTheme="minorEastAsia" w:eastAsiaTheme="minorEastAsia" w:cstheme="minorEastAsia"/>
          <w:iCs w:val="0"/>
          <w:color w:val="000000" w:themeColor="text1"/>
          <w:sz w:val="28"/>
          <w:szCs w:val="28"/>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iCs w:val="0"/>
          <w:color w:val="000000" w:themeColor="text1"/>
          <w:sz w:val="28"/>
          <w:szCs w:val="28"/>
          <w:highlight w:val="none"/>
          <w14:textFill>
            <w14:solidFill>
              <w14:schemeClr w14:val="tx1"/>
            </w14:solidFill>
          </w14:textFill>
        </w:rPr>
        <w:sym w:font="Wingdings" w:char="00A8"/>
      </w:r>
      <w:r>
        <w:rPr>
          <w:rFonts w:hint="eastAsia" w:asciiTheme="minorEastAsia" w:hAnsiTheme="minorEastAsia" w:eastAsiaTheme="minorEastAsia" w:cstheme="minorEastAsia"/>
          <w:iCs w:val="0"/>
          <w:color w:val="000000" w:themeColor="text1"/>
          <w:sz w:val="28"/>
          <w:szCs w:val="28"/>
          <w:highlight w:val="none"/>
          <w:lang w:eastAsia="zh-CN"/>
          <w14:textFill>
            <w14:solidFill>
              <w14:schemeClr w14:val="tx1"/>
            </w14:solidFill>
          </w14:textFill>
        </w:rPr>
        <w:t>框架协议</w:t>
      </w:r>
      <w:r>
        <w:rPr>
          <w:rFonts w:hint="eastAsia" w:asciiTheme="minorEastAsia" w:hAnsiTheme="minorEastAsia" w:eastAsiaTheme="minorEastAsia" w:cstheme="minorEastAsia"/>
          <w:iCs w:val="0"/>
          <w:color w:val="000000" w:themeColor="text1"/>
          <w:sz w:val="28"/>
          <w:szCs w:val="28"/>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iCs w:val="0"/>
          <w:color w:val="000000" w:themeColor="text1"/>
          <w:sz w:val="28"/>
          <w:szCs w:val="28"/>
          <w:highlight w:val="none"/>
          <w14:textFill>
            <w14:solidFill>
              <w14:schemeClr w14:val="tx1"/>
            </w14:solidFill>
          </w14:textFill>
        </w:rPr>
        <w:sym w:font="Wingdings" w:char="00A8"/>
      </w:r>
      <w:r>
        <w:rPr>
          <w:rFonts w:hint="eastAsia" w:asciiTheme="minorEastAsia" w:hAnsiTheme="minorEastAsia" w:eastAsiaTheme="minorEastAsia" w:cstheme="minorEastAsia"/>
          <w:iCs w:val="0"/>
          <w:color w:val="000000" w:themeColor="text1"/>
          <w:sz w:val="28"/>
          <w:szCs w:val="28"/>
          <w:highlight w:val="none"/>
          <w:lang w:eastAsia="zh-CN"/>
          <w14:textFill>
            <w14:solidFill>
              <w14:schemeClr w14:val="tx1"/>
            </w14:solidFill>
          </w14:textFill>
        </w:rPr>
        <w:t>其他：</w:t>
      </w:r>
      <w:r>
        <w:rPr>
          <w:rFonts w:hint="eastAsia" w:asciiTheme="minorEastAsia" w:hAnsiTheme="minorEastAsia" w:eastAsiaTheme="minorEastAsia" w:cstheme="minorEastAsia"/>
          <w:iCs w:val="0"/>
          <w:color w:val="000000" w:themeColor="text1"/>
          <w:sz w:val="28"/>
          <w:szCs w:val="28"/>
          <w:highlight w:val="none"/>
          <w:u w:val="single"/>
          <w:lang w:val="en-US" w:eastAsia="zh-CN"/>
          <w14:textFill>
            <w14:solidFill>
              <w14:schemeClr w14:val="tx1"/>
            </w14:solidFill>
          </w14:textFill>
        </w:rPr>
        <w:t xml:space="preserve">          </w:t>
      </w:r>
    </w:p>
    <w:p w14:paraId="145A19AC">
      <w:pPr>
        <w:pStyle w:val="171"/>
        <w:pageBreakBefore w:val="0"/>
        <w:numPr>
          <w:ilvl w:val="-1"/>
          <w:numId w:val="0"/>
        </w:numPr>
        <w:kinsoku/>
        <w:wordWrap/>
        <w:overflowPunct/>
        <w:topLinePunct w:val="0"/>
        <w:bidi w:val="0"/>
        <w:adjustRightInd w:val="0"/>
        <w:snapToGrid w:val="0"/>
        <w:spacing w:before="0" w:beforeLines="0" w:afterAutospacing="0" w:line="560" w:lineRule="exact"/>
        <w:ind w:firstLine="560" w:firstLineChars="200"/>
        <w:textAlignment w:val="auto"/>
        <w:rPr>
          <w:rFonts w:hint="eastAsia" w:asciiTheme="minorEastAsia" w:hAnsiTheme="minorEastAsia" w:eastAsiaTheme="minorEastAsia" w:cstheme="minorEastAsia"/>
          <w:iCs w:val="0"/>
          <w:color w:val="000000" w:themeColor="text1"/>
          <w:sz w:val="28"/>
          <w:szCs w:val="28"/>
          <w:highlight w:val="none"/>
          <w:u w:val="single"/>
          <w:lang w:val="en-US" w:eastAsia="zh-CN"/>
          <w14:textFill>
            <w14:solidFill>
              <w14:schemeClr w14:val="tx1"/>
            </w14:solidFill>
          </w14:textFill>
        </w:rPr>
      </w:pPr>
      <w:r>
        <w:rPr>
          <w:rFonts w:hint="eastAsia" w:asciiTheme="minorEastAsia" w:hAnsiTheme="minorEastAsia" w:eastAsiaTheme="minorEastAsia" w:cstheme="minorEastAsia"/>
          <w:iCs w:val="0"/>
          <w:color w:val="000000" w:themeColor="text1"/>
          <w:sz w:val="28"/>
          <w:szCs w:val="28"/>
          <w:highlight w:val="none"/>
          <w:u w:val="none"/>
          <w:lang w:val="en-US" w:eastAsia="zh-CN"/>
          <w14:textFill>
            <w14:solidFill>
              <w14:schemeClr w14:val="tx1"/>
            </w14:solidFill>
          </w14:textFill>
        </w:rPr>
        <w:t>（4）交货期：</w:t>
      </w:r>
      <w:r>
        <w:rPr>
          <w:rFonts w:hint="eastAsia" w:asciiTheme="minorEastAsia" w:hAnsiTheme="minorEastAsia" w:eastAsiaTheme="minorEastAsia" w:cstheme="minorEastAsia"/>
          <w:iCs w:val="0"/>
          <w:color w:val="000000" w:themeColor="text1"/>
          <w:sz w:val="28"/>
          <w:szCs w:val="28"/>
          <w:highlight w:val="none"/>
          <w:u w:val="single"/>
          <w:lang w:val="en-US" w:eastAsia="zh-CN"/>
          <w14:textFill>
            <w14:solidFill>
              <w14:schemeClr w14:val="tx1"/>
            </w14:solidFill>
          </w14:textFill>
        </w:rPr>
        <w:t>自合同签订（成交通知书下发）之日起   日内完成项目最终验收。</w:t>
      </w:r>
    </w:p>
    <w:p w14:paraId="54DC2ACC">
      <w:pPr>
        <w:pageBreakBefore w:val="0"/>
        <w:numPr>
          <w:ilvl w:val="0"/>
          <w:numId w:val="4"/>
        </w:numPr>
        <w:kinsoku/>
        <w:wordWrap/>
        <w:overflowPunct/>
        <w:topLinePunct w:val="0"/>
        <w:bidi w:val="0"/>
        <w:adjustRightInd w:val="0"/>
        <w:snapToGrid w:val="0"/>
        <w:spacing w:before="0" w:beforeLines="0" w:afterAutospacing="0" w:line="560" w:lineRule="exact"/>
        <w:ind w:firstLine="562" w:firstLineChars="200"/>
        <w:textAlignment w:val="auto"/>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合同金额</w:t>
      </w:r>
    </w:p>
    <w:p w14:paraId="12DF691C">
      <w:pPr>
        <w:pageBreakBefore w:val="0"/>
        <w:kinsoku/>
        <w:wordWrap/>
        <w:overflowPunct/>
        <w:topLinePunct w:val="0"/>
        <w:bidi w:val="0"/>
        <w:adjustRightInd w:val="0"/>
        <w:snapToGrid w:val="0"/>
        <w:spacing w:before="0" w:beforeLines="0" w:afterAutospacing="0" w:line="560" w:lineRule="exact"/>
        <w:ind w:firstLine="560" w:firstLineChars="200"/>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（1）合同金额小写：</w:t>
      </w:r>
      <w: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t xml:space="preserve">      </w:t>
      </w:r>
    </w:p>
    <w:p w14:paraId="34DA31CC">
      <w:pPr>
        <w:pageBreakBefore w:val="0"/>
        <w:kinsoku/>
        <w:wordWrap/>
        <w:overflowPunct/>
        <w:topLinePunct w:val="0"/>
        <w:bidi w:val="0"/>
        <w:adjustRightInd w:val="0"/>
        <w:snapToGrid w:val="0"/>
        <w:spacing w:before="0" w:beforeLines="0" w:afterAutospacing="0" w:line="560" w:lineRule="exact"/>
        <w:ind w:left="0" w:firstLine="0" w:firstLineChars="0"/>
        <w:textAlignment w:val="auto"/>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大写：</w:t>
      </w:r>
      <w: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t xml:space="preserve">      </w:t>
      </w:r>
    </w:p>
    <w:p w14:paraId="3C9FB170">
      <w:pPr>
        <w:pageBreakBefore w:val="0"/>
        <w:kinsoku/>
        <w:wordWrap/>
        <w:overflowPunct/>
        <w:topLinePunct w:val="0"/>
        <w:bidi w:val="0"/>
        <w:adjustRightInd w:val="0"/>
        <w:snapToGrid w:val="0"/>
        <w:spacing w:before="0" w:beforeLines="0" w:afterAutospacing="0" w:line="560" w:lineRule="exact"/>
        <w:ind w:firstLine="0" w:firstLineChars="0"/>
        <w:textAlignment w:val="auto"/>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highlight w:val="none"/>
          <w:lang w:val="zh-CN" w:eastAsia="zh-CN"/>
          <w14:textFill>
            <w14:solidFill>
              <w14:schemeClr w14:val="tx1"/>
            </w14:solidFill>
          </w14:textFill>
        </w:rPr>
        <w:t>本合同总金额为含税价格，乙方因本合同而须支付的各项税费由乙方自行承担，不再向甲方收取。</w:t>
      </w:r>
    </w:p>
    <w:p w14:paraId="33200E69">
      <w:pPr>
        <w:pageBreakBefore w:val="0"/>
        <w:numPr>
          <w:ilvl w:val="-1"/>
          <w:numId w:val="0"/>
        </w:numPr>
        <w:kinsoku/>
        <w:wordWrap/>
        <w:overflowPunct/>
        <w:topLinePunct w:val="0"/>
        <w:bidi w:val="0"/>
        <w:adjustRightInd w:val="0"/>
        <w:snapToGrid w:val="0"/>
        <w:spacing w:before="0" w:beforeLines="0" w:afterAutospacing="0" w:line="560" w:lineRule="exact"/>
        <w:ind w:firstLine="0" w:firstLineChars="0"/>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合同定价方式</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（采用组合定价方式的，可以勾选多项）</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w:t>
      </w:r>
    </w:p>
    <w:p w14:paraId="436FA150">
      <w:pPr>
        <w:pageBreakBefore w:val="0"/>
        <w:kinsoku/>
        <w:wordWrap/>
        <w:overflowPunct/>
        <w:topLinePunct w:val="0"/>
        <w:bidi w:val="0"/>
        <w:adjustRightInd w:val="0"/>
        <w:snapToGrid w:val="0"/>
        <w:spacing w:before="0" w:beforeLines="0" w:afterAutospacing="0" w:line="560" w:lineRule="exact"/>
        <w:ind w:firstLine="560" w:firstLineChars="200"/>
        <w:textAlignment w:val="auto"/>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pPr>
      <w:r>
        <w:rPr>
          <w:rFonts w:hint="eastAsia" w:asciiTheme="minorEastAsia" w:hAnsiTheme="minorEastAsia" w:eastAsiaTheme="minorEastAsia" w:cstheme="minorEastAsia"/>
          <w:iCs/>
          <w:color w:val="000000" w:themeColor="text1"/>
          <w:sz w:val="28"/>
          <w:szCs w:val="28"/>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iCs/>
          <w:color w:val="000000" w:themeColor="text1"/>
          <w:sz w:val="28"/>
          <w:szCs w:val="28"/>
          <w:highlight w:val="none"/>
          <w14:textFill>
            <w14:solidFill>
              <w14:schemeClr w14:val="tx1"/>
            </w14:solidFill>
          </w14:textFill>
        </w:rPr>
        <w:sym w:font="Wingdings" w:char="00A8"/>
      </w:r>
      <w:r>
        <w:rPr>
          <w:rFonts w:hint="eastAsia" w:asciiTheme="minorEastAsia" w:hAnsiTheme="minorEastAsia" w:eastAsiaTheme="minorEastAsia" w:cstheme="minorEastAsia"/>
          <w:iCs/>
          <w:color w:val="000000" w:themeColor="text1"/>
          <w:sz w:val="28"/>
          <w:szCs w:val="28"/>
          <w:highlight w:val="none"/>
          <w14:textFill>
            <w14:solidFill>
              <w14:schemeClr w14:val="tx1"/>
            </w14:solidFill>
          </w14:textFill>
        </w:rPr>
        <w:t xml:space="preserve">固定总价 </w:t>
      </w:r>
      <w:r>
        <w:rPr>
          <w:rFonts w:hint="eastAsia" w:asciiTheme="minorEastAsia" w:hAnsiTheme="minorEastAsia" w:eastAsiaTheme="minorEastAsia" w:cstheme="minorEastAsia"/>
          <w:iCs/>
          <w:color w:val="000000" w:themeColor="text1"/>
          <w:sz w:val="28"/>
          <w:szCs w:val="28"/>
          <w:highlight w:val="none"/>
          <w14:textFill>
            <w14:solidFill>
              <w14:schemeClr w14:val="tx1"/>
            </w14:solidFill>
          </w14:textFill>
        </w:rPr>
        <w:sym w:font="Wingdings" w:char="00A8"/>
      </w:r>
      <w:r>
        <w:rPr>
          <w:rFonts w:hint="eastAsia" w:asciiTheme="minorEastAsia" w:hAnsiTheme="minorEastAsia" w:eastAsiaTheme="minorEastAsia" w:cstheme="minorEastAsia"/>
          <w:iCs/>
          <w:color w:val="000000" w:themeColor="text1"/>
          <w:sz w:val="28"/>
          <w:szCs w:val="28"/>
          <w:highlight w:val="none"/>
          <w14:textFill>
            <w14:solidFill>
              <w14:schemeClr w14:val="tx1"/>
            </w14:solidFill>
          </w14:textFill>
        </w:rPr>
        <w:t>固定单价</w:t>
      </w:r>
      <w:r>
        <w:rPr>
          <w:rFonts w:hint="eastAsia" w:asciiTheme="minorEastAsia" w:hAnsiTheme="minorEastAsia" w:eastAsiaTheme="minorEastAsia" w:cstheme="minorEastAsia"/>
          <w:iCs/>
          <w:color w:val="000000" w:themeColor="text1"/>
          <w:sz w:val="28"/>
          <w:szCs w:val="28"/>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iCs/>
          <w:color w:val="000000" w:themeColor="text1"/>
          <w:sz w:val="28"/>
          <w:szCs w:val="28"/>
          <w:highlight w:val="none"/>
          <w14:textFill>
            <w14:solidFill>
              <w14:schemeClr w14:val="tx1"/>
            </w14:solidFill>
          </w14:textFill>
        </w:rPr>
        <w:sym w:font="Wingdings" w:char="00A8"/>
      </w:r>
      <w:r>
        <w:rPr>
          <w:rFonts w:hint="eastAsia" w:asciiTheme="minorEastAsia" w:hAnsiTheme="minorEastAsia" w:eastAsiaTheme="minorEastAsia" w:cstheme="minorEastAsia"/>
          <w:iCs/>
          <w:color w:val="000000" w:themeColor="text1"/>
          <w:sz w:val="28"/>
          <w:szCs w:val="28"/>
          <w:highlight w:val="none"/>
          <w:lang w:eastAsia="zh-CN"/>
          <w14:textFill>
            <w14:solidFill>
              <w14:schemeClr w14:val="tx1"/>
            </w14:solidFill>
          </w14:textFill>
        </w:rPr>
        <w:t>固定费率</w:t>
      </w:r>
      <w:r>
        <w:rPr>
          <w:rFonts w:hint="eastAsia" w:asciiTheme="minorEastAsia" w:hAnsiTheme="minorEastAsia" w:eastAsiaTheme="minorEastAsia" w:cstheme="minorEastAsia"/>
          <w:iCs/>
          <w:color w:val="000000" w:themeColor="text1"/>
          <w:sz w:val="28"/>
          <w:szCs w:val="28"/>
          <w:highlight w:val="none"/>
          <w14:textFill>
            <w14:solidFill>
              <w14:schemeClr w14:val="tx1"/>
            </w14:solidFill>
          </w14:textFill>
        </w:rPr>
        <w:t xml:space="preserve"> </w:t>
      </w:r>
      <w:r>
        <w:rPr>
          <w:rFonts w:hint="eastAsia" w:asciiTheme="minorEastAsia" w:hAnsiTheme="minorEastAsia" w:eastAsiaTheme="minorEastAsia" w:cstheme="minorEastAsia"/>
          <w:iCs/>
          <w:color w:val="000000" w:themeColor="text1"/>
          <w:sz w:val="28"/>
          <w:szCs w:val="28"/>
          <w:highlight w:val="none"/>
          <w14:textFill>
            <w14:solidFill>
              <w14:schemeClr w14:val="tx1"/>
            </w14:solidFill>
          </w14:textFill>
        </w:rPr>
        <w:sym w:font="Wingdings" w:char="00A8"/>
      </w:r>
      <w:r>
        <w:rPr>
          <w:rFonts w:hint="eastAsia" w:asciiTheme="minorEastAsia" w:hAnsiTheme="minorEastAsia" w:eastAsiaTheme="minorEastAsia" w:cstheme="minorEastAsia"/>
          <w:iCs/>
          <w:color w:val="000000" w:themeColor="text1"/>
          <w:sz w:val="28"/>
          <w:szCs w:val="28"/>
          <w:highlight w:val="none"/>
          <w14:textFill>
            <w14:solidFill>
              <w14:schemeClr w14:val="tx1"/>
            </w14:solidFill>
          </w14:textFill>
        </w:rPr>
        <w:t xml:space="preserve">成本补偿 </w:t>
      </w:r>
      <w:r>
        <w:rPr>
          <w:rFonts w:hint="eastAsia" w:asciiTheme="minorEastAsia" w:hAnsiTheme="minorEastAsia" w:eastAsiaTheme="minorEastAsia" w:cstheme="minorEastAsia"/>
          <w:iCs/>
          <w:color w:val="000000" w:themeColor="text1"/>
          <w:sz w:val="28"/>
          <w:szCs w:val="28"/>
          <w:highlight w:val="none"/>
          <w14:textFill>
            <w14:solidFill>
              <w14:schemeClr w14:val="tx1"/>
            </w14:solidFill>
          </w14:textFill>
        </w:rPr>
        <w:sym w:font="Wingdings" w:char="00A8"/>
      </w:r>
      <w:r>
        <w:rPr>
          <w:rFonts w:hint="eastAsia" w:asciiTheme="minorEastAsia" w:hAnsiTheme="minorEastAsia" w:eastAsiaTheme="minorEastAsia" w:cstheme="minorEastAsia"/>
          <w:iCs/>
          <w:color w:val="000000" w:themeColor="text1"/>
          <w:sz w:val="28"/>
          <w:szCs w:val="28"/>
          <w:highlight w:val="none"/>
          <w14:textFill>
            <w14:solidFill>
              <w14:schemeClr w14:val="tx1"/>
            </w14:solidFill>
          </w14:textFill>
        </w:rPr>
        <w:t>绩效激励</w:t>
      </w:r>
      <w:r>
        <w:rPr>
          <w:rFonts w:hint="eastAsia" w:asciiTheme="minorEastAsia" w:hAnsiTheme="minorEastAsia" w:eastAsiaTheme="minorEastAsia" w:cstheme="minorEastAsia"/>
          <w:iCs/>
          <w:color w:val="000000" w:themeColor="text1"/>
          <w:sz w:val="28"/>
          <w:szCs w:val="28"/>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iCs/>
          <w:color w:val="000000" w:themeColor="text1"/>
          <w:sz w:val="28"/>
          <w:szCs w:val="28"/>
          <w:highlight w:val="none"/>
          <w14:textFill>
            <w14:solidFill>
              <w14:schemeClr w14:val="tx1"/>
            </w14:solidFill>
          </w14:textFill>
        </w:rPr>
        <w:sym w:font="Wingdings" w:char="00A8"/>
      </w:r>
      <w:r>
        <w:rPr>
          <w:rFonts w:hint="eastAsia" w:asciiTheme="minorEastAsia" w:hAnsiTheme="minorEastAsia" w:eastAsiaTheme="minorEastAsia" w:cstheme="minorEastAsia"/>
          <w:iCs/>
          <w:color w:val="000000" w:themeColor="text1"/>
          <w:sz w:val="28"/>
          <w:szCs w:val="28"/>
          <w:highlight w:val="none"/>
          <w:lang w:eastAsia="zh-CN"/>
          <w14:textFill>
            <w14:solidFill>
              <w14:schemeClr w14:val="tx1"/>
            </w14:solidFill>
          </w14:textFill>
        </w:rPr>
        <w:t>其他</w:t>
      </w:r>
      <w: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t xml:space="preserve">       </w:t>
      </w:r>
    </w:p>
    <w:p w14:paraId="72FFA28C">
      <w:pPr>
        <w:pStyle w:val="105"/>
        <w:pageBreakBefore w:val="0"/>
        <w:kinsoku/>
        <w:wordWrap/>
        <w:overflowPunct/>
        <w:topLinePunct w:val="0"/>
        <w:bidi w:val="0"/>
        <w:spacing w:beforeLines="0" w:afterAutospacing="0" w:line="560" w:lineRule="exac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）付款方式（按项目实际勾选填写）：</w:t>
      </w:r>
    </w:p>
    <w:p w14:paraId="226912E4">
      <w:pPr>
        <w:pageBreakBefore w:val="0"/>
        <w:kinsoku/>
        <w:wordWrap/>
        <w:overflowPunct/>
        <w:topLinePunct w:val="0"/>
        <w:bidi w:val="0"/>
        <w:adjustRightInd w:val="0"/>
        <w:snapToGrid w:val="0"/>
        <w:spacing w:before="0" w:beforeLines="0" w:afterAutospacing="0" w:line="560" w:lineRule="exact"/>
        <w:ind w:firstLine="840" w:firstLineChars="300"/>
        <w:textAlignment w:val="auto"/>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sym w:font="Wingdings" w:char="00A8"/>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全额付款：</w:t>
      </w:r>
      <w:r>
        <w:rPr>
          <w:rFonts w:hint="eastAsia" w:asciiTheme="minorEastAsia" w:hAnsiTheme="minorEastAsia" w:eastAsiaTheme="minorEastAsia" w:cstheme="minorEastAsia"/>
          <w:color w:val="000000" w:themeColor="text1"/>
          <w:sz w:val="28"/>
          <w:szCs w:val="28"/>
          <w:highlight w:val="none"/>
          <w:u w:val="single"/>
          <w:lang w:eastAsia="zh-CN"/>
          <w14:textFill>
            <w14:solidFill>
              <w14:schemeClr w14:val="tx1"/>
            </w14:solidFill>
          </w14:textFill>
        </w:rPr>
        <w:t>待</w:t>
      </w:r>
      <w:r>
        <w:rPr>
          <w:rFonts w:hint="eastAsia" w:asciiTheme="minorEastAsia" w:hAnsiTheme="minorEastAsia" w:eastAsiaTheme="minorEastAsia" w:cstheme="minorEastAsia"/>
          <w:color w:val="000000" w:themeColor="text1"/>
          <w:sz w:val="28"/>
          <w:szCs w:val="28"/>
          <w:highlight w:val="none"/>
          <w:u w:val="single"/>
          <w:lang w:val="en-US" w:eastAsia="zh-CN"/>
          <w14:textFill>
            <w14:solidFill>
              <w14:schemeClr w14:val="tx1"/>
            </w14:solidFill>
          </w14:textFill>
        </w:rPr>
        <w:t xml:space="preserve">     最终验收合格后，甲方一次性支付货款。                           </w:t>
      </w:r>
      <w: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t xml:space="preserve">                  </w:t>
      </w:r>
    </w:p>
    <w:p w14:paraId="1C0BF963">
      <w:pPr>
        <w:pageBreakBefore w:val="0"/>
        <w:kinsoku/>
        <w:wordWrap/>
        <w:overflowPunct/>
        <w:topLinePunct w:val="0"/>
        <w:bidi w:val="0"/>
        <w:snapToGrid w:val="0"/>
        <w:spacing w:beforeLines="0" w:afterAutospacing="0" w:line="560" w:lineRule="exact"/>
        <w:ind w:firstLine="840" w:firstLineChars="300"/>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sym w:font="Wingdings" w:char="00FE"/>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分期付款：</w:t>
      </w:r>
      <w:r>
        <w:rPr>
          <w:rFonts w:hint="eastAsia" w:asciiTheme="minorEastAsia" w:hAnsiTheme="minorEastAsia" w:eastAsiaTheme="minorEastAsia" w:cstheme="minorEastAsia"/>
          <w:color w:val="000000" w:themeColor="text1"/>
          <w:sz w:val="28"/>
          <w:szCs w:val="28"/>
          <w:highlight w:val="none"/>
          <w:u w:val="single"/>
          <w:lang w:eastAsia="zh-CN"/>
          <w14:textFill>
            <w14:solidFill>
              <w14:schemeClr w14:val="tx1"/>
            </w14:solidFill>
          </w14:textFill>
        </w:rPr>
        <w:t>货物抵达交货地点安装、调试、验收合格，设备使用满贰个月后甲方向供应商支付合同总金额的</w:t>
      </w:r>
      <w:r>
        <w:rPr>
          <w:rFonts w:hint="eastAsia" w:asciiTheme="minorEastAsia" w:hAnsiTheme="minorEastAsia" w:eastAsiaTheme="minorEastAsia" w:cstheme="minorEastAsia"/>
          <w:color w:val="000000" w:themeColor="text1"/>
          <w:sz w:val="28"/>
          <w:szCs w:val="28"/>
          <w:highlight w:val="none"/>
          <w:u w:val="single"/>
          <w:lang w:val="en-US" w:eastAsia="zh-CN"/>
          <w14:textFill>
            <w14:solidFill>
              <w14:schemeClr w14:val="tx1"/>
            </w14:solidFill>
          </w14:textFill>
        </w:rPr>
        <w:t>80%，设备使用满壹年后甲方向供应商制度合同总金额的10%，合同全部内容履约完成后，无任何质量问题后支付合同金额的剩余10%。</w:t>
      </w:r>
    </w:p>
    <w:p w14:paraId="5B5485C6">
      <w:pPr>
        <w:pageBreakBefore w:val="0"/>
        <w:numPr>
          <w:ilvl w:val="0"/>
          <w:numId w:val="4"/>
        </w:numPr>
        <w:kinsoku/>
        <w:wordWrap/>
        <w:overflowPunct/>
        <w:topLinePunct w:val="0"/>
        <w:bidi w:val="0"/>
        <w:adjustRightInd w:val="0"/>
        <w:snapToGrid w:val="0"/>
        <w:spacing w:before="0" w:beforeLines="0" w:afterAutospacing="0" w:line="560" w:lineRule="exact"/>
        <w:ind w:firstLine="562" w:firstLineChars="200"/>
        <w:textAlignment w:val="auto"/>
        <w:rPr>
          <w:rFonts w:hint="eastAsia" w:asciiTheme="minorEastAsia" w:hAnsiTheme="minorEastAsia" w:eastAsiaTheme="minorEastAsia" w:cstheme="minorEastAsia"/>
          <w:b/>
          <w:bCs w:val="0"/>
          <w:color w:val="000000" w:themeColor="text1"/>
          <w:sz w:val="28"/>
          <w:szCs w:val="28"/>
          <w:highlight w:val="none"/>
          <w:u w:val="single"/>
          <w14:textFill>
            <w14:solidFill>
              <w14:schemeClr w14:val="tx1"/>
            </w14:solidFill>
          </w14:textFill>
        </w:rPr>
      </w:pPr>
      <w:r>
        <w:rPr>
          <w:rFonts w:hint="eastAsia" w:asciiTheme="minorEastAsia" w:hAnsiTheme="minorEastAsia" w:eastAsiaTheme="minorEastAsia" w:cstheme="minorEastAsia"/>
          <w:b/>
          <w:bCs w:val="0"/>
          <w:color w:val="000000" w:themeColor="text1"/>
          <w:sz w:val="28"/>
          <w:szCs w:val="28"/>
          <w:highlight w:val="none"/>
          <w14:textFill>
            <w14:solidFill>
              <w14:schemeClr w14:val="tx1"/>
            </w14:solidFill>
          </w14:textFill>
        </w:rPr>
        <w:t>合同履行</w:t>
      </w:r>
    </w:p>
    <w:p w14:paraId="0C39FA24">
      <w:pPr>
        <w:pageBreakBefore w:val="0"/>
        <w:kinsoku/>
        <w:wordWrap/>
        <w:overflowPunct/>
        <w:topLinePunct w:val="0"/>
        <w:bidi w:val="0"/>
        <w:adjustRightInd w:val="0"/>
        <w:snapToGrid w:val="0"/>
        <w:spacing w:before="0" w:beforeLines="0" w:afterAutospacing="0" w:line="560" w:lineRule="exact"/>
        <w:ind w:firstLine="560" w:firstLineChars="200"/>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（1）起始日期：</w:t>
      </w:r>
      <w:r>
        <w:rPr>
          <w:rFonts w:hint="eastAsia" w:asciiTheme="minorEastAsia" w:hAnsiTheme="minorEastAsia" w:eastAsiaTheme="minorEastAsia" w:cstheme="minorEastAsia"/>
          <w:color w:val="000000" w:themeColor="text1"/>
          <w:sz w:val="28"/>
          <w:szCs w:val="28"/>
          <w:highlight w:val="none"/>
          <w:u w:val="single"/>
          <w:lang w:eastAsia="zh-CN"/>
          <w14:textFill>
            <w14:solidFill>
              <w14:schemeClr w14:val="tx1"/>
            </w14:solidFill>
          </w14:textFill>
        </w:rPr>
        <w:t>自成交通知书下发之日起至质保期结束且货物无任何质量问题止</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w:t>
      </w:r>
    </w:p>
    <w:p w14:paraId="0B884F4B">
      <w:pPr>
        <w:pageBreakBefore w:val="0"/>
        <w:kinsoku/>
        <w:wordWrap/>
        <w:overflowPunct/>
        <w:topLinePunct w:val="0"/>
        <w:bidi w:val="0"/>
        <w:adjustRightInd w:val="0"/>
        <w:snapToGrid w:val="0"/>
        <w:spacing w:before="0" w:beforeLines="0" w:afterAutospacing="0" w:line="560" w:lineRule="exact"/>
        <w:ind w:firstLine="560" w:firstLineChars="200"/>
        <w:textAlignment w:val="auto"/>
        <w:rPr>
          <w:rFonts w:hint="eastAsia" w:asciiTheme="minorEastAsia" w:hAnsiTheme="minorEastAsia" w:eastAsiaTheme="minorEastAsia" w:cstheme="minorEastAsia"/>
          <w:color w:val="000000" w:themeColor="text1"/>
          <w:sz w:val="28"/>
          <w:szCs w:val="28"/>
          <w:highlight w:val="none"/>
          <w:u w:val="single"/>
          <w:lang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（2）</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履约</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地点</w:t>
      </w:r>
      <w:r>
        <w:rPr>
          <w:rFonts w:hint="eastAsia" w:asciiTheme="minorEastAsia" w:hAnsiTheme="minorEastAsia" w:eastAsiaTheme="minorEastAsia" w:cstheme="minorEastAsia"/>
          <w:b w:val="0"/>
          <w:bCs/>
          <w:color w:val="000000" w:themeColor="text1"/>
          <w:sz w:val="28"/>
          <w:szCs w:val="28"/>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8"/>
          <w:szCs w:val="28"/>
          <w:highlight w:val="none"/>
          <w:u w:val="single"/>
          <w:lang w:eastAsia="zh-CN"/>
          <w14:textFill>
            <w14:solidFill>
              <w14:schemeClr w14:val="tx1"/>
            </w14:solidFill>
          </w14:textFill>
        </w:rPr>
        <w:t>哈密市中心医院</w:t>
      </w:r>
    </w:p>
    <w:p w14:paraId="3B3BF2F9">
      <w:pPr>
        <w:pageBreakBefore w:val="0"/>
        <w:kinsoku/>
        <w:wordWrap/>
        <w:overflowPunct/>
        <w:topLinePunct w:val="0"/>
        <w:bidi w:val="0"/>
        <w:adjustRightInd w:val="0"/>
        <w:snapToGrid w:val="0"/>
        <w:spacing w:before="0" w:beforeLines="0" w:afterAutospacing="0" w:line="560" w:lineRule="exact"/>
        <w:ind w:firstLine="560" w:firstLineChars="200"/>
        <w:textAlignment w:val="auto"/>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pP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（3）履约担保：</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是否收取履约保证金：</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sym w:font="Wingdings" w:char="00A8"/>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是</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sym w:font="Wingdings" w:char="00A8"/>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否</w:t>
      </w:r>
    </w:p>
    <w:p w14:paraId="3B9BDBFD">
      <w:pPr>
        <w:pStyle w:val="171"/>
        <w:pageBreakBefore w:val="0"/>
        <w:kinsoku/>
        <w:wordWrap/>
        <w:overflowPunct/>
        <w:topLinePunct w:val="0"/>
        <w:bidi w:val="0"/>
        <w:spacing w:beforeLines="0" w:afterAutospacing="0" w:line="560" w:lineRule="exact"/>
        <w:textAlignment w:val="auto"/>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8"/>
          <w:szCs w:val="28"/>
          <w:highlight w:val="none"/>
          <w:u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 xml:space="preserve">  收取履约保证金形式：</w:t>
      </w:r>
      <w:r>
        <w:rPr>
          <w:rFonts w:hint="eastAsia" w:asciiTheme="minorEastAsia" w:hAnsiTheme="minorEastAsia" w:eastAsiaTheme="minorEastAsia" w:cstheme="minorEastAsia"/>
          <w:bCs/>
          <w:color w:val="000000" w:themeColor="text1"/>
          <w:sz w:val="28"/>
          <w:szCs w:val="28"/>
          <w:highlight w:val="none"/>
          <w:u w:val="single"/>
          <w:lang w:eastAsia="zh-CN"/>
          <w14:textFill>
            <w14:solidFill>
              <w14:schemeClr w14:val="tx1"/>
            </w14:solidFill>
          </w14:textFill>
        </w:rPr>
        <w:t>转账</w:t>
      </w:r>
      <w:r>
        <w:rPr>
          <w:rFonts w:hint="eastAsia" w:asciiTheme="minorEastAsia" w:hAnsiTheme="minorEastAsia" w:eastAsiaTheme="minorEastAsia" w:cstheme="minorEastAsia"/>
          <w:bCs/>
          <w:color w:val="000000" w:themeColor="text1"/>
          <w:sz w:val="28"/>
          <w:szCs w:val="28"/>
          <w:highlight w:val="none"/>
          <w:u w:val="single"/>
          <w14:textFill>
            <w14:solidFill>
              <w14:schemeClr w14:val="tx1"/>
            </w14:solidFill>
          </w14:textFill>
        </w:rPr>
        <w:t xml:space="preserve"> </w:t>
      </w:r>
    </w:p>
    <w:p w14:paraId="7F6147EC">
      <w:pPr>
        <w:pStyle w:val="171"/>
        <w:pageBreakBefore w:val="0"/>
        <w:kinsoku/>
        <w:wordWrap/>
        <w:overflowPunct/>
        <w:topLinePunct w:val="0"/>
        <w:bidi w:val="0"/>
        <w:spacing w:beforeLines="0" w:afterAutospacing="0" w:line="560" w:lineRule="exact"/>
        <w:textAlignment w:val="auto"/>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 xml:space="preserve">    收取履约保证金金额：</w:t>
      </w:r>
      <w:r>
        <w:rPr>
          <w:rFonts w:hint="eastAsia" w:asciiTheme="minorEastAsia" w:hAnsiTheme="minorEastAsia" w:eastAsiaTheme="minorEastAsia" w:cstheme="minorEastAsia"/>
          <w:bCs/>
          <w:color w:val="000000" w:themeColor="text1"/>
          <w:sz w:val="28"/>
          <w:szCs w:val="28"/>
          <w:highlight w:val="none"/>
          <w:u w:val="single"/>
          <w14:textFill>
            <w14:solidFill>
              <w14:schemeClr w14:val="tx1"/>
            </w14:solidFill>
          </w14:textFill>
        </w:rPr>
        <w:t xml:space="preserve">                            </w:t>
      </w:r>
    </w:p>
    <w:p w14:paraId="4664DA4C">
      <w:pPr>
        <w:pageBreakBefore w:val="0"/>
        <w:kinsoku/>
        <w:wordWrap/>
        <w:overflowPunct/>
        <w:topLinePunct w:val="0"/>
        <w:bidi w:val="0"/>
        <w:snapToGrid w:val="0"/>
        <w:spacing w:beforeLines="0" w:afterAutospacing="0" w:line="560" w:lineRule="exact"/>
        <w:ind w:firstLine="560" w:firstLineChars="200"/>
        <w:textAlignment w:val="auto"/>
        <w:rPr>
          <w:rFonts w:hint="eastAsia" w:asciiTheme="minorEastAsia" w:hAnsiTheme="minorEastAsia" w:eastAsiaTheme="minorEastAsia" w:cstheme="minorEastAsia"/>
          <w:bCs/>
          <w:color w:val="000000" w:themeColor="text1"/>
          <w:kern w:val="2"/>
          <w:sz w:val="28"/>
          <w:szCs w:val="28"/>
          <w:highlight w:val="none"/>
          <w:u w:val="none"/>
          <w:lang w:val="en-US" w:eastAsia="zh-CN" w:bidi="ar-SA"/>
          <w14:textFill>
            <w14:solidFill>
              <w14:schemeClr w14:val="tx1"/>
            </w14:solidFill>
          </w14:textFill>
        </w:rPr>
      </w:pPr>
      <w:r>
        <w:rPr>
          <w:rFonts w:hint="eastAsia" w:asciiTheme="minorEastAsia" w:hAnsiTheme="minorEastAsia" w:eastAsiaTheme="minorEastAsia" w:cstheme="minorEastAsia"/>
          <w:bCs/>
          <w:color w:val="000000" w:themeColor="text1"/>
          <w:sz w:val="28"/>
          <w:szCs w:val="28"/>
          <w:highlight w:val="none"/>
          <w:u w:val="none"/>
          <w:lang w:val="en-US" w:eastAsia="zh-CN"/>
          <w14:textFill>
            <w14:solidFill>
              <w14:schemeClr w14:val="tx1"/>
            </w14:solidFill>
          </w14:textFill>
        </w:rPr>
        <w:t xml:space="preserve">    履约担保期限</w:t>
      </w:r>
      <w:r>
        <w:rPr>
          <w:rFonts w:hint="eastAsia" w:asciiTheme="minorEastAsia" w:hAnsiTheme="minorEastAsia" w:eastAsiaTheme="minorEastAsia" w:cstheme="minorEastAsia"/>
          <w:bCs/>
          <w:color w:val="000000" w:themeColor="text1"/>
          <w:sz w:val="28"/>
          <w:szCs w:val="28"/>
          <w:highlight w:val="none"/>
          <w:u w:val="none"/>
          <w:lang w:eastAsia="zh-CN"/>
          <w14:textFill>
            <w14:solidFill>
              <w14:schemeClr w14:val="tx1"/>
            </w14:solidFill>
          </w14:textFill>
        </w:rPr>
        <w:t>：</w:t>
      </w:r>
      <w:r>
        <w:rPr>
          <w:rFonts w:hint="eastAsia" w:asciiTheme="minorEastAsia" w:hAnsiTheme="minorEastAsia" w:eastAsiaTheme="minorEastAsia" w:cstheme="minorEastAsia"/>
          <w:bCs/>
          <w:color w:val="000000" w:themeColor="text1"/>
          <w:sz w:val="28"/>
          <w:szCs w:val="28"/>
          <w:highlight w:val="none"/>
          <w:u w:val="single"/>
          <w:lang w:eastAsia="zh-CN"/>
          <w14:textFill>
            <w14:solidFill>
              <w14:schemeClr w14:val="tx1"/>
            </w14:solidFill>
          </w14:textFill>
        </w:rPr>
        <w:t>中标之日起至乙方完成合同约定的所有责任、义务。</w:t>
      </w:r>
      <w:r>
        <w:rPr>
          <w:rFonts w:hint="eastAsia" w:asciiTheme="minorEastAsia" w:hAnsiTheme="minorEastAsia" w:eastAsiaTheme="minorEastAsia" w:cstheme="minorEastAsia"/>
          <w:bCs/>
          <w:color w:val="000000" w:themeColor="text1"/>
          <w:kern w:val="2"/>
          <w:sz w:val="28"/>
          <w:szCs w:val="28"/>
          <w:highlight w:val="none"/>
          <w:u w:val="none"/>
          <w:lang w:val="en-US" w:eastAsia="zh-CN" w:bidi="ar-SA"/>
          <w14:textFill>
            <w14:solidFill>
              <w14:schemeClr w14:val="tx1"/>
            </w14:solidFill>
          </w14:textFill>
        </w:rPr>
        <w:t xml:space="preserve">  </w:t>
      </w:r>
    </w:p>
    <w:p w14:paraId="3D63C153">
      <w:pPr>
        <w:pStyle w:val="171"/>
        <w:pageBreakBefore w:val="0"/>
        <w:kinsoku/>
        <w:wordWrap/>
        <w:overflowPunct/>
        <w:topLinePunct w:val="0"/>
        <w:bidi w:val="0"/>
        <w:spacing w:afterAutospacing="0" w:line="560" w:lineRule="exact"/>
        <w:textAlignment w:val="auto"/>
        <w:rPr>
          <w:rFonts w:hint="eastAsia" w:asciiTheme="minorEastAsia" w:hAnsiTheme="minorEastAsia" w:eastAsiaTheme="minorEastAsia" w:cstheme="minorEastAsia"/>
          <w:bCs/>
          <w:color w:val="000000" w:themeColor="text1"/>
          <w:kern w:val="2"/>
          <w:sz w:val="28"/>
          <w:szCs w:val="28"/>
          <w:highlight w:val="none"/>
          <w:u w:val="none"/>
          <w:lang w:val="en-US" w:eastAsia="zh-CN" w:bidi="ar-SA"/>
          <w14:textFill>
            <w14:solidFill>
              <w14:schemeClr w14:val="tx1"/>
            </w14:solidFill>
          </w14:textFill>
        </w:rPr>
      </w:pPr>
      <w:r>
        <w:rPr>
          <w:rFonts w:hint="eastAsia" w:asciiTheme="minorEastAsia" w:hAnsiTheme="minorEastAsia" w:eastAsiaTheme="minorEastAsia" w:cstheme="minorEastAsia"/>
          <w:bCs/>
          <w:color w:val="000000" w:themeColor="text1"/>
          <w:kern w:val="2"/>
          <w:sz w:val="28"/>
          <w:szCs w:val="28"/>
          <w:highlight w:val="none"/>
          <w:u w:val="none"/>
          <w:lang w:val="en-US" w:eastAsia="zh-CN" w:bidi="ar-SA"/>
          <w14:textFill>
            <w14:solidFill>
              <w14:schemeClr w14:val="tx1"/>
            </w14:solidFill>
          </w14:textFill>
        </w:rPr>
        <w:t>汇款信息</w:t>
      </w:r>
    </w:p>
    <w:p w14:paraId="4D1467C8">
      <w:pPr>
        <w:pStyle w:val="171"/>
        <w:pageBreakBefore w:val="0"/>
        <w:kinsoku/>
        <w:wordWrap/>
        <w:overflowPunct/>
        <w:topLinePunct w:val="0"/>
        <w:bidi w:val="0"/>
        <w:spacing w:afterAutospacing="0" w:line="560" w:lineRule="exact"/>
        <w:textAlignment w:val="auto"/>
        <w:rPr>
          <w:rFonts w:hint="eastAsia" w:asciiTheme="minorEastAsia" w:hAnsiTheme="minorEastAsia" w:eastAsiaTheme="minorEastAsia" w:cstheme="minorEastAsia"/>
          <w:bCs/>
          <w:color w:val="000000" w:themeColor="text1"/>
          <w:kern w:val="2"/>
          <w:sz w:val="28"/>
          <w:szCs w:val="28"/>
          <w:highlight w:val="none"/>
          <w:u w:val="none"/>
          <w:lang w:val="en-US" w:eastAsia="zh-CN" w:bidi="ar-SA"/>
          <w14:textFill>
            <w14:solidFill>
              <w14:schemeClr w14:val="tx1"/>
            </w14:solidFill>
          </w14:textFill>
        </w:rPr>
      </w:pPr>
      <w:r>
        <w:rPr>
          <w:rFonts w:hint="eastAsia" w:asciiTheme="minorEastAsia" w:hAnsiTheme="minorEastAsia" w:eastAsiaTheme="minorEastAsia" w:cstheme="minorEastAsia"/>
          <w:bCs/>
          <w:color w:val="000000" w:themeColor="text1"/>
          <w:kern w:val="2"/>
          <w:sz w:val="28"/>
          <w:szCs w:val="28"/>
          <w:highlight w:val="none"/>
          <w:u w:val="none"/>
          <w:lang w:val="en-US" w:eastAsia="zh-CN" w:bidi="ar-SA"/>
          <w14:textFill>
            <w14:solidFill>
              <w14:schemeClr w14:val="tx1"/>
            </w14:solidFill>
          </w14:textFill>
        </w:rPr>
        <w:t>户名：哈密市中心医院</w:t>
      </w:r>
    </w:p>
    <w:p w14:paraId="0BB89E5A">
      <w:pPr>
        <w:pStyle w:val="171"/>
        <w:pageBreakBefore w:val="0"/>
        <w:kinsoku/>
        <w:wordWrap/>
        <w:overflowPunct/>
        <w:topLinePunct w:val="0"/>
        <w:bidi w:val="0"/>
        <w:spacing w:afterAutospacing="0" w:line="560" w:lineRule="exact"/>
        <w:textAlignment w:val="auto"/>
        <w:rPr>
          <w:rFonts w:hint="eastAsia" w:asciiTheme="minorEastAsia" w:hAnsiTheme="minorEastAsia" w:eastAsiaTheme="minorEastAsia" w:cstheme="minorEastAsia"/>
          <w:bCs/>
          <w:color w:val="000000" w:themeColor="text1"/>
          <w:kern w:val="2"/>
          <w:sz w:val="28"/>
          <w:szCs w:val="28"/>
          <w:highlight w:val="none"/>
          <w:u w:val="none"/>
          <w:lang w:val="en-US" w:eastAsia="zh-CN" w:bidi="ar-SA"/>
          <w14:textFill>
            <w14:solidFill>
              <w14:schemeClr w14:val="tx1"/>
            </w14:solidFill>
          </w14:textFill>
        </w:rPr>
      </w:pPr>
      <w:r>
        <w:rPr>
          <w:rFonts w:hint="eastAsia" w:asciiTheme="minorEastAsia" w:hAnsiTheme="minorEastAsia" w:eastAsiaTheme="minorEastAsia" w:cstheme="minorEastAsia"/>
          <w:bCs/>
          <w:color w:val="000000" w:themeColor="text1"/>
          <w:kern w:val="2"/>
          <w:sz w:val="28"/>
          <w:szCs w:val="28"/>
          <w:highlight w:val="none"/>
          <w:u w:val="none"/>
          <w:lang w:val="en-US" w:eastAsia="zh-CN" w:bidi="ar-SA"/>
          <w14:textFill>
            <w14:solidFill>
              <w14:schemeClr w14:val="tx1"/>
            </w14:solidFill>
          </w14:textFill>
        </w:rPr>
        <w:t>账号：30285901040000148</w:t>
      </w:r>
    </w:p>
    <w:p w14:paraId="4E86EEF3">
      <w:pPr>
        <w:pStyle w:val="171"/>
        <w:pageBreakBefore w:val="0"/>
        <w:kinsoku/>
        <w:wordWrap/>
        <w:overflowPunct/>
        <w:topLinePunct w:val="0"/>
        <w:bidi w:val="0"/>
        <w:spacing w:afterAutospacing="0" w:line="560" w:lineRule="exact"/>
        <w:textAlignment w:val="auto"/>
        <w:rPr>
          <w:rFonts w:hint="eastAsia" w:asciiTheme="minorEastAsia" w:hAnsiTheme="minorEastAsia" w:eastAsiaTheme="minorEastAsia" w:cstheme="minorEastAsia"/>
          <w:bCs/>
          <w:color w:val="000000" w:themeColor="text1"/>
          <w:kern w:val="2"/>
          <w:sz w:val="28"/>
          <w:szCs w:val="28"/>
          <w:highlight w:val="none"/>
          <w:u w:val="none"/>
          <w:lang w:val="en-US" w:eastAsia="zh-CN" w:bidi="ar-SA"/>
          <w14:textFill>
            <w14:solidFill>
              <w14:schemeClr w14:val="tx1"/>
            </w14:solidFill>
          </w14:textFill>
        </w:rPr>
      </w:pPr>
      <w:r>
        <w:rPr>
          <w:rFonts w:hint="eastAsia" w:asciiTheme="minorEastAsia" w:hAnsiTheme="minorEastAsia" w:eastAsiaTheme="minorEastAsia" w:cstheme="minorEastAsia"/>
          <w:bCs/>
          <w:color w:val="000000" w:themeColor="text1"/>
          <w:kern w:val="2"/>
          <w:sz w:val="28"/>
          <w:szCs w:val="28"/>
          <w:highlight w:val="none"/>
          <w:u w:val="none"/>
          <w:lang w:val="en-US" w:eastAsia="zh-CN" w:bidi="ar-SA"/>
          <w14:textFill>
            <w14:solidFill>
              <w14:schemeClr w14:val="tx1"/>
            </w14:solidFill>
          </w14:textFill>
        </w:rPr>
        <w:t>开户行：中国农业银行股份有限公司哈密胜利路支行</w:t>
      </w:r>
    </w:p>
    <w:p w14:paraId="68A0C7E8">
      <w:pPr>
        <w:pageBreakBefore w:val="0"/>
        <w:numPr>
          <w:ilvl w:val="0"/>
          <w:numId w:val="4"/>
        </w:numPr>
        <w:kinsoku/>
        <w:wordWrap/>
        <w:overflowPunct/>
        <w:topLinePunct w:val="0"/>
        <w:bidi w:val="0"/>
        <w:adjustRightInd w:val="0"/>
        <w:snapToGrid w:val="0"/>
        <w:spacing w:before="0" w:beforeLines="0" w:afterAutospacing="0" w:line="560" w:lineRule="exact"/>
        <w:ind w:firstLine="562" w:firstLineChars="200"/>
        <w:textAlignment w:val="auto"/>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合同验收</w:t>
      </w:r>
    </w:p>
    <w:p w14:paraId="612F3CAC">
      <w:pPr>
        <w:pageBreakBefore w:val="0"/>
        <w:numPr>
          <w:ilvl w:val="0"/>
          <w:numId w:val="6"/>
        </w:numPr>
        <w:kinsoku/>
        <w:wordWrap/>
        <w:overflowPunct/>
        <w:topLinePunct w:val="0"/>
        <w:bidi w:val="0"/>
        <w:adjustRightInd w:val="0"/>
        <w:snapToGrid w:val="0"/>
        <w:spacing w:before="0" w:beforeLines="0" w:afterAutospacing="0" w:line="560" w:lineRule="exact"/>
        <w:ind w:firstLine="560" w:firstLineChars="200"/>
        <w:textAlignment w:val="auto"/>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验收组织方式：</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sym w:font="Wingdings" w:char="00FE"/>
      </w: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 xml:space="preserve">自行组织 </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sym w:font="Wingdings" w:char="00A8"/>
      </w: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委托第三方组织</w:t>
      </w:r>
    </w:p>
    <w:p w14:paraId="0E53C855">
      <w:pPr>
        <w:pageBreakBefore w:val="0"/>
        <w:numPr>
          <w:ilvl w:val="0"/>
          <w:numId w:val="0"/>
        </w:numPr>
        <w:kinsoku/>
        <w:wordWrap/>
        <w:overflowPunct/>
        <w:topLinePunct w:val="0"/>
        <w:bidi w:val="0"/>
        <w:adjustRightInd w:val="0"/>
        <w:snapToGrid w:val="0"/>
        <w:spacing w:before="0" w:beforeLines="0" w:afterAutospacing="0" w:line="560" w:lineRule="exact"/>
        <w:textAlignment w:val="auto"/>
        <w:rPr>
          <w:rFonts w:hint="eastAsia" w:asciiTheme="minorEastAsia" w:hAnsiTheme="minorEastAsia" w:eastAsiaTheme="minorEastAsia" w:cstheme="minorEastAsia"/>
          <w:bCs/>
          <w:color w:val="000000" w:themeColor="text1"/>
          <w:sz w:val="28"/>
          <w:szCs w:val="28"/>
          <w:highlight w:val="none"/>
          <w:u w:val="single"/>
          <w14:textFill>
            <w14:solidFill>
              <w14:schemeClr w14:val="tx1"/>
            </w14:solidFill>
          </w14:textFill>
        </w:rPr>
      </w:pPr>
      <w:r>
        <w:rPr>
          <w:rFonts w:hint="eastAsia" w:asciiTheme="minorEastAsia" w:hAnsiTheme="minorEastAsia" w:eastAsiaTheme="minorEastAsia" w:cstheme="minorEastAsia"/>
          <w:bCs/>
          <w:color w:val="000000" w:themeColor="text1"/>
          <w:sz w:val="28"/>
          <w:szCs w:val="28"/>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验收主体：</w:t>
      </w:r>
      <w:r>
        <w:rPr>
          <w:rFonts w:hint="eastAsia" w:asciiTheme="minorEastAsia" w:hAnsiTheme="minorEastAsia" w:eastAsiaTheme="minorEastAsia" w:cstheme="minorEastAsia"/>
          <w:bCs/>
          <w:color w:val="000000" w:themeColor="text1"/>
          <w:sz w:val="28"/>
          <w:szCs w:val="28"/>
          <w:highlight w:val="none"/>
          <w:u w:val="single"/>
          <w:lang w:eastAsia="zh-CN"/>
          <w14:textFill>
            <w14:solidFill>
              <w14:schemeClr w14:val="tx1"/>
            </w14:solidFill>
          </w14:textFill>
        </w:rPr>
        <w:t>甲方、乙方</w:t>
      </w:r>
    </w:p>
    <w:p w14:paraId="0BB7341C">
      <w:pPr>
        <w:pageBreakBefore w:val="0"/>
        <w:numPr>
          <w:ilvl w:val="0"/>
          <w:numId w:val="6"/>
        </w:numPr>
        <w:kinsoku/>
        <w:wordWrap/>
        <w:overflowPunct/>
        <w:topLinePunct w:val="0"/>
        <w:bidi w:val="0"/>
        <w:adjustRightInd w:val="0"/>
        <w:snapToGrid w:val="0"/>
        <w:spacing w:before="0" w:beforeLines="0" w:afterAutospacing="0" w:line="560" w:lineRule="exact"/>
        <w:ind w:left="0" w:leftChars="0" w:firstLine="560" w:firstLineChars="200"/>
        <w:textAlignment w:val="auto"/>
        <w:rPr>
          <w:rFonts w:hint="eastAsia" w:asciiTheme="minorEastAsia" w:hAnsiTheme="minorEastAsia" w:eastAsiaTheme="minorEastAsia" w:cstheme="minorEastAsia"/>
          <w:bCs/>
          <w:color w:val="000000" w:themeColor="text1"/>
          <w:sz w:val="28"/>
          <w:szCs w:val="28"/>
          <w:highlight w:val="none"/>
          <w:u w:val="singl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履约验收时间：</w:t>
      </w:r>
      <w:r>
        <w:rPr>
          <w:rFonts w:hint="eastAsia" w:asciiTheme="minorEastAsia" w:hAnsiTheme="minorEastAsia" w:eastAsiaTheme="minorEastAsia" w:cstheme="minorEastAsia"/>
          <w:bCs/>
          <w:color w:val="000000" w:themeColor="text1"/>
          <w:sz w:val="28"/>
          <w:szCs w:val="28"/>
          <w:highlight w:val="none"/>
          <w:u w:val="single"/>
          <w:lang w:eastAsia="zh-CN"/>
          <w14:textFill>
            <w14:solidFill>
              <w14:schemeClr w14:val="tx1"/>
            </w14:solidFill>
          </w14:textFill>
        </w:rPr>
        <w:t>货到安装完成</w:t>
      </w:r>
      <w:r>
        <w:rPr>
          <w:rFonts w:hint="eastAsia" w:asciiTheme="minorEastAsia" w:hAnsiTheme="minorEastAsia" w:eastAsiaTheme="minorEastAsia" w:cstheme="minorEastAsia"/>
          <w:bCs/>
          <w:color w:val="000000" w:themeColor="text1"/>
          <w:sz w:val="28"/>
          <w:szCs w:val="28"/>
          <w:highlight w:val="none"/>
          <w:u w:val="single"/>
          <w:lang w:val="en-US" w:eastAsia="zh-CN"/>
          <w14:textFill>
            <w14:solidFill>
              <w14:schemeClr w14:val="tx1"/>
            </w14:solidFill>
          </w14:textFill>
        </w:rPr>
        <w:t>后3日内 。</w:t>
      </w:r>
    </w:p>
    <w:p w14:paraId="62704E09">
      <w:pPr>
        <w:pageBreakBefore w:val="0"/>
        <w:numPr>
          <w:ilvl w:val="0"/>
          <w:numId w:val="0"/>
        </w:numPr>
        <w:kinsoku/>
        <w:wordWrap/>
        <w:overflowPunct/>
        <w:topLinePunct w:val="0"/>
        <w:bidi w:val="0"/>
        <w:adjustRightInd w:val="0"/>
        <w:snapToGrid w:val="0"/>
        <w:spacing w:before="0" w:beforeLines="0" w:afterAutospacing="0" w:line="560" w:lineRule="exact"/>
        <w:ind w:leftChars="200"/>
        <w:textAlignment w:val="auto"/>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（3）履约验收方式：</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sym w:font="Wingdings" w:char="00FE"/>
      </w: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 xml:space="preserve">一次性验收         </w:t>
      </w:r>
    </w:p>
    <w:p w14:paraId="2D3169E9">
      <w:pPr>
        <w:pageBreakBefore w:val="0"/>
        <w:kinsoku/>
        <w:wordWrap/>
        <w:overflowPunct/>
        <w:topLinePunct w:val="0"/>
        <w:bidi w:val="0"/>
        <w:adjustRightInd w:val="0"/>
        <w:snapToGrid w:val="0"/>
        <w:spacing w:before="0" w:beforeLines="0" w:afterAutospacing="0" w:line="560" w:lineRule="exact"/>
        <w:ind w:firstLine="0" w:firstLineChars="0"/>
        <w:textAlignment w:val="auto"/>
        <w:rPr>
          <w:rFonts w:hint="eastAsia" w:asciiTheme="minorEastAsia" w:hAnsiTheme="minorEastAsia" w:eastAsiaTheme="minorEastAsia" w:cstheme="minorEastAsia"/>
          <w:bCs/>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8"/>
          <w:szCs w:val="28"/>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sym w:font="Wingdings" w:char="00A8"/>
      </w: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分期/分项验收</w:t>
      </w:r>
      <w:r>
        <w:rPr>
          <w:rFonts w:hint="eastAsia" w:asciiTheme="minorEastAsia" w:hAnsiTheme="minorEastAsia" w:eastAsiaTheme="minorEastAsia" w:cstheme="minorEastAsia"/>
          <w:bCs/>
          <w:color w:val="000000" w:themeColor="text1"/>
          <w:sz w:val="28"/>
          <w:szCs w:val="28"/>
          <w:highlight w:val="none"/>
          <w:lang w:eastAsia="zh-CN"/>
          <w14:textFill>
            <w14:solidFill>
              <w14:schemeClr w14:val="tx1"/>
            </w14:solidFill>
          </w14:textFill>
        </w:rPr>
        <w:t>：</w:t>
      </w:r>
      <w:r>
        <w:rPr>
          <w:rFonts w:hint="eastAsia" w:asciiTheme="minorEastAsia" w:hAnsiTheme="minorEastAsia" w:eastAsiaTheme="minorEastAsia" w:cstheme="minorEastAsia"/>
          <w:bCs/>
          <w:color w:val="000000" w:themeColor="text1"/>
          <w:sz w:val="28"/>
          <w:szCs w:val="28"/>
          <w:highlight w:val="none"/>
          <w:u w:val="single"/>
          <w14:textFill>
            <w14:solidFill>
              <w14:schemeClr w14:val="tx1"/>
            </w14:solidFill>
          </w14:textFill>
        </w:rPr>
        <w:t xml:space="preserve"> </w:t>
      </w:r>
      <w:r>
        <w:rPr>
          <w:rFonts w:hint="eastAsia" w:asciiTheme="minorEastAsia" w:hAnsiTheme="minorEastAsia" w:eastAsiaTheme="minorEastAsia" w:cstheme="minorEastAsia"/>
          <w:bCs/>
          <w:color w:val="000000" w:themeColor="text1"/>
          <w:sz w:val="28"/>
          <w:szCs w:val="28"/>
          <w:highlight w:val="none"/>
          <w:u w:val="single"/>
          <w:lang w:eastAsia="zh-CN"/>
          <w14:textFill>
            <w14:solidFill>
              <w14:schemeClr w14:val="tx1"/>
            </w14:solidFill>
          </w14:textFill>
        </w:rPr>
        <w:t>（应明确分期</w:t>
      </w:r>
      <w:r>
        <w:rPr>
          <w:rFonts w:hint="eastAsia" w:asciiTheme="minorEastAsia" w:hAnsiTheme="minorEastAsia" w:eastAsiaTheme="minorEastAsia" w:cstheme="minorEastAsia"/>
          <w:bCs/>
          <w:color w:val="000000" w:themeColor="text1"/>
          <w:sz w:val="28"/>
          <w:szCs w:val="28"/>
          <w:highlight w:val="none"/>
          <w:u w:val="single"/>
          <w:lang w:val="en" w:eastAsia="zh-CN"/>
          <w14:textFill>
            <w14:solidFill>
              <w14:schemeClr w14:val="tx1"/>
            </w14:solidFill>
          </w14:textFill>
        </w:rPr>
        <w:t>/分项验收的工作安排</w:t>
      </w:r>
      <w:r>
        <w:rPr>
          <w:rFonts w:hint="eastAsia" w:asciiTheme="minorEastAsia" w:hAnsiTheme="minorEastAsia" w:eastAsiaTheme="minorEastAsia" w:cstheme="minorEastAsia"/>
          <w:bCs/>
          <w:color w:val="000000" w:themeColor="text1"/>
          <w:sz w:val="28"/>
          <w:szCs w:val="28"/>
          <w:highlight w:val="none"/>
          <w:u w:val="single"/>
          <w:lang w:eastAsia="zh-CN"/>
          <w14:textFill>
            <w14:solidFill>
              <w14:schemeClr w14:val="tx1"/>
            </w14:solidFill>
          </w14:textFill>
        </w:rPr>
        <w:t>）</w:t>
      </w:r>
      <w:r>
        <w:rPr>
          <w:rFonts w:hint="eastAsia" w:asciiTheme="minorEastAsia" w:hAnsiTheme="minorEastAsia" w:eastAsiaTheme="minorEastAsia" w:cstheme="minorEastAsia"/>
          <w:bCs/>
          <w:color w:val="000000" w:themeColor="text1"/>
          <w:sz w:val="28"/>
          <w:szCs w:val="28"/>
          <w:highlight w:val="none"/>
          <w:u w:val="single"/>
          <w14:textFill>
            <w14:solidFill>
              <w14:schemeClr w14:val="tx1"/>
            </w14:solidFill>
          </w14:textFill>
        </w:rPr>
        <w:t xml:space="preserve"> </w:t>
      </w:r>
      <w:r>
        <w:rPr>
          <w:rFonts w:hint="eastAsia" w:asciiTheme="minorEastAsia" w:hAnsiTheme="minorEastAsia" w:eastAsiaTheme="minorEastAsia" w:cstheme="minorEastAsia"/>
          <w:bCs/>
          <w:color w:val="000000" w:themeColor="text1"/>
          <w:sz w:val="28"/>
          <w:szCs w:val="28"/>
          <w:highlight w:val="none"/>
          <w:u w:val="single"/>
          <w:lang w:val="en-US" w:eastAsia="zh-CN"/>
          <w14:textFill>
            <w14:solidFill>
              <w14:schemeClr w14:val="tx1"/>
            </w14:solidFill>
          </w14:textFill>
        </w:rPr>
        <w:t xml:space="preserve"> </w:t>
      </w:r>
    </w:p>
    <w:p w14:paraId="49A4A10F">
      <w:pPr>
        <w:pageBreakBefore w:val="0"/>
        <w:kinsoku/>
        <w:wordWrap/>
        <w:overflowPunct/>
        <w:topLinePunct w:val="0"/>
        <w:bidi w:val="0"/>
        <w:adjustRightInd w:val="0"/>
        <w:snapToGrid w:val="0"/>
        <w:spacing w:before="0" w:beforeLines="0" w:afterAutospacing="0" w:line="560" w:lineRule="exact"/>
        <w:ind w:firstLine="560" w:firstLineChars="200"/>
        <w:textAlignment w:val="auto"/>
        <w:rPr>
          <w:rFonts w:hint="eastAsia" w:asciiTheme="minorEastAsia" w:hAnsiTheme="minorEastAsia" w:eastAsiaTheme="minorEastAsia" w:cstheme="minorEastAsia"/>
          <w:bCs/>
          <w:color w:val="000000" w:themeColor="text1"/>
          <w:sz w:val="28"/>
          <w:szCs w:val="28"/>
          <w:highlight w:val="none"/>
          <w:lang w:eastAsia="zh-CN"/>
          <w14:textFill>
            <w14:solidFill>
              <w14:schemeClr w14:val="tx1"/>
            </w14:solidFill>
          </w14:textFill>
        </w:rPr>
      </w:pP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（4）履约验收程序：</w:t>
      </w:r>
      <w:r>
        <w:rPr>
          <w:rFonts w:hint="eastAsia" w:asciiTheme="minorEastAsia" w:hAnsiTheme="minorEastAsia" w:eastAsiaTheme="minorEastAsia" w:cstheme="minorEastAsia"/>
          <w:bCs/>
          <w:color w:val="000000" w:themeColor="text1"/>
          <w:sz w:val="28"/>
          <w:szCs w:val="28"/>
          <w:highlight w:val="none"/>
          <w:u w:val="single"/>
          <w:lang w:eastAsia="zh-CN"/>
          <w14:textFill>
            <w14:solidFill>
              <w14:schemeClr w14:val="tx1"/>
            </w14:solidFill>
          </w14:textFill>
        </w:rPr>
        <w:t>乙方提出验收申请，甲乙双方按照合同要求及清单明细逐一进行验收，验收合格后，双方共同在验收单上签字确认。</w:t>
      </w:r>
    </w:p>
    <w:p w14:paraId="79E126CE">
      <w:pPr>
        <w:pageBreakBefore w:val="0"/>
        <w:kinsoku/>
        <w:wordWrap/>
        <w:overflowPunct/>
        <w:topLinePunct w:val="0"/>
        <w:bidi w:val="0"/>
        <w:adjustRightInd w:val="0"/>
        <w:snapToGrid w:val="0"/>
        <w:spacing w:before="0" w:beforeLines="0" w:afterAutospacing="0" w:line="560" w:lineRule="exact"/>
        <w:ind w:firstLine="560" w:firstLineChars="200"/>
        <w:textAlignment w:val="auto"/>
        <w:rPr>
          <w:rFonts w:hint="eastAsia" w:asciiTheme="minorEastAsia" w:hAnsiTheme="minorEastAsia" w:eastAsiaTheme="minorEastAsia" w:cstheme="minorEastAsia"/>
          <w:bCs/>
          <w:color w:val="000000" w:themeColor="text1"/>
          <w:sz w:val="28"/>
          <w:szCs w:val="28"/>
          <w:highlight w:val="none"/>
          <w:u w:val="single"/>
          <w:lang w:eastAsia="zh-CN"/>
          <w14:textFill>
            <w14:solidFill>
              <w14:schemeClr w14:val="tx1"/>
            </w14:solidFill>
          </w14:textFill>
        </w:rPr>
      </w:pP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（5）履约验收的内容：</w:t>
      </w:r>
      <w:r>
        <w:rPr>
          <w:rFonts w:hint="eastAsia" w:asciiTheme="minorEastAsia" w:hAnsiTheme="minorEastAsia" w:eastAsiaTheme="minorEastAsia" w:cstheme="minorEastAsia"/>
          <w:bCs/>
          <w:color w:val="000000" w:themeColor="text1"/>
          <w:sz w:val="28"/>
          <w:szCs w:val="28"/>
          <w:highlight w:val="none"/>
          <w:u w:val="single"/>
          <w:lang w:eastAsia="zh-CN"/>
          <w14:textFill>
            <w14:solidFill>
              <w14:schemeClr w14:val="tx1"/>
            </w14:solidFill>
          </w14:textFill>
        </w:rPr>
        <w:t>包括合同及采购文件、乙方响应文件中的每一项技术和商务要求的履约情况。</w:t>
      </w:r>
    </w:p>
    <w:p w14:paraId="0E9EF760">
      <w:pPr>
        <w:pageBreakBefore w:val="0"/>
        <w:kinsoku/>
        <w:wordWrap/>
        <w:overflowPunct/>
        <w:topLinePunct w:val="0"/>
        <w:bidi w:val="0"/>
        <w:adjustRightInd w:val="0"/>
        <w:snapToGrid w:val="0"/>
        <w:spacing w:before="0" w:beforeLines="0" w:afterAutospacing="0" w:line="560" w:lineRule="exact"/>
        <w:ind w:firstLine="560" w:firstLineChars="200"/>
        <w:textAlignment w:val="auto"/>
        <w:rPr>
          <w:rFonts w:hint="eastAsia" w:asciiTheme="minorEastAsia" w:hAnsiTheme="minorEastAsia" w:eastAsiaTheme="minorEastAsia" w:cstheme="minorEastAsia"/>
          <w:bCs/>
          <w:color w:val="000000" w:themeColor="text1"/>
          <w:sz w:val="28"/>
          <w:szCs w:val="28"/>
          <w:highlight w:val="none"/>
          <w:u w:val="single"/>
          <w14:textFill>
            <w14:solidFill>
              <w14:schemeClr w14:val="tx1"/>
            </w14:solidFill>
          </w14:textFill>
        </w:rPr>
      </w:pP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（6）履约验收标准：</w:t>
      </w:r>
      <w:r>
        <w:rPr>
          <w:rFonts w:hint="eastAsia" w:asciiTheme="minorEastAsia" w:hAnsiTheme="minorEastAsia" w:eastAsiaTheme="minorEastAsia" w:cstheme="minorEastAsia"/>
          <w:bCs/>
          <w:color w:val="000000" w:themeColor="text1"/>
          <w:sz w:val="28"/>
          <w:szCs w:val="28"/>
          <w:highlight w:val="none"/>
          <w:u w:val="single"/>
          <w14:textFill>
            <w14:solidFill>
              <w14:schemeClr w14:val="tx1"/>
            </w14:solidFill>
          </w14:textFill>
        </w:rPr>
        <w:t xml:space="preserve">  </w:t>
      </w:r>
      <w:r>
        <w:rPr>
          <w:rFonts w:hint="eastAsia" w:asciiTheme="minorEastAsia" w:hAnsiTheme="minorEastAsia" w:eastAsiaTheme="minorEastAsia" w:cstheme="minorEastAsia"/>
          <w:bCs/>
          <w:color w:val="000000" w:themeColor="text1"/>
          <w:sz w:val="28"/>
          <w:szCs w:val="28"/>
          <w:highlight w:val="none"/>
          <w:u w:val="single"/>
          <w:lang w:eastAsia="zh-CN"/>
          <w14:textFill>
            <w14:solidFill>
              <w14:schemeClr w14:val="tx1"/>
            </w14:solidFill>
          </w14:textFill>
        </w:rPr>
        <w:t>设备完全符合甲方要求</w:t>
      </w:r>
      <w:r>
        <w:rPr>
          <w:rFonts w:hint="eastAsia" w:asciiTheme="minorEastAsia" w:hAnsiTheme="minorEastAsia" w:eastAsiaTheme="minorEastAsia" w:cstheme="minorEastAsia"/>
          <w:bCs/>
          <w:color w:val="000000" w:themeColor="text1"/>
          <w:sz w:val="28"/>
          <w:szCs w:val="28"/>
          <w:highlight w:val="none"/>
          <w:u w:val="single"/>
          <w14:textFill>
            <w14:solidFill>
              <w14:schemeClr w14:val="tx1"/>
            </w14:solidFill>
          </w14:textFill>
        </w:rPr>
        <w:t xml:space="preserve">   </w:t>
      </w:r>
    </w:p>
    <w:p w14:paraId="654F8EE4">
      <w:pPr>
        <w:pStyle w:val="171"/>
        <w:pageBreakBefore w:val="0"/>
        <w:kinsoku/>
        <w:wordWrap/>
        <w:overflowPunct/>
        <w:topLinePunct w:val="0"/>
        <w:bidi w:val="0"/>
        <w:spacing w:beforeLines="0" w:afterAutospacing="0" w:line="560" w:lineRule="exact"/>
        <w:textAlignment w:val="auto"/>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pPr>
      <w:r>
        <w:rPr>
          <w:rFonts w:hint="eastAsia" w:asciiTheme="minorEastAsia" w:hAnsiTheme="minorEastAsia" w:eastAsiaTheme="minorEastAsia" w:cstheme="minorEastAsia"/>
          <w:bCs/>
          <w:color w:val="000000" w:themeColor="text1"/>
          <w:sz w:val="28"/>
          <w:szCs w:val="28"/>
          <w:highlight w:val="none"/>
          <w:u w:val="none"/>
          <w:lang w:eastAsia="zh-CN"/>
          <w14:textFill>
            <w14:solidFill>
              <w14:schemeClr w14:val="tx1"/>
            </w14:solidFill>
          </w14:textFill>
        </w:rPr>
        <w:t>（</w:t>
      </w:r>
      <w:r>
        <w:rPr>
          <w:rFonts w:hint="eastAsia" w:asciiTheme="minorEastAsia" w:hAnsiTheme="minorEastAsia" w:eastAsiaTheme="minorEastAsia" w:cstheme="minorEastAsia"/>
          <w:bCs/>
          <w:color w:val="000000" w:themeColor="text1"/>
          <w:sz w:val="28"/>
          <w:szCs w:val="28"/>
          <w:highlight w:val="none"/>
          <w:u w:val="none"/>
          <w:lang w:val="en-US" w:eastAsia="zh-CN"/>
          <w14:textFill>
            <w14:solidFill>
              <w14:schemeClr w14:val="tx1"/>
            </w14:solidFill>
          </w14:textFill>
        </w:rPr>
        <w:t>7</w:t>
      </w:r>
      <w:r>
        <w:rPr>
          <w:rFonts w:hint="eastAsia" w:asciiTheme="minorEastAsia" w:hAnsiTheme="minorEastAsia" w:eastAsiaTheme="minorEastAsia" w:cstheme="minorEastAsia"/>
          <w:bCs/>
          <w:color w:val="000000" w:themeColor="text1"/>
          <w:sz w:val="28"/>
          <w:szCs w:val="28"/>
          <w:highlight w:val="none"/>
          <w:u w:val="none"/>
          <w:lang w:eastAsia="zh-CN"/>
          <w14:textFill>
            <w14:solidFill>
              <w14:schemeClr w14:val="tx1"/>
            </w14:solidFill>
          </w14:textFill>
        </w:rPr>
        <w:t>）是否以采购活动中供应商提供的样品作为参考：</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sym w:font="Wingdings" w:char="00FE"/>
      </w: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 xml:space="preserve">是  </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sym w:font="Wingdings" w:char="00A8"/>
      </w: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否</w:t>
      </w:r>
    </w:p>
    <w:p w14:paraId="5791BE42">
      <w:pPr>
        <w:pageBreakBefore w:val="0"/>
        <w:kinsoku/>
        <w:wordWrap/>
        <w:overflowPunct/>
        <w:topLinePunct w:val="0"/>
        <w:bidi w:val="0"/>
        <w:adjustRightInd w:val="0"/>
        <w:snapToGrid w:val="0"/>
        <w:spacing w:before="0" w:beforeLines="0" w:afterAutospacing="0" w:line="560" w:lineRule="exact"/>
        <w:ind w:firstLine="560" w:firstLineChars="200"/>
        <w:textAlignment w:val="auto"/>
        <w:rPr>
          <w:rFonts w:hint="eastAsia" w:asciiTheme="minorEastAsia" w:hAnsiTheme="minorEastAsia" w:eastAsiaTheme="minorEastAsia" w:cstheme="minorEastAsia"/>
          <w:bCs/>
          <w:color w:val="000000" w:themeColor="text1"/>
          <w:sz w:val="28"/>
          <w:szCs w:val="28"/>
          <w:highlight w:val="none"/>
          <w:u w:val="single"/>
          <w14:textFill>
            <w14:solidFill>
              <w14:schemeClr w14:val="tx1"/>
            </w14:solidFill>
          </w14:textFill>
        </w:rPr>
      </w:pP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（8）履约验收其他事项：</w:t>
      </w:r>
      <w:r>
        <w:rPr>
          <w:rFonts w:hint="eastAsia" w:asciiTheme="minorEastAsia" w:hAnsiTheme="minorEastAsia" w:eastAsiaTheme="minorEastAsia" w:cstheme="minorEastAsia"/>
          <w:bCs/>
          <w:color w:val="000000" w:themeColor="text1"/>
          <w:sz w:val="28"/>
          <w:szCs w:val="28"/>
          <w:highlight w:val="none"/>
          <w:u w:val="single"/>
          <w14:textFill>
            <w14:solidFill>
              <w14:schemeClr w14:val="tx1"/>
            </w14:solidFill>
          </w14:textFill>
        </w:rPr>
        <w:t xml:space="preserve">      </w:t>
      </w:r>
      <w:r>
        <w:rPr>
          <w:rFonts w:hint="eastAsia" w:asciiTheme="minorEastAsia" w:hAnsiTheme="minorEastAsia" w:eastAsiaTheme="minorEastAsia" w:cstheme="minorEastAsia"/>
          <w:bCs/>
          <w:color w:val="000000" w:themeColor="text1"/>
          <w:sz w:val="28"/>
          <w:szCs w:val="28"/>
          <w:highlight w:val="none"/>
          <w:u w:val="single"/>
          <w:lang w:eastAsia="zh-CN"/>
          <w14:textFill>
            <w14:solidFill>
              <w14:schemeClr w14:val="tx1"/>
            </w14:solidFill>
          </w14:textFill>
        </w:rPr>
        <w:t>无</w:t>
      </w:r>
      <w:r>
        <w:rPr>
          <w:rFonts w:hint="eastAsia" w:asciiTheme="minorEastAsia" w:hAnsiTheme="minorEastAsia" w:eastAsiaTheme="minorEastAsia" w:cstheme="minorEastAsia"/>
          <w:bCs/>
          <w:color w:val="000000" w:themeColor="text1"/>
          <w:sz w:val="28"/>
          <w:szCs w:val="28"/>
          <w:highlight w:val="none"/>
          <w:u w:val="single"/>
          <w14:textFill>
            <w14:solidFill>
              <w14:schemeClr w14:val="tx1"/>
            </w14:solidFill>
          </w14:textFill>
        </w:rPr>
        <w:t xml:space="preserve">         </w:t>
      </w:r>
    </w:p>
    <w:p w14:paraId="0E38DECC">
      <w:pPr>
        <w:pageBreakBefore w:val="0"/>
        <w:numPr>
          <w:ilvl w:val="0"/>
          <w:numId w:val="4"/>
        </w:numPr>
        <w:kinsoku/>
        <w:wordWrap/>
        <w:overflowPunct/>
        <w:topLinePunct w:val="0"/>
        <w:bidi w:val="0"/>
        <w:adjustRightInd w:val="0"/>
        <w:snapToGrid w:val="0"/>
        <w:spacing w:before="0" w:beforeLines="0" w:afterAutospacing="0" w:line="560" w:lineRule="exact"/>
        <w:ind w:firstLine="562" w:firstLineChars="200"/>
        <w:textAlignment w:val="auto"/>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组成合同的文件</w:t>
      </w:r>
    </w:p>
    <w:p w14:paraId="6E719350">
      <w:pPr>
        <w:pageBreakBefore w:val="0"/>
        <w:kinsoku/>
        <w:wordWrap/>
        <w:overflowPunct/>
        <w:topLinePunct w:val="0"/>
        <w:bidi w:val="0"/>
        <w:adjustRightInd w:val="0"/>
        <w:snapToGrid w:val="0"/>
        <w:spacing w:before="0" w:beforeLines="0" w:afterAutospacing="0" w:line="560" w:lineRule="exact"/>
        <w:ind w:firstLine="560" w:firstLineChars="200"/>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本协议书与下列文件一起构成合同文件，如下述文件之间有任何抵触、矛盾或歧义，应按以下顺序解释：</w:t>
      </w:r>
    </w:p>
    <w:p w14:paraId="0E72A4E7">
      <w:pPr>
        <w:pageBreakBefore w:val="0"/>
        <w:kinsoku/>
        <w:wordWrap/>
        <w:overflowPunct/>
        <w:topLinePunct w:val="0"/>
        <w:bidi w:val="0"/>
        <w:adjustRightInd w:val="0"/>
        <w:snapToGrid w:val="0"/>
        <w:spacing w:before="0" w:beforeLines="0" w:afterAutospacing="0" w:line="560" w:lineRule="exact"/>
        <w:ind w:firstLine="560" w:firstLineChars="200"/>
        <w:textAlignment w:val="auto"/>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（1）合同协议书及其变更、补充</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协议</w:t>
      </w:r>
    </w:p>
    <w:p w14:paraId="3FB5CBFD">
      <w:pPr>
        <w:pageBreakBefore w:val="0"/>
        <w:kinsoku/>
        <w:wordWrap/>
        <w:overflowPunct/>
        <w:topLinePunct w:val="0"/>
        <w:bidi w:val="0"/>
        <w:adjustRightInd w:val="0"/>
        <w:snapToGrid w:val="0"/>
        <w:spacing w:before="0" w:beforeLines="0" w:afterAutospacing="0" w:line="560" w:lineRule="exact"/>
        <w:ind w:firstLine="560" w:firstLineChars="200"/>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）合同专用条款</w:t>
      </w:r>
    </w:p>
    <w:p w14:paraId="43BDA73A">
      <w:pPr>
        <w:pageBreakBefore w:val="0"/>
        <w:kinsoku/>
        <w:wordWrap/>
        <w:overflowPunct/>
        <w:topLinePunct w:val="0"/>
        <w:bidi w:val="0"/>
        <w:adjustRightInd w:val="0"/>
        <w:snapToGrid w:val="0"/>
        <w:spacing w:before="0" w:beforeLines="0" w:afterAutospacing="0" w:line="560" w:lineRule="exact"/>
        <w:ind w:firstLine="560" w:firstLineChars="200"/>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）合同通用条款</w:t>
      </w:r>
    </w:p>
    <w:p w14:paraId="3C259BEE">
      <w:pPr>
        <w:pageBreakBefore w:val="0"/>
        <w:kinsoku/>
        <w:wordWrap/>
        <w:overflowPunct/>
        <w:topLinePunct w:val="0"/>
        <w:bidi w:val="0"/>
        <w:adjustRightInd w:val="0"/>
        <w:snapToGrid w:val="0"/>
        <w:spacing w:before="0" w:beforeLines="0" w:afterAutospacing="0" w:line="560" w:lineRule="exact"/>
        <w:ind w:firstLine="560" w:firstLineChars="200"/>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）中标</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（成交）</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通知书</w:t>
      </w:r>
    </w:p>
    <w:p w14:paraId="62AE9636">
      <w:pPr>
        <w:pageBreakBefore w:val="0"/>
        <w:kinsoku/>
        <w:wordWrap/>
        <w:overflowPunct/>
        <w:topLinePunct w:val="0"/>
        <w:bidi w:val="0"/>
        <w:adjustRightInd w:val="0"/>
        <w:snapToGrid w:val="0"/>
        <w:spacing w:before="0" w:beforeLines="0" w:afterAutospacing="0" w:line="560" w:lineRule="exact"/>
        <w:ind w:firstLine="560" w:firstLineChars="200"/>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）投标（响应）文件</w:t>
      </w:r>
    </w:p>
    <w:p w14:paraId="79BFCCFB">
      <w:pPr>
        <w:pageBreakBefore w:val="0"/>
        <w:kinsoku/>
        <w:wordWrap/>
        <w:overflowPunct/>
        <w:topLinePunct w:val="0"/>
        <w:bidi w:val="0"/>
        <w:adjustRightInd w:val="0"/>
        <w:snapToGrid w:val="0"/>
        <w:spacing w:before="0" w:beforeLines="0" w:afterAutospacing="0" w:line="560" w:lineRule="exact"/>
        <w:ind w:firstLine="560" w:firstLineChars="200"/>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（6）采购文件</w:t>
      </w:r>
    </w:p>
    <w:p w14:paraId="54DECBE4">
      <w:pPr>
        <w:pageBreakBefore w:val="0"/>
        <w:kinsoku/>
        <w:wordWrap/>
        <w:overflowPunct/>
        <w:topLinePunct w:val="0"/>
        <w:bidi w:val="0"/>
        <w:adjustRightInd w:val="0"/>
        <w:snapToGrid w:val="0"/>
        <w:spacing w:before="0" w:beforeLines="0" w:afterAutospacing="0" w:line="560" w:lineRule="exact"/>
        <w:ind w:firstLine="560" w:firstLineChars="200"/>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（7）有关技术文件，图纸</w:t>
      </w:r>
    </w:p>
    <w:p w14:paraId="45DEDA0A">
      <w:pPr>
        <w:pStyle w:val="171"/>
        <w:pageBreakBefore w:val="0"/>
        <w:kinsoku/>
        <w:wordWrap/>
        <w:overflowPunct/>
        <w:topLinePunct w:val="0"/>
        <w:bidi w:val="0"/>
        <w:spacing w:beforeLines="0" w:afterAutospacing="0" w:line="560" w:lineRule="exact"/>
        <w:textAlignment w:val="auto"/>
        <w:rPr>
          <w:rFonts w:hint="eastAsia" w:asciiTheme="minorEastAsia" w:hAnsiTheme="minorEastAsia" w:eastAsiaTheme="minorEastAsia" w:cstheme="minorEastAsia"/>
          <w:color w:val="000000" w:themeColor="text1"/>
          <w:kern w:val="2"/>
          <w:sz w:val="28"/>
          <w:szCs w:val="28"/>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w:t>
      </w:r>
      <w:r>
        <w:rPr>
          <w:rFonts w:hint="eastAsia" w:asciiTheme="minorEastAsia" w:hAnsiTheme="minorEastAsia" w:eastAsiaTheme="minorEastAsia" w:cstheme="minorEastAsia"/>
          <w:bCs w:val="0"/>
          <w:color w:val="000000" w:themeColor="text1"/>
          <w:kern w:val="2"/>
          <w:sz w:val="28"/>
          <w:szCs w:val="28"/>
          <w:highlight w:val="none"/>
          <w:lang w:eastAsia="zh-CN"/>
          <w14:textFill>
            <w14:solidFill>
              <w14:schemeClr w14:val="tx1"/>
            </w14:solidFill>
          </w14:textFill>
        </w:rPr>
        <w:t>国家法律、行政法规和规章制度规定或合同约定的作为合同组成部分的其他文件</w:t>
      </w:r>
    </w:p>
    <w:p w14:paraId="60182FD6">
      <w:pPr>
        <w:pageBreakBefore w:val="0"/>
        <w:numPr>
          <w:ilvl w:val="0"/>
          <w:numId w:val="4"/>
        </w:numPr>
        <w:kinsoku/>
        <w:wordWrap/>
        <w:overflowPunct/>
        <w:topLinePunct w:val="0"/>
        <w:bidi w:val="0"/>
        <w:adjustRightInd w:val="0"/>
        <w:snapToGrid w:val="0"/>
        <w:spacing w:before="0" w:beforeLines="0" w:afterAutospacing="0" w:line="560" w:lineRule="exact"/>
        <w:ind w:firstLine="562" w:firstLineChars="200"/>
        <w:textAlignment w:val="auto"/>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合同生效</w:t>
      </w:r>
    </w:p>
    <w:p w14:paraId="18A1079E">
      <w:pPr>
        <w:pageBreakBefore w:val="0"/>
        <w:kinsoku/>
        <w:wordWrap/>
        <w:overflowPunct/>
        <w:topLinePunct w:val="0"/>
        <w:bidi w:val="0"/>
        <w:adjustRightInd w:val="0"/>
        <w:snapToGrid w:val="0"/>
        <w:spacing w:before="0" w:beforeLines="0" w:afterAutospacing="0" w:line="560" w:lineRule="exact"/>
        <w:ind w:firstLine="560" w:firstLineChars="200"/>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本合同</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自成交通知书下发之日起</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生效。</w:t>
      </w:r>
    </w:p>
    <w:p w14:paraId="76402883">
      <w:pPr>
        <w:pageBreakBefore w:val="0"/>
        <w:numPr>
          <w:ilvl w:val="0"/>
          <w:numId w:val="4"/>
        </w:numPr>
        <w:kinsoku/>
        <w:wordWrap/>
        <w:overflowPunct/>
        <w:topLinePunct w:val="0"/>
        <w:bidi w:val="0"/>
        <w:adjustRightInd w:val="0"/>
        <w:snapToGrid w:val="0"/>
        <w:spacing w:before="0" w:beforeLines="0" w:afterAutospacing="0" w:line="560" w:lineRule="exact"/>
        <w:ind w:firstLine="562" w:firstLineChars="200"/>
        <w:textAlignment w:val="auto"/>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合同份数</w:t>
      </w:r>
    </w:p>
    <w:p w14:paraId="6E6A1048">
      <w:pPr>
        <w:pageBreakBefore w:val="0"/>
        <w:kinsoku/>
        <w:wordWrap/>
        <w:overflowPunct/>
        <w:topLinePunct w:val="0"/>
        <w:bidi w:val="0"/>
        <w:adjustRightInd w:val="0"/>
        <w:snapToGrid w:val="0"/>
        <w:spacing w:before="0" w:beforeLines="0" w:afterAutospacing="0" w:line="560" w:lineRule="exact"/>
        <w:ind w:firstLine="560" w:firstLineChars="200"/>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本合同一式</w:t>
      </w:r>
      <w:r>
        <w:rPr>
          <w:rFonts w:hint="eastAsia" w:asciiTheme="minorEastAsia" w:hAnsiTheme="minorEastAsia" w:eastAsiaTheme="minorEastAsia" w:cstheme="minorEastAsia"/>
          <w:color w:val="000000" w:themeColor="text1"/>
          <w:sz w:val="28"/>
          <w:szCs w:val="28"/>
          <w:highlight w:val="none"/>
          <w:u w:val="single"/>
          <w:lang w:eastAsia="zh-CN"/>
          <w14:textFill>
            <w14:solidFill>
              <w14:schemeClr w14:val="tx1"/>
            </w14:solidFill>
          </w14:textFill>
        </w:rPr>
        <w:t>六</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份，</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甲方</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执</w:t>
      </w:r>
      <w:r>
        <w:rPr>
          <w:rFonts w:hint="eastAsia" w:asciiTheme="minorEastAsia" w:hAnsiTheme="minorEastAsia" w:eastAsiaTheme="minorEastAsia" w:cstheme="minorEastAsia"/>
          <w:color w:val="000000" w:themeColor="text1"/>
          <w:sz w:val="28"/>
          <w:szCs w:val="28"/>
          <w:highlight w:val="none"/>
          <w:u w:val="single"/>
          <w:lang w:eastAsia="zh-CN"/>
          <w14:textFill>
            <w14:solidFill>
              <w14:schemeClr w14:val="tx1"/>
            </w14:solidFill>
          </w14:textFill>
        </w:rPr>
        <w:t>五</w:t>
      </w:r>
      <w: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t>份</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乙方</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执</w:t>
      </w:r>
      <w:r>
        <w:rPr>
          <w:rFonts w:hint="eastAsia" w:asciiTheme="minorEastAsia" w:hAnsiTheme="minorEastAsia" w:eastAsiaTheme="minorEastAsia" w:cstheme="minorEastAsia"/>
          <w:color w:val="000000" w:themeColor="text1"/>
          <w:sz w:val="28"/>
          <w:szCs w:val="28"/>
          <w:highlight w:val="none"/>
          <w:u w:val="single"/>
          <w:lang w:eastAsia="zh-CN"/>
          <w14:textFill>
            <w14:solidFill>
              <w14:schemeClr w14:val="tx1"/>
            </w14:solidFill>
          </w14:textFill>
        </w:rPr>
        <w:t>一</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份，均具有同等法律效力。</w:t>
      </w:r>
    </w:p>
    <w:p w14:paraId="0344A8A1">
      <w:pPr>
        <w:pageBreakBefore w:val="0"/>
        <w:kinsoku/>
        <w:wordWrap/>
        <w:overflowPunct/>
        <w:topLinePunct w:val="0"/>
        <w:bidi w:val="0"/>
        <w:adjustRightInd w:val="0"/>
        <w:snapToGrid w:val="0"/>
        <w:spacing w:before="0" w:beforeLines="0" w:afterAutospacing="0" w:line="560" w:lineRule="exact"/>
        <w:ind w:firstLine="560" w:firstLineChars="200"/>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合同订立时间：</w:t>
      </w:r>
      <w: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年</w:t>
      </w:r>
      <w: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月</w:t>
      </w:r>
      <w: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日</w:t>
      </w:r>
    </w:p>
    <w:p w14:paraId="2F2C7687">
      <w:pPr>
        <w:pageBreakBefore w:val="0"/>
        <w:kinsoku/>
        <w:wordWrap/>
        <w:overflowPunct/>
        <w:topLinePunct w:val="0"/>
        <w:bidi w:val="0"/>
        <w:adjustRightInd w:val="0"/>
        <w:snapToGrid w:val="0"/>
        <w:spacing w:before="0" w:beforeLines="0" w:afterAutospacing="0" w:line="560" w:lineRule="exact"/>
        <w:ind w:firstLine="560" w:firstLineChars="200"/>
        <w:textAlignment w:val="auto"/>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合同订立地点：</w:t>
      </w:r>
      <w:r>
        <w:rPr>
          <w:rFonts w:hint="eastAsia" w:asciiTheme="minorEastAsia" w:hAnsiTheme="minorEastAsia" w:eastAsiaTheme="minorEastAsia" w:cstheme="minorEastAsia"/>
          <w:color w:val="000000" w:themeColor="text1"/>
          <w:sz w:val="28"/>
          <w:szCs w:val="28"/>
          <w:highlight w:val="none"/>
          <w:u w:val="single"/>
          <w:lang w:eastAsia="zh-CN"/>
          <w14:textFill>
            <w14:solidFill>
              <w14:schemeClr w14:val="tx1"/>
            </w14:solidFill>
          </w14:textFill>
        </w:rPr>
        <w:t>哈密市中心医院</w:t>
      </w:r>
    </w:p>
    <w:p w14:paraId="0D1AD848">
      <w:pPr>
        <w:bidi w:val="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br w:type="page"/>
      </w:r>
    </w:p>
    <w:p w14:paraId="673268C3">
      <w:pPr>
        <w:pStyle w:val="105"/>
        <w:pageBreakBefore w:val="0"/>
        <w:kinsoku/>
        <w:wordWrap/>
        <w:overflowPunct/>
        <w:topLinePunct w:val="0"/>
        <w:bidi w:val="0"/>
        <w:spacing w:afterAutospacing="0" w:line="560" w:lineRule="exac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p>
    <w:tbl>
      <w:tblPr>
        <w:tblStyle w:val="34"/>
        <w:tblW w:w="9710" w:type="dxa"/>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2180"/>
        <w:gridCol w:w="2789"/>
        <w:gridCol w:w="2288"/>
        <w:gridCol w:w="2453"/>
      </w:tblGrid>
      <w:tr w14:paraId="768662B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4969" w:type="dxa"/>
            <w:gridSpan w:val="2"/>
            <w:tcBorders>
              <w:bottom w:val="single" w:color="auto" w:sz="2" w:space="0"/>
              <w:right w:val="single" w:color="auto" w:sz="2" w:space="0"/>
            </w:tcBorders>
            <w:vAlign w:val="center"/>
          </w:tcPr>
          <w:p w14:paraId="67EA033B">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甲方</w:t>
            </w:r>
          </w:p>
        </w:tc>
        <w:tc>
          <w:tcPr>
            <w:tcW w:w="4741" w:type="dxa"/>
            <w:gridSpan w:val="2"/>
            <w:tcBorders>
              <w:left w:val="single" w:color="auto" w:sz="2" w:space="0"/>
              <w:bottom w:val="single" w:color="auto" w:sz="2" w:space="0"/>
            </w:tcBorders>
            <w:vAlign w:val="center"/>
          </w:tcPr>
          <w:p w14:paraId="7E156B90">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乙方（供应商）</w:t>
            </w:r>
          </w:p>
        </w:tc>
      </w:tr>
      <w:tr w14:paraId="2A71967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864" w:hRule="atLeast"/>
        </w:trPr>
        <w:tc>
          <w:tcPr>
            <w:tcW w:w="2180" w:type="dxa"/>
            <w:tcBorders>
              <w:top w:val="single" w:color="auto" w:sz="2" w:space="0"/>
              <w:bottom w:val="single" w:color="auto" w:sz="2" w:space="0"/>
              <w:right w:val="single" w:color="auto" w:sz="2" w:space="0"/>
            </w:tcBorders>
            <w:vAlign w:val="center"/>
          </w:tcPr>
          <w:p w14:paraId="3F9C7835">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单位名称（</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合同章</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w:t>
            </w:r>
          </w:p>
        </w:tc>
        <w:tc>
          <w:tcPr>
            <w:tcW w:w="2789" w:type="dxa"/>
            <w:tcBorders>
              <w:top w:val="single" w:color="auto" w:sz="2" w:space="0"/>
              <w:left w:val="single" w:color="auto" w:sz="2" w:space="0"/>
              <w:bottom w:val="single" w:color="auto" w:sz="2" w:space="0"/>
              <w:right w:val="single" w:color="auto" w:sz="2" w:space="0"/>
            </w:tcBorders>
            <w:vAlign w:val="center"/>
          </w:tcPr>
          <w:p w14:paraId="785BE514">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p>
        </w:tc>
        <w:tc>
          <w:tcPr>
            <w:tcW w:w="2288" w:type="dxa"/>
            <w:tcBorders>
              <w:top w:val="single" w:color="auto" w:sz="2" w:space="0"/>
              <w:left w:val="single" w:color="auto" w:sz="2" w:space="0"/>
              <w:bottom w:val="single" w:color="auto" w:sz="2" w:space="0"/>
              <w:right w:val="single" w:color="auto" w:sz="2" w:space="0"/>
            </w:tcBorders>
            <w:vAlign w:val="center"/>
          </w:tcPr>
          <w:p w14:paraId="68EDAEE5">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单位名称（公章</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或合同章</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w:t>
            </w:r>
          </w:p>
        </w:tc>
        <w:tc>
          <w:tcPr>
            <w:tcW w:w="2453" w:type="dxa"/>
            <w:tcBorders>
              <w:top w:val="single" w:color="auto" w:sz="2" w:space="0"/>
              <w:left w:val="single" w:color="auto" w:sz="2" w:space="0"/>
              <w:bottom w:val="single" w:color="auto" w:sz="2" w:space="0"/>
            </w:tcBorders>
            <w:vAlign w:val="center"/>
          </w:tcPr>
          <w:p w14:paraId="02DBBDFC">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pacing w:val="20"/>
                <w:sz w:val="28"/>
                <w:szCs w:val="28"/>
                <w:highlight w:val="none"/>
                <w14:textFill>
                  <w14:solidFill>
                    <w14:schemeClr w14:val="tx1"/>
                  </w14:solidFill>
                </w14:textFill>
              </w:rPr>
            </w:pPr>
          </w:p>
        </w:tc>
      </w:tr>
      <w:tr w14:paraId="1B385B7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447" w:hRule="atLeast"/>
        </w:trPr>
        <w:tc>
          <w:tcPr>
            <w:tcW w:w="2180" w:type="dxa"/>
            <w:tcBorders>
              <w:top w:val="single" w:color="auto" w:sz="2" w:space="0"/>
              <w:right w:val="single" w:color="auto" w:sz="2" w:space="0"/>
            </w:tcBorders>
            <w:vAlign w:val="center"/>
          </w:tcPr>
          <w:p w14:paraId="5CCA0088">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法定代表人</w:t>
            </w:r>
          </w:p>
          <w:p w14:paraId="50AE43AD">
            <w:pPr>
              <w:pageBreakBefore w:val="0"/>
              <w:kinsoku/>
              <w:wordWrap/>
              <w:overflowPunct/>
              <w:topLinePunct w:val="0"/>
              <w:bidi w:val="0"/>
              <w:adjustRightInd w:val="0"/>
              <w:snapToGrid w:val="0"/>
              <w:spacing w:afterAutospacing="0" w:line="560" w:lineRule="exact"/>
              <w:ind w:firstLine="414" w:firstLineChars="148"/>
              <w:jc w:val="both"/>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（签章）</w:t>
            </w:r>
          </w:p>
        </w:tc>
        <w:tc>
          <w:tcPr>
            <w:tcW w:w="2789" w:type="dxa"/>
            <w:tcBorders>
              <w:top w:val="single" w:color="auto" w:sz="2" w:space="0"/>
              <w:left w:val="single" w:color="auto" w:sz="2" w:space="0"/>
              <w:right w:val="single" w:color="auto" w:sz="2" w:space="0"/>
            </w:tcBorders>
            <w:vAlign w:val="center"/>
          </w:tcPr>
          <w:p w14:paraId="72885102">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p>
        </w:tc>
        <w:tc>
          <w:tcPr>
            <w:tcW w:w="2288" w:type="dxa"/>
            <w:tcBorders>
              <w:top w:val="single" w:color="auto" w:sz="2" w:space="0"/>
              <w:left w:val="single" w:color="auto" w:sz="2" w:space="0"/>
              <w:right w:val="single" w:color="auto" w:sz="2" w:space="0"/>
            </w:tcBorders>
            <w:vAlign w:val="center"/>
          </w:tcPr>
          <w:p w14:paraId="1854CCE3">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法定代表人</w:t>
            </w:r>
          </w:p>
          <w:p w14:paraId="44CCB5FF">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或其委托代理人（签章）</w:t>
            </w:r>
          </w:p>
        </w:tc>
        <w:tc>
          <w:tcPr>
            <w:tcW w:w="2453" w:type="dxa"/>
            <w:tcBorders>
              <w:top w:val="single" w:color="auto" w:sz="2" w:space="0"/>
              <w:left w:val="single" w:color="auto" w:sz="2" w:space="0"/>
              <w:bottom w:val="single" w:color="auto" w:sz="2" w:space="0"/>
            </w:tcBorders>
            <w:vAlign w:val="center"/>
          </w:tcPr>
          <w:p w14:paraId="1BA4E303">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p>
        </w:tc>
      </w:tr>
      <w:tr w14:paraId="385ED1D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180" w:type="dxa"/>
            <w:tcBorders>
              <w:top w:val="single" w:color="auto" w:sz="2" w:space="0"/>
              <w:bottom w:val="single" w:color="auto" w:sz="2" w:space="0"/>
              <w:right w:val="single" w:color="auto" w:sz="2" w:space="0"/>
            </w:tcBorders>
            <w:vAlign w:val="center"/>
          </w:tcPr>
          <w:p w14:paraId="717A2194">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副院长：</w:t>
            </w:r>
          </w:p>
        </w:tc>
        <w:tc>
          <w:tcPr>
            <w:tcW w:w="2789" w:type="dxa"/>
            <w:tcBorders>
              <w:top w:val="single" w:color="auto" w:sz="2" w:space="0"/>
              <w:left w:val="single" w:color="auto" w:sz="2" w:space="0"/>
              <w:bottom w:val="single" w:color="auto" w:sz="2" w:space="0"/>
              <w:right w:val="single" w:color="auto" w:sz="2" w:space="0"/>
            </w:tcBorders>
            <w:vAlign w:val="center"/>
          </w:tcPr>
          <w:p w14:paraId="7DE34460">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p>
        </w:tc>
        <w:tc>
          <w:tcPr>
            <w:tcW w:w="2288" w:type="dxa"/>
            <w:tcBorders>
              <w:top w:val="single" w:color="auto" w:sz="2" w:space="0"/>
              <w:left w:val="single" w:color="auto" w:sz="2" w:space="0"/>
              <w:bottom w:val="single" w:color="auto" w:sz="2" w:space="0"/>
              <w:right w:val="single" w:color="auto" w:sz="2" w:space="0"/>
            </w:tcBorders>
            <w:vAlign w:val="center"/>
          </w:tcPr>
          <w:p w14:paraId="343548A7">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pPr>
          </w:p>
        </w:tc>
        <w:tc>
          <w:tcPr>
            <w:tcW w:w="2453" w:type="dxa"/>
            <w:tcBorders>
              <w:top w:val="single" w:color="auto" w:sz="2" w:space="0"/>
              <w:left w:val="single" w:color="auto" w:sz="2" w:space="0"/>
              <w:bottom w:val="single" w:color="auto" w:sz="2" w:space="0"/>
            </w:tcBorders>
            <w:vAlign w:val="center"/>
          </w:tcPr>
          <w:p w14:paraId="262E1F23">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pacing w:val="20"/>
                <w:sz w:val="28"/>
                <w:szCs w:val="28"/>
                <w:highlight w:val="none"/>
                <w14:textFill>
                  <w14:solidFill>
                    <w14:schemeClr w14:val="tx1"/>
                  </w14:solidFill>
                </w14:textFill>
              </w:rPr>
            </w:pPr>
          </w:p>
        </w:tc>
      </w:tr>
      <w:tr w14:paraId="3C69CCE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180" w:type="dxa"/>
            <w:tcBorders>
              <w:top w:val="single" w:color="auto" w:sz="2" w:space="0"/>
              <w:bottom w:val="single" w:color="auto" w:sz="2" w:space="0"/>
              <w:right w:val="single" w:color="auto" w:sz="2" w:space="0"/>
            </w:tcBorders>
            <w:vAlign w:val="center"/>
          </w:tcPr>
          <w:p w14:paraId="4699C494">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kern w:val="2"/>
                <w:sz w:val="28"/>
                <w:szCs w:val="28"/>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住</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所</w:t>
            </w:r>
          </w:p>
        </w:tc>
        <w:tc>
          <w:tcPr>
            <w:tcW w:w="2789" w:type="dxa"/>
            <w:tcBorders>
              <w:top w:val="single" w:color="auto" w:sz="2" w:space="0"/>
              <w:left w:val="single" w:color="auto" w:sz="2" w:space="0"/>
              <w:bottom w:val="single" w:color="auto" w:sz="2" w:space="0"/>
              <w:right w:val="single" w:color="auto" w:sz="2" w:space="0"/>
            </w:tcBorders>
            <w:vAlign w:val="center"/>
          </w:tcPr>
          <w:p w14:paraId="3AC2B1CD">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kern w:val="2"/>
                <w:sz w:val="28"/>
                <w:szCs w:val="28"/>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8"/>
                <w:szCs w:val="28"/>
                <w:highlight w:val="none"/>
                <w:lang w:val="en-US" w:eastAsia="zh-CN" w:bidi="ar-SA"/>
                <w14:textFill>
                  <w14:solidFill>
                    <w14:schemeClr w14:val="tx1"/>
                  </w14:solidFill>
                </w14:textFill>
              </w:rPr>
              <w:t>哈密市广场北路18号</w:t>
            </w:r>
          </w:p>
        </w:tc>
        <w:tc>
          <w:tcPr>
            <w:tcW w:w="2288" w:type="dxa"/>
            <w:tcBorders>
              <w:top w:val="single" w:color="auto" w:sz="2" w:space="0"/>
              <w:left w:val="single" w:color="auto" w:sz="2" w:space="0"/>
              <w:bottom w:val="single" w:color="auto" w:sz="2" w:space="0"/>
              <w:right w:val="single" w:color="auto" w:sz="2" w:space="0"/>
            </w:tcBorders>
            <w:vAlign w:val="center"/>
          </w:tcPr>
          <w:p w14:paraId="31C9A372">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kern w:val="2"/>
                <w:sz w:val="28"/>
                <w:szCs w:val="28"/>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住</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所</w:t>
            </w:r>
          </w:p>
        </w:tc>
        <w:tc>
          <w:tcPr>
            <w:tcW w:w="2453" w:type="dxa"/>
            <w:tcBorders>
              <w:top w:val="single" w:color="auto" w:sz="2" w:space="0"/>
              <w:left w:val="single" w:color="auto" w:sz="2" w:space="0"/>
              <w:bottom w:val="single" w:color="auto" w:sz="2" w:space="0"/>
            </w:tcBorders>
            <w:vAlign w:val="center"/>
          </w:tcPr>
          <w:p w14:paraId="17DFD406">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pacing w:val="20"/>
                <w:kern w:val="2"/>
                <w:sz w:val="28"/>
                <w:szCs w:val="28"/>
                <w:highlight w:val="none"/>
                <w:lang w:val="en-US" w:eastAsia="zh-CN" w:bidi="ar-SA"/>
                <w14:textFill>
                  <w14:solidFill>
                    <w14:schemeClr w14:val="tx1"/>
                  </w14:solidFill>
                </w14:textFill>
              </w:rPr>
            </w:pPr>
          </w:p>
        </w:tc>
      </w:tr>
      <w:tr w14:paraId="5942C8F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180" w:type="dxa"/>
            <w:tcBorders>
              <w:top w:val="single" w:color="auto" w:sz="2" w:space="0"/>
              <w:bottom w:val="single" w:color="auto" w:sz="2" w:space="0"/>
              <w:right w:val="single" w:color="auto" w:sz="2" w:space="0"/>
            </w:tcBorders>
            <w:vAlign w:val="center"/>
          </w:tcPr>
          <w:p w14:paraId="21901CE8">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联 系 人</w:t>
            </w:r>
          </w:p>
        </w:tc>
        <w:tc>
          <w:tcPr>
            <w:tcW w:w="2789" w:type="dxa"/>
            <w:tcBorders>
              <w:top w:val="single" w:color="auto" w:sz="2" w:space="0"/>
              <w:left w:val="single" w:color="auto" w:sz="2" w:space="0"/>
              <w:bottom w:val="single" w:color="auto" w:sz="2" w:space="0"/>
              <w:right w:val="single" w:color="auto" w:sz="2" w:space="0"/>
            </w:tcBorders>
            <w:vAlign w:val="center"/>
          </w:tcPr>
          <w:p w14:paraId="6CCAC657">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p>
        </w:tc>
        <w:tc>
          <w:tcPr>
            <w:tcW w:w="2288" w:type="dxa"/>
            <w:tcBorders>
              <w:top w:val="single" w:color="auto" w:sz="2" w:space="0"/>
              <w:left w:val="single" w:color="auto" w:sz="2" w:space="0"/>
              <w:bottom w:val="single" w:color="auto" w:sz="2" w:space="0"/>
              <w:right w:val="single" w:color="auto" w:sz="2" w:space="0"/>
            </w:tcBorders>
            <w:vAlign w:val="center"/>
          </w:tcPr>
          <w:p w14:paraId="38E84A2F">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联 系 人</w:t>
            </w:r>
          </w:p>
        </w:tc>
        <w:tc>
          <w:tcPr>
            <w:tcW w:w="2453" w:type="dxa"/>
            <w:tcBorders>
              <w:top w:val="single" w:color="auto" w:sz="2" w:space="0"/>
              <w:left w:val="single" w:color="auto" w:sz="2" w:space="0"/>
              <w:bottom w:val="single" w:color="auto" w:sz="2" w:space="0"/>
            </w:tcBorders>
            <w:vAlign w:val="center"/>
          </w:tcPr>
          <w:p w14:paraId="69332789">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pacing w:val="20"/>
                <w:sz w:val="28"/>
                <w:szCs w:val="28"/>
                <w:highlight w:val="none"/>
                <w14:textFill>
                  <w14:solidFill>
                    <w14:schemeClr w14:val="tx1"/>
                  </w14:solidFill>
                </w14:textFill>
              </w:rPr>
            </w:pPr>
          </w:p>
        </w:tc>
      </w:tr>
      <w:tr w14:paraId="764DC48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180" w:type="dxa"/>
            <w:tcBorders>
              <w:top w:val="single" w:color="auto" w:sz="2" w:space="0"/>
              <w:bottom w:val="single" w:color="auto" w:sz="2" w:space="0"/>
              <w:right w:val="single" w:color="auto" w:sz="2" w:space="0"/>
            </w:tcBorders>
            <w:vAlign w:val="center"/>
          </w:tcPr>
          <w:p w14:paraId="7FAD7806">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联系电话</w:t>
            </w:r>
          </w:p>
        </w:tc>
        <w:tc>
          <w:tcPr>
            <w:tcW w:w="2789" w:type="dxa"/>
            <w:tcBorders>
              <w:top w:val="single" w:color="auto" w:sz="2" w:space="0"/>
              <w:left w:val="single" w:color="auto" w:sz="2" w:space="0"/>
              <w:bottom w:val="single" w:color="auto" w:sz="2" w:space="0"/>
              <w:right w:val="single" w:color="auto" w:sz="2" w:space="0"/>
            </w:tcBorders>
            <w:vAlign w:val="center"/>
          </w:tcPr>
          <w:p w14:paraId="6E92DE56">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p>
        </w:tc>
        <w:tc>
          <w:tcPr>
            <w:tcW w:w="2288" w:type="dxa"/>
            <w:tcBorders>
              <w:top w:val="single" w:color="auto" w:sz="2" w:space="0"/>
              <w:left w:val="single" w:color="auto" w:sz="2" w:space="0"/>
              <w:bottom w:val="single" w:color="auto" w:sz="2" w:space="0"/>
              <w:right w:val="single" w:color="auto" w:sz="2" w:space="0"/>
            </w:tcBorders>
            <w:vAlign w:val="center"/>
          </w:tcPr>
          <w:p w14:paraId="0EFF52BB">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联系电话</w:t>
            </w:r>
          </w:p>
        </w:tc>
        <w:tc>
          <w:tcPr>
            <w:tcW w:w="2453" w:type="dxa"/>
            <w:tcBorders>
              <w:top w:val="single" w:color="auto" w:sz="2" w:space="0"/>
              <w:left w:val="single" w:color="auto" w:sz="2" w:space="0"/>
              <w:bottom w:val="single" w:color="auto" w:sz="2" w:space="0"/>
            </w:tcBorders>
            <w:vAlign w:val="center"/>
          </w:tcPr>
          <w:p w14:paraId="66058144">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pacing w:val="20"/>
                <w:sz w:val="28"/>
                <w:szCs w:val="28"/>
                <w:highlight w:val="none"/>
                <w14:textFill>
                  <w14:solidFill>
                    <w14:schemeClr w14:val="tx1"/>
                  </w14:solidFill>
                </w14:textFill>
              </w:rPr>
            </w:pPr>
          </w:p>
        </w:tc>
      </w:tr>
      <w:tr w14:paraId="44FD03D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180" w:type="dxa"/>
            <w:tcBorders>
              <w:top w:val="single" w:color="auto" w:sz="2" w:space="0"/>
              <w:bottom w:val="single" w:color="auto" w:sz="2" w:space="0"/>
              <w:right w:val="single" w:color="auto" w:sz="2" w:space="0"/>
            </w:tcBorders>
            <w:vAlign w:val="center"/>
          </w:tcPr>
          <w:p w14:paraId="0B478A64">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通信地址</w:t>
            </w:r>
          </w:p>
        </w:tc>
        <w:tc>
          <w:tcPr>
            <w:tcW w:w="2789" w:type="dxa"/>
            <w:tcBorders>
              <w:top w:val="single" w:color="auto" w:sz="2" w:space="0"/>
              <w:left w:val="single" w:color="auto" w:sz="2" w:space="0"/>
              <w:bottom w:val="single" w:color="auto" w:sz="2" w:space="0"/>
              <w:right w:val="single" w:color="auto" w:sz="2" w:space="0"/>
            </w:tcBorders>
            <w:vAlign w:val="center"/>
          </w:tcPr>
          <w:p w14:paraId="50B83124">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2"/>
                <w:sz w:val="28"/>
                <w:szCs w:val="28"/>
                <w:highlight w:val="none"/>
                <w:lang w:val="en-US" w:eastAsia="zh-CN" w:bidi="ar-SA"/>
                <w14:textFill>
                  <w14:solidFill>
                    <w14:schemeClr w14:val="tx1"/>
                  </w14:solidFill>
                </w14:textFill>
              </w:rPr>
              <w:t>哈密市广场北路18号</w:t>
            </w:r>
          </w:p>
        </w:tc>
        <w:tc>
          <w:tcPr>
            <w:tcW w:w="2288" w:type="dxa"/>
            <w:tcBorders>
              <w:top w:val="single" w:color="auto" w:sz="2" w:space="0"/>
              <w:left w:val="single" w:color="auto" w:sz="2" w:space="0"/>
              <w:bottom w:val="single" w:color="auto" w:sz="2" w:space="0"/>
              <w:right w:val="single" w:color="auto" w:sz="2" w:space="0"/>
            </w:tcBorders>
            <w:vAlign w:val="center"/>
          </w:tcPr>
          <w:p w14:paraId="2A62C488">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通信地址</w:t>
            </w:r>
          </w:p>
        </w:tc>
        <w:tc>
          <w:tcPr>
            <w:tcW w:w="2453" w:type="dxa"/>
            <w:tcBorders>
              <w:top w:val="single" w:color="auto" w:sz="2" w:space="0"/>
              <w:left w:val="single" w:color="auto" w:sz="2" w:space="0"/>
              <w:bottom w:val="single" w:color="auto" w:sz="2" w:space="0"/>
            </w:tcBorders>
            <w:vAlign w:val="center"/>
          </w:tcPr>
          <w:p w14:paraId="4B6DAE2F">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pacing w:val="20"/>
                <w:sz w:val="28"/>
                <w:szCs w:val="28"/>
                <w:highlight w:val="none"/>
                <w14:textFill>
                  <w14:solidFill>
                    <w14:schemeClr w14:val="tx1"/>
                  </w14:solidFill>
                </w14:textFill>
              </w:rPr>
            </w:pPr>
          </w:p>
        </w:tc>
      </w:tr>
      <w:tr w14:paraId="62B9CE4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180" w:type="dxa"/>
            <w:tcBorders>
              <w:top w:val="single" w:color="auto" w:sz="2" w:space="0"/>
              <w:bottom w:val="single" w:color="auto" w:sz="2" w:space="0"/>
              <w:right w:val="single" w:color="auto" w:sz="2" w:space="0"/>
            </w:tcBorders>
            <w:vAlign w:val="center"/>
          </w:tcPr>
          <w:p w14:paraId="5661532A">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邮政编码</w:t>
            </w:r>
          </w:p>
        </w:tc>
        <w:tc>
          <w:tcPr>
            <w:tcW w:w="2789" w:type="dxa"/>
            <w:tcBorders>
              <w:top w:val="single" w:color="auto" w:sz="2" w:space="0"/>
              <w:left w:val="single" w:color="auto" w:sz="2" w:space="0"/>
              <w:bottom w:val="single" w:color="auto" w:sz="2" w:space="0"/>
              <w:right w:val="single" w:color="auto" w:sz="2" w:space="0"/>
            </w:tcBorders>
            <w:vAlign w:val="center"/>
          </w:tcPr>
          <w:p w14:paraId="4B14D4DA">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p>
        </w:tc>
        <w:tc>
          <w:tcPr>
            <w:tcW w:w="2288" w:type="dxa"/>
            <w:tcBorders>
              <w:top w:val="single" w:color="auto" w:sz="2" w:space="0"/>
              <w:left w:val="single" w:color="auto" w:sz="2" w:space="0"/>
              <w:bottom w:val="single" w:color="auto" w:sz="2" w:space="0"/>
              <w:right w:val="single" w:color="auto" w:sz="2" w:space="0"/>
            </w:tcBorders>
            <w:vAlign w:val="center"/>
          </w:tcPr>
          <w:p w14:paraId="687B849D">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邮政编码</w:t>
            </w:r>
          </w:p>
        </w:tc>
        <w:tc>
          <w:tcPr>
            <w:tcW w:w="2453" w:type="dxa"/>
            <w:tcBorders>
              <w:top w:val="single" w:color="auto" w:sz="2" w:space="0"/>
              <w:left w:val="single" w:color="auto" w:sz="2" w:space="0"/>
              <w:bottom w:val="single" w:color="auto" w:sz="2" w:space="0"/>
            </w:tcBorders>
            <w:vAlign w:val="center"/>
          </w:tcPr>
          <w:p w14:paraId="4BB6ED96">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pacing w:val="20"/>
                <w:sz w:val="28"/>
                <w:szCs w:val="28"/>
                <w:highlight w:val="none"/>
                <w14:textFill>
                  <w14:solidFill>
                    <w14:schemeClr w14:val="tx1"/>
                  </w14:solidFill>
                </w14:textFill>
              </w:rPr>
            </w:pPr>
          </w:p>
        </w:tc>
      </w:tr>
      <w:tr w14:paraId="0CE58BA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180" w:type="dxa"/>
            <w:tcBorders>
              <w:top w:val="single" w:color="auto" w:sz="2" w:space="0"/>
              <w:bottom w:val="single" w:color="auto" w:sz="2" w:space="0"/>
              <w:right w:val="single" w:color="auto" w:sz="2" w:space="0"/>
            </w:tcBorders>
            <w:vAlign w:val="center"/>
          </w:tcPr>
          <w:p w14:paraId="60611B91">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电子邮箱</w:t>
            </w:r>
          </w:p>
        </w:tc>
        <w:tc>
          <w:tcPr>
            <w:tcW w:w="2789" w:type="dxa"/>
            <w:tcBorders>
              <w:top w:val="single" w:color="auto" w:sz="2" w:space="0"/>
              <w:left w:val="single" w:color="auto" w:sz="2" w:space="0"/>
              <w:bottom w:val="single" w:color="auto" w:sz="2" w:space="0"/>
              <w:right w:val="single" w:color="auto" w:sz="2" w:space="0"/>
            </w:tcBorders>
            <w:vAlign w:val="center"/>
          </w:tcPr>
          <w:p w14:paraId="4545EFC2">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p>
        </w:tc>
        <w:tc>
          <w:tcPr>
            <w:tcW w:w="2288" w:type="dxa"/>
            <w:tcBorders>
              <w:top w:val="single" w:color="auto" w:sz="2" w:space="0"/>
              <w:left w:val="single" w:color="auto" w:sz="2" w:space="0"/>
              <w:bottom w:val="single" w:color="auto" w:sz="2" w:space="0"/>
              <w:right w:val="single" w:color="auto" w:sz="2" w:space="0"/>
            </w:tcBorders>
            <w:vAlign w:val="center"/>
          </w:tcPr>
          <w:p w14:paraId="25744559">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电子邮箱</w:t>
            </w:r>
          </w:p>
        </w:tc>
        <w:tc>
          <w:tcPr>
            <w:tcW w:w="2453" w:type="dxa"/>
            <w:tcBorders>
              <w:top w:val="single" w:color="auto" w:sz="2" w:space="0"/>
              <w:left w:val="single" w:color="auto" w:sz="2" w:space="0"/>
              <w:bottom w:val="single" w:color="auto" w:sz="2" w:space="0"/>
            </w:tcBorders>
            <w:vAlign w:val="center"/>
          </w:tcPr>
          <w:p w14:paraId="4D2ED1ED">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pacing w:val="20"/>
                <w:sz w:val="28"/>
                <w:szCs w:val="28"/>
                <w:highlight w:val="none"/>
                <w14:textFill>
                  <w14:solidFill>
                    <w14:schemeClr w14:val="tx1"/>
                  </w14:solidFill>
                </w14:textFill>
              </w:rPr>
            </w:pPr>
          </w:p>
        </w:tc>
      </w:tr>
      <w:tr w14:paraId="2793DF3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180" w:type="dxa"/>
            <w:tcBorders>
              <w:top w:val="single" w:color="auto" w:sz="2" w:space="0"/>
              <w:bottom w:val="single" w:color="auto" w:sz="2" w:space="0"/>
              <w:right w:val="single" w:color="auto" w:sz="2" w:space="0"/>
            </w:tcBorders>
            <w:vAlign w:val="center"/>
          </w:tcPr>
          <w:p w14:paraId="22F7A4F1">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统一社会信用代码</w:t>
            </w:r>
          </w:p>
        </w:tc>
        <w:tc>
          <w:tcPr>
            <w:tcW w:w="2789" w:type="dxa"/>
            <w:tcBorders>
              <w:top w:val="single" w:color="auto" w:sz="2" w:space="0"/>
              <w:left w:val="single" w:color="auto" w:sz="2" w:space="0"/>
              <w:bottom w:val="single" w:color="auto" w:sz="2" w:space="0"/>
              <w:right w:val="single" w:color="auto" w:sz="2" w:space="0"/>
            </w:tcBorders>
            <w:vAlign w:val="center"/>
          </w:tcPr>
          <w:p w14:paraId="1E39565C">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p>
        </w:tc>
        <w:tc>
          <w:tcPr>
            <w:tcW w:w="2288" w:type="dxa"/>
            <w:tcBorders>
              <w:top w:val="single" w:color="auto" w:sz="2" w:space="0"/>
              <w:left w:val="single" w:color="auto" w:sz="2" w:space="0"/>
              <w:bottom w:val="single" w:color="auto" w:sz="2" w:space="0"/>
              <w:right w:val="single" w:color="auto" w:sz="2" w:space="0"/>
            </w:tcBorders>
            <w:vAlign w:val="center"/>
          </w:tcPr>
          <w:p w14:paraId="1A7709EF">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统一社会信用代码</w:t>
            </w:r>
          </w:p>
        </w:tc>
        <w:tc>
          <w:tcPr>
            <w:tcW w:w="2453" w:type="dxa"/>
            <w:tcBorders>
              <w:top w:val="single" w:color="auto" w:sz="2" w:space="0"/>
              <w:left w:val="single" w:color="auto" w:sz="2" w:space="0"/>
              <w:bottom w:val="single" w:color="auto" w:sz="2" w:space="0"/>
            </w:tcBorders>
            <w:vAlign w:val="center"/>
          </w:tcPr>
          <w:p w14:paraId="6DF8C5CF">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pacing w:val="20"/>
                <w:sz w:val="28"/>
                <w:szCs w:val="28"/>
                <w:highlight w:val="none"/>
                <w14:textFill>
                  <w14:solidFill>
                    <w14:schemeClr w14:val="tx1"/>
                  </w14:solidFill>
                </w14:textFill>
              </w:rPr>
            </w:pPr>
          </w:p>
        </w:tc>
      </w:tr>
      <w:tr w14:paraId="6033B41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180" w:type="dxa"/>
            <w:tcBorders>
              <w:top w:val="single" w:color="auto" w:sz="2" w:space="0"/>
              <w:bottom w:val="single" w:color="auto" w:sz="2" w:space="0"/>
              <w:right w:val="single" w:color="auto" w:sz="2" w:space="0"/>
            </w:tcBorders>
            <w:vAlign w:val="center"/>
          </w:tcPr>
          <w:p w14:paraId="2209DFE6">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p>
        </w:tc>
        <w:tc>
          <w:tcPr>
            <w:tcW w:w="2789" w:type="dxa"/>
            <w:tcBorders>
              <w:top w:val="single" w:color="auto" w:sz="2" w:space="0"/>
              <w:left w:val="single" w:color="auto" w:sz="2" w:space="0"/>
              <w:bottom w:val="single" w:color="auto" w:sz="2" w:space="0"/>
              <w:right w:val="single" w:color="auto" w:sz="2" w:space="0"/>
            </w:tcBorders>
            <w:vAlign w:val="center"/>
          </w:tcPr>
          <w:p w14:paraId="6576B895">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p>
        </w:tc>
        <w:tc>
          <w:tcPr>
            <w:tcW w:w="2288" w:type="dxa"/>
            <w:tcBorders>
              <w:top w:val="single" w:color="auto" w:sz="2" w:space="0"/>
              <w:left w:val="single" w:color="auto" w:sz="2" w:space="0"/>
              <w:bottom w:val="single" w:color="auto" w:sz="2" w:space="0"/>
              <w:right w:val="single" w:color="auto" w:sz="2" w:space="0"/>
            </w:tcBorders>
            <w:vAlign w:val="center"/>
          </w:tcPr>
          <w:p w14:paraId="643A87F5">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开户名称</w:t>
            </w:r>
          </w:p>
        </w:tc>
        <w:tc>
          <w:tcPr>
            <w:tcW w:w="2453" w:type="dxa"/>
            <w:tcBorders>
              <w:top w:val="single" w:color="auto" w:sz="2" w:space="0"/>
              <w:left w:val="single" w:color="auto" w:sz="2" w:space="0"/>
              <w:bottom w:val="single" w:color="auto" w:sz="2" w:space="0"/>
            </w:tcBorders>
            <w:vAlign w:val="center"/>
          </w:tcPr>
          <w:p w14:paraId="516B9F42">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pacing w:val="20"/>
                <w:sz w:val="28"/>
                <w:szCs w:val="28"/>
                <w:highlight w:val="none"/>
                <w14:textFill>
                  <w14:solidFill>
                    <w14:schemeClr w14:val="tx1"/>
                  </w14:solidFill>
                </w14:textFill>
              </w:rPr>
            </w:pPr>
          </w:p>
        </w:tc>
      </w:tr>
      <w:tr w14:paraId="634206B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180" w:type="dxa"/>
            <w:tcBorders>
              <w:top w:val="single" w:color="auto" w:sz="2" w:space="0"/>
              <w:bottom w:val="single" w:color="auto" w:sz="2" w:space="0"/>
              <w:right w:val="single" w:color="auto" w:sz="2" w:space="0"/>
            </w:tcBorders>
            <w:vAlign w:val="center"/>
          </w:tcPr>
          <w:p w14:paraId="7F473C28">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p>
        </w:tc>
        <w:tc>
          <w:tcPr>
            <w:tcW w:w="2789" w:type="dxa"/>
            <w:tcBorders>
              <w:top w:val="single" w:color="auto" w:sz="2" w:space="0"/>
              <w:left w:val="single" w:color="auto" w:sz="2" w:space="0"/>
              <w:bottom w:val="single" w:color="auto" w:sz="2" w:space="0"/>
              <w:right w:val="single" w:color="auto" w:sz="2" w:space="0"/>
            </w:tcBorders>
            <w:vAlign w:val="center"/>
          </w:tcPr>
          <w:p w14:paraId="4BEFDC71">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p>
        </w:tc>
        <w:tc>
          <w:tcPr>
            <w:tcW w:w="2288" w:type="dxa"/>
            <w:tcBorders>
              <w:top w:val="single" w:color="auto" w:sz="2" w:space="0"/>
              <w:left w:val="single" w:color="auto" w:sz="2" w:space="0"/>
              <w:bottom w:val="single" w:color="auto" w:sz="2" w:space="0"/>
              <w:right w:val="single" w:color="auto" w:sz="2" w:space="0"/>
            </w:tcBorders>
            <w:vAlign w:val="center"/>
          </w:tcPr>
          <w:p w14:paraId="3496FED7">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开户银行</w:t>
            </w:r>
          </w:p>
        </w:tc>
        <w:tc>
          <w:tcPr>
            <w:tcW w:w="2453" w:type="dxa"/>
            <w:tcBorders>
              <w:top w:val="single" w:color="auto" w:sz="2" w:space="0"/>
              <w:left w:val="single" w:color="auto" w:sz="2" w:space="0"/>
              <w:bottom w:val="single" w:color="auto" w:sz="2" w:space="0"/>
            </w:tcBorders>
            <w:vAlign w:val="center"/>
          </w:tcPr>
          <w:p w14:paraId="0F6A7F91">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pacing w:val="20"/>
                <w:sz w:val="28"/>
                <w:szCs w:val="28"/>
                <w:highlight w:val="none"/>
                <w14:textFill>
                  <w14:solidFill>
                    <w14:schemeClr w14:val="tx1"/>
                  </w14:solidFill>
                </w14:textFill>
              </w:rPr>
            </w:pPr>
          </w:p>
        </w:tc>
      </w:tr>
      <w:tr w14:paraId="0FBD9A7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180" w:type="dxa"/>
            <w:tcBorders>
              <w:top w:val="single" w:color="auto" w:sz="2" w:space="0"/>
              <w:bottom w:val="single" w:color="auto" w:sz="2" w:space="0"/>
              <w:right w:val="single" w:color="auto" w:sz="2" w:space="0"/>
            </w:tcBorders>
            <w:vAlign w:val="center"/>
          </w:tcPr>
          <w:p w14:paraId="394BEED0">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p>
        </w:tc>
        <w:tc>
          <w:tcPr>
            <w:tcW w:w="2789" w:type="dxa"/>
            <w:tcBorders>
              <w:top w:val="single" w:color="auto" w:sz="2" w:space="0"/>
              <w:left w:val="single" w:color="auto" w:sz="2" w:space="0"/>
              <w:bottom w:val="single" w:color="auto" w:sz="2" w:space="0"/>
              <w:right w:val="single" w:color="auto" w:sz="2" w:space="0"/>
            </w:tcBorders>
            <w:vAlign w:val="center"/>
          </w:tcPr>
          <w:p w14:paraId="23E6FC27">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p>
        </w:tc>
        <w:tc>
          <w:tcPr>
            <w:tcW w:w="2288" w:type="dxa"/>
            <w:tcBorders>
              <w:top w:val="single" w:color="auto" w:sz="2" w:space="0"/>
              <w:left w:val="single" w:color="auto" w:sz="2" w:space="0"/>
              <w:bottom w:val="single" w:color="auto" w:sz="2" w:space="0"/>
              <w:right w:val="single" w:color="auto" w:sz="2" w:space="0"/>
            </w:tcBorders>
            <w:vAlign w:val="center"/>
          </w:tcPr>
          <w:p w14:paraId="6A4E4FE9">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银行账号</w:t>
            </w:r>
          </w:p>
        </w:tc>
        <w:tc>
          <w:tcPr>
            <w:tcW w:w="2453" w:type="dxa"/>
            <w:tcBorders>
              <w:top w:val="single" w:color="auto" w:sz="2" w:space="0"/>
              <w:left w:val="single" w:color="auto" w:sz="2" w:space="0"/>
              <w:bottom w:val="single" w:color="auto" w:sz="2" w:space="0"/>
            </w:tcBorders>
            <w:vAlign w:val="center"/>
          </w:tcPr>
          <w:p w14:paraId="3A61D5C2">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pacing w:val="20"/>
                <w:sz w:val="28"/>
                <w:szCs w:val="28"/>
                <w:highlight w:val="none"/>
                <w14:textFill>
                  <w14:solidFill>
                    <w14:schemeClr w14:val="tx1"/>
                  </w14:solidFill>
                </w14:textFill>
              </w:rPr>
            </w:pPr>
          </w:p>
        </w:tc>
      </w:tr>
      <w:tr w14:paraId="2BB67F0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9710" w:type="dxa"/>
            <w:gridSpan w:val="4"/>
            <w:tcBorders>
              <w:top w:val="single" w:color="auto" w:sz="2" w:space="0"/>
            </w:tcBorders>
            <w:vAlign w:val="center"/>
          </w:tcPr>
          <w:p w14:paraId="3FDBA421">
            <w:pPr>
              <w:pStyle w:val="14"/>
              <w:pageBreakBefore w:val="0"/>
              <w:kinsoku/>
              <w:wordWrap/>
              <w:overflowPunct/>
              <w:topLinePunct w:val="0"/>
              <w:bidi w:val="0"/>
              <w:adjustRightInd w:val="0"/>
              <w:snapToGrid w:val="0"/>
              <w:spacing w:before="156" w:beforeLines="50" w:after="0" w:afterAutospacing="0" w:line="560" w:lineRule="exact"/>
              <w:ind w:left="0" w:leftChars="0"/>
              <w:jc w:val="left"/>
              <w:textAlignment w:val="auto"/>
              <w:rPr>
                <w:rFonts w:hint="eastAsia" w:asciiTheme="minorEastAsia" w:hAnsiTheme="minorEastAsia" w:eastAsiaTheme="minorEastAsia" w:cstheme="minorEastAsia"/>
                <w:color w:val="000000" w:themeColor="text1"/>
                <w:spacing w:val="20"/>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注：涉及联合体或其他合同主体的信息应按上表格式加列。</w:t>
            </w:r>
          </w:p>
        </w:tc>
      </w:tr>
    </w:tbl>
    <w:p w14:paraId="2B82E03D">
      <w:pPr>
        <w:pStyle w:val="3"/>
        <w:pageBreakBefore w:val="0"/>
        <w:kinsoku/>
        <w:wordWrap/>
        <w:overflowPunct/>
        <w:topLinePunct w:val="0"/>
        <w:bidi w:val="0"/>
        <w:adjustRightInd w:val="0"/>
        <w:snapToGrid w:val="0"/>
        <w:spacing w:before="156" w:beforeLines="50" w:afterAutospacing="0" w:line="560" w:lineRule="exact"/>
        <w:jc w:val="center"/>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br w:type="page"/>
      </w:r>
      <w:r>
        <w:rPr>
          <w:rFonts w:hint="eastAsia" w:asciiTheme="minorEastAsia" w:hAnsiTheme="minorEastAsia" w:eastAsiaTheme="minorEastAsia" w:cstheme="minorEastAsia"/>
          <w:b w:val="0"/>
          <w:bCs w:val="0"/>
          <w:color w:val="000000" w:themeColor="text1"/>
          <w:sz w:val="28"/>
          <w:szCs w:val="28"/>
          <w:highlight w:val="none"/>
          <w14:textFill>
            <w14:solidFill>
              <w14:schemeClr w14:val="tx1"/>
            </w14:solidFill>
          </w14:textFill>
        </w:rPr>
        <w:t>第二节 合同通用条款</w:t>
      </w:r>
    </w:p>
    <w:p w14:paraId="74859291">
      <w:pPr>
        <w:pageBreakBefore w:val="0"/>
        <w:tabs>
          <w:tab w:val="left" w:pos="8820"/>
          <w:tab w:val="left" w:pos="9345"/>
          <w:tab w:val="left" w:pos="9765"/>
        </w:tabs>
        <w:kinsoku/>
        <w:wordWrap/>
        <w:overflowPunct/>
        <w:topLinePunct w:val="0"/>
        <w:bidi w:val="0"/>
        <w:adjustRightInd w:val="0"/>
        <w:snapToGrid w:val="0"/>
        <w:spacing w:before="0" w:afterAutospacing="0" w:line="560" w:lineRule="exact"/>
        <w:jc w:val="left"/>
        <w:textAlignment w:val="auto"/>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1.</w:t>
      </w:r>
      <w:r>
        <w:rPr>
          <w:rFonts w:hint="eastAsia" w:asciiTheme="minorEastAsia" w:hAnsiTheme="minorEastAsia" w:eastAsiaTheme="minorEastAsia" w:cstheme="minorEastAsia"/>
          <w:b/>
          <w:color w:val="000000" w:themeColor="text1"/>
          <w:sz w:val="28"/>
          <w:szCs w:val="28"/>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定义</w:t>
      </w:r>
    </w:p>
    <w:p w14:paraId="1EFBD038">
      <w:pPr>
        <w:pageBreakBefore w:val="0"/>
        <w:kinsoku/>
        <w:wordWrap/>
        <w:overflowPunct/>
        <w:topLinePunct w:val="0"/>
        <w:autoSpaceDE w:val="0"/>
        <w:autoSpaceDN w:val="0"/>
        <w:bidi w:val="0"/>
        <w:adjustRightInd w:val="0"/>
        <w:snapToGrid w:val="0"/>
        <w:spacing w:before="0" w:afterAutospacing="0" w:line="560" w:lineRule="exact"/>
        <w:ind w:firstLine="560" w:firstLineChars="200"/>
        <w:jc w:val="lef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1.1合同当事人</w:t>
      </w:r>
    </w:p>
    <w:p w14:paraId="52F7AD41">
      <w:pPr>
        <w:pageBreakBefore w:val="0"/>
        <w:kinsoku/>
        <w:wordWrap/>
        <w:overflowPunct/>
        <w:topLinePunct w:val="0"/>
        <w:autoSpaceDE w:val="0"/>
        <w:autoSpaceDN w:val="0"/>
        <w:bidi w:val="0"/>
        <w:adjustRightInd w:val="0"/>
        <w:snapToGrid w:val="0"/>
        <w:spacing w:before="0" w:afterAutospacing="0" w:line="560" w:lineRule="exact"/>
        <w:ind w:firstLine="560" w:firstLineChars="200"/>
        <w:jc w:val="lef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（1）采购人（以下称甲方）是指使用财政性资金向供应商购买货物</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及其相关服务的</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国家机关、事业单位、团体组织。</w:t>
      </w:r>
    </w:p>
    <w:p w14:paraId="04278E1E">
      <w:pPr>
        <w:pageBreakBefore w:val="0"/>
        <w:kinsoku/>
        <w:wordWrap/>
        <w:overflowPunct/>
        <w:topLinePunct w:val="0"/>
        <w:autoSpaceDE w:val="0"/>
        <w:autoSpaceDN w:val="0"/>
        <w:bidi w:val="0"/>
        <w:adjustRightInd w:val="0"/>
        <w:snapToGrid w:val="0"/>
        <w:spacing w:before="0" w:afterAutospacing="0" w:line="560" w:lineRule="exact"/>
        <w:ind w:firstLine="560" w:firstLineChars="200"/>
        <w:jc w:val="lef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（2）供应商（以下称</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乙</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方）是指参加采购活动并且中标（成交），向采购人提供</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合同约定的货物及其相关服务的法人、非法人组织或者自然人</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w:t>
      </w:r>
    </w:p>
    <w:p w14:paraId="556D469B">
      <w:pPr>
        <w:pageBreakBefore w:val="0"/>
        <w:kinsoku/>
        <w:wordWrap/>
        <w:overflowPunct/>
        <w:topLinePunct w:val="0"/>
        <w:autoSpaceDE w:val="0"/>
        <w:autoSpaceDN w:val="0"/>
        <w:bidi w:val="0"/>
        <w:adjustRightInd w:val="0"/>
        <w:snapToGrid w:val="0"/>
        <w:spacing w:before="0" w:afterAutospacing="0" w:line="560" w:lineRule="exact"/>
        <w:ind w:firstLine="560" w:firstLineChars="200"/>
        <w:jc w:val="lef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（3）其他合同主体是指除采购人和供应商以外，</w:t>
      </w: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依法参与合同缔结或履行，享有权利、承担义务的合同当事人</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w:t>
      </w:r>
    </w:p>
    <w:p w14:paraId="2BA10B73">
      <w:pPr>
        <w:pageBreakBefore w:val="0"/>
        <w:tabs>
          <w:tab w:val="left" w:pos="570"/>
          <w:tab w:val="left" w:pos="9240"/>
          <w:tab w:val="left" w:pos="9555"/>
        </w:tabs>
        <w:kinsoku/>
        <w:wordWrap/>
        <w:overflowPunct/>
        <w:topLinePunct w:val="0"/>
        <w:bidi w:val="0"/>
        <w:adjustRightInd w:val="0"/>
        <w:snapToGrid w:val="0"/>
        <w:spacing w:before="0" w:afterAutospacing="0" w:line="560" w:lineRule="exact"/>
        <w:ind w:firstLine="560" w:firstLineChars="200"/>
        <w:jc w:val="lef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1.2本合同下列术语应解释为：</w:t>
      </w:r>
    </w:p>
    <w:p w14:paraId="2E383473">
      <w:pPr>
        <w:pageBreakBefore w:val="0"/>
        <w:kinsoku/>
        <w:wordWrap/>
        <w:overflowPunct/>
        <w:topLinePunct w:val="0"/>
        <w:bidi w:val="0"/>
        <w:adjustRightInd w:val="0"/>
        <w:snapToGrid w:val="0"/>
        <w:spacing w:before="0" w:beforeLines="0" w:afterAutospacing="0" w:line="560" w:lineRule="exact"/>
        <w:ind w:firstLine="560" w:firstLineChars="200"/>
        <w:jc w:val="lef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（1）“合同”系指</w:t>
      </w: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合同当事人意思表示达成一致的任何协议，包括签署的</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合同协议书及其变更、补充</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协议，</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合同专用条款</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合同通用条款</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中标</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（成交）</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通知书</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投标（响应）文件</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采购文件</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有关技术文件</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和</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图纸</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，以及</w:t>
      </w:r>
      <w:r>
        <w:rPr>
          <w:rFonts w:hint="eastAsia" w:asciiTheme="minorEastAsia" w:hAnsiTheme="minorEastAsia" w:eastAsiaTheme="minorEastAsia" w:cstheme="minorEastAsia"/>
          <w:bCs w:val="0"/>
          <w:color w:val="000000" w:themeColor="text1"/>
          <w:kern w:val="2"/>
          <w:sz w:val="28"/>
          <w:szCs w:val="28"/>
          <w:highlight w:val="none"/>
          <w:lang w:eastAsia="zh-CN"/>
          <w14:textFill>
            <w14:solidFill>
              <w14:schemeClr w14:val="tx1"/>
            </w14:solidFill>
          </w14:textFill>
        </w:rPr>
        <w:t>国家法律、行政法规和规章制度规定或合同约定的作为合同组成部分的其他文件</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w:t>
      </w:r>
    </w:p>
    <w:p w14:paraId="0DE3517A">
      <w:pPr>
        <w:pageBreakBefore w:val="0"/>
        <w:tabs>
          <w:tab w:val="left" w:pos="570"/>
          <w:tab w:val="left" w:pos="9240"/>
          <w:tab w:val="left" w:pos="9555"/>
        </w:tabs>
        <w:kinsoku/>
        <w:wordWrap/>
        <w:overflowPunct/>
        <w:topLinePunct w:val="0"/>
        <w:bidi w:val="0"/>
        <w:adjustRightInd w:val="0"/>
        <w:snapToGrid w:val="0"/>
        <w:spacing w:before="0" w:afterAutospacing="0" w:line="560" w:lineRule="exact"/>
        <w:ind w:firstLine="560" w:firstLineChars="200"/>
        <w:jc w:val="lef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）“合同价</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款</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”系指根据本合同规定乙方在全面履行合同义务后甲方应支付给乙方的价款。</w:t>
      </w:r>
    </w:p>
    <w:p w14:paraId="39B1C4DE">
      <w:pPr>
        <w:pageBreakBefore w:val="0"/>
        <w:tabs>
          <w:tab w:val="left" w:pos="570"/>
          <w:tab w:val="left" w:pos="9240"/>
          <w:tab w:val="left" w:pos="9555"/>
        </w:tabs>
        <w:kinsoku/>
        <w:wordWrap/>
        <w:overflowPunct/>
        <w:topLinePunct w:val="0"/>
        <w:bidi w:val="0"/>
        <w:adjustRightInd w:val="0"/>
        <w:snapToGrid w:val="0"/>
        <w:spacing w:before="0" w:afterAutospacing="0" w:line="560" w:lineRule="exact"/>
        <w:ind w:firstLine="560" w:firstLineChars="200"/>
        <w:jc w:val="left"/>
        <w:textAlignment w:val="auto"/>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）“货物”系指乙方根据本合同规定须向甲方提供的各种形态和种类的物品，包括原材料、设备、产品（包括软件）及相关的其备品备件、工具、手册及</w:t>
      </w:r>
      <w:r>
        <w:rPr>
          <w:rFonts w:hint="eastAsia" w:asciiTheme="minorEastAsia" w:hAnsiTheme="minorEastAsia" w:eastAsiaTheme="minorEastAsia" w:cstheme="minorEastAsia"/>
          <w:color w:val="000000" w:themeColor="text1"/>
          <w:sz w:val="28"/>
          <w:szCs w:val="28"/>
          <w:highlight w:val="none"/>
          <w:lang w:val="en"/>
          <w14:textFill>
            <w14:solidFill>
              <w14:schemeClr w14:val="tx1"/>
            </w14:solidFill>
          </w14:textFill>
        </w:rPr>
        <w:t>其他</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技术资料和材料</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等</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w:t>
      </w:r>
    </w:p>
    <w:p w14:paraId="16FFEEDC">
      <w:pPr>
        <w:pageBreakBefore w:val="0"/>
        <w:kinsoku/>
        <w:wordWrap/>
        <w:overflowPunct/>
        <w:topLinePunct w:val="0"/>
        <w:bidi w:val="0"/>
        <w:adjustRightInd w:val="0"/>
        <w:snapToGrid w:val="0"/>
        <w:spacing w:before="0" w:afterAutospacing="0" w:line="560" w:lineRule="exact"/>
        <w:ind w:firstLine="560" w:firstLineChars="200"/>
        <w:jc w:val="left"/>
        <w:textAlignment w:val="auto"/>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相关</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服务”系指根据合同规定，乙方应提供的</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与货物有关的</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技术、管理和</w:t>
      </w:r>
      <w:r>
        <w:rPr>
          <w:rFonts w:hint="eastAsia" w:asciiTheme="minorEastAsia" w:hAnsiTheme="minorEastAsia" w:eastAsiaTheme="minorEastAsia" w:cstheme="minorEastAsia"/>
          <w:color w:val="000000" w:themeColor="text1"/>
          <w:sz w:val="28"/>
          <w:szCs w:val="28"/>
          <w:highlight w:val="none"/>
          <w:lang w:val="en"/>
          <w14:textFill>
            <w14:solidFill>
              <w14:schemeClr w14:val="tx1"/>
            </w14:solidFill>
          </w14:textFill>
        </w:rPr>
        <w:t>其他</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服务，包括但不限于：管理和质量保证、运输、保险、检验、现场准备、安装、集成、调试、培训、维修、</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废弃处置、</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技术支持等以及合同中规定乙方应承担的</w:t>
      </w:r>
      <w:r>
        <w:rPr>
          <w:rFonts w:hint="eastAsia" w:asciiTheme="minorEastAsia" w:hAnsiTheme="minorEastAsia" w:eastAsiaTheme="minorEastAsia" w:cstheme="minorEastAsia"/>
          <w:color w:val="000000" w:themeColor="text1"/>
          <w:sz w:val="28"/>
          <w:szCs w:val="28"/>
          <w:highlight w:val="none"/>
          <w:lang w:val="en"/>
          <w14:textFill>
            <w14:solidFill>
              <w14:schemeClr w14:val="tx1"/>
            </w14:solidFill>
          </w14:textFill>
        </w:rPr>
        <w:t>其他</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义务。</w:t>
      </w:r>
    </w:p>
    <w:p w14:paraId="35EC5788">
      <w:pPr>
        <w:pageBreakBefore w:val="0"/>
        <w:kinsoku/>
        <w:wordWrap/>
        <w:overflowPunct/>
        <w:topLinePunct w:val="0"/>
        <w:bidi w:val="0"/>
        <w:adjustRightInd w:val="0"/>
        <w:snapToGrid w:val="0"/>
        <w:spacing w:before="0" w:afterAutospacing="0" w:line="560" w:lineRule="exact"/>
        <w:ind w:firstLine="560" w:firstLineChars="200"/>
        <w:jc w:val="left"/>
        <w:textAlignment w:val="auto"/>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）“分包”系指中标</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成交</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供应商按采购文件、投标（响应）文件的规定，根据分包意向协议，将中标</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成交</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项目中的部分履约内容，分给具有相应资质条件的供应商履行合同的行为。</w:t>
      </w:r>
    </w:p>
    <w:p w14:paraId="512424DA">
      <w:pPr>
        <w:pageBreakBefore w:val="0"/>
        <w:tabs>
          <w:tab w:val="left" w:pos="570"/>
          <w:tab w:val="left" w:pos="9240"/>
          <w:tab w:val="left" w:pos="9555"/>
        </w:tabs>
        <w:kinsoku/>
        <w:wordWrap/>
        <w:overflowPunct/>
        <w:topLinePunct w:val="0"/>
        <w:bidi w:val="0"/>
        <w:adjustRightInd w:val="0"/>
        <w:snapToGrid w:val="0"/>
        <w:spacing w:before="0" w:afterAutospacing="0" w:line="560" w:lineRule="exact"/>
        <w:ind w:firstLine="560" w:firstLineChars="200"/>
        <w:jc w:val="lef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）“联合体”系指</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由</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两个以上的自然人、法人或者</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非法人</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组织组成，</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以一个供应商的身份共同参加政府采购的主体。</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联合体各方应在签订合同协议书前向甲方提交联合协议，且明确牵头人及各成员单位的工作分工、权利、义务、责任，联合体各方应共同与甲方签订合同，就合同约定的事项对</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甲方</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承担连带责任。联合体具体要求见【</w:t>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合同专用条款</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w:t>
      </w:r>
    </w:p>
    <w:p w14:paraId="322464D6">
      <w:pPr>
        <w:pageBreakBefore w:val="0"/>
        <w:tabs>
          <w:tab w:val="left" w:pos="570"/>
          <w:tab w:val="left" w:pos="9240"/>
          <w:tab w:val="left" w:pos="9555"/>
        </w:tabs>
        <w:kinsoku/>
        <w:wordWrap/>
        <w:overflowPunct/>
        <w:topLinePunct w:val="0"/>
        <w:bidi w:val="0"/>
        <w:adjustRightInd w:val="0"/>
        <w:snapToGrid w:val="0"/>
        <w:spacing w:before="0" w:afterAutospacing="0" w:line="560" w:lineRule="exact"/>
        <w:ind w:firstLine="560" w:firstLineChars="200"/>
        <w:jc w:val="lef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）其他术语解释，见【</w:t>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合同专用条款</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w:t>
      </w:r>
    </w:p>
    <w:p w14:paraId="6BE94CFD">
      <w:pPr>
        <w:pageBreakBefore w:val="0"/>
        <w:numPr>
          <w:ilvl w:val="0"/>
          <w:numId w:val="7"/>
        </w:numPr>
        <w:kinsoku/>
        <w:wordWrap/>
        <w:overflowPunct/>
        <w:topLinePunct w:val="0"/>
        <w:autoSpaceDE w:val="0"/>
        <w:autoSpaceDN w:val="0"/>
        <w:bidi w:val="0"/>
        <w:adjustRightInd w:val="0"/>
        <w:snapToGrid w:val="0"/>
        <w:spacing w:before="0" w:afterAutospacing="0" w:line="560" w:lineRule="exact"/>
        <w:jc w:val="left"/>
        <w:textAlignment w:val="auto"/>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合同标的及金额</w:t>
      </w:r>
    </w:p>
    <w:p w14:paraId="4353F1E2">
      <w:pPr>
        <w:pageBreakBefore w:val="0"/>
        <w:kinsoku/>
        <w:wordWrap/>
        <w:overflowPunct/>
        <w:topLinePunct w:val="0"/>
        <w:autoSpaceDE w:val="0"/>
        <w:autoSpaceDN w:val="0"/>
        <w:bidi w:val="0"/>
        <w:adjustRightInd w:val="0"/>
        <w:snapToGrid w:val="0"/>
        <w:spacing w:before="0" w:afterAutospacing="0" w:line="560" w:lineRule="exact"/>
        <w:ind w:firstLine="560" w:firstLineChars="200"/>
        <w:jc w:val="left"/>
        <w:textAlignment w:val="auto"/>
        <w:rPr>
          <w:rFonts w:hint="eastAsia" w:asciiTheme="minorEastAsia" w:hAnsiTheme="minorEastAsia" w:eastAsiaTheme="minorEastAsia" w:cstheme="minorEastAsia"/>
          <w:b/>
          <w:bCs/>
          <w:i/>
          <w:i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2</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.1 合同标的及金额应与中标（成交）结果一致。乙方为履行本合同而发生的所有费用均应包含在合同</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价款</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中，甲方不再另行支付</w:t>
      </w:r>
      <w:r>
        <w:rPr>
          <w:rFonts w:hint="eastAsia" w:asciiTheme="minorEastAsia" w:hAnsiTheme="minorEastAsia" w:eastAsiaTheme="minorEastAsia" w:cstheme="minorEastAsia"/>
          <w:color w:val="000000" w:themeColor="text1"/>
          <w:sz w:val="28"/>
          <w:szCs w:val="28"/>
          <w:highlight w:val="none"/>
          <w:lang w:val="en"/>
          <w14:textFill>
            <w14:solidFill>
              <w14:schemeClr w14:val="tx1"/>
            </w14:solidFill>
          </w14:textFill>
        </w:rPr>
        <w:t>其他</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任何费用。</w:t>
      </w:r>
    </w:p>
    <w:p w14:paraId="479877A5">
      <w:pPr>
        <w:pageBreakBefore w:val="0"/>
        <w:kinsoku/>
        <w:wordWrap/>
        <w:overflowPunct/>
        <w:topLinePunct w:val="0"/>
        <w:bidi w:val="0"/>
        <w:adjustRightInd w:val="0"/>
        <w:snapToGrid w:val="0"/>
        <w:spacing w:before="0" w:afterAutospacing="0" w:line="560" w:lineRule="exact"/>
        <w:jc w:val="left"/>
        <w:textAlignment w:val="auto"/>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lang w:eastAsia="zh-CN"/>
          <w14:textFill>
            <w14:solidFill>
              <w14:schemeClr w14:val="tx1"/>
            </w14:solidFill>
          </w14:textFill>
        </w:rPr>
        <w:t>3</w:t>
      </w:r>
      <w:r>
        <w:rPr>
          <w:rFonts w:hint="eastAsia" w:asciiTheme="minorEastAsia" w:hAnsiTheme="minorEastAsia" w:eastAsiaTheme="minorEastAsia" w:cstheme="minorEastAsia"/>
          <w:b/>
          <w:color w:val="000000" w:themeColor="text1"/>
          <w:sz w:val="28"/>
          <w:szCs w:val="28"/>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履行合同的时间、地点和方式</w:t>
      </w:r>
    </w:p>
    <w:p w14:paraId="243F9906">
      <w:pPr>
        <w:pageBreakBefore w:val="0"/>
        <w:kinsoku/>
        <w:wordWrap/>
        <w:overflowPunct/>
        <w:topLinePunct w:val="0"/>
        <w:autoSpaceDE w:val="0"/>
        <w:autoSpaceDN w:val="0"/>
        <w:bidi w:val="0"/>
        <w:adjustRightInd w:val="0"/>
        <w:snapToGrid w:val="0"/>
        <w:spacing w:before="0" w:afterAutospacing="0" w:line="560" w:lineRule="exact"/>
        <w:ind w:firstLine="560" w:firstLineChars="200"/>
        <w:jc w:val="lef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3</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.1 乙方应当在约定的时间、地点</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，按照约定</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方式履行合同。</w:t>
      </w:r>
    </w:p>
    <w:p w14:paraId="42A52EAB">
      <w:pPr>
        <w:pageBreakBefore w:val="0"/>
        <w:kinsoku/>
        <w:wordWrap/>
        <w:overflowPunct/>
        <w:topLinePunct w:val="0"/>
        <w:autoSpaceDE w:val="0"/>
        <w:autoSpaceDN w:val="0"/>
        <w:bidi w:val="0"/>
        <w:adjustRightInd w:val="0"/>
        <w:snapToGrid w:val="0"/>
        <w:spacing w:before="0" w:afterAutospacing="0" w:line="560" w:lineRule="exact"/>
        <w:jc w:val="left"/>
        <w:textAlignment w:val="auto"/>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eastAsia="zh-CN"/>
          <w14:textFill>
            <w14:solidFill>
              <w14:schemeClr w14:val="tx1"/>
            </w14:solidFill>
          </w14:textFill>
        </w:rPr>
        <w:t>4</w:t>
      </w: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甲方的权利和义务</w:t>
      </w:r>
    </w:p>
    <w:p w14:paraId="02F57329">
      <w:pPr>
        <w:pageBreakBefore w:val="0"/>
        <w:kinsoku/>
        <w:wordWrap/>
        <w:overflowPunct/>
        <w:topLinePunct w:val="0"/>
        <w:autoSpaceDE w:val="0"/>
        <w:autoSpaceDN w:val="0"/>
        <w:bidi w:val="0"/>
        <w:adjustRightInd w:val="0"/>
        <w:snapToGrid w:val="0"/>
        <w:spacing w:before="0" w:afterAutospacing="0" w:line="560" w:lineRule="exact"/>
        <w:ind w:firstLine="560" w:firstLineChars="200"/>
        <w:jc w:val="lef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4</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.1 签署合同后，甲方</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应</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确定</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项目负责人（或项目联系人）</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，负责与本合同有关的事务。甲方有权对乙方的履约行为进行检查，并及时确认乙方提交的事项。甲方应当配合乙方完成相关项目实施工作。</w:t>
      </w:r>
    </w:p>
    <w:p w14:paraId="67B1039E">
      <w:pPr>
        <w:pageBreakBefore w:val="0"/>
        <w:kinsoku/>
        <w:wordWrap/>
        <w:overflowPunct/>
        <w:topLinePunct w:val="0"/>
        <w:autoSpaceDE w:val="0"/>
        <w:autoSpaceDN w:val="0"/>
        <w:bidi w:val="0"/>
        <w:adjustRightInd w:val="0"/>
        <w:snapToGrid w:val="0"/>
        <w:spacing w:before="0" w:afterAutospacing="0" w:line="560" w:lineRule="exact"/>
        <w:ind w:firstLine="560" w:firstLineChars="200"/>
        <w:jc w:val="lef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4</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.2 甲方有权要求乙方按时提交各阶段有关安排计划，并有权定期核对乙方提供货物数量、规格、质量等内容。甲方有权督促乙方工作并要求乙方更换不符合要求的货物。</w:t>
      </w:r>
    </w:p>
    <w:p w14:paraId="79470D5B">
      <w:pPr>
        <w:pageBreakBefore w:val="0"/>
        <w:kinsoku/>
        <w:wordWrap/>
        <w:overflowPunct/>
        <w:topLinePunct w:val="0"/>
        <w:autoSpaceDE w:val="0"/>
        <w:autoSpaceDN w:val="0"/>
        <w:bidi w:val="0"/>
        <w:adjustRightInd w:val="0"/>
        <w:snapToGrid w:val="0"/>
        <w:spacing w:before="0" w:afterAutospacing="0" w:line="560" w:lineRule="exact"/>
        <w:ind w:firstLine="560" w:firstLineChars="200"/>
        <w:jc w:val="lef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4</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.3 甲方有权要求乙方对缺陷部分予以修复，并按合同约定享有货物保修及其他合同约定的权利。</w:t>
      </w:r>
    </w:p>
    <w:p w14:paraId="6CE2DCC9">
      <w:pPr>
        <w:pageBreakBefore w:val="0"/>
        <w:kinsoku/>
        <w:wordWrap/>
        <w:overflowPunct/>
        <w:topLinePunct w:val="0"/>
        <w:bidi w:val="0"/>
        <w:snapToGrid w:val="0"/>
        <w:spacing w:afterAutospacing="0" w:line="560" w:lineRule="exact"/>
        <w:ind w:firstLine="560" w:firstLineChars="200"/>
        <w:textAlignment w:val="auto"/>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4.4 甲方应当按照合同约定及时对交付的货物进行验收，</w:t>
      </w:r>
      <w:r>
        <w:rPr>
          <w:rFonts w:hint="eastAsia" w:asciiTheme="minorEastAsia" w:hAnsiTheme="minorEastAsia" w:eastAsiaTheme="minorEastAsia" w:cstheme="minorEastAsia"/>
          <w:b w:val="0"/>
          <w:bCs w:val="0"/>
          <w:color w:val="000000" w:themeColor="text1"/>
          <w:sz w:val="28"/>
          <w:szCs w:val="28"/>
          <w:highlight w:val="none"/>
          <w:lang w:eastAsia="zh-CN"/>
          <w14:textFill>
            <w14:solidFill>
              <w14:schemeClr w14:val="tx1"/>
            </w14:solidFill>
          </w14:textFill>
        </w:rPr>
        <w:t>未</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在</w:t>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【合同专用条款】</w:t>
      </w:r>
      <w:r>
        <w:rPr>
          <w:rFonts w:hint="eastAsia" w:asciiTheme="minorEastAsia" w:hAnsiTheme="minorEastAsia" w:eastAsiaTheme="minorEastAsia" w:cstheme="minorEastAsia"/>
          <w:b w:val="0"/>
          <w:bCs w:val="0"/>
          <w:color w:val="000000" w:themeColor="text1"/>
          <w:sz w:val="28"/>
          <w:szCs w:val="28"/>
          <w:highlight w:val="none"/>
          <w:lang w:eastAsia="zh-CN"/>
          <w14:textFill>
            <w14:solidFill>
              <w14:schemeClr w14:val="tx1"/>
            </w14:solidFill>
          </w14:textFill>
        </w:rPr>
        <w:t>约定的期限内对乙方履约提出任何异议或者向乙方作出任何说明的，</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视为验收通过。</w:t>
      </w:r>
    </w:p>
    <w:p w14:paraId="761EAF77">
      <w:pPr>
        <w:pageBreakBefore w:val="0"/>
        <w:kinsoku/>
        <w:wordWrap/>
        <w:overflowPunct/>
        <w:topLinePunct w:val="0"/>
        <w:autoSpaceDE w:val="0"/>
        <w:autoSpaceDN w:val="0"/>
        <w:bidi w:val="0"/>
        <w:adjustRightInd w:val="0"/>
        <w:snapToGrid w:val="0"/>
        <w:spacing w:afterAutospacing="0" w:line="560" w:lineRule="exact"/>
        <w:ind w:firstLine="560" w:firstLineChars="200"/>
        <w:jc w:val="lef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4</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 xml:space="preserve"> 甲方应当根据合同约定</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及</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时向乙方支付</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合同价款，不得以内部人员变更、履行内部付款流程等为由，拒绝或迟延支付。</w:t>
      </w:r>
    </w:p>
    <w:p w14:paraId="20D6CEA2">
      <w:pPr>
        <w:pageBreakBefore w:val="0"/>
        <w:kinsoku/>
        <w:wordWrap/>
        <w:overflowPunct/>
        <w:topLinePunct w:val="0"/>
        <w:autoSpaceDE w:val="0"/>
        <w:autoSpaceDN w:val="0"/>
        <w:bidi w:val="0"/>
        <w:adjustRightInd w:val="0"/>
        <w:snapToGrid w:val="0"/>
        <w:spacing w:before="0" w:afterAutospacing="0" w:line="560" w:lineRule="exact"/>
        <w:ind w:firstLine="560" w:firstLineChars="200"/>
        <w:jc w:val="lef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4</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 xml:space="preserve"> 国家法律法规规定</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及</w:t>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【合同专用条款】</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约定应</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由甲方承担的其他义务和责任。</w:t>
      </w:r>
    </w:p>
    <w:p w14:paraId="5C3136E4">
      <w:pPr>
        <w:pageBreakBefore w:val="0"/>
        <w:kinsoku/>
        <w:wordWrap/>
        <w:overflowPunct/>
        <w:topLinePunct w:val="0"/>
        <w:autoSpaceDE w:val="0"/>
        <w:autoSpaceDN w:val="0"/>
        <w:bidi w:val="0"/>
        <w:adjustRightInd w:val="0"/>
        <w:snapToGrid w:val="0"/>
        <w:spacing w:before="0" w:afterAutospacing="0" w:line="560" w:lineRule="exact"/>
        <w:jc w:val="left"/>
        <w:textAlignment w:val="auto"/>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eastAsia="zh-CN"/>
          <w14:textFill>
            <w14:solidFill>
              <w14:schemeClr w14:val="tx1"/>
            </w14:solidFill>
          </w14:textFill>
        </w:rPr>
        <w:t>5</w:t>
      </w: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乙方的权利和义务</w:t>
      </w:r>
    </w:p>
    <w:p w14:paraId="790571B8">
      <w:pPr>
        <w:pageBreakBefore w:val="0"/>
        <w:kinsoku/>
        <w:wordWrap/>
        <w:overflowPunct/>
        <w:topLinePunct w:val="0"/>
        <w:autoSpaceDE w:val="0"/>
        <w:autoSpaceDN w:val="0"/>
        <w:bidi w:val="0"/>
        <w:adjustRightInd w:val="0"/>
        <w:snapToGrid w:val="0"/>
        <w:spacing w:before="0" w:afterAutospacing="0" w:line="560" w:lineRule="exact"/>
        <w:ind w:firstLine="560" w:firstLineChars="200"/>
        <w:jc w:val="lef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5</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.1 签署合同后，乙方</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应</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确定</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项目负责人（或项目联系人）</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，负责与本合同有关的事务。</w:t>
      </w:r>
    </w:p>
    <w:p w14:paraId="77EB9174">
      <w:pPr>
        <w:pageBreakBefore w:val="0"/>
        <w:kinsoku/>
        <w:wordWrap/>
        <w:overflowPunct/>
        <w:topLinePunct w:val="0"/>
        <w:autoSpaceDE w:val="0"/>
        <w:autoSpaceDN w:val="0"/>
        <w:bidi w:val="0"/>
        <w:adjustRightInd w:val="0"/>
        <w:snapToGrid w:val="0"/>
        <w:spacing w:before="0" w:afterAutospacing="0" w:line="560" w:lineRule="exact"/>
        <w:ind w:firstLine="560" w:firstLineChars="200"/>
        <w:jc w:val="lef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5</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.2 乙方应按照合同要求履约，充分合理安排，确保提供的货物</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及相关</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服务符合合同</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有关</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要求。接受项目行业管理部门及政府有关部门的指导，配合甲方的履约检查</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及验收</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，并负责项目实施过程中的所有协调工作。</w:t>
      </w:r>
    </w:p>
    <w:p w14:paraId="0D031BFD">
      <w:pPr>
        <w:pStyle w:val="13"/>
        <w:pageBreakBefore w:val="0"/>
        <w:kinsoku/>
        <w:wordWrap/>
        <w:overflowPunct/>
        <w:topLinePunct w:val="0"/>
        <w:bidi w:val="0"/>
        <w:spacing w:after="0" w:afterAutospacing="0" w:line="560" w:lineRule="exact"/>
        <w:ind w:firstLine="492" w:firstLineChars="176"/>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5</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.3乙方有权根据合同约定向甲方收取</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合同价款</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w:t>
      </w:r>
    </w:p>
    <w:p w14:paraId="44E1B010">
      <w:pPr>
        <w:pStyle w:val="13"/>
        <w:pageBreakBefore w:val="0"/>
        <w:kinsoku/>
        <w:wordWrap/>
        <w:overflowPunct/>
        <w:topLinePunct w:val="0"/>
        <w:bidi w:val="0"/>
        <w:spacing w:after="0" w:afterAutospacing="0" w:line="560" w:lineRule="exact"/>
        <w:ind w:firstLine="492" w:firstLineChars="176"/>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5</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.4国家法律法规规定</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及</w:t>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【合同专用条款】</w:t>
      </w:r>
      <w:r>
        <w:rPr>
          <w:rFonts w:hint="eastAsia" w:asciiTheme="minorEastAsia" w:hAnsiTheme="minorEastAsia" w:eastAsiaTheme="minorEastAsia" w:cstheme="minorEastAsia"/>
          <w:b w:val="0"/>
          <w:bCs w:val="0"/>
          <w:color w:val="000000" w:themeColor="text1"/>
          <w:sz w:val="28"/>
          <w:szCs w:val="28"/>
          <w:highlight w:val="none"/>
          <w:lang w:eastAsia="zh-CN"/>
          <w14:textFill>
            <w14:solidFill>
              <w14:schemeClr w14:val="tx1"/>
            </w14:solidFill>
          </w14:textFill>
        </w:rPr>
        <w:t>约定应</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由乙方承担的其他义务和责任。</w:t>
      </w:r>
    </w:p>
    <w:p w14:paraId="1B79B4FA">
      <w:pPr>
        <w:pageBreakBefore w:val="0"/>
        <w:numPr>
          <w:ilvl w:val="0"/>
          <w:numId w:val="8"/>
        </w:numPr>
        <w:kinsoku/>
        <w:wordWrap/>
        <w:overflowPunct/>
        <w:topLinePunct w:val="0"/>
        <w:autoSpaceDE w:val="0"/>
        <w:autoSpaceDN w:val="0"/>
        <w:bidi w:val="0"/>
        <w:adjustRightInd w:val="0"/>
        <w:snapToGrid w:val="0"/>
        <w:spacing w:before="0" w:afterAutospacing="0" w:line="560" w:lineRule="exact"/>
        <w:jc w:val="left"/>
        <w:textAlignment w:val="auto"/>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合同履</w:t>
      </w: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行</w:t>
      </w:r>
    </w:p>
    <w:p w14:paraId="29A07114">
      <w:pPr>
        <w:pageBreakBefore w:val="0"/>
        <w:kinsoku/>
        <w:wordWrap/>
        <w:overflowPunct/>
        <w:topLinePunct w:val="0"/>
        <w:autoSpaceDE w:val="0"/>
        <w:autoSpaceDN w:val="0"/>
        <w:bidi w:val="0"/>
        <w:adjustRightInd w:val="0"/>
        <w:snapToGrid w:val="0"/>
        <w:spacing w:before="0" w:afterAutospacing="0" w:line="560" w:lineRule="exact"/>
        <w:ind w:firstLine="560" w:firstLineChars="200"/>
        <w:jc w:val="lef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6</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.1 甲乙双方应当按照</w:t>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【合同专用条款】</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约定顺序履行合同义务；如果没有先后顺序的，应当同时履行。</w:t>
      </w:r>
    </w:p>
    <w:p w14:paraId="5EB99362">
      <w:pPr>
        <w:pageBreakBefore w:val="0"/>
        <w:kinsoku/>
        <w:wordWrap/>
        <w:overflowPunct/>
        <w:topLinePunct w:val="0"/>
        <w:autoSpaceDE w:val="0"/>
        <w:autoSpaceDN w:val="0"/>
        <w:bidi w:val="0"/>
        <w:adjustRightInd w:val="0"/>
        <w:snapToGrid w:val="0"/>
        <w:spacing w:before="0" w:afterAutospacing="0" w:line="560" w:lineRule="exact"/>
        <w:ind w:firstLine="560" w:firstLineChars="200"/>
        <w:jc w:val="lef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6</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.2 甲乙双方按照合同约定顺序履行合同义务时，应当先履行一方未履行的，后履行一方有权拒绝其履行请求。先履行一方履行不符合约定的，后履行一方有权拒绝其相应的履行请求。</w:t>
      </w:r>
    </w:p>
    <w:p w14:paraId="2EE5136C">
      <w:pPr>
        <w:pageBreakBefore w:val="0"/>
        <w:kinsoku/>
        <w:wordWrap/>
        <w:overflowPunct/>
        <w:topLinePunct w:val="0"/>
        <w:bidi w:val="0"/>
        <w:adjustRightInd w:val="0"/>
        <w:snapToGrid w:val="0"/>
        <w:spacing w:before="0" w:afterAutospacing="0" w:line="560" w:lineRule="exact"/>
        <w:jc w:val="left"/>
        <w:textAlignment w:val="auto"/>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eastAsia="zh-CN"/>
          <w14:textFill>
            <w14:solidFill>
              <w14:schemeClr w14:val="tx1"/>
            </w14:solidFill>
          </w14:textFill>
        </w:rPr>
        <w:t>7</w:t>
      </w: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货物包装、运输</w:t>
      </w:r>
      <w:r>
        <w:rPr>
          <w:rFonts w:hint="eastAsia" w:asciiTheme="minorEastAsia" w:hAnsiTheme="minorEastAsia" w:eastAsiaTheme="minorEastAsia" w:cstheme="minorEastAsia"/>
          <w:b/>
          <w:bCs/>
          <w:color w:val="000000" w:themeColor="text1"/>
          <w:sz w:val="28"/>
          <w:szCs w:val="28"/>
          <w:highlight w:val="none"/>
          <w:lang w:eastAsia="zh-CN"/>
          <w14:textFill>
            <w14:solidFill>
              <w14:schemeClr w14:val="tx1"/>
            </w14:solidFill>
          </w14:textFill>
        </w:rPr>
        <w:t>、</w:t>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保险</w:t>
      </w:r>
      <w:r>
        <w:rPr>
          <w:rFonts w:hint="eastAsia" w:asciiTheme="minorEastAsia" w:hAnsiTheme="minorEastAsia" w:eastAsiaTheme="minorEastAsia" w:cstheme="minorEastAsia"/>
          <w:b/>
          <w:bCs/>
          <w:color w:val="000000" w:themeColor="text1"/>
          <w:sz w:val="28"/>
          <w:szCs w:val="28"/>
          <w:highlight w:val="none"/>
          <w:lang w:eastAsia="zh-CN"/>
          <w14:textFill>
            <w14:solidFill>
              <w14:schemeClr w14:val="tx1"/>
            </w14:solidFill>
          </w14:textFill>
        </w:rPr>
        <w:t>和交付</w:t>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要求</w:t>
      </w:r>
    </w:p>
    <w:p w14:paraId="41784A60">
      <w:pPr>
        <w:pageBreakBefore w:val="0"/>
        <w:kinsoku/>
        <w:wordWrap/>
        <w:overflowPunct/>
        <w:topLinePunct w:val="0"/>
        <w:autoSpaceDE w:val="0"/>
        <w:autoSpaceDN w:val="0"/>
        <w:bidi w:val="0"/>
        <w:adjustRightInd w:val="0"/>
        <w:snapToGrid w:val="0"/>
        <w:spacing w:before="0" w:afterAutospacing="0" w:line="560" w:lineRule="exact"/>
        <w:ind w:firstLine="560" w:firstLineChars="200"/>
        <w:jc w:val="lef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7</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.1 本合同</w:t>
      </w: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涉及商品包装</w:t>
      </w:r>
      <w:r>
        <w:rPr>
          <w:rFonts w:hint="eastAsia" w:asciiTheme="minorEastAsia" w:hAnsiTheme="minorEastAsia" w:eastAsiaTheme="minorEastAsia" w:cstheme="minorEastAsia"/>
          <w:bCs/>
          <w:color w:val="000000" w:themeColor="text1"/>
          <w:sz w:val="28"/>
          <w:szCs w:val="28"/>
          <w:highlight w:val="none"/>
          <w:lang w:eastAsia="zh-CN"/>
          <w14:textFill>
            <w14:solidFill>
              <w14:schemeClr w14:val="tx1"/>
            </w14:solidFill>
          </w14:textFill>
        </w:rPr>
        <w:t>、</w:t>
      </w: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快递包装的，</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除</w:t>
      </w: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【合同专用条款】</w:t>
      </w: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另有</w:t>
      </w:r>
      <w:r>
        <w:rPr>
          <w:rFonts w:hint="eastAsia" w:asciiTheme="minorEastAsia" w:hAnsiTheme="minorEastAsia" w:eastAsiaTheme="minorEastAsia" w:cstheme="minorEastAsia"/>
          <w:bCs/>
          <w:color w:val="000000" w:themeColor="text1"/>
          <w:sz w:val="28"/>
          <w:szCs w:val="28"/>
          <w:highlight w:val="none"/>
          <w:lang w:eastAsia="zh-CN"/>
          <w14:textFill>
            <w14:solidFill>
              <w14:schemeClr w14:val="tx1"/>
            </w14:solidFill>
          </w14:textFill>
        </w:rPr>
        <w:t>约</w:t>
      </w: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定</w:t>
      </w:r>
      <w:r>
        <w:rPr>
          <w:rFonts w:hint="eastAsia" w:asciiTheme="minorEastAsia" w:hAnsiTheme="minorEastAsia" w:eastAsiaTheme="minorEastAsia" w:cstheme="minorEastAsia"/>
          <w:bCs/>
          <w:color w:val="000000" w:themeColor="text1"/>
          <w:sz w:val="28"/>
          <w:szCs w:val="28"/>
          <w:highlight w:val="none"/>
          <w:lang w:eastAsia="zh-CN"/>
          <w14:textFill>
            <w14:solidFill>
              <w14:schemeClr w14:val="tx1"/>
            </w14:solidFill>
          </w14:textFill>
        </w:rPr>
        <w:t>外</w:t>
      </w: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包装应适应远距离运输、防潮、防震、防锈和防野蛮装卸等要求，确保货物安全无损地运抵</w:t>
      </w: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【合同专用条款】</w:t>
      </w:r>
      <w:r>
        <w:rPr>
          <w:rFonts w:hint="eastAsia" w:asciiTheme="minorEastAsia" w:hAnsiTheme="minorEastAsia" w:eastAsiaTheme="minorEastAsia" w:cstheme="minorEastAsia"/>
          <w:b w:val="0"/>
          <w:bCs/>
          <w:color w:val="000000" w:themeColor="text1"/>
          <w:sz w:val="28"/>
          <w:szCs w:val="28"/>
          <w:highlight w:val="none"/>
          <w:lang w:eastAsia="zh-CN"/>
          <w14:textFill>
            <w14:solidFill>
              <w14:schemeClr w14:val="tx1"/>
            </w14:solidFill>
          </w14:textFill>
        </w:rPr>
        <w:t>约定的</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指定现场。</w:t>
      </w:r>
    </w:p>
    <w:p w14:paraId="17B146F8">
      <w:pPr>
        <w:pageBreakBefore w:val="0"/>
        <w:kinsoku/>
        <w:wordWrap/>
        <w:overflowPunct/>
        <w:topLinePunct w:val="0"/>
        <w:bidi w:val="0"/>
        <w:adjustRightInd w:val="0"/>
        <w:snapToGrid w:val="0"/>
        <w:spacing w:before="0" w:afterAutospacing="0" w:line="560" w:lineRule="exact"/>
        <w:ind w:firstLine="560" w:firstLineChars="200"/>
        <w:jc w:val="lef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7</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.2 除</w:t>
      </w: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【合同专用条款】</w:t>
      </w: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另有</w:t>
      </w:r>
      <w:r>
        <w:rPr>
          <w:rFonts w:hint="eastAsia" w:asciiTheme="minorEastAsia" w:hAnsiTheme="minorEastAsia" w:eastAsiaTheme="minorEastAsia" w:cstheme="minorEastAsia"/>
          <w:bCs/>
          <w:color w:val="000000" w:themeColor="text1"/>
          <w:sz w:val="28"/>
          <w:szCs w:val="28"/>
          <w:highlight w:val="none"/>
          <w:lang w:eastAsia="zh-CN"/>
          <w14:textFill>
            <w14:solidFill>
              <w14:schemeClr w14:val="tx1"/>
            </w14:solidFill>
          </w14:textFill>
        </w:rPr>
        <w:t>约</w:t>
      </w: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定</w:t>
      </w:r>
      <w:r>
        <w:rPr>
          <w:rFonts w:hint="eastAsia" w:asciiTheme="minorEastAsia" w:hAnsiTheme="minorEastAsia" w:eastAsiaTheme="minorEastAsia" w:cstheme="minorEastAsia"/>
          <w:bCs/>
          <w:color w:val="000000" w:themeColor="text1"/>
          <w:sz w:val="28"/>
          <w:szCs w:val="28"/>
          <w:highlight w:val="none"/>
          <w:lang w:eastAsia="zh-CN"/>
          <w14:textFill>
            <w14:solidFill>
              <w14:schemeClr w14:val="tx1"/>
            </w14:solidFill>
          </w14:textFill>
        </w:rPr>
        <w:t>外</w:t>
      </w: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乙方负责办理将货物运抵本合同规定的交货地点</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，并装卸、交付至甲方</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的一切运输事项，相关费用应</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包含</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在合同</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价款</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中。</w:t>
      </w:r>
    </w:p>
    <w:p w14:paraId="55BD7F6F">
      <w:pPr>
        <w:pageBreakBefore w:val="0"/>
        <w:kinsoku/>
        <w:wordWrap/>
        <w:overflowPunct/>
        <w:topLinePunct w:val="0"/>
        <w:bidi w:val="0"/>
        <w:adjustRightInd w:val="0"/>
        <w:snapToGrid w:val="0"/>
        <w:spacing w:before="0" w:afterAutospacing="0" w:line="560" w:lineRule="exact"/>
        <w:ind w:firstLine="560" w:firstLineChars="200"/>
        <w:jc w:val="lef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7</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.3 货物保险要求按</w:t>
      </w: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【合同专用条款】</w:t>
      </w: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规定执行</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w:t>
      </w:r>
    </w:p>
    <w:p w14:paraId="03495696">
      <w:pPr>
        <w:pageBreakBefore w:val="0"/>
        <w:kinsoku/>
        <w:wordWrap/>
        <w:overflowPunct/>
        <w:topLinePunct w:val="0"/>
        <w:autoSpaceDE w:val="0"/>
        <w:autoSpaceDN w:val="0"/>
        <w:bidi w:val="0"/>
        <w:adjustRightInd w:val="0"/>
        <w:snapToGrid w:val="0"/>
        <w:spacing w:before="0" w:afterAutospacing="0" w:line="560" w:lineRule="exact"/>
        <w:ind w:firstLine="560" w:firstLineChars="200"/>
        <w:jc w:val="lef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7</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 xml:space="preserve">.4 </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除采购活动</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对商品包装</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快递包装</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达成具体约定外</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，乙方提供产品及相关快递服务</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涉及到</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具体包装要求</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的，</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应</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不低于</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《商品包装政府采购需求标准（试行）</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快递包装政府采购需求标准（试行）》</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标准</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，并作为履约验收的内容，必要时甲方可以要求乙方在履约验收环节出具检测报告。</w:t>
      </w:r>
    </w:p>
    <w:p w14:paraId="2D483403">
      <w:pPr>
        <w:pageBreakBefore w:val="0"/>
        <w:kinsoku/>
        <w:wordWrap/>
        <w:overflowPunct/>
        <w:topLinePunct w:val="0"/>
        <w:autoSpaceDE w:val="0"/>
        <w:autoSpaceDN w:val="0"/>
        <w:bidi w:val="0"/>
        <w:adjustRightInd w:val="0"/>
        <w:snapToGrid w:val="0"/>
        <w:spacing w:before="0" w:afterAutospacing="0" w:line="560" w:lineRule="exact"/>
        <w:ind w:firstLine="560" w:firstLineChars="200"/>
        <w:jc w:val="lef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 xml:space="preserve">7.5 </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乙方在运输到达之前</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应</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提前通知</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甲方</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，并提示货物运输装卸的注意事项</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，甲方配合乙方做好货物的接收工作。</w:t>
      </w:r>
    </w:p>
    <w:p w14:paraId="6EB25746">
      <w:pPr>
        <w:pStyle w:val="171"/>
        <w:pageBreakBefore w:val="0"/>
        <w:kinsoku/>
        <w:wordWrap/>
        <w:overflowPunct/>
        <w:topLinePunct w:val="0"/>
        <w:bidi w:val="0"/>
        <w:spacing w:afterAutospacing="0" w:line="560" w:lineRule="exact"/>
        <w:textAlignment w:val="auto"/>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8"/>
          <w:szCs w:val="28"/>
          <w:highlight w:val="none"/>
          <w:lang w:val="en-US" w:eastAsia="zh-CN"/>
          <w14:textFill>
            <w14:solidFill>
              <w14:schemeClr w14:val="tx1"/>
            </w14:solidFill>
          </w14:textFill>
        </w:rPr>
        <w:t xml:space="preserve">7.6 </w:t>
      </w:r>
      <w:r>
        <w:rPr>
          <w:rFonts w:hint="eastAsia" w:asciiTheme="minorEastAsia" w:hAnsiTheme="minorEastAsia" w:eastAsiaTheme="minorEastAsia" w:cstheme="minorEastAsia"/>
          <w:color w:val="000000" w:themeColor="text1"/>
          <w:kern w:val="2"/>
          <w:sz w:val="28"/>
          <w:szCs w:val="28"/>
          <w:highlight w:val="none"/>
          <w14:textFill>
            <w14:solidFill>
              <w14:schemeClr w14:val="tx1"/>
            </w14:solidFill>
          </w14:textFill>
        </w:rPr>
        <w:t>如因包装</w:t>
      </w:r>
      <w:r>
        <w:rPr>
          <w:rFonts w:hint="eastAsia" w:asciiTheme="minorEastAsia" w:hAnsiTheme="minorEastAsia" w:eastAsiaTheme="minorEastAsia" w:cstheme="minorEastAsia"/>
          <w:color w:val="000000" w:themeColor="text1"/>
          <w:kern w:val="2"/>
          <w:sz w:val="28"/>
          <w:szCs w:val="28"/>
          <w:highlight w:val="none"/>
          <w:lang w:eastAsia="zh-CN"/>
          <w14:textFill>
            <w14:solidFill>
              <w14:schemeClr w14:val="tx1"/>
            </w14:solidFill>
          </w14:textFill>
        </w:rPr>
        <w:t>、运输</w:t>
      </w:r>
      <w:r>
        <w:rPr>
          <w:rFonts w:hint="eastAsia" w:asciiTheme="minorEastAsia" w:hAnsiTheme="minorEastAsia" w:eastAsiaTheme="minorEastAsia" w:cstheme="minorEastAsia"/>
          <w:color w:val="000000" w:themeColor="text1"/>
          <w:kern w:val="2"/>
          <w:sz w:val="28"/>
          <w:szCs w:val="28"/>
          <w:highlight w:val="none"/>
          <w14:textFill>
            <w14:solidFill>
              <w14:schemeClr w14:val="tx1"/>
            </w14:solidFill>
          </w14:textFill>
        </w:rPr>
        <w:t>问题导致货物</w:t>
      </w:r>
      <w:r>
        <w:rPr>
          <w:rFonts w:hint="eastAsia" w:asciiTheme="minorEastAsia" w:hAnsiTheme="minorEastAsia" w:eastAsiaTheme="minorEastAsia" w:cstheme="minorEastAsia"/>
          <w:color w:val="000000" w:themeColor="text1"/>
          <w:kern w:val="2"/>
          <w:sz w:val="28"/>
          <w:szCs w:val="28"/>
          <w:highlight w:val="none"/>
          <w:lang w:eastAsia="zh-CN"/>
          <w14:textFill>
            <w14:solidFill>
              <w14:schemeClr w14:val="tx1"/>
            </w14:solidFill>
          </w14:textFill>
        </w:rPr>
        <w:t>损毁、丢失</w:t>
      </w:r>
      <w:r>
        <w:rPr>
          <w:rFonts w:hint="eastAsia" w:asciiTheme="minorEastAsia" w:hAnsiTheme="minorEastAsia" w:eastAsiaTheme="minorEastAsia" w:cstheme="minorEastAsia"/>
          <w:color w:val="000000" w:themeColor="text1"/>
          <w:kern w:val="2"/>
          <w:sz w:val="28"/>
          <w:szCs w:val="28"/>
          <w:highlight w:val="none"/>
          <w14:textFill>
            <w14:solidFill>
              <w14:schemeClr w14:val="tx1"/>
            </w14:solidFill>
          </w14:textFill>
        </w:rPr>
        <w:t>或者品质下降，</w:t>
      </w:r>
      <w:r>
        <w:rPr>
          <w:rFonts w:hint="eastAsia" w:asciiTheme="minorEastAsia" w:hAnsiTheme="minorEastAsia" w:eastAsiaTheme="minorEastAsia" w:cstheme="minorEastAsia"/>
          <w:color w:val="000000" w:themeColor="text1"/>
          <w:kern w:val="2"/>
          <w:sz w:val="28"/>
          <w:szCs w:val="28"/>
          <w:highlight w:val="none"/>
          <w:lang w:eastAsia="zh-CN"/>
          <w14:textFill>
            <w14:solidFill>
              <w14:schemeClr w14:val="tx1"/>
            </w14:solidFill>
          </w14:textFill>
        </w:rPr>
        <w:t>甲方</w:t>
      </w:r>
      <w:r>
        <w:rPr>
          <w:rFonts w:hint="eastAsia" w:asciiTheme="minorEastAsia" w:hAnsiTheme="minorEastAsia" w:eastAsiaTheme="minorEastAsia" w:cstheme="minorEastAsia"/>
          <w:color w:val="000000" w:themeColor="text1"/>
          <w:kern w:val="2"/>
          <w:sz w:val="28"/>
          <w:szCs w:val="28"/>
          <w:highlight w:val="none"/>
          <w14:textFill>
            <w14:solidFill>
              <w14:schemeClr w14:val="tx1"/>
            </w14:solidFill>
          </w14:textFill>
        </w:rPr>
        <w:t>有权要求降价、换货、拒收部分或整批货物，由此</w:t>
      </w:r>
      <w:r>
        <w:rPr>
          <w:rFonts w:hint="eastAsia" w:asciiTheme="minorEastAsia" w:hAnsiTheme="minorEastAsia" w:eastAsiaTheme="minorEastAsia" w:cstheme="minorEastAsia"/>
          <w:color w:val="000000" w:themeColor="text1"/>
          <w:kern w:val="2"/>
          <w:sz w:val="28"/>
          <w:szCs w:val="28"/>
          <w:highlight w:val="none"/>
          <w:lang w:eastAsia="zh-CN"/>
          <w14:textFill>
            <w14:solidFill>
              <w14:schemeClr w14:val="tx1"/>
            </w14:solidFill>
          </w14:textFill>
        </w:rPr>
        <w:t>产生</w:t>
      </w:r>
      <w:r>
        <w:rPr>
          <w:rFonts w:hint="eastAsia" w:asciiTheme="minorEastAsia" w:hAnsiTheme="minorEastAsia" w:eastAsiaTheme="minorEastAsia" w:cstheme="minorEastAsia"/>
          <w:color w:val="000000" w:themeColor="text1"/>
          <w:kern w:val="2"/>
          <w:sz w:val="28"/>
          <w:szCs w:val="28"/>
          <w:highlight w:val="none"/>
          <w14:textFill>
            <w14:solidFill>
              <w14:schemeClr w14:val="tx1"/>
            </w14:solidFill>
          </w14:textFill>
        </w:rPr>
        <w:t>的费用和损失，均由</w:t>
      </w:r>
      <w:r>
        <w:rPr>
          <w:rFonts w:hint="eastAsia" w:asciiTheme="minorEastAsia" w:hAnsiTheme="minorEastAsia" w:eastAsiaTheme="minorEastAsia" w:cstheme="minorEastAsia"/>
          <w:color w:val="000000" w:themeColor="text1"/>
          <w:kern w:val="2"/>
          <w:sz w:val="28"/>
          <w:szCs w:val="28"/>
          <w:highlight w:val="none"/>
          <w:lang w:eastAsia="zh-CN"/>
          <w14:textFill>
            <w14:solidFill>
              <w14:schemeClr w14:val="tx1"/>
            </w14:solidFill>
          </w14:textFill>
        </w:rPr>
        <w:t>乙方</w:t>
      </w:r>
      <w:r>
        <w:rPr>
          <w:rFonts w:hint="eastAsia" w:asciiTheme="minorEastAsia" w:hAnsiTheme="minorEastAsia" w:eastAsiaTheme="minorEastAsia" w:cstheme="minorEastAsia"/>
          <w:color w:val="000000" w:themeColor="text1"/>
          <w:kern w:val="2"/>
          <w:sz w:val="28"/>
          <w:szCs w:val="28"/>
          <w:highlight w:val="none"/>
          <w14:textFill>
            <w14:solidFill>
              <w14:schemeClr w14:val="tx1"/>
            </w14:solidFill>
          </w14:textFill>
        </w:rPr>
        <w:t>承担。</w:t>
      </w:r>
    </w:p>
    <w:p w14:paraId="1F5B45B4">
      <w:pPr>
        <w:pageBreakBefore w:val="0"/>
        <w:kinsoku/>
        <w:wordWrap/>
        <w:overflowPunct/>
        <w:topLinePunct w:val="0"/>
        <w:bidi w:val="0"/>
        <w:adjustRightInd w:val="0"/>
        <w:snapToGrid w:val="0"/>
        <w:spacing w:before="0" w:afterAutospacing="0" w:line="560" w:lineRule="exact"/>
        <w:jc w:val="left"/>
        <w:textAlignment w:val="auto"/>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lang w:eastAsia="zh-CN"/>
          <w14:textFill>
            <w14:solidFill>
              <w14:schemeClr w14:val="tx1"/>
            </w14:solidFill>
          </w14:textFill>
        </w:rPr>
        <w:t>8</w:t>
      </w:r>
      <w:r>
        <w:rPr>
          <w:rFonts w:hint="eastAsia" w:asciiTheme="minorEastAsia" w:hAnsiTheme="minorEastAsia" w:eastAsiaTheme="minorEastAsia" w:cstheme="minorEastAsia"/>
          <w:b/>
          <w:color w:val="000000" w:themeColor="text1"/>
          <w:sz w:val="28"/>
          <w:szCs w:val="28"/>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质量标准和保证</w:t>
      </w:r>
    </w:p>
    <w:p w14:paraId="38F3E043">
      <w:pPr>
        <w:pStyle w:val="17"/>
        <w:pageBreakBefore w:val="0"/>
        <w:kinsoku/>
        <w:wordWrap/>
        <w:overflowPunct/>
        <w:topLinePunct w:val="0"/>
        <w:bidi w:val="0"/>
        <w:adjustRightInd w:val="0"/>
        <w:snapToGrid w:val="0"/>
        <w:spacing w:before="0" w:afterAutospacing="0" w:line="560" w:lineRule="exact"/>
        <w:ind w:firstLine="562" w:firstLineChars="200"/>
        <w:jc w:val="left"/>
        <w:textAlignment w:val="auto"/>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8</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.1 质量标准</w:t>
      </w:r>
    </w:p>
    <w:p w14:paraId="51C23181">
      <w:pPr>
        <w:pageBreakBefore w:val="0"/>
        <w:kinsoku/>
        <w:wordWrap/>
        <w:overflowPunct/>
        <w:topLinePunct w:val="0"/>
        <w:autoSpaceDE w:val="0"/>
        <w:autoSpaceDN w:val="0"/>
        <w:bidi w:val="0"/>
        <w:adjustRightInd w:val="0"/>
        <w:snapToGrid w:val="0"/>
        <w:spacing w:before="0" w:afterAutospacing="0" w:line="560" w:lineRule="exact"/>
        <w:ind w:firstLine="560" w:firstLineChars="200"/>
        <w:jc w:val="lef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（1）本合同下</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提供</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的货物应符合</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合同约</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定的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w:t>
      </w:r>
    </w:p>
    <w:p w14:paraId="12BCA24C">
      <w:pPr>
        <w:pStyle w:val="17"/>
        <w:pageBreakBefore w:val="0"/>
        <w:kinsoku/>
        <w:wordWrap/>
        <w:overflowPunct/>
        <w:topLinePunct w:val="0"/>
        <w:bidi w:val="0"/>
        <w:adjustRightInd w:val="0"/>
        <w:snapToGrid w:val="0"/>
        <w:spacing w:before="0" w:afterAutospacing="0" w:line="560" w:lineRule="exact"/>
        <w:ind w:firstLine="562" w:firstLineChars="200"/>
        <w:jc w:val="lef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（2）采用中华人民共和国法定计量单位。</w:t>
      </w:r>
    </w:p>
    <w:p w14:paraId="6552A7AD">
      <w:pPr>
        <w:pageBreakBefore w:val="0"/>
        <w:kinsoku/>
        <w:wordWrap/>
        <w:overflowPunct/>
        <w:topLinePunct w:val="0"/>
        <w:autoSpaceDE w:val="0"/>
        <w:autoSpaceDN w:val="0"/>
        <w:bidi w:val="0"/>
        <w:adjustRightInd w:val="0"/>
        <w:snapToGrid w:val="0"/>
        <w:spacing w:before="0" w:afterAutospacing="0" w:line="560" w:lineRule="exact"/>
        <w:ind w:firstLine="560" w:firstLineChars="200"/>
        <w:jc w:val="lef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（3）乙方所</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提供</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的货物应符合国家有关安全、环保、卫生</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的</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规定。</w:t>
      </w:r>
    </w:p>
    <w:p w14:paraId="21552A51">
      <w:pPr>
        <w:pageBreakBefore w:val="0"/>
        <w:kinsoku/>
        <w:wordWrap/>
        <w:overflowPunct/>
        <w:topLinePunct w:val="0"/>
        <w:autoSpaceDE w:val="0"/>
        <w:autoSpaceDN w:val="0"/>
        <w:bidi w:val="0"/>
        <w:adjustRightInd w:val="0"/>
        <w:snapToGrid w:val="0"/>
        <w:spacing w:before="0" w:afterAutospacing="0" w:line="560" w:lineRule="exact"/>
        <w:ind w:firstLine="560" w:firstLineChars="200"/>
        <w:jc w:val="lef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（4）乙方应向甲方提交所</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提供</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货物的技术文件，包括相应的中文技术文件，如：产品目录、图纸、操作手册、使用说明、维护手册或服务指南</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等</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上述</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文件应包装好随货物一同发运。</w:t>
      </w:r>
    </w:p>
    <w:p w14:paraId="5E55818C">
      <w:pPr>
        <w:pageBreakBefore w:val="0"/>
        <w:kinsoku/>
        <w:wordWrap/>
        <w:overflowPunct/>
        <w:topLinePunct w:val="0"/>
        <w:autoSpaceDE w:val="0"/>
        <w:autoSpaceDN w:val="0"/>
        <w:bidi w:val="0"/>
        <w:adjustRightInd w:val="0"/>
        <w:snapToGrid w:val="0"/>
        <w:spacing w:before="0" w:afterAutospacing="0" w:line="560" w:lineRule="exact"/>
        <w:ind w:firstLine="560" w:firstLineChars="200"/>
        <w:jc w:val="lef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8</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.2 保证</w:t>
      </w:r>
    </w:p>
    <w:p w14:paraId="2BB14650">
      <w:pPr>
        <w:pageBreakBefore w:val="0"/>
        <w:kinsoku/>
        <w:wordWrap/>
        <w:overflowPunct/>
        <w:topLinePunct w:val="0"/>
        <w:autoSpaceDE w:val="0"/>
        <w:autoSpaceDN w:val="0"/>
        <w:bidi w:val="0"/>
        <w:adjustRightInd w:val="0"/>
        <w:snapToGrid w:val="0"/>
        <w:spacing w:before="0" w:afterAutospacing="0" w:line="560" w:lineRule="exact"/>
        <w:ind w:firstLine="560" w:firstLineChars="200"/>
        <w:jc w:val="lef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（1）乙方应保证</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提供的货物</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完全符合合同规定的质量、规格和性能要求。乙方应保证货物在正确安装、正常使用和保养条件下，在其使用寿命期内具</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备合同约定</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的性能。</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存在</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质量保证期的，货物最终交付验收</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合格</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后</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在</w:t>
      </w: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【合同专用条款】</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规定或乙方</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书面</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承诺（两者以较长的为准）的质量保证期内，本保证保持有效。</w:t>
      </w:r>
    </w:p>
    <w:p w14:paraId="49E2CA61">
      <w:pPr>
        <w:pageBreakBefore w:val="0"/>
        <w:kinsoku/>
        <w:wordWrap/>
        <w:overflowPunct/>
        <w:topLinePunct w:val="0"/>
        <w:autoSpaceDE w:val="0"/>
        <w:autoSpaceDN w:val="0"/>
        <w:bidi w:val="0"/>
        <w:adjustRightInd w:val="0"/>
        <w:snapToGrid w:val="0"/>
        <w:spacing w:before="0" w:afterAutospacing="0" w:line="560" w:lineRule="exact"/>
        <w:ind w:firstLine="560" w:firstLineChars="200"/>
        <w:jc w:val="lef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（2）在质量保证期内所发现的缺陷，甲方应尽快以书面形式通知乙方。</w:t>
      </w:r>
    </w:p>
    <w:p w14:paraId="4F5BDCEC">
      <w:pPr>
        <w:pageBreakBefore w:val="0"/>
        <w:kinsoku/>
        <w:wordWrap/>
        <w:overflowPunct/>
        <w:topLinePunct w:val="0"/>
        <w:autoSpaceDE w:val="0"/>
        <w:autoSpaceDN w:val="0"/>
        <w:bidi w:val="0"/>
        <w:adjustRightInd w:val="0"/>
        <w:snapToGrid w:val="0"/>
        <w:spacing w:before="0" w:afterAutospacing="0" w:line="560" w:lineRule="exact"/>
        <w:ind w:firstLine="560" w:firstLineChars="200"/>
        <w:jc w:val="lef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（3）乙方收到通知后</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应在</w:t>
      </w: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【合同专用条款】</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规定的响应时间内以合理的速度免费维修或更换有缺陷的货物或部件。</w:t>
      </w:r>
    </w:p>
    <w:p w14:paraId="0E55F826">
      <w:pPr>
        <w:pageBreakBefore w:val="0"/>
        <w:kinsoku/>
        <w:wordWrap/>
        <w:overflowPunct/>
        <w:topLinePunct w:val="0"/>
        <w:autoSpaceDE w:val="0"/>
        <w:autoSpaceDN w:val="0"/>
        <w:bidi w:val="0"/>
        <w:adjustRightInd w:val="0"/>
        <w:snapToGrid w:val="0"/>
        <w:spacing w:before="0" w:afterAutospacing="0" w:line="560" w:lineRule="exact"/>
        <w:ind w:firstLine="560" w:firstLineChars="200"/>
        <w:jc w:val="lef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（4）在质量保证期内，如果货物的质量或规格与合同不符，或证实货物是有缺陷的，包括潜在的缺陷或使用不符合要求的材料等，甲方可以根据本合同第1</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.1条规定以书面形式</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追究</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乙方</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的违约责任</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w:t>
      </w:r>
    </w:p>
    <w:p w14:paraId="554BD0F9">
      <w:pPr>
        <w:pageBreakBefore w:val="0"/>
        <w:kinsoku/>
        <w:wordWrap/>
        <w:overflowPunct/>
        <w:topLinePunct w:val="0"/>
        <w:bidi w:val="0"/>
        <w:adjustRightInd w:val="0"/>
        <w:snapToGrid w:val="0"/>
        <w:spacing w:before="0" w:afterAutospacing="0" w:line="560" w:lineRule="exact"/>
        <w:ind w:firstLine="560" w:firstLineChars="200"/>
        <w:jc w:val="lef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（5）乙方在约定的时间内未能弥补缺陷，甲方可采取必要的补救措施，但其风险和费用将由乙方承担，甲方根据合同</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约定</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对乙方行使的其他权利不受影响。</w:t>
      </w:r>
    </w:p>
    <w:p w14:paraId="69451756">
      <w:pPr>
        <w:pageBreakBefore w:val="0"/>
        <w:kinsoku/>
        <w:wordWrap/>
        <w:overflowPunct/>
        <w:topLinePunct w:val="0"/>
        <w:bidi w:val="0"/>
        <w:adjustRightInd w:val="0"/>
        <w:snapToGrid w:val="0"/>
        <w:spacing w:before="0" w:afterAutospacing="0" w:line="560" w:lineRule="exact"/>
        <w:jc w:val="left"/>
        <w:textAlignment w:val="auto"/>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eastAsia="zh-CN"/>
          <w14:textFill>
            <w14:solidFill>
              <w14:schemeClr w14:val="tx1"/>
            </w14:solidFill>
          </w14:textFill>
        </w:rPr>
        <w:t>9</w:t>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w:t>
      </w: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权利瑕疵担保</w:t>
      </w:r>
    </w:p>
    <w:p w14:paraId="3FC2E820">
      <w:pPr>
        <w:pageBreakBefore w:val="0"/>
        <w:kinsoku/>
        <w:wordWrap/>
        <w:overflowPunct/>
        <w:topLinePunct w:val="0"/>
        <w:autoSpaceDE w:val="0"/>
        <w:autoSpaceDN w:val="0"/>
        <w:bidi w:val="0"/>
        <w:adjustRightInd w:val="0"/>
        <w:snapToGrid w:val="0"/>
        <w:spacing w:before="0" w:afterAutospacing="0" w:line="560" w:lineRule="exact"/>
        <w:ind w:firstLine="560" w:firstLineChars="200"/>
        <w:jc w:val="lef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9</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.1 乙方保证对其出售的货物享有合法的权利。</w:t>
      </w:r>
    </w:p>
    <w:p w14:paraId="50EF6A26">
      <w:pPr>
        <w:pageBreakBefore w:val="0"/>
        <w:kinsoku/>
        <w:wordWrap/>
        <w:overflowPunct/>
        <w:topLinePunct w:val="0"/>
        <w:autoSpaceDE w:val="0"/>
        <w:autoSpaceDN w:val="0"/>
        <w:bidi w:val="0"/>
        <w:adjustRightInd w:val="0"/>
        <w:snapToGrid w:val="0"/>
        <w:spacing w:before="0" w:afterAutospacing="0" w:line="560" w:lineRule="exact"/>
        <w:ind w:firstLine="560" w:firstLineChars="200"/>
        <w:jc w:val="lef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9</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.2 乙方保证在交付的货物上不存在抵押权等担保物权。</w:t>
      </w:r>
    </w:p>
    <w:p w14:paraId="4454D442">
      <w:pPr>
        <w:pageBreakBefore w:val="0"/>
        <w:kinsoku/>
        <w:wordWrap/>
        <w:overflowPunct/>
        <w:topLinePunct w:val="0"/>
        <w:autoSpaceDE w:val="0"/>
        <w:autoSpaceDN w:val="0"/>
        <w:bidi w:val="0"/>
        <w:adjustRightInd w:val="0"/>
        <w:snapToGrid w:val="0"/>
        <w:spacing w:before="0" w:afterAutospacing="0" w:line="560" w:lineRule="exact"/>
        <w:ind w:firstLine="560" w:firstLineChars="200"/>
        <w:jc w:val="lef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9</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.3 如甲方使用</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上述</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货物构成</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对第三人</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侵权的，则由乙方承担全部责任。</w:t>
      </w:r>
    </w:p>
    <w:p w14:paraId="1ABF1C6A">
      <w:pPr>
        <w:pageBreakBefore w:val="0"/>
        <w:kinsoku/>
        <w:wordWrap/>
        <w:overflowPunct/>
        <w:topLinePunct w:val="0"/>
        <w:autoSpaceDE w:val="0"/>
        <w:autoSpaceDN w:val="0"/>
        <w:bidi w:val="0"/>
        <w:adjustRightInd w:val="0"/>
        <w:snapToGrid w:val="0"/>
        <w:spacing w:before="0" w:afterAutospacing="0" w:line="560" w:lineRule="exact"/>
        <w:jc w:val="left"/>
        <w:textAlignment w:val="auto"/>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1</w:t>
      </w:r>
      <w:r>
        <w:rPr>
          <w:rFonts w:hint="eastAsia" w:asciiTheme="minorEastAsia" w:hAnsiTheme="minorEastAsia" w:eastAsiaTheme="minorEastAsia" w:cstheme="minorEastAsia"/>
          <w:b/>
          <w:bCs/>
          <w:color w:val="000000" w:themeColor="text1"/>
          <w:sz w:val="28"/>
          <w:szCs w:val="28"/>
          <w:highlight w:val="none"/>
          <w:lang w:eastAsia="zh-CN"/>
          <w14:textFill>
            <w14:solidFill>
              <w14:schemeClr w14:val="tx1"/>
            </w14:solidFill>
          </w14:textFill>
        </w:rPr>
        <w:t>0</w:t>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w:t>
      </w: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知识产权保护</w:t>
      </w:r>
    </w:p>
    <w:p w14:paraId="7D29DE53">
      <w:pPr>
        <w:pageBreakBefore w:val="0"/>
        <w:kinsoku/>
        <w:wordWrap/>
        <w:overflowPunct/>
        <w:topLinePunct w:val="0"/>
        <w:autoSpaceDE w:val="0"/>
        <w:autoSpaceDN w:val="0"/>
        <w:bidi w:val="0"/>
        <w:adjustRightInd w:val="0"/>
        <w:snapToGrid w:val="0"/>
        <w:spacing w:before="0" w:afterAutospacing="0" w:line="560" w:lineRule="exact"/>
        <w:ind w:firstLine="560" w:firstLineChars="200"/>
        <w:jc w:val="lef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1</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0</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.1 乙方对其所销售的货物应当享有知识产权或经权利人合法授权，保证没有侵犯任何第三人的知识产权等权利。因违反前述约定对第三人构成侵权的，应当由乙方向第三人承担法律责任；甲方依法向第三人赔偿后，有权向乙方追偿。甲方有其他损失的，乙方应当赔偿。</w:t>
      </w:r>
    </w:p>
    <w:p w14:paraId="2457DAB2">
      <w:pPr>
        <w:pageBreakBefore w:val="0"/>
        <w:kinsoku/>
        <w:wordWrap/>
        <w:overflowPunct/>
        <w:topLinePunct w:val="0"/>
        <w:autoSpaceDE w:val="0"/>
        <w:autoSpaceDN w:val="0"/>
        <w:bidi w:val="0"/>
        <w:adjustRightInd w:val="0"/>
        <w:snapToGrid w:val="0"/>
        <w:spacing w:before="0" w:afterAutospacing="0" w:line="560" w:lineRule="exact"/>
        <w:jc w:val="left"/>
        <w:textAlignment w:val="auto"/>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1</w:t>
      </w:r>
      <w:r>
        <w:rPr>
          <w:rFonts w:hint="eastAsia" w:asciiTheme="minorEastAsia" w:hAnsiTheme="minorEastAsia" w:eastAsiaTheme="minorEastAsia" w:cstheme="minorEastAsia"/>
          <w:b/>
          <w:bCs/>
          <w:color w:val="000000" w:themeColor="text1"/>
          <w:sz w:val="28"/>
          <w:szCs w:val="28"/>
          <w:highlight w:val="none"/>
          <w:lang w:eastAsia="zh-CN"/>
          <w14:textFill>
            <w14:solidFill>
              <w14:schemeClr w14:val="tx1"/>
            </w14:solidFill>
          </w14:textFill>
        </w:rPr>
        <w:t>1</w:t>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w:t>
      </w: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保密义务</w:t>
      </w:r>
    </w:p>
    <w:p w14:paraId="6E511D22">
      <w:pPr>
        <w:pageBreakBefore w:val="0"/>
        <w:kinsoku/>
        <w:wordWrap/>
        <w:overflowPunct/>
        <w:topLinePunct w:val="0"/>
        <w:autoSpaceDE w:val="0"/>
        <w:autoSpaceDN w:val="0"/>
        <w:bidi w:val="0"/>
        <w:adjustRightInd w:val="0"/>
        <w:snapToGrid w:val="0"/>
        <w:spacing w:before="0" w:afterAutospacing="0" w:line="560" w:lineRule="exact"/>
        <w:ind w:firstLine="560" w:firstLineChars="200"/>
        <w:jc w:val="lef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 xml:space="preserve">11.1 </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甲、乙双方</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对</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采购和合同履行过程中所获悉的</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国家秘密、工作秘密、</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商业秘密或者其他应当保密的信息，均有保密义务</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且不受合同有效期所限，直至该信息成为公开信息</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。泄露、不正当地使用</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国家秘密、工作秘密、</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商业秘密或者</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其他应当保密的</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信息，应当承担</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相应</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责任。其他应当保密的信息由双方在</w:t>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【合同专用条款】</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中约定。</w:t>
      </w:r>
    </w:p>
    <w:p w14:paraId="5C694FD5">
      <w:pPr>
        <w:pageBreakBefore w:val="0"/>
        <w:kinsoku/>
        <w:wordWrap/>
        <w:overflowPunct/>
        <w:topLinePunct w:val="0"/>
        <w:autoSpaceDE w:val="0"/>
        <w:autoSpaceDN w:val="0"/>
        <w:bidi w:val="0"/>
        <w:adjustRightInd w:val="0"/>
        <w:snapToGrid w:val="0"/>
        <w:spacing w:before="0" w:afterAutospacing="0" w:line="560" w:lineRule="exact"/>
        <w:jc w:val="left"/>
        <w:textAlignment w:val="auto"/>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1</w:t>
      </w:r>
      <w:r>
        <w:rPr>
          <w:rFonts w:hint="eastAsia" w:asciiTheme="minorEastAsia" w:hAnsiTheme="minorEastAsia" w:eastAsiaTheme="minorEastAsia" w:cstheme="minorEastAsia"/>
          <w:b/>
          <w:bCs/>
          <w:color w:val="000000" w:themeColor="text1"/>
          <w:sz w:val="28"/>
          <w:szCs w:val="28"/>
          <w:highlight w:val="none"/>
          <w:lang w:eastAsia="zh-CN"/>
          <w14:textFill>
            <w14:solidFill>
              <w14:schemeClr w14:val="tx1"/>
            </w14:solidFill>
          </w14:textFill>
        </w:rPr>
        <w:t>2</w:t>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w:t>
      </w: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合同价款支付</w:t>
      </w:r>
    </w:p>
    <w:p w14:paraId="6D830608">
      <w:pPr>
        <w:pageBreakBefore w:val="0"/>
        <w:kinsoku/>
        <w:wordWrap/>
        <w:overflowPunct/>
        <w:topLinePunct w:val="0"/>
        <w:autoSpaceDE/>
        <w:autoSpaceDN/>
        <w:bidi w:val="0"/>
        <w:adjustRightInd w:val="0"/>
        <w:snapToGrid w:val="0"/>
        <w:spacing w:before="0" w:afterAutospacing="0" w:line="560" w:lineRule="exact"/>
        <w:ind w:firstLine="560" w:firstLineChars="200"/>
        <w:jc w:val="left"/>
        <w:textAlignment w:val="auto"/>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1</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2</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 xml:space="preserve">.1 </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合同价款支付</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按照国库集中支付</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制度及财政管理相关</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规定执行。</w:t>
      </w:r>
    </w:p>
    <w:p w14:paraId="528291D4">
      <w:pPr>
        <w:pStyle w:val="3"/>
        <w:pageBreakBefore w:val="0"/>
        <w:kinsoku/>
        <w:wordWrap/>
        <w:overflowPunct/>
        <w:topLinePunct w:val="0"/>
        <w:bidi w:val="0"/>
        <w:spacing w:afterAutospacing="0" w:line="560" w:lineRule="exact"/>
        <w:ind w:firstLine="560" w:firstLineChars="200"/>
        <w:textAlignment w:val="auto"/>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8"/>
          <w:szCs w:val="28"/>
          <w:highlight w:val="none"/>
          <w:lang w:val="en-US" w:eastAsia="zh-CN"/>
          <w14:textFill>
            <w14:solidFill>
              <w14:schemeClr w14:val="tx1"/>
            </w14:solidFill>
          </w14:textFill>
        </w:rPr>
        <w:t xml:space="preserve">12.2 </w:t>
      </w:r>
      <w:r>
        <w:rPr>
          <w:rFonts w:hint="eastAsia" w:asciiTheme="minorEastAsia" w:hAnsiTheme="minorEastAsia" w:eastAsiaTheme="minorEastAsia" w:cstheme="minorEastAsia"/>
          <w:b w:val="0"/>
          <w:bCs w:val="0"/>
          <w:color w:val="000000" w:themeColor="text1"/>
          <w:kern w:val="2"/>
          <w:sz w:val="28"/>
          <w:szCs w:val="28"/>
          <w:highlight w:val="none"/>
          <w14:textFill>
            <w14:solidFill>
              <w14:schemeClr w14:val="tx1"/>
            </w14:solidFill>
          </w14:textFill>
        </w:rPr>
        <w:t>对于满足合同约定支付条件的，</w:t>
      </w:r>
      <w:r>
        <w:rPr>
          <w:rFonts w:hint="eastAsia" w:asciiTheme="minorEastAsia" w:hAnsiTheme="minorEastAsia" w:eastAsiaTheme="minorEastAsia" w:cstheme="minorEastAsia"/>
          <w:b w:val="0"/>
          <w:bCs w:val="0"/>
          <w:color w:val="000000" w:themeColor="text1"/>
          <w:kern w:val="2"/>
          <w:sz w:val="28"/>
          <w:szCs w:val="28"/>
          <w:highlight w:val="none"/>
          <w:lang w:val="en-US" w:eastAsia="zh-CN"/>
          <w14:textFill>
            <w14:solidFill>
              <w14:schemeClr w14:val="tx1"/>
            </w14:solidFill>
          </w14:textFill>
        </w:rPr>
        <w:t>甲方</w:t>
      </w:r>
      <w:r>
        <w:rPr>
          <w:rFonts w:hint="eastAsia" w:asciiTheme="minorEastAsia" w:hAnsiTheme="minorEastAsia" w:eastAsiaTheme="minorEastAsia" w:cstheme="minorEastAsia"/>
          <w:b w:val="0"/>
          <w:bCs w:val="0"/>
          <w:i w:val="0"/>
          <w:iCs w:val="0"/>
          <w:caps w:val="0"/>
          <w:color w:val="000000" w:themeColor="text1"/>
          <w:spacing w:val="0"/>
          <w:sz w:val="28"/>
          <w:szCs w:val="28"/>
          <w:highlight w:val="none"/>
          <w:shd w:val="clear"/>
          <w:vertAlign w:val="baseline"/>
          <w14:textFill>
            <w14:solidFill>
              <w14:schemeClr w14:val="tx1"/>
            </w14:solidFill>
          </w14:textFill>
        </w:rPr>
        <w:t>原则上应当自收到发票后10个工作日内</w:t>
      </w:r>
      <w:r>
        <w:rPr>
          <w:rFonts w:hint="eastAsia" w:asciiTheme="minorEastAsia" w:hAnsiTheme="minorEastAsia" w:eastAsiaTheme="minorEastAsia" w:cstheme="minorEastAsia"/>
          <w:b w:val="0"/>
          <w:bCs w:val="0"/>
          <w:color w:val="000000" w:themeColor="text1"/>
          <w:kern w:val="2"/>
          <w:sz w:val="28"/>
          <w:szCs w:val="28"/>
          <w:highlight w:val="none"/>
          <w14:textFill>
            <w14:solidFill>
              <w14:schemeClr w14:val="tx1"/>
            </w14:solidFill>
          </w14:textFill>
        </w:rPr>
        <w:t>将资金支付到合同约定的</w:t>
      </w:r>
      <w:r>
        <w:rPr>
          <w:rFonts w:hint="eastAsia" w:asciiTheme="minorEastAsia" w:hAnsiTheme="minorEastAsia" w:eastAsiaTheme="minorEastAsia" w:cstheme="minorEastAsia"/>
          <w:b w:val="0"/>
          <w:bCs w:val="0"/>
          <w:color w:val="000000" w:themeColor="text1"/>
          <w:kern w:val="2"/>
          <w:sz w:val="28"/>
          <w:szCs w:val="28"/>
          <w:highlight w:val="none"/>
          <w:lang w:eastAsia="zh-CN"/>
          <w14:textFill>
            <w14:solidFill>
              <w14:schemeClr w14:val="tx1"/>
            </w14:solidFill>
          </w14:textFill>
        </w:rPr>
        <w:t>乙方</w:t>
      </w:r>
      <w:r>
        <w:rPr>
          <w:rFonts w:hint="eastAsia" w:asciiTheme="minorEastAsia" w:hAnsiTheme="minorEastAsia" w:eastAsiaTheme="minorEastAsia" w:cstheme="minorEastAsia"/>
          <w:b w:val="0"/>
          <w:bCs w:val="0"/>
          <w:color w:val="000000" w:themeColor="text1"/>
          <w:kern w:val="2"/>
          <w:sz w:val="28"/>
          <w:szCs w:val="28"/>
          <w:highlight w:val="none"/>
          <w14:textFill>
            <w14:solidFill>
              <w14:schemeClr w14:val="tx1"/>
            </w14:solidFill>
          </w14:textFill>
        </w:rPr>
        <w:t>账户，不得以机构变动、人员更替、政策调整等为由迟延付款，不得将采购文件和合同中未规定的义务作为向</w:t>
      </w:r>
      <w:r>
        <w:rPr>
          <w:rFonts w:hint="eastAsia" w:asciiTheme="minorEastAsia" w:hAnsiTheme="minorEastAsia" w:eastAsiaTheme="minorEastAsia" w:cstheme="minorEastAsia"/>
          <w:b w:val="0"/>
          <w:bCs w:val="0"/>
          <w:color w:val="000000" w:themeColor="text1"/>
          <w:kern w:val="2"/>
          <w:sz w:val="28"/>
          <w:szCs w:val="28"/>
          <w:highlight w:val="none"/>
          <w:lang w:val="en-US" w:eastAsia="zh-CN"/>
          <w14:textFill>
            <w14:solidFill>
              <w14:schemeClr w14:val="tx1"/>
            </w14:solidFill>
          </w14:textFill>
        </w:rPr>
        <w:t>乙方</w:t>
      </w:r>
      <w:r>
        <w:rPr>
          <w:rFonts w:hint="eastAsia" w:asciiTheme="minorEastAsia" w:hAnsiTheme="minorEastAsia" w:eastAsiaTheme="minorEastAsia" w:cstheme="minorEastAsia"/>
          <w:b w:val="0"/>
          <w:bCs w:val="0"/>
          <w:color w:val="000000" w:themeColor="text1"/>
          <w:kern w:val="2"/>
          <w:sz w:val="28"/>
          <w:szCs w:val="28"/>
          <w:highlight w:val="none"/>
          <w14:textFill>
            <w14:solidFill>
              <w14:schemeClr w14:val="tx1"/>
            </w14:solidFill>
          </w14:textFill>
        </w:rPr>
        <w:t>付款的条件。具体合同价款支付时间在【</w:t>
      </w:r>
      <w:r>
        <w:rPr>
          <w:rFonts w:hint="eastAsia" w:asciiTheme="minorEastAsia" w:hAnsiTheme="minorEastAsia" w:eastAsiaTheme="minorEastAsia" w:cstheme="minorEastAsia"/>
          <w:b/>
          <w:bCs/>
          <w:color w:val="000000" w:themeColor="text1"/>
          <w:kern w:val="2"/>
          <w:sz w:val="28"/>
          <w:szCs w:val="28"/>
          <w:highlight w:val="none"/>
          <w14:textFill>
            <w14:solidFill>
              <w14:schemeClr w14:val="tx1"/>
            </w14:solidFill>
          </w14:textFill>
        </w:rPr>
        <w:t>合同专用条款</w:t>
      </w:r>
      <w:r>
        <w:rPr>
          <w:rFonts w:hint="eastAsia" w:asciiTheme="minorEastAsia" w:hAnsiTheme="minorEastAsia" w:eastAsiaTheme="minorEastAsia" w:cstheme="minorEastAsia"/>
          <w:b w:val="0"/>
          <w:bCs w:val="0"/>
          <w:color w:val="000000" w:themeColor="text1"/>
          <w:kern w:val="2"/>
          <w:sz w:val="28"/>
          <w:szCs w:val="28"/>
          <w:highlight w:val="none"/>
          <w14:textFill>
            <w14:solidFill>
              <w14:schemeClr w14:val="tx1"/>
            </w14:solidFill>
          </w14:textFill>
        </w:rPr>
        <w:t>】中</w:t>
      </w:r>
      <w:r>
        <w:rPr>
          <w:rFonts w:hint="eastAsia" w:asciiTheme="minorEastAsia" w:hAnsiTheme="minorEastAsia" w:eastAsiaTheme="minorEastAsia" w:cstheme="minorEastAsia"/>
          <w:b w:val="0"/>
          <w:bCs w:val="0"/>
          <w:color w:val="000000" w:themeColor="text1"/>
          <w:kern w:val="2"/>
          <w:sz w:val="28"/>
          <w:szCs w:val="28"/>
          <w:highlight w:val="none"/>
          <w:lang w:eastAsia="zh-CN"/>
          <w14:textFill>
            <w14:solidFill>
              <w14:schemeClr w14:val="tx1"/>
            </w14:solidFill>
          </w14:textFill>
        </w:rPr>
        <w:t>约</w:t>
      </w:r>
      <w:r>
        <w:rPr>
          <w:rFonts w:hint="eastAsia" w:asciiTheme="minorEastAsia" w:hAnsiTheme="minorEastAsia" w:eastAsiaTheme="minorEastAsia" w:cstheme="minorEastAsia"/>
          <w:b w:val="0"/>
          <w:bCs w:val="0"/>
          <w:color w:val="000000" w:themeColor="text1"/>
          <w:kern w:val="2"/>
          <w:sz w:val="28"/>
          <w:szCs w:val="28"/>
          <w:highlight w:val="none"/>
          <w14:textFill>
            <w14:solidFill>
              <w14:schemeClr w14:val="tx1"/>
            </w14:solidFill>
          </w14:textFill>
        </w:rPr>
        <w:t>定。</w:t>
      </w:r>
    </w:p>
    <w:p w14:paraId="0CE63ED3">
      <w:pPr>
        <w:pStyle w:val="13"/>
        <w:pageBreakBefore w:val="0"/>
        <w:kinsoku/>
        <w:wordWrap/>
        <w:overflowPunct/>
        <w:topLinePunct w:val="0"/>
        <w:bidi w:val="0"/>
        <w:spacing w:after="0" w:afterAutospacing="0" w:line="560" w:lineRule="exact"/>
        <w:textAlignment w:val="auto"/>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1</w:t>
      </w:r>
      <w:r>
        <w:rPr>
          <w:rFonts w:hint="eastAsia" w:asciiTheme="minorEastAsia" w:hAnsiTheme="minorEastAsia" w:eastAsiaTheme="minorEastAsia" w:cstheme="minorEastAsia"/>
          <w:b/>
          <w:bCs/>
          <w:color w:val="000000" w:themeColor="text1"/>
          <w:sz w:val="28"/>
          <w:szCs w:val="28"/>
          <w:highlight w:val="none"/>
          <w:lang w:eastAsia="zh-CN"/>
          <w14:textFill>
            <w14:solidFill>
              <w14:schemeClr w14:val="tx1"/>
            </w14:solidFill>
          </w14:textFill>
        </w:rPr>
        <w:t>3</w:t>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w:t>
      </w: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履约保证金</w:t>
      </w:r>
    </w:p>
    <w:p w14:paraId="00537625">
      <w:pPr>
        <w:pageBreakBefore w:val="0"/>
        <w:kinsoku/>
        <w:wordWrap/>
        <w:overflowPunct/>
        <w:topLinePunct w:val="0"/>
        <w:bidi w:val="0"/>
        <w:adjustRightInd w:val="0"/>
        <w:snapToGrid w:val="0"/>
        <w:spacing w:before="0" w:afterAutospacing="0" w:line="560" w:lineRule="exact"/>
        <w:ind w:firstLine="560" w:firstLineChars="200"/>
        <w:jc w:val="lef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1</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3</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.1 乙方应当以支票、汇票、本票或者金融机构、担保机构出具的保函等非现金形式提交。</w:t>
      </w:r>
    </w:p>
    <w:p w14:paraId="22118EB7">
      <w:pPr>
        <w:pageBreakBefore w:val="0"/>
        <w:kinsoku/>
        <w:wordWrap/>
        <w:overflowPunct/>
        <w:topLinePunct w:val="0"/>
        <w:bidi w:val="0"/>
        <w:adjustRightInd w:val="0"/>
        <w:snapToGrid w:val="0"/>
        <w:spacing w:before="0" w:afterAutospacing="0" w:line="560" w:lineRule="exact"/>
        <w:ind w:firstLine="560" w:firstLineChars="200"/>
        <w:jc w:val="lef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1</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3</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.2 如果乙方</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出现</w:t>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【合同专用条款】</w:t>
      </w:r>
      <w:r>
        <w:rPr>
          <w:rFonts w:hint="eastAsia" w:asciiTheme="minorEastAsia" w:hAnsiTheme="minorEastAsia" w:eastAsiaTheme="minorEastAsia" w:cstheme="minorEastAsia"/>
          <w:b w:val="0"/>
          <w:bCs w:val="0"/>
          <w:color w:val="000000" w:themeColor="text1"/>
          <w:sz w:val="28"/>
          <w:szCs w:val="28"/>
          <w:highlight w:val="none"/>
          <w:lang w:eastAsia="zh-CN"/>
          <w14:textFill>
            <w14:solidFill>
              <w14:schemeClr w14:val="tx1"/>
            </w14:solidFill>
          </w14:textFill>
        </w:rPr>
        <w:t>约定情形的</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，履约保证金不予退还；如果乙方未能按合同约定全面履行义务，甲方有权从履约保证金中取得补偿或赔偿，</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且</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不影响甲方要求乙方承担合同约定的超过履约保证金的违约责任的权利。</w:t>
      </w:r>
    </w:p>
    <w:p w14:paraId="0D443FDD">
      <w:pPr>
        <w:pageBreakBefore w:val="0"/>
        <w:kinsoku/>
        <w:wordWrap/>
        <w:overflowPunct/>
        <w:topLinePunct w:val="0"/>
        <w:bidi w:val="0"/>
        <w:spacing w:afterAutospacing="0" w:line="560" w:lineRule="exact"/>
        <w:ind w:firstLine="420"/>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1</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3</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.3 甲方在项目通过验收后按照</w:t>
      </w: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【合同专用条款】</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规定的时间内将履约保证金退还乙方；逾期退还的，乙方可要求甲方支付违约金，违约金按照</w:t>
      </w: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【合同专用条款】</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规定支付。</w:t>
      </w:r>
    </w:p>
    <w:p w14:paraId="75499411">
      <w:pPr>
        <w:pageBreakBefore w:val="0"/>
        <w:kinsoku/>
        <w:wordWrap/>
        <w:overflowPunct/>
        <w:topLinePunct w:val="0"/>
        <w:autoSpaceDE w:val="0"/>
        <w:autoSpaceDN w:val="0"/>
        <w:bidi w:val="0"/>
        <w:adjustRightInd w:val="0"/>
        <w:snapToGrid w:val="0"/>
        <w:spacing w:before="0" w:afterAutospacing="0" w:line="560" w:lineRule="exact"/>
        <w:jc w:val="left"/>
        <w:textAlignment w:val="auto"/>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1</w:t>
      </w:r>
      <w:r>
        <w:rPr>
          <w:rFonts w:hint="eastAsia" w:asciiTheme="minorEastAsia" w:hAnsiTheme="minorEastAsia" w:eastAsiaTheme="minorEastAsia" w:cstheme="minorEastAsia"/>
          <w:b/>
          <w:bCs/>
          <w:color w:val="000000" w:themeColor="text1"/>
          <w:sz w:val="28"/>
          <w:szCs w:val="28"/>
          <w:highlight w:val="none"/>
          <w:lang w:eastAsia="zh-CN"/>
          <w14:textFill>
            <w14:solidFill>
              <w14:schemeClr w14:val="tx1"/>
            </w14:solidFill>
          </w14:textFill>
        </w:rPr>
        <w:t>4</w:t>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w:t>
      </w: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售后服务</w:t>
      </w:r>
    </w:p>
    <w:p w14:paraId="61946EE1">
      <w:pPr>
        <w:pageBreakBefore w:val="0"/>
        <w:kinsoku/>
        <w:wordWrap/>
        <w:overflowPunct/>
        <w:topLinePunct w:val="0"/>
        <w:autoSpaceDE w:val="0"/>
        <w:autoSpaceDN w:val="0"/>
        <w:bidi w:val="0"/>
        <w:adjustRightInd w:val="0"/>
        <w:snapToGrid w:val="0"/>
        <w:spacing w:before="0" w:afterAutospacing="0" w:line="560" w:lineRule="exact"/>
        <w:ind w:firstLine="560" w:firstLineChars="200"/>
        <w:jc w:val="lef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1</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4</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.1 除项目不涉及或采购活动中明确约定无须承担外，乙方还应提供下列服务：</w:t>
      </w:r>
    </w:p>
    <w:p w14:paraId="08466B8A">
      <w:pPr>
        <w:pageBreakBefore w:val="0"/>
        <w:kinsoku/>
        <w:wordWrap/>
        <w:overflowPunct/>
        <w:topLinePunct w:val="0"/>
        <w:autoSpaceDE w:val="0"/>
        <w:autoSpaceDN w:val="0"/>
        <w:bidi w:val="0"/>
        <w:adjustRightInd w:val="0"/>
        <w:snapToGrid w:val="0"/>
        <w:spacing w:before="0" w:afterAutospacing="0" w:line="560" w:lineRule="exact"/>
        <w:ind w:firstLine="560" w:firstLineChars="200"/>
        <w:jc w:val="lef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（1）货物的现场移动、安装、调试、启动监督及技术支持；</w:t>
      </w:r>
    </w:p>
    <w:p w14:paraId="051B0375">
      <w:pPr>
        <w:pageBreakBefore w:val="0"/>
        <w:kinsoku/>
        <w:wordWrap/>
        <w:overflowPunct/>
        <w:topLinePunct w:val="0"/>
        <w:autoSpaceDE w:val="0"/>
        <w:autoSpaceDN w:val="0"/>
        <w:bidi w:val="0"/>
        <w:adjustRightInd w:val="0"/>
        <w:snapToGrid w:val="0"/>
        <w:spacing w:before="0" w:afterAutospacing="0" w:line="560" w:lineRule="exact"/>
        <w:ind w:firstLine="560" w:firstLineChars="200"/>
        <w:jc w:val="lef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（2）提供货物组装和维修所需的专用工具和辅助材料；</w:t>
      </w:r>
    </w:p>
    <w:p w14:paraId="51446092">
      <w:pPr>
        <w:pageBreakBefore w:val="0"/>
        <w:kinsoku/>
        <w:wordWrap/>
        <w:overflowPunct/>
        <w:topLinePunct w:val="0"/>
        <w:autoSpaceDE w:val="0"/>
        <w:autoSpaceDN w:val="0"/>
        <w:bidi w:val="0"/>
        <w:adjustRightInd w:val="0"/>
        <w:snapToGrid w:val="0"/>
        <w:spacing w:before="0" w:afterAutospacing="0" w:line="560" w:lineRule="exact"/>
        <w:ind w:firstLine="560" w:firstLineChars="200"/>
        <w:jc w:val="lef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（3）在</w:t>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【合同专用条款】</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约定</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的期限内对所有的货物实施运行监督、维修，但前提条件是该服务并不能免除乙方在质量保证期内所承担的义务；</w:t>
      </w:r>
    </w:p>
    <w:p w14:paraId="78E8ADA0">
      <w:pPr>
        <w:pageBreakBefore w:val="0"/>
        <w:kinsoku/>
        <w:wordWrap/>
        <w:overflowPunct/>
        <w:topLinePunct w:val="0"/>
        <w:autoSpaceDE w:val="0"/>
        <w:autoSpaceDN w:val="0"/>
        <w:bidi w:val="0"/>
        <w:adjustRightInd w:val="0"/>
        <w:snapToGrid w:val="0"/>
        <w:spacing w:before="0" w:afterAutospacing="0" w:line="560" w:lineRule="exact"/>
        <w:ind w:firstLine="560" w:firstLineChars="200"/>
        <w:jc w:val="lef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（4）在制造商</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所在地</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或</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指定</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现场就货物的安装、启动、运营、维护</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、废弃处置等</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对甲方操作人员进行培训</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w:t>
      </w:r>
    </w:p>
    <w:p w14:paraId="02FEE10C">
      <w:pPr>
        <w:pStyle w:val="171"/>
        <w:pageBreakBefore w:val="0"/>
        <w:kinsoku/>
        <w:wordWrap/>
        <w:overflowPunct/>
        <w:topLinePunct w:val="0"/>
        <w:bidi w:val="0"/>
        <w:spacing w:afterAutospacing="0" w:line="560" w:lineRule="exac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（5）依照法律、行政法规的规定或者按照</w:t>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【合同专用条款】</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约定，货物在有效使用年限届满后应予回收的，乙方负有自行或者委托第三人对货物予以回收的义务；</w:t>
      </w:r>
    </w:p>
    <w:p w14:paraId="7314B699">
      <w:pPr>
        <w:pageBreakBefore w:val="0"/>
        <w:kinsoku/>
        <w:wordWrap/>
        <w:overflowPunct/>
        <w:topLinePunct w:val="0"/>
        <w:autoSpaceDE w:val="0"/>
        <w:autoSpaceDN w:val="0"/>
        <w:bidi w:val="0"/>
        <w:adjustRightInd w:val="0"/>
        <w:snapToGrid w:val="0"/>
        <w:spacing w:before="0" w:afterAutospacing="0" w:line="560" w:lineRule="exact"/>
        <w:ind w:firstLine="560" w:firstLineChars="200"/>
        <w:jc w:val="lef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w:t>
      </w: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【合同专用条款】</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规定由乙方提供的其他服务。</w:t>
      </w:r>
    </w:p>
    <w:p w14:paraId="07561395">
      <w:pPr>
        <w:pageBreakBefore w:val="0"/>
        <w:kinsoku/>
        <w:wordWrap/>
        <w:overflowPunct/>
        <w:topLinePunct w:val="0"/>
        <w:autoSpaceDE w:val="0"/>
        <w:autoSpaceDN w:val="0"/>
        <w:bidi w:val="0"/>
        <w:adjustRightInd w:val="0"/>
        <w:snapToGrid w:val="0"/>
        <w:spacing w:before="0" w:afterAutospacing="0" w:line="560" w:lineRule="exact"/>
        <w:ind w:firstLine="560" w:firstLineChars="200"/>
        <w:jc w:val="lef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1</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.2 乙方提供的</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售后</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服务的费用</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已</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包含在合同价款中，甲方不再另行支付。</w:t>
      </w:r>
    </w:p>
    <w:p w14:paraId="41DBB485">
      <w:pPr>
        <w:pageBreakBefore w:val="0"/>
        <w:kinsoku/>
        <w:wordWrap/>
        <w:overflowPunct/>
        <w:topLinePunct w:val="0"/>
        <w:bidi w:val="0"/>
        <w:adjustRightInd w:val="0"/>
        <w:snapToGrid w:val="0"/>
        <w:spacing w:before="0" w:afterAutospacing="0" w:line="560" w:lineRule="exact"/>
        <w:jc w:val="left"/>
        <w:textAlignment w:val="auto"/>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1</w:t>
      </w:r>
      <w:r>
        <w:rPr>
          <w:rFonts w:hint="eastAsia" w:asciiTheme="minorEastAsia" w:hAnsiTheme="minorEastAsia" w:eastAsiaTheme="minorEastAsia" w:cstheme="minorEastAsia"/>
          <w:b/>
          <w:bCs/>
          <w:color w:val="000000" w:themeColor="text1"/>
          <w:sz w:val="28"/>
          <w:szCs w:val="28"/>
          <w:highlight w:val="none"/>
          <w:lang w:eastAsia="zh-CN"/>
          <w14:textFill>
            <w14:solidFill>
              <w14:schemeClr w14:val="tx1"/>
            </w14:solidFill>
          </w14:textFill>
        </w:rPr>
        <w:t>5</w:t>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w:t>
      </w: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违约责任</w:t>
      </w:r>
    </w:p>
    <w:p w14:paraId="7757FB39">
      <w:pPr>
        <w:pageBreakBefore w:val="0"/>
        <w:kinsoku/>
        <w:wordWrap/>
        <w:overflowPunct/>
        <w:topLinePunct w:val="0"/>
        <w:bidi w:val="0"/>
        <w:adjustRightInd w:val="0"/>
        <w:snapToGrid w:val="0"/>
        <w:spacing w:before="0" w:afterAutospacing="0" w:line="560" w:lineRule="exact"/>
        <w:ind w:firstLine="560" w:firstLineChars="200"/>
        <w:jc w:val="left"/>
        <w:textAlignment w:val="auto"/>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1</w:t>
      </w:r>
      <w:r>
        <w:rPr>
          <w:rFonts w:hint="eastAsia" w:asciiTheme="minorEastAsia" w:hAnsiTheme="minorEastAsia" w:eastAsiaTheme="minorEastAsia" w:cstheme="minorEastAsia"/>
          <w:bCs/>
          <w:color w:val="000000" w:themeColor="text1"/>
          <w:sz w:val="28"/>
          <w:szCs w:val="28"/>
          <w:highlight w:val="none"/>
          <w:lang w:eastAsia="zh-CN"/>
          <w14:textFill>
            <w14:solidFill>
              <w14:schemeClr w14:val="tx1"/>
            </w14:solidFill>
          </w14:textFill>
        </w:rPr>
        <w:t>5</w:t>
      </w: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.1质量瑕疵的</w:t>
      </w:r>
      <w:r>
        <w:rPr>
          <w:rFonts w:hint="eastAsia" w:asciiTheme="minorEastAsia" w:hAnsiTheme="minorEastAsia" w:eastAsiaTheme="minorEastAsia" w:cstheme="minorEastAsia"/>
          <w:bCs/>
          <w:color w:val="000000" w:themeColor="text1"/>
          <w:sz w:val="28"/>
          <w:szCs w:val="28"/>
          <w:highlight w:val="none"/>
          <w:lang w:eastAsia="zh-CN"/>
          <w14:textFill>
            <w14:solidFill>
              <w14:schemeClr w14:val="tx1"/>
            </w14:solidFill>
          </w14:textFill>
        </w:rPr>
        <w:t>违约责任</w:t>
      </w:r>
    </w:p>
    <w:p w14:paraId="7ED9D02C">
      <w:pPr>
        <w:pageBreakBefore w:val="0"/>
        <w:kinsoku/>
        <w:wordWrap/>
        <w:overflowPunct/>
        <w:topLinePunct w:val="0"/>
        <w:autoSpaceDE w:val="0"/>
        <w:autoSpaceDN w:val="0"/>
        <w:bidi w:val="0"/>
        <w:adjustRightInd w:val="0"/>
        <w:snapToGrid w:val="0"/>
        <w:spacing w:before="0" w:afterAutospacing="0" w:line="560" w:lineRule="exact"/>
        <w:ind w:firstLine="560" w:firstLineChars="200"/>
        <w:jc w:val="lef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乙方</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提供</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的产品不符合</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合同约定的</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质量标准或存在产品质量缺陷，</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甲方有权要求乙方根据</w:t>
      </w: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【合同专用条款】</w:t>
      </w:r>
      <w:r>
        <w:rPr>
          <w:rFonts w:hint="eastAsia" w:asciiTheme="minorEastAsia" w:hAnsiTheme="minorEastAsia" w:eastAsiaTheme="minorEastAsia" w:cstheme="minorEastAsia"/>
          <w:b w:val="0"/>
          <w:bCs/>
          <w:color w:val="000000" w:themeColor="text1"/>
          <w:sz w:val="28"/>
          <w:szCs w:val="28"/>
          <w:highlight w:val="none"/>
          <w:lang w:eastAsia="zh-CN"/>
          <w14:textFill>
            <w14:solidFill>
              <w14:schemeClr w14:val="tx1"/>
            </w14:solidFill>
          </w14:textFill>
        </w:rPr>
        <w:t>要求</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及时修理、重作、更换，并承担由此给甲</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方</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造成的损失</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w:t>
      </w:r>
    </w:p>
    <w:p w14:paraId="38C0B350">
      <w:pPr>
        <w:pageBreakBefore w:val="0"/>
        <w:kinsoku/>
        <w:wordWrap/>
        <w:overflowPunct/>
        <w:topLinePunct w:val="0"/>
        <w:autoSpaceDE w:val="0"/>
        <w:autoSpaceDN w:val="0"/>
        <w:bidi w:val="0"/>
        <w:adjustRightInd w:val="0"/>
        <w:snapToGrid w:val="0"/>
        <w:spacing w:before="0" w:afterAutospacing="0" w:line="560" w:lineRule="exact"/>
        <w:ind w:firstLine="560" w:firstLineChars="200"/>
        <w:jc w:val="left"/>
        <w:textAlignment w:val="auto"/>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1</w:t>
      </w:r>
      <w:r>
        <w:rPr>
          <w:rFonts w:hint="eastAsia" w:asciiTheme="minorEastAsia" w:hAnsiTheme="minorEastAsia" w:eastAsiaTheme="minorEastAsia" w:cstheme="minorEastAsia"/>
          <w:bCs/>
          <w:color w:val="000000" w:themeColor="text1"/>
          <w:sz w:val="28"/>
          <w:szCs w:val="28"/>
          <w:highlight w:val="none"/>
          <w:lang w:eastAsia="zh-CN"/>
          <w14:textFill>
            <w14:solidFill>
              <w14:schemeClr w14:val="tx1"/>
            </w14:solidFill>
          </w14:textFill>
        </w:rPr>
        <w:t>5</w:t>
      </w: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.2 迟延交货的违约责任</w:t>
      </w:r>
    </w:p>
    <w:p w14:paraId="09B00FF1">
      <w:pPr>
        <w:pageBreakBefore w:val="0"/>
        <w:kinsoku/>
        <w:wordWrap/>
        <w:overflowPunct/>
        <w:topLinePunct w:val="0"/>
        <w:autoSpaceDE w:val="0"/>
        <w:autoSpaceDN w:val="0"/>
        <w:bidi w:val="0"/>
        <w:adjustRightInd w:val="0"/>
        <w:snapToGrid w:val="0"/>
        <w:spacing w:before="0" w:afterAutospacing="0" w:line="560" w:lineRule="exact"/>
        <w:ind w:firstLine="560" w:firstLineChars="200"/>
        <w:jc w:val="lef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（1）乙方应按照本合同规定的时间、地点交货和提供</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相关</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服务。在履行合同过程中，如果乙方遇到可能</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影响</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按时交货和提供服务的情形时，应及时以书面形式将迟延的事实、可能迟延的期限和理由通知甲方。甲方在收到乙方通知后，应尽快对情况进行评价，并确定是否同意延</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长</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交货时间或延期提供服务。</w:t>
      </w:r>
    </w:p>
    <w:p w14:paraId="04E390B3">
      <w:pPr>
        <w:pageBreakBefore w:val="0"/>
        <w:kinsoku/>
        <w:wordWrap/>
        <w:overflowPunct/>
        <w:topLinePunct w:val="0"/>
        <w:autoSpaceDE w:val="0"/>
        <w:autoSpaceDN w:val="0"/>
        <w:bidi w:val="0"/>
        <w:adjustRightInd w:val="0"/>
        <w:snapToGrid w:val="0"/>
        <w:spacing w:before="0" w:afterAutospacing="0" w:line="560" w:lineRule="exact"/>
        <w:ind w:firstLine="560" w:firstLineChars="200"/>
        <w:jc w:val="left"/>
        <w:textAlignment w:val="auto"/>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（2）如果乙方没有按照合同规定的时间交货和提供</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相关</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服务，甲方有权从货款中扣除误期赔偿费而不影响合同项下的其他补救方法，赔偿费按</w:t>
      </w: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【合同专用条款】</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规定执行。如果涉及公共利益，且赔偿金额无法弥补公共利益损失，</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甲方</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可要求继续履行或者</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采取其他补救措施</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w:t>
      </w:r>
    </w:p>
    <w:p w14:paraId="7B2D92E8">
      <w:pPr>
        <w:pageBreakBefore w:val="0"/>
        <w:kinsoku/>
        <w:wordWrap/>
        <w:overflowPunct/>
        <w:topLinePunct w:val="0"/>
        <w:autoSpaceDE w:val="0"/>
        <w:autoSpaceDN w:val="0"/>
        <w:bidi w:val="0"/>
        <w:adjustRightInd w:val="0"/>
        <w:snapToGrid w:val="0"/>
        <w:spacing w:before="0" w:afterAutospacing="0" w:line="560" w:lineRule="exact"/>
        <w:ind w:firstLine="560" w:firstLineChars="200"/>
        <w:jc w:val="lef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1</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5</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.3 迟延支付的违约责任</w:t>
      </w:r>
    </w:p>
    <w:p w14:paraId="3933CD77">
      <w:pPr>
        <w:pageBreakBefore w:val="0"/>
        <w:kinsoku/>
        <w:wordWrap/>
        <w:overflowPunct/>
        <w:topLinePunct w:val="0"/>
        <w:autoSpaceDE w:val="0"/>
        <w:autoSpaceDN w:val="0"/>
        <w:bidi w:val="0"/>
        <w:adjustRightInd w:val="0"/>
        <w:snapToGrid w:val="0"/>
        <w:spacing w:before="0" w:afterAutospacing="0" w:line="560" w:lineRule="exact"/>
        <w:ind w:firstLine="560" w:firstLineChars="200"/>
        <w:jc w:val="lef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甲方存在迟延支付乙方合同款项的，应当承担</w:t>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【合同专用条款】</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规定的逾期付款利息。</w:t>
      </w:r>
    </w:p>
    <w:p w14:paraId="38A14266">
      <w:pPr>
        <w:pageBreakBefore w:val="0"/>
        <w:kinsoku/>
        <w:wordWrap/>
        <w:overflowPunct/>
        <w:topLinePunct w:val="0"/>
        <w:bidi w:val="0"/>
        <w:adjustRightInd w:val="0"/>
        <w:snapToGrid w:val="0"/>
        <w:spacing w:before="0" w:afterAutospacing="0" w:line="560" w:lineRule="exact"/>
        <w:ind w:firstLine="560" w:firstLineChars="200"/>
        <w:jc w:val="lef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1</w:t>
      </w:r>
      <w:r>
        <w:rPr>
          <w:rFonts w:hint="eastAsia" w:asciiTheme="minorEastAsia" w:hAnsiTheme="minorEastAsia" w:eastAsiaTheme="minorEastAsia" w:cstheme="minorEastAsia"/>
          <w:bCs/>
          <w:color w:val="000000" w:themeColor="text1"/>
          <w:sz w:val="28"/>
          <w:szCs w:val="28"/>
          <w:highlight w:val="none"/>
          <w:lang w:eastAsia="zh-CN"/>
          <w14:textFill>
            <w14:solidFill>
              <w14:schemeClr w14:val="tx1"/>
            </w14:solidFill>
          </w14:textFill>
        </w:rPr>
        <w:t>5</w:t>
      </w: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.4其他违约责任根据项目实际需要按</w:t>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【合同专用条款】</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规定执行。</w:t>
      </w:r>
    </w:p>
    <w:p w14:paraId="2A4B0D86">
      <w:pPr>
        <w:pageBreakBefore w:val="0"/>
        <w:numPr>
          <w:ilvl w:val="0"/>
          <w:numId w:val="9"/>
        </w:numPr>
        <w:kinsoku/>
        <w:wordWrap/>
        <w:overflowPunct/>
        <w:topLinePunct w:val="0"/>
        <w:autoSpaceDE w:val="0"/>
        <w:autoSpaceDN w:val="0"/>
        <w:bidi w:val="0"/>
        <w:adjustRightInd w:val="0"/>
        <w:snapToGrid w:val="0"/>
        <w:spacing w:before="0" w:afterAutospacing="0" w:line="560" w:lineRule="exact"/>
        <w:jc w:val="left"/>
        <w:textAlignment w:val="auto"/>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合同变更</w:t>
      </w:r>
      <w:r>
        <w:rPr>
          <w:rFonts w:hint="eastAsia" w:asciiTheme="minorEastAsia" w:hAnsiTheme="minorEastAsia" w:eastAsiaTheme="minorEastAsia" w:cstheme="minorEastAsia"/>
          <w:b/>
          <w:color w:val="000000" w:themeColor="text1"/>
          <w:sz w:val="28"/>
          <w:szCs w:val="28"/>
          <w:highlight w:val="none"/>
          <w:lang w:eastAsia="zh-CN"/>
          <w14:textFill>
            <w14:solidFill>
              <w14:schemeClr w14:val="tx1"/>
            </w14:solidFill>
          </w14:textFill>
        </w:rPr>
        <w:t>、中止与终止</w:t>
      </w:r>
    </w:p>
    <w:p w14:paraId="298FA6AC">
      <w:pPr>
        <w:pageBreakBefore w:val="0"/>
        <w:kinsoku/>
        <w:wordWrap/>
        <w:overflowPunct/>
        <w:topLinePunct w:val="0"/>
        <w:autoSpaceDE/>
        <w:autoSpaceDN/>
        <w:bidi w:val="0"/>
        <w:adjustRightInd w:val="0"/>
        <w:snapToGrid w:val="0"/>
        <w:spacing w:before="0" w:afterAutospacing="0" w:line="560" w:lineRule="exact"/>
        <w:ind w:firstLine="0" w:firstLineChars="0"/>
        <w:jc w:val="lef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1</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.1合同的</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变更</w:t>
      </w:r>
    </w:p>
    <w:p w14:paraId="602BDE2B">
      <w:pPr>
        <w:pageBreakBefore w:val="0"/>
        <w:kinsoku/>
        <w:wordWrap/>
        <w:overflowPunct/>
        <w:topLinePunct w:val="0"/>
        <w:autoSpaceDE w:val="0"/>
        <w:autoSpaceDN w:val="0"/>
        <w:bidi w:val="0"/>
        <w:adjustRightInd w:val="0"/>
        <w:snapToGrid w:val="0"/>
        <w:spacing w:before="0" w:afterAutospacing="0" w:line="560" w:lineRule="exact"/>
        <w:ind w:firstLine="560" w:firstLineChars="200"/>
        <w:jc w:val="lef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合同履行中，</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在不改变合同其他条款的前提下，甲方可以在合同价款10%的范围内追加与合同标的相同的货物，并就此与乙方协商</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一致后</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签订补充协议。</w:t>
      </w:r>
    </w:p>
    <w:p w14:paraId="5EC64750">
      <w:pPr>
        <w:pageBreakBefore w:val="0"/>
        <w:kinsoku/>
        <w:wordWrap/>
        <w:overflowPunct/>
        <w:topLinePunct w:val="0"/>
        <w:bidi w:val="0"/>
        <w:adjustRightInd w:val="0"/>
        <w:snapToGrid w:val="0"/>
        <w:spacing w:before="0" w:afterAutospacing="0" w:line="560" w:lineRule="exact"/>
        <w:ind w:firstLine="560" w:firstLineChars="200"/>
        <w:jc w:val="lef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1</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合同的中止</w:t>
      </w:r>
    </w:p>
    <w:p w14:paraId="1F3619D4">
      <w:pPr>
        <w:pageBreakBefore w:val="0"/>
        <w:kinsoku/>
        <w:wordWrap/>
        <w:overflowPunct/>
        <w:topLinePunct w:val="0"/>
        <w:autoSpaceDE w:val="0"/>
        <w:autoSpaceDN w:val="0"/>
        <w:bidi w:val="0"/>
        <w:adjustRightInd w:val="0"/>
        <w:snapToGrid w:val="0"/>
        <w:spacing w:before="0" w:afterAutospacing="0" w:line="560" w:lineRule="exact"/>
        <w:ind w:firstLine="560" w:firstLineChars="200"/>
        <w:jc w:val="lef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（1）合同履行过程中因供应商就采购文件、采购过程或结果提起投诉的，甲方认为有必要的，</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可以</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中止合同的履行。</w:t>
      </w:r>
    </w:p>
    <w:p w14:paraId="59EAC0EB">
      <w:pPr>
        <w:pageBreakBefore w:val="0"/>
        <w:kinsoku/>
        <w:wordWrap/>
        <w:overflowPunct/>
        <w:topLinePunct w:val="0"/>
        <w:autoSpaceDE w:val="0"/>
        <w:autoSpaceDN w:val="0"/>
        <w:bidi w:val="0"/>
        <w:adjustRightInd w:val="0"/>
        <w:snapToGrid w:val="0"/>
        <w:spacing w:before="0" w:afterAutospacing="0" w:line="560" w:lineRule="exact"/>
        <w:ind w:firstLine="560" w:firstLineChars="200"/>
        <w:jc w:val="lef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（2）</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合同履行过程中，</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如果乙方出现以下情形之一的：1．经营状况严重恶化；2．转移财产、抽逃资金，以逃避债务；3．丧失商业信誉；4．有丧失或者可能丧失履约能力的其他情形</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，乙方有义务及时告知甲方</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。甲方</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有权</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以书面形式通知乙方中止合同</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并要求乙方在合理期限内消除相关情形或者提供适当担保。</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乙方提供适当担保的，</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合同继续</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履行</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；乙</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方在合理期限内未恢复履约能力且未提供适当担保的，视为拒绝</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继续</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履约，甲方</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有权</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解除合同并要求乙方承担</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由此给甲方造成的损失</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w:t>
      </w:r>
    </w:p>
    <w:p w14:paraId="234CE29B">
      <w:pPr>
        <w:pStyle w:val="171"/>
        <w:pageBreakBefore w:val="0"/>
        <w:kinsoku/>
        <w:wordWrap/>
        <w:overflowPunct/>
        <w:topLinePunct w:val="0"/>
        <w:bidi w:val="0"/>
        <w:spacing w:afterAutospacing="0" w:line="560" w:lineRule="exact"/>
        <w:jc w:val="both"/>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（3）乙方分立、合并或者变更住所的，应当及时以书面形式告知甲方。乙方没有</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及时告知</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甲方，致使</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合同</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履行发生困难的，甲方可以中止合同履行并要求乙方承担由此给甲方造成的损失。</w:t>
      </w:r>
    </w:p>
    <w:p w14:paraId="0AD3D0EF">
      <w:pPr>
        <w:pageBreakBefore w:val="0"/>
        <w:kinsoku/>
        <w:wordWrap/>
        <w:overflowPunct/>
        <w:topLinePunct w:val="0"/>
        <w:bidi w:val="0"/>
        <w:snapToGrid w:val="0"/>
        <w:spacing w:afterAutospacing="0" w:line="560" w:lineRule="exact"/>
        <w:ind w:firstLine="560" w:firstLineChars="200"/>
        <w:jc w:val="lef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）甲方不得以行政区划调整、政府换届、机构或者职能调整以及相关责任人更替为由中止合同。</w:t>
      </w:r>
    </w:p>
    <w:p w14:paraId="41DC2CB5">
      <w:pPr>
        <w:pageBreakBefore w:val="0"/>
        <w:kinsoku/>
        <w:wordWrap/>
        <w:overflowPunct/>
        <w:topLinePunct w:val="0"/>
        <w:bidi w:val="0"/>
        <w:adjustRightInd w:val="0"/>
        <w:snapToGrid w:val="0"/>
        <w:spacing w:before="0" w:afterAutospacing="0" w:line="560" w:lineRule="exact"/>
        <w:ind w:firstLine="560" w:firstLineChars="200"/>
        <w:jc w:val="lef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1</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合同的终止</w:t>
      </w:r>
    </w:p>
    <w:p w14:paraId="1D5BE510">
      <w:pPr>
        <w:pageBreakBefore w:val="0"/>
        <w:kinsoku/>
        <w:wordWrap/>
        <w:overflowPunct/>
        <w:topLinePunct w:val="0"/>
        <w:autoSpaceDE w:val="0"/>
        <w:autoSpaceDN w:val="0"/>
        <w:bidi w:val="0"/>
        <w:adjustRightInd w:val="0"/>
        <w:snapToGrid w:val="0"/>
        <w:spacing w:before="0" w:afterAutospacing="0" w:line="560" w:lineRule="exact"/>
        <w:ind w:firstLine="560" w:firstLineChars="200"/>
        <w:jc w:val="lef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（1）合同因有效期限届满而终止；</w:t>
      </w:r>
    </w:p>
    <w:p w14:paraId="5CF36C3F">
      <w:pPr>
        <w:pageBreakBefore w:val="0"/>
        <w:kinsoku/>
        <w:wordWrap/>
        <w:overflowPunct/>
        <w:topLinePunct w:val="0"/>
        <w:bidi w:val="0"/>
        <w:snapToGrid w:val="0"/>
        <w:spacing w:afterAutospacing="0" w:line="560" w:lineRule="exact"/>
        <w:ind w:firstLine="560" w:firstLineChars="200"/>
        <w:textAlignment w:val="auto"/>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（2）乙方未</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按</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合同约定履行，构成根本性违约的，甲方有权终止合同</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并追究乙方的违约责</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任</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w:t>
      </w:r>
    </w:p>
    <w:p w14:paraId="320773EE">
      <w:pPr>
        <w:pStyle w:val="171"/>
        <w:pageBreakBefore w:val="0"/>
        <w:kinsoku/>
        <w:wordWrap/>
        <w:overflowPunct/>
        <w:topLinePunct w:val="0"/>
        <w:bidi w:val="0"/>
        <w:spacing w:afterAutospacing="0" w:line="560" w:lineRule="exact"/>
        <w:textAlignment w:val="auto"/>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 xml:space="preserve">16.4 </w:t>
      </w:r>
      <w:r>
        <w:rPr>
          <w:rFonts w:hint="eastAsia" w:asciiTheme="minorEastAsia" w:hAnsiTheme="minorEastAsia" w:eastAsiaTheme="minorEastAsia" w:cstheme="minorEastAsia"/>
          <w:color w:val="000000" w:themeColor="text1"/>
          <w:kern w:val="2"/>
          <w:sz w:val="28"/>
          <w:szCs w:val="28"/>
          <w:highlight w:val="none"/>
          <w:lang w:val="en-US" w:eastAsia="zh-CN"/>
          <w14:textFill>
            <w14:solidFill>
              <w14:schemeClr w14:val="tx1"/>
            </w14:solidFill>
          </w14:textFill>
        </w:rPr>
        <w:t>涉及国家利益、社会公共利益的情形</w:t>
      </w:r>
    </w:p>
    <w:p w14:paraId="62A22DA9">
      <w:pPr>
        <w:pStyle w:val="171"/>
        <w:pageBreakBefore w:val="0"/>
        <w:kinsoku/>
        <w:wordWrap/>
        <w:overflowPunct/>
        <w:topLinePunct w:val="0"/>
        <w:bidi w:val="0"/>
        <w:spacing w:afterAutospacing="0" w:line="560" w:lineRule="exact"/>
        <w:jc w:val="both"/>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合同继续履行将损害国家利益和社会公共利益的，双方当事人</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应当变更、</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中止</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或者终止</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合同。有过错的一方应当承担赔偿责任，双方都有过错的，各自承担相应的责任。</w:t>
      </w:r>
    </w:p>
    <w:p w14:paraId="61121FF9">
      <w:pPr>
        <w:pageBreakBefore w:val="0"/>
        <w:kinsoku/>
        <w:wordWrap/>
        <w:overflowPunct/>
        <w:topLinePunct w:val="0"/>
        <w:autoSpaceDE w:val="0"/>
        <w:autoSpaceDN w:val="0"/>
        <w:bidi w:val="0"/>
        <w:adjustRightInd w:val="0"/>
        <w:snapToGrid w:val="0"/>
        <w:spacing w:before="0" w:afterAutospacing="0" w:line="560" w:lineRule="exact"/>
        <w:jc w:val="left"/>
        <w:textAlignment w:val="auto"/>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1</w:t>
      </w: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7</w:t>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w:t>
      </w: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合同分包</w:t>
      </w:r>
    </w:p>
    <w:p w14:paraId="05FA5B5A">
      <w:pPr>
        <w:pageBreakBefore w:val="0"/>
        <w:kinsoku/>
        <w:wordWrap/>
        <w:overflowPunct/>
        <w:topLinePunct w:val="0"/>
        <w:autoSpaceDE w:val="0"/>
        <w:autoSpaceDN w:val="0"/>
        <w:bidi w:val="0"/>
        <w:adjustRightInd w:val="0"/>
        <w:snapToGrid w:val="0"/>
        <w:spacing w:before="0" w:afterAutospacing="0" w:line="560" w:lineRule="exact"/>
        <w:ind w:firstLine="560" w:firstLineChars="200"/>
        <w:jc w:val="lef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1</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.1 乙方不得</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将合同转包给其他供应商。涉及合同分包的，乙方</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应</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根据采购文件和投标（响应）文件规定进行</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合同分包。</w:t>
      </w:r>
    </w:p>
    <w:p w14:paraId="28948818">
      <w:pPr>
        <w:pageBreakBefore w:val="0"/>
        <w:kinsoku/>
        <w:wordWrap/>
        <w:overflowPunct/>
        <w:topLinePunct w:val="0"/>
        <w:autoSpaceDE w:val="0"/>
        <w:autoSpaceDN w:val="0"/>
        <w:bidi w:val="0"/>
        <w:adjustRightInd w:val="0"/>
        <w:snapToGrid w:val="0"/>
        <w:spacing w:before="0" w:afterAutospacing="0" w:line="560" w:lineRule="exact"/>
        <w:ind w:firstLine="560" w:firstLineChars="200"/>
        <w:jc w:val="lef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1</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.2 乙方执行政府采购政策向中小企业依法分包的</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乙方应当按采购文件</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和</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投标（响应）文件签订分包</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意向</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协议，分包</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意向</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协议属于本合同组成部分。</w:t>
      </w:r>
    </w:p>
    <w:p w14:paraId="046B0207">
      <w:pPr>
        <w:pageBreakBefore w:val="0"/>
        <w:kinsoku/>
        <w:wordWrap/>
        <w:overflowPunct/>
        <w:topLinePunct w:val="0"/>
        <w:autoSpaceDE w:val="0"/>
        <w:autoSpaceDN w:val="0"/>
        <w:bidi w:val="0"/>
        <w:adjustRightInd w:val="0"/>
        <w:snapToGrid w:val="0"/>
        <w:spacing w:before="0" w:afterAutospacing="0" w:line="560" w:lineRule="exact"/>
        <w:jc w:val="left"/>
        <w:textAlignment w:val="auto"/>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eastAsia="zh-CN"/>
          <w14:textFill>
            <w14:solidFill>
              <w14:schemeClr w14:val="tx1"/>
            </w14:solidFill>
          </w14:textFill>
        </w:rPr>
        <w:t>1</w:t>
      </w: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8</w:t>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w:t>
      </w: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不可抗力</w:t>
      </w:r>
    </w:p>
    <w:p w14:paraId="23736B00">
      <w:pPr>
        <w:pageBreakBefore w:val="0"/>
        <w:kinsoku/>
        <w:wordWrap/>
        <w:overflowPunct/>
        <w:topLinePunct w:val="0"/>
        <w:autoSpaceDE w:val="0"/>
        <w:autoSpaceDN w:val="0"/>
        <w:bidi w:val="0"/>
        <w:adjustRightInd w:val="0"/>
        <w:snapToGrid w:val="0"/>
        <w:spacing w:before="0" w:afterAutospacing="0" w:line="560" w:lineRule="exact"/>
        <w:ind w:firstLine="560" w:firstLineChars="200"/>
        <w:jc w:val="lef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1</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.1 不可抗力是指合同双方不能预见、不能避免且不能克服的客观情况。</w:t>
      </w:r>
    </w:p>
    <w:p w14:paraId="7199BF9F">
      <w:pPr>
        <w:pageBreakBefore w:val="0"/>
        <w:kinsoku/>
        <w:wordWrap/>
        <w:overflowPunct/>
        <w:topLinePunct w:val="0"/>
        <w:autoSpaceDE w:val="0"/>
        <w:autoSpaceDN w:val="0"/>
        <w:bidi w:val="0"/>
        <w:adjustRightInd w:val="0"/>
        <w:snapToGrid w:val="0"/>
        <w:spacing w:before="0" w:afterAutospacing="0" w:line="560" w:lineRule="exact"/>
        <w:ind w:firstLine="560" w:firstLineChars="200"/>
        <w:jc w:val="lef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1</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.2 任何一方对由于不可抗力造成的部分或全部不能履行合同不承担违约责任。但迟延履行后发生不可抗力的，不能免除责任。</w:t>
      </w:r>
    </w:p>
    <w:p w14:paraId="6FB5F2A8">
      <w:pPr>
        <w:pageBreakBefore w:val="0"/>
        <w:kinsoku/>
        <w:wordWrap/>
        <w:overflowPunct/>
        <w:topLinePunct w:val="0"/>
        <w:autoSpaceDE w:val="0"/>
        <w:autoSpaceDN w:val="0"/>
        <w:bidi w:val="0"/>
        <w:adjustRightInd w:val="0"/>
        <w:snapToGrid w:val="0"/>
        <w:spacing w:before="0" w:afterAutospacing="0" w:line="560" w:lineRule="exact"/>
        <w:ind w:firstLine="560" w:firstLineChars="200"/>
        <w:jc w:val="lef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1</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.3 遇有不可抗力的一方，应及时将事件情况以书面形式</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告</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知另一方，并在事件发生后及时向另一方提交合同不能履行或部分不能履行或需要延期履行</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的详细</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报告</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，以</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及证明不可抗力发生及其持续时间的证据</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w:t>
      </w:r>
    </w:p>
    <w:p w14:paraId="6F2DF03E">
      <w:pPr>
        <w:pageBreakBefore w:val="0"/>
        <w:kinsoku/>
        <w:wordWrap/>
        <w:overflowPunct/>
        <w:topLinePunct w:val="0"/>
        <w:autoSpaceDE w:val="0"/>
        <w:autoSpaceDN w:val="0"/>
        <w:bidi w:val="0"/>
        <w:adjustRightInd w:val="0"/>
        <w:snapToGrid w:val="0"/>
        <w:spacing w:before="0" w:afterAutospacing="0" w:line="560" w:lineRule="exact"/>
        <w:jc w:val="left"/>
        <w:textAlignment w:val="auto"/>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19</w:t>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w:t>
      </w: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解决争议的方法</w:t>
      </w:r>
    </w:p>
    <w:p w14:paraId="3D0DE845">
      <w:pPr>
        <w:pStyle w:val="171"/>
        <w:pageBreakBefore w:val="0"/>
        <w:kinsoku/>
        <w:wordWrap/>
        <w:overflowPunct/>
        <w:topLinePunct w:val="0"/>
        <w:bidi w:val="0"/>
        <w:spacing w:afterAutospacing="0" w:line="560" w:lineRule="exact"/>
        <w:jc w:val="both"/>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19</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.1 因本合同及合同有关事项发生的争议，由</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甲乙双</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方友好协商解决。协商不成时，可以</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向有关组织申请</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调解。合同一方或</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双</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方不愿调解或调解不成的，可以通过仲裁或诉讼的方式解决争议。</w:t>
      </w:r>
    </w:p>
    <w:p w14:paraId="54092203">
      <w:pPr>
        <w:pStyle w:val="171"/>
        <w:pageBreakBefore w:val="0"/>
        <w:kinsoku/>
        <w:wordWrap/>
        <w:overflowPunct/>
        <w:topLinePunct w:val="0"/>
        <w:bidi w:val="0"/>
        <w:spacing w:afterAutospacing="0" w:line="560" w:lineRule="exact"/>
        <w:jc w:val="both"/>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19</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.2 选择仲裁的，应在</w:t>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【合同专用条款】</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中明确仲裁机构及仲裁地；通过诉讼方式解决的，可以在</w:t>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【合同专用条款】</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中进一步约定选择与争议有实际联系的地点的人民法院管辖，但管辖法院的约定不得违反级别管辖和专属管辖的规定。</w:t>
      </w:r>
    </w:p>
    <w:p w14:paraId="4B195C95">
      <w:pPr>
        <w:pStyle w:val="171"/>
        <w:pageBreakBefore w:val="0"/>
        <w:kinsoku/>
        <w:wordWrap/>
        <w:overflowPunct/>
        <w:topLinePunct w:val="0"/>
        <w:bidi w:val="0"/>
        <w:spacing w:afterAutospacing="0" w:line="560" w:lineRule="exact"/>
        <w:jc w:val="both"/>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19</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.3 如</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甲乙双方</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有争议的事项不影响合同其他部分的履行，在争议解决期间，合同其他部分应</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当</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继续履行。</w:t>
      </w:r>
    </w:p>
    <w:p w14:paraId="765AD236">
      <w:pPr>
        <w:pageBreakBefore w:val="0"/>
        <w:kinsoku/>
        <w:wordWrap/>
        <w:overflowPunct/>
        <w:topLinePunct w:val="0"/>
        <w:autoSpaceDE w:val="0"/>
        <w:autoSpaceDN w:val="0"/>
        <w:bidi w:val="0"/>
        <w:adjustRightInd w:val="0"/>
        <w:snapToGrid w:val="0"/>
        <w:spacing w:before="0" w:afterAutospacing="0" w:line="560" w:lineRule="exact"/>
        <w:jc w:val="lef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lang w:val="en-US" w:eastAsia="zh-CN"/>
          <w14:textFill>
            <w14:solidFill>
              <w14:schemeClr w14:val="tx1"/>
            </w14:solidFill>
          </w14:textFill>
        </w:rPr>
        <w:t>20</w:t>
      </w: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w:t>
      </w:r>
      <w:r>
        <w:rPr>
          <w:rFonts w:hint="eastAsia" w:asciiTheme="minorEastAsia" w:hAnsiTheme="minorEastAsia" w:eastAsiaTheme="minorEastAsia" w:cstheme="minorEastAsia"/>
          <w:b/>
          <w:color w:val="000000" w:themeColor="text1"/>
          <w:sz w:val="28"/>
          <w:szCs w:val="28"/>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采购政策</w:t>
      </w:r>
    </w:p>
    <w:p w14:paraId="75E7320D">
      <w:pPr>
        <w:pageBreakBefore w:val="0"/>
        <w:kinsoku/>
        <w:wordWrap/>
        <w:overflowPunct/>
        <w:topLinePunct w:val="0"/>
        <w:autoSpaceDE w:val="0"/>
        <w:autoSpaceDN w:val="0"/>
        <w:bidi w:val="0"/>
        <w:adjustRightInd w:val="0"/>
        <w:snapToGrid w:val="0"/>
        <w:spacing w:before="0" w:afterAutospacing="0" w:line="560" w:lineRule="exact"/>
        <w:ind w:firstLine="560" w:firstLineChars="200"/>
        <w:jc w:val="left"/>
        <w:textAlignment w:val="auto"/>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 xml:space="preserve">20.1 </w:t>
      </w:r>
      <w:r>
        <w:rPr>
          <w:rFonts w:hint="eastAsia" w:asciiTheme="minorEastAsia" w:hAnsiTheme="minorEastAsia" w:eastAsiaTheme="minorEastAsia" w:cstheme="minorEastAsia"/>
          <w:color w:val="000000" w:themeColor="text1"/>
          <w:sz w:val="28"/>
          <w:szCs w:val="28"/>
          <w:highlight w:val="none"/>
          <w:lang w:val="en-GB"/>
          <w14:textFill>
            <w14:solidFill>
              <w14:schemeClr w14:val="tx1"/>
            </w14:solidFill>
          </w14:textFill>
        </w:rPr>
        <w:t>本合同应当按照规定执行政府采购政策。</w:t>
      </w:r>
    </w:p>
    <w:p w14:paraId="0E7B70B2">
      <w:pPr>
        <w:pageBreakBefore w:val="0"/>
        <w:kinsoku/>
        <w:wordWrap/>
        <w:overflowPunct/>
        <w:topLinePunct w:val="0"/>
        <w:autoSpaceDE w:val="0"/>
        <w:autoSpaceDN w:val="0"/>
        <w:bidi w:val="0"/>
        <w:adjustRightInd w:val="0"/>
        <w:snapToGrid w:val="0"/>
        <w:spacing w:before="0" w:afterAutospacing="0" w:line="560" w:lineRule="exact"/>
        <w:ind w:firstLine="560" w:firstLineChars="200"/>
        <w:jc w:val="lef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2</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0</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 xml:space="preserve"> 本合同依法执行政府采购政策的方式和内容，属于合同履约验收的范围。</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甲乙双方</w:t>
      </w:r>
      <w:r>
        <w:rPr>
          <w:rFonts w:hint="eastAsia" w:asciiTheme="minorEastAsia" w:hAnsiTheme="minorEastAsia" w:eastAsiaTheme="minorEastAsia" w:cstheme="minorEastAsia"/>
          <w:color w:val="000000" w:themeColor="text1"/>
          <w:sz w:val="28"/>
          <w:szCs w:val="28"/>
          <w:highlight w:val="none"/>
          <w:lang w:val="en-GB"/>
          <w14:textFill>
            <w14:solidFill>
              <w14:schemeClr w14:val="tx1"/>
            </w14:solidFill>
          </w14:textFill>
        </w:rPr>
        <w:t>未按规定要求执行政府采购政策造成损失的</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，有过错的一方应当承担赔偿责任，双方都有过错的，各自承担相应的责任。</w:t>
      </w:r>
    </w:p>
    <w:p w14:paraId="1AA02ADF">
      <w:pPr>
        <w:pStyle w:val="13"/>
        <w:pageBreakBefore w:val="0"/>
        <w:kinsoku/>
        <w:wordWrap/>
        <w:overflowPunct/>
        <w:topLinePunct w:val="0"/>
        <w:bidi w:val="0"/>
        <w:spacing w:after="0" w:afterAutospacing="0" w:line="560" w:lineRule="exact"/>
        <w:ind w:firstLine="560" w:firstLineChars="200"/>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2</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0</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 xml:space="preserve"> 对于</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为落实中小企业支持政策，</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通过采购项目</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整体</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预留、</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设置</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285FBFE5">
      <w:pPr>
        <w:pageBreakBefore w:val="0"/>
        <w:kinsoku/>
        <w:wordWrap/>
        <w:overflowPunct/>
        <w:topLinePunct w:val="0"/>
        <w:autoSpaceDE w:val="0"/>
        <w:autoSpaceDN w:val="0"/>
        <w:bidi w:val="0"/>
        <w:adjustRightInd w:val="0"/>
        <w:snapToGrid w:val="0"/>
        <w:spacing w:before="0" w:afterAutospacing="0" w:line="560" w:lineRule="exact"/>
        <w:jc w:val="left"/>
        <w:textAlignment w:val="auto"/>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2</w:t>
      </w:r>
      <w:r>
        <w:rPr>
          <w:rFonts w:hint="eastAsia" w:asciiTheme="minorEastAsia" w:hAnsiTheme="minorEastAsia" w:eastAsiaTheme="minorEastAsia" w:cstheme="minorEastAsia"/>
          <w:b/>
          <w:color w:val="000000" w:themeColor="text1"/>
          <w:sz w:val="28"/>
          <w:szCs w:val="28"/>
          <w:highlight w:val="none"/>
          <w:lang w:val="en-US" w:eastAsia="zh-CN"/>
          <w14:textFill>
            <w14:solidFill>
              <w14:schemeClr w14:val="tx1"/>
            </w14:solidFill>
          </w14:textFill>
        </w:rPr>
        <w:t>1</w:t>
      </w: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w:t>
      </w:r>
      <w:r>
        <w:rPr>
          <w:rFonts w:hint="eastAsia" w:asciiTheme="minorEastAsia" w:hAnsiTheme="minorEastAsia" w:eastAsiaTheme="minorEastAsia" w:cstheme="minorEastAsia"/>
          <w:b/>
          <w:color w:val="000000" w:themeColor="text1"/>
          <w:sz w:val="28"/>
          <w:szCs w:val="28"/>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法律适用</w:t>
      </w:r>
    </w:p>
    <w:p w14:paraId="1E1111DD">
      <w:pPr>
        <w:pStyle w:val="171"/>
        <w:pageBreakBefore w:val="0"/>
        <w:kinsoku/>
        <w:wordWrap/>
        <w:overflowPunct/>
        <w:topLinePunct w:val="0"/>
        <w:bidi w:val="0"/>
        <w:spacing w:afterAutospacing="0" w:line="560" w:lineRule="exact"/>
        <w:jc w:val="both"/>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2</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.1 本合同的订立、生效、解释、履行及与本合同有关的争议解决，均适用法律、行政法规。</w:t>
      </w:r>
    </w:p>
    <w:p w14:paraId="14845B43">
      <w:pPr>
        <w:pStyle w:val="171"/>
        <w:pageBreakBefore w:val="0"/>
        <w:kinsoku/>
        <w:wordWrap/>
        <w:overflowPunct/>
        <w:topLinePunct w:val="0"/>
        <w:bidi w:val="0"/>
        <w:spacing w:afterAutospacing="0" w:line="560" w:lineRule="exact"/>
        <w:jc w:val="both"/>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2</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.2 本合同条款与法律、行政法规的强制性规定不一致的，双方当事人应按照法律、行政法规的强制性规定修改本合同的相关条款。</w:t>
      </w:r>
    </w:p>
    <w:p w14:paraId="20FE645F">
      <w:pPr>
        <w:pageBreakBefore w:val="0"/>
        <w:numPr>
          <w:ilvl w:val="-1"/>
          <w:numId w:val="0"/>
        </w:numPr>
        <w:kinsoku/>
        <w:wordWrap/>
        <w:overflowPunct/>
        <w:topLinePunct w:val="0"/>
        <w:autoSpaceDE w:val="0"/>
        <w:autoSpaceDN w:val="0"/>
        <w:bidi w:val="0"/>
        <w:adjustRightInd w:val="0"/>
        <w:snapToGrid w:val="0"/>
        <w:spacing w:before="0" w:afterAutospacing="0" w:line="560" w:lineRule="exact"/>
        <w:jc w:val="left"/>
        <w:textAlignment w:val="auto"/>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lang w:val="en-US" w:eastAsia="zh-CN"/>
          <w14:textFill>
            <w14:solidFill>
              <w14:schemeClr w14:val="tx1"/>
            </w14:solidFill>
          </w14:textFill>
        </w:rPr>
        <w:t xml:space="preserve">22. </w:t>
      </w: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通知</w:t>
      </w:r>
    </w:p>
    <w:p w14:paraId="4EA3412D">
      <w:pPr>
        <w:pStyle w:val="171"/>
        <w:pageBreakBefore w:val="0"/>
        <w:kinsoku/>
        <w:wordWrap/>
        <w:overflowPunct/>
        <w:topLinePunct w:val="0"/>
        <w:bidi w:val="0"/>
        <w:spacing w:afterAutospacing="0" w:line="560" w:lineRule="exact"/>
        <w:jc w:val="both"/>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2</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.1</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本合同任何一方向对方发出的通知、信件、数据电文等，应当发送至本合同第一部分《合同协议书》所约定的通讯地址、联系人、联系电话或电子邮箱。</w:t>
      </w:r>
    </w:p>
    <w:p w14:paraId="0A032827">
      <w:pPr>
        <w:pStyle w:val="171"/>
        <w:pageBreakBefore w:val="0"/>
        <w:kinsoku/>
        <w:wordWrap/>
        <w:overflowPunct/>
        <w:topLinePunct w:val="0"/>
        <w:bidi w:val="0"/>
        <w:spacing w:afterAutospacing="0" w:line="560" w:lineRule="exact"/>
        <w:ind w:firstLine="0" w:firstLineChars="0"/>
        <w:jc w:val="both"/>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2</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.2</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一方当事人变更名称、</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住所</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、联系人、联系电话或电子邮箱</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等信息</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的，应当在变更后3日内及时书面通知对方，对方实际收到变更通知前的送达仍为有效送达。</w:t>
      </w:r>
    </w:p>
    <w:p w14:paraId="0FB6CC5D">
      <w:pPr>
        <w:pageBreakBefore w:val="0"/>
        <w:kinsoku/>
        <w:wordWrap/>
        <w:overflowPunct/>
        <w:topLinePunct w:val="0"/>
        <w:bidi w:val="0"/>
        <w:adjustRightInd w:val="0"/>
        <w:snapToGrid w:val="0"/>
        <w:spacing w:before="0" w:afterAutospacing="0" w:line="560" w:lineRule="exact"/>
        <w:ind w:firstLine="560" w:firstLineChars="200"/>
        <w:jc w:val="lef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2</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本合同一方给另一方的通知均应采用书面形式，传真或快递送到本合同中规定的对方的地址和办理签收手续。</w:t>
      </w:r>
    </w:p>
    <w:p w14:paraId="146DAAA3">
      <w:pPr>
        <w:pageBreakBefore w:val="0"/>
        <w:kinsoku/>
        <w:wordWrap/>
        <w:overflowPunct/>
        <w:topLinePunct w:val="0"/>
        <w:bidi w:val="0"/>
        <w:adjustRightInd w:val="0"/>
        <w:snapToGrid w:val="0"/>
        <w:spacing w:before="0" w:afterAutospacing="0" w:line="560" w:lineRule="exact"/>
        <w:ind w:firstLine="560" w:firstLineChars="200"/>
        <w:jc w:val="lef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2</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通知以送达之日或通知书中规定的生效之日起生效，两者中以较迟之日为准。</w:t>
      </w:r>
    </w:p>
    <w:p w14:paraId="5FAC3946">
      <w:pPr>
        <w:pageBreakBefore w:val="0"/>
        <w:numPr>
          <w:ilvl w:val="0"/>
          <w:numId w:val="10"/>
        </w:numPr>
        <w:kinsoku/>
        <w:wordWrap/>
        <w:overflowPunct/>
        <w:topLinePunct w:val="0"/>
        <w:bidi w:val="0"/>
        <w:adjustRightInd w:val="0"/>
        <w:snapToGrid w:val="0"/>
        <w:spacing w:before="0" w:afterAutospacing="0" w:line="560" w:lineRule="exact"/>
        <w:jc w:val="left"/>
        <w:textAlignment w:val="auto"/>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合同未尽事项</w:t>
      </w:r>
    </w:p>
    <w:p w14:paraId="557BCADD">
      <w:pPr>
        <w:pageBreakBefore w:val="0"/>
        <w:kinsoku/>
        <w:wordWrap/>
        <w:overflowPunct/>
        <w:topLinePunct w:val="0"/>
        <w:bidi w:val="0"/>
        <w:adjustRightInd w:val="0"/>
        <w:snapToGrid w:val="0"/>
        <w:spacing w:before="0" w:afterAutospacing="0" w:line="560" w:lineRule="exact"/>
        <w:ind w:firstLine="560" w:firstLineChars="200"/>
        <w:jc w:val="left"/>
        <w:textAlignment w:val="auto"/>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2</w:t>
      </w:r>
      <w:r>
        <w:rPr>
          <w:rFonts w:hint="eastAsia" w:asciiTheme="minorEastAsia" w:hAnsiTheme="minorEastAsia" w:eastAsiaTheme="minorEastAsia" w:cstheme="minorEastAsia"/>
          <w:bCs/>
          <w:color w:val="000000" w:themeColor="text1"/>
          <w:sz w:val="28"/>
          <w:szCs w:val="28"/>
          <w:highlight w:val="none"/>
          <w:lang w:val="en-US" w:eastAsia="zh-CN"/>
          <w14:textFill>
            <w14:solidFill>
              <w14:schemeClr w14:val="tx1"/>
            </w14:solidFill>
          </w14:textFill>
        </w:rPr>
        <w:t>3</w:t>
      </w: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.1合同未尽事项见</w:t>
      </w: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【合同专用条款】</w:t>
      </w: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w:t>
      </w:r>
    </w:p>
    <w:p w14:paraId="50814FAA">
      <w:pPr>
        <w:pageBreakBefore w:val="0"/>
        <w:kinsoku/>
        <w:wordWrap/>
        <w:overflowPunct/>
        <w:topLinePunct w:val="0"/>
        <w:bidi w:val="0"/>
        <w:adjustRightInd w:val="0"/>
        <w:snapToGrid w:val="0"/>
        <w:spacing w:afterAutospacing="0" w:line="560" w:lineRule="exact"/>
        <w:ind w:firstLine="0" w:firstLineChars="0"/>
        <w:jc w:val="lef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8"/>
          <w:szCs w:val="28"/>
          <w:highlight w:val="none"/>
          <w:lang w:val="en-US" w:eastAsia="zh-CN"/>
          <w14:textFill>
            <w14:solidFill>
              <w14:schemeClr w14:val="tx1"/>
            </w14:solidFill>
          </w14:textFill>
        </w:rPr>
        <w:t xml:space="preserve">    23.2 合同附件与合同正文具有同等的法律效力。</w:t>
      </w:r>
    </w:p>
    <w:p w14:paraId="779DB1FC">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b w:val="0"/>
          <w:bCs w:val="0"/>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8"/>
          <w:szCs w:val="28"/>
          <w:highlight w:val="none"/>
          <w14:textFill>
            <w14:solidFill>
              <w14:schemeClr w14:val="tx1"/>
            </w14:solidFill>
          </w14:textFill>
        </w:rPr>
        <w:br w:type="page"/>
      </w:r>
    </w:p>
    <w:p w14:paraId="3347C00A">
      <w:pPr>
        <w:pStyle w:val="3"/>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b w:val="0"/>
          <w:bCs w:val="0"/>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8"/>
          <w:szCs w:val="28"/>
          <w:highlight w:val="none"/>
          <w14:textFill>
            <w14:solidFill>
              <w14:schemeClr w14:val="tx1"/>
            </w14:solidFill>
          </w14:textFill>
        </w:rPr>
        <w:t>第三节 合同专用条款</w:t>
      </w:r>
    </w:p>
    <w:tbl>
      <w:tblPr>
        <w:tblStyle w:val="34"/>
        <w:tblW w:w="9278"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750"/>
        <w:gridCol w:w="1897"/>
        <w:gridCol w:w="5631"/>
      </w:tblGrid>
      <w:tr w14:paraId="78C58CB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750" w:type="dxa"/>
            <w:vAlign w:val="center"/>
          </w:tcPr>
          <w:p w14:paraId="08C7807F">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第二节</w:t>
            </w:r>
          </w:p>
          <w:p w14:paraId="3012DA8F">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第</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4.6款</w:t>
            </w:r>
          </w:p>
        </w:tc>
        <w:tc>
          <w:tcPr>
            <w:tcW w:w="1897" w:type="dxa"/>
            <w:vAlign w:val="center"/>
          </w:tcPr>
          <w:p w14:paraId="573AC8AE">
            <w:pPr>
              <w:pageBreakBefore w:val="0"/>
              <w:kinsoku/>
              <w:wordWrap/>
              <w:overflowPunct/>
              <w:topLinePunct w:val="0"/>
              <w:bidi w:val="0"/>
              <w:adjustRightInd w:val="0"/>
              <w:snapToGrid w:val="0"/>
              <w:spacing w:afterAutospacing="0" w:line="560" w:lineRule="exact"/>
              <w:jc w:val="left"/>
              <w:textAlignment w:val="auto"/>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约定甲方承担的其他义务和责任</w:t>
            </w:r>
          </w:p>
        </w:tc>
        <w:tc>
          <w:tcPr>
            <w:tcW w:w="5631" w:type="dxa"/>
            <w:vAlign w:val="center"/>
          </w:tcPr>
          <w:p w14:paraId="08FBBC0D">
            <w:pPr>
              <w:pageBreakBefore w:val="0"/>
              <w:kinsoku/>
              <w:wordWrap/>
              <w:overflowPunct/>
              <w:topLinePunct w:val="0"/>
              <w:bidi w:val="0"/>
              <w:adjustRightInd w:val="0"/>
              <w:snapToGrid w:val="0"/>
              <w:spacing w:afterAutospacing="0" w:line="560" w:lineRule="exact"/>
              <w:jc w:val="left"/>
              <w:textAlignment w:val="auto"/>
              <w:rPr>
                <w:rFonts w:hint="eastAsia" w:asciiTheme="minorEastAsia" w:hAnsiTheme="minorEastAsia" w:eastAsiaTheme="minorEastAsia" w:cstheme="minorEastAsia"/>
                <w:color w:val="000000" w:themeColor="text1"/>
                <w:kern w:val="2"/>
                <w:sz w:val="28"/>
                <w:szCs w:val="28"/>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8"/>
                <w:szCs w:val="28"/>
                <w:highlight w:val="none"/>
                <w:lang w:val="en-US" w:eastAsia="zh-CN" w:bidi="ar-SA"/>
                <w14:textFill>
                  <w14:solidFill>
                    <w14:schemeClr w14:val="tx1"/>
                  </w14:solidFill>
                </w14:textFill>
              </w:rPr>
              <w:t>/</w:t>
            </w:r>
          </w:p>
        </w:tc>
      </w:tr>
      <w:tr w14:paraId="68036D2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750" w:type="dxa"/>
            <w:vAlign w:val="center"/>
          </w:tcPr>
          <w:p w14:paraId="48F01458">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第二节</w:t>
            </w:r>
          </w:p>
          <w:p w14:paraId="77C8AE15">
            <w:pPr>
              <w:pageBreakBefore w:val="0"/>
              <w:kinsoku/>
              <w:wordWrap/>
              <w:overflowPunct/>
              <w:topLinePunct w:val="0"/>
              <w:bidi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第</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5.4款</w:t>
            </w:r>
          </w:p>
        </w:tc>
        <w:tc>
          <w:tcPr>
            <w:tcW w:w="1897" w:type="dxa"/>
            <w:vAlign w:val="center"/>
          </w:tcPr>
          <w:p w14:paraId="577880F4">
            <w:pPr>
              <w:pageBreakBefore w:val="0"/>
              <w:kinsoku/>
              <w:wordWrap/>
              <w:overflowPunct/>
              <w:topLinePunct w:val="0"/>
              <w:bidi w:val="0"/>
              <w:adjustRightInd w:val="0"/>
              <w:snapToGrid w:val="0"/>
              <w:spacing w:afterAutospacing="0" w:line="560" w:lineRule="exact"/>
              <w:jc w:val="left"/>
              <w:textAlignment w:val="auto"/>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约定乙方承担的其他义务和责任</w:t>
            </w:r>
          </w:p>
        </w:tc>
        <w:tc>
          <w:tcPr>
            <w:tcW w:w="5631" w:type="dxa"/>
            <w:vAlign w:val="center"/>
          </w:tcPr>
          <w:p w14:paraId="0673C3E9">
            <w:pPr>
              <w:pageBreakBefore w:val="0"/>
              <w:kinsoku/>
              <w:wordWrap/>
              <w:overflowPunct/>
              <w:topLinePunct w:val="0"/>
              <w:bidi w:val="0"/>
              <w:adjustRightInd w:val="0"/>
              <w:snapToGrid w:val="0"/>
              <w:spacing w:afterAutospacing="0" w:line="560" w:lineRule="exact"/>
              <w:jc w:val="left"/>
              <w:textAlignment w:val="auto"/>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1、在质保期内，乙方需提供免费的维修及零配件更换，乙方有义务向甲方提供合同项下设备的终生技术支持，包括技术咨询及技术人员的支持和零配件在设备使用寿命内的供应保证，更换配件的质保期应从更换之日起另行计算。</w:t>
            </w:r>
          </w:p>
          <w:p w14:paraId="0C641D4E">
            <w:pPr>
              <w:pageBreakBefore w:val="0"/>
              <w:kinsoku/>
              <w:wordWrap/>
              <w:overflowPunct/>
              <w:topLinePunct w:val="0"/>
              <w:bidi w:val="0"/>
              <w:adjustRightInd w:val="0"/>
              <w:snapToGrid w:val="0"/>
              <w:spacing w:afterAutospacing="0" w:line="560" w:lineRule="exact"/>
              <w:jc w:val="left"/>
              <w:textAlignment w:val="auto"/>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2、在甲方发出要求服务通知的24小时内，乙方指派的服务人员必须到达用户方现场，对设备出现的较大的问题，解决时间不超过2个日历日。</w:t>
            </w:r>
          </w:p>
          <w:p w14:paraId="1B001193">
            <w:pPr>
              <w:pageBreakBefore w:val="0"/>
              <w:kinsoku/>
              <w:wordWrap/>
              <w:overflowPunct/>
              <w:topLinePunct w:val="0"/>
              <w:bidi w:val="0"/>
              <w:adjustRightInd w:val="0"/>
              <w:snapToGrid w:val="0"/>
              <w:spacing w:afterAutospacing="0" w:line="560" w:lineRule="exact"/>
              <w:jc w:val="left"/>
              <w:textAlignment w:val="auto"/>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3、如设备维修调试后达不到合同规定的质量或技术指标要求，甲方有权提出退货，并要求乙方退回货款。</w:t>
            </w:r>
          </w:p>
          <w:p w14:paraId="490FE9DE">
            <w:pPr>
              <w:pageBreakBefore w:val="0"/>
              <w:kinsoku/>
              <w:wordWrap/>
              <w:overflowPunct/>
              <w:topLinePunct w:val="0"/>
              <w:bidi w:val="0"/>
              <w:adjustRightInd w:val="0"/>
              <w:snapToGrid w:val="0"/>
              <w:spacing w:afterAutospacing="0" w:line="560" w:lineRule="exact"/>
              <w:jc w:val="left"/>
              <w:textAlignment w:val="auto"/>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4、对于隐蔽性的、合理的检查和试验都不能发觉的缺陷，即使质量保证期已过，由于其产品本身的设计缺陷、制造缺陷、安装缺陷造成的故障，仍由乙方免费负责维修、更换。</w:t>
            </w:r>
          </w:p>
          <w:p w14:paraId="237893F1">
            <w:pPr>
              <w:pStyle w:val="171"/>
              <w:pageBreakBefore w:val="0"/>
              <w:kinsoku/>
              <w:wordWrap/>
              <w:overflowPunct/>
              <w:topLinePunct w:val="0"/>
              <w:bidi w:val="0"/>
              <w:spacing w:afterAutospacing="0" w:line="560" w:lineRule="exact"/>
              <w:ind w:left="0" w:leftChars="0" w:firstLine="0" w:firstLineChars="0"/>
              <w:textAlignment w:val="auto"/>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8"/>
                <w:szCs w:val="28"/>
                <w:highlight w:val="none"/>
                <w:lang w:val="en-US" w:eastAsia="zh-CN" w:bidi="ar-SA"/>
                <w14:textFill>
                  <w14:solidFill>
                    <w14:schemeClr w14:val="tx1"/>
                  </w14:solidFill>
                </w14:textFill>
              </w:rPr>
              <w:t>5、质保期外，终身维修，定期保养，最优惠提供零配件、易损件和耗材。</w:t>
            </w:r>
          </w:p>
        </w:tc>
      </w:tr>
      <w:tr w14:paraId="2BB936C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750" w:type="dxa"/>
            <w:vAlign w:val="center"/>
          </w:tcPr>
          <w:p w14:paraId="77D715CF">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第二节</w:t>
            </w:r>
          </w:p>
          <w:p w14:paraId="5BD4123B">
            <w:pPr>
              <w:pageBreakBefore w:val="0"/>
              <w:kinsoku/>
              <w:wordWrap/>
              <w:overflowPunct/>
              <w:topLinePunct w:val="0"/>
              <w:bidi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第</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6.1款</w:t>
            </w:r>
          </w:p>
        </w:tc>
        <w:tc>
          <w:tcPr>
            <w:tcW w:w="1897" w:type="dxa"/>
            <w:vAlign w:val="center"/>
          </w:tcPr>
          <w:p w14:paraId="7870172E">
            <w:pPr>
              <w:pageBreakBefore w:val="0"/>
              <w:kinsoku/>
              <w:wordWrap/>
              <w:overflowPunct/>
              <w:topLinePunct w:val="0"/>
              <w:bidi w:val="0"/>
              <w:adjustRightInd w:val="0"/>
              <w:snapToGrid w:val="0"/>
              <w:spacing w:afterAutospacing="0" w:line="560" w:lineRule="exact"/>
              <w:jc w:val="left"/>
              <w:textAlignment w:val="auto"/>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履行合同义务的顺序</w:t>
            </w:r>
          </w:p>
        </w:tc>
        <w:tc>
          <w:tcPr>
            <w:tcW w:w="5631" w:type="dxa"/>
            <w:vAlign w:val="center"/>
          </w:tcPr>
          <w:p w14:paraId="05807213">
            <w:pPr>
              <w:pageBreakBefore w:val="0"/>
              <w:kinsoku/>
              <w:wordWrap/>
              <w:overflowPunct/>
              <w:topLinePunct w:val="0"/>
              <w:bidi w:val="0"/>
              <w:adjustRightInd w:val="0"/>
              <w:snapToGrid w:val="0"/>
              <w:spacing w:afterAutospacing="0" w:line="560" w:lineRule="exact"/>
              <w:jc w:val="left"/>
              <w:textAlignment w:val="auto"/>
              <w:rPr>
                <w:rFonts w:hint="eastAsia" w:asciiTheme="minorEastAsia" w:hAnsiTheme="minorEastAsia" w:eastAsiaTheme="minorEastAsia" w:cstheme="minorEastAsia"/>
                <w:color w:val="000000" w:themeColor="text1"/>
                <w:kern w:val="2"/>
                <w:sz w:val="28"/>
                <w:szCs w:val="28"/>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8"/>
                <w:szCs w:val="28"/>
                <w:highlight w:val="none"/>
                <w:lang w:val="en-US" w:eastAsia="zh-CN" w:bidi="ar-SA"/>
                <w14:textFill>
                  <w14:solidFill>
                    <w14:schemeClr w14:val="tx1"/>
                  </w14:solidFill>
                </w14:textFill>
              </w:rPr>
              <w:t>/</w:t>
            </w:r>
          </w:p>
        </w:tc>
      </w:tr>
      <w:tr w14:paraId="5764AB0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750" w:type="dxa"/>
            <w:vMerge w:val="restart"/>
            <w:vAlign w:val="center"/>
          </w:tcPr>
          <w:p w14:paraId="0F263DC0">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第二节</w:t>
            </w:r>
          </w:p>
          <w:p w14:paraId="530519F9">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第</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.1</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款</w:t>
            </w:r>
          </w:p>
        </w:tc>
        <w:tc>
          <w:tcPr>
            <w:tcW w:w="1897" w:type="dxa"/>
            <w:vAlign w:val="center"/>
          </w:tcPr>
          <w:p w14:paraId="14474822">
            <w:pPr>
              <w:pageBreakBefore w:val="0"/>
              <w:kinsoku/>
              <w:wordWrap/>
              <w:overflowPunct/>
              <w:topLinePunct w:val="0"/>
              <w:bidi w:val="0"/>
              <w:adjustRightInd w:val="0"/>
              <w:snapToGrid w:val="0"/>
              <w:spacing w:afterAutospacing="0" w:line="560" w:lineRule="exact"/>
              <w:jc w:val="lef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包装</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特殊要求</w:t>
            </w:r>
          </w:p>
        </w:tc>
        <w:tc>
          <w:tcPr>
            <w:tcW w:w="5631" w:type="dxa"/>
            <w:vAlign w:val="center"/>
          </w:tcPr>
          <w:p w14:paraId="7CD54416">
            <w:pPr>
              <w:pageBreakBefore w:val="0"/>
              <w:kinsoku/>
              <w:wordWrap/>
              <w:overflowPunct/>
              <w:topLinePunct w:val="0"/>
              <w:bidi w:val="0"/>
              <w:spacing w:afterAutospacing="0" w:line="560" w:lineRule="exac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乙方必须提供未经使用的全新产品，采用厂家原装包装。由于包装不善所发生的一切费用和损失，由乙方负担。</w:t>
            </w:r>
          </w:p>
        </w:tc>
      </w:tr>
      <w:tr w14:paraId="42E0937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750" w:type="dxa"/>
            <w:vMerge w:val="continue"/>
            <w:vAlign w:val="center"/>
          </w:tcPr>
          <w:p w14:paraId="2A468818">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p>
        </w:tc>
        <w:tc>
          <w:tcPr>
            <w:tcW w:w="1897" w:type="dxa"/>
            <w:vAlign w:val="center"/>
          </w:tcPr>
          <w:p w14:paraId="718745AF">
            <w:pPr>
              <w:pageBreakBefore w:val="0"/>
              <w:kinsoku/>
              <w:wordWrap/>
              <w:overflowPunct/>
              <w:topLinePunct w:val="0"/>
              <w:bidi w:val="0"/>
              <w:adjustRightInd w:val="0"/>
              <w:snapToGrid w:val="0"/>
              <w:spacing w:afterAutospacing="0" w:line="560" w:lineRule="exact"/>
              <w:jc w:val="left"/>
              <w:textAlignment w:val="auto"/>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指定现场</w:t>
            </w:r>
          </w:p>
        </w:tc>
        <w:tc>
          <w:tcPr>
            <w:tcW w:w="5631" w:type="dxa"/>
            <w:vAlign w:val="center"/>
          </w:tcPr>
          <w:p w14:paraId="6EE5B725">
            <w:pPr>
              <w:pageBreakBefore w:val="0"/>
              <w:kinsoku/>
              <w:wordWrap/>
              <w:overflowPunct/>
              <w:topLinePunct w:val="0"/>
              <w:bidi w:val="0"/>
              <w:spacing w:afterAutospacing="0" w:line="560" w:lineRule="exact"/>
              <w:textAlignment w:val="auto"/>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甲方指定地点</w:t>
            </w:r>
          </w:p>
        </w:tc>
      </w:tr>
      <w:tr w14:paraId="0154E9C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750" w:type="dxa"/>
            <w:vAlign w:val="center"/>
          </w:tcPr>
          <w:p w14:paraId="18EFEA51">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第二节</w:t>
            </w:r>
          </w:p>
          <w:p w14:paraId="42726725">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第</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.2</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款</w:t>
            </w:r>
          </w:p>
        </w:tc>
        <w:tc>
          <w:tcPr>
            <w:tcW w:w="1897" w:type="dxa"/>
            <w:vAlign w:val="center"/>
          </w:tcPr>
          <w:p w14:paraId="10D9106A">
            <w:pPr>
              <w:pageBreakBefore w:val="0"/>
              <w:kinsoku/>
              <w:wordWrap/>
              <w:overflowPunct/>
              <w:topLinePunct w:val="0"/>
              <w:bidi w:val="0"/>
              <w:adjustRightInd w:val="0"/>
              <w:snapToGrid w:val="0"/>
              <w:spacing w:afterAutospacing="0" w:line="560" w:lineRule="exact"/>
              <w:jc w:val="left"/>
              <w:textAlignment w:val="auto"/>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运输特殊要求</w:t>
            </w:r>
          </w:p>
        </w:tc>
        <w:tc>
          <w:tcPr>
            <w:tcW w:w="5631" w:type="dxa"/>
            <w:vAlign w:val="center"/>
          </w:tcPr>
          <w:p w14:paraId="7DBA965A">
            <w:pPr>
              <w:pageBreakBefore w:val="0"/>
              <w:kinsoku/>
              <w:wordWrap/>
              <w:overflowPunct/>
              <w:topLinePunct w:val="0"/>
              <w:bidi w:val="0"/>
              <w:spacing w:afterAutospacing="0" w:line="560" w:lineRule="exact"/>
              <w:textAlignment w:val="auto"/>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w:t>
            </w:r>
          </w:p>
        </w:tc>
      </w:tr>
      <w:tr w14:paraId="26D87F4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750" w:type="dxa"/>
            <w:vAlign w:val="center"/>
          </w:tcPr>
          <w:p w14:paraId="2EADADDC">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第二节</w:t>
            </w:r>
          </w:p>
          <w:p w14:paraId="32B05C73">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第</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.3</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款</w:t>
            </w:r>
          </w:p>
        </w:tc>
        <w:tc>
          <w:tcPr>
            <w:tcW w:w="1897" w:type="dxa"/>
            <w:vAlign w:val="center"/>
          </w:tcPr>
          <w:p w14:paraId="79469735">
            <w:pPr>
              <w:pageBreakBefore w:val="0"/>
              <w:kinsoku/>
              <w:wordWrap/>
              <w:overflowPunct/>
              <w:topLinePunct w:val="0"/>
              <w:bidi w:val="0"/>
              <w:adjustRightInd w:val="0"/>
              <w:snapToGrid w:val="0"/>
              <w:spacing w:afterAutospacing="0" w:line="560" w:lineRule="exact"/>
              <w:jc w:val="left"/>
              <w:textAlignment w:val="auto"/>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保险要求</w:t>
            </w:r>
          </w:p>
        </w:tc>
        <w:tc>
          <w:tcPr>
            <w:tcW w:w="5631" w:type="dxa"/>
            <w:vAlign w:val="center"/>
          </w:tcPr>
          <w:p w14:paraId="3EC96DE1">
            <w:pPr>
              <w:pageBreakBefore w:val="0"/>
              <w:kinsoku/>
              <w:wordWrap/>
              <w:overflowPunct/>
              <w:topLinePunct w:val="0"/>
              <w:bidi w:val="0"/>
              <w:spacing w:afterAutospacing="0" w:line="560" w:lineRule="exact"/>
              <w:textAlignment w:val="auto"/>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w:t>
            </w:r>
          </w:p>
        </w:tc>
      </w:tr>
      <w:tr w14:paraId="5B9EE6D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750" w:type="dxa"/>
            <w:vAlign w:val="center"/>
          </w:tcPr>
          <w:p w14:paraId="508BF1B4">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第二节</w:t>
            </w:r>
          </w:p>
          <w:p w14:paraId="18228263">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第</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.2（1）项</w:t>
            </w:r>
          </w:p>
        </w:tc>
        <w:tc>
          <w:tcPr>
            <w:tcW w:w="1897" w:type="dxa"/>
            <w:vAlign w:val="center"/>
          </w:tcPr>
          <w:p w14:paraId="2A184D4C">
            <w:pPr>
              <w:pageBreakBefore w:val="0"/>
              <w:kinsoku/>
              <w:wordWrap/>
              <w:overflowPunct/>
              <w:topLinePunct w:val="0"/>
              <w:bidi w:val="0"/>
              <w:adjustRightInd w:val="0"/>
              <w:snapToGrid w:val="0"/>
              <w:spacing w:afterAutospacing="0" w:line="560" w:lineRule="exact"/>
              <w:jc w:val="lef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质量保证期</w:t>
            </w:r>
          </w:p>
        </w:tc>
        <w:tc>
          <w:tcPr>
            <w:tcW w:w="5631" w:type="dxa"/>
            <w:vAlign w:val="center"/>
          </w:tcPr>
          <w:p w14:paraId="57BD9ADF">
            <w:pPr>
              <w:pageBreakBefore w:val="0"/>
              <w:kinsoku/>
              <w:wordWrap/>
              <w:overflowPunct/>
              <w:topLinePunct w:val="0"/>
              <w:autoSpaceDE w:val="0"/>
              <w:autoSpaceDN w:val="0"/>
              <w:bidi w:val="0"/>
              <w:adjustRightInd w:val="0"/>
              <w:snapToGrid w:val="0"/>
              <w:spacing w:afterAutospacing="0" w:line="560" w:lineRule="exact"/>
              <w:jc w:val="left"/>
              <w:textAlignment w:val="auto"/>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自货物验收合格之日起   年。</w:t>
            </w:r>
          </w:p>
        </w:tc>
      </w:tr>
      <w:tr w14:paraId="0600F97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750" w:type="dxa"/>
            <w:vAlign w:val="center"/>
          </w:tcPr>
          <w:p w14:paraId="37D4D95D">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第二节</w:t>
            </w:r>
          </w:p>
          <w:p w14:paraId="629A7D7C">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第</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.2（3）项</w:t>
            </w:r>
          </w:p>
        </w:tc>
        <w:tc>
          <w:tcPr>
            <w:tcW w:w="1897" w:type="dxa"/>
            <w:vAlign w:val="center"/>
          </w:tcPr>
          <w:p w14:paraId="714CFA70">
            <w:pPr>
              <w:pageBreakBefore w:val="0"/>
              <w:kinsoku/>
              <w:wordWrap/>
              <w:overflowPunct/>
              <w:topLinePunct w:val="0"/>
              <w:bidi w:val="0"/>
              <w:adjustRightInd w:val="0"/>
              <w:snapToGrid w:val="0"/>
              <w:spacing w:afterAutospacing="0" w:line="560" w:lineRule="exact"/>
              <w:jc w:val="left"/>
              <w:textAlignment w:val="auto"/>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货物质量缺陷</w:t>
            </w:r>
          </w:p>
          <w:p w14:paraId="6C76FE39">
            <w:pPr>
              <w:pageBreakBefore w:val="0"/>
              <w:kinsoku/>
              <w:wordWrap/>
              <w:overflowPunct/>
              <w:topLinePunct w:val="0"/>
              <w:bidi w:val="0"/>
              <w:adjustRightInd w:val="0"/>
              <w:snapToGrid w:val="0"/>
              <w:spacing w:afterAutospacing="0" w:line="560" w:lineRule="exact"/>
              <w:jc w:val="lef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响应时间</w:t>
            </w:r>
          </w:p>
        </w:tc>
        <w:tc>
          <w:tcPr>
            <w:tcW w:w="5631" w:type="dxa"/>
            <w:vAlign w:val="center"/>
          </w:tcPr>
          <w:p w14:paraId="5D6DCE60">
            <w:pPr>
              <w:pageBreakBefore w:val="0"/>
              <w:kinsoku/>
              <w:wordWrap/>
              <w:overflowPunct/>
              <w:topLinePunct w:val="0"/>
              <w:bidi w:val="0"/>
              <w:adjustRightInd w:val="0"/>
              <w:snapToGrid w:val="0"/>
              <w:spacing w:afterAutospacing="0" w:line="560" w:lineRule="exact"/>
              <w:jc w:val="both"/>
              <w:textAlignment w:val="auto"/>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收到甲方通知起一日内。</w:t>
            </w:r>
          </w:p>
        </w:tc>
      </w:tr>
      <w:tr w14:paraId="2C5F844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750" w:type="dxa"/>
            <w:vAlign w:val="center"/>
          </w:tcPr>
          <w:p w14:paraId="313F4980">
            <w:pPr>
              <w:pageBreakBefore w:val="0"/>
              <w:kinsoku/>
              <w:wordWrap/>
              <w:overflowPunct/>
              <w:topLinePunct w:val="0"/>
              <w:bidi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第二节</w:t>
            </w:r>
          </w:p>
          <w:p w14:paraId="13C38515">
            <w:pPr>
              <w:pStyle w:val="171"/>
              <w:pageBreakBefore w:val="0"/>
              <w:kinsoku/>
              <w:wordWrap/>
              <w:overflowPunct/>
              <w:topLinePunct w:val="0"/>
              <w:bidi w:val="0"/>
              <w:spacing w:afterAutospacing="0" w:line="560" w:lineRule="exact"/>
              <w:ind w:firstLine="0" w:firstLineChars="0"/>
              <w:jc w:val="center"/>
              <w:textAlignment w:val="auto"/>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第11.1款</w:t>
            </w:r>
          </w:p>
        </w:tc>
        <w:tc>
          <w:tcPr>
            <w:tcW w:w="1897" w:type="dxa"/>
            <w:vAlign w:val="center"/>
          </w:tcPr>
          <w:p w14:paraId="1FB26EC0">
            <w:pPr>
              <w:pageBreakBefore w:val="0"/>
              <w:kinsoku/>
              <w:wordWrap/>
              <w:overflowPunct/>
              <w:topLinePunct w:val="0"/>
              <w:bidi w:val="0"/>
              <w:adjustRightInd w:val="0"/>
              <w:snapToGrid w:val="0"/>
              <w:spacing w:afterAutospacing="0" w:line="560" w:lineRule="exact"/>
              <w:jc w:val="both"/>
              <w:textAlignment w:val="auto"/>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其他应当保密的信息</w:t>
            </w:r>
          </w:p>
        </w:tc>
        <w:tc>
          <w:tcPr>
            <w:tcW w:w="5631" w:type="dxa"/>
            <w:vAlign w:val="center"/>
          </w:tcPr>
          <w:p w14:paraId="58271DD2">
            <w:pPr>
              <w:pageBreakBefore w:val="0"/>
              <w:kinsoku/>
              <w:wordWrap/>
              <w:overflowPunct/>
              <w:topLinePunct w:val="0"/>
              <w:bidi w:val="0"/>
              <w:adjustRightInd w:val="0"/>
              <w:snapToGrid w:val="0"/>
              <w:spacing w:afterAutospacing="0" w:line="560" w:lineRule="exact"/>
              <w:jc w:val="left"/>
              <w:textAlignment w:val="auto"/>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w:t>
            </w:r>
          </w:p>
        </w:tc>
      </w:tr>
      <w:tr w14:paraId="2A96BEA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750" w:type="dxa"/>
            <w:vAlign w:val="center"/>
          </w:tcPr>
          <w:p w14:paraId="69F38399">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第二节</w:t>
            </w:r>
          </w:p>
          <w:p w14:paraId="43D1AA84">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第1</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.2款</w:t>
            </w:r>
          </w:p>
        </w:tc>
        <w:tc>
          <w:tcPr>
            <w:tcW w:w="1897" w:type="dxa"/>
            <w:vAlign w:val="center"/>
          </w:tcPr>
          <w:p w14:paraId="2A4586F1">
            <w:pPr>
              <w:pageBreakBefore w:val="0"/>
              <w:kinsoku/>
              <w:wordWrap/>
              <w:overflowPunct/>
              <w:topLinePunct w:val="0"/>
              <w:bidi w:val="0"/>
              <w:adjustRightInd w:val="0"/>
              <w:snapToGrid w:val="0"/>
              <w:spacing w:afterAutospacing="0" w:line="560" w:lineRule="exact"/>
              <w:jc w:val="left"/>
              <w:textAlignment w:val="auto"/>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合同价款支付</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时间</w:t>
            </w:r>
          </w:p>
        </w:tc>
        <w:tc>
          <w:tcPr>
            <w:tcW w:w="5631" w:type="dxa"/>
            <w:vAlign w:val="center"/>
          </w:tcPr>
          <w:p w14:paraId="03199F6A">
            <w:pPr>
              <w:pageBreakBefore w:val="0"/>
              <w:kinsoku/>
              <w:wordWrap/>
              <w:overflowPunct/>
              <w:topLinePunct w:val="0"/>
              <w:bidi w:val="0"/>
              <w:adjustRightInd w:val="0"/>
              <w:snapToGrid w:val="0"/>
              <w:spacing w:afterAutospacing="0" w:line="560" w:lineRule="exact"/>
              <w:jc w:val="left"/>
              <w:textAlignment w:val="auto"/>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符合合同价款支付条件，乙方开具合法有效的发票后30日内支付。</w:t>
            </w:r>
          </w:p>
        </w:tc>
      </w:tr>
      <w:tr w14:paraId="3682AFD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750" w:type="dxa"/>
            <w:vAlign w:val="center"/>
          </w:tcPr>
          <w:p w14:paraId="2FECCCC5">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第二节</w:t>
            </w:r>
          </w:p>
          <w:p w14:paraId="40740EFA">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第</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13.2</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款</w:t>
            </w:r>
          </w:p>
        </w:tc>
        <w:tc>
          <w:tcPr>
            <w:tcW w:w="1897" w:type="dxa"/>
            <w:vAlign w:val="center"/>
          </w:tcPr>
          <w:p w14:paraId="121B3C81">
            <w:pPr>
              <w:pageBreakBefore w:val="0"/>
              <w:kinsoku/>
              <w:wordWrap/>
              <w:overflowPunct/>
              <w:topLinePunct w:val="0"/>
              <w:bidi w:val="0"/>
              <w:adjustRightInd w:val="0"/>
              <w:snapToGrid w:val="0"/>
              <w:spacing w:afterAutospacing="0" w:line="560" w:lineRule="exact"/>
              <w:jc w:val="left"/>
              <w:textAlignment w:val="auto"/>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履约保证金不予退还的情形</w:t>
            </w:r>
          </w:p>
        </w:tc>
        <w:tc>
          <w:tcPr>
            <w:tcW w:w="5631" w:type="dxa"/>
            <w:vAlign w:val="center"/>
          </w:tcPr>
          <w:p w14:paraId="5A2CA186">
            <w:pPr>
              <w:pageBreakBefore w:val="0"/>
              <w:kinsoku/>
              <w:wordWrap/>
              <w:overflowPunct/>
              <w:topLinePunct w:val="0"/>
              <w:bidi w:val="0"/>
              <w:adjustRightInd w:val="0"/>
              <w:snapToGrid w:val="0"/>
              <w:spacing w:afterAutospacing="0" w:line="560" w:lineRule="exact"/>
              <w:jc w:val="left"/>
              <w:textAlignment w:val="auto"/>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因乙方原因，造成货物在质保期内不能正常使用，且乙方未在规定时间进行维修、更换。</w:t>
            </w:r>
          </w:p>
        </w:tc>
      </w:tr>
      <w:tr w14:paraId="4485566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750" w:type="dxa"/>
            <w:vAlign w:val="center"/>
          </w:tcPr>
          <w:p w14:paraId="541B7899">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第二节</w:t>
            </w:r>
          </w:p>
          <w:p w14:paraId="460FE910">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第</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13.3</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款</w:t>
            </w:r>
          </w:p>
        </w:tc>
        <w:tc>
          <w:tcPr>
            <w:tcW w:w="1897" w:type="dxa"/>
            <w:vAlign w:val="center"/>
          </w:tcPr>
          <w:p w14:paraId="561D9054">
            <w:pPr>
              <w:pageBreakBefore w:val="0"/>
              <w:kinsoku/>
              <w:wordWrap/>
              <w:overflowPunct/>
              <w:topLinePunct w:val="0"/>
              <w:bidi w:val="0"/>
              <w:adjustRightInd w:val="0"/>
              <w:snapToGrid w:val="0"/>
              <w:spacing w:afterAutospacing="0" w:line="560" w:lineRule="exact"/>
              <w:jc w:val="lef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履约保证金退还时间及</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逾期退还的</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违约金</w:t>
            </w:r>
          </w:p>
        </w:tc>
        <w:tc>
          <w:tcPr>
            <w:tcW w:w="5631" w:type="dxa"/>
            <w:vAlign w:val="center"/>
          </w:tcPr>
          <w:p w14:paraId="3B31A589">
            <w:pPr>
              <w:pageBreakBefore w:val="0"/>
              <w:kinsoku/>
              <w:wordWrap/>
              <w:overflowPunct/>
              <w:topLinePunct w:val="0"/>
              <w:bidi w:val="0"/>
              <w:adjustRightInd w:val="0"/>
              <w:snapToGrid w:val="0"/>
              <w:spacing w:afterAutospacing="0" w:line="560" w:lineRule="exact"/>
              <w:jc w:val="left"/>
              <w:textAlignment w:val="auto"/>
              <w:rPr>
                <w:rFonts w:hint="eastAsia" w:asciiTheme="minorEastAsia" w:hAnsiTheme="minorEastAsia" w:eastAsiaTheme="minorEastAsia" w:cstheme="minorEastAsia"/>
                <w:color w:val="000000" w:themeColor="text1"/>
                <w:sz w:val="28"/>
                <w:szCs w:val="28"/>
                <w:highlight w:val="none"/>
                <w:lang w:val="en-US"/>
                <w14:textFill>
                  <w14:solidFill>
                    <w14:schemeClr w14:val="tx1"/>
                  </w14:solidFill>
                </w14:textFill>
              </w:rPr>
            </w:pPr>
            <w:r>
              <w:rPr>
                <w:rFonts w:hint="eastAsia" w:asciiTheme="minorEastAsia" w:hAnsiTheme="minorEastAsia" w:eastAsiaTheme="minorEastAsia" w:cstheme="minorEastAsia"/>
                <w:bCs/>
                <w:color w:val="000000" w:themeColor="text1"/>
                <w:sz w:val="28"/>
                <w:szCs w:val="28"/>
                <w:highlight w:val="none"/>
                <w:u w:val="none"/>
                <w:lang w:eastAsia="zh-CN"/>
                <w14:textFill>
                  <w14:solidFill>
                    <w14:schemeClr w14:val="tx1"/>
                  </w14:solidFill>
                </w14:textFill>
              </w:rPr>
              <w:t>乙方完成合同约定的所有责任、义务后无息支付</w:t>
            </w:r>
            <w:r>
              <w:rPr>
                <w:rFonts w:hint="eastAsia" w:asciiTheme="minorEastAsia" w:hAnsiTheme="minorEastAsia" w:eastAsiaTheme="minorEastAsia" w:cstheme="minorEastAsia"/>
                <w:bCs/>
                <w:color w:val="000000" w:themeColor="text1"/>
                <w:sz w:val="28"/>
                <w:szCs w:val="28"/>
                <w:highlight w:val="none"/>
                <w:u w:val="none"/>
                <w:lang w:val="en-US" w:eastAsia="zh-CN"/>
                <w14:textFill>
                  <w14:solidFill>
                    <w14:schemeClr w14:val="tx1"/>
                  </w14:solidFill>
                </w14:textFill>
              </w:rPr>
              <w:t>。</w:t>
            </w:r>
          </w:p>
        </w:tc>
      </w:tr>
      <w:tr w14:paraId="33BEFD4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750" w:type="dxa"/>
            <w:vAlign w:val="center"/>
          </w:tcPr>
          <w:p w14:paraId="7C06D066">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第二节</w:t>
            </w:r>
          </w:p>
          <w:p w14:paraId="7368EFD6">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第1</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.1（</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）项</w:t>
            </w:r>
          </w:p>
        </w:tc>
        <w:tc>
          <w:tcPr>
            <w:tcW w:w="1897" w:type="dxa"/>
            <w:vAlign w:val="center"/>
          </w:tcPr>
          <w:p w14:paraId="2C8AEF2D">
            <w:pPr>
              <w:pageBreakBefore w:val="0"/>
              <w:kinsoku/>
              <w:wordWrap/>
              <w:overflowPunct/>
              <w:topLinePunct w:val="0"/>
              <w:bidi w:val="0"/>
              <w:adjustRightInd w:val="0"/>
              <w:snapToGrid w:val="0"/>
              <w:spacing w:afterAutospacing="0" w:line="560" w:lineRule="exact"/>
              <w:jc w:val="left"/>
              <w:textAlignment w:val="auto"/>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运行监督、维修期限</w:t>
            </w:r>
          </w:p>
        </w:tc>
        <w:tc>
          <w:tcPr>
            <w:tcW w:w="5631" w:type="dxa"/>
            <w:vAlign w:val="center"/>
          </w:tcPr>
          <w:p w14:paraId="7DC66EFE">
            <w:pPr>
              <w:pageBreakBefore w:val="0"/>
              <w:kinsoku/>
              <w:wordWrap/>
              <w:overflowPunct/>
              <w:topLinePunct w:val="0"/>
              <w:bidi w:val="0"/>
              <w:adjustRightInd w:val="0"/>
              <w:snapToGrid w:val="0"/>
              <w:spacing w:afterAutospacing="0" w:line="560" w:lineRule="exact"/>
              <w:jc w:val="left"/>
              <w:textAlignment w:val="auto"/>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乙方应在货物验收合格后，每</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 xml:space="preserve">   月对货物进行运行监督，并留存书面资料。</w:t>
            </w:r>
          </w:p>
        </w:tc>
      </w:tr>
      <w:tr w14:paraId="5B406A5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750" w:type="dxa"/>
            <w:vAlign w:val="center"/>
          </w:tcPr>
          <w:p w14:paraId="476426AF">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第二节</w:t>
            </w:r>
          </w:p>
          <w:p w14:paraId="169B52A6">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第1</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.1（</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）项</w:t>
            </w:r>
          </w:p>
        </w:tc>
        <w:tc>
          <w:tcPr>
            <w:tcW w:w="1897" w:type="dxa"/>
            <w:vAlign w:val="center"/>
          </w:tcPr>
          <w:p w14:paraId="0AC38499">
            <w:pPr>
              <w:pageBreakBefore w:val="0"/>
              <w:kinsoku/>
              <w:wordWrap/>
              <w:overflowPunct/>
              <w:topLinePunct w:val="0"/>
              <w:bidi w:val="0"/>
              <w:adjustRightInd w:val="0"/>
              <w:snapToGrid w:val="0"/>
              <w:spacing w:afterAutospacing="0" w:line="560" w:lineRule="exact"/>
              <w:jc w:val="left"/>
              <w:textAlignment w:val="auto"/>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货物回收的约定</w:t>
            </w:r>
          </w:p>
        </w:tc>
        <w:tc>
          <w:tcPr>
            <w:tcW w:w="5631" w:type="dxa"/>
            <w:vAlign w:val="center"/>
          </w:tcPr>
          <w:p w14:paraId="402C2B79">
            <w:pPr>
              <w:pageBreakBefore w:val="0"/>
              <w:kinsoku/>
              <w:wordWrap/>
              <w:overflowPunct/>
              <w:topLinePunct w:val="0"/>
              <w:bidi w:val="0"/>
              <w:adjustRightInd w:val="0"/>
              <w:snapToGrid w:val="0"/>
              <w:spacing w:afterAutospacing="0" w:line="560" w:lineRule="exact"/>
              <w:jc w:val="left"/>
              <w:textAlignment w:val="auto"/>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w:t>
            </w:r>
          </w:p>
        </w:tc>
      </w:tr>
      <w:tr w14:paraId="3B619E8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750" w:type="dxa"/>
            <w:vAlign w:val="center"/>
          </w:tcPr>
          <w:p w14:paraId="415A1D0F">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第二节</w:t>
            </w:r>
          </w:p>
          <w:p w14:paraId="7D3AEBC5">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第1</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.1（</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）项</w:t>
            </w:r>
          </w:p>
        </w:tc>
        <w:tc>
          <w:tcPr>
            <w:tcW w:w="1897" w:type="dxa"/>
            <w:vAlign w:val="center"/>
          </w:tcPr>
          <w:p w14:paraId="28780875">
            <w:pPr>
              <w:pageBreakBefore w:val="0"/>
              <w:kinsoku/>
              <w:wordWrap/>
              <w:overflowPunct/>
              <w:topLinePunct w:val="0"/>
              <w:bidi w:val="0"/>
              <w:adjustRightInd w:val="0"/>
              <w:snapToGrid w:val="0"/>
              <w:spacing w:afterAutospacing="0" w:line="560" w:lineRule="exact"/>
              <w:jc w:val="lef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乙方提供的其他服务</w:t>
            </w:r>
          </w:p>
        </w:tc>
        <w:tc>
          <w:tcPr>
            <w:tcW w:w="5631" w:type="dxa"/>
            <w:vAlign w:val="center"/>
          </w:tcPr>
          <w:p w14:paraId="480BC3A2">
            <w:pPr>
              <w:pageBreakBefore w:val="0"/>
              <w:kinsoku/>
              <w:wordWrap/>
              <w:overflowPunct/>
              <w:topLinePunct w:val="0"/>
              <w:bidi w:val="0"/>
              <w:adjustRightInd w:val="0"/>
              <w:snapToGrid w:val="0"/>
              <w:spacing w:afterAutospacing="0" w:line="560" w:lineRule="exact"/>
              <w:jc w:val="left"/>
              <w:textAlignment w:val="auto"/>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乙方须保障甲方在使用其设备、服务及其任何部分不受到第三方关于侵犯专利权、商标权或工业设计权的指控。任何第三方如果提供侵权指控，乙方须与第三方交涉并承担由此而引起的一切法律责任和费用。</w:t>
            </w:r>
          </w:p>
        </w:tc>
      </w:tr>
      <w:tr w14:paraId="76ED1D2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750" w:type="dxa"/>
            <w:vAlign w:val="center"/>
          </w:tcPr>
          <w:p w14:paraId="18B9C785">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第二节</w:t>
            </w:r>
          </w:p>
          <w:p w14:paraId="3D2FA572">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第1</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1款</w:t>
            </w:r>
          </w:p>
        </w:tc>
        <w:tc>
          <w:tcPr>
            <w:tcW w:w="1897" w:type="dxa"/>
            <w:vAlign w:val="center"/>
          </w:tcPr>
          <w:p w14:paraId="0D57A7DC">
            <w:pPr>
              <w:pageBreakBefore w:val="0"/>
              <w:kinsoku/>
              <w:wordWrap/>
              <w:overflowPunct/>
              <w:topLinePunct w:val="0"/>
              <w:bidi w:val="0"/>
              <w:adjustRightInd w:val="0"/>
              <w:snapToGrid w:val="0"/>
              <w:spacing w:afterAutospacing="0" w:line="560" w:lineRule="exact"/>
              <w:jc w:val="lef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修理、重作、更换相关具体规定</w:t>
            </w:r>
          </w:p>
        </w:tc>
        <w:tc>
          <w:tcPr>
            <w:tcW w:w="5631" w:type="dxa"/>
            <w:vAlign w:val="center"/>
          </w:tcPr>
          <w:p w14:paraId="4512FC5B">
            <w:pPr>
              <w:pageBreakBefore w:val="0"/>
              <w:kinsoku/>
              <w:wordWrap/>
              <w:overflowPunct/>
              <w:topLinePunct w:val="0"/>
              <w:bidi w:val="0"/>
              <w:adjustRightInd w:val="0"/>
              <w:snapToGrid w:val="0"/>
              <w:spacing w:afterAutospacing="0" w:line="560" w:lineRule="exact"/>
              <w:jc w:val="left"/>
              <w:textAlignment w:val="auto"/>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乙方</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提供</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的产品不符合</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合同约定的</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质量标准或存在产品质量缺陷</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w:t>
            </w:r>
          </w:p>
        </w:tc>
      </w:tr>
      <w:tr w14:paraId="67C7F45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750" w:type="dxa"/>
            <w:vAlign w:val="center"/>
          </w:tcPr>
          <w:p w14:paraId="7D8F6220">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第二节</w:t>
            </w:r>
          </w:p>
          <w:p w14:paraId="589CFFAF">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第1</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.2（2）项</w:t>
            </w:r>
          </w:p>
        </w:tc>
        <w:tc>
          <w:tcPr>
            <w:tcW w:w="1897" w:type="dxa"/>
            <w:vAlign w:val="center"/>
          </w:tcPr>
          <w:p w14:paraId="67DC5231">
            <w:pPr>
              <w:pageBreakBefore w:val="0"/>
              <w:kinsoku/>
              <w:wordWrap/>
              <w:overflowPunct/>
              <w:topLinePunct w:val="0"/>
              <w:bidi w:val="0"/>
              <w:adjustRightInd w:val="0"/>
              <w:snapToGrid w:val="0"/>
              <w:spacing w:afterAutospacing="0" w:line="560" w:lineRule="exact"/>
              <w:jc w:val="lef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迟延交货赔偿费</w:t>
            </w:r>
          </w:p>
        </w:tc>
        <w:tc>
          <w:tcPr>
            <w:tcW w:w="5631" w:type="dxa"/>
            <w:vAlign w:val="center"/>
          </w:tcPr>
          <w:p w14:paraId="6D732CCE">
            <w:pPr>
              <w:pageBreakBefore w:val="0"/>
              <w:kinsoku/>
              <w:wordWrap/>
              <w:overflowPunct/>
              <w:topLinePunct w:val="0"/>
              <w:bidi w:val="0"/>
              <w:adjustRightInd w:val="0"/>
              <w:snapToGrid w:val="0"/>
              <w:spacing w:afterAutospacing="0" w:line="560" w:lineRule="exact"/>
              <w:jc w:val="left"/>
              <w:textAlignment w:val="auto"/>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1.乙方应按合同约定的时间及地点向甲方提供符合验收条件的货物，因乙方原因造成项目未在约定期限内完成验收，每逾期一日，按合同金额的0.5%向甲方支付违约金，对甲方造成相应损失的，还应据实赔偿。逾期超过7天的，视为乙方不能交货，甲方有权要求乙方继续交货并按照前述标准支付违约金。此种情形下，甲方也有权解除本合同并追究乙方的不能交货的违约责任。</w:t>
            </w:r>
          </w:p>
        </w:tc>
      </w:tr>
      <w:tr w14:paraId="1A735E0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750" w:type="dxa"/>
            <w:vAlign w:val="center"/>
          </w:tcPr>
          <w:p w14:paraId="518A0D79">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第二节</w:t>
            </w:r>
          </w:p>
          <w:p w14:paraId="2A9242D8">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第1</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3款</w:t>
            </w:r>
          </w:p>
        </w:tc>
        <w:tc>
          <w:tcPr>
            <w:tcW w:w="1897" w:type="dxa"/>
            <w:vAlign w:val="center"/>
          </w:tcPr>
          <w:p w14:paraId="0249B352">
            <w:pPr>
              <w:pageBreakBefore w:val="0"/>
              <w:kinsoku/>
              <w:wordWrap/>
              <w:overflowPunct/>
              <w:topLinePunct w:val="0"/>
              <w:bidi w:val="0"/>
              <w:adjustRightInd w:val="0"/>
              <w:snapToGrid w:val="0"/>
              <w:spacing w:afterAutospacing="0" w:line="560" w:lineRule="exact"/>
              <w:jc w:val="lef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逾期付款利息</w:t>
            </w:r>
          </w:p>
        </w:tc>
        <w:tc>
          <w:tcPr>
            <w:tcW w:w="5631" w:type="dxa"/>
            <w:vAlign w:val="center"/>
          </w:tcPr>
          <w:p w14:paraId="3549636E">
            <w:pPr>
              <w:pageBreakBefore w:val="0"/>
              <w:kinsoku/>
              <w:wordWrap/>
              <w:overflowPunct/>
              <w:topLinePunct w:val="0"/>
              <w:bidi w:val="0"/>
              <w:adjustRightInd w:val="0"/>
              <w:snapToGrid w:val="0"/>
              <w:spacing w:afterAutospacing="0" w:line="560" w:lineRule="exact"/>
              <w:jc w:val="left"/>
              <w:textAlignment w:val="auto"/>
              <w:rPr>
                <w:rFonts w:hint="eastAsia" w:asciiTheme="minorEastAsia" w:hAnsiTheme="minorEastAsia" w:eastAsiaTheme="minorEastAsia" w:cstheme="minorEastAsia"/>
                <w:color w:val="000000" w:themeColor="text1"/>
                <w:sz w:val="28"/>
                <w:szCs w:val="28"/>
                <w:highlight w:val="none"/>
                <w:u w:val="singl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u w:val="single"/>
                <w:lang w:val="en-US" w:eastAsia="zh-CN"/>
                <w14:textFill>
                  <w14:solidFill>
                    <w14:schemeClr w14:val="tx1"/>
                  </w14:solidFill>
                </w14:textFill>
              </w:rPr>
              <w:t>/</w:t>
            </w:r>
          </w:p>
        </w:tc>
      </w:tr>
      <w:tr w14:paraId="7761EBC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750" w:type="dxa"/>
            <w:tcBorders>
              <w:bottom w:val="single" w:color="auto" w:sz="2" w:space="0"/>
              <w:right w:val="single" w:color="auto" w:sz="2" w:space="0"/>
            </w:tcBorders>
            <w:vAlign w:val="center"/>
          </w:tcPr>
          <w:p w14:paraId="7F7A6D54">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第二节</w:t>
            </w:r>
          </w:p>
          <w:p w14:paraId="567DBD61">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第1</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.4</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款</w:t>
            </w:r>
          </w:p>
        </w:tc>
        <w:tc>
          <w:tcPr>
            <w:tcW w:w="1897" w:type="dxa"/>
            <w:tcBorders>
              <w:left w:val="single" w:color="auto" w:sz="2" w:space="0"/>
              <w:bottom w:val="single" w:color="auto" w:sz="2" w:space="0"/>
              <w:right w:val="single" w:color="auto" w:sz="2" w:space="0"/>
            </w:tcBorders>
            <w:vAlign w:val="center"/>
          </w:tcPr>
          <w:p w14:paraId="38A3A621">
            <w:pPr>
              <w:pageBreakBefore w:val="0"/>
              <w:kinsoku/>
              <w:wordWrap/>
              <w:overflowPunct/>
              <w:topLinePunct w:val="0"/>
              <w:bidi w:val="0"/>
              <w:adjustRightInd w:val="0"/>
              <w:snapToGrid w:val="0"/>
              <w:spacing w:afterAutospacing="0" w:line="560" w:lineRule="exact"/>
              <w:jc w:val="lef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其他违约责任</w:t>
            </w:r>
          </w:p>
        </w:tc>
        <w:tc>
          <w:tcPr>
            <w:tcW w:w="5631" w:type="dxa"/>
            <w:tcBorders>
              <w:left w:val="single" w:color="auto" w:sz="2" w:space="0"/>
              <w:bottom w:val="single" w:color="auto" w:sz="2" w:space="0"/>
            </w:tcBorders>
            <w:vAlign w:val="center"/>
          </w:tcPr>
          <w:p w14:paraId="6AD0826C">
            <w:pPr>
              <w:pageBreakBefore w:val="0"/>
              <w:kinsoku/>
              <w:wordWrap/>
              <w:overflowPunct/>
              <w:topLinePunct w:val="0"/>
              <w:bidi w:val="0"/>
              <w:adjustRightInd w:val="0"/>
              <w:snapToGrid w:val="0"/>
              <w:spacing w:afterAutospacing="0" w:line="560" w:lineRule="exact"/>
              <w:jc w:val="left"/>
              <w:textAlignment w:val="auto"/>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1质保期内，乙方未按合同约定在约定时间内完成货物维修或更换，每逾期一日，按合同金额的0.5%向甲方支付违约金，对甲方造成相应损失的，还应据实赔偿。</w:t>
            </w:r>
          </w:p>
          <w:p w14:paraId="41956797">
            <w:pPr>
              <w:pageBreakBefore w:val="0"/>
              <w:numPr>
                <w:ilvl w:val="0"/>
                <w:numId w:val="0"/>
              </w:numPr>
              <w:kinsoku/>
              <w:wordWrap/>
              <w:overflowPunct/>
              <w:topLinePunct w:val="0"/>
              <w:bidi w:val="0"/>
              <w:adjustRightInd w:val="0"/>
              <w:snapToGrid w:val="0"/>
              <w:spacing w:afterAutospacing="0" w:line="560" w:lineRule="exact"/>
              <w:ind w:leftChars="0"/>
              <w:jc w:val="left"/>
              <w:textAlignment w:val="auto"/>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2.乙方拒不交货或不能交货的，买方有权单方解除本合同，并按照合同总额的10%要求乙方支付违约金。</w:t>
            </w:r>
          </w:p>
        </w:tc>
      </w:tr>
      <w:tr w14:paraId="2E91A32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750" w:type="dxa"/>
            <w:tcBorders>
              <w:top w:val="single" w:color="auto" w:sz="2" w:space="0"/>
              <w:right w:val="single" w:color="auto" w:sz="2" w:space="0"/>
            </w:tcBorders>
            <w:vAlign w:val="center"/>
          </w:tcPr>
          <w:p w14:paraId="0AC37FF0">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第二节</w:t>
            </w:r>
          </w:p>
          <w:p w14:paraId="1F062DEE">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第</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19</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.2</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款</w:t>
            </w:r>
          </w:p>
        </w:tc>
        <w:tc>
          <w:tcPr>
            <w:tcW w:w="1897" w:type="dxa"/>
            <w:tcBorders>
              <w:top w:val="single" w:color="auto" w:sz="2" w:space="0"/>
              <w:left w:val="single" w:color="auto" w:sz="2" w:space="0"/>
              <w:right w:val="single" w:color="auto" w:sz="2" w:space="0"/>
            </w:tcBorders>
            <w:vAlign w:val="center"/>
          </w:tcPr>
          <w:p w14:paraId="1320710D">
            <w:pPr>
              <w:pageBreakBefore w:val="0"/>
              <w:kinsoku/>
              <w:wordWrap/>
              <w:overflowPunct/>
              <w:topLinePunct w:val="0"/>
              <w:bidi w:val="0"/>
              <w:adjustRightInd w:val="0"/>
              <w:snapToGrid w:val="0"/>
              <w:spacing w:afterAutospacing="0" w:line="560" w:lineRule="exact"/>
              <w:jc w:val="lef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解决争议的方法</w:t>
            </w:r>
          </w:p>
        </w:tc>
        <w:tc>
          <w:tcPr>
            <w:tcW w:w="5631" w:type="dxa"/>
            <w:tcBorders>
              <w:top w:val="single" w:color="auto" w:sz="2" w:space="0"/>
              <w:left w:val="single" w:color="auto" w:sz="2" w:space="0"/>
            </w:tcBorders>
            <w:vAlign w:val="center"/>
          </w:tcPr>
          <w:p w14:paraId="2529B7D5">
            <w:pPr>
              <w:pageBreakBefore w:val="0"/>
              <w:kinsoku/>
              <w:wordWrap/>
              <w:overflowPunct/>
              <w:topLinePunct w:val="0"/>
              <w:autoSpaceDE w:val="0"/>
              <w:autoSpaceDN w:val="0"/>
              <w:bidi w:val="0"/>
              <w:adjustRightInd w:val="0"/>
              <w:snapToGrid w:val="0"/>
              <w:spacing w:afterAutospacing="0" w:line="560" w:lineRule="exact"/>
              <w:jc w:val="left"/>
              <w:textAlignment w:val="auto"/>
              <w:rPr>
                <w:rFonts w:hint="eastAsia" w:asciiTheme="minorEastAsia" w:hAnsiTheme="minorEastAsia" w:eastAsiaTheme="minorEastAsia" w:cstheme="minorEastAsia"/>
                <w:b w:val="0"/>
                <w:bCs w:val="0"/>
                <w:i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val="0"/>
                <w:bCs w:val="0"/>
                <w:iCs/>
                <w:color w:val="000000" w:themeColor="text1"/>
                <w:sz w:val="28"/>
                <w:szCs w:val="28"/>
                <w:highlight w:val="none"/>
                <w14:textFill>
                  <w14:solidFill>
                    <w14:schemeClr w14:val="tx1"/>
                  </w14:solidFill>
                </w14:textFill>
              </w:rPr>
              <w:t>因本合同及合同有关事项发生的争议，按下列第</w:t>
            </w:r>
            <w:r>
              <w:rPr>
                <w:rFonts w:hint="eastAsia" w:asciiTheme="minorEastAsia" w:hAnsiTheme="minorEastAsia" w:eastAsiaTheme="minorEastAsia" w:cstheme="minorEastAsia"/>
                <w:b w:val="0"/>
                <w:bCs w:val="0"/>
                <w:iCs/>
                <w:color w:val="000000" w:themeColor="text1"/>
                <w:sz w:val="28"/>
                <w:szCs w:val="28"/>
                <w:highlight w:val="none"/>
                <w:u w:val="single"/>
                <w:lang w:val="en-US" w:eastAsia="zh-CN"/>
                <w14:textFill>
                  <w14:solidFill>
                    <w14:schemeClr w14:val="tx1"/>
                  </w14:solidFill>
                </w14:textFill>
              </w:rPr>
              <w:t>2</w:t>
            </w:r>
            <w:r>
              <w:rPr>
                <w:rFonts w:hint="eastAsia" w:asciiTheme="minorEastAsia" w:hAnsiTheme="minorEastAsia" w:eastAsiaTheme="minorEastAsia" w:cstheme="minorEastAsia"/>
                <w:b w:val="0"/>
                <w:bCs w:val="0"/>
                <w:iCs/>
                <w:color w:val="000000" w:themeColor="text1"/>
                <w:sz w:val="28"/>
                <w:szCs w:val="28"/>
                <w:highlight w:val="none"/>
                <w14:textFill>
                  <w14:solidFill>
                    <w14:schemeClr w14:val="tx1"/>
                  </w14:solidFill>
                </w14:textFill>
              </w:rPr>
              <w:t>种方式解决：</w:t>
            </w:r>
          </w:p>
          <w:p w14:paraId="4D3632D7">
            <w:pPr>
              <w:pageBreakBefore w:val="0"/>
              <w:kinsoku/>
              <w:wordWrap/>
              <w:overflowPunct/>
              <w:topLinePunct w:val="0"/>
              <w:autoSpaceDE w:val="0"/>
              <w:autoSpaceDN w:val="0"/>
              <w:bidi w:val="0"/>
              <w:adjustRightInd w:val="0"/>
              <w:snapToGrid w:val="0"/>
              <w:spacing w:afterAutospacing="0" w:line="560" w:lineRule="exact"/>
              <w:jc w:val="left"/>
              <w:textAlignment w:val="auto"/>
              <w:rPr>
                <w:rFonts w:hint="eastAsia" w:asciiTheme="minorEastAsia" w:hAnsiTheme="minorEastAsia" w:eastAsiaTheme="minorEastAsia" w:cstheme="minorEastAsia"/>
                <w:b w:val="0"/>
                <w:bCs w:val="0"/>
                <w:i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val="0"/>
                <w:bCs w:val="0"/>
                <w:iCs/>
                <w:color w:val="000000" w:themeColor="text1"/>
                <w:sz w:val="28"/>
                <w:szCs w:val="28"/>
                <w:highlight w:val="none"/>
                <w14:textFill>
                  <w14:solidFill>
                    <w14:schemeClr w14:val="tx1"/>
                  </w14:solidFill>
                </w14:textFill>
              </w:rPr>
              <w:t>（1）向</w:t>
            </w:r>
            <w:r>
              <w:rPr>
                <w:rFonts w:hint="eastAsia" w:asciiTheme="minorEastAsia" w:hAnsiTheme="minorEastAsia" w:eastAsiaTheme="minorEastAsia" w:cstheme="minorEastAsia"/>
                <w:b w:val="0"/>
                <w:bCs w:val="0"/>
                <w:iCs/>
                <w:color w:val="000000" w:themeColor="text1"/>
                <w:sz w:val="28"/>
                <w:szCs w:val="28"/>
                <w:highlight w:val="none"/>
                <w:u w:val="single"/>
                <w:lang w:val="en-US" w:eastAsia="zh-CN"/>
                <w14:textFill>
                  <w14:solidFill>
                    <w14:schemeClr w14:val="tx1"/>
                  </w14:solidFill>
                </w14:textFill>
              </w:rPr>
              <w:t>/</w:t>
            </w:r>
            <w:r>
              <w:rPr>
                <w:rFonts w:hint="eastAsia" w:asciiTheme="minorEastAsia" w:hAnsiTheme="minorEastAsia" w:eastAsiaTheme="minorEastAsia" w:cstheme="minorEastAsia"/>
                <w:b w:val="0"/>
                <w:bCs w:val="0"/>
                <w:iCs/>
                <w:color w:val="000000" w:themeColor="text1"/>
                <w:sz w:val="28"/>
                <w:szCs w:val="28"/>
                <w:highlight w:val="none"/>
                <w14:textFill>
                  <w14:solidFill>
                    <w14:schemeClr w14:val="tx1"/>
                  </w14:solidFill>
                </w14:textFill>
              </w:rPr>
              <w:t>仲裁委员会申请仲裁，仲裁地点为</w:t>
            </w:r>
            <w:r>
              <w:rPr>
                <w:rFonts w:hint="eastAsia" w:asciiTheme="minorEastAsia" w:hAnsiTheme="minorEastAsia" w:eastAsiaTheme="minorEastAsia" w:cstheme="minorEastAsia"/>
                <w:b w:val="0"/>
                <w:bCs w:val="0"/>
                <w:iCs/>
                <w:color w:val="000000" w:themeColor="text1"/>
                <w:sz w:val="28"/>
                <w:szCs w:val="28"/>
                <w:highlight w:val="none"/>
                <w:u w:val="single"/>
                <w:lang w:val="en-US" w:eastAsia="zh-CN"/>
                <w14:textFill>
                  <w14:solidFill>
                    <w14:schemeClr w14:val="tx1"/>
                  </w14:solidFill>
                </w14:textFill>
              </w:rPr>
              <w:t>/</w:t>
            </w:r>
            <w:r>
              <w:rPr>
                <w:rFonts w:hint="eastAsia" w:asciiTheme="minorEastAsia" w:hAnsiTheme="minorEastAsia" w:eastAsiaTheme="minorEastAsia" w:cstheme="minorEastAsia"/>
                <w:b w:val="0"/>
                <w:bCs w:val="0"/>
                <w:iCs/>
                <w:color w:val="000000" w:themeColor="text1"/>
                <w:sz w:val="28"/>
                <w:szCs w:val="28"/>
                <w:highlight w:val="none"/>
                <w14:textFill>
                  <w14:solidFill>
                    <w14:schemeClr w14:val="tx1"/>
                  </w14:solidFill>
                </w14:textFill>
              </w:rPr>
              <w:t>；</w:t>
            </w:r>
          </w:p>
          <w:p w14:paraId="709B51D5">
            <w:pPr>
              <w:pageBreakBefore w:val="0"/>
              <w:kinsoku/>
              <w:wordWrap/>
              <w:overflowPunct/>
              <w:topLinePunct w:val="0"/>
              <w:bidi w:val="0"/>
              <w:adjustRightInd w:val="0"/>
              <w:snapToGrid w:val="0"/>
              <w:spacing w:afterAutospacing="0" w:line="560" w:lineRule="exact"/>
              <w:ind w:firstLine="0" w:firstLineChars="0"/>
              <w:jc w:val="left"/>
              <w:textAlignment w:val="auto"/>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pPr>
            <w:r>
              <w:rPr>
                <w:rFonts w:hint="eastAsia" w:asciiTheme="minorEastAsia" w:hAnsiTheme="minorEastAsia" w:eastAsiaTheme="minorEastAsia" w:cstheme="minorEastAsia"/>
                <w:b w:val="0"/>
                <w:bCs w:val="0"/>
                <w:iCs/>
                <w:color w:val="000000" w:themeColor="text1"/>
                <w:sz w:val="28"/>
                <w:szCs w:val="28"/>
                <w:highlight w:val="none"/>
                <w14:textFill>
                  <w14:solidFill>
                    <w14:schemeClr w14:val="tx1"/>
                  </w14:solidFill>
                </w14:textFill>
              </w:rPr>
              <w:t>（2）向</w:t>
            </w:r>
            <w:r>
              <w:rPr>
                <w:rFonts w:hint="eastAsia" w:asciiTheme="minorEastAsia" w:hAnsiTheme="minorEastAsia" w:eastAsiaTheme="minorEastAsia" w:cstheme="minorEastAsia"/>
                <w:b w:val="0"/>
                <w:bCs w:val="0"/>
                <w:iCs/>
                <w:color w:val="000000" w:themeColor="text1"/>
                <w:sz w:val="28"/>
                <w:szCs w:val="28"/>
                <w:highlight w:val="none"/>
                <w:u w:val="single"/>
                <w:lang w:eastAsia="zh-CN"/>
                <w14:textFill>
                  <w14:solidFill>
                    <w14:schemeClr w14:val="tx1"/>
                  </w14:solidFill>
                </w14:textFill>
              </w:rPr>
              <w:t>伊州区</w:t>
            </w:r>
            <w:r>
              <w:rPr>
                <w:rFonts w:hint="eastAsia" w:asciiTheme="minorEastAsia" w:hAnsiTheme="minorEastAsia" w:eastAsiaTheme="minorEastAsia" w:cstheme="minorEastAsia"/>
                <w:b w:val="0"/>
                <w:bCs w:val="0"/>
                <w:iCs/>
                <w:color w:val="000000" w:themeColor="text1"/>
                <w:sz w:val="28"/>
                <w:szCs w:val="28"/>
                <w:highlight w:val="none"/>
                <w14:textFill>
                  <w14:solidFill>
                    <w14:schemeClr w14:val="tx1"/>
                  </w14:solidFill>
                </w14:textFill>
              </w:rPr>
              <w:t>人民法院起诉</w:t>
            </w:r>
            <w:r>
              <w:rPr>
                <w:rFonts w:hint="eastAsia" w:asciiTheme="minorEastAsia" w:hAnsiTheme="minorEastAsia" w:eastAsiaTheme="minorEastAsia" w:cstheme="minorEastAsia"/>
                <w:b w:val="0"/>
                <w:bCs w:val="0"/>
                <w:iCs/>
                <w:color w:val="000000" w:themeColor="text1"/>
                <w:sz w:val="28"/>
                <w:szCs w:val="28"/>
                <w:highlight w:val="none"/>
                <w:lang w:eastAsia="zh-CN"/>
                <w14:textFill>
                  <w14:solidFill>
                    <w14:schemeClr w14:val="tx1"/>
                  </w14:solidFill>
                </w14:textFill>
              </w:rPr>
              <w:t>，因诉讼产生的诉讼费、律师费、保全费、保全保险费等为实现债权产生的一切费用由违约方承担</w:t>
            </w:r>
            <w:r>
              <w:rPr>
                <w:rFonts w:hint="eastAsia" w:asciiTheme="minorEastAsia" w:hAnsiTheme="minorEastAsia" w:eastAsiaTheme="minorEastAsia" w:cstheme="minorEastAsia"/>
                <w:b w:val="0"/>
                <w:bCs w:val="0"/>
                <w:iCs/>
                <w:color w:val="000000" w:themeColor="text1"/>
                <w:sz w:val="28"/>
                <w:szCs w:val="28"/>
                <w:highlight w:val="none"/>
                <w14:textFill>
                  <w14:solidFill>
                    <w14:schemeClr w14:val="tx1"/>
                  </w14:solidFill>
                </w14:textFill>
              </w:rPr>
              <w:t>。</w:t>
            </w:r>
          </w:p>
        </w:tc>
      </w:tr>
      <w:tr w14:paraId="7E76E15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750" w:type="dxa"/>
            <w:vAlign w:val="center"/>
          </w:tcPr>
          <w:p w14:paraId="7EFACC39">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第二节</w:t>
            </w:r>
          </w:p>
          <w:p w14:paraId="4160720E">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第2</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3.1</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款</w:t>
            </w:r>
          </w:p>
        </w:tc>
        <w:tc>
          <w:tcPr>
            <w:tcW w:w="1897" w:type="dxa"/>
            <w:vAlign w:val="center"/>
          </w:tcPr>
          <w:p w14:paraId="6F285D68">
            <w:pPr>
              <w:pageBreakBefore w:val="0"/>
              <w:kinsoku/>
              <w:wordWrap/>
              <w:overflowPunct/>
              <w:topLinePunct w:val="0"/>
              <w:bidi w:val="0"/>
              <w:adjustRightInd w:val="0"/>
              <w:snapToGrid w:val="0"/>
              <w:spacing w:afterAutospacing="0" w:line="560" w:lineRule="exact"/>
              <w:jc w:val="lef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8"/>
                <w:szCs w:val="28"/>
                <w:highlight w:val="none"/>
                <w:lang w:eastAsia="zh-CN"/>
                <w14:textFill>
                  <w14:solidFill>
                    <w14:schemeClr w14:val="tx1"/>
                  </w14:solidFill>
                </w14:textFill>
              </w:rPr>
              <w:t>其他专用条款</w:t>
            </w:r>
          </w:p>
        </w:tc>
        <w:tc>
          <w:tcPr>
            <w:tcW w:w="5631" w:type="dxa"/>
            <w:vAlign w:val="center"/>
          </w:tcPr>
          <w:p w14:paraId="154FCDBE">
            <w:pPr>
              <w:pageBreakBefore w:val="0"/>
              <w:kinsoku/>
              <w:wordWrap/>
              <w:overflowPunct/>
              <w:topLinePunct w:val="0"/>
              <w:bidi w:val="0"/>
              <w:adjustRightInd w:val="0"/>
              <w:snapToGrid w:val="0"/>
              <w:spacing w:afterAutospacing="0" w:line="560" w:lineRule="exact"/>
              <w:jc w:val="left"/>
              <w:textAlignment w:val="auto"/>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val="0"/>
                <w:bCs w:val="0"/>
                <w:iCs/>
                <w:color w:val="000000" w:themeColor="text1"/>
                <w:sz w:val="28"/>
                <w:szCs w:val="28"/>
                <w:highlight w:val="none"/>
                <w:lang w:val="en-US" w:eastAsia="zh-CN"/>
                <w14:textFill>
                  <w14:solidFill>
                    <w14:schemeClr w14:val="tx1"/>
                  </w14:solidFill>
                </w14:textFill>
              </w:rPr>
              <w:t>本合同后附《哈密市中心医院供应商廉洁承诺书》，乙方签字、盖章后作为本合同一部分。</w:t>
            </w:r>
          </w:p>
        </w:tc>
      </w:tr>
    </w:tbl>
    <w:p w14:paraId="6CE7A8BA">
      <w:pPr>
        <w:pageBreakBefore w:val="0"/>
        <w:kinsoku/>
        <w:wordWrap/>
        <w:overflowPunct/>
        <w:topLinePunct w:val="0"/>
        <w:bidi w:val="0"/>
        <w:spacing w:afterAutospacing="0" w:line="560" w:lineRule="exac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p>
    <w:p w14:paraId="4DFAE752">
      <w:pPr>
        <w:pageBreakBefore w:val="0"/>
        <w:kinsoku/>
        <w:wordWrap/>
        <w:overflowPunct/>
        <w:topLinePunct w:val="0"/>
        <w:bidi w:val="0"/>
        <w:spacing w:afterAutospacing="0" w:line="560" w:lineRule="exac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br w:type="page"/>
      </w:r>
    </w:p>
    <w:p w14:paraId="316AE2AF">
      <w:pPr>
        <w:pageBreakBefore w:val="0"/>
        <w:kinsoku/>
        <w:wordWrap/>
        <w:overflowPunct/>
        <w:topLinePunct w:val="0"/>
        <w:bidi w:val="0"/>
        <w:spacing w:afterAutospacing="0" w:line="560" w:lineRule="exact"/>
        <w:jc w:val="center"/>
        <w:textAlignment w:val="auto"/>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哈密市中心医院供应商廉洁承诺书</w:t>
      </w:r>
    </w:p>
    <w:p w14:paraId="266BAB48">
      <w:pPr>
        <w:pageBreakBefore w:val="0"/>
        <w:numPr>
          <w:ilvl w:val="0"/>
          <w:numId w:val="11"/>
        </w:numPr>
        <w:kinsoku/>
        <w:wordWrap/>
        <w:overflowPunct/>
        <w:topLinePunct w:val="0"/>
        <w:bidi w:val="0"/>
        <w:spacing w:afterAutospacing="0" w:line="560" w:lineRule="exact"/>
        <w:ind w:firstLine="560" w:firstLineChars="200"/>
        <w:jc w:val="both"/>
        <w:textAlignment w:val="auto"/>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严格遵守国家相关法律法规、医院相关规章制度规定，做到诚实守信、廉洁购销、合规经营。</w:t>
      </w:r>
    </w:p>
    <w:p w14:paraId="351B6CA7">
      <w:pPr>
        <w:pageBreakBefore w:val="0"/>
        <w:numPr>
          <w:ilvl w:val="0"/>
          <w:numId w:val="11"/>
        </w:numPr>
        <w:kinsoku/>
        <w:wordWrap/>
        <w:overflowPunct/>
        <w:topLinePunct w:val="0"/>
        <w:bidi w:val="0"/>
        <w:spacing w:afterAutospacing="0" w:line="560" w:lineRule="exact"/>
        <w:ind w:firstLine="560" w:firstLineChars="200"/>
        <w:jc w:val="both"/>
        <w:textAlignment w:val="auto"/>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不将任何生产或者代理的产品在医院采购未完成前交科室进行临床试用或者使用。</w:t>
      </w:r>
    </w:p>
    <w:p w14:paraId="71DDD5F9">
      <w:pPr>
        <w:pageBreakBefore w:val="0"/>
        <w:numPr>
          <w:ilvl w:val="0"/>
          <w:numId w:val="11"/>
        </w:numPr>
        <w:kinsoku/>
        <w:wordWrap/>
        <w:overflowPunct/>
        <w:topLinePunct w:val="0"/>
        <w:bidi w:val="0"/>
        <w:spacing w:afterAutospacing="0" w:line="560" w:lineRule="exact"/>
        <w:ind w:firstLine="560" w:firstLineChars="200"/>
        <w:jc w:val="both"/>
        <w:textAlignment w:val="auto"/>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不通过打招呼或者暗中授意等不正当手段竞标采购项目，不哄抬物价，牟取暴利，扰乱医院正常工作秩序。</w:t>
      </w:r>
    </w:p>
    <w:p w14:paraId="148CCF5A">
      <w:pPr>
        <w:pageBreakBefore w:val="0"/>
        <w:numPr>
          <w:ilvl w:val="0"/>
          <w:numId w:val="11"/>
        </w:numPr>
        <w:kinsoku/>
        <w:wordWrap/>
        <w:overflowPunct/>
        <w:topLinePunct w:val="0"/>
        <w:bidi w:val="0"/>
        <w:spacing w:afterAutospacing="0" w:line="560" w:lineRule="exact"/>
        <w:ind w:firstLine="560" w:firstLineChars="200"/>
        <w:jc w:val="both"/>
        <w:textAlignment w:val="auto"/>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严格管理好公司销售人员，不在采购、销售、使用等环节中进行商业贿赂。</w:t>
      </w:r>
    </w:p>
    <w:p w14:paraId="3547B23C">
      <w:pPr>
        <w:pageBreakBefore w:val="0"/>
        <w:numPr>
          <w:ilvl w:val="0"/>
          <w:numId w:val="11"/>
        </w:numPr>
        <w:kinsoku/>
        <w:wordWrap/>
        <w:overflowPunct/>
        <w:topLinePunct w:val="0"/>
        <w:bidi w:val="0"/>
        <w:spacing w:afterAutospacing="0" w:line="560" w:lineRule="exact"/>
        <w:ind w:firstLine="560" w:firstLineChars="200"/>
        <w:jc w:val="both"/>
        <w:textAlignment w:val="auto"/>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不进入诊室、病区和库房，不向医院工作人员打听医疗用品进、销、存量和使用情况。</w:t>
      </w:r>
    </w:p>
    <w:p w14:paraId="61C3FD2C">
      <w:pPr>
        <w:pageBreakBefore w:val="0"/>
        <w:numPr>
          <w:ilvl w:val="0"/>
          <w:numId w:val="11"/>
        </w:numPr>
        <w:kinsoku/>
        <w:wordWrap/>
        <w:overflowPunct/>
        <w:topLinePunct w:val="0"/>
        <w:bidi w:val="0"/>
        <w:spacing w:afterAutospacing="0" w:line="560" w:lineRule="exact"/>
        <w:ind w:firstLine="560" w:firstLineChars="200"/>
        <w:jc w:val="both"/>
        <w:textAlignment w:val="auto"/>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不向医院工作人员及其亲属赠送“红包”“回扣”及礼品、钱款、购物卡、有价证券和贵重礼品等，或给予其他不正当利益。</w:t>
      </w:r>
    </w:p>
    <w:p w14:paraId="537B5E99">
      <w:pPr>
        <w:pageBreakBefore w:val="0"/>
        <w:numPr>
          <w:ilvl w:val="0"/>
          <w:numId w:val="11"/>
        </w:numPr>
        <w:kinsoku/>
        <w:wordWrap/>
        <w:overflowPunct/>
        <w:topLinePunct w:val="0"/>
        <w:bidi w:val="0"/>
        <w:spacing w:afterAutospacing="0" w:line="560" w:lineRule="exact"/>
        <w:ind w:firstLine="560" w:firstLineChars="200"/>
        <w:jc w:val="both"/>
        <w:textAlignment w:val="auto"/>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不得以回扣、宴请等方式影响医院工作人员采购或使用医药产品的选择权，不得在学术活动中提供旅游、超标准支付食宿费用。</w:t>
      </w:r>
    </w:p>
    <w:p w14:paraId="4F80D38C">
      <w:pPr>
        <w:pageBreakBefore w:val="0"/>
        <w:numPr>
          <w:ilvl w:val="0"/>
          <w:numId w:val="0"/>
        </w:numPr>
        <w:kinsoku/>
        <w:wordWrap/>
        <w:overflowPunct/>
        <w:topLinePunct w:val="0"/>
        <w:bidi w:val="0"/>
        <w:spacing w:afterAutospacing="0" w:line="560" w:lineRule="exact"/>
        <w:ind w:firstLine="560" w:firstLineChars="200"/>
        <w:jc w:val="both"/>
        <w:textAlignment w:val="auto"/>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以上承诺本公司将严格履行，如有违背以上承诺的行为，本公司自愿承担相应责任。</w:t>
      </w:r>
    </w:p>
    <w:p w14:paraId="2A0C88AF">
      <w:pPr>
        <w:bidi w:val="0"/>
        <w:rPr>
          <w:rFonts w:hint="eastAsia"/>
          <w:color w:val="000000" w:themeColor="text1"/>
          <w:lang w:val="en-US" w:eastAsia="zh-CN"/>
          <w14:textFill>
            <w14:solidFill>
              <w14:schemeClr w14:val="tx1"/>
            </w14:solidFill>
          </w14:textFill>
        </w:rPr>
      </w:pPr>
    </w:p>
    <w:p w14:paraId="5BF92496">
      <w:pPr>
        <w:pageBreakBefore w:val="0"/>
        <w:widowControl/>
        <w:kinsoku/>
        <w:wordWrap/>
        <w:overflowPunct/>
        <w:topLinePunct w:val="0"/>
        <w:bidi w:val="0"/>
        <w:spacing w:beforeAutospacing="1" w:afterAutospacing="0" w:line="560" w:lineRule="exact"/>
        <w:jc w:val="lef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sectPr>
          <w:pgSz w:w="11906" w:h="16838"/>
          <w:pgMar w:top="1134" w:right="1134" w:bottom="1134" w:left="1134" w:header="720" w:footer="720" w:gutter="0"/>
          <w:pgNumType w:fmt="decimal"/>
          <w:cols w:space="720" w:num="1"/>
          <w:docGrid w:type="lines" w:linePitch="331" w:charSpace="0"/>
        </w:sectPr>
      </w:pP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 xml:space="preserve">承诺企业代表签字：                         承诺企业盖章    </w:t>
      </w:r>
    </w:p>
    <w:p w14:paraId="5C58738F">
      <w:pPr>
        <w:pStyle w:val="31"/>
        <w:pageBreakBefore w:val="0"/>
        <w:wordWrap/>
        <w:topLinePunct w:val="0"/>
        <w:bidi w:val="0"/>
        <w:spacing w:before="0" w:after="0" w:line="560" w:lineRule="exact"/>
        <w:rPr>
          <w:rFonts w:hint="eastAsia" w:eastAsia="宋体"/>
          <w:color w:val="000000" w:themeColor="text1"/>
          <w:sz w:val="36"/>
          <w:szCs w:val="36"/>
          <w:highlight w:val="none"/>
          <w:lang w:eastAsia="zh-CN"/>
          <w14:textFill>
            <w14:solidFill>
              <w14:schemeClr w14:val="tx1"/>
            </w14:solidFill>
          </w14:textFill>
        </w:rPr>
      </w:pPr>
      <w:r>
        <w:rPr>
          <w:rFonts w:hint="eastAsia"/>
          <w:color w:val="000000" w:themeColor="text1"/>
          <w:sz w:val="36"/>
          <w:szCs w:val="36"/>
          <w:highlight w:val="none"/>
          <w14:textFill>
            <w14:solidFill>
              <w14:schemeClr w14:val="tx1"/>
            </w14:solidFill>
          </w14:textFill>
        </w:rPr>
        <w:t xml:space="preserve">第六章 </w:t>
      </w:r>
      <w:r>
        <w:rPr>
          <w:rFonts w:hint="eastAsia"/>
          <w:color w:val="000000" w:themeColor="text1"/>
          <w:sz w:val="36"/>
          <w:szCs w:val="36"/>
          <w:highlight w:val="none"/>
          <w:lang w:val="en-US" w:eastAsia="zh-CN"/>
          <w14:textFill>
            <w14:solidFill>
              <w14:schemeClr w14:val="tx1"/>
            </w14:solidFill>
          </w14:textFill>
        </w:rPr>
        <w:t xml:space="preserve"> </w:t>
      </w:r>
      <w:r>
        <w:rPr>
          <w:rFonts w:hint="eastAsia"/>
          <w:color w:val="000000" w:themeColor="text1"/>
          <w:sz w:val="36"/>
          <w:szCs w:val="36"/>
          <w:highlight w:val="none"/>
          <w14:textFill>
            <w14:solidFill>
              <w14:schemeClr w14:val="tx1"/>
            </w14:solidFill>
          </w14:textFill>
        </w:rPr>
        <w:t>投标文件格式</w:t>
      </w:r>
      <w:r>
        <w:rPr>
          <w:rFonts w:hint="eastAsia" w:ascii="宋体" w:hAnsi="宋体" w:eastAsia="宋体" w:cs="宋体"/>
          <w:color w:val="000000" w:themeColor="text1"/>
          <w:sz w:val="36"/>
          <w:szCs w:val="36"/>
          <w:highlight w:val="none"/>
          <w:lang w:eastAsia="zh-CN"/>
          <w14:textFill>
            <w14:solidFill>
              <w14:schemeClr w14:val="tx1"/>
            </w14:solidFill>
          </w14:textFill>
        </w:rPr>
        <w:t>（标项</w:t>
      </w:r>
      <w:r>
        <w:rPr>
          <w:rFonts w:hint="eastAsia" w:ascii="宋体" w:hAnsi="宋体" w:cs="宋体"/>
          <w:color w:val="000000" w:themeColor="text1"/>
          <w:sz w:val="36"/>
          <w:szCs w:val="36"/>
          <w:highlight w:val="none"/>
          <w:lang w:val="en-US" w:eastAsia="zh-CN"/>
          <w14:textFill>
            <w14:solidFill>
              <w14:schemeClr w14:val="tx1"/>
            </w14:solidFill>
          </w14:textFill>
        </w:rPr>
        <w:t>2</w:t>
      </w:r>
      <w:r>
        <w:rPr>
          <w:rFonts w:hint="eastAsia" w:ascii="宋体" w:hAnsi="宋体" w:eastAsia="宋体" w:cs="宋体"/>
          <w:color w:val="000000" w:themeColor="text1"/>
          <w:sz w:val="36"/>
          <w:szCs w:val="36"/>
          <w:highlight w:val="none"/>
          <w:lang w:eastAsia="zh-CN"/>
          <w14:textFill>
            <w14:solidFill>
              <w14:schemeClr w14:val="tx1"/>
            </w14:solidFill>
          </w14:textFill>
        </w:rPr>
        <w:t>）</w:t>
      </w:r>
    </w:p>
    <w:p w14:paraId="4940150D">
      <w:pPr>
        <w:pageBreakBefore w:val="0"/>
        <w:wordWrap/>
        <w:topLinePunct w:val="0"/>
        <w:bidi w:val="0"/>
        <w:spacing w:before="120" w:beforeLines="50" w:after="120" w:afterLines="50" w:line="560" w:lineRule="exact"/>
        <w:jc w:val="center"/>
        <w:rPr>
          <w:rFonts w:hint="eastAsia" w:ascii="宋体" w:hAnsi="宋体" w:cs="宋体"/>
          <w:b/>
          <w:color w:val="000000" w:themeColor="text1"/>
          <w:spacing w:val="20"/>
          <w:sz w:val="44"/>
          <w:szCs w:val="44"/>
          <w:highlight w:val="none"/>
          <w:lang w:eastAsia="zh-CN"/>
          <w14:textFill>
            <w14:solidFill>
              <w14:schemeClr w14:val="tx1"/>
            </w14:solidFill>
          </w14:textFill>
        </w:rPr>
      </w:pPr>
    </w:p>
    <w:p w14:paraId="3ED2CD01">
      <w:pPr>
        <w:pageBreakBefore w:val="0"/>
        <w:wordWrap/>
        <w:topLinePunct w:val="0"/>
        <w:bidi w:val="0"/>
        <w:spacing w:before="120" w:beforeLines="50" w:after="120" w:afterLines="50" w:line="560" w:lineRule="exact"/>
        <w:jc w:val="center"/>
        <w:rPr>
          <w:rFonts w:hint="eastAsia" w:ascii="宋体" w:hAnsi="宋体" w:cs="宋体"/>
          <w:b/>
          <w:color w:val="000000" w:themeColor="text1"/>
          <w:spacing w:val="20"/>
          <w:sz w:val="44"/>
          <w:szCs w:val="44"/>
          <w:highlight w:val="none"/>
          <w:lang w:eastAsia="zh-CN"/>
          <w14:textFill>
            <w14:solidFill>
              <w14:schemeClr w14:val="tx1"/>
            </w14:solidFill>
          </w14:textFill>
        </w:rPr>
      </w:pPr>
    </w:p>
    <w:p w14:paraId="4291864D">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color w:val="000000" w:themeColor="text1"/>
          <w:sz w:val="32"/>
          <w:szCs w:val="20"/>
          <w:highlight w:val="none"/>
          <w14:textFill>
            <w14:solidFill>
              <w14:schemeClr w14:val="tx1"/>
            </w14:solidFill>
          </w14:textFill>
        </w:rPr>
      </w:pPr>
      <w:r>
        <w:rPr>
          <w:rFonts w:hint="eastAsia" w:ascii="宋体" w:hAnsi="宋体" w:eastAsia="宋体" w:cs="宋体"/>
          <w:color w:val="000000" w:themeColor="text1"/>
          <w:sz w:val="32"/>
          <w:szCs w:val="20"/>
          <w:highlight w:val="none"/>
          <w14:textFill>
            <w14:solidFill>
              <w14:schemeClr w14:val="tx1"/>
            </w14:solidFill>
          </w14:textFill>
        </w:rPr>
        <w:t>（项目名称）</w:t>
      </w:r>
    </w:p>
    <w:p w14:paraId="1910A3B3">
      <w:pPr>
        <w:pStyle w:val="156"/>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color w:val="000000" w:themeColor="text1"/>
          <w:sz w:val="32"/>
          <w:szCs w:val="32"/>
          <w:highlight w:val="none"/>
          <w:lang w:eastAsia="zh-CN"/>
          <w14:textFill>
            <w14:solidFill>
              <w14:schemeClr w14:val="tx1"/>
            </w14:solidFill>
          </w14:textFill>
        </w:rPr>
      </w:pPr>
      <w:r>
        <w:rPr>
          <w:rFonts w:hint="eastAsia" w:ascii="宋体" w:hAnsi="宋体" w:eastAsia="宋体" w:cs="宋体"/>
          <w:color w:val="000000" w:themeColor="text1"/>
          <w:sz w:val="32"/>
          <w:szCs w:val="32"/>
          <w:highlight w:val="none"/>
          <w:lang w:eastAsia="zh-CN"/>
          <w14:textFill>
            <w14:solidFill>
              <w14:schemeClr w14:val="tx1"/>
            </w14:solidFill>
          </w14:textFill>
        </w:rPr>
        <w:t>（项目编号</w:t>
      </w:r>
      <w:r>
        <w:rPr>
          <w:rFonts w:hint="eastAsia" w:ascii="宋体" w:hAnsi="宋体" w:cs="宋体"/>
          <w:color w:val="000000" w:themeColor="text1"/>
          <w:sz w:val="32"/>
          <w:szCs w:val="32"/>
          <w:highlight w:val="none"/>
          <w:lang w:eastAsia="zh-CN"/>
          <w14:textFill>
            <w14:solidFill>
              <w14:schemeClr w14:val="tx1"/>
            </w14:solidFill>
          </w14:textFill>
        </w:rPr>
        <w:t>、标项名称</w:t>
      </w:r>
      <w:r>
        <w:rPr>
          <w:rFonts w:hint="eastAsia" w:ascii="宋体" w:hAnsi="宋体" w:eastAsia="宋体" w:cs="宋体"/>
          <w:color w:val="000000" w:themeColor="text1"/>
          <w:sz w:val="32"/>
          <w:szCs w:val="32"/>
          <w:highlight w:val="none"/>
          <w:lang w:eastAsia="zh-CN"/>
          <w14:textFill>
            <w14:solidFill>
              <w14:schemeClr w14:val="tx1"/>
            </w14:solidFill>
          </w14:textFill>
        </w:rPr>
        <w:t>）</w:t>
      </w:r>
    </w:p>
    <w:p w14:paraId="26BA43AC">
      <w:pPr>
        <w:pStyle w:val="156"/>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 xml:space="preserve">  </w:t>
      </w:r>
    </w:p>
    <w:p w14:paraId="7F96CC4D">
      <w:pPr>
        <w:pStyle w:val="156"/>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cs="宋体"/>
          <w:color w:val="000000" w:themeColor="text1"/>
          <w:sz w:val="24"/>
          <w:highlight w:val="none"/>
          <w14:textFill>
            <w14:solidFill>
              <w14:schemeClr w14:val="tx1"/>
            </w14:solidFill>
          </w14:textFill>
        </w:rPr>
      </w:pPr>
    </w:p>
    <w:p w14:paraId="0D40D26C">
      <w:pPr>
        <w:pStyle w:val="156"/>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cs="宋体"/>
          <w:color w:val="000000" w:themeColor="text1"/>
          <w:sz w:val="24"/>
          <w:highlight w:val="none"/>
          <w14:textFill>
            <w14:solidFill>
              <w14:schemeClr w14:val="tx1"/>
            </w14:solidFill>
          </w14:textFill>
        </w:rPr>
      </w:pPr>
    </w:p>
    <w:p w14:paraId="6CF7C62C">
      <w:pPr>
        <w:pStyle w:val="156"/>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cs="宋体"/>
          <w:b/>
          <w:color w:val="000000" w:themeColor="text1"/>
          <w:sz w:val="48"/>
          <w:szCs w:val="48"/>
          <w:highlight w:val="none"/>
          <w14:textFill>
            <w14:solidFill>
              <w14:schemeClr w14:val="tx1"/>
            </w14:solidFill>
          </w14:textFill>
        </w:rPr>
      </w:pPr>
      <w:r>
        <w:rPr>
          <w:rFonts w:hint="eastAsia" w:ascii="宋体" w:hAnsi="宋体" w:cs="宋体"/>
          <w:b/>
          <w:color w:val="000000" w:themeColor="text1"/>
          <w:sz w:val="48"/>
          <w:szCs w:val="48"/>
          <w:highlight w:val="none"/>
          <w14:textFill>
            <w14:solidFill>
              <w14:schemeClr w14:val="tx1"/>
            </w14:solidFill>
          </w14:textFill>
        </w:rPr>
        <w:t>响应文件</w:t>
      </w:r>
    </w:p>
    <w:p w14:paraId="5102EE76">
      <w:pPr>
        <w:pStyle w:val="156"/>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cs="宋体"/>
          <w:color w:val="000000" w:themeColor="text1"/>
          <w:sz w:val="24"/>
          <w:highlight w:val="none"/>
          <w14:textFill>
            <w14:solidFill>
              <w14:schemeClr w14:val="tx1"/>
            </w14:solidFill>
          </w14:textFill>
        </w:rPr>
      </w:pPr>
    </w:p>
    <w:p w14:paraId="65CCAD8F">
      <w:pPr>
        <w:pStyle w:val="156"/>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cs="宋体"/>
          <w:color w:val="000000" w:themeColor="text1"/>
          <w:sz w:val="24"/>
          <w:highlight w:val="none"/>
          <w14:textFill>
            <w14:solidFill>
              <w14:schemeClr w14:val="tx1"/>
            </w14:solidFill>
          </w14:textFill>
        </w:rPr>
      </w:pPr>
    </w:p>
    <w:p w14:paraId="330A1194">
      <w:pPr>
        <w:pStyle w:val="156"/>
        <w:pageBreakBefore w:val="0"/>
        <w:wordWrap/>
        <w:topLinePunct w:val="0"/>
        <w:bidi w:val="0"/>
        <w:spacing w:line="560" w:lineRule="exact"/>
        <w:jc w:val="center"/>
        <w:rPr>
          <w:rFonts w:hint="eastAsia" w:ascii="宋体" w:hAnsi="宋体" w:cs="宋体"/>
          <w:b/>
          <w:color w:val="000000" w:themeColor="text1"/>
          <w:sz w:val="24"/>
          <w:highlight w:val="none"/>
          <w14:textFill>
            <w14:solidFill>
              <w14:schemeClr w14:val="tx1"/>
            </w14:solidFill>
          </w14:textFill>
        </w:rPr>
      </w:pPr>
    </w:p>
    <w:p w14:paraId="0314C952">
      <w:pPr>
        <w:pStyle w:val="156"/>
        <w:pageBreakBefore w:val="0"/>
        <w:wordWrap/>
        <w:topLinePunct w:val="0"/>
        <w:bidi w:val="0"/>
        <w:spacing w:line="560" w:lineRule="exact"/>
        <w:jc w:val="center"/>
        <w:rPr>
          <w:rFonts w:hint="eastAsia" w:ascii="宋体" w:hAnsi="宋体" w:cs="宋体"/>
          <w:b/>
          <w:color w:val="000000" w:themeColor="text1"/>
          <w:sz w:val="24"/>
          <w:highlight w:val="none"/>
          <w14:textFill>
            <w14:solidFill>
              <w14:schemeClr w14:val="tx1"/>
            </w14:solidFill>
          </w14:textFill>
        </w:rPr>
      </w:pPr>
    </w:p>
    <w:p w14:paraId="05AA3701">
      <w:pPr>
        <w:pStyle w:val="158"/>
        <w:pageBreakBefore w:val="0"/>
        <w:wordWrap/>
        <w:topLinePunct w:val="0"/>
        <w:bidi w:val="0"/>
        <w:spacing w:line="560" w:lineRule="exact"/>
        <w:rPr>
          <w:rFonts w:hint="eastAsia" w:ascii="宋体" w:hAnsi="宋体" w:cs="宋体"/>
          <w:b/>
          <w:color w:val="000000" w:themeColor="text1"/>
          <w:sz w:val="24"/>
          <w:highlight w:val="none"/>
          <w:lang w:eastAsia="zh-CN"/>
          <w14:textFill>
            <w14:solidFill>
              <w14:schemeClr w14:val="tx1"/>
            </w14:solidFill>
          </w14:textFill>
        </w:rPr>
      </w:pPr>
    </w:p>
    <w:p w14:paraId="3FBC3A59">
      <w:pPr>
        <w:pStyle w:val="158"/>
        <w:pageBreakBefore w:val="0"/>
        <w:wordWrap/>
        <w:topLinePunct w:val="0"/>
        <w:bidi w:val="0"/>
        <w:spacing w:line="560" w:lineRule="exact"/>
        <w:rPr>
          <w:rFonts w:hint="eastAsia" w:ascii="宋体" w:hAnsi="宋体" w:cs="宋体"/>
          <w:b/>
          <w:color w:val="000000" w:themeColor="text1"/>
          <w:sz w:val="24"/>
          <w:highlight w:val="none"/>
          <w:lang w:eastAsia="zh-CN"/>
          <w14:textFill>
            <w14:solidFill>
              <w14:schemeClr w14:val="tx1"/>
            </w14:solidFill>
          </w14:textFill>
        </w:rPr>
      </w:pPr>
    </w:p>
    <w:p w14:paraId="717F18B0">
      <w:pPr>
        <w:pStyle w:val="156"/>
        <w:pageBreakBefore w:val="0"/>
        <w:wordWrap/>
        <w:topLinePunct w:val="0"/>
        <w:bidi w:val="0"/>
        <w:spacing w:line="560" w:lineRule="exact"/>
        <w:jc w:val="center"/>
        <w:rPr>
          <w:rFonts w:hint="eastAsia" w:ascii="宋体" w:hAnsi="宋体" w:cs="宋体"/>
          <w:b/>
          <w:color w:val="000000" w:themeColor="text1"/>
          <w:sz w:val="24"/>
          <w:highlight w:val="none"/>
          <w14:textFill>
            <w14:solidFill>
              <w14:schemeClr w14:val="tx1"/>
            </w14:solidFill>
          </w14:textFill>
        </w:rPr>
      </w:pPr>
    </w:p>
    <w:p w14:paraId="5203D41E">
      <w:pPr>
        <w:pStyle w:val="156"/>
        <w:keepNext w:val="0"/>
        <w:keepLines w:val="0"/>
        <w:pageBreakBefore w:val="0"/>
        <w:widowControl w:val="0"/>
        <w:kinsoku/>
        <w:wordWrap/>
        <w:overflowPunct/>
        <w:topLinePunct w:val="0"/>
        <w:autoSpaceDE/>
        <w:autoSpaceDN/>
        <w:bidi w:val="0"/>
        <w:adjustRightInd/>
        <w:snapToGrid/>
        <w:spacing w:line="560" w:lineRule="exact"/>
        <w:ind w:firstLine="1400" w:firstLineChars="500"/>
        <w:textAlignment w:val="auto"/>
        <w:rPr>
          <w:rFonts w:hint="eastAsia" w:ascii="宋体" w:hAnsi="宋体" w:cs="宋体"/>
          <w:color w:val="000000" w:themeColor="text1"/>
          <w:sz w:val="28"/>
          <w:szCs w:val="28"/>
          <w:highlight w:val="none"/>
          <w:u w:val="singl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供 应 商：</w:t>
      </w:r>
      <w:r>
        <w:rPr>
          <w:rFonts w:hint="eastAsia" w:ascii="宋体" w:hAnsi="宋体" w:cs="宋体"/>
          <w:color w:val="000000" w:themeColor="text1"/>
          <w:sz w:val="28"/>
          <w:szCs w:val="28"/>
          <w:highlight w:val="none"/>
          <w:u w:val="single"/>
          <w14:textFill>
            <w14:solidFill>
              <w14:schemeClr w14:val="tx1"/>
            </w14:solidFill>
          </w14:textFill>
        </w:rPr>
        <w:t xml:space="preserve">                            </w:t>
      </w:r>
      <w:r>
        <w:rPr>
          <w:rFonts w:hint="eastAsia" w:ascii="宋体" w:hAnsi="宋体" w:cs="宋体"/>
          <w:color w:val="000000" w:themeColor="text1"/>
          <w:sz w:val="28"/>
          <w:szCs w:val="28"/>
          <w:highlight w:val="none"/>
          <w14:textFill>
            <w14:solidFill>
              <w14:schemeClr w14:val="tx1"/>
            </w14:solidFill>
          </w14:textFill>
        </w:rPr>
        <w:t>（电子</w:t>
      </w:r>
      <w:r>
        <w:rPr>
          <w:rFonts w:hint="eastAsia" w:ascii="宋体" w:hAnsi="宋体" w:cs="宋体"/>
          <w:color w:val="000000" w:themeColor="text1"/>
          <w:sz w:val="28"/>
          <w:szCs w:val="28"/>
          <w:highlight w:val="none"/>
          <w:lang w:eastAsia="zh-CN"/>
          <w14:textFill>
            <w14:solidFill>
              <w14:schemeClr w14:val="tx1"/>
            </w14:solidFill>
          </w14:textFill>
        </w:rPr>
        <w:t>公</w:t>
      </w:r>
      <w:r>
        <w:rPr>
          <w:rFonts w:hint="eastAsia" w:ascii="宋体" w:hAnsi="宋体" w:cs="宋体"/>
          <w:color w:val="000000" w:themeColor="text1"/>
          <w:sz w:val="28"/>
          <w:szCs w:val="28"/>
          <w:highlight w:val="none"/>
          <w14:textFill>
            <w14:solidFill>
              <w14:schemeClr w14:val="tx1"/>
            </w14:solidFill>
          </w14:textFill>
        </w:rPr>
        <w:t>章）</w:t>
      </w:r>
    </w:p>
    <w:p w14:paraId="5CC07D47">
      <w:pPr>
        <w:keepNext w:val="0"/>
        <w:keepLines w:val="0"/>
        <w:pageBreakBefore w:val="0"/>
        <w:widowControl w:val="0"/>
        <w:kinsoku/>
        <w:wordWrap/>
        <w:overflowPunct/>
        <w:topLinePunct w:val="0"/>
        <w:autoSpaceDE/>
        <w:autoSpaceDN/>
        <w:bidi w:val="0"/>
        <w:adjustRightInd/>
        <w:snapToGrid/>
        <w:spacing w:line="560" w:lineRule="exact"/>
        <w:ind w:firstLine="1400" w:firstLineChars="500"/>
        <w:textAlignment w:val="auto"/>
        <w:rPr>
          <w:rFonts w:hint="eastAsia"/>
          <w:color w:val="000000" w:themeColor="text1"/>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法定代表人：</w:t>
      </w:r>
      <w:r>
        <w:rPr>
          <w:rFonts w:hint="eastAsia" w:ascii="宋体" w:hAnsi="宋体" w:eastAsia="宋体" w:cs="宋体"/>
          <w:color w:val="000000" w:themeColor="text1"/>
          <w:kern w:val="2"/>
          <w:sz w:val="28"/>
          <w:szCs w:val="28"/>
          <w:highlight w:val="none"/>
          <w:u w:val="single"/>
          <w:lang w:val="en-US" w:eastAsia="zh-CN" w:bidi="ar-SA"/>
          <w14:textFill>
            <w14:solidFill>
              <w14:schemeClr w14:val="tx1"/>
            </w14:solidFill>
          </w14:textFill>
        </w:rPr>
        <w:t xml:space="preserve">                          </w:t>
      </w:r>
      <w:r>
        <w:rPr>
          <w:rFonts w:hint="eastAsia" w:ascii="宋体" w:hAnsi="宋体" w:cs="宋体"/>
          <w:color w:val="000000" w:themeColor="text1"/>
          <w:sz w:val="28"/>
          <w:szCs w:val="28"/>
          <w:highlight w:val="none"/>
          <w14:textFill>
            <w14:solidFill>
              <w14:schemeClr w14:val="tx1"/>
            </w14:solidFill>
          </w14:textFill>
        </w:rPr>
        <w:t>（</w:t>
      </w:r>
      <w:r>
        <w:rPr>
          <w:rFonts w:hint="eastAsia" w:ascii="宋体" w:hAnsi="宋体" w:cs="宋体"/>
          <w:color w:val="000000" w:themeColor="text1"/>
          <w:sz w:val="28"/>
          <w:szCs w:val="28"/>
          <w:highlight w:val="none"/>
          <w:lang w:eastAsia="zh-CN"/>
          <w14:textFill>
            <w14:solidFill>
              <w14:schemeClr w14:val="tx1"/>
            </w14:solidFill>
          </w14:textFill>
        </w:rPr>
        <w:t>签字或盖章</w:t>
      </w:r>
      <w:r>
        <w:rPr>
          <w:rFonts w:hint="eastAsia" w:ascii="宋体" w:hAnsi="宋体" w:cs="宋体"/>
          <w:color w:val="000000" w:themeColor="text1"/>
          <w:sz w:val="28"/>
          <w:szCs w:val="28"/>
          <w:highlight w:val="none"/>
          <w14:textFill>
            <w14:solidFill>
              <w14:schemeClr w14:val="tx1"/>
            </w14:solidFill>
          </w14:textFill>
        </w:rPr>
        <w:t>）</w:t>
      </w:r>
    </w:p>
    <w:p w14:paraId="117FBF4A">
      <w:pPr>
        <w:pStyle w:val="158"/>
        <w:keepNext w:val="0"/>
        <w:keepLines w:val="0"/>
        <w:pageBreakBefore w:val="0"/>
        <w:widowControl w:val="0"/>
        <w:kinsoku/>
        <w:wordWrap/>
        <w:overflowPunct/>
        <w:topLinePunct w:val="0"/>
        <w:autoSpaceDE/>
        <w:autoSpaceDN/>
        <w:bidi w:val="0"/>
        <w:adjustRightInd/>
        <w:snapToGrid/>
        <w:spacing w:line="560" w:lineRule="exact"/>
        <w:ind w:firstLine="1400" w:firstLineChars="500"/>
        <w:textAlignment w:val="auto"/>
        <w:rPr>
          <w:rFonts w:ascii="宋体" w:hAnsi="宋体" w:cs="宋体"/>
          <w:color w:val="000000" w:themeColor="text1"/>
          <w:sz w:val="28"/>
          <w:szCs w:val="28"/>
          <w:highlight w:val="none"/>
          <w:u w:val="singl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联 系 人：</w:t>
      </w:r>
      <w:r>
        <w:rPr>
          <w:rFonts w:hint="eastAsia" w:ascii="宋体" w:hAnsi="宋体" w:cs="宋体"/>
          <w:color w:val="000000" w:themeColor="text1"/>
          <w:sz w:val="28"/>
          <w:szCs w:val="28"/>
          <w:highlight w:val="none"/>
          <w:u w:val="single"/>
          <w14:textFill>
            <w14:solidFill>
              <w14:schemeClr w14:val="tx1"/>
            </w14:solidFill>
          </w14:textFill>
        </w:rPr>
        <w:t xml:space="preserve">                            </w:t>
      </w:r>
    </w:p>
    <w:p w14:paraId="070E4091">
      <w:pPr>
        <w:pStyle w:val="158"/>
        <w:keepNext w:val="0"/>
        <w:keepLines w:val="0"/>
        <w:pageBreakBefore w:val="0"/>
        <w:widowControl w:val="0"/>
        <w:kinsoku/>
        <w:wordWrap/>
        <w:overflowPunct/>
        <w:topLinePunct w:val="0"/>
        <w:autoSpaceDE/>
        <w:autoSpaceDN/>
        <w:bidi w:val="0"/>
        <w:adjustRightInd/>
        <w:snapToGrid/>
        <w:spacing w:line="560" w:lineRule="exact"/>
        <w:ind w:firstLine="1400" w:firstLineChars="500"/>
        <w:textAlignment w:val="auto"/>
        <w:rPr>
          <w:rFonts w:hint="eastAsia" w:ascii="宋体" w:hAnsi="宋体" w:cs="宋体"/>
          <w:color w:val="000000" w:themeColor="text1"/>
          <w:sz w:val="28"/>
          <w:szCs w:val="28"/>
          <w:highlight w:val="none"/>
          <w:u w:val="singl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联系电话：</w:t>
      </w:r>
      <w:r>
        <w:rPr>
          <w:rFonts w:hint="eastAsia" w:ascii="宋体" w:hAnsi="宋体" w:cs="宋体"/>
          <w:color w:val="000000" w:themeColor="text1"/>
          <w:sz w:val="28"/>
          <w:szCs w:val="28"/>
          <w:highlight w:val="none"/>
          <w:u w:val="single"/>
          <w14:textFill>
            <w14:solidFill>
              <w14:schemeClr w14:val="tx1"/>
            </w14:solidFill>
          </w14:textFill>
        </w:rPr>
        <w:t xml:space="preserve">                            </w:t>
      </w:r>
    </w:p>
    <w:p w14:paraId="5EE60458">
      <w:pPr>
        <w:pStyle w:val="156"/>
        <w:keepNext w:val="0"/>
        <w:keepLines w:val="0"/>
        <w:pageBreakBefore w:val="0"/>
        <w:widowControl w:val="0"/>
        <w:kinsoku/>
        <w:wordWrap/>
        <w:overflowPunct/>
        <w:topLinePunct w:val="0"/>
        <w:autoSpaceDE/>
        <w:autoSpaceDN/>
        <w:bidi w:val="0"/>
        <w:adjustRightInd/>
        <w:snapToGrid/>
        <w:spacing w:line="560" w:lineRule="exact"/>
        <w:ind w:firstLine="1400" w:firstLineChars="500"/>
        <w:textAlignment w:val="auto"/>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日    期：</w:t>
      </w:r>
      <w:r>
        <w:rPr>
          <w:rFonts w:hint="eastAsia" w:ascii="宋体" w:hAnsi="宋体" w:cs="宋体"/>
          <w:color w:val="000000" w:themeColor="text1"/>
          <w:sz w:val="28"/>
          <w:szCs w:val="28"/>
          <w:highlight w:val="none"/>
          <w:u w:val="single"/>
          <w14:textFill>
            <w14:solidFill>
              <w14:schemeClr w14:val="tx1"/>
            </w14:solidFill>
          </w14:textFill>
        </w:rPr>
        <w:t xml:space="preserve">                            </w:t>
      </w:r>
      <w:r>
        <w:rPr>
          <w:rFonts w:hint="eastAsia" w:ascii="宋体" w:hAnsi="宋体" w:cs="宋体"/>
          <w:color w:val="000000" w:themeColor="text1"/>
          <w:sz w:val="28"/>
          <w:szCs w:val="28"/>
          <w:highlight w:val="none"/>
          <w14:textFill>
            <w14:solidFill>
              <w14:schemeClr w14:val="tx1"/>
            </w14:solidFill>
          </w14:textFill>
        </w:rPr>
        <w:t>（年/月/日）</w:t>
      </w:r>
    </w:p>
    <w:p w14:paraId="343CA003">
      <w:pPr>
        <w:pageBreakBefore w:val="0"/>
        <w:wordWrap/>
        <w:topLinePunct w:val="0"/>
        <w:bidi w:val="0"/>
        <w:spacing w:line="560" w:lineRule="exact"/>
        <w:rPr>
          <w:rFonts w:hint="eastAsia"/>
          <w:color w:val="000000" w:themeColor="text1"/>
          <w:highlight w:val="none"/>
          <w14:textFill>
            <w14:solidFill>
              <w14:schemeClr w14:val="tx1"/>
            </w14:solidFill>
          </w14:textFill>
        </w:rPr>
      </w:pPr>
    </w:p>
    <w:p w14:paraId="2E54A6A5">
      <w:pPr>
        <w:pageBreakBefore w:val="0"/>
        <w:wordWrap/>
        <w:topLinePunct w:val="0"/>
        <w:bidi w:val="0"/>
        <w:spacing w:line="560" w:lineRule="exact"/>
        <w:rPr>
          <w:rFonts w:hint="eastAsia"/>
          <w:color w:val="000000" w:themeColor="text1"/>
          <w:highlight w:val="none"/>
          <w14:textFill>
            <w14:solidFill>
              <w14:schemeClr w14:val="tx1"/>
            </w14:solidFill>
          </w14:textFill>
        </w:rPr>
      </w:pPr>
    </w:p>
    <w:p w14:paraId="379FD4B5">
      <w:pPr>
        <w:pageBreakBefore w:val="0"/>
        <w:wordWrap/>
        <w:topLinePunct w:val="0"/>
        <w:bidi w:val="0"/>
        <w:spacing w:line="560" w:lineRule="exact"/>
        <w:rPr>
          <w:rFonts w:hint="eastAsia"/>
          <w:color w:val="000000" w:themeColor="text1"/>
          <w:highlight w:val="none"/>
          <w14:textFill>
            <w14:solidFill>
              <w14:schemeClr w14:val="tx1"/>
            </w14:solidFill>
          </w14:textFill>
        </w:rPr>
      </w:pPr>
    </w:p>
    <w:p w14:paraId="42AEEF14">
      <w:pPr>
        <w:pageBreakBefore w:val="0"/>
        <w:wordWrap/>
        <w:topLinePunct w:val="0"/>
        <w:bidi w:val="0"/>
        <w:spacing w:line="560" w:lineRule="exact"/>
        <w:rPr>
          <w:rFonts w:hint="eastAsia"/>
          <w:color w:val="000000" w:themeColor="text1"/>
          <w:highlight w:val="none"/>
          <w14:textFill>
            <w14:solidFill>
              <w14:schemeClr w14:val="tx1"/>
            </w14:solidFill>
          </w14:textFill>
        </w:rPr>
      </w:pPr>
    </w:p>
    <w:p w14:paraId="4B49372A">
      <w:pPr>
        <w:pageBreakBefore w:val="0"/>
        <w:wordWrap/>
        <w:topLinePunct w:val="0"/>
        <w:bidi w:val="0"/>
        <w:spacing w:line="560" w:lineRule="exact"/>
        <w:jc w:val="center"/>
        <w:rPr>
          <w:rFonts w:cs="仿宋_GB2312" w:asciiTheme="minorEastAsia" w:hAnsiTheme="minorEastAsia" w:eastAsiaTheme="minorEastAsia"/>
          <w:color w:val="000000" w:themeColor="text1"/>
          <w:kern w:val="0"/>
          <w:sz w:val="28"/>
          <w:szCs w:val="28"/>
          <w:highlight w:val="none"/>
          <w14:textFill>
            <w14:solidFill>
              <w14:schemeClr w14:val="tx1"/>
            </w14:solidFill>
          </w14:textFill>
        </w:rPr>
      </w:pPr>
      <w:r>
        <w:rPr>
          <w:rFonts w:hint="eastAsia" w:cs="仿宋_GB2312" w:asciiTheme="minorEastAsia" w:hAnsiTheme="minorEastAsia" w:eastAsiaTheme="minorEastAsia"/>
          <w:b/>
          <w:color w:val="000000" w:themeColor="text1"/>
          <w:kern w:val="0"/>
          <w:sz w:val="28"/>
          <w:szCs w:val="28"/>
          <w:highlight w:val="none"/>
          <w14:textFill>
            <w14:solidFill>
              <w14:schemeClr w14:val="tx1"/>
            </w14:solidFill>
          </w14:textFill>
        </w:rPr>
        <w:t>资格证明文件目录</w:t>
      </w:r>
    </w:p>
    <w:p w14:paraId="5EDC407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cs="仿宋_GB2312" w:asciiTheme="minorEastAsia" w:hAnsiTheme="minorEastAsia" w:eastAsiaTheme="minorEastAsia"/>
          <w:color w:val="000000" w:themeColor="text1"/>
          <w:kern w:val="0"/>
          <w:sz w:val="28"/>
          <w:szCs w:val="28"/>
          <w:highlight w:val="none"/>
          <w14:textFill>
            <w14:solidFill>
              <w14:schemeClr w14:val="tx1"/>
            </w14:solidFill>
          </w14:textFill>
        </w:rPr>
      </w:pPr>
      <w:r>
        <w:rPr>
          <w:rFonts w:hint="eastAsia" w:cs="仿宋_GB2312" w:asciiTheme="minorEastAsia" w:hAnsiTheme="minorEastAsia" w:eastAsiaTheme="minorEastAsia"/>
          <w:color w:val="000000" w:themeColor="text1"/>
          <w:kern w:val="0"/>
          <w:sz w:val="28"/>
          <w:szCs w:val="28"/>
          <w:highlight w:val="none"/>
          <w14:textFill>
            <w14:solidFill>
              <w14:schemeClr w14:val="tx1"/>
            </w14:solidFill>
          </w14:textFill>
        </w:rPr>
        <w:t>一、合法有效的法人营业执照………………………………………………（页码）</w:t>
      </w:r>
    </w:p>
    <w:p w14:paraId="476D902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cs="仿宋_GB2312" w:asciiTheme="minorEastAsia" w:hAnsiTheme="minorEastAsia" w:eastAsiaTheme="minorEastAsia"/>
          <w:color w:val="000000" w:themeColor="text1"/>
          <w:kern w:val="0"/>
          <w:sz w:val="28"/>
          <w:szCs w:val="28"/>
          <w:highlight w:val="none"/>
          <w14:textFill>
            <w14:solidFill>
              <w14:schemeClr w14:val="tx1"/>
            </w14:solidFill>
          </w14:textFill>
        </w:rPr>
      </w:pPr>
      <w:r>
        <w:rPr>
          <w:rFonts w:hint="eastAsia" w:cs="仿宋_GB2312" w:asciiTheme="minorEastAsia" w:hAnsiTheme="minorEastAsia" w:eastAsiaTheme="minorEastAsia"/>
          <w:color w:val="000000" w:themeColor="text1"/>
          <w:kern w:val="0"/>
          <w:sz w:val="28"/>
          <w:szCs w:val="28"/>
          <w:highlight w:val="none"/>
          <w14:textFill>
            <w14:solidFill>
              <w14:schemeClr w14:val="tx1"/>
            </w14:solidFill>
          </w14:textFill>
        </w:rPr>
        <w:t xml:space="preserve">二、2021-2023年任意一年的财务报表或审计报告………………………（页码） </w:t>
      </w:r>
    </w:p>
    <w:p w14:paraId="2C65734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cs="仿宋_GB2312" w:asciiTheme="minorEastAsia" w:hAnsiTheme="minorEastAsia" w:eastAsiaTheme="minorEastAsia"/>
          <w:color w:val="000000" w:themeColor="text1"/>
          <w:kern w:val="0"/>
          <w:sz w:val="28"/>
          <w:szCs w:val="28"/>
          <w:highlight w:val="none"/>
          <w14:textFill>
            <w14:solidFill>
              <w14:schemeClr w14:val="tx1"/>
            </w14:solidFill>
          </w14:textFill>
        </w:rPr>
      </w:pPr>
      <w:r>
        <w:rPr>
          <w:rFonts w:hint="eastAsia" w:cs="仿宋_GB2312" w:asciiTheme="minorEastAsia" w:hAnsiTheme="minorEastAsia" w:eastAsiaTheme="minorEastAsia"/>
          <w:color w:val="000000" w:themeColor="text1"/>
          <w:kern w:val="0"/>
          <w:sz w:val="28"/>
          <w:szCs w:val="28"/>
          <w:highlight w:val="none"/>
          <w14:textFill>
            <w14:solidFill>
              <w14:schemeClr w14:val="tx1"/>
            </w14:solidFill>
          </w14:textFill>
        </w:rPr>
        <w:t>三、根据项目需求提供履行合同所必需的设备和专业技术能力的加盖单位公章的书面承诺函…………………………………………………………………（页码）</w:t>
      </w:r>
    </w:p>
    <w:p w14:paraId="1C3C9CA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cs="仿宋_GB2312" w:asciiTheme="minorEastAsia" w:hAnsiTheme="minorEastAsia" w:eastAsiaTheme="minorEastAsia"/>
          <w:color w:val="000000" w:themeColor="text1"/>
          <w:kern w:val="0"/>
          <w:sz w:val="28"/>
          <w:szCs w:val="28"/>
          <w:highlight w:val="none"/>
          <w14:textFill>
            <w14:solidFill>
              <w14:schemeClr w14:val="tx1"/>
            </w14:solidFill>
          </w14:textFill>
        </w:rPr>
      </w:pPr>
      <w:r>
        <w:rPr>
          <w:rFonts w:hint="eastAsia" w:cs="仿宋_GB2312" w:asciiTheme="minorEastAsia" w:hAnsiTheme="minorEastAsia" w:eastAsiaTheme="minorEastAsia"/>
          <w:color w:val="000000" w:themeColor="text1"/>
          <w:kern w:val="0"/>
          <w:sz w:val="28"/>
          <w:szCs w:val="28"/>
          <w:highlight w:val="none"/>
          <w14:textFill>
            <w14:solidFill>
              <w14:schemeClr w14:val="tx1"/>
            </w14:solidFill>
          </w14:textFill>
        </w:rPr>
        <w:t>四、提供参加本次政府采购活动前近半年任意一个月的依法缴纳税收和社会保障资金的相关材料……………………………………………………………（页码）</w:t>
      </w:r>
    </w:p>
    <w:p w14:paraId="7AFDE9E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cs="仿宋_GB2312" w:asciiTheme="minorEastAsia" w:hAnsiTheme="minorEastAsia" w:eastAsiaTheme="minorEastAsia"/>
          <w:color w:val="000000" w:themeColor="text1"/>
          <w:kern w:val="0"/>
          <w:sz w:val="28"/>
          <w:szCs w:val="28"/>
          <w:highlight w:val="none"/>
          <w14:textFill>
            <w14:solidFill>
              <w14:schemeClr w14:val="tx1"/>
            </w14:solidFill>
          </w14:textFill>
        </w:rPr>
      </w:pPr>
      <w:r>
        <w:rPr>
          <w:rFonts w:hint="eastAsia" w:cs="仿宋_GB2312" w:asciiTheme="minorEastAsia" w:hAnsiTheme="minorEastAsia" w:eastAsiaTheme="minorEastAsia"/>
          <w:color w:val="000000" w:themeColor="text1"/>
          <w:kern w:val="0"/>
          <w:sz w:val="28"/>
          <w:szCs w:val="28"/>
          <w:highlight w:val="none"/>
          <w14:textFill>
            <w14:solidFill>
              <w14:schemeClr w14:val="tx1"/>
            </w14:solidFill>
          </w14:textFill>
        </w:rPr>
        <w:t>五、提供参加本次政府采购活动前3年内在经营活动中没有重大违法记录的书面承诺函并加盖单位公章……………………………………………………（页码）</w:t>
      </w:r>
    </w:p>
    <w:p w14:paraId="32FC651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cs="仿宋_GB2312" w:asciiTheme="minorEastAsia" w:hAnsiTheme="minorEastAsia" w:eastAsiaTheme="minorEastAsia"/>
          <w:color w:val="000000" w:themeColor="text1"/>
          <w:kern w:val="0"/>
          <w:sz w:val="28"/>
          <w:szCs w:val="28"/>
          <w:highlight w:val="none"/>
          <w14:textFill>
            <w14:solidFill>
              <w14:schemeClr w14:val="tx1"/>
            </w14:solidFill>
          </w14:textFill>
        </w:rPr>
      </w:pPr>
      <w:r>
        <w:rPr>
          <w:rFonts w:hint="eastAsia" w:cs="仿宋_GB2312" w:asciiTheme="minorEastAsia" w:hAnsiTheme="minorEastAsia" w:eastAsiaTheme="minorEastAsia"/>
          <w:color w:val="000000" w:themeColor="text1"/>
          <w:kern w:val="0"/>
          <w:sz w:val="28"/>
          <w:szCs w:val="28"/>
          <w:highlight w:val="none"/>
          <w14:textFill>
            <w14:solidFill>
              <w14:schemeClr w14:val="tx1"/>
            </w14:solidFill>
          </w14:textFill>
        </w:rPr>
        <w:t>六、</w:t>
      </w:r>
      <w:r>
        <w:rPr>
          <w:rFonts w:hint="eastAsia" w:asciiTheme="minorEastAsia" w:hAnsiTheme="minorEastAsia" w:eastAsiaTheme="minorEastAsia" w:cstheme="minorEastAsia"/>
          <w:color w:val="000000" w:themeColor="text1"/>
          <w:kern w:val="0"/>
          <w:sz w:val="28"/>
          <w:szCs w:val="28"/>
          <w:highlight w:val="none"/>
          <w14:textFill>
            <w14:solidFill>
              <w14:schemeClr w14:val="tx1"/>
            </w14:solidFill>
          </w14:textFill>
        </w:rPr>
        <w:t>法律、行政法规规定的其他条件</w:t>
      </w:r>
      <w:r>
        <w:rPr>
          <w:rFonts w:hint="eastAsia" w:cs="仿宋_GB2312" w:asciiTheme="minorEastAsia" w:hAnsiTheme="minorEastAsia" w:eastAsiaTheme="minorEastAsia"/>
          <w:color w:val="000000" w:themeColor="text1"/>
          <w:kern w:val="0"/>
          <w:sz w:val="28"/>
          <w:szCs w:val="28"/>
          <w:highlight w:val="none"/>
          <w14:textFill>
            <w14:solidFill>
              <w14:schemeClr w14:val="tx1"/>
            </w14:solidFill>
          </w14:textFill>
        </w:rPr>
        <w:t>………………………………………（页码）</w:t>
      </w:r>
    </w:p>
    <w:p w14:paraId="1AA60C7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cs="仿宋_GB2312" w:asciiTheme="minorEastAsia" w:hAnsiTheme="minorEastAsia" w:eastAsiaTheme="minorEastAsia"/>
          <w:color w:val="000000" w:themeColor="text1"/>
          <w:kern w:val="0"/>
          <w:sz w:val="28"/>
          <w:szCs w:val="28"/>
          <w:highlight w:val="none"/>
          <w14:textFill>
            <w14:solidFill>
              <w14:schemeClr w14:val="tx1"/>
            </w14:solidFill>
          </w14:textFill>
        </w:rPr>
      </w:pPr>
      <w:r>
        <w:rPr>
          <w:rFonts w:hint="eastAsia" w:cs="仿宋_GB2312" w:asciiTheme="minorEastAsia" w:hAnsiTheme="minorEastAsia" w:eastAsiaTheme="minorEastAsia"/>
          <w:color w:val="000000" w:themeColor="text1"/>
          <w:kern w:val="0"/>
          <w:sz w:val="28"/>
          <w:szCs w:val="28"/>
          <w:highlight w:val="none"/>
          <w14:textFill>
            <w14:solidFill>
              <w14:schemeClr w14:val="tx1"/>
            </w14:solidFill>
          </w14:textFill>
        </w:rPr>
        <w:t>七、投标保证金凭证…………………………………………………………（页码）</w:t>
      </w:r>
    </w:p>
    <w:p w14:paraId="0EFFF1DD">
      <w:pPr>
        <w:pageBreakBefore w:val="0"/>
        <w:wordWrap/>
        <w:topLinePunct w:val="0"/>
        <w:bidi w:val="0"/>
        <w:spacing w:line="560" w:lineRule="exact"/>
        <w:jc w:val="center"/>
        <w:rPr>
          <w:rFonts w:ascii="宋体" w:hAnsi="宋体" w:cs="宋体"/>
          <w:color w:val="000000" w:themeColor="text1"/>
          <w:highlight w:val="none"/>
          <w14:textFill>
            <w14:solidFill>
              <w14:schemeClr w14:val="tx1"/>
            </w14:solidFill>
          </w14:textFill>
        </w:rPr>
      </w:pPr>
      <w:r>
        <w:rPr>
          <w:rFonts w:hint="eastAsia" w:cs="仿宋_GB2312" w:asciiTheme="minorEastAsia" w:hAnsiTheme="minorEastAsia" w:eastAsiaTheme="minorEastAsia"/>
          <w:b/>
          <w:color w:val="000000" w:themeColor="text1"/>
          <w:kern w:val="0"/>
          <w:sz w:val="28"/>
          <w:szCs w:val="28"/>
          <w:highlight w:val="none"/>
          <w14:textFill>
            <w14:solidFill>
              <w14:schemeClr w14:val="tx1"/>
            </w14:solidFill>
          </w14:textFill>
        </w:rPr>
        <w:t>报价文件目录</w:t>
      </w:r>
    </w:p>
    <w:p w14:paraId="79315308">
      <w:pPr>
        <w:pageBreakBefore w:val="0"/>
        <w:wordWrap/>
        <w:topLinePunct w:val="0"/>
        <w:bidi w:val="0"/>
        <w:spacing w:line="560" w:lineRule="exact"/>
        <w:rPr>
          <w:rFonts w:cs="仿宋_GB2312" w:asciiTheme="minorEastAsia" w:hAnsiTheme="minorEastAsia" w:eastAsiaTheme="minorEastAsia"/>
          <w:color w:val="000000" w:themeColor="text1"/>
          <w:kern w:val="0"/>
          <w:sz w:val="28"/>
          <w:szCs w:val="28"/>
          <w:highlight w:val="none"/>
          <w14:textFill>
            <w14:solidFill>
              <w14:schemeClr w14:val="tx1"/>
            </w14:solidFill>
          </w14:textFill>
        </w:rPr>
      </w:pPr>
      <w:r>
        <w:rPr>
          <w:rFonts w:hint="eastAsia" w:cs="仿宋_GB2312" w:asciiTheme="minorEastAsia" w:hAnsiTheme="minorEastAsia" w:eastAsiaTheme="minorEastAsia"/>
          <w:color w:val="000000" w:themeColor="text1"/>
          <w:kern w:val="0"/>
          <w:sz w:val="28"/>
          <w:szCs w:val="28"/>
          <w:highlight w:val="none"/>
          <w14:textFill>
            <w14:solidFill>
              <w14:schemeClr w14:val="tx1"/>
            </w14:solidFill>
          </w14:textFill>
        </w:rPr>
        <w:t>一、投标函……………………………………………………………………（页码）</w:t>
      </w:r>
    </w:p>
    <w:p w14:paraId="3B20F02F">
      <w:pPr>
        <w:pageBreakBefore w:val="0"/>
        <w:wordWrap/>
        <w:topLinePunct w:val="0"/>
        <w:bidi w:val="0"/>
        <w:spacing w:line="560" w:lineRule="exact"/>
        <w:rPr>
          <w:rFonts w:cs="仿宋_GB2312" w:asciiTheme="minorEastAsia" w:hAnsiTheme="minorEastAsia" w:eastAsiaTheme="minorEastAsia"/>
          <w:color w:val="000000" w:themeColor="text1"/>
          <w:kern w:val="0"/>
          <w:sz w:val="28"/>
          <w:szCs w:val="28"/>
          <w:highlight w:val="none"/>
          <w14:textFill>
            <w14:solidFill>
              <w14:schemeClr w14:val="tx1"/>
            </w14:solidFill>
          </w14:textFill>
        </w:rPr>
      </w:pPr>
      <w:r>
        <w:rPr>
          <w:rFonts w:hint="eastAsia" w:cs="仿宋_GB2312" w:asciiTheme="minorEastAsia" w:hAnsiTheme="minorEastAsia" w:eastAsiaTheme="minorEastAsia"/>
          <w:color w:val="000000" w:themeColor="text1"/>
          <w:kern w:val="0"/>
          <w:sz w:val="28"/>
          <w:szCs w:val="28"/>
          <w:highlight w:val="none"/>
          <w14:textFill>
            <w14:solidFill>
              <w14:schemeClr w14:val="tx1"/>
            </w14:solidFill>
          </w14:textFill>
        </w:rPr>
        <w:t>二、开标一览表………………………………………………………………（页码）</w:t>
      </w:r>
    </w:p>
    <w:p w14:paraId="018C1840">
      <w:pPr>
        <w:pageBreakBefore w:val="0"/>
        <w:wordWrap/>
        <w:topLinePunct w:val="0"/>
        <w:bidi w:val="0"/>
        <w:spacing w:line="560" w:lineRule="exact"/>
        <w:rPr>
          <w:rFonts w:cs="仿宋_GB2312" w:asciiTheme="minorEastAsia" w:hAnsiTheme="minorEastAsia" w:eastAsiaTheme="minorEastAsia"/>
          <w:color w:val="000000" w:themeColor="text1"/>
          <w:sz w:val="28"/>
          <w:szCs w:val="28"/>
          <w:highlight w:val="none"/>
          <w14:textFill>
            <w14:solidFill>
              <w14:schemeClr w14:val="tx1"/>
            </w14:solidFill>
          </w14:textFill>
        </w:rPr>
      </w:pPr>
      <w:r>
        <w:rPr>
          <w:rFonts w:hint="eastAsia" w:cs="仿宋_GB2312" w:asciiTheme="minorEastAsia" w:hAnsiTheme="minorEastAsia" w:eastAsiaTheme="minorEastAsia"/>
          <w:color w:val="000000" w:themeColor="text1"/>
          <w:kern w:val="0"/>
          <w:sz w:val="28"/>
          <w:szCs w:val="28"/>
          <w:highlight w:val="none"/>
          <w14:textFill>
            <w14:solidFill>
              <w14:schemeClr w14:val="tx1"/>
            </w14:solidFill>
          </w14:textFill>
        </w:rPr>
        <w:t>三、分项报价表………………………………………………………………（页码）</w:t>
      </w:r>
    </w:p>
    <w:p w14:paraId="0E7AB358">
      <w:pPr>
        <w:pageBreakBefore w:val="0"/>
        <w:widowControl/>
        <w:wordWrap/>
        <w:topLinePunct w:val="0"/>
        <w:bidi w:val="0"/>
        <w:spacing w:line="560" w:lineRule="exact"/>
        <w:jc w:val="left"/>
        <w:rPr>
          <w:rFonts w:hint="eastAsia" w:cs="仿宋_GB2312" w:asciiTheme="minorEastAsia" w:hAnsiTheme="minorEastAsia" w:eastAsiaTheme="minorEastAsia"/>
          <w:b/>
          <w:color w:val="000000" w:themeColor="text1"/>
          <w:kern w:val="0"/>
          <w:sz w:val="28"/>
          <w:szCs w:val="28"/>
          <w:highlight w:val="none"/>
          <w14:textFill>
            <w14:solidFill>
              <w14:schemeClr w14:val="tx1"/>
            </w14:solidFill>
          </w14:textFill>
        </w:rPr>
      </w:pPr>
      <w:r>
        <w:rPr>
          <w:rFonts w:hint="eastAsia" w:cs="仿宋_GB2312" w:asciiTheme="minorEastAsia" w:hAnsiTheme="minorEastAsia" w:eastAsiaTheme="minorEastAsia"/>
          <w:color w:val="000000" w:themeColor="text1"/>
          <w:kern w:val="0"/>
          <w:sz w:val="28"/>
          <w:szCs w:val="28"/>
          <w:highlight w:val="none"/>
          <w14:textFill>
            <w14:solidFill>
              <w14:schemeClr w14:val="tx1"/>
            </w14:solidFill>
          </w14:textFill>
        </w:rPr>
        <w:t>四、中小企业</w:t>
      </w:r>
      <w:r>
        <w:rPr>
          <w:rFonts w:hint="eastAsia" w:cs="仿宋_GB2312" w:asciiTheme="minorEastAsia" w:hAnsiTheme="minorEastAsia" w:eastAsiaTheme="minorEastAsia"/>
          <w:color w:val="000000" w:themeColor="text1"/>
          <w:kern w:val="0"/>
          <w:sz w:val="28"/>
          <w:szCs w:val="28"/>
          <w:highlight w:val="none"/>
          <w:lang w:eastAsia="zh-CN"/>
          <w14:textFill>
            <w14:solidFill>
              <w14:schemeClr w14:val="tx1"/>
            </w14:solidFill>
          </w14:textFill>
        </w:rPr>
        <w:t>声</w:t>
      </w:r>
      <w:r>
        <w:rPr>
          <w:rFonts w:hint="eastAsia" w:cs="仿宋_GB2312" w:asciiTheme="minorEastAsia" w:hAnsiTheme="minorEastAsia" w:eastAsiaTheme="minorEastAsia"/>
          <w:color w:val="000000" w:themeColor="text1"/>
          <w:kern w:val="0"/>
          <w:sz w:val="28"/>
          <w:szCs w:val="28"/>
          <w:highlight w:val="none"/>
          <w14:textFill>
            <w14:solidFill>
              <w14:schemeClr w14:val="tx1"/>
            </w14:solidFill>
          </w14:textFill>
        </w:rPr>
        <w:t>明函…………………………………………………………（页码）</w:t>
      </w:r>
    </w:p>
    <w:p w14:paraId="5A71081A">
      <w:pPr>
        <w:pageBreakBefore w:val="0"/>
        <w:wordWrap/>
        <w:topLinePunct w:val="0"/>
        <w:bidi w:val="0"/>
        <w:spacing w:line="560" w:lineRule="exact"/>
        <w:jc w:val="center"/>
        <w:rPr>
          <w:rFonts w:cs="仿宋_GB2312" w:asciiTheme="minorEastAsia" w:hAnsiTheme="minorEastAsia" w:eastAsiaTheme="minorEastAsia"/>
          <w:b/>
          <w:color w:val="000000" w:themeColor="text1"/>
          <w:kern w:val="0"/>
          <w:sz w:val="28"/>
          <w:szCs w:val="28"/>
          <w:highlight w:val="none"/>
          <w14:textFill>
            <w14:solidFill>
              <w14:schemeClr w14:val="tx1"/>
            </w14:solidFill>
          </w14:textFill>
        </w:rPr>
      </w:pPr>
      <w:r>
        <w:rPr>
          <w:rFonts w:hint="eastAsia" w:cs="仿宋_GB2312" w:asciiTheme="minorEastAsia" w:hAnsiTheme="minorEastAsia" w:eastAsiaTheme="minorEastAsia"/>
          <w:b/>
          <w:color w:val="000000" w:themeColor="text1"/>
          <w:kern w:val="0"/>
          <w:sz w:val="28"/>
          <w:szCs w:val="28"/>
          <w:highlight w:val="none"/>
          <w14:textFill>
            <w14:solidFill>
              <w14:schemeClr w14:val="tx1"/>
            </w14:solidFill>
          </w14:textFill>
        </w:rPr>
        <w:t>商务文件目录</w:t>
      </w:r>
    </w:p>
    <w:p w14:paraId="22493A62">
      <w:pPr>
        <w:keepNext w:val="0"/>
        <w:keepLines w:val="0"/>
        <w:pageBreakBefore w:val="0"/>
        <w:widowControl w:val="0"/>
        <w:kinsoku/>
        <w:wordWrap/>
        <w:overflowPunct/>
        <w:topLinePunct w:val="0"/>
        <w:autoSpaceDE/>
        <w:autoSpaceDN/>
        <w:bidi w:val="0"/>
        <w:adjustRightInd/>
        <w:snapToGrid/>
        <w:spacing w:line="560" w:lineRule="exact"/>
        <w:textAlignment w:val="auto"/>
        <w:rPr>
          <w:rFonts w:cs="仿宋_GB2312" w:asciiTheme="minorEastAsia" w:hAnsiTheme="minorEastAsia" w:eastAsiaTheme="minorEastAsia"/>
          <w:color w:val="000000" w:themeColor="text1"/>
          <w:sz w:val="28"/>
          <w:szCs w:val="28"/>
          <w:highlight w:val="none"/>
          <w14:textFill>
            <w14:solidFill>
              <w14:schemeClr w14:val="tx1"/>
            </w14:solidFill>
          </w14:textFill>
        </w:rPr>
      </w:pPr>
      <w:r>
        <w:rPr>
          <w:rFonts w:hint="eastAsia" w:cs="仿宋_GB2312" w:asciiTheme="minorEastAsia" w:hAnsiTheme="minorEastAsia" w:eastAsiaTheme="minorEastAsia"/>
          <w:color w:val="000000" w:themeColor="text1"/>
          <w:kern w:val="0"/>
          <w:sz w:val="28"/>
          <w:szCs w:val="28"/>
          <w:highlight w:val="none"/>
          <w14:textFill>
            <w14:solidFill>
              <w14:schemeClr w14:val="tx1"/>
            </w14:solidFill>
          </w14:textFill>
        </w:rPr>
        <w:t>一、</w:t>
      </w:r>
      <w:r>
        <w:rPr>
          <w:rFonts w:hint="eastAsia" w:cs="仿宋_GB2312" w:asciiTheme="minorEastAsia" w:hAnsiTheme="minorEastAsia" w:eastAsiaTheme="minorEastAsia"/>
          <w:color w:val="000000" w:themeColor="text1"/>
          <w:sz w:val="28"/>
          <w:szCs w:val="28"/>
          <w:highlight w:val="none"/>
          <w14:textFill>
            <w14:solidFill>
              <w14:schemeClr w14:val="tx1"/>
            </w14:solidFill>
          </w14:textFill>
        </w:rPr>
        <w:t>无串通投标行为的承诺函</w:t>
      </w:r>
      <w:r>
        <w:rPr>
          <w:rFonts w:hint="eastAsia" w:cs="仿宋_GB2312" w:asciiTheme="minorEastAsia" w:hAnsiTheme="minorEastAsia" w:eastAsiaTheme="minorEastAsia"/>
          <w:color w:val="000000" w:themeColor="text1"/>
          <w:kern w:val="0"/>
          <w:sz w:val="28"/>
          <w:szCs w:val="28"/>
          <w:highlight w:val="none"/>
          <w14:textFill>
            <w14:solidFill>
              <w14:schemeClr w14:val="tx1"/>
            </w14:solidFill>
          </w14:textFill>
        </w:rPr>
        <w:t>………………………………………………（页码）</w:t>
      </w:r>
      <w:r>
        <w:rPr>
          <w:rFonts w:hint="eastAsia" w:cs="仿宋_GB2312" w:asciiTheme="minorEastAsia" w:hAnsiTheme="minorEastAsia" w:eastAsiaTheme="minorEastAsia"/>
          <w:color w:val="000000" w:themeColor="text1"/>
          <w:sz w:val="28"/>
          <w:szCs w:val="28"/>
          <w:highlight w:val="none"/>
          <w14:textFill>
            <w14:solidFill>
              <w14:schemeClr w14:val="tx1"/>
            </w14:solidFill>
          </w14:textFill>
        </w:rPr>
        <w:t xml:space="preserve"> </w:t>
      </w:r>
    </w:p>
    <w:p w14:paraId="3A189521">
      <w:pPr>
        <w:keepNext w:val="0"/>
        <w:keepLines w:val="0"/>
        <w:pageBreakBefore w:val="0"/>
        <w:widowControl w:val="0"/>
        <w:kinsoku/>
        <w:wordWrap/>
        <w:overflowPunct/>
        <w:topLinePunct w:val="0"/>
        <w:autoSpaceDE/>
        <w:autoSpaceDN/>
        <w:bidi w:val="0"/>
        <w:adjustRightInd/>
        <w:snapToGrid/>
        <w:spacing w:line="560" w:lineRule="exact"/>
        <w:textAlignment w:val="auto"/>
        <w:rPr>
          <w:rFonts w:cs="仿宋_GB2312" w:asciiTheme="minorEastAsia" w:hAnsiTheme="minorEastAsia" w:eastAsiaTheme="minorEastAsia"/>
          <w:color w:val="000000" w:themeColor="text1"/>
          <w:sz w:val="28"/>
          <w:szCs w:val="28"/>
          <w:highlight w:val="none"/>
          <w14:textFill>
            <w14:solidFill>
              <w14:schemeClr w14:val="tx1"/>
            </w14:solidFill>
          </w14:textFill>
        </w:rPr>
      </w:pPr>
      <w:r>
        <w:rPr>
          <w:rFonts w:hint="eastAsia" w:cs="仿宋_GB2312" w:asciiTheme="minorEastAsia" w:hAnsiTheme="minorEastAsia" w:eastAsiaTheme="minorEastAsia"/>
          <w:color w:val="000000" w:themeColor="text1"/>
          <w:sz w:val="28"/>
          <w:szCs w:val="28"/>
          <w:highlight w:val="none"/>
          <w:lang w:val="en-US" w:eastAsia="zh-CN"/>
          <w14:textFill>
            <w14:solidFill>
              <w14:schemeClr w14:val="tx1"/>
            </w14:solidFill>
          </w14:textFill>
        </w:rPr>
        <w:t>二、</w:t>
      </w:r>
      <w:r>
        <w:rPr>
          <w:rFonts w:hint="eastAsia" w:cs="仿宋_GB2312" w:asciiTheme="minorEastAsia" w:hAnsiTheme="minorEastAsia" w:eastAsiaTheme="minorEastAsia"/>
          <w:color w:val="000000" w:themeColor="text1"/>
          <w:sz w:val="28"/>
          <w:szCs w:val="28"/>
          <w:highlight w:val="none"/>
          <w14:textFill>
            <w14:solidFill>
              <w14:schemeClr w14:val="tx1"/>
            </w14:solidFill>
          </w14:textFill>
        </w:rPr>
        <w:t>法定代表人身份证明</w:t>
      </w:r>
      <w:r>
        <w:rPr>
          <w:rFonts w:hint="eastAsia" w:cs="仿宋_GB2312" w:asciiTheme="minorEastAsia" w:hAnsiTheme="minorEastAsia" w:eastAsiaTheme="minorEastAsia"/>
          <w:color w:val="000000" w:themeColor="text1"/>
          <w:kern w:val="0"/>
          <w:sz w:val="28"/>
          <w:szCs w:val="28"/>
          <w:highlight w:val="none"/>
          <w14:textFill>
            <w14:solidFill>
              <w14:schemeClr w14:val="tx1"/>
            </w14:solidFill>
          </w14:textFill>
        </w:rPr>
        <w:t>……………………………………………………（页码）</w:t>
      </w:r>
    </w:p>
    <w:p w14:paraId="4D362EAE">
      <w:pPr>
        <w:keepNext w:val="0"/>
        <w:keepLines w:val="0"/>
        <w:pageBreakBefore w:val="0"/>
        <w:widowControl w:val="0"/>
        <w:kinsoku/>
        <w:wordWrap/>
        <w:overflowPunct/>
        <w:topLinePunct w:val="0"/>
        <w:autoSpaceDE/>
        <w:autoSpaceDN/>
        <w:bidi w:val="0"/>
        <w:adjustRightInd/>
        <w:snapToGrid/>
        <w:spacing w:line="560" w:lineRule="exact"/>
        <w:textAlignment w:val="auto"/>
        <w:rPr>
          <w:rFonts w:cs="仿宋_GB2312" w:asciiTheme="minorEastAsia" w:hAnsiTheme="minorEastAsia" w:eastAsiaTheme="minorEastAsia"/>
          <w:color w:val="000000" w:themeColor="text1"/>
          <w:sz w:val="28"/>
          <w:szCs w:val="28"/>
          <w:highlight w:val="none"/>
          <w14:textFill>
            <w14:solidFill>
              <w14:schemeClr w14:val="tx1"/>
            </w14:solidFill>
          </w14:textFill>
        </w:rPr>
      </w:pPr>
      <w:r>
        <w:rPr>
          <w:rFonts w:hint="eastAsia" w:cs="仿宋_GB2312" w:asciiTheme="minorEastAsia" w:hAnsiTheme="minorEastAsia" w:eastAsiaTheme="minorEastAsia"/>
          <w:color w:val="000000" w:themeColor="text1"/>
          <w:kern w:val="0"/>
          <w:sz w:val="28"/>
          <w:szCs w:val="28"/>
          <w:highlight w:val="none"/>
          <w14:textFill>
            <w14:solidFill>
              <w14:schemeClr w14:val="tx1"/>
            </w14:solidFill>
          </w14:textFill>
        </w:rPr>
        <w:t>三、</w:t>
      </w:r>
      <w:r>
        <w:rPr>
          <w:rFonts w:hint="eastAsia" w:cs="仿宋_GB2312" w:asciiTheme="minorEastAsia" w:hAnsiTheme="minorEastAsia" w:eastAsiaTheme="minorEastAsia"/>
          <w:color w:val="000000" w:themeColor="text1"/>
          <w:sz w:val="28"/>
          <w:szCs w:val="28"/>
          <w:highlight w:val="none"/>
          <w14:textFill>
            <w14:solidFill>
              <w14:schemeClr w14:val="tx1"/>
            </w14:solidFill>
          </w14:textFill>
        </w:rPr>
        <w:t>法定代表人授权委托书</w:t>
      </w:r>
      <w:r>
        <w:rPr>
          <w:rFonts w:hint="eastAsia" w:cs="仿宋_GB2312" w:asciiTheme="minorEastAsia" w:hAnsiTheme="minorEastAsia" w:eastAsiaTheme="minorEastAsia"/>
          <w:color w:val="000000" w:themeColor="text1"/>
          <w:sz w:val="28"/>
          <w:szCs w:val="28"/>
          <w:highlight w:val="none"/>
          <w:lang w:eastAsia="zh-CN"/>
          <w14:textFill>
            <w14:solidFill>
              <w14:schemeClr w14:val="tx1"/>
            </w14:solidFill>
          </w14:textFill>
        </w:rPr>
        <w:t>（（如有委托时））</w:t>
      </w:r>
      <w:r>
        <w:rPr>
          <w:rFonts w:hint="eastAsia" w:cs="仿宋_GB2312" w:asciiTheme="minorEastAsia" w:hAnsiTheme="minorEastAsia" w:eastAsiaTheme="minorEastAsia"/>
          <w:color w:val="000000" w:themeColor="text1"/>
          <w:kern w:val="0"/>
          <w:sz w:val="28"/>
          <w:szCs w:val="28"/>
          <w:highlight w:val="none"/>
          <w14:textFill>
            <w14:solidFill>
              <w14:schemeClr w14:val="tx1"/>
            </w14:solidFill>
          </w14:textFill>
        </w:rPr>
        <w:t>…………………………（页码）</w:t>
      </w:r>
    </w:p>
    <w:p w14:paraId="69FE34BA">
      <w:pPr>
        <w:keepNext w:val="0"/>
        <w:keepLines w:val="0"/>
        <w:pageBreakBefore w:val="0"/>
        <w:widowControl w:val="0"/>
        <w:kinsoku/>
        <w:wordWrap/>
        <w:overflowPunct/>
        <w:topLinePunct w:val="0"/>
        <w:autoSpaceDE/>
        <w:autoSpaceDN/>
        <w:bidi w:val="0"/>
        <w:adjustRightInd/>
        <w:snapToGrid/>
        <w:spacing w:line="560" w:lineRule="exact"/>
        <w:textAlignment w:val="auto"/>
        <w:rPr>
          <w:rFonts w:cs="仿宋_GB2312" w:asciiTheme="minorEastAsia" w:hAnsiTheme="minorEastAsia" w:eastAsiaTheme="minorEastAsia"/>
          <w:color w:val="000000" w:themeColor="text1"/>
          <w:sz w:val="28"/>
          <w:szCs w:val="28"/>
          <w:highlight w:val="none"/>
          <w14:textFill>
            <w14:solidFill>
              <w14:schemeClr w14:val="tx1"/>
            </w14:solidFill>
          </w14:textFill>
        </w:rPr>
      </w:pPr>
      <w:r>
        <w:rPr>
          <w:rFonts w:hint="eastAsia" w:cs="仿宋_GB2312" w:asciiTheme="minorEastAsia" w:hAnsiTheme="minorEastAsia" w:eastAsiaTheme="minorEastAsia"/>
          <w:color w:val="000000" w:themeColor="text1"/>
          <w:kern w:val="0"/>
          <w:sz w:val="28"/>
          <w:szCs w:val="28"/>
          <w:highlight w:val="none"/>
          <w14:textFill>
            <w14:solidFill>
              <w14:schemeClr w14:val="tx1"/>
            </w14:solidFill>
          </w14:textFill>
        </w:rPr>
        <w:t>四、</w:t>
      </w:r>
      <w:r>
        <w:rPr>
          <w:rFonts w:hint="eastAsia" w:cs="仿宋_GB2312" w:asciiTheme="minorEastAsia" w:hAnsiTheme="minorEastAsia" w:eastAsiaTheme="minorEastAsia"/>
          <w:color w:val="000000" w:themeColor="text1"/>
          <w:sz w:val="28"/>
          <w:szCs w:val="28"/>
          <w:highlight w:val="none"/>
          <w14:textFill>
            <w14:solidFill>
              <w14:schemeClr w14:val="tx1"/>
            </w14:solidFill>
          </w14:textFill>
        </w:rPr>
        <w:t>商务条款偏离表</w:t>
      </w:r>
      <w:r>
        <w:rPr>
          <w:rFonts w:hint="eastAsia" w:cs="仿宋_GB2312" w:asciiTheme="minorEastAsia" w:hAnsiTheme="minorEastAsia" w:eastAsiaTheme="minorEastAsia"/>
          <w:color w:val="000000" w:themeColor="text1"/>
          <w:kern w:val="0"/>
          <w:sz w:val="28"/>
          <w:szCs w:val="28"/>
          <w:highlight w:val="none"/>
          <w14:textFill>
            <w14:solidFill>
              <w14:schemeClr w14:val="tx1"/>
            </w14:solidFill>
          </w14:textFill>
        </w:rPr>
        <w:t>…………………………………………………………（页码）</w:t>
      </w:r>
    </w:p>
    <w:p w14:paraId="0E5F4893">
      <w:pPr>
        <w:keepNext w:val="0"/>
        <w:keepLines w:val="0"/>
        <w:pageBreakBefore w:val="0"/>
        <w:widowControl w:val="0"/>
        <w:kinsoku/>
        <w:wordWrap/>
        <w:overflowPunct/>
        <w:topLinePunct w:val="0"/>
        <w:autoSpaceDE/>
        <w:autoSpaceDN/>
        <w:bidi w:val="0"/>
        <w:adjustRightInd/>
        <w:snapToGrid/>
        <w:spacing w:line="560" w:lineRule="exact"/>
        <w:textAlignment w:val="auto"/>
        <w:rPr>
          <w:rFonts w:cs="仿宋_GB2312" w:asciiTheme="minorEastAsia" w:hAnsiTheme="minorEastAsia" w:eastAsiaTheme="minorEastAsia"/>
          <w:color w:val="000000" w:themeColor="text1"/>
          <w:sz w:val="28"/>
          <w:szCs w:val="28"/>
          <w:highlight w:val="none"/>
          <w14:textFill>
            <w14:solidFill>
              <w14:schemeClr w14:val="tx1"/>
            </w14:solidFill>
          </w14:textFill>
        </w:rPr>
      </w:pPr>
      <w:r>
        <w:rPr>
          <w:rFonts w:hint="eastAsia" w:cs="仿宋_GB2312" w:asciiTheme="minorEastAsia" w:hAnsiTheme="minorEastAsia" w:eastAsiaTheme="minorEastAsia"/>
          <w:color w:val="000000" w:themeColor="text1"/>
          <w:kern w:val="0"/>
          <w:sz w:val="28"/>
          <w:szCs w:val="28"/>
          <w:highlight w:val="none"/>
          <w14:textFill>
            <w14:solidFill>
              <w14:schemeClr w14:val="tx1"/>
            </w14:solidFill>
          </w14:textFill>
        </w:rPr>
        <w:t>五、</w:t>
      </w:r>
      <w:r>
        <w:rPr>
          <w:rFonts w:hint="eastAsia" w:cs="仿宋_GB2312" w:asciiTheme="minorEastAsia" w:hAnsiTheme="minorEastAsia" w:eastAsiaTheme="minorEastAsia"/>
          <w:color w:val="000000" w:themeColor="text1"/>
          <w:sz w:val="28"/>
          <w:szCs w:val="28"/>
          <w:highlight w:val="none"/>
          <w:lang w:eastAsia="zh-CN"/>
          <w14:textFill>
            <w14:solidFill>
              <w14:schemeClr w14:val="tx1"/>
            </w14:solidFill>
          </w14:textFill>
        </w:rPr>
        <w:t>供应商</w:t>
      </w:r>
      <w:r>
        <w:rPr>
          <w:rFonts w:hint="eastAsia" w:cs="仿宋_GB2312" w:asciiTheme="minorEastAsia" w:hAnsiTheme="minorEastAsia" w:eastAsiaTheme="minorEastAsia"/>
          <w:color w:val="000000" w:themeColor="text1"/>
          <w:sz w:val="28"/>
          <w:szCs w:val="28"/>
          <w:highlight w:val="none"/>
          <w14:textFill>
            <w14:solidFill>
              <w14:schemeClr w14:val="tx1"/>
            </w14:solidFill>
          </w14:textFill>
        </w:rPr>
        <w:t>情况介绍</w:t>
      </w:r>
      <w:r>
        <w:rPr>
          <w:rFonts w:hint="eastAsia" w:cs="仿宋_GB2312" w:asciiTheme="minorEastAsia" w:hAnsiTheme="minorEastAsia" w:eastAsiaTheme="minorEastAsia"/>
          <w:color w:val="000000" w:themeColor="text1"/>
          <w:kern w:val="0"/>
          <w:sz w:val="28"/>
          <w:szCs w:val="28"/>
          <w:highlight w:val="none"/>
          <w14:textFill>
            <w14:solidFill>
              <w14:schemeClr w14:val="tx1"/>
            </w14:solidFill>
          </w14:textFill>
        </w:rPr>
        <w:t>…………………………………………………………（页码）</w:t>
      </w:r>
    </w:p>
    <w:p w14:paraId="783CAB3E">
      <w:pPr>
        <w:keepNext w:val="0"/>
        <w:keepLines w:val="0"/>
        <w:pageBreakBefore w:val="0"/>
        <w:widowControl w:val="0"/>
        <w:kinsoku/>
        <w:wordWrap/>
        <w:overflowPunct/>
        <w:topLinePunct w:val="0"/>
        <w:autoSpaceDE/>
        <w:autoSpaceDN/>
        <w:bidi w:val="0"/>
        <w:adjustRightInd/>
        <w:snapToGrid/>
        <w:spacing w:line="560" w:lineRule="exact"/>
        <w:textAlignment w:val="auto"/>
        <w:rPr>
          <w:rFonts w:cs="仿宋_GB2312" w:asciiTheme="minorEastAsia" w:hAnsiTheme="minorEastAsia" w:eastAsiaTheme="minorEastAsia"/>
          <w:color w:val="000000" w:themeColor="text1"/>
          <w:sz w:val="28"/>
          <w:szCs w:val="28"/>
          <w:highlight w:val="none"/>
          <w14:textFill>
            <w14:solidFill>
              <w14:schemeClr w14:val="tx1"/>
            </w14:solidFill>
          </w14:textFill>
        </w:rPr>
      </w:pPr>
      <w:r>
        <w:rPr>
          <w:rFonts w:hint="eastAsia" w:cs="仿宋_GB2312" w:asciiTheme="minorEastAsia" w:hAnsiTheme="minorEastAsia" w:eastAsiaTheme="minorEastAsia"/>
          <w:color w:val="000000" w:themeColor="text1"/>
          <w:kern w:val="0"/>
          <w:sz w:val="28"/>
          <w:szCs w:val="28"/>
          <w:highlight w:val="none"/>
          <w14:textFill>
            <w14:solidFill>
              <w14:schemeClr w14:val="tx1"/>
            </w14:solidFill>
          </w14:textFill>
        </w:rPr>
        <w:t>六、</w:t>
      </w:r>
      <w:r>
        <w:rPr>
          <w:rFonts w:hint="eastAsia" w:cs="仿宋_GB2312" w:asciiTheme="minorEastAsia" w:hAnsiTheme="minorEastAsia" w:eastAsiaTheme="minorEastAsia"/>
          <w:color w:val="000000" w:themeColor="text1"/>
          <w:sz w:val="28"/>
          <w:szCs w:val="28"/>
          <w:highlight w:val="none"/>
          <w14:textFill>
            <w14:solidFill>
              <w14:schemeClr w14:val="tx1"/>
            </w14:solidFill>
          </w14:textFill>
        </w:rPr>
        <w:t>供应商类似业绩的证明文件</w:t>
      </w:r>
      <w:r>
        <w:rPr>
          <w:rFonts w:hint="eastAsia" w:cs="仿宋_GB2312" w:asciiTheme="minorEastAsia" w:hAnsiTheme="minorEastAsia" w:eastAsiaTheme="minorEastAsia"/>
          <w:color w:val="000000" w:themeColor="text1"/>
          <w:kern w:val="0"/>
          <w:sz w:val="28"/>
          <w:szCs w:val="28"/>
          <w:highlight w:val="none"/>
          <w14:textFill>
            <w14:solidFill>
              <w14:schemeClr w14:val="tx1"/>
            </w14:solidFill>
          </w14:textFill>
        </w:rPr>
        <w:t>……………………………………………（页码）</w:t>
      </w:r>
    </w:p>
    <w:p w14:paraId="37CA0FCB">
      <w:pPr>
        <w:keepNext w:val="0"/>
        <w:keepLines w:val="0"/>
        <w:pageBreakBefore w:val="0"/>
        <w:widowControl w:val="0"/>
        <w:kinsoku/>
        <w:wordWrap/>
        <w:overflowPunct/>
        <w:topLinePunct w:val="0"/>
        <w:autoSpaceDE/>
        <w:autoSpaceDN/>
        <w:bidi w:val="0"/>
        <w:adjustRightInd/>
        <w:snapToGrid/>
        <w:spacing w:line="560" w:lineRule="exact"/>
        <w:textAlignment w:val="auto"/>
        <w:rPr>
          <w:rFonts w:cs="仿宋_GB2312" w:asciiTheme="minorEastAsia" w:hAnsiTheme="minorEastAsia" w:eastAsiaTheme="minorEastAsia"/>
          <w:color w:val="000000" w:themeColor="text1"/>
          <w:sz w:val="28"/>
          <w:szCs w:val="28"/>
          <w:highlight w:val="none"/>
          <w14:textFill>
            <w14:solidFill>
              <w14:schemeClr w14:val="tx1"/>
            </w14:solidFill>
          </w14:textFill>
        </w:rPr>
      </w:pPr>
      <w:r>
        <w:rPr>
          <w:rFonts w:hint="eastAsia" w:cs="仿宋_GB2312" w:asciiTheme="minorEastAsia" w:hAnsiTheme="minorEastAsia" w:eastAsiaTheme="minorEastAsia"/>
          <w:color w:val="000000" w:themeColor="text1"/>
          <w:kern w:val="0"/>
          <w:sz w:val="28"/>
          <w:szCs w:val="28"/>
          <w:highlight w:val="none"/>
          <w14:textFill>
            <w14:solidFill>
              <w14:schemeClr w14:val="tx1"/>
            </w14:solidFill>
          </w14:textFill>
        </w:rPr>
        <w:t>七、</w:t>
      </w:r>
      <w:r>
        <w:rPr>
          <w:rFonts w:hint="eastAsia" w:cs="仿宋_GB2312" w:asciiTheme="minorEastAsia" w:hAnsiTheme="minorEastAsia" w:eastAsiaTheme="minorEastAsia"/>
          <w:color w:val="000000" w:themeColor="text1"/>
          <w:sz w:val="28"/>
          <w:szCs w:val="28"/>
          <w:highlight w:val="none"/>
          <w14:textFill>
            <w14:solidFill>
              <w14:schemeClr w14:val="tx1"/>
            </w14:solidFill>
          </w14:textFill>
        </w:rPr>
        <w:t>项目</w:t>
      </w:r>
      <w:r>
        <w:rPr>
          <w:rFonts w:hint="eastAsia" w:cs="仿宋_GB2312" w:asciiTheme="minorEastAsia" w:hAnsiTheme="minorEastAsia" w:eastAsiaTheme="minorEastAsia"/>
          <w:color w:val="000000" w:themeColor="text1"/>
          <w:sz w:val="28"/>
          <w:szCs w:val="28"/>
          <w:highlight w:val="none"/>
          <w:lang w:eastAsia="zh-CN"/>
          <w14:textFill>
            <w14:solidFill>
              <w14:schemeClr w14:val="tx1"/>
            </w14:solidFill>
          </w14:textFill>
        </w:rPr>
        <w:t>负责人简历表</w:t>
      </w:r>
      <w:r>
        <w:rPr>
          <w:rFonts w:hint="eastAsia" w:cs="仿宋_GB2312" w:asciiTheme="minorEastAsia" w:hAnsiTheme="minorEastAsia" w:eastAsiaTheme="minorEastAsia"/>
          <w:color w:val="000000" w:themeColor="text1"/>
          <w:kern w:val="0"/>
          <w:sz w:val="28"/>
          <w:szCs w:val="28"/>
          <w:highlight w:val="none"/>
          <w14:textFill>
            <w14:solidFill>
              <w14:schemeClr w14:val="tx1"/>
            </w14:solidFill>
          </w14:textFill>
        </w:rPr>
        <w:t>………………………………………………………（页码）</w:t>
      </w:r>
    </w:p>
    <w:p w14:paraId="0DB167D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cs="仿宋_GB2312" w:asciiTheme="minorEastAsia" w:hAnsiTheme="minorEastAsia" w:eastAsiaTheme="minorEastAsia"/>
          <w:b/>
          <w:color w:val="000000" w:themeColor="text1"/>
          <w:kern w:val="0"/>
          <w:sz w:val="28"/>
          <w:szCs w:val="28"/>
          <w:highlight w:val="none"/>
          <w14:textFill>
            <w14:solidFill>
              <w14:schemeClr w14:val="tx1"/>
            </w14:solidFill>
          </w14:textFill>
        </w:rPr>
      </w:pPr>
      <w:r>
        <w:rPr>
          <w:rFonts w:hint="eastAsia" w:cs="仿宋_GB2312" w:asciiTheme="minorEastAsia" w:hAnsiTheme="minorEastAsia" w:eastAsiaTheme="minorEastAsia"/>
          <w:color w:val="000000" w:themeColor="text1"/>
          <w:kern w:val="0"/>
          <w:sz w:val="28"/>
          <w:szCs w:val="28"/>
          <w:highlight w:val="none"/>
          <w14:textFill>
            <w14:solidFill>
              <w14:schemeClr w14:val="tx1"/>
            </w14:solidFill>
          </w14:textFill>
        </w:rPr>
        <w:t>八、</w:t>
      </w:r>
      <w:r>
        <w:rPr>
          <w:rFonts w:hint="eastAsia" w:cs="仿宋_GB2312" w:asciiTheme="minorEastAsia" w:hAnsiTheme="minorEastAsia" w:eastAsiaTheme="minorEastAsia"/>
          <w:color w:val="000000" w:themeColor="text1"/>
          <w:sz w:val="28"/>
          <w:szCs w:val="28"/>
          <w:highlight w:val="none"/>
          <w:lang w:eastAsia="zh-CN"/>
          <w14:textFill>
            <w14:solidFill>
              <w14:schemeClr w14:val="tx1"/>
            </w14:solidFill>
          </w14:textFill>
        </w:rPr>
        <w:t>供应商</w:t>
      </w:r>
      <w:r>
        <w:rPr>
          <w:rFonts w:hint="eastAsia" w:cs="仿宋_GB2312" w:asciiTheme="minorEastAsia" w:hAnsiTheme="minorEastAsia" w:eastAsiaTheme="minorEastAsia"/>
          <w:color w:val="000000" w:themeColor="text1"/>
          <w:sz w:val="28"/>
          <w:szCs w:val="28"/>
          <w:highlight w:val="none"/>
          <w14:textFill>
            <w14:solidFill>
              <w14:schemeClr w14:val="tx1"/>
            </w14:solidFill>
          </w14:textFill>
        </w:rPr>
        <w:t>认为需要提供的其他</w:t>
      </w:r>
      <w:r>
        <w:rPr>
          <w:rFonts w:hint="eastAsia" w:cs="仿宋_GB2312" w:asciiTheme="minorEastAsia" w:hAnsiTheme="minorEastAsia" w:eastAsiaTheme="minorEastAsia"/>
          <w:color w:val="000000" w:themeColor="text1"/>
          <w:sz w:val="28"/>
          <w:szCs w:val="28"/>
          <w:highlight w:val="none"/>
          <w:lang w:eastAsia="zh-CN"/>
          <w14:textFill>
            <w14:solidFill>
              <w14:schemeClr w14:val="tx1"/>
            </w14:solidFill>
          </w14:textFill>
        </w:rPr>
        <w:t>商务文件</w:t>
      </w:r>
      <w:r>
        <w:rPr>
          <w:rFonts w:hint="eastAsia" w:cs="仿宋_GB2312" w:asciiTheme="minorEastAsia" w:hAnsiTheme="minorEastAsia" w:eastAsiaTheme="minorEastAsia"/>
          <w:color w:val="000000" w:themeColor="text1"/>
          <w:sz w:val="28"/>
          <w:szCs w:val="28"/>
          <w:highlight w:val="none"/>
          <w14:textFill>
            <w14:solidFill>
              <w14:schemeClr w14:val="tx1"/>
            </w14:solidFill>
          </w14:textFill>
        </w:rPr>
        <w:t>材料</w:t>
      </w:r>
      <w:r>
        <w:rPr>
          <w:rFonts w:hint="eastAsia" w:cs="仿宋_GB2312" w:asciiTheme="minorEastAsia" w:hAnsiTheme="minorEastAsia" w:eastAsiaTheme="minorEastAsia"/>
          <w:color w:val="000000" w:themeColor="text1"/>
          <w:kern w:val="0"/>
          <w:sz w:val="28"/>
          <w:szCs w:val="28"/>
          <w:highlight w:val="none"/>
          <w14:textFill>
            <w14:solidFill>
              <w14:schemeClr w14:val="tx1"/>
            </w14:solidFill>
          </w14:textFill>
        </w:rPr>
        <w:t>……………………………（页码）</w:t>
      </w:r>
    </w:p>
    <w:p w14:paraId="1C3FA846">
      <w:pPr>
        <w:pageBreakBefore w:val="0"/>
        <w:wordWrap/>
        <w:topLinePunct w:val="0"/>
        <w:bidi w:val="0"/>
        <w:spacing w:line="560" w:lineRule="exact"/>
        <w:jc w:val="center"/>
        <w:rPr>
          <w:rFonts w:hint="eastAsia" w:cs="仿宋_GB2312" w:asciiTheme="minorEastAsia" w:hAnsiTheme="minorEastAsia" w:eastAsiaTheme="minorEastAsia"/>
          <w:b/>
          <w:color w:val="000000" w:themeColor="text1"/>
          <w:kern w:val="0"/>
          <w:sz w:val="28"/>
          <w:szCs w:val="28"/>
          <w:highlight w:val="none"/>
          <w14:textFill>
            <w14:solidFill>
              <w14:schemeClr w14:val="tx1"/>
            </w14:solidFill>
          </w14:textFill>
        </w:rPr>
      </w:pPr>
    </w:p>
    <w:p w14:paraId="21CF1937">
      <w:pPr>
        <w:pageBreakBefore w:val="0"/>
        <w:wordWrap/>
        <w:topLinePunct w:val="0"/>
        <w:bidi w:val="0"/>
        <w:spacing w:line="560" w:lineRule="exact"/>
        <w:jc w:val="center"/>
        <w:rPr>
          <w:rFonts w:cs="仿宋_GB2312" w:asciiTheme="minorEastAsia" w:hAnsiTheme="minorEastAsia" w:eastAsiaTheme="minorEastAsia"/>
          <w:b/>
          <w:color w:val="000000" w:themeColor="text1"/>
          <w:kern w:val="0"/>
          <w:sz w:val="28"/>
          <w:szCs w:val="28"/>
          <w:highlight w:val="none"/>
          <w14:textFill>
            <w14:solidFill>
              <w14:schemeClr w14:val="tx1"/>
            </w14:solidFill>
          </w14:textFill>
        </w:rPr>
      </w:pPr>
      <w:r>
        <w:rPr>
          <w:rFonts w:hint="eastAsia" w:cs="仿宋_GB2312" w:asciiTheme="minorEastAsia" w:hAnsiTheme="minorEastAsia" w:eastAsiaTheme="minorEastAsia"/>
          <w:b/>
          <w:color w:val="000000" w:themeColor="text1"/>
          <w:kern w:val="0"/>
          <w:sz w:val="28"/>
          <w:szCs w:val="28"/>
          <w:highlight w:val="none"/>
          <w14:textFill>
            <w14:solidFill>
              <w14:schemeClr w14:val="tx1"/>
            </w14:solidFill>
          </w14:textFill>
        </w:rPr>
        <w:t>技术文件目录</w:t>
      </w:r>
    </w:p>
    <w:p w14:paraId="15FBCD99">
      <w:pPr>
        <w:pStyle w:val="112"/>
        <w:keepNext w:val="0"/>
        <w:keepLines w:val="0"/>
        <w:pageBreakBefore w:val="0"/>
        <w:widowControl w:val="0"/>
        <w:kinsoku/>
        <w:wordWrap/>
        <w:overflowPunct/>
        <w:topLinePunct w:val="0"/>
        <w:autoSpaceDE/>
        <w:autoSpaceDN/>
        <w:bidi w:val="0"/>
        <w:adjustRightInd w:val="0"/>
        <w:snapToGrid/>
        <w:spacing w:line="560" w:lineRule="exact"/>
        <w:ind w:left="0" w:firstLine="0" w:firstLineChars="0"/>
        <w:textAlignment w:val="auto"/>
        <w:rPr>
          <w:rFonts w:cs="仿宋_GB2312" w:asciiTheme="minorEastAsia" w:hAnsiTheme="minorEastAsia" w:eastAsiaTheme="minorEastAsia"/>
          <w:color w:val="000000" w:themeColor="text1"/>
          <w:sz w:val="28"/>
          <w:szCs w:val="28"/>
          <w:highlight w:val="none"/>
          <w14:textFill>
            <w14:solidFill>
              <w14:schemeClr w14:val="tx1"/>
            </w14:solidFill>
          </w14:textFill>
        </w:rPr>
      </w:pPr>
      <w:r>
        <w:rPr>
          <w:rFonts w:hint="eastAsia" w:cs="仿宋_GB2312" w:asciiTheme="minorEastAsia" w:hAnsiTheme="minorEastAsia" w:eastAsiaTheme="minorEastAsia"/>
          <w:color w:val="000000" w:themeColor="text1"/>
          <w:sz w:val="28"/>
          <w:szCs w:val="28"/>
          <w:highlight w:val="none"/>
          <w14:textFill>
            <w14:solidFill>
              <w14:schemeClr w14:val="tx1"/>
            </w14:solidFill>
          </w14:textFill>
        </w:rPr>
        <w:t>一、技术需求偏离表……………………………………………………</w:t>
      </w:r>
      <w:r>
        <w:rPr>
          <w:rFonts w:hint="eastAsia" w:cs="仿宋_GB2312" w:asciiTheme="minorEastAsia" w:hAnsiTheme="minorEastAsia" w:eastAsiaTheme="minorEastAsia"/>
          <w:color w:val="000000" w:themeColor="text1"/>
          <w:kern w:val="0"/>
          <w:sz w:val="28"/>
          <w:szCs w:val="28"/>
          <w:highlight w:val="none"/>
          <w14:textFill>
            <w14:solidFill>
              <w14:schemeClr w14:val="tx1"/>
            </w14:solidFill>
          </w14:textFill>
        </w:rPr>
        <w:t>……</w:t>
      </w:r>
      <w:r>
        <w:rPr>
          <w:rFonts w:hint="eastAsia" w:cs="仿宋_GB2312" w:asciiTheme="minorEastAsia" w:hAnsiTheme="minorEastAsia" w:eastAsiaTheme="minorEastAsia"/>
          <w:color w:val="000000" w:themeColor="text1"/>
          <w:sz w:val="28"/>
          <w:szCs w:val="28"/>
          <w:highlight w:val="none"/>
          <w14:textFill>
            <w14:solidFill>
              <w14:schemeClr w14:val="tx1"/>
            </w14:solidFill>
          </w14:textFill>
        </w:rPr>
        <w:t>（页码）</w:t>
      </w:r>
    </w:p>
    <w:p w14:paraId="3A396625">
      <w:pPr>
        <w:pStyle w:val="112"/>
        <w:keepNext w:val="0"/>
        <w:keepLines w:val="0"/>
        <w:pageBreakBefore w:val="0"/>
        <w:widowControl w:val="0"/>
        <w:kinsoku/>
        <w:wordWrap/>
        <w:overflowPunct/>
        <w:topLinePunct w:val="0"/>
        <w:autoSpaceDE/>
        <w:autoSpaceDN/>
        <w:bidi w:val="0"/>
        <w:adjustRightInd w:val="0"/>
        <w:snapToGrid/>
        <w:spacing w:line="560" w:lineRule="exact"/>
        <w:ind w:left="0" w:firstLine="0" w:firstLineChars="0"/>
        <w:textAlignment w:val="auto"/>
        <w:rPr>
          <w:rFonts w:cs="仿宋_GB2312" w:asciiTheme="minorEastAsia" w:hAnsiTheme="minorEastAsia" w:eastAsiaTheme="minorEastAsia"/>
          <w:color w:val="000000" w:themeColor="text1"/>
          <w:sz w:val="28"/>
          <w:szCs w:val="28"/>
          <w:highlight w:val="none"/>
          <w14:textFill>
            <w14:solidFill>
              <w14:schemeClr w14:val="tx1"/>
            </w14:solidFill>
          </w14:textFill>
        </w:rPr>
      </w:pPr>
      <w:r>
        <w:rPr>
          <w:rFonts w:hint="eastAsia" w:cs="仿宋_GB2312" w:asciiTheme="minorEastAsia" w:hAnsiTheme="minorEastAsia" w:eastAsiaTheme="minorEastAsia"/>
          <w:color w:val="000000" w:themeColor="text1"/>
          <w:sz w:val="28"/>
          <w:szCs w:val="28"/>
          <w:highlight w:val="none"/>
          <w14:textFill>
            <w14:solidFill>
              <w14:schemeClr w14:val="tx1"/>
            </w14:solidFill>
          </w14:textFill>
        </w:rPr>
        <w:t>二、采购清单……………………………………………………………</w:t>
      </w:r>
      <w:r>
        <w:rPr>
          <w:rFonts w:hint="eastAsia" w:cs="仿宋_GB2312" w:asciiTheme="minorEastAsia" w:hAnsiTheme="minorEastAsia" w:eastAsiaTheme="minorEastAsia"/>
          <w:color w:val="000000" w:themeColor="text1"/>
          <w:kern w:val="0"/>
          <w:sz w:val="28"/>
          <w:szCs w:val="28"/>
          <w:highlight w:val="none"/>
          <w14:textFill>
            <w14:solidFill>
              <w14:schemeClr w14:val="tx1"/>
            </w14:solidFill>
          </w14:textFill>
        </w:rPr>
        <w:t>……</w:t>
      </w:r>
      <w:r>
        <w:rPr>
          <w:rFonts w:hint="eastAsia" w:cs="仿宋_GB2312" w:asciiTheme="minorEastAsia" w:hAnsiTheme="minorEastAsia" w:eastAsiaTheme="minorEastAsia"/>
          <w:color w:val="000000" w:themeColor="text1"/>
          <w:sz w:val="28"/>
          <w:szCs w:val="28"/>
          <w:highlight w:val="none"/>
          <w14:textFill>
            <w14:solidFill>
              <w14:schemeClr w14:val="tx1"/>
            </w14:solidFill>
          </w14:textFill>
        </w:rPr>
        <w:t>（页码）</w:t>
      </w:r>
    </w:p>
    <w:p w14:paraId="57C215F8">
      <w:pPr>
        <w:pStyle w:val="112"/>
        <w:keepNext w:val="0"/>
        <w:keepLines w:val="0"/>
        <w:pageBreakBefore w:val="0"/>
        <w:widowControl w:val="0"/>
        <w:kinsoku/>
        <w:wordWrap/>
        <w:overflowPunct/>
        <w:topLinePunct w:val="0"/>
        <w:autoSpaceDE/>
        <w:autoSpaceDN/>
        <w:bidi w:val="0"/>
        <w:adjustRightInd w:val="0"/>
        <w:snapToGrid/>
        <w:spacing w:line="560" w:lineRule="exact"/>
        <w:ind w:left="0" w:firstLine="0" w:firstLineChars="0"/>
        <w:textAlignment w:val="auto"/>
        <w:rPr>
          <w:rFonts w:cs="仿宋_GB2312" w:asciiTheme="minorEastAsia" w:hAnsiTheme="minorEastAsia" w:eastAsiaTheme="minorEastAsia"/>
          <w:color w:val="000000" w:themeColor="text1"/>
          <w:sz w:val="28"/>
          <w:szCs w:val="28"/>
          <w:highlight w:val="none"/>
          <w14:textFill>
            <w14:solidFill>
              <w14:schemeClr w14:val="tx1"/>
            </w14:solidFill>
          </w14:textFill>
        </w:rPr>
      </w:pPr>
      <w:r>
        <w:rPr>
          <w:rFonts w:hint="eastAsia" w:cs="仿宋_GB2312" w:asciiTheme="minorEastAsia" w:hAnsiTheme="minorEastAsia" w:eastAsiaTheme="minorEastAsia"/>
          <w:color w:val="000000" w:themeColor="text1"/>
          <w:sz w:val="28"/>
          <w:szCs w:val="28"/>
          <w:highlight w:val="none"/>
          <w14:textFill>
            <w14:solidFill>
              <w14:schemeClr w14:val="tx1"/>
            </w14:solidFill>
          </w14:textFill>
        </w:rPr>
        <w:t>三、产品及性能…………………………………………………………</w:t>
      </w:r>
      <w:r>
        <w:rPr>
          <w:rFonts w:hint="eastAsia" w:cs="仿宋_GB2312" w:asciiTheme="minorEastAsia" w:hAnsiTheme="minorEastAsia" w:eastAsiaTheme="minorEastAsia"/>
          <w:color w:val="000000" w:themeColor="text1"/>
          <w:kern w:val="0"/>
          <w:sz w:val="28"/>
          <w:szCs w:val="28"/>
          <w:highlight w:val="none"/>
          <w14:textFill>
            <w14:solidFill>
              <w14:schemeClr w14:val="tx1"/>
            </w14:solidFill>
          </w14:textFill>
        </w:rPr>
        <w:t>……</w:t>
      </w:r>
      <w:r>
        <w:rPr>
          <w:rFonts w:hint="eastAsia" w:cs="仿宋_GB2312" w:asciiTheme="minorEastAsia" w:hAnsiTheme="minorEastAsia" w:eastAsiaTheme="minorEastAsia"/>
          <w:color w:val="000000" w:themeColor="text1"/>
          <w:sz w:val="28"/>
          <w:szCs w:val="28"/>
          <w:highlight w:val="none"/>
          <w14:textFill>
            <w14:solidFill>
              <w14:schemeClr w14:val="tx1"/>
            </w14:solidFill>
          </w14:textFill>
        </w:rPr>
        <w:t>（页码）</w:t>
      </w:r>
    </w:p>
    <w:p w14:paraId="118846CF">
      <w:pPr>
        <w:pStyle w:val="112"/>
        <w:keepNext w:val="0"/>
        <w:keepLines w:val="0"/>
        <w:pageBreakBefore w:val="0"/>
        <w:widowControl w:val="0"/>
        <w:kinsoku/>
        <w:wordWrap/>
        <w:overflowPunct/>
        <w:topLinePunct w:val="0"/>
        <w:autoSpaceDE/>
        <w:autoSpaceDN/>
        <w:bidi w:val="0"/>
        <w:adjustRightInd w:val="0"/>
        <w:snapToGrid/>
        <w:spacing w:line="560" w:lineRule="exact"/>
        <w:ind w:left="0" w:firstLine="0" w:firstLineChars="0"/>
        <w:textAlignment w:val="auto"/>
        <w:rPr>
          <w:rFonts w:cs="仿宋_GB2312" w:asciiTheme="minorEastAsia" w:hAnsiTheme="minorEastAsia" w:eastAsiaTheme="minorEastAsia"/>
          <w:color w:val="000000" w:themeColor="text1"/>
          <w:sz w:val="28"/>
          <w:szCs w:val="28"/>
          <w:highlight w:val="none"/>
          <w14:textFill>
            <w14:solidFill>
              <w14:schemeClr w14:val="tx1"/>
            </w14:solidFill>
          </w14:textFill>
        </w:rPr>
      </w:pPr>
      <w:r>
        <w:rPr>
          <w:rFonts w:hint="eastAsia" w:cs="仿宋_GB2312" w:asciiTheme="minorEastAsia" w:hAnsiTheme="minorEastAsia" w:eastAsiaTheme="minorEastAsia"/>
          <w:color w:val="000000" w:themeColor="text1"/>
          <w:sz w:val="28"/>
          <w:szCs w:val="28"/>
          <w:highlight w:val="none"/>
          <w14:textFill>
            <w14:solidFill>
              <w14:schemeClr w14:val="tx1"/>
            </w14:solidFill>
          </w14:textFill>
        </w:rPr>
        <w:t>四、</w:t>
      </w:r>
      <w:r>
        <w:rPr>
          <w:rFonts w:hint="eastAsia" w:cs="仿宋_GB2312" w:asciiTheme="minorEastAsia" w:hAnsiTheme="minorEastAsia" w:eastAsiaTheme="minorEastAsia"/>
          <w:color w:val="000000" w:themeColor="text1"/>
          <w:sz w:val="28"/>
          <w:szCs w:val="28"/>
          <w:highlight w:val="none"/>
          <w:lang w:eastAsia="zh-CN"/>
          <w14:textFill>
            <w14:solidFill>
              <w14:schemeClr w14:val="tx1"/>
            </w14:solidFill>
          </w14:textFill>
        </w:rPr>
        <w:t>技术方案</w:t>
      </w:r>
      <w:r>
        <w:rPr>
          <w:rFonts w:hint="eastAsia" w:cs="仿宋_GB2312" w:asciiTheme="minorEastAsia" w:hAnsiTheme="minorEastAsia" w:eastAsiaTheme="minorEastAsia"/>
          <w:color w:val="000000" w:themeColor="text1"/>
          <w:sz w:val="28"/>
          <w:szCs w:val="28"/>
          <w:highlight w:val="none"/>
          <w14:textFill>
            <w14:solidFill>
              <w14:schemeClr w14:val="tx1"/>
            </w14:solidFill>
          </w14:textFill>
        </w:rPr>
        <w:t>……………………………………………………………</w:t>
      </w:r>
      <w:r>
        <w:rPr>
          <w:rFonts w:hint="eastAsia" w:cs="仿宋_GB2312" w:asciiTheme="minorEastAsia" w:hAnsiTheme="minorEastAsia" w:eastAsiaTheme="minorEastAsia"/>
          <w:color w:val="000000" w:themeColor="text1"/>
          <w:kern w:val="0"/>
          <w:sz w:val="28"/>
          <w:szCs w:val="28"/>
          <w:highlight w:val="none"/>
          <w14:textFill>
            <w14:solidFill>
              <w14:schemeClr w14:val="tx1"/>
            </w14:solidFill>
          </w14:textFill>
        </w:rPr>
        <w:t>……</w:t>
      </w:r>
      <w:r>
        <w:rPr>
          <w:rFonts w:hint="eastAsia" w:cs="仿宋_GB2312" w:asciiTheme="minorEastAsia" w:hAnsiTheme="minorEastAsia" w:eastAsiaTheme="minorEastAsia"/>
          <w:color w:val="000000" w:themeColor="text1"/>
          <w:sz w:val="28"/>
          <w:szCs w:val="28"/>
          <w:highlight w:val="none"/>
          <w14:textFill>
            <w14:solidFill>
              <w14:schemeClr w14:val="tx1"/>
            </w14:solidFill>
          </w14:textFill>
        </w:rPr>
        <w:t>（页码）</w:t>
      </w:r>
    </w:p>
    <w:p w14:paraId="1C81D3F8">
      <w:pPr>
        <w:pStyle w:val="112"/>
        <w:keepNext w:val="0"/>
        <w:keepLines w:val="0"/>
        <w:pageBreakBefore w:val="0"/>
        <w:widowControl w:val="0"/>
        <w:kinsoku/>
        <w:wordWrap/>
        <w:overflowPunct/>
        <w:topLinePunct w:val="0"/>
        <w:autoSpaceDE/>
        <w:autoSpaceDN/>
        <w:bidi w:val="0"/>
        <w:adjustRightInd w:val="0"/>
        <w:snapToGrid/>
        <w:spacing w:line="560" w:lineRule="exact"/>
        <w:ind w:left="0" w:firstLine="0" w:firstLineChars="0"/>
        <w:textAlignment w:val="auto"/>
        <w:rPr>
          <w:rFonts w:cs="仿宋_GB2312" w:asciiTheme="minorEastAsia" w:hAnsiTheme="minorEastAsia" w:eastAsiaTheme="minorEastAsia"/>
          <w:color w:val="000000" w:themeColor="text1"/>
          <w:sz w:val="28"/>
          <w:szCs w:val="28"/>
          <w:highlight w:val="none"/>
          <w14:textFill>
            <w14:solidFill>
              <w14:schemeClr w14:val="tx1"/>
            </w14:solidFill>
          </w14:textFill>
        </w:rPr>
      </w:pPr>
      <w:r>
        <w:rPr>
          <w:rFonts w:hint="eastAsia" w:cs="仿宋_GB2312" w:asciiTheme="minorEastAsia" w:hAnsiTheme="minorEastAsia" w:eastAsiaTheme="minorEastAsia"/>
          <w:color w:val="000000" w:themeColor="text1"/>
          <w:sz w:val="28"/>
          <w:szCs w:val="28"/>
          <w:highlight w:val="none"/>
          <w:lang w:eastAsia="zh-CN"/>
          <w14:textFill>
            <w14:solidFill>
              <w14:schemeClr w14:val="tx1"/>
            </w14:solidFill>
          </w14:textFill>
        </w:rPr>
        <w:t>五</w:t>
      </w:r>
      <w:r>
        <w:rPr>
          <w:rFonts w:hint="eastAsia" w:cs="仿宋_GB2312" w:asciiTheme="minorEastAsia" w:hAnsiTheme="minorEastAsia" w:eastAsiaTheme="minorEastAsia"/>
          <w:color w:val="000000" w:themeColor="text1"/>
          <w:sz w:val="28"/>
          <w:szCs w:val="28"/>
          <w:highlight w:val="none"/>
          <w14:textFill>
            <w14:solidFill>
              <w14:schemeClr w14:val="tx1"/>
            </w14:solidFill>
          </w14:textFill>
        </w:rPr>
        <w:t>、</w:t>
      </w:r>
      <w:r>
        <w:rPr>
          <w:rFonts w:hint="eastAsia" w:cs="仿宋_GB2312" w:asciiTheme="minorEastAsia" w:hAnsiTheme="minorEastAsia" w:eastAsiaTheme="minorEastAsia"/>
          <w:color w:val="000000" w:themeColor="text1"/>
          <w:sz w:val="28"/>
          <w:szCs w:val="28"/>
          <w:highlight w:val="none"/>
          <w:lang w:eastAsia="zh-CN"/>
          <w14:textFill>
            <w14:solidFill>
              <w14:schemeClr w14:val="tx1"/>
            </w14:solidFill>
          </w14:textFill>
        </w:rPr>
        <w:t>供应商</w:t>
      </w:r>
      <w:r>
        <w:rPr>
          <w:rFonts w:hint="eastAsia" w:cs="仿宋_GB2312" w:asciiTheme="minorEastAsia" w:hAnsiTheme="minorEastAsia" w:eastAsiaTheme="minorEastAsia"/>
          <w:color w:val="000000" w:themeColor="text1"/>
          <w:sz w:val="28"/>
          <w:szCs w:val="28"/>
          <w:highlight w:val="none"/>
          <w14:textFill>
            <w14:solidFill>
              <w14:schemeClr w14:val="tx1"/>
            </w14:solidFill>
          </w14:textFill>
        </w:rPr>
        <w:t>认为需要的其他技术文件或说明（如有）</w:t>
      </w:r>
      <w:r>
        <w:rPr>
          <w:rFonts w:hint="eastAsia" w:cs="仿宋_GB2312" w:asciiTheme="minorEastAsia" w:hAnsiTheme="minorEastAsia" w:eastAsiaTheme="minorEastAsia"/>
          <w:color w:val="000000" w:themeColor="text1"/>
          <w:sz w:val="28"/>
          <w:szCs w:val="28"/>
          <w:highlight w:val="none"/>
          <w:lang w:val="zh-CN"/>
          <w14:textFill>
            <w14:solidFill>
              <w14:schemeClr w14:val="tx1"/>
            </w14:solidFill>
          </w14:textFill>
        </w:rPr>
        <w:t>………………</w:t>
      </w:r>
      <w:r>
        <w:rPr>
          <w:rFonts w:hint="eastAsia" w:cs="仿宋_GB2312" w:asciiTheme="minorEastAsia" w:hAnsiTheme="minorEastAsia" w:eastAsiaTheme="minorEastAsia"/>
          <w:color w:val="000000" w:themeColor="text1"/>
          <w:kern w:val="0"/>
          <w:sz w:val="28"/>
          <w:szCs w:val="28"/>
          <w:highlight w:val="none"/>
          <w14:textFill>
            <w14:solidFill>
              <w14:schemeClr w14:val="tx1"/>
            </w14:solidFill>
          </w14:textFill>
        </w:rPr>
        <w:t>……</w:t>
      </w:r>
      <w:r>
        <w:rPr>
          <w:rFonts w:hint="eastAsia" w:cs="仿宋_GB2312" w:asciiTheme="minorEastAsia" w:hAnsiTheme="minorEastAsia" w:eastAsiaTheme="minorEastAsia"/>
          <w:color w:val="000000" w:themeColor="text1"/>
          <w:sz w:val="28"/>
          <w:szCs w:val="28"/>
          <w:highlight w:val="none"/>
          <w14:textFill>
            <w14:solidFill>
              <w14:schemeClr w14:val="tx1"/>
            </w14:solidFill>
          </w14:textFill>
        </w:rPr>
        <w:t>（页码）</w:t>
      </w:r>
    </w:p>
    <w:p w14:paraId="67ABC9FD">
      <w:pPr>
        <w:pageBreakBefore w:val="0"/>
        <w:wordWrap/>
        <w:topLinePunct w:val="0"/>
        <w:bidi w:val="0"/>
        <w:spacing w:line="560" w:lineRule="exact"/>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p>
    <w:p w14:paraId="486428B9">
      <w:pPr>
        <w:keepNext w:val="0"/>
        <w:keepLines w:val="0"/>
        <w:pageBreakBefore w:val="0"/>
        <w:widowControl w:val="0"/>
        <w:kinsoku/>
        <w:wordWrap/>
        <w:overflowPunct/>
        <w:topLinePunct w:val="0"/>
        <w:autoSpaceDE/>
        <w:autoSpaceDN/>
        <w:bidi w:val="0"/>
        <w:adjustRightInd/>
        <w:snapToGrid/>
        <w:spacing w:line="440" w:lineRule="exact"/>
        <w:textAlignment w:val="auto"/>
        <w:rPr>
          <w:rFonts w:cs="仿宋_GB2312" w:asciiTheme="minorEastAsia" w:hAnsiTheme="minorEastAsia" w:eastAsiaTheme="minorEastAsia"/>
          <w:b/>
          <w:bCs/>
          <w:color w:val="000000" w:themeColor="text1"/>
          <w:sz w:val="28"/>
          <w:szCs w:val="28"/>
          <w:highlight w:val="none"/>
          <w14:textFill>
            <w14:solidFill>
              <w14:schemeClr w14:val="tx1"/>
            </w14:solidFill>
          </w14:textFill>
        </w:rPr>
      </w:pPr>
      <w:r>
        <w:rPr>
          <w:rFonts w:hint="eastAsia" w:cs="仿宋_GB2312" w:asciiTheme="minorEastAsia" w:hAnsiTheme="minorEastAsia" w:eastAsiaTheme="minorEastAsia"/>
          <w:b/>
          <w:bCs/>
          <w:color w:val="000000" w:themeColor="text1"/>
          <w:sz w:val="28"/>
          <w:szCs w:val="28"/>
          <w:highlight w:val="none"/>
          <w14:textFill>
            <w14:solidFill>
              <w14:schemeClr w14:val="tx1"/>
            </w14:solidFill>
          </w14:textFill>
        </w:rPr>
        <w:t>注：以上目录是基本格式要求，各</w:t>
      </w:r>
      <w:r>
        <w:rPr>
          <w:rFonts w:hint="eastAsia" w:cs="仿宋_GB2312" w:asciiTheme="minorEastAsia" w:hAnsiTheme="minorEastAsia" w:eastAsiaTheme="minorEastAsia"/>
          <w:b/>
          <w:bCs/>
          <w:color w:val="000000" w:themeColor="text1"/>
          <w:sz w:val="28"/>
          <w:szCs w:val="28"/>
          <w:highlight w:val="none"/>
          <w:lang w:eastAsia="zh-CN"/>
          <w14:textFill>
            <w14:solidFill>
              <w14:schemeClr w14:val="tx1"/>
            </w14:solidFill>
          </w14:textFill>
        </w:rPr>
        <w:t>供应商</w:t>
      </w:r>
      <w:r>
        <w:rPr>
          <w:rFonts w:hint="eastAsia" w:cs="仿宋_GB2312" w:asciiTheme="minorEastAsia" w:hAnsiTheme="minorEastAsia" w:eastAsiaTheme="minorEastAsia"/>
          <w:b/>
          <w:bCs/>
          <w:color w:val="000000" w:themeColor="text1"/>
          <w:sz w:val="28"/>
          <w:szCs w:val="28"/>
          <w:highlight w:val="none"/>
          <w14:textFill>
            <w14:solidFill>
              <w14:schemeClr w14:val="tx1"/>
            </w14:solidFill>
          </w14:textFill>
        </w:rPr>
        <w:t>可根据自身情况进一步向下增加内容或细化。</w:t>
      </w:r>
    </w:p>
    <w:p w14:paraId="3503C502">
      <w:pPr>
        <w:pageBreakBefore w:val="0"/>
        <w:widowControl/>
        <w:wordWrap/>
        <w:topLinePunct w:val="0"/>
        <w:bidi w:val="0"/>
        <w:spacing w:line="560" w:lineRule="exact"/>
        <w:jc w:val="left"/>
        <w:rPr>
          <w:rFonts w:asciiTheme="minorEastAsia" w:hAnsiTheme="minorEastAsia" w:eastAsiaTheme="minorEastAsia"/>
          <w:color w:val="000000" w:themeColor="text1"/>
          <w:sz w:val="30"/>
          <w:szCs w:val="20"/>
          <w:highlight w:val="none"/>
          <w14:textFill>
            <w14:solidFill>
              <w14:schemeClr w14:val="tx1"/>
            </w14:solidFill>
          </w14:textFill>
        </w:rPr>
        <w:sectPr>
          <w:pgSz w:w="11906" w:h="16838"/>
          <w:pgMar w:top="1134" w:right="1134" w:bottom="1134" w:left="1134" w:header="720" w:footer="720" w:gutter="0"/>
          <w:pgNumType w:fmt="decimal"/>
          <w:cols w:space="720" w:num="1"/>
          <w:docGrid w:type="lines" w:linePitch="331" w:charSpace="0"/>
        </w:sectPr>
      </w:pPr>
    </w:p>
    <w:p w14:paraId="5DEF7B78">
      <w:pPr>
        <w:pStyle w:val="4"/>
        <w:keepNext w:val="0"/>
        <w:keepLines w:val="0"/>
        <w:pageBreakBefore w:val="0"/>
        <w:wordWrap/>
        <w:topLinePunct w:val="0"/>
        <w:bidi w:val="0"/>
        <w:spacing w:line="560" w:lineRule="exact"/>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第</w:t>
      </w:r>
      <w:r>
        <w:rPr>
          <w:rFonts w:hint="eastAsia"/>
          <w:color w:val="000000" w:themeColor="text1"/>
          <w:highlight w:val="none"/>
          <w:lang w:eastAsia="zh-CN"/>
          <w14:textFill>
            <w14:solidFill>
              <w14:schemeClr w14:val="tx1"/>
            </w14:solidFill>
          </w14:textFill>
        </w:rPr>
        <w:t>一</w:t>
      </w:r>
      <w:r>
        <w:rPr>
          <w:rFonts w:hint="eastAsia"/>
          <w:color w:val="000000" w:themeColor="text1"/>
          <w:highlight w:val="none"/>
          <w14:textFill>
            <w14:solidFill>
              <w14:schemeClr w14:val="tx1"/>
            </w14:solidFill>
          </w14:textFill>
        </w:rPr>
        <w:t>节 资格证明文件格式</w:t>
      </w:r>
    </w:p>
    <w:p w14:paraId="63E48E10">
      <w:pPr>
        <w:pStyle w:val="17"/>
        <w:pageBreakBefore w:val="0"/>
        <w:wordWrap/>
        <w:topLinePunct w:val="0"/>
        <w:bidi w:val="0"/>
        <w:spacing w:line="560" w:lineRule="exact"/>
        <w:rPr>
          <w:rFonts w:hint="eastAsia"/>
          <w:color w:val="000000" w:themeColor="text1"/>
          <w:highlight w:val="none"/>
          <w14:textFill>
            <w14:solidFill>
              <w14:schemeClr w14:val="tx1"/>
            </w14:solidFill>
          </w14:textFill>
        </w:rPr>
      </w:pPr>
    </w:p>
    <w:p w14:paraId="25B9BAF6">
      <w:pPr>
        <w:pStyle w:val="17"/>
        <w:keepNext w:val="0"/>
        <w:keepLines w:val="0"/>
        <w:pageBreakBefore w:val="0"/>
        <w:kinsoku/>
        <w:wordWrap/>
        <w:overflowPunct/>
        <w:topLinePunct w:val="0"/>
        <w:autoSpaceDE/>
        <w:autoSpaceDN/>
        <w:bidi w:val="0"/>
        <w:adjustRightInd/>
        <w:snapToGrid/>
        <w:spacing w:line="560" w:lineRule="exact"/>
        <w:ind w:right="0" w:firstLine="0" w:firstLineChars="0"/>
        <w:jc w:val="both"/>
        <w:textAlignment w:val="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一、合法有效的法人营业执照</w:t>
      </w:r>
    </w:p>
    <w:p w14:paraId="0DF9A8EA">
      <w:pPr>
        <w:keepNext w:val="0"/>
        <w:keepLines w:val="0"/>
        <w:pageBreakBefore w:val="0"/>
        <w:kinsoku/>
        <w:wordWrap/>
        <w:overflowPunct/>
        <w:topLinePunct w:val="0"/>
        <w:bidi w:val="0"/>
        <w:adjustRightInd/>
        <w:snapToGrid/>
        <w:spacing w:line="560" w:lineRule="exact"/>
        <w:ind w:left="0" w:leftChars="0" w:firstLine="0" w:firstLineChars="0"/>
        <w:textAlignment w:val="auto"/>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附：企业营业执照</w:t>
      </w:r>
    </w:p>
    <w:p w14:paraId="5C9DBF80">
      <w:pPr>
        <w:pStyle w:val="17"/>
        <w:keepNext w:val="0"/>
        <w:keepLines w:val="0"/>
        <w:pageBreakBefore w:val="0"/>
        <w:kinsoku/>
        <w:wordWrap/>
        <w:overflowPunct/>
        <w:topLinePunct w:val="0"/>
        <w:autoSpaceDE/>
        <w:autoSpaceDN/>
        <w:bidi w:val="0"/>
        <w:adjustRightInd/>
        <w:snapToGrid/>
        <w:spacing w:line="560" w:lineRule="exact"/>
        <w:ind w:right="0" w:firstLine="0" w:firstLineChars="0"/>
        <w:jc w:val="both"/>
        <w:textAlignment w:val="auto"/>
        <w:rPr>
          <w:color w:val="000000" w:themeColor="text1"/>
          <w:highlight w:val="none"/>
          <w14:textFill>
            <w14:solidFill>
              <w14:schemeClr w14:val="tx1"/>
            </w14:solidFill>
          </w14:textFill>
        </w:rPr>
      </w:pPr>
    </w:p>
    <w:p w14:paraId="0041AE73">
      <w:pPr>
        <w:pStyle w:val="17"/>
        <w:keepNext w:val="0"/>
        <w:keepLines w:val="0"/>
        <w:pageBreakBefore w:val="0"/>
        <w:kinsoku/>
        <w:wordWrap/>
        <w:overflowPunct/>
        <w:topLinePunct w:val="0"/>
        <w:autoSpaceDE/>
        <w:autoSpaceDN/>
        <w:bidi w:val="0"/>
        <w:adjustRightInd/>
        <w:snapToGrid/>
        <w:spacing w:line="560" w:lineRule="exact"/>
        <w:ind w:right="0" w:firstLine="0" w:firstLineChars="0"/>
        <w:jc w:val="both"/>
        <w:textAlignment w:val="auto"/>
        <w:rPr>
          <w:color w:val="000000" w:themeColor="text1"/>
          <w:highlight w:val="none"/>
          <w14:textFill>
            <w14:solidFill>
              <w14:schemeClr w14:val="tx1"/>
            </w14:solidFill>
          </w14:textFill>
        </w:rPr>
      </w:pPr>
    </w:p>
    <w:p w14:paraId="69C35E39">
      <w:pPr>
        <w:pStyle w:val="17"/>
        <w:keepNext w:val="0"/>
        <w:keepLines w:val="0"/>
        <w:pageBreakBefore w:val="0"/>
        <w:kinsoku/>
        <w:wordWrap/>
        <w:overflowPunct/>
        <w:topLinePunct w:val="0"/>
        <w:autoSpaceDE/>
        <w:autoSpaceDN/>
        <w:bidi w:val="0"/>
        <w:adjustRightInd/>
        <w:snapToGrid/>
        <w:spacing w:line="560" w:lineRule="exact"/>
        <w:ind w:right="0" w:firstLine="0" w:firstLineChars="0"/>
        <w:jc w:val="both"/>
        <w:textAlignment w:val="auto"/>
        <w:rPr>
          <w:color w:val="000000" w:themeColor="text1"/>
          <w:highlight w:val="none"/>
          <w14:textFill>
            <w14:solidFill>
              <w14:schemeClr w14:val="tx1"/>
            </w14:solidFill>
          </w14:textFill>
        </w:rPr>
      </w:pPr>
    </w:p>
    <w:p w14:paraId="387E5843">
      <w:pPr>
        <w:pStyle w:val="17"/>
        <w:keepNext w:val="0"/>
        <w:keepLines w:val="0"/>
        <w:pageBreakBefore w:val="0"/>
        <w:kinsoku/>
        <w:wordWrap/>
        <w:overflowPunct/>
        <w:topLinePunct w:val="0"/>
        <w:autoSpaceDE/>
        <w:autoSpaceDN/>
        <w:bidi w:val="0"/>
        <w:adjustRightInd/>
        <w:snapToGrid/>
        <w:spacing w:line="560" w:lineRule="exact"/>
        <w:ind w:right="0" w:firstLine="0" w:firstLineChars="0"/>
        <w:jc w:val="both"/>
        <w:textAlignment w:val="auto"/>
        <w:rPr>
          <w:color w:val="000000" w:themeColor="text1"/>
          <w:highlight w:val="none"/>
          <w14:textFill>
            <w14:solidFill>
              <w14:schemeClr w14:val="tx1"/>
            </w14:solidFill>
          </w14:textFill>
        </w:rPr>
      </w:pPr>
    </w:p>
    <w:p w14:paraId="6748B163">
      <w:pPr>
        <w:pStyle w:val="17"/>
        <w:keepNext w:val="0"/>
        <w:keepLines w:val="0"/>
        <w:pageBreakBefore w:val="0"/>
        <w:kinsoku/>
        <w:wordWrap/>
        <w:overflowPunct/>
        <w:topLinePunct w:val="0"/>
        <w:autoSpaceDE/>
        <w:autoSpaceDN/>
        <w:bidi w:val="0"/>
        <w:adjustRightInd/>
        <w:snapToGrid/>
        <w:spacing w:line="560" w:lineRule="exact"/>
        <w:ind w:right="0" w:firstLine="0" w:firstLineChars="0"/>
        <w:jc w:val="both"/>
        <w:textAlignment w:val="auto"/>
        <w:rPr>
          <w:color w:val="000000" w:themeColor="text1"/>
          <w:highlight w:val="none"/>
          <w14:textFill>
            <w14:solidFill>
              <w14:schemeClr w14:val="tx1"/>
            </w14:solidFill>
          </w14:textFill>
        </w:rPr>
      </w:pPr>
    </w:p>
    <w:p w14:paraId="75FD4669">
      <w:pPr>
        <w:pStyle w:val="17"/>
        <w:keepNext w:val="0"/>
        <w:keepLines w:val="0"/>
        <w:pageBreakBefore w:val="0"/>
        <w:kinsoku/>
        <w:wordWrap/>
        <w:overflowPunct/>
        <w:topLinePunct w:val="0"/>
        <w:autoSpaceDE/>
        <w:autoSpaceDN/>
        <w:bidi w:val="0"/>
        <w:adjustRightInd/>
        <w:snapToGrid/>
        <w:spacing w:line="560" w:lineRule="exact"/>
        <w:ind w:right="0" w:firstLine="0" w:firstLineChars="0"/>
        <w:jc w:val="both"/>
        <w:textAlignment w:val="auto"/>
        <w:rPr>
          <w:color w:val="000000" w:themeColor="text1"/>
          <w:highlight w:val="none"/>
          <w14:textFill>
            <w14:solidFill>
              <w14:schemeClr w14:val="tx1"/>
            </w14:solidFill>
          </w14:textFill>
        </w:rPr>
      </w:pPr>
    </w:p>
    <w:p w14:paraId="4093924B">
      <w:pPr>
        <w:pStyle w:val="17"/>
        <w:keepNext w:val="0"/>
        <w:keepLines w:val="0"/>
        <w:pageBreakBefore w:val="0"/>
        <w:kinsoku/>
        <w:wordWrap/>
        <w:overflowPunct/>
        <w:topLinePunct w:val="0"/>
        <w:autoSpaceDE/>
        <w:autoSpaceDN/>
        <w:bidi w:val="0"/>
        <w:adjustRightInd/>
        <w:snapToGrid/>
        <w:spacing w:line="560" w:lineRule="exact"/>
        <w:ind w:right="0" w:firstLine="0" w:firstLineChars="0"/>
        <w:jc w:val="both"/>
        <w:textAlignment w:val="auto"/>
        <w:rPr>
          <w:color w:val="000000" w:themeColor="text1"/>
          <w:highlight w:val="none"/>
          <w14:textFill>
            <w14:solidFill>
              <w14:schemeClr w14:val="tx1"/>
            </w14:solidFill>
          </w14:textFill>
        </w:rPr>
      </w:pPr>
    </w:p>
    <w:p w14:paraId="293BBD2C">
      <w:pPr>
        <w:pStyle w:val="17"/>
        <w:keepNext w:val="0"/>
        <w:keepLines w:val="0"/>
        <w:pageBreakBefore w:val="0"/>
        <w:kinsoku/>
        <w:wordWrap/>
        <w:overflowPunct/>
        <w:topLinePunct w:val="0"/>
        <w:autoSpaceDE/>
        <w:autoSpaceDN/>
        <w:bidi w:val="0"/>
        <w:adjustRightInd/>
        <w:snapToGrid/>
        <w:spacing w:line="560" w:lineRule="exact"/>
        <w:ind w:right="0" w:firstLine="0" w:firstLineChars="0"/>
        <w:jc w:val="both"/>
        <w:textAlignment w:val="auto"/>
        <w:rPr>
          <w:color w:val="000000" w:themeColor="text1"/>
          <w:highlight w:val="none"/>
          <w14:textFill>
            <w14:solidFill>
              <w14:schemeClr w14:val="tx1"/>
            </w14:solidFill>
          </w14:textFill>
        </w:rPr>
      </w:pPr>
    </w:p>
    <w:p w14:paraId="15F34A19">
      <w:pPr>
        <w:pStyle w:val="17"/>
        <w:keepNext w:val="0"/>
        <w:keepLines w:val="0"/>
        <w:pageBreakBefore w:val="0"/>
        <w:kinsoku/>
        <w:wordWrap/>
        <w:overflowPunct/>
        <w:topLinePunct w:val="0"/>
        <w:autoSpaceDE/>
        <w:autoSpaceDN/>
        <w:bidi w:val="0"/>
        <w:adjustRightInd/>
        <w:snapToGrid/>
        <w:spacing w:line="560" w:lineRule="exact"/>
        <w:ind w:right="0" w:firstLine="0" w:firstLineChars="0"/>
        <w:jc w:val="both"/>
        <w:textAlignment w:val="auto"/>
        <w:rPr>
          <w:color w:val="000000" w:themeColor="text1"/>
          <w:highlight w:val="none"/>
          <w14:textFill>
            <w14:solidFill>
              <w14:schemeClr w14:val="tx1"/>
            </w14:solidFill>
          </w14:textFill>
        </w:rPr>
      </w:pPr>
    </w:p>
    <w:p w14:paraId="7BF1253E">
      <w:pPr>
        <w:pStyle w:val="17"/>
        <w:keepNext w:val="0"/>
        <w:keepLines w:val="0"/>
        <w:pageBreakBefore w:val="0"/>
        <w:kinsoku/>
        <w:wordWrap/>
        <w:overflowPunct/>
        <w:topLinePunct w:val="0"/>
        <w:autoSpaceDE/>
        <w:autoSpaceDN/>
        <w:bidi w:val="0"/>
        <w:adjustRightInd/>
        <w:snapToGrid/>
        <w:spacing w:line="560" w:lineRule="exact"/>
        <w:ind w:right="0" w:firstLine="0" w:firstLineChars="0"/>
        <w:jc w:val="both"/>
        <w:textAlignment w:val="auto"/>
        <w:rPr>
          <w:color w:val="000000" w:themeColor="text1"/>
          <w:highlight w:val="none"/>
          <w14:textFill>
            <w14:solidFill>
              <w14:schemeClr w14:val="tx1"/>
            </w14:solidFill>
          </w14:textFill>
        </w:rPr>
      </w:pPr>
    </w:p>
    <w:p w14:paraId="6E9CA6AB">
      <w:pPr>
        <w:pStyle w:val="17"/>
        <w:keepNext w:val="0"/>
        <w:keepLines w:val="0"/>
        <w:pageBreakBefore w:val="0"/>
        <w:kinsoku/>
        <w:wordWrap/>
        <w:overflowPunct/>
        <w:topLinePunct w:val="0"/>
        <w:autoSpaceDE/>
        <w:autoSpaceDN/>
        <w:bidi w:val="0"/>
        <w:adjustRightInd/>
        <w:snapToGrid/>
        <w:spacing w:line="560" w:lineRule="exact"/>
        <w:ind w:right="0" w:firstLine="0" w:firstLineChars="0"/>
        <w:jc w:val="both"/>
        <w:textAlignment w:val="auto"/>
        <w:rPr>
          <w:color w:val="000000" w:themeColor="text1"/>
          <w:highlight w:val="none"/>
          <w14:textFill>
            <w14:solidFill>
              <w14:schemeClr w14:val="tx1"/>
            </w14:solidFill>
          </w14:textFill>
        </w:rPr>
      </w:pPr>
    </w:p>
    <w:p w14:paraId="541DDD1C">
      <w:pPr>
        <w:pStyle w:val="17"/>
        <w:keepNext w:val="0"/>
        <w:keepLines w:val="0"/>
        <w:pageBreakBefore w:val="0"/>
        <w:kinsoku/>
        <w:wordWrap/>
        <w:overflowPunct/>
        <w:topLinePunct w:val="0"/>
        <w:autoSpaceDE/>
        <w:autoSpaceDN/>
        <w:bidi w:val="0"/>
        <w:adjustRightInd/>
        <w:snapToGrid/>
        <w:spacing w:line="560" w:lineRule="exact"/>
        <w:ind w:right="0" w:firstLine="0" w:firstLineChars="0"/>
        <w:jc w:val="both"/>
        <w:textAlignment w:val="auto"/>
        <w:rPr>
          <w:color w:val="000000" w:themeColor="text1"/>
          <w:highlight w:val="none"/>
          <w14:textFill>
            <w14:solidFill>
              <w14:schemeClr w14:val="tx1"/>
            </w14:solidFill>
          </w14:textFill>
        </w:rPr>
      </w:pPr>
    </w:p>
    <w:p w14:paraId="40DA2E62">
      <w:pPr>
        <w:pStyle w:val="17"/>
        <w:keepNext w:val="0"/>
        <w:keepLines w:val="0"/>
        <w:pageBreakBefore w:val="0"/>
        <w:kinsoku/>
        <w:wordWrap/>
        <w:overflowPunct/>
        <w:topLinePunct w:val="0"/>
        <w:autoSpaceDE/>
        <w:autoSpaceDN/>
        <w:bidi w:val="0"/>
        <w:adjustRightInd/>
        <w:snapToGrid/>
        <w:spacing w:line="560" w:lineRule="exact"/>
        <w:ind w:right="0" w:firstLine="0" w:firstLineChars="0"/>
        <w:jc w:val="both"/>
        <w:textAlignment w:val="auto"/>
        <w:rPr>
          <w:color w:val="000000" w:themeColor="text1"/>
          <w:highlight w:val="none"/>
          <w14:textFill>
            <w14:solidFill>
              <w14:schemeClr w14:val="tx1"/>
            </w14:solidFill>
          </w14:textFill>
        </w:rPr>
      </w:pPr>
    </w:p>
    <w:p w14:paraId="0FDBDB45">
      <w:pPr>
        <w:pStyle w:val="17"/>
        <w:keepNext w:val="0"/>
        <w:keepLines w:val="0"/>
        <w:pageBreakBefore w:val="0"/>
        <w:kinsoku/>
        <w:wordWrap/>
        <w:overflowPunct/>
        <w:topLinePunct w:val="0"/>
        <w:autoSpaceDE/>
        <w:autoSpaceDN/>
        <w:bidi w:val="0"/>
        <w:adjustRightInd/>
        <w:snapToGrid/>
        <w:spacing w:line="560" w:lineRule="exact"/>
        <w:ind w:right="0" w:firstLine="0" w:firstLineChars="0"/>
        <w:jc w:val="both"/>
        <w:textAlignment w:val="auto"/>
        <w:rPr>
          <w:color w:val="000000" w:themeColor="text1"/>
          <w:highlight w:val="none"/>
          <w14:textFill>
            <w14:solidFill>
              <w14:schemeClr w14:val="tx1"/>
            </w14:solidFill>
          </w14:textFill>
        </w:rPr>
      </w:pPr>
    </w:p>
    <w:p w14:paraId="693258C6">
      <w:pPr>
        <w:pStyle w:val="17"/>
        <w:keepNext w:val="0"/>
        <w:keepLines w:val="0"/>
        <w:pageBreakBefore w:val="0"/>
        <w:kinsoku/>
        <w:wordWrap/>
        <w:overflowPunct/>
        <w:topLinePunct w:val="0"/>
        <w:autoSpaceDE/>
        <w:autoSpaceDN/>
        <w:bidi w:val="0"/>
        <w:adjustRightInd/>
        <w:snapToGrid/>
        <w:spacing w:line="560" w:lineRule="exact"/>
        <w:ind w:right="0" w:firstLine="0" w:firstLineChars="0"/>
        <w:jc w:val="both"/>
        <w:textAlignment w:val="auto"/>
        <w:rPr>
          <w:color w:val="000000" w:themeColor="text1"/>
          <w:highlight w:val="none"/>
          <w14:textFill>
            <w14:solidFill>
              <w14:schemeClr w14:val="tx1"/>
            </w14:solidFill>
          </w14:textFill>
        </w:rPr>
      </w:pPr>
    </w:p>
    <w:p w14:paraId="6305C1EB">
      <w:pPr>
        <w:pStyle w:val="17"/>
        <w:keepNext w:val="0"/>
        <w:keepLines w:val="0"/>
        <w:pageBreakBefore w:val="0"/>
        <w:kinsoku/>
        <w:wordWrap/>
        <w:overflowPunct/>
        <w:topLinePunct w:val="0"/>
        <w:autoSpaceDE/>
        <w:autoSpaceDN/>
        <w:bidi w:val="0"/>
        <w:adjustRightInd/>
        <w:snapToGrid/>
        <w:spacing w:line="560" w:lineRule="exact"/>
        <w:ind w:right="0" w:firstLine="0" w:firstLineChars="0"/>
        <w:jc w:val="both"/>
        <w:textAlignment w:val="auto"/>
        <w:rPr>
          <w:color w:val="000000" w:themeColor="text1"/>
          <w:highlight w:val="none"/>
          <w14:textFill>
            <w14:solidFill>
              <w14:schemeClr w14:val="tx1"/>
            </w14:solidFill>
          </w14:textFill>
        </w:rPr>
      </w:pPr>
    </w:p>
    <w:p w14:paraId="6E99A1C0">
      <w:pPr>
        <w:pStyle w:val="17"/>
        <w:keepNext w:val="0"/>
        <w:keepLines w:val="0"/>
        <w:pageBreakBefore w:val="0"/>
        <w:kinsoku/>
        <w:wordWrap/>
        <w:overflowPunct/>
        <w:topLinePunct w:val="0"/>
        <w:autoSpaceDE/>
        <w:autoSpaceDN/>
        <w:bidi w:val="0"/>
        <w:adjustRightInd/>
        <w:snapToGrid/>
        <w:spacing w:line="560" w:lineRule="exact"/>
        <w:ind w:right="0" w:firstLine="0" w:firstLineChars="0"/>
        <w:jc w:val="both"/>
        <w:textAlignment w:val="auto"/>
        <w:rPr>
          <w:color w:val="000000" w:themeColor="text1"/>
          <w:highlight w:val="none"/>
          <w14:textFill>
            <w14:solidFill>
              <w14:schemeClr w14:val="tx1"/>
            </w14:solidFill>
          </w14:textFill>
        </w:rPr>
      </w:pPr>
    </w:p>
    <w:p w14:paraId="7EEC6E5C">
      <w:pPr>
        <w:pStyle w:val="17"/>
        <w:keepNext w:val="0"/>
        <w:keepLines w:val="0"/>
        <w:pageBreakBefore w:val="0"/>
        <w:kinsoku/>
        <w:wordWrap/>
        <w:overflowPunct/>
        <w:topLinePunct w:val="0"/>
        <w:autoSpaceDE/>
        <w:autoSpaceDN/>
        <w:bidi w:val="0"/>
        <w:adjustRightInd/>
        <w:snapToGrid/>
        <w:spacing w:line="560" w:lineRule="exact"/>
        <w:ind w:right="0" w:firstLine="0" w:firstLineChars="0"/>
        <w:jc w:val="both"/>
        <w:textAlignment w:val="auto"/>
        <w:rPr>
          <w:color w:val="000000" w:themeColor="text1"/>
          <w:highlight w:val="none"/>
          <w14:textFill>
            <w14:solidFill>
              <w14:schemeClr w14:val="tx1"/>
            </w14:solidFill>
          </w14:textFill>
        </w:rPr>
      </w:pPr>
    </w:p>
    <w:p w14:paraId="5A0E3ED5">
      <w:pPr>
        <w:pStyle w:val="17"/>
        <w:keepNext w:val="0"/>
        <w:keepLines w:val="0"/>
        <w:pageBreakBefore w:val="0"/>
        <w:kinsoku/>
        <w:wordWrap/>
        <w:overflowPunct/>
        <w:topLinePunct w:val="0"/>
        <w:autoSpaceDE/>
        <w:autoSpaceDN/>
        <w:bidi w:val="0"/>
        <w:adjustRightInd/>
        <w:snapToGrid/>
        <w:spacing w:line="560" w:lineRule="exact"/>
        <w:ind w:right="0" w:firstLine="0" w:firstLineChars="0"/>
        <w:jc w:val="both"/>
        <w:textAlignment w:val="auto"/>
        <w:rPr>
          <w:color w:val="000000" w:themeColor="text1"/>
          <w:highlight w:val="none"/>
          <w14:textFill>
            <w14:solidFill>
              <w14:schemeClr w14:val="tx1"/>
            </w14:solidFill>
          </w14:textFill>
        </w:rPr>
      </w:pPr>
    </w:p>
    <w:p w14:paraId="1F0DB1FC">
      <w:pPr>
        <w:pStyle w:val="17"/>
        <w:keepNext w:val="0"/>
        <w:keepLines w:val="0"/>
        <w:pageBreakBefore w:val="0"/>
        <w:kinsoku/>
        <w:wordWrap/>
        <w:overflowPunct/>
        <w:topLinePunct w:val="0"/>
        <w:autoSpaceDE/>
        <w:autoSpaceDN/>
        <w:bidi w:val="0"/>
        <w:adjustRightInd/>
        <w:snapToGrid/>
        <w:spacing w:line="560" w:lineRule="exact"/>
        <w:ind w:right="0" w:firstLine="0" w:firstLineChars="0"/>
        <w:jc w:val="both"/>
        <w:textAlignment w:val="auto"/>
        <w:rPr>
          <w:color w:val="000000" w:themeColor="text1"/>
          <w:highlight w:val="none"/>
          <w14:textFill>
            <w14:solidFill>
              <w14:schemeClr w14:val="tx1"/>
            </w14:solidFill>
          </w14:textFill>
        </w:rPr>
      </w:pPr>
    </w:p>
    <w:p w14:paraId="32E1B4F3">
      <w:pPr>
        <w:pStyle w:val="17"/>
        <w:keepNext w:val="0"/>
        <w:keepLines w:val="0"/>
        <w:pageBreakBefore w:val="0"/>
        <w:kinsoku/>
        <w:wordWrap/>
        <w:overflowPunct/>
        <w:topLinePunct w:val="0"/>
        <w:autoSpaceDE/>
        <w:autoSpaceDN/>
        <w:bidi w:val="0"/>
        <w:adjustRightInd/>
        <w:snapToGrid/>
        <w:spacing w:line="560" w:lineRule="exact"/>
        <w:ind w:right="0" w:firstLine="0" w:firstLineChars="0"/>
        <w:jc w:val="both"/>
        <w:textAlignment w:val="auto"/>
        <w:rPr>
          <w:color w:val="000000" w:themeColor="text1"/>
          <w:highlight w:val="none"/>
          <w14:textFill>
            <w14:solidFill>
              <w14:schemeClr w14:val="tx1"/>
            </w14:solidFill>
          </w14:textFill>
        </w:rPr>
      </w:pPr>
    </w:p>
    <w:p w14:paraId="2D1F0FAC">
      <w:pPr>
        <w:pStyle w:val="17"/>
        <w:keepNext w:val="0"/>
        <w:keepLines w:val="0"/>
        <w:pageBreakBefore w:val="0"/>
        <w:kinsoku/>
        <w:wordWrap/>
        <w:overflowPunct/>
        <w:topLinePunct w:val="0"/>
        <w:autoSpaceDE/>
        <w:autoSpaceDN/>
        <w:bidi w:val="0"/>
        <w:adjustRightInd/>
        <w:snapToGrid/>
        <w:spacing w:line="560" w:lineRule="exact"/>
        <w:ind w:right="0" w:firstLine="0" w:firstLineChars="0"/>
        <w:jc w:val="both"/>
        <w:textAlignment w:val="auto"/>
        <w:rPr>
          <w:color w:val="000000" w:themeColor="text1"/>
          <w:highlight w:val="none"/>
          <w14:textFill>
            <w14:solidFill>
              <w14:schemeClr w14:val="tx1"/>
            </w14:solidFill>
          </w14:textFill>
        </w:rPr>
      </w:pPr>
    </w:p>
    <w:p w14:paraId="2CC0B786">
      <w:pPr>
        <w:pStyle w:val="17"/>
        <w:keepNext w:val="0"/>
        <w:keepLines w:val="0"/>
        <w:pageBreakBefore w:val="0"/>
        <w:kinsoku/>
        <w:wordWrap/>
        <w:overflowPunct/>
        <w:topLinePunct w:val="0"/>
        <w:autoSpaceDE/>
        <w:autoSpaceDN/>
        <w:bidi w:val="0"/>
        <w:adjustRightInd/>
        <w:snapToGrid/>
        <w:spacing w:line="560" w:lineRule="exact"/>
        <w:ind w:right="0" w:firstLine="0" w:firstLineChars="0"/>
        <w:jc w:val="both"/>
        <w:textAlignment w:val="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二、提供（202</w:t>
      </w:r>
      <w:r>
        <w:rPr>
          <w:rFonts w:hint="eastAsia"/>
          <w:color w:val="000000" w:themeColor="text1"/>
          <w:highlight w:val="none"/>
          <w:lang w:val="en-US" w:eastAsia="zh-CN"/>
          <w14:textFill>
            <w14:solidFill>
              <w14:schemeClr w14:val="tx1"/>
            </w14:solidFill>
          </w14:textFill>
        </w:rPr>
        <w:t>2</w:t>
      </w:r>
      <w:r>
        <w:rPr>
          <w:rFonts w:hint="eastAsia"/>
          <w:color w:val="000000" w:themeColor="text1"/>
          <w:highlight w:val="none"/>
          <w14:textFill>
            <w14:solidFill>
              <w14:schemeClr w14:val="tx1"/>
            </w14:solidFill>
          </w14:textFill>
        </w:rPr>
        <w:t>年-202</w:t>
      </w:r>
      <w:r>
        <w:rPr>
          <w:rFonts w:hint="eastAsia"/>
          <w:color w:val="000000" w:themeColor="text1"/>
          <w:highlight w:val="none"/>
          <w:lang w:val="en-US" w:eastAsia="zh-CN"/>
          <w14:textFill>
            <w14:solidFill>
              <w14:schemeClr w14:val="tx1"/>
            </w14:solidFill>
          </w14:textFill>
        </w:rPr>
        <w:t>4</w:t>
      </w:r>
      <w:r>
        <w:rPr>
          <w:rFonts w:hint="eastAsia"/>
          <w:color w:val="000000" w:themeColor="text1"/>
          <w:highlight w:val="none"/>
          <w14:textFill>
            <w14:solidFill>
              <w14:schemeClr w14:val="tx1"/>
            </w14:solidFill>
          </w14:textFill>
        </w:rPr>
        <w:t>年）任意一年的财务报表或审计报告，成立不足一年的无需提供</w:t>
      </w:r>
    </w:p>
    <w:p w14:paraId="0BD95C0D">
      <w:pPr>
        <w:keepNext w:val="0"/>
        <w:keepLines w:val="0"/>
        <w:pageBreakBefore w:val="0"/>
        <w:kinsoku/>
        <w:wordWrap/>
        <w:overflowPunct/>
        <w:topLinePunct w:val="0"/>
        <w:bidi w:val="0"/>
        <w:adjustRightInd/>
        <w:snapToGrid/>
        <w:spacing w:line="560" w:lineRule="exact"/>
        <w:jc w:val="left"/>
        <w:rPr>
          <w:rFonts w:hint="eastAsia" w:ascii="宋体" w:hAnsi="宋体" w:eastAsia="宋体" w:cs="宋体"/>
          <w:color w:val="000000" w:themeColor="text1"/>
          <w:sz w:val="28"/>
          <w:szCs w:val="28"/>
          <w:highlight w:val="none"/>
          <w:lang w:eastAsia="zh-CN"/>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附：提供</w:t>
      </w:r>
      <w:r>
        <w:rPr>
          <w:rFonts w:hint="eastAsia" w:ascii="宋体" w:hAnsi="宋体" w:eastAsia="宋体"/>
          <w:color w:val="000000" w:themeColor="text1"/>
          <w:sz w:val="28"/>
          <w:szCs w:val="28"/>
          <w:highlight w:val="none"/>
          <w14:textFill>
            <w14:solidFill>
              <w14:schemeClr w14:val="tx1"/>
            </w14:solidFill>
          </w14:textFill>
        </w:rPr>
        <w:t>202</w:t>
      </w:r>
      <w:r>
        <w:rPr>
          <w:rFonts w:hint="eastAsia" w:ascii="宋体" w:hAnsi="宋体"/>
          <w:color w:val="000000" w:themeColor="text1"/>
          <w:sz w:val="28"/>
          <w:szCs w:val="28"/>
          <w:highlight w:val="none"/>
          <w:lang w:val="en-US" w:eastAsia="zh-CN"/>
          <w14:textFill>
            <w14:solidFill>
              <w14:schemeClr w14:val="tx1"/>
            </w14:solidFill>
          </w14:textFill>
        </w:rPr>
        <w:t>2</w:t>
      </w:r>
      <w:r>
        <w:rPr>
          <w:rFonts w:hint="eastAsia" w:ascii="宋体" w:hAnsi="宋体" w:eastAsia="宋体"/>
          <w:color w:val="000000" w:themeColor="text1"/>
          <w:sz w:val="28"/>
          <w:szCs w:val="28"/>
          <w:highlight w:val="none"/>
          <w14:textFill>
            <w14:solidFill>
              <w14:schemeClr w14:val="tx1"/>
            </w14:solidFill>
          </w14:textFill>
        </w:rPr>
        <w:t>-202</w:t>
      </w:r>
      <w:r>
        <w:rPr>
          <w:rFonts w:hint="eastAsia" w:ascii="宋体" w:hAnsi="宋体"/>
          <w:color w:val="000000" w:themeColor="text1"/>
          <w:sz w:val="28"/>
          <w:szCs w:val="28"/>
          <w:highlight w:val="none"/>
          <w:lang w:val="en-US" w:eastAsia="zh-CN"/>
          <w14:textFill>
            <w14:solidFill>
              <w14:schemeClr w14:val="tx1"/>
            </w14:solidFill>
          </w14:textFill>
        </w:rPr>
        <w:t>4</w:t>
      </w:r>
      <w:r>
        <w:rPr>
          <w:rFonts w:hint="eastAsia" w:ascii="宋体" w:hAnsi="宋体" w:eastAsia="宋体" w:cs="宋体"/>
          <w:color w:val="000000" w:themeColor="text1"/>
          <w:sz w:val="28"/>
          <w:szCs w:val="28"/>
          <w:highlight w:val="none"/>
          <w14:textFill>
            <w14:solidFill>
              <w14:schemeClr w14:val="tx1"/>
            </w14:solidFill>
          </w14:textFill>
        </w:rPr>
        <w:t>年任意一年的</w:t>
      </w:r>
      <w:r>
        <w:rPr>
          <w:rFonts w:hint="eastAsia" w:ascii="宋体" w:hAnsi="宋体" w:eastAsia="宋体" w:cs="宋体"/>
          <w:color w:val="000000" w:themeColor="text1"/>
          <w:sz w:val="28"/>
          <w:szCs w:val="28"/>
          <w:highlight w:val="none"/>
          <w:lang w:val="en-US" w:eastAsia="zh-CN"/>
          <w14:textFill>
            <w14:solidFill>
              <w14:schemeClr w14:val="tx1"/>
            </w14:solidFill>
          </w14:textFill>
        </w:rPr>
        <w:t>完整</w:t>
      </w:r>
      <w:r>
        <w:rPr>
          <w:rFonts w:hint="eastAsia" w:ascii="宋体" w:hAnsi="宋体" w:eastAsia="宋体" w:cs="宋体"/>
          <w:color w:val="000000" w:themeColor="text1"/>
          <w:sz w:val="28"/>
          <w:szCs w:val="28"/>
          <w:highlight w:val="none"/>
          <w14:textFill>
            <w14:solidFill>
              <w14:schemeClr w14:val="tx1"/>
            </w14:solidFill>
          </w14:textFill>
        </w:rPr>
        <w:t>审计报告或财务报表（应包括资产负债表、现金流量表、利润表），本年度新成立或成立不满一年的无法提供财务审计报告或财务状况报告表的无需提供。</w:t>
      </w:r>
    </w:p>
    <w:p w14:paraId="26B00758">
      <w:pPr>
        <w:keepNext w:val="0"/>
        <w:keepLines w:val="0"/>
        <w:pageBreakBefore w:val="0"/>
        <w:kinsoku/>
        <w:wordWrap/>
        <w:overflowPunct/>
        <w:topLinePunct w:val="0"/>
        <w:bidi w:val="0"/>
        <w:adjustRightInd/>
        <w:snapToGrid/>
        <w:spacing w:line="560" w:lineRule="exact"/>
        <w:ind w:left="0" w:leftChars="0" w:firstLine="0" w:firstLineChars="0"/>
        <w:textAlignment w:val="auto"/>
        <w:rPr>
          <w:rFonts w:hint="eastAsia" w:ascii="宋体" w:hAnsi="宋体" w:eastAsia="宋体" w:cs="宋体"/>
          <w:color w:val="000000" w:themeColor="text1"/>
          <w:sz w:val="28"/>
          <w:szCs w:val="28"/>
          <w:highlight w:val="none"/>
          <w:lang w:eastAsia="zh-CN"/>
          <w14:textFill>
            <w14:solidFill>
              <w14:schemeClr w14:val="tx1"/>
            </w14:solidFill>
          </w14:textFill>
        </w:rPr>
      </w:pPr>
    </w:p>
    <w:p w14:paraId="70399558">
      <w:pPr>
        <w:keepNext w:val="0"/>
        <w:keepLines w:val="0"/>
        <w:pageBreakBefore w:val="0"/>
        <w:kinsoku/>
        <w:wordWrap/>
        <w:overflowPunct/>
        <w:topLinePunct w:val="0"/>
        <w:autoSpaceDE/>
        <w:autoSpaceDN/>
        <w:bidi w:val="0"/>
        <w:adjustRightInd/>
        <w:snapToGrid/>
        <w:spacing w:line="560" w:lineRule="exact"/>
        <w:ind w:right="0" w:firstLine="0" w:firstLineChars="0"/>
        <w:jc w:val="both"/>
        <w:textAlignment w:val="auto"/>
        <w:rPr>
          <w:rFonts w:asciiTheme="minorEastAsia" w:hAnsiTheme="minorEastAsia" w:eastAsiaTheme="minorEastAsia"/>
          <w:color w:val="000000" w:themeColor="text1"/>
          <w:sz w:val="28"/>
          <w:szCs w:val="28"/>
          <w:highlight w:val="none"/>
          <w14:textFill>
            <w14:solidFill>
              <w14:schemeClr w14:val="tx1"/>
            </w14:solidFill>
          </w14:textFill>
        </w:rPr>
      </w:pPr>
    </w:p>
    <w:p w14:paraId="760497BD">
      <w:pPr>
        <w:keepNext w:val="0"/>
        <w:keepLines w:val="0"/>
        <w:pageBreakBefore w:val="0"/>
        <w:kinsoku/>
        <w:wordWrap/>
        <w:overflowPunct/>
        <w:topLinePunct w:val="0"/>
        <w:autoSpaceDE/>
        <w:autoSpaceDN/>
        <w:bidi w:val="0"/>
        <w:adjustRightInd/>
        <w:snapToGrid/>
        <w:spacing w:line="560" w:lineRule="exact"/>
        <w:ind w:right="0" w:firstLine="0" w:firstLineChars="0"/>
        <w:jc w:val="both"/>
        <w:textAlignment w:val="auto"/>
        <w:rPr>
          <w:rFonts w:asciiTheme="minorEastAsia" w:hAnsiTheme="minorEastAsia" w:eastAsiaTheme="minorEastAsia"/>
          <w:color w:val="000000" w:themeColor="text1"/>
          <w:sz w:val="28"/>
          <w:szCs w:val="28"/>
          <w:highlight w:val="none"/>
          <w14:textFill>
            <w14:solidFill>
              <w14:schemeClr w14:val="tx1"/>
            </w14:solidFill>
          </w14:textFill>
        </w:rPr>
      </w:pPr>
    </w:p>
    <w:p w14:paraId="660A9EF8">
      <w:pPr>
        <w:keepNext w:val="0"/>
        <w:keepLines w:val="0"/>
        <w:pageBreakBefore w:val="0"/>
        <w:kinsoku/>
        <w:wordWrap/>
        <w:overflowPunct/>
        <w:topLinePunct w:val="0"/>
        <w:autoSpaceDE/>
        <w:autoSpaceDN/>
        <w:bidi w:val="0"/>
        <w:adjustRightInd/>
        <w:snapToGrid/>
        <w:spacing w:line="560" w:lineRule="exact"/>
        <w:ind w:right="0" w:firstLine="0" w:firstLineChars="0"/>
        <w:jc w:val="both"/>
        <w:textAlignment w:val="auto"/>
        <w:rPr>
          <w:rFonts w:asciiTheme="minorEastAsia" w:hAnsiTheme="minorEastAsia" w:eastAsiaTheme="minorEastAsia"/>
          <w:color w:val="000000" w:themeColor="text1"/>
          <w:sz w:val="28"/>
          <w:szCs w:val="28"/>
          <w:highlight w:val="none"/>
          <w14:textFill>
            <w14:solidFill>
              <w14:schemeClr w14:val="tx1"/>
            </w14:solidFill>
          </w14:textFill>
        </w:rPr>
      </w:pPr>
    </w:p>
    <w:p w14:paraId="1EC47C45">
      <w:pPr>
        <w:keepNext w:val="0"/>
        <w:keepLines w:val="0"/>
        <w:pageBreakBefore w:val="0"/>
        <w:kinsoku/>
        <w:wordWrap/>
        <w:overflowPunct/>
        <w:topLinePunct w:val="0"/>
        <w:autoSpaceDE/>
        <w:autoSpaceDN/>
        <w:bidi w:val="0"/>
        <w:adjustRightInd/>
        <w:snapToGrid/>
        <w:spacing w:line="560" w:lineRule="exact"/>
        <w:ind w:right="0" w:firstLine="0" w:firstLineChars="0"/>
        <w:jc w:val="both"/>
        <w:textAlignment w:val="auto"/>
        <w:rPr>
          <w:rFonts w:asciiTheme="minorEastAsia" w:hAnsiTheme="minorEastAsia" w:eastAsiaTheme="minorEastAsia"/>
          <w:color w:val="000000" w:themeColor="text1"/>
          <w:sz w:val="28"/>
          <w:szCs w:val="28"/>
          <w:highlight w:val="none"/>
          <w14:textFill>
            <w14:solidFill>
              <w14:schemeClr w14:val="tx1"/>
            </w14:solidFill>
          </w14:textFill>
        </w:rPr>
      </w:pPr>
    </w:p>
    <w:p w14:paraId="6A5FA6ED">
      <w:pPr>
        <w:keepNext w:val="0"/>
        <w:keepLines w:val="0"/>
        <w:pageBreakBefore w:val="0"/>
        <w:kinsoku/>
        <w:wordWrap/>
        <w:overflowPunct/>
        <w:topLinePunct w:val="0"/>
        <w:autoSpaceDE/>
        <w:autoSpaceDN/>
        <w:bidi w:val="0"/>
        <w:adjustRightInd/>
        <w:snapToGrid/>
        <w:spacing w:line="560" w:lineRule="exact"/>
        <w:ind w:right="0" w:firstLine="0" w:firstLineChars="0"/>
        <w:jc w:val="both"/>
        <w:textAlignment w:val="auto"/>
        <w:rPr>
          <w:rFonts w:asciiTheme="minorEastAsia" w:hAnsiTheme="minorEastAsia" w:eastAsiaTheme="minorEastAsia"/>
          <w:color w:val="000000" w:themeColor="text1"/>
          <w:sz w:val="28"/>
          <w:szCs w:val="28"/>
          <w:highlight w:val="none"/>
          <w14:textFill>
            <w14:solidFill>
              <w14:schemeClr w14:val="tx1"/>
            </w14:solidFill>
          </w14:textFill>
        </w:rPr>
      </w:pPr>
    </w:p>
    <w:p w14:paraId="74C7BCE9">
      <w:pPr>
        <w:keepNext w:val="0"/>
        <w:keepLines w:val="0"/>
        <w:pageBreakBefore w:val="0"/>
        <w:kinsoku/>
        <w:wordWrap/>
        <w:overflowPunct/>
        <w:topLinePunct w:val="0"/>
        <w:autoSpaceDE/>
        <w:autoSpaceDN/>
        <w:bidi w:val="0"/>
        <w:adjustRightInd/>
        <w:snapToGrid/>
        <w:spacing w:line="560" w:lineRule="exact"/>
        <w:ind w:right="0" w:firstLine="0" w:firstLineChars="0"/>
        <w:jc w:val="both"/>
        <w:textAlignment w:val="auto"/>
        <w:rPr>
          <w:rFonts w:asciiTheme="minorEastAsia" w:hAnsiTheme="minorEastAsia" w:eastAsiaTheme="minorEastAsia"/>
          <w:color w:val="000000" w:themeColor="text1"/>
          <w:sz w:val="28"/>
          <w:szCs w:val="28"/>
          <w:highlight w:val="none"/>
          <w14:textFill>
            <w14:solidFill>
              <w14:schemeClr w14:val="tx1"/>
            </w14:solidFill>
          </w14:textFill>
        </w:rPr>
      </w:pPr>
    </w:p>
    <w:p w14:paraId="535C86B5">
      <w:pPr>
        <w:keepNext w:val="0"/>
        <w:keepLines w:val="0"/>
        <w:pageBreakBefore w:val="0"/>
        <w:kinsoku/>
        <w:wordWrap/>
        <w:overflowPunct/>
        <w:topLinePunct w:val="0"/>
        <w:autoSpaceDE/>
        <w:autoSpaceDN/>
        <w:bidi w:val="0"/>
        <w:adjustRightInd/>
        <w:snapToGrid/>
        <w:spacing w:line="560" w:lineRule="exact"/>
        <w:ind w:right="0" w:firstLine="0" w:firstLineChars="0"/>
        <w:jc w:val="both"/>
        <w:textAlignment w:val="auto"/>
        <w:rPr>
          <w:rFonts w:asciiTheme="minorEastAsia" w:hAnsiTheme="minorEastAsia" w:eastAsiaTheme="minorEastAsia"/>
          <w:color w:val="000000" w:themeColor="text1"/>
          <w:sz w:val="28"/>
          <w:szCs w:val="28"/>
          <w:highlight w:val="none"/>
          <w14:textFill>
            <w14:solidFill>
              <w14:schemeClr w14:val="tx1"/>
            </w14:solidFill>
          </w14:textFill>
        </w:rPr>
      </w:pPr>
    </w:p>
    <w:p w14:paraId="6B8E421C">
      <w:pPr>
        <w:keepNext w:val="0"/>
        <w:keepLines w:val="0"/>
        <w:pageBreakBefore w:val="0"/>
        <w:kinsoku/>
        <w:wordWrap/>
        <w:overflowPunct/>
        <w:topLinePunct w:val="0"/>
        <w:autoSpaceDE/>
        <w:autoSpaceDN/>
        <w:bidi w:val="0"/>
        <w:adjustRightInd/>
        <w:snapToGrid/>
        <w:spacing w:line="560" w:lineRule="exact"/>
        <w:ind w:right="0" w:firstLine="0" w:firstLineChars="0"/>
        <w:jc w:val="both"/>
        <w:textAlignment w:val="auto"/>
        <w:rPr>
          <w:rFonts w:asciiTheme="minorEastAsia" w:hAnsiTheme="minorEastAsia" w:eastAsiaTheme="minorEastAsia"/>
          <w:color w:val="000000" w:themeColor="text1"/>
          <w:sz w:val="28"/>
          <w:szCs w:val="28"/>
          <w:highlight w:val="none"/>
          <w14:textFill>
            <w14:solidFill>
              <w14:schemeClr w14:val="tx1"/>
            </w14:solidFill>
          </w14:textFill>
        </w:rPr>
      </w:pPr>
    </w:p>
    <w:p w14:paraId="5EE13411">
      <w:pPr>
        <w:keepNext w:val="0"/>
        <w:keepLines w:val="0"/>
        <w:pageBreakBefore w:val="0"/>
        <w:kinsoku/>
        <w:wordWrap/>
        <w:overflowPunct/>
        <w:topLinePunct w:val="0"/>
        <w:autoSpaceDE/>
        <w:autoSpaceDN/>
        <w:bidi w:val="0"/>
        <w:adjustRightInd/>
        <w:snapToGrid/>
        <w:spacing w:line="560" w:lineRule="exact"/>
        <w:ind w:right="0" w:firstLine="0" w:firstLineChars="0"/>
        <w:jc w:val="both"/>
        <w:textAlignment w:val="auto"/>
        <w:rPr>
          <w:rFonts w:asciiTheme="minorEastAsia" w:hAnsiTheme="minorEastAsia" w:eastAsiaTheme="minorEastAsia"/>
          <w:color w:val="000000" w:themeColor="text1"/>
          <w:sz w:val="28"/>
          <w:szCs w:val="28"/>
          <w:highlight w:val="none"/>
          <w14:textFill>
            <w14:solidFill>
              <w14:schemeClr w14:val="tx1"/>
            </w14:solidFill>
          </w14:textFill>
        </w:rPr>
      </w:pPr>
    </w:p>
    <w:p w14:paraId="0F9D789A">
      <w:pPr>
        <w:keepNext w:val="0"/>
        <w:keepLines w:val="0"/>
        <w:pageBreakBefore w:val="0"/>
        <w:kinsoku/>
        <w:wordWrap/>
        <w:overflowPunct/>
        <w:topLinePunct w:val="0"/>
        <w:autoSpaceDE/>
        <w:autoSpaceDN/>
        <w:bidi w:val="0"/>
        <w:adjustRightInd/>
        <w:snapToGrid/>
        <w:spacing w:line="560" w:lineRule="exact"/>
        <w:ind w:right="0" w:firstLine="0" w:firstLineChars="0"/>
        <w:jc w:val="both"/>
        <w:textAlignment w:val="auto"/>
        <w:rPr>
          <w:rFonts w:asciiTheme="minorEastAsia" w:hAnsiTheme="minorEastAsia" w:eastAsiaTheme="minorEastAsia"/>
          <w:color w:val="000000" w:themeColor="text1"/>
          <w:sz w:val="28"/>
          <w:szCs w:val="28"/>
          <w:highlight w:val="none"/>
          <w14:textFill>
            <w14:solidFill>
              <w14:schemeClr w14:val="tx1"/>
            </w14:solidFill>
          </w14:textFill>
        </w:rPr>
      </w:pPr>
    </w:p>
    <w:p w14:paraId="730D2005">
      <w:pPr>
        <w:keepNext w:val="0"/>
        <w:keepLines w:val="0"/>
        <w:pageBreakBefore w:val="0"/>
        <w:kinsoku/>
        <w:wordWrap/>
        <w:overflowPunct/>
        <w:topLinePunct w:val="0"/>
        <w:autoSpaceDE/>
        <w:autoSpaceDN/>
        <w:bidi w:val="0"/>
        <w:adjustRightInd/>
        <w:snapToGrid/>
        <w:spacing w:line="560" w:lineRule="exact"/>
        <w:ind w:right="0" w:firstLine="0" w:firstLineChars="0"/>
        <w:jc w:val="both"/>
        <w:textAlignment w:val="auto"/>
        <w:rPr>
          <w:rFonts w:asciiTheme="minorEastAsia" w:hAnsiTheme="minorEastAsia" w:eastAsiaTheme="minorEastAsia"/>
          <w:color w:val="000000" w:themeColor="text1"/>
          <w:sz w:val="28"/>
          <w:szCs w:val="28"/>
          <w:highlight w:val="none"/>
          <w14:textFill>
            <w14:solidFill>
              <w14:schemeClr w14:val="tx1"/>
            </w14:solidFill>
          </w14:textFill>
        </w:rPr>
      </w:pPr>
    </w:p>
    <w:p w14:paraId="2AB978DC">
      <w:pPr>
        <w:keepNext w:val="0"/>
        <w:keepLines w:val="0"/>
        <w:pageBreakBefore w:val="0"/>
        <w:kinsoku/>
        <w:wordWrap/>
        <w:overflowPunct/>
        <w:topLinePunct w:val="0"/>
        <w:autoSpaceDE/>
        <w:autoSpaceDN/>
        <w:bidi w:val="0"/>
        <w:adjustRightInd/>
        <w:snapToGrid/>
        <w:spacing w:line="560" w:lineRule="exact"/>
        <w:ind w:right="0" w:firstLine="0" w:firstLineChars="0"/>
        <w:jc w:val="both"/>
        <w:textAlignment w:val="auto"/>
        <w:rPr>
          <w:rFonts w:asciiTheme="minorEastAsia" w:hAnsiTheme="minorEastAsia" w:eastAsiaTheme="minorEastAsia"/>
          <w:color w:val="000000" w:themeColor="text1"/>
          <w:sz w:val="28"/>
          <w:szCs w:val="28"/>
          <w:highlight w:val="none"/>
          <w14:textFill>
            <w14:solidFill>
              <w14:schemeClr w14:val="tx1"/>
            </w14:solidFill>
          </w14:textFill>
        </w:rPr>
      </w:pPr>
    </w:p>
    <w:p w14:paraId="71979E3E">
      <w:pPr>
        <w:keepNext w:val="0"/>
        <w:keepLines w:val="0"/>
        <w:pageBreakBefore w:val="0"/>
        <w:kinsoku/>
        <w:wordWrap/>
        <w:overflowPunct/>
        <w:topLinePunct w:val="0"/>
        <w:autoSpaceDE/>
        <w:autoSpaceDN/>
        <w:bidi w:val="0"/>
        <w:adjustRightInd/>
        <w:snapToGrid/>
        <w:spacing w:line="560" w:lineRule="exact"/>
        <w:ind w:right="0" w:firstLine="0" w:firstLineChars="0"/>
        <w:jc w:val="both"/>
        <w:textAlignment w:val="auto"/>
        <w:rPr>
          <w:rFonts w:asciiTheme="minorEastAsia" w:hAnsiTheme="minorEastAsia" w:eastAsiaTheme="minorEastAsia"/>
          <w:color w:val="000000" w:themeColor="text1"/>
          <w:sz w:val="28"/>
          <w:szCs w:val="28"/>
          <w:highlight w:val="none"/>
          <w14:textFill>
            <w14:solidFill>
              <w14:schemeClr w14:val="tx1"/>
            </w14:solidFill>
          </w14:textFill>
        </w:rPr>
      </w:pPr>
    </w:p>
    <w:p w14:paraId="7A59D9F1">
      <w:pPr>
        <w:keepNext w:val="0"/>
        <w:keepLines w:val="0"/>
        <w:pageBreakBefore w:val="0"/>
        <w:kinsoku/>
        <w:wordWrap/>
        <w:overflowPunct/>
        <w:topLinePunct w:val="0"/>
        <w:autoSpaceDE/>
        <w:autoSpaceDN/>
        <w:bidi w:val="0"/>
        <w:adjustRightInd/>
        <w:snapToGrid/>
        <w:spacing w:line="560" w:lineRule="exact"/>
        <w:ind w:right="0" w:firstLine="0" w:firstLineChars="0"/>
        <w:jc w:val="both"/>
        <w:textAlignment w:val="auto"/>
        <w:rPr>
          <w:rFonts w:asciiTheme="minorEastAsia" w:hAnsiTheme="minorEastAsia" w:eastAsiaTheme="minorEastAsia"/>
          <w:color w:val="000000" w:themeColor="text1"/>
          <w:sz w:val="28"/>
          <w:szCs w:val="28"/>
          <w:highlight w:val="none"/>
          <w14:textFill>
            <w14:solidFill>
              <w14:schemeClr w14:val="tx1"/>
            </w14:solidFill>
          </w14:textFill>
        </w:rPr>
      </w:pPr>
    </w:p>
    <w:p w14:paraId="74384A8F">
      <w:pPr>
        <w:keepNext w:val="0"/>
        <w:keepLines w:val="0"/>
        <w:pageBreakBefore w:val="0"/>
        <w:kinsoku/>
        <w:wordWrap/>
        <w:overflowPunct/>
        <w:topLinePunct w:val="0"/>
        <w:autoSpaceDE/>
        <w:autoSpaceDN/>
        <w:bidi w:val="0"/>
        <w:adjustRightInd/>
        <w:snapToGrid/>
        <w:spacing w:line="560" w:lineRule="exact"/>
        <w:ind w:right="0" w:firstLine="0" w:firstLineChars="0"/>
        <w:jc w:val="both"/>
        <w:textAlignment w:val="auto"/>
        <w:rPr>
          <w:rFonts w:asciiTheme="minorEastAsia" w:hAnsiTheme="minorEastAsia" w:eastAsiaTheme="minorEastAsia"/>
          <w:color w:val="000000" w:themeColor="text1"/>
          <w:sz w:val="28"/>
          <w:szCs w:val="28"/>
          <w:highlight w:val="none"/>
          <w14:textFill>
            <w14:solidFill>
              <w14:schemeClr w14:val="tx1"/>
            </w14:solidFill>
          </w14:textFill>
        </w:rPr>
      </w:pPr>
    </w:p>
    <w:p w14:paraId="7378D48C">
      <w:pPr>
        <w:keepNext w:val="0"/>
        <w:keepLines w:val="0"/>
        <w:pageBreakBefore w:val="0"/>
        <w:kinsoku/>
        <w:wordWrap/>
        <w:overflowPunct/>
        <w:topLinePunct w:val="0"/>
        <w:autoSpaceDE/>
        <w:autoSpaceDN/>
        <w:bidi w:val="0"/>
        <w:adjustRightInd/>
        <w:snapToGrid/>
        <w:spacing w:line="560" w:lineRule="exact"/>
        <w:ind w:right="0" w:firstLine="0" w:firstLineChars="0"/>
        <w:jc w:val="both"/>
        <w:textAlignment w:val="auto"/>
        <w:rPr>
          <w:rFonts w:asciiTheme="minorEastAsia" w:hAnsiTheme="minorEastAsia" w:eastAsiaTheme="minorEastAsia"/>
          <w:color w:val="000000" w:themeColor="text1"/>
          <w:sz w:val="28"/>
          <w:szCs w:val="28"/>
          <w:highlight w:val="none"/>
          <w14:textFill>
            <w14:solidFill>
              <w14:schemeClr w14:val="tx1"/>
            </w14:solidFill>
          </w14:textFill>
        </w:rPr>
      </w:pPr>
    </w:p>
    <w:p w14:paraId="7E5A1DAE">
      <w:pPr>
        <w:keepNext w:val="0"/>
        <w:keepLines w:val="0"/>
        <w:pageBreakBefore w:val="0"/>
        <w:kinsoku/>
        <w:wordWrap/>
        <w:overflowPunct/>
        <w:topLinePunct w:val="0"/>
        <w:autoSpaceDE/>
        <w:autoSpaceDN/>
        <w:bidi w:val="0"/>
        <w:adjustRightInd/>
        <w:snapToGrid/>
        <w:spacing w:line="560" w:lineRule="exact"/>
        <w:ind w:right="0" w:firstLine="0" w:firstLineChars="0"/>
        <w:jc w:val="both"/>
        <w:textAlignment w:val="auto"/>
        <w:rPr>
          <w:rFonts w:hint="eastAsia" w:cs="仿宋_GB2312" w:asciiTheme="minorEastAsia" w:hAnsiTheme="minorEastAsia" w:eastAsiaTheme="minorEastAsia"/>
          <w:b/>
          <w:color w:val="000000" w:themeColor="text1"/>
          <w:kern w:val="0"/>
          <w:sz w:val="28"/>
          <w:szCs w:val="28"/>
          <w:highlight w:val="none"/>
          <w14:textFill>
            <w14:solidFill>
              <w14:schemeClr w14:val="tx1"/>
            </w14:solidFill>
          </w14:textFill>
        </w:rPr>
      </w:pPr>
    </w:p>
    <w:p w14:paraId="0DC8166C">
      <w:pPr>
        <w:keepNext w:val="0"/>
        <w:keepLines w:val="0"/>
        <w:pageBreakBefore w:val="0"/>
        <w:kinsoku/>
        <w:wordWrap/>
        <w:overflowPunct/>
        <w:topLinePunct w:val="0"/>
        <w:autoSpaceDE/>
        <w:autoSpaceDN/>
        <w:bidi w:val="0"/>
        <w:adjustRightInd/>
        <w:snapToGrid/>
        <w:spacing w:line="560" w:lineRule="exact"/>
        <w:ind w:right="0" w:firstLine="0" w:firstLineChars="0"/>
        <w:jc w:val="both"/>
        <w:textAlignment w:val="auto"/>
        <w:rPr>
          <w:rFonts w:hint="eastAsia" w:cs="仿宋_GB2312" w:asciiTheme="minorEastAsia" w:hAnsiTheme="minorEastAsia" w:eastAsiaTheme="minorEastAsia"/>
          <w:b/>
          <w:color w:val="000000" w:themeColor="text1"/>
          <w:kern w:val="0"/>
          <w:sz w:val="28"/>
          <w:szCs w:val="28"/>
          <w:highlight w:val="none"/>
          <w14:textFill>
            <w14:solidFill>
              <w14:schemeClr w14:val="tx1"/>
            </w14:solidFill>
          </w14:textFill>
        </w:rPr>
      </w:pPr>
    </w:p>
    <w:p w14:paraId="6E6A7168">
      <w:pPr>
        <w:keepNext w:val="0"/>
        <w:keepLines w:val="0"/>
        <w:pageBreakBefore w:val="0"/>
        <w:kinsoku/>
        <w:wordWrap/>
        <w:overflowPunct/>
        <w:topLinePunct w:val="0"/>
        <w:autoSpaceDE/>
        <w:autoSpaceDN/>
        <w:bidi w:val="0"/>
        <w:adjustRightInd/>
        <w:snapToGrid/>
        <w:spacing w:line="560" w:lineRule="exact"/>
        <w:ind w:right="0" w:firstLine="0" w:firstLineChars="0"/>
        <w:jc w:val="both"/>
        <w:textAlignment w:val="auto"/>
        <w:rPr>
          <w:rFonts w:hint="eastAsia" w:cs="仿宋_GB2312" w:asciiTheme="minorEastAsia" w:hAnsiTheme="minorEastAsia" w:eastAsiaTheme="minorEastAsia"/>
          <w:b/>
          <w:color w:val="000000" w:themeColor="text1"/>
          <w:kern w:val="0"/>
          <w:sz w:val="28"/>
          <w:szCs w:val="28"/>
          <w:highlight w:val="none"/>
          <w14:textFill>
            <w14:solidFill>
              <w14:schemeClr w14:val="tx1"/>
            </w14:solidFill>
          </w14:textFill>
        </w:rPr>
      </w:pPr>
    </w:p>
    <w:p w14:paraId="7C6B226D">
      <w:pPr>
        <w:keepNext w:val="0"/>
        <w:keepLines w:val="0"/>
        <w:pageBreakBefore w:val="0"/>
        <w:kinsoku/>
        <w:wordWrap/>
        <w:overflowPunct/>
        <w:topLinePunct w:val="0"/>
        <w:autoSpaceDE/>
        <w:autoSpaceDN/>
        <w:bidi w:val="0"/>
        <w:adjustRightInd/>
        <w:snapToGrid/>
        <w:spacing w:line="560" w:lineRule="exact"/>
        <w:ind w:right="0" w:firstLine="0" w:firstLineChars="0"/>
        <w:jc w:val="both"/>
        <w:textAlignment w:val="auto"/>
        <w:rPr>
          <w:rFonts w:hint="eastAsia" w:cs="仿宋_GB2312" w:asciiTheme="minorEastAsia" w:hAnsiTheme="minorEastAsia" w:eastAsiaTheme="minorEastAsia"/>
          <w:b/>
          <w:color w:val="000000" w:themeColor="text1"/>
          <w:kern w:val="0"/>
          <w:sz w:val="28"/>
          <w:szCs w:val="28"/>
          <w:highlight w:val="none"/>
          <w14:textFill>
            <w14:solidFill>
              <w14:schemeClr w14:val="tx1"/>
            </w14:solidFill>
          </w14:textFill>
        </w:rPr>
      </w:pPr>
    </w:p>
    <w:p w14:paraId="3F0315CF">
      <w:pPr>
        <w:keepNext w:val="0"/>
        <w:keepLines w:val="0"/>
        <w:pageBreakBefore w:val="0"/>
        <w:kinsoku/>
        <w:wordWrap/>
        <w:overflowPunct/>
        <w:topLinePunct w:val="0"/>
        <w:autoSpaceDE/>
        <w:autoSpaceDN/>
        <w:bidi w:val="0"/>
        <w:adjustRightInd/>
        <w:snapToGrid/>
        <w:spacing w:line="560" w:lineRule="exact"/>
        <w:ind w:right="0" w:firstLine="0" w:firstLineChars="0"/>
        <w:jc w:val="both"/>
        <w:textAlignment w:val="auto"/>
        <w:rPr>
          <w:rFonts w:cs="仿宋_GB2312" w:asciiTheme="minorEastAsia" w:hAnsiTheme="minorEastAsia" w:eastAsiaTheme="minorEastAsia"/>
          <w:b/>
          <w:color w:val="000000" w:themeColor="text1"/>
          <w:kern w:val="0"/>
          <w:sz w:val="28"/>
          <w:szCs w:val="28"/>
          <w:highlight w:val="none"/>
          <w14:textFill>
            <w14:solidFill>
              <w14:schemeClr w14:val="tx1"/>
            </w14:solidFill>
          </w14:textFill>
        </w:rPr>
      </w:pPr>
      <w:r>
        <w:rPr>
          <w:rFonts w:hint="eastAsia" w:cs="仿宋_GB2312" w:asciiTheme="minorEastAsia" w:hAnsiTheme="minorEastAsia" w:eastAsiaTheme="minorEastAsia"/>
          <w:b/>
          <w:color w:val="000000" w:themeColor="text1"/>
          <w:kern w:val="0"/>
          <w:sz w:val="28"/>
          <w:szCs w:val="28"/>
          <w:highlight w:val="none"/>
          <w14:textFill>
            <w14:solidFill>
              <w14:schemeClr w14:val="tx1"/>
            </w14:solidFill>
          </w14:textFill>
        </w:rPr>
        <w:t>三、根据项目需求提供履行合同所必需的设备和专业技术能力的加盖单位公章的书面承诺函</w:t>
      </w:r>
    </w:p>
    <w:p w14:paraId="732E3157">
      <w:pPr>
        <w:pStyle w:val="13"/>
        <w:keepNext w:val="0"/>
        <w:keepLines w:val="0"/>
        <w:pageBreakBefore w:val="0"/>
        <w:widowControl w:val="0"/>
        <w:kinsoku/>
        <w:wordWrap/>
        <w:overflowPunct/>
        <w:topLinePunct w:val="0"/>
        <w:bidi w:val="0"/>
        <w:adjustRightInd/>
        <w:snapToGrid/>
        <w:spacing w:after="0" w:line="560" w:lineRule="exact"/>
        <w:textAlignment w:val="auto"/>
        <w:rPr>
          <w:rFonts w:hint="eastAsia" w:ascii="宋体" w:hAnsi="宋体" w:eastAsia="宋体" w:cs="宋体"/>
          <w:color w:val="000000" w:themeColor="text1"/>
          <w:kern w:val="0"/>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致：</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sz w:val="28"/>
          <w:szCs w:val="28"/>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8"/>
          <w:szCs w:val="28"/>
          <w:highlight w:val="none"/>
          <w:u w:val="single"/>
          <w14:textFill>
            <w14:solidFill>
              <w14:schemeClr w14:val="tx1"/>
            </w14:solidFill>
          </w14:textFill>
        </w:rPr>
        <w:t xml:space="preserve">（采购人名称） </w:t>
      </w:r>
    </w:p>
    <w:p w14:paraId="4FA6127F">
      <w:pPr>
        <w:keepNext w:val="0"/>
        <w:keepLines w:val="0"/>
        <w:pageBreakBefore w:val="0"/>
        <w:widowControl w:val="0"/>
        <w:kinsoku/>
        <w:wordWrap/>
        <w:overflowPunct/>
        <w:topLinePunct w:val="0"/>
        <w:bidi w:val="0"/>
        <w:adjustRightInd/>
        <w:snapToGrid/>
        <w:spacing w:line="560" w:lineRule="exact"/>
        <w:ind w:left="0" w:leftChars="0" w:firstLine="560" w:firstLineChars="200"/>
        <w:textAlignment w:val="auto"/>
        <w:rPr>
          <w:rFonts w:hint="eastAsia" w:ascii="宋体" w:hAnsi="宋体" w:eastAsia="宋体" w:cs="宋体"/>
          <w:color w:val="000000" w:themeColor="text1"/>
          <w:kern w:val="0"/>
          <w:sz w:val="28"/>
          <w:szCs w:val="28"/>
          <w:highlight w:val="none"/>
          <w14:textFill>
            <w14:solidFill>
              <w14:schemeClr w14:val="tx1"/>
            </w14:solidFill>
          </w14:textFill>
        </w:rPr>
      </w:pPr>
      <w:r>
        <w:rPr>
          <w:rFonts w:hint="eastAsia" w:ascii="宋体" w:hAnsi="宋体" w:eastAsia="宋体" w:cs="宋体"/>
          <w:color w:val="000000" w:themeColor="text1"/>
          <w:kern w:val="0"/>
          <w:sz w:val="28"/>
          <w:szCs w:val="28"/>
          <w:highlight w:val="none"/>
          <w14:textFill>
            <w14:solidFill>
              <w14:schemeClr w14:val="tx1"/>
            </w14:solidFill>
          </w14:textFill>
        </w:rPr>
        <w:t>在</w:t>
      </w:r>
      <w:r>
        <w:rPr>
          <w:rFonts w:hint="eastAsia" w:ascii="宋体" w:hAnsi="宋体" w:eastAsia="宋体" w:cs="宋体"/>
          <w:color w:val="000000" w:themeColor="text1"/>
          <w:kern w:val="0"/>
          <w:sz w:val="28"/>
          <w:szCs w:val="28"/>
          <w:highlight w:val="none"/>
          <w:u w:val="single"/>
          <w:lang w:val="en-US" w:eastAsia="zh-CN"/>
          <w14:textFill>
            <w14:solidFill>
              <w14:schemeClr w14:val="tx1"/>
            </w14:solidFill>
          </w14:textFill>
        </w:rPr>
        <w:t xml:space="preserve">            </w:t>
      </w:r>
      <w:r>
        <w:rPr>
          <w:rFonts w:hint="eastAsia" w:ascii="宋体" w:hAnsi="宋体" w:cs="宋体"/>
          <w:color w:val="000000" w:themeColor="text1"/>
          <w:kern w:val="0"/>
          <w:sz w:val="28"/>
          <w:szCs w:val="28"/>
          <w:highlight w:val="none"/>
          <w:u w:val="single"/>
          <w:lang w:val="en-US" w:eastAsia="zh-CN"/>
          <w14:textFill>
            <w14:solidFill>
              <w14:schemeClr w14:val="tx1"/>
            </w14:solidFill>
          </w14:textFill>
        </w:rPr>
        <w:t>（</w:t>
      </w:r>
      <w:r>
        <w:rPr>
          <w:rFonts w:hint="eastAsia" w:ascii="宋体" w:hAnsi="宋体" w:eastAsia="宋体" w:cs="宋体"/>
          <w:color w:val="000000" w:themeColor="text1"/>
          <w:kern w:val="0"/>
          <w:sz w:val="28"/>
          <w:szCs w:val="28"/>
          <w:highlight w:val="none"/>
          <w:u w:val="single"/>
          <w14:textFill>
            <w14:solidFill>
              <w14:schemeClr w14:val="tx1"/>
            </w14:solidFill>
          </w14:textFill>
        </w:rPr>
        <w:t>项目名称</w:t>
      </w:r>
      <w:r>
        <w:rPr>
          <w:rFonts w:hint="eastAsia" w:ascii="宋体" w:hAnsi="宋体" w:cs="宋体"/>
          <w:color w:val="000000" w:themeColor="text1"/>
          <w:kern w:val="0"/>
          <w:sz w:val="28"/>
          <w:szCs w:val="28"/>
          <w:highlight w:val="none"/>
          <w:u w:val="single"/>
          <w:lang w:eastAsia="zh-CN"/>
          <w14:textFill>
            <w14:solidFill>
              <w14:schemeClr w14:val="tx1"/>
            </w14:solidFill>
          </w14:textFill>
        </w:rPr>
        <w:t>、</w:t>
      </w:r>
      <w:r>
        <w:rPr>
          <w:rFonts w:hint="eastAsia" w:ascii="宋体" w:hAnsi="宋体" w:cs="宋体"/>
          <w:color w:val="000000" w:themeColor="text1"/>
          <w:kern w:val="0"/>
          <w:sz w:val="28"/>
          <w:szCs w:val="28"/>
          <w:highlight w:val="none"/>
          <w:u w:val="single"/>
          <w:lang w:val="en-US" w:eastAsia="zh-CN"/>
          <w14:textFill>
            <w14:solidFill>
              <w14:schemeClr w14:val="tx1"/>
            </w14:solidFill>
          </w14:textFill>
        </w:rPr>
        <w:t>项目编号、标项名称）</w:t>
      </w:r>
      <w:r>
        <w:rPr>
          <w:rFonts w:hint="eastAsia" w:ascii="宋体" w:hAnsi="宋体" w:eastAsia="宋体" w:cs="宋体"/>
          <w:color w:val="000000" w:themeColor="text1"/>
          <w:kern w:val="0"/>
          <w:sz w:val="28"/>
          <w:szCs w:val="28"/>
          <w:highlight w:val="none"/>
          <w14:textFill>
            <w14:solidFill>
              <w14:schemeClr w14:val="tx1"/>
            </w14:solidFill>
          </w14:textFill>
        </w:rPr>
        <w:t>，我公司在完全理解本项目招标的技术要求、商务条款及其他内容后，决定参与该项目的投标活动。并承诺，如中标，我公司将提供足够的设备和专业技术能力保证本合同履行。</w:t>
      </w:r>
    </w:p>
    <w:p w14:paraId="5BC512F8">
      <w:pPr>
        <w:keepNext w:val="0"/>
        <w:keepLines w:val="0"/>
        <w:pageBreakBefore w:val="0"/>
        <w:widowControl w:val="0"/>
        <w:kinsoku/>
        <w:wordWrap/>
        <w:overflowPunct/>
        <w:topLinePunct w:val="0"/>
        <w:bidi w:val="0"/>
        <w:adjustRightInd/>
        <w:snapToGrid/>
        <w:spacing w:line="560" w:lineRule="exact"/>
        <w:ind w:left="0" w:leftChars="0" w:firstLine="560" w:firstLineChars="200"/>
        <w:textAlignment w:val="auto"/>
        <w:rPr>
          <w:rFonts w:hint="eastAsia" w:ascii="宋体" w:hAnsi="宋体" w:eastAsia="宋体" w:cs="宋体"/>
          <w:color w:val="000000" w:themeColor="text1"/>
          <w:kern w:val="0"/>
          <w:sz w:val="28"/>
          <w:szCs w:val="28"/>
          <w:highlight w:val="none"/>
          <w14:textFill>
            <w14:solidFill>
              <w14:schemeClr w14:val="tx1"/>
            </w14:solidFill>
          </w14:textFill>
        </w:rPr>
      </w:pPr>
      <w:r>
        <w:rPr>
          <w:rFonts w:hint="eastAsia" w:ascii="宋体" w:hAnsi="宋体" w:eastAsia="宋体" w:cs="宋体"/>
          <w:color w:val="000000" w:themeColor="text1"/>
          <w:kern w:val="0"/>
          <w:sz w:val="28"/>
          <w:szCs w:val="28"/>
          <w:highlight w:val="none"/>
          <w14:textFill>
            <w14:solidFill>
              <w14:schemeClr w14:val="tx1"/>
            </w14:solidFill>
          </w14:textFill>
        </w:rPr>
        <w:t>本公司对上述承诺的真实性负责。如有虚假，我公司同意按我方合同违约处理并依法承担相应法律责任。</w:t>
      </w:r>
    </w:p>
    <w:p w14:paraId="7D7F95A6">
      <w:pPr>
        <w:keepNext w:val="0"/>
        <w:keepLines w:val="0"/>
        <w:pageBreakBefore w:val="0"/>
        <w:widowControl w:val="0"/>
        <w:kinsoku/>
        <w:wordWrap/>
        <w:overflowPunct/>
        <w:topLinePunct w:val="0"/>
        <w:bidi w:val="0"/>
        <w:adjustRightInd/>
        <w:snapToGrid/>
        <w:spacing w:line="560" w:lineRule="exact"/>
        <w:ind w:left="0" w:leftChars="0" w:firstLine="560" w:firstLineChars="200"/>
        <w:textAlignment w:val="auto"/>
        <w:rPr>
          <w:rFonts w:hint="eastAsia" w:ascii="宋体" w:hAnsi="宋体" w:eastAsia="宋体" w:cs="宋体"/>
          <w:color w:val="000000" w:themeColor="text1"/>
          <w:sz w:val="28"/>
          <w:szCs w:val="28"/>
          <w:highlight w:val="none"/>
          <w14:textFill>
            <w14:solidFill>
              <w14:schemeClr w14:val="tx1"/>
            </w14:solidFill>
          </w14:textFill>
        </w:rPr>
      </w:pPr>
    </w:p>
    <w:p w14:paraId="74F80151">
      <w:pPr>
        <w:keepNext w:val="0"/>
        <w:keepLines w:val="0"/>
        <w:pageBreakBefore w:val="0"/>
        <w:widowControl w:val="0"/>
        <w:kinsoku/>
        <w:wordWrap/>
        <w:overflowPunct/>
        <w:topLinePunct w:val="0"/>
        <w:bidi w:val="0"/>
        <w:adjustRightInd/>
        <w:snapToGrid/>
        <w:spacing w:line="560" w:lineRule="exact"/>
        <w:ind w:left="0" w:leftChars="0" w:firstLine="560" w:firstLineChars="200"/>
        <w:textAlignment w:val="auto"/>
        <w:rPr>
          <w:rFonts w:hint="eastAsia" w:ascii="宋体" w:hAnsi="宋体" w:eastAsia="宋体" w:cs="宋体"/>
          <w:color w:val="000000" w:themeColor="text1"/>
          <w:sz w:val="28"/>
          <w:szCs w:val="28"/>
          <w:highlight w:val="none"/>
          <w14:textFill>
            <w14:solidFill>
              <w14:schemeClr w14:val="tx1"/>
            </w14:solidFill>
          </w14:textFill>
        </w:rPr>
      </w:pPr>
    </w:p>
    <w:p w14:paraId="2A31C10A">
      <w:pPr>
        <w:keepNext w:val="0"/>
        <w:keepLines w:val="0"/>
        <w:pageBreakBefore w:val="0"/>
        <w:widowControl w:val="0"/>
        <w:kinsoku/>
        <w:wordWrap/>
        <w:overflowPunct/>
        <w:topLinePunct w:val="0"/>
        <w:autoSpaceDE w:val="0"/>
        <w:autoSpaceDN w:val="0"/>
        <w:bidi w:val="0"/>
        <w:adjustRightInd/>
        <w:snapToGrid/>
        <w:spacing w:line="560" w:lineRule="exact"/>
        <w:ind w:left="0" w:leftChars="0" w:firstLine="560" w:firstLineChars="200"/>
        <w:jc w:val="center"/>
        <w:textAlignment w:val="auto"/>
        <w:rPr>
          <w:rFonts w:hint="default" w:ascii="宋体" w:hAnsi="宋体" w:eastAsia="宋体" w:cs="宋体"/>
          <w:color w:val="000000" w:themeColor="text1"/>
          <w:kern w:val="0"/>
          <w:sz w:val="28"/>
          <w:szCs w:val="28"/>
          <w:highlight w:val="none"/>
          <w:u w:val="single"/>
          <w:lang w:val="en-US" w:eastAsia="zh-CN"/>
          <w14:textFill>
            <w14:solidFill>
              <w14:schemeClr w14:val="tx1"/>
            </w14:solidFill>
          </w14:textFill>
        </w:rPr>
      </w:pPr>
      <w:r>
        <w:rPr>
          <w:rFonts w:hint="eastAsia" w:ascii="宋体" w:hAnsi="宋体" w:eastAsia="宋体" w:cs="宋体"/>
          <w:color w:val="000000" w:themeColor="text1"/>
          <w:kern w:val="0"/>
          <w:sz w:val="28"/>
          <w:szCs w:val="28"/>
          <w:highlight w:val="none"/>
          <w:lang w:val="en-US" w:eastAsia="zh-CN"/>
          <w14:textFill>
            <w14:solidFill>
              <w14:schemeClr w14:val="tx1"/>
            </w14:solidFill>
          </w14:textFill>
        </w:rPr>
        <w:t xml:space="preserve">                  </w:t>
      </w:r>
      <w:r>
        <w:rPr>
          <w:rFonts w:hint="eastAsia" w:ascii="宋体" w:hAnsi="宋体" w:eastAsia="宋体" w:cs="宋体"/>
          <w:color w:val="000000" w:themeColor="text1"/>
          <w:kern w:val="0"/>
          <w:sz w:val="28"/>
          <w:szCs w:val="28"/>
          <w:highlight w:val="none"/>
          <w14:textFill>
            <w14:solidFill>
              <w14:schemeClr w14:val="tx1"/>
            </w14:solidFill>
          </w14:textFill>
        </w:rPr>
        <w:t>供应商名称（电子公章）：</w:t>
      </w:r>
      <w:r>
        <w:rPr>
          <w:rFonts w:hint="eastAsia" w:ascii="宋体" w:hAnsi="宋体" w:cs="宋体"/>
          <w:color w:val="000000" w:themeColor="text1"/>
          <w:kern w:val="0"/>
          <w:sz w:val="28"/>
          <w:szCs w:val="28"/>
          <w:highlight w:val="none"/>
          <w:lang w:val="en-US" w:eastAsia="zh-CN"/>
          <w14:textFill>
            <w14:solidFill>
              <w14:schemeClr w14:val="tx1"/>
            </w14:solidFill>
          </w14:textFill>
        </w:rPr>
        <w:t xml:space="preserve"> </w:t>
      </w:r>
      <w:r>
        <w:rPr>
          <w:rFonts w:hint="eastAsia" w:ascii="宋体" w:hAnsi="宋体" w:cs="宋体"/>
          <w:color w:val="000000" w:themeColor="text1"/>
          <w:kern w:val="0"/>
          <w:sz w:val="28"/>
          <w:szCs w:val="28"/>
          <w:highlight w:val="none"/>
          <w:u w:val="single"/>
          <w:lang w:val="en-US" w:eastAsia="zh-CN"/>
          <w14:textFill>
            <w14:solidFill>
              <w14:schemeClr w14:val="tx1"/>
            </w14:solidFill>
          </w14:textFill>
        </w:rPr>
        <w:t xml:space="preserve">        </w:t>
      </w:r>
    </w:p>
    <w:p w14:paraId="12DDFC91">
      <w:pPr>
        <w:pStyle w:val="163"/>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宋体" w:hAnsi="宋体" w:eastAsia="宋体" w:cs="宋体"/>
          <w:color w:val="000000" w:themeColor="text1"/>
          <w:kern w:val="0"/>
          <w:sz w:val="28"/>
          <w:szCs w:val="28"/>
          <w:highlight w:val="none"/>
          <w:lang w:val="en-US" w:eastAsia="zh-CN"/>
          <w14:textFill>
            <w14:solidFill>
              <w14:schemeClr w14:val="tx1"/>
            </w14:solidFill>
          </w14:textFill>
        </w:rPr>
      </w:pPr>
      <w:r>
        <w:rPr>
          <w:rFonts w:hint="eastAsia" w:ascii="宋体" w:hAnsi="宋体" w:eastAsia="宋体" w:cs="宋体"/>
          <w:color w:val="000000" w:themeColor="text1"/>
          <w:kern w:val="0"/>
          <w:sz w:val="28"/>
          <w:szCs w:val="28"/>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法定代表人或其委托代理人（签字</w:t>
      </w:r>
      <w:r>
        <w:rPr>
          <w:rFonts w:hint="eastAsia" w:ascii="宋体" w:hAnsi="宋体" w:cs="宋体"/>
          <w:color w:val="000000" w:themeColor="text1"/>
          <w:sz w:val="28"/>
          <w:szCs w:val="28"/>
          <w:highlight w:val="none"/>
          <w:lang w:eastAsia="zh-CN"/>
          <w14:textFill>
            <w14:solidFill>
              <w14:schemeClr w14:val="tx1"/>
            </w14:solidFill>
          </w14:textFill>
        </w:rPr>
        <w:t>或</w:t>
      </w:r>
      <w:r>
        <w:rPr>
          <w:rFonts w:hint="eastAsia" w:ascii="宋体" w:hAnsi="宋体" w:eastAsia="宋体" w:cs="宋体"/>
          <w:color w:val="000000" w:themeColor="text1"/>
          <w:sz w:val="28"/>
          <w:szCs w:val="28"/>
          <w:highlight w:val="none"/>
          <w14:textFill>
            <w14:solidFill>
              <w14:schemeClr w14:val="tx1"/>
            </w14:solidFill>
          </w14:textFill>
        </w:rPr>
        <w:t>盖章）：</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r>
        <w:rPr>
          <w:rFonts w:hint="eastAsia" w:ascii="宋体" w:hAnsi="宋体" w:cs="宋体"/>
          <w:color w:val="000000" w:themeColor="text1"/>
          <w:sz w:val="28"/>
          <w:szCs w:val="28"/>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kern w:val="0"/>
          <w:sz w:val="28"/>
          <w:szCs w:val="28"/>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8"/>
          <w:szCs w:val="28"/>
          <w:highlight w:val="none"/>
          <w:lang w:val="en-US" w:eastAsia="zh-CN"/>
          <w14:textFill>
            <w14:solidFill>
              <w14:schemeClr w14:val="tx1"/>
            </w14:solidFill>
          </w14:textFill>
        </w:rPr>
        <w:t xml:space="preserve">                       </w:t>
      </w:r>
    </w:p>
    <w:p w14:paraId="578E0BC9">
      <w:pPr>
        <w:keepNext w:val="0"/>
        <w:keepLines w:val="0"/>
        <w:pageBreakBefore w:val="0"/>
        <w:widowControl w:val="0"/>
        <w:kinsoku/>
        <w:wordWrap/>
        <w:overflowPunct/>
        <w:topLinePunct w:val="0"/>
        <w:autoSpaceDE w:val="0"/>
        <w:autoSpaceDN w:val="0"/>
        <w:bidi w:val="0"/>
        <w:adjustRightInd/>
        <w:snapToGrid/>
        <w:spacing w:line="560" w:lineRule="exact"/>
        <w:ind w:left="0" w:leftChars="0" w:firstLine="560" w:firstLineChars="200"/>
        <w:jc w:val="center"/>
        <w:textAlignment w:val="auto"/>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lang w:val="en-US" w:eastAsia="zh-CN"/>
          <w14:textFill>
            <w14:solidFill>
              <w14:schemeClr w14:val="tx1"/>
            </w14:solidFill>
          </w14:textFill>
        </w:rPr>
        <w:t xml:space="preserve">            </w:t>
      </w:r>
      <w:r>
        <w:rPr>
          <w:rFonts w:hint="eastAsia" w:ascii="宋体" w:hAnsi="宋体" w:eastAsia="宋体" w:cs="宋体"/>
          <w:color w:val="000000" w:themeColor="text1"/>
          <w:kern w:val="0"/>
          <w:sz w:val="28"/>
          <w:szCs w:val="28"/>
          <w:highlight w:val="none"/>
          <w:lang w:val="zh-CN"/>
          <w14:textFill>
            <w14:solidFill>
              <w14:schemeClr w14:val="tx1"/>
            </w14:solidFill>
          </w14:textFill>
        </w:rPr>
        <w:t xml:space="preserve">日期： </w:t>
      </w:r>
      <w:r>
        <w:rPr>
          <w:rFonts w:hint="eastAsia" w:ascii="宋体" w:hAnsi="宋体" w:eastAsia="宋体" w:cs="宋体"/>
          <w:color w:val="000000" w:themeColor="text1"/>
          <w:kern w:val="0"/>
          <w:sz w:val="28"/>
          <w:szCs w:val="28"/>
          <w:highlight w:val="none"/>
          <w:u w:val="single"/>
          <w:lang w:val="zh-CN"/>
          <w14:textFill>
            <w14:solidFill>
              <w14:schemeClr w14:val="tx1"/>
            </w14:solidFill>
          </w14:textFill>
        </w:rPr>
        <w:t xml:space="preserve"> </w:t>
      </w:r>
      <w:r>
        <w:rPr>
          <w:rFonts w:hint="eastAsia" w:ascii="宋体" w:hAnsi="宋体" w:cs="宋体"/>
          <w:color w:val="000000" w:themeColor="text1"/>
          <w:kern w:val="0"/>
          <w:sz w:val="28"/>
          <w:szCs w:val="28"/>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8"/>
          <w:szCs w:val="28"/>
          <w:highlight w:val="none"/>
          <w:lang w:val="zh-CN"/>
          <w14:textFill>
            <w14:solidFill>
              <w14:schemeClr w14:val="tx1"/>
            </w14:solidFill>
          </w14:textFill>
        </w:rPr>
        <w:t>年</w:t>
      </w:r>
      <w:r>
        <w:rPr>
          <w:rFonts w:hint="eastAsia" w:ascii="宋体" w:hAnsi="宋体" w:cs="宋体"/>
          <w:color w:val="000000" w:themeColor="text1"/>
          <w:kern w:val="0"/>
          <w:sz w:val="28"/>
          <w:szCs w:val="28"/>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8"/>
          <w:szCs w:val="28"/>
          <w:highlight w:val="none"/>
          <w:u w:val="single"/>
          <w:lang w:val="zh-CN"/>
          <w14:textFill>
            <w14:solidFill>
              <w14:schemeClr w14:val="tx1"/>
            </w14:solidFill>
          </w14:textFill>
        </w:rPr>
        <w:t xml:space="preserve"> </w:t>
      </w:r>
      <w:r>
        <w:rPr>
          <w:rFonts w:hint="eastAsia" w:ascii="宋体" w:hAnsi="宋体" w:cs="宋体"/>
          <w:color w:val="000000" w:themeColor="text1"/>
          <w:kern w:val="0"/>
          <w:sz w:val="28"/>
          <w:szCs w:val="28"/>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8"/>
          <w:szCs w:val="28"/>
          <w:highlight w:val="none"/>
          <w:u w:val="single"/>
          <w:lang w:val="zh-CN"/>
          <w14:textFill>
            <w14:solidFill>
              <w14:schemeClr w14:val="tx1"/>
            </w14:solidFill>
          </w14:textFill>
        </w:rPr>
        <w:t xml:space="preserve"> </w:t>
      </w:r>
      <w:r>
        <w:rPr>
          <w:rFonts w:hint="eastAsia" w:ascii="宋体" w:hAnsi="宋体" w:eastAsia="宋体" w:cs="宋体"/>
          <w:color w:val="000000" w:themeColor="text1"/>
          <w:kern w:val="0"/>
          <w:sz w:val="28"/>
          <w:szCs w:val="28"/>
          <w:highlight w:val="none"/>
          <w:lang w:val="zh-CN"/>
          <w14:textFill>
            <w14:solidFill>
              <w14:schemeClr w14:val="tx1"/>
            </w14:solidFill>
          </w14:textFill>
        </w:rPr>
        <w:t>月</w:t>
      </w:r>
      <w:r>
        <w:rPr>
          <w:rFonts w:hint="eastAsia" w:ascii="宋体" w:hAnsi="宋体" w:eastAsia="宋体" w:cs="宋体"/>
          <w:color w:val="000000" w:themeColor="text1"/>
          <w:kern w:val="0"/>
          <w:sz w:val="28"/>
          <w:szCs w:val="28"/>
          <w:highlight w:val="none"/>
          <w:u w:val="single"/>
          <w:lang w:val="zh-CN"/>
          <w14:textFill>
            <w14:solidFill>
              <w14:schemeClr w14:val="tx1"/>
            </w14:solidFill>
          </w14:textFill>
        </w:rPr>
        <w:t xml:space="preserve">   </w:t>
      </w:r>
      <w:r>
        <w:rPr>
          <w:rFonts w:hint="eastAsia" w:ascii="宋体" w:hAnsi="宋体" w:cs="宋体"/>
          <w:color w:val="000000" w:themeColor="text1"/>
          <w:kern w:val="0"/>
          <w:sz w:val="28"/>
          <w:szCs w:val="28"/>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8"/>
          <w:szCs w:val="28"/>
          <w:highlight w:val="none"/>
          <w:lang w:val="zh-CN"/>
          <w14:textFill>
            <w14:solidFill>
              <w14:schemeClr w14:val="tx1"/>
            </w14:solidFill>
          </w14:textFill>
        </w:rPr>
        <w:t>日</w:t>
      </w:r>
    </w:p>
    <w:p w14:paraId="0C159AD0">
      <w:pPr>
        <w:keepNext w:val="0"/>
        <w:keepLines w:val="0"/>
        <w:pageBreakBefore w:val="0"/>
        <w:kinsoku/>
        <w:wordWrap/>
        <w:overflowPunct/>
        <w:topLinePunct w:val="0"/>
        <w:autoSpaceDE/>
        <w:autoSpaceDN/>
        <w:bidi w:val="0"/>
        <w:adjustRightInd/>
        <w:snapToGrid/>
        <w:spacing w:before="165" w:beforeLines="50" w:after="50" w:line="560" w:lineRule="exact"/>
        <w:ind w:right="0" w:firstLine="0" w:firstLineChars="0"/>
        <w:jc w:val="both"/>
        <w:textAlignment w:val="auto"/>
        <w:rPr>
          <w:rFonts w:asciiTheme="minorEastAsia" w:hAnsiTheme="minorEastAsia" w:eastAsiaTheme="minorEastAsia"/>
          <w:b/>
          <w:color w:val="000000" w:themeColor="text1"/>
          <w:sz w:val="28"/>
          <w:szCs w:val="28"/>
          <w:highlight w:val="none"/>
          <w14:textFill>
            <w14:solidFill>
              <w14:schemeClr w14:val="tx1"/>
            </w14:solidFill>
          </w14:textFill>
        </w:rPr>
      </w:pPr>
    </w:p>
    <w:p w14:paraId="62F8D4BC">
      <w:pPr>
        <w:keepNext w:val="0"/>
        <w:keepLines w:val="0"/>
        <w:pageBreakBefore w:val="0"/>
        <w:kinsoku/>
        <w:wordWrap/>
        <w:overflowPunct/>
        <w:topLinePunct w:val="0"/>
        <w:autoSpaceDE/>
        <w:autoSpaceDN/>
        <w:bidi w:val="0"/>
        <w:adjustRightInd/>
        <w:snapToGrid/>
        <w:spacing w:before="165" w:beforeLines="50" w:after="50" w:line="560" w:lineRule="exact"/>
        <w:ind w:right="0" w:firstLine="0" w:firstLineChars="0"/>
        <w:jc w:val="both"/>
        <w:textAlignment w:val="auto"/>
        <w:rPr>
          <w:rFonts w:asciiTheme="minorEastAsia" w:hAnsiTheme="minorEastAsia" w:eastAsiaTheme="minorEastAsia"/>
          <w:b/>
          <w:color w:val="000000" w:themeColor="text1"/>
          <w:sz w:val="28"/>
          <w:szCs w:val="28"/>
          <w:highlight w:val="none"/>
          <w14:textFill>
            <w14:solidFill>
              <w14:schemeClr w14:val="tx1"/>
            </w14:solidFill>
          </w14:textFill>
        </w:rPr>
      </w:pPr>
    </w:p>
    <w:p w14:paraId="7C5C569A">
      <w:pPr>
        <w:keepNext w:val="0"/>
        <w:keepLines w:val="0"/>
        <w:pageBreakBefore w:val="0"/>
        <w:kinsoku/>
        <w:wordWrap/>
        <w:overflowPunct/>
        <w:topLinePunct w:val="0"/>
        <w:autoSpaceDE/>
        <w:autoSpaceDN/>
        <w:bidi w:val="0"/>
        <w:adjustRightInd/>
        <w:snapToGrid/>
        <w:spacing w:before="165" w:beforeLines="50" w:after="50" w:line="560" w:lineRule="exact"/>
        <w:ind w:right="0" w:firstLine="0" w:firstLineChars="0"/>
        <w:jc w:val="both"/>
        <w:textAlignment w:val="auto"/>
        <w:rPr>
          <w:rFonts w:asciiTheme="minorEastAsia" w:hAnsiTheme="minorEastAsia" w:eastAsiaTheme="minorEastAsia"/>
          <w:b/>
          <w:color w:val="000000" w:themeColor="text1"/>
          <w:sz w:val="28"/>
          <w:szCs w:val="28"/>
          <w:highlight w:val="none"/>
          <w14:textFill>
            <w14:solidFill>
              <w14:schemeClr w14:val="tx1"/>
            </w14:solidFill>
          </w14:textFill>
        </w:rPr>
      </w:pPr>
    </w:p>
    <w:p w14:paraId="18E52263">
      <w:pPr>
        <w:keepNext w:val="0"/>
        <w:keepLines w:val="0"/>
        <w:pageBreakBefore w:val="0"/>
        <w:kinsoku/>
        <w:wordWrap/>
        <w:overflowPunct/>
        <w:topLinePunct w:val="0"/>
        <w:autoSpaceDE/>
        <w:autoSpaceDN/>
        <w:bidi w:val="0"/>
        <w:adjustRightInd/>
        <w:snapToGrid/>
        <w:spacing w:before="165" w:beforeLines="50" w:after="50" w:line="560" w:lineRule="exact"/>
        <w:ind w:right="0" w:firstLine="0" w:firstLineChars="0"/>
        <w:jc w:val="both"/>
        <w:textAlignment w:val="auto"/>
        <w:rPr>
          <w:rFonts w:asciiTheme="minorEastAsia" w:hAnsiTheme="minorEastAsia" w:eastAsiaTheme="minorEastAsia"/>
          <w:b/>
          <w:color w:val="000000" w:themeColor="text1"/>
          <w:sz w:val="28"/>
          <w:szCs w:val="28"/>
          <w:highlight w:val="none"/>
          <w14:textFill>
            <w14:solidFill>
              <w14:schemeClr w14:val="tx1"/>
            </w14:solidFill>
          </w14:textFill>
        </w:rPr>
      </w:pPr>
    </w:p>
    <w:p w14:paraId="6E35279C">
      <w:pPr>
        <w:keepNext w:val="0"/>
        <w:keepLines w:val="0"/>
        <w:pageBreakBefore w:val="0"/>
        <w:kinsoku/>
        <w:wordWrap/>
        <w:overflowPunct/>
        <w:topLinePunct w:val="0"/>
        <w:autoSpaceDE/>
        <w:autoSpaceDN/>
        <w:bidi w:val="0"/>
        <w:adjustRightInd/>
        <w:snapToGrid/>
        <w:spacing w:before="165" w:beforeLines="50" w:after="50" w:line="560" w:lineRule="exact"/>
        <w:ind w:right="0" w:firstLine="0" w:firstLineChars="0"/>
        <w:jc w:val="both"/>
        <w:textAlignment w:val="auto"/>
        <w:rPr>
          <w:rFonts w:asciiTheme="minorEastAsia" w:hAnsiTheme="minorEastAsia" w:eastAsiaTheme="minorEastAsia"/>
          <w:b/>
          <w:color w:val="000000" w:themeColor="text1"/>
          <w:sz w:val="28"/>
          <w:szCs w:val="28"/>
          <w:highlight w:val="none"/>
          <w14:textFill>
            <w14:solidFill>
              <w14:schemeClr w14:val="tx1"/>
            </w14:solidFill>
          </w14:textFill>
        </w:rPr>
      </w:pPr>
    </w:p>
    <w:p w14:paraId="06EB2F34">
      <w:pPr>
        <w:keepNext w:val="0"/>
        <w:keepLines w:val="0"/>
        <w:pageBreakBefore w:val="0"/>
        <w:kinsoku/>
        <w:wordWrap/>
        <w:overflowPunct/>
        <w:topLinePunct w:val="0"/>
        <w:autoSpaceDE/>
        <w:autoSpaceDN/>
        <w:bidi w:val="0"/>
        <w:adjustRightInd/>
        <w:snapToGrid/>
        <w:spacing w:before="165" w:beforeLines="50" w:after="50" w:line="560" w:lineRule="exact"/>
        <w:ind w:right="0" w:firstLine="0" w:firstLineChars="0"/>
        <w:jc w:val="both"/>
        <w:textAlignment w:val="auto"/>
        <w:rPr>
          <w:rFonts w:asciiTheme="minorEastAsia" w:hAnsiTheme="minorEastAsia" w:eastAsiaTheme="minorEastAsia"/>
          <w:b/>
          <w:color w:val="000000" w:themeColor="text1"/>
          <w:sz w:val="28"/>
          <w:szCs w:val="28"/>
          <w:highlight w:val="none"/>
          <w14:textFill>
            <w14:solidFill>
              <w14:schemeClr w14:val="tx1"/>
            </w14:solidFill>
          </w14:textFill>
        </w:rPr>
      </w:pPr>
    </w:p>
    <w:p w14:paraId="15583D87">
      <w:pPr>
        <w:keepNext w:val="0"/>
        <w:keepLines w:val="0"/>
        <w:pageBreakBefore w:val="0"/>
        <w:kinsoku/>
        <w:wordWrap/>
        <w:overflowPunct/>
        <w:topLinePunct w:val="0"/>
        <w:autoSpaceDE/>
        <w:autoSpaceDN/>
        <w:bidi w:val="0"/>
        <w:adjustRightInd/>
        <w:snapToGrid/>
        <w:spacing w:before="165" w:beforeLines="50" w:after="50" w:line="560" w:lineRule="exact"/>
        <w:ind w:right="0" w:firstLine="0" w:firstLineChars="0"/>
        <w:jc w:val="both"/>
        <w:textAlignment w:val="auto"/>
        <w:rPr>
          <w:rFonts w:asciiTheme="minorEastAsia" w:hAnsiTheme="minorEastAsia" w:eastAsiaTheme="minorEastAsia"/>
          <w:b/>
          <w:color w:val="000000" w:themeColor="text1"/>
          <w:sz w:val="28"/>
          <w:szCs w:val="28"/>
          <w:highlight w:val="none"/>
          <w14:textFill>
            <w14:solidFill>
              <w14:schemeClr w14:val="tx1"/>
            </w14:solidFill>
          </w14:textFill>
        </w:rPr>
      </w:pPr>
    </w:p>
    <w:p w14:paraId="6DF0B326">
      <w:pPr>
        <w:keepNext w:val="0"/>
        <w:keepLines w:val="0"/>
        <w:pageBreakBefore w:val="0"/>
        <w:kinsoku/>
        <w:wordWrap/>
        <w:overflowPunct/>
        <w:topLinePunct w:val="0"/>
        <w:autoSpaceDE/>
        <w:autoSpaceDN/>
        <w:bidi w:val="0"/>
        <w:adjustRightInd/>
        <w:snapToGrid/>
        <w:spacing w:line="560" w:lineRule="exact"/>
        <w:ind w:right="0" w:firstLine="0" w:firstLineChars="0"/>
        <w:jc w:val="both"/>
        <w:textAlignment w:val="auto"/>
        <w:rPr>
          <w:rFonts w:hint="eastAsia" w:cs="仿宋_GB2312" w:asciiTheme="minorEastAsia" w:hAnsiTheme="minorEastAsia" w:eastAsiaTheme="minorEastAsia"/>
          <w:b/>
          <w:color w:val="000000" w:themeColor="text1"/>
          <w:kern w:val="0"/>
          <w:sz w:val="28"/>
          <w:szCs w:val="28"/>
          <w:highlight w:val="none"/>
          <w14:textFill>
            <w14:solidFill>
              <w14:schemeClr w14:val="tx1"/>
            </w14:solidFill>
          </w14:textFill>
        </w:rPr>
      </w:pPr>
    </w:p>
    <w:p w14:paraId="67CC0A95">
      <w:pPr>
        <w:keepNext w:val="0"/>
        <w:keepLines w:val="0"/>
        <w:pageBreakBefore w:val="0"/>
        <w:kinsoku/>
        <w:wordWrap/>
        <w:overflowPunct/>
        <w:topLinePunct w:val="0"/>
        <w:autoSpaceDE/>
        <w:autoSpaceDN/>
        <w:bidi w:val="0"/>
        <w:adjustRightInd/>
        <w:snapToGrid/>
        <w:spacing w:line="560" w:lineRule="exact"/>
        <w:ind w:right="0" w:firstLine="0" w:firstLineChars="0"/>
        <w:jc w:val="both"/>
        <w:textAlignment w:val="auto"/>
        <w:rPr>
          <w:rFonts w:hint="eastAsia" w:cs="仿宋_GB2312" w:asciiTheme="minorEastAsia" w:hAnsiTheme="minorEastAsia" w:eastAsiaTheme="minorEastAsia"/>
          <w:b/>
          <w:color w:val="000000" w:themeColor="text1"/>
          <w:kern w:val="0"/>
          <w:sz w:val="28"/>
          <w:szCs w:val="28"/>
          <w:highlight w:val="none"/>
          <w14:textFill>
            <w14:solidFill>
              <w14:schemeClr w14:val="tx1"/>
            </w14:solidFill>
          </w14:textFill>
        </w:rPr>
      </w:pPr>
    </w:p>
    <w:p w14:paraId="6B057924">
      <w:pPr>
        <w:keepNext w:val="0"/>
        <w:keepLines w:val="0"/>
        <w:pageBreakBefore w:val="0"/>
        <w:kinsoku/>
        <w:wordWrap/>
        <w:overflowPunct/>
        <w:topLinePunct w:val="0"/>
        <w:autoSpaceDE/>
        <w:autoSpaceDN/>
        <w:bidi w:val="0"/>
        <w:adjustRightInd/>
        <w:snapToGrid/>
        <w:spacing w:line="560" w:lineRule="exact"/>
        <w:ind w:right="0" w:firstLine="0" w:firstLineChars="0"/>
        <w:jc w:val="both"/>
        <w:textAlignment w:val="auto"/>
        <w:rPr>
          <w:rFonts w:hint="eastAsia" w:cs="仿宋_GB2312" w:asciiTheme="minorEastAsia" w:hAnsiTheme="minorEastAsia" w:eastAsiaTheme="minorEastAsia"/>
          <w:b/>
          <w:color w:val="000000" w:themeColor="text1"/>
          <w:kern w:val="0"/>
          <w:sz w:val="28"/>
          <w:szCs w:val="28"/>
          <w:highlight w:val="none"/>
          <w14:textFill>
            <w14:solidFill>
              <w14:schemeClr w14:val="tx1"/>
            </w14:solidFill>
          </w14:textFill>
        </w:rPr>
      </w:pPr>
    </w:p>
    <w:p w14:paraId="4FDC473A">
      <w:pPr>
        <w:keepNext w:val="0"/>
        <w:keepLines w:val="0"/>
        <w:pageBreakBefore w:val="0"/>
        <w:kinsoku/>
        <w:wordWrap/>
        <w:overflowPunct/>
        <w:topLinePunct w:val="0"/>
        <w:autoSpaceDE/>
        <w:autoSpaceDN/>
        <w:bidi w:val="0"/>
        <w:adjustRightInd/>
        <w:snapToGrid/>
        <w:spacing w:line="560" w:lineRule="exact"/>
        <w:ind w:right="0" w:firstLine="0" w:firstLineChars="0"/>
        <w:jc w:val="both"/>
        <w:textAlignment w:val="auto"/>
        <w:rPr>
          <w:rFonts w:asciiTheme="minorEastAsia" w:hAnsiTheme="minorEastAsia" w:eastAsiaTheme="minorEastAsia"/>
          <w:b/>
          <w:color w:val="000000" w:themeColor="text1"/>
          <w:sz w:val="28"/>
          <w:szCs w:val="28"/>
          <w:highlight w:val="none"/>
          <w14:textFill>
            <w14:solidFill>
              <w14:schemeClr w14:val="tx1"/>
            </w14:solidFill>
          </w14:textFill>
        </w:rPr>
      </w:pPr>
      <w:r>
        <w:rPr>
          <w:rFonts w:hint="eastAsia" w:cs="仿宋_GB2312" w:asciiTheme="minorEastAsia" w:hAnsiTheme="minorEastAsia" w:eastAsiaTheme="minorEastAsia"/>
          <w:b/>
          <w:color w:val="000000" w:themeColor="text1"/>
          <w:kern w:val="0"/>
          <w:sz w:val="28"/>
          <w:szCs w:val="28"/>
          <w:highlight w:val="none"/>
          <w14:textFill>
            <w14:solidFill>
              <w14:schemeClr w14:val="tx1"/>
            </w14:solidFill>
          </w14:textFill>
        </w:rPr>
        <w:t>四、提供参加本次政府采购活动前近半年任意一个月的依法缴纳税收和社会保障资金的相关材料</w:t>
      </w:r>
    </w:p>
    <w:p w14:paraId="3A7C51EC">
      <w:pPr>
        <w:keepNext w:val="0"/>
        <w:keepLines w:val="0"/>
        <w:pageBreakBefore w:val="0"/>
        <w:kinsoku/>
        <w:wordWrap/>
        <w:overflowPunct/>
        <w:topLinePunct w:val="0"/>
        <w:bidi w:val="0"/>
        <w:adjustRightInd/>
        <w:snapToGrid/>
        <w:spacing w:line="560" w:lineRule="exact"/>
        <w:ind w:left="0" w:leftChars="0" w:firstLine="0" w:firstLineChars="0"/>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附：企业近半年任意一个月</w:t>
      </w:r>
      <w:r>
        <w:rPr>
          <w:rFonts w:hint="eastAsia" w:ascii="宋体" w:hAnsi="宋体" w:cs="宋体"/>
          <w:color w:val="000000" w:themeColor="text1"/>
          <w:sz w:val="28"/>
          <w:szCs w:val="28"/>
          <w:highlight w:val="none"/>
          <w:lang w:val="en-US" w:eastAsia="zh-CN"/>
          <w14:textFill>
            <w14:solidFill>
              <w14:schemeClr w14:val="tx1"/>
            </w14:solidFill>
          </w14:textFill>
        </w:rPr>
        <w:t>的</w:t>
      </w:r>
      <w:r>
        <w:rPr>
          <w:rFonts w:hint="eastAsia" w:ascii="宋体" w:hAnsi="宋体" w:eastAsia="宋体" w:cs="宋体"/>
          <w:color w:val="000000" w:themeColor="text1"/>
          <w:sz w:val="28"/>
          <w:szCs w:val="28"/>
          <w:highlight w:val="none"/>
          <w14:textFill>
            <w14:solidFill>
              <w14:schemeClr w14:val="tx1"/>
            </w14:solidFill>
          </w14:textFill>
        </w:rPr>
        <w:t>依法缴纳税收证明和社会保障资金缴纳凭证</w:t>
      </w:r>
    </w:p>
    <w:p w14:paraId="39CE4BFA">
      <w:pPr>
        <w:keepNext w:val="0"/>
        <w:keepLines w:val="0"/>
        <w:pageBreakBefore w:val="0"/>
        <w:kinsoku/>
        <w:wordWrap/>
        <w:overflowPunct/>
        <w:topLinePunct w:val="0"/>
        <w:autoSpaceDE/>
        <w:autoSpaceDN/>
        <w:bidi w:val="0"/>
        <w:adjustRightInd/>
        <w:snapToGrid/>
        <w:spacing w:line="560" w:lineRule="exact"/>
        <w:ind w:right="0" w:firstLine="0" w:firstLineChars="0"/>
        <w:jc w:val="both"/>
        <w:textAlignment w:val="auto"/>
        <w:rPr>
          <w:rFonts w:cs="仿宋_GB2312" w:asciiTheme="minorEastAsia" w:hAnsiTheme="minorEastAsia" w:eastAsiaTheme="minorEastAsia"/>
          <w:b/>
          <w:color w:val="000000" w:themeColor="text1"/>
          <w:kern w:val="0"/>
          <w:sz w:val="28"/>
          <w:szCs w:val="28"/>
          <w:highlight w:val="none"/>
          <w14:textFill>
            <w14:solidFill>
              <w14:schemeClr w14:val="tx1"/>
            </w14:solidFill>
          </w14:textFill>
        </w:rPr>
      </w:pPr>
    </w:p>
    <w:p w14:paraId="37C271F6">
      <w:pPr>
        <w:keepNext w:val="0"/>
        <w:keepLines w:val="0"/>
        <w:pageBreakBefore w:val="0"/>
        <w:kinsoku/>
        <w:wordWrap/>
        <w:overflowPunct/>
        <w:topLinePunct w:val="0"/>
        <w:autoSpaceDE/>
        <w:autoSpaceDN/>
        <w:bidi w:val="0"/>
        <w:adjustRightInd/>
        <w:snapToGrid/>
        <w:spacing w:line="560" w:lineRule="exact"/>
        <w:ind w:right="0" w:firstLine="0" w:firstLineChars="0"/>
        <w:jc w:val="both"/>
        <w:textAlignment w:val="auto"/>
        <w:rPr>
          <w:rFonts w:cs="仿宋_GB2312" w:asciiTheme="minorEastAsia" w:hAnsiTheme="minorEastAsia" w:eastAsiaTheme="minorEastAsia"/>
          <w:b/>
          <w:color w:val="000000" w:themeColor="text1"/>
          <w:kern w:val="0"/>
          <w:sz w:val="28"/>
          <w:szCs w:val="28"/>
          <w:highlight w:val="none"/>
          <w14:textFill>
            <w14:solidFill>
              <w14:schemeClr w14:val="tx1"/>
            </w14:solidFill>
          </w14:textFill>
        </w:rPr>
      </w:pPr>
    </w:p>
    <w:p w14:paraId="68E5C957">
      <w:pPr>
        <w:keepNext w:val="0"/>
        <w:keepLines w:val="0"/>
        <w:pageBreakBefore w:val="0"/>
        <w:kinsoku/>
        <w:wordWrap/>
        <w:overflowPunct/>
        <w:topLinePunct w:val="0"/>
        <w:autoSpaceDE/>
        <w:autoSpaceDN/>
        <w:bidi w:val="0"/>
        <w:adjustRightInd/>
        <w:snapToGrid/>
        <w:spacing w:line="560" w:lineRule="exact"/>
        <w:ind w:right="0" w:firstLine="0" w:firstLineChars="0"/>
        <w:jc w:val="both"/>
        <w:textAlignment w:val="auto"/>
        <w:rPr>
          <w:rFonts w:cs="仿宋_GB2312" w:asciiTheme="minorEastAsia" w:hAnsiTheme="minorEastAsia" w:eastAsiaTheme="minorEastAsia"/>
          <w:b/>
          <w:color w:val="000000" w:themeColor="text1"/>
          <w:kern w:val="0"/>
          <w:sz w:val="28"/>
          <w:szCs w:val="28"/>
          <w:highlight w:val="none"/>
          <w14:textFill>
            <w14:solidFill>
              <w14:schemeClr w14:val="tx1"/>
            </w14:solidFill>
          </w14:textFill>
        </w:rPr>
      </w:pPr>
    </w:p>
    <w:p w14:paraId="1A939A61">
      <w:pPr>
        <w:keepNext w:val="0"/>
        <w:keepLines w:val="0"/>
        <w:pageBreakBefore w:val="0"/>
        <w:kinsoku/>
        <w:wordWrap/>
        <w:overflowPunct/>
        <w:topLinePunct w:val="0"/>
        <w:autoSpaceDE/>
        <w:autoSpaceDN/>
        <w:bidi w:val="0"/>
        <w:adjustRightInd/>
        <w:snapToGrid/>
        <w:spacing w:line="560" w:lineRule="exact"/>
        <w:ind w:right="0" w:firstLine="0" w:firstLineChars="0"/>
        <w:jc w:val="both"/>
        <w:textAlignment w:val="auto"/>
        <w:rPr>
          <w:rFonts w:cs="仿宋_GB2312" w:asciiTheme="minorEastAsia" w:hAnsiTheme="minorEastAsia" w:eastAsiaTheme="minorEastAsia"/>
          <w:b/>
          <w:color w:val="000000" w:themeColor="text1"/>
          <w:kern w:val="0"/>
          <w:sz w:val="28"/>
          <w:szCs w:val="28"/>
          <w:highlight w:val="none"/>
          <w14:textFill>
            <w14:solidFill>
              <w14:schemeClr w14:val="tx1"/>
            </w14:solidFill>
          </w14:textFill>
        </w:rPr>
      </w:pPr>
    </w:p>
    <w:p w14:paraId="65393571">
      <w:pPr>
        <w:keepNext w:val="0"/>
        <w:keepLines w:val="0"/>
        <w:pageBreakBefore w:val="0"/>
        <w:kinsoku/>
        <w:wordWrap/>
        <w:overflowPunct/>
        <w:topLinePunct w:val="0"/>
        <w:autoSpaceDE/>
        <w:autoSpaceDN/>
        <w:bidi w:val="0"/>
        <w:adjustRightInd/>
        <w:snapToGrid/>
        <w:spacing w:line="560" w:lineRule="exact"/>
        <w:ind w:right="0" w:firstLine="0" w:firstLineChars="0"/>
        <w:jc w:val="both"/>
        <w:textAlignment w:val="auto"/>
        <w:rPr>
          <w:rFonts w:cs="仿宋_GB2312" w:asciiTheme="minorEastAsia" w:hAnsiTheme="minorEastAsia" w:eastAsiaTheme="minorEastAsia"/>
          <w:b/>
          <w:color w:val="000000" w:themeColor="text1"/>
          <w:kern w:val="0"/>
          <w:sz w:val="28"/>
          <w:szCs w:val="28"/>
          <w:highlight w:val="none"/>
          <w14:textFill>
            <w14:solidFill>
              <w14:schemeClr w14:val="tx1"/>
            </w14:solidFill>
          </w14:textFill>
        </w:rPr>
      </w:pPr>
    </w:p>
    <w:p w14:paraId="0CC10E27">
      <w:pPr>
        <w:keepNext w:val="0"/>
        <w:keepLines w:val="0"/>
        <w:pageBreakBefore w:val="0"/>
        <w:kinsoku/>
        <w:wordWrap/>
        <w:overflowPunct/>
        <w:topLinePunct w:val="0"/>
        <w:autoSpaceDE/>
        <w:autoSpaceDN/>
        <w:bidi w:val="0"/>
        <w:adjustRightInd/>
        <w:snapToGrid/>
        <w:spacing w:line="560" w:lineRule="exact"/>
        <w:ind w:right="0" w:firstLine="0" w:firstLineChars="0"/>
        <w:jc w:val="both"/>
        <w:textAlignment w:val="auto"/>
        <w:rPr>
          <w:rFonts w:cs="仿宋_GB2312" w:asciiTheme="minorEastAsia" w:hAnsiTheme="minorEastAsia" w:eastAsiaTheme="minorEastAsia"/>
          <w:b/>
          <w:color w:val="000000" w:themeColor="text1"/>
          <w:kern w:val="0"/>
          <w:sz w:val="28"/>
          <w:szCs w:val="28"/>
          <w:highlight w:val="none"/>
          <w14:textFill>
            <w14:solidFill>
              <w14:schemeClr w14:val="tx1"/>
            </w14:solidFill>
          </w14:textFill>
        </w:rPr>
      </w:pPr>
    </w:p>
    <w:p w14:paraId="216DEF13">
      <w:pPr>
        <w:keepNext w:val="0"/>
        <w:keepLines w:val="0"/>
        <w:pageBreakBefore w:val="0"/>
        <w:kinsoku/>
        <w:wordWrap/>
        <w:overflowPunct/>
        <w:topLinePunct w:val="0"/>
        <w:autoSpaceDE/>
        <w:autoSpaceDN/>
        <w:bidi w:val="0"/>
        <w:adjustRightInd/>
        <w:snapToGrid/>
        <w:spacing w:line="560" w:lineRule="exact"/>
        <w:ind w:right="0" w:firstLine="0" w:firstLineChars="0"/>
        <w:jc w:val="both"/>
        <w:textAlignment w:val="auto"/>
        <w:rPr>
          <w:rFonts w:cs="仿宋_GB2312" w:asciiTheme="minorEastAsia" w:hAnsiTheme="minorEastAsia" w:eastAsiaTheme="minorEastAsia"/>
          <w:b/>
          <w:color w:val="000000" w:themeColor="text1"/>
          <w:kern w:val="0"/>
          <w:sz w:val="28"/>
          <w:szCs w:val="28"/>
          <w:highlight w:val="none"/>
          <w14:textFill>
            <w14:solidFill>
              <w14:schemeClr w14:val="tx1"/>
            </w14:solidFill>
          </w14:textFill>
        </w:rPr>
      </w:pPr>
    </w:p>
    <w:p w14:paraId="55732C52">
      <w:pPr>
        <w:keepNext w:val="0"/>
        <w:keepLines w:val="0"/>
        <w:pageBreakBefore w:val="0"/>
        <w:kinsoku/>
        <w:wordWrap/>
        <w:overflowPunct/>
        <w:topLinePunct w:val="0"/>
        <w:autoSpaceDE/>
        <w:autoSpaceDN/>
        <w:bidi w:val="0"/>
        <w:adjustRightInd/>
        <w:snapToGrid/>
        <w:spacing w:line="560" w:lineRule="exact"/>
        <w:ind w:right="0" w:firstLine="0" w:firstLineChars="0"/>
        <w:jc w:val="both"/>
        <w:textAlignment w:val="auto"/>
        <w:rPr>
          <w:rFonts w:cs="仿宋_GB2312" w:asciiTheme="minorEastAsia" w:hAnsiTheme="minorEastAsia" w:eastAsiaTheme="minorEastAsia"/>
          <w:b/>
          <w:color w:val="000000" w:themeColor="text1"/>
          <w:kern w:val="0"/>
          <w:sz w:val="28"/>
          <w:szCs w:val="28"/>
          <w:highlight w:val="none"/>
          <w14:textFill>
            <w14:solidFill>
              <w14:schemeClr w14:val="tx1"/>
            </w14:solidFill>
          </w14:textFill>
        </w:rPr>
      </w:pPr>
    </w:p>
    <w:p w14:paraId="69B0BEA3">
      <w:pPr>
        <w:keepNext w:val="0"/>
        <w:keepLines w:val="0"/>
        <w:pageBreakBefore w:val="0"/>
        <w:kinsoku/>
        <w:wordWrap/>
        <w:overflowPunct/>
        <w:topLinePunct w:val="0"/>
        <w:autoSpaceDE/>
        <w:autoSpaceDN/>
        <w:bidi w:val="0"/>
        <w:adjustRightInd/>
        <w:snapToGrid/>
        <w:spacing w:line="560" w:lineRule="exact"/>
        <w:ind w:right="0" w:firstLine="0" w:firstLineChars="0"/>
        <w:jc w:val="both"/>
        <w:textAlignment w:val="auto"/>
        <w:rPr>
          <w:rFonts w:cs="仿宋_GB2312" w:asciiTheme="minorEastAsia" w:hAnsiTheme="minorEastAsia" w:eastAsiaTheme="minorEastAsia"/>
          <w:b/>
          <w:color w:val="000000" w:themeColor="text1"/>
          <w:kern w:val="0"/>
          <w:sz w:val="28"/>
          <w:szCs w:val="28"/>
          <w:highlight w:val="none"/>
          <w14:textFill>
            <w14:solidFill>
              <w14:schemeClr w14:val="tx1"/>
            </w14:solidFill>
          </w14:textFill>
        </w:rPr>
      </w:pPr>
    </w:p>
    <w:p w14:paraId="52FA39DC">
      <w:pPr>
        <w:keepNext w:val="0"/>
        <w:keepLines w:val="0"/>
        <w:pageBreakBefore w:val="0"/>
        <w:kinsoku/>
        <w:wordWrap/>
        <w:overflowPunct/>
        <w:topLinePunct w:val="0"/>
        <w:autoSpaceDE/>
        <w:autoSpaceDN/>
        <w:bidi w:val="0"/>
        <w:adjustRightInd/>
        <w:snapToGrid/>
        <w:spacing w:line="560" w:lineRule="exact"/>
        <w:ind w:right="0" w:firstLine="0" w:firstLineChars="0"/>
        <w:jc w:val="both"/>
        <w:textAlignment w:val="auto"/>
        <w:rPr>
          <w:rFonts w:cs="仿宋_GB2312" w:asciiTheme="minorEastAsia" w:hAnsiTheme="minorEastAsia" w:eastAsiaTheme="minorEastAsia"/>
          <w:b/>
          <w:color w:val="000000" w:themeColor="text1"/>
          <w:kern w:val="0"/>
          <w:sz w:val="28"/>
          <w:szCs w:val="28"/>
          <w:highlight w:val="none"/>
          <w14:textFill>
            <w14:solidFill>
              <w14:schemeClr w14:val="tx1"/>
            </w14:solidFill>
          </w14:textFill>
        </w:rPr>
      </w:pPr>
    </w:p>
    <w:p w14:paraId="26E5FADA">
      <w:pPr>
        <w:keepNext w:val="0"/>
        <w:keepLines w:val="0"/>
        <w:pageBreakBefore w:val="0"/>
        <w:kinsoku/>
        <w:wordWrap/>
        <w:overflowPunct/>
        <w:topLinePunct w:val="0"/>
        <w:autoSpaceDE/>
        <w:autoSpaceDN/>
        <w:bidi w:val="0"/>
        <w:adjustRightInd/>
        <w:snapToGrid/>
        <w:spacing w:line="560" w:lineRule="exact"/>
        <w:ind w:right="0" w:firstLine="0" w:firstLineChars="0"/>
        <w:jc w:val="both"/>
        <w:textAlignment w:val="auto"/>
        <w:rPr>
          <w:rFonts w:cs="仿宋_GB2312" w:asciiTheme="minorEastAsia" w:hAnsiTheme="minorEastAsia" w:eastAsiaTheme="minorEastAsia"/>
          <w:b/>
          <w:color w:val="000000" w:themeColor="text1"/>
          <w:kern w:val="0"/>
          <w:sz w:val="28"/>
          <w:szCs w:val="28"/>
          <w:highlight w:val="none"/>
          <w14:textFill>
            <w14:solidFill>
              <w14:schemeClr w14:val="tx1"/>
            </w14:solidFill>
          </w14:textFill>
        </w:rPr>
      </w:pPr>
    </w:p>
    <w:p w14:paraId="78E4017A">
      <w:pPr>
        <w:keepNext w:val="0"/>
        <w:keepLines w:val="0"/>
        <w:pageBreakBefore w:val="0"/>
        <w:kinsoku/>
        <w:wordWrap/>
        <w:overflowPunct/>
        <w:topLinePunct w:val="0"/>
        <w:autoSpaceDE/>
        <w:autoSpaceDN/>
        <w:bidi w:val="0"/>
        <w:adjustRightInd/>
        <w:snapToGrid/>
        <w:spacing w:line="560" w:lineRule="exact"/>
        <w:ind w:right="0" w:firstLine="0" w:firstLineChars="0"/>
        <w:jc w:val="both"/>
        <w:textAlignment w:val="auto"/>
        <w:rPr>
          <w:rFonts w:cs="仿宋_GB2312" w:asciiTheme="minorEastAsia" w:hAnsiTheme="minorEastAsia" w:eastAsiaTheme="minorEastAsia"/>
          <w:b/>
          <w:color w:val="000000" w:themeColor="text1"/>
          <w:kern w:val="0"/>
          <w:sz w:val="28"/>
          <w:szCs w:val="28"/>
          <w:highlight w:val="none"/>
          <w14:textFill>
            <w14:solidFill>
              <w14:schemeClr w14:val="tx1"/>
            </w14:solidFill>
          </w14:textFill>
        </w:rPr>
      </w:pPr>
    </w:p>
    <w:p w14:paraId="0FE9D245">
      <w:pPr>
        <w:keepNext w:val="0"/>
        <w:keepLines w:val="0"/>
        <w:pageBreakBefore w:val="0"/>
        <w:kinsoku/>
        <w:wordWrap/>
        <w:overflowPunct/>
        <w:topLinePunct w:val="0"/>
        <w:autoSpaceDE/>
        <w:autoSpaceDN/>
        <w:bidi w:val="0"/>
        <w:adjustRightInd/>
        <w:snapToGrid/>
        <w:spacing w:line="560" w:lineRule="exact"/>
        <w:ind w:right="0" w:firstLine="0" w:firstLineChars="0"/>
        <w:jc w:val="both"/>
        <w:textAlignment w:val="auto"/>
        <w:rPr>
          <w:rFonts w:cs="仿宋_GB2312" w:asciiTheme="minorEastAsia" w:hAnsiTheme="minorEastAsia" w:eastAsiaTheme="minorEastAsia"/>
          <w:b/>
          <w:color w:val="000000" w:themeColor="text1"/>
          <w:kern w:val="0"/>
          <w:sz w:val="28"/>
          <w:szCs w:val="28"/>
          <w:highlight w:val="none"/>
          <w14:textFill>
            <w14:solidFill>
              <w14:schemeClr w14:val="tx1"/>
            </w14:solidFill>
          </w14:textFill>
        </w:rPr>
      </w:pPr>
    </w:p>
    <w:p w14:paraId="70B5343F">
      <w:pPr>
        <w:keepNext w:val="0"/>
        <w:keepLines w:val="0"/>
        <w:pageBreakBefore w:val="0"/>
        <w:kinsoku/>
        <w:wordWrap/>
        <w:overflowPunct/>
        <w:topLinePunct w:val="0"/>
        <w:autoSpaceDE/>
        <w:autoSpaceDN/>
        <w:bidi w:val="0"/>
        <w:adjustRightInd/>
        <w:snapToGrid/>
        <w:spacing w:line="560" w:lineRule="exact"/>
        <w:ind w:right="0" w:firstLine="0" w:firstLineChars="0"/>
        <w:jc w:val="both"/>
        <w:textAlignment w:val="auto"/>
        <w:rPr>
          <w:rFonts w:cs="仿宋_GB2312" w:asciiTheme="minorEastAsia" w:hAnsiTheme="minorEastAsia" w:eastAsiaTheme="minorEastAsia"/>
          <w:b/>
          <w:color w:val="000000" w:themeColor="text1"/>
          <w:kern w:val="0"/>
          <w:sz w:val="28"/>
          <w:szCs w:val="28"/>
          <w:highlight w:val="none"/>
          <w14:textFill>
            <w14:solidFill>
              <w14:schemeClr w14:val="tx1"/>
            </w14:solidFill>
          </w14:textFill>
        </w:rPr>
      </w:pPr>
    </w:p>
    <w:p w14:paraId="6C552A1C">
      <w:pPr>
        <w:keepNext w:val="0"/>
        <w:keepLines w:val="0"/>
        <w:pageBreakBefore w:val="0"/>
        <w:kinsoku/>
        <w:wordWrap/>
        <w:overflowPunct/>
        <w:topLinePunct w:val="0"/>
        <w:autoSpaceDE/>
        <w:autoSpaceDN/>
        <w:bidi w:val="0"/>
        <w:adjustRightInd/>
        <w:snapToGrid/>
        <w:spacing w:line="560" w:lineRule="exact"/>
        <w:ind w:right="0" w:firstLine="0" w:firstLineChars="0"/>
        <w:jc w:val="both"/>
        <w:textAlignment w:val="auto"/>
        <w:rPr>
          <w:rFonts w:cs="仿宋_GB2312" w:asciiTheme="minorEastAsia" w:hAnsiTheme="minorEastAsia" w:eastAsiaTheme="minorEastAsia"/>
          <w:b/>
          <w:color w:val="000000" w:themeColor="text1"/>
          <w:kern w:val="0"/>
          <w:sz w:val="28"/>
          <w:szCs w:val="28"/>
          <w:highlight w:val="none"/>
          <w14:textFill>
            <w14:solidFill>
              <w14:schemeClr w14:val="tx1"/>
            </w14:solidFill>
          </w14:textFill>
        </w:rPr>
      </w:pPr>
    </w:p>
    <w:p w14:paraId="09232B42">
      <w:pPr>
        <w:keepNext w:val="0"/>
        <w:keepLines w:val="0"/>
        <w:pageBreakBefore w:val="0"/>
        <w:kinsoku/>
        <w:wordWrap/>
        <w:overflowPunct/>
        <w:topLinePunct w:val="0"/>
        <w:autoSpaceDE/>
        <w:autoSpaceDN/>
        <w:bidi w:val="0"/>
        <w:adjustRightInd/>
        <w:snapToGrid/>
        <w:spacing w:line="560" w:lineRule="exact"/>
        <w:ind w:right="0" w:firstLine="0" w:firstLineChars="0"/>
        <w:jc w:val="both"/>
        <w:textAlignment w:val="auto"/>
        <w:rPr>
          <w:rFonts w:cs="仿宋_GB2312" w:asciiTheme="minorEastAsia" w:hAnsiTheme="minorEastAsia" w:eastAsiaTheme="minorEastAsia"/>
          <w:b/>
          <w:color w:val="000000" w:themeColor="text1"/>
          <w:kern w:val="0"/>
          <w:sz w:val="28"/>
          <w:szCs w:val="28"/>
          <w:highlight w:val="none"/>
          <w14:textFill>
            <w14:solidFill>
              <w14:schemeClr w14:val="tx1"/>
            </w14:solidFill>
          </w14:textFill>
        </w:rPr>
      </w:pPr>
    </w:p>
    <w:p w14:paraId="40AC8720">
      <w:pPr>
        <w:keepNext w:val="0"/>
        <w:keepLines w:val="0"/>
        <w:pageBreakBefore w:val="0"/>
        <w:kinsoku/>
        <w:wordWrap/>
        <w:overflowPunct/>
        <w:topLinePunct w:val="0"/>
        <w:autoSpaceDE/>
        <w:autoSpaceDN/>
        <w:bidi w:val="0"/>
        <w:adjustRightInd/>
        <w:snapToGrid/>
        <w:spacing w:line="560" w:lineRule="exact"/>
        <w:ind w:right="0" w:firstLine="0" w:firstLineChars="0"/>
        <w:jc w:val="both"/>
        <w:textAlignment w:val="auto"/>
        <w:rPr>
          <w:rFonts w:cs="仿宋_GB2312" w:asciiTheme="minorEastAsia" w:hAnsiTheme="minorEastAsia" w:eastAsiaTheme="minorEastAsia"/>
          <w:b/>
          <w:color w:val="000000" w:themeColor="text1"/>
          <w:kern w:val="0"/>
          <w:sz w:val="28"/>
          <w:szCs w:val="28"/>
          <w:highlight w:val="none"/>
          <w14:textFill>
            <w14:solidFill>
              <w14:schemeClr w14:val="tx1"/>
            </w14:solidFill>
          </w14:textFill>
        </w:rPr>
      </w:pPr>
    </w:p>
    <w:p w14:paraId="459934F3">
      <w:pPr>
        <w:keepNext w:val="0"/>
        <w:keepLines w:val="0"/>
        <w:pageBreakBefore w:val="0"/>
        <w:kinsoku/>
        <w:wordWrap/>
        <w:overflowPunct/>
        <w:topLinePunct w:val="0"/>
        <w:autoSpaceDE/>
        <w:autoSpaceDN/>
        <w:bidi w:val="0"/>
        <w:adjustRightInd/>
        <w:snapToGrid/>
        <w:spacing w:line="560" w:lineRule="exact"/>
        <w:ind w:right="0" w:firstLine="0" w:firstLineChars="0"/>
        <w:jc w:val="both"/>
        <w:textAlignment w:val="auto"/>
        <w:rPr>
          <w:rFonts w:cs="仿宋_GB2312" w:asciiTheme="minorEastAsia" w:hAnsiTheme="minorEastAsia" w:eastAsiaTheme="minorEastAsia"/>
          <w:b/>
          <w:color w:val="000000" w:themeColor="text1"/>
          <w:kern w:val="0"/>
          <w:sz w:val="28"/>
          <w:szCs w:val="28"/>
          <w:highlight w:val="none"/>
          <w14:textFill>
            <w14:solidFill>
              <w14:schemeClr w14:val="tx1"/>
            </w14:solidFill>
          </w14:textFill>
        </w:rPr>
      </w:pPr>
    </w:p>
    <w:p w14:paraId="250A8C72">
      <w:pPr>
        <w:keepNext w:val="0"/>
        <w:keepLines w:val="0"/>
        <w:pageBreakBefore w:val="0"/>
        <w:kinsoku/>
        <w:wordWrap/>
        <w:overflowPunct/>
        <w:topLinePunct w:val="0"/>
        <w:autoSpaceDE/>
        <w:autoSpaceDN/>
        <w:bidi w:val="0"/>
        <w:adjustRightInd/>
        <w:snapToGrid/>
        <w:spacing w:line="560" w:lineRule="exact"/>
        <w:ind w:right="0" w:firstLine="0" w:firstLineChars="0"/>
        <w:jc w:val="both"/>
        <w:textAlignment w:val="auto"/>
        <w:rPr>
          <w:rFonts w:cs="仿宋_GB2312" w:asciiTheme="minorEastAsia" w:hAnsiTheme="minorEastAsia" w:eastAsiaTheme="minorEastAsia"/>
          <w:b/>
          <w:color w:val="000000" w:themeColor="text1"/>
          <w:kern w:val="0"/>
          <w:sz w:val="28"/>
          <w:szCs w:val="28"/>
          <w:highlight w:val="none"/>
          <w14:textFill>
            <w14:solidFill>
              <w14:schemeClr w14:val="tx1"/>
            </w14:solidFill>
          </w14:textFill>
        </w:rPr>
      </w:pPr>
    </w:p>
    <w:p w14:paraId="16B02287">
      <w:pPr>
        <w:keepNext w:val="0"/>
        <w:keepLines w:val="0"/>
        <w:pageBreakBefore w:val="0"/>
        <w:kinsoku/>
        <w:wordWrap/>
        <w:overflowPunct/>
        <w:topLinePunct w:val="0"/>
        <w:autoSpaceDE/>
        <w:autoSpaceDN/>
        <w:bidi w:val="0"/>
        <w:adjustRightInd/>
        <w:snapToGrid/>
        <w:spacing w:line="560" w:lineRule="exact"/>
        <w:ind w:right="0" w:firstLine="0" w:firstLineChars="0"/>
        <w:jc w:val="both"/>
        <w:textAlignment w:val="auto"/>
        <w:rPr>
          <w:rFonts w:hint="eastAsia" w:cs="仿宋_GB2312" w:asciiTheme="minorEastAsia" w:hAnsiTheme="minorEastAsia" w:eastAsiaTheme="minorEastAsia"/>
          <w:b/>
          <w:color w:val="000000" w:themeColor="text1"/>
          <w:kern w:val="0"/>
          <w:sz w:val="28"/>
          <w:szCs w:val="28"/>
          <w:highlight w:val="none"/>
          <w14:textFill>
            <w14:solidFill>
              <w14:schemeClr w14:val="tx1"/>
            </w14:solidFill>
          </w14:textFill>
        </w:rPr>
      </w:pPr>
    </w:p>
    <w:p w14:paraId="78C7504D">
      <w:pPr>
        <w:keepNext w:val="0"/>
        <w:keepLines w:val="0"/>
        <w:pageBreakBefore w:val="0"/>
        <w:kinsoku/>
        <w:wordWrap/>
        <w:overflowPunct/>
        <w:topLinePunct w:val="0"/>
        <w:autoSpaceDE/>
        <w:autoSpaceDN/>
        <w:bidi w:val="0"/>
        <w:adjustRightInd/>
        <w:snapToGrid/>
        <w:spacing w:line="560" w:lineRule="exact"/>
        <w:ind w:right="0" w:firstLine="0" w:firstLineChars="0"/>
        <w:jc w:val="both"/>
        <w:textAlignment w:val="auto"/>
        <w:rPr>
          <w:rFonts w:hint="eastAsia" w:cs="仿宋_GB2312" w:asciiTheme="minorEastAsia" w:hAnsiTheme="minorEastAsia" w:eastAsiaTheme="minorEastAsia"/>
          <w:b/>
          <w:color w:val="000000" w:themeColor="text1"/>
          <w:kern w:val="0"/>
          <w:sz w:val="28"/>
          <w:szCs w:val="28"/>
          <w:highlight w:val="none"/>
          <w14:textFill>
            <w14:solidFill>
              <w14:schemeClr w14:val="tx1"/>
            </w14:solidFill>
          </w14:textFill>
        </w:rPr>
      </w:pPr>
    </w:p>
    <w:p w14:paraId="4DFABE64">
      <w:pPr>
        <w:keepNext w:val="0"/>
        <w:keepLines w:val="0"/>
        <w:pageBreakBefore w:val="0"/>
        <w:kinsoku/>
        <w:wordWrap/>
        <w:overflowPunct/>
        <w:topLinePunct w:val="0"/>
        <w:autoSpaceDE/>
        <w:autoSpaceDN/>
        <w:bidi w:val="0"/>
        <w:adjustRightInd/>
        <w:snapToGrid/>
        <w:spacing w:line="560" w:lineRule="exact"/>
        <w:ind w:right="0" w:firstLine="0" w:firstLineChars="0"/>
        <w:jc w:val="both"/>
        <w:textAlignment w:val="auto"/>
        <w:rPr>
          <w:rFonts w:hint="eastAsia" w:cs="仿宋_GB2312" w:asciiTheme="minorEastAsia" w:hAnsiTheme="minorEastAsia" w:eastAsiaTheme="minorEastAsia"/>
          <w:b/>
          <w:color w:val="000000" w:themeColor="text1"/>
          <w:kern w:val="0"/>
          <w:sz w:val="28"/>
          <w:szCs w:val="28"/>
          <w:highlight w:val="none"/>
          <w14:textFill>
            <w14:solidFill>
              <w14:schemeClr w14:val="tx1"/>
            </w14:solidFill>
          </w14:textFill>
        </w:rPr>
      </w:pPr>
    </w:p>
    <w:p w14:paraId="056C5F24">
      <w:pPr>
        <w:keepNext w:val="0"/>
        <w:keepLines w:val="0"/>
        <w:pageBreakBefore w:val="0"/>
        <w:kinsoku/>
        <w:wordWrap/>
        <w:overflowPunct/>
        <w:topLinePunct w:val="0"/>
        <w:autoSpaceDE/>
        <w:autoSpaceDN/>
        <w:bidi w:val="0"/>
        <w:adjustRightInd/>
        <w:snapToGrid/>
        <w:spacing w:line="560" w:lineRule="exact"/>
        <w:ind w:right="0" w:firstLine="0" w:firstLineChars="0"/>
        <w:jc w:val="both"/>
        <w:textAlignment w:val="auto"/>
        <w:rPr>
          <w:rFonts w:hint="eastAsia" w:cs="仿宋_GB2312" w:asciiTheme="minorEastAsia" w:hAnsiTheme="minorEastAsia" w:eastAsiaTheme="minorEastAsia"/>
          <w:b/>
          <w:color w:val="000000" w:themeColor="text1"/>
          <w:kern w:val="0"/>
          <w:sz w:val="28"/>
          <w:szCs w:val="28"/>
          <w:highlight w:val="none"/>
          <w14:textFill>
            <w14:solidFill>
              <w14:schemeClr w14:val="tx1"/>
            </w14:solidFill>
          </w14:textFill>
        </w:rPr>
      </w:pPr>
    </w:p>
    <w:p w14:paraId="358E820F">
      <w:pPr>
        <w:keepNext w:val="0"/>
        <w:keepLines w:val="0"/>
        <w:pageBreakBefore w:val="0"/>
        <w:kinsoku/>
        <w:wordWrap/>
        <w:overflowPunct/>
        <w:topLinePunct w:val="0"/>
        <w:autoSpaceDE/>
        <w:autoSpaceDN/>
        <w:bidi w:val="0"/>
        <w:adjustRightInd/>
        <w:snapToGrid/>
        <w:spacing w:line="560" w:lineRule="exact"/>
        <w:ind w:right="0" w:firstLine="0" w:firstLineChars="0"/>
        <w:jc w:val="both"/>
        <w:textAlignment w:val="auto"/>
        <w:rPr>
          <w:rFonts w:asciiTheme="minorEastAsia" w:hAnsiTheme="minorEastAsia" w:eastAsiaTheme="minorEastAsia"/>
          <w:b/>
          <w:color w:val="000000" w:themeColor="text1"/>
          <w:sz w:val="28"/>
          <w:szCs w:val="28"/>
          <w:highlight w:val="none"/>
          <w14:textFill>
            <w14:solidFill>
              <w14:schemeClr w14:val="tx1"/>
            </w14:solidFill>
          </w14:textFill>
        </w:rPr>
      </w:pPr>
      <w:r>
        <w:rPr>
          <w:rFonts w:hint="eastAsia" w:cs="仿宋_GB2312" w:asciiTheme="minorEastAsia" w:hAnsiTheme="minorEastAsia" w:eastAsiaTheme="minorEastAsia"/>
          <w:b/>
          <w:color w:val="000000" w:themeColor="text1"/>
          <w:kern w:val="0"/>
          <w:sz w:val="28"/>
          <w:szCs w:val="28"/>
          <w:highlight w:val="none"/>
          <w14:textFill>
            <w14:solidFill>
              <w14:schemeClr w14:val="tx1"/>
            </w14:solidFill>
          </w14:textFill>
        </w:rPr>
        <w:t>五、提供参加本次政府采购活动前3年内在经营活动中没有重大违法记录的书面承诺函并加盖单位公章</w:t>
      </w:r>
    </w:p>
    <w:p w14:paraId="3D832946">
      <w:pPr>
        <w:pStyle w:val="163"/>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无重大违法记录声明书</w:t>
      </w:r>
    </w:p>
    <w:p w14:paraId="603B991B">
      <w:pPr>
        <w:pStyle w:val="13"/>
        <w:keepNext w:val="0"/>
        <w:keepLines w:val="0"/>
        <w:pageBreakBefore w:val="0"/>
        <w:widowControl w:val="0"/>
        <w:kinsoku/>
        <w:wordWrap/>
        <w:overflowPunct/>
        <w:topLinePunct w:val="0"/>
        <w:bidi w:val="0"/>
        <w:adjustRightInd/>
        <w:snapToGrid/>
        <w:spacing w:after="0" w:line="560" w:lineRule="exact"/>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致：</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sz w:val="28"/>
          <w:szCs w:val="28"/>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8"/>
          <w:szCs w:val="28"/>
          <w:highlight w:val="none"/>
          <w:u w:val="single"/>
          <w14:textFill>
            <w14:solidFill>
              <w14:schemeClr w14:val="tx1"/>
            </w14:solidFill>
          </w14:textFill>
        </w:rPr>
        <w:t xml:space="preserve">（采购人名称） </w:t>
      </w:r>
      <w:r>
        <w:rPr>
          <w:rFonts w:hint="eastAsia" w:ascii="宋体" w:hAnsi="宋体" w:eastAsia="宋体" w:cs="宋体"/>
          <w:color w:val="000000" w:themeColor="text1"/>
          <w:sz w:val="28"/>
          <w:szCs w:val="28"/>
          <w:highlight w:val="none"/>
          <w14:textFill>
            <w14:solidFill>
              <w14:schemeClr w14:val="tx1"/>
            </w14:solidFill>
          </w14:textFill>
        </w:rPr>
        <w:t>：</w:t>
      </w:r>
    </w:p>
    <w:p w14:paraId="5387F737">
      <w:pPr>
        <w:pStyle w:val="163"/>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我公司参与</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项目名称、</w:t>
      </w:r>
      <w:r>
        <w:rPr>
          <w:rFonts w:hint="eastAsia" w:ascii="宋体" w:hAnsi="宋体" w:cs="宋体"/>
          <w:color w:val="000000" w:themeColor="text1"/>
          <w:sz w:val="28"/>
          <w:szCs w:val="28"/>
          <w:highlight w:val="none"/>
          <w:lang w:eastAsia="zh-CN"/>
          <w14:textFill>
            <w14:solidFill>
              <w14:schemeClr w14:val="tx1"/>
            </w14:solidFill>
          </w14:textFill>
        </w:rPr>
        <w:t>项目</w:t>
      </w:r>
      <w:r>
        <w:rPr>
          <w:rFonts w:hint="eastAsia" w:ascii="宋体" w:hAnsi="宋体" w:eastAsia="宋体" w:cs="宋体"/>
          <w:color w:val="000000" w:themeColor="text1"/>
          <w:sz w:val="28"/>
          <w:szCs w:val="28"/>
          <w:highlight w:val="none"/>
          <w14:textFill>
            <w14:solidFill>
              <w14:schemeClr w14:val="tx1"/>
            </w14:solidFill>
          </w14:textFill>
        </w:rPr>
        <w:t>编号</w:t>
      </w:r>
      <w:r>
        <w:rPr>
          <w:rFonts w:hint="eastAsia" w:ascii="宋体" w:hAnsi="宋体" w:cs="宋体"/>
          <w:color w:val="000000" w:themeColor="text1"/>
          <w:sz w:val="28"/>
          <w:szCs w:val="28"/>
          <w:highlight w:val="none"/>
          <w:lang w:eastAsia="zh-CN"/>
          <w14:textFill>
            <w14:solidFill>
              <w14:schemeClr w14:val="tx1"/>
            </w14:solidFill>
          </w14:textFill>
        </w:rPr>
        <w:t>、标项名称</w:t>
      </w:r>
      <w:r>
        <w:rPr>
          <w:rFonts w:hint="eastAsia" w:ascii="宋体" w:hAnsi="宋体" w:eastAsia="宋体" w:cs="宋体"/>
          <w:color w:val="000000" w:themeColor="text1"/>
          <w:sz w:val="28"/>
          <w:szCs w:val="28"/>
          <w:highlight w:val="none"/>
          <w14:textFill>
            <w14:solidFill>
              <w14:schemeClr w14:val="tx1"/>
            </w14:solidFill>
          </w14:textFill>
        </w:rPr>
        <w:t>）投标，本公司郑重声明，我方参加本项目政府采购活动前三年内无重大违法记录，符合《政府采购法》规定的</w:t>
      </w:r>
      <w:r>
        <w:rPr>
          <w:rFonts w:hint="eastAsia" w:ascii="宋体" w:hAnsi="宋体" w:cs="宋体"/>
          <w:color w:val="000000" w:themeColor="text1"/>
          <w:sz w:val="28"/>
          <w:szCs w:val="28"/>
          <w:highlight w:val="none"/>
          <w:lang w:eastAsia="zh-CN"/>
          <w14:textFill>
            <w14:solidFill>
              <w14:schemeClr w14:val="tx1"/>
            </w14:solidFill>
          </w14:textFill>
        </w:rPr>
        <w:t>供应商</w:t>
      </w:r>
      <w:r>
        <w:rPr>
          <w:rFonts w:hint="eastAsia" w:ascii="宋体" w:hAnsi="宋体" w:eastAsia="宋体" w:cs="宋体"/>
          <w:color w:val="000000" w:themeColor="text1"/>
          <w:sz w:val="28"/>
          <w:szCs w:val="28"/>
          <w:highlight w:val="none"/>
          <w14:textFill>
            <w14:solidFill>
              <w14:schemeClr w14:val="tx1"/>
            </w14:solidFill>
          </w14:textFill>
        </w:rPr>
        <w:t>条件。若贵方在本项目采购过程中发现我方政府采购活动前三年内有重大违法记录，我公司将无条件退出本项目的投标，并承担因此引起的一切后果。我方对此声明负全部法律责任。</w:t>
      </w:r>
    </w:p>
    <w:p w14:paraId="4267AC7A">
      <w:pPr>
        <w:pStyle w:val="163"/>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特此声明。  </w:t>
      </w:r>
    </w:p>
    <w:p w14:paraId="3B8C6181">
      <w:pPr>
        <w:pStyle w:val="163"/>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color w:val="000000" w:themeColor="text1"/>
          <w:sz w:val="28"/>
          <w:szCs w:val="28"/>
          <w:highlight w:val="none"/>
          <w14:textFill>
            <w14:solidFill>
              <w14:schemeClr w14:val="tx1"/>
            </w14:solidFill>
          </w14:textFill>
        </w:rPr>
      </w:pPr>
    </w:p>
    <w:p w14:paraId="77C9C191">
      <w:pPr>
        <w:pStyle w:val="163"/>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color w:val="000000" w:themeColor="text1"/>
          <w:sz w:val="28"/>
          <w:szCs w:val="28"/>
          <w:highlight w:val="none"/>
          <w14:textFill>
            <w14:solidFill>
              <w14:schemeClr w14:val="tx1"/>
            </w14:solidFill>
          </w14:textFill>
        </w:rPr>
      </w:pPr>
    </w:p>
    <w:p w14:paraId="0D4FE236">
      <w:pPr>
        <w:pStyle w:val="163"/>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color w:val="000000" w:themeColor="text1"/>
          <w:sz w:val="28"/>
          <w:szCs w:val="28"/>
          <w:highlight w:val="none"/>
          <w14:textFill>
            <w14:solidFill>
              <w14:schemeClr w14:val="tx1"/>
            </w14:solidFill>
          </w14:textFill>
        </w:rPr>
      </w:pPr>
    </w:p>
    <w:p w14:paraId="7312BACB">
      <w:pPr>
        <w:pStyle w:val="163"/>
        <w:keepNext w:val="0"/>
        <w:keepLines w:val="0"/>
        <w:pageBreakBefore w:val="0"/>
        <w:widowControl w:val="0"/>
        <w:kinsoku/>
        <w:wordWrap/>
        <w:overflowPunct/>
        <w:topLinePunct w:val="0"/>
        <w:autoSpaceDE/>
        <w:autoSpaceDN/>
        <w:bidi w:val="0"/>
        <w:adjustRightInd/>
        <w:snapToGrid/>
        <w:spacing w:line="560" w:lineRule="exact"/>
        <w:ind w:firstLine="2800" w:firstLineChars="1000"/>
        <w:jc w:val="both"/>
        <w:textAlignment w:val="auto"/>
        <w:rPr>
          <w:rFonts w:hint="default"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4"/>
          <w:highlight w:val="none"/>
          <w14:textFill>
            <w14:solidFill>
              <w14:schemeClr w14:val="tx1"/>
            </w14:solidFill>
          </w14:textFill>
        </w:rPr>
        <w:t>供应商名称</w:t>
      </w:r>
      <w:r>
        <w:rPr>
          <w:rFonts w:hint="eastAsia" w:ascii="宋体" w:hAnsi="宋体" w:eastAsia="宋体" w:cs="宋体"/>
          <w:color w:val="000000" w:themeColor="text1"/>
          <w:sz w:val="28"/>
          <w:szCs w:val="28"/>
          <w:highlight w:val="none"/>
          <w14:textFill>
            <w14:solidFill>
              <w14:schemeClr w14:val="tx1"/>
            </w14:solidFill>
          </w14:textFill>
        </w:rPr>
        <w:t>（电子公章）：</w:t>
      </w:r>
      <w:r>
        <w:rPr>
          <w:rFonts w:hint="eastAsia" w:ascii="宋体" w:hAnsi="宋体" w:cs="宋体"/>
          <w:color w:val="000000" w:themeColor="text1"/>
          <w:sz w:val="28"/>
          <w:szCs w:val="28"/>
          <w:highlight w:val="none"/>
          <w:u w:val="single"/>
          <w:lang w:val="en-US" w:eastAsia="zh-CN"/>
          <w14:textFill>
            <w14:solidFill>
              <w14:schemeClr w14:val="tx1"/>
            </w14:solidFill>
          </w14:textFill>
        </w:rPr>
        <w:t xml:space="preserve">             </w:t>
      </w:r>
      <w:r>
        <w:rPr>
          <w:rFonts w:hint="eastAsia" w:ascii="宋体" w:hAnsi="宋体" w:cs="宋体"/>
          <w:color w:val="000000" w:themeColor="text1"/>
          <w:sz w:val="28"/>
          <w:szCs w:val="28"/>
          <w:highlight w:val="none"/>
          <w:lang w:val="en-US" w:eastAsia="zh-CN"/>
          <w14:textFill>
            <w14:solidFill>
              <w14:schemeClr w14:val="tx1"/>
            </w14:solidFill>
          </w14:textFill>
        </w:rPr>
        <w:t xml:space="preserve">  </w:t>
      </w:r>
    </w:p>
    <w:p w14:paraId="16F4C531">
      <w:pPr>
        <w:pStyle w:val="163"/>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法定代表人或其委托代理人（签字或盖章）：</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p>
    <w:p w14:paraId="3D35267D">
      <w:pPr>
        <w:pStyle w:val="163"/>
        <w:keepNext w:val="0"/>
        <w:keepLines w:val="0"/>
        <w:pageBreakBefore w:val="0"/>
        <w:widowControl w:val="0"/>
        <w:kinsoku/>
        <w:wordWrap/>
        <w:overflowPunct/>
        <w:topLinePunct w:val="0"/>
        <w:autoSpaceDE/>
        <w:autoSpaceDN/>
        <w:bidi w:val="0"/>
        <w:adjustRightInd/>
        <w:snapToGrid/>
        <w:spacing w:line="560" w:lineRule="exact"/>
        <w:ind w:firstLine="2800" w:firstLineChars="1000"/>
        <w:jc w:val="both"/>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日期：</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年</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月</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日</w:t>
      </w:r>
    </w:p>
    <w:p w14:paraId="78B84BD2">
      <w:pPr>
        <w:keepNext w:val="0"/>
        <w:keepLines w:val="0"/>
        <w:pageBreakBefore w:val="0"/>
        <w:kinsoku/>
        <w:wordWrap/>
        <w:overflowPunct/>
        <w:topLinePunct w:val="0"/>
        <w:autoSpaceDE/>
        <w:autoSpaceDN/>
        <w:bidi w:val="0"/>
        <w:adjustRightInd/>
        <w:snapToGrid/>
        <w:spacing w:line="560" w:lineRule="exact"/>
        <w:ind w:right="0" w:firstLine="0" w:firstLineChars="0"/>
        <w:contextualSpacing/>
        <w:jc w:val="both"/>
        <w:textAlignment w:val="auto"/>
        <w:rPr>
          <w:rFonts w:asciiTheme="minorEastAsia" w:hAnsiTheme="minorEastAsia" w:eastAsiaTheme="minorEastAsia"/>
          <w:color w:val="000000" w:themeColor="text1"/>
          <w:sz w:val="28"/>
          <w:szCs w:val="28"/>
          <w:highlight w:val="none"/>
          <w14:textFill>
            <w14:solidFill>
              <w14:schemeClr w14:val="tx1"/>
            </w14:solidFill>
          </w14:textFill>
        </w:rPr>
      </w:pPr>
    </w:p>
    <w:p w14:paraId="28AA08F1">
      <w:pPr>
        <w:keepNext w:val="0"/>
        <w:keepLines w:val="0"/>
        <w:pageBreakBefore w:val="0"/>
        <w:kinsoku/>
        <w:wordWrap/>
        <w:overflowPunct/>
        <w:topLinePunct w:val="0"/>
        <w:autoSpaceDE/>
        <w:autoSpaceDN/>
        <w:bidi w:val="0"/>
        <w:adjustRightInd/>
        <w:snapToGrid/>
        <w:spacing w:line="560" w:lineRule="exact"/>
        <w:ind w:right="0" w:firstLine="0" w:firstLineChars="0"/>
        <w:contextualSpacing/>
        <w:jc w:val="both"/>
        <w:textAlignment w:val="auto"/>
        <w:rPr>
          <w:rFonts w:asciiTheme="minorEastAsia" w:hAnsiTheme="minorEastAsia" w:eastAsiaTheme="minorEastAsia"/>
          <w:color w:val="000000" w:themeColor="text1"/>
          <w:sz w:val="28"/>
          <w:szCs w:val="28"/>
          <w:highlight w:val="none"/>
          <w14:textFill>
            <w14:solidFill>
              <w14:schemeClr w14:val="tx1"/>
            </w14:solidFill>
          </w14:textFill>
        </w:rPr>
      </w:pPr>
    </w:p>
    <w:p w14:paraId="26339AD7">
      <w:pPr>
        <w:keepNext w:val="0"/>
        <w:keepLines w:val="0"/>
        <w:pageBreakBefore w:val="0"/>
        <w:kinsoku/>
        <w:wordWrap/>
        <w:overflowPunct/>
        <w:topLinePunct w:val="0"/>
        <w:autoSpaceDE/>
        <w:autoSpaceDN/>
        <w:bidi w:val="0"/>
        <w:adjustRightInd/>
        <w:snapToGrid/>
        <w:spacing w:line="560" w:lineRule="exact"/>
        <w:ind w:right="0" w:firstLine="0" w:firstLineChars="0"/>
        <w:contextualSpacing/>
        <w:jc w:val="both"/>
        <w:textAlignment w:val="auto"/>
        <w:rPr>
          <w:rFonts w:asciiTheme="minorEastAsia" w:hAnsiTheme="minorEastAsia" w:eastAsiaTheme="minorEastAsia"/>
          <w:color w:val="000000" w:themeColor="text1"/>
          <w:sz w:val="28"/>
          <w:szCs w:val="28"/>
          <w:highlight w:val="none"/>
          <w14:textFill>
            <w14:solidFill>
              <w14:schemeClr w14:val="tx1"/>
            </w14:solidFill>
          </w14:textFill>
        </w:rPr>
      </w:pPr>
    </w:p>
    <w:p w14:paraId="24B99927">
      <w:pPr>
        <w:keepNext w:val="0"/>
        <w:keepLines w:val="0"/>
        <w:pageBreakBefore w:val="0"/>
        <w:kinsoku/>
        <w:wordWrap/>
        <w:overflowPunct/>
        <w:topLinePunct w:val="0"/>
        <w:autoSpaceDE/>
        <w:autoSpaceDN/>
        <w:bidi w:val="0"/>
        <w:adjustRightInd/>
        <w:snapToGrid/>
        <w:spacing w:line="560" w:lineRule="exact"/>
        <w:ind w:right="0" w:firstLine="0" w:firstLineChars="0"/>
        <w:contextualSpacing/>
        <w:jc w:val="both"/>
        <w:textAlignment w:val="auto"/>
        <w:rPr>
          <w:rFonts w:asciiTheme="minorEastAsia" w:hAnsiTheme="minorEastAsia" w:eastAsiaTheme="minorEastAsia"/>
          <w:color w:val="000000" w:themeColor="text1"/>
          <w:sz w:val="28"/>
          <w:szCs w:val="28"/>
          <w:highlight w:val="none"/>
          <w14:textFill>
            <w14:solidFill>
              <w14:schemeClr w14:val="tx1"/>
            </w14:solidFill>
          </w14:textFill>
        </w:rPr>
      </w:pPr>
    </w:p>
    <w:p w14:paraId="1A9EBA6A">
      <w:pPr>
        <w:keepNext w:val="0"/>
        <w:keepLines w:val="0"/>
        <w:pageBreakBefore w:val="0"/>
        <w:kinsoku/>
        <w:wordWrap/>
        <w:overflowPunct/>
        <w:topLinePunct w:val="0"/>
        <w:autoSpaceDE/>
        <w:autoSpaceDN/>
        <w:bidi w:val="0"/>
        <w:adjustRightInd/>
        <w:snapToGrid/>
        <w:spacing w:line="560" w:lineRule="exact"/>
        <w:ind w:right="0" w:firstLine="0" w:firstLineChars="0"/>
        <w:contextualSpacing/>
        <w:jc w:val="both"/>
        <w:textAlignment w:val="auto"/>
        <w:rPr>
          <w:rFonts w:asciiTheme="minorEastAsia" w:hAnsiTheme="minorEastAsia" w:eastAsiaTheme="minorEastAsia"/>
          <w:color w:val="000000" w:themeColor="text1"/>
          <w:sz w:val="28"/>
          <w:szCs w:val="28"/>
          <w:highlight w:val="none"/>
          <w14:textFill>
            <w14:solidFill>
              <w14:schemeClr w14:val="tx1"/>
            </w14:solidFill>
          </w14:textFill>
        </w:rPr>
      </w:pPr>
    </w:p>
    <w:p w14:paraId="19629029">
      <w:pPr>
        <w:keepNext w:val="0"/>
        <w:keepLines w:val="0"/>
        <w:pageBreakBefore w:val="0"/>
        <w:kinsoku/>
        <w:wordWrap/>
        <w:overflowPunct/>
        <w:topLinePunct w:val="0"/>
        <w:autoSpaceDE/>
        <w:autoSpaceDN/>
        <w:bidi w:val="0"/>
        <w:adjustRightInd/>
        <w:snapToGrid/>
        <w:spacing w:line="560" w:lineRule="exact"/>
        <w:ind w:right="0" w:firstLine="0" w:firstLineChars="0"/>
        <w:contextualSpacing/>
        <w:jc w:val="both"/>
        <w:textAlignment w:val="auto"/>
        <w:rPr>
          <w:rFonts w:asciiTheme="minorEastAsia" w:hAnsiTheme="minorEastAsia" w:eastAsiaTheme="minorEastAsia"/>
          <w:color w:val="000000" w:themeColor="text1"/>
          <w:sz w:val="28"/>
          <w:szCs w:val="28"/>
          <w:highlight w:val="none"/>
          <w14:textFill>
            <w14:solidFill>
              <w14:schemeClr w14:val="tx1"/>
            </w14:solidFill>
          </w14:textFill>
        </w:rPr>
      </w:pPr>
    </w:p>
    <w:p w14:paraId="5B28736F">
      <w:pPr>
        <w:keepNext w:val="0"/>
        <w:keepLines w:val="0"/>
        <w:pageBreakBefore w:val="0"/>
        <w:kinsoku/>
        <w:wordWrap/>
        <w:overflowPunct/>
        <w:topLinePunct w:val="0"/>
        <w:autoSpaceDE/>
        <w:autoSpaceDN/>
        <w:bidi w:val="0"/>
        <w:adjustRightInd/>
        <w:snapToGrid/>
        <w:spacing w:line="560" w:lineRule="exact"/>
        <w:ind w:right="0" w:firstLine="0" w:firstLineChars="0"/>
        <w:jc w:val="both"/>
        <w:textAlignment w:val="auto"/>
        <w:rPr>
          <w:rFonts w:hint="eastAsia" w:cs="仿宋_GB2312" w:asciiTheme="minorEastAsia" w:hAnsiTheme="minorEastAsia" w:eastAsiaTheme="minorEastAsia"/>
          <w:b/>
          <w:color w:val="000000" w:themeColor="text1"/>
          <w:kern w:val="0"/>
          <w:sz w:val="28"/>
          <w:szCs w:val="28"/>
          <w:highlight w:val="none"/>
          <w14:textFill>
            <w14:solidFill>
              <w14:schemeClr w14:val="tx1"/>
            </w14:solidFill>
          </w14:textFill>
        </w:rPr>
      </w:pPr>
    </w:p>
    <w:p w14:paraId="02880B6D">
      <w:pPr>
        <w:keepNext w:val="0"/>
        <w:keepLines w:val="0"/>
        <w:pageBreakBefore w:val="0"/>
        <w:kinsoku/>
        <w:wordWrap/>
        <w:overflowPunct/>
        <w:topLinePunct w:val="0"/>
        <w:autoSpaceDE/>
        <w:autoSpaceDN/>
        <w:bidi w:val="0"/>
        <w:adjustRightInd/>
        <w:snapToGrid/>
        <w:spacing w:line="560" w:lineRule="exact"/>
        <w:ind w:right="0" w:firstLine="0" w:firstLineChars="0"/>
        <w:jc w:val="both"/>
        <w:textAlignment w:val="auto"/>
        <w:rPr>
          <w:rFonts w:hint="eastAsia" w:cs="仿宋_GB2312" w:asciiTheme="minorEastAsia" w:hAnsiTheme="minorEastAsia" w:eastAsiaTheme="minorEastAsia"/>
          <w:b/>
          <w:color w:val="000000" w:themeColor="text1"/>
          <w:kern w:val="0"/>
          <w:sz w:val="28"/>
          <w:szCs w:val="28"/>
          <w:highlight w:val="none"/>
          <w14:textFill>
            <w14:solidFill>
              <w14:schemeClr w14:val="tx1"/>
            </w14:solidFill>
          </w14:textFill>
        </w:rPr>
      </w:pPr>
    </w:p>
    <w:p w14:paraId="04605BA2">
      <w:pPr>
        <w:keepNext w:val="0"/>
        <w:keepLines w:val="0"/>
        <w:pageBreakBefore w:val="0"/>
        <w:kinsoku/>
        <w:wordWrap/>
        <w:overflowPunct/>
        <w:topLinePunct w:val="0"/>
        <w:autoSpaceDE/>
        <w:autoSpaceDN/>
        <w:bidi w:val="0"/>
        <w:adjustRightInd/>
        <w:snapToGrid/>
        <w:spacing w:line="560" w:lineRule="exact"/>
        <w:ind w:right="0" w:firstLine="0" w:firstLineChars="0"/>
        <w:jc w:val="both"/>
        <w:textAlignment w:val="auto"/>
        <w:rPr>
          <w:rFonts w:hint="eastAsia" w:cs="仿宋_GB2312" w:asciiTheme="minorEastAsia" w:hAnsiTheme="minorEastAsia" w:eastAsiaTheme="minorEastAsia"/>
          <w:b/>
          <w:color w:val="000000" w:themeColor="text1"/>
          <w:kern w:val="0"/>
          <w:sz w:val="28"/>
          <w:szCs w:val="28"/>
          <w:highlight w:val="none"/>
          <w14:textFill>
            <w14:solidFill>
              <w14:schemeClr w14:val="tx1"/>
            </w14:solidFill>
          </w14:textFill>
        </w:rPr>
      </w:pPr>
    </w:p>
    <w:p w14:paraId="780A1EE4">
      <w:pPr>
        <w:keepNext w:val="0"/>
        <w:keepLines w:val="0"/>
        <w:pageBreakBefore w:val="0"/>
        <w:kinsoku/>
        <w:wordWrap/>
        <w:overflowPunct/>
        <w:topLinePunct w:val="0"/>
        <w:autoSpaceDE/>
        <w:autoSpaceDN/>
        <w:bidi w:val="0"/>
        <w:adjustRightInd/>
        <w:snapToGrid/>
        <w:spacing w:line="560" w:lineRule="exact"/>
        <w:ind w:right="0" w:firstLine="0" w:firstLineChars="0"/>
        <w:jc w:val="both"/>
        <w:textAlignment w:val="auto"/>
        <w:rPr>
          <w:rFonts w:hint="eastAsia" w:cs="仿宋_GB2312" w:asciiTheme="minorEastAsia" w:hAnsiTheme="minorEastAsia" w:eastAsiaTheme="minorEastAsia"/>
          <w:b/>
          <w:color w:val="000000" w:themeColor="text1"/>
          <w:kern w:val="0"/>
          <w:sz w:val="28"/>
          <w:szCs w:val="28"/>
          <w:highlight w:val="none"/>
          <w14:textFill>
            <w14:solidFill>
              <w14:schemeClr w14:val="tx1"/>
            </w14:solidFill>
          </w14:textFill>
        </w:rPr>
      </w:pPr>
    </w:p>
    <w:p w14:paraId="750E118E">
      <w:pPr>
        <w:keepNext w:val="0"/>
        <w:keepLines w:val="0"/>
        <w:pageBreakBefore w:val="0"/>
        <w:kinsoku/>
        <w:wordWrap/>
        <w:overflowPunct/>
        <w:topLinePunct w:val="0"/>
        <w:autoSpaceDE/>
        <w:autoSpaceDN/>
        <w:bidi w:val="0"/>
        <w:adjustRightInd/>
        <w:snapToGrid/>
        <w:spacing w:line="560" w:lineRule="exact"/>
        <w:ind w:right="0" w:firstLine="0" w:firstLineChars="0"/>
        <w:jc w:val="both"/>
        <w:textAlignment w:val="auto"/>
        <w:rPr>
          <w:rFonts w:cs="仿宋_GB2312" w:asciiTheme="minorEastAsia" w:hAnsiTheme="minorEastAsia" w:eastAsiaTheme="minorEastAsia"/>
          <w:b/>
          <w:color w:val="000000" w:themeColor="text1"/>
          <w:kern w:val="0"/>
          <w:sz w:val="28"/>
          <w:szCs w:val="28"/>
          <w:highlight w:val="none"/>
          <w14:textFill>
            <w14:solidFill>
              <w14:schemeClr w14:val="tx1"/>
            </w14:solidFill>
          </w14:textFill>
        </w:rPr>
      </w:pPr>
      <w:r>
        <w:rPr>
          <w:rFonts w:hint="eastAsia" w:cs="仿宋_GB2312" w:asciiTheme="minorEastAsia" w:hAnsiTheme="minorEastAsia" w:eastAsiaTheme="minorEastAsia"/>
          <w:b/>
          <w:color w:val="000000" w:themeColor="text1"/>
          <w:kern w:val="0"/>
          <w:sz w:val="28"/>
          <w:szCs w:val="28"/>
          <w:highlight w:val="none"/>
          <w14:textFill>
            <w14:solidFill>
              <w14:schemeClr w14:val="tx1"/>
            </w14:solidFill>
          </w14:textFill>
        </w:rPr>
        <w:t>六、</w:t>
      </w:r>
      <w:r>
        <w:rPr>
          <w:rFonts w:hint="eastAsia" w:ascii="宋体" w:hAnsi="宋体" w:eastAsia="宋体" w:cs="宋体"/>
          <w:b/>
          <w:bCs/>
          <w:i w:val="0"/>
          <w:caps w:val="0"/>
          <w:color w:val="000000" w:themeColor="text1"/>
          <w:spacing w:val="0"/>
          <w:kern w:val="2"/>
          <w:sz w:val="28"/>
          <w:szCs w:val="28"/>
          <w:highlight w:val="none"/>
          <w:lang w:val="en-US" w:eastAsia="zh-CN" w:bidi="ar-SA"/>
          <w14:textFill>
            <w14:solidFill>
              <w14:schemeClr w14:val="tx1"/>
            </w14:solidFill>
          </w14:textFill>
        </w:rPr>
        <w:t>法律、行政法规规定的其他条件。</w:t>
      </w:r>
    </w:p>
    <w:p w14:paraId="149AD591">
      <w:pPr>
        <w:pStyle w:val="13"/>
        <w:keepNext w:val="0"/>
        <w:keepLines w:val="0"/>
        <w:pageBreakBefore w:val="0"/>
        <w:widowControl w:val="0"/>
        <w:kinsoku/>
        <w:wordWrap/>
        <w:overflowPunct/>
        <w:topLinePunct w:val="0"/>
        <w:bidi w:val="0"/>
        <w:adjustRightInd/>
        <w:snapToGrid/>
        <w:spacing w:after="0" w:line="560" w:lineRule="exact"/>
        <w:jc w:val="center"/>
        <w:textAlignment w:val="auto"/>
        <w:rPr>
          <w:rFonts w:hint="eastAsia" w:ascii="宋体" w:hAnsi="宋体" w:eastAsia="宋体" w:cs="宋体"/>
          <w:color w:val="000000" w:themeColor="text1"/>
          <w:sz w:val="28"/>
          <w:szCs w:val="28"/>
          <w:highlight w:val="none"/>
          <w:lang w:eastAsia="zh-CN"/>
          <w14:textFill>
            <w14:solidFill>
              <w14:schemeClr w14:val="tx1"/>
            </w14:solidFill>
          </w14:textFill>
        </w:rPr>
      </w:pPr>
    </w:p>
    <w:p w14:paraId="1445F605">
      <w:pPr>
        <w:pStyle w:val="13"/>
        <w:keepNext w:val="0"/>
        <w:keepLines w:val="0"/>
        <w:pageBreakBefore w:val="0"/>
        <w:widowControl w:val="0"/>
        <w:kinsoku/>
        <w:wordWrap/>
        <w:overflowPunct/>
        <w:topLinePunct w:val="0"/>
        <w:bidi w:val="0"/>
        <w:adjustRightInd/>
        <w:snapToGrid/>
        <w:spacing w:after="0" w:line="560" w:lineRule="exact"/>
        <w:jc w:val="center"/>
        <w:textAlignment w:val="auto"/>
        <w:rPr>
          <w:rFonts w:hint="eastAsia" w:ascii="宋体" w:hAnsi="宋体" w:eastAsia="宋体" w:cs="宋体"/>
          <w:color w:val="000000" w:themeColor="text1"/>
          <w:sz w:val="28"/>
          <w:szCs w:val="28"/>
          <w:highlight w:val="none"/>
          <w:lang w:eastAsia="zh-CN"/>
          <w14:textFill>
            <w14:solidFill>
              <w14:schemeClr w14:val="tx1"/>
            </w14:solidFill>
          </w14:textFill>
        </w:rPr>
      </w:pPr>
      <w:r>
        <w:rPr>
          <w:rFonts w:hint="eastAsia" w:ascii="宋体" w:hAnsi="宋体" w:eastAsia="宋体" w:cs="宋体"/>
          <w:color w:val="000000" w:themeColor="text1"/>
          <w:sz w:val="28"/>
          <w:szCs w:val="28"/>
          <w:highlight w:val="none"/>
          <w:lang w:eastAsia="zh-CN"/>
          <w14:textFill>
            <w14:solidFill>
              <w14:schemeClr w14:val="tx1"/>
            </w14:solidFill>
          </w14:textFill>
        </w:rPr>
        <w:t>信用信誉承诺函</w:t>
      </w:r>
    </w:p>
    <w:p w14:paraId="2393D176">
      <w:pPr>
        <w:pStyle w:val="13"/>
        <w:keepNext w:val="0"/>
        <w:keepLines w:val="0"/>
        <w:pageBreakBefore w:val="0"/>
        <w:widowControl w:val="0"/>
        <w:kinsoku/>
        <w:wordWrap/>
        <w:overflowPunct/>
        <w:topLinePunct w:val="0"/>
        <w:bidi w:val="0"/>
        <w:adjustRightInd/>
        <w:snapToGrid/>
        <w:spacing w:after="0" w:line="560" w:lineRule="exact"/>
        <w:textAlignment w:val="auto"/>
        <w:rPr>
          <w:rFonts w:hint="eastAsia" w:ascii="宋体" w:hAnsi="宋体" w:eastAsia="宋体" w:cs="宋体"/>
          <w:color w:val="000000" w:themeColor="text1"/>
          <w:kern w:val="0"/>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致：</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sz w:val="28"/>
          <w:szCs w:val="28"/>
          <w:highlight w:val="none"/>
          <w:u w:val="single"/>
          <w:lang w:val="en-US" w:eastAsia="zh-CN"/>
          <w14:textFill>
            <w14:solidFill>
              <w14:schemeClr w14:val="tx1"/>
            </w14:solidFill>
          </w14:textFill>
        </w:rPr>
        <w:t xml:space="preserve">    </w:t>
      </w:r>
      <w:r>
        <w:rPr>
          <w:rFonts w:hint="eastAsia" w:ascii="宋体" w:hAnsi="宋体" w:cs="宋体"/>
          <w:color w:val="000000" w:themeColor="text1"/>
          <w:sz w:val="28"/>
          <w:szCs w:val="28"/>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8"/>
          <w:szCs w:val="28"/>
          <w:highlight w:val="none"/>
          <w:u w:val="single"/>
          <w14:textFill>
            <w14:solidFill>
              <w14:schemeClr w14:val="tx1"/>
            </w14:solidFill>
          </w14:textFill>
        </w:rPr>
        <w:t xml:space="preserve">（采购人名称） </w:t>
      </w:r>
    </w:p>
    <w:p w14:paraId="4A0F7E9E">
      <w:pPr>
        <w:keepNext w:val="0"/>
        <w:keepLines w:val="0"/>
        <w:pageBreakBefore w:val="0"/>
        <w:widowControl w:val="0"/>
        <w:kinsoku/>
        <w:wordWrap/>
        <w:overflowPunct/>
        <w:topLinePunct w:val="0"/>
        <w:bidi w:val="0"/>
        <w:adjustRightInd/>
        <w:snapToGrid/>
        <w:spacing w:line="560" w:lineRule="exact"/>
        <w:ind w:left="0" w:leftChars="0" w:firstLine="560" w:firstLineChars="200"/>
        <w:textAlignment w:val="auto"/>
        <w:rPr>
          <w:rFonts w:hint="eastAsia" w:ascii="宋体" w:hAnsi="宋体" w:eastAsia="宋体" w:cs="宋体"/>
          <w:color w:val="000000" w:themeColor="text1"/>
          <w:kern w:val="0"/>
          <w:sz w:val="28"/>
          <w:szCs w:val="28"/>
          <w:highlight w:val="none"/>
          <w:lang w:eastAsia="zh-CN"/>
          <w14:textFill>
            <w14:solidFill>
              <w14:schemeClr w14:val="tx1"/>
            </w14:solidFill>
          </w14:textFill>
        </w:rPr>
      </w:pPr>
      <w:r>
        <w:rPr>
          <w:rFonts w:hint="eastAsia" w:ascii="宋体" w:hAnsi="宋体" w:eastAsia="宋体" w:cs="宋体"/>
          <w:color w:val="000000" w:themeColor="text1"/>
          <w:kern w:val="0"/>
          <w:sz w:val="28"/>
          <w:szCs w:val="28"/>
          <w:highlight w:val="none"/>
          <w14:textFill>
            <w14:solidFill>
              <w14:schemeClr w14:val="tx1"/>
            </w14:solidFill>
          </w14:textFill>
        </w:rPr>
        <w:t>在</w:t>
      </w:r>
      <w:r>
        <w:rPr>
          <w:rFonts w:hint="eastAsia" w:ascii="宋体" w:hAnsi="宋体" w:eastAsia="宋体" w:cs="宋体"/>
          <w:color w:val="000000" w:themeColor="text1"/>
          <w:kern w:val="0"/>
          <w:sz w:val="28"/>
          <w:szCs w:val="28"/>
          <w:highlight w:val="none"/>
          <w:u w:val="single"/>
          <w:lang w:val="en-US" w:eastAsia="zh-CN"/>
          <w14:textFill>
            <w14:solidFill>
              <w14:schemeClr w14:val="tx1"/>
            </w14:solidFill>
          </w14:textFill>
        </w:rPr>
        <w:t xml:space="preserve">            </w:t>
      </w:r>
      <w:r>
        <w:rPr>
          <w:rFonts w:hint="eastAsia" w:ascii="宋体" w:hAnsi="宋体" w:cs="宋体"/>
          <w:color w:val="000000" w:themeColor="text1"/>
          <w:kern w:val="0"/>
          <w:sz w:val="28"/>
          <w:szCs w:val="28"/>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8"/>
          <w:szCs w:val="28"/>
          <w:highlight w:val="none"/>
          <w:u w:val="single"/>
          <w14:textFill>
            <w14:solidFill>
              <w14:schemeClr w14:val="tx1"/>
            </w14:solidFill>
          </w14:textFill>
        </w:rPr>
        <w:t>项目名称</w:t>
      </w:r>
      <w:r>
        <w:rPr>
          <w:rFonts w:hint="eastAsia" w:ascii="宋体" w:hAnsi="宋体" w:eastAsia="宋体" w:cs="宋体"/>
          <w:color w:val="000000" w:themeColor="text1"/>
          <w:kern w:val="0"/>
          <w:sz w:val="28"/>
          <w:szCs w:val="28"/>
          <w:highlight w:val="none"/>
          <w:u w:val="single"/>
          <w:lang w:eastAsia="zh-CN"/>
          <w14:textFill>
            <w14:solidFill>
              <w14:schemeClr w14:val="tx1"/>
            </w14:solidFill>
          </w14:textFill>
        </w:rPr>
        <w:t>、项目编号</w:t>
      </w:r>
      <w:r>
        <w:rPr>
          <w:rFonts w:hint="eastAsia" w:ascii="宋体" w:hAnsi="宋体" w:cs="宋体"/>
          <w:color w:val="000000" w:themeColor="text1"/>
          <w:kern w:val="0"/>
          <w:sz w:val="28"/>
          <w:szCs w:val="28"/>
          <w:highlight w:val="none"/>
          <w:u w:val="single"/>
          <w:lang w:eastAsia="zh-CN"/>
          <w14:textFill>
            <w14:solidFill>
              <w14:schemeClr w14:val="tx1"/>
            </w14:solidFill>
          </w14:textFill>
        </w:rPr>
        <w:t>、标项名称</w:t>
      </w:r>
      <w:r>
        <w:rPr>
          <w:rFonts w:hint="eastAsia" w:ascii="宋体" w:hAnsi="宋体" w:eastAsia="宋体" w:cs="宋体"/>
          <w:color w:val="000000" w:themeColor="text1"/>
          <w:kern w:val="0"/>
          <w:sz w:val="28"/>
          <w:szCs w:val="28"/>
          <w:highlight w:val="none"/>
          <w14:textFill>
            <w14:solidFill>
              <w14:schemeClr w14:val="tx1"/>
            </w14:solidFill>
          </w14:textFill>
        </w:rPr>
        <w:t>，我公司</w:t>
      </w:r>
      <w:r>
        <w:rPr>
          <w:rFonts w:hint="eastAsia" w:ascii="宋体" w:hAnsi="宋体" w:eastAsia="宋体" w:cs="宋体"/>
          <w:color w:val="000000" w:themeColor="text1"/>
          <w:kern w:val="0"/>
          <w:sz w:val="28"/>
          <w:szCs w:val="28"/>
          <w:highlight w:val="none"/>
          <w:lang w:eastAsia="zh-CN"/>
          <w14:textFill>
            <w14:solidFill>
              <w14:schemeClr w14:val="tx1"/>
            </w14:solidFill>
          </w14:textFill>
        </w:rPr>
        <w:t>承诺，</w:t>
      </w:r>
      <w:r>
        <w:rPr>
          <w:rFonts w:hint="eastAsia" w:ascii="宋体" w:hAnsi="宋体" w:eastAsia="宋体" w:cs="宋体"/>
          <w:color w:val="000000" w:themeColor="text1"/>
          <w:kern w:val="0"/>
          <w:sz w:val="28"/>
          <w:szCs w:val="28"/>
          <w:highlight w:val="none"/>
          <w14:textFill>
            <w14:solidFill>
              <w14:schemeClr w14:val="tx1"/>
            </w14:solidFill>
          </w14:textFill>
        </w:rPr>
        <w:t>在“信用中国”网站</w:t>
      </w:r>
      <w:r>
        <w:rPr>
          <w:rFonts w:hint="eastAsia" w:ascii="宋体" w:hAnsi="宋体" w:eastAsia="宋体" w:cs="宋体"/>
          <w:color w:val="000000" w:themeColor="text1"/>
          <w:kern w:val="0"/>
          <w:sz w:val="28"/>
          <w:szCs w:val="28"/>
          <w:highlight w:val="none"/>
          <w:lang w:eastAsia="zh-CN"/>
          <w14:textFill>
            <w14:solidFill>
              <w14:schemeClr w14:val="tx1"/>
            </w14:solidFill>
          </w14:textFill>
        </w:rPr>
        <w:t>未</w:t>
      </w:r>
      <w:r>
        <w:rPr>
          <w:rFonts w:hint="eastAsia" w:ascii="宋体" w:hAnsi="宋体" w:eastAsia="宋体" w:cs="宋体"/>
          <w:color w:val="000000" w:themeColor="text1"/>
          <w:kern w:val="0"/>
          <w:sz w:val="28"/>
          <w:szCs w:val="28"/>
          <w:highlight w:val="none"/>
          <w14:textFill>
            <w14:solidFill>
              <w14:schemeClr w14:val="tx1"/>
            </w14:solidFill>
          </w14:textFill>
        </w:rPr>
        <w:t>被列入失信被执行人</w:t>
      </w:r>
      <w:r>
        <w:rPr>
          <w:rFonts w:hint="eastAsia" w:ascii="宋体" w:hAnsi="宋体" w:eastAsia="宋体" w:cs="宋体"/>
          <w:color w:val="000000" w:themeColor="text1"/>
          <w:kern w:val="0"/>
          <w:sz w:val="28"/>
          <w:szCs w:val="28"/>
          <w:highlight w:val="none"/>
          <w:lang w:eastAsia="zh-CN"/>
          <w14:textFill>
            <w14:solidFill>
              <w14:schemeClr w14:val="tx1"/>
            </w14:solidFill>
          </w14:textFill>
        </w:rPr>
        <w:t>和</w:t>
      </w:r>
      <w:r>
        <w:rPr>
          <w:rFonts w:hint="eastAsia" w:ascii="宋体" w:hAnsi="宋体" w:eastAsia="宋体" w:cs="宋体"/>
          <w:color w:val="000000" w:themeColor="text1"/>
          <w:kern w:val="0"/>
          <w:sz w:val="28"/>
          <w:szCs w:val="28"/>
          <w:highlight w:val="none"/>
          <w14:textFill>
            <w14:solidFill>
              <w14:schemeClr w14:val="tx1"/>
            </w14:solidFill>
          </w14:textFill>
        </w:rPr>
        <w:t>重大税收违法失信主体、</w:t>
      </w:r>
      <w:r>
        <w:rPr>
          <w:rFonts w:hint="eastAsia" w:ascii="宋体" w:hAnsi="宋体" w:eastAsia="宋体" w:cs="宋体"/>
          <w:color w:val="000000" w:themeColor="text1"/>
          <w:kern w:val="0"/>
          <w:sz w:val="28"/>
          <w:szCs w:val="28"/>
          <w:highlight w:val="none"/>
          <w:lang w:eastAsia="zh-CN"/>
          <w14:textFill>
            <w14:solidFill>
              <w14:schemeClr w14:val="tx1"/>
            </w14:solidFill>
          </w14:textFill>
        </w:rPr>
        <w:t>在</w:t>
      </w:r>
      <w:r>
        <w:rPr>
          <w:rFonts w:hint="eastAsia" w:ascii="宋体" w:hAnsi="宋体" w:eastAsia="宋体" w:cs="宋体"/>
          <w:color w:val="000000" w:themeColor="text1"/>
          <w:kern w:val="0"/>
          <w:sz w:val="28"/>
          <w:szCs w:val="28"/>
          <w:highlight w:val="none"/>
          <w14:textFill>
            <w14:solidFill>
              <w14:schemeClr w14:val="tx1"/>
            </w14:solidFill>
          </w14:textFill>
        </w:rPr>
        <w:t>中国政府采购网</w:t>
      </w:r>
      <w:r>
        <w:rPr>
          <w:rFonts w:hint="eastAsia" w:ascii="宋体" w:hAnsi="宋体" w:eastAsia="宋体" w:cs="宋体"/>
          <w:color w:val="000000" w:themeColor="text1"/>
          <w:kern w:val="0"/>
          <w:sz w:val="28"/>
          <w:szCs w:val="28"/>
          <w:highlight w:val="none"/>
          <w:lang w:eastAsia="zh-CN"/>
          <w14:textFill>
            <w14:solidFill>
              <w14:schemeClr w14:val="tx1"/>
            </w14:solidFill>
          </w14:textFill>
        </w:rPr>
        <w:t>中未被列入</w:t>
      </w:r>
      <w:r>
        <w:rPr>
          <w:rFonts w:hint="eastAsia" w:ascii="宋体" w:hAnsi="宋体" w:eastAsia="宋体" w:cs="宋体"/>
          <w:color w:val="000000" w:themeColor="text1"/>
          <w:kern w:val="0"/>
          <w:sz w:val="28"/>
          <w:szCs w:val="28"/>
          <w:highlight w:val="none"/>
          <w14:textFill>
            <w14:solidFill>
              <w14:schemeClr w14:val="tx1"/>
            </w14:solidFill>
          </w14:textFill>
        </w:rPr>
        <w:t>严重违法失信行为记录名单的（尚在处罚期内的）</w:t>
      </w:r>
      <w:r>
        <w:rPr>
          <w:rFonts w:hint="eastAsia" w:ascii="宋体" w:hAnsi="宋体" w:eastAsia="宋体" w:cs="宋体"/>
          <w:color w:val="000000" w:themeColor="text1"/>
          <w:kern w:val="0"/>
          <w:sz w:val="28"/>
          <w:szCs w:val="28"/>
          <w:highlight w:val="none"/>
          <w:lang w:eastAsia="zh-CN"/>
          <w14:textFill>
            <w14:solidFill>
              <w14:schemeClr w14:val="tx1"/>
            </w14:solidFill>
          </w14:textFill>
        </w:rPr>
        <w:t>。</w:t>
      </w:r>
    </w:p>
    <w:p w14:paraId="0E9572F1">
      <w:pPr>
        <w:keepNext w:val="0"/>
        <w:keepLines w:val="0"/>
        <w:pageBreakBefore w:val="0"/>
        <w:widowControl w:val="0"/>
        <w:kinsoku/>
        <w:wordWrap/>
        <w:overflowPunct/>
        <w:topLinePunct w:val="0"/>
        <w:bidi w:val="0"/>
        <w:adjustRightInd/>
        <w:snapToGrid/>
        <w:spacing w:line="560" w:lineRule="exact"/>
        <w:ind w:left="0" w:leftChars="0" w:firstLine="560" w:firstLineChars="200"/>
        <w:textAlignment w:val="auto"/>
        <w:rPr>
          <w:rFonts w:hint="eastAsia" w:ascii="宋体" w:hAnsi="宋体" w:eastAsia="宋体" w:cs="宋体"/>
          <w:color w:val="000000" w:themeColor="text1"/>
          <w:kern w:val="0"/>
          <w:sz w:val="28"/>
          <w:szCs w:val="28"/>
          <w:highlight w:val="none"/>
          <w14:textFill>
            <w14:solidFill>
              <w14:schemeClr w14:val="tx1"/>
            </w14:solidFill>
          </w14:textFill>
        </w:rPr>
      </w:pPr>
      <w:r>
        <w:rPr>
          <w:rFonts w:hint="eastAsia" w:ascii="宋体" w:hAnsi="宋体" w:eastAsia="宋体" w:cs="宋体"/>
          <w:color w:val="000000" w:themeColor="text1"/>
          <w:kern w:val="0"/>
          <w:sz w:val="28"/>
          <w:szCs w:val="28"/>
          <w:highlight w:val="none"/>
          <w14:textFill>
            <w14:solidFill>
              <w14:schemeClr w14:val="tx1"/>
            </w14:solidFill>
          </w14:textFill>
        </w:rPr>
        <w:t>本公司对上述承诺的真实性负责。如有虚假，我公司同意</w:t>
      </w:r>
      <w:r>
        <w:rPr>
          <w:rFonts w:hint="eastAsia" w:ascii="宋体" w:hAnsi="宋体" w:eastAsia="宋体" w:cs="宋体"/>
          <w:color w:val="000000" w:themeColor="text1"/>
          <w:kern w:val="0"/>
          <w:sz w:val="28"/>
          <w:szCs w:val="28"/>
          <w:highlight w:val="none"/>
          <w:lang w:val="en-US" w:eastAsia="zh-CN"/>
          <w14:textFill>
            <w14:solidFill>
              <w14:schemeClr w14:val="tx1"/>
            </w14:solidFill>
          </w14:textFill>
        </w:rPr>
        <w:t>承担一切相关的后果，并</w:t>
      </w:r>
      <w:r>
        <w:rPr>
          <w:rFonts w:hint="eastAsia" w:ascii="宋体" w:hAnsi="宋体" w:eastAsia="宋体" w:cs="宋体"/>
          <w:color w:val="000000" w:themeColor="text1"/>
          <w:kern w:val="0"/>
          <w:sz w:val="28"/>
          <w:szCs w:val="28"/>
          <w:highlight w:val="none"/>
          <w14:textFill>
            <w14:solidFill>
              <w14:schemeClr w14:val="tx1"/>
            </w14:solidFill>
          </w14:textFill>
        </w:rPr>
        <w:t>依法承担相应法律责任。</w:t>
      </w:r>
    </w:p>
    <w:p w14:paraId="25B19A67">
      <w:pPr>
        <w:keepNext w:val="0"/>
        <w:keepLines w:val="0"/>
        <w:pageBreakBefore w:val="0"/>
        <w:widowControl w:val="0"/>
        <w:kinsoku/>
        <w:wordWrap/>
        <w:overflowPunct/>
        <w:topLinePunct w:val="0"/>
        <w:bidi w:val="0"/>
        <w:adjustRightInd/>
        <w:snapToGrid/>
        <w:spacing w:line="560" w:lineRule="exact"/>
        <w:ind w:left="0" w:leftChars="0" w:firstLine="560" w:firstLineChars="200"/>
        <w:textAlignment w:val="auto"/>
        <w:rPr>
          <w:rFonts w:hint="eastAsia" w:ascii="宋体" w:hAnsi="宋体" w:eastAsia="宋体" w:cs="宋体"/>
          <w:color w:val="000000" w:themeColor="text1"/>
          <w:sz w:val="28"/>
          <w:szCs w:val="28"/>
          <w:highlight w:val="none"/>
          <w14:textFill>
            <w14:solidFill>
              <w14:schemeClr w14:val="tx1"/>
            </w14:solidFill>
          </w14:textFill>
        </w:rPr>
      </w:pPr>
    </w:p>
    <w:p w14:paraId="19E8E524">
      <w:pPr>
        <w:keepNext w:val="0"/>
        <w:keepLines w:val="0"/>
        <w:pageBreakBefore w:val="0"/>
        <w:widowControl w:val="0"/>
        <w:kinsoku/>
        <w:wordWrap/>
        <w:overflowPunct/>
        <w:topLinePunct w:val="0"/>
        <w:bidi w:val="0"/>
        <w:adjustRightInd/>
        <w:snapToGrid/>
        <w:spacing w:line="560" w:lineRule="exact"/>
        <w:ind w:left="0" w:leftChars="0" w:firstLine="560" w:firstLineChars="200"/>
        <w:textAlignment w:val="auto"/>
        <w:rPr>
          <w:rFonts w:hint="eastAsia" w:ascii="宋体" w:hAnsi="宋体" w:eastAsia="宋体" w:cs="宋体"/>
          <w:color w:val="000000" w:themeColor="text1"/>
          <w:sz w:val="28"/>
          <w:szCs w:val="28"/>
          <w:highlight w:val="none"/>
          <w14:textFill>
            <w14:solidFill>
              <w14:schemeClr w14:val="tx1"/>
            </w14:solidFill>
          </w14:textFill>
        </w:rPr>
      </w:pPr>
    </w:p>
    <w:p w14:paraId="28B1EBE2">
      <w:pPr>
        <w:keepNext w:val="0"/>
        <w:keepLines w:val="0"/>
        <w:pageBreakBefore w:val="0"/>
        <w:widowControl w:val="0"/>
        <w:kinsoku/>
        <w:wordWrap/>
        <w:overflowPunct/>
        <w:topLinePunct w:val="0"/>
        <w:autoSpaceDE w:val="0"/>
        <w:autoSpaceDN w:val="0"/>
        <w:bidi w:val="0"/>
        <w:adjustRightInd/>
        <w:snapToGrid/>
        <w:spacing w:line="560" w:lineRule="exact"/>
        <w:ind w:firstLine="2800" w:firstLineChars="1000"/>
        <w:jc w:val="both"/>
        <w:textAlignment w:val="auto"/>
        <w:rPr>
          <w:rFonts w:hint="eastAsia" w:ascii="宋体" w:hAnsi="宋体" w:eastAsia="宋体" w:cs="宋体"/>
          <w:color w:val="000000" w:themeColor="text1"/>
          <w:kern w:val="0"/>
          <w:sz w:val="28"/>
          <w:szCs w:val="28"/>
          <w:highlight w:val="none"/>
          <w:lang w:val="en-US" w:eastAsia="zh-CN"/>
          <w14:textFill>
            <w14:solidFill>
              <w14:schemeClr w14:val="tx1"/>
            </w14:solidFill>
          </w14:textFill>
        </w:rPr>
      </w:pPr>
      <w:r>
        <w:rPr>
          <w:rFonts w:hint="eastAsia" w:ascii="宋体" w:hAnsi="宋体" w:eastAsia="宋体" w:cs="宋体"/>
          <w:color w:val="000000" w:themeColor="text1"/>
          <w:kern w:val="0"/>
          <w:sz w:val="28"/>
          <w:szCs w:val="28"/>
          <w:highlight w:val="none"/>
          <w14:textFill>
            <w14:solidFill>
              <w14:schemeClr w14:val="tx1"/>
            </w14:solidFill>
          </w14:textFill>
        </w:rPr>
        <w:t>供应商名称（电子公章）：</w:t>
      </w:r>
      <w:r>
        <w:rPr>
          <w:rFonts w:hint="eastAsia" w:ascii="宋体" w:hAnsi="宋体" w:eastAsia="宋体" w:cs="宋体"/>
          <w:color w:val="000000" w:themeColor="text1"/>
          <w:kern w:val="0"/>
          <w:sz w:val="28"/>
          <w:szCs w:val="28"/>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8"/>
          <w:szCs w:val="28"/>
          <w:highlight w:val="none"/>
          <w:lang w:val="en-US" w:eastAsia="zh-CN"/>
          <w14:textFill>
            <w14:solidFill>
              <w14:schemeClr w14:val="tx1"/>
            </w14:solidFill>
          </w14:textFill>
        </w:rPr>
        <w:t xml:space="preserve">                               </w:t>
      </w:r>
    </w:p>
    <w:p w14:paraId="00F1B625">
      <w:pPr>
        <w:keepNext w:val="0"/>
        <w:keepLines w:val="0"/>
        <w:pageBreakBefore w:val="0"/>
        <w:widowControl/>
        <w:kinsoku/>
        <w:wordWrap/>
        <w:overflowPunct/>
        <w:topLinePunct w:val="0"/>
        <w:autoSpaceDE/>
        <w:autoSpaceDN/>
        <w:bidi w:val="0"/>
        <w:adjustRightInd/>
        <w:snapToGrid/>
        <w:spacing w:line="560" w:lineRule="exact"/>
        <w:ind w:right="0" w:firstLine="0" w:firstLineChars="0"/>
        <w:jc w:val="right"/>
        <w:textAlignment w:val="auto"/>
        <w:rPr>
          <w:rFonts w:cs="仿宋_GB2312" w:asciiTheme="minorEastAsia" w:hAnsiTheme="minorEastAsia" w:eastAsiaTheme="minorEastAsia"/>
          <w:color w:val="000000" w:themeColor="text1"/>
          <w:kern w:val="0"/>
          <w:sz w:val="28"/>
          <w:szCs w:val="28"/>
          <w:highlight w:val="none"/>
          <w14:textFill>
            <w14:solidFill>
              <w14:schemeClr w14:val="tx1"/>
            </w14:solidFill>
          </w14:textFill>
        </w:rPr>
      </w:pPr>
      <w:r>
        <w:rPr>
          <w:rFonts w:hint="eastAsia" w:ascii="宋体" w:hAnsi="宋体" w:eastAsia="宋体" w:cs="宋体"/>
          <w:color w:val="000000" w:themeColor="text1"/>
          <w:kern w:val="0"/>
          <w:sz w:val="28"/>
          <w:szCs w:val="28"/>
          <w:highlight w:val="none"/>
          <w:lang w:val="en-US" w:eastAsia="zh-CN"/>
          <w14:textFill>
            <w14:solidFill>
              <w14:schemeClr w14:val="tx1"/>
            </w14:solidFill>
          </w14:textFill>
        </w:rPr>
        <w:t xml:space="preserve">    </w:t>
      </w:r>
      <w:r>
        <w:rPr>
          <w:rFonts w:hint="eastAsia" w:ascii="宋体" w:hAnsi="宋体" w:eastAsia="宋体" w:cs="宋体"/>
          <w:color w:val="000000" w:themeColor="text1"/>
          <w:kern w:val="0"/>
          <w:sz w:val="28"/>
          <w:szCs w:val="28"/>
          <w:highlight w:val="none"/>
          <w:lang w:val="zh-CN"/>
          <w14:textFill>
            <w14:solidFill>
              <w14:schemeClr w14:val="tx1"/>
            </w14:solidFill>
          </w14:textFill>
        </w:rPr>
        <w:t>日</w:t>
      </w:r>
      <w:r>
        <w:rPr>
          <w:rFonts w:hint="eastAsia" w:ascii="宋体" w:hAnsi="宋体" w:eastAsia="宋体" w:cs="宋体"/>
          <w:color w:val="000000" w:themeColor="text1"/>
          <w:kern w:val="0"/>
          <w:sz w:val="28"/>
          <w:szCs w:val="28"/>
          <w:highlight w:val="none"/>
          <w:lang w:val="en-US" w:eastAsia="zh-CN"/>
          <w14:textFill>
            <w14:solidFill>
              <w14:schemeClr w14:val="tx1"/>
            </w14:solidFill>
          </w14:textFill>
        </w:rPr>
        <w:t xml:space="preserve">     </w:t>
      </w:r>
      <w:r>
        <w:rPr>
          <w:rFonts w:hint="eastAsia" w:ascii="宋体" w:hAnsi="宋体" w:eastAsia="宋体" w:cs="宋体"/>
          <w:color w:val="000000" w:themeColor="text1"/>
          <w:kern w:val="0"/>
          <w:sz w:val="28"/>
          <w:szCs w:val="28"/>
          <w:highlight w:val="none"/>
          <w:lang w:val="zh-CN"/>
          <w14:textFill>
            <w14:solidFill>
              <w14:schemeClr w14:val="tx1"/>
            </w14:solidFill>
          </w14:textFill>
        </w:rPr>
        <w:t>期：</w:t>
      </w:r>
      <w:r>
        <w:rPr>
          <w:rFonts w:hint="eastAsia" w:ascii="宋体" w:hAnsi="宋体" w:eastAsia="宋体" w:cs="宋体"/>
          <w:color w:val="000000" w:themeColor="text1"/>
          <w:kern w:val="0"/>
          <w:sz w:val="28"/>
          <w:szCs w:val="28"/>
          <w:highlight w:val="none"/>
          <w:u w:val="single"/>
          <w:lang w:val="zh-CN"/>
          <w14:textFill>
            <w14:solidFill>
              <w14:schemeClr w14:val="tx1"/>
            </w14:solidFill>
          </w14:textFill>
        </w:rPr>
        <w:t xml:space="preserve">  </w:t>
      </w:r>
      <w:r>
        <w:rPr>
          <w:rFonts w:hint="eastAsia" w:ascii="宋体" w:hAnsi="宋体" w:eastAsia="宋体" w:cs="宋体"/>
          <w:color w:val="000000" w:themeColor="text1"/>
          <w:kern w:val="0"/>
          <w:sz w:val="28"/>
          <w:szCs w:val="28"/>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8"/>
          <w:szCs w:val="28"/>
          <w:highlight w:val="none"/>
          <w:lang w:val="zh-CN"/>
          <w14:textFill>
            <w14:solidFill>
              <w14:schemeClr w14:val="tx1"/>
            </w14:solidFill>
          </w14:textFill>
        </w:rPr>
        <w:t>年</w:t>
      </w:r>
      <w:r>
        <w:rPr>
          <w:rFonts w:hint="eastAsia" w:ascii="宋体" w:hAnsi="宋体" w:eastAsia="宋体" w:cs="宋体"/>
          <w:color w:val="000000" w:themeColor="text1"/>
          <w:kern w:val="0"/>
          <w:sz w:val="28"/>
          <w:szCs w:val="28"/>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8"/>
          <w:szCs w:val="28"/>
          <w:highlight w:val="none"/>
          <w:u w:val="single"/>
          <w:lang w:val="zh-CN"/>
          <w14:textFill>
            <w14:solidFill>
              <w14:schemeClr w14:val="tx1"/>
            </w14:solidFill>
          </w14:textFill>
        </w:rPr>
        <w:t xml:space="preserve"> </w:t>
      </w:r>
      <w:r>
        <w:rPr>
          <w:rFonts w:hint="eastAsia" w:ascii="宋体" w:hAnsi="宋体" w:eastAsia="宋体" w:cs="宋体"/>
          <w:color w:val="000000" w:themeColor="text1"/>
          <w:kern w:val="0"/>
          <w:sz w:val="28"/>
          <w:szCs w:val="28"/>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8"/>
          <w:szCs w:val="28"/>
          <w:highlight w:val="none"/>
          <w:u w:val="single"/>
          <w:lang w:val="zh-CN"/>
          <w14:textFill>
            <w14:solidFill>
              <w14:schemeClr w14:val="tx1"/>
            </w14:solidFill>
          </w14:textFill>
        </w:rPr>
        <w:t xml:space="preserve"> </w:t>
      </w:r>
      <w:r>
        <w:rPr>
          <w:rFonts w:hint="eastAsia" w:ascii="宋体" w:hAnsi="宋体" w:eastAsia="宋体" w:cs="宋体"/>
          <w:color w:val="000000" w:themeColor="text1"/>
          <w:kern w:val="0"/>
          <w:sz w:val="28"/>
          <w:szCs w:val="28"/>
          <w:highlight w:val="none"/>
          <w:lang w:val="zh-CN"/>
          <w14:textFill>
            <w14:solidFill>
              <w14:schemeClr w14:val="tx1"/>
            </w14:solidFill>
          </w14:textFill>
        </w:rPr>
        <w:t>月</w:t>
      </w:r>
      <w:r>
        <w:rPr>
          <w:rFonts w:hint="eastAsia" w:ascii="宋体" w:hAnsi="宋体" w:eastAsia="宋体" w:cs="宋体"/>
          <w:color w:val="000000" w:themeColor="text1"/>
          <w:kern w:val="0"/>
          <w:sz w:val="28"/>
          <w:szCs w:val="28"/>
          <w:highlight w:val="none"/>
          <w:u w:val="single"/>
          <w:lang w:val="zh-CN"/>
          <w14:textFill>
            <w14:solidFill>
              <w14:schemeClr w14:val="tx1"/>
            </w14:solidFill>
          </w14:textFill>
        </w:rPr>
        <w:t xml:space="preserve"> </w:t>
      </w:r>
      <w:r>
        <w:rPr>
          <w:rFonts w:hint="eastAsia" w:ascii="宋体" w:hAnsi="宋体" w:eastAsia="宋体" w:cs="宋体"/>
          <w:color w:val="000000" w:themeColor="text1"/>
          <w:kern w:val="0"/>
          <w:sz w:val="28"/>
          <w:szCs w:val="28"/>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8"/>
          <w:szCs w:val="28"/>
          <w:highlight w:val="none"/>
          <w:u w:val="single"/>
          <w:lang w:val="zh-CN"/>
          <w14:textFill>
            <w14:solidFill>
              <w14:schemeClr w14:val="tx1"/>
            </w14:solidFill>
          </w14:textFill>
        </w:rPr>
        <w:t xml:space="preserve">  </w:t>
      </w:r>
      <w:r>
        <w:rPr>
          <w:rFonts w:hint="eastAsia" w:ascii="宋体" w:hAnsi="宋体" w:eastAsia="宋体" w:cs="宋体"/>
          <w:color w:val="000000" w:themeColor="text1"/>
          <w:kern w:val="0"/>
          <w:sz w:val="28"/>
          <w:szCs w:val="28"/>
          <w:highlight w:val="none"/>
          <w:lang w:val="zh-CN"/>
          <w14:textFill>
            <w14:solidFill>
              <w14:schemeClr w14:val="tx1"/>
            </w14:solidFill>
          </w14:textFill>
        </w:rPr>
        <w:t>日</w:t>
      </w:r>
    </w:p>
    <w:p w14:paraId="3F86E493">
      <w:pPr>
        <w:keepNext w:val="0"/>
        <w:keepLines w:val="0"/>
        <w:pageBreakBefore w:val="0"/>
        <w:widowControl/>
        <w:kinsoku/>
        <w:wordWrap/>
        <w:overflowPunct/>
        <w:topLinePunct w:val="0"/>
        <w:autoSpaceDE/>
        <w:autoSpaceDN/>
        <w:bidi w:val="0"/>
        <w:adjustRightInd/>
        <w:snapToGrid/>
        <w:spacing w:line="560" w:lineRule="exact"/>
        <w:ind w:right="0" w:firstLine="0" w:firstLineChars="0"/>
        <w:jc w:val="both"/>
        <w:textAlignment w:val="auto"/>
        <w:rPr>
          <w:rFonts w:cs="仿宋_GB2312" w:asciiTheme="minorEastAsia" w:hAnsiTheme="minorEastAsia" w:eastAsiaTheme="minorEastAsia"/>
          <w:color w:val="000000" w:themeColor="text1"/>
          <w:kern w:val="0"/>
          <w:sz w:val="28"/>
          <w:szCs w:val="28"/>
          <w:highlight w:val="none"/>
          <w14:textFill>
            <w14:solidFill>
              <w14:schemeClr w14:val="tx1"/>
            </w14:solidFill>
          </w14:textFill>
        </w:rPr>
      </w:pPr>
    </w:p>
    <w:p w14:paraId="024E3980">
      <w:pPr>
        <w:keepNext w:val="0"/>
        <w:keepLines w:val="0"/>
        <w:pageBreakBefore w:val="0"/>
        <w:widowControl/>
        <w:kinsoku/>
        <w:wordWrap/>
        <w:overflowPunct/>
        <w:topLinePunct w:val="0"/>
        <w:autoSpaceDE/>
        <w:autoSpaceDN/>
        <w:bidi w:val="0"/>
        <w:adjustRightInd/>
        <w:snapToGrid/>
        <w:spacing w:line="560" w:lineRule="exact"/>
        <w:ind w:right="0" w:firstLine="0" w:firstLineChars="0"/>
        <w:jc w:val="both"/>
        <w:textAlignment w:val="auto"/>
        <w:rPr>
          <w:rFonts w:cs="仿宋_GB2312" w:asciiTheme="minorEastAsia" w:hAnsiTheme="minorEastAsia" w:eastAsiaTheme="minorEastAsia"/>
          <w:color w:val="000000" w:themeColor="text1"/>
          <w:kern w:val="0"/>
          <w:sz w:val="28"/>
          <w:szCs w:val="28"/>
          <w:highlight w:val="none"/>
          <w14:textFill>
            <w14:solidFill>
              <w14:schemeClr w14:val="tx1"/>
            </w14:solidFill>
          </w14:textFill>
        </w:rPr>
      </w:pPr>
    </w:p>
    <w:p w14:paraId="64B39103">
      <w:pPr>
        <w:keepNext w:val="0"/>
        <w:keepLines w:val="0"/>
        <w:pageBreakBefore w:val="0"/>
        <w:widowControl/>
        <w:kinsoku/>
        <w:wordWrap/>
        <w:overflowPunct/>
        <w:topLinePunct w:val="0"/>
        <w:autoSpaceDE/>
        <w:autoSpaceDN/>
        <w:bidi w:val="0"/>
        <w:adjustRightInd/>
        <w:snapToGrid/>
        <w:spacing w:line="560" w:lineRule="exact"/>
        <w:ind w:right="0" w:firstLine="0" w:firstLineChars="0"/>
        <w:jc w:val="both"/>
        <w:textAlignment w:val="auto"/>
        <w:rPr>
          <w:rFonts w:cs="仿宋_GB2312" w:asciiTheme="minorEastAsia" w:hAnsiTheme="minorEastAsia" w:eastAsiaTheme="minorEastAsia"/>
          <w:color w:val="000000" w:themeColor="text1"/>
          <w:kern w:val="0"/>
          <w:sz w:val="28"/>
          <w:szCs w:val="28"/>
          <w:highlight w:val="none"/>
          <w14:textFill>
            <w14:solidFill>
              <w14:schemeClr w14:val="tx1"/>
            </w14:solidFill>
          </w14:textFill>
        </w:rPr>
      </w:pPr>
    </w:p>
    <w:p w14:paraId="02D61487">
      <w:pPr>
        <w:keepNext w:val="0"/>
        <w:keepLines w:val="0"/>
        <w:pageBreakBefore w:val="0"/>
        <w:widowControl/>
        <w:kinsoku/>
        <w:wordWrap/>
        <w:overflowPunct/>
        <w:topLinePunct w:val="0"/>
        <w:autoSpaceDE/>
        <w:autoSpaceDN/>
        <w:bidi w:val="0"/>
        <w:adjustRightInd/>
        <w:snapToGrid/>
        <w:spacing w:line="560" w:lineRule="exact"/>
        <w:ind w:right="0" w:firstLine="0" w:firstLineChars="0"/>
        <w:jc w:val="both"/>
        <w:textAlignment w:val="auto"/>
        <w:rPr>
          <w:rFonts w:cs="仿宋_GB2312" w:asciiTheme="minorEastAsia" w:hAnsiTheme="minorEastAsia" w:eastAsiaTheme="minorEastAsia"/>
          <w:color w:val="000000" w:themeColor="text1"/>
          <w:kern w:val="0"/>
          <w:sz w:val="28"/>
          <w:szCs w:val="28"/>
          <w:highlight w:val="none"/>
          <w14:textFill>
            <w14:solidFill>
              <w14:schemeClr w14:val="tx1"/>
            </w14:solidFill>
          </w14:textFill>
        </w:rPr>
      </w:pPr>
    </w:p>
    <w:p w14:paraId="4AEC6E4A">
      <w:pPr>
        <w:keepNext w:val="0"/>
        <w:keepLines w:val="0"/>
        <w:pageBreakBefore w:val="0"/>
        <w:widowControl/>
        <w:kinsoku/>
        <w:wordWrap/>
        <w:overflowPunct/>
        <w:topLinePunct w:val="0"/>
        <w:autoSpaceDE/>
        <w:autoSpaceDN/>
        <w:bidi w:val="0"/>
        <w:adjustRightInd/>
        <w:snapToGrid/>
        <w:spacing w:line="560" w:lineRule="exact"/>
        <w:ind w:right="0" w:firstLine="0" w:firstLineChars="0"/>
        <w:jc w:val="both"/>
        <w:textAlignment w:val="auto"/>
        <w:rPr>
          <w:rFonts w:cs="仿宋_GB2312" w:asciiTheme="minorEastAsia" w:hAnsiTheme="minorEastAsia" w:eastAsiaTheme="minorEastAsia"/>
          <w:color w:val="000000" w:themeColor="text1"/>
          <w:kern w:val="0"/>
          <w:sz w:val="28"/>
          <w:szCs w:val="28"/>
          <w:highlight w:val="none"/>
          <w14:textFill>
            <w14:solidFill>
              <w14:schemeClr w14:val="tx1"/>
            </w14:solidFill>
          </w14:textFill>
        </w:rPr>
      </w:pPr>
    </w:p>
    <w:p w14:paraId="184A5CF0">
      <w:pPr>
        <w:keepNext w:val="0"/>
        <w:keepLines w:val="0"/>
        <w:pageBreakBefore w:val="0"/>
        <w:widowControl/>
        <w:kinsoku/>
        <w:wordWrap/>
        <w:overflowPunct/>
        <w:topLinePunct w:val="0"/>
        <w:autoSpaceDE/>
        <w:autoSpaceDN/>
        <w:bidi w:val="0"/>
        <w:adjustRightInd/>
        <w:snapToGrid/>
        <w:spacing w:line="560" w:lineRule="exact"/>
        <w:ind w:right="0" w:firstLine="0" w:firstLineChars="0"/>
        <w:jc w:val="both"/>
        <w:textAlignment w:val="auto"/>
        <w:rPr>
          <w:rFonts w:cs="仿宋_GB2312" w:asciiTheme="minorEastAsia" w:hAnsiTheme="minorEastAsia" w:eastAsiaTheme="minorEastAsia"/>
          <w:color w:val="000000" w:themeColor="text1"/>
          <w:kern w:val="0"/>
          <w:sz w:val="28"/>
          <w:szCs w:val="28"/>
          <w:highlight w:val="none"/>
          <w14:textFill>
            <w14:solidFill>
              <w14:schemeClr w14:val="tx1"/>
            </w14:solidFill>
          </w14:textFill>
        </w:rPr>
      </w:pPr>
    </w:p>
    <w:p w14:paraId="453F5C87">
      <w:pPr>
        <w:keepNext w:val="0"/>
        <w:keepLines w:val="0"/>
        <w:pageBreakBefore w:val="0"/>
        <w:widowControl/>
        <w:kinsoku/>
        <w:wordWrap/>
        <w:overflowPunct/>
        <w:topLinePunct w:val="0"/>
        <w:autoSpaceDE/>
        <w:autoSpaceDN/>
        <w:bidi w:val="0"/>
        <w:adjustRightInd/>
        <w:snapToGrid/>
        <w:spacing w:line="560" w:lineRule="exact"/>
        <w:ind w:right="0" w:firstLine="0" w:firstLineChars="0"/>
        <w:jc w:val="both"/>
        <w:textAlignment w:val="auto"/>
        <w:rPr>
          <w:rFonts w:cs="仿宋_GB2312" w:asciiTheme="minorEastAsia" w:hAnsiTheme="minorEastAsia" w:eastAsiaTheme="minorEastAsia"/>
          <w:color w:val="000000" w:themeColor="text1"/>
          <w:kern w:val="0"/>
          <w:sz w:val="28"/>
          <w:szCs w:val="28"/>
          <w:highlight w:val="none"/>
          <w14:textFill>
            <w14:solidFill>
              <w14:schemeClr w14:val="tx1"/>
            </w14:solidFill>
          </w14:textFill>
        </w:rPr>
      </w:pPr>
    </w:p>
    <w:p w14:paraId="316217A3">
      <w:pPr>
        <w:keepNext w:val="0"/>
        <w:keepLines w:val="0"/>
        <w:pageBreakBefore w:val="0"/>
        <w:widowControl/>
        <w:kinsoku/>
        <w:wordWrap/>
        <w:overflowPunct/>
        <w:topLinePunct w:val="0"/>
        <w:autoSpaceDE/>
        <w:autoSpaceDN/>
        <w:bidi w:val="0"/>
        <w:adjustRightInd/>
        <w:snapToGrid/>
        <w:spacing w:line="560" w:lineRule="exact"/>
        <w:ind w:right="0" w:firstLine="0" w:firstLineChars="0"/>
        <w:jc w:val="both"/>
        <w:textAlignment w:val="auto"/>
        <w:rPr>
          <w:rFonts w:cs="仿宋_GB2312" w:asciiTheme="minorEastAsia" w:hAnsiTheme="minorEastAsia" w:eastAsiaTheme="minorEastAsia"/>
          <w:color w:val="000000" w:themeColor="text1"/>
          <w:kern w:val="0"/>
          <w:sz w:val="28"/>
          <w:szCs w:val="28"/>
          <w:highlight w:val="none"/>
          <w14:textFill>
            <w14:solidFill>
              <w14:schemeClr w14:val="tx1"/>
            </w14:solidFill>
          </w14:textFill>
        </w:rPr>
      </w:pPr>
    </w:p>
    <w:p w14:paraId="13CE31A5">
      <w:pPr>
        <w:keepNext w:val="0"/>
        <w:keepLines w:val="0"/>
        <w:pageBreakBefore w:val="0"/>
        <w:widowControl/>
        <w:kinsoku/>
        <w:wordWrap/>
        <w:overflowPunct/>
        <w:topLinePunct w:val="0"/>
        <w:autoSpaceDE/>
        <w:autoSpaceDN/>
        <w:bidi w:val="0"/>
        <w:adjustRightInd/>
        <w:snapToGrid/>
        <w:spacing w:line="560" w:lineRule="exact"/>
        <w:ind w:right="0" w:firstLine="0" w:firstLineChars="0"/>
        <w:jc w:val="both"/>
        <w:textAlignment w:val="auto"/>
        <w:rPr>
          <w:rFonts w:cs="仿宋_GB2312" w:asciiTheme="minorEastAsia" w:hAnsiTheme="minorEastAsia" w:eastAsiaTheme="minorEastAsia"/>
          <w:color w:val="000000" w:themeColor="text1"/>
          <w:kern w:val="0"/>
          <w:sz w:val="28"/>
          <w:szCs w:val="28"/>
          <w:highlight w:val="none"/>
          <w14:textFill>
            <w14:solidFill>
              <w14:schemeClr w14:val="tx1"/>
            </w14:solidFill>
          </w14:textFill>
        </w:rPr>
      </w:pPr>
    </w:p>
    <w:p w14:paraId="697D23B6">
      <w:pPr>
        <w:keepNext w:val="0"/>
        <w:keepLines w:val="0"/>
        <w:pageBreakBefore w:val="0"/>
        <w:widowControl/>
        <w:kinsoku/>
        <w:wordWrap/>
        <w:overflowPunct/>
        <w:topLinePunct w:val="0"/>
        <w:autoSpaceDE/>
        <w:autoSpaceDN/>
        <w:bidi w:val="0"/>
        <w:adjustRightInd/>
        <w:snapToGrid/>
        <w:spacing w:line="560" w:lineRule="exact"/>
        <w:ind w:right="0" w:firstLine="0" w:firstLineChars="0"/>
        <w:jc w:val="both"/>
        <w:textAlignment w:val="auto"/>
        <w:rPr>
          <w:rFonts w:cs="仿宋_GB2312" w:asciiTheme="minorEastAsia" w:hAnsiTheme="minorEastAsia" w:eastAsiaTheme="minorEastAsia"/>
          <w:color w:val="000000" w:themeColor="text1"/>
          <w:kern w:val="0"/>
          <w:sz w:val="28"/>
          <w:szCs w:val="28"/>
          <w:highlight w:val="none"/>
          <w14:textFill>
            <w14:solidFill>
              <w14:schemeClr w14:val="tx1"/>
            </w14:solidFill>
          </w14:textFill>
        </w:rPr>
      </w:pPr>
    </w:p>
    <w:p w14:paraId="3A596F90">
      <w:pPr>
        <w:keepNext w:val="0"/>
        <w:keepLines w:val="0"/>
        <w:pageBreakBefore w:val="0"/>
        <w:widowControl/>
        <w:kinsoku/>
        <w:wordWrap/>
        <w:overflowPunct/>
        <w:topLinePunct w:val="0"/>
        <w:autoSpaceDE/>
        <w:autoSpaceDN/>
        <w:bidi w:val="0"/>
        <w:adjustRightInd/>
        <w:snapToGrid/>
        <w:spacing w:line="560" w:lineRule="exact"/>
        <w:ind w:right="0" w:firstLine="0" w:firstLineChars="0"/>
        <w:jc w:val="both"/>
        <w:textAlignment w:val="auto"/>
        <w:rPr>
          <w:rFonts w:cs="仿宋_GB2312" w:asciiTheme="minorEastAsia" w:hAnsiTheme="minorEastAsia" w:eastAsiaTheme="minorEastAsia"/>
          <w:color w:val="000000" w:themeColor="text1"/>
          <w:kern w:val="0"/>
          <w:sz w:val="28"/>
          <w:szCs w:val="28"/>
          <w:highlight w:val="none"/>
          <w14:textFill>
            <w14:solidFill>
              <w14:schemeClr w14:val="tx1"/>
            </w14:solidFill>
          </w14:textFill>
        </w:rPr>
      </w:pPr>
    </w:p>
    <w:p w14:paraId="590757A6">
      <w:pPr>
        <w:keepNext w:val="0"/>
        <w:keepLines w:val="0"/>
        <w:pageBreakBefore w:val="0"/>
        <w:widowControl/>
        <w:kinsoku/>
        <w:wordWrap/>
        <w:overflowPunct/>
        <w:topLinePunct w:val="0"/>
        <w:autoSpaceDE/>
        <w:autoSpaceDN/>
        <w:bidi w:val="0"/>
        <w:adjustRightInd/>
        <w:snapToGrid/>
        <w:spacing w:line="560" w:lineRule="exact"/>
        <w:ind w:right="0" w:firstLine="0" w:firstLineChars="0"/>
        <w:jc w:val="both"/>
        <w:textAlignment w:val="auto"/>
        <w:rPr>
          <w:rFonts w:cs="仿宋_GB2312" w:asciiTheme="minorEastAsia" w:hAnsiTheme="minorEastAsia" w:eastAsiaTheme="minorEastAsia"/>
          <w:color w:val="000000" w:themeColor="text1"/>
          <w:kern w:val="0"/>
          <w:sz w:val="28"/>
          <w:szCs w:val="28"/>
          <w:highlight w:val="none"/>
          <w14:textFill>
            <w14:solidFill>
              <w14:schemeClr w14:val="tx1"/>
            </w14:solidFill>
          </w14:textFill>
        </w:rPr>
      </w:pPr>
    </w:p>
    <w:p w14:paraId="2C1FAD14">
      <w:pPr>
        <w:keepNext w:val="0"/>
        <w:keepLines w:val="0"/>
        <w:pageBreakBefore w:val="0"/>
        <w:widowControl/>
        <w:kinsoku/>
        <w:wordWrap/>
        <w:overflowPunct/>
        <w:topLinePunct w:val="0"/>
        <w:autoSpaceDE/>
        <w:autoSpaceDN/>
        <w:bidi w:val="0"/>
        <w:adjustRightInd/>
        <w:snapToGrid/>
        <w:spacing w:line="560" w:lineRule="exact"/>
        <w:ind w:right="0" w:firstLine="0" w:firstLineChars="0"/>
        <w:jc w:val="both"/>
        <w:textAlignment w:val="auto"/>
        <w:rPr>
          <w:rFonts w:cs="仿宋_GB2312" w:asciiTheme="minorEastAsia" w:hAnsiTheme="minorEastAsia" w:eastAsiaTheme="minorEastAsia"/>
          <w:color w:val="000000" w:themeColor="text1"/>
          <w:kern w:val="0"/>
          <w:sz w:val="28"/>
          <w:szCs w:val="28"/>
          <w:highlight w:val="none"/>
          <w14:textFill>
            <w14:solidFill>
              <w14:schemeClr w14:val="tx1"/>
            </w14:solidFill>
          </w14:textFill>
        </w:rPr>
      </w:pPr>
    </w:p>
    <w:p w14:paraId="600E2359">
      <w:pPr>
        <w:keepNext w:val="0"/>
        <w:keepLines w:val="0"/>
        <w:pageBreakBefore w:val="0"/>
        <w:kinsoku/>
        <w:wordWrap/>
        <w:overflowPunct/>
        <w:topLinePunct w:val="0"/>
        <w:autoSpaceDE/>
        <w:autoSpaceDN/>
        <w:bidi w:val="0"/>
        <w:adjustRightInd/>
        <w:snapToGrid/>
        <w:spacing w:line="560" w:lineRule="exact"/>
        <w:ind w:right="0" w:firstLine="0" w:firstLineChars="0"/>
        <w:jc w:val="both"/>
        <w:textAlignment w:val="auto"/>
        <w:rPr>
          <w:rFonts w:cs="仿宋_GB2312" w:asciiTheme="minorEastAsia" w:hAnsiTheme="minorEastAsia" w:eastAsiaTheme="minorEastAsia"/>
          <w:b/>
          <w:color w:val="000000" w:themeColor="text1"/>
          <w:sz w:val="28"/>
          <w:szCs w:val="28"/>
          <w:highlight w:val="none"/>
          <w14:textFill>
            <w14:solidFill>
              <w14:schemeClr w14:val="tx1"/>
            </w14:solidFill>
          </w14:textFill>
        </w:rPr>
      </w:pPr>
      <w:r>
        <w:rPr>
          <w:rFonts w:hint="eastAsia" w:cs="仿宋_GB2312" w:asciiTheme="minorEastAsia" w:hAnsiTheme="minorEastAsia" w:eastAsiaTheme="minorEastAsia"/>
          <w:b/>
          <w:color w:val="000000" w:themeColor="text1"/>
          <w:sz w:val="28"/>
          <w:szCs w:val="28"/>
          <w:highlight w:val="none"/>
          <w14:textFill>
            <w14:solidFill>
              <w14:schemeClr w14:val="tx1"/>
            </w14:solidFill>
          </w14:textFill>
        </w:rPr>
        <w:t>七、保证金凭证</w:t>
      </w:r>
    </w:p>
    <w:p w14:paraId="5ED86AA4">
      <w:pPr>
        <w:pStyle w:val="145"/>
        <w:pageBreakBefore w:val="0"/>
        <w:tabs>
          <w:tab w:val="left" w:pos="1429"/>
        </w:tabs>
        <w:wordWrap/>
        <w:topLinePunct w:val="0"/>
        <w:bidi w:val="0"/>
        <w:spacing w:line="560" w:lineRule="exact"/>
        <w:rPr>
          <w:rFonts w:asciiTheme="minorEastAsia" w:hAnsiTheme="minorEastAsia" w:eastAsiaTheme="minorEastAsia"/>
          <w:bCs/>
          <w:color w:val="000000" w:themeColor="text1"/>
          <w:sz w:val="28"/>
          <w:szCs w:val="28"/>
          <w:highlight w:val="none"/>
          <w14:textFill>
            <w14:solidFill>
              <w14:schemeClr w14:val="tx1"/>
            </w14:solidFill>
          </w14:textFill>
        </w:rPr>
      </w:pPr>
      <w:r>
        <w:rPr>
          <w:rFonts w:asciiTheme="minorEastAsia" w:hAnsiTheme="minorEastAsia" w:eastAsiaTheme="minorEastAsia"/>
          <w:bCs/>
          <w:color w:val="000000" w:themeColor="text1"/>
          <w:sz w:val="28"/>
          <w:szCs w:val="28"/>
          <w:highlight w:val="none"/>
          <w14:textFill>
            <w14:solidFill>
              <w14:schemeClr w14:val="tx1"/>
            </w14:solidFill>
          </w14:textFill>
        </w:rPr>
        <w:t>说明：此处上传</w:t>
      </w:r>
      <w:r>
        <w:rPr>
          <w:rFonts w:hint="eastAsia" w:asciiTheme="minorEastAsia" w:hAnsiTheme="minorEastAsia" w:eastAsiaTheme="minorEastAsia"/>
          <w:bCs/>
          <w:color w:val="000000" w:themeColor="text1"/>
          <w:sz w:val="28"/>
          <w:szCs w:val="28"/>
          <w:highlight w:val="none"/>
          <w14:textFill>
            <w14:solidFill>
              <w14:schemeClr w14:val="tx1"/>
            </w14:solidFill>
          </w14:textFill>
        </w:rPr>
        <w:t>投标</w:t>
      </w:r>
      <w:r>
        <w:rPr>
          <w:rFonts w:asciiTheme="minorEastAsia" w:hAnsiTheme="minorEastAsia" w:eastAsiaTheme="minorEastAsia"/>
          <w:bCs/>
          <w:color w:val="000000" w:themeColor="text1"/>
          <w:sz w:val="28"/>
          <w:szCs w:val="28"/>
          <w:highlight w:val="none"/>
          <w14:textFill>
            <w14:solidFill>
              <w14:schemeClr w14:val="tx1"/>
            </w14:solidFill>
          </w14:textFill>
        </w:rPr>
        <w:t>保证金缴纳证明文件</w:t>
      </w:r>
    </w:p>
    <w:p w14:paraId="64172928">
      <w:pPr>
        <w:pStyle w:val="145"/>
        <w:pageBreakBefore w:val="0"/>
        <w:tabs>
          <w:tab w:val="left" w:pos="1429"/>
        </w:tabs>
        <w:wordWrap/>
        <w:topLinePunct w:val="0"/>
        <w:bidi w:val="0"/>
        <w:spacing w:line="560" w:lineRule="exact"/>
        <w:rPr>
          <w:rFonts w:asciiTheme="minorEastAsia" w:hAnsiTheme="minorEastAsia" w:eastAsiaTheme="minorEastAsia"/>
          <w:bCs/>
          <w:color w:val="000000" w:themeColor="text1"/>
          <w:sz w:val="28"/>
          <w:szCs w:val="28"/>
          <w:highlight w:val="none"/>
          <w14:textFill>
            <w14:solidFill>
              <w14:schemeClr w14:val="tx1"/>
            </w14:solidFill>
          </w14:textFill>
        </w:rPr>
      </w:pPr>
    </w:p>
    <w:p w14:paraId="597D9EE3">
      <w:pPr>
        <w:pStyle w:val="145"/>
        <w:pageBreakBefore w:val="0"/>
        <w:tabs>
          <w:tab w:val="left" w:pos="1429"/>
        </w:tabs>
        <w:wordWrap/>
        <w:topLinePunct w:val="0"/>
        <w:bidi w:val="0"/>
        <w:spacing w:line="560" w:lineRule="exact"/>
        <w:rPr>
          <w:rFonts w:asciiTheme="minorEastAsia" w:hAnsiTheme="minorEastAsia" w:eastAsiaTheme="minorEastAsia"/>
          <w:bCs/>
          <w:color w:val="000000" w:themeColor="text1"/>
          <w:sz w:val="28"/>
          <w:szCs w:val="28"/>
          <w:highlight w:val="none"/>
          <w14:textFill>
            <w14:solidFill>
              <w14:schemeClr w14:val="tx1"/>
            </w14:solidFill>
          </w14:textFill>
        </w:rPr>
      </w:pPr>
    </w:p>
    <w:p w14:paraId="55794D5F">
      <w:pPr>
        <w:pStyle w:val="145"/>
        <w:pageBreakBefore w:val="0"/>
        <w:tabs>
          <w:tab w:val="left" w:pos="1429"/>
        </w:tabs>
        <w:wordWrap/>
        <w:topLinePunct w:val="0"/>
        <w:bidi w:val="0"/>
        <w:spacing w:line="560" w:lineRule="exact"/>
        <w:rPr>
          <w:rFonts w:asciiTheme="minorEastAsia" w:hAnsiTheme="minorEastAsia" w:eastAsiaTheme="minorEastAsia"/>
          <w:bCs/>
          <w:color w:val="000000" w:themeColor="text1"/>
          <w:sz w:val="28"/>
          <w:szCs w:val="28"/>
          <w:highlight w:val="none"/>
          <w14:textFill>
            <w14:solidFill>
              <w14:schemeClr w14:val="tx1"/>
            </w14:solidFill>
          </w14:textFill>
        </w:rPr>
      </w:pPr>
    </w:p>
    <w:p w14:paraId="6C0E3A0B">
      <w:pPr>
        <w:pStyle w:val="145"/>
        <w:pageBreakBefore w:val="0"/>
        <w:tabs>
          <w:tab w:val="left" w:pos="1429"/>
        </w:tabs>
        <w:wordWrap/>
        <w:topLinePunct w:val="0"/>
        <w:bidi w:val="0"/>
        <w:spacing w:line="560" w:lineRule="exact"/>
        <w:rPr>
          <w:rFonts w:asciiTheme="minorEastAsia" w:hAnsiTheme="minorEastAsia" w:eastAsiaTheme="minorEastAsia"/>
          <w:bCs/>
          <w:color w:val="000000" w:themeColor="text1"/>
          <w:sz w:val="28"/>
          <w:szCs w:val="28"/>
          <w:highlight w:val="none"/>
          <w14:textFill>
            <w14:solidFill>
              <w14:schemeClr w14:val="tx1"/>
            </w14:solidFill>
          </w14:textFill>
        </w:rPr>
      </w:pPr>
    </w:p>
    <w:p w14:paraId="766A5F18">
      <w:pPr>
        <w:pStyle w:val="145"/>
        <w:pageBreakBefore w:val="0"/>
        <w:tabs>
          <w:tab w:val="left" w:pos="1429"/>
        </w:tabs>
        <w:wordWrap/>
        <w:topLinePunct w:val="0"/>
        <w:bidi w:val="0"/>
        <w:spacing w:line="560" w:lineRule="exact"/>
        <w:rPr>
          <w:rFonts w:asciiTheme="minorEastAsia" w:hAnsiTheme="minorEastAsia" w:eastAsiaTheme="minorEastAsia"/>
          <w:bCs/>
          <w:color w:val="000000" w:themeColor="text1"/>
          <w:sz w:val="28"/>
          <w:szCs w:val="28"/>
          <w:highlight w:val="none"/>
          <w14:textFill>
            <w14:solidFill>
              <w14:schemeClr w14:val="tx1"/>
            </w14:solidFill>
          </w14:textFill>
        </w:rPr>
      </w:pPr>
    </w:p>
    <w:p w14:paraId="4B6B2F29">
      <w:pPr>
        <w:pStyle w:val="145"/>
        <w:pageBreakBefore w:val="0"/>
        <w:tabs>
          <w:tab w:val="left" w:pos="1429"/>
        </w:tabs>
        <w:wordWrap/>
        <w:topLinePunct w:val="0"/>
        <w:bidi w:val="0"/>
        <w:spacing w:line="560" w:lineRule="exact"/>
        <w:rPr>
          <w:rFonts w:asciiTheme="minorEastAsia" w:hAnsiTheme="minorEastAsia" w:eastAsiaTheme="minorEastAsia"/>
          <w:bCs/>
          <w:color w:val="000000" w:themeColor="text1"/>
          <w:sz w:val="28"/>
          <w:szCs w:val="28"/>
          <w:highlight w:val="none"/>
          <w14:textFill>
            <w14:solidFill>
              <w14:schemeClr w14:val="tx1"/>
            </w14:solidFill>
          </w14:textFill>
        </w:rPr>
      </w:pPr>
    </w:p>
    <w:p w14:paraId="476BA7F1">
      <w:pPr>
        <w:pStyle w:val="145"/>
        <w:pageBreakBefore w:val="0"/>
        <w:tabs>
          <w:tab w:val="left" w:pos="1429"/>
        </w:tabs>
        <w:wordWrap/>
        <w:topLinePunct w:val="0"/>
        <w:bidi w:val="0"/>
        <w:spacing w:line="560" w:lineRule="exact"/>
        <w:rPr>
          <w:rFonts w:asciiTheme="minorEastAsia" w:hAnsiTheme="minorEastAsia" w:eastAsiaTheme="minorEastAsia"/>
          <w:bCs/>
          <w:color w:val="000000" w:themeColor="text1"/>
          <w:sz w:val="28"/>
          <w:szCs w:val="28"/>
          <w:highlight w:val="none"/>
          <w14:textFill>
            <w14:solidFill>
              <w14:schemeClr w14:val="tx1"/>
            </w14:solidFill>
          </w14:textFill>
        </w:rPr>
      </w:pPr>
    </w:p>
    <w:p w14:paraId="0646C9D4">
      <w:pPr>
        <w:pStyle w:val="145"/>
        <w:pageBreakBefore w:val="0"/>
        <w:tabs>
          <w:tab w:val="left" w:pos="1429"/>
        </w:tabs>
        <w:wordWrap/>
        <w:topLinePunct w:val="0"/>
        <w:bidi w:val="0"/>
        <w:spacing w:line="560" w:lineRule="exact"/>
        <w:rPr>
          <w:rFonts w:asciiTheme="minorEastAsia" w:hAnsiTheme="minorEastAsia" w:eastAsiaTheme="minorEastAsia"/>
          <w:bCs/>
          <w:color w:val="000000" w:themeColor="text1"/>
          <w:sz w:val="28"/>
          <w:szCs w:val="28"/>
          <w:highlight w:val="none"/>
          <w14:textFill>
            <w14:solidFill>
              <w14:schemeClr w14:val="tx1"/>
            </w14:solidFill>
          </w14:textFill>
        </w:rPr>
      </w:pPr>
    </w:p>
    <w:p w14:paraId="54D33690">
      <w:pPr>
        <w:pStyle w:val="145"/>
        <w:pageBreakBefore w:val="0"/>
        <w:tabs>
          <w:tab w:val="left" w:pos="1429"/>
        </w:tabs>
        <w:wordWrap/>
        <w:topLinePunct w:val="0"/>
        <w:bidi w:val="0"/>
        <w:spacing w:line="560" w:lineRule="exact"/>
        <w:rPr>
          <w:rFonts w:asciiTheme="minorEastAsia" w:hAnsiTheme="minorEastAsia" w:eastAsiaTheme="minorEastAsia"/>
          <w:bCs/>
          <w:color w:val="000000" w:themeColor="text1"/>
          <w:sz w:val="28"/>
          <w:szCs w:val="28"/>
          <w:highlight w:val="none"/>
          <w14:textFill>
            <w14:solidFill>
              <w14:schemeClr w14:val="tx1"/>
            </w14:solidFill>
          </w14:textFill>
        </w:rPr>
      </w:pPr>
    </w:p>
    <w:p w14:paraId="7AE64C80">
      <w:pPr>
        <w:pStyle w:val="145"/>
        <w:pageBreakBefore w:val="0"/>
        <w:tabs>
          <w:tab w:val="left" w:pos="1429"/>
        </w:tabs>
        <w:wordWrap/>
        <w:topLinePunct w:val="0"/>
        <w:bidi w:val="0"/>
        <w:spacing w:line="560" w:lineRule="exact"/>
        <w:rPr>
          <w:rFonts w:asciiTheme="minorEastAsia" w:hAnsiTheme="minorEastAsia" w:eastAsiaTheme="minorEastAsia"/>
          <w:bCs/>
          <w:color w:val="000000" w:themeColor="text1"/>
          <w:sz w:val="28"/>
          <w:szCs w:val="28"/>
          <w:highlight w:val="none"/>
          <w14:textFill>
            <w14:solidFill>
              <w14:schemeClr w14:val="tx1"/>
            </w14:solidFill>
          </w14:textFill>
        </w:rPr>
      </w:pPr>
    </w:p>
    <w:p w14:paraId="3FDD6FC8">
      <w:pPr>
        <w:pStyle w:val="145"/>
        <w:pageBreakBefore w:val="0"/>
        <w:tabs>
          <w:tab w:val="left" w:pos="1429"/>
        </w:tabs>
        <w:wordWrap/>
        <w:topLinePunct w:val="0"/>
        <w:bidi w:val="0"/>
        <w:spacing w:line="560" w:lineRule="exact"/>
        <w:rPr>
          <w:rFonts w:asciiTheme="minorEastAsia" w:hAnsiTheme="minorEastAsia" w:eastAsiaTheme="minorEastAsia"/>
          <w:bCs/>
          <w:color w:val="000000" w:themeColor="text1"/>
          <w:sz w:val="28"/>
          <w:szCs w:val="28"/>
          <w:highlight w:val="none"/>
          <w14:textFill>
            <w14:solidFill>
              <w14:schemeClr w14:val="tx1"/>
            </w14:solidFill>
          </w14:textFill>
        </w:rPr>
      </w:pPr>
    </w:p>
    <w:p w14:paraId="05CCDAB6">
      <w:pPr>
        <w:pStyle w:val="145"/>
        <w:pageBreakBefore w:val="0"/>
        <w:tabs>
          <w:tab w:val="left" w:pos="1429"/>
        </w:tabs>
        <w:wordWrap/>
        <w:topLinePunct w:val="0"/>
        <w:bidi w:val="0"/>
        <w:spacing w:line="560" w:lineRule="exact"/>
        <w:rPr>
          <w:rFonts w:asciiTheme="minorEastAsia" w:hAnsiTheme="minorEastAsia" w:eastAsiaTheme="minorEastAsia"/>
          <w:bCs/>
          <w:color w:val="000000" w:themeColor="text1"/>
          <w:sz w:val="28"/>
          <w:szCs w:val="28"/>
          <w:highlight w:val="none"/>
          <w14:textFill>
            <w14:solidFill>
              <w14:schemeClr w14:val="tx1"/>
            </w14:solidFill>
          </w14:textFill>
        </w:rPr>
      </w:pPr>
    </w:p>
    <w:p w14:paraId="46257B49">
      <w:pPr>
        <w:pStyle w:val="145"/>
        <w:pageBreakBefore w:val="0"/>
        <w:tabs>
          <w:tab w:val="left" w:pos="1429"/>
        </w:tabs>
        <w:wordWrap/>
        <w:topLinePunct w:val="0"/>
        <w:bidi w:val="0"/>
        <w:spacing w:line="560" w:lineRule="exact"/>
        <w:rPr>
          <w:rFonts w:asciiTheme="minorEastAsia" w:hAnsiTheme="minorEastAsia" w:eastAsiaTheme="minorEastAsia"/>
          <w:bCs/>
          <w:color w:val="000000" w:themeColor="text1"/>
          <w:sz w:val="28"/>
          <w:szCs w:val="28"/>
          <w:highlight w:val="none"/>
          <w14:textFill>
            <w14:solidFill>
              <w14:schemeClr w14:val="tx1"/>
            </w14:solidFill>
          </w14:textFill>
        </w:rPr>
      </w:pPr>
    </w:p>
    <w:p w14:paraId="434DDFEC">
      <w:pPr>
        <w:pStyle w:val="145"/>
        <w:pageBreakBefore w:val="0"/>
        <w:tabs>
          <w:tab w:val="left" w:pos="1429"/>
        </w:tabs>
        <w:wordWrap/>
        <w:topLinePunct w:val="0"/>
        <w:bidi w:val="0"/>
        <w:spacing w:line="560" w:lineRule="exact"/>
        <w:rPr>
          <w:rFonts w:asciiTheme="minorEastAsia" w:hAnsiTheme="minorEastAsia" w:eastAsiaTheme="minorEastAsia"/>
          <w:bCs/>
          <w:color w:val="000000" w:themeColor="text1"/>
          <w:sz w:val="28"/>
          <w:szCs w:val="28"/>
          <w:highlight w:val="none"/>
          <w14:textFill>
            <w14:solidFill>
              <w14:schemeClr w14:val="tx1"/>
            </w14:solidFill>
          </w14:textFill>
        </w:rPr>
      </w:pPr>
    </w:p>
    <w:p w14:paraId="4E7CC358">
      <w:pPr>
        <w:pStyle w:val="145"/>
        <w:pageBreakBefore w:val="0"/>
        <w:tabs>
          <w:tab w:val="left" w:pos="1429"/>
        </w:tabs>
        <w:wordWrap/>
        <w:topLinePunct w:val="0"/>
        <w:bidi w:val="0"/>
        <w:spacing w:line="560" w:lineRule="exact"/>
        <w:rPr>
          <w:rFonts w:asciiTheme="minorEastAsia" w:hAnsiTheme="minorEastAsia" w:eastAsiaTheme="minorEastAsia"/>
          <w:bCs/>
          <w:color w:val="000000" w:themeColor="text1"/>
          <w:sz w:val="28"/>
          <w:szCs w:val="28"/>
          <w:highlight w:val="none"/>
          <w14:textFill>
            <w14:solidFill>
              <w14:schemeClr w14:val="tx1"/>
            </w14:solidFill>
          </w14:textFill>
        </w:rPr>
      </w:pPr>
    </w:p>
    <w:p w14:paraId="74A5005C">
      <w:pPr>
        <w:pStyle w:val="145"/>
        <w:pageBreakBefore w:val="0"/>
        <w:tabs>
          <w:tab w:val="left" w:pos="1429"/>
        </w:tabs>
        <w:wordWrap/>
        <w:topLinePunct w:val="0"/>
        <w:bidi w:val="0"/>
        <w:spacing w:line="560" w:lineRule="exact"/>
        <w:rPr>
          <w:rFonts w:asciiTheme="minorEastAsia" w:hAnsiTheme="minorEastAsia" w:eastAsiaTheme="minorEastAsia"/>
          <w:bCs/>
          <w:color w:val="000000" w:themeColor="text1"/>
          <w:sz w:val="28"/>
          <w:szCs w:val="28"/>
          <w:highlight w:val="none"/>
          <w14:textFill>
            <w14:solidFill>
              <w14:schemeClr w14:val="tx1"/>
            </w14:solidFill>
          </w14:textFill>
        </w:rPr>
      </w:pPr>
    </w:p>
    <w:p w14:paraId="60EF9A8A">
      <w:pPr>
        <w:pStyle w:val="145"/>
        <w:pageBreakBefore w:val="0"/>
        <w:tabs>
          <w:tab w:val="left" w:pos="1429"/>
        </w:tabs>
        <w:wordWrap/>
        <w:topLinePunct w:val="0"/>
        <w:bidi w:val="0"/>
        <w:spacing w:line="560" w:lineRule="exact"/>
        <w:rPr>
          <w:rFonts w:asciiTheme="minorEastAsia" w:hAnsiTheme="minorEastAsia" w:eastAsiaTheme="minorEastAsia"/>
          <w:bCs/>
          <w:color w:val="000000" w:themeColor="text1"/>
          <w:sz w:val="28"/>
          <w:szCs w:val="28"/>
          <w:highlight w:val="none"/>
          <w14:textFill>
            <w14:solidFill>
              <w14:schemeClr w14:val="tx1"/>
            </w14:solidFill>
          </w14:textFill>
        </w:rPr>
      </w:pPr>
    </w:p>
    <w:p w14:paraId="1B44B779">
      <w:pPr>
        <w:pStyle w:val="145"/>
        <w:pageBreakBefore w:val="0"/>
        <w:tabs>
          <w:tab w:val="left" w:pos="1429"/>
        </w:tabs>
        <w:wordWrap/>
        <w:topLinePunct w:val="0"/>
        <w:bidi w:val="0"/>
        <w:spacing w:line="560" w:lineRule="exact"/>
        <w:rPr>
          <w:rFonts w:asciiTheme="minorEastAsia" w:hAnsiTheme="minorEastAsia" w:eastAsiaTheme="minorEastAsia"/>
          <w:bCs/>
          <w:color w:val="000000" w:themeColor="text1"/>
          <w:sz w:val="28"/>
          <w:szCs w:val="28"/>
          <w:highlight w:val="none"/>
          <w14:textFill>
            <w14:solidFill>
              <w14:schemeClr w14:val="tx1"/>
            </w14:solidFill>
          </w14:textFill>
        </w:rPr>
      </w:pPr>
    </w:p>
    <w:p w14:paraId="1E29FE3E">
      <w:pPr>
        <w:pStyle w:val="145"/>
        <w:pageBreakBefore w:val="0"/>
        <w:tabs>
          <w:tab w:val="left" w:pos="1429"/>
        </w:tabs>
        <w:wordWrap/>
        <w:topLinePunct w:val="0"/>
        <w:bidi w:val="0"/>
        <w:spacing w:line="560" w:lineRule="exact"/>
        <w:rPr>
          <w:rFonts w:asciiTheme="minorEastAsia" w:hAnsiTheme="minorEastAsia" w:eastAsiaTheme="minorEastAsia"/>
          <w:bCs/>
          <w:color w:val="000000" w:themeColor="text1"/>
          <w:sz w:val="28"/>
          <w:szCs w:val="28"/>
          <w:highlight w:val="none"/>
          <w14:textFill>
            <w14:solidFill>
              <w14:schemeClr w14:val="tx1"/>
            </w14:solidFill>
          </w14:textFill>
        </w:rPr>
      </w:pPr>
    </w:p>
    <w:p w14:paraId="215548F4">
      <w:pPr>
        <w:pageBreakBefore w:val="0"/>
        <w:wordWrap/>
        <w:topLinePunct w:val="0"/>
        <w:bidi w:val="0"/>
        <w:spacing w:line="560" w:lineRule="exact"/>
        <w:rPr>
          <w:color w:val="000000" w:themeColor="text1"/>
          <w:highlight w:val="none"/>
          <w14:textFill>
            <w14:solidFill>
              <w14:schemeClr w14:val="tx1"/>
            </w14:solidFill>
          </w14:textFill>
        </w:rPr>
      </w:pPr>
    </w:p>
    <w:p w14:paraId="7F48D393">
      <w:pPr>
        <w:keepNext w:val="0"/>
        <w:keepLines w:val="0"/>
        <w:pageBreakBefore w:val="0"/>
        <w:kinsoku/>
        <w:wordWrap/>
        <w:overflowPunct/>
        <w:topLinePunct w:val="0"/>
        <w:autoSpaceDE/>
        <w:autoSpaceDN/>
        <w:bidi w:val="0"/>
        <w:adjustRightInd/>
        <w:snapToGrid/>
        <w:spacing w:line="560" w:lineRule="exact"/>
        <w:ind w:right="0" w:firstLine="0" w:firstLineChars="0"/>
        <w:jc w:val="both"/>
        <w:textAlignment w:val="auto"/>
        <w:rPr>
          <w:rFonts w:hint="eastAsia" w:cs="仿宋_GB2312" w:asciiTheme="minorEastAsia" w:hAnsiTheme="minorEastAsia" w:eastAsiaTheme="minorEastAsia"/>
          <w:b/>
          <w:color w:val="000000" w:themeColor="text1"/>
          <w:sz w:val="28"/>
          <w:szCs w:val="28"/>
          <w:highlight w:val="none"/>
          <w:lang w:eastAsia="zh-CN"/>
          <w14:textFill>
            <w14:solidFill>
              <w14:schemeClr w14:val="tx1"/>
            </w14:solidFill>
          </w14:textFill>
        </w:rPr>
      </w:pPr>
    </w:p>
    <w:p w14:paraId="103CE1A7">
      <w:pPr>
        <w:keepNext w:val="0"/>
        <w:keepLines w:val="0"/>
        <w:pageBreakBefore w:val="0"/>
        <w:kinsoku/>
        <w:wordWrap/>
        <w:overflowPunct/>
        <w:topLinePunct w:val="0"/>
        <w:autoSpaceDE/>
        <w:autoSpaceDN/>
        <w:bidi w:val="0"/>
        <w:adjustRightInd/>
        <w:snapToGrid/>
        <w:spacing w:line="560" w:lineRule="exact"/>
        <w:ind w:right="0" w:firstLine="0" w:firstLineChars="0"/>
        <w:jc w:val="both"/>
        <w:textAlignment w:val="auto"/>
        <w:rPr>
          <w:rFonts w:hint="eastAsia" w:cs="仿宋_GB2312" w:asciiTheme="minorEastAsia" w:hAnsiTheme="minorEastAsia" w:eastAsiaTheme="minorEastAsia"/>
          <w:b/>
          <w:color w:val="000000" w:themeColor="text1"/>
          <w:sz w:val="28"/>
          <w:szCs w:val="28"/>
          <w:highlight w:val="none"/>
          <w:lang w:eastAsia="zh-CN"/>
          <w14:textFill>
            <w14:solidFill>
              <w14:schemeClr w14:val="tx1"/>
            </w14:solidFill>
          </w14:textFill>
        </w:rPr>
      </w:pPr>
    </w:p>
    <w:p w14:paraId="765C7D10">
      <w:pPr>
        <w:keepNext w:val="0"/>
        <w:keepLines w:val="0"/>
        <w:pageBreakBefore w:val="0"/>
        <w:kinsoku/>
        <w:wordWrap/>
        <w:overflowPunct/>
        <w:topLinePunct w:val="0"/>
        <w:autoSpaceDE/>
        <w:autoSpaceDN/>
        <w:bidi w:val="0"/>
        <w:adjustRightInd/>
        <w:snapToGrid/>
        <w:spacing w:line="560" w:lineRule="exact"/>
        <w:ind w:right="0" w:firstLine="0" w:firstLineChars="0"/>
        <w:jc w:val="both"/>
        <w:textAlignment w:val="auto"/>
        <w:rPr>
          <w:rFonts w:hint="eastAsia" w:cs="仿宋_GB2312" w:asciiTheme="minorEastAsia" w:hAnsiTheme="minorEastAsia" w:eastAsiaTheme="minorEastAsia"/>
          <w:b/>
          <w:color w:val="000000" w:themeColor="text1"/>
          <w:sz w:val="28"/>
          <w:szCs w:val="28"/>
          <w:highlight w:val="none"/>
          <w:lang w:eastAsia="zh-CN"/>
          <w14:textFill>
            <w14:solidFill>
              <w14:schemeClr w14:val="tx1"/>
            </w14:solidFill>
          </w14:textFill>
        </w:rPr>
      </w:pPr>
    </w:p>
    <w:p w14:paraId="076BFE45">
      <w:pPr>
        <w:bidi w:val="0"/>
        <w:rPr>
          <w:rFonts w:hint="eastAsia"/>
          <w:color w:val="000000" w:themeColor="text1"/>
          <w14:textFill>
            <w14:solidFill>
              <w14:schemeClr w14:val="tx1"/>
            </w14:solidFill>
          </w14:textFill>
        </w:rPr>
      </w:pPr>
    </w:p>
    <w:p w14:paraId="5F405B2D">
      <w:pPr>
        <w:pStyle w:val="4"/>
        <w:keepNext w:val="0"/>
        <w:keepLines w:val="0"/>
        <w:pageBreakBefore w:val="0"/>
        <w:wordWrap/>
        <w:topLinePunct w:val="0"/>
        <w:bidi w:val="0"/>
        <w:spacing w:line="560" w:lineRule="exact"/>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第</w:t>
      </w:r>
      <w:r>
        <w:rPr>
          <w:rFonts w:hint="eastAsia"/>
          <w:color w:val="000000" w:themeColor="text1"/>
          <w:highlight w:val="none"/>
          <w:lang w:eastAsia="zh-CN"/>
          <w14:textFill>
            <w14:solidFill>
              <w14:schemeClr w14:val="tx1"/>
            </w14:solidFill>
          </w14:textFill>
        </w:rPr>
        <w:t>二</w:t>
      </w:r>
      <w:r>
        <w:rPr>
          <w:rFonts w:hint="eastAsia"/>
          <w:color w:val="000000" w:themeColor="text1"/>
          <w:highlight w:val="none"/>
          <w14:textFill>
            <w14:solidFill>
              <w14:schemeClr w14:val="tx1"/>
            </w14:solidFill>
          </w14:textFill>
        </w:rPr>
        <w:t>节 报价文件格式</w:t>
      </w:r>
    </w:p>
    <w:p w14:paraId="106A6AE5">
      <w:pPr>
        <w:pStyle w:val="17"/>
        <w:keepNext w:val="0"/>
        <w:keepLines w:val="0"/>
        <w:pageBreakBefore w:val="0"/>
        <w:kinsoku/>
        <w:wordWrap/>
        <w:overflowPunct/>
        <w:topLinePunct w:val="0"/>
        <w:autoSpaceDE/>
        <w:autoSpaceDN/>
        <w:bidi w:val="0"/>
        <w:spacing w:line="520" w:lineRule="exact"/>
        <w:textAlignment w:val="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一、投标函</w:t>
      </w:r>
    </w:p>
    <w:p w14:paraId="0C7A8EFB">
      <w:pPr>
        <w:pStyle w:val="17"/>
        <w:keepNext w:val="0"/>
        <w:keepLines w:val="0"/>
        <w:pageBreakBefore w:val="0"/>
        <w:kinsoku/>
        <w:wordWrap/>
        <w:overflowPunct/>
        <w:topLinePunct w:val="0"/>
        <w:autoSpaceDE/>
        <w:autoSpaceDN/>
        <w:bidi w:val="0"/>
        <w:spacing w:line="520" w:lineRule="exact"/>
        <w:jc w:val="both"/>
        <w:textAlignment w:val="auto"/>
        <w:rPr>
          <w:b w:val="0"/>
          <w:color w:val="000000" w:themeColor="text1"/>
          <w:highlight w:val="none"/>
          <w14:textFill>
            <w14:solidFill>
              <w14:schemeClr w14:val="tx1"/>
            </w14:solidFill>
          </w14:textFill>
        </w:rPr>
      </w:pPr>
      <w:r>
        <w:rPr>
          <w:rFonts w:hint="eastAsia"/>
          <w:b w:val="0"/>
          <w:color w:val="000000" w:themeColor="text1"/>
          <w:highlight w:val="none"/>
          <w14:textFill>
            <w14:solidFill>
              <w14:schemeClr w14:val="tx1"/>
            </w14:solidFill>
          </w14:textFill>
        </w:rPr>
        <w:t>致：</w:t>
      </w:r>
      <w:r>
        <w:rPr>
          <w:rFonts w:hint="eastAsia"/>
          <w:b w:val="0"/>
          <w:color w:val="000000" w:themeColor="text1"/>
          <w:highlight w:val="none"/>
          <w:lang w:eastAsia="zh-CN"/>
          <w14:textFill>
            <w14:solidFill>
              <w14:schemeClr w14:val="tx1"/>
            </w14:solidFill>
          </w14:textFill>
        </w:rPr>
        <w:t>（</w:t>
      </w:r>
      <w:r>
        <w:rPr>
          <w:rFonts w:hint="eastAsia"/>
          <w:b w:val="0"/>
          <w:color w:val="000000" w:themeColor="text1"/>
          <w:highlight w:val="none"/>
          <w:u w:val="single"/>
          <w:lang w:eastAsia="zh-CN"/>
          <w14:textFill>
            <w14:solidFill>
              <w14:schemeClr w14:val="tx1"/>
            </w14:solidFill>
          </w14:textFill>
        </w:rPr>
        <w:t>采购人名称）</w:t>
      </w:r>
      <w:r>
        <w:rPr>
          <w:rFonts w:hint="eastAsia"/>
          <w:b w:val="0"/>
          <w:color w:val="000000" w:themeColor="text1"/>
          <w:highlight w:val="none"/>
          <w:u w:val="single"/>
          <w:lang w:val="en-US" w:eastAsia="zh-CN"/>
          <w14:textFill>
            <w14:solidFill>
              <w14:schemeClr w14:val="tx1"/>
            </w14:solidFill>
          </w14:textFill>
        </w:rPr>
        <w:t xml:space="preserve">              </w:t>
      </w:r>
      <w:r>
        <w:rPr>
          <w:b w:val="0"/>
          <w:color w:val="000000" w:themeColor="text1"/>
          <w:highlight w:val="none"/>
          <w:u w:val="single"/>
          <w14:textFill>
            <w14:solidFill>
              <w14:schemeClr w14:val="tx1"/>
            </w14:solidFill>
          </w14:textFill>
        </w:rPr>
        <w:t xml:space="preserve"> </w:t>
      </w:r>
    </w:p>
    <w:p w14:paraId="27F83FB0">
      <w:pPr>
        <w:pStyle w:val="17"/>
        <w:keepNext w:val="0"/>
        <w:keepLines w:val="0"/>
        <w:pageBreakBefore w:val="0"/>
        <w:kinsoku/>
        <w:wordWrap/>
        <w:overflowPunct/>
        <w:topLinePunct w:val="0"/>
        <w:autoSpaceDE/>
        <w:autoSpaceDN/>
        <w:bidi w:val="0"/>
        <w:spacing w:line="520" w:lineRule="exact"/>
        <w:ind w:firstLine="560" w:firstLineChars="200"/>
        <w:jc w:val="both"/>
        <w:textAlignment w:val="auto"/>
        <w:rPr>
          <w:b w:val="0"/>
          <w:color w:val="000000" w:themeColor="text1"/>
          <w:highlight w:val="none"/>
          <w14:textFill>
            <w14:solidFill>
              <w14:schemeClr w14:val="tx1"/>
            </w14:solidFill>
          </w14:textFill>
        </w:rPr>
      </w:pPr>
      <w:r>
        <w:rPr>
          <w:rFonts w:hint="eastAsia"/>
          <w:b w:val="0"/>
          <w:color w:val="000000" w:themeColor="text1"/>
          <w:highlight w:val="none"/>
          <w14:textFill>
            <w14:solidFill>
              <w14:schemeClr w14:val="tx1"/>
            </w14:solidFill>
          </w14:textFill>
        </w:rPr>
        <w:t>我方已仔细阅读了贵方组织的</w:t>
      </w:r>
      <w:r>
        <w:rPr>
          <w:b w:val="0"/>
          <w:color w:val="000000" w:themeColor="text1"/>
          <w:highlight w:val="none"/>
          <w:u w:val="single"/>
          <w14:textFill>
            <w14:solidFill>
              <w14:schemeClr w14:val="tx1"/>
            </w14:solidFill>
          </w14:textFill>
        </w:rPr>
        <w:t xml:space="preserve">  </w:t>
      </w:r>
      <w:r>
        <w:rPr>
          <w:rFonts w:hint="eastAsia"/>
          <w:b w:val="0"/>
          <w:color w:val="000000" w:themeColor="text1"/>
          <w:highlight w:val="none"/>
          <w:u w:val="single"/>
          <w:lang w:val="en-US" w:eastAsia="zh-CN"/>
          <w14:textFill>
            <w14:solidFill>
              <w14:schemeClr w14:val="tx1"/>
            </w14:solidFill>
          </w14:textFill>
        </w:rPr>
        <w:t xml:space="preserve">           （项目名称、</w:t>
      </w:r>
      <w:r>
        <w:rPr>
          <w:rFonts w:hint="eastAsia"/>
          <w:b w:val="0"/>
          <w:color w:val="000000" w:themeColor="text1"/>
          <w:highlight w:val="none"/>
          <w:u w:val="single"/>
          <w14:textFill>
            <w14:solidFill>
              <w14:schemeClr w14:val="tx1"/>
            </w14:solidFill>
          </w14:textFill>
        </w:rPr>
        <w:t>项目编号</w:t>
      </w:r>
      <w:r>
        <w:rPr>
          <w:rFonts w:hint="eastAsia"/>
          <w:b w:val="0"/>
          <w:color w:val="000000" w:themeColor="text1"/>
          <w:highlight w:val="none"/>
          <w:u w:val="single"/>
          <w:lang w:eastAsia="zh-CN"/>
          <w14:textFill>
            <w14:solidFill>
              <w14:schemeClr w14:val="tx1"/>
            </w14:solidFill>
          </w14:textFill>
        </w:rPr>
        <w:t>、标项名称</w:t>
      </w:r>
      <w:r>
        <w:rPr>
          <w:rFonts w:hint="eastAsia"/>
          <w:b w:val="0"/>
          <w:color w:val="000000" w:themeColor="text1"/>
          <w:highlight w:val="none"/>
          <w:u w:val="single"/>
          <w:lang w:val="en-US" w:eastAsia="zh-CN"/>
          <w14:textFill>
            <w14:solidFill>
              <w14:schemeClr w14:val="tx1"/>
            </w14:solidFill>
          </w14:textFill>
        </w:rPr>
        <w:t xml:space="preserve">） </w:t>
      </w:r>
      <w:r>
        <w:rPr>
          <w:rFonts w:hint="eastAsia"/>
          <w:b w:val="0"/>
          <w:color w:val="000000" w:themeColor="text1"/>
          <w:highlight w:val="none"/>
          <w14:textFill>
            <w14:solidFill>
              <w14:schemeClr w14:val="tx1"/>
            </w14:solidFill>
          </w14:textFill>
        </w:rPr>
        <w:t>的招标文件的全部内容，授权</w:t>
      </w:r>
      <w:r>
        <w:rPr>
          <w:b w:val="0"/>
          <w:color w:val="000000" w:themeColor="text1"/>
          <w:highlight w:val="none"/>
          <w:u w:val="single"/>
          <w14:textFill>
            <w14:solidFill>
              <w14:schemeClr w14:val="tx1"/>
            </w14:solidFill>
          </w14:textFill>
        </w:rPr>
        <w:t xml:space="preserve">                      </w:t>
      </w:r>
      <w:r>
        <w:rPr>
          <w:rFonts w:hint="eastAsia"/>
          <w:b w:val="0"/>
          <w:color w:val="000000" w:themeColor="text1"/>
          <w:highlight w:val="none"/>
          <w14:textFill>
            <w14:solidFill>
              <w14:schemeClr w14:val="tx1"/>
            </w14:solidFill>
          </w14:textFill>
        </w:rPr>
        <w:t>(全权代表姓名)</w:t>
      </w:r>
      <w:r>
        <w:rPr>
          <w:b w:val="0"/>
          <w:color w:val="000000" w:themeColor="text1"/>
          <w:highlight w:val="none"/>
          <w:u w:val="single"/>
          <w14:textFill>
            <w14:solidFill>
              <w14:schemeClr w14:val="tx1"/>
            </w14:solidFill>
          </w14:textFill>
        </w:rPr>
        <w:t xml:space="preserve">          </w:t>
      </w:r>
      <w:r>
        <w:rPr>
          <w:rFonts w:hint="eastAsia"/>
          <w:b w:val="0"/>
          <w:color w:val="000000" w:themeColor="text1"/>
          <w:highlight w:val="none"/>
          <w14:textFill>
            <w14:solidFill>
              <w14:schemeClr w14:val="tx1"/>
            </w14:solidFill>
          </w14:textFill>
        </w:rPr>
        <w:t xml:space="preserve"> (职务、职称)为全权代表，现正式递交下述文件参加贵方组织的本次政府采购活动： </w:t>
      </w:r>
    </w:p>
    <w:p w14:paraId="7ECE463B">
      <w:pPr>
        <w:pStyle w:val="17"/>
        <w:keepNext w:val="0"/>
        <w:keepLines w:val="0"/>
        <w:pageBreakBefore w:val="0"/>
        <w:kinsoku/>
        <w:wordWrap/>
        <w:overflowPunct/>
        <w:topLinePunct w:val="0"/>
        <w:autoSpaceDE/>
        <w:autoSpaceDN/>
        <w:bidi w:val="0"/>
        <w:spacing w:line="520" w:lineRule="exact"/>
        <w:jc w:val="both"/>
        <w:textAlignment w:val="auto"/>
        <w:rPr>
          <w:b w:val="0"/>
          <w:color w:val="000000" w:themeColor="text1"/>
          <w:highlight w:val="none"/>
          <w14:textFill>
            <w14:solidFill>
              <w14:schemeClr w14:val="tx1"/>
            </w14:solidFill>
          </w14:textFill>
        </w:rPr>
      </w:pPr>
      <w:r>
        <w:rPr>
          <w:rFonts w:hint="eastAsia"/>
          <w:b w:val="0"/>
          <w:color w:val="000000" w:themeColor="text1"/>
          <w:highlight w:val="none"/>
          <w14:textFill>
            <w14:solidFill>
              <w14:schemeClr w14:val="tx1"/>
            </w14:solidFill>
          </w14:textFill>
        </w:rPr>
        <w:t>一、报价文件电子版一份（包含按</w:t>
      </w:r>
      <w:r>
        <w:rPr>
          <w:rFonts w:hint="eastAsia"/>
          <w:b w:val="0"/>
          <w:color w:val="000000" w:themeColor="text1"/>
          <w:highlight w:val="none"/>
          <w:lang w:eastAsia="zh-CN"/>
          <w14:textFill>
            <w14:solidFill>
              <w14:schemeClr w14:val="tx1"/>
            </w14:solidFill>
          </w14:textFill>
        </w:rPr>
        <w:t>供应商</w:t>
      </w:r>
      <w:r>
        <w:rPr>
          <w:rFonts w:hint="eastAsia"/>
          <w:b w:val="0"/>
          <w:color w:val="000000" w:themeColor="text1"/>
          <w:highlight w:val="none"/>
          <w14:textFill>
            <w14:solidFill>
              <w14:schemeClr w14:val="tx1"/>
            </w14:solidFill>
          </w14:textFill>
        </w:rPr>
        <w:t>须知前附表要求提交的全部文件）；</w:t>
      </w:r>
    </w:p>
    <w:p w14:paraId="276CF76B">
      <w:pPr>
        <w:pStyle w:val="17"/>
        <w:keepNext w:val="0"/>
        <w:keepLines w:val="0"/>
        <w:pageBreakBefore w:val="0"/>
        <w:kinsoku/>
        <w:wordWrap/>
        <w:overflowPunct/>
        <w:topLinePunct w:val="0"/>
        <w:autoSpaceDE/>
        <w:autoSpaceDN/>
        <w:bidi w:val="0"/>
        <w:spacing w:line="520" w:lineRule="exact"/>
        <w:jc w:val="both"/>
        <w:textAlignment w:val="auto"/>
        <w:rPr>
          <w:b w:val="0"/>
          <w:color w:val="000000" w:themeColor="text1"/>
          <w:highlight w:val="none"/>
          <w14:textFill>
            <w14:solidFill>
              <w14:schemeClr w14:val="tx1"/>
            </w14:solidFill>
          </w14:textFill>
        </w:rPr>
      </w:pPr>
      <w:r>
        <w:rPr>
          <w:rFonts w:hint="eastAsia"/>
          <w:b w:val="0"/>
          <w:color w:val="000000" w:themeColor="text1"/>
          <w:highlight w:val="none"/>
          <w14:textFill>
            <w14:solidFill>
              <w14:schemeClr w14:val="tx1"/>
            </w14:solidFill>
          </w14:textFill>
        </w:rPr>
        <w:t>二、资格文件电子版一份（包含按</w:t>
      </w:r>
      <w:r>
        <w:rPr>
          <w:rFonts w:hint="eastAsia"/>
          <w:b w:val="0"/>
          <w:color w:val="000000" w:themeColor="text1"/>
          <w:highlight w:val="none"/>
          <w:lang w:eastAsia="zh-CN"/>
          <w14:textFill>
            <w14:solidFill>
              <w14:schemeClr w14:val="tx1"/>
            </w14:solidFill>
          </w14:textFill>
        </w:rPr>
        <w:t>供应商</w:t>
      </w:r>
      <w:r>
        <w:rPr>
          <w:rFonts w:hint="eastAsia"/>
          <w:b w:val="0"/>
          <w:color w:val="000000" w:themeColor="text1"/>
          <w:highlight w:val="none"/>
          <w14:textFill>
            <w14:solidFill>
              <w14:schemeClr w14:val="tx1"/>
            </w14:solidFill>
          </w14:textFill>
        </w:rPr>
        <w:t>须知前附表要求提交的全部文件）；</w:t>
      </w:r>
    </w:p>
    <w:p w14:paraId="0C59A918">
      <w:pPr>
        <w:pStyle w:val="17"/>
        <w:keepNext w:val="0"/>
        <w:keepLines w:val="0"/>
        <w:pageBreakBefore w:val="0"/>
        <w:kinsoku/>
        <w:wordWrap/>
        <w:overflowPunct/>
        <w:topLinePunct w:val="0"/>
        <w:autoSpaceDE/>
        <w:autoSpaceDN/>
        <w:bidi w:val="0"/>
        <w:spacing w:line="520" w:lineRule="exact"/>
        <w:jc w:val="both"/>
        <w:textAlignment w:val="auto"/>
        <w:rPr>
          <w:b w:val="0"/>
          <w:color w:val="000000" w:themeColor="text1"/>
          <w:highlight w:val="none"/>
          <w14:textFill>
            <w14:solidFill>
              <w14:schemeClr w14:val="tx1"/>
            </w14:solidFill>
          </w14:textFill>
        </w:rPr>
      </w:pPr>
      <w:r>
        <w:rPr>
          <w:rFonts w:hint="eastAsia"/>
          <w:b w:val="0"/>
          <w:color w:val="000000" w:themeColor="text1"/>
          <w:highlight w:val="none"/>
          <w14:textFill>
            <w14:solidFill>
              <w14:schemeClr w14:val="tx1"/>
            </w14:solidFill>
          </w14:textFill>
        </w:rPr>
        <w:t>三、技术文件电子版一份（包含按</w:t>
      </w:r>
      <w:r>
        <w:rPr>
          <w:rFonts w:hint="eastAsia"/>
          <w:b w:val="0"/>
          <w:color w:val="000000" w:themeColor="text1"/>
          <w:highlight w:val="none"/>
          <w:lang w:eastAsia="zh-CN"/>
          <w14:textFill>
            <w14:solidFill>
              <w14:schemeClr w14:val="tx1"/>
            </w14:solidFill>
          </w14:textFill>
        </w:rPr>
        <w:t>供应商</w:t>
      </w:r>
      <w:r>
        <w:rPr>
          <w:rFonts w:hint="eastAsia"/>
          <w:b w:val="0"/>
          <w:color w:val="000000" w:themeColor="text1"/>
          <w:highlight w:val="none"/>
          <w14:textFill>
            <w14:solidFill>
              <w14:schemeClr w14:val="tx1"/>
            </w14:solidFill>
          </w14:textFill>
        </w:rPr>
        <w:t>须知前附表要求提交的全部文件）；</w:t>
      </w:r>
    </w:p>
    <w:p w14:paraId="0B42B70E">
      <w:pPr>
        <w:pStyle w:val="17"/>
        <w:keepNext w:val="0"/>
        <w:keepLines w:val="0"/>
        <w:pageBreakBefore w:val="0"/>
        <w:kinsoku/>
        <w:wordWrap/>
        <w:overflowPunct/>
        <w:topLinePunct w:val="0"/>
        <w:autoSpaceDE/>
        <w:autoSpaceDN/>
        <w:bidi w:val="0"/>
        <w:spacing w:line="520" w:lineRule="exact"/>
        <w:jc w:val="both"/>
        <w:textAlignment w:val="auto"/>
        <w:rPr>
          <w:b w:val="0"/>
          <w:color w:val="000000" w:themeColor="text1"/>
          <w:highlight w:val="none"/>
          <w14:textFill>
            <w14:solidFill>
              <w14:schemeClr w14:val="tx1"/>
            </w14:solidFill>
          </w14:textFill>
        </w:rPr>
      </w:pPr>
      <w:r>
        <w:rPr>
          <w:rFonts w:hint="eastAsia"/>
          <w:b w:val="0"/>
          <w:color w:val="000000" w:themeColor="text1"/>
          <w:highlight w:val="none"/>
          <w14:textFill>
            <w14:solidFill>
              <w14:schemeClr w14:val="tx1"/>
            </w14:solidFill>
          </w14:textFill>
        </w:rPr>
        <w:t>四、商务文件电子版一份（包含按</w:t>
      </w:r>
      <w:r>
        <w:rPr>
          <w:rFonts w:hint="eastAsia"/>
          <w:b w:val="0"/>
          <w:color w:val="000000" w:themeColor="text1"/>
          <w:highlight w:val="none"/>
          <w:lang w:eastAsia="zh-CN"/>
          <w14:textFill>
            <w14:solidFill>
              <w14:schemeClr w14:val="tx1"/>
            </w14:solidFill>
          </w14:textFill>
        </w:rPr>
        <w:t>供应商</w:t>
      </w:r>
      <w:r>
        <w:rPr>
          <w:rFonts w:hint="eastAsia"/>
          <w:b w:val="0"/>
          <w:color w:val="000000" w:themeColor="text1"/>
          <w:highlight w:val="none"/>
          <w14:textFill>
            <w14:solidFill>
              <w14:schemeClr w14:val="tx1"/>
            </w14:solidFill>
          </w14:textFill>
        </w:rPr>
        <w:t>须知前附表要求提交的全部文件）；</w:t>
      </w:r>
    </w:p>
    <w:p w14:paraId="4B2E13CD">
      <w:pPr>
        <w:pStyle w:val="17"/>
        <w:keepNext w:val="0"/>
        <w:keepLines w:val="0"/>
        <w:pageBreakBefore w:val="0"/>
        <w:kinsoku/>
        <w:wordWrap/>
        <w:overflowPunct/>
        <w:topLinePunct w:val="0"/>
        <w:autoSpaceDE/>
        <w:autoSpaceDN/>
        <w:bidi w:val="0"/>
        <w:spacing w:line="520" w:lineRule="exact"/>
        <w:jc w:val="both"/>
        <w:textAlignment w:val="auto"/>
        <w:rPr>
          <w:b w:val="0"/>
          <w:color w:val="000000" w:themeColor="text1"/>
          <w:highlight w:val="none"/>
          <w14:textFill>
            <w14:solidFill>
              <w14:schemeClr w14:val="tx1"/>
            </w14:solidFill>
          </w14:textFill>
        </w:rPr>
      </w:pPr>
      <w:r>
        <w:rPr>
          <w:rFonts w:hint="eastAsia"/>
          <w:b w:val="0"/>
          <w:color w:val="000000" w:themeColor="text1"/>
          <w:highlight w:val="none"/>
          <w14:textFill>
            <w14:solidFill>
              <w14:schemeClr w14:val="tx1"/>
            </w14:solidFill>
          </w14:textFill>
        </w:rPr>
        <w:t>据此函，签字人兹宣布：</w:t>
      </w:r>
    </w:p>
    <w:p w14:paraId="04162224">
      <w:pPr>
        <w:pStyle w:val="17"/>
        <w:keepNext w:val="0"/>
        <w:keepLines w:val="0"/>
        <w:pageBreakBefore w:val="0"/>
        <w:kinsoku/>
        <w:wordWrap/>
        <w:overflowPunct/>
        <w:topLinePunct w:val="0"/>
        <w:autoSpaceDE/>
        <w:autoSpaceDN/>
        <w:bidi w:val="0"/>
        <w:spacing w:line="520" w:lineRule="exact"/>
        <w:jc w:val="both"/>
        <w:textAlignment w:val="auto"/>
        <w:rPr>
          <w:b w:val="0"/>
          <w:color w:val="000000" w:themeColor="text1"/>
          <w:highlight w:val="none"/>
          <w:u w:val="single"/>
          <w14:textFill>
            <w14:solidFill>
              <w14:schemeClr w14:val="tx1"/>
            </w14:solidFill>
          </w14:textFill>
        </w:rPr>
      </w:pPr>
      <w:r>
        <w:rPr>
          <w:rFonts w:hint="eastAsia"/>
          <w:b w:val="0"/>
          <w:color w:val="000000" w:themeColor="text1"/>
          <w:highlight w:val="none"/>
          <w14:textFill>
            <w14:solidFill>
              <w14:schemeClr w14:val="tx1"/>
            </w14:solidFill>
          </w14:textFill>
        </w:rPr>
        <w:t>1、我方愿意以</w:t>
      </w:r>
      <w:r>
        <w:rPr>
          <w:rFonts w:hint="eastAsia"/>
          <w:b w:val="0"/>
          <w:color w:val="000000" w:themeColor="text1"/>
          <w:highlight w:val="none"/>
          <w:u w:val="single"/>
          <w14:textFill>
            <w14:solidFill>
              <w14:schemeClr w14:val="tx1"/>
            </w14:solidFill>
          </w14:textFill>
        </w:rPr>
        <w:t xml:space="preserve">          </w:t>
      </w:r>
      <w:r>
        <w:rPr>
          <w:rFonts w:hint="eastAsia"/>
          <w:b w:val="0"/>
          <w:color w:val="000000" w:themeColor="text1"/>
          <w:highlight w:val="none"/>
          <w14:textFill>
            <w14:solidFill>
              <w14:schemeClr w14:val="tx1"/>
            </w14:solidFill>
          </w14:textFill>
        </w:rPr>
        <w:t>元（大写：        ），供货期</w:t>
      </w:r>
      <w:r>
        <w:rPr>
          <w:rFonts w:hint="eastAsia"/>
          <w:b w:val="0"/>
          <w:color w:val="000000" w:themeColor="text1"/>
          <w:highlight w:val="none"/>
          <w:u w:val="single"/>
          <w14:textFill>
            <w14:solidFill>
              <w14:schemeClr w14:val="tx1"/>
            </w14:solidFill>
          </w14:textFill>
        </w:rPr>
        <w:t xml:space="preserve">             </w:t>
      </w:r>
      <w:r>
        <w:rPr>
          <w:rFonts w:hint="eastAsia"/>
          <w:b w:val="0"/>
          <w:color w:val="000000" w:themeColor="text1"/>
          <w:highlight w:val="none"/>
          <w14:textFill>
            <w14:solidFill>
              <w14:schemeClr w14:val="tx1"/>
            </w14:solidFill>
          </w14:textFill>
        </w:rPr>
        <w:t>，提供本项目招标文件第三章“采购需求”中的相应的采购内容。</w:t>
      </w:r>
    </w:p>
    <w:p w14:paraId="2411A03F">
      <w:pPr>
        <w:pStyle w:val="17"/>
        <w:keepNext w:val="0"/>
        <w:keepLines w:val="0"/>
        <w:pageBreakBefore w:val="0"/>
        <w:kinsoku/>
        <w:wordWrap/>
        <w:overflowPunct/>
        <w:topLinePunct w:val="0"/>
        <w:autoSpaceDE/>
        <w:autoSpaceDN/>
        <w:bidi w:val="0"/>
        <w:spacing w:line="520" w:lineRule="exact"/>
        <w:jc w:val="both"/>
        <w:textAlignment w:val="auto"/>
        <w:rPr>
          <w:b w:val="0"/>
          <w:color w:val="000000" w:themeColor="text1"/>
          <w:highlight w:val="none"/>
          <w:u w:val="single"/>
          <w14:textFill>
            <w14:solidFill>
              <w14:schemeClr w14:val="tx1"/>
            </w14:solidFill>
          </w14:textFill>
        </w:rPr>
      </w:pPr>
      <w:r>
        <w:rPr>
          <w:rFonts w:hint="eastAsia"/>
          <w:b w:val="0"/>
          <w:color w:val="000000" w:themeColor="text1"/>
          <w:highlight w:val="none"/>
          <w14:textFill>
            <w14:solidFill>
              <w14:schemeClr w14:val="tx1"/>
            </w14:solidFill>
          </w14:textFill>
        </w:rPr>
        <w:t xml:space="preserve">2、我方同意自本项目招标文件“第二章 </w:t>
      </w:r>
      <w:r>
        <w:rPr>
          <w:rFonts w:hint="eastAsia"/>
          <w:b w:val="0"/>
          <w:color w:val="000000" w:themeColor="text1"/>
          <w:highlight w:val="none"/>
          <w:lang w:eastAsia="zh-CN"/>
          <w14:textFill>
            <w14:solidFill>
              <w14:schemeClr w14:val="tx1"/>
            </w14:solidFill>
          </w14:textFill>
        </w:rPr>
        <w:t>供应商</w:t>
      </w:r>
      <w:r>
        <w:rPr>
          <w:rFonts w:hint="eastAsia"/>
          <w:b w:val="0"/>
          <w:color w:val="000000" w:themeColor="text1"/>
          <w:highlight w:val="none"/>
          <w14:textFill>
            <w14:solidFill>
              <w14:schemeClr w14:val="tx1"/>
            </w14:solidFill>
          </w14:textFill>
        </w:rPr>
        <w:t xml:space="preserve">须知”第一节 </w:t>
      </w:r>
      <w:r>
        <w:rPr>
          <w:rFonts w:hint="eastAsia"/>
          <w:b w:val="0"/>
          <w:color w:val="000000" w:themeColor="text1"/>
          <w:highlight w:val="none"/>
          <w:lang w:eastAsia="zh-CN"/>
          <w14:textFill>
            <w14:solidFill>
              <w14:schemeClr w14:val="tx1"/>
            </w14:solidFill>
          </w14:textFill>
        </w:rPr>
        <w:t>供应商</w:t>
      </w:r>
      <w:r>
        <w:rPr>
          <w:rFonts w:hint="eastAsia"/>
          <w:b w:val="0"/>
          <w:color w:val="000000" w:themeColor="text1"/>
          <w:highlight w:val="none"/>
          <w14:textFill>
            <w14:solidFill>
              <w14:schemeClr w14:val="tx1"/>
            </w14:solidFill>
          </w14:textFill>
        </w:rPr>
        <w:t>须知前附表的投标截止时间（开标时间）起遵循本投标函，并承诺在“</w:t>
      </w:r>
      <w:r>
        <w:rPr>
          <w:rFonts w:hint="eastAsia"/>
          <w:b w:val="0"/>
          <w:color w:val="000000" w:themeColor="text1"/>
          <w:highlight w:val="none"/>
          <w:lang w:eastAsia="zh-CN"/>
          <w14:textFill>
            <w14:solidFill>
              <w14:schemeClr w14:val="tx1"/>
            </w14:solidFill>
          </w14:textFill>
        </w:rPr>
        <w:t>供应商</w:t>
      </w:r>
      <w:r>
        <w:rPr>
          <w:rFonts w:hint="eastAsia"/>
          <w:b w:val="0"/>
          <w:color w:val="000000" w:themeColor="text1"/>
          <w:highlight w:val="none"/>
          <w14:textFill>
            <w14:solidFill>
              <w14:schemeClr w14:val="tx1"/>
            </w14:solidFill>
          </w14:textFill>
        </w:rPr>
        <w:t>须知前附表”的投标有效期内不修改、撤销投标文件。</w:t>
      </w:r>
    </w:p>
    <w:p w14:paraId="013FD7B7">
      <w:pPr>
        <w:pStyle w:val="17"/>
        <w:keepNext w:val="0"/>
        <w:keepLines w:val="0"/>
        <w:pageBreakBefore w:val="0"/>
        <w:kinsoku/>
        <w:wordWrap/>
        <w:overflowPunct/>
        <w:topLinePunct w:val="0"/>
        <w:autoSpaceDE/>
        <w:autoSpaceDN/>
        <w:bidi w:val="0"/>
        <w:spacing w:line="520" w:lineRule="exact"/>
        <w:jc w:val="both"/>
        <w:textAlignment w:val="auto"/>
        <w:rPr>
          <w:b w:val="0"/>
          <w:color w:val="000000" w:themeColor="text1"/>
          <w:highlight w:val="none"/>
          <w:u w:val="single"/>
          <w14:textFill>
            <w14:solidFill>
              <w14:schemeClr w14:val="tx1"/>
            </w14:solidFill>
          </w14:textFill>
        </w:rPr>
      </w:pPr>
      <w:r>
        <w:rPr>
          <w:rFonts w:hint="eastAsia"/>
          <w:b w:val="0"/>
          <w:color w:val="000000" w:themeColor="text1"/>
          <w:highlight w:val="none"/>
          <w14:textFill>
            <w14:solidFill>
              <w14:schemeClr w14:val="tx1"/>
            </w14:solidFill>
          </w14:textFill>
        </w:rPr>
        <w:t>3、我方所递交的投标文件及有关资料都是内容完整、真实和准确的。</w:t>
      </w:r>
    </w:p>
    <w:p w14:paraId="33A89860">
      <w:pPr>
        <w:pStyle w:val="17"/>
        <w:keepNext w:val="0"/>
        <w:keepLines w:val="0"/>
        <w:pageBreakBefore w:val="0"/>
        <w:kinsoku/>
        <w:wordWrap/>
        <w:overflowPunct/>
        <w:topLinePunct w:val="0"/>
        <w:autoSpaceDE/>
        <w:autoSpaceDN/>
        <w:bidi w:val="0"/>
        <w:spacing w:line="520" w:lineRule="exact"/>
        <w:jc w:val="both"/>
        <w:textAlignment w:val="auto"/>
        <w:rPr>
          <w:b w:val="0"/>
          <w:color w:val="000000" w:themeColor="text1"/>
          <w:highlight w:val="none"/>
          <w14:textFill>
            <w14:solidFill>
              <w14:schemeClr w14:val="tx1"/>
            </w14:solidFill>
          </w14:textFill>
        </w:rPr>
      </w:pPr>
      <w:r>
        <w:rPr>
          <w:rFonts w:hint="eastAsia"/>
          <w:b w:val="0"/>
          <w:color w:val="000000" w:themeColor="text1"/>
          <w:highlight w:val="none"/>
          <w14:textFill>
            <w14:solidFill>
              <w14:schemeClr w14:val="tx1"/>
            </w14:solidFill>
          </w14:textFill>
        </w:rPr>
        <w:t>4、如本项目采购内容涉及须符合国家强制规定的，我方承诺我方本次投标（包括资格条件和所投产品）均符合国家有关强制规定。</w:t>
      </w:r>
    </w:p>
    <w:p w14:paraId="5977A821">
      <w:pPr>
        <w:pStyle w:val="17"/>
        <w:keepNext w:val="0"/>
        <w:keepLines w:val="0"/>
        <w:pageBreakBefore w:val="0"/>
        <w:kinsoku/>
        <w:wordWrap/>
        <w:overflowPunct/>
        <w:topLinePunct w:val="0"/>
        <w:autoSpaceDE/>
        <w:autoSpaceDN/>
        <w:bidi w:val="0"/>
        <w:spacing w:line="520" w:lineRule="exact"/>
        <w:jc w:val="both"/>
        <w:textAlignment w:val="auto"/>
        <w:rPr>
          <w:b w:val="0"/>
          <w:color w:val="000000" w:themeColor="text1"/>
          <w:highlight w:val="none"/>
          <w14:textFill>
            <w14:solidFill>
              <w14:schemeClr w14:val="tx1"/>
            </w14:solidFill>
          </w14:textFill>
        </w:rPr>
      </w:pPr>
      <w:r>
        <w:rPr>
          <w:rFonts w:hint="eastAsia"/>
          <w:b w:val="0"/>
          <w:color w:val="000000" w:themeColor="text1"/>
          <w:highlight w:val="none"/>
          <w14:textFill>
            <w14:solidFill>
              <w14:schemeClr w14:val="tx1"/>
            </w14:solidFill>
          </w14:textFill>
        </w:rPr>
        <w:t>5、如我方中标，我方承诺在收到中标通知书后，在中标通知书规定的期限内，根据招标文件、我方的投标文件及有关澄清承诺书的要求按第五章“拟签订的合同文本”与采购人订立书面合同，并按照合同约定承担完成合同的责任和义务。</w:t>
      </w:r>
    </w:p>
    <w:p w14:paraId="1B4BA3A4">
      <w:pPr>
        <w:pStyle w:val="17"/>
        <w:keepNext w:val="0"/>
        <w:keepLines w:val="0"/>
        <w:pageBreakBefore w:val="0"/>
        <w:kinsoku/>
        <w:wordWrap/>
        <w:overflowPunct/>
        <w:topLinePunct w:val="0"/>
        <w:autoSpaceDE/>
        <w:autoSpaceDN/>
        <w:bidi w:val="0"/>
        <w:spacing w:line="520" w:lineRule="exact"/>
        <w:jc w:val="both"/>
        <w:textAlignment w:val="auto"/>
        <w:rPr>
          <w:b w:val="0"/>
          <w:color w:val="000000" w:themeColor="text1"/>
          <w:highlight w:val="none"/>
          <w14:textFill>
            <w14:solidFill>
              <w14:schemeClr w14:val="tx1"/>
            </w14:solidFill>
          </w14:textFill>
        </w:rPr>
      </w:pPr>
      <w:r>
        <w:rPr>
          <w:rFonts w:hint="eastAsia"/>
          <w:b w:val="0"/>
          <w:color w:val="000000" w:themeColor="text1"/>
          <w:highlight w:val="none"/>
          <w14:textFill>
            <w14:solidFill>
              <w14:schemeClr w14:val="tx1"/>
            </w14:solidFill>
          </w14:textFill>
        </w:rPr>
        <w:t>6、我方已详细审核招标文件，我方知道必须放弃提出含糊不清或误解问题的权利。</w:t>
      </w:r>
    </w:p>
    <w:p w14:paraId="73823226">
      <w:pPr>
        <w:pStyle w:val="17"/>
        <w:keepNext w:val="0"/>
        <w:keepLines w:val="0"/>
        <w:pageBreakBefore w:val="0"/>
        <w:kinsoku/>
        <w:wordWrap/>
        <w:overflowPunct/>
        <w:topLinePunct w:val="0"/>
        <w:autoSpaceDE/>
        <w:autoSpaceDN/>
        <w:bidi w:val="0"/>
        <w:spacing w:line="520" w:lineRule="exact"/>
        <w:jc w:val="both"/>
        <w:textAlignment w:val="auto"/>
        <w:rPr>
          <w:b w:val="0"/>
          <w:color w:val="000000" w:themeColor="text1"/>
          <w:highlight w:val="none"/>
          <w14:textFill>
            <w14:solidFill>
              <w14:schemeClr w14:val="tx1"/>
            </w14:solidFill>
          </w14:textFill>
        </w:rPr>
      </w:pPr>
      <w:r>
        <w:rPr>
          <w:rFonts w:hint="eastAsia"/>
          <w:b w:val="0"/>
          <w:color w:val="000000" w:themeColor="text1"/>
          <w:highlight w:val="none"/>
          <w14:textFill>
            <w14:solidFill>
              <w14:schemeClr w14:val="tx1"/>
            </w14:solidFill>
          </w14:textFill>
        </w:rPr>
        <w:t>7、我方同意应贵方要求提供与本投标有关的任何数据或资料。若贵方需要，我方愿意提供我方作出的一切承诺的证明材料。</w:t>
      </w:r>
    </w:p>
    <w:p w14:paraId="2D8D46A7">
      <w:pPr>
        <w:pStyle w:val="17"/>
        <w:keepNext w:val="0"/>
        <w:keepLines w:val="0"/>
        <w:pageBreakBefore w:val="0"/>
        <w:kinsoku/>
        <w:wordWrap/>
        <w:overflowPunct/>
        <w:topLinePunct w:val="0"/>
        <w:autoSpaceDE/>
        <w:autoSpaceDN/>
        <w:bidi w:val="0"/>
        <w:spacing w:line="520" w:lineRule="exact"/>
        <w:jc w:val="both"/>
        <w:textAlignment w:val="auto"/>
        <w:rPr>
          <w:b w:val="0"/>
          <w:color w:val="000000" w:themeColor="text1"/>
          <w:highlight w:val="none"/>
          <w14:textFill>
            <w14:solidFill>
              <w14:schemeClr w14:val="tx1"/>
            </w14:solidFill>
          </w14:textFill>
        </w:rPr>
      </w:pPr>
      <w:r>
        <w:rPr>
          <w:rFonts w:hint="eastAsia"/>
          <w:b w:val="0"/>
          <w:color w:val="000000" w:themeColor="text1"/>
          <w:highlight w:val="none"/>
          <w14:textFill>
            <w14:solidFill>
              <w14:schemeClr w14:val="tx1"/>
            </w14:solidFill>
          </w14:textFill>
        </w:rPr>
        <w:t>8、我方完全理解贵方不一定接受投标报价最低的</w:t>
      </w:r>
      <w:r>
        <w:rPr>
          <w:rFonts w:hint="eastAsia"/>
          <w:b w:val="0"/>
          <w:color w:val="000000" w:themeColor="text1"/>
          <w:highlight w:val="none"/>
          <w:lang w:eastAsia="zh-CN"/>
          <w14:textFill>
            <w14:solidFill>
              <w14:schemeClr w14:val="tx1"/>
            </w14:solidFill>
          </w14:textFill>
        </w:rPr>
        <w:t>供应商</w:t>
      </w:r>
      <w:r>
        <w:rPr>
          <w:rFonts w:hint="eastAsia"/>
          <w:b w:val="0"/>
          <w:color w:val="000000" w:themeColor="text1"/>
          <w:highlight w:val="none"/>
          <w14:textFill>
            <w14:solidFill>
              <w14:schemeClr w14:val="tx1"/>
            </w14:solidFill>
          </w14:textFill>
        </w:rPr>
        <w:t>为中标供应商的行为。</w:t>
      </w:r>
    </w:p>
    <w:p w14:paraId="2223F74B">
      <w:pPr>
        <w:pStyle w:val="17"/>
        <w:keepNext w:val="0"/>
        <w:keepLines w:val="0"/>
        <w:pageBreakBefore w:val="0"/>
        <w:kinsoku/>
        <w:wordWrap/>
        <w:overflowPunct/>
        <w:topLinePunct w:val="0"/>
        <w:autoSpaceDE/>
        <w:autoSpaceDN/>
        <w:bidi w:val="0"/>
        <w:spacing w:line="520" w:lineRule="exact"/>
        <w:jc w:val="both"/>
        <w:textAlignment w:val="auto"/>
        <w:rPr>
          <w:b w:val="0"/>
          <w:color w:val="000000" w:themeColor="text1"/>
          <w:highlight w:val="none"/>
          <w14:textFill>
            <w14:solidFill>
              <w14:schemeClr w14:val="tx1"/>
            </w14:solidFill>
          </w14:textFill>
        </w:rPr>
      </w:pPr>
      <w:r>
        <w:rPr>
          <w:rFonts w:hint="eastAsia"/>
          <w:b w:val="0"/>
          <w:color w:val="000000" w:themeColor="text1"/>
          <w:highlight w:val="none"/>
          <w14:textFill>
            <w14:solidFill>
              <w14:schemeClr w14:val="tx1"/>
            </w14:solidFill>
          </w14:textFill>
        </w:rPr>
        <w:t>9、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1788DD7F">
      <w:pPr>
        <w:pStyle w:val="17"/>
        <w:keepNext w:val="0"/>
        <w:keepLines w:val="0"/>
        <w:pageBreakBefore w:val="0"/>
        <w:numPr>
          <w:ilvl w:val="0"/>
          <w:numId w:val="17"/>
        </w:numPr>
        <w:tabs>
          <w:tab w:val="left" w:pos="1140"/>
        </w:tabs>
        <w:kinsoku/>
        <w:wordWrap/>
        <w:overflowPunct/>
        <w:topLinePunct w:val="0"/>
        <w:autoSpaceDE/>
        <w:autoSpaceDN/>
        <w:bidi w:val="0"/>
        <w:spacing w:line="520" w:lineRule="exact"/>
        <w:jc w:val="both"/>
        <w:textAlignment w:val="auto"/>
        <w:rPr>
          <w:b w:val="0"/>
          <w:color w:val="000000" w:themeColor="text1"/>
          <w:highlight w:val="none"/>
          <w14:textFill>
            <w14:solidFill>
              <w14:schemeClr w14:val="tx1"/>
            </w14:solidFill>
          </w14:textFill>
        </w:rPr>
      </w:pPr>
      <w:r>
        <w:rPr>
          <w:rFonts w:hint="eastAsia"/>
          <w:b w:val="0"/>
          <w:color w:val="000000" w:themeColor="text1"/>
          <w:highlight w:val="none"/>
          <w14:textFill>
            <w14:solidFill>
              <w14:schemeClr w14:val="tx1"/>
            </w14:solidFill>
          </w14:textFill>
        </w:rPr>
        <w:t>提供虚假材料谋取中标、成交的；</w:t>
      </w:r>
    </w:p>
    <w:p w14:paraId="24710421">
      <w:pPr>
        <w:pStyle w:val="17"/>
        <w:keepNext w:val="0"/>
        <w:keepLines w:val="0"/>
        <w:pageBreakBefore w:val="0"/>
        <w:numPr>
          <w:ilvl w:val="0"/>
          <w:numId w:val="17"/>
        </w:numPr>
        <w:tabs>
          <w:tab w:val="left" w:pos="1140"/>
        </w:tabs>
        <w:kinsoku/>
        <w:wordWrap/>
        <w:overflowPunct/>
        <w:topLinePunct w:val="0"/>
        <w:autoSpaceDE/>
        <w:autoSpaceDN/>
        <w:bidi w:val="0"/>
        <w:spacing w:line="520" w:lineRule="exact"/>
        <w:jc w:val="both"/>
        <w:textAlignment w:val="auto"/>
        <w:rPr>
          <w:b w:val="0"/>
          <w:color w:val="000000" w:themeColor="text1"/>
          <w:highlight w:val="none"/>
          <w14:textFill>
            <w14:solidFill>
              <w14:schemeClr w14:val="tx1"/>
            </w14:solidFill>
          </w14:textFill>
        </w:rPr>
      </w:pPr>
      <w:r>
        <w:rPr>
          <w:rFonts w:hint="eastAsia"/>
          <w:b w:val="0"/>
          <w:color w:val="000000" w:themeColor="text1"/>
          <w:highlight w:val="none"/>
          <w14:textFill>
            <w14:solidFill>
              <w14:schemeClr w14:val="tx1"/>
            </w14:solidFill>
          </w14:textFill>
        </w:rPr>
        <w:t>采取不正当手段诋毁、排挤其他供应商的；</w:t>
      </w:r>
    </w:p>
    <w:p w14:paraId="4C3E8939">
      <w:pPr>
        <w:pStyle w:val="17"/>
        <w:keepNext w:val="0"/>
        <w:keepLines w:val="0"/>
        <w:pageBreakBefore w:val="0"/>
        <w:numPr>
          <w:ilvl w:val="0"/>
          <w:numId w:val="17"/>
        </w:numPr>
        <w:tabs>
          <w:tab w:val="left" w:pos="1140"/>
        </w:tabs>
        <w:kinsoku/>
        <w:wordWrap/>
        <w:overflowPunct/>
        <w:topLinePunct w:val="0"/>
        <w:autoSpaceDE/>
        <w:autoSpaceDN/>
        <w:bidi w:val="0"/>
        <w:spacing w:line="520" w:lineRule="exact"/>
        <w:jc w:val="both"/>
        <w:textAlignment w:val="auto"/>
        <w:rPr>
          <w:b w:val="0"/>
          <w:color w:val="000000" w:themeColor="text1"/>
          <w:highlight w:val="none"/>
          <w14:textFill>
            <w14:solidFill>
              <w14:schemeClr w14:val="tx1"/>
            </w14:solidFill>
          </w14:textFill>
        </w:rPr>
      </w:pPr>
      <w:r>
        <w:rPr>
          <w:rFonts w:hint="eastAsia"/>
          <w:b w:val="0"/>
          <w:color w:val="000000" w:themeColor="text1"/>
          <w:highlight w:val="none"/>
          <w14:textFill>
            <w14:solidFill>
              <w14:schemeClr w14:val="tx1"/>
            </w14:solidFill>
          </w14:textFill>
        </w:rPr>
        <w:t>与采购人、其他供应商或者采购代理机构恶意串通的；</w:t>
      </w:r>
    </w:p>
    <w:p w14:paraId="34853E52">
      <w:pPr>
        <w:pStyle w:val="17"/>
        <w:keepNext w:val="0"/>
        <w:keepLines w:val="0"/>
        <w:pageBreakBefore w:val="0"/>
        <w:numPr>
          <w:ilvl w:val="0"/>
          <w:numId w:val="17"/>
        </w:numPr>
        <w:tabs>
          <w:tab w:val="left" w:pos="1140"/>
        </w:tabs>
        <w:kinsoku/>
        <w:wordWrap/>
        <w:overflowPunct/>
        <w:topLinePunct w:val="0"/>
        <w:autoSpaceDE/>
        <w:autoSpaceDN/>
        <w:bidi w:val="0"/>
        <w:spacing w:line="520" w:lineRule="exact"/>
        <w:jc w:val="both"/>
        <w:textAlignment w:val="auto"/>
        <w:rPr>
          <w:b w:val="0"/>
          <w:color w:val="000000" w:themeColor="text1"/>
          <w:highlight w:val="none"/>
          <w14:textFill>
            <w14:solidFill>
              <w14:schemeClr w14:val="tx1"/>
            </w14:solidFill>
          </w14:textFill>
        </w:rPr>
      </w:pPr>
      <w:r>
        <w:rPr>
          <w:rFonts w:hint="eastAsia"/>
          <w:b w:val="0"/>
          <w:color w:val="000000" w:themeColor="text1"/>
          <w:highlight w:val="none"/>
          <w14:textFill>
            <w14:solidFill>
              <w14:schemeClr w14:val="tx1"/>
            </w14:solidFill>
          </w14:textFill>
        </w:rPr>
        <w:t>向采购人、采购代理机构行贿或者提供其他不正当利益的；</w:t>
      </w:r>
    </w:p>
    <w:p w14:paraId="3DE6EBFF">
      <w:pPr>
        <w:pStyle w:val="17"/>
        <w:keepNext w:val="0"/>
        <w:keepLines w:val="0"/>
        <w:pageBreakBefore w:val="0"/>
        <w:numPr>
          <w:ilvl w:val="0"/>
          <w:numId w:val="17"/>
        </w:numPr>
        <w:tabs>
          <w:tab w:val="left" w:pos="1140"/>
        </w:tabs>
        <w:kinsoku/>
        <w:wordWrap/>
        <w:overflowPunct/>
        <w:topLinePunct w:val="0"/>
        <w:autoSpaceDE/>
        <w:autoSpaceDN/>
        <w:bidi w:val="0"/>
        <w:spacing w:line="520" w:lineRule="exact"/>
        <w:jc w:val="both"/>
        <w:textAlignment w:val="auto"/>
        <w:rPr>
          <w:b w:val="0"/>
          <w:color w:val="000000" w:themeColor="text1"/>
          <w:highlight w:val="none"/>
          <w14:textFill>
            <w14:solidFill>
              <w14:schemeClr w14:val="tx1"/>
            </w14:solidFill>
          </w14:textFill>
        </w:rPr>
      </w:pPr>
      <w:r>
        <w:rPr>
          <w:rFonts w:hint="eastAsia"/>
          <w:b w:val="0"/>
          <w:color w:val="000000" w:themeColor="text1"/>
          <w:highlight w:val="none"/>
          <w14:textFill>
            <w14:solidFill>
              <w14:schemeClr w14:val="tx1"/>
            </w14:solidFill>
          </w14:textFill>
        </w:rPr>
        <w:t>在招标采购过程中与采购人进行协商谈判的；</w:t>
      </w:r>
    </w:p>
    <w:p w14:paraId="222CB832">
      <w:pPr>
        <w:pStyle w:val="17"/>
        <w:keepNext w:val="0"/>
        <w:keepLines w:val="0"/>
        <w:pageBreakBefore w:val="0"/>
        <w:numPr>
          <w:ilvl w:val="0"/>
          <w:numId w:val="17"/>
        </w:numPr>
        <w:tabs>
          <w:tab w:val="left" w:pos="1140"/>
        </w:tabs>
        <w:kinsoku/>
        <w:wordWrap/>
        <w:overflowPunct/>
        <w:topLinePunct w:val="0"/>
        <w:autoSpaceDE/>
        <w:autoSpaceDN/>
        <w:bidi w:val="0"/>
        <w:spacing w:line="520" w:lineRule="exact"/>
        <w:jc w:val="both"/>
        <w:textAlignment w:val="auto"/>
        <w:rPr>
          <w:b w:val="0"/>
          <w:color w:val="000000" w:themeColor="text1"/>
          <w:highlight w:val="none"/>
          <w14:textFill>
            <w14:solidFill>
              <w14:schemeClr w14:val="tx1"/>
            </w14:solidFill>
          </w14:textFill>
        </w:rPr>
      </w:pPr>
      <w:r>
        <w:rPr>
          <w:rFonts w:hint="eastAsia"/>
          <w:b w:val="0"/>
          <w:color w:val="000000" w:themeColor="text1"/>
          <w:highlight w:val="none"/>
          <w14:textFill>
            <w14:solidFill>
              <w14:schemeClr w14:val="tx1"/>
            </w14:solidFill>
          </w14:textFill>
        </w:rPr>
        <w:t>拒绝有关部门监督检查或提供虚假情况的。</w:t>
      </w:r>
    </w:p>
    <w:p w14:paraId="31177278">
      <w:pPr>
        <w:pStyle w:val="17"/>
        <w:keepNext w:val="0"/>
        <w:keepLines w:val="0"/>
        <w:pageBreakBefore w:val="0"/>
        <w:kinsoku/>
        <w:wordWrap/>
        <w:overflowPunct/>
        <w:topLinePunct w:val="0"/>
        <w:autoSpaceDE/>
        <w:autoSpaceDN/>
        <w:bidi w:val="0"/>
        <w:spacing w:line="520" w:lineRule="exact"/>
        <w:jc w:val="both"/>
        <w:textAlignment w:val="auto"/>
        <w:rPr>
          <w:b w:val="0"/>
          <w:color w:val="000000" w:themeColor="text1"/>
          <w:highlight w:val="none"/>
          <w14:textFill>
            <w14:solidFill>
              <w14:schemeClr w14:val="tx1"/>
            </w14:solidFill>
          </w14:textFill>
        </w:rPr>
      </w:pPr>
      <w:r>
        <w:rPr>
          <w:rFonts w:hint="eastAsia"/>
          <w:b w:val="0"/>
          <w:color w:val="000000" w:themeColor="text1"/>
          <w:highlight w:val="none"/>
          <w14:textFill>
            <w14:solidFill>
              <w14:schemeClr w14:val="tx1"/>
            </w14:solidFill>
          </w14:textFill>
        </w:rPr>
        <w:t xml:space="preserve">10、我方及由本人担任法定代表人的其他机构最近三年内被处罚的违法行为有：                                                                                                                                                              </w:t>
      </w:r>
    </w:p>
    <w:p w14:paraId="73582172">
      <w:pPr>
        <w:pStyle w:val="17"/>
        <w:keepNext w:val="0"/>
        <w:keepLines w:val="0"/>
        <w:pageBreakBefore w:val="0"/>
        <w:kinsoku/>
        <w:wordWrap/>
        <w:overflowPunct/>
        <w:topLinePunct w:val="0"/>
        <w:autoSpaceDE/>
        <w:autoSpaceDN/>
        <w:bidi w:val="0"/>
        <w:spacing w:line="520" w:lineRule="exact"/>
        <w:jc w:val="both"/>
        <w:textAlignment w:val="auto"/>
        <w:rPr>
          <w:b w:val="0"/>
          <w:color w:val="000000" w:themeColor="text1"/>
          <w:highlight w:val="none"/>
          <w14:textFill>
            <w14:solidFill>
              <w14:schemeClr w14:val="tx1"/>
            </w14:solidFill>
          </w14:textFill>
        </w:rPr>
      </w:pPr>
      <w:r>
        <w:rPr>
          <w:rFonts w:hint="eastAsia"/>
          <w:b w:val="0"/>
          <w:color w:val="000000" w:themeColor="text1"/>
          <w:highlight w:val="none"/>
          <w14:textFill>
            <w14:solidFill>
              <w14:schemeClr w14:val="tx1"/>
            </w14:solidFill>
          </w14:textFill>
        </w:rPr>
        <w:t>11、以上事项如有虚假或隐瞒，我方愿意承担一切后果，并不再寻求任何旨在减轻或免除法律责任的辩解。</w:t>
      </w:r>
    </w:p>
    <w:p w14:paraId="23E99797">
      <w:pPr>
        <w:pStyle w:val="17"/>
        <w:keepNext w:val="0"/>
        <w:keepLines w:val="0"/>
        <w:pageBreakBefore w:val="0"/>
        <w:kinsoku/>
        <w:wordWrap/>
        <w:overflowPunct/>
        <w:topLinePunct w:val="0"/>
        <w:autoSpaceDE/>
        <w:autoSpaceDN/>
        <w:bidi w:val="0"/>
        <w:spacing w:line="520" w:lineRule="exact"/>
        <w:jc w:val="both"/>
        <w:textAlignment w:val="auto"/>
        <w:rPr>
          <w:b w:val="0"/>
          <w:color w:val="000000" w:themeColor="text1"/>
          <w:highlight w:val="none"/>
          <w14:textFill>
            <w14:solidFill>
              <w14:schemeClr w14:val="tx1"/>
            </w14:solidFill>
          </w14:textFill>
        </w:rPr>
      </w:pPr>
      <w:r>
        <w:rPr>
          <w:rFonts w:hint="eastAsia"/>
          <w:b w:val="0"/>
          <w:color w:val="000000" w:themeColor="text1"/>
          <w:highlight w:val="none"/>
          <w14:textFill>
            <w14:solidFill>
              <w14:schemeClr w14:val="tx1"/>
            </w14:solidFill>
          </w14:textFill>
        </w:rPr>
        <w:t>12、与本投标有关的一切正式往来信函请寄：</w:t>
      </w:r>
      <w:r>
        <w:rPr>
          <w:rFonts w:hint="eastAsia"/>
          <w:b w:val="0"/>
          <w:color w:val="000000" w:themeColor="text1"/>
          <w:highlight w:val="none"/>
          <w:u w:val="single"/>
          <w14:textFill>
            <w14:solidFill>
              <w14:schemeClr w14:val="tx1"/>
            </w14:solidFill>
          </w14:textFill>
        </w:rPr>
        <w:t xml:space="preserve"> </w:t>
      </w:r>
    </w:p>
    <w:p w14:paraId="48D3739C">
      <w:pPr>
        <w:pStyle w:val="17"/>
        <w:keepNext w:val="0"/>
        <w:keepLines w:val="0"/>
        <w:pageBreakBefore w:val="0"/>
        <w:kinsoku/>
        <w:wordWrap/>
        <w:overflowPunct/>
        <w:topLinePunct w:val="0"/>
        <w:autoSpaceDE/>
        <w:autoSpaceDN/>
        <w:bidi w:val="0"/>
        <w:spacing w:line="520" w:lineRule="exact"/>
        <w:jc w:val="left"/>
        <w:textAlignment w:val="auto"/>
        <w:rPr>
          <w:b w:val="0"/>
          <w:color w:val="000000" w:themeColor="text1"/>
          <w:highlight w:val="none"/>
          <w14:textFill>
            <w14:solidFill>
              <w14:schemeClr w14:val="tx1"/>
            </w14:solidFill>
          </w14:textFill>
        </w:rPr>
      </w:pPr>
      <w:r>
        <w:rPr>
          <w:rFonts w:hint="eastAsia"/>
          <w:b w:val="0"/>
          <w:color w:val="000000" w:themeColor="text1"/>
          <w:highlight w:val="none"/>
          <w14:textFill>
            <w14:solidFill>
              <w14:schemeClr w14:val="tx1"/>
            </w14:solidFill>
          </w14:textFill>
        </w:rPr>
        <w:t>地址：</w:t>
      </w:r>
      <w:r>
        <w:rPr>
          <w:rFonts w:hint="eastAsia"/>
          <w:b w:val="0"/>
          <w:color w:val="000000" w:themeColor="text1"/>
          <w:highlight w:val="none"/>
          <w:u w:val="single"/>
          <w14:textFill>
            <w14:solidFill>
              <w14:schemeClr w14:val="tx1"/>
            </w14:solidFill>
          </w14:textFill>
        </w:rPr>
        <w:t xml:space="preserve">                                                     </w:t>
      </w:r>
      <w:r>
        <w:rPr>
          <w:rFonts w:hint="eastAsia"/>
          <w:b w:val="0"/>
          <w:color w:val="000000" w:themeColor="text1"/>
          <w:highlight w:val="none"/>
          <w14:textFill>
            <w14:solidFill>
              <w14:schemeClr w14:val="tx1"/>
            </w14:solidFill>
          </w14:textFill>
        </w:rPr>
        <w:t xml:space="preserve">    </w:t>
      </w:r>
    </w:p>
    <w:p w14:paraId="38BA4179">
      <w:pPr>
        <w:pStyle w:val="17"/>
        <w:keepNext w:val="0"/>
        <w:keepLines w:val="0"/>
        <w:pageBreakBefore w:val="0"/>
        <w:kinsoku/>
        <w:wordWrap/>
        <w:overflowPunct/>
        <w:topLinePunct w:val="0"/>
        <w:autoSpaceDE/>
        <w:autoSpaceDN/>
        <w:bidi w:val="0"/>
        <w:spacing w:line="520" w:lineRule="exact"/>
        <w:jc w:val="left"/>
        <w:textAlignment w:val="auto"/>
        <w:rPr>
          <w:b w:val="0"/>
          <w:color w:val="000000" w:themeColor="text1"/>
          <w:highlight w:val="none"/>
          <w14:textFill>
            <w14:solidFill>
              <w14:schemeClr w14:val="tx1"/>
            </w14:solidFill>
          </w14:textFill>
        </w:rPr>
      </w:pPr>
      <w:r>
        <w:rPr>
          <w:rFonts w:hint="eastAsia"/>
          <w:b w:val="0"/>
          <w:color w:val="000000" w:themeColor="text1"/>
          <w:highlight w:val="none"/>
          <w14:textFill>
            <w14:solidFill>
              <w14:schemeClr w14:val="tx1"/>
            </w14:solidFill>
          </w14:textFill>
        </w:rPr>
        <w:t>电话：</w:t>
      </w:r>
      <w:r>
        <w:rPr>
          <w:rFonts w:hint="eastAsia"/>
          <w:b w:val="0"/>
          <w:color w:val="000000" w:themeColor="text1"/>
          <w:highlight w:val="none"/>
          <w:u w:val="single"/>
          <w14:textFill>
            <w14:solidFill>
              <w14:schemeClr w14:val="tx1"/>
            </w14:solidFill>
          </w14:textFill>
        </w:rPr>
        <w:t xml:space="preserve">                                      　　　　　　　　　</w:t>
      </w:r>
    </w:p>
    <w:p w14:paraId="2D02C80F">
      <w:pPr>
        <w:pStyle w:val="17"/>
        <w:keepNext w:val="0"/>
        <w:keepLines w:val="0"/>
        <w:pageBreakBefore w:val="0"/>
        <w:kinsoku/>
        <w:wordWrap/>
        <w:overflowPunct/>
        <w:topLinePunct w:val="0"/>
        <w:autoSpaceDE/>
        <w:autoSpaceDN/>
        <w:bidi w:val="0"/>
        <w:spacing w:line="520" w:lineRule="exact"/>
        <w:jc w:val="left"/>
        <w:textAlignment w:val="auto"/>
        <w:rPr>
          <w:b w:val="0"/>
          <w:color w:val="000000" w:themeColor="text1"/>
          <w:highlight w:val="none"/>
          <w14:textFill>
            <w14:solidFill>
              <w14:schemeClr w14:val="tx1"/>
            </w14:solidFill>
          </w14:textFill>
        </w:rPr>
      </w:pPr>
      <w:r>
        <w:rPr>
          <w:rFonts w:hint="eastAsia"/>
          <w:b w:val="0"/>
          <w:color w:val="000000" w:themeColor="text1"/>
          <w:highlight w:val="none"/>
          <w14:textFill>
            <w14:solidFill>
              <w14:schemeClr w14:val="tx1"/>
            </w14:solidFill>
          </w14:textFill>
        </w:rPr>
        <w:t>传真：</w:t>
      </w:r>
      <w:r>
        <w:rPr>
          <w:rFonts w:hint="eastAsia"/>
          <w:b w:val="0"/>
          <w:color w:val="000000" w:themeColor="text1"/>
          <w:highlight w:val="none"/>
          <w:u w:val="single"/>
          <w14:textFill>
            <w14:solidFill>
              <w14:schemeClr w14:val="tx1"/>
            </w14:solidFill>
          </w14:textFill>
        </w:rPr>
        <w:t>　　　　　　　　　　　　　　　　　　　　　　　　　　　　</w:t>
      </w:r>
    </w:p>
    <w:p w14:paraId="072026F1">
      <w:pPr>
        <w:pStyle w:val="17"/>
        <w:keepNext w:val="0"/>
        <w:keepLines w:val="0"/>
        <w:pageBreakBefore w:val="0"/>
        <w:kinsoku/>
        <w:wordWrap/>
        <w:overflowPunct/>
        <w:topLinePunct w:val="0"/>
        <w:autoSpaceDE/>
        <w:autoSpaceDN/>
        <w:bidi w:val="0"/>
        <w:spacing w:line="520" w:lineRule="exact"/>
        <w:jc w:val="left"/>
        <w:textAlignment w:val="auto"/>
        <w:rPr>
          <w:b w:val="0"/>
          <w:color w:val="000000" w:themeColor="text1"/>
          <w:highlight w:val="none"/>
          <w14:textFill>
            <w14:solidFill>
              <w14:schemeClr w14:val="tx1"/>
            </w14:solidFill>
          </w14:textFill>
        </w:rPr>
      </w:pPr>
      <w:r>
        <w:rPr>
          <w:rFonts w:hint="eastAsia"/>
          <w:b w:val="0"/>
          <w:color w:val="000000" w:themeColor="text1"/>
          <w:highlight w:val="none"/>
          <w14:textFill>
            <w14:solidFill>
              <w14:schemeClr w14:val="tx1"/>
            </w14:solidFill>
          </w14:textFill>
        </w:rPr>
        <w:t>邮政编码：</w:t>
      </w:r>
      <w:r>
        <w:rPr>
          <w:rFonts w:hint="eastAsia"/>
          <w:b w:val="0"/>
          <w:color w:val="000000" w:themeColor="text1"/>
          <w:highlight w:val="none"/>
          <w:u w:val="single"/>
          <w14:textFill>
            <w14:solidFill>
              <w14:schemeClr w14:val="tx1"/>
            </w14:solidFill>
          </w14:textFill>
        </w:rPr>
        <w:t xml:space="preserve">                                                    </w:t>
      </w:r>
    </w:p>
    <w:p w14:paraId="5CF209D6">
      <w:pPr>
        <w:pStyle w:val="17"/>
        <w:keepNext w:val="0"/>
        <w:keepLines w:val="0"/>
        <w:pageBreakBefore w:val="0"/>
        <w:kinsoku/>
        <w:wordWrap/>
        <w:overflowPunct/>
        <w:topLinePunct w:val="0"/>
        <w:autoSpaceDE/>
        <w:autoSpaceDN/>
        <w:bidi w:val="0"/>
        <w:spacing w:line="520" w:lineRule="exact"/>
        <w:jc w:val="left"/>
        <w:textAlignment w:val="auto"/>
        <w:rPr>
          <w:b w:val="0"/>
          <w:color w:val="000000" w:themeColor="text1"/>
          <w:highlight w:val="none"/>
          <w:u w:val="single"/>
          <w14:textFill>
            <w14:solidFill>
              <w14:schemeClr w14:val="tx1"/>
            </w14:solidFill>
          </w14:textFill>
        </w:rPr>
      </w:pPr>
      <w:r>
        <w:rPr>
          <w:rFonts w:hint="eastAsia"/>
          <w:b w:val="0"/>
          <w:color w:val="000000" w:themeColor="text1"/>
          <w:highlight w:val="none"/>
          <w14:textFill>
            <w14:solidFill>
              <w14:schemeClr w14:val="tx1"/>
            </w14:solidFill>
          </w14:textFill>
        </w:rPr>
        <w:t>开户名称：</w:t>
      </w:r>
      <w:r>
        <w:rPr>
          <w:rFonts w:hint="eastAsia"/>
          <w:b w:val="0"/>
          <w:color w:val="000000" w:themeColor="text1"/>
          <w:highlight w:val="none"/>
          <w:u w:val="single"/>
          <w14:textFill>
            <w14:solidFill>
              <w14:schemeClr w14:val="tx1"/>
            </w14:solidFill>
          </w14:textFill>
        </w:rPr>
        <w:t xml:space="preserve">                                                    </w:t>
      </w:r>
    </w:p>
    <w:p w14:paraId="2B10D895">
      <w:pPr>
        <w:pStyle w:val="17"/>
        <w:keepNext w:val="0"/>
        <w:keepLines w:val="0"/>
        <w:pageBreakBefore w:val="0"/>
        <w:kinsoku/>
        <w:wordWrap/>
        <w:overflowPunct/>
        <w:topLinePunct w:val="0"/>
        <w:autoSpaceDE/>
        <w:autoSpaceDN/>
        <w:bidi w:val="0"/>
        <w:spacing w:line="520" w:lineRule="exact"/>
        <w:jc w:val="left"/>
        <w:textAlignment w:val="auto"/>
        <w:rPr>
          <w:b w:val="0"/>
          <w:color w:val="000000" w:themeColor="text1"/>
          <w:highlight w:val="none"/>
          <w14:textFill>
            <w14:solidFill>
              <w14:schemeClr w14:val="tx1"/>
            </w14:solidFill>
          </w14:textFill>
        </w:rPr>
      </w:pPr>
      <w:r>
        <w:rPr>
          <w:rFonts w:hint="eastAsia"/>
          <w:b w:val="0"/>
          <w:color w:val="000000" w:themeColor="text1"/>
          <w:highlight w:val="none"/>
          <w14:textFill>
            <w14:solidFill>
              <w14:schemeClr w14:val="tx1"/>
            </w14:solidFill>
          </w14:textFill>
        </w:rPr>
        <w:t>开户银行：</w:t>
      </w:r>
      <w:r>
        <w:rPr>
          <w:rFonts w:hint="eastAsia"/>
          <w:b w:val="0"/>
          <w:color w:val="000000" w:themeColor="text1"/>
          <w:highlight w:val="none"/>
          <w:u w:val="single"/>
          <w14:textFill>
            <w14:solidFill>
              <w14:schemeClr w14:val="tx1"/>
            </w14:solidFill>
          </w14:textFill>
        </w:rPr>
        <w:t xml:space="preserve">                                                    </w:t>
      </w:r>
    </w:p>
    <w:p w14:paraId="205E06A4">
      <w:pPr>
        <w:pStyle w:val="17"/>
        <w:keepNext w:val="0"/>
        <w:keepLines w:val="0"/>
        <w:pageBreakBefore w:val="0"/>
        <w:kinsoku/>
        <w:wordWrap/>
        <w:overflowPunct/>
        <w:topLinePunct w:val="0"/>
        <w:autoSpaceDE/>
        <w:autoSpaceDN/>
        <w:bidi w:val="0"/>
        <w:spacing w:line="520" w:lineRule="exact"/>
        <w:jc w:val="left"/>
        <w:textAlignment w:val="auto"/>
        <w:rPr>
          <w:b w:val="0"/>
          <w:color w:val="000000" w:themeColor="text1"/>
          <w:highlight w:val="none"/>
          <w14:textFill>
            <w14:solidFill>
              <w14:schemeClr w14:val="tx1"/>
            </w14:solidFill>
          </w14:textFill>
        </w:rPr>
      </w:pPr>
      <w:r>
        <w:rPr>
          <w:rFonts w:hint="eastAsia"/>
          <w:b w:val="0"/>
          <w:color w:val="000000" w:themeColor="text1"/>
          <w:highlight w:val="none"/>
          <w14:textFill>
            <w14:solidFill>
              <w14:schemeClr w14:val="tx1"/>
            </w14:solidFill>
          </w14:textFill>
        </w:rPr>
        <w:t>银行账号：</w:t>
      </w:r>
      <w:r>
        <w:rPr>
          <w:rFonts w:hint="eastAsia"/>
          <w:b w:val="0"/>
          <w:color w:val="000000" w:themeColor="text1"/>
          <w:highlight w:val="none"/>
          <w:u w:val="single"/>
          <w14:textFill>
            <w14:solidFill>
              <w14:schemeClr w14:val="tx1"/>
            </w14:solidFill>
          </w14:textFill>
        </w:rPr>
        <w:t xml:space="preserve">                                                    </w:t>
      </w:r>
    </w:p>
    <w:p w14:paraId="133BA1F3">
      <w:pPr>
        <w:keepNext w:val="0"/>
        <w:keepLines w:val="0"/>
        <w:pageBreakBefore w:val="0"/>
        <w:kinsoku/>
        <w:wordWrap/>
        <w:overflowPunct/>
        <w:topLinePunct w:val="0"/>
        <w:autoSpaceDE/>
        <w:autoSpaceDN/>
        <w:bidi w:val="0"/>
        <w:snapToGrid w:val="0"/>
        <w:spacing w:line="520" w:lineRule="exact"/>
        <w:textAlignment w:val="auto"/>
        <w:rPr>
          <w:rFonts w:hint="eastAsia" w:cs="仿宋_GB2312" w:asciiTheme="minorEastAsia" w:hAnsiTheme="minorEastAsia" w:eastAsiaTheme="minorEastAsia"/>
          <w:color w:val="000000" w:themeColor="text1"/>
          <w:kern w:val="0"/>
          <w:sz w:val="28"/>
          <w:szCs w:val="28"/>
          <w:highlight w:val="none"/>
          <w:lang w:val="zh-CN"/>
          <w14:textFill>
            <w14:solidFill>
              <w14:schemeClr w14:val="tx1"/>
            </w14:solidFill>
          </w14:textFill>
        </w:rPr>
      </w:pPr>
    </w:p>
    <w:p w14:paraId="5203B97A">
      <w:pPr>
        <w:keepNext w:val="0"/>
        <w:keepLines w:val="0"/>
        <w:pageBreakBefore w:val="0"/>
        <w:kinsoku/>
        <w:wordWrap/>
        <w:overflowPunct/>
        <w:topLinePunct w:val="0"/>
        <w:autoSpaceDE/>
        <w:autoSpaceDN/>
        <w:bidi w:val="0"/>
        <w:snapToGrid w:val="0"/>
        <w:spacing w:line="520" w:lineRule="exact"/>
        <w:ind w:firstLine="5880" w:firstLineChars="2100"/>
        <w:textAlignment w:val="auto"/>
        <w:rPr>
          <w:rFonts w:cs="仿宋_GB2312" w:asciiTheme="minorEastAsia" w:hAnsiTheme="minorEastAsia" w:eastAsiaTheme="minorEastAsia"/>
          <w:color w:val="000000" w:themeColor="text1"/>
          <w:kern w:val="0"/>
          <w:sz w:val="28"/>
          <w:szCs w:val="28"/>
          <w:highlight w:val="none"/>
          <w14:textFill>
            <w14:solidFill>
              <w14:schemeClr w14:val="tx1"/>
            </w14:solidFill>
          </w14:textFill>
        </w:rPr>
      </w:pPr>
      <w:r>
        <w:rPr>
          <w:rFonts w:hint="eastAsia" w:cs="仿宋_GB2312" w:asciiTheme="minorEastAsia" w:hAnsiTheme="minorEastAsia" w:eastAsiaTheme="minorEastAsia"/>
          <w:color w:val="000000" w:themeColor="text1"/>
          <w:kern w:val="0"/>
          <w:sz w:val="28"/>
          <w:szCs w:val="28"/>
          <w:highlight w:val="none"/>
          <w:lang w:val="zh-CN"/>
          <w14:textFill>
            <w14:solidFill>
              <w14:schemeClr w14:val="tx1"/>
            </w14:solidFill>
          </w14:textFill>
        </w:rPr>
        <w:t>供应商名称(电子公章)：</w:t>
      </w:r>
    </w:p>
    <w:p w14:paraId="2AC1BDC8">
      <w:pPr>
        <w:keepNext w:val="0"/>
        <w:keepLines w:val="0"/>
        <w:pageBreakBefore w:val="0"/>
        <w:kinsoku/>
        <w:wordWrap/>
        <w:overflowPunct/>
        <w:topLinePunct w:val="0"/>
        <w:autoSpaceDE/>
        <w:autoSpaceDN/>
        <w:bidi w:val="0"/>
        <w:snapToGrid w:val="0"/>
        <w:spacing w:line="520" w:lineRule="exact"/>
        <w:jc w:val="right"/>
        <w:textAlignment w:val="auto"/>
        <w:rPr>
          <w:rFonts w:hint="eastAsia" w:cs="仿宋_GB2312" w:asciiTheme="minorEastAsia" w:hAnsiTheme="minorEastAsia" w:eastAsiaTheme="minorEastAsia"/>
          <w:color w:val="000000" w:themeColor="text1"/>
          <w:kern w:val="0"/>
          <w:sz w:val="28"/>
          <w:szCs w:val="28"/>
          <w:highlight w:val="none"/>
          <w:lang w:val="zh-CN"/>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法定代表人或其委托代理人（签字</w:t>
      </w:r>
      <w:r>
        <w:rPr>
          <w:rFonts w:hint="eastAsia" w:ascii="宋体" w:hAnsi="宋体" w:cs="宋体"/>
          <w:color w:val="000000" w:themeColor="text1"/>
          <w:sz w:val="28"/>
          <w:szCs w:val="28"/>
          <w:highlight w:val="none"/>
          <w:lang w:eastAsia="zh-CN"/>
          <w14:textFill>
            <w14:solidFill>
              <w14:schemeClr w14:val="tx1"/>
            </w14:solidFill>
          </w14:textFill>
        </w:rPr>
        <w:t>或</w:t>
      </w:r>
      <w:r>
        <w:rPr>
          <w:rFonts w:hint="eastAsia" w:ascii="宋体" w:hAnsi="宋体" w:eastAsia="宋体" w:cs="宋体"/>
          <w:color w:val="000000" w:themeColor="text1"/>
          <w:sz w:val="28"/>
          <w:szCs w:val="28"/>
          <w:highlight w:val="none"/>
          <w14:textFill>
            <w14:solidFill>
              <w14:schemeClr w14:val="tx1"/>
            </w14:solidFill>
          </w14:textFill>
        </w:rPr>
        <w:t>盖章）：</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r>
        <w:rPr>
          <w:rFonts w:hint="eastAsia" w:ascii="宋体" w:hAnsi="宋体" w:cs="宋体"/>
          <w:color w:val="000000" w:themeColor="text1"/>
          <w:sz w:val="28"/>
          <w:szCs w:val="28"/>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kern w:val="0"/>
          <w:sz w:val="28"/>
          <w:szCs w:val="28"/>
          <w:highlight w:val="none"/>
          <w:u w:val="single"/>
          <w:lang w:val="en-US" w:eastAsia="zh-CN"/>
          <w14:textFill>
            <w14:solidFill>
              <w14:schemeClr w14:val="tx1"/>
            </w14:solidFill>
          </w14:textFill>
        </w:rPr>
        <w:t xml:space="preserve"> </w:t>
      </w:r>
    </w:p>
    <w:p w14:paraId="62052713">
      <w:pPr>
        <w:keepNext w:val="0"/>
        <w:keepLines w:val="0"/>
        <w:pageBreakBefore w:val="0"/>
        <w:kinsoku/>
        <w:wordWrap/>
        <w:overflowPunct/>
        <w:topLinePunct w:val="0"/>
        <w:autoSpaceDE/>
        <w:autoSpaceDN/>
        <w:bidi w:val="0"/>
        <w:snapToGrid w:val="0"/>
        <w:spacing w:line="520" w:lineRule="exact"/>
        <w:ind w:firstLine="6020" w:firstLineChars="2150"/>
        <w:textAlignment w:val="auto"/>
        <w:rPr>
          <w:rFonts w:cs="仿宋_GB2312" w:asciiTheme="minorEastAsia" w:hAnsiTheme="minorEastAsia" w:eastAsiaTheme="minorEastAsia"/>
          <w:color w:val="000000" w:themeColor="text1"/>
          <w:kern w:val="0"/>
          <w:sz w:val="28"/>
          <w:szCs w:val="28"/>
          <w:highlight w:val="none"/>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8"/>
          <w:szCs w:val="28"/>
          <w:highlight w:val="none"/>
          <w:lang w:val="zh-CN"/>
          <w14:textFill>
            <w14:solidFill>
              <w14:schemeClr w14:val="tx1"/>
            </w14:solidFill>
          </w14:textFill>
        </w:rPr>
        <w:t>日期</w:t>
      </w:r>
      <w:r>
        <w:rPr>
          <w:rFonts w:hint="eastAsia" w:cs="仿宋_GB2312" w:asciiTheme="minorEastAsia" w:hAnsiTheme="minorEastAsia" w:eastAsiaTheme="minorEastAsia"/>
          <w:color w:val="000000" w:themeColor="text1"/>
          <w:kern w:val="0"/>
          <w:sz w:val="28"/>
          <w:szCs w:val="28"/>
          <w:highlight w:val="none"/>
          <w14:textFill>
            <w14:solidFill>
              <w14:schemeClr w14:val="tx1"/>
            </w14:solidFill>
          </w14:textFill>
        </w:rPr>
        <w:t xml:space="preserve">：  年  </w:t>
      </w:r>
      <w:r>
        <w:rPr>
          <w:rFonts w:hint="eastAsia" w:cs="仿宋_GB2312" w:asciiTheme="minorEastAsia" w:hAnsiTheme="minorEastAsia" w:eastAsiaTheme="minorEastAsia"/>
          <w:color w:val="000000" w:themeColor="text1"/>
          <w:kern w:val="0"/>
          <w:sz w:val="28"/>
          <w:szCs w:val="28"/>
          <w:highlight w:val="none"/>
          <w:lang w:val="zh-CN"/>
          <w14:textFill>
            <w14:solidFill>
              <w14:schemeClr w14:val="tx1"/>
            </w14:solidFill>
          </w14:textFill>
        </w:rPr>
        <w:t>月</w:t>
      </w:r>
      <w:r>
        <w:rPr>
          <w:rFonts w:hint="eastAsia" w:cs="仿宋_GB2312" w:asciiTheme="minorEastAsia" w:hAnsiTheme="minorEastAsia" w:eastAsiaTheme="minorEastAsia"/>
          <w:color w:val="000000" w:themeColor="text1"/>
          <w:kern w:val="0"/>
          <w:sz w:val="28"/>
          <w:szCs w:val="28"/>
          <w:highlight w:val="none"/>
          <w14:textFill>
            <w14:solidFill>
              <w14:schemeClr w14:val="tx1"/>
            </w14:solidFill>
          </w14:textFill>
        </w:rPr>
        <w:t xml:space="preserve">   </w:t>
      </w:r>
      <w:r>
        <w:rPr>
          <w:rFonts w:hint="eastAsia" w:cs="仿宋_GB2312" w:asciiTheme="minorEastAsia" w:hAnsiTheme="minorEastAsia" w:eastAsiaTheme="minorEastAsia"/>
          <w:color w:val="000000" w:themeColor="text1"/>
          <w:kern w:val="0"/>
          <w:sz w:val="28"/>
          <w:szCs w:val="28"/>
          <w:highlight w:val="none"/>
          <w:lang w:val="zh-CN"/>
          <w14:textFill>
            <w14:solidFill>
              <w14:schemeClr w14:val="tx1"/>
            </w14:solidFill>
          </w14:textFill>
        </w:rPr>
        <w:t>日</w:t>
      </w:r>
    </w:p>
    <w:p w14:paraId="7AA143D1">
      <w:pPr>
        <w:keepNext w:val="0"/>
        <w:keepLines w:val="0"/>
        <w:pageBreakBefore w:val="0"/>
        <w:widowControl/>
        <w:kinsoku/>
        <w:wordWrap/>
        <w:overflowPunct/>
        <w:topLinePunct w:val="0"/>
        <w:autoSpaceDE/>
        <w:autoSpaceDN/>
        <w:bidi w:val="0"/>
        <w:spacing w:line="520" w:lineRule="exact"/>
        <w:jc w:val="left"/>
        <w:textAlignment w:val="auto"/>
        <w:rPr>
          <w:rFonts w:ascii="仿宋_GB2312" w:hAnsi="仿宋" w:eastAsia="仿宋_GB2312" w:cs="仿宋_GB2312"/>
          <w:color w:val="000000" w:themeColor="text1"/>
          <w:kern w:val="0"/>
          <w:sz w:val="24"/>
          <w:highlight w:val="none"/>
          <w:lang w:val="zh-CN"/>
          <w14:textFill>
            <w14:solidFill>
              <w14:schemeClr w14:val="tx1"/>
            </w14:solidFill>
          </w14:textFill>
        </w:rPr>
        <w:sectPr>
          <w:pgSz w:w="11906" w:h="16838"/>
          <w:pgMar w:top="1134" w:right="1134" w:bottom="1134" w:left="1134" w:header="720" w:footer="720" w:gutter="0"/>
          <w:pgNumType w:fmt="decimal"/>
          <w:cols w:space="720" w:num="1"/>
          <w:docGrid w:type="lines" w:linePitch="331" w:charSpace="0"/>
        </w:sectPr>
      </w:pPr>
    </w:p>
    <w:p w14:paraId="39389D77">
      <w:pPr>
        <w:pStyle w:val="17"/>
        <w:pageBreakBefore w:val="0"/>
        <w:wordWrap/>
        <w:topLinePunct w:val="0"/>
        <w:bidi w:val="0"/>
        <w:spacing w:line="560" w:lineRule="exact"/>
        <w:rPr>
          <w:color w:val="000000" w:themeColor="text1"/>
          <w:sz w:val="30"/>
          <w:szCs w:val="30"/>
          <w:highlight w:val="none"/>
          <w14:textFill>
            <w14:solidFill>
              <w14:schemeClr w14:val="tx1"/>
            </w14:solidFill>
          </w14:textFill>
        </w:rPr>
      </w:pPr>
      <w:r>
        <w:rPr>
          <w:rFonts w:hint="eastAsia" w:hAnsi="宋体"/>
          <w:color w:val="000000" w:themeColor="text1"/>
          <w:sz w:val="30"/>
          <w:highlight w:val="none"/>
          <w14:textFill>
            <w14:solidFill>
              <w14:schemeClr w14:val="tx1"/>
            </w14:solidFill>
          </w14:textFill>
        </w:rPr>
        <w:t>二、</w:t>
      </w:r>
      <w:r>
        <w:rPr>
          <w:rFonts w:hint="eastAsia"/>
          <w:color w:val="000000" w:themeColor="text1"/>
          <w:sz w:val="30"/>
          <w:szCs w:val="30"/>
          <w:highlight w:val="none"/>
          <w14:textFill>
            <w14:solidFill>
              <w14:schemeClr w14:val="tx1"/>
            </w14:solidFill>
          </w14:textFill>
        </w:rPr>
        <w:t>开标一览表</w:t>
      </w:r>
      <w:r>
        <w:rPr>
          <w:rFonts w:hint="eastAsia"/>
          <w:color w:val="000000" w:themeColor="text1"/>
          <w:highlight w:val="none"/>
          <w:lang w:val="zh-CN"/>
          <w14:textFill>
            <w14:solidFill>
              <w14:schemeClr w14:val="tx1"/>
            </w14:solidFill>
          </w14:textFill>
        </w:rPr>
        <w:t>(单位均为人民币元)</w:t>
      </w:r>
    </w:p>
    <w:p w14:paraId="459DC558">
      <w:pPr>
        <w:pStyle w:val="17"/>
        <w:pageBreakBefore w:val="0"/>
        <w:wordWrap/>
        <w:topLinePunct w:val="0"/>
        <w:bidi w:val="0"/>
        <w:spacing w:line="560" w:lineRule="exac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                     </w:t>
      </w:r>
    </w:p>
    <w:tbl>
      <w:tblPr>
        <w:tblStyle w:val="34"/>
        <w:tblW w:w="958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0"/>
      </w:tblGrid>
      <w:tr w14:paraId="108BA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8" w:hRule="atLeast"/>
        </w:trPr>
        <w:tc>
          <w:tcPr>
            <w:tcW w:w="9580" w:type="dxa"/>
            <w:tcBorders>
              <w:top w:val="single" w:color="auto" w:sz="4" w:space="0"/>
              <w:left w:val="single" w:color="auto" w:sz="4" w:space="0"/>
              <w:bottom w:val="single" w:color="auto" w:sz="4" w:space="0"/>
              <w:right w:val="single" w:color="auto" w:sz="4" w:space="0"/>
            </w:tcBorders>
          </w:tcPr>
          <w:p w14:paraId="1A8A4CE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olor w:val="000000" w:themeColor="text1"/>
                <w:sz w:val="28"/>
                <w:szCs w:val="28"/>
                <w:highlight w:val="none"/>
                <w:lang w:eastAsia="zh-CN"/>
                <w14:textFill>
                  <w14:solidFill>
                    <w14:schemeClr w14:val="tx1"/>
                  </w14:solidFill>
                </w14:textFill>
              </w:rPr>
            </w:pPr>
            <w:r>
              <w:rPr>
                <w:rFonts w:hint="eastAsia" w:asciiTheme="minorEastAsia" w:hAnsiTheme="minorEastAsia" w:eastAsiaTheme="minorEastAsia"/>
                <w:color w:val="000000" w:themeColor="text1"/>
                <w:sz w:val="28"/>
                <w:szCs w:val="28"/>
                <w:highlight w:val="none"/>
                <w:lang w:eastAsia="zh-CN"/>
                <w14:textFill>
                  <w14:solidFill>
                    <w14:schemeClr w14:val="tx1"/>
                  </w14:solidFill>
                </w14:textFill>
              </w:rPr>
              <w:t>标项名称：</w:t>
            </w:r>
          </w:p>
        </w:tc>
      </w:tr>
      <w:tr w14:paraId="3DB6C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3" w:hRule="atLeast"/>
        </w:trPr>
        <w:tc>
          <w:tcPr>
            <w:tcW w:w="9580" w:type="dxa"/>
            <w:tcBorders>
              <w:top w:val="single" w:color="auto" w:sz="4" w:space="0"/>
              <w:left w:val="single" w:color="auto" w:sz="4" w:space="0"/>
              <w:bottom w:val="single" w:color="auto" w:sz="4" w:space="0"/>
              <w:right w:val="single" w:color="auto" w:sz="4" w:space="0"/>
            </w:tcBorders>
          </w:tcPr>
          <w:p w14:paraId="6FA64161">
            <w:pPr>
              <w:keepNext w:val="0"/>
              <w:keepLines w:val="0"/>
              <w:pageBreakBefore w:val="0"/>
              <w:widowControl w:val="0"/>
              <w:kinsoku/>
              <w:wordWrap/>
              <w:overflowPunct/>
              <w:topLinePunct w:val="0"/>
              <w:autoSpaceDE/>
              <w:autoSpaceDN/>
              <w:bidi w:val="0"/>
              <w:adjustRightInd/>
              <w:snapToGrid/>
              <w:spacing w:line="560" w:lineRule="exact"/>
              <w:textAlignment w:val="auto"/>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报价（总报价）：大写：</w:t>
            </w:r>
          </w:p>
          <w:p w14:paraId="2FBDE342">
            <w:pPr>
              <w:keepNext w:val="0"/>
              <w:keepLines w:val="0"/>
              <w:pageBreakBefore w:val="0"/>
              <w:widowControl w:val="0"/>
              <w:kinsoku/>
              <w:wordWrap/>
              <w:overflowPunct/>
              <w:topLinePunct w:val="0"/>
              <w:autoSpaceDE/>
              <w:autoSpaceDN/>
              <w:bidi w:val="0"/>
              <w:adjustRightInd/>
              <w:snapToGrid/>
              <w:spacing w:line="560" w:lineRule="exact"/>
              <w:textAlignment w:val="auto"/>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 xml:space="preserve">               小写：</w:t>
            </w:r>
          </w:p>
        </w:tc>
      </w:tr>
      <w:tr w14:paraId="0D463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9" w:hRule="atLeast"/>
        </w:trPr>
        <w:tc>
          <w:tcPr>
            <w:tcW w:w="9580" w:type="dxa"/>
            <w:tcBorders>
              <w:top w:val="single" w:color="auto" w:sz="4" w:space="0"/>
              <w:left w:val="single" w:color="auto" w:sz="4" w:space="0"/>
              <w:bottom w:val="single" w:color="auto" w:sz="4" w:space="0"/>
              <w:right w:val="single" w:color="auto" w:sz="4" w:space="0"/>
            </w:tcBorders>
          </w:tcPr>
          <w:p w14:paraId="6D9AE156">
            <w:pPr>
              <w:keepNext w:val="0"/>
              <w:keepLines w:val="0"/>
              <w:pageBreakBefore w:val="0"/>
              <w:widowControl w:val="0"/>
              <w:kinsoku/>
              <w:wordWrap/>
              <w:overflowPunct/>
              <w:topLinePunct w:val="0"/>
              <w:autoSpaceDE/>
              <w:autoSpaceDN/>
              <w:bidi w:val="0"/>
              <w:adjustRightInd/>
              <w:snapToGrid/>
              <w:spacing w:line="560" w:lineRule="exact"/>
              <w:textAlignment w:val="auto"/>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供货期：</w:t>
            </w:r>
          </w:p>
        </w:tc>
      </w:tr>
      <w:tr w14:paraId="4F2A8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9" w:hRule="atLeast"/>
        </w:trPr>
        <w:tc>
          <w:tcPr>
            <w:tcW w:w="9580" w:type="dxa"/>
            <w:tcBorders>
              <w:top w:val="single" w:color="auto" w:sz="4" w:space="0"/>
              <w:left w:val="single" w:color="auto" w:sz="4" w:space="0"/>
              <w:bottom w:val="single" w:color="auto" w:sz="4" w:space="0"/>
              <w:right w:val="single" w:color="auto" w:sz="4" w:space="0"/>
            </w:tcBorders>
          </w:tcPr>
          <w:p w14:paraId="462A7A08">
            <w:pPr>
              <w:keepNext w:val="0"/>
              <w:keepLines w:val="0"/>
              <w:pageBreakBefore w:val="0"/>
              <w:widowControl w:val="0"/>
              <w:kinsoku/>
              <w:wordWrap/>
              <w:overflowPunct/>
              <w:topLinePunct w:val="0"/>
              <w:autoSpaceDE/>
              <w:autoSpaceDN/>
              <w:bidi w:val="0"/>
              <w:adjustRightInd/>
              <w:snapToGrid/>
              <w:spacing w:line="560" w:lineRule="exact"/>
              <w:textAlignment w:val="auto"/>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质保期：</w:t>
            </w:r>
          </w:p>
        </w:tc>
      </w:tr>
      <w:tr w14:paraId="7973D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4" w:hRule="atLeast"/>
        </w:trPr>
        <w:tc>
          <w:tcPr>
            <w:tcW w:w="9580" w:type="dxa"/>
            <w:tcBorders>
              <w:top w:val="single" w:color="auto" w:sz="4" w:space="0"/>
              <w:left w:val="single" w:color="auto" w:sz="4" w:space="0"/>
              <w:bottom w:val="single" w:color="auto" w:sz="4" w:space="0"/>
              <w:right w:val="single" w:color="auto" w:sz="4" w:space="0"/>
            </w:tcBorders>
          </w:tcPr>
          <w:p w14:paraId="2BA59A4D">
            <w:pPr>
              <w:keepNext w:val="0"/>
              <w:keepLines w:val="0"/>
              <w:pageBreakBefore w:val="0"/>
              <w:widowControl w:val="0"/>
              <w:kinsoku/>
              <w:wordWrap/>
              <w:overflowPunct/>
              <w:topLinePunct w:val="0"/>
              <w:autoSpaceDE/>
              <w:autoSpaceDN/>
              <w:bidi w:val="0"/>
              <w:adjustRightInd/>
              <w:snapToGrid/>
              <w:spacing w:line="560" w:lineRule="exact"/>
              <w:textAlignment w:val="auto"/>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备注：</w:t>
            </w:r>
            <w:r>
              <w:rPr>
                <w:rFonts w:asciiTheme="minorEastAsia" w:hAnsiTheme="minorEastAsia" w:eastAsiaTheme="minorEastAsia"/>
                <w:color w:val="000000" w:themeColor="text1"/>
                <w:sz w:val="28"/>
                <w:szCs w:val="28"/>
                <w:highlight w:val="none"/>
                <w14:textFill>
                  <w14:solidFill>
                    <w14:schemeClr w14:val="tx1"/>
                  </w14:solidFill>
                </w14:textFill>
              </w:rPr>
              <w:t xml:space="preserve"> </w:t>
            </w:r>
          </w:p>
        </w:tc>
      </w:tr>
    </w:tbl>
    <w:p w14:paraId="696ED723">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cs="仿宋_GB2312" w:asciiTheme="minorEastAsia" w:hAnsiTheme="minorEastAsia" w:eastAsiaTheme="minorEastAsia"/>
          <w:color w:val="000000" w:themeColor="text1"/>
          <w:kern w:val="0"/>
          <w:sz w:val="28"/>
          <w:szCs w:val="28"/>
          <w:highlight w:val="none"/>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8"/>
          <w:szCs w:val="28"/>
          <w:highlight w:val="none"/>
          <w:lang w:val="zh-CN"/>
          <w14:textFill>
            <w14:solidFill>
              <w14:schemeClr w14:val="tx1"/>
            </w14:solidFill>
          </w14:textFill>
        </w:rPr>
        <w:t xml:space="preserve">注： </w:t>
      </w:r>
    </w:p>
    <w:p w14:paraId="5CA20DFC">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cs="仿宋_GB2312" w:asciiTheme="minorEastAsia" w:hAnsiTheme="minorEastAsia" w:eastAsiaTheme="minorEastAsia"/>
          <w:b w:val="0"/>
          <w:bCs/>
          <w:color w:val="000000" w:themeColor="text1"/>
          <w:kern w:val="0"/>
          <w:sz w:val="28"/>
          <w:szCs w:val="28"/>
          <w:highlight w:val="none"/>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8"/>
          <w:szCs w:val="28"/>
          <w:highlight w:val="none"/>
          <w:lang w:val="zh-CN"/>
          <w14:textFill>
            <w14:solidFill>
              <w14:schemeClr w14:val="tx1"/>
            </w14:solidFill>
          </w14:textFill>
        </w:rPr>
        <w:t>1、 供应商需按本表格式填写，不得自行更改，也不得留空, 如有多分标，按分标分别提供开标一览表，必须加盖供应商有效电子公章，</w:t>
      </w:r>
      <w:r>
        <w:rPr>
          <w:rFonts w:hint="eastAsia" w:cs="仿宋_GB2312" w:asciiTheme="minorEastAsia" w:hAnsiTheme="minorEastAsia" w:eastAsiaTheme="minorEastAsia"/>
          <w:b w:val="0"/>
          <w:bCs/>
          <w:color w:val="000000" w:themeColor="text1"/>
          <w:kern w:val="0"/>
          <w:sz w:val="28"/>
          <w:szCs w:val="28"/>
          <w:highlight w:val="none"/>
          <w:lang w:val="zh-CN"/>
          <w14:textFill>
            <w14:solidFill>
              <w14:schemeClr w14:val="tx1"/>
            </w14:solidFill>
          </w14:textFill>
        </w:rPr>
        <w:t>否则其投标作无效标处理。</w:t>
      </w:r>
    </w:p>
    <w:p w14:paraId="1D05552B">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cs="仿宋_GB2312" w:asciiTheme="minorEastAsia" w:hAnsiTheme="minorEastAsia" w:eastAsiaTheme="minorEastAsia"/>
          <w:color w:val="000000" w:themeColor="text1"/>
          <w:kern w:val="0"/>
          <w:sz w:val="28"/>
          <w:szCs w:val="28"/>
          <w:highlight w:val="none"/>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8"/>
          <w:szCs w:val="28"/>
          <w:highlight w:val="none"/>
          <w:lang w:val="zh-CN"/>
          <w14:textFill>
            <w14:solidFill>
              <w14:schemeClr w14:val="tx1"/>
            </w14:solidFill>
          </w14:textFill>
        </w:rPr>
        <w:t>2、符合招标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7CC20F67">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8"/>
          <w:szCs w:val="28"/>
          <w:highlight w:val="none"/>
          <w:lang w:val="zh-CN"/>
          <w14:textFill>
            <w14:solidFill>
              <w14:schemeClr w14:val="tx1"/>
            </w14:solidFill>
          </w14:textFill>
        </w:rPr>
        <w:t>3、本项目报价需包含完成本项目所需的全部费用（包括但不限于各设备运费、吊装、安装、调试、备件、耗材、税金等）。</w:t>
      </w:r>
    </w:p>
    <w:p w14:paraId="34A8F32D">
      <w:pPr>
        <w:pageBreakBefore w:val="0"/>
        <w:wordWrap/>
        <w:topLinePunct w:val="0"/>
        <w:bidi w:val="0"/>
        <w:snapToGrid w:val="0"/>
        <w:spacing w:line="560" w:lineRule="exact"/>
        <w:ind w:firstLine="5880" w:firstLineChars="2100"/>
        <w:rPr>
          <w:rFonts w:hint="eastAsia" w:cs="仿宋_GB2312" w:asciiTheme="minorEastAsia" w:hAnsiTheme="minorEastAsia" w:eastAsiaTheme="minorEastAsia"/>
          <w:color w:val="000000" w:themeColor="text1"/>
          <w:kern w:val="0"/>
          <w:sz w:val="28"/>
          <w:szCs w:val="28"/>
          <w:highlight w:val="none"/>
          <w:lang w:val="zh-CN"/>
          <w14:textFill>
            <w14:solidFill>
              <w14:schemeClr w14:val="tx1"/>
            </w14:solidFill>
          </w14:textFill>
        </w:rPr>
      </w:pPr>
    </w:p>
    <w:p w14:paraId="61715414">
      <w:pPr>
        <w:pageBreakBefore w:val="0"/>
        <w:wordWrap/>
        <w:topLinePunct w:val="0"/>
        <w:bidi w:val="0"/>
        <w:snapToGrid w:val="0"/>
        <w:spacing w:line="560" w:lineRule="exact"/>
        <w:ind w:firstLine="5880" w:firstLineChars="2100"/>
        <w:rPr>
          <w:rFonts w:cs="仿宋_GB2312" w:asciiTheme="minorEastAsia" w:hAnsiTheme="minorEastAsia" w:eastAsiaTheme="minorEastAsia"/>
          <w:color w:val="000000" w:themeColor="text1"/>
          <w:kern w:val="0"/>
          <w:sz w:val="28"/>
          <w:szCs w:val="28"/>
          <w:highlight w:val="none"/>
          <w14:textFill>
            <w14:solidFill>
              <w14:schemeClr w14:val="tx1"/>
            </w14:solidFill>
          </w14:textFill>
        </w:rPr>
      </w:pPr>
      <w:r>
        <w:rPr>
          <w:rFonts w:hint="eastAsia" w:cs="仿宋_GB2312" w:asciiTheme="minorEastAsia" w:hAnsiTheme="minorEastAsia" w:eastAsiaTheme="minorEastAsia"/>
          <w:color w:val="000000" w:themeColor="text1"/>
          <w:kern w:val="0"/>
          <w:sz w:val="28"/>
          <w:szCs w:val="28"/>
          <w:highlight w:val="none"/>
          <w:lang w:val="zh-CN"/>
          <w14:textFill>
            <w14:solidFill>
              <w14:schemeClr w14:val="tx1"/>
            </w14:solidFill>
          </w14:textFill>
        </w:rPr>
        <w:t>供应商名称(电子公章)：</w:t>
      </w:r>
    </w:p>
    <w:p w14:paraId="29884891">
      <w:pPr>
        <w:pageBreakBefore w:val="0"/>
        <w:wordWrap/>
        <w:topLinePunct w:val="0"/>
        <w:bidi w:val="0"/>
        <w:snapToGrid w:val="0"/>
        <w:spacing w:line="560" w:lineRule="exact"/>
        <w:jc w:val="right"/>
        <w:rPr>
          <w:rFonts w:hint="eastAsia" w:cs="仿宋_GB2312" w:asciiTheme="minorEastAsia" w:hAnsiTheme="minorEastAsia" w:eastAsiaTheme="minorEastAsia"/>
          <w:color w:val="000000" w:themeColor="text1"/>
          <w:kern w:val="0"/>
          <w:sz w:val="28"/>
          <w:szCs w:val="28"/>
          <w:highlight w:val="none"/>
          <w:lang w:val="zh-CN"/>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法定代表人或其委托代理人（签字</w:t>
      </w:r>
      <w:r>
        <w:rPr>
          <w:rFonts w:hint="eastAsia" w:ascii="宋体" w:hAnsi="宋体" w:cs="宋体"/>
          <w:color w:val="000000" w:themeColor="text1"/>
          <w:sz w:val="28"/>
          <w:szCs w:val="28"/>
          <w:highlight w:val="none"/>
          <w:lang w:eastAsia="zh-CN"/>
          <w14:textFill>
            <w14:solidFill>
              <w14:schemeClr w14:val="tx1"/>
            </w14:solidFill>
          </w14:textFill>
        </w:rPr>
        <w:t>或</w:t>
      </w:r>
      <w:r>
        <w:rPr>
          <w:rFonts w:hint="eastAsia" w:ascii="宋体" w:hAnsi="宋体" w:eastAsia="宋体" w:cs="宋体"/>
          <w:color w:val="000000" w:themeColor="text1"/>
          <w:sz w:val="28"/>
          <w:szCs w:val="28"/>
          <w:highlight w:val="none"/>
          <w14:textFill>
            <w14:solidFill>
              <w14:schemeClr w14:val="tx1"/>
            </w14:solidFill>
          </w14:textFill>
        </w:rPr>
        <w:t>盖章）：</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r>
        <w:rPr>
          <w:rFonts w:hint="eastAsia" w:ascii="宋体" w:hAnsi="宋体" w:cs="宋体"/>
          <w:color w:val="000000" w:themeColor="text1"/>
          <w:sz w:val="28"/>
          <w:szCs w:val="28"/>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kern w:val="0"/>
          <w:sz w:val="28"/>
          <w:szCs w:val="28"/>
          <w:highlight w:val="none"/>
          <w:u w:val="single"/>
          <w:lang w:val="en-US" w:eastAsia="zh-CN"/>
          <w14:textFill>
            <w14:solidFill>
              <w14:schemeClr w14:val="tx1"/>
            </w14:solidFill>
          </w14:textFill>
        </w:rPr>
        <w:t xml:space="preserve"> </w:t>
      </w:r>
    </w:p>
    <w:p w14:paraId="61DAF402">
      <w:pPr>
        <w:pageBreakBefore w:val="0"/>
        <w:wordWrap/>
        <w:topLinePunct w:val="0"/>
        <w:bidi w:val="0"/>
        <w:snapToGrid w:val="0"/>
        <w:spacing w:line="560" w:lineRule="exact"/>
        <w:ind w:firstLine="6020" w:firstLineChars="2150"/>
        <w:rPr>
          <w:rFonts w:cs="仿宋_GB2312" w:asciiTheme="minorEastAsia" w:hAnsiTheme="minorEastAsia" w:eastAsiaTheme="minorEastAsia"/>
          <w:color w:val="000000" w:themeColor="text1"/>
          <w:kern w:val="0"/>
          <w:sz w:val="28"/>
          <w:szCs w:val="28"/>
          <w:highlight w:val="none"/>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8"/>
          <w:szCs w:val="28"/>
          <w:highlight w:val="none"/>
          <w:lang w:val="zh-CN"/>
          <w14:textFill>
            <w14:solidFill>
              <w14:schemeClr w14:val="tx1"/>
            </w14:solidFill>
          </w14:textFill>
        </w:rPr>
        <w:t>日期</w:t>
      </w:r>
      <w:r>
        <w:rPr>
          <w:rFonts w:hint="eastAsia" w:cs="仿宋_GB2312" w:asciiTheme="minorEastAsia" w:hAnsiTheme="minorEastAsia" w:eastAsiaTheme="minorEastAsia"/>
          <w:color w:val="000000" w:themeColor="text1"/>
          <w:kern w:val="0"/>
          <w:sz w:val="28"/>
          <w:szCs w:val="28"/>
          <w:highlight w:val="none"/>
          <w14:textFill>
            <w14:solidFill>
              <w14:schemeClr w14:val="tx1"/>
            </w14:solidFill>
          </w14:textFill>
        </w:rPr>
        <w:t xml:space="preserve">：  年  </w:t>
      </w:r>
      <w:r>
        <w:rPr>
          <w:rFonts w:hint="eastAsia" w:cs="仿宋_GB2312" w:asciiTheme="minorEastAsia" w:hAnsiTheme="minorEastAsia" w:eastAsiaTheme="minorEastAsia"/>
          <w:color w:val="000000" w:themeColor="text1"/>
          <w:kern w:val="0"/>
          <w:sz w:val="28"/>
          <w:szCs w:val="28"/>
          <w:highlight w:val="none"/>
          <w:lang w:val="zh-CN"/>
          <w14:textFill>
            <w14:solidFill>
              <w14:schemeClr w14:val="tx1"/>
            </w14:solidFill>
          </w14:textFill>
        </w:rPr>
        <w:t>月</w:t>
      </w:r>
      <w:r>
        <w:rPr>
          <w:rFonts w:hint="eastAsia" w:cs="仿宋_GB2312" w:asciiTheme="minorEastAsia" w:hAnsiTheme="minorEastAsia" w:eastAsiaTheme="minorEastAsia"/>
          <w:color w:val="000000" w:themeColor="text1"/>
          <w:kern w:val="0"/>
          <w:sz w:val="28"/>
          <w:szCs w:val="28"/>
          <w:highlight w:val="none"/>
          <w14:textFill>
            <w14:solidFill>
              <w14:schemeClr w14:val="tx1"/>
            </w14:solidFill>
          </w14:textFill>
        </w:rPr>
        <w:t xml:space="preserve">   </w:t>
      </w:r>
      <w:r>
        <w:rPr>
          <w:rFonts w:hint="eastAsia" w:cs="仿宋_GB2312" w:asciiTheme="minorEastAsia" w:hAnsiTheme="minorEastAsia" w:eastAsiaTheme="minorEastAsia"/>
          <w:color w:val="000000" w:themeColor="text1"/>
          <w:kern w:val="0"/>
          <w:sz w:val="28"/>
          <w:szCs w:val="28"/>
          <w:highlight w:val="none"/>
          <w:lang w:val="zh-CN"/>
          <w14:textFill>
            <w14:solidFill>
              <w14:schemeClr w14:val="tx1"/>
            </w14:solidFill>
          </w14:textFill>
        </w:rPr>
        <w:t>日</w:t>
      </w:r>
    </w:p>
    <w:p w14:paraId="7B1C45F4">
      <w:pPr>
        <w:pStyle w:val="17"/>
        <w:pageBreakBefore w:val="0"/>
        <w:numPr>
          <w:ilvl w:val="0"/>
          <w:numId w:val="13"/>
        </w:numPr>
        <w:wordWrap/>
        <w:topLinePunct w:val="0"/>
        <w:bidi w:val="0"/>
        <w:spacing w:line="560" w:lineRule="exact"/>
        <w:rPr>
          <w:color w:val="000000" w:themeColor="text1"/>
          <w:highlight w:val="none"/>
          <w14:textFill>
            <w14:solidFill>
              <w14:schemeClr w14:val="tx1"/>
            </w14:solidFill>
          </w14:textFill>
        </w:rPr>
      </w:pPr>
      <w:r>
        <w:rPr>
          <w:rFonts w:ascii="仿宋_GB2312" w:hAnsi="仿宋" w:eastAsia="仿宋_GB2312" w:cs="仿宋_GB2312"/>
          <w:color w:val="000000" w:themeColor="text1"/>
          <w:kern w:val="0"/>
          <w:sz w:val="24"/>
          <w:highlight w:val="none"/>
          <w:lang w:val="zh-CN"/>
          <w14:textFill>
            <w14:solidFill>
              <w14:schemeClr w14:val="tx1"/>
            </w14:solidFill>
          </w14:textFill>
        </w:rPr>
        <w:br w:type="page"/>
      </w:r>
      <w:r>
        <w:rPr>
          <w:color w:val="000000" w:themeColor="text1"/>
          <w:highlight w:val="none"/>
          <w14:textFill>
            <w14:solidFill>
              <w14:schemeClr w14:val="tx1"/>
            </w14:solidFill>
          </w14:textFill>
        </w:rPr>
        <w:t>分项报价表</w:t>
      </w:r>
    </w:p>
    <w:p w14:paraId="40537123">
      <w:pPr>
        <w:pStyle w:val="17"/>
        <w:pageBreakBefore w:val="0"/>
        <w:numPr>
          <w:ilvl w:val="0"/>
          <w:numId w:val="0"/>
        </w:numPr>
        <w:wordWrap/>
        <w:topLinePunct w:val="0"/>
        <w:bidi w:val="0"/>
        <w:spacing w:line="560" w:lineRule="exact"/>
        <w:jc w:val="both"/>
        <w:rPr>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标项名称：</w:t>
      </w:r>
    </w:p>
    <w:tbl>
      <w:tblPr>
        <w:tblStyle w:val="34"/>
        <w:tblW w:w="104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2"/>
        <w:gridCol w:w="2441"/>
        <w:gridCol w:w="955"/>
        <w:gridCol w:w="2463"/>
        <w:gridCol w:w="955"/>
        <w:gridCol w:w="1106"/>
        <w:gridCol w:w="1134"/>
        <w:gridCol w:w="816"/>
      </w:tblGrid>
      <w:tr w14:paraId="71BC9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atLeast"/>
          <w:jc w:val="center"/>
        </w:trPr>
        <w:tc>
          <w:tcPr>
            <w:tcW w:w="552" w:type="dxa"/>
            <w:tcBorders>
              <w:top w:val="single" w:color="auto" w:sz="12" w:space="0"/>
              <w:left w:val="single" w:color="auto" w:sz="12" w:space="0"/>
              <w:bottom w:val="single" w:color="auto" w:sz="4" w:space="0"/>
            </w:tcBorders>
            <w:vAlign w:val="center"/>
          </w:tcPr>
          <w:p w14:paraId="47C3328B">
            <w:pPr>
              <w:pStyle w:val="169"/>
              <w:pageBreakBefore w:val="0"/>
              <w:tabs>
                <w:tab w:val="left" w:pos="1337"/>
              </w:tabs>
              <w:wordWrap/>
              <w:topLinePunct w:val="0"/>
              <w:bidi w:val="0"/>
              <w:spacing w:line="560" w:lineRule="exact"/>
              <w:ind w:left="-42" w:right="-42"/>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项</w:t>
            </w:r>
          </w:p>
        </w:tc>
        <w:tc>
          <w:tcPr>
            <w:tcW w:w="2441" w:type="dxa"/>
            <w:tcBorders>
              <w:top w:val="single" w:color="auto" w:sz="12" w:space="0"/>
              <w:bottom w:val="single" w:color="auto" w:sz="4" w:space="0"/>
            </w:tcBorders>
            <w:vAlign w:val="center"/>
          </w:tcPr>
          <w:p w14:paraId="42A9EA2C">
            <w:pPr>
              <w:pStyle w:val="169"/>
              <w:pageBreakBefore w:val="0"/>
              <w:tabs>
                <w:tab w:val="left" w:pos="1337"/>
              </w:tabs>
              <w:wordWrap/>
              <w:topLinePunct w:val="0"/>
              <w:bidi w:val="0"/>
              <w:spacing w:line="560" w:lineRule="exact"/>
              <w:ind w:left="-42" w:right="-42"/>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w:t>
            </w:r>
          </w:p>
        </w:tc>
        <w:tc>
          <w:tcPr>
            <w:tcW w:w="3418" w:type="dxa"/>
            <w:gridSpan w:val="2"/>
            <w:tcBorders>
              <w:top w:val="single" w:color="auto" w:sz="12" w:space="0"/>
              <w:bottom w:val="single" w:color="auto" w:sz="4" w:space="0"/>
            </w:tcBorders>
            <w:vAlign w:val="center"/>
          </w:tcPr>
          <w:p w14:paraId="097B8A31">
            <w:pPr>
              <w:pStyle w:val="169"/>
              <w:pageBreakBefore w:val="0"/>
              <w:tabs>
                <w:tab w:val="left" w:pos="1337"/>
              </w:tabs>
              <w:wordWrap/>
              <w:topLinePunct w:val="0"/>
              <w:bidi w:val="0"/>
              <w:spacing w:line="560" w:lineRule="exact"/>
              <w:ind w:right="-42"/>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2</w:t>
            </w:r>
          </w:p>
        </w:tc>
        <w:tc>
          <w:tcPr>
            <w:tcW w:w="4011" w:type="dxa"/>
            <w:gridSpan w:val="4"/>
            <w:tcBorders>
              <w:top w:val="single" w:color="auto" w:sz="12" w:space="0"/>
              <w:bottom w:val="single" w:color="auto" w:sz="4" w:space="0"/>
              <w:right w:val="single" w:color="auto" w:sz="12" w:space="0"/>
            </w:tcBorders>
          </w:tcPr>
          <w:p w14:paraId="5D9AE26A">
            <w:pPr>
              <w:pStyle w:val="169"/>
              <w:pageBreakBefore w:val="0"/>
              <w:tabs>
                <w:tab w:val="left" w:pos="1337"/>
              </w:tabs>
              <w:wordWrap/>
              <w:topLinePunct w:val="0"/>
              <w:bidi w:val="0"/>
              <w:spacing w:line="560" w:lineRule="exact"/>
              <w:ind w:left="-42" w:right="-42"/>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3</w:t>
            </w:r>
          </w:p>
        </w:tc>
      </w:tr>
      <w:tr w14:paraId="77312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52" w:type="dxa"/>
            <w:vMerge w:val="restart"/>
            <w:tcBorders>
              <w:left w:val="single" w:color="auto" w:sz="12" w:space="0"/>
            </w:tcBorders>
            <w:vAlign w:val="center"/>
          </w:tcPr>
          <w:p w14:paraId="0264BAD7">
            <w:pPr>
              <w:pStyle w:val="169"/>
              <w:pageBreakBefore w:val="0"/>
              <w:tabs>
                <w:tab w:val="left" w:pos="1337"/>
              </w:tabs>
              <w:wordWrap/>
              <w:topLinePunct w:val="0"/>
              <w:bidi w:val="0"/>
              <w:spacing w:line="560" w:lineRule="exact"/>
              <w:ind w:left="-42" w:right="-42"/>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序</w:t>
            </w:r>
          </w:p>
          <w:p w14:paraId="266F1BC6">
            <w:pPr>
              <w:pStyle w:val="169"/>
              <w:pageBreakBefore w:val="0"/>
              <w:tabs>
                <w:tab w:val="left" w:pos="1337"/>
              </w:tabs>
              <w:wordWrap/>
              <w:topLinePunct w:val="0"/>
              <w:bidi w:val="0"/>
              <w:spacing w:line="560" w:lineRule="exact"/>
              <w:ind w:left="-42" w:right="-42"/>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号</w:t>
            </w:r>
          </w:p>
        </w:tc>
        <w:tc>
          <w:tcPr>
            <w:tcW w:w="2441" w:type="dxa"/>
            <w:vMerge w:val="restart"/>
            <w:vAlign w:val="center"/>
          </w:tcPr>
          <w:p w14:paraId="0A4C5AF7">
            <w:pPr>
              <w:pStyle w:val="169"/>
              <w:pageBreakBefore w:val="0"/>
              <w:tabs>
                <w:tab w:val="left" w:pos="1337"/>
              </w:tabs>
              <w:wordWrap/>
              <w:topLinePunct w:val="0"/>
              <w:bidi w:val="0"/>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产品名称</w:t>
            </w:r>
          </w:p>
        </w:tc>
        <w:tc>
          <w:tcPr>
            <w:tcW w:w="3418" w:type="dxa"/>
            <w:gridSpan w:val="2"/>
            <w:vMerge w:val="restart"/>
            <w:vAlign w:val="center"/>
          </w:tcPr>
          <w:p w14:paraId="4E737A82">
            <w:pPr>
              <w:pStyle w:val="169"/>
              <w:pageBreakBefore w:val="0"/>
              <w:tabs>
                <w:tab w:val="left" w:pos="1337"/>
              </w:tabs>
              <w:wordWrap/>
              <w:topLinePunct w:val="0"/>
              <w:bidi w:val="0"/>
              <w:spacing w:line="560" w:lineRule="exact"/>
              <w:ind w:left="-42" w:right="-42"/>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品牌、型号</w:t>
            </w:r>
          </w:p>
        </w:tc>
        <w:tc>
          <w:tcPr>
            <w:tcW w:w="4011" w:type="dxa"/>
            <w:gridSpan w:val="4"/>
            <w:tcBorders>
              <w:right w:val="single" w:color="auto" w:sz="12" w:space="0"/>
            </w:tcBorders>
          </w:tcPr>
          <w:p w14:paraId="3BE6A12C">
            <w:pPr>
              <w:pStyle w:val="169"/>
              <w:pageBreakBefore w:val="0"/>
              <w:wordWrap/>
              <w:topLinePunct w:val="0"/>
              <w:bidi w:val="0"/>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价格（元）</w:t>
            </w:r>
          </w:p>
        </w:tc>
      </w:tr>
      <w:tr w14:paraId="5F4DA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52" w:type="dxa"/>
            <w:vMerge w:val="continue"/>
            <w:tcBorders>
              <w:left w:val="single" w:color="auto" w:sz="12" w:space="0"/>
            </w:tcBorders>
            <w:vAlign w:val="center"/>
          </w:tcPr>
          <w:p w14:paraId="63A7A9C0">
            <w:pPr>
              <w:pStyle w:val="169"/>
              <w:pageBreakBefore w:val="0"/>
              <w:tabs>
                <w:tab w:val="left" w:pos="1337"/>
              </w:tabs>
              <w:wordWrap/>
              <w:topLinePunct w:val="0"/>
              <w:bidi w:val="0"/>
              <w:spacing w:line="560" w:lineRule="exact"/>
              <w:ind w:left="-42" w:right="-42"/>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2441" w:type="dxa"/>
            <w:vMerge w:val="continue"/>
            <w:vAlign w:val="center"/>
          </w:tcPr>
          <w:p w14:paraId="5B0DD3BA">
            <w:pPr>
              <w:pStyle w:val="169"/>
              <w:pageBreakBefore w:val="0"/>
              <w:tabs>
                <w:tab w:val="left" w:pos="1337"/>
              </w:tabs>
              <w:wordWrap/>
              <w:topLinePunct w:val="0"/>
              <w:bidi w:val="0"/>
              <w:spacing w:line="560" w:lineRule="exact"/>
              <w:ind w:left="-42" w:right="-42"/>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3418" w:type="dxa"/>
            <w:gridSpan w:val="2"/>
            <w:vMerge w:val="continue"/>
            <w:vAlign w:val="center"/>
          </w:tcPr>
          <w:p w14:paraId="6335D952">
            <w:pPr>
              <w:pStyle w:val="169"/>
              <w:pageBreakBefore w:val="0"/>
              <w:tabs>
                <w:tab w:val="left" w:pos="1337"/>
              </w:tabs>
              <w:wordWrap/>
              <w:topLinePunct w:val="0"/>
              <w:bidi w:val="0"/>
              <w:spacing w:line="560" w:lineRule="exact"/>
              <w:ind w:left="-42" w:right="-42"/>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955" w:type="dxa"/>
            <w:vAlign w:val="center"/>
          </w:tcPr>
          <w:p w14:paraId="4B1A86AE">
            <w:pPr>
              <w:pStyle w:val="169"/>
              <w:pageBreakBefore w:val="0"/>
              <w:tabs>
                <w:tab w:val="left" w:pos="1337"/>
              </w:tabs>
              <w:wordWrap/>
              <w:topLinePunct w:val="0"/>
              <w:bidi w:val="0"/>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数量</w:t>
            </w:r>
          </w:p>
        </w:tc>
        <w:tc>
          <w:tcPr>
            <w:tcW w:w="1106" w:type="dxa"/>
          </w:tcPr>
          <w:p w14:paraId="7086CA83">
            <w:pPr>
              <w:pStyle w:val="169"/>
              <w:pageBreakBefore w:val="0"/>
              <w:widowControl/>
              <w:wordWrap/>
              <w:topLinePunct w:val="0"/>
              <w:bidi w:val="0"/>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单位</w:t>
            </w:r>
          </w:p>
        </w:tc>
        <w:tc>
          <w:tcPr>
            <w:tcW w:w="1134" w:type="dxa"/>
            <w:vAlign w:val="center"/>
          </w:tcPr>
          <w:p w14:paraId="0E554A82">
            <w:pPr>
              <w:pStyle w:val="169"/>
              <w:pageBreakBefore w:val="0"/>
              <w:widowControl/>
              <w:wordWrap/>
              <w:topLinePunct w:val="0"/>
              <w:bidi w:val="0"/>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单价</w:t>
            </w:r>
          </w:p>
        </w:tc>
        <w:tc>
          <w:tcPr>
            <w:tcW w:w="816" w:type="dxa"/>
            <w:tcBorders>
              <w:right w:val="single" w:color="auto" w:sz="12" w:space="0"/>
            </w:tcBorders>
            <w:vAlign w:val="center"/>
          </w:tcPr>
          <w:p w14:paraId="65549FC1">
            <w:pPr>
              <w:pStyle w:val="169"/>
              <w:pageBreakBefore w:val="0"/>
              <w:widowControl/>
              <w:wordWrap/>
              <w:topLinePunct w:val="0"/>
              <w:bidi w:val="0"/>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小计</w:t>
            </w:r>
          </w:p>
        </w:tc>
      </w:tr>
      <w:tr w14:paraId="1CF42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52" w:type="dxa"/>
            <w:tcBorders>
              <w:left w:val="single" w:color="auto" w:sz="12" w:space="0"/>
            </w:tcBorders>
            <w:vAlign w:val="center"/>
          </w:tcPr>
          <w:p w14:paraId="3C5A4907">
            <w:pPr>
              <w:pStyle w:val="169"/>
              <w:pageBreakBefore w:val="0"/>
              <w:tabs>
                <w:tab w:val="left" w:pos="1337"/>
              </w:tabs>
              <w:wordWrap/>
              <w:topLinePunct w:val="0"/>
              <w:bidi w:val="0"/>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w:t>
            </w:r>
          </w:p>
        </w:tc>
        <w:tc>
          <w:tcPr>
            <w:tcW w:w="2441" w:type="dxa"/>
            <w:vAlign w:val="center"/>
          </w:tcPr>
          <w:p w14:paraId="326BB8AC">
            <w:pPr>
              <w:pStyle w:val="169"/>
              <w:pageBreakBefore w:val="0"/>
              <w:tabs>
                <w:tab w:val="left" w:pos="1337"/>
              </w:tabs>
              <w:wordWrap/>
              <w:topLinePunct w:val="0"/>
              <w:bidi w:val="0"/>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3418" w:type="dxa"/>
            <w:gridSpan w:val="2"/>
            <w:vAlign w:val="center"/>
          </w:tcPr>
          <w:p w14:paraId="392EB68D">
            <w:pPr>
              <w:pStyle w:val="169"/>
              <w:pageBreakBefore w:val="0"/>
              <w:tabs>
                <w:tab w:val="left" w:pos="1337"/>
              </w:tabs>
              <w:wordWrap/>
              <w:topLinePunct w:val="0"/>
              <w:bidi w:val="0"/>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955" w:type="dxa"/>
            <w:vAlign w:val="center"/>
          </w:tcPr>
          <w:p w14:paraId="4DD40FA1">
            <w:pPr>
              <w:pStyle w:val="169"/>
              <w:pageBreakBefore w:val="0"/>
              <w:tabs>
                <w:tab w:val="left" w:pos="1337"/>
              </w:tabs>
              <w:wordWrap/>
              <w:topLinePunct w:val="0"/>
              <w:bidi w:val="0"/>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106" w:type="dxa"/>
          </w:tcPr>
          <w:p w14:paraId="5DBA83D4">
            <w:pPr>
              <w:pStyle w:val="169"/>
              <w:pageBreakBefore w:val="0"/>
              <w:tabs>
                <w:tab w:val="left" w:pos="1337"/>
              </w:tabs>
              <w:wordWrap/>
              <w:topLinePunct w:val="0"/>
              <w:bidi w:val="0"/>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134" w:type="dxa"/>
            <w:vAlign w:val="center"/>
          </w:tcPr>
          <w:p w14:paraId="23527D05">
            <w:pPr>
              <w:pStyle w:val="169"/>
              <w:pageBreakBefore w:val="0"/>
              <w:tabs>
                <w:tab w:val="left" w:pos="1337"/>
              </w:tabs>
              <w:wordWrap/>
              <w:topLinePunct w:val="0"/>
              <w:bidi w:val="0"/>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816" w:type="dxa"/>
            <w:tcBorders>
              <w:right w:val="single" w:color="auto" w:sz="12" w:space="0"/>
            </w:tcBorders>
            <w:vAlign w:val="center"/>
          </w:tcPr>
          <w:p w14:paraId="5756600B">
            <w:pPr>
              <w:pStyle w:val="169"/>
              <w:pageBreakBefore w:val="0"/>
              <w:tabs>
                <w:tab w:val="left" w:pos="1337"/>
              </w:tabs>
              <w:wordWrap/>
              <w:topLinePunct w:val="0"/>
              <w:bidi w:val="0"/>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r>
      <w:tr w14:paraId="65EC0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52" w:type="dxa"/>
            <w:tcBorders>
              <w:left w:val="single" w:color="auto" w:sz="12" w:space="0"/>
            </w:tcBorders>
            <w:vAlign w:val="center"/>
          </w:tcPr>
          <w:p w14:paraId="2D0D101B">
            <w:pPr>
              <w:pStyle w:val="169"/>
              <w:pageBreakBefore w:val="0"/>
              <w:tabs>
                <w:tab w:val="left" w:pos="1337"/>
              </w:tabs>
              <w:wordWrap/>
              <w:topLinePunct w:val="0"/>
              <w:bidi w:val="0"/>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2</w:t>
            </w:r>
          </w:p>
        </w:tc>
        <w:tc>
          <w:tcPr>
            <w:tcW w:w="2441" w:type="dxa"/>
            <w:vAlign w:val="center"/>
          </w:tcPr>
          <w:p w14:paraId="7E02BAB9">
            <w:pPr>
              <w:pStyle w:val="169"/>
              <w:pageBreakBefore w:val="0"/>
              <w:tabs>
                <w:tab w:val="left" w:pos="1337"/>
              </w:tabs>
              <w:wordWrap/>
              <w:topLinePunct w:val="0"/>
              <w:bidi w:val="0"/>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3418" w:type="dxa"/>
            <w:gridSpan w:val="2"/>
          </w:tcPr>
          <w:p w14:paraId="22B37A4E">
            <w:pPr>
              <w:pStyle w:val="169"/>
              <w:pageBreakBefore w:val="0"/>
              <w:tabs>
                <w:tab w:val="left" w:pos="1337"/>
              </w:tabs>
              <w:wordWrap/>
              <w:topLinePunct w:val="0"/>
              <w:bidi w:val="0"/>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955" w:type="dxa"/>
          </w:tcPr>
          <w:p w14:paraId="50E88A99">
            <w:pPr>
              <w:pStyle w:val="169"/>
              <w:pageBreakBefore w:val="0"/>
              <w:tabs>
                <w:tab w:val="left" w:pos="1337"/>
              </w:tabs>
              <w:wordWrap/>
              <w:topLinePunct w:val="0"/>
              <w:bidi w:val="0"/>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106" w:type="dxa"/>
          </w:tcPr>
          <w:p w14:paraId="7B643A99">
            <w:pPr>
              <w:pStyle w:val="169"/>
              <w:pageBreakBefore w:val="0"/>
              <w:tabs>
                <w:tab w:val="left" w:pos="1337"/>
              </w:tabs>
              <w:wordWrap/>
              <w:topLinePunct w:val="0"/>
              <w:bidi w:val="0"/>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134" w:type="dxa"/>
          </w:tcPr>
          <w:p w14:paraId="2208974E">
            <w:pPr>
              <w:pStyle w:val="169"/>
              <w:pageBreakBefore w:val="0"/>
              <w:tabs>
                <w:tab w:val="left" w:pos="1337"/>
              </w:tabs>
              <w:wordWrap/>
              <w:topLinePunct w:val="0"/>
              <w:bidi w:val="0"/>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816" w:type="dxa"/>
            <w:tcBorders>
              <w:right w:val="single" w:color="auto" w:sz="12" w:space="0"/>
            </w:tcBorders>
            <w:vAlign w:val="center"/>
          </w:tcPr>
          <w:p w14:paraId="5CCF694D">
            <w:pPr>
              <w:pStyle w:val="169"/>
              <w:pageBreakBefore w:val="0"/>
              <w:tabs>
                <w:tab w:val="left" w:pos="1337"/>
              </w:tabs>
              <w:wordWrap/>
              <w:topLinePunct w:val="0"/>
              <w:bidi w:val="0"/>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r>
      <w:tr w14:paraId="3737A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52" w:type="dxa"/>
            <w:tcBorders>
              <w:left w:val="single" w:color="auto" w:sz="12" w:space="0"/>
            </w:tcBorders>
            <w:vAlign w:val="center"/>
          </w:tcPr>
          <w:p w14:paraId="422DE874">
            <w:pPr>
              <w:pStyle w:val="169"/>
              <w:pageBreakBefore w:val="0"/>
              <w:tabs>
                <w:tab w:val="left" w:pos="1337"/>
              </w:tabs>
              <w:wordWrap/>
              <w:topLinePunct w:val="0"/>
              <w:bidi w:val="0"/>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3</w:t>
            </w:r>
          </w:p>
        </w:tc>
        <w:tc>
          <w:tcPr>
            <w:tcW w:w="2441" w:type="dxa"/>
            <w:vAlign w:val="center"/>
          </w:tcPr>
          <w:p w14:paraId="38A76987">
            <w:pPr>
              <w:pStyle w:val="169"/>
              <w:pageBreakBefore w:val="0"/>
              <w:tabs>
                <w:tab w:val="left" w:pos="1337"/>
              </w:tabs>
              <w:wordWrap/>
              <w:topLinePunct w:val="0"/>
              <w:bidi w:val="0"/>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3418" w:type="dxa"/>
            <w:gridSpan w:val="2"/>
          </w:tcPr>
          <w:p w14:paraId="274CA781">
            <w:pPr>
              <w:pStyle w:val="169"/>
              <w:pageBreakBefore w:val="0"/>
              <w:tabs>
                <w:tab w:val="left" w:pos="1337"/>
              </w:tabs>
              <w:wordWrap/>
              <w:topLinePunct w:val="0"/>
              <w:bidi w:val="0"/>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955" w:type="dxa"/>
          </w:tcPr>
          <w:p w14:paraId="44777ADE">
            <w:pPr>
              <w:pStyle w:val="169"/>
              <w:pageBreakBefore w:val="0"/>
              <w:tabs>
                <w:tab w:val="left" w:pos="1337"/>
              </w:tabs>
              <w:wordWrap/>
              <w:topLinePunct w:val="0"/>
              <w:bidi w:val="0"/>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106" w:type="dxa"/>
          </w:tcPr>
          <w:p w14:paraId="26614F3F">
            <w:pPr>
              <w:pStyle w:val="169"/>
              <w:pageBreakBefore w:val="0"/>
              <w:tabs>
                <w:tab w:val="left" w:pos="1337"/>
              </w:tabs>
              <w:wordWrap/>
              <w:topLinePunct w:val="0"/>
              <w:bidi w:val="0"/>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134" w:type="dxa"/>
          </w:tcPr>
          <w:p w14:paraId="7827511F">
            <w:pPr>
              <w:pStyle w:val="169"/>
              <w:pageBreakBefore w:val="0"/>
              <w:tabs>
                <w:tab w:val="left" w:pos="1337"/>
              </w:tabs>
              <w:wordWrap/>
              <w:topLinePunct w:val="0"/>
              <w:bidi w:val="0"/>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816" w:type="dxa"/>
            <w:tcBorders>
              <w:right w:val="single" w:color="auto" w:sz="12" w:space="0"/>
            </w:tcBorders>
            <w:vAlign w:val="center"/>
          </w:tcPr>
          <w:p w14:paraId="3F17B14B">
            <w:pPr>
              <w:pStyle w:val="169"/>
              <w:pageBreakBefore w:val="0"/>
              <w:tabs>
                <w:tab w:val="left" w:pos="1337"/>
              </w:tabs>
              <w:wordWrap/>
              <w:topLinePunct w:val="0"/>
              <w:bidi w:val="0"/>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r>
      <w:tr w14:paraId="4F38C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52" w:type="dxa"/>
            <w:tcBorders>
              <w:left w:val="single" w:color="auto" w:sz="12" w:space="0"/>
            </w:tcBorders>
            <w:vAlign w:val="center"/>
          </w:tcPr>
          <w:p w14:paraId="5D76EBD2">
            <w:pPr>
              <w:pStyle w:val="169"/>
              <w:pageBreakBefore w:val="0"/>
              <w:tabs>
                <w:tab w:val="left" w:pos="1337"/>
              </w:tabs>
              <w:wordWrap/>
              <w:topLinePunct w:val="0"/>
              <w:bidi w:val="0"/>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4</w:t>
            </w:r>
          </w:p>
        </w:tc>
        <w:tc>
          <w:tcPr>
            <w:tcW w:w="2441" w:type="dxa"/>
            <w:vAlign w:val="center"/>
          </w:tcPr>
          <w:p w14:paraId="3B370590">
            <w:pPr>
              <w:pStyle w:val="169"/>
              <w:pageBreakBefore w:val="0"/>
              <w:tabs>
                <w:tab w:val="left" w:pos="1337"/>
              </w:tabs>
              <w:wordWrap/>
              <w:topLinePunct w:val="0"/>
              <w:bidi w:val="0"/>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3418" w:type="dxa"/>
            <w:gridSpan w:val="2"/>
          </w:tcPr>
          <w:p w14:paraId="1F795A05">
            <w:pPr>
              <w:pStyle w:val="169"/>
              <w:pageBreakBefore w:val="0"/>
              <w:tabs>
                <w:tab w:val="left" w:pos="1337"/>
              </w:tabs>
              <w:wordWrap/>
              <w:topLinePunct w:val="0"/>
              <w:bidi w:val="0"/>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955" w:type="dxa"/>
          </w:tcPr>
          <w:p w14:paraId="3FD0795E">
            <w:pPr>
              <w:pStyle w:val="169"/>
              <w:pageBreakBefore w:val="0"/>
              <w:tabs>
                <w:tab w:val="left" w:pos="1337"/>
              </w:tabs>
              <w:wordWrap/>
              <w:topLinePunct w:val="0"/>
              <w:bidi w:val="0"/>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106" w:type="dxa"/>
          </w:tcPr>
          <w:p w14:paraId="0FBE1657">
            <w:pPr>
              <w:pStyle w:val="169"/>
              <w:pageBreakBefore w:val="0"/>
              <w:tabs>
                <w:tab w:val="left" w:pos="1337"/>
              </w:tabs>
              <w:wordWrap/>
              <w:topLinePunct w:val="0"/>
              <w:bidi w:val="0"/>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134" w:type="dxa"/>
          </w:tcPr>
          <w:p w14:paraId="59DE86B2">
            <w:pPr>
              <w:pStyle w:val="169"/>
              <w:pageBreakBefore w:val="0"/>
              <w:tabs>
                <w:tab w:val="left" w:pos="1337"/>
              </w:tabs>
              <w:wordWrap/>
              <w:topLinePunct w:val="0"/>
              <w:bidi w:val="0"/>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816" w:type="dxa"/>
            <w:tcBorders>
              <w:right w:val="single" w:color="auto" w:sz="12" w:space="0"/>
            </w:tcBorders>
            <w:vAlign w:val="center"/>
          </w:tcPr>
          <w:p w14:paraId="7881860C">
            <w:pPr>
              <w:pStyle w:val="169"/>
              <w:pageBreakBefore w:val="0"/>
              <w:tabs>
                <w:tab w:val="left" w:pos="1337"/>
              </w:tabs>
              <w:wordWrap/>
              <w:topLinePunct w:val="0"/>
              <w:bidi w:val="0"/>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r>
      <w:tr w14:paraId="44BAB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52" w:type="dxa"/>
            <w:tcBorders>
              <w:left w:val="single" w:color="auto" w:sz="12" w:space="0"/>
            </w:tcBorders>
            <w:vAlign w:val="center"/>
          </w:tcPr>
          <w:p w14:paraId="019E4A9E">
            <w:pPr>
              <w:pStyle w:val="169"/>
              <w:pageBreakBefore w:val="0"/>
              <w:tabs>
                <w:tab w:val="left" w:pos="1337"/>
              </w:tabs>
              <w:wordWrap/>
              <w:topLinePunct w:val="0"/>
              <w:bidi w:val="0"/>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5</w:t>
            </w:r>
          </w:p>
        </w:tc>
        <w:tc>
          <w:tcPr>
            <w:tcW w:w="2441" w:type="dxa"/>
            <w:vAlign w:val="center"/>
          </w:tcPr>
          <w:p w14:paraId="093452C9">
            <w:pPr>
              <w:pStyle w:val="169"/>
              <w:pageBreakBefore w:val="0"/>
              <w:tabs>
                <w:tab w:val="left" w:pos="1337"/>
              </w:tabs>
              <w:wordWrap/>
              <w:topLinePunct w:val="0"/>
              <w:bidi w:val="0"/>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w:t>
            </w:r>
          </w:p>
        </w:tc>
        <w:tc>
          <w:tcPr>
            <w:tcW w:w="3418" w:type="dxa"/>
            <w:gridSpan w:val="2"/>
          </w:tcPr>
          <w:p w14:paraId="040ED2EA">
            <w:pPr>
              <w:pStyle w:val="169"/>
              <w:pageBreakBefore w:val="0"/>
              <w:tabs>
                <w:tab w:val="left" w:pos="1337"/>
              </w:tabs>
              <w:wordWrap/>
              <w:topLinePunct w:val="0"/>
              <w:bidi w:val="0"/>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955" w:type="dxa"/>
          </w:tcPr>
          <w:p w14:paraId="52CA2945">
            <w:pPr>
              <w:pStyle w:val="169"/>
              <w:pageBreakBefore w:val="0"/>
              <w:tabs>
                <w:tab w:val="left" w:pos="1337"/>
              </w:tabs>
              <w:wordWrap/>
              <w:topLinePunct w:val="0"/>
              <w:bidi w:val="0"/>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106" w:type="dxa"/>
          </w:tcPr>
          <w:p w14:paraId="3212968C">
            <w:pPr>
              <w:pStyle w:val="169"/>
              <w:pageBreakBefore w:val="0"/>
              <w:tabs>
                <w:tab w:val="left" w:pos="1337"/>
              </w:tabs>
              <w:wordWrap/>
              <w:topLinePunct w:val="0"/>
              <w:bidi w:val="0"/>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134" w:type="dxa"/>
            <w:vAlign w:val="center"/>
          </w:tcPr>
          <w:p w14:paraId="52E2B9DB">
            <w:pPr>
              <w:pStyle w:val="169"/>
              <w:pageBreakBefore w:val="0"/>
              <w:tabs>
                <w:tab w:val="left" w:pos="1337"/>
              </w:tabs>
              <w:wordWrap/>
              <w:topLinePunct w:val="0"/>
              <w:bidi w:val="0"/>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816" w:type="dxa"/>
            <w:tcBorders>
              <w:right w:val="single" w:color="auto" w:sz="12" w:space="0"/>
            </w:tcBorders>
            <w:vAlign w:val="center"/>
          </w:tcPr>
          <w:p w14:paraId="30CD3FBB">
            <w:pPr>
              <w:pStyle w:val="169"/>
              <w:pageBreakBefore w:val="0"/>
              <w:tabs>
                <w:tab w:val="left" w:pos="1337"/>
              </w:tabs>
              <w:wordWrap/>
              <w:topLinePunct w:val="0"/>
              <w:bidi w:val="0"/>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r>
      <w:tr w14:paraId="479D1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52" w:type="dxa"/>
            <w:tcBorders>
              <w:left w:val="single" w:color="auto" w:sz="12" w:space="0"/>
              <w:bottom w:val="single" w:color="auto" w:sz="12" w:space="0"/>
            </w:tcBorders>
            <w:vAlign w:val="center"/>
          </w:tcPr>
          <w:p w14:paraId="7590234E">
            <w:pPr>
              <w:pStyle w:val="169"/>
              <w:pageBreakBefore w:val="0"/>
              <w:tabs>
                <w:tab w:val="left" w:pos="1337"/>
              </w:tabs>
              <w:wordWrap/>
              <w:topLinePunct w:val="0"/>
              <w:bidi w:val="0"/>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2441" w:type="dxa"/>
            <w:tcBorders>
              <w:bottom w:val="single" w:color="auto" w:sz="12" w:space="0"/>
            </w:tcBorders>
            <w:vAlign w:val="center"/>
          </w:tcPr>
          <w:p w14:paraId="5B030185">
            <w:pPr>
              <w:pStyle w:val="169"/>
              <w:pageBreakBefore w:val="0"/>
              <w:tabs>
                <w:tab w:val="left" w:pos="1337"/>
              </w:tabs>
              <w:wordWrap/>
              <w:topLinePunct w:val="0"/>
              <w:bidi w:val="0"/>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合计</w:t>
            </w:r>
          </w:p>
        </w:tc>
        <w:tc>
          <w:tcPr>
            <w:tcW w:w="955" w:type="dxa"/>
            <w:tcBorders>
              <w:bottom w:val="single" w:color="auto" w:sz="12" w:space="0"/>
            </w:tcBorders>
          </w:tcPr>
          <w:p w14:paraId="45976F5D">
            <w:pPr>
              <w:pStyle w:val="169"/>
              <w:pageBreakBefore w:val="0"/>
              <w:tabs>
                <w:tab w:val="left" w:pos="1337"/>
              </w:tabs>
              <w:wordWrap/>
              <w:topLinePunct w:val="0"/>
              <w:bidi w:val="0"/>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6474" w:type="dxa"/>
            <w:gridSpan w:val="5"/>
            <w:tcBorders>
              <w:bottom w:val="single" w:color="auto" w:sz="12" w:space="0"/>
              <w:right w:val="single" w:color="auto" w:sz="12" w:space="0"/>
            </w:tcBorders>
          </w:tcPr>
          <w:p w14:paraId="76040B51">
            <w:pPr>
              <w:pStyle w:val="169"/>
              <w:pageBreakBefore w:val="0"/>
              <w:tabs>
                <w:tab w:val="left" w:pos="1337"/>
              </w:tabs>
              <w:wordWrap/>
              <w:topLinePunct w:val="0"/>
              <w:bidi w:val="0"/>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r>
    </w:tbl>
    <w:p w14:paraId="6F937044">
      <w:pPr>
        <w:pageBreakBefore w:val="0"/>
        <w:widowControl/>
        <w:wordWrap/>
        <w:topLinePunct w:val="0"/>
        <w:bidi w:val="0"/>
        <w:spacing w:line="560" w:lineRule="exact"/>
        <w:jc w:val="left"/>
        <w:rPr>
          <w:rFonts w:ascii="仿宋_GB2312" w:hAnsi="仿宋" w:eastAsia="仿宋_GB2312" w:cs="仿宋_GB2312"/>
          <w:color w:val="000000" w:themeColor="text1"/>
          <w:kern w:val="0"/>
          <w:sz w:val="24"/>
          <w:highlight w:val="none"/>
          <w:lang w:val="zh-CN"/>
          <w14:textFill>
            <w14:solidFill>
              <w14:schemeClr w14:val="tx1"/>
            </w14:solidFill>
          </w14:textFill>
        </w:rPr>
      </w:pPr>
    </w:p>
    <w:p w14:paraId="06E93880">
      <w:pPr>
        <w:pageBreakBefore w:val="0"/>
        <w:wordWrap/>
        <w:topLinePunct w:val="0"/>
        <w:bidi w:val="0"/>
        <w:snapToGrid w:val="0"/>
        <w:spacing w:line="560" w:lineRule="exact"/>
        <w:rPr>
          <w:rFonts w:ascii="仿宋_GB2312" w:hAnsi="仿宋" w:eastAsia="仿宋_GB2312" w:cs="仿宋_GB2312"/>
          <w:color w:val="000000" w:themeColor="text1"/>
          <w:kern w:val="0"/>
          <w:sz w:val="24"/>
          <w:szCs w:val="21"/>
          <w:highlight w:val="none"/>
          <w14:textFill>
            <w14:solidFill>
              <w14:schemeClr w14:val="tx1"/>
            </w14:solidFill>
          </w14:textFill>
        </w:rPr>
      </w:pPr>
    </w:p>
    <w:p w14:paraId="417AB77C">
      <w:pPr>
        <w:pageBreakBefore w:val="0"/>
        <w:wordWrap/>
        <w:topLinePunct w:val="0"/>
        <w:bidi w:val="0"/>
        <w:snapToGrid w:val="0"/>
        <w:spacing w:line="560" w:lineRule="exact"/>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t>说明： 1、</w:t>
      </w:r>
      <w:r>
        <w:rPr>
          <w:rFonts w:hint="eastAsia" w:ascii="宋体" w:hAnsi="宋体" w:cs="宋体"/>
          <w:b/>
          <w:bCs/>
          <w:color w:val="000000" w:themeColor="text1"/>
          <w:sz w:val="28"/>
          <w:szCs w:val="28"/>
          <w:highlight w:val="none"/>
          <w:lang w:eastAsia="zh-CN"/>
          <w14:textFill>
            <w14:solidFill>
              <w14:schemeClr w14:val="tx1"/>
            </w14:solidFill>
          </w14:textFill>
        </w:rPr>
        <w:t>供应商</w:t>
      </w:r>
      <w:r>
        <w:rPr>
          <w:rFonts w:hint="eastAsia" w:ascii="宋体" w:hAnsi="宋体" w:eastAsia="宋体" w:cs="宋体"/>
          <w:b/>
          <w:bCs/>
          <w:color w:val="000000" w:themeColor="text1"/>
          <w:sz w:val="28"/>
          <w:szCs w:val="28"/>
          <w:highlight w:val="none"/>
          <w14:textFill>
            <w14:solidFill>
              <w14:schemeClr w14:val="tx1"/>
            </w14:solidFill>
          </w14:textFill>
        </w:rPr>
        <w:t>必须填写分项报价表，否则将导致投标被拒绝。</w:t>
      </w:r>
    </w:p>
    <w:p w14:paraId="13547396">
      <w:pPr>
        <w:pageBreakBefore w:val="0"/>
        <w:wordWrap/>
        <w:topLinePunct w:val="0"/>
        <w:bidi w:val="0"/>
        <w:snapToGrid w:val="0"/>
        <w:spacing w:line="560" w:lineRule="exact"/>
        <w:ind w:firstLine="843" w:firstLineChars="300"/>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t xml:space="preserve"> 2、供应商可根据自身需求自行</w:t>
      </w:r>
      <w:r>
        <w:rPr>
          <w:rFonts w:hint="eastAsia" w:ascii="宋体" w:hAnsi="宋体" w:cs="宋体"/>
          <w:b/>
          <w:bCs/>
          <w:color w:val="000000" w:themeColor="text1"/>
          <w:sz w:val="28"/>
          <w:szCs w:val="28"/>
          <w:highlight w:val="none"/>
          <w:lang w:eastAsia="zh-CN"/>
          <w14:textFill>
            <w14:solidFill>
              <w14:schemeClr w14:val="tx1"/>
            </w14:solidFill>
          </w14:textFill>
        </w:rPr>
        <w:t>加</w:t>
      </w:r>
      <w:r>
        <w:rPr>
          <w:rFonts w:hint="eastAsia" w:ascii="宋体" w:hAnsi="宋体" w:eastAsia="宋体" w:cs="宋体"/>
          <w:b/>
          <w:bCs/>
          <w:color w:val="000000" w:themeColor="text1"/>
          <w:sz w:val="28"/>
          <w:szCs w:val="28"/>
          <w:highlight w:val="none"/>
          <w14:textFill>
            <w14:solidFill>
              <w14:schemeClr w14:val="tx1"/>
            </w14:solidFill>
          </w14:textFill>
        </w:rPr>
        <w:t>减行数。</w:t>
      </w:r>
    </w:p>
    <w:p w14:paraId="08A0559B">
      <w:pPr>
        <w:pageBreakBefore w:val="0"/>
        <w:wordWrap/>
        <w:topLinePunct w:val="0"/>
        <w:bidi w:val="0"/>
        <w:snapToGrid w:val="0"/>
        <w:spacing w:line="560" w:lineRule="exact"/>
        <w:rPr>
          <w:rFonts w:ascii="仿宋_GB2312" w:hAnsi="仿宋" w:eastAsia="仿宋_GB2312" w:cs="仿宋_GB2312"/>
          <w:color w:val="000000" w:themeColor="text1"/>
          <w:kern w:val="0"/>
          <w:sz w:val="24"/>
          <w:szCs w:val="21"/>
          <w:highlight w:val="none"/>
          <w14:textFill>
            <w14:solidFill>
              <w14:schemeClr w14:val="tx1"/>
            </w14:solidFill>
          </w14:textFill>
        </w:rPr>
      </w:pPr>
    </w:p>
    <w:p w14:paraId="7DCDB40F">
      <w:pPr>
        <w:pageBreakBefore w:val="0"/>
        <w:wordWrap/>
        <w:topLinePunct w:val="0"/>
        <w:bidi w:val="0"/>
        <w:snapToGrid w:val="0"/>
        <w:spacing w:line="560" w:lineRule="exact"/>
        <w:ind w:firstLine="480" w:firstLineChars="200"/>
        <w:jc w:val="center"/>
        <w:rPr>
          <w:rFonts w:ascii="仿宋_GB2312" w:hAnsi="仿宋" w:eastAsia="仿宋_GB2312" w:cs="仿宋_GB2312"/>
          <w:color w:val="000000" w:themeColor="text1"/>
          <w:kern w:val="0"/>
          <w:sz w:val="24"/>
          <w:szCs w:val="21"/>
          <w:highlight w:val="none"/>
          <w14:textFill>
            <w14:solidFill>
              <w14:schemeClr w14:val="tx1"/>
            </w14:solidFill>
          </w14:textFill>
        </w:rPr>
      </w:pPr>
    </w:p>
    <w:p w14:paraId="6B17E48E">
      <w:pPr>
        <w:pageBreakBefore w:val="0"/>
        <w:wordWrap/>
        <w:topLinePunct w:val="0"/>
        <w:bidi w:val="0"/>
        <w:snapToGrid w:val="0"/>
        <w:spacing w:line="560" w:lineRule="exact"/>
        <w:ind w:firstLine="480" w:firstLineChars="200"/>
        <w:jc w:val="center"/>
        <w:rPr>
          <w:rFonts w:ascii="仿宋_GB2312" w:hAnsi="仿宋" w:eastAsia="仿宋_GB2312" w:cs="仿宋_GB2312"/>
          <w:color w:val="000000" w:themeColor="text1"/>
          <w:kern w:val="0"/>
          <w:sz w:val="24"/>
          <w:szCs w:val="21"/>
          <w:highlight w:val="none"/>
          <w14:textFill>
            <w14:solidFill>
              <w14:schemeClr w14:val="tx1"/>
            </w14:solidFill>
          </w14:textFill>
        </w:rPr>
      </w:pPr>
    </w:p>
    <w:p w14:paraId="0ADA2F69">
      <w:pPr>
        <w:pageBreakBefore w:val="0"/>
        <w:wordWrap/>
        <w:topLinePunct w:val="0"/>
        <w:autoSpaceDE w:val="0"/>
        <w:autoSpaceDN w:val="0"/>
        <w:bidi w:val="0"/>
        <w:spacing w:line="560" w:lineRule="exact"/>
        <w:ind w:left="4375" w:leftChars="1950" w:hanging="280" w:hangingChars="100"/>
        <w:rPr>
          <w:rFonts w:cs="仿宋_GB2312" w:asciiTheme="minorEastAsia" w:hAnsiTheme="minorEastAsia" w:eastAsiaTheme="minorEastAsia"/>
          <w:color w:val="000000" w:themeColor="text1"/>
          <w:kern w:val="0"/>
          <w:sz w:val="28"/>
          <w:szCs w:val="28"/>
          <w:highlight w:val="none"/>
          <w14:textFill>
            <w14:solidFill>
              <w14:schemeClr w14:val="tx1"/>
            </w14:solidFill>
          </w14:textFill>
        </w:rPr>
      </w:pPr>
      <w:r>
        <w:rPr>
          <w:rFonts w:hint="eastAsia" w:cs="仿宋_GB2312" w:asciiTheme="minorEastAsia" w:hAnsiTheme="minorEastAsia" w:eastAsiaTheme="minorEastAsia"/>
          <w:color w:val="000000" w:themeColor="text1"/>
          <w:kern w:val="0"/>
          <w:sz w:val="28"/>
          <w:szCs w:val="28"/>
          <w:highlight w:val="none"/>
          <w14:textFill>
            <w14:solidFill>
              <w14:schemeClr w14:val="tx1"/>
            </w14:solidFill>
          </w14:textFill>
        </w:rPr>
        <w:t>供应商名称（</w:t>
      </w:r>
      <w:r>
        <w:rPr>
          <w:rFonts w:hint="eastAsia" w:cs="仿宋_GB2312" w:asciiTheme="minorEastAsia" w:hAnsiTheme="minorEastAsia" w:eastAsiaTheme="minorEastAsia"/>
          <w:color w:val="000000" w:themeColor="text1"/>
          <w:kern w:val="0"/>
          <w:sz w:val="28"/>
          <w:szCs w:val="28"/>
          <w:highlight w:val="none"/>
          <w:lang w:eastAsia="zh-CN"/>
          <w14:textFill>
            <w14:solidFill>
              <w14:schemeClr w14:val="tx1"/>
            </w14:solidFill>
          </w14:textFill>
        </w:rPr>
        <w:t>电子公章</w:t>
      </w:r>
      <w:r>
        <w:rPr>
          <w:rFonts w:hint="eastAsia" w:cs="仿宋_GB2312" w:asciiTheme="minorEastAsia" w:hAnsiTheme="minorEastAsia" w:eastAsiaTheme="minorEastAsia"/>
          <w:color w:val="000000" w:themeColor="text1"/>
          <w:kern w:val="0"/>
          <w:sz w:val="28"/>
          <w:szCs w:val="28"/>
          <w:highlight w:val="none"/>
          <w14:textFill>
            <w14:solidFill>
              <w14:schemeClr w14:val="tx1"/>
            </w14:solidFill>
          </w14:textFill>
        </w:rPr>
        <w:t>）：</w:t>
      </w:r>
    </w:p>
    <w:p w14:paraId="2772C322">
      <w:pPr>
        <w:pageBreakBefore w:val="0"/>
        <w:wordWrap/>
        <w:topLinePunct w:val="0"/>
        <w:autoSpaceDE w:val="0"/>
        <w:autoSpaceDN w:val="0"/>
        <w:bidi w:val="0"/>
        <w:spacing w:line="560" w:lineRule="exact"/>
        <w:ind w:firstLine="4200" w:firstLineChars="1500"/>
        <w:rPr>
          <w:rFonts w:hint="eastAsia" w:cs="仿宋_GB2312" w:asciiTheme="minorEastAsia" w:hAnsiTheme="minorEastAsia" w:eastAsiaTheme="minorEastAsia"/>
          <w:color w:val="000000" w:themeColor="text1"/>
          <w:kern w:val="0"/>
          <w:sz w:val="28"/>
          <w:szCs w:val="28"/>
          <w:highlight w:val="none"/>
          <w:lang w:val="zh-CN"/>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法定代表人或其委托代理人（签字</w:t>
      </w:r>
      <w:r>
        <w:rPr>
          <w:rFonts w:hint="eastAsia" w:ascii="宋体" w:hAnsi="宋体" w:cs="宋体"/>
          <w:color w:val="000000" w:themeColor="text1"/>
          <w:sz w:val="28"/>
          <w:szCs w:val="28"/>
          <w:highlight w:val="none"/>
          <w:lang w:eastAsia="zh-CN"/>
          <w14:textFill>
            <w14:solidFill>
              <w14:schemeClr w14:val="tx1"/>
            </w14:solidFill>
          </w14:textFill>
        </w:rPr>
        <w:t>或</w:t>
      </w:r>
      <w:r>
        <w:rPr>
          <w:rFonts w:hint="eastAsia" w:ascii="宋体" w:hAnsi="宋体" w:eastAsia="宋体" w:cs="宋体"/>
          <w:color w:val="000000" w:themeColor="text1"/>
          <w:sz w:val="28"/>
          <w:szCs w:val="28"/>
          <w:highlight w:val="none"/>
          <w14:textFill>
            <w14:solidFill>
              <w14:schemeClr w14:val="tx1"/>
            </w14:solidFill>
          </w14:textFill>
        </w:rPr>
        <w:t>盖章）：</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r>
        <w:rPr>
          <w:rFonts w:hint="eastAsia" w:ascii="宋体" w:hAnsi="宋体" w:cs="宋体"/>
          <w:color w:val="000000" w:themeColor="text1"/>
          <w:sz w:val="28"/>
          <w:szCs w:val="28"/>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kern w:val="0"/>
          <w:sz w:val="28"/>
          <w:szCs w:val="28"/>
          <w:highlight w:val="none"/>
          <w:u w:val="single"/>
          <w:lang w:val="en-US" w:eastAsia="zh-CN"/>
          <w14:textFill>
            <w14:solidFill>
              <w14:schemeClr w14:val="tx1"/>
            </w14:solidFill>
          </w14:textFill>
        </w:rPr>
        <w:t xml:space="preserve"> </w:t>
      </w:r>
    </w:p>
    <w:p w14:paraId="748B1B31">
      <w:pPr>
        <w:pageBreakBefore w:val="0"/>
        <w:wordWrap/>
        <w:topLinePunct w:val="0"/>
        <w:autoSpaceDE w:val="0"/>
        <w:autoSpaceDN w:val="0"/>
        <w:bidi w:val="0"/>
        <w:spacing w:line="560" w:lineRule="exact"/>
        <w:ind w:firstLine="4200" w:firstLineChars="1500"/>
        <w:rPr>
          <w:rFonts w:cs="仿宋_GB2312" w:asciiTheme="minorEastAsia" w:hAnsiTheme="minorEastAsia" w:eastAsiaTheme="minorEastAsia"/>
          <w:color w:val="000000" w:themeColor="text1"/>
          <w:kern w:val="0"/>
          <w:sz w:val="28"/>
          <w:szCs w:val="28"/>
          <w:highlight w:val="none"/>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8"/>
          <w:szCs w:val="28"/>
          <w:highlight w:val="none"/>
          <w:lang w:val="zh-CN"/>
          <w14:textFill>
            <w14:solidFill>
              <w14:schemeClr w14:val="tx1"/>
            </w14:solidFill>
          </w14:textFill>
        </w:rPr>
        <w:t>日  期</w:t>
      </w:r>
      <w:r>
        <w:rPr>
          <w:rFonts w:hint="eastAsia" w:cs="仿宋_GB2312" w:asciiTheme="minorEastAsia" w:hAnsiTheme="minorEastAsia" w:eastAsiaTheme="minorEastAsia"/>
          <w:color w:val="000000" w:themeColor="text1"/>
          <w:kern w:val="0"/>
          <w:sz w:val="28"/>
          <w:szCs w:val="28"/>
          <w:highlight w:val="none"/>
          <w14:textFill>
            <w14:solidFill>
              <w14:schemeClr w14:val="tx1"/>
            </w14:solidFill>
          </w14:textFill>
        </w:rPr>
        <w:t xml:space="preserve">：  </w:t>
      </w:r>
      <w:r>
        <w:rPr>
          <w:rFonts w:hint="eastAsia" w:cs="仿宋_GB2312" w:asciiTheme="minorEastAsia" w:hAnsiTheme="minorEastAsia" w:eastAsiaTheme="minorEastAsia"/>
          <w:color w:val="000000" w:themeColor="text1"/>
          <w:kern w:val="0"/>
          <w:sz w:val="28"/>
          <w:szCs w:val="28"/>
          <w:highlight w:val="none"/>
          <w:lang w:val="zh-CN"/>
          <w14:textFill>
            <w14:solidFill>
              <w14:schemeClr w14:val="tx1"/>
            </w14:solidFill>
          </w14:textFill>
        </w:rPr>
        <w:t>年</w:t>
      </w:r>
      <w:r>
        <w:rPr>
          <w:rFonts w:hint="eastAsia" w:cs="仿宋_GB2312" w:asciiTheme="minorEastAsia" w:hAnsiTheme="minorEastAsia" w:eastAsiaTheme="minorEastAsia"/>
          <w:color w:val="000000" w:themeColor="text1"/>
          <w:kern w:val="0"/>
          <w:sz w:val="28"/>
          <w:szCs w:val="28"/>
          <w:highlight w:val="none"/>
          <w14:textFill>
            <w14:solidFill>
              <w14:schemeClr w14:val="tx1"/>
            </w14:solidFill>
          </w14:textFill>
        </w:rPr>
        <w:t xml:space="preserve">  </w:t>
      </w:r>
      <w:r>
        <w:rPr>
          <w:rFonts w:hint="eastAsia" w:cs="仿宋_GB2312" w:asciiTheme="minorEastAsia" w:hAnsiTheme="minorEastAsia" w:eastAsiaTheme="minorEastAsia"/>
          <w:color w:val="000000" w:themeColor="text1"/>
          <w:kern w:val="0"/>
          <w:sz w:val="28"/>
          <w:szCs w:val="28"/>
          <w:highlight w:val="none"/>
          <w:lang w:val="zh-CN"/>
          <w14:textFill>
            <w14:solidFill>
              <w14:schemeClr w14:val="tx1"/>
            </w14:solidFill>
          </w14:textFill>
        </w:rPr>
        <w:t>月</w:t>
      </w:r>
      <w:r>
        <w:rPr>
          <w:rFonts w:hint="eastAsia" w:cs="仿宋_GB2312" w:asciiTheme="minorEastAsia" w:hAnsiTheme="minorEastAsia" w:eastAsiaTheme="minorEastAsia"/>
          <w:color w:val="000000" w:themeColor="text1"/>
          <w:kern w:val="0"/>
          <w:sz w:val="28"/>
          <w:szCs w:val="28"/>
          <w:highlight w:val="none"/>
          <w14:textFill>
            <w14:solidFill>
              <w14:schemeClr w14:val="tx1"/>
            </w14:solidFill>
          </w14:textFill>
        </w:rPr>
        <w:t xml:space="preserve">   </w:t>
      </w:r>
      <w:r>
        <w:rPr>
          <w:rFonts w:hint="eastAsia" w:cs="仿宋_GB2312" w:asciiTheme="minorEastAsia" w:hAnsiTheme="minorEastAsia" w:eastAsiaTheme="minorEastAsia"/>
          <w:color w:val="000000" w:themeColor="text1"/>
          <w:kern w:val="0"/>
          <w:sz w:val="28"/>
          <w:szCs w:val="28"/>
          <w:highlight w:val="none"/>
          <w:lang w:val="zh-CN"/>
          <w14:textFill>
            <w14:solidFill>
              <w14:schemeClr w14:val="tx1"/>
            </w14:solidFill>
          </w14:textFill>
        </w:rPr>
        <w:t>日</w:t>
      </w:r>
    </w:p>
    <w:p w14:paraId="3B13323E">
      <w:pPr>
        <w:pageBreakBefore w:val="0"/>
        <w:widowControl/>
        <w:wordWrap/>
        <w:topLinePunct w:val="0"/>
        <w:bidi w:val="0"/>
        <w:spacing w:line="560" w:lineRule="exact"/>
        <w:jc w:val="left"/>
        <w:rPr>
          <w:rFonts w:ascii="宋体" w:hAnsi="宋体"/>
          <w:color w:val="000000" w:themeColor="text1"/>
          <w:szCs w:val="20"/>
          <w:highlight w:val="none"/>
          <w14:textFill>
            <w14:solidFill>
              <w14:schemeClr w14:val="tx1"/>
            </w14:solidFill>
          </w14:textFill>
        </w:rPr>
      </w:pPr>
      <w:r>
        <w:rPr>
          <w:rFonts w:ascii="宋体" w:hAnsi="宋体"/>
          <w:color w:val="000000" w:themeColor="text1"/>
          <w:szCs w:val="20"/>
          <w:highlight w:val="none"/>
          <w14:textFill>
            <w14:solidFill>
              <w14:schemeClr w14:val="tx1"/>
            </w14:solidFill>
          </w14:textFill>
        </w:rPr>
        <w:br w:type="page"/>
      </w:r>
    </w:p>
    <w:p w14:paraId="6E7CF8F1">
      <w:pPr>
        <w:pStyle w:val="17"/>
        <w:pageBreakBefore w:val="0"/>
        <w:wordWrap/>
        <w:topLinePunct w:val="0"/>
        <w:bidi w:val="0"/>
        <w:spacing w:line="560" w:lineRule="exact"/>
        <w:rPr>
          <w:rFonts w:hint="eastAsia" w:eastAsiaTheme="minorEastAsia"/>
          <w:color w:val="000000" w:themeColor="text1"/>
          <w:highlight w:val="none"/>
          <w:lang w:eastAsia="zh-CN"/>
          <w14:textFill>
            <w14:solidFill>
              <w14:schemeClr w14:val="tx1"/>
            </w14:solidFill>
          </w14:textFill>
        </w:rPr>
      </w:pPr>
      <w:r>
        <w:rPr>
          <w:rFonts w:hint="eastAsia"/>
          <w:color w:val="000000" w:themeColor="text1"/>
          <w:highlight w:val="none"/>
          <w14:textFill>
            <w14:solidFill>
              <w14:schemeClr w14:val="tx1"/>
            </w14:solidFill>
          </w14:textFill>
        </w:rPr>
        <w:t>四</w:t>
      </w:r>
      <w:r>
        <w:rPr>
          <w:color w:val="000000" w:themeColor="text1"/>
          <w:highlight w:val="none"/>
          <w14:textFill>
            <w14:solidFill>
              <w14:schemeClr w14:val="tx1"/>
            </w14:solidFill>
          </w14:textFill>
        </w:rPr>
        <w:t>、中小企业声明函</w:t>
      </w:r>
      <w:r>
        <w:rPr>
          <w:rFonts w:hint="eastAsia"/>
          <w:color w:val="000000" w:themeColor="text1"/>
          <w:highlight w:val="none"/>
          <w:lang w:eastAsia="zh-CN"/>
          <w14:textFill>
            <w14:solidFill>
              <w14:schemeClr w14:val="tx1"/>
            </w14:solidFill>
          </w14:textFill>
        </w:rPr>
        <w:t>（如有）</w:t>
      </w:r>
    </w:p>
    <w:p w14:paraId="662476F4">
      <w:pPr>
        <w:pStyle w:val="13"/>
        <w:pageBreakBefore w:val="0"/>
        <w:wordWrap/>
        <w:topLinePunct w:val="0"/>
        <w:bidi w:val="0"/>
        <w:adjustRightInd w:val="0"/>
        <w:snapToGrid w:val="0"/>
        <w:spacing w:line="560" w:lineRule="exact"/>
        <w:ind w:left="-426" w:leftChars="-203" w:right="142" w:firstLine="560" w:firstLineChars="200"/>
        <w:rPr>
          <w:rFonts w:asciiTheme="minorEastAsia" w:hAnsiTheme="minorEastAsia" w:eastAsiaTheme="minorEastAsia"/>
          <w:color w:val="000000" w:themeColor="text1"/>
          <w:kern w:val="24"/>
          <w:sz w:val="28"/>
          <w:szCs w:val="28"/>
          <w:highlight w:val="none"/>
          <w14:textFill>
            <w14:solidFill>
              <w14:schemeClr w14:val="tx1"/>
            </w14:solidFill>
          </w14:textFill>
        </w:rPr>
      </w:pPr>
      <w:r>
        <w:rPr>
          <w:rFonts w:hint="eastAsia" w:asciiTheme="minorEastAsia" w:hAnsiTheme="minorEastAsia" w:eastAsiaTheme="minorEastAsia"/>
          <w:color w:val="000000" w:themeColor="text1"/>
          <w:kern w:val="24"/>
          <w:sz w:val="28"/>
          <w:szCs w:val="28"/>
          <w:highlight w:val="none"/>
          <w14:textFill>
            <w14:solidFill>
              <w14:schemeClr w14:val="tx1"/>
            </w14:solidFill>
          </w14:textFill>
        </w:rPr>
        <w:t>本公司（联合体）郑重声明，根据《政府采购促进中小企业发展管理办法》（财库﹝2020﹞46号）的规定，本公司（联合体）参加</w:t>
      </w:r>
      <w:r>
        <w:rPr>
          <w:rFonts w:hint="eastAsia" w:asciiTheme="minorEastAsia" w:hAnsiTheme="minorEastAsia" w:eastAsiaTheme="minorEastAsia"/>
          <w:color w:val="000000" w:themeColor="text1"/>
          <w:kern w:val="24"/>
          <w:sz w:val="28"/>
          <w:szCs w:val="28"/>
          <w:highlight w:val="none"/>
          <w:u w:val="single"/>
          <w14:textFill>
            <w14:solidFill>
              <w14:schemeClr w14:val="tx1"/>
            </w14:solidFill>
          </w14:textFill>
        </w:rPr>
        <w:t xml:space="preserve">           （单位名称）的           （项目名称）     </w:t>
      </w:r>
      <w:r>
        <w:rPr>
          <w:rFonts w:hint="eastAsia" w:asciiTheme="minorEastAsia" w:hAnsiTheme="minorEastAsia" w:eastAsiaTheme="minorEastAsia"/>
          <w:color w:val="000000" w:themeColor="text1"/>
          <w:kern w:val="24"/>
          <w:sz w:val="28"/>
          <w:szCs w:val="28"/>
          <w:highlight w:val="none"/>
          <w14:textFill>
            <w14:solidFill>
              <w14:schemeClr w14:val="tx1"/>
            </w14:solidFill>
          </w14:textFill>
        </w:rPr>
        <w:t>采购活动，提供的货物全部由符合政策要求的中小企业制造。相关企业（含联合体中的中小企业、签订分包意向协议的中小企业）的具体情况如下：</w:t>
      </w:r>
    </w:p>
    <w:p w14:paraId="44BFED6E">
      <w:pPr>
        <w:pageBreakBefore w:val="0"/>
        <w:tabs>
          <w:tab w:val="left" w:pos="1384"/>
          <w:tab w:val="left" w:pos="4562"/>
          <w:tab w:val="left" w:pos="6803"/>
        </w:tabs>
        <w:wordWrap/>
        <w:topLinePunct w:val="0"/>
        <w:bidi w:val="0"/>
        <w:adjustRightInd w:val="0"/>
        <w:snapToGrid w:val="0"/>
        <w:spacing w:line="560" w:lineRule="exact"/>
        <w:ind w:left="-426" w:right="-58" w:firstLine="655"/>
        <w:rPr>
          <w:rFonts w:asciiTheme="minorEastAsia" w:hAnsiTheme="minorEastAsia" w:eastAsiaTheme="minorEastAsia"/>
          <w:color w:val="000000" w:themeColor="text1"/>
          <w:kern w:val="24"/>
          <w:sz w:val="28"/>
          <w:szCs w:val="28"/>
          <w:highlight w:val="none"/>
          <w14:textFill>
            <w14:solidFill>
              <w14:schemeClr w14:val="tx1"/>
            </w14:solidFill>
          </w14:textFill>
        </w:rPr>
      </w:pPr>
      <w:r>
        <w:rPr>
          <w:rFonts w:hint="eastAsia" w:asciiTheme="minorEastAsia" w:hAnsiTheme="minorEastAsia" w:eastAsiaTheme="minorEastAsia"/>
          <w:color w:val="000000" w:themeColor="text1"/>
          <w:kern w:val="24"/>
          <w:sz w:val="28"/>
          <w:szCs w:val="28"/>
          <w:highlight w:val="none"/>
          <w14:textFill>
            <w14:solidFill>
              <w14:schemeClr w14:val="tx1"/>
            </w14:solidFill>
          </w14:textFill>
        </w:rPr>
        <w:t>1.</w:t>
      </w:r>
      <w:r>
        <w:rPr>
          <w:rFonts w:hint="eastAsia" w:asciiTheme="minorEastAsia" w:hAnsiTheme="minorEastAsia" w:eastAsiaTheme="minorEastAsia"/>
          <w:color w:val="000000" w:themeColor="text1"/>
          <w:kern w:val="24"/>
          <w:sz w:val="28"/>
          <w:szCs w:val="28"/>
          <w:highlight w:val="none"/>
          <w:u w:val="single"/>
          <w14:textFill>
            <w14:solidFill>
              <w14:schemeClr w14:val="tx1"/>
            </w14:solidFill>
          </w14:textFill>
        </w:rPr>
        <w:t xml:space="preserve">     （标的名称）</w:t>
      </w:r>
      <w:r>
        <w:rPr>
          <w:rFonts w:hint="eastAsia" w:asciiTheme="minorEastAsia" w:hAnsiTheme="minorEastAsia" w:eastAsiaTheme="minorEastAsia"/>
          <w:color w:val="000000" w:themeColor="text1"/>
          <w:kern w:val="24"/>
          <w:sz w:val="28"/>
          <w:szCs w:val="28"/>
          <w:highlight w:val="none"/>
          <w14:textFill>
            <w14:solidFill>
              <w14:schemeClr w14:val="tx1"/>
            </w14:solidFill>
          </w14:textFill>
        </w:rPr>
        <w:t>，属于</w:t>
      </w:r>
      <w:r>
        <w:rPr>
          <w:rFonts w:hint="eastAsia" w:asciiTheme="minorEastAsia" w:hAnsiTheme="minorEastAsia" w:eastAsiaTheme="minorEastAsia"/>
          <w:color w:val="000000" w:themeColor="text1"/>
          <w:kern w:val="24"/>
          <w:sz w:val="28"/>
          <w:szCs w:val="28"/>
          <w:highlight w:val="none"/>
          <w:u w:val="single"/>
          <w14:textFill>
            <w14:solidFill>
              <w14:schemeClr w14:val="tx1"/>
            </w14:solidFill>
          </w14:textFill>
        </w:rPr>
        <w:t>（采购文件所属行业）</w:t>
      </w:r>
      <w:r>
        <w:rPr>
          <w:rFonts w:hint="eastAsia" w:asciiTheme="minorEastAsia" w:hAnsiTheme="minorEastAsia" w:eastAsiaTheme="minorEastAsia"/>
          <w:color w:val="000000" w:themeColor="text1"/>
          <w:kern w:val="24"/>
          <w:sz w:val="28"/>
          <w:szCs w:val="28"/>
          <w:highlight w:val="none"/>
          <w14:textFill>
            <w14:solidFill>
              <w14:schemeClr w14:val="tx1"/>
            </w14:solidFill>
          </w14:textFill>
        </w:rPr>
        <w:t>行业；制造商为</w:t>
      </w:r>
      <w:r>
        <w:rPr>
          <w:rFonts w:hint="eastAsia" w:asciiTheme="minorEastAsia" w:hAnsiTheme="minorEastAsia" w:eastAsiaTheme="minorEastAsia"/>
          <w:color w:val="000000" w:themeColor="text1"/>
          <w:kern w:val="24"/>
          <w:sz w:val="28"/>
          <w:szCs w:val="28"/>
          <w:highlight w:val="none"/>
          <w:u w:val="single"/>
          <w14:textFill>
            <w14:solidFill>
              <w14:schemeClr w14:val="tx1"/>
            </w14:solidFill>
          </w14:textFill>
        </w:rPr>
        <w:t xml:space="preserve">          （企业名称）</w:t>
      </w:r>
      <w:r>
        <w:rPr>
          <w:rFonts w:hint="eastAsia" w:asciiTheme="minorEastAsia" w:hAnsiTheme="minorEastAsia" w:eastAsiaTheme="minorEastAsia"/>
          <w:color w:val="000000" w:themeColor="text1"/>
          <w:kern w:val="24"/>
          <w:sz w:val="28"/>
          <w:szCs w:val="28"/>
          <w:highlight w:val="none"/>
          <w14:textFill>
            <w14:solidFill>
              <w14:schemeClr w14:val="tx1"/>
            </w14:solidFill>
          </w14:textFill>
        </w:rPr>
        <w:t>，从业人员</w:t>
      </w:r>
      <w:r>
        <w:rPr>
          <w:rFonts w:hint="eastAsia" w:asciiTheme="minorEastAsia" w:hAnsiTheme="minorEastAsia" w:eastAsiaTheme="minorEastAsia"/>
          <w:color w:val="000000" w:themeColor="text1"/>
          <w:kern w:val="24"/>
          <w:sz w:val="28"/>
          <w:szCs w:val="28"/>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kern w:val="24"/>
          <w:sz w:val="28"/>
          <w:szCs w:val="28"/>
          <w:highlight w:val="none"/>
          <w14:textFill>
            <w14:solidFill>
              <w14:schemeClr w14:val="tx1"/>
            </w14:solidFill>
          </w14:textFill>
        </w:rPr>
        <w:t>人，营业收入为</w:t>
      </w:r>
      <w:r>
        <w:rPr>
          <w:rFonts w:hint="eastAsia" w:asciiTheme="minorEastAsia" w:hAnsiTheme="minorEastAsia" w:eastAsiaTheme="minorEastAsia"/>
          <w:color w:val="000000" w:themeColor="text1"/>
          <w:kern w:val="24"/>
          <w:sz w:val="28"/>
          <w:szCs w:val="28"/>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kern w:val="24"/>
          <w:sz w:val="28"/>
          <w:szCs w:val="28"/>
          <w:highlight w:val="none"/>
          <w14:textFill>
            <w14:solidFill>
              <w14:schemeClr w14:val="tx1"/>
            </w14:solidFill>
          </w14:textFill>
        </w:rPr>
        <w:t>万元，资产总额为</w:t>
      </w:r>
      <w:r>
        <w:rPr>
          <w:rFonts w:hint="eastAsia" w:asciiTheme="minorEastAsia" w:hAnsiTheme="minorEastAsia" w:eastAsiaTheme="minorEastAsia"/>
          <w:color w:val="000000" w:themeColor="text1"/>
          <w:kern w:val="24"/>
          <w:sz w:val="28"/>
          <w:szCs w:val="28"/>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kern w:val="24"/>
          <w:sz w:val="28"/>
          <w:szCs w:val="28"/>
          <w:highlight w:val="none"/>
          <w14:textFill>
            <w14:solidFill>
              <w14:schemeClr w14:val="tx1"/>
            </w14:solidFill>
          </w14:textFill>
        </w:rPr>
        <w:t>万元，属于</w:t>
      </w:r>
      <w:r>
        <w:rPr>
          <w:rFonts w:hint="eastAsia" w:asciiTheme="minorEastAsia" w:hAnsiTheme="minorEastAsia" w:eastAsiaTheme="minorEastAsia"/>
          <w:color w:val="000000" w:themeColor="text1"/>
          <w:kern w:val="24"/>
          <w:sz w:val="28"/>
          <w:szCs w:val="28"/>
          <w:highlight w:val="none"/>
          <w:u w:val="single"/>
          <w14:textFill>
            <w14:solidFill>
              <w14:schemeClr w14:val="tx1"/>
            </w14:solidFill>
          </w14:textFill>
        </w:rPr>
        <w:t xml:space="preserve">     （中型企业、小型企业、微型企业）</w:t>
      </w:r>
      <w:r>
        <w:rPr>
          <w:rFonts w:hint="eastAsia" w:asciiTheme="minorEastAsia" w:hAnsiTheme="minorEastAsia" w:eastAsiaTheme="minorEastAsia"/>
          <w:color w:val="000000" w:themeColor="text1"/>
          <w:kern w:val="24"/>
          <w:sz w:val="28"/>
          <w:szCs w:val="28"/>
          <w:highlight w:val="none"/>
          <w14:textFill>
            <w14:solidFill>
              <w14:schemeClr w14:val="tx1"/>
            </w14:solidFill>
          </w14:textFill>
        </w:rPr>
        <w:t>；</w:t>
      </w:r>
    </w:p>
    <w:p w14:paraId="28B00B51">
      <w:pPr>
        <w:pageBreakBefore w:val="0"/>
        <w:tabs>
          <w:tab w:val="left" w:pos="1384"/>
          <w:tab w:val="left" w:pos="4562"/>
          <w:tab w:val="left" w:pos="6803"/>
        </w:tabs>
        <w:wordWrap/>
        <w:topLinePunct w:val="0"/>
        <w:bidi w:val="0"/>
        <w:adjustRightInd w:val="0"/>
        <w:snapToGrid w:val="0"/>
        <w:spacing w:line="560" w:lineRule="exact"/>
        <w:ind w:left="-426" w:right="-58" w:firstLine="655"/>
        <w:rPr>
          <w:rFonts w:asciiTheme="minorEastAsia" w:hAnsiTheme="minorEastAsia" w:eastAsiaTheme="minorEastAsia"/>
          <w:color w:val="000000" w:themeColor="text1"/>
          <w:kern w:val="24"/>
          <w:sz w:val="28"/>
          <w:szCs w:val="28"/>
          <w:highlight w:val="none"/>
          <w14:textFill>
            <w14:solidFill>
              <w14:schemeClr w14:val="tx1"/>
            </w14:solidFill>
          </w14:textFill>
        </w:rPr>
      </w:pPr>
      <w:r>
        <w:rPr>
          <w:rFonts w:hint="eastAsia" w:asciiTheme="minorEastAsia" w:hAnsiTheme="minorEastAsia" w:eastAsiaTheme="minorEastAsia"/>
          <w:color w:val="000000" w:themeColor="text1"/>
          <w:kern w:val="24"/>
          <w:sz w:val="28"/>
          <w:szCs w:val="28"/>
          <w:highlight w:val="none"/>
          <w14:textFill>
            <w14:solidFill>
              <w14:schemeClr w14:val="tx1"/>
            </w14:solidFill>
          </w14:textFill>
        </w:rPr>
        <w:t>2.</w:t>
      </w:r>
      <w:r>
        <w:rPr>
          <w:rFonts w:hint="eastAsia" w:asciiTheme="minorEastAsia" w:hAnsiTheme="minorEastAsia" w:eastAsiaTheme="minorEastAsia"/>
          <w:color w:val="000000" w:themeColor="text1"/>
          <w:kern w:val="24"/>
          <w:sz w:val="28"/>
          <w:szCs w:val="28"/>
          <w:highlight w:val="none"/>
          <w:u w:val="single"/>
          <w14:textFill>
            <w14:solidFill>
              <w14:schemeClr w14:val="tx1"/>
            </w14:solidFill>
          </w14:textFill>
        </w:rPr>
        <w:t xml:space="preserve">     （标的名称）</w:t>
      </w:r>
      <w:r>
        <w:rPr>
          <w:rFonts w:hint="eastAsia" w:asciiTheme="minorEastAsia" w:hAnsiTheme="minorEastAsia" w:eastAsiaTheme="minorEastAsia"/>
          <w:color w:val="000000" w:themeColor="text1"/>
          <w:kern w:val="24"/>
          <w:sz w:val="28"/>
          <w:szCs w:val="28"/>
          <w:highlight w:val="none"/>
          <w14:textFill>
            <w14:solidFill>
              <w14:schemeClr w14:val="tx1"/>
            </w14:solidFill>
          </w14:textFill>
        </w:rPr>
        <w:t>，属于</w:t>
      </w:r>
      <w:r>
        <w:rPr>
          <w:rFonts w:hint="eastAsia" w:asciiTheme="minorEastAsia" w:hAnsiTheme="minorEastAsia" w:eastAsiaTheme="minorEastAsia"/>
          <w:color w:val="000000" w:themeColor="text1"/>
          <w:kern w:val="24"/>
          <w:sz w:val="28"/>
          <w:szCs w:val="28"/>
          <w:highlight w:val="none"/>
          <w:u w:val="single"/>
          <w14:textFill>
            <w14:solidFill>
              <w14:schemeClr w14:val="tx1"/>
            </w14:solidFill>
          </w14:textFill>
        </w:rPr>
        <w:t>（采购文件所属行业）</w:t>
      </w:r>
      <w:r>
        <w:rPr>
          <w:rFonts w:hint="eastAsia" w:asciiTheme="minorEastAsia" w:hAnsiTheme="minorEastAsia" w:eastAsiaTheme="minorEastAsia"/>
          <w:color w:val="000000" w:themeColor="text1"/>
          <w:kern w:val="24"/>
          <w:sz w:val="28"/>
          <w:szCs w:val="28"/>
          <w:highlight w:val="none"/>
          <w14:textFill>
            <w14:solidFill>
              <w14:schemeClr w14:val="tx1"/>
            </w14:solidFill>
          </w14:textFill>
        </w:rPr>
        <w:t>行业；制造商为</w:t>
      </w:r>
      <w:r>
        <w:rPr>
          <w:rFonts w:hint="eastAsia" w:asciiTheme="minorEastAsia" w:hAnsiTheme="minorEastAsia" w:eastAsiaTheme="minorEastAsia"/>
          <w:color w:val="000000" w:themeColor="text1"/>
          <w:kern w:val="24"/>
          <w:sz w:val="28"/>
          <w:szCs w:val="28"/>
          <w:highlight w:val="none"/>
          <w:u w:val="single"/>
          <w14:textFill>
            <w14:solidFill>
              <w14:schemeClr w14:val="tx1"/>
            </w14:solidFill>
          </w14:textFill>
        </w:rPr>
        <w:t xml:space="preserve">          （企业名称）</w:t>
      </w:r>
      <w:r>
        <w:rPr>
          <w:rFonts w:hint="eastAsia" w:asciiTheme="minorEastAsia" w:hAnsiTheme="minorEastAsia" w:eastAsiaTheme="minorEastAsia"/>
          <w:color w:val="000000" w:themeColor="text1"/>
          <w:kern w:val="24"/>
          <w:sz w:val="28"/>
          <w:szCs w:val="28"/>
          <w:highlight w:val="none"/>
          <w14:textFill>
            <w14:solidFill>
              <w14:schemeClr w14:val="tx1"/>
            </w14:solidFill>
          </w14:textFill>
        </w:rPr>
        <w:t>，从业人员</w:t>
      </w:r>
      <w:r>
        <w:rPr>
          <w:rFonts w:hint="eastAsia" w:asciiTheme="minorEastAsia" w:hAnsiTheme="minorEastAsia" w:eastAsiaTheme="minorEastAsia"/>
          <w:color w:val="000000" w:themeColor="text1"/>
          <w:kern w:val="24"/>
          <w:sz w:val="28"/>
          <w:szCs w:val="28"/>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kern w:val="24"/>
          <w:sz w:val="28"/>
          <w:szCs w:val="28"/>
          <w:highlight w:val="none"/>
          <w14:textFill>
            <w14:solidFill>
              <w14:schemeClr w14:val="tx1"/>
            </w14:solidFill>
          </w14:textFill>
        </w:rPr>
        <w:t>人，营业收入为</w:t>
      </w:r>
      <w:r>
        <w:rPr>
          <w:rFonts w:hint="eastAsia" w:asciiTheme="minorEastAsia" w:hAnsiTheme="minorEastAsia" w:eastAsiaTheme="minorEastAsia"/>
          <w:color w:val="000000" w:themeColor="text1"/>
          <w:kern w:val="24"/>
          <w:sz w:val="28"/>
          <w:szCs w:val="28"/>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kern w:val="24"/>
          <w:sz w:val="28"/>
          <w:szCs w:val="28"/>
          <w:highlight w:val="none"/>
          <w14:textFill>
            <w14:solidFill>
              <w14:schemeClr w14:val="tx1"/>
            </w14:solidFill>
          </w14:textFill>
        </w:rPr>
        <w:t>万元，资产总额为</w:t>
      </w:r>
      <w:r>
        <w:rPr>
          <w:rFonts w:hint="eastAsia" w:asciiTheme="minorEastAsia" w:hAnsiTheme="minorEastAsia" w:eastAsiaTheme="minorEastAsia"/>
          <w:color w:val="000000" w:themeColor="text1"/>
          <w:kern w:val="24"/>
          <w:sz w:val="28"/>
          <w:szCs w:val="28"/>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kern w:val="24"/>
          <w:sz w:val="28"/>
          <w:szCs w:val="28"/>
          <w:highlight w:val="none"/>
          <w14:textFill>
            <w14:solidFill>
              <w14:schemeClr w14:val="tx1"/>
            </w14:solidFill>
          </w14:textFill>
        </w:rPr>
        <w:t>万元，属于</w:t>
      </w:r>
      <w:r>
        <w:rPr>
          <w:rFonts w:hint="eastAsia" w:asciiTheme="minorEastAsia" w:hAnsiTheme="minorEastAsia" w:eastAsiaTheme="minorEastAsia"/>
          <w:color w:val="000000" w:themeColor="text1"/>
          <w:kern w:val="24"/>
          <w:sz w:val="28"/>
          <w:szCs w:val="28"/>
          <w:highlight w:val="none"/>
          <w:u w:val="single"/>
          <w14:textFill>
            <w14:solidFill>
              <w14:schemeClr w14:val="tx1"/>
            </w14:solidFill>
          </w14:textFill>
        </w:rPr>
        <w:t xml:space="preserve">     （中型企业、小型企业、微型企业）</w:t>
      </w:r>
      <w:r>
        <w:rPr>
          <w:rFonts w:hint="eastAsia" w:asciiTheme="minorEastAsia" w:hAnsiTheme="minorEastAsia" w:eastAsiaTheme="minorEastAsia"/>
          <w:color w:val="000000" w:themeColor="text1"/>
          <w:kern w:val="24"/>
          <w:sz w:val="28"/>
          <w:szCs w:val="28"/>
          <w:highlight w:val="none"/>
          <w14:textFill>
            <w14:solidFill>
              <w14:schemeClr w14:val="tx1"/>
            </w14:solidFill>
          </w14:textFill>
        </w:rPr>
        <w:t>；</w:t>
      </w:r>
    </w:p>
    <w:p w14:paraId="0A886438">
      <w:pPr>
        <w:pStyle w:val="13"/>
        <w:pageBreakBefore w:val="0"/>
        <w:wordWrap/>
        <w:topLinePunct w:val="0"/>
        <w:bidi w:val="0"/>
        <w:adjustRightInd w:val="0"/>
        <w:snapToGrid w:val="0"/>
        <w:spacing w:line="560" w:lineRule="exact"/>
        <w:ind w:left="142" w:right="142"/>
        <w:rPr>
          <w:rFonts w:asciiTheme="minorEastAsia" w:hAnsiTheme="minorEastAsia" w:eastAsiaTheme="minorEastAsia"/>
          <w:color w:val="000000" w:themeColor="text1"/>
          <w:kern w:val="24"/>
          <w:sz w:val="28"/>
          <w:szCs w:val="28"/>
          <w:highlight w:val="none"/>
          <w14:textFill>
            <w14:solidFill>
              <w14:schemeClr w14:val="tx1"/>
            </w14:solidFill>
          </w14:textFill>
        </w:rPr>
      </w:pPr>
      <w:r>
        <w:rPr>
          <w:rFonts w:hint="eastAsia" w:asciiTheme="minorEastAsia" w:hAnsiTheme="minorEastAsia" w:eastAsiaTheme="minorEastAsia"/>
          <w:color w:val="000000" w:themeColor="text1"/>
          <w:kern w:val="24"/>
          <w:sz w:val="28"/>
          <w:szCs w:val="28"/>
          <w:highlight w:val="none"/>
          <w14:textFill>
            <w14:solidFill>
              <w14:schemeClr w14:val="tx1"/>
            </w14:solidFill>
          </w14:textFill>
        </w:rPr>
        <w:t xml:space="preserve">…… </w:t>
      </w:r>
    </w:p>
    <w:p w14:paraId="3973A4DC">
      <w:pPr>
        <w:pStyle w:val="13"/>
        <w:pageBreakBefore w:val="0"/>
        <w:wordWrap/>
        <w:topLinePunct w:val="0"/>
        <w:bidi w:val="0"/>
        <w:adjustRightInd w:val="0"/>
        <w:snapToGrid w:val="0"/>
        <w:spacing w:line="560" w:lineRule="exact"/>
        <w:ind w:left="-405" w:leftChars="-193" w:right="142" w:firstLine="529" w:firstLineChars="189"/>
        <w:rPr>
          <w:rFonts w:asciiTheme="minorEastAsia" w:hAnsiTheme="minorEastAsia" w:eastAsiaTheme="minorEastAsia"/>
          <w:color w:val="000000" w:themeColor="text1"/>
          <w:kern w:val="24"/>
          <w:sz w:val="28"/>
          <w:szCs w:val="28"/>
          <w:highlight w:val="none"/>
          <w14:textFill>
            <w14:solidFill>
              <w14:schemeClr w14:val="tx1"/>
            </w14:solidFill>
          </w14:textFill>
        </w:rPr>
      </w:pPr>
      <w:r>
        <w:rPr>
          <w:rFonts w:hint="eastAsia" w:asciiTheme="minorEastAsia" w:hAnsiTheme="minorEastAsia" w:eastAsiaTheme="minorEastAsia"/>
          <w:color w:val="000000" w:themeColor="text1"/>
          <w:kern w:val="24"/>
          <w:sz w:val="28"/>
          <w:szCs w:val="28"/>
          <w:highlight w:val="none"/>
          <w14:textFill>
            <w14:solidFill>
              <w14:schemeClr w14:val="tx1"/>
            </w14:solidFill>
          </w14:textFill>
        </w:rPr>
        <w:t>以上企业，不属于大企业的分支机构，不存在控股股东为大企业的情形，也不存在与大企业的负责人为同一人的情形。</w:t>
      </w:r>
    </w:p>
    <w:p w14:paraId="4615B338">
      <w:pPr>
        <w:pStyle w:val="13"/>
        <w:pageBreakBefore w:val="0"/>
        <w:wordWrap/>
        <w:topLinePunct w:val="0"/>
        <w:bidi w:val="0"/>
        <w:adjustRightInd w:val="0"/>
        <w:snapToGrid w:val="0"/>
        <w:spacing w:line="560" w:lineRule="exact"/>
        <w:ind w:left="-426" w:right="142" w:firstLine="567"/>
        <w:rPr>
          <w:rFonts w:asciiTheme="minorEastAsia" w:hAnsiTheme="minorEastAsia" w:eastAsiaTheme="minorEastAsia"/>
          <w:color w:val="000000" w:themeColor="text1"/>
          <w:kern w:val="24"/>
          <w:sz w:val="28"/>
          <w:szCs w:val="28"/>
          <w:highlight w:val="none"/>
          <w14:textFill>
            <w14:solidFill>
              <w14:schemeClr w14:val="tx1"/>
            </w14:solidFill>
          </w14:textFill>
        </w:rPr>
      </w:pPr>
      <w:r>
        <w:rPr>
          <w:rFonts w:hint="eastAsia" w:asciiTheme="minorEastAsia" w:hAnsiTheme="minorEastAsia" w:eastAsiaTheme="minorEastAsia"/>
          <w:color w:val="000000" w:themeColor="text1"/>
          <w:kern w:val="24"/>
          <w:sz w:val="28"/>
          <w:szCs w:val="28"/>
          <w:highlight w:val="none"/>
          <w14:textFill>
            <w14:solidFill>
              <w14:schemeClr w14:val="tx1"/>
            </w14:solidFill>
          </w14:textFill>
        </w:rPr>
        <w:t>本企业对上述声明内容的真实性负责。如有虚假，将依法承担相应责任。</w:t>
      </w:r>
    </w:p>
    <w:p w14:paraId="1B34E24F">
      <w:pPr>
        <w:pageBreakBefore w:val="0"/>
        <w:wordWrap/>
        <w:topLinePunct w:val="0"/>
        <w:autoSpaceDE w:val="0"/>
        <w:autoSpaceDN w:val="0"/>
        <w:bidi w:val="0"/>
        <w:adjustRightInd w:val="0"/>
        <w:snapToGrid w:val="0"/>
        <w:spacing w:line="560" w:lineRule="exact"/>
        <w:rPr>
          <w:rFonts w:cs="仿宋_GB2312" w:asciiTheme="minorEastAsia" w:hAnsiTheme="minorEastAsia" w:eastAsiaTheme="minorEastAsia"/>
          <w:color w:val="000000" w:themeColor="text1"/>
          <w:kern w:val="0"/>
          <w:sz w:val="28"/>
          <w:szCs w:val="28"/>
          <w:highlight w:val="none"/>
          <w14:textFill>
            <w14:solidFill>
              <w14:schemeClr w14:val="tx1"/>
            </w14:solidFill>
          </w14:textFill>
        </w:rPr>
      </w:pPr>
    </w:p>
    <w:p w14:paraId="6FA2E97B">
      <w:pPr>
        <w:pageBreakBefore w:val="0"/>
        <w:wordWrap/>
        <w:topLinePunct w:val="0"/>
        <w:autoSpaceDE w:val="0"/>
        <w:autoSpaceDN w:val="0"/>
        <w:bidi w:val="0"/>
        <w:adjustRightInd w:val="0"/>
        <w:snapToGrid w:val="0"/>
        <w:spacing w:line="560" w:lineRule="exact"/>
        <w:ind w:left="4375" w:leftChars="1950" w:hanging="280" w:hangingChars="100"/>
        <w:rPr>
          <w:rFonts w:cs="仿宋_GB2312" w:asciiTheme="minorEastAsia" w:hAnsiTheme="minorEastAsia" w:eastAsiaTheme="minorEastAsia"/>
          <w:color w:val="000000" w:themeColor="text1"/>
          <w:kern w:val="0"/>
          <w:sz w:val="28"/>
          <w:szCs w:val="28"/>
          <w:highlight w:val="none"/>
          <w14:textFill>
            <w14:solidFill>
              <w14:schemeClr w14:val="tx1"/>
            </w14:solidFill>
          </w14:textFill>
        </w:rPr>
      </w:pPr>
      <w:r>
        <w:rPr>
          <w:rFonts w:hint="eastAsia" w:cs="仿宋_GB2312" w:asciiTheme="minorEastAsia" w:hAnsiTheme="minorEastAsia" w:eastAsiaTheme="minorEastAsia"/>
          <w:color w:val="000000" w:themeColor="text1"/>
          <w:kern w:val="0"/>
          <w:sz w:val="28"/>
          <w:szCs w:val="28"/>
          <w:highlight w:val="none"/>
          <w:lang w:eastAsia="zh-CN"/>
          <w14:textFill>
            <w14:solidFill>
              <w14:schemeClr w14:val="tx1"/>
            </w14:solidFill>
          </w14:textFill>
        </w:rPr>
        <w:t>企业</w:t>
      </w:r>
      <w:r>
        <w:rPr>
          <w:rFonts w:hint="eastAsia" w:cs="仿宋_GB2312" w:asciiTheme="minorEastAsia" w:hAnsiTheme="minorEastAsia" w:eastAsiaTheme="minorEastAsia"/>
          <w:color w:val="000000" w:themeColor="text1"/>
          <w:kern w:val="0"/>
          <w:sz w:val="28"/>
          <w:szCs w:val="28"/>
          <w:highlight w:val="none"/>
          <w14:textFill>
            <w14:solidFill>
              <w14:schemeClr w14:val="tx1"/>
            </w14:solidFill>
          </w14:textFill>
        </w:rPr>
        <w:t>名称（</w:t>
      </w:r>
      <w:r>
        <w:rPr>
          <w:rFonts w:hint="eastAsia" w:cs="仿宋_GB2312" w:asciiTheme="minorEastAsia" w:hAnsiTheme="minorEastAsia" w:eastAsiaTheme="minorEastAsia"/>
          <w:color w:val="000000" w:themeColor="text1"/>
          <w:kern w:val="0"/>
          <w:sz w:val="28"/>
          <w:szCs w:val="28"/>
          <w:highlight w:val="none"/>
          <w:lang w:eastAsia="zh-CN"/>
          <w14:textFill>
            <w14:solidFill>
              <w14:schemeClr w14:val="tx1"/>
            </w14:solidFill>
          </w14:textFill>
        </w:rPr>
        <w:t>电子公章</w:t>
      </w:r>
      <w:r>
        <w:rPr>
          <w:rFonts w:hint="eastAsia" w:cs="仿宋_GB2312" w:asciiTheme="minorEastAsia" w:hAnsiTheme="minorEastAsia" w:eastAsiaTheme="minorEastAsia"/>
          <w:color w:val="000000" w:themeColor="text1"/>
          <w:kern w:val="0"/>
          <w:sz w:val="28"/>
          <w:szCs w:val="28"/>
          <w:highlight w:val="none"/>
          <w14:textFill>
            <w14:solidFill>
              <w14:schemeClr w14:val="tx1"/>
            </w14:solidFill>
          </w14:textFill>
        </w:rPr>
        <w:t>）：</w:t>
      </w:r>
    </w:p>
    <w:p w14:paraId="30472925">
      <w:pPr>
        <w:pageBreakBefore w:val="0"/>
        <w:wordWrap/>
        <w:topLinePunct w:val="0"/>
        <w:autoSpaceDE w:val="0"/>
        <w:autoSpaceDN w:val="0"/>
        <w:bidi w:val="0"/>
        <w:adjustRightInd w:val="0"/>
        <w:snapToGrid w:val="0"/>
        <w:spacing w:line="560" w:lineRule="exact"/>
        <w:ind w:firstLine="4200" w:firstLineChars="1500"/>
        <w:rPr>
          <w:color w:val="000000" w:themeColor="text1"/>
          <w:highlight w:val="none"/>
          <w14:textFill>
            <w14:solidFill>
              <w14:schemeClr w14:val="tx1"/>
            </w14:solidFill>
          </w14:textFill>
        </w:rPr>
      </w:pPr>
      <w:r>
        <w:rPr>
          <w:rFonts w:hint="eastAsia" w:cs="仿宋_GB2312" w:asciiTheme="minorEastAsia" w:hAnsiTheme="minorEastAsia" w:eastAsiaTheme="minorEastAsia"/>
          <w:color w:val="000000" w:themeColor="text1"/>
          <w:kern w:val="0"/>
          <w:sz w:val="28"/>
          <w:szCs w:val="28"/>
          <w:highlight w:val="none"/>
          <w:lang w:val="zh-CN"/>
          <w14:textFill>
            <w14:solidFill>
              <w14:schemeClr w14:val="tx1"/>
            </w14:solidFill>
          </w14:textFill>
        </w:rPr>
        <w:t>日期：  年  月   日</w:t>
      </w:r>
    </w:p>
    <w:p w14:paraId="2A2AED18">
      <w:pPr>
        <w:keepNext w:val="0"/>
        <w:keepLines w:val="0"/>
        <w:pageBreakBefore w:val="0"/>
        <w:widowControl w:val="0"/>
        <w:kinsoku/>
        <w:wordWrap/>
        <w:overflowPunct/>
        <w:topLinePunct w:val="0"/>
        <w:autoSpaceDE/>
        <w:autoSpaceDN/>
        <w:bidi w:val="0"/>
        <w:adjustRightInd/>
        <w:snapToGrid w:val="0"/>
        <w:spacing w:before="50" w:after="165" w:afterLines="50" w:line="400" w:lineRule="exact"/>
        <w:jc w:val="left"/>
        <w:textAlignment w:val="auto"/>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注：</w:t>
      </w:r>
    </w:p>
    <w:p w14:paraId="137B7D4B">
      <w:pPr>
        <w:keepNext w:val="0"/>
        <w:keepLines w:val="0"/>
        <w:pageBreakBefore w:val="0"/>
        <w:widowControl w:val="0"/>
        <w:numPr>
          <w:ilvl w:val="0"/>
          <w:numId w:val="18"/>
        </w:numPr>
        <w:kinsoku/>
        <w:wordWrap/>
        <w:overflowPunct/>
        <w:topLinePunct w:val="0"/>
        <w:autoSpaceDE/>
        <w:autoSpaceDN/>
        <w:bidi w:val="0"/>
        <w:adjustRightInd/>
        <w:snapToGrid w:val="0"/>
        <w:spacing w:before="50" w:after="165" w:afterLines="50" w:line="400" w:lineRule="exact"/>
        <w:jc w:val="left"/>
        <w:textAlignment w:val="auto"/>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从业人员、营业收入、资产总额填报上一年度数据，无上一年度数据的新成立企业可不填报。</w:t>
      </w:r>
    </w:p>
    <w:p w14:paraId="6CAE4DE2">
      <w:pPr>
        <w:pStyle w:val="101"/>
        <w:keepNext w:val="0"/>
        <w:keepLines w:val="0"/>
        <w:pageBreakBefore w:val="0"/>
        <w:widowControl w:val="0"/>
        <w:numPr>
          <w:ilvl w:val="0"/>
          <w:numId w:val="18"/>
        </w:numPr>
        <w:kinsoku/>
        <w:wordWrap/>
        <w:overflowPunct/>
        <w:topLinePunct w:val="0"/>
        <w:autoSpaceDE/>
        <w:autoSpaceDN/>
        <w:bidi w:val="0"/>
        <w:adjustRightInd/>
        <w:snapToGrid w:val="0"/>
        <w:spacing w:before="50" w:after="165" w:afterLines="50" w:line="400" w:lineRule="exact"/>
        <w:ind w:firstLineChars="0"/>
        <w:jc w:val="left"/>
        <w:textAlignment w:val="auto"/>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请根据自己的真实情况出具《中小企业声明函》。依法享受中小企业优惠政策的，采购人或者采购代理机构在公告中标结果时，同时公告其《中小企业声明函》，接受社会监督。</w:t>
      </w:r>
    </w:p>
    <w:p w14:paraId="2F68916E">
      <w:pPr>
        <w:pStyle w:val="101"/>
        <w:keepNext w:val="0"/>
        <w:keepLines w:val="0"/>
        <w:pageBreakBefore w:val="0"/>
        <w:widowControl w:val="0"/>
        <w:numPr>
          <w:ilvl w:val="0"/>
          <w:numId w:val="18"/>
        </w:numPr>
        <w:kinsoku/>
        <w:wordWrap/>
        <w:overflowPunct/>
        <w:topLinePunct w:val="0"/>
        <w:autoSpaceDE/>
        <w:autoSpaceDN/>
        <w:bidi w:val="0"/>
        <w:adjustRightInd/>
        <w:snapToGrid w:val="0"/>
        <w:spacing w:before="50" w:after="165" w:afterLines="50" w:line="400" w:lineRule="exact"/>
        <w:ind w:firstLineChars="0"/>
        <w:jc w:val="left"/>
        <w:textAlignment w:val="auto"/>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小型、微型企业提供中型企业提供的货物的，视同为中型企业。</w:t>
      </w:r>
    </w:p>
    <w:p w14:paraId="11B728A4">
      <w:pPr>
        <w:pageBreakBefore w:val="0"/>
        <w:widowControl/>
        <w:wordWrap/>
        <w:topLinePunct w:val="0"/>
        <w:bidi w:val="0"/>
        <w:spacing w:line="560" w:lineRule="exact"/>
        <w:jc w:val="left"/>
        <w:rPr>
          <w:rFonts w:ascii="仿宋" w:hAnsi="仿宋" w:eastAsia="仿宋" w:cs="仿宋_GB2312"/>
          <w:b/>
          <w:color w:val="000000" w:themeColor="text1"/>
          <w:sz w:val="30"/>
          <w:szCs w:val="30"/>
          <w:highlight w:val="none"/>
          <w14:textFill>
            <w14:solidFill>
              <w14:schemeClr w14:val="tx1"/>
            </w14:solidFill>
          </w14:textFill>
        </w:rPr>
      </w:pPr>
      <w:r>
        <w:rPr>
          <w:rFonts w:ascii="仿宋" w:hAnsi="仿宋" w:eastAsia="仿宋" w:cs="仿宋_GB2312"/>
          <w:b/>
          <w:color w:val="000000" w:themeColor="text1"/>
          <w:sz w:val="30"/>
          <w:szCs w:val="30"/>
          <w:highlight w:val="none"/>
          <w14:textFill>
            <w14:solidFill>
              <w14:schemeClr w14:val="tx1"/>
            </w14:solidFill>
          </w14:textFill>
        </w:rPr>
        <w:br w:type="page"/>
      </w:r>
      <w:r>
        <w:rPr>
          <w:rFonts w:hint="eastAsia" w:ascii="微软雅黑" w:hAnsi="微软雅黑" w:eastAsia="微软雅黑" w:cs="微软雅黑"/>
          <w:color w:val="000000" w:themeColor="text1"/>
          <w:sz w:val="32"/>
          <w:szCs w:val="32"/>
          <w:highlight w:val="none"/>
          <w14:textFill>
            <w14:solidFill>
              <w14:schemeClr w14:val="tx1"/>
            </w14:solidFill>
          </w14:textFill>
        </w:rPr>
        <w:t>附件</w:t>
      </w:r>
      <w:r>
        <w:rPr>
          <w:rFonts w:hint="eastAsia" w:ascii="Arial Unicode MS" w:hAnsi="Arial Unicode MS" w:eastAsia="Arial Unicode MS" w:cs="Arial Unicode MS"/>
          <w:color w:val="000000" w:themeColor="text1"/>
          <w:sz w:val="32"/>
          <w:szCs w:val="32"/>
          <w:highlight w:val="none"/>
          <w14:textFill>
            <w14:solidFill>
              <w14:schemeClr w14:val="tx1"/>
            </w14:solidFill>
          </w14:textFill>
        </w:rPr>
        <w:t>1</w:t>
      </w:r>
      <w:r>
        <w:rPr>
          <w:rFonts w:hint="eastAsia" w:ascii="微软雅黑" w:hAnsi="微软雅黑" w:eastAsia="微软雅黑" w:cs="微软雅黑"/>
          <w:color w:val="000000" w:themeColor="text1"/>
          <w:sz w:val="32"/>
          <w:szCs w:val="32"/>
          <w:highlight w:val="none"/>
          <w14:textFill>
            <w14:solidFill>
              <w14:schemeClr w14:val="tx1"/>
            </w14:solidFill>
          </w14:textFill>
        </w:rPr>
        <w:t>：</w:t>
      </w:r>
    </w:p>
    <w:p w14:paraId="3037E903">
      <w:pPr>
        <w:pageBreakBefore w:val="0"/>
        <w:wordWrap/>
        <w:topLinePunct w:val="0"/>
        <w:bidi w:val="0"/>
        <w:spacing w:line="560" w:lineRule="exact"/>
        <w:jc w:val="center"/>
        <w:rPr>
          <w:rFonts w:ascii="Arial Unicode MS" w:hAnsi="Arial Unicode MS" w:eastAsia="Arial Unicode MS" w:cs="Arial Unicode MS"/>
          <w:color w:val="000000" w:themeColor="text1"/>
          <w:sz w:val="40"/>
          <w:szCs w:val="40"/>
          <w:highlight w:val="none"/>
          <w14:textFill>
            <w14:solidFill>
              <w14:schemeClr w14:val="tx1"/>
            </w14:solidFill>
          </w14:textFill>
        </w:rPr>
      </w:pPr>
      <w:r>
        <w:rPr>
          <w:rFonts w:hint="eastAsia" w:ascii="微软雅黑" w:hAnsi="微软雅黑" w:eastAsia="微软雅黑" w:cs="微软雅黑"/>
          <w:color w:val="000000" w:themeColor="text1"/>
          <w:sz w:val="40"/>
          <w:szCs w:val="40"/>
          <w:highlight w:val="none"/>
          <w14:textFill>
            <w14:solidFill>
              <w14:schemeClr w14:val="tx1"/>
            </w14:solidFill>
          </w14:textFill>
        </w:rPr>
        <w:t>中小微企业划型标准</w:t>
      </w:r>
    </w:p>
    <w:tbl>
      <w:tblPr>
        <w:tblStyle w:val="34"/>
        <w:tblW w:w="9198" w:type="dxa"/>
        <w:tblInd w:w="250" w:type="dxa"/>
        <w:tblLayout w:type="fixed"/>
        <w:tblCellMar>
          <w:top w:w="0" w:type="dxa"/>
          <w:left w:w="108" w:type="dxa"/>
          <w:bottom w:w="0" w:type="dxa"/>
          <w:right w:w="108" w:type="dxa"/>
        </w:tblCellMar>
      </w:tblPr>
      <w:tblGrid>
        <w:gridCol w:w="1960"/>
        <w:gridCol w:w="1797"/>
        <w:gridCol w:w="849"/>
        <w:gridCol w:w="1867"/>
        <w:gridCol w:w="1659"/>
        <w:gridCol w:w="1066"/>
      </w:tblGrid>
      <w:tr w14:paraId="0CDF5A92">
        <w:tblPrEx>
          <w:tblCellMar>
            <w:top w:w="0" w:type="dxa"/>
            <w:left w:w="108" w:type="dxa"/>
            <w:bottom w:w="0" w:type="dxa"/>
            <w:right w:w="108" w:type="dxa"/>
          </w:tblCellMar>
        </w:tblPrEx>
        <w:trPr>
          <w:trHeight w:val="702" w:hRule="atLeast"/>
        </w:trPr>
        <w:tc>
          <w:tcPr>
            <w:tcW w:w="1960" w:type="dxa"/>
            <w:tcBorders>
              <w:top w:val="single" w:color="auto" w:sz="4" w:space="0"/>
              <w:left w:val="single" w:color="auto" w:sz="4" w:space="0"/>
              <w:bottom w:val="single" w:color="auto" w:sz="4" w:space="0"/>
              <w:right w:val="single" w:color="auto" w:sz="4" w:space="0"/>
            </w:tcBorders>
            <w:vAlign w:val="center"/>
          </w:tcPr>
          <w:p w14:paraId="710C2506">
            <w:pPr>
              <w:pageBreakBefore w:val="0"/>
              <w:widowControl/>
              <w:wordWrap/>
              <w:topLinePunct w:val="0"/>
              <w:bidi w:val="0"/>
              <w:spacing w:line="560" w:lineRule="exact"/>
              <w:jc w:val="left"/>
              <w:rPr>
                <w:rFonts w:ascii="仿宋_GB2312" w:hAnsi="仿宋" w:eastAsia="仿宋_GB2312" w:cs="宋体"/>
                <w:b/>
                <w:color w:val="000000" w:themeColor="text1"/>
                <w:kern w:val="0"/>
                <w:sz w:val="24"/>
                <w:highlight w:val="none"/>
                <w14:textFill>
                  <w14:solidFill>
                    <w14:schemeClr w14:val="tx1"/>
                  </w14:solidFill>
                </w14:textFill>
              </w:rPr>
            </w:pPr>
            <w:r>
              <w:rPr>
                <w:rFonts w:hint="eastAsia" w:ascii="仿宋_GB2312" w:hAnsi="仿宋" w:eastAsia="仿宋_GB2312" w:cs="宋体"/>
                <w:b/>
                <w:color w:val="000000" w:themeColor="text1"/>
                <w:kern w:val="0"/>
                <w:sz w:val="24"/>
                <w:highlight w:val="none"/>
                <w14:textFill>
                  <w14:solidFill>
                    <w14:schemeClr w14:val="tx1"/>
                  </w14:solidFill>
                </w14:textFill>
              </w:rPr>
              <w:t>行业名称</w:t>
            </w:r>
          </w:p>
        </w:tc>
        <w:tc>
          <w:tcPr>
            <w:tcW w:w="1797" w:type="dxa"/>
            <w:tcBorders>
              <w:top w:val="single" w:color="auto" w:sz="4" w:space="0"/>
              <w:left w:val="nil"/>
              <w:bottom w:val="single" w:color="auto" w:sz="4" w:space="0"/>
              <w:right w:val="single" w:color="auto" w:sz="4" w:space="0"/>
            </w:tcBorders>
            <w:vAlign w:val="center"/>
          </w:tcPr>
          <w:p w14:paraId="50EFD14B">
            <w:pPr>
              <w:pageBreakBefore w:val="0"/>
              <w:widowControl/>
              <w:wordWrap/>
              <w:topLinePunct w:val="0"/>
              <w:bidi w:val="0"/>
              <w:spacing w:line="560" w:lineRule="exact"/>
              <w:jc w:val="left"/>
              <w:rPr>
                <w:rFonts w:ascii="仿宋_GB2312" w:hAnsi="仿宋" w:eastAsia="仿宋_GB2312" w:cs="宋体"/>
                <w:b/>
                <w:color w:val="000000" w:themeColor="text1"/>
                <w:kern w:val="0"/>
                <w:sz w:val="24"/>
                <w:highlight w:val="none"/>
                <w14:textFill>
                  <w14:solidFill>
                    <w14:schemeClr w14:val="tx1"/>
                  </w14:solidFill>
                </w14:textFill>
              </w:rPr>
            </w:pPr>
            <w:r>
              <w:rPr>
                <w:rFonts w:hint="eastAsia" w:ascii="仿宋_GB2312" w:hAnsi="仿宋" w:eastAsia="仿宋_GB2312" w:cs="宋体"/>
                <w:b/>
                <w:color w:val="000000" w:themeColor="text1"/>
                <w:kern w:val="0"/>
                <w:sz w:val="24"/>
                <w:highlight w:val="none"/>
                <w14:textFill>
                  <w14:solidFill>
                    <w14:schemeClr w14:val="tx1"/>
                  </w14:solidFill>
                </w14:textFill>
              </w:rPr>
              <w:t>指标名称</w:t>
            </w:r>
          </w:p>
        </w:tc>
        <w:tc>
          <w:tcPr>
            <w:tcW w:w="849" w:type="dxa"/>
            <w:tcBorders>
              <w:top w:val="single" w:color="auto" w:sz="4" w:space="0"/>
              <w:left w:val="nil"/>
              <w:bottom w:val="single" w:color="auto" w:sz="4" w:space="0"/>
              <w:right w:val="single" w:color="auto" w:sz="4" w:space="0"/>
            </w:tcBorders>
            <w:vAlign w:val="center"/>
          </w:tcPr>
          <w:p w14:paraId="160090B7">
            <w:pPr>
              <w:pageBreakBefore w:val="0"/>
              <w:widowControl/>
              <w:wordWrap/>
              <w:topLinePunct w:val="0"/>
              <w:bidi w:val="0"/>
              <w:spacing w:line="560" w:lineRule="exact"/>
              <w:jc w:val="left"/>
              <w:rPr>
                <w:rFonts w:ascii="仿宋_GB2312" w:hAnsi="仿宋" w:eastAsia="仿宋_GB2312" w:cs="宋体"/>
                <w:b/>
                <w:color w:val="000000" w:themeColor="text1"/>
                <w:kern w:val="0"/>
                <w:sz w:val="24"/>
                <w:highlight w:val="none"/>
                <w14:textFill>
                  <w14:solidFill>
                    <w14:schemeClr w14:val="tx1"/>
                  </w14:solidFill>
                </w14:textFill>
              </w:rPr>
            </w:pPr>
            <w:r>
              <w:rPr>
                <w:rFonts w:hint="eastAsia" w:ascii="仿宋_GB2312" w:hAnsi="仿宋" w:eastAsia="仿宋_GB2312" w:cs="宋体"/>
                <w:b/>
                <w:color w:val="000000" w:themeColor="text1"/>
                <w:kern w:val="0"/>
                <w:sz w:val="24"/>
                <w:highlight w:val="none"/>
                <w14:textFill>
                  <w14:solidFill>
                    <w14:schemeClr w14:val="tx1"/>
                  </w14:solidFill>
                </w14:textFill>
              </w:rPr>
              <w:t>计量单位</w:t>
            </w:r>
          </w:p>
        </w:tc>
        <w:tc>
          <w:tcPr>
            <w:tcW w:w="1867" w:type="dxa"/>
            <w:tcBorders>
              <w:top w:val="single" w:color="auto" w:sz="4" w:space="0"/>
              <w:left w:val="nil"/>
              <w:bottom w:val="single" w:color="auto" w:sz="4" w:space="0"/>
              <w:right w:val="single" w:color="auto" w:sz="4" w:space="0"/>
            </w:tcBorders>
            <w:vAlign w:val="center"/>
          </w:tcPr>
          <w:p w14:paraId="65D36F87">
            <w:pPr>
              <w:pageBreakBefore w:val="0"/>
              <w:widowControl/>
              <w:wordWrap/>
              <w:topLinePunct w:val="0"/>
              <w:bidi w:val="0"/>
              <w:spacing w:line="560" w:lineRule="exact"/>
              <w:jc w:val="left"/>
              <w:rPr>
                <w:rFonts w:ascii="仿宋_GB2312" w:hAnsi="仿宋" w:eastAsia="仿宋_GB2312" w:cs="宋体"/>
                <w:b/>
                <w:color w:val="000000" w:themeColor="text1"/>
                <w:kern w:val="0"/>
                <w:sz w:val="24"/>
                <w:highlight w:val="none"/>
                <w14:textFill>
                  <w14:solidFill>
                    <w14:schemeClr w14:val="tx1"/>
                  </w14:solidFill>
                </w14:textFill>
              </w:rPr>
            </w:pPr>
            <w:r>
              <w:rPr>
                <w:rFonts w:hint="eastAsia" w:ascii="仿宋_GB2312" w:hAnsi="仿宋" w:eastAsia="仿宋_GB2312" w:cs="宋体"/>
                <w:b/>
                <w:color w:val="000000" w:themeColor="text1"/>
                <w:kern w:val="0"/>
                <w:sz w:val="24"/>
                <w:highlight w:val="none"/>
                <w14:textFill>
                  <w14:solidFill>
                    <w14:schemeClr w14:val="tx1"/>
                  </w14:solidFill>
                </w14:textFill>
              </w:rPr>
              <w:t>中型</w:t>
            </w:r>
          </w:p>
        </w:tc>
        <w:tc>
          <w:tcPr>
            <w:tcW w:w="1659" w:type="dxa"/>
            <w:tcBorders>
              <w:top w:val="single" w:color="auto" w:sz="4" w:space="0"/>
              <w:left w:val="nil"/>
              <w:bottom w:val="single" w:color="auto" w:sz="4" w:space="0"/>
              <w:right w:val="single" w:color="auto" w:sz="4" w:space="0"/>
            </w:tcBorders>
            <w:vAlign w:val="center"/>
          </w:tcPr>
          <w:p w14:paraId="309ADFB9">
            <w:pPr>
              <w:pageBreakBefore w:val="0"/>
              <w:widowControl/>
              <w:wordWrap/>
              <w:topLinePunct w:val="0"/>
              <w:bidi w:val="0"/>
              <w:spacing w:line="560" w:lineRule="exact"/>
              <w:jc w:val="left"/>
              <w:rPr>
                <w:rFonts w:ascii="仿宋_GB2312" w:hAnsi="仿宋" w:eastAsia="仿宋_GB2312" w:cs="宋体"/>
                <w:b/>
                <w:color w:val="000000" w:themeColor="text1"/>
                <w:kern w:val="0"/>
                <w:sz w:val="24"/>
                <w:highlight w:val="none"/>
                <w14:textFill>
                  <w14:solidFill>
                    <w14:schemeClr w14:val="tx1"/>
                  </w14:solidFill>
                </w14:textFill>
              </w:rPr>
            </w:pPr>
            <w:r>
              <w:rPr>
                <w:rFonts w:hint="eastAsia" w:ascii="仿宋_GB2312" w:hAnsi="仿宋" w:eastAsia="仿宋_GB2312" w:cs="宋体"/>
                <w:b/>
                <w:color w:val="000000" w:themeColor="text1"/>
                <w:kern w:val="0"/>
                <w:sz w:val="24"/>
                <w:highlight w:val="none"/>
                <w14:textFill>
                  <w14:solidFill>
                    <w14:schemeClr w14:val="tx1"/>
                  </w14:solidFill>
                </w14:textFill>
              </w:rPr>
              <w:t>小型</w:t>
            </w:r>
          </w:p>
        </w:tc>
        <w:tc>
          <w:tcPr>
            <w:tcW w:w="1066" w:type="dxa"/>
            <w:tcBorders>
              <w:top w:val="single" w:color="auto" w:sz="4" w:space="0"/>
              <w:left w:val="nil"/>
              <w:bottom w:val="single" w:color="auto" w:sz="4" w:space="0"/>
              <w:right w:val="single" w:color="auto" w:sz="4" w:space="0"/>
            </w:tcBorders>
            <w:vAlign w:val="center"/>
          </w:tcPr>
          <w:p w14:paraId="58728CE9">
            <w:pPr>
              <w:pageBreakBefore w:val="0"/>
              <w:widowControl/>
              <w:wordWrap/>
              <w:topLinePunct w:val="0"/>
              <w:bidi w:val="0"/>
              <w:spacing w:line="560" w:lineRule="exact"/>
              <w:jc w:val="left"/>
              <w:rPr>
                <w:rFonts w:ascii="仿宋_GB2312" w:hAnsi="仿宋" w:eastAsia="仿宋_GB2312" w:cs="宋体"/>
                <w:b/>
                <w:color w:val="000000" w:themeColor="text1"/>
                <w:kern w:val="0"/>
                <w:sz w:val="24"/>
                <w:highlight w:val="none"/>
                <w14:textFill>
                  <w14:solidFill>
                    <w14:schemeClr w14:val="tx1"/>
                  </w14:solidFill>
                </w14:textFill>
              </w:rPr>
            </w:pPr>
            <w:r>
              <w:rPr>
                <w:rFonts w:hint="eastAsia" w:ascii="仿宋_GB2312" w:hAnsi="仿宋" w:eastAsia="仿宋_GB2312" w:cs="宋体"/>
                <w:b/>
                <w:color w:val="000000" w:themeColor="text1"/>
                <w:kern w:val="0"/>
                <w:sz w:val="24"/>
                <w:highlight w:val="none"/>
                <w14:textFill>
                  <w14:solidFill>
                    <w14:schemeClr w14:val="tx1"/>
                  </w14:solidFill>
                </w14:textFill>
              </w:rPr>
              <w:t>微型</w:t>
            </w:r>
          </w:p>
        </w:tc>
      </w:tr>
      <w:tr w14:paraId="71B64897">
        <w:tblPrEx>
          <w:tblCellMar>
            <w:top w:w="0" w:type="dxa"/>
            <w:left w:w="108" w:type="dxa"/>
            <w:bottom w:w="0" w:type="dxa"/>
            <w:right w:w="108" w:type="dxa"/>
          </w:tblCellMar>
        </w:tblPrEx>
        <w:trPr>
          <w:trHeight w:val="356" w:hRule="atLeast"/>
        </w:trPr>
        <w:tc>
          <w:tcPr>
            <w:tcW w:w="1960" w:type="dxa"/>
            <w:tcBorders>
              <w:top w:val="nil"/>
              <w:left w:val="single" w:color="auto" w:sz="4" w:space="0"/>
              <w:bottom w:val="single" w:color="auto" w:sz="4" w:space="0"/>
              <w:right w:val="single" w:color="auto" w:sz="4" w:space="0"/>
            </w:tcBorders>
            <w:vAlign w:val="bottom"/>
          </w:tcPr>
          <w:p w14:paraId="269DC2DE">
            <w:pPr>
              <w:pageBreakBefore w:val="0"/>
              <w:widowControl/>
              <w:wordWrap/>
              <w:topLinePunct w:val="0"/>
              <w:bidi w:val="0"/>
              <w:spacing w:line="560" w:lineRule="exact"/>
              <w:jc w:val="center"/>
              <w:rPr>
                <w:rFonts w:ascii="仿宋_GB2312" w:hAnsi="仿宋" w:eastAsia="仿宋_GB2312" w:cs="宋体"/>
                <w:b/>
                <w:bCs/>
                <w:color w:val="000000" w:themeColor="text1"/>
                <w:kern w:val="0"/>
                <w:sz w:val="20"/>
                <w:szCs w:val="20"/>
                <w:highlight w:val="none"/>
                <w14:textFill>
                  <w14:solidFill>
                    <w14:schemeClr w14:val="tx1"/>
                  </w14:solidFill>
                </w14:textFill>
              </w:rPr>
            </w:pPr>
            <w:r>
              <w:rPr>
                <w:rFonts w:hint="eastAsia" w:ascii="仿宋_GB2312" w:hAnsi="仿宋" w:eastAsia="仿宋_GB2312" w:cs="宋体"/>
                <w:b/>
                <w:bCs/>
                <w:color w:val="000000" w:themeColor="text1"/>
                <w:kern w:val="0"/>
                <w:sz w:val="20"/>
                <w:szCs w:val="20"/>
                <w:highlight w:val="none"/>
                <w14:textFill>
                  <w14:solidFill>
                    <w14:schemeClr w14:val="tx1"/>
                  </w14:solidFill>
                </w14:textFill>
              </w:rPr>
              <w:t>农、林、牧、渔</w:t>
            </w:r>
          </w:p>
        </w:tc>
        <w:tc>
          <w:tcPr>
            <w:tcW w:w="1797" w:type="dxa"/>
            <w:tcBorders>
              <w:top w:val="nil"/>
              <w:left w:val="nil"/>
              <w:bottom w:val="single" w:color="auto" w:sz="4" w:space="0"/>
              <w:right w:val="single" w:color="auto" w:sz="4" w:space="0"/>
            </w:tcBorders>
            <w:vAlign w:val="center"/>
          </w:tcPr>
          <w:p w14:paraId="71E57CD8">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营业收入（Y）</w:t>
            </w:r>
          </w:p>
        </w:tc>
        <w:tc>
          <w:tcPr>
            <w:tcW w:w="849" w:type="dxa"/>
            <w:tcBorders>
              <w:top w:val="nil"/>
              <w:left w:val="nil"/>
              <w:bottom w:val="single" w:color="auto" w:sz="4" w:space="0"/>
              <w:right w:val="single" w:color="auto" w:sz="4" w:space="0"/>
            </w:tcBorders>
            <w:vAlign w:val="center"/>
          </w:tcPr>
          <w:p w14:paraId="157379E7">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万元</w:t>
            </w:r>
          </w:p>
        </w:tc>
        <w:tc>
          <w:tcPr>
            <w:tcW w:w="1867" w:type="dxa"/>
            <w:tcBorders>
              <w:top w:val="nil"/>
              <w:left w:val="nil"/>
              <w:bottom w:val="single" w:color="auto" w:sz="4" w:space="0"/>
              <w:right w:val="single" w:color="auto" w:sz="4" w:space="0"/>
            </w:tcBorders>
            <w:vAlign w:val="center"/>
          </w:tcPr>
          <w:p w14:paraId="206E98A1">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500≤Y＜20000</w:t>
            </w:r>
          </w:p>
        </w:tc>
        <w:tc>
          <w:tcPr>
            <w:tcW w:w="1659" w:type="dxa"/>
            <w:tcBorders>
              <w:top w:val="nil"/>
              <w:left w:val="nil"/>
              <w:bottom w:val="single" w:color="auto" w:sz="4" w:space="0"/>
              <w:right w:val="single" w:color="auto" w:sz="4" w:space="0"/>
            </w:tcBorders>
            <w:vAlign w:val="center"/>
          </w:tcPr>
          <w:p w14:paraId="4ED60FA1">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50≤Y＜500</w:t>
            </w:r>
          </w:p>
        </w:tc>
        <w:tc>
          <w:tcPr>
            <w:tcW w:w="1066" w:type="dxa"/>
            <w:tcBorders>
              <w:top w:val="nil"/>
              <w:left w:val="nil"/>
              <w:bottom w:val="single" w:color="auto" w:sz="4" w:space="0"/>
              <w:right w:val="single" w:color="auto" w:sz="4" w:space="0"/>
            </w:tcBorders>
            <w:vAlign w:val="center"/>
          </w:tcPr>
          <w:p w14:paraId="458B07FA">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Y＜50</w:t>
            </w:r>
          </w:p>
        </w:tc>
      </w:tr>
      <w:tr w14:paraId="366BC016">
        <w:tblPrEx>
          <w:tblCellMar>
            <w:top w:w="0" w:type="dxa"/>
            <w:left w:w="108" w:type="dxa"/>
            <w:bottom w:w="0" w:type="dxa"/>
            <w:right w:w="108" w:type="dxa"/>
          </w:tblCellMar>
        </w:tblPrEx>
        <w:trPr>
          <w:trHeight w:val="356" w:hRule="atLeast"/>
        </w:trPr>
        <w:tc>
          <w:tcPr>
            <w:tcW w:w="1960" w:type="dxa"/>
            <w:vMerge w:val="restart"/>
            <w:tcBorders>
              <w:top w:val="nil"/>
              <w:left w:val="single" w:color="auto" w:sz="4" w:space="0"/>
              <w:bottom w:val="single" w:color="auto" w:sz="4" w:space="0"/>
              <w:right w:val="single" w:color="auto" w:sz="4" w:space="0"/>
            </w:tcBorders>
            <w:vAlign w:val="bottom"/>
          </w:tcPr>
          <w:p w14:paraId="03F70BC6">
            <w:pPr>
              <w:pageBreakBefore w:val="0"/>
              <w:widowControl/>
              <w:wordWrap/>
              <w:topLinePunct w:val="0"/>
              <w:bidi w:val="0"/>
              <w:spacing w:line="560" w:lineRule="exact"/>
              <w:jc w:val="center"/>
              <w:rPr>
                <w:rFonts w:ascii="仿宋_GB2312" w:hAnsi="仿宋" w:eastAsia="仿宋_GB2312" w:cs="宋体"/>
                <w:b/>
                <w:bCs/>
                <w:color w:val="000000" w:themeColor="text1"/>
                <w:kern w:val="0"/>
                <w:sz w:val="20"/>
                <w:szCs w:val="20"/>
                <w:highlight w:val="none"/>
                <w14:textFill>
                  <w14:solidFill>
                    <w14:schemeClr w14:val="tx1"/>
                  </w14:solidFill>
                </w14:textFill>
              </w:rPr>
            </w:pPr>
            <w:r>
              <w:rPr>
                <w:rFonts w:hint="eastAsia" w:ascii="仿宋_GB2312" w:hAnsi="仿宋" w:eastAsia="仿宋_GB2312" w:cs="宋体"/>
                <w:b/>
                <w:bCs/>
                <w:color w:val="000000" w:themeColor="text1"/>
                <w:kern w:val="0"/>
                <w:sz w:val="20"/>
                <w:szCs w:val="20"/>
                <w:highlight w:val="none"/>
                <w14:textFill>
                  <w14:solidFill>
                    <w14:schemeClr w14:val="tx1"/>
                  </w14:solidFill>
                </w14:textFill>
              </w:rPr>
              <w:t>工业</w:t>
            </w:r>
          </w:p>
        </w:tc>
        <w:tc>
          <w:tcPr>
            <w:tcW w:w="1797" w:type="dxa"/>
            <w:tcBorders>
              <w:top w:val="nil"/>
              <w:left w:val="nil"/>
              <w:bottom w:val="single" w:color="auto" w:sz="4" w:space="0"/>
              <w:right w:val="single" w:color="auto" w:sz="4" w:space="0"/>
            </w:tcBorders>
            <w:vAlign w:val="center"/>
          </w:tcPr>
          <w:p w14:paraId="48D494B7">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从业人员（X）</w:t>
            </w:r>
          </w:p>
        </w:tc>
        <w:tc>
          <w:tcPr>
            <w:tcW w:w="849" w:type="dxa"/>
            <w:tcBorders>
              <w:top w:val="nil"/>
              <w:left w:val="nil"/>
              <w:bottom w:val="single" w:color="auto" w:sz="4" w:space="0"/>
              <w:right w:val="single" w:color="auto" w:sz="4" w:space="0"/>
            </w:tcBorders>
            <w:vAlign w:val="center"/>
          </w:tcPr>
          <w:p w14:paraId="3A92FB72">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人</w:t>
            </w:r>
          </w:p>
        </w:tc>
        <w:tc>
          <w:tcPr>
            <w:tcW w:w="1867" w:type="dxa"/>
            <w:tcBorders>
              <w:top w:val="nil"/>
              <w:left w:val="nil"/>
              <w:bottom w:val="single" w:color="auto" w:sz="4" w:space="0"/>
              <w:right w:val="single" w:color="auto" w:sz="4" w:space="0"/>
            </w:tcBorders>
            <w:vAlign w:val="center"/>
          </w:tcPr>
          <w:p w14:paraId="399070B8">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300≤X＜1000</w:t>
            </w:r>
          </w:p>
        </w:tc>
        <w:tc>
          <w:tcPr>
            <w:tcW w:w="1659" w:type="dxa"/>
            <w:tcBorders>
              <w:top w:val="nil"/>
              <w:left w:val="nil"/>
              <w:bottom w:val="single" w:color="auto" w:sz="4" w:space="0"/>
              <w:right w:val="single" w:color="auto" w:sz="4" w:space="0"/>
            </w:tcBorders>
            <w:vAlign w:val="center"/>
          </w:tcPr>
          <w:p w14:paraId="09846EFE">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20≤X＜300</w:t>
            </w:r>
          </w:p>
        </w:tc>
        <w:tc>
          <w:tcPr>
            <w:tcW w:w="1066" w:type="dxa"/>
            <w:tcBorders>
              <w:top w:val="nil"/>
              <w:left w:val="nil"/>
              <w:bottom w:val="single" w:color="auto" w:sz="4" w:space="0"/>
              <w:right w:val="single" w:color="auto" w:sz="4" w:space="0"/>
            </w:tcBorders>
            <w:vAlign w:val="center"/>
          </w:tcPr>
          <w:p w14:paraId="1D9EE938">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X＜20</w:t>
            </w:r>
          </w:p>
        </w:tc>
      </w:tr>
      <w:tr w14:paraId="3923FA34">
        <w:tblPrEx>
          <w:tblCellMar>
            <w:top w:w="0" w:type="dxa"/>
            <w:left w:w="108" w:type="dxa"/>
            <w:bottom w:w="0" w:type="dxa"/>
            <w:right w:w="108" w:type="dxa"/>
          </w:tblCellMar>
        </w:tblPrEx>
        <w:trPr>
          <w:trHeight w:val="356" w:hRule="atLeast"/>
        </w:trPr>
        <w:tc>
          <w:tcPr>
            <w:tcW w:w="1960" w:type="dxa"/>
            <w:vMerge w:val="continue"/>
            <w:tcBorders>
              <w:top w:val="nil"/>
              <w:left w:val="single" w:color="auto" w:sz="4" w:space="0"/>
              <w:bottom w:val="single" w:color="auto" w:sz="4" w:space="0"/>
              <w:right w:val="single" w:color="auto" w:sz="4" w:space="0"/>
            </w:tcBorders>
            <w:vAlign w:val="center"/>
          </w:tcPr>
          <w:p w14:paraId="37E075E9">
            <w:pPr>
              <w:pageBreakBefore w:val="0"/>
              <w:widowControl/>
              <w:wordWrap/>
              <w:topLinePunct w:val="0"/>
              <w:bidi w:val="0"/>
              <w:spacing w:line="560" w:lineRule="exact"/>
              <w:jc w:val="left"/>
              <w:rPr>
                <w:rFonts w:ascii="仿宋_GB2312" w:hAnsi="仿宋" w:eastAsia="仿宋_GB2312" w:cs="宋体"/>
                <w:b/>
                <w:bCs/>
                <w:color w:val="000000" w:themeColor="text1"/>
                <w:kern w:val="0"/>
                <w:sz w:val="20"/>
                <w:szCs w:val="20"/>
                <w:highlight w:val="none"/>
                <w14:textFill>
                  <w14:solidFill>
                    <w14:schemeClr w14:val="tx1"/>
                  </w14:solidFill>
                </w14:textFill>
              </w:rPr>
            </w:pPr>
          </w:p>
        </w:tc>
        <w:tc>
          <w:tcPr>
            <w:tcW w:w="1797" w:type="dxa"/>
            <w:tcBorders>
              <w:top w:val="nil"/>
              <w:left w:val="nil"/>
              <w:bottom w:val="single" w:color="auto" w:sz="4" w:space="0"/>
              <w:right w:val="single" w:color="auto" w:sz="4" w:space="0"/>
            </w:tcBorders>
            <w:vAlign w:val="center"/>
          </w:tcPr>
          <w:p w14:paraId="3325D4F5">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营业收入（Y）</w:t>
            </w:r>
          </w:p>
        </w:tc>
        <w:tc>
          <w:tcPr>
            <w:tcW w:w="849" w:type="dxa"/>
            <w:tcBorders>
              <w:top w:val="nil"/>
              <w:left w:val="nil"/>
              <w:bottom w:val="single" w:color="auto" w:sz="4" w:space="0"/>
              <w:right w:val="single" w:color="auto" w:sz="4" w:space="0"/>
            </w:tcBorders>
            <w:vAlign w:val="center"/>
          </w:tcPr>
          <w:p w14:paraId="0846075C">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万元</w:t>
            </w:r>
          </w:p>
        </w:tc>
        <w:tc>
          <w:tcPr>
            <w:tcW w:w="1867" w:type="dxa"/>
            <w:tcBorders>
              <w:top w:val="nil"/>
              <w:left w:val="nil"/>
              <w:bottom w:val="single" w:color="auto" w:sz="4" w:space="0"/>
              <w:right w:val="single" w:color="auto" w:sz="4" w:space="0"/>
            </w:tcBorders>
            <w:vAlign w:val="center"/>
          </w:tcPr>
          <w:p w14:paraId="5D662940">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2000≤Y＜40000</w:t>
            </w:r>
          </w:p>
        </w:tc>
        <w:tc>
          <w:tcPr>
            <w:tcW w:w="1659" w:type="dxa"/>
            <w:tcBorders>
              <w:top w:val="nil"/>
              <w:left w:val="nil"/>
              <w:bottom w:val="single" w:color="auto" w:sz="4" w:space="0"/>
              <w:right w:val="single" w:color="auto" w:sz="4" w:space="0"/>
            </w:tcBorders>
            <w:vAlign w:val="center"/>
          </w:tcPr>
          <w:p w14:paraId="0AEF57C2">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300≤Y＜2000</w:t>
            </w:r>
          </w:p>
        </w:tc>
        <w:tc>
          <w:tcPr>
            <w:tcW w:w="1066" w:type="dxa"/>
            <w:tcBorders>
              <w:top w:val="nil"/>
              <w:left w:val="nil"/>
              <w:bottom w:val="single" w:color="auto" w:sz="4" w:space="0"/>
              <w:right w:val="single" w:color="auto" w:sz="4" w:space="0"/>
            </w:tcBorders>
            <w:vAlign w:val="center"/>
          </w:tcPr>
          <w:p w14:paraId="18889618">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Y＜300</w:t>
            </w:r>
          </w:p>
        </w:tc>
      </w:tr>
      <w:tr w14:paraId="2F6DA5CF">
        <w:tblPrEx>
          <w:tblCellMar>
            <w:top w:w="0" w:type="dxa"/>
            <w:left w:w="108" w:type="dxa"/>
            <w:bottom w:w="0" w:type="dxa"/>
            <w:right w:w="108" w:type="dxa"/>
          </w:tblCellMar>
        </w:tblPrEx>
        <w:trPr>
          <w:trHeight w:val="356" w:hRule="atLeast"/>
        </w:trPr>
        <w:tc>
          <w:tcPr>
            <w:tcW w:w="1960" w:type="dxa"/>
            <w:vMerge w:val="restart"/>
            <w:tcBorders>
              <w:top w:val="nil"/>
              <w:left w:val="single" w:color="auto" w:sz="4" w:space="0"/>
              <w:bottom w:val="single" w:color="auto" w:sz="4" w:space="0"/>
              <w:right w:val="single" w:color="auto" w:sz="4" w:space="0"/>
            </w:tcBorders>
            <w:vAlign w:val="bottom"/>
          </w:tcPr>
          <w:p w14:paraId="7D210074">
            <w:pPr>
              <w:pageBreakBefore w:val="0"/>
              <w:widowControl/>
              <w:wordWrap/>
              <w:topLinePunct w:val="0"/>
              <w:bidi w:val="0"/>
              <w:spacing w:line="560" w:lineRule="exact"/>
              <w:jc w:val="center"/>
              <w:rPr>
                <w:rFonts w:ascii="仿宋_GB2312" w:hAnsi="仿宋" w:eastAsia="仿宋_GB2312" w:cs="宋体"/>
                <w:b/>
                <w:bCs/>
                <w:color w:val="000000" w:themeColor="text1"/>
                <w:kern w:val="0"/>
                <w:sz w:val="20"/>
                <w:szCs w:val="20"/>
                <w:highlight w:val="none"/>
                <w14:textFill>
                  <w14:solidFill>
                    <w14:schemeClr w14:val="tx1"/>
                  </w14:solidFill>
                </w14:textFill>
              </w:rPr>
            </w:pPr>
            <w:r>
              <w:rPr>
                <w:rFonts w:hint="eastAsia" w:ascii="仿宋_GB2312" w:hAnsi="仿宋" w:eastAsia="仿宋_GB2312" w:cs="宋体"/>
                <w:b/>
                <w:bCs/>
                <w:color w:val="000000" w:themeColor="text1"/>
                <w:kern w:val="0"/>
                <w:sz w:val="20"/>
                <w:szCs w:val="20"/>
                <w:highlight w:val="none"/>
                <w14:textFill>
                  <w14:solidFill>
                    <w14:schemeClr w14:val="tx1"/>
                  </w14:solidFill>
                </w14:textFill>
              </w:rPr>
              <w:t>建筑业</w:t>
            </w:r>
          </w:p>
        </w:tc>
        <w:tc>
          <w:tcPr>
            <w:tcW w:w="1797" w:type="dxa"/>
            <w:tcBorders>
              <w:top w:val="nil"/>
              <w:left w:val="nil"/>
              <w:bottom w:val="single" w:color="auto" w:sz="4" w:space="0"/>
              <w:right w:val="single" w:color="auto" w:sz="4" w:space="0"/>
            </w:tcBorders>
            <w:vAlign w:val="center"/>
          </w:tcPr>
          <w:p w14:paraId="7D949DBE">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营业收入（Y）</w:t>
            </w:r>
          </w:p>
        </w:tc>
        <w:tc>
          <w:tcPr>
            <w:tcW w:w="849" w:type="dxa"/>
            <w:tcBorders>
              <w:top w:val="nil"/>
              <w:left w:val="nil"/>
              <w:bottom w:val="single" w:color="auto" w:sz="4" w:space="0"/>
              <w:right w:val="single" w:color="auto" w:sz="4" w:space="0"/>
            </w:tcBorders>
            <w:vAlign w:val="center"/>
          </w:tcPr>
          <w:p w14:paraId="124A031A">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万元</w:t>
            </w:r>
          </w:p>
        </w:tc>
        <w:tc>
          <w:tcPr>
            <w:tcW w:w="1867" w:type="dxa"/>
            <w:tcBorders>
              <w:top w:val="nil"/>
              <w:left w:val="nil"/>
              <w:bottom w:val="single" w:color="auto" w:sz="4" w:space="0"/>
              <w:right w:val="single" w:color="auto" w:sz="4" w:space="0"/>
            </w:tcBorders>
            <w:vAlign w:val="center"/>
          </w:tcPr>
          <w:p w14:paraId="5272FE98">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6000≤Y＜80000</w:t>
            </w:r>
          </w:p>
        </w:tc>
        <w:tc>
          <w:tcPr>
            <w:tcW w:w="1659" w:type="dxa"/>
            <w:tcBorders>
              <w:top w:val="nil"/>
              <w:left w:val="nil"/>
              <w:bottom w:val="single" w:color="auto" w:sz="4" w:space="0"/>
              <w:right w:val="single" w:color="auto" w:sz="4" w:space="0"/>
            </w:tcBorders>
            <w:vAlign w:val="center"/>
          </w:tcPr>
          <w:p w14:paraId="7BCD3876">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300≤Y＜6000</w:t>
            </w:r>
          </w:p>
        </w:tc>
        <w:tc>
          <w:tcPr>
            <w:tcW w:w="1066" w:type="dxa"/>
            <w:tcBorders>
              <w:top w:val="nil"/>
              <w:left w:val="nil"/>
              <w:bottom w:val="single" w:color="auto" w:sz="4" w:space="0"/>
              <w:right w:val="single" w:color="auto" w:sz="4" w:space="0"/>
            </w:tcBorders>
            <w:vAlign w:val="center"/>
          </w:tcPr>
          <w:p w14:paraId="1069EDA7">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Y＜300</w:t>
            </w:r>
          </w:p>
        </w:tc>
      </w:tr>
      <w:tr w14:paraId="55F8B13C">
        <w:tblPrEx>
          <w:tblCellMar>
            <w:top w:w="0" w:type="dxa"/>
            <w:left w:w="108" w:type="dxa"/>
            <w:bottom w:w="0" w:type="dxa"/>
            <w:right w:w="108" w:type="dxa"/>
          </w:tblCellMar>
        </w:tblPrEx>
        <w:trPr>
          <w:trHeight w:val="356" w:hRule="atLeast"/>
        </w:trPr>
        <w:tc>
          <w:tcPr>
            <w:tcW w:w="1960" w:type="dxa"/>
            <w:vMerge w:val="continue"/>
            <w:tcBorders>
              <w:top w:val="nil"/>
              <w:left w:val="single" w:color="auto" w:sz="4" w:space="0"/>
              <w:bottom w:val="single" w:color="auto" w:sz="4" w:space="0"/>
              <w:right w:val="single" w:color="auto" w:sz="4" w:space="0"/>
            </w:tcBorders>
            <w:vAlign w:val="center"/>
          </w:tcPr>
          <w:p w14:paraId="2E5E3EE3">
            <w:pPr>
              <w:pageBreakBefore w:val="0"/>
              <w:widowControl/>
              <w:wordWrap/>
              <w:topLinePunct w:val="0"/>
              <w:bidi w:val="0"/>
              <w:spacing w:line="560" w:lineRule="exact"/>
              <w:jc w:val="left"/>
              <w:rPr>
                <w:rFonts w:ascii="仿宋_GB2312" w:hAnsi="仿宋" w:eastAsia="仿宋_GB2312" w:cs="宋体"/>
                <w:b/>
                <w:bCs/>
                <w:color w:val="000000" w:themeColor="text1"/>
                <w:kern w:val="0"/>
                <w:sz w:val="20"/>
                <w:szCs w:val="20"/>
                <w:highlight w:val="none"/>
                <w14:textFill>
                  <w14:solidFill>
                    <w14:schemeClr w14:val="tx1"/>
                  </w14:solidFill>
                </w14:textFill>
              </w:rPr>
            </w:pPr>
          </w:p>
        </w:tc>
        <w:tc>
          <w:tcPr>
            <w:tcW w:w="1797" w:type="dxa"/>
            <w:tcBorders>
              <w:top w:val="nil"/>
              <w:left w:val="nil"/>
              <w:bottom w:val="single" w:color="auto" w:sz="4" w:space="0"/>
              <w:right w:val="single" w:color="auto" w:sz="4" w:space="0"/>
            </w:tcBorders>
            <w:vAlign w:val="center"/>
          </w:tcPr>
          <w:p w14:paraId="15E021FF">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资产总额（Z）</w:t>
            </w:r>
          </w:p>
        </w:tc>
        <w:tc>
          <w:tcPr>
            <w:tcW w:w="849" w:type="dxa"/>
            <w:tcBorders>
              <w:top w:val="nil"/>
              <w:left w:val="nil"/>
              <w:bottom w:val="single" w:color="auto" w:sz="4" w:space="0"/>
              <w:right w:val="single" w:color="auto" w:sz="4" w:space="0"/>
            </w:tcBorders>
            <w:vAlign w:val="center"/>
          </w:tcPr>
          <w:p w14:paraId="78A34C74">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万元</w:t>
            </w:r>
          </w:p>
        </w:tc>
        <w:tc>
          <w:tcPr>
            <w:tcW w:w="1867" w:type="dxa"/>
            <w:tcBorders>
              <w:top w:val="nil"/>
              <w:left w:val="nil"/>
              <w:bottom w:val="single" w:color="auto" w:sz="4" w:space="0"/>
              <w:right w:val="single" w:color="auto" w:sz="4" w:space="0"/>
            </w:tcBorders>
            <w:vAlign w:val="center"/>
          </w:tcPr>
          <w:p w14:paraId="7BECC59D">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5000≤Z＜80000</w:t>
            </w:r>
          </w:p>
        </w:tc>
        <w:tc>
          <w:tcPr>
            <w:tcW w:w="1659" w:type="dxa"/>
            <w:tcBorders>
              <w:top w:val="nil"/>
              <w:left w:val="nil"/>
              <w:bottom w:val="single" w:color="auto" w:sz="4" w:space="0"/>
              <w:right w:val="single" w:color="auto" w:sz="4" w:space="0"/>
            </w:tcBorders>
            <w:vAlign w:val="center"/>
          </w:tcPr>
          <w:p w14:paraId="1ADCB91B">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300≤Z＜5000</w:t>
            </w:r>
          </w:p>
        </w:tc>
        <w:tc>
          <w:tcPr>
            <w:tcW w:w="1066" w:type="dxa"/>
            <w:tcBorders>
              <w:top w:val="nil"/>
              <w:left w:val="nil"/>
              <w:bottom w:val="single" w:color="auto" w:sz="4" w:space="0"/>
              <w:right w:val="single" w:color="auto" w:sz="4" w:space="0"/>
            </w:tcBorders>
            <w:vAlign w:val="center"/>
          </w:tcPr>
          <w:p w14:paraId="246FB85D">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Z＜300</w:t>
            </w:r>
          </w:p>
        </w:tc>
      </w:tr>
      <w:tr w14:paraId="44DFDB60">
        <w:tblPrEx>
          <w:tblCellMar>
            <w:top w:w="0" w:type="dxa"/>
            <w:left w:w="108" w:type="dxa"/>
            <w:bottom w:w="0" w:type="dxa"/>
            <w:right w:w="108" w:type="dxa"/>
          </w:tblCellMar>
        </w:tblPrEx>
        <w:trPr>
          <w:trHeight w:val="356" w:hRule="atLeast"/>
        </w:trPr>
        <w:tc>
          <w:tcPr>
            <w:tcW w:w="1960" w:type="dxa"/>
            <w:vMerge w:val="restart"/>
            <w:tcBorders>
              <w:top w:val="nil"/>
              <w:left w:val="single" w:color="auto" w:sz="4" w:space="0"/>
              <w:bottom w:val="single" w:color="auto" w:sz="4" w:space="0"/>
              <w:right w:val="single" w:color="auto" w:sz="4" w:space="0"/>
            </w:tcBorders>
            <w:vAlign w:val="bottom"/>
          </w:tcPr>
          <w:p w14:paraId="7225A865">
            <w:pPr>
              <w:pageBreakBefore w:val="0"/>
              <w:widowControl/>
              <w:wordWrap/>
              <w:topLinePunct w:val="0"/>
              <w:bidi w:val="0"/>
              <w:spacing w:line="560" w:lineRule="exact"/>
              <w:jc w:val="center"/>
              <w:rPr>
                <w:rFonts w:ascii="仿宋_GB2312" w:hAnsi="仿宋" w:eastAsia="仿宋_GB2312" w:cs="宋体"/>
                <w:b/>
                <w:bCs/>
                <w:color w:val="000000" w:themeColor="text1"/>
                <w:kern w:val="0"/>
                <w:sz w:val="20"/>
                <w:szCs w:val="20"/>
                <w:highlight w:val="none"/>
                <w14:textFill>
                  <w14:solidFill>
                    <w14:schemeClr w14:val="tx1"/>
                  </w14:solidFill>
                </w14:textFill>
              </w:rPr>
            </w:pPr>
            <w:r>
              <w:rPr>
                <w:rFonts w:hint="eastAsia" w:ascii="仿宋_GB2312" w:hAnsi="仿宋" w:eastAsia="仿宋_GB2312" w:cs="宋体"/>
                <w:b/>
                <w:bCs/>
                <w:color w:val="000000" w:themeColor="text1"/>
                <w:kern w:val="0"/>
                <w:sz w:val="20"/>
                <w:szCs w:val="20"/>
                <w:highlight w:val="none"/>
                <w14:textFill>
                  <w14:solidFill>
                    <w14:schemeClr w14:val="tx1"/>
                  </w14:solidFill>
                </w14:textFill>
              </w:rPr>
              <w:t>批发业</w:t>
            </w:r>
          </w:p>
        </w:tc>
        <w:tc>
          <w:tcPr>
            <w:tcW w:w="1797" w:type="dxa"/>
            <w:tcBorders>
              <w:top w:val="nil"/>
              <w:left w:val="nil"/>
              <w:bottom w:val="single" w:color="auto" w:sz="4" w:space="0"/>
              <w:right w:val="single" w:color="auto" w:sz="4" w:space="0"/>
            </w:tcBorders>
            <w:vAlign w:val="center"/>
          </w:tcPr>
          <w:p w14:paraId="5A0161A3">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从业人员（X）</w:t>
            </w:r>
          </w:p>
        </w:tc>
        <w:tc>
          <w:tcPr>
            <w:tcW w:w="849" w:type="dxa"/>
            <w:tcBorders>
              <w:top w:val="nil"/>
              <w:left w:val="nil"/>
              <w:bottom w:val="single" w:color="auto" w:sz="4" w:space="0"/>
              <w:right w:val="single" w:color="auto" w:sz="4" w:space="0"/>
            </w:tcBorders>
            <w:vAlign w:val="center"/>
          </w:tcPr>
          <w:p w14:paraId="68D7FC38">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人</w:t>
            </w:r>
          </w:p>
        </w:tc>
        <w:tc>
          <w:tcPr>
            <w:tcW w:w="1867" w:type="dxa"/>
            <w:tcBorders>
              <w:top w:val="nil"/>
              <w:left w:val="nil"/>
              <w:bottom w:val="single" w:color="auto" w:sz="4" w:space="0"/>
              <w:right w:val="single" w:color="auto" w:sz="4" w:space="0"/>
            </w:tcBorders>
            <w:vAlign w:val="center"/>
          </w:tcPr>
          <w:p w14:paraId="56300D05">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20≤X＜200</w:t>
            </w:r>
          </w:p>
        </w:tc>
        <w:tc>
          <w:tcPr>
            <w:tcW w:w="1659" w:type="dxa"/>
            <w:tcBorders>
              <w:top w:val="nil"/>
              <w:left w:val="nil"/>
              <w:bottom w:val="single" w:color="auto" w:sz="4" w:space="0"/>
              <w:right w:val="single" w:color="auto" w:sz="4" w:space="0"/>
            </w:tcBorders>
            <w:vAlign w:val="center"/>
          </w:tcPr>
          <w:p w14:paraId="15E62A65">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5≤X＜20</w:t>
            </w:r>
          </w:p>
        </w:tc>
        <w:tc>
          <w:tcPr>
            <w:tcW w:w="1066" w:type="dxa"/>
            <w:tcBorders>
              <w:top w:val="nil"/>
              <w:left w:val="nil"/>
              <w:bottom w:val="single" w:color="auto" w:sz="4" w:space="0"/>
              <w:right w:val="single" w:color="auto" w:sz="4" w:space="0"/>
            </w:tcBorders>
            <w:vAlign w:val="center"/>
          </w:tcPr>
          <w:p w14:paraId="1145E4B3">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X＜5</w:t>
            </w:r>
          </w:p>
        </w:tc>
      </w:tr>
      <w:tr w14:paraId="2452DE42">
        <w:tblPrEx>
          <w:tblCellMar>
            <w:top w:w="0" w:type="dxa"/>
            <w:left w:w="108" w:type="dxa"/>
            <w:bottom w:w="0" w:type="dxa"/>
            <w:right w:w="108" w:type="dxa"/>
          </w:tblCellMar>
        </w:tblPrEx>
        <w:trPr>
          <w:trHeight w:val="356" w:hRule="atLeast"/>
        </w:trPr>
        <w:tc>
          <w:tcPr>
            <w:tcW w:w="1960" w:type="dxa"/>
            <w:vMerge w:val="continue"/>
            <w:tcBorders>
              <w:top w:val="nil"/>
              <w:left w:val="single" w:color="auto" w:sz="4" w:space="0"/>
              <w:bottom w:val="single" w:color="auto" w:sz="4" w:space="0"/>
              <w:right w:val="single" w:color="auto" w:sz="4" w:space="0"/>
            </w:tcBorders>
            <w:vAlign w:val="center"/>
          </w:tcPr>
          <w:p w14:paraId="23DBFC5A">
            <w:pPr>
              <w:pageBreakBefore w:val="0"/>
              <w:widowControl/>
              <w:wordWrap/>
              <w:topLinePunct w:val="0"/>
              <w:bidi w:val="0"/>
              <w:spacing w:line="560" w:lineRule="exact"/>
              <w:jc w:val="left"/>
              <w:rPr>
                <w:rFonts w:ascii="仿宋_GB2312" w:hAnsi="仿宋" w:eastAsia="仿宋_GB2312" w:cs="宋体"/>
                <w:b/>
                <w:bCs/>
                <w:color w:val="000000" w:themeColor="text1"/>
                <w:kern w:val="0"/>
                <w:sz w:val="20"/>
                <w:szCs w:val="20"/>
                <w:highlight w:val="none"/>
                <w14:textFill>
                  <w14:solidFill>
                    <w14:schemeClr w14:val="tx1"/>
                  </w14:solidFill>
                </w14:textFill>
              </w:rPr>
            </w:pPr>
          </w:p>
        </w:tc>
        <w:tc>
          <w:tcPr>
            <w:tcW w:w="1797" w:type="dxa"/>
            <w:tcBorders>
              <w:top w:val="nil"/>
              <w:left w:val="nil"/>
              <w:bottom w:val="single" w:color="auto" w:sz="4" w:space="0"/>
              <w:right w:val="single" w:color="auto" w:sz="4" w:space="0"/>
            </w:tcBorders>
            <w:vAlign w:val="center"/>
          </w:tcPr>
          <w:p w14:paraId="3416B3C0">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营业收入（Y）</w:t>
            </w:r>
          </w:p>
        </w:tc>
        <w:tc>
          <w:tcPr>
            <w:tcW w:w="849" w:type="dxa"/>
            <w:tcBorders>
              <w:top w:val="nil"/>
              <w:left w:val="nil"/>
              <w:bottom w:val="single" w:color="auto" w:sz="4" w:space="0"/>
              <w:right w:val="single" w:color="auto" w:sz="4" w:space="0"/>
            </w:tcBorders>
            <w:vAlign w:val="center"/>
          </w:tcPr>
          <w:p w14:paraId="5C62B1C2">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万元</w:t>
            </w:r>
          </w:p>
        </w:tc>
        <w:tc>
          <w:tcPr>
            <w:tcW w:w="1867" w:type="dxa"/>
            <w:tcBorders>
              <w:top w:val="nil"/>
              <w:left w:val="nil"/>
              <w:bottom w:val="single" w:color="auto" w:sz="4" w:space="0"/>
              <w:right w:val="single" w:color="auto" w:sz="4" w:space="0"/>
            </w:tcBorders>
            <w:vAlign w:val="center"/>
          </w:tcPr>
          <w:p w14:paraId="7A68A413">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5000≤Y＜40000</w:t>
            </w:r>
          </w:p>
        </w:tc>
        <w:tc>
          <w:tcPr>
            <w:tcW w:w="1659" w:type="dxa"/>
            <w:tcBorders>
              <w:top w:val="nil"/>
              <w:left w:val="nil"/>
              <w:bottom w:val="single" w:color="auto" w:sz="4" w:space="0"/>
              <w:right w:val="single" w:color="auto" w:sz="4" w:space="0"/>
            </w:tcBorders>
            <w:vAlign w:val="center"/>
          </w:tcPr>
          <w:p w14:paraId="2B552164">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1000≤Y＜5000</w:t>
            </w:r>
          </w:p>
        </w:tc>
        <w:tc>
          <w:tcPr>
            <w:tcW w:w="1066" w:type="dxa"/>
            <w:tcBorders>
              <w:top w:val="nil"/>
              <w:left w:val="nil"/>
              <w:bottom w:val="single" w:color="auto" w:sz="4" w:space="0"/>
              <w:right w:val="single" w:color="auto" w:sz="4" w:space="0"/>
            </w:tcBorders>
            <w:vAlign w:val="center"/>
          </w:tcPr>
          <w:p w14:paraId="3E5782FB">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Y＜1000</w:t>
            </w:r>
          </w:p>
        </w:tc>
      </w:tr>
      <w:tr w14:paraId="2C1E89EF">
        <w:tblPrEx>
          <w:tblCellMar>
            <w:top w:w="0" w:type="dxa"/>
            <w:left w:w="108" w:type="dxa"/>
            <w:bottom w:w="0" w:type="dxa"/>
            <w:right w:w="108" w:type="dxa"/>
          </w:tblCellMar>
        </w:tblPrEx>
        <w:trPr>
          <w:trHeight w:val="356" w:hRule="atLeast"/>
        </w:trPr>
        <w:tc>
          <w:tcPr>
            <w:tcW w:w="1960" w:type="dxa"/>
            <w:vMerge w:val="restart"/>
            <w:tcBorders>
              <w:top w:val="nil"/>
              <w:left w:val="single" w:color="auto" w:sz="4" w:space="0"/>
              <w:bottom w:val="single" w:color="auto" w:sz="4" w:space="0"/>
              <w:right w:val="single" w:color="auto" w:sz="4" w:space="0"/>
            </w:tcBorders>
            <w:vAlign w:val="bottom"/>
          </w:tcPr>
          <w:p w14:paraId="73CE4A55">
            <w:pPr>
              <w:pageBreakBefore w:val="0"/>
              <w:widowControl/>
              <w:wordWrap/>
              <w:topLinePunct w:val="0"/>
              <w:bidi w:val="0"/>
              <w:spacing w:line="560" w:lineRule="exact"/>
              <w:jc w:val="center"/>
              <w:rPr>
                <w:rFonts w:ascii="仿宋_GB2312" w:hAnsi="仿宋" w:eastAsia="仿宋_GB2312" w:cs="宋体"/>
                <w:b/>
                <w:bCs/>
                <w:color w:val="000000" w:themeColor="text1"/>
                <w:kern w:val="0"/>
                <w:sz w:val="20"/>
                <w:szCs w:val="20"/>
                <w:highlight w:val="none"/>
                <w14:textFill>
                  <w14:solidFill>
                    <w14:schemeClr w14:val="tx1"/>
                  </w14:solidFill>
                </w14:textFill>
              </w:rPr>
            </w:pPr>
            <w:r>
              <w:rPr>
                <w:rFonts w:hint="eastAsia" w:ascii="仿宋_GB2312" w:hAnsi="仿宋" w:eastAsia="仿宋_GB2312" w:cs="宋体"/>
                <w:b/>
                <w:bCs/>
                <w:color w:val="000000" w:themeColor="text1"/>
                <w:kern w:val="0"/>
                <w:sz w:val="20"/>
                <w:szCs w:val="20"/>
                <w:highlight w:val="none"/>
                <w14:textFill>
                  <w14:solidFill>
                    <w14:schemeClr w14:val="tx1"/>
                  </w14:solidFill>
                </w14:textFill>
              </w:rPr>
              <w:t>零售业</w:t>
            </w:r>
          </w:p>
        </w:tc>
        <w:tc>
          <w:tcPr>
            <w:tcW w:w="1797" w:type="dxa"/>
            <w:tcBorders>
              <w:top w:val="nil"/>
              <w:left w:val="nil"/>
              <w:bottom w:val="single" w:color="auto" w:sz="4" w:space="0"/>
              <w:right w:val="single" w:color="auto" w:sz="4" w:space="0"/>
            </w:tcBorders>
            <w:vAlign w:val="center"/>
          </w:tcPr>
          <w:p w14:paraId="1F3C63A6">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从业人员（X）</w:t>
            </w:r>
          </w:p>
        </w:tc>
        <w:tc>
          <w:tcPr>
            <w:tcW w:w="849" w:type="dxa"/>
            <w:tcBorders>
              <w:top w:val="nil"/>
              <w:left w:val="nil"/>
              <w:bottom w:val="single" w:color="auto" w:sz="4" w:space="0"/>
              <w:right w:val="single" w:color="auto" w:sz="4" w:space="0"/>
            </w:tcBorders>
            <w:vAlign w:val="center"/>
          </w:tcPr>
          <w:p w14:paraId="4E5415FE">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人</w:t>
            </w:r>
          </w:p>
        </w:tc>
        <w:tc>
          <w:tcPr>
            <w:tcW w:w="1867" w:type="dxa"/>
            <w:tcBorders>
              <w:top w:val="nil"/>
              <w:left w:val="nil"/>
              <w:bottom w:val="single" w:color="auto" w:sz="4" w:space="0"/>
              <w:right w:val="single" w:color="auto" w:sz="4" w:space="0"/>
            </w:tcBorders>
            <w:vAlign w:val="center"/>
          </w:tcPr>
          <w:p w14:paraId="25ABB31E">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50≤X＜300</w:t>
            </w:r>
          </w:p>
        </w:tc>
        <w:tc>
          <w:tcPr>
            <w:tcW w:w="1659" w:type="dxa"/>
            <w:tcBorders>
              <w:top w:val="nil"/>
              <w:left w:val="nil"/>
              <w:bottom w:val="single" w:color="auto" w:sz="4" w:space="0"/>
              <w:right w:val="single" w:color="auto" w:sz="4" w:space="0"/>
            </w:tcBorders>
            <w:vAlign w:val="center"/>
          </w:tcPr>
          <w:p w14:paraId="1CFA6AC5">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10≤X＜50</w:t>
            </w:r>
          </w:p>
        </w:tc>
        <w:tc>
          <w:tcPr>
            <w:tcW w:w="1066" w:type="dxa"/>
            <w:tcBorders>
              <w:top w:val="nil"/>
              <w:left w:val="nil"/>
              <w:bottom w:val="single" w:color="auto" w:sz="4" w:space="0"/>
              <w:right w:val="single" w:color="auto" w:sz="4" w:space="0"/>
            </w:tcBorders>
            <w:vAlign w:val="center"/>
          </w:tcPr>
          <w:p w14:paraId="688D157C">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X＜10</w:t>
            </w:r>
          </w:p>
        </w:tc>
      </w:tr>
      <w:tr w14:paraId="146B913A">
        <w:tblPrEx>
          <w:tblCellMar>
            <w:top w:w="0" w:type="dxa"/>
            <w:left w:w="108" w:type="dxa"/>
            <w:bottom w:w="0" w:type="dxa"/>
            <w:right w:w="108" w:type="dxa"/>
          </w:tblCellMar>
        </w:tblPrEx>
        <w:trPr>
          <w:trHeight w:val="356" w:hRule="atLeast"/>
        </w:trPr>
        <w:tc>
          <w:tcPr>
            <w:tcW w:w="1960" w:type="dxa"/>
            <w:vMerge w:val="continue"/>
            <w:tcBorders>
              <w:top w:val="nil"/>
              <w:left w:val="single" w:color="auto" w:sz="4" w:space="0"/>
              <w:bottom w:val="single" w:color="auto" w:sz="4" w:space="0"/>
              <w:right w:val="single" w:color="auto" w:sz="4" w:space="0"/>
            </w:tcBorders>
            <w:vAlign w:val="center"/>
          </w:tcPr>
          <w:p w14:paraId="04F9060B">
            <w:pPr>
              <w:pageBreakBefore w:val="0"/>
              <w:widowControl/>
              <w:wordWrap/>
              <w:topLinePunct w:val="0"/>
              <w:bidi w:val="0"/>
              <w:spacing w:line="560" w:lineRule="exact"/>
              <w:jc w:val="left"/>
              <w:rPr>
                <w:rFonts w:ascii="仿宋_GB2312" w:hAnsi="仿宋" w:eastAsia="仿宋_GB2312" w:cs="宋体"/>
                <w:b/>
                <w:bCs/>
                <w:color w:val="000000" w:themeColor="text1"/>
                <w:kern w:val="0"/>
                <w:sz w:val="20"/>
                <w:szCs w:val="20"/>
                <w:highlight w:val="none"/>
                <w14:textFill>
                  <w14:solidFill>
                    <w14:schemeClr w14:val="tx1"/>
                  </w14:solidFill>
                </w14:textFill>
              </w:rPr>
            </w:pPr>
          </w:p>
        </w:tc>
        <w:tc>
          <w:tcPr>
            <w:tcW w:w="1797" w:type="dxa"/>
            <w:tcBorders>
              <w:top w:val="nil"/>
              <w:left w:val="nil"/>
              <w:bottom w:val="single" w:color="auto" w:sz="4" w:space="0"/>
              <w:right w:val="single" w:color="auto" w:sz="4" w:space="0"/>
            </w:tcBorders>
            <w:vAlign w:val="center"/>
          </w:tcPr>
          <w:p w14:paraId="4950D823">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营业收入（Y）</w:t>
            </w:r>
          </w:p>
        </w:tc>
        <w:tc>
          <w:tcPr>
            <w:tcW w:w="849" w:type="dxa"/>
            <w:tcBorders>
              <w:top w:val="nil"/>
              <w:left w:val="nil"/>
              <w:bottom w:val="single" w:color="auto" w:sz="4" w:space="0"/>
              <w:right w:val="single" w:color="auto" w:sz="4" w:space="0"/>
            </w:tcBorders>
            <w:vAlign w:val="center"/>
          </w:tcPr>
          <w:p w14:paraId="4B3C7631">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万元</w:t>
            </w:r>
          </w:p>
        </w:tc>
        <w:tc>
          <w:tcPr>
            <w:tcW w:w="1867" w:type="dxa"/>
            <w:tcBorders>
              <w:top w:val="nil"/>
              <w:left w:val="nil"/>
              <w:bottom w:val="single" w:color="auto" w:sz="4" w:space="0"/>
              <w:right w:val="single" w:color="auto" w:sz="4" w:space="0"/>
            </w:tcBorders>
            <w:vAlign w:val="center"/>
          </w:tcPr>
          <w:p w14:paraId="39A99417">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500≤Y＜20000</w:t>
            </w:r>
          </w:p>
        </w:tc>
        <w:tc>
          <w:tcPr>
            <w:tcW w:w="1659" w:type="dxa"/>
            <w:tcBorders>
              <w:top w:val="nil"/>
              <w:left w:val="nil"/>
              <w:bottom w:val="single" w:color="auto" w:sz="4" w:space="0"/>
              <w:right w:val="single" w:color="auto" w:sz="4" w:space="0"/>
            </w:tcBorders>
            <w:vAlign w:val="center"/>
          </w:tcPr>
          <w:p w14:paraId="05644768">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100≤Y＜500</w:t>
            </w:r>
          </w:p>
        </w:tc>
        <w:tc>
          <w:tcPr>
            <w:tcW w:w="1066" w:type="dxa"/>
            <w:tcBorders>
              <w:top w:val="nil"/>
              <w:left w:val="nil"/>
              <w:bottom w:val="single" w:color="auto" w:sz="4" w:space="0"/>
              <w:right w:val="single" w:color="auto" w:sz="4" w:space="0"/>
            </w:tcBorders>
            <w:vAlign w:val="center"/>
          </w:tcPr>
          <w:p w14:paraId="19EE0C79">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Y＜100</w:t>
            </w:r>
          </w:p>
        </w:tc>
      </w:tr>
      <w:tr w14:paraId="4F3216FE">
        <w:tblPrEx>
          <w:tblCellMar>
            <w:top w:w="0" w:type="dxa"/>
            <w:left w:w="108" w:type="dxa"/>
            <w:bottom w:w="0" w:type="dxa"/>
            <w:right w:w="108" w:type="dxa"/>
          </w:tblCellMar>
        </w:tblPrEx>
        <w:trPr>
          <w:trHeight w:val="356" w:hRule="atLeast"/>
        </w:trPr>
        <w:tc>
          <w:tcPr>
            <w:tcW w:w="1960" w:type="dxa"/>
            <w:vMerge w:val="restart"/>
            <w:tcBorders>
              <w:top w:val="nil"/>
              <w:left w:val="single" w:color="auto" w:sz="4" w:space="0"/>
              <w:bottom w:val="single" w:color="auto" w:sz="4" w:space="0"/>
              <w:right w:val="single" w:color="auto" w:sz="4" w:space="0"/>
            </w:tcBorders>
            <w:vAlign w:val="bottom"/>
          </w:tcPr>
          <w:p w14:paraId="5E2732A3">
            <w:pPr>
              <w:pageBreakBefore w:val="0"/>
              <w:widowControl/>
              <w:wordWrap/>
              <w:topLinePunct w:val="0"/>
              <w:bidi w:val="0"/>
              <w:spacing w:line="560" w:lineRule="exact"/>
              <w:jc w:val="center"/>
              <w:rPr>
                <w:rFonts w:ascii="仿宋_GB2312" w:hAnsi="仿宋" w:eastAsia="仿宋_GB2312" w:cs="宋体"/>
                <w:b/>
                <w:bCs/>
                <w:color w:val="000000" w:themeColor="text1"/>
                <w:kern w:val="0"/>
                <w:sz w:val="20"/>
                <w:szCs w:val="20"/>
                <w:highlight w:val="none"/>
                <w14:textFill>
                  <w14:solidFill>
                    <w14:schemeClr w14:val="tx1"/>
                  </w14:solidFill>
                </w14:textFill>
              </w:rPr>
            </w:pPr>
            <w:r>
              <w:rPr>
                <w:rFonts w:hint="eastAsia" w:ascii="仿宋_GB2312" w:hAnsi="仿宋" w:eastAsia="仿宋_GB2312" w:cs="宋体"/>
                <w:b/>
                <w:bCs/>
                <w:color w:val="000000" w:themeColor="text1"/>
                <w:kern w:val="0"/>
                <w:sz w:val="20"/>
                <w:szCs w:val="20"/>
                <w:highlight w:val="none"/>
                <w14:textFill>
                  <w14:solidFill>
                    <w14:schemeClr w14:val="tx1"/>
                  </w14:solidFill>
                </w14:textFill>
              </w:rPr>
              <w:t>交通运输业</w:t>
            </w:r>
          </w:p>
        </w:tc>
        <w:tc>
          <w:tcPr>
            <w:tcW w:w="1797" w:type="dxa"/>
            <w:tcBorders>
              <w:top w:val="nil"/>
              <w:left w:val="nil"/>
              <w:bottom w:val="single" w:color="auto" w:sz="4" w:space="0"/>
              <w:right w:val="single" w:color="auto" w:sz="4" w:space="0"/>
            </w:tcBorders>
            <w:vAlign w:val="center"/>
          </w:tcPr>
          <w:p w14:paraId="256BD2AF">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从业人员（X）</w:t>
            </w:r>
          </w:p>
        </w:tc>
        <w:tc>
          <w:tcPr>
            <w:tcW w:w="849" w:type="dxa"/>
            <w:tcBorders>
              <w:top w:val="nil"/>
              <w:left w:val="nil"/>
              <w:bottom w:val="single" w:color="auto" w:sz="4" w:space="0"/>
              <w:right w:val="single" w:color="auto" w:sz="4" w:space="0"/>
            </w:tcBorders>
            <w:vAlign w:val="center"/>
          </w:tcPr>
          <w:p w14:paraId="65F1B28A">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人</w:t>
            </w:r>
          </w:p>
        </w:tc>
        <w:tc>
          <w:tcPr>
            <w:tcW w:w="1867" w:type="dxa"/>
            <w:tcBorders>
              <w:top w:val="nil"/>
              <w:left w:val="nil"/>
              <w:bottom w:val="single" w:color="auto" w:sz="4" w:space="0"/>
              <w:right w:val="single" w:color="auto" w:sz="4" w:space="0"/>
            </w:tcBorders>
            <w:vAlign w:val="center"/>
          </w:tcPr>
          <w:p w14:paraId="4A5DD99A">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300≤X＜1000</w:t>
            </w:r>
          </w:p>
        </w:tc>
        <w:tc>
          <w:tcPr>
            <w:tcW w:w="1659" w:type="dxa"/>
            <w:tcBorders>
              <w:top w:val="nil"/>
              <w:left w:val="nil"/>
              <w:bottom w:val="single" w:color="auto" w:sz="4" w:space="0"/>
              <w:right w:val="single" w:color="auto" w:sz="4" w:space="0"/>
            </w:tcBorders>
            <w:vAlign w:val="center"/>
          </w:tcPr>
          <w:p w14:paraId="3BFBAE91">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20≤X＜300</w:t>
            </w:r>
          </w:p>
        </w:tc>
        <w:tc>
          <w:tcPr>
            <w:tcW w:w="1066" w:type="dxa"/>
            <w:tcBorders>
              <w:top w:val="nil"/>
              <w:left w:val="nil"/>
              <w:bottom w:val="single" w:color="auto" w:sz="4" w:space="0"/>
              <w:right w:val="single" w:color="auto" w:sz="4" w:space="0"/>
            </w:tcBorders>
            <w:vAlign w:val="center"/>
          </w:tcPr>
          <w:p w14:paraId="5E1F8BFE">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X＜20</w:t>
            </w:r>
          </w:p>
        </w:tc>
      </w:tr>
      <w:tr w14:paraId="02AA596B">
        <w:tblPrEx>
          <w:tblCellMar>
            <w:top w:w="0" w:type="dxa"/>
            <w:left w:w="108" w:type="dxa"/>
            <w:bottom w:w="0" w:type="dxa"/>
            <w:right w:w="108" w:type="dxa"/>
          </w:tblCellMar>
        </w:tblPrEx>
        <w:trPr>
          <w:trHeight w:val="356" w:hRule="atLeast"/>
        </w:trPr>
        <w:tc>
          <w:tcPr>
            <w:tcW w:w="1960" w:type="dxa"/>
            <w:vMerge w:val="continue"/>
            <w:tcBorders>
              <w:top w:val="nil"/>
              <w:left w:val="single" w:color="auto" w:sz="4" w:space="0"/>
              <w:bottom w:val="single" w:color="auto" w:sz="4" w:space="0"/>
              <w:right w:val="single" w:color="auto" w:sz="4" w:space="0"/>
            </w:tcBorders>
            <w:vAlign w:val="center"/>
          </w:tcPr>
          <w:p w14:paraId="7D8D1FBC">
            <w:pPr>
              <w:pageBreakBefore w:val="0"/>
              <w:widowControl/>
              <w:wordWrap/>
              <w:topLinePunct w:val="0"/>
              <w:bidi w:val="0"/>
              <w:spacing w:line="560" w:lineRule="exact"/>
              <w:jc w:val="left"/>
              <w:rPr>
                <w:rFonts w:ascii="仿宋_GB2312" w:hAnsi="仿宋" w:eastAsia="仿宋_GB2312" w:cs="宋体"/>
                <w:b/>
                <w:bCs/>
                <w:color w:val="000000" w:themeColor="text1"/>
                <w:kern w:val="0"/>
                <w:sz w:val="20"/>
                <w:szCs w:val="20"/>
                <w:highlight w:val="none"/>
                <w14:textFill>
                  <w14:solidFill>
                    <w14:schemeClr w14:val="tx1"/>
                  </w14:solidFill>
                </w14:textFill>
              </w:rPr>
            </w:pPr>
          </w:p>
        </w:tc>
        <w:tc>
          <w:tcPr>
            <w:tcW w:w="1797" w:type="dxa"/>
            <w:tcBorders>
              <w:top w:val="nil"/>
              <w:left w:val="nil"/>
              <w:bottom w:val="single" w:color="auto" w:sz="4" w:space="0"/>
              <w:right w:val="single" w:color="auto" w:sz="4" w:space="0"/>
            </w:tcBorders>
            <w:vAlign w:val="center"/>
          </w:tcPr>
          <w:p w14:paraId="1F7339B9">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营业收入（Y）</w:t>
            </w:r>
          </w:p>
        </w:tc>
        <w:tc>
          <w:tcPr>
            <w:tcW w:w="849" w:type="dxa"/>
            <w:tcBorders>
              <w:top w:val="nil"/>
              <w:left w:val="nil"/>
              <w:bottom w:val="single" w:color="auto" w:sz="4" w:space="0"/>
              <w:right w:val="single" w:color="auto" w:sz="4" w:space="0"/>
            </w:tcBorders>
            <w:vAlign w:val="center"/>
          </w:tcPr>
          <w:p w14:paraId="05B14892">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万元</w:t>
            </w:r>
          </w:p>
        </w:tc>
        <w:tc>
          <w:tcPr>
            <w:tcW w:w="1867" w:type="dxa"/>
            <w:tcBorders>
              <w:top w:val="nil"/>
              <w:left w:val="nil"/>
              <w:bottom w:val="single" w:color="auto" w:sz="4" w:space="0"/>
              <w:right w:val="single" w:color="auto" w:sz="4" w:space="0"/>
            </w:tcBorders>
            <w:vAlign w:val="center"/>
          </w:tcPr>
          <w:p w14:paraId="46611D96">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3000≤Y＜30000</w:t>
            </w:r>
          </w:p>
        </w:tc>
        <w:tc>
          <w:tcPr>
            <w:tcW w:w="1659" w:type="dxa"/>
            <w:tcBorders>
              <w:top w:val="nil"/>
              <w:left w:val="nil"/>
              <w:bottom w:val="single" w:color="auto" w:sz="4" w:space="0"/>
              <w:right w:val="single" w:color="auto" w:sz="4" w:space="0"/>
            </w:tcBorders>
            <w:vAlign w:val="center"/>
          </w:tcPr>
          <w:p w14:paraId="075E074F">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200≤Y＜3000</w:t>
            </w:r>
          </w:p>
        </w:tc>
        <w:tc>
          <w:tcPr>
            <w:tcW w:w="1066" w:type="dxa"/>
            <w:tcBorders>
              <w:top w:val="nil"/>
              <w:left w:val="nil"/>
              <w:bottom w:val="single" w:color="auto" w:sz="4" w:space="0"/>
              <w:right w:val="single" w:color="auto" w:sz="4" w:space="0"/>
            </w:tcBorders>
            <w:vAlign w:val="center"/>
          </w:tcPr>
          <w:p w14:paraId="50800800">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Y＜200</w:t>
            </w:r>
          </w:p>
        </w:tc>
      </w:tr>
      <w:tr w14:paraId="60906E56">
        <w:tblPrEx>
          <w:tblCellMar>
            <w:top w:w="0" w:type="dxa"/>
            <w:left w:w="108" w:type="dxa"/>
            <w:bottom w:w="0" w:type="dxa"/>
            <w:right w:w="108" w:type="dxa"/>
          </w:tblCellMar>
        </w:tblPrEx>
        <w:trPr>
          <w:trHeight w:val="356" w:hRule="atLeast"/>
        </w:trPr>
        <w:tc>
          <w:tcPr>
            <w:tcW w:w="1960" w:type="dxa"/>
            <w:vMerge w:val="restart"/>
            <w:tcBorders>
              <w:top w:val="nil"/>
              <w:left w:val="single" w:color="auto" w:sz="4" w:space="0"/>
              <w:bottom w:val="single" w:color="auto" w:sz="4" w:space="0"/>
              <w:right w:val="single" w:color="auto" w:sz="4" w:space="0"/>
            </w:tcBorders>
            <w:vAlign w:val="bottom"/>
          </w:tcPr>
          <w:p w14:paraId="02E60A85">
            <w:pPr>
              <w:pageBreakBefore w:val="0"/>
              <w:widowControl/>
              <w:wordWrap/>
              <w:topLinePunct w:val="0"/>
              <w:bidi w:val="0"/>
              <w:spacing w:line="560" w:lineRule="exact"/>
              <w:jc w:val="center"/>
              <w:rPr>
                <w:rFonts w:ascii="仿宋_GB2312" w:hAnsi="仿宋" w:eastAsia="仿宋_GB2312" w:cs="宋体"/>
                <w:b/>
                <w:bCs/>
                <w:color w:val="000000" w:themeColor="text1"/>
                <w:kern w:val="0"/>
                <w:sz w:val="20"/>
                <w:szCs w:val="20"/>
                <w:highlight w:val="none"/>
                <w14:textFill>
                  <w14:solidFill>
                    <w14:schemeClr w14:val="tx1"/>
                  </w14:solidFill>
                </w14:textFill>
              </w:rPr>
            </w:pPr>
            <w:r>
              <w:rPr>
                <w:rFonts w:hint="eastAsia" w:ascii="仿宋_GB2312" w:hAnsi="仿宋" w:eastAsia="仿宋_GB2312" w:cs="宋体"/>
                <w:b/>
                <w:bCs/>
                <w:color w:val="000000" w:themeColor="text1"/>
                <w:kern w:val="0"/>
                <w:sz w:val="20"/>
                <w:szCs w:val="20"/>
                <w:highlight w:val="none"/>
                <w14:textFill>
                  <w14:solidFill>
                    <w14:schemeClr w14:val="tx1"/>
                  </w14:solidFill>
                </w14:textFill>
              </w:rPr>
              <w:t>仓储业</w:t>
            </w:r>
          </w:p>
        </w:tc>
        <w:tc>
          <w:tcPr>
            <w:tcW w:w="1797" w:type="dxa"/>
            <w:tcBorders>
              <w:top w:val="nil"/>
              <w:left w:val="nil"/>
              <w:bottom w:val="single" w:color="auto" w:sz="4" w:space="0"/>
              <w:right w:val="single" w:color="auto" w:sz="4" w:space="0"/>
            </w:tcBorders>
            <w:vAlign w:val="center"/>
          </w:tcPr>
          <w:p w14:paraId="0E32AEEA">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从业人员（X）</w:t>
            </w:r>
          </w:p>
        </w:tc>
        <w:tc>
          <w:tcPr>
            <w:tcW w:w="849" w:type="dxa"/>
            <w:tcBorders>
              <w:top w:val="nil"/>
              <w:left w:val="nil"/>
              <w:bottom w:val="single" w:color="auto" w:sz="4" w:space="0"/>
              <w:right w:val="single" w:color="auto" w:sz="4" w:space="0"/>
            </w:tcBorders>
            <w:vAlign w:val="center"/>
          </w:tcPr>
          <w:p w14:paraId="5C63CA54">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人</w:t>
            </w:r>
          </w:p>
        </w:tc>
        <w:tc>
          <w:tcPr>
            <w:tcW w:w="1867" w:type="dxa"/>
            <w:tcBorders>
              <w:top w:val="nil"/>
              <w:left w:val="nil"/>
              <w:bottom w:val="single" w:color="auto" w:sz="4" w:space="0"/>
              <w:right w:val="single" w:color="auto" w:sz="4" w:space="0"/>
            </w:tcBorders>
            <w:vAlign w:val="center"/>
          </w:tcPr>
          <w:p w14:paraId="65CECB15">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100≤X＜200</w:t>
            </w:r>
          </w:p>
        </w:tc>
        <w:tc>
          <w:tcPr>
            <w:tcW w:w="1659" w:type="dxa"/>
            <w:tcBorders>
              <w:top w:val="nil"/>
              <w:left w:val="nil"/>
              <w:bottom w:val="single" w:color="auto" w:sz="4" w:space="0"/>
              <w:right w:val="single" w:color="auto" w:sz="4" w:space="0"/>
            </w:tcBorders>
            <w:vAlign w:val="center"/>
          </w:tcPr>
          <w:p w14:paraId="5BAD6EED">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20≤X＜100</w:t>
            </w:r>
          </w:p>
        </w:tc>
        <w:tc>
          <w:tcPr>
            <w:tcW w:w="1066" w:type="dxa"/>
            <w:tcBorders>
              <w:top w:val="nil"/>
              <w:left w:val="nil"/>
              <w:bottom w:val="single" w:color="auto" w:sz="4" w:space="0"/>
              <w:right w:val="single" w:color="auto" w:sz="4" w:space="0"/>
            </w:tcBorders>
            <w:vAlign w:val="center"/>
          </w:tcPr>
          <w:p w14:paraId="1843CBB3">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X＜20</w:t>
            </w:r>
          </w:p>
        </w:tc>
      </w:tr>
      <w:tr w14:paraId="25FFF9C5">
        <w:tblPrEx>
          <w:tblCellMar>
            <w:top w:w="0" w:type="dxa"/>
            <w:left w:w="108" w:type="dxa"/>
            <w:bottom w:w="0" w:type="dxa"/>
            <w:right w:w="108" w:type="dxa"/>
          </w:tblCellMar>
        </w:tblPrEx>
        <w:trPr>
          <w:trHeight w:val="356" w:hRule="atLeast"/>
        </w:trPr>
        <w:tc>
          <w:tcPr>
            <w:tcW w:w="1960" w:type="dxa"/>
            <w:vMerge w:val="continue"/>
            <w:tcBorders>
              <w:top w:val="nil"/>
              <w:left w:val="single" w:color="auto" w:sz="4" w:space="0"/>
              <w:bottom w:val="single" w:color="auto" w:sz="4" w:space="0"/>
              <w:right w:val="single" w:color="auto" w:sz="4" w:space="0"/>
            </w:tcBorders>
            <w:vAlign w:val="center"/>
          </w:tcPr>
          <w:p w14:paraId="679E6B2B">
            <w:pPr>
              <w:pageBreakBefore w:val="0"/>
              <w:widowControl/>
              <w:wordWrap/>
              <w:topLinePunct w:val="0"/>
              <w:bidi w:val="0"/>
              <w:spacing w:line="560" w:lineRule="exact"/>
              <w:jc w:val="left"/>
              <w:rPr>
                <w:rFonts w:ascii="仿宋_GB2312" w:hAnsi="仿宋" w:eastAsia="仿宋_GB2312" w:cs="宋体"/>
                <w:b/>
                <w:bCs/>
                <w:color w:val="000000" w:themeColor="text1"/>
                <w:kern w:val="0"/>
                <w:sz w:val="20"/>
                <w:szCs w:val="20"/>
                <w:highlight w:val="none"/>
                <w14:textFill>
                  <w14:solidFill>
                    <w14:schemeClr w14:val="tx1"/>
                  </w14:solidFill>
                </w14:textFill>
              </w:rPr>
            </w:pPr>
          </w:p>
        </w:tc>
        <w:tc>
          <w:tcPr>
            <w:tcW w:w="1797" w:type="dxa"/>
            <w:tcBorders>
              <w:top w:val="nil"/>
              <w:left w:val="nil"/>
              <w:bottom w:val="single" w:color="auto" w:sz="4" w:space="0"/>
              <w:right w:val="single" w:color="auto" w:sz="4" w:space="0"/>
            </w:tcBorders>
            <w:vAlign w:val="center"/>
          </w:tcPr>
          <w:p w14:paraId="21E4FBA0">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营业收入（Y）</w:t>
            </w:r>
          </w:p>
        </w:tc>
        <w:tc>
          <w:tcPr>
            <w:tcW w:w="849" w:type="dxa"/>
            <w:tcBorders>
              <w:top w:val="nil"/>
              <w:left w:val="nil"/>
              <w:bottom w:val="single" w:color="auto" w:sz="4" w:space="0"/>
              <w:right w:val="single" w:color="auto" w:sz="4" w:space="0"/>
            </w:tcBorders>
            <w:vAlign w:val="center"/>
          </w:tcPr>
          <w:p w14:paraId="639EFDB1">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万元</w:t>
            </w:r>
          </w:p>
        </w:tc>
        <w:tc>
          <w:tcPr>
            <w:tcW w:w="1867" w:type="dxa"/>
            <w:tcBorders>
              <w:top w:val="nil"/>
              <w:left w:val="nil"/>
              <w:bottom w:val="single" w:color="auto" w:sz="4" w:space="0"/>
              <w:right w:val="single" w:color="auto" w:sz="4" w:space="0"/>
            </w:tcBorders>
            <w:vAlign w:val="center"/>
          </w:tcPr>
          <w:p w14:paraId="70C2EE57">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1000≤Y＜30000</w:t>
            </w:r>
          </w:p>
        </w:tc>
        <w:tc>
          <w:tcPr>
            <w:tcW w:w="1659" w:type="dxa"/>
            <w:tcBorders>
              <w:top w:val="nil"/>
              <w:left w:val="nil"/>
              <w:bottom w:val="single" w:color="auto" w:sz="4" w:space="0"/>
              <w:right w:val="single" w:color="auto" w:sz="4" w:space="0"/>
            </w:tcBorders>
            <w:vAlign w:val="center"/>
          </w:tcPr>
          <w:p w14:paraId="53D2FF2B">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100≤Y＜1000</w:t>
            </w:r>
          </w:p>
        </w:tc>
        <w:tc>
          <w:tcPr>
            <w:tcW w:w="1066" w:type="dxa"/>
            <w:tcBorders>
              <w:top w:val="nil"/>
              <w:left w:val="nil"/>
              <w:bottom w:val="single" w:color="auto" w:sz="4" w:space="0"/>
              <w:right w:val="single" w:color="auto" w:sz="4" w:space="0"/>
            </w:tcBorders>
            <w:vAlign w:val="center"/>
          </w:tcPr>
          <w:p w14:paraId="1BAFCE22">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Y＜100</w:t>
            </w:r>
          </w:p>
        </w:tc>
      </w:tr>
      <w:tr w14:paraId="3CD92B1C">
        <w:tblPrEx>
          <w:tblCellMar>
            <w:top w:w="0" w:type="dxa"/>
            <w:left w:w="108" w:type="dxa"/>
            <w:bottom w:w="0" w:type="dxa"/>
            <w:right w:w="108" w:type="dxa"/>
          </w:tblCellMar>
        </w:tblPrEx>
        <w:trPr>
          <w:trHeight w:val="356" w:hRule="atLeast"/>
        </w:trPr>
        <w:tc>
          <w:tcPr>
            <w:tcW w:w="1960" w:type="dxa"/>
            <w:vMerge w:val="restart"/>
            <w:tcBorders>
              <w:top w:val="nil"/>
              <w:left w:val="single" w:color="auto" w:sz="4" w:space="0"/>
              <w:bottom w:val="single" w:color="auto" w:sz="4" w:space="0"/>
              <w:right w:val="single" w:color="auto" w:sz="4" w:space="0"/>
            </w:tcBorders>
            <w:vAlign w:val="bottom"/>
          </w:tcPr>
          <w:p w14:paraId="2E658B56">
            <w:pPr>
              <w:pageBreakBefore w:val="0"/>
              <w:widowControl/>
              <w:wordWrap/>
              <w:topLinePunct w:val="0"/>
              <w:bidi w:val="0"/>
              <w:spacing w:line="560" w:lineRule="exact"/>
              <w:jc w:val="center"/>
              <w:rPr>
                <w:rFonts w:ascii="仿宋_GB2312" w:hAnsi="仿宋" w:eastAsia="仿宋_GB2312" w:cs="宋体"/>
                <w:b/>
                <w:bCs/>
                <w:color w:val="000000" w:themeColor="text1"/>
                <w:kern w:val="0"/>
                <w:sz w:val="20"/>
                <w:szCs w:val="20"/>
                <w:highlight w:val="none"/>
                <w14:textFill>
                  <w14:solidFill>
                    <w14:schemeClr w14:val="tx1"/>
                  </w14:solidFill>
                </w14:textFill>
              </w:rPr>
            </w:pPr>
            <w:r>
              <w:rPr>
                <w:rFonts w:hint="eastAsia" w:ascii="仿宋_GB2312" w:hAnsi="仿宋" w:eastAsia="仿宋_GB2312" w:cs="宋体"/>
                <w:b/>
                <w:bCs/>
                <w:color w:val="000000" w:themeColor="text1"/>
                <w:kern w:val="0"/>
                <w:sz w:val="20"/>
                <w:szCs w:val="20"/>
                <w:highlight w:val="none"/>
                <w14:textFill>
                  <w14:solidFill>
                    <w14:schemeClr w14:val="tx1"/>
                  </w14:solidFill>
                </w14:textFill>
              </w:rPr>
              <w:t>邮政业</w:t>
            </w:r>
          </w:p>
        </w:tc>
        <w:tc>
          <w:tcPr>
            <w:tcW w:w="1797" w:type="dxa"/>
            <w:tcBorders>
              <w:top w:val="nil"/>
              <w:left w:val="nil"/>
              <w:bottom w:val="single" w:color="auto" w:sz="4" w:space="0"/>
              <w:right w:val="single" w:color="auto" w:sz="4" w:space="0"/>
            </w:tcBorders>
            <w:vAlign w:val="center"/>
          </w:tcPr>
          <w:p w14:paraId="6394EF37">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从业人员（X）</w:t>
            </w:r>
          </w:p>
        </w:tc>
        <w:tc>
          <w:tcPr>
            <w:tcW w:w="849" w:type="dxa"/>
            <w:tcBorders>
              <w:top w:val="nil"/>
              <w:left w:val="nil"/>
              <w:bottom w:val="single" w:color="auto" w:sz="4" w:space="0"/>
              <w:right w:val="single" w:color="auto" w:sz="4" w:space="0"/>
            </w:tcBorders>
            <w:vAlign w:val="center"/>
          </w:tcPr>
          <w:p w14:paraId="698687F2">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人</w:t>
            </w:r>
          </w:p>
        </w:tc>
        <w:tc>
          <w:tcPr>
            <w:tcW w:w="1867" w:type="dxa"/>
            <w:tcBorders>
              <w:top w:val="nil"/>
              <w:left w:val="nil"/>
              <w:bottom w:val="single" w:color="auto" w:sz="4" w:space="0"/>
              <w:right w:val="single" w:color="auto" w:sz="4" w:space="0"/>
            </w:tcBorders>
            <w:vAlign w:val="center"/>
          </w:tcPr>
          <w:p w14:paraId="6C1603AD">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300≤X＜1000</w:t>
            </w:r>
          </w:p>
        </w:tc>
        <w:tc>
          <w:tcPr>
            <w:tcW w:w="1659" w:type="dxa"/>
            <w:tcBorders>
              <w:top w:val="nil"/>
              <w:left w:val="nil"/>
              <w:bottom w:val="single" w:color="auto" w:sz="4" w:space="0"/>
              <w:right w:val="single" w:color="auto" w:sz="4" w:space="0"/>
            </w:tcBorders>
            <w:vAlign w:val="center"/>
          </w:tcPr>
          <w:p w14:paraId="480D7A9D">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20≤X＜300</w:t>
            </w:r>
          </w:p>
        </w:tc>
        <w:tc>
          <w:tcPr>
            <w:tcW w:w="1066" w:type="dxa"/>
            <w:tcBorders>
              <w:top w:val="nil"/>
              <w:left w:val="nil"/>
              <w:bottom w:val="single" w:color="auto" w:sz="4" w:space="0"/>
              <w:right w:val="single" w:color="auto" w:sz="4" w:space="0"/>
            </w:tcBorders>
            <w:vAlign w:val="center"/>
          </w:tcPr>
          <w:p w14:paraId="55A5279F">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X＜20</w:t>
            </w:r>
          </w:p>
        </w:tc>
      </w:tr>
      <w:tr w14:paraId="44B287CD">
        <w:tblPrEx>
          <w:tblCellMar>
            <w:top w:w="0" w:type="dxa"/>
            <w:left w:w="108" w:type="dxa"/>
            <w:bottom w:w="0" w:type="dxa"/>
            <w:right w:w="108" w:type="dxa"/>
          </w:tblCellMar>
        </w:tblPrEx>
        <w:trPr>
          <w:trHeight w:val="356" w:hRule="atLeast"/>
        </w:trPr>
        <w:tc>
          <w:tcPr>
            <w:tcW w:w="1960" w:type="dxa"/>
            <w:vMerge w:val="continue"/>
            <w:tcBorders>
              <w:top w:val="nil"/>
              <w:left w:val="single" w:color="auto" w:sz="4" w:space="0"/>
              <w:bottom w:val="single" w:color="auto" w:sz="4" w:space="0"/>
              <w:right w:val="single" w:color="auto" w:sz="4" w:space="0"/>
            </w:tcBorders>
            <w:vAlign w:val="center"/>
          </w:tcPr>
          <w:p w14:paraId="3C033767">
            <w:pPr>
              <w:pageBreakBefore w:val="0"/>
              <w:widowControl/>
              <w:wordWrap/>
              <w:topLinePunct w:val="0"/>
              <w:bidi w:val="0"/>
              <w:spacing w:line="560" w:lineRule="exact"/>
              <w:jc w:val="left"/>
              <w:rPr>
                <w:rFonts w:ascii="仿宋_GB2312" w:hAnsi="仿宋" w:eastAsia="仿宋_GB2312" w:cs="宋体"/>
                <w:b/>
                <w:bCs/>
                <w:color w:val="000000" w:themeColor="text1"/>
                <w:kern w:val="0"/>
                <w:sz w:val="20"/>
                <w:szCs w:val="20"/>
                <w:highlight w:val="none"/>
                <w14:textFill>
                  <w14:solidFill>
                    <w14:schemeClr w14:val="tx1"/>
                  </w14:solidFill>
                </w14:textFill>
              </w:rPr>
            </w:pPr>
          </w:p>
        </w:tc>
        <w:tc>
          <w:tcPr>
            <w:tcW w:w="1797" w:type="dxa"/>
            <w:tcBorders>
              <w:top w:val="nil"/>
              <w:left w:val="nil"/>
              <w:bottom w:val="single" w:color="auto" w:sz="4" w:space="0"/>
              <w:right w:val="single" w:color="auto" w:sz="4" w:space="0"/>
            </w:tcBorders>
            <w:vAlign w:val="center"/>
          </w:tcPr>
          <w:p w14:paraId="3EE88331">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营业收入（Y）</w:t>
            </w:r>
          </w:p>
        </w:tc>
        <w:tc>
          <w:tcPr>
            <w:tcW w:w="849" w:type="dxa"/>
            <w:tcBorders>
              <w:top w:val="nil"/>
              <w:left w:val="nil"/>
              <w:bottom w:val="single" w:color="auto" w:sz="4" w:space="0"/>
              <w:right w:val="single" w:color="auto" w:sz="4" w:space="0"/>
            </w:tcBorders>
            <w:vAlign w:val="center"/>
          </w:tcPr>
          <w:p w14:paraId="45FE472F">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万元</w:t>
            </w:r>
          </w:p>
        </w:tc>
        <w:tc>
          <w:tcPr>
            <w:tcW w:w="1867" w:type="dxa"/>
            <w:tcBorders>
              <w:top w:val="nil"/>
              <w:left w:val="nil"/>
              <w:bottom w:val="single" w:color="auto" w:sz="4" w:space="0"/>
              <w:right w:val="single" w:color="auto" w:sz="4" w:space="0"/>
            </w:tcBorders>
            <w:vAlign w:val="center"/>
          </w:tcPr>
          <w:p w14:paraId="2C9A33DD">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2000≤Y＜30000</w:t>
            </w:r>
          </w:p>
        </w:tc>
        <w:tc>
          <w:tcPr>
            <w:tcW w:w="1659" w:type="dxa"/>
            <w:tcBorders>
              <w:top w:val="nil"/>
              <w:left w:val="nil"/>
              <w:bottom w:val="single" w:color="auto" w:sz="4" w:space="0"/>
              <w:right w:val="single" w:color="auto" w:sz="4" w:space="0"/>
            </w:tcBorders>
            <w:vAlign w:val="center"/>
          </w:tcPr>
          <w:p w14:paraId="2CF8878E">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100≤Y＜2000</w:t>
            </w:r>
          </w:p>
        </w:tc>
        <w:tc>
          <w:tcPr>
            <w:tcW w:w="1066" w:type="dxa"/>
            <w:tcBorders>
              <w:top w:val="nil"/>
              <w:left w:val="nil"/>
              <w:bottom w:val="single" w:color="auto" w:sz="4" w:space="0"/>
              <w:right w:val="single" w:color="auto" w:sz="4" w:space="0"/>
            </w:tcBorders>
            <w:vAlign w:val="center"/>
          </w:tcPr>
          <w:p w14:paraId="7C0EA833">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Y＜100</w:t>
            </w:r>
          </w:p>
        </w:tc>
      </w:tr>
      <w:tr w14:paraId="01BE476D">
        <w:tblPrEx>
          <w:tblCellMar>
            <w:top w:w="0" w:type="dxa"/>
            <w:left w:w="108" w:type="dxa"/>
            <w:bottom w:w="0" w:type="dxa"/>
            <w:right w:w="108" w:type="dxa"/>
          </w:tblCellMar>
        </w:tblPrEx>
        <w:trPr>
          <w:trHeight w:val="356" w:hRule="atLeast"/>
        </w:trPr>
        <w:tc>
          <w:tcPr>
            <w:tcW w:w="1960" w:type="dxa"/>
            <w:vMerge w:val="restart"/>
            <w:tcBorders>
              <w:top w:val="nil"/>
              <w:left w:val="single" w:color="auto" w:sz="4" w:space="0"/>
              <w:bottom w:val="single" w:color="auto" w:sz="4" w:space="0"/>
              <w:right w:val="single" w:color="auto" w:sz="4" w:space="0"/>
            </w:tcBorders>
            <w:vAlign w:val="bottom"/>
          </w:tcPr>
          <w:p w14:paraId="1F89399C">
            <w:pPr>
              <w:pageBreakBefore w:val="0"/>
              <w:widowControl/>
              <w:wordWrap/>
              <w:topLinePunct w:val="0"/>
              <w:bidi w:val="0"/>
              <w:spacing w:line="560" w:lineRule="exact"/>
              <w:jc w:val="center"/>
              <w:rPr>
                <w:rFonts w:ascii="仿宋_GB2312" w:hAnsi="仿宋" w:eastAsia="仿宋_GB2312" w:cs="宋体"/>
                <w:b/>
                <w:bCs/>
                <w:color w:val="000000" w:themeColor="text1"/>
                <w:kern w:val="0"/>
                <w:sz w:val="20"/>
                <w:szCs w:val="20"/>
                <w:highlight w:val="none"/>
                <w14:textFill>
                  <w14:solidFill>
                    <w14:schemeClr w14:val="tx1"/>
                  </w14:solidFill>
                </w14:textFill>
              </w:rPr>
            </w:pPr>
            <w:r>
              <w:rPr>
                <w:rFonts w:hint="eastAsia" w:ascii="仿宋_GB2312" w:hAnsi="仿宋" w:eastAsia="仿宋_GB2312" w:cs="宋体"/>
                <w:b/>
                <w:bCs/>
                <w:color w:val="000000" w:themeColor="text1"/>
                <w:kern w:val="0"/>
                <w:sz w:val="20"/>
                <w:szCs w:val="20"/>
                <w:highlight w:val="none"/>
                <w14:textFill>
                  <w14:solidFill>
                    <w14:schemeClr w14:val="tx1"/>
                  </w14:solidFill>
                </w14:textFill>
              </w:rPr>
              <w:t>住宿业</w:t>
            </w:r>
          </w:p>
        </w:tc>
        <w:tc>
          <w:tcPr>
            <w:tcW w:w="1797" w:type="dxa"/>
            <w:tcBorders>
              <w:top w:val="nil"/>
              <w:left w:val="nil"/>
              <w:bottom w:val="single" w:color="auto" w:sz="4" w:space="0"/>
              <w:right w:val="single" w:color="auto" w:sz="4" w:space="0"/>
            </w:tcBorders>
            <w:vAlign w:val="center"/>
          </w:tcPr>
          <w:p w14:paraId="3F87D93A">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从业人员（X）</w:t>
            </w:r>
          </w:p>
        </w:tc>
        <w:tc>
          <w:tcPr>
            <w:tcW w:w="849" w:type="dxa"/>
            <w:tcBorders>
              <w:top w:val="nil"/>
              <w:left w:val="nil"/>
              <w:bottom w:val="single" w:color="auto" w:sz="4" w:space="0"/>
              <w:right w:val="single" w:color="auto" w:sz="4" w:space="0"/>
            </w:tcBorders>
            <w:vAlign w:val="center"/>
          </w:tcPr>
          <w:p w14:paraId="5DFA2E09">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人</w:t>
            </w:r>
          </w:p>
        </w:tc>
        <w:tc>
          <w:tcPr>
            <w:tcW w:w="1867" w:type="dxa"/>
            <w:tcBorders>
              <w:top w:val="nil"/>
              <w:left w:val="nil"/>
              <w:bottom w:val="single" w:color="auto" w:sz="4" w:space="0"/>
              <w:right w:val="single" w:color="auto" w:sz="4" w:space="0"/>
            </w:tcBorders>
            <w:vAlign w:val="center"/>
          </w:tcPr>
          <w:p w14:paraId="2E451F38">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100≤X＜300</w:t>
            </w:r>
          </w:p>
        </w:tc>
        <w:tc>
          <w:tcPr>
            <w:tcW w:w="1659" w:type="dxa"/>
            <w:tcBorders>
              <w:top w:val="nil"/>
              <w:left w:val="nil"/>
              <w:bottom w:val="single" w:color="auto" w:sz="4" w:space="0"/>
              <w:right w:val="single" w:color="auto" w:sz="4" w:space="0"/>
            </w:tcBorders>
            <w:vAlign w:val="center"/>
          </w:tcPr>
          <w:p w14:paraId="4732315F">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10≤X＜100</w:t>
            </w:r>
          </w:p>
        </w:tc>
        <w:tc>
          <w:tcPr>
            <w:tcW w:w="1066" w:type="dxa"/>
            <w:tcBorders>
              <w:top w:val="nil"/>
              <w:left w:val="nil"/>
              <w:bottom w:val="single" w:color="auto" w:sz="4" w:space="0"/>
              <w:right w:val="single" w:color="auto" w:sz="4" w:space="0"/>
            </w:tcBorders>
            <w:vAlign w:val="center"/>
          </w:tcPr>
          <w:p w14:paraId="1A086F54">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X＜10</w:t>
            </w:r>
          </w:p>
        </w:tc>
      </w:tr>
      <w:tr w14:paraId="195BE098">
        <w:tblPrEx>
          <w:tblCellMar>
            <w:top w:w="0" w:type="dxa"/>
            <w:left w:w="108" w:type="dxa"/>
            <w:bottom w:w="0" w:type="dxa"/>
            <w:right w:w="108" w:type="dxa"/>
          </w:tblCellMar>
        </w:tblPrEx>
        <w:trPr>
          <w:trHeight w:val="356" w:hRule="atLeast"/>
        </w:trPr>
        <w:tc>
          <w:tcPr>
            <w:tcW w:w="1960" w:type="dxa"/>
            <w:vMerge w:val="continue"/>
            <w:tcBorders>
              <w:top w:val="nil"/>
              <w:left w:val="single" w:color="auto" w:sz="4" w:space="0"/>
              <w:bottom w:val="single" w:color="auto" w:sz="4" w:space="0"/>
              <w:right w:val="single" w:color="auto" w:sz="4" w:space="0"/>
            </w:tcBorders>
            <w:vAlign w:val="center"/>
          </w:tcPr>
          <w:p w14:paraId="7E83D010">
            <w:pPr>
              <w:pageBreakBefore w:val="0"/>
              <w:widowControl/>
              <w:wordWrap/>
              <w:topLinePunct w:val="0"/>
              <w:bidi w:val="0"/>
              <w:spacing w:line="560" w:lineRule="exact"/>
              <w:jc w:val="left"/>
              <w:rPr>
                <w:rFonts w:ascii="仿宋_GB2312" w:hAnsi="仿宋" w:eastAsia="仿宋_GB2312" w:cs="宋体"/>
                <w:b/>
                <w:bCs/>
                <w:color w:val="000000" w:themeColor="text1"/>
                <w:kern w:val="0"/>
                <w:sz w:val="20"/>
                <w:szCs w:val="20"/>
                <w:highlight w:val="none"/>
                <w14:textFill>
                  <w14:solidFill>
                    <w14:schemeClr w14:val="tx1"/>
                  </w14:solidFill>
                </w14:textFill>
              </w:rPr>
            </w:pPr>
          </w:p>
        </w:tc>
        <w:tc>
          <w:tcPr>
            <w:tcW w:w="1797" w:type="dxa"/>
            <w:tcBorders>
              <w:top w:val="nil"/>
              <w:left w:val="nil"/>
              <w:bottom w:val="single" w:color="auto" w:sz="4" w:space="0"/>
              <w:right w:val="single" w:color="auto" w:sz="4" w:space="0"/>
            </w:tcBorders>
            <w:vAlign w:val="center"/>
          </w:tcPr>
          <w:p w14:paraId="1A936175">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营业收入（Y）</w:t>
            </w:r>
          </w:p>
        </w:tc>
        <w:tc>
          <w:tcPr>
            <w:tcW w:w="849" w:type="dxa"/>
            <w:tcBorders>
              <w:top w:val="nil"/>
              <w:left w:val="nil"/>
              <w:bottom w:val="single" w:color="auto" w:sz="4" w:space="0"/>
              <w:right w:val="single" w:color="auto" w:sz="4" w:space="0"/>
            </w:tcBorders>
            <w:vAlign w:val="center"/>
          </w:tcPr>
          <w:p w14:paraId="0C535F23">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万元</w:t>
            </w:r>
          </w:p>
        </w:tc>
        <w:tc>
          <w:tcPr>
            <w:tcW w:w="1867" w:type="dxa"/>
            <w:tcBorders>
              <w:top w:val="nil"/>
              <w:left w:val="nil"/>
              <w:bottom w:val="single" w:color="auto" w:sz="4" w:space="0"/>
              <w:right w:val="single" w:color="auto" w:sz="4" w:space="0"/>
            </w:tcBorders>
            <w:vAlign w:val="center"/>
          </w:tcPr>
          <w:p w14:paraId="28A8C0BA">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2000≤Y＜10000</w:t>
            </w:r>
          </w:p>
        </w:tc>
        <w:tc>
          <w:tcPr>
            <w:tcW w:w="1659" w:type="dxa"/>
            <w:tcBorders>
              <w:top w:val="nil"/>
              <w:left w:val="nil"/>
              <w:bottom w:val="single" w:color="auto" w:sz="4" w:space="0"/>
              <w:right w:val="single" w:color="auto" w:sz="4" w:space="0"/>
            </w:tcBorders>
            <w:vAlign w:val="center"/>
          </w:tcPr>
          <w:p w14:paraId="7168DC57">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100≤Y＜2000</w:t>
            </w:r>
          </w:p>
        </w:tc>
        <w:tc>
          <w:tcPr>
            <w:tcW w:w="1066" w:type="dxa"/>
            <w:tcBorders>
              <w:top w:val="nil"/>
              <w:left w:val="nil"/>
              <w:bottom w:val="single" w:color="auto" w:sz="4" w:space="0"/>
              <w:right w:val="single" w:color="auto" w:sz="4" w:space="0"/>
            </w:tcBorders>
            <w:vAlign w:val="center"/>
          </w:tcPr>
          <w:p w14:paraId="1CF412ED">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Y＜100</w:t>
            </w:r>
          </w:p>
        </w:tc>
      </w:tr>
      <w:tr w14:paraId="52836B1A">
        <w:tblPrEx>
          <w:tblCellMar>
            <w:top w:w="0" w:type="dxa"/>
            <w:left w:w="108" w:type="dxa"/>
            <w:bottom w:w="0" w:type="dxa"/>
            <w:right w:w="108" w:type="dxa"/>
          </w:tblCellMar>
        </w:tblPrEx>
        <w:trPr>
          <w:trHeight w:val="356" w:hRule="atLeast"/>
        </w:trPr>
        <w:tc>
          <w:tcPr>
            <w:tcW w:w="1960" w:type="dxa"/>
            <w:vMerge w:val="restart"/>
            <w:tcBorders>
              <w:top w:val="nil"/>
              <w:left w:val="single" w:color="auto" w:sz="4" w:space="0"/>
              <w:bottom w:val="single" w:color="auto" w:sz="4" w:space="0"/>
              <w:right w:val="single" w:color="auto" w:sz="4" w:space="0"/>
            </w:tcBorders>
            <w:vAlign w:val="bottom"/>
          </w:tcPr>
          <w:p w14:paraId="5EFC74EE">
            <w:pPr>
              <w:pageBreakBefore w:val="0"/>
              <w:widowControl/>
              <w:wordWrap/>
              <w:topLinePunct w:val="0"/>
              <w:bidi w:val="0"/>
              <w:spacing w:line="560" w:lineRule="exact"/>
              <w:jc w:val="center"/>
              <w:rPr>
                <w:rFonts w:ascii="仿宋_GB2312" w:hAnsi="仿宋" w:eastAsia="仿宋_GB2312" w:cs="宋体"/>
                <w:b/>
                <w:bCs/>
                <w:color w:val="000000" w:themeColor="text1"/>
                <w:kern w:val="0"/>
                <w:sz w:val="20"/>
                <w:szCs w:val="20"/>
                <w:highlight w:val="none"/>
                <w14:textFill>
                  <w14:solidFill>
                    <w14:schemeClr w14:val="tx1"/>
                  </w14:solidFill>
                </w14:textFill>
              </w:rPr>
            </w:pPr>
            <w:r>
              <w:rPr>
                <w:rFonts w:hint="eastAsia" w:ascii="仿宋_GB2312" w:hAnsi="仿宋" w:eastAsia="仿宋_GB2312" w:cs="宋体"/>
                <w:b/>
                <w:bCs/>
                <w:color w:val="000000" w:themeColor="text1"/>
                <w:kern w:val="0"/>
                <w:sz w:val="20"/>
                <w:szCs w:val="20"/>
                <w:highlight w:val="none"/>
                <w14:textFill>
                  <w14:solidFill>
                    <w14:schemeClr w14:val="tx1"/>
                  </w14:solidFill>
                </w14:textFill>
              </w:rPr>
              <w:t>餐饮业</w:t>
            </w:r>
          </w:p>
        </w:tc>
        <w:tc>
          <w:tcPr>
            <w:tcW w:w="1797" w:type="dxa"/>
            <w:tcBorders>
              <w:top w:val="nil"/>
              <w:left w:val="nil"/>
              <w:bottom w:val="single" w:color="auto" w:sz="4" w:space="0"/>
              <w:right w:val="single" w:color="auto" w:sz="4" w:space="0"/>
            </w:tcBorders>
            <w:vAlign w:val="center"/>
          </w:tcPr>
          <w:p w14:paraId="7C465E1E">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从业人员（X）</w:t>
            </w:r>
          </w:p>
        </w:tc>
        <w:tc>
          <w:tcPr>
            <w:tcW w:w="849" w:type="dxa"/>
            <w:tcBorders>
              <w:top w:val="nil"/>
              <w:left w:val="nil"/>
              <w:bottom w:val="single" w:color="auto" w:sz="4" w:space="0"/>
              <w:right w:val="single" w:color="auto" w:sz="4" w:space="0"/>
            </w:tcBorders>
            <w:vAlign w:val="center"/>
          </w:tcPr>
          <w:p w14:paraId="428AB539">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人</w:t>
            </w:r>
          </w:p>
        </w:tc>
        <w:tc>
          <w:tcPr>
            <w:tcW w:w="1867" w:type="dxa"/>
            <w:tcBorders>
              <w:top w:val="nil"/>
              <w:left w:val="nil"/>
              <w:bottom w:val="single" w:color="auto" w:sz="4" w:space="0"/>
              <w:right w:val="single" w:color="auto" w:sz="4" w:space="0"/>
            </w:tcBorders>
            <w:vAlign w:val="center"/>
          </w:tcPr>
          <w:p w14:paraId="5A0DE8F0">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100≤X＜300</w:t>
            </w:r>
          </w:p>
        </w:tc>
        <w:tc>
          <w:tcPr>
            <w:tcW w:w="1659" w:type="dxa"/>
            <w:tcBorders>
              <w:top w:val="nil"/>
              <w:left w:val="nil"/>
              <w:bottom w:val="single" w:color="auto" w:sz="4" w:space="0"/>
              <w:right w:val="single" w:color="auto" w:sz="4" w:space="0"/>
            </w:tcBorders>
            <w:vAlign w:val="center"/>
          </w:tcPr>
          <w:p w14:paraId="4F471027">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10≤X＜100</w:t>
            </w:r>
          </w:p>
        </w:tc>
        <w:tc>
          <w:tcPr>
            <w:tcW w:w="1066" w:type="dxa"/>
            <w:tcBorders>
              <w:top w:val="nil"/>
              <w:left w:val="nil"/>
              <w:bottom w:val="single" w:color="auto" w:sz="4" w:space="0"/>
              <w:right w:val="single" w:color="auto" w:sz="4" w:space="0"/>
            </w:tcBorders>
            <w:vAlign w:val="center"/>
          </w:tcPr>
          <w:p w14:paraId="0B74DD4D">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X＜10</w:t>
            </w:r>
          </w:p>
        </w:tc>
      </w:tr>
      <w:tr w14:paraId="2756BB68">
        <w:tblPrEx>
          <w:tblCellMar>
            <w:top w:w="0" w:type="dxa"/>
            <w:left w:w="108" w:type="dxa"/>
            <w:bottom w:w="0" w:type="dxa"/>
            <w:right w:w="108" w:type="dxa"/>
          </w:tblCellMar>
        </w:tblPrEx>
        <w:trPr>
          <w:trHeight w:val="356" w:hRule="atLeast"/>
        </w:trPr>
        <w:tc>
          <w:tcPr>
            <w:tcW w:w="1960" w:type="dxa"/>
            <w:vMerge w:val="continue"/>
            <w:tcBorders>
              <w:top w:val="nil"/>
              <w:left w:val="single" w:color="auto" w:sz="4" w:space="0"/>
              <w:bottom w:val="single" w:color="auto" w:sz="4" w:space="0"/>
              <w:right w:val="single" w:color="auto" w:sz="4" w:space="0"/>
            </w:tcBorders>
            <w:vAlign w:val="center"/>
          </w:tcPr>
          <w:p w14:paraId="1FC09693">
            <w:pPr>
              <w:pageBreakBefore w:val="0"/>
              <w:widowControl/>
              <w:wordWrap/>
              <w:topLinePunct w:val="0"/>
              <w:bidi w:val="0"/>
              <w:spacing w:line="560" w:lineRule="exact"/>
              <w:jc w:val="left"/>
              <w:rPr>
                <w:rFonts w:ascii="仿宋_GB2312" w:hAnsi="仿宋" w:eastAsia="仿宋_GB2312" w:cs="宋体"/>
                <w:b/>
                <w:bCs/>
                <w:color w:val="000000" w:themeColor="text1"/>
                <w:kern w:val="0"/>
                <w:sz w:val="20"/>
                <w:szCs w:val="20"/>
                <w:highlight w:val="none"/>
                <w14:textFill>
                  <w14:solidFill>
                    <w14:schemeClr w14:val="tx1"/>
                  </w14:solidFill>
                </w14:textFill>
              </w:rPr>
            </w:pPr>
          </w:p>
        </w:tc>
        <w:tc>
          <w:tcPr>
            <w:tcW w:w="1797" w:type="dxa"/>
            <w:tcBorders>
              <w:top w:val="nil"/>
              <w:left w:val="nil"/>
              <w:bottom w:val="single" w:color="auto" w:sz="4" w:space="0"/>
              <w:right w:val="single" w:color="auto" w:sz="4" w:space="0"/>
            </w:tcBorders>
            <w:vAlign w:val="center"/>
          </w:tcPr>
          <w:p w14:paraId="7D23BEF3">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营业收入（Y）</w:t>
            </w:r>
          </w:p>
        </w:tc>
        <w:tc>
          <w:tcPr>
            <w:tcW w:w="849" w:type="dxa"/>
            <w:tcBorders>
              <w:top w:val="nil"/>
              <w:left w:val="nil"/>
              <w:bottom w:val="single" w:color="auto" w:sz="4" w:space="0"/>
              <w:right w:val="single" w:color="auto" w:sz="4" w:space="0"/>
            </w:tcBorders>
            <w:vAlign w:val="center"/>
          </w:tcPr>
          <w:p w14:paraId="2DA63E33">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万元</w:t>
            </w:r>
          </w:p>
        </w:tc>
        <w:tc>
          <w:tcPr>
            <w:tcW w:w="1867" w:type="dxa"/>
            <w:tcBorders>
              <w:top w:val="nil"/>
              <w:left w:val="nil"/>
              <w:bottom w:val="single" w:color="auto" w:sz="4" w:space="0"/>
              <w:right w:val="single" w:color="auto" w:sz="4" w:space="0"/>
            </w:tcBorders>
            <w:vAlign w:val="center"/>
          </w:tcPr>
          <w:p w14:paraId="56CDC66E">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2000≤Y＜10000</w:t>
            </w:r>
          </w:p>
        </w:tc>
        <w:tc>
          <w:tcPr>
            <w:tcW w:w="1659" w:type="dxa"/>
            <w:tcBorders>
              <w:top w:val="nil"/>
              <w:left w:val="nil"/>
              <w:bottom w:val="single" w:color="auto" w:sz="4" w:space="0"/>
              <w:right w:val="single" w:color="auto" w:sz="4" w:space="0"/>
            </w:tcBorders>
            <w:vAlign w:val="center"/>
          </w:tcPr>
          <w:p w14:paraId="139204F3">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100≤Y＜2000</w:t>
            </w:r>
          </w:p>
        </w:tc>
        <w:tc>
          <w:tcPr>
            <w:tcW w:w="1066" w:type="dxa"/>
            <w:tcBorders>
              <w:top w:val="nil"/>
              <w:left w:val="nil"/>
              <w:bottom w:val="single" w:color="auto" w:sz="4" w:space="0"/>
              <w:right w:val="single" w:color="auto" w:sz="4" w:space="0"/>
            </w:tcBorders>
            <w:vAlign w:val="center"/>
          </w:tcPr>
          <w:p w14:paraId="358FF988">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Y＜100</w:t>
            </w:r>
          </w:p>
        </w:tc>
      </w:tr>
      <w:tr w14:paraId="79EFB327">
        <w:tblPrEx>
          <w:tblCellMar>
            <w:top w:w="0" w:type="dxa"/>
            <w:left w:w="108" w:type="dxa"/>
            <w:bottom w:w="0" w:type="dxa"/>
            <w:right w:w="108" w:type="dxa"/>
          </w:tblCellMar>
        </w:tblPrEx>
        <w:trPr>
          <w:trHeight w:val="356" w:hRule="atLeast"/>
        </w:trPr>
        <w:tc>
          <w:tcPr>
            <w:tcW w:w="1960" w:type="dxa"/>
            <w:vMerge w:val="restart"/>
            <w:tcBorders>
              <w:top w:val="nil"/>
              <w:left w:val="single" w:color="auto" w:sz="4" w:space="0"/>
              <w:bottom w:val="single" w:color="auto" w:sz="4" w:space="0"/>
              <w:right w:val="single" w:color="auto" w:sz="4" w:space="0"/>
            </w:tcBorders>
            <w:vAlign w:val="bottom"/>
          </w:tcPr>
          <w:p w14:paraId="06B8976C">
            <w:pPr>
              <w:pageBreakBefore w:val="0"/>
              <w:widowControl/>
              <w:wordWrap/>
              <w:topLinePunct w:val="0"/>
              <w:bidi w:val="0"/>
              <w:spacing w:line="560" w:lineRule="exact"/>
              <w:jc w:val="center"/>
              <w:rPr>
                <w:rFonts w:ascii="仿宋_GB2312" w:hAnsi="仿宋" w:eastAsia="仿宋_GB2312" w:cs="宋体"/>
                <w:b/>
                <w:bCs/>
                <w:color w:val="000000" w:themeColor="text1"/>
                <w:kern w:val="0"/>
                <w:sz w:val="20"/>
                <w:szCs w:val="20"/>
                <w:highlight w:val="none"/>
                <w14:textFill>
                  <w14:solidFill>
                    <w14:schemeClr w14:val="tx1"/>
                  </w14:solidFill>
                </w14:textFill>
              </w:rPr>
            </w:pPr>
            <w:r>
              <w:rPr>
                <w:rFonts w:hint="eastAsia" w:ascii="仿宋_GB2312" w:hAnsi="仿宋" w:eastAsia="仿宋_GB2312" w:cs="宋体"/>
                <w:b/>
                <w:bCs/>
                <w:color w:val="000000" w:themeColor="text1"/>
                <w:kern w:val="0"/>
                <w:sz w:val="20"/>
                <w:szCs w:val="20"/>
                <w:highlight w:val="none"/>
                <w14:textFill>
                  <w14:solidFill>
                    <w14:schemeClr w14:val="tx1"/>
                  </w14:solidFill>
                </w14:textFill>
              </w:rPr>
              <w:t>信息传输业</w:t>
            </w:r>
          </w:p>
        </w:tc>
        <w:tc>
          <w:tcPr>
            <w:tcW w:w="1797" w:type="dxa"/>
            <w:tcBorders>
              <w:top w:val="nil"/>
              <w:left w:val="nil"/>
              <w:bottom w:val="single" w:color="auto" w:sz="4" w:space="0"/>
              <w:right w:val="single" w:color="auto" w:sz="4" w:space="0"/>
            </w:tcBorders>
            <w:vAlign w:val="center"/>
          </w:tcPr>
          <w:p w14:paraId="1D57BF8D">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从业人员（X）</w:t>
            </w:r>
          </w:p>
        </w:tc>
        <w:tc>
          <w:tcPr>
            <w:tcW w:w="849" w:type="dxa"/>
            <w:tcBorders>
              <w:top w:val="nil"/>
              <w:left w:val="nil"/>
              <w:bottom w:val="single" w:color="auto" w:sz="4" w:space="0"/>
              <w:right w:val="single" w:color="auto" w:sz="4" w:space="0"/>
            </w:tcBorders>
            <w:vAlign w:val="center"/>
          </w:tcPr>
          <w:p w14:paraId="7E13CD33">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人</w:t>
            </w:r>
          </w:p>
        </w:tc>
        <w:tc>
          <w:tcPr>
            <w:tcW w:w="1867" w:type="dxa"/>
            <w:tcBorders>
              <w:top w:val="nil"/>
              <w:left w:val="nil"/>
              <w:bottom w:val="single" w:color="auto" w:sz="4" w:space="0"/>
              <w:right w:val="single" w:color="auto" w:sz="4" w:space="0"/>
            </w:tcBorders>
            <w:vAlign w:val="center"/>
          </w:tcPr>
          <w:p w14:paraId="0F0C42F7">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100≤X＜2000</w:t>
            </w:r>
          </w:p>
        </w:tc>
        <w:tc>
          <w:tcPr>
            <w:tcW w:w="1659" w:type="dxa"/>
            <w:tcBorders>
              <w:top w:val="nil"/>
              <w:left w:val="nil"/>
              <w:bottom w:val="single" w:color="auto" w:sz="4" w:space="0"/>
              <w:right w:val="single" w:color="auto" w:sz="4" w:space="0"/>
            </w:tcBorders>
            <w:vAlign w:val="center"/>
          </w:tcPr>
          <w:p w14:paraId="787EB9E9">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10≤X＜100</w:t>
            </w:r>
          </w:p>
        </w:tc>
        <w:tc>
          <w:tcPr>
            <w:tcW w:w="1066" w:type="dxa"/>
            <w:tcBorders>
              <w:top w:val="nil"/>
              <w:left w:val="nil"/>
              <w:bottom w:val="single" w:color="auto" w:sz="4" w:space="0"/>
              <w:right w:val="single" w:color="auto" w:sz="4" w:space="0"/>
            </w:tcBorders>
            <w:vAlign w:val="center"/>
          </w:tcPr>
          <w:p w14:paraId="683E110A">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X＜10</w:t>
            </w:r>
          </w:p>
        </w:tc>
      </w:tr>
      <w:tr w14:paraId="61B88A2A">
        <w:tblPrEx>
          <w:tblCellMar>
            <w:top w:w="0" w:type="dxa"/>
            <w:left w:w="108" w:type="dxa"/>
            <w:bottom w:w="0" w:type="dxa"/>
            <w:right w:w="108" w:type="dxa"/>
          </w:tblCellMar>
        </w:tblPrEx>
        <w:trPr>
          <w:trHeight w:val="356" w:hRule="atLeast"/>
        </w:trPr>
        <w:tc>
          <w:tcPr>
            <w:tcW w:w="1960" w:type="dxa"/>
            <w:vMerge w:val="continue"/>
            <w:tcBorders>
              <w:top w:val="nil"/>
              <w:left w:val="single" w:color="auto" w:sz="4" w:space="0"/>
              <w:bottom w:val="single" w:color="auto" w:sz="4" w:space="0"/>
              <w:right w:val="single" w:color="auto" w:sz="4" w:space="0"/>
            </w:tcBorders>
            <w:vAlign w:val="center"/>
          </w:tcPr>
          <w:p w14:paraId="461E0C4B">
            <w:pPr>
              <w:pageBreakBefore w:val="0"/>
              <w:widowControl/>
              <w:wordWrap/>
              <w:topLinePunct w:val="0"/>
              <w:bidi w:val="0"/>
              <w:spacing w:line="560" w:lineRule="exact"/>
              <w:jc w:val="left"/>
              <w:rPr>
                <w:rFonts w:ascii="仿宋_GB2312" w:hAnsi="仿宋" w:eastAsia="仿宋_GB2312" w:cs="宋体"/>
                <w:b/>
                <w:bCs/>
                <w:color w:val="000000" w:themeColor="text1"/>
                <w:kern w:val="0"/>
                <w:sz w:val="20"/>
                <w:szCs w:val="20"/>
                <w:highlight w:val="none"/>
                <w14:textFill>
                  <w14:solidFill>
                    <w14:schemeClr w14:val="tx1"/>
                  </w14:solidFill>
                </w14:textFill>
              </w:rPr>
            </w:pPr>
          </w:p>
        </w:tc>
        <w:tc>
          <w:tcPr>
            <w:tcW w:w="1797" w:type="dxa"/>
            <w:tcBorders>
              <w:top w:val="nil"/>
              <w:left w:val="nil"/>
              <w:bottom w:val="single" w:color="auto" w:sz="4" w:space="0"/>
              <w:right w:val="single" w:color="auto" w:sz="4" w:space="0"/>
            </w:tcBorders>
            <w:vAlign w:val="center"/>
          </w:tcPr>
          <w:p w14:paraId="78762C90">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营业收入（Y）</w:t>
            </w:r>
          </w:p>
        </w:tc>
        <w:tc>
          <w:tcPr>
            <w:tcW w:w="849" w:type="dxa"/>
            <w:tcBorders>
              <w:top w:val="nil"/>
              <w:left w:val="nil"/>
              <w:bottom w:val="single" w:color="auto" w:sz="4" w:space="0"/>
              <w:right w:val="single" w:color="auto" w:sz="4" w:space="0"/>
            </w:tcBorders>
            <w:vAlign w:val="center"/>
          </w:tcPr>
          <w:p w14:paraId="7BE5A03D">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万元</w:t>
            </w:r>
          </w:p>
        </w:tc>
        <w:tc>
          <w:tcPr>
            <w:tcW w:w="1867" w:type="dxa"/>
            <w:tcBorders>
              <w:top w:val="nil"/>
              <w:left w:val="nil"/>
              <w:bottom w:val="single" w:color="auto" w:sz="4" w:space="0"/>
              <w:right w:val="single" w:color="auto" w:sz="4" w:space="0"/>
            </w:tcBorders>
            <w:vAlign w:val="center"/>
          </w:tcPr>
          <w:p w14:paraId="5BC3BD54">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1000≤Y＜100000</w:t>
            </w:r>
          </w:p>
        </w:tc>
        <w:tc>
          <w:tcPr>
            <w:tcW w:w="1659" w:type="dxa"/>
            <w:tcBorders>
              <w:top w:val="nil"/>
              <w:left w:val="nil"/>
              <w:bottom w:val="single" w:color="auto" w:sz="4" w:space="0"/>
              <w:right w:val="single" w:color="auto" w:sz="4" w:space="0"/>
            </w:tcBorders>
            <w:vAlign w:val="center"/>
          </w:tcPr>
          <w:p w14:paraId="2CC7B950">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100≤Y＜1000</w:t>
            </w:r>
          </w:p>
        </w:tc>
        <w:tc>
          <w:tcPr>
            <w:tcW w:w="1066" w:type="dxa"/>
            <w:tcBorders>
              <w:top w:val="nil"/>
              <w:left w:val="nil"/>
              <w:bottom w:val="single" w:color="auto" w:sz="4" w:space="0"/>
              <w:right w:val="single" w:color="auto" w:sz="4" w:space="0"/>
            </w:tcBorders>
            <w:vAlign w:val="center"/>
          </w:tcPr>
          <w:p w14:paraId="0114FB8D">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Y＜100</w:t>
            </w:r>
          </w:p>
        </w:tc>
      </w:tr>
      <w:tr w14:paraId="43F80EF4">
        <w:tblPrEx>
          <w:tblCellMar>
            <w:top w:w="0" w:type="dxa"/>
            <w:left w:w="108" w:type="dxa"/>
            <w:bottom w:w="0" w:type="dxa"/>
            <w:right w:w="108" w:type="dxa"/>
          </w:tblCellMar>
        </w:tblPrEx>
        <w:trPr>
          <w:trHeight w:val="356" w:hRule="atLeast"/>
        </w:trPr>
        <w:tc>
          <w:tcPr>
            <w:tcW w:w="1960" w:type="dxa"/>
            <w:vMerge w:val="restart"/>
            <w:tcBorders>
              <w:top w:val="nil"/>
              <w:left w:val="single" w:color="auto" w:sz="4" w:space="0"/>
              <w:bottom w:val="single" w:color="auto" w:sz="4" w:space="0"/>
              <w:right w:val="single" w:color="auto" w:sz="4" w:space="0"/>
            </w:tcBorders>
            <w:vAlign w:val="bottom"/>
          </w:tcPr>
          <w:p w14:paraId="439D0D95">
            <w:pPr>
              <w:pageBreakBefore w:val="0"/>
              <w:widowControl/>
              <w:wordWrap/>
              <w:topLinePunct w:val="0"/>
              <w:bidi w:val="0"/>
              <w:spacing w:line="560" w:lineRule="exact"/>
              <w:jc w:val="center"/>
              <w:rPr>
                <w:rFonts w:ascii="仿宋_GB2312" w:hAnsi="仿宋" w:eastAsia="仿宋_GB2312" w:cs="宋体"/>
                <w:b/>
                <w:bCs/>
                <w:color w:val="000000" w:themeColor="text1"/>
                <w:kern w:val="0"/>
                <w:sz w:val="20"/>
                <w:szCs w:val="20"/>
                <w:highlight w:val="none"/>
                <w14:textFill>
                  <w14:solidFill>
                    <w14:schemeClr w14:val="tx1"/>
                  </w14:solidFill>
                </w14:textFill>
              </w:rPr>
            </w:pPr>
            <w:r>
              <w:rPr>
                <w:rFonts w:hint="eastAsia" w:ascii="仿宋_GB2312" w:hAnsi="仿宋" w:eastAsia="仿宋_GB2312" w:cs="宋体"/>
                <w:b/>
                <w:bCs/>
                <w:color w:val="000000" w:themeColor="text1"/>
                <w:kern w:val="0"/>
                <w:sz w:val="20"/>
                <w:szCs w:val="20"/>
                <w:highlight w:val="none"/>
                <w14:textFill>
                  <w14:solidFill>
                    <w14:schemeClr w14:val="tx1"/>
                  </w14:solidFill>
                </w14:textFill>
              </w:rPr>
              <w:t>软件和信息技术服务业</w:t>
            </w:r>
          </w:p>
        </w:tc>
        <w:tc>
          <w:tcPr>
            <w:tcW w:w="1797" w:type="dxa"/>
            <w:tcBorders>
              <w:top w:val="nil"/>
              <w:left w:val="nil"/>
              <w:bottom w:val="single" w:color="auto" w:sz="4" w:space="0"/>
              <w:right w:val="single" w:color="auto" w:sz="4" w:space="0"/>
            </w:tcBorders>
            <w:vAlign w:val="center"/>
          </w:tcPr>
          <w:p w14:paraId="3FB33518">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从业人员（X）</w:t>
            </w:r>
          </w:p>
        </w:tc>
        <w:tc>
          <w:tcPr>
            <w:tcW w:w="849" w:type="dxa"/>
            <w:tcBorders>
              <w:top w:val="nil"/>
              <w:left w:val="nil"/>
              <w:bottom w:val="single" w:color="auto" w:sz="4" w:space="0"/>
              <w:right w:val="single" w:color="auto" w:sz="4" w:space="0"/>
            </w:tcBorders>
            <w:vAlign w:val="center"/>
          </w:tcPr>
          <w:p w14:paraId="43EE7538">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人</w:t>
            </w:r>
          </w:p>
        </w:tc>
        <w:tc>
          <w:tcPr>
            <w:tcW w:w="1867" w:type="dxa"/>
            <w:tcBorders>
              <w:top w:val="nil"/>
              <w:left w:val="nil"/>
              <w:bottom w:val="single" w:color="auto" w:sz="4" w:space="0"/>
              <w:right w:val="single" w:color="auto" w:sz="4" w:space="0"/>
            </w:tcBorders>
            <w:vAlign w:val="center"/>
          </w:tcPr>
          <w:p w14:paraId="1CE95994">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100≤X＜300</w:t>
            </w:r>
          </w:p>
        </w:tc>
        <w:tc>
          <w:tcPr>
            <w:tcW w:w="1659" w:type="dxa"/>
            <w:tcBorders>
              <w:top w:val="nil"/>
              <w:left w:val="nil"/>
              <w:bottom w:val="single" w:color="auto" w:sz="4" w:space="0"/>
              <w:right w:val="single" w:color="auto" w:sz="4" w:space="0"/>
            </w:tcBorders>
            <w:vAlign w:val="center"/>
          </w:tcPr>
          <w:p w14:paraId="5FD4E21D">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10≤X＜100</w:t>
            </w:r>
          </w:p>
        </w:tc>
        <w:tc>
          <w:tcPr>
            <w:tcW w:w="1066" w:type="dxa"/>
            <w:tcBorders>
              <w:top w:val="nil"/>
              <w:left w:val="nil"/>
              <w:bottom w:val="single" w:color="auto" w:sz="4" w:space="0"/>
              <w:right w:val="single" w:color="auto" w:sz="4" w:space="0"/>
            </w:tcBorders>
            <w:vAlign w:val="center"/>
          </w:tcPr>
          <w:p w14:paraId="707F3807">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X＜10</w:t>
            </w:r>
          </w:p>
        </w:tc>
      </w:tr>
      <w:tr w14:paraId="1B7317A1">
        <w:tblPrEx>
          <w:tblCellMar>
            <w:top w:w="0" w:type="dxa"/>
            <w:left w:w="108" w:type="dxa"/>
            <w:bottom w:w="0" w:type="dxa"/>
            <w:right w:w="108" w:type="dxa"/>
          </w:tblCellMar>
        </w:tblPrEx>
        <w:trPr>
          <w:trHeight w:val="356" w:hRule="atLeast"/>
        </w:trPr>
        <w:tc>
          <w:tcPr>
            <w:tcW w:w="1960" w:type="dxa"/>
            <w:vMerge w:val="continue"/>
            <w:tcBorders>
              <w:top w:val="nil"/>
              <w:left w:val="single" w:color="auto" w:sz="4" w:space="0"/>
              <w:bottom w:val="single" w:color="auto" w:sz="4" w:space="0"/>
              <w:right w:val="single" w:color="auto" w:sz="4" w:space="0"/>
            </w:tcBorders>
            <w:vAlign w:val="center"/>
          </w:tcPr>
          <w:p w14:paraId="149CBBBF">
            <w:pPr>
              <w:pageBreakBefore w:val="0"/>
              <w:widowControl/>
              <w:wordWrap/>
              <w:topLinePunct w:val="0"/>
              <w:bidi w:val="0"/>
              <w:spacing w:line="560" w:lineRule="exact"/>
              <w:jc w:val="left"/>
              <w:rPr>
                <w:rFonts w:ascii="仿宋_GB2312" w:hAnsi="仿宋" w:eastAsia="仿宋_GB2312" w:cs="宋体"/>
                <w:b/>
                <w:bCs/>
                <w:color w:val="000000" w:themeColor="text1"/>
                <w:kern w:val="0"/>
                <w:sz w:val="20"/>
                <w:szCs w:val="20"/>
                <w:highlight w:val="none"/>
                <w14:textFill>
                  <w14:solidFill>
                    <w14:schemeClr w14:val="tx1"/>
                  </w14:solidFill>
                </w14:textFill>
              </w:rPr>
            </w:pPr>
          </w:p>
        </w:tc>
        <w:tc>
          <w:tcPr>
            <w:tcW w:w="1797" w:type="dxa"/>
            <w:tcBorders>
              <w:top w:val="nil"/>
              <w:left w:val="nil"/>
              <w:bottom w:val="single" w:color="auto" w:sz="4" w:space="0"/>
              <w:right w:val="single" w:color="auto" w:sz="4" w:space="0"/>
            </w:tcBorders>
            <w:vAlign w:val="center"/>
          </w:tcPr>
          <w:p w14:paraId="0C33914F">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营业收入（Y）</w:t>
            </w:r>
          </w:p>
        </w:tc>
        <w:tc>
          <w:tcPr>
            <w:tcW w:w="849" w:type="dxa"/>
            <w:tcBorders>
              <w:top w:val="nil"/>
              <w:left w:val="nil"/>
              <w:bottom w:val="single" w:color="auto" w:sz="4" w:space="0"/>
              <w:right w:val="single" w:color="auto" w:sz="4" w:space="0"/>
            </w:tcBorders>
            <w:vAlign w:val="center"/>
          </w:tcPr>
          <w:p w14:paraId="76C8A328">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万元</w:t>
            </w:r>
          </w:p>
        </w:tc>
        <w:tc>
          <w:tcPr>
            <w:tcW w:w="1867" w:type="dxa"/>
            <w:tcBorders>
              <w:top w:val="nil"/>
              <w:left w:val="nil"/>
              <w:bottom w:val="single" w:color="auto" w:sz="4" w:space="0"/>
              <w:right w:val="single" w:color="auto" w:sz="4" w:space="0"/>
            </w:tcBorders>
            <w:vAlign w:val="center"/>
          </w:tcPr>
          <w:p w14:paraId="232C2546">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1000≤Y＜10000</w:t>
            </w:r>
          </w:p>
        </w:tc>
        <w:tc>
          <w:tcPr>
            <w:tcW w:w="1659" w:type="dxa"/>
            <w:tcBorders>
              <w:top w:val="nil"/>
              <w:left w:val="nil"/>
              <w:bottom w:val="single" w:color="auto" w:sz="4" w:space="0"/>
              <w:right w:val="single" w:color="auto" w:sz="4" w:space="0"/>
            </w:tcBorders>
            <w:vAlign w:val="center"/>
          </w:tcPr>
          <w:p w14:paraId="406E8B29">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50≤Y＜1000</w:t>
            </w:r>
          </w:p>
        </w:tc>
        <w:tc>
          <w:tcPr>
            <w:tcW w:w="1066" w:type="dxa"/>
            <w:tcBorders>
              <w:top w:val="nil"/>
              <w:left w:val="nil"/>
              <w:bottom w:val="single" w:color="auto" w:sz="4" w:space="0"/>
              <w:right w:val="single" w:color="auto" w:sz="4" w:space="0"/>
            </w:tcBorders>
            <w:vAlign w:val="center"/>
          </w:tcPr>
          <w:p w14:paraId="19B7E036">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Y＜50</w:t>
            </w:r>
          </w:p>
        </w:tc>
      </w:tr>
      <w:tr w14:paraId="4454FD05">
        <w:tblPrEx>
          <w:tblCellMar>
            <w:top w:w="0" w:type="dxa"/>
            <w:left w:w="108" w:type="dxa"/>
            <w:bottom w:w="0" w:type="dxa"/>
            <w:right w:w="108" w:type="dxa"/>
          </w:tblCellMar>
        </w:tblPrEx>
        <w:trPr>
          <w:trHeight w:val="356" w:hRule="atLeast"/>
        </w:trPr>
        <w:tc>
          <w:tcPr>
            <w:tcW w:w="1960" w:type="dxa"/>
            <w:vMerge w:val="restart"/>
            <w:tcBorders>
              <w:top w:val="nil"/>
              <w:left w:val="single" w:color="auto" w:sz="4" w:space="0"/>
              <w:bottom w:val="single" w:color="auto" w:sz="4" w:space="0"/>
              <w:right w:val="single" w:color="auto" w:sz="4" w:space="0"/>
            </w:tcBorders>
            <w:vAlign w:val="bottom"/>
          </w:tcPr>
          <w:p w14:paraId="2CA7FE72">
            <w:pPr>
              <w:pageBreakBefore w:val="0"/>
              <w:widowControl/>
              <w:wordWrap/>
              <w:topLinePunct w:val="0"/>
              <w:bidi w:val="0"/>
              <w:spacing w:line="560" w:lineRule="exact"/>
              <w:jc w:val="center"/>
              <w:rPr>
                <w:rFonts w:ascii="仿宋_GB2312" w:hAnsi="仿宋" w:eastAsia="仿宋_GB2312" w:cs="宋体"/>
                <w:b/>
                <w:bCs/>
                <w:color w:val="000000" w:themeColor="text1"/>
                <w:kern w:val="0"/>
                <w:sz w:val="20"/>
                <w:szCs w:val="20"/>
                <w:highlight w:val="none"/>
                <w14:textFill>
                  <w14:solidFill>
                    <w14:schemeClr w14:val="tx1"/>
                  </w14:solidFill>
                </w14:textFill>
              </w:rPr>
            </w:pPr>
            <w:r>
              <w:rPr>
                <w:rFonts w:hint="eastAsia" w:ascii="仿宋_GB2312" w:hAnsi="仿宋" w:eastAsia="仿宋_GB2312" w:cs="宋体"/>
                <w:b/>
                <w:bCs/>
                <w:color w:val="000000" w:themeColor="text1"/>
                <w:kern w:val="0"/>
                <w:sz w:val="20"/>
                <w:szCs w:val="20"/>
                <w:highlight w:val="none"/>
                <w14:textFill>
                  <w14:solidFill>
                    <w14:schemeClr w14:val="tx1"/>
                  </w14:solidFill>
                </w14:textFill>
              </w:rPr>
              <w:t>房地产开发经营</w:t>
            </w:r>
          </w:p>
        </w:tc>
        <w:tc>
          <w:tcPr>
            <w:tcW w:w="1797" w:type="dxa"/>
            <w:tcBorders>
              <w:top w:val="nil"/>
              <w:left w:val="nil"/>
              <w:bottom w:val="single" w:color="auto" w:sz="4" w:space="0"/>
              <w:right w:val="single" w:color="auto" w:sz="4" w:space="0"/>
            </w:tcBorders>
            <w:vAlign w:val="center"/>
          </w:tcPr>
          <w:p w14:paraId="0B4ECF15">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营业收入（Y）</w:t>
            </w:r>
          </w:p>
        </w:tc>
        <w:tc>
          <w:tcPr>
            <w:tcW w:w="849" w:type="dxa"/>
            <w:tcBorders>
              <w:top w:val="nil"/>
              <w:left w:val="nil"/>
              <w:bottom w:val="single" w:color="auto" w:sz="4" w:space="0"/>
              <w:right w:val="single" w:color="auto" w:sz="4" w:space="0"/>
            </w:tcBorders>
            <w:vAlign w:val="center"/>
          </w:tcPr>
          <w:p w14:paraId="6EDCE676">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万元</w:t>
            </w:r>
          </w:p>
        </w:tc>
        <w:tc>
          <w:tcPr>
            <w:tcW w:w="1867" w:type="dxa"/>
            <w:tcBorders>
              <w:top w:val="nil"/>
              <w:left w:val="nil"/>
              <w:bottom w:val="single" w:color="auto" w:sz="4" w:space="0"/>
              <w:right w:val="single" w:color="auto" w:sz="4" w:space="0"/>
            </w:tcBorders>
            <w:vAlign w:val="center"/>
          </w:tcPr>
          <w:p w14:paraId="1A997087">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1000≤Y＜200000</w:t>
            </w:r>
          </w:p>
        </w:tc>
        <w:tc>
          <w:tcPr>
            <w:tcW w:w="1659" w:type="dxa"/>
            <w:tcBorders>
              <w:top w:val="nil"/>
              <w:left w:val="nil"/>
              <w:bottom w:val="single" w:color="auto" w:sz="4" w:space="0"/>
              <w:right w:val="single" w:color="auto" w:sz="4" w:space="0"/>
            </w:tcBorders>
            <w:vAlign w:val="center"/>
          </w:tcPr>
          <w:p w14:paraId="5B0516AB">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100≤X＜1000</w:t>
            </w:r>
          </w:p>
        </w:tc>
        <w:tc>
          <w:tcPr>
            <w:tcW w:w="1066" w:type="dxa"/>
            <w:tcBorders>
              <w:top w:val="nil"/>
              <w:left w:val="nil"/>
              <w:bottom w:val="single" w:color="auto" w:sz="4" w:space="0"/>
              <w:right w:val="single" w:color="auto" w:sz="4" w:space="0"/>
            </w:tcBorders>
            <w:vAlign w:val="center"/>
          </w:tcPr>
          <w:p w14:paraId="7ECF5045">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X＜100</w:t>
            </w:r>
          </w:p>
        </w:tc>
      </w:tr>
      <w:tr w14:paraId="389443BB">
        <w:tblPrEx>
          <w:tblCellMar>
            <w:top w:w="0" w:type="dxa"/>
            <w:left w:w="108" w:type="dxa"/>
            <w:bottom w:w="0" w:type="dxa"/>
            <w:right w:w="108" w:type="dxa"/>
          </w:tblCellMar>
        </w:tblPrEx>
        <w:trPr>
          <w:trHeight w:val="356" w:hRule="atLeast"/>
        </w:trPr>
        <w:tc>
          <w:tcPr>
            <w:tcW w:w="1960" w:type="dxa"/>
            <w:vMerge w:val="continue"/>
            <w:tcBorders>
              <w:top w:val="nil"/>
              <w:left w:val="single" w:color="auto" w:sz="4" w:space="0"/>
              <w:bottom w:val="single" w:color="auto" w:sz="4" w:space="0"/>
              <w:right w:val="single" w:color="auto" w:sz="4" w:space="0"/>
            </w:tcBorders>
            <w:vAlign w:val="center"/>
          </w:tcPr>
          <w:p w14:paraId="693D1960">
            <w:pPr>
              <w:pageBreakBefore w:val="0"/>
              <w:widowControl/>
              <w:wordWrap/>
              <w:topLinePunct w:val="0"/>
              <w:bidi w:val="0"/>
              <w:spacing w:line="560" w:lineRule="exact"/>
              <w:jc w:val="left"/>
              <w:rPr>
                <w:rFonts w:ascii="仿宋_GB2312" w:hAnsi="仿宋" w:eastAsia="仿宋_GB2312" w:cs="宋体"/>
                <w:b/>
                <w:bCs/>
                <w:color w:val="000000" w:themeColor="text1"/>
                <w:kern w:val="0"/>
                <w:sz w:val="20"/>
                <w:szCs w:val="20"/>
                <w:highlight w:val="none"/>
                <w14:textFill>
                  <w14:solidFill>
                    <w14:schemeClr w14:val="tx1"/>
                  </w14:solidFill>
                </w14:textFill>
              </w:rPr>
            </w:pPr>
          </w:p>
        </w:tc>
        <w:tc>
          <w:tcPr>
            <w:tcW w:w="1797" w:type="dxa"/>
            <w:tcBorders>
              <w:top w:val="nil"/>
              <w:left w:val="nil"/>
              <w:bottom w:val="single" w:color="auto" w:sz="4" w:space="0"/>
              <w:right w:val="single" w:color="auto" w:sz="4" w:space="0"/>
            </w:tcBorders>
            <w:vAlign w:val="center"/>
          </w:tcPr>
          <w:p w14:paraId="38C29B36">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资产总额（Z）</w:t>
            </w:r>
          </w:p>
        </w:tc>
        <w:tc>
          <w:tcPr>
            <w:tcW w:w="849" w:type="dxa"/>
            <w:tcBorders>
              <w:top w:val="nil"/>
              <w:left w:val="nil"/>
              <w:bottom w:val="single" w:color="auto" w:sz="4" w:space="0"/>
              <w:right w:val="single" w:color="auto" w:sz="4" w:space="0"/>
            </w:tcBorders>
            <w:vAlign w:val="center"/>
          </w:tcPr>
          <w:p w14:paraId="0CEF414B">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万元</w:t>
            </w:r>
          </w:p>
        </w:tc>
        <w:tc>
          <w:tcPr>
            <w:tcW w:w="1867" w:type="dxa"/>
            <w:tcBorders>
              <w:top w:val="nil"/>
              <w:left w:val="nil"/>
              <w:bottom w:val="single" w:color="auto" w:sz="4" w:space="0"/>
              <w:right w:val="single" w:color="auto" w:sz="4" w:space="0"/>
            </w:tcBorders>
            <w:vAlign w:val="center"/>
          </w:tcPr>
          <w:p w14:paraId="7C32FAFD">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5000≤Z＜10000</w:t>
            </w:r>
          </w:p>
        </w:tc>
        <w:tc>
          <w:tcPr>
            <w:tcW w:w="1659" w:type="dxa"/>
            <w:tcBorders>
              <w:top w:val="nil"/>
              <w:left w:val="nil"/>
              <w:bottom w:val="single" w:color="auto" w:sz="4" w:space="0"/>
              <w:right w:val="single" w:color="auto" w:sz="4" w:space="0"/>
            </w:tcBorders>
            <w:vAlign w:val="center"/>
          </w:tcPr>
          <w:p w14:paraId="03292507">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2000≤Y＜5000</w:t>
            </w:r>
          </w:p>
        </w:tc>
        <w:tc>
          <w:tcPr>
            <w:tcW w:w="1066" w:type="dxa"/>
            <w:tcBorders>
              <w:top w:val="nil"/>
              <w:left w:val="nil"/>
              <w:bottom w:val="single" w:color="auto" w:sz="4" w:space="0"/>
              <w:right w:val="single" w:color="auto" w:sz="4" w:space="0"/>
            </w:tcBorders>
            <w:vAlign w:val="center"/>
          </w:tcPr>
          <w:p w14:paraId="0F1975E9">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Y＜2000</w:t>
            </w:r>
          </w:p>
        </w:tc>
      </w:tr>
      <w:tr w14:paraId="11084CF5">
        <w:tblPrEx>
          <w:tblCellMar>
            <w:top w:w="0" w:type="dxa"/>
            <w:left w:w="108" w:type="dxa"/>
            <w:bottom w:w="0" w:type="dxa"/>
            <w:right w:w="108" w:type="dxa"/>
          </w:tblCellMar>
        </w:tblPrEx>
        <w:trPr>
          <w:trHeight w:val="356" w:hRule="atLeast"/>
        </w:trPr>
        <w:tc>
          <w:tcPr>
            <w:tcW w:w="1960" w:type="dxa"/>
            <w:vMerge w:val="restart"/>
            <w:tcBorders>
              <w:top w:val="nil"/>
              <w:left w:val="single" w:color="auto" w:sz="4" w:space="0"/>
              <w:bottom w:val="single" w:color="auto" w:sz="4" w:space="0"/>
              <w:right w:val="single" w:color="auto" w:sz="4" w:space="0"/>
            </w:tcBorders>
            <w:vAlign w:val="bottom"/>
          </w:tcPr>
          <w:p w14:paraId="0B731012">
            <w:pPr>
              <w:pageBreakBefore w:val="0"/>
              <w:widowControl/>
              <w:wordWrap/>
              <w:topLinePunct w:val="0"/>
              <w:bidi w:val="0"/>
              <w:spacing w:line="560" w:lineRule="exact"/>
              <w:jc w:val="center"/>
              <w:rPr>
                <w:rFonts w:ascii="仿宋_GB2312" w:hAnsi="仿宋" w:eastAsia="仿宋_GB2312" w:cs="宋体"/>
                <w:b/>
                <w:bCs/>
                <w:color w:val="000000" w:themeColor="text1"/>
                <w:kern w:val="0"/>
                <w:sz w:val="20"/>
                <w:szCs w:val="20"/>
                <w:highlight w:val="none"/>
                <w14:textFill>
                  <w14:solidFill>
                    <w14:schemeClr w14:val="tx1"/>
                  </w14:solidFill>
                </w14:textFill>
              </w:rPr>
            </w:pPr>
            <w:r>
              <w:rPr>
                <w:rFonts w:hint="eastAsia" w:ascii="仿宋_GB2312" w:hAnsi="仿宋" w:eastAsia="仿宋_GB2312" w:cs="宋体"/>
                <w:b/>
                <w:bCs/>
                <w:color w:val="000000" w:themeColor="text1"/>
                <w:kern w:val="0"/>
                <w:sz w:val="20"/>
                <w:szCs w:val="20"/>
                <w:highlight w:val="none"/>
                <w14:textFill>
                  <w14:solidFill>
                    <w14:schemeClr w14:val="tx1"/>
                  </w14:solidFill>
                </w14:textFill>
              </w:rPr>
              <w:t>物业管理</w:t>
            </w:r>
          </w:p>
        </w:tc>
        <w:tc>
          <w:tcPr>
            <w:tcW w:w="1797" w:type="dxa"/>
            <w:tcBorders>
              <w:top w:val="nil"/>
              <w:left w:val="nil"/>
              <w:bottom w:val="single" w:color="auto" w:sz="4" w:space="0"/>
              <w:right w:val="single" w:color="auto" w:sz="4" w:space="0"/>
            </w:tcBorders>
            <w:vAlign w:val="center"/>
          </w:tcPr>
          <w:p w14:paraId="416E96E0">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从业人员（X）</w:t>
            </w:r>
          </w:p>
        </w:tc>
        <w:tc>
          <w:tcPr>
            <w:tcW w:w="849" w:type="dxa"/>
            <w:tcBorders>
              <w:top w:val="nil"/>
              <w:left w:val="nil"/>
              <w:bottom w:val="single" w:color="auto" w:sz="4" w:space="0"/>
              <w:right w:val="single" w:color="auto" w:sz="4" w:space="0"/>
            </w:tcBorders>
            <w:vAlign w:val="center"/>
          </w:tcPr>
          <w:p w14:paraId="1721E78C">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人</w:t>
            </w:r>
          </w:p>
        </w:tc>
        <w:tc>
          <w:tcPr>
            <w:tcW w:w="1867" w:type="dxa"/>
            <w:tcBorders>
              <w:top w:val="nil"/>
              <w:left w:val="nil"/>
              <w:bottom w:val="single" w:color="auto" w:sz="4" w:space="0"/>
              <w:right w:val="single" w:color="auto" w:sz="4" w:space="0"/>
            </w:tcBorders>
            <w:vAlign w:val="center"/>
          </w:tcPr>
          <w:p w14:paraId="6FDDB765">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300≤X＜1000</w:t>
            </w:r>
          </w:p>
        </w:tc>
        <w:tc>
          <w:tcPr>
            <w:tcW w:w="1659" w:type="dxa"/>
            <w:tcBorders>
              <w:top w:val="nil"/>
              <w:left w:val="nil"/>
              <w:bottom w:val="single" w:color="auto" w:sz="4" w:space="0"/>
              <w:right w:val="single" w:color="auto" w:sz="4" w:space="0"/>
            </w:tcBorders>
            <w:vAlign w:val="center"/>
          </w:tcPr>
          <w:p w14:paraId="602B9321">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100≤X＜300</w:t>
            </w:r>
          </w:p>
        </w:tc>
        <w:tc>
          <w:tcPr>
            <w:tcW w:w="1066" w:type="dxa"/>
            <w:tcBorders>
              <w:top w:val="nil"/>
              <w:left w:val="nil"/>
              <w:bottom w:val="single" w:color="auto" w:sz="4" w:space="0"/>
              <w:right w:val="single" w:color="auto" w:sz="4" w:space="0"/>
            </w:tcBorders>
            <w:vAlign w:val="center"/>
          </w:tcPr>
          <w:p w14:paraId="427FEC54">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X＜100</w:t>
            </w:r>
          </w:p>
        </w:tc>
      </w:tr>
      <w:tr w14:paraId="3C1590EA">
        <w:tblPrEx>
          <w:tblCellMar>
            <w:top w:w="0" w:type="dxa"/>
            <w:left w:w="108" w:type="dxa"/>
            <w:bottom w:w="0" w:type="dxa"/>
            <w:right w:w="108" w:type="dxa"/>
          </w:tblCellMar>
        </w:tblPrEx>
        <w:trPr>
          <w:trHeight w:val="356" w:hRule="atLeast"/>
        </w:trPr>
        <w:tc>
          <w:tcPr>
            <w:tcW w:w="1960" w:type="dxa"/>
            <w:vMerge w:val="continue"/>
            <w:tcBorders>
              <w:top w:val="nil"/>
              <w:left w:val="single" w:color="auto" w:sz="4" w:space="0"/>
              <w:bottom w:val="single" w:color="auto" w:sz="4" w:space="0"/>
              <w:right w:val="single" w:color="auto" w:sz="4" w:space="0"/>
            </w:tcBorders>
            <w:vAlign w:val="center"/>
          </w:tcPr>
          <w:p w14:paraId="1B4191BF">
            <w:pPr>
              <w:pageBreakBefore w:val="0"/>
              <w:widowControl/>
              <w:wordWrap/>
              <w:topLinePunct w:val="0"/>
              <w:bidi w:val="0"/>
              <w:spacing w:line="560" w:lineRule="exact"/>
              <w:jc w:val="left"/>
              <w:rPr>
                <w:rFonts w:ascii="仿宋_GB2312" w:hAnsi="仿宋" w:eastAsia="仿宋_GB2312" w:cs="宋体"/>
                <w:b/>
                <w:bCs/>
                <w:color w:val="000000" w:themeColor="text1"/>
                <w:kern w:val="0"/>
                <w:sz w:val="20"/>
                <w:szCs w:val="20"/>
                <w:highlight w:val="none"/>
                <w14:textFill>
                  <w14:solidFill>
                    <w14:schemeClr w14:val="tx1"/>
                  </w14:solidFill>
                </w14:textFill>
              </w:rPr>
            </w:pPr>
          </w:p>
        </w:tc>
        <w:tc>
          <w:tcPr>
            <w:tcW w:w="1797" w:type="dxa"/>
            <w:tcBorders>
              <w:top w:val="nil"/>
              <w:left w:val="nil"/>
              <w:bottom w:val="single" w:color="auto" w:sz="4" w:space="0"/>
              <w:right w:val="single" w:color="auto" w:sz="4" w:space="0"/>
            </w:tcBorders>
            <w:vAlign w:val="center"/>
          </w:tcPr>
          <w:p w14:paraId="0E6DE43B">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营业收入（Y）</w:t>
            </w:r>
          </w:p>
        </w:tc>
        <w:tc>
          <w:tcPr>
            <w:tcW w:w="849" w:type="dxa"/>
            <w:tcBorders>
              <w:top w:val="nil"/>
              <w:left w:val="nil"/>
              <w:bottom w:val="single" w:color="auto" w:sz="4" w:space="0"/>
              <w:right w:val="single" w:color="auto" w:sz="4" w:space="0"/>
            </w:tcBorders>
            <w:vAlign w:val="center"/>
          </w:tcPr>
          <w:p w14:paraId="48F45877">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万元</w:t>
            </w:r>
          </w:p>
        </w:tc>
        <w:tc>
          <w:tcPr>
            <w:tcW w:w="1867" w:type="dxa"/>
            <w:tcBorders>
              <w:top w:val="nil"/>
              <w:left w:val="nil"/>
              <w:bottom w:val="single" w:color="auto" w:sz="4" w:space="0"/>
              <w:right w:val="single" w:color="auto" w:sz="4" w:space="0"/>
            </w:tcBorders>
            <w:vAlign w:val="center"/>
          </w:tcPr>
          <w:p w14:paraId="697E8C3B">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1000≤Y＜5000</w:t>
            </w:r>
          </w:p>
        </w:tc>
        <w:tc>
          <w:tcPr>
            <w:tcW w:w="1659" w:type="dxa"/>
            <w:tcBorders>
              <w:top w:val="nil"/>
              <w:left w:val="nil"/>
              <w:bottom w:val="single" w:color="auto" w:sz="4" w:space="0"/>
              <w:right w:val="single" w:color="auto" w:sz="4" w:space="0"/>
            </w:tcBorders>
            <w:vAlign w:val="center"/>
          </w:tcPr>
          <w:p w14:paraId="4F4EDD4F">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500≤Y＜1000</w:t>
            </w:r>
          </w:p>
        </w:tc>
        <w:tc>
          <w:tcPr>
            <w:tcW w:w="1066" w:type="dxa"/>
            <w:tcBorders>
              <w:top w:val="nil"/>
              <w:left w:val="nil"/>
              <w:bottom w:val="single" w:color="auto" w:sz="4" w:space="0"/>
              <w:right w:val="single" w:color="auto" w:sz="4" w:space="0"/>
            </w:tcBorders>
            <w:vAlign w:val="center"/>
          </w:tcPr>
          <w:p w14:paraId="2DABA49C">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Y＜500</w:t>
            </w:r>
          </w:p>
        </w:tc>
      </w:tr>
      <w:tr w14:paraId="3BD6D03F">
        <w:tblPrEx>
          <w:tblCellMar>
            <w:top w:w="0" w:type="dxa"/>
            <w:left w:w="108" w:type="dxa"/>
            <w:bottom w:w="0" w:type="dxa"/>
            <w:right w:w="108" w:type="dxa"/>
          </w:tblCellMar>
        </w:tblPrEx>
        <w:trPr>
          <w:trHeight w:val="356" w:hRule="atLeast"/>
        </w:trPr>
        <w:tc>
          <w:tcPr>
            <w:tcW w:w="1960" w:type="dxa"/>
            <w:vMerge w:val="restart"/>
            <w:tcBorders>
              <w:top w:val="nil"/>
              <w:left w:val="single" w:color="auto" w:sz="4" w:space="0"/>
              <w:bottom w:val="single" w:color="auto" w:sz="4" w:space="0"/>
              <w:right w:val="single" w:color="auto" w:sz="4" w:space="0"/>
            </w:tcBorders>
            <w:vAlign w:val="bottom"/>
          </w:tcPr>
          <w:p w14:paraId="257EF3CA">
            <w:pPr>
              <w:pageBreakBefore w:val="0"/>
              <w:widowControl/>
              <w:wordWrap/>
              <w:topLinePunct w:val="0"/>
              <w:bidi w:val="0"/>
              <w:spacing w:line="560" w:lineRule="exact"/>
              <w:jc w:val="center"/>
              <w:rPr>
                <w:rFonts w:ascii="仿宋_GB2312" w:hAnsi="仿宋" w:eastAsia="仿宋_GB2312" w:cs="宋体"/>
                <w:b/>
                <w:bCs/>
                <w:color w:val="000000" w:themeColor="text1"/>
                <w:kern w:val="0"/>
                <w:sz w:val="20"/>
                <w:szCs w:val="20"/>
                <w:highlight w:val="none"/>
                <w14:textFill>
                  <w14:solidFill>
                    <w14:schemeClr w14:val="tx1"/>
                  </w14:solidFill>
                </w14:textFill>
              </w:rPr>
            </w:pPr>
            <w:r>
              <w:rPr>
                <w:rFonts w:hint="eastAsia" w:ascii="仿宋_GB2312" w:hAnsi="仿宋" w:eastAsia="仿宋_GB2312" w:cs="宋体"/>
                <w:b/>
                <w:bCs/>
                <w:color w:val="000000" w:themeColor="text1"/>
                <w:kern w:val="0"/>
                <w:sz w:val="20"/>
                <w:szCs w:val="20"/>
                <w:highlight w:val="none"/>
                <w14:textFill>
                  <w14:solidFill>
                    <w14:schemeClr w14:val="tx1"/>
                  </w14:solidFill>
                </w14:textFill>
              </w:rPr>
              <w:t>租赁和商务服务业</w:t>
            </w:r>
          </w:p>
        </w:tc>
        <w:tc>
          <w:tcPr>
            <w:tcW w:w="1797" w:type="dxa"/>
            <w:tcBorders>
              <w:top w:val="nil"/>
              <w:left w:val="nil"/>
              <w:bottom w:val="single" w:color="auto" w:sz="4" w:space="0"/>
              <w:right w:val="single" w:color="auto" w:sz="4" w:space="0"/>
            </w:tcBorders>
            <w:vAlign w:val="center"/>
          </w:tcPr>
          <w:p w14:paraId="52C6948A">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从业人员（X）</w:t>
            </w:r>
          </w:p>
        </w:tc>
        <w:tc>
          <w:tcPr>
            <w:tcW w:w="849" w:type="dxa"/>
            <w:tcBorders>
              <w:top w:val="nil"/>
              <w:left w:val="nil"/>
              <w:bottom w:val="single" w:color="auto" w:sz="4" w:space="0"/>
              <w:right w:val="single" w:color="auto" w:sz="4" w:space="0"/>
            </w:tcBorders>
            <w:vAlign w:val="center"/>
          </w:tcPr>
          <w:p w14:paraId="798E4026">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人</w:t>
            </w:r>
          </w:p>
        </w:tc>
        <w:tc>
          <w:tcPr>
            <w:tcW w:w="1867" w:type="dxa"/>
            <w:tcBorders>
              <w:top w:val="nil"/>
              <w:left w:val="nil"/>
              <w:bottom w:val="single" w:color="auto" w:sz="4" w:space="0"/>
              <w:right w:val="single" w:color="auto" w:sz="4" w:space="0"/>
            </w:tcBorders>
            <w:vAlign w:val="center"/>
          </w:tcPr>
          <w:p w14:paraId="525457D4">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100≤X＜300</w:t>
            </w:r>
          </w:p>
        </w:tc>
        <w:tc>
          <w:tcPr>
            <w:tcW w:w="1659" w:type="dxa"/>
            <w:tcBorders>
              <w:top w:val="nil"/>
              <w:left w:val="nil"/>
              <w:bottom w:val="single" w:color="auto" w:sz="4" w:space="0"/>
              <w:right w:val="single" w:color="auto" w:sz="4" w:space="0"/>
            </w:tcBorders>
            <w:vAlign w:val="center"/>
          </w:tcPr>
          <w:p w14:paraId="7EBD2BC2">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10≤X＜100</w:t>
            </w:r>
          </w:p>
        </w:tc>
        <w:tc>
          <w:tcPr>
            <w:tcW w:w="1066" w:type="dxa"/>
            <w:tcBorders>
              <w:top w:val="nil"/>
              <w:left w:val="nil"/>
              <w:bottom w:val="single" w:color="auto" w:sz="4" w:space="0"/>
              <w:right w:val="single" w:color="auto" w:sz="4" w:space="0"/>
            </w:tcBorders>
            <w:vAlign w:val="center"/>
          </w:tcPr>
          <w:p w14:paraId="0A63D0B7">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X＜10</w:t>
            </w:r>
          </w:p>
        </w:tc>
      </w:tr>
      <w:tr w14:paraId="70D85D91">
        <w:tblPrEx>
          <w:tblCellMar>
            <w:top w:w="0" w:type="dxa"/>
            <w:left w:w="108" w:type="dxa"/>
            <w:bottom w:w="0" w:type="dxa"/>
            <w:right w:w="108" w:type="dxa"/>
          </w:tblCellMar>
        </w:tblPrEx>
        <w:trPr>
          <w:trHeight w:val="356" w:hRule="atLeast"/>
        </w:trPr>
        <w:tc>
          <w:tcPr>
            <w:tcW w:w="1960" w:type="dxa"/>
            <w:vMerge w:val="continue"/>
            <w:tcBorders>
              <w:top w:val="nil"/>
              <w:left w:val="single" w:color="auto" w:sz="4" w:space="0"/>
              <w:bottom w:val="single" w:color="auto" w:sz="4" w:space="0"/>
              <w:right w:val="single" w:color="auto" w:sz="4" w:space="0"/>
            </w:tcBorders>
            <w:vAlign w:val="center"/>
          </w:tcPr>
          <w:p w14:paraId="7A58092B">
            <w:pPr>
              <w:pageBreakBefore w:val="0"/>
              <w:widowControl/>
              <w:wordWrap/>
              <w:topLinePunct w:val="0"/>
              <w:bidi w:val="0"/>
              <w:spacing w:line="560" w:lineRule="exact"/>
              <w:jc w:val="left"/>
              <w:rPr>
                <w:rFonts w:ascii="仿宋_GB2312" w:hAnsi="仿宋" w:eastAsia="仿宋_GB2312" w:cs="宋体"/>
                <w:b/>
                <w:bCs/>
                <w:color w:val="000000" w:themeColor="text1"/>
                <w:kern w:val="0"/>
                <w:sz w:val="20"/>
                <w:szCs w:val="20"/>
                <w:highlight w:val="none"/>
                <w14:textFill>
                  <w14:solidFill>
                    <w14:schemeClr w14:val="tx1"/>
                  </w14:solidFill>
                </w14:textFill>
              </w:rPr>
            </w:pPr>
          </w:p>
        </w:tc>
        <w:tc>
          <w:tcPr>
            <w:tcW w:w="1797" w:type="dxa"/>
            <w:tcBorders>
              <w:top w:val="nil"/>
              <w:left w:val="nil"/>
              <w:bottom w:val="single" w:color="auto" w:sz="4" w:space="0"/>
              <w:right w:val="single" w:color="auto" w:sz="4" w:space="0"/>
            </w:tcBorders>
            <w:vAlign w:val="center"/>
          </w:tcPr>
          <w:p w14:paraId="0CD6ACFC">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资产总额（Z）</w:t>
            </w:r>
          </w:p>
        </w:tc>
        <w:tc>
          <w:tcPr>
            <w:tcW w:w="849" w:type="dxa"/>
            <w:tcBorders>
              <w:top w:val="nil"/>
              <w:left w:val="nil"/>
              <w:bottom w:val="single" w:color="auto" w:sz="4" w:space="0"/>
              <w:right w:val="single" w:color="auto" w:sz="4" w:space="0"/>
            </w:tcBorders>
            <w:vAlign w:val="center"/>
          </w:tcPr>
          <w:p w14:paraId="6A9062B8">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万元</w:t>
            </w:r>
          </w:p>
        </w:tc>
        <w:tc>
          <w:tcPr>
            <w:tcW w:w="1867" w:type="dxa"/>
            <w:tcBorders>
              <w:top w:val="nil"/>
              <w:left w:val="nil"/>
              <w:bottom w:val="single" w:color="auto" w:sz="4" w:space="0"/>
              <w:right w:val="single" w:color="auto" w:sz="4" w:space="0"/>
            </w:tcBorders>
            <w:vAlign w:val="center"/>
          </w:tcPr>
          <w:p w14:paraId="14E623EB">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8000≤Z＜120000</w:t>
            </w:r>
          </w:p>
        </w:tc>
        <w:tc>
          <w:tcPr>
            <w:tcW w:w="1659" w:type="dxa"/>
            <w:tcBorders>
              <w:top w:val="nil"/>
              <w:left w:val="nil"/>
              <w:bottom w:val="single" w:color="auto" w:sz="4" w:space="0"/>
              <w:right w:val="single" w:color="auto" w:sz="4" w:space="0"/>
            </w:tcBorders>
            <w:vAlign w:val="center"/>
          </w:tcPr>
          <w:p w14:paraId="3DE52B21">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100≤Z＜8000</w:t>
            </w:r>
          </w:p>
        </w:tc>
        <w:tc>
          <w:tcPr>
            <w:tcW w:w="1066" w:type="dxa"/>
            <w:tcBorders>
              <w:top w:val="nil"/>
              <w:left w:val="nil"/>
              <w:bottom w:val="single" w:color="auto" w:sz="4" w:space="0"/>
              <w:right w:val="single" w:color="auto" w:sz="4" w:space="0"/>
            </w:tcBorders>
            <w:vAlign w:val="center"/>
          </w:tcPr>
          <w:p w14:paraId="3A318BEA">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Y＜100</w:t>
            </w:r>
          </w:p>
        </w:tc>
      </w:tr>
      <w:tr w14:paraId="500D6130">
        <w:tblPrEx>
          <w:tblCellMar>
            <w:top w:w="0" w:type="dxa"/>
            <w:left w:w="108" w:type="dxa"/>
            <w:bottom w:w="0" w:type="dxa"/>
            <w:right w:w="108" w:type="dxa"/>
          </w:tblCellMar>
        </w:tblPrEx>
        <w:trPr>
          <w:trHeight w:val="367" w:hRule="atLeast"/>
        </w:trPr>
        <w:tc>
          <w:tcPr>
            <w:tcW w:w="1960" w:type="dxa"/>
            <w:tcBorders>
              <w:top w:val="nil"/>
              <w:left w:val="single" w:color="auto" w:sz="4" w:space="0"/>
              <w:bottom w:val="single" w:color="auto" w:sz="4" w:space="0"/>
              <w:right w:val="single" w:color="auto" w:sz="4" w:space="0"/>
            </w:tcBorders>
            <w:vAlign w:val="bottom"/>
          </w:tcPr>
          <w:p w14:paraId="51D13E3C">
            <w:pPr>
              <w:pageBreakBefore w:val="0"/>
              <w:widowControl/>
              <w:wordWrap/>
              <w:topLinePunct w:val="0"/>
              <w:bidi w:val="0"/>
              <w:spacing w:line="560" w:lineRule="exact"/>
              <w:jc w:val="center"/>
              <w:rPr>
                <w:rFonts w:ascii="仿宋_GB2312" w:hAnsi="仿宋" w:eastAsia="仿宋_GB2312" w:cs="宋体"/>
                <w:b/>
                <w:bCs/>
                <w:color w:val="000000" w:themeColor="text1"/>
                <w:kern w:val="0"/>
                <w:sz w:val="20"/>
                <w:szCs w:val="20"/>
                <w:highlight w:val="none"/>
                <w14:textFill>
                  <w14:solidFill>
                    <w14:schemeClr w14:val="tx1"/>
                  </w14:solidFill>
                </w14:textFill>
              </w:rPr>
            </w:pPr>
            <w:r>
              <w:rPr>
                <w:rFonts w:hint="eastAsia" w:ascii="仿宋_GB2312" w:hAnsi="仿宋" w:eastAsia="仿宋_GB2312" w:cs="宋体"/>
                <w:b/>
                <w:bCs/>
                <w:color w:val="000000" w:themeColor="text1"/>
                <w:kern w:val="0"/>
                <w:sz w:val="20"/>
                <w:szCs w:val="20"/>
                <w:highlight w:val="none"/>
                <w14:textFill>
                  <w14:solidFill>
                    <w14:schemeClr w14:val="tx1"/>
                  </w14:solidFill>
                </w14:textFill>
              </w:rPr>
              <w:t>其他未列明行业</w:t>
            </w:r>
          </w:p>
        </w:tc>
        <w:tc>
          <w:tcPr>
            <w:tcW w:w="1797" w:type="dxa"/>
            <w:tcBorders>
              <w:top w:val="nil"/>
              <w:left w:val="nil"/>
              <w:bottom w:val="single" w:color="auto" w:sz="4" w:space="0"/>
              <w:right w:val="single" w:color="auto" w:sz="4" w:space="0"/>
            </w:tcBorders>
            <w:vAlign w:val="center"/>
          </w:tcPr>
          <w:p w14:paraId="0F4AD259">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从业人员（X）</w:t>
            </w:r>
          </w:p>
        </w:tc>
        <w:tc>
          <w:tcPr>
            <w:tcW w:w="849" w:type="dxa"/>
            <w:tcBorders>
              <w:top w:val="nil"/>
              <w:left w:val="nil"/>
              <w:bottom w:val="single" w:color="auto" w:sz="4" w:space="0"/>
              <w:right w:val="single" w:color="auto" w:sz="4" w:space="0"/>
            </w:tcBorders>
            <w:vAlign w:val="center"/>
          </w:tcPr>
          <w:p w14:paraId="7123C25A">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人</w:t>
            </w:r>
          </w:p>
        </w:tc>
        <w:tc>
          <w:tcPr>
            <w:tcW w:w="1867" w:type="dxa"/>
            <w:tcBorders>
              <w:top w:val="nil"/>
              <w:left w:val="nil"/>
              <w:bottom w:val="single" w:color="auto" w:sz="4" w:space="0"/>
              <w:right w:val="single" w:color="auto" w:sz="4" w:space="0"/>
            </w:tcBorders>
            <w:vAlign w:val="center"/>
          </w:tcPr>
          <w:p w14:paraId="46F9DA75">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100≤X＜300</w:t>
            </w:r>
          </w:p>
        </w:tc>
        <w:tc>
          <w:tcPr>
            <w:tcW w:w="1659" w:type="dxa"/>
            <w:tcBorders>
              <w:top w:val="nil"/>
              <w:left w:val="nil"/>
              <w:bottom w:val="single" w:color="auto" w:sz="4" w:space="0"/>
              <w:right w:val="single" w:color="auto" w:sz="4" w:space="0"/>
            </w:tcBorders>
            <w:vAlign w:val="center"/>
          </w:tcPr>
          <w:p w14:paraId="33F161C2">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10≤X＜100</w:t>
            </w:r>
          </w:p>
        </w:tc>
        <w:tc>
          <w:tcPr>
            <w:tcW w:w="1066" w:type="dxa"/>
            <w:tcBorders>
              <w:top w:val="nil"/>
              <w:left w:val="nil"/>
              <w:bottom w:val="single" w:color="auto" w:sz="4" w:space="0"/>
              <w:right w:val="single" w:color="auto" w:sz="4" w:space="0"/>
            </w:tcBorders>
            <w:vAlign w:val="center"/>
          </w:tcPr>
          <w:p w14:paraId="27ED644C">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X＜10</w:t>
            </w:r>
          </w:p>
        </w:tc>
      </w:tr>
    </w:tbl>
    <w:p w14:paraId="04575AFC">
      <w:pPr>
        <w:pageBreakBefore w:val="0"/>
        <w:wordWrap/>
        <w:topLinePunct w:val="0"/>
        <w:bidi w:val="0"/>
        <w:spacing w:line="560" w:lineRule="exact"/>
        <w:ind w:firstLine="550" w:firstLineChars="250"/>
        <w:rPr>
          <w:rFonts w:ascii="仿宋_GB2312" w:hAnsi="仿宋" w:eastAsia="仿宋_GB2312"/>
          <w:color w:val="000000" w:themeColor="text1"/>
          <w:szCs w:val="21"/>
          <w:highlight w:val="none"/>
          <w14:textFill>
            <w14:solidFill>
              <w14:schemeClr w14:val="tx1"/>
            </w14:solidFill>
          </w14:textFill>
        </w:rPr>
      </w:pPr>
      <w:r>
        <w:rPr>
          <w:rFonts w:hint="eastAsia" w:ascii="仿宋_GB2312" w:hAnsi="仿宋" w:eastAsia="仿宋_GB2312"/>
          <w:color w:val="000000" w:themeColor="text1"/>
          <w:sz w:val="22"/>
          <w:szCs w:val="22"/>
          <w:highlight w:val="none"/>
          <w14:textFill>
            <w14:solidFill>
              <w14:schemeClr w14:val="tx1"/>
            </w14:solidFill>
          </w14:textFill>
        </w:rPr>
        <w:t>说明：上述标准参照《关于印发中小企业划型标准规定的通知》（工信部联企业[2011]300号），大型、中型和小型企业须同时满足所列指标的下限，否则下划一档；微型企业只须满足所列指标中的一项即可。</w:t>
      </w:r>
    </w:p>
    <w:p w14:paraId="72008565">
      <w:pPr>
        <w:bidi w:val="0"/>
        <w:rPr>
          <w:rFonts w:hint="eastAsia"/>
          <w:color w:val="000000" w:themeColor="text1"/>
          <w14:textFill>
            <w14:solidFill>
              <w14:schemeClr w14:val="tx1"/>
            </w14:solidFill>
          </w14:textFill>
        </w:rPr>
      </w:pPr>
    </w:p>
    <w:p w14:paraId="1E3CD21E">
      <w:pPr>
        <w:bidi w:val="0"/>
        <w:rPr>
          <w:rFonts w:hint="eastAsia"/>
          <w:color w:val="000000" w:themeColor="text1"/>
          <w14:textFill>
            <w14:solidFill>
              <w14:schemeClr w14:val="tx1"/>
            </w14:solidFill>
          </w14:textFill>
        </w:rPr>
      </w:pPr>
    </w:p>
    <w:p w14:paraId="3CFBE313">
      <w:pPr>
        <w:bidi w:val="0"/>
        <w:rPr>
          <w:rFonts w:hint="eastAsia"/>
          <w:color w:val="000000" w:themeColor="text1"/>
          <w14:textFill>
            <w14:solidFill>
              <w14:schemeClr w14:val="tx1"/>
            </w14:solidFill>
          </w14:textFill>
        </w:rPr>
      </w:pPr>
    </w:p>
    <w:p w14:paraId="4A77C8EA">
      <w:pPr>
        <w:bidi w:val="0"/>
        <w:rPr>
          <w:rFonts w:hint="eastAsia"/>
          <w:color w:val="000000" w:themeColor="text1"/>
          <w14:textFill>
            <w14:solidFill>
              <w14:schemeClr w14:val="tx1"/>
            </w14:solidFill>
          </w14:textFill>
        </w:rPr>
      </w:pPr>
    </w:p>
    <w:p w14:paraId="488899A8">
      <w:pPr>
        <w:bidi w:val="0"/>
        <w:rPr>
          <w:rFonts w:hint="eastAsia"/>
          <w:color w:val="000000" w:themeColor="text1"/>
          <w14:textFill>
            <w14:solidFill>
              <w14:schemeClr w14:val="tx1"/>
            </w14:solidFill>
          </w14:textFill>
        </w:rPr>
      </w:pPr>
    </w:p>
    <w:p w14:paraId="19C8A6E0">
      <w:pPr>
        <w:bidi w:val="0"/>
        <w:rPr>
          <w:rFonts w:hint="eastAsia"/>
          <w:color w:val="000000" w:themeColor="text1"/>
          <w14:textFill>
            <w14:solidFill>
              <w14:schemeClr w14:val="tx1"/>
            </w14:solidFill>
          </w14:textFill>
        </w:rPr>
      </w:pPr>
    </w:p>
    <w:p w14:paraId="1941C41F">
      <w:pPr>
        <w:bidi w:val="0"/>
        <w:rPr>
          <w:rFonts w:hint="eastAsia"/>
          <w:color w:val="000000" w:themeColor="text1"/>
          <w14:textFill>
            <w14:solidFill>
              <w14:schemeClr w14:val="tx1"/>
            </w14:solidFill>
          </w14:textFill>
        </w:rPr>
      </w:pPr>
    </w:p>
    <w:p w14:paraId="143D0CA9">
      <w:pPr>
        <w:bidi w:val="0"/>
        <w:rPr>
          <w:rFonts w:hint="eastAsia"/>
          <w:color w:val="000000" w:themeColor="text1"/>
          <w14:textFill>
            <w14:solidFill>
              <w14:schemeClr w14:val="tx1"/>
            </w14:solidFill>
          </w14:textFill>
        </w:rPr>
      </w:pPr>
    </w:p>
    <w:p w14:paraId="11522DBF">
      <w:pPr>
        <w:bidi w:val="0"/>
        <w:rPr>
          <w:rFonts w:hint="eastAsia"/>
          <w:color w:val="000000" w:themeColor="text1"/>
          <w14:textFill>
            <w14:solidFill>
              <w14:schemeClr w14:val="tx1"/>
            </w14:solidFill>
          </w14:textFill>
        </w:rPr>
      </w:pPr>
    </w:p>
    <w:p w14:paraId="30673688">
      <w:pPr>
        <w:bidi w:val="0"/>
        <w:rPr>
          <w:rFonts w:hint="eastAsia"/>
          <w:color w:val="000000" w:themeColor="text1"/>
          <w14:textFill>
            <w14:solidFill>
              <w14:schemeClr w14:val="tx1"/>
            </w14:solidFill>
          </w14:textFill>
        </w:rPr>
      </w:pPr>
    </w:p>
    <w:p w14:paraId="3A56E62D">
      <w:pPr>
        <w:bidi w:val="0"/>
        <w:rPr>
          <w:rFonts w:hint="eastAsia"/>
          <w:color w:val="000000" w:themeColor="text1"/>
          <w14:textFill>
            <w14:solidFill>
              <w14:schemeClr w14:val="tx1"/>
            </w14:solidFill>
          </w14:textFill>
        </w:rPr>
      </w:pPr>
    </w:p>
    <w:p w14:paraId="6A146434">
      <w:pPr>
        <w:bidi w:val="0"/>
        <w:rPr>
          <w:rFonts w:hint="eastAsia"/>
          <w:color w:val="000000" w:themeColor="text1"/>
          <w14:textFill>
            <w14:solidFill>
              <w14:schemeClr w14:val="tx1"/>
            </w14:solidFill>
          </w14:textFill>
        </w:rPr>
      </w:pPr>
    </w:p>
    <w:p w14:paraId="7A748F90">
      <w:pPr>
        <w:bidi w:val="0"/>
        <w:rPr>
          <w:rFonts w:hint="eastAsia"/>
          <w:color w:val="000000" w:themeColor="text1"/>
          <w14:textFill>
            <w14:solidFill>
              <w14:schemeClr w14:val="tx1"/>
            </w14:solidFill>
          </w14:textFill>
        </w:rPr>
      </w:pPr>
    </w:p>
    <w:p w14:paraId="3A31D077">
      <w:pPr>
        <w:bidi w:val="0"/>
        <w:rPr>
          <w:rFonts w:hint="eastAsia"/>
          <w:color w:val="000000" w:themeColor="text1"/>
          <w14:textFill>
            <w14:solidFill>
              <w14:schemeClr w14:val="tx1"/>
            </w14:solidFill>
          </w14:textFill>
        </w:rPr>
      </w:pPr>
    </w:p>
    <w:p w14:paraId="6946EAF2">
      <w:pPr>
        <w:bidi w:val="0"/>
        <w:rPr>
          <w:rFonts w:hint="eastAsia"/>
          <w:color w:val="000000" w:themeColor="text1"/>
          <w14:textFill>
            <w14:solidFill>
              <w14:schemeClr w14:val="tx1"/>
            </w14:solidFill>
          </w14:textFill>
        </w:rPr>
      </w:pPr>
    </w:p>
    <w:p w14:paraId="6E9B2788">
      <w:pPr>
        <w:bidi w:val="0"/>
        <w:rPr>
          <w:rFonts w:hint="eastAsia"/>
          <w:color w:val="000000" w:themeColor="text1"/>
          <w14:textFill>
            <w14:solidFill>
              <w14:schemeClr w14:val="tx1"/>
            </w14:solidFill>
          </w14:textFill>
        </w:rPr>
      </w:pPr>
    </w:p>
    <w:p w14:paraId="143AD24C">
      <w:pPr>
        <w:bidi w:val="0"/>
        <w:rPr>
          <w:rFonts w:hint="eastAsia"/>
          <w:color w:val="000000" w:themeColor="text1"/>
          <w14:textFill>
            <w14:solidFill>
              <w14:schemeClr w14:val="tx1"/>
            </w14:solidFill>
          </w14:textFill>
        </w:rPr>
      </w:pPr>
    </w:p>
    <w:p w14:paraId="334AB9D1">
      <w:pPr>
        <w:bidi w:val="0"/>
        <w:rPr>
          <w:rFonts w:hint="eastAsia"/>
          <w:color w:val="000000" w:themeColor="text1"/>
          <w14:textFill>
            <w14:solidFill>
              <w14:schemeClr w14:val="tx1"/>
            </w14:solidFill>
          </w14:textFill>
        </w:rPr>
      </w:pPr>
    </w:p>
    <w:p w14:paraId="43FFBC42">
      <w:pPr>
        <w:bidi w:val="0"/>
        <w:rPr>
          <w:rFonts w:hint="eastAsia"/>
          <w:color w:val="000000" w:themeColor="text1"/>
          <w14:textFill>
            <w14:solidFill>
              <w14:schemeClr w14:val="tx1"/>
            </w14:solidFill>
          </w14:textFill>
        </w:rPr>
      </w:pPr>
    </w:p>
    <w:p w14:paraId="3FF4B036">
      <w:pPr>
        <w:bidi w:val="0"/>
        <w:rPr>
          <w:rFonts w:hint="eastAsia"/>
          <w:color w:val="000000" w:themeColor="text1"/>
          <w14:textFill>
            <w14:solidFill>
              <w14:schemeClr w14:val="tx1"/>
            </w14:solidFill>
          </w14:textFill>
        </w:rPr>
      </w:pPr>
    </w:p>
    <w:p w14:paraId="5F40BB6E">
      <w:pPr>
        <w:bidi w:val="0"/>
        <w:rPr>
          <w:rFonts w:hint="eastAsia"/>
          <w:color w:val="000000" w:themeColor="text1"/>
          <w14:textFill>
            <w14:solidFill>
              <w14:schemeClr w14:val="tx1"/>
            </w14:solidFill>
          </w14:textFill>
        </w:rPr>
      </w:pPr>
    </w:p>
    <w:p w14:paraId="736F2C6E">
      <w:pPr>
        <w:bidi w:val="0"/>
        <w:rPr>
          <w:rFonts w:hint="eastAsia"/>
          <w:color w:val="000000" w:themeColor="text1"/>
          <w14:textFill>
            <w14:solidFill>
              <w14:schemeClr w14:val="tx1"/>
            </w14:solidFill>
          </w14:textFill>
        </w:rPr>
      </w:pPr>
    </w:p>
    <w:p w14:paraId="5C192131">
      <w:pPr>
        <w:bidi w:val="0"/>
        <w:rPr>
          <w:rFonts w:hint="eastAsia"/>
          <w:color w:val="000000" w:themeColor="text1"/>
          <w14:textFill>
            <w14:solidFill>
              <w14:schemeClr w14:val="tx1"/>
            </w14:solidFill>
          </w14:textFill>
        </w:rPr>
      </w:pPr>
    </w:p>
    <w:p w14:paraId="03193020">
      <w:pPr>
        <w:pStyle w:val="4"/>
        <w:keepNext w:val="0"/>
        <w:keepLines w:val="0"/>
        <w:pageBreakBefore w:val="0"/>
        <w:wordWrap/>
        <w:topLinePunct w:val="0"/>
        <w:bidi w:val="0"/>
        <w:spacing w:line="560" w:lineRule="exact"/>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第</w:t>
      </w:r>
      <w:r>
        <w:rPr>
          <w:rFonts w:hint="eastAsia"/>
          <w:color w:val="000000" w:themeColor="text1"/>
          <w:highlight w:val="none"/>
          <w:lang w:eastAsia="zh-CN"/>
          <w14:textFill>
            <w14:solidFill>
              <w14:schemeClr w14:val="tx1"/>
            </w14:solidFill>
          </w14:textFill>
        </w:rPr>
        <w:t>三</w:t>
      </w:r>
      <w:r>
        <w:rPr>
          <w:rFonts w:hint="eastAsia"/>
          <w:color w:val="000000" w:themeColor="text1"/>
          <w:highlight w:val="none"/>
          <w14:textFill>
            <w14:solidFill>
              <w14:schemeClr w14:val="tx1"/>
            </w14:solidFill>
          </w14:textFill>
        </w:rPr>
        <w:t>节 商务文件格式</w:t>
      </w:r>
    </w:p>
    <w:p w14:paraId="0D497CD1">
      <w:pPr>
        <w:pageBreakBefore w:val="0"/>
        <w:wordWrap/>
        <w:topLinePunct w:val="0"/>
        <w:bidi w:val="0"/>
        <w:snapToGrid w:val="0"/>
        <w:spacing w:before="120" w:beforeLines="50" w:after="50" w:line="560" w:lineRule="exact"/>
        <w:ind w:left="420"/>
        <w:jc w:val="center"/>
        <w:rPr>
          <w:rFonts w:ascii="宋体" w:hAnsi="宋体"/>
          <w:b/>
          <w:color w:val="000000" w:themeColor="text1"/>
          <w:szCs w:val="21"/>
          <w:highlight w:val="none"/>
          <w14:textFill>
            <w14:solidFill>
              <w14:schemeClr w14:val="tx1"/>
            </w14:solidFill>
          </w14:textFill>
        </w:rPr>
      </w:pPr>
      <w:r>
        <w:rPr>
          <w:rFonts w:hint="eastAsia" w:asciiTheme="minorEastAsia" w:hAnsiTheme="minorEastAsia" w:eastAsiaTheme="minorEastAsia"/>
          <w:b/>
          <w:bCs/>
          <w:color w:val="000000" w:themeColor="text1"/>
          <w:sz w:val="30"/>
          <w:szCs w:val="30"/>
          <w:highlight w:val="none"/>
          <w14:textFill>
            <w14:solidFill>
              <w14:schemeClr w14:val="tx1"/>
            </w14:solidFill>
          </w14:textFill>
        </w:rPr>
        <w:t>一、无串标行为承诺函</w:t>
      </w:r>
    </w:p>
    <w:p w14:paraId="551F8211">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asciiTheme="minorEastAsia" w:hAnsiTheme="minorEastAsia" w:eastAsia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b/>
          <w:color w:val="000000" w:themeColor="text1"/>
          <w:sz w:val="28"/>
          <w:szCs w:val="28"/>
          <w:highlight w:val="none"/>
          <w14:textFill>
            <w14:solidFill>
              <w14:schemeClr w14:val="tx1"/>
            </w14:solidFill>
          </w14:textFill>
        </w:rPr>
        <w:t>一、我方承诺无下列相互串通投标的情形：</w:t>
      </w:r>
    </w:p>
    <w:p w14:paraId="50F88376">
      <w:pPr>
        <w:keepNext w:val="0"/>
        <w:keepLines w:val="0"/>
        <w:pageBreakBefore w:val="0"/>
        <w:widowControl w:val="0"/>
        <w:kinsoku/>
        <w:wordWrap/>
        <w:overflowPunct/>
        <w:topLinePunct w:val="0"/>
        <w:autoSpaceDE/>
        <w:autoSpaceDN/>
        <w:bidi w:val="0"/>
        <w:adjustRightInd w:val="0"/>
        <w:snapToGrid w:val="0"/>
        <w:spacing w:line="560" w:lineRule="exact"/>
        <w:ind w:firstLine="548" w:firstLineChars="196"/>
        <w:jc w:val="both"/>
        <w:textAlignment w:val="auto"/>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1.不同</w:t>
      </w:r>
      <w:r>
        <w:rPr>
          <w:rFonts w:hint="eastAsia" w:asciiTheme="minorEastAsia" w:hAnsiTheme="minorEastAsia" w:eastAsiaTheme="minorEastAsia"/>
          <w:color w:val="000000" w:themeColor="text1"/>
          <w:sz w:val="28"/>
          <w:szCs w:val="28"/>
          <w:highlight w:val="none"/>
          <w:lang w:eastAsia="zh-CN"/>
          <w14:textFill>
            <w14:solidFill>
              <w14:schemeClr w14:val="tx1"/>
            </w14:solidFill>
          </w14:textFill>
        </w:rPr>
        <w:t>供应商</w:t>
      </w:r>
      <w:r>
        <w:rPr>
          <w:rFonts w:hint="eastAsia" w:asciiTheme="minorEastAsia" w:hAnsiTheme="minorEastAsia" w:eastAsiaTheme="minorEastAsia"/>
          <w:color w:val="000000" w:themeColor="text1"/>
          <w:sz w:val="28"/>
          <w:szCs w:val="28"/>
          <w:highlight w:val="none"/>
          <w14:textFill>
            <w14:solidFill>
              <w14:schemeClr w14:val="tx1"/>
            </w14:solidFill>
          </w14:textFill>
        </w:rPr>
        <w:t>的投标文件由同一单位或者个人编制；或者不同</w:t>
      </w:r>
      <w:r>
        <w:rPr>
          <w:rFonts w:hint="eastAsia" w:asciiTheme="minorEastAsia" w:hAnsiTheme="minorEastAsia" w:eastAsiaTheme="minorEastAsia"/>
          <w:color w:val="000000" w:themeColor="text1"/>
          <w:sz w:val="28"/>
          <w:szCs w:val="28"/>
          <w:highlight w:val="none"/>
          <w:lang w:eastAsia="zh-CN"/>
          <w14:textFill>
            <w14:solidFill>
              <w14:schemeClr w14:val="tx1"/>
            </w14:solidFill>
          </w14:textFill>
        </w:rPr>
        <w:t>供应商</w:t>
      </w:r>
      <w:r>
        <w:rPr>
          <w:rFonts w:hint="eastAsia" w:asciiTheme="minorEastAsia" w:hAnsiTheme="minorEastAsia" w:eastAsiaTheme="minorEastAsia"/>
          <w:color w:val="000000" w:themeColor="text1"/>
          <w:sz w:val="28"/>
          <w:szCs w:val="28"/>
          <w:highlight w:val="none"/>
          <w14:textFill>
            <w14:solidFill>
              <w14:schemeClr w14:val="tx1"/>
            </w14:solidFill>
          </w14:textFill>
        </w:rPr>
        <w:t>报名的IP地址一致的；或者编制标书硬件设备CPU编号、硬盘编号、网卡地址一致的情况。</w:t>
      </w:r>
    </w:p>
    <w:p w14:paraId="5DC04A1A">
      <w:pPr>
        <w:keepNext w:val="0"/>
        <w:keepLines w:val="0"/>
        <w:pageBreakBefore w:val="0"/>
        <w:widowControl w:val="0"/>
        <w:kinsoku/>
        <w:wordWrap/>
        <w:overflowPunct/>
        <w:topLinePunct w:val="0"/>
        <w:autoSpaceDE/>
        <w:autoSpaceDN/>
        <w:bidi w:val="0"/>
        <w:adjustRightInd w:val="0"/>
        <w:snapToGrid w:val="0"/>
        <w:spacing w:line="560" w:lineRule="exact"/>
        <w:ind w:firstLine="548" w:firstLineChars="196"/>
        <w:jc w:val="both"/>
        <w:textAlignment w:val="auto"/>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2.不同</w:t>
      </w:r>
      <w:r>
        <w:rPr>
          <w:rFonts w:hint="eastAsia" w:asciiTheme="minorEastAsia" w:hAnsiTheme="minorEastAsia" w:eastAsiaTheme="minorEastAsia"/>
          <w:color w:val="000000" w:themeColor="text1"/>
          <w:sz w:val="28"/>
          <w:szCs w:val="28"/>
          <w:highlight w:val="none"/>
          <w:lang w:eastAsia="zh-CN"/>
          <w14:textFill>
            <w14:solidFill>
              <w14:schemeClr w14:val="tx1"/>
            </w14:solidFill>
          </w14:textFill>
        </w:rPr>
        <w:t>供应商</w:t>
      </w:r>
      <w:r>
        <w:rPr>
          <w:rFonts w:hint="eastAsia" w:asciiTheme="minorEastAsia" w:hAnsiTheme="minorEastAsia" w:eastAsiaTheme="minorEastAsia"/>
          <w:color w:val="000000" w:themeColor="text1"/>
          <w:sz w:val="28"/>
          <w:szCs w:val="28"/>
          <w:highlight w:val="none"/>
          <w14:textFill>
            <w14:solidFill>
              <w14:schemeClr w14:val="tx1"/>
            </w14:solidFill>
          </w14:textFill>
        </w:rPr>
        <w:t>委托同一单位或者个人办理投标事宜；</w:t>
      </w:r>
    </w:p>
    <w:p w14:paraId="3064EAC0">
      <w:pPr>
        <w:keepNext w:val="0"/>
        <w:keepLines w:val="0"/>
        <w:pageBreakBefore w:val="0"/>
        <w:widowControl w:val="0"/>
        <w:kinsoku/>
        <w:wordWrap/>
        <w:overflowPunct/>
        <w:topLinePunct w:val="0"/>
        <w:autoSpaceDE/>
        <w:autoSpaceDN/>
        <w:bidi w:val="0"/>
        <w:adjustRightInd w:val="0"/>
        <w:snapToGrid w:val="0"/>
        <w:spacing w:line="560" w:lineRule="exact"/>
        <w:ind w:firstLine="548" w:firstLineChars="196"/>
        <w:jc w:val="both"/>
        <w:textAlignment w:val="auto"/>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3.不同的</w:t>
      </w:r>
      <w:r>
        <w:rPr>
          <w:rFonts w:hint="eastAsia" w:asciiTheme="minorEastAsia" w:hAnsiTheme="minorEastAsia" w:eastAsiaTheme="minorEastAsia"/>
          <w:color w:val="000000" w:themeColor="text1"/>
          <w:sz w:val="28"/>
          <w:szCs w:val="28"/>
          <w:highlight w:val="none"/>
          <w:lang w:eastAsia="zh-CN"/>
          <w14:textFill>
            <w14:solidFill>
              <w14:schemeClr w14:val="tx1"/>
            </w14:solidFill>
          </w14:textFill>
        </w:rPr>
        <w:t>供应商</w:t>
      </w:r>
      <w:r>
        <w:rPr>
          <w:rFonts w:hint="eastAsia" w:asciiTheme="minorEastAsia" w:hAnsiTheme="minorEastAsia" w:eastAsiaTheme="minorEastAsia"/>
          <w:color w:val="000000" w:themeColor="text1"/>
          <w:sz w:val="28"/>
          <w:szCs w:val="28"/>
          <w:highlight w:val="none"/>
          <w14:textFill>
            <w14:solidFill>
              <w14:schemeClr w14:val="tx1"/>
            </w14:solidFill>
          </w14:textFill>
        </w:rPr>
        <w:t>的投标文件载明的项目管理员为同一个人；</w:t>
      </w:r>
    </w:p>
    <w:p w14:paraId="20932760">
      <w:pPr>
        <w:keepNext w:val="0"/>
        <w:keepLines w:val="0"/>
        <w:pageBreakBefore w:val="0"/>
        <w:widowControl w:val="0"/>
        <w:kinsoku/>
        <w:wordWrap/>
        <w:overflowPunct/>
        <w:topLinePunct w:val="0"/>
        <w:autoSpaceDE/>
        <w:autoSpaceDN/>
        <w:bidi w:val="0"/>
        <w:adjustRightInd w:val="0"/>
        <w:snapToGrid w:val="0"/>
        <w:spacing w:line="560" w:lineRule="exact"/>
        <w:ind w:firstLine="548" w:firstLineChars="196"/>
        <w:jc w:val="both"/>
        <w:textAlignment w:val="auto"/>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4.不同</w:t>
      </w:r>
      <w:r>
        <w:rPr>
          <w:rFonts w:hint="eastAsia" w:asciiTheme="minorEastAsia" w:hAnsiTheme="minorEastAsia" w:eastAsiaTheme="minorEastAsia"/>
          <w:color w:val="000000" w:themeColor="text1"/>
          <w:sz w:val="28"/>
          <w:szCs w:val="28"/>
          <w:highlight w:val="none"/>
          <w:lang w:eastAsia="zh-CN"/>
          <w14:textFill>
            <w14:solidFill>
              <w14:schemeClr w14:val="tx1"/>
            </w14:solidFill>
          </w14:textFill>
        </w:rPr>
        <w:t>供应商</w:t>
      </w:r>
      <w:r>
        <w:rPr>
          <w:rFonts w:hint="eastAsia" w:asciiTheme="minorEastAsia" w:hAnsiTheme="minorEastAsia" w:eastAsiaTheme="minorEastAsia"/>
          <w:color w:val="000000" w:themeColor="text1"/>
          <w:sz w:val="28"/>
          <w:szCs w:val="28"/>
          <w:highlight w:val="none"/>
          <w14:textFill>
            <w14:solidFill>
              <w14:schemeClr w14:val="tx1"/>
            </w14:solidFill>
          </w14:textFill>
        </w:rPr>
        <w:t>的投标文件异常一致或者投标报价呈规律性差异；</w:t>
      </w:r>
    </w:p>
    <w:p w14:paraId="0D7B21E3">
      <w:pPr>
        <w:keepNext w:val="0"/>
        <w:keepLines w:val="0"/>
        <w:pageBreakBefore w:val="0"/>
        <w:widowControl w:val="0"/>
        <w:kinsoku/>
        <w:wordWrap/>
        <w:overflowPunct/>
        <w:topLinePunct w:val="0"/>
        <w:autoSpaceDE/>
        <w:autoSpaceDN/>
        <w:bidi w:val="0"/>
        <w:adjustRightInd w:val="0"/>
        <w:snapToGrid w:val="0"/>
        <w:spacing w:line="560" w:lineRule="exact"/>
        <w:ind w:firstLine="548" w:firstLineChars="196"/>
        <w:jc w:val="both"/>
        <w:textAlignment w:val="auto"/>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5.不同</w:t>
      </w:r>
      <w:r>
        <w:rPr>
          <w:rFonts w:hint="eastAsia" w:asciiTheme="minorEastAsia" w:hAnsiTheme="minorEastAsia" w:eastAsiaTheme="minorEastAsia"/>
          <w:color w:val="000000" w:themeColor="text1"/>
          <w:sz w:val="28"/>
          <w:szCs w:val="28"/>
          <w:highlight w:val="none"/>
          <w:lang w:eastAsia="zh-CN"/>
          <w14:textFill>
            <w14:solidFill>
              <w14:schemeClr w14:val="tx1"/>
            </w14:solidFill>
          </w14:textFill>
        </w:rPr>
        <w:t>供应商</w:t>
      </w:r>
      <w:r>
        <w:rPr>
          <w:rFonts w:hint="eastAsia" w:asciiTheme="minorEastAsia" w:hAnsiTheme="minorEastAsia" w:eastAsiaTheme="minorEastAsia"/>
          <w:color w:val="000000" w:themeColor="text1"/>
          <w:sz w:val="28"/>
          <w:szCs w:val="28"/>
          <w:highlight w:val="none"/>
          <w14:textFill>
            <w14:solidFill>
              <w14:schemeClr w14:val="tx1"/>
            </w14:solidFill>
          </w14:textFill>
        </w:rPr>
        <w:t>的投标文件相互混装；</w:t>
      </w:r>
    </w:p>
    <w:p w14:paraId="72B8A03B">
      <w:pPr>
        <w:keepNext w:val="0"/>
        <w:keepLines w:val="0"/>
        <w:pageBreakBefore w:val="0"/>
        <w:widowControl w:val="0"/>
        <w:kinsoku/>
        <w:wordWrap/>
        <w:overflowPunct/>
        <w:topLinePunct w:val="0"/>
        <w:autoSpaceDE/>
        <w:autoSpaceDN/>
        <w:bidi w:val="0"/>
        <w:adjustRightInd w:val="0"/>
        <w:snapToGrid w:val="0"/>
        <w:spacing w:line="560" w:lineRule="exact"/>
        <w:ind w:firstLine="548" w:firstLineChars="196"/>
        <w:jc w:val="both"/>
        <w:textAlignment w:val="auto"/>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6.不同</w:t>
      </w:r>
      <w:r>
        <w:rPr>
          <w:rFonts w:hint="eastAsia" w:asciiTheme="minorEastAsia" w:hAnsiTheme="minorEastAsia" w:eastAsiaTheme="minorEastAsia"/>
          <w:color w:val="000000" w:themeColor="text1"/>
          <w:sz w:val="28"/>
          <w:szCs w:val="28"/>
          <w:highlight w:val="none"/>
          <w:lang w:eastAsia="zh-CN"/>
          <w14:textFill>
            <w14:solidFill>
              <w14:schemeClr w14:val="tx1"/>
            </w14:solidFill>
          </w14:textFill>
        </w:rPr>
        <w:t>供应商</w:t>
      </w:r>
      <w:r>
        <w:rPr>
          <w:rFonts w:hint="eastAsia" w:asciiTheme="minorEastAsia" w:hAnsiTheme="minorEastAsia" w:eastAsiaTheme="minorEastAsia"/>
          <w:color w:val="000000" w:themeColor="text1"/>
          <w:sz w:val="28"/>
          <w:szCs w:val="28"/>
          <w:highlight w:val="none"/>
          <w14:textFill>
            <w14:solidFill>
              <w14:schemeClr w14:val="tx1"/>
            </w14:solidFill>
          </w14:textFill>
        </w:rPr>
        <w:t>的投标保证金从同一单位或者个人账户转出。</w:t>
      </w:r>
    </w:p>
    <w:p w14:paraId="4BAF8B43">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b/>
          <w:color w:val="000000" w:themeColor="text1"/>
          <w:sz w:val="28"/>
          <w:szCs w:val="28"/>
          <w:highlight w:val="none"/>
          <w14:textFill>
            <w14:solidFill>
              <w14:schemeClr w14:val="tx1"/>
            </w14:solidFill>
          </w14:textFill>
        </w:rPr>
        <w:t>二、我方承诺无下列恶意串通的情形：</w:t>
      </w:r>
    </w:p>
    <w:p w14:paraId="477A216C">
      <w:pPr>
        <w:keepNext w:val="0"/>
        <w:keepLines w:val="0"/>
        <w:pageBreakBefore w:val="0"/>
        <w:widowControl w:val="0"/>
        <w:kinsoku/>
        <w:wordWrap/>
        <w:overflowPunct/>
        <w:topLinePunct w:val="0"/>
        <w:autoSpaceDE/>
        <w:autoSpaceDN/>
        <w:bidi w:val="0"/>
        <w:adjustRightInd w:val="0"/>
        <w:snapToGrid w:val="0"/>
        <w:spacing w:line="560" w:lineRule="exact"/>
        <w:ind w:firstLine="548" w:firstLineChars="196"/>
        <w:jc w:val="both"/>
        <w:textAlignment w:val="auto"/>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1.</w:t>
      </w:r>
      <w:r>
        <w:rPr>
          <w:rFonts w:hint="eastAsia" w:asciiTheme="minorEastAsia" w:hAnsiTheme="minorEastAsia" w:eastAsiaTheme="minorEastAsia"/>
          <w:color w:val="000000" w:themeColor="text1"/>
          <w:sz w:val="28"/>
          <w:szCs w:val="28"/>
          <w:highlight w:val="none"/>
          <w:lang w:eastAsia="zh-CN"/>
          <w14:textFill>
            <w14:solidFill>
              <w14:schemeClr w14:val="tx1"/>
            </w14:solidFill>
          </w14:textFill>
        </w:rPr>
        <w:t>供应商</w:t>
      </w:r>
      <w:r>
        <w:rPr>
          <w:rFonts w:hint="eastAsia" w:asciiTheme="minorEastAsia" w:hAnsiTheme="minorEastAsia" w:eastAsiaTheme="minorEastAsia"/>
          <w:color w:val="000000" w:themeColor="text1"/>
          <w:sz w:val="28"/>
          <w:szCs w:val="28"/>
          <w:highlight w:val="none"/>
          <w14:textFill>
            <w14:solidFill>
              <w14:schemeClr w14:val="tx1"/>
            </w14:solidFill>
          </w14:textFill>
        </w:rPr>
        <w:t>直接或者间接从采购人或者采购代理机构处获得其他</w:t>
      </w:r>
      <w:r>
        <w:rPr>
          <w:rFonts w:hint="eastAsia" w:asciiTheme="minorEastAsia" w:hAnsiTheme="minorEastAsia" w:eastAsiaTheme="minorEastAsia"/>
          <w:color w:val="000000" w:themeColor="text1"/>
          <w:sz w:val="28"/>
          <w:szCs w:val="28"/>
          <w:highlight w:val="none"/>
          <w:lang w:eastAsia="zh-CN"/>
          <w14:textFill>
            <w14:solidFill>
              <w14:schemeClr w14:val="tx1"/>
            </w14:solidFill>
          </w14:textFill>
        </w:rPr>
        <w:t>供应商</w:t>
      </w:r>
      <w:r>
        <w:rPr>
          <w:rFonts w:hint="eastAsia" w:asciiTheme="minorEastAsia" w:hAnsiTheme="minorEastAsia" w:eastAsiaTheme="minorEastAsia"/>
          <w:color w:val="000000" w:themeColor="text1"/>
          <w:sz w:val="28"/>
          <w:szCs w:val="28"/>
          <w:highlight w:val="none"/>
          <w14:textFill>
            <w14:solidFill>
              <w14:schemeClr w14:val="tx1"/>
            </w14:solidFill>
          </w14:textFill>
        </w:rPr>
        <w:t>的相关信息并修改其投标文件或者投标文件；</w:t>
      </w:r>
    </w:p>
    <w:p w14:paraId="5EF51022">
      <w:pPr>
        <w:keepNext w:val="0"/>
        <w:keepLines w:val="0"/>
        <w:pageBreakBefore w:val="0"/>
        <w:widowControl w:val="0"/>
        <w:kinsoku/>
        <w:wordWrap/>
        <w:overflowPunct/>
        <w:topLinePunct w:val="0"/>
        <w:autoSpaceDE/>
        <w:autoSpaceDN/>
        <w:bidi w:val="0"/>
        <w:adjustRightInd w:val="0"/>
        <w:snapToGrid w:val="0"/>
        <w:spacing w:line="560" w:lineRule="exact"/>
        <w:ind w:firstLine="548" w:firstLineChars="196"/>
        <w:jc w:val="both"/>
        <w:textAlignment w:val="auto"/>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2.</w:t>
      </w:r>
      <w:r>
        <w:rPr>
          <w:rFonts w:hint="eastAsia" w:asciiTheme="minorEastAsia" w:hAnsiTheme="minorEastAsia" w:eastAsiaTheme="minorEastAsia"/>
          <w:color w:val="000000" w:themeColor="text1"/>
          <w:sz w:val="28"/>
          <w:szCs w:val="28"/>
          <w:highlight w:val="none"/>
          <w:lang w:eastAsia="zh-CN"/>
          <w14:textFill>
            <w14:solidFill>
              <w14:schemeClr w14:val="tx1"/>
            </w14:solidFill>
          </w14:textFill>
        </w:rPr>
        <w:t>供应商</w:t>
      </w:r>
      <w:r>
        <w:rPr>
          <w:rFonts w:hint="eastAsia" w:asciiTheme="minorEastAsia" w:hAnsiTheme="minorEastAsia" w:eastAsiaTheme="minorEastAsia"/>
          <w:color w:val="000000" w:themeColor="text1"/>
          <w:sz w:val="28"/>
          <w:szCs w:val="28"/>
          <w:highlight w:val="none"/>
          <w14:textFill>
            <w14:solidFill>
              <w14:schemeClr w14:val="tx1"/>
            </w14:solidFill>
          </w14:textFill>
        </w:rPr>
        <w:t>按照采购人或者采购代理机构的授意撤换、修改投标文件或者投标文件；</w:t>
      </w:r>
    </w:p>
    <w:p w14:paraId="3EFB76ED">
      <w:pPr>
        <w:keepNext w:val="0"/>
        <w:keepLines w:val="0"/>
        <w:pageBreakBefore w:val="0"/>
        <w:widowControl w:val="0"/>
        <w:kinsoku/>
        <w:wordWrap/>
        <w:overflowPunct/>
        <w:topLinePunct w:val="0"/>
        <w:autoSpaceDE/>
        <w:autoSpaceDN/>
        <w:bidi w:val="0"/>
        <w:adjustRightInd w:val="0"/>
        <w:snapToGrid w:val="0"/>
        <w:spacing w:line="560" w:lineRule="exact"/>
        <w:ind w:firstLine="548" w:firstLineChars="196"/>
        <w:jc w:val="both"/>
        <w:textAlignment w:val="auto"/>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3.</w:t>
      </w:r>
      <w:r>
        <w:rPr>
          <w:rFonts w:hint="eastAsia" w:asciiTheme="minorEastAsia" w:hAnsiTheme="minorEastAsia" w:eastAsiaTheme="minorEastAsia"/>
          <w:color w:val="000000" w:themeColor="text1"/>
          <w:sz w:val="28"/>
          <w:szCs w:val="28"/>
          <w:highlight w:val="none"/>
          <w:lang w:eastAsia="zh-CN"/>
          <w14:textFill>
            <w14:solidFill>
              <w14:schemeClr w14:val="tx1"/>
            </w14:solidFill>
          </w14:textFill>
        </w:rPr>
        <w:t>供应商</w:t>
      </w:r>
      <w:r>
        <w:rPr>
          <w:rFonts w:hint="eastAsia" w:asciiTheme="minorEastAsia" w:hAnsiTheme="minorEastAsia" w:eastAsiaTheme="minorEastAsia"/>
          <w:color w:val="000000" w:themeColor="text1"/>
          <w:sz w:val="28"/>
          <w:szCs w:val="28"/>
          <w:highlight w:val="none"/>
          <w14:textFill>
            <w14:solidFill>
              <w14:schemeClr w14:val="tx1"/>
            </w14:solidFill>
          </w14:textFill>
        </w:rPr>
        <w:t>之间协商报价、技术方案等投标文件或者投标文件的实质性内容；</w:t>
      </w:r>
    </w:p>
    <w:p w14:paraId="6B05090A">
      <w:pPr>
        <w:keepNext w:val="0"/>
        <w:keepLines w:val="0"/>
        <w:pageBreakBefore w:val="0"/>
        <w:widowControl w:val="0"/>
        <w:kinsoku/>
        <w:wordWrap/>
        <w:overflowPunct/>
        <w:topLinePunct w:val="0"/>
        <w:autoSpaceDE/>
        <w:autoSpaceDN/>
        <w:bidi w:val="0"/>
        <w:adjustRightInd w:val="0"/>
        <w:snapToGrid w:val="0"/>
        <w:spacing w:line="560" w:lineRule="exact"/>
        <w:ind w:firstLine="548" w:firstLineChars="196"/>
        <w:jc w:val="both"/>
        <w:textAlignment w:val="auto"/>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4.属于同一集团、协会、商会等组织成员的</w:t>
      </w:r>
      <w:r>
        <w:rPr>
          <w:rFonts w:hint="eastAsia" w:asciiTheme="minorEastAsia" w:hAnsiTheme="minorEastAsia" w:eastAsiaTheme="minorEastAsia"/>
          <w:color w:val="000000" w:themeColor="text1"/>
          <w:sz w:val="28"/>
          <w:szCs w:val="28"/>
          <w:highlight w:val="none"/>
          <w:lang w:eastAsia="zh-CN"/>
          <w14:textFill>
            <w14:solidFill>
              <w14:schemeClr w14:val="tx1"/>
            </w14:solidFill>
          </w14:textFill>
        </w:rPr>
        <w:t>供应商</w:t>
      </w:r>
      <w:r>
        <w:rPr>
          <w:rFonts w:hint="eastAsia" w:asciiTheme="minorEastAsia" w:hAnsiTheme="minorEastAsia" w:eastAsiaTheme="minorEastAsia"/>
          <w:color w:val="000000" w:themeColor="text1"/>
          <w:sz w:val="28"/>
          <w:szCs w:val="28"/>
          <w:highlight w:val="none"/>
          <w14:textFill>
            <w14:solidFill>
              <w14:schemeClr w14:val="tx1"/>
            </w14:solidFill>
          </w14:textFill>
        </w:rPr>
        <w:t>按照该组织要求协同参加政府采购活动；</w:t>
      </w:r>
    </w:p>
    <w:p w14:paraId="676FD5C5">
      <w:pPr>
        <w:keepNext w:val="0"/>
        <w:keepLines w:val="0"/>
        <w:pageBreakBefore w:val="0"/>
        <w:widowControl w:val="0"/>
        <w:kinsoku/>
        <w:wordWrap/>
        <w:overflowPunct/>
        <w:topLinePunct w:val="0"/>
        <w:autoSpaceDE/>
        <w:autoSpaceDN/>
        <w:bidi w:val="0"/>
        <w:adjustRightInd w:val="0"/>
        <w:snapToGrid w:val="0"/>
        <w:spacing w:line="560" w:lineRule="exact"/>
        <w:ind w:firstLine="548" w:firstLineChars="196"/>
        <w:jc w:val="both"/>
        <w:textAlignment w:val="auto"/>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5.</w:t>
      </w:r>
      <w:r>
        <w:rPr>
          <w:rFonts w:hint="eastAsia" w:asciiTheme="minorEastAsia" w:hAnsiTheme="minorEastAsia" w:eastAsiaTheme="minorEastAsia"/>
          <w:color w:val="000000" w:themeColor="text1"/>
          <w:sz w:val="28"/>
          <w:szCs w:val="28"/>
          <w:highlight w:val="none"/>
          <w:lang w:eastAsia="zh-CN"/>
          <w14:textFill>
            <w14:solidFill>
              <w14:schemeClr w14:val="tx1"/>
            </w14:solidFill>
          </w14:textFill>
        </w:rPr>
        <w:t>供应商</w:t>
      </w:r>
      <w:r>
        <w:rPr>
          <w:rFonts w:hint="eastAsia" w:asciiTheme="minorEastAsia" w:hAnsiTheme="minorEastAsia" w:eastAsiaTheme="minorEastAsia"/>
          <w:color w:val="000000" w:themeColor="text1"/>
          <w:sz w:val="28"/>
          <w:szCs w:val="28"/>
          <w:highlight w:val="none"/>
          <w14:textFill>
            <w14:solidFill>
              <w14:schemeClr w14:val="tx1"/>
            </w14:solidFill>
          </w14:textFill>
        </w:rPr>
        <w:t>之间事先约定一致抬高或者压低投标报价，或者在招标项目中事先约定轮流以高价位或者低价位中标，或者事先约定由某一特定</w:t>
      </w:r>
      <w:r>
        <w:rPr>
          <w:rFonts w:hint="eastAsia" w:asciiTheme="minorEastAsia" w:hAnsiTheme="minorEastAsia" w:eastAsiaTheme="minorEastAsia"/>
          <w:color w:val="000000" w:themeColor="text1"/>
          <w:sz w:val="28"/>
          <w:szCs w:val="28"/>
          <w:highlight w:val="none"/>
          <w:lang w:eastAsia="zh-CN"/>
          <w14:textFill>
            <w14:solidFill>
              <w14:schemeClr w14:val="tx1"/>
            </w14:solidFill>
          </w14:textFill>
        </w:rPr>
        <w:t>供应商</w:t>
      </w:r>
      <w:r>
        <w:rPr>
          <w:rFonts w:hint="eastAsia" w:asciiTheme="minorEastAsia" w:hAnsiTheme="minorEastAsia" w:eastAsiaTheme="minorEastAsia"/>
          <w:color w:val="000000" w:themeColor="text1"/>
          <w:sz w:val="28"/>
          <w:szCs w:val="28"/>
          <w:highlight w:val="none"/>
          <w14:textFill>
            <w14:solidFill>
              <w14:schemeClr w14:val="tx1"/>
            </w14:solidFill>
          </w14:textFill>
        </w:rPr>
        <w:t>中标，然后再参加投标；</w:t>
      </w:r>
    </w:p>
    <w:p w14:paraId="01DE6FB6">
      <w:pPr>
        <w:keepNext w:val="0"/>
        <w:keepLines w:val="0"/>
        <w:pageBreakBefore w:val="0"/>
        <w:widowControl w:val="0"/>
        <w:kinsoku/>
        <w:wordWrap/>
        <w:overflowPunct/>
        <w:topLinePunct w:val="0"/>
        <w:autoSpaceDE/>
        <w:autoSpaceDN/>
        <w:bidi w:val="0"/>
        <w:adjustRightInd w:val="0"/>
        <w:snapToGrid w:val="0"/>
        <w:spacing w:line="560" w:lineRule="exact"/>
        <w:ind w:firstLine="548" w:firstLineChars="196"/>
        <w:jc w:val="both"/>
        <w:textAlignment w:val="auto"/>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6.</w:t>
      </w:r>
      <w:r>
        <w:rPr>
          <w:rFonts w:hint="eastAsia" w:asciiTheme="minorEastAsia" w:hAnsiTheme="minorEastAsia" w:eastAsiaTheme="minorEastAsia"/>
          <w:color w:val="000000" w:themeColor="text1"/>
          <w:sz w:val="28"/>
          <w:szCs w:val="28"/>
          <w:highlight w:val="none"/>
          <w:lang w:eastAsia="zh-CN"/>
          <w14:textFill>
            <w14:solidFill>
              <w14:schemeClr w14:val="tx1"/>
            </w14:solidFill>
          </w14:textFill>
        </w:rPr>
        <w:t>供应商</w:t>
      </w:r>
      <w:r>
        <w:rPr>
          <w:rFonts w:hint="eastAsia" w:asciiTheme="minorEastAsia" w:hAnsiTheme="minorEastAsia" w:eastAsiaTheme="minorEastAsia"/>
          <w:color w:val="000000" w:themeColor="text1"/>
          <w:sz w:val="28"/>
          <w:szCs w:val="28"/>
          <w:highlight w:val="none"/>
          <w14:textFill>
            <w14:solidFill>
              <w14:schemeClr w14:val="tx1"/>
            </w14:solidFill>
          </w14:textFill>
        </w:rPr>
        <w:t>之间商定部分</w:t>
      </w:r>
      <w:r>
        <w:rPr>
          <w:rFonts w:hint="eastAsia" w:asciiTheme="minorEastAsia" w:hAnsiTheme="minorEastAsia" w:eastAsiaTheme="minorEastAsia"/>
          <w:color w:val="000000" w:themeColor="text1"/>
          <w:sz w:val="28"/>
          <w:szCs w:val="28"/>
          <w:highlight w:val="none"/>
          <w:lang w:eastAsia="zh-CN"/>
          <w14:textFill>
            <w14:solidFill>
              <w14:schemeClr w14:val="tx1"/>
            </w14:solidFill>
          </w14:textFill>
        </w:rPr>
        <w:t>供应商</w:t>
      </w:r>
      <w:r>
        <w:rPr>
          <w:rFonts w:hint="eastAsia" w:asciiTheme="minorEastAsia" w:hAnsiTheme="minorEastAsia" w:eastAsiaTheme="minorEastAsia"/>
          <w:color w:val="000000" w:themeColor="text1"/>
          <w:sz w:val="28"/>
          <w:szCs w:val="28"/>
          <w:highlight w:val="none"/>
          <w14:textFill>
            <w14:solidFill>
              <w14:schemeClr w14:val="tx1"/>
            </w14:solidFill>
          </w14:textFill>
        </w:rPr>
        <w:t>放弃参加政府采购活动或者放弃中标；</w:t>
      </w:r>
    </w:p>
    <w:p w14:paraId="3E4B3E4F">
      <w:pPr>
        <w:keepNext w:val="0"/>
        <w:keepLines w:val="0"/>
        <w:pageBreakBefore w:val="0"/>
        <w:widowControl w:val="0"/>
        <w:kinsoku/>
        <w:wordWrap/>
        <w:overflowPunct/>
        <w:topLinePunct w:val="0"/>
        <w:autoSpaceDE/>
        <w:autoSpaceDN/>
        <w:bidi w:val="0"/>
        <w:adjustRightInd w:val="0"/>
        <w:snapToGrid w:val="0"/>
        <w:spacing w:line="560" w:lineRule="exact"/>
        <w:ind w:firstLine="548" w:firstLineChars="196"/>
        <w:jc w:val="both"/>
        <w:textAlignment w:val="auto"/>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7.</w:t>
      </w:r>
      <w:r>
        <w:rPr>
          <w:rFonts w:hint="eastAsia" w:asciiTheme="minorEastAsia" w:hAnsiTheme="minorEastAsia" w:eastAsiaTheme="minorEastAsia"/>
          <w:color w:val="000000" w:themeColor="text1"/>
          <w:sz w:val="28"/>
          <w:szCs w:val="28"/>
          <w:highlight w:val="none"/>
          <w:lang w:eastAsia="zh-CN"/>
          <w14:textFill>
            <w14:solidFill>
              <w14:schemeClr w14:val="tx1"/>
            </w14:solidFill>
          </w14:textFill>
        </w:rPr>
        <w:t>供应商</w:t>
      </w:r>
      <w:r>
        <w:rPr>
          <w:rFonts w:hint="eastAsia" w:asciiTheme="minorEastAsia" w:hAnsiTheme="minorEastAsia" w:eastAsiaTheme="minorEastAsia"/>
          <w:color w:val="000000" w:themeColor="text1"/>
          <w:sz w:val="28"/>
          <w:szCs w:val="28"/>
          <w:highlight w:val="none"/>
          <w14:textFill>
            <w14:solidFill>
              <w14:schemeClr w14:val="tx1"/>
            </w14:solidFill>
          </w14:textFill>
        </w:rPr>
        <w:t>与采购人或者采购代理机构之间、</w:t>
      </w:r>
      <w:r>
        <w:rPr>
          <w:rFonts w:hint="eastAsia" w:asciiTheme="minorEastAsia" w:hAnsiTheme="minorEastAsia" w:eastAsiaTheme="minorEastAsia"/>
          <w:color w:val="000000" w:themeColor="text1"/>
          <w:sz w:val="28"/>
          <w:szCs w:val="28"/>
          <w:highlight w:val="none"/>
          <w:lang w:eastAsia="zh-CN"/>
          <w14:textFill>
            <w14:solidFill>
              <w14:schemeClr w14:val="tx1"/>
            </w14:solidFill>
          </w14:textFill>
        </w:rPr>
        <w:t>供应商</w:t>
      </w:r>
      <w:r>
        <w:rPr>
          <w:rFonts w:hint="eastAsia" w:asciiTheme="minorEastAsia" w:hAnsiTheme="minorEastAsia" w:eastAsiaTheme="minorEastAsia"/>
          <w:color w:val="000000" w:themeColor="text1"/>
          <w:sz w:val="28"/>
          <w:szCs w:val="28"/>
          <w:highlight w:val="none"/>
          <w14:textFill>
            <w14:solidFill>
              <w14:schemeClr w14:val="tx1"/>
            </w14:solidFill>
          </w14:textFill>
        </w:rPr>
        <w:t>相互之间，为谋求特定</w:t>
      </w:r>
      <w:r>
        <w:rPr>
          <w:rFonts w:hint="eastAsia" w:asciiTheme="minorEastAsia" w:hAnsiTheme="minorEastAsia" w:eastAsiaTheme="minorEastAsia"/>
          <w:color w:val="000000" w:themeColor="text1"/>
          <w:sz w:val="28"/>
          <w:szCs w:val="28"/>
          <w:highlight w:val="none"/>
          <w:lang w:eastAsia="zh-CN"/>
          <w14:textFill>
            <w14:solidFill>
              <w14:schemeClr w14:val="tx1"/>
            </w14:solidFill>
          </w14:textFill>
        </w:rPr>
        <w:t>供应商</w:t>
      </w:r>
      <w:r>
        <w:rPr>
          <w:rFonts w:hint="eastAsia" w:asciiTheme="minorEastAsia" w:hAnsiTheme="minorEastAsia" w:eastAsiaTheme="minorEastAsia"/>
          <w:color w:val="000000" w:themeColor="text1"/>
          <w:sz w:val="28"/>
          <w:szCs w:val="28"/>
          <w:highlight w:val="none"/>
          <w14:textFill>
            <w14:solidFill>
              <w14:schemeClr w14:val="tx1"/>
            </w14:solidFill>
          </w14:textFill>
        </w:rPr>
        <w:t>中标或者排斥其他</w:t>
      </w:r>
      <w:r>
        <w:rPr>
          <w:rFonts w:hint="eastAsia" w:asciiTheme="minorEastAsia" w:hAnsiTheme="minorEastAsia" w:eastAsiaTheme="minorEastAsia"/>
          <w:color w:val="000000" w:themeColor="text1"/>
          <w:sz w:val="28"/>
          <w:szCs w:val="28"/>
          <w:highlight w:val="none"/>
          <w:lang w:eastAsia="zh-CN"/>
          <w14:textFill>
            <w14:solidFill>
              <w14:schemeClr w14:val="tx1"/>
            </w14:solidFill>
          </w14:textFill>
        </w:rPr>
        <w:t>供应商</w:t>
      </w:r>
      <w:r>
        <w:rPr>
          <w:rFonts w:hint="eastAsia" w:asciiTheme="minorEastAsia" w:hAnsiTheme="minorEastAsia" w:eastAsiaTheme="minorEastAsia"/>
          <w:color w:val="000000" w:themeColor="text1"/>
          <w:sz w:val="28"/>
          <w:szCs w:val="28"/>
          <w:highlight w:val="none"/>
          <w14:textFill>
            <w14:solidFill>
              <w14:schemeClr w14:val="tx1"/>
            </w14:solidFill>
          </w14:textFill>
        </w:rPr>
        <w:t>的其他串通行为。</w:t>
      </w:r>
    </w:p>
    <w:p w14:paraId="45B6988B">
      <w:pPr>
        <w:keepNext w:val="0"/>
        <w:keepLines w:val="0"/>
        <w:pageBreakBefore w:val="0"/>
        <w:widowControl w:val="0"/>
        <w:kinsoku/>
        <w:wordWrap/>
        <w:overflowPunct/>
        <w:topLinePunct w:val="0"/>
        <w:autoSpaceDE/>
        <w:autoSpaceDN/>
        <w:bidi w:val="0"/>
        <w:adjustRightInd w:val="0"/>
        <w:snapToGrid w:val="0"/>
        <w:spacing w:line="560" w:lineRule="exact"/>
        <w:ind w:firstLine="551" w:firstLineChars="196"/>
        <w:jc w:val="both"/>
        <w:textAlignment w:val="auto"/>
        <w:rPr>
          <w:rFonts w:asciiTheme="minorEastAsia" w:hAnsiTheme="minorEastAsia" w:eastAsia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b/>
          <w:color w:val="000000" w:themeColor="text1"/>
          <w:sz w:val="28"/>
          <w:szCs w:val="28"/>
          <w:highlight w:val="none"/>
          <w14:textFill>
            <w14:solidFill>
              <w14:schemeClr w14:val="tx1"/>
            </w14:solidFill>
          </w14:textFill>
        </w:rPr>
        <w:t>以上情形一经核查属实，接受政府采购监管部门对我方认定存在围标串标行为，我方愿意承担一切后果，并不再寻求任何旨在减轻或者免除法律责任的辩解。</w:t>
      </w:r>
    </w:p>
    <w:p w14:paraId="769A7591">
      <w:pPr>
        <w:pageBreakBefore w:val="0"/>
        <w:wordWrap/>
        <w:topLinePunct w:val="0"/>
        <w:bidi w:val="0"/>
        <w:adjustRightInd w:val="0"/>
        <w:snapToGrid w:val="0"/>
        <w:spacing w:line="560" w:lineRule="exact"/>
        <w:ind w:firstLine="4200" w:firstLineChars="1500"/>
        <w:rPr>
          <w:rFonts w:cs="仿宋_GB2312" w:asciiTheme="minorEastAsia" w:hAnsiTheme="minorEastAsia" w:eastAsiaTheme="minorEastAsia"/>
          <w:color w:val="000000" w:themeColor="text1"/>
          <w:kern w:val="0"/>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lang w:eastAsia="zh-CN"/>
          <w14:textFill>
            <w14:solidFill>
              <w14:schemeClr w14:val="tx1"/>
            </w14:solidFill>
          </w14:textFill>
        </w:rPr>
        <w:t>供应商</w:t>
      </w:r>
      <w:r>
        <w:rPr>
          <w:rFonts w:hint="eastAsia" w:cs="仿宋_GB2312" w:asciiTheme="minorEastAsia" w:hAnsiTheme="minorEastAsia" w:eastAsiaTheme="minorEastAsia"/>
          <w:color w:val="000000" w:themeColor="text1"/>
          <w:kern w:val="0"/>
          <w:sz w:val="28"/>
          <w:szCs w:val="28"/>
          <w:highlight w:val="none"/>
          <w:lang w:val="zh-CN"/>
          <w14:textFill>
            <w14:solidFill>
              <w14:schemeClr w14:val="tx1"/>
            </w14:solidFill>
          </w14:textFill>
        </w:rPr>
        <w:t>名称(电子公章)：</w:t>
      </w:r>
    </w:p>
    <w:p w14:paraId="2752F5F0">
      <w:pPr>
        <w:pageBreakBefore w:val="0"/>
        <w:wordWrap/>
        <w:topLinePunct w:val="0"/>
        <w:bidi w:val="0"/>
        <w:adjustRightInd w:val="0"/>
        <w:snapToGrid w:val="0"/>
        <w:spacing w:line="560" w:lineRule="exact"/>
        <w:ind w:firstLine="4200" w:firstLineChars="1500"/>
        <w:rPr>
          <w:rFonts w:hint="eastAsia" w:cs="仿宋_GB2312" w:asciiTheme="minorEastAsia" w:hAnsiTheme="minorEastAsia" w:eastAsiaTheme="minorEastAsia"/>
          <w:color w:val="000000" w:themeColor="text1"/>
          <w:kern w:val="0"/>
          <w:sz w:val="28"/>
          <w:szCs w:val="28"/>
          <w:highlight w:val="none"/>
          <w:lang w:val="zh-CN"/>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法定代表人或其委托代理人（签字</w:t>
      </w:r>
      <w:r>
        <w:rPr>
          <w:rFonts w:hint="eastAsia" w:ascii="宋体" w:hAnsi="宋体" w:cs="宋体"/>
          <w:color w:val="000000" w:themeColor="text1"/>
          <w:sz w:val="28"/>
          <w:szCs w:val="28"/>
          <w:highlight w:val="none"/>
          <w:lang w:eastAsia="zh-CN"/>
          <w14:textFill>
            <w14:solidFill>
              <w14:schemeClr w14:val="tx1"/>
            </w14:solidFill>
          </w14:textFill>
        </w:rPr>
        <w:t>或</w:t>
      </w:r>
      <w:r>
        <w:rPr>
          <w:rFonts w:hint="eastAsia" w:ascii="宋体" w:hAnsi="宋体" w:eastAsia="宋体" w:cs="宋体"/>
          <w:color w:val="000000" w:themeColor="text1"/>
          <w:sz w:val="28"/>
          <w:szCs w:val="28"/>
          <w:highlight w:val="none"/>
          <w14:textFill>
            <w14:solidFill>
              <w14:schemeClr w14:val="tx1"/>
            </w14:solidFill>
          </w14:textFill>
        </w:rPr>
        <w:t>盖章）：</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r>
        <w:rPr>
          <w:rFonts w:hint="eastAsia" w:ascii="宋体" w:hAnsi="宋体" w:cs="宋体"/>
          <w:color w:val="000000" w:themeColor="text1"/>
          <w:sz w:val="28"/>
          <w:szCs w:val="28"/>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kern w:val="0"/>
          <w:sz w:val="28"/>
          <w:szCs w:val="28"/>
          <w:highlight w:val="none"/>
          <w:u w:val="single"/>
          <w:lang w:val="en-US" w:eastAsia="zh-CN"/>
          <w14:textFill>
            <w14:solidFill>
              <w14:schemeClr w14:val="tx1"/>
            </w14:solidFill>
          </w14:textFill>
        </w:rPr>
        <w:t xml:space="preserve"> </w:t>
      </w:r>
    </w:p>
    <w:p w14:paraId="540B8403">
      <w:pPr>
        <w:pageBreakBefore w:val="0"/>
        <w:wordWrap/>
        <w:topLinePunct w:val="0"/>
        <w:bidi w:val="0"/>
        <w:adjustRightInd w:val="0"/>
        <w:snapToGrid w:val="0"/>
        <w:spacing w:line="560" w:lineRule="exact"/>
        <w:ind w:firstLine="4200" w:firstLineChars="1500"/>
        <w:rPr>
          <w:rFonts w:cs="仿宋_GB2312" w:asciiTheme="minorEastAsia" w:hAnsiTheme="minorEastAsia" w:eastAsiaTheme="minorEastAsia"/>
          <w:color w:val="000000" w:themeColor="text1"/>
          <w:kern w:val="0"/>
          <w:sz w:val="28"/>
          <w:szCs w:val="28"/>
          <w:highlight w:val="none"/>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8"/>
          <w:szCs w:val="28"/>
          <w:highlight w:val="none"/>
          <w:lang w:val="zh-CN"/>
          <w14:textFill>
            <w14:solidFill>
              <w14:schemeClr w14:val="tx1"/>
            </w14:solidFill>
          </w14:textFill>
        </w:rPr>
        <w:t>日  期</w:t>
      </w:r>
      <w:r>
        <w:rPr>
          <w:rFonts w:hint="eastAsia" w:cs="仿宋_GB2312" w:asciiTheme="minorEastAsia" w:hAnsiTheme="minorEastAsia" w:eastAsiaTheme="minorEastAsia"/>
          <w:color w:val="000000" w:themeColor="text1"/>
          <w:kern w:val="0"/>
          <w:sz w:val="28"/>
          <w:szCs w:val="28"/>
          <w:highlight w:val="none"/>
          <w14:textFill>
            <w14:solidFill>
              <w14:schemeClr w14:val="tx1"/>
            </w14:solidFill>
          </w14:textFill>
        </w:rPr>
        <w:t xml:space="preserve">：  年  </w:t>
      </w:r>
      <w:r>
        <w:rPr>
          <w:rFonts w:hint="eastAsia" w:cs="仿宋_GB2312" w:asciiTheme="minorEastAsia" w:hAnsiTheme="minorEastAsia" w:eastAsiaTheme="minorEastAsia"/>
          <w:color w:val="000000" w:themeColor="text1"/>
          <w:kern w:val="0"/>
          <w:sz w:val="28"/>
          <w:szCs w:val="28"/>
          <w:highlight w:val="none"/>
          <w:lang w:val="zh-CN"/>
          <w14:textFill>
            <w14:solidFill>
              <w14:schemeClr w14:val="tx1"/>
            </w14:solidFill>
          </w14:textFill>
        </w:rPr>
        <w:t>月</w:t>
      </w:r>
      <w:r>
        <w:rPr>
          <w:rFonts w:hint="eastAsia" w:cs="仿宋_GB2312" w:asciiTheme="minorEastAsia" w:hAnsiTheme="minorEastAsia" w:eastAsiaTheme="minorEastAsia"/>
          <w:color w:val="000000" w:themeColor="text1"/>
          <w:kern w:val="0"/>
          <w:sz w:val="28"/>
          <w:szCs w:val="28"/>
          <w:highlight w:val="none"/>
          <w14:textFill>
            <w14:solidFill>
              <w14:schemeClr w14:val="tx1"/>
            </w14:solidFill>
          </w14:textFill>
        </w:rPr>
        <w:t xml:space="preserve">   </w:t>
      </w:r>
      <w:r>
        <w:rPr>
          <w:rFonts w:hint="eastAsia" w:cs="仿宋_GB2312" w:asciiTheme="minorEastAsia" w:hAnsiTheme="minorEastAsia" w:eastAsiaTheme="minorEastAsia"/>
          <w:color w:val="000000" w:themeColor="text1"/>
          <w:kern w:val="0"/>
          <w:sz w:val="28"/>
          <w:szCs w:val="28"/>
          <w:highlight w:val="none"/>
          <w:lang w:val="zh-CN"/>
          <w14:textFill>
            <w14:solidFill>
              <w14:schemeClr w14:val="tx1"/>
            </w14:solidFill>
          </w14:textFill>
        </w:rPr>
        <w:t>日</w:t>
      </w:r>
    </w:p>
    <w:p w14:paraId="6D9F8E38">
      <w:pPr>
        <w:pStyle w:val="17"/>
        <w:pageBreakBefore w:val="0"/>
        <w:wordWrap/>
        <w:topLinePunct w:val="0"/>
        <w:bidi w:val="0"/>
        <w:spacing w:line="560" w:lineRule="exact"/>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br w:type="page"/>
      </w:r>
      <w:r>
        <w:rPr>
          <w:rFonts w:hint="eastAsia"/>
          <w:color w:val="000000" w:themeColor="text1"/>
          <w:highlight w:val="none"/>
          <w14:textFill>
            <w14:solidFill>
              <w14:schemeClr w14:val="tx1"/>
            </w14:solidFill>
          </w14:textFill>
        </w:rPr>
        <w:t>二、法定代表人身份证明</w:t>
      </w:r>
    </w:p>
    <w:p w14:paraId="30757774">
      <w:pPr>
        <w:pageBreakBefore w:val="0"/>
        <w:wordWrap/>
        <w:topLinePunct w:val="0"/>
        <w:bidi w:val="0"/>
        <w:spacing w:before="240" w:beforeLines="100" w:after="120" w:afterLines="50" w:line="560" w:lineRule="exact"/>
        <w:rPr>
          <w:rFonts w:ascii="黑体" w:hAnsi="宋体" w:eastAsia="黑体"/>
          <w:color w:val="000000" w:themeColor="text1"/>
          <w:sz w:val="32"/>
          <w:szCs w:val="32"/>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lang w:eastAsia="zh-CN"/>
          <w14:textFill>
            <w14:solidFill>
              <w14:schemeClr w14:val="tx1"/>
            </w14:solidFill>
          </w14:textFill>
        </w:rPr>
        <w:t>供</w:t>
      </w:r>
      <w:r>
        <w:rPr>
          <w:rFonts w:hint="eastAsia" w:asciiTheme="minorEastAsia" w:hAnsiTheme="minorEastAsia" w:eastAsiaTheme="minorEastAsia"/>
          <w:color w:val="000000" w:themeColor="text1"/>
          <w:sz w:val="28"/>
          <w:szCs w:val="28"/>
          <w:highlight w:val="none"/>
          <w:lang w:val="en-US" w:eastAsia="zh-CN"/>
          <w14:textFill>
            <w14:solidFill>
              <w14:schemeClr w14:val="tx1"/>
            </w14:solidFill>
          </w14:textFill>
        </w:rPr>
        <w:t xml:space="preserve"> </w:t>
      </w:r>
      <w:r>
        <w:rPr>
          <w:rFonts w:hint="eastAsia" w:asciiTheme="minorEastAsia" w:hAnsiTheme="minorEastAsia" w:eastAsiaTheme="minorEastAsia"/>
          <w:color w:val="000000" w:themeColor="text1"/>
          <w:sz w:val="28"/>
          <w:szCs w:val="28"/>
          <w:highlight w:val="none"/>
          <w:lang w:eastAsia="zh-CN"/>
          <w14:textFill>
            <w14:solidFill>
              <w14:schemeClr w14:val="tx1"/>
            </w14:solidFill>
          </w14:textFill>
        </w:rPr>
        <w:t>应</w:t>
      </w:r>
      <w:r>
        <w:rPr>
          <w:rFonts w:hint="eastAsia" w:asciiTheme="minorEastAsia" w:hAnsiTheme="minorEastAsia" w:eastAsiaTheme="minorEastAsia"/>
          <w:color w:val="000000" w:themeColor="text1"/>
          <w:sz w:val="28"/>
          <w:szCs w:val="28"/>
          <w:highlight w:val="none"/>
          <w:lang w:val="en-US" w:eastAsia="zh-CN"/>
          <w14:textFill>
            <w14:solidFill>
              <w14:schemeClr w14:val="tx1"/>
            </w14:solidFill>
          </w14:textFill>
        </w:rPr>
        <w:t xml:space="preserve"> </w:t>
      </w:r>
      <w:r>
        <w:rPr>
          <w:rFonts w:hint="eastAsia" w:asciiTheme="minorEastAsia" w:hAnsiTheme="minorEastAsia" w:eastAsiaTheme="minorEastAsia"/>
          <w:color w:val="000000" w:themeColor="text1"/>
          <w:sz w:val="28"/>
          <w:szCs w:val="28"/>
          <w:highlight w:val="none"/>
          <w:lang w:eastAsia="zh-CN"/>
          <w14:textFill>
            <w14:solidFill>
              <w14:schemeClr w14:val="tx1"/>
            </w14:solidFill>
          </w14:textFill>
        </w:rPr>
        <w:t>商</w:t>
      </w:r>
      <w:r>
        <w:rPr>
          <w:rFonts w:hint="eastAsia" w:asciiTheme="minorEastAsia" w:hAnsiTheme="minorEastAsia" w:eastAsiaTheme="minorEastAsia"/>
          <w:color w:val="000000" w:themeColor="text1"/>
          <w:sz w:val="28"/>
          <w:szCs w:val="28"/>
          <w:highlight w:val="none"/>
          <w14:textFill>
            <w14:solidFill>
              <w14:schemeClr w14:val="tx1"/>
            </w14:solidFill>
          </w14:textFill>
        </w:rPr>
        <w:t>：</w:t>
      </w:r>
      <w:r>
        <w:rPr>
          <w:rFonts w:hint="eastAsia" w:asciiTheme="minorEastAsia" w:hAnsiTheme="minorEastAsia" w:eastAsiaTheme="minorEastAsia"/>
          <w:color w:val="000000" w:themeColor="text1"/>
          <w:sz w:val="28"/>
          <w:szCs w:val="28"/>
          <w:highlight w:val="none"/>
          <w:u w:val="single"/>
          <w14:textFill>
            <w14:solidFill>
              <w14:schemeClr w14:val="tx1"/>
            </w14:solidFill>
          </w14:textFill>
        </w:rPr>
        <w:t xml:space="preserve">                                                        </w:t>
      </w:r>
    </w:p>
    <w:p w14:paraId="61333865">
      <w:pPr>
        <w:pageBreakBefore w:val="0"/>
        <w:wordWrap/>
        <w:topLinePunct w:val="0"/>
        <w:bidi w:val="0"/>
        <w:spacing w:line="560" w:lineRule="exact"/>
        <w:jc w:val="left"/>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地    址：</w:t>
      </w:r>
      <w:r>
        <w:rPr>
          <w:rFonts w:hint="eastAsia" w:asciiTheme="minorEastAsia" w:hAnsiTheme="minorEastAsia" w:eastAsiaTheme="minorEastAsia"/>
          <w:color w:val="000000" w:themeColor="text1"/>
          <w:sz w:val="28"/>
          <w:szCs w:val="28"/>
          <w:highlight w:val="none"/>
          <w:u w:val="single"/>
          <w14:textFill>
            <w14:solidFill>
              <w14:schemeClr w14:val="tx1"/>
            </w14:solidFill>
          </w14:textFill>
        </w:rPr>
        <w:t xml:space="preserve">                                                        </w:t>
      </w:r>
    </w:p>
    <w:p w14:paraId="7A6912CB">
      <w:pPr>
        <w:pageBreakBefore w:val="0"/>
        <w:wordWrap/>
        <w:topLinePunct w:val="0"/>
        <w:bidi w:val="0"/>
        <w:spacing w:line="560" w:lineRule="exact"/>
        <w:jc w:val="left"/>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姓    名：</w:t>
      </w:r>
      <w:r>
        <w:rPr>
          <w:rFonts w:hint="eastAsia" w:asciiTheme="minorEastAsia" w:hAnsiTheme="minorEastAsia" w:eastAsiaTheme="minorEastAsia"/>
          <w:color w:val="000000" w:themeColor="text1"/>
          <w:sz w:val="28"/>
          <w:szCs w:val="28"/>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z w:val="28"/>
          <w:szCs w:val="28"/>
          <w:highlight w:val="none"/>
          <w14:textFill>
            <w14:solidFill>
              <w14:schemeClr w14:val="tx1"/>
            </w14:solidFill>
          </w14:textFill>
        </w:rPr>
        <w:t>性      别：</w:t>
      </w:r>
      <w:r>
        <w:rPr>
          <w:rFonts w:hint="eastAsia" w:asciiTheme="minorEastAsia" w:hAnsiTheme="minorEastAsia" w:eastAsiaTheme="minorEastAsia"/>
          <w:color w:val="000000" w:themeColor="text1"/>
          <w:sz w:val="28"/>
          <w:szCs w:val="28"/>
          <w:highlight w:val="none"/>
          <w:u w:val="single"/>
          <w14:textFill>
            <w14:solidFill>
              <w14:schemeClr w14:val="tx1"/>
            </w14:solidFill>
          </w14:textFill>
        </w:rPr>
        <w:t xml:space="preserve">                </w:t>
      </w:r>
    </w:p>
    <w:p w14:paraId="4BDDB337">
      <w:pPr>
        <w:pageBreakBefore w:val="0"/>
        <w:wordWrap/>
        <w:topLinePunct w:val="0"/>
        <w:bidi w:val="0"/>
        <w:spacing w:line="560" w:lineRule="exact"/>
        <w:jc w:val="left"/>
        <w:rPr>
          <w:rFonts w:asciiTheme="minorEastAsia" w:hAnsiTheme="minorEastAsia" w:eastAsiaTheme="minorEastAsia"/>
          <w:color w:val="000000" w:themeColor="text1"/>
          <w:sz w:val="28"/>
          <w:szCs w:val="28"/>
          <w:highlight w:val="none"/>
          <w:u w:val="singl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年    龄：</w:t>
      </w:r>
      <w:r>
        <w:rPr>
          <w:rFonts w:hint="eastAsia" w:asciiTheme="minorEastAsia" w:hAnsiTheme="minorEastAsia" w:eastAsiaTheme="minorEastAsia"/>
          <w:color w:val="000000" w:themeColor="text1"/>
          <w:sz w:val="28"/>
          <w:szCs w:val="28"/>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z w:val="28"/>
          <w:szCs w:val="28"/>
          <w:highlight w:val="none"/>
          <w14:textFill>
            <w14:solidFill>
              <w14:schemeClr w14:val="tx1"/>
            </w14:solidFill>
          </w14:textFill>
        </w:rPr>
        <w:t>职      务：</w:t>
      </w:r>
      <w:r>
        <w:rPr>
          <w:rFonts w:hint="eastAsia" w:asciiTheme="minorEastAsia" w:hAnsiTheme="minorEastAsia" w:eastAsiaTheme="minorEastAsia"/>
          <w:color w:val="000000" w:themeColor="text1"/>
          <w:sz w:val="28"/>
          <w:szCs w:val="28"/>
          <w:highlight w:val="none"/>
          <w:u w:val="single"/>
          <w14:textFill>
            <w14:solidFill>
              <w14:schemeClr w14:val="tx1"/>
            </w14:solidFill>
          </w14:textFill>
        </w:rPr>
        <w:t xml:space="preserve">                </w:t>
      </w:r>
    </w:p>
    <w:p w14:paraId="3EA4F57A">
      <w:pPr>
        <w:pageBreakBefore w:val="0"/>
        <w:wordWrap/>
        <w:topLinePunct w:val="0"/>
        <w:bidi w:val="0"/>
        <w:spacing w:line="560" w:lineRule="exact"/>
        <w:jc w:val="left"/>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身份证号码：</w:t>
      </w:r>
      <w:r>
        <w:rPr>
          <w:rFonts w:asciiTheme="minorEastAsia" w:hAnsiTheme="minorEastAsia" w:eastAsiaTheme="minorEastAsia"/>
          <w:color w:val="000000" w:themeColor="text1"/>
          <w:sz w:val="28"/>
          <w:szCs w:val="28"/>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z w:val="28"/>
          <w:szCs w:val="28"/>
          <w:highlight w:val="none"/>
          <w14:textFill>
            <w14:solidFill>
              <w14:schemeClr w14:val="tx1"/>
            </w14:solidFill>
          </w14:textFill>
        </w:rPr>
        <w:t>系</w:t>
      </w:r>
      <w:r>
        <w:rPr>
          <w:rFonts w:hint="eastAsia" w:asciiTheme="minorEastAsia" w:hAnsiTheme="minorEastAsia" w:eastAsiaTheme="minorEastAsia"/>
          <w:color w:val="000000" w:themeColor="text1"/>
          <w:sz w:val="28"/>
          <w:szCs w:val="28"/>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z w:val="28"/>
          <w:szCs w:val="28"/>
          <w:highlight w:val="none"/>
          <w:u w:val="single"/>
          <w:lang w:eastAsia="zh-CN"/>
          <w14:textFill>
            <w14:solidFill>
              <w14:schemeClr w14:val="tx1"/>
            </w14:solidFill>
          </w14:textFill>
        </w:rPr>
        <w:t>供应商</w:t>
      </w:r>
      <w:r>
        <w:rPr>
          <w:rFonts w:hint="eastAsia" w:asciiTheme="minorEastAsia" w:hAnsiTheme="minorEastAsia" w:eastAsiaTheme="minorEastAsia"/>
          <w:color w:val="000000" w:themeColor="text1"/>
          <w:sz w:val="28"/>
          <w:szCs w:val="28"/>
          <w:highlight w:val="none"/>
          <w:u w:val="single"/>
          <w14:textFill>
            <w14:solidFill>
              <w14:schemeClr w14:val="tx1"/>
            </w14:solidFill>
          </w14:textFill>
        </w:rPr>
        <w:t xml:space="preserve">名称）              </w:t>
      </w:r>
      <w:r>
        <w:rPr>
          <w:rFonts w:hint="eastAsia" w:asciiTheme="minorEastAsia" w:hAnsiTheme="minorEastAsia" w:eastAsiaTheme="minorEastAsia"/>
          <w:color w:val="000000" w:themeColor="text1"/>
          <w:sz w:val="28"/>
          <w:szCs w:val="28"/>
          <w:highlight w:val="none"/>
          <w14:textFill>
            <w14:solidFill>
              <w14:schemeClr w14:val="tx1"/>
            </w14:solidFill>
          </w14:textFill>
        </w:rPr>
        <w:t>的法定代表人。</w:t>
      </w:r>
    </w:p>
    <w:p w14:paraId="77DE58B2">
      <w:pPr>
        <w:pageBreakBefore w:val="0"/>
        <w:wordWrap/>
        <w:topLinePunct w:val="0"/>
        <w:bidi w:val="0"/>
        <w:spacing w:line="560" w:lineRule="exact"/>
        <w:ind w:left="540"/>
        <w:jc w:val="left"/>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特此证明。</w:t>
      </w:r>
    </w:p>
    <w:p w14:paraId="583B549A">
      <w:pPr>
        <w:pageBreakBefore w:val="0"/>
        <w:wordWrap/>
        <w:topLinePunct w:val="0"/>
        <w:bidi w:val="0"/>
        <w:spacing w:line="560" w:lineRule="exact"/>
        <w:ind w:left="540"/>
        <w:jc w:val="left"/>
        <w:rPr>
          <w:rFonts w:asciiTheme="minorEastAsia" w:hAnsiTheme="minorEastAsia" w:eastAsiaTheme="minorEastAsia"/>
          <w:color w:val="000000" w:themeColor="text1"/>
          <w:sz w:val="28"/>
          <w:szCs w:val="28"/>
          <w:highlight w:val="none"/>
          <w14:textFill>
            <w14:solidFill>
              <w14:schemeClr w14:val="tx1"/>
            </w14:solidFill>
          </w14:textFill>
        </w:rPr>
      </w:pPr>
    </w:p>
    <w:p w14:paraId="1120689B">
      <w:pPr>
        <w:pageBreakBefore w:val="0"/>
        <w:wordWrap/>
        <w:topLinePunct w:val="0"/>
        <w:bidi w:val="0"/>
        <w:spacing w:line="560" w:lineRule="exact"/>
        <w:ind w:left="540"/>
        <w:jc w:val="left"/>
        <w:rPr>
          <w:rFonts w:asciiTheme="minorEastAsia" w:hAnsiTheme="minorEastAsia" w:eastAsiaTheme="minorEastAsia"/>
          <w:color w:val="000000" w:themeColor="text1"/>
          <w:sz w:val="28"/>
          <w:szCs w:val="28"/>
          <w:highlight w:val="none"/>
          <w14:textFill>
            <w14:solidFill>
              <w14:schemeClr w14:val="tx1"/>
            </w14:solidFill>
          </w14:textFill>
        </w:rPr>
      </w:pPr>
    </w:p>
    <w:p w14:paraId="76D6DA06">
      <w:pPr>
        <w:pageBreakBefore w:val="0"/>
        <w:wordWrap/>
        <w:topLinePunct w:val="0"/>
        <w:bidi w:val="0"/>
        <w:spacing w:line="560" w:lineRule="exact"/>
        <w:ind w:left="540"/>
        <w:jc w:val="left"/>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附件：法定代表人有效身份证正、反面复印件</w:t>
      </w:r>
    </w:p>
    <w:p w14:paraId="0DE58060">
      <w:pPr>
        <w:pageBreakBefore w:val="0"/>
        <w:wordWrap/>
        <w:topLinePunct w:val="0"/>
        <w:bidi w:val="0"/>
        <w:spacing w:line="560" w:lineRule="exact"/>
        <w:ind w:left="540"/>
        <w:jc w:val="left"/>
        <w:rPr>
          <w:rFonts w:asciiTheme="minorEastAsia" w:hAnsiTheme="minorEastAsia" w:eastAsiaTheme="minorEastAsia"/>
          <w:color w:val="000000" w:themeColor="text1"/>
          <w:sz w:val="28"/>
          <w:szCs w:val="28"/>
          <w:highlight w:val="none"/>
          <w14:textFill>
            <w14:solidFill>
              <w14:schemeClr w14:val="tx1"/>
            </w14:solidFill>
          </w14:textFill>
        </w:rPr>
      </w:pPr>
    </w:p>
    <w:p w14:paraId="340F1320">
      <w:pPr>
        <w:pageBreakBefore w:val="0"/>
        <w:wordWrap/>
        <w:topLinePunct w:val="0"/>
        <w:bidi w:val="0"/>
        <w:spacing w:line="560" w:lineRule="exact"/>
        <w:ind w:left="540"/>
        <w:jc w:val="left"/>
        <w:rPr>
          <w:rFonts w:asciiTheme="minorEastAsia" w:hAnsiTheme="minorEastAsia" w:eastAsiaTheme="minorEastAsia"/>
          <w:color w:val="000000" w:themeColor="text1"/>
          <w:sz w:val="28"/>
          <w:szCs w:val="28"/>
          <w:highlight w:val="none"/>
          <w14:textFill>
            <w14:solidFill>
              <w14:schemeClr w14:val="tx1"/>
            </w14:solidFill>
          </w14:textFill>
        </w:rPr>
      </w:pPr>
    </w:p>
    <w:p w14:paraId="62B96C2C">
      <w:pPr>
        <w:pageBreakBefore w:val="0"/>
        <w:wordWrap/>
        <w:topLinePunct w:val="0"/>
        <w:bidi w:val="0"/>
        <w:spacing w:line="560" w:lineRule="exact"/>
        <w:ind w:left="540"/>
        <w:jc w:val="left"/>
        <w:rPr>
          <w:rFonts w:asciiTheme="minorEastAsia" w:hAnsiTheme="minorEastAsia" w:eastAsiaTheme="minorEastAsia"/>
          <w:color w:val="000000" w:themeColor="text1"/>
          <w:sz w:val="28"/>
          <w:szCs w:val="28"/>
          <w:highlight w:val="none"/>
          <w14:textFill>
            <w14:solidFill>
              <w14:schemeClr w14:val="tx1"/>
            </w14:solidFill>
          </w14:textFill>
        </w:rPr>
      </w:pPr>
    </w:p>
    <w:p w14:paraId="0D5D160E">
      <w:pPr>
        <w:pageBreakBefore w:val="0"/>
        <w:wordWrap/>
        <w:topLinePunct w:val="0"/>
        <w:bidi w:val="0"/>
        <w:spacing w:line="560" w:lineRule="exact"/>
        <w:ind w:left="540"/>
        <w:jc w:val="left"/>
        <w:rPr>
          <w:rFonts w:asciiTheme="minorEastAsia" w:hAnsiTheme="minorEastAsia" w:eastAsiaTheme="minorEastAsia"/>
          <w:color w:val="000000" w:themeColor="text1"/>
          <w:sz w:val="28"/>
          <w:szCs w:val="28"/>
          <w:highlight w:val="none"/>
          <w14:textFill>
            <w14:solidFill>
              <w14:schemeClr w14:val="tx1"/>
            </w14:solidFill>
          </w14:textFill>
        </w:rPr>
      </w:pPr>
    </w:p>
    <w:p w14:paraId="7D6DF135">
      <w:pPr>
        <w:pageBreakBefore w:val="0"/>
        <w:wordWrap/>
        <w:topLinePunct w:val="0"/>
        <w:bidi w:val="0"/>
        <w:spacing w:line="560" w:lineRule="exact"/>
        <w:ind w:left="540"/>
        <w:jc w:val="left"/>
        <w:rPr>
          <w:rFonts w:asciiTheme="minorEastAsia" w:hAnsiTheme="minorEastAsia" w:eastAsiaTheme="minorEastAsia"/>
          <w:color w:val="000000" w:themeColor="text1"/>
          <w:sz w:val="28"/>
          <w:szCs w:val="28"/>
          <w:highlight w:val="none"/>
          <w14:textFill>
            <w14:solidFill>
              <w14:schemeClr w14:val="tx1"/>
            </w14:solidFill>
          </w14:textFill>
        </w:rPr>
      </w:pPr>
    </w:p>
    <w:p w14:paraId="5E339458">
      <w:pPr>
        <w:pageBreakBefore w:val="0"/>
        <w:wordWrap/>
        <w:topLinePunct w:val="0"/>
        <w:bidi w:val="0"/>
        <w:spacing w:line="560" w:lineRule="exact"/>
        <w:ind w:left="540"/>
        <w:jc w:val="left"/>
        <w:rPr>
          <w:rFonts w:asciiTheme="minorEastAsia" w:hAnsiTheme="minorEastAsia" w:eastAsiaTheme="minorEastAsia"/>
          <w:color w:val="000000" w:themeColor="text1"/>
          <w:sz w:val="28"/>
          <w:szCs w:val="28"/>
          <w:highlight w:val="none"/>
          <w14:textFill>
            <w14:solidFill>
              <w14:schemeClr w14:val="tx1"/>
            </w14:solidFill>
          </w14:textFill>
        </w:rPr>
      </w:pPr>
    </w:p>
    <w:p w14:paraId="7DDE4E5D">
      <w:pPr>
        <w:pageBreakBefore w:val="0"/>
        <w:wordWrap/>
        <w:topLinePunct w:val="0"/>
        <w:bidi w:val="0"/>
        <w:snapToGrid w:val="0"/>
        <w:spacing w:line="560" w:lineRule="exact"/>
        <w:ind w:firstLine="4480" w:firstLineChars="1600"/>
        <w:jc w:val="left"/>
        <w:rPr>
          <w:rFonts w:cs="仿宋_GB2312" w:asciiTheme="minorEastAsia" w:hAnsiTheme="minorEastAsia" w:eastAsiaTheme="minorEastAsia"/>
          <w:color w:val="000000" w:themeColor="text1"/>
          <w:kern w:val="0"/>
          <w:sz w:val="28"/>
          <w:szCs w:val="28"/>
          <w:highlight w:val="none"/>
          <w14:textFill>
            <w14:solidFill>
              <w14:schemeClr w14:val="tx1"/>
            </w14:solidFill>
          </w14:textFill>
        </w:rPr>
      </w:pPr>
      <w:r>
        <w:rPr>
          <w:rFonts w:hint="eastAsia" w:cs="仿宋_GB2312" w:asciiTheme="minorEastAsia" w:hAnsiTheme="minorEastAsia" w:eastAsiaTheme="minorEastAsia"/>
          <w:color w:val="000000" w:themeColor="text1"/>
          <w:kern w:val="0"/>
          <w:sz w:val="28"/>
          <w:szCs w:val="28"/>
          <w:highlight w:val="none"/>
          <w:lang w:val="zh-CN"/>
          <w14:textFill>
            <w14:solidFill>
              <w14:schemeClr w14:val="tx1"/>
            </w14:solidFill>
          </w14:textFill>
        </w:rPr>
        <w:t>供应商名称(电子公章)：</w:t>
      </w:r>
    </w:p>
    <w:p w14:paraId="585A5C74">
      <w:pPr>
        <w:pageBreakBefore w:val="0"/>
        <w:wordWrap/>
        <w:topLinePunct w:val="0"/>
        <w:bidi w:val="0"/>
        <w:snapToGrid w:val="0"/>
        <w:spacing w:line="560" w:lineRule="exact"/>
        <w:ind w:firstLine="4480" w:firstLineChars="1600"/>
        <w:jc w:val="left"/>
        <w:rPr>
          <w:rFonts w:cs="仿宋_GB2312" w:asciiTheme="minorEastAsia" w:hAnsiTheme="minorEastAsia" w:eastAsiaTheme="minorEastAsia"/>
          <w:color w:val="000000" w:themeColor="text1"/>
          <w:kern w:val="0"/>
          <w:sz w:val="28"/>
          <w:szCs w:val="28"/>
          <w:highlight w:val="none"/>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8"/>
          <w:szCs w:val="28"/>
          <w:highlight w:val="none"/>
          <w:lang w:val="zh-CN"/>
          <w14:textFill>
            <w14:solidFill>
              <w14:schemeClr w14:val="tx1"/>
            </w14:solidFill>
          </w14:textFill>
        </w:rPr>
        <w:t>日  期</w:t>
      </w:r>
      <w:r>
        <w:rPr>
          <w:rFonts w:hint="eastAsia" w:cs="仿宋_GB2312" w:asciiTheme="minorEastAsia" w:hAnsiTheme="minorEastAsia" w:eastAsiaTheme="minorEastAsia"/>
          <w:color w:val="000000" w:themeColor="text1"/>
          <w:kern w:val="0"/>
          <w:sz w:val="28"/>
          <w:szCs w:val="28"/>
          <w:highlight w:val="none"/>
          <w14:textFill>
            <w14:solidFill>
              <w14:schemeClr w14:val="tx1"/>
            </w14:solidFill>
          </w14:textFill>
        </w:rPr>
        <w:t xml:space="preserve">：  年  </w:t>
      </w:r>
      <w:r>
        <w:rPr>
          <w:rFonts w:hint="eastAsia" w:cs="仿宋_GB2312" w:asciiTheme="minorEastAsia" w:hAnsiTheme="minorEastAsia" w:eastAsiaTheme="minorEastAsia"/>
          <w:color w:val="000000" w:themeColor="text1"/>
          <w:kern w:val="0"/>
          <w:sz w:val="28"/>
          <w:szCs w:val="28"/>
          <w:highlight w:val="none"/>
          <w:lang w:val="zh-CN"/>
          <w14:textFill>
            <w14:solidFill>
              <w14:schemeClr w14:val="tx1"/>
            </w14:solidFill>
          </w14:textFill>
        </w:rPr>
        <w:t>月</w:t>
      </w:r>
      <w:r>
        <w:rPr>
          <w:rFonts w:hint="eastAsia" w:cs="仿宋_GB2312" w:asciiTheme="minorEastAsia" w:hAnsiTheme="minorEastAsia" w:eastAsiaTheme="minorEastAsia"/>
          <w:color w:val="000000" w:themeColor="text1"/>
          <w:kern w:val="0"/>
          <w:sz w:val="28"/>
          <w:szCs w:val="28"/>
          <w:highlight w:val="none"/>
          <w14:textFill>
            <w14:solidFill>
              <w14:schemeClr w14:val="tx1"/>
            </w14:solidFill>
          </w14:textFill>
        </w:rPr>
        <w:t xml:space="preserve">   </w:t>
      </w:r>
      <w:r>
        <w:rPr>
          <w:rFonts w:hint="eastAsia" w:cs="仿宋_GB2312" w:asciiTheme="minorEastAsia" w:hAnsiTheme="minorEastAsia" w:eastAsiaTheme="minorEastAsia"/>
          <w:color w:val="000000" w:themeColor="text1"/>
          <w:kern w:val="0"/>
          <w:sz w:val="28"/>
          <w:szCs w:val="28"/>
          <w:highlight w:val="none"/>
          <w:lang w:val="zh-CN"/>
          <w14:textFill>
            <w14:solidFill>
              <w14:schemeClr w14:val="tx1"/>
            </w14:solidFill>
          </w14:textFill>
        </w:rPr>
        <w:t>日</w:t>
      </w:r>
    </w:p>
    <w:p w14:paraId="72285CDD">
      <w:pPr>
        <w:pageBreakBefore w:val="0"/>
        <w:wordWrap/>
        <w:topLinePunct w:val="0"/>
        <w:bidi w:val="0"/>
        <w:snapToGrid w:val="0"/>
        <w:spacing w:before="120" w:beforeLines="50" w:after="50" w:line="560" w:lineRule="exact"/>
        <w:jc w:val="left"/>
        <w:rPr>
          <w:rFonts w:ascii="宋体" w:hAnsi="宋体"/>
          <w:color w:val="000000" w:themeColor="text1"/>
          <w:sz w:val="24"/>
          <w:highlight w:val="none"/>
          <w14:textFill>
            <w14:solidFill>
              <w14:schemeClr w14:val="tx1"/>
            </w14:solidFill>
          </w14:textFill>
        </w:rPr>
      </w:pPr>
    </w:p>
    <w:p w14:paraId="740E3D8F">
      <w:pPr>
        <w:pageBreakBefore w:val="0"/>
        <w:wordWrap/>
        <w:topLinePunct w:val="0"/>
        <w:bidi w:val="0"/>
        <w:snapToGrid w:val="0"/>
        <w:spacing w:before="120" w:beforeLines="50" w:after="50" w:line="560" w:lineRule="exact"/>
        <w:ind w:firstLine="602" w:firstLineChars="250"/>
        <w:jc w:val="left"/>
        <w:rPr>
          <w:rFonts w:ascii="宋体" w:hAnsi="宋体"/>
          <w:b/>
          <w:color w:val="000000" w:themeColor="text1"/>
          <w:sz w:val="24"/>
          <w:szCs w:val="20"/>
          <w:highlight w:val="none"/>
          <w14:textFill>
            <w14:solidFill>
              <w14:schemeClr w14:val="tx1"/>
            </w14:solidFill>
          </w14:textFill>
        </w:rPr>
      </w:pPr>
    </w:p>
    <w:tbl>
      <w:tblPr>
        <w:tblStyle w:val="34"/>
        <w:tblpPr w:leftFromText="180" w:rightFromText="180" w:vertAnchor="text" w:horzAnchor="margin" w:tblpXSpec="center" w:tblpY="1169"/>
        <w:tblW w:w="84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0"/>
      </w:tblGrid>
      <w:tr w14:paraId="67E20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5" w:hRule="atLeast"/>
          <w:jc w:val="center"/>
        </w:trPr>
        <w:tc>
          <w:tcPr>
            <w:tcW w:w="8460" w:type="dxa"/>
            <w:tcBorders>
              <w:top w:val="single" w:color="auto" w:sz="4" w:space="0"/>
              <w:left w:val="single" w:color="auto" w:sz="4" w:space="0"/>
              <w:bottom w:val="single" w:color="auto" w:sz="4" w:space="0"/>
              <w:right w:val="single" w:color="auto" w:sz="4" w:space="0"/>
            </w:tcBorders>
          </w:tcPr>
          <w:p w14:paraId="5B58ADDE">
            <w:pPr>
              <w:pageBreakBefore w:val="0"/>
              <w:wordWrap/>
              <w:topLinePunct w:val="0"/>
              <w:bidi w:val="0"/>
              <w:spacing w:line="560" w:lineRule="exact"/>
              <w:rPr>
                <w:rFonts w:ascii="宋体"/>
                <w:b/>
                <w:color w:val="000000" w:themeColor="text1"/>
                <w:sz w:val="24"/>
                <w:highlight w:val="none"/>
                <w14:textFill>
                  <w14:solidFill>
                    <w14:schemeClr w14:val="tx1"/>
                  </w14:solidFill>
                </w14:textFill>
              </w:rPr>
            </w:pPr>
          </w:p>
          <w:p w14:paraId="06C2F611">
            <w:pPr>
              <w:pageBreakBefore w:val="0"/>
              <w:wordWrap/>
              <w:topLinePunct w:val="0"/>
              <w:bidi w:val="0"/>
              <w:spacing w:line="560" w:lineRule="exact"/>
              <w:rPr>
                <w:rFonts w:ascii="宋体"/>
                <w:b/>
                <w:color w:val="000000" w:themeColor="text1"/>
                <w:sz w:val="24"/>
                <w:highlight w:val="none"/>
                <w14:textFill>
                  <w14:solidFill>
                    <w14:schemeClr w14:val="tx1"/>
                  </w14:solidFill>
                </w14:textFill>
              </w:rPr>
            </w:pPr>
            <w:r>
              <w:rPr>
                <w:rFonts w:hint="eastAsia" w:ascii="宋体"/>
                <w:b/>
                <w:color w:val="000000" w:themeColor="text1"/>
                <w:sz w:val="24"/>
                <w:highlight w:val="none"/>
                <w14:textFill>
                  <w14:solidFill>
                    <w14:schemeClr w14:val="tx1"/>
                  </w14:solidFill>
                </w14:textFill>
              </w:rPr>
              <w:t>法定代表身份证复印件粘帖处（正、反面）</w:t>
            </w:r>
          </w:p>
        </w:tc>
      </w:tr>
    </w:tbl>
    <w:p w14:paraId="55C3635C">
      <w:pPr>
        <w:pStyle w:val="17"/>
        <w:pageBreakBefore w:val="0"/>
        <w:wordWrap/>
        <w:topLinePunct w:val="0"/>
        <w:bidi w:val="0"/>
        <w:spacing w:line="560" w:lineRule="exact"/>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附件：</w:t>
      </w:r>
    </w:p>
    <w:p w14:paraId="0F0713CD">
      <w:pPr>
        <w:pStyle w:val="17"/>
        <w:pageBreakBefore w:val="0"/>
        <w:wordWrap/>
        <w:topLinePunct w:val="0"/>
        <w:bidi w:val="0"/>
        <w:spacing w:line="560" w:lineRule="exact"/>
        <w:rPr>
          <w:color w:val="000000" w:themeColor="text1"/>
          <w:highlight w:val="none"/>
          <w14:textFill>
            <w14:solidFill>
              <w14:schemeClr w14:val="tx1"/>
            </w14:solidFill>
          </w14:textFill>
        </w:rPr>
      </w:pPr>
    </w:p>
    <w:p w14:paraId="5C9A0258">
      <w:pPr>
        <w:pageBreakBefore w:val="0"/>
        <w:widowControl/>
        <w:wordWrap/>
        <w:topLinePunct w:val="0"/>
        <w:bidi w:val="0"/>
        <w:spacing w:line="560" w:lineRule="exact"/>
        <w:jc w:val="left"/>
        <w:rPr>
          <w:rFonts w:ascii="宋体" w:hAnsi="宋体"/>
          <w:b/>
          <w:color w:val="000000" w:themeColor="text1"/>
          <w:sz w:val="24"/>
          <w:szCs w:val="20"/>
          <w:highlight w:val="none"/>
          <w14:textFill>
            <w14:solidFill>
              <w14:schemeClr w14:val="tx1"/>
            </w14:solidFill>
          </w14:textFill>
        </w:rPr>
      </w:pPr>
      <w:r>
        <w:rPr>
          <w:rFonts w:hAnsi="宋体"/>
          <w:b/>
          <w:color w:val="000000" w:themeColor="text1"/>
          <w:sz w:val="24"/>
          <w:highlight w:val="none"/>
          <w14:textFill>
            <w14:solidFill>
              <w14:schemeClr w14:val="tx1"/>
            </w14:solidFill>
          </w14:textFill>
        </w:rPr>
        <w:br w:type="page"/>
      </w:r>
    </w:p>
    <w:p w14:paraId="1FC2DD50">
      <w:pPr>
        <w:pageBreakBefore w:val="0"/>
        <w:wordWrap/>
        <w:topLinePunct w:val="0"/>
        <w:bidi w:val="0"/>
        <w:spacing w:line="560" w:lineRule="exact"/>
        <w:jc w:val="center"/>
        <w:rPr>
          <w:b/>
          <w:color w:val="000000" w:themeColor="text1"/>
          <w:sz w:val="28"/>
          <w:szCs w:val="28"/>
          <w:highlight w:val="none"/>
          <w14:textFill>
            <w14:solidFill>
              <w14:schemeClr w14:val="tx1"/>
            </w14:solidFill>
          </w14:textFill>
        </w:rPr>
      </w:pPr>
      <w:r>
        <w:rPr>
          <w:rFonts w:hint="eastAsia"/>
          <w:b/>
          <w:color w:val="000000" w:themeColor="text1"/>
          <w:sz w:val="28"/>
          <w:szCs w:val="28"/>
          <w:highlight w:val="none"/>
          <w14:textFill>
            <w14:solidFill>
              <w14:schemeClr w14:val="tx1"/>
            </w14:solidFill>
          </w14:textFill>
        </w:rPr>
        <w:t>三、法定代表人授权委托书（如有委托时）</w:t>
      </w:r>
    </w:p>
    <w:p w14:paraId="3840306E">
      <w:pPr>
        <w:pageBreakBefore w:val="0"/>
        <w:wordWrap/>
        <w:topLinePunct w:val="0"/>
        <w:bidi w:val="0"/>
        <w:spacing w:line="560" w:lineRule="exact"/>
        <w:rPr>
          <w:color w:val="000000" w:themeColor="text1"/>
          <w:sz w:val="28"/>
          <w:szCs w:val="28"/>
          <w:highlight w:val="none"/>
          <w14:textFill>
            <w14:solidFill>
              <w14:schemeClr w14:val="tx1"/>
            </w14:solidFill>
          </w14:textFill>
        </w:rPr>
      </w:pPr>
    </w:p>
    <w:p w14:paraId="4291D2B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color w:val="000000" w:themeColor="text1"/>
          <w:sz w:val="28"/>
          <w:szCs w:val="28"/>
          <w:highlight w:val="none"/>
          <w:u w:val="single"/>
          <w:lang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t>致：</w:t>
      </w:r>
      <w:r>
        <w:rPr>
          <w:rFonts w:hint="eastAsia" w:asciiTheme="minorEastAsia" w:hAnsiTheme="minorEastAsia" w:eastAsiaTheme="minorEastAsia" w:cstheme="minorEastAsia"/>
          <w:color w:val="000000" w:themeColor="text1"/>
          <w:sz w:val="28"/>
          <w:szCs w:val="28"/>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highlight w:val="none"/>
          <w:u w:val="single"/>
          <w:lang w:eastAsia="zh-CN"/>
          <w14:textFill>
            <w14:solidFill>
              <w14:schemeClr w14:val="tx1"/>
            </w14:solidFill>
          </w14:textFill>
        </w:rPr>
        <w:t>采购人名称）</w:t>
      </w:r>
    </w:p>
    <w:p w14:paraId="1A324AE2">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 xml:space="preserve">本人 </w:t>
      </w:r>
      <w: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（姓名）系</w:t>
      </w:r>
      <w: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名称）的法定代表人，现授权我单位在职正式员工</w:t>
      </w:r>
      <w: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（姓名和职务）为我方代理人。代理人根据授权，以我方名义签署、澄清、说明、补正、递交、撤回、修改贵方组织的</w:t>
      </w:r>
      <w: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highlight w:val="none"/>
          <w:u w:val="single"/>
          <w:lang w:val="en-US" w:eastAsia="zh-CN"/>
          <w14:textFill>
            <w14:solidFill>
              <w14:schemeClr w14:val="tx1"/>
            </w14:solidFill>
          </w14:textFill>
        </w:rPr>
        <w:t xml:space="preserve">         （项目名称、标项名称）   </w:t>
      </w:r>
      <w: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（项目编号：</w:t>
      </w:r>
      <w:r>
        <w:rPr>
          <w:rFonts w:hint="eastAsia" w:asciiTheme="minorEastAsia" w:hAnsiTheme="minorEastAsia" w:eastAsiaTheme="minorEastAsia" w:cstheme="minorEastAsia"/>
          <w:color w:val="000000" w:themeColor="text1"/>
          <w:sz w:val="28"/>
          <w:szCs w:val="28"/>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）的投标文件、签订合同和处理一切有关事宜，其法律后果由我方承担。</w:t>
      </w:r>
    </w:p>
    <w:p w14:paraId="7BED215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本授权书于</w:t>
      </w:r>
      <w: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年</w:t>
      </w:r>
      <w: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月</w:t>
      </w:r>
      <w: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日签字生效，委托期限：</w:t>
      </w:r>
      <w: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w:t>
      </w:r>
    </w:p>
    <w:p w14:paraId="3563412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代理人无转委托权。</w:t>
      </w:r>
    </w:p>
    <w:p w14:paraId="741256E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p>
    <w:p w14:paraId="74527EF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p>
    <w:p w14:paraId="413F105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p>
    <w:p w14:paraId="1FD264A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 xml:space="preserve">       供应商名称</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电子公章</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 xml:space="preserve">）：                                    </w:t>
      </w:r>
    </w:p>
    <w:p w14:paraId="7BA9318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法定代表人（</w:t>
      </w:r>
      <w:r>
        <w:rPr>
          <w:rFonts w:hint="eastAsia" w:ascii="宋体" w:hAnsi="宋体" w:eastAsia="宋体" w:cs="宋体"/>
          <w:color w:val="000000" w:themeColor="text1"/>
          <w:sz w:val="28"/>
          <w:szCs w:val="28"/>
          <w:highlight w:val="none"/>
          <w14:textFill>
            <w14:solidFill>
              <w14:schemeClr w14:val="tx1"/>
            </w14:solidFill>
          </w14:textFill>
        </w:rPr>
        <w:t>签字或盖章</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 xml:space="preserve">）：    </w:t>
      </w:r>
      <w:r>
        <w:rPr>
          <w:color w:val="000000" w:themeColor="text1"/>
          <w:highlight w:val="none"/>
          <w14:textFill>
            <w14:solidFill>
              <w14:schemeClr w14:val="tx1"/>
            </w14:solidFill>
          </w14:textFill>
        </w:rPr>
        <w:t xml:space="preserve">                            </w:t>
      </w:r>
    </w:p>
    <w:p w14:paraId="664EE278">
      <w:pPr>
        <w:pStyle w:val="17"/>
        <w:pageBreakBefore w:val="0"/>
        <w:wordWrap/>
        <w:topLinePunct w:val="0"/>
        <w:bidi w:val="0"/>
        <w:spacing w:before="120" w:after="120" w:line="560" w:lineRule="exact"/>
        <w:outlineLvl w:val="9"/>
        <w:rPr>
          <w:color w:val="000000" w:themeColor="text1"/>
          <w:highlight w:val="none"/>
          <w14:textFill>
            <w14:solidFill>
              <w14:schemeClr w14:val="tx1"/>
            </w14:solidFill>
          </w14:textFill>
        </w:rPr>
      </w:pPr>
    </w:p>
    <w:p w14:paraId="45A53DAD">
      <w:pPr>
        <w:pageBreakBefore w:val="0"/>
        <w:wordWrap/>
        <w:topLinePunct w:val="0"/>
        <w:autoSpaceDE w:val="0"/>
        <w:autoSpaceDN w:val="0"/>
        <w:bidi w:val="0"/>
        <w:adjustRightInd w:val="0"/>
        <w:spacing w:line="560" w:lineRule="exact"/>
        <w:ind w:firstLine="420" w:firstLineChars="200"/>
        <w:jc w:val="left"/>
        <w:rPr>
          <w:rFonts w:ascii="宋体" w:cs="宋体"/>
          <w:color w:val="000000" w:themeColor="text1"/>
          <w:kern w:val="0"/>
          <w:szCs w:val="21"/>
          <w:highlight w:val="none"/>
          <w14:textFill>
            <w14:solidFill>
              <w14:schemeClr w14:val="tx1"/>
            </w14:solidFill>
          </w14:textFill>
        </w:rPr>
      </w:pPr>
      <w:r>
        <w:rPr>
          <w:rFonts w:hint="eastAsia" w:ascii="宋体" w:cs="宋体"/>
          <w:color w:val="000000" w:themeColor="text1"/>
          <w:kern w:val="0"/>
          <w:szCs w:val="21"/>
          <w:highlight w:val="none"/>
          <w14:textFill>
            <w14:solidFill>
              <w14:schemeClr w14:val="tx1"/>
            </w14:solidFill>
          </w14:textFill>
        </w:rPr>
        <w:t xml:space="preserve"> </w:t>
      </w:r>
    </w:p>
    <w:p w14:paraId="6822795C">
      <w:pPr>
        <w:pageBreakBefore w:val="0"/>
        <w:wordWrap/>
        <w:topLinePunct w:val="0"/>
        <w:autoSpaceDE w:val="0"/>
        <w:autoSpaceDN w:val="0"/>
        <w:bidi w:val="0"/>
        <w:adjustRightInd w:val="0"/>
        <w:spacing w:line="560" w:lineRule="exact"/>
        <w:ind w:firstLine="420" w:firstLineChars="200"/>
        <w:jc w:val="left"/>
        <w:rPr>
          <w:rFonts w:ascii="宋体" w:cs="宋体"/>
          <w:color w:val="000000" w:themeColor="text1"/>
          <w:kern w:val="0"/>
          <w:szCs w:val="21"/>
          <w:highlight w:val="none"/>
          <w14:textFill>
            <w14:solidFill>
              <w14:schemeClr w14:val="tx1"/>
            </w14:solidFill>
          </w14:textFill>
        </w:rPr>
      </w:pPr>
    </w:p>
    <w:p w14:paraId="77C104D7">
      <w:pPr>
        <w:pageBreakBefore w:val="0"/>
        <w:wordWrap/>
        <w:topLinePunct w:val="0"/>
        <w:autoSpaceDE w:val="0"/>
        <w:autoSpaceDN w:val="0"/>
        <w:bidi w:val="0"/>
        <w:adjustRightInd w:val="0"/>
        <w:spacing w:line="560" w:lineRule="exact"/>
        <w:ind w:firstLine="420" w:firstLineChars="200"/>
        <w:jc w:val="left"/>
        <w:rPr>
          <w:rFonts w:ascii="宋体" w:cs="宋体"/>
          <w:color w:val="000000" w:themeColor="text1"/>
          <w:kern w:val="0"/>
          <w:szCs w:val="21"/>
          <w:highlight w:val="none"/>
          <w14:textFill>
            <w14:solidFill>
              <w14:schemeClr w14:val="tx1"/>
            </w14:solidFill>
          </w14:textFill>
        </w:rPr>
      </w:pPr>
    </w:p>
    <w:p w14:paraId="5F7A2536">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注：</w:t>
      </w:r>
    </w:p>
    <w:p w14:paraId="0699EB27">
      <w:pPr>
        <w:keepNext w:val="0"/>
        <w:keepLines w:val="0"/>
        <w:pageBreakBefore w:val="0"/>
        <w:widowControl w:val="0"/>
        <w:kinsoku/>
        <w:wordWrap/>
        <w:overflowPunct/>
        <w:topLinePunct w:val="0"/>
        <w:autoSpaceDE/>
        <w:autoSpaceDN/>
        <w:bidi w:val="0"/>
        <w:adjustRightInd/>
        <w:snapToGrid w:val="0"/>
        <w:spacing w:line="560" w:lineRule="exact"/>
        <w:jc w:val="lef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1. 供应商为其他组织或者自然人时，本招标文件规定的法定代表人指负责人或者自然人。本招标文件所称负责人是指参加投标的其他组织营业执照上的负责人，本招标文件所称自然人指参与投标的自然人本人。</w:t>
      </w:r>
    </w:p>
    <w:p w14:paraId="485FC0F4">
      <w:pPr>
        <w:pageBreakBefore w:val="0"/>
        <w:widowControl/>
        <w:wordWrap/>
        <w:topLinePunct w:val="0"/>
        <w:bidi w:val="0"/>
        <w:spacing w:line="560" w:lineRule="exact"/>
        <w:jc w:val="left"/>
        <w:rPr>
          <w:rFonts w:ascii="宋体"/>
          <w:b/>
          <w:color w:val="000000" w:themeColor="text1"/>
          <w:sz w:val="24"/>
          <w:highlight w:val="none"/>
          <w14:textFill>
            <w14:solidFill>
              <w14:schemeClr w14:val="tx1"/>
            </w14:solidFill>
          </w14:textFill>
        </w:rPr>
      </w:pPr>
    </w:p>
    <w:p w14:paraId="228A3A26">
      <w:pPr>
        <w:pageBreakBefore w:val="0"/>
        <w:wordWrap/>
        <w:topLinePunct w:val="0"/>
        <w:bidi w:val="0"/>
        <w:spacing w:line="560" w:lineRule="exact"/>
        <w:rPr>
          <w:rFonts w:hint="eastAsia" w:ascii="宋体"/>
          <w:b/>
          <w:color w:val="000000" w:themeColor="text1"/>
          <w:sz w:val="24"/>
          <w:highlight w:val="none"/>
          <w14:textFill>
            <w14:solidFill>
              <w14:schemeClr w14:val="tx1"/>
            </w14:solidFill>
          </w14:textFill>
        </w:rPr>
      </w:pPr>
    </w:p>
    <w:p w14:paraId="77B56802">
      <w:pPr>
        <w:pageBreakBefore w:val="0"/>
        <w:wordWrap/>
        <w:topLinePunct w:val="0"/>
        <w:bidi w:val="0"/>
        <w:spacing w:line="560" w:lineRule="exact"/>
        <w:rPr>
          <w:b/>
          <w:color w:val="000000" w:themeColor="text1"/>
          <w:sz w:val="24"/>
          <w:highlight w:val="none"/>
          <w14:textFill>
            <w14:solidFill>
              <w14:schemeClr w14:val="tx1"/>
            </w14:solidFill>
          </w14:textFill>
        </w:rPr>
      </w:pPr>
      <w:r>
        <w:rPr>
          <w:rFonts w:hint="eastAsia" w:ascii="宋体"/>
          <w:b/>
          <w:color w:val="000000" w:themeColor="text1"/>
          <w:sz w:val="24"/>
          <w:highlight w:val="none"/>
          <w14:textFill>
            <w14:solidFill>
              <w14:schemeClr w14:val="tx1"/>
            </w14:solidFill>
          </w14:textFill>
        </w:rPr>
        <w:t>附件：</w:t>
      </w:r>
    </w:p>
    <w:tbl>
      <w:tblPr>
        <w:tblStyle w:val="34"/>
        <w:tblpPr w:leftFromText="180" w:rightFromText="180" w:vertAnchor="text" w:horzAnchor="margin" w:tblpXSpec="center" w:tblpY="263"/>
        <w:tblW w:w="79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0"/>
      </w:tblGrid>
      <w:tr w14:paraId="1A7C9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0" w:hRule="atLeast"/>
          <w:jc w:val="center"/>
        </w:trPr>
        <w:tc>
          <w:tcPr>
            <w:tcW w:w="7990" w:type="dxa"/>
            <w:tcBorders>
              <w:top w:val="single" w:color="auto" w:sz="4" w:space="0"/>
              <w:left w:val="single" w:color="auto" w:sz="4" w:space="0"/>
              <w:bottom w:val="single" w:color="auto" w:sz="4" w:space="0"/>
              <w:right w:val="single" w:color="auto" w:sz="4" w:space="0"/>
            </w:tcBorders>
          </w:tcPr>
          <w:p w14:paraId="1E7BA42C">
            <w:pPr>
              <w:pageBreakBefore w:val="0"/>
              <w:wordWrap/>
              <w:topLinePunct w:val="0"/>
              <w:bidi w:val="0"/>
              <w:spacing w:line="560" w:lineRule="exact"/>
              <w:rPr>
                <w:rFonts w:ascii="宋体"/>
                <w:b/>
                <w:color w:val="000000" w:themeColor="text1"/>
                <w:sz w:val="24"/>
                <w:highlight w:val="none"/>
                <w14:textFill>
                  <w14:solidFill>
                    <w14:schemeClr w14:val="tx1"/>
                  </w14:solidFill>
                </w14:textFill>
              </w:rPr>
            </w:pPr>
          </w:p>
          <w:p w14:paraId="564DC1AC">
            <w:pPr>
              <w:pageBreakBefore w:val="0"/>
              <w:wordWrap/>
              <w:topLinePunct w:val="0"/>
              <w:bidi w:val="0"/>
              <w:spacing w:line="560" w:lineRule="exact"/>
              <w:rPr>
                <w:rFonts w:ascii="宋体"/>
                <w:b/>
                <w:color w:val="000000" w:themeColor="text1"/>
                <w:sz w:val="24"/>
                <w:highlight w:val="none"/>
                <w14:textFill>
                  <w14:solidFill>
                    <w14:schemeClr w14:val="tx1"/>
                  </w14:solidFill>
                </w14:textFill>
              </w:rPr>
            </w:pPr>
            <w:r>
              <w:rPr>
                <w:rFonts w:hint="eastAsia" w:ascii="宋体"/>
                <w:b/>
                <w:color w:val="000000" w:themeColor="text1"/>
                <w:sz w:val="24"/>
                <w:highlight w:val="none"/>
                <w14:textFill>
                  <w14:solidFill>
                    <w14:schemeClr w14:val="tx1"/>
                  </w14:solidFill>
                </w14:textFill>
              </w:rPr>
              <w:t>全权代表身份证复印件粘帖处（正、反面）</w:t>
            </w:r>
          </w:p>
        </w:tc>
      </w:tr>
    </w:tbl>
    <w:p w14:paraId="0AF13A33">
      <w:pPr>
        <w:pageBreakBefore w:val="0"/>
        <w:wordWrap/>
        <w:topLinePunct w:val="0"/>
        <w:bidi w:val="0"/>
        <w:snapToGrid w:val="0"/>
        <w:spacing w:before="50" w:after="120" w:afterLines="50" w:line="560" w:lineRule="exact"/>
        <w:jc w:val="left"/>
        <w:rPr>
          <w:rFonts w:ascii="仿宋_GB2312" w:hAnsi="仿宋_GB2312" w:eastAsia="仿宋_GB2312" w:cs="仿宋_GB2312"/>
          <w:color w:val="000000" w:themeColor="text1"/>
          <w:szCs w:val="21"/>
          <w:highlight w:val="none"/>
          <w14:textFill>
            <w14:solidFill>
              <w14:schemeClr w14:val="tx1"/>
            </w14:solidFill>
          </w14:textFill>
        </w:rPr>
      </w:pPr>
    </w:p>
    <w:p w14:paraId="71CC0411">
      <w:pPr>
        <w:pageBreakBefore w:val="0"/>
        <w:wordWrap/>
        <w:topLinePunct w:val="0"/>
        <w:bidi w:val="0"/>
        <w:snapToGrid w:val="0"/>
        <w:spacing w:before="120" w:beforeLines="50" w:after="50" w:line="560" w:lineRule="exact"/>
        <w:ind w:firstLine="566" w:firstLineChars="236"/>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br w:type="page"/>
      </w:r>
    </w:p>
    <w:p w14:paraId="6C4D5224">
      <w:pPr>
        <w:pageBreakBefore w:val="0"/>
        <w:wordWrap/>
        <w:topLinePunct w:val="0"/>
        <w:bidi w:val="0"/>
        <w:spacing w:line="560" w:lineRule="exact"/>
        <w:jc w:val="center"/>
        <w:rPr>
          <w:rFonts w:ascii="宋体" w:hAnsi="宋体"/>
          <w:color w:val="000000" w:themeColor="text1"/>
          <w:sz w:val="24"/>
          <w:highlight w:val="none"/>
          <w14:textFill>
            <w14:solidFill>
              <w14:schemeClr w14:val="tx1"/>
            </w14:solidFill>
          </w14:textFill>
        </w:rPr>
      </w:pPr>
      <w:r>
        <w:rPr>
          <w:rFonts w:hint="eastAsia"/>
          <w:b/>
          <w:bCs/>
          <w:color w:val="000000" w:themeColor="text1"/>
          <w:sz w:val="30"/>
          <w:szCs w:val="30"/>
          <w:highlight w:val="none"/>
          <w14:textFill>
            <w14:solidFill>
              <w14:schemeClr w14:val="tx1"/>
            </w14:solidFill>
          </w14:textFill>
        </w:rPr>
        <w:t>四、商务条款偏离表</w:t>
      </w:r>
    </w:p>
    <w:p w14:paraId="3FF2ECA0">
      <w:pPr>
        <w:pStyle w:val="17"/>
        <w:pageBreakBefore w:val="0"/>
        <w:wordWrap/>
        <w:topLinePunct w:val="0"/>
        <w:bidi w:val="0"/>
        <w:spacing w:line="560" w:lineRule="exact"/>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供应商根据本项目招标文件，详细填写相应的具体内容。“偏离说明”一栏应当选择“正偏离”、“负偏离”或“无偏离”进行填写。</w:t>
      </w:r>
    </w:p>
    <w:tbl>
      <w:tblPr>
        <w:tblStyle w:val="34"/>
        <w:tblpPr w:leftFromText="180" w:rightFromText="180" w:vertAnchor="text" w:horzAnchor="margin" w:tblpXSpec="center" w:tblpY="94"/>
        <w:tblW w:w="9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800"/>
        <w:gridCol w:w="3429"/>
        <w:gridCol w:w="1434"/>
      </w:tblGrid>
      <w:tr w14:paraId="20BF4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817" w:type="dxa"/>
            <w:tcBorders>
              <w:top w:val="single" w:color="auto" w:sz="4" w:space="0"/>
              <w:left w:val="single" w:color="auto" w:sz="4" w:space="0"/>
              <w:bottom w:val="single" w:color="auto" w:sz="4" w:space="0"/>
              <w:right w:val="single" w:color="auto" w:sz="4" w:space="0"/>
            </w:tcBorders>
            <w:vAlign w:val="center"/>
          </w:tcPr>
          <w:p w14:paraId="450D05A6">
            <w:pPr>
              <w:pageBreakBefore w:val="0"/>
              <w:wordWrap/>
              <w:topLinePunct w:val="0"/>
              <w:bidi w:val="0"/>
              <w:spacing w:line="560" w:lineRule="exact"/>
              <w:jc w:val="center"/>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项号</w:t>
            </w:r>
          </w:p>
        </w:tc>
        <w:tc>
          <w:tcPr>
            <w:tcW w:w="3800" w:type="dxa"/>
            <w:tcBorders>
              <w:top w:val="single" w:color="auto" w:sz="4" w:space="0"/>
              <w:left w:val="single" w:color="auto" w:sz="4" w:space="0"/>
              <w:bottom w:val="single" w:color="auto" w:sz="4" w:space="0"/>
              <w:right w:val="single" w:color="auto" w:sz="4" w:space="0"/>
            </w:tcBorders>
            <w:vAlign w:val="center"/>
          </w:tcPr>
          <w:p w14:paraId="64093199">
            <w:pPr>
              <w:pageBreakBefore w:val="0"/>
              <w:wordWrap/>
              <w:topLinePunct w:val="0"/>
              <w:bidi w:val="0"/>
              <w:spacing w:line="560" w:lineRule="exact"/>
              <w:jc w:val="center"/>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招标文件的商务需求</w:t>
            </w:r>
          </w:p>
        </w:tc>
        <w:tc>
          <w:tcPr>
            <w:tcW w:w="3429" w:type="dxa"/>
            <w:tcBorders>
              <w:top w:val="single" w:color="auto" w:sz="4" w:space="0"/>
              <w:left w:val="single" w:color="auto" w:sz="4" w:space="0"/>
              <w:bottom w:val="single" w:color="auto" w:sz="4" w:space="0"/>
              <w:right w:val="single" w:color="auto" w:sz="4" w:space="0"/>
            </w:tcBorders>
            <w:vAlign w:val="center"/>
          </w:tcPr>
          <w:p w14:paraId="63ECE560">
            <w:pPr>
              <w:pageBreakBefore w:val="0"/>
              <w:wordWrap/>
              <w:topLinePunct w:val="0"/>
              <w:bidi w:val="0"/>
              <w:spacing w:line="560" w:lineRule="exact"/>
              <w:jc w:val="center"/>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投标文件承诺的商务条款</w:t>
            </w:r>
          </w:p>
        </w:tc>
        <w:tc>
          <w:tcPr>
            <w:tcW w:w="1434" w:type="dxa"/>
            <w:tcBorders>
              <w:top w:val="single" w:color="auto" w:sz="4" w:space="0"/>
              <w:left w:val="single" w:color="auto" w:sz="4" w:space="0"/>
              <w:bottom w:val="single" w:color="auto" w:sz="4" w:space="0"/>
              <w:right w:val="single" w:color="auto" w:sz="4" w:space="0"/>
            </w:tcBorders>
            <w:vAlign w:val="center"/>
          </w:tcPr>
          <w:p w14:paraId="1F203F1E">
            <w:pPr>
              <w:pageBreakBefore w:val="0"/>
              <w:wordWrap/>
              <w:topLinePunct w:val="0"/>
              <w:bidi w:val="0"/>
              <w:spacing w:line="560" w:lineRule="exact"/>
              <w:jc w:val="center"/>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偏离说明</w:t>
            </w:r>
          </w:p>
        </w:tc>
      </w:tr>
      <w:tr w14:paraId="7D580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7" w:hRule="atLeast"/>
        </w:trPr>
        <w:tc>
          <w:tcPr>
            <w:tcW w:w="817" w:type="dxa"/>
            <w:tcBorders>
              <w:top w:val="single" w:color="auto" w:sz="4" w:space="0"/>
              <w:left w:val="single" w:color="auto" w:sz="4" w:space="0"/>
              <w:bottom w:val="single" w:color="auto" w:sz="4" w:space="0"/>
              <w:right w:val="single" w:color="auto" w:sz="4" w:space="0"/>
            </w:tcBorders>
          </w:tcPr>
          <w:p w14:paraId="6F6BFE2D">
            <w:pPr>
              <w:pageBreakBefore w:val="0"/>
              <w:wordWrap/>
              <w:topLinePunct w:val="0"/>
              <w:bidi w:val="0"/>
              <w:spacing w:line="560" w:lineRule="exact"/>
              <w:rPr>
                <w:rFonts w:asciiTheme="minorEastAsia" w:hAnsiTheme="minorEastAsia" w:eastAsiaTheme="minorEastAsia"/>
                <w:color w:val="000000" w:themeColor="text1"/>
                <w:sz w:val="28"/>
                <w:szCs w:val="28"/>
                <w:highlight w:val="none"/>
                <w14:textFill>
                  <w14:solidFill>
                    <w14:schemeClr w14:val="tx1"/>
                  </w14:solidFill>
                </w14:textFill>
              </w:rPr>
            </w:pPr>
          </w:p>
        </w:tc>
        <w:tc>
          <w:tcPr>
            <w:tcW w:w="3800" w:type="dxa"/>
            <w:tcBorders>
              <w:top w:val="single" w:color="auto" w:sz="4" w:space="0"/>
              <w:left w:val="single" w:color="auto" w:sz="4" w:space="0"/>
              <w:bottom w:val="single" w:color="auto" w:sz="4" w:space="0"/>
              <w:right w:val="single" w:color="auto" w:sz="4" w:space="0"/>
            </w:tcBorders>
          </w:tcPr>
          <w:p w14:paraId="68411219">
            <w:pPr>
              <w:pageBreakBefore w:val="0"/>
              <w:wordWrap/>
              <w:topLinePunct w:val="0"/>
              <w:bidi w:val="0"/>
              <w:spacing w:line="560" w:lineRule="exact"/>
              <w:rPr>
                <w:rFonts w:asciiTheme="minorEastAsia" w:hAnsiTheme="minorEastAsia" w:eastAsiaTheme="minorEastAsia"/>
                <w:color w:val="000000" w:themeColor="text1"/>
                <w:sz w:val="28"/>
                <w:szCs w:val="28"/>
                <w:highlight w:val="none"/>
                <w14:textFill>
                  <w14:solidFill>
                    <w14:schemeClr w14:val="tx1"/>
                  </w14:solidFill>
                </w14:textFill>
              </w:rPr>
            </w:pPr>
          </w:p>
        </w:tc>
        <w:tc>
          <w:tcPr>
            <w:tcW w:w="3429" w:type="dxa"/>
            <w:tcBorders>
              <w:top w:val="single" w:color="auto" w:sz="4" w:space="0"/>
              <w:left w:val="single" w:color="auto" w:sz="4" w:space="0"/>
              <w:bottom w:val="single" w:color="auto" w:sz="4" w:space="0"/>
              <w:right w:val="single" w:color="auto" w:sz="4" w:space="0"/>
            </w:tcBorders>
          </w:tcPr>
          <w:p w14:paraId="001BCC89">
            <w:pPr>
              <w:pageBreakBefore w:val="0"/>
              <w:wordWrap/>
              <w:topLinePunct w:val="0"/>
              <w:bidi w:val="0"/>
              <w:spacing w:line="560" w:lineRule="exact"/>
              <w:rPr>
                <w:rFonts w:asciiTheme="minorEastAsia" w:hAnsiTheme="minorEastAsia" w:eastAsiaTheme="minorEastAsia"/>
                <w:color w:val="000000" w:themeColor="text1"/>
                <w:sz w:val="28"/>
                <w:szCs w:val="28"/>
                <w:highlight w:val="none"/>
                <w14:textFill>
                  <w14:solidFill>
                    <w14:schemeClr w14:val="tx1"/>
                  </w14:solidFill>
                </w14:textFill>
              </w:rPr>
            </w:pPr>
          </w:p>
        </w:tc>
        <w:tc>
          <w:tcPr>
            <w:tcW w:w="1434" w:type="dxa"/>
            <w:tcBorders>
              <w:top w:val="single" w:color="auto" w:sz="4" w:space="0"/>
              <w:left w:val="single" w:color="auto" w:sz="4" w:space="0"/>
              <w:bottom w:val="single" w:color="auto" w:sz="4" w:space="0"/>
              <w:right w:val="single" w:color="auto" w:sz="4" w:space="0"/>
            </w:tcBorders>
            <w:vAlign w:val="center"/>
          </w:tcPr>
          <w:p w14:paraId="4A7AA900">
            <w:pPr>
              <w:pageBreakBefore w:val="0"/>
              <w:wordWrap/>
              <w:topLinePunct w:val="0"/>
              <w:bidi w:val="0"/>
              <w:spacing w:line="560" w:lineRule="exact"/>
              <w:jc w:val="center"/>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正偏离（负偏离或无偏离）</w:t>
            </w:r>
          </w:p>
        </w:tc>
      </w:tr>
      <w:tr w14:paraId="19D4B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817" w:type="dxa"/>
            <w:tcBorders>
              <w:top w:val="single" w:color="auto" w:sz="4" w:space="0"/>
              <w:left w:val="single" w:color="auto" w:sz="4" w:space="0"/>
              <w:bottom w:val="single" w:color="auto" w:sz="4" w:space="0"/>
              <w:right w:val="single" w:color="auto" w:sz="4" w:space="0"/>
            </w:tcBorders>
          </w:tcPr>
          <w:p w14:paraId="7D72BDFC">
            <w:pPr>
              <w:pageBreakBefore w:val="0"/>
              <w:wordWrap/>
              <w:topLinePunct w:val="0"/>
              <w:bidi w:val="0"/>
              <w:spacing w:line="560" w:lineRule="exact"/>
              <w:rPr>
                <w:rFonts w:asciiTheme="minorEastAsia" w:hAnsiTheme="minorEastAsia" w:eastAsiaTheme="minorEastAsia"/>
                <w:color w:val="000000" w:themeColor="text1"/>
                <w:sz w:val="28"/>
                <w:szCs w:val="28"/>
                <w:highlight w:val="none"/>
                <w14:textFill>
                  <w14:solidFill>
                    <w14:schemeClr w14:val="tx1"/>
                  </w14:solidFill>
                </w14:textFill>
              </w:rPr>
            </w:pPr>
          </w:p>
        </w:tc>
        <w:tc>
          <w:tcPr>
            <w:tcW w:w="3800" w:type="dxa"/>
            <w:tcBorders>
              <w:top w:val="single" w:color="auto" w:sz="4" w:space="0"/>
              <w:left w:val="single" w:color="auto" w:sz="4" w:space="0"/>
              <w:bottom w:val="single" w:color="auto" w:sz="4" w:space="0"/>
              <w:right w:val="single" w:color="auto" w:sz="4" w:space="0"/>
            </w:tcBorders>
          </w:tcPr>
          <w:p w14:paraId="4822CC7B">
            <w:pPr>
              <w:pageBreakBefore w:val="0"/>
              <w:wordWrap/>
              <w:topLinePunct w:val="0"/>
              <w:bidi w:val="0"/>
              <w:spacing w:line="560" w:lineRule="exact"/>
              <w:rPr>
                <w:rFonts w:asciiTheme="minorEastAsia" w:hAnsiTheme="minorEastAsia" w:eastAsiaTheme="minorEastAsia"/>
                <w:color w:val="000000" w:themeColor="text1"/>
                <w:sz w:val="28"/>
                <w:szCs w:val="28"/>
                <w:highlight w:val="none"/>
                <w14:textFill>
                  <w14:solidFill>
                    <w14:schemeClr w14:val="tx1"/>
                  </w14:solidFill>
                </w14:textFill>
              </w:rPr>
            </w:pPr>
          </w:p>
        </w:tc>
        <w:tc>
          <w:tcPr>
            <w:tcW w:w="3429" w:type="dxa"/>
            <w:tcBorders>
              <w:top w:val="single" w:color="auto" w:sz="4" w:space="0"/>
              <w:left w:val="single" w:color="auto" w:sz="4" w:space="0"/>
              <w:bottom w:val="single" w:color="auto" w:sz="4" w:space="0"/>
              <w:right w:val="single" w:color="auto" w:sz="4" w:space="0"/>
            </w:tcBorders>
          </w:tcPr>
          <w:p w14:paraId="30B6CE56">
            <w:pPr>
              <w:pageBreakBefore w:val="0"/>
              <w:wordWrap/>
              <w:topLinePunct w:val="0"/>
              <w:bidi w:val="0"/>
              <w:spacing w:line="560" w:lineRule="exact"/>
              <w:rPr>
                <w:rFonts w:asciiTheme="minorEastAsia" w:hAnsiTheme="minorEastAsia" w:eastAsiaTheme="minorEastAsia"/>
                <w:color w:val="000000" w:themeColor="text1"/>
                <w:sz w:val="28"/>
                <w:szCs w:val="28"/>
                <w:highlight w:val="none"/>
                <w14:textFill>
                  <w14:solidFill>
                    <w14:schemeClr w14:val="tx1"/>
                  </w14:solidFill>
                </w14:textFill>
              </w:rPr>
            </w:pPr>
          </w:p>
        </w:tc>
        <w:tc>
          <w:tcPr>
            <w:tcW w:w="1434" w:type="dxa"/>
            <w:tcBorders>
              <w:top w:val="single" w:color="auto" w:sz="4" w:space="0"/>
              <w:left w:val="single" w:color="auto" w:sz="4" w:space="0"/>
              <w:bottom w:val="single" w:color="auto" w:sz="4" w:space="0"/>
              <w:right w:val="single" w:color="auto" w:sz="4" w:space="0"/>
            </w:tcBorders>
            <w:vAlign w:val="center"/>
          </w:tcPr>
          <w:p w14:paraId="438934C6">
            <w:pPr>
              <w:pageBreakBefore w:val="0"/>
              <w:wordWrap/>
              <w:topLinePunct w:val="0"/>
              <w:bidi w:val="0"/>
              <w:spacing w:line="560" w:lineRule="exact"/>
              <w:jc w:val="center"/>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正偏离（负偏离或无偏离）</w:t>
            </w:r>
          </w:p>
        </w:tc>
      </w:tr>
      <w:tr w14:paraId="10588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817" w:type="dxa"/>
            <w:tcBorders>
              <w:top w:val="single" w:color="auto" w:sz="4" w:space="0"/>
              <w:left w:val="single" w:color="auto" w:sz="4" w:space="0"/>
              <w:bottom w:val="single" w:color="auto" w:sz="4" w:space="0"/>
              <w:right w:val="single" w:color="auto" w:sz="4" w:space="0"/>
            </w:tcBorders>
          </w:tcPr>
          <w:p w14:paraId="2C7A8890">
            <w:pPr>
              <w:pageBreakBefore w:val="0"/>
              <w:wordWrap/>
              <w:topLinePunct w:val="0"/>
              <w:bidi w:val="0"/>
              <w:spacing w:line="560" w:lineRule="exact"/>
              <w:rPr>
                <w:rFonts w:asciiTheme="minorEastAsia" w:hAnsiTheme="minorEastAsia" w:eastAsiaTheme="minorEastAsia"/>
                <w:color w:val="000000" w:themeColor="text1"/>
                <w:sz w:val="28"/>
                <w:szCs w:val="28"/>
                <w:highlight w:val="none"/>
                <w14:textFill>
                  <w14:solidFill>
                    <w14:schemeClr w14:val="tx1"/>
                  </w14:solidFill>
                </w14:textFill>
              </w:rPr>
            </w:pPr>
          </w:p>
        </w:tc>
        <w:tc>
          <w:tcPr>
            <w:tcW w:w="3800" w:type="dxa"/>
            <w:tcBorders>
              <w:top w:val="single" w:color="auto" w:sz="4" w:space="0"/>
              <w:left w:val="single" w:color="auto" w:sz="4" w:space="0"/>
              <w:bottom w:val="single" w:color="auto" w:sz="4" w:space="0"/>
              <w:right w:val="single" w:color="auto" w:sz="4" w:space="0"/>
            </w:tcBorders>
          </w:tcPr>
          <w:p w14:paraId="54859FAA">
            <w:pPr>
              <w:pageBreakBefore w:val="0"/>
              <w:wordWrap/>
              <w:topLinePunct w:val="0"/>
              <w:bidi w:val="0"/>
              <w:spacing w:line="560" w:lineRule="exact"/>
              <w:rPr>
                <w:rFonts w:asciiTheme="minorEastAsia" w:hAnsiTheme="minorEastAsia" w:eastAsiaTheme="minorEastAsia"/>
                <w:color w:val="000000" w:themeColor="text1"/>
                <w:sz w:val="28"/>
                <w:szCs w:val="28"/>
                <w:highlight w:val="none"/>
                <w14:textFill>
                  <w14:solidFill>
                    <w14:schemeClr w14:val="tx1"/>
                  </w14:solidFill>
                </w14:textFill>
              </w:rPr>
            </w:pPr>
          </w:p>
        </w:tc>
        <w:tc>
          <w:tcPr>
            <w:tcW w:w="3429" w:type="dxa"/>
            <w:tcBorders>
              <w:top w:val="single" w:color="auto" w:sz="4" w:space="0"/>
              <w:left w:val="single" w:color="auto" w:sz="4" w:space="0"/>
              <w:bottom w:val="single" w:color="auto" w:sz="4" w:space="0"/>
              <w:right w:val="single" w:color="auto" w:sz="4" w:space="0"/>
            </w:tcBorders>
          </w:tcPr>
          <w:p w14:paraId="6F66CC21">
            <w:pPr>
              <w:pageBreakBefore w:val="0"/>
              <w:wordWrap/>
              <w:topLinePunct w:val="0"/>
              <w:bidi w:val="0"/>
              <w:spacing w:line="560" w:lineRule="exact"/>
              <w:rPr>
                <w:rFonts w:asciiTheme="minorEastAsia" w:hAnsiTheme="minorEastAsia" w:eastAsiaTheme="minorEastAsia"/>
                <w:color w:val="000000" w:themeColor="text1"/>
                <w:sz w:val="28"/>
                <w:szCs w:val="28"/>
                <w:highlight w:val="none"/>
                <w14:textFill>
                  <w14:solidFill>
                    <w14:schemeClr w14:val="tx1"/>
                  </w14:solidFill>
                </w14:textFill>
              </w:rPr>
            </w:pPr>
          </w:p>
        </w:tc>
        <w:tc>
          <w:tcPr>
            <w:tcW w:w="1434" w:type="dxa"/>
            <w:tcBorders>
              <w:top w:val="single" w:color="auto" w:sz="4" w:space="0"/>
              <w:left w:val="single" w:color="auto" w:sz="4" w:space="0"/>
              <w:bottom w:val="single" w:color="auto" w:sz="4" w:space="0"/>
              <w:right w:val="single" w:color="auto" w:sz="4" w:space="0"/>
            </w:tcBorders>
            <w:vAlign w:val="center"/>
          </w:tcPr>
          <w:p w14:paraId="026439FF">
            <w:pPr>
              <w:pageBreakBefore w:val="0"/>
              <w:wordWrap/>
              <w:topLinePunct w:val="0"/>
              <w:bidi w:val="0"/>
              <w:spacing w:line="560" w:lineRule="exact"/>
              <w:jc w:val="center"/>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正偏离（负偏离或无偏离）</w:t>
            </w:r>
          </w:p>
        </w:tc>
      </w:tr>
      <w:tr w14:paraId="4F647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9480" w:type="dxa"/>
            <w:gridSpan w:val="4"/>
            <w:tcBorders>
              <w:top w:val="single" w:color="auto" w:sz="4" w:space="0"/>
              <w:left w:val="single" w:color="auto" w:sz="4" w:space="0"/>
              <w:bottom w:val="single" w:color="auto" w:sz="4" w:space="0"/>
              <w:right w:val="single" w:color="auto" w:sz="4" w:space="0"/>
            </w:tcBorders>
          </w:tcPr>
          <w:p w14:paraId="4A9A61BF">
            <w:pPr>
              <w:pageBreakBefore w:val="0"/>
              <w:wordWrap/>
              <w:topLinePunct w:val="0"/>
              <w:bidi w:val="0"/>
              <w:spacing w:line="560" w:lineRule="exact"/>
              <w:rPr>
                <w:rFonts w:ascii="宋体" w:hAnsi="宋体"/>
                <w:color w:val="000000" w:themeColor="text1"/>
                <w:szCs w:val="21"/>
                <w:highlight w:val="none"/>
                <w14:textFill>
                  <w14:solidFill>
                    <w14:schemeClr w14:val="tx1"/>
                  </w14:solidFill>
                </w14:textFill>
              </w:rPr>
            </w:pPr>
          </w:p>
        </w:tc>
      </w:tr>
    </w:tbl>
    <w:p w14:paraId="70488E69">
      <w:pPr>
        <w:pStyle w:val="17"/>
        <w:pageBreakBefore w:val="0"/>
        <w:wordWrap/>
        <w:topLinePunct w:val="0"/>
        <w:bidi w:val="0"/>
        <w:spacing w:line="560" w:lineRule="exact"/>
        <w:rPr>
          <w:color w:val="000000" w:themeColor="text1"/>
          <w:highlight w:val="none"/>
          <w14:textFill>
            <w14:solidFill>
              <w14:schemeClr w14:val="tx1"/>
            </w14:solidFill>
          </w14:textFill>
        </w:rPr>
      </w:pPr>
    </w:p>
    <w:p w14:paraId="2653EFD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注：</w:t>
      </w:r>
    </w:p>
    <w:p w14:paraId="08A1987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1.商务偏离表按本招标文件自行填写。表格内容不得留空。</w:t>
      </w:r>
    </w:p>
    <w:p w14:paraId="3BC499E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2.当投标文件的商务内容低于招标文件要求时，供应商应当如实写明“负偏离”，否则视为虚假应标。</w:t>
      </w:r>
    </w:p>
    <w:p w14:paraId="516D60C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olor w:val="000000" w:themeColor="text1"/>
          <w:sz w:val="28"/>
          <w:szCs w:val="28"/>
          <w:highlight w:val="none"/>
          <w14:textFill>
            <w14:solidFill>
              <w14:schemeClr w14:val="tx1"/>
            </w14:solidFill>
          </w14:textFill>
        </w:rPr>
      </w:pPr>
    </w:p>
    <w:p w14:paraId="5BEFC2D5">
      <w:pPr>
        <w:pageBreakBefore w:val="0"/>
        <w:wordWrap/>
        <w:topLinePunct w:val="0"/>
        <w:bidi w:val="0"/>
        <w:snapToGrid w:val="0"/>
        <w:spacing w:before="165" w:beforeLines="50" w:after="50" w:line="560" w:lineRule="exact"/>
        <w:jc w:val="both"/>
        <w:rPr>
          <w:rFonts w:hint="eastAsia"/>
          <w:b/>
          <w:bCs/>
          <w:color w:val="000000" w:themeColor="text1"/>
          <w:sz w:val="30"/>
          <w:szCs w:val="30"/>
          <w:highlight w:val="none"/>
          <w14:textFill>
            <w14:solidFill>
              <w14:schemeClr w14:val="tx1"/>
            </w14:solidFill>
          </w14:textFill>
        </w:rPr>
      </w:pPr>
    </w:p>
    <w:p w14:paraId="68539BFF">
      <w:pPr>
        <w:pageBreakBefore w:val="0"/>
        <w:wordWrap/>
        <w:topLinePunct w:val="0"/>
        <w:bidi w:val="0"/>
        <w:snapToGrid w:val="0"/>
        <w:spacing w:before="165" w:beforeLines="50" w:after="50" w:line="560" w:lineRule="exact"/>
        <w:jc w:val="center"/>
        <w:rPr>
          <w:b/>
          <w:bCs/>
          <w:color w:val="000000" w:themeColor="text1"/>
          <w:sz w:val="30"/>
          <w:szCs w:val="30"/>
          <w:highlight w:val="none"/>
          <w14:textFill>
            <w14:solidFill>
              <w14:schemeClr w14:val="tx1"/>
            </w14:solidFill>
          </w14:textFill>
        </w:rPr>
      </w:pPr>
      <w:r>
        <w:rPr>
          <w:rFonts w:hint="eastAsia"/>
          <w:b/>
          <w:bCs/>
          <w:color w:val="000000" w:themeColor="text1"/>
          <w:sz w:val="30"/>
          <w:szCs w:val="30"/>
          <w:highlight w:val="none"/>
          <w14:textFill>
            <w14:solidFill>
              <w14:schemeClr w14:val="tx1"/>
            </w14:solidFill>
          </w14:textFill>
        </w:rPr>
        <w:t>五、</w:t>
      </w:r>
      <w:r>
        <w:rPr>
          <w:rFonts w:hint="eastAsia"/>
          <w:b/>
          <w:bCs/>
          <w:color w:val="000000" w:themeColor="text1"/>
          <w:sz w:val="30"/>
          <w:szCs w:val="30"/>
          <w:highlight w:val="none"/>
          <w:lang w:eastAsia="zh-CN"/>
          <w14:textFill>
            <w14:solidFill>
              <w14:schemeClr w14:val="tx1"/>
            </w14:solidFill>
          </w14:textFill>
        </w:rPr>
        <w:t>供应商</w:t>
      </w:r>
      <w:r>
        <w:rPr>
          <w:rFonts w:hint="eastAsia"/>
          <w:b/>
          <w:bCs/>
          <w:color w:val="000000" w:themeColor="text1"/>
          <w:sz w:val="30"/>
          <w:szCs w:val="30"/>
          <w:highlight w:val="none"/>
          <w14:textFill>
            <w14:solidFill>
              <w14:schemeClr w14:val="tx1"/>
            </w14:solidFill>
          </w14:textFill>
        </w:rPr>
        <w:t>情况介绍</w:t>
      </w:r>
    </w:p>
    <w:tbl>
      <w:tblPr>
        <w:tblStyle w:val="34"/>
        <w:tblW w:w="87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936"/>
        <w:gridCol w:w="1214"/>
        <w:gridCol w:w="1007"/>
        <w:gridCol w:w="1100"/>
        <w:gridCol w:w="1318"/>
        <w:gridCol w:w="43"/>
        <w:gridCol w:w="779"/>
        <w:gridCol w:w="1303"/>
      </w:tblGrid>
      <w:tr w14:paraId="3414B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32" w:hRule="atLeast"/>
          <w:jc w:val="center"/>
        </w:trPr>
        <w:tc>
          <w:tcPr>
            <w:tcW w:w="1936" w:type="dxa"/>
            <w:vAlign w:val="center"/>
          </w:tcPr>
          <w:p w14:paraId="3F68DB56">
            <w:pPr>
              <w:pageBreakBefore w:val="0"/>
              <w:wordWrap/>
              <w:topLinePunct w:val="0"/>
              <w:bidi w:val="0"/>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投标人名称</w:t>
            </w:r>
          </w:p>
        </w:tc>
        <w:tc>
          <w:tcPr>
            <w:tcW w:w="6764" w:type="dxa"/>
            <w:gridSpan w:val="7"/>
            <w:vAlign w:val="center"/>
          </w:tcPr>
          <w:p w14:paraId="49807BA7">
            <w:pPr>
              <w:pageBreakBefore w:val="0"/>
              <w:wordWrap/>
              <w:topLinePunct w:val="0"/>
              <w:bidi w:val="0"/>
              <w:spacing w:line="560" w:lineRule="exact"/>
              <w:ind w:firstLine="255"/>
              <w:jc w:val="center"/>
              <w:rPr>
                <w:rFonts w:hint="eastAsia" w:ascii="宋体" w:hAnsi="宋体" w:eastAsia="宋体" w:cs="宋体"/>
                <w:color w:val="000000" w:themeColor="text1"/>
                <w:sz w:val="28"/>
                <w:szCs w:val="28"/>
                <w:highlight w:val="none"/>
                <w14:textFill>
                  <w14:solidFill>
                    <w14:schemeClr w14:val="tx1"/>
                  </w14:solidFill>
                </w14:textFill>
              </w:rPr>
            </w:pPr>
          </w:p>
        </w:tc>
      </w:tr>
      <w:tr w14:paraId="2F585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32" w:hRule="atLeast"/>
          <w:jc w:val="center"/>
        </w:trPr>
        <w:tc>
          <w:tcPr>
            <w:tcW w:w="1936" w:type="dxa"/>
            <w:vAlign w:val="center"/>
          </w:tcPr>
          <w:p w14:paraId="131FA87F">
            <w:pPr>
              <w:pageBreakBefore w:val="0"/>
              <w:wordWrap/>
              <w:topLinePunct w:val="0"/>
              <w:bidi w:val="0"/>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注册地址</w:t>
            </w:r>
          </w:p>
        </w:tc>
        <w:tc>
          <w:tcPr>
            <w:tcW w:w="3321" w:type="dxa"/>
            <w:gridSpan w:val="3"/>
            <w:vAlign w:val="center"/>
          </w:tcPr>
          <w:p w14:paraId="58750125">
            <w:pPr>
              <w:pageBreakBefore w:val="0"/>
              <w:wordWrap/>
              <w:topLinePunct w:val="0"/>
              <w:bidi w:val="0"/>
              <w:spacing w:line="560" w:lineRule="exact"/>
              <w:ind w:firstLine="255"/>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318" w:type="dxa"/>
            <w:vAlign w:val="center"/>
          </w:tcPr>
          <w:p w14:paraId="51EE8CEE">
            <w:pPr>
              <w:pageBreakBefore w:val="0"/>
              <w:wordWrap/>
              <w:topLinePunct w:val="0"/>
              <w:bidi w:val="0"/>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邮政编码</w:t>
            </w:r>
          </w:p>
        </w:tc>
        <w:tc>
          <w:tcPr>
            <w:tcW w:w="2125" w:type="dxa"/>
            <w:gridSpan w:val="3"/>
            <w:vAlign w:val="center"/>
          </w:tcPr>
          <w:p w14:paraId="35457A57">
            <w:pPr>
              <w:pageBreakBefore w:val="0"/>
              <w:wordWrap/>
              <w:topLinePunct w:val="0"/>
              <w:bidi w:val="0"/>
              <w:spacing w:line="560" w:lineRule="exact"/>
              <w:ind w:firstLine="255"/>
              <w:jc w:val="center"/>
              <w:rPr>
                <w:rFonts w:hint="eastAsia" w:ascii="宋体" w:hAnsi="宋体" w:eastAsia="宋体" w:cs="宋体"/>
                <w:color w:val="000000" w:themeColor="text1"/>
                <w:sz w:val="28"/>
                <w:szCs w:val="28"/>
                <w:highlight w:val="none"/>
                <w14:textFill>
                  <w14:solidFill>
                    <w14:schemeClr w14:val="tx1"/>
                  </w14:solidFill>
                </w14:textFill>
              </w:rPr>
            </w:pPr>
          </w:p>
        </w:tc>
      </w:tr>
      <w:tr w14:paraId="149FF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32" w:hRule="atLeast"/>
          <w:jc w:val="center"/>
        </w:trPr>
        <w:tc>
          <w:tcPr>
            <w:tcW w:w="1936" w:type="dxa"/>
            <w:vMerge w:val="restart"/>
            <w:vAlign w:val="center"/>
          </w:tcPr>
          <w:p w14:paraId="0EC99141">
            <w:pPr>
              <w:pageBreakBefore w:val="0"/>
              <w:wordWrap/>
              <w:topLinePunct w:val="0"/>
              <w:bidi w:val="0"/>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联系方式</w:t>
            </w:r>
          </w:p>
        </w:tc>
        <w:tc>
          <w:tcPr>
            <w:tcW w:w="1214" w:type="dxa"/>
            <w:vAlign w:val="center"/>
          </w:tcPr>
          <w:p w14:paraId="7960179A">
            <w:pPr>
              <w:pageBreakBefore w:val="0"/>
              <w:wordWrap/>
              <w:topLinePunct w:val="0"/>
              <w:bidi w:val="0"/>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联系人</w:t>
            </w:r>
          </w:p>
        </w:tc>
        <w:tc>
          <w:tcPr>
            <w:tcW w:w="2107" w:type="dxa"/>
            <w:gridSpan w:val="2"/>
            <w:vAlign w:val="center"/>
          </w:tcPr>
          <w:p w14:paraId="65CB51C4">
            <w:pPr>
              <w:pageBreakBefore w:val="0"/>
              <w:wordWrap/>
              <w:topLinePunct w:val="0"/>
              <w:bidi w:val="0"/>
              <w:spacing w:line="560" w:lineRule="exact"/>
              <w:ind w:firstLine="255"/>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318" w:type="dxa"/>
            <w:vAlign w:val="center"/>
          </w:tcPr>
          <w:p w14:paraId="43BE70AC">
            <w:pPr>
              <w:pageBreakBefore w:val="0"/>
              <w:wordWrap/>
              <w:topLinePunct w:val="0"/>
              <w:bidi w:val="0"/>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电话</w:t>
            </w:r>
          </w:p>
        </w:tc>
        <w:tc>
          <w:tcPr>
            <w:tcW w:w="2125" w:type="dxa"/>
            <w:gridSpan w:val="3"/>
            <w:vAlign w:val="center"/>
          </w:tcPr>
          <w:p w14:paraId="1314A9E2">
            <w:pPr>
              <w:pageBreakBefore w:val="0"/>
              <w:wordWrap/>
              <w:topLinePunct w:val="0"/>
              <w:bidi w:val="0"/>
              <w:spacing w:line="560" w:lineRule="exact"/>
              <w:ind w:firstLine="255"/>
              <w:jc w:val="center"/>
              <w:rPr>
                <w:rFonts w:hint="eastAsia" w:ascii="宋体" w:hAnsi="宋体" w:eastAsia="宋体" w:cs="宋体"/>
                <w:color w:val="000000" w:themeColor="text1"/>
                <w:sz w:val="28"/>
                <w:szCs w:val="28"/>
                <w:highlight w:val="none"/>
                <w14:textFill>
                  <w14:solidFill>
                    <w14:schemeClr w14:val="tx1"/>
                  </w14:solidFill>
                </w14:textFill>
              </w:rPr>
            </w:pPr>
          </w:p>
        </w:tc>
      </w:tr>
      <w:tr w14:paraId="666D8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32" w:hRule="atLeast"/>
          <w:jc w:val="center"/>
        </w:trPr>
        <w:tc>
          <w:tcPr>
            <w:tcW w:w="1936" w:type="dxa"/>
            <w:vMerge w:val="continue"/>
            <w:vAlign w:val="center"/>
          </w:tcPr>
          <w:p w14:paraId="3832CDAD">
            <w:pPr>
              <w:pageBreakBefore w:val="0"/>
              <w:wordWrap/>
              <w:topLinePunct w:val="0"/>
              <w:bidi w:val="0"/>
              <w:spacing w:line="560" w:lineRule="exact"/>
              <w:ind w:firstLine="255"/>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214" w:type="dxa"/>
            <w:vAlign w:val="center"/>
          </w:tcPr>
          <w:p w14:paraId="715DD20F">
            <w:pPr>
              <w:pageBreakBefore w:val="0"/>
              <w:wordWrap/>
              <w:topLinePunct w:val="0"/>
              <w:bidi w:val="0"/>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传真</w:t>
            </w:r>
          </w:p>
        </w:tc>
        <w:tc>
          <w:tcPr>
            <w:tcW w:w="2107" w:type="dxa"/>
            <w:gridSpan w:val="2"/>
            <w:vAlign w:val="center"/>
          </w:tcPr>
          <w:p w14:paraId="30E24044">
            <w:pPr>
              <w:pageBreakBefore w:val="0"/>
              <w:wordWrap/>
              <w:topLinePunct w:val="0"/>
              <w:bidi w:val="0"/>
              <w:spacing w:line="560" w:lineRule="exact"/>
              <w:ind w:firstLine="255"/>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318" w:type="dxa"/>
            <w:vAlign w:val="center"/>
          </w:tcPr>
          <w:p w14:paraId="7B731F9C">
            <w:pPr>
              <w:pageBreakBefore w:val="0"/>
              <w:wordWrap/>
              <w:topLinePunct w:val="0"/>
              <w:bidi w:val="0"/>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网址</w:t>
            </w:r>
          </w:p>
        </w:tc>
        <w:tc>
          <w:tcPr>
            <w:tcW w:w="2125" w:type="dxa"/>
            <w:gridSpan w:val="3"/>
            <w:vAlign w:val="center"/>
          </w:tcPr>
          <w:p w14:paraId="489AE1FE">
            <w:pPr>
              <w:pageBreakBefore w:val="0"/>
              <w:wordWrap/>
              <w:topLinePunct w:val="0"/>
              <w:bidi w:val="0"/>
              <w:spacing w:line="560" w:lineRule="exact"/>
              <w:ind w:firstLine="255"/>
              <w:jc w:val="center"/>
              <w:rPr>
                <w:rFonts w:hint="eastAsia" w:ascii="宋体" w:hAnsi="宋体" w:eastAsia="宋体" w:cs="宋体"/>
                <w:color w:val="000000" w:themeColor="text1"/>
                <w:sz w:val="28"/>
                <w:szCs w:val="28"/>
                <w:highlight w:val="none"/>
                <w14:textFill>
                  <w14:solidFill>
                    <w14:schemeClr w14:val="tx1"/>
                  </w14:solidFill>
                </w14:textFill>
              </w:rPr>
            </w:pPr>
          </w:p>
        </w:tc>
      </w:tr>
      <w:tr w14:paraId="3546D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27" w:hRule="atLeast"/>
          <w:jc w:val="center"/>
        </w:trPr>
        <w:tc>
          <w:tcPr>
            <w:tcW w:w="1936" w:type="dxa"/>
            <w:vAlign w:val="center"/>
          </w:tcPr>
          <w:p w14:paraId="61E40970">
            <w:pPr>
              <w:pageBreakBefore w:val="0"/>
              <w:wordWrap/>
              <w:topLinePunct w:val="0"/>
              <w:bidi w:val="0"/>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营业执照注册号</w:t>
            </w:r>
          </w:p>
        </w:tc>
        <w:tc>
          <w:tcPr>
            <w:tcW w:w="6764" w:type="dxa"/>
            <w:gridSpan w:val="7"/>
            <w:vAlign w:val="center"/>
          </w:tcPr>
          <w:p w14:paraId="09D64F71">
            <w:pPr>
              <w:pageBreakBefore w:val="0"/>
              <w:wordWrap/>
              <w:topLinePunct w:val="0"/>
              <w:bidi w:val="0"/>
              <w:spacing w:line="560" w:lineRule="exact"/>
              <w:ind w:firstLine="255"/>
              <w:jc w:val="center"/>
              <w:rPr>
                <w:rFonts w:hint="eastAsia" w:ascii="宋体" w:hAnsi="宋体" w:eastAsia="宋体" w:cs="宋体"/>
                <w:color w:val="000000" w:themeColor="text1"/>
                <w:sz w:val="28"/>
                <w:szCs w:val="28"/>
                <w:highlight w:val="none"/>
                <w14:textFill>
                  <w14:solidFill>
                    <w14:schemeClr w14:val="tx1"/>
                  </w14:solidFill>
                </w14:textFill>
              </w:rPr>
            </w:pPr>
          </w:p>
        </w:tc>
      </w:tr>
      <w:tr w14:paraId="76B3D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32" w:hRule="atLeast"/>
          <w:jc w:val="center"/>
        </w:trPr>
        <w:tc>
          <w:tcPr>
            <w:tcW w:w="1936" w:type="dxa"/>
            <w:vAlign w:val="center"/>
          </w:tcPr>
          <w:p w14:paraId="052A45F8">
            <w:pPr>
              <w:pageBreakBefore w:val="0"/>
              <w:wordWrap/>
              <w:topLinePunct w:val="0"/>
              <w:bidi w:val="0"/>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法定代表人</w:t>
            </w:r>
          </w:p>
        </w:tc>
        <w:tc>
          <w:tcPr>
            <w:tcW w:w="1214" w:type="dxa"/>
            <w:vAlign w:val="center"/>
          </w:tcPr>
          <w:p w14:paraId="06A4897B">
            <w:pPr>
              <w:pageBreakBefore w:val="0"/>
              <w:wordWrap/>
              <w:topLinePunct w:val="0"/>
              <w:bidi w:val="0"/>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姓名</w:t>
            </w:r>
          </w:p>
        </w:tc>
        <w:tc>
          <w:tcPr>
            <w:tcW w:w="1007" w:type="dxa"/>
            <w:vAlign w:val="center"/>
          </w:tcPr>
          <w:p w14:paraId="4586EFBB">
            <w:pPr>
              <w:pageBreakBefore w:val="0"/>
              <w:wordWrap/>
              <w:topLinePunct w:val="0"/>
              <w:bidi w:val="0"/>
              <w:spacing w:line="560" w:lineRule="exact"/>
              <w:ind w:firstLine="255"/>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100" w:type="dxa"/>
            <w:vAlign w:val="center"/>
          </w:tcPr>
          <w:p w14:paraId="270ACC12">
            <w:pPr>
              <w:pageBreakBefore w:val="0"/>
              <w:wordWrap/>
              <w:topLinePunct w:val="0"/>
              <w:bidi w:val="0"/>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技术</w:t>
            </w:r>
          </w:p>
          <w:p w14:paraId="4EC0124C">
            <w:pPr>
              <w:pageBreakBefore w:val="0"/>
              <w:wordWrap/>
              <w:topLinePunct w:val="0"/>
              <w:bidi w:val="0"/>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职称</w:t>
            </w:r>
          </w:p>
        </w:tc>
        <w:tc>
          <w:tcPr>
            <w:tcW w:w="1361" w:type="dxa"/>
            <w:gridSpan w:val="2"/>
            <w:vAlign w:val="center"/>
          </w:tcPr>
          <w:p w14:paraId="2D4A4293">
            <w:pPr>
              <w:pageBreakBefore w:val="0"/>
              <w:wordWrap/>
              <w:topLinePunct w:val="0"/>
              <w:bidi w:val="0"/>
              <w:spacing w:line="560" w:lineRule="exact"/>
              <w:ind w:firstLine="255"/>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779" w:type="dxa"/>
            <w:vAlign w:val="center"/>
          </w:tcPr>
          <w:p w14:paraId="54C55EF8">
            <w:pPr>
              <w:pageBreakBefore w:val="0"/>
              <w:wordWrap/>
              <w:topLinePunct w:val="0"/>
              <w:bidi w:val="0"/>
              <w:spacing w:line="560" w:lineRule="exact"/>
              <w:ind w:firstLine="140" w:firstLineChars="50"/>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电话</w:t>
            </w:r>
          </w:p>
        </w:tc>
        <w:tc>
          <w:tcPr>
            <w:tcW w:w="1303" w:type="dxa"/>
            <w:vAlign w:val="center"/>
          </w:tcPr>
          <w:p w14:paraId="08EAD36E">
            <w:pPr>
              <w:pageBreakBefore w:val="0"/>
              <w:wordWrap/>
              <w:topLinePunct w:val="0"/>
              <w:bidi w:val="0"/>
              <w:spacing w:line="560" w:lineRule="exact"/>
              <w:ind w:firstLine="255"/>
              <w:jc w:val="center"/>
              <w:rPr>
                <w:rFonts w:hint="eastAsia" w:ascii="宋体" w:hAnsi="宋体" w:eastAsia="宋体" w:cs="宋体"/>
                <w:color w:val="000000" w:themeColor="text1"/>
                <w:sz w:val="28"/>
                <w:szCs w:val="28"/>
                <w:highlight w:val="none"/>
                <w14:textFill>
                  <w14:solidFill>
                    <w14:schemeClr w14:val="tx1"/>
                  </w14:solidFill>
                </w14:textFill>
              </w:rPr>
            </w:pPr>
          </w:p>
        </w:tc>
      </w:tr>
      <w:tr w14:paraId="6DFBD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32" w:hRule="atLeast"/>
          <w:jc w:val="center"/>
        </w:trPr>
        <w:tc>
          <w:tcPr>
            <w:tcW w:w="1936" w:type="dxa"/>
            <w:vAlign w:val="center"/>
          </w:tcPr>
          <w:p w14:paraId="6CFF5F9E">
            <w:pPr>
              <w:pageBreakBefore w:val="0"/>
              <w:wordWrap/>
              <w:topLinePunct w:val="0"/>
              <w:bidi w:val="0"/>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技术负责人</w:t>
            </w:r>
          </w:p>
        </w:tc>
        <w:tc>
          <w:tcPr>
            <w:tcW w:w="1214" w:type="dxa"/>
            <w:vAlign w:val="center"/>
          </w:tcPr>
          <w:p w14:paraId="041B3D14">
            <w:pPr>
              <w:pageBreakBefore w:val="0"/>
              <w:wordWrap/>
              <w:topLinePunct w:val="0"/>
              <w:bidi w:val="0"/>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姓名</w:t>
            </w:r>
          </w:p>
        </w:tc>
        <w:tc>
          <w:tcPr>
            <w:tcW w:w="1007" w:type="dxa"/>
            <w:vAlign w:val="center"/>
          </w:tcPr>
          <w:p w14:paraId="0164381E">
            <w:pPr>
              <w:pageBreakBefore w:val="0"/>
              <w:wordWrap/>
              <w:topLinePunct w:val="0"/>
              <w:bidi w:val="0"/>
              <w:spacing w:line="560" w:lineRule="exact"/>
              <w:ind w:firstLine="255"/>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100" w:type="dxa"/>
            <w:vAlign w:val="center"/>
          </w:tcPr>
          <w:p w14:paraId="5F97DC51">
            <w:pPr>
              <w:pageBreakBefore w:val="0"/>
              <w:wordWrap/>
              <w:topLinePunct w:val="0"/>
              <w:bidi w:val="0"/>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技术</w:t>
            </w:r>
          </w:p>
          <w:p w14:paraId="5683E2CC">
            <w:pPr>
              <w:pageBreakBefore w:val="0"/>
              <w:wordWrap/>
              <w:topLinePunct w:val="0"/>
              <w:bidi w:val="0"/>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职称</w:t>
            </w:r>
          </w:p>
        </w:tc>
        <w:tc>
          <w:tcPr>
            <w:tcW w:w="1361" w:type="dxa"/>
            <w:gridSpan w:val="2"/>
            <w:vAlign w:val="center"/>
          </w:tcPr>
          <w:p w14:paraId="64578092">
            <w:pPr>
              <w:pageBreakBefore w:val="0"/>
              <w:wordWrap/>
              <w:topLinePunct w:val="0"/>
              <w:bidi w:val="0"/>
              <w:spacing w:line="560" w:lineRule="exact"/>
              <w:ind w:firstLine="255"/>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779" w:type="dxa"/>
            <w:vAlign w:val="center"/>
          </w:tcPr>
          <w:p w14:paraId="36FFAC4D">
            <w:pPr>
              <w:pageBreakBefore w:val="0"/>
              <w:wordWrap/>
              <w:topLinePunct w:val="0"/>
              <w:bidi w:val="0"/>
              <w:spacing w:line="560" w:lineRule="exact"/>
              <w:ind w:firstLine="140" w:firstLineChars="50"/>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电话</w:t>
            </w:r>
          </w:p>
        </w:tc>
        <w:tc>
          <w:tcPr>
            <w:tcW w:w="1303" w:type="dxa"/>
            <w:vAlign w:val="center"/>
          </w:tcPr>
          <w:p w14:paraId="2B32852E">
            <w:pPr>
              <w:pageBreakBefore w:val="0"/>
              <w:wordWrap/>
              <w:topLinePunct w:val="0"/>
              <w:bidi w:val="0"/>
              <w:spacing w:line="560" w:lineRule="exact"/>
              <w:ind w:firstLine="255"/>
              <w:jc w:val="center"/>
              <w:rPr>
                <w:rFonts w:hint="eastAsia" w:ascii="宋体" w:hAnsi="宋体" w:eastAsia="宋体" w:cs="宋体"/>
                <w:color w:val="000000" w:themeColor="text1"/>
                <w:sz w:val="28"/>
                <w:szCs w:val="28"/>
                <w:highlight w:val="none"/>
                <w14:textFill>
                  <w14:solidFill>
                    <w14:schemeClr w14:val="tx1"/>
                  </w14:solidFill>
                </w14:textFill>
              </w:rPr>
            </w:pPr>
          </w:p>
        </w:tc>
      </w:tr>
      <w:tr w14:paraId="278E2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32" w:hRule="atLeast"/>
          <w:jc w:val="center"/>
        </w:trPr>
        <w:tc>
          <w:tcPr>
            <w:tcW w:w="1936" w:type="dxa"/>
            <w:vAlign w:val="center"/>
          </w:tcPr>
          <w:p w14:paraId="4F10DC49">
            <w:pPr>
              <w:pageBreakBefore w:val="0"/>
              <w:wordWrap/>
              <w:topLinePunct w:val="0"/>
              <w:bidi w:val="0"/>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成立时间</w:t>
            </w:r>
          </w:p>
        </w:tc>
        <w:tc>
          <w:tcPr>
            <w:tcW w:w="2221" w:type="dxa"/>
            <w:gridSpan w:val="2"/>
            <w:vAlign w:val="center"/>
          </w:tcPr>
          <w:p w14:paraId="0127251D">
            <w:pPr>
              <w:pageBreakBefore w:val="0"/>
              <w:wordWrap/>
              <w:topLinePunct w:val="0"/>
              <w:bidi w:val="0"/>
              <w:spacing w:line="560" w:lineRule="exact"/>
              <w:ind w:firstLine="255"/>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4543" w:type="dxa"/>
            <w:gridSpan w:val="5"/>
            <w:vAlign w:val="center"/>
          </w:tcPr>
          <w:p w14:paraId="2E97EC60">
            <w:pPr>
              <w:pageBreakBefore w:val="0"/>
              <w:wordWrap/>
              <w:topLinePunct w:val="0"/>
              <w:bidi w:val="0"/>
              <w:spacing w:line="560" w:lineRule="exact"/>
              <w:ind w:firstLine="255"/>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员工总人数：</w:t>
            </w:r>
          </w:p>
        </w:tc>
      </w:tr>
      <w:tr w14:paraId="52F31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32" w:hRule="atLeast"/>
          <w:jc w:val="center"/>
        </w:trPr>
        <w:tc>
          <w:tcPr>
            <w:tcW w:w="1936" w:type="dxa"/>
            <w:vAlign w:val="center"/>
          </w:tcPr>
          <w:p w14:paraId="1FCAEBD0">
            <w:pPr>
              <w:pageBreakBefore w:val="0"/>
              <w:wordWrap/>
              <w:topLinePunct w:val="0"/>
              <w:bidi w:val="0"/>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注册资金</w:t>
            </w:r>
          </w:p>
        </w:tc>
        <w:tc>
          <w:tcPr>
            <w:tcW w:w="6764" w:type="dxa"/>
            <w:gridSpan w:val="7"/>
            <w:vAlign w:val="center"/>
          </w:tcPr>
          <w:p w14:paraId="6937BD58">
            <w:pPr>
              <w:pageBreakBefore w:val="0"/>
              <w:wordWrap/>
              <w:topLinePunct w:val="0"/>
              <w:bidi w:val="0"/>
              <w:spacing w:line="560" w:lineRule="exact"/>
              <w:ind w:firstLine="255"/>
              <w:jc w:val="center"/>
              <w:rPr>
                <w:rFonts w:hint="eastAsia" w:ascii="宋体" w:hAnsi="宋体" w:eastAsia="宋体" w:cs="宋体"/>
                <w:color w:val="000000" w:themeColor="text1"/>
                <w:sz w:val="28"/>
                <w:szCs w:val="28"/>
                <w:highlight w:val="none"/>
                <w14:textFill>
                  <w14:solidFill>
                    <w14:schemeClr w14:val="tx1"/>
                  </w14:solidFill>
                </w14:textFill>
              </w:rPr>
            </w:pPr>
          </w:p>
        </w:tc>
      </w:tr>
      <w:tr w14:paraId="05E3C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32" w:hRule="atLeast"/>
          <w:jc w:val="center"/>
        </w:trPr>
        <w:tc>
          <w:tcPr>
            <w:tcW w:w="1936" w:type="dxa"/>
            <w:vAlign w:val="center"/>
          </w:tcPr>
          <w:p w14:paraId="4634A1A0">
            <w:pPr>
              <w:pageBreakBefore w:val="0"/>
              <w:wordWrap/>
              <w:topLinePunct w:val="0"/>
              <w:bidi w:val="0"/>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开户银行</w:t>
            </w:r>
          </w:p>
        </w:tc>
        <w:tc>
          <w:tcPr>
            <w:tcW w:w="6764" w:type="dxa"/>
            <w:gridSpan w:val="7"/>
            <w:vAlign w:val="center"/>
          </w:tcPr>
          <w:p w14:paraId="7A4ADD53">
            <w:pPr>
              <w:pageBreakBefore w:val="0"/>
              <w:wordWrap/>
              <w:topLinePunct w:val="0"/>
              <w:bidi w:val="0"/>
              <w:spacing w:line="560" w:lineRule="exact"/>
              <w:ind w:firstLine="255"/>
              <w:jc w:val="center"/>
              <w:rPr>
                <w:rFonts w:hint="eastAsia" w:ascii="宋体" w:hAnsi="宋体" w:eastAsia="宋体" w:cs="宋体"/>
                <w:color w:val="000000" w:themeColor="text1"/>
                <w:sz w:val="28"/>
                <w:szCs w:val="28"/>
                <w:highlight w:val="none"/>
                <w14:textFill>
                  <w14:solidFill>
                    <w14:schemeClr w14:val="tx1"/>
                  </w14:solidFill>
                </w14:textFill>
              </w:rPr>
            </w:pPr>
          </w:p>
        </w:tc>
      </w:tr>
      <w:tr w14:paraId="3B463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2" w:hRule="atLeast"/>
          <w:jc w:val="center"/>
        </w:trPr>
        <w:tc>
          <w:tcPr>
            <w:tcW w:w="1936" w:type="dxa"/>
            <w:vAlign w:val="center"/>
          </w:tcPr>
          <w:p w14:paraId="4D875EB3">
            <w:pPr>
              <w:pageBreakBefore w:val="0"/>
              <w:wordWrap/>
              <w:topLinePunct w:val="0"/>
              <w:bidi w:val="0"/>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账号</w:t>
            </w:r>
          </w:p>
        </w:tc>
        <w:tc>
          <w:tcPr>
            <w:tcW w:w="6764" w:type="dxa"/>
            <w:gridSpan w:val="7"/>
            <w:vAlign w:val="center"/>
          </w:tcPr>
          <w:p w14:paraId="287EF910">
            <w:pPr>
              <w:pageBreakBefore w:val="0"/>
              <w:wordWrap/>
              <w:topLinePunct w:val="0"/>
              <w:bidi w:val="0"/>
              <w:spacing w:line="560" w:lineRule="exact"/>
              <w:ind w:firstLine="255"/>
              <w:jc w:val="center"/>
              <w:rPr>
                <w:rFonts w:hint="eastAsia" w:ascii="宋体" w:hAnsi="宋体" w:eastAsia="宋体" w:cs="宋体"/>
                <w:color w:val="000000" w:themeColor="text1"/>
                <w:sz w:val="28"/>
                <w:szCs w:val="28"/>
                <w:highlight w:val="none"/>
                <w14:textFill>
                  <w14:solidFill>
                    <w14:schemeClr w14:val="tx1"/>
                  </w14:solidFill>
                </w14:textFill>
              </w:rPr>
            </w:pPr>
          </w:p>
        </w:tc>
      </w:tr>
      <w:tr w14:paraId="5F950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2" w:hRule="atLeast"/>
          <w:jc w:val="center"/>
        </w:trPr>
        <w:tc>
          <w:tcPr>
            <w:tcW w:w="1936" w:type="dxa"/>
            <w:vMerge w:val="restart"/>
            <w:vAlign w:val="center"/>
          </w:tcPr>
          <w:p w14:paraId="7618B381">
            <w:pPr>
              <w:pStyle w:val="164"/>
              <w:pageBreakBefore w:val="0"/>
              <w:wordWrap/>
              <w:topLinePunct w:val="0"/>
              <w:bidi w:val="0"/>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企业关联情况</w:t>
            </w:r>
          </w:p>
        </w:tc>
        <w:tc>
          <w:tcPr>
            <w:tcW w:w="6764" w:type="dxa"/>
            <w:gridSpan w:val="7"/>
            <w:vAlign w:val="center"/>
          </w:tcPr>
          <w:p w14:paraId="7F178A8E">
            <w:pPr>
              <w:pStyle w:val="164"/>
              <w:keepNext w:val="0"/>
              <w:keepLines w:val="0"/>
              <w:pageBreakBefore w:val="0"/>
              <w:widowControl w:val="0"/>
              <w:kinsoku/>
              <w:wordWrap/>
              <w:overflowPunct/>
              <w:topLinePunct w:val="0"/>
              <w:autoSpaceDE/>
              <w:autoSpaceDN/>
              <w:bidi w:val="0"/>
              <w:adjustRightInd/>
              <w:snapToGrid/>
              <w:spacing w:line="560" w:lineRule="exact"/>
              <w:ind w:left="0"/>
              <w:jc w:val="both"/>
              <w:textAlignment w:val="auto"/>
              <w:rPr>
                <w:rFonts w:hint="eastAsia" w:ascii="宋体" w:hAnsi="宋体" w:eastAsia="宋体" w:cs="宋体"/>
                <w:color w:val="000000" w:themeColor="text1"/>
                <w:sz w:val="28"/>
                <w:szCs w:val="28"/>
                <w:highlight w:val="none"/>
                <w:lang w:eastAsia="zh-CN"/>
                <w14:textFill>
                  <w14:solidFill>
                    <w14:schemeClr w14:val="tx1"/>
                  </w14:solidFill>
                </w14:textFill>
              </w:rPr>
            </w:pPr>
            <w:r>
              <w:rPr>
                <w:rFonts w:hint="eastAsia" w:ascii="宋体" w:hAnsi="宋体" w:eastAsia="宋体" w:cs="宋体"/>
                <w:color w:val="000000" w:themeColor="text1"/>
                <w:sz w:val="28"/>
                <w:szCs w:val="28"/>
                <w:highlight w:val="none"/>
                <w:lang w:eastAsia="zh-CN"/>
                <w14:textFill>
                  <w14:solidFill>
                    <w14:schemeClr w14:val="tx1"/>
                  </w14:solidFill>
                </w14:textFill>
              </w:rPr>
              <w:t>1：与我公司单位负责人为同一人的其他单位名称：</w:t>
            </w:r>
          </w:p>
        </w:tc>
      </w:tr>
      <w:tr w14:paraId="35312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28" w:hRule="atLeast"/>
          <w:jc w:val="center"/>
        </w:trPr>
        <w:tc>
          <w:tcPr>
            <w:tcW w:w="1936" w:type="dxa"/>
            <w:vMerge w:val="continue"/>
            <w:vAlign w:val="center"/>
          </w:tcPr>
          <w:p w14:paraId="2688AFE9">
            <w:pPr>
              <w:pStyle w:val="160"/>
              <w:pageBreakBefore w:val="0"/>
              <w:widowControl/>
              <w:wordWrap/>
              <w:topLinePunct w:val="0"/>
              <w:bidi w:val="0"/>
              <w:spacing w:line="560" w:lineRule="exact"/>
              <w:jc w:val="left"/>
              <w:rPr>
                <w:rFonts w:hint="eastAsia" w:ascii="宋体" w:hAnsi="宋体" w:eastAsia="宋体" w:cs="宋体"/>
                <w:color w:val="000000" w:themeColor="text1"/>
                <w:sz w:val="28"/>
                <w:szCs w:val="28"/>
                <w:highlight w:val="none"/>
                <w14:textFill>
                  <w14:solidFill>
                    <w14:schemeClr w14:val="tx1"/>
                  </w14:solidFill>
                </w14:textFill>
              </w:rPr>
            </w:pPr>
          </w:p>
        </w:tc>
        <w:tc>
          <w:tcPr>
            <w:tcW w:w="6764" w:type="dxa"/>
            <w:gridSpan w:val="7"/>
            <w:vAlign w:val="center"/>
          </w:tcPr>
          <w:p w14:paraId="3C19BA68">
            <w:pPr>
              <w:pStyle w:val="164"/>
              <w:keepNext w:val="0"/>
              <w:keepLines w:val="0"/>
              <w:pageBreakBefore w:val="0"/>
              <w:widowControl w:val="0"/>
              <w:kinsoku/>
              <w:wordWrap/>
              <w:overflowPunct/>
              <w:topLinePunct w:val="0"/>
              <w:autoSpaceDE/>
              <w:autoSpaceDN/>
              <w:bidi w:val="0"/>
              <w:adjustRightInd/>
              <w:snapToGrid/>
              <w:spacing w:line="560" w:lineRule="exact"/>
              <w:ind w:left="0"/>
              <w:jc w:val="both"/>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□无；</w:t>
            </w:r>
            <w:r>
              <w:rPr>
                <w:rFonts w:hint="eastAsia" w:ascii="宋体" w:hAnsi="宋体" w:eastAsia="宋体" w:cs="宋体"/>
                <w:color w:val="000000" w:themeColor="text1"/>
                <w:sz w:val="28"/>
                <w:szCs w:val="28"/>
                <w:highlight w:val="none"/>
                <w:lang w:eastAsia="zh-CN"/>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 xml:space="preserve"> □有：</w:t>
            </w:r>
          </w:p>
        </w:tc>
      </w:tr>
      <w:tr w14:paraId="4B0D4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2" w:hRule="atLeast"/>
          <w:jc w:val="center"/>
        </w:trPr>
        <w:tc>
          <w:tcPr>
            <w:tcW w:w="1936" w:type="dxa"/>
            <w:vMerge w:val="continue"/>
            <w:vAlign w:val="center"/>
          </w:tcPr>
          <w:p w14:paraId="6BC252EB">
            <w:pPr>
              <w:pStyle w:val="160"/>
              <w:pageBreakBefore w:val="0"/>
              <w:widowControl/>
              <w:wordWrap/>
              <w:topLinePunct w:val="0"/>
              <w:bidi w:val="0"/>
              <w:spacing w:line="560" w:lineRule="exact"/>
              <w:jc w:val="left"/>
              <w:rPr>
                <w:rFonts w:hint="eastAsia" w:ascii="宋体" w:hAnsi="宋体" w:eastAsia="宋体" w:cs="宋体"/>
                <w:color w:val="000000" w:themeColor="text1"/>
                <w:sz w:val="28"/>
                <w:szCs w:val="28"/>
                <w:highlight w:val="none"/>
                <w14:textFill>
                  <w14:solidFill>
                    <w14:schemeClr w14:val="tx1"/>
                  </w14:solidFill>
                </w14:textFill>
              </w:rPr>
            </w:pPr>
          </w:p>
        </w:tc>
        <w:tc>
          <w:tcPr>
            <w:tcW w:w="6764" w:type="dxa"/>
            <w:gridSpan w:val="7"/>
            <w:vAlign w:val="center"/>
          </w:tcPr>
          <w:p w14:paraId="4482F60A">
            <w:pPr>
              <w:pStyle w:val="164"/>
              <w:keepNext w:val="0"/>
              <w:keepLines w:val="0"/>
              <w:pageBreakBefore w:val="0"/>
              <w:widowControl w:val="0"/>
              <w:kinsoku/>
              <w:wordWrap/>
              <w:overflowPunct/>
              <w:topLinePunct w:val="0"/>
              <w:autoSpaceDE/>
              <w:autoSpaceDN/>
              <w:bidi w:val="0"/>
              <w:adjustRightInd/>
              <w:snapToGrid/>
              <w:spacing w:line="560" w:lineRule="exact"/>
              <w:ind w:left="0"/>
              <w:jc w:val="both"/>
              <w:textAlignment w:val="auto"/>
              <w:rPr>
                <w:rFonts w:hint="eastAsia" w:ascii="宋体" w:hAnsi="宋体" w:eastAsia="宋体" w:cs="宋体"/>
                <w:color w:val="000000" w:themeColor="text1"/>
                <w:sz w:val="28"/>
                <w:szCs w:val="28"/>
                <w:highlight w:val="none"/>
                <w:lang w:eastAsia="zh-CN"/>
                <w14:textFill>
                  <w14:solidFill>
                    <w14:schemeClr w14:val="tx1"/>
                  </w14:solidFill>
                </w14:textFill>
              </w:rPr>
            </w:pPr>
            <w:r>
              <w:rPr>
                <w:rFonts w:hint="eastAsia" w:ascii="宋体" w:hAnsi="宋体" w:eastAsia="宋体" w:cs="宋体"/>
                <w:color w:val="000000" w:themeColor="text1"/>
                <w:sz w:val="28"/>
                <w:szCs w:val="28"/>
                <w:highlight w:val="none"/>
                <w:lang w:eastAsia="zh-CN"/>
                <w14:textFill>
                  <w14:solidFill>
                    <w14:schemeClr w14:val="tx1"/>
                  </w14:solidFill>
                </w14:textFill>
              </w:rPr>
              <w:t xml:space="preserve">2、与我公司存在控股、管理关系的其他单位的名称： </w:t>
            </w:r>
          </w:p>
        </w:tc>
      </w:tr>
      <w:tr w14:paraId="46B66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04" w:hRule="atLeast"/>
          <w:jc w:val="center"/>
        </w:trPr>
        <w:tc>
          <w:tcPr>
            <w:tcW w:w="1936" w:type="dxa"/>
            <w:vMerge w:val="continue"/>
            <w:vAlign w:val="center"/>
          </w:tcPr>
          <w:p w14:paraId="019C9A4B">
            <w:pPr>
              <w:pStyle w:val="160"/>
              <w:pageBreakBefore w:val="0"/>
              <w:widowControl/>
              <w:wordWrap/>
              <w:topLinePunct w:val="0"/>
              <w:bidi w:val="0"/>
              <w:spacing w:line="560" w:lineRule="exact"/>
              <w:jc w:val="left"/>
              <w:rPr>
                <w:rFonts w:hint="eastAsia" w:ascii="宋体" w:hAnsi="宋体" w:eastAsia="宋体" w:cs="宋体"/>
                <w:color w:val="000000" w:themeColor="text1"/>
                <w:sz w:val="28"/>
                <w:szCs w:val="28"/>
                <w:highlight w:val="none"/>
                <w14:textFill>
                  <w14:solidFill>
                    <w14:schemeClr w14:val="tx1"/>
                  </w14:solidFill>
                </w14:textFill>
              </w:rPr>
            </w:pPr>
          </w:p>
        </w:tc>
        <w:tc>
          <w:tcPr>
            <w:tcW w:w="6764" w:type="dxa"/>
            <w:gridSpan w:val="7"/>
            <w:vAlign w:val="center"/>
          </w:tcPr>
          <w:p w14:paraId="2A8899DB">
            <w:pPr>
              <w:pStyle w:val="164"/>
              <w:keepNext w:val="0"/>
              <w:keepLines w:val="0"/>
              <w:pageBreakBefore w:val="0"/>
              <w:widowControl w:val="0"/>
              <w:kinsoku/>
              <w:wordWrap/>
              <w:overflowPunct/>
              <w:topLinePunct w:val="0"/>
              <w:autoSpaceDE/>
              <w:autoSpaceDN/>
              <w:bidi w:val="0"/>
              <w:adjustRightInd/>
              <w:snapToGrid/>
              <w:spacing w:line="560" w:lineRule="exact"/>
              <w:ind w:left="0"/>
              <w:jc w:val="both"/>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□无；</w:t>
            </w:r>
            <w:r>
              <w:rPr>
                <w:rFonts w:hint="eastAsia" w:ascii="宋体" w:hAnsi="宋体" w:eastAsia="宋体" w:cs="宋体"/>
                <w:color w:val="000000" w:themeColor="text1"/>
                <w:sz w:val="28"/>
                <w:szCs w:val="28"/>
                <w:highlight w:val="none"/>
                <w:lang w:eastAsia="zh-CN"/>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 xml:space="preserve"> □有：</w:t>
            </w:r>
          </w:p>
        </w:tc>
      </w:tr>
      <w:tr w14:paraId="19EE2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13" w:hRule="atLeast"/>
          <w:jc w:val="center"/>
        </w:trPr>
        <w:tc>
          <w:tcPr>
            <w:tcW w:w="1936" w:type="dxa"/>
            <w:vMerge w:val="continue"/>
            <w:vAlign w:val="center"/>
          </w:tcPr>
          <w:p w14:paraId="5C15CCB2">
            <w:pPr>
              <w:pStyle w:val="160"/>
              <w:pageBreakBefore w:val="0"/>
              <w:widowControl/>
              <w:wordWrap/>
              <w:topLinePunct w:val="0"/>
              <w:bidi w:val="0"/>
              <w:spacing w:line="560" w:lineRule="exact"/>
              <w:jc w:val="left"/>
              <w:rPr>
                <w:rFonts w:hint="eastAsia" w:ascii="宋体" w:hAnsi="宋体" w:eastAsia="宋体" w:cs="宋体"/>
                <w:color w:val="000000" w:themeColor="text1"/>
                <w:sz w:val="28"/>
                <w:szCs w:val="28"/>
                <w:highlight w:val="none"/>
                <w14:textFill>
                  <w14:solidFill>
                    <w14:schemeClr w14:val="tx1"/>
                  </w14:solidFill>
                </w14:textFill>
              </w:rPr>
            </w:pPr>
          </w:p>
        </w:tc>
        <w:tc>
          <w:tcPr>
            <w:tcW w:w="6764" w:type="dxa"/>
            <w:gridSpan w:val="7"/>
            <w:vAlign w:val="center"/>
          </w:tcPr>
          <w:p w14:paraId="763AA3A0">
            <w:pPr>
              <w:pStyle w:val="164"/>
              <w:keepNext w:val="0"/>
              <w:keepLines w:val="0"/>
              <w:pageBreakBefore w:val="0"/>
              <w:widowControl w:val="0"/>
              <w:kinsoku/>
              <w:wordWrap/>
              <w:overflowPunct/>
              <w:topLinePunct w:val="0"/>
              <w:autoSpaceDE/>
              <w:autoSpaceDN/>
              <w:bidi w:val="0"/>
              <w:adjustRightInd/>
              <w:snapToGrid/>
              <w:spacing w:line="560" w:lineRule="exact"/>
              <w:ind w:left="0"/>
              <w:jc w:val="both"/>
              <w:textAlignment w:val="auto"/>
              <w:rPr>
                <w:rFonts w:hint="eastAsia" w:ascii="宋体" w:hAnsi="宋体" w:eastAsia="宋体" w:cs="宋体"/>
                <w:color w:val="000000" w:themeColor="text1"/>
                <w:sz w:val="28"/>
                <w:szCs w:val="28"/>
                <w:highlight w:val="none"/>
                <w:lang w:eastAsia="zh-CN"/>
                <w14:textFill>
                  <w14:solidFill>
                    <w14:schemeClr w14:val="tx1"/>
                  </w14:solidFill>
                </w14:textFill>
              </w:rPr>
            </w:pPr>
            <w:r>
              <w:rPr>
                <w:rFonts w:hint="eastAsia" w:ascii="宋体" w:hAnsi="宋体" w:eastAsia="宋体" w:cs="宋体"/>
                <w:color w:val="000000" w:themeColor="text1"/>
                <w:sz w:val="28"/>
                <w:szCs w:val="28"/>
                <w:highlight w:val="none"/>
                <w:lang w:eastAsia="zh-CN"/>
                <w14:textFill>
                  <w14:solidFill>
                    <w14:schemeClr w14:val="tx1"/>
                  </w14:solidFill>
                </w14:textFill>
              </w:rPr>
              <w:t>备注：1、“单位负责人”是指单位法定代表人或者法律、行政法规规定代表单位行使职权的主要负责人。</w:t>
            </w:r>
          </w:p>
          <w:p w14:paraId="43B38A92">
            <w:pPr>
              <w:pStyle w:val="164"/>
              <w:keepNext w:val="0"/>
              <w:keepLines w:val="0"/>
              <w:pageBreakBefore w:val="0"/>
              <w:widowControl w:val="0"/>
              <w:kinsoku/>
              <w:wordWrap/>
              <w:overflowPunct/>
              <w:topLinePunct w:val="0"/>
              <w:autoSpaceDE/>
              <w:autoSpaceDN/>
              <w:bidi w:val="0"/>
              <w:adjustRightInd/>
              <w:snapToGrid/>
              <w:spacing w:line="560" w:lineRule="exact"/>
              <w:ind w:left="0"/>
              <w:jc w:val="both"/>
              <w:textAlignment w:val="auto"/>
              <w:rPr>
                <w:rFonts w:hint="eastAsia" w:ascii="宋体" w:hAnsi="宋体" w:eastAsia="宋体" w:cs="宋体"/>
                <w:color w:val="000000" w:themeColor="text1"/>
                <w:sz w:val="28"/>
                <w:szCs w:val="28"/>
                <w:highlight w:val="none"/>
                <w:lang w:eastAsia="zh-CN"/>
                <w14:textFill>
                  <w14:solidFill>
                    <w14:schemeClr w14:val="tx1"/>
                  </w14:solidFill>
                </w14:textFill>
              </w:rPr>
            </w:pPr>
            <w:r>
              <w:rPr>
                <w:rFonts w:hint="eastAsia" w:ascii="宋体" w:hAnsi="宋体" w:eastAsia="宋体" w:cs="宋体"/>
                <w:color w:val="000000" w:themeColor="text1"/>
                <w:sz w:val="28"/>
                <w:szCs w:val="28"/>
                <w:highlight w:val="none"/>
                <w:lang w:eastAsia="zh-CN"/>
                <w14:textFill>
                  <w14:solidFill>
                    <w14:schemeClr w14:val="tx1"/>
                  </w14:solidFill>
                </w14:textFill>
              </w:rPr>
              <w:t>2、本条所规定的控股、管理关系仅限于直接控股、直接管理关系，不包括间接的控股或管理关系。</w:t>
            </w:r>
          </w:p>
        </w:tc>
      </w:tr>
    </w:tbl>
    <w:p w14:paraId="3243BEA4">
      <w:pPr>
        <w:pageBreakBefore w:val="0"/>
        <w:wordWrap/>
        <w:topLinePunct w:val="0"/>
        <w:bidi w:val="0"/>
        <w:snapToGrid w:val="0"/>
        <w:spacing w:line="560" w:lineRule="exact"/>
        <w:ind w:firstLine="4935" w:firstLineChars="2350"/>
        <w:rPr>
          <w:rFonts w:hAnsi="宋体"/>
          <w:color w:val="000000" w:themeColor="text1"/>
          <w:szCs w:val="21"/>
          <w:highlight w:val="none"/>
          <w14:textFill>
            <w14:solidFill>
              <w14:schemeClr w14:val="tx1"/>
            </w14:solidFill>
          </w14:textFill>
        </w:rPr>
      </w:pPr>
      <w:r>
        <w:rPr>
          <w:rFonts w:hAnsi="宋体"/>
          <w:color w:val="000000" w:themeColor="text1"/>
          <w:szCs w:val="21"/>
          <w:highlight w:val="none"/>
          <w14:textFill>
            <w14:solidFill>
              <w14:schemeClr w14:val="tx1"/>
            </w14:solidFill>
          </w14:textFill>
        </w:rPr>
        <w:t xml:space="preserve"> </w:t>
      </w:r>
    </w:p>
    <w:p w14:paraId="7B019596">
      <w:pPr>
        <w:pageBreakBefore w:val="0"/>
        <w:wordWrap/>
        <w:topLinePunct w:val="0"/>
        <w:bidi w:val="0"/>
        <w:snapToGrid w:val="0"/>
        <w:spacing w:line="560" w:lineRule="exact"/>
        <w:jc w:val="center"/>
        <w:rPr>
          <w:b/>
          <w:bCs/>
          <w:color w:val="000000" w:themeColor="text1"/>
          <w:sz w:val="30"/>
          <w:szCs w:val="30"/>
          <w:highlight w:val="none"/>
          <w14:textFill>
            <w14:solidFill>
              <w14:schemeClr w14:val="tx1"/>
            </w14:solidFill>
          </w14:textFill>
        </w:rPr>
      </w:pPr>
      <w:r>
        <w:rPr>
          <w:rFonts w:hint="eastAsia"/>
          <w:b/>
          <w:bCs/>
          <w:color w:val="000000" w:themeColor="text1"/>
          <w:sz w:val="30"/>
          <w:szCs w:val="30"/>
          <w:highlight w:val="none"/>
          <w14:textFill>
            <w14:solidFill>
              <w14:schemeClr w14:val="tx1"/>
            </w14:solidFill>
          </w14:textFill>
        </w:rPr>
        <w:t>六、</w:t>
      </w:r>
      <w:r>
        <w:rPr>
          <w:rFonts w:hint="eastAsia"/>
          <w:b/>
          <w:bCs/>
          <w:color w:val="000000" w:themeColor="text1"/>
          <w:sz w:val="30"/>
          <w:szCs w:val="30"/>
          <w:highlight w:val="none"/>
          <w:lang w:eastAsia="zh-CN"/>
          <w14:textFill>
            <w14:solidFill>
              <w14:schemeClr w14:val="tx1"/>
            </w14:solidFill>
          </w14:textFill>
        </w:rPr>
        <w:t>供应商</w:t>
      </w:r>
      <w:r>
        <w:rPr>
          <w:rFonts w:hint="eastAsia"/>
          <w:b/>
          <w:bCs/>
          <w:color w:val="000000" w:themeColor="text1"/>
          <w:sz w:val="30"/>
          <w:szCs w:val="30"/>
          <w:highlight w:val="none"/>
          <w14:textFill>
            <w14:solidFill>
              <w14:schemeClr w14:val="tx1"/>
            </w14:solidFill>
          </w14:textFill>
        </w:rPr>
        <w:t>类似的业绩证明文件</w:t>
      </w:r>
    </w:p>
    <w:tbl>
      <w:tblPr>
        <w:tblStyle w:val="34"/>
        <w:tblW w:w="8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7"/>
        <w:gridCol w:w="6106"/>
      </w:tblGrid>
      <w:tr w14:paraId="0D404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2417" w:type="dxa"/>
            <w:noWrap w:val="0"/>
            <w:vAlign w:val="center"/>
          </w:tcPr>
          <w:p w14:paraId="6FB2AB8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cs="仿宋_GB2312"/>
                <w:color w:val="000000" w:themeColor="text1"/>
                <w:sz w:val="28"/>
                <w:szCs w:val="28"/>
                <w:highlight w:val="none"/>
                <w14:textFill>
                  <w14:solidFill>
                    <w14:schemeClr w14:val="tx1"/>
                  </w14:solidFill>
                </w14:textFill>
              </w:rPr>
            </w:pPr>
            <w:r>
              <w:rPr>
                <w:rFonts w:hint="eastAsia" w:cs="仿宋_GB2312"/>
                <w:color w:val="000000" w:themeColor="text1"/>
                <w:sz w:val="28"/>
                <w:szCs w:val="28"/>
                <w:highlight w:val="none"/>
                <w14:textFill>
                  <w14:solidFill>
                    <w14:schemeClr w14:val="tx1"/>
                  </w14:solidFill>
                </w14:textFill>
              </w:rPr>
              <w:t>序号</w:t>
            </w:r>
          </w:p>
        </w:tc>
        <w:tc>
          <w:tcPr>
            <w:tcW w:w="6106" w:type="dxa"/>
            <w:noWrap w:val="0"/>
            <w:vAlign w:val="center"/>
          </w:tcPr>
          <w:p w14:paraId="19ABE243">
            <w:pPr>
              <w:pageBreakBefore w:val="0"/>
              <w:wordWrap/>
              <w:topLinePunct w:val="0"/>
              <w:bidi w:val="0"/>
              <w:spacing w:line="560" w:lineRule="exact"/>
              <w:jc w:val="center"/>
              <w:rPr>
                <w:rFonts w:hint="eastAsia" w:cs="仿宋_GB2312"/>
                <w:color w:val="000000" w:themeColor="text1"/>
                <w:highlight w:val="none"/>
                <w14:textFill>
                  <w14:solidFill>
                    <w14:schemeClr w14:val="tx1"/>
                  </w14:solidFill>
                </w14:textFill>
              </w:rPr>
            </w:pPr>
          </w:p>
        </w:tc>
      </w:tr>
      <w:tr w14:paraId="56E01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2417" w:type="dxa"/>
            <w:noWrap w:val="0"/>
            <w:vAlign w:val="center"/>
          </w:tcPr>
          <w:p w14:paraId="3A6DDF13">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cs="仿宋_GB2312"/>
                <w:color w:val="000000" w:themeColor="text1"/>
                <w:sz w:val="28"/>
                <w:szCs w:val="28"/>
                <w:highlight w:val="none"/>
                <w14:textFill>
                  <w14:solidFill>
                    <w14:schemeClr w14:val="tx1"/>
                  </w14:solidFill>
                </w14:textFill>
              </w:rPr>
            </w:pPr>
            <w:r>
              <w:rPr>
                <w:rFonts w:hint="eastAsia" w:cs="仿宋_GB2312"/>
                <w:color w:val="000000" w:themeColor="text1"/>
                <w:sz w:val="28"/>
                <w:szCs w:val="28"/>
                <w:highlight w:val="none"/>
                <w14:textFill>
                  <w14:solidFill>
                    <w14:schemeClr w14:val="tx1"/>
                  </w14:solidFill>
                </w14:textFill>
              </w:rPr>
              <w:t>项目名称</w:t>
            </w:r>
          </w:p>
        </w:tc>
        <w:tc>
          <w:tcPr>
            <w:tcW w:w="6106" w:type="dxa"/>
            <w:noWrap w:val="0"/>
            <w:vAlign w:val="center"/>
          </w:tcPr>
          <w:p w14:paraId="66A55B21">
            <w:pPr>
              <w:pageBreakBefore w:val="0"/>
              <w:wordWrap/>
              <w:topLinePunct w:val="0"/>
              <w:bidi w:val="0"/>
              <w:spacing w:line="560" w:lineRule="exact"/>
              <w:jc w:val="center"/>
              <w:rPr>
                <w:rFonts w:hint="eastAsia" w:cs="仿宋_GB2312"/>
                <w:color w:val="000000" w:themeColor="text1"/>
                <w:highlight w:val="none"/>
                <w14:textFill>
                  <w14:solidFill>
                    <w14:schemeClr w14:val="tx1"/>
                  </w14:solidFill>
                </w14:textFill>
              </w:rPr>
            </w:pPr>
          </w:p>
        </w:tc>
      </w:tr>
      <w:tr w14:paraId="2C244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2417" w:type="dxa"/>
            <w:noWrap w:val="0"/>
            <w:vAlign w:val="center"/>
          </w:tcPr>
          <w:p w14:paraId="7F96F6FB">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cs="仿宋_GB2312"/>
                <w:color w:val="000000" w:themeColor="text1"/>
                <w:sz w:val="28"/>
                <w:szCs w:val="28"/>
                <w:highlight w:val="none"/>
                <w14:textFill>
                  <w14:solidFill>
                    <w14:schemeClr w14:val="tx1"/>
                  </w14:solidFill>
                </w14:textFill>
              </w:rPr>
            </w:pPr>
            <w:r>
              <w:rPr>
                <w:rFonts w:hint="eastAsia" w:cs="仿宋_GB2312"/>
                <w:color w:val="000000" w:themeColor="text1"/>
                <w:sz w:val="28"/>
                <w:szCs w:val="28"/>
                <w:highlight w:val="none"/>
                <w14:textFill>
                  <w14:solidFill>
                    <w14:schemeClr w14:val="tx1"/>
                  </w14:solidFill>
                </w14:textFill>
              </w:rPr>
              <w:t>项目所在地</w:t>
            </w:r>
          </w:p>
        </w:tc>
        <w:tc>
          <w:tcPr>
            <w:tcW w:w="6106" w:type="dxa"/>
            <w:noWrap w:val="0"/>
            <w:vAlign w:val="center"/>
          </w:tcPr>
          <w:p w14:paraId="70A48786">
            <w:pPr>
              <w:pageBreakBefore w:val="0"/>
              <w:wordWrap/>
              <w:topLinePunct w:val="0"/>
              <w:bidi w:val="0"/>
              <w:spacing w:line="560" w:lineRule="exact"/>
              <w:jc w:val="center"/>
              <w:rPr>
                <w:rFonts w:hint="eastAsia" w:cs="仿宋_GB2312"/>
                <w:color w:val="000000" w:themeColor="text1"/>
                <w:highlight w:val="none"/>
                <w14:textFill>
                  <w14:solidFill>
                    <w14:schemeClr w14:val="tx1"/>
                  </w14:solidFill>
                </w14:textFill>
              </w:rPr>
            </w:pPr>
          </w:p>
        </w:tc>
      </w:tr>
      <w:tr w14:paraId="426B7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2417" w:type="dxa"/>
            <w:noWrap w:val="0"/>
            <w:vAlign w:val="center"/>
          </w:tcPr>
          <w:p w14:paraId="1294CF0E">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cs="仿宋_GB2312"/>
                <w:color w:val="000000" w:themeColor="text1"/>
                <w:sz w:val="28"/>
                <w:szCs w:val="28"/>
                <w:highlight w:val="none"/>
                <w14:textFill>
                  <w14:solidFill>
                    <w14:schemeClr w14:val="tx1"/>
                  </w14:solidFill>
                </w14:textFill>
              </w:rPr>
            </w:pPr>
            <w:r>
              <w:rPr>
                <w:rFonts w:hint="eastAsia" w:cs="仿宋_GB2312"/>
                <w:color w:val="000000" w:themeColor="text1"/>
                <w:sz w:val="28"/>
                <w:szCs w:val="28"/>
                <w:highlight w:val="none"/>
                <w14:textFill>
                  <w14:solidFill>
                    <w14:schemeClr w14:val="tx1"/>
                  </w14:solidFill>
                </w14:textFill>
              </w:rPr>
              <w:t>发包人名称</w:t>
            </w:r>
          </w:p>
        </w:tc>
        <w:tc>
          <w:tcPr>
            <w:tcW w:w="6106" w:type="dxa"/>
            <w:noWrap w:val="0"/>
            <w:vAlign w:val="center"/>
          </w:tcPr>
          <w:p w14:paraId="45D1F3D6">
            <w:pPr>
              <w:pageBreakBefore w:val="0"/>
              <w:wordWrap/>
              <w:topLinePunct w:val="0"/>
              <w:bidi w:val="0"/>
              <w:spacing w:line="560" w:lineRule="exact"/>
              <w:jc w:val="center"/>
              <w:rPr>
                <w:rFonts w:hint="eastAsia" w:cs="仿宋_GB2312"/>
                <w:color w:val="000000" w:themeColor="text1"/>
                <w:highlight w:val="none"/>
                <w14:textFill>
                  <w14:solidFill>
                    <w14:schemeClr w14:val="tx1"/>
                  </w14:solidFill>
                </w14:textFill>
              </w:rPr>
            </w:pPr>
          </w:p>
        </w:tc>
      </w:tr>
      <w:tr w14:paraId="66D5D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2417" w:type="dxa"/>
            <w:noWrap w:val="0"/>
            <w:vAlign w:val="center"/>
          </w:tcPr>
          <w:p w14:paraId="0125E4B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cs="仿宋_GB2312"/>
                <w:color w:val="000000" w:themeColor="text1"/>
                <w:sz w:val="28"/>
                <w:szCs w:val="28"/>
                <w:highlight w:val="none"/>
                <w14:textFill>
                  <w14:solidFill>
                    <w14:schemeClr w14:val="tx1"/>
                  </w14:solidFill>
                </w14:textFill>
              </w:rPr>
            </w:pPr>
            <w:r>
              <w:rPr>
                <w:rFonts w:hint="eastAsia" w:cs="仿宋_GB2312"/>
                <w:color w:val="000000" w:themeColor="text1"/>
                <w:sz w:val="28"/>
                <w:szCs w:val="28"/>
                <w:highlight w:val="none"/>
                <w14:textFill>
                  <w14:solidFill>
                    <w14:schemeClr w14:val="tx1"/>
                  </w14:solidFill>
                </w14:textFill>
              </w:rPr>
              <w:t>合同价格</w:t>
            </w:r>
          </w:p>
        </w:tc>
        <w:tc>
          <w:tcPr>
            <w:tcW w:w="6106" w:type="dxa"/>
            <w:noWrap w:val="0"/>
            <w:vAlign w:val="center"/>
          </w:tcPr>
          <w:p w14:paraId="15702BC4">
            <w:pPr>
              <w:pageBreakBefore w:val="0"/>
              <w:wordWrap/>
              <w:topLinePunct w:val="0"/>
              <w:bidi w:val="0"/>
              <w:spacing w:line="560" w:lineRule="exact"/>
              <w:jc w:val="center"/>
              <w:rPr>
                <w:rFonts w:hint="eastAsia" w:cs="仿宋_GB2312"/>
                <w:color w:val="000000" w:themeColor="text1"/>
                <w:highlight w:val="none"/>
                <w14:textFill>
                  <w14:solidFill>
                    <w14:schemeClr w14:val="tx1"/>
                  </w14:solidFill>
                </w14:textFill>
              </w:rPr>
            </w:pPr>
          </w:p>
        </w:tc>
      </w:tr>
      <w:tr w14:paraId="2482E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2417" w:type="dxa"/>
            <w:noWrap w:val="0"/>
            <w:vAlign w:val="center"/>
          </w:tcPr>
          <w:p w14:paraId="686510F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cs="仿宋_GB2312"/>
                <w:color w:val="000000" w:themeColor="text1"/>
                <w:sz w:val="28"/>
                <w:szCs w:val="28"/>
                <w:highlight w:val="none"/>
                <w14:textFill>
                  <w14:solidFill>
                    <w14:schemeClr w14:val="tx1"/>
                  </w14:solidFill>
                </w14:textFill>
              </w:rPr>
            </w:pPr>
            <w:r>
              <w:rPr>
                <w:rFonts w:hint="eastAsia" w:cs="仿宋_GB2312"/>
                <w:color w:val="000000" w:themeColor="text1"/>
                <w:sz w:val="28"/>
                <w:szCs w:val="28"/>
                <w:highlight w:val="none"/>
                <w14:textFill>
                  <w14:solidFill>
                    <w14:schemeClr w14:val="tx1"/>
                  </w14:solidFill>
                </w14:textFill>
              </w:rPr>
              <w:t>服务期限</w:t>
            </w:r>
          </w:p>
        </w:tc>
        <w:tc>
          <w:tcPr>
            <w:tcW w:w="6106" w:type="dxa"/>
            <w:noWrap w:val="0"/>
            <w:vAlign w:val="center"/>
          </w:tcPr>
          <w:p w14:paraId="505EFC62">
            <w:pPr>
              <w:pageBreakBefore w:val="0"/>
              <w:wordWrap/>
              <w:topLinePunct w:val="0"/>
              <w:bidi w:val="0"/>
              <w:spacing w:line="560" w:lineRule="exact"/>
              <w:jc w:val="center"/>
              <w:rPr>
                <w:rFonts w:hint="eastAsia" w:cs="仿宋_GB2312"/>
                <w:color w:val="000000" w:themeColor="text1"/>
                <w:highlight w:val="none"/>
                <w14:textFill>
                  <w14:solidFill>
                    <w14:schemeClr w14:val="tx1"/>
                  </w14:solidFill>
                </w14:textFill>
              </w:rPr>
            </w:pPr>
          </w:p>
        </w:tc>
      </w:tr>
      <w:tr w14:paraId="39350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2417" w:type="dxa"/>
            <w:noWrap w:val="0"/>
            <w:vAlign w:val="center"/>
          </w:tcPr>
          <w:p w14:paraId="4304BDD3">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cs="仿宋_GB2312"/>
                <w:color w:val="000000" w:themeColor="text1"/>
                <w:sz w:val="28"/>
                <w:szCs w:val="28"/>
                <w:highlight w:val="none"/>
                <w14:textFill>
                  <w14:solidFill>
                    <w14:schemeClr w14:val="tx1"/>
                  </w14:solidFill>
                </w14:textFill>
              </w:rPr>
            </w:pPr>
            <w:r>
              <w:rPr>
                <w:rFonts w:hint="eastAsia" w:cs="仿宋_GB2312"/>
                <w:color w:val="000000" w:themeColor="text1"/>
                <w:sz w:val="28"/>
                <w:szCs w:val="28"/>
                <w:highlight w:val="none"/>
                <w14:textFill>
                  <w14:solidFill>
                    <w14:schemeClr w14:val="tx1"/>
                  </w14:solidFill>
                </w14:textFill>
              </w:rPr>
              <w:t>承担的工作</w:t>
            </w:r>
          </w:p>
        </w:tc>
        <w:tc>
          <w:tcPr>
            <w:tcW w:w="6106" w:type="dxa"/>
            <w:noWrap w:val="0"/>
            <w:vAlign w:val="center"/>
          </w:tcPr>
          <w:p w14:paraId="65201D75">
            <w:pPr>
              <w:pageBreakBefore w:val="0"/>
              <w:wordWrap/>
              <w:topLinePunct w:val="0"/>
              <w:bidi w:val="0"/>
              <w:spacing w:line="560" w:lineRule="exact"/>
              <w:jc w:val="center"/>
              <w:rPr>
                <w:rFonts w:hint="eastAsia" w:cs="仿宋_GB2312"/>
                <w:color w:val="000000" w:themeColor="text1"/>
                <w:highlight w:val="none"/>
                <w14:textFill>
                  <w14:solidFill>
                    <w14:schemeClr w14:val="tx1"/>
                  </w14:solidFill>
                </w14:textFill>
              </w:rPr>
            </w:pPr>
          </w:p>
        </w:tc>
      </w:tr>
      <w:tr w14:paraId="7D84B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2417" w:type="dxa"/>
            <w:noWrap w:val="0"/>
            <w:vAlign w:val="center"/>
          </w:tcPr>
          <w:p w14:paraId="28B815E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cs="仿宋_GB2312"/>
                <w:color w:val="000000" w:themeColor="text1"/>
                <w:sz w:val="28"/>
                <w:szCs w:val="28"/>
                <w:highlight w:val="none"/>
                <w14:textFill>
                  <w14:solidFill>
                    <w14:schemeClr w14:val="tx1"/>
                  </w14:solidFill>
                </w14:textFill>
              </w:rPr>
            </w:pPr>
            <w:r>
              <w:rPr>
                <w:rFonts w:hint="eastAsia" w:cs="仿宋_GB2312"/>
                <w:color w:val="000000" w:themeColor="text1"/>
                <w:sz w:val="28"/>
                <w:szCs w:val="28"/>
                <w:highlight w:val="none"/>
                <w14:textFill>
                  <w14:solidFill>
                    <w14:schemeClr w14:val="tx1"/>
                  </w14:solidFill>
                </w14:textFill>
              </w:rPr>
              <w:t>服务质量</w:t>
            </w:r>
          </w:p>
        </w:tc>
        <w:tc>
          <w:tcPr>
            <w:tcW w:w="6106" w:type="dxa"/>
            <w:noWrap w:val="0"/>
            <w:vAlign w:val="center"/>
          </w:tcPr>
          <w:p w14:paraId="4FCD87FB">
            <w:pPr>
              <w:pageBreakBefore w:val="0"/>
              <w:wordWrap/>
              <w:topLinePunct w:val="0"/>
              <w:bidi w:val="0"/>
              <w:spacing w:line="560" w:lineRule="exact"/>
              <w:jc w:val="center"/>
              <w:rPr>
                <w:rFonts w:hint="eastAsia" w:cs="仿宋_GB2312"/>
                <w:color w:val="000000" w:themeColor="text1"/>
                <w:highlight w:val="none"/>
                <w14:textFill>
                  <w14:solidFill>
                    <w14:schemeClr w14:val="tx1"/>
                  </w14:solidFill>
                </w14:textFill>
              </w:rPr>
            </w:pPr>
          </w:p>
        </w:tc>
      </w:tr>
      <w:tr w14:paraId="75505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2417" w:type="dxa"/>
            <w:noWrap w:val="0"/>
            <w:vAlign w:val="center"/>
          </w:tcPr>
          <w:p w14:paraId="705FC21B">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cs="仿宋_GB2312"/>
                <w:color w:val="000000" w:themeColor="text1"/>
                <w:sz w:val="28"/>
                <w:szCs w:val="28"/>
                <w:highlight w:val="none"/>
                <w14:textFill>
                  <w14:solidFill>
                    <w14:schemeClr w14:val="tx1"/>
                  </w14:solidFill>
                </w14:textFill>
              </w:rPr>
            </w:pPr>
            <w:r>
              <w:rPr>
                <w:rFonts w:hint="eastAsia" w:cs="仿宋_GB2312"/>
                <w:color w:val="000000" w:themeColor="text1"/>
                <w:sz w:val="28"/>
                <w:szCs w:val="28"/>
                <w:highlight w:val="none"/>
                <w14:textFill>
                  <w14:solidFill>
                    <w14:schemeClr w14:val="tx1"/>
                  </w14:solidFill>
                </w14:textFill>
              </w:rPr>
              <w:t>项目负责人</w:t>
            </w:r>
          </w:p>
        </w:tc>
        <w:tc>
          <w:tcPr>
            <w:tcW w:w="6106" w:type="dxa"/>
            <w:noWrap w:val="0"/>
            <w:vAlign w:val="center"/>
          </w:tcPr>
          <w:p w14:paraId="2BEFA256">
            <w:pPr>
              <w:pageBreakBefore w:val="0"/>
              <w:wordWrap/>
              <w:topLinePunct w:val="0"/>
              <w:bidi w:val="0"/>
              <w:spacing w:line="560" w:lineRule="exact"/>
              <w:jc w:val="center"/>
              <w:rPr>
                <w:rFonts w:hint="eastAsia" w:cs="仿宋_GB2312"/>
                <w:color w:val="000000" w:themeColor="text1"/>
                <w:highlight w:val="none"/>
                <w14:textFill>
                  <w14:solidFill>
                    <w14:schemeClr w14:val="tx1"/>
                  </w14:solidFill>
                </w14:textFill>
              </w:rPr>
            </w:pPr>
          </w:p>
        </w:tc>
      </w:tr>
      <w:tr w14:paraId="49D36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2417" w:type="dxa"/>
            <w:noWrap w:val="0"/>
            <w:vAlign w:val="center"/>
          </w:tcPr>
          <w:p w14:paraId="18D5245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cs="仿宋_GB2312"/>
                <w:color w:val="000000" w:themeColor="text1"/>
                <w:sz w:val="28"/>
                <w:szCs w:val="28"/>
                <w:highlight w:val="none"/>
                <w14:textFill>
                  <w14:solidFill>
                    <w14:schemeClr w14:val="tx1"/>
                  </w14:solidFill>
                </w14:textFill>
              </w:rPr>
            </w:pPr>
            <w:r>
              <w:rPr>
                <w:rFonts w:hint="eastAsia" w:cs="仿宋_GB2312"/>
                <w:color w:val="000000" w:themeColor="text1"/>
                <w:sz w:val="28"/>
                <w:szCs w:val="28"/>
                <w:highlight w:val="none"/>
                <w14:textFill>
                  <w14:solidFill>
                    <w14:schemeClr w14:val="tx1"/>
                  </w14:solidFill>
                </w14:textFill>
              </w:rPr>
              <w:t>项目描述</w:t>
            </w:r>
          </w:p>
        </w:tc>
        <w:tc>
          <w:tcPr>
            <w:tcW w:w="6106" w:type="dxa"/>
            <w:noWrap w:val="0"/>
            <w:vAlign w:val="center"/>
          </w:tcPr>
          <w:p w14:paraId="591E9354">
            <w:pPr>
              <w:pageBreakBefore w:val="0"/>
              <w:wordWrap/>
              <w:topLinePunct w:val="0"/>
              <w:bidi w:val="0"/>
              <w:spacing w:line="560" w:lineRule="exact"/>
              <w:jc w:val="center"/>
              <w:rPr>
                <w:rFonts w:hint="eastAsia" w:cs="仿宋_GB2312"/>
                <w:color w:val="000000" w:themeColor="text1"/>
                <w:highlight w:val="none"/>
                <w14:textFill>
                  <w14:solidFill>
                    <w14:schemeClr w14:val="tx1"/>
                  </w14:solidFill>
                </w14:textFill>
              </w:rPr>
            </w:pPr>
          </w:p>
        </w:tc>
      </w:tr>
      <w:tr w14:paraId="76016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2417" w:type="dxa"/>
            <w:noWrap w:val="0"/>
            <w:vAlign w:val="center"/>
          </w:tcPr>
          <w:p w14:paraId="45AE7B8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cs="仿宋_GB2312"/>
                <w:color w:val="000000" w:themeColor="text1"/>
                <w:sz w:val="28"/>
                <w:szCs w:val="28"/>
                <w:highlight w:val="none"/>
                <w14:textFill>
                  <w14:solidFill>
                    <w14:schemeClr w14:val="tx1"/>
                  </w14:solidFill>
                </w14:textFill>
              </w:rPr>
            </w:pPr>
            <w:r>
              <w:rPr>
                <w:rFonts w:hint="eastAsia" w:cs="仿宋_GB2312"/>
                <w:color w:val="000000" w:themeColor="text1"/>
                <w:sz w:val="28"/>
                <w:szCs w:val="28"/>
                <w:highlight w:val="none"/>
                <w14:textFill>
                  <w14:solidFill>
                    <w14:schemeClr w14:val="tx1"/>
                  </w14:solidFill>
                </w14:textFill>
              </w:rPr>
              <w:t>备注</w:t>
            </w:r>
          </w:p>
        </w:tc>
        <w:tc>
          <w:tcPr>
            <w:tcW w:w="6106" w:type="dxa"/>
            <w:noWrap w:val="0"/>
            <w:vAlign w:val="center"/>
          </w:tcPr>
          <w:p w14:paraId="439928C5">
            <w:pPr>
              <w:pageBreakBefore w:val="0"/>
              <w:wordWrap/>
              <w:topLinePunct w:val="0"/>
              <w:bidi w:val="0"/>
              <w:spacing w:line="560" w:lineRule="exact"/>
              <w:jc w:val="center"/>
              <w:rPr>
                <w:rFonts w:hint="eastAsia" w:cs="仿宋_GB2312"/>
                <w:color w:val="000000" w:themeColor="text1"/>
                <w:highlight w:val="none"/>
                <w14:textFill>
                  <w14:solidFill>
                    <w14:schemeClr w14:val="tx1"/>
                  </w14:solidFill>
                </w14:textFill>
              </w:rPr>
            </w:pPr>
          </w:p>
        </w:tc>
      </w:tr>
    </w:tbl>
    <w:p w14:paraId="221C3576">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Theme="minorEastAsia" w:hAnsiTheme="minorEastAsia" w:eastAsiaTheme="minorEastAsia" w:cstheme="minorEastAsia"/>
          <w:color w:val="000000" w:themeColor="text1"/>
          <w:kern w:val="0"/>
          <w:sz w:val="28"/>
          <w:szCs w:val="28"/>
          <w:highlight w:val="none"/>
          <w:lang w:val="zh-CN"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注：</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可按上述的格式自行编制，须随表提交相应的合同</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或</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中标通知书。</w:t>
      </w:r>
      <w:r>
        <w:rPr>
          <w:rFonts w:hint="eastAsia" w:asciiTheme="minorEastAsia" w:hAnsiTheme="minorEastAsia" w:eastAsiaTheme="minorEastAsia"/>
          <w:bCs/>
          <w:color w:val="000000" w:themeColor="text1"/>
          <w:kern w:val="0"/>
          <w:sz w:val="28"/>
          <w:szCs w:val="28"/>
          <w:highlight w:val="none"/>
          <w:lang w:eastAsia="zh-CN"/>
          <w14:textFill>
            <w14:solidFill>
              <w14:schemeClr w14:val="tx1"/>
            </w14:solidFill>
          </w14:textFill>
        </w:rPr>
        <w:t>类似业绩：</w:t>
      </w:r>
      <w:r>
        <w:rPr>
          <w:rFonts w:hint="eastAsia" w:asciiTheme="minorEastAsia" w:hAnsiTheme="minorEastAsia" w:eastAsiaTheme="minorEastAsia"/>
          <w:bCs/>
          <w:color w:val="000000" w:themeColor="text1"/>
          <w:kern w:val="0"/>
          <w:sz w:val="28"/>
          <w:szCs w:val="28"/>
          <w:highlight w:val="none"/>
          <w14:textFill>
            <w14:solidFill>
              <w14:schemeClr w14:val="tx1"/>
            </w14:solidFill>
          </w14:textFill>
        </w:rPr>
        <w:t>近三年（202</w:t>
      </w:r>
      <w:r>
        <w:rPr>
          <w:rFonts w:hint="eastAsia" w:asciiTheme="minorEastAsia" w:hAnsiTheme="minorEastAsia" w:eastAsiaTheme="minorEastAsia"/>
          <w:bCs/>
          <w:color w:val="000000" w:themeColor="text1"/>
          <w:kern w:val="0"/>
          <w:sz w:val="28"/>
          <w:szCs w:val="28"/>
          <w:highlight w:val="none"/>
          <w:lang w:val="en-US" w:eastAsia="zh-CN"/>
          <w14:textFill>
            <w14:solidFill>
              <w14:schemeClr w14:val="tx1"/>
            </w14:solidFill>
          </w14:textFill>
        </w:rPr>
        <w:t>2</w:t>
      </w:r>
      <w:r>
        <w:rPr>
          <w:rFonts w:hint="eastAsia" w:asciiTheme="minorEastAsia" w:hAnsiTheme="minorEastAsia" w:eastAsiaTheme="minorEastAsia"/>
          <w:bCs/>
          <w:color w:val="000000" w:themeColor="text1"/>
          <w:kern w:val="0"/>
          <w:sz w:val="28"/>
          <w:szCs w:val="28"/>
          <w:highlight w:val="none"/>
          <w14:textFill>
            <w14:solidFill>
              <w14:schemeClr w14:val="tx1"/>
            </w14:solidFill>
          </w14:textFill>
        </w:rPr>
        <w:t>年</w:t>
      </w:r>
      <w:r>
        <w:rPr>
          <w:rFonts w:hint="eastAsia" w:asciiTheme="minorEastAsia" w:hAnsiTheme="minorEastAsia" w:eastAsiaTheme="minorEastAsia"/>
          <w:bCs/>
          <w:color w:val="000000" w:themeColor="text1"/>
          <w:kern w:val="0"/>
          <w:sz w:val="28"/>
          <w:szCs w:val="28"/>
          <w:highlight w:val="none"/>
          <w:lang w:val="en-US" w:eastAsia="zh-CN"/>
          <w14:textFill>
            <w14:solidFill>
              <w14:schemeClr w14:val="tx1"/>
            </w14:solidFill>
          </w14:textFill>
        </w:rPr>
        <w:t>1月1日</w:t>
      </w:r>
      <w:r>
        <w:rPr>
          <w:rFonts w:hint="eastAsia" w:asciiTheme="minorEastAsia" w:hAnsiTheme="minorEastAsia" w:eastAsiaTheme="minorEastAsia"/>
          <w:bCs/>
          <w:color w:val="000000" w:themeColor="text1"/>
          <w:kern w:val="0"/>
          <w:sz w:val="28"/>
          <w:szCs w:val="28"/>
          <w:highlight w:val="none"/>
          <w14:textFill>
            <w14:solidFill>
              <w14:schemeClr w14:val="tx1"/>
            </w14:solidFill>
          </w14:textFill>
        </w:rPr>
        <w:t>-至今）</w:t>
      </w:r>
      <w:r>
        <w:rPr>
          <w:rFonts w:hint="eastAsia" w:asciiTheme="minorEastAsia" w:hAnsiTheme="minorEastAsia" w:eastAsiaTheme="minorEastAsia"/>
          <w:bCs/>
          <w:color w:val="000000" w:themeColor="text1"/>
          <w:kern w:val="0"/>
          <w:sz w:val="28"/>
          <w:szCs w:val="28"/>
          <w:highlight w:val="none"/>
          <w:lang w:eastAsia="zh-CN"/>
          <w14:textFill>
            <w14:solidFill>
              <w14:schemeClr w14:val="tx1"/>
            </w14:solidFill>
          </w14:textFill>
        </w:rPr>
        <w:t>。</w:t>
      </w:r>
    </w:p>
    <w:p w14:paraId="7B96B412">
      <w:pPr>
        <w:keepNext w:val="0"/>
        <w:keepLines w:val="0"/>
        <w:pageBreakBefore w:val="0"/>
        <w:widowControl w:val="0"/>
        <w:kinsoku/>
        <w:wordWrap/>
        <w:overflowPunct/>
        <w:topLinePunct w:val="0"/>
        <w:autoSpaceDE/>
        <w:autoSpaceDN/>
        <w:bidi w:val="0"/>
        <w:adjustRightInd/>
        <w:snapToGrid w:val="0"/>
        <w:spacing w:line="560" w:lineRule="exact"/>
        <w:ind w:left="0" w:leftChars="0"/>
        <w:jc w:val="center"/>
        <w:textAlignment w:val="auto"/>
        <w:rPr>
          <w:rFonts w:hint="eastAsia" w:asciiTheme="minorEastAsia" w:hAnsiTheme="minorEastAsia" w:eastAsiaTheme="minorEastAsia" w:cstheme="minorEastAsia"/>
          <w:color w:val="000000" w:themeColor="text1"/>
          <w:kern w:val="0"/>
          <w:sz w:val="28"/>
          <w:szCs w:val="28"/>
          <w:highlight w:val="none"/>
          <w:lang w:val="zh-CN"/>
          <w14:textFill>
            <w14:solidFill>
              <w14:schemeClr w14:val="tx1"/>
            </w14:solidFill>
          </w14:textFill>
        </w:rPr>
      </w:pPr>
    </w:p>
    <w:p w14:paraId="79EFC1A4">
      <w:pPr>
        <w:pageBreakBefore w:val="0"/>
        <w:widowControl/>
        <w:wordWrap/>
        <w:topLinePunct w:val="0"/>
        <w:bidi w:val="0"/>
        <w:spacing w:line="560" w:lineRule="exact"/>
        <w:jc w:val="left"/>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ascii="仿宋_GB2312" w:hAnsi="仿宋" w:eastAsia="仿宋_GB2312" w:cs="仿宋_GB2312"/>
          <w:color w:val="000000" w:themeColor="text1"/>
          <w:kern w:val="0"/>
          <w:sz w:val="24"/>
          <w:highlight w:val="none"/>
          <w:lang w:val="zh-CN"/>
          <w14:textFill>
            <w14:solidFill>
              <w14:schemeClr w14:val="tx1"/>
            </w14:solidFill>
          </w14:textFill>
        </w:rPr>
        <w:br w:type="page"/>
      </w:r>
    </w:p>
    <w:p w14:paraId="73F5CB01">
      <w:pPr>
        <w:pageBreakBefore w:val="0"/>
        <w:wordWrap/>
        <w:topLinePunct w:val="0"/>
        <w:bidi w:val="0"/>
        <w:snapToGrid w:val="0"/>
        <w:spacing w:before="165" w:beforeLines="50" w:after="50" w:line="560" w:lineRule="exact"/>
        <w:ind w:firstLine="602" w:firstLineChars="200"/>
        <w:jc w:val="center"/>
        <w:rPr>
          <w:b/>
          <w:bCs/>
          <w:color w:val="000000" w:themeColor="text1"/>
          <w:sz w:val="30"/>
          <w:szCs w:val="30"/>
          <w:highlight w:val="none"/>
          <w14:textFill>
            <w14:solidFill>
              <w14:schemeClr w14:val="tx1"/>
            </w14:solidFill>
          </w14:textFill>
        </w:rPr>
      </w:pPr>
      <w:r>
        <w:rPr>
          <w:rFonts w:hint="eastAsia"/>
          <w:b/>
          <w:bCs/>
          <w:color w:val="000000" w:themeColor="text1"/>
          <w:sz w:val="30"/>
          <w:szCs w:val="30"/>
          <w:highlight w:val="none"/>
          <w:lang w:eastAsia="zh-CN"/>
          <w14:textFill>
            <w14:solidFill>
              <w14:schemeClr w14:val="tx1"/>
            </w14:solidFill>
          </w14:textFill>
        </w:rPr>
        <w:t>七</w:t>
      </w:r>
      <w:r>
        <w:rPr>
          <w:rFonts w:hint="eastAsia"/>
          <w:b/>
          <w:bCs/>
          <w:color w:val="000000" w:themeColor="text1"/>
          <w:sz w:val="30"/>
          <w:szCs w:val="30"/>
          <w:highlight w:val="none"/>
          <w14:textFill>
            <w14:solidFill>
              <w14:schemeClr w14:val="tx1"/>
            </w14:solidFill>
          </w14:textFill>
        </w:rPr>
        <w:t>、项目负责人简历表</w:t>
      </w:r>
    </w:p>
    <w:tbl>
      <w:tblPr>
        <w:tblStyle w:val="34"/>
        <w:tblW w:w="10095" w:type="dxa"/>
        <w:jc w:val="center"/>
        <w:tblLayout w:type="fixed"/>
        <w:tblCellMar>
          <w:top w:w="0" w:type="dxa"/>
          <w:left w:w="108" w:type="dxa"/>
          <w:bottom w:w="0" w:type="dxa"/>
          <w:right w:w="108" w:type="dxa"/>
        </w:tblCellMar>
      </w:tblPr>
      <w:tblGrid>
        <w:gridCol w:w="1096"/>
        <w:gridCol w:w="730"/>
        <w:gridCol w:w="890"/>
        <w:gridCol w:w="915"/>
        <w:gridCol w:w="1412"/>
        <w:gridCol w:w="836"/>
        <w:gridCol w:w="1495"/>
        <w:gridCol w:w="474"/>
        <w:gridCol w:w="2247"/>
      </w:tblGrid>
      <w:tr w14:paraId="354A49BB">
        <w:tblPrEx>
          <w:tblCellMar>
            <w:top w:w="0" w:type="dxa"/>
            <w:left w:w="108" w:type="dxa"/>
            <w:bottom w:w="0" w:type="dxa"/>
            <w:right w:w="108" w:type="dxa"/>
          </w:tblCellMar>
        </w:tblPrEx>
        <w:trPr>
          <w:trHeight w:val="1174" w:hRule="exact"/>
          <w:jc w:val="center"/>
        </w:trPr>
        <w:tc>
          <w:tcPr>
            <w:tcW w:w="1096" w:type="dxa"/>
            <w:tcBorders>
              <w:top w:val="single" w:color="000000" w:sz="4" w:space="0"/>
              <w:left w:val="single" w:color="000000" w:sz="4" w:space="0"/>
              <w:bottom w:val="single" w:color="000000" w:sz="4" w:space="0"/>
              <w:right w:val="single" w:color="000000" w:sz="4" w:space="0"/>
            </w:tcBorders>
            <w:vAlign w:val="center"/>
          </w:tcPr>
          <w:p w14:paraId="32932654">
            <w:pPr>
              <w:pStyle w:val="93"/>
              <w:keepNext w:val="0"/>
              <w:keepLines w:val="0"/>
              <w:pageBreakBefore w:val="0"/>
              <w:widowControl w:val="0"/>
              <w:tabs>
                <w:tab w:val="left" w:pos="692"/>
              </w:tabs>
              <w:kinsoku/>
              <w:wordWrap/>
              <w:overflowPunct w:val="0"/>
              <w:topLinePunct w:val="0"/>
              <w:autoSpaceDE/>
              <w:autoSpaceDN/>
              <w:bidi w:val="0"/>
              <w:adjustRightInd/>
              <w:snapToGrid/>
              <w:spacing w:line="560" w:lineRule="exact"/>
              <w:ind w:left="0" w:right="0" w:firstLine="0"/>
              <w:jc w:val="center"/>
              <w:textAlignment w:val="auto"/>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姓名</w:t>
            </w:r>
          </w:p>
        </w:tc>
        <w:tc>
          <w:tcPr>
            <w:tcW w:w="1620" w:type="dxa"/>
            <w:gridSpan w:val="2"/>
            <w:tcBorders>
              <w:top w:val="single" w:color="000000" w:sz="4" w:space="0"/>
              <w:left w:val="single" w:color="000000" w:sz="4" w:space="0"/>
              <w:bottom w:val="single" w:color="000000" w:sz="4" w:space="0"/>
              <w:right w:val="single" w:color="000000" w:sz="4" w:space="0"/>
            </w:tcBorders>
            <w:vAlign w:val="center"/>
          </w:tcPr>
          <w:p w14:paraId="03DAC096">
            <w:pPr>
              <w:keepNext w:val="0"/>
              <w:keepLines w:val="0"/>
              <w:pageBreakBefore w:val="0"/>
              <w:widowControl w:val="0"/>
              <w:kinsoku/>
              <w:wordWrap/>
              <w:topLinePunct w:val="0"/>
              <w:autoSpaceDE/>
              <w:autoSpaceDN/>
              <w:bidi w:val="0"/>
              <w:adjustRightInd/>
              <w:snapToGrid/>
              <w:spacing w:line="560" w:lineRule="exact"/>
              <w:ind w:left="0" w:right="0" w:firstLine="0"/>
              <w:jc w:val="center"/>
              <w:textAlignment w:val="auto"/>
              <w:rPr>
                <w:rFonts w:ascii="宋体" w:hAnsi="宋体" w:cs="宋体"/>
                <w:color w:val="000000" w:themeColor="text1"/>
                <w:sz w:val="28"/>
                <w:szCs w:val="28"/>
                <w:highlight w:val="none"/>
                <w14:textFill>
                  <w14:solidFill>
                    <w14:schemeClr w14:val="tx1"/>
                  </w14:solidFill>
                </w14:textFill>
              </w:rPr>
            </w:pPr>
          </w:p>
        </w:tc>
        <w:tc>
          <w:tcPr>
            <w:tcW w:w="915" w:type="dxa"/>
            <w:tcBorders>
              <w:top w:val="single" w:color="000000" w:sz="4" w:space="0"/>
              <w:left w:val="single" w:color="000000" w:sz="4" w:space="0"/>
              <w:bottom w:val="single" w:color="000000" w:sz="4" w:space="0"/>
              <w:right w:val="single" w:color="000000" w:sz="4" w:space="0"/>
            </w:tcBorders>
            <w:vAlign w:val="center"/>
          </w:tcPr>
          <w:p w14:paraId="0A51CF0C">
            <w:pPr>
              <w:pStyle w:val="93"/>
              <w:keepNext w:val="0"/>
              <w:keepLines w:val="0"/>
              <w:pageBreakBefore w:val="0"/>
              <w:widowControl w:val="0"/>
              <w:kinsoku/>
              <w:wordWrap/>
              <w:overflowPunct w:val="0"/>
              <w:topLinePunct w:val="0"/>
              <w:autoSpaceDE/>
              <w:autoSpaceDN/>
              <w:bidi w:val="0"/>
              <w:adjustRightInd/>
              <w:snapToGrid/>
              <w:spacing w:line="560" w:lineRule="exact"/>
              <w:ind w:left="0" w:right="0" w:firstLine="0"/>
              <w:jc w:val="center"/>
              <w:textAlignment w:val="auto"/>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年龄</w:t>
            </w:r>
          </w:p>
        </w:tc>
        <w:tc>
          <w:tcPr>
            <w:tcW w:w="1412" w:type="dxa"/>
            <w:tcBorders>
              <w:top w:val="single" w:color="000000" w:sz="4" w:space="0"/>
              <w:left w:val="single" w:color="000000" w:sz="4" w:space="0"/>
              <w:bottom w:val="single" w:color="000000" w:sz="4" w:space="0"/>
              <w:right w:val="single" w:color="000000" w:sz="4" w:space="0"/>
            </w:tcBorders>
            <w:vAlign w:val="center"/>
          </w:tcPr>
          <w:p w14:paraId="6ECB399E">
            <w:pPr>
              <w:keepNext w:val="0"/>
              <w:keepLines w:val="0"/>
              <w:pageBreakBefore w:val="0"/>
              <w:widowControl w:val="0"/>
              <w:kinsoku/>
              <w:wordWrap/>
              <w:topLinePunct w:val="0"/>
              <w:autoSpaceDE/>
              <w:autoSpaceDN/>
              <w:bidi w:val="0"/>
              <w:adjustRightInd/>
              <w:snapToGrid/>
              <w:spacing w:line="560" w:lineRule="exact"/>
              <w:ind w:left="0" w:right="0" w:firstLine="0"/>
              <w:jc w:val="center"/>
              <w:textAlignment w:val="auto"/>
              <w:rPr>
                <w:rFonts w:ascii="宋体" w:hAnsi="宋体" w:cs="宋体"/>
                <w:color w:val="000000" w:themeColor="text1"/>
                <w:sz w:val="28"/>
                <w:szCs w:val="28"/>
                <w:highlight w:val="none"/>
                <w14:textFill>
                  <w14:solidFill>
                    <w14:schemeClr w14:val="tx1"/>
                  </w14:solidFill>
                </w14:textFill>
              </w:rPr>
            </w:pPr>
          </w:p>
        </w:tc>
        <w:tc>
          <w:tcPr>
            <w:tcW w:w="2805" w:type="dxa"/>
            <w:gridSpan w:val="3"/>
            <w:tcBorders>
              <w:top w:val="single" w:color="000000" w:sz="4" w:space="0"/>
              <w:left w:val="single" w:color="000000" w:sz="4" w:space="0"/>
              <w:bottom w:val="single" w:color="000000" w:sz="4" w:space="0"/>
              <w:right w:val="single" w:color="000000" w:sz="4" w:space="0"/>
            </w:tcBorders>
            <w:vAlign w:val="center"/>
          </w:tcPr>
          <w:p w14:paraId="5EA0E20E">
            <w:pPr>
              <w:pStyle w:val="93"/>
              <w:keepNext w:val="0"/>
              <w:keepLines w:val="0"/>
              <w:pageBreakBefore w:val="0"/>
              <w:widowControl w:val="0"/>
              <w:kinsoku/>
              <w:wordWrap/>
              <w:overflowPunct w:val="0"/>
              <w:topLinePunct w:val="0"/>
              <w:autoSpaceDE/>
              <w:autoSpaceDN/>
              <w:bidi w:val="0"/>
              <w:adjustRightInd/>
              <w:snapToGrid/>
              <w:spacing w:line="560" w:lineRule="exact"/>
              <w:ind w:left="0" w:right="0" w:firstLine="0"/>
              <w:jc w:val="center"/>
              <w:textAlignment w:val="auto"/>
              <w:rPr>
                <w:rFonts w:hAnsi="宋体" w:cs="宋体"/>
                <w:color w:val="000000" w:themeColor="text1"/>
                <w:sz w:val="28"/>
                <w:szCs w:val="28"/>
                <w:highlight w:val="none"/>
                <w:lang w:eastAsia="zh-CN"/>
                <w14:textFill>
                  <w14:solidFill>
                    <w14:schemeClr w14:val="tx1"/>
                  </w14:solidFill>
                </w14:textFill>
              </w:rPr>
            </w:pPr>
            <w:r>
              <w:rPr>
                <w:rFonts w:hint="eastAsia" w:hAnsi="宋体" w:cs="宋体"/>
                <w:color w:val="000000" w:themeColor="text1"/>
                <w:sz w:val="28"/>
                <w:szCs w:val="28"/>
                <w:highlight w:val="none"/>
                <w:lang w:eastAsia="zh-CN"/>
                <w14:textFill>
                  <w14:solidFill>
                    <w14:schemeClr w14:val="tx1"/>
                  </w14:solidFill>
                </w14:textFill>
              </w:rPr>
              <w:t>执业资格证书（或上岗证书）名称（如有）</w:t>
            </w:r>
          </w:p>
        </w:tc>
        <w:tc>
          <w:tcPr>
            <w:tcW w:w="2247" w:type="dxa"/>
            <w:tcBorders>
              <w:top w:val="single" w:color="000000" w:sz="4" w:space="0"/>
              <w:left w:val="single" w:color="000000" w:sz="4" w:space="0"/>
              <w:bottom w:val="single" w:color="000000" w:sz="4" w:space="0"/>
              <w:right w:val="single" w:color="000000" w:sz="4" w:space="0"/>
            </w:tcBorders>
            <w:vAlign w:val="center"/>
          </w:tcPr>
          <w:p w14:paraId="4C8A4B4A">
            <w:pPr>
              <w:keepNext w:val="0"/>
              <w:keepLines w:val="0"/>
              <w:pageBreakBefore w:val="0"/>
              <w:widowControl w:val="0"/>
              <w:kinsoku/>
              <w:wordWrap/>
              <w:topLinePunct w:val="0"/>
              <w:autoSpaceDE/>
              <w:autoSpaceDN/>
              <w:bidi w:val="0"/>
              <w:adjustRightInd/>
              <w:snapToGrid/>
              <w:spacing w:line="560" w:lineRule="exact"/>
              <w:ind w:left="0" w:right="0" w:firstLine="0"/>
              <w:jc w:val="center"/>
              <w:textAlignment w:val="auto"/>
              <w:rPr>
                <w:rFonts w:ascii="宋体" w:hAnsi="宋体" w:cs="宋体"/>
                <w:color w:val="000000" w:themeColor="text1"/>
                <w:sz w:val="28"/>
                <w:szCs w:val="28"/>
                <w:highlight w:val="none"/>
                <w14:textFill>
                  <w14:solidFill>
                    <w14:schemeClr w14:val="tx1"/>
                  </w14:solidFill>
                </w14:textFill>
              </w:rPr>
            </w:pPr>
          </w:p>
        </w:tc>
      </w:tr>
      <w:tr w14:paraId="2B2BCB70">
        <w:tblPrEx>
          <w:tblCellMar>
            <w:top w:w="0" w:type="dxa"/>
            <w:left w:w="108" w:type="dxa"/>
            <w:bottom w:w="0" w:type="dxa"/>
            <w:right w:w="108" w:type="dxa"/>
          </w:tblCellMar>
        </w:tblPrEx>
        <w:trPr>
          <w:trHeight w:val="950" w:hRule="exact"/>
          <w:jc w:val="center"/>
        </w:trPr>
        <w:tc>
          <w:tcPr>
            <w:tcW w:w="1096" w:type="dxa"/>
            <w:tcBorders>
              <w:top w:val="single" w:color="000000" w:sz="4" w:space="0"/>
              <w:left w:val="single" w:color="000000" w:sz="4" w:space="0"/>
              <w:bottom w:val="single" w:color="000000" w:sz="4" w:space="0"/>
              <w:right w:val="single" w:color="000000" w:sz="4" w:space="0"/>
            </w:tcBorders>
            <w:vAlign w:val="center"/>
          </w:tcPr>
          <w:p w14:paraId="376F1BDF">
            <w:pPr>
              <w:pStyle w:val="93"/>
              <w:keepNext w:val="0"/>
              <w:keepLines w:val="0"/>
              <w:pageBreakBefore w:val="0"/>
              <w:widowControl w:val="0"/>
              <w:tabs>
                <w:tab w:val="left" w:pos="692"/>
              </w:tabs>
              <w:kinsoku/>
              <w:wordWrap/>
              <w:overflowPunct w:val="0"/>
              <w:topLinePunct w:val="0"/>
              <w:autoSpaceDE/>
              <w:autoSpaceDN/>
              <w:bidi w:val="0"/>
              <w:adjustRightInd/>
              <w:snapToGrid/>
              <w:spacing w:line="560" w:lineRule="exact"/>
              <w:ind w:left="0" w:right="0" w:firstLine="0"/>
              <w:jc w:val="center"/>
              <w:textAlignment w:val="auto"/>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职称</w:t>
            </w:r>
          </w:p>
        </w:tc>
        <w:tc>
          <w:tcPr>
            <w:tcW w:w="1620" w:type="dxa"/>
            <w:gridSpan w:val="2"/>
            <w:tcBorders>
              <w:top w:val="single" w:color="000000" w:sz="4" w:space="0"/>
              <w:left w:val="single" w:color="000000" w:sz="4" w:space="0"/>
              <w:bottom w:val="single" w:color="000000" w:sz="4" w:space="0"/>
              <w:right w:val="single" w:color="000000" w:sz="4" w:space="0"/>
            </w:tcBorders>
            <w:vAlign w:val="center"/>
          </w:tcPr>
          <w:p w14:paraId="5DCEFE5B">
            <w:pPr>
              <w:keepNext w:val="0"/>
              <w:keepLines w:val="0"/>
              <w:pageBreakBefore w:val="0"/>
              <w:widowControl w:val="0"/>
              <w:kinsoku/>
              <w:wordWrap/>
              <w:topLinePunct w:val="0"/>
              <w:autoSpaceDE/>
              <w:autoSpaceDN/>
              <w:bidi w:val="0"/>
              <w:adjustRightInd/>
              <w:snapToGrid/>
              <w:spacing w:line="560" w:lineRule="exact"/>
              <w:ind w:left="0" w:right="0" w:firstLine="0"/>
              <w:jc w:val="center"/>
              <w:textAlignment w:val="auto"/>
              <w:rPr>
                <w:rFonts w:ascii="宋体" w:hAnsi="宋体" w:cs="宋体"/>
                <w:color w:val="000000" w:themeColor="text1"/>
                <w:sz w:val="28"/>
                <w:szCs w:val="28"/>
                <w:highlight w:val="none"/>
                <w14:textFill>
                  <w14:solidFill>
                    <w14:schemeClr w14:val="tx1"/>
                  </w14:solidFill>
                </w14:textFill>
              </w:rPr>
            </w:pPr>
          </w:p>
        </w:tc>
        <w:tc>
          <w:tcPr>
            <w:tcW w:w="915" w:type="dxa"/>
            <w:tcBorders>
              <w:top w:val="single" w:color="000000" w:sz="4" w:space="0"/>
              <w:left w:val="single" w:color="000000" w:sz="4" w:space="0"/>
              <w:bottom w:val="single" w:color="000000" w:sz="4" w:space="0"/>
              <w:right w:val="single" w:color="000000" w:sz="4" w:space="0"/>
            </w:tcBorders>
            <w:vAlign w:val="center"/>
          </w:tcPr>
          <w:p w14:paraId="61AC25CB">
            <w:pPr>
              <w:pStyle w:val="93"/>
              <w:keepNext w:val="0"/>
              <w:keepLines w:val="0"/>
              <w:pageBreakBefore w:val="0"/>
              <w:widowControl w:val="0"/>
              <w:kinsoku/>
              <w:wordWrap/>
              <w:overflowPunct w:val="0"/>
              <w:topLinePunct w:val="0"/>
              <w:autoSpaceDE/>
              <w:autoSpaceDN/>
              <w:bidi w:val="0"/>
              <w:adjustRightInd/>
              <w:snapToGrid/>
              <w:spacing w:line="560" w:lineRule="exact"/>
              <w:ind w:left="0" w:right="0" w:firstLine="0"/>
              <w:jc w:val="center"/>
              <w:textAlignment w:val="auto"/>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学历</w:t>
            </w:r>
          </w:p>
        </w:tc>
        <w:tc>
          <w:tcPr>
            <w:tcW w:w="1412" w:type="dxa"/>
            <w:tcBorders>
              <w:top w:val="single" w:color="000000" w:sz="4" w:space="0"/>
              <w:left w:val="single" w:color="000000" w:sz="4" w:space="0"/>
              <w:bottom w:val="single" w:color="000000" w:sz="4" w:space="0"/>
              <w:right w:val="single" w:color="000000" w:sz="4" w:space="0"/>
            </w:tcBorders>
            <w:vAlign w:val="center"/>
          </w:tcPr>
          <w:p w14:paraId="2CD76757">
            <w:pPr>
              <w:keepNext w:val="0"/>
              <w:keepLines w:val="0"/>
              <w:pageBreakBefore w:val="0"/>
              <w:widowControl w:val="0"/>
              <w:kinsoku/>
              <w:wordWrap/>
              <w:topLinePunct w:val="0"/>
              <w:autoSpaceDE/>
              <w:autoSpaceDN/>
              <w:bidi w:val="0"/>
              <w:adjustRightInd/>
              <w:snapToGrid/>
              <w:spacing w:line="560" w:lineRule="exact"/>
              <w:ind w:left="0" w:right="0" w:firstLine="0"/>
              <w:jc w:val="center"/>
              <w:textAlignment w:val="auto"/>
              <w:rPr>
                <w:rFonts w:ascii="宋体" w:hAnsi="宋体" w:cs="宋体"/>
                <w:color w:val="000000" w:themeColor="text1"/>
                <w:sz w:val="28"/>
                <w:szCs w:val="28"/>
                <w:highlight w:val="none"/>
                <w14:textFill>
                  <w14:solidFill>
                    <w14:schemeClr w14:val="tx1"/>
                  </w14:solidFill>
                </w14:textFill>
              </w:rPr>
            </w:pPr>
          </w:p>
        </w:tc>
        <w:tc>
          <w:tcPr>
            <w:tcW w:w="2805" w:type="dxa"/>
            <w:gridSpan w:val="3"/>
            <w:tcBorders>
              <w:top w:val="single" w:color="000000" w:sz="4" w:space="0"/>
              <w:left w:val="single" w:color="000000" w:sz="4" w:space="0"/>
              <w:bottom w:val="single" w:color="000000" w:sz="4" w:space="0"/>
              <w:right w:val="single" w:color="000000" w:sz="4" w:space="0"/>
            </w:tcBorders>
            <w:vAlign w:val="center"/>
          </w:tcPr>
          <w:p w14:paraId="0147A80C">
            <w:pPr>
              <w:pStyle w:val="93"/>
              <w:keepNext w:val="0"/>
              <w:keepLines w:val="0"/>
              <w:pageBreakBefore w:val="0"/>
              <w:widowControl w:val="0"/>
              <w:kinsoku/>
              <w:wordWrap/>
              <w:overflowPunct w:val="0"/>
              <w:topLinePunct w:val="0"/>
              <w:autoSpaceDE/>
              <w:autoSpaceDN/>
              <w:bidi w:val="0"/>
              <w:adjustRightInd/>
              <w:snapToGrid/>
              <w:spacing w:line="560" w:lineRule="exact"/>
              <w:ind w:left="0" w:right="0" w:firstLine="0"/>
              <w:jc w:val="center"/>
              <w:textAlignment w:val="auto"/>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拟在本项目任职</w:t>
            </w:r>
          </w:p>
        </w:tc>
        <w:tc>
          <w:tcPr>
            <w:tcW w:w="2247" w:type="dxa"/>
            <w:tcBorders>
              <w:top w:val="single" w:color="000000" w:sz="4" w:space="0"/>
              <w:left w:val="single" w:color="000000" w:sz="4" w:space="0"/>
              <w:bottom w:val="single" w:color="000000" w:sz="4" w:space="0"/>
              <w:right w:val="single" w:color="000000" w:sz="4" w:space="0"/>
            </w:tcBorders>
            <w:vAlign w:val="center"/>
          </w:tcPr>
          <w:p w14:paraId="1DED8950">
            <w:pPr>
              <w:keepNext w:val="0"/>
              <w:keepLines w:val="0"/>
              <w:pageBreakBefore w:val="0"/>
              <w:widowControl w:val="0"/>
              <w:kinsoku/>
              <w:wordWrap/>
              <w:topLinePunct w:val="0"/>
              <w:autoSpaceDE/>
              <w:autoSpaceDN/>
              <w:bidi w:val="0"/>
              <w:adjustRightInd/>
              <w:snapToGrid/>
              <w:spacing w:line="560" w:lineRule="exact"/>
              <w:ind w:left="0" w:right="0" w:firstLine="0"/>
              <w:jc w:val="center"/>
              <w:textAlignment w:val="auto"/>
              <w:rPr>
                <w:rFonts w:ascii="宋体" w:hAnsi="宋体" w:cs="宋体"/>
                <w:color w:val="000000" w:themeColor="text1"/>
                <w:sz w:val="28"/>
                <w:szCs w:val="28"/>
                <w:highlight w:val="none"/>
                <w14:textFill>
                  <w14:solidFill>
                    <w14:schemeClr w14:val="tx1"/>
                  </w14:solidFill>
                </w14:textFill>
              </w:rPr>
            </w:pPr>
          </w:p>
        </w:tc>
      </w:tr>
      <w:tr w14:paraId="00C02C33">
        <w:tblPrEx>
          <w:tblCellMar>
            <w:top w:w="0" w:type="dxa"/>
            <w:left w:w="108" w:type="dxa"/>
            <w:bottom w:w="0" w:type="dxa"/>
            <w:right w:w="108" w:type="dxa"/>
          </w:tblCellMar>
        </w:tblPrEx>
        <w:trPr>
          <w:trHeight w:val="1002" w:hRule="exact"/>
          <w:jc w:val="center"/>
        </w:trPr>
        <w:tc>
          <w:tcPr>
            <w:tcW w:w="1096" w:type="dxa"/>
            <w:tcBorders>
              <w:top w:val="single" w:color="000000" w:sz="4" w:space="0"/>
              <w:left w:val="single" w:color="000000" w:sz="4" w:space="0"/>
              <w:bottom w:val="single" w:color="000000" w:sz="4" w:space="0"/>
              <w:right w:val="single" w:color="000000" w:sz="4" w:space="0"/>
            </w:tcBorders>
            <w:vAlign w:val="center"/>
          </w:tcPr>
          <w:p w14:paraId="49B407B0">
            <w:pPr>
              <w:pStyle w:val="93"/>
              <w:keepNext w:val="0"/>
              <w:keepLines w:val="0"/>
              <w:pageBreakBefore w:val="0"/>
              <w:widowControl w:val="0"/>
              <w:kinsoku/>
              <w:wordWrap/>
              <w:overflowPunct w:val="0"/>
              <w:topLinePunct w:val="0"/>
              <w:autoSpaceDE/>
              <w:autoSpaceDN/>
              <w:bidi w:val="0"/>
              <w:adjustRightInd/>
              <w:snapToGrid/>
              <w:spacing w:line="560" w:lineRule="exact"/>
              <w:ind w:left="0" w:right="0" w:firstLine="0"/>
              <w:jc w:val="center"/>
              <w:textAlignment w:val="auto"/>
              <w:rPr>
                <w:rFonts w:hint="eastAsia"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工作</w:t>
            </w:r>
          </w:p>
          <w:p w14:paraId="58C82DDE">
            <w:pPr>
              <w:pStyle w:val="93"/>
              <w:keepNext w:val="0"/>
              <w:keepLines w:val="0"/>
              <w:pageBreakBefore w:val="0"/>
              <w:widowControl w:val="0"/>
              <w:kinsoku/>
              <w:wordWrap/>
              <w:overflowPunct w:val="0"/>
              <w:topLinePunct w:val="0"/>
              <w:autoSpaceDE/>
              <w:autoSpaceDN/>
              <w:bidi w:val="0"/>
              <w:adjustRightInd/>
              <w:snapToGrid/>
              <w:spacing w:line="560" w:lineRule="exact"/>
              <w:ind w:left="0" w:right="0" w:firstLine="0"/>
              <w:jc w:val="center"/>
              <w:textAlignment w:val="auto"/>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年限</w:t>
            </w:r>
          </w:p>
        </w:tc>
        <w:tc>
          <w:tcPr>
            <w:tcW w:w="3947" w:type="dxa"/>
            <w:gridSpan w:val="4"/>
            <w:tcBorders>
              <w:top w:val="single" w:color="000000" w:sz="4" w:space="0"/>
              <w:left w:val="single" w:color="000000" w:sz="4" w:space="0"/>
              <w:bottom w:val="single" w:color="000000" w:sz="4" w:space="0"/>
              <w:right w:val="single" w:color="000000" w:sz="4" w:space="0"/>
            </w:tcBorders>
            <w:vAlign w:val="center"/>
          </w:tcPr>
          <w:p w14:paraId="4A752066">
            <w:pPr>
              <w:keepNext w:val="0"/>
              <w:keepLines w:val="0"/>
              <w:pageBreakBefore w:val="0"/>
              <w:widowControl w:val="0"/>
              <w:kinsoku/>
              <w:wordWrap/>
              <w:topLinePunct w:val="0"/>
              <w:autoSpaceDE/>
              <w:autoSpaceDN/>
              <w:bidi w:val="0"/>
              <w:adjustRightInd/>
              <w:snapToGrid/>
              <w:spacing w:line="560" w:lineRule="exact"/>
              <w:ind w:left="0" w:right="0" w:firstLine="0"/>
              <w:jc w:val="center"/>
              <w:textAlignment w:val="auto"/>
              <w:rPr>
                <w:rFonts w:ascii="宋体" w:hAnsi="宋体" w:cs="宋体"/>
                <w:color w:val="000000" w:themeColor="text1"/>
                <w:sz w:val="28"/>
                <w:szCs w:val="28"/>
                <w:highlight w:val="none"/>
                <w14:textFill>
                  <w14:solidFill>
                    <w14:schemeClr w14:val="tx1"/>
                  </w14:solidFill>
                </w14:textFill>
              </w:rPr>
            </w:pPr>
          </w:p>
        </w:tc>
        <w:tc>
          <w:tcPr>
            <w:tcW w:w="2805" w:type="dxa"/>
            <w:gridSpan w:val="3"/>
            <w:tcBorders>
              <w:top w:val="single" w:color="000000" w:sz="4" w:space="0"/>
              <w:left w:val="single" w:color="000000" w:sz="4" w:space="0"/>
              <w:bottom w:val="single" w:color="000000" w:sz="4" w:space="0"/>
              <w:right w:val="single" w:color="000000" w:sz="4" w:space="0"/>
            </w:tcBorders>
            <w:vAlign w:val="center"/>
          </w:tcPr>
          <w:p w14:paraId="55788A53">
            <w:pPr>
              <w:pStyle w:val="93"/>
              <w:keepNext w:val="0"/>
              <w:keepLines w:val="0"/>
              <w:pageBreakBefore w:val="0"/>
              <w:widowControl w:val="0"/>
              <w:kinsoku/>
              <w:wordWrap/>
              <w:overflowPunct w:val="0"/>
              <w:topLinePunct w:val="0"/>
              <w:autoSpaceDE/>
              <w:autoSpaceDN/>
              <w:bidi w:val="0"/>
              <w:adjustRightInd/>
              <w:snapToGrid/>
              <w:spacing w:line="560" w:lineRule="exact"/>
              <w:ind w:left="0" w:right="0" w:firstLine="0"/>
              <w:jc w:val="center"/>
              <w:textAlignment w:val="auto"/>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从事该岗位工作年限</w:t>
            </w:r>
          </w:p>
        </w:tc>
        <w:tc>
          <w:tcPr>
            <w:tcW w:w="2247" w:type="dxa"/>
            <w:tcBorders>
              <w:top w:val="single" w:color="000000" w:sz="4" w:space="0"/>
              <w:left w:val="single" w:color="000000" w:sz="4" w:space="0"/>
              <w:bottom w:val="single" w:color="000000" w:sz="4" w:space="0"/>
              <w:right w:val="single" w:color="000000" w:sz="4" w:space="0"/>
            </w:tcBorders>
            <w:vAlign w:val="center"/>
          </w:tcPr>
          <w:p w14:paraId="42A3A842">
            <w:pPr>
              <w:keepNext w:val="0"/>
              <w:keepLines w:val="0"/>
              <w:pageBreakBefore w:val="0"/>
              <w:widowControl w:val="0"/>
              <w:kinsoku/>
              <w:wordWrap/>
              <w:topLinePunct w:val="0"/>
              <w:autoSpaceDE/>
              <w:autoSpaceDN/>
              <w:bidi w:val="0"/>
              <w:adjustRightInd/>
              <w:snapToGrid/>
              <w:spacing w:line="560" w:lineRule="exact"/>
              <w:ind w:left="0" w:right="0" w:firstLine="0"/>
              <w:jc w:val="center"/>
              <w:textAlignment w:val="auto"/>
              <w:rPr>
                <w:rFonts w:ascii="宋体" w:hAnsi="宋体" w:cs="宋体"/>
                <w:color w:val="000000" w:themeColor="text1"/>
                <w:sz w:val="28"/>
                <w:szCs w:val="28"/>
                <w:highlight w:val="none"/>
                <w14:textFill>
                  <w14:solidFill>
                    <w14:schemeClr w14:val="tx1"/>
                  </w14:solidFill>
                </w14:textFill>
              </w:rPr>
            </w:pPr>
          </w:p>
        </w:tc>
      </w:tr>
      <w:tr w14:paraId="4E8A6889">
        <w:tblPrEx>
          <w:tblCellMar>
            <w:top w:w="0" w:type="dxa"/>
            <w:left w:w="108" w:type="dxa"/>
            <w:bottom w:w="0" w:type="dxa"/>
            <w:right w:w="108" w:type="dxa"/>
          </w:tblCellMar>
        </w:tblPrEx>
        <w:trPr>
          <w:trHeight w:val="1146" w:hRule="exact"/>
          <w:jc w:val="center"/>
        </w:trPr>
        <w:tc>
          <w:tcPr>
            <w:tcW w:w="1096" w:type="dxa"/>
            <w:tcBorders>
              <w:top w:val="single" w:color="000000" w:sz="4" w:space="0"/>
              <w:left w:val="single" w:color="000000" w:sz="4" w:space="0"/>
              <w:bottom w:val="single" w:color="000000" w:sz="4" w:space="0"/>
              <w:right w:val="single" w:color="000000" w:sz="4" w:space="0"/>
            </w:tcBorders>
            <w:vAlign w:val="center"/>
          </w:tcPr>
          <w:p w14:paraId="724ED0A3">
            <w:pPr>
              <w:pStyle w:val="93"/>
              <w:keepNext w:val="0"/>
              <w:keepLines w:val="0"/>
              <w:pageBreakBefore w:val="0"/>
              <w:widowControl w:val="0"/>
              <w:kinsoku/>
              <w:wordWrap/>
              <w:overflowPunct w:val="0"/>
              <w:topLinePunct w:val="0"/>
              <w:autoSpaceDE/>
              <w:autoSpaceDN/>
              <w:bidi w:val="0"/>
              <w:adjustRightInd/>
              <w:snapToGrid/>
              <w:spacing w:line="560" w:lineRule="exact"/>
              <w:ind w:left="0" w:right="0" w:firstLine="0"/>
              <w:jc w:val="center"/>
              <w:textAlignment w:val="auto"/>
              <w:rPr>
                <w:rFonts w:hint="eastAsia"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毕业</w:t>
            </w:r>
          </w:p>
          <w:p w14:paraId="2447102D">
            <w:pPr>
              <w:pStyle w:val="93"/>
              <w:keepNext w:val="0"/>
              <w:keepLines w:val="0"/>
              <w:pageBreakBefore w:val="0"/>
              <w:widowControl w:val="0"/>
              <w:kinsoku/>
              <w:wordWrap/>
              <w:overflowPunct w:val="0"/>
              <w:topLinePunct w:val="0"/>
              <w:autoSpaceDE/>
              <w:autoSpaceDN/>
              <w:bidi w:val="0"/>
              <w:adjustRightInd/>
              <w:snapToGrid/>
              <w:spacing w:line="560" w:lineRule="exact"/>
              <w:ind w:left="0" w:right="0" w:firstLine="0"/>
              <w:jc w:val="center"/>
              <w:textAlignment w:val="auto"/>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学校</w:t>
            </w:r>
          </w:p>
        </w:tc>
        <w:tc>
          <w:tcPr>
            <w:tcW w:w="8999" w:type="dxa"/>
            <w:gridSpan w:val="8"/>
            <w:tcBorders>
              <w:top w:val="single" w:color="000000" w:sz="4" w:space="0"/>
              <w:left w:val="single" w:color="000000" w:sz="4" w:space="0"/>
              <w:bottom w:val="single" w:color="000000" w:sz="4" w:space="0"/>
              <w:right w:val="single" w:color="000000" w:sz="4" w:space="0"/>
            </w:tcBorders>
            <w:vAlign w:val="center"/>
          </w:tcPr>
          <w:p w14:paraId="3C9261EA">
            <w:pPr>
              <w:pStyle w:val="93"/>
              <w:keepNext w:val="0"/>
              <w:keepLines w:val="0"/>
              <w:pageBreakBefore w:val="0"/>
              <w:widowControl w:val="0"/>
              <w:tabs>
                <w:tab w:val="left" w:pos="3357"/>
                <w:tab w:val="left" w:pos="4617"/>
              </w:tabs>
              <w:kinsoku/>
              <w:wordWrap/>
              <w:overflowPunct w:val="0"/>
              <w:topLinePunct w:val="0"/>
              <w:autoSpaceDE/>
              <w:autoSpaceDN/>
              <w:bidi w:val="0"/>
              <w:adjustRightInd/>
              <w:snapToGrid/>
              <w:spacing w:line="560" w:lineRule="exact"/>
              <w:ind w:left="0" w:right="0" w:firstLine="0"/>
              <w:jc w:val="center"/>
              <w:textAlignment w:val="auto"/>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年毕业于</w:t>
            </w:r>
            <w:r>
              <w:rPr>
                <w:rFonts w:hint="eastAsia" w:hAnsi="宋体" w:cs="宋体"/>
                <w:color w:val="000000" w:themeColor="text1"/>
                <w:sz w:val="28"/>
                <w:szCs w:val="28"/>
                <w:highlight w:val="none"/>
                <w14:textFill>
                  <w14:solidFill>
                    <w14:schemeClr w14:val="tx1"/>
                  </w14:solidFill>
                </w14:textFill>
              </w:rPr>
              <w:tab/>
            </w:r>
            <w:r>
              <w:rPr>
                <w:rFonts w:hint="eastAsia" w:hAnsi="宋体" w:cs="宋体"/>
                <w:color w:val="000000" w:themeColor="text1"/>
                <w:sz w:val="28"/>
                <w:szCs w:val="28"/>
                <w:highlight w:val="none"/>
                <w14:textFill>
                  <w14:solidFill>
                    <w14:schemeClr w14:val="tx1"/>
                  </w14:solidFill>
                </w14:textFill>
              </w:rPr>
              <w:t>学校</w:t>
            </w:r>
            <w:r>
              <w:rPr>
                <w:rFonts w:hint="eastAsia" w:hAnsi="宋体" w:cs="宋体"/>
                <w:color w:val="000000" w:themeColor="text1"/>
                <w:sz w:val="28"/>
                <w:szCs w:val="28"/>
                <w:highlight w:val="none"/>
                <w14:textFill>
                  <w14:solidFill>
                    <w14:schemeClr w14:val="tx1"/>
                  </w14:solidFill>
                </w14:textFill>
              </w:rPr>
              <w:tab/>
            </w:r>
            <w:r>
              <w:rPr>
                <w:rFonts w:hint="eastAsia" w:hAnsi="宋体" w:cs="宋体"/>
                <w:color w:val="000000" w:themeColor="text1"/>
                <w:sz w:val="28"/>
                <w:szCs w:val="28"/>
                <w:highlight w:val="none"/>
                <w:lang w:val="en-US" w:eastAsia="zh-CN"/>
                <w14:textFill>
                  <w14:solidFill>
                    <w14:schemeClr w14:val="tx1"/>
                  </w14:solidFill>
                </w14:textFill>
              </w:rPr>
              <w:t xml:space="preserve">   </w:t>
            </w:r>
            <w:r>
              <w:rPr>
                <w:rFonts w:hint="eastAsia" w:hAnsi="宋体" w:cs="宋体"/>
                <w:color w:val="000000" w:themeColor="text1"/>
                <w:sz w:val="28"/>
                <w:szCs w:val="28"/>
                <w:highlight w:val="none"/>
                <w14:textFill>
                  <w14:solidFill>
                    <w14:schemeClr w14:val="tx1"/>
                  </w14:solidFill>
                </w14:textFill>
              </w:rPr>
              <w:t>专业</w:t>
            </w:r>
          </w:p>
        </w:tc>
      </w:tr>
      <w:tr w14:paraId="31D0D512">
        <w:tblPrEx>
          <w:tblCellMar>
            <w:top w:w="0" w:type="dxa"/>
            <w:left w:w="108" w:type="dxa"/>
            <w:bottom w:w="0" w:type="dxa"/>
            <w:right w:w="108" w:type="dxa"/>
          </w:tblCellMar>
        </w:tblPrEx>
        <w:trPr>
          <w:trHeight w:val="642" w:hRule="atLeast"/>
          <w:jc w:val="center"/>
        </w:trPr>
        <w:tc>
          <w:tcPr>
            <w:tcW w:w="10095" w:type="dxa"/>
            <w:gridSpan w:val="9"/>
            <w:tcBorders>
              <w:top w:val="single" w:color="000000" w:sz="4" w:space="0"/>
              <w:left w:val="single" w:color="000000" w:sz="4" w:space="0"/>
              <w:bottom w:val="single" w:color="000000" w:sz="4" w:space="0"/>
              <w:right w:val="single" w:color="000000" w:sz="4" w:space="0"/>
            </w:tcBorders>
            <w:vAlign w:val="center"/>
          </w:tcPr>
          <w:p w14:paraId="29314154">
            <w:pPr>
              <w:pStyle w:val="93"/>
              <w:keepNext w:val="0"/>
              <w:keepLines w:val="0"/>
              <w:pageBreakBefore w:val="0"/>
              <w:widowControl w:val="0"/>
              <w:kinsoku/>
              <w:wordWrap/>
              <w:overflowPunct w:val="0"/>
              <w:topLinePunct w:val="0"/>
              <w:autoSpaceDE/>
              <w:autoSpaceDN/>
              <w:bidi w:val="0"/>
              <w:adjustRightInd/>
              <w:snapToGrid/>
              <w:spacing w:line="560" w:lineRule="exact"/>
              <w:ind w:left="0" w:right="0" w:firstLine="0"/>
              <w:jc w:val="center"/>
              <w:textAlignment w:val="auto"/>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主要工作经历</w:t>
            </w:r>
          </w:p>
        </w:tc>
      </w:tr>
      <w:tr w14:paraId="2D9CF778">
        <w:tblPrEx>
          <w:tblCellMar>
            <w:top w:w="0" w:type="dxa"/>
            <w:left w:w="108" w:type="dxa"/>
            <w:bottom w:w="0" w:type="dxa"/>
            <w:right w:w="108" w:type="dxa"/>
          </w:tblCellMar>
        </w:tblPrEx>
        <w:trPr>
          <w:trHeight w:val="662" w:hRule="exact"/>
          <w:jc w:val="center"/>
        </w:trPr>
        <w:tc>
          <w:tcPr>
            <w:tcW w:w="1826" w:type="dxa"/>
            <w:gridSpan w:val="2"/>
            <w:tcBorders>
              <w:top w:val="single" w:color="000000" w:sz="4" w:space="0"/>
              <w:left w:val="single" w:color="000000" w:sz="4" w:space="0"/>
              <w:bottom w:val="single" w:color="000000" w:sz="4" w:space="0"/>
              <w:right w:val="single" w:color="000000" w:sz="4" w:space="0"/>
            </w:tcBorders>
            <w:vAlign w:val="center"/>
          </w:tcPr>
          <w:p w14:paraId="63543331">
            <w:pPr>
              <w:pStyle w:val="93"/>
              <w:keepNext w:val="0"/>
              <w:keepLines w:val="0"/>
              <w:pageBreakBefore w:val="0"/>
              <w:widowControl w:val="0"/>
              <w:tabs>
                <w:tab w:val="left" w:pos="871"/>
              </w:tabs>
              <w:kinsoku/>
              <w:wordWrap/>
              <w:overflowPunct w:val="0"/>
              <w:topLinePunct w:val="0"/>
              <w:autoSpaceDE/>
              <w:autoSpaceDN/>
              <w:bidi w:val="0"/>
              <w:adjustRightInd/>
              <w:snapToGrid/>
              <w:spacing w:line="560" w:lineRule="exact"/>
              <w:ind w:left="0" w:right="0" w:firstLine="0"/>
              <w:jc w:val="center"/>
              <w:textAlignment w:val="auto"/>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时</w:t>
            </w:r>
            <w:r>
              <w:rPr>
                <w:rFonts w:hint="eastAsia" w:hAnsi="宋体" w:cs="宋体"/>
                <w:color w:val="000000" w:themeColor="text1"/>
                <w:sz w:val="28"/>
                <w:szCs w:val="28"/>
                <w:highlight w:val="none"/>
                <w14:textFill>
                  <w14:solidFill>
                    <w14:schemeClr w14:val="tx1"/>
                  </w14:solidFill>
                </w14:textFill>
              </w:rPr>
              <w:tab/>
            </w:r>
            <w:r>
              <w:rPr>
                <w:rFonts w:hint="eastAsia" w:hAnsi="宋体" w:cs="宋体"/>
                <w:color w:val="000000" w:themeColor="text1"/>
                <w:sz w:val="28"/>
                <w:szCs w:val="28"/>
                <w:highlight w:val="none"/>
                <w14:textFill>
                  <w14:solidFill>
                    <w14:schemeClr w14:val="tx1"/>
                  </w14:solidFill>
                </w14:textFill>
              </w:rPr>
              <w:t>间</w:t>
            </w:r>
          </w:p>
        </w:tc>
        <w:tc>
          <w:tcPr>
            <w:tcW w:w="4053" w:type="dxa"/>
            <w:gridSpan w:val="4"/>
            <w:tcBorders>
              <w:top w:val="single" w:color="000000" w:sz="4" w:space="0"/>
              <w:left w:val="single" w:color="000000" w:sz="4" w:space="0"/>
              <w:bottom w:val="single" w:color="000000" w:sz="4" w:space="0"/>
              <w:right w:val="single" w:color="000000" w:sz="4" w:space="0"/>
            </w:tcBorders>
            <w:vAlign w:val="center"/>
          </w:tcPr>
          <w:p w14:paraId="28D157DB">
            <w:pPr>
              <w:pStyle w:val="93"/>
              <w:keepNext w:val="0"/>
              <w:keepLines w:val="0"/>
              <w:pageBreakBefore w:val="0"/>
              <w:widowControl w:val="0"/>
              <w:kinsoku/>
              <w:wordWrap/>
              <w:overflowPunct w:val="0"/>
              <w:topLinePunct w:val="0"/>
              <w:autoSpaceDE/>
              <w:autoSpaceDN/>
              <w:bidi w:val="0"/>
              <w:adjustRightInd/>
              <w:snapToGrid/>
              <w:spacing w:line="560" w:lineRule="exact"/>
              <w:ind w:left="0" w:right="0" w:firstLine="0"/>
              <w:jc w:val="center"/>
              <w:textAlignment w:val="auto"/>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参加过的类似项目</w:t>
            </w:r>
          </w:p>
        </w:tc>
        <w:tc>
          <w:tcPr>
            <w:tcW w:w="1495" w:type="dxa"/>
            <w:tcBorders>
              <w:top w:val="single" w:color="000000" w:sz="4" w:space="0"/>
              <w:left w:val="single" w:color="000000" w:sz="4" w:space="0"/>
              <w:bottom w:val="single" w:color="000000" w:sz="4" w:space="0"/>
              <w:right w:val="single" w:color="000000" w:sz="4" w:space="0"/>
            </w:tcBorders>
            <w:vAlign w:val="center"/>
          </w:tcPr>
          <w:p w14:paraId="743210A4">
            <w:pPr>
              <w:pStyle w:val="93"/>
              <w:keepNext w:val="0"/>
              <w:keepLines w:val="0"/>
              <w:pageBreakBefore w:val="0"/>
              <w:widowControl w:val="0"/>
              <w:kinsoku/>
              <w:wordWrap/>
              <w:overflowPunct w:val="0"/>
              <w:topLinePunct w:val="0"/>
              <w:autoSpaceDE/>
              <w:autoSpaceDN/>
              <w:bidi w:val="0"/>
              <w:adjustRightInd/>
              <w:snapToGrid/>
              <w:spacing w:line="560" w:lineRule="exact"/>
              <w:ind w:left="0" w:right="0" w:firstLine="0"/>
              <w:jc w:val="center"/>
              <w:textAlignment w:val="auto"/>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担任职务</w:t>
            </w:r>
          </w:p>
        </w:tc>
        <w:tc>
          <w:tcPr>
            <w:tcW w:w="2721" w:type="dxa"/>
            <w:gridSpan w:val="2"/>
            <w:tcBorders>
              <w:top w:val="single" w:color="000000" w:sz="4" w:space="0"/>
              <w:left w:val="single" w:color="000000" w:sz="4" w:space="0"/>
              <w:bottom w:val="single" w:color="000000" w:sz="4" w:space="0"/>
              <w:right w:val="single" w:color="000000" w:sz="4" w:space="0"/>
            </w:tcBorders>
            <w:vAlign w:val="center"/>
          </w:tcPr>
          <w:p w14:paraId="08947486">
            <w:pPr>
              <w:pStyle w:val="93"/>
              <w:keepNext w:val="0"/>
              <w:keepLines w:val="0"/>
              <w:pageBreakBefore w:val="0"/>
              <w:widowControl w:val="0"/>
              <w:kinsoku/>
              <w:wordWrap/>
              <w:overflowPunct w:val="0"/>
              <w:topLinePunct w:val="0"/>
              <w:autoSpaceDE/>
              <w:autoSpaceDN/>
              <w:bidi w:val="0"/>
              <w:adjustRightInd/>
              <w:snapToGrid/>
              <w:spacing w:line="560" w:lineRule="exact"/>
              <w:ind w:left="0" w:right="0" w:firstLine="0"/>
              <w:jc w:val="center"/>
              <w:textAlignment w:val="auto"/>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lang w:eastAsia="zh-CN"/>
                <w14:textFill>
                  <w14:solidFill>
                    <w14:schemeClr w14:val="tx1"/>
                  </w14:solidFill>
                </w14:textFill>
              </w:rPr>
              <w:t>采购</w:t>
            </w:r>
            <w:r>
              <w:rPr>
                <w:rFonts w:hint="eastAsia" w:hAnsi="宋体" w:cs="宋体"/>
                <w:color w:val="000000" w:themeColor="text1"/>
                <w:sz w:val="28"/>
                <w:szCs w:val="28"/>
                <w:highlight w:val="none"/>
                <w14:textFill>
                  <w14:solidFill>
                    <w14:schemeClr w14:val="tx1"/>
                  </w14:solidFill>
                </w14:textFill>
              </w:rPr>
              <w:t>人</w:t>
            </w:r>
          </w:p>
        </w:tc>
      </w:tr>
      <w:tr w14:paraId="50082AA4">
        <w:tblPrEx>
          <w:tblCellMar>
            <w:top w:w="0" w:type="dxa"/>
            <w:left w:w="108" w:type="dxa"/>
            <w:bottom w:w="0" w:type="dxa"/>
            <w:right w:w="108" w:type="dxa"/>
          </w:tblCellMar>
        </w:tblPrEx>
        <w:trPr>
          <w:trHeight w:val="648" w:hRule="exact"/>
          <w:jc w:val="center"/>
        </w:trPr>
        <w:tc>
          <w:tcPr>
            <w:tcW w:w="1826" w:type="dxa"/>
            <w:gridSpan w:val="2"/>
            <w:tcBorders>
              <w:top w:val="single" w:color="000000" w:sz="4" w:space="0"/>
              <w:left w:val="single" w:color="000000" w:sz="4" w:space="0"/>
              <w:bottom w:val="single" w:color="000000" w:sz="4" w:space="0"/>
              <w:right w:val="single" w:color="000000" w:sz="4" w:space="0"/>
            </w:tcBorders>
            <w:vAlign w:val="center"/>
          </w:tcPr>
          <w:p w14:paraId="3D829C96">
            <w:pPr>
              <w:keepNext w:val="0"/>
              <w:keepLines w:val="0"/>
              <w:pageBreakBefore w:val="0"/>
              <w:widowControl w:val="0"/>
              <w:kinsoku/>
              <w:wordWrap/>
              <w:topLinePunct w:val="0"/>
              <w:autoSpaceDE/>
              <w:autoSpaceDN/>
              <w:bidi w:val="0"/>
              <w:adjustRightInd/>
              <w:snapToGrid/>
              <w:spacing w:line="560" w:lineRule="exact"/>
              <w:ind w:left="0" w:right="0" w:firstLine="0"/>
              <w:jc w:val="center"/>
              <w:textAlignment w:val="auto"/>
              <w:rPr>
                <w:rFonts w:ascii="宋体" w:hAnsi="宋体" w:cs="宋体"/>
                <w:color w:val="000000" w:themeColor="text1"/>
                <w:sz w:val="28"/>
                <w:szCs w:val="28"/>
                <w:highlight w:val="none"/>
                <w14:textFill>
                  <w14:solidFill>
                    <w14:schemeClr w14:val="tx1"/>
                  </w14:solidFill>
                </w14:textFill>
              </w:rPr>
            </w:pPr>
          </w:p>
        </w:tc>
        <w:tc>
          <w:tcPr>
            <w:tcW w:w="4053" w:type="dxa"/>
            <w:gridSpan w:val="4"/>
            <w:tcBorders>
              <w:top w:val="single" w:color="000000" w:sz="4" w:space="0"/>
              <w:left w:val="single" w:color="000000" w:sz="4" w:space="0"/>
              <w:bottom w:val="single" w:color="000000" w:sz="4" w:space="0"/>
              <w:right w:val="single" w:color="000000" w:sz="4" w:space="0"/>
            </w:tcBorders>
            <w:vAlign w:val="center"/>
          </w:tcPr>
          <w:p w14:paraId="27D517DF">
            <w:pPr>
              <w:keepNext w:val="0"/>
              <w:keepLines w:val="0"/>
              <w:pageBreakBefore w:val="0"/>
              <w:widowControl w:val="0"/>
              <w:kinsoku/>
              <w:wordWrap/>
              <w:topLinePunct w:val="0"/>
              <w:autoSpaceDE/>
              <w:autoSpaceDN/>
              <w:bidi w:val="0"/>
              <w:adjustRightInd/>
              <w:snapToGrid/>
              <w:spacing w:line="560" w:lineRule="exact"/>
              <w:ind w:left="0" w:right="0" w:firstLine="0"/>
              <w:jc w:val="center"/>
              <w:textAlignment w:val="auto"/>
              <w:rPr>
                <w:rFonts w:ascii="宋体" w:hAnsi="宋体" w:cs="宋体"/>
                <w:color w:val="000000" w:themeColor="text1"/>
                <w:sz w:val="28"/>
                <w:szCs w:val="28"/>
                <w:highlight w:val="none"/>
                <w14:textFill>
                  <w14:solidFill>
                    <w14:schemeClr w14:val="tx1"/>
                  </w14:solidFill>
                </w14:textFill>
              </w:rPr>
            </w:pPr>
          </w:p>
        </w:tc>
        <w:tc>
          <w:tcPr>
            <w:tcW w:w="1495" w:type="dxa"/>
            <w:tcBorders>
              <w:top w:val="single" w:color="000000" w:sz="4" w:space="0"/>
              <w:left w:val="single" w:color="000000" w:sz="4" w:space="0"/>
              <w:bottom w:val="single" w:color="000000" w:sz="4" w:space="0"/>
              <w:right w:val="single" w:color="000000" w:sz="4" w:space="0"/>
            </w:tcBorders>
            <w:vAlign w:val="center"/>
          </w:tcPr>
          <w:p w14:paraId="31331AE7">
            <w:pPr>
              <w:keepNext w:val="0"/>
              <w:keepLines w:val="0"/>
              <w:pageBreakBefore w:val="0"/>
              <w:widowControl w:val="0"/>
              <w:kinsoku/>
              <w:wordWrap/>
              <w:topLinePunct w:val="0"/>
              <w:autoSpaceDE/>
              <w:autoSpaceDN/>
              <w:bidi w:val="0"/>
              <w:adjustRightInd/>
              <w:snapToGrid/>
              <w:spacing w:line="560" w:lineRule="exact"/>
              <w:ind w:left="0" w:right="0" w:firstLine="0"/>
              <w:jc w:val="center"/>
              <w:textAlignment w:val="auto"/>
              <w:rPr>
                <w:rFonts w:ascii="宋体" w:hAnsi="宋体" w:cs="宋体"/>
                <w:color w:val="000000" w:themeColor="text1"/>
                <w:sz w:val="28"/>
                <w:szCs w:val="28"/>
                <w:highlight w:val="none"/>
                <w14:textFill>
                  <w14:solidFill>
                    <w14:schemeClr w14:val="tx1"/>
                  </w14:solidFill>
                </w14:textFill>
              </w:rPr>
            </w:pPr>
          </w:p>
        </w:tc>
        <w:tc>
          <w:tcPr>
            <w:tcW w:w="2721" w:type="dxa"/>
            <w:gridSpan w:val="2"/>
            <w:tcBorders>
              <w:top w:val="single" w:color="000000" w:sz="4" w:space="0"/>
              <w:left w:val="single" w:color="000000" w:sz="4" w:space="0"/>
              <w:bottom w:val="single" w:color="000000" w:sz="4" w:space="0"/>
              <w:right w:val="single" w:color="000000" w:sz="4" w:space="0"/>
            </w:tcBorders>
            <w:vAlign w:val="center"/>
          </w:tcPr>
          <w:p w14:paraId="183529DB">
            <w:pPr>
              <w:keepNext w:val="0"/>
              <w:keepLines w:val="0"/>
              <w:pageBreakBefore w:val="0"/>
              <w:widowControl w:val="0"/>
              <w:kinsoku/>
              <w:wordWrap/>
              <w:topLinePunct w:val="0"/>
              <w:autoSpaceDE/>
              <w:autoSpaceDN/>
              <w:bidi w:val="0"/>
              <w:adjustRightInd/>
              <w:snapToGrid/>
              <w:spacing w:line="560" w:lineRule="exact"/>
              <w:ind w:left="0" w:right="0" w:firstLine="0"/>
              <w:jc w:val="center"/>
              <w:textAlignment w:val="auto"/>
              <w:rPr>
                <w:rFonts w:ascii="宋体" w:hAnsi="宋体" w:cs="宋体"/>
                <w:color w:val="000000" w:themeColor="text1"/>
                <w:sz w:val="28"/>
                <w:szCs w:val="28"/>
                <w:highlight w:val="none"/>
                <w14:textFill>
                  <w14:solidFill>
                    <w14:schemeClr w14:val="tx1"/>
                  </w14:solidFill>
                </w14:textFill>
              </w:rPr>
            </w:pPr>
          </w:p>
        </w:tc>
      </w:tr>
      <w:tr w14:paraId="1065FF6C">
        <w:tblPrEx>
          <w:tblCellMar>
            <w:top w:w="0" w:type="dxa"/>
            <w:left w:w="108" w:type="dxa"/>
            <w:bottom w:w="0" w:type="dxa"/>
            <w:right w:w="108" w:type="dxa"/>
          </w:tblCellMar>
        </w:tblPrEx>
        <w:trPr>
          <w:trHeight w:val="647" w:hRule="exact"/>
          <w:jc w:val="center"/>
        </w:trPr>
        <w:tc>
          <w:tcPr>
            <w:tcW w:w="1826" w:type="dxa"/>
            <w:gridSpan w:val="2"/>
            <w:tcBorders>
              <w:top w:val="single" w:color="000000" w:sz="4" w:space="0"/>
              <w:left w:val="single" w:color="000000" w:sz="4" w:space="0"/>
              <w:bottom w:val="single" w:color="000000" w:sz="4" w:space="0"/>
              <w:right w:val="single" w:color="000000" w:sz="4" w:space="0"/>
            </w:tcBorders>
            <w:vAlign w:val="center"/>
          </w:tcPr>
          <w:p w14:paraId="286DDCAE">
            <w:pPr>
              <w:keepNext w:val="0"/>
              <w:keepLines w:val="0"/>
              <w:pageBreakBefore w:val="0"/>
              <w:widowControl w:val="0"/>
              <w:kinsoku/>
              <w:wordWrap/>
              <w:topLinePunct w:val="0"/>
              <w:autoSpaceDE/>
              <w:autoSpaceDN/>
              <w:bidi w:val="0"/>
              <w:adjustRightInd/>
              <w:snapToGrid/>
              <w:spacing w:line="560" w:lineRule="exact"/>
              <w:ind w:left="0" w:right="0" w:firstLine="0"/>
              <w:jc w:val="center"/>
              <w:textAlignment w:val="auto"/>
              <w:rPr>
                <w:rFonts w:ascii="宋体" w:hAnsi="宋体" w:cs="宋体"/>
                <w:color w:val="000000" w:themeColor="text1"/>
                <w:sz w:val="28"/>
                <w:szCs w:val="28"/>
                <w:highlight w:val="none"/>
                <w14:textFill>
                  <w14:solidFill>
                    <w14:schemeClr w14:val="tx1"/>
                  </w14:solidFill>
                </w14:textFill>
              </w:rPr>
            </w:pPr>
          </w:p>
        </w:tc>
        <w:tc>
          <w:tcPr>
            <w:tcW w:w="4053" w:type="dxa"/>
            <w:gridSpan w:val="4"/>
            <w:tcBorders>
              <w:top w:val="single" w:color="000000" w:sz="4" w:space="0"/>
              <w:left w:val="single" w:color="000000" w:sz="4" w:space="0"/>
              <w:bottom w:val="single" w:color="000000" w:sz="4" w:space="0"/>
              <w:right w:val="single" w:color="000000" w:sz="4" w:space="0"/>
            </w:tcBorders>
            <w:vAlign w:val="center"/>
          </w:tcPr>
          <w:p w14:paraId="7CC20343">
            <w:pPr>
              <w:keepNext w:val="0"/>
              <w:keepLines w:val="0"/>
              <w:pageBreakBefore w:val="0"/>
              <w:widowControl w:val="0"/>
              <w:kinsoku/>
              <w:wordWrap/>
              <w:topLinePunct w:val="0"/>
              <w:autoSpaceDE/>
              <w:autoSpaceDN/>
              <w:bidi w:val="0"/>
              <w:adjustRightInd/>
              <w:snapToGrid/>
              <w:spacing w:line="560" w:lineRule="exact"/>
              <w:ind w:left="0" w:right="0" w:firstLine="0"/>
              <w:jc w:val="center"/>
              <w:textAlignment w:val="auto"/>
              <w:rPr>
                <w:rFonts w:ascii="宋体" w:hAnsi="宋体" w:cs="宋体"/>
                <w:color w:val="000000" w:themeColor="text1"/>
                <w:sz w:val="28"/>
                <w:szCs w:val="28"/>
                <w:highlight w:val="none"/>
                <w14:textFill>
                  <w14:solidFill>
                    <w14:schemeClr w14:val="tx1"/>
                  </w14:solidFill>
                </w14:textFill>
              </w:rPr>
            </w:pPr>
          </w:p>
        </w:tc>
        <w:tc>
          <w:tcPr>
            <w:tcW w:w="1495" w:type="dxa"/>
            <w:tcBorders>
              <w:top w:val="single" w:color="000000" w:sz="4" w:space="0"/>
              <w:left w:val="single" w:color="000000" w:sz="4" w:space="0"/>
              <w:bottom w:val="single" w:color="000000" w:sz="4" w:space="0"/>
              <w:right w:val="single" w:color="000000" w:sz="4" w:space="0"/>
            </w:tcBorders>
            <w:vAlign w:val="center"/>
          </w:tcPr>
          <w:p w14:paraId="40A69989">
            <w:pPr>
              <w:keepNext w:val="0"/>
              <w:keepLines w:val="0"/>
              <w:pageBreakBefore w:val="0"/>
              <w:widowControl w:val="0"/>
              <w:kinsoku/>
              <w:wordWrap/>
              <w:topLinePunct w:val="0"/>
              <w:autoSpaceDE/>
              <w:autoSpaceDN/>
              <w:bidi w:val="0"/>
              <w:adjustRightInd/>
              <w:snapToGrid/>
              <w:spacing w:line="560" w:lineRule="exact"/>
              <w:ind w:left="0" w:right="0" w:firstLine="0"/>
              <w:jc w:val="center"/>
              <w:textAlignment w:val="auto"/>
              <w:rPr>
                <w:rFonts w:ascii="宋体" w:hAnsi="宋体" w:cs="宋体"/>
                <w:color w:val="000000" w:themeColor="text1"/>
                <w:sz w:val="28"/>
                <w:szCs w:val="28"/>
                <w:highlight w:val="none"/>
                <w14:textFill>
                  <w14:solidFill>
                    <w14:schemeClr w14:val="tx1"/>
                  </w14:solidFill>
                </w14:textFill>
              </w:rPr>
            </w:pPr>
          </w:p>
        </w:tc>
        <w:tc>
          <w:tcPr>
            <w:tcW w:w="2721" w:type="dxa"/>
            <w:gridSpan w:val="2"/>
            <w:tcBorders>
              <w:top w:val="single" w:color="000000" w:sz="4" w:space="0"/>
              <w:left w:val="single" w:color="000000" w:sz="4" w:space="0"/>
              <w:bottom w:val="single" w:color="000000" w:sz="4" w:space="0"/>
              <w:right w:val="single" w:color="000000" w:sz="4" w:space="0"/>
            </w:tcBorders>
            <w:vAlign w:val="center"/>
          </w:tcPr>
          <w:p w14:paraId="70DB8BE4">
            <w:pPr>
              <w:keepNext w:val="0"/>
              <w:keepLines w:val="0"/>
              <w:pageBreakBefore w:val="0"/>
              <w:widowControl w:val="0"/>
              <w:kinsoku/>
              <w:wordWrap/>
              <w:topLinePunct w:val="0"/>
              <w:autoSpaceDE/>
              <w:autoSpaceDN/>
              <w:bidi w:val="0"/>
              <w:adjustRightInd/>
              <w:snapToGrid/>
              <w:spacing w:line="560" w:lineRule="exact"/>
              <w:ind w:left="0" w:right="0" w:firstLine="0"/>
              <w:jc w:val="center"/>
              <w:textAlignment w:val="auto"/>
              <w:rPr>
                <w:rFonts w:ascii="宋体" w:hAnsi="宋体" w:cs="宋体"/>
                <w:color w:val="000000" w:themeColor="text1"/>
                <w:sz w:val="28"/>
                <w:szCs w:val="28"/>
                <w:highlight w:val="none"/>
                <w14:textFill>
                  <w14:solidFill>
                    <w14:schemeClr w14:val="tx1"/>
                  </w14:solidFill>
                </w14:textFill>
              </w:rPr>
            </w:pPr>
          </w:p>
        </w:tc>
      </w:tr>
      <w:tr w14:paraId="4F4E3F57">
        <w:tblPrEx>
          <w:tblCellMar>
            <w:top w:w="0" w:type="dxa"/>
            <w:left w:w="108" w:type="dxa"/>
            <w:bottom w:w="0" w:type="dxa"/>
            <w:right w:w="108" w:type="dxa"/>
          </w:tblCellMar>
        </w:tblPrEx>
        <w:trPr>
          <w:trHeight w:val="647" w:hRule="exact"/>
          <w:jc w:val="center"/>
        </w:trPr>
        <w:tc>
          <w:tcPr>
            <w:tcW w:w="1826" w:type="dxa"/>
            <w:gridSpan w:val="2"/>
            <w:tcBorders>
              <w:top w:val="single" w:color="000000" w:sz="4" w:space="0"/>
              <w:left w:val="single" w:color="000000" w:sz="4" w:space="0"/>
              <w:bottom w:val="single" w:color="000000" w:sz="4" w:space="0"/>
              <w:right w:val="single" w:color="000000" w:sz="4" w:space="0"/>
            </w:tcBorders>
            <w:vAlign w:val="center"/>
          </w:tcPr>
          <w:p w14:paraId="054AE7D8">
            <w:pPr>
              <w:keepNext w:val="0"/>
              <w:keepLines w:val="0"/>
              <w:pageBreakBefore w:val="0"/>
              <w:widowControl w:val="0"/>
              <w:kinsoku/>
              <w:wordWrap/>
              <w:topLinePunct w:val="0"/>
              <w:autoSpaceDE/>
              <w:autoSpaceDN/>
              <w:bidi w:val="0"/>
              <w:adjustRightInd/>
              <w:snapToGrid/>
              <w:spacing w:line="560" w:lineRule="exact"/>
              <w:ind w:left="0" w:right="0" w:firstLine="0"/>
              <w:jc w:val="center"/>
              <w:textAlignment w:val="auto"/>
              <w:rPr>
                <w:rFonts w:ascii="宋体" w:hAnsi="宋体" w:cs="宋体"/>
                <w:color w:val="000000" w:themeColor="text1"/>
                <w:sz w:val="28"/>
                <w:szCs w:val="28"/>
                <w:highlight w:val="none"/>
                <w14:textFill>
                  <w14:solidFill>
                    <w14:schemeClr w14:val="tx1"/>
                  </w14:solidFill>
                </w14:textFill>
              </w:rPr>
            </w:pPr>
          </w:p>
        </w:tc>
        <w:tc>
          <w:tcPr>
            <w:tcW w:w="4053" w:type="dxa"/>
            <w:gridSpan w:val="4"/>
            <w:tcBorders>
              <w:top w:val="single" w:color="000000" w:sz="4" w:space="0"/>
              <w:left w:val="single" w:color="000000" w:sz="4" w:space="0"/>
              <w:bottom w:val="single" w:color="000000" w:sz="4" w:space="0"/>
              <w:right w:val="single" w:color="000000" w:sz="4" w:space="0"/>
            </w:tcBorders>
            <w:vAlign w:val="center"/>
          </w:tcPr>
          <w:p w14:paraId="5D654F66">
            <w:pPr>
              <w:keepNext w:val="0"/>
              <w:keepLines w:val="0"/>
              <w:pageBreakBefore w:val="0"/>
              <w:widowControl w:val="0"/>
              <w:kinsoku/>
              <w:wordWrap/>
              <w:topLinePunct w:val="0"/>
              <w:autoSpaceDE/>
              <w:autoSpaceDN/>
              <w:bidi w:val="0"/>
              <w:adjustRightInd/>
              <w:snapToGrid/>
              <w:spacing w:line="560" w:lineRule="exact"/>
              <w:ind w:left="0" w:right="0" w:firstLine="0"/>
              <w:jc w:val="center"/>
              <w:textAlignment w:val="auto"/>
              <w:rPr>
                <w:rFonts w:ascii="宋体" w:hAnsi="宋体" w:cs="宋体"/>
                <w:color w:val="000000" w:themeColor="text1"/>
                <w:sz w:val="28"/>
                <w:szCs w:val="28"/>
                <w:highlight w:val="none"/>
                <w14:textFill>
                  <w14:solidFill>
                    <w14:schemeClr w14:val="tx1"/>
                  </w14:solidFill>
                </w14:textFill>
              </w:rPr>
            </w:pPr>
          </w:p>
        </w:tc>
        <w:tc>
          <w:tcPr>
            <w:tcW w:w="1495" w:type="dxa"/>
            <w:tcBorders>
              <w:top w:val="single" w:color="000000" w:sz="4" w:space="0"/>
              <w:left w:val="single" w:color="000000" w:sz="4" w:space="0"/>
              <w:bottom w:val="single" w:color="000000" w:sz="4" w:space="0"/>
              <w:right w:val="single" w:color="000000" w:sz="4" w:space="0"/>
            </w:tcBorders>
            <w:vAlign w:val="center"/>
          </w:tcPr>
          <w:p w14:paraId="4B970442">
            <w:pPr>
              <w:keepNext w:val="0"/>
              <w:keepLines w:val="0"/>
              <w:pageBreakBefore w:val="0"/>
              <w:widowControl w:val="0"/>
              <w:kinsoku/>
              <w:wordWrap/>
              <w:topLinePunct w:val="0"/>
              <w:autoSpaceDE/>
              <w:autoSpaceDN/>
              <w:bidi w:val="0"/>
              <w:adjustRightInd/>
              <w:snapToGrid/>
              <w:spacing w:line="560" w:lineRule="exact"/>
              <w:ind w:left="0" w:right="0" w:firstLine="0"/>
              <w:jc w:val="center"/>
              <w:textAlignment w:val="auto"/>
              <w:rPr>
                <w:rFonts w:ascii="宋体" w:hAnsi="宋体" w:cs="宋体"/>
                <w:color w:val="000000" w:themeColor="text1"/>
                <w:sz w:val="28"/>
                <w:szCs w:val="28"/>
                <w:highlight w:val="none"/>
                <w14:textFill>
                  <w14:solidFill>
                    <w14:schemeClr w14:val="tx1"/>
                  </w14:solidFill>
                </w14:textFill>
              </w:rPr>
            </w:pPr>
          </w:p>
        </w:tc>
        <w:tc>
          <w:tcPr>
            <w:tcW w:w="2721" w:type="dxa"/>
            <w:gridSpan w:val="2"/>
            <w:tcBorders>
              <w:top w:val="single" w:color="000000" w:sz="4" w:space="0"/>
              <w:left w:val="single" w:color="000000" w:sz="4" w:space="0"/>
              <w:bottom w:val="single" w:color="000000" w:sz="4" w:space="0"/>
              <w:right w:val="single" w:color="000000" w:sz="4" w:space="0"/>
            </w:tcBorders>
            <w:vAlign w:val="center"/>
          </w:tcPr>
          <w:p w14:paraId="05627447">
            <w:pPr>
              <w:keepNext w:val="0"/>
              <w:keepLines w:val="0"/>
              <w:pageBreakBefore w:val="0"/>
              <w:widowControl w:val="0"/>
              <w:kinsoku/>
              <w:wordWrap/>
              <w:topLinePunct w:val="0"/>
              <w:autoSpaceDE/>
              <w:autoSpaceDN/>
              <w:bidi w:val="0"/>
              <w:adjustRightInd/>
              <w:snapToGrid/>
              <w:spacing w:line="560" w:lineRule="exact"/>
              <w:ind w:left="0" w:right="0" w:firstLine="0"/>
              <w:jc w:val="center"/>
              <w:textAlignment w:val="auto"/>
              <w:rPr>
                <w:rFonts w:ascii="宋体" w:hAnsi="宋体" w:cs="宋体"/>
                <w:color w:val="000000" w:themeColor="text1"/>
                <w:sz w:val="28"/>
                <w:szCs w:val="28"/>
                <w:highlight w:val="none"/>
                <w14:textFill>
                  <w14:solidFill>
                    <w14:schemeClr w14:val="tx1"/>
                  </w14:solidFill>
                </w14:textFill>
              </w:rPr>
            </w:pPr>
          </w:p>
        </w:tc>
      </w:tr>
      <w:tr w14:paraId="1E758C90">
        <w:tblPrEx>
          <w:tblCellMar>
            <w:top w:w="0" w:type="dxa"/>
            <w:left w:w="108" w:type="dxa"/>
            <w:bottom w:w="0" w:type="dxa"/>
            <w:right w:w="108" w:type="dxa"/>
          </w:tblCellMar>
        </w:tblPrEx>
        <w:trPr>
          <w:trHeight w:val="648" w:hRule="exact"/>
          <w:jc w:val="center"/>
        </w:trPr>
        <w:tc>
          <w:tcPr>
            <w:tcW w:w="1826" w:type="dxa"/>
            <w:gridSpan w:val="2"/>
            <w:tcBorders>
              <w:top w:val="single" w:color="000000" w:sz="4" w:space="0"/>
              <w:left w:val="single" w:color="000000" w:sz="4" w:space="0"/>
              <w:bottom w:val="single" w:color="000000" w:sz="4" w:space="0"/>
              <w:right w:val="single" w:color="000000" w:sz="4" w:space="0"/>
            </w:tcBorders>
            <w:vAlign w:val="center"/>
          </w:tcPr>
          <w:p w14:paraId="1FA223B4">
            <w:pPr>
              <w:keepNext w:val="0"/>
              <w:keepLines w:val="0"/>
              <w:pageBreakBefore w:val="0"/>
              <w:widowControl w:val="0"/>
              <w:kinsoku/>
              <w:wordWrap/>
              <w:topLinePunct w:val="0"/>
              <w:autoSpaceDE/>
              <w:autoSpaceDN/>
              <w:bidi w:val="0"/>
              <w:adjustRightInd/>
              <w:snapToGrid/>
              <w:spacing w:line="560" w:lineRule="exact"/>
              <w:ind w:left="0" w:right="0" w:firstLine="0"/>
              <w:jc w:val="center"/>
              <w:textAlignment w:val="auto"/>
              <w:rPr>
                <w:rFonts w:ascii="宋体" w:hAnsi="宋体" w:cs="宋体"/>
                <w:color w:val="000000" w:themeColor="text1"/>
                <w:sz w:val="28"/>
                <w:szCs w:val="28"/>
                <w:highlight w:val="none"/>
                <w14:textFill>
                  <w14:solidFill>
                    <w14:schemeClr w14:val="tx1"/>
                  </w14:solidFill>
                </w14:textFill>
              </w:rPr>
            </w:pPr>
          </w:p>
        </w:tc>
        <w:tc>
          <w:tcPr>
            <w:tcW w:w="4053" w:type="dxa"/>
            <w:gridSpan w:val="4"/>
            <w:tcBorders>
              <w:top w:val="single" w:color="000000" w:sz="4" w:space="0"/>
              <w:left w:val="single" w:color="000000" w:sz="4" w:space="0"/>
              <w:bottom w:val="single" w:color="000000" w:sz="4" w:space="0"/>
              <w:right w:val="single" w:color="000000" w:sz="4" w:space="0"/>
            </w:tcBorders>
            <w:vAlign w:val="center"/>
          </w:tcPr>
          <w:p w14:paraId="37106C8B">
            <w:pPr>
              <w:keepNext w:val="0"/>
              <w:keepLines w:val="0"/>
              <w:pageBreakBefore w:val="0"/>
              <w:widowControl w:val="0"/>
              <w:kinsoku/>
              <w:wordWrap/>
              <w:topLinePunct w:val="0"/>
              <w:autoSpaceDE/>
              <w:autoSpaceDN/>
              <w:bidi w:val="0"/>
              <w:adjustRightInd/>
              <w:snapToGrid/>
              <w:spacing w:line="560" w:lineRule="exact"/>
              <w:ind w:left="0" w:right="0" w:firstLine="0"/>
              <w:jc w:val="center"/>
              <w:textAlignment w:val="auto"/>
              <w:rPr>
                <w:rFonts w:ascii="宋体" w:hAnsi="宋体" w:cs="宋体"/>
                <w:color w:val="000000" w:themeColor="text1"/>
                <w:sz w:val="28"/>
                <w:szCs w:val="28"/>
                <w:highlight w:val="none"/>
                <w14:textFill>
                  <w14:solidFill>
                    <w14:schemeClr w14:val="tx1"/>
                  </w14:solidFill>
                </w14:textFill>
              </w:rPr>
            </w:pPr>
          </w:p>
        </w:tc>
        <w:tc>
          <w:tcPr>
            <w:tcW w:w="1495" w:type="dxa"/>
            <w:tcBorders>
              <w:top w:val="single" w:color="000000" w:sz="4" w:space="0"/>
              <w:left w:val="single" w:color="000000" w:sz="4" w:space="0"/>
              <w:bottom w:val="single" w:color="000000" w:sz="4" w:space="0"/>
              <w:right w:val="single" w:color="000000" w:sz="4" w:space="0"/>
            </w:tcBorders>
            <w:vAlign w:val="center"/>
          </w:tcPr>
          <w:p w14:paraId="7835DA5A">
            <w:pPr>
              <w:keepNext w:val="0"/>
              <w:keepLines w:val="0"/>
              <w:pageBreakBefore w:val="0"/>
              <w:widowControl w:val="0"/>
              <w:kinsoku/>
              <w:wordWrap/>
              <w:topLinePunct w:val="0"/>
              <w:autoSpaceDE/>
              <w:autoSpaceDN/>
              <w:bidi w:val="0"/>
              <w:adjustRightInd/>
              <w:snapToGrid/>
              <w:spacing w:line="560" w:lineRule="exact"/>
              <w:ind w:left="0" w:right="0" w:firstLine="0"/>
              <w:jc w:val="center"/>
              <w:textAlignment w:val="auto"/>
              <w:rPr>
                <w:rFonts w:ascii="宋体" w:hAnsi="宋体" w:cs="宋体"/>
                <w:color w:val="000000" w:themeColor="text1"/>
                <w:sz w:val="28"/>
                <w:szCs w:val="28"/>
                <w:highlight w:val="none"/>
                <w14:textFill>
                  <w14:solidFill>
                    <w14:schemeClr w14:val="tx1"/>
                  </w14:solidFill>
                </w14:textFill>
              </w:rPr>
            </w:pPr>
          </w:p>
        </w:tc>
        <w:tc>
          <w:tcPr>
            <w:tcW w:w="2721" w:type="dxa"/>
            <w:gridSpan w:val="2"/>
            <w:tcBorders>
              <w:top w:val="single" w:color="000000" w:sz="4" w:space="0"/>
              <w:left w:val="single" w:color="000000" w:sz="4" w:space="0"/>
              <w:bottom w:val="single" w:color="000000" w:sz="4" w:space="0"/>
              <w:right w:val="single" w:color="000000" w:sz="4" w:space="0"/>
            </w:tcBorders>
            <w:vAlign w:val="center"/>
          </w:tcPr>
          <w:p w14:paraId="34FB2D50">
            <w:pPr>
              <w:keepNext w:val="0"/>
              <w:keepLines w:val="0"/>
              <w:pageBreakBefore w:val="0"/>
              <w:widowControl w:val="0"/>
              <w:kinsoku/>
              <w:wordWrap/>
              <w:topLinePunct w:val="0"/>
              <w:autoSpaceDE/>
              <w:autoSpaceDN/>
              <w:bidi w:val="0"/>
              <w:adjustRightInd/>
              <w:snapToGrid/>
              <w:spacing w:line="560" w:lineRule="exact"/>
              <w:ind w:left="0" w:right="0" w:firstLine="0"/>
              <w:jc w:val="center"/>
              <w:textAlignment w:val="auto"/>
              <w:rPr>
                <w:rFonts w:ascii="宋体" w:hAnsi="宋体" w:cs="宋体"/>
                <w:color w:val="000000" w:themeColor="text1"/>
                <w:sz w:val="28"/>
                <w:szCs w:val="28"/>
                <w:highlight w:val="none"/>
                <w14:textFill>
                  <w14:solidFill>
                    <w14:schemeClr w14:val="tx1"/>
                  </w14:solidFill>
                </w14:textFill>
              </w:rPr>
            </w:pPr>
          </w:p>
        </w:tc>
      </w:tr>
      <w:tr w14:paraId="419FAE1D">
        <w:tblPrEx>
          <w:tblCellMar>
            <w:top w:w="0" w:type="dxa"/>
            <w:left w:w="108" w:type="dxa"/>
            <w:bottom w:w="0" w:type="dxa"/>
            <w:right w:w="108" w:type="dxa"/>
          </w:tblCellMar>
        </w:tblPrEx>
        <w:trPr>
          <w:trHeight w:val="647" w:hRule="exact"/>
          <w:jc w:val="center"/>
        </w:trPr>
        <w:tc>
          <w:tcPr>
            <w:tcW w:w="1826" w:type="dxa"/>
            <w:gridSpan w:val="2"/>
            <w:tcBorders>
              <w:top w:val="single" w:color="000000" w:sz="4" w:space="0"/>
              <w:left w:val="single" w:color="000000" w:sz="4" w:space="0"/>
              <w:bottom w:val="single" w:color="000000" w:sz="4" w:space="0"/>
              <w:right w:val="single" w:color="000000" w:sz="4" w:space="0"/>
            </w:tcBorders>
            <w:vAlign w:val="center"/>
          </w:tcPr>
          <w:p w14:paraId="26A1A62C">
            <w:pPr>
              <w:keepNext w:val="0"/>
              <w:keepLines w:val="0"/>
              <w:pageBreakBefore w:val="0"/>
              <w:widowControl w:val="0"/>
              <w:kinsoku/>
              <w:wordWrap/>
              <w:topLinePunct w:val="0"/>
              <w:autoSpaceDE/>
              <w:autoSpaceDN/>
              <w:bidi w:val="0"/>
              <w:adjustRightInd/>
              <w:snapToGrid/>
              <w:spacing w:line="560" w:lineRule="exact"/>
              <w:ind w:left="0" w:right="0" w:firstLine="0"/>
              <w:jc w:val="center"/>
              <w:textAlignment w:val="auto"/>
              <w:rPr>
                <w:rFonts w:ascii="宋体" w:hAnsi="宋体" w:cs="宋体"/>
                <w:color w:val="000000" w:themeColor="text1"/>
                <w:sz w:val="28"/>
                <w:szCs w:val="28"/>
                <w:highlight w:val="none"/>
                <w14:textFill>
                  <w14:solidFill>
                    <w14:schemeClr w14:val="tx1"/>
                  </w14:solidFill>
                </w14:textFill>
              </w:rPr>
            </w:pPr>
          </w:p>
        </w:tc>
        <w:tc>
          <w:tcPr>
            <w:tcW w:w="4053" w:type="dxa"/>
            <w:gridSpan w:val="4"/>
            <w:tcBorders>
              <w:top w:val="single" w:color="000000" w:sz="4" w:space="0"/>
              <w:left w:val="single" w:color="000000" w:sz="4" w:space="0"/>
              <w:bottom w:val="single" w:color="000000" w:sz="4" w:space="0"/>
              <w:right w:val="single" w:color="000000" w:sz="4" w:space="0"/>
            </w:tcBorders>
            <w:vAlign w:val="center"/>
          </w:tcPr>
          <w:p w14:paraId="7A45FBC0">
            <w:pPr>
              <w:keepNext w:val="0"/>
              <w:keepLines w:val="0"/>
              <w:pageBreakBefore w:val="0"/>
              <w:widowControl w:val="0"/>
              <w:kinsoku/>
              <w:wordWrap/>
              <w:topLinePunct w:val="0"/>
              <w:autoSpaceDE/>
              <w:autoSpaceDN/>
              <w:bidi w:val="0"/>
              <w:adjustRightInd/>
              <w:snapToGrid/>
              <w:spacing w:line="560" w:lineRule="exact"/>
              <w:ind w:left="0" w:right="0" w:firstLine="0"/>
              <w:jc w:val="center"/>
              <w:textAlignment w:val="auto"/>
              <w:rPr>
                <w:rFonts w:ascii="宋体" w:hAnsi="宋体" w:cs="宋体"/>
                <w:color w:val="000000" w:themeColor="text1"/>
                <w:sz w:val="28"/>
                <w:szCs w:val="28"/>
                <w:highlight w:val="none"/>
                <w14:textFill>
                  <w14:solidFill>
                    <w14:schemeClr w14:val="tx1"/>
                  </w14:solidFill>
                </w14:textFill>
              </w:rPr>
            </w:pPr>
          </w:p>
        </w:tc>
        <w:tc>
          <w:tcPr>
            <w:tcW w:w="1495" w:type="dxa"/>
            <w:tcBorders>
              <w:top w:val="single" w:color="000000" w:sz="4" w:space="0"/>
              <w:left w:val="single" w:color="000000" w:sz="4" w:space="0"/>
              <w:bottom w:val="single" w:color="000000" w:sz="4" w:space="0"/>
              <w:right w:val="single" w:color="000000" w:sz="4" w:space="0"/>
            </w:tcBorders>
            <w:vAlign w:val="center"/>
          </w:tcPr>
          <w:p w14:paraId="785DAE97">
            <w:pPr>
              <w:keepNext w:val="0"/>
              <w:keepLines w:val="0"/>
              <w:pageBreakBefore w:val="0"/>
              <w:widowControl w:val="0"/>
              <w:kinsoku/>
              <w:wordWrap/>
              <w:topLinePunct w:val="0"/>
              <w:autoSpaceDE/>
              <w:autoSpaceDN/>
              <w:bidi w:val="0"/>
              <w:adjustRightInd/>
              <w:snapToGrid/>
              <w:spacing w:line="560" w:lineRule="exact"/>
              <w:ind w:left="0" w:right="0" w:firstLine="0"/>
              <w:jc w:val="center"/>
              <w:textAlignment w:val="auto"/>
              <w:rPr>
                <w:rFonts w:ascii="宋体" w:hAnsi="宋体" w:cs="宋体"/>
                <w:color w:val="000000" w:themeColor="text1"/>
                <w:sz w:val="28"/>
                <w:szCs w:val="28"/>
                <w:highlight w:val="none"/>
                <w14:textFill>
                  <w14:solidFill>
                    <w14:schemeClr w14:val="tx1"/>
                  </w14:solidFill>
                </w14:textFill>
              </w:rPr>
            </w:pPr>
          </w:p>
        </w:tc>
        <w:tc>
          <w:tcPr>
            <w:tcW w:w="2721" w:type="dxa"/>
            <w:gridSpan w:val="2"/>
            <w:tcBorders>
              <w:top w:val="single" w:color="000000" w:sz="4" w:space="0"/>
              <w:left w:val="single" w:color="000000" w:sz="4" w:space="0"/>
              <w:bottom w:val="single" w:color="000000" w:sz="4" w:space="0"/>
              <w:right w:val="single" w:color="000000" w:sz="4" w:space="0"/>
            </w:tcBorders>
            <w:vAlign w:val="center"/>
          </w:tcPr>
          <w:p w14:paraId="67BA8288">
            <w:pPr>
              <w:keepNext w:val="0"/>
              <w:keepLines w:val="0"/>
              <w:pageBreakBefore w:val="0"/>
              <w:widowControl w:val="0"/>
              <w:kinsoku/>
              <w:wordWrap/>
              <w:topLinePunct w:val="0"/>
              <w:autoSpaceDE/>
              <w:autoSpaceDN/>
              <w:bidi w:val="0"/>
              <w:adjustRightInd/>
              <w:snapToGrid/>
              <w:spacing w:line="560" w:lineRule="exact"/>
              <w:ind w:left="0" w:right="0" w:firstLine="0"/>
              <w:jc w:val="center"/>
              <w:textAlignment w:val="auto"/>
              <w:rPr>
                <w:rFonts w:ascii="宋体" w:hAnsi="宋体" w:cs="宋体"/>
                <w:color w:val="000000" w:themeColor="text1"/>
                <w:sz w:val="28"/>
                <w:szCs w:val="28"/>
                <w:highlight w:val="none"/>
                <w14:textFill>
                  <w14:solidFill>
                    <w14:schemeClr w14:val="tx1"/>
                  </w14:solidFill>
                </w14:textFill>
              </w:rPr>
            </w:pPr>
          </w:p>
        </w:tc>
      </w:tr>
      <w:tr w14:paraId="60C7DFD3">
        <w:tblPrEx>
          <w:tblCellMar>
            <w:top w:w="0" w:type="dxa"/>
            <w:left w:w="108" w:type="dxa"/>
            <w:bottom w:w="0" w:type="dxa"/>
            <w:right w:w="108" w:type="dxa"/>
          </w:tblCellMar>
        </w:tblPrEx>
        <w:trPr>
          <w:trHeight w:val="647" w:hRule="exact"/>
          <w:jc w:val="center"/>
        </w:trPr>
        <w:tc>
          <w:tcPr>
            <w:tcW w:w="1826" w:type="dxa"/>
            <w:gridSpan w:val="2"/>
            <w:tcBorders>
              <w:top w:val="single" w:color="000000" w:sz="4" w:space="0"/>
              <w:left w:val="single" w:color="000000" w:sz="4" w:space="0"/>
              <w:bottom w:val="single" w:color="000000" w:sz="4" w:space="0"/>
              <w:right w:val="single" w:color="000000" w:sz="4" w:space="0"/>
            </w:tcBorders>
            <w:vAlign w:val="center"/>
          </w:tcPr>
          <w:p w14:paraId="24BF3972">
            <w:pPr>
              <w:keepNext w:val="0"/>
              <w:keepLines w:val="0"/>
              <w:pageBreakBefore w:val="0"/>
              <w:widowControl w:val="0"/>
              <w:kinsoku/>
              <w:wordWrap/>
              <w:topLinePunct w:val="0"/>
              <w:autoSpaceDE/>
              <w:autoSpaceDN/>
              <w:bidi w:val="0"/>
              <w:adjustRightInd/>
              <w:snapToGrid/>
              <w:spacing w:line="560" w:lineRule="exact"/>
              <w:ind w:left="0" w:right="0" w:firstLine="0"/>
              <w:jc w:val="center"/>
              <w:textAlignment w:val="auto"/>
              <w:rPr>
                <w:rFonts w:ascii="宋体" w:hAnsi="宋体" w:cs="宋体"/>
                <w:color w:val="000000" w:themeColor="text1"/>
                <w:sz w:val="28"/>
                <w:szCs w:val="28"/>
                <w:highlight w:val="none"/>
                <w14:textFill>
                  <w14:solidFill>
                    <w14:schemeClr w14:val="tx1"/>
                  </w14:solidFill>
                </w14:textFill>
              </w:rPr>
            </w:pPr>
          </w:p>
        </w:tc>
        <w:tc>
          <w:tcPr>
            <w:tcW w:w="4053" w:type="dxa"/>
            <w:gridSpan w:val="4"/>
            <w:tcBorders>
              <w:top w:val="single" w:color="000000" w:sz="4" w:space="0"/>
              <w:left w:val="single" w:color="000000" w:sz="4" w:space="0"/>
              <w:bottom w:val="single" w:color="000000" w:sz="4" w:space="0"/>
              <w:right w:val="single" w:color="000000" w:sz="4" w:space="0"/>
            </w:tcBorders>
            <w:vAlign w:val="center"/>
          </w:tcPr>
          <w:p w14:paraId="28515228">
            <w:pPr>
              <w:keepNext w:val="0"/>
              <w:keepLines w:val="0"/>
              <w:pageBreakBefore w:val="0"/>
              <w:widowControl w:val="0"/>
              <w:kinsoku/>
              <w:wordWrap/>
              <w:topLinePunct w:val="0"/>
              <w:autoSpaceDE/>
              <w:autoSpaceDN/>
              <w:bidi w:val="0"/>
              <w:adjustRightInd/>
              <w:snapToGrid/>
              <w:spacing w:line="560" w:lineRule="exact"/>
              <w:ind w:left="0" w:right="0" w:firstLine="0"/>
              <w:jc w:val="center"/>
              <w:textAlignment w:val="auto"/>
              <w:rPr>
                <w:rFonts w:ascii="宋体" w:hAnsi="宋体" w:cs="宋体"/>
                <w:color w:val="000000" w:themeColor="text1"/>
                <w:sz w:val="28"/>
                <w:szCs w:val="28"/>
                <w:highlight w:val="none"/>
                <w14:textFill>
                  <w14:solidFill>
                    <w14:schemeClr w14:val="tx1"/>
                  </w14:solidFill>
                </w14:textFill>
              </w:rPr>
            </w:pPr>
          </w:p>
        </w:tc>
        <w:tc>
          <w:tcPr>
            <w:tcW w:w="1495" w:type="dxa"/>
            <w:tcBorders>
              <w:top w:val="single" w:color="000000" w:sz="4" w:space="0"/>
              <w:left w:val="single" w:color="000000" w:sz="4" w:space="0"/>
              <w:bottom w:val="single" w:color="000000" w:sz="4" w:space="0"/>
              <w:right w:val="single" w:color="000000" w:sz="4" w:space="0"/>
            </w:tcBorders>
            <w:vAlign w:val="center"/>
          </w:tcPr>
          <w:p w14:paraId="2CBF49BA">
            <w:pPr>
              <w:keepNext w:val="0"/>
              <w:keepLines w:val="0"/>
              <w:pageBreakBefore w:val="0"/>
              <w:widowControl w:val="0"/>
              <w:kinsoku/>
              <w:wordWrap/>
              <w:topLinePunct w:val="0"/>
              <w:autoSpaceDE/>
              <w:autoSpaceDN/>
              <w:bidi w:val="0"/>
              <w:adjustRightInd/>
              <w:snapToGrid/>
              <w:spacing w:line="560" w:lineRule="exact"/>
              <w:ind w:left="0" w:right="0" w:firstLine="0"/>
              <w:jc w:val="center"/>
              <w:textAlignment w:val="auto"/>
              <w:rPr>
                <w:rFonts w:ascii="宋体" w:hAnsi="宋体" w:cs="宋体"/>
                <w:color w:val="000000" w:themeColor="text1"/>
                <w:sz w:val="28"/>
                <w:szCs w:val="28"/>
                <w:highlight w:val="none"/>
                <w14:textFill>
                  <w14:solidFill>
                    <w14:schemeClr w14:val="tx1"/>
                  </w14:solidFill>
                </w14:textFill>
              </w:rPr>
            </w:pPr>
          </w:p>
        </w:tc>
        <w:tc>
          <w:tcPr>
            <w:tcW w:w="2721" w:type="dxa"/>
            <w:gridSpan w:val="2"/>
            <w:tcBorders>
              <w:top w:val="single" w:color="000000" w:sz="4" w:space="0"/>
              <w:left w:val="single" w:color="000000" w:sz="4" w:space="0"/>
              <w:bottom w:val="single" w:color="000000" w:sz="4" w:space="0"/>
              <w:right w:val="single" w:color="000000" w:sz="4" w:space="0"/>
            </w:tcBorders>
            <w:vAlign w:val="center"/>
          </w:tcPr>
          <w:p w14:paraId="2511D213">
            <w:pPr>
              <w:keepNext w:val="0"/>
              <w:keepLines w:val="0"/>
              <w:pageBreakBefore w:val="0"/>
              <w:widowControl w:val="0"/>
              <w:kinsoku/>
              <w:wordWrap/>
              <w:topLinePunct w:val="0"/>
              <w:autoSpaceDE/>
              <w:autoSpaceDN/>
              <w:bidi w:val="0"/>
              <w:adjustRightInd/>
              <w:snapToGrid/>
              <w:spacing w:line="560" w:lineRule="exact"/>
              <w:ind w:left="0" w:right="0" w:firstLine="0"/>
              <w:jc w:val="center"/>
              <w:textAlignment w:val="auto"/>
              <w:rPr>
                <w:rFonts w:ascii="宋体" w:hAnsi="宋体" w:cs="宋体"/>
                <w:color w:val="000000" w:themeColor="text1"/>
                <w:sz w:val="28"/>
                <w:szCs w:val="28"/>
                <w:highlight w:val="none"/>
                <w14:textFill>
                  <w14:solidFill>
                    <w14:schemeClr w14:val="tx1"/>
                  </w14:solidFill>
                </w14:textFill>
              </w:rPr>
            </w:pPr>
          </w:p>
        </w:tc>
      </w:tr>
      <w:tr w14:paraId="279837FA">
        <w:tblPrEx>
          <w:tblCellMar>
            <w:top w:w="0" w:type="dxa"/>
            <w:left w:w="108" w:type="dxa"/>
            <w:bottom w:w="0" w:type="dxa"/>
            <w:right w:w="108" w:type="dxa"/>
          </w:tblCellMar>
        </w:tblPrEx>
        <w:trPr>
          <w:trHeight w:val="657" w:hRule="exact"/>
          <w:jc w:val="center"/>
        </w:trPr>
        <w:tc>
          <w:tcPr>
            <w:tcW w:w="1826" w:type="dxa"/>
            <w:gridSpan w:val="2"/>
            <w:tcBorders>
              <w:top w:val="single" w:color="000000" w:sz="4" w:space="0"/>
              <w:left w:val="single" w:color="000000" w:sz="4" w:space="0"/>
              <w:bottom w:val="single" w:color="000000" w:sz="4" w:space="0"/>
              <w:right w:val="single" w:color="000000" w:sz="4" w:space="0"/>
            </w:tcBorders>
            <w:vAlign w:val="center"/>
          </w:tcPr>
          <w:p w14:paraId="35781410">
            <w:pPr>
              <w:keepNext w:val="0"/>
              <w:keepLines w:val="0"/>
              <w:pageBreakBefore w:val="0"/>
              <w:widowControl w:val="0"/>
              <w:kinsoku/>
              <w:wordWrap/>
              <w:topLinePunct w:val="0"/>
              <w:autoSpaceDE/>
              <w:autoSpaceDN/>
              <w:bidi w:val="0"/>
              <w:adjustRightInd/>
              <w:snapToGrid/>
              <w:spacing w:line="560" w:lineRule="exact"/>
              <w:ind w:left="0" w:right="0" w:firstLine="0"/>
              <w:jc w:val="center"/>
              <w:textAlignment w:val="auto"/>
              <w:rPr>
                <w:rFonts w:ascii="宋体" w:hAnsi="宋体" w:cs="宋体"/>
                <w:color w:val="000000" w:themeColor="text1"/>
                <w:sz w:val="28"/>
                <w:szCs w:val="28"/>
                <w:highlight w:val="none"/>
                <w14:textFill>
                  <w14:solidFill>
                    <w14:schemeClr w14:val="tx1"/>
                  </w14:solidFill>
                </w14:textFill>
              </w:rPr>
            </w:pPr>
          </w:p>
        </w:tc>
        <w:tc>
          <w:tcPr>
            <w:tcW w:w="4053" w:type="dxa"/>
            <w:gridSpan w:val="4"/>
            <w:tcBorders>
              <w:top w:val="single" w:color="000000" w:sz="4" w:space="0"/>
              <w:left w:val="single" w:color="000000" w:sz="4" w:space="0"/>
              <w:bottom w:val="single" w:color="000000" w:sz="4" w:space="0"/>
              <w:right w:val="single" w:color="000000" w:sz="4" w:space="0"/>
            </w:tcBorders>
            <w:vAlign w:val="center"/>
          </w:tcPr>
          <w:p w14:paraId="0B6D8D8E">
            <w:pPr>
              <w:keepNext w:val="0"/>
              <w:keepLines w:val="0"/>
              <w:pageBreakBefore w:val="0"/>
              <w:widowControl w:val="0"/>
              <w:kinsoku/>
              <w:wordWrap/>
              <w:topLinePunct w:val="0"/>
              <w:autoSpaceDE/>
              <w:autoSpaceDN/>
              <w:bidi w:val="0"/>
              <w:adjustRightInd/>
              <w:snapToGrid/>
              <w:spacing w:line="560" w:lineRule="exact"/>
              <w:ind w:left="0" w:right="0" w:firstLine="0"/>
              <w:jc w:val="center"/>
              <w:textAlignment w:val="auto"/>
              <w:rPr>
                <w:rFonts w:ascii="宋体" w:hAnsi="宋体" w:cs="宋体"/>
                <w:color w:val="000000" w:themeColor="text1"/>
                <w:sz w:val="28"/>
                <w:szCs w:val="28"/>
                <w:highlight w:val="none"/>
                <w14:textFill>
                  <w14:solidFill>
                    <w14:schemeClr w14:val="tx1"/>
                  </w14:solidFill>
                </w14:textFill>
              </w:rPr>
            </w:pPr>
          </w:p>
        </w:tc>
        <w:tc>
          <w:tcPr>
            <w:tcW w:w="1495" w:type="dxa"/>
            <w:tcBorders>
              <w:top w:val="single" w:color="000000" w:sz="4" w:space="0"/>
              <w:left w:val="single" w:color="000000" w:sz="4" w:space="0"/>
              <w:bottom w:val="single" w:color="000000" w:sz="4" w:space="0"/>
              <w:right w:val="single" w:color="000000" w:sz="4" w:space="0"/>
            </w:tcBorders>
            <w:vAlign w:val="center"/>
          </w:tcPr>
          <w:p w14:paraId="3105BB63">
            <w:pPr>
              <w:keepNext w:val="0"/>
              <w:keepLines w:val="0"/>
              <w:pageBreakBefore w:val="0"/>
              <w:widowControl w:val="0"/>
              <w:kinsoku/>
              <w:wordWrap/>
              <w:topLinePunct w:val="0"/>
              <w:autoSpaceDE/>
              <w:autoSpaceDN/>
              <w:bidi w:val="0"/>
              <w:adjustRightInd/>
              <w:snapToGrid/>
              <w:spacing w:line="560" w:lineRule="exact"/>
              <w:ind w:left="0" w:right="0" w:firstLine="0"/>
              <w:jc w:val="center"/>
              <w:textAlignment w:val="auto"/>
              <w:rPr>
                <w:rFonts w:ascii="宋体" w:hAnsi="宋体" w:cs="宋体"/>
                <w:color w:val="000000" w:themeColor="text1"/>
                <w:sz w:val="28"/>
                <w:szCs w:val="28"/>
                <w:highlight w:val="none"/>
                <w14:textFill>
                  <w14:solidFill>
                    <w14:schemeClr w14:val="tx1"/>
                  </w14:solidFill>
                </w14:textFill>
              </w:rPr>
            </w:pPr>
          </w:p>
        </w:tc>
        <w:tc>
          <w:tcPr>
            <w:tcW w:w="2721" w:type="dxa"/>
            <w:gridSpan w:val="2"/>
            <w:tcBorders>
              <w:top w:val="single" w:color="000000" w:sz="4" w:space="0"/>
              <w:left w:val="single" w:color="000000" w:sz="4" w:space="0"/>
              <w:bottom w:val="single" w:color="000000" w:sz="4" w:space="0"/>
              <w:right w:val="single" w:color="000000" w:sz="4" w:space="0"/>
            </w:tcBorders>
            <w:vAlign w:val="center"/>
          </w:tcPr>
          <w:p w14:paraId="31B30751">
            <w:pPr>
              <w:keepNext w:val="0"/>
              <w:keepLines w:val="0"/>
              <w:pageBreakBefore w:val="0"/>
              <w:widowControl w:val="0"/>
              <w:kinsoku/>
              <w:wordWrap/>
              <w:topLinePunct w:val="0"/>
              <w:autoSpaceDE/>
              <w:autoSpaceDN/>
              <w:bidi w:val="0"/>
              <w:adjustRightInd/>
              <w:snapToGrid/>
              <w:spacing w:line="560" w:lineRule="exact"/>
              <w:ind w:left="0" w:right="0" w:firstLine="0"/>
              <w:jc w:val="center"/>
              <w:textAlignment w:val="auto"/>
              <w:rPr>
                <w:rFonts w:ascii="宋体" w:hAnsi="宋体" w:cs="宋体"/>
                <w:color w:val="000000" w:themeColor="text1"/>
                <w:sz w:val="28"/>
                <w:szCs w:val="28"/>
                <w:highlight w:val="none"/>
                <w14:textFill>
                  <w14:solidFill>
                    <w14:schemeClr w14:val="tx1"/>
                  </w14:solidFill>
                </w14:textFill>
              </w:rPr>
            </w:pPr>
          </w:p>
        </w:tc>
      </w:tr>
    </w:tbl>
    <w:p w14:paraId="51941CB8">
      <w:pPr>
        <w:pageBreakBefore w:val="0"/>
        <w:wordWrap/>
        <w:topLinePunct w:val="0"/>
        <w:bidi w:val="0"/>
        <w:snapToGrid w:val="0"/>
        <w:spacing w:before="165" w:beforeLines="50" w:after="50" w:line="560" w:lineRule="exact"/>
        <w:jc w:val="both"/>
        <w:rPr>
          <w:rFonts w:hint="eastAsia" w:asciiTheme="minorEastAsia" w:hAnsiTheme="minorEastAsia" w:eastAsiaTheme="minorEastAsia"/>
          <w:b/>
          <w:bCs/>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b/>
          <w:bCs/>
          <w:color w:val="000000" w:themeColor="text1"/>
          <w:sz w:val="28"/>
          <w:szCs w:val="28"/>
          <w:highlight w:val="none"/>
          <w:lang w:val="en-US" w:eastAsia="zh-CN"/>
          <w14:textFill>
            <w14:solidFill>
              <w14:schemeClr w14:val="tx1"/>
            </w14:solidFill>
          </w14:textFill>
        </w:rPr>
        <w:t>附：项目负责人提供由本单位缴纳的近半年任意一个月的社保证明材料。</w:t>
      </w:r>
    </w:p>
    <w:p w14:paraId="75F7390A">
      <w:pPr>
        <w:pageBreakBefore w:val="0"/>
        <w:wordWrap/>
        <w:topLinePunct w:val="0"/>
        <w:bidi w:val="0"/>
        <w:snapToGrid w:val="0"/>
        <w:spacing w:before="165" w:beforeLines="50" w:after="50" w:line="560" w:lineRule="exact"/>
        <w:ind w:firstLine="602" w:firstLineChars="200"/>
        <w:jc w:val="center"/>
        <w:rPr>
          <w:b/>
          <w:bCs/>
          <w:color w:val="000000" w:themeColor="text1"/>
          <w:sz w:val="30"/>
          <w:szCs w:val="30"/>
          <w:highlight w:val="none"/>
          <w14:textFill>
            <w14:solidFill>
              <w14:schemeClr w14:val="tx1"/>
            </w14:solidFill>
          </w14:textFill>
        </w:rPr>
      </w:pPr>
    </w:p>
    <w:p w14:paraId="397F32BD">
      <w:pPr>
        <w:pageBreakBefore w:val="0"/>
        <w:widowControl/>
        <w:wordWrap/>
        <w:topLinePunct w:val="0"/>
        <w:bidi w:val="0"/>
        <w:spacing w:line="560" w:lineRule="exact"/>
        <w:jc w:val="left"/>
        <w:rPr>
          <w:b/>
          <w:bCs/>
          <w:color w:val="000000" w:themeColor="text1"/>
          <w:sz w:val="30"/>
          <w:szCs w:val="30"/>
          <w:highlight w:val="none"/>
          <w14:textFill>
            <w14:solidFill>
              <w14:schemeClr w14:val="tx1"/>
            </w14:solidFill>
          </w14:textFill>
        </w:rPr>
      </w:pPr>
      <w:r>
        <w:rPr>
          <w:b/>
          <w:bCs/>
          <w:color w:val="000000" w:themeColor="text1"/>
          <w:sz w:val="30"/>
          <w:szCs w:val="30"/>
          <w:highlight w:val="none"/>
          <w14:textFill>
            <w14:solidFill>
              <w14:schemeClr w14:val="tx1"/>
            </w14:solidFill>
          </w14:textFill>
        </w:rPr>
        <w:br w:type="page"/>
      </w:r>
    </w:p>
    <w:p w14:paraId="256FEB7E">
      <w:pPr>
        <w:pageBreakBefore w:val="0"/>
        <w:numPr>
          <w:ilvl w:val="0"/>
          <w:numId w:val="0"/>
        </w:numPr>
        <w:wordWrap/>
        <w:topLinePunct w:val="0"/>
        <w:bidi w:val="0"/>
        <w:snapToGrid w:val="0"/>
        <w:spacing w:before="165" w:beforeLines="50" w:after="50" w:line="560" w:lineRule="exact"/>
        <w:ind w:firstLine="602" w:firstLineChars="200"/>
        <w:jc w:val="center"/>
        <w:rPr>
          <w:rFonts w:hint="eastAsia"/>
          <w:b/>
          <w:bCs/>
          <w:color w:val="000000" w:themeColor="text1"/>
          <w:sz w:val="30"/>
          <w:szCs w:val="30"/>
          <w:highlight w:val="none"/>
          <w14:textFill>
            <w14:solidFill>
              <w14:schemeClr w14:val="tx1"/>
            </w14:solidFill>
          </w14:textFill>
        </w:rPr>
      </w:pPr>
      <w:r>
        <w:rPr>
          <w:rFonts w:hint="eastAsia" w:ascii="Times New Roman" w:hAnsi="Times New Roman" w:eastAsia="宋体" w:cs="Times New Roman"/>
          <w:b/>
          <w:bCs/>
          <w:color w:val="000000" w:themeColor="text1"/>
          <w:kern w:val="2"/>
          <w:sz w:val="30"/>
          <w:szCs w:val="30"/>
          <w:highlight w:val="none"/>
          <w:lang w:val="en-US" w:eastAsia="zh-CN" w:bidi="ar-SA"/>
          <w14:textFill>
            <w14:solidFill>
              <w14:schemeClr w14:val="tx1"/>
            </w14:solidFill>
          </w14:textFill>
        </w:rPr>
        <w:t>八、</w:t>
      </w:r>
      <w:r>
        <w:rPr>
          <w:rFonts w:hint="eastAsia"/>
          <w:b/>
          <w:bCs/>
          <w:color w:val="000000" w:themeColor="text1"/>
          <w:sz w:val="30"/>
          <w:szCs w:val="30"/>
          <w:highlight w:val="none"/>
          <w:lang w:eastAsia="zh-CN"/>
          <w14:textFill>
            <w14:solidFill>
              <w14:schemeClr w14:val="tx1"/>
            </w14:solidFill>
          </w14:textFill>
        </w:rPr>
        <w:t>供应商</w:t>
      </w:r>
      <w:r>
        <w:rPr>
          <w:rFonts w:hint="eastAsia"/>
          <w:b/>
          <w:bCs/>
          <w:color w:val="000000" w:themeColor="text1"/>
          <w:sz w:val="30"/>
          <w:szCs w:val="30"/>
          <w:highlight w:val="none"/>
          <w14:textFill>
            <w14:solidFill>
              <w14:schemeClr w14:val="tx1"/>
            </w14:solidFill>
          </w14:textFill>
        </w:rPr>
        <w:t>认为需要提供的其他</w:t>
      </w:r>
      <w:r>
        <w:rPr>
          <w:rFonts w:hint="eastAsia"/>
          <w:b/>
          <w:bCs/>
          <w:color w:val="000000" w:themeColor="text1"/>
          <w:sz w:val="30"/>
          <w:szCs w:val="30"/>
          <w:highlight w:val="none"/>
          <w:lang w:eastAsia="zh-CN"/>
          <w14:textFill>
            <w14:solidFill>
              <w14:schemeClr w14:val="tx1"/>
            </w14:solidFill>
          </w14:textFill>
        </w:rPr>
        <w:t>商务文件</w:t>
      </w:r>
      <w:r>
        <w:rPr>
          <w:rFonts w:hint="eastAsia"/>
          <w:b/>
          <w:bCs/>
          <w:color w:val="000000" w:themeColor="text1"/>
          <w:sz w:val="30"/>
          <w:szCs w:val="30"/>
          <w:highlight w:val="none"/>
          <w14:textFill>
            <w14:solidFill>
              <w14:schemeClr w14:val="tx1"/>
            </w14:solidFill>
          </w14:textFill>
        </w:rPr>
        <w:t>材料（如有）</w:t>
      </w:r>
    </w:p>
    <w:p w14:paraId="7815CCF7">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default"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sectPr>
          <w:headerReference r:id="rId20" w:type="default"/>
          <w:pgSz w:w="11906" w:h="16838"/>
          <w:pgMar w:top="1134" w:right="1134" w:bottom="1134" w:left="1134" w:header="720" w:footer="720" w:gutter="0"/>
          <w:cols w:space="720" w:num="1"/>
          <w:docGrid w:type="lines" w:linePitch="331" w:charSpace="0"/>
        </w:sectPr>
      </w:pP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1、供应商提供信用中国网站（https://www.creditchina.gov.cn）查询截图（共需“失信被执行人”、“重大税收违法失信主体”(进入信用中国网站-信用服务-失信被执行人、重大税收违法失信主体-查询、截图)和中国政府采购网网站（http://www.ccgp.gov.cn）查询截图（</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instrText xml:space="preserve"> HYPERLINK "http://www.ccgp.gov.cn/search/cr/" \o "政府采购严重违法失信行为记录名单" </w:instrTex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政府采购严重违法失信行为记录名单</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），此项仅作为资料留存使用。</w:t>
      </w:r>
    </w:p>
    <w:p w14:paraId="418E816A">
      <w:pPr>
        <w:pStyle w:val="4"/>
        <w:keepNext w:val="0"/>
        <w:keepLines w:val="0"/>
        <w:pageBreakBefore w:val="0"/>
        <w:wordWrap/>
        <w:topLinePunct w:val="0"/>
        <w:bidi w:val="0"/>
        <w:spacing w:line="560" w:lineRule="exact"/>
        <w:ind w:left="0" w:leftChars="0" w:firstLine="0" w:firstLineChars="0"/>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第</w:t>
      </w:r>
      <w:r>
        <w:rPr>
          <w:rFonts w:hint="eastAsia"/>
          <w:color w:val="000000" w:themeColor="text1"/>
          <w:highlight w:val="none"/>
          <w:lang w:eastAsia="zh-CN"/>
          <w14:textFill>
            <w14:solidFill>
              <w14:schemeClr w14:val="tx1"/>
            </w14:solidFill>
          </w14:textFill>
        </w:rPr>
        <w:t>四</w:t>
      </w:r>
      <w:r>
        <w:rPr>
          <w:rFonts w:hint="eastAsia"/>
          <w:color w:val="000000" w:themeColor="text1"/>
          <w:highlight w:val="none"/>
          <w14:textFill>
            <w14:solidFill>
              <w14:schemeClr w14:val="tx1"/>
            </w14:solidFill>
          </w14:textFill>
        </w:rPr>
        <w:t>节 技术文件格式</w:t>
      </w:r>
    </w:p>
    <w:p w14:paraId="3BF4482E">
      <w:pPr>
        <w:pStyle w:val="17"/>
        <w:pageBreakBefore w:val="0"/>
        <w:wordWrap/>
        <w:topLinePunct w:val="0"/>
        <w:bidi w:val="0"/>
        <w:spacing w:line="560" w:lineRule="exac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一、技术需求偏离表</w:t>
      </w:r>
    </w:p>
    <w:p w14:paraId="0F1D2E64">
      <w:pPr>
        <w:pStyle w:val="17"/>
        <w:pageBreakBefore w:val="0"/>
        <w:wordWrap/>
        <w:topLinePunct w:val="0"/>
        <w:bidi w:val="0"/>
        <w:spacing w:line="560" w:lineRule="exact"/>
        <w:jc w:val="both"/>
        <w:rPr>
          <w:rFonts w:hint="eastAsia" w:eastAsiaTheme="minor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标项名称：</w:t>
      </w:r>
    </w:p>
    <w:tbl>
      <w:tblPr>
        <w:tblStyle w:val="34"/>
        <w:tblW w:w="96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2128"/>
        <w:gridCol w:w="2410"/>
        <w:gridCol w:w="2378"/>
        <w:gridCol w:w="1732"/>
      </w:tblGrid>
      <w:tr w14:paraId="3066E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trPr>
        <w:tc>
          <w:tcPr>
            <w:tcW w:w="957" w:type="dxa"/>
            <w:vAlign w:val="center"/>
          </w:tcPr>
          <w:p w14:paraId="5D98C560">
            <w:pPr>
              <w:pageBreakBefore w:val="0"/>
              <w:wordWrap/>
              <w:topLinePunct w:val="0"/>
              <w:bidi w:val="0"/>
              <w:spacing w:line="56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序号</w:t>
            </w:r>
          </w:p>
        </w:tc>
        <w:tc>
          <w:tcPr>
            <w:tcW w:w="2128" w:type="dxa"/>
            <w:vAlign w:val="center"/>
          </w:tcPr>
          <w:p w14:paraId="678CC9EC">
            <w:pPr>
              <w:pageBreakBefore w:val="0"/>
              <w:wordWrap/>
              <w:topLinePunct w:val="0"/>
              <w:bidi w:val="0"/>
              <w:spacing w:line="56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产品名称</w:t>
            </w:r>
          </w:p>
        </w:tc>
        <w:tc>
          <w:tcPr>
            <w:tcW w:w="2410" w:type="dxa"/>
            <w:vAlign w:val="center"/>
          </w:tcPr>
          <w:p w14:paraId="5E6CA6D7">
            <w:pPr>
              <w:pageBreakBefore w:val="0"/>
              <w:wordWrap/>
              <w:topLinePunct w:val="0"/>
              <w:bidi w:val="0"/>
              <w:spacing w:line="56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招标产品参数</w:t>
            </w:r>
          </w:p>
        </w:tc>
        <w:tc>
          <w:tcPr>
            <w:tcW w:w="2378" w:type="dxa"/>
            <w:vAlign w:val="center"/>
          </w:tcPr>
          <w:p w14:paraId="78C9F7AA">
            <w:pPr>
              <w:pageBreakBefore w:val="0"/>
              <w:wordWrap/>
              <w:topLinePunct w:val="0"/>
              <w:bidi w:val="0"/>
              <w:spacing w:line="56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投标产品参数</w:t>
            </w:r>
          </w:p>
        </w:tc>
        <w:tc>
          <w:tcPr>
            <w:tcW w:w="1732" w:type="dxa"/>
            <w:vAlign w:val="center"/>
          </w:tcPr>
          <w:p w14:paraId="323FBA66">
            <w:pPr>
              <w:pageBreakBefore w:val="0"/>
              <w:wordWrap/>
              <w:topLinePunct w:val="0"/>
              <w:bidi w:val="0"/>
              <w:spacing w:line="56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偏离说明</w:t>
            </w:r>
          </w:p>
        </w:tc>
      </w:tr>
      <w:tr w14:paraId="7E094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957" w:type="dxa"/>
            <w:vAlign w:val="center"/>
          </w:tcPr>
          <w:p w14:paraId="454D8786">
            <w:pPr>
              <w:pageBreakBefore w:val="0"/>
              <w:wordWrap/>
              <w:topLinePunct w:val="0"/>
              <w:bidi w:val="0"/>
              <w:spacing w:line="56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c>
          <w:tcPr>
            <w:tcW w:w="2128" w:type="dxa"/>
          </w:tcPr>
          <w:p w14:paraId="6F98E74D">
            <w:pPr>
              <w:pageBreakBefore w:val="0"/>
              <w:wordWrap/>
              <w:topLinePunct w:val="0"/>
              <w:bidi w:val="0"/>
              <w:spacing w:line="560" w:lineRule="exact"/>
              <w:rPr>
                <w:rFonts w:hint="eastAsia" w:ascii="宋体" w:hAnsi="宋体" w:eastAsia="宋体" w:cs="宋体"/>
                <w:color w:val="000000" w:themeColor="text1"/>
                <w:sz w:val="24"/>
                <w:szCs w:val="24"/>
                <w:highlight w:val="none"/>
                <w14:textFill>
                  <w14:solidFill>
                    <w14:schemeClr w14:val="tx1"/>
                  </w14:solidFill>
                </w14:textFill>
              </w:rPr>
            </w:pPr>
          </w:p>
        </w:tc>
        <w:tc>
          <w:tcPr>
            <w:tcW w:w="2410" w:type="dxa"/>
          </w:tcPr>
          <w:p w14:paraId="0811D0F0">
            <w:pPr>
              <w:pageBreakBefore w:val="0"/>
              <w:wordWrap/>
              <w:topLinePunct w:val="0"/>
              <w:bidi w:val="0"/>
              <w:spacing w:line="560" w:lineRule="exact"/>
              <w:rPr>
                <w:rFonts w:hint="eastAsia" w:ascii="宋体" w:hAnsi="宋体" w:eastAsia="宋体" w:cs="宋体"/>
                <w:color w:val="000000" w:themeColor="text1"/>
                <w:sz w:val="24"/>
                <w:szCs w:val="24"/>
                <w:highlight w:val="none"/>
                <w14:textFill>
                  <w14:solidFill>
                    <w14:schemeClr w14:val="tx1"/>
                  </w14:solidFill>
                </w14:textFill>
              </w:rPr>
            </w:pPr>
          </w:p>
        </w:tc>
        <w:tc>
          <w:tcPr>
            <w:tcW w:w="2378" w:type="dxa"/>
          </w:tcPr>
          <w:p w14:paraId="1DC7D757">
            <w:pPr>
              <w:pageBreakBefore w:val="0"/>
              <w:wordWrap/>
              <w:topLinePunct w:val="0"/>
              <w:bidi w:val="0"/>
              <w:spacing w:line="560" w:lineRule="exact"/>
              <w:rPr>
                <w:rFonts w:hint="eastAsia" w:ascii="宋体" w:hAnsi="宋体" w:eastAsia="宋体" w:cs="宋体"/>
                <w:color w:val="000000" w:themeColor="text1"/>
                <w:sz w:val="24"/>
                <w:szCs w:val="24"/>
                <w:highlight w:val="none"/>
                <w14:textFill>
                  <w14:solidFill>
                    <w14:schemeClr w14:val="tx1"/>
                  </w14:solidFill>
                </w14:textFill>
              </w:rPr>
            </w:pPr>
          </w:p>
        </w:tc>
        <w:tc>
          <w:tcPr>
            <w:tcW w:w="1732" w:type="dxa"/>
          </w:tcPr>
          <w:p w14:paraId="0A2A70EB">
            <w:pPr>
              <w:pageBreakBefore w:val="0"/>
              <w:wordWrap/>
              <w:topLinePunct w:val="0"/>
              <w:bidi w:val="0"/>
              <w:spacing w:line="560" w:lineRule="exact"/>
              <w:rPr>
                <w:rFonts w:hint="eastAsia" w:ascii="宋体" w:hAnsi="宋体" w:eastAsia="宋体" w:cs="宋体"/>
                <w:color w:val="000000" w:themeColor="text1"/>
                <w:sz w:val="24"/>
                <w:szCs w:val="24"/>
                <w:highlight w:val="none"/>
                <w14:textFill>
                  <w14:solidFill>
                    <w14:schemeClr w14:val="tx1"/>
                  </w14:solidFill>
                </w14:textFill>
              </w:rPr>
            </w:pPr>
          </w:p>
        </w:tc>
      </w:tr>
      <w:tr w14:paraId="0DFE6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957" w:type="dxa"/>
            <w:vAlign w:val="center"/>
          </w:tcPr>
          <w:p w14:paraId="13325B2A">
            <w:pPr>
              <w:pageBreakBefore w:val="0"/>
              <w:wordWrap/>
              <w:topLinePunct w:val="0"/>
              <w:bidi w:val="0"/>
              <w:spacing w:line="56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p>
        </w:tc>
        <w:tc>
          <w:tcPr>
            <w:tcW w:w="2128" w:type="dxa"/>
          </w:tcPr>
          <w:p w14:paraId="46AC2E06">
            <w:pPr>
              <w:pageBreakBefore w:val="0"/>
              <w:wordWrap/>
              <w:topLinePunct w:val="0"/>
              <w:bidi w:val="0"/>
              <w:spacing w:line="560" w:lineRule="exact"/>
              <w:rPr>
                <w:rFonts w:hint="eastAsia" w:ascii="宋体" w:hAnsi="宋体" w:eastAsia="宋体" w:cs="宋体"/>
                <w:color w:val="000000" w:themeColor="text1"/>
                <w:sz w:val="24"/>
                <w:szCs w:val="24"/>
                <w:highlight w:val="none"/>
                <w14:textFill>
                  <w14:solidFill>
                    <w14:schemeClr w14:val="tx1"/>
                  </w14:solidFill>
                </w14:textFill>
              </w:rPr>
            </w:pPr>
          </w:p>
        </w:tc>
        <w:tc>
          <w:tcPr>
            <w:tcW w:w="2410" w:type="dxa"/>
          </w:tcPr>
          <w:p w14:paraId="6C9A9BF3">
            <w:pPr>
              <w:pageBreakBefore w:val="0"/>
              <w:wordWrap/>
              <w:topLinePunct w:val="0"/>
              <w:bidi w:val="0"/>
              <w:spacing w:line="560" w:lineRule="exact"/>
              <w:rPr>
                <w:rFonts w:hint="eastAsia" w:ascii="宋体" w:hAnsi="宋体" w:eastAsia="宋体" w:cs="宋体"/>
                <w:color w:val="000000" w:themeColor="text1"/>
                <w:sz w:val="24"/>
                <w:szCs w:val="24"/>
                <w:highlight w:val="none"/>
                <w14:textFill>
                  <w14:solidFill>
                    <w14:schemeClr w14:val="tx1"/>
                  </w14:solidFill>
                </w14:textFill>
              </w:rPr>
            </w:pPr>
          </w:p>
        </w:tc>
        <w:tc>
          <w:tcPr>
            <w:tcW w:w="2378" w:type="dxa"/>
          </w:tcPr>
          <w:p w14:paraId="7545F407">
            <w:pPr>
              <w:pageBreakBefore w:val="0"/>
              <w:wordWrap/>
              <w:topLinePunct w:val="0"/>
              <w:bidi w:val="0"/>
              <w:spacing w:line="560" w:lineRule="exact"/>
              <w:rPr>
                <w:rFonts w:hint="eastAsia" w:ascii="宋体" w:hAnsi="宋体" w:eastAsia="宋体" w:cs="宋体"/>
                <w:color w:val="000000" w:themeColor="text1"/>
                <w:sz w:val="24"/>
                <w:szCs w:val="24"/>
                <w:highlight w:val="none"/>
                <w14:textFill>
                  <w14:solidFill>
                    <w14:schemeClr w14:val="tx1"/>
                  </w14:solidFill>
                </w14:textFill>
              </w:rPr>
            </w:pPr>
          </w:p>
        </w:tc>
        <w:tc>
          <w:tcPr>
            <w:tcW w:w="1732" w:type="dxa"/>
          </w:tcPr>
          <w:p w14:paraId="1F448391">
            <w:pPr>
              <w:pageBreakBefore w:val="0"/>
              <w:wordWrap/>
              <w:topLinePunct w:val="0"/>
              <w:bidi w:val="0"/>
              <w:spacing w:line="560" w:lineRule="exact"/>
              <w:rPr>
                <w:rFonts w:hint="eastAsia" w:ascii="宋体" w:hAnsi="宋体" w:eastAsia="宋体" w:cs="宋体"/>
                <w:color w:val="000000" w:themeColor="text1"/>
                <w:sz w:val="24"/>
                <w:szCs w:val="24"/>
                <w:highlight w:val="none"/>
                <w14:textFill>
                  <w14:solidFill>
                    <w14:schemeClr w14:val="tx1"/>
                  </w14:solidFill>
                </w14:textFill>
              </w:rPr>
            </w:pPr>
          </w:p>
        </w:tc>
      </w:tr>
      <w:tr w14:paraId="4F296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957" w:type="dxa"/>
            <w:vAlign w:val="center"/>
          </w:tcPr>
          <w:p w14:paraId="34205868">
            <w:pPr>
              <w:pageBreakBefore w:val="0"/>
              <w:wordWrap/>
              <w:topLinePunct w:val="0"/>
              <w:bidi w:val="0"/>
              <w:spacing w:line="56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w:t>
            </w:r>
          </w:p>
        </w:tc>
        <w:tc>
          <w:tcPr>
            <w:tcW w:w="2128" w:type="dxa"/>
          </w:tcPr>
          <w:p w14:paraId="4E74D27E">
            <w:pPr>
              <w:pageBreakBefore w:val="0"/>
              <w:wordWrap/>
              <w:topLinePunct w:val="0"/>
              <w:bidi w:val="0"/>
              <w:spacing w:line="560" w:lineRule="exact"/>
              <w:rPr>
                <w:rFonts w:hint="eastAsia" w:ascii="宋体" w:hAnsi="宋体" w:eastAsia="宋体" w:cs="宋体"/>
                <w:color w:val="000000" w:themeColor="text1"/>
                <w:sz w:val="24"/>
                <w:szCs w:val="24"/>
                <w:highlight w:val="none"/>
                <w14:textFill>
                  <w14:solidFill>
                    <w14:schemeClr w14:val="tx1"/>
                  </w14:solidFill>
                </w14:textFill>
              </w:rPr>
            </w:pPr>
          </w:p>
        </w:tc>
        <w:tc>
          <w:tcPr>
            <w:tcW w:w="2410" w:type="dxa"/>
          </w:tcPr>
          <w:p w14:paraId="2812062C">
            <w:pPr>
              <w:pageBreakBefore w:val="0"/>
              <w:wordWrap/>
              <w:topLinePunct w:val="0"/>
              <w:bidi w:val="0"/>
              <w:spacing w:line="560" w:lineRule="exact"/>
              <w:rPr>
                <w:rFonts w:hint="eastAsia" w:ascii="宋体" w:hAnsi="宋体" w:eastAsia="宋体" w:cs="宋体"/>
                <w:color w:val="000000" w:themeColor="text1"/>
                <w:sz w:val="24"/>
                <w:szCs w:val="24"/>
                <w:highlight w:val="none"/>
                <w14:textFill>
                  <w14:solidFill>
                    <w14:schemeClr w14:val="tx1"/>
                  </w14:solidFill>
                </w14:textFill>
              </w:rPr>
            </w:pPr>
          </w:p>
        </w:tc>
        <w:tc>
          <w:tcPr>
            <w:tcW w:w="2378" w:type="dxa"/>
          </w:tcPr>
          <w:p w14:paraId="587A3C89">
            <w:pPr>
              <w:pageBreakBefore w:val="0"/>
              <w:wordWrap/>
              <w:topLinePunct w:val="0"/>
              <w:bidi w:val="0"/>
              <w:spacing w:line="560" w:lineRule="exact"/>
              <w:rPr>
                <w:rFonts w:hint="eastAsia" w:ascii="宋体" w:hAnsi="宋体" w:eastAsia="宋体" w:cs="宋体"/>
                <w:color w:val="000000" w:themeColor="text1"/>
                <w:sz w:val="24"/>
                <w:szCs w:val="24"/>
                <w:highlight w:val="none"/>
                <w14:textFill>
                  <w14:solidFill>
                    <w14:schemeClr w14:val="tx1"/>
                  </w14:solidFill>
                </w14:textFill>
              </w:rPr>
            </w:pPr>
          </w:p>
        </w:tc>
        <w:tc>
          <w:tcPr>
            <w:tcW w:w="1732" w:type="dxa"/>
          </w:tcPr>
          <w:p w14:paraId="397DA72E">
            <w:pPr>
              <w:pageBreakBefore w:val="0"/>
              <w:wordWrap/>
              <w:topLinePunct w:val="0"/>
              <w:bidi w:val="0"/>
              <w:spacing w:line="560" w:lineRule="exact"/>
              <w:rPr>
                <w:rFonts w:hint="eastAsia" w:ascii="宋体" w:hAnsi="宋体" w:eastAsia="宋体" w:cs="宋体"/>
                <w:color w:val="000000" w:themeColor="text1"/>
                <w:sz w:val="24"/>
                <w:szCs w:val="24"/>
                <w:highlight w:val="none"/>
                <w14:textFill>
                  <w14:solidFill>
                    <w14:schemeClr w14:val="tx1"/>
                  </w14:solidFill>
                </w14:textFill>
              </w:rPr>
            </w:pPr>
          </w:p>
        </w:tc>
      </w:tr>
      <w:tr w14:paraId="2EA58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957" w:type="dxa"/>
            <w:vAlign w:val="center"/>
          </w:tcPr>
          <w:p w14:paraId="08EED2BD">
            <w:pPr>
              <w:pageBreakBefore w:val="0"/>
              <w:wordWrap/>
              <w:topLinePunct w:val="0"/>
              <w:bidi w:val="0"/>
              <w:spacing w:line="56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w:t>
            </w:r>
          </w:p>
        </w:tc>
        <w:tc>
          <w:tcPr>
            <w:tcW w:w="2128" w:type="dxa"/>
          </w:tcPr>
          <w:p w14:paraId="44CF5733">
            <w:pPr>
              <w:pageBreakBefore w:val="0"/>
              <w:wordWrap/>
              <w:topLinePunct w:val="0"/>
              <w:bidi w:val="0"/>
              <w:spacing w:line="560" w:lineRule="exact"/>
              <w:rPr>
                <w:rFonts w:hint="eastAsia" w:ascii="宋体" w:hAnsi="宋体" w:eastAsia="宋体" w:cs="宋体"/>
                <w:color w:val="000000" w:themeColor="text1"/>
                <w:sz w:val="24"/>
                <w:szCs w:val="24"/>
                <w:highlight w:val="none"/>
                <w14:textFill>
                  <w14:solidFill>
                    <w14:schemeClr w14:val="tx1"/>
                  </w14:solidFill>
                </w14:textFill>
              </w:rPr>
            </w:pPr>
          </w:p>
        </w:tc>
        <w:tc>
          <w:tcPr>
            <w:tcW w:w="2410" w:type="dxa"/>
          </w:tcPr>
          <w:p w14:paraId="53230726">
            <w:pPr>
              <w:pageBreakBefore w:val="0"/>
              <w:wordWrap/>
              <w:topLinePunct w:val="0"/>
              <w:bidi w:val="0"/>
              <w:spacing w:line="560" w:lineRule="exact"/>
              <w:rPr>
                <w:rFonts w:hint="eastAsia" w:ascii="宋体" w:hAnsi="宋体" w:eastAsia="宋体" w:cs="宋体"/>
                <w:color w:val="000000" w:themeColor="text1"/>
                <w:sz w:val="24"/>
                <w:szCs w:val="24"/>
                <w:highlight w:val="none"/>
                <w14:textFill>
                  <w14:solidFill>
                    <w14:schemeClr w14:val="tx1"/>
                  </w14:solidFill>
                </w14:textFill>
              </w:rPr>
            </w:pPr>
          </w:p>
        </w:tc>
        <w:tc>
          <w:tcPr>
            <w:tcW w:w="2378" w:type="dxa"/>
          </w:tcPr>
          <w:p w14:paraId="4AB4CD80">
            <w:pPr>
              <w:pageBreakBefore w:val="0"/>
              <w:wordWrap/>
              <w:topLinePunct w:val="0"/>
              <w:bidi w:val="0"/>
              <w:spacing w:line="560" w:lineRule="exact"/>
              <w:rPr>
                <w:rFonts w:hint="eastAsia" w:ascii="宋体" w:hAnsi="宋体" w:eastAsia="宋体" w:cs="宋体"/>
                <w:color w:val="000000" w:themeColor="text1"/>
                <w:sz w:val="24"/>
                <w:szCs w:val="24"/>
                <w:highlight w:val="none"/>
                <w14:textFill>
                  <w14:solidFill>
                    <w14:schemeClr w14:val="tx1"/>
                  </w14:solidFill>
                </w14:textFill>
              </w:rPr>
            </w:pPr>
          </w:p>
        </w:tc>
        <w:tc>
          <w:tcPr>
            <w:tcW w:w="1732" w:type="dxa"/>
          </w:tcPr>
          <w:p w14:paraId="40545DF2">
            <w:pPr>
              <w:pageBreakBefore w:val="0"/>
              <w:wordWrap/>
              <w:topLinePunct w:val="0"/>
              <w:bidi w:val="0"/>
              <w:spacing w:line="560" w:lineRule="exact"/>
              <w:rPr>
                <w:rFonts w:hint="eastAsia" w:ascii="宋体" w:hAnsi="宋体" w:eastAsia="宋体" w:cs="宋体"/>
                <w:color w:val="000000" w:themeColor="text1"/>
                <w:sz w:val="24"/>
                <w:szCs w:val="24"/>
                <w:highlight w:val="none"/>
                <w14:textFill>
                  <w14:solidFill>
                    <w14:schemeClr w14:val="tx1"/>
                  </w14:solidFill>
                </w14:textFill>
              </w:rPr>
            </w:pPr>
          </w:p>
        </w:tc>
      </w:tr>
      <w:tr w14:paraId="3BD61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957" w:type="dxa"/>
            <w:vAlign w:val="center"/>
          </w:tcPr>
          <w:p w14:paraId="0D01490C">
            <w:pPr>
              <w:pageBreakBefore w:val="0"/>
              <w:wordWrap/>
              <w:topLinePunct w:val="0"/>
              <w:bidi w:val="0"/>
              <w:spacing w:line="56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w:t>
            </w:r>
          </w:p>
        </w:tc>
        <w:tc>
          <w:tcPr>
            <w:tcW w:w="2128" w:type="dxa"/>
          </w:tcPr>
          <w:p w14:paraId="7E91926C">
            <w:pPr>
              <w:pageBreakBefore w:val="0"/>
              <w:wordWrap/>
              <w:topLinePunct w:val="0"/>
              <w:bidi w:val="0"/>
              <w:spacing w:line="560" w:lineRule="exact"/>
              <w:rPr>
                <w:rFonts w:hint="eastAsia" w:ascii="宋体" w:hAnsi="宋体" w:eastAsia="宋体" w:cs="宋体"/>
                <w:color w:val="000000" w:themeColor="text1"/>
                <w:sz w:val="24"/>
                <w:szCs w:val="24"/>
                <w:highlight w:val="none"/>
                <w14:textFill>
                  <w14:solidFill>
                    <w14:schemeClr w14:val="tx1"/>
                  </w14:solidFill>
                </w14:textFill>
              </w:rPr>
            </w:pPr>
          </w:p>
        </w:tc>
        <w:tc>
          <w:tcPr>
            <w:tcW w:w="2410" w:type="dxa"/>
          </w:tcPr>
          <w:p w14:paraId="7177BB68">
            <w:pPr>
              <w:pageBreakBefore w:val="0"/>
              <w:wordWrap/>
              <w:topLinePunct w:val="0"/>
              <w:bidi w:val="0"/>
              <w:spacing w:line="560" w:lineRule="exact"/>
              <w:rPr>
                <w:rFonts w:hint="eastAsia" w:ascii="宋体" w:hAnsi="宋体" w:eastAsia="宋体" w:cs="宋体"/>
                <w:color w:val="000000" w:themeColor="text1"/>
                <w:sz w:val="24"/>
                <w:szCs w:val="24"/>
                <w:highlight w:val="none"/>
                <w14:textFill>
                  <w14:solidFill>
                    <w14:schemeClr w14:val="tx1"/>
                  </w14:solidFill>
                </w14:textFill>
              </w:rPr>
            </w:pPr>
          </w:p>
        </w:tc>
        <w:tc>
          <w:tcPr>
            <w:tcW w:w="2378" w:type="dxa"/>
          </w:tcPr>
          <w:p w14:paraId="2DEB61E3">
            <w:pPr>
              <w:pageBreakBefore w:val="0"/>
              <w:wordWrap/>
              <w:topLinePunct w:val="0"/>
              <w:bidi w:val="0"/>
              <w:spacing w:line="560" w:lineRule="exact"/>
              <w:rPr>
                <w:rFonts w:hint="eastAsia" w:ascii="宋体" w:hAnsi="宋体" w:eastAsia="宋体" w:cs="宋体"/>
                <w:color w:val="000000" w:themeColor="text1"/>
                <w:sz w:val="24"/>
                <w:szCs w:val="24"/>
                <w:highlight w:val="none"/>
                <w14:textFill>
                  <w14:solidFill>
                    <w14:schemeClr w14:val="tx1"/>
                  </w14:solidFill>
                </w14:textFill>
              </w:rPr>
            </w:pPr>
          </w:p>
        </w:tc>
        <w:tc>
          <w:tcPr>
            <w:tcW w:w="1732" w:type="dxa"/>
          </w:tcPr>
          <w:p w14:paraId="6F67690B">
            <w:pPr>
              <w:pageBreakBefore w:val="0"/>
              <w:wordWrap/>
              <w:topLinePunct w:val="0"/>
              <w:bidi w:val="0"/>
              <w:spacing w:line="560" w:lineRule="exact"/>
              <w:rPr>
                <w:rFonts w:hint="eastAsia" w:ascii="宋体" w:hAnsi="宋体" w:eastAsia="宋体" w:cs="宋体"/>
                <w:color w:val="000000" w:themeColor="text1"/>
                <w:sz w:val="24"/>
                <w:szCs w:val="24"/>
                <w:highlight w:val="none"/>
                <w14:textFill>
                  <w14:solidFill>
                    <w14:schemeClr w14:val="tx1"/>
                  </w14:solidFill>
                </w14:textFill>
              </w:rPr>
            </w:pPr>
          </w:p>
        </w:tc>
      </w:tr>
      <w:tr w14:paraId="083CC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957" w:type="dxa"/>
            <w:vAlign w:val="center"/>
          </w:tcPr>
          <w:p w14:paraId="72E37E99">
            <w:pPr>
              <w:pageBreakBefore w:val="0"/>
              <w:wordWrap/>
              <w:topLinePunct w:val="0"/>
              <w:bidi w:val="0"/>
              <w:spacing w:line="56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w:t>
            </w:r>
          </w:p>
        </w:tc>
        <w:tc>
          <w:tcPr>
            <w:tcW w:w="2128" w:type="dxa"/>
          </w:tcPr>
          <w:p w14:paraId="1C108087">
            <w:pPr>
              <w:pageBreakBefore w:val="0"/>
              <w:wordWrap/>
              <w:topLinePunct w:val="0"/>
              <w:bidi w:val="0"/>
              <w:spacing w:line="560" w:lineRule="exact"/>
              <w:rPr>
                <w:rFonts w:hint="eastAsia" w:ascii="宋体" w:hAnsi="宋体" w:eastAsia="宋体" w:cs="宋体"/>
                <w:color w:val="000000" w:themeColor="text1"/>
                <w:sz w:val="24"/>
                <w:szCs w:val="24"/>
                <w:highlight w:val="none"/>
                <w14:textFill>
                  <w14:solidFill>
                    <w14:schemeClr w14:val="tx1"/>
                  </w14:solidFill>
                </w14:textFill>
              </w:rPr>
            </w:pPr>
          </w:p>
        </w:tc>
        <w:tc>
          <w:tcPr>
            <w:tcW w:w="2410" w:type="dxa"/>
          </w:tcPr>
          <w:p w14:paraId="6F749900">
            <w:pPr>
              <w:pageBreakBefore w:val="0"/>
              <w:wordWrap/>
              <w:topLinePunct w:val="0"/>
              <w:bidi w:val="0"/>
              <w:spacing w:line="560" w:lineRule="exact"/>
              <w:rPr>
                <w:rFonts w:hint="eastAsia" w:ascii="宋体" w:hAnsi="宋体" w:eastAsia="宋体" w:cs="宋体"/>
                <w:color w:val="000000" w:themeColor="text1"/>
                <w:sz w:val="24"/>
                <w:szCs w:val="24"/>
                <w:highlight w:val="none"/>
                <w14:textFill>
                  <w14:solidFill>
                    <w14:schemeClr w14:val="tx1"/>
                  </w14:solidFill>
                </w14:textFill>
              </w:rPr>
            </w:pPr>
          </w:p>
        </w:tc>
        <w:tc>
          <w:tcPr>
            <w:tcW w:w="2378" w:type="dxa"/>
          </w:tcPr>
          <w:p w14:paraId="6BEB56EB">
            <w:pPr>
              <w:pageBreakBefore w:val="0"/>
              <w:wordWrap/>
              <w:topLinePunct w:val="0"/>
              <w:bidi w:val="0"/>
              <w:spacing w:line="560" w:lineRule="exact"/>
              <w:rPr>
                <w:rFonts w:hint="eastAsia" w:ascii="宋体" w:hAnsi="宋体" w:eastAsia="宋体" w:cs="宋体"/>
                <w:color w:val="000000" w:themeColor="text1"/>
                <w:sz w:val="24"/>
                <w:szCs w:val="24"/>
                <w:highlight w:val="none"/>
                <w14:textFill>
                  <w14:solidFill>
                    <w14:schemeClr w14:val="tx1"/>
                  </w14:solidFill>
                </w14:textFill>
              </w:rPr>
            </w:pPr>
          </w:p>
        </w:tc>
        <w:tc>
          <w:tcPr>
            <w:tcW w:w="1732" w:type="dxa"/>
          </w:tcPr>
          <w:p w14:paraId="1935CC3C">
            <w:pPr>
              <w:pageBreakBefore w:val="0"/>
              <w:wordWrap/>
              <w:topLinePunct w:val="0"/>
              <w:bidi w:val="0"/>
              <w:spacing w:line="560" w:lineRule="exact"/>
              <w:rPr>
                <w:rFonts w:hint="eastAsia" w:ascii="宋体" w:hAnsi="宋体" w:eastAsia="宋体" w:cs="宋体"/>
                <w:color w:val="000000" w:themeColor="text1"/>
                <w:sz w:val="24"/>
                <w:szCs w:val="24"/>
                <w:highlight w:val="none"/>
                <w14:textFill>
                  <w14:solidFill>
                    <w14:schemeClr w14:val="tx1"/>
                  </w14:solidFill>
                </w14:textFill>
              </w:rPr>
            </w:pPr>
          </w:p>
        </w:tc>
      </w:tr>
      <w:tr w14:paraId="15A96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957" w:type="dxa"/>
            <w:vAlign w:val="center"/>
          </w:tcPr>
          <w:p w14:paraId="4B2303D0">
            <w:pPr>
              <w:pageBreakBefore w:val="0"/>
              <w:wordWrap/>
              <w:topLinePunct w:val="0"/>
              <w:bidi w:val="0"/>
              <w:spacing w:line="56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p>
        </w:tc>
        <w:tc>
          <w:tcPr>
            <w:tcW w:w="2128" w:type="dxa"/>
          </w:tcPr>
          <w:p w14:paraId="17A77DFE">
            <w:pPr>
              <w:pageBreakBefore w:val="0"/>
              <w:wordWrap/>
              <w:topLinePunct w:val="0"/>
              <w:bidi w:val="0"/>
              <w:spacing w:line="560" w:lineRule="exact"/>
              <w:rPr>
                <w:rFonts w:hint="eastAsia" w:ascii="宋体" w:hAnsi="宋体" w:eastAsia="宋体" w:cs="宋体"/>
                <w:color w:val="000000" w:themeColor="text1"/>
                <w:sz w:val="24"/>
                <w:szCs w:val="24"/>
                <w:highlight w:val="none"/>
                <w14:textFill>
                  <w14:solidFill>
                    <w14:schemeClr w14:val="tx1"/>
                  </w14:solidFill>
                </w14:textFill>
              </w:rPr>
            </w:pPr>
          </w:p>
        </w:tc>
        <w:tc>
          <w:tcPr>
            <w:tcW w:w="2410" w:type="dxa"/>
          </w:tcPr>
          <w:p w14:paraId="1BFDE138">
            <w:pPr>
              <w:pageBreakBefore w:val="0"/>
              <w:wordWrap/>
              <w:topLinePunct w:val="0"/>
              <w:bidi w:val="0"/>
              <w:spacing w:line="560" w:lineRule="exact"/>
              <w:rPr>
                <w:rFonts w:hint="eastAsia" w:ascii="宋体" w:hAnsi="宋体" w:eastAsia="宋体" w:cs="宋体"/>
                <w:color w:val="000000" w:themeColor="text1"/>
                <w:sz w:val="24"/>
                <w:szCs w:val="24"/>
                <w:highlight w:val="none"/>
                <w14:textFill>
                  <w14:solidFill>
                    <w14:schemeClr w14:val="tx1"/>
                  </w14:solidFill>
                </w14:textFill>
              </w:rPr>
            </w:pPr>
          </w:p>
        </w:tc>
        <w:tc>
          <w:tcPr>
            <w:tcW w:w="2378" w:type="dxa"/>
          </w:tcPr>
          <w:p w14:paraId="0C51F0AB">
            <w:pPr>
              <w:pageBreakBefore w:val="0"/>
              <w:wordWrap/>
              <w:topLinePunct w:val="0"/>
              <w:bidi w:val="0"/>
              <w:spacing w:line="560" w:lineRule="exact"/>
              <w:rPr>
                <w:rFonts w:hint="eastAsia" w:ascii="宋体" w:hAnsi="宋体" w:eastAsia="宋体" w:cs="宋体"/>
                <w:color w:val="000000" w:themeColor="text1"/>
                <w:sz w:val="24"/>
                <w:szCs w:val="24"/>
                <w:highlight w:val="none"/>
                <w14:textFill>
                  <w14:solidFill>
                    <w14:schemeClr w14:val="tx1"/>
                  </w14:solidFill>
                </w14:textFill>
              </w:rPr>
            </w:pPr>
          </w:p>
        </w:tc>
        <w:tc>
          <w:tcPr>
            <w:tcW w:w="1732" w:type="dxa"/>
          </w:tcPr>
          <w:p w14:paraId="1FFD9236">
            <w:pPr>
              <w:pageBreakBefore w:val="0"/>
              <w:wordWrap/>
              <w:topLinePunct w:val="0"/>
              <w:bidi w:val="0"/>
              <w:spacing w:line="560" w:lineRule="exact"/>
              <w:rPr>
                <w:rFonts w:hint="eastAsia" w:ascii="宋体" w:hAnsi="宋体" w:eastAsia="宋体" w:cs="宋体"/>
                <w:color w:val="000000" w:themeColor="text1"/>
                <w:sz w:val="24"/>
                <w:szCs w:val="24"/>
                <w:highlight w:val="none"/>
                <w14:textFill>
                  <w14:solidFill>
                    <w14:schemeClr w14:val="tx1"/>
                  </w14:solidFill>
                </w14:textFill>
              </w:rPr>
            </w:pPr>
          </w:p>
        </w:tc>
      </w:tr>
      <w:tr w14:paraId="0209D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957" w:type="dxa"/>
            <w:vAlign w:val="center"/>
          </w:tcPr>
          <w:p w14:paraId="38968FE3">
            <w:pPr>
              <w:pageBreakBefore w:val="0"/>
              <w:wordWrap/>
              <w:topLinePunct w:val="0"/>
              <w:bidi w:val="0"/>
              <w:spacing w:line="56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p>
        </w:tc>
        <w:tc>
          <w:tcPr>
            <w:tcW w:w="2128" w:type="dxa"/>
          </w:tcPr>
          <w:p w14:paraId="0183AB83">
            <w:pPr>
              <w:pageBreakBefore w:val="0"/>
              <w:wordWrap/>
              <w:topLinePunct w:val="0"/>
              <w:bidi w:val="0"/>
              <w:spacing w:line="560" w:lineRule="exact"/>
              <w:rPr>
                <w:rFonts w:hint="eastAsia" w:ascii="宋体" w:hAnsi="宋体" w:eastAsia="宋体" w:cs="宋体"/>
                <w:color w:val="000000" w:themeColor="text1"/>
                <w:sz w:val="24"/>
                <w:szCs w:val="24"/>
                <w:highlight w:val="none"/>
                <w14:textFill>
                  <w14:solidFill>
                    <w14:schemeClr w14:val="tx1"/>
                  </w14:solidFill>
                </w14:textFill>
              </w:rPr>
            </w:pPr>
          </w:p>
        </w:tc>
        <w:tc>
          <w:tcPr>
            <w:tcW w:w="2410" w:type="dxa"/>
          </w:tcPr>
          <w:p w14:paraId="6E48D899">
            <w:pPr>
              <w:pageBreakBefore w:val="0"/>
              <w:wordWrap/>
              <w:topLinePunct w:val="0"/>
              <w:bidi w:val="0"/>
              <w:spacing w:line="560" w:lineRule="exact"/>
              <w:rPr>
                <w:rFonts w:hint="eastAsia" w:ascii="宋体" w:hAnsi="宋体" w:eastAsia="宋体" w:cs="宋体"/>
                <w:color w:val="000000" w:themeColor="text1"/>
                <w:sz w:val="24"/>
                <w:szCs w:val="24"/>
                <w:highlight w:val="none"/>
                <w14:textFill>
                  <w14:solidFill>
                    <w14:schemeClr w14:val="tx1"/>
                  </w14:solidFill>
                </w14:textFill>
              </w:rPr>
            </w:pPr>
          </w:p>
        </w:tc>
        <w:tc>
          <w:tcPr>
            <w:tcW w:w="2378" w:type="dxa"/>
          </w:tcPr>
          <w:p w14:paraId="727790C7">
            <w:pPr>
              <w:pageBreakBefore w:val="0"/>
              <w:wordWrap/>
              <w:topLinePunct w:val="0"/>
              <w:bidi w:val="0"/>
              <w:spacing w:line="560" w:lineRule="exact"/>
              <w:rPr>
                <w:rFonts w:hint="eastAsia" w:ascii="宋体" w:hAnsi="宋体" w:eastAsia="宋体" w:cs="宋体"/>
                <w:color w:val="000000" w:themeColor="text1"/>
                <w:sz w:val="24"/>
                <w:szCs w:val="24"/>
                <w:highlight w:val="none"/>
                <w14:textFill>
                  <w14:solidFill>
                    <w14:schemeClr w14:val="tx1"/>
                  </w14:solidFill>
                </w14:textFill>
              </w:rPr>
            </w:pPr>
          </w:p>
        </w:tc>
        <w:tc>
          <w:tcPr>
            <w:tcW w:w="1732" w:type="dxa"/>
          </w:tcPr>
          <w:p w14:paraId="2DC70D45">
            <w:pPr>
              <w:pageBreakBefore w:val="0"/>
              <w:wordWrap/>
              <w:topLinePunct w:val="0"/>
              <w:bidi w:val="0"/>
              <w:spacing w:line="560" w:lineRule="exact"/>
              <w:rPr>
                <w:rFonts w:hint="eastAsia" w:ascii="宋体" w:hAnsi="宋体" w:eastAsia="宋体" w:cs="宋体"/>
                <w:color w:val="000000" w:themeColor="text1"/>
                <w:sz w:val="24"/>
                <w:szCs w:val="24"/>
                <w:highlight w:val="none"/>
                <w14:textFill>
                  <w14:solidFill>
                    <w14:schemeClr w14:val="tx1"/>
                  </w14:solidFill>
                </w14:textFill>
              </w:rPr>
            </w:pPr>
          </w:p>
        </w:tc>
      </w:tr>
      <w:tr w14:paraId="21BB1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957" w:type="dxa"/>
            <w:vAlign w:val="center"/>
          </w:tcPr>
          <w:p w14:paraId="02720501">
            <w:pPr>
              <w:pageBreakBefore w:val="0"/>
              <w:wordWrap/>
              <w:topLinePunct w:val="0"/>
              <w:bidi w:val="0"/>
              <w:spacing w:line="56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p>
        </w:tc>
        <w:tc>
          <w:tcPr>
            <w:tcW w:w="2128" w:type="dxa"/>
          </w:tcPr>
          <w:p w14:paraId="673ED692">
            <w:pPr>
              <w:pageBreakBefore w:val="0"/>
              <w:wordWrap/>
              <w:topLinePunct w:val="0"/>
              <w:bidi w:val="0"/>
              <w:spacing w:line="560" w:lineRule="exact"/>
              <w:rPr>
                <w:rFonts w:hint="eastAsia" w:ascii="宋体" w:hAnsi="宋体" w:eastAsia="宋体" w:cs="宋体"/>
                <w:color w:val="000000" w:themeColor="text1"/>
                <w:sz w:val="24"/>
                <w:szCs w:val="24"/>
                <w:highlight w:val="none"/>
                <w14:textFill>
                  <w14:solidFill>
                    <w14:schemeClr w14:val="tx1"/>
                  </w14:solidFill>
                </w14:textFill>
              </w:rPr>
            </w:pPr>
          </w:p>
        </w:tc>
        <w:tc>
          <w:tcPr>
            <w:tcW w:w="2410" w:type="dxa"/>
          </w:tcPr>
          <w:p w14:paraId="4E9C5462">
            <w:pPr>
              <w:pageBreakBefore w:val="0"/>
              <w:wordWrap/>
              <w:topLinePunct w:val="0"/>
              <w:bidi w:val="0"/>
              <w:spacing w:line="560" w:lineRule="exact"/>
              <w:rPr>
                <w:rFonts w:hint="eastAsia" w:ascii="宋体" w:hAnsi="宋体" w:eastAsia="宋体" w:cs="宋体"/>
                <w:color w:val="000000" w:themeColor="text1"/>
                <w:sz w:val="24"/>
                <w:szCs w:val="24"/>
                <w:highlight w:val="none"/>
                <w14:textFill>
                  <w14:solidFill>
                    <w14:schemeClr w14:val="tx1"/>
                  </w14:solidFill>
                </w14:textFill>
              </w:rPr>
            </w:pPr>
          </w:p>
        </w:tc>
        <w:tc>
          <w:tcPr>
            <w:tcW w:w="2378" w:type="dxa"/>
          </w:tcPr>
          <w:p w14:paraId="6AF071B6">
            <w:pPr>
              <w:pageBreakBefore w:val="0"/>
              <w:wordWrap/>
              <w:topLinePunct w:val="0"/>
              <w:bidi w:val="0"/>
              <w:spacing w:line="560" w:lineRule="exact"/>
              <w:rPr>
                <w:rFonts w:hint="eastAsia" w:ascii="宋体" w:hAnsi="宋体" w:eastAsia="宋体" w:cs="宋体"/>
                <w:color w:val="000000" w:themeColor="text1"/>
                <w:sz w:val="24"/>
                <w:szCs w:val="24"/>
                <w:highlight w:val="none"/>
                <w14:textFill>
                  <w14:solidFill>
                    <w14:schemeClr w14:val="tx1"/>
                  </w14:solidFill>
                </w14:textFill>
              </w:rPr>
            </w:pPr>
          </w:p>
        </w:tc>
        <w:tc>
          <w:tcPr>
            <w:tcW w:w="1732" w:type="dxa"/>
          </w:tcPr>
          <w:p w14:paraId="2DE18F4A">
            <w:pPr>
              <w:pageBreakBefore w:val="0"/>
              <w:wordWrap/>
              <w:topLinePunct w:val="0"/>
              <w:bidi w:val="0"/>
              <w:spacing w:line="560" w:lineRule="exact"/>
              <w:rPr>
                <w:rFonts w:hint="eastAsia" w:ascii="宋体" w:hAnsi="宋体" w:eastAsia="宋体" w:cs="宋体"/>
                <w:color w:val="000000" w:themeColor="text1"/>
                <w:sz w:val="24"/>
                <w:szCs w:val="24"/>
                <w:highlight w:val="none"/>
                <w14:textFill>
                  <w14:solidFill>
                    <w14:schemeClr w14:val="tx1"/>
                  </w14:solidFill>
                </w14:textFill>
              </w:rPr>
            </w:pPr>
          </w:p>
        </w:tc>
      </w:tr>
    </w:tbl>
    <w:p w14:paraId="78D5700F">
      <w:pPr>
        <w:keepNext w:val="0"/>
        <w:keepLines w:val="0"/>
        <w:pageBreakBefore w:val="0"/>
        <w:widowControl w:val="0"/>
        <w:kinsoku/>
        <w:wordWrap/>
        <w:overflowPunct/>
        <w:topLinePunct w:val="0"/>
        <w:autoSpaceDE w:val="0"/>
        <w:autoSpaceDN w:val="0"/>
        <w:bidi w:val="0"/>
        <w:adjustRightInd/>
        <w:snapToGrid/>
        <w:spacing w:line="560" w:lineRule="exact"/>
        <w:ind w:left="0" w:leftChars="0" w:firstLine="0" w:firstLineChars="0"/>
        <w:textAlignment w:val="auto"/>
        <w:rPr>
          <w:rFonts w:hint="eastAsia" w:ascii="宋体" w:hAnsi="宋体" w:eastAsia="宋体" w:cs="宋体"/>
          <w:b/>
          <w:bCs/>
          <w:color w:val="000000" w:themeColor="text1"/>
          <w:kern w:val="0"/>
          <w:sz w:val="28"/>
          <w:szCs w:val="28"/>
          <w:highlight w:val="none"/>
          <w14:textFill>
            <w14:solidFill>
              <w14:schemeClr w14:val="tx1"/>
            </w14:solidFill>
          </w14:textFill>
        </w:rPr>
      </w:pPr>
      <w:r>
        <w:rPr>
          <w:rFonts w:hint="eastAsia" w:ascii="宋体" w:hAnsi="宋体" w:cs="宋体"/>
          <w:b/>
          <w:bCs/>
          <w:color w:val="000000" w:themeColor="text1"/>
          <w:kern w:val="0"/>
          <w:sz w:val="28"/>
          <w:szCs w:val="28"/>
          <w:highlight w:val="none"/>
          <w:lang w:eastAsia="zh-CN"/>
          <w14:textFill>
            <w14:solidFill>
              <w14:schemeClr w14:val="tx1"/>
            </w14:solidFill>
          </w14:textFill>
        </w:rPr>
        <w:t>注：</w:t>
      </w:r>
      <w:r>
        <w:rPr>
          <w:rFonts w:hint="eastAsia" w:ascii="宋体" w:hAnsi="宋体" w:cs="宋体"/>
          <w:b/>
          <w:bCs/>
          <w:color w:val="000000" w:themeColor="text1"/>
          <w:kern w:val="0"/>
          <w:sz w:val="28"/>
          <w:szCs w:val="28"/>
          <w:highlight w:val="none"/>
          <w:lang w:val="en-US" w:eastAsia="zh-CN"/>
          <w14:textFill>
            <w14:solidFill>
              <w14:schemeClr w14:val="tx1"/>
            </w14:solidFill>
          </w14:textFill>
        </w:rPr>
        <w:t>1</w:t>
      </w:r>
      <w:r>
        <w:rPr>
          <w:rFonts w:hint="eastAsia" w:ascii="宋体" w:hAnsi="宋体" w:eastAsia="宋体" w:cs="宋体"/>
          <w:b/>
          <w:bCs/>
          <w:color w:val="000000" w:themeColor="text1"/>
          <w:kern w:val="0"/>
          <w:sz w:val="28"/>
          <w:szCs w:val="28"/>
          <w:highlight w:val="none"/>
          <w14:textFill>
            <w14:solidFill>
              <w14:schemeClr w14:val="tx1"/>
            </w14:solidFill>
          </w14:textFill>
        </w:rPr>
        <w:t>.相关证明材料</w:t>
      </w:r>
      <w:r>
        <w:rPr>
          <w:rFonts w:hint="eastAsia" w:ascii="宋体" w:hAnsi="宋体" w:cs="宋体"/>
          <w:b/>
          <w:bCs/>
          <w:color w:val="000000" w:themeColor="text1"/>
          <w:kern w:val="0"/>
          <w:sz w:val="28"/>
          <w:szCs w:val="28"/>
          <w:highlight w:val="none"/>
          <w:lang w:eastAsia="zh-CN"/>
          <w14:textFill>
            <w14:solidFill>
              <w14:schemeClr w14:val="tx1"/>
            </w14:solidFill>
          </w14:textFill>
        </w:rPr>
        <w:t>如有</w:t>
      </w:r>
      <w:r>
        <w:rPr>
          <w:rFonts w:hint="eastAsia" w:ascii="宋体" w:hAnsi="宋体" w:eastAsia="宋体" w:cs="宋体"/>
          <w:b/>
          <w:bCs/>
          <w:color w:val="000000" w:themeColor="text1"/>
          <w:kern w:val="0"/>
          <w:sz w:val="28"/>
          <w:szCs w:val="28"/>
          <w:highlight w:val="none"/>
          <w14:textFill>
            <w14:solidFill>
              <w14:schemeClr w14:val="tx1"/>
            </w14:solidFill>
          </w14:textFill>
        </w:rPr>
        <w:t>（</w:t>
      </w:r>
      <w:r>
        <w:rPr>
          <w:rFonts w:hint="eastAsia" w:ascii="宋体" w:hAnsi="宋体" w:cs="宋体"/>
          <w:b/>
          <w:bCs/>
          <w:color w:val="000000" w:themeColor="text1"/>
          <w:kern w:val="0"/>
          <w:sz w:val="28"/>
          <w:szCs w:val="28"/>
          <w:highlight w:val="none"/>
          <w:lang w:eastAsia="zh-CN"/>
          <w14:textFill>
            <w14:solidFill>
              <w14:schemeClr w14:val="tx1"/>
            </w14:solidFill>
          </w14:textFill>
        </w:rPr>
        <w:t>如有设备的</w:t>
      </w:r>
      <w:r>
        <w:rPr>
          <w:rFonts w:hint="eastAsia" w:ascii="宋体" w:hAnsi="宋体" w:eastAsia="宋体" w:cs="宋体"/>
          <w:b/>
          <w:bCs/>
          <w:color w:val="000000" w:themeColor="text1"/>
          <w:kern w:val="0"/>
          <w:sz w:val="28"/>
          <w:szCs w:val="28"/>
          <w:highlight w:val="none"/>
          <w14:textFill>
            <w14:solidFill>
              <w14:schemeClr w14:val="tx1"/>
            </w14:solidFill>
          </w14:textFill>
        </w:rPr>
        <w:t>检测报告、</w:t>
      </w:r>
      <w:r>
        <w:rPr>
          <w:rFonts w:hint="eastAsia" w:ascii="宋体" w:hAnsi="宋体" w:cs="宋体"/>
          <w:b/>
          <w:bCs/>
          <w:color w:val="000000" w:themeColor="text1"/>
          <w:kern w:val="0"/>
          <w:sz w:val="28"/>
          <w:szCs w:val="28"/>
          <w:highlight w:val="none"/>
          <w:lang w:eastAsia="zh-CN"/>
          <w14:textFill>
            <w14:solidFill>
              <w14:schemeClr w14:val="tx1"/>
            </w14:solidFill>
          </w14:textFill>
        </w:rPr>
        <w:t>彩页、照片</w:t>
      </w:r>
      <w:r>
        <w:rPr>
          <w:rFonts w:hint="eastAsia" w:ascii="宋体" w:hAnsi="宋体" w:eastAsia="宋体" w:cs="宋体"/>
          <w:b/>
          <w:bCs/>
          <w:color w:val="000000" w:themeColor="text1"/>
          <w:kern w:val="0"/>
          <w:sz w:val="28"/>
          <w:szCs w:val="28"/>
          <w:highlight w:val="none"/>
          <w14:textFill>
            <w14:solidFill>
              <w14:schemeClr w14:val="tx1"/>
            </w14:solidFill>
          </w14:textFill>
        </w:rPr>
        <w:t>等）。</w:t>
      </w:r>
    </w:p>
    <w:p w14:paraId="1D52C112">
      <w:pPr>
        <w:keepNext w:val="0"/>
        <w:keepLines w:val="0"/>
        <w:pageBreakBefore w:val="0"/>
        <w:widowControl w:val="0"/>
        <w:kinsoku/>
        <w:wordWrap/>
        <w:overflowPunct/>
        <w:topLinePunct w:val="0"/>
        <w:autoSpaceDE w:val="0"/>
        <w:autoSpaceDN w:val="0"/>
        <w:bidi w:val="0"/>
        <w:adjustRightInd/>
        <w:snapToGrid/>
        <w:spacing w:line="560" w:lineRule="exact"/>
        <w:ind w:left="0" w:leftChars="0" w:firstLine="562" w:firstLineChars="200"/>
        <w:textAlignment w:val="auto"/>
        <w:rPr>
          <w:rFonts w:hint="eastAsia" w:ascii="宋体" w:hAnsi="宋体" w:eastAsia="宋体" w:cs="宋体"/>
          <w:b/>
          <w:bCs/>
          <w:color w:val="000000" w:themeColor="text1"/>
          <w:kern w:val="0"/>
          <w:sz w:val="28"/>
          <w:szCs w:val="28"/>
          <w:highlight w:val="none"/>
          <w:lang w:val="en-US" w:eastAsia="zh-CN"/>
          <w14:textFill>
            <w14:solidFill>
              <w14:schemeClr w14:val="tx1"/>
            </w14:solidFill>
          </w14:textFill>
        </w:rPr>
      </w:pPr>
      <w:r>
        <w:rPr>
          <w:rFonts w:hint="eastAsia" w:ascii="宋体" w:hAnsi="宋体" w:cs="宋体"/>
          <w:b/>
          <w:bCs/>
          <w:color w:val="000000" w:themeColor="text1"/>
          <w:kern w:val="0"/>
          <w:sz w:val="28"/>
          <w:szCs w:val="28"/>
          <w:highlight w:val="none"/>
          <w:lang w:val="en-US" w:eastAsia="zh-CN"/>
          <w14:textFill>
            <w14:solidFill>
              <w14:schemeClr w14:val="tx1"/>
            </w14:solidFill>
          </w14:textFill>
        </w:rPr>
        <w:t>2、供应商可根据自身需求自行加减行数。</w:t>
      </w:r>
    </w:p>
    <w:p w14:paraId="7D6D668F">
      <w:pPr>
        <w:pageBreakBefore w:val="0"/>
        <w:wordWrap/>
        <w:topLinePunct w:val="0"/>
        <w:bidi w:val="0"/>
        <w:snapToGrid w:val="0"/>
        <w:spacing w:line="560" w:lineRule="exact"/>
        <w:rPr>
          <w:rFonts w:cs="仿宋_GB2312" w:asciiTheme="minorEastAsia" w:hAnsiTheme="minorEastAsia" w:eastAsiaTheme="minorEastAsia"/>
          <w:color w:val="000000" w:themeColor="text1"/>
          <w:kern w:val="0"/>
          <w:sz w:val="24"/>
          <w:highlight w:val="none"/>
          <w:lang w:val="zh-CN"/>
          <w14:textFill>
            <w14:solidFill>
              <w14:schemeClr w14:val="tx1"/>
            </w14:solidFill>
          </w14:textFill>
        </w:rPr>
      </w:pPr>
    </w:p>
    <w:p w14:paraId="41D2996D">
      <w:pPr>
        <w:pageBreakBefore w:val="0"/>
        <w:wordWrap/>
        <w:topLinePunct w:val="0"/>
        <w:bidi w:val="0"/>
        <w:snapToGrid w:val="0"/>
        <w:spacing w:line="560" w:lineRule="exact"/>
        <w:rPr>
          <w:rFonts w:cs="仿宋_GB2312" w:asciiTheme="minorEastAsia" w:hAnsiTheme="minorEastAsia" w:eastAsiaTheme="minorEastAsia"/>
          <w:color w:val="000000" w:themeColor="text1"/>
          <w:kern w:val="0"/>
          <w:sz w:val="24"/>
          <w:highlight w:val="none"/>
          <w:lang w:val="zh-CN"/>
          <w14:textFill>
            <w14:solidFill>
              <w14:schemeClr w14:val="tx1"/>
            </w14:solidFill>
          </w14:textFill>
        </w:rPr>
      </w:pPr>
    </w:p>
    <w:p w14:paraId="26F76942">
      <w:pPr>
        <w:pageBreakBefore w:val="0"/>
        <w:wordWrap/>
        <w:topLinePunct w:val="0"/>
        <w:bidi w:val="0"/>
        <w:snapToGrid w:val="0"/>
        <w:spacing w:line="560" w:lineRule="exact"/>
        <w:rPr>
          <w:rFonts w:cs="仿宋_GB2312" w:asciiTheme="minorEastAsia" w:hAnsiTheme="minorEastAsia" w:eastAsiaTheme="minorEastAsia"/>
          <w:color w:val="000000" w:themeColor="text1"/>
          <w:kern w:val="0"/>
          <w:sz w:val="24"/>
          <w:highlight w:val="none"/>
          <w:lang w:val="zh-CN"/>
          <w14:textFill>
            <w14:solidFill>
              <w14:schemeClr w14:val="tx1"/>
            </w14:solidFill>
          </w14:textFill>
        </w:rPr>
      </w:pPr>
    </w:p>
    <w:p w14:paraId="7035F8E6">
      <w:pPr>
        <w:pageBreakBefore w:val="0"/>
        <w:wordWrap/>
        <w:topLinePunct w:val="0"/>
        <w:bidi w:val="0"/>
        <w:snapToGrid w:val="0"/>
        <w:spacing w:line="560" w:lineRule="exact"/>
        <w:rPr>
          <w:rFonts w:cs="仿宋_GB2312" w:asciiTheme="minorEastAsia" w:hAnsiTheme="minorEastAsia" w:eastAsiaTheme="minorEastAsia"/>
          <w:color w:val="000000" w:themeColor="text1"/>
          <w:kern w:val="0"/>
          <w:sz w:val="24"/>
          <w:highlight w:val="none"/>
          <w:lang w:val="zh-CN"/>
          <w14:textFill>
            <w14:solidFill>
              <w14:schemeClr w14:val="tx1"/>
            </w14:solidFill>
          </w14:textFill>
        </w:rPr>
      </w:pPr>
    </w:p>
    <w:p w14:paraId="42569C06">
      <w:pPr>
        <w:pageBreakBefore w:val="0"/>
        <w:wordWrap/>
        <w:topLinePunct w:val="0"/>
        <w:bidi w:val="0"/>
        <w:snapToGrid w:val="0"/>
        <w:spacing w:line="560" w:lineRule="exact"/>
        <w:rPr>
          <w:rFonts w:cs="仿宋_GB2312" w:asciiTheme="minorEastAsia" w:hAnsiTheme="minorEastAsia" w:eastAsiaTheme="minorEastAsia"/>
          <w:color w:val="000000" w:themeColor="text1"/>
          <w:kern w:val="0"/>
          <w:sz w:val="24"/>
          <w:highlight w:val="none"/>
          <w:lang w:val="zh-CN"/>
          <w14:textFill>
            <w14:solidFill>
              <w14:schemeClr w14:val="tx1"/>
            </w14:solidFill>
          </w14:textFill>
        </w:rPr>
      </w:pPr>
    </w:p>
    <w:p w14:paraId="10F61E7F">
      <w:pPr>
        <w:pStyle w:val="17"/>
        <w:pageBreakBefore w:val="0"/>
        <w:wordWrap/>
        <w:topLinePunct w:val="0"/>
        <w:bidi w:val="0"/>
        <w:spacing w:line="560" w:lineRule="exac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二、</w:t>
      </w:r>
      <w:r>
        <w:rPr>
          <w:rFonts w:hint="eastAsia"/>
          <w:color w:val="000000" w:themeColor="text1"/>
          <w:highlight w:val="none"/>
          <w14:textFill>
            <w14:solidFill>
              <w14:schemeClr w14:val="tx1"/>
            </w14:solidFill>
          </w14:textFill>
        </w:rPr>
        <w:t>采购清单</w:t>
      </w:r>
    </w:p>
    <w:p w14:paraId="66CCD10E">
      <w:pPr>
        <w:pStyle w:val="17"/>
        <w:pageBreakBefore w:val="0"/>
        <w:wordWrap/>
        <w:topLinePunct w:val="0"/>
        <w:bidi w:val="0"/>
        <w:spacing w:line="560" w:lineRule="exact"/>
        <w:ind w:firstLine="281" w:firstLineChars="100"/>
        <w:jc w:val="both"/>
        <w:rPr>
          <w:rFonts w:hint="eastAsia" w:eastAsiaTheme="minor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标项名称：</w:t>
      </w:r>
    </w:p>
    <w:tbl>
      <w:tblPr>
        <w:tblStyle w:val="34"/>
        <w:tblW w:w="9060" w:type="dxa"/>
        <w:jc w:val="center"/>
        <w:tblLayout w:type="fixed"/>
        <w:tblCellMar>
          <w:top w:w="15" w:type="dxa"/>
          <w:left w:w="15" w:type="dxa"/>
          <w:bottom w:w="15" w:type="dxa"/>
          <w:right w:w="15" w:type="dxa"/>
        </w:tblCellMar>
      </w:tblPr>
      <w:tblGrid>
        <w:gridCol w:w="622"/>
        <w:gridCol w:w="1472"/>
        <w:gridCol w:w="4542"/>
        <w:gridCol w:w="606"/>
        <w:gridCol w:w="606"/>
        <w:gridCol w:w="606"/>
        <w:gridCol w:w="606"/>
      </w:tblGrid>
      <w:tr w14:paraId="18EDA044">
        <w:tblPrEx>
          <w:tblCellMar>
            <w:top w:w="15" w:type="dxa"/>
            <w:left w:w="15" w:type="dxa"/>
            <w:bottom w:w="15" w:type="dxa"/>
            <w:right w:w="15" w:type="dxa"/>
          </w:tblCellMar>
        </w:tblPrEx>
        <w:trPr>
          <w:trHeight w:val="838" w:hRule="atLeast"/>
          <w:jc w:val="center"/>
        </w:trPr>
        <w:tc>
          <w:tcPr>
            <w:tcW w:w="622" w:type="dxa"/>
            <w:tcBorders>
              <w:top w:val="single" w:color="auto" w:sz="4" w:space="0"/>
              <w:left w:val="single" w:color="auto" w:sz="4" w:space="0"/>
              <w:bottom w:val="single" w:color="auto" w:sz="4" w:space="0"/>
              <w:right w:val="single" w:color="auto" w:sz="4" w:space="0"/>
            </w:tcBorders>
            <w:vAlign w:val="center"/>
          </w:tcPr>
          <w:p w14:paraId="52BF53BE">
            <w:pPr>
              <w:pageBreakBefore w:val="0"/>
              <w:wordWrap/>
              <w:topLinePunct w:val="0"/>
              <w:bidi w:val="0"/>
              <w:spacing w:line="560" w:lineRule="exact"/>
              <w:jc w:val="center"/>
              <w:textAlignment w:val="center"/>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kern w:val="0"/>
                <w:sz w:val="28"/>
                <w:szCs w:val="28"/>
                <w:highlight w:val="none"/>
                <w14:textFill>
                  <w14:solidFill>
                    <w14:schemeClr w14:val="tx1"/>
                  </w14:solidFill>
                </w14:textFill>
              </w:rPr>
              <w:t>序号</w:t>
            </w:r>
          </w:p>
        </w:tc>
        <w:tc>
          <w:tcPr>
            <w:tcW w:w="1472" w:type="dxa"/>
            <w:tcBorders>
              <w:top w:val="single" w:color="auto" w:sz="4" w:space="0"/>
              <w:left w:val="single" w:color="auto" w:sz="4" w:space="0"/>
              <w:bottom w:val="single" w:color="auto" w:sz="4" w:space="0"/>
              <w:right w:val="single" w:color="auto" w:sz="4" w:space="0"/>
            </w:tcBorders>
            <w:vAlign w:val="center"/>
          </w:tcPr>
          <w:p w14:paraId="3183BECD">
            <w:pPr>
              <w:pageBreakBefore w:val="0"/>
              <w:wordWrap/>
              <w:topLinePunct w:val="0"/>
              <w:bidi w:val="0"/>
              <w:spacing w:line="560" w:lineRule="exact"/>
              <w:jc w:val="center"/>
              <w:textAlignment w:val="center"/>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kern w:val="0"/>
                <w:sz w:val="28"/>
                <w:szCs w:val="28"/>
                <w:highlight w:val="none"/>
                <w14:textFill>
                  <w14:solidFill>
                    <w14:schemeClr w14:val="tx1"/>
                  </w14:solidFill>
                </w14:textFill>
              </w:rPr>
              <w:t>设备名称</w:t>
            </w:r>
          </w:p>
        </w:tc>
        <w:tc>
          <w:tcPr>
            <w:tcW w:w="4542" w:type="dxa"/>
            <w:tcBorders>
              <w:top w:val="single" w:color="auto" w:sz="4" w:space="0"/>
              <w:left w:val="single" w:color="auto" w:sz="4" w:space="0"/>
              <w:bottom w:val="single" w:color="auto" w:sz="4" w:space="0"/>
              <w:right w:val="single" w:color="auto" w:sz="4" w:space="0"/>
            </w:tcBorders>
            <w:vAlign w:val="center"/>
          </w:tcPr>
          <w:p w14:paraId="6F474A5C">
            <w:pPr>
              <w:pageBreakBefore w:val="0"/>
              <w:wordWrap/>
              <w:topLinePunct w:val="0"/>
              <w:bidi w:val="0"/>
              <w:spacing w:line="560" w:lineRule="exact"/>
              <w:jc w:val="center"/>
              <w:textAlignment w:val="center"/>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kern w:val="0"/>
                <w:sz w:val="28"/>
                <w:szCs w:val="28"/>
                <w:highlight w:val="none"/>
                <w14:textFill>
                  <w14:solidFill>
                    <w14:schemeClr w14:val="tx1"/>
                  </w14:solidFill>
                </w14:textFill>
              </w:rPr>
              <w:t>技术参数</w:t>
            </w:r>
          </w:p>
        </w:tc>
        <w:tc>
          <w:tcPr>
            <w:tcW w:w="606" w:type="dxa"/>
            <w:tcBorders>
              <w:top w:val="single" w:color="auto" w:sz="4" w:space="0"/>
              <w:left w:val="single" w:color="auto" w:sz="4" w:space="0"/>
              <w:bottom w:val="single" w:color="auto" w:sz="4" w:space="0"/>
              <w:right w:val="single" w:color="auto" w:sz="4" w:space="0"/>
            </w:tcBorders>
            <w:vAlign w:val="center"/>
          </w:tcPr>
          <w:p w14:paraId="5DFA5FB0">
            <w:pPr>
              <w:pageBreakBefore w:val="0"/>
              <w:wordWrap/>
              <w:topLinePunct w:val="0"/>
              <w:bidi w:val="0"/>
              <w:spacing w:line="560" w:lineRule="exact"/>
              <w:jc w:val="center"/>
              <w:textAlignment w:val="center"/>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kern w:val="0"/>
                <w:sz w:val="28"/>
                <w:szCs w:val="28"/>
                <w:highlight w:val="none"/>
                <w14:textFill>
                  <w14:solidFill>
                    <w14:schemeClr w14:val="tx1"/>
                  </w14:solidFill>
                </w14:textFill>
              </w:rPr>
              <w:t>数量</w:t>
            </w:r>
          </w:p>
        </w:tc>
        <w:tc>
          <w:tcPr>
            <w:tcW w:w="606" w:type="dxa"/>
            <w:tcBorders>
              <w:top w:val="single" w:color="auto" w:sz="4" w:space="0"/>
              <w:left w:val="single" w:color="auto" w:sz="4" w:space="0"/>
              <w:bottom w:val="single" w:color="auto" w:sz="4" w:space="0"/>
              <w:right w:val="single" w:color="auto" w:sz="4" w:space="0"/>
            </w:tcBorders>
            <w:vAlign w:val="center"/>
          </w:tcPr>
          <w:p w14:paraId="6482EBE2">
            <w:pPr>
              <w:pageBreakBefore w:val="0"/>
              <w:wordWrap/>
              <w:topLinePunct w:val="0"/>
              <w:bidi w:val="0"/>
              <w:spacing w:line="560" w:lineRule="exact"/>
              <w:jc w:val="center"/>
              <w:textAlignment w:val="center"/>
              <w:rPr>
                <w:rFonts w:cs="宋体" w:asciiTheme="minorEastAsia" w:hAnsiTheme="minorEastAsia" w:eastAsiaTheme="minorEastAsia"/>
                <w:color w:val="000000" w:themeColor="text1"/>
                <w:kern w:val="0"/>
                <w:sz w:val="28"/>
                <w:szCs w:val="28"/>
                <w:highlight w:val="none"/>
                <w14:textFill>
                  <w14:solidFill>
                    <w14:schemeClr w14:val="tx1"/>
                  </w14:solidFill>
                </w14:textFill>
              </w:rPr>
            </w:pPr>
            <w:r>
              <w:rPr>
                <w:rFonts w:cs="宋体" w:asciiTheme="minorEastAsia" w:hAnsiTheme="minorEastAsia" w:eastAsiaTheme="minorEastAsia"/>
                <w:color w:val="000000" w:themeColor="text1"/>
                <w:kern w:val="0"/>
                <w:sz w:val="28"/>
                <w:szCs w:val="28"/>
                <w:highlight w:val="none"/>
                <w14:textFill>
                  <w14:solidFill>
                    <w14:schemeClr w14:val="tx1"/>
                  </w14:solidFill>
                </w14:textFill>
              </w:rPr>
              <w:t>品牌</w:t>
            </w:r>
          </w:p>
        </w:tc>
        <w:tc>
          <w:tcPr>
            <w:tcW w:w="606" w:type="dxa"/>
            <w:tcBorders>
              <w:top w:val="single" w:color="auto" w:sz="4" w:space="0"/>
              <w:left w:val="single" w:color="auto" w:sz="4" w:space="0"/>
              <w:bottom w:val="single" w:color="auto" w:sz="4" w:space="0"/>
              <w:right w:val="single" w:color="auto" w:sz="4" w:space="0"/>
            </w:tcBorders>
            <w:vAlign w:val="center"/>
          </w:tcPr>
          <w:p w14:paraId="30F208C6">
            <w:pPr>
              <w:pageBreakBefore w:val="0"/>
              <w:wordWrap/>
              <w:topLinePunct w:val="0"/>
              <w:bidi w:val="0"/>
              <w:spacing w:line="560" w:lineRule="exact"/>
              <w:jc w:val="center"/>
              <w:textAlignment w:val="center"/>
              <w:rPr>
                <w:rFonts w:cs="宋体" w:asciiTheme="minorEastAsia" w:hAnsiTheme="minorEastAsia" w:eastAsiaTheme="minorEastAsia"/>
                <w:color w:val="000000" w:themeColor="text1"/>
                <w:kern w:val="0"/>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kern w:val="0"/>
                <w:sz w:val="28"/>
                <w:szCs w:val="28"/>
                <w:highlight w:val="none"/>
                <w14:textFill>
                  <w14:solidFill>
                    <w14:schemeClr w14:val="tx1"/>
                  </w14:solidFill>
                </w14:textFill>
              </w:rPr>
              <w:t>型号</w:t>
            </w:r>
          </w:p>
        </w:tc>
        <w:tc>
          <w:tcPr>
            <w:tcW w:w="606" w:type="dxa"/>
            <w:tcBorders>
              <w:top w:val="single" w:color="auto" w:sz="4" w:space="0"/>
              <w:left w:val="single" w:color="auto" w:sz="4" w:space="0"/>
              <w:bottom w:val="single" w:color="auto" w:sz="4" w:space="0"/>
              <w:right w:val="single" w:color="auto" w:sz="4" w:space="0"/>
            </w:tcBorders>
            <w:vAlign w:val="center"/>
          </w:tcPr>
          <w:p w14:paraId="3B4DCB87">
            <w:pPr>
              <w:pageBreakBefore w:val="0"/>
              <w:wordWrap/>
              <w:topLinePunct w:val="0"/>
              <w:bidi w:val="0"/>
              <w:spacing w:line="560" w:lineRule="exact"/>
              <w:jc w:val="center"/>
              <w:textAlignment w:val="center"/>
              <w:rPr>
                <w:rFonts w:cs="宋体" w:asciiTheme="minorEastAsia" w:hAnsiTheme="minorEastAsia" w:eastAsiaTheme="minorEastAsia"/>
                <w:color w:val="000000" w:themeColor="text1"/>
                <w:kern w:val="0"/>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kern w:val="0"/>
                <w:sz w:val="28"/>
                <w:szCs w:val="28"/>
                <w:highlight w:val="none"/>
                <w14:textFill>
                  <w14:solidFill>
                    <w14:schemeClr w14:val="tx1"/>
                  </w14:solidFill>
                </w14:textFill>
              </w:rPr>
              <w:t>备注</w:t>
            </w:r>
          </w:p>
        </w:tc>
      </w:tr>
      <w:tr w14:paraId="47BC192B">
        <w:tblPrEx>
          <w:tblCellMar>
            <w:top w:w="15" w:type="dxa"/>
            <w:left w:w="15" w:type="dxa"/>
            <w:bottom w:w="15" w:type="dxa"/>
            <w:right w:w="15" w:type="dxa"/>
          </w:tblCellMar>
        </w:tblPrEx>
        <w:trPr>
          <w:trHeight w:val="690" w:hRule="atLeast"/>
          <w:jc w:val="center"/>
        </w:trPr>
        <w:tc>
          <w:tcPr>
            <w:tcW w:w="622" w:type="dxa"/>
            <w:tcBorders>
              <w:top w:val="single" w:color="auto" w:sz="4" w:space="0"/>
              <w:left w:val="single" w:color="auto" w:sz="4" w:space="0"/>
              <w:bottom w:val="single" w:color="auto" w:sz="4" w:space="0"/>
              <w:right w:val="single" w:color="auto" w:sz="4" w:space="0"/>
            </w:tcBorders>
            <w:vAlign w:val="center"/>
          </w:tcPr>
          <w:p w14:paraId="6F44D327">
            <w:pPr>
              <w:pageBreakBefore w:val="0"/>
              <w:wordWrap/>
              <w:topLinePunct w:val="0"/>
              <w:bidi w:val="0"/>
              <w:spacing w:line="560" w:lineRule="exact"/>
              <w:jc w:val="center"/>
              <w:textAlignment w:val="center"/>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1</w:t>
            </w:r>
          </w:p>
        </w:tc>
        <w:tc>
          <w:tcPr>
            <w:tcW w:w="1472" w:type="dxa"/>
            <w:tcBorders>
              <w:top w:val="single" w:color="auto" w:sz="4" w:space="0"/>
              <w:left w:val="single" w:color="auto" w:sz="4" w:space="0"/>
              <w:bottom w:val="single" w:color="auto" w:sz="4" w:space="0"/>
              <w:right w:val="single" w:color="auto" w:sz="4" w:space="0"/>
            </w:tcBorders>
            <w:vAlign w:val="center"/>
          </w:tcPr>
          <w:p w14:paraId="2F21336A">
            <w:pPr>
              <w:pageBreakBefore w:val="0"/>
              <w:wordWrap/>
              <w:topLinePunct w:val="0"/>
              <w:bidi w:val="0"/>
              <w:spacing w:line="560" w:lineRule="exact"/>
              <w:jc w:val="center"/>
              <w:textAlignment w:val="center"/>
              <w:rPr>
                <w:rFonts w:cs="宋体" w:asciiTheme="minorEastAsia" w:hAnsiTheme="minorEastAsia" w:eastAsiaTheme="minorEastAsia"/>
                <w:color w:val="000000" w:themeColor="text1"/>
                <w:sz w:val="28"/>
                <w:szCs w:val="28"/>
                <w:highlight w:val="none"/>
                <w14:textFill>
                  <w14:solidFill>
                    <w14:schemeClr w14:val="tx1"/>
                  </w14:solidFill>
                </w14:textFill>
              </w:rPr>
            </w:pPr>
          </w:p>
        </w:tc>
        <w:tc>
          <w:tcPr>
            <w:tcW w:w="4542" w:type="dxa"/>
            <w:tcBorders>
              <w:top w:val="single" w:color="auto" w:sz="4" w:space="0"/>
              <w:left w:val="single" w:color="auto" w:sz="4" w:space="0"/>
              <w:bottom w:val="single" w:color="auto" w:sz="4" w:space="0"/>
              <w:right w:val="single" w:color="auto" w:sz="4" w:space="0"/>
            </w:tcBorders>
            <w:vAlign w:val="center"/>
          </w:tcPr>
          <w:p w14:paraId="1C5BD587">
            <w:pPr>
              <w:pageBreakBefore w:val="0"/>
              <w:wordWrap/>
              <w:topLinePunct w:val="0"/>
              <w:bidi w:val="0"/>
              <w:spacing w:line="560" w:lineRule="exact"/>
              <w:jc w:val="center"/>
              <w:textAlignment w:val="center"/>
              <w:rPr>
                <w:rFonts w:cs="宋体" w:asciiTheme="minorEastAsia" w:hAnsiTheme="minorEastAsia" w:eastAsiaTheme="minorEastAsia"/>
                <w:color w:val="000000" w:themeColor="text1"/>
                <w:sz w:val="28"/>
                <w:szCs w:val="28"/>
                <w:highlight w:val="none"/>
                <w14:textFill>
                  <w14:solidFill>
                    <w14:schemeClr w14:val="tx1"/>
                  </w14:solidFill>
                </w14:textFill>
              </w:rPr>
            </w:pPr>
          </w:p>
        </w:tc>
        <w:tc>
          <w:tcPr>
            <w:tcW w:w="606" w:type="dxa"/>
            <w:tcBorders>
              <w:top w:val="single" w:color="auto" w:sz="4" w:space="0"/>
              <w:left w:val="single" w:color="auto" w:sz="4" w:space="0"/>
              <w:bottom w:val="single" w:color="auto" w:sz="4" w:space="0"/>
              <w:right w:val="single" w:color="auto" w:sz="4" w:space="0"/>
            </w:tcBorders>
            <w:vAlign w:val="center"/>
          </w:tcPr>
          <w:p w14:paraId="3015996B">
            <w:pPr>
              <w:pageBreakBefore w:val="0"/>
              <w:wordWrap/>
              <w:topLinePunct w:val="0"/>
              <w:bidi w:val="0"/>
              <w:spacing w:line="560" w:lineRule="exact"/>
              <w:jc w:val="center"/>
              <w:textAlignment w:val="center"/>
              <w:rPr>
                <w:rFonts w:cs="宋体" w:asciiTheme="minorEastAsia" w:hAnsiTheme="minorEastAsia" w:eastAsiaTheme="minorEastAsia"/>
                <w:color w:val="000000" w:themeColor="text1"/>
                <w:sz w:val="28"/>
                <w:szCs w:val="28"/>
                <w:highlight w:val="none"/>
                <w14:textFill>
                  <w14:solidFill>
                    <w14:schemeClr w14:val="tx1"/>
                  </w14:solidFill>
                </w14:textFill>
              </w:rPr>
            </w:pPr>
          </w:p>
        </w:tc>
        <w:tc>
          <w:tcPr>
            <w:tcW w:w="606" w:type="dxa"/>
            <w:tcBorders>
              <w:top w:val="single" w:color="auto" w:sz="4" w:space="0"/>
              <w:left w:val="single" w:color="auto" w:sz="4" w:space="0"/>
              <w:bottom w:val="single" w:color="auto" w:sz="4" w:space="0"/>
              <w:right w:val="single" w:color="auto" w:sz="4" w:space="0"/>
            </w:tcBorders>
            <w:vAlign w:val="center"/>
          </w:tcPr>
          <w:p w14:paraId="534C3B50">
            <w:pPr>
              <w:pageBreakBefore w:val="0"/>
              <w:wordWrap/>
              <w:topLinePunct w:val="0"/>
              <w:bidi w:val="0"/>
              <w:spacing w:line="560" w:lineRule="exact"/>
              <w:jc w:val="center"/>
              <w:rPr>
                <w:rFonts w:cs="宋体" w:asciiTheme="minorEastAsia" w:hAnsiTheme="minorEastAsia" w:eastAsiaTheme="minorEastAsia"/>
                <w:color w:val="000000" w:themeColor="text1"/>
                <w:sz w:val="28"/>
                <w:szCs w:val="28"/>
                <w:highlight w:val="none"/>
                <w14:textFill>
                  <w14:solidFill>
                    <w14:schemeClr w14:val="tx1"/>
                  </w14:solidFill>
                </w14:textFill>
              </w:rPr>
            </w:pPr>
          </w:p>
        </w:tc>
        <w:tc>
          <w:tcPr>
            <w:tcW w:w="606" w:type="dxa"/>
            <w:tcBorders>
              <w:top w:val="single" w:color="auto" w:sz="4" w:space="0"/>
              <w:left w:val="single" w:color="auto" w:sz="4" w:space="0"/>
              <w:bottom w:val="single" w:color="auto" w:sz="4" w:space="0"/>
              <w:right w:val="single" w:color="auto" w:sz="4" w:space="0"/>
            </w:tcBorders>
          </w:tcPr>
          <w:p w14:paraId="4F46FDE2">
            <w:pPr>
              <w:pageBreakBefore w:val="0"/>
              <w:wordWrap/>
              <w:topLinePunct w:val="0"/>
              <w:bidi w:val="0"/>
              <w:spacing w:line="560" w:lineRule="exact"/>
              <w:jc w:val="center"/>
              <w:rPr>
                <w:rFonts w:cs="宋体" w:asciiTheme="minorEastAsia" w:hAnsiTheme="minorEastAsia" w:eastAsiaTheme="minorEastAsia"/>
                <w:color w:val="000000" w:themeColor="text1"/>
                <w:sz w:val="28"/>
                <w:szCs w:val="28"/>
                <w:highlight w:val="none"/>
                <w14:textFill>
                  <w14:solidFill>
                    <w14:schemeClr w14:val="tx1"/>
                  </w14:solidFill>
                </w14:textFill>
              </w:rPr>
            </w:pPr>
          </w:p>
        </w:tc>
        <w:tc>
          <w:tcPr>
            <w:tcW w:w="606" w:type="dxa"/>
            <w:tcBorders>
              <w:top w:val="single" w:color="auto" w:sz="4" w:space="0"/>
              <w:left w:val="single" w:color="auto" w:sz="4" w:space="0"/>
              <w:bottom w:val="single" w:color="auto" w:sz="4" w:space="0"/>
              <w:right w:val="single" w:color="auto" w:sz="4" w:space="0"/>
            </w:tcBorders>
          </w:tcPr>
          <w:p w14:paraId="4988BF18">
            <w:pPr>
              <w:pageBreakBefore w:val="0"/>
              <w:wordWrap/>
              <w:topLinePunct w:val="0"/>
              <w:bidi w:val="0"/>
              <w:spacing w:line="560" w:lineRule="exact"/>
              <w:jc w:val="center"/>
              <w:rPr>
                <w:rFonts w:cs="宋体" w:asciiTheme="minorEastAsia" w:hAnsiTheme="minorEastAsia" w:eastAsiaTheme="minorEastAsia"/>
                <w:color w:val="000000" w:themeColor="text1"/>
                <w:sz w:val="28"/>
                <w:szCs w:val="28"/>
                <w:highlight w:val="none"/>
                <w14:textFill>
                  <w14:solidFill>
                    <w14:schemeClr w14:val="tx1"/>
                  </w14:solidFill>
                </w14:textFill>
              </w:rPr>
            </w:pPr>
          </w:p>
        </w:tc>
      </w:tr>
      <w:tr w14:paraId="3FDD470A">
        <w:tblPrEx>
          <w:tblCellMar>
            <w:top w:w="15" w:type="dxa"/>
            <w:left w:w="15" w:type="dxa"/>
            <w:bottom w:w="15" w:type="dxa"/>
            <w:right w:w="15" w:type="dxa"/>
          </w:tblCellMar>
        </w:tblPrEx>
        <w:trPr>
          <w:trHeight w:val="690" w:hRule="atLeast"/>
          <w:jc w:val="center"/>
        </w:trPr>
        <w:tc>
          <w:tcPr>
            <w:tcW w:w="622" w:type="dxa"/>
            <w:tcBorders>
              <w:top w:val="single" w:color="auto" w:sz="4" w:space="0"/>
              <w:left w:val="single" w:color="auto" w:sz="4" w:space="0"/>
              <w:bottom w:val="single" w:color="auto" w:sz="4" w:space="0"/>
              <w:right w:val="single" w:color="auto" w:sz="4" w:space="0"/>
            </w:tcBorders>
            <w:vAlign w:val="center"/>
          </w:tcPr>
          <w:p w14:paraId="7468FF3B">
            <w:pPr>
              <w:pageBreakBefore w:val="0"/>
              <w:wordWrap/>
              <w:topLinePunct w:val="0"/>
              <w:bidi w:val="0"/>
              <w:spacing w:line="560" w:lineRule="exact"/>
              <w:jc w:val="center"/>
              <w:textAlignment w:val="center"/>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2</w:t>
            </w:r>
          </w:p>
        </w:tc>
        <w:tc>
          <w:tcPr>
            <w:tcW w:w="1472" w:type="dxa"/>
            <w:tcBorders>
              <w:top w:val="single" w:color="auto" w:sz="4" w:space="0"/>
              <w:left w:val="single" w:color="auto" w:sz="4" w:space="0"/>
              <w:bottom w:val="single" w:color="auto" w:sz="4" w:space="0"/>
              <w:right w:val="single" w:color="auto" w:sz="4" w:space="0"/>
            </w:tcBorders>
            <w:vAlign w:val="center"/>
          </w:tcPr>
          <w:p w14:paraId="15CCB01C">
            <w:pPr>
              <w:pageBreakBefore w:val="0"/>
              <w:wordWrap/>
              <w:topLinePunct w:val="0"/>
              <w:bidi w:val="0"/>
              <w:spacing w:line="560" w:lineRule="exact"/>
              <w:jc w:val="center"/>
              <w:textAlignment w:val="center"/>
              <w:rPr>
                <w:rFonts w:cs="宋体" w:asciiTheme="minorEastAsia" w:hAnsiTheme="minorEastAsia" w:eastAsiaTheme="minorEastAsia"/>
                <w:color w:val="000000" w:themeColor="text1"/>
                <w:sz w:val="28"/>
                <w:szCs w:val="28"/>
                <w:highlight w:val="none"/>
                <w14:textFill>
                  <w14:solidFill>
                    <w14:schemeClr w14:val="tx1"/>
                  </w14:solidFill>
                </w14:textFill>
              </w:rPr>
            </w:pPr>
          </w:p>
        </w:tc>
        <w:tc>
          <w:tcPr>
            <w:tcW w:w="4542" w:type="dxa"/>
            <w:tcBorders>
              <w:top w:val="single" w:color="auto" w:sz="4" w:space="0"/>
              <w:left w:val="single" w:color="auto" w:sz="4" w:space="0"/>
              <w:bottom w:val="single" w:color="auto" w:sz="4" w:space="0"/>
              <w:right w:val="single" w:color="auto" w:sz="4" w:space="0"/>
            </w:tcBorders>
            <w:vAlign w:val="center"/>
          </w:tcPr>
          <w:p w14:paraId="515AB281">
            <w:pPr>
              <w:pageBreakBefore w:val="0"/>
              <w:wordWrap/>
              <w:topLinePunct w:val="0"/>
              <w:bidi w:val="0"/>
              <w:spacing w:line="560" w:lineRule="exact"/>
              <w:jc w:val="center"/>
              <w:textAlignment w:val="center"/>
              <w:rPr>
                <w:rFonts w:cs="宋体" w:asciiTheme="minorEastAsia" w:hAnsiTheme="minorEastAsia" w:eastAsiaTheme="minorEastAsia"/>
                <w:color w:val="000000" w:themeColor="text1"/>
                <w:sz w:val="28"/>
                <w:szCs w:val="28"/>
                <w:highlight w:val="none"/>
                <w14:textFill>
                  <w14:solidFill>
                    <w14:schemeClr w14:val="tx1"/>
                  </w14:solidFill>
                </w14:textFill>
              </w:rPr>
            </w:pPr>
          </w:p>
        </w:tc>
        <w:tc>
          <w:tcPr>
            <w:tcW w:w="606" w:type="dxa"/>
            <w:tcBorders>
              <w:top w:val="single" w:color="auto" w:sz="4" w:space="0"/>
              <w:left w:val="single" w:color="auto" w:sz="4" w:space="0"/>
              <w:bottom w:val="single" w:color="auto" w:sz="4" w:space="0"/>
              <w:right w:val="single" w:color="auto" w:sz="4" w:space="0"/>
            </w:tcBorders>
            <w:vAlign w:val="center"/>
          </w:tcPr>
          <w:p w14:paraId="61484994">
            <w:pPr>
              <w:pageBreakBefore w:val="0"/>
              <w:wordWrap/>
              <w:topLinePunct w:val="0"/>
              <w:bidi w:val="0"/>
              <w:spacing w:line="560" w:lineRule="exact"/>
              <w:jc w:val="center"/>
              <w:textAlignment w:val="center"/>
              <w:rPr>
                <w:rFonts w:cs="宋体" w:asciiTheme="minorEastAsia" w:hAnsiTheme="minorEastAsia" w:eastAsiaTheme="minorEastAsia"/>
                <w:color w:val="000000" w:themeColor="text1"/>
                <w:sz w:val="28"/>
                <w:szCs w:val="28"/>
                <w:highlight w:val="none"/>
                <w14:textFill>
                  <w14:solidFill>
                    <w14:schemeClr w14:val="tx1"/>
                  </w14:solidFill>
                </w14:textFill>
              </w:rPr>
            </w:pPr>
          </w:p>
        </w:tc>
        <w:tc>
          <w:tcPr>
            <w:tcW w:w="606" w:type="dxa"/>
            <w:tcBorders>
              <w:top w:val="single" w:color="auto" w:sz="4" w:space="0"/>
              <w:left w:val="single" w:color="auto" w:sz="4" w:space="0"/>
              <w:bottom w:val="single" w:color="auto" w:sz="4" w:space="0"/>
              <w:right w:val="single" w:color="auto" w:sz="4" w:space="0"/>
            </w:tcBorders>
            <w:vAlign w:val="center"/>
          </w:tcPr>
          <w:p w14:paraId="2F7634FA">
            <w:pPr>
              <w:pageBreakBefore w:val="0"/>
              <w:wordWrap/>
              <w:topLinePunct w:val="0"/>
              <w:bidi w:val="0"/>
              <w:spacing w:line="560" w:lineRule="exact"/>
              <w:jc w:val="center"/>
              <w:rPr>
                <w:rFonts w:cs="宋体" w:asciiTheme="minorEastAsia" w:hAnsiTheme="minorEastAsia" w:eastAsiaTheme="minorEastAsia"/>
                <w:color w:val="000000" w:themeColor="text1"/>
                <w:sz w:val="28"/>
                <w:szCs w:val="28"/>
                <w:highlight w:val="none"/>
                <w14:textFill>
                  <w14:solidFill>
                    <w14:schemeClr w14:val="tx1"/>
                  </w14:solidFill>
                </w14:textFill>
              </w:rPr>
            </w:pPr>
          </w:p>
        </w:tc>
        <w:tc>
          <w:tcPr>
            <w:tcW w:w="606" w:type="dxa"/>
            <w:tcBorders>
              <w:top w:val="single" w:color="auto" w:sz="4" w:space="0"/>
              <w:left w:val="single" w:color="auto" w:sz="4" w:space="0"/>
              <w:bottom w:val="single" w:color="auto" w:sz="4" w:space="0"/>
              <w:right w:val="single" w:color="auto" w:sz="4" w:space="0"/>
            </w:tcBorders>
          </w:tcPr>
          <w:p w14:paraId="63EEBCDF">
            <w:pPr>
              <w:pageBreakBefore w:val="0"/>
              <w:wordWrap/>
              <w:topLinePunct w:val="0"/>
              <w:bidi w:val="0"/>
              <w:spacing w:line="560" w:lineRule="exact"/>
              <w:jc w:val="center"/>
              <w:rPr>
                <w:rFonts w:cs="宋体" w:asciiTheme="minorEastAsia" w:hAnsiTheme="minorEastAsia" w:eastAsiaTheme="minorEastAsia"/>
                <w:color w:val="000000" w:themeColor="text1"/>
                <w:sz w:val="28"/>
                <w:szCs w:val="28"/>
                <w:highlight w:val="none"/>
                <w14:textFill>
                  <w14:solidFill>
                    <w14:schemeClr w14:val="tx1"/>
                  </w14:solidFill>
                </w14:textFill>
              </w:rPr>
            </w:pPr>
          </w:p>
        </w:tc>
        <w:tc>
          <w:tcPr>
            <w:tcW w:w="606" w:type="dxa"/>
            <w:tcBorders>
              <w:top w:val="single" w:color="auto" w:sz="4" w:space="0"/>
              <w:left w:val="single" w:color="auto" w:sz="4" w:space="0"/>
              <w:bottom w:val="single" w:color="auto" w:sz="4" w:space="0"/>
              <w:right w:val="single" w:color="auto" w:sz="4" w:space="0"/>
            </w:tcBorders>
          </w:tcPr>
          <w:p w14:paraId="2F84AF89">
            <w:pPr>
              <w:pageBreakBefore w:val="0"/>
              <w:wordWrap/>
              <w:topLinePunct w:val="0"/>
              <w:bidi w:val="0"/>
              <w:spacing w:line="560" w:lineRule="exact"/>
              <w:jc w:val="center"/>
              <w:rPr>
                <w:rFonts w:cs="宋体" w:asciiTheme="minorEastAsia" w:hAnsiTheme="minorEastAsia" w:eastAsiaTheme="minorEastAsia"/>
                <w:color w:val="000000" w:themeColor="text1"/>
                <w:sz w:val="28"/>
                <w:szCs w:val="28"/>
                <w:highlight w:val="none"/>
                <w14:textFill>
                  <w14:solidFill>
                    <w14:schemeClr w14:val="tx1"/>
                  </w14:solidFill>
                </w14:textFill>
              </w:rPr>
            </w:pPr>
          </w:p>
        </w:tc>
      </w:tr>
      <w:tr w14:paraId="01C91279">
        <w:tblPrEx>
          <w:tblCellMar>
            <w:top w:w="15" w:type="dxa"/>
            <w:left w:w="15" w:type="dxa"/>
            <w:bottom w:w="15" w:type="dxa"/>
            <w:right w:w="15" w:type="dxa"/>
          </w:tblCellMar>
        </w:tblPrEx>
        <w:trPr>
          <w:trHeight w:val="690" w:hRule="atLeast"/>
          <w:jc w:val="center"/>
        </w:trPr>
        <w:tc>
          <w:tcPr>
            <w:tcW w:w="622" w:type="dxa"/>
            <w:tcBorders>
              <w:top w:val="single" w:color="auto" w:sz="4" w:space="0"/>
              <w:left w:val="single" w:color="auto" w:sz="4" w:space="0"/>
              <w:bottom w:val="single" w:color="auto" w:sz="4" w:space="0"/>
              <w:right w:val="single" w:color="auto" w:sz="4" w:space="0"/>
            </w:tcBorders>
            <w:vAlign w:val="center"/>
          </w:tcPr>
          <w:p w14:paraId="7DB28ACB">
            <w:pPr>
              <w:pageBreakBefore w:val="0"/>
              <w:wordWrap/>
              <w:topLinePunct w:val="0"/>
              <w:bidi w:val="0"/>
              <w:spacing w:line="560" w:lineRule="exact"/>
              <w:jc w:val="center"/>
              <w:textAlignment w:val="center"/>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3</w:t>
            </w:r>
          </w:p>
        </w:tc>
        <w:tc>
          <w:tcPr>
            <w:tcW w:w="1472" w:type="dxa"/>
            <w:tcBorders>
              <w:top w:val="single" w:color="auto" w:sz="4" w:space="0"/>
              <w:left w:val="single" w:color="auto" w:sz="4" w:space="0"/>
              <w:bottom w:val="single" w:color="auto" w:sz="4" w:space="0"/>
              <w:right w:val="single" w:color="auto" w:sz="4" w:space="0"/>
            </w:tcBorders>
            <w:vAlign w:val="center"/>
          </w:tcPr>
          <w:p w14:paraId="225A4628">
            <w:pPr>
              <w:pageBreakBefore w:val="0"/>
              <w:wordWrap/>
              <w:topLinePunct w:val="0"/>
              <w:bidi w:val="0"/>
              <w:spacing w:line="560" w:lineRule="exact"/>
              <w:jc w:val="center"/>
              <w:textAlignment w:val="center"/>
              <w:rPr>
                <w:rFonts w:cs="宋体" w:asciiTheme="minorEastAsia" w:hAnsiTheme="minorEastAsia" w:eastAsiaTheme="minorEastAsia"/>
                <w:color w:val="000000" w:themeColor="text1"/>
                <w:sz w:val="28"/>
                <w:szCs w:val="28"/>
                <w:highlight w:val="none"/>
                <w14:textFill>
                  <w14:solidFill>
                    <w14:schemeClr w14:val="tx1"/>
                  </w14:solidFill>
                </w14:textFill>
              </w:rPr>
            </w:pPr>
          </w:p>
        </w:tc>
        <w:tc>
          <w:tcPr>
            <w:tcW w:w="4542" w:type="dxa"/>
            <w:tcBorders>
              <w:top w:val="single" w:color="auto" w:sz="4" w:space="0"/>
              <w:left w:val="single" w:color="auto" w:sz="4" w:space="0"/>
              <w:bottom w:val="single" w:color="auto" w:sz="4" w:space="0"/>
              <w:right w:val="single" w:color="auto" w:sz="4" w:space="0"/>
            </w:tcBorders>
            <w:vAlign w:val="center"/>
          </w:tcPr>
          <w:p w14:paraId="694FC21A">
            <w:pPr>
              <w:pageBreakBefore w:val="0"/>
              <w:wordWrap/>
              <w:topLinePunct w:val="0"/>
              <w:bidi w:val="0"/>
              <w:spacing w:line="560" w:lineRule="exact"/>
              <w:jc w:val="center"/>
              <w:textAlignment w:val="center"/>
              <w:rPr>
                <w:rFonts w:cs="宋体" w:asciiTheme="minorEastAsia" w:hAnsiTheme="minorEastAsia" w:eastAsiaTheme="minorEastAsia"/>
                <w:color w:val="000000" w:themeColor="text1"/>
                <w:sz w:val="28"/>
                <w:szCs w:val="28"/>
                <w:highlight w:val="none"/>
                <w14:textFill>
                  <w14:solidFill>
                    <w14:schemeClr w14:val="tx1"/>
                  </w14:solidFill>
                </w14:textFill>
              </w:rPr>
            </w:pPr>
          </w:p>
        </w:tc>
        <w:tc>
          <w:tcPr>
            <w:tcW w:w="606" w:type="dxa"/>
            <w:tcBorders>
              <w:top w:val="single" w:color="auto" w:sz="4" w:space="0"/>
              <w:left w:val="single" w:color="auto" w:sz="4" w:space="0"/>
              <w:bottom w:val="single" w:color="auto" w:sz="4" w:space="0"/>
              <w:right w:val="single" w:color="auto" w:sz="4" w:space="0"/>
            </w:tcBorders>
            <w:vAlign w:val="center"/>
          </w:tcPr>
          <w:p w14:paraId="30F11839">
            <w:pPr>
              <w:pageBreakBefore w:val="0"/>
              <w:wordWrap/>
              <w:topLinePunct w:val="0"/>
              <w:bidi w:val="0"/>
              <w:spacing w:line="560" w:lineRule="exact"/>
              <w:jc w:val="center"/>
              <w:textAlignment w:val="center"/>
              <w:rPr>
                <w:rFonts w:cs="宋体" w:asciiTheme="minorEastAsia" w:hAnsiTheme="minorEastAsia" w:eastAsiaTheme="minorEastAsia"/>
                <w:color w:val="000000" w:themeColor="text1"/>
                <w:sz w:val="28"/>
                <w:szCs w:val="28"/>
                <w:highlight w:val="none"/>
                <w14:textFill>
                  <w14:solidFill>
                    <w14:schemeClr w14:val="tx1"/>
                  </w14:solidFill>
                </w14:textFill>
              </w:rPr>
            </w:pPr>
          </w:p>
        </w:tc>
        <w:tc>
          <w:tcPr>
            <w:tcW w:w="606" w:type="dxa"/>
            <w:tcBorders>
              <w:top w:val="single" w:color="auto" w:sz="4" w:space="0"/>
              <w:left w:val="single" w:color="auto" w:sz="4" w:space="0"/>
              <w:bottom w:val="single" w:color="auto" w:sz="4" w:space="0"/>
              <w:right w:val="single" w:color="auto" w:sz="4" w:space="0"/>
            </w:tcBorders>
            <w:vAlign w:val="center"/>
          </w:tcPr>
          <w:p w14:paraId="017C7DAC">
            <w:pPr>
              <w:pageBreakBefore w:val="0"/>
              <w:wordWrap/>
              <w:topLinePunct w:val="0"/>
              <w:bidi w:val="0"/>
              <w:spacing w:line="560" w:lineRule="exact"/>
              <w:jc w:val="center"/>
              <w:rPr>
                <w:rFonts w:cs="宋体" w:asciiTheme="minorEastAsia" w:hAnsiTheme="minorEastAsia" w:eastAsiaTheme="minorEastAsia"/>
                <w:color w:val="000000" w:themeColor="text1"/>
                <w:sz w:val="28"/>
                <w:szCs w:val="28"/>
                <w:highlight w:val="none"/>
                <w14:textFill>
                  <w14:solidFill>
                    <w14:schemeClr w14:val="tx1"/>
                  </w14:solidFill>
                </w14:textFill>
              </w:rPr>
            </w:pPr>
          </w:p>
        </w:tc>
        <w:tc>
          <w:tcPr>
            <w:tcW w:w="606" w:type="dxa"/>
            <w:tcBorders>
              <w:top w:val="single" w:color="auto" w:sz="4" w:space="0"/>
              <w:left w:val="single" w:color="auto" w:sz="4" w:space="0"/>
              <w:bottom w:val="single" w:color="auto" w:sz="4" w:space="0"/>
              <w:right w:val="single" w:color="auto" w:sz="4" w:space="0"/>
            </w:tcBorders>
          </w:tcPr>
          <w:p w14:paraId="5DA3A291">
            <w:pPr>
              <w:pageBreakBefore w:val="0"/>
              <w:wordWrap/>
              <w:topLinePunct w:val="0"/>
              <w:bidi w:val="0"/>
              <w:spacing w:line="560" w:lineRule="exact"/>
              <w:jc w:val="center"/>
              <w:rPr>
                <w:rFonts w:cs="宋体" w:asciiTheme="minorEastAsia" w:hAnsiTheme="minorEastAsia" w:eastAsiaTheme="minorEastAsia"/>
                <w:color w:val="000000" w:themeColor="text1"/>
                <w:sz w:val="28"/>
                <w:szCs w:val="28"/>
                <w:highlight w:val="none"/>
                <w14:textFill>
                  <w14:solidFill>
                    <w14:schemeClr w14:val="tx1"/>
                  </w14:solidFill>
                </w14:textFill>
              </w:rPr>
            </w:pPr>
          </w:p>
        </w:tc>
        <w:tc>
          <w:tcPr>
            <w:tcW w:w="606" w:type="dxa"/>
            <w:tcBorders>
              <w:top w:val="single" w:color="auto" w:sz="4" w:space="0"/>
              <w:left w:val="single" w:color="auto" w:sz="4" w:space="0"/>
              <w:bottom w:val="single" w:color="auto" w:sz="4" w:space="0"/>
              <w:right w:val="single" w:color="auto" w:sz="4" w:space="0"/>
            </w:tcBorders>
          </w:tcPr>
          <w:p w14:paraId="1FEE011E">
            <w:pPr>
              <w:pageBreakBefore w:val="0"/>
              <w:wordWrap/>
              <w:topLinePunct w:val="0"/>
              <w:bidi w:val="0"/>
              <w:spacing w:line="560" w:lineRule="exact"/>
              <w:jc w:val="center"/>
              <w:rPr>
                <w:rFonts w:cs="宋体" w:asciiTheme="minorEastAsia" w:hAnsiTheme="minorEastAsia" w:eastAsiaTheme="minorEastAsia"/>
                <w:color w:val="000000" w:themeColor="text1"/>
                <w:sz w:val="28"/>
                <w:szCs w:val="28"/>
                <w:highlight w:val="none"/>
                <w14:textFill>
                  <w14:solidFill>
                    <w14:schemeClr w14:val="tx1"/>
                  </w14:solidFill>
                </w14:textFill>
              </w:rPr>
            </w:pPr>
          </w:p>
        </w:tc>
      </w:tr>
      <w:tr w14:paraId="37690087">
        <w:tblPrEx>
          <w:tblCellMar>
            <w:top w:w="15" w:type="dxa"/>
            <w:left w:w="15" w:type="dxa"/>
            <w:bottom w:w="15" w:type="dxa"/>
            <w:right w:w="15" w:type="dxa"/>
          </w:tblCellMar>
        </w:tblPrEx>
        <w:trPr>
          <w:trHeight w:val="690" w:hRule="atLeast"/>
          <w:jc w:val="center"/>
        </w:trPr>
        <w:tc>
          <w:tcPr>
            <w:tcW w:w="622" w:type="dxa"/>
            <w:tcBorders>
              <w:top w:val="single" w:color="auto" w:sz="4" w:space="0"/>
              <w:left w:val="single" w:color="auto" w:sz="4" w:space="0"/>
              <w:bottom w:val="single" w:color="auto" w:sz="4" w:space="0"/>
              <w:right w:val="single" w:color="auto" w:sz="4" w:space="0"/>
            </w:tcBorders>
            <w:vAlign w:val="center"/>
          </w:tcPr>
          <w:p w14:paraId="632708DE">
            <w:pPr>
              <w:pageBreakBefore w:val="0"/>
              <w:wordWrap/>
              <w:topLinePunct w:val="0"/>
              <w:bidi w:val="0"/>
              <w:spacing w:line="560" w:lineRule="exact"/>
              <w:jc w:val="center"/>
              <w:textAlignment w:val="center"/>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4</w:t>
            </w:r>
          </w:p>
        </w:tc>
        <w:tc>
          <w:tcPr>
            <w:tcW w:w="1472" w:type="dxa"/>
            <w:tcBorders>
              <w:top w:val="single" w:color="auto" w:sz="4" w:space="0"/>
              <w:left w:val="single" w:color="auto" w:sz="4" w:space="0"/>
              <w:bottom w:val="single" w:color="auto" w:sz="4" w:space="0"/>
              <w:right w:val="single" w:color="auto" w:sz="4" w:space="0"/>
            </w:tcBorders>
            <w:vAlign w:val="center"/>
          </w:tcPr>
          <w:p w14:paraId="344ACC93">
            <w:pPr>
              <w:pageBreakBefore w:val="0"/>
              <w:wordWrap/>
              <w:topLinePunct w:val="0"/>
              <w:bidi w:val="0"/>
              <w:spacing w:line="560" w:lineRule="exact"/>
              <w:jc w:val="center"/>
              <w:textAlignment w:val="center"/>
              <w:rPr>
                <w:rFonts w:cs="宋体" w:asciiTheme="minorEastAsia" w:hAnsiTheme="minorEastAsia" w:eastAsiaTheme="minorEastAsia"/>
                <w:color w:val="000000" w:themeColor="text1"/>
                <w:sz w:val="28"/>
                <w:szCs w:val="28"/>
                <w:highlight w:val="none"/>
                <w14:textFill>
                  <w14:solidFill>
                    <w14:schemeClr w14:val="tx1"/>
                  </w14:solidFill>
                </w14:textFill>
              </w:rPr>
            </w:pPr>
          </w:p>
        </w:tc>
        <w:tc>
          <w:tcPr>
            <w:tcW w:w="4542" w:type="dxa"/>
            <w:tcBorders>
              <w:top w:val="single" w:color="auto" w:sz="4" w:space="0"/>
              <w:left w:val="single" w:color="auto" w:sz="4" w:space="0"/>
              <w:bottom w:val="single" w:color="auto" w:sz="4" w:space="0"/>
              <w:right w:val="single" w:color="auto" w:sz="4" w:space="0"/>
            </w:tcBorders>
            <w:vAlign w:val="center"/>
          </w:tcPr>
          <w:p w14:paraId="592521D9">
            <w:pPr>
              <w:pageBreakBefore w:val="0"/>
              <w:wordWrap/>
              <w:topLinePunct w:val="0"/>
              <w:bidi w:val="0"/>
              <w:spacing w:line="560" w:lineRule="exact"/>
              <w:jc w:val="center"/>
              <w:textAlignment w:val="center"/>
              <w:rPr>
                <w:rFonts w:cs="宋体" w:asciiTheme="minorEastAsia" w:hAnsiTheme="minorEastAsia" w:eastAsiaTheme="minorEastAsia"/>
                <w:color w:val="000000" w:themeColor="text1"/>
                <w:sz w:val="28"/>
                <w:szCs w:val="28"/>
                <w:highlight w:val="none"/>
                <w14:textFill>
                  <w14:solidFill>
                    <w14:schemeClr w14:val="tx1"/>
                  </w14:solidFill>
                </w14:textFill>
              </w:rPr>
            </w:pPr>
          </w:p>
        </w:tc>
        <w:tc>
          <w:tcPr>
            <w:tcW w:w="606" w:type="dxa"/>
            <w:tcBorders>
              <w:top w:val="single" w:color="auto" w:sz="4" w:space="0"/>
              <w:left w:val="single" w:color="auto" w:sz="4" w:space="0"/>
              <w:bottom w:val="single" w:color="auto" w:sz="4" w:space="0"/>
              <w:right w:val="single" w:color="auto" w:sz="4" w:space="0"/>
            </w:tcBorders>
            <w:vAlign w:val="center"/>
          </w:tcPr>
          <w:p w14:paraId="2294BB2B">
            <w:pPr>
              <w:pageBreakBefore w:val="0"/>
              <w:wordWrap/>
              <w:topLinePunct w:val="0"/>
              <w:bidi w:val="0"/>
              <w:spacing w:line="560" w:lineRule="exact"/>
              <w:jc w:val="center"/>
              <w:textAlignment w:val="center"/>
              <w:rPr>
                <w:rFonts w:cs="宋体" w:asciiTheme="minorEastAsia" w:hAnsiTheme="minorEastAsia" w:eastAsiaTheme="minorEastAsia"/>
                <w:color w:val="000000" w:themeColor="text1"/>
                <w:sz w:val="28"/>
                <w:szCs w:val="28"/>
                <w:highlight w:val="none"/>
                <w14:textFill>
                  <w14:solidFill>
                    <w14:schemeClr w14:val="tx1"/>
                  </w14:solidFill>
                </w14:textFill>
              </w:rPr>
            </w:pPr>
          </w:p>
        </w:tc>
        <w:tc>
          <w:tcPr>
            <w:tcW w:w="606" w:type="dxa"/>
            <w:tcBorders>
              <w:top w:val="single" w:color="auto" w:sz="4" w:space="0"/>
              <w:left w:val="single" w:color="auto" w:sz="4" w:space="0"/>
              <w:bottom w:val="single" w:color="auto" w:sz="4" w:space="0"/>
              <w:right w:val="single" w:color="auto" w:sz="4" w:space="0"/>
            </w:tcBorders>
            <w:vAlign w:val="center"/>
          </w:tcPr>
          <w:p w14:paraId="1C6BD808">
            <w:pPr>
              <w:pageBreakBefore w:val="0"/>
              <w:wordWrap/>
              <w:topLinePunct w:val="0"/>
              <w:bidi w:val="0"/>
              <w:spacing w:line="560" w:lineRule="exact"/>
              <w:jc w:val="center"/>
              <w:rPr>
                <w:rFonts w:cs="宋体" w:asciiTheme="minorEastAsia" w:hAnsiTheme="minorEastAsia" w:eastAsiaTheme="minorEastAsia"/>
                <w:color w:val="000000" w:themeColor="text1"/>
                <w:sz w:val="28"/>
                <w:szCs w:val="28"/>
                <w:highlight w:val="none"/>
                <w14:textFill>
                  <w14:solidFill>
                    <w14:schemeClr w14:val="tx1"/>
                  </w14:solidFill>
                </w14:textFill>
              </w:rPr>
            </w:pPr>
          </w:p>
        </w:tc>
        <w:tc>
          <w:tcPr>
            <w:tcW w:w="606" w:type="dxa"/>
            <w:tcBorders>
              <w:top w:val="single" w:color="auto" w:sz="4" w:space="0"/>
              <w:left w:val="single" w:color="auto" w:sz="4" w:space="0"/>
              <w:bottom w:val="single" w:color="auto" w:sz="4" w:space="0"/>
              <w:right w:val="single" w:color="auto" w:sz="4" w:space="0"/>
            </w:tcBorders>
          </w:tcPr>
          <w:p w14:paraId="7839EBDF">
            <w:pPr>
              <w:pageBreakBefore w:val="0"/>
              <w:wordWrap/>
              <w:topLinePunct w:val="0"/>
              <w:bidi w:val="0"/>
              <w:spacing w:line="560" w:lineRule="exact"/>
              <w:jc w:val="center"/>
              <w:rPr>
                <w:rFonts w:cs="宋体" w:asciiTheme="minorEastAsia" w:hAnsiTheme="minorEastAsia" w:eastAsiaTheme="minorEastAsia"/>
                <w:color w:val="000000" w:themeColor="text1"/>
                <w:sz w:val="28"/>
                <w:szCs w:val="28"/>
                <w:highlight w:val="none"/>
                <w14:textFill>
                  <w14:solidFill>
                    <w14:schemeClr w14:val="tx1"/>
                  </w14:solidFill>
                </w14:textFill>
              </w:rPr>
            </w:pPr>
          </w:p>
        </w:tc>
        <w:tc>
          <w:tcPr>
            <w:tcW w:w="606" w:type="dxa"/>
            <w:tcBorders>
              <w:top w:val="single" w:color="auto" w:sz="4" w:space="0"/>
              <w:left w:val="single" w:color="auto" w:sz="4" w:space="0"/>
              <w:bottom w:val="single" w:color="auto" w:sz="4" w:space="0"/>
              <w:right w:val="single" w:color="auto" w:sz="4" w:space="0"/>
            </w:tcBorders>
          </w:tcPr>
          <w:p w14:paraId="0A93F74C">
            <w:pPr>
              <w:pageBreakBefore w:val="0"/>
              <w:wordWrap/>
              <w:topLinePunct w:val="0"/>
              <w:bidi w:val="0"/>
              <w:spacing w:line="560" w:lineRule="exact"/>
              <w:jc w:val="center"/>
              <w:rPr>
                <w:rFonts w:cs="宋体" w:asciiTheme="minorEastAsia" w:hAnsiTheme="minorEastAsia" w:eastAsiaTheme="minorEastAsia"/>
                <w:color w:val="000000" w:themeColor="text1"/>
                <w:sz w:val="28"/>
                <w:szCs w:val="28"/>
                <w:highlight w:val="none"/>
                <w14:textFill>
                  <w14:solidFill>
                    <w14:schemeClr w14:val="tx1"/>
                  </w14:solidFill>
                </w14:textFill>
              </w:rPr>
            </w:pPr>
          </w:p>
        </w:tc>
      </w:tr>
      <w:tr w14:paraId="0EAE4DA1">
        <w:tblPrEx>
          <w:tblCellMar>
            <w:top w:w="15" w:type="dxa"/>
            <w:left w:w="15" w:type="dxa"/>
            <w:bottom w:w="15" w:type="dxa"/>
            <w:right w:w="15" w:type="dxa"/>
          </w:tblCellMar>
        </w:tblPrEx>
        <w:trPr>
          <w:trHeight w:val="690" w:hRule="atLeast"/>
          <w:jc w:val="center"/>
        </w:trPr>
        <w:tc>
          <w:tcPr>
            <w:tcW w:w="622" w:type="dxa"/>
            <w:tcBorders>
              <w:top w:val="single" w:color="auto" w:sz="4" w:space="0"/>
              <w:left w:val="single" w:color="auto" w:sz="4" w:space="0"/>
              <w:bottom w:val="single" w:color="auto" w:sz="4" w:space="0"/>
              <w:right w:val="single" w:color="auto" w:sz="4" w:space="0"/>
            </w:tcBorders>
            <w:vAlign w:val="center"/>
          </w:tcPr>
          <w:p w14:paraId="6D3D9C8F">
            <w:pPr>
              <w:pageBreakBefore w:val="0"/>
              <w:wordWrap/>
              <w:topLinePunct w:val="0"/>
              <w:bidi w:val="0"/>
              <w:spacing w:line="560" w:lineRule="exact"/>
              <w:jc w:val="center"/>
              <w:textAlignment w:val="center"/>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5</w:t>
            </w:r>
          </w:p>
        </w:tc>
        <w:tc>
          <w:tcPr>
            <w:tcW w:w="1472" w:type="dxa"/>
            <w:tcBorders>
              <w:top w:val="single" w:color="auto" w:sz="4" w:space="0"/>
              <w:left w:val="single" w:color="auto" w:sz="4" w:space="0"/>
              <w:bottom w:val="single" w:color="auto" w:sz="4" w:space="0"/>
              <w:right w:val="single" w:color="auto" w:sz="4" w:space="0"/>
            </w:tcBorders>
            <w:vAlign w:val="center"/>
          </w:tcPr>
          <w:p w14:paraId="377A6E55">
            <w:pPr>
              <w:pageBreakBefore w:val="0"/>
              <w:wordWrap/>
              <w:topLinePunct w:val="0"/>
              <w:bidi w:val="0"/>
              <w:spacing w:line="560" w:lineRule="exact"/>
              <w:jc w:val="center"/>
              <w:textAlignment w:val="center"/>
              <w:rPr>
                <w:rFonts w:cs="宋体" w:asciiTheme="minorEastAsia" w:hAnsiTheme="minorEastAsia" w:eastAsiaTheme="minorEastAsia"/>
                <w:color w:val="000000" w:themeColor="text1"/>
                <w:sz w:val="28"/>
                <w:szCs w:val="28"/>
                <w:highlight w:val="none"/>
                <w14:textFill>
                  <w14:solidFill>
                    <w14:schemeClr w14:val="tx1"/>
                  </w14:solidFill>
                </w14:textFill>
              </w:rPr>
            </w:pPr>
          </w:p>
        </w:tc>
        <w:tc>
          <w:tcPr>
            <w:tcW w:w="4542" w:type="dxa"/>
            <w:tcBorders>
              <w:top w:val="single" w:color="auto" w:sz="4" w:space="0"/>
              <w:left w:val="single" w:color="auto" w:sz="4" w:space="0"/>
              <w:bottom w:val="single" w:color="auto" w:sz="4" w:space="0"/>
              <w:right w:val="single" w:color="auto" w:sz="4" w:space="0"/>
            </w:tcBorders>
            <w:vAlign w:val="center"/>
          </w:tcPr>
          <w:p w14:paraId="4D2A937F">
            <w:pPr>
              <w:pageBreakBefore w:val="0"/>
              <w:wordWrap/>
              <w:topLinePunct w:val="0"/>
              <w:bidi w:val="0"/>
              <w:spacing w:line="560" w:lineRule="exact"/>
              <w:jc w:val="center"/>
              <w:textAlignment w:val="center"/>
              <w:rPr>
                <w:rFonts w:cs="宋体" w:asciiTheme="minorEastAsia" w:hAnsiTheme="minorEastAsia" w:eastAsiaTheme="minorEastAsia"/>
                <w:color w:val="000000" w:themeColor="text1"/>
                <w:sz w:val="28"/>
                <w:szCs w:val="28"/>
                <w:highlight w:val="none"/>
                <w14:textFill>
                  <w14:solidFill>
                    <w14:schemeClr w14:val="tx1"/>
                  </w14:solidFill>
                </w14:textFill>
              </w:rPr>
            </w:pPr>
          </w:p>
        </w:tc>
        <w:tc>
          <w:tcPr>
            <w:tcW w:w="606" w:type="dxa"/>
            <w:tcBorders>
              <w:top w:val="single" w:color="auto" w:sz="4" w:space="0"/>
              <w:left w:val="single" w:color="auto" w:sz="4" w:space="0"/>
              <w:bottom w:val="single" w:color="auto" w:sz="4" w:space="0"/>
              <w:right w:val="single" w:color="auto" w:sz="4" w:space="0"/>
            </w:tcBorders>
            <w:vAlign w:val="center"/>
          </w:tcPr>
          <w:p w14:paraId="7180B516">
            <w:pPr>
              <w:pageBreakBefore w:val="0"/>
              <w:wordWrap/>
              <w:topLinePunct w:val="0"/>
              <w:bidi w:val="0"/>
              <w:spacing w:line="560" w:lineRule="exact"/>
              <w:jc w:val="center"/>
              <w:textAlignment w:val="center"/>
              <w:rPr>
                <w:rFonts w:cs="宋体" w:asciiTheme="minorEastAsia" w:hAnsiTheme="minorEastAsia" w:eastAsiaTheme="minorEastAsia"/>
                <w:color w:val="000000" w:themeColor="text1"/>
                <w:sz w:val="28"/>
                <w:szCs w:val="28"/>
                <w:highlight w:val="none"/>
                <w14:textFill>
                  <w14:solidFill>
                    <w14:schemeClr w14:val="tx1"/>
                  </w14:solidFill>
                </w14:textFill>
              </w:rPr>
            </w:pPr>
          </w:p>
        </w:tc>
        <w:tc>
          <w:tcPr>
            <w:tcW w:w="606" w:type="dxa"/>
            <w:tcBorders>
              <w:top w:val="single" w:color="auto" w:sz="4" w:space="0"/>
              <w:left w:val="single" w:color="auto" w:sz="4" w:space="0"/>
              <w:bottom w:val="single" w:color="auto" w:sz="4" w:space="0"/>
              <w:right w:val="single" w:color="auto" w:sz="4" w:space="0"/>
            </w:tcBorders>
            <w:vAlign w:val="center"/>
          </w:tcPr>
          <w:p w14:paraId="0DE7313A">
            <w:pPr>
              <w:pageBreakBefore w:val="0"/>
              <w:wordWrap/>
              <w:topLinePunct w:val="0"/>
              <w:bidi w:val="0"/>
              <w:spacing w:line="560" w:lineRule="exact"/>
              <w:jc w:val="center"/>
              <w:rPr>
                <w:rFonts w:cs="宋体" w:asciiTheme="minorEastAsia" w:hAnsiTheme="minorEastAsia" w:eastAsiaTheme="minorEastAsia"/>
                <w:color w:val="000000" w:themeColor="text1"/>
                <w:sz w:val="28"/>
                <w:szCs w:val="28"/>
                <w:highlight w:val="none"/>
                <w14:textFill>
                  <w14:solidFill>
                    <w14:schemeClr w14:val="tx1"/>
                  </w14:solidFill>
                </w14:textFill>
              </w:rPr>
            </w:pPr>
          </w:p>
        </w:tc>
        <w:tc>
          <w:tcPr>
            <w:tcW w:w="606" w:type="dxa"/>
            <w:tcBorders>
              <w:top w:val="single" w:color="auto" w:sz="4" w:space="0"/>
              <w:left w:val="single" w:color="auto" w:sz="4" w:space="0"/>
              <w:bottom w:val="single" w:color="auto" w:sz="4" w:space="0"/>
              <w:right w:val="single" w:color="auto" w:sz="4" w:space="0"/>
            </w:tcBorders>
          </w:tcPr>
          <w:p w14:paraId="05FB7C53">
            <w:pPr>
              <w:pageBreakBefore w:val="0"/>
              <w:wordWrap/>
              <w:topLinePunct w:val="0"/>
              <w:bidi w:val="0"/>
              <w:spacing w:line="560" w:lineRule="exact"/>
              <w:jc w:val="center"/>
              <w:rPr>
                <w:rFonts w:cs="宋体" w:asciiTheme="minorEastAsia" w:hAnsiTheme="minorEastAsia" w:eastAsiaTheme="minorEastAsia"/>
                <w:color w:val="000000" w:themeColor="text1"/>
                <w:sz w:val="28"/>
                <w:szCs w:val="28"/>
                <w:highlight w:val="none"/>
                <w14:textFill>
                  <w14:solidFill>
                    <w14:schemeClr w14:val="tx1"/>
                  </w14:solidFill>
                </w14:textFill>
              </w:rPr>
            </w:pPr>
          </w:p>
        </w:tc>
        <w:tc>
          <w:tcPr>
            <w:tcW w:w="606" w:type="dxa"/>
            <w:tcBorders>
              <w:top w:val="single" w:color="auto" w:sz="4" w:space="0"/>
              <w:left w:val="single" w:color="auto" w:sz="4" w:space="0"/>
              <w:bottom w:val="single" w:color="auto" w:sz="4" w:space="0"/>
              <w:right w:val="single" w:color="auto" w:sz="4" w:space="0"/>
            </w:tcBorders>
          </w:tcPr>
          <w:p w14:paraId="15FC530B">
            <w:pPr>
              <w:pageBreakBefore w:val="0"/>
              <w:wordWrap/>
              <w:topLinePunct w:val="0"/>
              <w:bidi w:val="0"/>
              <w:spacing w:line="560" w:lineRule="exact"/>
              <w:jc w:val="center"/>
              <w:rPr>
                <w:rFonts w:cs="宋体" w:asciiTheme="minorEastAsia" w:hAnsiTheme="minorEastAsia" w:eastAsiaTheme="minorEastAsia"/>
                <w:color w:val="000000" w:themeColor="text1"/>
                <w:sz w:val="28"/>
                <w:szCs w:val="28"/>
                <w:highlight w:val="none"/>
                <w14:textFill>
                  <w14:solidFill>
                    <w14:schemeClr w14:val="tx1"/>
                  </w14:solidFill>
                </w14:textFill>
              </w:rPr>
            </w:pPr>
          </w:p>
        </w:tc>
      </w:tr>
      <w:tr w14:paraId="6859EAE8">
        <w:tblPrEx>
          <w:tblCellMar>
            <w:top w:w="15" w:type="dxa"/>
            <w:left w:w="15" w:type="dxa"/>
            <w:bottom w:w="15" w:type="dxa"/>
            <w:right w:w="15" w:type="dxa"/>
          </w:tblCellMar>
        </w:tblPrEx>
        <w:trPr>
          <w:trHeight w:val="690" w:hRule="atLeast"/>
          <w:jc w:val="center"/>
        </w:trPr>
        <w:tc>
          <w:tcPr>
            <w:tcW w:w="622" w:type="dxa"/>
            <w:tcBorders>
              <w:top w:val="single" w:color="auto" w:sz="4" w:space="0"/>
              <w:left w:val="single" w:color="auto" w:sz="4" w:space="0"/>
              <w:bottom w:val="single" w:color="auto" w:sz="4" w:space="0"/>
              <w:right w:val="single" w:color="auto" w:sz="4" w:space="0"/>
            </w:tcBorders>
            <w:vAlign w:val="center"/>
          </w:tcPr>
          <w:p w14:paraId="5EBA35A3">
            <w:pPr>
              <w:pageBreakBefore w:val="0"/>
              <w:wordWrap/>
              <w:topLinePunct w:val="0"/>
              <w:bidi w:val="0"/>
              <w:spacing w:line="560" w:lineRule="exact"/>
              <w:jc w:val="center"/>
              <w:textAlignment w:val="center"/>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cs="宋体" w:asciiTheme="minorEastAsia" w:hAnsiTheme="minorEastAsia" w:eastAsiaTheme="minorEastAsia"/>
                <w:color w:val="000000" w:themeColor="text1"/>
                <w:sz w:val="28"/>
                <w:szCs w:val="28"/>
                <w:highlight w:val="none"/>
                <w14:textFill>
                  <w14:solidFill>
                    <w14:schemeClr w14:val="tx1"/>
                  </w14:solidFill>
                </w14:textFill>
              </w:rPr>
              <w:t>…</w:t>
            </w:r>
          </w:p>
        </w:tc>
        <w:tc>
          <w:tcPr>
            <w:tcW w:w="1472" w:type="dxa"/>
            <w:tcBorders>
              <w:top w:val="single" w:color="auto" w:sz="4" w:space="0"/>
              <w:left w:val="single" w:color="auto" w:sz="4" w:space="0"/>
              <w:bottom w:val="single" w:color="auto" w:sz="4" w:space="0"/>
              <w:right w:val="single" w:color="auto" w:sz="4" w:space="0"/>
            </w:tcBorders>
            <w:vAlign w:val="center"/>
          </w:tcPr>
          <w:p w14:paraId="3BC994A3">
            <w:pPr>
              <w:pageBreakBefore w:val="0"/>
              <w:wordWrap/>
              <w:topLinePunct w:val="0"/>
              <w:bidi w:val="0"/>
              <w:spacing w:line="560" w:lineRule="exact"/>
              <w:jc w:val="center"/>
              <w:textAlignment w:val="center"/>
              <w:rPr>
                <w:rFonts w:cs="宋体" w:asciiTheme="minorEastAsia" w:hAnsiTheme="minorEastAsia" w:eastAsiaTheme="minorEastAsia"/>
                <w:color w:val="000000" w:themeColor="text1"/>
                <w:sz w:val="28"/>
                <w:szCs w:val="28"/>
                <w:highlight w:val="none"/>
                <w14:textFill>
                  <w14:solidFill>
                    <w14:schemeClr w14:val="tx1"/>
                  </w14:solidFill>
                </w14:textFill>
              </w:rPr>
            </w:pPr>
          </w:p>
        </w:tc>
        <w:tc>
          <w:tcPr>
            <w:tcW w:w="4542" w:type="dxa"/>
            <w:tcBorders>
              <w:top w:val="single" w:color="auto" w:sz="4" w:space="0"/>
              <w:left w:val="single" w:color="auto" w:sz="4" w:space="0"/>
              <w:bottom w:val="single" w:color="auto" w:sz="4" w:space="0"/>
              <w:right w:val="single" w:color="auto" w:sz="4" w:space="0"/>
            </w:tcBorders>
            <w:vAlign w:val="center"/>
          </w:tcPr>
          <w:p w14:paraId="0C02F5DE">
            <w:pPr>
              <w:pageBreakBefore w:val="0"/>
              <w:wordWrap/>
              <w:topLinePunct w:val="0"/>
              <w:bidi w:val="0"/>
              <w:spacing w:line="560" w:lineRule="exact"/>
              <w:jc w:val="center"/>
              <w:textAlignment w:val="center"/>
              <w:rPr>
                <w:rFonts w:cs="宋体" w:asciiTheme="minorEastAsia" w:hAnsiTheme="minorEastAsia" w:eastAsiaTheme="minorEastAsia"/>
                <w:color w:val="000000" w:themeColor="text1"/>
                <w:sz w:val="28"/>
                <w:szCs w:val="28"/>
                <w:highlight w:val="none"/>
                <w14:textFill>
                  <w14:solidFill>
                    <w14:schemeClr w14:val="tx1"/>
                  </w14:solidFill>
                </w14:textFill>
              </w:rPr>
            </w:pPr>
          </w:p>
        </w:tc>
        <w:tc>
          <w:tcPr>
            <w:tcW w:w="606" w:type="dxa"/>
            <w:tcBorders>
              <w:top w:val="single" w:color="auto" w:sz="4" w:space="0"/>
              <w:left w:val="single" w:color="auto" w:sz="4" w:space="0"/>
              <w:bottom w:val="single" w:color="auto" w:sz="4" w:space="0"/>
              <w:right w:val="single" w:color="auto" w:sz="4" w:space="0"/>
            </w:tcBorders>
            <w:vAlign w:val="center"/>
          </w:tcPr>
          <w:p w14:paraId="5B950FF0">
            <w:pPr>
              <w:pageBreakBefore w:val="0"/>
              <w:wordWrap/>
              <w:topLinePunct w:val="0"/>
              <w:bidi w:val="0"/>
              <w:spacing w:line="560" w:lineRule="exact"/>
              <w:jc w:val="center"/>
              <w:textAlignment w:val="center"/>
              <w:rPr>
                <w:rFonts w:cs="宋体" w:asciiTheme="minorEastAsia" w:hAnsiTheme="minorEastAsia" w:eastAsiaTheme="minorEastAsia"/>
                <w:color w:val="000000" w:themeColor="text1"/>
                <w:sz w:val="28"/>
                <w:szCs w:val="28"/>
                <w:highlight w:val="none"/>
                <w14:textFill>
                  <w14:solidFill>
                    <w14:schemeClr w14:val="tx1"/>
                  </w14:solidFill>
                </w14:textFill>
              </w:rPr>
            </w:pPr>
          </w:p>
        </w:tc>
        <w:tc>
          <w:tcPr>
            <w:tcW w:w="606" w:type="dxa"/>
            <w:tcBorders>
              <w:top w:val="single" w:color="auto" w:sz="4" w:space="0"/>
              <w:left w:val="single" w:color="auto" w:sz="4" w:space="0"/>
              <w:bottom w:val="single" w:color="auto" w:sz="4" w:space="0"/>
              <w:right w:val="single" w:color="auto" w:sz="4" w:space="0"/>
            </w:tcBorders>
            <w:vAlign w:val="center"/>
          </w:tcPr>
          <w:p w14:paraId="4EBBF6C3">
            <w:pPr>
              <w:pageBreakBefore w:val="0"/>
              <w:wordWrap/>
              <w:topLinePunct w:val="0"/>
              <w:bidi w:val="0"/>
              <w:spacing w:line="560" w:lineRule="exact"/>
              <w:jc w:val="center"/>
              <w:rPr>
                <w:rFonts w:cs="宋体" w:asciiTheme="minorEastAsia" w:hAnsiTheme="minorEastAsia" w:eastAsiaTheme="minorEastAsia"/>
                <w:color w:val="000000" w:themeColor="text1"/>
                <w:sz w:val="28"/>
                <w:szCs w:val="28"/>
                <w:highlight w:val="none"/>
                <w14:textFill>
                  <w14:solidFill>
                    <w14:schemeClr w14:val="tx1"/>
                  </w14:solidFill>
                </w14:textFill>
              </w:rPr>
            </w:pPr>
          </w:p>
        </w:tc>
        <w:tc>
          <w:tcPr>
            <w:tcW w:w="606" w:type="dxa"/>
            <w:tcBorders>
              <w:top w:val="single" w:color="auto" w:sz="4" w:space="0"/>
              <w:left w:val="single" w:color="auto" w:sz="4" w:space="0"/>
              <w:bottom w:val="single" w:color="auto" w:sz="4" w:space="0"/>
              <w:right w:val="single" w:color="auto" w:sz="4" w:space="0"/>
            </w:tcBorders>
          </w:tcPr>
          <w:p w14:paraId="568894D2">
            <w:pPr>
              <w:pageBreakBefore w:val="0"/>
              <w:wordWrap/>
              <w:topLinePunct w:val="0"/>
              <w:bidi w:val="0"/>
              <w:spacing w:line="560" w:lineRule="exact"/>
              <w:jc w:val="center"/>
              <w:rPr>
                <w:rFonts w:cs="宋体" w:asciiTheme="minorEastAsia" w:hAnsiTheme="minorEastAsia" w:eastAsiaTheme="minorEastAsia"/>
                <w:color w:val="000000" w:themeColor="text1"/>
                <w:sz w:val="28"/>
                <w:szCs w:val="28"/>
                <w:highlight w:val="none"/>
                <w14:textFill>
                  <w14:solidFill>
                    <w14:schemeClr w14:val="tx1"/>
                  </w14:solidFill>
                </w14:textFill>
              </w:rPr>
            </w:pPr>
          </w:p>
        </w:tc>
        <w:tc>
          <w:tcPr>
            <w:tcW w:w="606" w:type="dxa"/>
            <w:tcBorders>
              <w:top w:val="single" w:color="auto" w:sz="4" w:space="0"/>
              <w:left w:val="single" w:color="auto" w:sz="4" w:space="0"/>
              <w:bottom w:val="single" w:color="auto" w:sz="4" w:space="0"/>
              <w:right w:val="single" w:color="auto" w:sz="4" w:space="0"/>
            </w:tcBorders>
          </w:tcPr>
          <w:p w14:paraId="49004470">
            <w:pPr>
              <w:pageBreakBefore w:val="0"/>
              <w:wordWrap/>
              <w:topLinePunct w:val="0"/>
              <w:bidi w:val="0"/>
              <w:spacing w:line="560" w:lineRule="exact"/>
              <w:jc w:val="center"/>
              <w:rPr>
                <w:rFonts w:cs="宋体" w:asciiTheme="minorEastAsia" w:hAnsiTheme="minorEastAsia" w:eastAsiaTheme="minorEastAsia"/>
                <w:color w:val="000000" w:themeColor="text1"/>
                <w:sz w:val="28"/>
                <w:szCs w:val="28"/>
                <w:highlight w:val="none"/>
                <w14:textFill>
                  <w14:solidFill>
                    <w14:schemeClr w14:val="tx1"/>
                  </w14:solidFill>
                </w14:textFill>
              </w:rPr>
            </w:pPr>
          </w:p>
        </w:tc>
      </w:tr>
      <w:tr w14:paraId="62C940F1">
        <w:tblPrEx>
          <w:tblCellMar>
            <w:top w:w="15" w:type="dxa"/>
            <w:left w:w="15" w:type="dxa"/>
            <w:bottom w:w="15" w:type="dxa"/>
            <w:right w:w="15" w:type="dxa"/>
          </w:tblCellMar>
        </w:tblPrEx>
        <w:trPr>
          <w:trHeight w:val="690" w:hRule="atLeast"/>
          <w:jc w:val="center"/>
        </w:trPr>
        <w:tc>
          <w:tcPr>
            <w:tcW w:w="622" w:type="dxa"/>
            <w:tcBorders>
              <w:top w:val="single" w:color="auto" w:sz="4" w:space="0"/>
              <w:left w:val="single" w:color="auto" w:sz="4" w:space="0"/>
              <w:bottom w:val="single" w:color="auto" w:sz="4" w:space="0"/>
              <w:right w:val="single" w:color="auto" w:sz="4" w:space="0"/>
            </w:tcBorders>
            <w:vAlign w:val="center"/>
          </w:tcPr>
          <w:p w14:paraId="461E1ABB">
            <w:pPr>
              <w:pageBreakBefore w:val="0"/>
              <w:wordWrap/>
              <w:topLinePunct w:val="0"/>
              <w:bidi w:val="0"/>
              <w:spacing w:line="560" w:lineRule="exact"/>
              <w:jc w:val="center"/>
              <w:textAlignment w:val="center"/>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cs="宋体" w:asciiTheme="minorEastAsia" w:hAnsiTheme="minorEastAsia" w:eastAsiaTheme="minorEastAsia"/>
                <w:color w:val="000000" w:themeColor="text1"/>
                <w:sz w:val="28"/>
                <w:szCs w:val="28"/>
                <w:highlight w:val="none"/>
                <w14:textFill>
                  <w14:solidFill>
                    <w14:schemeClr w14:val="tx1"/>
                  </w14:solidFill>
                </w14:textFill>
              </w:rPr>
              <w:t>…</w:t>
            </w:r>
          </w:p>
        </w:tc>
        <w:tc>
          <w:tcPr>
            <w:tcW w:w="1472" w:type="dxa"/>
            <w:tcBorders>
              <w:top w:val="single" w:color="auto" w:sz="4" w:space="0"/>
              <w:left w:val="single" w:color="auto" w:sz="4" w:space="0"/>
              <w:bottom w:val="single" w:color="auto" w:sz="4" w:space="0"/>
              <w:right w:val="single" w:color="auto" w:sz="4" w:space="0"/>
            </w:tcBorders>
            <w:vAlign w:val="center"/>
          </w:tcPr>
          <w:p w14:paraId="346F3D7C">
            <w:pPr>
              <w:pageBreakBefore w:val="0"/>
              <w:wordWrap/>
              <w:topLinePunct w:val="0"/>
              <w:bidi w:val="0"/>
              <w:spacing w:line="560" w:lineRule="exact"/>
              <w:jc w:val="center"/>
              <w:textAlignment w:val="center"/>
              <w:rPr>
                <w:rFonts w:cs="宋体" w:asciiTheme="minorEastAsia" w:hAnsiTheme="minorEastAsia" w:eastAsiaTheme="minorEastAsia"/>
                <w:color w:val="000000" w:themeColor="text1"/>
                <w:sz w:val="28"/>
                <w:szCs w:val="28"/>
                <w:highlight w:val="none"/>
                <w14:textFill>
                  <w14:solidFill>
                    <w14:schemeClr w14:val="tx1"/>
                  </w14:solidFill>
                </w14:textFill>
              </w:rPr>
            </w:pPr>
          </w:p>
        </w:tc>
        <w:tc>
          <w:tcPr>
            <w:tcW w:w="4542" w:type="dxa"/>
            <w:tcBorders>
              <w:top w:val="single" w:color="auto" w:sz="4" w:space="0"/>
              <w:left w:val="single" w:color="auto" w:sz="4" w:space="0"/>
              <w:bottom w:val="single" w:color="auto" w:sz="4" w:space="0"/>
              <w:right w:val="single" w:color="auto" w:sz="4" w:space="0"/>
            </w:tcBorders>
            <w:vAlign w:val="center"/>
          </w:tcPr>
          <w:p w14:paraId="34373124">
            <w:pPr>
              <w:pageBreakBefore w:val="0"/>
              <w:wordWrap/>
              <w:topLinePunct w:val="0"/>
              <w:bidi w:val="0"/>
              <w:spacing w:line="560" w:lineRule="exact"/>
              <w:jc w:val="center"/>
              <w:textAlignment w:val="center"/>
              <w:rPr>
                <w:rFonts w:cs="宋体" w:asciiTheme="minorEastAsia" w:hAnsiTheme="minorEastAsia" w:eastAsiaTheme="minorEastAsia"/>
                <w:color w:val="000000" w:themeColor="text1"/>
                <w:sz w:val="28"/>
                <w:szCs w:val="28"/>
                <w:highlight w:val="none"/>
                <w14:textFill>
                  <w14:solidFill>
                    <w14:schemeClr w14:val="tx1"/>
                  </w14:solidFill>
                </w14:textFill>
              </w:rPr>
            </w:pPr>
          </w:p>
        </w:tc>
        <w:tc>
          <w:tcPr>
            <w:tcW w:w="606" w:type="dxa"/>
            <w:tcBorders>
              <w:top w:val="single" w:color="auto" w:sz="4" w:space="0"/>
              <w:left w:val="single" w:color="auto" w:sz="4" w:space="0"/>
              <w:bottom w:val="single" w:color="auto" w:sz="4" w:space="0"/>
              <w:right w:val="single" w:color="auto" w:sz="4" w:space="0"/>
            </w:tcBorders>
            <w:vAlign w:val="center"/>
          </w:tcPr>
          <w:p w14:paraId="134EFC68">
            <w:pPr>
              <w:pageBreakBefore w:val="0"/>
              <w:wordWrap/>
              <w:topLinePunct w:val="0"/>
              <w:bidi w:val="0"/>
              <w:spacing w:line="560" w:lineRule="exact"/>
              <w:jc w:val="center"/>
              <w:textAlignment w:val="center"/>
              <w:rPr>
                <w:rFonts w:cs="宋体" w:asciiTheme="minorEastAsia" w:hAnsiTheme="minorEastAsia" w:eastAsiaTheme="minorEastAsia"/>
                <w:color w:val="000000" w:themeColor="text1"/>
                <w:sz w:val="28"/>
                <w:szCs w:val="28"/>
                <w:highlight w:val="none"/>
                <w14:textFill>
                  <w14:solidFill>
                    <w14:schemeClr w14:val="tx1"/>
                  </w14:solidFill>
                </w14:textFill>
              </w:rPr>
            </w:pPr>
          </w:p>
        </w:tc>
        <w:tc>
          <w:tcPr>
            <w:tcW w:w="606" w:type="dxa"/>
            <w:tcBorders>
              <w:top w:val="single" w:color="auto" w:sz="4" w:space="0"/>
              <w:left w:val="single" w:color="auto" w:sz="4" w:space="0"/>
              <w:bottom w:val="single" w:color="auto" w:sz="4" w:space="0"/>
              <w:right w:val="single" w:color="auto" w:sz="4" w:space="0"/>
            </w:tcBorders>
            <w:vAlign w:val="center"/>
          </w:tcPr>
          <w:p w14:paraId="37626C5C">
            <w:pPr>
              <w:pageBreakBefore w:val="0"/>
              <w:wordWrap/>
              <w:topLinePunct w:val="0"/>
              <w:bidi w:val="0"/>
              <w:spacing w:line="560" w:lineRule="exact"/>
              <w:jc w:val="center"/>
              <w:rPr>
                <w:rFonts w:cs="宋体" w:asciiTheme="minorEastAsia" w:hAnsiTheme="minorEastAsia" w:eastAsiaTheme="minorEastAsia"/>
                <w:color w:val="000000" w:themeColor="text1"/>
                <w:sz w:val="28"/>
                <w:szCs w:val="28"/>
                <w:highlight w:val="none"/>
                <w14:textFill>
                  <w14:solidFill>
                    <w14:schemeClr w14:val="tx1"/>
                  </w14:solidFill>
                </w14:textFill>
              </w:rPr>
            </w:pPr>
          </w:p>
        </w:tc>
        <w:tc>
          <w:tcPr>
            <w:tcW w:w="606" w:type="dxa"/>
            <w:tcBorders>
              <w:top w:val="single" w:color="auto" w:sz="4" w:space="0"/>
              <w:left w:val="single" w:color="auto" w:sz="4" w:space="0"/>
              <w:bottom w:val="single" w:color="auto" w:sz="4" w:space="0"/>
              <w:right w:val="single" w:color="auto" w:sz="4" w:space="0"/>
            </w:tcBorders>
          </w:tcPr>
          <w:p w14:paraId="17750DA0">
            <w:pPr>
              <w:pageBreakBefore w:val="0"/>
              <w:wordWrap/>
              <w:topLinePunct w:val="0"/>
              <w:bidi w:val="0"/>
              <w:spacing w:line="560" w:lineRule="exact"/>
              <w:jc w:val="center"/>
              <w:rPr>
                <w:rFonts w:cs="宋体" w:asciiTheme="minorEastAsia" w:hAnsiTheme="minorEastAsia" w:eastAsiaTheme="minorEastAsia"/>
                <w:color w:val="000000" w:themeColor="text1"/>
                <w:sz w:val="28"/>
                <w:szCs w:val="28"/>
                <w:highlight w:val="none"/>
                <w14:textFill>
                  <w14:solidFill>
                    <w14:schemeClr w14:val="tx1"/>
                  </w14:solidFill>
                </w14:textFill>
              </w:rPr>
            </w:pPr>
          </w:p>
        </w:tc>
        <w:tc>
          <w:tcPr>
            <w:tcW w:w="606" w:type="dxa"/>
            <w:tcBorders>
              <w:top w:val="single" w:color="auto" w:sz="4" w:space="0"/>
              <w:left w:val="single" w:color="auto" w:sz="4" w:space="0"/>
              <w:bottom w:val="single" w:color="auto" w:sz="4" w:space="0"/>
              <w:right w:val="single" w:color="auto" w:sz="4" w:space="0"/>
            </w:tcBorders>
          </w:tcPr>
          <w:p w14:paraId="544121F8">
            <w:pPr>
              <w:pageBreakBefore w:val="0"/>
              <w:wordWrap/>
              <w:topLinePunct w:val="0"/>
              <w:bidi w:val="0"/>
              <w:spacing w:line="560" w:lineRule="exact"/>
              <w:jc w:val="center"/>
              <w:rPr>
                <w:rFonts w:cs="宋体" w:asciiTheme="minorEastAsia" w:hAnsiTheme="minorEastAsia" w:eastAsiaTheme="minorEastAsia"/>
                <w:color w:val="000000" w:themeColor="text1"/>
                <w:sz w:val="28"/>
                <w:szCs w:val="28"/>
                <w:highlight w:val="none"/>
                <w14:textFill>
                  <w14:solidFill>
                    <w14:schemeClr w14:val="tx1"/>
                  </w14:solidFill>
                </w14:textFill>
              </w:rPr>
            </w:pPr>
          </w:p>
        </w:tc>
      </w:tr>
    </w:tbl>
    <w:p w14:paraId="5825E978">
      <w:pPr>
        <w:pageBreakBefore w:val="0"/>
        <w:wordWrap/>
        <w:topLinePunct w:val="0"/>
        <w:bidi w:val="0"/>
        <w:snapToGrid w:val="0"/>
        <w:spacing w:line="560" w:lineRule="exact"/>
        <w:ind w:firstLine="602" w:firstLineChars="200"/>
        <w:rPr>
          <w:rFonts w:ascii="仿宋" w:hAnsi="仿宋" w:eastAsia="仿宋" w:cs="仿宋_GB2312"/>
          <w:b/>
          <w:color w:val="000000" w:themeColor="text1"/>
          <w:sz w:val="30"/>
          <w:szCs w:val="30"/>
          <w:highlight w:val="none"/>
          <w14:textFill>
            <w14:solidFill>
              <w14:schemeClr w14:val="tx1"/>
            </w14:solidFill>
          </w14:textFill>
        </w:rPr>
      </w:pPr>
    </w:p>
    <w:p w14:paraId="40B12E4B">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t>注：1、供应商应提供本次招标项目的招标范围中的所有设备。</w:t>
      </w:r>
    </w:p>
    <w:p w14:paraId="7E67BD6C">
      <w:pPr>
        <w:keepNext w:val="0"/>
        <w:keepLines w:val="0"/>
        <w:pageBreakBefore w:val="0"/>
        <w:widowControl w:val="0"/>
        <w:kinsoku/>
        <w:wordWrap/>
        <w:overflowPunct/>
        <w:topLinePunct w:val="0"/>
        <w:autoSpaceDE/>
        <w:autoSpaceDN/>
        <w:bidi w:val="0"/>
        <w:adjustRightInd/>
        <w:snapToGrid w:val="0"/>
        <w:spacing w:line="560" w:lineRule="exact"/>
        <w:ind w:firstLine="562" w:firstLineChars="200"/>
        <w:textAlignment w:val="auto"/>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t>2、如中标单位所提供的的货物不符合要求，采购方有权要求中标单位退换全部设备，并由中标单位承担采购方的所造成的全部损失。</w:t>
      </w:r>
    </w:p>
    <w:p w14:paraId="05772AA1">
      <w:pPr>
        <w:keepNext w:val="0"/>
        <w:keepLines w:val="0"/>
        <w:pageBreakBefore w:val="0"/>
        <w:widowControl w:val="0"/>
        <w:kinsoku/>
        <w:wordWrap/>
        <w:overflowPunct/>
        <w:topLinePunct w:val="0"/>
        <w:autoSpaceDE/>
        <w:autoSpaceDN/>
        <w:bidi w:val="0"/>
        <w:adjustRightInd/>
        <w:snapToGrid w:val="0"/>
        <w:spacing w:line="560" w:lineRule="exact"/>
        <w:ind w:firstLine="562" w:firstLineChars="200"/>
        <w:textAlignment w:val="auto"/>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t>3、供应商可根据自身需求更改采购清单表格格式，但不可删减主要内容（如</w:t>
      </w:r>
      <w:r>
        <w:rPr>
          <w:rFonts w:hint="eastAsia" w:ascii="宋体" w:hAnsi="宋体" w:cs="宋体"/>
          <w:b/>
          <w:bCs/>
          <w:color w:val="000000" w:themeColor="text1"/>
          <w:sz w:val="28"/>
          <w:szCs w:val="28"/>
          <w:highlight w:val="none"/>
          <w:lang w:eastAsia="zh-CN"/>
          <w14:textFill>
            <w14:solidFill>
              <w14:schemeClr w14:val="tx1"/>
            </w14:solidFill>
          </w14:textFill>
        </w:rPr>
        <w:t>设备</w:t>
      </w:r>
      <w:r>
        <w:rPr>
          <w:rFonts w:hint="eastAsia" w:ascii="宋体" w:hAnsi="宋体" w:eastAsia="宋体" w:cs="宋体"/>
          <w:b/>
          <w:bCs/>
          <w:color w:val="000000" w:themeColor="text1"/>
          <w:sz w:val="28"/>
          <w:szCs w:val="28"/>
          <w:highlight w:val="none"/>
          <w14:textFill>
            <w14:solidFill>
              <w14:schemeClr w14:val="tx1"/>
            </w14:solidFill>
          </w14:textFill>
        </w:rPr>
        <w:t>名称</w:t>
      </w:r>
      <w:r>
        <w:rPr>
          <w:rFonts w:hint="eastAsia" w:ascii="宋体" w:hAnsi="宋体" w:cs="宋体"/>
          <w:b/>
          <w:bCs/>
          <w:color w:val="000000" w:themeColor="text1"/>
          <w:sz w:val="28"/>
          <w:szCs w:val="28"/>
          <w:highlight w:val="none"/>
          <w:lang w:eastAsia="zh-CN"/>
          <w14:textFill>
            <w14:solidFill>
              <w14:schemeClr w14:val="tx1"/>
            </w14:solidFill>
          </w14:textFill>
        </w:rPr>
        <w:t>、技术</w:t>
      </w:r>
      <w:r>
        <w:rPr>
          <w:rFonts w:hint="eastAsia" w:ascii="宋体" w:hAnsi="宋体" w:eastAsia="宋体" w:cs="宋体"/>
          <w:b/>
          <w:bCs/>
          <w:color w:val="000000" w:themeColor="text1"/>
          <w:sz w:val="28"/>
          <w:szCs w:val="28"/>
          <w:highlight w:val="none"/>
          <w14:textFill>
            <w14:solidFill>
              <w14:schemeClr w14:val="tx1"/>
            </w14:solidFill>
          </w14:textFill>
        </w:rPr>
        <w:t>参数</w:t>
      </w:r>
      <w:r>
        <w:rPr>
          <w:rFonts w:hint="eastAsia" w:ascii="宋体" w:hAnsi="宋体" w:cs="宋体"/>
          <w:b/>
          <w:bCs/>
          <w:color w:val="000000" w:themeColor="text1"/>
          <w:sz w:val="28"/>
          <w:szCs w:val="28"/>
          <w:highlight w:val="none"/>
          <w:lang w:eastAsia="zh-CN"/>
          <w14:textFill>
            <w14:solidFill>
              <w14:schemeClr w14:val="tx1"/>
            </w14:solidFill>
          </w14:textFill>
        </w:rPr>
        <w:t>、</w:t>
      </w:r>
      <w:r>
        <w:rPr>
          <w:rFonts w:hint="eastAsia" w:ascii="宋体" w:hAnsi="宋体" w:eastAsia="宋体" w:cs="宋体"/>
          <w:b/>
          <w:bCs/>
          <w:color w:val="000000" w:themeColor="text1"/>
          <w:sz w:val="28"/>
          <w:szCs w:val="28"/>
          <w:highlight w:val="none"/>
          <w14:textFill>
            <w14:solidFill>
              <w14:schemeClr w14:val="tx1"/>
            </w14:solidFill>
          </w14:textFill>
        </w:rPr>
        <w:t>数量</w:t>
      </w:r>
      <w:r>
        <w:rPr>
          <w:rFonts w:hint="eastAsia" w:ascii="宋体" w:hAnsi="宋体" w:cs="宋体"/>
          <w:b/>
          <w:bCs/>
          <w:color w:val="000000" w:themeColor="text1"/>
          <w:sz w:val="28"/>
          <w:szCs w:val="28"/>
          <w:highlight w:val="none"/>
          <w:lang w:eastAsia="zh-CN"/>
          <w14:textFill>
            <w14:solidFill>
              <w14:schemeClr w14:val="tx1"/>
            </w14:solidFill>
          </w14:textFill>
        </w:rPr>
        <w:t>、品牌、型号</w:t>
      </w:r>
      <w:r>
        <w:rPr>
          <w:rFonts w:hint="eastAsia" w:ascii="宋体" w:hAnsi="宋体" w:eastAsia="宋体" w:cs="宋体"/>
          <w:b/>
          <w:bCs/>
          <w:color w:val="000000" w:themeColor="text1"/>
          <w:sz w:val="28"/>
          <w:szCs w:val="28"/>
          <w:highlight w:val="none"/>
          <w14:textFill>
            <w14:solidFill>
              <w14:schemeClr w14:val="tx1"/>
            </w14:solidFill>
          </w14:textFill>
        </w:rPr>
        <w:t>）。</w:t>
      </w:r>
    </w:p>
    <w:p w14:paraId="58CA6E5C">
      <w:pPr>
        <w:pageBreakBefore w:val="0"/>
        <w:wordWrap/>
        <w:topLinePunct w:val="0"/>
        <w:autoSpaceDE w:val="0"/>
        <w:autoSpaceDN w:val="0"/>
        <w:bidi w:val="0"/>
        <w:spacing w:line="560" w:lineRule="exact"/>
        <w:ind w:left="4375" w:leftChars="1950" w:hanging="280" w:hangingChars="100"/>
        <w:rPr>
          <w:rFonts w:cs="仿宋_GB2312" w:asciiTheme="minorEastAsia" w:hAnsiTheme="minorEastAsia" w:eastAsiaTheme="minorEastAsia"/>
          <w:color w:val="000000" w:themeColor="text1"/>
          <w:kern w:val="0"/>
          <w:sz w:val="28"/>
          <w:szCs w:val="28"/>
          <w:highlight w:val="none"/>
          <w14:textFill>
            <w14:solidFill>
              <w14:schemeClr w14:val="tx1"/>
            </w14:solidFill>
          </w14:textFill>
        </w:rPr>
      </w:pPr>
    </w:p>
    <w:p w14:paraId="0F3D3A1C">
      <w:pPr>
        <w:pageBreakBefore w:val="0"/>
        <w:wordWrap/>
        <w:topLinePunct w:val="0"/>
        <w:autoSpaceDE w:val="0"/>
        <w:autoSpaceDN w:val="0"/>
        <w:bidi w:val="0"/>
        <w:spacing w:line="560" w:lineRule="exact"/>
        <w:ind w:left="4375" w:leftChars="1950" w:hanging="280" w:hangingChars="100"/>
        <w:rPr>
          <w:rFonts w:cs="仿宋_GB2312" w:asciiTheme="minorEastAsia" w:hAnsiTheme="minorEastAsia" w:eastAsiaTheme="minorEastAsia"/>
          <w:color w:val="000000" w:themeColor="text1"/>
          <w:kern w:val="0"/>
          <w:sz w:val="28"/>
          <w:szCs w:val="28"/>
          <w:highlight w:val="none"/>
          <w14:textFill>
            <w14:solidFill>
              <w14:schemeClr w14:val="tx1"/>
            </w14:solidFill>
          </w14:textFill>
        </w:rPr>
      </w:pPr>
    </w:p>
    <w:p w14:paraId="5008C47C">
      <w:pPr>
        <w:pageBreakBefore w:val="0"/>
        <w:wordWrap/>
        <w:topLinePunct w:val="0"/>
        <w:autoSpaceDE w:val="0"/>
        <w:autoSpaceDN w:val="0"/>
        <w:bidi w:val="0"/>
        <w:spacing w:line="560" w:lineRule="exact"/>
        <w:ind w:left="4375" w:leftChars="1950" w:hanging="280" w:hangingChars="100"/>
        <w:rPr>
          <w:rFonts w:cs="仿宋_GB2312" w:asciiTheme="minorEastAsia" w:hAnsiTheme="minorEastAsia" w:eastAsiaTheme="minorEastAsia"/>
          <w:color w:val="000000" w:themeColor="text1"/>
          <w:kern w:val="0"/>
          <w:sz w:val="28"/>
          <w:szCs w:val="28"/>
          <w:highlight w:val="none"/>
          <w14:textFill>
            <w14:solidFill>
              <w14:schemeClr w14:val="tx1"/>
            </w14:solidFill>
          </w14:textFill>
        </w:rPr>
      </w:pPr>
    </w:p>
    <w:p w14:paraId="47D0A90C">
      <w:pPr>
        <w:pageBreakBefore w:val="0"/>
        <w:widowControl/>
        <w:wordWrap/>
        <w:topLinePunct w:val="0"/>
        <w:bidi w:val="0"/>
        <w:spacing w:line="560" w:lineRule="exact"/>
        <w:jc w:val="left"/>
        <w:rPr>
          <w:b/>
          <w:bCs/>
          <w:color w:val="000000" w:themeColor="text1"/>
          <w:sz w:val="30"/>
          <w:szCs w:val="30"/>
          <w:highlight w:val="none"/>
          <w14:textFill>
            <w14:solidFill>
              <w14:schemeClr w14:val="tx1"/>
            </w14:solidFill>
          </w14:textFill>
        </w:rPr>
      </w:pPr>
    </w:p>
    <w:p w14:paraId="28D67F7A">
      <w:pPr>
        <w:pageBreakBefore w:val="0"/>
        <w:widowControl/>
        <w:wordWrap/>
        <w:topLinePunct w:val="0"/>
        <w:bidi w:val="0"/>
        <w:spacing w:line="560" w:lineRule="exact"/>
        <w:jc w:val="left"/>
        <w:rPr>
          <w:b/>
          <w:bCs/>
          <w:color w:val="000000" w:themeColor="text1"/>
          <w:sz w:val="30"/>
          <w:szCs w:val="30"/>
          <w:highlight w:val="none"/>
          <w14:textFill>
            <w14:solidFill>
              <w14:schemeClr w14:val="tx1"/>
            </w14:solidFill>
          </w14:textFill>
        </w:rPr>
      </w:pPr>
      <w:r>
        <w:rPr>
          <w:b/>
          <w:bCs/>
          <w:color w:val="000000" w:themeColor="text1"/>
          <w:sz w:val="30"/>
          <w:szCs w:val="30"/>
          <w:highlight w:val="none"/>
          <w14:textFill>
            <w14:solidFill>
              <w14:schemeClr w14:val="tx1"/>
            </w14:solidFill>
          </w14:textFill>
        </w:rPr>
        <w:br w:type="page"/>
      </w:r>
    </w:p>
    <w:p w14:paraId="45BBC30C">
      <w:pPr>
        <w:pageBreakBefore w:val="0"/>
        <w:wordWrap/>
        <w:topLinePunct w:val="0"/>
        <w:bidi w:val="0"/>
        <w:snapToGrid w:val="0"/>
        <w:spacing w:before="165" w:beforeLines="50" w:after="50" w:line="560" w:lineRule="exact"/>
        <w:jc w:val="center"/>
        <w:rPr>
          <w:rFonts w:hint="eastAsia" w:asciiTheme="minorEastAsia" w:hAnsiTheme="minorEastAsia" w:eastAsiaTheme="minorEastAsia"/>
          <w:b/>
          <w:bCs/>
          <w:color w:val="000000" w:themeColor="text1"/>
          <w:sz w:val="30"/>
          <w:szCs w:val="30"/>
          <w:highlight w:val="none"/>
          <w:lang w:eastAsia="zh-CN"/>
          <w14:textFill>
            <w14:solidFill>
              <w14:schemeClr w14:val="tx1"/>
            </w14:solidFill>
          </w14:textFill>
        </w:rPr>
      </w:pPr>
      <w:r>
        <w:rPr>
          <w:rFonts w:hint="eastAsia" w:asciiTheme="minorEastAsia" w:hAnsiTheme="minorEastAsia" w:eastAsiaTheme="minorEastAsia"/>
          <w:b/>
          <w:bCs/>
          <w:color w:val="000000" w:themeColor="text1"/>
          <w:sz w:val="30"/>
          <w:szCs w:val="30"/>
          <w:highlight w:val="none"/>
          <w:lang w:eastAsia="zh-CN"/>
          <w14:textFill>
            <w14:solidFill>
              <w14:schemeClr w14:val="tx1"/>
            </w14:solidFill>
          </w14:textFill>
        </w:rPr>
        <w:t>三、产品及性能</w:t>
      </w:r>
    </w:p>
    <w:p w14:paraId="22EB68D0">
      <w:pPr>
        <w:pageBreakBefore w:val="0"/>
        <w:wordWrap/>
        <w:topLinePunct w:val="0"/>
        <w:autoSpaceDE w:val="0"/>
        <w:autoSpaceDN w:val="0"/>
        <w:bidi w:val="0"/>
        <w:spacing w:line="560" w:lineRule="exact"/>
        <w:jc w:val="center"/>
        <w:rPr>
          <w:rFonts w:hint="eastAsia" w:cs="仿宋_GB2312" w:asciiTheme="minorEastAsia" w:hAnsiTheme="minorEastAsia" w:eastAsiaTheme="minorEastAsia"/>
          <w:color w:val="000000" w:themeColor="text1"/>
          <w:sz w:val="24"/>
          <w:highlight w:val="none"/>
          <w:lang w:val="en-US" w:eastAsia="zh-CN"/>
          <w14:textFill>
            <w14:solidFill>
              <w14:schemeClr w14:val="tx1"/>
            </w14:solidFill>
          </w14:textFill>
        </w:rPr>
      </w:pPr>
      <w:r>
        <w:rPr>
          <w:rFonts w:hint="eastAsia" w:cs="仿宋_GB2312" w:asciiTheme="minorEastAsia" w:hAnsiTheme="minorEastAsia" w:eastAsiaTheme="minorEastAsia"/>
          <w:color w:val="000000" w:themeColor="text1"/>
          <w:sz w:val="28"/>
          <w:szCs w:val="28"/>
          <w:highlight w:val="none"/>
          <w:lang w:eastAsia="zh-CN"/>
          <w14:textFill>
            <w14:solidFill>
              <w14:schemeClr w14:val="tx1"/>
            </w14:solidFill>
          </w14:textFill>
        </w:rPr>
        <w:t>供应商</w:t>
      </w:r>
      <w:r>
        <w:rPr>
          <w:rFonts w:hint="eastAsia" w:cs="仿宋_GB2312" w:asciiTheme="minorEastAsia" w:hAnsiTheme="minorEastAsia" w:eastAsiaTheme="minorEastAsia"/>
          <w:color w:val="000000" w:themeColor="text1"/>
          <w:sz w:val="28"/>
          <w:szCs w:val="28"/>
          <w:highlight w:val="none"/>
          <w14:textFill>
            <w14:solidFill>
              <w14:schemeClr w14:val="tx1"/>
            </w14:solidFill>
          </w14:textFill>
        </w:rPr>
        <w:t>根据采购需求及评分标准要求</w:t>
      </w:r>
      <w:r>
        <w:rPr>
          <w:rFonts w:hint="eastAsia" w:cs="仿宋_GB2312" w:asciiTheme="minorEastAsia" w:hAnsiTheme="minorEastAsia" w:eastAsiaTheme="minorEastAsia"/>
          <w:color w:val="000000" w:themeColor="text1"/>
          <w:sz w:val="28"/>
          <w:szCs w:val="28"/>
          <w:highlight w:val="none"/>
          <w:lang w:eastAsia="zh-CN"/>
          <w14:textFill>
            <w14:solidFill>
              <w14:schemeClr w14:val="tx1"/>
            </w14:solidFill>
          </w14:textFill>
        </w:rPr>
        <w:t>自</w:t>
      </w:r>
      <w:r>
        <w:rPr>
          <w:rFonts w:hint="eastAsia" w:cs="仿宋_GB2312" w:asciiTheme="minorEastAsia" w:hAnsiTheme="minorEastAsia" w:eastAsiaTheme="minorEastAsia"/>
          <w:color w:val="000000" w:themeColor="text1"/>
          <w:sz w:val="28"/>
          <w:szCs w:val="28"/>
          <w:highlight w:val="none"/>
          <w:lang w:val="en-US" w:eastAsia="zh-CN"/>
          <w14:textFill>
            <w14:solidFill>
              <w14:schemeClr w14:val="tx1"/>
            </w14:solidFill>
          </w14:textFill>
        </w:rPr>
        <w:t>行</w:t>
      </w:r>
      <w:r>
        <w:rPr>
          <w:rFonts w:hint="eastAsia" w:cs="仿宋_GB2312" w:asciiTheme="minorEastAsia" w:hAnsiTheme="minorEastAsia" w:eastAsiaTheme="minorEastAsia"/>
          <w:color w:val="000000" w:themeColor="text1"/>
          <w:sz w:val="28"/>
          <w:szCs w:val="28"/>
          <w:highlight w:val="none"/>
          <w14:textFill>
            <w14:solidFill>
              <w14:schemeClr w14:val="tx1"/>
            </w14:solidFill>
          </w14:textFill>
        </w:rPr>
        <w:t>编制</w:t>
      </w:r>
    </w:p>
    <w:p w14:paraId="65A19F7B">
      <w:pPr>
        <w:pageBreakBefore w:val="0"/>
        <w:widowControl/>
        <w:wordWrap/>
        <w:topLinePunct w:val="0"/>
        <w:bidi w:val="0"/>
        <w:spacing w:line="560" w:lineRule="exact"/>
        <w:jc w:val="left"/>
        <w:rPr>
          <w:b/>
          <w:bCs/>
          <w:color w:val="000000" w:themeColor="text1"/>
          <w:sz w:val="30"/>
          <w:szCs w:val="30"/>
          <w:highlight w:val="none"/>
          <w14:textFill>
            <w14:solidFill>
              <w14:schemeClr w14:val="tx1"/>
            </w14:solidFill>
          </w14:textFill>
        </w:rPr>
      </w:pPr>
    </w:p>
    <w:p w14:paraId="28E72ED5">
      <w:pPr>
        <w:pageBreakBefore w:val="0"/>
        <w:widowControl/>
        <w:wordWrap/>
        <w:topLinePunct w:val="0"/>
        <w:bidi w:val="0"/>
        <w:spacing w:line="560" w:lineRule="exact"/>
        <w:jc w:val="left"/>
        <w:rPr>
          <w:b/>
          <w:bCs/>
          <w:color w:val="000000" w:themeColor="text1"/>
          <w:sz w:val="30"/>
          <w:szCs w:val="30"/>
          <w:highlight w:val="none"/>
          <w14:textFill>
            <w14:solidFill>
              <w14:schemeClr w14:val="tx1"/>
            </w14:solidFill>
          </w14:textFill>
        </w:rPr>
      </w:pPr>
    </w:p>
    <w:p w14:paraId="0221A614">
      <w:pPr>
        <w:pageBreakBefore w:val="0"/>
        <w:widowControl/>
        <w:wordWrap/>
        <w:topLinePunct w:val="0"/>
        <w:bidi w:val="0"/>
        <w:spacing w:line="560" w:lineRule="exact"/>
        <w:jc w:val="left"/>
        <w:rPr>
          <w:b/>
          <w:bCs/>
          <w:color w:val="000000" w:themeColor="text1"/>
          <w:sz w:val="30"/>
          <w:szCs w:val="30"/>
          <w:highlight w:val="none"/>
          <w14:textFill>
            <w14:solidFill>
              <w14:schemeClr w14:val="tx1"/>
            </w14:solidFill>
          </w14:textFill>
        </w:rPr>
      </w:pPr>
    </w:p>
    <w:p w14:paraId="6CB32013">
      <w:pPr>
        <w:pageBreakBefore w:val="0"/>
        <w:widowControl/>
        <w:wordWrap/>
        <w:topLinePunct w:val="0"/>
        <w:bidi w:val="0"/>
        <w:spacing w:line="560" w:lineRule="exact"/>
        <w:jc w:val="left"/>
        <w:rPr>
          <w:b/>
          <w:bCs/>
          <w:color w:val="000000" w:themeColor="text1"/>
          <w:sz w:val="30"/>
          <w:szCs w:val="30"/>
          <w:highlight w:val="none"/>
          <w14:textFill>
            <w14:solidFill>
              <w14:schemeClr w14:val="tx1"/>
            </w14:solidFill>
          </w14:textFill>
        </w:rPr>
      </w:pPr>
    </w:p>
    <w:p w14:paraId="1D11112B">
      <w:pPr>
        <w:pageBreakBefore w:val="0"/>
        <w:widowControl/>
        <w:wordWrap/>
        <w:topLinePunct w:val="0"/>
        <w:bidi w:val="0"/>
        <w:spacing w:line="560" w:lineRule="exact"/>
        <w:jc w:val="left"/>
        <w:rPr>
          <w:b/>
          <w:bCs/>
          <w:color w:val="000000" w:themeColor="text1"/>
          <w:sz w:val="30"/>
          <w:szCs w:val="30"/>
          <w:highlight w:val="none"/>
          <w14:textFill>
            <w14:solidFill>
              <w14:schemeClr w14:val="tx1"/>
            </w14:solidFill>
          </w14:textFill>
        </w:rPr>
      </w:pPr>
    </w:p>
    <w:p w14:paraId="0F6F8149">
      <w:pPr>
        <w:pageBreakBefore w:val="0"/>
        <w:widowControl/>
        <w:wordWrap/>
        <w:topLinePunct w:val="0"/>
        <w:bidi w:val="0"/>
        <w:spacing w:line="560" w:lineRule="exact"/>
        <w:jc w:val="left"/>
        <w:rPr>
          <w:b/>
          <w:bCs/>
          <w:color w:val="000000" w:themeColor="text1"/>
          <w:sz w:val="30"/>
          <w:szCs w:val="30"/>
          <w:highlight w:val="none"/>
          <w14:textFill>
            <w14:solidFill>
              <w14:schemeClr w14:val="tx1"/>
            </w14:solidFill>
          </w14:textFill>
        </w:rPr>
      </w:pPr>
    </w:p>
    <w:p w14:paraId="4A3D6E7F">
      <w:pPr>
        <w:pageBreakBefore w:val="0"/>
        <w:widowControl/>
        <w:wordWrap/>
        <w:topLinePunct w:val="0"/>
        <w:bidi w:val="0"/>
        <w:spacing w:line="560" w:lineRule="exact"/>
        <w:jc w:val="left"/>
        <w:rPr>
          <w:b/>
          <w:bCs/>
          <w:color w:val="000000" w:themeColor="text1"/>
          <w:sz w:val="30"/>
          <w:szCs w:val="30"/>
          <w:highlight w:val="none"/>
          <w14:textFill>
            <w14:solidFill>
              <w14:schemeClr w14:val="tx1"/>
            </w14:solidFill>
          </w14:textFill>
        </w:rPr>
      </w:pPr>
    </w:p>
    <w:p w14:paraId="79A0BF87">
      <w:pPr>
        <w:pageBreakBefore w:val="0"/>
        <w:widowControl/>
        <w:wordWrap/>
        <w:topLinePunct w:val="0"/>
        <w:bidi w:val="0"/>
        <w:spacing w:line="560" w:lineRule="exact"/>
        <w:jc w:val="left"/>
        <w:rPr>
          <w:b/>
          <w:bCs/>
          <w:color w:val="000000" w:themeColor="text1"/>
          <w:sz w:val="30"/>
          <w:szCs w:val="30"/>
          <w:highlight w:val="none"/>
          <w14:textFill>
            <w14:solidFill>
              <w14:schemeClr w14:val="tx1"/>
            </w14:solidFill>
          </w14:textFill>
        </w:rPr>
      </w:pPr>
    </w:p>
    <w:p w14:paraId="76675992">
      <w:pPr>
        <w:pageBreakBefore w:val="0"/>
        <w:widowControl/>
        <w:wordWrap/>
        <w:topLinePunct w:val="0"/>
        <w:bidi w:val="0"/>
        <w:spacing w:line="560" w:lineRule="exact"/>
        <w:jc w:val="left"/>
        <w:rPr>
          <w:b/>
          <w:bCs/>
          <w:color w:val="000000" w:themeColor="text1"/>
          <w:sz w:val="30"/>
          <w:szCs w:val="30"/>
          <w:highlight w:val="none"/>
          <w14:textFill>
            <w14:solidFill>
              <w14:schemeClr w14:val="tx1"/>
            </w14:solidFill>
          </w14:textFill>
        </w:rPr>
      </w:pPr>
    </w:p>
    <w:p w14:paraId="6A550BE5">
      <w:pPr>
        <w:pageBreakBefore w:val="0"/>
        <w:widowControl/>
        <w:wordWrap/>
        <w:topLinePunct w:val="0"/>
        <w:bidi w:val="0"/>
        <w:spacing w:line="560" w:lineRule="exact"/>
        <w:jc w:val="left"/>
        <w:rPr>
          <w:b/>
          <w:bCs/>
          <w:color w:val="000000" w:themeColor="text1"/>
          <w:sz w:val="30"/>
          <w:szCs w:val="30"/>
          <w:highlight w:val="none"/>
          <w14:textFill>
            <w14:solidFill>
              <w14:schemeClr w14:val="tx1"/>
            </w14:solidFill>
          </w14:textFill>
        </w:rPr>
      </w:pPr>
    </w:p>
    <w:p w14:paraId="7E886122">
      <w:pPr>
        <w:pageBreakBefore w:val="0"/>
        <w:widowControl/>
        <w:wordWrap/>
        <w:topLinePunct w:val="0"/>
        <w:bidi w:val="0"/>
        <w:spacing w:line="560" w:lineRule="exact"/>
        <w:jc w:val="left"/>
        <w:rPr>
          <w:b/>
          <w:bCs/>
          <w:color w:val="000000" w:themeColor="text1"/>
          <w:sz w:val="30"/>
          <w:szCs w:val="30"/>
          <w:highlight w:val="none"/>
          <w14:textFill>
            <w14:solidFill>
              <w14:schemeClr w14:val="tx1"/>
            </w14:solidFill>
          </w14:textFill>
        </w:rPr>
      </w:pPr>
    </w:p>
    <w:p w14:paraId="7D341E86">
      <w:pPr>
        <w:pageBreakBefore w:val="0"/>
        <w:widowControl/>
        <w:wordWrap/>
        <w:topLinePunct w:val="0"/>
        <w:bidi w:val="0"/>
        <w:spacing w:line="560" w:lineRule="exact"/>
        <w:jc w:val="left"/>
        <w:rPr>
          <w:b/>
          <w:bCs/>
          <w:color w:val="000000" w:themeColor="text1"/>
          <w:sz w:val="30"/>
          <w:szCs w:val="30"/>
          <w:highlight w:val="none"/>
          <w14:textFill>
            <w14:solidFill>
              <w14:schemeClr w14:val="tx1"/>
            </w14:solidFill>
          </w14:textFill>
        </w:rPr>
      </w:pPr>
    </w:p>
    <w:p w14:paraId="7BE9474D">
      <w:pPr>
        <w:pageBreakBefore w:val="0"/>
        <w:widowControl/>
        <w:wordWrap/>
        <w:topLinePunct w:val="0"/>
        <w:bidi w:val="0"/>
        <w:spacing w:line="560" w:lineRule="exact"/>
        <w:jc w:val="left"/>
        <w:rPr>
          <w:b/>
          <w:bCs/>
          <w:color w:val="000000" w:themeColor="text1"/>
          <w:sz w:val="30"/>
          <w:szCs w:val="30"/>
          <w:highlight w:val="none"/>
          <w14:textFill>
            <w14:solidFill>
              <w14:schemeClr w14:val="tx1"/>
            </w14:solidFill>
          </w14:textFill>
        </w:rPr>
      </w:pPr>
    </w:p>
    <w:p w14:paraId="0D3253D0">
      <w:pPr>
        <w:pageBreakBefore w:val="0"/>
        <w:widowControl/>
        <w:wordWrap/>
        <w:topLinePunct w:val="0"/>
        <w:bidi w:val="0"/>
        <w:spacing w:line="560" w:lineRule="exact"/>
        <w:jc w:val="left"/>
        <w:rPr>
          <w:b/>
          <w:bCs/>
          <w:color w:val="000000" w:themeColor="text1"/>
          <w:sz w:val="30"/>
          <w:szCs w:val="30"/>
          <w:highlight w:val="none"/>
          <w14:textFill>
            <w14:solidFill>
              <w14:schemeClr w14:val="tx1"/>
            </w14:solidFill>
          </w14:textFill>
        </w:rPr>
      </w:pPr>
    </w:p>
    <w:p w14:paraId="40421AFB">
      <w:pPr>
        <w:pageBreakBefore w:val="0"/>
        <w:widowControl/>
        <w:wordWrap/>
        <w:topLinePunct w:val="0"/>
        <w:bidi w:val="0"/>
        <w:spacing w:line="560" w:lineRule="exact"/>
        <w:jc w:val="left"/>
        <w:rPr>
          <w:b/>
          <w:bCs/>
          <w:color w:val="000000" w:themeColor="text1"/>
          <w:sz w:val="30"/>
          <w:szCs w:val="30"/>
          <w:highlight w:val="none"/>
          <w14:textFill>
            <w14:solidFill>
              <w14:schemeClr w14:val="tx1"/>
            </w14:solidFill>
          </w14:textFill>
        </w:rPr>
      </w:pPr>
    </w:p>
    <w:p w14:paraId="0114F258">
      <w:pPr>
        <w:pageBreakBefore w:val="0"/>
        <w:widowControl/>
        <w:wordWrap/>
        <w:topLinePunct w:val="0"/>
        <w:bidi w:val="0"/>
        <w:spacing w:line="560" w:lineRule="exact"/>
        <w:jc w:val="left"/>
        <w:rPr>
          <w:b/>
          <w:bCs/>
          <w:color w:val="000000" w:themeColor="text1"/>
          <w:sz w:val="30"/>
          <w:szCs w:val="30"/>
          <w:highlight w:val="none"/>
          <w14:textFill>
            <w14:solidFill>
              <w14:schemeClr w14:val="tx1"/>
            </w14:solidFill>
          </w14:textFill>
        </w:rPr>
      </w:pPr>
    </w:p>
    <w:p w14:paraId="29D47167">
      <w:pPr>
        <w:pageBreakBefore w:val="0"/>
        <w:widowControl/>
        <w:wordWrap/>
        <w:topLinePunct w:val="0"/>
        <w:bidi w:val="0"/>
        <w:spacing w:line="560" w:lineRule="exact"/>
        <w:jc w:val="left"/>
        <w:rPr>
          <w:b/>
          <w:bCs/>
          <w:color w:val="000000" w:themeColor="text1"/>
          <w:sz w:val="30"/>
          <w:szCs w:val="30"/>
          <w:highlight w:val="none"/>
          <w14:textFill>
            <w14:solidFill>
              <w14:schemeClr w14:val="tx1"/>
            </w14:solidFill>
          </w14:textFill>
        </w:rPr>
      </w:pPr>
    </w:p>
    <w:p w14:paraId="7E610A46">
      <w:pPr>
        <w:pageBreakBefore w:val="0"/>
        <w:widowControl/>
        <w:wordWrap/>
        <w:topLinePunct w:val="0"/>
        <w:bidi w:val="0"/>
        <w:spacing w:line="560" w:lineRule="exact"/>
        <w:jc w:val="left"/>
        <w:rPr>
          <w:b/>
          <w:bCs/>
          <w:color w:val="000000" w:themeColor="text1"/>
          <w:sz w:val="30"/>
          <w:szCs w:val="30"/>
          <w:highlight w:val="none"/>
          <w14:textFill>
            <w14:solidFill>
              <w14:schemeClr w14:val="tx1"/>
            </w14:solidFill>
          </w14:textFill>
        </w:rPr>
      </w:pPr>
    </w:p>
    <w:p w14:paraId="235CD85A">
      <w:pPr>
        <w:pageBreakBefore w:val="0"/>
        <w:widowControl/>
        <w:wordWrap/>
        <w:topLinePunct w:val="0"/>
        <w:bidi w:val="0"/>
        <w:spacing w:line="560" w:lineRule="exact"/>
        <w:jc w:val="left"/>
        <w:rPr>
          <w:b/>
          <w:bCs/>
          <w:color w:val="000000" w:themeColor="text1"/>
          <w:sz w:val="30"/>
          <w:szCs w:val="30"/>
          <w:highlight w:val="none"/>
          <w14:textFill>
            <w14:solidFill>
              <w14:schemeClr w14:val="tx1"/>
            </w14:solidFill>
          </w14:textFill>
        </w:rPr>
      </w:pPr>
    </w:p>
    <w:p w14:paraId="0172690D">
      <w:pPr>
        <w:pageBreakBefore w:val="0"/>
        <w:widowControl/>
        <w:wordWrap/>
        <w:topLinePunct w:val="0"/>
        <w:bidi w:val="0"/>
        <w:spacing w:line="560" w:lineRule="exact"/>
        <w:jc w:val="left"/>
        <w:rPr>
          <w:b/>
          <w:bCs/>
          <w:color w:val="000000" w:themeColor="text1"/>
          <w:sz w:val="30"/>
          <w:szCs w:val="30"/>
          <w:highlight w:val="none"/>
          <w14:textFill>
            <w14:solidFill>
              <w14:schemeClr w14:val="tx1"/>
            </w14:solidFill>
          </w14:textFill>
        </w:rPr>
      </w:pPr>
    </w:p>
    <w:p w14:paraId="71587C8E">
      <w:pPr>
        <w:pageBreakBefore w:val="0"/>
        <w:wordWrap/>
        <w:topLinePunct w:val="0"/>
        <w:bidi w:val="0"/>
        <w:snapToGrid w:val="0"/>
        <w:spacing w:before="165" w:beforeLines="50" w:after="50" w:line="560" w:lineRule="exact"/>
        <w:jc w:val="center"/>
        <w:rPr>
          <w:rFonts w:hint="eastAsia" w:asciiTheme="minorEastAsia" w:hAnsiTheme="minorEastAsia" w:eastAsiaTheme="minorEastAsia"/>
          <w:b/>
          <w:bCs/>
          <w:color w:val="000000" w:themeColor="text1"/>
          <w:sz w:val="30"/>
          <w:szCs w:val="30"/>
          <w:highlight w:val="none"/>
          <w:lang w:eastAsia="zh-CN"/>
          <w14:textFill>
            <w14:solidFill>
              <w14:schemeClr w14:val="tx1"/>
            </w14:solidFill>
          </w14:textFill>
        </w:rPr>
      </w:pPr>
    </w:p>
    <w:p w14:paraId="115D03CE">
      <w:pPr>
        <w:pageBreakBefore w:val="0"/>
        <w:wordWrap/>
        <w:topLinePunct w:val="0"/>
        <w:bidi w:val="0"/>
        <w:snapToGrid w:val="0"/>
        <w:spacing w:before="165" w:beforeLines="50" w:after="50" w:line="560" w:lineRule="exact"/>
        <w:jc w:val="center"/>
        <w:rPr>
          <w:rFonts w:hint="eastAsia" w:asciiTheme="minorEastAsia" w:hAnsiTheme="minorEastAsia" w:eastAsiaTheme="minorEastAsia"/>
          <w:b/>
          <w:bCs/>
          <w:color w:val="000000" w:themeColor="text1"/>
          <w:sz w:val="30"/>
          <w:szCs w:val="30"/>
          <w:highlight w:val="none"/>
          <w:lang w:eastAsia="zh-CN"/>
          <w14:textFill>
            <w14:solidFill>
              <w14:schemeClr w14:val="tx1"/>
            </w14:solidFill>
          </w14:textFill>
        </w:rPr>
      </w:pPr>
    </w:p>
    <w:p w14:paraId="4F713519">
      <w:pPr>
        <w:pageBreakBefore w:val="0"/>
        <w:wordWrap/>
        <w:topLinePunct w:val="0"/>
        <w:bidi w:val="0"/>
        <w:snapToGrid w:val="0"/>
        <w:spacing w:before="165" w:beforeLines="50" w:after="50" w:line="560" w:lineRule="exact"/>
        <w:jc w:val="center"/>
        <w:rPr>
          <w:rFonts w:hint="eastAsia" w:asciiTheme="minorEastAsia" w:hAnsiTheme="minorEastAsia" w:eastAsiaTheme="minorEastAsia"/>
          <w:b/>
          <w:bCs/>
          <w:color w:val="000000" w:themeColor="text1"/>
          <w:sz w:val="30"/>
          <w:szCs w:val="30"/>
          <w:highlight w:val="none"/>
          <w:lang w:eastAsia="zh-CN"/>
          <w14:textFill>
            <w14:solidFill>
              <w14:schemeClr w14:val="tx1"/>
            </w14:solidFill>
          </w14:textFill>
        </w:rPr>
      </w:pPr>
    </w:p>
    <w:p w14:paraId="4D33C550">
      <w:pPr>
        <w:pageBreakBefore w:val="0"/>
        <w:wordWrap/>
        <w:topLinePunct w:val="0"/>
        <w:bidi w:val="0"/>
        <w:snapToGrid w:val="0"/>
        <w:spacing w:before="165" w:beforeLines="50" w:after="50" w:line="560" w:lineRule="exact"/>
        <w:jc w:val="center"/>
        <w:rPr>
          <w:rFonts w:hint="eastAsia" w:asciiTheme="minorEastAsia" w:hAnsiTheme="minorEastAsia" w:eastAsiaTheme="minorEastAsia"/>
          <w:b/>
          <w:bCs/>
          <w:color w:val="000000" w:themeColor="text1"/>
          <w:sz w:val="30"/>
          <w:szCs w:val="30"/>
          <w:highlight w:val="none"/>
          <w:lang w:eastAsia="zh-CN"/>
          <w14:textFill>
            <w14:solidFill>
              <w14:schemeClr w14:val="tx1"/>
            </w14:solidFill>
          </w14:textFill>
        </w:rPr>
      </w:pPr>
      <w:r>
        <w:rPr>
          <w:rFonts w:hint="eastAsia" w:asciiTheme="minorEastAsia" w:hAnsiTheme="minorEastAsia" w:eastAsiaTheme="minorEastAsia"/>
          <w:b/>
          <w:bCs/>
          <w:color w:val="000000" w:themeColor="text1"/>
          <w:sz w:val="30"/>
          <w:szCs w:val="30"/>
          <w:highlight w:val="none"/>
          <w:lang w:eastAsia="zh-CN"/>
          <w14:textFill>
            <w14:solidFill>
              <w14:schemeClr w14:val="tx1"/>
            </w14:solidFill>
          </w14:textFill>
        </w:rPr>
        <w:t>四</w:t>
      </w:r>
      <w:r>
        <w:rPr>
          <w:rFonts w:hint="eastAsia" w:asciiTheme="minorEastAsia" w:hAnsiTheme="minorEastAsia" w:eastAsiaTheme="minorEastAsia"/>
          <w:b/>
          <w:bCs/>
          <w:color w:val="000000" w:themeColor="text1"/>
          <w:sz w:val="30"/>
          <w:szCs w:val="30"/>
          <w:highlight w:val="none"/>
          <w14:textFill>
            <w14:solidFill>
              <w14:schemeClr w14:val="tx1"/>
            </w14:solidFill>
          </w14:textFill>
        </w:rPr>
        <w:t>、</w:t>
      </w:r>
      <w:r>
        <w:rPr>
          <w:rFonts w:hint="eastAsia" w:asciiTheme="minorEastAsia" w:hAnsiTheme="minorEastAsia" w:eastAsiaTheme="minorEastAsia"/>
          <w:b/>
          <w:bCs/>
          <w:color w:val="000000" w:themeColor="text1"/>
          <w:sz w:val="30"/>
          <w:szCs w:val="30"/>
          <w:highlight w:val="none"/>
          <w:lang w:eastAsia="zh-CN"/>
          <w14:textFill>
            <w14:solidFill>
              <w14:schemeClr w14:val="tx1"/>
            </w14:solidFill>
          </w14:textFill>
        </w:rPr>
        <w:t>技术方案</w:t>
      </w:r>
    </w:p>
    <w:p w14:paraId="3ABF540D">
      <w:pPr>
        <w:pageBreakBefore w:val="0"/>
        <w:wordWrap/>
        <w:topLinePunct w:val="0"/>
        <w:autoSpaceDE w:val="0"/>
        <w:autoSpaceDN w:val="0"/>
        <w:bidi w:val="0"/>
        <w:spacing w:line="560" w:lineRule="exact"/>
        <w:jc w:val="center"/>
        <w:rPr>
          <w:rFonts w:hint="eastAsia" w:cs="仿宋_GB2312" w:asciiTheme="minorEastAsia" w:hAnsiTheme="minorEastAsia" w:eastAsiaTheme="minorEastAsia"/>
          <w:color w:val="000000" w:themeColor="text1"/>
          <w:sz w:val="24"/>
          <w:highlight w:val="none"/>
          <w:lang w:val="en-US" w:eastAsia="zh-CN"/>
          <w14:textFill>
            <w14:solidFill>
              <w14:schemeClr w14:val="tx1"/>
            </w14:solidFill>
          </w14:textFill>
        </w:rPr>
      </w:pPr>
      <w:r>
        <w:rPr>
          <w:rFonts w:hint="eastAsia" w:cs="仿宋_GB2312" w:asciiTheme="minorEastAsia" w:hAnsiTheme="minorEastAsia" w:eastAsiaTheme="minorEastAsia"/>
          <w:color w:val="000000" w:themeColor="text1"/>
          <w:sz w:val="28"/>
          <w:szCs w:val="28"/>
          <w:highlight w:val="none"/>
          <w:lang w:eastAsia="zh-CN"/>
          <w14:textFill>
            <w14:solidFill>
              <w14:schemeClr w14:val="tx1"/>
            </w14:solidFill>
          </w14:textFill>
        </w:rPr>
        <w:t>供应商</w:t>
      </w:r>
      <w:r>
        <w:rPr>
          <w:rFonts w:hint="eastAsia" w:cs="仿宋_GB2312" w:asciiTheme="minorEastAsia" w:hAnsiTheme="minorEastAsia" w:eastAsiaTheme="minorEastAsia"/>
          <w:color w:val="000000" w:themeColor="text1"/>
          <w:sz w:val="28"/>
          <w:szCs w:val="28"/>
          <w:highlight w:val="none"/>
          <w14:textFill>
            <w14:solidFill>
              <w14:schemeClr w14:val="tx1"/>
            </w14:solidFill>
          </w14:textFill>
        </w:rPr>
        <w:t>根据采购需求及评分标准要求</w:t>
      </w:r>
      <w:r>
        <w:rPr>
          <w:rFonts w:hint="eastAsia" w:cs="仿宋_GB2312" w:asciiTheme="minorEastAsia" w:hAnsiTheme="minorEastAsia" w:eastAsiaTheme="minorEastAsia"/>
          <w:color w:val="000000" w:themeColor="text1"/>
          <w:sz w:val="28"/>
          <w:szCs w:val="28"/>
          <w:highlight w:val="none"/>
          <w:lang w:eastAsia="zh-CN"/>
          <w14:textFill>
            <w14:solidFill>
              <w14:schemeClr w14:val="tx1"/>
            </w14:solidFill>
          </w14:textFill>
        </w:rPr>
        <w:t>自</w:t>
      </w:r>
      <w:r>
        <w:rPr>
          <w:rFonts w:hint="eastAsia" w:cs="仿宋_GB2312" w:asciiTheme="minorEastAsia" w:hAnsiTheme="minorEastAsia" w:eastAsiaTheme="minorEastAsia"/>
          <w:color w:val="000000" w:themeColor="text1"/>
          <w:sz w:val="28"/>
          <w:szCs w:val="28"/>
          <w:highlight w:val="none"/>
          <w:lang w:val="en-US" w:eastAsia="zh-CN"/>
          <w14:textFill>
            <w14:solidFill>
              <w14:schemeClr w14:val="tx1"/>
            </w14:solidFill>
          </w14:textFill>
        </w:rPr>
        <w:t>行</w:t>
      </w:r>
      <w:r>
        <w:rPr>
          <w:rFonts w:hint="eastAsia" w:cs="仿宋_GB2312" w:asciiTheme="minorEastAsia" w:hAnsiTheme="minorEastAsia" w:eastAsiaTheme="minorEastAsia"/>
          <w:color w:val="000000" w:themeColor="text1"/>
          <w:sz w:val="28"/>
          <w:szCs w:val="28"/>
          <w:highlight w:val="none"/>
          <w14:textFill>
            <w14:solidFill>
              <w14:schemeClr w14:val="tx1"/>
            </w14:solidFill>
          </w14:textFill>
        </w:rPr>
        <w:t>编制</w:t>
      </w:r>
    </w:p>
    <w:p w14:paraId="55607230">
      <w:pPr>
        <w:pageBreakBefore w:val="0"/>
        <w:wordWrap/>
        <w:topLinePunct w:val="0"/>
        <w:bidi w:val="0"/>
        <w:snapToGrid w:val="0"/>
        <w:spacing w:before="165" w:beforeLines="50" w:after="50" w:line="560" w:lineRule="exact"/>
        <w:jc w:val="center"/>
        <w:rPr>
          <w:rFonts w:asciiTheme="minorEastAsia" w:hAnsiTheme="minorEastAsia" w:eastAsiaTheme="minorEastAsia"/>
          <w:b/>
          <w:bCs/>
          <w:color w:val="000000" w:themeColor="text1"/>
          <w:sz w:val="30"/>
          <w:szCs w:val="30"/>
          <w:highlight w:val="none"/>
          <w14:textFill>
            <w14:solidFill>
              <w14:schemeClr w14:val="tx1"/>
            </w14:solidFill>
          </w14:textFill>
        </w:rPr>
      </w:pPr>
    </w:p>
    <w:p w14:paraId="195B46F3">
      <w:pPr>
        <w:pageBreakBefore w:val="0"/>
        <w:wordWrap/>
        <w:topLinePunct w:val="0"/>
        <w:bidi w:val="0"/>
        <w:snapToGrid w:val="0"/>
        <w:spacing w:before="165" w:beforeLines="50" w:after="50" w:line="560" w:lineRule="exact"/>
        <w:jc w:val="center"/>
        <w:rPr>
          <w:rFonts w:asciiTheme="minorEastAsia" w:hAnsiTheme="minorEastAsia" w:eastAsiaTheme="minorEastAsia"/>
          <w:b/>
          <w:bCs/>
          <w:color w:val="000000" w:themeColor="text1"/>
          <w:sz w:val="30"/>
          <w:szCs w:val="30"/>
          <w:highlight w:val="none"/>
          <w14:textFill>
            <w14:solidFill>
              <w14:schemeClr w14:val="tx1"/>
            </w14:solidFill>
          </w14:textFill>
        </w:rPr>
      </w:pPr>
    </w:p>
    <w:p w14:paraId="2FB02060">
      <w:pPr>
        <w:pageBreakBefore w:val="0"/>
        <w:wordWrap/>
        <w:topLinePunct w:val="0"/>
        <w:bidi w:val="0"/>
        <w:snapToGrid w:val="0"/>
        <w:spacing w:before="165" w:beforeLines="50" w:after="50" w:line="560" w:lineRule="exact"/>
        <w:jc w:val="center"/>
        <w:rPr>
          <w:rFonts w:asciiTheme="minorEastAsia" w:hAnsiTheme="minorEastAsia" w:eastAsiaTheme="minorEastAsia"/>
          <w:b/>
          <w:bCs/>
          <w:color w:val="000000" w:themeColor="text1"/>
          <w:sz w:val="30"/>
          <w:szCs w:val="30"/>
          <w:highlight w:val="none"/>
          <w14:textFill>
            <w14:solidFill>
              <w14:schemeClr w14:val="tx1"/>
            </w14:solidFill>
          </w14:textFill>
        </w:rPr>
      </w:pPr>
    </w:p>
    <w:p w14:paraId="39A257D7">
      <w:pPr>
        <w:pageBreakBefore w:val="0"/>
        <w:wordWrap/>
        <w:topLinePunct w:val="0"/>
        <w:bidi w:val="0"/>
        <w:snapToGrid w:val="0"/>
        <w:spacing w:before="165" w:beforeLines="50" w:after="50" w:line="560" w:lineRule="exact"/>
        <w:jc w:val="center"/>
        <w:rPr>
          <w:rFonts w:asciiTheme="minorEastAsia" w:hAnsiTheme="minorEastAsia" w:eastAsiaTheme="minorEastAsia"/>
          <w:b/>
          <w:bCs/>
          <w:color w:val="000000" w:themeColor="text1"/>
          <w:sz w:val="30"/>
          <w:szCs w:val="30"/>
          <w:highlight w:val="none"/>
          <w14:textFill>
            <w14:solidFill>
              <w14:schemeClr w14:val="tx1"/>
            </w14:solidFill>
          </w14:textFill>
        </w:rPr>
      </w:pPr>
    </w:p>
    <w:p w14:paraId="022173F2">
      <w:pPr>
        <w:pageBreakBefore w:val="0"/>
        <w:wordWrap/>
        <w:topLinePunct w:val="0"/>
        <w:bidi w:val="0"/>
        <w:snapToGrid w:val="0"/>
        <w:spacing w:before="165" w:beforeLines="50" w:after="50" w:line="560" w:lineRule="exact"/>
        <w:jc w:val="center"/>
        <w:rPr>
          <w:rFonts w:asciiTheme="minorEastAsia" w:hAnsiTheme="minorEastAsia" w:eastAsiaTheme="minorEastAsia"/>
          <w:b/>
          <w:bCs/>
          <w:color w:val="000000" w:themeColor="text1"/>
          <w:sz w:val="30"/>
          <w:szCs w:val="30"/>
          <w:highlight w:val="none"/>
          <w14:textFill>
            <w14:solidFill>
              <w14:schemeClr w14:val="tx1"/>
            </w14:solidFill>
          </w14:textFill>
        </w:rPr>
      </w:pPr>
    </w:p>
    <w:p w14:paraId="26B92F09">
      <w:pPr>
        <w:pageBreakBefore w:val="0"/>
        <w:wordWrap/>
        <w:topLinePunct w:val="0"/>
        <w:bidi w:val="0"/>
        <w:snapToGrid w:val="0"/>
        <w:spacing w:before="165" w:beforeLines="50" w:after="50" w:line="560" w:lineRule="exact"/>
        <w:jc w:val="center"/>
        <w:rPr>
          <w:rFonts w:asciiTheme="minorEastAsia" w:hAnsiTheme="minorEastAsia" w:eastAsiaTheme="minorEastAsia"/>
          <w:b/>
          <w:bCs/>
          <w:color w:val="000000" w:themeColor="text1"/>
          <w:sz w:val="30"/>
          <w:szCs w:val="30"/>
          <w:highlight w:val="none"/>
          <w14:textFill>
            <w14:solidFill>
              <w14:schemeClr w14:val="tx1"/>
            </w14:solidFill>
          </w14:textFill>
        </w:rPr>
      </w:pPr>
    </w:p>
    <w:p w14:paraId="05F4853D">
      <w:pPr>
        <w:pageBreakBefore w:val="0"/>
        <w:wordWrap/>
        <w:topLinePunct w:val="0"/>
        <w:bidi w:val="0"/>
        <w:snapToGrid w:val="0"/>
        <w:spacing w:before="165" w:beforeLines="50" w:after="50" w:line="560" w:lineRule="exact"/>
        <w:jc w:val="center"/>
        <w:rPr>
          <w:rFonts w:asciiTheme="minorEastAsia" w:hAnsiTheme="minorEastAsia" w:eastAsiaTheme="minorEastAsia"/>
          <w:b/>
          <w:bCs/>
          <w:color w:val="000000" w:themeColor="text1"/>
          <w:sz w:val="30"/>
          <w:szCs w:val="30"/>
          <w:highlight w:val="none"/>
          <w14:textFill>
            <w14:solidFill>
              <w14:schemeClr w14:val="tx1"/>
            </w14:solidFill>
          </w14:textFill>
        </w:rPr>
      </w:pPr>
    </w:p>
    <w:p w14:paraId="3DA5A2CE">
      <w:pPr>
        <w:pageBreakBefore w:val="0"/>
        <w:wordWrap/>
        <w:topLinePunct w:val="0"/>
        <w:bidi w:val="0"/>
        <w:snapToGrid w:val="0"/>
        <w:spacing w:before="165" w:beforeLines="50" w:after="50" w:line="560" w:lineRule="exact"/>
        <w:jc w:val="center"/>
        <w:rPr>
          <w:rFonts w:asciiTheme="minorEastAsia" w:hAnsiTheme="minorEastAsia" w:eastAsiaTheme="minorEastAsia"/>
          <w:b/>
          <w:bCs/>
          <w:color w:val="000000" w:themeColor="text1"/>
          <w:sz w:val="30"/>
          <w:szCs w:val="30"/>
          <w:highlight w:val="none"/>
          <w14:textFill>
            <w14:solidFill>
              <w14:schemeClr w14:val="tx1"/>
            </w14:solidFill>
          </w14:textFill>
        </w:rPr>
      </w:pPr>
    </w:p>
    <w:p w14:paraId="1ED7E10A">
      <w:pPr>
        <w:pageBreakBefore w:val="0"/>
        <w:wordWrap/>
        <w:topLinePunct w:val="0"/>
        <w:bidi w:val="0"/>
        <w:snapToGrid w:val="0"/>
        <w:spacing w:before="165" w:beforeLines="50" w:after="50" w:line="560" w:lineRule="exact"/>
        <w:jc w:val="center"/>
        <w:rPr>
          <w:rFonts w:asciiTheme="minorEastAsia" w:hAnsiTheme="minorEastAsia" w:eastAsiaTheme="minorEastAsia"/>
          <w:b/>
          <w:bCs/>
          <w:color w:val="000000" w:themeColor="text1"/>
          <w:sz w:val="30"/>
          <w:szCs w:val="30"/>
          <w:highlight w:val="none"/>
          <w14:textFill>
            <w14:solidFill>
              <w14:schemeClr w14:val="tx1"/>
            </w14:solidFill>
          </w14:textFill>
        </w:rPr>
      </w:pPr>
    </w:p>
    <w:p w14:paraId="7F8451B6">
      <w:pPr>
        <w:pageBreakBefore w:val="0"/>
        <w:wordWrap/>
        <w:topLinePunct w:val="0"/>
        <w:bidi w:val="0"/>
        <w:snapToGrid w:val="0"/>
        <w:spacing w:before="165" w:beforeLines="50" w:after="50" w:line="560" w:lineRule="exact"/>
        <w:jc w:val="center"/>
        <w:rPr>
          <w:rFonts w:asciiTheme="minorEastAsia" w:hAnsiTheme="minorEastAsia" w:eastAsiaTheme="minorEastAsia"/>
          <w:b/>
          <w:bCs/>
          <w:color w:val="000000" w:themeColor="text1"/>
          <w:sz w:val="30"/>
          <w:szCs w:val="30"/>
          <w:highlight w:val="none"/>
          <w14:textFill>
            <w14:solidFill>
              <w14:schemeClr w14:val="tx1"/>
            </w14:solidFill>
          </w14:textFill>
        </w:rPr>
      </w:pPr>
    </w:p>
    <w:p w14:paraId="0163081D">
      <w:pPr>
        <w:pageBreakBefore w:val="0"/>
        <w:wordWrap/>
        <w:topLinePunct w:val="0"/>
        <w:bidi w:val="0"/>
        <w:snapToGrid w:val="0"/>
        <w:spacing w:before="165" w:beforeLines="50" w:after="50" w:line="560" w:lineRule="exact"/>
        <w:jc w:val="center"/>
        <w:rPr>
          <w:rFonts w:asciiTheme="minorEastAsia" w:hAnsiTheme="minorEastAsia" w:eastAsiaTheme="minorEastAsia"/>
          <w:b/>
          <w:bCs/>
          <w:color w:val="000000" w:themeColor="text1"/>
          <w:sz w:val="30"/>
          <w:szCs w:val="30"/>
          <w:highlight w:val="none"/>
          <w14:textFill>
            <w14:solidFill>
              <w14:schemeClr w14:val="tx1"/>
            </w14:solidFill>
          </w14:textFill>
        </w:rPr>
      </w:pPr>
    </w:p>
    <w:p w14:paraId="20E35051">
      <w:pPr>
        <w:pageBreakBefore w:val="0"/>
        <w:wordWrap/>
        <w:topLinePunct w:val="0"/>
        <w:bidi w:val="0"/>
        <w:snapToGrid w:val="0"/>
        <w:spacing w:before="165" w:beforeLines="50" w:after="50" w:line="560" w:lineRule="exact"/>
        <w:jc w:val="center"/>
        <w:rPr>
          <w:rFonts w:asciiTheme="minorEastAsia" w:hAnsiTheme="minorEastAsia" w:eastAsiaTheme="minorEastAsia"/>
          <w:b/>
          <w:bCs/>
          <w:color w:val="000000" w:themeColor="text1"/>
          <w:sz w:val="30"/>
          <w:szCs w:val="30"/>
          <w:highlight w:val="none"/>
          <w14:textFill>
            <w14:solidFill>
              <w14:schemeClr w14:val="tx1"/>
            </w14:solidFill>
          </w14:textFill>
        </w:rPr>
      </w:pPr>
    </w:p>
    <w:p w14:paraId="3F2DF5AD">
      <w:pPr>
        <w:pageBreakBefore w:val="0"/>
        <w:wordWrap/>
        <w:topLinePunct w:val="0"/>
        <w:bidi w:val="0"/>
        <w:snapToGrid w:val="0"/>
        <w:spacing w:before="165" w:beforeLines="50" w:after="50" w:line="560" w:lineRule="exact"/>
        <w:jc w:val="center"/>
        <w:rPr>
          <w:rFonts w:asciiTheme="minorEastAsia" w:hAnsiTheme="minorEastAsia" w:eastAsiaTheme="minorEastAsia"/>
          <w:b/>
          <w:bCs/>
          <w:color w:val="000000" w:themeColor="text1"/>
          <w:sz w:val="30"/>
          <w:szCs w:val="30"/>
          <w:highlight w:val="none"/>
          <w14:textFill>
            <w14:solidFill>
              <w14:schemeClr w14:val="tx1"/>
            </w14:solidFill>
          </w14:textFill>
        </w:rPr>
      </w:pPr>
    </w:p>
    <w:p w14:paraId="30770C8B">
      <w:pPr>
        <w:pageBreakBefore w:val="0"/>
        <w:wordWrap/>
        <w:topLinePunct w:val="0"/>
        <w:bidi w:val="0"/>
        <w:snapToGrid w:val="0"/>
        <w:spacing w:before="165" w:beforeLines="50" w:after="50" w:line="560" w:lineRule="exact"/>
        <w:jc w:val="center"/>
        <w:rPr>
          <w:rFonts w:asciiTheme="minorEastAsia" w:hAnsiTheme="minorEastAsia" w:eastAsiaTheme="minorEastAsia"/>
          <w:b/>
          <w:bCs/>
          <w:color w:val="000000" w:themeColor="text1"/>
          <w:sz w:val="30"/>
          <w:szCs w:val="30"/>
          <w:highlight w:val="none"/>
          <w14:textFill>
            <w14:solidFill>
              <w14:schemeClr w14:val="tx1"/>
            </w14:solidFill>
          </w14:textFill>
        </w:rPr>
      </w:pPr>
    </w:p>
    <w:p w14:paraId="28FF3EE6">
      <w:pPr>
        <w:pageBreakBefore w:val="0"/>
        <w:wordWrap/>
        <w:topLinePunct w:val="0"/>
        <w:bidi w:val="0"/>
        <w:snapToGrid w:val="0"/>
        <w:spacing w:before="165" w:beforeLines="50" w:after="50" w:line="560" w:lineRule="exact"/>
        <w:jc w:val="center"/>
        <w:rPr>
          <w:rFonts w:asciiTheme="minorEastAsia" w:hAnsiTheme="minorEastAsia" w:eastAsiaTheme="minorEastAsia"/>
          <w:b/>
          <w:bCs/>
          <w:color w:val="000000" w:themeColor="text1"/>
          <w:sz w:val="30"/>
          <w:szCs w:val="30"/>
          <w:highlight w:val="none"/>
          <w14:textFill>
            <w14:solidFill>
              <w14:schemeClr w14:val="tx1"/>
            </w14:solidFill>
          </w14:textFill>
        </w:rPr>
      </w:pPr>
    </w:p>
    <w:p w14:paraId="7E8BB017">
      <w:pPr>
        <w:pageBreakBefore w:val="0"/>
        <w:wordWrap/>
        <w:topLinePunct w:val="0"/>
        <w:bidi w:val="0"/>
        <w:snapToGrid w:val="0"/>
        <w:spacing w:before="165" w:beforeLines="50" w:after="50" w:line="560" w:lineRule="exact"/>
        <w:jc w:val="center"/>
        <w:rPr>
          <w:rFonts w:asciiTheme="minorEastAsia" w:hAnsiTheme="minorEastAsia" w:eastAsiaTheme="minorEastAsia"/>
          <w:b/>
          <w:bCs/>
          <w:color w:val="000000" w:themeColor="text1"/>
          <w:sz w:val="30"/>
          <w:szCs w:val="30"/>
          <w:highlight w:val="none"/>
          <w14:textFill>
            <w14:solidFill>
              <w14:schemeClr w14:val="tx1"/>
            </w14:solidFill>
          </w14:textFill>
        </w:rPr>
      </w:pPr>
    </w:p>
    <w:p w14:paraId="0234A86B">
      <w:pPr>
        <w:pageBreakBefore w:val="0"/>
        <w:wordWrap/>
        <w:topLinePunct w:val="0"/>
        <w:bidi w:val="0"/>
        <w:snapToGrid w:val="0"/>
        <w:spacing w:before="165" w:beforeLines="50" w:after="50" w:line="560" w:lineRule="exact"/>
        <w:jc w:val="center"/>
        <w:rPr>
          <w:rFonts w:asciiTheme="minorEastAsia" w:hAnsiTheme="minorEastAsia" w:eastAsiaTheme="minorEastAsia"/>
          <w:b/>
          <w:bCs/>
          <w:color w:val="000000" w:themeColor="text1"/>
          <w:sz w:val="30"/>
          <w:szCs w:val="30"/>
          <w:highlight w:val="none"/>
          <w14:textFill>
            <w14:solidFill>
              <w14:schemeClr w14:val="tx1"/>
            </w14:solidFill>
          </w14:textFill>
        </w:rPr>
      </w:pPr>
    </w:p>
    <w:p w14:paraId="3E43CDBE">
      <w:pPr>
        <w:pageBreakBefore w:val="0"/>
        <w:wordWrap/>
        <w:topLinePunct w:val="0"/>
        <w:bidi w:val="0"/>
        <w:snapToGrid w:val="0"/>
        <w:spacing w:before="165" w:beforeLines="50" w:after="50" w:line="560" w:lineRule="exact"/>
        <w:jc w:val="both"/>
        <w:rPr>
          <w:rFonts w:asciiTheme="minorEastAsia" w:hAnsiTheme="minorEastAsia" w:eastAsiaTheme="minorEastAsia"/>
          <w:b/>
          <w:bCs/>
          <w:color w:val="000000" w:themeColor="text1"/>
          <w:sz w:val="30"/>
          <w:szCs w:val="30"/>
          <w:highlight w:val="none"/>
          <w14:textFill>
            <w14:solidFill>
              <w14:schemeClr w14:val="tx1"/>
            </w14:solidFill>
          </w14:textFill>
        </w:rPr>
      </w:pPr>
    </w:p>
    <w:p w14:paraId="1B1AD400">
      <w:pPr>
        <w:pageBreakBefore w:val="0"/>
        <w:widowControl/>
        <w:wordWrap/>
        <w:topLinePunct w:val="0"/>
        <w:bidi w:val="0"/>
        <w:spacing w:line="560" w:lineRule="exact"/>
        <w:jc w:val="center"/>
        <w:rPr>
          <w:rFonts w:hint="eastAsia" w:asciiTheme="minorEastAsia" w:hAnsiTheme="minorEastAsia" w:eastAsiaTheme="minorEastAsia"/>
          <w:b/>
          <w:bCs/>
          <w:color w:val="000000" w:themeColor="text1"/>
          <w:sz w:val="30"/>
          <w:szCs w:val="30"/>
          <w:highlight w:val="none"/>
          <w:lang w:eastAsia="zh-CN"/>
          <w14:textFill>
            <w14:solidFill>
              <w14:schemeClr w14:val="tx1"/>
            </w14:solidFill>
          </w14:textFill>
        </w:rPr>
      </w:pPr>
      <w:r>
        <w:rPr>
          <w:rFonts w:hint="eastAsia" w:asciiTheme="minorEastAsia" w:hAnsiTheme="minorEastAsia" w:eastAsiaTheme="minorEastAsia"/>
          <w:b/>
          <w:bCs/>
          <w:color w:val="000000" w:themeColor="text1"/>
          <w:sz w:val="30"/>
          <w:szCs w:val="30"/>
          <w:highlight w:val="none"/>
          <w:lang w:eastAsia="zh-CN"/>
          <w14:textFill>
            <w14:solidFill>
              <w14:schemeClr w14:val="tx1"/>
            </w14:solidFill>
          </w14:textFill>
        </w:rPr>
        <w:t>五</w:t>
      </w:r>
      <w:r>
        <w:rPr>
          <w:rFonts w:hint="eastAsia" w:asciiTheme="minorEastAsia" w:hAnsiTheme="minorEastAsia" w:eastAsiaTheme="minorEastAsia"/>
          <w:b/>
          <w:bCs/>
          <w:color w:val="000000" w:themeColor="text1"/>
          <w:sz w:val="30"/>
          <w:szCs w:val="30"/>
          <w:highlight w:val="none"/>
          <w14:textFill>
            <w14:solidFill>
              <w14:schemeClr w14:val="tx1"/>
            </w14:solidFill>
          </w14:textFill>
        </w:rPr>
        <w:t>、</w:t>
      </w:r>
      <w:r>
        <w:rPr>
          <w:rFonts w:hint="eastAsia" w:asciiTheme="minorEastAsia" w:hAnsiTheme="minorEastAsia" w:eastAsiaTheme="minorEastAsia"/>
          <w:b/>
          <w:bCs/>
          <w:color w:val="000000" w:themeColor="text1"/>
          <w:sz w:val="30"/>
          <w:szCs w:val="30"/>
          <w:highlight w:val="none"/>
          <w:lang w:eastAsia="zh-CN"/>
          <w14:textFill>
            <w14:solidFill>
              <w14:schemeClr w14:val="tx1"/>
            </w14:solidFill>
          </w14:textFill>
        </w:rPr>
        <w:t>供应商</w:t>
      </w:r>
      <w:r>
        <w:rPr>
          <w:rFonts w:hint="eastAsia" w:asciiTheme="minorEastAsia" w:hAnsiTheme="minorEastAsia" w:eastAsiaTheme="minorEastAsia"/>
          <w:b/>
          <w:bCs/>
          <w:color w:val="000000" w:themeColor="text1"/>
          <w:sz w:val="30"/>
          <w:szCs w:val="30"/>
          <w:highlight w:val="none"/>
          <w14:textFill>
            <w14:solidFill>
              <w14:schemeClr w14:val="tx1"/>
            </w14:solidFill>
          </w14:textFill>
        </w:rPr>
        <w:t>认为需要的其他技术文件或说明</w:t>
      </w:r>
      <w:r>
        <w:rPr>
          <w:rFonts w:hint="eastAsia" w:asciiTheme="minorEastAsia" w:hAnsiTheme="minorEastAsia" w:eastAsiaTheme="minorEastAsia"/>
          <w:b/>
          <w:bCs/>
          <w:color w:val="000000" w:themeColor="text1"/>
          <w:sz w:val="30"/>
          <w:szCs w:val="30"/>
          <w:highlight w:val="none"/>
          <w:lang w:eastAsia="zh-CN"/>
          <w14:textFill>
            <w14:solidFill>
              <w14:schemeClr w14:val="tx1"/>
            </w14:solidFill>
          </w14:textFill>
        </w:rPr>
        <w:t>（如有）</w:t>
      </w:r>
    </w:p>
    <w:p w14:paraId="31DD6A39">
      <w:pPr>
        <w:pageBreakBefore w:val="0"/>
        <w:wordWrap/>
        <w:topLinePunct w:val="0"/>
        <w:bidi w:val="0"/>
        <w:spacing w:line="560" w:lineRule="exact"/>
        <w:jc w:val="center"/>
        <w:rPr>
          <w:rFonts w:cs="仿宋_GB2312" w:asciiTheme="minorEastAsia" w:hAnsiTheme="minorEastAsia" w:eastAsiaTheme="minorEastAsia"/>
          <w:color w:val="000000" w:themeColor="text1"/>
          <w:sz w:val="28"/>
          <w:szCs w:val="28"/>
          <w:highlight w:val="none"/>
          <w14:textFill>
            <w14:solidFill>
              <w14:schemeClr w14:val="tx1"/>
            </w14:solidFill>
          </w14:textFill>
        </w:rPr>
      </w:pPr>
      <w:r>
        <w:rPr>
          <w:rFonts w:hint="eastAsia" w:cs="仿宋_GB2312" w:asciiTheme="minorEastAsia" w:hAnsiTheme="minorEastAsia" w:eastAsiaTheme="minorEastAsia"/>
          <w:color w:val="000000" w:themeColor="text1"/>
          <w:sz w:val="28"/>
          <w:szCs w:val="28"/>
          <w:highlight w:val="none"/>
          <w14:textFill>
            <w14:solidFill>
              <w14:schemeClr w14:val="tx1"/>
            </w14:solidFill>
          </w14:textFill>
        </w:rPr>
        <w:t>（由</w:t>
      </w:r>
      <w:r>
        <w:rPr>
          <w:rFonts w:hint="eastAsia" w:cs="仿宋_GB2312" w:asciiTheme="minorEastAsia" w:hAnsiTheme="minorEastAsia" w:eastAsiaTheme="minorEastAsia"/>
          <w:color w:val="000000" w:themeColor="text1"/>
          <w:sz w:val="28"/>
          <w:szCs w:val="28"/>
          <w:highlight w:val="none"/>
          <w:lang w:eastAsia="zh-CN"/>
          <w14:textFill>
            <w14:solidFill>
              <w14:schemeClr w14:val="tx1"/>
            </w14:solidFill>
          </w14:textFill>
        </w:rPr>
        <w:t>供应商</w:t>
      </w:r>
      <w:r>
        <w:rPr>
          <w:rFonts w:hint="eastAsia" w:cs="仿宋_GB2312" w:asciiTheme="minorEastAsia" w:hAnsiTheme="minorEastAsia" w:eastAsiaTheme="minorEastAsia"/>
          <w:color w:val="000000" w:themeColor="text1"/>
          <w:sz w:val="28"/>
          <w:szCs w:val="28"/>
          <w:highlight w:val="none"/>
          <w14:textFill>
            <w14:solidFill>
              <w14:schemeClr w14:val="tx1"/>
            </w14:solidFill>
          </w14:textFill>
        </w:rPr>
        <w:t>根据采购需求自行编制）</w:t>
      </w:r>
    </w:p>
    <w:p w14:paraId="0F192D04">
      <w:pPr>
        <w:pageBreakBefore w:val="0"/>
        <w:wordWrap/>
        <w:topLinePunct w:val="0"/>
        <w:bidi w:val="0"/>
        <w:spacing w:line="560" w:lineRule="exact"/>
        <w:jc w:val="center"/>
        <w:rPr>
          <w:rFonts w:ascii="仿宋_GB2312" w:hAnsi="仿宋" w:eastAsia="仿宋_GB2312" w:cs="仿宋_GB2312"/>
          <w:color w:val="000000" w:themeColor="text1"/>
          <w:sz w:val="24"/>
          <w:highlight w:val="none"/>
          <w14:textFill>
            <w14:solidFill>
              <w14:schemeClr w14:val="tx1"/>
            </w14:solidFill>
          </w14:textFill>
        </w:rPr>
      </w:pPr>
    </w:p>
    <w:p w14:paraId="418618DE">
      <w:pPr>
        <w:pageBreakBefore w:val="0"/>
        <w:widowControl/>
        <w:wordWrap/>
        <w:topLinePunct w:val="0"/>
        <w:bidi w:val="0"/>
        <w:spacing w:line="560" w:lineRule="exact"/>
        <w:jc w:val="left"/>
        <w:rPr>
          <w:rFonts w:ascii="宋体" w:hAnsi="宋体"/>
          <w:b/>
          <w:bCs/>
          <w:color w:val="000000" w:themeColor="text1"/>
          <w:sz w:val="24"/>
          <w:highlight w:val="none"/>
          <w14:textFill>
            <w14:solidFill>
              <w14:schemeClr w14:val="tx1"/>
            </w14:solidFill>
          </w14:textFill>
        </w:rPr>
        <w:sectPr>
          <w:headerReference r:id="rId21" w:type="default"/>
          <w:pgSz w:w="11906" w:h="16838"/>
          <w:pgMar w:top="1134" w:right="1134" w:bottom="1134" w:left="1134" w:header="720" w:footer="720" w:gutter="0"/>
          <w:pgNumType w:fmt="decimal"/>
          <w:cols w:space="720" w:num="1"/>
          <w:docGrid w:type="lines" w:linePitch="331" w:charSpace="0"/>
        </w:sectPr>
      </w:pPr>
    </w:p>
    <w:p w14:paraId="6EAE86BC">
      <w:pPr>
        <w:pStyle w:val="31"/>
        <w:pageBreakBefore w:val="0"/>
        <w:wordWrap/>
        <w:topLinePunct w:val="0"/>
        <w:bidi w:val="0"/>
        <w:spacing w:before="0" w:after="0" w:line="560" w:lineRule="exact"/>
        <w:rPr>
          <w:color w:val="000000" w:themeColor="text1"/>
          <w:sz w:val="36"/>
          <w:szCs w:val="36"/>
          <w:highlight w:val="none"/>
          <w14:textFill>
            <w14:solidFill>
              <w14:schemeClr w14:val="tx1"/>
            </w14:solidFill>
          </w14:textFill>
        </w:rPr>
      </w:pPr>
      <w:r>
        <w:rPr>
          <w:rFonts w:hint="eastAsia"/>
          <w:color w:val="000000" w:themeColor="text1"/>
          <w:sz w:val="36"/>
          <w:szCs w:val="36"/>
          <w:highlight w:val="none"/>
          <w14:textFill>
            <w14:solidFill>
              <w14:schemeClr w14:val="tx1"/>
            </w14:solidFill>
          </w14:textFill>
        </w:rPr>
        <w:t>第七章</w:t>
      </w:r>
      <w:r>
        <w:rPr>
          <w:color w:val="000000" w:themeColor="text1"/>
          <w:sz w:val="36"/>
          <w:szCs w:val="36"/>
          <w:highlight w:val="none"/>
          <w14:textFill>
            <w14:solidFill>
              <w14:schemeClr w14:val="tx1"/>
            </w14:solidFill>
          </w14:textFill>
        </w:rPr>
        <w:t xml:space="preserve"> </w:t>
      </w:r>
      <w:r>
        <w:rPr>
          <w:rFonts w:hint="eastAsia"/>
          <w:color w:val="000000" w:themeColor="text1"/>
          <w:sz w:val="36"/>
          <w:szCs w:val="36"/>
          <w:highlight w:val="none"/>
          <w:lang w:val="en-US" w:eastAsia="zh-CN"/>
          <w14:textFill>
            <w14:solidFill>
              <w14:schemeClr w14:val="tx1"/>
            </w14:solidFill>
          </w14:textFill>
        </w:rPr>
        <w:t xml:space="preserve"> </w:t>
      </w:r>
      <w:r>
        <w:rPr>
          <w:rFonts w:hint="eastAsia"/>
          <w:color w:val="000000" w:themeColor="text1"/>
          <w:sz w:val="36"/>
          <w:szCs w:val="36"/>
          <w:highlight w:val="none"/>
          <w14:textFill>
            <w14:solidFill>
              <w14:schemeClr w14:val="tx1"/>
            </w14:solidFill>
          </w14:textFill>
        </w:rPr>
        <w:t>质疑、投诉证明材料格式</w:t>
      </w:r>
    </w:p>
    <w:p w14:paraId="4EFF74EA">
      <w:pPr>
        <w:pStyle w:val="3"/>
        <w:pageBreakBefore w:val="0"/>
        <w:wordWrap/>
        <w:topLinePunct w:val="0"/>
        <w:bidi w:val="0"/>
        <w:spacing w:line="560" w:lineRule="exact"/>
        <w:jc w:val="center"/>
        <w:rPr>
          <w:rFonts w:ascii="宋体" w:hAnsi="宋体"/>
          <w:b w:val="0"/>
          <w:bCs w:val="0"/>
          <w:color w:val="000000" w:themeColor="text1"/>
          <w:highlight w:val="none"/>
          <w14:textFill>
            <w14:solidFill>
              <w14:schemeClr w14:val="tx1"/>
            </w14:solidFill>
          </w14:textFill>
        </w:rPr>
      </w:pPr>
      <w:r>
        <w:rPr>
          <w:rFonts w:hint="eastAsia" w:ascii="宋体" w:hAnsi="宋体"/>
          <w:b w:val="0"/>
          <w:bCs w:val="0"/>
          <w:color w:val="000000" w:themeColor="text1"/>
          <w:highlight w:val="none"/>
          <w14:textFill>
            <w14:solidFill>
              <w14:schemeClr w14:val="tx1"/>
            </w14:solidFill>
          </w14:textFill>
        </w:rPr>
        <w:t>第一节 质疑函（格式）</w:t>
      </w:r>
    </w:p>
    <w:p w14:paraId="75FF0155">
      <w:pPr>
        <w:pageBreakBefore w:val="0"/>
        <w:wordWrap/>
        <w:topLinePunct w:val="0"/>
        <w:bidi w:val="0"/>
        <w:spacing w:line="560" w:lineRule="exact"/>
        <w:jc w:val="center"/>
        <w:rPr>
          <w:rFonts w:ascii="仿宋" w:hAnsi="仿宋" w:eastAsia="仿宋" w:cs="仿宋"/>
          <w:b/>
          <w:bCs/>
          <w:color w:val="000000" w:themeColor="text1"/>
          <w:sz w:val="44"/>
          <w:szCs w:val="44"/>
          <w:highlight w:val="none"/>
          <w14:textFill>
            <w14:solidFill>
              <w14:schemeClr w14:val="tx1"/>
            </w14:solidFill>
          </w14:textFill>
        </w:rPr>
      </w:pPr>
      <w:r>
        <w:rPr>
          <w:rFonts w:hint="eastAsia" w:ascii="仿宋" w:hAnsi="仿宋" w:eastAsia="仿宋" w:cs="仿宋"/>
          <w:b/>
          <w:bCs/>
          <w:color w:val="000000" w:themeColor="text1"/>
          <w:sz w:val="44"/>
          <w:szCs w:val="44"/>
          <w:highlight w:val="none"/>
          <w14:textFill>
            <w14:solidFill>
              <w14:schemeClr w14:val="tx1"/>
            </w14:solidFill>
          </w14:textFill>
        </w:rPr>
        <w:t>质疑函范本</w:t>
      </w:r>
    </w:p>
    <w:p w14:paraId="5477E23E">
      <w:pPr>
        <w:pageBreakBefore w:val="0"/>
        <w:wordWrap/>
        <w:topLinePunct w:val="0"/>
        <w:bidi w:val="0"/>
        <w:adjustRightInd w:val="0"/>
        <w:snapToGrid w:val="0"/>
        <w:spacing w:before="331" w:beforeLines="100" w:line="560" w:lineRule="exact"/>
        <w:rPr>
          <w:rFonts w:cs="仿宋" w:asciiTheme="minorEastAsia" w:hAnsiTheme="minorEastAsia" w:eastAsiaTheme="minorEastAsia"/>
          <w:bCs/>
          <w:color w:val="000000" w:themeColor="text1"/>
          <w:sz w:val="28"/>
          <w:szCs w:val="28"/>
          <w:highlight w:val="none"/>
          <w14:textFill>
            <w14:solidFill>
              <w14:schemeClr w14:val="tx1"/>
            </w14:solidFill>
          </w14:textFill>
        </w:rPr>
      </w:pPr>
      <w:r>
        <w:rPr>
          <w:rFonts w:hint="eastAsia" w:cs="仿宋" w:asciiTheme="minorEastAsia" w:hAnsiTheme="minorEastAsia" w:eastAsiaTheme="minorEastAsia"/>
          <w:bCs/>
          <w:color w:val="000000" w:themeColor="text1"/>
          <w:sz w:val="28"/>
          <w:szCs w:val="28"/>
          <w:highlight w:val="none"/>
          <w14:textFill>
            <w14:solidFill>
              <w14:schemeClr w14:val="tx1"/>
            </w14:solidFill>
          </w14:textFill>
        </w:rPr>
        <w:t>一、质疑供应商基本信息</w:t>
      </w:r>
    </w:p>
    <w:p w14:paraId="655BB258">
      <w:pPr>
        <w:pageBreakBefore w:val="0"/>
        <w:wordWrap/>
        <w:topLinePunct w:val="0"/>
        <w:bidi w:val="0"/>
        <w:adjustRightInd w:val="0"/>
        <w:snapToGrid w:val="0"/>
        <w:spacing w:line="560" w:lineRule="exact"/>
        <w:rPr>
          <w:rFonts w:cs="仿宋" w:asciiTheme="minorEastAsia" w:hAnsiTheme="minorEastAsia" w:eastAsiaTheme="minorEastAsia"/>
          <w:color w:val="000000" w:themeColor="text1"/>
          <w:sz w:val="28"/>
          <w:szCs w:val="28"/>
          <w:highlight w:val="none"/>
          <w:u w:val="dotted"/>
          <w14:textFill>
            <w14:solidFill>
              <w14:schemeClr w14:val="tx1"/>
            </w14:solidFill>
          </w14:textFill>
        </w:rPr>
      </w:pPr>
      <w:r>
        <w:rPr>
          <w:rFonts w:hint="eastAsia" w:cs="仿宋" w:asciiTheme="minorEastAsia" w:hAnsiTheme="minorEastAsia" w:eastAsiaTheme="minorEastAsia"/>
          <w:color w:val="000000" w:themeColor="text1"/>
          <w:sz w:val="28"/>
          <w:szCs w:val="28"/>
          <w:highlight w:val="none"/>
          <w14:textFill>
            <w14:solidFill>
              <w14:schemeClr w14:val="tx1"/>
            </w14:solidFill>
          </w14:textFill>
        </w:rPr>
        <w:t>质疑供应商：</w:t>
      </w:r>
      <w:r>
        <w:rPr>
          <w:rFonts w:hint="eastAsia" w:cs="仿宋" w:asciiTheme="minorEastAsia" w:hAnsiTheme="minorEastAsia" w:eastAsiaTheme="minorEastAsia"/>
          <w:color w:val="000000" w:themeColor="text1"/>
          <w:sz w:val="28"/>
          <w:szCs w:val="28"/>
          <w:highlight w:val="none"/>
          <w:u w:val="dotted"/>
          <w14:textFill>
            <w14:solidFill>
              <w14:schemeClr w14:val="tx1"/>
            </w14:solidFill>
          </w14:textFill>
        </w:rPr>
        <w:t xml:space="preserve">                                        </w:t>
      </w:r>
    </w:p>
    <w:p w14:paraId="555AF3DD">
      <w:pPr>
        <w:pageBreakBefore w:val="0"/>
        <w:wordWrap/>
        <w:topLinePunct w:val="0"/>
        <w:bidi w:val="0"/>
        <w:adjustRightInd w:val="0"/>
        <w:snapToGrid w:val="0"/>
        <w:spacing w:line="560" w:lineRule="exact"/>
        <w:rPr>
          <w:rFonts w:cs="仿宋" w:asciiTheme="minorEastAsia" w:hAnsiTheme="minorEastAsia" w:eastAsiaTheme="minorEastAsia"/>
          <w:color w:val="000000" w:themeColor="text1"/>
          <w:sz w:val="28"/>
          <w:szCs w:val="28"/>
          <w:highlight w:val="none"/>
          <w14:textFill>
            <w14:solidFill>
              <w14:schemeClr w14:val="tx1"/>
            </w14:solidFill>
          </w14:textFill>
        </w:rPr>
      </w:pPr>
      <w:r>
        <w:rPr>
          <w:rFonts w:hint="eastAsia" w:cs="仿宋" w:asciiTheme="minorEastAsia" w:hAnsiTheme="minorEastAsia" w:eastAsiaTheme="minorEastAsia"/>
          <w:color w:val="000000" w:themeColor="text1"/>
          <w:sz w:val="28"/>
          <w:szCs w:val="28"/>
          <w:highlight w:val="none"/>
          <w14:textFill>
            <w14:solidFill>
              <w14:schemeClr w14:val="tx1"/>
            </w14:solidFill>
          </w14:textFill>
        </w:rPr>
        <w:t>地址：</w:t>
      </w:r>
      <w:r>
        <w:rPr>
          <w:rFonts w:hint="eastAsia" w:cs="仿宋" w:asciiTheme="minorEastAsia" w:hAnsiTheme="minorEastAsia" w:eastAsiaTheme="minorEastAsia"/>
          <w:color w:val="000000" w:themeColor="text1"/>
          <w:sz w:val="28"/>
          <w:szCs w:val="28"/>
          <w:highlight w:val="none"/>
          <w:u w:val="dotted"/>
          <w14:textFill>
            <w14:solidFill>
              <w14:schemeClr w14:val="tx1"/>
            </w14:solidFill>
          </w14:textFill>
        </w:rPr>
        <w:t xml:space="preserve">                          </w:t>
      </w:r>
      <w:r>
        <w:rPr>
          <w:rFonts w:hint="eastAsia" w:cs="仿宋" w:asciiTheme="minorEastAsia" w:hAnsiTheme="minorEastAsia" w:eastAsiaTheme="minorEastAsia"/>
          <w:color w:val="000000" w:themeColor="text1"/>
          <w:sz w:val="28"/>
          <w:szCs w:val="28"/>
          <w:highlight w:val="none"/>
          <w14:textFill>
            <w14:solidFill>
              <w14:schemeClr w14:val="tx1"/>
            </w14:solidFill>
          </w14:textFill>
        </w:rPr>
        <w:t>邮编：</w:t>
      </w:r>
      <w:r>
        <w:rPr>
          <w:rFonts w:hint="eastAsia" w:cs="仿宋" w:asciiTheme="minorEastAsia" w:hAnsiTheme="minorEastAsia" w:eastAsiaTheme="minorEastAsia"/>
          <w:color w:val="000000" w:themeColor="text1"/>
          <w:sz w:val="28"/>
          <w:szCs w:val="28"/>
          <w:highlight w:val="none"/>
          <w:u w:val="dotted"/>
          <w14:textFill>
            <w14:solidFill>
              <w14:schemeClr w14:val="tx1"/>
            </w14:solidFill>
          </w14:textFill>
        </w:rPr>
        <w:t xml:space="preserve">                                                   </w:t>
      </w:r>
    </w:p>
    <w:p w14:paraId="2D3C6570">
      <w:pPr>
        <w:pageBreakBefore w:val="0"/>
        <w:wordWrap/>
        <w:topLinePunct w:val="0"/>
        <w:bidi w:val="0"/>
        <w:adjustRightInd w:val="0"/>
        <w:snapToGrid w:val="0"/>
        <w:spacing w:line="560" w:lineRule="exact"/>
        <w:rPr>
          <w:rFonts w:cs="仿宋" w:asciiTheme="minorEastAsia" w:hAnsiTheme="minorEastAsia" w:eastAsiaTheme="minorEastAsia"/>
          <w:color w:val="000000" w:themeColor="text1"/>
          <w:sz w:val="28"/>
          <w:szCs w:val="28"/>
          <w:highlight w:val="none"/>
          <w14:textFill>
            <w14:solidFill>
              <w14:schemeClr w14:val="tx1"/>
            </w14:solidFill>
          </w14:textFill>
        </w:rPr>
      </w:pPr>
      <w:r>
        <w:rPr>
          <w:rFonts w:hint="eastAsia" w:cs="仿宋" w:asciiTheme="minorEastAsia" w:hAnsiTheme="minorEastAsia" w:eastAsiaTheme="minorEastAsia"/>
          <w:color w:val="000000" w:themeColor="text1"/>
          <w:sz w:val="28"/>
          <w:szCs w:val="28"/>
          <w:highlight w:val="none"/>
          <w14:textFill>
            <w14:solidFill>
              <w14:schemeClr w14:val="tx1"/>
            </w14:solidFill>
          </w14:textFill>
        </w:rPr>
        <w:t>联系人：</w:t>
      </w:r>
      <w:r>
        <w:rPr>
          <w:rFonts w:hint="eastAsia" w:cs="仿宋" w:asciiTheme="minorEastAsia" w:hAnsiTheme="minorEastAsia" w:eastAsiaTheme="minorEastAsia"/>
          <w:color w:val="000000" w:themeColor="text1"/>
          <w:sz w:val="28"/>
          <w:szCs w:val="28"/>
          <w:highlight w:val="none"/>
          <w:u w:val="dotted"/>
          <w14:textFill>
            <w14:solidFill>
              <w14:schemeClr w14:val="tx1"/>
            </w14:solidFill>
          </w14:textFill>
        </w:rPr>
        <w:t xml:space="preserve">                      </w:t>
      </w:r>
      <w:r>
        <w:rPr>
          <w:rFonts w:hint="eastAsia" w:cs="仿宋" w:asciiTheme="minorEastAsia" w:hAnsiTheme="minorEastAsia" w:eastAsiaTheme="minorEastAsia"/>
          <w:color w:val="000000" w:themeColor="text1"/>
          <w:sz w:val="28"/>
          <w:szCs w:val="28"/>
          <w:highlight w:val="none"/>
          <w14:textFill>
            <w14:solidFill>
              <w14:schemeClr w14:val="tx1"/>
            </w14:solidFill>
          </w14:textFill>
        </w:rPr>
        <w:t>联系电话：</w:t>
      </w:r>
      <w:r>
        <w:rPr>
          <w:rFonts w:hint="eastAsia" w:cs="仿宋" w:asciiTheme="minorEastAsia" w:hAnsiTheme="minorEastAsia" w:eastAsiaTheme="minorEastAsia"/>
          <w:color w:val="000000" w:themeColor="text1"/>
          <w:sz w:val="28"/>
          <w:szCs w:val="28"/>
          <w:highlight w:val="none"/>
          <w:u w:val="dotted"/>
          <w14:textFill>
            <w14:solidFill>
              <w14:schemeClr w14:val="tx1"/>
            </w14:solidFill>
          </w14:textFill>
        </w:rPr>
        <w:t xml:space="preserve">                              </w:t>
      </w:r>
    </w:p>
    <w:p w14:paraId="727FB47C">
      <w:pPr>
        <w:pageBreakBefore w:val="0"/>
        <w:wordWrap/>
        <w:topLinePunct w:val="0"/>
        <w:bidi w:val="0"/>
        <w:adjustRightInd w:val="0"/>
        <w:snapToGrid w:val="0"/>
        <w:spacing w:line="560" w:lineRule="exact"/>
        <w:rPr>
          <w:rFonts w:cs="仿宋" w:asciiTheme="minorEastAsia" w:hAnsiTheme="minorEastAsia" w:eastAsiaTheme="minorEastAsia"/>
          <w:color w:val="000000" w:themeColor="text1"/>
          <w:sz w:val="28"/>
          <w:szCs w:val="28"/>
          <w:highlight w:val="none"/>
          <w:u w:val="dotted"/>
          <w14:textFill>
            <w14:solidFill>
              <w14:schemeClr w14:val="tx1"/>
            </w14:solidFill>
          </w14:textFill>
        </w:rPr>
      </w:pPr>
      <w:r>
        <w:rPr>
          <w:rFonts w:hint="eastAsia" w:cs="仿宋" w:asciiTheme="minorEastAsia" w:hAnsiTheme="minorEastAsia" w:eastAsiaTheme="minorEastAsia"/>
          <w:color w:val="000000" w:themeColor="text1"/>
          <w:sz w:val="28"/>
          <w:szCs w:val="28"/>
          <w:highlight w:val="none"/>
          <w14:textFill>
            <w14:solidFill>
              <w14:schemeClr w14:val="tx1"/>
            </w14:solidFill>
          </w14:textFill>
        </w:rPr>
        <w:t>授权代表：</w:t>
      </w:r>
      <w:r>
        <w:rPr>
          <w:rFonts w:hint="eastAsia" w:cs="仿宋" w:asciiTheme="minorEastAsia" w:hAnsiTheme="minorEastAsia" w:eastAsiaTheme="minorEastAsia"/>
          <w:color w:val="000000" w:themeColor="text1"/>
          <w:sz w:val="28"/>
          <w:szCs w:val="28"/>
          <w:highlight w:val="none"/>
          <w:u w:val="dotted"/>
          <w14:textFill>
            <w14:solidFill>
              <w14:schemeClr w14:val="tx1"/>
            </w14:solidFill>
          </w14:textFill>
        </w:rPr>
        <w:t xml:space="preserve">                                          </w:t>
      </w:r>
    </w:p>
    <w:p w14:paraId="53F01C0E">
      <w:pPr>
        <w:pageBreakBefore w:val="0"/>
        <w:wordWrap/>
        <w:topLinePunct w:val="0"/>
        <w:bidi w:val="0"/>
        <w:adjustRightInd w:val="0"/>
        <w:snapToGrid w:val="0"/>
        <w:spacing w:line="560" w:lineRule="exact"/>
        <w:rPr>
          <w:rFonts w:cs="仿宋" w:asciiTheme="minorEastAsia" w:hAnsiTheme="minorEastAsia" w:eastAsiaTheme="minorEastAsia"/>
          <w:color w:val="000000" w:themeColor="text1"/>
          <w:sz w:val="28"/>
          <w:szCs w:val="28"/>
          <w:highlight w:val="none"/>
          <w14:textFill>
            <w14:solidFill>
              <w14:schemeClr w14:val="tx1"/>
            </w14:solidFill>
          </w14:textFill>
        </w:rPr>
      </w:pPr>
      <w:r>
        <w:rPr>
          <w:rFonts w:hint="eastAsia" w:cs="仿宋" w:asciiTheme="minorEastAsia" w:hAnsiTheme="minorEastAsia" w:eastAsiaTheme="minorEastAsia"/>
          <w:color w:val="000000" w:themeColor="text1"/>
          <w:sz w:val="28"/>
          <w:szCs w:val="28"/>
          <w:highlight w:val="none"/>
          <w14:textFill>
            <w14:solidFill>
              <w14:schemeClr w14:val="tx1"/>
            </w14:solidFill>
          </w14:textFill>
        </w:rPr>
        <w:t>联系电话：</w:t>
      </w:r>
      <w:r>
        <w:rPr>
          <w:rFonts w:hint="eastAsia" w:cs="仿宋" w:asciiTheme="minorEastAsia" w:hAnsiTheme="minorEastAsia" w:eastAsiaTheme="minorEastAsia"/>
          <w:color w:val="000000" w:themeColor="text1"/>
          <w:sz w:val="28"/>
          <w:szCs w:val="28"/>
          <w:highlight w:val="none"/>
          <w:u w:val="dotted"/>
          <w14:textFill>
            <w14:solidFill>
              <w14:schemeClr w14:val="tx1"/>
            </w14:solidFill>
          </w14:textFill>
        </w:rPr>
        <w:t xml:space="preserve">                                           </w:t>
      </w:r>
      <w:r>
        <w:rPr>
          <w:rFonts w:hint="eastAsia" w:cs="仿宋" w:asciiTheme="minorEastAsia" w:hAnsiTheme="minorEastAsia" w:eastAsiaTheme="minorEastAsia"/>
          <w:color w:val="000000" w:themeColor="text1"/>
          <w:sz w:val="28"/>
          <w:szCs w:val="28"/>
          <w:highlight w:val="none"/>
          <w14:textFill>
            <w14:solidFill>
              <w14:schemeClr w14:val="tx1"/>
            </w14:solidFill>
          </w14:textFill>
        </w:rPr>
        <w:t xml:space="preserve"> </w:t>
      </w:r>
    </w:p>
    <w:p w14:paraId="42F26B00">
      <w:pPr>
        <w:pageBreakBefore w:val="0"/>
        <w:wordWrap/>
        <w:topLinePunct w:val="0"/>
        <w:bidi w:val="0"/>
        <w:adjustRightInd w:val="0"/>
        <w:snapToGrid w:val="0"/>
        <w:spacing w:line="560" w:lineRule="exact"/>
        <w:rPr>
          <w:rFonts w:cs="仿宋" w:asciiTheme="minorEastAsia" w:hAnsiTheme="minorEastAsia" w:eastAsiaTheme="minorEastAsia"/>
          <w:color w:val="000000" w:themeColor="text1"/>
          <w:sz w:val="28"/>
          <w:szCs w:val="28"/>
          <w:highlight w:val="none"/>
          <w14:textFill>
            <w14:solidFill>
              <w14:schemeClr w14:val="tx1"/>
            </w14:solidFill>
          </w14:textFill>
        </w:rPr>
      </w:pPr>
      <w:r>
        <w:rPr>
          <w:rFonts w:hint="eastAsia" w:cs="仿宋" w:asciiTheme="minorEastAsia" w:hAnsiTheme="minorEastAsia" w:eastAsiaTheme="minorEastAsia"/>
          <w:color w:val="000000" w:themeColor="text1"/>
          <w:sz w:val="28"/>
          <w:szCs w:val="28"/>
          <w:highlight w:val="none"/>
          <w14:textFill>
            <w14:solidFill>
              <w14:schemeClr w14:val="tx1"/>
            </w14:solidFill>
          </w14:textFill>
        </w:rPr>
        <w:t xml:space="preserve">地址： </w:t>
      </w:r>
      <w:r>
        <w:rPr>
          <w:rFonts w:hint="eastAsia" w:cs="仿宋" w:asciiTheme="minorEastAsia" w:hAnsiTheme="minorEastAsia" w:eastAsiaTheme="minorEastAsia"/>
          <w:color w:val="000000" w:themeColor="text1"/>
          <w:sz w:val="28"/>
          <w:szCs w:val="28"/>
          <w:highlight w:val="none"/>
          <w:u w:val="dotted"/>
          <w14:textFill>
            <w14:solidFill>
              <w14:schemeClr w14:val="tx1"/>
            </w14:solidFill>
          </w14:textFill>
        </w:rPr>
        <w:t xml:space="preserve">                        </w:t>
      </w:r>
      <w:r>
        <w:rPr>
          <w:rFonts w:hint="eastAsia" w:cs="仿宋" w:asciiTheme="minorEastAsia" w:hAnsiTheme="minorEastAsia" w:eastAsiaTheme="minorEastAsia"/>
          <w:color w:val="000000" w:themeColor="text1"/>
          <w:sz w:val="28"/>
          <w:szCs w:val="28"/>
          <w:highlight w:val="none"/>
          <w14:textFill>
            <w14:solidFill>
              <w14:schemeClr w14:val="tx1"/>
            </w14:solidFill>
          </w14:textFill>
        </w:rPr>
        <w:t>邮编：</w:t>
      </w:r>
      <w:r>
        <w:rPr>
          <w:rFonts w:hint="eastAsia" w:cs="仿宋" w:asciiTheme="minorEastAsia" w:hAnsiTheme="minorEastAsia" w:eastAsiaTheme="minorEastAsia"/>
          <w:color w:val="000000" w:themeColor="text1"/>
          <w:sz w:val="28"/>
          <w:szCs w:val="28"/>
          <w:highlight w:val="none"/>
          <w:u w:val="dotted"/>
          <w14:textFill>
            <w14:solidFill>
              <w14:schemeClr w14:val="tx1"/>
            </w14:solidFill>
          </w14:textFill>
        </w:rPr>
        <w:t xml:space="preserve">                                                </w:t>
      </w:r>
    </w:p>
    <w:p w14:paraId="5E0BA27A">
      <w:pPr>
        <w:pageBreakBefore w:val="0"/>
        <w:wordWrap/>
        <w:topLinePunct w:val="0"/>
        <w:bidi w:val="0"/>
        <w:adjustRightInd w:val="0"/>
        <w:snapToGrid w:val="0"/>
        <w:spacing w:line="560" w:lineRule="exact"/>
        <w:rPr>
          <w:rFonts w:cs="仿宋" w:asciiTheme="minorEastAsia" w:hAnsiTheme="minorEastAsia" w:eastAsiaTheme="minorEastAsia"/>
          <w:bCs/>
          <w:color w:val="000000" w:themeColor="text1"/>
          <w:sz w:val="28"/>
          <w:szCs w:val="28"/>
          <w:highlight w:val="none"/>
          <w14:textFill>
            <w14:solidFill>
              <w14:schemeClr w14:val="tx1"/>
            </w14:solidFill>
          </w14:textFill>
        </w:rPr>
      </w:pPr>
      <w:r>
        <w:rPr>
          <w:rFonts w:hint="eastAsia" w:cs="仿宋" w:asciiTheme="minorEastAsia" w:hAnsiTheme="minorEastAsia" w:eastAsiaTheme="minorEastAsia"/>
          <w:bCs/>
          <w:color w:val="000000" w:themeColor="text1"/>
          <w:sz w:val="28"/>
          <w:szCs w:val="28"/>
          <w:highlight w:val="none"/>
          <w14:textFill>
            <w14:solidFill>
              <w14:schemeClr w14:val="tx1"/>
            </w14:solidFill>
          </w14:textFill>
        </w:rPr>
        <w:t>二、质疑项目基本情况</w:t>
      </w:r>
    </w:p>
    <w:p w14:paraId="02B80E1E">
      <w:pPr>
        <w:pageBreakBefore w:val="0"/>
        <w:wordWrap/>
        <w:topLinePunct w:val="0"/>
        <w:bidi w:val="0"/>
        <w:adjustRightInd w:val="0"/>
        <w:snapToGrid w:val="0"/>
        <w:spacing w:line="560" w:lineRule="exact"/>
        <w:rPr>
          <w:rFonts w:cs="仿宋" w:asciiTheme="minorEastAsia" w:hAnsiTheme="minorEastAsia" w:eastAsiaTheme="minorEastAsia"/>
          <w:color w:val="000000" w:themeColor="text1"/>
          <w:sz w:val="28"/>
          <w:szCs w:val="28"/>
          <w:highlight w:val="none"/>
          <w14:textFill>
            <w14:solidFill>
              <w14:schemeClr w14:val="tx1"/>
            </w14:solidFill>
          </w14:textFill>
        </w:rPr>
      </w:pPr>
      <w:r>
        <w:rPr>
          <w:rFonts w:hint="eastAsia" w:cs="仿宋" w:asciiTheme="minorEastAsia" w:hAnsiTheme="minorEastAsia" w:eastAsiaTheme="minorEastAsia"/>
          <w:color w:val="000000" w:themeColor="text1"/>
          <w:sz w:val="28"/>
          <w:szCs w:val="28"/>
          <w:highlight w:val="none"/>
          <w14:textFill>
            <w14:solidFill>
              <w14:schemeClr w14:val="tx1"/>
            </w14:solidFill>
          </w14:textFill>
        </w:rPr>
        <w:t>质疑项目的名称：</w:t>
      </w:r>
      <w:r>
        <w:rPr>
          <w:rFonts w:hint="eastAsia" w:cs="仿宋" w:asciiTheme="minorEastAsia" w:hAnsiTheme="minorEastAsia" w:eastAsiaTheme="minorEastAsia"/>
          <w:color w:val="000000" w:themeColor="text1"/>
          <w:sz w:val="28"/>
          <w:szCs w:val="28"/>
          <w:highlight w:val="none"/>
          <w:u w:val="dotted"/>
          <w14:textFill>
            <w14:solidFill>
              <w14:schemeClr w14:val="tx1"/>
            </w14:solidFill>
          </w14:textFill>
        </w:rPr>
        <w:t xml:space="preserve">                                            </w:t>
      </w:r>
    </w:p>
    <w:p w14:paraId="5EC330F3">
      <w:pPr>
        <w:pageBreakBefore w:val="0"/>
        <w:wordWrap/>
        <w:topLinePunct w:val="0"/>
        <w:bidi w:val="0"/>
        <w:adjustRightInd w:val="0"/>
        <w:snapToGrid w:val="0"/>
        <w:spacing w:line="560" w:lineRule="exact"/>
        <w:rPr>
          <w:rFonts w:cs="仿宋" w:asciiTheme="minorEastAsia" w:hAnsiTheme="minorEastAsia" w:eastAsiaTheme="minorEastAsia"/>
          <w:color w:val="000000" w:themeColor="text1"/>
          <w:sz w:val="28"/>
          <w:szCs w:val="28"/>
          <w:highlight w:val="none"/>
          <w14:textFill>
            <w14:solidFill>
              <w14:schemeClr w14:val="tx1"/>
            </w14:solidFill>
          </w14:textFill>
        </w:rPr>
      </w:pPr>
      <w:r>
        <w:rPr>
          <w:rFonts w:hint="eastAsia" w:cs="仿宋" w:asciiTheme="minorEastAsia" w:hAnsiTheme="minorEastAsia" w:eastAsiaTheme="minorEastAsia"/>
          <w:color w:val="000000" w:themeColor="text1"/>
          <w:sz w:val="28"/>
          <w:szCs w:val="28"/>
          <w:highlight w:val="none"/>
          <w14:textFill>
            <w14:solidFill>
              <w14:schemeClr w14:val="tx1"/>
            </w14:solidFill>
          </w14:textFill>
        </w:rPr>
        <w:t>质疑项目的编号：</w:t>
      </w:r>
      <w:r>
        <w:rPr>
          <w:rFonts w:hint="eastAsia" w:cs="仿宋" w:asciiTheme="minorEastAsia" w:hAnsiTheme="minorEastAsia" w:eastAsiaTheme="minorEastAsia"/>
          <w:color w:val="000000" w:themeColor="text1"/>
          <w:sz w:val="28"/>
          <w:szCs w:val="28"/>
          <w:highlight w:val="none"/>
          <w:u w:val="dotted"/>
          <w14:textFill>
            <w14:solidFill>
              <w14:schemeClr w14:val="tx1"/>
            </w14:solidFill>
          </w14:textFill>
        </w:rPr>
        <w:t xml:space="preserve">                 </w:t>
      </w:r>
      <w:r>
        <w:rPr>
          <w:rFonts w:hint="eastAsia" w:cs="仿宋" w:asciiTheme="minorEastAsia" w:hAnsiTheme="minorEastAsia" w:eastAsiaTheme="minorEastAsia"/>
          <w:color w:val="000000" w:themeColor="text1"/>
          <w:sz w:val="28"/>
          <w:szCs w:val="28"/>
          <w:highlight w:val="none"/>
          <w14:textFill>
            <w14:solidFill>
              <w14:schemeClr w14:val="tx1"/>
            </w14:solidFill>
          </w14:textFill>
        </w:rPr>
        <w:t>包号：</w:t>
      </w:r>
      <w:r>
        <w:rPr>
          <w:rFonts w:hint="eastAsia" w:cs="仿宋" w:asciiTheme="minorEastAsia" w:hAnsiTheme="minorEastAsia" w:eastAsiaTheme="minorEastAsia"/>
          <w:color w:val="000000" w:themeColor="text1"/>
          <w:sz w:val="28"/>
          <w:szCs w:val="28"/>
          <w:highlight w:val="none"/>
          <w:u w:val="dotted"/>
          <w14:textFill>
            <w14:solidFill>
              <w14:schemeClr w14:val="tx1"/>
            </w14:solidFill>
          </w14:textFill>
        </w:rPr>
        <w:t xml:space="preserve">                 </w:t>
      </w:r>
    </w:p>
    <w:p w14:paraId="396C59E4">
      <w:pPr>
        <w:pageBreakBefore w:val="0"/>
        <w:wordWrap/>
        <w:topLinePunct w:val="0"/>
        <w:bidi w:val="0"/>
        <w:adjustRightInd w:val="0"/>
        <w:snapToGrid w:val="0"/>
        <w:spacing w:line="560" w:lineRule="exact"/>
        <w:rPr>
          <w:rFonts w:cs="仿宋" w:asciiTheme="minorEastAsia" w:hAnsiTheme="minorEastAsia" w:eastAsiaTheme="minorEastAsia"/>
          <w:color w:val="000000" w:themeColor="text1"/>
          <w:sz w:val="28"/>
          <w:szCs w:val="28"/>
          <w:highlight w:val="none"/>
          <w:u w:val="dotted"/>
          <w14:textFill>
            <w14:solidFill>
              <w14:schemeClr w14:val="tx1"/>
            </w14:solidFill>
          </w14:textFill>
        </w:rPr>
      </w:pPr>
      <w:r>
        <w:rPr>
          <w:rFonts w:hint="eastAsia" w:cs="仿宋" w:asciiTheme="minorEastAsia" w:hAnsiTheme="minorEastAsia" w:eastAsiaTheme="minorEastAsia"/>
          <w:color w:val="000000" w:themeColor="text1"/>
          <w:sz w:val="28"/>
          <w:szCs w:val="28"/>
          <w:highlight w:val="none"/>
          <w14:textFill>
            <w14:solidFill>
              <w14:schemeClr w14:val="tx1"/>
            </w14:solidFill>
          </w14:textFill>
        </w:rPr>
        <w:t>采购人名称：</w:t>
      </w:r>
      <w:r>
        <w:rPr>
          <w:rFonts w:hint="eastAsia" w:cs="仿宋" w:asciiTheme="minorEastAsia" w:hAnsiTheme="minorEastAsia" w:eastAsiaTheme="minorEastAsia"/>
          <w:color w:val="000000" w:themeColor="text1"/>
          <w:sz w:val="28"/>
          <w:szCs w:val="28"/>
          <w:highlight w:val="none"/>
          <w:u w:val="dotted"/>
          <w14:textFill>
            <w14:solidFill>
              <w14:schemeClr w14:val="tx1"/>
            </w14:solidFill>
          </w14:textFill>
        </w:rPr>
        <w:t xml:space="preserve">                                            </w:t>
      </w:r>
    </w:p>
    <w:p w14:paraId="50926C75">
      <w:pPr>
        <w:pageBreakBefore w:val="0"/>
        <w:wordWrap/>
        <w:topLinePunct w:val="0"/>
        <w:bidi w:val="0"/>
        <w:adjustRightInd w:val="0"/>
        <w:snapToGrid w:val="0"/>
        <w:spacing w:line="560" w:lineRule="exact"/>
        <w:rPr>
          <w:rFonts w:cs="仿宋" w:asciiTheme="minorEastAsia" w:hAnsiTheme="minorEastAsia" w:eastAsiaTheme="minorEastAsia"/>
          <w:color w:val="000000" w:themeColor="text1"/>
          <w:sz w:val="28"/>
          <w:szCs w:val="28"/>
          <w:highlight w:val="none"/>
          <w14:textFill>
            <w14:solidFill>
              <w14:schemeClr w14:val="tx1"/>
            </w14:solidFill>
          </w14:textFill>
        </w:rPr>
      </w:pPr>
      <w:r>
        <w:rPr>
          <w:rFonts w:hint="eastAsia" w:cs="仿宋" w:asciiTheme="minorEastAsia" w:hAnsiTheme="minorEastAsia" w:eastAsiaTheme="minorEastAsia"/>
          <w:color w:val="000000" w:themeColor="text1"/>
          <w:sz w:val="28"/>
          <w:szCs w:val="28"/>
          <w:highlight w:val="none"/>
          <w14:textFill>
            <w14:solidFill>
              <w14:schemeClr w14:val="tx1"/>
            </w14:solidFill>
          </w14:textFill>
        </w:rPr>
        <w:t>采购文件获取日期：</w:t>
      </w:r>
      <w:r>
        <w:rPr>
          <w:rFonts w:hint="eastAsia" w:cs="仿宋" w:asciiTheme="minorEastAsia" w:hAnsiTheme="minorEastAsia" w:eastAsiaTheme="minorEastAsia"/>
          <w:color w:val="000000" w:themeColor="text1"/>
          <w:sz w:val="28"/>
          <w:szCs w:val="28"/>
          <w:highlight w:val="none"/>
          <w:u w:val="dotted"/>
          <w14:textFill>
            <w14:solidFill>
              <w14:schemeClr w14:val="tx1"/>
            </w14:solidFill>
          </w14:textFill>
        </w:rPr>
        <w:t xml:space="preserve">                                           </w:t>
      </w:r>
    </w:p>
    <w:p w14:paraId="1F19066C">
      <w:pPr>
        <w:pageBreakBefore w:val="0"/>
        <w:wordWrap/>
        <w:topLinePunct w:val="0"/>
        <w:bidi w:val="0"/>
        <w:adjustRightInd w:val="0"/>
        <w:snapToGrid w:val="0"/>
        <w:spacing w:line="560" w:lineRule="exact"/>
        <w:rPr>
          <w:rFonts w:cs="仿宋" w:asciiTheme="minorEastAsia" w:hAnsiTheme="minorEastAsia" w:eastAsiaTheme="minorEastAsia"/>
          <w:bCs/>
          <w:color w:val="000000" w:themeColor="text1"/>
          <w:sz w:val="28"/>
          <w:szCs w:val="28"/>
          <w:highlight w:val="none"/>
          <w14:textFill>
            <w14:solidFill>
              <w14:schemeClr w14:val="tx1"/>
            </w14:solidFill>
          </w14:textFill>
        </w:rPr>
      </w:pPr>
      <w:r>
        <w:rPr>
          <w:rFonts w:hint="eastAsia" w:cs="仿宋" w:asciiTheme="minorEastAsia" w:hAnsiTheme="minorEastAsia" w:eastAsiaTheme="minorEastAsia"/>
          <w:bCs/>
          <w:color w:val="000000" w:themeColor="text1"/>
          <w:sz w:val="28"/>
          <w:szCs w:val="28"/>
          <w:highlight w:val="none"/>
          <w14:textFill>
            <w14:solidFill>
              <w14:schemeClr w14:val="tx1"/>
            </w14:solidFill>
          </w14:textFill>
        </w:rPr>
        <w:t>三、质疑事项具体内容</w:t>
      </w:r>
    </w:p>
    <w:p w14:paraId="5E668222">
      <w:pPr>
        <w:pageBreakBefore w:val="0"/>
        <w:wordWrap/>
        <w:topLinePunct w:val="0"/>
        <w:bidi w:val="0"/>
        <w:adjustRightInd w:val="0"/>
        <w:snapToGrid w:val="0"/>
        <w:spacing w:line="560" w:lineRule="exact"/>
        <w:rPr>
          <w:rFonts w:cs="仿宋" w:asciiTheme="minorEastAsia" w:hAnsiTheme="minorEastAsia" w:eastAsiaTheme="minorEastAsia"/>
          <w:color w:val="000000" w:themeColor="text1"/>
          <w:sz w:val="28"/>
          <w:szCs w:val="28"/>
          <w:highlight w:val="none"/>
          <w:u w:val="dotted"/>
          <w14:textFill>
            <w14:solidFill>
              <w14:schemeClr w14:val="tx1"/>
            </w14:solidFill>
          </w14:textFill>
        </w:rPr>
      </w:pPr>
      <w:r>
        <w:rPr>
          <w:rFonts w:hint="eastAsia" w:cs="仿宋" w:asciiTheme="minorEastAsia" w:hAnsiTheme="minorEastAsia" w:eastAsiaTheme="minorEastAsia"/>
          <w:color w:val="000000" w:themeColor="text1"/>
          <w:sz w:val="28"/>
          <w:szCs w:val="28"/>
          <w:highlight w:val="none"/>
          <w14:textFill>
            <w14:solidFill>
              <w14:schemeClr w14:val="tx1"/>
            </w14:solidFill>
          </w14:textFill>
        </w:rPr>
        <w:t>质疑事项1：</w:t>
      </w:r>
      <w:r>
        <w:rPr>
          <w:rFonts w:hint="eastAsia" w:cs="仿宋" w:asciiTheme="minorEastAsia" w:hAnsiTheme="minorEastAsia" w:eastAsiaTheme="minorEastAsia"/>
          <w:color w:val="000000" w:themeColor="text1"/>
          <w:sz w:val="28"/>
          <w:szCs w:val="28"/>
          <w:highlight w:val="none"/>
          <w:u w:val="dotted"/>
          <w14:textFill>
            <w14:solidFill>
              <w14:schemeClr w14:val="tx1"/>
            </w14:solidFill>
          </w14:textFill>
        </w:rPr>
        <w:t xml:space="preserve">                                         </w:t>
      </w:r>
    </w:p>
    <w:p w14:paraId="786718E9">
      <w:pPr>
        <w:pageBreakBefore w:val="0"/>
        <w:wordWrap/>
        <w:topLinePunct w:val="0"/>
        <w:bidi w:val="0"/>
        <w:adjustRightInd w:val="0"/>
        <w:snapToGrid w:val="0"/>
        <w:spacing w:line="560" w:lineRule="exact"/>
        <w:rPr>
          <w:rFonts w:cs="仿宋" w:asciiTheme="minorEastAsia" w:hAnsiTheme="minorEastAsia" w:eastAsiaTheme="minorEastAsia"/>
          <w:color w:val="000000" w:themeColor="text1"/>
          <w:sz w:val="28"/>
          <w:szCs w:val="28"/>
          <w:highlight w:val="none"/>
          <w:u w:val="dotted"/>
          <w14:textFill>
            <w14:solidFill>
              <w14:schemeClr w14:val="tx1"/>
            </w14:solidFill>
          </w14:textFill>
        </w:rPr>
      </w:pPr>
      <w:r>
        <w:rPr>
          <w:rFonts w:hint="eastAsia" w:cs="仿宋" w:asciiTheme="minorEastAsia" w:hAnsiTheme="minorEastAsia" w:eastAsiaTheme="minorEastAsia"/>
          <w:color w:val="000000" w:themeColor="text1"/>
          <w:sz w:val="28"/>
          <w:szCs w:val="28"/>
          <w:highlight w:val="none"/>
          <w14:textFill>
            <w14:solidFill>
              <w14:schemeClr w14:val="tx1"/>
            </w14:solidFill>
          </w14:textFill>
        </w:rPr>
        <w:t>事实依据：</w:t>
      </w:r>
      <w:r>
        <w:rPr>
          <w:rFonts w:hint="eastAsia" w:cs="仿宋" w:asciiTheme="minorEastAsia" w:hAnsiTheme="minorEastAsia" w:eastAsiaTheme="minorEastAsia"/>
          <w:color w:val="000000" w:themeColor="text1"/>
          <w:sz w:val="28"/>
          <w:szCs w:val="28"/>
          <w:highlight w:val="none"/>
          <w:u w:val="dotted"/>
          <w14:textFill>
            <w14:solidFill>
              <w14:schemeClr w14:val="tx1"/>
            </w14:solidFill>
          </w14:textFill>
        </w:rPr>
        <w:t xml:space="preserve">                                          </w:t>
      </w:r>
    </w:p>
    <w:p w14:paraId="49D33AA1">
      <w:pPr>
        <w:pageBreakBefore w:val="0"/>
        <w:wordWrap/>
        <w:topLinePunct w:val="0"/>
        <w:bidi w:val="0"/>
        <w:adjustRightInd w:val="0"/>
        <w:snapToGrid w:val="0"/>
        <w:spacing w:line="560" w:lineRule="exact"/>
        <w:rPr>
          <w:rFonts w:cs="仿宋" w:asciiTheme="minorEastAsia" w:hAnsiTheme="minorEastAsia" w:eastAsiaTheme="minorEastAsia"/>
          <w:color w:val="000000" w:themeColor="text1"/>
          <w:sz w:val="28"/>
          <w:szCs w:val="28"/>
          <w:highlight w:val="none"/>
          <w:u w:val="dotted"/>
          <w14:textFill>
            <w14:solidFill>
              <w14:schemeClr w14:val="tx1"/>
            </w14:solidFill>
          </w14:textFill>
        </w:rPr>
      </w:pPr>
      <w:r>
        <w:rPr>
          <w:rFonts w:hint="eastAsia" w:cs="仿宋" w:asciiTheme="minorEastAsia" w:hAnsiTheme="minorEastAsia" w:eastAsiaTheme="minorEastAsia"/>
          <w:color w:val="000000" w:themeColor="text1"/>
          <w:sz w:val="28"/>
          <w:szCs w:val="28"/>
          <w:highlight w:val="none"/>
          <w14:textFill>
            <w14:solidFill>
              <w14:schemeClr w14:val="tx1"/>
            </w14:solidFill>
          </w14:textFill>
        </w:rPr>
        <w:t>法律依据：</w:t>
      </w:r>
      <w:r>
        <w:rPr>
          <w:rFonts w:hint="eastAsia" w:cs="仿宋" w:asciiTheme="minorEastAsia" w:hAnsiTheme="minorEastAsia" w:eastAsiaTheme="minorEastAsia"/>
          <w:color w:val="000000" w:themeColor="text1"/>
          <w:sz w:val="28"/>
          <w:szCs w:val="28"/>
          <w:highlight w:val="none"/>
          <w:u w:val="dotted"/>
          <w14:textFill>
            <w14:solidFill>
              <w14:schemeClr w14:val="tx1"/>
            </w14:solidFill>
          </w14:textFill>
        </w:rPr>
        <w:t xml:space="preserve">                                          </w:t>
      </w:r>
    </w:p>
    <w:p w14:paraId="70932CE5">
      <w:pPr>
        <w:pageBreakBefore w:val="0"/>
        <w:wordWrap/>
        <w:topLinePunct w:val="0"/>
        <w:bidi w:val="0"/>
        <w:adjustRightInd w:val="0"/>
        <w:snapToGrid w:val="0"/>
        <w:spacing w:line="560" w:lineRule="exact"/>
        <w:rPr>
          <w:rFonts w:cs="仿宋" w:asciiTheme="minorEastAsia" w:hAnsiTheme="minorEastAsia" w:eastAsiaTheme="minorEastAsia"/>
          <w:color w:val="000000" w:themeColor="text1"/>
          <w:sz w:val="28"/>
          <w:szCs w:val="28"/>
          <w:highlight w:val="none"/>
          <w:u w:val="dotted"/>
          <w14:textFill>
            <w14:solidFill>
              <w14:schemeClr w14:val="tx1"/>
            </w14:solidFill>
          </w14:textFill>
        </w:rPr>
      </w:pPr>
      <w:r>
        <w:rPr>
          <w:rFonts w:hint="eastAsia" w:cs="仿宋" w:asciiTheme="minorEastAsia" w:hAnsiTheme="minorEastAsia" w:eastAsiaTheme="minorEastAsia"/>
          <w:color w:val="000000" w:themeColor="text1"/>
          <w:sz w:val="28"/>
          <w:szCs w:val="28"/>
          <w:highlight w:val="none"/>
          <w14:textFill>
            <w14:solidFill>
              <w14:schemeClr w14:val="tx1"/>
            </w14:solidFill>
          </w14:textFill>
        </w:rPr>
        <w:t>质疑事项2</w:t>
      </w:r>
    </w:p>
    <w:p w14:paraId="3102D58F">
      <w:pPr>
        <w:pageBreakBefore w:val="0"/>
        <w:wordWrap/>
        <w:topLinePunct w:val="0"/>
        <w:bidi w:val="0"/>
        <w:adjustRightInd w:val="0"/>
        <w:snapToGrid w:val="0"/>
        <w:spacing w:line="560" w:lineRule="exact"/>
        <w:rPr>
          <w:rFonts w:cs="仿宋" w:asciiTheme="minorEastAsia" w:hAnsiTheme="minorEastAsia" w:eastAsiaTheme="minorEastAsia"/>
          <w:bCs/>
          <w:color w:val="000000" w:themeColor="text1"/>
          <w:sz w:val="28"/>
          <w:szCs w:val="28"/>
          <w:highlight w:val="none"/>
          <w14:textFill>
            <w14:solidFill>
              <w14:schemeClr w14:val="tx1"/>
            </w14:solidFill>
          </w14:textFill>
        </w:rPr>
      </w:pPr>
      <w:r>
        <w:rPr>
          <w:rFonts w:hint="eastAsia" w:cs="仿宋" w:asciiTheme="minorEastAsia" w:hAnsiTheme="minorEastAsia" w:eastAsiaTheme="minorEastAsia"/>
          <w:bCs/>
          <w:color w:val="000000" w:themeColor="text1"/>
          <w:sz w:val="28"/>
          <w:szCs w:val="28"/>
          <w:highlight w:val="none"/>
          <w14:textFill>
            <w14:solidFill>
              <w14:schemeClr w14:val="tx1"/>
            </w14:solidFill>
          </w14:textFill>
        </w:rPr>
        <w:t>四、与质疑事项相关的质疑请求</w:t>
      </w:r>
    </w:p>
    <w:p w14:paraId="321F77AC">
      <w:pPr>
        <w:pageBreakBefore w:val="0"/>
        <w:wordWrap/>
        <w:topLinePunct w:val="0"/>
        <w:bidi w:val="0"/>
        <w:adjustRightInd w:val="0"/>
        <w:snapToGrid w:val="0"/>
        <w:spacing w:line="560" w:lineRule="exact"/>
        <w:rPr>
          <w:rFonts w:cs="仿宋" w:asciiTheme="minorEastAsia" w:hAnsiTheme="minorEastAsia" w:eastAsiaTheme="minorEastAsia"/>
          <w:color w:val="000000" w:themeColor="text1"/>
          <w:sz w:val="28"/>
          <w:szCs w:val="28"/>
          <w:highlight w:val="none"/>
          <w:u w:val="dotted"/>
          <w14:textFill>
            <w14:solidFill>
              <w14:schemeClr w14:val="tx1"/>
            </w14:solidFill>
          </w14:textFill>
        </w:rPr>
      </w:pPr>
      <w:r>
        <w:rPr>
          <w:rFonts w:hint="eastAsia" w:cs="仿宋" w:asciiTheme="minorEastAsia" w:hAnsiTheme="minorEastAsia" w:eastAsiaTheme="minorEastAsia"/>
          <w:color w:val="000000" w:themeColor="text1"/>
          <w:sz w:val="28"/>
          <w:szCs w:val="28"/>
          <w:highlight w:val="none"/>
          <w14:textFill>
            <w14:solidFill>
              <w14:schemeClr w14:val="tx1"/>
            </w14:solidFill>
          </w14:textFill>
        </w:rPr>
        <w:t>请求：</w:t>
      </w:r>
      <w:r>
        <w:rPr>
          <w:rFonts w:hint="eastAsia" w:cs="仿宋" w:asciiTheme="minorEastAsia" w:hAnsiTheme="minorEastAsia" w:eastAsiaTheme="minorEastAsia"/>
          <w:color w:val="000000" w:themeColor="text1"/>
          <w:sz w:val="28"/>
          <w:szCs w:val="28"/>
          <w:highlight w:val="none"/>
          <w:u w:val="dotted"/>
          <w14:textFill>
            <w14:solidFill>
              <w14:schemeClr w14:val="tx1"/>
            </w14:solidFill>
          </w14:textFill>
        </w:rPr>
        <w:t xml:space="preserve">                                               </w:t>
      </w:r>
    </w:p>
    <w:p w14:paraId="4CEE93B4">
      <w:pPr>
        <w:pageBreakBefore w:val="0"/>
        <w:wordWrap/>
        <w:topLinePunct w:val="0"/>
        <w:bidi w:val="0"/>
        <w:adjustRightInd w:val="0"/>
        <w:snapToGrid w:val="0"/>
        <w:spacing w:line="560" w:lineRule="exact"/>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 xml:space="preserve">签字(签章)：                   公章：                      </w:t>
      </w:r>
    </w:p>
    <w:p w14:paraId="426FACB8">
      <w:pPr>
        <w:pageBreakBefore w:val="0"/>
        <w:wordWrap/>
        <w:topLinePunct w:val="0"/>
        <w:bidi w:val="0"/>
        <w:adjustRightInd w:val="0"/>
        <w:snapToGrid w:val="0"/>
        <w:spacing w:line="560" w:lineRule="exact"/>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 xml:space="preserve">日期：    </w:t>
      </w:r>
    </w:p>
    <w:p w14:paraId="55B1E206">
      <w:pPr>
        <w:pageBreakBefore w:val="0"/>
        <w:wordWrap/>
        <w:topLinePunct w:val="0"/>
        <w:bidi w:val="0"/>
        <w:spacing w:line="560" w:lineRule="exact"/>
        <w:rPr>
          <w:rFonts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质疑函制作说明：</w:t>
      </w:r>
    </w:p>
    <w:p w14:paraId="030079A7">
      <w:pPr>
        <w:pageBreakBefore w:val="0"/>
        <w:widowControl/>
        <w:wordWrap/>
        <w:topLinePunct w:val="0"/>
        <w:bidi w:val="0"/>
        <w:spacing w:line="560" w:lineRule="exact"/>
        <w:ind w:firstLine="480" w:firstLineChars="200"/>
        <w:jc w:val="left"/>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1.供应商提出质疑时，应提交质疑函和必要的证明材料。</w:t>
      </w:r>
    </w:p>
    <w:p w14:paraId="2AAA4E70">
      <w:pPr>
        <w:pageBreakBefore w:val="0"/>
        <w:widowControl/>
        <w:wordWrap/>
        <w:topLinePunct w:val="0"/>
        <w:bidi w:val="0"/>
        <w:spacing w:line="560" w:lineRule="exact"/>
        <w:ind w:firstLine="480" w:firstLineChars="200"/>
        <w:jc w:val="left"/>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2.质疑供应商若委托代理人进行质疑的，质疑函应按要求列明“授权代表”的有关内容，并在附件中提交由质疑</w:t>
      </w:r>
      <w:r>
        <w:rPr>
          <w:rFonts w:hint="eastAsia" w:cs="宋体" w:asciiTheme="minorEastAsia" w:hAnsiTheme="minorEastAsia" w:eastAsiaTheme="minorEastAsia"/>
          <w:color w:val="000000" w:themeColor="text1"/>
          <w:kern w:val="0"/>
          <w:sz w:val="24"/>
          <w:highlight w:val="none"/>
          <w14:textFill>
            <w14:solidFill>
              <w14:schemeClr w14:val="tx1"/>
            </w14:solidFill>
          </w14:textFill>
        </w:rPr>
        <w:t>供应商签署的授权委托书。授权委托书应载明代理人的姓名或者名称、代理事项、具体权限、期限和相关事项。</w:t>
      </w:r>
    </w:p>
    <w:p w14:paraId="334E3066">
      <w:pPr>
        <w:pageBreakBefore w:val="0"/>
        <w:widowControl/>
        <w:wordWrap/>
        <w:topLinePunct w:val="0"/>
        <w:bidi w:val="0"/>
        <w:spacing w:line="560" w:lineRule="exact"/>
        <w:ind w:firstLine="480" w:firstLineChars="200"/>
        <w:jc w:val="left"/>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3.质疑供应商若对项目的某一分包进行质疑，质疑函中应列明具体分包号。</w:t>
      </w:r>
    </w:p>
    <w:p w14:paraId="0E7FB741">
      <w:pPr>
        <w:pageBreakBefore w:val="0"/>
        <w:widowControl/>
        <w:wordWrap/>
        <w:topLinePunct w:val="0"/>
        <w:bidi w:val="0"/>
        <w:spacing w:line="560" w:lineRule="exact"/>
        <w:ind w:firstLine="480" w:firstLineChars="200"/>
        <w:jc w:val="left"/>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4.质疑函的质疑事项应具体、明确，并有必要的事实依据和法律依据。</w:t>
      </w:r>
    </w:p>
    <w:p w14:paraId="726521F7">
      <w:pPr>
        <w:pageBreakBefore w:val="0"/>
        <w:widowControl/>
        <w:wordWrap/>
        <w:topLinePunct w:val="0"/>
        <w:bidi w:val="0"/>
        <w:spacing w:line="560" w:lineRule="exact"/>
        <w:ind w:firstLine="480" w:firstLineChars="200"/>
        <w:jc w:val="left"/>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5.质疑函的质疑请求应与质疑事项相关。</w:t>
      </w:r>
    </w:p>
    <w:p w14:paraId="29D6FB1C">
      <w:pPr>
        <w:pageBreakBefore w:val="0"/>
        <w:widowControl/>
        <w:wordWrap/>
        <w:topLinePunct w:val="0"/>
        <w:bidi w:val="0"/>
        <w:spacing w:line="560" w:lineRule="exact"/>
        <w:ind w:firstLine="480" w:firstLineChars="200"/>
        <w:jc w:val="left"/>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6.质疑供应商为自然人的，质疑函应由本人签字；质疑供应商为法人或者其他组织的，质疑函应由法定代表人、主要负责人，或者其授权代表签字或者盖章，并加盖公章。</w:t>
      </w:r>
    </w:p>
    <w:p w14:paraId="689BB14A">
      <w:pPr>
        <w:pageBreakBefore w:val="0"/>
        <w:widowControl/>
        <w:wordWrap/>
        <w:topLinePunct w:val="0"/>
        <w:bidi w:val="0"/>
        <w:spacing w:line="560" w:lineRule="exact"/>
        <w:ind w:firstLine="600" w:firstLineChars="200"/>
        <w:jc w:val="left"/>
        <w:rPr>
          <w:rFonts w:ascii="仿宋_GB2312" w:eastAsia="仿宋_GB2312"/>
          <w:color w:val="000000" w:themeColor="text1"/>
          <w:sz w:val="30"/>
          <w:szCs w:val="30"/>
          <w:highlight w:val="none"/>
          <w14:textFill>
            <w14:solidFill>
              <w14:schemeClr w14:val="tx1"/>
            </w14:solidFill>
          </w14:textFill>
        </w:rPr>
      </w:pPr>
    </w:p>
    <w:p w14:paraId="51EC32D5">
      <w:pPr>
        <w:pageBreakBefore w:val="0"/>
        <w:widowControl/>
        <w:wordWrap/>
        <w:topLinePunct w:val="0"/>
        <w:bidi w:val="0"/>
        <w:spacing w:line="560" w:lineRule="exact"/>
        <w:jc w:val="left"/>
        <w:rPr>
          <w:rFonts w:ascii="ˎ̥" w:hAnsi="ˎ̥" w:cs="宋体"/>
          <w:color w:val="000000" w:themeColor="text1"/>
          <w:kern w:val="0"/>
          <w:sz w:val="24"/>
          <w:highlight w:val="none"/>
          <w14:textFill>
            <w14:solidFill>
              <w14:schemeClr w14:val="tx1"/>
            </w14:solidFill>
          </w14:textFill>
        </w:rPr>
        <w:sectPr>
          <w:pgSz w:w="11906" w:h="16838"/>
          <w:pgMar w:top="1134" w:right="1134" w:bottom="1134" w:left="1134" w:header="720" w:footer="720" w:gutter="0"/>
          <w:pgNumType w:fmt="decimal"/>
          <w:cols w:space="720" w:num="1"/>
          <w:docGrid w:type="lines" w:linePitch="331" w:charSpace="0"/>
        </w:sectPr>
      </w:pPr>
    </w:p>
    <w:p w14:paraId="666C8047">
      <w:pPr>
        <w:pStyle w:val="3"/>
        <w:pageBreakBefore w:val="0"/>
        <w:wordWrap/>
        <w:topLinePunct w:val="0"/>
        <w:bidi w:val="0"/>
        <w:spacing w:line="560" w:lineRule="exact"/>
        <w:jc w:val="center"/>
        <w:rPr>
          <w:rFonts w:ascii="宋体" w:hAnsi="宋体"/>
          <w:b w:val="0"/>
          <w:bCs w:val="0"/>
          <w:color w:val="000000" w:themeColor="text1"/>
          <w:highlight w:val="none"/>
          <w14:textFill>
            <w14:solidFill>
              <w14:schemeClr w14:val="tx1"/>
            </w14:solidFill>
          </w14:textFill>
        </w:rPr>
      </w:pPr>
      <w:r>
        <w:rPr>
          <w:rFonts w:hint="eastAsia" w:ascii="宋体" w:hAnsi="宋体"/>
          <w:b w:val="0"/>
          <w:bCs w:val="0"/>
          <w:color w:val="000000" w:themeColor="text1"/>
          <w:highlight w:val="none"/>
          <w14:textFill>
            <w14:solidFill>
              <w14:schemeClr w14:val="tx1"/>
            </w14:solidFill>
          </w14:textFill>
        </w:rPr>
        <w:t>第二节 投诉书（格式）</w:t>
      </w:r>
    </w:p>
    <w:p w14:paraId="2C2649CC">
      <w:pPr>
        <w:pageBreakBefore w:val="0"/>
        <w:wordWrap/>
        <w:topLinePunct w:val="0"/>
        <w:bidi w:val="0"/>
        <w:spacing w:line="560" w:lineRule="exact"/>
        <w:jc w:val="center"/>
        <w:rPr>
          <w:rFonts w:ascii="宋体" w:hAnsi="宋体"/>
          <w:b/>
          <w:color w:val="000000" w:themeColor="text1"/>
          <w:sz w:val="44"/>
          <w:szCs w:val="44"/>
          <w:highlight w:val="none"/>
          <w14:textFill>
            <w14:solidFill>
              <w14:schemeClr w14:val="tx1"/>
            </w14:solidFill>
          </w14:textFill>
        </w:rPr>
      </w:pPr>
      <w:r>
        <w:rPr>
          <w:rFonts w:hint="eastAsia" w:ascii="宋体" w:hAnsi="宋体"/>
          <w:b/>
          <w:color w:val="000000" w:themeColor="text1"/>
          <w:sz w:val="44"/>
          <w:szCs w:val="44"/>
          <w:highlight w:val="none"/>
          <w14:textFill>
            <w14:solidFill>
              <w14:schemeClr w14:val="tx1"/>
            </w14:solidFill>
          </w14:textFill>
        </w:rPr>
        <w:t>投诉书范本</w:t>
      </w:r>
    </w:p>
    <w:p w14:paraId="20EFF948">
      <w:pPr>
        <w:pageBreakBefore w:val="0"/>
        <w:wordWrap/>
        <w:topLinePunct w:val="0"/>
        <w:bidi w:val="0"/>
        <w:spacing w:line="560" w:lineRule="exact"/>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一、投诉相关主体基本情况</w:t>
      </w:r>
    </w:p>
    <w:p w14:paraId="77052914">
      <w:pPr>
        <w:pageBreakBefore w:val="0"/>
        <w:wordWrap/>
        <w:topLinePunct w:val="0"/>
        <w:bidi w:val="0"/>
        <w:spacing w:line="560" w:lineRule="exact"/>
        <w:rPr>
          <w:rFonts w:asciiTheme="minorEastAsia" w:hAnsiTheme="minorEastAsia" w:eastAsiaTheme="minorEastAsia"/>
          <w:color w:val="000000" w:themeColor="text1"/>
          <w:sz w:val="28"/>
          <w:szCs w:val="28"/>
          <w:highlight w:val="none"/>
          <w:u w:val="dotted"/>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投诉人：</w:t>
      </w:r>
      <w:r>
        <w:rPr>
          <w:rFonts w:hint="eastAsia" w:asciiTheme="minorEastAsia" w:hAnsiTheme="minorEastAsia" w:eastAsiaTheme="minorEastAsia"/>
          <w:color w:val="000000" w:themeColor="text1"/>
          <w:sz w:val="28"/>
          <w:szCs w:val="28"/>
          <w:highlight w:val="none"/>
          <w:u w:val="dotted"/>
          <w14:textFill>
            <w14:solidFill>
              <w14:schemeClr w14:val="tx1"/>
            </w14:solidFill>
          </w14:textFill>
        </w:rPr>
        <w:t xml:space="preserve">                                               </w:t>
      </w:r>
    </w:p>
    <w:p w14:paraId="38A88152">
      <w:pPr>
        <w:pageBreakBefore w:val="0"/>
        <w:wordWrap/>
        <w:topLinePunct w:val="0"/>
        <w:bidi w:val="0"/>
        <w:spacing w:line="560" w:lineRule="exact"/>
        <w:rPr>
          <w:rFonts w:asciiTheme="minorEastAsia" w:hAnsiTheme="minorEastAsia" w:eastAsiaTheme="minorEastAsia"/>
          <w:color w:val="000000" w:themeColor="text1"/>
          <w:sz w:val="28"/>
          <w:szCs w:val="28"/>
          <w:highlight w:val="none"/>
          <w:u w:val="singl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地     址：</w:t>
      </w:r>
      <w:r>
        <w:rPr>
          <w:rFonts w:hint="eastAsia" w:asciiTheme="minorEastAsia" w:hAnsiTheme="minorEastAsia" w:eastAsiaTheme="minorEastAsia"/>
          <w:color w:val="000000" w:themeColor="text1"/>
          <w:sz w:val="28"/>
          <w:szCs w:val="28"/>
          <w:highlight w:val="none"/>
          <w:u w:val="dotted"/>
          <w14:textFill>
            <w14:solidFill>
              <w14:schemeClr w14:val="tx1"/>
            </w14:solidFill>
          </w14:textFill>
        </w:rPr>
        <w:t xml:space="preserve">                             </w:t>
      </w:r>
      <w:r>
        <w:rPr>
          <w:rFonts w:hint="eastAsia" w:asciiTheme="minorEastAsia" w:hAnsiTheme="minorEastAsia" w:eastAsiaTheme="minorEastAsia"/>
          <w:color w:val="000000" w:themeColor="text1"/>
          <w:sz w:val="28"/>
          <w:szCs w:val="28"/>
          <w:highlight w:val="none"/>
          <w14:textFill>
            <w14:solidFill>
              <w14:schemeClr w14:val="tx1"/>
            </w14:solidFill>
          </w14:textFill>
        </w:rPr>
        <w:t>邮编：</w:t>
      </w:r>
      <w:r>
        <w:rPr>
          <w:rFonts w:hint="eastAsia" w:asciiTheme="minorEastAsia" w:hAnsiTheme="minorEastAsia" w:eastAsiaTheme="minorEastAsia"/>
          <w:color w:val="000000" w:themeColor="text1"/>
          <w:sz w:val="28"/>
          <w:szCs w:val="28"/>
          <w:highlight w:val="none"/>
          <w:u w:val="dotted"/>
          <w14:textFill>
            <w14:solidFill>
              <w14:schemeClr w14:val="tx1"/>
            </w14:solidFill>
          </w14:textFill>
        </w:rPr>
        <w:t xml:space="preserve">         </w:t>
      </w:r>
      <w:r>
        <w:rPr>
          <w:rFonts w:hint="eastAsia" w:asciiTheme="minorEastAsia" w:hAnsiTheme="minorEastAsia" w:eastAsiaTheme="minorEastAsia"/>
          <w:color w:val="000000" w:themeColor="text1"/>
          <w:sz w:val="28"/>
          <w:szCs w:val="28"/>
          <w:highlight w:val="none"/>
          <w:u w:val="single"/>
          <w14:textFill>
            <w14:solidFill>
              <w14:schemeClr w14:val="tx1"/>
            </w14:solidFill>
          </w14:textFill>
        </w:rPr>
        <w:t xml:space="preserve">   </w:t>
      </w:r>
    </w:p>
    <w:p w14:paraId="0957E3AC">
      <w:pPr>
        <w:pageBreakBefore w:val="0"/>
        <w:tabs>
          <w:tab w:val="left" w:pos="6510"/>
        </w:tabs>
        <w:wordWrap/>
        <w:topLinePunct w:val="0"/>
        <w:bidi w:val="0"/>
        <w:spacing w:line="560" w:lineRule="exact"/>
        <w:jc w:val="left"/>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法定代表人/主要负责人：</w:t>
      </w:r>
      <w:r>
        <w:rPr>
          <w:rFonts w:hint="eastAsia" w:asciiTheme="minorEastAsia" w:hAnsiTheme="minorEastAsia" w:eastAsiaTheme="minorEastAsia"/>
          <w:color w:val="000000" w:themeColor="text1"/>
          <w:sz w:val="28"/>
          <w:szCs w:val="28"/>
          <w:highlight w:val="none"/>
          <w:u w:val="dotted"/>
          <w14:textFill>
            <w14:solidFill>
              <w14:schemeClr w14:val="tx1"/>
            </w14:solidFill>
          </w14:textFill>
        </w:rPr>
        <w:t xml:space="preserve">                                   </w:t>
      </w:r>
      <w:r>
        <w:rPr>
          <w:rFonts w:hint="eastAsia" w:asciiTheme="minorEastAsia" w:hAnsiTheme="minorEastAsia" w:eastAsiaTheme="minorEastAsia"/>
          <w:color w:val="000000" w:themeColor="text1"/>
          <w:sz w:val="28"/>
          <w:szCs w:val="28"/>
          <w:highlight w:val="none"/>
          <w14:textFill>
            <w14:solidFill>
              <w14:schemeClr w14:val="tx1"/>
            </w14:solidFill>
          </w14:textFill>
        </w:rPr>
        <w:t xml:space="preserve">  </w:t>
      </w:r>
    </w:p>
    <w:p w14:paraId="144323AF">
      <w:pPr>
        <w:pageBreakBefore w:val="0"/>
        <w:tabs>
          <w:tab w:val="left" w:pos="6510"/>
        </w:tabs>
        <w:wordWrap/>
        <w:topLinePunct w:val="0"/>
        <w:bidi w:val="0"/>
        <w:spacing w:line="560" w:lineRule="exact"/>
        <w:rPr>
          <w:rFonts w:asciiTheme="minorEastAsia" w:hAnsiTheme="minorEastAsia" w:eastAsiaTheme="minorEastAsia"/>
          <w:color w:val="000000" w:themeColor="text1"/>
          <w:sz w:val="28"/>
          <w:szCs w:val="28"/>
          <w:highlight w:val="none"/>
          <w:u w:val="dotted"/>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联系电话：</w:t>
      </w:r>
      <w:r>
        <w:rPr>
          <w:rFonts w:hint="eastAsia" w:asciiTheme="minorEastAsia" w:hAnsiTheme="minorEastAsia" w:eastAsiaTheme="minorEastAsia"/>
          <w:color w:val="000000" w:themeColor="text1"/>
          <w:sz w:val="28"/>
          <w:szCs w:val="28"/>
          <w:highlight w:val="none"/>
          <w:u w:val="dotted"/>
          <w14:textFill>
            <w14:solidFill>
              <w14:schemeClr w14:val="tx1"/>
            </w14:solidFill>
          </w14:textFill>
        </w:rPr>
        <w:t xml:space="preserve">                                             </w:t>
      </w:r>
    </w:p>
    <w:p w14:paraId="71EE0B8F">
      <w:pPr>
        <w:pageBreakBefore w:val="0"/>
        <w:wordWrap/>
        <w:topLinePunct w:val="0"/>
        <w:bidi w:val="0"/>
        <w:spacing w:line="560" w:lineRule="exact"/>
        <w:rPr>
          <w:rFonts w:asciiTheme="minorEastAsia" w:hAnsiTheme="minorEastAsia" w:eastAsiaTheme="minorEastAsia"/>
          <w:color w:val="000000" w:themeColor="text1"/>
          <w:sz w:val="28"/>
          <w:szCs w:val="28"/>
          <w:highlight w:val="none"/>
          <w:u w:val="dotted"/>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授权代表：</w:t>
      </w:r>
      <w:r>
        <w:rPr>
          <w:rFonts w:hint="eastAsia" w:asciiTheme="minorEastAsia" w:hAnsiTheme="minorEastAsia" w:eastAsiaTheme="minorEastAsia"/>
          <w:color w:val="000000" w:themeColor="text1"/>
          <w:sz w:val="28"/>
          <w:szCs w:val="28"/>
          <w:highlight w:val="none"/>
          <w:u w:val="dotted"/>
          <w14:textFill>
            <w14:solidFill>
              <w14:schemeClr w14:val="tx1"/>
            </w14:solidFill>
          </w14:textFill>
        </w:rPr>
        <w:t xml:space="preserve">             </w:t>
      </w:r>
      <w:r>
        <w:rPr>
          <w:rFonts w:hint="eastAsia" w:asciiTheme="minorEastAsia" w:hAnsiTheme="minorEastAsia" w:eastAsiaTheme="minorEastAsia"/>
          <w:color w:val="000000" w:themeColor="text1"/>
          <w:sz w:val="28"/>
          <w:szCs w:val="28"/>
          <w:highlight w:val="none"/>
          <w14:textFill>
            <w14:solidFill>
              <w14:schemeClr w14:val="tx1"/>
            </w14:solidFill>
          </w14:textFill>
        </w:rPr>
        <w:t>联系电话</w:t>
      </w:r>
      <w:r>
        <w:rPr>
          <w:rFonts w:hint="eastAsia" w:asciiTheme="minorEastAsia" w:hAnsiTheme="minorEastAsia" w:eastAsiaTheme="minorEastAsia"/>
          <w:color w:val="000000" w:themeColor="text1"/>
          <w:sz w:val="28"/>
          <w:szCs w:val="28"/>
          <w:highlight w:val="none"/>
          <w:u w:val="dotted"/>
          <w14:textFill>
            <w14:solidFill>
              <w14:schemeClr w14:val="tx1"/>
            </w14:solidFill>
          </w14:textFill>
        </w:rPr>
        <w:t xml:space="preserve">：                  </w:t>
      </w:r>
    </w:p>
    <w:p w14:paraId="5BFF13E5">
      <w:pPr>
        <w:pageBreakBefore w:val="0"/>
        <w:wordWrap/>
        <w:topLinePunct w:val="0"/>
        <w:bidi w:val="0"/>
        <w:spacing w:line="560" w:lineRule="exact"/>
        <w:rPr>
          <w:rFonts w:asciiTheme="minorEastAsia" w:hAnsiTheme="minorEastAsia" w:eastAsiaTheme="minorEastAsia"/>
          <w:color w:val="000000" w:themeColor="text1"/>
          <w:sz w:val="28"/>
          <w:szCs w:val="28"/>
          <w:highlight w:val="none"/>
          <w:u w:val="dotted"/>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地     址：</w:t>
      </w:r>
      <w:r>
        <w:rPr>
          <w:rFonts w:hint="eastAsia" w:asciiTheme="minorEastAsia" w:hAnsiTheme="minorEastAsia" w:eastAsiaTheme="minorEastAsia"/>
          <w:color w:val="000000" w:themeColor="text1"/>
          <w:sz w:val="28"/>
          <w:szCs w:val="28"/>
          <w:highlight w:val="none"/>
          <w:u w:val="dotted"/>
          <w14:textFill>
            <w14:solidFill>
              <w14:schemeClr w14:val="tx1"/>
            </w14:solidFill>
          </w14:textFill>
        </w:rPr>
        <w:t xml:space="preserve">                             </w:t>
      </w:r>
      <w:r>
        <w:rPr>
          <w:rFonts w:hint="eastAsia" w:asciiTheme="minorEastAsia" w:hAnsiTheme="minorEastAsia" w:eastAsiaTheme="minorEastAsia"/>
          <w:color w:val="000000" w:themeColor="text1"/>
          <w:sz w:val="28"/>
          <w:szCs w:val="28"/>
          <w:highlight w:val="none"/>
          <w14:textFill>
            <w14:solidFill>
              <w14:schemeClr w14:val="tx1"/>
            </w14:solidFill>
          </w14:textFill>
        </w:rPr>
        <w:t>邮编：</w:t>
      </w:r>
      <w:r>
        <w:rPr>
          <w:rFonts w:hint="eastAsia" w:asciiTheme="minorEastAsia" w:hAnsiTheme="minorEastAsia" w:eastAsiaTheme="minorEastAsia"/>
          <w:color w:val="000000" w:themeColor="text1"/>
          <w:sz w:val="28"/>
          <w:szCs w:val="28"/>
          <w:highlight w:val="none"/>
          <w:u w:val="dotted"/>
          <w14:textFill>
            <w14:solidFill>
              <w14:schemeClr w14:val="tx1"/>
            </w14:solidFill>
          </w14:textFill>
        </w:rPr>
        <w:t xml:space="preserve">         </w:t>
      </w:r>
      <w:r>
        <w:rPr>
          <w:rFonts w:hint="eastAsia" w:asciiTheme="minorEastAsia" w:hAnsiTheme="minorEastAsia" w:eastAsiaTheme="minorEastAsia"/>
          <w:color w:val="000000" w:themeColor="text1"/>
          <w:sz w:val="28"/>
          <w:szCs w:val="28"/>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z w:val="28"/>
          <w:szCs w:val="28"/>
          <w:highlight w:val="none"/>
          <w:u w:val="dotted"/>
          <w14:textFill>
            <w14:solidFill>
              <w14:schemeClr w14:val="tx1"/>
            </w14:solidFill>
          </w14:textFill>
        </w:rPr>
        <w:t xml:space="preserve">                   </w:t>
      </w:r>
    </w:p>
    <w:p w14:paraId="711A7B05">
      <w:pPr>
        <w:pageBreakBefore w:val="0"/>
        <w:wordWrap/>
        <w:topLinePunct w:val="0"/>
        <w:bidi w:val="0"/>
        <w:spacing w:line="560" w:lineRule="exact"/>
        <w:rPr>
          <w:rFonts w:asciiTheme="minorEastAsia" w:hAnsiTheme="minorEastAsia" w:eastAsiaTheme="minorEastAsia"/>
          <w:color w:val="000000" w:themeColor="text1"/>
          <w:sz w:val="28"/>
          <w:szCs w:val="28"/>
          <w:highlight w:val="none"/>
          <w:u w:val="singl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被投诉人1：</w:t>
      </w:r>
      <w:r>
        <w:rPr>
          <w:rFonts w:hint="eastAsia" w:asciiTheme="minorEastAsia" w:hAnsiTheme="minorEastAsia" w:eastAsiaTheme="minorEastAsia"/>
          <w:color w:val="000000" w:themeColor="text1"/>
          <w:sz w:val="28"/>
          <w:szCs w:val="28"/>
          <w:highlight w:val="none"/>
          <w:u w:val="dotted"/>
          <w14:textFill>
            <w14:solidFill>
              <w14:schemeClr w14:val="tx1"/>
            </w14:solidFill>
          </w14:textFill>
        </w:rPr>
        <w:t xml:space="preserve">                                           </w:t>
      </w:r>
      <w:r>
        <w:rPr>
          <w:rFonts w:hint="eastAsia" w:asciiTheme="minorEastAsia" w:hAnsiTheme="minorEastAsia" w:eastAsiaTheme="minorEastAsia"/>
          <w:color w:val="000000" w:themeColor="text1"/>
          <w:sz w:val="28"/>
          <w:szCs w:val="28"/>
          <w:highlight w:val="none"/>
          <w:u w:val="single"/>
          <w14:textFill>
            <w14:solidFill>
              <w14:schemeClr w14:val="tx1"/>
            </w14:solidFill>
          </w14:textFill>
        </w:rPr>
        <w:t xml:space="preserve">  </w:t>
      </w:r>
    </w:p>
    <w:p w14:paraId="579E0CF1">
      <w:pPr>
        <w:pageBreakBefore w:val="0"/>
        <w:wordWrap/>
        <w:topLinePunct w:val="0"/>
        <w:bidi w:val="0"/>
        <w:spacing w:line="560" w:lineRule="exact"/>
        <w:rPr>
          <w:rFonts w:asciiTheme="minorEastAsia" w:hAnsiTheme="minorEastAsia" w:eastAsiaTheme="minorEastAsia"/>
          <w:color w:val="000000" w:themeColor="text1"/>
          <w:sz w:val="28"/>
          <w:szCs w:val="28"/>
          <w:highlight w:val="none"/>
          <w:u w:val="singl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地     址：</w:t>
      </w:r>
      <w:r>
        <w:rPr>
          <w:rFonts w:hint="eastAsia" w:asciiTheme="minorEastAsia" w:hAnsiTheme="minorEastAsia" w:eastAsiaTheme="minorEastAsia"/>
          <w:color w:val="000000" w:themeColor="text1"/>
          <w:sz w:val="28"/>
          <w:szCs w:val="28"/>
          <w:highlight w:val="none"/>
          <w:u w:val="dotted"/>
          <w14:textFill>
            <w14:solidFill>
              <w14:schemeClr w14:val="tx1"/>
            </w14:solidFill>
          </w14:textFill>
        </w:rPr>
        <w:t xml:space="preserve">                             </w:t>
      </w:r>
      <w:r>
        <w:rPr>
          <w:rFonts w:hint="eastAsia" w:asciiTheme="minorEastAsia" w:hAnsiTheme="minorEastAsia" w:eastAsiaTheme="minorEastAsia"/>
          <w:color w:val="000000" w:themeColor="text1"/>
          <w:sz w:val="28"/>
          <w:szCs w:val="28"/>
          <w:highlight w:val="none"/>
          <w14:textFill>
            <w14:solidFill>
              <w14:schemeClr w14:val="tx1"/>
            </w14:solidFill>
          </w14:textFill>
        </w:rPr>
        <w:t>邮编：</w:t>
      </w:r>
      <w:r>
        <w:rPr>
          <w:rFonts w:hint="eastAsia" w:asciiTheme="minorEastAsia" w:hAnsiTheme="minorEastAsia" w:eastAsiaTheme="minorEastAsia"/>
          <w:color w:val="000000" w:themeColor="text1"/>
          <w:sz w:val="28"/>
          <w:szCs w:val="28"/>
          <w:highlight w:val="none"/>
          <w:u w:val="dotted"/>
          <w14:textFill>
            <w14:solidFill>
              <w14:schemeClr w14:val="tx1"/>
            </w14:solidFill>
          </w14:textFill>
        </w:rPr>
        <w:t xml:space="preserve">          </w:t>
      </w:r>
      <w:r>
        <w:rPr>
          <w:rFonts w:hint="eastAsia" w:asciiTheme="minorEastAsia" w:hAnsiTheme="minorEastAsia" w:eastAsiaTheme="minorEastAsia"/>
          <w:color w:val="000000" w:themeColor="text1"/>
          <w:sz w:val="28"/>
          <w:szCs w:val="28"/>
          <w:highlight w:val="none"/>
          <w:u w:val="single"/>
          <w14:textFill>
            <w14:solidFill>
              <w14:schemeClr w14:val="tx1"/>
            </w14:solidFill>
          </w14:textFill>
        </w:rPr>
        <w:t xml:space="preserve"> </w:t>
      </w:r>
    </w:p>
    <w:p w14:paraId="0D3D5DDC">
      <w:pPr>
        <w:pageBreakBefore w:val="0"/>
        <w:wordWrap/>
        <w:topLinePunct w:val="0"/>
        <w:bidi w:val="0"/>
        <w:spacing w:line="560" w:lineRule="exact"/>
        <w:rPr>
          <w:rFonts w:asciiTheme="minorEastAsia" w:hAnsiTheme="minorEastAsia" w:eastAsiaTheme="minorEastAsia"/>
          <w:color w:val="000000" w:themeColor="text1"/>
          <w:sz w:val="28"/>
          <w:szCs w:val="28"/>
          <w:highlight w:val="none"/>
          <w:u w:val="singl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联系人：</w:t>
      </w:r>
      <w:r>
        <w:rPr>
          <w:rFonts w:hint="eastAsia" w:asciiTheme="minorEastAsia" w:hAnsiTheme="minorEastAsia" w:eastAsiaTheme="minorEastAsia"/>
          <w:color w:val="000000" w:themeColor="text1"/>
          <w:sz w:val="28"/>
          <w:szCs w:val="28"/>
          <w:highlight w:val="none"/>
          <w:u w:val="dotted"/>
          <w14:textFill>
            <w14:solidFill>
              <w14:schemeClr w14:val="tx1"/>
            </w14:solidFill>
          </w14:textFill>
        </w:rPr>
        <w:t xml:space="preserve">               </w:t>
      </w:r>
      <w:r>
        <w:rPr>
          <w:rFonts w:hint="eastAsia" w:asciiTheme="minorEastAsia" w:hAnsiTheme="minorEastAsia" w:eastAsiaTheme="minorEastAsia"/>
          <w:color w:val="000000" w:themeColor="text1"/>
          <w:sz w:val="28"/>
          <w:szCs w:val="28"/>
          <w:highlight w:val="none"/>
          <w14:textFill>
            <w14:solidFill>
              <w14:schemeClr w14:val="tx1"/>
            </w14:solidFill>
          </w14:textFill>
        </w:rPr>
        <w:t>联系电话：</w:t>
      </w:r>
      <w:r>
        <w:rPr>
          <w:rFonts w:hint="eastAsia" w:asciiTheme="minorEastAsia" w:hAnsiTheme="minorEastAsia" w:eastAsiaTheme="minorEastAsia"/>
          <w:color w:val="000000" w:themeColor="text1"/>
          <w:sz w:val="28"/>
          <w:szCs w:val="28"/>
          <w:highlight w:val="none"/>
          <w:u w:val="dotted"/>
          <w14:textFill>
            <w14:solidFill>
              <w14:schemeClr w14:val="tx1"/>
            </w14:solidFill>
          </w14:textFill>
        </w:rPr>
        <w:t xml:space="preserve">                      </w:t>
      </w:r>
      <w:r>
        <w:rPr>
          <w:rFonts w:hint="eastAsia" w:asciiTheme="minorEastAsia" w:hAnsiTheme="minorEastAsia" w:eastAsiaTheme="minorEastAsia"/>
          <w:color w:val="000000" w:themeColor="text1"/>
          <w:sz w:val="28"/>
          <w:szCs w:val="28"/>
          <w:highlight w:val="none"/>
          <w:u w:val="single"/>
          <w14:textFill>
            <w14:solidFill>
              <w14:schemeClr w14:val="tx1"/>
            </w14:solidFill>
          </w14:textFill>
        </w:rPr>
        <w:t xml:space="preserve"> </w:t>
      </w:r>
    </w:p>
    <w:p w14:paraId="204F3DD7">
      <w:pPr>
        <w:pageBreakBefore w:val="0"/>
        <w:wordWrap/>
        <w:topLinePunct w:val="0"/>
        <w:bidi w:val="0"/>
        <w:spacing w:line="560" w:lineRule="exact"/>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被投诉人2</w:t>
      </w:r>
    </w:p>
    <w:p w14:paraId="1E900C2C">
      <w:pPr>
        <w:pageBreakBefore w:val="0"/>
        <w:wordWrap/>
        <w:topLinePunct w:val="0"/>
        <w:bidi w:val="0"/>
        <w:spacing w:line="560" w:lineRule="exact"/>
        <w:rPr>
          <w:rFonts w:asciiTheme="minorEastAsia" w:hAnsiTheme="minorEastAsia" w:eastAsiaTheme="minorEastAsia"/>
          <w:color w:val="000000" w:themeColor="text1"/>
          <w:sz w:val="28"/>
          <w:szCs w:val="28"/>
          <w:highlight w:val="none"/>
          <w:u w:val="dotted"/>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w:t>
      </w:r>
    </w:p>
    <w:p w14:paraId="295B1251">
      <w:pPr>
        <w:pageBreakBefore w:val="0"/>
        <w:wordWrap/>
        <w:topLinePunct w:val="0"/>
        <w:bidi w:val="0"/>
        <w:spacing w:line="560" w:lineRule="exact"/>
        <w:rPr>
          <w:rFonts w:asciiTheme="minorEastAsia" w:hAnsiTheme="minorEastAsia" w:eastAsiaTheme="minorEastAsia"/>
          <w:color w:val="000000" w:themeColor="text1"/>
          <w:sz w:val="28"/>
          <w:szCs w:val="28"/>
          <w:highlight w:val="none"/>
          <w:u w:val="singl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相关供应商：</w:t>
      </w:r>
      <w:r>
        <w:rPr>
          <w:rFonts w:hint="eastAsia" w:asciiTheme="minorEastAsia" w:hAnsiTheme="minorEastAsia" w:eastAsiaTheme="minorEastAsia"/>
          <w:color w:val="000000" w:themeColor="text1"/>
          <w:sz w:val="28"/>
          <w:szCs w:val="28"/>
          <w:highlight w:val="none"/>
          <w:u w:val="dotted"/>
          <w14:textFill>
            <w14:solidFill>
              <w14:schemeClr w14:val="tx1"/>
            </w14:solidFill>
          </w14:textFill>
        </w:rPr>
        <w:t xml:space="preserve">                                           </w:t>
      </w:r>
      <w:r>
        <w:rPr>
          <w:rFonts w:hint="eastAsia" w:asciiTheme="minorEastAsia" w:hAnsiTheme="minorEastAsia" w:eastAsiaTheme="minorEastAsia"/>
          <w:color w:val="000000" w:themeColor="text1"/>
          <w:sz w:val="28"/>
          <w:szCs w:val="28"/>
          <w:highlight w:val="none"/>
          <w:u w:val="single"/>
          <w14:textFill>
            <w14:solidFill>
              <w14:schemeClr w14:val="tx1"/>
            </w14:solidFill>
          </w14:textFill>
        </w:rPr>
        <w:t xml:space="preserve">    </w:t>
      </w:r>
    </w:p>
    <w:p w14:paraId="2575BB9E">
      <w:pPr>
        <w:pageBreakBefore w:val="0"/>
        <w:wordWrap/>
        <w:topLinePunct w:val="0"/>
        <w:bidi w:val="0"/>
        <w:spacing w:line="560" w:lineRule="exact"/>
        <w:rPr>
          <w:rFonts w:asciiTheme="minorEastAsia" w:hAnsiTheme="minorEastAsia" w:eastAsiaTheme="minorEastAsia"/>
          <w:color w:val="000000" w:themeColor="text1"/>
          <w:sz w:val="28"/>
          <w:szCs w:val="28"/>
          <w:highlight w:val="none"/>
          <w:u w:val="singl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地     址：</w:t>
      </w:r>
      <w:r>
        <w:rPr>
          <w:rFonts w:hint="eastAsia" w:asciiTheme="minorEastAsia" w:hAnsiTheme="minorEastAsia" w:eastAsiaTheme="minorEastAsia"/>
          <w:color w:val="000000" w:themeColor="text1"/>
          <w:sz w:val="28"/>
          <w:szCs w:val="28"/>
          <w:highlight w:val="none"/>
          <w:u w:val="dotted"/>
          <w14:textFill>
            <w14:solidFill>
              <w14:schemeClr w14:val="tx1"/>
            </w14:solidFill>
          </w14:textFill>
        </w:rPr>
        <w:t xml:space="preserve">                             </w:t>
      </w:r>
      <w:r>
        <w:rPr>
          <w:rFonts w:hint="eastAsia" w:asciiTheme="minorEastAsia" w:hAnsiTheme="minorEastAsia" w:eastAsiaTheme="minorEastAsia"/>
          <w:color w:val="000000" w:themeColor="text1"/>
          <w:sz w:val="28"/>
          <w:szCs w:val="28"/>
          <w:highlight w:val="none"/>
          <w14:textFill>
            <w14:solidFill>
              <w14:schemeClr w14:val="tx1"/>
            </w14:solidFill>
          </w14:textFill>
        </w:rPr>
        <w:t>邮编：</w:t>
      </w:r>
      <w:r>
        <w:rPr>
          <w:rFonts w:hint="eastAsia" w:asciiTheme="minorEastAsia" w:hAnsiTheme="minorEastAsia" w:eastAsiaTheme="minorEastAsia"/>
          <w:color w:val="000000" w:themeColor="text1"/>
          <w:sz w:val="28"/>
          <w:szCs w:val="28"/>
          <w:highlight w:val="none"/>
          <w:u w:val="dotted"/>
          <w14:textFill>
            <w14:solidFill>
              <w14:schemeClr w14:val="tx1"/>
            </w14:solidFill>
          </w14:textFill>
        </w:rPr>
        <w:t xml:space="preserve">          </w:t>
      </w:r>
      <w:r>
        <w:rPr>
          <w:rFonts w:hint="eastAsia" w:asciiTheme="minorEastAsia" w:hAnsiTheme="minorEastAsia" w:eastAsiaTheme="minorEastAsia"/>
          <w:color w:val="000000" w:themeColor="text1"/>
          <w:sz w:val="28"/>
          <w:szCs w:val="28"/>
          <w:highlight w:val="none"/>
          <w:u w:val="single"/>
          <w14:textFill>
            <w14:solidFill>
              <w14:schemeClr w14:val="tx1"/>
            </w14:solidFill>
          </w14:textFill>
        </w:rPr>
        <w:t xml:space="preserve"> </w:t>
      </w:r>
    </w:p>
    <w:p w14:paraId="2D5680E0">
      <w:pPr>
        <w:pageBreakBefore w:val="0"/>
        <w:wordWrap/>
        <w:topLinePunct w:val="0"/>
        <w:bidi w:val="0"/>
        <w:spacing w:line="560" w:lineRule="exact"/>
        <w:rPr>
          <w:rFonts w:asciiTheme="minorEastAsia" w:hAnsiTheme="minorEastAsia" w:eastAsiaTheme="minorEastAsia"/>
          <w:color w:val="000000" w:themeColor="text1"/>
          <w:sz w:val="28"/>
          <w:szCs w:val="28"/>
          <w:highlight w:val="none"/>
          <w:u w:val="singl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联系人：</w:t>
      </w:r>
      <w:r>
        <w:rPr>
          <w:rFonts w:hint="eastAsia" w:asciiTheme="minorEastAsia" w:hAnsiTheme="minorEastAsia" w:eastAsiaTheme="minorEastAsia"/>
          <w:color w:val="000000" w:themeColor="text1"/>
          <w:sz w:val="28"/>
          <w:szCs w:val="28"/>
          <w:highlight w:val="none"/>
          <w:u w:val="dotted"/>
          <w14:textFill>
            <w14:solidFill>
              <w14:schemeClr w14:val="tx1"/>
            </w14:solidFill>
          </w14:textFill>
        </w:rPr>
        <w:t xml:space="preserve">               </w:t>
      </w:r>
      <w:r>
        <w:rPr>
          <w:rFonts w:hint="eastAsia" w:asciiTheme="minorEastAsia" w:hAnsiTheme="minorEastAsia" w:eastAsiaTheme="minorEastAsia"/>
          <w:color w:val="000000" w:themeColor="text1"/>
          <w:sz w:val="28"/>
          <w:szCs w:val="28"/>
          <w:highlight w:val="none"/>
          <w14:textFill>
            <w14:solidFill>
              <w14:schemeClr w14:val="tx1"/>
            </w14:solidFill>
          </w14:textFill>
        </w:rPr>
        <w:t>联系电话：</w:t>
      </w:r>
      <w:r>
        <w:rPr>
          <w:rFonts w:hint="eastAsia" w:asciiTheme="minorEastAsia" w:hAnsiTheme="minorEastAsia" w:eastAsiaTheme="minorEastAsia"/>
          <w:color w:val="000000" w:themeColor="text1"/>
          <w:sz w:val="28"/>
          <w:szCs w:val="28"/>
          <w:highlight w:val="none"/>
          <w:u w:val="dotted"/>
          <w14:textFill>
            <w14:solidFill>
              <w14:schemeClr w14:val="tx1"/>
            </w14:solidFill>
          </w14:textFill>
        </w:rPr>
        <w:t xml:space="preserve">                      </w:t>
      </w:r>
      <w:r>
        <w:rPr>
          <w:rFonts w:hint="eastAsia" w:asciiTheme="minorEastAsia" w:hAnsiTheme="minorEastAsia" w:eastAsiaTheme="minorEastAsia"/>
          <w:color w:val="000000" w:themeColor="text1"/>
          <w:sz w:val="28"/>
          <w:szCs w:val="28"/>
          <w:highlight w:val="none"/>
          <w:u w:val="single"/>
          <w14:textFill>
            <w14:solidFill>
              <w14:schemeClr w14:val="tx1"/>
            </w14:solidFill>
          </w14:textFill>
        </w:rPr>
        <w:t xml:space="preserve">      </w:t>
      </w:r>
    </w:p>
    <w:p w14:paraId="40D04A38">
      <w:pPr>
        <w:pageBreakBefore w:val="0"/>
        <w:wordWrap/>
        <w:topLinePunct w:val="0"/>
        <w:bidi w:val="0"/>
        <w:spacing w:line="560" w:lineRule="exact"/>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二、投诉项目基本情况</w:t>
      </w:r>
    </w:p>
    <w:p w14:paraId="3A720B66">
      <w:pPr>
        <w:pageBreakBefore w:val="0"/>
        <w:wordWrap/>
        <w:topLinePunct w:val="0"/>
        <w:bidi w:val="0"/>
        <w:spacing w:line="560" w:lineRule="exact"/>
        <w:rPr>
          <w:rFonts w:asciiTheme="minorEastAsia" w:hAnsiTheme="minorEastAsia" w:eastAsiaTheme="minorEastAsia"/>
          <w:color w:val="000000" w:themeColor="text1"/>
          <w:sz w:val="28"/>
          <w:szCs w:val="28"/>
          <w:highlight w:val="none"/>
          <w:u w:val="dotted"/>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采购项目名称：</w:t>
      </w:r>
      <w:r>
        <w:rPr>
          <w:rFonts w:hint="eastAsia" w:asciiTheme="minorEastAsia" w:hAnsiTheme="minorEastAsia" w:eastAsiaTheme="minorEastAsia"/>
          <w:color w:val="000000" w:themeColor="text1"/>
          <w:sz w:val="28"/>
          <w:szCs w:val="28"/>
          <w:highlight w:val="none"/>
          <w:u w:val="dotted"/>
          <w14:textFill>
            <w14:solidFill>
              <w14:schemeClr w14:val="tx1"/>
            </w14:solidFill>
          </w14:textFill>
        </w:rPr>
        <w:t xml:space="preserve">                                            </w:t>
      </w:r>
    </w:p>
    <w:p w14:paraId="765CF816">
      <w:pPr>
        <w:pageBreakBefore w:val="0"/>
        <w:wordWrap/>
        <w:topLinePunct w:val="0"/>
        <w:bidi w:val="0"/>
        <w:spacing w:line="560" w:lineRule="exact"/>
        <w:rPr>
          <w:rFonts w:asciiTheme="minorEastAsia" w:hAnsiTheme="minorEastAsia" w:eastAsiaTheme="minorEastAsia"/>
          <w:color w:val="000000" w:themeColor="text1"/>
          <w:sz w:val="28"/>
          <w:szCs w:val="28"/>
          <w:highlight w:val="none"/>
          <w:u w:val="singl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采购项目编号：</w:t>
      </w:r>
      <w:r>
        <w:rPr>
          <w:rFonts w:hint="eastAsia" w:asciiTheme="minorEastAsia" w:hAnsiTheme="minorEastAsia" w:eastAsiaTheme="minorEastAsia"/>
          <w:color w:val="000000" w:themeColor="text1"/>
          <w:sz w:val="28"/>
          <w:szCs w:val="28"/>
          <w:highlight w:val="none"/>
          <w:u w:val="dotted"/>
          <w14:textFill>
            <w14:solidFill>
              <w14:schemeClr w14:val="tx1"/>
            </w14:solidFill>
          </w14:textFill>
        </w:rPr>
        <w:t xml:space="preserve">                       </w:t>
      </w:r>
      <w:r>
        <w:rPr>
          <w:rFonts w:hint="eastAsia" w:asciiTheme="minorEastAsia" w:hAnsiTheme="minorEastAsia" w:eastAsiaTheme="minorEastAsia"/>
          <w:color w:val="000000" w:themeColor="text1"/>
          <w:sz w:val="28"/>
          <w:szCs w:val="28"/>
          <w:highlight w:val="none"/>
          <w14:textFill>
            <w14:solidFill>
              <w14:schemeClr w14:val="tx1"/>
            </w14:solidFill>
          </w14:textFill>
        </w:rPr>
        <w:t>包号：</w:t>
      </w:r>
      <w:r>
        <w:rPr>
          <w:rFonts w:hint="eastAsia" w:asciiTheme="minorEastAsia" w:hAnsiTheme="minorEastAsia" w:eastAsiaTheme="minorEastAsia"/>
          <w:color w:val="000000" w:themeColor="text1"/>
          <w:sz w:val="28"/>
          <w:szCs w:val="28"/>
          <w:highlight w:val="none"/>
          <w:u w:val="dotted"/>
          <w14:textFill>
            <w14:solidFill>
              <w14:schemeClr w14:val="tx1"/>
            </w14:solidFill>
          </w14:textFill>
        </w:rPr>
        <w:t xml:space="preserve">              </w:t>
      </w:r>
    </w:p>
    <w:p w14:paraId="7656C4CC">
      <w:pPr>
        <w:pageBreakBefore w:val="0"/>
        <w:wordWrap/>
        <w:topLinePunct w:val="0"/>
        <w:bidi w:val="0"/>
        <w:spacing w:line="560" w:lineRule="exact"/>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采购人名称：</w:t>
      </w:r>
      <w:r>
        <w:rPr>
          <w:rFonts w:hint="eastAsia" w:asciiTheme="minorEastAsia" w:hAnsiTheme="minorEastAsia" w:eastAsiaTheme="minorEastAsia"/>
          <w:color w:val="000000" w:themeColor="text1"/>
          <w:sz w:val="28"/>
          <w:szCs w:val="28"/>
          <w:highlight w:val="none"/>
          <w:u w:val="dotted"/>
          <w14:textFill>
            <w14:solidFill>
              <w14:schemeClr w14:val="tx1"/>
            </w14:solidFill>
          </w14:textFill>
        </w:rPr>
        <w:t xml:space="preserve">                                             </w:t>
      </w:r>
    </w:p>
    <w:p w14:paraId="6C7551AE">
      <w:pPr>
        <w:pageBreakBefore w:val="0"/>
        <w:wordWrap/>
        <w:topLinePunct w:val="0"/>
        <w:bidi w:val="0"/>
        <w:spacing w:line="560" w:lineRule="exact"/>
        <w:rPr>
          <w:rFonts w:asciiTheme="minorEastAsia" w:hAnsiTheme="minorEastAsia" w:eastAsiaTheme="minorEastAsia"/>
          <w:color w:val="000000" w:themeColor="text1"/>
          <w:sz w:val="28"/>
          <w:szCs w:val="28"/>
          <w:highlight w:val="none"/>
          <w:u w:val="singl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代理机构名称：</w:t>
      </w:r>
      <w:r>
        <w:rPr>
          <w:rFonts w:hint="eastAsia" w:asciiTheme="minorEastAsia" w:hAnsiTheme="minorEastAsia" w:eastAsiaTheme="minorEastAsia"/>
          <w:color w:val="000000" w:themeColor="text1"/>
          <w:sz w:val="28"/>
          <w:szCs w:val="28"/>
          <w:highlight w:val="none"/>
          <w:u w:val="dotted"/>
          <w14:textFill>
            <w14:solidFill>
              <w14:schemeClr w14:val="tx1"/>
            </w14:solidFill>
          </w14:textFill>
        </w:rPr>
        <w:t xml:space="preserve">                                         </w:t>
      </w:r>
    </w:p>
    <w:p w14:paraId="4F596304">
      <w:pPr>
        <w:pageBreakBefore w:val="0"/>
        <w:wordWrap/>
        <w:topLinePunct w:val="0"/>
        <w:bidi w:val="0"/>
        <w:spacing w:line="560" w:lineRule="exact"/>
        <w:rPr>
          <w:rFonts w:asciiTheme="minorEastAsia" w:hAnsiTheme="minorEastAsia" w:eastAsiaTheme="minorEastAsia"/>
          <w:color w:val="000000" w:themeColor="text1"/>
          <w:sz w:val="28"/>
          <w:szCs w:val="28"/>
          <w:highlight w:val="none"/>
          <w:u w:val="dotted"/>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采购文件公告:</w:t>
      </w:r>
      <w:r>
        <w:rPr>
          <w:rFonts w:hint="eastAsia" w:asciiTheme="minorEastAsia" w:hAnsiTheme="minorEastAsia" w:eastAsiaTheme="minorEastAsia"/>
          <w:color w:val="000000" w:themeColor="text1"/>
          <w:sz w:val="28"/>
          <w:szCs w:val="28"/>
          <w:highlight w:val="none"/>
          <w:u w:val="dotted"/>
          <w14:textFill>
            <w14:solidFill>
              <w14:schemeClr w14:val="tx1"/>
            </w14:solidFill>
          </w14:textFill>
        </w:rPr>
        <w:t xml:space="preserve">是/否 </w:t>
      </w:r>
      <w:r>
        <w:rPr>
          <w:rFonts w:hint="eastAsia" w:asciiTheme="minorEastAsia" w:hAnsiTheme="minorEastAsia" w:eastAsiaTheme="minorEastAsia"/>
          <w:color w:val="000000" w:themeColor="text1"/>
          <w:sz w:val="28"/>
          <w:szCs w:val="28"/>
          <w:highlight w:val="none"/>
          <w14:textFill>
            <w14:solidFill>
              <w14:schemeClr w14:val="tx1"/>
            </w14:solidFill>
          </w14:textFill>
        </w:rPr>
        <w:t>公告期限：</w:t>
      </w:r>
      <w:r>
        <w:rPr>
          <w:rFonts w:hint="eastAsia" w:asciiTheme="minorEastAsia" w:hAnsiTheme="minorEastAsia" w:eastAsiaTheme="minorEastAsia"/>
          <w:color w:val="000000" w:themeColor="text1"/>
          <w:sz w:val="28"/>
          <w:szCs w:val="28"/>
          <w:highlight w:val="none"/>
          <w:u w:val="dotted"/>
          <w14:textFill>
            <w14:solidFill>
              <w14:schemeClr w14:val="tx1"/>
            </w14:solidFill>
          </w14:textFill>
        </w:rPr>
        <w:t xml:space="preserve">                                 </w:t>
      </w:r>
    </w:p>
    <w:p w14:paraId="3D9C29B7">
      <w:pPr>
        <w:pageBreakBefore w:val="0"/>
        <w:wordWrap/>
        <w:topLinePunct w:val="0"/>
        <w:bidi w:val="0"/>
        <w:spacing w:line="560" w:lineRule="exact"/>
        <w:rPr>
          <w:rFonts w:asciiTheme="minorEastAsia" w:hAnsiTheme="minorEastAsia" w:eastAsiaTheme="minorEastAsia"/>
          <w:color w:val="000000" w:themeColor="text1"/>
          <w:sz w:val="28"/>
          <w:szCs w:val="28"/>
          <w:highlight w:val="none"/>
          <w:u w:val="singl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采购结果公告:</w:t>
      </w:r>
      <w:r>
        <w:rPr>
          <w:rFonts w:hint="eastAsia" w:asciiTheme="minorEastAsia" w:hAnsiTheme="minorEastAsia" w:eastAsiaTheme="minorEastAsia"/>
          <w:color w:val="000000" w:themeColor="text1"/>
          <w:sz w:val="28"/>
          <w:szCs w:val="28"/>
          <w:highlight w:val="none"/>
          <w:u w:val="dotted"/>
          <w14:textFill>
            <w14:solidFill>
              <w14:schemeClr w14:val="tx1"/>
            </w14:solidFill>
          </w14:textFill>
        </w:rPr>
        <w:t xml:space="preserve">是/否 </w:t>
      </w:r>
      <w:r>
        <w:rPr>
          <w:rFonts w:hint="eastAsia" w:asciiTheme="minorEastAsia" w:hAnsiTheme="minorEastAsia" w:eastAsiaTheme="minorEastAsia"/>
          <w:color w:val="000000" w:themeColor="text1"/>
          <w:sz w:val="28"/>
          <w:szCs w:val="28"/>
          <w:highlight w:val="none"/>
          <w14:textFill>
            <w14:solidFill>
              <w14:schemeClr w14:val="tx1"/>
            </w14:solidFill>
          </w14:textFill>
        </w:rPr>
        <w:t>公告期限：</w:t>
      </w:r>
      <w:r>
        <w:rPr>
          <w:rFonts w:hint="eastAsia" w:asciiTheme="minorEastAsia" w:hAnsiTheme="minorEastAsia" w:eastAsiaTheme="minorEastAsia"/>
          <w:color w:val="000000" w:themeColor="text1"/>
          <w:sz w:val="28"/>
          <w:szCs w:val="28"/>
          <w:highlight w:val="none"/>
          <w:u w:val="dotted"/>
          <w14:textFill>
            <w14:solidFill>
              <w14:schemeClr w14:val="tx1"/>
            </w14:solidFill>
          </w14:textFill>
        </w:rPr>
        <w:t xml:space="preserve">                        </w:t>
      </w:r>
    </w:p>
    <w:p w14:paraId="01C41BB2">
      <w:pPr>
        <w:pageBreakBefore w:val="0"/>
        <w:wordWrap/>
        <w:topLinePunct w:val="0"/>
        <w:bidi w:val="0"/>
        <w:spacing w:line="560" w:lineRule="exact"/>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三、质疑基本情况</w:t>
      </w:r>
    </w:p>
    <w:p w14:paraId="6557F2BB">
      <w:pPr>
        <w:pageBreakBefore w:val="0"/>
        <w:wordWrap/>
        <w:topLinePunct w:val="0"/>
        <w:bidi w:val="0"/>
        <w:spacing w:line="560" w:lineRule="exact"/>
        <w:ind w:firstLine="560" w:firstLineChars="200"/>
        <w:rPr>
          <w:rFonts w:asciiTheme="minorEastAsia" w:hAnsiTheme="minorEastAsia" w:eastAsiaTheme="minorEastAsia"/>
          <w:color w:val="000000" w:themeColor="text1"/>
          <w:sz w:val="28"/>
          <w:szCs w:val="28"/>
          <w:highlight w:val="none"/>
          <w:u w:val="dotted"/>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投诉人于</w:t>
      </w:r>
      <w:r>
        <w:rPr>
          <w:rFonts w:hint="eastAsia" w:asciiTheme="minorEastAsia" w:hAnsiTheme="minorEastAsia" w:eastAsiaTheme="minorEastAsia"/>
          <w:color w:val="000000" w:themeColor="text1"/>
          <w:sz w:val="28"/>
          <w:szCs w:val="28"/>
          <w:highlight w:val="none"/>
          <w:u w:val="dotted"/>
          <w14:textFill>
            <w14:solidFill>
              <w14:schemeClr w14:val="tx1"/>
            </w14:solidFill>
          </w14:textFill>
        </w:rPr>
        <w:t xml:space="preserve">   </w:t>
      </w:r>
      <w:r>
        <w:rPr>
          <w:rFonts w:hint="eastAsia" w:asciiTheme="minorEastAsia" w:hAnsiTheme="minorEastAsia" w:eastAsiaTheme="minorEastAsia"/>
          <w:color w:val="000000" w:themeColor="text1"/>
          <w:sz w:val="28"/>
          <w:szCs w:val="28"/>
          <w:highlight w:val="none"/>
          <w14:textFill>
            <w14:solidFill>
              <w14:schemeClr w14:val="tx1"/>
            </w14:solidFill>
          </w14:textFill>
        </w:rPr>
        <w:t>年</w:t>
      </w:r>
      <w:r>
        <w:rPr>
          <w:rFonts w:hint="eastAsia" w:asciiTheme="minorEastAsia" w:hAnsiTheme="minorEastAsia" w:eastAsiaTheme="minorEastAsia"/>
          <w:color w:val="000000" w:themeColor="text1"/>
          <w:sz w:val="28"/>
          <w:szCs w:val="28"/>
          <w:highlight w:val="none"/>
          <w:u w:val="dotted"/>
          <w14:textFill>
            <w14:solidFill>
              <w14:schemeClr w14:val="tx1"/>
            </w14:solidFill>
          </w14:textFill>
        </w:rPr>
        <w:t xml:space="preserve">   </w:t>
      </w:r>
      <w:r>
        <w:rPr>
          <w:rFonts w:hint="eastAsia" w:asciiTheme="minorEastAsia" w:hAnsiTheme="minorEastAsia" w:eastAsiaTheme="minorEastAsia"/>
          <w:color w:val="000000" w:themeColor="text1"/>
          <w:sz w:val="28"/>
          <w:szCs w:val="28"/>
          <w:highlight w:val="none"/>
          <w14:textFill>
            <w14:solidFill>
              <w14:schemeClr w14:val="tx1"/>
            </w14:solidFill>
          </w14:textFill>
        </w:rPr>
        <w:t>月</w:t>
      </w:r>
      <w:r>
        <w:rPr>
          <w:rFonts w:hint="eastAsia" w:asciiTheme="minorEastAsia" w:hAnsiTheme="minorEastAsia" w:eastAsiaTheme="minorEastAsia"/>
          <w:color w:val="000000" w:themeColor="text1"/>
          <w:sz w:val="28"/>
          <w:szCs w:val="28"/>
          <w:highlight w:val="none"/>
          <w:u w:val="dotted"/>
          <w14:textFill>
            <w14:solidFill>
              <w14:schemeClr w14:val="tx1"/>
            </w14:solidFill>
          </w14:textFill>
        </w:rPr>
        <w:t xml:space="preserve">  </w:t>
      </w:r>
      <w:r>
        <w:rPr>
          <w:rFonts w:hint="eastAsia" w:asciiTheme="minorEastAsia" w:hAnsiTheme="minorEastAsia" w:eastAsiaTheme="minorEastAsia"/>
          <w:color w:val="000000" w:themeColor="text1"/>
          <w:sz w:val="28"/>
          <w:szCs w:val="28"/>
          <w:highlight w:val="none"/>
          <w14:textFill>
            <w14:solidFill>
              <w14:schemeClr w14:val="tx1"/>
            </w14:solidFill>
          </w14:textFill>
        </w:rPr>
        <w:t>日,向</w:t>
      </w:r>
      <w:r>
        <w:rPr>
          <w:rFonts w:hint="eastAsia" w:asciiTheme="minorEastAsia" w:hAnsiTheme="minorEastAsia" w:eastAsiaTheme="minorEastAsia"/>
          <w:color w:val="000000" w:themeColor="text1"/>
          <w:sz w:val="28"/>
          <w:szCs w:val="28"/>
          <w:highlight w:val="none"/>
          <w:u w:val="dotted"/>
          <w14:textFill>
            <w14:solidFill>
              <w14:schemeClr w14:val="tx1"/>
            </w14:solidFill>
          </w14:textFill>
        </w:rPr>
        <w:t xml:space="preserve">                   </w:t>
      </w:r>
      <w:r>
        <w:rPr>
          <w:rFonts w:hint="eastAsia" w:asciiTheme="minorEastAsia" w:hAnsiTheme="minorEastAsia" w:eastAsiaTheme="minorEastAsia"/>
          <w:color w:val="000000" w:themeColor="text1"/>
          <w:sz w:val="28"/>
          <w:szCs w:val="28"/>
          <w:highlight w:val="none"/>
          <w14:textFill>
            <w14:solidFill>
              <w14:schemeClr w14:val="tx1"/>
            </w14:solidFill>
          </w14:textFill>
        </w:rPr>
        <w:t>提出质疑，质疑事项为：</w:t>
      </w:r>
      <w:r>
        <w:rPr>
          <w:rFonts w:hint="eastAsia" w:asciiTheme="minorEastAsia" w:hAnsiTheme="minorEastAsia" w:eastAsiaTheme="minorEastAsia"/>
          <w:color w:val="000000" w:themeColor="text1"/>
          <w:sz w:val="28"/>
          <w:szCs w:val="28"/>
          <w:highlight w:val="none"/>
          <w:u w:val="dotted"/>
          <w14:textFill>
            <w14:solidFill>
              <w14:schemeClr w14:val="tx1"/>
            </w14:solidFill>
          </w14:textFill>
        </w:rPr>
        <w:t xml:space="preserve">                                </w:t>
      </w:r>
    </w:p>
    <w:p w14:paraId="700ABAFC">
      <w:pPr>
        <w:pageBreakBefore w:val="0"/>
        <w:wordWrap/>
        <w:topLinePunct w:val="0"/>
        <w:bidi w:val="0"/>
        <w:spacing w:line="560" w:lineRule="exact"/>
        <w:rPr>
          <w:rFonts w:asciiTheme="minorEastAsia" w:hAnsiTheme="minorEastAsia" w:eastAsiaTheme="minorEastAsia"/>
          <w:color w:val="000000" w:themeColor="text1"/>
          <w:sz w:val="28"/>
          <w:szCs w:val="28"/>
          <w:highlight w:val="none"/>
          <w:u w:val="dotted"/>
          <w14:textFill>
            <w14:solidFill>
              <w14:schemeClr w14:val="tx1"/>
            </w14:solidFill>
          </w14:textFill>
        </w:rPr>
      </w:pPr>
      <w:r>
        <w:rPr>
          <w:rFonts w:hint="eastAsia" w:asciiTheme="minorEastAsia" w:hAnsiTheme="minorEastAsia" w:eastAsiaTheme="minorEastAsia"/>
          <w:color w:val="000000" w:themeColor="text1"/>
          <w:sz w:val="28"/>
          <w:szCs w:val="28"/>
          <w:highlight w:val="none"/>
          <w:u w:val="dotted"/>
          <w14:textFill>
            <w14:solidFill>
              <w14:schemeClr w14:val="tx1"/>
            </w14:solidFill>
          </w14:textFill>
        </w:rPr>
        <w:t xml:space="preserve">                                                     </w:t>
      </w:r>
      <w:r>
        <w:rPr>
          <w:rFonts w:hint="eastAsia" w:asciiTheme="minorEastAsia" w:hAnsiTheme="minorEastAsia" w:eastAsiaTheme="minorEastAsia"/>
          <w:color w:val="000000" w:themeColor="text1"/>
          <w:sz w:val="28"/>
          <w:szCs w:val="28"/>
          <w:highlight w:val="none"/>
          <w14:textFill>
            <w14:solidFill>
              <w14:schemeClr w14:val="tx1"/>
            </w14:solidFill>
          </w14:textFill>
        </w:rPr>
        <w:t xml:space="preserve">  </w:t>
      </w:r>
    </w:p>
    <w:p w14:paraId="252AC78C">
      <w:pPr>
        <w:pageBreakBefore w:val="0"/>
        <w:wordWrap/>
        <w:topLinePunct w:val="0"/>
        <w:bidi w:val="0"/>
        <w:spacing w:line="560" w:lineRule="exact"/>
        <w:ind w:firstLine="420" w:firstLineChars="150"/>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u w:val="dotted"/>
          <w14:textFill>
            <w14:solidFill>
              <w14:schemeClr w14:val="tx1"/>
            </w14:solidFill>
          </w14:textFill>
        </w:rPr>
        <w:t>采购人/代理机构</w:t>
      </w:r>
      <w:r>
        <w:rPr>
          <w:rFonts w:hint="eastAsia" w:asciiTheme="minorEastAsia" w:hAnsiTheme="minorEastAsia" w:eastAsiaTheme="minorEastAsia"/>
          <w:color w:val="000000" w:themeColor="text1"/>
          <w:sz w:val="28"/>
          <w:szCs w:val="28"/>
          <w:highlight w:val="none"/>
          <w14:textFill>
            <w14:solidFill>
              <w14:schemeClr w14:val="tx1"/>
            </w14:solidFill>
          </w14:textFill>
        </w:rPr>
        <w:t>于</w:t>
      </w:r>
      <w:r>
        <w:rPr>
          <w:rFonts w:hint="eastAsia" w:asciiTheme="minorEastAsia" w:hAnsiTheme="minorEastAsia" w:eastAsiaTheme="minorEastAsia"/>
          <w:color w:val="000000" w:themeColor="text1"/>
          <w:sz w:val="28"/>
          <w:szCs w:val="28"/>
          <w:highlight w:val="none"/>
          <w:u w:val="dotted"/>
          <w14:textFill>
            <w14:solidFill>
              <w14:schemeClr w14:val="tx1"/>
            </w14:solidFill>
          </w14:textFill>
        </w:rPr>
        <w:t xml:space="preserve">   </w:t>
      </w:r>
      <w:r>
        <w:rPr>
          <w:rFonts w:hint="eastAsia" w:asciiTheme="minorEastAsia" w:hAnsiTheme="minorEastAsia" w:eastAsiaTheme="minorEastAsia"/>
          <w:color w:val="000000" w:themeColor="text1"/>
          <w:sz w:val="28"/>
          <w:szCs w:val="28"/>
          <w:highlight w:val="none"/>
          <w14:textFill>
            <w14:solidFill>
              <w14:schemeClr w14:val="tx1"/>
            </w14:solidFill>
          </w14:textFill>
        </w:rPr>
        <w:t>年</w:t>
      </w:r>
      <w:r>
        <w:rPr>
          <w:rFonts w:hint="eastAsia" w:asciiTheme="minorEastAsia" w:hAnsiTheme="minorEastAsia" w:eastAsiaTheme="minorEastAsia"/>
          <w:color w:val="000000" w:themeColor="text1"/>
          <w:sz w:val="28"/>
          <w:szCs w:val="28"/>
          <w:highlight w:val="none"/>
          <w:u w:val="dotted"/>
          <w14:textFill>
            <w14:solidFill>
              <w14:schemeClr w14:val="tx1"/>
            </w14:solidFill>
          </w14:textFill>
        </w:rPr>
        <w:t xml:space="preserve">   </w:t>
      </w:r>
      <w:r>
        <w:rPr>
          <w:rFonts w:hint="eastAsia" w:asciiTheme="minorEastAsia" w:hAnsiTheme="minorEastAsia" w:eastAsiaTheme="minorEastAsia"/>
          <w:color w:val="000000" w:themeColor="text1"/>
          <w:sz w:val="28"/>
          <w:szCs w:val="28"/>
          <w:highlight w:val="none"/>
          <w14:textFill>
            <w14:solidFill>
              <w14:schemeClr w14:val="tx1"/>
            </w14:solidFill>
          </w14:textFill>
        </w:rPr>
        <w:t>月</w:t>
      </w:r>
      <w:r>
        <w:rPr>
          <w:rFonts w:hint="eastAsia" w:asciiTheme="minorEastAsia" w:hAnsiTheme="minorEastAsia" w:eastAsiaTheme="minorEastAsia"/>
          <w:color w:val="000000" w:themeColor="text1"/>
          <w:sz w:val="28"/>
          <w:szCs w:val="28"/>
          <w:highlight w:val="none"/>
          <w:u w:val="dotted"/>
          <w14:textFill>
            <w14:solidFill>
              <w14:schemeClr w14:val="tx1"/>
            </w14:solidFill>
          </w14:textFill>
        </w:rPr>
        <w:t xml:space="preserve">   </w:t>
      </w:r>
      <w:r>
        <w:rPr>
          <w:rFonts w:hint="eastAsia" w:asciiTheme="minorEastAsia" w:hAnsiTheme="minorEastAsia" w:eastAsiaTheme="minorEastAsia"/>
          <w:color w:val="000000" w:themeColor="text1"/>
          <w:sz w:val="28"/>
          <w:szCs w:val="28"/>
          <w:highlight w:val="none"/>
          <w14:textFill>
            <w14:solidFill>
              <w14:schemeClr w14:val="tx1"/>
            </w14:solidFill>
          </w14:textFill>
        </w:rPr>
        <w:t>日,就质疑事项作出了答复/没有在法定期限内作出答复。</w:t>
      </w:r>
    </w:p>
    <w:p w14:paraId="4EFA5E28">
      <w:pPr>
        <w:pageBreakBefore w:val="0"/>
        <w:wordWrap/>
        <w:topLinePunct w:val="0"/>
        <w:bidi w:val="0"/>
        <w:spacing w:line="560" w:lineRule="exact"/>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四、投诉事项具体内容</w:t>
      </w:r>
    </w:p>
    <w:p w14:paraId="694AEA3E">
      <w:pPr>
        <w:pageBreakBefore w:val="0"/>
        <w:wordWrap/>
        <w:topLinePunct w:val="0"/>
        <w:bidi w:val="0"/>
        <w:spacing w:line="560" w:lineRule="exact"/>
        <w:rPr>
          <w:rFonts w:asciiTheme="minorEastAsia" w:hAnsiTheme="minorEastAsia" w:eastAsiaTheme="minorEastAsia"/>
          <w:color w:val="000000" w:themeColor="text1"/>
          <w:sz w:val="28"/>
          <w:szCs w:val="28"/>
          <w:highlight w:val="none"/>
          <w:u w:val="singl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投诉事项 1：</w:t>
      </w:r>
      <w:r>
        <w:rPr>
          <w:rFonts w:hint="eastAsia" w:asciiTheme="minorEastAsia" w:hAnsiTheme="minorEastAsia" w:eastAsiaTheme="minorEastAsia"/>
          <w:color w:val="000000" w:themeColor="text1"/>
          <w:sz w:val="28"/>
          <w:szCs w:val="28"/>
          <w:highlight w:val="none"/>
          <w:u w:val="dotted"/>
          <w14:textFill>
            <w14:solidFill>
              <w14:schemeClr w14:val="tx1"/>
            </w14:solidFill>
          </w14:textFill>
        </w:rPr>
        <w:t xml:space="preserve">                                       </w:t>
      </w:r>
    </w:p>
    <w:p w14:paraId="2AA82AC6">
      <w:pPr>
        <w:pageBreakBefore w:val="0"/>
        <w:wordWrap/>
        <w:topLinePunct w:val="0"/>
        <w:bidi w:val="0"/>
        <w:spacing w:line="560" w:lineRule="exact"/>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事实依据：</w:t>
      </w:r>
      <w:r>
        <w:rPr>
          <w:rFonts w:hint="eastAsia" w:asciiTheme="minorEastAsia" w:hAnsiTheme="minorEastAsia" w:eastAsiaTheme="minorEastAsia"/>
          <w:color w:val="000000" w:themeColor="text1"/>
          <w:sz w:val="28"/>
          <w:szCs w:val="28"/>
          <w:highlight w:val="none"/>
          <w:u w:val="dotted"/>
          <w14:textFill>
            <w14:solidFill>
              <w14:schemeClr w14:val="tx1"/>
            </w14:solidFill>
          </w14:textFill>
        </w:rPr>
        <w:t xml:space="preserve">                                         </w:t>
      </w:r>
    </w:p>
    <w:p w14:paraId="34F11176">
      <w:pPr>
        <w:pageBreakBefore w:val="0"/>
        <w:wordWrap/>
        <w:topLinePunct w:val="0"/>
        <w:bidi w:val="0"/>
        <w:spacing w:line="560" w:lineRule="exact"/>
        <w:rPr>
          <w:rFonts w:asciiTheme="minorEastAsia" w:hAnsiTheme="minorEastAsia" w:eastAsiaTheme="minorEastAsia"/>
          <w:color w:val="000000" w:themeColor="text1"/>
          <w:sz w:val="28"/>
          <w:szCs w:val="28"/>
          <w:highlight w:val="none"/>
          <w:u w:val="dotted"/>
          <w14:textFill>
            <w14:solidFill>
              <w14:schemeClr w14:val="tx1"/>
            </w14:solidFill>
          </w14:textFill>
        </w:rPr>
      </w:pPr>
      <w:r>
        <w:rPr>
          <w:rFonts w:hint="eastAsia" w:asciiTheme="minorEastAsia" w:hAnsiTheme="minorEastAsia" w:eastAsiaTheme="minorEastAsia"/>
          <w:color w:val="000000" w:themeColor="text1"/>
          <w:sz w:val="28"/>
          <w:szCs w:val="28"/>
          <w:highlight w:val="none"/>
          <w:u w:val="dotted"/>
          <w14:textFill>
            <w14:solidFill>
              <w14:schemeClr w14:val="tx1"/>
            </w14:solidFill>
          </w14:textFill>
        </w:rPr>
        <w:t xml:space="preserve">                                                      </w:t>
      </w:r>
    </w:p>
    <w:p w14:paraId="180F9CA7">
      <w:pPr>
        <w:pageBreakBefore w:val="0"/>
        <w:wordWrap/>
        <w:topLinePunct w:val="0"/>
        <w:bidi w:val="0"/>
        <w:spacing w:line="560" w:lineRule="exact"/>
        <w:rPr>
          <w:rFonts w:asciiTheme="minorEastAsia" w:hAnsiTheme="minorEastAsia" w:eastAsiaTheme="minorEastAsia"/>
          <w:color w:val="000000" w:themeColor="text1"/>
          <w:sz w:val="28"/>
          <w:szCs w:val="28"/>
          <w:highlight w:val="none"/>
          <w:u w:val="singl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法律依据：</w:t>
      </w:r>
      <w:r>
        <w:rPr>
          <w:rFonts w:hint="eastAsia" w:asciiTheme="minorEastAsia" w:hAnsiTheme="minorEastAsia" w:eastAsiaTheme="minorEastAsia"/>
          <w:color w:val="000000" w:themeColor="text1"/>
          <w:sz w:val="28"/>
          <w:szCs w:val="28"/>
          <w:highlight w:val="none"/>
          <w:u w:val="dotted"/>
          <w14:textFill>
            <w14:solidFill>
              <w14:schemeClr w14:val="tx1"/>
            </w14:solidFill>
          </w14:textFill>
        </w:rPr>
        <w:t xml:space="preserve">                                          </w:t>
      </w:r>
    </w:p>
    <w:p w14:paraId="1DF4A1BA">
      <w:pPr>
        <w:pageBreakBefore w:val="0"/>
        <w:wordWrap/>
        <w:topLinePunct w:val="0"/>
        <w:bidi w:val="0"/>
        <w:spacing w:line="560" w:lineRule="exact"/>
        <w:rPr>
          <w:rFonts w:asciiTheme="minorEastAsia" w:hAnsiTheme="minorEastAsia" w:eastAsiaTheme="minorEastAsia"/>
          <w:color w:val="000000" w:themeColor="text1"/>
          <w:sz w:val="28"/>
          <w:szCs w:val="28"/>
          <w:highlight w:val="none"/>
          <w:u w:val="dotted"/>
          <w14:textFill>
            <w14:solidFill>
              <w14:schemeClr w14:val="tx1"/>
            </w14:solidFill>
          </w14:textFill>
        </w:rPr>
      </w:pPr>
      <w:r>
        <w:rPr>
          <w:rFonts w:hint="eastAsia" w:asciiTheme="minorEastAsia" w:hAnsiTheme="minorEastAsia" w:eastAsiaTheme="minorEastAsia"/>
          <w:color w:val="000000" w:themeColor="text1"/>
          <w:sz w:val="28"/>
          <w:szCs w:val="28"/>
          <w:highlight w:val="none"/>
          <w:u w:val="dotted"/>
          <w14:textFill>
            <w14:solidFill>
              <w14:schemeClr w14:val="tx1"/>
            </w14:solidFill>
          </w14:textFill>
        </w:rPr>
        <w:t xml:space="preserve">                                                      </w:t>
      </w:r>
    </w:p>
    <w:p w14:paraId="7F5E84D4">
      <w:pPr>
        <w:pageBreakBefore w:val="0"/>
        <w:wordWrap/>
        <w:topLinePunct w:val="0"/>
        <w:bidi w:val="0"/>
        <w:spacing w:line="560" w:lineRule="exact"/>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投诉事项2</w:t>
      </w:r>
    </w:p>
    <w:p w14:paraId="63A31990">
      <w:pPr>
        <w:pageBreakBefore w:val="0"/>
        <w:wordWrap/>
        <w:topLinePunct w:val="0"/>
        <w:bidi w:val="0"/>
        <w:spacing w:line="560" w:lineRule="exact"/>
        <w:rPr>
          <w:rFonts w:asciiTheme="minorEastAsia" w:hAnsiTheme="minorEastAsia" w:eastAsiaTheme="minorEastAsia"/>
          <w:color w:val="000000" w:themeColor="text1"/>
          <w:sz w:val="28"/>
          <w:szCs w:val="28"/>
          <w:highlight w:val="none"/>
          <w:u w:val="dotted"/>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w:t>
      </w:r>
    </w:p>
    <w:p w14:paraId="7D9D523B">
      <w:pPr>
        <w:pageBreakBefore w:val="0"/>
        <w:wordWrap/>
        <w:topLinePunct w:val="0"/>
        <w:bidi w:val="0"/>
        <w:spacing w:line="560" w:lineRule="exact"/>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五、与投诉事项相关的投诉请求</w:t>
      </w:r>
    </w:p>
    <w:p w14:paraId="512EC3B7">
      <w:pPr>
        <w:pageBreakBefore w:val="0"/>
        <w:wordWrap/>
        <w:topLinePunct w:val="0"/>
        <w:bidi w:val="0"/>
        <w:spacing w:line="560" w:lineRule="exact"/>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请求：</w:t>
      </w:r>
      <w:r>
        <w:rPr>
          <w:rFonts w:hint="eastAsia" w:asciiTheme="minorEastAsia" w:hAnsiTheme="minorEastAsia" w:eastAsiaTheme="minorEastAsia"/>
          <w:color w:val="000000" w:themeColor="text1"/>
          <w:sz w:val="28"/>
          <w:szCs w:val="28"/>
          <w:highlight w:val="none"/>
          <w:u w:val="dotted"/>
          <w14:textFill>
            <w14:solidFill>
              <w14:schemeClr w14:val="tx1"/>
            </w14:solidFill>
          </w14:textFill>
        </w:rPr>
        <w:t xml:space="preserve">                                              </w:t>
      </w:r>
      <w:r>
        <w:rPr>
          <w:rFonts w:hint="eastAsia" w:asciiTheme="minorEastAsia" w:hAnsiTheme="minorEastAsia" w:eastAsiaTheme="minorEastAsia"/>
          <w:color w:val="000000" w:themeColor="text1"/>
          <w:sz w:val="28"/>
          <w:szCs w:val="28"/>
          <w:highlight w:val="none"/>
          <w14:textFill>
            <w14:solidFill>
              <w14:schemeClr w14:val="tx1"/>
            </w14:solidFill>
          </w14:textFill>
        </w:rPr>
        <w:t xml:space="preserve"> </w:t>
      </w:r>
    </w:p>
    <w:p w14:paraId="4DF51F95">
      <w:pPr>
        <w:pageBreakBefore w:val="0"/>
        <w:wordWrap/>
        <w:topLinePunct w:val="0"/>
        <w:bidi w:val="0"/>
        <w:spacing w:line="560" w:lineRule="exact"/>
        <w:rPr>
          <w:rFonts w:asciiTheme="minorEastAsia" w:hAnsiTheme="minorEastAsia" w:eastAsiaTheme="minorEastAsia"/>
          <w:color w:val="000000" w:themeColor="text1"/>
          <w:sz w:val="28"/>
          <w:szCs w:val="28"/>
          <w:highlight w:val="none"/>
          <w:u w:val="singl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 xml:space="preserve">                                                                                                    </w:t>
      </w:r>
    </w:p>
    <w:p w14:paraId="4F160651">
      <w:pPr>
        <w:pageBreakBefore w:val="0"/>
        <w:wordWrap/>
        <w:topLinePunct w:val="0"/>
        <w:bidi w:val="0"/>
        <w:spacing w:line="560" w:lineRule="exact"/>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 xml:space="preserve">签字(签章)：                   公章：                      </w:t>
      </w:r>
    </w:p>
    <w:p w14:paraId="7F542349">
      <w:pPr>
        <w:pageBreakBefore w:val="0"/>
        <w:wordWrap/>
        <w:topLinePunct w:val="0"/>
        <w:bidi w:val="0"/>
        <w:spacing w:line="560" w:lineRule="exact"/>
        <w:rPr>
          <w:rFonts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 xml:space="preserve">日期：    </w:t>
      </w:r>
    </w:p>
    <w:p w14:paraId="2ED6406D">
      <w:pPr>
        <w:pageBreakBefore w:val="0"/>
        <w:wordWrap/>
        <w:topLinePunct w:val="0"/>
        <w:bidi w:val="0"/>
        <w:spacing w:line="560" w:lineRule="exact"/>
        <w:rPr>
          <w:rFonts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投诉书制作说明：</w:t>
      </w:r>
    </w:p>
    <w:p w14:paraId="32A4FE0B">
      <w:pPr>
        <w:pageBreakBefore w:val="0"/>
        <w:widowControl/>
        <w:wordWrap/>
        <w:topLinePunct w:val="0"/>
        <w:bidi w:val="0"/>
        <w:spacing w:line="560" w:lineRule="exact"/>
        <w:ind w:firstLine="480" w:firstLineChars="200"/>
        <w:rPr>
          <w:rFonts w:cs="宋体"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1.投诉人提起投诉时，应当提交投诉书和必要的证明材料，并按照被投诉人和与投诉事项有关的供应商数量提供投诉书副本。</w:t>
      </w:r>
    </w:p>
    <w:p w14:paraId="581CB9D2">
      <w:pPr>
        <w:pageBreakBefore w:val="0"/>
        <w:widowControl/>
        <w:wordWrap/>
        <w:topLinePunct w:val="0"/>
        <w:bidi w:val="0"/>
        <w:spacing w:line="560" w:lineRule="exact"/>
        <w:ind w:firstLine="480" w:firstLineChars="200"/>
        <w:jc w:val="left"/>
        <w:rPr>
          <w:rFonts w:cs="宋体"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2.投诉人若委托代理人进行投诉的，投诉书应按照要求列明“授权代表”的有关内容，并在附件中提交由</w:t>
      </w:r>
      <w:r>
        <w:rPr>
          <w:rFonts w:hint="eastAsia" w:cs="宋体" w:asciiTheme="minorEastAsia" w:hAnsiTheme="minorEastAsia" w:eastAsiaTheme="minorEastAsia"/>
          <w:color w:val="000000" w:themeColor="text1"/>
          <w:kern w:val="0"/>
          <w:sz w:val="24"/>
          <w:highlight w:val="none"/>
          <w14:textFill>
            <w14:solidFill>
              <w14:schemeClr w14:val="tx1"/>
            </w14:solidFill>
          </w14:textFill>
        </w:rPr>
        <w:t>投诉人签署的授权委托书。授权委托书应当载明代理人的姓名或者名称、代理事项、具体权限、期限和相关事项。</w:t>
      </w:r>
    </w:p>
    <w:p w14:paraId="3D3F4B8B">
      <w:pPr>
        <w:pageBreakBefore w:val="0"/>
        <w:widowControl/>
        <w:wordWrap/>
        <w:topLinePunct w:val="0"/>
        <w:bidi w:val="0"/>
        <w:spacing w:line="560" w:lineRule="exact"/>
        <w:ind w:firstLine="480" w:firstLineChars="200"/>
        <w:jc w:val="left"/>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3.投诉人若对项目的某一分包进行投诉，投诉书应列明具体分包号。</w:t>
      </w:r>
    </w:p>
    <w:p w14:paraId="5EC652B1">
      <w:pPr>
        <w:pageBreakBefore w:val="0"/>
        <w:widowControl/>
        <w:wordWrap/>
        <w:topLinePunct w:val="0"/>
        <w:bidi w:val="0"/>
        <w:spacing w:line="560" w:lineRule="exact"/>
        <w:ind w:firstLine="480" w:firstLineChars="200"/>
        <w:jc w:val="left"/>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4.投诉书应简要列明质疑事项，质疑函、质疑答复等作为附件材料提供。</w:t>
      </w:r>
    </w:p>
    <w:p w14:paraId="23DEA74F">
      <w:pPr>
        <w:pageBreakBefore w:val="0"/>
        <w:widowControl/>
        <w:wordWrap/>
        <w:topLinePunct w:val="0"/>
        <w:bidi w:val="0"/>
        <w:spacing w:line="560" w:lineRule="exact"/>
        <w:ind w:firstLine="480" w:firstLineChars="200"/>
        <w:jc w:val="left"/>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5.投诉书的投诉事项应具体、明确，并有必要的事实依据和法律依据。</w:t>
      </w:r>
    </w:p>
    <w:p w14:paraId="3C62BA98">
      <w:pPr>
        <w:pageBreakBefore w:val="0"/>
        <w:widowControl/>
        <w:wordWrap/>
        <w:topLinePunct w:val="0"/>
        <w:bidi w:val="0"/>
        <w:spacing w:line="560" w:lineRule="exact"/>
        <w:ind w:firstLine="480" w:firstLineChars="200"/>
        <w:jc w:val="left"/>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6.投诉书的投诉请求应与投诉事项相关。</w:t>
      </w:r>
    </w:p>
    <w:p w14:paraId="2380B683">
      <w:pPr>
        <w:pageBreakBefore w:val="0"/>
        <w:widowControl/>
        <w:wordWrap/>
        <w:topLinePunct w:val="0"/>
        <w:bidi w:val="0"/>
        <w:spacing w:line="560" w:lineRule="exact"/>
        <w:ind w:firstLine="480" w:firstLineChars="200"/>
        <w:jc w:val="left"/>
        <w:rPr>
          <w:rFonts w:cs="宋体"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7.投诉人为自然人的，投诉书应当由本人签字；投诉人为法人或者其他组织的，投诉书应当由法定代表人、主要负责人，或者其授权代表签字或者盖章，并加盖公章。</w:t>
      </w:r>
    </w:p>
    <w:p w14:paraId="539B1258">
      <w:pPr>
        <w:pageBreakBefore w:val="0"/>
        <w:wordWrap/>
        <w:topLinePunct w:val="0"/>
        <w:bidi w:val="0"/>
        <w:snapToGrid w:val="0"/>
        <w:spacing w:before="50" w:after="165" w:afterLines="50" w:line="560" w:lineRule="exact"/>
        <w:ind w:firstLine="480" w:firstLineChars="200"/>
        <w:jc w:val="left"/>
        <w:rPr>
          <w:color w:val="000000" w:themeColor="text1"/>
          <w:sz w:val="24"/>
          <w:highlight w:val="none"/>
          <w14:textFill>
            <w14:solidFill>
              <w14:schemeClr w14:val="tx1"/>
            </w14:solidFill>
          </w14:textFill>
        </w:rPr>
      </w:pPr>
    </w:p>
    <w:p w14:paraId="45931F3E">
      <w:pPr>
        <w:pageBreakBefore w:val="0"/>
        <w:wordWrap/>
        <w:topLinePunct w:val="0"/>
        <w:bidi w:val="0"/>
        <w:spacing w:line="560" w:lineRule="exact"/>
        <w:rPr>
          <w:color w:val="000000" w:themeColor="text1"/>
          <w:highlight w:val="none"/>
          <w14:textFill>
            <w14:solidFill>
              <w14:schemeClr w14:val="tx1"/>
            </w14:solidFill>
          </w14:textFill>
        </w:rPr>
      </w:pPr>
    </w:p>
    <w:p w14:paraId="28EBB95A">
      <w:pPr>
        <w:pageBreakBefore w:val="0"/>
        <w:wordWrap/>
        <w:topLinePunct w:val="0"/>
        <w:bidi w:val="0"/>
        <w:spacing w:line="560" w:lineRule="exact"/>
        <w:rPr>
          <w:color w:val="000000" w:themeColor="text1"/>
          <w:highlight w:val="none"/>
          <w14:textFill>
            <w14:solidFill>
              <w14:schemeClr w14:val="tx1"/>
            </w14:solidFill>
          </w14:textFill>
        </w:rPr>
      </w:pPr>
    </w:p>
    <w:p w14:paraId="0527DBCC">
      <w:pPr>
        <w:pageBreakBefore w:val="0"/>
        <w:wordWrap/>
        <w:topLinePunct w:val="0"/>
        <w:bidi w:val="0"/>
        <w:spacing w:line="560" w:lineRule="exact"/>
        <w:rPr>
          <w:color w:val="000000" w:themeColor="text1"/>
          <w:highlight w:val="none"/>
          <w14:textFill>
            <w14:solidFill>
              <w14:schemeClr w14:val="tx1"/>
            </w14:solidFill>
          </w14:textFill>
        </w:rPr>
        <w:sectPr>
          <w:footerReference r:id="rId25" w:type="first"/>
          <w:headerReference r:id="rId22" w:type="default"/>
          <w:footerReference r:id="rId23" w:type="default"/>
          <w:footerReference r:id="rId24" w:type="even"/>
          <w:pgSz w:w="11906" w:h="16838"/>
          <w:pgMar w:top="1134" w:right="1134" w:bottom="1134" w:left="1134" w:header="720" w:footer="720" w:gutter="0"/>
          <w:pgNumType w:fmt="decimal"/>
          <w:cols w:space="720" w:num="1"/>
          <w:docGrid w:type="lines" w:linePitch="331" w:charSpace="0"/>
        </w:sectPr>
      </w:pPr>
    </w:p>
    <w:p w14:paraId="1DED1B98">
      <w:pPr>
        <w:pageBreakBefore w:val="0"/>
        <w:wordWrap/>
        <w:topLinePunct w:val="0"/>
        <w:bidi w:val="0"/>
        <w:spacing w:before="165" w:beforeLines="50" w:line="560" w:lineRule="exact"/>
        <w:rPr>
          <w:rFonts w:asciiTheme="minorEastAsia" w:hAnsiTheme="minorEastAsia" w:eastAsiaTheme="minorEastAsia"/>
          <w:b/>
          <w:bCs/>
          <w:color w:val="000000" w:themeColor="text1"/>
          <w:sz w:val="36"/>
          <w:szCs w:val="36"/>
          <w:highlight w:val="none"/>
          <w14:textFill>
            <w14:solidFill>
              <w14:schemeClr w14:val="tx1"/>
            </w14:solidFill>
          </w14:textFill>
        </w:rPr>
      </w:pPr>
    </w:p>
    <w:p w14:paraId="66D5C171">
      <w:pPr>
        <w:pageBreakBefore w:val="0"/>
        <w:wordWrap/>
        <w:topLinePunct w:val="0"/>
        <w:bidi w:val="0"/>
        <w:spacing w:before="165" w:beforeLines="50" w:line="560" w:lineRule="exact"/>
        <w:rPr>
          <w:rFonts w:asciiTheme="minorEastAsia" w:hAnsiTheme="minorEastAsia" w:eastAsiaTheme="minorEastAsia"/>
          <w:b/>
          <w:bCs/>
          <w:color w:val="000000" w:themeColor="text1"/>
          <w:sz w:val="36"/>
          <w:szCs w:val="36"/>
          <w:highlight w:val="none"/>
          <w14:textFill>
            <w14:solidFill>
              <w14:schemeClr w14:val="tx1"/>
            </w14:solidFill>
          </w14:textFill>
        </w:rPr>
      </w:pPr>
    </w:p>
    <w:p w14:paraId="237CBBBF">
      <w:pPr>
        <w:pageBreakBefore w:val="0"/>
        <w:wordWrap/>
        <w:topLinePunct w:val="0"/>
        <w:bidi w:val="0"/>
        <w:spacing w:before="165" w:beforeLines="50" w:line="560" w:lineRule="exact"/>
        <w:jc w:val="center"/>
        <w:rPr>
          <w:rFonts w:ascii="仿宋_GB2312" w:hAnsi="宋体" w:eastAsia="仿宋_GB2312"/>
          <w:b/>
          <w:color w:val="000000" w:themeColor="text1"/>
          <w:sz w:val="48"/>
          <w:szCs w:val="48"/>
          <w:highlight w:val="none"/>
          <w14:textFill>
            <w14:solidFill>
              <w14:schemeClr w14:val="tx1"/>
            </w14:solidFill>
          </w14:textFill>
        </w:rPr>
      </w:pPr>
      <w:r>
        <w:rPr>
          <w:rFonts w:hint="eastAsia" w:asciiTheme="minorEastAsia" w:hAnsiTheme="minorEastAsia" w:eastAsiaTheme="minorEastAsia"/>
          <w:b/>
          <w:bCs/>
          <w:color w:val="000000" w:themeColor="text1"/>
          <w:sz w:val="56"/>
          <w:szCs w:val="56"/>
          <w:highlight w:val="none"/>
          <w:lang w:eastAsia="zh-CN"/>
          <w14:textFill>
            <w14:solidFill>
              <w14:schemeClr w14:val="tx1"/>
            </w14:solidFill>
          </w14:textFill>
        </w:rPr>
        <w:t>哈密市中心医院2025年医疗设备购置项目（第一批）（二次）</w:t>
      </w:r>
    </w:p>
    <w:p w14:paraId="20BDA29F">
      <w:pPr>
        <w:pageBreakBefore w:val="0"/>
        <w:wordWrap/>
        <w:topLinePunct w:val="0"/>
        <w:bidi w:val="0"/>
        <w:spacing w:before="165" w:beforeLines="50" w:line="560" w:lineRule="exact"/>
        <w:jc w:val="center"/>
        <w:rPr>
          <w:rFonts w:hint="default" w:asciiTheme="minorEastAsia" w:hAnsiTheme="minorEastAsia" w:eastAsiaTheme="minorEastAsia"/>
          <w:b/>
          <w:bCs/>
          <w:color w:val="000000" w:themeColor="text1"/>
          <w:sz w:val="56"/>
          <w:szCs w:val="56"/>
          <w:highlight w:val="none"/>
          <w:lang w:val="en-US" w:eastAsia="zh-CN"/>
          <w14:textFill>
            <w14:solidFill>
              <w14:schemeClr w14:val="tx1"/>
            </w14:solidFill>
          </w14:textFill>
        </w:rPr>
      </w:pPr>
      <w:r>
        <w:rPr>
          <w:rFonts w:hint="eastAsia" w:asciiTheme="minorEastAsia" w:hAnsiTheme="minorEastAsia" w:eastAsiaTheme="minorEastAsia"/>
          <w:b/>
          <w:bCs/>
          <w:color w:val="000000" w:themeColor="text1"/>
          <w:sz w:val="56"/>
          <w:szCs w:val="56"/>
          <w:highlight w:val="none"/>
          <w:lang w:val="en-US" w:eastAsia="zh-CN"/>
          <w14:textFill>
            <w14:solidFill>
              <w14:schemeClr w14:val="tx1"/>
            </w14:solidFill>
          </w14:textFill>
        </w:rPr>
        <w:t>标项三</w:t>
      </w:r>
    </w:p>
    <w:p w14:paraId="04FC2CE6">
      <w:pPr>
        <w:pageBreakBefore w:val="0"/>
        <w:wordWrap/>
        <w:topLinePunct w:val="0"/>
        <w:bidi w:val="0"/>
        <w:spacing w:before="165" w:beforeLines="50" w:line="560" w:lineRule="exact"/>
        <w:jc w:val="center"/>
        <w:rPr>
          <w:rFonts w:ascii="仿宋_GB2312" w:hAnsi="宋体" w:eastAsia="仿宋_GB2312"/>
          <w:b/>
          <w:color w:val="000000" w:themeColor="text1"/>
          <w:sz w:val="48"/>
          <w:szCs w:val="48"/>
          <w:highlight w:val="none"/>
          <w14:textFill>
            <w14:solidFill>
              <w14:schemeClr w14:val="tx1"/>
            </w14:solidFill>
          </w14:textFill>
        </w:rPr>
      </w:pPr>
    </w:p>
    <w:p w14:paraId="593A26E0">
      <w:pPr>
        <w:pageBreakBefore w:val="0"/>
        <w:wordWrap/>
        <w:topLinePunct w:val="0"/>
        <w:bidi w:val="0"/>
        <w:spacing w:before="165" w:beforeLines="50" w:line="560" w:lineRule="exact"/>
        <w:jc w:val="both"/>
        <w:rPr>
          <w:rFonts w:ascii="仿宋_GB2312" w:hAnsi="宋体" w:eastAsia="仿宋_GB2312"/>
          <w:b/>
          <w:color w:val="000000" w:themeColor="text1"/>
          <w:sz w:val="48"/>
          <w:szCs w:val="48"/>
          <w:highlight w:val="none"/>
          <w14:textFill>
            <w14:solidFill>
              <w14:schemeClr w14:val="tx1"/>
            </w14:solidFill>
          </w14:textFill>
        </w:rPr>
      </w:pPr>
    </w:p>
    <w:p w14:paraId="7162D7A6">
      <w:pPr>
        <w:pageBreakBefore w:val="0"/>
        <w:wordWrap/>
        <w:topLinePunct w:val="0"/>
        <w:bidi w:val="0"/>
        <w:snapToGrid w:val="0"/>
        <w:spacing w:before="165" w:beforeLines="50" w:line="560" w:lineRule="exact"/>
        <w:jc w:val="center"/>
        <w:rPr>
          <w:rFonts w:asciiTheme="minorEastAsia" w:hAnsiTheme="minorEastAsia" w:eastAsiaTheme="minorEastAsia"/>
          <w:color w:val="000000" w:themeColor="text1"/>
          <w:sz w:val="72"/>
          <w:szCs w:val="72"/>
          <w:highlight w:val="none"/>
          <w14:textFill>
            <w14:solidFill>
              <w14:schemeClr w14:val="tx1"/>
            </w14:solidFill>
          </w14:textFill>
        </w:rPr>
      </w:pPr>
      <w:r>
        <w:rPr>
          <w:rFonts w:hint="eastAsia" w:asciiTheme="minorEastAsia" w:hAnsiTheme="minorEastAsia" w:eastAsiaTheme="minorEastAsia"/>
          <w:color w:val="000000" w:themeColor="text1"/>
          <w:sz w:val="72"/>
          <w:szCs w:val="72"/>
          <w:highlight w:val="none"/>
          <w14:textFill>
            <w14:solidFill>
              <w14:schemeClr w14:val="tx1"/>
            </w14:solidFill>
          </w14:textFill>
        </w:rPr>
        <w:t>招 标 文 件</w:t>
      </w:r>
    </w:p>
    <w:p w14:paraId="55381857">
      <w:pPr>
        <w:pageBreakBefore w:val="0"/>
        <w:wordWrap/>
        <w:topLinePunct w:val="0"/>
        <w:bidi w:val="0"/>
        <w:snapToGrid w:val="0"/>
        <w:spacing w:before="165" w:beforeLines="50" w:line="560" w:lineRule="exact"/>
        <w:jc w:val="center"/>
        <w:rPr>
          <w:rFonts w:asciiTheme="minorEastAsia" w:hAnsiTheme="minorEastAsia" w:eastAsiaTheme="minorEastAsia"/>
          <w:color w:val="000000" w:themeColor="text1"/>
          <w:sz w:val="30"/>
          <w:szCs w:val="72"/>
          <w:highlight w:val="none"/>
          <w14:textFill>
            <w14:solidFill>
              <w14:schemeClr w14:val="tx1"/>
            </w14:solidFill>
          </w14:textFill>
        </w:rPr>
      </w:pPr>
      <w:r>
        <w:rPr>
          <w:rFonts w:hint="eastAsia" w:asciiTheme="minorEastAsia" w:hAnsiTheme="minorEastAsia" w:eastAsiaTheme="minorEastAsia"/>
          <w:color w:val="000000" w:themeColor="text1"/>
          <w:sz w:val="30"/>
          <w:szCs w:val="72"/>
          <w:highlight w:val="none"/>
          <w14:textFill>
            <w14:solidFill>
              <w14:schemeClr w14:val="tx1"/>
            </w14:solidFill>
          </w14:textFill>
        </w:rPr>
        <w:t>（全流程电子化评标）</w:t>
      </w:r>
    </w:p>
    <w:p w14:paraId="04E49375">
      <w:pPr>
        <w:pageBreakBefore w:val="0"/>
        <w:wordWrap/>
        <w:topLinePunct w:val="0"/>
        <w:bidi w:val="0"/>
        <w:spacing w:before="165" w:beforeLines="50" w:line="560" w:lineRule="exact"/>
        <w:jc w:val="center"/>
        <w:rPr>
          <w:rFonts w:asciiTheme="minorEastAsia" w:hAnsiTheme="minorEastAsia" w:eastAsiaTheme="minorEastAsia"/>
          <w:color w:val="000000" w:themeColor="text1"/>
          <w:sz w:val="30"/>
          <w:szCs w:val="72"/>
          <w:highlight w:val="none"/>
          <w14:textFill>
            <w14:solidFill>
              <w14:schemeClr w14:val="tx1"/>
            </w14:solidFill>
          </w14:textFill>
        </w:rPr>
      </w:pPr>
      <w:r>
        <w:rPr>
          <w:rFonts w:hint="eastAsia" w:asciiTheme="minorEastAsia" w:hAnsiTheme="minorEastAsia" w:eastAsiaTheme="minorEastAsia"/>
          <w:color w:val="000000" w:themeColor="text1"/>
          <w:sz w:val="30"/>
          <w:szCs w:val="72"/>
          <w:highlight w:val="none"/>
          <w14:textFill>
            <w14:solidFill>
              <w14:schemeClr w14:val="tx1"/>
            </w14:solidFill>
          </w14:textFill>
        </w:rPr>
        <w:t xml:space="preserve">  </w:t>
      </w:r>
    </w:p>
    <w:p w14:paraId="235B5917">
      <w:pPr>
        <w:pageBreakBefore w:val="0"/>
        <w:wordWrap/>
        <w:topLinePunct w:val="0"/>
        <w:bidi w:val="0"/>
        <w:spacing w:before="165" w:beforeLines="50" w:line="560" w:lineRule="exact"/>
        <w:rPr>
          <w:rFonts w:asciiTheme="minorEastAsia" w:hAnsiTheme="minorEastAsia" w:eastAsiaTheme="minorEastAsia"/>
          <w:color w:val="000000" w:themeColor="text1"/>
          <w:sz w:val="30"/>
          <w:szCs w:val="72"/>
          <w:highlight w:val="none"/>
          <w14:textFill>
            <w14:solidFill>
              <w14:schemeClr w14:val="tx1"/>
            </w14:solidFill>
          </w14:textFill>
        </w:rPr>
      </w:pPr>
    </w:p>
    <w:p w14:paraId="695896BE">
      <w:pPr>
        <w:pageBreakBefore w:val="0"/>
        <w:wordWrap/>
        <w:topLinePunct w:val="0"/>
        <w:bidi w:val="0"/>
        <w:spacing w:before="165" w:beforeLines="50" w:line="560" w:lineRule="exact"/>
        <w:rPr>
          <w:rFonts w:asciiTheme="minorEastAsia" w:hAnsiTheme="minorEastAsia" w:eastAsiaTheme="minorEastAsia"/>
          <w:color w:val="000000" w:themeColor="text1"/>
          <w:sz w:val="30"/>
          <w:szCs w:val="72"/>
          <w:highlight w:val="none"/>
          <w14:textFill>
            <w14:solidFill>
              <w14:schemeClr w14:val="tx1"/>
            </w14:solidFill>
          </w14:textFill>
        </w:rPr>
      </w:pPr>
    </w:p>
    <w:p w14:paraId="486962A1">
      <w:pPr>
        <w:pageBreakBefore w:val="0"/>
        <w:wordWrap/>
        <w:topLinePunct w:val="0"/>
        <w:bidi w:val="0"/>
        <w:spacing w:before="165" w:beforeLines="50" w:line="560" w:lineRule="exact"/>
        <w:rPr>
          <w:rFonts w:asciiTheme="minorEastAsia" w:hAnsiTheme="minorEastAsia" w:eastAsiaTheme="minorEastAsia"/>
          <w:color w:val="000000" w:themeColor="text1"/>
          <w:sz w:val="30"/>
          <w:szCs w:val="72"/>
          <w:highlight w:val="none"/>
          <w14:textFill>
            <w14:solidFill>
              <w14:schemeClr w14:val="tx1"/>
            </w14:solidFill>
          </w14:textFill>
        </w:rPr>
      </w:pPr>
    </w:p>
    <w:p w14:paraId="0F29C3AB">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heme="minorEastAsia" w:hAnsiTheme="minorEastAsia" w:eastAsiaTheme="minorEastAsia"/>
          <w:b/>
          <w:bCs/>
          <w:color w:val="000000" w:themeColor="text1"/>
          <w:sz w:val="30"/>
          <w:szCs w:val="30"/>
          <w:highlight w:val="none"/>
          <w:u w:val="single"/>
          <w:lang w:val="en-US" w:eastAsia="zh-CN"/>
          <w14:textFill>
            <w14:solidFill>
              <w14:schemeClr w14:val="tx1"/>
            </w14:solidFill>
          </w14:textFill>
        </w:rPr>
      </w:pPr>
      <w:r>
        <w:rPr>
          <w:rFonts w:hint="eastAsia" w:asciiTheme="minorEastAsia" w:hAnsiTheme="minorEastAsia" w:eastAsiaTheme="minorEastAsia"/>
          <w:b/>
          <w:bCs/>
          <w:color w:val="000000" w:themeColor="text1"/>
          <w:sz w:val="30"/>
          <w:szCs w:val="30"/>
          <w:highlight w:val="none"/>
          <w14:textFill>
            <w14:solidFill>
              <w14:schemeClr w14:val="tx1"/>
            </w14:solidFill>
          </w14:textFill>
        </w:rPr>
        <w:t>项 目 名 称：</w:t>
      </w:r>
      <w:r>
        <w:rPr>
          <w:rFonts w:hint="eastAsia" w:asciiTheme="minorEastAsia" w:hAnsiTheme="minorEastAsia" w:eastAsiaTheme="minorEastAsia"/>
          <w:b/>
          <w:bCs/>
          <w:color w:val="000000" w:themeColor="text1"/>
          <w:sz w:val="30"/>
          <w:szCs w:val="30"/>
          <w:highlight w:val="none"/>
          <w:u w:val="single"/>
          <w:lang w:eastAsia="zh-CN"/>
          <w14:textFill>
            <w14:solidFill>
              <w14:schemeClr w14:val="tx1"/>
            </w14:solidFill>
          </w14:textFill>
        </w:rPr>
        <w:t>哈密市中心医院2025年医疗设备购置项目（第一批）（二次）</w:t>
      </w:r>
    </w:p>
    <w:p w14:paraId="745AA4AC">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heme="minorEastAsia" w:hAnsiTheme="minorEastAsia" w:eastAsiaTheme="minorEastAsia"/>
          <w:b/>
          <w:bCs/>
          <w:color w:val="000000" w:themeColor="text1"/>
          <w:sz w:val="30"/>
          <w:szCs w:val="30"/>
          <w:highlight w:val="none"/>
          <w:lang w:val="en-US" w:eastAsia="zh-CN"/>
          <w14:textFill>
            <w14:solidFill>
              <w14:schemeClr w14:val="tx1"/>
            </w14:solidFill>
          </w14:textFill>
        </w:rPr>
      </w:pPr>
      <w:r>
        <w:rPr>
          <w:rFonts w:hint="eastAsia" w:asciiTheme="minorEastAsia" w:hAnsiTheme="minorEastAsia" w:eastAsiaTheme="minorEastAsia"/>
          <w:b/>
          <w:bCs/>
          <w:color w:val="000000" w:themeColor="text1"/>
          <w:sz w:val="30"/>
          <w:szCs w:val="30"/>
          <w:highlight w:val="none"/>
          <w14:textFill>
            <w14:solidFill>
              <w14:schemeClr w14:val="tx1"/>
            </w14:solidFill>
          </w14:textFill>
        </w:rPr>
        <w:t>项 目 编 号：</w:t>
      </w:r>
      <w:r>
        <w:rPr>
          <w:rFonts w:hint="eastAsia" w:asciiTheme="minorEastAsia" w:hAnsiTheme="minorEastAsia" w:eastAsiaTheme="minorEastAsia"/>
          <w:b/>
          <w:bCs/>
          <w:color w:val="000000" w:themeColor="text1"/>
          <w:sz w:val="30"/>
          <w:szCs w:val="30"/>
          <w:highlight w:val="none"/>
          <w:u w:val="single"/>
          <w:lang w:eastAsia="zh-CN"/>
          <w14:textFill>
            <w14:solidFill>
              <w14:schemeClr w14:val="tx1"/>
            </w14:solidFill>
          </w14:textFill>
        </w:rPr>
        <w:t>XJCY(HM)-2025019</w:t>
      </w:r>
      <w:r>
        <w:rPr>
          <w:rFonts w:hint="eastAsia" w:asciiTheme="minorEastAsia" w:hAnsiTheme="minorEastAsia" w:eastAsiaTheme="minorEastAsia"/>
          <w:b/>
          <w:bCs/>
          <w:color w:val="000000" w:themeColor="text1"/>
          <w:sz w:val="30"/>
          <w:szCs w:val="30"/>
          <w:highlight w:val="none"/>
          <w:u w:val="single"/>
          <w:lang w:val="en-US" w:eastAsia="zh-CN"/>
          <w14:textFill>
            <w14:solidFill>
              <w14:schemeClr w14:val="tx1"/>
            </w14:solidFill>
          </w14:textFill>
        </w:rPr>
        <w:t xml:space="preserve">-01                                      </w:t>
      </w:r>
    </w:p>
    <w:p w14:paraId="3D64D02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b/>
          <w:color w:val="000000" w:themeColor="text1"/>
          <w:sz w:val="30"/>
          <w:szCs w:val="30"/>
          <w:highlight w:val="none"/>
          <w:lang w:eastAsia="zh-CN"/>
          <w14:textFill>
            <w14:solidFill>
              <w14:schemeClr w14:val="tx1"/>
            </w14:solidFill>
          </w14:textFill>
        </w:rPr>
      </w:pPr>
      <w:r>
        <w:rPr>
          <w:rFonts w:hint="eastAsia" w:asciiTheme="minorEastAsia" w:hAnsiTheme="minorEastAsia" w:eastAsiaTheme="minorEastAsia"/>
          <w:b/>
          <w:color w:val="000000" w:themeColor="text1"/>
          <w:sz w:val="30"/>
          <w:szCs w:val="30"/>
          <w:highlight w:val="none"/>
          <w14:textFill>
            <w14:solidFill>
              <w14:schemeClr w14:val="tx1"/>
            </w14:solidFill>
          </w14:textFill>
        </w:rPr>
        <w:t xml:space="preserve">采  购   人： </w:t>
      </w:r>
      <w:r>
        <w:rPr>
          <w:rFonts w:hint="eastAsia" w:asciiTheme="minorEastAsia" w:hAnsiTheme="minorEastAsia" w:eastAsiaTheme="minorEastAsia"/>
          <w:b/>
          <w:color w:val="000000" w:themeColor="text1"/>
          <w:sz w:val="30"/>
          <w:szCs w:val="30"/>
          <w:highlight w:val="none"/>
          <w:u w:val="single"/>
          <w:lang w:eastAsia="zh-CN"/>
          <w14:textFill>
            <w14:solidFill>
              <w14:schemeClr w14:val="tx1"/>
            </w14:solidFill>
          </w14:textFill>
        </w:rPr>
        <w:t xml:space="preserve">哈密市中心医院   </w:t>
      </w:r>
      <w:r>
        <w:rPr>
          <w:rFonts w:hint="eastAsia" w:asciiTheme="minorEastAsia" w:hAnsiTheme="minorEastAsia" w:eastAsiaTheme="minorEastAsia"/>
          <w:b/>
          <w:color w:val="000000" w:themeColor="text1"/>
          <w:sz w:val="30"/>
          <w:szCs w:val="30"/>
          <w:highlight w:val="none"/>
          <w:u w:val="single"/>
          <w:lang w:val="en-US" w:eastAsia="zh-CN"/>
          <w14:textFill>
            <w14:solidFill>
              <w14:schemeClr w14:val="tx1"/>
            </w14:solidFill>
          </w14:textFill>
        </w:rPr>
        <w:t xml:space="preserve">                                      </w:t>
      </w:r>
      <w:r>
        <w:rPr>
          <w:rFonts w:hint="eastAsia" w:asciiTheme="minorEastAsia" w:hAnsiTheme="minorEastAsia" w:eastAsiaTheme="minorEastAsia"/>
          <w:b/>
          <w:color w:val="000000" w:themeColor="text1"/>
          <w:sz w:val="30"/>
          <w:szCs w:val="30"/>
          <w:highlight w:val="none"/>
          <w:u w:val="single"/>
          <w:lang w:eastAsia="zh-CN"/>
          <w14:textFill>
            <w14:solidFill>
              <w14:schemeClr w14:val="tx1"/>
            </w14:solidFill>
          </w14:textFill>
        </w:rPr>
        <w:t xml:space="preserve"> </w:t>
      </w:r>
    </w:p>
    <w:p w14:paraId="7BE46CC7">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heme="minorEastAsia" w:hAnsiTheme="minorEastAsia" w:eastAsiaTheme="minorEastAsia"/>
          <w:b/>
          <w:color w:val="000000" w:themeColor="text1"/>
          <w:sz w:val="32"/>
          <w:szCs w:val="32"/>
          <w:highlight w:val="none"/>
          <w:lang w:val="en-US" w:eastAsia="zh-CN"/>
          <w14:textFill>
            <w14:solidFill>
              <w14:schemeClr w14:val="tx1"/>
            </w14:solidFill>
          </w14:textFill>
        </w:rPr>
      </w:pPr>
      <w:r>
        <w:rPr>
          <w:rFonts w:hint="eastAsia" w:asciiTheme="minorEastAsia" w:hAnsiTheme="minorEastAsia" w:eastAsiaTheme="minorEastAsia"/>
          <w:b/>
          <w:color w:val="000000" w:themeColor="text1"/>
          <w:sz w:val="30"/>
          <w:szCs w:val="30"/>
          <w:highlight w:val="none"/>
          <w14:textFill>
            <w14:solidFill>
              <w14:schemeClr w14:val="tx1"/>
            </w14:solidFill>
          </w14:textFill>
        </w:rPr>
        <w:t>采购代理机构：</w:t>
      </w:r>
      <w:r>
        <w:rPr>
          <w:rFonts w:hint="eastAsia" w:asciiTheme="minorEastAsia" w:hAnsiTheme="minorEastAsia" w:eastAsiaTheme="minorEastAsia"/>
          <w:b/>
          <w:color w:val="000000" w:themeColor="text1"/>
          <w:sz w:val="30"/>
          <w:szCs w:val="30"/>
          <w:highlight w:val="none"/>
          <w:u w:val="single"/>
          <w:lang w:eastAsia="zh-CN"/>
          <w14:textFill>
            <w14:solidFill>
              <w14:schemeClr w14:val="tx1"/>
            </w14:solidFill>
          </w14:textFill>
        </w:rPr>
        <w:t>新疆诚誉工程项目管理有限公司</w:t>
      </w:r>
      <w:r>
        <w:rPr>
          <w:rFonts w:hint="eastAsia" w:asciiTheme="minorEastAsia" w:hAnsiTheme="minorEastAsia" w:eastAsiaTheme="minorEastAsia"/>
          <w:b/>
          <w:color w:val="000000" w:themeColor="text1"/>
          <w:sz w:val="30"/>
          <w:szCs w:val="30"/>
          <w:highlight w:val="none"/>
          <w:u w:val="single"/>
          <w:lang w:val="en-US" w:eastAsia="zh-CN"/>
          <w14:textFill>
            <w14:solidFill>
              <w14:schemeClr w14:val="tx1"/>
            </w14:solidFill>
          </w14:textFill>
        </w:rPr>
        <w:t xml:space="preserve">                       </w:t>
      </w:r>
      <w:r>
        <w:rPr>
          <w:rFonts w:hint="eastAsia" w:asciiTheme="minorEastAsia" w:hAnsiTheme="minorEastAsia" w:eastAsiaTheme="minorEastAsia"/>
          <w:b/>
          <w:color w:val="000000" w:themeColor="text1"/>
          <w:sz w:val="32"/>
          <w:szCs w:val="32"/>
          <w:highlight w:val="none"/>
          <w:u w:val="single"/>
          <w:lang w:val="en-US" w:eastAsia="zh-CN"/>
          <w14:textFill>
            <w14:solidFill>
              <w14:schemeClr w14:val="tx1"/>
            </w14:solidFill>
          </w14:textFill>
        </w:rPr>
        <w:t xml:space="preserve">    </w:t>
      </w:r>
    </w:p>
    <w:p w14:paraId="5B09B63A">
      <w:pPr>
        <w:pStyle w:val="17"/>
        <w:pageBreakBefore w:val="0"/>
        <w:wordWrap/>
        <w:topLinePunct w:val="0"/>
        <w:bidi w:val="0"/>
        <w:spacing w:line="560" w:lineRule="exact"/>
        <w:rPr>
          <w:rFonts w:hint="eastAsia"/>
          <w:color w:val="000000" w:themeColor="text1"/>
          <w:highlight w:val="none"/>
          <w14:textFill>
            <w14:solidFill>
              <w14:schemeClr w14:val="tx1"/>
            </w14:solidFill>
          </w14:textFill>
        </w:rPr>
      </w:pPr>
    </w:p>
    <w:p w14:paraId="504220ED">
      <w:pPr>
        <w:pStyle w:val="17"/>
        <w:pageBreakBefore w:val="0"/>
        <w:wordWrap/>
        <w:topLinePunct w:val="0"/>
        <w:bidi w:val="0"/>
        <w:spacing w:line="560" w:lineRule="exact"/>
        <w:rPr>
          <w:color w:val="000000" w:themeColor="text1"/>
          <w:highlight w:val="none"/>
          <w14:textFill>
            <w14:solidFill>
              <w14:schemeClr w14:val="tx1"/>
            </w14:solidFill>
          </w14:textFill>
        </w:rPr>
      </w:pPr>
      <w:r>
        <w:rPr>
          <w:rFonts w:hint="eastAsia"/>
          <w:color w:val="000000" w:themeColor="text1"/>
          <w:sz w:val="30"/>
          <w:szCs w:val="30"/>
          <w:highlight w:val="none"/>
          <w14:textFill>
            <w14:solidFill>
              <w14:schemeClr w14:val="tx1"/>
            </w14:solidFill>
          </w14:textFill>
        </w:rPr>
        <w:t xml:space="preserve">  202</w:t>
      </w:r>
      <w:r>
        <w:rPr>
          <w:rFonts w:hint="eastAsia"/>
          <w:color w:val="000000" w:themeColor="text1"/>
          <w:sz w:val="30"/>
          <w:szCs w:val="30"/>
          <w:highlight w:val="none"/>
          <w:lang w:val="en-US" w:eastAsia="zh-CN"/>
          <w14:textFill>
            <w14:solidFill>
              <w14:schemeClr w14:val="tx1"/>
            </w14:solidFill>
          </w14:textFill>
        </w:rPr>
        <w:t>5</w:t>
      </w:r>
      <w:r>
        <w:rPr>
          <w:rFonts w:hint="eastAsia"/>
          <w:color w:val="000000" w:themeColor="text1"/>
          <w:sz w:val="30"/>
          <w:szCs w:val="30"/>
          <w:highlight w:val="none"/>
          <w14:textFill>
            <w14:solidFill>
              <w14:schemeClr w14:val="tx1"/>
            </w14:solidFill>
          </w14:textFill>
        </w:rPr>
        <w:t>年</w:t>
      </w:r>
      <w:r>
        <w:rPr>
          <w:rFonts w:hint="eastAsia"/>
          <w:color w:val="000000" w:themeColor="text1"/>
          <w:sz w:val="30"/>
          <w:szCs w:val="30"/>
          <w:highlight w:val="none"/>
          <w:lang w:val="en-US" w:eastAsia="zh-CN"/>
          <w14:textFill>
            <w14:solidFill>
              <w14:schemeClr w14:val="tx1"/>
            </w14:solidFill>
          </w14:textFill>
        </w:rPr>
        <w:t>6</w:t>
      </w:r>
      <w:r>
        <w:rPr>
          <w:rFonts w:hint="eastAsia"/>
          <w:color w:val="000000" w:themeColor="text1"/>
          <w:sz w:val="30"/>
          <w:szCs w:val="30"/>
          <w:highlight w:val="none"/>
          <w14:textFill>
            <w14:solidFill>
              <w14:schemeClr w14:val="tx1"/>
            </w14:solidFill>
          </w14:textFill>
        </w:rPr>
        <w:t xml:space="preserve">月  </w:t>
      </w:r>
      <w:r>
        <w:rPr>
          <w:rFonts w:hint="eastAsia"/>
          <w:color w:val="000000" w:themeColor="text1"/>
          <w:highlight w:val="none"/>
          <w14:textFill>
            <w14:solidFill>
              <w14:schemeClr w14:val="tx1"/>
            </w14:solidFill>
          </w14:textFill>
        </w:rPr>
        <w:t xml:space="preserve"> </w:t>
      </w:r>
    </w:p>
    <w:p w14:paraId="076A948E">
      <w:pPr>
        <w:pStyle w:val="17"/>
        <w:pageBreakBefore w:val="0"/>
        <w:wordWrap/>
        <w:topLinePunct w:val="0"/>
        <w:bidi w:val="0"/>
        <w:spacing w:line="560" w:lineRule="exact"/>
        <w:rPr>
          <w:rFonts w:hint="eastAsia"/>
          <w:color w:val="000000" w:themeColor="text1"/>
          <w:highlight w:val="none"/>
          <w14:textFill>
            <w14:solidFill>
              <w14:schemeClr w14:val="tx1"/>
            </w14:solidFill>
          </w14:textFill>
        </w:rPr>
        <w:sectPr>
          <w:headerReference r:id="rId26" w:type="default"/>
          <w:pgSz w:w="11906" w:h="16838"/>
          <w:pgMar w:top="1134" w:right="1134" w:bottom="1134" w:left="1134" w:header="720" w:footer="720" w:gutter="0"/>
          <w:pgNumType w:start="1"/>
          <w:cols w:space="720" w:num="1"/>
          <w:docGrid w:type="lines" w:linePitch="331" w:charSpace="0"/>
        </w:sectPr>
      </w:pPr>
    </w:p>
    <w:p w14:paraId="17F46BFE">
      <w:pPr>
        <w:pStyle w:val="17"/>
        <w:pageBreakBefore w:val="0"/>
        <w:wordWrap/>
        <w:topLinePunct w:val="0"/>
        <w:bidi w:val="0"/>
        <w:spacing w:line="560" w:lineRule="exact"/>
        <w:rPr>
          <w:rFonts w:hint="eastAsia"/>
          <w:color w:val="000000" w:themeColor="text1"/>
          <w:sz w:val="36"/>
          <w:szCs w:val="36"/>
          <w:highlight w:val="none"/>
          <w14:textFill>
            <w14:solidFill>
              <w14:schemeClr w14:val="tx1"/>
            </w14:solidFill>
          </w14:textFill>
        </w:rPr>
      </w:pPr>
    </w:p>
    <w:p w14:paraId="4C0CB2DE">
      <w:pPr>
        <w:pStyle w:val="17"/>
        <w:pageBreakBefore w:val="0"/>
        <w:wordWrap/>
        <w:topLinePunct w:val="0"/>
        <w:bidi w:val="0"/>
        <w:spacing w:line="560" w:lineRule="exact"/>
        <w:rPr>
          <w:color w:val="000000" w:themeColor="text1"/>
          <w:sz w:val="36"/>
          <w:szCs w:val="36"/>
          <w:highlight w:val="none"/>
          <w14:textFill>
            <w14:solidFill>
              <w14:schemeClr w14:val="tx1"/>
            </w14:solidFill>
          </w14:textFill>
        </w:rPr>
      </w:pPr>
      <w:r>
        <w:rPr>
          <w:rFonts w:hint="eastAsia"/>
          <w:color w:val="000000" w:themeColor="text1"/>
          <w:sz w:val="36"/>
          <w:szCs w:val="36"/>
          <w:highlight w:val="none"/>
          <w14:textFill>
            <w14:solidFill>
              <w14:schemeClr w14:val="tx1"/>
            </w14:solidFill>
          </w14:textFill>
        </w:rPr>
        <w:t>目</w:t>
      </w:r>
      <w:r>
        <w:rPr>
          <w:color w:val="000000" w:themeColor="text1"/>
          <w:sz w:val="36"/>
          <w:szCs w:val="36"/>
          <w:highlight w:val="none"/>
          <w14:textFill>
            <w14:solidFill>
              <w14:schemeClr w14:val="tx1"/>
            </w14:solidFill>
          </w14:textFill>
        </w:rPr>
        <w:t xml:space="preserve">     </w:t>
      </w:r>
      <w:r>
        <w:rPr>
          <w:rFonts w:hint="eastAsia"/>
          <w:color w:val="000000" w:themeColor="text1"/>
          <w:sz w:val="36"/>
          <w:szCs w:val="36"/>
          <w:highlight w:val="none"/>
          <w14:textFill>
            <w14:solidFill>
              <w14:schemeClr w14:val="tx1"/>
            </w14:solidFill>
          </w14:textFill>
        </w:rPr>
        <w:t>录</w:t>
      </w:r>
    </w:p>
    <w:p w14:paraId="6B2FB582">
      <w:pPr>
        <w:pStyle w:val="24"/>
        <w:keepNext w:val="0"/>
        <w:keepLines w:val="0"/>
        <w:pageBreakBefore w:val="0"/>
        <w:widowControl w:val="0"/>
        <w:tabs>
          <w:tab w:val="right" w:leader="dot" w:pos="9638"/>
        </w:tabs>
        <w:kinsoku/>
        <w:wordWrap/>
        <w:overflowPunct/>
        <w:topLinePunct w:val="0"/>
        <w:autoSpaceDE/>
        <w:autoSpaceDN/>
        <w:bidi w:val="0"/>
        <w:adjustRightInd/>
        <w:snapToGrid/>
        <w:spacing w:before="0" w:after="0" w:line="560" w:lineRule="exact"/>
        <w:textAlignment w:val="auto"/>
        <w:rPr>
          <w:rFonts w:hint="eastAsia" w:ascii="宋体" w:hAnsi="宋体" w:eastAsia="宋体" w:cs="宋体"/>
          <w:b w:val="0"/>
          <w:bCs w:val="0"/>
          <w:color w:val="000000" w:themeColor="text1"/>
          <w:sz w:val="28"/>
          <w:szCs w:val="28"/>
          <w:highlight w:val="none"/>
          <w14:textFill>
            <w14:solidFill>
              <w14:schemeClr w14:val="tx1"/>
            </w14:solidFill>
          </w14:textFill>
        </w:rPr>
      </w:pPr>
      <w:r>
        <w:rPr>
          <w:rFonts w:hint="eastAsia" w:ascii="宋体" w:hAnsi="宋体" w:eastAsia="宋体" w:cs="宋体"/>
          <w:b w:val="0"/>
          <w:bCs w:val="0"/>
          <w:caps w:val="0"/>
          <w:color w:val="000000" w:themeColor="text1"/>
          <w:sz w:val="28"/>
          <w:szCs w:val="28"/>
          <w:highlight w:val="none"/>
          <w:u w:val="none"/>
          <w14:textFill>
            <w14:solidFill>
              <w14:schemeClr w14:val="tx1"/>
            </w14:solidFill>
          </w14:textFill>
        </w:rPr>
        <w:fldChar w:fldCharType="begin"/>
      </w:r>
      <w:r>
        <w:rPr>
          <w:rFonts w:hint="eastAsia" w:ascii="宋体" w:hAnsi="宋体" w:eastAsia="宋体" w:cs="宋体"/>
          <w:b w:val="0"/>
          <w:bCs w:val="0"/>
          <w:caps w:val="0"/>
          <w:color w:val="000000" w:themeColor="text1"/>
          <w:sz w:val="28"/>
          <w:szCs w:val="28"/>
          <w:highlight w:val="none"/>
          <w:u w:val="none"/>
          <w14:textFill>
            <w14:solidFill>
              <w14:schemeClr w14:val="tx1"/>
            </w14:solidFill>
          </w14:textFill>
        </w:rPr>
        <w:instrText xml:space="preserve"> TOC \o "1-3" \h \z \u </w:instrText>
      </w:r>
      <w:r>
        <w:rPr>
          <w:rFonts w:hint="eastAsia" w:ascii="宋体" w:hAnsi="宋体" w:eastAsia="宋体" w:cs="宋体"/>
          <w:b w:val="0"/>
          <w:bCs w:val="0"/>
          <w:caps w:val="0"/>
          <w:color w:val="000000" w:themeColor="text1"/>
          <w:sz w:val="28"/>
          <w:szCs w:val="28"/>
          <w:highlight w:val="none"/>
          <w:u w:val="none"/>
          <w14:textFill>
            <w14:solidFill>
              <w14:schemeClr w14:val="tx1"/>
            </w14:solidFill>
          </w14:textFill>
        </w:rPr>
        <w:fldChar w:fldCharType="separate"/>
      </w:r>
      <w:r>
        <w:rPr>
          <w:rFonts w:hint="eastAsia" w:ascii="宋体" w:hAnsi="宋体" w:eastAsia="宋体" w:cs="宋体"/>
          <w:b w:val="0"/>
          <w:bCs w:val="0"/>
          <w:caps w:val="0"/>
          <w:color w:val="000000" w:themeColor="text1"/>
          <w:sz w:val="28"/>
          <w:szCs w:val="28"/>
          <w:highlight w:val="none"/>
          <w:u w:val="none"/>
          <w14:textFill>
            <w14:solidFill>
              <w14:schemeClr w14:val="tx1"/>
            </w14:solidFill>
          </w14:textFill>
        </w:rPr>
        <w:fldChar w:fldCharType="begin"/>
      </w:r>
      <w:r>
        <w:rPr>
          <w:rFonts w:hint="eastAsia" w:ascii="宋体" w:hAnsi="宋体" w:eastAsia="宋体" w:cs="宋体"/>
          <w:b w:val="0"/>
          <w:bCs w:val="0"/>
          <w:caps w:val="0"/>
          <w:color w:val="000000" w:themeColor="text1"/>
          <w:sz w:val="28"/>
          <w:szCs w:val="28"/>
          <w:highlight w:val="none"/>
          <w14:textFill>
            <w14:solidFill>
              <w14:schemeClr w14:val="tx1"/>
            </w14:solidFill>
          </w14:textFill>
        </w:rPr>
        <w:instrText xml:space="preserve"> HYPERLINK \l _Toc17893 </w:instrText>
      </w:r>
      <w:r>
        <w:rPr>
          <w:rFonts w:hint="eastAsia" w:ascii="宋体" w:hAnsi="宋体" w:eastAsia="宋体" w:cs="宋体"/>
          <w:b w:val="0"/>
          <w:bCs w:val="0"/>
          <w:caps w:val="0"/>
          <w:color w:val="000000" w:themeColor="text1"/>
          <w:sz w:val="28"/>
          <w:szCs w:val="28"/>
          <w:highlight w:val="none"/>
          <w14:textFill>
            <w14:solidFill>
              <w14:schemeClr w14:val="tx1"/>
            </w14:solidFill>
          </w14:textFill>
        </w:rPr>
        <w:fldChar w:fldCharType="separate"/>
      </w:r>
      <w:r>
        <w:rPr>
          <w:rFonts w:hint="eastAsia" w:ascii="宋体" w:hAnsi="宋体" w:eastAsia="宋体" w:cs="宋体"/>
          <w:b w:val="0"/>
          <w:bCs w:val="0"/>
          <w:color w:val="000000" w:themeColor="text1"/>
          <w:sz w:val="28"/>
          <w:szCs w:val="28"/>
          <w:highlight w:val="none"/>
          <w14:textFill>
            <w14:solidFill>
              <w14:schemeClr w14:val="tx1"/>
            </w14:solidFill>
          </w14:textFill>
        </w:rPr>
        <w:t>第一章  招标公告</w:t>
      </w:r>
      <w:r>
        <w:rPr>
          <w:rFonts w:hint="eastAsia" w:ascii="宋体" w:hAnsi="宋体" w:eastAsia="宋体" w:cs="宋体"/>
          <w:b w:val="0"/>
          <w:bCs w:val="0"/>
          <w:color w:val="000000" w:themeColor="text1"/>
          <w:sz w:val="28"/>
          <w:szCs w:val="28"/>
          <w:highlight w:val="none"/>
          <w14:textFill>
            <w14:solidFill>
              <w14:schemeClr w14:val="tx1"/>
            </w14:solidFill>
          </w14:textFill>
        </w:rPr>
        <w:tab/>
      </w:r>
      <w:r>
        <w:rPr>
          <w:rFonts w:hint="eastAsia" w:ascii="宋体" w:hAnsi="宋体" w:eastAsia="宋体" w:cs="宋体"/>
          <w:b w:val="0"/>
          <w:bCs w:val="0"/>
          <w:color w:val="000000" w:themeColor="text1"/>
          <w:sz w:val="28"/>
          <w:szCs w:val="28"/>
          <w:highlight w:val="none"/>
          <w14:textFill>
            <w14:solidFill>
              <w14:schemeClr w14:val="tx1"/>
            </w14:solidFill>
          </w14:textFill>
        </w:rPr>
        <w:fldChar w:fldCharType="begin"/>
      </w:r>
      <w:r>
        <w:rPr>
          <w:rFonts w:hint="eastAsia" w:ascii="宋体" w:hAnsi="宋体" w:eastAsia="宋体" w:cs="宋体"/>
          <w:b w:val="0"/>
          <w:bCs w:val="0"/>
          <w:color w:val="000000" w:themeColor="text1"/>
          <w:sz w:val="28"/>
          <w:szCs w:val="28"/>
          <w:highlight w:val="none"/>
          <w14:textFill>
            <w14:solidFill>
              <w14:schemeClr w14:val="tx1"/>
            </w14:solidFill>
          </w14:textFill>
        </w:rPr>
        <w:instrText xml:space="preserve"> PAGEREF _Toc17893 \h </w:instrText>
      </w:r>
      <w:r>
        <w:rPr>
          <w:rFonts w:hint="eastAsia" w:ascii="宋体" w:hAnsi="宋体" w:eastAsia="宋体" w:cs="宋体"/>
          <w:b w:val="0"/>
          <w:bCs w:val="0"/>
          <w:color w:val="000000" w:themeColor="text1"/>
          <w:sz w:val="28"/>
          <w:szCs w:val="28"/>
          <w:highlight w:val="none"/>
          <w14:textFill>
            <w14:solidFill>
              <w14:schemeClr w14:val="tx1"/>
            </w14:solidFill>
          </w14:textFill>
        </w:rPr>
        <w:fldChar w:fldCharType="separate"/>
      </w:r>
      <w:r>
        <w:rPr>
          <w:rFonts w:hint="eastAsia" w:ascii="宋体" w:hAnsi="宋体" w:eastAsia="宋体" w:cs="宋体"/>
          <w:b w:val="0"/>
          <w:bCs w:val="0"/>
          <w:color w:val="000000" w:themeColor="text1"/>
          <w:sz w:val="28"/>
          <w:szCs w:val="28"/>
          <w:highlight w:val="none"/>
          <w14:textFill>
            <w14:solidFill>
              <w14:schemeClr w14:val="tx1"/>
            </w14:solidFill>
          </w14:textFill>
        </w:rPr>
        <w:t>2</w:t>
      </w:r>
      <w:r>
        <w:rPr>
          <w:rFonts w:hint="eastAsia" w:ascii="宋体" w:hAnsi="宋体" w:eastAsia="宋体" w:cs="宋体"/>
          <w:b w:val="0"/>
          <w:bCs w:val="0"/>
          <w:color w:val="000000" w:themeColor="text1"/>
          <w:sz w:val="28"/>
          <w:szCs w:val="28"/>
          <w:highlight w:val="none"/>
          <w14:textFill>
            <w14:solidFill>
              <w14:schemeClr w14:val="tx1"/>
            </w14:solidFill>
          </w14:textFill>
        </w:rPr>
        <w:fldChar w:fldCharType="end"/>
      </w:r>
      <w:r>
        <w:rPr>
          <w:rFonts w:hint="eastAsia" w:ascii="宋体" w:hAnsi="宋体" w:eastAsia="宋体" w:cs="宋体"/>
          <w:b w:val="0"/>
          <w:bCs w:val="0"/>
          <w:caps w:val="0"/>
          <w:color w:val="000000" w:themeColor="text1"/>
          <w:sz w:val="28"/>
          <w:szCs w:val="28"/>
          <w:highlight w:val="none"/>
          <w:u w:val="none"/>
          <w14:textFill>
            <w14:solidFill>
              <w14:schemeClr w14:val="tx1"/>
            </w14:solidFill>
          </w14:textFill>
        </w:rPr>
        <w:fldChar w:fldCharType="end"/>
      </w:r>
    </w:p>
    <w:p w14:paraId="617BAF3A">
      <w:pPr>
        <w:pStyle w:val="24"/>
        <w:keepNext w:val="0"/>
        <w:keepLines w:val="0"/>
        <w:pageBreakBefore w:val="0"/>
        <w:widowControl w:val="0"/>
        <w:tabs>
          <w:tab w:val="right" w:leader="dot" w:pos="9638"/>
        </w:tabs>
        <w:kinsoku/>
        <w:wordWrap/>
        <w:overflowPunct/>
        <w:topLinePunct w:val="0"/>
        <w:autoSpaceDE/>
        <w:autoSpaceDN/>
        <w:bidi w:val="0"/>
        <w:adjustRightInd/>
        <w:snapToGrid/>
        <w:spacing w:before="0" w:after="0" w:line="560" w:lineRule="exact"/>
        <w:textAlignment w:val="auto"/>
        <w:rPr>
          <w:rFonts w:hint="eastAsia" w:ascii="宋体" w:hAnsi="宋体" w:eastAsia="宋体" w:cs="宋体"/>
          <w:b w:val="0"/>
          <w:bCs w:val="0"/>
          <w:color w:val="000000" w:themeColor="text1"/>
          <w:sz w:val="28"/>
          <w:szCs w:val="28"/>
          <w:highlight w:val="none"/>
          <w14:textFill>
            <w14:solidFill>
              <w14:schemeClr w14:val="tx1"/>
            </w14:solidFill>
          </w14:textFill>
        </w:rPr>
      </w:pPr>
      <w:r>
        <w:rPr>
          <w:rFonts w:hint="eastAsia" w:ascii="宋体" w:hAnsi="宋体" w:eastAsia="宋体" w:cs="宋体"/>
          <w:b w:val="0"/>
          <w:bCs w:val="0"/>
          <w:caps/>
          <w:color w:val="000000" w:themeColor="text1"/>
          <w:sz w:val="28"/>
          <w:szCs w:val="28"/>
          <w:highlight w:val="none"/>
          <w14:textFill>
            <w14:solidFill>
              <w14:schemeClr w14:val="tx1"/>
            </w14:solidFill>
          </w14:textFill>
        </w:rPr>
        <w:fldChar w:fldCharType="begin"/>
      </w:r>
      <w:r>
        <w:rPr>
          <w:rFonts w:hint="eastAsia" w:ascii="宋体" w:hAnsi="宋体" w:eastAsia="宋体" w:cs="宋体"/>
          <w:b w:val="0"/>
          <w:bCs w:val="0"/>
          <w:caps/>
          <w:color w:val="000000" w:themeColor="text1"/>
          <w:sz w:val="28"/>
          <w:szCs w:val="28"/>
          <w:highlight w:val="none"/>
          <w14:textFill>
            <w14:solidFill>
              <w14:schemeClr w14:val="tx1"/>
            </w14:solidFill>
          </w14:textFill>
        </w:rPr>
        <w:instrText xml:space="preserve"> HYPERLINK \l _Toc4957 </w:instrText>
      </w:r>
      <w:r>
        <w:rPr>
          <w:rFonts w:hint="eastAsia" w:ascii="宋体" w:hAnsi="宋体" w:eastAsia="宋体" w:cs="宋体"/>
          <w:b w:val="0"/>
          <w:bCs w:val="0"/>
          <w:caps/>
          <w:color w:val="000000" w:themeColor="text1"/>
          <w:sz w:val="28"/>
          <w:szCs w:val="28"/>
          <w:highlight w:val="none"/>
          <w14:textFill>
            <w14:solidFill>
              <w14:schemeClr w14:val="tx1"/>
            </w14:solidFill>
          </w14:textFill>
        </w:rPr>
        <w:fldChar w:fldCharType="separate"/>
      </w:r>
      <w:r>
        <w:rPr>
          <w:rFonts w:hint="eastAsia" w:ascii="宋体" w:hAnsi="宋体" w:eastAsia="宋体" w:cs="宋体"/>
          <w:b w:val="0"/>
          <w:bCs w:val="0"/>
          <w:color w:val="000000" w:themeColor="text1"/>
          <w:sz w:val="28"/>
          <w:szCs w:val="28"/>
          <w:highlight w:val="none"/>
          <w14:textFill>
            <w14:solidFill>
              <w14:schemeClr w14:val="tx1"/>
            </w14:solidFill>
          </w14:textFill>
        </w:rPr>
        <w:t xml:space="preserve">第二章  </w:t>
      </w:r>
      <w:r>
        <w:rPr>
          <w:rFonts w:hint="eastAsia" w:ascii="宋体" w:hAnsi="宋体" w:eastAsia="宋体" w:cs="宋体"/>
          <w:b w:val="0"/>
          <w:bCs w:val="0"/>
          <w:color w:val="000000" w:themeColor="text1"/>
          <w:sz w:val="28"/>
          <w:szCs w:val="28"/>
          <w:highlight w:val="none"/>
          <w:lang w:eastAsia="zh-CN"/>
          <w14:textFill>
            <w14:solidFill>
              <w14:schemeClr w14:val="tx1"/>
            </w14:solidFill>
          </w14:textFill>
        </w:rPr>
        <w:t>供应商</w:t>
      </w:r>
      <w:r>
        <w:rPr>
          <w:rFonts w:hint="eastAsia" w:ascii="宋体" w:hAnsi="宋体" w:eastAsia="宋体" w:cs="宋体"/>
          <w:b w:val="0"/>
          <w:bCs w:val="0"/>
          <w:color w:val="000000" w:themeColor="text1"/>
          <w:sz w:val="28"/>
          <w:szCs w:val="28"/>
          <w:highlight w:val="none"/>
          <w14:textFill>
            <w14:solidFill>
              <w14:schemeClr w14:val="tx1"/>
            </w14:solidFill>
          </w14:textFill>
        </w:rPr>
        <w:t>须知表</w:t>
      </w:r>
      <w:r>
        <w:rPr>
          <w:rFonts w:hint="eastAsia" w:ascii="宋体" w:hAnsi="宋体" w:eastAsia="宋体" w:cs="宋体"/>
          <w:b w:val="0"/>
          <w:bCs w:val="0"/>
          <w:color w:val="000000" w:themeColor="text1"/>
          <w:sz w:val="28"/>
          <w:szCs w:val="28"/>
          <w:highlight w:val="none"/>
          <w14:textFill>
            <w14:solidFill>
              <w14:schemeClr w14:val="tx1"/>
            </w14:solidFill>
          </w14:textFill>
        </w:rPr>
        <w:tab/>
      </w:r>
      <w:r>
        <w:rPr>
          <w:rFonts w:hint="eastAsia" w:ascii="宋体" w:hAnsi="宋体" w:eastAsia="宋体" w:cs="宋体"/>
          <w:b w:val="0"/>
          <w:bCs w:val="0"/>
          <w:color w:val="000000" w:themeColor="text1"/>
          <w:sz w:val="28"/>
          <w:szCs w:val="28"/>
          <w:highlight w:val="none"/>
          <w14:textFill>
            <w14:solidFill>
              <w14:schemeClr w14:val="tx1"/>
            </w14:solidFill>
          </w14:textFill>
        </w:rPr>
        <w:fldChar w:fldCharType="begin"/>
      </w:r>
      <w:r>
        <w:rPr>
          <w:rFonts w:hint="eastAsia" w:ascii="宋体" w:hAnsi="宋体" w:eastAsia="宋体" w:cs="宋体"/>
          <w:b w:val="0"/>
          <w:bCs w:val="0"/>
          <w:color w:val="000000" w:themeColor="text1"/>
          <w:sz w:val="28"/>
          <w:szCs w:val="28"/>
          <w:highlight w:val="none"/>
          <w14:textFill>
            <w14:solidFill>
              <w14:schemeClr w14:val="tx1"/>
            </w14:solidFill>
          </w14:textFill>
        </w:rPr>
        <w:instrText xml:space="preserve"> PAGEREF _Toc4957 \h </w:instrText>
      </w:r>
      <w:r>
        <w:rPr>
          <w:rFonts w:hint="eastAsia" w:ascii="宋体" w:hAnsi="宋体" w:eastAsia="宋体" w:cs="宋体"/>
          <w:b w:val="0"/>
          <w:bCs w:val="0"/>
          <w:color w:val="000000" w:themeColor="text1"/>
          <w:sz w:val="28"/>
          <w:szCs w:val="28"/>
          <w:highlight w:val="none"/>
          <w14:textFill>
            <w14:solidFill>
              <w14:schemeClr w14:val="tx1"/>
            </w14:solidFill>
          </w14:textFill>
        </w:rPr>
        <w:fldChar w:fldCharType="separate"/>
      </w:r>
      <w:r>
        <w:rPr>
          <w:rFonts w:hint="eastAsia" w:ascii="宋体" w:hAnsi="宋体" w:eastAsia="宋体" w:cs="宋体"/>
          <w:b w:val="0"/>
          <w:bCs w:val="0"/>
          <w:color w:val="000000" w:themeColor="text1"/>
          <w:sz w:val="28"/>
          <w:szCs w:val="28"/>
          <w:highlight w:val="none"/>
          <w14:textFill>
            <w14:solidFill>
              <w14:schemeClr w14:val="tx1"/>
            </w14:solidFill>
          </w14:textFill>
        </w:rPr>
        <w:t>7</w:t>
      </w:r>
      <w:r>
        <w:rPr>
          <w:rFonts w:hint="eastAsia" w:ascii="宋体" w:hAnsi="宋体" w:eastAsia="宋体" w:cs="宋体"/>
          <w:b w:val="0"/>
          <w:bCs w:val="0"/>
          <w:color w:val="000000" w:themeColor="text1"/>
          <w:sz w:val="28"/>
          <w:szCs w:val="28"/>
          <w:highlight w:val="none"/>
          <w14:textFill>
            <w14:solidFill>
              <w14:schemeClr w14:val="tx1"/>
            </w14:solidFill>
          </w14:textFill>
        </w:rPr>
        <w:fldChar w:fldCharType="end"/>
      </w:r>
      <w:r>
        <w:rPr>
          <w:rFonts w:hint="eastAsia" w:ascii="宋体" w:hAnsi="宋体" w:eastAsia="宋体" w:cs="宋体"/>
          <w:b w:val="0"/>
          <w:bCs w:val="0"/>
          <w:caps/>
          <w:color w:val="000000" w:themeColor="text1"/>
          <w:sz w:val="28"/>
          <w:szCs w:val="28"/>
          <w:highlight w:val="none"/>
          <w14:textFill>
            <w14:solidFill>
              <w14:schemeClr w14:val="tx1"/>
            </w14:solidFill>
          </w14:textFill>
        </w:rPr>
        <w:fldChar w:fldCharType="end"/>
      </w:r>
    </w:p>
    <w:p w14:paraId="18952F70">
      <w:pPr>
        <w:pStyle w:val="24"/>
        <w:keepNext w:val="0"/>
        <w:keepLines w:val="0"/>
        <w:pageBreakBefore w:val="0"/>
        <w:widowControl w:val="0"/>
        <w:tabs>
          <w:tab w:val="right" w:leader="dot" w:pos="9638"/>
        </w:tabs>
        <w:kinsoku/>
        <w:wordWrap/>
        <w:overflowPunct/>
        <w:topLinePunct w:val="0"/>
        <w:autoSpaceDE/>
        <w:autoSpaceDN/>
        <w:bidi w:val="0"/>
        <w:adjustRightInd/>
        <w:snapToGrid/>
        <w:spacing w:before="0" w:after="0" w:line="560" w:lineRule="exact"/>
        <w:textAlignment w:val="auto"/>
        <w:rPr>
          <w:rFonts w:hint="eastAsia" w:ascii="宋体" w:hAnsi="宋体" w:eastAsia="宋体" w:cs="宋体"/>
          <w:b w:val="0"/>
          <w:bCs w:val="0"/>
          <w:color w:val="000000" w:themeColor="text1"/>
          <w:sz w:val="28"/>
          <w:szCs w:val="28"/>
          <w:highlight w:val="none"/>
          <w14:textFill>
            <w14:solidFill>
              <w14:schemeClr w14:val="tx1"/>
            </w14:solidFill>
          </w14:textFill>
        </w:rPr>
      </w:pPr>
      <w:r>
        <w:rPr>
          <w:rFonts w:hint="eastAsia" w:ascii="宋体" w:hAnsi="宋体" w:eastAsia="宋体" w:cs="宋体"/>
          <w:b w:val="0"/>
          <w:bCs w:val="0"/>
          <w:caps/>
          <w:color w:val="000000" w:themeColor="text1"/>
          <w:sz w:val="28"/>
          <w:szCs w:val="28"/>
          <w:highlight w:val="none"/>
          <w14:textFill>
            <w14:solidFill>
              <w14:schemeClr w14:val="tx1"/>
            </w14:solidFill>
          </w14:textFill>
        </w:rPr>
        <w:fldChar w:fldCharType="begin"/>
      </w:r>
      <w:r>
        <w:rPr>
          <w:rFonts w:hint="eastAsia" w:ascii="宋体" w:hAnsi="宋体" w:eastAsia="宋体" w:cs="宋体"/>
          <w:b w:val="0"/>
          <w:bCs w:val="0"/>
          <w:caps/>
          <w:color w:val="000000" w:themeColor="text1"/>
          <w:sz w:val="28"/>
          <w:szCs w:val="28"/>
          <w:highlight w:val="none"/>
          <w14:textFill>
            <w14:solidFill>
              <w14:schemeClr w14:val="tx1"/>
            </w14:solidFill>
          </w14:textFill>
        </w:rPr>
        <w:instrText xml:space="preserve"> HYPERLINK \l _Toc24808 </w:instrText>
      </w:r>
      <w:r>
        <w:rPr>
          <w:rFonts w:hint="eastAsia" w:ascii="宋体" w:hAnsi="宋体" w:eastAsia="宋体" w:cs="宋体"/>
          <w:b w:val="0"/>
          <w:bCs w:val="0"/>
          <w:caps/>
          <w:color w:val="000000" w:themeColor="text1"/>
          <w:sz w:val="28"/>
          <w:szCs w:val="28"/>
          <w:highlight w:val="none"/>
          <w14:textFill>
            <w14:solidFill>
              <w14:schemeClr w14:val="tx1"/>
            </w14:solidFill>
          </w14:textFill>
        </w:rPr>
        <w:fldChar w:fldCharType="separate"/>
      </w:r>
      <w:r>
        <w:rPr>
          <w:rFonts w:hint="eastAsia" w:ascii="宋体" w:hAnsi="宋体" w:eastAsia="宋体" w:cs="宋体"/>
          <w:b w:val="0"/>
          <w:bCs w:val="0"/>
          <w:color w:val="000000" w:themeColor="text1"/>
          <w:sz w:val="28"/>
          <w:szCs w:val="28"/>
          <w:highlight w:val="none"/>
          <w14:textFill>
            <w14:solidFill>
              <w14:schemeClr w14:val="tx1"/>
            </w14:solidFill>
          </w14:textFill>
        </w:rPr>
        <w:t>第三章  采购需求</w:t>
      </w:r>
      <w:r>
        <w:rPr>
          <w:rFonts w:hint="eastAsia" w:ascii="宋体" w:hAnsi="宋体" w:eastAsia="宋体" w:cs="宋体"/>
          <w:b w:val="0"/>
          <w:bCs w:val="0"/>
          <w:color w:val="000000" w:themeColor="text1"/>
          <w:sz w:val="28"/>
          <w:szCs w:val="28"/>
          <w:highlight w:val="none"/>
          <w14:textFill>
            <w14:solidFill>
              <w14:schemeClr w14:val="tx1"/>
            </w14:solidFill>
          </w14:textFill>
        </w:rPr>
        <w:tab/>
      </w:r>
      <w:r>
        <w:rPr>
          <w:rFonts w:hint="eastAsia" w:ascii="宋体" w:hAnsi="宋体" w:eastAsia="宋体" w:cs="宋体"/>
          <w:b w:val="0"/>
          <w:bCs w:val="0"/>
          <w:color w:val="000000" w:themeColor="text1"/>
          <w:sz w:val="28"/>
          <w:szCs w:val="28"/>
          <w:highlight w:val="none"/>
          <w14:textFill>
            <w14:solidFill>
              <w14:schemeClr w14:val="tx1"/>
            </w14:solidFill>
          </w14:textFill>
        </w:rPr>
        <w:fldChar w:fldCharType="begin"/>
      </w:r>
      <w:r>
        <w:rPr>
          <w:rFonts w:hint="eastAsia" w:ascii="宋体" w:hAnsi="宋体" w:eastAsia="宋体" w:cs="宋体"/>
          <w:b w:val="0"/>
          <w:bCs w:val="0"/>
          <w:color w:val="000000" w:themeColor="text1"/>
          <w:sz w:val="28"/>
          <w:szCs w:val="28"/>
          <w:highlight w:val="none"/>
          <w14:textFill>
            <w14:solidFill>
              <w14:schemeClr w14:val="tx1"/>
            </w14:solidFill>
          </w14:textFill>
        </w:rPr>
        <w:instrText xml:space="preserve"> PAGEREF _Toc24808 \h </w:instrText>
      </w:r>
      <w:r>
        <w:rPr>
          <w:rFonts w:hint="eastAsia" w:ascii="宋体" w:hAnsi="宋体" w:eastAsia="宋体" w:cs="宋体"/>
          <w:b w:val="0"/>
          <w:bCs w:val="0"/>
          <w:color w:val="000000" w:themeColor="text1"/>
          <w:sz w:val="28"/>
          <w:szCs w:val="28"/>
          <w:highlight w:val="none"/>
          <w14:textFill>
            <w14:solidFill>
              <w14:schemeClr w14:val="tx1"/>
            </w14:solidFill>
          </w14:textFill>
        </w:rPr>
        <w:fldChar w:fldCharType="separate"/>
      </w:r>
      <w:r>
        <w:rPr>
          <w:rFonts w:hint="eastAsia" w:ascii="宋体" w:hAnsi="宋体" w:eastAsia="宋体" w:cs="宋体"/>
          <w:b w:val="0"/>
          <w:bCs w:val="0"/>
          <w:color w:val="000000" w:themeColor="text1"/>
          <w:sz w:val="28"/>
          <w:szCs w:val="28"/>
          <w:highlight w:val="none"/>
          <w14:textFill>
            <w14:solidFill>
              <w14:schemeClr w14:val="tx1"/>
            </w14:solidFill>
          </w14:textFill>
        </w:rPr>
        <w:t>38</w:t>
      </w:r>
      <w:r>
        <w:rPr>
          <w:rFonts w:hint="eastAsia" w:ascii="宋体" w:hAnsi="宋体" w:eastAsia="宋体" w:cs="宋体"/>
          <w:b w:val="0"/>
          <w:bCs w:val="0"/>
          <w:color w:val="000000" w:themeColor="text1"/>
          <w:sz w:val="28"/>
          <w:szCs w:val="28"/>
          <w:highlight w:val="none"/>
          <w14:textFill>
            <w14:solidFill>
              <w14:schemeClr w14:val="tx1"/>
            </w14:solidFill>
          </w14:textFill>
        </w:rPr>
        <w:fldChar w:fldCharType="end"/>
      </w:r>
      <w:r>
        <w:rPr>
          <w:rFonts w:hint="eastAsia" w:ascii="宋体" w:hAnsi="宋体" w:eastAsia="宋体" w:cs="宋体"/>
          <w:b w:val="0"/>
          <w:bCs w:val="0"/>
          <w:caps/>
          <w:color w:val="000000" w:themeColor="text1"/>
          <w:sz w:val="28"/>
          <w:szCs w:val="28"/>
          <w:highlight w:val="none"/>
          <w14:textFill>
            <w14:solidFill>
              <w14:schemeClr w14:val="tx1"/>
            </w14:solidFill>
          </w14:textFill>
        </w:rPr>
        <w:fldChar w:fldCharType="end"/>
      </w:r>
    </w:p>
    <w:p w14:paraId="4161AEBC">
      <w:pPr>
        <w:pStyle w:val="24"/>
        <w:keepNext w:val="0"/>
        <w:keepLines w:val="0"/>
        <w:pageBreakBefore w:val="0"/>
        <w:widowControl w:val="0"/>
        <w:tabs>
          <w:tab w:val="right" w:leader="dot" w:pos="9638"/>
        </w:tabs>
        <w:kinsoku/>
        <w:wordWrap/>
        <w:overflowPunct/>
        <w:topLinePunct w:val="0"/>
        <w:autoSpaceDE/>
        <w:autoSpaceDN/>
        <w:bidi w:val="0"/>
        <w:adjustRightInd/>
        <w:snapToGrid/>
        <w:spacing w:before="0" w:after="0" w:line="560" w:lineRule="exact"/>
        <w:textAlignment w:val="auto"/>
        <w:rPr>
          <w:rFonts w:hint="eastAsia" w:ascii="宋体" w:hAnsi="宋体" w:eastAsia="宋体" w:cs="宋体"/>
          <w:b w:val="0"/>
          <w:bCs w:val="0"/>
          <w:color w:val="000000" w:themeColor="text1"/>
          <w:sz w:val="28"/>
          <w:szCs w:val="28"/>
          <w:highlight w:val="none"/>
          <w14:textFill>
            <w14:solidFill>
              <w14:schemeClr w14:val="tx1"/>
            </w14:solidFill>
          </w14:textFill>
        </w:rPr>
      </w:pPr>
      <w:r>
        <w:rPr>
          <w:rFonts w:hint="eastAsia" w:ascii="宋体" w:hAnsi="宋体" w:eastAsia="宋体" w:cs="宋体"/>
          <w:b w:val="0"/>
          <w:bCs w:val="0"/>
          <w:caps/>
          <w:color w:val="000000" w:themeColor="text1"/>
          <w:sz w:val="28"/>
          <w:szCs w:val="28"/>
          <w:highlight w:val="none"/>
          <w14:textFill>
            <w14:solidFill>
              <w14:schemeClr w14:val="tx1"/>
            </w14:solidFill>
          </w14:textFill>
        </w:rPr>
        <w:fldChar w:fldCharType="begin"/>
      </w:r>
      <w:r>
        <w:rPr>
          <w:rFonts w:hint="eastAsia" w:ascii="宋体" w:hAnsi="宋体" w:eastAsia="宋体" w:cs="宋体"/>
          <w:b w:val="0"/>
          <w:bCs w:val="0"/>
          <w:caps/>
          <w:color w:val="000000" w:themeColor="text1"/>
          <w:sz w:val="28"/>
          <w:szCs w:val="28"/>
          <w:highlight w:val="none"/>
          <w14:textFill>
            <w14:solidFill>
              <w14:schemeClr w14:val="tx1"/>
            </w14:solidFill>
          </w14:textFill>
        </w:rPr>
        <w:instrText xml:space="preserve"> HYPERLINK \l _Toc25374 </w:instrText>
      </w:r>
      <w:r>
        <w:rPr>
          <w:rFonts w:hint="eastAsia" w:ascii="宋体" w:hAnsi="宋体" w:eastAsia="宋体" w:cs="宋体"/>
          <w:b w:val="0"/>
          <w:bCs w:val="0"/>
          <w:caps/>
          <w:color w:val="000000" w:themeColor="text1"/>
          <w:sz w:val="28"/>
          <w:szCs w:val="28"/>
          <w:highlight w:val="none"/>
          <w14:textFill>
            <w14:solidFill>
              <w14:schemeClr w14:val="tx1"/>
            </w14:solidFill>
          </w14:textFill>
        </w:rPr>
        <w:fldChar w:fldCharType="separate"/>
      </w:r>
      <w:r>
        <w:rPr>
          <w:rFonts w:hint="eastAsia" w:ascii="宋体" w:hAnsi="宋体" w:eastAsia="宋体" w:cs="宋体"/>
          <w:b w:val="0"/>
          <w:bCs w:val="0"/>
          <w:color w:val="000000" w:themeColor="text1"/>
          <w:sz w:val="28"/>
          <w:szCs w:val="28"/>
          <w:highlight w:val="none"/>
          <w14:textFill>
            <w14:solidFill>
              <w14:schemeClr w14:val="tx1"/>
            </w14:solidFill>
          </w14:textFill>
        </w:rPr>
        <w:t>第四章  评标方法及评分标准</w:t>
      </w:r>
      <w:r>
        <w:rPr>
          <w:rFonts w:hint="eastAsia" w:ascii="宋体" w:hAnsi="宋体" w:eastAsia="宋体" w:cs="宋体"/>
          <w:b w:val="0"/>
          <w:bCs w:val="0"/>
          <w:color w:val="000000" w:themeColor="text1"/>
          <w:sz w:val="28"/>
          <w:szCs w:val="28"/>
          <w:highlight w:val="none"/>
          <w14:textFill>
            <w14:solidFill>
              <w14:schemeClr w14:val="tx1"/>
            </w14:solidFill>
          </w14:textFill>
        </w:rPr>
        <w:tab/>
      </w:r>
      <w:r>
        <w:rPr>
          <w:rFonts w:hint="eastAsia" w:ascii="宋体" w:hAnsi="宋体" w:eastAsia="宋体" w:cs="宋体"/>
          <w:b w:val="0"/>
          <w:bCs w:val="0"/>
          <w:color w:val="000000" w:themeColor="text1"/>
          <w:sz w:val="28"/>
          <w:szCs w:val="28"/>
          <w:highlight w:val="none"/>
          <w14:textFill>
            <w14:solidFill>
              <w14:schemeClr w14:val="tx1"/>
            </w14:solidFill>
          </w14:textFill>
        </w:rPr>
        <w:fldChar w:fldCharType="begin"/>
      </w:r>
      <w:r>
        <w:rPr>
          <w:rFonts w:hint="eastAsia" w:ascii="宋体" w:hAnsi="宋体" w:eastAsia="宋体" w:cs="宋体"/>
          <w:b w:val="0"/>
          <w:bCs w:val="0"/>
          <w:color w:val="000000" w:themeColor="text1"/>
          <w:sz w:val="28"/>
          <w:szCs w:val="28"/>
          <w:highlight w:val="none"/>
          <w14:textFill>
            <w14:solidFill>
              <w14:schemeClr w14:val="tx1"/>
            </w14:solidFill>
          </w14:textFill>
        </w:rPr>
        <w:instrText xml:space="preserve"> PAGEREF _Toc25374 \h </w:instrText>
      </w:r>
      <w:r>
        <w:rPr>
          <w:rFonts w:hint="eastAsia" w:ascii="宋体" w:hAnsi="宋体" w:eastAsia="宋体" w:cs="宋体"/>
          <w:b w:val="0"/>
          <w:bCs w:val="0"/>
          <w:color w:val="000000" w:themeColor="text1"/>
          <w:sz w:val="28"/>
          <w:szCs w:val="28"/>
          <w:highlight w:val="none"/>
          <w14:textFill>
            <w14:solidFill>
              <w14:schemeClr w14:val="tx1"/>
            </w14:solidFill>
          </w14:textFill>
        </w:rPr>
        <w:fldChar w:fldCharType="separate"/>
      </w:r>
      <w:r>
        <w:rPr>
          <w:rFonts w:hint="eastAsia" w:ascii="宋体" w:hAnsi="宋体" w:eastAsia="宋体" w:cs="宋体"/>
          <w:b w:val="0"/>
          <w:bCs w:val="0"/>
          <w:color w:val="000000" w:themeColor="text1"/>
          <w:sz w:val="28"/>
          <w:szCs w:val="28"/>
          <w:highlight w:val="none"/>
          <w14:textFill>
            <w14:solidFill>
              <w14:schemeClr w14:val="tx1"/>
            </w14:solidFill>
          </w14:textFill>
        </w:rPr>
        <w:t>40</w:t>
      </w:r>
      <w:r>
        <w:rPr>
          <w:rFonts w:hint="eastAsia" w:ascii="宋体" w:hAnsi="宋体" w:eastAsia="宋体" w:cs="宋体"/>
          <w:b w:val="0"/>
          <w:bCs w:val="0"/>
          <w:color w:val="000000" w:themeColor="text1"/>
          <w:sz w:val="28"/>
          <w:szCs w:val="28"/>
          <w:highlight w:val="none"/>
          <w14:textFill>
            <w14:solidFill>
              <w14:schemeClr w14:val="tx1"/>
            </w14:solidFill>
          </w14:textFill>
        </w:rPr>
        <w:fldChar w:fldCharType="end"/>
      </w:r>
      <w:r>
        <w:rPr>
          <w:rFonts w:hint="eastAsia" w:ascii="宋体" w:hAnsi="宋体" w:eastAsia="宋体" w:cs="宋体"/>
          <w:b w:val="0"/>
          <w:bCs w:val="0"/>
          <w:caps/>
          <w:color w:val="000000" w:themeColor="text1"/>
          <w:sz w:val="28"/>
          <w:szCs w:val="28"/>
          <w:highlight w:val="none"/>
          <w14:textFill>
            <w14:solidFill>
              <w14:schemeClr w14:val="tx1"/>
            </w14:solidFill>
          </w14:textFill>
        </w:rPr>
        <w:fldChar w:fldCharType="end"/>
      </w:r>
    </w:p>
    <w:p w14:paraId="51BDF858">
      <w:pPr>
        <w:pStyle w:val="24"/>
        <w:keepNext w:val="0"/>
        <w:keepLines w:val="0"/>
        <w:pageBreakBefore w:val="0"/>
        <w:widowControl w:val="0"/>
        <w:tabs>
          <w:tab w:val="right" w:leader="dot" w:pos="9638"/>
        </w:tabs>
        <w:kinsoku/>
        <w:wordWrap/>
        <w:overflowPunct/>
        <w:topLinePunct w:val="0"/>
        <w:autoSpaceDE/>
        <w:autoSpaceDN/>
        <w:bidi w:val="0"/>
        <w:adjustRightInd/>
        <w:snapToGrid/>
        <w:spacing w:before="0" w:after="0" w:line="560" w:lineRule="exact"/>
        <w:textAlignment w:val="auto"/>
        <w:rPr>
          <w:rFonts w:hint="eastAsia" w:ascii="宋体" w:hAnsi="宋体" w:eastAsia="宋体" w:cs="宋体"/>
          <w:b w:val="0"/>
          <w:bCs w:val="0"/>
          <w:color w:val="000000" w:themeColor="text1"/>
          <w:sz w:val="28"/>
          <w:szCs w:val="28"/>
          <w:highlight w:val="none"/>
          <w14:textFill>
            <w14:solidFill>
              <w14:schemeClr w14:val="tx1"/>
            </w14:solidFill>
          </w14:textFill>
        </w:rPr>
      </w:pPr>
      <w:r>
        <w:rPr>
          <w:rFonts w:hint="eastAsia" w:ascii="宋体" w:hAnsi="宋体" w:eastAsia="宋体" w:cs="宋体"/>
          <w:b w:val="0"/>
          <w:bCs w:val="0"/>
          <w:caps/>
          <w:color w:val="000000" w:themeColor="text1"/>
          <w:sz w:val="28"/>
          <w:szCs w:val="28"/>
          <w:highlight w:val="none"/>
          <w14:textFill>
            <w14:solidFill>
              <w14:schemeClr w14:val="tx1"/>
            </w14:solidFill>
          </w14:textFill>
        </w:rPr>
        <w:fldChar w:fldCharType="begin"/>
      </w:r>
      <w:r>
        <w:rPr>
          <w:rFonts w:hint="eastAsia" w:ascii="宋体" w:hAnsi="宋体" w:eastAsia="宋体" w:cs="宋体"/>
          <w:b w:val="0"/>
          <w:bCs w:val="0"/>
          <w:caps/>
          <w:color w:val="000000" w:themeColor="text1"/>
          <w:sz w:val="28"/>
          <w:szCs w:val="28"/>
          <w:highlight w:val="none"/>
          <w14:textFill>
            <w14:solidFill>
              <w14:schemeClr w14:val="tx1"/>
            </w14:solidFill>
          </w14:textFill>
        </w:rPr>
        <w:instrText xml:space="preserve"> HYPERLINK \l _Toc28798 </w:instrText>
      </w:r>
      <w:r>
        <w:rPr>
          <w:rFonts w:hint="eastAsia" w:ascii="宋体" w:hAnsi="宋体" w:eastAsia="宋体" w:cs="宋体"/>
          <w:b w:val="0"/>
          <w:bCs w:val="0"/>
          <w:caps/>
          <w:color w:val="000000" w:themeColor="text1"/>
          <w:sz w:val="28"/>
          <w:szCs w:val="28"/>
          <w:highlight w:val="none"/>
          <w14:textFill>
            <w14:solidFill>
              <w14:schemeClr w14:val="tx1"/>
            </w14:solidFill>
          </w14:textFill>
        </w:rPr>
        <w:fldChar w:fldCharType="separate"/>
      </w:r>
      <w:r>
        <w:rPr>
          <w:rFonts w:hint="eastAsia" w:ascii="宋体" w:hAnsi="宋体" w:eastAsia="宋体" w:cs="宋体"/>
          <w:b w:val="0"/>
          <w:bCs w:val="0"/>
          <w:color w:val="000000" w:themeColor="text1"/>
          <w:sz w:val="28"/>
          <w:szCs w:val="28"/>
          <w:highlight w:val="none"/>
          <w14:textFill>
            <w14:solidFill>
              <w14:schemeClr w14:val="tx1"/>
            </w14:solidFill>
          </w14:textFill>
        </w:rPr>
        <w:t>第五章 拟签订的合同文本</w:t>
      </w:r>
      <w:r>
        <w:rPr>
          <w:rFonts w:hint="eastAsia" w:ascii="宋体" w:hAnsi="宋体" w:eastAsia="宋体" w:cs="宋体"/>
          <w:b w:val="0"/>
          <w:bCs w:val="0"/>
          <w:color w:val="000000" w:themeColor="text1"/>
          <w:sz w:val="28"/>
          <w:szCs w:val="28"/>
          <w:highlight w:val="none"/>
          <w14:textFill>
            <w14:solidFill>
              <w14:schemeClr w14:val="tx1"/>
            </w14:solidFill>
          </w14:textFill>
        </w:rPr>
        <w:tab/>
      </w:r>
      <w:r>
        <w:rPr>
          <w:rFonts w:hint="eastAsia" w:ascii="宋体" w:hAnsi="宋体" w:eastAsia="宋体" w:cs="宋体"/>
          <w:b w:val="0"/>
          <w:bCs w:val="0"/>
          <w:color w:val="000000" w:themeColor="text1"/>
          <w:sz w:val="28"/>
          <w:szCs w:val="28"/>
          <w:highlight w:val="none"/>
          <w14:textFill>
            <w14:solidFill>
              <w14:schemeClr w14:val="tx1"/>
            </w14:solidFill>
          </w14:textFill>
        </w:rPr>
        <w:fldChar w:fldCharType="begin"/>
      </w:r>
      <w:r>
        <w:rPr>
          <w:rFonts w:hint="eastAsia" w:ascii="宋体" w:hAnsi="宋体" w:eastAsia="宋体" w:cs="宋体"/>
          <w:b w:val="0"/>
          <w:bCs w:val="0"/>
          <w:color w:val="000000" w:themeColor="text1"/>
          <w:sz w:val="28"/>
          <w:szCs w:val="28"/>
          <w:highlight w:val="none"/>
          <w14:textFill>
            <w14:solidFill>
              <w14:schemeClr w14:val="tx1"/>
            </w14:solidFill>
          </w14:textFill>
        </w:rPr>
        <w:instrText xml:space="preserve"> PAGEREF _Toc28798 \h </w:instrText>
      </w:r>
      <w:r>
        <w:rPr>
          <w:rFonts w:hint="eastAsia" w:ascii="宋体" w:hAnsi="宋体" w:eastAsia="宋体" w:cs="宋体"/>
          <w:b w:val="0"/>
          <w:bCs w:val="0"/>
          <w:color w:val="000000" w:themeColor="text1"/>
          <w:sz w:val="28"/>
          <w:szCs w:val="28"/>
          <w:highlight w:val="none"/>
          <w14:textFill>
            <w14:solidFill>
              <w14:schemeClr w14:val="tx1"/>
            </w14:solidFill>
          </w14:textFill>
        </w:rPr>
        <w:fldChar w:fldCharType="separate"/>
      </w:r>
      <w:r>
        <w:rPr>
          <w:rFonts w:hint="eastAsia" w:ascii="宋体" w:hAnsi="宋体" w:eastAsia="宋体" w:cs="宋体"/>
          <w:b w:val="0"/>
          <w:bCs w:val="0"/>
          <w:color w:val="000000" w:themeColor="text1"/>
          <w:sz w:val="28"/>
          <w:szCs w:val="28"/>
          <w:highlight w:val="none"/>
          <w14:textFill>
            <w14:solidFill>
              <w14:schemeClr w14:val="tx1"/>
            </w14:solidFill>
          </w14:textFill>
        </w:rPr>
        <w:t>51</w:t>
      </w:r>
      <w:r>
        <w:rPr>
          <w:rFonts w:hint="eastAsia" w:ascii="宋体" w:hAnsi="宋体" w:eastAsia="宋体" w:cs="宋体"/>
          <w:b w:val="0"/>
          <w:bCs w:val="0"/>
          <w:color w:val="000000" w:themeColor="text1"/>
          <w:sz w:val="28"/>
          <w:szCs w:val="28"/>
          <w:highlight w:val="none"/>
          <w14:textFill>
            <w14:solidFill>
              <w14:schemeClr w14:val="tx1"/>
            </w14:solidFill>
          </w14:textFill>
        </w:rPr>
        <w:fldChar w:fldCharType="end"/>
      </w:r>
      <w:r>
        <w:rPr>
          <w:rFonts w:hint="eastAsia" w:ascii="宋体" w:hAnsi="宋体" w:eastAsia="宋体" w:cs="宋体"/>
          <w:b w:val="0"/>
          <w:bCs w:val="0"/>
          <w:caps/>
          <w:color w:val="000000" w:themeColor="text1"/>
          <w:sz w:val="28"/>
          <w:szCs w:val="28"/>
          <w:highlight w:val="none"/>
          <w14:textFill>
            <w14:solidFill>
              <w14:schemeClr w14:val="tx1"/>
            </w14:solidFill>
          </w14:textFill>
        </w:rPr>
        <w:fldChar w:fldCharType="end"/>
      </w:r>
    </w:p>
    <w:p w14:paraId="02E03C0F">
      <w:pPr>
        <w:pStyle w:val="24"/>
        <w:keepNext w:val="0"/>
        <w:keepLines w:val="0"/>
        <w:pageBreakBefore w:val="0"/>
        <w:widowControl w:val="0"/>
        <w:tabs>
          <w:tab w:val="right" w:leader="dot" w:pos="9638"/>
        </w:tabs>
        <w:kinsoku/>
        <w:wordWrap/>
        <w:overflowPunct/>
        <w:topLinePunct w:val="0"/>
        <w:autoSpaceDE/>
        <w:autoSpaceDN/>
        <w:bidi w:val="0"/>
        <w:adjustRightInd/>
        <w:snapToGrid/>
        <w:spacing w:before="0" w:after="0" w:line="560" w:lineRule="exact"/>
        <w:textAlignment w:val="auto"/>
        <w:rPr>
          <w:rFonts w:hint="eastAsia" w:ascii="宋体" w:hAnsi="宋体" w:eastAsia="宋体" w:cs="宋体"/>
          <w:b w:val="0"/>
          <w:bCs w:val="0"/>
          <w:color w:val="000000" w:themeColor="text1"/>
          <w:sz w:val="28"/>
          <w:szCs w:val="28"/>
          <w:highlight w:val="none"/>
          <w14:textFill>
            <w14:solidFill>
              <w14:schemeClr w14:val="tx1"/>
            </w14:solidFill>
          </w14:textFill>
        </w:rPr>
      </w:pPr>
      <w:r>
        <w:rPr>
          <w:rFonts w:hint="eastAsia" w:ascii="宋体" w:hAnsi="宋体" w:eastAsia="宋体" w:cs="宋体"/>
          <w:b w:val="0"/>
          <w:bCs w:val="0"/>
          <w:caps/>
          <w:color w:val="000000" w:themeColor="text1"/>
          <w:sz w:val="28"/>
          <w:szCs w:val="28"/>
          <w:highlight w:val="none"/>
          <w14:textFill>
            <w14:solidFill>
              <w14:schemeClr w14:val="tx1"/>
            </w14:solidFill>
          </w14:textFill>
        </w:rPr>
        <w:fldChar w:fldCharType="begin"/>
      </w:r>
      <w:r>
        <w:rPr>
          <w:rFonts w:hint="eastAsia" w:ascii="宋体" w:hAnsi="宋体" w:eastAsia="宋体" w:cs="宋体"/>
          <w:b w:val="0"/>
          <w:bCs w:val="0"/>
          <w:caps/>
          <w:color w:val="000000" w:themeColor="text1"/>
          <w:sz w:val="28"/>
          <w:szCs w:val="28"/>
          <w:highlight w:val="none"/>
          <w14:textFill>
            <w14:solidFill>
              <w14:schemeClr w14:val="tx1"/>
            </w14:solidFill>
          </w14:textFill>
        </w:rPr>
        <w:instrText xml:space="preserve"> HYPERLINK \l _Toc14746 </w:instrText>
      </w:r>
      <w:r>
        <w:rPr>
          <w:rFonts w:hint="eastAsia" w:ascii="宋体" w:hAnsi="宋体" w:eastAsia="宋体" w:cs="宋体"/>
          <w:b w:val="0"/>
          <w:bCs w:val="0"/>
          <w:caps/>
          <w:color w:val="000000" w:themeColor="text1"/>
          <w:sz w:val="28"/>
          <w:szCs w:val="28"/>
          <w:highlight w:val="none"/>
          <w14:textFill>
            <w14:solidFill>
              <w14:schemeClr w14:val="tx1"/>
            </w14:solidFill>
          </w14:textFill>
        </w:rPr>
        <w:fldChar w:fldCharType="separate"/>
      </w:r>
      <w:r>
        <w:rPr>
          <w:rFonts w:hint="eastAsia" w:ascii="宋体" w:hAnsi="宋体" w:eastAsia="宋体" w:cs="宋体"/>
          <w:b w:val="0"/>
          <w:bCs w:val="0"/>
          <w:color w:val="000000" w:themeColor="text1"/>
          <w:sz w:val="28"/>
          <w:szCs w:val="28"/>
          <w:highlight w:val="none"/>
          <w14:textFill>
            <w14:solidFill>
              <w14:schemeClr w14:val="tx1"/>
            </w14:solidFill>
          </w14:textFill>
        </w:rPr>
        <w:t xml:space="preserve">第六章 </w:t>
      </w:r>
      <w:r>
        <w:rPr>
          <w:rFonts w:hint="eastAsia" w:ascii="宋体" w:hAnsi="宋体" w:eastAsia="宋体" w:cs="宋体"/>
          <w:b w:val="0"/>
          <w:bCs w:val="0"/>
          <w:color w:val="000000" w:themeColor="text1"/>
          <w:sz w:val="28"/>
          <w:szCs w:val="28"/>
          <w:highlight w:val="non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highlight w:val="none"/>
          <w14:textFill>
            <w14:solidFill>
              <w14:schemeClr w14:val="tx1"/>
            </w14:solidFill>
          </w14:textFill>
        </w:rPr>
        <w:t>投标文件格式</w:t>
      </w:r>
      <w:r>
        <w:rPr>
          <w:rFonts w:hint="eastAsia" w:ascii="宋体" w:hAnsi="宋体" w:eastAsia="宋体" w:cs="宋体"/>
          <w:b w:val="0"/>
          <w:bCs w:val="0"/>
          <w:color w:val="000000" w:themeColor="text1"/>
          <w:sz w:val="28"/>
          <w:szCs w:val="28"/>
          <w:highlight w:val="none"/>
          <w14:textFill>
            <w14:solidFill>
              <w14:schemeClr w14:val="tx1"/>
            </w14:solidFill>
          </w14:textFill>
        </w:rPr>
        <w:tab/>
      </w:r>
      <w:r>
        <w:rPr>
          <w:rFonts w:hint="eastAsia" w:ascii="宋体" w:hAnsi="宋体" w:eastAsia="宋体" w:cs="宋体"/>
          <w:b w:val="0"/>
          <w:bCs w:val="0"/>
          <w:color w:val="000000" w:themeColor="text1"/>
          <w:sz w:val="28"/>
          <w:szCs w:val="28"/>
          <w:highlight w:val="none"/>
          <w14:textFill>
            <w14:solidFill>
              <w14:schemeClr w14:val="tx1"/>
            </w14:solidFill>
          </w14:textFill>
        </w:rPr>
        <w:fldChar w:fldCharType="begin"/>
      </w:r>
      <w:r>
        <w:rPr>
          <w:rFonts w:hint="eastAsia" w:ascii="宋体" w:hAnsi="宋体" w:eastAsia="宋体" w:cs="宋体"/>
          <w:b w:val="0"/>
          <w:bCs w:val="0"/>
          <w:color w:val="000000" w:themeColor="text1"/>
          <w:sz w:val="28"/>
          <w:szCs w:val="28"/>
          <w:highlight w:val="none"/>
          <w14:textFill>
            <w14:solidFill>
              <w14:schemeClr w14:val="tx1"/>
            </w14:solidFill>
          </w14:textFill>
        </w:rPr>
        <w:instrText xml:space="preserve"> PAGEREF _Toc14746 \h </w:instrText>
      </w:r>
      <w:r>
        <w:rPr>
          <w:rFonts w:hint="eastAsia" w:ascii="宋体" w:hAnsi="宋体" w:eastAsia="宋体" w:cs="宋体"/>
          <w:b w:val="0"/>
          <w:bCs w:val="0"/>
          <w:color w:val="000000" w:themeColor="text1"/>
          <w:sz w:val="28"/>
          <w:szCs w:val="28"/>
          <w:highlight w:val="none"/>
          <w14:textFill>
            <w14:solidFill>
              <w14:schemeClr w14:val="tx1"/>
            </w14:solidFill>
          </w14:textFill>
        </w:rPr>
        <w:fldChar w:fldCharType="separate"/>
      </w:r>
      <w:r>
        <w:rPr>
          <w:rFonts w:hint="eastAsia" w:ascii="宋体" w:hAnsi="宋体" w:eastAsia="宋体" w:cs="宋体"/>
          <w:b w:val="0"/>
          <w:bCs w:val="0"/>
          <w:color w:val="000000" w:themeColor="text1"/>
          <w:sz w:val="28"/>
          <w:szCs w:val="28"/>
          <w:highlight w:val="none"/>
          <w14:textFill>
            <w14:solidFill>
              <w14:schemeClr w14:val="tx1"/>
            </w14:solidFill>
          </w14:textFill>
        </w:rPr>
        <w:t>72</w:t>
      </w:r>
      <w:r>
        <w:rPr>
          <w:rFonts w:hint="eastAsia" w:ascii="宋体" w:hAnsi="宋体" w:eastAsia="宋体" w:cs="宋体"/>
          <w:b w:val="0"/>
          <w:bCs w:val="0"/>
          <w:color w:val="000000" w:themeColor="text1"/>
          <w:sz w:val="28"/>
          <w:szCs w:val="28"/>
          <w:highlight w:val="none"/>
          <w14:textFill>
            <w14:solidFill>
              <w14:schemeClr w14:val="tx1"/>
            </w14:solidFill>
          </w14:textFill>
        </w:rPr>
        <w:fldChar w:fldCharType="end"/>
      </w:r>
      <w:r>
        <w:rPr>
          <w:rFonts w:hint="eastAsia" w:ascii="宋体" w:hAnsi="宋体" w:eastAsia="宋体" w:cs="宋体"/>
          <w:b w:val="0"/>
          <w:bCs w:val="0"/>
          <w:caps/>
          <w:color w:val="000000" w:themeColor="text1"/>
          <w:sz w:val="28"/>
          <w:szCs w:val="28"/>
          <w:highlight w:val="none"/>
          <w14:textFill>
            <w14:solidFill>
              <w14:schemeClr w14:val="tx1"/>
            </w14:solidFill>
          </w14:textFill>
        </w:rPr>
        <w:fldChar w:fldCharType="end"/>
      </w:r>
    </w:p>
    <w:p w14:paraId="5098FD3D">
      <w:pPr>
        <w:pStyle w:val="24"/>
        <w:keepNext w:val="0"/>
        <w:keepLines w:val="0"/>
        <w:pageBreakBefore w:val="0"/>
        <w:widowControl w:val="0"/>
        <w:tabs>
          <w:tab w:val="right" w:leader="dot" w:pos="9638"/>
        </w:tabs>
        <w:kinsoku/>
        <w:wordWrap/>
        <w:overflowPunct/>
        <w:topLinePunct w:val="0"/>
        <w:autoSpaceDE/>
        <w:autoSpaceDN/>
        <w:bidi w:val="0"/>
        <w:adjustRightInd/>
        <w:snapToGrid/>
        <w:spacing w:before="0" w:after="0" w:line="560" w:lineRule="exact"/>
        <w:textAlignment w:val="auto"/>
        <w:rPr>
          <w:rFonts w:hint="eastAsia" w:ascii="宋体" w:hAnsi="宋体" w:eastAsia="宋体" w:cs="宋体"/>
          <w:b w:val="0"/>
          <w:bCs w:val="0"/>
          <w:color w:val="000000" w:themeColor="text1"/>
          <w:sz w:val="28"/>
          <w:szCs w:val="28"/>
          <w:highlight w:val="none"/>
          <w14:textFill>
            <w14:solidFill>
              <w14:schemeClr w14:val="tx1"/>
            </w14:solidFill>
          </w14:textFill>
        </w:rPr>
      </w:pPr>
      <w:r>
        <w:rPr>
          <w:rFonts w:hint="eastAsia" w:ascii="宋体" w:hAnsi="宋体" w:eastAsia="宋体" w:cs="宋体"/>
          <w:b w:val="0"/>
          <w:bCs w:val="0"/>
          <w:caps/>
          <w:color w:val="000000" w:themeColor="text1"/>
          <w:sz w:val="28"/>
          <w:szCs w:val="28"/>
          <w:highlight w:val="none"/>
          <w14:textFill>
            <w14:solidFill>
              <w14:schemeClr w14:val="tx1"/>
            </w14:solidFill>
          </w14:textFill>
        </w:rPr>
        <w:fldChar w:fldCharType="begin"/>
      </w:r>
      <w:r>
        <w:rPr>
          <w:rFonts w:hint="eastAsia" w:ascii="宋体" w:hAnsi="宋体" w:eastAsia="宋体" w:cs="宋体"/>
          <w:b w:val="0"/>
          <w:bCs w:val="0"/>
          <w:caps/>
          <w:color w:val="000000" w:themeColor="text1"/>
          <w:sz w:val="28"/>
          <w:szCs w:val="28"/>
          <w:highlight w:val="none"/>
          <w14:textFill>
            <w14:solidFill>
              <w14:schemeClr w14:val="tx1"/>
            </w14:solidFill>
          </w14:textFill>
        </w:rPr>
        <w:instrText xml:space="preserve"> HYPERLINK \l _Toc24257 </w:instrText>
      </w:r>
      <w:r>
        <w:rPr>
          <w:rFonts w:hint="eastAsia" w:ascii="宋体" w:hAnsi="宋体" w:eastAsia="宋体" w:cs="宋体"/>
          <w:b w:val="0"/>
          <w:bCs w:val="0"/>
          <w:caps/>
          <w:color w:val="000000" w:themeColor="text1"/>
          <w:sz w:val="28"/>
          <w:szCs w:val="28"/>
          <w:highlight w:val="none"/>
          <w14:textFill>
            <w14:solidFill>
              <w14:schemeClr w14:val="tx1"/>
            </w14:solidFill>
          </w14:textFill>
        </w:rPr>
        <w:fldChar w:fldCharType="separate"/>
      </w:r>
      <w:r>
        <w:rPr>
          <w:rFonts w:hint="eastAsia" w:ascii="宋体" w:hAnsi="宋体" w:eastAsia="宋体" w:cs="宋体"/>
          <w:b w:val="0"/>
          <w:bCs w:val="0"/>
          <w:color w:val="000000" w:themeColor="text1"/>
          <w:sz w:val="28"/>
          <w:szCs w:val="28"/>
          <w:highlight w:val="none"/>
          <w14:textFill>
            <w14:solidFill>
              <w14:schemeClr w14:val="tx1"/>
            </w14:solidFill>
          </w14:textFill>
        </w:rPr>
        <w:t xml:space="preserve">第七章 </w:t>
      </w:r>
      <w:r>
        <w:rPr>
          <w:rFonts w:hint="eastAsia" w:ascii="宋体" w:hAnsi="宋体" w:eastAsia="宋体" w:cs="宋体"/>
          <w:b w:val="0"/>
          <w:bCs w:val="0"/>
          <w:color w:val="000000" w:themeColor="text1"/>
          <w:sz w:val="28"/>
          <w:szCs w:val="28"/>
          <w:highlight w:val="non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highlight w:val="none"/>
          <w14:textFill>
            <w14:solidFill>
              <w14:schemeClr w14:val="tx1"/>
            </w14:solidFill>
          </w14:textFill>
        </w:rPr>
        <w:t>质疑、投诉证明材料格式</w:t>
      </w:r>
      <w:r>
        <w:rPr>
          <w:rFonts w:hint="eastAsia" w:ascii="宋体" w:hAnsi="宋体" w:eastAsia="宋体" w:cs="宋体"/>
          <w:b w:val="0"/>
          <w:bCs w:val="0"/>
          <w:color w:val="000000" w:themeColor="text1"/>
          <w:sz w:val="28"/>
          <w:szCs w:val="28"/>
          <w:highlight w:val="none"/>
          <w14:textFill>
            <w14:solidFill>
              <w14:schemeClr w14:val="tx1"/>
            </w14:solidFill>
          </w14:textFill>
        </w:rPr>
        <w:tab/>
      </w:r>
      <w:r>
        <w:rPr>
          <w:rFonts w:hint="eastAsia" w:ascii="宋体" w:hAnsi="宋体" w:eastAsia="宋体" w:cs="宋体"/>
          <w:b w:val="0"/>
          <w:bCs w:val="0"/>
          <w:color w:val="000000" w:themeColor="text1"/>
          <w:sz w:val="28"/>
          <w:szCs w:val="28"/>
          <w:highlight w:val="none"/>
          <w14:textFill>
            <w14:solidFill>
              <w14:schemeClr w14:val="tx1"/>
            </w14:solidFill>
          </w14:textFill>
        </w:rPr>
        <w:fldChar w:fldCharType="begin"/>
      </w:r>
      <w:r>
        <w:rPr>
          <w:rFonts w:hint="eastAsia" w:ascii="宋体" w:hAnsi="宋体" w:eastAsia="宋体" w:cs="宋体"/>
          <w:b w:val="0"/>
          <w:bCs w:val="0"/>
          <w:color w:val="000000" w:themeColor="text1"/>
          <w:sz w:val="28"/>
          <w:szCs w:val="28"/>
          <w:highlight w:val="none"/>
          <w14:textFill>
            <w14:solidFill>
              <w14:schemeClr w14:val="tx1"/>
            </w14:solidFill>
          </w14:textFill>
        </w:rPr>
        <w:instrText xml:space="preserve"> PAGEREF _Toc24257 \h </w:instrText>
      </w:r>
      <w:r>
        <w:rPr>
          <w:rFonts w:hint="eastAsia" w:ascii="宋体" w:hAnsi="宋体" w:eastAsia="宋体" w:cs="宋体"/>
          <w:b w:val="0"/>
          <w:bCs w:val="0"/>
          <w:color w:val="000000" w:themeColor="text1"/>
          <w:sz w:val="28"/>
          <w:szCs w:val="28"/>
          <w:highlight w:val="none"/>
          <w14:textFill>
            <w14:solidFill>
              <w14:schemeClr w14:val="tx1"/>
            </w14:solidFill>
          </w14:textFill>
        </w:rPr>
        <w:fldChar w:fldCharType="separate"/>
      </w:r>
      <w:r>
        <w:rPr>
          <w:rFonts w:hint="eastAsia" w:ascii="宋体" w:hAnsi="宋体" w:eastAsia="宋体" w:cs="宋体"/>
          <w:b w:val="0"/>
          <w:bCs w:val="0"/>
          <w:color w:val="000000" w:themeColor="text1"/>
          <w:sz w:val="28"/>
          <w:szCs w:val="28"/>
          <w:highlight w:val="none"/>
          <w14:textFill>
            <w14:solidFill>
              <w14:schemeClr w14:val="tx1"/>
            </w14:solidFill>
          </w14:textFill>
        </w:rPr>
        <w:t>105</w:t>
      </w:r>
      <w:r>
        <w:rPr>
          <w:rFonts w:hint="eastAsia" w:ascii="宋体" w:hAnsi="宋体" w:eastAsia="宋体" w:cs="宋体"/>
          <w:b w:val="0"/>
          <w:bCs w:val="0"/>
          <w:color w:val="000000" w:themeColor="text1"/>
          <w:sz w:val="28"/>
          <w:szCs w:val="28"/>
          <w:highlight w:val="none"/>
          <w14:textFill>
            <w14:solidFill>
              <w14:schemeClr w14:val="tx1"/>
            </w14:solidFill>
          </w14:textFill>
        </w:rPr>
        <w:fldChar w:fldCharType="end"/>
      </w:r>
      <w:r>
        <w:rPr>
          <w:rFonts w:hint="eastAsia" w:ascii="宋体" w:hAnsi="宋体" w:eastAsia="宋体" w:cs="宋体"/>
          <w:b w:val="0"/>
          <w:bCs w:val="0"/>
          <w:caps/>
          <w:color w:val="000000" w:themeColor="text1"/>
          <w:sz w:val="28"/>
          <w:szCs w:val="28"/>
          <w:highlight w:val="none"/>
          <w14:textFill>
            <w14:solidFill>
              <w14:schemeClr w14:val="tx1"/>
            </w14:solidFill>
          </w14:textFill>
        </w:rPr>
        <w:fldChar w:fldCharType="end"/>
      </w:r>
    </w:p>
    <w:p w14:paraId="459813B0">
      <w:pPr>
        <w:pStyle w:val="17"/>
        <w:keepNext w:val="0"/>
        <w:keepLines w:val="0"/>
        <w:pageBreakBefore w:val="0"/>
        <w:widowControl w:val="0"/>
        <w:kinsoku/>
        <w:wordWrap/>
        <w:overflowPunct/>
        <w:topLinePunct w:val="0"/>
        <w:autoSpaceDE/>
        <w:autoSpaceDN/>
        <w:bidi w:val="0"/>
        <w:adjustRightInd/>
        <w:snapToGrid/>
        <w:spacing w:line="560" w:lineRule="exact"/>
        <w:textAlignment w:val="auto"/>
        <w:rPr>
          <w:color w:val="000000" w:themeColor="text1"/>
          <w:highlight w:val="none"/>
          <w14:textFill>
            <w14:solidFill>
              <w14:schemeClr w14:val="tx1"/>
            </w14:solidFill>
          </w14:textFill>
        </w:rPr>
        <w:sectPr>
          <w:footerReference r:id="rId27" w:type="default"/>
          <w:pgSz w:w="11906" w:h="16838"/>
          <w:pgMar w:top="1134" w:right="1134" w:bottom="1134" w:left="1134" w:header="720" w:footer="720" w:gutter="0"/>
          <w:pgNumType w:start="1"/>
          <w:cols w:space="720" w:num="1"/>
          <w:docGrid w:type="lines" w:linePitch="331" w:charSpace="0"/>
        </w:sectPr>
      </w:pPr>
      <w:r>
        <w:rPr>
          <w:rFonts w:hint="eastAsia" w:ascii="宋体" w:hAnsi="宋体" w:eastAsia="宋体" w:cs="宋体"/>
          <w:b w:val="0"/>
          <w:bCs w:val="0"/>
          <w:caps/>
          <w:color w:val="000000" w:themeColor="text1"/>
          <w:sz w:val="28"/>
          <w:szCs w:val="28"/>
          <w:highlight w:val="none"/>
          <w14:textFill>
            <w14:solidFill>
              <w14:schemeClr w14:val="tx1"/>
            </w14:solidFill>
          </w14:textFill>
        </w:rPr>
        <w:fldChar w:fldCharType="end"/>
      </w:r>
      <w:r>
        <w:rPr>
          <w:rFonts w:hint="eastAsia"/>
          <w:color w:val="000000" w:themeColor="text1"/>
          <w:highlight w:val="none"/>
          <w14:textFill>
            <w14:solidFill>
              <w14:schemeClr w14:val="tx1"/>
            </w14:solidFill>
          </w14:textFill>
        </w:rPr>
        <w:tab/>
      </w:r>
    </w:p>
    <w:p w14:paraId="0225FE2B">
      <w:pPr>
        <w:pStyle w:val="31"/>
        <w:pageBreakBefore w:val="0"/>
        <w:widowControl w:val="0"/>
        <w:kinsoku/>
        <w:wordWrap/>
        <w:overflowPunct/>
        <w:topLinePunct w:val="0"/>
        <w:autoSpaceDE/>
        <w:autoSpaceDN/>
        <w:bidi w:val="0"/>
        <w:adjustRightInd/>
        <w:snapToGrid/>
        <w:spacing w:before="0" w:after="0" w:line="560" w:lineRule="exact"/>
        <w:ind w:left="0" w:leftChars="0"/>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第一章  招标公告</w:t>
      </w:r>
    </w:p>
    <w:p w14:paraId="4AD393CD">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560" w:lineRule="exact"/>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项目概况</w:t>
      </w:r>
    </w:p>
    <w:p w14:paraId="0ED80E4E">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560" w:lineRule="exact"/>
        <w:ind w:left="0" w:leftChars="0" w:firstLine="562" w:firstLineChars="200"/>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cs="宋体"/>
          <w:b/>
          <w:bCs/>
          <w:color w:val="000000" w:themeColor="text1"/>
          <w:sz w:val="28"/>
          <w:szCs w:val="28"/>
          <w:highlight w:val="none"/>
          <w:u w:val="single"/>
          <w:lang w:eastAsia="zh-CN"/>
          <w14:textFill>
            <w14:solidFill>
              <w14:schemeClr w14:val="tx1"/>
            </w14:solidFill>
          </w14:textFill>
        </w:rPr>
        <w:t>哈密市中心医院2025年医疗设备购置项目（第一批）（二次）（</w:t>
      </w:r>
      <w:r>
        <w:rPr>
          <w:rFonts w:hint="eastAsia" w:ascii="宋体" w:hAnsi="宋体" w:eastAsia="宋体" w:cs="宋体"/>
          <w:color w:val="000000" w:themeColor="text1"/>
          <w:sz w:val="28"/>
          <w:szCs w:val="28"/>
          <w:highlight w:val="none"/>
          <w14:textFill>
            <w14:solidFill>
              <w14:schemeClr w14:val="tx1"/>
            </w14:solidFill>
          </w14:textFill>
        </w:rPr>
        <w:t>采购项目的潜在供应商应在</w:t>
      </w:r>
      <w:r>
        <w:rPr>
          <w:rFonts w:hint="eastAsia" w:ascii="宋体" w:hAnsi="宋体" w:eastAsia="宋体" w:cs="宋体"/>
          <w:color w:val="000000" w:themeColor="text1"/>
          <w:sz w:val="28"/>
          <w:szCs w:val="28"/>
          <w:highlight w:val="none"/>
          <w:u w:val="single"/>
          <w14:textFill>
            <w14:solidFill>
              <w14:schemeClr w14:val="tx1"/>
            </w14:solidFill>
          </w14:textFill>
        </w:rPr>
        <w:t>新疆政府采购网（http://www.ccgp-xinjiang.gov.cn）</w:t>
      </w:r>
      <w:r>
        <w:rPr>
          <w:rFonts w:hint="eastAsia" w:ascii="宋体" w:hAnsi="宋体" w:eastAsia="宋体" w:cs="宋体"/>
          <w:color w:val="000000" w:themeColor="text1"/>
          <w:sz w:val="28"/>
          <w:szCs w:val="28"/>
          <w:highlight w:val="none"/>
          <w14:textFill>
            <w14:solidFill>
              <w14:schemeClr w14:val="tx1"/>
            </w14:solidFill>
          </w14:textFill>
        </w:rPr>
        <w:t>政采云平台线上获取采购文件，并于</w:t>
      </w:r>
      <w:r>
        <w:rPr>
          <w:rFonts w:hint="eastAsia" w:ascii="宋体" w:hAnsi="宋体" w:eastAsia="宋体" w:cs="宋体"/>
          <w:b/>
          <w:bCs/>
          <w:color w:val="000000" w:themeColor="text1"/>
          <w:sz w:val="28"/>
          <w:szCs w:val="28"/>
          <w:highlight w:val="none"/>
          <w:u w:val="single"/>
          <w14:textFill>
            <w14:solidFill>
              <w14:schemeClr w14:val="tx1"/>
            </w14:solidFill>
          </w14:textFill>
        </w:rPr>
        <w:t>202</w:t>
      </w:r>
      <w:r>
        <w:rPr>
          <w:rFonts w:hint="eastAsia" w:ascii="宋体" w:hAnsi="宋体" w:cs="宋体"/>
          <w:b/>
          <w:bCs/>
          <w:color w:val="000000" w:themeColor="text1"/>
          <w:sz w:val="28"/>
          <w:szCs w:val="28"/>
          <w:highlight w:val="none"/>
          <w:u w:val="single"/>
          <w:lang w:val="en-US" w:eastAsia="zh-CN"/>
          <w14:textFill>
            <w14:solidFill>
              <w14:schemeClr w14:val="tx1"/>
            </w14:solidFill>
          </w14:textFill>
        </w:rPr>
        <w:t>5</w:t>
      </w:r>
      <w:r>
        <w:rPr>
          <w:rFonts w:hint="eastAsia" w:ascii="宋体" w:hAnsi="宋体" w:eastAsia="宋体" w:cs="宋体"/>
          <w:b/>
          <w:bCs/>
          <w:color w:val="000000" w:themeColor="text1"/>
          <w:sz w:val="28"/>
          <w:szCs w:val="28"/>
          <w:highlight w:val="none"/>
          <w:u w:val="single"/>
          <w14:textFill>
            <w14:solidFill>
              <w14:schemeClr w14:val="tx1"/>
            </w14:solidFill>
          </w14:textFill>
        </w:rPr>
        <w:t>年</w:t>
      </w:r>
      <w:r>
        <w:rPr>
          <w:rFonts w:hint="eastAsia" w:ascii="宋体" w:hAnsi="宋体" w:cs="宋体"/>
          <w:b/>
          <w:bCs/>
          <w:color w:val="000000" w:themeColor="text1"/>
          <w:sz w:val="28"/>
          <w:szCs w:val="28"/>
          <w:highlight w:val="none"/>
          <w:u w:val="single"/>
          <w:lang w:val="en-US" w:eastAsia="zh-CN"/>
          <w14:textFill>
            <w14:solidFill>
              <w14:schemeClr w14:val="tx1"/>
            </w14:solidFill>
          </w14:textFill>
        </w:rPr>
        <w:t>07</w:t>
      </w:r>
      <w:r>
        <w:rPr>
          <w:rFonts w:hint="eastAsia" w:ascii="宋体" w:hAnsi="宋体" w:eastAsia="宋体" w:cs="宋体"/>
          <w:b/>
          <w:bCs/>
          <w:color w:val="000000" w:themeColor="text1"/>
          <w:sz w:val="28"/>
          <w:szCs w:val="28"/>
          <w:highlight w:val="none"/>
          <w:u w:val="single"/>
          <w14:textFill>
            <w14:solidFill>
              <w14:schemeClr w14:val="tx1"/>
            </w14:solidFill>
          </w14:textFill>
        </w:rPr>
        <w:t>月</w:t>
      </w:r>
      <w:r>
        <w:rPr>
          <w:rFonts w:hint="eastAsia" w:ascii="宋体" w:hAnsi="宋体" w:cs="宋体"/>
          <w:b/>
          <w:bCs/>
          <w:color w:val="000000" w:themeColor="text1"/>
          <w:sz w:val="28"/>
          <w:szCs w:val="28"/>
          <w:highlight w:val="none"/>
          <w:u w:val="single"/>
          <w:lang w:val="en-US" w:eastAsia="zh-CN"/>
          <w14:textFill>
            <w14:solidFill>
              <w14:schemeClr w14:val="tx1"/>
            </w14:solidFill>
          </w14:textFill>
        </w:rPr>
        <w:t>17</w:t>
      </w:r>
      <w:r>
        <w:rPr>
          <w:rFonts w:hint="eastAsia" w:ascii="宋体" w:hAnsi="宋体" w:eastAsia="宋体" w:cs="宋体"/>
          <w:b/>
          <w:bCs/>
          <w:color w:val="000000" w:themeColor="text1"/>
          <w:sz w:val="28"/>
          <w:szCs w:val="28"/>
          <w:highlight w:val="none"/>
          <w:u w:val="single"/>
          <w14:textFill>
            <w14:solidFill>
              <w14:schemeClr w14:val="tx1"/>
            </w14:solidFill>
          </w14:textFill>
        </w:rPr>
        <w:t>日1</w:t>
      </w:r>
      <w:r>
        <w:rPr>
          <w:rFonts w:hint="eastAsia" w:ascii="宋体" w:hAnsi="宋体" w:cs="宋体"/>
          <w:b/>
          <w:bCs/>
          <w:color w:val="000000" w:themeColor="text1"/>
          <w:sz w:val="28"/>
          <w:szCs w:val="28"/>
          <w:highlight w:val="none"/>
          <w:u w:val="single"/>
          <w:lang w:val="en-US" w:eastAsia="zh-CN"/>
          <w14:textFill>
            <w14:solidFill>
              <w14:schemeClr w14:val="tx1"/>
            </w14:solidFill>
          </w14:textFill>
        </w:rPr>
        <w:t>1</w:t>
      </w:r>
      <w:r>
        <w:rPr>
          <w:rFonts w:hint="eastAsia" w:ascii="宋体" w:hAnsi="宋体" w:eastAsia="宋体" w:cs="宋体"/>
          <w:b/>
          <w:bCs/>
          <w:color w:val="000000" w:themeColor="text1"/>
          <w:sz w:val="28"/>
          <w:szCs w:val="28"/>
          <w:highlight w:val="none"/>
          <w:u w:val="single"/>
          <w14:textFill>
            <w14:solidFill>
              <w14:schemeClr w14:val="tx1"/>
            </w14:solidFill>
          </w14:textFill>
        </w:rPr>
        <w:t>点00分</w:t>
      </w:r>
      <w:r>
        <w:rPr>
          <w:rFonts w:hint="eastAsia" w:ascii="宋体" w:hAnsi="宋体" w:eastAsia="宋体" w:cs="宋体"/>
          <w:bCs/>
          <w:color w:val="000000" w:themeColor="text1"/>
          <w:sz w:val="28"/>
          <w:szCs w:val="28"/>
          <w:highlight w:val="none"/>
          <w14:textFill>
            <w14:solidFill>
              <w14:schemeClr w14:val="tx1"/>
            </w14:solidFill>
          </w14:textFill>
        </w:rPr>
        <w:t>（北京时间）前提交响应文件</w:t>
      </w:r>
      <w:r>
        <w:rPr>
          <w:rFonts w:hint="eastAsia" w:ascii="宋体" w:hAnsi="宋体" w:eastAsia="宋体" w:cs="宋体"/>
          <w:color w:val="000000" w:themeColor="text1"/>
          <w:sz w:val="28"/>
          <w:szCs w:val="28"/>
          <w:highlight w:val="none"/>
          <w14:textFill>
            <w14:solidFill>
              <w14:schemeClr w14:val="tx1"/>
            </w14:solidFill>
          </w14:textFill>
        </w:rPr>
        <w:t>。</w:t>
      </w:r>
    </w:p>
    <w:p w14:paraId="5F7F57A4">
      <w:pPr>
        <w:pStyle w:val="3"/>
        <w:keepNext/>
        <w:keepLines/>
        <w:pageBreakBefore w:val="0"/>
        <w:widowControl w:val="0"/>
        <w:kinsoku/>
        <w:wordWrap/>
        <w:overflowPunct/>
        <w:topLinePunct w:val="0"/>
        <w:autoSpaceDE/>
        <w:autoSpaceDN/>
        <w:bidi w:val="0"/>
        <w:adjustRightInd/>
        <w:snapToGrid/>
        <w:spacing w:before="0" w:after="0" w:line="560" w:lineRule="exact"/>
        <w:ind w:left="0" w:leftChars="0"/>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一、项目基本情况</w:t>
      </w:r>
    </w:p>
    <w:p w14:paraId="386A8ECE">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项目编号：</w:t>
      </w:r>
      <w:r>
        <w:rPr>
          <w:rFonts w:hint="eastAsia" w:ascii="宋体" w:hAnsi="宋体" w:cs="宋体"/>
          <w:color w:val="000000" w:themeColor="text1"/>
          <w:sz w:val="28"/>
          <w:szCs w:val="28"/>
          <w:highlight w:val="none"/>
          <w:lang w:eastAsia="zh-CN"/>
          <w14:textFill>
            <w14:solidFill>
              <w14:schemeClr w14:val="tx1"/>
            </w14:solidFill>
          </w14:textFill>
        </w:rPr>
        <w:t>XJCY(HM)-2025019</w:t>
      </w:r>
      <w:r>
        <w:rPr>
          <w:rFonts w:hint="eastAsia" w:ascii="宋体" w:hAnsi="宋体" w:cs="宋体"/>
          <w:color w:val="000000" w:themeColor="text1"/>
          <w:sz w:val="28"/>
          <w:szCs w:val="28"/>
          <w:highlight w:val="none"/>
          <w:lang w:val="en-US" w:eastAsia="zh-CN"/>
          <w14:textFill>
            <w14:solidFill>
              <w14:schemeClr w14:val="tx1"/>
            </w14:solidFill>
          </w14:textFill>
        </w:rPr>
        <w:t>-01</w:t>
      </w:r>
    </w:p>
    <w:p w14:paraId="42106F2D">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cs="宋体"/>
          <w:color w:val="000000" w:themeColor="text1"/>
          <w:sz w:val="28"/>
          <w:szCs w:val="28"/>
          <w:highlight w:val="none"/>
          <w:lang w:eastAsia="zh-CN"/>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项目名称：</w:t>
      </w:r>
      <w:r>
        <w:rPr>
          <w:rFonts w:hint="eastAsia" w:ascii="宋体" w:hAnsi="宋体" w:cs="宋体"/>
          <w:color w:val="000000" w:themeColor="text1"/>
          <w:sz w:val="28"/>
          <w:szCs w:val="28"/>
          <w:highlight w:val="none"/>
          <w:lang w:eastAsia="zh-CN"/>
          <w14:textFill>
            <w14:solidFill>
              <w14:schemeClr w14:val="tx1"/>
            </w14:solidFill>
          </w14:textFill>
        </w:rPr>
        <w:t>哈密市中心医院2025年医疗设备购置项目（第一批）（二次）</w:t>
      </w:r>
    </w:p>
    <w:p w14:paraId="3A577C3F">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预算金额：</w:t>
      </w:r>
      <w:r>
        <w:rPr>
          <w:rFonts w:hint="eastAsia" w:ascii="宋体" w:hAnsi="宋体" w:cs="宋体"/>
          <w:color w:val="000000" w:themeColor="text1"/>
          <w:sz w:val="28"/>
          <w:szCs w:val="28"/>
          <w:highlight w:val="none"/>
          <w:lang w:val="en-US" w:eastAsia="zh-CN"/>
          <w14:textFill>
            <w14:solidFill>
              <w14:schemeClr w14:val="tx1"/>
            </w14:solidFill>
          </w14:textFill>
        </w:rPr>
        <w:t>42.8万</w:t>
      </w:r>
      <w:r>
        <w:rPr>
          <w:rFonts w:hint="eastAsia" w:ascii="宋体" w:hAnsi="宋体" w:eastAsia="宋体" w:cs="宋体"/>
          <w:color w:val="000000" w:themeColor="text1"/>
          <w:sz w:val="28"/>
          <w:szCs w:val="28"/>
          <w:highlight w:val="none"/>
          <w14:textFill>
            <w14:solidFill>
              <w14:schemeClr w14:val="tx1"/>
            </w14:solidFill>
          </w14:textFill>
        </w:rPr>
        <w:t>元</w:t>
      </w:r>
    </w:p>
    <w:p w14:paraId="7E2212F6">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lang w:eastAsia="zh-CN"/>
          <w14:textFill>
            <w14:solidFill>
              <w14:schemeClr w14:val="tx1"/>
            </w14:solidFill>
          </w14:textFill>
        </w:rPr>
        <w:t>最高限价：</w:t>
      </w:r>
      <w:r>
        <w:rPr>
          <w:rFonts w:hint="eastAsia" w:ascii="宋体" w:hAnsi="宋体" w:cs="宋体"/>
          <w:color w:val="000000" w:themeColor="text1"/>
          <w:sz w:val="28"/>
          <w:szCs w:val="28"/>
          <w:highlight w:val="none"/>
          <w:lang w:val="en-US" w:eastAsia="zh-CN"/>
          <w14:textFill>
            <w14:solidFill>
              <w14:schemeClr w14:val="tx1"/>
            </w14:solidFill>
          </w14:textFill>
        </w:rPr>
        <w:t>180000元、 200000元、20000元、28000元</w:t>
      </w:r>
    </w:p>
    <w:p w14:paraId="09EFF7C2">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采购需求：</w:t>
      </w:r>
    </w:p>
    <w:p w14:paraId="772EA769">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cs="宋体"/>
          <w:color w:val="000000" w:themeColor="text1"/>
          <w:sz w:val="28"/>
          <w:szCs w:val="28"/>
          <w:highlight w:val="none"/>
          <w:lang w:eastAsia="zh-CN"/>
          <w14:textFill>
            <w14:solidFill>
              <w14:schemeClr w14:val="tx1"/>
            </w14:solidFill>
          </w14:textFill>
        </w:rPr>
      </w:pPr>
      <w:r>
        <w:rPr>
          <w:rFonts w:hint="eastAsia" w:ascii="宋体" w:hAnsi="宋体" w:cs="宋体"/>
          <w:color w:val="000000" w:themeColor="text1"/>
          <w:sz w:val="28"/>
          <w:szCs w:val="28"/>
          <w:highlight w:val="none"/>
          <w:lang w:eastAsia="zh-CN"/>
          <w14:textFill>
            <w14:solidFill>
              <w14:schemeClr w14:val="tx1"/>
            </w14:solidFill>
          </w14:textFill>
        </w:rPr>
        <w:t>标项一</w:t>
      </w:r>
    </w:p>
    <w:p w14:paraId="482DBAE3">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cs="宋体"/>
          <w:color w:val="000000" w:themeColor="text1"/>
          <w:sz w:val="28"/>
          <w:szCs w:val="28"/>
          <w:highlight w:val="none"/>
          <w:lang w:eastAsia="zh-CN"/>
          <w14:textFill>
            <w14:solidFill>
              <w14:schemeClr w14:val="tx1"/>
            </w14:solidFill>
          </w14:textFill>
        </w:rPr>
      </w:pPr>
      <w:r>
        <w:rPr>
          <w:rFonts w:hint="eastAsia" w:ascii="宋体" w:hAnsi="宋体" w:cs="宋体"/>
          <w:color w:val="000000" w:themeColor="text1"/>
          <w:sz w:val="28"/>
          <w:szCs w:val="28"/>
          <w:highlight w:val="none"/>
          <w:lang w:eastAsia="zh-CN"/>
          <w14:textFill>
            <w14:solidFill>
              <w14:schemeClr w14:val="tx1"/>
            </w14:solidFill>
          </w14:textFill>
        </w:rPr>
        <w:t>标项名称:十功能自动煎药机</w:t>
      </w:r>
      <w:r>
        <w:rPr>
          <w:rFonts w:hint="eastAsia" w:ascii="宋体" w:hAnsi="宋体" w:cs="宋体"/>
          <w:color w:val="000000" w:themeColor="text1"/>
          <w:sz w:val="28"/>
          <w:szCs w:val="28"/>
          <w:highlight w:val="none"/>
          <w:lang w:eastAsia="zh-CN"/>
          <w14:textFill>
            <w14:solidFill>
              <w14:schemeClr w14:val="tx1"/>
            </w14:solidFill>
          </w14:textFill>
        </w:rPr>
        <w:br w:type="textWrapping"/>
      </w:r>
      <w:r>
        <w:rPr>
          <w:rFonts w:hint="eastAsia" w:ascii="宋体" w:hAnsi="宋体" w:cs="宋体"/>
          <w:color w:val="000000" w:themeColor="text1"/>
          <w:sz w:val="28"/>
          <w:szCs w:val="28"/>
          <w:highlight w:val="none"/>
          <w:lang w:eastAsia="zh-CN"/>
          <w14:textFill>
            <w14:solidFill>
              <w14:schemeClr w14:val="tx1"/>
            </w14:solidFill>
          </w14:textFill>
        </w:rPr>
        <w:t>数量:</w:t>
      </w:r>
      <w:r>
        <w:rPr>
          <w:rFonts w:hint="eastAsia" w:ascii="宋体" w:hAnsi="宋体" w:cs="宋体"/>
          <w:color w:val="000000" w:themeColor="text1"/>
          <w:sz w:val="28"/>
          <w:szCs w:val="28"/>
          <w:highlight w:val="none"/>
          <w:lang w:val="en-US" w:eastAsia="zh-CN"/>
          <w14:textFill>
            <w14:solidFill>
              <w14:schemeClr w14:val="tx1"/>
            </w14:solidFill>
          </w14:textFill>
        </w:rPr>
        <w:t>3</w:t>
      </w:r>
      <w:r>
        <w:rPr>
          <w:rFonts w:hint="eastAsia" w:ascii="宋体" w:hAnsi="宋体" w:cs="宋体"/>
          <w:color w:val="000000" w:themeColor="text1"/>
          <w:sz w:val="28"/>
          <w:szCs w:val="28"/>
          <w:highlight w:val="none"/>
          <w:lang w:eastAsia="zh-CN"/>
          <w14:textFill>
            <w14:solidFill>
              <w14:schemeClr w14:val="tx1"/>
            </w14:solidFill>
          </w14:textFill>
        </w:rPr>
        <w:br w:type="textWrapping"/>
      </w:r>
      <w:r>
        <w:rPr>
          <w:rFonts w:hint="eastAsia" w:ascii="宋体" w:hAnsi="宋体" w:cs="宋体"/>
          <w:color w:val="000000" w:themeColor="text1"/>
          <w:sz w:val="28"/>
          <w:szCs w:val="28"/>
          <w:highlight w:val="none"/>
          <w:lang w:eastAsia="zh-CN"/>
          <w14:textFill>
            <w14:solidFill>
              <w14:schemeClr w14:val="tx1"/>
            </w14:solidFill>
          </w14:textFill>
        </w:rPr>
        <w:t>预算金额（元）:</w:t>
      </w:r>
      <w:r>
        <w:rPr>
          <w:rFonts w:hint="eastAsia" w:ascii="宋体" w:hAnsi="宋体" w:cs="宋体"/>
          <w:color w:val="000000" w:themeColor="text1"/>
          <w:sz w:val="28"/>
          <w:szCs w:val="28"/>
          <w:highlight w:val="none"/>
          <w:lang w:val="en-US" w:eastAsia="zh-CN"/>
          <w14:textFill>
            <w14:solidFill>
              <w14:schemeClr w14:val="tx1"/>
            </w14:solidFill>
          </w14:textFill>
        </w:rPr>
        <w:t>180000</w:t>
      </w:r>
      <w:r>
        <w:rPr>
          <w:rFonts w:hint="eastAsia" w:ascii="宋体" w:hAnsi="宋体" w:cs="宋体"/>
          <w:color w:val="000000" w:themeColor="text1"/>
          <w:sz w:val="28"/>
          <w:szCs w:val="28"/>
          <w:highlight w:val="none"/>
          <w:lang w:eastAsia="zh-CN"/>
          <w14:textFill>
            <w14:solidFill>
              <w14:schemeClr w14:val="tx1"/>
            </w14:solidFill>
          </w14:textFill>
        </w:rPr>
        <w:br w:type="textWrapping"/>
      </w:r>
      <w:r>
        <w:rPr>
          <w:rFonts w:hint="eastAsia" w:ascii="宋体" w:hAnsi="宋体" w:cs="宋体"/>
          <w:color w:val="000000" w:themeColor="text1"/>
          <w:sz w:val="28"/>
          <w:szCs w:val="28"/>
          <w:highlight w:val="none"/>
          <w:lang w:eastAsia="zh-CN"/>
          <w14:textFill>
            <w14:solidFill>
              <w14:schemeClr w14:val="tx1"/>
            </w14:solidFill>
          </w14:textFill>
        </w:rPr>
        <w:t>单位：台 </w:t>
      </w:r>
      <w:r>
        <w:rPr>
          <w:rFonts w:hint="eastAsia" w:ascii="宋体" w:hAnsi="宋体" w:cs="宋体"/>
          <w:color w:val="000000" w:themeColor="text1"/>
          <w:sz w:val="28"/>
          <w:szCs w:val="28"/>
          <w:highlight w:val="none"/>
          <w:lang w:eastAsia="zh-CN"/>
          <w14:textFill>
            <w14:solidFill>
              <w14:schemeClr w14:val="tx1"/>
            </w14:solidFill>
          </w14:textFill>
        </w:rPr>
        <w:br w:type="textWrapping"/>
      </w:r>
      <w:r>
        <w:rPr>
          <w:rFonts w:hint="eastAsia" w:ascii="宋体" w:hAnsi="宋体" w:cs="宋体"/>
          <w:color w:val="000000" w:themeColor="text1"/>
          <w:sz w:val="28"/>
          <w:szCs w:val="28"/>
          <w:highlight w:val="none"/>
          <w:lang w:eastAsia="zh-CN"/>
          <w14:textFill>
            <w14:solidFill>
              <w14:schemeClr w14:val="tx1"/>
            </w14:solidFill>
          </w14:textFill>
        </w:rPr>
        <w:t>简要规格描述或项目基本概况介绍、用途：采购十功能自动煎药机（具体参数要求详见招标文件）</w:t>
      </w:r>
      <w:r>
        <w:rPr>
          <w:rFonts w:hint="eastAsia" w:ascii="宋体" w:hAnsi="宋体" w:cs="宋体"/>
          <w:color w:val="000000" w:themeColor="text1"/>
          <w:sz w:val="28"/>
          <w:szCs w:val="28"/>
          <w:highlight w:val="none"/>
          <w:lang w:eastAsia="zh-CN"/>
          <w14:textFill>
            <w14:solidFill>
              <w14:schemeClr w14:val="tx1"/>
            </w14:solidFill>
          </w14:textFill>
        </w:rPr>
        <w:br w:type="textWrapping"/>
      </w:r>
      <w:r>
        <w:rPr>
          <w:rFonts w:hint="eastAsia" w:ascii="宋体" w:hAnsi="宋体" w:cs="宋体"/>
          <w:color w:val="000000" w:themeColor="text1"/>
          <w:sz w:val="28"/>
          <w:szCs w:val="28"/>
          <w:highlight w:val="none"/>
          <w:lang w:eastAsia="zh-CN"/>
          <w14:textFill>
            <w14:solidFill>
              <w14:schemeClr w14:val="tx1"/>
            </w14:solidFill>
          </w14:textFill>
        </w:rPr>
        <w:t>备注：</w:t>
      </w:r>
    </w:p>
    <w:p w14:paraId="590F8475">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cs="宋体"/>
          <w:color w:val="000000" w:themeColor="text1"/>
          <w:sz w:val="28"/>
          <w:szCs w:val="28"/>
          <w:highlight w:val="none"/>
          <w:lang w:eastAsia="zh-CN"/>
          <w14:textFill>
            <w14:solidFill>
              <w14:schemeClr w14:val="tx1"/>
            </w14:solidFill>
          </w14:textFill>
        </w:rPr>
      </w:pPr>
      <w:r>
        <w:rPr>
          <w:rFonts w:hint="eastAsia" w:ascii="宋体" w:hAnsi="宋体" w:cs="宋体"/>
          <w:color w:val="000000" w:themeColor="text1"/>
          <w:sz w:val="28"/>
          <w:szCs w:val="28"/>
          <w:highlight w:val="none"/>
          <w:lang w:eastAsia="zh-CN"/>
          <w14:textFill>
            <w14:solidFill>
              <w14:schemeClr w14:val="tx1"/>
            </w14:solidFill>
          </w14:textFill>
        </w:rPr>
        <w:t>标项二</w:t>
      </w:r>
    </w:p>
    <w:p w14:paraId="79A8C1EB">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lang w:eastAsia="zh-CN"/>
          <w14:textFill>
            <w14:solidFill>
              <w14:schemeClr w14:val="tx1"/>
            </w14:solidFill>
          </w14:textFill>
        </w:rPr>
        <w:t>标项名称:健康体检一体机</w:t>
      </w:r>
      <w:r>
        <w:rPr>
          <w:rFonts w:hint="eastAsia" w:ascii="宋体" w:hAnsi="宋体" w:cs="宋体"/>
          <w:color w:val="000000" w:themeColor="text1"/>
          <w:sz w:val="28"/>
          <w:szCs w:val="28"/>
          <w:highlight w:val="none"/>
          <w:lang w:eastAsia="zh-CN"/>
          <w14:textFill>
            <w14:solidFill>
              <w14:schemeClr w14:val="tx1"/>
            </w14:solidFill>
          </w14:textFill>
        </w:rPr>
        <w:br w:type="textWrapping"/>
      </w:r>
      <w:r>
        <w:rPr>
          <w:rFonts w:hint="eastAsia" w:ascii="宋体" w:hAnsi="宋体" w:cs="宋体"/>
          <w:color w:val="000000" w:themeColor="text1"/>
          <w:sz w:val="28"/>
          <w:szCs w:val="28"/>
          <w:highlight w:val="none"/>
          <w:lang w:eastAsia="zh-CN"/>
          <w14:textFill>
            <w14:solidFill>
              <w14:schemeClr w14:val="tx1"/>
            </w14:solidFill>
          </w14:textFill>
        </w:rPr>
        <w:t>数量:1</w:t>
      </w:r>
      <w:r>
        <w:rPr>
          <w:rFonts w:hint="eastAsia" w:ascii="宋体" w:hAnsi="宋体" w:cs="宋体"/>
          <w:color w:val="000000" w:themeColor="text1"/>
          <w:sz w:val="28"/>
          <w:szCs w:val="28"/>
          <w:highlight w:val="none"/>
          <w:lang w:eastAsia="zh-CN"/>
          <w14:textFill>
            <w14:solidFill>
              <w14:schemeClr w14:val="tx1"/>
            </w14:solidFill>
          </w14:textFill>
        </w:rPr>
        <w:br w:type="textWrapping"/>
      </w:r>
      <w:r>
        <w:rPr>
          <w:rFonts w:hint="eastAsia" w:ascii="宋体" w:hAnsi="宋体" w:cs="宋体"/>
          <w:color w:val="000000" w:themeColor="text1"/>
          <w:sz w:val="28"/>
          <w:szCs w:val="28"/>
          <w:highlight w:val="none"/>
          <w:lang w:eastAsia="zh-CN"/>
          <w14:textFill>
            <w14:solidFill>
              <w14:schemeClr w14:val="tx1"/>
            </w14:solidFill>
          </w14:textFill>
        </w:rPr>
        <w:t>预算金额（元）:</w:t>
      </w:r>
      <w:r>
        <w:rPr>
          <w:rFonts w:hint="eastAsia" w:ascii="宋体" w:hAnsi="宋体" w:cs="宋体"/>
          <w:color w:val="000000" w:themeColor="text1"/>
          <w:sz w:val="28"/>
          <w:szCs w:val="28"/>
          <w:highlight w:val="none"/>
          <w:lang w:val="en-US" w:eastAsia="zh-CN"/>
          <w14:textFill>
            <w14:solidFill>
              <w14:schemeClr w14:val="tx1"/>
            </w14:solidFill>
          </w14:textFill>
        </w:rPr>
        <w:t>200000</w:t>
      </w:r>
      <w:r>
        <w:rPr>
          <w:rFonts w:hint="eastAsia" w:ascii="宋体" w:hAnsi="宋体" w:cs="宋体"/>
          <w:color w:val="000000" w:themeColor="text1"/>
          <w:sz w:val="28"/>
          <w:szCs w:val="28"/>
          <w:highlight w:val="none"/>
          <w:lang w:eastAsia="zh-CN"/>
          <w14:textFill>
            <w14:solidFill>
              <w14:schemeClr w14:val="tx1"/>
            </w14:solidFill>
          </w14:textFill>
        </w:rPr>
        <w:br w:type="textWrapping"/>
      </w:r>
      <w:r>
        <w:rPr>
          <w:rFonts w:hint="eastAsia" w:ascii="宋体" w:hAnsi="宋体" w:cs="宋体"/>
          <w:color w:val="000000" w:themeColor="text1"/>
          <w:sz w:val="28"/>
          <w:szCs w:val="28"/>
          <w:highlight w:val="none"/>
          <w:lang w:eastAsia="zh-CN"/>
          <w14:textFill>
            <w14:solidFill>
              <w14:schemeClr w14:val="tx1"/>
            </w14:solidFill>
          </w14:textFill>
        </w:rPr>
        <w:t>单位：台 </w:t>
      </w:r>
      <w:r>
        <w:rPr>
          <w:rFonts w:hint="eastAsia" w:ascii="宋体" w:hAnsi="宋体" w:cs="宋体"/>
          <w:color w:val="000000" w:themeColor="text1"/>
          <w:sz w:val="28"/>
          <w:szCs w:val="28"/>
          <w:highlight w:val="none"/>
          <w:lang w:eastAsia="zh-CN"/>
          <w14:textFill>
            <w14:solidFill>
              <w14:schemeClr w14:val="tx1"/>
            </w14:solidFill>
          </w14:textFill>
        </w:rPr>
        <w:br w:type="textWrapping"/>
      </w:r>
      <w:r>
        <w:rPr>
          <w:rFonts w:hint="eastAsia" w:ascii="宋体" w:hAnsi="宋体" w:cs="宋体"/>
          <w:color w:val="000000" w:themeColor="text1"/>
          <w:sz w:val="28"/>
          <w:szCs w:val="28"/>
          <w:highlight w:val="none"/>
          <w:lang w:eastAsia="zh-CN"/>
          <w14:textFill>
            <w14:solidFill>
              <w14:schemeClr w14:val="tx1"/>
            </w14:solidFill>
          </w14:textFill>
        </w:rPr>
        <w:t>简要规格描述或项目基本概况介绍、用途：采购健康体检一体机（具体参数要求详见招标文件）</w:t>
      </w:r>
      <w:r>
        <w:rPr>
          <w:rFonts w:hint="eastAsia" w:ascii="宋体" w:hAnsi="宋体" w:cs="宋体"/>
          <w:color w:val="000000" w:themeColor="text1"/>
          <w:sz w:val="28"/>
          <w:szCs w:val="28"/>
          <w:highlight w:val="none"/>
          <w:lang w:eastAsia="zh-CN"/>
          <w14:textFill>
            <w14:solidFill>
              <w14:schemeClr w14:val="tx1"/>
            </w14:solidFill>
          </w14:textFill>
        </w:rPr>
        <w:br w:type="textWrapping"/>
      </w:r>
      <w:r>
        <w:rPr>
          <w:rFonts w:hint="eastAsia" w:ascii="宋体" w:hAnsi="宋体" w:cs="宋体"/>
          <w:color w:val="000000" w:themeColor="text1"/>
          <w:sz w:val="28"/>
          <w:szCs w:val="28"/>
          <w:highlight w:val="none"/>
          <w:lang w:eastAsia="zh-CN"/>
          <w14:textFill>
            <w14:solidFill>
              <w14:schemeClr w14:val="tx1"/>
            </w14:solidFill>
          </w14:textFill>
        </w:rPr>
        <w:t>备注：</w:t>
      </w:r>
    </w:p>
    <w:p w14:paraId="62DECDF4">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cs="宋体"/>
          <w:color w:val="000000" w:themeColor="text1"/>
          <w:sz w:val="28"/>
          <w:szCs w:val="28"/>
          <w:highlight w:val="none"/>
          <w:lang w:eastAsia="zh-CN"/>
          <w14:textFill>
            <w14:solidFill>
              <w14:schemeClr w14:val="tx1"/>
            </w14:solidFill>
          </w14:textFill>
        </w:rPr>
      </w:pPr>
      <w:r>
        <w:rPr>
          <w:rFonts w:hint="eastAsia" w:ascii="宋体" w:hAnsi="宋体" w:cs="宋体"/>
          <w:color w:val="000000" w:themeColor="text1"/>
          <w:sz w:val="28"/>
          <w:szCs w:val="28"/>
          <w:highlight w:val="none"/>
          <w:lang w:eastAsia="zh-CN"/>
          <w14:textFill>
            <w14:solidFill>
              <w14:schemeClr w14:val="tx1"/>
            </w14:solidFill>
          </w14:textFill>
        </w:rPr>
        <w:t>标项三</w:t>
      </w:r>
    </w:p>
    <w:p w14:paraId="6ABCAE0A">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lang w:eastAsia="zh-CN"/>
          <w14:textFill>
            <w14:solidFill>
              <w14:schemeClr w14:val="tx1"/>
            </w14:solidFill>
          </w14:textFill>
        </w:rPr>
        <w:t>标项名称:</w:t>
      </w:r>
      <w:r>
        <w:rPr>
          <w:rFonts w:hint="eastAsia" w:ascii="宋体" w:hAnsi="宋体" w:cs="宋体"/>
          <w:color w:val="000000" w:themeColor="text1"/>
          <w:sz w:val="28"/>
          <w:szCs w:val="28"/>
          <w:highlight w:val="none"/>
          <w:lang w:val="en-US" w:eastAsia="zh-CN"/>
          <w14:textFill>
            <w14:solidFill>
              <w14:schemeClr w14:val="tx1"/>
            </w14:solidFill>
          </w14:textFill>
        </w:rPr>
        <w:t>汤剂包装机</w:t>
      </w:r>
      <w:r>
        <w:rPr>
          <w:rFonts w:hint="eastAsia" w:ascii="宋体" w:hAnsi="宋体" w:cs="宋体"/>
          <w:color w:val="000000" w:themeColor="text1"/>
          <w:sz w:val="28"/>
          <w:szCs w:val="28"/>
          <w:highlight w:val="none"/>
          <w:lang w:eastAsia="zh-CN"/>
          <w14:textFill>
            <w14:solidFill>
              <w14:schemeClr w14:val="tx1"/>
            </w14:solidFill>
          </w14:textFill>
        </w:rPr>
        <w:br w:type="textWrapping"/>
      </w:r>
      <w:r>
        <w:rPr>
          <w:rFonts w:hint="eastAsia" w:ascii="宋体" w:hAnsi="宋体" w:cs="宋体"/>
          <w:color w:val="000000" w:themeColor="text1"/>
          <w:sz w:val="28"/>
          <w:szCs w:val="28"/>
          <w:highlight w:val="none"/>
          <w:lang w:eastAsia="zh-CN"/>
          <w14:textFill>
            <w14:solidFill>
              <w14:schemeClr w14:val="tx1"/>
            </w14:solidFill>
          </w14:textFill>
        </w:rPr>
        <w:t>数量:1</w:t>
      </w:r>
      <w:r>
        <w:rPr>
          <w:rFonts w:hint="eastAsia" w:ascii="宋体" w:hAnsi="宋体" w:cs="宋体"/>
          <w:color w:val="000000" w:themeColor="text1"/>
          <w:sz w:val="28"/>
          <w:szCs w:val="28"/>
          <w:highlight w:val="none"/>
          <w:lang w:eastAsia="zh-CN"/>
          <w14:textFill>
            <w14:solidFill>
              <w14:schemeClr w14:val="tx1"/>
            </w14:solidFill>
          </w14:textFill>
        </w:rPr>
        <w:br w:type="textWrapping"/>
      </w:r>
      <w:r>
        <w:rPr>
          <w:rFonts w:hint="eastAsia" w:ascii="宋体" w:hAnsi="宋体" w:cs="宋体"/>
          <w:color w:val="000000" w:themeColor="text1"/>
          <w:sz w:val="28"/>
          <w:szCs w:val="28"/>
          <w:highlight w:val="none"/>
          <w:lang w:eastAsia="zh-CN"/>
          <w14:textFill>
            <w14:solidFill>
              <w14:schemeClr w14:val="tx1"/>
            </w14:solidFill>
          </w14:textFill>
        </w:rPr>
        <w:t>预算金额（元）:</w:t>
      </w:r>
      <w:r>
        <w:rPr>
          <w:rFonts w:hint="eastAsia" w:ascii="宋体" w:hAnsi="宋体" w:cs="宋体"/>
          <w:color w:val="000000" w:themeColor="text1"/>
          <w:sz w:val="28"/>
          <w:szCs w:val="28"/>
          <w:highlight w:val="none"/>
          <w:lang w:val="en-US" w:eastAsia="zh-CN"/>
          <w14:textFill>
            <w14:solidFill>
              <w14:schemeClr w14:val="tx1"/>
            </w14:solidFill>
          </w14:textFill>
        </w:rPr>
        <w:t>20000</w:t>
      </w:r>
      <w:r>
        <w:rPr>
          <w:rFonts w:hint="eastAsia" w:ascii="宋体" w:hAnsi="宋体" w:cs="宋体"/>
          <w:color w:val="000000" w:themeColor="text1"/>
          <w:sz w:val="28"/>
          <w:szCs w:val="28"/>
          <w:highlight w:val="none"/>
          <w:lang w:eastAsia="zh-CN"/>
          <w14:textFill>
            <w14:solidFill>
              <w14:schemeClr w14:val="tx1"/>
            </w14:solidFill>
          </w14:textFill>
        </w:rPr>
        <w:br w:type="textWrapping"/>
      </w:r>
      <w:r>
        <w:rPr>
          <w:rFonts w:hint="eastAsia" w:ascii="宋体" w:hAnsi="宋体" w:cs="宋体"/>
          <w:color w:val="000000" w:themeColor="text1"/>
          <w:sz w:val="28"/>
          <w:szCs w:val="28"/>
          <w:highlight w:val="none"/>
          <w:lang w:eastAsia="zh-CN"/>
          <w14:textFill>
            <w14:solidFill>
              <w14:schemeClr w14:val="tx1"/>
            </w14:solidFill>
          </w14:textFill>
        </w:rPr>
        <w:t>单位：台 </w:t>
      </w:r>
      <w:r>
        <w:rPr>
          <w:rFonts w:hint="eastAsia" w:ascii="宋体" w:hAnsi="宋体" w:cs="宋体"/>
          <w:color w:val="000000" w:themeColor="text1"/>
          <w:sz w:val="28"/>
          <w:szCs w:val="28"/>
          <w:highlight w:val="none"/>
          <w:lang w:eastAsia="zh-CN"/>
          <w14:textFill>
            <w14:solidFill>
              <w14:schemeClr w14:val="tx1"/>
            </w14:solidFill>
          </w14:textFill>
        </w:rPr>
        <w:br w:type="textWrapping"/>
      </w:r>
      <w:r>
        <w:rPr>
          <w:rFonts w:hint="eastAsia" w:ascii="宋体" w:hAnsi="宋体" w:cs="宋体"/>
          <w:color w:val="000000" w:themeColor="text1"/>
          <w:sz w:val="28"/>
          <w:szCs w:val="28"/>
          <w:highlight w:val="none"/>
          <w:lang w:eastAsia="zh-CN"/>
          <w14:textFill>
            <w14:solidFill>
              <w14:schemeClr w14:val="tx1"/>
            </w14:solidFill>
          </w14:textFill>
        </w:rPr>
        <w:t>简要规格描述或项目基本概况介绍、用途：采购</w:t>
      </w:r>
      <w:r>
        <w:rPr>
          <w:rFonts w:hint="eastAsia" w:ascii="宋体" w:hAnsi="宋体" w:cs="宋体"/>
          <w:color w:val="000000" w:themeColor="text1"/>
          <w:sz w:val="28"/>
          <w:szCs w:val="28"/>
          <w:highlight w:val="none"/>
          <w:lang w:val="en-US" w:eastAsia="zh-CN"/>
          <w14:textFill>
            <w14:solidFill>
              <w14:schemeClr w14:val="tx1"/>
            </w14:solidFill>
          </w14:textFill>
        </w:rPr>
        <w:t>汤剂包装机</w:t>
      </w:r>
      <w:r>
        <w:rPr>
          <w:rFonts w:hint="eastAsia" w:ascii="宋体" w:hAnsi="宋体" w:cs="宋体"/>
          <w:color w:val="000000" w:themeColor="text1"/>
          <w:sz w:val="28"/>
          <w:szCs w:val="28"/>
          <w:highlight w:val="none"/>
          <w:lang w:eastAsia="zh-CN"/>
          <w14:textFill>
            <w14:solidFill>
              <w14:schemeClr w14:val="tx1"/>
            </w14:solidFill>
          </w14:textFill>
        </w:rPr>
        <w:t>（具体参数要求详见招标文件）</w:t>
      </w:r>
      <w:r>
        <w:rPr>
          <w:rFonts w:hint="eastAsia" w:ascii="宋体" w:hAnsi="宋体" w:cs="宋体"/>
          <w:color w:val="000000" w:themeColor="text1"/>
          <w:sz w:val="28"/>
          <w:szCs w:val="28"/>
          <w:highlight w:val="none"/>
          <w:lang w:eastAsia="zh-CN"/>
          <w14:textFill>
            <w14:solidFill>
              <w14:schemeClr w14:val="tx1"/>
            </w14:solidFill>
          </w14:textFill>
        </w:rPr>
        <w:br w:type="textWrapping"/>
      </w:r>
      <w:r>
        <w:rPr>
          <w:rFonts w:hint="eastAsia" w:ascii="宋体" w:hAnsi="宋体" w:cs="宋体"/>
          <w:color w:val="000000" w:themeColor="text1"/>
          <w:sz w:val="28"/>
          <w:szCs w:val="28"/>
          <w:highlight w:val="none"/>
          <w:lang w:eastAsia="zh-CN"/>
          <w14:textFill>
            <w14:solidFill>
              <w14:schemeClr w14:val="tx1"/>
            </w14:solidFill>
          </w14:textFill>
        </w:rPr>
        <w:t>备注：</w:t>
      </w:r>
    </w:p>
    <w:p w14:paraId="0426CF0C">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cs="宋体"/>
          <w:color w:val="000000" w:themeColor="text1"/>
          <w:sz w:val="28"/>
          <w:szCs w:val="28"/>
          <w:highlight w:val="none"/>
          <w:lang w:eastAsia="zh-CN"/>
          <w14:textFill>
            <w14:solidFill>
              <w14:schemeClr w14:val="tx1"/>
            </w14:solidFill>
          </w14:textFill>
        </w:rPr>
      </w:pPr>
      <w:r>
        <w:rPr>
          <w:rFonts w:hint="eastAsia" w:ascii="宋体" w:hAnsi="宋体" w:cs="宋体"/>
          <w:color w:val="000000" w:themeColor="text1"/>
          <w:sz w:val="28"/>
          <w:szCs w:val="28"/>
          <w:highlight w:val="none"/>
          <w:lang w:eastAsia="zh-CN"/>
          <w14:textFill>
            <w14:solidFill>
              <w14:schemeClr w14:val="tx1"/>
            </w14:solidFill>
          </w14:textFill>
        </w:rPr>
        <w:t>标项四</w:t>
      </w:r>
    </w:p>
    <w:p w14:paraId="64120166">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cs="宋体"/>
          <w:color w:val="000000" w:themeColor="text1"/>
          <w:sz w:val="28"/>
          <w:szCs w:val="28"/>
          <w:highlight w:val="none"/>
          <w:lang w:eastAsia="zh-CN"/>
          <w14:textFill>
            <w14:solidFill>
              <w14:schemeClr w14:val="tx1"/>
            </w14:solidFill>
          </w14:textFill>
        </w:rPr>
      </w:pPr>
      <w:r>
        <w:rPr>
          <w:rFonts w:hint="eastAsia" w:ascii="宋体" w:hAnsi="宋体" w:cs="宋体"/>
          <w:color w:val="000000" w:themeColor="text1"/>
          <w:sz w:val="28"/>
          <w:szCs w:val="28"/>
          <w:highlight w:val="none"/>
          <w:lang w:eastAsia="zh-CN"/>
          <w14:textFill>
            <w14:solidFill>
              <w14:schemeClr w14:val="tx1"/>
            </w14:solidFill>
          </w14:textFill>
        </w:rPr>
        <w:t>标项名称:智能头痛舒眠仪</w:t>
      </w:r>
      <w:r>
        <w:rPr>
          <w:rFonts w:hint="eastAsia" w:ascii="宋体" w:hAnsi="宋体" w:cs="宋体"/>
          <w:color w:val="000000" w:themeColor="text1"/>
          <w:sz w:val="28"/>
          <w:szCs w:val="28"/>
          <w:highlight w:val="none"/>
          <w:lang w:eastAsia="zh-CN"/>
          <w14:textFill>
            <w14:solidFill>
              <w14:schemeClr w14:val="tx1"/>
            </w14:solidFill>
          </w14:textFill>
        </w:rPr>
        <w:br w:type="textWrapping"/>
      </w:r>
      <w:r>
        <w:rPr>
          <w:rFonts w:hint="eastAsia" w:ascii="宋体" w:hAnsi="宋体" w:cs="宋体"/>
          <w:color w:val="000000" w:themeColor="text1"/>
          <w:sz w:val="28"/>
          <w:szCs w:val="28"/>
          <w:highlight w:val="none"/>
          <w:lang w:eastAsia="zh-CN"/>
          <w14:textFill>
            <w14:solidFill>
              <w14:schemeClr w14:val="tx1"/>
            </w14:solidFill>
          </w14:textFill>
        </w:rPr>
        <w:t>数量:</w:t>
      </w:r>
      <w:r>
        <w:rPr>
          <w:rFonts w:hint="eastAsia" w:ascii="宋体" w:hAnsi="宋体" w:cs="宋体"/>
          <w:color w:val="000000" w:themeColor="text1"/>
          <w:sz w:val="28"/>
          <w:szCs w:val="28"/>
          <w:highlight w:val="none"/>
          <w:lang w:val="en-US" w:eastAsia="zh-CN"/>
          <w14:textFill>
            <w14:solidFill>
              <w14:schemeClr w14:val="tx1"/>
            </w14:solidFill>
          </w14:textFill>
        </w:rPr>
        <w:t>10</w:t>
      </w:r>
      <w:r>
        <w:rPr>
          <w:rFonts w:hint="eastAsia" w:ascii="宋体" w:hAnsi="宋体" w:cs="宋体"/>
          <w:color w:val="000000" w:themeColor="text1"/>
          <w:sz w:val="28"/>
          <w:szCs w:val="28"/>
          <w:highlight w:val="none"/>
          <w:lang w:eastAsia="zh-CN"/>
          <w14:textFill>
            <w14:solidFill>
              <w14:schemeClr w14:val="tx1"/>
            </w14:solidFill>
          </w14:textFill>
        </w:rPr>
        <w:br w:type="textWrapping"/>
      </w:r>
      <w:r>
        <w:rPr>
          <w:rFonts w:hint="eastAsia" w:ascii="宋体" w:hAnsi="宋体" w:cs="宋体"/>
          <w:color w:val="000000" w:themeColor="text1"/>
          <w:sz w:val="28"/>
          <w:szCs w:val="28"/>
          <w:highlight w:val="none"/>
          <w:lang w:eastAsia="zh-CN"/>
          <w14:textFill>
            <w14:solidFill>
              <w14:schemeClr w14:val="tx1"/>
            </w14:solidFill>
          </w14:textFill>
        </w:rPr>
        <w:t>预算金额（元）:</w:t>
      </w:r>
      <w:r>
        <w:rPr>
          <w:rFonts w:hint="eastAsia" w:ascii="宋体" w:hAnsi="宋体" w:cs="宋体"/>
          <w:color w:val="000000" w:themeColor="text1"/>
          <w:sz w:val="28"/>
          <w:szCs w:val="28"/>
          <w:highlight w:val="none"/>
          <w:lang w:val="en-US" w:eastAsia="zh-CN"/>
          <w14:textFill>
            <w14:solidFill>
              <w14:schemeClr w14:val="tx1"/>
            </w14:solidFill>
          </w14:textFill>
        </w:rPr>
        <w:t>28000</w:t>
      </w:r>
      <w:r>
        <w:rPr>
          <w:rFonts w:hint="eastAsia" w:ascii="宋体" w:hAnsi="宋体" w:cs="宋体"/>
          <w:color w:val="000000" w:themeColor="text1"/>
          <w:sz w:val="28"/>
          <w:szCs w:val="28"/>
          <w:highlight w:val="none"/>
          <w:lang w:eastAsia="zh-CN"/>
          <w14:textFill>
            <w14:solidFill>
              <w14:schemeClr w14:val="tx1"/>
            </w14:solidFill>
          </w14:textFill>
        </w:rPr>
        <w:br w:type="textWrapping"/>
      </w:r>
      <w:r>
        <w:rPr>
          <w:rFonts w:hint="eastAsia" w:ascii="宋体" w:hAnsi="宋体" w:cs="宋体"/>
          <w:color w:val="000000" w:themeColor="text1"/>
          <w:sz w:val="28"/>
          <w:szCs w:val="28"/>
          <w:highlight w:val="none"/>
          <w:lang w:eastAsia="zh-CN"/>
          <w14:textFill>
            <w14:solidFill>
              <w14:schemeClr w14:val="tx1"/>
            </w14:solidFill>
          </w14:textFill>
        </w:rPr>
        <w:t>单位：台 </w:t>
      </w:r>
      <w:r>
        <w:rPr>
          <w:rFonts w:hint="eastAsia" w:ascii="宋体" w:hAnsi="宋体" w:cs="宋体"/>
          <w:color w:val="000000" w:themeColor="text1"/>
          <w:sz w:val="28"/>
          <w:szCs w:val="28"/>
          <w:highlight w:val="none"/>
          <w:lang w:eastAsia="zh-CN"/>
          <w14:textFill>
            <w14:solidFill>
              <w14:schemeClr w14:val="tx1"/>
            </w14:solidFill>
          </w14:textFill>
        </w:rPr>
        <w:br w:type="textWrapping"/>
      </w:r>
      <w:r>
        <w:rPr>
          <w:rFonts w:hint="eastAsia" w:ascii="宋体" w:hAnsi="宋体" w:cs="宋体"/>
          <w:color w:val="000000" w:themeColor="text1"/>
          <w:sz w:val="28"/>
          <w:szCs w:val="28"/>
          <w:highlight w:val="none"/>
          <w:lang w:eastAsia="zh-CN"/>
          <w14:textFill>
            <w14:solidFill>
              <w14:schemeClr w14:val="tx1"/>
            </w14:solidFill>
          </w14:textFill>
        </w:rPr>
        <w:t>简要规格描述或项目基本概况介绍、用途：采购智能头痛舒眠仪（具体参数要求详见招标文件）</w:t>
      </w:r>
      <w:r>
        <w:rPr>
          <w:rFonts w:hint="eastAsia" w:ascii="宋体" w:hAnsi="宋体" w:cs="宋体"/>
          <w:color w:val="000000" w:themeColor="text1"/>
          <w:sz w:val="28"/>
          <w:szCs w:val="28"/>
          <w:highlight w:val="none"/>
          <w:lang w:eastAsia="zh-CN"/>
          <w14:textFill>
            <w14:solidFill>
              <w14:schemeClr w14:val="tx1"/>
            </w14:solidFill>
          </w14:textFill>
        </w:rPr>
        <w:br w:type="textWrapping"/>
      </w:r>
      <w:r>
        <w:rPr>
          <w:rFonts w:hint="eastAsia" w:ascii="宋体" w:hAnsi="宋体" w:cs="宋体"/>
          <w:color w:val="000000" w:themeColor="text1"/>
          <w:sz w:val="28"/>
          <w:szCs w:val="28"/>
          <w:highlight w:val="none"/>
          <w:lang w:eastAsia="zh-CN"/>
          <w14:textFill>
            <w14:solidFill>
              <w14:schemeClr w14:val="tx1"/>
            </w14:solidFill>
          </w14:textFill>
        </w:rPr>
        <w:t>备注：</w:t>
      </w:r>
    </w:p>
    <w:p w14:paraId="36F352A4">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合同履</w:t>
      </w:r>
      <w:r>
        <w:rPr>
          <w:rFonts w:hint="eastAsia" w:ascii="宋体" w:hAnsi="宋体" w:eastAsia="宋体" w:cs="宋体"/>
          <w:color w:val="000000" w:themeColor="text1"/>
          <w:sz w:val="28"/>
          <w:szCs w:val="28"/>
          <w:highlight w:val="none"/>
          <w:lang w:eastAsia="zh-CN"/>
          <w14:textFill>
            <w14:solidFill>
              <w14:schemeClr w14:val="tx1"/>
            </w14:solidFill>
          </w14:textFill>
        </w:rPr>
        <w:t>约</w:t>
      </w:r>
      <w:r>
        <w:rPr>
          <w:rFonts w:hint="eastAsia" w:ascii="宋体" w:hAnsi="宋体" w:eastAsia="宋体" w:cs="宋体"/>
          <w:color w:val="000000" w:themeColor="text1"/>
          <w:sz w:val="28"/>
          <w:szCs w:val="28"/>
          <w:highlight w:val="none"/>
          <w14:textFill>
            <w14:solidFill>
              <w14:schemeClr w14:val="tx1"/>
            </w14:solidFill>
          </w14:textFill>
        </w:rPr>
        <w:t>期限：</w:t>
      </w:r>
      <w:r>
        <w:rPr>
          <w:rFonts w:hint="eastAsia" w:ascii="宋体" w:hAnsi="宋体" w:cs="宋体"/>
          <w:color w:val="000000" w:themeColor="text1"/>
          <w:sz w:val="28"/>
          <w:szCs w:val="28"/>
          <w:highlight w:val="none"/>
          <w:lang w:eastAsia="zh-CN"/>
          <w14:textFill>
            <w14:solidFill>
              <w14:schemeClr w14:val="tx1"/>
            </w14:solidFill>
          </w14:textFill>
        </w:rPr>
        <w:t>标项</w:t>
      </w:r>
      <w:r>
        <w:rPr>
          <w:rFonts w:hint="eastAsia" w:ascii="宋体" w:hAnsi="宋体" w:cs="宋体"/>
          <w:color w:val="000000" w:themeColor="text1"/>
          <w:sz w:val="28"/>
          <w:szCs w:val="28"/>
          <w:highlight w:val="none"/>
          <w:lang w:val="en-US" w:eastAsia="zh-CN"/>
          <w14:textFill>
            <w14:solidFill>
              <w14:schemeClr w14:val="tx1"/>
            </w14:solidFill>
          </w14:textFill>
        </w:rPr>
        <w:t>1、 标项2、标项3、标项4，</w:t>
      </w:r>
      <w:r>
        <w:rPr>
          <w:rFonts w:hint="eastAsia" w:ascii="宋体" w:hAnsi="宋体" w:eastAsia="宋体" w:cs="宋体"/>
          <w:color w:val="000000" w:themeColor="text1"/>
          <w:sz w:val="28"/>
          <w:szCs w:val="28"/>
          <w:highlight w:val="none"/>
          <w14:textFill>
            <w14:solidFill>
              <w14:schemeClr w14:val="tx1"/>
            </w14:solidFill>
          </w14:textFill>
        </w:rPr>
        <w:t>详见招标文件</w:t>
      </w:r>
    </w:p>
    <w:p w14:paraId="05600CF3">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本项目</w:t>
      </w:r>
      <w:r>
        <w:rPr>
          <w:rFonts w:hint="eastAsia" w:ascii="宋体" w:hAnsi="宋体" w:cs="宋体"/>
          <w:color w:val="000000" w:themeColor="text1"/>
          <w:sz w:val="28"/>
          <w:szCs w:val="28"/>
          <w:highlight w:val="none"/>
          <w:lang w:eastAsia="zh-CN"/>
          <w14:textFill>
            <w14:solidFill>
              <w14:schemeClr w14:val="tx1"/>
            </w14:solidFill>
          </w14:textFill>
        </w:rPr>
        <w:t>标项</w:t>
      </w:r>
      <w:r>
        <w:rPr>
          <w:rFonts w:hint="eastAsia" w:ascii="宋体" w:hAnsi="宋体" w:cs="宋体"/>
          <w:color w:val="000000" w:themeColor="text1"/>
          <w:sz w:val="28"/>
          <w:szCs w:val="28"/>
          <w:highlight w:val="none"/>
          <w:lang w:val="en-US" w:eastAsia="zh-CN"/>
          <w14:textFill>
            <w14:solidFill>
              <w14:schemeClr w14:val="tx1"/>
            </w14:solidFill>
          </w14:textFill>
        </w:rPr>
        <w:t>1、 标项2、标项3、标项4</w:t>
      </w:r>
      <w:r>
        <w:rPr>
          <w:rFonts w:hint="eastAsia" w:ascii="宋体" w:hAnsi="宋体" w:eastAsia="宋体" w:cs="宋体"/>
          <w:color w:val="000000" w:themeColor="text1"/>
          <w:sz w:val="28"/>
          <w:szCs w:val="28"/>
          <w:highlight w:val="none"/>
          <w14:textFill>
            <w14:solidFill>
              <w14:schemeClr w14:val="tx1"/>
            </w14:solidFill>
          </w14:textFill>
        </w:rPr>
        <w:t>（否）接受联合体投标</w:t>
      </w:r>
    </w:p>
    <w:p w14:paraId="136EFE7A">
      <w:pPr>
        <w:pStyle w:val="3"/>
        <w:keepNext/>
        <w:keepLines/>
        <w:pageBreakBefore w:val="0"/>
        <w:widowControl w:val="0"/>
        <w:kinsoku/>
        <w:wordWrap/>
        <w:overflowPunct/>
        <w:topLinePunct w:val="0"/>
        <w:autoSpaceDE/>
        <w:autoSpaceDN/>
        <w:bidi w:val="0"/>
        <w:adjustRightInd/>
        <w:snapToGrid/>
        <w:spacing w:before="0" w:after="0" w:line="560" w:lineRule="exact"/>
        <w:ind w:left="0" w:leftChars="0"/>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二、</w:t>
      </w:r>
      <w:r>
        <w:rPr>
          <w:rFonts w:hint="eastAsia" w:ascii="宋体" w:hAnsi="宋体" w:eastAsia="宋体" w:cs="宋体"/>
          <w:color w:val="000000" w:themeColor="text1"/>
          <w:sz w:val="28"/>
          <w:szCs w:val="28"/>
          <w:highlight w:val="none"/>
          <w:lang w:eastAsia="zh-CN"/>
          <w14:textFill>
            <w14:solidFill>
              <w14:schemeClr w14:val="tx1"/>
            </w14:solidFill>
          </w14:textFill>
        </w:rPr>
        <w:t>供应商</w:t>
      </w:r>
      <w:r>
        <w:rPr>
          <w:rFonts w:hint="eastAsia" w:ascii="宋体" w:hAnsi="宋体" w:eastAsia="宋体" w:cs="宋体"/>
          <w:color w:val="000000" w:themeColor="text1"/>
          <w:sz w:val="28"/>
          <w:szCs w:val="28"/>
          <w:highlight w:val="none"/>
          <w14:textFill>
            <w14:solidFill>
              <w14:schemeClr w14:val="tx1"/>
            </w14:solidFill>
          </w14:textFill>
        </w:rPr>
        <w:t>的资格要求：</w:t>
      </w:r>
    </w:p>
    <w:p w14:paraId="66625BD2">
      <w:pPr>
        <w:pageBreakBefore w:val="0"/>
        <w:widowControl w:val="0"/>
        <w:kinsoku/>
        <w:wordWrap/>
        <w:overflowPunct/>
        <w:topLinePunct w:val="0"/>
        <w:autoSpaceDE/>
        <w:autoSpaceDN/>
        <w:bidi w:val="0"/>
        <w:adjustRightInd/>
        <w:snapToGrid/>
        <w:spacing w:line="560" w:lineRule="exact"/>
        <w:ind w:left="0" w:leftChars="0"/>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1.满足《中华人民共和国政府采购法》第二十二条规定；</w:t>
      </w:r>
    </w:p>
    <w:p w14:paraId="598D5B8E">
      <w:pPr>
        <w:pageBreakBefore w:val="0"/>
        <w:widowControl w:val="0"/>
        <w:kinsoku/>
        <w:wordWrap/>
        <w:overflowPunct/>
        <w:topLinePunct w:val="0"/>
        <w:autoSpaceDE/>
        <w:autoSpaceDN/>
        <w:bidi w:val="0"/>
        <w:adjustRightInd/>
        <w:snapToGrid/>
        <w:spacing w:line="560" w:lineRule="exact"/>
        <w:ind w:left="0" w:leftChars="0"/>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（1）具有独立承担民事责任的能力；</w:t>
      </w:r>
    </w:p>
    <w:p w14:paraId="7BA0864E">
      <w:pPr>
        <w:pageBreakBefore w:val="0"/>
        <w:widowControl w:val="0"/>
        <w:kinsoku/>
        <w:wordWrap/>
        <w:overflowPunct/>
        <w:topLinePunct w:val="0"/>
        <w:autoSpaceDE/>
        <w:autoSpaceDN/>
        <w:bidi w:val="0"/>
        <w:adjustRightInd/>
        <w:snapToGrid/>
        <w:spacing w:line="560" w:lineRule="exact"/>
        <w:ind w:left="0" w:leftChars="0"/>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（2）具有良好的商业信誉和健全的财务会计制度； </w:t>
      </w:r>
      <w:r>
        <w:rPr>
          <w:rFonts w:hint="eastAsia" w:ascii="宋体" w:hAnsi="宋体" w:eastAsia="宋体" w:cs="宋体"/>
          <w:color w:val="000000" w:themeColor="text1"/>
          <w:sz w:val="28"/>
          <w:szCs w:val="28"/>
          <w:highlight w:val="none"/>
          <w14:textFill>
            <w14:solidFill>
              <w14:schemeClr w14:val="tx1"/>
            </w14:solidFill>
          </w14:textFill>
        </w:rPr>
        <w:br w:type="textWrapping"/>
      </w:r>
      <w:r>
        <w:rPr>
          <w:rFonts w:hint="eastAsia" w:ascii="宋体" w:hAnsi="宋体" w:eastAsia="宋体" w:cs="宋体"/>
          <w:color w:val="000000" w:themeColor="text1"/>
          <w:sz w:val="28"/>
          <w:szCs w:val="28"/>
          <w:highlight w:val="none"/>
          <w14:textFill>
            <w14:solidFill>
              <w14:schemeClr w14:val="tx1"/>
            </w14:solidFill>
          </w14:textFill>
        </w:rPr>
        <w:t>（3）具有履行合同所必需的设备和专业技术能力；</w:t>
      </w:r>
    </w:p>
    <w:p w14:paraId="2F600723">
      <w:pPr>
        <w:pageBreakBefore w:val="0"/>
        <w:widowControl w:val="0"/>
        <w:kinsoku/>
        <w:wordWrap/>
        <w:overflowPunct/>
        <w:topLinePunct w:val="0"/>
        <w:autoSpaceDE/>
        <w:autoSpaceDN/>
        <w:bidi w:val="0"/>
        <w:adjustRightInd/>
        <w:snapToGrid/>
        <w:spacing w:line="560" w:lineRule="exact"/>
        <w:ind w:left="0" w:leftChars="0"/>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（4）有依法缴纳税收和社会保障资金的良好记录； </w:t>
      </w:r>
      <w:r>
        <w:rPr>
          <w:rFonts w:hint="eastAsia" w:ascii="宋体" w:hAnsi="宋体" w:eastAsia="宋体" w:cs="宋体"/>
          <w:color w:val="000000" w:themeColor="text1"/>
          <w:sz w:val="28"/>
          <w:szCs w:val="28"/>
          <w:highlight w:val="none"/>
          <w14:textFill>
            <w14:solidFill>
              <w14:schemeClr w14:val="tx1"/>
            </w14:solidFill>
          </w14:textFill>
        </w:rPr>
        <w:br w:type="textWrapping"/>
      </w:r>
      <w:r>
        <w:rPr>
          <w:rFonts w:hint="eastAsia" w:ascii="宋体" w:hAnsi="宋体" w:eastAsia="宋体" w:cs="宋体"/>
          <w:color w:val="000000" w:themeColor="text1"/>
          <w:sz w:val="28"/>
          <w:szCs w:val="28"/>
          <w:highlight w:val="none"/>
          <w14:textFill>
            <w14:solidFill>
              <w14:schemeClr w14:val="tx1"/>
            </w14:solidFill>
          </w14:textFill>
        </w:rPr>
        <w:t xml:space="preserve">（5）参加政府采购活动前三年内，在经营活动中没有重大违法记录； </w:t>
      </w:r>
      <w:r>
        <w:rPr>
          <w:rFonts w:hint="eastAsia" w:ascii="宋体" w:hAnsi="宋体" w:eastAsia="宋体" w:cs="宋体"/>
          <w:color w:val="000000" w:themeColor="text1"/>
          <w:sz w:val="28"/>
          <w:szCs w:val="28"/>
          <w:highlight w:val="none"/>
          <w14:textFill>
            <w14:solidFill>
              <w14:schemeClr w14:val="tx1"/>
            </w14:solidFill>
          </w14:textFill>
        </w:rPr>
        <w:br w:type="textWrapping"/>
      </w:r>
      <w:r>
        <w:rPr>
          <w:rFonts w:hint="eastAsia" w:ascii="宋体" w:hAnsi="宋体" w:eastAsia="宋体" w:cs="宋体"/>
          <w:color w:val="000000" w:themeColor="text1"/>
          <w:sz w:val="28"/>
          <w:szCs w:val="28"/>
          <w:highlight w:val="none"/>
          <w14:textFill>
            <w14:solidFill>
              <w14:schemeClr w14:val="tx1"/>
            </w14:solidFill>
          </w14:textFill>
        </w:rPr>
        <w:t>（6）法律、行政法规规定的其他条件。</w:t>
      </w:r>
    </w:p>
    <w:p w14:paraId="05950BCE">
      <w:pPr>
        <w:pageBreakBefore w:val="0"/>
        <w:widowControl w:val="0"/>
        <w:kinsoku/>
        <w:wordWrap/>
        <w:overflowPunct/>
        <w:topLinePunct w:val="0"/>
        <w:autoSpaceDE/>
        <w:autoSpaceDN/>
        <w:bidi w:val="0"/>
        <w:adjustRightInd/>
        <w:snapToGrid/>
        <w:spacing w:line="560" w:lineRule="exact"/>
        <w:ind w:left="0" w:leftChars="0"/>
        <w:textAlignment w:val="auto"/>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t>2.落实政府采购政策需满足的资格要求：</w:t>
      </w:r>
      <w:r>
        <w:rPr>
          <w:rFonts w:hint="eastAsia" w:ascii="宋体" w:hAnsi="宋体" w:cs="宋体"/>
          <w:color w:val="000000" w:themeColor="text1"/>
          <w:sz w:val="28"/>
          <w:szCs w:val="28"/>
          <w:highlight w:val="none"/>
          <w:lang w:eastAsia="zh-CN"/>
          <w14:textFill>
            <w14:solidFill>
              <w14:schemeClr w14:val="tx1"/>
            </w14:solidFill>
          </w14:textFill>
        </w:rPr>
        <w:t>标项</w:t>
      </w:r>
      <w:r>
        <w:rPr>
          <w:rFonts w:hint="eastAsia" w:ascii="宋体" w:hAnsi="宋体" w:cs="宋体"/>
          <w:color w:val="000000" w:themeColor="text1"/>
          <w:sz w:val="28"/>
          <w:szCs w:val="28"/>
          <w:highlight w:val="none"/>
          <w:lang w:val="en-US" w:eastAsia="zh-CN"/>
          <w14:textFill>
            <w14:solidFill>
              <w14:schemeClr w14:val="tx1"/>
            </w14:solidFill>
          </w14:textFill>
        </w:rPr>
        <w:t>1、标项2、标项3、标项4，</w:t>
      </w:r>
      <w:r>
        <w:rPr>
          <w:rFonts w:hint="eastAsia" w:ascii="宋体" w:hAnsi="宋体" w:cs="宋体"/>
          <w:color w:val="000000" w:themeColor="text1"/>
          <w:sz w:val="28"/>
          <w:szCs w:val="28"/>
          <w:highlight w:val="none"/>
          <w:lang w:eastAsia="zh-CN"/>
          <w14:textFill>
            <w14:solidFill>
              <w14:schemeClr w14:val="tx1"/>
            </w14:solidFill>
          </w14:textFill>
        </w:rPr>
        <w:t>本项目为非专门面向中小企业采购项目，根据《政府采购促进中小企业发展管理办法》（财库【2020】46号）及（财库[2022]19号）的规定，评标时将给予此类企业进行价格扣除10%的优惠，用优惠后的价格参与评审。</w:t>
      </w:r>
    </w:p>
    <w:p w14:paraId="7786F4D7">
      <w:pPr>
        <w:pageBreakBefore w:val="0"/>
        <w:kinsoku/>
        <w:wordWrap/>
        <w:overflowPunct/>
        <w:topLinePunct w:val="0"/>
        <w:autoSpaceDE/>
        <w:autoSpaceDN/>
        <w:bidi w:val="0"/>
        <w:adjustRightInd w:val="0"/>
        <w:snapToGrid w:val="0"/>
        <w:spacing w:line="560" w:lineRule="exact"/>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3.本项目的特定资格要求</w:t>
      </w:r>
      <w:r>
        <w:rPr>
          <w:rFonts w:hint="eastAsia" w:ascii="宋体" w:hAnsi="宋体" w:eastAsia="宋体" w:cs="宋体"/>
          <w:color w:val="000000" w:themeColor="text1"/>
          <w:sz w:val="28"/>
          <w:szCs w:val="28"/>
          <w:highlight w:val="none"/>
          <w14:textFill>
            <w14:solidFill>
              <w14:schemeClr w14:val="tx1"/>
            </w14:solidFill>
          </w14:textFill>
        </w:rPr>
        <w:t>：</w:t>
      </w:r>
    </w:p>
    <w:p w14:paraId="410BA220">
      <w:pPr>
        <w:pageBreakBefore w:val="0"/>
        <w:kinsoku/>
        <w:wordWrap/>
        <w:overflowPunct/>
        <w:topLinePunct w:val="0"/>
        <w:autoSpaceDE/>
        <w:autoSpaceDN/>
        <w:bidi w:val="0"/>
        <w:adjustRightInd w:val="0"/>
        <w:snapToGrid w:val="0"/>
        <w:spacing w:line="560" w:lineRule="exact"/>
        <w:textAlignment w:val="auto"/>
        <w:rPr>
          <w:rFonts w:hint="eastAsia" w:ascii="宋体" w:hAnsi="宋体" w:cs="宋体"/>
          <w:color w:val="000000" w:themeColor="text1"/>
          <w:sz w:val="28"/>
          <w:szCs w:val="28"/>
          <w:highlight w:val="none"/>
          <w:lang w:val="en-US" w:eastAsia="zh-CN"/>
          <w14:textFill>
            <w14:solidFill>
              <w14:schemeClr w14:val="tx1"/>
            </w14:solidFill>
          </w14:textFill>
        </w:rPr>
      </w:pPr>
      <w:r>
        <w:rPr>
          <w:rFonts w:hint="eastAsia" w:ascii="宋体" w:hAnsi="宋体" w:cs="宋体"/>
          <w:color w:val="000000" w:themeColor="text1"/>
          <w:sz w:val="28"/>
          <w:szCs w:val="28"/>
          <w:highlight w:val="none"/>
          <w:lang w:eastAsia="zh-CN"/>
          <w14:textFill>
            <w14:solidFill>
              <w14:schemeClr w14:val="tx1"/>
            </w14:solidFill>
          </w14:textFill>
        </w:rPr>
        <w:t>标项</w:t>
      </w:r>
      <w:r>
        <w:rPr>
          <w:rFonts w:hint="eastAsia" w:ascii="宋体" w:hAnsi="宋体" w:cs="宋体"/>
          <w:color w:val="000000" w:themeColor="text1"/>
          <w:sz w:val="28"/>
          <w:szCs w:val="28"/>
          <w:highlight w:val="none"/>
          <w:lang w:val="en-US" w:eastAsia="zh-CN"/>
          <w14:textFill>
            <w14:solidFill>
              <w14:schemeClr w14:val="tx1"/>
            </w14:solidFill>
          </w14:textFill>
        </w:rPr>
        <w:t>1：无</w:t>
      </w:r>
    </w:p>
    <w:p w14:paraId="3AE9F6C0">
      <w:pPr>
        <w:pageBreakBefore w:val="0"/>
        <w:kinsoku/>
        <w:wordWrap/>
        <w:overflowPunct/>
        <w:topLinePunct w:val="0"/>
        <w:autoSpaceDE/>
        <w:autoSpaceDN/>
        <w:bidi w:val="0"/>
        <w:adjustRightInd w:val="0"/>
        <w:snapToGrid w:val="0"/>
        <w:spacing w:line="560" w:lineRule="exact"/>
        <w:textAlignment w:val="auto"/>
        <w:rPr>
          <w:rFonts w:hint="eastAsia" w:ascii="宋体" w:hAnsi="宋体" w:cs="宋体"/>
          <w:color w:val="000000" w:themeColor="text1"/>
          <w:sz w:val="28"/>
          <w:szCs w:val="28"/>
          <w:highlight w:val="none"/>
          <w:lang w:val="en-US" w:eastAsia="zh-CN"/>
          <w14:textFill>
            <w14:solidFill>
              <w14:schemeClr w14:val="tx1"/>
            </w14:solidFill>
          </w14:textFill>
        </w:rPr>
      </w:pPr>
      <w:r>
        <w:rPr>
          <w:rFonts w:hint="eastAsia" w:ascii="宋体" w:hAnsi="宋体" w:cs="宋体"/>
          <w:color w:val="000000" w:themeColor="text1"/>
          <w:sz w:val="28"/>
          <w:szCs w:val="28"/>
          <w:highlight w:val="none"/>
          <w:lang w:val="en-US" w:eastAsia="zh-CN"/>
          <w14:textFill>
            <w14:solidFill>
              <w14:schemeClr w14:val="tx1"/>
            </w14:solidFill>
          </w14:textFill>
        </w:rPr>
        <w:t>标项2：无</w:t>
      </w:r>
    </w:p>
    <w:p w14:paraId="5A3885C6">
      <w:pPr>
        <w:pageBreakBefore w:val="0"/>
        <w:kinsoku/>
        <w:wordWrap/>
        <w:overflowPunct/>
        <w:topLinePunct w:val="0"/>
        <w:autoSpaceDE/>
        <w:autoSpaceDN/>
        <w:bidi w:val="0"/>
        <w:adjustRightInd w:val="0"/>
        <w:snapToGrid w:val="0"/>
        <w:spacing w:line="560" w:lineRule="exact"/>
        <w:textAlignment w:val="auto"/>
        <w:rPr>
          <w:rFonts w:hint="eastAsia" w:ascii="宋体" w:hAnsi="宋体" w:cs="宋体"/>
          <w:color w:val="000000" w:themeColor="text1"/>
          <w:sz w:val="28"/>
          <w:szCs w:val="28"/>
          <w:highlight w:val="none"/>
          <w:lang w:val="en-US" w:eastAsia="zh-CN"/>
          <w14:textFill>
            <w14:solidFill>
              <w14:schemeClr w14:val="tx1"/>
            </w14:solidFill>
          </w14:textFill>
        </w:rPr>
      </w:pPr>
      <w:r>
        <w:rPr>
          <w:rFonts w:hint="eastAsia" w:ascii="宋体" w:hAnsi="宋体" w:cs="宋体"/>
          <w:color w:val="000000" w:themeColor="text1"/>
          <w:sz w:val="28"/>
          <w:szCs w:val="28"/>
          <w:highlight w:val="none"/>
          <w:lang w:val="en-US" w:eastAsia="zh-CN"/>
          <w14:textFill>
            <w14:solidFill>
              <w14:schemeClr w14:val="tx1"/>
            </w14:solidFill>
          </w14:textFill>
        </w:rPr>
        <w:t>标项3：无</w:t>
      </w:r>
    </w:p>
    <w:p w14:paraId="5A1D9EB0">
      <w:pPr>
        <w:pageBreakBefore w:val="0"/>
        <w:kinsoku/>
        <w:wordWrap/>
        <w:overflowPunct/>
        <w:topLinePunct w:val="0"/>
        <w:autoSpaceDE/>
        <w:autoSpaceDN/>
        <w:bidi w:val="0"/>
        <w:adjustRightInd w:val="0"/>
        <w:snapToGrid w:val="0"/>
        <w:spacing w:line="560" w:lineRule="exact"/>
        <w:textAlignment w:val="auto"/>
        <w:rPr>
          <w:rFonts w:hint="eastAsia" w:ascii="宋体" w:hAnsi="宋体" w:cs="宋体"/>
          <w:color w:val="000000" w:themeColor="text1"/>
          <w:sz w:val="28"/>
          <w:szCs w:val="28"/>
          <w:highlight w:val="none"/>
          <w:lang w:val="en-US" w:eastAsia="zh-CN"/>
          <w14:textFill>
            <w14:solidFill>
              <w14:schemeClr w14:val="tx1"/>
            </w14:solidFill>
          </w14:textFill>
        </w:rPr>
      </w:pPr>
      <w:r>
        <w:rPr>
          <w:rFonts w:hint="eastAsia" w:ascii="宋体" w:hAnsi="宋体" w:cs="宋体"/>
          <w:color w:val="000000" w:themeColor="text1"/>
          <w:sz w:val="28"/>
          <w:szCs w:val="28"/>
          <w:highlight w:val="none"/>
          <w:lang w:val="en-US" w:eastAsia="zh-CN"/>
          <w14:textFill>
            <w14:solidFill>
              <w14:schemeClr w14:val="tx1"/>
            </w14:solidFill>
          </w14:textFill>
        </w:rPr>
        <w:t>标项4：</w:t>
      </w:r>
    </w:p>
    <w:p w14:paraId="26C8039B">
      <w:pPr>
        <w:pageBreakBefore w:val="0"/>
        <w:kinsoku/>
        <w:wordWrap/>
        <w:overflowPunct/>
        <w:topLinePunct w:val="0"/>
        <w:autoSpaceDE/>
        <w:autoSpaceDN/>
        <w:bidi w:val="0"/>
        <w:adjustRightInd w:val="0"/>
        <w:snapToGrid w:val="0"/>
        <w:spacing w:line="560" w:lineRule="exact"/>
        <w:textAlignment w:val="auto"/>
        <w:rPr>
          <w:rFonts w:hint="eastAsia" w:ascii="宋体" w:hAnsi="宋体" w:cs="宋体"/>
          <w:color w:val="000000" w:themeColor="text1"/>
          <w:sz w:val="28"/>
          <w:szCs w:val="28"/>
          <w:highlight w:val="none"/>
          <w:lang w:val="en-US" w:eastAsia="zh-CN"/>
          <w14:textFill>
            <w14:solidFill>
              <w14:schemeClr w14:val="tx1"/>
            </w14:solidFill>
          </w14:textFill>
        </w:rPr>
      </w:pPr>
      <w:r>
        <w:rPr>
          <w:rFonts w:hint="eastAsia" w:ascii="宋体" w:hAnsi="宋体" w:cs="宋体"/>
          <w:b w:val="0"/>
          <w:bCs/>
          <w:color w:val="000000" w:themeColor="text1"/>
          <w:sz w:val="28"/>
          <w:szCs w:val="28"/>
          <w:highlight w:val="none"/>
          <w:lang w:eastAsia="zh-CN"/>
          <w14:textFill>
            <w14:solidFill>
              <w14:schemeClr w14:val="tx1"/>
            </w14:solidFill>
          </w14:textFill>
        </w:rPr>
        <w:t>（1）供应商为制造商需提供《医疗器械生产许可证》 及投标产品《医疗器械注册证》；（2）供应商为代理商需提供有效的行政主管部门颁发的《医疗器械经营备案证》</w:t>
      </w:r>
      <w:r>
        <w:rPr>
          <w:rFonts w:hint="eastAsia" w:ascii="宋体" w:hAnsi="宋体" w:cs="宋体"/>
          <w:b w:val="0"/>
          <w:bCs/>
          <w:color w:val="000000" w:themeColor="text1"/>
          <w:sz w:val="28"/>
          <w:szCs w:val="28"/>
          <w:highlight w:val="none"/>
          <w:lang w:val="en-US" w:eastAsia="zh-CN"/>
          <w14:textFill>
            <w14:solidFill>
              <w14:schemeClr w14:val="tx1"/>
            </w14:solidFill>
          </w14:textFill>
        </w:rPr>
        <w:t>和</w:t>
      </w:r>
      <w:r>
        <w:rPr>
          <w:rFonts w:hint="eastAsia" w:ascii="宋体" w:hAnsi="宋体" w:cs="宋体"/>
          <w:b w:val="0"/>
          <w:bCs/>
          <w:color w:val="000000" w:themeColor="text1"/>
          <w:sz w:val="28"/>
          <w:szCs w:val="28"/>
          <w:highlight w:val="none"/>
          <w:lang w:eastAsia="zh-CN"/>
          <w14:textFill>
            <w14:solidFill>
              <w14:schemeClr w14:val="tx1"/>
            </w14:solidFill>
          </w14:textFill>
        </w:rPr>
        <w:t>《医疗器械经营许可证》及制造商的《医疗器械生产许可证》和投标产品《医疗器械注册证》；</w:t>
      </w:r>
    </w:p>
    <w:p w14:paraId="7944FFB5">
      <w:pPr>
        <w:pStyle w:val="3"/>
        <w:keepNext/>
        <w:keepLines/>
        <w:pageBreakBefore w:val="0"/>
        <w:widowControl w:val="0"/>
        <w:kinsoku/>
        <w:wordWrap/>
        <w:overflowPunct/>
        <w:topLinePunct w:val="0"/>
        <w:autoSpaceDE/>
        <w:autoSpaceDN/>
        <w:bidi w:val="0"/>
        <w:adjustRightInd/>
        <w:snapToGrid/>
        <w:spacing w:before="0" w:after="0" w:line="560" w:lineRule="exact"/>
        <w:ind w:left="0" w:leftChars="0"/>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三、获取采购文件：</w:t>
      </w:r>
    </w:p>
    <w:p w14:paraId="6EFEB43D">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时间：</w:t>
      </w:r>
      <w:r>
        <w:rPr>
          <w:rFonts w:hint="eastAsia" w:ascii="宋体" w:hAnsi="宋体" w:eastAsia="宋体" w:cs="宋体"/>
          <w:b/>
          <w:bCs/>
          <w:color w:val="000000" w:themeColor="text1"/>
          <w:sz w:val="28"/>
          <w:szCs w:val="28"/>
          <w:highlight w:val="none"/>
          <w:u w:val="single"/>
          <w14:textFill>
            <w14:solidFill>
              <w14:schemeClr w14:val="tx1"/>
            </w14:solidFill>
          </w14:textFill>
        </w:rPr>
        <w:t>202</w:t>
      </w:r>
      <w:r>
        <w:rPr>
          <w:rFonts w:hint="eastAsia" w:ascii="宋体" w:hAnsi="宋体" w:cs="宋体"/>
          <w:b/>
          <w:bCs/>
          <w:color w:val="000000" w:themeColor="text1"/>
          <w:sz w:val="28"/>
          <w:szCs w:val="28"/>
          <w:highlight w:val="none"/>
          <w:u w:val="single"/>
          <w:lang w:val="en-US" w:eastAsia="zh-CN"/>
          <w14:textFill>
            <w14:solidFill>
              <w14:schemeClr w14:val="tx1"/>
            </w14:solidFill>
          </w14:textFill>
        </w:rPr>
        <w:t>5</w:t>
      </w:r>
      <w:r>
        <w:rPr>
          <w:rFonts w:hint="eastAsia" w:ascii="宋体" w:hAnsi="宋体" w:eastAsia="宋体" w:cs="宋体"/>
          <w:b/>
          <w:bCs/>
          <w:color w:val="000000" w:themeColor="text1"/>
          <w:sz w:val="28"/>
          <w:szCs w:val="28"/>
          <w:highlight w:val="none"/>
          <w:u w:val="single"/>
          <w14:textFill>
            <w14:solidFill>
              <w14:schemeClr w14:val="tx1"/>
            </w14:solidFill>
          </w14:textFill>
        </w:rPr>
        <w:t>年</w:t>
      </w:r>
      <w:r>
        <w:rPr>
          <w:rFonts w:hint="eastAsia" w:ascii="宋体" w:hAnsi="宋体" w:cs="宋体"/>
          <w:b/>
          <w:bCs/>
          <w:color w:val="000000" w:themeColor="text1"/>
          <w:sz w:val="28"/>
          <w:szCs w:val="28"/>
          <w:highlight w:val="none"/>
          <w:u w:val="single"/>
          <w:lang w:val="en-US" w:eastAsia="zh-CN"/>
          <w14:textFill>
            <w14:solidFill>
              <w14:schemeClr w14:val="tx1"/>
            </w14:solidFill>
          </w14:textFill>
        </w:rPr>
        <w:t>06</w:t>
      </w:r>
      <w:r>
        <w:rPr>
          <w:rFonts w:hint="eastAsia" w:ascii="宋体" w:hAnsi="宋体" w:eastAsia="宋体" w:cs="宋体"/>
          <w:b/>
          <w:bCs/>
          <w:color w:val="000000" w:themeColor="text1"/>
          <w:sz w:val="28"/>
          <w:szCs w:val="28"/>
          <w:highlight w:val="none"/>
          <w:u w:val="single"/>
          <w14:textFill>
            <w14:solidFill>
              <w14:schemeClr w14:val="tx1"/>
            </w14:solidFill>
          </w14:textFill>
        </w:rPr>
        <w:t>月</w:t>
      </w:r>
      <w:r>
        <w:rPr>
          <w:rFonts w:hint="eastAsia" w:ascii="宋体" w:hAnsi="宋体" w:cs="宋体"/>
          <w:b/>
          <w:bCs/>
          <w:color w:val="000000" w:themeColor="text1"/>
          <w:sz w:val="28"/>
          <w:szCs w:val="28"/>
          <w:highlight w:val="none"/>
          <w:u w:val="single"/>
          <w:lang w:val="en-US" w:eastAsia="zh-CN"/>
          <w14:textFill>
            <w14:solidFill>
              <w14:schemeClr w14:val="tx1"/>
            </w14:solidFill>
          </w14:textFill>
        </w:rPr>
        <w:t>27</w:t>
      </w:r>
      <w:r>
        <w:rPr>
          <w:rFonts w:hint="eastAsia" w:ascii="宋体" w:hAnsi="宋体" w:eastAsia="宋体" w:cs="宋体"/>
          <w:b/>
          <w:bCs/>
          <w:color w:val="000000" w:themeColor="text1"/>
          <w:sz w:val="28"/>
          <w:szCs w:val="28"/>
          <w:highlight w:val="none"/>
          <w:u w:val="single"/>
          <w14:textFill>
            <w14:solidFill>
              <w14:schemeClr w14:val="tx1"/>
            </w14:solidFill>
          </w14:textFill>
        </w:rPr>
        <w:t>日</w:t>
      </w:r>
      <w:r>
        <w:rPr>
          <w:rFonts w:hint="eastAsia" w:ascii="宋体" w:hAnsi="宋体" w:eastAsia="宋体" w:cs="宋体"/>
          <w:b/>
          <w:bCs/>
          <w:color w:val="000000" w:themeColor="text1"/>
          <w:sz w:val="28"/>
          <w:szCs w:val="28"/>
          <w:highlight w:val="none"/>
          <w14:textFill>
            <w14:solidFill>
              <w14:schemeClr w14:val="tx1"/>
            </w14:solidFill>
          </w14:textFill>
        </w:rPr>
        <w:t>至</w:t>
      </w:r>
      <w:r>
        <w:rPr>
          <w:rFonts w:hint="eastAsia" w:ascii="宋体" w:hAnsi="宋体" w:eastAsia="宋体" w:cs="宋体"/>
          <w:b/>
          <w:bCs/>
          <w:color w:val="000000" w:themeColor="text1"/>
          <w:sz w:val="28"/>
          <w:szCs w:val="28"/>
          <w:highlight w:val="none"/>
          <w:u w:val="single"/>
          <w14:textFill>
            <w14:solidFill>
              <w14:schemeClr w14:val="tx1"/>
            </w14:solidFill>
          </w14:textFill>
        </w:rPr>
        <w:t>202</w:t>
      </w:r>
      <w:r>
        <w:rPr>
          <w:rFonts w:hint="eastAsia" w:ascii="宋体" w:hAnsi="宋体" w:cs="宋体"/>
          <w:b/>
          <w:bCs/>
          <w:color w:val="000000" w:themeColor="text1"/>
          <w:sz w:val="28"/>
          <w:szCs w:val="28"/>
          <w:highlight w:val="none"/>
          <w:u w:val="single"/>
          <w:lang w:val="en-US" w:eastAsia="zh-CN"/>
          <w14:textFill>
            <w14:solidFill>
              <w14:schemeClr w14:val="tx1"/>
            </w14:solidFill>
          </w14:textFill>
        </w:rPr>
        <w:t>5</w:t>
      </w:r>
      <w:r>
        <w:rPr>
          <w:rFonts w:hint="eastAsia" w:ascii="宋体" w:hAnsi="宋体" w:eastAsia="宋体" w:cs="宋体"/>
          <w:b/>
          <w:bCs/>
          <w:color w:val="000000" w:themeColor="text1"/>
          <w:sz w:val="28"/>
          <w:szCs w:val="28"/>
          <w:highlight w:val="none"/>
          <w:u w:val="single"/>
          <w14:textFill>
            <w14:solidFill>
              <w14:schemeClr w14:val="tx1"/>
            </w14:solidFill>
          </w14:textFill>
        </w:rPr>
        <w:t>年</w:t>
      </w:r>
      <w:r>
        <w:rPr>
          <w:rFonts w:hint="eastAsia" w:ascii="宋体" w:hAnsi="宋体" w:cs="宋体"/>
          <w:b/>
          <w:bCs/>
          <w:color w:val="000000" w:themeColor="text1"/>
          <w:sz w:val="28"/>
          <w:szCs w:val="28"/>
          <w:highlight w:val="none"/>
          <w:u w:val="single"/>
          <w:lang w:val="en-US" w:eastAsia="zh-CN"/>
          <w14:textFill>
            <w14:solidFill>
              <w14:schemeClr w14:val="tx1"/>
            </w14:solidFill>
          </w14:textFill>
        </w:rPr>
        <w:t>07</w:t>
      </w:r>
      <w:r>
        <w:rPr>
          <w:rFonts w:hint="eastAsia" w:ascii="宋体" w:hAnsi="宋体" w:eastAsia="宋体" w:cs="宋体"/>
          <w:b/>
          <w:bCs/>
          <w:color w:val="000000" w:themeColor="text1"/>
          <w:sz w:val="28"/>
          <w:szCs w:val="28"/>
          <w:highlight w:val="none"/>
          <w:u w:val="single"/>
          <w14:textFill>
            <w14:solidFill>
              <w14:schemeClr w14:val="tx1"/>
            </w14:solidFill>
          </w14:textFill>
        </w:rPr>
        <w:t>月</w:t>
      </w:r>
      <w:r>
        <w:rPr>
          <w:rFonts w:hint="eastAsia" w:ascii="宋体" w:hAnsi="宋体" w:cs="宋体"/>
          <w:b/>
          <w:bCs/>
          <w:color w:val="000000" w:themeColor="text1"/>
          <w:sz w:val="28"/>
          <w:szCs w:val="28"/>
          <w:highlight w:val="none"/>
          <w:u w:val="single"/>
          <w:lang w:val="en-US" w:eastAsia="zh-CN"/>
          <w14:textFill>
            <w14:solidFill>
              <w14:schemeClr w14:val="tx1"/>
            </w14:solidFill>
          </w14:textFill>
        </w:rPr>
        <w:t>03</w:t>
      </w:r>
      <w:r>
        <w:rPr>
          <w:rFonts w:hint="eastAsia" w:ascii="宋体" w:hAnsi="宋体" w:eastAsia="宋体" w:cs="宋体"/>
          <w:b/>
          <w:bCs/>
          <w:color w:val="000000" w:themeColor="text1"/>
          <w:sz w:val="28"/>
          <w:szCs w:val="28"/>
          <w:highlight w:val="none"/>
          <w:u w:val="single"/>
          <w14:textFill>
            <w14:solidFill>
              <w14:schemeClr w14:val="tx1"/>
            </w14:solidFill>
          </w14:textFill>
        </w:rPr>
        <w:t>日</w:t>
      </w:r>
      <w:r>
        <w:rPr>
          <w:rFonts w:hint="eastAsia" w:ascii="宋体" w:hAnsi="宋体" w:eastAsia="宋体" w:cs="宋体"/>
          <w:color w:val="000000" w:themeColor="text1"/>
          <w:sz w:val="28"/>
          <w:szCs w:val="28"/>
          <w:highlight w:val="none"/>
          <w:u w:val="single"/>
          <w14:textFill>
            <w14:solidFill>
              <w14:schemeClr w14:val="tx1"/>
            </w14:solidFill>
          </w14:textFill>
        </w:rPr>
        <w:t>（招标文件的发售期限自开始之日起不得少于5个工作日）</w:t>
      </w:r>
      <w:r>
        <w:rPr>
          <w:rFonts w:hint="eastAsia" w:ascii="宋体" w:hAnsi="宋体" w:eastAsia="宋体" w:cs="宋体"/>
          <w:color w:val="000000" w:themeColor="text1"/>
          <w:sz w:val="28"/>
          <w:szCs w:val="28"/>
          <w:highlight w:val="none"/>
          <w14:textFill>
            <w14:solidFill>
              <w14:schemeClr w14:val="tx1"/>
            </w14:solidFill>
          </w14:textFill>
        </w:rPr>
        <w:t>，每天上午</w:t>
      </w:r>
      <w:r>
        <w:rPr>
          <w:rFonts w:hint="eastAsia" w:ascii="宋体" w:hAnsi="宋体" w:eastAsia="宋体" w:cs="宋体"/>
          <w:color w:val="000000" w:themeColor="text1"/>
          <w:sz w:val="28"/>
          <w:szCs w:val="28"/>
          <w:highlight w:val="none"/>
          <w:u w:val="single"/>
          <w14:textFill>
            <w14:solidFill>
              <w14:schemeClr w14:val="tx1"/>
            </w14:solidFill>
          </w14:textFill>
        </w:rPr>
        <w:t>0</w:t>
      </w:r>
      <w:r>
        <w:rPr>
          <w:rFonts w:hint="eastAsia" w:ascii="宋体" w:hAnsi="宋体" w:cs="宋体"/>
          <w:color w:val="000000" w:themeColor="text1"/>
          <w:sz w:val="28"/>
          <w:szCs w:val="28"/>
          <w:highlight w:val="none"/>
          <w:u w:val="single"/>
          <w:lang w:val="en-US" w:eastAsia="zh-CN"/>
          <w14:textFill>
            <w14:solidFill>
              <w14:schemeClr w14:val="tx1"/>
            </w14:solidFill>
          </w14:textFill>
        </w:rPr>
        <w:t>0</w:t>
      </w:r>
      <w:r>
        <w:rPr>
          <w:rFonts w:hint="eastAsia" w:ascii="宋体" w:hAnsi="宋体" w:eastAsia="宋体" w:cs="宋体"/>
          <w:color w:val="000000" w:themeColor="text1"/>
          <w:sz w:val="28"/>
          <w:szCs w:val="28"/>
          <w:highlight w:val="none"/>
          <w:u w:val="single"/>
          <w14:textFill>
            <w14:solidFill>
              <w14:schemeClr w14:val="tx1"/>
            </w14:solidFill>
          </w14:textFill>
        </w:rPr>
        <w:t>：</w:t>
      </w:r>
      <w:r>
        <w:rPr>
          <w:rFonts w:hint="eastAsia" w:ascii="宋体" w:hAnsi="宋体" w:cs="宋体"/>
          <w:color w:val="000000" w:themeColor="text1"/>
          <w:sz w:val="28"/>
          <w:szCs w:val="28"/>
          <w:highlight w:val="none"/>
          <w:u w:val="single"/>
          <w:lang w:val="en-US" w:eastAsia="zh-CN"/>
          <w14:textFill>
            <w14:solidFill>
              <w14:schemeClr w14:val="tx1"/>
            </w14:solidFill>
          </w14:textFill>
        </w:rPr>
        <w:t>0</w:t>
      </w:r>
      <w:r>
        <w:rPr>
          <w:rFonts w:hint="eastAsia" w:ascii="宋体" w:hAnsi="宋体" w:eastAsia="宋体" w:cs="宋体"/>
          <w:color w:val="000000" w:themeColor="text1"/>
          <w:sz w:val="28"/>
          <w:szCs w:val="28"/>
          <w:highlight w:val="none"/>
          <w:u w:val="single"/>
          <w14:textFill>
            <w14:solidFill>
              <w14:schemeClr w14:val="tx1"/>
            </w14:solidFill>
          </w14:textFill>
        </w:rPr>
        <w:t>0</w:t>
      </w:r>
      <w:r>
        <w:rPr>
          <w:rFonts w:hint="eastAsia" w:ascii="宋体" w:hAnsi="宋体" w:eastAsia="宋体" w:cs="宋体"/>
          <w:color w:val="000000" w:themeColor="text1"/>
          <w:sz w:val="28"/>
          <w:szCs w:val="28"/>
          <w:highlight w:val="none"/>
          <w14:textFill>
            <w14:solidFill>
              <w14:schemeClr w14:val="tx1"/>
            </w14:solidFill>
          </w14:textFill>
        </w:rPr>
        <w:t>至</w:t>
      </w:r>
      <w:r>
        <w:rPr>
          <w:rFonts w:hint="eastAsia" w:ascii="宋体" w:hAnsi="宋体" w:eastAsia="宋体" w:cs="宋体"/>
          <w:color w:val="000000" w:themeColor="text1"/>
          <w:sz w:val="28"/>
          <w:szCs w:val="28"/>
          <w:highlight w:val="none"/>
          <w:u w:val="single"/>
          <w14:textFill>
            <w14:solidFill>
              <w14:schemeClr w14:val="tx1"/>
            </w14:solidFill>
          </w14:textFill>
        </w:rPr>
        <w:t>1</w:t>
      </w:r>
      <w:r>
        <w:rPr>
          <w:rFonts w:hint="eastAsia" w:ascii="宋体" w:hAnsi="宋体" w:cs="宋体"/>
          <w:color w:val="000000" w:themeColor="text1"/>
          <w:sz w:val="28"/>
          <w:szCs w:val="28"/>
          <w:highlight w:val="none"/>
          <w:u w:val="single"/>
          <w:lang w:val="en-US" w:eastAsia="zh-CN"/>
          <w14:textFill>
            <w14:solidFill>
              <w14:schemeClr w14:val="tx1"/>
            </w14:solidFill>
          </w14:textFill>
        </w:rPr>
        <w:t>4</w:t>
      </w:r>
      <w:r>
        <w:rPr>
          <w:rFonts w:hint="eastAsia" w:ascii="宋体" w:hAnsi="宋体" w:eastAsia="宋体" w:cs="宋体"/>
          <w:color w:val="000000" w:themeColor="text1"/>
          <w:sz w:val="28"/>
          <w:szCs w:val="28"/>
          <w:highlight w:val="none"/>
          <w:u w:val="single"/>
          <w14:textFill>
            <w14:solidFill>
              <w14:schemeClr w14:val="tx1"/>
            </w14:solidFill>
          </w14:textFill>
        </w:rPr>
        <w:t>：</w:t>
      </w:r>
      <w:r>
        <w:rPr>
          <w:rFonts w:hint="eastAsia" w:ascii="宋体" w:hAnsi="宋体" w:cs="宋体"/>
          <w:color w:val="000000" w:themeColor="text1"/>
          <w:sz w:val="28"/>
          <w:szCs w:val="28"/>
          <w:highlight w:val="none"/>
          <w:u w:val="single"/>
          <w:lang w:val="en-US" w:eastAsia="zh-CN"/>
          <w14:textFill>
            <w14:solidFill>
              <w14:schemeClr w14:val="tx1"/>
            </w14:solidFill>
          </w14:textFill>
        </w:rPr>
        <w:t>0</w:t>
      </w:r>
      <w:r>
        <w:rPr>
          <w:rFonts w:hint="eastAsia" w:ascii="宋体" w:hAnsi="宋体" w:eastAsia="宋体" w:cs="宋体"/>
          <w:color w:val="000000" w:themeColor="text1"/>
          <w:sz w:val="28"/>
          <w:szCs w:val="28"/>
          <w:highlight w:val="none"/>
          <w:u w:val="single"/>
          <w14:textFill>
            <w14:solidFill>
              <w14:schemeClr w14:val="tx1"/>
            </w14:solidFill>
          </w14:textFill>
        </w:rPr>
        <w:t>0</w:t>
      </w:r>
      <w:r>
        <w:rPr>
          <w:rFonts w:hint="eastAsia" w:ascii="宋体" w:hAnsi="宋体" w:eastAsia="宋体" w:cs="宋体"/>
          <w:color w:val="000000" w:themeColor="text1"/>
          <w:sz w:val="28"/>
          <w:szCs w:val="28"/>
          <w:highlight w:val="none"/>
          <w14:textFill>
            <w14:solidFill>
              <w14:schemeClr w14:val="tx1"/>
            </w14:solidFill>
          </w14:textFill>
        </w:rPr>
        <w:t>，下午</w:t>
      </w:r>
      <w:r>
        <w:rPr>
          <w:rFonts w:hint="eastAsia" w:ascii="宋体" w:hAnsi="宋体" w:eastAsia="宋体" w:cs="宋体"/>
          <w:color w:val="000000" w:themeColor="text1"/>
          <w:sz w:val="28"/>
          <w:szCs w:val="28"/>
          <w:highlight w:val="none"/>
          <w:u w:val="single"/>
          <w14:textFill>
            <w14:solidFill>
              <w14:schemeClr w14:val="tx1"/>
            </w14:solidFill>
          </w14:textFill>
        </w:rPr>
        <w:t>1</w:t>
      </w:r>
      <w:r>
        <w:rPr>
          <w:rFonts w:hint="eastAsia" w:ascii="宋体" w:hAnsi="宋体" w:cs="宋体"/>
          <w:color w:val="000000" w:themeColor="text1"/>
          <w:sz w:val="28"/>
          <w:szCs w:val="28"/>
          <w:highlight w:val="none"/>
          <w:u w:val="single"/>
          <w:lang w:val="en-US" w:eastAsia="zh-CN"/>
          <w14:textFill>
            <w14:solidFill>
              <w14:schemeClr w14:val="tx1"/>
            </w14:solidFill>
          </w14:textFill>
        </w:rPr>
        <w:t>4</w:t>
      </w:r>
      <w:r>
        <w:rPr>
          <w:rFonts w:hint="eastAsia" w:ascii="宋体" w:hAnsi="宋体" w:eastAsia="宋体" w:cs="宋体"/>
          <w:color w:val="000000" w:themeColor="text1"/>
          <w:sz w:val="28"/>
          <w:szCs w:val="28"/>
          <w:highlight w:val="none"/>
          <w:u w:val="single"/>
          <w14:textFill>
            <w14:solidFill>
              <w14:schemeClr w14:val="tx1"/>
            </w14:solidFill>
          </w14:textFill>
        </w:rPr>
        <w:t>：</w:t>
      </w:r>
      <w:r>
        <w:rPr>
          <w:rFonts w:hint="eastAsia" w:ascii="宋体" w:hAnsi="宋体" w:cs="宋体"/>
          <w:color w:val="000000" w:themeColor="text1"/>
          <w:sz w:val="28"/>
          <w:szCs w:val="28"/>
          <w:highlight w:val="none"/>
          <w:u w:val="single"/>
          <w:lang w:val="en-US" w:eastAsia="zh-CN"/>
          <w14:textFill>
            <w14:solidFill>
              <w14:schemeClr w14:val="tx1"/>
            </w14:solidFill>
          </w14:textFill>
        </w:rPr>
        <w:t>0</w:t>
      </w:r>
      <w:r>
        <w:rPr>
          <w:rFonts w:hint="eastAsia" w:ascii="宋体" w:hAnsi="宋体" w:eastAsia="宋体" w:cs="宋体"/>
          <w:color w:val="000000" w:themeColor="text1"/>
          <w:sz w:val="28"/>
          <w:szCs w:val="28"/>
          <w:highlight w:val="none"/>
          <w:u w:val="single"/>
          <w14:textFill>
            <w14:solidFill>
              <w14:schemeClr w14:val="tx1"/>
            </w14:solidFill>
          </w14:textFill>
        </w:rPr>
        <w:t>0</w:t>
      </w:r>
      <w:r>
        <w:rPr>
          <w:rFonts w:hint="eastAsia" w:ascii="宋体" w:hAnsi="宋体" w:eastAsia="宋体" w:cs="宋体"/>
          <w:color w:val="000000" w:themeColor="text1"/>
          <w:sz w:val="28"/>
          <w:szCs w:val="28"/>
          <w:highlight w:val="none"/>
          <w14:textFill>
            <w14:solidFill>
              <w14:schemeClr w14:val="tx1"/>
            </w14:solidFill>
          </w14:textFill>
        </w:rPr>
        <w:t>至</w:t>
      </w:r>
      <w:r>
        <w:rPr>
          <w:rFonts w:hint="eastAsia" w:ascii="宋体" w:hAnsi="宋体" w:cs="宋体"/>
          <w:color w:val="000000" w:themeColor="text1"/>
          <w:sz w:val="28"/>
          <w:szCs w:val="28"/>
          <w:highlight w:val="none"/>
          <w:u w:val="single"/>
          <w:lang w:val="en-US" w:eastAsia="zh-CN"/>
          <w14:textFill>
            <w14:solidFill>
              <w14:schemeClr w14:val="tx1"/>
            </w14:solidFill>
          </w14:textFill>
        </w:rPr>
        <w:t>23</w:t>
      </w:r>
      <w:r>
        <w:rPr>
          <w:rFonts w:hint="eastAsia" w:ascii="宋体" w:hAnsi="宋体" w:eastAsia="宋体" w:cs="宋体"/>
          <w:color w:val="000000" w:themeColor="text1"/>
          <w:sz w:val="28"/>
          <w:szCs w:val="28"/>
          <w:highlight w:val="none"/>
          <w:u w:val="single"/>
          <w14:textFill>
            <w14:solidFill>
              <w14:schemeClr w14:val="tx1"/>
            </w14:solidFill>
          </w14:textFill>
        </w:rPr>
        <w:t>:</w:t>
      </w:r>
      <w:r>
        <w:rPr>
          <w:rFonts w:hint="eastAsia" w:ascii="宋体" w:hAnsi="宋体" w:cs="宋体"/>
          <w:color w:val="000000" w:themeColor="text1"/>
          <w:sz w:val="28"/>
          <w:szCs w:val="28"/>
          <w:highlight w:val="none"/>
          <w:u w:val="single"/>
          <w:lang w:val="en-US" w:eastAsia="zh-CN"/>
          <w14:textFill>
            <w14:solidFill>
              <w14:schemeClr w14:val="tx1"/>
            </w14:solidFill>
          </w14:textFill>
        </w:rPr>
        <w:t>59</w:t>
      </w:r>
      <w:r>
        <w:rPr>
          <w:rFonts w:hint="eastAsia" w:ascii="宋体" w:hAnsi="宋体" w:eastAsia="宋体" w:cs="宋体"/>
          <w:color w:val="000000" w:themeColor="text1"/>
          <w:sz w:val="28"/>
          <w:szCs w:val="28"/>
          <w:highlight w:val="none"/>
          <w14:textFill>
            <w14:solidFill>
              <w14:schemeClr w14:val="tx1"/>
            </w14:solidFill>
          </w14:textFill>
        </w:rPr>
        <w:t>（北京时间，法定节假日除外 ）</w:t>
      </w:r>
    </w:p>
    <w:p w14:paraId="7089BB54">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宋体" w:hAnsi="宋体" w:eastAsia="宋体" w:cs="宋体"/>
          <w:color w:val="000000" w:themeColor="text1"/>
          <w:sz w:val="28"/>
          <w:szCs w:val="28"/>
          <w:highlight w:val="none"/>
          <w:u w:val="singl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地点：新疆政府采购网（http://www.ccgp-xinjiang.gov.cn）政采云平台线上获取</w:t>
      </w:r>
    </w:p>
    <w:p w14:paraId="03EBFBDD">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方式：供应商登录政采云平台https://www.zcygov.cn/在线申请获取采购文件（进入“项目采购”应用，在获取采购文件菜单中选择项目，申请获取采购文件）。</w:t>
      </w:r>
    </w:p>
    <w:p w14:paraId="06B02CB0">
      <w:pPr>
        <w:pStyle w:val="3"/>
        <w:keepNext/>
        <w:keepLines/>
        <w:pageBreakBefore w:val="0"/>
        <w:widowControl w:val="0"/>
        <w:kinsoku/>
        <w:wordWrap/>
        <w:overflowPunct/>
        <w:topLinePunct w:val="0"/>
        <w:autoSpaceDE/>
        <w:autoSpaceDN/>
        <w:bidi w:val="0"/>
        <w:adjustRightInd/>
        <w:snapToGrid/>
        <w:spacing w:before="0" w:after="0" w:line="560" w:lineRule="exact"/>
        <w:ind w:left="0" w:leftChars="0"/>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四、响应文件截止时间、提交地址：</w:t>
      </w:r>
    </w:p>
    <w:p w14:paraId="0BFFC88D">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宋体" w:hAnsi="宋体" w:eastAsia="宋体" w:cs="宋体"/>
          <w:bCs/>
          <w:color w:val="000000" w:themeColor="text1"/>
          <w:sz w:val="28"/>
          <w:szCs w:val="28"/>
          <w:highlight w:val="none"/>
          <w:u w:val="singl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截止时间：</w:t>
      </w:r>
      <w:r>
        <w:rPr>
          <w:rFonts w:hint="eastAsia" w:ascii="宋体" w:hAnsi="宋体" w:eastAsia="宋体" w:cs="宋体"/>
          <w:b/>
          <w:bCs/>
          <w:color w:val="000000" w:themeColor="text1"/>
          <w:sz w:val="28"/>
          <w:szCs w:val="28"/>
          <w:highlight w:val="none"/>
          <w:u w:val="single"/>
          <w14:textFill>
            <w14:solidFill>
              <w14:schemeClr w14:val="tx1"/>
            </w14:solidFill>
          </w14:textFill>
        </w:rPr>
        <w:t>202</w:t>
      </w:r>
      <w:r>
        <w:rPr>
          <w:rFonts w:hint="eastAsia" w:ascii="宋体" w:hAnsi="宋体" w:cs="宋体"/>
          <w:b/>
          <w:bCs/>
          <w:color w:val="000000" w:themeColor="text1"/>
          <w:sz w:val="28"/>
          <w:szCs w:val="28"/>
          <w:highlight w:val="none"/>
          <w:u w:val="single"/>
          <w:lang w:val="en-US" w:eastAsia="zh-CN"/>
          <w14:textFill>
            <w14:solidFill>
              <w14:schemeClr w14:val="tx1"/>
            </w14:solidFill>
          </w14:textFill>
        </w:rPr>
        <w:t>5</w:t>
      </w:r>
      <w:r>
        <w:rPr>
          <w:rFonts w:hint="eastAsia" w:ascii="宋体" w:hAnsi="宋体" w:eastAsia="宋体" w:cs="宋体"/>
          <w:b/>
          <w:bCs/>
          <w:color w:val="000000" w:themeColor="text1"/>
          <w:sz w:val="28"/>
          <w:szCs w:val="28"/>
          <w:highlight w:val="none"/>
          <w:u w:val="single"/>
          <w14:textFill>
            <w14:solidFill>
              <w14:schemeClr w14:val="tx1"/>
            </w14:solidFill>
          </w14:textFill>
        </w:rPr>
        <w:t>年</w:t>
      </w:r>
      <w:r>
        <w:rPr>
          <w:rFonts w:hint="eastAsia" w:ascii="宋体" w:hAnsi="宋体" w:cs="宋体"/>
          <w:b/>
          <w:bCs/>
          <w:color w:val="000000" w:themeColor="text1"/>
          <w:sz w:val="28"/>
          <w:szCs w:val="28"/>
          <w:highlight w:val="none"/>
          <w:u w:val="single"/>
          <w:lang w:val="en-US" w:eastAsia="zh-CN"/>
          <w14:textFill>
            <w14:solidFill>
              <w14:schemeClr w14:val="tx1"/>
            </w14:solidFill>
          </w14:textFill>
        </w:rPr>
        <w:t>07</w:t>
      </w:r>
      <w:r>
        <w:rPr>
          <w:rFonts w:hint="eastAsia" w:ascii="宋体" w:hAnsi="宋体" w:eastAsia="宋体" w:cs="宋体"/>
          <w:b/>
          <w:bCs/>
          <w:color w:val="000000" w:themeColor="text1"/>
          <w:sz w:val="28"/>
          <w:szCs w:val="28"/>
          <w:highlight w:val="none"/>
          <w:u w:val="single"/>
          <w14:textFill>
            <w14:solidFill>
              <w14:schemeClr w14:val="tx1"/>
            </w14:solidFill>
          </w14:textFill>
        </w:rPr>
        <w:t>月</w:t>
      </w:r>
      <w:r>
        <w:rPr>
          <w:rFonts w:hint="eastAsia" w:ascii="宋体" w:hAnsi="宋体" w:cs="宋体"/>
          <w:b/>
          <w:bCs/>
          <w:color w:val="000000" w:themeColor="text1"/>
          <w:sz w:val="28"/>
          <w:szCs w:val="28"/>
          <w:highlight w:val="none"/>
          <w:u w:val="single"/>
          <w:lang w:val="en-US" w:eastAsia="zh-CN"/>
          <w14:textFill>
            <w14:solidFill>
              <w14:schemeClr w14:val="tx1"/>
            </w14:solidFill>
          </w14:textFill>
        </w:rPr>
        <w:t>17</w:t>
      </w:r>
      <w:r>
        <w:rPr>
          <w:rFonts w:hint="eastAsia" w:ascii="宋体" w:hAnsi="宋体" w:eastAsia="宋体" w:cs="宋体"/>
          <w:b/>
          <w:bCs/>
          <w:color w:val="000000" w:themeColor="text1"/>
          <w:sz w:val="28"/>
          <w:szCs w:val="28"/>
          <w:highlight w:val="none"/>
          <w:u w:val="single"/>
          <w14:textFill>
            <w14:solidFill>
              <w14:schemeClr w14:val="tx1"/>
            </w14:solidFill>
          </w14:textFill>
        </w:rPr>
        <w:t>日1</w:t>
      </w:r>
      <w:r>
        <w:rPr>
          <w:rFonts w:hint="eastAsia" w:ascii="宋体" w:hAnsi="宋体" w:cs="宋体"/>
          <w:b/>
          <w:bCs/>
          <w:color w:val="000000" w:themeColor="text1"/>
          <w:sz w:val="28"/>
          <w:szCs w:val="28"/>
          <w:highlight w:val="none"/>
          <w:u w:val="single"/>
          <w:lang w:val="en-US" w:eastAsia="zh-CN"/>
          <w14:textFill>
            <w14:solidFill>
              <w14:schemeClr w14:val="tx1"/>
            </w14:solidFill>
          </w14:textFill>
        </w:rPr>
        <w:t>1</w:t>
      </w:r>
      <w:r>
        <w:rPr>
          <w:rFonts w:hint="eastAsia" w:ascii="宋体" w:hAnsi="宋体" w:eastAsia="宋体" w:cs="宋体"/>
          <w:b/>
          <w:bCs/>
          <w:color w:val="000000" w:themeColor="text1"/>
          <w:sz w:val="28"/>
          <w:szCs w:val="28"/>
          <w:highlight w:val="none"/>
          <w:u w:val="single"/>
          <w14:textFill>
            <w14:solidFill>
              <w14:schemeClr w14:val="tx1"/>
            </w14:solidFill>
          </w14:textFill>
        </w:rPr>
        <w:t>点00分</w:t>
      </w:r>
      <w:r>
        <w:rPr>
          <w:rFonts w:hint="eastAsia" w:ascii="宋体" w:hAnsi="宋体" w:eastAsia="宋体" w:cs="宋体"/>
          <w:bCs/>
          <w:color w:val="000000" w:themeColor="text1"/>
          <w:sz w:val="28"/>
          <w:szCs w:val="28"/>
          <w:highlight w:val="none"/>
          <w14:textFill>
            <w14:solidFill>
              <w14:schemeClr w14:val="tx1"/>
            </w14:solidFill>
          </w14:textFill>
        </w:rPr>
        <w:t>（北京时间）</w:t>
      </w:r>
    </w:p>
    <w:p w14:paraId="7B44A6BA">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提交地址：新疆政府采购网（</w:t>
      </w:r>
      <w:r>
        <w:rPr>
          <w:rFonts w:hint="eastAsia" w:ascii="宋体" w:hAnsi="宋体" w:eastAsia="宋体" w:cs="宋体"/>
          <w:color w:val="000000" w:themeColor="text1"/>
          <w:sz w:val="28"/>
          <w:szCs w:val="28"/>
          <w:highlight w:val="none"/>
          <w14:textFill>
            <w14:solidFill>
              <w14:schemeClr w14:val="tx1"/>
            </w14:solidFill>
          </w14:textFill>
        </w:rPr>
        <w:fldChar w:fldCharType="begin"/>
      </w:r>
      <w:r>
        <w:rPr>
          <w:rFonts w:hint="eastAsia" w:ascii="宋体" w:hAnsi="宋体" w:eastAsia="宋体" w:cs="宋体"/>
          <w:color w:val="000000" w:themeColor="text1"/>
          <w:sz w:val="28"/>
          <w:szCs w:val="28"/>
          <w:highlight w:val="none"/>
          <w14:textFill>
            <w14:solidFill>
              <w14:schemeClr w14:val="tx1"/>
            </w14:solidFill>
          </w14:textFill>
        </w:rPr>
        <w:instrText xml:space="preserve"> HYPERLINK "http://www.ccgp-xinjiang.gov.cn）政采" </w:instrText>
      </w:r>
      <w:r>
        <w:rPr>
          <w:rFonts w:hint="eastAsia" w:ascii="宋体" w:hAnsi="宋体" w:eastAsia="宋体" w:cs="宋体"/>
          <w:color w:val="000000" w:themeColor="text1"/>
          <w:sz w:val="28"/>
          <w:szCs w:val="28"/>
          <w:highlight w:val="none"/>
          <w14:textFill>
            <w14:solidFill>
              <w14:schemeClr w14:val="tx1"/>
            </w14:solidFill>
          </w14:textFill>
        </w:rPr>
        <w:fldChar w:fldCharType="separate"/>
      </w:r>
      <w:r>
        <w:rPr>
          <w:rStyle w:val="39"/>
          <w:rFonts w:hint="eastAsia" w:ascii="宋体" w:hAnsi="宋体" w:eastAsia="宋体" w:cs="宋体"/>
          <w:color w:val="000000" w:themeColor="text1"/>
          <w:sz w:val="28"/>
          <w:szCs w:val="28"/>
          <w:highlight w:val="none"/>
          <w14:textFill>
            <w14:solidFill>
              <w14:schemeClr w14:val="tx1"/>
            </w14:solidFill>
          </w14:textFill>
        </w:rPr>
        <w:t>http://www.ccgp-xinjiang.gov.cn）</w:t>
      </w:r>
      <w:r>
        <w:rPr>
          <w:rStyle w:val="39"/>
          <w:rFonts w:hint="eastAsia" w:ascii="宋体" w:hAnsi="宋体" w:eastAsia="宋体" w:cs="宋体"/>
          <w:color w:val="000000" w:themeColor="text1"/>
          <w:sz w:val="28"/>
          <w:szCs w:val="28"/>
          <w:highlight w:val="none"/>
          <w:u w:val="none"/>
          <w14:textFill>
            <w14:solidFill>
              <w14:schemeClr w14:val="tx1"/>
            </w14:solidFill>
          </w14:textFill>
        </w:rPr>
        <w:t>政采</w:t>
      </w:r>
      <w:r>
        <w:rPr>
          <w:rStyle w:val="39"/>
          <w:rFonts w:hint="eastAsia" w:ascii="宋体" w:hAnsi="宋体" w:eastAsia="宋体" w:cs="宋体"/>
          <w:color w:val="000000" w:themeColor="text1"/>
          <w:sz w:val="28"/>
          <w:szCs w:val="28"/>
          <w:highlight w:val="none"/>
          <w:u w:val="none"/>
          <w14:textFill>
            <w14:solidFill>
              <w14:schemeClr w14:val="tx1"/>
            </w14:solidFill>
          </w14:textFill>
        </w:rPr>
        <w:fldChar w:fldCharType="end"/>
      </w:r>
      <w:r>
        <w:rPr>
          <w:rFonts w:hint="eastAsia" w:ascii="宋体" w:hAnsi="宋体" w:eastAsia="宋体" w:cs="宋体"/>
          <w:color w:val="000000" w:themeColor="text1"/>
          <w:sz w:val="28"/>
          <w:szCs w:val="28"/>
          <w:highlight w:val="none"/>
          <w14:textFill>
            <w14:solidFill>
              <w14:schemeClr w14:val="tx1"/>
            </w14:solidFill>
          </w14:textFill>
        </w:rPr>
        <w:t>云投标客户端投标</w:t>
      </w:r>
    </w:p>
    <w:p w14:paraId="495E5E35">
      <w:pPr>
        <w:pStyle w:val="3"/>
        <w:keepNext/>
        <w:keepLines/>
        <w:pageBreakBefore w:val="0"/>
        <w:widowControl w:val="0"/>
        <w:kinsoku/>
        <w:wordWrap/>
        <w:overflowPunct/>
        <w:topLinePunct w:val="0"/>
        <w:autoSpaceDE/>
        <w:autoSpaceDN/>
        <w:bidi w:val="0"/>
        <w:adjustRightInd/>
        <w:snapToGrid/>
        <w:spacing w:before="0" w:after="0" w:line="560" w:lineRule="exact"/>
        <w:ind w:left="0" w:leftChars="0"/>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五、提交投标文件截止时间、开标时间和地点：</w:t>
      </w:r>
    </w:p>
    <w:p w14:paraId="0766C864">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宋体" w:hAnsi="宋体" w:eastAsia="宋体" w:cs="宋体"/>
          <w:bCs/>
          <w:color w:val="000000" w:themeColor="text1"/>
          <w:sz w:val="28"/>
          <w:szCs w:val="28"/>
          <w:highlight w:val="none"/>
          <w:u w:val="singl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开标时间：</w:t>
      </w:r>
      <w:r>
        <w:rPr>
          <w:rFonts w:hint="eastAsia" w:ascii="宋体" w:hAnsi="宋体" w:eastAsia="宋体" w:cs="宋体"/>
          <w:b/>
          <w:bCs/>
          <w:color w:val="000000" w:themeColor="text1"/>
          <w:sz w:val="28"/>
          <w:szCs w:val="28"/>
          <w:highlight w:val="none"/>
          <w:u w:val="single"/>
          <w14:textFill>
            <w14:solidFill>
              <w14:schemeClr w14:val="tx1"/>
            </w14:solidFill>
          </w14:textFill>
        </w:rPr>
        <w:t>202</w:t>
      </w:r>
      <w:r>
        <w:rPr>
          <w:rFonts w:hint="eastAsia" w:ascii="宋体" w:hAnsi="宋体" w:cs="宋体"/>
          <w:b/>
          <w:bCs/>
          <w:color w:val="000000" w:themeColor="text1"/>
          <w:sz w:val="28"/>
          <w:szCs w:val="28"/>
          <w:highlight w:val="none"/>
          <w:u w:val="single"/>
          <w:lang w:val="en-US" w:eastAsia="zh-CN"/>
          <w14:textFill>
            <w14:solidFill>
              <w14:schemeClr w14:val="tx1"/>
            </w14:solidFill>
          </w14:textFill>
        </w:rPr>
        <w:t>5</w:t>
      </w:r>
      <w:r>
        <w:rPr>
          <w:rFonts w:hint="eastAsia" w:ascii="宋体" w:hAnsi="宋体" w:eastAsia="宋体" w:cs="宋体"/>
          <w:b/>
          <w:bCs/>
          <w:color w:val="000000" w:themeColor="text1"/>
          <w:sz w:val="28"/>
          <w:szCs w:val="28"/>
          <w:highlight w:val="none"/>
          <w:u w:val="single"/>
          <w14:textFill>
            <w14:solidFill>
              <w14:schemeClr w14:val="tx1"/>
            </w14:solidFill>
          </w14:textFill>
        </w:rPr>
        <w:t>年</w:t>
      </w:r>
      <w:r>
        <w:rPr>
          <w:rFonts w:hint="eastAsia" w:ascii="宋体" w:hAnsi="宋体" w:cs="宋体"/>
          <w:b/>
          <w:bCs/>
          <w:color w:val="000000" w:themeColor="text1"/>
          <w:sz w:val="28"/>
          <w:szCs w:val="28"/>
          <w:highlight w:val="none"/>
          <w:u w:val="single"/>
          <w:lang w:val="en-US" w:eastAsia="zh-CN"/>
          <w14:textFill>
            <w14:solidFill>
              <w14:schemeClr w14:val="tx1"/>
            </w14:solidFill>
          </w14:textFill>
        </w:rPr>
        <w:t>07</w:t>
      </w:r>
      <w:r>
        <w:rPr>
          <w:rFonts w:hint="eastAsia" w:ascii="宋体" w:hAnsi="宋体" w:eastAsia="宋体" w:cs="宋体"/>
          <w:b/>
          <w:bCs/>
          <w:color w:val="000000" w:themeColor="text1"/>
          <w:sz w:val="28"/>
          <w:szCs w:val="28"/>
          <w:highlight w:val="none"/>
          <w:u w:val="single"/>
          <w14:textFill>
            <w14:solidFill>
              <w14:schemeClr w14:val="tx1"/>
            </w14:solidFill>
          </w14:textFill>
        </w:rPr>
        <w:t>月</w:t>
      </w:r>
      <w:r>
        <w:rPr>
          <w:rFonts w:hint="eastAsia" w:ascii="宋体" w:hAnsi="宋体" w:cs="宋体"/>
          <w:b/>
          <w:bCs/>
          <w:color w:val="000000" w:themeColor="text1"/>
          <w:sz w:val="28"/>
          <w:szCs w:val="28"/>
          <w:highlight w:val="none"/>
          <w:u w:val="single"/>
          <w:lang w:val="en-US" w:eastAsia="zh-CN"/>
          <w14:textFill>
            <w14:solidFill>
              <w14:schemeClr w14:val="tx1"/>
            </w14:solidFill>
          </w14:textFill>
        </w:rPr>
        <w:t>17</w:t>
      </w:r>
      <w:r>
        <w:rPr>
          <w:rFonts w:hint="eastAsia" w:ascii="宋体" w:hAnsi="宋体" w:eastAsia="宋体" w:cs="宋体"/>
          <w:b/>
          <w:bCs/>
          <w:color w:val="000000" w:themeColor="text1"/>
          <w:sz w:val="28"/>
          <w:szCs w:val="28"/>
          <w:highlight w:val="none"/>
          <w:u w:val="single"/>
          <w14:textFill>
            <w14:solidFill>
              <w14:schemeClr w14:val="tx1"/>
            </w14:solidFill>
          </w14:textFill>
        </w:rPr>
        <w:t>日1</w:t>
      </w:r>
      <w:r>
        <w:rPr>
          <w:rFonts w:hint="eastAsia" w:ascii="宋体" w:hAnsi="宋体" w:cs="宋体"/>
          <w:b/>
          <w:bCs/>
          <w:color w:val="000000" w:themeColor="text1"/>
          <w:sz w:val="28"/>
          <w:szCs w:val="28"/>
          <w:highlight w:val="none"/>
          <w:u w:val="single"/>
          <w:lang w:val="en-US" w:eastAsia="zh-CN"/>
          <w14:textFill>
            <w14:solidFill>
              <w14:schemeClr w14:val="tx1"/>
            </w14:solidFill>
          </w14:textFill>
        </w:rPr>
        <w:t>1</w:t>
      </w:r>
      <w:r>
        <w:rPr>
          <w:rFonts w:hint="eastAsia" w:ascii="宋体" w:hAnsi="宋体" w:eastAsia="宋体" w:cs="宋体"/>
          <w:b/>
          <w:bCs/>
          <w:color w:val="000000" w:themeColor="text1"/>
          <w:sz w:val="28"/>
          <w:szCs w:val="28"/>
          <w:highlight w:val="none"/>
          <w:u w:val="single"/>
          <w14:textFill>
            <w14:solidFill>
              <w14:schemeClr w14:val="tx1"/>
            </w14:solidFill>
          </w14:textFill>
        </w:rPr>
        <w:t>点00分</w:t>
      </w:r>
      <w:r>
        <w:rPr>
          <w:rFonts w:hint="eastAsia" w:ascii="宋体" w:hAnsi="宋体" w:eastAsia="宋体" w:cs="宋体"/>
          <w:bCs/>
          <w:color w:val="000000" w:themeColor="text1"/>
          <w:sz w:val="28"/>
          <w:szCs w:val="28"/>
          <w:highlight w:val="none"/>
          <w14:textFill>
            <w14:solidFill>
              <w14:schemeClr w14:val="tx1"/>
            </w14:solidFill>
          </w14:textFill>
        </w:rPr>
        <w:t>（北京时间）</w:t>
      </w:r>
    </w:p>
    <w:p w14:paraId="1855D413">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开标地点：新疆政府采购网（</w:t>
      </w:r>
      <w:r>
        <w:rPr>
          <w:rFonts w:hint="eastAsia" w:ascii="宋体" w:hAnsi="宋体" w:eastAsia="宋体" w:cs="宋体"/>
          <w:color w:val="000000" w:themeColor="text1"/>
          <w:sz w:val="28"/>
          <w:szCs w:val="28"/>
          <w:highlight w:val="none"/>
          <w14:textFill>
            <w14:solidFill>
              <w14:schemeClr w14:val="tx1"/>
            </w14:solidFill>
          </w14:textFill>
        </w:rPr>
        <w:fldChar w:fldCharType="begin"/>
      </w:r>
      <w:r>
        <w:rPr>
          <w:rFonts w:hint="eastAsia" w:ascii="宋体" w:hAnsi="宋体" w:eastAsia="宋体" w:cs="宋体"/>
          <w:color w:val="000000" w:themeColor="text1"/>
          <w:sz w:val="28"/>
          <w:szCs w:val="28"/>
          <w:highlight w:val="none"/>
          <w14:textFill>
            <w14:solidFill>
              <w14:schemeClr w14:val="tx1"/>
            </w14:solidFill>
          </w14:textFill>
        </w:rPr>
        <w:instrText xml:space="preserve"> HYPERLINK "http://www.ccgp-xinjiang.gov.cn）政采" </w:instrText>
      </w:r>
      <w:r>
        <w:rPr>
          <w:rFonts w:hint="eastAsia" w:ascii="宋体" w:hAnsi="宋体" w:eastAsia="宋体" w:cs="宋体"/>
          <w:color w:val="000000" w:themeColor="text1"/>
          <w:sz w:val="28"/>
          <w:szCs w:val="28"/>
          <w:highlight w:val="none"/>
          <w14:textFill>
            <w14:solidFill>
              <w14:schemeClr w14:val="tx1"/>
            </w14:solidFill>
          </w14:textFill>
        </w:rPr>
        <w:fldChar w:fldCharType="separate"/>
      </w:r>
      <w:r>
        <w:rPr>
          <w:rStyle w:val="39"/>
          <w:rFonts w:hint="eastAsia" w:ascii="宋体" w:hAnsi="宋体" w:eastAsia="宋体" w:cs="宋体"/>
          <w:color w:val="000000" w:themeColor="text1"/>
          <w:sz w:val="28"/>
          <w:szCs w:val="28"/>
          <w:highlight w:val="none"/>
          <w14:textFill>
            <w14:solidFill>
              <w14:schemeClr w14:val="tx1"/>
            </w14:solidFill>
          </w14:textFill>
        </w:rPr>
        <w:t>http://www.ccgp-xinjiang.gov.cn）</w:t>
      </w:r>
      <w:r>
        <w:rPr>
          <w:rStyle w:val="39"/>
          <w:rFonts w:hint="eastAsia" w:ascii="宋体" w:hAnsi="宋体" w:eastAsia="宋体" w:cs="宋体"/>
          <w:color w:val="000000" w:themeColor="text1"/>
          <w:sz w:val="28"/>
          <w:szCs w:val="28"/>
          <w:highlight w:val="none"/>
          <w:u w:val="none"/>
          <w14:textFill>
            <w14:solidFill>
              <w14:schemeClr w14:val="tx1"/>
            </w14:solidFill>
          </w14:textFill>
        </w:rPr>
        <w:t>政采</w:t>
      </w:r>
      <w:r>
        <w:rPr>
          <w:rStyle w:val="39"/>
          <w:rFonts w:hint="eastAsia" w:ascii="宋体" w:hAnsi="宋体" w:eastAsia="宋体" w:cs="宋体"/>
          <w:color w:val="000000" w:themeColor="text1"/>
          <w:sz w:val="28"/>
          <w:szCs w:val="28"/>
          <w:highlight w:val="none"/>
          <w14:textFill>
            <w14:solidFill>
              <w14:schemeClr w14:val="tx1"/>
            </w14:solidFill>
          </w14:textFill>
        </w:rPr>
        <w:fldChar w:fldCharType="end"/>
      </w:r>
      <w:r>
        <w:rPr>
          <w:rFonts w:hint="eastAsia" w:ascii="宋体" w:hAnsi="宋体" w:eastAsia="宋体" w:cs="宋体"/>
          <w:color w:val="000000" w:themeColor="text1"/>
          <w:sz w:val="28"/>
          <w:szCs w:val="28"/>
          <w:highlight w:val="none"/>
          <w14:textFill>
            <w14:solidFill>
              <w14:schemeClr w14:val="tx1"/>
            </w14:solidFill>
          </w14:textFill>
        </w:rPr>
        <w:t>云平台</w:t>
      </w:r>
    </w:p>
    <w:p w14:paraId="5815261B">
      <w:pPr>
        <w:pStyle w:val="3"/>
        <w:keepNext/>
        <w:keepLines/>
        <w:pageBreakBefore w:val="0"/>
        <w:widowControl w:val="0"/>
        <w:kinsoku/>
        <w:wordWrap/>
        <w:overflowPunct/>
        <w:topLinePunct w:val="0"/>
        <w:autoSpaceDE/>
        <w:autoSpaceDN/>
        <w:bidi w:val="0"/>
        <w:adjustRightInd/>
        <w:snapToGrid/>
        <w:spacing w:before="0" w:after="0" w:line="560" w:lineRule="exact"/>
        <w:ind w:left="0" w:leftChars="0"/>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六、公告期限</w:t>
      </w:r>
    </w:p>
    <w:p w14:paraId="71B5F2D2">
      <w:pPr>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宋体" w:hAnsi="宋体" w:eastAsia="宋体" w:cs="宋体"/>
          <w:color w:val="000000" w:themeColor="text1"/>
          <w:kern w:val="0"/>
          <w:sz w:val="28"/>
          <w:szCs w:val="28"/>
          <w:highlight w:val="none"/>
          <w14:textFill>
            <w14:solidFill>
              <w14:schemeClr w14:val="tx1"/>
            </w14:solidFill>
          </w14:textFill>
        </w:rPr>
      </w:pPr>
      <w:r>
        <w:rPr>
          <w:rFonts w:hint="eastAsia" w:ascii="宋体" w:hAnsi="宋体" w:eastAsia="宋体" w:cs="宋体"/>
          <w:color w:val="000000" w:themeColor="text1"/>
          <w:kern w:val="0"/>
          <w:sz w:val="28"/>
          <w:szCs w:val="28"/>
          <w:highlight w:val="none"/>
          <w14:textFill>
            <w14:solidFill>
              <w14:schemeClr w14:val="tx1"/>
            </w14:solidFill>
          </w14:textFill>
        </w:rPr>
        <w:t>自本公告发布之日起</w:t>
      </w:r>
      <w:r>
        <w:rPr>
          <w:rFonts w:hint="eastAsia" w:ascii="宋体" w:hAnsi="宋体" w:cs="宋体"/>
          <w:color w:val="000000" w:themeColor="text1"/>
          <w:kern w:val="0"/>
          <w:sz w:val="28"/>
          <w:szCs w:val="28"/>
          <w:highlight w:val="none"/>
          <w:lang w:val="en-US" w:eastAsia="zh-CN"/>
          <w14:textFill>
            <w14:solidFill>
              <w14:schemeClr w14:val="tx1"/>
            </w14:solidFill>
          </w14:textFill>
        </w:rPr>
        <w:t>5</w:t>
      </w:r>
      <w:r>
        <w:rPr>
          <w:rFonts w:hint="eastAsia" w:ascii="宋体" w:hAnsi="宋体" w:eastAsia="宋体" w:cs="宋体"/>
          <w:color w:val="000000" w:themeColor="text1"/>
          <w:kern w:val="0"/>
          <w:sz w:val="28"/>
          <w:szCs w:val="28"/>
          <w:highlight w:val="none"/>
          <w14:textFill>
            <w14:solidFill>
              <w14:schemeClr w14:val="tx1"/>
            </w14:solidFill>
          </w14:textFill>
        </w:rPr>
        <w:t>个工作日。</w:t>
      </w:r>
    </w:p>
    <w:p w14:paraId="65A86457">
      <w:pPr>
        <w:pStyle w:val="3"/>
        <w:keepNext/>
        <w:keepLines/>
        <w:pageBreakBefore w:val="0"/>
        <w:widowControl w:val="0"/>
        <w:kinsoku/>
        <w:wordWrap/>
        <w:overflowPunct/>
        <w:topLinePunct w:val="0"/>
        <w:autoSpaceDE/>
        <w:autoSpaceDN/>
        <w:bidi w:val="0"/>
        <w:adjustRightInd/>
        <w:snapToGrid/>
        <w:spacing w:before="0" w:after="0" w:line="560" w:lineRule="exact"/>
        <w:ind w:left="0" w:leftChars="0"/>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七、其他补充事宜</w:t>
      </w:r>
    </w:p>
    <w:p w14:paraId="776F7433">
      <w:pPr>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1、本项目实行网上投标，采用电子投标文件；</w:t>
      </w:r>
    </w:p>
    <w:p w14:paraId="1431D764">
      <w:pPr>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2、各供应商应在开标前应确保成为新疆政府采购网正式注册入库供应商，并完成CA数字证书（符合国密标准）申领。因未注册入库、未办理CA数字证书等原因造成无法投标或投标失败等后果由供应商自行承担。有意向参与新疆区域电子开评标的供应商，可访问新疆数字证书认证中心官方网站（https://www.xjca.com.cn/）或下载“新疆政务通”APP自行进行申领。如需咨询，请联系新疆CA服务热线95763；</w:t>
      </w:r>
    </w:p>
    <w:p w14:paraId="6150E010">
      <w:pPr>
        <w:keepNext w:val="0"/>
        <w:keepLines w:val="0"/>
        <w:pageBreakBefore w:val="0"/>
        <w:widowControl w:val="0"/>
        <w:kinsoku/>
        <w:wordWrap w:val="0"/>
        <w:overflowPunct/>
        <w:topLinePunct w:val="0"/>
        <w:autoSpaceDE/>
        <w:autoSpaceDN/>
        <w:bidi w:val="0"/>
        <w:adjustRightInd/>
        <w:snapToGrid/>
        <w:spacing w:line="560" w:lineRule="exact"/>
        <w:ind w:left="0" w:leftChars="0" w:firstLine="560" w:firstLineChars="200"/>
        <w:textAlignment w:val="auto"/>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3、供应商将政采云电子交易客户端下载、安装完成后，可通过账号密码或CA登录客户端进行投标文件的制作。在使用政采云投标客户端时，建议使用WIN7及以上操作系统。客户端请至新疆政府采购网（http://www.ccgp-xinjiang.gov.cn/）下载专区查看，如有问题可拨打政采云客户服务热线95763进行咨询。如因供应商自身原因导致在规定时间内无法正常解密的（如：浏览器故障、未安装相关驱动、网络故障、加密CA与解密CA不一致等），采购中心/代理机构不予异常处理，视为供应商自动弃标。</w:t>
      </w:r>
    </w:p>
    <w:p w14:paraId="71BC8955">
      <w:pPr>
        <w:keepNext w:val="0"/>
        <w:keepLines w:val="0"/>
        <w:pageBreakBefore w:val="0"/>
        <w:widowControl w:val="0"/>
        <w:kinsoku/>
        <w:wordWrap w:val="0"/>
        <w:overflowPunct/>
        <w:topLinePunct w:val="0"/>
        <w:autoSpaceDE/>
        <w:autoSpaceDN/>
        <w:bidi w:val="0"/>
        <w:adjustRightInd/>
        <w:snapToGrid/>
        <w:spacing w:line="560" w:lineRule="exact"/>
        <w:ind w:left="0" w:leftChars="0" w:firstLine="560" w:firstLineChars="200"/>
        <w:textAlignment w:val="auto"/>
        <w:rPr>
          <w:rFonts w:hint="eastAsia" w:ascii="宋体" w:hAnsi="宋体" w:eastAsia="宋体" w:cs="宋体"/>
          <w:color w:val="000000" w:themeColor="text1"/>
          <w:kern w:val="0"/>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 xml:space="preserve">4、供应商操作指南详见新疆政府采购网（http://www.ccgp-xinjiang.gov.cn/）—办事指南—操作指南。  </w:t>
      </w:r>
      <w:r>
        <w:rPr>
          <w:rFonts w:hint="eastAsia" w:ascii="宋体" w:hAnsi="宋体" w:eastAsia="宋体" w:cs="宋体"/>
          <w:color w:val="000000" w:themeColor="text1"/>
          <w:kern w:val="0"/>
          <w:sz w:val="28"/>
          <w:szCs w:val="28"/>
          <w:highlight w:val="none"/>
          <w14:textFill>
            <w14:solidFill>
              <w14:schemeClr w14:val="tx1"/>
            </w14:solidFill>
          </w14:textFill>
        </w:rPr>
        <w:t xml:space="preserve"> </w:t>
      </w:r>
    </w:p>
    <w:p w14:paraId="6F5B1B20">
      <w:pPr>
        <w:pStyle w:val="3"/>
        <w:keepNext/>
        <w:keepLines/>
        <w:pageBreakBefore w:val="0"/>
        <w:widowControl w:val="0"/>
        <w:kinsoku/>
        <w:wordWrap/>
        <w:overflowPunct/>
        <w:topLinePunct w:val="0"/>
        <w:autoSpaceDE/>
        <w:autoSpaceDN/>
        <w:bidi w:val="0"/>
        <w:adjustRightInd/>
        <w:snapToGrid/>
        <w:spacing w:before="0" w:after="0" w:line="560" w:lineRule="exact"/>
        <w:ind w:left="0" w:leftChars="0"/>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八、凡对本次采购提出询问，请按以下方式联系。</w:t>
      </w:r>
    </w:p>
    <w:p w14:paraId="492196D5">
      <w:pPr>
        <w:pageBreakBefore w:val="0"/>
        <w:widowControl w:val="0"/>
        <w:kinsoku/>
        <w:wordWrap/>
        <w:overflowPunct/>
        <w:topLinePunct w:val="0"/>
        <w:autoSpaceDE/>
        <w:autoSpaceDN/>
        <w:bidi w:val="0"/>
        <w:adjustRightInd/>
        <w:snapToGrid/>
        <w:spacing w:line="560" w:lineRule="exact"/>
        <w:ind w:left="0" w:leftChars="0"/>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1.采购人信息</w:t>
      </w:r>
    </w:p>
    <w:p w14:paraId="49249489">
      <w:pPr>
        <w:pageBreakBefore w:val="0"/>
        <w:widowControl w:val="0"/>
        <w:kinsoku/>
        <w:wordWrap/>
        <w:overflowPunct/>
        <w:topLinePunct w:val="0"/>
        <w:autoSpaceDE/>
        <w:autoSpaceDN/>
        <w:bidi w:val="0"/>
        <w:adjustRightInd/>
        <w:snapToGrid/>
        <w:spacing w:line="560" w:lineRule="exact"/>
        <w:ind w:left="0" w:leftChars="0" w:firstLine="560" w:firstLineChars="200"/>
        <w:jc w:val="left"/>
        <w:textAlignment w:val="auto"/>
        <w:rPr>
          <w:rFonts w:hint="eastAsia" w:ascii="宋体" w:hAnsi="宋体" w:eastAsia="宋体" w:cs="宋体"/>
          <w:color w:val="000000" w:themeColor="text1"/>
          <w:sz w:val="28"/>
          <w:szCs w:val="28"/>
          <w:highlight w:val="none"/>
          <w:u w:val="single"/>
          <w:lang w:eastAsia="zh-CN"/>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名    称：</w:t>
      </w:r>
      <w:r>
        <w:rPr>
          <w:rFonts w:hint="eastAsia" w:ascii="宋体" w:hAnsi="宋体" w:cs="宋体"/>
          <w:color w:val="000000" w:themeColor="text1"/>
          <w:sz w:val="28"/>
          <w:szCs w:val="28"/>
          <w:highlight w:val="none"/>
          <w:u w:val="single"/>
          <w:lang w:eastAsia="zh-CN"/>
          <w14:textFill>
            <w14:solidFill>
              <w14:schemeClr w14:val="tx1"/>
            </w14:solidFill>
          </w14:textFill>
        </w:rPr>
        <w:t xml:space="preserve">哈密市中心医院    </w:t>
      </w:r>
    </w:p>
    <w:p w14:paraId="1394A5B1">
      <w:pPr>
        <w:pageBreakBefore w:val="0"/>
        <w:widowControl w:val="0"/>
        <w:kinsoku/>
        <w:wordWrap/>
        <w:overflowPunct/>
        <w:topLinePunct w:val="0"/>
        <w:autoSpaceDE/>
        <w:autoSpaceDN/>
        <w:bidi w:val="0"/>
        <w:adjustRightInd/>
        <w:snapToGrid/>
        <w:spacing w:line="560" w:lineRule="exact"/>
        <w:ind w:left="0" w:leftChars="0" w:firstLine="560" w:firstLineChars="200"/>
        <w:jc w:val="left"/>
        <w:textAlignment w:val="auto"/>
        <w:rPr>
          <w:rFonts w:hint="eastAsia" w:ascii="宋体" w:hAnsi="宋体" w:eastAsia="宋体" w:cs="宋体"/>
          <w:color w:val="000000" w:themeColor="text1"/>
          <w:sz w:val="28"/>
          <w:szCs w:val="28"/>
          <w:highlight w:val="none"/>
          <w:lang w:eastAsia="zh-CN"/>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地    址：</w:t>
      </w:r>
      <w:r>
        <w:rPr>
          <w:rFonts w:hint="eastAsia" w:ascii="宋体" w:hAnsi="宋体" w:eastAsia="宋体" w:cs="宋体"/>
          <w:color w:val="000000" w:themeColor="text1"/>
          <w:sz w:val="28"/>
          <w:szCs w:val="28"/>
          <w:highlight w:val="none"/>
          <w:u w:val="single"/>
          <w14:textFill>
            <w14:solidFill>
              <w14:schemeClr w14:val="tx1"/>
            </w14:solidFill>
          </w14:textFill>
        </w:rPr>
        <w:t>哈密市伊州区广场北路18号</w:t>
      </w:r>
    </w:p>
    <w:p w14:paraId="214A6B65">
      <w:pPr>
        <w:pageBreakBefore w:val="0"/>
        <w:widowControl w:val="0"/>
        <w:kinsoku/>
        <w:wordWrap/>
        <w:overflowPunct/>
        <w:topLinePunct w:val="0"/>
        <w:autoSpaceDE/>
        <w:autoSpaceDN/>
        <w:bidi w:val="0"/>
        <w:adjustRightInd/>
        <w:snapToGrid/>
        <w:spacing w:line="560" w:lineRule="exact"/>
        <w:ind w:left="0" w:leftChars="0" w:firstLine="560" w:firstLineChars="200"/>
        <w:jc w:val="left"/>
        <w:textAlignment w:val="auto"/>
        <w:rPr>
          <w:rFonts w:hint="eastAsia" w:ascii="宋体" w:hAnsi="宋体" w:eastAsia="宋体" w:cs="宋体"/>
          <w:color w:val="000000" w:themeColor="text1"/>
          <w:sz w:val="28"/>
          <w:szCs w:val="28"/>
          <w:highlight w:val="none"/>
          <w:u w:val="single"/>
          <w:lang w:eastAsia="zh-CN"/>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联系方式：</w:t>
      </w:r>
      <w:r>
        <w:rPr>
          <w:rFonts w:hint="eastAsia" w:ascii="宋体" w:hAnsi="宋体" w:eastAsia="宋体" w:cs="宋体"/>
          <w:color w:val="000000" w:themeColor="text1"/>
          <w:sz w:val="28"/>
          <w:szCs w:val="28"/>
          <w:highlight w:val="none"/>
          <w:u w:val="single"/>
          <w14:textFill>
            <w14:solidFill>
              <w14:schemeClr w14:val="tx1"/>
            </w14:solidFill>
          </w14:textFill>
        </w:rPr>
        <w:t>0902-2260357</w:t>
      </w:r>
    </w:p>
    <w:p w14:paraId="45F11458">
      <w:pPr>
        <w:pageBreakBefore w:val="0"/>
        <w:widowControl w:val="0"/>
        <w:kinsoku/>
        <w:wordWrap/>
        <w:overflowPunct/>
        <w:topLinePunct w:val="0"/>
        <w:autoSpaceDE/>
        <w:autoSpaceDN/>
        <w:bidi w:val="0"/>
        <w:adjustRightInd/>
        <w:snapToGrid/>
        <w:spacing w:line="560" w:lineRule="exact"/>
        <w:ind w:left="0" w:leftChars="0"/>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2.采购代理机构信息</w:t>
      </w:r>
    </w:p>
    <w:p w14:paraId="0BB225BB">
      <w:pPr>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宋体" w:hAnsi="宋体" w:eastAsia="宋体" w:cs="宋体"/>
          <w:color w:val="000000" w:themeColor="text1"/>
          <w:sz w:val="28"/>
          <w:szCs w:val="28"/>
          <w:highlight w:val="none"/>
          <w:u w:val="single"/>
          <w:lang w:eastAsia="zh-CN"/>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名    称：</w:t>
      </w:r>
      <w:r>
        <w:rPr>
          <w:rFonts w:hint="eastAsia" w:ascii="宋体" w:hAnsi="宋体" w:cs="宋体"/>
          <w:color w:val="000000" w:themeColor="text1"/>
          <w:sz w:val="28"/>
          <w:szCs w:val="28"/>
          <w:highlight w:val="none"/>
          <w:u w:val="single"/>
          <w:lang w:eastAsia="zh-CN"/>
          <w14:textFill>
            <w14:solidFill>
              <w14:schemeClr w14:val="tx1"/>
            </w14:solidFill>
          </w14:textFill>
        </w:rPr>
        <w:t>新疆诚誉工程项目管理有限公司</w:t>
      </w:r>
    </w:p>
    <w:p w14:paraId="20BBB808">
      <w:pPr>
        <w:pageBreakBefore w:val="0"/>
        <w:widowControl w:val="0"/>
        <w:kinsoku/>
        <w:wordWrap/>
        <w:overflowPunct/>
        <w:topLinePunct w:val="0"/>
        <w:autoSpaceDE/>
        <w:autoSpaceDN/>
        <w:bidi w:val="0"/>
        <w:adjustRightInd/>
        <w:snapToGrid/>
        <w:spacing w:line="560" w:lineRule="exact"/>
        <w:ind w:left="1399" w:leftChars="266" w:hanging="840" w:hangingChars="300"/>
        <w:textAlignment w:val="auto"/>
        <w:rPr>
          <w:rFonts w:hint="eastAsia" w:ascii="宋体" w:hAnsi="宋体" w:eastAsia="宋体" w:cs="宋体"/>
          <w:color w:val="000000" w:themeColor="text1"/>
          <w:sz w:val="28"/>
          <w:szCs w:val="28"/>
          <w:highlight w:val="none"/>
          <w:lang w:eastAsia="zh-CN"/>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地　　址：</w:t>
      </w:r>
      <w:r>
        <w:rPr>
          <w:rFonts w:hint="eastAsia" w:ascii="宋体" w:hAnsi="宋体" w:cs="宋体"/>
          <w:color w:val="000000" w:themeColor="text1"/>
          <w:sz w:val="28"/>
          <w:szCs w:val="28"/>
          <w:highlight w:val="none"/>
          <w:u w:val="single"/>
          <w:lang w:eastAsia="zh-CN"/>
          <w14:textFill>
            <w14:solidFill>
              <w14:schemeClr w14:val="tx1"/>
            </w14:solidFill>
          </w14:textFill>
        </w:rPr>
        <w:t>乌鲁木齐市会展大道599号新疆财富中心C座6楼601室</w:t>
      </w:r>
    </w:p>
    <w:p w14:paraId="4767BD39">
      <w:pPr>
        <w:pageBreakBefore w:val="0"/>
        <w:widowControl w:val="0"/>
        <w:kinsoku/>
        <w:wordWrap/>
        <w:overflowPunct/>
        <w:topLinePunct w:val="0"/>
        <w:autoSpaceDE/>
        <w:autoSpaceDN/>
        <w:bidi w:val="0"/>
        <w:adjustRightInd/>
        <w:snapToGrid/>
        <w:spacing w:line="560" w:lineRule="exact"/>
        <w:ind w:left="0" w:leftChars="0"/>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3.项目联系方式</w:t>
      </w:r>
    </w:p>
    <w:p w14:paraId="6620587D">
      <w:pPr>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宋体" w:hAnsi="宋体" w:eastAsia="宋体" w:cs="宋体"/>
          <w:color w:val="000000" w:themeColor="text1"/>
          <w:sz w:val="28"/>
          <w:szCs w:val="28"/>
          <w:highlight w:val="none"/>
          <w:lang w:eastAsia="zh-CN"/>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项目联系人：</w:t>
      </w:r>
      <w:r>
        <w:rPr>
          <w:rFonts w:hint="eastAsia" w:ascii="宋体" w:hAnsi="宋体" w:cs="宋体"/>
          <w:color w:val="000000" w:themeColor="text1"/>
          <w:sz w:val="28"/>
          <w:szCs w:val="28"/>
          <w:highlight w:val="none"/>
          <w:u w:val="single"/>
          <w:lang w:eastAsia="zh-CN"/>
          <w14:textFill>
            <w14:solidFill>
              <w14:schemeClr w14:val="tx1"/>
            </w14:solidFill>
          </w14:textFill>
        </w:rPr>
        <w:t>刘慧敏、赵箭</w:t>
      </w:r>
    </w:p>
    <w:p w14:paraId="35693134">
      <w:pPr>
        <w:pageBreakBefore w:val="0"/>
        <w:widowControl w:val="0"/>
        <w:tabs>
          <w:tab w:val="right" w:pos="9864"/>
        </w:tabs>
        <w:kinsoku/>
        <w:wordWrap/>
        <w:overflowPunct/>
        <w:topLinePunct w:val="0"/>
        <w:autoSpaceDE/>
        <w:autoSpaceDN/>
        <w:bidi w:val="0"/>
        <w:adjustRightInd/>
        <w:snapToGrid/>
        <w:spacing w:line="560" w:lineRule="exact"/>
        <w:ind w:left="0" w:leftChars="0" w:firstLine="560" w:firstLineChars="200"/>
        <w:textAlignment w:val="auto"/>
        <w:rPr>
          <w:rFonts w:ascii="宋体" w:hAnsi="宋体"/>
          <w:b/>
          <w:color w:val="000000" w:themeColor="text1"/>
          <w:sz w:val="28"/>
          <w:szCs w:val="32"/>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电　　 话：</w:t>
      </w:r>
      <w:r>
        <w:rPr>
          <w:rFonts w:hint="eastAsia" w:ascii="宋体" w:hAnsi="宋体" w:cs="宋体"/>
          <w:color w:val="000000" w:themeColor="text1"/>
          <w:sz w:val="28"/>
          <w:szCs w:val="28"/>
          <w:highlight w:val="none"/>
          <w:u w:val="single"/>
          <w:lang w:val="en-US" w:eastAsia="zh-CN"/>
          <w14:textFill>
            <w14:solidFill>
              <w14:schemeClr w14:val="tx1"/>
            </w14:solidFill>
          </w14:textFill>
        </w:rPr>
        <w:t>15899485207、19999115800</w:t>
      </w:r>
      <w:r>
        <w:rPr>
          <w:rFonts w:ascii="宋体" w:hAnsi="宋体" w:cs="宋体"/>
          <w:color w:val="000000" w:themeColor="text1"/>
          <w:sz w:val="24"/>
          <w:szCs w:val="28"/>
          <w:highlight w:val="none"/>
          <w14:textFill>
            <w14:solidFill>
              <w14:schemeClr w14:val="tx1"/>
            </w14:solidFill>
          </w14:textFill>
        </w:rPr>
        <w:tab/>
      </w:r>
    </w:p>
    <w:p w14:paraId="3EE8E6A5">
      <w:pPr>
        <w:bidi w:val="0"/>
        <w:rPr>
          <w:rFonts w:hint="eastAsia"/>
          <w:color w:val="000000" w:themeColor="text1"/>
          <w:highlight w:val="none"/>
          <w14:textFill>
            <w14:solidFill>
              <w14:schemeClr w14:val="tx1"/>
            </w14:solidFill>
          </w14:textFill>
        </w:rPr>
      </w:pPr>
    </w:p>
    <w:p w14:paraId="6B91C218">
      <w:pPr>
        <w:rPr>
          <w:rFonts w:hint="eastAsia"/>
          <w:color w:val="000000" w:themeColor="text1"/>
          <w:highlight w:val="none"/>
          <w14:textFill>
            <w14:solidFill>
              <w14:schemeClr w14:val="tx1"/>
            </w14:solidFill>
          </w14:textFill>
        </w:rPr>
      </w:pPr>
    </w:p>
    <w:p w14:paraId="1D56B2A1">
      <w:pPr>
        <w:rPr>
          <w:rFonts w:hint="eastAsia"/>
          <w:color w:val="000000" w:themeColor="text1"/>
          <w:highlight w:val="none"/>
          <w14:textFill>
            <w14:solidFill>
              <w14:schemeClr w14:val="tx1"/>
            </w14:solidFill>
          </w14:textFill>
        </w:rPr>
      </w:pPr>
    </w:p>
    <w:p w14:paraId="39B320F5">
      <w:pPr>
        <w:rPr>
          <w:rFonts w:hint="eastAsia"/>
          <w:color w:val="000000" w:themeColor="text1"/>
          <w:highlight w:val="none"/>
          <w14:textFill>
            <w14:solidFill>
              <w14:schemeClr w14:val="tx1"/>
            </w14:solidFill>
          </w14:textFill>
        </w:rPr>
      </w:pPr>
    </w:p>
    <w:p w14:paraId="585D7B66">
      <w:pPr>
        <w:rPr>
          <w:rFonts w:hint="eastAsia"/>
          <w:color w:val="000000" w:themeColor="text1"/>
          <w:highlight w:val="none"/>
          <w14:textFill>
            <w14:solidFill>
              <w14:schemeClr w14:val="tx1"/>
            </w14:solidFill>
          </w14:textFill>
        </w:rPr>
      </w:pPr>
    </w:p>
    <w:p w14:paraId="21D95C13">
      <w:pPr>
        <w:rPr>
          <w:rFonts w:hint="eastAsia"/>
          <w:color w:val="000000" w:themeColor="text1"/>
          <w:highlight w:val="none"/>
          <w14:textFill>
            <w14:solidFill>
              <w14:schemeClr w14:val="tx1"/>
            </w14:solidFill>
          </w14:textFill>
        </w:rPr>
      </w:pPr>
    </w:p>
    <w:p w14:paraId="66E22484">
      <w:pPr>
        <w:rPr>
          <w:rFonts w:hint="eastAsia"/>
          <w:color w:val="000000" w:themeColor="text1"/>
          <w:highlight w:val="none"/>
          <w14:textFill>
            <w14:solidFill>
              <w14:schemeClr w14:val="tx1"/>
            </w14:solidFill>
          </w14:textFill>
        </w:rPr>
      </w:pPr>
    </w:p>
    <w:p w14:paraId="030ECBEC">
      <w:pPr>
        <w:rPr>
          <w:rFonts w:hint="eastAsia"/>
          <w:color w:val="000000" w:themeColor="text1"/>
          <w:highlight w:val="none"/>
          <w14:textFill>
            <w14:solidFill>
              <w14:schemeClr w14:val="tx1"/>
            </w14:solidFill>
          </w14:textFill>
        </w:rPr>
      </w:pPr>
    </w:p>
    <w:p w14:paraId="7E26F3DD">
      <w:pPr>
        <w:rPr>
          <w:rFonts w:hint="eastAsia"/>
          <w:color w:val="000000" w:themeColor="text1"/>
          <w:highlight w:val="none"/>
          <w14:textFill>
            <w14:solidFill>
              <w14:schemeClr w14:val="tx1"/>
            </w14:solidFill>
          </w14:textFill>
        </w:rPr>
      </w:pPr>
    </w:p>
    <w:p w14:paraId="6983892F">
      <w:pPr>
        <w:rPr>
          <w:rFonts w:hint="eastAsia"/>
          <w:color w:val="000000" w:themeColor="text1"/>
          <w:highlight w:val="none"/>
          <w14:textFill>
            <w14:solidFill>
              <w14:schemeClr w14:val="tx1"/>
            </w14:solidFill>
          </w14:textFill>
        </w:rPr>
      </w:pPr>
    </w:p>
    <w:p w14:paraId="1DA17A6D">
      <w:pPr>
        <w:rPr>
          <w:rFonts w:hint="eastAsia"/>
          <w:color w:val="000000" w:themeColor="text1"/>
          <w:highlight w:val="none"/>
          <w14:textFill>
            <w14:solidFill>
              <w14:schemeClr w14:val="tx1"/>
            </w14:solidFill>
          </w14:textFill>
        </w:rPr>
      </w:pPr>
    </w:p>
    <w:p w14:paraId="29D138DC">
      <w:pPr>
        <w:rPr>
          <w:rFonts w:hint="eastAsia"/>
          <w:color w:val="000000" w:themeColor="text1"/>
          <w:highlight w:val="none"/>
          <w14:textFill>
            <w14:solidFill>
              <w14:schemeClr w14:val="tx1"/>
            </w14:solidFill>
          </w14:textFill>
        </w:rPr>
      </w:pPr>
    </w:p>
    <w:p w14:paraId="6923C3D6">
      <w:pPr>
        <w:rPr>
          <w:rFonts w:hint="eastAsia"/>
          <w:color w:val="000000" w:themeColor="text1"/>
          <w:highlight w:val="none"/>
          <w14:textFill>
            <w14:solidFill>
              <w14:schemeClr w14:val="tx1"/>
            </w14:solidFill>
          </w14:textFill>
        </w:rPr>
      </w:pPr>
    </w:p>
    <w:p w14:paraId="7B8C279E">
      <w:pPr>
        <w:rPr>
          <w:rFonts w:hint="eastAsia"/>
          <w:color w:val="000000" w:themeColor="text1"/>
          <w:highlight w:val="none"/>
          <w14:textFill>
            <w14:solidFill>
              <w14:schemeClr w14:val="tx1"/>
            </w14:solidFill>
          </w14:textFill>
        </w:rPr>
      </w:pPr>
    </w:p>
    <w:p w14:paraId="08A2F4A6">
      <w:pPr>
        <w:rPr>
          <w:rFonts w:hint="eastAsia"/>
          <w:color w:val="000000" w:themeColor="text1"/>
          <w:highlight w:val="none"/>
          <w14:textFill>
            <w14:solidFill>
              <w14:schemeClr w14:val="tx1"/>
            </w14:solidFill>
          </w14:textFill>
        </w:rPr>
      </w:pPr>
    </w:p>
    <w:p w14:paraId="655D42C2">
      <w:pPr>
        <w:rPr>
          <w:rFonts w:hint="eastAsia"/>
          <w:color w:val="000000" w:themeColor="text1"/>
          <w:highlight w:val="none"/>
          <w14:textFill>
            <w14:solidFill>
              <w14:schemeClr w14:val="tx1"/>
            </w14:solidFill>
          </w14:textFill>
        </w:rPr>
      </w:pPr>
    </w:p>
    <w:p w14:paraId="6C1927CB">
      <w:pPr>
        <w:rPr>
          <w:rFonts w:hint="eastAsia"/>
          <w:color w:val="000000" w:themeColor="text1"/>
          <w:highlight w:val="none"/>
          <w14:textFill>
            <w14:solidFill>
              <w14:schemeClr w14:val="tx1"/>
            </w14:solidFill>
          </w14:textFill>
        </w:rPr>
      </w:pPr>
    </w:p>
    <w:p w14:paraId="0DB11004">
      <w:pPr>
        <w:rPr>
          <w:rFonts w:hint="eastAsia"/>
          <w:color w:val="000000" w:themeColor="text1"/>
          <w:highlight w:val="none"/>
          <w14:textFill>
            <w14:solidFill>
              <w14:schemeClr w14:val="tx1"/>
            </w14:solidFill>
          </w14:textFill>
        </w:rPr>
      </w:pPr>
    </w:p>
    <w:p w14:paraId="449132EE">
      <w:pPr>
        <w:rPr>
          <w:rFonts w:hint="eastAsia"/>
          <w:color w:val="000000" w:themeColor="text1"/>
          <w:highlight w:val="none"/>
          <w14:textFill>
            <w14:solidFill>
              <w14:schemeClr w14:val="tx1"/>
            </w14:solidFill>
          </w14:textFill>
        </w:rPr>
      </w:pPr>
    </w:p>
    <w:p w14:paraId="181AEBB5">
      <w:pPr>
        <w:rPr>
          <w:rFonts w:hint="eastAsia"/>
          <w:color w:val="000000" w:themeColor="text1"/>
          <w:highlight w:val="none"/>
          <w14:textFill>
            <w14:solidFill>
              <w14:schemeClr w14:val="tx1"/>
            </w14:solidFill>
          </w14:textFill>
        </w:rPr>
      </w:pPr>
    </w:p>
    <w:p w14:paraId="17B55349">
      <w:pPr>
        <w:rPr>
          <w:rFonts w:hint="eastAsia"/>
          <w:color w:val="000000" w:themeColor="text1"/>
          <w:highlight w:val="none"/>
          <w14:textFill>
            <w14:solidFill>
              <w14:schemeClr w14:val="tx1"/>
            </w14:solidFill>
          </w14:textFill>
        </w:rPr>
      </w:pPr>
    </w:p>
    <w:p w14:paraId="64A1F645">
      <w:pPr>
        <w:rPr>
          <w:rFonts w:hint="eastAsia"/>
          <w:color w:val="000000" w:themeColor="text1"/>
          <w:highlight w:val="none"/>
          <w14:textFill>
            <w14:solidFill>
              <w14:schemeClr w14:val="tx1"/>
            </w14:solidFill>
          </w14:textFill>
        </w:rPr>
      </w:pPr>
    </w:p>
    <w:p w14:paraId="4C35B34F">
      <w:pPr>
        <w:rPr>
          <w:rFonts w:hint="eastAsia"/>
          <w:color w:val="000000" w:themeColor="text1"/>
          <w:highlight w:val="none"/>
          <w14:textFill>
            <w14:solidFill>
              <w14:schemeClr w14:val="tx1"/>
            </w14:solidFill>
          </w14:textFill>
        </w:rPr>
      </w:pPr>
    </w:p>
    <w:p w14:paraId="240E8431">
      <w:pPr>
        <w:pStyle w:val="31"/>
        <w:pageBreakBefore w:val="0"/>
        <w:numPr>
          <w:ilvl w:val="0"/>
          <w:numId w:val="1"/>
        </w:numPr>
        <w:wordWrap/>
        <w:topLinePunct w:val="0"/>
        <w:bidi w:val="0"/>
        <w:spacing w:before="0" w:after="0" w:line="560" w:lineRule="exact"/>
        <w:rPr>
          <w:rFonts w:hint="eastAsia"/>
          <w:color w:val="000000" w:themeColor="text1"/>
          <w:sz w:val="36"/>
          <w:szCs w:val="36"/>
          <w:highlight w:val="none"/>
          <w14:textFill>
            <w14:solidFill>
              <w14:schemeClr w14:val="tx1"/>
            </w14:solidFill>
          </w14:textFill>
        </w:rPr>
      </w:pPr>
      <w:r>
        <w:rPr>
          <w:color w:val="000000" w:themeColor="text1"/>
          <w:sz w:val="36"/>
          <w:szCs w:val="36"/>
          <w:highlight w:val="none"/>
          <w14:textFill>
            <w14:solidFill>
              <w14:schemeClr w14:val="tx1"/>
            </w14:solidFill>
          </w14:textFill>
        </w:rPr>
        <w:t xml:space="preserve"> </w:t>
      </w:r>
      <w:r>
        <w:rPr>
          <w:rFonts w:hint="eastAsia"/>
          <w:color w:val="000000" w:themeColor="text1"/>
          <w:sz w:val="36"/>
          <w:szCs w:val="36"/>
          <w:highlight w:val="none"/>
          <w:lang w:eastAsia="zh-CN"/>
          <w14:textFill>
            <w14:solidFill>
              <w14:schemeClr w14:val="tx1"/>
            </w14:solidFill>
          </w14:textFill>
        </w:rPr>
        <w:t>供应商</w:t>
      </w:r>
      <w:r>
        <w:rPr>
          <w:rFonts w:hint="eastAsia"/>
          <w:color w:val="000000" w:themeColor="text1"/>
          <w:sz w:val="36"/>
          <w:szCs w:val="36"/>
          <w:highlight w:val="none"/>
          <w14:textFill>
            <w14:solidFill>
              <w14:schemeClr w14:val="tx1"/>
            </w14:solidFill>
          </w14:textFill>
        </w:rPr>
        <w:t>须知表</w:t>
      </w:r>
      <w:r>
        <w:rPr>
          <w:rFonts w:hint="eastAsia" w:ascii="宋体" w:hAnsi="宋体" w:eastAsia="宋体" w:cs="宋体"/>
          <w:color w:val="000000" w:themeColor="text1"/>
          <w:sz w:val="36"/>
          <w:szCs w:val="36"/>
          <w:highlight w:val="none"/>
          <w:lang w:eastAsia="zh-CN"/>
          <w14:textFill>
            <w14:solidFill>
              <w14:schemeClr w14:val="tx1"/>
            </w14:solidFill>
          </w14:textFill>
        </w:rPr>
        <w:t>（</w:t>
      </w:r>
      <w:r>
        <w:rPr>
          <w:rFonts w:hint="eastAsia" w:ascii="宋体" w:hAnsi="宋体" w:eastAsia="宋体" w:cs="宋体"/>
          <w:color w:val="000000" w:themeColor="text1"/>
          <w:sz w:val="36"/>
          <w:szCs w:val="36"/>
          <w:highlight w:val="none"/>
          <w14:textFill>
            <w14:solidFill>
              <w14:schemeClr w14:val="tx1"/>
            </w14:solidFill>
          </w14:textFill>
        </w:rPr>
        <w:t>标项</w:t>
      </w:r>
      <w:r>
        <w:rPr>
          <w:rFonts w:hint="eastAsia" w:ascii="宋体" w:hAnsi="宋体" w:cs="宋体"/>
          <w:color w:val="000000" w:themeColor="text1"/>
          <w:sz w:val="36"/>
          <w:szCs w:val="36"/>
          <w:highlight w:val="none"/>
          <w:lang w:val="en-US" w:eastAsia="zh-CN"/>
          <w14:textFill>
            <w14:solidFill>
              <w14:schemeClr w14:val="tx1"/>
            </w14:solidFill>
          </w14:textFill>
        </w:rPr>
        <w:t>3</w:t>
      </w:r>
      <w:r>
        <w:rPr>
          <w:rFonts w:hint="eastAsia" w:ascii="宋体" w:hAnsi="宋体" w:eastAsia="宋体" w:cs="宋体"/>
          <w:color w:val="000000" w:themeColor="text1"/>
          <w:sz w:val="36"/>
          <w:szCs w:val="36"/>
          <w:highlight w:val="none"/>
          <w:lang w:eastAsia="zh-CN"/>
          <w14:textFill>
            <w14:solidFill>
              <w14:schemeClr w14:val="tx1"/>
            </w14:solidFill>
          </w14:textFill>
        </w:rPr>
        <w:t>）</w:t>
      </w:r>
    </w:p>
    <w:tbl>
      <w:tblPr>
        <w:tblStyle w:val="34"/>
        <w:tblW w:w="10529" w:type="dxa"/>
        <w:tblInd w:w="-17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93"/>
        <w:gridCol w:w="2239"/>
        <w:gridCol w:w="7297"/>
      </w:tblGrid>
      <w:tr w14:paraId="399522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14:paraId="311BDBCC">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序号</w:t>
            </w:r>
          </w:p>
        </w:tc>
        <w:tc>
          <w:tcPr>
            <w:tcW w:w="2239" w:type="dxa"/>
            <w:tcBorders>
              <w:top w:val="single" w:color="auto" w:sz="4" w:space="0"/>
              <w:left w:val="single" w:color="auto" w:sz="4" w:space="0"/>
              <w:bottom w:val="single" w:color="auto" w:sz="4" w:space="0"/>
              <w:right w:val="single" w:color="auto" w:sz="4" w:space="0"/>
            </w:tcBorders>
            <w:vAlign w:val="center"/>
          </w:tcPr>
          <w:p w14:paraId="469A847D">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项目内容</w:t>
            </w:r>
          </w:p>
        </w:tc>
        <w:tc>
          <w:tcPr>
            <w:tcW w:w="7297" w:type="dxa"/>
            <w:tcBorders>
              <w:top w:val="single" w:color="auto" w:sz="4" w:space="0"/>
              <w:left w:val="single" w:color="auto" w:sz="4" w:space="0"/>
              <w:bottom w:val="single" w:color="auto" w:sz="4" w:space="0"/>
              <w:right w:val="single" w:color="auto" w:sz="4" w:space="0"/>
            </w:tcBorders>
            <w:vAlign w:val="center"/>
          </w:tcPr>
          <w:p w14:paraId="01052A47">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编列内容</w:t>
            </w:r>
          </w:p>
        </w:tc>
      </w:tr>
      <w:tr w14:paraId="11FD0A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14:paraId="1FA58C5D">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w:t>
            </w:r>
          </w:p>
        </w:tc>
        <w:tc>
          <w:tcPr>
            <w:tcW w:w="2239" w:type="dxa"/>
            <w:tcBorders>
              <w:top w:val="single" w:color="auto" w:sz="4" w:space="0"/>
              <w:left w:val="single" w:color="auto" w:sz="4" w:space="0"/>
              <w:bottom w:val="single" w:color="auto" w:sz="4" w:space="0"/>
              <w:right w:val="single" w:color="auto" w:sz="4" w:space="0"/>
            </w:tcBorders>
            <w:vAlign w:val="center"/>
          </w:tcPr>
          <w:p w14:paraId="302971FF">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项目名称</w:t>
            </w:r>
          </w:p>
        </w:tc>
        <w:tc>
          <w:tcPr>
            <w:tcW w:w="7297" w:type="dxa"/>
            <w:tcBorders>
              <w:top w:val="single" w:color="auto" w:sz="4" w:space="0"/>
              <w:left w:val="single" w:color="auto" w:sz="4" w:space="0"/>
              <w:bottom w:val="single" w:color="auto" w:sz="4" w:space="0"/>
              <w:right w:val="single" w:color="auto" w:sz="4" w:space="0"/>
            </w:tcBorders>
            <w:vAlign w:val="center"/>
          </w:tcPr>
          <w:p w14:paraId="15E469F6">
            <w:pPr>
              <w:pStyle w:val="11"/>
              <w:keepNext w:val="0"/>
              <w:keepLines w:val="0"/>
              <w:pageBreakBefore w:val="0"/>
              <w:kinsoku/>
              <w:wordWrap/>
              <w:overflowPunct/>
              <w:topLinePunct w:val="0"/>
              <w:bidi w:val="0"/>
              <w:adjustRightInd/>
              <w:snapToGrid/>
              <w:spacing w:line="560" w:lineRule="exact"/>
              <w:rPr>
                <w:rFonts w:hint="eastAsia" w:ascii="宋体" w:hAnsi="宋体" w:eastAsia="宋体" w:cs="宋体"/>
                <w:color w:val="000000" w:themeColor="text1"/>
                <w:sz w:val="28"/>
                <w:szCs w:val="28"/>
                <w:highlight w:val="none"/>
                <w:lang w:eastAsia="zh-CN"/>
                <w14:textFill>
                  <w14:solidFill>
                    <w14:schemeClr w14:val="tx1"/>
                  </w14:solidFill>
                </w14:textFill>
              </w:rPr>
            </w:pPr>
            <w:r>
              <w:rPr>
                <w:rFonts w:hint="eastAsia" w:ascii="宋体" w:hAnsi="宋体" w:cs="宋体"/>
                <w:color w:val="000000" w:themeColor="text1"/>
                <w:sz w:val="28"/>
                <w:szCs w:val="28"/>
                <w:highlight w:val="none"/>
                <w:lang w:eastAsia="zh-CN"/>
                <w14:textFill>
                  <w14:solidFill>
                    <w14:schemeClr w14:val="tx1"/>
                  </w14:solidFill>
                </w14:textFill>
              </w:rPr>
              <w:t>哈密市中心医院2025年医疗设备购置项目（第一批）（二次）</w:t>
            </w:r>
          </w:p>
        </w:tc>
      </w:tr>
      <w:tr w14:paraId="5CDF27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14:paraId="29DD5577">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2</w:t>
            </w:r>
          </w:p>
        </w:tc>
        <w:tc>
          <w:tcPr>
            <w:tcW w:w="2239" w:type="dxa"/>
            <w:tcBorders>
              <w:top w:val="single" w:color="auto" w:sz="4" w:space="0"/>
              <w:left w:val="single" w:color="auto" w:sz="4" w:space="0"/>
              <w:bottom w:val="single" w:color="auto" w:sz="4" w:space="0"/>
              <w:right w:val="single" w:color="auto" w:sz="4" w:space="0"/>
            </w:tcBorders>
            <w:vAlign w:val="center"/>
          </w:tcPr>
          <w:p w14:paraId="788AF14D">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采购人</w:t>
            </w:r>
          </w:p>
        </w:tc>
        <w:tc>
          <w:tcPr>
            <w:tcW w:w="7297" w:type="dxa"/>
            <w:tcBorders>
              <w:top w:val="single" w:color="auto" w:sz="4" w:space="0"/>
              <w:left w:val="single" w:color="auto" w:sz="4" w:space="0"/>
              <w:bottom w:val="single" w:color="auto" w:sz="4" w:space="0"/>
              <w:right w:val="single" w:color="auto" w:sz="4" w:space="0"/>
            </w:tcBorders>
            <w:vAlign w:val="center"/>
          </w:tcPr>
          <w:p w14:paraId="11B70906">
            <w:pPr>
              <w:keepNext w:val="0"/>
              <w:keepLines w:val="0"/>
              <w:pageBreakBefore w:val="0"/>
              <w:kinsoku/>
              <w:wordWrap/>
              <w:overflowPunct/>
              <w:topLinePunct w:val="0"/>
              <w:bidi w:val="0"/>
              <w:adjustRightInd/>
              <w:snapToGrid/>
              <w:spacing w:line="560" w:lineRule="exact"/>
              <w:rPr>
                <w:rFonts w:hint="eastAsia" w:ascii="宋体" w:hAnsi="宋体" w:eastAsia="宋体" w:cs="宋体"/>
                <w:color w:val="000000" w:themeColor="text1"/>
                <w:sz w:val="28"/>
                <w:szCs w:val="28"/>
                <w:highlight w:val="none"/>
                <w:u w:val="single"/>
                <w:lang w:eastAsia="zh-CN"/>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名    称：</w:t>
            </w:r>
            <w:r>
              <w:rPr>
                <w:rFonts w:hint="eastAsia" w:ascii="宋体" w:hAnsi="宋体" w:cs="宋体"/>
                <w:color w:val="000000" w:themeColor="text1"/>
                <w:sz w:val="28"/>
                <w:szCs w:val="28"/>
                <w:highlight w:val="none"/>
                <w:u w:val="single"/>
                <w:lang w:eastAsia="zh-CN"/>
                <w14:textFill>
                  <w14:solidFill>
                    <w14:schemeClr w14:val="tx1"/>
                  </w14:solidFill>
                </w14:textFill>
              </w:rPr>
              <w:t xml:space="preserve">哈密市中心医院  </w:t>
            </w:r>
            <w:r>
              <w:rPr>
                <w:rFonts w:hint="eastAsia" w:ascii="宋体" w:hAnsi="宋体" w:eastAsia="宋体" w:cs="宋体"/>
                <w:color w:val="000000" w:themeColor="text1"/>
                <w:sz w:val="28"/>
                <w:szCs w:val="28"/>
                <w:highlight w:val="none"/>
                <w:u w:val="single"/>
                <w:lang w:eastAsia="zh-CN"/>
                <w14:textFill>
                  <w14:solidFill>
                    <w14:schemeClr w14:val="tx1"/>
                  </w14:solidFill>
                </w14:textFill>
              </w:rPr>
              <w:t xml:space="preserve">  </w:t>
            </w:r>
          </w:p>
          <w:p w14:paraId="3FD8CE26">
            <w:pPr>
              <w:keepNext w:val="0"/>
              <w:keepLines w:val="0"/>
              <w:pageBreakBefore w:val="0"/>
              <w:kinsoku/>
              <w:wordWrap/>
              <w:overflowPunct/>
              <w:topLinePunct w:val="0"/>
              <w:bidi w:val="0"/>
              <w:adjustRightInd/>
              <w:snapToGrid/>
              <w:spacing w:line="560" w:lineRule="exact"/>
              <w:rPr>
                <w:rFonts w:hint="eastAsia" w:ascii="宋体" w:hAnsi="宋体" w:eastAsia="宋体" w:cs="宋体"/>
                <w:color w:val="000000" w:themeColor="text1"/>
                <w:sz w:val="28"/>
                <w:szCs w:val="28"/>
                <w:highlight w:val="none"/>
                <w:lang w:eastAsia="zh-CN"/>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地    址：</w:t>
            </w:r>
            <w:r>
              <w:rPr>
                <w:rFonts w:hint="eastAsia" w:ascii="宋体" w:hAnsi="宋体" w:cs="宋体"/>
                <w:color w:val="000000" w:themeColor="text1"/>
                <w:sz w:val="28"/>
                <w:szCs w:val="28"/>
                <w:highlight w:val="none"/>
                <w:u w:val="single"/>
                <w:lang w:eastAsia="zh-CN"/>
                <w14:textFill>
                  <w14:solidFill>
                    <w14:schemeClr w14:val="tx1"/>
                  </w14:solidFill>
                </w14:textFill>
              </w:rPr>
              <w:t>哈密市伊州区广场北路18号</w:t>
            </w:r>
          </w:p>
          <w:p w14:paraId="5EBDB49B">
            <w:pPr>
              <w:keepNext w:val="0"/>
              <w:keepLines w:val="0"/>
              <w:pageBreakBefore w:val="0"/>
              <w:kinsoku/>
              <w:wordWrap/>
              <w:overflowPunct/>
              <w:topLinePunct w:val="0"/>
              <w:bidi w:val="0"/>
              <w:adjustRightInd/>
              <w:snapToGrid/>
              <w:spacing w:line="560" w:lineRule="exact"/>
              <w:rPr>
                <w:rFonts w:hint="eastAsia" w:ascii="宋体" w:hAnsi="宋体" w:eastAsia="宋体" w:cs="宋体"/>
                <w:color w:val="000000" w:themeColor="text1"/>
                <w:sz w:val="28"/>
                <w:szCs w:val="28"/>
                <w:highlight w:val="none"/>
                <w:u w:val="single"/>
                <w:lang w:eastAsia="zh-CN"/>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联系方式：</w:t>
            </w:r>
            <w:r>
              <w:rPr>
                <w:rFonts w:hint="eastAsia" w:ascii="宋体" w:hAnsi="宋体" w:eastAsia="宋体" w:cs="宋体"/>
                <w:color w:val="000000" w:themeColor="text1"/>
                <w:sz w:val="28"/>
                <w:szCs w:val="28"/>
                <w:highlight w:val="none"/>
                <w:u w:val="single"/>
                <w14:textFill>
                  <w14:solidFill>
                    <w14:schemeClr w14:val="tx1"/>
                  </w14:solidFill>
                </w14:textFill>
              </w:rPr>
              <w:t>0902-2260357</w:t>
            </w:r>
          </w:p>
        </w:tc>
      </w:tr>
      <w:tr w14:paraId="4188C6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14:paraId="741777CB">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3</w:t>
            </w:r>
          </w:p>
        </w:tc>
        <w:tc>
          <w:tcPr>
            <w:tcW w:w="2239" w:type="dxa"/>
            <w:tcBorders>
              <w:top w:val="single" w:color="auto" w:sz="4" w:space="0"/>
              <w:left w:val="single" w:color="auto" w:sz="4" w:space="0"/>
              <w:bottom w:val="single" w:color="auto" w:sz="4" w:space="0"/>
              <w:right w:val="single" w:color="auto" w:sz="4" w:space="0"/>
            </w:tcBorders>
            <w:vAlign w:val="center"/>
          </w:tcPr>
          <w:p w14:paraId="436C44B2">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采购代理机构</w:t>
            </w:r>
          </w:p>
        </w:tc>
        <w:tc>
          <w:tcPr>
            <w:tcW w:w="7297" w:type="dxa"/>
            <w:tcBorders>
              <w:top w:val="single" w:color="auto" w:sz="4" w:space="0"/>
              <w:left w:val="single" w:color="auto" w:sz="4" w:space="0"/>
              <w:bottom w:val="single" w:color="auto" w:sz="4" w:space="0"/>
              <w:right w:val="single" w:color="auto" w:sz="4" w:space="0"/>
            </w:tcBorders>
            <w:vAlign w:val="center"/>
          </w:tcPr>
          <w:p w14:paraId="21F984FE">
            <w:pPr>
              <w:keepNext w:val="0"/>
              <w:keepLines w:val="0"/>
              <w:pageBreakBefore w:val="0"/>
              <w:kinsoku/>
              <w:wordWrap/>
              <w:overflowPunct/>
              <w:topLinePunct w:val="0"/>
              <w:bidi w:val="0"/>
              <w:adjustRightInd/>
              <w:snapToGrid/>
              <w:spacing w:line="560" w:lineRule="exact"/>
              <w:rPr>
                <w:rFonts w:hint="eastAsia" w:ascii="宋体" w:hAnsi="宋体" w:eastAsia="宋体" w:cs="宋体"/>
                <w:color w:val="000000" w:themeColor="text1"/>
                <w:sz w:val="28"/>
                <w:szCs w:val="28"/>
                <w:highlight w:val="none"/>
                <w:u w:val="single"/>
                <w:lang w:eastAsia="zh-CN"/>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名    称：</w:t>
            </w:r>
            <w:r>
              <w:rPr>
                <w:rFonts w:hint="eastAsia" w:ascii="宋体" w:hAnsi="宋体" w:cs="宋体"/>
                <w:color w:val="000000" w:themeColor="text1"/>
                <w:sz w:val="28"/>
                <w:szCs w:val="28"/>
                <w:highlight w:val="none"/>
                <w:u w:val="single"/>
                <w:lang w:eastAsia="zh-CN"/>
                <w14:textFill>
                  <w14:solidFill>
                    <w14:schemeClr w14:val="tx1"/>
                  </w14:solidFill>
                </w14:textFill>
              </w:rPr>
              <w:t>新疆诚誉工程项目管理有限公司</w:t>
            </w:r>
          </w:p>
          <w:p w14:paraId="59110BD9">
            <w:pPr>
              <w:keepNext w:val="0"/>
              <w:keepLines w:val="0"/>
              <w:pageBreakBefore w:val="0"/>
              <w:kinsoku/>
              <w:wordWrap/>
              <w:overflowPunct/>
              <w:topLinePunct w:val="0"/>
              <w:bidi w:val="0"/>
              <w:adjustRightInd/>
              <w:snapToGrid/>
              <w:spacing w:line="560" w:lineRule="exact"/>
              <w:rPr>
                <w:rFonts w:hint="eastAsia" w:ascii="宋体" w:hAnsi="宋体" w:eastAsia="宋体" w:cs="宋体"/>
                <w:color w:val="000000" w:themeColor="text1"/>
                <w:sz w:val="28"/>
                <w:szCs w:val="28"/>
                <w:highlight w:val="none"/>
                <w:lang w:eastAsia="zh-CN"/>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地　　址：</w:t>
            </w:r>
            <w:r>
              <w:rPr>
                <w:rFonts w:hint="eastAsia" w:ascii="宋体" w:hAnsi="宋体" w:cs="宋体"/>
                <w:color w:val="000000" w:themeColor="text1"/>
                <w:sz w:val="28"/>
                <w:szCs w:val="28"/>
                <w:highlight w:val="none"/>
                <w:u w:val="single"/>
                <w:lang w:eastAsia="zh-CN"/>
                <w14:textFill>
                  <w14:solidFill>
                    <w14:schemeClr w14:val="tx1"/>
                  </w14:solidFill>
                </w14:textFill>
              </w:rPr>
              <w:t>乌鲁木齐市会展大道599号新疆财富中心C座6楼601室</w:t>
            </w:r>
          </w:p>
          <w:p w14:paraId="1572E207">
            <w:pPr>
              <w:keepNext w:val="0"/>
              <w:keepLines w:val="0"/>
              <w:pageBreakBefore w:val="0"/>
              <w:kinsoku/>
              <w:wordWrap/>
              <w:overflowPunct/>
              <w:topLinePunct w:val="0"/>
              <w:bidi w:val="0"/>
              <w:adjustRightInd/>
              <w:snapToGrid/>
              <w:spacing w:line="560" w:lineRule="exact"/>
              <w:rPr>
                <w:rFonts w:hint="eastAsia" w:ascii="宋体" w:hAnsi="宋体" w:eastAsia="宋体" w:cs="宋体"/>
                <w:color w:val="000000" w:themeColor="text1"/>
                <w:sz w:val="28"/>
                <w:szCs w:val="28"/>
                <w:highlight w:val="none"/>
                <w:lang w:eastAsia="zh-CN"/>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项目联系人：</w:t>
            </w:r>
            <w:r>
              <w:rPr>
                <w:rFonts w:hint="eastAsia" w:ascii="宋体" w:hAnsi="宋体" w:cs="宋体"/>
                <w:color w:val="000000" w:themeColor="text1"/>
                <w:sz w:val="28"/>
                <w:szCs w:val="28"/>
                <w:highlight w:val="none"/>
                <w:u w:val="single"/>
                <w:lang w:eastAsia="zh-CN"/>
                <w14:textFill>
                  <w14:solidFill>
                    <w14:schemeClr w14:val="tx1"/>
                  </w14:solidFill>
                </w14:textFill>
              </w:rPr>
              <w:t>刘慧敏、赵箭</w:t>
            </w:r>
          </w:p>
          <w:p w14:paraId="30EC5F72">
            <w:pPr>
              <w:pStyle w:val="11"/>
              <w:keepNext w:val="0"/>
              <w:keepLines w:val="0"/>
              <w:pageBreakBefore w:val="0"/>
              <w:kinsoku/>
              <w:wordWrap/>
              <w:overflowPunct/>
              <w:topLinePunct w:val="0"/>
              <w:bidi w:val="0"/>
              <w:adjustRightInd/>
              <w:snapToGrid/>
              <w:spacing w:line="560" w:lineRule="exact"/>
              <w:rPr>
                <w:rFonts w:hint="default"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电　　 话：</w:t>
            </w:r>
            <w:r>
              <w:rPr>
                <w:rFonts w:hint="eastAsia" w:ascii="宋体" w:hAnsi="宋体" w:cs="宋体"/>
                <w:color w:val="000000" w:themeColor="text1"/>
                <w:sz w:val="28"/>
                <w:szCs w:val="28"/>
                <w:highlight w:val="none"/>
                <w:u w:val="single"/>
                <w:lang w:val="en-US" w:eastAsia="zh-CN"/>
                <w14:textFill>
                  <w14:solidFill>
                    <w14:schemeClr w14:val="tx1"/>
                  </w14:solidFill>
                </w14:textFill>
              </w:rPr>
              <w:t>15899485207、19999115800</w:t>
            </w:r>
          </w:p>
        </w:tc>
      </w:tr>
      <w:tr w14:paraId="7B1240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14:paraId="0989879E">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color w:val="000000" w:themeColor="text1"/>
                <w:sz w:val="28"/>
                <w:szCs w:val="28"/>
                <w:highlight w:val="none"/>
                <w:lang w:eastAsia="zh-CN"/>
                <w14:textFill>
                  <w14:solidFill>
                    <w14:schemeClr w14:val="tx1"/>
                  </w14:solidFill>
                </w14:textFill>
              </w:rPr>
            </w:pPr>
            <w:r>
              <w:rPr>
                <w:rFonts w:hint="eastAsia" w:ascii="宋体" w:hAnsi="宋体" w:cs="宋体"/>
                <w:color w:val="000000" w:themeColor="text1"/>
                <w:sz w:val="28"/>
                <w:szCs w:val="28"/>
                <w:highlight w:val="none"/>
                <w:lang w:val="en-US" w:eastAsia="zh-CN"/>
                <w14:textFill>
                  <w14:solidFill>
                    <w14:schemeClr w14:val="tx1"/>
                  </w14:solidFill>
                </w14:textFill>
              </w:rPr>
              <w:t>4</w:t>
            </w:r>
          </w:p>
        </w:tc>
        <w:tc>
          <w:tcPr>
            <w:tcW w:w="2239" w:type="dxa"/>
            <w:tcBorders>
              <w:top w:val="single" w:color="auto" w:sz="4" w:space="0"/>
              <w:left w:val="single" w:color="auto" w:sz="4" w:space="0"/>
              <w:bottom w:val="single" w:color="auto" w:sz="4" w:space="0"/>
              <w:right w:val="single" w:color="auto" w:sz="4" w:space="0"/>
            </w:tcBorders>
            <w:vAlign w:val="center"/>
          </w:tcPr>
          <w:p w14:paraId="0A62092B">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是否接受联合体投标</w:t>
            </w:r>
          </w:p>
        </w:tc>
        <w:tc>
          <w:tcPr>
            <w:tcW w:w="7297" w:type="dxa"/>
            <w:tcBorders>
              <w:top w:val="single" w:color="auto" w:sz="4" w:space="0"/>
              <w:left w:val="single" w:color="auto" w:sz="4" w:space="0"/>
              <w:bottom w:val="single" w:color="auto" w:sz="4" w:space="0"/>
              <w:right w:val="single" w:color="auto" w:sz="4" w:space="0"/>
            </w:tcBorders>
            <w:vAlign w:val="center"/>
          </w:tcPr>
          <w:p w14:paraId="536A3D47">
            <w:pPr>
              <w:pStyle w:val="11"/>
              <w:keepNext w:val="0"/>
              <w:keepLines w:val="0"/>
              <w:pageBreakBefore w:val="0"/>
              <w:kinsoku/>
              <w:wordWrap/>
              <w:overflowPunct/>
              <w:topLinePunct w:val="0"/>
              <w:bidi w:val="0"/>
              <w:adjustRightInd/>
              <w:snapToGrid/>
              <w:spacing w:line="560" w:lineRule="exac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不允许联合体投标。</w:t>
            </w:r>
          </w:p>
        </w:tc>
      </w:tr>
      <w:tr w14:paraId="18D412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14:paraId="4BE9BBA2">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color w:val="000000" w:themeColor="text1"/>
                <w:sz w:val="28"/>
                <w:szCs w:val="28"/>
                <w:highlight w:val="none"/>
                <w:lang w:eastAsia="zh-CN"/>
                <w14:textFill>
                  <w14:solidFill>
                    <w14:schemeClr w14:val="tx1"/>
                  </w14:solidFill>
                </w14:textFill>
              </w:rPr>
            </w:pPr>
            <w:r>
              <w:rPr>
                <w:rFonts w:hint="eastAsia" w:ascii="宋体" w:hAnsi="宋体" w:cs="宋体"/>
                <w:color w:val="000000" w:themeColor="text1"/>
                <w:sz w:val="28"/>
                <w:szCs w:val="28"/>
                <w:highlight w:val="none"/>
                <w:lang w:val="en-US" w:eastAsia="zh-CN"/>
                <w14:textFill>
                  <w14:solidFill>
                    <w14:schemeClr w14:val="tx1"/>
                  </w14:solidFill>
                </w14:textFill>
              </w:rPr>
              <w:t>5</w:t>
            </w:r>
          </w:p>
        </w:tc>
        <w:tc>
          <w:tcPr>
            <w:tcW w:w="2239" w:type="dxa"/>
            <w:tcBorders>
              <w:top w:val="single" w:color="auto" w:sz="4" w:space="0"/>
              <w:left w:val="single" w:color="auto" w:sz="4" w:space="0"/>
              <w:bottom w:val="single" w:color="auto" w:sz="4" w:space="0"/>
              <w:right w:val="single" w:color="auto" w:sz="4" w:space="0"/>
            </w:tcBorders>
            <w:vAlign w:val="center"/>
          </w:tcPr>
          <w:p w14:paraId="2936B067">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联合体投标要求</w:t>
            </w:r>
          </w:p>
        </w:tc>
        <w:tc>
          <w:tcPr>
            <w:tcW w:w="7297" w:type="dxa"/>
            <w:tcBorders>
              <w:top w:val="single" w:color="auto" w:sz="4" w:space="0"/>
              <w:left w:val="single" w:color="auto" w:sz="4" w:space="0"/>
              <w:bottom w:val="single" w:color="auto" w:sz="4" w:space="0"/>
              <w:right w:val="single" w:color="auto" w:sz="4" w:space="0"/>
            </w:tcBorders>
            <w:vAlign w:val="center"/>
          </w:tcPr>
          <w:p w14:paraId="7867727A">
            <w:pPr>
              <w:pStyle w:val="11"/>
              <w:keepNext w:val="0"/>
              <w:keepLines w:val="0"/>
              <w:pageBreakBefore w:val="0"/>
              <w:kinsoku/>
              <w:wordWrap/>
              <w:overflowPunct/>
              <w:topLinePunct w:val="0"/>
              <w:bidi w:val="0"/>
              <w:adjustRightInd/>
              <w:snapToGrid/>
              <w:spacing w:line="560" w:lineRule="exac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无</w:t>
            </w:r>
          </w:p>
        </w:tc>
      </w:tr>
      <w:tr w14:paraId="3ADA81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14:paraId="60C5AB42">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color w:val="000000" w:themeColor="text1"/>
                <w:sz w:val="28"/>
                <w:szCs w:val="28"/>
                <w:highlight w:val="none"/>
                <w:lang w:eastAsia="zh-CN"/>
                <w14:textFill>
                  <w14:solidFill>
                    <w14:schemeClr w14:val="tx1"/>
                  </w14:solidFill>
                </w14:textFill>
              </w:rPr>
            </w:pPr>
            <w:r>
              <w:rPr>
                <w:rFonts w:hint="eastAsia" w:ascii="宋体" w:hAnsi="宋体" w:cs="宋体"/>
                <w:color w:val="000000" w:themeColor="text1"/>
                <w:sz w:val="28"/>
                <w:szCs w:val="28"/>
                <w:highlight w:val="none"/>
                <w:lang w:val="en-US" w:eastAsia="zh-CN"/>
                <w14:textFill>
                  <w14:solidFill>
                    <w14:schemeClr w14:val="tx1"/>
                  </w14:solidFill>
                </w14:textFill>
              </w:rPr>
              <w:t>6</w:t>
            </w:r>
          </w:p>
        </w:tc>
        <w:tc>
          <w:tcPr>
            <w:tcW w:w="2239" w:type="dxa"/>
            <w:tcBorders>
              <w:top w:val="single" w:color="auto" w:sz="4" w:space="0"/>
              <w:left w:val="single" w:color="auto" w:sz="4" w:space="0"/>
              <w:bottom w:val="single" w:color="auto" w:sz="4" w:space="0"/>
              <w:right w:val="single" w:color="auto" w:sz="4" w:space="0"/>
            </w:tcBorders>
            <w:vAlign w:val="center"/>
          </w:tcPr>
          <w:p w14:paraId="38E48AB8">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是否允许转包/分包</w:t>
            </w:r>
          </w:p>
        </w:tc>
        <w:tc>
          <w:tcPr>
            <w:tcW w:w="7297" w:type="dxa"/>
            <w:tcBorders>
              <w:top w:val="single" w:color="auto" w:sz="4" w:space="0"/>
              <w:left w:val="single" w:color="auto" w:sz="4" w:space="0"/>
              <w:bottom w:val="single" w:color="auto" w:sz="4" w:space="0"/>
              <w:right w:val="single" w:color="auto" w:sz="4" w:space="0"/>
            </w:tcBorders>
            <w:vAlign w:val="center"/>
          </w:tcPr>
          <w:p w14:paraId="1F158B42">
            <w:pPr>
              <w:pStyle w:val="11"/>
              <w:keepNext w:val="0"/>
              <w:keepLines w:val="0"/>
              <w:pageBreakBefore w:val="0"/>
              <w:kinsoku/>
              <w:wordWrap/>
              <w:overflowPunct/>
              <w:topLinePunct w:val="0"/>
              <w:bidi w:val="0"/>
              <w:adjustRightInd/>
              <w:snapToGrid/>
              <w:spacing w:line="560" w:lineRule="exac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w:t>
            </w:r>
          </w:p>
        </w:tc>
      </w:tr>
      <w:tr w14:paraId="1CA72D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14:paraId="154CA42B">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color w:val="000000" w:themeColor="text1"/>
                <w:sz w:val="28"/>
                <w:szCs w:val="28"/>
                <w:highlight w:val="none"/>
                <w:lang w:eastAsia="zh-CN"/>
                <w14:textFill>
                  <w14:solidFill>
                    <w14:schemeClr w14:val="tx1"/>
                  </w14:solidFill>
                </w14:textFill>
              </w:rPr>
            </w:pPr>
            <w:r>
              <w:rPr>
                <w:rFonts w:hint="eastAsia" w:ascii="宋体" w:hAnsi="宋体" w:cs="宋体"/>
                <w:color w:val="000000" w:themeColor="text1"/>
                <w:sz w:val="28"/>
                <w:szCs w:val="28"/>
                <w:highlight w:val="none"/>
                <w:lang w:val="en-US" w:eastAsia="zh-CN"/>
                <w14:textFill>
                  <w14:solidFill>
                    <w14:schemeClr w14:val="tx1"/>
                  </w14:solidFill>
                </w14:textFill>
              </w:rPr>
              <w:t>7</w:t>
            </w:r>
          </w:p>
        </w:tc>
        <w:tc>
          <w:tcPr>
            <w:tcW w:w="2239" w:type="dxa"/>
            <w:tcBorders>
              <w:top w:val="single" w:color="auto" w:sz="4" w:space="0"/>
              <w:left w:val="single" w:color="auto" w:sz="4" w:space="0"/>
              <w:bottom w:val="single" w:color="auto" w:sz="4" w:space="0"/>
              <w:right w:val="single" w:color="auto" w:sz="4" w:space="0"/>
            </w:tcBorders>
            <w:vAlign w:val="center"/>
          </w:tcPr>
          <w:p w14:paraId="32A38D35">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媒体发布渠道</w:t>
            </w:r>
          </w:p>
        </w:tc>
        <w:tc>
          <w:tcPr>
            <w:tcW w:w="7297" w:type="dxa"/>
            <w:tcBorders>
              <w:top w:val="single" w:color="auto" w:sz="4" w:space="0"/>
              <w:left w:val="single" w:color="auto" w:sz="4" w:space="0"/>
              <w:bottom w:val="single" w:color="auto" w:sz="4" w:space="0"/>
              <w:right w:val="single" w:color="auto" w:sz="4" w:space="0"/>
            </w:tcBorders>
            <w:vAlign w:val="center"/>
          </w:tcPr>
          <w:p w14:paraId="59587143">
            <w:pPr>
              <w:keepNext w:val="0"/>
              <w:keepLines w:val="0"/>
              <w:pageBreakBefore w:val="0"/>
              <w:kinsoku/>
              <w:wordWrap/>
              <w:overflowPunct/>
              <w:topLinePunct w:val="0"/>
              <w:bidi w:val="0"/>
              <w:adjustRightInd/>
              <w:snapToGrid/>
              <w:spacing w:line="560" w:lineRule="exac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新疆政府采购网（http://www.ccgp-xinjiang.gov.cn）</w:t>
            </w:r>
          </w:p>
        </w:tc>
      </w:tr>
      <w:tr w14:paraId="25804E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14:paraId="6519B4A7">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color w:val="000000" w:themeColor="text1"/>
                <w:sz w:val="28"/>
                <w:szCs w:val="28"/>
                <w:highlight w:val="none"/>
                <w:lang w:eastAsia="zh-CN"/>
                <w14:textFill>
                  <w14:solidFill>
                    <w14:schemeClr w14:val="tx1"/>
                  </w14:solidFill>
                </w14:textFill>
              </w:rPr>
            </w:pPr>
            <w:r>
              <w:rPr>
                <w:rFonts w:hint="eastAsia" w:ascii="宋体" w:hAnsi="宋体" w:cs="宋体"/>
                <w:color w:val="000000" w:themeColor="text1"/>
                <w:sz w:val="28"/>
                <w:szCs w:val="28"/>
                <w:highlight w:val="none"/>
                <w:lang w:val="en-US" w:eastAsia="zh-CN"/>
                <w14:textFill>
                  <w14:solidFill>
                    <w14:schemeClr w14:val="tx1"/>
                  </w14:solidFill>
                </w14:textFill>
              </w:rPr>
              <w:t>8</w:t>
            </w:r>
          </w:p>
        </w:tc>
        <w:tc>
          <w:tcPr>
            <w:tcW w:w="2239" w:type="dxa"/>
            <w:tcBorders>
              <w:top w:val="single" w:color="auto" w:sz="4" w:space="0"/>
              <w:left w:val="single" w:color="auto" w:sz="4" w:space="0"/>
              <w:bottom w:val="single" w:color="auto" w:sz="4" w:space="0"/>
              <w:right w:val="single" w:color="auto" w:sz="4" w:space="0"/>
            </w:tcBorders>
            <w:vAlign w:val="center"/>
          </w:tcPr>
          <w:p w14:paraId="21B00BD3">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是否组织标前答疑会</w:t>
            </w:r>
          </w:p>
        </w:tc>
        <w:tc>
          <w:tcPr>
            <w:tcW w:w="7297" w:type="dxa"/>
            <w:tcBorders>
              <w:top w:val="single" w:color="auto" w:sz="4" w:space="0"/>
              <w:left w:val="single" w:color="auto" w:sz="4" w:space="0"/>
              <w:bottom w:val="single" w:color="auto" w:sz="4" w:space="0"/>
              <w:right w:val="single" w:color="auto" w:sz="4" w:space="0"/>
            </w:tcBorders>
            <w:vAlign w:val="center"/>
          </w:tcPr>
          <w:p w14:paraId="0A700B53">
            <w:pPr>
              <w:keepNext w:val="0"/>
              <w:keepLines w:val="0"/>
              <w:pageBreakBefore w:val="0"/>
              <w:kinsoku/>
              <w:wordWrap/>
              <w:overflowPunct/>
              <w:topLinePunct w:val="0"/>
              <w:bidi w:val="0"/>
              <w:adjustRightInd/>
              <w:snapToGrid/>
              <w:spacing w:line="560" w:lineRule="exac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不组织召开 </w:t>
            </w:r>
          </w:p>
        </w:tc>
      </w:tr>
      <w:tr w14:paraId="73674D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3" w:type="dxa"/>
            <w:tcBorders>
              <w:top w:val="nil"/>
              <w:left w:val="single" w:color="auto" w:sz="4" w:space="0"/>
              <w:bottom w:val="nil"/>
              <w:right w:val="single" w:color="auto" w:sz="4" w:space="0"/>
            </w:tcBorders>
            <w:vAlign w:val="center"/>
          </w:tcPr>
          <w:p w14:paraId="54071D18">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color w:val="000000" w:themeColor="text1"/>
                <w:sz w:val="28"/>
                <w:szCs w:val="28"/>
                <w:highlight w:val="none"/>
                <w:lang w:eastAsia="zh-CN"/>
                <w14:textFill>
                  <w14:solidFill>
                    <w14:schemeClr w14:val="tx1"/>
                  </w14:solidFill>
                </w14:textFill>
              </w:rPr>
            </w:pPr>
            <w:r>
              <w:rPr>
                <w:rFonts w:hint="eastAsia" w:ascii="宋体" w:hAnsi="宋体" w:cs="宋体"/>
                <w:color w:val="000000" w:themeColor="text1"/>
                <w:sz w:val="28"/>
                <w:szCs w:val="28"/>
                <w:highlight w:val="none"/>
                <w:lang w:val="en-US" w:eastAsia="zh-CN"/>
                <w14:textFill>
                  <w14:solidFill>
                    <w14:schemeClr w14:val="tx1"/>
                  </w14:solidFill>
                </w14:textFill>
              </w:rPr>
              <w:t>9</w:t>
            </w:r>
          </w:p>
        </w:tc>
        <w:tc>
          <w:tcPr>
            <w:tcW w:w="2239" w:type="dxa"/>
            <w:tcBorders>
              <w:top w:val="single" w:color="auto" w:sz="4" w:space="0"/>
              <w:left w:val="single" w:color="auto" w:sz="4" w:space="0"/>
              <w:bottom w:val="single" w:color="auto" w:sz="4" w:space="0"/>
              <w:right w:val="single" w:color="auto" w:sz="4" w:space="0"/>
            </w:tcBorders>
            <w:vAlign w:val="center"/>
          </w:tcPr>
          <w:p w14:paraId="4CF5F3AB">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资格证明文件</w:t>
            </w:r>
          </w:p>
          <w:p w14:paraId="3223A8B3">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组成</w:t>
            </w:r>
          </w:p>
        </w:tc>
        <w:tc>
          <w:tcPr>
            <w:tcW w:w="7297" w:type="dxa"/>
            <w:tcBorders>
              <w:top w:val="single" w:color="auto" w:sz="4" w:space="0"/>
              <w:left w:val="single" w:color="auto" w:sz="4" w:space="0"/>
              <w:bottom w:val="single" w:color="auto" w:sz="4" w:space="0"/>
              <w:right w:val="single" w:color="auto" w:sz="4" w:space="0"/>
            </w:tcBorders>
            <w:vAlign w:val="center"/>
          </w:tcPr>
          <w:p w14:paraId="7705296A">
            <w:pPr>
              <w:keepNext w:val="0"/>
              <w:keepLines w:val="0"/>
              <w:pageBreakBefore w:val="0"/>
              <w:kinsoku/>
              <w:wordWrap/>
              <w:overflowPunct/>
              <w:topLinePunct w:val="0"/>
              <w:bidi w:val="0"/>
              <w:adjustRightInd/>
              <w:snapToGrid/>
              <w:spacing w:line="560" w:lineRule="exact"/>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1、具有独立承担民事责任的能力；（提供合法有效的法人营业执照）</w:t>
            </w:r>
          </w:p>
          <w:p w14:paraId="11EE3FF7">
            <w:pPr>
              <w:keepNext w:val="0"/>
              <w:keepLines w:val="0"/>
              <w:pageBreakBefore w:val="0"/>
              <w:kinsoku/>
              <w:wordWrap/>
              <w:overflowPunct/>
              <w:topLinePunct w:val="0"/>
              <w:bidi w:val="0"/>
              <w:adjustRightInd/>
              <w:snapToGrid/>
              <w:spacing w:line="560" w:lineRule="exact"/>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2、具有良好的商业信誉和健全的财务会计制度；（</w:t>
            </w:r>
            <w:r>
              <w:rPr>
                <w:rFonts w:hint="eastAsia" w:ascii="宋体" w:hAnsi="宋体" w:cs="宋体"/>
                <w:color w:val="000000" w:themeColor="text1"/>
                <w:sz w:val="28"/>
                <w:szCs w:val="28"/>
                <w:highlight w:val="none"/>
                <w:lang w:val="en-US" w:eastAsia="zh-CN"/>
                <w14:textFill>
                  <w14:solidFill>
                    <w14:schemeClr w14:val="tx1"/>
                  </w14:solidFill>
                </w14:textFill>
              </w:rPr>
              <w:t>提供</w:t>
            </w:r>
            <w:r>
              <w:rPr>
                <w:rFonts w:hint="eastAsia" w:ascii="宋体" w:hAnsi="宋体" w:eastAsia="宋体"/>
                <w:color w:val="000000" w:themeColor="text1"/>
                <w:sz w:val="28"/>
                <w:szCs w:val="28"/>
                <w:highlight w:val="none"/>
                <w14:textFill>
                  <w14:solidFill>
                    <w14:schemeClr w14:val="tx1"/>
                  </w14:solidFill>
                </w14:textFill>
              </w:rPr>
              <w:t>202</w:t>
            </w:r>
            <w:r>
              <w:rPr>
                <w:rFonts w:hint="eastAsia" w:ascii="宋体" w:hAnsi="宋体"/>
                <w:color w:val="000000" w:themeColor="text1"/>
                <w:sz w:val="28"/>
                <w:szCs w:val="28"/>
                <w:highlight w:val="none"/>
                <w:lang w:val="en-US" w:eastAsia="zh-CN"/>
                <w14:textFill>
                  <w14:solidFill>
                    <w14:schemeClr w14:val="tx1"/>
                  </w14:solidFill>
                </w14:textFill>
              </w:rPr>
              <w:t>2</w:t>
            </w:r>
            <w:r>
              <w:rPr>
                <w:rFonts w:hint="eastAsia" w:ascii="宋体" w:hAnsi="宋体" w:eastAsia="宋体"/>
                <w:color w:val="000000" w:themeColor="text1"/>
                <w:sz w:val="28"/>
                <w:szCs w:val="28"/>
                <w:highlight w:val="none"/>
                <w14:textFill>
                  <w14:solidFill>
                    <w14:schemeClr w14:val="tx1"/>
                  </w14:solidFill>
                </w14:textFill>
              </w:rPr>
              <w:t>-202</w:t>
            </w:r>
            <w:r>
              <w:rPr>
                <w:rFonts w:hint="eastAsia" w:ascii="宋体" w:hAnsi="宋体"/>
                <w:color w:val="000000" w:themeColor="text1"/>
                <w:sz w:val="28"/>
                <w:szCs w:val="28"/>
                <w:highlight w:val="none"/>
                <w:lang w:val="en-US" w:eastAsia="zh-CN"/>
                <w14:textFill>
                  <w14:solidFill>
                    <w14:schemeClr w14:val="tx1"/>
                  </w14:solidFill>
                </w14:textFill>
              </w:rPr>
              <w:t>4</w:t>
            </w:r>
            <w:r>
              <w:rPr>
                <w:rFonts w:hint="eastAsia" w:ascii="宋体" w:hAnsi="宋体" w:eastAsia="宋体" w:cs="宋体"/>
                <w:color w:val="000000" w:themeColor="text1"/>
                <w:sz w:val="28"/>
                <w:szCs w:val="28"/>
                <w:highlight w:val="none"/>
                <w14:textFill>
                  <w14:solidFill>
                    <w14:schemeClr w14:val="tx1"/>
                  </w14:solidFill>
                </w14:textFill>
              </w:rPr>
              <w:t>年任意一年的</w:t>
            </w:r>
            <w:r>
              <w:rPr>
                <w:rFonts w:hint="eastAsia" w:ascii="宋体" w:hAnsi="宋体" w:eastAsia="宋体" w:cs="宋体"/>
                <w:color w:val="000000" w:themeColor="text1"/>
                <w:sz w:val="28"/>
                <w:szCs w:val="28"/>
                <w:highlight w:val="none"/>
                <w:lang w:val="en-US" w:eastAsia="zh-CN"/>
                <w14:textFill>
                  <w14:solidFill>
                    <w14:schemeClr w14:val="tx1"/>
                  </w14:solidFill>
                </w14:textFill>
              </w:rPr>
              <w:t>完整</w:t>
            </w:r>
            <w:r>
              <w:rPr>
                <w:rFonts w:hint="eastAsia" w:ascii="宋体" w:hAnsi="宋体" w:eastAsia="宋体" w:cs="宋体"/>
                <w:color w:val="000000" w:themeColor="text1"/>
                <w:sz w:val="28"/>
                <w:szCs w:val="28"/>
                <w:highlight w:val="none"/>
                <w14:textFill>
                  <w14:solidFill>
                    <w14:schemeClr w14:val="tx1"/>
                  </w14:solidFill>
                </w14:textFill>
              </w:rPr>
              <w:t xml:space="preserve">审计报告或财务报表（应包括资产负债表、现金流量表、利润表），本年度新成立或成立不满一年的无法提供财务审计报告或财务状况报告表的无需提供。） </w:t>
            </w:r>
          </w:p>
          <w:p w14:paraId="7CF2D6F7">
            <w:pPr>
              <w:keepNext w:val="0"/>
              <w:keepLines w:val="0"/>
              <w:pageBreakBefore w:val="0"/>
              <w:kinsoku/>
              <w:wordWrap/>
              <w:overflowPunct/>
              <w:topLinePunct w:val="0"/>
              <w:bidi w:val="0"/>
              <w:adjustRightInd/>
              <w:snapToGrid/>
              <w:spacing w:line="560" w:lineRule="exact"/>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3、具有履行合同所必需的设备和专业技术能力；（根据项目需求提供履行合同所必需的设备和专业技术能力的加盖单位公章的书面承诺函）</w:t>
            </w:r>
          </w:p>
          <w:p w14:paraId="0D2E8FF9">
            <w:pPr>
              <w:keepNext w:val="0"/>
              <w:keepLines w:val="0"/>
              <w:pageBreakBefore w:val="0"/>
              <w:kinsoku/>
              <w:wordWrap/>
              <w:overflowPunct/>
              <w:topLinePunct w:val="0"/>
              <w:bidi w:val="0"/>
              <w:adjustRightInd/>
              <w:snapToGrid/>
              <w:spacing w:line="560" w:lineRule="exact"/>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4、有依法缴纳税收和社会保障资金的良好记录；（提供参加本次政府采购活动前近半年任意一个月的依法缴纳税收和社会保障资金的相关材料） </w:t>
            </w:r>
          </w:p>
          <w:p w14:paraId="307786C2">
            <w:pPr>
              <w:keepNext w:val="0"/>
              <w:keepLines w:val="0"/>
              <w:pageBreakBefore w:val="0"/>
              <w:kinsoku/>
              <w:wordWrap/>
              <w:overflowPunct/>
              <w:topLinePunct w:val="0"/>
              <w:bidi w:val="0"/>
              <w:adjustRightInd/>
              <w:snapToGrid/>
              <w:spacing w:line="560" w:lineRule="exact"/>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5、参加政府采购活动前三年内，在经营活动中没有重大违法记录；（提供参加本次政府采购活动前3年内在经营活动中没有重大违法记录的书面承诺函并加盖单位公章）</w:t>
            </w:r>
          </w:p>
          <w:p w14:paraId="4C0E90E6">
            <w:pPr>
              <w:keepNext w:val="0"/>
              <w:keepLines w:val="0"/>
              <w:pageBreakBefore w:val="0"/>
              <w:kinsoku/>
              <w:wordWrap/>
              <w:overflowPunct/>
              <w:topLinePunct w:val="0"/>
              <w:bidi w:val="0"/>
              <w:adjustRightInd/>
              <w:snapToGrid/>
              <w:spacing w:line="560" w:lineRule="exact"/>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6、法律、行政法规规定的其他条件</w:t>
            </w:r>
            <w:r>
              <w:rPr>
                <w:rFonts w:hint="eastAsia" w:ascii="宋体" w:hAnsi="宋体" w:cs="宋体"/>
                <w:color w:val="000000" w:themeColor="text1"/>
                <w:sz w:val="28"/>
                <w:szCs w:val="28"/>
                <w:highlight w:val="none"/>
                <w:lang w:eastAsia="zh-CN"/>
                <w14:textFill>
                  <w14:solidFill>
                    <w14:schemeClr w14:val="tx1"/>
                  </w14:solidFill>
                </w14:textFill>
              </w:rPr>
              <w:t>（提供信用信誉承诺函）</w:t>
            </w:r>
            <w:r>
              <w:rPr>
                <w:rFonts w:hint="eastAsia" w:ascii="宋体" w:hAnsi="宋体" w:eastAsia="宋体" w:cs="宋体"/>
                <w:color w:val="000000" w:themeColor="text1"/>
                <w:sz w:val="28"/>
                <w:szCs w:val="28"/>
                <w:highlight w:val="none"/>
                <w14:textFill>
                  <w14:solidFill>
                    <w14:schemeClr w14:val="tx1"/>
                  </w14:solidFill>
                </w14:textFill>
              </w:rPr>
              <w:t>；</w:t>
            </w:r>
          </w:p>
          <w:p w14:paraId="3196E0C6">
            <w:pPr>
              <w:keepNext w:val="0"/>
              <w:keepLines w:val="0"/>
              <w:pageBreakBefore w:val="0"/>
              <w:numPr>
                <w:ilvl w:val="0"/>
                <w:numId w:val="0"/>
              </w:numPr>
              <w:kinsoku/>
              <w:wordWrap/>
              <w:overflowPunct/>
              <w:topLinePunct w:val="0"/>
              <w:bidi w:val="0"/>
              <w:adjustRightInd/>
              <w:snapToGrid/>
              <w:spacing w:line="560" w:lineRule="exact"/>
              <w:jc w:val="both"/>
              <w:rPr>
                <w:rFonts w:hint="eastAsia" w:ascii="宋体" w:hAnsi="宋体" w:eastAsia="宋体" w:cs="宋体"/>
                <w:color w:val="000000" w:themeColor="text1"/>
                <w:sz w:val="28"/>
                <w:szCs w:val="28"/>
                <w:highlight w:val="none"/>
                <w:lang w:eastAsia="zh-CN"/>
                <w14:textFill>
                  <w14:solidFill>
                    <w14:schemeClr w14:val="tx1"/>
                  </w14:solidFill>
                </w14:textFill>
              </w:rPr>
            </w:pPr>
            <w:r>
              <w:rPr>
                <w:rFonts w:hint="eastAsia" w:ascii="宋体" w:hAnsi="宋体" w:eastAsia="宋体" w:cs="宋体"/>
                <w:color w:val="000000" w:themeColor="text1"/>
                <w:kern w:val="2"/>
                <w:sz w:val="28"/>
                <w:szCs w:val="28"/>
                <w:highlight w:val="none"/>
                <w:lang w:val="en-US" w:eastAsia="zh-CN" w:bidi="ar-SA"/>
                <w14:textFill>
                  <w14:solidFill>
                    <w14:schemeClr w14:val="tx1"/>
                  </w14:solidFill>
                </w14:textFill>
              </w:rPr>
              <w:t>7、</w:t>
            </w:r>
            <w:r>
              <w:rPr>
                <w:rFonts w:hint="eastAsia" w:ascii="宋体" w:hAnsi="宋体" w:eastAsia="宋体" w:cs="宋体"/>
                <w:color w:val="000000" w:themeColor="text1"/>
                <w:sz w:val="28"/>
                <w:szCs w:val="28"/>
                <w:highlight w:val="none"/>
                <w14:textFill>
                  <w14:solidFill>
                    <w14:schemeClr w14:val="tx1"/>
                  </w14:solidFill>
                </w14:textFill>
              </w:rPr>
              <w:t>投标保证金凭证；</w:t>
            </w:r>
          </w:p>
        </w:tc>
      </w:tr>
      <w:tr w14:paraId="441D08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3" w:type="dxa"/>
            <w:tcBorders>
              <w:top w:val="nil"/>
              <w:left w:val="single" w:color="auto" w:sz="4" w:space="0"/>
              <w:bottom w:val="nil"/>
              <w:right w:val="single" w:color="auto" w:sz="4" w:space="0"/>
            </w:tcBorders>
            <w:vAlign w:val="center"/>
          </w:tcPr>
          <w:p w14:paraId="4B6F19D4">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2239" w:type="dxa"/>
            <w:tcBorders>
              <w:top w:val="single" w:color="auto" w:sz="4" w:space="0"/>
              <w:left w:val="single" w:color="auto" w:sz="4" w:space="0"/>
              <w:bottom w:val="single" w:color="auto" w:sz="4" w:space="0"/>
              <w:right w:val="single" w:color="auto" w:sz="4" w:space="0"/>
            </w:tcBorders>
            <w:vAlign w:val="center"/>
          </w:tcPr>
          <w:p w14:paraId="03C07F59">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商务文件组成</w:t>
            </w:r>
          </w:p>
          <w:p w14:paraId="7B154555">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7297" w:type="dxa"/>
            <w:tcBorders>
              <w:top w:val="single" w:color="auto" w:sz="4" w:space="0"/>
              <w:left w:val="single" w:color="auto" w:sz="4" w:space="0"/>
              <w:bottom w:val="single" w:color="auto" w:sz="4" w:space="0"/>
              <w:right w:val="single" w:color="auto" w:sz="4" w:space="0"/>
            </w:tcBorders>
            <w:vAlign w:val="center"/>
          </w:tcPr>
          <w:p w14:paraId="600875E2">
            <w:pPr>
              <w:keepNext w:val="0"/>
              <w:keepLines w:val="0"/>
              <w:pageBreakBefore w:val="0"/>
              <w:kinsoku/>
              <w:wordWrap/>
              <w:overflowPunct/>
              <w:topLinePunct w:val="0"/>
              <w:bidi w:val="0"/>
              <w:adjustRightInd/>
              <w:snapToGrid/>
              <w:spacing w:line="56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1、无串通投标行为的承诺函； </w:t>
            </w:r>
          </w:p>
          <w:p w14:paraId="0255987A">
            <w:pPr>
              <w:keepNext w:val="0"/>
              <w:keepLines w:val="0"/>
              <w:pageBreakBefore w:val="0"/>
              <w:kinsoku/>
              <w:wordWrap/>
              <w:overflowPunct/>
              <w:topLinePunct w:val="0"/>
              <w:bidi w:val="0"/>
              <w:adjustRightInd/>
              <w:snapToGrid/>
              <w:spacing w:line="56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2、法定代表人身份证明；</w:t>
            </w:r>
          </w:p>
          <w:p w14:paraId="27C9341B">
            <w:pPr>
              <w:keepNext w:val="0"/>
              <w:keepLines w:val="0"/>
              <w:pageBreakBefore w:val="0"/>
              <w:kinsoku/>
              <w:wordWrap/>
              <w:overflowPunct/>
              <w:topLinePunct w:val="0"/>
              <w:bidi w:val="0"/>
              <w:adjustRightInd/>
              <w:snapToGrid/>
              <w:spacing w:line="56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3、法定代表人授权委托书（如有委托时）；</w:t>
            </w:r>
          </w:p>
          <w:p w14:paraId="0B8BC0F7">
            <w:pPr>
              <w:keepNext w:val="0"/>
              <w:keepLines w:val="0"/>
              <w:pageBreakBefore w:val="0"/>
              <w:kinsoku/>
              <w:wordWrap/>
              <w:overflowPunct/>
              <w:topLinePunct w:val="0"/>
              <w:bidi w:val="0"/>
              <w:adjustRightInd/>
              <w:snapToGrid/>
              <w:spacing w:line="56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4、商务条款偏离表；</w:t>
            </w:r>
          </w:p>
          <w:p w14:paraId="1ABA017F">
            <w:pPr>
              <w:keepNext w:val="0"/>
              <w:keepLines w:val="0"/>
              <w:pageBreakBefore w:val="0"/>
              <w:kinsoku/>
              <w:wordWrap/>
              <w:overflowPunct/>
              <w:topLinePunct w:val="0"/>
              <w:bidi w:val="0"/>
              <w:adjustRightInd/>
              <w:snapToGrid/>
              <w:spacing w:line="56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5、</w:t>
            </w:r>
            <w:r>
              <w:rPr>
                <w:rFonts w:hint="eastAsia" w:ascii="宋体" w:hAnsi="宋体" w:cs="宋体"/>
                <w:color w:val="000000" w:themeColor="text1"/>
                <w:sz w:val="28"/>
                <w:szCs w:val="28"/>
                <w:highlight w:val="none"/>
                <w:lang w:eastAsia="zh-CN"/>
                <w14:textFill>
                  <w14:solidFill>
                    <w14:schemeClr w14:val="tx1"/>
                  </w14:solidFill>
                </w14:textFill>
              </w:rPr>
              <w:t>供应商</w:t>
            </w:r>
            <w:r>
              <w:rPr>
                <w:rFonts w:hint="eastAsia" w:ascii="宋体" w:hAnsi="宋体" w:eastAsia="宋体" w:cs="宋体"/>
                <w:color w:val="000000" w:themeColor="text1"/>
                <w:sz w:val="28"/>
                <w:szCs w:val="28"/>
                <w:highlight w:val="none"/>
                <w14:textFill>
                  <w14:solidFill>
                    <w14:schemeClr w14:val="tx1"/>
                  </w14:solidFill>
                </w14:textFill>
              </w:rPr>
              <w:t>情况介绍；</w:t>
            </w:r>
          </w:p>
          <w:p w14:paraId="42DF7C92">
            <w:pPr>
              <w:keepNext w:val="0"/>
              <w:keepLines w:val="0"/>
              <w:pageBreakBefore w:val="0"/>
              <w:kinsoku/>
              <w:wordWrap/>
              <w:overflowPunct/>
              <w:topLinePunct w:val="0"/>
              <w:bidi w:val="0"/>
              <w:adjustRightInd/>
              <w:snapToGrid/>
              <w:spacing w:line="56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6、供应商类似业绩的证明文件；</w:t>
            </w:r>
          </w:p>
          <w:p w14:paraId="1E819D9F">
            <w:pPr>
              <w:keepNext w:val="0"/>
              <w:keepLines w:val="0"/>
              <w:pageBreakBefore w:val="0"/>
              <w:kinsoku/>
              <w:wordWrap/>
              <w:overflowPunct/>
              <w:topLinePunct w:val="0"/>
              <w:bidi w:val="0"/>
              <w:adjustRightInd/>
              <w:snapToGrid/>
              <w:spacing w:line="560" w:lineRule="exact"/>
              <w:jc w:val="left"/>
              <w:rPr>
                <w:rFonts w:hint="eastAsia" w:ascii="宋体" w:hAnsi="宋体" w:eastAsia="宋体" w:cs="宋体"/>
                <w:color w:val="000000" w:themeColor="text1"/>
                <w:sz w:val="28"/>
                <w:szCs w:val="28"/>
                <w:highlight w:val="none"/>
                <w:lang w:eastAsia="zh-CN"/>
                <w14:textFill>
                  <w14:solidFill>
                    <w14:schemeClr w14:val="tx1"/>
                  </w14:solidFill>
                </w14:textFill>
              </w:rPr>
            </w:pPr>
            <w:r>
              <w:rPr>
                <w:rFonts w:hint="eastAsia" w:ascii="宋体" w:hAnsi="宋体" w:cs="宋体"/>
                <w:color w:val="000000" w:themeColor="text1"/>
                <w:sz w:val="28"/>
                <w:szCs w:val="28"/>
                <w:highlight w:val="none"/>
                <w:lang w:val="en-US" w:eastAsia="zh-CN"/>
                <w14:textFill>
                  <w14:solidFill>
                    <w14:schemeClr w14:val="tx1"/>
                  </w14:solidFill>
                </w14:textFill>
              </w:rPr>
              <w:t>7</w:t>
            </w:r>
            <w:r>
              <w:rPr>
                <w:rFonts w:hint="eastAsia" w:ascii="宋体" w:hAnsi="宋体" w:eastAsia="宋体" w:cs="宋体"/>
                <w:color w:val="000000" w:themeColor="text1"/>
                <w:sz w:val="28"/>
                <w:szCs w:val="28"/>
                <w:highlight w:val="none"/>
                <w14:textFill>
                  <w14:solidFill>
                    <w14:schemeClr w14:val="tx1"/>
                  </w14:solidFill>
                </w14:textFill>
              </w:rPr>
              <w:t>、项目</w:t>
            </w:r>
            <w:r>
              <w:rPr>
                <w:rFonts w:hint="eastAsia" w:ascii="宋体" w:hAnsi="宋体" w:cs="宋体"/>
                <w:color w:val="000000" w:themeColor="text1"/>
                <w:sz w:val="28"/>
                <w:szCs w:val="28"/>
                <w:highlight w:val="none"/>
                <w:lang w:eastAsia="zh-CN"/>
                <w14:textFill>
                  <w14:solidFill>
                    <w14:schemeClr w14:val="tx1"/>
                  </w14:solidFill>
                </w14:textFill>
              </w:rPr>
              <w:t>负责人简历表</w:t>
            </w:r>
            <w:r>
              <w:rPr>
                <w:rFonts w:hint="eastAsia" w:ascii="宋体" w:hAnsi="宋体" w:eastAsia="宋体" w:cs="宋体"/>
                <w:color w:val="000000" w:themeColor="text1"/>
                <w:sz w:val="28"/>
                <w:szCs w:val="28"/>
                <w:highlight w:val="none"/>
                <w:lang w:eastAsia="zh-CN"/>
                <w14:textFill>
                  <w14:solidFill>
                    <w14:schemeClr w14:val="tx1"/>
                  </w14:solidFill>
                </w14:textFill>
              </w:rPr>
              <w:t>；</w:t>
            </w:r>
          </w:p>
          <w:p w14:paraId="5BB06806">
            <w:pPr>
              <w:keepNext w:val="0"/>
              <w:keepLines w:val="0"/>
              <w:pageBreakBefore w:val="0"/>
              <w:kinsoku/>
              <w:wordWrap/>
              <w:overflowPunct/>
              <w:topLinePunct w:val="0"/>
              <w:bidi w:val="0"/>
              <w:adjustRightInd/>
              <w:snapToGrid/>
              <w:spacing w:line="56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lang w:val="en-US" w:eastAsia="zh-CN"/>
                <w14:textFill>
                  <w14:solidFill>
                    <w14:schemeClr w14:val="tx1"/>
                  </w14:solidFill>
                </w14:textFill>
              </w:rPr>
              <w:t>8</w:t>
            </w:r>
            <w:r>
              <w:rPr>
                <w:rFonts w:hint="eastAsia" w:ascii="宋体" w:hAnsi="宋体" w:eastAsia="宋体" w:cs="宋体"/>
                <w:color w:val="000000" w:themeColor="text1"/>
                <w:sz w:val="28"/>
                <w:szCs w:val="28"/>
                <w:highlight w:val="none"/>
                <w14:textFill>
                  <w14:solidFill>
                    <w14:schemeClr w14:val="tx1"/>
                  </w14:solidFill>
                </w14:textFill>
              </w:rPr>
              <w:t>、</w:t>
            </w:r>
            <w:r>
              <w:rPr>
                <w:rFonts w:hint="eastAsia" w:ascii="宋体" w:hAnsi="宋体" w:cs="宋体"/>
                <w:color w:val="000000" w:themeColor="text1"/>
                <w:sz w:val="28"/>
                <w:szCs w:val="28"/>
                <w:highlight w:val="none"/>
                <w:lang w:eastAsia="zh-CN"/>
                <w14:textFill>
                  <w14:solidFill>
                    <w14:schemeClr w14:val="tx1"/>
                  </w14:solidFill>
                </w14:textFill>
              </w:rPr>
              <w:t>供应商</w:t>
            </w:r>
            <w:r>
              <w:rPr>
                <w:rFonts w:hint="eastAsia" w:ascii="宋体" w:hAnsi="宋体" w:eastAsia="宋体" w:cs="宋体"/>
                <w:color w:val="000000" w:themeColor="text1"/>
                <w:sz w:val="28"/>
                <w:szCs w:val="28"/>
                <w:highlight w:val="none"/>
                <w14:textFill>
                  <w14:solidFill>
                    <w14:schemeClr w14:val="tx1"/>
                  </w14:solidFill>
                </w14:textFill>
              </w:rPr>
              <w:t>认为需要提供的其他</w:t>
            </w:r>
            <w:r>
              <w:rPr>
                <w:rFonts w:hint="eastAsia" w:ascii="宋体" w:hAnsi="宋体" w:cs="宋体"/>
                <w:color w:val="000000" w:themeColor="text1"/>
                <w:sz w:val="28"/>
                <w:szCs w:val="28"/>
                <w:highlight w:val="none"/>
                <w:lang w:eastAsia="zh-CN"/>
                <w14:textFill>
                  <w14:solidFill>
                    <w14:schemeClr w14:val="tx1"/>
                  </w14:solidFill>
                </w14:textFill>
              </w:rPr>
              <w:t>商务文件</w:t>
            </w:r>
            <w:r>
              <w:rPr>
                <w:rFonts w:hint="eastAsia" w:ascii="宋体" w:hAnsi="宋体" w:eastAsia="宋体" w:cs="宋体"/>
                <w:color w:val="000000" w:themeColor="text1"/>
                <w:sz w:val="28"/>
                <w:szCs w:val="28"/>
                <w:highlight w:val="none"/>
                <w14:textFill>
                  <w14:solidFill>
                    <w14:schemeClr w14:val="tx1"/>
                  </w14:solidFill>
                </w14:textFill>
              </w:rPr>
              <w:t>材料。</w:t>
            </w:r>
          </w:p>
        </w:tc>
      </w:tr>
      <w:tr w14:paraId="129716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3" w:type="dxa"/>
            <w:vMerge w:val="restart"/>
            <w:tcBorders>
              <w:top w:val="nil"/>
              <w:left w:val="single" w:color="auto" w:sz="4" w:space="0"/>
              <w:bottom w:val="single" w:color="auto" w:sz="4" w:space="0"/>
              <w:right w:val="single" w:color="auto" w:sz="4" w:space="0"/>
            </w:tcBorders>
            <w:vAlign w:val="center"/>
          </w:tcPr>
          <w:p w14:paraId="043079F0">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2239" w:type="dxa"/>
            <w:tcBorders>
              <w:top w:val="single" w:color="auto" w:sz="4" w:space="0"/>
              <w:left w:val="single" w:color="auto" w:sz="4" w:space="0"/>
              <w:bottom w:val="single" w:color="auto" w:sz="4" w:space="0"/>
              <w:right w:val="single" w:color="auto" w:sz="4" w:space="0"/>
            </w:tcBorders>
            <w:vAlign w:val="center"/>
          </w:tcPr>
          <w:p w14:paraId="318C8742">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技术文件组成</w:t>
            </w:r>
          </w:p>
          <w:p w14:paraId="1FA58891">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7297" w:type="dxa"/>
            <w:tcBorders>
              <w:top w:val="single" w:color="auto" w:sz="4" w:space="0"/>
              <w:left w:val="single" w:color="auto" w:sz="4" w:space="0"/>
              <w:bottom w:val="single" w:color="auto" w:sz="4" w:space="0"/>
              <w:right w:val="single" w:color="auto" w:sz="4" w:space="0"/>
            </w:tcBorders>
            <w:vAlign w:val="center"/>
          </w:tcPr>
          <w:p w14:paraId="058702DD">
            <w:pPr>
              <w:keepNext w:val="0"/>
              <w:keepLines w:val="0"/>
              <w:pageBreakBefore w:val="0"/>
              <w:kinsoku/>
              <w:wordWrap/>
              <w:overflowPunct/>
              <w:topLinePunct w:val="0"/>
              <w:bidi w:val="0"/>
              <w:adjustRightInd/>
              <w:snapToGrid/>
              <w:spacing w:line="560" w:lineRule="exact"/>
              <w:rPr>
                <w:rFonts w:hint="eastAsia" w:ascii="宋体" w:hAnsi="宋体" w:eastAsia="宋体" w:cs="宋体"/>
                <w:color w:val="000000" w:themeColor="text1"/>
                <w:sz w:val="28"/>
                <w:szCs w:val="28"/>
                <w:highlight w:val="none"/>
                <w:lang w:eastAsia="zh-CN"/>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1、技术需求偏离表</w:t>
            </w:r>
            <w:r>
              <w:rPr>
                <w:rFonts w:hint="eastAsia" w:ascii="宋体" w:hAnsi="宋体" w:cs="宋体"/>
                <w:color w:val="000000" w:themeColor="text1"/>
                <w:sz w:val="28"/>
                <w:szCs w:val="28"/>
                <w:highlight w:val="none"/>
                <w:lang w:eastAsia="zh-CN"/>
                <w14:textFill>
                  <w14:solidFill>
                    <w14:schemeClr w14:val="tx1"/>
                  </w14:solidFill>
                </w14:textFill>
              </w:rPr>
              <w:t>；</w:t>
            </w:r>
          </w:p>
          <w:p w14:paraId="15A72C3F">
            <w:pPr>
              <w:keepNext w:val="0"/>
              <w:keepLines w:val="0"/>
              <w:pageBreakBefore w:val="0"/>
              <w:kinsoku/>
              <w:wordWrap/>
              <w:overflowPunct/>
              <w:topLinePunct w:val="0"/>
              <w:bidi w:val="0"/>
              <w:adjustRightInd/>
              <w:snapToGrid/>
              <w:spacing w:line="560" w:lineRule="exact"/>
              <w:rPr>
                <w:rFonts w:hint="eastAsia" w:ascii="宋体" w:hAnsi="宋体" w:eastAsia="宋体" w:cs="宋体"/>
                <w:color w:val="000000" w:themeColor="text1"/>
                <w:sz w:val="28"/>
                <w:szCs w:val="28"/>
                <w:highlight w:val="none"/>
                <w:lang w:eastAsia="zh-CN"/>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2、采购清单</w:t>
            </w:r>
            <w:r>
              <w:rPr>
                <w:rFonts w:hint="eastAsia" w:ascii="宋体" w:hAnsi="宋体" w:cs="宋体"/>
                <w:color w:val="000000" w:themeColor="text1"/>
                <w:sz w:val="28"/>
                <w:szCs w:val="28"/>
                <w:highlight w:val="none"/>
                <w:lang w:eastAsia="zh-CN"/>
                <w14:textFill>
                  <w14:solidFill>
                    <w14:schemeClr w14:val="tx1"/>
                  </w14:solidFill>
                </w14:textFill>
              </w:rPr>
              <w:t>；</w:t>
            </w:r>
          </w:p>
          <w:p w14:paraId="49DCA538">
            <w:pPr>
              <w:keepNext w:val="0"/>
              <w:keepLines w:val="0"/>
              <w:pageBreakBefore w:val="0"/>
              <w:kinsoku/>
              <w:wordWrap/>
              <w:overflowPunct/>
              <w:topLinePunct w:val="0"/>
              <w:bidi w:val="0"/>
              <w:adjustRightInd/>
              <w:snapToGrid/>
              <w:spacing w:line="560" w:lineRule="exact"/>
              <w:rPr>
                <w:rFonts w:hint="eastAsia" w:ascii="宋体" w:hAnsi="宋体" w:eastAsia="宋体" w:cs="宋体"/>
                <w:color w:val="000000" w:themeColor="text1"/>
                <w:sz w:val="28"/>
                <w:szCs w:val="28"/>
                <w:highlight w:val="none"/>
                <w:lang w:eastAsia="zh-CN"/>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3、产品及性能</w:t>
            </w:r>
            <w:r>
              <w:rPr>
                <w:rFonts w:hint="eastAsia" w:ascii="宋体" w:hAnsi="宋体" w:cs="宋体"/>
                <w:color w:val="000000" w:themeColor="text1"/>
                <w:sz w:val="28"/>
                <w:szCs w:val="28"/>
                <w:highlight w:val="none"/>
                <w:lang w:eastAsia="zh-CN"/>
                <w14:textFill>
                  <w14:solidFill>
                    <w14:schemeClr w14:val="tx1"/>
                  </w14:solidFill>
                </w14:textFill>
              </w:rPr>
              <w:t>；</w:t>
            </w:r>
          </w:p>
          <w:p w14:paraId="534CD49D">
            <w:pPr>
              <w:keepNext w:val="0"/>
              <w:keepLines w:val="0"/>
              <w:pageBreakBefore w:val="0"/>
              <w:kinsoku/>
              <w:wordWrap/>
              <w:overflowPunct/>
              <w:topLinePunct w:val="0"/>
              <w:bidi w:val="0"/>
              <w:adjustRightInd/>
              <w:snapToGrid/>
              <w:spacing w:line="560" w:lineRule="exact"/>
              <w:rPr>
                <w:rFonts w:hint="eastAsia" w:ascii="宋体" w:hAnsi="宋体" w:eastAsia="宋体" w:cs="宋体"/>
                <w:color w:val="000000" w:themeColor="text1"/>
                <w:sz w:val="28"/>
                <w:szCs w:val="28"/>
                <w:highlight w:val="none"/>
                <w:lang w:eastAsia="zh-CN"/>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4、</w:t>
            </w:r>
            <w:r>
              <w:rPr>
                <w:rFonts w:hint="eastAsia" w:ascii="宋体" w:hAnsi="宋体" w:cs="宋体"/>
                <w:color w:val="000000" w:themeColor="text1"/>
                <w:sz w:val="28"/>
                <w:szCs w:val="28"/>
                <w:highlight w:val="none"/>
                <w:lang w:eastAsia="zh-CN"/>
                <w14:textFill>
                  <w14:solidFill>
                    <w14:schemeClr w14:val="tx1"/>
                  </w14:solidFill>
                </w14:textFill>
              </w:rPr>
              <w:t>技术</w:t>
            </w:r>
            <w:r>
              <w:rPr>
                <w:rFonts w:hint="eastAsia" w:ascii="宋体" w:hAnsi="宋体" w:eastAsia="宋体" w:cs="宋体"/>
                <w:color w:val="000000" w:themeColor="text1"/>
                <w:sz w:val="28"/>
                <w:szCs w:val="28"/>
                <w:highlight w:val="none"/>
                <w14:textFill>
                  <w14:solidFill>
                    <w14:schemeClr w14:val="tx1"/>
                  </w14:solidFill>
                </w14:textFill>
              </w:rPr>
              <w:t>方案</w:t>
            </w:r>
            <w:r>
              <w:rPr>
                <w:rFonts w:hint="eastAsia" w:ascii="宋体" w:hAnsi="宋体" w:cs="宋体"/>
                <w:color w:val="000000" w:themeColor="text1"/>
                <w:sz w:val="28"/>
                <w:szCs w:val="28"/>
                <w:highlight w:val="none"/>
                <w:lang w:eastAsia="zh-CN"/>
                <w14:textFill>
                  <w14:solidFill>
                    <w14:schemeClr w14:val="tx1"/>
                  </w14:solidFill>
                </w14:textFill>
              </w:rPr>
              <w:t>；</w:t>
            </w:r>
          </w:p>
          <w:p w14:paraId="4BB3A30E">
            <w:pPr>
              <w:keepNext w:val="0"/>
              <w:keepLines w:val="0"/>
              <w:pageBreakBefore w:val="0"/>
              <w:kinsoku/>
              <w:wordWrap/>
              <w:overflowPunct/>
              <w:topLinePunct w:val="0"/>
              <w:bidi w:val="0"/>
              <w:adjustRightInd/>
              <w:snapToGrid/>
              <w:spacing w:line="560" w:lineRule="exact"/>
              <w:rPr>
                <w:rFonts w:hint="eastAsia" w:ascii="宋体" w:hAnsi="宋体" w:eastAsia="宋体" w:cs="宋体"/>
                <w:color w:val="000000" w:themeColor="text1"/>
                <w:sz w:val="28"/>
                <w:szCs w:val="28"/>
                <w:highlight w:val="none"/>
                <w:lang w:eastAsia="zh-CN"/>
                <w14:textFill>
                  <w14:solidFill>
                    <w14:schemeClr w14:val="tx1"/>
                  </w14:solidFill>
                </w14:textFill>
              </w:rPr>
            </w:pPr>
            <w:r>
              <w:rPr>
                <w:rFonts w:hint="eastAsia" w:ascii="宋体" w:hAnsi="宋体" w:cs="宋体"/>
                <w:color w:val="000000" w:themeColor="text1"/>
                <w:sz w:val="28"/>
                <w:szCs w:val="28"/>
                <w:highlight w:val="none"/>
                <w:lang w:val="en-US" w:eastAsia="zh-CN"/>
                <w14:textFill>
                  <w14:solidFill>
                    <w14:schemeClr w14:val="tx1"/>
                  </w14:solidFill>
                </w14:textFill>
              </w:rPr>
              <w:t>5</w:t>
            </w:r>
            <w:r>
              <w:rPr>
                <w:rFonts w:hint="eastAsia" w:ascii="宋体" w:hAnsi="宋体" w:eastAsia="宋体" w:cs="宋体"/>
                <w:color w:val="000000" w:themeColor="text1"/>
                <w:sz w:val="28"/>
                <w:szCs w:val="28"/>
                <w:highlight w:val="none"/>
                <w14:textFill>
                  <w14:solidFill>
                    <w14:schemeClr w14:val="tx1"/>
                  </w14:solidFill>
                </w14:textFill>
              </w:rPr>
              <w:t>、</w:t>
            </w:r>
            <w:r>
              <w:rPr>
                <w:rFonts w:hint="eastAsia" w:ascii="宋体" w:hAnsi="宋体" w:cs="宋体"/>
                <w:color w:val="000000" w:themeColor="text1"/>
                <w:sz w:val="28"/>
                <w:szCs w:val="28"/>
                <w:highlight w:val="none"/>
                <w:lang w:eastAsia="zh-CN"/>
                <w14:textFill>
                  <w14:solidFill>
                    <w14:schemeClr w14:val="tx1"/>
                  </w14:solidFill>
                </w14:textFill>
              </w:rPr>
              <w:t>供应商</w:t>
            </w:r>
            <w:r>
              <w:rPr>
                <w:rFonts w:hint="eastAsia" w:ascii="宋体" w:hAnsi="宋体" w:eastAsia="宋体" w:cs="宋体"/>
                <w:color w:val="000000" w:themeColor="text1"/>
                <w:sz w:val="28"/>
                <w:szCs w:val="28"/>
                <w:highlight w:val="none"/>
                <w14:textFill>
                  <w14:solidFill>
                    <w14:schemeClr w14:val="tx1"/>
                  </w14:solidFill>
                </w14:textFill>
              </w:rPr>
              <w:t>认为需要的其他技术文件或说明</w:t>
            </w:r>
            <w:r>
              <w:rPr>
                <w:rFonts w:hint="eastAsia" w:ascii="宋体" w:hAnsi="宋体" w:cs="宋体"/>
                <w:color w:val="000000" w:themeColor="text1"/>
                <w:sz w:val="28"/>
                <w:szCs w:val="28"/>
                <w:highlight w:val="none"/>
                <w:lang w:eastAsia="zh-CN"/>
                <w14:textFill>
                  <w14:solidFill>
                    <w14:schemeClr w14:val="tx1"/>
                  </w14:solidFill>
                </w14:textFill>
              </w:rPr>
              <w:t>；</w:t>
            </w:r>
          </w:p>
        </w:tc>
      </w:tr>
      <w:tr w14:paraId="79B08A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3" w:type="dxa"/>
            <w:vMerge w:val="continue"/>
            <w:tcBorders>
              <w:top w:val="nil"/>
              <w:left w:val="single" w:color="auto" w:sz="4" w:space="0"/>
              <w:bottom w:val="single" w:color="auto" w:sz="4" w:space="0"/>
              <w:right w:val="single" w:color="auto" w:sz="4" w:space="0"/>
            </w:tcBorders>
            <w:vAlign w:val="center"/>
          </w:tcPr>
          <w:p w14:paraId="61D2BCEE">
            <w:pPr>
              <w:keepNext w:val="0"/>
              <w:keepLines w:val="0"/>
              <w:pageBreakBefore w:val="0"/>
              <w:widowControl/>
              <w:kinsoku/>
              <w:wordWrap/>
              <w:overflowPunct/>
              <w:topLinePunct w:val="0"/>
              <w:bidi w:val="0"/>
              <w:adjustRightInd/>
              <w:snapToGrid/>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2239" w:type="dxa"/>
            <w:tcBorders>
              <w:top w:val="single" w:color="auto" w:sz="4" w:space="0"/>
              <w:left w:val="single" w:color="auto" w:sz="4" w:space="0"/>
              <w:bottom w:val="single" w:color="auto" w:sz="4" w:space="0"/>
              <w:right w:val="single" w:color="auto" w:sz="4" w:space="0"/>
            </w:tcBorders>
            <w:vAlign w:val="center"/>
          </w:tcPr>
          <w:p w14:paraId="3FFF036A">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报价文件组成</w:t>
            </w:r>
          </w:p>
        </w:tc>
        <w:tc>
          <w:tcPr>
            <w:tcW w:w="7297" w:type="dxa"/>
            <w:tcBorders>
              <w:top w:val="single" w:color="auto" w:sz="4" w:space="0"/>
              <w:left w:val="single" w:color="auto" w:sz="4" w:space="0"/>
              <w:bottom w:val="single" w:color="auto" w:sz="4" w:space="0"/>
              <w:right w:val="single" w:color="auto" w:sz="4" w:space="0"/>
            </w:tcBorders>
            <w:vAlign w:val="center"/>
          </w:tcPr>
          <w:p w14:paraId="1A7B6972">
            <w:pPr>
              <w:keepNext w:val="0"/>
              <w:keepLines w:val="0"/>
              <w:pageBreakBefore w:val="0"/>
              <w:tabs>
                <w:tab w:val="left" w:pos="459"/>
              </w:tabs>
              <w:kinsoku/>
              <w:wordWrap/>
              <w:overflowPunct/>
              <w:topLinePunct w:val="0"/>
              <w:bidi w:val="0"/>
              <w:adjustRightInd/>
              <w:snapToGrid/>
              <w:spacing w:line="56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1、投标函； </w:t>
            </w:r>
          </w:p>
          <w:p w14:paraId="6B95B275">
            <w:pPr>
              <w:keepNext w:val="0"/>
              <w:keepLines w:val="0"/>
              <w:pageBreakBefore w:val="0"/>
              <w:tabs>
                <w:tab w:val="left" w:pos="459"/>
              </w:tabs>
              <w:kinsoku/>
              <w:wordWrap/>
              <w:overflowPunct/>
              <w:topLinePunct w:val="0"/>
              <w:bidi w:val="0"/>
              <w:adjustRightInd/>
              <w:snapToGrid/>
              <w:spacing w:line="56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2、开标一览表；</w:t>
            </w:r>
          </w:p>
          <w:p w14:paraId="6036DD0B">
            <w:pPr>
              <w:keepNext w:val="0"/>
              <w:keepLines w:val="0"/>
              <w:pageBreakBefore w:val="0"/>
              <w:tabs>
                <w:tab w:val="left" w:pos="459"/>
              </w:tabs>
              <w:kinsoku/>
              <w:wordWrap/>
              <w:overflowPunct/>
              <w:topLinePunct w:val="0"/>
              <w:bidi w:val="0"/>
              <w:adjustRightInd/>
              <w:snapToGrid/>
              <w:spacing w:line="560" w:lineRule="exact"/>
              <w:jc w:val="left"/>
              <w:rPr>
                <w:rFonts w:hint="eastAsia" w:ascii="宋体" w:hAnsi="宋体" w:eastAsia="宋体" w:cs="宋体"/>
                <w:color w:val="000000" w:themeColor="text1"/>
                <w:sz w:val="28"/>
                <w:szCs w:val="28"/>
                <w:highlight w:val="none"/>
                <w:lang w:eastAsia="zh-CN"/>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3、分项报价表</w:t>
            </w:r>
            <w:r>
              <w:rPr>
                <w:rFonts w:hint="eastAsia" w:ascii="宋体" w:hAnsi="宋体" w:cs="宋体"/>
                <w:color w:val="000000" w:themeColor="text1"/>
                <w:sz w:val="28"/>
                <w:szCs w:val="28"/>
                <w:highlight w:val="none"/>
                <w:lang w:eastAsia="zh-CN"/>
                <w14:textFill>
                  <w14:solidFill>
                    <w14:schemeClr w14:val="tx1"/>
                  </w14:solidFill>
                </w14:textFill>
              </w:rPr>
              <w:t>；</w:t>
            </w:r>
          </w:p>
          <w:p w14:paraId="604EDBFD">
            <w:pPr>
              <w:keepNext w:val="0"/>
              <w:keepLines w:val="0"/>
              <w:pageBreakBefore w:val="0"/>
              <w:tabs>
                <w:tab w:val="left" w:pos="459"/>
              </w:tabs>
              <w:kinsoku/>
              <w:wordWrap/>
              <w:overflowPunct/>
              <w:topLinePunct w:val="0"/>
              <w:bidi w:val="0"/>
              <w:adjustRightInd/>
              <w:snapToGrid/>
              <w:spacing w:line="560" w:lineRule="exact"/>
              <w:jc w:val="left"/>
              <w:rPr>
                <w:rFonts w:hint="eastAsia" w:ascii="宋体" w:hAnsi="宋体" w:eastAsia="宋体" w:cs="宋体"/>
                <w:color w:val="000000" w:themeColor="text1"/>
                <w:sz w:val="28"/>
                <w:szCs w:val="28"/>
                <w:highlight w:val="none"/>
                <w:lang w:eastAsia="zh-CN"/>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4、中小企业声明函</w:t>
            </w:r>
            <w:r>
              <w:rPr>
                <w:rFonts w:hint="eastAsia" w:ascii="宋体" w:hAnsi="宋体" w:cs="宋体"/>
                <w:color w:val="000000" w:themeColor="text1"/>
                <w:sz w:val="28"/>
                <w:szCs w:val="28"/>
                <w:highlight w:val="none"/>
                <w:lang w:eastAsia="zh-CN"/>
                <w14:textFill>
                  <w14:solidFill>
                    <w14:schemeClr w14:val="tx1"/>
                  </w14:solidFill>
                </w14:textFill>
              </w:rPr>
              <w:t>；</w:t>
            </w:r>
          </w:p>
        </w:tc>
      </w:tr>
      <w:tr w14:paraId="555A31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14:paraId="68457D6A">
            <w:pPr>
              <w:keepNext w:val="0"/>
              <w:keepLines w:val="0"/>
              <w:pageBreakBefore w:val="0"/>
              <w:kinsoku/>
              <w:wordWrap/>
              <w:overflowPunct/>
              <w:topLinePunct w:val="0"/>
              <w:bidi w:val="0"/>
              <w:adjustRightInd/>
              <w:snapToGrid/>
              <w:spacing w:line="560" w:lineRule="exact"/>
              <w:jc w:val="center"/>
              <w:rPr>
                <w:rFonts w:hint="default"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cs="宋体"/>
                <w:color w:val="000000" w:themeColor="text1"/>
                <w:sz w:val="28"/>
                <w:szCs w:val="28"/>
                <w:highlight w:val="none"/>
                <w:lang w:val="en-US" w:eastAsia="zh-CN"/>
                <w14:textFill>
                  <w14:solidFill>
                    <w14:schemeClr w14:val="tx1"/>
                  </w14:solidFill>
                </w14:textFill>
              </w:rPr>
              <w:t>10</w:t>
            </w:r>
          </w:p>
        </w:tc>
        <w:tc>
          <w:tcPr>
            <w:tcW w:w="2239" w:type="dxa"/>
            <w:tcBorders>
              <w:top w:val="single" w:color="auto" w:sz="4" w:space="0"/>
              <w:left w:val="single" w:color="auto" w:sz="4" w:space="0"/>
              <w:bottom w:val="single" w:color="auto" w:sz="4" w:space="0"/>
              <w:right w:val="single" w:color="auto" w:sz="4" w:space="0"/>
            </w:tcBorders>
            <w:vAlign w:val="center"/>
          </w:tcPr>
          <w:p w14:paraId="2516AA52">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投标报价要求</w:t>
            </w:r>
          </w:p>
        </w:tc>
        <w:tc>
          <w:tcPr>
            <w:tcW w:w="7297" w:type="dxa"/>
            <w:tcBorders>
              <w:top w:val="single" w:color="auto" w:sz="4" w:space="0"/>
              <w:left w:val="single" w:color="auto" w:sz="4" w:space="0"/>
              <w:bottom w:val="single" w:color="auto" w:sz="4" w:space="0"/>
              <w:right w:val="single" w:color="auto" w:sz="4" w:space="0"/>
            </w:tcBorders>
            <w:vAlign w:val="center"/>
          </w:tcPr>
          <w:p w14:paraId="75E35872">
            <w:pPr>
              <w:keepNext w:val="0"/>
              <w:keepLines w:val="0"/>
              <w:pageBreakBefore w:val="0"/>
              <w:kinsoku/>
              <w:wordWrap/>
              <w:overflowPunct/>
              <w:topLinePunct w:val="0"/>
              <w:bidi w:val="0"/>
              <w:adjustRightInd/>
              <w:snapToGrid/>
              <w:spacing w:line="560" w:lineRule="exact"/>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t>最高限价：</w:t>
            </w:r>
            <w:r>
              <w:rPr>
                <w:rFonts w:hint="eastAsia" w:ascii="宋体" w:hAnsi="宋体" w:cs="宋体"/>
                <w:b/>
                <w:bCs/>
                <w:color w:val="000000" w:themeColor="text1"/>
                <w:sz w:val="28"/>
                <w:szCs w:val="28"/>
                <w:highlight w:val="none"/>
                <w:lang w:val="en-US" w:eastAsia="zh-CN"/>
                <w14:textFill>
                  <w14:solidFill>
                    <w14:schemeClr w14:val="tx1"/>
                  </w14:solidFill>
                </w14:textFill>
              </w:rPr>
              <w:t>20000</w:t>
            </w:r>
            <w:r>
              <w:rPr>
                <w:rFonts w:hint="eastAsia" w:ascii="宋体" w:hAnsi="宋体" w:eastAsia="宋体" w:cs="宋体"/>
                <w:b/>
                <w:bCs/>
                <w:color w:val="000000" w:themeColor="text1"/>
                <w:sz w:val="28"/>
                <w:szCs w:val="28"/>
                <w:highlight w:val="none"/>
                <w14:textFill>
                  <w14:solidFill>
                    <w14:schemeClr w14:val="tx1"/>
                  </w14:solidFill>
                </w14:textFill>
              </w:rPr>
              <w:t>元</w:t>
            </w:r>
          </w:p>
          <w:p w14:paraId="6126150A">
            <w:pPr>
              <w:keepNext w:val="0"/>
              <w:keepLines w:val="0"/>
              <w:pageBreakBefore w:val="0"/>
              <w:kinsoku/>
              <w:wordWrap/>
              <w:overflowPunct/>
              <w:topLinePunct w:val="0"/>
              <w:bidi w:val="0"/>
              <w:adjustRightInd/>
              <w:snapToGrid/>
              <w:spacing w:line="560" w:lineRule="exac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总</w:t>
            </w:r>
            <w:r>
              <w:rPr>
                <w:rFonts w:hint="eastAsia" w:ascii="宋体" w:hAnsi="宋体" w:cs="宋体"/>
                <w:color w:val="000000" w:themeColor="text1"/>
                <w:sz w:val="28"/>
                <w:szCs w:val="28"/>
                <w:highlight w:val="none"/>
                <w:lang w:eastAsia="zh-CN"/>
                <w14:textFill>
                  <w14:solidFill>
                    <w14:schemeClr w14:val="tx1"/>
                  </w14:solidFill>
                </w14:textFill>
              </w:rPr>
              <w:t>价</w:t>
            </w:r>
            <w:r>
              <w:rPr>
                <w:rFonts w:hint="eastAsia" w:ascii="宋体" w:hAnsi="宋体" w:eastAsia="宋体" w:cs="宋体"/>
                <w:color w:val="000000" w:themeColor="text1"/>
                <w:sz w:val="28"/>
                <w:szCs w:val="28"/>
                <w:highlight w:val="none"/>
                <w14:textFill>
                  <w14:solidFill>
                    <w14:schemeClr w14:val="tx1"/>
                  </w14:solidFill>
                </w14:textFill>
              </w:rPr>
              <w:t>报价且不得超过最高限价。</w:t>
            </w:r>
          </w:p>
          <w:p w14:paraId="499238A5">
            <w:pPr>
              <w:keepNext w:val="0"/>
              <w:keepLines w:val="0"/>
              <w:pageBreakBefore w:val="0"/>
              <w:kinsoku/>
              <w:wordWrap/>
              <w:overflowPunct/>
              <w:topLinePunct w:val="0"/>
              <w:bidi w:val="0"/>
              <w:adjustRightInd/>
              <w:snapToGrid/>
              <w:spacing w:line="560" w:lineRule="exact"/>
              <w:rPr>
                <w:rFonts w:hint="default"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注：本项目报价需包含完成本项目所需的全部费用（包括但不限于各设备运费、吊装、安装、调试、备件、耗材、税金等）</w:t>
            </w:r>
          </w:p>
        </w:tc>
      </w:tr>
      <w:tr w14:paraId="3C84EB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14:paraId="2E91F28F">
            <w:pPr>
              <w:keepNext w:val="0"/>
              <w:keepLines w:val="0"/>
              <w:pageBreakBefore w:val="0"/>
              <w:kinsoku/>
              <w:wordWrap/>
              <w:overflowPunct/>
              <w:topLinePunct w:val="0"/>
              <w:bidi w:val="0"/>
              <w:adjustRightInd/>
              <w:snapToGrid/>
              <w:spacing w:line="560" w:lineRule="exact"/>
              <w:jc w:val="center"/>
              <w:rPr>
                <w:rFonts w:hint="default"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cs="宋体"/>
                <w:color w:val="000000" w:themeColor="text1"/>
                <w:sz w:val="28"/>
                <w:szCs w:val="28"/>
                <w:highlight w:val="none"/>
                <w:lang w:val="en-US" w:eastAsia="zh-CN"/>
                <w14:textFill>
                  <w14:solidFill>
                    <w14:schemeClr w14:val="tx1"/>
                  </w14:solidFill>
                </w14:textFill>
              </w:rPr>
              <w:t>11</w:t>
            </w:r>
          </w:p>
        </w:tc>
        <w:tc>
          <w:tcPr>
            <w:tcW w:w="2239" w:type="dxa"/>
            <w:tcBorders>
              <w:top w:val="single" w:color="auto" w:sz="4" w:space="0"/>
              <w:left w:val="single" w:color="auto" w:sz="4" w:space="0"/>
              <w:bottom w:val="single" w:color="auto" w:sz="4" w:space="0"/>
              <w:right w:val="single" w:color="auto" w:sz="4" w:space="0"/>
            </w:tcBorders>
            <w:vAlign w:val="center"/>
          </w:tcPr>
          <w:p w14:paraId="1C507142">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投标有效期</w:t>
            </w:r>
          </w:p>
        </w:tc>
        <w:tc>
          <w:tcPr>
            <w:tcW w:w="7297" w:type="dxa"/>
            <w:tcBorders>
              <w:top w:val="single" w:color="auto" w:sz="4" w:space="0"/>
              <w:left w:val="single" w:color="auto" w:sz="4" w:space="0"/>
              <w:bottom w:val="single" w:color="auto" w:sz="4" w:space="0"/>
              <w:right w:val="single" w:color="auto" w:sz="4" w:space="0"/>
            </w:tcBorders>
            <w:vAlign w:val="center"/>
          </w:tcPr>
          <w:p w14:paraId="1D9A4077">
            <w:pPr>
              <w:keepNext w:val="0"/>
              <w:keepLines w:val="0"/>
              <w:pageBreakBefore w:val="0"/>
              <w:kinsoku/>
              <w:wordWrap/>
              <w:overflowPunct/>
              <w:topLinePunct w:val="0"/>
              <w:bidi w:val="0"/>
              <w:adjustRightInd/>
              <w:snapToGrid/>
              <w:spacing w:line="560" w:lineRule="exac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自投标截止之日起</w:t>
            </w:r>
            <w:r>
              <w:rPr>
                <w:rFonts w:hint="eastAsia" w:ascii="宋体" w:hAnsi="宋体" w:eastAsia="宋体" w:cs="宋体"/>
                <w:color w:val="000000" w:themeColor="text1"/>
                <w:sz w:val="28"/>
                <w:szCs w:val="28"/>
                <w:highlight w:val="none"/>
                <w:u w:val="single"/>
                <w14:textFill>
                  <w14:solidFill>
                    <w14:schemeClr w14:val="tx1"/>
                  </w14:solidFill>
                </w14:textFill>
              </w:rPr>
              <w:t xml:space="preserve">90日历天 </w:t>
            </w:r>
            <w:r>
              <w:rPr>
                <w:rFonts w:hint="eastAsia" w:ascii="宋体" w:hAnsi="宋体" w:eastAsia="宋体" w:cs="宋体"/>
                <w:color w:val="000000" w:themeColor="text1"/>
                <w:sz w:val="28"/>
                <w:szCs w:val="28"/>
                <w:highlight w:val="none"/>
                <w14:textFill>
                  <w14:solidFill>
                    <w14:schemeClr w14:val="tx1"/>
                  </w14:solidFill>
                </w14:textFill>
              </w:rPr>
              <w:t>。</w:t>
            </w:r>
          </w:p>
        </w:tc>
      </w:tr>
      <w:tr w14:paraId="7C7041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14:paraId="7E615326">
            <w:pPr>
              <w:keepNext w:val="0"/>
              <w:keepLines w:val="0"/>
              <w:pageBreakBefore w:val="0"/>
              <w:kinsoku/>
              <w:wordWrap/>
              <w:overflowPunct/>
              <w:topLinePunct w:val="0"/>
              <w:bidi w:val="0"/>
              <w:adjustRightInd/>
              <w:snapToGrid/>
              <w:spacing w:line="560" w:lineRule="exact"/>
              <w:jc w:val="center"/>
              <w:rPr>
                <w:rFonts w:hint="default"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cs="宋体"/>
                <w:color w:val="000000" w:themeColor="text1"/>
                <w:sz w:val="28"/>
                <w:szCs w:val="28"/>
                <w:highlight w:val="none"/>
                <w:lang w:val="en-US" w:eastAsia="zh-CN"/>
                <w14:textFill>
                  <w14:solidFill>
                    <w14:schemeClr w14:val="tx1"/>
                  </w14:solidFill>
                </w14:textFill>
              </w:rPr>
              <w:t>12</w:t>
            </w:r>
          </w:p>
        </w:tc>
        <w:tc>
          <w:tcPr>
            <w:tcW w:w="2239" w:type="dxa"/>
            <w:tcBorders>
              <w:top w:val="single" w:color="auto" w:sz="4" w:space="0"/>
              <w:left w:val="single" w:color="auto" w:sz="4" w:space="0"/>
              <w:bottom w:val="single" w:color="auto" w:sz="4" w:space="0"/>
              <w:right w:val="single" w:color="auto" w:sz="4" w:space="0"/>
            </w:tcBorders>
            <w:vAlign w:val="center"/>
          </w:tcPr>
          <w:p w14:paraId="3CF48384">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投标保证金金额</w:t>
            </w:r>
          </w:p>
        </w:tc>
        <w:tc>
          <w:tcPr>
            <w:tcW w:w="7297" w:type="dxa"/>
            <w:tcBorders>
              <w:top w:val="single" w:color="auto" w:sz="4" w:space="0"/>
              <w:left w:val="single" w:color="auto" w:sz="4" w:space="0"/>
              <w:bottom w:val="single" w:color="auto" w:sz="4" w:space="0"/>
              <w:right w:val="single" w:color="auto" w:sz="4" w:space="0"/>
            </w:tcBorders>
            <w:vAlign w:val="center"/>
          </w:tcPr>
          <w:p w14:paraId="0FDA2486">
            <w:pPr>
              <w:keepNext w:val="0"/>
              <w:keepLines w:val="0"/>
              <w:pageBreakBefore w:val="0"/>
              <w:kinsoku/>
              <w:wordWrap/>
              <w:overflowPunct/>
              <w:topLinePunct w:val="0"/>
              <w:autoSpaceDE w:val="0"/>
              <w:autoSpaceDN w:val="0"/>
              <w:bidi w:val="0"/>
              <w:adjustRightInd/>
              <w:snapToGrid/>
              <w:spacing w:line="560" w:lineRule="exact"/>
              <w:textAlignment w:val="bottom"/>
              <w:rPr>
                <w:rFonts w:hint="default" w:ascii="宋体" w:hAnsi="宋体" w:eastAsia="宋体" w:cs="宋体"/>
                <w:b/>
                <w:bCs/>
                <w:color w:val="000000" w:themeColor="text1"/>
                <w:sz w:val="28"/>
                <w:szCs w:val="28"/>
                <w:highlight w:val="none"/>
                <w:lang w:val="en-US" w:eastAsia="zh-CN"/>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t>投标保证金</w:t>
            </w:r>
            <w:r>
              <w:rPr>
                <w:rFonts w:hint="eastAsia" w:ascii="宋体" w:hAnsi="宋体" w:cs="宋体"/>
                <w:b/>
                <w:bCs/>
                <w:color w:val="000000" w:themeColor="text1"/>
                <w:sz w:val="28"/>
                <w:szCs w:val="28"/>
                <w:highlight w:val="none"/>
                <w:lang w:val="en-US" w:eastAsia="zh-CN"/>
                <w14:textFill>
                  <w14:solidFill>
                    <w14:schemeClr w14:val="tx1"/>
                  </w14:solidFill>
                </w14:textFill>
              </w:rPr>
              <w:t>缴纳方式：电汇、网银转账、保函等非现金形式缴纳</w:t>
            </w:r>
          </w:p>
          <w:p w14:paraId="7C400CF4">
            <w:pPr>
              <w:keepNext w:val="0"/>
              <w:keepLines w:val="0"/>
              <w:pageBreakBefore w:val="0"/>
              <w:kinsoku/>
              <w:wordWrap/>
              <w:overflowPunct/>
              <w:topLinePunct w:val="0"/>
              <w:autoSpaceDE w:val="0"/>
              <w:autoSpaceDN w:val="0"/>
              <w:bidi w:val="0"/>
              <w:adjustRightInd/>
              <w:snapToGrid/>
              <w:spacing w:line="560" w:lineRule="exact"/>
              <w:textAlignment w:val="bottom"/>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t>投标保证金金额：</w:t>
            </w:r>
            <w:r>
              <w:rPr>
                <w:rFonts w:hint="eastAsia" w:ascii="宋体" w:hAnsi="宋体" w:cs="宋体"/>
                <w:b/>
                <w:bCs/>
                <w:color w:val="000000" w:themeColor="text1"/>
                <w:sz w:val="28"/>
                <w:szCs w:val="28"/>
                <w:highlight w:val="none"/>
                <w:lang w:val="en-US" w:eastAsia="zh-CN"/>
                <w14:textFill>
                  <w14:solidFill>
                    <w14:schemeClr w14:val="tx1"/>
                  </w14:solidFill>
                </w14:textFill>
              </w:rPr>
              <w:t>400</w:t>
            </w:r>
            <w:r>
              <w:rPr>
                <w:rFonts w:hint="eastAsia" w:ascii="宋体" w:hAnsi="宋体" w:eastAsia="宋体" w:cs="宋体"/>
                <w:b/>
                <w:bCs/>
                <w:color w:val="000000" w:themeColor="text1"/>
                <w:sz w:val="28"/>
                <w:szCs w:val="28"/>
                <w:highlight w:val="none"/>
                <w14:textFill>
                  <w14:solidFill>
                    <w14:schemeClr w14:val="tx1"/>
                  </w14:solidFill>
                </w14:textFill>
              </w:rPr>
              <w:t>元(人民币</w:t>
            </w:r>
            <w:r>
              <w:rPr>
                <w:rFonts w:hint="eastAsia" w:ascii="宋体" w:hAnsi="宋体" w:cs="宋体"/>
                <w:b/>
                <w:bCs/>
                <w:color w:val="000000" w:themeColor="text1"/>
                <w:sz w:val="28"/>
                <w:szCs w:val="28"/>
                <w:highlight w:val="none"/>
                <w:lang w:val="en-US" w:eastAsia="zh-CN"/>
                <w14:textFill>
                  <w14:solidFill>
                    <w14:schemeClr w14:val="tx1"/>
                  </w14:solidFill>
                </w14:textFill>
              </w:rPr>
              <w:t>肆佰</w:t>
            </w:r>
            <w:r>
              <w:rPr>
                <w:rFonts w:hint="eastAsia" w:ascii="宋体" w:hAnsi="宋体" w:eastAsia="宋体" w:cs="宋体"/>
                <w:b/>
                <w:bCs/>
                <w:color w:val="000000" w:themeColor="text1"/>
                <w:sz w:val="28"/>
                <w:szCs w:val="28"/>
                <w:highlight w:val="none"/>
                <w14:textFill>
                  <w14:solidFill>
                    <w14:schemeClr w14:val="tx1"/>
                  </w14:solidFill>
                </w14:textFill>
              </w:rPr>
              <w:t>元整)</w:t>
            </w:r>
          </w:p>
          <w:p w14:paraId="7D263744">
            <w:pPr>
              <w:keepNext w:val="0"/>
              <w:keepLines w:val="0"/>
              <w:pageBreakBefore w:val="0"/>
              <w:kinsoku/>
              <w:wordWrap/>
              <w:overflowPunct/>
              <w:topLinePunct w:val="0"/>
              <w:autoSpaceDE w:val="0"/>
              <w:autoSpaceDN w:val="0"/>
              <w:bidi w:val="0"/>
              <w:adjustRightInd/>
              <w:snapToGrid/>
              <w:spacing w:line="560" w:lineRule="exact"/>
              <w:textAlignment w:val="bottom"/>
              <w:rPr>
                <w:rFonts w:hint="eastAsia" w:ascii="宋体" w:hAnsi="宋体" w:eastAsia="宋体" w:cs="宋体"/>
                <w:color w:val="000000" w:themeColor="text1"/>
                <w:sz w:val="28"/>
                <w:szCs w:val="28"/>
                <w:highlight w:val="none"/>
                <w:lang w:eastAsia="zh-CN"/>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单位名称：新疆诚誉工程项目管理有限公司哈密分公司</w:t>
            </w:r>
          </w:p>
          <w:p w14:paraId="3CA947F9">
            <w:pPr>
              <w:keepNext w:val="0"/>
              <w:keepLines w:val="0"/>
              <w:pageBreakBefore w:val="0"/>
              <w:kinsoku/>
              <w:wordWrap/>
              <w:overflowPunct/>
              <w:topLinePunct w:val="0"/>
              <w:autoSpaceDE w:val="0"/>
              <w:autoSpaceDN w:val="0"/>
              <w:bidi w:val="0"/>
              <w:adjustRightInd/>
              <w:snapToGrid/>
              <w:spacing w:line="560" w:lineRule="exact"/>
              <w:textAlignment w:val="bottom"/>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开户行：</w:t>
            </w:r>
            <w:r>
              <w:rPr>
                <w:rFonts w:hint="eastAsia" w:ascii="宋体" w:hAnsi="宋体" w:cs="宋体"/>
                <w:color w:val="000000" w:themeColor="text1"/>
                <w:sz w:val="28"/>
                <w:szCs w:val="28"/>
                <w:highlight w:val="none"/>
                <w:lang w:eastAsia="zh-CN"/>
                <w14:textFill>
                  <w14:solidFill>
                    <w14:schemeClr w14:val="tx1"/>
                  </w14:solidFill>
                </w14:textFill>
              </w:rPr>
              <w:t>中国银行股份有限公司哈密市分行</w:t>
            </w:r>
          </w:p>
          <w:p w14:paraId="19E0ABDF">
            <w:pPr>
              <w:keepNext w:val="0"/>
              <w:keepLines w:val="0"/>
              <w:pageBreakBefore w:val="0"/>
              <w:kinsoku/>
              <w:wordWrap/>
              <w:overflowPunct/>
              <w:topLinePunct w:val="0"/>
              <w:autoSpaceDE w:val="0"/>
              <w:autoSpaceDN w:val="0"/>
              <w:bidi w:val="0"/>
              <w:adjustRightInd/>
              <w:snapToGrid/>
              <w:spacing w:line="560" w:lineRule="exact"/>
              <w:textAlignment w:val="bottom"/>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账号：</w:t>
            </w:r>
            <w:r>
              <w:rPr>
                <w:rFonts w:hint="eastAsia" w:ascii="宋体" w:hAnsi="宋体" w:cs="宋体"/>
                <w:color w:val="000000" w:themeColor="text1"/>
                <w:sz w:val="28"/>
                <w:szCs w:val="28"/>
                <w:highlight w:val="none"/>
                <w:lang w:eastAsia="zh-CN"/>
                <w14:textFill>
                  <w14:solidFill>
                    <w14:schemeClr w14:val="tx1"/>
                  </w14:solidFill>
                </w14:textFill>
              </w:rPr>
              <w:t>107682200924</w:t>
            </w:r>
          </w:p>
          <w:p w14:paraId="60E13E0E">
            <w:pPr>
              <w:keepNext w:val="0"/>
              <w:keepLines w:val="0"/>
              <w:pageBreakBefore w:val="0"/>
              <w:kinsoku/>
              <w:wordWrap/>
              <w:overflowPunct/>
              <w:topLinePunct w:val="0"/>
              <w:autoSpaceDE w:val="0"/>
              <w:autoSpaceDN w:val="0"/>
              <w:bidi w:val="0"/>
              <w:adjustRightInd/>
              <w:snapToGrid/>
              <w:spacing w:line="560" w:lineRule="exact"/>
              <w:textAlignment w:val="bottom"/>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注：1、保证金必须从企业基本帐户缴纳至采购代理机构给定的基本账户。以个人、企业的办事处、分公司、子公司名义或从他人帐户、供应商企业的其他账户缴纳的保证金无效。注：。注：</w:t>
            </w:r>
            <w:r>
              <w:rPr>
                <w:rFonts w:hint="eastAsia" w:ascii="宋体" w:hAnsi="宋体" w:cs="宋体"/>
                <w:color w:val="000000" w:themeColor="text1"/>
                <w:sz w:val="28"/>
                <w:szCs w:val="28"/>
                <w:highlight w:val="none"/>
                <w:lang w:eastAsia="zh-CN"/>
                <w14:textFill>
                  <w14:solidFill>
                    <w14:schemeClr w14:val="tx1"/>
                  </w14:solidFill>
                </w14:textFill>
              </w:rPr>
              <w:t>打款时须注明项目名称、标项名称或标项号（可简写）。</w:t>
            </w:r>
            <w:r>
              <w:rPr>
                <w:rFonts w:hint="eastAsia" w:ascii="宋体" w:hAnsi="宋体" w:eastAsia="宋体" w:cs="宋体"/>
                <w:color w:val="000000" w:themeColor="text1"/>
                <w:sz w:val="28"/>
                <w:szCs w:val="28"/>
                <w:highlight w:val="none"/>
                <w14:textFill>
                  <w14:solidFill>
                    <w14:schemeClr w14:val="tx1"/>
                  </w14:solidFill>
                </w14:textFill>
              </w:rPr>
              <w:t>2、保证金必须在投标截止时间（开标时间）前缴纳至招标代理公司账户。供应商需自行评估因异地、跨行、公休日等因素造成的保证金到账延迟风险，并承担相应责任。</w:t>
            </w:r>
          </w:p>
          <w:p w14:paraId="629A49D1">
            <w:pPr>
              <w:keepNext w:val="0"/>
              <w:keepLines w:val="0"/>
              <w:pageBreakBefore w:val="0"/>
              <w:kinsoku/>
              <w:wordWrap/>
              <w:overflowPunct/>
              <w:topLinePunct w:val="0"/>
              <w:autoSpaceDE w:val="0"/>
              <w:autoSpaceDN w:val="0"/>
              <w:bidi w:val="0"/>
              <w:adjustRightInd/>
              <w:snapToGrid/>
              <w:spacing w:line="560" w:lineRule="exact"/>
              <w:textAlignment w:val="bottom"/>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3、到账截止时间：</w:t>
            </w:r>
            <w:r>
              <w:rPr>
                <w:rFonts w:hint="eastAsia" w:ascii="宋体" w:hAnsi="宋体" w:eastAsia="宋体" w:cs="宋体"/>
                <w:b/>
                <w:bCs/>
                <w:color w:val="000000" w:themeColor="text1"/>
                <w:sz w:val="28"/>
                <w:szCs w:val="28"/>
                <w:highlight w:val="none"/>
                <w:u w:val="single"/>
                <w14:textFill>
                  <w14:solidFill>
                    <w14:schemeClr w14:val="tx1"/>
                  </w14:solidFill>
                </w14:textFill>
              </w:rPr>
              <w:t>202</w:t>
            </w:r>
            <w:r>
              <w:rPr>
                <w:rFonts w:hint="eastAsia" w:ascii="宋体" w:hAnsi="宋体" w:cs="宋体"/>
                <w:b/>
                <w:bCs/>
                <w:color w:val="000000" w:themeColor="text1"/>
                <w:sz w:val="28"/>
                <w:szCs w:val="28"/>
                <w:highlight w:val="none"/>
                <w:u w:val="single"/>
                <w:lang w:val="en-US" w:eastAsia="zh-CN"/>
                <w14:textFill>
                  <w14:solidFill>
                    <w14:schemeClr w14:val="tx1"/>
                  </w14:solidFill>
                </w14:textFill>
              </w:rPr>
              <w:t>5</w:t>
            </w:r>
            <w:r>
              <w:rPr>
                <w:rFonts w:hint="eastAsia" w:ascii="宋体" w:hAnsi="宋体" w:eastAsia="宋体" w:cs="宋体"/>
                <w:b/>
                <w:bCs/>
                <w:color w:val="000000" w:themeColor="text1"/>
                <w:sz w:val="28"/>
                <w:szCs w:val="28"/>
                <w:highlight w:val="none"/>
                <w:u w:val="single"/>
                <w14:textFill>
                  <w14:solidFill>
                    <w14:schemeClr w14:val="tx1"/>
                  </w14:solidFill>
                </w14:textFill>
              </w:rPr>
              <w:t>年</w:t>
            </w:r>
            <w:r>
              <w:rPr>
                <w:rFonts w:hint="eastAsia" w:ascii="宋体" w:hAnsi="宋体" w:cs="宋体"/>
                <w:b/>
                <w:bCs/>
                <w:color w:val="000000" w:themeColor="text1"/>
                <w:sz w:val="28"/>
                <w:szCs w:val="28"/>
                <w:highlight w:val="none"/>
                <w:u w:val="single"/>
                <w:lang w:val="en-US" w:eastAsia="zh-CN"/>
                <w14:textFill>
                  <w14:solidFill>
                    <w14:schemeClr w14:val="tx1"/>
                  </w14:solidFill>
                </w14:textFill>
              </w:rPr>
              <w:t>07</w:t>
            </w:r>
            <w:r>
              <w:rPr>
                <w:rFonts w:hint="eastAsia" w:ascii="宋体" w:hAnsi="宋体" w:eastAsia="宋体" w:cs="宋体"/>
                <w:b/>
                <w:bCs/>
                <w:color w:val="000000" w:themeColor="text1"/>
                <w:sz w:val="28"/>
                <w:szCs w:val="28"/>
                <w:highlight w:val="none"/>
                <w:u w:val="single"/>
                <w14:textFill>
                  <w14:solidFill>
                    <w14:schemeClr w14:val="tx1"/>
                  </w14:solidFill>
                </w14:textFill>
              </w:rPr>
              <w:t>月</w:t>
            </w:r>
            <w:r>
              <w:rPr>
                <w:rFonts w:hint="eastAsia" w:ascii="宋体" w:hAnsi="宋体" w:cs="宋体"/>
                <w:b/>
                <w:bCs/>
                <w:color w:val="000000" w:themeColor="text1"/>
                <w:sz w:val="28"/>
                <w:szCs w:val="28"/>
                <w:highlight w:val="none"/>
                <w:u w:val="single"/>
                <w:lang w:val="en-US" w:eastAsia="zh-CN"/>
                <w14:textFill>
                  <w14:solidFill>
                    <w14:schemeClr w14:val="tx1"/>
                  </w14:solidFill>
                </w14:textFill>
              </w:rPr>
              <w:t>17</w:t>
            </w:r>
            <w:r>
              <w:rPr>
                <w:rFonts w:hint="eastAsia" w:ascii="宋体" w:hAnsi="宋体" w:eastAsia="宋体" w:cs="宋体"/>
                <w:b/>
                <w:bCs/>
                <w:color w:val="000000" w:themeColor="text1"/>
                <w:sz w:val="28"/>
                <w:szCs w:val="28"/>
                <w:highlight w:val="none"/>
                <w:u w:val="single"/>
                <w14:textFill>
                  <w14:solidFill>
                    <w14:schemeClr w14:val="tx1"/>
                  </w14:solidFill>
                </w14:textFill>
              </w:rPr>
              <w:t>日1</w:t>
            </w:r>
            <w:r>
              <w:rPr>
                <w:rFonts w:hint="eastAsia" w:ascii="宋体" w:hAnsi="宋体" w:cs="宋体"/>
                <w:b/>
                <w:bCs/>
                <w:color w:val="000000" w:themeColor="text1"/>
                <w:sz w:val="28"/>
                <w:szCs w:val="28"/>
                <w:highlight w:val="none"/>
                <w:u w:val="single"/>
                <w:lang w:val="en-US" w:eastAsia="zh-CN"/>
                <w14:textFill>
                  <w14:solidFill>
                    <w14:schemeClr w14:val="tx1"/>
                  </w14:solidFill>
                </w14:textFill>
              </w:rPr>
              <w:t>1</w:t>
            </w:r>
            <w:r>
              <w:rPr>
                <w:rFonts w:hint="eastAsia" w:ascii="宋体" w:hAnsi="宋体" w:eastAsia="宋体" w:cs="宋体"/>
                <w:b/>
                <w:bCs/>
                <w:color w:val="000000" w:themeColor="text1"/>
                <w:sz w:val="28"/>
                <w:szCs w:val="28"/>
                <w:highlight w:val="none"/>
                <w:u w:val="single"/>
                <w14:textFill>
                  <w14:solidFill>
                    <w14:schemeClr w14:val="tx1"/>
                  </w14:solidFill>
                </w14:textFill>
              </w:rPr>
              <w:t>点00分</w:t>
            </w:r>
            <w:r>
              <w:rPr>
                <w:rFonts w:hint="eastAsia" w:ascii="宋体" w:hAnsi="宋体" w:eastAsia="宋体" w:cs="宋体"/>
                <w:color w:val="000000" w:themeColor="text1"/>
                <w:sz w:val="28"/>
                <w:szCs w:val="28"/>
                <w:highlight w:val="none"/>
                <w14:textFill>
                  <w14:solidFill>
                    <w14:schemeClr w14:val="tx1"/>
                  </w14:solidFill>
                </w14:textFill>
              </w:rPr>
              <w:t>（北京时间）（以银行记录确认到账为准）。</w:t>
            </w:r>
          </w:p>
          <w:p w14:paraId="4BFE3B12">
            <w:pPr>
              <w:keepNext w:val="0"/>
              <w:keepLines w:val="0"/>
              <w:pageBreakBefore w:val="0"/>
              <w:kinsoku/>
              <w:wordWrap/>
              <w:overflowPunct/>
              <w:topLinePunct w:val="0"/>
              <w:autoSpaceDE w:val="0"/>
              <w:autoSpaceDN w:val="0"/>
              <w:bidi w:val="0"/>
              <w:adjustRightInd/>
              <w:snapToGrid/>
              <w:spacing w:line="560" w:lineRule="exact"/>
              <w:textAlignment w:val="bottom"/>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4、为简化手续，优化流程，采用电子支付方式提交保证金的，在退还时，按原路退回，收取时不开具收据，退还时也不要求提交收据。</w:t>
            </w:r>
          </w:p>
          <w:p w14:paraId="677B6385">
            <w:pPr>
              <w:keepNext w:val="0"/>
              <w:keepLines w:val="0"/>
              <w:pageBreakBefore w:val="0"/>
              <w:kinsoku/>
              <w:wordWrap/>
              <w:overflowPunct/>
              <w:topLinePunct w:val="0"/>
              <w:autoSpaceDE w:val="0"/>
              <w:autoSpaceDN w:val="0"/>
              <w:bidi w:val="0"/>
              <w:adjustRightInd/>
              <w:snapToGrid/>
              <w:spacing w:line="560" w:lineRule="exact"/>
              <w:textAlignment w:val="bottom"/>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5、采用电子保函形式应按以下要求办理：</w:t>
            </w:r>
          </w:p>
          <w:p w14:paraId="054624DD">
            <w:pPr>
              <w:keepNext w:val="0"/>
              <w:keepLines w:val="0"/>
              <w:pageBreakBefore w:val="0"/>
              <w:kinsoku/>
              <w:wordWrap/>
              <w:overflowPunct/>
              <w:topLinePunct w:val="0"/>
              <w:autoSpaceDE w:val="0"/>
              <w:autoSpaceDN w:val="0"/>
              <w:bidi w:val="0"/>
              <w:adjustRightInd/>
              <w:snapToGrid/>
              <w:spacing w:line="560" w:lineRule="exact"/>
              <w:textAlignment w:val="bottom"/>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（1）电子保函按照“一标段一保函”的原则。</w:t>
            </w:r>
          </w:p>
          <w:p w14:paraId="31C8CC3D">
            <w:pPr>
              <w:keepNext w:val="0"/>
              <w:keepLines w:val="0"/>
              <w:pageBreakBefore w:val="0"/>
              <w:kinsoku/>
              <w:wordWrap/>
              <w:overflowPunct/>
              <w:topLinePunct w:val="0"/>
              <w:autoSpaceDE w:val="0"/>
              <w:autoSpaceDN w:val="0"/>
              <w:bidi w:val="0"/>
              <w:adjustRightInd/>
              <w:snapToGrid/>
              <w:spacing w:line="560" w:lineRule="exact"/>
              <w:textAlignment w:val="bottom"/>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（2）电子保函须在招标文件规定的投标截止时间前办理完成。</w:t>
            </w:r>
          </w:p>
          <w:p w14:paraId="1E93CA30">
            <w:pPr>
              <w:keepNext w:val="0"/>
              <w:keepLines w:val="0"/>
              <w:pageBreakBefore w:val="0"/>
              <w:kinsoku/>
              <w:wordWrap/>
              <w:overflowPunct/>
              <w:topLinePunct w:val="0"/>
              <w:autoSpaceDE w:val="0"/>
              <w:autoSpaceDN w:val="0"/>
              <w:bidi w:val="0"/>
              <w:adjustRightInd/>
              <w:snapToGrid/>
              <w:spacing w:line="560" w:lineRule="exact"/>
              <w:textAlignment w:val="bottom"/>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（3）具体办理流程详见新疆政府采购网《新疆政府采购电子保函操作流程》。</w:t>
            </w:r>
          </w:p>
          <w:p w14:paraId="03A2D269">
            <w:pPr>
              <w:keepNext w:val="0"/>
              <w:keepLines w:val="0"/>
              <w:pageBreakBefore w:val="0"/>
              <w:kinsoku/>
              <w:wordWrap/>
              <w:overflowPunct/>
              <w:topLinePunct w:val="0"/>
              <w:autoSpaceDE w:val="0"/>
              <w:autoSpaceDN w:val="0"/>
              <w:bidi w:val="0"/>
              <w:adjustRightInd/>
              <w:snapToGrid/>
              <w:spacing w:line="560" w:lineRule="exact"/>
              <w:textAlignment w:val="bottom"/>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（4）供应商以保函形式缴纳投标保证金的，将电子投标保单作为电子响应文件组成部分在投标时一并提交。</w:t>
            </w:r>
          </w:p>
          <w:p w14:paraId="6C193D3D">
            <w:pPr>
              <w:pageBreakBefore w:val="0"/>
              <w:wordWrap/>
              <w:topLinePunct w:val="0"/>
              <w:bidi w:val="0"/>
              <w:spacing w:line="560" w:lineRule="exac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（备注：如采用电子保函形式缴纳的，在投标截止日之前须从新疆电子保函服务管理平台中确认是否生效。电子保函服务管理平台技术人员联系方式：95763。）</w:t>
            </w:r>
          </w:p>
        </w:tc>
      </w:tr>
      <w:tr w14:paraId="09F89C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14:paraId="528ED53B">
            <w:pPr>
              <w:keepNext w:val="0"/>
              <w:keepLines w:val="0"/>
              <w:pageBreakBefore w:val="0"/>
              <w:kinsoku/>
              <w:wordWrap/>
              <w:overflowPunct/>
              <w:topLinePunct w:val="0"/>
              <w:bidi w:val="0"/>
              <w:adjustRightInd/>
              <w:snapToGrid/>
              <w:spacing w:line="560" w:lineRule="exact"/>
              <w:jc w:val="center"/>
              <w:rPr>
                <w:rFonts w:hint="default"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cs="宋体"/>
                <w:color w:val="000000" w:themeColor="text1"/>
                <w:sz w:val="28"/>
                <w:szCs w:val="28"/>
                <w:highlight w:val="none"/>
                <w:lang w:val="en-US" w:eastAsia="zh-CN"/>
                <w14:textFill>
                  <w14:solidFill>
                    <w14:schemeClr w14:val="tx1"/>
                  </w14:solidFill>
                </w14:textFill>
              </w:rPr>
              <w:t>13</w:t>
            </w:r>
          </w:p>
        </w:tc>
        <w:tc>
          <w:tcPr>
            <w:tcW w:w="2239" w:type="dxa"/>
            <w:tcBorders>
              <w:top w:val="single" w:color="auto" w:sz="4" w:space="0"/>
              <w:left w:val="single" w:color="auto" w:sz="4" w:space="0"/>
              <w:bottom w:val="single" w:color="auto" w:sz="4" w:space="0"/>
              <w:right w:val="single" w:color="auto" w:sz="4" w:space="0"/>
            </w:tcBorders>
            <w:vAlign w:val="center"/>
          </w:tcPr>
          <w:p w14:paraId="5CDB83F4">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投标文件编制</w:t>
            </w:r>
          </w:p>
          <w:p w14:paraId="4D43FA85">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要求</w:t>
            </w:r>
          </w:p>
        </w:tc>
        <w:tc>
          <w:tcPr>
            <w:tcW w:w="7297" w:type="dxa"/>
            <w:tcBorders>
              <w:top w:val="single" w:color="auto" w:sz="4" w:space="0"/>
              <w:left w:val="single" w:color="auto" w:sz="4" w:space="0"/>
              <w:bottom w:val="single" w:color="auto" w:sz="4" w:space="0"/>
              <w:right w:val="single" w:color="auto" w:sz="4" w:space="0"/>
            </w:tcBorders>
            <w:vAlign w:val="center"/>
          </w:tcPr>
          <w:p w14:paraId="5E030490">
            <w:pPr>
              <w:keepNext w:val="0"/>
              <w:keepLines w:val="0"/>
              <w:pageBreakBefore w:val="0"/>
              <w:kinsoku/>
              <w:wordWrap/>
              <w:overflowPunct/>
              <w:topLinePunct w:val="0"/>
              <w:bidi w:val="0"/>
              <w:adjustRightInd/>
              <w:snapToGrid/>
              <w:spacing w:line="560" w:lineRule="exact"/>
              <w:rPr>
                <w:rFonts w:hint="eastAsia" w:ascii="宋体" w:hAnsi="宋体" w:eastAsia="宋体" w:cs="宋体"/>
                <w:b w:val="0"/>
                <w:bCs/>
                <w:color w:val="000000" w:themeColor="text1"/>
                <w:sz w:val="28"/>
                <w:szCs w:val="28"/>
                <w:highlight w:val="none"/>
                <w:u w:val="none"/>
                <w14:textFill>
                  <w14:solidFill>
                    <w14:schemeClr w14:val="tx1"/>
                  </w14:solidFill>
                </w14:textFill>
              </w:rPr>
            </w:pPr>
            <w:r>
              <w:rPr>
                <w:rFonts w:hint="eastAsia" w:ascii="宋体" w:hAnsi="宋体" w:eastAsia="宋体" w:cs="宋体"/>
                <w:b w:val="0"/>
                <w:bCs/>
                <w:color w:val="000000" w:themeColor="text1"/>
                <w:sz w:val="28"/>
                <w:szCs w:val="28"/>
                <w:highlight w:val="none"/>
                <w:u w:val="none"/>
                <w14:textFill>
                  <w14:solidFill>
                    <w14:schemeClr w14:val="tx1"/>
                  </w14:solidFill>
                </w14:textFill>
              </w:rPr>
              <w:t>投标文件应按报价文件、资格证明文件、商务</w:t>
            </w:r>
            <w:r>
              <w:rPr>
                <w:rFonts w:hint="eastAsia" w:ascii="宋体" w:hAnsi="宋体" w:eastAsia="宋体" w:cs="宋体"/>
                <w:b w:val="0"/>
                <w:bCs/>
                <w:color w:val="000000" w:themeColor="text1"/>
                <w:sz w:val="28"/>
                <w:szCs w:val="28"/>
                <w:highlight w:val="none"/>
                <w:u w:val="none"/>
                <w:lang w:eastAsia="zh-CN"/>
                <w14:textFill>
                  <w14:solidFill>
                    <w14:schemeClr w14:val="tx1"/>
                  </w14:solidFill>
                </w14:textFill>
              </w:rPr>
              <w:t>文件</w:t>
            </w:r>
            <w:r>
              <w:rPr>
                <w:rFonts w:hint="eastAsia" w:ascii="宋体" w:hAnsi="宋体" w:eastAsia="宋体" w:cs="宋体"/>
                <w:b w:val="0"/>
                <w:bCs/>
                <w:color w:val="000000" w:themeColor="text1"/>
                <w:sz w:val="28"/>
                <w:szCs w:val="28"/>
                <w:highlight w:val="none"/>
                <w:u w:val="none"/>
                <w14:textFill>
                  <w14:solidFill>
                    <w14:schemeClr w14:val="tx1"/>
                  </w14:solidFill>
                </w14:textFill>
              </w:rPr>
              <w:t>、技术文件分别编制，报价文件、资格证明文件分别生成电子文件，商务</w:t>
            </w:r>
            <w:r>
              <w:rPr>
                <w:rFonts w:hint="eastAsia" w:ascii="宋体" w:hAnsi="宋体" w:eastAsia="宋体" w:cs="宋体"/>
                <w:b w:val="0"/>
                <w:bCs/>
                <w:color w:val="000000" w:themeColor="text1"/>
                <w:sz w:val="28"/>
                <w:szCs w:val="28"/>
                <w:highlight w:val="none"/>
                <w:u w:val="none"/>
                <w:lang w:eastAsia="zh-CN"/>
                <w14:textFill>
                  <w14:solidFill>
                    <w14:schemeClr w14:val="tx1"/>
                  </w14:solidFill>
                </w14:textFill>
              </w:rPr>
              <w:t>文件</w:t>
            </w:r>
            <w:r>
              <w:rPr>
                <w:rFonts w:hint="eastAsia" w:ascii="宋体" w:hAnsi="宋体" w:eastAsia="宋体" w:cs="宋体"/>
                <w:b w:val="0"/>
                <w:bCs/>
                <w:color w:val="000000" w:themeColor="text1"/>
                <w:sz w:val="28"/>
                <w:szCs w:val="28"/>
                <w:highlight w:val="none"/>
                <w:u w:val="none"/>
                <w14:textFill>
                  <w14:solidFill>
                    <w14:schemeClr w14:val="tx1"/>
                  </w14:solidFill>
                </w14:textFill>
              </w:rPr>
              <w:t>、技术文件按顺序合并生成电子文件。电子版投标文件制作方式见招标公告。</w:t>
            </w:r>
          </w:p>
          <w:p w14:paraId="7AD57DE2">
            <w:pPr>
              <w:keepNext w:val="0"/>
              <w:keepLines w:val="0"/>
              <w:pageBreakBefore w:val="0"/>
              <w:kinsoku/>
              <w:wordWrap/>
              <w:overflowPunct/>
              <w:topLinePunct w:val="0"/>
              <w:bidi w:val="0"/>
              <w:adjustRightInd/>
              <w:snapToGrid/>
              <w:spacing w:line="560" w:lineRule="exact"/>
              <w:rPr>
                <w:rFonts w:hint="eastAsia" w:ascii="宋体" w:hAnsi="宋体" w:eastAsia="宋体" w:cs="宋体"/>
                <w:b/>
                <w:color w:val="000000" w:themeColor="text1"/>
                <w:sz w:val="28"/>
                <w:szCs w:val="28"/>
                <w:highlight w:val="none"/>
                <w:u w:val="single"/>
                <w14:textFill>
                  <w14:solidFill>
                    <w14:schemeClr w14:val="tx1"/>
                  </w14:solidFill>
                </w14:textFill>
              </w:rPr>
            </w:pPr>
            <w:r>
              <w:rPr>
                <w:rFonts w:hint="eastAsia" w:ascii="宋体" w:hAnsi="宋体" w:eastAsia="宋体" w:cs="宋体"/>
                <w:b/>
                <w:bCs w:val="0"/>
                <w:color w:val="000000" w:themeColor="text1"/>
                <w:sz w:val="28"/>
                <w:szCs w:val="28"/>
                <w:highlight w:val="none"/>
                <w:u w:val="none"/>
                <w14:textFill>
                  <w14:solidFill>
                    <w14:schemeClr w14:val="tx1"/>
                  </w14:solidFill>
                </w14:textFill>
              </w:rPr>
              <w:t>在开标结束后中标单位须向采购代理机构递交纸质响应文件</w:t>
            </w:r>
            <w:r>
              <w:rPr>
                <w:rFonts w:hint="eastAsia" w:ascii="宋体" w:hAnsi="宋体" w:cs="宋体"/>
                <w:b/>
                <w:bCs w:val="0"/>
                <w:color w:val="000000" w:themeColor="text1"/>
                <w:sz w:val="28"/>
                <w:szCs w:val="28"/>
                <w:highlight w:val="none"/>
                <w:u w:val="none"/>
                <w:lang w:eastAsia="zh-CN"/>
                <w14:textFill>
                  <w14:solidFill>
                    <w14:schemeClr w14:val="tx1"/>
                  </w14:solidFill>
                </w14:textFill>
              </w:rPr>
              <w:t>一</w:t>
            </w:r>
            <w:r>
              <w:rPr>
                <w:rFonts w:hint="eastAsia" w:ascii="宋体" w:hAnsi="宋体" w:eastAsia="宋体" w:cs="宋体"/>
                <w:b/>
                <w:bCs w:val="0"/>
                <w:color w:val="000000" w:themeColor="text1"/>
                <w:sz w:val="28"/>
                <w:szCs w:val="28"/>
                <w:highlight w:val="none"/>
                <w:u w:val="none"/>
                <w14:textFill>
                  <w14:solidFill>
                    <w14:schemeClr w14:val="tx1"/>
                  </w14:solidFill>
                </w14:textFill>
              </w:rPr>
              <w:t>份，印章齐全。</w:t>
            </w:r>
          </w:p>
        </w:tc>
      </w:tr>
      <w:tr w14:paraId="10630B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14:paraId="3B39E5B9">
            <w:pPr>
              <w:keepNext w:val="0"/>
              <w:keepLines w:val="0"/>
              <w:pageBreakBefore w:val="0"/>
              <w:kinsoku/>
              <w:wordWrap/>
              <w:overflowPunct/>
              <w:topLinePunct w:val="0"/>
              <w:bidi w:val="0"/>
              <w:adjustRightInd/>
              <w:snapToGrid/>
              <w:spacing w:line="560" w:lineRule="exact"/>
              <w:jc w:val="center"/>
              <w:rPr>
                <w:rFonts w:hint="default"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cs="宋体"/>
                <w:color w:val="000000" w:themeColor="text1"/>
                <w:sz w:val="28"/>
                <w:szCs w:val="28"/>
                <w:highlight w:val="none"/>
                <w:lang w:val="en-US" w:eastAsia="zh-CN"/>
                <w14:textFill>
                  <w14:solidFill>
                    <w14:schemeClr w14:val="tx1"/>
                  </w14:solidFill>
                </w14:textFill>
              </w:rPr>
              <w:t>14</w:t>
            </w:r>
          </w:p>
        </w:tc>
        <w:tc>
          <w:tcPr>
            <w:tcW w:w="2239" w:type="dxa"/>
            <w:tcBorders>
              <w:top w:val="single" w:color="auto" w:sz="4" w:space="0"/>
              <w:left w:val="single" w:color="auto" w:sz="4" w:space="0"/>
              <w:bottom w:val="single" w:color="auto" w:sz="4" w:space="0"/>
              <w:right w:val="single" w:color="auto" w:sz="4" w:space="0"/>
            </w:tcBorders>
            <w:vAlign w:val="center"/>
          </w:tcPr>
          <w:p w14:paraId="0AE3391C">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备份投标文件</w:t>
            </w:r>
          </w:p>
        </w:tc>
        <w:tc>
          <w:tcPr>
            <w:tcW w:w="7297" w:type="dxa"/>
            <w:tcBorders>
              <w:top w:val="single" w:color="auto" w:sz="4" w:space="0"/>
              <w:left w:val="single" w:color="auto" w:sz="4" w:space="0"/>
              <w:bottom w:val="single" w:color="auto" w:sz="4" w:space="0"/>
              <w:right w:val="single" w:color="auto" w:sz="4" w:space="0"/>
            </w:tcBorders>
            <w:vAlign w:val="center"/>
          </w:tcPr>
          <w:p w14:paraId="1B4C1FDA">
            <w:pPr>
              <w:keepNext w:val="0"/>
              <w:keepLines w:val="0"/>
              <w:pageBreakBefore w:val="0"/>
              <w:kinsoku/>
              <w:wordWrap/>
              <w:overflowPunct/>
              <w:topLinePunct w:val="0"/>
              <w:autoSpaceDE w:val="0"/>
              <w:autoSpaceDN w:val="0"/>
              <w:bidi w:val="0"/>
              <w:adjustRightInd/>
              <w:snapToGrid/>
              <w:spacing w:line="560" w:lineRule="exact"/>
              <w:textAlignment w:val="bottom"/>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本项目不接受备份投标文件。</w:t>
            </w:r>
          </w:p>
        </w:tc>
      </w:tr>
      <w:tr w14:paraId="6803F4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993" w:type="dxa"/>
            <w:vMerge w:val="restart"/>
            <w:tcBorders>
              <w:top w:val="single" w:color="auto" w:sz="4" w:space="0"/>
              <w:left w:val="single" w:color="auto" w:sz="4" w:space="0"/>
              <w:bottom w:val="nil"/>
              <w:right w:val="single" w:color="auto" w:sz="4" w:space="0"/>
            </w:tcBorders>
            <w:vAlign w:val="center"/>
          </w:tcPr>
          <w:p w14:paraId="726388CF">
            <w:pPr>
              <w:keepNext w:val="0"/>
              <w:keepLines w:val="0"/>
              <w:pageBreakBefore w:val="0"/>
              <w:kinsoku/>
              <w:wordWrap/>
              <w:overflowPunct/>
              <w:topLinePunct w:val="0"/>
              <w:bidi w:val="0"/>
              <w:adjustRightInd/>
              <w:snapToGrid/>
              <w:spacing w:line="560" w:lineRule="exact"/>
              <w:jc w:val="center"/>
              <w:rPr>
                <w:rFonts w:hint="default"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cs="宋体"/>
                <w:color w:val="000000" w:themeColor="text1"/>
                <w:sz w:val="28"/>
                <w:szCs w:val="28"/>
                <w:highlight w:val="none"/>
                <w:lang w:val="en-US" w:eastAsia="zh-CN"/>
                <w14:textFill>
                  <w14:solidFill>
                    <w14:schemeClr w14:val="tx1"/>
                  </w14:solidFill>
                </w14:textFill>
              </w:rPr>
              <w:t>15</w:t>
            </w:r>
          </w:p>
        </w:tc>
        <w:tc>
          <w:tcPr>
            <w:tcW w:w="2239" w:type="dxa"/>
            <w:tcBorders>
              <w:top w:val="single" w:color="auto" w:sz="4" w:space="0"/>
              <w:left w:val="single" w:color="auto" w:sz="4" w:space="0"/>
              <w:bottom w:val="single" w:color="auto" w:sz="4" w:space="0"/>
              <w:right w:val="single" w:color="auto" w:sz="4" w:space="0"/>
            </w:tcBorders>
            <w:vAlign w:val="center"/>
          </w:tcPr>
          <w:p w14:paraId="61C9BF6D">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投标截止时间</w:t>
            </w:r>
          </w:p>
        </w:tc>
        <w:tc>
          <w:tcPr>
            <w:tcW w:w="7297" w:type="dxa"/>
            <w:tcBorders>
              <w:top w:val="single" w:color="auto" w:sz="4" w:space="0"/>
              <w:left w:val="single" w:color="auto" w:sz="4" w:space="0"/>
              <w:bottom w:val="single" w:color="auto" w:sz="4" w:space="0"/>
              <w:right w:val="single" w:color="auto" w:sz="4" w:space="0"/>
            </w:tcBorders>
            <w:vAlign w:val="center"/>
          </w:tcPr>
          <w:p w14:paraId="3B6D85B4">
            <w:pPr>
              <w:keepNext w:val="0"/>
              <w:keepLines w:val="0"/>
              <w:pageBreakBefore w:val="0"/>
              <w:kinsoku/>
              <w:wordWrap/>
              <w:overflowPunct/>
              <w:topLinePunct w:val="0"/>
              <w:bidi w:val="0"/>
              <w:adjustRightInd/>
              <w:snapToGrid/>
              <w:spacing w:line="560" w:lineRule="exact"/>
              <w:rPr>
                <w:rFonts w:hint="eastAsia" w:ascii="宋体" w:hAnsi="宋体" w:eastAsia="宋体" w:cs="宋体"/>
                <w:color w:val="000000" w:themeColor="text1"/>
                <w:sz w:val="28"/>
                <w:szCs w:val="28"/>
                <w:highlight w:val="none"/>
                <w:u w:val="singl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详见招标公告</w:t>
            </w:r>
          </w:p>
        </w:tc>
      </w:tr>
      <w:tr w14:paraId="687BD0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993" w:type="dxa"/>
            <w:vMerge w:val="continue"/>
            <w:tcBorders>
              <w:top w:val="single" w:color="auto" w:sz="4" w:space="0"/>
              <w:left w:val="single" w:color="auto" w:sz="4" w:space="0"/>
              <w:bottom w:val="nil"/>
              <w:right w:val="single" w:color="auto" w:sz="4" w:space="0"/>
            </w:tcBorders>
            <w:vAlign w:val="center"/>
          </w:tcPr>
          <w:p w14:paraId="5489BC69">
            <w:pPr>
              <w:keepNext w:val="0"/>
              <w:keepLines w:val="0"/>
              <w:pageBreakBefore w:val="0"/>
              <w:widowControl/>
              <w:kinsoku/>
              <w:wordWrap/>
              <w:overflowPunct/>
              <w:topLinePunct w:val="0"/>
              <w:bidi w:val="0"/>
              <w:adjustRightInd/>
              <w:snapToGrid/>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2239" w:type="dxa"/>
            <w:tcBorders>
              <w:top w:val="single" w:color="auto" w:sz="4" w:space="0"/>
              <w:left w:val="single" w:color="auto" w:sz="4" w:space="0"/>
              <w:bottom w:val="single" w:color="auto" w:sz="4" w:space="0"/>
              <w:right w:val="single" w:color="auto" w:sz="4" w:space="0"/>
            </w:tcBorders>
            <w:vAlign w:val="center"/>
          </w:tcPr>
          <w:p w14:paraId="19BD28E7">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投标文件提交起止时间</w:t>
            </w:r>
          </w:p>
        </w:tc>
        <w:tc>
          <w:tcPr>
            <w:tcW w:w="7297" w:type="dxa"/>
            <w:tcBorders>
              <w:top w:val="single" w:color="auto" w:sz="4" w:space="0"/>
              <w:left w:val="single" w:color="auto" w:sz="4" w:space="0"/>
              <w:bottom w:val="single" w:color="auto" w:sz="4" w:space="0"/>
              <w:right w:val="single" w:color="auto" w:sz="4" w:space="0"/>
            </w:tcBorders>
            <w:vAlign w:val="center"/>
          </w:tcPr>
          <w:p w14:paraId="6B5A544E">
            <w:pPr>
              <w:keepNext w:val="0"/>
              <w:keepLines w:val="0"/>
              <w:pageBreakBefore w:val="0"/>
              <w:kinsoku/>
              <w:wordWrap/>
              <w:overflowPunct/>
              <w:topLinePunct w:val="0"/>
              <w:bidi w:val="0"/>
              <w:adjustRightInd/>
              <w:snapToGrid/>
              <w:spacing w:line="560" w:lineRule="exac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详见招标公告</w:t>
            </w:r>
          </w:p>
        </w:tc>
      </w:tr>
      <w:tr w14:paraId="295609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993" w:type="dxa"/>
            <w:vMerge w:val="continue"/>
            <w:tcBorders>
              <w:top w:val="single" w:color="auto" w:sz="4" w:space="0"/>
              <w:left w:val="single" w:color="auto" w:sz="4" w:space="0"/>
              <w:bottom w:val="nil"/>
              <w:right w:val="single" w:color="auto" w:sz="4" w:space="0"/>
            </w:tcBorders>
            <w:vAlign w:val="center"/>
          </w:tcPr>
          <w:p w14:paraId="5B089650">
            <w:pPr>
              <w:keepNext w:val="0"/>
              <w:keepLines w:val="0"/>
              <w:pageBreakBefore w:val="0"/>
              <w:widowControl/>
              <w:kinsoku/>
              <w:wordWrap/>
              <w:overflowPunct/>
              <w:topLinePunct w:val="0"/>
              <w:bidi w:val="0"/>
              <w:adjustRightInd/>
              <w:snapToGrid/>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2239" w:type="dxa"/>
            <w:tcBorders>
              <w:top w:val="single" w:color="auto" w:sz="4" w:space="0"/>
              <w:left w:val="single" w:color="auto" w:sz="4" w:space="0"/>
              <w:bottom w:val="single" w:color="auto" w:sz="4" w:space="0"/>
              <w:right w:val="single" w:color="auto" w:sz="4" w:space="0"/>
            </w:tcBorders>
            <w:vAlign w:val="center"/>
          </w:tcPr>
          <w:p w14:paraId="2EBE75FC">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投标地点</w:t>
            </w:r>
          </w:p>
        </w:tc>
        <w:tc>
          <w:tcPr>
            <w:tcW w:w="7297" w:type="dxa"/>
            <w:tcBorders>
              <w:top w:val="single" w:color="auto" w:sz="4" w:space="0"/>
              <w:left w:val="single" w:color="auto" w:sz="4" w:space="0"/>
              <w:bottom w:val="single" w:color="auto" w:sz="4" w:space="0"/>
              <w:right w:val="single" w:color="auto" w:sz="4" w:space="0"/>
            </w:tcBorders>
            <w:vAlign w:val="center"/>
          </w:tcPr>
          <w:p w14:paraId="5866DCE1">
            <w:pPr>
              <w:keepNext w:val="0"/>
              <w:keepLines w:val="0"/>
              <w:pageBreakBefore w:val="0"/>
              <w:kinsoku/>
              <w:wordWrap/>
              <w:overflowPunct/>
              <w:topLinePunct w:val="0"/>
              <w:bidi w:val="0"/>
              <w:adjustRightInd/>
              <w:snapToGrid/>
              <w:spacing w:line="560" w:lineRule="exac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新疆政府采购网（http://www.ccgp-xinjiang.gov.cn）政采云投标客户端投标</w:t>
            </w:r>
          </w:p>
        </w:tc>
      </w:tr>
      <w:tr w14:paraId="41A225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993" w:type="dxa"/>
            <w:vMerge w:val="continue"/>
            <w:tcBorders>
              <w:top w:val="single" w:color="auto" w:sz="4" w:space="0"/>
              <w:left w:val="single" w:color="auto" w:sz="4" w:space="0"/>
              <w:bottom w:val="nil"/>
              <w:right w:val="single" w:color="auto" w:sz="4" w:space="0"/>
            </w:tcBorders>
            <w:vAlign w:val="center"/>
          </w:tcPr>
          <w:p w14:paraId="669AA588">
            <w:pPr>
              <w:keepNext w:val="0"/>
              <w:keepLines w:val="0"/>
              <w:pageBreakBefore w:val="0"/>
              <w:widowControl/>
              <w:kinsoku/>
              <w:wordWrap/>
              <w:overflowPunct/>
              <w:topLinePunct w:val="0"/>
              <w:bidi w:val="0"/>
              <w:adjustRightInd/>
              <w:snapToGrid/>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2239" w:type="dxa"/>
            <w:tcBorders>
              <w:top w:val="single" w:color="auto" w:sz="4" w:space="0"/>
              <w:left w:val="single" w:color="auto" w:sz="4" w:space="0"/>
              <w:bottom w:val="single" w:color="auto" w:sz="4" w:space="0"/>
              <w:right w:val="single" w:color="auto" w:sz="4" w:space="0"/>
            </w:tcBorders>
            <w:vAlign w:val="center"/>
          </w:tcPr>
          <w:p w14:paraId="77F78BD9">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lang w:eastAsia="zh-CN"/>
                <w14:textFill>
                  <w14:solidFill>
                    <w14:schemeClr w14:val="tx1"/>
                  </w14:solidFill>
                </w14:textFill>
              </w:rPr>
              <w:t>供应商</w:t>
            </w:r>
            <w:r>
              <w:rPr>
                <w:rFonts w:hint="eastAsia" w:ascii="宋体" w:hAnsi="宋体" w:eastAsia="宋体" w:cs="宋体"/>
                <w:color w:val="000000" w:themeColor="text1"/>
                <w:sz w:val="28"/>
                <w:szCs w:val="28"/>
                <w:highlight w:val="none"/>
                <w14:textFill>
                  <w14:solidFill>
                    <w14:schemeClr w14:val="tx1"/>
                  </w14:solidFill>
                </w14:textFill>
              </w:rPr>
              <w:t>递交投标样品截止时间及地点</w:t>
            </w:r>
          </w:p>
        </w:tc>
        <w:tc>
          <w:tcPr>
            <w:tcW w:w="7297" w:type="dxa"/>
            <w:tcBorders>
              <w:top w:val="single" w:color="auto" w:sz="4" w:space="0"/>
              <w:left w:val="single" w:color="auto" w:sz="4" w:space="0"/>
              <w:bottom w:val="single" w:color="auto" w:sz="4" w:space="0"/>
              <w:right w:val="single" w:color="auto" w:sz="4" w:space="0"/>
            </w:tcBorders>
            <w:vAlign w:val="center"/>
          </w:tcPr>
          <w:p w14:paraId="67BA8A3F">
            <w:pPr>
              <w:keepNext w:val="0"/>
              <w:keepLines w:val="0"/>
              <w:pageBreakBefore w:val="0"/>
              <w:kinsoku/>
              <w:wordWrap/>
              <w:overflowPunct/>
              <w:topLinePunct w:val="0"/>
              <w:bidi w:val="0"/>
              <w:adjustRightInd/>
              <w:snapToGrid/>
              <w:spacing w:line="560" w:lineRule="exac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无</w:t>
            </w:r>
          </w:p>
        </w:tc>
      </w:tr>
      <w:tr w14:paraId="55A1FA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81" w:hRule="atLeast"/>
        </w:trPr>
        <w:tc>
          <w:tcPr>
            <w:tcW w:w="993" w:type="dxa"/>
            <w:tcBorders>
              <w:top w:val="single" w:color="auto" w:sz="4" w:space="0"/>
              <w:left w:val="single" w:color="auto" w:sz="4" w:space="0"/>
              <w:bottom w:val="single" w:color="auto" w:sz="4" w:space="0"/>
              <w:right w:val="single" w:color="auto" w:sz="4" w:space="0"/>
            </w:tcBorders>
            <w:vAlign w:val="center"/>
          </w:tcPr>
          <w:p w14:paraId="33F1A7C6">
            <w:pPr>
              <w:keepNext w:val="0"/>
              <w:keepLines w:val="0"/>
              <w:pageBreakBefore w:val="0"/>
              <w:kinsoku/>
              <w:wordWrap/>
              <w:overflowPunct/>
              <w:topLinePunct w:val="0"/>
              <w:bidi w:val="0"/>
              <w:adjustRightInd/>
              <w:snapToGrid/>
              <w:spacing w:line="560" w:lineRule="exact"/>
              <w:jc w:val="center"/>
              <w:rPr>
                <w:rFonts w:hint="default"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cs="宋体"/>
                <w:color w:val="000000" w:themeColor="text1"/>
                <w:sz w:val="28"/>
                <w:szCs w:val="28"/>
                <w:highlight w:val="none"/>
                <w:lang w:val="en-US" w:eastAsia="zh-CN"/>
                <w14:textFill>
                  <w14:solidFill>
                    <w14:schemeClr w14:val="tx1"/>
                  </w14:solidFill>
                </w14:textFill>
              </w:rPr>
              <w:t>16</w:t>
            </w:r>
          </w:p>
        </w:tc>
        <w:tc>
          <w:tcPr>
            <w:tcW w:w="2239" w:type="dxa"/>
            <w:tcBorders>
              <w:top w:val="single" w:color="auto" w:sz="4" w:space="0"/>
              <w:left w:val="single" w:color="auto" w:sz="4" w:space="0"/>
              <w:bottom w:val="single" w:color="auto" w:sz="4" w:space="0"/>
              <w:right w:val="single" w:color="auto" w:sz="4" w:space="0"/>
            </w:tcBorders>
            <w:vAlign w:val="center"/>
          </w:tcPr>
          <w:p w14:paraId="233B3026">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开标时间、地点</w:t>
            </w:r>
          </w:p>
        </w:tc>
        <w:tc>
          <w:tcPr>
            <w:tcW w:w="7297" w:type="dxa"/>
            <w:tcBorders>
              <w:top w:val="single" w:color="auto" w:sz="4" w:space="0"/>
              <w:left w:val="single" w:color="auto" w:sz="4" w:space="0"/>
              <w:bottom w:val="single" w:color="auto" w:sz="4" w:space="0"/>
              <w:right w:val="single" w:color="auto" w:sz="4" w:space="0"/>
            </w:tcBorders>
            <w:vAlign w:val="center"/>
          </w:tcPr>
          <w:p w14:paraId="0C2BD32D">
            <w:pPr>
              <w:keepNext w:val="0"/>
              <w:keepLines w:val="0"/>
              <w:pageBreakBefore w:val="0"/>
              <w:kinsoku/>
              <w:wordWrap/>
              <w:overflowPunct/>
              <w:topLinePunct w:val="0"/>
              <w:bidi w:val="0"/>
              <w:adjustRightInd/>
              <w:snapToGrid/>
              <w:spacing w:line="560" w:lineRule="exac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u w:val="single"/>
                <w14:textFill>
                  <w14:solidFill>
                    <w14:schemeClr w14:val="tx1"/>
                  </w14:solidFill>
                </w14:textFill>
              </w:rPr>
              <w:t>202</w:t>
            </w:r>
            <w:r>
              <w:rPr>
                <w:rFonts w:hint="eastAsia" w:ascii="宋体" w:hAnsi="宋体" w:cs="宋体"/>
                <w:b/>
                <w:bCs/>
                <w:color w:val="000000" w:themeColor="text1"/>
                <w:sz w:val="28"/>
                <w:szCs w:val="28"/>
                <w:highlight w:val="none"/>
                <w:u w:val="single"/>
                <w:lang w:val="en-US" w:eastAsia="zh-CN"/>
                <w14:textFill>
                  <w14:solidFill>
                    <w14:schemeClr w14:val="tx1"/>
                  </w14:solidFill>
                </w14:textFill>
              </w:rPr>
              <w:t>5</w:t>
            </w:r>
            <w:r>
              <w:rPr>
                <w:rFonts w:hint="eastAsia" w:ascii="宋体" w:hAnsi="宋体" w:eastAsia="宋体" w:cs="宋体"/>
                <w:b/>
                <w:bCs/>
                <w:color w:val="000000" w:themeColor="text1"/>
                <w:sz w:val="28"/>
                <w:szCs w:val="28"/>
                <w:highlight w:val="none"/>
                <w:u w:val="single"/>
                <w14:textFill>
                  <w14:solidFill>
                    <w14:schemeClr w14:val="tx1"/>
                  </w14:solidFill>
                </w14:textFill>
              </w:rPr>
              <w:t>年</w:t>
            </w:r>
            <w:r>
              <w:rPr>
                <w:rFonts w:hint="eastAsia" w:ascii="宋体" w:hAnsi="宋体" w:cs="宋体"/>
                <w:b/>
                <w:bCs/>
                <w:color w:val="000000" w:themeColor="text1"/>
                <w:sz w:val="28"/>
                <w:szCs w:val="28"/>
                <w:highlight w:val="none"/>
                <w:u w:val="single"/>
                <w:lang w:val="en-US" w:eastAsia="zh-CN"/>
                <w14:textFill>
                  <w14:solidFill>
                    <w14:schemeClr w14:val="tx1"/>
                  </w14:solidFill>
                </w14:textFill>
              </w:rPr>
              <w:t>07</w:t>
            </w:r>
            <w:r>
              <w:rPr>
                <w:rFonts w:hint="eastAsia" w:ascii="宋体" w:hAnsi="宋体" w:eastAsia="宋体" w:cs="宋体"/>
                <w:b/>
                <w:bCs/>
                <w:color w:val="000000" w:themeColor="text1"/>
                <w:sz w:val="28"/>
                <w:szCs w:val="28"/>
                <w:highlight w:val="none"/>
                <w:u w:val="single"/>
                <w14:textFill>
                  <w14:solidFill>
                    <w14:schemeClr w14:val="tx1"/>
                  </w14:solidFill>
                </w14:textFill>
              </w:rPr>
              <w:t>月</w:t>
            </w:r>
            <w:r>
              <w:rPr>
                <w:rFonts w:hint="eastAsia" w:ascii="宋体" w:hAnsi="宋体" w:cs="宋体"/>
                <w:b/>
                <w:bCs/>
                <w:color w:val="000000" w:themeColor="text1"/>
                <w:sz w:val="28"/>
                <w:szCs w:val="28"/>
                <w:highlight w:val="none"/>
                <w:u w:val="single"/>
                <w:lang w:val="en-US" w:eastAsia="zh-CN"/>
                <w14:textFill>
                  <w14:solidFill>
                    <w14:schemeClr w14:val="tx1"/>
                  </w14:solidFill>
                </w14:textFill>
              </w:rPr>
              <w:t>17</w:t>
            </w:r>
            <w:r>
              <w:rPr>
                <w:rFonts w:hint="eastAsia" w:ascii="宋体" w:hAnsi="宋体" w:eastAsia="宋体" w:cs="宋体"/>
                <w:b/>
                <w:bCs/>
                <w:color w:val="000000" w:themeColor="text1"/>
                <w:sz w:val="28"/>
                <w:szCs w:val="28"/>
                <w:highlight w:val="none"/>
                <w:u w:val="single"/>
                <w14:textFill>
                  <w14:solidFill>
                    <w14:schemeClr w14:val="tx1"/>
                  </w14:solidFill>
                </w14:textFill>
              </w:rPr>
              <w:t>日1</w:t>
            </w:r>
            <w:r>
              <w:rPr>
                <w:rFonts w:hint="eastAsia" w:ascii="宋体" w:hAnsi="宋体" w:cs="宋体"/>
                <w:b/>
                <w:bCs/>
                <w:color w:val="000000" w:themeColor="text1"/>
                <w:sz w:val="28"/>
                <w:szCs w:val="28"/>
                <w:highlight w:val="none"/>
                <w:u w:val="single"/>
                <w:lang w:val="en-US" w:eastAsia="zh-CN"/>
                <w14:textFill>
                  <w14:solidFill>
                    <w14:schemeClr w14:val="tx1"/>
                  </w14:solidFill>
                </w14:textFill>
              </w:rPr>
              <w:t>1</w:t>
            </w:r>
            <w:r>
              <w:rPr>
                <w:rFonts w:hint="eastAsia" w:ascii="宋体" w:hAnsi="宋体" w:eastAsia="宋体" w:cs="宋体"/>
                <w:b/>
                <w:bCs/>
                <w:color w:val="000000" w:themeColor="text1"/>
                <w:sz w:val="28"/>
                <w:szCs w:val="28"/>
                <w:highlight w:val="none"/>
                <w:u w:val="single"/>
                <w14:textFill>
                  <w14:solidFill>
                    <w14:schemeClr w14:val="tx1"/>
                  </w14:solidFill>
                </w14:textFill>
              </w:rPr>
              <w:t>点00分</w:t>
            </w:r>
            <w:r>
              <w:rPr>
                <w:rFonts w:hint="eastAsia" w:ascii="宋体" w:hAnsi="宋体" w:eastAsia="宋体" w:cs="宋体"/>
                <w:color w:val="000000" w:themeColor="text1"/>
                <w:sz w:val="28"/>
                <w:szCs w:val="28"/>
                <w:highlight w:val="none"/>
                <w14:textFill>
                  <w14:solidFill>
                    <w14:schemeClr w14:val="tx1"/>
                  </w14:solidFill>
                </w14:textFill>
              </w:rPr>
              <w:t>（北京时间）</w:t>
            </w:r>
          </w:p>
          <w:p w14:paraId="049EA268">
            <w:pPr>
              <w:keepNext w:val="0"/>
              <w:keepLines w:val="0"/>
              <w:pageBreakBefore w:val="0"/>
              <w:kinsoku/>
              <w:wordWrap/>
              <w:overflowPunct/>
              <w:topLinePunct w:val="0"/>
              <w:bidi w:val="0"/>
              <w:adjustRightInd/>
              <w:snapToGrid/>
              <w:spacing w:line="560" w:lineRule="exac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新疆政府采购网（http://www.ccgp-xinjiang.gov.cn）政采云平台</w:t>
            </w:r>
          </w:p>
        </w:tc>
      </w:tr>
      <w:tr w14:paraId="5ECCAC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8" w:hRule="atLeast"/>
        </w:trPr>
        <w:tc>
          <w:tcPr>
            <w:tcW w:w="993" w:type="dxa"/>
            <w:vMerge w:val="restart"/>
            <w:tcBorders>
              <w:top w:val="single" w:color="auto" w:sz="4" w:space="0"/>
              <w:left w:val="single" w:color="auto" w:sz="4" w:space="0"/>
              <w:bottom w:val="single" w:color="auto" w:sz="4" w:space="0"/>
              <w:right w:val="single" w:color="auto" w:sz="4" w:space="0"/>
            </w:tcBorders>
            <w:vAlign w:val="center"/>
          </w:tcPr>
          <w:p w14:paraId="0FDE1F9E">
            <w:pPr>
              <w:keepNext w:val="0"/>
              <w:keepLines w:val="0"/>
              <w:pageBreakBefore w:val="0"/>
              <w:kinsoku/>
              <w:wordWrap/>
              <w:overflowPunct/>
              <w:topLinePunct w:val="0"/>
              <w:bidi w:val="0"/>
              <w:adjustRightInd/>
              <w:snapToGrid/>
              <w:spacing w:line="560" w:lineRule="exact"/>
              <w:jc w:val="center"/>
              <w:rPr>
                <w:rFonts w:hint="default"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cs="宋体"/>
                <w:color w:val="000000" w:themeColor="text1"/>
                <w:sz w:val="28"/>
                <w:szCs w:val="28"/>
                <w:highlight w:val="none"/>
                <w:lang w:val="en-US" w:eastAsia="zh-CN"/>
                <w14:textFill>
                  <w14:solidFill>
                    <w14:schemeClr w14:val="tx1"/>
                  </w14:solidFill>
                </w14:textFill>
              </w:rPr>
              <w:t>17</w:t>
            </w:r>
          </w:p>
        </w:tc>
        <w:tc>
          <w:tcPr>
            <w:tcW w:w="2239" w:type="dxa"/>
            <w:tcBorders>
              <w:top w:val="single" w:color="auto" w:sz="4" w:space="0"/>
              <w:left w:val="single" w:color="auto" w:sz="4" w:space="0"/>
              <w:bottom w:val="single" w:color="auto" w:sz="4" w:space="0"/>
              <w:right w:val="single" w:color="auto" w:sz="4" w:space="0"/>
            </w:tcBorders>
            <w:vAlign w:val="center"/>
          </w:tcPr>
          <w:p w14:paraId="32EDF7E6">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lang w:eastAsia="zh-CN"/>
                <w14:textFill>
                  <w14:solidFill>
                    <w14:schemeClr w14:val="tx1"/>
                  </w14:solidFill>
                </w14:textFill>
              </w:rPr>
              <w:t>供应商</w:t>
            </w:r>
            <w:r>
              <w:rPr>
                <w:rFonts w:hint="eastAsia" w:ascii="宋体" w:hAnsi="宋体" w:eastAsia="宋体" w:cs="宋体"/>
                <w:color w:val="000000" w:themeColor="text1"/>
                <w:sz w:val="28"/>
                <w:szCs w:val="28"/>
                <w:highlight w:val="none"/>
                <w14:textFill>
                  <w14:solidFill>
                    <w14:schemeClr w14:val="tx1"/>
                  </w14:solidFill>
                </w14:textFill>
              </w:rPr>
              <w:t>信用查询渠道</w:t>
            </w:r>
          </w:p>
        </w:tc>
        <w:tc>
          <w:tcPr>
            <w:tcW w:w="7297" w:type="dxa"/>
            <w:tcBorders>
              <w:top w:val="single" w:color="auto" w:sz="4" w:space="0"/>
              <w:left w:val="single" w:color="auto" w:sz="4" w:space="0"/>
              <w:bottom w:val="single" w:color="auto" w:sz="4" w:space="0"/>
              <w:right w:val="single" w:color="auto" w:sz="4" w:space="0"/>
            </w:tcBorders>
            <w:vAlign w:val="center"/>
          </w:tcPr>
          <w:p w14:paraId="5107B0E8">
            <w:pPr>
              <w:keepNext w:val="0"/>
              <w:keepLines w:val="0"/>
              <w:pageBreakBefore w:val="0"/>
              <w:kinsoku/>
              <w:wordWrap/>
              <w:overflowPunct/>
              <w:topLinePunct w:val="0"/>
              <w:bidi w:val="0"/>
              <w:adjustRightInd/>
              <w:snapToGrid/>
              <w:spacing w:line="560" w:lineRule="exac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查询渠道：“信用中国”网站(www.creditchina.gov.cn) 、中国政府采购网(www.ccgp.gov.cn)。</w:t>
            </w:r>
          </w:p>
        </w:tc>
      </w:tr>
      <w:tr w14:paraId="0B0515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993" w:type="dxa"/>
            <w:vMerge w:val="continue"/>
            <w:tcBorders>
              <w:top w:val="single" w:color="auto" w:sz="4" w:space="0"/>
              <w:left w:val="single" w:color="auto" w:sz="4" w:space="0"/>
              <w:bottom w:val="single" w:color="auto" w:sz="4" w:space="0"/>
              <w:right w:val="single" w:color="auto" w:sz="4" w:space="0"/>
            </w:tcBorders>
            <w:vAlign w:val="center"/>
          </w:tcPr>
          <w:p w14:paraId="67AD93AA">
            <w:pPr>
              <w:keepNext w:val="0"/>
              <w:keepLines w:val="0"/>
              <w:pageBreakBefore w:val="0"/>
              <w:widowControl/>
              <w:kinsoku/>
              <w:wordWrap/>
              <w:overflowPunct/>
              <w:topLinePunct w:val="0"/>
              <w:bidi w:val="0"/>
              <w:adjustRightInd/>
              <w:snapToGrid/>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2239" w:type="dxa"/>
            <w:tcBorders>
              <w:top w:val="single" w:color="auto" w:sz="4" w:space="0"/>
              <w:left w:val="single" w:color="auto" w:sz="4" w:space="0"/>
              <w:bottom w:val="single" w:color="auto" w:sz="4" w:space="0"/>
              <w:right w:val="single" w:color="auto" w:sz="4" w:space="0"/>
            </w:tcBorders>
            <w:vAlign w:val="center"/>
          </w:tcPr>
          <w:p w14:paraId="581A802E">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信用信息</w:t>
            </w:r>
          </w:p>
          <w:p w14:paraId="040EE8DC">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使用规则</w:t>
            </w:r>
          </w:p>
        </w:tc>
        <w:tc>
          <w:tcPr>
            <w:tcW w:w="7297" w:type="dxa"/>
            <w:tcBorders>
              <w:top w:val="single" w:color="auto" w:sz="4" w:space="0"/>
              <w:left w:val="single" w:color="auto" w:sz="4" w:space="0"/>
              <w:bottom w:val="single" w:color="auto" w:sz="4" w:space="0"/>
              <w:right w:val="single" w:color="auto" w:sz="4" w:space="0"/>
            </w:tcBorders>
            <w:vAlign w:val="center"/>
          </w:tcPr>
          <w:p w14:paraId="5436B323">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lang w:val="en-US" w:eastAsia="zh-CN"/>
                <w14:textFill>
                  <w14:solidFill>
                    <w14:schemeClr w14:val="tx1"/>
                  </w14:solidFill>
                </w14:textFill>
              </w:rPr>
              <w:t>1</w:t>
            </w:r>
            <w:r>
              <w:rPr>
                <w:rFonts w:hint="eastAsia" w:ascii="宋体" w:hAnsi="宋体" w:eastAsia="宋体" w:cs="宋体"/>
                <w:color w:val="000000" w:themeColor="text1"/>
                <w:sz w:val="28"/>
                <w:szCs w:val="28"/>
                <w:highlight w:val="none"/>
                <w14:textFill>
                  <w14:solidFill>
                    <w14:schemeClr w14:val="tx1"/>
                  </w14:solidFill>
                </w14:textFill>
              </w:rPr>
              <w:t>、根据《关于在政府采购活动中查询及使用信用记录有关问题的通知》(财库(2016)125号)的规定，对被列入“失信被执行人”“重大税收违法失信主体”的供应商，拒绝参与本项目政府采购活动。</w:t>
            </w:r>
          </w:p>
          <w:p w14:paraId="4FFFE834">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lang w:val="en-US" w:eastAsia="zh-CN"/>
                <w14:textFill>
                  <w14:solidFill>
                    <w14:schemeClr w14:val="tx1"/>
                  </w14:solidFill>
                </w14:textFill>
              </w:rPr>
              <w:t>2</w:t>
            </w:r>
            <w:r>
              <w:rPr>
                <w:rFonts w:hint="eastAsia" w:ascii="宋体" w:hAnsi="宋体" w:eastAsia="宋体" w:cs="宋体"/>
                <w:color w:val="000000" w:themeColor="text1"/>
                <w:sz w:val="28"/>
                <w:szCs w:val="28"/>
                <w:highlight w:val="none"/>
                <w14:textFill>
                  <w14:solidFill>
                    <w14:schemeClr w14:val="tx1"/>
                  </w14:solidFill>
                </w14:textFill>
              </w:rPr>
              <w:t>、两个以上的自然人、法人或者其他组织组成一个联合体，以一个供应商的身份共同参加政府采购活动的，将对所有联合体成员进行信用记录查询，联合体成员存在不良信用记录的，视同联合体存在不良信用记录</w:t>
            </w:r>
          </w:p>
          <w:p w14:paraId="7ADCA10A">
            <w:pPr>
              <w:keepNext w:val="0"/>
              <w:keepLines w:val="0"/>
              <w:pageBreakBefore w:val="0"/>
              <w:kinsoku/>
              <w:wordWrap/>
              <w:overflowPunct/>
              <w:topLinePunct w:val="0"/>
              <w:bidi w:val="0"/>
              <w:adjustRightInd/>
              <w:snapToGrid/>
              <w:spacing w:line="560" w:lineRule="exac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lang w:val="en-US" w:eastAsia="zh-CN"/>
                <w14:textFill>
                  <w14:solidFill>
                    <w14:schemeClr w14:val="tx1"/>
                  </w14:solidFill>
                </w14:textFill>
              </w:rPr>
              <w:t>3</w:t>
            </w:r>
            <w:r>
              <w:rPr>
                <w:rFonts w:hint="eastAsia" w:ascii="宋体" w:hAnsi="宋体" w:eastAsia="宋体" w:cs="宋体"/>
                <w:color w:val="000000" w:themeColor="text1"/>
                <w:sz w:val="28"/>
                <w:szCs w:val="28"/>
                <w:highlight w:val="none"/>
                <w14:textFill>
                  <w14:solidFill>
                    <w14:schemeClr w14:val="tx1"/>
                  </w14:solidFill>
                </w14:textFill>
              </w:rPr>
              <w:t>、供应商存在不良信用记录的，其响应将按无效处理</w:t>
            </w:r>
            <w:r>
              <w:rPr>
                <w:rFonts w:hint="eastAsia" w:ascii="宋体" w:hAnsi="宋体" w:cs="宋体"/>
                <w:color w:val="000000" w:themeColor="text1"/>
                <w:sz w:val="28"/>
                <w:szCs w:val="28"/>
                <w:highlight w:val="none"/>
                <w:lang w:eastAsia="zh-CN"/>
                <w14:textFill>
                  <w14:solidFill>
                    <w14:schemeClr w14:val="tx1"/>
                  </w14:solidFill>
                </w14:textFill>
              </w:rPr>
              <w:t>。</w:t>
            </w:r>
          </w:p>
        </w:tc>
      </w:tr>
      <w:tr w14:paraId="5CDDDE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14:paraId="1A2B8341">
            <w:pPr>
              <w:keepNext w:val="0"/>
              <w:keepLines w:val="0"/>
              <w:pageBreakBefore w:val="0"/>
              <w:kinsoku/>
              <w:wordWrap/>
              <w:overflowPunct/>
              <w:topLinePunct w:val="0"/>
              <w:bidi w:val="0"/>
              <w:adjustRightInd/>
              <w:snapToGrid/>
              <w:spacing w:line="560" w:lineRule="exact"/>
              <w:jc w:val="center"/>
              <w:rPr>
                <w:rFonts w:hint="default"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cs="宋体"/>
                <w:color w:val="000000" w:themeColor="text1"/>
                <w:sz w:val="28"/>
                <w:szCs w:val="28"/>
                <w:highlight w:val="none"/>
                <w:lang w:val="en-US" w:eastAsia="zh-CN"/>
                <w14:textFill>
                  <w14:solidFill>
                    <w14:schemeClr w14:val="tx1"/>
                  </w14:solidFill>
                </w14:textFill>
              </w:rPr>
              <w:t>18</w:t>
            </w:r>
          </w:p>
        </w:tc>
        <w:tc>
          <w:tcPr>
            <w:tcW w:w="2239" w:type="dxa"/>
            <w:tcBorders>
              <w:top w:val="single" w:color="auto" w:sz="4" w:space="0"/>
              <w:left w:val="single" w:color="auto" w:sz="4" w:space="0"/>
              <w:bottom w:val="single" w:color="auto" w:sz="4" w:space="0"/>
              <w:right w:val="single" w:color="auto" w:sz="4" w:space="0"/>
            </w:tcBorders>
            <w:vAlign w:val="center"/>
          </w:tcPr>
          <w:p w14:paraId="0BB1641F">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评标方法</w:t>
            </w:r>
          </w:p>
        </w:tc>
        <w:tc>
          <w:tcPr>
            <w:tcW w:w="7297" w:type="dxa"/>
            <w:tcBorders>
              <w:top w:val="single" w:color="auto" w:sz="4" w:space="0"/>
              <w:left w:val="single" w:color="auto" w:sz="4" w:space="0"/>
              <w:bottom w:val="single" w:color="auto" w:sz="4" w:space="0"/>
              <w:right w:val="single" w:color="auto" w:sz="4" w:space="0"/>
            </w:tcBorders>
            <w:vAlign w:val="center"/>
          </w:tcPr>
          <w:p w14:paraId="5C0FB761">
            <w:pPr>
              <w:keepNext w:val="0"/>
              <w:keepLines w:val="0"/>
              <w:pageBreakBefore w:val="0"/>
              <w:kinsoku/>
              <w:wordWrap/>
              <w:overflowPunct/>
              <w:topLinePunct w:val="0"/>
              <w:autoSpaceDE w:val="0"/>
              <w:autoSpaceDN w:val="0"/>
              <w:bidi w:val="0"/>
              <w:adjustRightInd/>
              <w:snapToGrid/>
              <w:spacing w:line="560" w:lineRule="exact"/>
              <w:textAlignment w:val="bottom"/>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综合评分法</w:t>
            </w:r>
          </w:p>
        </w:tc>
      </w:tr>
      <w:tr w14:paraId="77EC5E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993" w:type="dxa"/>
            <w:tcBorders>
              <w:top w:val="single" w:color="auto" w:sz="4" w:space="0"/>
              <w:left w:val="single" w:color="auto" w:sz="4" w:space="0"/>
              <w:bottom w:val="single" w:color="auto" w:sz="4" w:space="0"/>
              <w:right w:val="single" w:color="auto" w:sz="4" w:space="0"/>
            </w:tcBorders>
            <w:vAlign w:val="center"/>
          </w:tcPr>
          <w:p w14:paraId="681866A8">
            <w:pPr>
              <w:keepNext w:val="0"/>
              <w:keepLines w:val="0"/>
              <w:pageBreakBefore w:val="0"/>
              <w:kinsoku/>
              <w:wordWrap/>
              <w:overflowPunct/>
              <w:topLinePunct w:val="0"/>
              <w:bidi w:val="0"/>
              <w:adjustRightInd/>
              <w:snapToGrid/>
              <w:spacing w:line="560" w:lineRule="exact"/>
              <w:jc w:val="center"/>
              <w:rPr>
                <w:rFonts w:hint="default"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cs="宋体"/>
                <w:color w:val="000000" w:themeColor="text1"/>
                <w:sz w:val="28"/>
                <w:szCs w:val="28"/>
                <w:highlight w:val="none"/>
                <w:lang w:val="en-US" w:eastAsia="zh-CN"/>
                <w14:textFill>
                  <w14:solidFill>
                    <w14:schemeClr w14:val="tx1"/>
                  </w14:solidFill>
                </w14:textFill>
              </w:rPr>
              <w:t>19</w:t>
            </w:r>
          </w:p>
        </w:tc>
        <w:tc>
          <w:tcPr>
            <w:tcW w:w="2239" w:type="dxa"/>
            <w:tcBorders>
              <w:top w:val="single" w:color="auto" w:sz="4" w:space="0"/>
              <w:left w:val="single" w:color="auto" w:sz="4" w:space="0"/>
              <w:bottom w:val="single" w:color="auto" w:sz="4" w:space="0"/>
              <w:right w:val="single" w:color="auto" w:sz="4" w:space="0"/>
            </w:tcBorders>
            <w:vAlign w:val="center"/>
          </w:tcPr>
          <w:p w14:paraId="3A99BBF0">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t>允许负偏离项</w:t>
            </w:r>
          </w:p>
        </w:tc>
        <w:tc>
          <w:tcPr>
            <w:tcW w:w="7297" w:type="dxa"/>
            <w:tcBorders>
              <w:top w:val="single" w:color="auto" w:sz="4" w:space="0"/>
              <w:left w:val="single" w:color="auto" w:sz="4" w:space="0"/>
              <w:bottom w:val="single" w:color="auto" w:sz="4" w:space="0"/>
              <w:right w:val="single" w:color="auto" w:sz="4" w:space="0"/>
            </w:tcBorders>
            <w:vAlign w:val="center"/>
          </w:tcPr>
          <w:p w14:paraId="14BE5EB9">
            <w:pPr>
              <w:keepNext w:val="0"/>
              <w:keepLines w:val="0"/>
              <w:pageBreakBefore w:val="0"/>
              <w:kinsoku/>
              <w:wordWrap/>
              <w:overflowPunct/>
              <w:topLinePunct w:val="0"/>
              <w:bidi w:val="0"/>
              <w:adjustRightInd/>
              <w:snapToGrid/>
              <w:spacing w:line="560" w:lineRule="exact"/>
              <w:rPr>
                <w:rFonts w:hint="default" w:ascii="宋体" w:hAnsi="宋体" w:eastAsia="宋体" w:cs="宋体"/>
                <w:b/>
                <w:bCs/>
                <w:color w:val="000000" w:themeColor="text1"/>
                <w:sz w:val="28"/>
                <w:szCs w:val="28"/>
                <w:highlight w:val="none"/>
                <w:lang w:val="en-US" w:eastAsia="zh-CN"/>
                <w14:textFill>
                  <w14:solidFill>
                    <w14:schemeClr w14:val="tx1"/>
                  </w14:solidFill>
                </w14:textFill>
              </w:rPr>
            </w:pPr>
            <w:r>
              <w:rPr>
                <w:rFonts w:hint="eastAsia" w:ascii="宋体" w:hAnsi="宋体" w:cs="宋体"/>
                <w:b/>
                <w:bCs/>
                <w:color w:val="000000" w:themeColor="text1"/>
                <w:sz w:val="28"/>
                <w:szCs w:val="28"/>
                <w:highlight w:val="none"/>
                <w:shd w:val="clear"/>
                <w:lang w:eastAsia="zh-CN"/>
                <w14:textFill>
                  <w14:solidFill>
                    <w14:schemeClr w14:val="tx1"/>
                  </w14:solidFill>
                </w14:textFill>
              </w:rPr>
              <w:t>本项目技术参数允许偏离，商务条款不允许偏离</w:t>
            </w:r>
          </w:p>
        </w:tc>
      </w:tr>
      <w:tr w14:paraId="04F458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14:paraId="319B1E33">
            <w:pPr>
              <w:keepNext w:val="0"/>
              <w:keepLines w:val="0"/>
              <w:pageBreakBefore w:val="0"/>
              <w:kinsoku/>
              <w:wordWrap/>
              <w:overflowPunct/>
              <w:topLinePunct w:val="0"/>
              <w:bidi w:val="0"/>
              <w:adjustRightInd/>
              <w:snapToGrid/>
              <w:spacing w:line="560" w:lineRule="exact"/>
              <w:jc w:val="center"/>
              <w:rPr>
                <w:rFonts w:hint="default"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cs="宋体"/>
                <w:color w:val="000000" w:themeColor="text1"/>
                <w:sz w:val="28"/>
                <w:szCs w:val="28"/>
                <w:highlight w:val="none"/>
                <w:lang w:val="en-US" w:eastAsia="zh-CN"/>
                <w14:textFill>
                  <w14:solidFill>
                    <w14:schemeClr w14:val="tx1"/>
                  </w14:solidFill>
                </w14:textFill>
              </w:rPr>
              <w:t>20</w:t>
            </w:r>
          </w:p>
        </w:tc>
        <w:tc>
          <w:tcPr>
            <w:tcW w:w="2239" w:type="dxa"/>
            <w:tcBorders>
              <w:top w:val="single" w:color="auto" w:sz="4" w:space="0"/>
              <w:left w:val="single" w:color="auto" w:sz="4" w:space="0"/>
              <w:bottom w:val="single" w:color="auto" w:sz="4" w:space="0"/>
              <w:right w:val="single" w:color="auto" w:sz="4" w:space="0"/>
            </w:tcBorders>
            <w:vAlign w:val="center"/>
          </w:tcPr>
          <w:p w14:paraId="4D2F5941">
            <w:pPr>
              <w:keepNext w:val="0"/>
              <w:keepLines w:val="0"/>
              <w:pageBreakBefore w:val="0"/>
              <w:kinsoku/>
              <w:wordWrap/>
              <w:overflowPunct/>
              <w:topLinePunct w:val="0"/>
              <w:autoSpaceDE w:val="0"/>
              <w:autoSpaceDN w:val="0"/>
              <w:bidi w:val="0"/>
              <w:adjustRightInd/>
              <w:snapToGrid/>
              <w:spacing w:line="560" w:lineRule="exact"/>
              <w:jc w:val="center"/>
              <w:textAlignment w:val="bottom"/>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确定中标人时，出现中标候选人分数并列的情形，确定中标人方式</w:t>
            </w:r>
          </w:p>
        </w:tc>
        <w:tc>
          <w:tcPr>
            <w:tcW w:w="7297" w:type="dxa"/>
            <w:tcBorders>
              <w:top w:val="single" w:color="auto" w:sz="4" w:space="0"/>
              <w:left w:val="single" w:color="auto" w:sz="4" w:space="0"/>
              <w:bottom w:val="single" w:color="auto" w:sz="4" w:space="0"/>
              <w:right w:val="single" w:color="auto" w:sz="4" w:space="0"/>
            </w:tcBorders>
            <w:vAlign w:val="center"/>
          </w:tcPr>
          <w:p w14:paraId="7008B0A4">
            <w:pPr>
              <w:keepNext w:val="0"/>
              <w:keepLines w:val="0"/>
              <w:pageBreakBefore w:val="0"/>
              <w:kinsoku/>
              <w:wordWrap/>
              <w:overflowPunct/>
              <w:topLinePunct w:val="0"/>
              <w:autoSpaceDE w:val="0"/>
              <w:autoSpaceDN w:val="0"/>
              <w:bidi w:val="0"/>
              <w:adjustRightInd/>
              <w:snapToGrid/>
              <w:spacing w:line="560" w:lineRule="exact"/>
              <w:textAlignment w:val="bottom"/>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采用综合评分法的，按综合得分由高到低顺序排列。若综合得分相同的，按投标报价由低到高顺序排列。若综合得分且投标报价相同的，货物类采购项目以技术性能得分较高者为先。 </w:t>
            </w:r>
          </w:p>
        </w:tc>
      </w:tr>
      <w:tr w14:paraId="06E333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93" w:type="dxa"/>
            <w:tcBorders>
              <w:top w:val="single" w:color="auto" w:sz="4" w:space="0"/>
              <w:left w:val="single" w:color="auto" w:sz="4" w:space="0"/>
              <w:bottom w:val="single" w:color="auto" w:sz="4" w:space="0"/>
              <w:right w:val="single" w:color="auto" w:sz="4" w:space="0"/>
            </w:tcBorders>
            <w:vAlign w:val="center"/>
          </w:tcPr>
          <w:p w14:paraId="58B64759">
            <w:pPr>
              <w:keepNext w:val="0"/>
              <w:keepLines w:val="0"/>
              <w:pageBreakBefore w:val="0"/>
              <w:kinsoku/>
              <w:wordWrap/>
              <w:overflowPunct/>
              <w:topLinePunct w:val="0"/>
              <w:bidi w:val="0"/>
              <w:adjustRightInd/>
              <w:snapToGrid/>
              <w:spacing w:line="560" w:lineRule="exact"/>
              <w:jc w:val="center"/>
              <w:rPr>
                <w:rFonts w:hint="default"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cs="宋体"/>
                <w:color w:val="000000" w:themeColor="text1"/>
                <w:sz w:val="28"/>
                <w:szCs w:val="28"/>
                <w:highlight w:val="none"/>
                <w:lang w:val="en-US" w:eastAsia="zh-CN"/>
                <w14:textFill>
                  <w14:solidFill>
                    <w14:schemeClr w14:val="tx1"/>
                  </w14:solidFill>
                </w14:textFill>
              </w:rPr>
              <w:t>21</w:t>
            </w:r>
          </w:p>
        </w:tc>
        <w:tc>
          <w:tcPr>
            <w:tcW w:w="2239" w:type="dxa"/>
            <w:tcBorders>
              <w:top w:val="single" w:color="auto" w:sz="4" w:space="0"/>
              <w:left w:val="single" w:color="auto" w:sz="4" w:space="0"/>
              <w:bottom w:val="single" w:color="auto" w:sz="4" w:space="0"/>
              <w:right w:val="single" w:color="auto" w:sz="4" w:space="0"/>
            </w:tcBorders>
            <w:vAlign w:val="center"/>
          </w:tcPr>
          <w:p w14:paraId="650F4FC1">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履约保证金金额</w:t>
            </w:r>
          </w:p>
        </w:tc>
        <w:tc>
          <w:tcPr>
            <w:tcW w:w="7297" w:type="dxa"/>
            <w:tcBorders>
              <w:top w:val="single" w:color="auto" w:sz="4" w:space="0"/>
              <w:left w:val="single" w:color="auto" w:sz="4" w:space="0"/>
              <w:bottom w:val="single" w:color="auto" w:sz="4" w:space="0"/>
              <w:right w:val="single" w:color="auto" w:sz="4" w:space="0"/>
            </w:tcBorders>
            <w:vAlign w:val="bottom"/>
          </w:tcPr>
          <w:p w14:paraId="78DC47B5">
            <w:pPr>
              <w:keepNext w:val="0"/>
              <w:keepLines w:val="0"/>
              <w:pageBreakBefore w:val="0"/>
              <w:kinsoku/>
              <w:wordWrap/>
              <w:overflowPunct/>
              <w:topLinePunct w:val="0"/>
              <w:autoSpaceDE w:val="0"/>
              <w:autoSpaceDN w:val="0"/>
              <w:bidi w:val="0"/>
              <w:adjustRightInd/>
              <w:snapToGrid/>
              <w:spacing w:line="560" w:lineRule="exact"/>
              <w:jc w:val="left"/>
              <w:textAlignment w:val="bottom"/>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w:t>
            </w:r>
          </w:p>
        </w:tc>
      </w:tr>
      <w:tr w14:paraId="2793AD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14:paraId="171CE8B5">
            <w:pPr>
              <w:keepNext w:val="0"/>
              <w:keepLines w:val="0"/>
              <w:pageBreakBefore w:val="0"/>
              <w:kinsoku/>
              <w:wordWrap/>
              <w:overflowPunct/>
              <w:topLinePunct w:val="0"/>
              <w:bidi w:val="0"/>
              <w:adjustRightInd/>
              <w:snapToGrid/>
              <w:spacing w:line="560" w:lineRule="exact"/>
              <w:jc w:val="center"/>
              <w:rPr>
                <w:rFonts w:hint="default"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cs="宋体"/>
                <w:color w:val="000000" w:themeColor="text1"/>
                <w:sz w:val="28"/>
                <w:szCs w:val="28"/>
                <w:highlight w:val="none"/>
                <w:lang w:val="en-US" w:eastAsia="zh-CN"/>
                <w14:textFill>
                  <w14:solidFill>
                    <w14:schemeClr w14:val="tx1"/>
                  </w14:solidFill>
                </w14:textFill>
              </w:rPr>
              <w:t>22</w:t>
            </w:r>
          </w:p>
        </w:tc>
        <w:tc>
          <w:tcPr>
            <w:tcW w:w="2239" w:type="dxa"/>
            <w:tcBorders>
              <w:top w:val="single" w:color="auto" w:sz="4" w:space="0"/>
              <w:left w:val="single" w:color="auto" w:sz="4" w:space="0"/>
              <w:bottom w:val="single" w:color="auto" w:sz="4" w:space="0"/>
              <w:right w:val="single" w:color="auto" w:sz="4" w:space="0"/>
            </w:tcBorders>
            <w:vAlign w:val="center"/>
          </w:tcPr>
          <w:p w14:paraId="079233F0">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签订电子合同携带的材料</w:t>
            </w:r>
          </w:p>
        </w:tc>
        <w:tc>
          <w:tcPr>
            <w:tcW w:w="7297" w:type="dxa"/>
            <w:tcBorders>
              <w:top w:val="single" w:color="auto" w:sz="4" w:space="0"/>
              <w:left w:val="single" w:color="auto" w:sz="4" w:space="0"/>
              <w:bottom w:val="single" w:color="auto" w:sz="4" w:space="0"/>
              <w:right w:val="single" w:color="auto" w:sz="4" w:space="0"/>
            </w:tcBorders>
            <w:vAlign w:val="center"/>
          </w:tcPr>
          <w:p w14:paraId="12DCF0EF">
            <w:pPr>
              <w:keepNext w:val="0"/>
              <w:keepLines w:val="0"/>
              <w:pageBreakBefore w:val="0"/>
              <w:kinsoku/>
              <w:wordWrap/>
              <w:overflowPunct/>
              <w:topLinePunct w:val="0"/>
              <w:autoSpaceDE w:val="0"/>
              <w:autoSpaceDN w:val="0"/>
              <w:bidi w:val="0"/>
              <w:adjustRightInd/>
              <w:snapToGrid/>
              <w:spacing w:line="560" w:lineRule="exact"/>
              <w:textAlignment w:val="bottom"/>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电子采购合同需要供应商通过有效CA证书进行电子签名与签章</w:t>
            </w:r>
          </w:p>
        </w:tc>
      </w:tr>
      <w:tr w14:paraId="1E0A98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993" w:type="dxa"/>
            <w:vMerge w:val="restart"/>
            <w:tcBorders>
              <w:top w:val="single" w:color="auto" w:sz="4" w:space="0"/>
              <w:left w:val="single" w:color="auto" w:sz="4" w:space="0"/>
              <w:bottom w:val="single" w:color="auto" w:sz="4" w:space="0"/>
              <w:right w:val="single" w:color="auto" w:sz="4" w:space="0"/>
            </w:tcBorders>
            <w:vAlign w:val="center"/>
          </w:tcPr>
          <w:p w14:paraId="47CD4E6E">
            <w:pPr>
              <w:keepNext w:val="0"/>
              <w:keepLines w:val="0"/>
              <w:pageBreakBefore w:val="0"/>
              <w:kinsoku/>
              <w:wordWrap/>
              <w:overflowPunct/>
              <w:topLinePunct w:val="0"/>
              <w:bidi w:val="0"/>
              <w:adjustRightInd/>
              <w:snapToGrid/>
              <w:spacing w:line="560" w:lineRule="exact"/>
              <w:jc w:val="center"/>
              <w:rPr>
                <w:rFonts w:hint="default"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cs="宋体"/>
                <w:color w:val="000000" w:themeColor="text1"/>
                <w:sz w:val="28"/>
                <w:szCs w:val="28"/>
                <w:highlight w:val="none"/>
                <w:lang w:val="en-US" w:eastAsia="zh-CN"/>
                <w14:textFill>
                  <w14:solidFill>
                    <w14:schemeClr w14:val="tx1"/>
                  </w14:solidFill>
                </w14:textFill>
              </w:rPr>
              <w:t>23</w:t>
            </w:r>
          </w:p>
        </w:tc>
        <w:tc>
          <w:tcPr>
            <w:tcW w:w="2239" w:type="dxa"/>
            <w:tcBorders>
              <w:top w:val="single" w:color="auto" w:sz="4" w:space="0"/>
              <w:left w:val="single" w:color="auto" w:sz="4" w:space="0"/>
              <w:bottom w:val="single" w:color="auto" w:sz="4" w:space="0"/>
              <w:right w:val="single" w:color="auto" w:sz="4" w:space="0"/>
            </w:tcBorders>
            <w:vAlign w:val="center"/>
          </w:tcPr>
          <w:p w14:paraId="04905616">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接收质疑函方式</w:t>
            </w:r>
          </w:p>
        </w:tc>
        <w:tc>
          <w:tcPr>
            <w:tcW w:w="7297" w:type="dxa"/>
            <w:tcBorders>
              <w:top w:val="single" w:color="auto" w:sz="4" w:space="0"/>
              <w:left w:val="single" w:color="auto" w:sz="4" w:space="0"/>
              <w:bottom w:val="single" w:color="auto" w:sz="4" w:space="0"/>
              <w:right w:val="single" w:color="auto" w:sz="4" w:space="0"/>
            </w:tcBorders>
            <w:vAlign w:val="center"/>
          </w:tcPr>
          <w:p w14:paraId="3B794797">
            <w:pPr>
              <w:keepNext w:val="0"/>
              <w:keepLines w:val="0"/>
              <w:pageBreakBefore w:val="0"/>
              <w:kinsoku/>
              <w:wordWrap/>
              <w:overflowPunct/>
              <w:topLinePunct w:val="0"/>
              <w:bidi w:val="0"/>
              <w:adjustRightInd/>
              <w:snapToGrid/>
              <w:spacing w:line="560" w:lineRule="exac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以书面形式提交</w:t>
            </w:r>
            <w:r>
              <w:rPr>
                <w:rFonts w:hint="eastAsia" w:ascii="宋体" w:hAnsi="宋体" w:cs="宋体"/>
                <w:color w:val="000000" w:themeColor="text1"/>
                <w:sz w:val="28"/>
                <w:szCs w:val="28"/>
                <w:highlight w:val="none"/>
                <w:lang w:eastAsia="zh-CN"/>
                <w14:textFill>
                  <w14:solidFill>
                    <w14:schemeClr w14:val="tx1"/>
                  </w14:solidFill>
                </w14:textFill>
              </w:rPr>
              <w:t>，</w:t>
            </w:r>
            <w:r>
              <w:rPr>
                <w:rFonts w:hint="eastAsia" w:ascii="宋体" w:hAnsi="宋体" w:eastAsia="宋体" w:cs="宋体"/>
                <w:color w:val="000000" w:themeColor="text1"/>
                <w:sz w:val="28"/>
                <w:szCs w:val="28"/>
                <w:highlight w:val="none"/>
                <w14:textFill>
                  <w14:solidFill>
                    <w14:schemeClr w14:val="tx1"/>
                  </w14:solidFill>
                </w14:textFill>
              </w:rPr>
              <w:t>供应商应在法定质疑期内一次性提出所有质疑内容。</w:t>
            </w:r>
          </w:p>
        </w:tc>
      </w:tr>
      <w:tr w14:paraId="752DF7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993" w:type="dxa"/>
            <w:vMerge w:val="continue"/>
            <w:tcBorders>
              <w:top w:val="single" w:color="auto" w:sz="4" w:space="0"/>
              <w:left w:val="single" w:color="auto" w:sz="4" w:space="0"/>
              <w:bottom w:val="single" w:color="auto" w:sz="4" w:space="0"/>
              <w:right w:val="single" w:color="auto" w:sz="4" w:space="0"/>
            </w:tcBorders>
            <w:vAlign w:val="center"/>
          </w:tcPr>
          <w:p w14:paraId="40EEDB32">
            <w:pPr>
              <w:keepNext w:val="0"/>
              <w:keepLines w:val="0"/>
              <w:pageBreakBefore w:val="0"/>
              <w:widowControl/>
              <w:kinsoku/>
              <w:wordWrap/>
              <w:overflowPunct/>
              <w:topLinePunct w:val="0"/>
              <w:bidi w:val="0"/>
              <w:adjustRightInd/>
              <w:snapToGrid/>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2239" w:type="dxa"/>
            <w:tcBorders>
              <w:top w:val="single" w:color="auto" w:sz="4" w:space="0"/>
              <w:left w:val="single" w:color="auto" w:sz="4" w:space="0"/>
              <w:bottom w:val="single" w:color="auto" w:sz="4" w:space="0"/>
              <w:right w:val="single" w:color="auto" w:sz="4" w:space="0"/>
            </w:tcBorders>
            <w:vAlign w:val="center"/>
          </w:tcPr>
          <w:p w14:paraId="1F9A2A4C">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质疑联系部门及联系方式</w:t>
            </w:r>
          </w:p>
        </w:tc>
        <w:tc>
          <w:tcPr>
            <w:tcW w:w="7297" w:type="dxa"/>
            <w:tcBorders>
              <w:top w:val="single" w:color="auto" w:sz="4" w:space="0"/>
              <w:left w:val="single" w:color="auto" w:sz="4" w:space="0"/>
              <w:bottom w:val="single" w:color="auto" w:sz="4" w:space="0"/>
              <w:right w:val="single" w:color="auto" w:sz="4" w:space="0"/>
            </w:tcBorders>
            <w:vAlign w:val="center"/>
          </w:tcPr>
          <w:p w14:paraId="0840D75D">
            <w:pPr>
              <w:keepNext w:val="0"/>
              <w:keepLines w:val="0"/>
              <w:pageBreakBefore w:val="0"/>
              <w:kinsoku/>
              <w:wordWrap/>
              <w:overflowPunct/>
              <w:topLinePunct w:val="0"/>
              <w:bidi w:val="0"/>
              <w:adjustRightInd/>
              <w:snapToGrid/>
              <w:spacing w:line="560" w:lineRule="exac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u w:val="single"/>
                <w14:textFill>
                  <w14:solidFill>
                    <w14:schemeClr w14:val="tx1"/>
                  </w14:solidFill>
                </w14:textFill>
              </w:rPr>
              <w:t>（1）</w:t>
            </w:r>
            <w:r>
              <w:rPr>
                <w:rFonts w:hint="eastAsia" w:ascii="宋体" w:hAnsi="宋体" w:cs="宋体"/>
                <w:color w:val="000000" w:themeColor="text1"/>
                <w:sz w:val="28"/>
                <w:szCs w:val="28"/>
                <w:highlight w:val="none"/>
                <w:u w:val="single"/>
                <w:lang w:eastAsia="zh-CN"/>
                <w14:textFill>
                  <w14:solidFill>
                    <w14:schemeClr w14:val="tx1"/>
                  </w14:solidFill>
                </w14:textFill>
              </w:rPr>
              <w:t>新疆诚誉工程项目管理有限公司</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w:t>
            </w:r>
          </w:p>
          <w:p w14:paraId="0DD118B9">
            <w:pPr>
              <w:keepNext w:val="0"/>
              <w:keepLines w:val="0"/>
              <w:pageBreakBefore w:val="0"/>
              <w:kinsoku/>
              <w:wordWrap/>
              <w:overflowPunct/>
              <w:topLinePunct w:val="0"/>
              <w:bidi w:val="0"/>
              <w:adjustRightInd/>
              <w:snapToGrid/>
              <w:spacing w:line="560" w:lineRule="exact"/>
              <w:rPr>
                <w:rFonts w:hint="default" w:ascii="宋体" w:hAnsi="宋体" w:cs="宋体"/>
                <w:color w:val="000000" w:themeColor="text1"/>
                <w:sz w:val="28"/>
                <w:szCs w:val="28"/>
                <w:highlight w:val="none"/>
                <w:u w:val="single"/>
                <w:lang w:val="en-US" w:eastAsia="zh-CN"/>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联系电话：</w:t>
            </w:r>
            <w:r>
              <w:rPr>
                <w:rFonts w:hint="eastAsia" w:ascii="宋体" w:hAnsi="宋体" w:cs="宋体"/>
                <w:color w:val="000000" w:themeColor="text1"/>
                <w:sz w:val="28"/>
                <w:szCs w:val="28"/>
                <w:highlight w:val="none"/>
                <w:u w:val="single"/>
                <w:lang w:val="en-US" w:eastAsia="zh-CN"/>
                <w14:textFill>
                  <w14:solidFill>
                    <w14:schemeClr w14:val="tx1"/>
                  </w14:solidFill>
                </w14:textFill>
              </w:rPr>
              <w:t>0902-2307055</w:t>
            </w:r>
          </w:p>
          <w:p w14:paraId="0F95E343">
            <w:pPr>
              <w:keepNext w:val="0"/>
              <w:keepLines w:val="0"/>
              <w:pageBreakBefore w:val="0"/>
              <w:kinsoku/>
              <w:wordWrap/>
              <w:overflowPunct/>
              <w:topLinePunct w:val="0"/>
              <w:bidi w:val="0"/>
              <w:adjustRightInd/>
              <w:snapToGrid/>
              <w:spacing w:line="560" w:lineRule="exact"/>
              <w:rPr>
                <w:rFonts w:hint="eastAsia" w:ascii="宋体" w:hAnsi="宋体" w:eastAsia="宋体" w:cs="宋体"/>
                <w:color w:val="000000" w:themeColor="text1"/>
                <w:sz w:val="18"/>
                <w:szCs w:val="18"/>
                <w:highlight w:val="none"/>
                <w:lang w:eastAsia="zh-CN"/>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通讯地址：</w:t>
            </w:r>
            <w:r>
              <w:rPr>
                <w:rFonts w:hint="eastAsia" w:ascii="宋体" w:hAnsi="宋体" w:cs="宋体"/>
                <w:color w:val="000000" w:themeColor="text1"/>
                <w:sz w:val="28"/>
                <w:szCs w:val="28"/>
                <w:highlight w:val="none"/>
                <w:u w:val="single"/>
                <w:lang w:eastAsia="zh-CN"/>
                <w14:textFill>
                  <w14:solidFill>
                    <w14:schemeClr w14:val="tx1"/>
                  </w14:solidFill>
                </w14:textFill>
              </w:rPr>
              <w:t>乌鲁木齐市会展大道599号新疆财富中心C座6楼601室</w:t>
            </w:r>
          </w:p>
          <w:p w14:paraId="2D6E7159">
            <w:pPr>
              <w:keepNext w:val="0"/>
              <w:keepLines w:val="0"/>
              <w:pageBreakBefore w:val="0"/>
              <w:kinsoku/>
              <w:wordWrap/>
              <w:overflowPunct/>
              <w:topLinePunct w:val="0"/>
              <w:bidi w:val="0"/>
              <w:adjustRightInd/>
              <w:snapToGrid/>
              <w:spacing w:line="560" w:lineRule="exac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u w:val="single"/>
                <w14:textFill>
                  <w14:solidFill>
                    <w14:schemeClr w14:val="tx1"/>
                  </w14:solidFill>
                </w14:textFill>
              </w:rPr>
              <w:t>（2）</w:t>
            </w:r>
            <w:r>
              <w:rPr>
                <w:rFonts w:hint="eastAsia" w:ascii="宋体" w:hAnsi="宋体" w:cs="宋体"/>
                <w:color w:val="000000" w:themeColor="text1"/>
                <w:sz w:val="28"/>
                <w:szCs w:val="28"/>
                <w:highlight w:val="none"/>
                <w:u w:val="single"/>
                <w:lang w:eastAsia="zh-CN"/>
                <w14:textFill>
                  <w14:solidFill>
                    <w14:schemeClr w14:val="tx1"/>
                  </w14:solidFill>
                </w14:textFill>
              </w:rPr>
              <w:t xml:space="preserve">哈密市中心医院  </w:t>
            </w:r>
            <w:r>
              <w:rPr>
                <w:rFonts w:hint="eastAsia" w:ascii="宋体" w:hAnsi="宋体" w:eastAsia="宋体" w:cs="宋体"/>
                <w:color w:val="000000" w:themeColor="text1"/>
                <w:sz w:val="28"/>
                <w:szCs w:val="28"/>
                <w:highlight w:val="none"/>
                <w:u w:val="single"/>
                <w:lang w:eastAsia="zh-CN"/>
                <w14:textFill>
                  <w14:solidFill>
                    <w14:schemeClr w14:val="tx1"/>
                  </w14:solidFill>
                </w14:textFill>
              </w:rPr>
              <w:t xml:space="preserve"> </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w:t>
            </w:r>
          </w:p>
          <w:p w14:paraId="31930418">
            <w:pPr>
              <w:keepNext w:val="0"/>
              <w:keepLines w:val="0"/>
              <w:pageBreakBefore w:val="0"/>
              <w:kinsoku/>
              <w:wordWrap/>
              <w:overflowPunct/>
              <w:topLinePunct w:val="0"/>
              <w:bidi w:val="0"/>
              <w:adjustRightInd/>
              <w:snapToGrid/>
              <w:spacing w:line="560" w:lineRule="exact"/>
              <w:rPr>
                <w:rFonts w:hint="eastAsia" w:ascii="宋体" w:hAnsi="宋体" w:eastAsia="宋体" w:cs="宋体"/>
                <w:color w:val="000000" w:themeColor="text1"/>
                <w:sz w:val="28"/>
                <w:szCs w:val="28"/>
                <w:highlight w:val="none"/>
                <w:lang w:eastAsia="zh-CN"/>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联系电话：</w:t>
            </w:r>
            <w:r>
              <w:rPr>
                <w:rFonts w:hint="eastAsia" w:ascii="宋体" w:hAnsi="宋体" w:eastAsia="宋体" w:cs="宋体"/>
                <w:color w:val="000000" w:themeColor="text1"/>
                <w:sz w:val="28"/>
                <w:szCs w:val="28"/>
                <w:highlight w:val="none"/>
                <w:u w:val="single"/>
                <w14:textFill>
                  <w14:solidFill>
                    <w14:schemeClr w14:val="tx1"/>
                  </w14:solidFill>
                </w14:textFill>
              </w:rPr>
              <w:t>0902-2260357</w:t>
            </w:r>
          </w:p>
          <w:p w14:paraId="493F0266">
            <w:pPr>
              <w:keepNext w:val="0"/>
              <w:keepLines w:val="0"/>
              <w:pageBreakBefore w:val="0"/>
              <w:kinsoku/>
              <w:wordWrap/>
              <w:overflowPunct/>
              <w:topLinePunct w:val="0"/>
              <w:bidi w:val="0"/>
              <w:adjustRightInd/>
              <w:snapToGrid/>
              <w:spacing w:line="560" w:lineRule="exact"/>
              <w:rPr>
                <w:rFonts w:hint="eastAsia" w:ascii="宋体" w:hAnsi="宋体" w:eastAsia="宋体" w:cs="宋体"/>
                <w:color w:val="000000" w:themeColor="text1"/>
                <w:sz w:val="28"/>
                <w:szCs w:val="28"/>
                <w:highlight w:val="none"/>
                <w:lang w:eastAsia="zh-CN"/>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通讯地址：</w:t>
            </w:r>
            <w:r>
              <w:rPr>
                <w:rFonts w:hint="eastAsia" w:ascii="宋体" w:hAnsi="宋体" w:cs="宋体"/>
                <w:color w:val="000000" w:themeColor="text1"/>
                <w:sz w:val="28"/>
                <w:szCs w:val="28"/>
                <w:highlight w:val="none"/>
                <w:u w:val="single"/>
                <w:lang w:eastAsia="zh-CN"/>
                <w14:textFill>
                  <w14:solidFill>
                    <w14:schemeClr w14:val="tx1"/>
                  </w14:solidFill>
                </w14:textFill>
              </w:rPr>
              <w:t>哈密市伊州区广场北路18号</w:t>
            </w:r>
          </w:p>
        </w:tc>
      </w:tr>
      <w:tr w14:paraId="34887A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993" w:type="dxa"/>
            <w:vMerge w:val="continue"/>
            <w:tcBorders>
              <w:top w:val="single" w:color="auto" w:sz="4" w:space="0"/>
              <w:left w:val="single" w:color="auto" w:sz="4" w:space="0"/>
              <w:bottom w:val="single" w:color="auto" w:sz="4" w:space="0"/>
              <w:right w:val="single" w:color="auto" w:sz="4" w:space="0"/>
            </w:tcBorders>
            <w:vAlign w:val="center"/>
          </w:tcPr>
          <w:p w14:paraId="42B8CD4D">
            <w:pPr>
              <w:keepNext w:val="0"/>
              <w:keepLines w:val="0"/>
              <w:pageBreakBefore w:val="0"/>
              <w:widowControl/>
              <w:kinsoku/>
              <w:wordWrap/>
              <w:overflowPunct/>
              <w:topLinePunct w:val="0"/>
              <w:bidi w:val="0"/>
              <w:adjustRightInd/>
              <w:snapToGrid/>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2239" w:type="dxa"/>
            <w:tcBorders>
              <w:top w:val="single" w:color="auto" w:sz="4" w:space="0"/>
              <w:left w:val="single" w:color="auto" w:sz="4" w:space="0"/>
              <w:bottom w:val="single" w:color="auto" w:sz="4" w:space="0"/>
              <w:right w:val="single" w:color="auto" w:sz="4" w:space="0"/>
            </w:tcBorders>
            <w:vAlign w:val="center"/>
          </w:tcPr>
          <w:p w14:paraId="0349E507">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现场提交质疑办理业务时间</w:t>
            </w:r>
          </w:p>
        </w:tc>
        <w:tc>
          <w:tcPr>
            <w:tcW w:w="7297" w:type="dxa"/>
            <w:tcBorders>
              <w:top w:val="single" w:color="auto" w:sz="4" w:space="0"/>
              <w:left w:val="single" w:color="auto" w:sz="4" w:space="0"/>
              <w:bottom w:val="single" w:color="auto" w:sz="4" w:space="0"/>
              <w:right w:val="single" w:color="auto" w:sz="4" w:space="0"/>
            </w:tcBorders>
            <w:vAlign w:val="center"/>
          </w:tcPr>
          <w:p w14:paraId="335B53DB">
            <w:pPr>
              <w:keepNext w:val="0"/>
              <w:keepLines w:val="0"/>
              <w:pageBreakBefore w:val="0"/>
              <w:kinsoku/>
              <w:wordWrap/>
              <w:overflowPunct/>
              <w:topLinePunct w:val="0"/>
              <w:bidi w:val="0"/>
              <w:adjustRightInd/>
              <w:snapToGrid/>
              <w:spacing w:line="560" w:lineRule="exac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质疑期内每个工作日</w:t>
            </w:r>
            <w:r>
              <w:rPr>
                <w:rFonts w:hint="eastAsia" w:ascii="宋体" w:hAnsi="宋体" w:eastAsia="宋体" w:cs="宋体"/>
                <w:color w:val="000000" w:themeColor="text1"/>
                <w:sz w:val="28"/>
                <w:szCs w:val="28"/>
                <w:highlight w:val="none"/>
                <w:u w:val="single"/>
                <w14:textFill>
                  <w14:solidFill>
                    <w14:schemeClr w14:val="tx1"/>
                  </w14:solidFill>
                </w14:textFill>
              </w:rPr>
              <w:t>09</w:t>
            </w:r>
            <w:r>
              <w:rPr>
                <w:rFonts w:hint="eastAsia" w:ascii="宋体" w:hAnsi="宋体" w:eastAsia="宋体" w:cs="宋体"/>
                <w:color w:val="000000" w:themeColor="text1"/>
                <w:sz w:val="28"/>
                <w:szCs w:val="28"/>
                <w:highlight w:val="none"/>
                <w14:textFill>
                  <w14:solidFill>
                    <w14:schemeClr w14:val="tx1"/>
                  </w14:solidFill>
                </w14:textFill>
              </w:rPr>
              <w:t>时</w:t>
            </w:r>
            <w:r>
              <w:rPr>
                <w:rFonts w:hint="eastAsia" w:ascii="宋体" w:hAnsi="宋体" w:eastAsia="宋体" w:cs="宋体"/>
                <w:color w:val="000000" w:themeColor="text1"/>
                <w:sz w:val="28"/>
                <w:szCs w:val="28"/>
                <w:highlight w:val="none"/>
                <w:u w:val="single"/>
                <w14:textFill>
                  <w14:solidFill>
                    <w14:schemeClr w14:val="tx1"/>
                  </w14:solidFill>
                </w14:textFill>
              </w:rPr>
              <w:t xml:space="preserve"> 30 </w:t>
            </w:r>
            <w:r>
              <w:rPr>
                <w:rFonts w:hint="eastAsia" w:ascii="宋体" w:hAnsi="宋体" w:eastAsia="宋体" w:cs="宋体"/>
                <w:color w:val="000000" w:themeColor="text1"/>
                <w:sz w:val="28"/>
                <w:szCs w:val="28"/>
                <w:highlight w:val="none"/>
                <w14:textFill>
                  <w14:solidFill>
                    <w14:schemeClr w14:val="tx1"/>
                  </w14:solidFill>
                </w14:textFill>
              </w:rPr>
              <w:t>分到</w:t>
            </w:r>
            <w:r>
              <w:rPr>
                <w:rFonts w:hint="eastAsia" w:ascii="宋体" w:hAnsi="宋体" w:eastAsia="宋体" w:cs="宋体"/>
                <w:color w:val="000000" w:themeColor="text1"/>
                <w:sz w:val="28"/>
                <w:szCs w:val="28"/>
                <w:highlight w:val="none"/>
                <w:u w:val="single"/>
                <w14:textFill>
                  <w14:solidFill>
                    <w14:schemeClr w14:val="tx1"/>
                  </w14:solidFill>
                </w14:textFill>
              </w:rPr>
              <w:t xml:space="preserve"> 13  </w:t>
            </w:r>
            <w:r>
              <w:rPr>
                <w:rFonts w:hint="eastAsia" w:ascii="宋体" w:hAnsi="宋体" w:eastAsia="宋体" w:cs="宋体"/>
                <w:color w:val="000000" w:themeColor="text1"/>
                <w:sz w:val="28"/>
                <w:szCs w:val="28"/>
                <w:highlight w:val="none"/>
                <w14:textFill>
                  <w14:solidFill>
                    <w14:schemeClr w14:val="tx1"/>
                  </w14:solidFill>
                </w14:textFill>
              </w:rPr>
              <w:t>时</w:t>
            </w:r>
            <w:r>
              <w:rPr>
                <w:rFonts w:hint="eastAsia" w:ascii="宋体" w:hAnsi="宋体" w:eastAsia="宋体" w:cs="宋体"/>
                <w:color w:val="000000" w:themeColor="text1"/>
                <w:sz w:val="28"/>
                <w:szCs w:val="28"/>
                <w:highlight w:val="none"/>
                <w:u w:val="single"/>
                <w14:textFill>
                  <w14:solidFill>
                    <w14:schemeClr w14:val="tx1"/>
                  </w14:solidFill>
                </w14:textFill>
              </w:rPr>
              <w:t xml:space="preserve">  30 </w:t>
            </w:r>
            <w:r>
              <w:rPr>
                <w:rFonts w:hint="eastAsia" w:ascii="宋体" w:hAnsi="宋体" w:eastAsia="宋体" w:cs="宋体"/>
                <w:color w:val="000000" w:themeColor="text1"/>
                <w:sz w:val="28"/>
                <w:szCs w:val="28"/>
                <w:highlight w:val="none"/>
                <w14:textFill>
                  <w14:solidFill>
                    <w14:schemeClr w14:val="tx1"/>
                  </w14:solidFill>
                </w14:textFill>
              </w:rPr>
              <w:t>分，</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r>
              <w:rPr>
                <w:rFonts w:hint="eastAsia" w:ascii="宋体" w:hAnsi="宋体" w:cs="宋体"/>
                <w:color w:val="000000" w:themeColor="text1"/>
                <w:sz w:val="28"/>
                <w:szCs w:val="28"/>
                <w:highlight w:val="none"/>
                <w:u w:val="single"/>
                <w:lang w:val="en-US" w:eastAsia="zh-CN"/>
                <w14:textFill>
                  <w14:solidFill>
                    <w14:schemeClr w14:val="tx1"/>
                  </w14:solidFill>
                </w14:textFill>
              </w:rPr>
              <w:t>16</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时</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r>
              <w:rPr>
                <w:rFonts w:hint="eastAsia" w:ascii="宋体" w:hAnsi="宋体" w:cs="宋体"/>
                <w:color w:val="000000" w:themeColor="text1"/>
                <w:sz w:val="28"/>
                <w:szCs w:val="28"/>
                <w:highlight w:val="none"/>
                <w:u w:val="single"/>
                <w:lang w:val="en-US" w:eastAsia="zh-CN"/>
                <w14:textFill>
                  <w14:solidFill>
                    <w14:schemeClr w14:val="tx1"/>
                  </w14:solidFill>
                </w14:textFill>
              </w:rPr>
              <w:t>00</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分到</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r>
              <w:rPr>
                <w:rFonts w:hint="eastAsia" w:ascii="宋体" w:hAnsi="宋体" w:cs="宋体"/>
                <w:color w:val="000000" w:themeColor="text1"/>
                <w:sz w:val="28"/>
                <w:szCs w:val="28"/>
                <w:highlight w:val="none"/>
                <w:u w:val="single"/>
                <w:lang w:val="en-US" w:eastAsia="zh-CN"/>
                <w14:textFill>
                  <w14:solidFill>
                    <w14:schemeClr w14:val="tx1"/>
                  </w14:solidFill>
                </w14:textFill>
              </w:rPr>
              <w:t>20</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时</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r>
              <w:rPr>
                <w:rFonts w:hint="eastAsia" w:ascii="宋体" w:hAnsi="宋体" w:cs="宋体"/>
                <w:color w:val="000000" w:themeColor="text1"/>
                <w:sz w:val="28"/>
                <w:szCs w:val="28"/>
                <w:highlight w:val="none"/>
                <w:u w:val="single"/>
                <w:lang w:val="en-US" w:eastAsia="zh-CN"/>
                <w14:textFill>
                  <w14:solidFill>
                    <w14:schemeClr w14:val="tx1"/>
                  </w14:solidFill>
                </w14:textFill>
              </w:rPr>
              <w:t>00</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分</w:t>
            </w:r>
          </w:p>
        </w:tc>
      </w:tr>
      <w:tr w14:paraId="0D8C5E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993" w:type="dxa"/>
            <w:tcBorders>
              <w:top w:val="nil"/>
              <w:left w:val="single" w:color="auto" w:sz="4" w:space="0"/>
              <w:bottom w:val="single" w:color="auto" w:sz="4" w:space="0"/>
              <w:right w:val="single" w:color="auto" w:sz="4" w:space="0"/>
            </w:tcBorders>
            <w:vAlign w:val="center"/>
          </w:tcPr>
          <w:p w14:paraId="12F1C06B">
            <w:pPr>
              <w:keepNext w:val="0"/>
              <w:keepLines w:val="0"/>
              <w:pageBreakBefore w:val="0"/>
              <w:kinsoku/>
              <w:wordWrap/>
              <w:overflowPunct/>
              <w:topLinePunct w:val="0"/>
              <w:bidi w:val="0"/>
              <w:adjustRightInd/>
              <w:snapToGrid/>
              <w:spacing w:line="560" w:lineRule="exact"/>
              <w:jc w:val="center"/>
              <w:rPr>
                <w:rFonts w:hint="default"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cs="宋体"/>
                <w:color w:val="000000" w:themeColor="text1"/>
                <w:sz w:val="28"/>
                <w:szCs w:val="28"/>
                <w:highlight w:val="none"/>
                <w:lang w:val="en-US" w:eastAsia="zh-CN"/>
                <w14:textFill>
                  <w14:solidFill>
                    <w14:schemeClr w14:val="tx1"/>
                  </w14:solidFill>
                </w14:textFill>
              </w:rPr>
              <w:t>24</w:t>
            </w:r>
          </w:p>
        </w:tc>
        <w:tc>
          <w:tcPr>
            <w:tcW w:w="2239" w:type="dxa"/>
            <w:tcBorders>
              <w:top w:val="single" w:color="auto" w:sz="4" w:space="0"/>
              <w:left w:val="single" w:color="auto" w:sz="4" w:space="0"/>
              <w:bottom w:val="single" w:color="auto" w:sz="4" w:space="0"/>
              <w:right w:val="single" w:color="auto" w:sz="4" w:space="0"/>
            </w:tcBorders>
            <w:vAlign w:val="center"/>
          </w:tcPr>
          <w:p w14:paraId="67252C0B">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投诉受理方式</w:t>
            </w:r>
          </w:p>
        </w:tc>
        <w:tc>
          <w:tcPr>
            <w:tcW w:w="7297" w:type="dxa"/>
            <w:tcBorders>
              <w:top w:val="single" w:color="auto" w:sz="4" w:space="0"/>
              <w:left w:val="single" w:color="auto" w:sz="4" w:space="0"/>
              <w:bottom w:val="single" w:color="auto" w:sz="4" w:space="0"/>
              <w:right w:val="single" w:color="auto" w:sz="4" w:space="0"/>
            </w:tcBorders>
            <w:vAlign w:val="center"/>
          </w:tcPr>
          <w:p w14:paraId="4E7B794F">
            <w:pPr>
              <w:keepNext w:val="0"/>
              <w:keepLines w:val="0"/>
              <w:pageBreakBefore w:val="0"/>
              <w:kinsoku/>
              <w:wordWrap/>
              <w:overflowPunct/>
              <w:topLinePunct w:val="0"/>
              <w:bidi w:val="0"/>
              <w:adjustRightInd/>
              <w:snapToGrid/>
              <w:spacing w:line="560" w:lineRule="exac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受理方式：纸质方式受理，投诉书正、副本（经过质疑的事项才可投诉）。 </w:t>
            </w:r>
          </w:p>
        </w:tc>
      </w:tr>
      <w:tr w14:paraId="609222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42" w:hRule="atLeast"/>
        </w:trPr>
        <w:tc>
          <w:tcPr>
            <w:tcW w:w="993" w:type="dxa"/>
            <w:vMerge w:val="restart"/>
            <w:tcBorders>
              <w:top w:val="single" w:color="auto" w:sz="4" w:space="0"/>
              <w:left w:val="single" w:color="auto" w:sz="4" w:space="0"/>
              <w:bottom w:val="single" w:color="auto" w:sz="4" w:space="0"/>
              <w:right w:val="single" w:color="auto" w:sz="4" w:space="0"/>
            </w:tcBorders>
            <w:vAlign w:val="center"/>
          </w:tcPr>
          <w:p w14:paraId="57509DA1">
            <w:pPr>
              <w:keepNext w:val="0"/>
              <w:keepLines w:val="0"/>
              <w:pageBreakBefore w:val="0"/>
              <w:kinsoku/>
              <w:wordWrap/>
              <w:overflowPunct/>
              <w:topLinePunct w:val="0"/>
              <w:bidi w:val="0"/>
              <w:adjustRightInd/>
              <w:snapToGrid/>
              <w:spacing w:line="560" w:lineRule="exact"/>
              <w:jc w:val="center"/>
              <w:rPr>
                <w:rFonts w:hint="default"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cs="宋体"/>
                <w:color w:val="000000" w:themeColor="text1"/>
                <w:sz w:val="28"/>
                <w:szCs w:val="28"/>
                <w:highlight w:val="none"/>
                <w:lang w:val="en-US" w:eastAsia="zh-CN"/>
                <w14:textFill>
                  <w14:solidFill>
                    <w14:schemeClr w14:val="tx1"/>
                  </w14:solidFill>
                </w14:textFill>
              </w:rPr>
              <w:t>25</w:t>
            </w:r>
          </w:p>
        </w:tc>
        <w:tc>
          <w:tcPr>
            <w:tcW w:w="2239" w:type="dxa"/>
            <w:tcBorders>
              <w:top w:val="single" w:color="auto" w:sz="4" w:space="0"/>
              <w:left w:val="single" w:color="auto" w:sz="4" w:space="0"/>
              <w:bottom w:val="single" w:color="auto" w:sz="4" w:space="0"/>
              <w:right w:val="single" w:color="auto" w:sz="4" w:space="0"/>
            </w:tcBorders>
            <w:vAlign w:val="center"/>
          </w:tcPr>
          <w:p w14:paraId="04BB73EE">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采购代理费支付方式</w:t>
            </w:r>
          </w:p>
        </w:tc>
        <w:tc>
          <w:tcPr>
            <w:tcW w:w="7297" w:type="dxa"/>
            <w:tcBorders>
              <w:top w:val="single" w:color="auto" w:sz="4" w:space="0"/>
              <w:left w:val="single" w:color="auto" w:sz="4" w:space="0"/>
              <w:bottom w:val="single" w:color="auto" w:sz="4" w:space="0"/>
              <w:right w:val="single" w:color="auto" w:sz="4" w:space="0"/>
            </w:tcBorders>
            <w:vAlign w:val="center"/>
          </w:tcPr>
          <w:p w14:paraId="75C49520">
            <w:pPr>
              <w:keepNext w:val="0"/>
              <w:keepLines w:val="0"/>
              <w:pageBreakBefore w:val="0"/>
              <w:kinsoku/>
              <w:wordWrap/>
              <w:overflowPunct/>
              <w:topLinePunct w:val="0"/>
              <w:bidi w:val="0"/>
              <w:adjustRightInd/>
              <w:snapToGrid/>
              <w:spacing w:line="560" w:lineRule="exac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本项目代理费由中标人在领取中标通知书前，一次性向采购代理机构支付。</w:t>
            </w:r>
          </w:p>
        </w:tc>
      </w:tr>
      <w:tr w14:paraId="20193A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5" w:hRule="atLeast"/>
        </w:trPr>
        <w:tc>
          <w:tcPr>
            <w:tcW w:w="993" w:type="dxa"/>
            <w:vMerge w:val="continue"/>
            <w:tcBorders>
              <w:top w:val="single" w:color="auto" w:sz="4" w:space="0"/>
              <w:left w:val="single" w:color="auto" w:sz="4" w:space="0"/>
              <w:bottom w:val="single" w:color="auto" w:sz="4" w:space="0"/>
              <w:right w:val="single" w:color="auto" w:sz="4" w:space="0"/>
            </w:tcBorders>
            <w:vAlign w:val="center"/>
          </w:tcPr>
          <w:p w14:paraId="75F97227">
            <w:pPr>
              <w:keepNext w:val="0"/>
              <w:keepLines w:val="0"/>
              <w:pageBreakBefore w:val="0"/>
              <w:widowControl/>
              <w:kinsoku/>
              <w:wordWrap/>
              <w:overflowPunct/>
              <w:topLinePunct w:val="0"/>
              <w:bidi w:val="0"/>
              <w:adjustRightInd/>
              <w:snapToGrid/>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2239" w:type="dxa"/>
            <w:tcBorders>
              <w:top w:val="single" w:color="auto" w:sz="4" w:space="0"/>
              <w:left w:val="single" w:color="auto" w:sz="4" w:space="0"/>
              <w:bottom w:val="single" w:color="auto" w:sz="4" w:space="0"/>
              <w:right w:val="single" w:color="auto" w:sz="4" w:space="0"/>
            </w:tcBorders>
            <w:vAlign w:val="center"/>
          </w:tcPr>
          <w:p w14:paraId="048BEBA9">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采购代理费收取</w:t>
            </w:r>
          </w:p>
        </w:tc>
        <w:tc>
          <w:tcPr>
            <w:tcW w:w="7297" w:type="dxa"/>
            <w:tcBorders>
              <w:top w:val="single" w:color="auto" w:sz="4" w:space="0"/>
              <w:left w:val="single" w:color="auto" w:sz="4" w:space="0"/>
              <w:bottom w:val="single" w:color="auto" w:sz="4" w:space="0"/>
              <w:right w:val="single" w:color="auto" w:sz="4" w:space="0"/>
            </w:tcBorders>
            <w:vAlign w:val="center"/>
          </w:tcPr>
          <w:p w14:paraId="7C46C174">
            <w:pPr>
              <w:keepNext w:val="0"/>
              <w:keepLines w:val="0"/>
              <w:pageBreakBefore w:val="0"/>
              <w:kinsoku/>
              <w:wordWrap/>
              <w:overflowPunct/>
              <w:topLinePunct w:val="0"/>
              <w:bidi w:val="0"/>
              <w:adjustRightInd/>
              <w:snapToGrid/>
              <w:spacing w:line="560" w:lineRule="exact"/>
              <w:rPr>
                <w:rFonts w:hint="eastAsia" w:ascii="宋体" w:hAnsi="宋体" w:eastAsia="宋体" w:cs="宋体"/>
                <w:color w:val="000000" w:themeColor="text1"/>
                <w:sz w:val="28"/>
                <w:szCs w:val="28"/>
                <w:highlight w:val="none"/>
                <w14:textFill>
                  <w14:solidFill>
                    <w14:schemeClr w14:val="tx1"/>
                  </w14:solidFill>
                </w14:textFill>
              </w:rPr>
            </w:pPr>
            <w:r>
              <w:rPr>
                <w:rFonts w:hint="eastAsia"/>
                <w:color w:val="000000" w:themeColor="text1"/>
                <w:kern w:val="2"/>
                <w:sz w:val="28"/>
                <w:szCs w:val="21"/>
                <w:highlight w:val="none"/>
                <w:lang w:val="en-US" w:eastAsia="zh-CN"/>
                <w14:textFill>
                  <w14:solidFill>
                    <w14:schemeClr w14:val="tx1"/>
                  </w14:solidFill>
                </w14:textFill>
              </w:rPr>
              <w:t>参照国家发展改革委员会发改价格〔2015〕299号）文件及《招标代理服务收费管理暂行办法》（计价格〔2002〕1980号）标准</w:t>
            </w:r>
            <w:r>
              <w:rPr>
                <w:rFonts w:hint="eastAsia"/>
                <w:b/>
                <w:color w:val="000000" w:themeColor="text1"/>
                <w:kern w:val="2"/>
                <w:sz w:val="28"/>
                <w:szCs w:val="21"/>
                <w:highlight w:val="none"/>
                <w:u w:val="single"/>
                <w:lang w:val="en-US" w:eastAsia="zh-CN"/>
                <w14:textFill>
                  <w14:solidFill>
                    <w14:schemeClr w14:val="tx1"/>
                  </w14:solidFill>
                </w14:textFill>
              </w:rPr>
              <w:t xml:space="preserve">  下浮55%  </w:t>
            </w:r>
            <w:r>
              <w:rPr>
                <w:rFonts w:hint="eastAsia"/>
                <w:color w:val="000000" w:themeColor="text1"/>
                <w:kern w:val="2"/>
                <w:sz w:val="28"/>
                <w:szCs w:val="21"/>
                <w:highlight w:val="none"/>
                <w:lang w:val="en-US" w:eastAsia="zh-CN"/>
                <w14:textFill>
                  <w14:solidFill>
                    <w14:schemeClr w14:val="tx1"/>
                  </w14:solidFill>
                </w14:textFill>
              </w:rPr>
              <w:t>计取</w:t>
            </w:r>
          </w:p>
        </w:tc>
      </w:tr>
      <w:tr w14:paraId="0152DC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993" w:type="dxa"/>
            <w:vMerge w:val="continue"/>
            <w:tcBorders>
              <w:top w:val="single" w:color="auto" w:sz="4" w:space="0"/>
              <w:left w:val="single" w:color="auto" w:sz="4" w:space="0"/>
              <w:bottom w:val="single" w:color="auto" w:sz="4" w:space="0"/>
              <w:right w:val="single" w:color="auto" w:sz="4" w:space="0"/>
            </w:tcBorders>
            <w:vAlign w:val="center"/>
          </w:tcPr>
          <w:p w14:paraId="2DEC8FFB">
            <w:pPr>
              <w:keepNext w:val="0"/>
              <w:keepLines w:val="0"/>
              <w:pageBreakBefore w:val="0"/>
              <w:widowControl/>
              <w:kinsoku/>
              <w:wordWrap/>
              <w:overflowPunct/>
              <w:topLinePunct w:val="0"/>
              <w:bidi w:val="0"/>
              <w:adjustRightInd/>
              <w:snapToGrid/>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2239" w:type="dxa"/>
            <w:tcBorders>
              <w:top w:val="single" w:color="auto" w:sz="4" w:space="0"/>
              <w:left w:val="single" w:color="auto" w:sz="4" w:space="0"/>
              <w:bottom w:val="single" w:color="auto" w:sz="4" w:space="0"/>
              <w:right w:val="single" w:color="auto" w:sz="4" w:space="0"/>
            </w:tcBorders>
            <w:vAlign w:val="center"/>
          </w:tcPr>
          <w:p w14:paraId="3247820F">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代理服务费收款账户信息</w:t>
            </w:r>
          </w:p>
        </w:tc>
        <w:tc>
          <w:tcPr>
            <w:tcW w:w="7297" w:type="dxa"/>
            <w:tcBorders>
              <w:top w:val="single" w:color="auto" w:sz="4" w:space="0"/>
              <w:left w:val="single" w:color="auto" w:sz="4" w:space="0"/>
              <w:bottom w:val="single" w:color="auto" w:sz="4" w:space="0"/>
              <w:right w:val="single" w:color="auto" w:sz="4" w:space="0"/>
            </w:tcBorders>
            <w:vAlign w:val="center"/>
          </w:tcPr>
          <w:p w14:paraId="5C3ADBD4">
            <w:pPr>
              <w:keepNext w:val="0"/>
              <w:keepLines w:val="0"/>
              <w:pageBreakBefore w:val="0"/>
              <w:kinsoku/>
              <w:wordWrap/>
              <w:overflowPunct/>
              <w:topLinePunct w:val="0"/>
              <w:bidi w:val="0"/>
              <w:adjustRightInd/>
              <w:snapToGrid/>
              <w:spacing w:line="560" w:lineRule="exact"/>
              <w:rPr>
                <w:rFonts w:hint="eastAsia" w:ascii="宋体" w:hAnsi="宋体" w:eastAsia="宋体" w:cs="宋体"/>
                <w:color w:val="000000" w:themeColor="text1"/>
                <w:sz w:val="28"/>
                <w:szCs w:val="28"/>
                <w:highlight w:val="none"/>
                <w:lang w:eastAsia="zh-CN"/>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开户名称：新疆诚誉工程项目管理有限公司哈密分公司</w:t>
            </w:r>
          </w:p>
          <w:p w14:paraId="316B960E">
            <w:pPr>
              <w:keepNext w:val="0"/>
              <w:keepLines w:val="0"/>
              <w:pageBreakBefore w:val="0"/>
              <w:kinsoku/>
              <w:wordWrap/>
              <w:overflowPunct/>
              <w:topLinePunct w:val="0"/>
              <w:bidi w:val="0"/>
              <w:adjustRightInd/>
              <w:snapToGrid/>
              <w:spacing w:line="560" w:lineRule="exac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开户银行：</w:t>
            </w:r>
            <w:r>
              <w:rPr>
                <w:rFonts w:hint="eastAsia" w:ascii="宋体" w:hAnsi="宋体" w:cs="宋体"/>
                <w:color w:val="000000" w:themeColor="text1"/>
                <w:sz w:val="28"/>
                <w:szCs w:val="28"/>
                <w:highlight w:val="none"/>
                <w:lang w:eastAsia="zh-CN"/>
                <w14:textFill>
                  <w14:solidFill>
                    <w14:schemeClr w14:val="tx1"/>
                  </w14:solidFill>
                </w14:textFill>
              </w:rPr>
              <w:t>中国银行股份有限公司哈密市分行</w:t>
            </w:r>
          </w:p>
          <w:p w14:paraId="6B5B41FC">
            <w:pPr>
              <w:keepNext w:val="0"/>
              <w:keepLines w:val="0"/>
              <w:pageBreakBefore w:val="0"/>
              <w:kinsoku/>
              <w:wordWrap/>
              <w:overflowPunct/>
              <w:topLinePunct w:val="0"/>
              <w:bidi w:val="0"/>
              <w:adjustRightInd/>
              <w:snapToGrid/>
              <w:spacing w:line="560" w:lineRule="exac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银行账号：</w:t>
            </w:r>
            <w:r>
              <w:rPr>
                <w:rFonts w:hint="eastAsia" w:ascii="宋体" w:hAnsi="宋体" w:cs="宋体"/>
                <w:color w:val="000000" w:themeColor="text1"/>
                <w:sz w:val="28"/>
                <w:szCs w:val="28"/>
                <w:highlight w:val="none"/>
                <w:lang w:eastAsia="zh-CN"/>
                <w14:textFill>
                  <w14:solidFill>
                    <w14:schemeClr w14:val="tx1"/>
                  </w14:solidFill>
                </w14:textFill>
              </w:rPr>
              <w:t>107682200924</w:t>
            </w:r>
          </w:p>
        </w:tc>
      </w:tr>
      <w:tr w14:paraId="52BA3A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14:paraId="56E66E3F">
            <w:pPr>
              <w:keepNext w:val="0"/>
              <w:keepLines w:val="0"/>
              <w:pageBreakBefore w:val="0"/>
              <w:kinsoku/>
              <w:wordWrap/>
              <w:overflowPunct/>
              <w:topLinePunct w:val="0"/>
              <w:bidi w:val="0"/>
              <w:adjustRightInd/>
              <w:snapToGrid/>
              <w:spacing w:line="560" w:lineRule="exact"/>
              <w:jc w:val="center"/>
              <w:rPr>
                <w:rFonts w:hint="default"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cs="宋体"/>
                <w:color w:val="000000" w:themeColor="text1"/>
                <w:sz w:val="28"/>
                <w:szCs w:val="28"/>
                <w:highlight w:val="none"/>
                <w:lang w:val="en-US" w:eastAsia="zh-CN"/>
                <w14:textFill>
                  <w14:solidFill>
                    <w14:schemeClr w14:val="tx1"/>
                  </w14:solidFill>
                </w14:textFill>
              </w:rPr>
              <w:t>26</w:t>
            </w:r>
          </w:p>
        </w:tc>
        <w:tc>
          <w:tcPr>
            <w:tcW w:w="2239" w:type="dxa"/>
            <w:tcBorders>
              <w:top w:val="single" w:color="auto" w:sz="4" w:space="0"/>
              <w:left w:val="single" w:color="auto" w:sz="4" w:space="0"/>
              <w:bottom w:val="single" w:color="auto" w:sz="4" w:space="0"/>
              <w:right w:val="single" w:color="auto" w:sz="4" w:space="0"/>
            </w:tcBorders>
            <w:vAlign w:val="center"/>
          </w:tcPr>
          <w:p w14:paraId="70D3EB67">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t>供货期</w:t>
            </w:r>
          </w:p>
        </w:tc>
        <w:tc>
          <w:tcPr>
            <w:tcW w:w="7297" w:type="dxa"/>
            <w:tcBorders>
              <w:top w:val="single" w:color="auto" w:sz="4" w:space="0"/>
              <w:left w:val="single" w:color="auto" w:sz="4" w:space="0"/>
              <w:bottom w:val="single" w:color="auto" w:sz="4" w:space="0"/>
              <w:right w:val="single" w:color="auto" w:sz="4" w:space="0"/>
            </w:tcBorders>
            <w:vAlign w:val="center"/>
          </w:tcPr>
          <w:p w14:paraId="4109DC21">
            <w:pPr>
              <w:keepNext w:val="0"/>
              <w:keepLines w:val="0"/>
              <w:pageBreakBefore w:val="0"/>
              <w:kinsoku/>
              <w:wordWrap/>
              <w:overflowPunct/>
              <w:topLinePunct w:val="0"/>
              <w:bidi w:val="0"/>
              <w:adjustRightInd/>
              <w:snapToGrid/>
              <w:spacing w:line="560" w:lineRule="exact"/>
              <w:rPr>
                <w:rFonts w:hint="default" w:ascii="宋体" w:hAnsi="宋体" w:eastAsia="宋体" w:cs="宋体"/>
                <w:b/>
                <w:bCs/>
                <w:color w:val="000000" w:themeColor="text1"/>
                <w:sz w:val="28"/>
                <w:szCs w:val="28"/>
                <w:highlight w:val="none"/>
                <w:lang w:val="en-US" w:eastAsia="zh-CN"/>
                <w14:textFill>
                  <w14:solidFill>
                    <w14:schemeClr w14:val="tx1"/>
                  </w14:solidFill>
                </w14:textFill>
              </w:rPr>
            </w:pPr>
            <w:r>
              <w:rPr>
                <w:rFonts w:hint="eastAsia" w:ascii="宋体" w:hAnsi="宋体" w:cs="宋体"/>
                <w:b/>
                <w:bCs/>
                <w:color w:val="000000" w:themeColor="text1"/>
                <w:sz w:val="28"/>
                <w:szCs w:val="28"/>
                <w:highlight w:val="none"/>
                <w:lang w:val="en-US" w:eastAsia="zh-CN"/>
                <w14:textFill>
                  <w14:solidFill>
                    <w14:schemeClr w14:val="tx1"/>
                  </w14:solidFill>
                </w14:textFill>
              </w:rPr>
              <w:t>自中标结果公示发布之日起30天。</w:t>
            </w:r>
          </w:p>
        </w:tc>
      </w:tr>
      <w:tr w14:paraId="0FA37B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14:paraId="78B3A065">
            <w:pPr>
              <w:keepNext w:val="0"/>
              <w:keepLines w:val="0"/>
              <w:pageBreakBefore w:val="0"/>
              <w:kinsoku/>
              <w:wordWrap/>
              <w:overflowPunct/>
              <w:topLinePunct w:val="0"/>
              <w:bidi w:val="0"/>
              <w:adjustRightInd/>
              <w:snapToGrid/>
              <w:spacing w:line="560" w:lineRule="exact"/>
              <w:jc w:val="center"/>
              <w:rPr>
                <w:rFonts w:hint="default"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cs="宋体"/>
                <w:color w:val="000000" w:themeColor="text1"/>
                <w:sz w:val="28"/>
                <w:szCs w:val="28"/>
                <w:highlight w:val="none"/>
                <w:lang w:val="en-US" w:eastAsia="zh-CN"/>
                <w14:textFill>
                  <w14:solidFill>
                    <w14:schemeClr w14:val="tx1"/>
                  </w14:solidFill>
                </w14:textFill>
              </w:rPr>
              <w:t>27</w:t>
            </w:r>
          </w:p>
        </w:tc>
        <w:tc>
          <w:tcPr>
            <w:tcW w:w="2239" w:type="dxa"/>
            <w:tcBorders>
              <w:top w:val="single" w:color="auto" w:sz="4" w:space="0"/>
              <w:left w:val="single" w:color="auto" w:sz="4" w:space="0"/>
              <w:bottom w:val="single" w:color="auto" w:sz="4" w:space="0"/>
              <w:right w:val="single" w:color="auto" w:sz="4" w:space="0"/>
            </w:tcBorders>
            <w:vAlign w:val="center"/>
          </w:tcPr>
          <w:p w14:paraId="60D159E9">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付款方式</w:t>
            </w:r>
          </w:p>
        </w:tc>
        <w:tc>
          <w:tcPr>
            <w:tcW w:w="7297" w:type="dxa"/>
            <w:tcBorders>
              <w:top w:val="single" w:color="auto" w:sz="4" w:space="0"/>
              <w:left w:val="single" w:color="auto" w:sz="4" w:space="0"/>
              <w:bottom w:val="single" w:color="auto" w:sz="4" w:space="0"/>
              <w:right w:val="single" w:color="auto" w:sz="4" w:space="0"/>
            </w:tcBorders>
            <w:vAlign w:val="center"/>
          </w:tcPr>
          <w:p w14:paraId="387A862C">
            <w:pPr>
              <w:keepNext w:val="0"/>
              <w:keepLines w:val="0"/>
              <w:pageBreakBefore w:val="0"/>
              <w:kinsoku/>
              <w:wordWrap/>
              <w:overflowPunct/>
              <w:topLinePunct w:val="0"/>
              <w:bidi w:val="0"/>
              <w:adjustRightInd/>
              <w:snapToGrid/>
              <w:spacing w:line="560" w:lineRule="exact"/>
              <w:rPr>
                <w:rFonts w:hint="eastAsia" w:ascii="宋体" w:hAnsi="宋体" w:eastAsia="宋体" w:cs="宋体"/>
                <w:color w:val="000000" w:themeColor="text1"/>
                <w:sz w:val="28"/>
                <w:szCs w:val="28"/>
                <w:highlight w:val="none"/>
                <w:lang w:eastAsia="zh-CN"/>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设备安装验收完成，培训结束后使用满2个月无任何问题支付合同总金额的80%，自验收合格之日起设备使用满1年后无任何问题支付合同总金额的10%，合同内容全部履约完成后支付合同总金额的10%</w:t>
            </w:r>
            <w:r>
              <w:rPr>
                <w:rFonts w:hint="eastAsia" w:ascii="宋体" w:hAnsi="宋体" w:cs="宋体"/>
                <w:color w:val="000000" w:themeColor="text1"/>
                <w:sz w:val="28"/>
                <w:szCs w:val="28"/>
                <w:highlight w:val="none"/>
                <w:lang w:eastAsia="zh-CN"/>
                <w14:textFill>
                  <w14:solidFill>
                    <w14:schemeClr w14:val="tx1"/>
                  </w14:solidFill>
                </w14:textFill>
              </w:rPr>
              <w:t>。</w:t>
            </w:r>
          </w:p>
        </w:tc>
      </w:tr>
      <w:tr w14:paraId="4F3C57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14:paraId="27845741">
            <w:pPr>
              <w:keepNext w:val="0"/>
              <w:keepLines w:val="0"/>
              <w:pageBreakBefore w:val="0"/>
              <w:kinsoku/>
              <w:wordWrap/>
              <w:overflowPunct/>
              <w:topLinePunct w:val="0"/>
              <w:bidi w:val="0"/>
              <w:adjustRightInd/>
              <w:snapToGrid/>
              <w:spacing w:line="560" w:lineRule="exact"/>
              <w:jc w:val="center"/>
              <w:rPr>
                <w:rFonts w:hint="default"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cs="宋体"/>
                <w:color w:val="000000" w:themeColor="text1"/>
                <w:sz w:val="28"/>
                <w:szCs w:val="28"/>
                <w:highlight w:val="none"/>
                <w:lang w:val="en-US" w:eastAsia="zh-CN"/>
                <w14:textFill>
                  <w14:solidFill>
                    <w14:schemeClr w14:val="tx1"/>
                  </w14:solidFill>
                </w14:textFill>
              </w:rPr>
              <w:t>28</w:t>
            </w:r>
          </w:p>
        </w:tc>
        <w:tc>
          <w:tcPr>
            <w:tcW w:w="2239" w:type="dxa"/>
            <w:tcBorders>
              <w:top w:val="single" w:color="auto" w:sz="4" w:space="0"/>
              <w:left w:val="single" w:color="auto" w:sz="4" w:space="0"/>
              <w:bottom w:val="single" w:color="auto" w:sz="4" w:space="0"/>
              <w:right w:val="single" w:color="auto" w:sz="4" w:space="0"/>
            </w:tcBorders>
            <w:vAlign w:val="center"/>
          </w:tcPr>
          <w:p w14:paraId="486B047F">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t>质保期</w:t>
            </w:r>
          </w:p>
        </w:tc>
        <w:tc>
          <w:tcPr>
            <w:tcW w:w="7297" w:type="dxa"/>
            <w:tcBorders>
              <w:top w:val="single" w:color="auto" w:sz="4" w:space="0"/>
              <w:left w:val="single" w:color="auto" w:sz="4" w:space="0"/>
              <w:bottom w:val="single" w:color="auto" w:sz="4" w:space="0"/>
              <w:right w:val="single" w:color="auto" w:sz="4" w:space="0"/>
            </w:tcBorders>
            <w:vAlign w:val="center"/>
          </w:tcPr>
          <w:p w14:paraId="712815FE">
            <w:pPr>
              <w:keepNext w:val="0"/>
              <w:keepLines w:val="0"/>
              <w:pageBreakBefore w:val="0"/>
              <w:kinsoku/>
              <w:wordWrap/>
              <w:overflowPunct/>
              <w:topLinePunct w:val="0"/>
              <w:bidi w:val="0"/>
              <w:adjustRightInd/>
              <w:snapToGrid/>
              <w:spacing w:line="560" w:lineRule="exact"/>
              <w:rPr>
                <w:rFonts w:hint="eastAsia" w:ascii="宋体" w:hAnsi="宋体" w:eastAsia="宋体" w:cs="宋体"/>
                <w:b/>
                <w:bCs/>
                <w:color w:val="000000" w:themeColor="text1"/>
                <w:sz w:val="28"/>
                <w:szCs w:val="28"/>
                <w:highlight w:val="none"/>
                <w:lang w:val="en-US" w:eastAsia="zh-CN"/>
                <w14:textFill>
                  <w14:solidFill>
                    <w14:schemeClr w14:val="tx1"/>
                  </w14:solidFill>
                </w14:textFill>
              </w:rPr>
            </w:pPr>
            <w:r>
              <w:rPr>
                <w:rFonts w:hint="eastAsia" w:ascii="宋体" w:hAnsi="宋体" w:eastAsia="宋体" w:cs="宋体"/>
                <w:b/>
                <w:bCs/>
                <w:color w:val="000000" w:themeColor="text1"/>
                <w:sz w:val="28"/>
                <w:szCs w:val="28"/>
                <w:highlight w:val="none"/>
                <w:lang w:val="en-US" w:eastAsia="zh-CN"/>
                <w14:textFill>
                  <w14:solidFill>
                    <w14:schemeClr w14:val="tx1"/>
                  </w14:solidFill>
                </w14:textFill>
              </w:rPr>
              <w:t>自验收合格之日起两年</w:t>
            </w:r>
          </w:p>
        </w:tc>
      </w:tr>
      <w:tr w14:paraId="320E72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14:paraId="40DB4A6F">
            <w:pPr>
              <w:keepNext w:val="0"/>
              <w:keepLines w:val="0"/>
              <w:pageBreakBefore w:val="0"/>
              <w:kinsoku/>
              <w:wordWrap/>
              <w:overflowPunct/>
              <w:topLinePunct w:val="0"/>
              <w:bidi w:val="0"/>
              <w:adjustRightInd/>
              <w:snapToGrid/>
              <w:spacing w:line="560" w:lineRule="exact"/>
              <w:jc w:val="center"/>
              <w:rPr>
                <w:rFonts w:hint="default"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cs="宋体"/>
                <w:color w:val="000000" w:themeColor="text1"/>
                <w:sz w:val="28"/>
                <w:szCs w:val="28"/>
                <w:highlight w:val="none"/>
                <w:lang w:val="en-US" w:eastAsia="zh-CN"/>
                <w14:textFill>
                  <w14:solidFill>
                    <w14:schemeClr w14:val="tx1"/>
                  </w14:solidFill>
                </w14:textFill>
              </w:rPr>
              <w:t>29</w:t>
            </w:r>
          </w:p>
        </w:tc>
        <w:tc>
          <w:tcPr>
            <w:tcW w:w="2239" w:type="dxa"/>
            <w:tcBorders>
              <w:top w:val="single" w:color="auto" w:sz="4" w:space="0"/>
              <w:left w:val="single" w:color="auto" w:sz="4" w:space="0"/>
              <w:bottom w:val="single" w:color="auto" w:sz="4" w:space="0"/>
              <w:right w:val="single" w:color="auto" w:sz="4" w:space="0"/>
            </w:tcBorders>
            <w:vAlign w:val="center"/>
          </w:tcPr>
          <w:p w14:paraId="69ABDE04">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中小微型企业</w:t>
            </w:r>
          </w:p>
          <w:p w14:paraId="3D5AFCE2">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有关政策</w:t>
            </w:r>
          </w:p>
        </w:tc>
        <w:tc>
          <w:tcPr>
            <w:tcW w:w="7297" w:type="dxa"/>
            <w:tcBorders>
              <w:top w:val="single" w:color="auto" w:sz="4" w:space="0"/>
              <w:left w:val="single" w:color="auto" w:sz="4" w:space="0"/>
              <w:bottom w:val="single" w:color="auto" w:sz="4" w:space="0"/>
              <w:right w:val="single" w:color="auto" w:sz="4" w:space="0"/>
            </w:tcBorders>
            <w:vAlign w:val="center"/>
          </w:tcPr>
          <w:p w14:paraId="76658363">
            <w:pPr>
              <w:pStyle w:val="144"/>
              <w:keepNext w:val="0"/>
              <w:keepLines w:val="0"/>
              <w:pageBreakBefore w:val="0"/>
              <w:kinsoku/>
              <w:wordWrap/>
              <w:overflowPunct/>
              <w:topLinePunct w:val="0"/>
              <w:bidi w:val="0"/>
              <w:adjustRightInd/>
              <w:snapToGrid/>
              <w:spacing w:line="560" w:lineRule="exac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kern w:val="0"/>
                <w:sz w:val="28"/>
                <w:szCs w:val="28"/>
                <w:highlight w:val="none"/>
                <w14:textFill>
                  <w14:solidFill>
                    <w14:schemeClr w14:val="tx1"/>
                  </w14:solidFill>
                </w14:textFill>
              </w:rPr>
              <w:t>(1)根据财政部、工业和信息化部发布的关于印发《政府采</w:t>
            </w:r>
            <w:r>
              <w:rPr>
                <w:rFonts w:hint="eastAsia" w:ascii="宋体" w:hAnsi="宋体" w:eastAsia="宋体" w:cs="宋体"/>
                <w:color w:val="000000" w:themeColor="text1"/>
                <w:sz w:val="28"/>
                <w:szCs w:val="28"/>
                <w:highlight w:val="none"/>
                <w14:textFill>
                  <w14:solidFill>
                    <w14:schemeClr w14:val="tx1"/>
                  </w14:solidFill>
                </w14:textFill>
              </w:rPr>
              <w:t>购促进中小企业发展管理办法》的通知，财库[2020]46号）规定执行；本次采购标的所属行业为</w:t>
            </w:r>
            <w:r>
              <w:rPr>
                <w:rFonts w:hint="eastAsia" w:ascii="宋体" w:hAnsi="宋体" w:eastAsia="宋体" w:cs="宋体"/>
                <w:b/>
                <w:bCs/>
                <w:color w:val="000000" w:themeColor="text1"/>
                <w:sz w:val="28"/>
                <w:szCs w:val="28"/>
                <w:highlight w:val="none"/>
                <w:u w:val="single"/>
                <w14:textFill>
                  <w14:solidFill>
                    <w14:schemeClr w14:val="tx1"/>
                  </w14:solidFill>
                </w14:textFill>
              </w:rPr>
              <w:t>工业</w:t>
            </w:r>
            <w:r>
              <w:rPr>
                <w:rFonts w:hint="eastAsia" w:ascii="宋体" w:hAnsi="宋体" w:eastAsia="宋体" w:cs="宋体"/>
                <w:color w:val="000000" w:themeColor="text1"/>
                <w:sz w:val="28"/>
                <w:szCs w:val="28"/>
                <w:highlight w:val="none"/>
                <w14:textFill>
                  <w14:solidFill>
                    <w14:schemeClr w14:val="tx1"/>
                  </w14:solidFill>
                </w14:textFill>
              </w:rPr>
              <w:t>，中小微型企业需按照招标文件格式要求提供《中小企业声明函》，符合要求的小微型企业可享受相应政策。</w:t>
            </w:r>
          </w:p>
          <w:p w14:paraId="5CAA8C7E">
            <w:pPr>
              <w:keepNext w:val="0"/>
              <w:keepLines w:val="0"/>
              <w:pageBreakBefore w:val="0"/>
              <w:kinsoku/>
              <w:wordWrap/>
              <w:overflowPunct/>
              <w:topLinePunct w:val="0"/>
              <w:bidi w:val="0"/>
              <w:adjustRightInd/>
              <w:snapToGrid/>
              <w:spacing w:line="560" w:lineRule="exac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(2)价格扣除幅度：价格给予</w:t>
            </w:r>
            <w:r>
              <w:rPr>
                <w:rFonts w:hint="eastAsia" w:ascii="宋体" w:hAnsi="宋体" w:eastAsia="宋体" w:cs="宋体"/>
                <w:color w:val="000000" w:themeColor="text1"/>
                <w:sz w:val="28"/>
                <w:szCs w:val="28"/>
                <w:highlight w:val="none"/>
                <w:u w:val="single"/>
                <w14:textFill>
                  <w14:solidFill>
                    <w14:schemeClr w14:val="tx1"/>
                  </w14:solidFill>
                </w14:textFill>
              </w:rPr>
              <w:t>10%</w:t>
            </w:r>
            <w:r>
              <w:rPr>
                <w:rFonts w:hint="eastAsia" w:ascii="宋体" w:hAnsi="宋体" w:eastAsia="宋体" w:cs="宋体"/>
                <w:color w:val="000000" w:themeColor="text1"/>
                <w:sz w:val="28"/>
                <w:szCs w:val="28"/>
                <w:highlight w:val="none"/>
                <w14:textFill>
                  <w14:solidFill>
                    <w14:schemeClr w14:val="tx1"/>
                  </w14:solidFill>
                </w14:textFill>
              </w:rPr>
              <w:t>的扣除，计算投标报价分时，用扣除后的价格参与评审。</w:t>
            </w:r>
          </w:p>
        </w:tc>
      </w:tr>
      <w:tr w14:paraId="2B50C9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14:paraId="28491013">
            <w:pPr>
              <w:keepNext w:val="0"/>
              <w:keepLines w:val="0"/>
              <w:pageBreakBefore w:val="0"/>
              <w:kinsoku/>
              <w:wordWrap/>
              <w:overflowPunct/>
              <w:topLinePunct w:val="0"/>
              <w:bidi w:val="0"/>
              <w:adjustRightInd/>
              <w:snapToGrid/>
              <w:spacing w:line="560" w:lineRule="exact"/>
              <w:jc w:val="center"/>
              <w:rPr>
                <w:rFonts w:hint="default" w:ascii="宋体" w:hAnsi="宋体" w:cs="宋体"/>
                <w:color w:val="000000" w:themeColor="text1"/>
                <w:sz w:val="28"/>
                <w:szCs w:val="28"/>
                <w:highlight w:val="none"/>
                <w:lang w:val="en-US" w:eastAsia="zh-CN"/>
                <w14:textFill>
                  <w14:solidFill>
                    <w14:schemeClr w14:val="tx1"/>
                  </w14:solidFill>
                </w14:textFill>
              </w:rPr>
            </w:pPr>
            <w:r>
              <w:rPr>
                <w:rFonts w:hint="eastAsia" w:ascii="宋体" w:hAnsi="宋体" w:cs="宋体"/>
                <w:color w:val="000000" w:themeColor="text1"/>
                <w:sz w:val="28"/>
                <w:szCs w:val="28"/>
                <w:highlight w:val="none"/>
                <w:lang w:val="en-US" w:eastAsia="zh-CN"/>
                <w14:textFill>
                  <w14:solidFill>
                    <w14:schemeClr w14:val="tx1"/>
                  </w14:solidFill>
                </w14:textFill>
              </w:rPr>
              <w:t>30</w:t>
            </w:r>
          </w:p>
        </w:tc>
        <w:tc>
          <w:tcPr>
            <w:tcW w:w="2239" w:type="dxa"/>
            <w:tcBorders>
              <w:top w:val="single" w:color="auto" w:sz="4" w:space="0"/>
              <w:left w:val="single" w:color="auto" w:sz="4" w:space="0"/>
              <w:bottom w:val="single" w:color="auto" w:sz="4" w:space="0"/>
              <w:right w:val="single" w:color="auto" w:sz="4" w:space="0"/>
            </w:tcBorders>
            <w:vAlign w:val="center"/>
          </w:tcPr>
          <w:p w14:paraId="39306C9D">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推荐成交候选供应商的数量</w:t>
            </w:r>
          </w:p>
        </w:tc>
        <w:tc>
          <w:tcPr>
            <w:tcW w:w="7297" w:type="dxa"/>
            <w:tcBorders>
              <w:top w:val="single" w:color="auto" w:sz="4" w:space="0"/>
              <w:left w:val="single" w:color="auto" w:sz="4" w:space="0"/>
              <w:bottom w:val="single" w:color="auto" w:sz="4" w:space="0"/>
              <w:right w:val="single" w:color="auto" w:sz="4" w:space="0"/>
            </w:tcBorders>
            <w:vAlign w:val="center"/>
          </w:tcPr>
          <w:p w14:paraId="5D9D98D8">
            <w:pPr>
              <w:keepNext w:val="0"/>
              <w:keepLines w:val="0"/>
              <w:pageBreakBefore w:val="0"/>
              <w:kinsoku/>
              <w:wordWrap/>
              <w:overflowPunct/>
              <w:topLinePunct w:val="0"/>
              <w:bidi w:val="0"/>
              <w:adjustRightInd/>
              <w:snapToGrid/>
              <w:spacing w:line="560" w:lineRule="exac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 3 家</w:t>
            </w:r>
          </w:p>
        </w:tc>
      </w:tr>
      <w:tr w14:paraId="566E09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14:paraId="6E9EB438">
            <w:pPr>
              <w:keepNext w:val="0"/>
              <w:keepLines w:val="0"/>
              <w:pageBreakBefore w:val="0"/>
              <w:kinsoku/>
              <w:wordWrap/>
              <w:overflowPunct/>
              <w:topLinePunct w:val="0"/>
              <w:bidi w:val="0"/>
              <w:adjustRightInd/>
              <w:snapToGrid/>
              <w:spacing w:line="560" w:lineRule="exact"/>
              <w:jc w:val="center"/>
              <w:rPr>
                <w:rFonts w:hint="default"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cs="宋体"/>
                <w:color w:val="000000" w:themeColor="text1"/>
                <w:sz w:val="28"/>
                <w:szCs w:val="28"/>
                <w:highlight w:val="none"/>
                <w:lang w:val="en-US" w:eastAsia="zh-CN"/>
                <w14:textFill>
                  <w14:solidFill>
                    <w14:schemeClr w14:val="tx1"/>
                  </w14:solidFill>
                </w14:textFill>
              </w:rPr>
              <w:t>31</w:t>
            </w:r>
          </w:p>
        </w:tc>
        <w:tc>
          <w:tcPr>
            <w:tcW w:w="2239" w:type="dxa"/>
            <w:tcBorders>
              <w:top w:val="single" w:color="auto" w:sz="4" w:space="0"/>
              <w:left w:val="single" w:color="auto" w:sz="4" w:space="0"/>
              <w:bottom w:val="single" w:color="auto" w:sz="4" w:space="0"/>
              <w:right w:val="single" w:color="auto" w:sz="4" w:space="0"/>
            </w:tcBorders>
            <w:vAlign w:val="center"/>
          </w:tcPr>
          <w:p w14:paraId="31A8FEB0">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解释</w:t>
            </w:r>
          </w:p>
        </w:tc>
        <w:tc>
          <w:tcPr>
            <w:tcW w:w="7297" w:type="dxa"/>
            <w:tcBorders>
              <w:top w:val="single" w:color="auto" w:sz="4" w:space="0"/>
              <w:left w:val="single" w:color="auto" w:sz="4" w:space="0"/>
              <w:bottom w:val="single" w:color="auto" w:sz="4" w:space="0"/>
              <w:right w:val="single" w:color="auto" w:sz="4" w:space="0"/>
            </w:tcBorders>
            <w:vAlign w:val="center"/>
          </w:tcPr>
          <w:p w14:paraId="7C10EA6E">
            <w:pPr>
              <w:keepNext w:val="0"/>
              <w:keepLines w:val="0"/>
              <w:pageBreakBefore w:val="0"/>
              <w:kinsoku/>
              <w:wordWrap/>
              <w:overflowPunct/>
              <w:topLinePunct w:val="0"/>
              <w:bidi w:val="0"/>
              <w:adjustRightInd/>
              <w:snapToGrid/>
              <w:spacing w:line="560" w:lineRule="exact"/>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解释权：</w:t>
            </w:r>
            <w:r>
              <w:rPr>
                <w:rFonts w:hint="eastAsia" w:ascii="宋体" w:hAnsi="宋体" w:eastAsia="宋体" w:cs="宋体"/>
                <w:color w:val="000000" w:themeColor="text1"/>
                <w:sz w:val="28"/>
                <w:szCs w:val="28"/>
                <w:highlight w:val="none"/>
                <w14:textFill>
                  <w14:solidFill>
                    <w14:schemeClr w14:val="tx1"/>
                  </w14:solidFill>
                </w14:textFill>
              </w:rPr>
              <w:t>构成本招标文件的各个组成文件应互为解释，互为说明；除招标文件中有特别规定外，仅适用于招标投标阶段的规定，按更正公告（澄清公告）、招标公告、采购需求、</w:t>
            </w:r>
            <w:r>
              <w:rPr>
                <w:rFonts w:hint="eastAsia" w:ascii="宋体" w:hAnsi="宋体" w:cs="宋体"/>
                <w:color w:val="000000" w:themeColor="text1"/>
                <w:sz w:val="28"/>
                <w:szCs w:val="28"/>
                <w:highlight w:val="none"/>
                <w:lang w:eastAsia="zh-CN"/>
                <w14:textFill>
                  <w14:solidFill>
                    <w14:schemeClr w14:val="tx1"/>
                  </w14:solidFill>
                </w14:textFill>
              </w:rPr>
              <w:t>供应商</w:t>
            </w:r>
            <w:r>
              <w:rPr>
                <w:rFonts w:hint="eastAsia" w:ascii="宋体" w:hAnsi="宋体" w:eastAsia="宋体" w:cs="宋体"/>
                <w:color w:val="000000" w:themeColor="text1"/>
                <w:sz w:val="28"/>
                <w:szCs w:val="28"/>
                <w:highlight w:val="none"/>
                <w14:textFill>
                  <w14:solidFill>
                    <w14:schemeClr w14:val="tx1"/>
                  </w14:solidFill>
                </w14:textFill>
              </w:rPr>
              <w:t>须知、评标方法及评标标准、拟签订的合同文本、投标文件格式的先后顺序解释；同一组成文件中就同一事项的规定或者约定不一致的，以编排顺序在后者为准；同一组成文件不同版本之间有不一致的，以形成时间在后者为准；更正公告（澄清公告）与同步更新的招标文件不一致时以更正公告（澄清公告）为准。按本款前述规定仍不能形成结论的</w:t>
            </w:r>
            <w:r>
              <w:rPr>
                <w:rFonts w:hint="eastAsia" w:ascii="宋体" w:hAnsi="宋体" w:eastAsia="宋体" w:cs="宋体"/>
                <w:b/>
                <w:color w:val="000000" w:themeColor="text1"/>
                <w:sz w:val="28"/>
                <w:szCs w:val="28"/>
                <w:highlight w:val="none"/>
                <w14:textFill>
                  <w14:solidFill>
                    <w14:schemeClr w14:val="tx1"/>
                  </w14:solidFill>
                </w14:textFill>
              </w:rPr>
              <w:t>，由采购人或者采购代理机构负责解释。</w:t>
            </w:r>
          </w:p>
          <w:p w14:paraId="2128D635">
            <w:pPr>
              <w:keepNext w:val="0"/>
              <w:keepLines w:val="0"/>
              <w:pageBreakBefore w:val="0"/>
              <w:kinsoku/>
              <w:wordWrap/>
              <w:overflowPunct/>
              <w:topLinePunct w:val="0"/>
              <w:bidi w:val="0"/>
              <w:adjustRightInd/>
              <w:snapToGrid/>
              <w:spacing w:line="560" w:lineRule="exact"/>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法律责任：</w:t>
            </w:r>
          </w:p>
          <w:p w14:paraId="79107D18">
            <w:pPr>
              <w:keepNext w:val="0"/>
              <w:keepLines w:val="0"/>
              <w:pageBreakBefore w:val="0"/>
              <w:kinsoku/>
              <w:wordWrap/>
              <w:overflowPunct/>
              <w:topLinePunct w:val="0"/>
              <w:bidi w:val="0"/>
              <w:adjustRightInd/>
              <w:snapToGrid/>
              <w:spacing w:line="560" w:lineRule="exac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本采购文件根据《中华人民共和国政府采购法》、《中华人民共和国民法典》；《中华人民共和国政府采购法实施条例》、《政府采购非招标采购方式管理办法》等有关法律、法规编制，参与本项目的各政府采购当事人依法享有上述法律法规所赋予的权利与义务。</w:t>
            </w:r>
          </w:p>
        </w:tc>
      </w:tr>
      <w:tr w14:paraId="01A03B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14:paraId="300243CE">
            <w:pPr>
              <w:keepNext w:val="0"/>
              <w:keepLines w:val="0"/>
              <w:pageBreakBefore w:val="0"/>
              <w:kinsoku/>
              <w:wordWrap/>
              <w:overflowPunct/>
              <w:topLinePunct w:val="0"/>
              <w:bidi w:val="0"/>
              <w:adjustRightInd/>
              <w:snapToGrid/>
              <w:spacing w:line="560" w:lineRule="exact"/>
              <w:jc w:val="center"/>
              <w:rPr>
                <w:rFonts w:hint="default"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cs="宋体"/>
                <w:color w:val="000000" w:themeColor="text1"/>
                <w:sz w:val="28"/>
                <w:szCs w:val="28"/>
                <w:highlight w:val="none"/>
                <w:lang w:val="en-US" w:eastAsia="zh-CN"/>
                <w14:textFill>
                  <w14:solidFill>
                    <w14:schemeClr w14:val="tx1"/>
                  </w14:solidFill>
                </w14:textFill>
              </w:rPr>
              <w:t>32</w:t>
            </w:r>
          </w:p>
        </w:tc>
        <w:tc>
          <w:tcPr>
            <w:tcW w:w="2239" w:type="dxa"/>
            <w:tcBorders>
              <w:top w:val="single" w:color="auto" w:sz="4" w:space="0"/>
              <w:left w:val="single" w:color="auto" w:sz="4" w:space="0"/>
              <w:bottom w:val="single" w:color="auto" w:sz="4" w:space="0"/>
              <w:right w:val="single" w:color="auto" w:sz="4" w:space="0"/>
            </w:tcBorders>
            <w:vAlign w:val="center"/>
          </w:tcPr>
          <w:p w14:paraId="338FD383">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其他释义</w:t>
            </w:r>
          </w:p>
        </w:tc>
        <w:tc>
          <w:tcPr>
            <w:tcW w:w="7297" w:type="dxa"/>
            <w:tcBorders>
              <w:top w:val="single" w:color="auto" w:sz="4" w:space="0"/>
              <w:left w:val="single" w:color="auto" w:sz="4" w:space="0"/>
              <w:bottom w:val="single" w:color="auto" w:sz="4" w:space="0"/>
              <w:right w:val="single" w:color="auto" w:sz="4" w:space="0"/>
            </w:tcBorders>
            <w:vAlign w:val="center"/>
          </w:tcPr>
          <w:p w14:paraId="14163CD7">
            <w:pPr>
              <w:keepNext w:val="0"/>
              <w:keepLines w:val="0"/>
              <w:pageBreakBefore w:val="0"/>
              <w:kinsoku/>
              <w:wordWrap/>
              <w:overflowPunct/>
              <w:topLinePunct w:val="0"/>
              <w:bidi w:val="0"/>
              <w:adjustRightInd/>
              <w:snapToGrid/>
              <w:spacing w:line="560" w:lineRule="exac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1.本招标文件中描述</w:t>
            </w:r>
            <w:r>
              <w:rPr>
                <w:rFonts w:hint="eastAsia" w:ascii="宋体" w:hAnsi="宋体" w:cs="宋体"/>
                <w:color w:val="000000" w:themeColor="text1"/>
                <w:sz w:val="28"/>
                <w:szCs w:val="28"/>
                <w:highlight w:val="none"/>
                <w:lang w:eastAsia="zh-CN"/>
                <w14:textFill>
                  <w14:solidFill>
                    <w14:schemeClr w14:val="tx1"/>
                  </w14:solidFill>
                </w14:textFill>
              </w:rPr>
              <w:t>供应商</w:t>
            </w:r>
            <w:r>
              <w:rPr>
                <w:rFonts w:hint="eastAsia" w:ascii="宋体" w:hAnsi="宋体" w:eastAsia="宋体" w:cs="宋体"/>
                <w:color w:val="000000" w:themeColor="text1"/>
                <w:sz w:val="28"/>
                <w:szCs w:val="28"/>
                <w:highlight w:val="none"/>
                <w14:textFill>
                  <w14:solidFill>
                    <w14:schemeClr w14:val="tx1"/>
                  </w14:solidFill>
                </w14:textFill>
              </w:rPr>
              <w:t>的“公章”是指根据我国对公章的管理规定，用</w:t>
            </w:r>
            <w:r>
              <w:rPr>
                <w:rFonts w:hint="eastAsia" w:ascii="宋体" w:hAnsi="宋体" w:cs="宋体"/>
                <w:color w:val="000000" w:themeColor="text1"/>
                <w:sz w:val="28"/>
                <w:szCs w:val="28"/>
                <w:highlight w:val="none"/>
                <w:lang w:eastAsia="zh-CN"/>
                <w14:textFill>
                  <w14:solidFill>
                    <w14:schemeClr w14:val="tx1"/>
                  </w14:solidFill>
                </w14:textFill>
              </w:rPr>
              <w:t>供应商</w:t>
            </w:r>
            <w:r>
              <w:rPr>
                <w:rFonts w:hint="eastAsia" w:ascii="宋体" w:hAnsi="宋体" w:eastAsia="宋体" w:cs="宋体"/>
                <w:color w:val="000000" w:themeColor="text1"/>
                <w:sz w:val="28"/>
                <w:szCs w:val="28"/>
                <w:highlight w:val="none"/>
                <w14:textFill>
                  <w14:solidFill>
                    <w14:schemeClr w14:val="tx1"/>
                  </w14:solidFill>
                </w14:textFill>
              </w:rPr>
              <w:t>法定主体行为名称制作的印章，除本招标文件有特殊规定外，</w:t>
            </w:r>
            <w:r>
              <w:rPr>
                <w:rFonts w:hint="eastAsia" w:ascii="宋体" w:hAnsi="宋体" w:cs="宋体"/>
                <w:color w:val="000000" w:themeColor="text1"/>
                <w:sz w:val="28"/>
                <w:szCs w:val="28"/>
                <w:highlight w:val="none"/>
                <w:lang w:eastAsia="zh-CN"/>
                <w14:textFill>
                  <w14:solidFill>
                    <w14:schemeClr w14:val="tx1"/>
                  </w14:solidFill>
                </w14:textFill>
              </w:rPr>
              <w:t>供应商</w:t>
            </w:r>
            <w:r>
              <w:rPr>
                <w:rFonts w:hint="eastAsia" w:ascii="宋体" w:hAnsi="宋体" w:eastAsia="宋体" w:cs="宋体"/>
                <w:color w:val="000000" w:themeColor="text1"/>
                <w:sz w:val="28"/>
                <w:szCs w:val="28"/>
                <w:highlight w:val="none"/>
                <w14:textFill>
                  <w14:solidFill>
                    <w14:schemeClr w14:val="tx1"/>
                  </w14:solidFill>
                </w14:textFill>
              </w:rPr>
              <w:t>的财务章、部门章、分公司章、工会章、合同章、投标专用章、业务专用章及银行的转账章、现金收讫章、现金付讫章等其他形式印章均不能代替公章。</w:t>
            </w:r>
          </w:p>
          <w:p w14:paraId="612A5E19">
            <w:pPr>
              <w:keepNext w:val="0"/>
              <w:keepLines w:val="0"/>
              <w:pageBreakBefore w:val="0"/>
              <w:kinsoku/>
              <w:wordWrap/>
              <w:overflowPunct/>
              <w:topLinePunct w:val="0"/>
              <w:bidi w:val="0"/>
              <w:adjustRightInd/>
              <w:snapToGrid/>
              <w:spacing w:line="560" w:lineRule="exac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2.</w:t>
            </w:r>
            <w:r>
              <w:rPr>
                <w:rFonts w:hint="eastAsia" w:ascii="宋体" w:hAnsi="宋体" w:cs="宋体"/>
                <w:color w:val="000000" w:themeColor="text1"/>
                <w:sz w:val="28"/>
                <w:szCs w:val="28"/>
                <w:highlight w:val="none"/>
                <w:lang w:eastAsia="zh-CN"/>
                <w14:textFill>
                  <w14:solidFill>
                    <w14:schemeClr w14:val="tx1"/>
                  </w14:solidFill>
                </w14:textFill>
              </w:rPr>
              <w:t>供应商</w:t>
            </w:r>
            <w:r>
              <w:rPr>
                <w:rFonts w:hint="eastAsia" w:ascii="宋体" w:hAnsi="宋体" w:eastAsia="宋体" w:cs="宋体"/>
                <w:color w:val="000000" w:themeColor="text1"/>
                <w:sz w:val="28"/>
                <w:szCs w:val="28"/>
                <w:highlight w:val="none"/>
                <w14:textFill>
                  <w14:solidFill>
                    <w14:schemeClr w14:val="tx1"/>
                  </w14:solidFill>
                </w14:textFill>
              </w:rPr>
              <w:t>为其他组织或者自然人时，本招标文件规定的法定代表人指负责人或者自然人。本招标文件所称负责人是指参加投标的其他组织营业执照上的负责人，本招标文件所称自然人指参与投标的自然人本人。</w:t>
            </w:r>
          </w:p>
          <w:p w14:paraId="5C27F6B8">
            <w:pPr>
              <w:keepNext w:val="0"/>
              <w:keepLines w:val="0"/>
              <w:pageBreakBefore w:val="0"/>
              <w:kinsoku/>
              <w:wordWrap/>
              <w:overflowPunct/>
              <w:topLinePunct w:val="0"/>
              <w:bidi w:val="0"/>
              <w:adjustRightInd/>
              <w:snapToGrid/>
              <w:spacing w:line="560" w:lineRule="exac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3.本招标文件中描述</w:t>
            </w:r>
            <w:r>
              <w:rPr>
                <w:rFonts w:hint="eastAsia" w:ascii="宋体" w:hAnsi="宋体" w:cs="宋体"/>
                <w:color w:val="000000" w:themeColor="text1"/>
                <w:sz w:val="28"/>
                <w:szCs w:val="28"/>
                <w:highlight w:val="none"/>
                <w:lang w:eastAsia="zh-CN"/>
                <w14:textFill>
                  <w14:solidFill>
                    <w14:schemeClr w14:val="tx1"/>
                  </w14:solidFill>
                </w14:textFill>
              </w:rPr>
              <w:t>供应商</w:t>
            </w:r>
            <w:r>
              <w:rPr>
                <w:rFonts w:hint="eastAsia" w:ascii="宋体" w:hAnsi="宋体" w:eastAsia="宋体" w:cs="宋体"/>
                <w:color w:val="000000" w:themeColor="text1"/>
                <w:sz w:val="28"/>
                <w:szCs w:val="28"/>
                <w:highlight w:val="none"/>
                <w14:textFill>
                  <w14:solidFill>
                    <w14:schemeClr w14:val="tx1"/>
                  </w14:solidFill>
                </w14:textFill>
              </w:rPr>
              <w:t>的“签字”是指</w:t>
            </w:r>
            <w:r>
              <w:rPr>
                <w:rFonts w:hint="eastAsia" w:ascii="宋体" w:hAnsi="宋体" w:cs="宋体"/>
                <w:color w:val="000000" w:themeColor="text1"/>
                <w:sz w:val="28"/>
                <w:szCs w:val="28"/>
                <w:highlight w:val="none"/>
                <w:lang w:eastAsia="zh-CN"/>
                <w14:textFill>
                  <w14:solidFill>
                    <w14:schemeClr w14:val="tx1"/>
                  </w14:solidFill>
                </w14:textFill>
              </w:rPr>
              <w:t>供应商</w:t>
            </w:r>
            <w:r>
              <w:rPr>
                <w:rFonts w:hint="eastAsia" w:ascii="宋体" w:hAnsi="宋体" w:eastAsia="宋体" w:cs="宋体"/>
                <w:color w:val="000000" w:themeColor="text1"/>
                <w:sz w:val="28"/>
                <w:szCs w:val="28"/>
                <w:highlight w:val="none"/>
                <w14:textFill>
                  <w14:solidFill>
                    <w14:schemeClr w14:val="tx1"/>
                  </w14:solidFill>
                </w14:textFill>
              </w:rPr>
              <w:t>的法定代表人或者委托代理人亲自在文件规定签署处亲笔写上个人的名字的行为，签字章、印鉴、影印等其他形式均不能代替亲笔签字。</w:t>
            </w:r>
          </w:p>
          <w:p w14:paraId="3C96AD8C">
            <w:pPr>
              <w:keepNext w:val="0"/>
              <w:keepLines w:val="0"/>
              <w:pageBreakBefore w:val="0"/>
              <w:kinsoku/>
              <w:wordWrap/>
              <w:overflowPunct/>
              <w:topLinePunct w:val="0"/>
              <w:bidi w:val="0"/>
              <w:adjustRightInd/>
              <w:snapToGrid/>
              <w:spacing w:line="560" w:lineRule="exac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4.自然人投标的，招标文件规定盖公章处由自然人摁手指指印。</w:t>
            </w:r>
          </w:p>
          <w:p w14:paraId="63FEF6EE">
            <w:pPr>
              <w:keepNext w:val="0"/>
              <w:keepLines w:val="0"/>
              <w:pageBreakBefore w:val="0"/>
              <w:kinsoku/>
              <w:wordWrap/>
              <w:overflowPunct/>
              <w:topLinePunct w:val="0"/>
              <w:bidi w:val="0"/>
              <w:adjustRightInd/>
              <w:snapToGrid/>
              <w:spacing w:line="560" w:lineRule="exact"/>
              <w:jc w:val="left"/>
              <w:rPr>
                <w:rFonts w:hint="eastAsia" w:ascii="宋体" w:hAnsi="宋体" w:eastAsia="宋体" w:cs="宋体"/>
                <w:b w:val="0"/>
                <w:bCs w:val="0"/>
                <w:color w:val="000000" w:themeColor="text1"/>
                <w:sz w:val="28"/>
                <w:szCs w:val="28"/>
                <w:highlight w:val="none"/>
                <w14:textFill>
                  <w14:solidFill>
                    <w14:schemeClr w14:val="tx1"/>
                  </w14:solidFill>
                </w14:textFill>
              </w:rPr>
            </w:pPr>
            <w:r>
              <w:rPr>
                <w:rFonts w:hint="eastAsia" w:ascii="宋体" w:hAnsi="宋体" w:eastAsia="宋体" w:cs="宋体"/>
                <w:b w:val="0"/>
                <w:bCs w:val="0"/>
                <w:color w:val="000000" w:themeColor="text1"/>
                <w:sz w:val="28"/>
                <w:szCs w:val="28"/>
                <w:highlight w:val="none"/>
                <w14:textFill>
                  <w14:solidFill>
                    <w14:schemeClr w14:val="tx1"/>
                  </w14:solidFill>
                </w14:textFill>
              </w:rPr>
              <w:t>5.本招标文件所称的“以上”“以下”“以内”“届满”，包括本数；所称的“不满”“超过”“以外”，不包括本数。</w:t>
            </w:r>
          </w:p>
          <w:p w14:paraId="4B849AD7">
            <w:pPr>
              <w:keepNext w:val="0"/>
              <w:keepLines w:val="0"/>
              <w:pageBreakBefore w:val="0"/>
              <w:kinsoku/>
              <w:wordWrap/>
              <w:overflowPunct/>
              <w:topLinePunct w:val="0"/>
              <w:bidi w:val="0"/>
              <w:adjustRightInd/>
              <w:snapToGrid/>
              <w:spacing w:line="560" w:lineRule="exact"/>
              <w:jc w:val="left"/>
              <w:rPr>
                <w:rFonts w:hint="eastAsia" w:ascii="宋体" w:hAnsi="宋体" w:eastAsia="宋体" w:cs="宋体"/>
                <w:b w:val="0"/>
                <w:bCs w:val="0"/>
                <w:color w:val="000000" w:themeColor="text1"/>
                <w:sz w:val="28"/>
                <w:szCs w:val="28"/>
                <w:highlight w:val="none"/>
                <w14:textFill>
                  <w14:solidFill>
                    <w14:schemeClr w14:val="tx1"/>
                  </w14:solidFill>
                </w14:textFill>
              </w:rPr>
            </w:pPr>
            <w:r>
              <w:rPr>
                <w:rFonts w:hint="eastAsia" w:ascii="宋体" w:hAnsi="宋体" w:eastAsia="宋体" w:cs="宋体"/>
                <w:b w:val="0"/>
                <w:bCs w:val="0"/>
                <w:color w:val="000000" w:themeColor="text1"/>
                <w:sz w:val="28"/>
                <w:szCs w:val="28"/>
                <w:highlight w:val="none"/>
                <w14:textFill>
                  <w14:solidFill>
                    <w14:schemeClr w14:val="tx1"/>
                  </w14:solidFill>
                </w14:textFill>
              </w:rPr>
              <w:t>6. 本项目为全流程电子化开评标，</w:t>
            </w:r>
            <w:r>
              <w:rPr>
                <w:rFonts w:hint="eastAsia" w:ascii="宋体" w:hAnsi="宋体" w:cs="宋体"/>
                <w:b w:val="0"/>
                <w:bCs w:val="0"/>
                <w:color w:val="000000" w:themeColor="text1"/>
                <w:sz w:val="28"/>
                <w:szCs w:val="28"/>
                <w:highlight w:val="none"/>
                <w:lang w:eastAsia="zh-CN"/>
                <w14:textFill>
                  <w14:solidFill>
                    <w14:schemeClr w14:val="tx1"/>
                  </w14:solidFill>
                </w14:textFill>
              </w:rPr>
              <w:t>供应商</w:t>
            </w:r>
            <w:r>
              <w:rPr>
                <w:rFonts w:hint="eastAsia" w:ascii="宋体" w:hAnsi="宋体" w:eastAsia="宋体" w:cs="宋体"/>
                <w:b w:val="0"/>
                <w:bCs w:val="0"/>
                <w:color w:val="000000" w:themeColor="text1"/>
                <w:sz w:val="28"/>
                <w:szCs w:val="28"/>
                <w:highlight w:val="none"/>
                <w14:textFill>
                  <w14:solidFill>
                    <w14:schemeClr w14:val="tx1"/>
                  </w14:solidFill>
                </w14:textFill>
              </w:rPr>
              <w:t>须自备具备视频及语音通话功能的设备</w:t>
            </w:r>
          </w:p>
          <w:p w14:paraId="27AD945C">
            <w:pPr>
              <w:keepNext w:val="0"/>
              <w:keepLines w:val="0"/>
              <w:pageBreakBefore w:val="0"/>
              <w:kinsoku/>
              <w:wordWrap/>
              <w:overflowPunct/>
              <w:topLinePunct w:val="0"/>
              <w:bidi w:val="0"/>
              <w:adjustRightInd/>
              <w:snapToGrid/>
              <w:spacing w:line="560" w:lineRule="exact"/>
              <w:jc w:val="left"/>
              <w:rPr>
                <w:rFonts w:hint="eastAsia" w:ascii="宋体" w:hAnsi="宋体" w:eastAsia="宋体" w:cs="宋体"/>
                <w:b w:val="0"/>
                <w:bCs w:val="0"/>
                <w:color w:val="000000" w:themeColor="text1"/>
                <w:sz w:val="28"/>
                <w:szCs w:val="28"/>
                <w:highlight w:val="none"/>
                <w14:textFill>
                  <w14:solidFill>
                    <w14:schemeClr w14:val="tx1"/>
                  </w14:solidFill>
                </w14:textFill>
              </w:rPr>
            </w:pPr>
            <w:r>
              <w:rPr>
                <w:rFonts w:hint="eastAsia" w:ascii="宋体" w:hAnsi="宋体" w:eastAsia="宋体" w:cs="宋体"/>
                <w:b w:val="0"/>
                <w:bCs w:val="0"/>
                <w:color w:val="000000" w:themeColor="text1"/>
                <w:sz w:val="28"/>
                <w:szCs w:val="28"/>
                <w:highlight w:val="none"/>
                <w:lang w:val="en-US" w:eastAsia="zh-CN"/>
                <w14:textFill>
                  <w14:solidFill>
                    <w14:schemeClr w14:val="tx1"/>
                  </w14:solidFill>
                </w14:textFill>
              </w:rPr>
              <w:t>7、</w:t>
            </w:r>
            <w:r>
              <w:rPr>
                <w:rFonts w:hint="eastAsia" w:ascii="宋体" w:hAnsi="宋体" w:eastAsia="宋体" w:cs="宋体"/>
                <w:b w:val="0"/>
                <w:bCs w:val="0"/>
                <w:color w:val="000000" w:themeColor="text1"/>
                <w:sz w:val="28"/>
                <w:szCs w:val="28"/>
                <w:highlight w:val="none"/>
                <w:lang w:eastAsia="zh-CN"/>
                <w14:textFill>
                  <w14:solidFill>
                    <w14:schemeClr w14:val="tx1"/>
                  </w14:solidFill>
                </w14:textFill>
              </w:rPr>
              <w:t>招标</w:t>
            </w:r>
            <w:r>
              <w:rPr>
                <w:rFonts w:hint="eastAsia" w:ascii="宋体" w:hAnsi="宋体" w:eastAsia="宋体" w:cs="宋体"/>
                <w:b w:val="0"/>
                <w:bCs w:val="0"/>
                <w:color w:val="000000" w:themeColor="text1"/>
                <w:sz w:val="28"/>
                <w:szCs w:val="28"/>
                <w:highlight w:val="none"/>
                <w14:textFill>
                  <w14:solidFill>
                    <w14:schemeClr w14:val="tx1"/>
                  </w14:solidFill>
                </w14:textFill>
              </w:rPr>
              <w:t>文件</w:t>
            </w:r>
            <w:r>
              <w:rPr>
                <w:rFonts w:hint="eastAsia" w:ascii="宋体" w:hAnsi="宋体" w:eastAsia="宋体" w:cs="宋体"/>
                <w:b w:val="0"/>
                <w:bCs w:val="0"/>
                <w:color w:val="000000" w:themeColor="text1"/>
                <w:sz w:val="28"/>
                <w:szCs w:val="28"/>
                <w:highlight w:val="none"/>
                <w:lang w:eastAsia="zh-CN"/>
                <w14:textFill>
                  <w14:solidFill>
                    <w14:schemeClr w14:val="tx1"/>
                  </w14:solidFill>
                </w14:textFill>
              </w:rPr>
              <w:t>第六章投标</w:t>
            </w:r>
            <w:r>
              <w:rPr>
                <w:rFonts w:hint="eastAsia" w:ascii="宋体" w:hAnsi="宋体" w:eastAsia="宋体" w:cs="宋体"/>
                <w:b w:val="0"/>
                <w:bCs w:val="0"/>
                <w:color w:val="000000" w:themeColor="text1"/>
                <w:sz w:val="28"/>
                <w:szCs w:val="28"/>
                <w:highlight w:val="none"/>
                <w14:textFill>
                  <w14:solidFill>
                    <w14:schemeClr w14:val="tx1"/>
                  </w14:solidFill>
                </w14:textFill>
              </w:rPr>
              <w:t>文件</w:t>
            </w:r>
            <w:r>
              <w:rPr>
                <w:rFonts w:hint="eastAsia" w:ascii="宋体" w:hAnsi="宋体" w:eastAsia="宋体" w:cs="宋体"/>
                <w:b w:val="0"/>
                <w:bCs w:val="0"/>
                <w:color w:val="000000" w:themeColor="text1"/>
                <w:sz w:val="28"/>
                <w:szCs w:val="28"/>
                <w:highlight w:val="none"/>
                <w:lang w:eastAsia="zh-CN"/>
                <w14:textFill>
                  <w14:solidFill>
                    <w14:schemeClr w14:val="tx1"/>
                  </w14:solidFill>
                </w14:textFill>
              </w:rPr>
              <w:t>格式</w:t>
            </w:r>
            <w:r>
              <w:rPr>
                <w:rFonts w:hint="eastAsia" w:ascii="宋体" w:hAnsi="宋体" w:eastAsia="宋体" w:cs="宋体"/>
                <w:b w:val="0"/>
                <w:bCs w:val="0"/>
                <w:color w:val="000000" w:themeColor="text1"/>
                <w:sz w:val="28"/>
                <w:szCs w:val="28"/>
                <w:highlight w:val="none"/>
                <w14:textFill>
                  <w14:solidFill>
                    <w14:schemeClr w14:val="tx1"/>
                  </w14:solidFill>
                </w14:textFill>
              </w:rPr>
              <w:t>要求盖单位章和签字的地方，</w:t>
            </w:r>
            <w:r>
              <w:rPr>
                <w:rFonts w:hint="eastAsia" w:ascii="宋体" w:hAnsi="宋体" w:eastAsia="宋体" w:cs="宋体"/>
                <w:b w:val="0"/>
                <w:bCs w:val="0"/>
                <w:color w:val="000000" w:themeColor="text1"/>
                <w:sz w:val="28"/>
                <w:szCs w:val="28"/>
                <w:highlight w:val="none"/>
                <w:lang w:eastAsia="zh-CN"/>
                <w14:textFill>
                  <w14:solidFill>
                    <w14:schemeClr w14:val="tx1"/>
                  </w14:solidFill>
                </w14:textFill>
              </w:rPr>
              <w:t>供应商</w:t>
            </w:r>
            <w:r>
              <w:rPr>
                <w:rFonts w:hint="eastAsia" w:ascii="宋体" w:hAnsi="宋体" w:eastAsia="宋体" w:cs="宋体"/>
                <w:b w:val="0"/>
                <w:bCs w:val="0"/>
                <w:color w:val="000000" w:themeColor="text1"/>
                <w:sz w:val="28"/>
                <w:szCs w:val="28"/>
                <w:highlight w:val="none"/>
                <w14:textFill>
                  <w14:solidFill>
                    <w14:schemeClr w14:val="tx1"/>
                  </w14:solidFill>
                </w14:textFill>
              </w:rPr>
              <w:t>均应使用CA数字证书加盖企业</w:t>
            </w:r>
            <w:r>
              <w:rPr>
                <w:rFonts w:hint="eastAsia" w:ascii="宋体" w:hAnsi="宋体" w:eastAsia="宋体" w:cs="宋体"/>
                <w:b w:val="0"/>
                <w:bCs w:val="0"/>
                <w:color w:val="000000" w:themeColor="text1"/>
                <w:sz w:val="28"/>
                <w:szCs w:val="28"/>
                <w:highlight w:val="none"/>
                <w:lang w:eastAsia="zh-CN"/>
                <w14:textFill>
                  <w14:solidFill>
                    <w14:schemeClr w14:val="tx1"/>
                  </w14:solidFill>
                </w14:textFill>
              </w:rPr>
              <w:t>电子公章</w:t>
            </w:r>
            <w:r>
              <w:rPr>
                <w:rFonts w:hint="eastAsia" w:ascii="宋体" w:hAnsi="宋体" w:eastAsia="宋体" w:cs="宋体"/>
                <w:b w:val="0"/>
                <w:bCs w:val="0"/>
                <w:color w:val="000000" w:themeColor="text1"/>
                <w:sz w:val="28"/>
                <w:szCs w:val="28"/>
                <w:highlight w:val="none"/>
                <w14:textFill>
                  <w14:solidFill>
                    <w14:schemeClr w14:val="tx1"/>
                  </w14:solidFill>
                </w14:textFill>
              </w:rPr>
              <w:t>和法定代表人章或签名（按格式要求）。</w:t>
            </w:r>
          </w:p>
          <w:p w14:paraId="210ED108">
            <w:pPr>
              <w:keepNext w:val="0"/>
              <w:keepLines w:val="0"/>
              <w:pageBreakBefore w:val="0"/>
              <w:widowControl/>
              <w:suppressLineNumbers w:val="0"/>
              <w:wordWrap/>
              <w:topLinePunct w:val="0"/>
              <w:bidi w:val="0"/>
              <w:spacing w:line="560" w:lineRule="exact"/>
              <w:jc w:val="left"/>
              <w:rPr>
                <w:color w:val="000000" w:themeColor="text1"/>
                <w:highlight w:val="none"/>
                <w14:textFill>
                  <w14:solidFill>
                    <w14:schemeClr w14:val="tx1"/>
                  </w14:solidFill>
                </w14:textFill>
              </w:rPr>
            </w:pPr>
            <w:r>
              <w:rPr>
                <w:rFonts w:hint="eastAsia" w:ascii="宋体" w:hAnsi="宋体" w:eastAsia="宋体" w:cs="宋体"/>
                <w:color w:val="000000" w:themeColor="text1"/>
                <w:kern w:val="0"/>
                <w:sz w:val="28"/>
                <w:szCs w:val="28"/>
                <w:highlight w:val="none"/>
                <w:lang w:val="en-US" w:eastAsia="zh-CN" w:bidi="ar"/>
                <w14:textFill>
                  <w14:solidFill>
                    <w14:schemeClr w14:val="tx1"/>
                  </w14:solidFill>
                </w14:textFill>
              </w:rPr>
              <w:t xml:space="preserve">8、分公司参加投标时，文件法定代表人签字或签章的， </w:t>
            </w:r>
          </w:p>
          <w:p w14:paraId="14DC810E">
            <w:pPr>
              <w:keepNext w:val="0"/>
              <w:keepLines w:val="0"/>
              <w:pageBreakBefore w:val="0"/>
              <w:widowControl/>
              <w:suppressLineNumbers w:val="0"/>
              <w:wordWrap/>
              <w:topLinePunct w:val="0"/>
              <w:bidi w:val="0"/>
              <w:spacing w:line="560" w:lineRule="exact"/>
              <w:jc w:val="left"/>
              <w:rPr>
                <w:rFonts w:hint="eastAsia" w:ascii="宋体" w:hAnsi="宋体" w:eastAsia="宋体" w:cs="宋体"/>
                <w:color w:val="000000" w:themeColor="text1"/>
                <w:kern w:val="0"/>
                <w:sz w:val="28"/>
                <w:szCs w:val="28"/>
                <w:highlight w:val="none"/>
                <w:lang w:val="en-US" w:eastAsia="zh-CN" w:bidi="ar"/>
                <w14:textFill>
                  <w14:solidFill>
                    <w14:schemeClr w14:val="tx1"/>
                  </w14:solidFill>
                </w14:textFill>
              </w:rPr>
            </w:pPr>
            <w:r>
              <w:rPr>
                <w:rFonts w:hint="eastAsia" w:ascii="宋体" w:hAnsi="宋体" w:eastAsia="宋体" w:cs="宋体"/>
                <w:color w:val="000000" w:themeColor="text1"/>
                <w:kern w:val="0"/>
                <w:sz w:val="28"/>
                <w:szCs w:val="28"/>
                <w:highlight w:val="none"/>
                <w:lang w:val="en-US" w:eastAsia="zh-CN" w:bidi="ar"/>
                <w14:textFill>
                  <w14:solidFill>
                    <w14:schemeClr w14:val="tx1"/>
                  </w14:solidFill>
                </w14:textFill>
              </w:rPr>
              <w:t>负责人签字或签章也予以认可。</w:t>
            </w:r>
          </w:p>
          <w:p w14:paraId="36483CE7">
            <w:pPr>
              <w:keepNext w:val="0"/>
              <w:keepLines w:val="0"/>
              <w:pageBreakBefore w:val="0"/>
              <w:widowControl/>
              <w:numPr>
                <w:ilvl w:val="0"/>
                <w:numId w:val="0"/>
              </w:numPr>
              <w:suppressLineNumbers w:val="0"/>
              <w:wordWrap/>
              <w:topLinePunct w:val="0"/>
              <w:bidi w:val="0"/>
              <w:spacing w:line="560" w:lineRule="exact"/>
              <w:ind w:leftChars="0"/>
              <w:jc w:val="left"/>
              <w:rPr>
                <w:rFonts w:hint="default" w:ascii="宋体" w:hAnsi="宋体" w:cs="宋体"/>
                <w:color w:val="000000" w:themeColor="text1"/>
                <w:kern w:val="0"/>
                <w:sz w:val="28"/>
                <w:szCs w:val="28"/>
                <w:highlight w:val="none"/>
                <w:lang w:val="en-US" w:eastAsia="zh-CN" w:bidi="ar"/>
                <w14:textFill>
                  <w14:solidFill>
                    <w14:schemeClr w14:val="tx1"/>
                  </w14:solidFill>
                </w14:textFill>
              </w:rPr>
            </w:pPr>
            <w:r>
              <w:rPr>
                <w:rFonts w:hint="eastAsia" w:ascii="宋体" w:hAnsi="宋体" w:cs="宋体"/>
                <w:color w:val="000000" w:themeColor="text1"/>
                <w:kern w:val="0"/>
                <w:sz w:val="28"/>
                <w:szCs w:val="28"/>
                <w:highlight w:val="none"/>
                <w:lang w:val="en-US" w:eastAsia="zh-CN" w:bidi="ar"/>
                <w14:textFill>
                  <w14:solidFill>
                    <w14:schemeClr w14:val="tx1"/>
                  </w14:solidFill>
                </w14:textFill>
              </w:rPr>
              <w:t>9、相同品牌产品且通过资格审查、符合性审查的不同投标人参加同一标项下投标的，按一家投标人计算，评审后得分最高的同品牌投标人获得中标人推荐资格,评审得分相同的，按照投标报价由低到高顺序排列,得分且投标报价相同的，按技术指标优劣顺序排列，其他同品牌投标人不作为中标候选人。</w:t>
            </w:r>
          </w:p>
        </w:tc>
      </w:tr>
      <w:tr w14:paraId="03D7C2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14:paraId="53AD86E6">
            <w:pPr>
              <w:keepNext w:val="0"/>
              <w:keepLines w:val="0"/>
              <w:pageBreakBefore w:val="0"/>
              <w:kinsoku/>
              <w:wordWrap/>
              <w:overflowPunct/>
              <w:topLinePunct w:val="0"/>
              <w:bidi w:val="0"/>
              <w:adjustRightInd/>
              <w:snapToGrid/>
              <w:spacing w:line="560" w:lineRule="exact"/>
              <w:jc w:val="center"/>
              <w:rPr>
                <w:rFonts w:hint="default"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cs="宋体"/>
                <w:color w:val="000000" w:themeColor="text1"/>
                <w:sz w:val="28"/>
                <w:szCs w:val="28"/>
                <w:highlight w:val="none"/>
                <w:lang w:val="en-US" w:eastAsia="zh-CN"/>
                <w14:textFill>
                  <w14:solidFill>
                    <w14:schemeClr w14:val="tx1"/>
                  </w14:solidFill>
                </w14:textFill>
              </w:rPr>
              <w:t>33</w:t>
            </w:r>
          </w:p>
        </w:tc>
        <w:tc>
          <w:tcPr>
            <w:tcW w:w="2239" w:type="dxa"/>
            <w:tcBorders>
              <w:top w:val="single" w:color="auto" w:sz="4" w:space="0"/>
              <w:left w:val="single" w:color="auto" w:sz="4" w:space="0"/>
              <w:bottom w:val="single" w:color="auto" w:sz="4" w:space="0"/>
              <w:right w:val="single" w:color="auto" w:sz="4" w:space="0"/>
            </w:tcBorders>
            <w:vAlign w:val="center"/>
          </w:tcPr>
          <w:p w14:paraId="1D33D4B8">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b/>
                <w:bCs w:val="0"/>
                <w:color w:val="000000" w:themeColor="text1"/>
                <w:sz w:val="28"/>
                <w:szCs w:val="28"/>
                <w:highlight w:val="none"/>
                <w14:textFill>
                  <w14:solidFill>
                    <w14:schemeClr w14:val="tx1"/>
                  </w14:solidFill>
                </w14:textFill>
              </w:rPr>
              <w:t>低于成本价不正当竞争预防措施</w:t>
            </w:r>
          </w:p>
        </w:tc>
        <w:tc>
          <w:tcPr>
            <w:tcW w:w="7297" w:type="dxa"/>
            <w:tcBorders>
              <w:top w:val="single" w:color="auto" w:sz="4" w:space="0"/>
              <w:left w:val="single" w:color="auto" w:sz="4" w:space="0"/>
              <w:bottom w:val="single" w:color="auto" w:sz="4" w:space="0"/>
              <w:right w:val="single" w:color="auto" w:sz="4" w:space="0"/>
            </w:tcBorders>
            <w:vAlign w:val="center"/>
          </w:tcPr>
          <w:p w14:paraId="4C7EDED1">
            <w:pPr>
              <w:pStyle w:val="166"/>
              <w:keepNext w:val="0"/>
              <w:keepLines w:val="0"/>
              <w:pageBreakBefore w:val="0"/>
              <w:kinsoku/>
              <w:wordWrap/>
              <w:overflowPunct/>
              <w:topLinePunct w:val="0"/>
              <w:bidi w:val="0"/>
              <w:spacing w:line="560" w:lineRule="exact"/>
              <w:ind w:leftChars="0" w:firstLine="0" w:firstLineChars="0"/>
              <w:rPr>
                <w:rFonts w:hint="eastAsia" w:ascii="宋体" w:hAnsi="宋体" w:eastAsia="宋体" w:cs="宋体"/>
                <w:bCs/>
                <w:color w:val="000000" w:themeColor="text1"/>
                <w:kern w:val="0"/>
                <w:sz w:val="28"/>
                <w:szCs w:val="28"/>
                <w:highlight w:val="none"/>
                <w14:textFill>
                  <w14:solidFill>
                    <w14:schemeClr w14:val="tx1"/>
                  </w14:solidFill>
                </w14:textFill>
              </w:rPr>
            </w:pPr>
            <w:r>
              <w:rPr>
                <w:rFonts w:hint="eastAsia" w:ascii="宋体" w:hAnsi="宋体" w:eastAsia="宋体" w:cs="宋体"/>
                <w:bCs/>
                <w:color w:val="000000" w:themeColor="text1"/>
                <w:kern w:val="0"/>
                <w:sz w:val="28"/>
                <w:szCs w:val="28"/>
                <w:highlight w:val="none"/>
                <w14:textFill>
                  <w14:solidFill>
                    <w14:schemeClr w14:val="tx1"/>
                  </w14:solidFill>
                </w14:textFill>
              </w:rPr>
              <w:t>在评标过程中，评标小组认为</w:t>
            </w:r>
            <w:r>
              <w:rPr>
                <w:rFonts w:hint="eastAsia" w:ascii="宋体" w:hAnsi="宋体" w:cs="宋体"/>
                <w:bCs/>
                <w:color w:val="000000" w:themeColor="text1"/>
                <w:kern w:val="0"/>
                <w:sz w:val="28"/>
                <w:szCs w:val="28"/>
                <w:highlight w:val="none"/>
                <w:lang w:eastAsia="zh-CN"/>
                <w14:textFill>
                  <w14:solidFill>
                    <w14:schemeClr w14:val="tx1"/>
                  </w14:solidFill>
                </w14:textFill>
              </w:rPr>
              <w:t>供应商</w:t>
            </w:r>
            <w:r>
              <w:rPr>
                <w:rFonts w:hint="eastAsia" w:ascii="宋体" w:hAnsi="宋体" w:eastAsia="宋体" w:cs="宋体"/>
                <w:bCs/>
                <w:color w:val="000000" w:themeColor="text1"/>
                <w:kern w:val="0"/>
                <w:sz w:val="28"/>
                <w:szCs w:val="28"/>
                <w:highlight w:val="none"/>
                <w14:textFill>
                  <w14:solidFill>
                    <w14:schemeClr w14:val="tx1"/>
                  </w14:solidFill>
                </w14:textFill>
              </w:rPr>
              <w:t>的报价明显低于其他通过符合性审查</w:t>
            </w:r>
            <w:r>
              <w:rPr>
                <w:rFonts w:hint="eastAsia" w:ascii="宋体" w:hAnsi="宋体" w:cs="宋体"/>
                <w:bCs/>
                <w:color w:val="000000" w:themeColor="text1"/>
                <w:kern w:val="0"/>
                <w:sz w:val="28"/>
                <w:szCs w:val="28"/>
                <w:highlight w:val="none"/>
                <w:lang w:eastAsia="zh-CN"/>
                <w14:textFill>
                  <w14:solidFill>
                    <w14:schemeClr w14:val="tx1"/>
                  </w14:solidFill>
                </w14:textFill>
              </w:rPr>
              <w:t>供应商</w:t>
            </w:r>
            <w:r>
              <w:rPr>
                <w:rFonts w:hint="eastAsia" w:ascii="宋体" w:hAnsi="宋体" w:eastAsia="宋体" w:cs="宋体"/>
                <w:bCs/>
                <w:color w:val="000000" w:themeColor="text1"/>
                <w:kern w:val="0"/>
                <w:sz w:val="28"/>
                <w:szCs w:val="28"/>
                <w:highlight w:val="none"/>
                <w14:textFill>
                  <w14:solidFill>
                    <w14:schemeClr w14:val="tx1"/>
                  </w14:solidFill>
                </w14:textFill>
              </w:rPr>
              <w:t>的报价，有可能影响产品质量或者不能诚信履约的，评标小组应当要求其在评标现场合理的时间内提供成本构成书面说明，并提交相关证明材料。</w:t>
            </w:r>
            <w:r>
              <w:rPr>
                <w:rFonts w:hint="eastAsia" w:ascii="宋体" w:hAnsi="宋体" w:cs="宋体"/>
                <w:bCs/>
                <w:color w:val="000000" w:themeColor="text1"/>
                <w:kern w:val="0"/>
                <w:sz w:val="28"/>
                <w:szCs w:val="28"/>
                <w:highlight w:val="none"/>
                <w:lang w:eastAsia="zh-CN"/>
                <w14:textFill>
                  <w14:solidFill>
                    <w14:schemeClr w14:val="tx1"/>
                  </w14:solidFill>
                </w14:textFill>
              </w:rPr>
              <w:t>供应商</w:t>
            </w:r>
            <w:r>
              <w:rPr>
                <w:rFonts w:hint="eastAsia" w:ascii="宋体" w:hAnsi="宋体" w:eastAsia="宋体" w:cs="宋体"/>
                <w:bCs/>
                <w:color w:val="000000" w:themeColor="text1"/>
                <w:kern w:val="0"/>
                <w:sz w:val="28"/>
                <w:szCs w:val="28"/>
                <w:highlight w:val="none"/>
                <w14:textFill>
                  <w14:solidFill>
                    <w14:schemeClr w14:val="tx1"/>
                  </w14:solidFill>
                </w14:textFill>
              </w:rPr>
              <w:t>书面说明应当按照国家财务会计制度的规定要求，逐项就</w:t>
            </w:r>
            <w:r>
              <w:rPr>
                <w:rFonts w:hint="eastAsia" w:ascii="宋体" w:hAnsi="宋体" w:cs="宋体"/>
                <w:bCs/>
                <w:color w:val="000000" w:themeColor="text1"/>
                <w:kern w:val="0"/>
                <w:sz w:val="28"/>
                <w:szCs w:val="28"/>
                <w:highlight w:val="none"/>
                <w:lang w:eastAsia="zh-CN"/>
                <w14:textFill>
                  <w14:solidFill>
                    <w14:schemeClr w14:val="tx1"/>
                  </w14:solidFill>
                </w14:textFill>
              </w:rPr>
              <w:t>供应商</w:t>
            </w:r>
            <w:r>
              <w:rPr>
                <w:rFonts w:hint="eastAsia" w:ascii="宋体" w:hAnsi="宋体" w:eastAsia="宋体" w:cs="宋体"/>
                <w:bCs/>
                <w:color w:val="000000" w:themeColor="text1"/>
                <w:kern w:val="0"/>
                <w:sz w:val="28"/>
                <w:szCs w:val="28"/>
                <w:highlight w:val="none"/>
                <w14:textFill>
                  <w14:solidFill>
                    <w14:schemeClr w14:val="tx1"/>
                  </w14:solidFill>
                </w14:textFill>
              </w:rPr>
              <w:t>提供的货物、工程和服务的主营业务成本（应根据</w:t>
            </w:r>
            <w:r>
              <w:rPr>
                <w:rFonts w:hint="eastAsia" w:ascii="宋体" w:hAnsi="宋体" w:cs="宋体"/>
                <w:bCs/>
                <w:color w:val="000000" w:themeColor="text1"/>
                <w:kern w:val="0"/>
                <w:sz w:val="28"/>
                <w:szCs w:val="28"/>
                <w:highlight w:val="none"/>
                <w:lang w:eastAsia="zh-CN"/>
                <w14:textFill>
                  <w14:solidFill>
                    <w14:schemeClr w14:val="tx1"/>
                  </w14:solidFill>
                </w14:textFill>
              </w:rPr>
              <w:t>供应商</w:t>
            </w:r>
            <w:r>
              <w:rPr>
                <w:rFonts w:hint="eastAsia" w:ascii="宋体" w:hAnsi="宋体" w:eastAsia="宋体" w:cs="宋体"/>
                <w:bCs/>
                <w:color w:val="000000" w:themeColor="text1"/>
                <w:kern w:val="0"/>
                <w:sz w:val="28"/>
                <w:szCs w:val="28"/>
                <w:highlight w:val="none"/>
                <w14:textFill>
                  <w14:solidFill>
                    <w14:schemeClr w14:val="tx1"/>
                  </w14:solidFill>
                </w14:textFill>
              </w:rPr>
              <w:t>企业类型予以区别）、税金及附加、销售费用、管理费用、财务费用等成本构成事项详细陈述。</w:t>
            </w:r>
          </w:p>
          <w:p w14:paraId="35B7132B">
            <w:pPr>
              <w:pStyle w:val="166"/>
              <w:keepNext w:val="0"/>
              <w:keepLines w:val="0"/>
              <w:pageBreakBefore w:val="0"/>
              <w:kinsoku/>
              <w:wordWrap/>
              <w:overflowPunct/>
              <w:topLinePunct w:val="0"/>
              <w:bidi w:val="0"/>
              <w:spacing w:line="560" w:lineRule="exact"/>
              <w:ind w:leftChars="0" w:firstLine="0" w:firstLineChars="0"/>
              <w:rPr>
                <w:rFonts w:hint="eastAsia" w:ascii="宋体" w:hAnsi="宋体" w:eastAsia="宋体" w:cs="宋体"/>
                <w:bCs/>
                <w:color w:val="000000" w:themeColor="text1"/>
                <w:kern w:val="0"/>
                <w:sz w:val="28"/>
                <w:szCs w:val="28"/>
                <w:highlight w:val="none"/>
                <w14:textFill>
                  <w14:solidFill>
                    <w14:schemeClr w14:val="tx1"/>
                  </w14:solidFill>
                </w14:textFill>
              </w:rPr>
            </w:pPr>
            <w:r>
              <w:rPr>
                <w:rFonts w:hint="eastAsia" w:ascii="宋体" w:hAnsi="宋体" w:cs="宋体"/>
                <w:bCs/>
                <w:color w:val="000000" w:themeColor="text1"/>
                <w:kern w:val="0"/>
                <w:sz w:val="28"/>
                <w:szCs w:val="28"/>
                <w:highlight w:val="none"/>
                <w:lang w:eastAsia="zh-CN"/>
                <w14:textFill>
                  <w14:solidFill>
                    <w14:schemeClr w14:val="tx1"/>
                  </w14:solidFill>
                </w14:textFill>
              </w:rPr>
              <w:t>供应商</w:t>
            </w:r>
            <w:r>
              <w:rPr>
                <w:rFonts w:hint="eastAsia" w:ascii="宋体" w:hAnsi="宋体" w:eastAsia="宋体" w:cs="宋体"/>
                <w:bCs/>
                <w:color w:val="000000" w:themeColor="text1"/>
                <w:kern w:val="0"/>
                <w:sz w:val="28"/>
                <w:szCs w:val="28"/>
                <w:highlight w:val="none"/>
                <w14:textFill>
                  <w14:solidFill>
                    <w14:schemeClr w14:val="tx1"/>
                  </w14:solidFill>
                </w14:textFill>
              </w:rPr>
              <w:t>书面说明应当签字确认或者加盖公章，否则无效。书面说明的签字确认，</w:t>
            </w:r>
            <w:r>
              <w:rPr>
                <w:rFonts w:hint="eastAsia" w:ascii="宋体" w:hAnsi="宋体" w:cs="宋体"/>
                <w:bCs/>
                <w:color w:val="000000" w:themeColor="text1"/>
                <w:kern w:val="0"/>
                <w:sz w:val="28"/>
                <w:szCs w:val="28"/>
                <w:highlight w:val="none"/>
                <w:lang w:eastAsia="zh-CN"/>
                <w14:textFill>
                  <w14:solidFill>
                    <w14:schemeClr w14:val="tx1"/>
                  </w14:solidFill>
                </w14:textFill>
              </w:rPr>
              <w:t>供应商</w:t>
            </w:r>
            <w:r>
              <w:rPr>
                <w:rFonts w:hint="eastAsia" w:ascii="宋体" w:hAnsi="宋体" w:eastAsia="宋体" w:cs="宋体"/>
                <w:bCs/>
                <w:color w:val="000000" w:themeColor="text1"/>
                <w:kern w:val="0"/>
                <w:sz w:val="28"/>
                <w:szCs w:val="28"/>
                <w:highlight w:val="none"/>
                <w14:textFill>
                  <w14:solidFill>
                    <w14:schemeClr w14:val="tx1"/>
                  </w14:solidFill>
                </w14:textFill>
              </w:rPr>
              <w:t>为法人的，由其法定代表人或者代理人签字确认；</w:t>
            </w:r>
            <w:r>
              <w:rPr>
                <w:rFonts w:hint="eastAsia" w:ascii="宋体" w:hAnsi="宋体" w:cs="宋体"/>
                <w:bCs/>
                <w:color w:val="000000" w:themeColor="text1"/>
                <w:kern w:val="0"/>
                <w:sz w:val="28"/>
                <w:szCs w:val="28"/>
                <w:highlight w:val="none"/>
                <w:lang w:eastAsia="zh-CN"/>
                <w14:textFill>
                  <w14:solidFill>
                    <w14:schemeClr w14:val="tx1"/>
                  </w14:solidFill>
                </w14:textFill>
              </w:rPr>
              <w:t>供应商</w:t>
            </w:r>
            <w:r>
              <w:rPr>
                <w:rFonts w:hint="eastAsia" w:ascii="宋体" w:hAnsi="宋体" w:eastAsia="宋体" w:cs="宋体"/>
                <w:bCs/>
                <w:color w:val="000000" w:themeColor="text1"/>
                <w:kern w:val="0"/>
                <w:sz w:val="28"/>
                <w:szCs w:val="28"/>
                <w:highlight w:val="none"/>
                <w14:textFill>
                  <w14:solidFill>
                    <w14:schemeClr w14:val="tx1"/>
                  </w14:solidFill>
                </w14:textFill>
              </w:rPr>
              <w:t>为其他组织的，由其主要负责人或者代理人签字确认；</w:t>
            </w:r>
            <w:r>
              <w:rPr>
                <w:rFonts w:hint="eastAsia" w:ascii="宋体" w:hAnsi="宋体" w:cs="宋体"/>
                <w:bCs/>
                <w:color w:val="000000" w:themeColor="text1"/>
                <w:kern w:val="0"/>
                <w:sz w:val="28"/>
                <w:szCs w:val="28"/>
                <w:highlight w:val="none"/>
                <w:lang w:eastAsia="zh-CN"/>
                <w14:textFill>
                  <w14:solidFill>
                    <w14:schemeClr w14:val="tx1"/>
                  </w14:solidFill>
                </w14:textFill>
              </w:rPr>
              <w:t>供应商</w:t>
            </w:r>
            <w:r>
              <w:rPr>
                <w:rFonts w:hint="eastAsia" w:ascii="宋体" w:hAnsi="宋体" w:eastAsia="宋体" w:cs="宋体"/>
                <w:bCs/>
                <w:color w:val="000000" w:themeColor="text1"/>
                <w:kern w:val="0"/>
                <w:sz w:val="28"/>
                <w:szCs w:val="28"/>
                <w:highlight w:val="none"/>
                <w14:textFill>
                  <w14:solidFill>
                    <w14:schemeClr w14:val="tx1"/>
                  </w14:solidFill>
                </w14:textFill>
              </w:rPr>
              <w:t>为自然人的，由其本人或者代理人签字确认。</w:t>
            </w:r>
          </w:p>
          <w:p w14:paraId="0D3D167F">
            <w:pPr>
              <w:keepNext w:val="0"/>
              <w:keepLines w:val="0"/>
              <w:pageBreakBefore w:val="0"/>
              <w:kinsoku/>
              <w:wordWrap/>
              <w:overflowPunct/>
              <w:topLinePunct w:val="0"/>
              <w:bidi w:val="0"/>
              <w:adjustRightInd/>
              <w:snapToGrid/>
              <w:spacing w:line="560" w:lineRule="exact"/>
              <w:jc w:val="left"/>
              <w:rPr>
                <w:rFonts w:hint="eastAsia" w:ascii="宋体" w:hAnsi="宋体" w:eastAsia="宋体" w:cs="宋体"/>
                <w:b/>
                <w:bCs/>
                <w:color w:val="000000" w:themeColor="text1"/>
                <w:sz w:val="28"/>
                <w:szCs w:val="28"/>
                <w:highlight w:val="none"/>
                <w:lang w:val="en-US" w:eastAsia="zh-CN"/>
                <w14:textFill>
                  <w14:solidFill>
                    <w14:schemeClr w14:val="tx1"/>
                  </w14:solidFill>
                </w14:textFill>
              </w:rPr>
            </w:pPr>
            <w:r>
              <w:rPr>
                <w:rFonts w:hint="eastAsia" w:ascii="宋体" w:hAnsi="宋体" w:cs="宋体"/>
                <w:bCs/>
                <w:color w:val="000000" w:themeColor="text1"/>
                <w:kern w:val="0"/>
                <w:sz w:val="28"/>
                <w:szCs w:val="28"/>
                <w:highlight w:val="none"/>
                <w:lang w:eastAsia="zh-CN"/>
                <w14:textFill>
                  <w14:solidFill>
                    <w14:schemeClr w14:val="tx1"/>
                  </w14:solidFill>
                </w14:textFill>
              </w:rPr>
              <w:t>供应商</w:t>
            </w:r>
            <w:r>
              <w:rPr>
                <w:rFonts w:hint="eastAsia" w:ascii="宋体" w:hAnsi="宋体" w:eastAsia="宋体" w:cs="宋体"/>
                <w:bCs/>
                <w:color w:val="000000" w:themeColor="text1"/>
                <w:kern w:val="0"/>
                <w:sz w:val="28"/>
                <w:szCs w:val="28"/>
                <w:highlight w:val="none"/>
                <w14:textFill>
                  <w14:solidFill>
                    <w14:schemeClr w14:val="tx1"/>
                  </w14:solidFill>
                </w14:textFill>
              </w:rPr>
              <w:t>提供书面说明后，评标小组应当结合采购项目采购需求、专业实际情况、</w:t>
            </w:r>
            <w:r>
              <w:rPr>
                <w:rFonts w:hint="eastAsia" w:ascii="宋体" w:hAnsi="宋体" w:cs="宋体"/>
                <w:bCs/>
                <w:color w:val="000000" w:themeColor="text1"/>
                <w:kern w:val="0"/>
                <w:sz w:val="28"/>
                <w:szCs w:val="28"/>
                <w:highlight w:val="none"/>
                <w:lang w:eastAsia="zh-CN"/>
                <w14:textFill>
                  <w14:solidFill>
                    <w14:schemeClr w14:val="tx1"/>
                  </w14:solidFill>
                </w14:textFill>
              </w:rPr>
              <w:t>供应商</w:t>
            </w:r>
            <w:r>
              <w:rPr>
                <w:rFonts w:hint="eastAsia" w:ascii="宋体" w:hAnsi="宋体" w:eastAsia="宋体" w:cs="宋体"/>
                <w:bCs/>
                <w:color w:val="000000" w:themeColor="text1"/>
                <w:kern w:val="0"/>
                <w:sz w:val="28"/>
                <w:szCs w:val="28"/>
                <w:highlight w:val="none"/>
                <w14:textFill>
                  <w14:solidFill>
                    <w14:schemeClr w14:val="tx1"/>
                  </w14:solidFill>
                </w14:textFill>
              </w:rPr>
              <w:t>财务状况报告、与其他</w:t>
            </w:r>
            <w:r>
              <w:rPr>
                <w:rFonts w:hint="eastAsia" w:ascii="宋体" w:hAnsi="宋体" w:cs="宋体"/>
                <w:bCs/>
                <w:color w:val="000000" w:themeColor="text1"/>
                <w:kern w:val="0"/>
                <w:sz w:val="28"/>
                <w:szCs w:val="28"/>
                <w:highlight w:val="none"/>
                <w:lang w:eastAsia="zh-CN"/>
                <w14:textFill>
                  <w14:solidFill>
                    <w14:schemeClr w14:val="tx1"/>
                  </w14:solidFill>
                </w14:textFill>
              </w:rPr>
              <w:t>供应商</w:t>
            </w:r>
            <w:r>
              <w:rPr>
                <w:rFonts w:hint="eastAsia" w:ascii="宋体" w:hAnsi="宋体" w:eastAsia="宋体" w:cs="宋体"/>
                <w:bCs/>
                <w:color w:val="000000" w:themeColor="text1"/>
                <w:kern w:val="0"/>
                <w:sz w:val="28"/>
                <w:szCs w:val="28"/>
                <w:highlight w:val="none"/>
                <w14:textFill>
                  <w14:solidFill>
                    <w14:schemeClr w14:val="tx1"/>
                  </w14:solidFill>
                </w14:textFill>
              </w:rPr>
              <w:t>比较情况等就</w:t>
            </w:r>
            <w:r>
              <w:rPr>
                <w:rFonts w:hint="eastAsia" w:ascii="宋体" w:hAnsi="宋体" w:cs="宋体"/>
                <w:bCs/>
                <w:color w:val="000000" w:themeColor="text1"/>
                <w:kern w:val="0"/>
                <w:sz w:val="28"/>
                <w:szCs w:val="28"/>
                <w:highlight w:val="none"/>
                <w:lang w:eastAsia="zh-CN"/>
                <w14:textFill>
                  <w14:solidFill>
                    <w14:schemeClr w14:val="tx1"/>
                  </w14:solidFill>
                </w14:textFill>
              </w:rPr>
              <w:t>供应商</w:t>
            </w:r>
            <w:r>
              <w:rPr>
                <w:rFonts w:hint="eastAsia" w:ascii="宋体" w:hAnsi="宋体" w:eastAsia="宋体" w:cs="宋体"/>
                <w:bCs/>
                <w:color w:val="000000" w:themeColor="text1"/>
                <w:kern w:val="0"/>
                <w:sz w:val="28"/>
                <w:szCs w:val="28"/>
                <w:highlight w:val="none"/>
                <w14:textFill>
                  <w14:solidFill>
                    <w14:schemeClr w14:val="tx1"/>
                  </w14:solidFill>
                </w14:textFill>
              </w:rPr>
              <w:t>书面说明进行审查评价。</w:t>
            </w:r>
            <w:r>
              <w:rPr>
                <w:rFonts w:hint="eastAsia" w:ascii="宋体" w:hAnsi="宋体" w:cs="宋体"/>
                <w:bCs/>
                <w:color w:val="000000" w:themeColor="text1"/>
                <w:kern w:val="0"/>
                <w:sz w:val="28"/>
                <w:szCs w:val="28"/>
                <w:highlight w:val="none"/>
                <w:lang w:eastAsia="zh-CN"/>
                <w14:textFill>
                  <w14:solidFill>
                    <w14:schemeClr w14:val="tx1"/>
                  </w14:solidFill>
                </w14:textFill>
              </w:rPr>
              <w:t>供应商</w:t>
            </w:r>
            <w:r>
              <w:rPr>
                <w:rFonts w:hint="eastAsia" w:ascii="宋体" w:hAnsi="宋体" w:eastAsia="宋体" w:cs="宋体"/>
                <w:bCs/>
                <w:color w:val="000000" w:themeColor="text1"/>
                <w:kern w:val="0"/>
                <w:sz w:val="28"/>
                <w:szCs w:val="28"/>
                <w:highlight w:val="none"/>
                <w14:textFill>
                  <w14:solidFill>
                    <w14:schemeClr w14:val="tx1"/>
                  </w14:solidFill>
                </w14:textFill>
              </w:rPr>
              <w:t>拒绝或者变相拒绝提供有效书面说明或者书面说明不能证明其报价合理性的，评标小组应当将其投标文件作为无效处理。</w:t>
            </w:r>
          </w:p>
        </w:tc>
      </w:tr>
      <w:tr w14:paraId="7B7A22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14:paraId="1B9EB3FE">
            <w:pPr>
              <w:keepNext w:val="0"/>
              <w:keepLines w:val="0"/>
              <w:pageBreakBefore w:val="0"/>
              <w:kinsoku/>
              <w:wordWrap/>
              <w:overflowPunct/>
              <w:topLinePunct w:val="0"/>
              <w:bidi w:val="0"/>
              <w:adjustRightInd/>
              <w:snapToGrid/>
              <w:spacing w:line="560" w:lineRule="exact"/>
              <w:jc w:val="center"/>
              <w:rPr>
                <w:rFonts w:hint="eastAsia" w:ascii="宋体" w:hAnsi="宋体" w:cs="宋体"/>
                <w:color w:val="000000" w:themeColor="text1"/>
                <w:sz w:val="28"/>
                <w:szCs w:val="28"/>
                <w:highlight w:val="none"/>
                <w:lang w:val="en-US" w:eastAsia="zh-CN"/>
                <w14:textFill>
                  <w14:solidFill>
                    <w14:schemeClr w14:val="tx1"/>
                  </w14:solidFill>
                </w14:textFill>
              </w:rPr>
            </w:pPr>
            <w:r>
              <w:rPr>
                <w:rFonts w:hint="eastAsia" w:ascii="宋体" w:hAnsi="宋体" w:cs="宋体"/>
                <w:color w:val="000000" w:themeColor="text1"/>
                <w:sz w:val="28"/>
                <w:szCs w:val="28"/>
                <w:highlight w:val="none"/>
                <w:lang w:val="en-US" w:eastAsia="zh-CN"/>
                <w14:textFill>
                  <w14:solidFill>
                    <w14:schemeClr w14:val="tx1"/>
                  </w14:solidFill>
                </w14:textFill>
              </w:rPr>
              <w:t>34</w:t>
            </w:r>
          </w:p>
        </w:tc>
        <w:tc>
          <w:tcPr>
            <w:tcW w:w="2239" w:type="dxa"/>
            <w:tcBorders>
              <w:top w:val="single" w:color="auto" w:sz="4" w:space="0"/>
              <w:left w:val="single" w:color="auto" w:sz="4" w:space="0"/>
              <w:bottom w:val="single" w:color="auto" w:sz="4" w:space="0"/>
              <w:right w:val="single" w:color="auto" w:sz="4" w:space="0"/>
            </w:tcBorders>
            <w:vAlign w:val="center"/>
          </w:tcPr>
          <w:p w14:paraId="3751502A">
            <w:pPr>
              <w:pStyle w:val="159"/>
              <w:keepLines w:val="0"/>
              <w:pageBreakBefore w:val="0"/>
              <w:widowControl w:val="0"/>
              <w:shd w:val="clear" w:color="auto" w:fill="auto"/>
              <w:kinsoku/>
              <w:wordWrap/>
              <w:overflowPunct/>
              <w:topLinePunct w:val="0"/>
              <w:bidi w:val="0"/>
              <w:adjustRightInd/>
              <w:snapToGrid/>
              <w:spacing w:line="360" w:lineRule="auto"/>
              <w:ind w:left="0" w:leftChars="0" w:firstLine="0" w:firstLineChars="0"/>
              <w:jc w:val="center"/>
              <w:textAlignment w:val="auto"/>
              <w:rPr>
                <w:rFonts w:hint="eastAsia" w:ascii="宋体" w:hAnsi="宋体" w:eastAsia="宋体" w:cs="宋体"/>
                <w:b/>
                <w:bCs w:val="0"/>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lang w:eastAsia="zh-CN"/>
                <w14:textFill>
                  <w14:solidFill>
                    <w14:schemeClr w14:val="tx1"/>
                  </w14:solidFill>
                </w14:textFill>
              </w:rPr>
              <w:t>评审</w:t>
            </w:r>
            <w:r>
              <w:rPr>
                <w:rFonts w:hint="eastAsia" w:ascii="宋体" w:hAnsi="宋体" w:eastAsia="宋体" w:cs="宋体"/>
                <w:b/>
                <w:bCs/>
                <w:color w:val="000000" w:themeColor="text1"/>
                <w:sz w:val="28"/>
                <w:szCs w:val="28"/>
                <w:highlight w:val="none"/>
                <w14:textFill>
                  <w14:solidFill>
                    <w14:schemeClr w14:val="tx1"/>
                  </w14:solidFill>
                </w14:textFill>
              </w:rPr>
              <w:t>小组的组建及确定方式</w:t>
            </w:r>
          </w:p>
        </w:tc>
        <w:tc>
          <w:tcPr>
            <w:tcW w:w="7297" w:type="dxa"/>
            <w:tcBorders>
              <w:top w:val="single" w:color="auto" w:sz="4" w:space="0"/>
              <w:left w:val="single" w:color="auto" w:sz="4" w:space="0"/>
              <w:bottom w:val="single" w:color="auto" w:sz="4" w:space="0"/>
              <w:right w:val="single" w:color="auto" w:sz="4" w:space="0"/>
            </w:tcBorders>
            <w:vAlign w:val="center"/>
          </w:tcPr>
          <w:p w14:paraId="0508A089">
            <w:pPr>
              <w:pStyle w:val="159"/>
              <w:keepLines w:val="0"/>
              <w:pageBreakBefore w:val="0"/>
              <w:widowControl w:val="0"/>
              <w:shd w:val="clear" w:color="auto" w:fill="auto"/>
              <w:kinsoku/>
              <w:wordWrap/>
              <w:overflowPunct/>
              <w:topLinePunct w:val="0"/>
              <w:bidi w:val="0"/>
              <w:adjustRightInd/>
              <w:snapToGrid/>
              <w:spacing w:line="360" w:lineRule="auto"/>
              <w:ind w:left="0" w:leftChars="0" w:firstLine="0" w:firstLineChars="0"/>
              <w:textAlignment w:val="auto"/>
              <w:rPr>
                <w:rFonts w:hint="eastAsia" w:ascii="宋体" w:hAnsi="宋体" w:cs="宋体"/>
                <w:bCs/>
                <w:color w:val="000000" w:themeColor="text1"/>
                <w:kern w:val="0"/>
                <w:sz w:val="28"/>
                <w:szCs w:val="28"/>
                <w:highlight w:val="none"/>
                <w:lang w:eastAsia="zh-CN"/>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采购人依法组建</w:t>
            </w:r>
            <w:r>
              <w:rPr>
                <w:rFonts w:hint="eastAsia" w:ascii="宋体" w:hAnsi="宋体" w:eastAsia="宋体" w:cs="宋体"/>
                <w:color w:val="000000" w:themeColor="text1"/>
                <w:sz w:val="28"/>
                <w:szCs w:val="28"/>
                <w:highlight w:val="none"/>
                <w:lang w:eastAsia="zh-CN"/>
                <w14:textFill>
                  <w14:solidFill>
                    <w14:schemeClr w14:val="tx1"/>
                  </w14:solidFill>
                </w14:textFill>
              </w:rPr>
              <w:t>评审</w:t>
            </w:r>
            <w:r>
              <w:rPr>
                <w:rFonts w:hint="eastAsia" w:ascii="宋体" w:hAnsi="宋体" w:eastAsia="宋体" w:cs="宋体"/>
                <w:color w:val="000000" w:themeColor="text1"/>
                <w:sz w:val="28"/>
                <w:szCs w:val="28"/>
                <w:highlight w:val="none"/>
                <w14:textFill>
                  <w14:solidFill>
                    <w14:schemeClr w14:val="tx1"/>
                  </w14:solidFill>
                </w14:textFill>
              </w:rPr>
              <w:t>小组共</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sz w:val="28"/>
                <w:szCs w:val="28"/>
                <w:highlight w:val="none"/>
                <w:u w:val="single"/>
                <w:lang w:val="en-US" w:eastAsia="zh-CN"/>
                <w14:textFill>
                  <w14:solidFill>
                    <w14:schemeClr w14:val="tx1"/>
                  </w14:solidFill>
                </w14:textFill>
              </w:rPr>
              <w:t>5</w:t>
            </w:r>
            <w:r>
              <w:rPr>
                <w:rFonts w:hint="eastAsia" w:ascii="宋体" w:hAnsi="宋体" w:eastAsia="宋体" w:cs="宋体"/>
                <w:color w:val="000000" w:themeColor="text1"/>
                <w:sz w:val="28"/>
                <w:szCs w:val="28"/>
                <w:highlight w:val="none"/>
                <w14:textFill>
                  <w14:solidFill>
                    <w14:schemeClr w14:val="tx1"/>
                  </w14:solidFill>
                </w14:textFill>
              </w:rPr>
              <w:t>人，</w:t>
            </w:r>
            <w:r>
              <w:rPr>
                <w:rFonts w:hint="eastAsia" w:ascii="宋体" w:hAnsi="宋体" w:eastAsia="宋体" w:cs="宋体"/>
                <w:color w:val="000000" w:themeColor="text1"/>
                <w:sz w:val="28"/>
                <w:szCs w:val="28"/>
                <w:highlight w:val="none"/>
                <w:lang w:val="en-US" w:eastAsia="zh-CN"/>
                <w14:textFill>
                  <w14:solidFill>
                    <w14:schemeClr w14:val="tx1"/>
                  </w14:solidFill>
                </w14:textFill>
              </w:rPr>
              <w:t>由</w:t>
            </w:r>
            <w:r>
              <w:rPr>
                <w:rFonts w:hint="eastAsia" w:ascii="宋体" w:hAnsi="宋体" w:eastAsia="宋体" w:cs="宋体"/>
                <w:color w:val="000000" w:themeColor="text1"/>
                <w:sz w:val="28"/>
                <w:szCs w:val="28"/>
                <w:highlight w:val="none"/>
                <w14:textFill>
                  <w14:solidFill>
                    <w14:schemeClr w14:val="tx1"/>
                  </w14:solidFill>
                </w14:textFill>
              </w:rPr>
              <w:t>采购人代表</w:t>
            </w:r>
            <w:r>
              <w:rPr>
                <w:rFonts w:hint="eastAsia" w:ascii="宋体" w:hAnsi="宋体" w:eastAsia="宋体" w:cs="宋体"/>
                <w:color w:val="000000" w:themeColor="text1"/>
                <w:sz w:val="28"/>
                <w:szCs w:val="28"/>
                <w:highlight w:val="none"/>
                <w:u w:val="none"/>
                <w:lang w:eastAsia="zh-CN"/>
                <w14:textFill>
                  <w14:solidFill>
                    <w14:schemeClr w14:val="tx1"/>
                  </w14:solidFill>
                </w14:textFill>
              </w:rPr>
              <w:t>（</w:t>
            </w:r>
            <w:r>
              <w:rPr>
                <w:rFonts w:hint="eastAsia" w:ascii="宋体" w:hAnsi="宋体" w:eastAsia="宋体" w:cs="宋体"/>
                <w:color w:val="000000" w:themeColor="text1"/>
                <w:sz w:val="28"/>
                <w:szCs w:val="28"/>
                <w:highlight w:val="none"/>
                <w:u w:val="none"/>
                <w:lang w:val="en-US" w:eastAsia="zh-CN"/>
                <w14:textFill>
                  <w14:solidFill>
                    <w14:schemeClr w14:val="tx1"/>
                  </w14:solidFill>
                </w14:textFill>
              </w:rPr>
              <w:t>如有</w:t>
            </w:r>
            <w:r>
              <w:rPr>
                <w:rFonts w:hint="eastAsia" w:ascii="宋体" w:hAnsi="宋体" w:eastAsia="宋体" w:cs="宋体"/>
                <w:color w:val="000000" w:themeColor="text1"/>
                <w:sz w:val="28"/>
                <w:szCs w:val="28"/>
                <w:highlight w:val="none"/>
                <w:u w:val="none"/>
                <w:lang w:eastAsia="zh-CN"/>
                <w14:textFill>
                  <w14:solidFill>
                    <w14:schemeClr w14:val="tx1"/>
                  </w14:solidFill>
                </w14:textFill>
              </w:rPr>
              <w:t>）</w:t>
            </w:r>
            <w:r>
              <w:rPr>
                <w:rFonts w:hint="eastAsia" w:ascii="宋体" w:hAnsi="宋体" w:eastAsia="宋体" w:cs="宋体"/>
                <w:color w:val="000000" w:themeColor="text1"/>
                <w:sz w:val="28"/>
                <w:szCs w:val="28"/>
                <w:highlight w:val="none"/>
                <w14:textFill>
                  <w14:solidFill>
                    <w14:schemeClr w14:val="tx1"/>
                  </w14:solidFill>
                </w14:textFill>
              </w:rPr>
              <w:t>和专家评委组成</w:t>
            </w:r>
            <w:r>
              <w:rPr>
                <w:rFonts w:hint="eastAsia" w:ascii="宋体" w:hAnsi="宋体" w:eastAsia="宋体" w:cs="宋体"/>
                <w:color w:val="000000" w:themeColor="text1"/>
                <w:sz w:val="28"/>
                <w:szCs w:val="28"/>
                <w:highlight w:val="none"/>
                <w:u w:val="none"/>
                <w:lang w:eastAsia="zh-CN"/>
                <w14:textFill>
                  <w14:solidFill>
                    <w14:schemeClr w14:val="tx1"/>
                  </w14:solidFill>
                </w14:textFill>
              </w:rPr>
              <w:t>。</w:t>
            </w:r>
            <w:r>
              <w:rPr>
                <w:rFonts w:hint="eastAsia" w:ascii="宋体" w:hAnsi="宋体" w:eastAsia="宋体" w:cs="宋体"/>
                <w:color w:val="000000" w:themeColor="text1"/>
                <w:sz w:val="28"/>
                <w:szCs w:val="28"/>
                <w:highlight w:val="none"/>
                <w14:textFill>
                  <w14:solidFill>
                    <w14:schemeClr w14:val="tx1"/>
                  </w14:solidFill>
                </w14:textFill>
              </w:rPr>
              <w:t>谈判小组确定方式：</w:t>
            </w:r>
            <w:r>
              <w:rPr>
                <w:rFonts w:hint="eastAsia" w:ascii="宋体" w:hAnsi="宋体" w:eastAsia="宋体" w:cs="宋体"/>
                <w:color w:val="000000" w:themeColor="text1"/>
                <w:sz w:val="28"/>
                <w:szCs w:val="28"/>
                <w:highlight w:val="none"/>
                <w:u w:val="single"/>
                <w:lang w:eastAsia="zh-CN"/>
                <w14:textFill>
                  <w14:solidFill>
                    <w14:schemeClr w14:val="tx1"/>
                  </w14:solidFill>
                </w14:textFill>
              </w:rPr>
              <w:t>新疆政府采购网</w:t>
            </w:r>
            <w:r>
              <w:rPr>
                <w:rFonts w:hint="eastAsia" w:ascii="宋体" w:hAnsi="宋体" w:eastAsia="宋体" w:cs="宋体"/>
                <w:color w:val="000000" w:themeColor="text1"/>
                <w:sz w:val="28"/>
                <w:szCs w:val="28"/>
                <w:highlight w:val="none"/>
                <w:u w:val="single"/>
                <w14:textFill>
                  <w14:solidFill>
                    <w14:schemeClr w14:val="tx1"/>
                  </w14:solidFill>
                </w14:textFill>
              </w:rPr>
              <w:t>专家库中随机抽取确定</w:t>
            </w:r>
            <w:r>
              <w:rPr>
                <w:rFonts w:hint="eastAsia" w:ascii="宋体" w:hAnsi="宋体" w:eastAsia="宋体" w:cs="宋体"/>
                <w:color w:val="000000" w:themeColor="text1"/>
                <w:sz w:val="28"/>
                <w:szCs w:val="28"/>
                <w:highlight w:val="none"/>
                <w:u w:val="single"/>
                <w:lang w:val="en-US" w:eastAsia="zh-CN"/>
                <w14:textFill>
                  <w14:solidFill>
                    <w14:schemeClr w14:val="tx1"/>
                  </w14:solidFill>
                </w14:textFill>
              </w:rPr>
              <w:t xml:space="preserve"> </w:t>
            </w:r>
          </w:p>
        </w:tc>
      </w:tr>
    </w:tbl>
    <w:p w14:paraId="249A0DC9">
      <w:pPr>
        <w:pStyle w:val="143"/>
        <w:pageBreakBefore w:val="0"/>
        <w:wordWrap/>
        <w:topLinePunct w:val="0"/>
        <w:bidi w:val="0"/>
        <w:spacing w:line="560" w:lineRule="exact"/>
        <w:rPr>
          <w:rFonts w:ascii="宋体" w:hAnsi="宋体" w:cs="宋体"/>
          <w:color w:val="000000" w:themeColor="text1"/>
          <w:kern w:val="0"/>
          <w:sz w:val="28"/>
          <w:szCs w:val="28"/>
          <w:highlight w:val="none"/>
          <w14:textFill>
            <w14:solidFill>
              <w14:schemeClr w14:val="tx1"/>
            </w14:solidFill>
          </w14:textFill>
        </w:rPr>
        <w:sectPr>
          <w:footerReference r:id="rId28" w:type="default"/>
          <w:pgSz w:w="11906" w:h="16838"/>
          <w:pgMar w:top="1134" w:right="1134" w:bottom="1134" w:left="1134" w:header="720" w:footer="720" w:gutter="0"/>
          <w:pgNumType w:fmt="decimal" w:start="1"/>
          <w:cols w:space="720" w:num="1"/>
          <w:docGrid w:type="lines" w:linePitch="331" w:charSpace="0"/>
        </w:sectPr>
      </w:pPr>
      <w:r>
        <w:rPr>
          <w:b/>
          <w:bCs w:val="0"/>
          <w:color w:val="000000" w:themeColor="text1"/>
          <w:kern w:val="0"/>
          <w:sz w:val="28"/>
          <w:szCs w:val="28"/>
          <w:highlight w:val="none"/>
          <w14:textFill>
            <w14:solidFill>
              <w14:schemeClr w14:val="tx1"/>
            </w14:solidFill>
          </w14:textFill>
        </w:rPr>
        <w:t>注：</w:t>
      </w:r>
      <w:r>
        <w:rPr>
          <w:rFonts w:hint="eastAsia" w:ascii="宋体" w:hAnsi="宋体" w:cs="宋体"/>
          <w:b/>
          <w:bCs w:val="0"/>
          <w:color w:val="000000" w:themeColor="text1"/>
          <w:kern w:val="0"/>
          <w:sz w:val="28"/>
          <w:szCs w:val="28"/>
          <w:highlight w:val="none"/>
          <w14:textFill>
            <w14:solidFill>
              <w14:schemeClr w14:val="tx1"/>
            </w14:solidFill>
          </w14:textFill>
        </w:rPr>
        <w:t>本表内容与招标文件其它内容不一致的，应当以本表内容为准。</w:t>
      </w:r>
    </w:p>
    <w:p w14:paraId="073774C0">
      <w:pPr>
        <w:pStyle w:val="4"/>
        <w:keepNext w:val="0"/>
        <w:keepLines w:val="0"/>
        <w:pageBreakBefore w:val="0"/>
        <w:kinsoku/>
        <w:wordWrap/>
        <w:overflowPunct/>
        <w:topLinePunct w:val="0"/>
        <w:bidi w:val="0"/>
        <w:adjustRightInd/>
        <w:snapToGrid/>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一、</w:t>
      </w:r>
      <w:r>
        <w:rPr>
          <w:rFonts w:hint="eastAsia" w:ascii="宋体" w:hAnsi="宋体" w:eastAsia="宋体" w:cs="宋体"/>
          <w:color w:val="000000" w:themeColor="text1"/>
          <w:sz w:val="28"/>
          <w:szCs w:val="28"/>
          <w:highlight w:val="none"/>
          <w:lang w:eastAsia="zh-CN"/>
          <w14:textFill>
            <w14:solidFill>
              <w14:schemeClr w14:val="tx1"/>
            </w14:solidFill>
          </w14:textFill>
        </w:rPr>
        <w:t>供应商</w:t>
      </w:r>
      <w:r>
        <w:rPr>
          <w:rFonts w:hint="eastAsia" w:ascii="宋体" w:hAnsi="宋体" w:eastAsia="宋体" w:cs="宋体"/>
          <w:color w:val="000000" w:themeColor="text1"/>
          <w:sz w:val="28"/>
          <w:szCs w:val="28"/>
          <w:highlight w:val="none"/>
          <w14:textFill>
            <w14:solidFill>
              <w14:schemeClr w14:val="tx1"/>
            </w14:solidFill>
          </w14:textFill>
        </w:rPr>
        <w:t>须知正文</w:t>
      </w:r>
    </w:p>
    <w:p w14:paraId="55F066A7">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1.适用范围</w:t>
      </w:r>
    </w:p>
    <w:p w14:paraId="3061D89E">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1.1适用法律：本项目采购人、采购代理机构、</w:t>
      </w:r>
      <w:r>
        <w:rPr>
          <w:rFonts w:hint="eastAsia" w:ascii="宋体" w:hAnsi="宋体" w:cs="宋体"/>
          <w:color w:val="000000" w:themeColor="text1"/>
          <w:sz w:val="28"/>
          <w:szCs w:val="28"/>
          <w:highlight w:val="none"/>
          <w:lang w:eastAsia="zh-CN"/>
          <w14:textFill>
            <w14:solidFill>
              <w14:schemeClr w14:val="tx1"/>
            </w14:solidFill>
          </w14:textFill>
        </w:rPr>
        <w:t>供应商</w:t>
      </w:r>
      <w:r>
        <w:rPr>
          <w:rFonts w:hint="eastAsia" w:ascii="宋体" w:hAnsi="宋体" w:eastAsia="宋体" w:cs="宋体"/>
          <w:color w:val="000000" w:themeColor="text1"/>
          <w:sz w:val="28"/>
          <w:szCs w:val="28"/>
          <w:highlight w:val="none"/>
          <w14:textFill>
            <w14:solidFill>
              <w14:schemeClr w14:val="tx1"/>
            </w14:solidFill>
          </w14:textFill>
        </w:rPr>
        <w:t>、评标委员会的相关行为均受《中华人民共和国政府采购法》、《中华人民共和国政府采购法实施条例》、《政府采购货物和货物招标投标管理办法》及本项目本级和上级财政部门政府采购有关规定的约束和保护。</w:t>
      </w:r>
    </w:p>
    <w:p w14:paraId="2CBEEA48">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1.2本招标文件</w:t>
      </w:r>
      <w:r>
        <w:rPr>
          <w:rFonts w:hint="eastAsia" w:ascii="宋体" w:hAnsi="宋体" w:eastAsia="宋体" w:cs="宋体"/>
          <w:color w:val="000000" w:themeColor="text1"/>
          <w:spacing w:val="-6"/>
          <w:sz w:val="28"/>
          <w:szCs w:val="28"/>
          <w:highlight w:val="none"/>
          <w14:textFill>
            <w14:solidFill>
              <w14:schemeClr w14:val="tx1"/>
            </w14:solidFill>
          </w14:textFill>
        </w:rPr>
        <w:t>适用于本项目的所有采购程序和环节（法律、法规另有规定的，从其规定）。</w:t>
      </w:r>
    </w:p>
    <w:p w14:paraId="06A829AD">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2.定义</w:t>
      </w:r>
    </w:p>
    <w:p w14:paraId="7ADB89DE">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b w:val="0"/>
          <w:bCs/>
          <w:color w:val="000000" w:themeColor="text1"/>
          <w:sz w:val="28"/>
          <w:szCs w:val="28"/>
          <w:highlight w:val="none"/>
          <w14:textFill>
            <w14:solidFill>
              <w14:schemeClr w14:val="tx1"/>
            </w14:solidFill>
          </w14:textFill>
        </w:rPr>
      </w:pPr>
      <w:r>
        <w:rPr>
          <w:rFonts w:hint="eastAsia" w:ascii="宋体" w:hAnsi="宋体" w:eastAsia="宋体" w:cs="宋体"/>
          <w:b w:val="0"/>
          <w:bCs/>
          <w:color w:val="000000" w:themeColor="text1"/>
          <w:sz w:val="28"/>
          <w:szCs w:val="28"/>
          <w:highlight w:val="none"/>
          <w14:textFill>
            <w14:solidFill>
              <w14:schemeClr w14:val="tx1"/>
            </w14:solidFill>
          </w14:textFill>
        </w:rPr>
        <w:t>2.1“采购人”是指依法进行政府采购的国家机关、事业单位、团体组织。</w:t>
      </w:r>
    </w:p>
    <w:p w14:paraId="22DD5645">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b w:val="0"/>
          <w:bCs/>
          <w:color w:val="000000" w:themeColor="text1"/>
          <w:sz w:val="28"/>
          <w:szCs w:val="28"/>
          <w:highlight w:val="none"/>
          <w14:textFill>
            <w14:solidFill>
              <w14:schemeClr w14:val="tx1"/>
            </w14:solidFill>
          </w14:textFill>
        </w:rPr>
      </w:pPr>
      <w:r>
        <w:rPr>
          <w:rFonts w:hint="eastAsia" w:ascii="宋体" w:hAnsi="宋体" w:eastAsia="宋体" w:cs="宋体"/>
          <w:b w:val="0"/>
          <w:bCs/>
          <w:color w:val="000000" w:themeColor="text1"/>
          <w:sz w:val="28"/>
          <w:szCs w:val="28"/>
          <w:highlight w:val="none"/>
          <w14:textFill>
            <w14:solidFill>
              <w14:schemeClr w14:val="tx1"/>
            </w14:solidFill>
          </w14:textFill>
        </w:rPr>
        <w:t>2.2“采购代理机构” 指政府采购集中采购机构和集中采购机构以外的采购代理机构。</w:t>
      </w:r>
    </w:p>
    <w:p w14:paraId="4E0CDBFD">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b w:val="0"/>
          <w:bCs/>
          <w:color w:val="000000" w:themeColor="text1"/>
          <w:sz w:val="28"/>
          <w:szCs w:val="28"/>
          <w:highlight w:val="none"/>
          <w14:textFill>
            <w14:solidFill>
              <w14:schemeClr w14:val="tx1"/>
            </w14:solidFill>
          </w14:textFill>
        </w:rPr>
      </w:pPr>
      <w:r>
        <w:rPr>
          <w:rFonts w:hint="eastAsia" w:ascii="宋体" w:hAnsi="宋体" w:eastAsia="宋体" w:cs="宋体"/>
          <w:b w:val="0"/>
          <w:bCs/>
          <w:color w:val="000000" w:themeColor="text1"/>
          <w:sz w:val="28"/>
          <w:szCs w:val="28"/>
          <w:highlight w:val="none"/>
          <w14:textFill>
            <w14:solidFill>
              <w14:schemeClr w14:val="tx1"/>
            </w14:solidFill>
          </w14:textFill>
        </w:rPr>
        <w:t>2.3“供应商”是指向采购人提供货物、工程或者服务的法人、其他组织或者自然人。</w:t>
      </w:r>
    </w:p>
    <w:p w14:paraId="2365B8BA">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2.4“</w:t>
      </w:r>
      <w:r>
        <w:rPr>
          <w:rFonts w:hint="eastAsia" w:ascii="宋体" w:hAnsi="宋体" w:cs="宋体"/>
          <w:color w:val="000000" w:themeColor="text1"/>
          <w:sz w:val="28"/>
          <w:szCs w:val="28"/>
          <w:highlight w:val="none"/>
          <w:lang w:eastAsia="zh-CN"/>
          <w14:textFill>
            <w14:solidFill>
              <w14:schemeClr w14:val="tx1"/>
            </w14:solidFill>
          </w14:textFill>
        </w:rPr>
        <w:t>供应商</w:t>
      </w:r>
      <w:r>
        <w:rPr>
          <w:rFonts w:hint="eastAsia" w:ascii="宋体" w:hAnsi="宋体" w:eastAsia="宋体" w:cs="宋体"/>
          <w:color w:val="000000" w:themeColor="text1"/>
          <w:sz w:val="28"/>
          <w:szCs w:val="28"/>
          <w:highlight w:val="none"/>
          <w14:textFill>
            <w14:solidFill>
              <w14:schemeClr w14:val="tx1"/>
            </w14:solidFill>
          </w14:textFill>
        </w:rPr>
        <w:t>”是指响应招标、参加投标竞争的法人、非法人组织或者自然人。</w:t>
      </w:r>
    </w:p>
    <w:p w14:paraId="2076767F">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b w:val="0"/>
          <w:bCs/>
          <w:color w:val="000000" w:themeColor="text1"/>
          <w:sz w:val="28"/>
          <w:szCs w:val="28"/>
          <w:highlight w:val="none"/>
          <w14:textFill>
            <w14:solidFill>
              <w14:schemeClr w14:val="tx1"/>
            </w14:solidFill>
          </w14:textFill>
        </w:rPr>
      </w:pPr>
      <w:r>
        <w:rPr>
          <w:rFonts w:hint="eastAsia" w:ascii="宋体" w:hAnsi="宋体" w:eastAsia="宋体" w:cs="宋体"/>
          <w:b w:val="0"/>
          <w:bCs/>
          <w:color w:val="000000" w:themeColor="text1"/>
          <w:sz w:val="28"/>
          <w:szCs w:val="28"/>
          <w:highlight w:val="none"/>
          <w14:textFill>
            <w14:solidFill>
              <w14:schemeClr w14:val="tx1"/>
            </w14:solidFill>
          </w14:textFill>
        </w:rPr>
        <w:t>2.5“货物”是指各种形态和种类的物品，包括原材料、燃料、设备、产品等。</w:t>
      </w:r>
    </w:p>
    <w:p w14:paraId="39C13FFC">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2.6“售后服务” 是指商品出售以后所提供的各种服务，包含但不限于</w:t>
      </w:r>
      <w:r>
        <w:rPr>
          <w:rFonts w:hint="eastAsia" w:ascii="宋体" w:hAnsi="宋体" w:cs="宋体"/>
          <w:color w:val="000000" w:themeColor="text1"/>
          <w:sz w:val="28"/>
          <w:szCs w:val="28"/>
          <w:highlight w:val="none"/>
          <w:lang w:eastAsia="zh-CN"/>
          <w14:textFill>
            <w14:solidFill>
              <w14:schemeClr w14:val="tx1"/>
            </w14:solidFill>
          </w14:textFill>
        </w:rPr>
        <w:t>供应商</w:t>
      </w:r>
      <w:r>
        <w:rPr>
          <w:rFonts w:hint="eastAsia" w:ascii="宋体" w:hAnsi="宋体" w:eastAsia="宋体" w:cs="宋体"/>
          <w:color w:val="000000" w:themeColor="text1"/>
          <w:sz w:val="28"/>
          <w:szCs w:val="28"/>
          <w:highlight w:val="none"/>
          <w14:textFill>
            <w14:solidFill>
              <w14:schemeClr w14:val="tx1"/>
            </w14:solidFill>
          </w14:textFill>
        </w:rPr>
        <w:t>须承担的备品备件、包装、运输、装卸、保险、货到就位以及安装、调试、培训、保修以及其他各种服务。</w:t>
      </w:r>
    </w:p>
    <w:p w14:paraId="408157CB">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2.7“书面形式”是指合同书、信件和数据电文（包括电报、电传、传真、电子数据交换和电子邮件）等可以有形地表现所载内容的形式。</w:t>
      </w:r>
    </w:p>
    <w:p w14:paraId="08A26000">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2.8“实质性要求”是指招标文件中已经指明不满足则投标无效的条款，或者不能负偏离的条款，或者采购需求中带“★”的条款。</w:t>
      </w:r>
    </w:p>
    <w:p w14:paraId="6D3B5A1A">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2.9 “正偏离”，是指投标文件对招标文件“采购需求”中有关条款作出的响应优于条款要求并有利于采购人的情形。</w:t>
      </w:r>
    </w:p>
    <w:p w14:paraId="23A37091">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2.10“负偏离”，是指投标文件对招标文件“采购需求”中有关条款作出的响应不满足条款要求，导致采购人要求不能得到满足的情形。</w:t>
      </w:r>
    </w:p>
    <w:p w14:paraId="293AFCA5">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2.11“允许负偏离的条款”是指采购需求中的不属于“实质性要求”的条款。</w:t>
      </w:r>
    </w:p>
    <w:p w14:paraId="5118AF7A">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3.</w:t>
      </w:r>
      <w:r>
        <w:rPr>
          <w:rFonts w:hint="eastAsia" w:ascii="宋体" w:hAnsi="宋体" w:cs="宋体"/>
          <w:color w:val="000000" w:themeColor="text1"/>
          <w:sz w:val="28"/>
          <w:szCs w:val="28"/>
          <w:highlight w:val="none"/>
          <w:lang w:eastAsia="zh-CN"/>
          <w14:textFill>
            <w14:solidFill>
              <w14:schemeClr w14:val="tx1"/>
            </w14:solidFill>
          </w14:textFill>
        </w:rPr>
        <w:t>供应商</w:t>
      </w:r>
      <w:r>
        <w:rPr>
          <w:rFonts w:hint="eastAsia" w:ascii="宋体" w:hAnsi="宋体" w:eastAsia="宋体" w:cs="宋体"/>
          <w:color w:val="000000" w:themeColor="text1"/>
          <w:sz w:val="28"/>
          <w:szCs w:val="28"/>
          <w:highlight w:val="none"/>
          <w14:textFill>
            <w14:solidFill>
              <w14:schemeClr w14:val="tx1"/>
            </w14:solidFill>
          </w14:textFill>
        </w:rPr>
        <w:t>的资格要求</w:t>
      </w:r>
    </w:p>
    <w:p w14:paraId="2D03D8F2">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lang w:eastAsia="zh-CN"/>
          <w14:textFill>
            <w14:solidFill>
              <w14:schemeClr w14:val="tx1"/>
            </w14:solidFill>
          </w14:textFill>
        </w:rPr>
        <w:t>供应商</w:t>
      </w:r>
      <w:r>
        <w:rPr>
          <w:rFonts w:hint="eastAsia" w:ascii="宋体" w:hAnsi="宋体" w:eastAsia="宋体" w:cs="宋体"/>
          <w:color w:val="000000" w:themeColor="text1"/>
          <w:sz w:val="28"/>
          <w:szCs w:val="28"/>
          <w:highlight w:val="none"/>
          <w14:textFill>
            <w14:solidFill>
              <w14:schemeClr w14:val="tx1"/>
            </w14:solidFill>
          </w14:textFill>
        </w:rPr>
        <w:t>的资格要求详见“招标公告”。</w:t>
      </w:r>
    </w:p>
    <w:p w14:paraId="4FA4585B">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4.投标委托</w:t>
      </w:r>
    </w:p>
    <w:p w14:paraId="4FFF4BAA">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lang w:eastAsia="zh-CN"/>
          <w14:textFill>
            <w14:solidFill>
              <w14:schemeClr w14:val="tx1"/>
            </w14:solidFill>
          </w14:textFill>
        </w:rPr>
        <w:t>供应商</w:t>
      </w:r>
      <w:r>
        <w:rPr>
          <w:rFonts w:hint="eastAsia" w:ascii="宋体" w:hAnsi="宋体" w:eastAsia="宋体" w:cs="宋体"/>
          <w:color w:val="000000" w:themeColor="text1"/>
          <w:sz w:val="28"/>
          <w:szCs w:val="28"/>
          <w:highlight w:val="none"/>
          <w14:textFill>
            <w14:solidFill>
              <w14:schemeClr w14:val="tx1"/>
            </w14:solidFill>
          </w14:textFill>
        </w:rPr>
        <w:t>代表参加投标活动过程中必须携带个人有效身份证件。如</w:t>
      </w:r>
      <w:r>
        <w:rPr>
          <w:rFonts w:hint="eastAsia" w:ascii="宋体" w:hAnsi="宋体" w:cs="宋体"/>
          <w:color w:val="000000" w:themeColor="text1"/>
          <w:sz w:val="28"/>
          <w:szCs w:val="28"/>
          <w:highlight w:val="none"/>
          <w:lang w:eastAsia="zh-CN"/>
          <w14:textFill>
            <w14:solidFill>
              <w14:schemeClr w14:val="tx1"/>
            </w14:solidFill>
          </w14:textFill>
        </w:rPr>
        <w:t>供应商</w:t>
      </w:r>
      <w:r>
        <w:rPr>
          <w:rFonts w:hint="eastAsia" w:ascii="宋体" w:hAnsi="宋体" w:eastAsia="宋体" w:cs="宋体"/>
          <w:color w:val="000000" w:themeColor="text1"/>
          <w:sz w:val="28"/>
          <w:szCs w:val="28"/>
          <w:highlight w:val="none"/>
          <w14:textFill>
            <w14:solidFill>
              <w14:schemeClr w14:val="tx1"/>
            </w14:solidFill>
          </w14:textFill>
        </w:rPr>
        <w:t>代表不是法定代表人，须持有法定代表人授权委托书（正本用原件，副本用复印件，按第六章要求格式填写）。</w:t>
      </w:r>
    </w:p>
    <w:p w14:paraId="1D426A11">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5.投标费用</w:t>
      </w:r>
    </w:p>
    <w:p w14:paraId="0ACDB5A8">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投标费用：</w:t>
      </w:r>
      <w:r>
        <w:rPr>
          <w:rFonts w:hint="eastAsia" w:ascii="宋体" w:hAnsi="宋体" w:cs="宋体"/>
          <w:color w:val="000000" w:themeColor="text1"/>
          <w:sz w:val="28"/>
          <w:szCs w:val="28"/>
          <w:highlight w:val="none"/>
          <w:lang w:eastAsia="zh-CN"/>
          <w14:textFill>
            <w14:solidFill>
              <w14:schemeClr w14:val="tx1"/>
            </w14:solidFill>
          </w14:textFill>
        </w:rPr>
        <w:t>供应商</w:t>
      </w:r>
      <w:r>
        <w:rPr>
          <w:rFonts w:hint="eastAsia" w:ascii="宋体" w:hAnsi="宋体" w:eastAsia="宋体" w:cs="宋体"/>
          <w:color w:val="000000" w:themeColor="text1"/>
          <w:sz w:val="28"/>
          <w:szCs w:val="28"/>
          <w:highlight w:val="none"/>
          <w14:textFill>
            <w14:solidFill>
              <w14:schemeClr w14:val="tx1"/>
            </w14:solidFill>
          </w14:textFill>
        </w:rPr>
        <w:t>应承担参与本次采购活动有关的所有费用，包括但不限于勘查现场、编制投标文件、参加澄清说明、签订合同等，不论投标结果如何，均应自行承担。</w:t>
      </w:r>
    </w:p>
    <w:p w14:paraId="1B705D4D">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6.联合体投标</w:t>
      </w:r>
    </w:p>
    <w:p w14:paraId="578A7487">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6.1本项目是否接受联合体投标，详见“</w:t>
      </w:r>
      <w:r>
        <w:rPr>
          <w:rFonts w:hint="eastAsia" w:ascii="宋体" w:hAnsi="宋体" w:cs="宋体"/>
          <w:color w:val="000000" w:themeColor="text1"/>
          <w:sz w:val="28"/>
          <w:szCs w:val="28"/>
          <w:highlight w:val="none"/>
          <w:lang w:eastAsia="zh-CN"/>
          <w14:textFill>
            <w14:solidFill>
              <w14:schemeClr w14:val="tx1"/>
            </w14:solidFill>
          </w14:textFill>
        </w:rPr>
        <w:t>供应商</w:t>
      </w:r>
      <w:r>
        <w:rPr>
          <w:rFonts w:hint="eastAsia" w:ascii="宋体" w:hAnsi="宋体" w:eastAsia="宋体" w:cs="宋体"/>
          <w:color w:val="000000" w:themeColor="text1"/>
          <w:sz w:val="28"/>
          <w:szCs w:val="28"/>
          <w:highlight w:val="none"/>
          <w14:textFill>
            <w14:solidFill>
              <w14:schemeClr w14:val="tx1"/>
            </w14:solidFill>
          </w14:textFill>
        </w:rPr>
        <w:t>须知前附表”。</w:t>
      </w:r>
    </w:p>
    <w:p w14:paraId="3B979D7B">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6.2如接受联合体投标，联合体投标要求详见“</w:t>
      </w:r>
      <w:r>
        <w:rPr>
          <w:rFonts w:hint="eastAsia" w:ascii="宋体" w:hAnsi="宋体" w:cs="宋体"/>
          <w:bCs/>
          <w:color w:val="000000" w:themeColor="text1"/>
          <w:sz w:val="28"/>
          <w:szCs w:val="28"/>
          <w:highlight w:val="none"/>
          <w:lang w:eastAsia="zh-CN"/>
          <w14:textFill>
            <w14:solidFill>
              <w14:schemeClr w14:val="tx1"/>
            </w14:solidFill>
          </w14:textFill>
        </w:rPr>
        <w:t>供应商</w:t>
      </w:r>
      <w:r>
        <w:rPr>
          <w:rFonts w:hint="eastAsia" w:ascii="宋体" w:hAnsi="宋体" w:eastAsia="宋体" w:cs="宋体"/>
          <w:bCs/>
          <w:color w:val="000000" w:themeColor="text1"/>
          <w:sz w:val="28"/>
          <w:szCs w:val="28"/>
          <w:highlight w:val="none"/>
          <w14:textFill>
            <w14:solidFill>
              <w14:schemeClr w14:val="tx1"/>
            </w14:solidFill>
          </w14:textFill>
        </w:rPr>
        <w:t>须知前附表”。</w:t>
      </w:r>
    </w:p>
    <w:p w14:paraId="33DF185C">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shd w:val="clear" w:color="auto" w:fill="FFFFFF"/>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6.3根据《政府采购促进中小企业发展管理办法》（财库[2020]46号）第九条规定，接受大中型企业与小微企业组成联合体的采购项目，对于联合协议约定小微企业的合同份额占到合同总金额 30%以上的，采购人、采购代理机构应当对联合体的报价给予 4%-6%（工程项目为 1%—2%）的扣除，用扣除后的价格参加评审。组成联合体的小微企业与联合体内其他企业、分包企业之间存在直接控股、管理关系的，不享受价格扣除优惠政策。</w:t>
      </w:r>
    </w:p>
    <w:p w14:paraId="7438992A">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7.转包与分包             </w:t>
      </w:r>
    </w:p>
    <w:p w14:paraId="288EC13C">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b w:val="0"/>
          <w:bCs/>
          <w:color w:val="000000" w:themeColor="text1"/>
          <w:sz w:val="28"/>
          <w:szCs w:val="28"/>
          <w:highlight w:val="none"/>
          <w14:textFill>
            <w14:solidFill>
              <w14:schemeClr w14:val="tx1"/>
            </w14:solidFill>
          </w14:textFill>
        </w:rPr>
      </w:pPr>
      <w:r>
        <w:rPr>
          <w:rFonts w:hint="eastAsia" w:ascii="宋体" w:hAnsi="宋体" w:eastAsia="宋体" w:cs="宋体"/>
          <w:b w:val="0"/>
          <w:bCs/>
          <w:color w:val="000000" w:themeColor="text1"/>
          <w:sz w:val="28"/>
          <w:szCs w:val="28"/>
          <w:highlight w:val="none"/>
          <w14:textFill>
            <w14:solidFill>
              <w14:schemeClr w14:val="tx1"/>
            </w14:solidFill>
          </w14:textFill>
        </w:rPr>
        <w:t>7.1本项目是否允许分包详见“</w:t>
      </w:r>
      <w:r>
        <w:rPr>
          <w:rFonts w:hint="eastAsia" w:ascii="宋体" w:hAnsi="宋体" w:cs="宋体"/>
          <w:b w:val="0"/>
          <w:bCs/>
          <w:color w:val="000000" w:themeColor="text1"/>
          <w:sz w:val="28"/>
          <w:szCs w:val="28"/>
          <w:highlight w:val="none"/>
          <w:lang w:eastAsia="zh-CN"/>
          <w14:textFill>
            <w14:solidFill>
              <w14:schemeClr w14:val="tx1"/>
            </w14:solidFill>
          </w14:textFill>
        </w:rPr>
        <w:t>供应商</w:t>
      </w:r>
      <w:r>
        <w:rPr>
          <w:rFonts w:hint="eastAsia" w:ascii="宋体" w:hAnsi="宋体" w:eastAsia="宋体" w:cs="宋体"/>
          <w:b w:val="0"/>
          <w:bCs/>
          <w:color w:val="000000" w:themeColor="text1"/>
          <w:sz w:val="28"/>
          <w:szCs w:val="28"/>
          <w:highlight w:val="none"/>
          <w14:textFill>
            <w14:solidFill>
              <w14:schemeClr w14:val="tx1"/>
            </w14:solidFill>
          </w14:textFill>
        </w:rPr>
        <w:t>须知前附表”，本项目不允许违法分包。</w:t>
      </w:r>
      <w:r>
        <w:rPr>
          <w:rFonts w:hint="eastAsia" w:ascii="宋体" w:hAnsi="宋体" w:cs="宋体"/>
          <w:b w:val="0"/>
          <w:bCs/>
          <w:color w:val="000000" w:themeColor="text1"/>
          <w:sz w:val="28"/>
          <w:szCs w:val="28"/>
          <w:highlight w:val="none"/>
          <w:lang w:eastAsia="zh-CN"/>
          <w14:textFill>
            <w14:solidFill>
              <w14:schemeClr w14:val="tx1"/>
            </w14:solidFill>
          </w14:textFill>
        </w:rPr>
        <w:t>供应商</w:t>
      </w:r>
      <w:r>
        <w:rPr>
          <w:rFonts w:hint="eastAsia" w:ascii="宋体" w:hAnsi="宋体" w:eastAsia="宋体" w:cs="宋体"/>
          <w:b w:val="0"/>
          <w:bCs/>
          <w:color w:val="000000" w:themeColor="text1"/>
          <w:sz w:val="28"/>
          <w:szCs w:val="28"/>
          <w:highlight w:val="none"/>
          <w14:textFill>
            <w14:solidFill>
              <w14:schemeClr w14:val="tx1"/>
            </w14:solidFill>
          </w14:textFill>
        </w:rPr>
        <w:t>根据招标文件的规定和采购项目的实际情况，拟在中标后将中标项目的非主体、非关键性工作分包的，应当在投标文件中载明分包承担主体，分包承担主体应当具备相应资质条件且不得再次分包。</w:t>
      </w:r>
    </w:p>
    <w:p w14:paraId="35C658A5">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7.2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4C3F81F5">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8.特别说明：</w:t>
      </w:r>
    </w:p>
    <w:p w14:paraId="1D9574FF">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b w:val="0"/>
          <w:bCs/>
          <w:color w:val="000000" w:themeColor="text1"/>
          <w:sz w:val="28"/>
          <w:szCs w:val="28"/>
          <w:highlight w:val="none"/>
          <w14:textFill>
            <w14:solidFill>
              <w14:schemeClr w14:val="tx1"/>
            </w14:solidFill>
          </w14:textFill>
        </w:rPr>
      </w:pPr>
      <w:r>
        <w:rPr>
          <w:rFonts w:hint="eastAsia" w:ascii="宋体" w:hAnsi="宋体" w:eastAsia="宋体" w:cs="宋体"/>
          <w:b w:val="0"/>
          <w:bCs/>
          <w:color w:val="000000" w:themeColor="text1"/>
          <w:sz w:val="28"/>
          <w:szCs w:val="28"/>
          <w:highlight w:val="none"/>
          <w14:textFill>
            <w14:solidFill>
              <w14:schemeClr w14:val="tx1"/>
            </w14:solidFill>
          </w14:textFill>
        </w:rPr>
        <w:t>8.1如果本招标文件要求</w:t>
      </w:r>
      <w:r>
        <w:rPr>
          <w:rFonts w:hint="eastAsia" w:ascii="宋体" w:hAnsi="宋体" w:cs="宋体"/>
          <w:b w:val="0"/>
          <w:bCs/>
          <w:color w:val="000000" w:themeColor="text1"/>
          <w:sz w:val="28"/>
          <w:szCs w:val="28"/>
          <w:highlight w:val="none"/>
          <w:lang w:eastAsia="zh-CN"/>
          <w14:textFill>
            <w14:solidFill>
              <w14:schemeClr w14:val="tx1"/>
            </w14:solidFill>
          </w14:textFill>
        </w:rPr>
        <w:t>供应商</w:t>
      </w:r>
      <w:r>
        <w:rPr>
          <w:rFonts w:hint="eastAsia" w:ascii="宋体" w:hAnsi="宋体" w:eastAsia="宋体" w:cs="宋体"/>
          <w:b w:val="0"/>
          <w:bCs/>
          <w:color w:val="000000" w:themeColor="text1"/>
          <w:sz w:val="28"/>
          <w:szCs w:val="28"/>
          <w:highlight w:val="none"/>
          <w14:textFill>
            <w14:solidFill>
              <w14:schemeClr w14:val="tx1"/>
            </w14:solidFill>
          </w14:textFill>
        </w:rPr>
        <w:t>提供资格、信誉、荣誉、业绩与企业认证等材料的，则</w:t>
      </w:r>
      <w:r>
        <w:rPr>
          <w:rFonts w:hint="eastAsia" w:ascii="宋体" w:hAnsi="宋体" w:cs="宋体"/>
          <w:b w:val="0"/>
          <w:bCs/>
          <w:color w:val="000000" w:themeColor="text1"/>
          <w:sz w:val="28"/>
          <w:szCs w:val="28"/>
          <w:highlight w:val="none"/>
          <w:lang w:eastAsia="zh-CN"/>
          <w14:textFill>
            <w14:solidFill>
              <w14:schemeClr w14:val="tx1"/>
            </w14:solidFill>
          </w14:textFill>
        </w:rPr>
        <w:t>供应商</w:t>
      </w:r>
      <w:r>
        <w:rPr>
          <w:rFonts w:hint="eastAsia" w:ascii="宋体" w:hAnsi="宋体" w:eastAsia="宋体" w:cs="宋体"/>
          <w:b w:val="0"/>
          <w:bCs/>
          <w:color w:val="000000" w:themeColor="text1"/>
          <w:sz w:val="28"/>
          <w:szCs w:val="28"/>
          <w:highlight w:val="none"/>
          <w14:textFill>
            <w14:solidFill>
              <w14:schemeClr w14:val="tx1"/>
            </w14:solidFill>
          </w14:textFill>
        </w:rPr>
        <w:t>所提供的以上材料必须为</w:t>
      </w:r>
      <w:r>
        <w:rPr>
          <w:rFonts w:hint="eastAsia" w:ascii="宋体" w:hAnsi="宋体" w:cs="宋体"/>
          <w:b w:val="0"/>
          <w:bCs/>
          <w:color w:val="000000" w:themeColor="text1"/>
          <w:sz w:val="28"/>
          <w:szCs w:val="28"/>
          <w:highlight w:val="none"/>
          <w:lang w:eastAsia="zh-CN"/>
          <w14:textFill>
            <w14:solidFill>
              <w14:schemeClr w14:val="tx1"/>
            </w14:solidFill>
          </w14:textFill>
        </w:rPr>
        <w:t>供应商</w:t>
      </w:r>
      <w:r>
        <w:rPr>
          <w:rFonts w:hint="eastAsia" w:ascii="宋体" w:hAnsi="宋体" w:eastAsia="宋体" w:cs="宋体"/>
          <w:b w:val="0"/>
          <w:bCs/>
          <w:color w:val="000000" w:themeColor="text1"/>
          <w:sz w:val="28"/>
          <w:szCs w:val="28"/>
          <w:highlight w:val="none"/>
          <w14:textFill>
            <w14:solidFill>
              <w14:schemeClr w14:val="tx1"/>
            </w14:solidFill>
          </w14:textFill>
        </w:rPr>
        <w:t>所拥有。</w:t>
      </w:r>
    </w:p>
    <w:p w14:paraId="329D7063">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b w:val="0"/>
          <w:bCs/>
          <w:color w:val="000000" w:themeColor="text1"/>
          <w:sz w:val="28"/>
          <w:szCs w:val="28"/>
          <w:highlight w:val="none"/>
          <w14:textFill>
            <w14:solidFill>
              <w14:schemeClr w14:val="tx1"/>
            </w14:solidFill>
          </w14:textFill>
        </w:rPr>
      </w:pPr>
      <w:r>
        <w:rPr>
          <w:rFonts w:hint="eastAsia" w:ascii="宋体" w:hAnsi="宋体" w:eastAsia="宋体" w:cs="宋体"/>
          <w:b w:val="0"/>
          <w:bCs/>
          <w:color w:val="000000" w:themeColor="text1"/>
          <w:sz w:val="28"/>
          <w:szCs w:val="28"/>
          <w:highlight w:val="none"/>
          <w14:textFill>
            <w14:solidFill>
              <w14:schemeClr w14:val="tx1"/>
            </w14:solidFill>
          </w14:textFill>
        </w:rPr>
        <w:t>8.2</w:t>
      </w:r>
      <w:r>
        <w:rPr>
          <w:rFonts w:hint="eastAsia" w:ascii="宋体" w:hAnsi="宋体" w:cs="宋体"/>
          <w:b w:val="0"/>
          <w:bCs/>
          <w:color w:val="000000" w:themeColor="text1"/>
          <w:sz w:val="28"/>
          <w:szCs w:val="28"/>
          <w:highlight w:val="none"/>
          <w:lang w:eastAsia="zh-CN"/>
          <w14:textFill>
            <w14:solidFill>
              <w14:schemeClr w14:val="tx1"/>
            </w14:solidFill>
          </w14:textFill>
        </w:rPr>
        <w:t>供应商</w:t>
      </w:r>
      <w:r>
        <w:rPr>
          <w:rFonts w:hint="eastAsia" w:ascii="宋体" w:hAnsi="宋体" w:eastAsia="宋体" w:cs="宋体"/>
          <w:b w:val="0"/>
          <w:bCs/>
          <w:color w:val="000000" w:themeColor="text1"/>
          <w:sz w:val="28"/>
          <w:szCs w:val="28"/>
          <w:highlight w:val="none"/>
          <w14:textFill>
            <w14:solidFill>
              <w14:schemeClr w14:val="tx1"/>
            </w14:solidFill>
          </w14:textFill>
        </w:rPr>
        <w:t>应仔细阅读招标文件的所有内容，按照招标文件的要求提交投标文件，并对所提供的全部资料的真实性承担法律责任。</w:t>
      </w:r>
    </w:p>
    <w:p w14:paraId="767F1D70">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b w:val="0"/>
          <w:bCs/>
          <w:color w:val="000000" w:themeColor="text1"/>
          <w:sz w:val="28"/>
          <w:szCs w:val="28"/>
          <w:highlight w:val="none"/>
          <w14:textFill>
            <w14:solidFill>
              <w14:schemeClr w14:val="tx1"/>
            </w14:solidFill>
          </w14:textFill>
        </w:rPr>
      </w:pPr>
      <w:r>
        <w:rPr>
          <w:rFonts w:hint="eastAsia" w:ascii="宋体" w:hAnsi="宋体" w:eastAsia="宋体" w:cs="宋体"/>
          <w:b w:val="0"/>
          <w:bCs/>
          <w:color w:val="000000" w:themeColor="text1"/>
          <w:sz w:val="28"/>
          <w:szCs w:val="28"/>
          <w:highlight w:val="none"/>
          <w14:textFill>
            <w14:solidFill>
              <w14:schemeClr w14:val="tx1"/>
            </w14:solidFill>
          </w14:textFill>
        </w:rPr>
        <w:t>8.3</w:t>
      </w:r>
      <w:r>
        <w:rPr>
          <w:rFonts w:hint="eastAsia" w:ascii="宋体" w:hAnsi="宋体" w:cs="宋体"/>
          <w:b w:val="0"/>
          <w:bCs/>
          <w:color w:val="000000" w:themeColor="text1"/>
          <w:sz w:val="28"/>
          <w:szCs w:val="28"/>
          <w:highlight w:val="none"/>
          <w:lang w:eastAsia="zh-CN"/>
          <w14:textFill>
            <w14:solidFill>
              <w14:schemeClr w14:val="tx1"/>
            </w14:solidFill>
          </w14:textFill>
        </w:rPr>
        <w:t>供应商</w:t>
      </w:r>
      <w:r>
        <w:rPr>
          <w:rFonts w:hint="eastAsia" w:ascii="宋体" w:hAnsi="宋体" w:eastAsia="宋体" w:cs="宋体"/>
          <w:b w:val="0"/>
          <w:bCs/>
          <w:color w:val="000000" w:themeColor="text1"/>
          <w:sz w:val="28"/>
          <w:szCs w:val="28"/>
          <w:highlight w:val="none"/>
          <w14:textFill>
            <w14:solidFill>
              <w14:schemeClr w14:val="tx1"/>
            </w14:solidFill>
          </w14:textFill>
        </w:rPr>
        <w:t>在投标活动中提供任何虚假材料，将报监管部门查处；中标后发现的，中标人须依照《中华人民共和国消费者权益保护法》规定赔偿采购人，且民事赔偿并不免除违法</w:t>
      </w:r>
      <w:r>
        <w:rPr>
          <w:rFonts w:hint="eastAsia" w:ascii="宋体" w:hAnsi="宋体" w:cs="宋体"/>
          <w:b w:val="0"/>
          <w:bCs/>
          <w:color w:val="000000" w:themeColor="text1"/>
          <w:sz w:val="28"/>
          <w:szCs w:val="28"/>
          <w:highlight w:val="none"/>
          <w:lang w:eastAsia="zh-CN"/>
          <w14:textFill>
            <w14:solidFill>
              <w14:schemeClr w14:val="tx1"/>
            </w14:solidFill>
          </w14:textFill>
        </w:rPr>
        <w:t>供应商</w:t>
      </w:r>
      <w:r>
        <w:rPr>
          <w:rFonts w:hint="eastAsia" w:ascii="宋体" w:hAnsi="宋体" w:eastAsia="宋体" w:cs="宋体"/>
          <w:b w:val="0"/>
          <w:bCs/>
          <w:color w:val="000000" w:themeColor="text1"/>
          <w:sz w:val="28"/>
          <w:szCs w:val="28"/>
          <w:highlight w:val="none"/>
          <w14:textFill>
            <w14:solidFill>
              <w14:schemeClr w14:val="tx1"/>
            </w14:solidFill>
          </w14:textFill>
        </w:rPr>
        <w:t>的行政与刑事责任。</w:t>
      </w:r>
    </w:p>
    <w:p w14:paraId="55BD00DF">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9.回避与串通投标</w:t>
      </w:r>
    </w:p>
    <w:p w14:paraId="0B6BEBF9">
      <w:pPr>
        <w:keepNext w:val="0"/>
        <w:keepLines w:val="0"/>
        <w:pageBreakBefore w:val="0"/>
        <w:kinsoku/>
        <w:wordWrap/>
        <w:overflowPunct/>
        <w:topLinePunct w:val="0"/>
        <w:bidi w:val="0"/>
        <w:adjustRightInd/>
        <w:snapToGrid/>
        <w:spacing w:line="560" w:lineRule="exact"/>
        <w:ind w:firstLine="562" w:firstLineChars="200"/>
        <w:jc w:val="both"/>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9.1在政府采购活动中，采购人员及相关人员与供应商有下列利害关系之一的，应当回避：</w:t>
      </w:r>
    </w:p>
    <w:p w14:paraId="2099DE40">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（1）参加采购活动前3年内与供应商存在劳动关系；</w:t>
      </w:r>
    </w:p>
    <w:p w14:paraId="473F01D4">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（2）参加采购活动前3年内担任供应商的董事、监事；</w:t>
      </w:r>
    </w:p>
    <w:p w14:paraId="4722C14F">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（3）参加采购活动前3年内是供应商的控股股东或者实际控制人；</w:t>
      </w:r>
    </w:p>
    <w:p w14:paraId="689293BF">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（4）与供应商的法定代表人或者负责人有夫妻、直系血亲、三代以内旁系血亲或者近姻亲关系；</w:t>
      </w:r>
    </w:p>
    <w:p w14:paraId="5CBA21E3">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（5）与供应商有其他可能影响政府采购活动公平、公正进行的关系。</w:t>
      </w:r>
    </w:p>
    <w:p w14:paraId="11AAA933">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202BED02">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9.2有下列情形之一的视为</w:t>
      </w:r>
      <w:r>
        <w:rPr>
          <w:rFonts w:hint="eastAsia" w:ascii="宋体" w:hAnsi="宋体" w:cs="宋体"/>
          <w:color w:val="000000" w:themeColor="text1"/>
          <w:sz w:val="28"/>
          <w:szCs w:val="28"/>
          <w:highlight w:val="none"/>
          <w:lang w:eastAsia="zh-CN"/>
          <w14:textFill>
            <w14:solidFill>
              <w14:schemeClr w14:val="tx1"/>
            </w14:solidFill>
          </w14:textFill>
        </w:rPr>
        <w:t>供应商</w:t>
      </w:r>
      <w:r>
        <w:rPr>
          <w:rFonts w:hint="eastAsia" w:ascii="宋体" w:hAnsi="宋体" w:eastAsia="宋体" w:cs="宋体"/>
          <w:color w:val="000000" w:themeColor="text1"/>
          <w:sz w:val="28"/>
          <w:szCs w:val="28"/>
          <w:highlight w:val="none"/>
          <w14:textFill>
            <w14:solidFill>
              <w14:schemeClr w14:val="tx1"/>
            </w14:solidFill>
          </w14:textFill>
        </w:rPr>
        <w:t>相互串通投标，投标文件将被视为无效：</w:t>
      </w:r>
    </w:p>
    <w:p w14:paraId="4C9404CD">
      <w:pPr>
        <w:keepNext w:val="0"/>
        <w:keepLines w:val="0"/>
        <w:pageBreakBefore w:val="0"/>
        <w:kinsoku/>
        <w:wordWrap/>
        <w:overflowPunct/>
        <w:topLinePunct w:val="0"/>
        <w:bidi w:val="0"/>
        <w:adjustRightInd/>
        <w:snapToGrid/>
        <w:spacing w:line="560" w:lineRule="exact"/>
        <w:ind w:firstLine="562" w:firstLineChars="200"/>
        <w:jc w:val="both"/>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（1）不同</w:t>
      </w:r>
      <w:r>
        <w:rPr>
          <w:rFonts w:hint="eastAsia" w:ascii="宋体" w:hAnsi="宋体" w:cs="宋体"/>
          <w:b/>
          <w:color w:val="000000" w:themeColor="text1"/>
          <w:sz w:val="28"/>
          <w:szCs w:val="28"/>
          <w:highlight w:val="none"/>
          <w:lang w:eastAsia="zh-CN"/>
          <w14:textFill>
            <w14:solidFill>
              <w14:schemeClr w14:val="tx1"/>
            </w14:solidFill>
          </w14:textFill>
        </w:rPr>
        <w:t>供应商</w:t>
      </w:r>
      <w:r>
        <w:rPr>
          <w:rFonts w:hint="eastAsia" w:ascii="宋体" w:hAnsi="宋体" w:eastAsia="宋体" w:cs="宋体"/>
          <w:b/>
          <w:color w:val="000000" w:themeColor="text1"/>
          <w:sz w:val="28"/>
          <w:szCs w:val="28"/>
          <w:highlight w:val="none"/>
          <w14:textFill>
            <w14:solidFill>
              <w14:schemeClr w14:val="tx1"/>
            </w14:solidFill>
          </w14:textFill>
        </w:rPr>
        <w:t>的投标文件由同一单位或者个人编制；或者不同</w:t>
      </w:r>
      <w:r>
        <w:rPr>
          <w:rFonts w:hint="eastAsia" w:ascii="宋体" w:hAnsi="宋体" w:cs="宋体"/>
          <w:b/>
          <w:color w:val="000000" w:themeColor="text1"/>
          <w:sz w:val="28"/>
          <w:szCs w:val="28"/>
          <w:highlight w:val="none"/>
          <w:lang w:eastAsia="zh-CN"/>
          <w14:textFill>
            <w14:solidFill>
              <w14:schemeClr w14:val="tx1"/>
            </w14:solidFill>
          </w14:textFill>
        </w:rPr>
        <w:t>供应商</w:t>
      </w:r>
      <w:r>
        <w:rPr>
          <w:rFonts w:hint="eastAsia" w:ascii="宋体" w:hAnsi="宋体" w:eastAsia="宋体" w:cs="宋体"/>
          <w:b/>
          <w:color w:val="000000" w:themeColor="text1"/>
          <w:sz w:val="28"/>
          <w:szCs w:val="28"/>
          <w:highlight w:val="none"/>
          <w14:textFill>
            <w14:solidFill>
              <w14:schemeClr w14:val="tx1"/>
            </w14:solidFill>
          </w14:textFill>
        </w:rPr>
        <w:t>报名的IP地址一致的；或者编制标书硬件设备CPU编号、硬盘编号、网卡地址一致的情况。</w:t>
      </w:r>
    </w:p>
    <w:p w14:paraId="37F47374">
      <w:pPr>
        <w:keepNext w:val="0"/>
        <w:keepLines w:val="0"/>
        <w:pageBreakBefore w:val="0"/>
        <w:kinsoku/>
        <w:wordWrap/>
        <w:overflowPunct/>
        <w:topLinePunct w:val="0"/>
        <w:bidi w:val="0"/>
        <w:adjustRightInd/>
        <w:snapToGrid/>
        <w:spacing w:line="560" w:lineRule="exact"/>
        <w:ind w:firstLine="562" w:firstLineChars="200"/>
        <w:jc w:val="both"/>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（2）不同</w:t>
      </w:r>
      <w:r>
        <w:rPr>
          <w:rFonts w:hint="eastAsia" w:ascii="宋体" w:hAnsi="宋体" w:cs="宋体"/>
          <w:b/>
          <w:color w:val="000000" w:themeColor="text1"/>
          <w:sz w:val="28"/>
          <w:szCs w:val="28"/>
          <w:highlight w:val="none"/>
          <w:lang w:eastAsia="zh-CN"/>
          <w14:textFill>
            <w14:solidFill>
              <w14:schemeClr w14:val="tx1"/>
            </w14:solidFill>
          </w14:textFill>
        </w:rPr>
        <w:t>供应商</w:t>
      </w:r>
      <w:r>
        <w:rPr>
          <w:rFonts w:hint="eastAsia" w:ascii="宋体" w:hAnsi="宋体" w:eastAsia="宋体" w:cs="宋体"/>
          <w:b/>
          <w:color w:val="000000" w:themeColor="text1"/>
          <w:sz w:val="28"/>
          <w:szCs w:val="28"/>
          <w:highlight w:val="none"/>
          <w14:textFill>
            <w14:solidFill>
              <w14:schemeClr w14:val="tx1"/>
            </w14:solidFill>
          </w14:textFill>
        </w:rPr>
        <w:t>委托同一单位或者个人办理投标事宜；</w:t>
      </w:r>
    </w:p>
    <w:p w14:paraId="5429B6E9">
      <w:pPr>
        <w:keepNext w:val="0"/>
        <w:keepLines w:val="0"/>
        <w:pageBreakBefore w:val="0"/>
        <w:kinsoku/>
        <w:wordWrap/>
        <w:overflowPunct/>
        <w:topLinePunct w:val="0"/>
        <w:bidi w:val="0"/>
        <w:adjustRightInd/>
        <w:snapToGrid/>
        <w:spacing w:line="560" w:lineRule="exact"/>
        <w:ind w:firstLine="562" w:firstLineChars="200"/>
        <w:jc w:val="both"/>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（3）不同的</w:t>
      </w:r>
      <w:r>
        <w:rPr>
          <w:rFonts w:hint="eastAsia" w:ascii="宋体" w:hAnsi="宋体" w:cs="宋体"/>
          <w:b/>
          <w:color w:val="000000" w:themeColor="text1"/>
          <w:sz w:val="28"/>
          <w:szCs w:val="28"/>
          <w:highlight w:val="none"/>
          <w:lang w:eastAsia="zh-CN"/>
          <w14:textFill>
            <w14:solidFill>
              <w14:schemeClr w14:val="tx1"/>
            </w14:solidFill>
          </w14:textFill>
        </w:rPr>
        <w:t>供应商</w:t>
      </w:r>
      <w:r>
        <w:rPr>
          <w:rFonts w:hint="eastAsia" w:ascii="宋体" w:hAnsi="宋体" w:eastAsia="宋体" w:cs="宋体"/>
          <w:b/>
          <w:color w:val="000000" w:themeColor="text1"/>
          <w:sz w:val="28"/>
          <w:szCs w:val="28"/>
          <w:highlight w:val="none"/>
          <w14:textFill>
            <w14:solidFill>
              <w14:schemeClr w14:val="tx1"/>
            </w14:solidFill>
          </w14:textFill>
        </w:rPr>
        <w:t>的投标文件载明的项目管理员为同一个人；</w:t>
      </w:r>
    </w:p>
    <w:p w14:paraId="496838F6">
      <w:pPr>
        <w:keepNext w:val="0"/>
        <w:keepLines w:val="0"/>
        <w:pageBreakBefore w:val="0"/>
        <w:kinsoku/>
        <w:wordWrap/>
        <w:overflowPunct/>
        <w:topLinePunct w:val="0"/>
        <w:bidi w:val="0"/>
        <w:adjustRightInd/>
        <w:snapToGrid/>
        <w:spacing w:line="560" w:lineRule="exact"/>
        <w:ind w:firstLine="562" w:firstLineChars="200"/>
        <w:jc w:val="both"/>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（4）不同</w:t>
      </w:r>
      <w:r>
        <w:rPr>
          <w:rFonts w:hint="eastAsia" w:ascii="宋体" w:hAnsi="宋体" w:cs="宋体"/>
          <w:b/>
          <w:color w:val="000000" w:themeColor="text1"/>
          <w:sz w:val="28"/>
          <w:szCs w:val="28"/>
          <w:highlight w:val="none"/>
          <w:lang w:eastAsia="zh-CN"/>
          <w14:textFill>
            <w14:solidFill>
              <w14:schemeClr w14:val="tx1"/>
            </w14:solidFill>
          </w14:textFill>
        </w:rPr>
        <w:t>供应商</w:t>
      </w:r>
      <w:r>
        <w:rPr>
          <w:rFonts w:hint="eastAsia" w:ascii="宋体" w:hAnsi="宋体" w:eastAsia="宋体" w:cs="宋体"/>
          <w:b/>
          <w:color w:val="000000" w:themeColor="text1"/>
          <w:sz w:val="28"/>
          <w:szCs w:val="28"/>
          <w:highlight w:val="none"/>
          <w14:textFill>
            <w14:solidFill>
              <w14:schemeClr w14:val="tx1"/>
            </w14:solidFill>
          </w14:textFill>
        </w:rPr>
        <w:t>的电子或纸质投标文件异常一致或者投标报价呈规律性差异；</w:t>
      </w:r>
    </w:p>
    <w:p w14:paraId="64588D93">
      <w:pPr>
        <w:keepNext w:val="0"/>
        <w:keepLines w:val="0"/>
        <w:pageBreakBefore w:val="0"/>
        <w:kinsoku/>
        <w:wordWrap/>
        <w:overflowPunct/>
        <w:topLinePunct w:val="0"/>
        <w:bidi w:val="0"/>
        <w:adjustRightInd/>
        <w:snapToGrid/>
        <w:spacing w:line="560" w:lineRule="exact"/>
        <w:ind w:firstLine="562" w:firstLineChars="200"/>
        <w:jc w:val="both"/>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（5）不同</w:t>
      </w:r>
      <w:r>
        <w:rPr>
          <w:rFonts w:hint="eastAsia" w:ascii="宋体" w:hAnsi="宋体" w:cs="宋体"/>
          <w:b/>
          <w:color w:val="000000" w:themeColor="text1"/>
          <w:sz w:val="28"/>
          <w:szCs w:val="28"/>
          <w:highlight w:val="none"/>
          <w:lang w:eastAsia="zh-CN"/>
          <w14:textFill>
            <w14:solidFill>
              <w14:schemeClr w14:val="tx1"/>
            </w14:solidFill>
          </w14:textFill>
        </w:rPr>
        <w:t>供应商</w:t>
      </w:r>
      <w:r>
        <w:rPr>
          <w:rFonts w:hint="eastAsia" w:ascii="宋体" w:hAnsi="宋体" w:eastAsia="宋体" w:cs="宋体"/>
          <w:b/>
          <w:color w:val="000000" w:themeColor="text1"/>
          <w:sz w:val="28"/>
          <w:szCs w:val="28"/>
          <w:highlight w:val="none"/>
          <w14:textFill>
            <w14:solidFill>
              <w14:schemeClr w14:val="tx1"/>
            </w14:solidFill>
          </w14:textFill>
        </w:rPr>
        <w:t>的纸质投标文件相互混装；</w:t>
      </w:r>
    </w:p>
    <w:p w14:paraId="735D5262">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9.3供应商有下列情形之一的，属于恶意串通行为，将报同级监督管理部门：</w:t>
      </w:r>
    </w:p>
    <w:p w14:paraId="39AE5141">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（1）供应商直接或者间接从采购人或者采购代理机构处获得其他供应商的相关信息并修改其投标文件或者投标文件；</w:t>
      </w:r>
    </w:p>
    <w:p w14:paraId="3AED2A1B">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（2）供应商按照采购人或者采购代理机构的授意撤换、修改投标文件或者投标文件；</w:t>
      </w:r>
    </w:p>
    <w:p w14:paraId="038DDBEB">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（3）供应商之间协商报价、技术方案等投标文件或者投标文件的实质性内容；</w:t>
      </w:r>
    </w:p>
    <w:p w14:paraId="2163273A">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（4）属于同一集团、协会、商会等组织成员的供应商按照该组织要求协同参加政府采购活动；</w:t>
      </w:r>
    </w:p>
    <w:p w14:paraId="1044A486">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（5）供应商之间事先约定一致抬高或者压低投标报价，或者在招标项目中事先约定轮流以高价位或者低价位中标，或者事先约定由某一特定供应商中标，然后再参加投标；</w:t>
      </w:r>
    </w:p>
    <w:p w14:paraId="56BA62A4">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（6）供应商之间商定部分供应商放弃参加政府采购活动或者放弃中标；</w:t>
      </w:r>
    </w:p>
    <w:p w14:paraId="50B5CF27">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（7）供应商与采购人或者采购代理机构之间、供应商相互之间，为谋求特定供应商中标或者排斥其他供应商的其他串通行为。</w:t>
      </w:r>
    </w:p>
    <w:p w14:paraId="62A31ECF">
      <w:pPr>
        <w:pStyle w:val="4"/>
        <w:keepNext w:val="0"/>
        <w:keepLines w:val="0"/>
        <w:pageBreakBefore w:val="0"/>
        <w:kinsoku/>
        <w:wordWrap/>
        <w:overflowPunct/>
        <w:topLinePunct w:val="0"/>
        <w:bidi w:val="0"/>
        <w:adjustRightInd/>
        <w:snapToGrid/>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二、招标文件</w:t>
      </w:r>
    </w:p>
    <w:p w14:paraId="708245D3">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10.招标文件的组成</w:t>
      </w:r>
    </w:p>
    <w:p w14:paraId="193FFD8F">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第一章 招标公告；</w:t>
      </w:r>
    </w:p>
    <w:p w14:paraId="6EBA3669">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第二章 </w:t>
      </w:r>
      <w:r>
        <w:rPr>
          <w:rFonts w:hint="eastAsia" w:ascii="宋体" w:hAnsi="宋体" w:cs="宋体"/>
          <w:color w:val="000000" w:themeColor="text1"/>
          <w:sz w:val="28"/>
          <w:szCs w:val="28"/>
          <w:highlight w:val="none"/>
          <w:lang w:eastAsia="zh-CN"/>
          <w14:textFill>
            <w14:solidFill>
              <w14:schemeClr w14:val="tx1"/>
            </w14:solidFill>
          </w14:textFill>
        </w:rPr>
        <w:t>供应商</w:t>
      </w:r>
      <w:r>
        <w:rPr>
          <w:rFonts w:hint="eastAsia" w:ascii="宋体" w:hAnsi="宋体" w:eastAsia="宋体" w:cs="宋体"/>
          <w:color w:val="000000" w:themeColor="text1"/>
          <w:sz w:val="28"/>
          <w:szCs w:val="28"/>
          <w:highlight w:val="none"/>
          <w14:textFill>
            <w14:solidFill>
              <w14:schemeClr w14:val="tx1"/>
            </w14:solidFill>
          </w14:textFill>
        </w:rPr>
        <w:t>须知</w:t>
      </w:r>
      <w:r>
        <w:rPr>
          <w:rFonts w:hint="eastAsia" w:ascii="宋体" w:hAnsi="宋体" w:cs="宋体"/>
          <w:color w:val="000000" w:themeColor="text1"/>
          <w:sz w:val="28"/>
          <w:szCs w:val="28"/>
          <w:highlight w:val="none"/>
          <w:lang w:val="en-US" w:eastAsia="zh-CN"/>
          <w14:textFill>
            <w14:solidFill>
              <w14:schemeClr w14:val="tx1"/>
            </w14:solidFill>
          </w14:textFill>
        </w:rPr>
        <w:t>表</w:t>
      </w:r>
      <w:r>
        <w:rPr>
          <w:rFonts w:hint="eastAsia" w:ascii="宋体" w:hAnsi="宋体" w:eastAsia="宋体" w:cs="宋体"/>
          <w:color w:val="000000" w:themeColor="text1"/>
          <w:sz w:val="28"/>
          <w:szCs w:val="28"/>
          <w:highlight w:val="none"/>
          <w14:textFill>
            <w14:solidFill>
              <w14:schemeClr w14:val="tx1"/>
            </w14:solidFill>
          </w14:textFill>
        </w:rPr>
        <w:t xml:space="preserve">； </w:t>
      </w:r>
    </w:p>
    <w:p w14:paraId="7E76B55B">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第三章 采购需求；</w:t>
      </w:r>
    </w:p>
    <w:p w14:paraId="064985E8">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第四章 评标方法及评标标准；</w:t>
      </w:r>
    </w:p>
    <w:p w14:paraId="29726707">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第五章 拟签订的合同文本；</w:t>
      </w:r>
    </w:p>
    <w:p w14:paraId="4AFD32EF">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第六章 投标文件格式；</w:t>
      </w:r>
    </w:p>
    <w:p w14:paraId="24338200">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第七章 质疑、投诉材料格式</w:t>
      </w:r>
    </w:p>
    <w:p w14:paraId="5D3ECD63">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根据本章第11.1项的规定对公开招标文件所做的澄清、修改，构成招标文件的组成部分。当公开招标文件与招标文件的澄清和修改就同一内容的表述不一致时，以最后澄清或修改公告为准。</w:t>
      </w:r>
    </w:p>
    <w:p w14:paraId="2740463F">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11.招标文件的澄清、修改 、现场考察和答疑会</w:t>
      </w:r>
    </w:p>
    <w:p w14:paraId="19BB4DF8">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b w:val="0"/>
          <w:bCs/>
          <w:color w:val="000000" w:themeColor="text1"/>
          <w:sz w:val="28"/>
          <w:szCs w:val="28"/>
          <w:highlight w:val="none"/>
          <w14:textFill>
            <w14:solidFill>
              <w14:schemeClr w14:val="tx1"/>
            </w14:solidFill>
          </w14:textFill>
        </w:rPr>
      </w:pPr>
      <w:r>
        <w:rPr>
          <w:rFonts w:hint="eastAsia" w:ascii="宋体" w:hAnsi="宋体" w:eastAsia="宋体" w:cs="宋体"/>
          <w:b w:val="0"/>
          <w:bCs/>
          <w:color w:val="000000" w:themeColor="text1"/>
          <w:sz w:val="28"/>
          <w:szCs w:val="28"/>
          <w:highlight w:val="none"/>
          <w14:textFill>
            <w14:solidFill>
              <w14:schemeClr w14:val="tx1"/>
            </w14:solidFill>
          </w14:textFill>
        </w:rPr>
        <w:t xml:space="preserve"> 11.1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14:paraId="1F0D2C3F">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11.2 </w:t>
      </w:r>
      <w:r>
        <w:rPr>
          <w:rFonts w:hint="eastAsia" w:ascii="宋体" w:hAnsi="宋体" w:cs="宋体"/>
          <w:color w:val="000000" w:themeColor="text1"/>
          <w:sz w:val="28"/>
          <w:szCs w:val="28"/>
          <w:highlight w:val="none"/>
          <w:lang w:eastAsia="zh-CN"/>
          <w14:textFill>
            <w14:solidFill>
              <w14:schemeClr w14:val="tx1"/>
            </w14:solidFill>
          </w14:textFill>
        </w:rPr>
        <w:t>供应商</w:t>
      </w:r>
      <w:r>
        <w:rPr>
          <w:rFonts w:hint="eastAsia" w:ascii="宋体" w:hAnsi="宋体" w:eastAsia="宋体" w:cs="宋体"/>
          <w:color w:val="000000" w:themeColor="text1"/>
          <w:sz w:val="28"/>
          <w:szCs w:val="28"/>
          <w:highlight w:val="none"/>
          <w14:textFill>
            <w14:solidFill>
              <w14:schemeClr w14:val="tx1"/>
            </w14:solidFill>
          </w14:textFill>
        </w:rPr>
        <w:t>应认真审阅本公开招标文件，如有疑问，或发现其中有误或有要求不合理的，应在</w:t>
      </w:r>
      <w:r>
        <w:rPr>
          <w:rFonts w:hint="eastAsia" w:ascii="宋体" w:hAnsi="宋体" w:cs="宋体"/>
          <w:color w:val="000000" w:themeColor="text1"/>
          <w:sz w:val="28"/>
          <w:szCs w:val="28"/>
          <w:highlight w:val="none"/>
          <w:lang w:eastAsia="zh-CN"/>
          <w14:textFill>
            <w14:solidFill>
              <w14:schemeClr w14:val="tx1"/>
            </w14:solidFill>
          </w14:textFill>
        </w:rPr>
        <w:t>供应商</w:t>
      </w:r>
      <w:r>
        <w:rPr>
          <w:rFonts w:hint="eastAsia" w:ascii="宋体" w:hAnsi="宋体" w:eastAsia="宋体" w:cs="宋体"/>
          <w:color w:val="000000" w:themeColor="text1"/>
          <w:sz w:val="28"/>
          <w:szCs w:val="28"/>
          <w:highlight w:val="none"/>
          <w14:textFill>
            <w14:solidFill>
              <w14:schemeClr w14:val="tx1"/>
            </w14:solidFill>
          </w14:textFill>
        </w:rPr>
        <w:t>须知前附表规定的</w:t>
      </w:r>
      <w:r>
        <w:rPr>
          <w:rFonts w:hint="eastAsia" w:ascii="宋体" w:hAnsi="宋体" w:eastAsia="宋体" w:cs="宋体"/>
          <w:color w:val="000000" w:themeColor="text1"/>
          <w:kern w:val="0"/>
          <w:sz w:val="28"/>
          <w:szCs w:val="28"/>
          <w:highlight w:val="none"/>
          <w14:textFill>
            <w14:solidFill>
              <w14:schemeClr w14:val="tx1"/>
            </w14:solidFill>
          </w14:textFill>
        </w:rPr>
        <w:t>投标截止时间</w:t>
      </w:r>
      <w:r>
        <w:rPr>
          <w:rFonts w:hint="eastAsia" w:ascii="宋体" w:hAnsi="宋体" w:eastAsia="宋体" w:cs="宋体"/>
          <w:color w:val="000000" w:themeColor="text1"/>
          <w:sz w:val="28"/>
          <w:szCs w:val="28"/>
          <w:highlight w:val="none"/>
          <w14:textFill>
            <w14:solidFill>
              <w14:schemeClr w14:val="tx1"/>
            </w14:solidFill>
          </w14:textFill>
        </w:rPr>
        <w:t>前以书面形式要求采购人或采购代理机构对招标文件予以澄清；否则，由此产生的后果由</w:t>
      </w:r>
      <w:r>
        <w:rPr>
          <w:rFonts w:hint="eastAsia" w:ascii="宋体" w:hAnsi="宋体" w:cs="宋体"/>
          <w:color w:val="000000" w:themeColor="text1"/>
          <w:sz w:val="28"/>
          <w:szCs w:val="28"/>
          <w:highlight w:val="none"/>
          <w:lang w:eastAsia="zh-CN"/>
          <w14:textFill>
            <w14:solidFill>
              <w14:schemeClr w14:val="tx1"/>
            </w14:solidFill>
          </w14:textFill>
        </w:rPr>
        <w:t>供应商</w:t>
      </w:r>
      <w:r>
        <w:rPr>
          <w:rFonts w:hint="eastAsia" w:ascii="宋体" w:hAnsi="宋体" w:eastAsia="宋体" w:cs="宋体"/>
          <w:color w:val="000000" w:themeColor="text1"/>
          <w:sz w:val="28"/>
          <w:szCs w:val="28"/>
          <w:highlight w:val="none"/>
          <w14:textFill>
            <w14:solidFill>
              <w14:schemeClr w14:val="tx1"/>
            </w14:solidFill>
          </w14:textFill>
        </w:rPr>
        <w:t>自行负责。</w:t>
      </w:r>
    </w:p>
    <w:p w14:paraId="0FCF5EB5">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11.3 采购人或者采购代理机构可以对已发出的招标文件进行必要的澄清或者修改。澄清或者修改的内容可能影响投标文件编制的，采购人或者采购代理机构应当在投标截止时间至少15日前，以书面形式通知(在“</w:t>
      </w:r>
      <w:r>
        <w:rPr>
          <w:rFonts w:hint="eastAsia" w:ascii="宋体" w:hAnsi="宋体" w:cs="宋体"/>
          <w:color w:val="000000" w:themeColor="text1"/>
          <w:sz w:val="28"/>
          <w:szCs w:val="28"/>
          <w:highlight w:val="none"/>
          <w:lang w:eastAsia="zh-CN"/>
          <w14:textFill>
            <w14:solidFill>
              <w14:schemeClr w14:val="tx1"/>
            </w14:solidFill>
          </w14:textFill>
        </w:rPr>
        <w:t>供应商</w:t>
      </w:r>
      <w:r>
        <w:rPr>
          <w:rFonts w:hint="eastAsia" w:ascii="宋体" w:hAnsi="宋体" w:eastAsia="宋体" w:cs="宋体"/>
          <w:color w:val="000000" w:themeColor="text1"/>
          <w:sz w:val="28"/>
          <w:szCs w:val="28"/>
          <w:highlight w:val="none"/>
          <w14:textFill>
            <w14:solidFill>
              <w14:schemeClr w14:val="tx1"/>
            </w14:solidFill>
          </w14:textFill>
        </w:rPr>
        <w:t>须知前附表”规定的政府采购信息发布媒体上发布更正公告及平台短信通知)所有获取招标文件的潜在</w:t>
      </w:r>
      <w:r>
        <w:rPr>
          <w:rFonts w:hint="eastAsia" w:ascii="宋体" w:hAnsi="宋体" w:cs="宋体"/>
          <w:color w:val="000000" w:themeColor="text1"/>
          <w:sz w:val="28"/>
          <w:szCs w:val="28"/>
          <w:highlight w:val="none"/>
          <w:lang w:eastAsia="zh-CN"/>
          <w14:textFill>
            <w14:solidFill>
              <w14:schemeClr w14:val="tx1"/>
            </w14:solidFill>
          </w14:textFill>
        </w:rPr>
        <w:t>供应商</w:t>
      </w:r>
      <w:r>
        <w:rPr>
          <w:rFonts w:hint="eastAsia" w:ascii="宋体" w:hAnsi="宋体" w:eastAsia="宋体" w:cs="宋体"/>
          <w:color w:val="000000" w:themeColor="text1"/>
          <w:sz w:val="28"/>
          <w:szCs w:val="28"/>
          <w:highlight w:val="none"/>
          <w14:textFill>
            <w14:solidFill>
              <w14:schemeClr w14:val="tx1"/>
            </w14:solidFill>
          </w14:textFill>
        </w:rPr>
        <w:t>；不足15日的，采购人或者采购代理机构应当顺延提交投标文件的截止时间。发出的澄清或者修改不影响投标文件编制的也应在截标前3日发出。</w:t>
      </w:r>
    </w:p>
    <w:p w14:paraId="48483434">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11.4 采购人和采购代理机构可以视采购具体情况，变更投标截止时间和开标时间，将变更时间将在“</w:t>
      </w:r>
      <w:r>
        <w:rPr>
          <w:rFonts w:hint="eastAsia" w:ascii="宋体" w:hAnsi="宋体" w:cs="宋体"/>
          <w:color w:val="000000" w:themeColor="text1"/>
          <w:sz w:val="28"/>
          <w:szCs w:val="28"/>
          <w:highlight w:val="none"/>
          <w:lang w:eastAsia="zh-CN"/>
          <w14:textFill>
            <w14:solidFill>
              <w14:schemeClr w14:val="tx1"/>
            </w14:solidFill>
          </w14:textFill>
        </w:rPr>
        <w:t>供应商</w:t>
      </w:r>
      <w:r>
        <w:rPr>
          <w:rFonts w:hint="eastAsia" w:ascii="宋体" w:hAnsi="宋体" w:eastAsia="宋体" w:cs="宋体"/>
          <w:color w:val="000000" w:themeColor="text1"/>
          <w:sz w:val="28"/>
          <w:szCs w:val="28"/>
          <w:highlight w:val="none"/>
          <w14:textFill>
            <w14:solidFill>
              <w14:schemeClr w14:val="tx1"/>
            </w14:solidFill>
          </w14:textFill>
        </w:rPr>
        <w:t>须知前附表”</w:t>
      </w:r>
      <w:r>
        <w:rPr>
          <w:rFonts w:hint="eastAsia" w:ascii="宋体" w:hAnsi="宋体" w:eastAsia="宋体" w:cs="宋体"/>
          <w:color w:val="000000" w:themeColor="text1"/>
          <w:kern w:val="0"/>
          <w:sz w:val="28"/>
          <w:szCs w:val="28"/>
          <w:highlight w:val="none"/>
          <w14:textFill>
            <w14:solidFill>
              <w14:schemeClr w14:val="tx1"/>
            </w14:solidFill>
          </w14:textFill>
        </w:rPr>
        <w:t>规定的政府采购信息发布媒体上</w:t>
      </w:r>
      <w:r>
        <w:rPr>
          <w:rFonts w:hint="eastAsia" w:ascii="宋体" w:hAnsi="宋体" w:eastAsia="宋体" w:cs="宋体"/>
          <w:color w:val="000000" w:themeColor="text1"/>
          <w:sz w:val="28"/>
          <w:szCs w:val="28"/>
          <w:highlight w:val="none"/>
          <w14:textFill>
            <w14:solidFill>
              <w14:schemeClr w14:val="tx1"/>
            </w14:solidFill>
          </w14:textFill>
        </w:rPr>
        <w:t>发布更正公告。</w:t>
      </w:r>
    </w:p>
    <w:p w14:paraId="04922704">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11.5采购人或者采购代理机构可以在招标文件提供期限截止后，组织已获取招标文件的潜在</w:t>
      </w:r>
      <w:r>
        <w:rPr>
          <w:rFonts w:hint="eastAsia" w:ascii="宋体" w:hAnsi="宋体" w:cs="宋体"/>
          <w:color w:val="000000" w:themeColor="text1"/>
          <w:sz w:val="28"/>
          <w:szCs w:val="28"/>
          <w:highlight w:val="none"/>
          <w:lang w:eastAsia="zh-CN"/>
          <w14:textFill>
            <w14:solidFill>
              <w14:schemeClr w14:val="tx1"/>
            </w14:solidFill>
          </w14:textFill>
        </w:rPr>
        <w:t>供应商</w:t>
      </w:r>
      <w:r>
        <w:rPr>
          <w:rFonts w:hint="eastAsia" w:ascii="宋体" w:hAnsi="宋体" w:eastAsia="宋体" w:cs="宋体"/>
          <w:color w:val="000000" w:themeColor="text1"/>
          <w:sz w:val="28"/>
          <w:szCs w:val="28"/>
          <w:highlight w:val="none"/>
          <w14:textFill>
            <w14:solidFill>
              <w14:schemeClr w14:val="tx1"/>
            </w14:solidFill>
          </w14:textFill>
        </w:rPr>
        <w:t>现场考察或者召开开标前答疑会，具体详见“</w:t>
      </w:r>
      <w:r>
        <w:rPr>
          <w:rFonts w:hint="eastAsia" w:ascii="宋体" w:hAnsi="宋体" w:cs="宋体"/>
          <w:color w:val="000000" w:themeColor="text1"/>
          <w:sz w:val="28"/>
          <w:szCs w:val="28"/>
          <w:highlight w:val="none"/>
          <w:lang w:eastAsia="zh-CN"/>
          <w14:textFill>
            <w14:solidFill>
              <w14:schemeClr w14:val="tx1"/>
            </w14:solidFill>
          </w14:textFill>
        </w:rPr>
        <w:t>供应商</w:t>
      </w:r>
      <w:r>
        <w:rPr>
          <w:rFonts w:hint="eastAsia" w:ascii="宋体" w:hAnsi="宋体" w:eastAsia="宋体" w:cs="宋体"/>
          <w:color w:val="000000" w:themeColor="text1"/>
          <w:sz w:val="28"/>
          <w:szCs w:val="28"/>
          <w:highlight w:val="none"/>
          <w14:textFill>
            <w14:solidFill>
              <w14:schemeClr w14:val="tx1"/>
            </w14:solidFill>
          </w14:textFill>
        </w:rPr>
        <w:t>须知前附表”。</w:t>
      </w:r>
    </w:p>
    <w:p w14:paraId="025F50D5">
      <w:pPr>
        <w:pStyle w:val="4"/>
        <w:keepNext w:val="0"/>
        <w:keepLines w:val="0"/>
        <w:pageBreakBefore w:val="0"/>
        <w:kinsoku/>
        <w:wordWrap/>
        <w:overflowPunct/>
        <w:topLinePunct w:val="0"/>
        <w:bidi w:val="0"/>
        <w:adjustRightInd/>
        <w:snapToGrid/>
        <w:spacing w:line="560" w:lineRule="exact"/>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三、投标文件的编制</w:t>
      </w:r>
    </w:p>
    <w:p w14:paraId="2F6F9132">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12.投标文件的编制原则</w:t>
      </w:r>
    </w:p>
    <w:p w14:paraId="3D62D426">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12.1</w:t>
      </w:r>
      <w:r>
        <w:rPr>
          <w:rFonts w:hint="eastAsia" w:ascii="宋体" w:hAnsi="宋体" w:cs="宋体"/>
          <w:color w:val="000000" w:themeColor="text1"/>
          <w:sz w:val="28"/>
          <w:szCs w:val="28"/>
          <w:highlight w:val="none"/>
          <w:lang w:eastAsia="zh-CN"/>
          <w14:textFill>
            <w14:solidFill>
              <w14:schemeClr w14:val="tx1"/>
            </w14:solidFill>
          </w14:textFill>
        </w:rPr>
        <w:t>供应商</w:t>
      </w:r>
      <w:r>
        <w:rPr>
          <w:rFonts w:hint="eastAsia" w:ascii="宋体" w:hAnsi="宋体" w:eastAsia="宋体" w:cs="宋体"/>
          <w:color w:val="000000" w:themeColor="text1"/>
          <w:sz w:val="28"/>
          <w:szCs w:val="28"/>
          <w:highlight w:val="none"/>
          <w14:textFill>
            <w14:solidFill>
              <w14:schemeClr w14:val="tx1"/>
            </w14:solidFill>
          </w14:textFill>
        </w:rPr>
        <w:t>必须按照招标文件的要求编制投标文件。投标文件必须对招标文件提出的要求和条件作出明确响应。</w:t>
      </w:r>
    </w:p>
    <w:p w14:paraId="4F55A988">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12.2</w:t>
      </w:r>
      <w:r>
        <w:rPr>
          <w:rFonts w:hint="eastAsia" w:ascii="宋体" w:hAnsi="宋体" w:cs="宋体"/>
          <w:color w:val="000000" w:themeColor="text1"/>
          <w:sz w:val="28"/>
          <w:szCs w:val="28"/>
          <w:highlight w:val="none"/>
          <w:lang w:eastAsia="zh-CN"/>
          <w14:textFill>
            <w14:solidFill>
              <w14:schemeClr w14:val="tx1"/>
            </w14:solidFill>
          </w14:textFill>
        </w:rPr>
        <w:t>供应商</w:t>
      </w:r>
      <w:r>
        <w:rPr>
          <w:rFonts w:hint="eastAsia" w:ascii="宋体" w:hAnsi="宋体" w:eastAsia="宋体" w:cs="宋体"/>
          <w:color w:val="000000" w:themeColor="text1"/>
          <w:sz w:val="28"/>
          <w:szCs w:val="28"/>
          <w:highlight w:val="none"/>
          <w14:textFill>
            <w14:solidFill>
              <w14:schemeClr w14:val="tx1"/>
            </w14:solidFill>
          </w14:textFill>
        </w:rPr>
        <w:t>应根据自身实际情况如实响应招标文件，不得仅将招标文件内容简单复制粘贴作为投标响应，还应当提供相关证明材料，否则将作无效响应处理（定制采购项目不适用本条款）。对于重要技术条款或技术参数应当在投标文件中提供技术支持资料，技术支持资料以招标文件中规定的形式为准，否则将视为无效技术支持资料。</w:t>
      </w:r>
    </w:p>
    <w:p w14:paraId="68748E85">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13.投标文件的组成</w:t>
      </w:r>
    </w:p>
    <w:p w14:paraId="65C31741">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13.1投标文件由报价文件、资格证明文件、商务文件、技术文件四部分组成。</w:t>
      </w:r>
    </w:p>
    <w:p w14:paraId="3BFC3410">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（1）资格证明文件：具体材料见“</w:t>
      </w:r>
      <w:r>
        <w:rPr>
          <w:rFonts w:hint="eastAsia" w:ascii="宋体" w:hAnsi="宋体" w:cs="宋体"/>
          <w:bCs/>
          <w:color w:val="000000" w:themeColor="text1"/>
          <w:sz w:val="28"/>
          <w:szCs w:val="28"/>
          <w:highlight w:val="none"/>
          <w:lang w:eastAsia="zh-CN"/>
          <w14:textFill>
            <w14:solidFill>
              <w14:schemeClr w14:val="tx1"/>
            </w14:solidFill>
          </w14:textFill>
        </w:rPr>
        <w:t>供应商</w:t>
      </w:r>
      <w:r>
        <w:rPr>
          <w:rFonts w:hint="eastAsia" w:ascii="宋体" w:hAnsi="宋体" w:eastAsia="宋体" w:cs="宋体"/>
          <w:bCs/>
          <w:color w:val="000000" w:themeColor="text1"/>
          <w:sz w:val="28"/>
          <w:szCs w:val="28"/>
          <w:highlight w:val="none"/>
          <w14:textFill>
            <w14:solidFill>
              <w14:schemeClr w14:val="tx1"/>
            </w14:solidFill>
          </w14:textFill>
        </w:rPr>
        <w:t>须知前附表”。</w:t>
      </w:r>
    </w:p>
    <w:p w14:paraId="4AF5FB37">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（2）商务文件：具体材料见“</w:t>
      </w:r>
      <w:r>
        <w:rPr>
          <w:rFonts w:hint="eastAsia" w:ascii="宋体" w:hAnsi="宋体" w:cs="宋体"/>
          <w:bCs/>
          <w:color w:val="000000" w:themeColor="text1"/>
          <w:sz w:val="28"/>
          <w:szCs w:val="28"/>
          <w:highlight w:val="none"/>
          <w:lang w:eastAsia="zh-CN"/>
          <w14:textFill>
            <w14:solidFill>
              <w14:schemeClr w14:val="tx1"/>
            </w14:solidFill>
          </w14:textFill>
        </w:rPr>
        <w:t>供应商</w:t>
      </w:r>
      <w:r>
        <w:rPr>
          <w:rFonts w:hint="eastAsia" w:ascii="宋体" w:hAnsi="宋体" w:eastAsia="宋体" w:cs="宋体"/>
          <w:bCs/>
          <w:color w:val="000000" w:themeColor="text1"/>
          <w:sz w:val="28"/>
          <w:szCs w:val="28"/>
          <w:highlight w:val="none"/>
          <w14:textFill>
            <w14:solidFill>
              <w14:schemeClr w14:val="tx1"/>
            </w14:solidFill>
          </w14:textFill>
        </w:rPr>
        <w:t>须知前附表”。</w:t>
      </w:r>
    </w:p>
    <w:p w14:paraId="30135278">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（3）技术文件：具体材料见“</w:t>
      </w:r>
      <w:r>
        <w:rPr>
          <w:rFonts w:hint="eastAsia" w:ascii="宋体" w:hAnsi="宋体" w:cs="宋体"/>
          <w:bCs/>
          <w:color w:val="000000" w:themeColor="text1"/>
          <w:sz w:val="28"/>
          <w:szCs w:val="28"/>
          <w:highlight w:val="none"/>
          <w:lang w:eastAsia="zh-CN"/>
          <w14:textFill>
            <w14:solidFill>
              <w14:schemeClr w14:val="tx1"/>
            </w14:solidFill>
          </w14:textFill>
        </w:rPr>
        <w:t>供应商</w:t>
      </w:r>
      <w:r>
        <w:rPr>
          <w:rFonts w:hint="eastAsia" w:ascii="宋体" w:hAnsi="宋体" w:eastAsia="宋体" w:cs="宋体"/>
          <w:bCs/>
          <w:color w:val="000000" w:themeColor="text1"/>
          <w:sz w:val="28"/>
          <w:szCs w:val="28"/>
          <w:highlight w:val="none"/>
          <w14:textFill>
            <w14:solidFill>
              <w14:schemeClr w14:val="tx1"/>
            </w14:solidFill>
          </w14:textFill>
        </w:rPr>
        <w:t xml:space="preserve">须知前附表”。 </w:t>
      </w:r>
    </w:p>
    <w:p w14:paraId="1A0FDB57">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（4）报价文件： 具体材料见“</w:t>
      </w:r>
      <w:r>
        <w:rPr>
          <w:rFonts w:hint="eastAsia" w:ascii="宋体" w:hAnsi="宋体" w:cs="宋体"/>
          <w:bCs/>
          <w:color w:val="000000" w:themeColor="text1"/>
          <w:sz w:val="28"/>
          <w:szCs w:val="28"/>
          <w:highlight w:val="none"/>
          <w:lang w:eastAsia="zh-CN"/>
          <w14:textFill>
            <w14:solidFill>
              <w14:schemeClr w14:val="tx1"/>
            </w14:solidFill>
          </w14:textFill>
        </w:rPr>
        <w:t>供应商</w:t>
      </w:r>
      <w:r>
        <w:rPr>
          <w:rFonts w:hint="eastAsia" w:ascii="宋体" w:hAnsi="宋体" w:eastAsia="宋体" w:cs="宋体"/>
          <w:bCs/>
          <w:color w:val="000000" w:themeColor="text1"/>
          <w:sz w:val="28"/>
          <w:szCs w:val="28"/>
          <w:highlight w:val="none"/>
          <w14:textFill>
            <w14:solidFill>
              <w14:schemeClr w14:val="tx1"/>
            </w14:solidFill>
          </w14:textFill>
        </w:rPr>
        <w:t>须知前附表”。</w:t>
      </w:r>
    </w:p>
    <w:p w14:paraId="711EFDC7">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13.2投标文件电子版：具体要求见本节19.投标文件编制。</w:t>
      </w:r>
    </w:p>
    <w:p w14:paraId="0FCA50F6">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14.投标文件的语言及计量</w:t>
      </w:r>
    </w:p>
    <w:p w14:paraId="5A255B5A">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14.1语言文字</w:t>
      </w:r>
    </w:p>
    <w:p w14:paraId="50017BE7">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投标文件以及</w:t>
      </w:r>
      <w:r>
        <w:rPr>
          <w:rFonts w:hint="eastAsia" w:ascii="宋体" w:hAnsi="宋体" w:cs="宋体"/>
          <w:bCs/>
          <w:color w:val="000000" w:themeColor="text1"/>
          <w:sz w:val="28"/>
          <w:szCs w:val="28"/>
          <w:highlight w:val="none"/>
          <w:lang w:eastAsia="zh-CN"/>
          <w14:textFill>
            <w14:solidFill>
              <w14:schemeClr w14:val="tx1"/>
            </w14:solidFill>
          </w14:textFill>
        </w:rPr>
        <w:t>供应商</w:t>
      </w:r>
      <w:r>
        <w:rPr>
          <w:rFonts w:hint="eastAsia" w:ascii="宋体" w:hAnsi="宋体" w:eastAsia="宋体" w:cs="宋体"/>
          <w:bCs/>
          <w:color w:val="000000" w:themeColor="text1"/>
          <w:sz w:val="28"/>
          <w:szCs w:val="28"/>
          <w:highlight w:val="none"/>
          <w14:textFill>
            <w14:solidFill>
              <w14:schemeClr w14:val="tx1"/>
            </w14:solidFill>
          </w14:textFill>
        </w:rPr>
        <w:t>与采购人就有关投标事宜的所有来往函电，均应以中文书写（除专用术语外，与招标投标有关的语言均使用中文。必要时专用术语应附有中文注释）。</w:t>
      </w:r>
      <w:r>
        <w:rPr>
          <w:rFonts w:hint="eastAsia" w:ascii="宋体" w:hAnsi="宋体" w:cs="宋体"/>
          <w:bCs/>
          <w:color w:val="000000" w:themeColor="text1"/>
          <w:sz w:val="28"/>
          <w:szCs w:val="28"/>
          <w:highlight w:val="none"/>
          <w:lang w:eastAsia="zh-CN"/>
          <w14:textFill>
            <w14:solidFill>
              <w14:schemeClr w14:val="tx1"/>
            </w14:solidFill>
          </w14:textFill>
        </w:rPr>
        <w:t>供应商</w:t>
      </w:r>
      <w:r>
        <w:rPr>
          <w:rFonts w:hint="eastAsia" w:ascii="宋体" w:hAnsi="宋体" w:eastAsia="宋体" w:cs="宋体"/>
          <w:bCs/>
          <w:color w:val="000000" w:themeColor="text1"/>
          <w:sz w:val="28"/>
          <w:szCs w:val="28"/>
          <w:highlight w:val="none"/>
          <w14:textFill>
            <w14:solidFill>
              <w14:schemeClr w14:val="tx1"/>
            </w14:solidFill>
          </w14:textFill>
        </w:rPr>
        <w:t>提交的支持文件和印刷的文献可以使用别的语言，但其相应内容应同时附中文翻译文本，在解释投标文件时以中文翻译文本为主。对不同文字文本投标文件的解释发生异议的，以中文文本为准。</w:t>
      </w:r>
    </w:p>
    <w:p w14:paraId="7E6F96A6">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14.2投标计量单位</w:t>
      </w:r>
    </w:p>
    <w:p w14:paraId="0DB6AB0D">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招标文件已有明确规定的，使用招标文件规定的计量单位；招标文件没有规定的，应采用中华人民共和国法定计量单位，货币种类为人民币，否则视同未响应。</w:t>
      </w:r>
    </w:p>
    <w:p w14:paraId="69A80CAD">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15.投标的风险</w:t>
      </w:r>
    </w:p>
    <w:p w14:paraId="676A0519">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b w:val="0"/>
          <w:bCs w:val="0"/>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投标文件分为资格文件、商务文件、技术文件、报价文件四部分（其中：商务文件与技术文件合并编辑成一个电子文档）。各</w:t>
      </w:r>
      <w:r>
        <w:rPr>
          <w:rFonts w:hint="eastAsia" w:ascii="宋体" w:hAnsi="宋体" w:cs="宋体"/>
          <w:color w:val="000000" w:themeColor="text1"/>
          <w:sz w:val="28"/>
          <w:szCs w:val="28"/>
          <w:highlight w:val="none"/>
          <w:lang w:eastAsia="zh-CN"/>
          <w14:textFill>
            <w14:solidFill>
              <w14:schemeClr w14:val="tx1"/>
            </w14:solidFill>
          </w14:textFill>
        </w:rPr>
        <w:t>供应商</w:t>
      </w:r>
      <w:r>
        <w:rPr>
          <w:rFonts w:hint="eastAsia" w:ascii="宋体" w:hAnsi="宋体" w:eastAsia="宋体" w:cs="宋体"/>
          <w:color w:val="000000" w:themeColor="text1"/>
          <w:sz w:val="28"/>
          <w:szCs w:val="28"/>
          <w:highlight w:val="none"/>
          <w14:textFill>
            <w14:solidFill>
              <w14:schemeClr w14:val="tx1"/>
            </w14:solidFill>
          </w14:textFill>
        </w:rPr>
        <w:t>在编制投标文件时请按照招标文件规定的格式进行，混乱的编排导致投标文件被误读或评标委员会查找不到有效文件是</w:t>
      </w:r>
      <w:r>
        <w:rPr>
          <w:rFonts w:hint="eastAsia" w:ascii="宋体" w:hAnsi="宋体" w:cs="宋体"/>
          <w:color w:val="000000" w:themeColor="text1"/>
          <w:sz w:val="28"/>
          <w:szCs w:val="28"/>
          <w:highlight w:val="none"/>
          <w:lang w:eastAsia="zh-CN"/>
          <w14:textFill>
            <w14:solidFill>
              <w14:schemeClr w14:val="tx1"/>
            </w14:solidFill>
          </w14:textFill>
        </w:rPr>
        <w:t>供应商</w:t>
      </w:r>
      <w:r>
        <w:rPr>
          <w:rFonts w:hint="eastAsia" w:ascii="宋体" w:hAnsi="宋体" w:eastAsia="宋体" w:cs="宋体"/>
          <w:color w:val="000000" w:themeColor="text1"/>
          <w:sz w:val="28"/>
          <w:szCs w:val="28"/>
          <w:highlight w:val="none"/>
          <w14:textFill>
            <w14:solidFill>
              <w14:schemeClr w14:val="tx1"/>
            </w14:solidFill>
          </w14:textFill>
        </w:rPr>
        <w:t>的风险</w:t>
      </w:r>
      <w:r>
        <w:rPr>
          <w:rFonts w:hint="eastAsia" w:ascii="宋体" w:hAnsi="宋体" w:eastAsia="宋体" w:cs="宋体"/>
          <w:b w:val="0"/>
          <w:bCs w:val="0"/>
          <w:color w:val="000000" w:themeColor="text1"/>
          <w:sz w:val="28"/>
          <w:szCs w:val="28"/>
          <w:highlight w:val="none"/>
          <w14:textFill>
            <w14:solidFill>
              <w14:schemeClr w14:val="tx1"/>
            </w14:solidFill>
          </w14:textFill>
        </w:rPr>
        <w:t>。</w:t>
      </w:r>
      <w:r>
        <w:rPr>
          <w:rFonts w:hint="eastAsia" w:ascii="宋体" w:hAnsi="宋体" w:eastAsia="宋体" w:cs="宋体"/>
          <w:color w:val="000000" w:themeColor="text1"/>
          <w:sz w:val="28"/>
          <w:szCs w:val="28"/>
          <w:highlight w:val="none"/>
          <w14:textFill>
            <w14:solidFill>
              <w14:schemeClr w14:val="tx1"/>
            </w14:solidFill>
          </w14:textFill>
        </w:rPr>
        <w:t>★</w:t>
      </w:r>
      <w:r>
        <w:rPr>
          <w:rFonts w:hint="eastAsia" w:ascii="宋体" w:hAnsi="宋体" w:eastAsia="宋体" w:cs="宋体"/>
          <w:b w:val="0"/>
          <w:bCs w:val="0"/>
          <w:color w:val="000000" w:themeColor="text1"/>
          <w:sz w:val="28"/>
          <w:szCs w:val="28"/>
          <w:highlight w:val="none"/>
          <w14:textFill>
            <w14:solidFill>
              <w14:schemeClr w14:val="tx1"/>
            </w14:solidFill>
          </w14:textFill>
        </w:rPr>
        <w:t>投标文件未按规定的格式编制的、没有按照招标文件要求提供全部资料、没有对招标文件作出实质性响应，投标无效；</w:t>
      </w:r>
    </w:p>
    <w:p w14:paraId="5ABF84A8">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16.投标报价</w:t>
      </w:r>
    </w:p>
    <w:p w14:paraId="7714C159">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16.1投标报价应按“第六章　投标文件格式”中“开标一览表”格式填写。</w:t>
      </w:r>
    </w:p>
    <w:p w14:paraId="70D8A926">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16.2投标报价具体包括内容详见“</w:t>
      </w:r>
      <w:r>
        <w:rPr>
          <w:rFonts w:hint="eastAsia" w:ascii="宋体" w:hAnsi="宋体" w:cs="宋体"/>
          <w:bCs/>
          <w:color w:val="000000" w:themeColor="text1"/>
          <w:sz w:val="28"/>
          <w:szCs w:val="28"/>
          <w:highlight w:val="none"/>
          <w:lang w:eastAsia="zh-CN"/>
          <w14:textFill>
            <w14:solidFill>
              <w14:schemeClr w14:val="tx1"/>
            </w14:solidFill>
          </w14:textFill>
        </w:rPr>
        <w:t>供应商</w:t>
      </w:r>
      <w:r>
        <w:rPr>
          <w:rFonts w:hint="eastAsia" w:ascii="宋体" w:hAnsi="宋体" w:eastAsia="宋体" w:cs="宋体"/>
          <w:bCs/>
          <w:color w:val="000000" w:themeColor="text1"/>
          <w:sz w:val="28"/>
          <w:szCs w:val="28"/>
          <w:highlight w:val="none"/>
          <w14:textFill>
            <w14:solidFill>
              <w14:schemeClr w14:val="tx1"/>
            </w14:solidFill>
          </w14:textFill>
        </w:rPr>
        <w:t>须知前附表”。</w:t>
      </w:r>
    </w:p>
    <w:p w14:paraId="243408FD">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16.3</w:t>
      </w:r>
      <w:r>
        <w:rPr>
          <w:rFonts w:hint="eastAsia" w:ascii="宋体" w:hAnsi="宋体" w:cs="宋体"/>
          <w:bCs/>
          <w:color w:val="000000" w:themeColor="text1"/>
          <w:sz w:val="28"/>
          <w:szCs w:val="28"/>
          <w:highlight w:val="none"/>
          <w:lang w:eastAsia="zh-CN"/>
          <w14:textFill>
            <w14:solidFill>
              <w14:schemeClr w14:val="tx1"/>
            </w14:solidFill>
          </w14:textFill>
        </w:rPr>
        <w:t>供应商</w:t>
      </w:r>
      <w:r>
        <w:rPr>
          <w:rFonts w:hint="eastAsia" w:ascii="宋体" w:hAnsi="宋体" w:eastAsia="宋体" w:cs="宋体"/>
          <w:bCs/>
          <w:color w:val="000000" w:themeColor="text1"/>
          <w:sz w:val="28"/>
          <w:szCs w:val="28"/>
          <w:highlight w:val="none"/>
          <w14:textFill>
            <w14:solidFill>
              <w14:schemeClr w14:val="tx1"/>
            </w14:solidFill>
          </w14:textFill>
        </w:rPr>
        <w:t>必须就所投每个分标的全部内容分别作完整唯一总价报价，不得存在漏项报价；</w:t>
      </w:r>
      <w:r>
        <w:rPr>
          <w:rFonts w:hint="eastAsia" w:ascii="宋体" w:hAnsi="宋体" w:cs="宋体"/>
          <w:bCs/>
          <w:color w:val="000000" w:themeColor="text1"/>
          <w:sz w:val="28"/>
          <w:szCs w:val="28"/>
          <w:highlight w:val="none"/>
          <w:lang w:eastAsia="zh-CN"/>
          <w14:textFill>
            <w14:solidFill>
              <w14:schemeClr w14:val="tx1"/>
            </w14:solidFill>
          </w14:textFill>
        </w:rPr>
        <w:t>供应商</w:t>
      </w:r>
      <w:r>
        <w:rPr>
          <w:rFonts w:hint="eastAsia" w:ascii="宋体" w:hAnsi="宋体" w:eastAsia="宋体" w:cs="宋体"/>
          <w:bCs/>
          <w:color w:val="000000" w:themeColor="text1"/>
          <w:sz w:val="28"/>
          <w:szCs w:val="28"/>
          <w:highlight w:val="none"/>
          <w14:textFill>
            <w14:solidFill>
              <w14:schemeClr w14:val="tx1"/>
            </w14:solidFill>
          </w14:textFill>
        </w:rPr>
        <w:t>必须就所投的单项内容作唯一报价。</w:t>
      </w:r>
    </w:p>
    <w:p w14:paraId="365AC059">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17.投标有效期</w:t>
      </w:r>
    </w:p>
    <w:p w14:paraId="1CFF28B2">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17.1投标有效期是指为保证采购人有足够的时间在开标后完成评标、定标、合同签订等工作而要求</w:t>
      </w:r>
      <w:r>
        <w:rPr>
          <w:rFonts w:hint="eastAsia" w:ascii="宋体" w:hAnsi="宋体" w:cs="宋体"/>
          <w:bCs/>
          <w:color w:val="000000" w:themeColor="text1"/>
          <w:sz w:val="28"/>
          <w:szCs w:val="28"/>
          <w:highlight w:val="none"/>
          <w:lang w:eastAsia="zh-CN"/>
          <w14:textFill>
            <w14:solidFill>
              <w14:schemeClr w14:val="tx1"/>
            </w14:solidFill>
          </w14:textFill>
        </w:rPr>
        <w:t>供应商</w:t>
      </w:r>
      <w:r>
        <w:rPr>
          <w:rFonts w:hint="eastAsia" w:ascii="宋体" w:hAnsi="宋体" w:eastAsia="宋体" w:cs="宋体"/>
          <w:bCs/>
          <w:color w:val="000000" w:themeColor="text1"/>
          <w:sz w:val="28"/>
          <w:szCs w:val="28"/>
          <w:highlight w:val="none"/>
          <w14:textFill>
            <w14:solidFill>
              <w14:schemeClr w14:val="tx1"/>
            </w14:solidFill>
          </w14:textFill>
        </w:rPr>
        <w:t>提交的投标文件在一定时间内保持有效的期限。</w:t>
      </w:r>
    </w:p>
    <w:p w14:paraId="4907109F">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17.2 投标有效期应按规定的期限作出承诺，具体详见“</w:t>
      </w:r>
      <w:r>
        <w:rPr>
          <w:rFonts w:hint="eastAsia" w:ascii="宋体" w:hAnsi="宋体" w:cs="宋体"/>
          <w:bCs/>
          <w:color w:val="000000" w:themeColor="text1"/>
          <w:sz w:val="28"/>
          <w:szCs w:val="28"/>
          <w:highlight w:val="none"/>
          <w:lang w:eastAsia="zh-CN"/>
          <w14:textFill>
            <w14:solidFill>
              <w14:schemeClr w14:val="tx1"/>
            </w14:solidFill>
          </w14:textFill>
        </w:rPr>
        <w:t>供应商</w:t>
      </w:r>
      <w:r>
        <w:rPr>
          <w:rFonts w:hint="eastAsia" w:ascii="宋体" w:hAnsi="宋体" w:eastAsia="宋体" w:cs="宋体"/>
          <w:bCs/>
          <w:color w:val="000000" w:themeColor="text1"/>
          <w:sz w:val="28"/>
          <w:szCs w:val="28"/>
          <w:highlight w:val="none"/>
          <w14:textFill>
            <w14:solidFill>
              <w14:schemeClr w14:val="tx1"/>
            </w14:solidFill>
          </w14:textFill>
        </w:rPr>
        <w:t>须知前附表”。</w:t>
      </w:r>
    </w:p>
    <w:p w14:paraId="63B8AFDB">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17.3</w:t>
      </w:r>
      <w:r>
        <w:rPr>
          <w:rFonts w:hint="eastAsia" w:ascii="宋体" w:hAnsi="宋体" w:cs="宋体"/>
          <w:bCs/>
          <w:color w:val="000000" w:themeColor="text1"/>
          <w:sz w:val="28"/>
          <w:szCs w:val="28"/>
          <w:highlight w:val="none"/>
          <w:lang w:eastAsia="zh-CN"/>
          <w14:textFill>
            <w14:solidFill>
              <w14:schemeClr w14:val="tx1"/>
            </w14:solidFill>
          </w14:textFill>
        </w:rPr>
        <w:t>供应商</w:t>
      </w:r>
      <w:r>
        <w:rPr>
          <w:rFonts w:hint="eastAsia" w:ascii="宋体" w:hAnsi="宋体" w:eastAsia="宋体" w:cs="宋体"/>
          <w:bCs/>
          <w:color w:val="000000" w:themeColor="text1"/>
          <w:sz w:val="28"/>
          <w:szCs w:val="28"/>
          <w:highlight w:val="none"/>
          <w14:textFill>
            <w14:solidFill>
              <w14:schemeClr w14:val="tx1"/>
            </w14:solidFill>
          </w14:textFill>
        </w:rPr>
        <w:t>的投标文件在投标有效期内均保持有效。</w:t>
      </w:r>
    </w:p>
    <w:p w14:paraId="79CE6319">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18.投标保证金</w:t>
      </w:r>
    </w:p>
    <w:p w14:paraId="3B9CB16D">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见“</w:t>
      </w:r>
      <w:r>
        <w:rPr>
          <w:rFonts w:hint="eastAsia" w:ascii="宋体" w:hAnsi="宋体" w:cs="宋体"/>
          <w:bCs/>
          <w:color w:val="000000" w:themeColor="text1"/>
          <w:sz w:val="28"/>
          <w:szCs w:val="28"/>
          <w:highlight w:val="none"/>
          <w:lang w:eastAsia="zh-CN"/>
          <w14:textFill>
            <w14:solidFill>
              <w14:schemeClr w14:val="tx1"/>
            </w14:solidFill>
          </w14:textFill>
        </w:rPr>
        <w:t>供应商</w:t>
      </w:r>
      <w:r>
        <w:rPr>
          <w:rFonts w:hint="eastAsia" w:ascii="宋体" w:hAnsi="宋体" w:eastAsia="宋体" w:cs="宋体"/>
          <w:bCs/>
          <w:color w:val="000000" w:themeColor="text1"/>
          <w:sz w:val="28"/>
          <w:szCs w:val="28"/>
          <w:highlight w:val="none"/>
          <w14:textFill>
            <w14:solidFill>
              <w14:schemeClr w14:val="tx1"/>
            </w14:solidFill>
          </w14:textFill>
        </w:rPr>
        <w:t>须知前附表”。</w:t>
      </w:r>
    </w:p>
    <w:p w14:paraId="4926C12A">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19.投标文件的编制</w:t>
      </w:r>
    </w:p>
    <w:p w14:paraId="4ACB5E3C">
      <w:pPr>
        <w:keepNext w:val="0"/>
        <w:keepLines w:val="0"/>
        <w:pageBreakBefore w:val="0"/>
        <w:kinsoku/>
        <w:wordWrap/>
        <w:overflowPunct/>
        <w:topLinePunct w:val="0"/>
        <w:bidi w:val="0"/>
        <w:adjustRightInd/>
        <w:snapToGrid/>
        <w:spacing w:line="560" w:lineRule="exact"/>
        <w:ind w:firstLine="562"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19.1投标文件编制要求详见“</w:t>
      </w:r>
      <w:r>
        <w:rPr>
          <w:rFonts w:hint="eastAsia" w:ascii="宋体" w:hAnsi="宋体" w:cs="宋体"/>
          <w:color w:val="000000" w:themeColor="text1"/>
          <w:sz w:val="28"/>
          <w:szCs w:val="28"/>
          <w:highlight w:val="none"/>
          <w:lang w:eastAsia="zh-CN"/>
          <w14:textFill>
            <w14:solidFill>
              <w14:schemeClr w14:val="tx1"/>
            </w14:solidFill>
          </w14:textFill>
        </w:rPr>
        <w:t>供应商</w:t>
      </w:r>
      <w:r>
        <w:rPr>
          <w:rFonts w:hint="eastAsia" w:ascii="宋体" w:hAnsi="宋体" w:eastAsia="宋体" w:cs="宋体"/>
          <w:color w:val="000000" w:themeColor="text1"/>
          <w:sz w:val="28"/>
          <w:szCs w:val="28"/>
          <w:highlight w:val="none"/>
          <w14:textFill>
            <w14:solidFill>
              <w14:schemeClr w14:val="tx1"/>
            </w14:solidFill>
          </w14:textFill>
        </w:rPr>
        <w:t>须知前附表”。</w:t>
      </w:r>
      <w:r>
        <w:rPr>
          <w:rFonts w:hint="eastAsia" w:ascii="宋体" w:hAnsi="宋体" w:cs="宋体"/>
          <w:color w:val="000000" w:themeColor="text1"/>
          <w:sz w:val="28"/>
          <w:szCs w:val="28"/>
          <w:highlight w:val="none"/>
          <w:lang w:eastAsia="zh-CN"/>
          <w14:textFill>
            <w14:solidFill>
              <w14:schemeClr w14:val="tx1"/>
            </w14:solidFill>
          </w14:textFill>
        </w:rPr>
        <w:t>供应商</w:t>
      </w:r>
      <w:r>
        <w:rPr>
          <w:rFonts w:hint="eastAsia" w:ascii="宋体" w:hAnsi="宋体" w:eastAsia="宋体" w:cs="宋体"/>
          <w:color w:val="000000" w:themeColor="text1"/>
          <w:sz w:val="28"/>
          <w:szCs w:val="28"/>
          <w:highlight w:val="none"/>
          <w14:textFill>
            <w14:solidFill>
              <w14:schemeClr w14:val="tx1"/>
            </w14:solidFill>
          </w14:textFill>
        </w:rPr>
        <w:t>应按本招标文件规定的格式和顺序编制、装订投标文件并标注页码，投标文件内容不完整、编排混乱导致投标文件被误读、漏读或者查找不到相关内容的，由此引发的后果由</w:t>
      </w:r>
      <w:r>
        <w:rPr>
          <w:rFonts w:hint="eastAsia" w:ascii="宋体" w:hAnsi="宋体" w:cs="宋体"/>
          <w:color w:val="000000" w:themeColor="text1"/>
          <w:sz w:val="28"/>
          <w:szCs w:val="28"/>
          <w:highlight w:val="none"/>
          <w:lang w:eastAsia="zh-CN"/>
          <w14:textFill>
            <w14:solidFill>
              <w14:schemeClr w14:val="tx1"/>
            </w14:solidFill>
          </w14:textFill>
        </w:rPr>
        <w:t>供应商</w:t>
      </w:r>
      <w:r>
        <w:rPr>
          <w:rFonts w:hint="eastAsia" w:ascii="宋体" w:hAnsi="宋体" w:eastAsia="宋体" w:cs="宋体"/>
          <w:color w:val="000000" w:themeColor="text1"/>
          <w:sz w:val="28"/>
          <w:szCs w:val="28"/>
          <w:highlight w:val="none"/>
          <w14:textFill>
            <w14:solidFill>
              <w14:schemeClr w14:val="tx1"/>
            </w14:solidFill>
          </w14:textFill>
        </w:rPr>
        <w:t xml:space="preserve">承担。 </w:t>
      </w:r>
    </w:p>
    <w:p w14:paraId="7E66C09B">
      <w:pPr>
        <w:pStyle w:val="108"/>
        <w:keepNext w:val="0"/>
        <w:keepLines w:val="0"/>
        <w:pageBreakBefore w:val="0"/>
        <w:kinsoku/>
        <w:wordWrap/>
        <w:overflowPunct/>
        <w:topLinePunct w:val="0"/>
        <w:bidi w:val="0"/>
        <w:adjustRightInd/>
        <w:snapToGrid/>
        <w:spacing w:before="0" w:line="560" w:lineRule="exact"/>
        <w:ind w:firstLine="56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19.2投标文件按照招标文件第六章格式要求在规定位置进行签署、盖章。</w:t>
      </w:r>
      <w:r>
        <w:rPr>
          <w:rFonts w:hint="eastAsia" w:ascii="宋体" w:hAnsi="宋体" w:eastAsia="宋体" w:cs="宋体"/>
          <w:color w:val="000000" w:themeColor="text1"/>
          <w:sz w:val="28"/>
          <w:szCs w:val="28"/>
          <w:highlight w:val="none"/>
          <w:lang w:eastAsia="zh-CN"/>
          <w14:textFill>
            <w14:solidFill>
              <w14:schemeClr w14:val="tx1"/>
            </w14:solidFill>
          </w14:textFill>
        </w:rPr>
        <w:t>供应商</w:t>
      </w:r>
      <w:r>
        <w:rPr>
          <w:rFonts w:hint="eastAsia" w:ascii="宋体" w:hAnsi="宋体" w:eastAsia="宋体" w:cs="宋体"/>
          <w:color w:val="000000" w:themeColor="text1"/>
          <w:sz w:val="28"/>
          <w:szCs w:val="28"/>
          <w:highlight w:val="none"/>
          <w14:textFill>
            <w14:solidFill>
              <w14:schemeClr w14:val="tx1"/>
            </w14:solidFill>
          </w14:textFill>
        </w:rPr>
        <w:t>的投标文件未按照招标文件要求签署、盖章的，</w:t>
      </w:r>
      <w:r>
        <w:rPr>
          <w:rFonts w:hint="eastAsia" w:ascii="宋体" w:hAnsi="宋体" w:eastAsia="宋体" w:cs="宋体"/>
          <w:b/>
          <w:color w:val="000000" w:themeColor="text1"/>
          <w:sz w:val="28"/>
          <w:szCs w:val="28"/>
          <w:highlight w:val="none"/>
          <w14:textFill>
            <w14:solidFill>
              <w14:schemeClr w14:val="tx1"/>
            </w14:solidFill>
          </w14:textFill>
        </w:rPr>
        <w:t>其投标无效。</w:t>
      </w:r>
      <w:r>
        <w:rPr>
          <w:rFonts w:hint="eastAsia" w:ascii="宋体" w:hAnsi="宋体" w:eastAsia="宋体" w:cs="宋体"/>
          <w:color w:val="000000" w:themeColor="text1"/>
          <w:sz w:val="28"/>
          <w:szCs w:val="28"/>
          <w:highlight w:val="none"/>
          <w14:textFill>
            <w14:solidFill>
              <w14:schemeClr w14:val="tx1"/>
            </w14:solidFill>
          </w14:textFill>
        </w:rPr>
        <w:t>骑缝盖公章不视为在规定位置盖章。</w:t>
      </w:r>
    </w:p>
    <w:p w14:paraId="56BB0A74">
      <w:pPr>
        <w:pStyle w:val="108"/>
        <w:keepNext w:val="0"/>
        <w:keepLines w:val="0"/>
        <w:pageBreakBefore w:val="0"/>
        <w:kinsoku/>
        <w:wordWrap/>
        <w:overflowPunct/>
        <w:topLinePunct w:val="0"/>
        <w:bidi w:val="0"/>
        <w:adjustRightInd/>
        <w:snapToGrid/>
        <w:spacing w:before="0" w:line="560" w:lineRule="exact"/>
        <w:ind w:firstLine="56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19.3为确保网上操作合法、有效和安全，</w:t>
      </w:r>
      <w:r>
        <w:rPr>
          <w:rFonts w:hint="eastAsia" w:ascii="宋体" w:hAnsi="宋体" w:eastAsia="宋体" w:cs="宋体"/>
          <w:color w:val="000000" w:themeColor="text1"/>
          <w:sz w:val="28"/>
          <w:szCs w:val="28"/>
          <w:highlight w:val="none"/>
          <w:lang w:eastAsia="zh-CN"/>
          <w14:textFill>
            <w14:solidFill>
              <w14:schemeClr w14:val="tx1"/>
            </w14:solidFill>
          </w14:textFill>
        </w:rPr>
        <w:t>供应商</w:t>
      </w:r>
      <w:r>
        <w:rPr>
          <w:rFonts w:hint="eastAsia" w:ascii="宋体" w:hAnsi="宋体" w:eastAsia="宋体" w:cs="宋体"/>
          <w:color w:val="000000" w:themeColor="text1"/>
          <w:sz w:val="28"/>
          <w:szCs w:val="28"/>
          <w:highlight w:val="none"/>
          <w14:textFill>
            <w14:solidFill>
              <w14:schemeClr w14:val="tx1"/>
            </w14:solidFill>
          </w14:textFill>
        </w:rPr>
        <w:t>应当在投标截止时间前完成在“政采云”平台的身份认证，确保在电子投标过程中能够对相关数据电文进行加密和使用电子签名。</w:t>
      </w:r>
    </w:p>
    <w:p w14:paraId="5323F2F6">
      <w:pPr>
        <w:keepNext w:val="0"/>
        <w:keepLines w:val="0"/>
        <w:pageBreakBefore w:val="0"/>
        <w:kinsoku/>
        <w:wordWrap/>
        <w:overflowPunct/>
        <w:topLinePunct w:val="0"/>
        <w:bidi w:val="0"/>
        <w:adjustRightInd/>
        <w:snapToGrid/>
        <w:spacing w:line="560" w:lineRule="exact"/>
        <w:ind w:firstLine="562" w:firstLineChars="200"/>
        <w:jc w:val="both"/>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19.4投标文件中标注的</w:t>
      </w:r>
      <w:r>
        <w:rPr>
          <w:rFonts w:hint="eastAsia" w:ascii="宋体" w:hAnsi="宋体" w:cs="宋体"/>
          <w:b/>
          <w:color w:val="000000" w:themeColor="text1"/>
          <w:sz w:val="28"/>
          <w:szCs w:val="28"/>
          <w:highlight w:val="none"/>
          <w:lang w:eastAsia="zh-CN"/>
          <w14:textFill>
            <w14:solidFill>
              <w14:schemeClr w14:val="tx1"/>
            </w14:solidFill>
          </w14:textFill>
        </w:rPr>
        <w:t>供应商</w:t>
      </w:r>
      <w:r>
        <w:rPr>
          <w:rFonts w:hint="eastAsia" w:ascii="宋体" w:hAnsi="宋体" w:eastAsia="宋体" w:cs="宋体"/>
          <w:b/>
          <w:color w:val="000000" w:themeColor="text1"/>
          <w:sz w:val="28"/>
          <w:szCs w:val="28"/>
          <w:highlight w:val="none"/>
          <w14:textFill>
            <w14:solidFill>
              <w14:schemeClr w14:val="tx1"/>
            </w14:solidFill>
          </w14:textFill>
        </w:rPr>
        <w:t>名称应与主体资格证明（如营业执照、事业单位法人证书、执业许可证、自然人身份证等）及公章一致，</w:t>
      </w:r>
      <w:r>
        <w:rPr>
          <w:rFonts w:hint="eastAsia" w:ascii="宋体" w:hAnsi="宋体" w:eastAsia="宋体" w:cs="宋体"/>
          <w:color w:val="000000" w:themeColor="text1"/>
          <w:sz w:val="28"/>
          <w:szCs w:val="28"/>
          <w:highlight w:val="none"/>
          <w14:textFill>
            <w14:solidFill>
              <w14:schemeClr w14:val="tx1"/>
            </w14:solidFill>
          </w14:textFill>
        </w:rPr>
        <w:t>否则作无效投标处理</w:t>
      </w:r>
      <w:r>
        <w:rPr>
          <w:rFonts w:hint="eastAsia" w:ascii="宋体" w:hAnsi="宋体" w:eastAsia="宋体" w:cs="宋体"/>
          <w:b/>
          <w:color w:val="000000" w:themeColor="text1"/>
          <w:sz w:val="28"/>
          <w:szCs w:val="28"/>
          <w:highlight w:val="none"/>
          <w14:textFill>
            <w14:solidFill>
              <w14:schemeClr w14:val="tx1"/>
            </w14:solidFill>
          </w14:textFill>
        </w:rPr>
        <w:t>。</w:t>
      </w:r>
    </w:p>
    <w:p w14:paraId="15A964E0">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 19.5投标文件应避免涂改、行间插字或者删除，</w:t>
      </w:r>
      <w:r>
        <w:rPr>
          <w:rFonts w:hint="eastAsia" w:ascii="宋体" w:hAnsi="宋体" w:eastAsia="宋体" w:cs="宋体"/>
          <w:b/>
          <w:color w:val="000000" w:themeColor="text1"/>
          <w:sz w:val="28"/>
          <w:szCs w:val="28"/>
          <w:highlight w:val="none"/>
          <w14:textFill>
            <w14:solidFill>
              <w14:schemeClr w14:val="tx1"/>
            </w14:solidFill>
          </w14:textFill>
        </w:rPr>
        <w:t>否则其投标无效。</w:t>
      </w:r>
    </w:p>
    <w:p w14:paraId="255D726C">
      <w:pPr>
        <w:keepNext w:val="0"/>
        <w:keepLines w:val="0"/>
        <w:pageBreakBefore w:val="0"/>
        <w:kinsoku/>
        <w:wordWrap/>
        <w:overflowPunct/>
        <w:topLinePunct w:val="0"/>
        <w:bidi w:val="0"/>
        <w:adjustRightInd/>
        <w:snapToGrid/>
        <w:spacing w:line="560" w:lineRule="exact"/>
        <w:ind w:firstLine="694" w:firstLineChars="248"/>
        <w:jc w:val="both"/>
        <w:rPr>
          <w:rFonts w:hint="eastAsia" w:ascii="宋体" w:hAnsi="宋体" w:eastAsia="宋体" w:cs="宋体"/>
          <w:b w:val="0"/>
          <w:bCs/>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19.6 对招标文件的实质性要求和条件作出响应是指</w:t>
      </w:r>
      <w:r>
        <w:rPr>
          <w:rFonts w:hint="eastAsia" w:ascii="宋体" w:hAnsi="宋体" w:cs="宋体"/>
          <w:color w:val="000000" w:themeColor="text1"/>
          <w:sz w:val="28"/>
          <w:szCs w:val="28"/>
          <w:highlight w:val="none"/>
          <w:lang w:eastAsia="zh-CN"/>
          <w14:textFill>
            <w14:solidFill>
              <w14:schemeClr w14:val="tx1"/>
            </w14:solidFill>
          </w14:textFill>
        </w:rPr>
        <w:t>供应商</w:t>
      </w:r>
      <w:r>
        <w:rPr>
          <w:rFonts w:hint="eastAsia" w:ascii="宋体" w:hAnsi="宋体" w:eastAsia="宋体" w:cs="宋体"/>
          <w:color w:val="000000" w:themeColor="text1"/>
          <w:sz w:val="28"/>
          <w:szCs w:val="28"/>
          <w:highlight w:val="none"/>
          <w14:textFill>
            <w14:solidFill>
              <w14:schemeClr w14:val="tx1"/>
            </w14:solidFill>
          </w14:textFill>
        </w:rPr>
        <w:t>必须对招标文件中标注为实质性要求和条件的货物内容及要求、商务条款及其它内容</w:t>
      </w:r>
      <w:r>
        <w:rPr>
          <w:rFonts w:hint="eastAsia" w:ascii="宋体" w:hAnsi="宋体" w:eastAsia="宋体" w:cs="宋体"/>
          <w:b w:val="0"/>
          <w:bCs/>
          <w:color w:val="000000" w:themeColor="text1"/>
          <w:sz w:val="28"/>
          <w:szCs w:val="28"/>
          <w:highlight w:val="none"/>
          <w14:textFill>
            <w14:solidFill>
              <w14:schemeClr w14:val="tx1"/>
            </w14:solidFill>
          </w14:textFill>
        </w:rPr>
        <w:t>作出满足或者优于原要求和条件的承诺。</w:t>
      </w:r>
    </w:p>
    <w:p w14:paraId="02003469">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b w:val="0"/>
          <w:bCs/>
          <w:color w:val="000000" w:themeColor="text1"/>
          <w:sz w:val="28"/>
          <w:szCs w:val="28"/>
          <w:highlight w:val="none"/>
          <w:u w:val="single"/>
          <w14:textFill>
            <w14:solidFill>
              <w14:schemeClr w14:val="tx1"/>
            </w14:solidFill>
          </w14:textFill>
        </w:rPr>
      </w:pPr>
      <w:r>
        <w:rPr>
          <w:rFonts w:hint="eastAsia" w:ascii="宋体" w:hAnsi="宋体" w:eastAsia="宋体" w:cs="宋体"/>
          <w:b w:val="0"/>
          <w:bCs/>
          <w:color w:val="000000" w:themeColor="text1"/>
          <w:sz w:val="28"/>
          <w:szCs w:val="28"/>
          <w:highlight w:val="none"/>
          <w:u w:val="single"/>
          <w14:textFill>
            <w14:solidFill>
              <w14:schemeClr w14:val="tx1"/>
            </w14:solidFill>
          </w14:textFill>
        </w:rPr>
        <w:t xml:space="preserve">19.7本项目为全流程电子化项目，异常情况见“第二节 </w:t>
      </w:r>
      <w:r>
        <w:rPr>
          <w:rFonts w:hint="eastAsia" w:ascii="宋体" w:hAnsi="宋体" w:cs="宋体"/>
          <w:b w:val="0"/>
          <w:bCs/>
          <w:color w:val="000000" w:themeColor="text1"/>
          <w:sz w:val="28"/>
          <w:szCs w:val="28"/>
          <w:highlight w:val="none"/>
          <w:u w:val="single"/>
          <w:lang w:eastAsia="zh-CN"/>
          <w14:textFill>
            <w14:solidFill>
              <w14:schemeClr w14:val="tx1"/>
            </w14:solidFill>
          </w14:textFill>
        </w:rPr>
        <w:t>供应商</w:t>
      </w:r>
      <w:r>
        <w:rPr>
          <w:rFonts w:hint="eastAsia" w:ascii="宋体" w:hAnsi="宋体" w:eastAsia="宋体" w:cs="宋体"/>
          <w:b w:val="0"/>
          <w:bCs/>
          <w:color w:val="000000" w:themeColor="text1"/>
          <w:sz w:val="28"/>
          <w:szCs w:val="28"/>
          <w:highlight w:val="none"/>
          <w:u w:val="single"/>
          <w14:textFill>
            <w14:solidFill>
              <w14:schemeClr w14:val="tx1"/>
            </w14:solidFill>
          </w14:textFill>
        </w:rPr>
        <w:t>须知正文”中“四、24.2开标程序。</w:t>
      </w:r>
    </w:p>
    <w:p w14:paraId="49E794C5">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20.备份投标文件</w:t>
      </w:r>
    </w:p>
    <w:p w14:paraId="0D19A62D">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详见在“</w:t>
      </w:r>
      <w:r>
        <w:rPr>
          <w:rFonts w:hint="eastAsia" w:ascii="宋体" w:hAnsi="宋体" w:cs="宋体"/>
          <w:bCs/>
          <w:color w:val="000000" w:themeColor="text1"/>
          <w:sz w:val="28"/>
          <w:szCs w:val="28"/>
          <w:highlight w:val="none"/>
          <w:lang w:eastAsia="zh-CN"/>
          <w14:textFill>
            <w14:solidFill>
              <w14:schemeClr w14:val="tx1"/>
            </w14:solidFill>
          </w14:textFill>
        </w:rPr>
        <w:t>供应商</w:t>
      </w:r>
      <w:r>
        <w:rPr>
          <w:rFonts w:hint="eastAsia" w:ascii="宋体" w:hAnsi="宋体" w:eastAsia="宋体" w:cs="宋体"/>
          <w:bCs/>
          <w:color w:val="000000" w:themeColor="text1"/>
          <w:sz w:val="28"/>
          <w:szCs w:val="28"/>
          <w:highlight w:val="none"/>
          <w14:textFill>
            <w14:solidFill>
              <w14:schemeClr w14:val="tx1"/>
            </w14:solidFill>
          </w14:textFill>
        </w:rPr>
        <w:t>须知前附表”。</w:t>
      </w:r>
    </w:p>
    <w:p w14:paraId="0010376A">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21.投标文件的提交</w:t>
      </w:r>
    </w:p>
    <w:p w14:paraId="4F7CCB5F">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21.1</w:t>
      </w:r>
      <w:r>
        <w:rPr>
          <w:rFonts w:hint="eastAsia" w:ascii="宋体" w:hAnsi="宋体" w:cs="宋体"/>
          <w:bCs/>
          <w:color w:val="000000" w:themeColor="text1"/>
          <w:sz w:val="28"/>
          <w:szCs w:val="28"/>
          <w:highlight w:val="none"/>
          <w:lang w:eastAsia="zh-CN"/>
          <w14:textFill>
            <w14:solidFill>
              <w14:schemeClr w14:val="tx1"/>
            </w14:solidFill>
          </w14:textFill>
        </w:rPr>
        <w:t>供应商</w:t>
      </w:r>
      <w:r>
        <w:rPr>
          <w:rFonts w:hint="eastAsia" w:ascii="宋体" w:hAnsi="宋体" w:eastAsia="宋体" w:cs="宋体"/>
          <w:bCs/>
          <w:color w:val="000000" w:themeColor="text1"/>
          <w:sz w:val="28"/>
          <w:szCs w:val="28"/>
          <w:highlight w:val="none"/>
          <w14:textFill>
            <w14:solidFill>
              <w14:schemeClr w14:val="tx1"/>
            </w14:solidFill>
          </w14:textFill>
        </w:rPr>
        <w:t>必须在“</w:t>
      </w:r>
      <w:r>
        <w:rPr>
          <w:rFonts w:hint="eastAsia" w:ascii="宋体" w:hAnsi="宋体" w:cs="宋体"/>
          <w:bCs/>
          <w:color w:val="000000" w:themeColor="text1"/>
          <w:sz w:val="28"/>
          <w:szCs w:val="28"/>
          <w:highlight w:val="none"/>
          <w:lang w:eastAsia="zh-CN"/>
          <w14:textFill>
            <w14:solidFill>
              <w14:schemeClr w14:val="tx1"/>
            </w14:solidFill>
          </w14:textFill>
        </w:rPr>
        <w:t>供应商</w:t>
      </w:r>
      <w:r>
        <w:rPr>
          <w:rFonts w:hint="eastAsia" w:ascii="宋体" w:hAnsi="宋体" w:eastAsia="宋体" w:cs="宋体"/>
          <w:bCs/>
          <w:color w:val="000000" w:themeColor="text1"/>
          <w:sz w:val="28"/>
          <w:szCs w:val="28"/>
          <w:highlight w:val="none"/>
          <w14:textFill>
            <w14:solidFill>
              <w14:schemeClr w14:val="tx1"/>
            </w14:solidFill>
          </w14:textFill>
        </w:rPr>
        <w:t xml:space="preserve">须知前附表”规定的投标文件接收时间和投标地点提交电子版投标文件。电子投标文件应在制作完成后，在投标截止时间前通过有效数字证书（CA认证锁）进行电子签章、加密，然后通过网络将加密的电子投标文件递交至“新疆政采云平台”。 </w:t>
      </w:r>
      <w:r>
        <w:rPr>
          <w:rFonts w:hint="eastAsia" w:ascii="宋体" w:hAnsi="宋体" w:eastAsia="宋体" w:cs="宋体"/>
          <w:b/>
          <w:color w:val="000000" w:themeColor="text1"/>
          <w:sz w:val="28"/>
          <w:szCs w:val="28"/>
          <w:highlight w:val="none"/>
          <w14:textFill>
            <w14:solidFill>
              <w14:schemeClr w14:val="tx1"/>
            </w14:solidFill>
          </w14:textFill>
        </w:rPr>
        <w:t xml:space="preserve"> </w:t>
      </w:r>
    </w:p>
    <w:p w14:paraId="47095FCE">
      <w:pPr>
        <w:keepNext w:val="0"/>
        <w:keepLines w:val="0"/>
        <w:pageBreakBefore w:val="0"/>
        <w:kinsoku/>
        <w:wordWrap/>
        <w:overflowPunct/>
        <w:topLinePunct w:val="0"/>
        <w:bidi w:val="0"/>
        <w:adjustRightInd/>
        <w:snapToGrid/>
        <w:spacing w:line="560" w:lineRule="exact"/>
        <w:ind w:firstLine="562" w:firstLineChars="200"/>
        <w:jc w:val="both"/>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21.2未在规定时间内提交或者未按照招标文件要求密封或者标记的电子投标文件，“政采云”平台将拒收。</w:t>
      </w:r>
    </w:p>
    <w:p w14:paraId="4EFBC0CF">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21.3电子版投标文件提交方式见“招标公告”中“提交投标文件截止时间、开标时间和地点”</w:t>
      </w:r>
      <w:r>
        <w:rPr>
          <w:rFonts w:hint="eastAsia" w:ascii="宋体" w:hAnsi="宋体" w:eastAsia="宋体" w:cs="宋体"/>
          <w:b/>
          <w:color w:val="000000" w:themeColor="text1"/>
          <w:sz w:val="28"/>
          <w:szCs w:val="28"/>
          <w:highlight w:val="none"/>
          <w14:textFill>
            <w14:solidFill>
              <w14:schemeClr w14:val="tx1"/>
            </w14:solidFill>
          </w14:textFill>
        </w:rPr>
        <w:t xml:space="preserve"> 。</w:t>
      </w:r>
    </w:p>
    <w:p w14:paraId="6802FE5C">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22. 投标文件的补充、修改、撤回与退回</w:t>
      </w:r>
    </w:p>
    <w:p w14:paraId="46F8124D">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22.1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政采云”平台将拒收。（补充、修改或者撤回方式见公告附件“电子投标文件制作与投送教程”）</w:t>
      </w:r>
    </w:p>
    <w:p w14:paraId="6E1C37F1">
      <w:pPr>
        <w:pStyle w:val="108"/>
        <w:keepNext w:val="0"/>
        <w:keepLines w:val="0"/>
        <w:pageBreakBefore w:val="0"/>
        <w:kinsoku/>
        <w:wordWrap/>
        <w:overflowPunct/>
        <w:topLinePunct w:val="0"/>
        <w:bidi w:val="0"/>
        <w:adjustRightInd/>
        <w:snapToGrid/>
        <w:spacing w:before="0" w:line="560" w:lineRule="exact"/>
        <w:ind w:firstLine="56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22.2“政采云”平台收到投标文件，将妥善保存并即时向供应商发出确认回执通知。在投标截止时间前，除供应商补充、修改或者撤回投标文件外，任何单位和个人不得解密或提取投标文件。</w:t>
      </w:r>
    </w:p>
    <w:p w14:paraId="66C1B56D">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22.3在投标截止时间止提交电子版投标文件的</w:t>
      </w:r>
      <w:r>
        <w:rPr>
          <w:rFonts w:hint="eastAsia" w:ascii="宋体" w:hAnsi="宋体" w:cs="宋体"/>
          <w:color w:val="000000" w:themeColor="text1"/>
          <w:sz w:val="28"/>
          <w:szCs w:val="28"/>
          <w:highlight w:val="none"/>
          <w:lang w:eastAsia="zh-CN"/>
          <w14:textFill>
            <w14:solidFill>
              <w14:schemeClr w14:val="tx1"/>
            </w14:solidFill>
          </w14:textFill>
        </w:rPr>
        <w:t>供应商</w:t>
      </w:r>
      <w:r>
        <w:rPr>
          <w:rFonts w:hint="eastAsia" w:ascii="宋体" w:hAnsi="宋体" w:eastAsia="宋体" w:cs="宋体"/>
          <w:color w:val="000000" w:themeColor="text1"/>
          <w:sz w:val="28"/>
          <w:szCs w:val="28"/>
          <w:highlight w:val="none"/>
          <w14:textFill>
            <w14:solidFill>
              <w14:schemeClr w14:val="tx1"/>
            </w14:solidFill>
          </w14:textFill>
        </w:rPr>
        <w:t>不足3家时，电子版投标文件由代理机构在“政采云”平台操作退回，除此之外采购人和采购代理机构对已提交的投标文件概不退回。</w:t>
      </w:r>
    </w:p>
    <w:p w14:paraId="6C2F8BBC">
      <w:pPr>
        <w:pStyle w:val="4"/>
        <w:keepNext w:val="0"/>
        <w:keepLines w:val="0"/>
        <w:pageBreakBefore w:val="0"/>
        <w:kinsoku/>
        <w:wordWrap/>
        <w:overflowPunct/>
        <w:topLinePunct w:val="0"/>
        <w:bidi w:val="0"/>
        <w:adjustRightInd/>
        <w:snapToGrid/>
        <w:spacing w:line="560" w:lineRule="exact"/>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四、开    标</w:t>
      </w:r>
    </w:p>
    <w:p w14:paraId="7416C4D0">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23.开标时间和地点</w:t>
      </w:r>
    </w:p>
    <w:p w14:paraId="553BC0E2">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23.1开标时间及地点详见“</w:t>
      </w:r>
      <w:r>
        <w:rPr>
          <w:rFonts w:hint="eastAsia" w:ascii="宋体" w:hAnsi="宋体" w:cs="宋体"/>
          <w:bCs/>
          <w:color w:val="000000" w:themeColor="text1"/>
          <w:sz w:val="28"/>
          <w:szCs w:val="28"/>
          <w:highlight w:val="none"/>
          <w:lang w:eastAsia="zh-CN"/>
          <w14:textFill>
            <w14:solidFill>
              <w14:schemeClr w14:val="tx1"/>
            </w14:solidFill>
          </w14:textFill>
        </w:rPr>
        <w:t>供应商</w:t>
      </w:r>
      <w:r>
        <w:rPr>
          <w:rFonts w:hint="eastAsia" w:ascii="宋体" w:hAnsi="宋体" w:eastAsia="宋体" w:cs="宋体"/>
          <w:bCs/>
          <w:color w:val="000000" w:themeColor="text1"/>
          <w:sz w:val="28"/>
          <w:szCs w:val="28"/>
          <w:highlight w:val="none"/>
          <w14:textFill>
            <w14:solidFill>
              <w14:schemeClr w14:val="tx1"/>
            </w14:solidFill>
          </w14:textFill>
        </w:rPr>
        <w:t>须知前附表”</w:t>
      </w:r>
    </w:p>
    <w:p w14:paraId="54D3164F">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23.2如</w:t>
      </w:r>
      <w:r>
        <w:rPr>
          <w:rFonts w:hint="eastAsia" w:ascii="宋体" w:hAnsi="宋体" w:cs="宋体"/>
          <w:bCs/>
          <w:color w:val="000000" w:themeColor="text1"/>
          <w:sz w:val="28"/>
          <w:szCs w:val="28"/>
          <w:highlight w:val="none"/>
          <w:lang w:eastAsia="zh-CN"/>
          <w14:textFill>
            <w14:solidFill>
              <w14:schemeClr w14:val="tx1"/>
            </w14:solidFill>
          </w14:textFill>
        </w:rPr>
        <w:t>供应商</w:t>
      </w:r>
      <w:r>
        <w:rPr>
          <w:rFonts w:hint="eastAsia" w:ascii="宋体" w:hAnsi="宋体" w:eastAsia="宋体" w:cs="宋体"/>
          <w:bCs/>
          <w:color w:val="000000" w:themeColor="text1"/>
          <w:sz w:val="28"/>
          <w:szCs w:val="28"/>
          <w:highlight w:val="none"/>
          <w14:textFill>
            <w14:solidFill>
              <w14:schemeClr w14:val="tx1"/>
            </w14:solidFill>
          </w14:textFill>
        </w:rPr>
        <w:t>成功解密投标文件，但未在“政采云”电子开标大厅参加开标的，视同认可开标过程和结果，</w:t>
      </w:r>
      <w:r>
        <w:rPr>
          <w:rFonts w:hint="eastAsia" w:ascii="宋体" w:hAnsi="宋体" w:eastAsia="宋体" w:cs="宋体"/>
          <w:color w:val="000000" w:themeColor="text1"/>
          <w:sz w:val="28"/>
          <w:szCs w:val="28"/>
          <w:highlight w:val="none"/>
          <w14:textFill>
            <w14:solidFill>
              <w14:schemeClr w14:val="tx1"/>
            </w14:solidFill>
          </w14:textFill>
        </w:rPr>
        <w:t>由此产生的后果由</w:t>
      </w:r>
      <w:r>
        <w:rPr>
          <w:rFonts w:hint="eastAsia" w:ascii="宋体" w:hAnsi="宋体" w:cs="宋体"/>
          <w:color w:val="000000" w:themeColor="text1"/>
          <w:sz w:val="28"/>
          <w:szCs w:val="28"/>
          <w:highlight w:val="none"/>
          <w:lang w:eastAsia="zh-CN"/>
          <w14:textFill>
            <w14:solidFill>
              <w14:schemeClr w14:val="tx1"/>
            </w14:solidFill>
          </w14:textFill>
        </w:rPr>
        <w:t>供应商</w:t>
      </w:r>
      <w:r>
        <w:rPr>
          <w:rFonts w:hint="eastAsia" w:ascii="宋体" w:hAnsi="宋体" w:eastAsia="宋体" w:cs="宋体"/>
          <w:color w:val="000000" w:themeColor="text1"/>
          <w:sz w:val="28"/>
          <w:szCs w:val="28"/>
          <w:highlight w:val="none"/>
          <w14:textFill>
            <w14:solidFill>
              <w14:schemeClr w14:val="tx1"/>
            </w14:solidFill>
          </w14:textFill>
        </w:rPr>
        <w:t xml:space="preserve">自行负责。 </w:t>
      </w:r>
      <w:r>
        <w:rPr>
          <w:rFonts w:hint="eastAsia" w:ascii="宋体" w:hAnsi="宋体" w:cs="宋体"/>
          <w:color w:val="000000" w:themeColor="text1"/>
          <w:sz w:val="28"/>
          <w:szCs w:val="28"/>
          <w:highlight w:val="none"/>
          <w:lang w:eastAsia="zh-CN"/>
          <w14:textFill>
            <w14:solidFill>
              <w14:schemeClr w14:val="tx1"/>
            </w14:solidFill>
          </w14:textFill>
        </w:rPr>
        <w:t>供应商</w:t>
      </w:r>
      <w:r>
        <w:rPr>
          <w:rFonts w:hint="eastAsia" w:ascii="宋体" w:hAnsi="宋体" w:eastAsia="宋体" w:cs="宋体"/>
          <w:color w:val="000000" w:themeColor="text1"/>
          <w:sz w:val="28"/>
          <w:szCs w:val="28"/>
          <w:highlight w:val="none"/>
          <w14:textFill>
            <w14:solidFill>
              <w14:schemeClr w14:val="tx1"/>
            </w14:solidFill>
          </w14:textFill>
        </w:rPr>
        <w:t>不足3家的，不得开标。</w:t>
      </w:r>
    </w:p>
    <w:p w14:paraId="1A41D104">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24.开标程序</w:t>
      </w:r>
    </w:p>
    <w:p w14:paraId="391AD0E9">
      <w:pPr>
        <w:keepNext w:val="0"/>
        <w:keepLines w:val="0"/>
        <w:pageBreakBefore w:val="0"/>
        <w:kinsoku/>
        <w:wordWrap/>
        <w:overflowPunct/>
        <w:topLinePunct w:val="0"/>
        <w:autoSpaceDE w:val="0"/>
        <w:autoSpaceDN w:val="0"/>
        <w:bidi w:val="0"/>
        <w:adjustRightInd/>
        <w:snapToGrid/>
        <w:spacing w:line="560" w:lineRule="exact"/>
        <w:ind w:firstLine="560" w:firstLineChars="200"/>
        <w:jc w:val="both"/>
        <w:rPr>
          <w:rFonts w:hint="eastAsia" w:ascii="宋体" w:hAnsi="宋体" w:eastAsia="宋体" w:cs="宋体"/>
          <w:color w:val="000000" w:themeColor="text1"/>
          <w:kern w:val="0"/>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24.1</w:t>
      </w:r>
      <w:r>
        <w:rPr>
          <w:rFonts w:hint="eastAsia" w:ascii="宋体" w:hAnsi="宋体" w:eastAsia="宋体" w:cs="宋体"/>
          <w:color w:val="000000" w:themeColor="text1"/>
          <w:kern w:val="0"/>
          <w:sz w:val="28"/>
          <w:szCs w:val="28"/>
          <w:highlight w:val="none"/>
          <w14:textFill>
            <w14:solidFill>
              <w14:schemeClr w14:val="tx1"/>
            </w14:solidFill>
          </w14:textFill>
        </w:rPr>
        <w:t>开标形式：</w:t>
      </w:r>
    </w:p>
    <w:p w14:paraId="3303B9F1">
      <w:pPr>
        <w:keepNext w:val="0"/>
        <w:keepLines w:val="0"/>
        <w:pageBreakBefore w:val="0"/>
        <w:kinsoku/>
        <w:wordWrap/>
        <w:overflowPunct/>
        <w:topLinePunct w:val="0"/>
        <w:autoSpaceDE w:val="0"/>
        <w:autoSpaceDN w:val="0"/>
        <w:bidi w:val="0"/>
        <w:adjustRightInd/>
        <w:snapToGrid/>
        <w:spacing w:line="560" w:lineRule="exact"/>
        <w:ind w:firstLine="560" w:firstLineChars="200"/>
        <w:jc w:val="both"/>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w:t>
      </w:r>
      <w:r>
        <w:rPr>
          <w:rFonts w:hint="eastAsia" w:ascii="宋体" w:hAnsi="宋体" w:eastAsia="宋体" w:cs="宋体"/>
          <w:bCs/>
          <w:color w:val="000000" w:themeColor="text1"/>
          <w:sz w:val="28"/>
          <w:szCs w:val="28"/>
          <w:highlight w:val="none"/>
          <w14:textFill>
            <w14:solidFill>
              <w14:schemeClr w14:val="tx1"/>
            </w14:solidFill>
          </w14:textFill>
        </w:rPr>
        <w:t>开标的准备工作由采购代理机构负责落实，采购代理机构必须基于“政采云”平台选取评审专家，如采购代理机构未按规定选取专家的，视为本次开评标无效，应当重新采购；</w:t>
      </w:r>
    </w:p>
    <w:p w14:paraId="6D17611B">
      <w:pPr>
        <w:keepNext w:val="0"/>
        <w:keepLines w:val="0"/>
        <w:pageBreakBefore w:val="0"/>
        <w:kinsoku/>
        <w:wordWrap/>
        <w:overflowPunct/>
        <w:topLinePunct w:val="0"/>
        <w:autoSpaceDE w:val="0"/>
        <w:autoSpaceDN w:val="0"/>
        <w:bidi w:val="0"/>
        <w:adjustRightInd/>
        <w:snapToGrid/>
        <w:spacing w:line="560" w:lineRule="exact"/>
        <w:ind w:firstLine="560" w:firstLineChars="200"/>
        <w:jc w:val="both"/>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（2）采购代理机构将按照招标文件规定的时间通过“政采云”平台组织线上开标活动、开启投标文件，所有供应商均应当准时在线参加。</w:t>
      </w:r>
      <w:r>
        <w:rPr>
          <w:rFonts w:hint="eastAsia" w:ascii="宋体" w:hAnsi="宋体" w:cs="宋体"/>
          <w:bCs/>
          <w:color w:val="000000" w:themeColor="text1"/>
          <w:sz w:val="28"/>
          <w:szCs w:val="28"/>
          <w:highlight w:val="none"/>
          <w:lang w:eastAsia="zh-CN"/>
          <w14:textFill>
            <w14:solidFill>
              <w14:schemeClr w14:val="tx1"/>
            </w14:solidFill>
          </w14:textFill>
        </w:rPr>
        <w:t>供应商</w:t>
      </w:r>
      <w:r>
        <w:rPr>
          <w:rFonts w:hint="eastAsia" w:ascii="宋体" w:hAnsi="宋体" w:eastAsia="宋体" w:cs="宋体"/>
          <w:bCs/>
          <w:color w:val="000000" w:themeColor="text1"/>
          <w:sz w:val="28"/>
          <w:szCs w:val="28"/>
          <w:highlight w:val="none"/>
          <w14:textFill>
            <w14:solidFill>
              <w14:schemeClr w14:val="tx1"/>
            </w14:solidFill>
          </w14:textFill>
        </w:rPr>
        <w:t>如不参加开标大会的，视同认可开标结果，事后不得对采购相关人员、开标过程和开标结果提出异议，同时</w:t>
      </w:r>
      <w:r>
        <w:rPr>
          <w:rFonts w:hint="eastAsia" w:ascii="宋体" w:hAnsi="宋体" w:cs="宋体"/>
          <w:bCs/>
          <w:color w:val="000000" w:themeColor="text1"/>
          <w:sz w:val="28"/>
          <w:szCs w:val="28"/>
          <w:highlight w:val="none"/>
          <w:lang w:eastAsia="zh-CN"/>
          <w14:textFill>
            <w14:solidFill>
              <w14:schemeClr w14:val="tx1"/>
            </w14:solidFill>
          </w14:textFill>
        </w:rPr>
        <w:t>供应商</w:t>
      </w:r>
      <w:r>
        <w:rPr>
          <w:rFonts w:hint="eastAsia" w:ascii="宋体" w:hAnsi="宋体" w:eastAsia="宋体" w:cs="宋体"/>
          <w:bCs/>
          <w:color w:val="000000" w:themeColor="text1"/>
          <w:sz w:val="28"/>
          <w:szCs w:val="28"/>
          <w:highlight w:val="none"/>
          <w14:textFill>
            <w14:solidFill>
              <w14:schemeClr w14:val="tx1"/>
            </w14:solidFill>
          </w14:textFill>
        </w:rPr>
        <w:t>因未在线参加开标而导致投标文件无法按时解密等一切后果由</w:t>
      </w:r>
      <w:r>
        <w:rPr>
          <w:rFonts w:hint="eastAsia" w:ascii="宋体" w:hAnsi="宋体" w:cs="宋体"/>
          <w:bCs/>
          <w:color w:val="000000" w:themeColor="text1"/>
          <w:sz w:val="28"/>
          <w:szCs w:val="28"/>
          <w:highlight w:val="none"/>
          <w:lang w:eastAsia="zh-CN"/>
          <w14:textFill>
            <w14:solidFill>
              <w14:schemeClr w14:val="tx1"/>
            </w14:solidFill>
          </w14:textFill>
        </w:rPr>
        <w:t>供应商</w:t>
      </w:r>
      <w:r>
        <w:rPr>
          <w:rFonts w:hint="eastAsia" w:ascii="宋体" w:hAnsi="宋体" w:eastAsia="宋体" w:cs="宋体"/>
          <w:bCs/>
          <w:color w:val="000000" w:themeColor="text1"/>
          <w:sz w:val="28"/>
          <w:szCs w:val="28"/>
          <w:highlight w:val="none"/>
          <w14:textFill>
            <w14:solidFill>
              <w14:schemeClr w14:val="tx1"/>
            </w14:solidFill>
          </w14:textFill>
        </w:rPr>
        <w:t>自己承担。</w:t>
      </w:r>
    </w:p>
    <w:p w14:paraId="5AE10D42">
      <w:pPr>
        <w:keepNext w:val="0"/>
        <w:keepLines w:val="0"/>
        <w:pageBreakBefore w:val="0"/>
        <w:kinsoku/>
        <w:wordWrap/>
        <w:overflowPunct/>
        <w:topLinePunct w:val="0"/>
        <w:autoSpaceDE w:val="0"/>
        <w:autoSpaceDN w:val="0"/>
        <w:bidi w:val="0"/>
        <w:adjustRightInd/>
        <w:snapToGrid/>
        <w:spacing w:line="560" w:lineRule="exact"/>
        <w:ind w:firstLine="560" w:firstLineChars="200"/>
        <w:jc w:val="both"/>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24.2开标程序：</w:t>
      </w:r>
    </w:p>
    <w:p w14:paraId="3117FED9">
      <w:pPr>
        <w:keepNext w:val="0"/>
        <w:keepLines w:val="0"/>
        <w:pageBreakBefore w:val="0"/>
        <w:kinsoku/>
        <w:wordWrap/>
        <w:overflowPunct/>
        <w:topLinePunct w:val="0"/>
        <w:bidi w:val="0"/>
        <w:adjustRightInd/>
        <w:snapToGrid/>
        <w:spacing w:line="560" w:lineRule="exact"/>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（1）解密电子投标文件。“政采云”平台按开标时间自动提取所有投标文件。采购代理机构依托“政采云”平台向各</w:t>
      </w:r>
      <w:r>
        <w:rPr>
          <w:rFonts w:hint="eastAsia" w:ascii="宋体" w:hAnsi="宋体" w:cs="宋体"/>
          <w:color w:val="000000" w:themeColor="text1"/>
          <w:sz w:val="28"/>
          <w:szCs w:val="28"/>
          <w:highlight w:val="none"/>
          <w:lang w:eastAsia="zh-CN"/>
          <w14:textFill>
            <w14:solidFill>
              <w14:schemeClr w14:val="tx1"/>
            </w14:solidFill>
          </w14:textFill>
        </w:rPr>
        <w:t>供应商</w:t>
      </w:r>
      <w:r>
        <w:rPr>
          <w:rFonts w:hint="eastAsia" w:ascii="宋体" w:hAnsi="宋体" w:eastAsia="宋体" w:cs="宋体"/>
          <w:color w:val="000000" w:themeColor="text1"/>
          <w:sz w:val="28"/>
          <w:szCs w:val="28"/>
          <w:highlight w:val="none"/>
          <w14:textFill>
            <w14:solidFill>
              <w14:schemeClr w14:val="tx1"/>
            </w14:solidFill>
          </w14:textFill>
        </w:rPr>
        <w:t>发出电子加密投标文件【开始解密】通知，由</w:t>
      </w:r>
      <w:r>
        <w:rPr>
          <w:rFonts w:hint="eastAsia" w:ascii="宋体" w:hAnsi="宋体" w:cs="宋体"/>
          <w:color w:val="000000" w:themeColor="text1"/>
          <w:sz w:val="28"/>
          <w:szCs w:val="28"/>
          <w:highlight w:val="none"/>
          <w:lang w:eastAsia="zh-CN"/>
          <w14:textFill>
            <w14:solidFill>
              <w14:schemeClr w14:val="tx1"/>
            </w14:solidFill>
          </w14:textFill>
        </w:rPr>
        <w:t>供应商</w:t>
      </w:r>
      <w:r>
        <w:rPr>
          <w:rFonts w:hint="eastAsia" w:ascii="宋体" w:hAnsi="宋体" w:eastAsia="宋体" w:cs="宋体"/>
          <w:color w:val="000000" w:themeColor="text1"/>
          <w:sz w:val="28"/>
          <w:szCs w:val="28"/>
          <w:highlight w:val="none"/>
          <w14:textFill>
            <w14:solidFill>
              <w14:schemeClr w14:val="tx1"/>
            </w14:solidFill>
          </w14:textFill>
        </w:rPr>
        <w:t>按招标文件规定的时间内自行进行投标文件解密。</w:t>
      </w:r>
      <w:r>
        <w:rPr>
          <w:rFonts w:hint="eastAsia" w:ascii="宋体" w:hAnsi="宋体" w:cs="宋体"/>
          <w:color w:val="000000" w:themeColor="text1"/>
          <w:sz w:val="28"/>
          <w:szCs w:val="28"/>
          <w:highlight w:val="none"/>
          <w:lang w:eastAsia="zh-CN"/>
          <w14:textFill>
            <w14:solidFill>
              <w14:schemeClr w14:val="tx1"/>
            </w14:solidFill>
          </w14:textFill>
        </w:rPr>
        <w:t>供应商</w:t>
      </w:r>
      <w:r>
        <w:rPr>
          <w:rFonts w:hint="eastAsia" w:ascii="宋体" w:hAnsi="宋体" w:eastAsia="宋体" w:cs="宋体"/>
          <w:color w:val="000000" w:themeColor="text1"/>
          <w:sz w:val="28"/>
          <w:szCs w:val="28"/>
          <w:highlight w:val="none"/>
          <w14:textFill>
            <w14:solidFill>
              <w14:schemeClr w14:val="tx1"/>
            </w14:solidFill>
          </w14:textFill>
        </w:rPr>
        <w:t>的法定代表人或其委托代理人须携带加密时所用的CA锁准时登录到“政采云”平台电子开标大厅签到并对电子投标文件解密。开标后5分钟</w:t>
      </w:r>
      <w:r>
        <w:rPr>
          <w:rFonts w:hint="eastAsia" w:ascii="宋体" w:hAnsi="宋体" w:cs="宋体"/>
          <w:color w:val="000000" w:themeColor="text1"/>
          <w:sz w:val="28"/>
          <w:szCs w:val="28"/>
          <w:highlight w:val="none"/>
          <w:lang w:eastAsia="zh-CN"/>
          <w14:textFill>
            <w14:solidFill>
              <w14:schemeClr w14:val="tx1"/>
            </w14:solidFill>
          </w14:textFill>
        </w:rPr>
        <w:t>供应商</w:t>
      </w:r>
      <w:r>
        <w:rPr>
          <w:rFonts w:hint="eastAsia" w:ascii="宋体" w:hAnsi="宋体" w:eastAsia="宋体" w:cs="宋体"/>
          <w:color w:val="000000" w:themeColor="text1"/>
          <w:sz w:val="28"/>
          <w:szCs w:val="28"/>
          <w:highlight w:val="none"/>
          <w14:textFill>
            <w14:solidFill>
              <w14:schemeClr w14:val="tx1"/>
            </w14:solidFill>
          </w14:textFill>
        </w:rPr>
        <w:t>还未进行解密的，代理机构要通知</w:t>
      </w:r>
      <w:r>
        <w:rPr>
          <w:rFonts w:hint="eastAsia" w:ascii="宋体" w:hAnsi="宋体" w:cs="宋体"/>
          <w:color w:val="000000" w:themeColor="text1"/>
          <w:sz w:val="28"/>
          <w:szCs w:val="28"/>
          <w:highlight w:val="none"/>
          <w:lang w:eastAsia="zh-CN"/>
          <w14:textFill>
            <w14:solidFill>
              <w14:schemeClr w14:val="tx1"/>
            </w14:solidFill>
          </w14:textFill>
        </w:rPr>
        <w:t>供应商</w:t>
      </w:r>
      <w:r>
        <w:rPr>
          <w:rFonts w:hint="eastAsia" w:ascii="宋体" w:hAnsi="宋体" w:eastAsia="宋体" w:cs="宋体"/>
          <w:color w:val="000000" w:themeColor="text1"/>
          <w:sz w:val="28"/>
          <w:szCs w:val="28"/>
          <w:highlight w:val="none"/>
          <w14:textFill>
            <w14:solidFill>
              <w14:schemeClr w14:val="tx1"/>
            </w14:solidFill>
          </w14:textFill>
        </w:rPr>
        <w:t>。通知后，投标文件仍未按时解密，或者</w:t>
      </w:r>
      <w:r>
        <w:rPr>
          <w:rFonts w:hint="eastAsia" w:ascii="宋体" w:hAnsi="宋体" w:cs="宋体"/>
          <w:color w:val="000000" w:themeColor="text1"/>
          <w:sz w:val="28"/>
          <w:szCs w:val="28"/>
          <w:highlight w:val="none"/>
          <w:lang w:eastAsia="zh-CN"/>
          <w14:textFill>
            <w14:solidFill>
              <w14:schemeClr w14:val="tx1"/>
            </w14:solidFill>
          </w14:textFill>
        </w:rPr>
        <w:t>供应商</w:t>
      </w:r>
      <w:r>
        <w:rPr>
          <w:rFonts w:hint="eastAsia" w:ascii="宋体" w:hAnsi="宋体" w:eastAsia="宋体" w:cs="宋体"/>
          <w:color w:val="000000" w:themeColor="text1"/>
          <w:sz w:val="28"/>
          <w:szCs w:val="28"/>
          <w:highlight w:val="none"/>
          <w14:textFill>
            <w14:solidFill>
              <w14:schemeClr w14:val="tx1"/>
            </w14:solidFill>
          </w14:textFill>
        </w:rPr>
        <w:t>没预留联系方式或预留联系方式无效，导致代理机构无法联系到</w:t>
      </w:r>
      <w:r>
        <w:rPr>
          <w:rFonts w:hint="eastAsia" w:ascii="宋体" w:hAnsi="宋体" w:cs="宋体"/>
          <w:color w:val="000000" w:themeColor="text1"/>
          <w:sz w:val="28"/>
          <w:szCs w:val="28"/>
          <w:highlight w:val="none"/>
          <w:lang w:eastAsia="zh-CN"/>
          <w14:textFill>
            <w14:solidFill>
              <w14:schemeClr w14:val="tx1"/>
            </w14:solidFill>
          </w14:textFill>
        </w:rPr>
        <w:t>供应商</w:t>
      </w:r>
      <w:r>
        <w:rPr>
          <w:rFonts w:hint="eastAsia" w:ascii="宋体" w:hAnsi="宋体" w:eastAsia="宋体" w:cs="宋体"/>
          <w:color w:val="000000" w:themeColor="text1"/>
          <w:sz w:val="28"/>
          <w:szCs w:val="28"/>
          <w:highlight w:val="none"/>
          <w14:textFill>
            <w14:solidFill>
              <w14:schemeClr w14:val="tx1"/>
            </w14:solidFill>
          </w14:textFill>
        </w:rPr>
        <w:t>进行解密的，均视为无效投标。</w:t>
      </w:r>
    </w:p>
    <w:p w14:paraId="3C18B016">
      <w:pPr>
        <w:keepNext w:val="0"/>
        <w:keepLines w:val="0"/>
        <w:pageBreakBefore w:val="0"/>
        <w:kinsoku/>
        <w:wordWrap/>
        <w:overflowPunct/>
        <w:topLinePunct w:val="0"/>
        <w:bidi w:val="0"/>
        <w:adjustRightInd/>
        <w:snapToGrid/>
        <w:spacing w:line="560" w:lineRule="exact"/>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（解密异常情况处理：详见本章29.3 电子交易活动的中止。）</w:t>
      </w:r>
    </w:p>
    <w:p w14:paraId="79F9C883">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（2）</w:t>
      </w:r>
      <w:r>
        <w:rPr>
          <w:rFonts w:hint="eastAsia" w:ascii="宋体" w:hAnsi="宋体" w:eastAsia="宋体" w:cs="宋体"/>
          <w:b w:val="0"/>
          <w:bCs/>
          <w:color w:val="000000" w:themeColor="text1"/>
          <w:sz w:val="28"/>
          <w:szCs w:val="28"/>
          <w:highlight w:val="none"/>
          <w14:textFill>
            <w14:solidFill>
              <w14:schemeClr w14:val="tx1"/>
            </w14:solidFill>
          </w14:textFill>
        </w:rPr>
        <w:t>电子唱标。</w:t>
      </w:r>
      <w:r>
        <w:rPr>
          <w:rFonts w:hint="eastAsia" w:ascii="宋体" w:hAnsi="宋体" w:eastAsia="宋体" w:cs="宋体"/>
          <w:color w:val="000000" w:themeColor="text1"/>
          <w:sz w:val="28"/>
          <w:szCs w:val="28"/>
          <w:highlight w:val="none"/>
          <w14:textFill>
            <w14:solidFill>
              <w14:schemeClr w14:val="tx1"/>
            </w14:solidFill>
          </w14:textFill>
        </w:rPr>
        <w:t>投标文件解密结束，各投标供应商报价均在“政采云”平台远程不见面开标大厅展示；</w:t>
      </w:r>
    </w:p>
    <w:p w14:paraId="7A660DFA">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（3）</w:t>
      </w:r>
      <w:r>
        <w:rPr>
          <w:rFonts w:hint="eastAsia" w:ascii="宋体" w:hAnsi="宋体" w:eastAsia="宋体" w:cs="宋体"/>
          <w:b w:val="0"/>
          <w:bCs/>
          <w:color w:val="000000" w:themeColor="text1"/>
          <w:sz w:val="28"/>
          <w:szCs w:val="28"/>
          <w:highlight w:val="none"/>
          <w14:textFill>
            <w14:solidFill>
              <w14:schemeClr w14:val="tx1"/>
            </w14:solidFill>
          </w14:textFill>
        </w:rPr>
        <w:t>签署电子《政府采购活动现场确认声明书》。</w:t>
      </w:r>
      <w:r>
        <w:rPr>
          <w:rFonts w:hint="eastAsia" w:ascii="宋体" w:hAnsi="宋体" w:eastAsia="宋体" w:cs="宋体"/>
          <w:color w:val="000000" w:themeColor="text1"/>
          <w:sz w:val="28"/>
          <w:szCs w:val="28"/>
          <w:highlight w:val="none"/>
          <w14:textFill>
            <w14:solidFill>
              <w14:schemeClr w14:val="tx1"/>
            </w14:solidFill>
          </w14:textFill>
        </w:rPr>
        <w:t>通过邮件形式在远程不见面开标大厅发送各</w:t>
      </w:r>
      <w:r>
        <w:rPr>
          <w:rFonts w:hint="eastAsia" w:ascii="宋体" w:hAnsi="宋体" w:cs="宋体"/>
          <w:color w:val="000000" w:themeColor="text1"/>
          <w:sz w:val="28"/>
          <w:szCs w:val="28"/>
          <w:highlight w:val="none"/>
          <w:lang w:eastAsia="zh-CN"/>
          <w14:textFill>
            <w14:solidFill>
              <w14:schemeClr w14:val="tx1"/>
            </w14:solidFill>
          </w14:textFill>
        </w:rPr>
        <w:t>供应商</w:t>
      </w:r>
      <w:r>
        <w:rPr>
          <w:rFonts w:hint="eastAsia" w:ascii="宋体" w:hAnsi="宋体" w:eastAsia="宋体" w:cs="宋体"/>
          <w:color w:val="000000" w:themeColor="text1"/>
          <w:sz w:val="28"/>
          <w:szCs w:val="28"/>
          <w:highlight w:val="none"/>
          <w14:textFill>
            <w14:solidFill>
              <w14:schemeClr w14:val="tx1"/>
            </w14:solidFill>
          </w14:textFill>
        </w:rPr>
        <w:t>签署电子《政府采购活动现场确认声明书》。</w:t>
      </w:r>
    </w:p>
    <w:p w14:paraId="0E2D7B2E">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（4）开标过程由采购代理机构如实记录，并电子留痕，由参加电子开标的各</w:t>
      </w:r>
      <w:r>
        <w:rPr>
          <w:rFonts w:hint="eastAsia" w:ascii="宋体" w:hAnsi="宋体" w:cs="宋体"/>
          <w:bCs/>
          <w:color w:val="000000" w:themeColor="text1"/>
          <w:sz w:val="28"/>
          <w:szCs w:val="28"/>
          <w:highlight w:val="none"/>
          <w:lang w:eastAsia="zh-CN"/>
          <w14:textFill>
            <w14:solidFill>
              <w14:schemeClr w14:val="tx1"/>
            </w14:solidFill>
          </w14:textFill>
        </w:rPr>
        <w:t>供应商</w:t>
      </w:r>
      <w:r>
        <w:rPr>
          <w:rFonts w:hint="eastAsia" w:ascii="宋体" w:hAnsi="宋体" w:eastAsia="宋体" w:cs="宋体"/>
          <w:bCs/>
          <w:color w:val="000000" w:themeColor="text1"/>
          <w:sz w:val="28"/>
          <w:szCs w:val="28"/>
          <w:highlight w:val="none"/>
          <w14:textFill>
            <w14:solidFill>
              <w14:schemeClr w14:val="tx1"/>
            </w14:solidFill>
          </w14:textFill>
        </w:rPr>
        <w:t>代表对电子开标记录在开标记录公布后15分钟内进行当场校核及勘误，并线上确认，未确认的视同认可开标结果。</w:t>
      </w:r>
    </w:p>
    <w:p w14:paraId="093D835D">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（5）</w:t>
      </w:r>
      <w:r>
        <w:rPr>
          <w:rFonts w:hint="eastAsia" w:ascii="宋体" w:hAnsi="宋体" w:cs="宋体"/>
          <w:bCs/>
          <w:color w:val="000000" w:themeColor="text1"/>
          <w:sz w:val="28"/>
          <w:szCs w:val="28"/>
          <w:highlight w:val="none"/>
          <w:lang w:eastAsia="zh-CN"/>
          <w14:textFill>
            <w14:solidFill>
              <w14:schemeClr w14:val="tx1"/>
            </w14:solidFill>
          </w14:textFill>
        </w:rPr>
        <w:t>供应商</w:t>
      </w:r>
      <w:r>
        <w:rPr>
          <w:rFonts w:hint="eastAsia" w:ascii="宋体" w:hAnsi="宋体" w:eastAsia="宋体" w:cs="宋体"/>
          <w:bCs/>
          <w:color w:val="000000" w:themeColor="text1"/>
          <w:sz w:val="28"/>
          <w:szCs w:val="28"/>
          <w:highlight w:val="none"/>
          <w14:textFill>
            <w14:solidFill>
              <w14:schemeClr w14:val="tx1"/>
            </w14:solidFill>
          </w14:textFill>
        </w:rPr>
        <w:t>代表对开标过程和开标记录有疑义，以及认为采购人、采购代理机构相关工作人员有需要回避的情形的，应当场提出在线询问或者回避申请。采购人、采购代理机构对</w:t>
      </w:r>
      <w:r>
        <w:rPr>
          <w:rFonts w:hint="eastAsia" w:ascii="宋体" w:hAnsi="宋体" w:cs="宋体"/>
          <w:bCs/>
          <w:color w:val="000000" w:themeColor="text1"/>
          <w:sz w:val="28"/>
          <w:szCs w:val="28"/>
          <w:highlight w:val="none"/>
          <w:lang w:eastAsia="zh-CN"/>
          <w14:textFill>
            <w14:solidFill>
              <w14:schemeClr w14:val="tx1"/>
            </w14:solidFill>
          </w14:textFill>
        </w:rPr>
        <w:t>供应商</w:t>
      </w:r>
      <w:r>
        <w:rPr>
          <w:rFonts w:hint="eastAsia" w:ascii="宋体" w:hAnsi="宋体" w:eastAsia="宋体" w:cs="宋体"/>
          <w:bCs/>
          <w:color w:val="000000" w:themeColor="text1"/>
          <w:sz w:val="28"/>
          <w:szCs w:val="28"/>
          <w:highlight w:val="none"/>
          <w14:textFill>
            <w14:solidFill>
              <w14:schemeClr w14:val="tx1"/>
            </w14:solidFill>
          </w14:textFill>
        </w:rPr>
        <w:t>代表提出的询问或者回避申请应当及时处理。</w:t>
      </w:r>
    </w:p>
    <w:p w14:paraId="686676FD">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（6）开标结束。</w:t>
      </w:r>
    </w:p>
    <w:p w14:paraId="4792357D">
      <w:pPr>
        <w:pStyle w:val="17"/>
        <w:keepNext w:val="0"/>
        <w:keepLines w:val="0"/>
        <w:pageBreakBefore w:val="0"/>
        <w:kinsoku/>
        <w:wordWrap/>
        <w:overflowPunct/>
        <w:topLinePunct w:val="0"/>
        <w:bidi w:val="0"/>
        <w:adjustRightInd/>
        <w:snapToGrid/>
        <w:spacing w:line="560" w:lineRule="exact"/>
        <w:jc w:val="both"/>
        <w:rPr>
          <w:rFonts w:hint="eastAsia" w:ascii="宋体" w:hAnsi="宋体" w:eastAsia="宋体" w:cs="宋体"/>
          <w:b w:val="0"/>
          <w:bCs w:val="0"/>
          <w:color w:val="000000" w:themeColor="text1"/>
          <w:sz w:val="28"/>
          <w:szCs w:val="28"/>
          <w:highlight w:val="none"/>
          <w14:textFill>
            <w14:solidFill>
              <w14:schemeClr w14:val="tx1"/>
            </w14:solidFill>
          </w14:textFill>
        </w:rPr>
      </w:pPr>
      <w:r>
        <w:rPr>
          <w:rFonts w:hint="eastAsia" w:ascii="宋体" w:hAnsi="宋体" w:eastAsia="宋体" w:cs="宋体"/>
          <w:b w:val="0"/>
          <w:bCs w:val="0"/>
          <w:color w:val="000000" w:themeColor="text1"/>
          <w:sz w:val="28"/>
          <w:szCs w:val="28"/>
          <w:highlight w:val="none"/>
          <w14:textFill>
            <w14:solidFill>
              <w14:schemeClr w14:val="tx1"/>
            </w14:solidFill>
          </w14:textFill>
        </w:rPr>
        <w:t>特别说明：如遇“政采云”平台电子化开标或评审程序调整的，按调整后执行。</w:t>
      </w:r>
    </w:p>
    <w:p w14:paraId="7A237481">
      <w:pPr>
        <w:pStyle w:val="4"/>
        <w:keepNext w:val="0"/>
        <w:keepLines w:val="0"/>
        <w:pageBreakBefore w:val="0"/>
        <w:kinsoku/>
        <w:wordWrap/>
        <w:overflowPunct/>
        <w:topLinePunct w:val="0"/>
        <w:bidi w:val="0"/>
        <w:adjustRightInd/>
        <w:snapToGrid/>
        <w:spacing w:line="560" w:lineRule="exact"/>
        <w:jc w:val="both"/>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t>五、资格审查</w:t>
      </w:r>
    </w:p>
    <w:p w14:paraId="66859A01">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b w:val="0"/>
          <w:bCs w:val="0"/>
          <w:color w:val="000000" w:themeColor="text1"/>
          <w:sz w:val="28"/>
          <w:szCs w:val="28"/>
          <w:highlight w:val="none"/>
          <w14:textFill>
            <w14:solidFill>
              <w14:schemeClr w14:val="tx1"/>
            </w14:solidFill>
          </w14:textFill>
        </w:rPr>
      </w:pPr>
      <w:r>
        <w:rPr>
          <w:rFonts w:hint="eastAsia" w:ascii="宋体" w:hAnsi="宋体" w:eastAsia="宋体" w:cs="宋体"/>
          <w:b w:val="0"/>
          <w:bCs w:val="0"/>
          <w:color w:val="000000" w:themeColor="text1"/>
          <w:sz w:val="28"/>
          <w:szCs w:val="28"/>
          <w:highlight w:val="none"/>
          <w14:textFill>
            <w14:solidFill>
              <w14:schemeClr w14:val="tx1"/>
            </w14:solidFill>
          </w14:textFill>
        </w:rPr>
        <w:t>25.资格审查</w:t>
      </w:r>
    </w:p>
    <w:p w14:paraId="3AACB31B">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宋体" w:hAnsi="宋体" w:eastAsia="宋体" w:cs="宋体"/>
          <w:b w:val="0"/>
          <w:bCs w:val="0"/>
          <w:color w:val="000000" w:themeColor="text1"/>
          <w:sz w:val="28"/>
          <w:szCs w:val="28"/>
          <w:highlight w:val="none"/>
          <w14:textFill>
            <w14:solidFill>
              <w14:schemeClr w14:val="tx1"/>
            </w14:solidFill>
          </w14:textFill>
        </w:rPr>
      </w:pPr>
      <w:r>
        <w:rPr>
          <w:rFonts w:hint="eastAsia" w:ascii="宋体" w:hAnsi="宋体" w:eastAsia="宋体" w:cs="宋体"/>
          <w:b w:val="0"/>
          <w:bCs w:val="0"/>
          <w:color w:val="000000" w:themeColor="text1"/>
          <w:sz w:val="28"/>
          <w:szCs w:val="28"/>
          <w:highlight w:val="none"/>
          <w14:textFill>
            <w14:solidFill>
              <w14:schemeClr w14:val="tx1"/>
            </w14:solidFill>
          </w14:textFill>
        </w:rPr>
        <w:t xml:space="preserve"> 25.1开标结束后，采购人或评标委员会依法通过电子投标文件对</w:t>
      </w:r>
      <w:r>
        <w:rPr>
          <w:rFonts w:hint="eastAsia" w:ascii="宋体" w:hAnsi="宋体" w:cs="宋体"/>
          <w:b w:val="0"/>
          <w:bCs w:val="0"/>
          <w:color w:val="000000" w:themeColor="text1"/>
          <w:sz w:val="28"/>
          <w:szCs w:val="28"/>
          <w:highlight w:val="none"/>
          <w:lang w:eastAsia="zh-CN"/>
          <w14:textFill>
            <w14:solidFill>
              <w14:schemeClr w14:val="tx1"/>
            </w14:solidFill>
          </w14:textFill>
        </w:rPr>
        <w:t>供应商</w:t>
      </w:r>
      <w:r>
        <w:rPr>
          <w:rFonts w:hint="eastAsia" w:ascii="宋体" w:hAnsi="宋体" w:eastAsia="宋体" w:cs="宋体"/>
          <w:b w:val="0"/>
          <w:bCs w:val="0"/>
          <w:color w:val="000000" w:themeColor="text1"/>
          <w:sz w:val="28"/>
          <w:szCs w:val="28"/>
          <w:highlight w:val="none"/>
          <w14:textFill>
            <w14:solidFill>
              <w14:schemeClr w14:val="tx1"/>
            </w14:solidFill>
          </w14:textFill>
        </w:rPr>
        <w:t>的资格进行线上审查。</w:t>
      </w:r>
    </w:p>
    <w:p w14:paraId="742EADA6">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宋体" w:hAnsi="宋体" w:eastAsia="宋体" w:cs="宋体"/>
          <w:b w:val="0"/>
          <w:bCs w:val="0"/>
          <w:color w:val="000000" w:themeColor="text1"/>
          <w:sz w:val="28"/>
          <w:szCs w:val="28"/>
          <w:highlight w:val="none"/>
          <w14:textFill>
            <w14:solidFill>
              <w14:schemeClr w14:val="tx1"/>
            </w14:solidFill>
          </w14:textFill>
        </w:rPr>
      </w:pPr>
      <w:r>
        <w:rPr>
          <w:rFonts w:hint="eastAsia" w:ascii="宋体" w:hAnsi="宋体" w:eastAsia="宋体" w:cs="宋体"/>
          <w:b w:val="0"/>
          <w:bCs w:val="0"/>
          <w:color w:val="000000" w:themeColor="text1"/>
          <w:sz w:val="28"/>
          <w:szCs w:val="28"/>
          <w:highlight w:val="none"/>
          <w14:textFill>
            <w14:solidFill>
              <w14:schemeClr w14:val="tx1"/>
            </w14:solidFill>
          </w14:textFill>
        </w:rPr>
        <w:t xml:space="preserve"> 25.2采购人或评标委员会依据法律法规和招标文件的规定，对</w:t>
      </w:r>
      <w:r>
        <w:rPr>
          <w:rFonts w:hint="eastAsia" w:ascii="宋体" w:hAnsi="宋体" w:cs="宋体"/>
          <w:b w:val="0"/>
          <w:bCs w:val="0"/>
          <w:color w:val="000000" w:themeColor="text1"/>
          <w:sz w:val="28"/>
          <w:szCs w:val="28"/>
          <w:highlight w:val="none"/>
          <w:lang w:eastAsia="zh-CN"/>
          <w14:textFill>
            <w14:solidFill>
              <w14:schemeClr w14:val="tx1"/>
            </w14:solidFill>
          </w14:textFill>
        </w:rPr>
        <w:t>供应商</w:t>
      </w:r>
      <w:r>
        <w:rPr>
          <w:rFonts w:hint="eastAsia" w:ascii="宋体" w:hAnsi="宋体" w:eastAsia="宋体" w:cs="宋体"/>
          <w:b w:val="0"/>
          <w:bCs w:val="0"/>
          <w:color w:val="000000" w:themeColor="text1"/>
          <w:sz w:val="28"/>
          <w:szCs w:val="28"/>
          <w:highlight w:val="none"/>
          <w14:textFill>
            <w14:solidFill>
              <w14:schemeClr w14:val="tx1"/>
            </w14:solidFill>
          </w14:textFill>
        </w:rPr>
        <w:t>的基本资格条件、特定资格条件进行审查。</w:t>
      </w:r>
    </w:p>
    <w:p w14:paraId="622AE523">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25.3资格审查标准为本“招标文件”中“</w:t>
      </w:r>
      <w:r>
        <w:rPr>
          <w:rFonts w:hint="eastAsia" w:ascii="宋体" w:hAnsi="宋体" w:cs="宋体"/>
          <w:color w:val="000000" w:themeColor="text1"/>
          <w:sz w:val="28"/>
          <w:szCs w:val="28"/>
          <w:highlight w:val="none"/>
          <w:lang w:eastAsia="zh-CN"/>
          <w14:textFill>
            <w14:solidFill>
              <w14:schemeClr w14:val="tx1"/>
            </w14:solidFill>
          </w14:textFill>
        </w:rPr>
        <w:t>供应商</w:t>
      </w:r>
      <w:r>
        <w:rPr>
          <w:rFonts w:hint="eastAsia" w:ascii="宋体" w:hAnsi="宋体" w:eastAsia="宋体" w:cs="宋体"/>
          <w:color w:val="000000" w:themeColor="text1"/>
          <w:sz w:val="28"/>
          <w:szCs w:val="28"/>
          <w:highlight w:val="none"/>
          <w14:textFill>
            <w14:solidFill>
              <w14:schemeClr w14:val="tx1"/>
            </w14:solidFill>
          </w14:textFill>
        </w:rPr>
        <w:t>须知前附表”13.1点载明对</w:t>
      </w:r>
      <w:r>
        <w:rPr>
          <w:rFonts w:hint="eastAsia" w:ascii="宋体" w:hAnsi="宋体" w:cs="宋体"/>
          <w:color w:val="000000" w:themeColor="text1"/>
          <w:sz w:val="28"/>
          <w:szCs w:val="28"/>
          <w:highlight w:val="none"/>
          <w:lang w:eastAsia="zh-CN"/>
          <w14:textFill>
            <w14:solidFill>
              <w14:schemeClr w14:val="tx1"/>
            </w14:solidFill>
          </w14:textFill>
        </w:rPr>
        <w:t>供应商</w:t>
      </w:r>
      <w:r>
        <w:rPr>
          <w:rFonts w:hint="eastAsia" w:ascii="宋体" w:hAnsi="宋体" w:eastAsia="宋体" w:cs="宋体"/>
          <w:color w:val="000000" w:themeColor="text1"/>
          <w:sz w:val="28"/>
          <w:szCs w:val="28"/>
          <w:highlight w:val="none"/>
          <w14:textFill>
            <w14:solidFill>
              <w14:schemeClr w14:val="tx1"/>
            </w14:solidFill>
          </w14:textFill>
        </w:rPr>
        <w:t>资格要求的条件。本项目资格审查采用合格制，凡符合招标文件规定的</w:t>
      </w:r>
      <w:r>
        <w:rPr>
          <w:rFonts w:hint="eastAsia" w:ascii="宋体" w:hAnsi="宋体" w:cs="宋体"/>
          <w:color w:val="000000" w:themeColor="text1"/>
          <w:sz w:val="28"/>
          <w:szCs w:val="28"/>
          <w:highlight w:val="none"/>
          <w:lang w:eastAsia="zh-CN"/>
          <w14:textFill>
            <w14:solidFill>
              <w14:schemeClr w14:val="tx1"/>
            </w14:solidFill>
          </w14:textFill>
        </w:rPr>
        <w:t>供应商</w:t>
      </w:r>
      <w:r>
        <w:rPr>
          <w:rFonts w:hint="eastAsia" w:ascii="宋体" w:hAnsi="宋体" w:eastAsia="宋体" w:cs="宋体"/>
          <w:color w:val="000000" w:themeColor="text1"/>
          <w:sz w:val="28"/>
          <w:szCs w:val="28"/>
          <w:highlight w:val="none"/>
          <w14:textFill>
            <w14:solidFill>
              <w14:schemeClr w14:val="tx1"/>
            </w14:solidFill>
          </w14:textFill>
        </w:rPr>
        <w:t>资格要求的</w:t>
      </w:r>
      <w:r>
        <w:rPr>
          <w:rFonts w:hint="eastAsia" w:ascii="宋体" w:hAnsi="宋体" w:cs="宋体"/>
          <w:color w:val="000000" w:themeColor="text1"/>
          <w:sz w:val="28"/>
          <w:szCs w:val="28"/>
          <w:highlight w:val="none"/>
          <w:lang w:eastAsia="zh-CN"/>
          <w14:textFill>
            <w14:solidFill>
              <w14:schemeClr w14:val="tx1"/>
            </w14:solidFill>
          </w14:textFill>
        </w:rPr>
        <w:t>供应商</w:t>
      </w:r>
      <w:r>
        <w:rPr>
          <w:rFonts w:hint="eastAsia" w:ascii="宋体" w:hAnsi="宋体" w:eastAsia="宋体" w:cs="宋体"/>
          <w:color w:val="000000" w:themeColor="text1"/>
          <w:sz w:val="28"/>
          <w:szCs w:val="28"/>
          <w:highlight w:val="none"/>
          <w14:textFill>
            <w14:solidFill>
              <w14:schemeClr w14:val="tx1"/>
            </w14:solidFill>
          </w14:textFill>
        </w:rPr>
        <w:t>均通过资格审查。</w:t>
      </w:r>
    </w:p>
    <w:p w14:paraId="7146CF99">
      <w:pPr>
        <w:keepNext w:val="0"/>
        <w:keepLines w:val="0"/>
        <w:pageBreakBefore w:val="0"/>
        <w:kinsoku/>
        <w:wordWrap/>
        <w:overflowPunct/>
        <w:topLinePunct w:val="0"/>
        <w:bidi w:val="0"/>
        <w:adjustRightInd/>
        <w:snapToGrid/>
        <w:spacing w:line="560" w:lineRule="exact"/>
        <w:ind w:firstLine="562" w:firstLineChars="200"/>
        <w:jc w:val="both"/>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t>25.4</w:t>
      </w:r>
      <w:r>
        <w:rPr>
          <w:rFonts w:hint="eastAsia" w:ascii="宋体" w:hAnsi="宋体" w:cs="宋体"/>
          <w:b/>
          <w:bCs/>
          <w:color w:val="000000" w:themeColor="text1"/>
          <w:sz w:val="28"/>
          <w:szCs w:val="28"/>
          <w:highlight w:val="none"/>
          <w:lang w:eastAsia="zh-CN"/>
          <w14:textFill>
            <w14:solidFill>
              <w14:schemeClr w14:val="tx1"/>
            </w14:solidFill>
          </w14:textFill>
        </w:rPr>
        <w:t>供应商</w:t>
      </w:r>
      <w:r>
        <w:rPr>
          <w:rFonts w:hint="eastAsia" w:ascii="宋体" w:hAnsi="宋体" w:eastAsia="宋体" w:cs="宋体"/>
          <w:b/>
          <w:bCs/>
          <w:color w:val="000000" w:themeColor="text1"/>
          <w:sz w:val="28"/>
          <w:szCs w:val="28"/>
          <w:highlight w:val="none"/>
          <w14:textFill>
            <w14:solidFill>
              <w14:schemeClr w14:val="tx1"/>
            </w14:solidFill>
          </w14:textFill>
        </w:rPr>
        <w:t>有下列情形之一的，资格审查不通过，作无效投标处理：</w:t>
      </w:r>
    </w:p>
    <w:p w14:paraId="2F413144">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（1）不具备招标文件中规定的资格要求的；（注：其中信用查询规则见“</w:t>
      </w:r>
      <w:r>
        <w:rPr>
          <w:rFonts w:hint="eastAsia" w:ascii="宋体" w:hAnsi="宋体" w:cs="宋体"/>
          <w:color w:val="000000" w:themeColor="text1"/>
          <w:sz w:val="28"/>
          <w:szCs w:val="28"/>
          <w:highlight w:val="none"/>
          <w:lang w:eastAsia="zh-CN"/>
          <w14:textFill>
            <w14:solidFill>
              <w14:schemeClr w14:val="tx1"/>
            </w14:solidFill>
          </w14:textFill>
        </w:rPr>
        <w:t>供应商</w:t>
      </w:r>
      <w:r>
        <w:rPr>
          <w:rFonts w:hint="eastAsia" w:ascii="宋体" w:hAnsi="宋体" w:eastAsia="宋体" w:cs="宋体"/>
          <w:color w:val="000000" w:themeColor="text1"/>
          <w:sz w:val="28"/>
          <w:szCs w:val="28"/>
          <w:highlight w:val="none"/>
          <w14:textFill>
            <w14:solidFill>
              <w14:schemeClr w14:val="tx1"/>
            </w14:solidFill>
          </w14:textFill>
        </w:rPr>
        <w:t>须知前附表”，“政采云”平台已与“信用中国”平台做接口，审查专家可直接在线查询）</w:t>
      </w:r>
    </w:p>
    <w:p w14:paraId="2EE0B6FF">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（2）投标文件未提供任一项“</w:t>
      </w:r>
      <w:r>
        <w:rPr>
          <w:rFonts w:hint="eastAsia" w:ascii="宋体" w:hAnsi="宋体" w:cs="宋体"/>
          <w:color w:val="000000" w:themeColor="text1"/>
          <w:sz w:val="28"/>
          <w:szCs w:val="28"/>
          <w:highlight w:val="none"/>
          <w:lang w:eastAsia="zh-CN"/>
          <w14:textFill>
            <w14:solidFill>
              <w14:schemeClr w14:val="tx1"/>
            </w14:solidFill>
          </w14:textFill>
        </w:rPr>
        <w:t>供应商</w:t>
      </w:r>
      <w:r>
        <w:rPr>
          <w:rFonts w:hint="eastAsia" w:ascii="宋体" w:hAnsi="宋体" w:eastAsia="宋体" w:cs="宋体"/>
          <w:color w:val="000000" w:themeColor="text1"/>
          <w:sz w:val="28"/>
          <w:szCs w:val="28"/>
          <w:highlight w:val="none"/>
          <w14:textFill>
            <w14:solidFill>
              <w14:schemeClr w14:val="tx1"/>
            </w14:solidFill>
          </w14:textFill>
        </w:rPr>
        <w:t>须知前附表”资格证明文件规定的“必须提供”的文件资料的；</w:t>
      </w:r>
    </w:p>
    <w:p w14:paraId="044CAD8F">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（3）投标文件提供的资格证明文件出现任一项不符合“</w:t>
      </w:r>
      <w:r>
        <w:rPr>
          <w:rFonts w:hint="eastAsia" w:ascii="宋体" w:hAnsi="宋体" w:cs="宋体"/>
          <w:color w:val="000000" w:themeColor="text1"/>
          <w:sz w:val="28"/>
          <w:szCs w:val="28"/>
          <w:highlight w:val="none"/>
          <w:lang w:eastAsia="zh-CN"/>
          <w14:textFill>
            <w14:solidFill>
              <w14:schemeClr w14:val="tx1"/>
            </w14:solidFill>
          </w14:textFill>
        </w:rPr>
        <w:t>供应商</w:t>
      </w:r>
      <w:r>
        <w:rPr>
          <w:rFonts w:hint="eastAsia" w:ascii="宋体" w:hAnsi="宋体" w:eastAsia="宋体" w:cs="宋体"/>
          <w:color w:val="000000" w:themeColor="text1"/>
          <w:sz w:val="28"/>
          <w:szCs w:val="28"/>
          <w:highlight w:val="none"/>
          <w14:textFill>
            <w14:solidFill>
              <w14:schemeClr w14:val="tx1"/>
            </w14:solidFill>
          </w14:textFill>
        </w:rPr>
        <w:t>须知前附表”资格证明文件规定的“必须提供”的文件资料要求或者无效的。</w:t>
      </w:r>
    </w:p>
    <w:p w14:paraId="1CE6432C">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25.5资格审查的合格</w:t>
      </w:r>
      <w:r>
        <w:rPr>
          <w:rFonts w:hint="eastAsia" w:ascii="宋体" w:hAnsi="宋体" w:eastAsia="宋体" w:cs="宋体"/>
          <w:color w:val="000000" w:themeColor="text1"/>
          <w:sz w:val="28"/>
          <w:szCs w:val="28"/>
          <w:highlight w:val="none"/>
          <w:lang w:eastAsia="zh-CN"/>
          <w14:textFill>
            <w14:solidFill>
              <w14:schemeClr w14:val="tx1"/>
            </w14:solidFill>
          </w14:textFill>
        </w:rPr>
        <w:t>供应商</w:t>
      </w:r>
      <w:r>
        <w:rPr>
          <w:rFonts w:hint="eastAsia" w:ascii="宋体" w:hAnsi="宋体" w:eastAsia="宋体" w:cs="宋体"/>
          <w:color w:val="000000" w:themeColor="text1"/>
          <w:sz w:val="28"/>
          <w:szCs w:val="28"/>
          <w:highlight w:val="none"/>
          <w14:textFill>
            <w14:solidFill>
              <w14:schemeClr w14:val="tx1"/>
            </w14:solidFill>
          </w14:textFill>
        </w:rPr>
        <w:t>不足3家的，不得进行下一步工作。</w:t>
      </w:r>
    </w:p>
    <w:p w14:paraId="3A86F9CE">
      <w:pPr>
        <w:pStyle w:val="4"/>
        <w:keepNext w:val="0"/>
        <w:keepLines w:val="0"/>
        <w:pageBreakBefore w:val="0"/>
        <w:kinsoku/>
        <w:wordWrap/>
        <w:overflowPunct/>
        <w:topLinePunct w:val="0"/>
        <w:bidi w:val="0"/>
        <w:adjustRightInd/>
        <w:snapToGrid/>
        <w:spacing w:line="560" w:lineRule="exact"/>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六、评   标</w:t>
      </w:r>
    </w:p>
    <w:p w14:paraId="16B9DAAA">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26.组建评标委员会</w:t>
      </w:r>
    </w:p>
    <w:p w14:paraId="7A70E47C">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评标委员会由采购人代表和评审专家组成，人数为5人以上单数，其中评审专家不得少于成员总数的三分之二。</w:t>
      </w:r>
    </w:p>
    <w:p w14:paraId="511CB3EE">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参加过采购项目前期咨询论证的专家，不得参加该采购项目的评审活动。</w:t>
      </w:r>
    </w:p>
    <w:p w14:paraId="5C8C3FE1">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27.评标的依据</w:t>
      </w:r>
    </w:p>
    <w:p w14:paraId="02274295">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评标委员会以招标文件为依据对投标文件进行评审，“第四章 评标方法和评标标准”没有规定的方法、评审因素和标准，不作为评标依据。</w:t>
      </w:r>
    </w:p>
    <w:p w14:paraId="3BEEA5BC">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28.评标原则</w:t>
      </w:r>
    </w:p>
    <w:p w14:paraId="66CDFB73">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28.1评标原则。评标委员会评标时必须公平、公正、客观，不带任何倾向性和启发性；不得向外界透露任何与评标有关的内容；任何单位和个人不得干扰、影响评标的正常进行；评标委员会及有关工作人员不得私下与</w:t>
      </w:r>
      <w:r>
        <w:rPr>
          <w:rFonts w:hint="eastAsia" w:ascii="宋体" w:hAnsi="宋体" w:cs="宋体"/>
          <w:color w:val="000000" w:themeColor="text1"/>
          <w:sz w:val="28"/>
          <w:szCs w:val="28"/>
          <w:highlight w:val="none"/>
          <w:lang w:eastAsia="zh-CN"/>
          <w14:textFill>
            <w14:solidFill>
              <w14:schemeClr w14:val="tx1"/>
            </w14:solidFill>
          </w14:textFill>
        </w:rPr>
        <w:t>供应商</w:t>
      </w:r>
      <w:r>
        <w:rPr>
          <w:rFonts w:hint="eastAsia" w:ascii="宋体" w:hAnsi="宋体" w:eastAsia="宋体" w:cs="宋体"/>
          <w:color w:val="000000" w:themeColor="text1"/>
          <w:sz w:val="28"/>
          <w:szCs w:val="28"/>
          <w:highlight w:val="none"/>
          <w14:textFill>
            <w14:solidFill>
              <w14:schemeClr w14:val="tx1"/>
            </w14:solidFill>
          </w14:textFill>
        </w:rPr>
        <w:t>接触，不得收受利害关系人的财物或者其他好处。</w:t>
      </w:r>
    </w:p>
    <w:p w14:paraId="631B198B">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28.2评委表决。在评标过程中出现法律法规和招标文件均没有明确规定的情形时，由评标委员会现场协商解决，协商不一致的，由全体评委投票表决，以得票率二分之一以上专家的意见为准并由采购代理机构作记录。</w:t>
      </w:r>
    </w:p>
    <w:p w14:paraId="5193D12A">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28.3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14:paraId="57444400">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28.4评标过程的监控。本项目电子评标过程实行网上留痕、全程录音、录像监控，</w:t>
      </w:r>
      <w:r>
        <w:rPr>
          <w:rFonts w:hint="eastAsia" w:ascii="宋体" w:hAnsi="宋体" w:cs="宋体"/>
          <w:color w:val="000000" w:themeColor="text1"/>
          <w:sz w:val="28"/>
          <w:szCs w:val="28"/>
          <w:highlight w:val="none"/>
          <w:lang w:eastAsia="zh-CN"/>
          <w14:textFill>
            <w14:solidFill>
              <w14:schemeClr w14:val="tx1"/>
            </w14:solidFill>
          </w14:textFill>
        </w:rPr>
        <w:t>供应商</w:t>
      </w:r>
      <w:r>
        <w:rPr>
          <w:rFonts w:hint="eastAsia" w:ascii="宋体" w:hAnsi="宋体" w:eastAsia="宋体" w:cs="宋体"/>
          <w:color w:val="000000" w:themeColor="text1"/>
          <w:sz w:val="28"/>
          <w:szCs w:val="28"/>
          <w:highlight w:val="none"/>
          <w14:textFill>
            <w14:solidFill>
              <w14:schemeClr w14:val="tx1"/>
            </w14:solidFill>
          </w14:textFill>
        </w:rPr>
        <w:t>在评标过程中所进行的试图影响评标结果的不公正活动，可能导致其投标按无效处理。</w:t>
      </w:r>
    </w:p>
    <w:p w14:paraId="29FCD932">
      <w:pPr>
        <w:keepNext w:val="0"/>
        <w:keepLines w:val="0"/>
        <w:pageBreakBefore w:val="0"/>
        <w:widowControl/>
        <w:kinsoku/>
        <w:wordWrap/>
        <w:overflowPunct/>
        <w:topLinePunct w:val="0"/>
        <w:bidi w:val="0"/>
        <w:adjustRightInd/>
        <w:snapToGrid/>
        <w:spacing w:line="560" w:lineRule="exact"/>
        <w:ind w:firstLine="560" w:firstLineChars="200"/>
        <w:jc w:val="both"/>
        <w:textAlignment w:val="baseline"/>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28.5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6EFC5AE2">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29.评标方法及评标标准</w:t>
      </w:r>
    </w:p>
    <w:p w14:paraId="4254B5AD">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29.1本项目的评标方法详见“</w:t>
      </w:r>
      <w:r>
        <w:rPr>
          <w:rFonts w:hint="eastAsia" w:ascii="宋体" w:hAnsi="宋体" w:cs="宋体"/>
          <w:color w:val="000000" w:themeColor="text1"/>
          <w:sz w:val="28"/>
          <w:szCs w:val="28"/>
          <w:highlight w:val="none"/>
          <w:lang w:eastAsia="zh-CN"/>
          <w14:textFill>
            <w14:solidFill>
              <w14:schemeClr w14:val="tx1"/>
            </w14:solidFill>
          </w14:textFill>
        </w:rPr>
        <w:t>供应商</w:t>
      </w:r>
      <w:r>
        <w:rPr>
          <w:rFonts w:hint="eastAsia" w:ascii="宋体" w:hAnsi="宋体" w:eastAsia="宋体" w:cs="宋体"/>
          <w:color w:val="000000" w:themeColor="text1"/>
          <w:sz w:val="28"/>
          <w:szCs w:val="28"/>
          <w:highlight w:val="none"/>
          <w14:textFill>
            <w14:solidFill>
              <w14:schemeClr w14:val="tx1"/>
            </w14:solidFill>
          </w14:textFill>
        </w:rPr>
        <w:t>须知前附表”。</w:t>
      </w:r>
    </w:p>
    <w:p w14:paraId="26F60BB7">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29.2 评标委员会按照</w:t>
      </w:r>
      <w:r>
        <w:rPr>
          <w:rFonts w:hint="eastAsia" w:ascii="宋体" w:hAnsi="宋体" w:eastAsia="宋体" w:cs="宋体"/>
          <w:b/>
          <w:color w:val="000000" w:themeColor="text1"/>
          <w:sz w:val="28"/>
          <w:szCs w:val="28"/>
          <w:highlight w:val="none"/>
          <w14:textFill>
            <w14:solidFill>
              <w14:schemeClr w14:val="tx1"/>
            </w14:solidFill>
          </w14:textFill>
        </w:rPr>
        <w:t>“第四章 评标方法和评标标准”</w:t>
      </w:r>
      <w:r>
        <w:rPr>
          <w:rFonts w:hint="eastAsia" w:ascii="宋体" w:hAnsi="宋体" w:eastAsia="宋体" w:cs="宋体"/>
          <w:color w:val="000000" w:themeColor="text1"/>
          <w:sz w:val="28"/>
          <w:szCs w:val="28"/>
          <w:highlight w:val="none"/>
          <w14:textFill>
            <w14:solidFill>
              <w14:schemeClr w14:val="tx1"/>
            </w14:solidFill>
          </w14:textFill>
        </w:rPr>
        <w:t>规定的方法、评审因素、标准和程序对投标文件进行评审。</w:t>
      </w:r>
    </w:p>
    <w:p w14:paraId="56C8550D">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29.3 电子交易活动的中止。采购过程中出现以下情形，导致电子交易平台无法正常运行，或者无法保证电子交易的公平、公正和安全时，采购机构可中止电子交易活动：</w:t>
      </w:r>
    </w:p>
    <w:p w14:paraId="5F71034E">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（1）电子交易平台发生故障而无法登录访问的； </w:t>
      </w:r>
    </w:p>
    <w:p w14:paraId="28425147">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（2）电子交易平台应用或数据库出现错误，不能进行正常操作的；</w:t>
      </w:r>
    </w:p>
    <w:p w14:paraId="61C061F1">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（3）电子交易平台发现严重安全漏洞，有潜在泄密危险的；</w:t>
      </w:r>
    </w:p>
    <w:p w14:paraId="2D3E2DD2">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（4）病毒发作导致不能进行正常操作的； </w:t>
      </w:r>
    </w:p>
    <w:p w14:paraId="63F43DAF">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（4）其他无法保证电子交易的公平、公正和安全的情况。</w:t>
      </w:r>
    </w:p>
    <w:p w14:paraId="7892A089">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29.4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12557206">
      <w:pPr>
        <w:pStyle w:val="4"/>
        <w:keepNext w:val="0"/>
        <w:keepLines w:val="0"/>
        <w:pageBreakBefore w:val="0"/>
        <w:kinsoku/>
        <w:wordWrap/>
        <w:overflowPunct/>
        <w:topLinePunct w:val="0"/>
        <w:bidi w:val="0"/>
        <w:adjustRightInd/>
        <w:snapToGrid/>
        <w:spacing w:line="560" w:lineRule="exact"/>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七、中标和合同</w:t>
      </w:r>
    </w:p>
    <w:p w14:paraId="4781A820">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30.确定中标人</w:t>
      </w:r>
    </w:p>
    <w:p w14:paraId="2CB903F5">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b w:val="0"/>
          <w:bCs w:val="0"/>
          <w:color w:val="000000" w:themeColor="text1"/>
          <w:sz w:val="28"/>
          <w:szCs w:val="28"/>
          <w:highlight w:val="none"/>
          <w14:textFill>
            <w14:solidFill>
              <w14:schemeClr w14:val="tx1"/>
            </w14:solidFill>
          </w14:textFill>
        </w:rPr>
      </w:pPr>
      <w:r>
        <w:rPr>
          <w:rFonts w:hint="eastAsia" w:ascii="宋体" w:hAnsi="宋体" w:eastAsia="宋体" w:cs="宋体"/>
          <w:b w:val="0"/>
          <w:bCs w:val="0"/>
          <w:color w:val="000000" w:themeColor="text1"/>
          <w:sz w:val="28"/>
          <w:szCs w:val="28"/>
          <w:highlight w:val="none"/>
          <w14:textFill>
            <w14:solidFill>
              <w14:schemeClr w14:val="tx1"/>
            </w14:solidFill>
          </w14:textFill>
        </w:rPr>
        <w:t>30.1本项目授权评标委员会直接按第四章“评标方法及标准”的规定排列中标候选人顺序，并依照次序确定中标人。</w:t>
      </w:r>
    </w:p>
    <w:p w14:paraId="41D3E4D9">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b w:val="0"/>
          <w:bCs w:val="0"/>
          <w:color w:val="000000" w:themeColor="text1"/>
          <w:sz w:val="28"/>
          <w:szCs w:val="28"/>
          <w:highlight w:val="none"/>
          <w14:textFill>
            <w14:solidFill>
              <w14:schemeClr w14:val="tx1"/>
            </w14:solidFill>
          </w14:textFill>
        </w:rPr>
      </w:pPr>
      <w:r>
        <w:rPr>
          <w:rFonts w:hint="eastAsia" w:ascii="宋体" w:hAnsi="宋体" w:eastAsia="宋体" w:cs="宋体"/>
          <w:b w:val="0"/>
          <w:bCs w:val="0"/>
          <w:color w:val="000000" w:themeColor="text1"/>
          <w:sz w:val="28"/>
          <w:szCs w:val="28"/>
          <w:highlight w:val="none"/>
          <w14:textFill>
            <w14:solidFill>
              <w14:schemeClr w14:val="tx1"/>
            </w14:solidFill>
          </w14:textFill>
        </w:rPr>
        <w:t>30.2提供相同品牌产品且通过资格审查、符合性审查的不同</w:t>
      </w:r>
      <w:r>
        <w:rPr>
          <w:rFonts w:hint="eastAsia" w:ascii="宋体" w:hAnsi="宋体" w:cs="宋体"/>
          <w:b w:val="0"/>
          <w:bCs w:val="0"/>
          <w:color w:val="000000" w:themeColor="text1"/>
          <w:sz w:val="28"/>
          <w:szCs w:val="28"/>
          <w:highlight w:val="none"/>
          <w:lang w:eastAsia="zh-CN"/>
          <w14:textFill>
            <w14:solidFill>
              <w14:schemeClr w14:val="tx1"/>
            </w14:solidFill>
          </w14:textFill>
        </w:rPr>
        <w:t>供应商</w:t>
      </w:r>
      <w:r>
        <w:rPr>
          <w:rFonts w:hint="eastAsia" w:ascii="宋体" w:hAnsi="宋体" w:eastAsia="宋体" w:cs="宋体"/>
          <w:b w:val="0"/>
          <w:bCs w:val="0"/>
          <w:color w:val="000000" w:themeColor="text1"/>
          <w:sz w:val="28"/>
          <w:szCs w:val="28"/>
          <w:highlight w:val="none"/>
          <w14:textFill>
            <w14:solidFill>
              <w14:schemeClr w14:val="tx1"/>
            </w14:solidFill>
          </w14:textFill>
        </w:rPr>
        <w:t>参加同一合同项下投标的，按一家</w:t>
      </w:r>
      <w:r>
        <w:rPr>
          <w:rFonts w:hint="eastAsia" w:ascii="宋体" w:hAnsi="宋体" w:cs="宋体"/>
          <w:b w:val="0"/>
          <w:bCs w:val="0"/>
          <w:color w:val="000000" w:themeColor="text1"/>
          <w:sz w:val="28"/>
          <w:szCs w:val="28"/>
          <w:highlight w:val="none"/>
          <w:lang w:eastAsia="zh-CN"/>
          <w14:textFill>
            <w14:solidFill>
              <w14:schemeClr w14:val="tx1"/>
            </w14:solidFill>
          </w14:textFill>
        </w:rPr>
        <w:t>供应商</w:t>
      </w:r>
      <w:r>
        <w:rPr>
          <w:rFonts w:hint="eastAsia" w:ascii="宋体" w:hAnsi="宋体" w:eastAsia="宋体" w:cs="宋体"/>
          <w:b w:val="0"/>
          <w:bCs w:val="0"/>
          <w:color w:val="000000" w:themeColor="text1"/>
          <w:sz w:val="28"/>
          <w:szCs w:val="28"/>
          <w:highlight w:val="none"/>
          <w14:textFill>
            <w14:solidFill>
              <w14:schemeClr w14:val="tx1"/>
            </w14:solidFill>
          </w14:textFill>
        </w:rPr>
        <w:t>计算，采用综合评分法则以评审得分最高者获得中标人推荐资格，采用综合评分法评审得分相同的，按“</w:t>
      </w:r>
      <w:r>
        <w:rPr>
          <w:rFonts w:hint="eastAsia" w:ascii="宋体" w:hAnsi="宋体" w:cs="宋体"/>
          <w:b w:val="0"/>
          <w:bCs w:val="0"/>
          <w:color w:val="000000" w:themeColor="text1"/>
          <w:sz w:val="28"/>
          <w:szCs w:val="28"/>
          <w:highlight w:val="none"/>
          <w:lang w:eastAsia="zh-CN"/>
          <w14:textFill>
            <w14:solidFill>
              <w14:schemeClr w14:val="tx1"/>
            </w14:solidFill>
          </w14:textFill>
        </w:rPr>
        <w:t>供应商</w:t>
      </w:r>
      <w:r>
        <w:rPr>
          <w:rFonts w:hint="eastAsia" w:ascii="宋体" w:hAnsi="宋体" w:eastAsia="宋体" w:cs="宋体"/>
          <w:b w:val="0"/>
          <w:bCs w:val="0"/>
          <w:color w:val="000000" w:themeColor="text1"/>
          <w:sz w:val="28"/>
          <w:szCs w:val="28"/>
          <w:highlight w:val="none"/>
          <w14:textFill>
            <w14:solidFill>
              <w14:schemeClr w14:val="tx1"/>
            </w14:solidFill>
          </w14:textFill>
        </w:rPr>
        <w:t>须知前附表”规定方式确定，确定后其他同品牌</w:t>
      </w:r>
      <w:r>
        <w:rPr>
          <w:rFonts w:hint="eastAsia" w:ascii="宋体" w:hAnsi="宋体" w:cs="宋体"/>
          <w:b w:val="0"/>
          <w:bCs w:val="0"/>
          <w:color w:val="000000" w:themeColor="text1"/>
          <w:sz w:val="28"/>
          <w:szCs w:val="28"/>
          <w:highlight w:val="none"/>
          <w:lang w:eastAsia="zh-CN"/>
          <w14:textFill>
            <w14:solidFill>
              <w14:schemeClr w14:val="tx1"/>
            </w14:solidFill>
          </w14:textFill>
        </w:rPr>
        <w:t>供应商</w:t>
      </w:r>
      <w:r>
        <w:rPr>
          <w:rFonts w:hint="eastAsia" w:ascii="宋体" w:hAnsi="宋体" w:eastAsia="宋体" w:cs="宋体"/>
          <w:b w:val="0"/>
          <w:bCs w:val="0"/>
          <w:color w:val="000000" w:themeColor="text1"/>
          <w:sz w:val="28"/>
          <w:szCs w:val="28"/>
          <w:highlight w:val="none"/>
          <w14:textFill>
            <w14:solidFill>
              <w14:schemeClr w14:val="tx1"/>
            </w14:solidFill>
          </w14:textFill>
        </w:rPr>
        <w:t>投标无效或不作为中标候选人。</w:t>
      </w:r>
    </w:p>
    <w:p w14:paraId="37BFE2BC">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30.3采购人、采购代理机构认为供应商对采购过程、中标结果提出的质疑成立且影响或者可能影响中标结果的，合格供应商符合法定数量时，可以从合格的中标候选人中另行确定中标人的，应当依法另行确定中标人；否则应当重新开展采购活动。</w:t>
      </w:r>
    </w:p>
    <w:p w14:paraId="7F8727A4">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30.4中标供应商无正当理由拒签合同的，根据《中华人民共和国政府采购法》第七十七条第一款规定处理。</w:t>
      </w:r>
    </w:p>
    <w:p w14:paraId="4B451A42">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30.5根据《中华人民共和国民法典》第五百六十三条，因不可抗力致使不能实现合同目的的，当事人可以解除合同。</w:t>
      </w:r>
    </w:p>
    <w:p w14:paraId="4567DE25">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31. 结果公告</w:t>
      </w:r>
    </w:p>
    <w:p w14:paraId="20F6C57C">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31.1在中标供应商确定之日起2个工作日内，由采购代理机构</w:t>
      </w:r>
      <w:r>
        <w:rPr>
          <w:rFonts w:hint="eastAsia" w:ascii="宋体" w:hAnsi="宋体" w:eastAsia="宋体" w:cs="宋体"/>
          <w:b/>
          <w:color w:val="000000" w:themeColor="text1"/>
          <w:sz w:val="28"/>
          <w:szCs w:val="28"/>
          <w:highlight w:val="none"/>
          <w14:textFill>
            <w14:solidFill>
              <w14:schemeClr w14:val="tx1"/>
            </w14:solidFill>
          </w14:textFill>
        </w:rPr>
        <w:t>在招标公告发布媒体上</w:t>
      </w:r>
      <w:r>
        <w:rPr>
          <w:rFonts w:hint="eastAsia" w:ascii="宋体" w:hAnsi="宋体" w:eastAsia="宋体" w:cs="宋体"/>
          <w:color w:val="000000" w:themeColor="text1"/>
          <w:sz w:val="28"/>
          <w:szCs w:val="28"/>
          <w:highlight w:val="none"/>
          <w14:textFill>
            <w14:solidFill>
              <w14:schemeClr w14:val="tx1"/>
            </w14:solidFill>
          </w14:textFill>
        </w:rPr>
        <w:t>发布中标结果公告，中标结果公告期限为1个工作日，发布中标结果公告的同时向中标供应商发出中标通知书。</w:t>
      </w:r>
      <w:r>
        <w:rPr>
          <w:rFonts w:hint="eastAsia" w:ascii="宋体" w:hAnsi="宋体" w:eastAsia="宋体" w:cs="宋体"/>
          <w:b/>
          <w:color w:val="000000" w:themeColor="text1"/>
          <w:sz w:val="28"/>
          <w:szCs w:val="28"/>
          <w:highlight w:val="none"/>
          <w14:textFill>
            <w14:solidFill>
              <w14:schemeClr w14:val="tx1"/>
            </w14:solidFill>
          </w14:textFill>
        </w:rPr>
        <w:t>采购代理机构发出中标通知书前，应当对中标人信用进行核实，对列入失信被执行人、重大税收违法失信主体、政府采购严重违法失信行为记录名单及其他不符合《中华人民共和国政府采购法》第二十二条规定条件的</w:t>
      </w:r>
      <w:r>
        <w:rPr>
          <w:rFonts w:hint="eastAsia" w:ascii="宋体" w:hAnsi="宋体" w:cs="宋体"/>
          <w:b/>
          <w:color w:val="000000" w:themeColor="text1"/>
          <w:sz w:val="28"/>
          <w:szCs w:val="28"/>
          <w:highlight w:val="none"/>
          <w:lang w:eastAsia="zh-CN"/>
          <w14:textFill>
            <w14:solidFill>
              <w14:schemeClr w14:val="tx1"/>
            </w14:solidFill>
          </w14:textFill>
        </w:rPr>
        <w:t>供应商</w:t>
      </w:r>
      <w:r>
        <w:rPr>
          <w:rFonts w:hint="eastAsia" w:ascii="宋体" w:hAnsi="宋体" w:eastAsia="宋体" w:cs="宋体"/>
          <w:b/>
          <w:color w:val="000000" w:themeColor="text1"/>
          <w:sz w:val="28"/>
          <w:szCs w:val="28"/>
          <w:highlight w:val="none"/>
          <w14:textFill>
            <w14:solidFill>
              <w14:schemeClr w14:val="tx1"/>
            </w14:solidFill>
          </w14:textFill>
        </w:rPr>
        <w:t>，取消其中标资格，并确定排名第二的中标候选人为中标人。</w:t>
      </w:r>
      <w:r>
        <w:rPr>
          <w:rFonts w:hint="eastAsia" w:ascii="宋体" w:hAnsi="宋体" w:eastAsia="宋体" w:cs="宋体"/>
          <w:color w:val="000000" w:themeColor="text1"/>
          <w:sz w:val="28"/>
          <w:szCs w:val="28"/>
          <w:highlight w:val="none"/>
          <w14:textFill>
            <w14:solidFill>
              <w14:schemeClr w14:val="tx1"/>
            </w14:solidFill>
          </w14:textFill>
        </w:rPr>
        <w:t>排名第二的中标候选人因前款规定的同样原因被取消中标资格的，授权的评标委员会可以确定排名第三的中标候选人为中标人，以此类推。</w:t>
      </w:r>
    </w:p>
    <w:p w14:paraId="3FBE729E">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以上信息查询记录及相关证据与采购文件一并保存。</w:t>
      </w:r>
    </w:p>
    <w:p w14:paraId="10C6D9F9">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31.2中小企业在政府采购活动过程中，请根据企业的真实情况出具《中小企业声明函》。依法享受中小企业优惠政策的，采购人或者采购代理机构在公告中标结果时，同时公告其《中小企业声明函》，接受社会监督。</w:t>
      </w:r>
    </w:p>
    <w:p w14:paraId="04C23687">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32.发出中标通知书</w:t>
      </w:r>
    </w:p>
    <w:p w14:paraId="4C23B4A6">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b w:val="0"/>
          <w:bCs/>
          <w:color w:val="000000" w:themeColor="text1"/>
          <w:sz w:val="28"/>
          <w:szCs w:val="28"/>
          <w:highlight w:val="none"/>
          <w14:textFill>
            <w14:solidFill>
              <w14:schemeClr w14:val="tx1"/>
            </w14:solidFill>
          </w14:textFill>
        </w:rPr>
      </w:pPr>
      <w:r>
        <w:rPr>
          <w:rFonts w:hint="eastAsia" w:ascii="宋体" w:hAnsi="宋体" w:eastAsia="宋体" w:cs="宋体"/>
          <w:b w:val="0"/>
          <w:bCs/>
          <w:color w:val="000000" w:themeColor="text1"/>
          <w:sz w:val="28"/>
          <w:szCs w:val="28"/>
          <w:highlight w:val="none"/>
          <w14:textFill>
            <w14:solidFill>
              <w14:schemeClr w14:val="tx1"/>
            </w14:solidFill>
          </w14:textFill>
        </w:rPr>
        <w:t>32.1对未通过资格审查的</w:t>
      </w:r>
      <w:r>
        <w:rPr>
          <w:rFonts w:hint="eastAsia" w:ascii="宋体" w:hAnsi="宋体" w:cs="宋体"/>
          <w:b w:val="0"/>
          <w:bCs/>
          <w:color w:val="000000" w:themeColor="text1"/>
          <w:sz w:val="28"/>
          <w:szCs w:val="28"/>
          <w:highlight w:val="none"/>
          <w:lang w:eastAsia="zh-CN"/>
          <w14:textFill>
            <w14:solidFill>
              <w14:schemeClr w14:val="tx1"/>
            </w14:solidFill>
          </w14:textFill>
        </w:rPr>
        <w:t>供应商</w:t>
      </w:r>
      <w:r>
        <w:rPr>
          <w:rFonts w:hint="eastAsia" w:ascii="宋体" w:hAnsi="宋体" w:eastAsia="宋体" w:cs="宋体"/>
          <w:b w:val="0"/>
          <w:bCs/>
          <w:color w:val="000000" w:themeColor="text1"/>
          <w:sz w:val="28"/>
          <w:szCs w:val="28"/>
          <w:highlight w:val="none"/>
          <w14:textFill>
            <w14:solidFill>
              <w14:schemeClr w14:val="tx1"/>
            </w14:solidFill>
          </w14:textFill>
        </w:rPr>
        <w:t>，采购人或采购机构应当告知其未通过的原因；采用综合评分办法评审的，采购人或采购机构还应当告知未中标人本人的评审得分与排序。</w:t>
      </w:r>
    </w:p>
    <w:p w14:paraId="3D9B903C">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b w:val="0"/>
          <w:bCs/>
          <w:color w:val="000000" w:themeColor="text1"/>
          <w:sz w:val="28"/>
          <w:szCs w:val="28"/>
          <w:highlight w:val="none"/>
          <w14:textFill>
            <w14:solidFill>
              <w14:schemeClr w14:val="tx1"/>
            </w14:solidFill>
          </w14:textFill>
        </w:rPr>
      </w:pPr>
      <w:r>
        <w:rPr>
          <w:rFonts w:hint="eastAsia" w:ascii="宋体" w:hAnsi="宋体" w:eastAsia="宋体" w:cs="宋体"/>
          <w:b w:val="0"/>
          <w:bCs/>
          <w:color w:val="000000" w:themeColor="text1"/>
          <w:sz w:val="28"/>
          <w:szCs w:val="28"/>
          <w:highlight w:val="none"/>
          <w14:textFill>
            <w14:solidFill>
              <w14:schemeClr w14:val="tx1"/>
            </w14:solidFill>
          </w14:textFill>
        </w:rPr>
        <w:t>33. 无义务解释未中标原因</w:t>
      </w:r>
    </w:p>
    <w:p w14:paraId="59A8C5E7">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b w:val="0"/>
          <w:bCs/>
          <w:color w:val="000000" w:themeColor="text1"/>
          <w:sz w:val="28"/>
          <w:szCs w:val="28"/>
          <w:highlight w:val="none"/>
          <w14:textFill>
            <w14:solidFill>
              <w14:schemeClr w14:val="tx1"/>
            </w14:solidFill>
          </w14:textFill>
        </w:rPr>
      </w:pPr>
      <w:r>
        <w:rPr>
          <w:rFonts w:hint="eastAsia" w:ascii="宋体" w:hAnsi="宋体" w:eastAsia="宋体" w:cs="宋体"/>
          <w:b w:val="0"/>
          <w:bCs/>
          <w:color w:val="000000" w:themeColor="text1"/>
          <w:sz w:val="28"/>
          <w:szCs w:val="28"/>
          <w:highlight w:val="none"/>
          <w14:textFill>
            <w14:solidFill>
              <w14:schemeClr w14:val="tx1"/>
            </w14:solidFill>
          </w14:textFill>
        </w:rPr>
        <w:t>采购代理机构无义务向未中标的</w:t>
      </w:r>
      <w:r>
        <w:rPr>
          <w:rFonts w:hint="eastAsia" w:ascii="宋体" w:hAnsi="宋体" w:cs="宋体"/>
          <w:b w:val="0"/>
          <w:bCs/>
          <w:color w:val="000000" w:themeColor="text1"/>
          <w:sz w:val="28"/>
          <w:szCs w:val="28"/>
          <w:highlight w:val="none"/>
          <w:lang w:eastAsia="zh-CN"/>
          <w14:textFill>
            <w14:solidFill>
              <w14:schemeClr w14:val="tx1"/>
            </w14:solidFill>
          </w14:textFill>
        </w:rPr>
        <w:t>供应商</w:t>
      </w:r>
      <w:r>
        <w:rPr>
          <w:rFonts w:hint="eastAsia" w:ascii="宋体" w:hAnsi="宋体" w:eastAsia="宋体" w:cs="宋体"/>
          <w:b w:val="0"/>
          <w:bCs/>
          <w:color w:val="000000" w:themeColor="text1"/>
          <w:sz w:val="28"/>
          <w:szCs w:val="28"/>
          <w:highlight w:val="none"/>
          <w14:textFill>
            <w14:solidFill>
              <w14:schemeClr w14:val="tx1"/>
            </w14:solidFill>
          </w14:textFill>
        </w:rPr>
        <w:t>解释未中标原因和退还投标文件。</w:t>
      </w:r>
    </w:p>
    <w:p w14:paraId="60710F85">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34.合同授予标准</w:t>
      </w:r>
    </w:p>
    <w:p w14:paraId="17CE44F9">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合同将授予被确定实质上响应招标文件要求，具备履行合同能力的中标人（招标文件另有约定多名中标人的除外）。</w:t>
      </w:r>
    </w:p>
    <w:p w14:paraId="773D238D">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35.履约保证金</w:t>
      </w:r>
    </w:p>
    <w:p w14:paraId="6316BE8B">
      <w:pPr>
        <w:pStyle w:val="108"/>
        <w:keepNext w:val="0"/>
        <w:keepLines w:val="0"/>
        <w:pageBreakBefore w:val="0"/>
        <w:kinsoku/>
        <w:wordWrap/>
        <w:overflowPunct/>
        <w:topLinePunct w:val="0"/>
        <w:bidi w:val="0"/>
        <w:adjustRightInd/>
        <w:snapToGrid/>
        <w:spacing w:before="0" w:line="560" w:lineRule="exact"/>
        <w:ind w:firstLine="560"/>
        <w:jc w:val="both"/>
        <w:rPr>
          <w:rFonts w:hint="eastAsia" w:ascii="宋体" w:hAnsi="宋体" w:eastAsia="宋体" w:cs="宋体"/>
          <w:color w:val="000000" w:themeColor="text1"/>
          <w:kern w:val="0"/>
          <w:sz w:val="28"/>
          <w:szCs w:val="28"/>
          <w:highlight w:val="none"/>
          <w:lang w:val="zh-CN"/>
          <w14:textFill>
            <w14:solidFill>
              <w14:schemeClr w14:val="tx1"/>
            </w14:solidFill>
          </w14:textFill>
        </w:rPr>
      </w:pPr>
      <w:r>
        <w:rPr>
          <w:rFonts w:hint="eastAsia" w:ascii="宋体" w:hAnsi="宋体" w:eastAsia="宋体" w:cs="宋体"/>
          <w:color w:val="000000" w:themeColor="text1"/>
          <w:kern w:val="0"/>
          <w:sz w:val="28"/>
          <w:szCs w:val="28"/>
          <w:highlight w:val="none"/>
          <w:lang w:val="zh-CN"/>
          <w14:textFill>
            <w14:solidFill>
              <w14:schemeClr w14:val="tx1"/>
            </w14:solidFill>
          </w14:textFill>
        </w:rPr>
        <w:t>见“供应商须知前附表”。</w:t>
      </w:r>
    </w:p>
    <w:p w14:paraId="1A5CC377">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36.签订合同</w:t>
      </w:r>
    </w:p>
    <w:p w14:paraId="4E8B0834">
      <w:pPr>
        <w:pStyle w:val="108"/>
        <w:keepNext w:val="0"/>
        <w:keepLines w:val="0"/>
        <w:pageBreakBefore w:val="0"/>
        <w:kinsoku/>
        <w:wordWrap/>
        <w:overflowPunct/>
        <w:topLinePunct w:val="0"/>
        <w:bidi w:val="0"/>
        <w:adjustRightInd/>
        <w:snapToGrid/>
        <w:spacing w:before="0" w:line="560" w:lineRule="exact"/>
        <w:ind w:firstLine="562"/>
        <w:jc w:val="both"/>
        <w:rPr>
          <w:rFonts w:hint="eastAsia" w:ascii="宋体" w:hAnsi="宋体" w:eastAsia="宋体" w:cs="宋体"/>
          <w:color w:val="000000" w:themeColor="text1"/>
          <w:kern w:val="0"/>
          <w:sz w:val="28"/>
          <w:szCs w:val="28"/>
          <w:highlight w:val="none"/>
          <w:lang w:val="zh-CN"/>
          <w14:textFill>
            <w14:solidFill>
              <w14:schemeClr w14:val="tx1"/>
            </w14:solidFill>
          </w14:textFill>
        </w:rPr>
      </w:pPr>
      <w:r>
        <w:rPr>
          <w:rFonts w:hint="eastAsia" w:ascii="宋体" w:hAnsi="宋体" w:eastAsia="宋体" w:cs="宋体"/>
          <w:b w:val="0"/>
          <w:bCs/>
          <w:color w:val="000000" w:themeColor="text1"/>
          <w:sz w:val="28"/>
          <w:szCs w:val="28"/>
          <w:highlight w:val="none"/>
          <w14:textFill>
            <w14:solidFill>
              <w14:schemeClr w14:val="tx1"/>
            </w14:solidFill>
          </w14:textFill>
        </w:rPr>
        <w:t xml:space="preserve"> 36.1中标人领取电子中标通知书后，</w:t>
      </w:r>
      <w:r>
        <w:rPr>
          <w:rFonts w:hint="eastAsia" w:ascii="宋体" w:hAnsi="宋体" w:eastAsia="宋体" w:cs="宋体"/>
          <w:color w:val="000000" w:themeColor="text1"/>
          <w:kern w:val="0"/>
          <w:sz w:val="28"/>
          <w:szCs w:val="28"/>
          <w:highlight w:val="none"/>
          <w:lang w:val="zh-CN"/>
          <w14:textFill>
            <w14:solidFill>
              <w14:schemeClr w14:val="tx1"/>
            </w14:solidFill>
          </w14:textFill>
        </w:rPr>
        <w:t>按规定的日期、时间、地点，由法定代表人或其授权代表与采购人代表签订采购合同。如中标人为联合体的，由联合体成员各方法定代表人或其授权代表与采购人代表共同签订合同，签订携带资料详见“供应商须知前附表”。</w:t>
      </w:r>
    </w:p>
    <w:p w14:paraId="16A823A6">
      <w:pPr>
        <w:pStyle w:val="108"/>
        <w:keepNext w:val="0"/>
        <w:keepLines w:val="0"/>
        <w:pageBreakBefore w:val="0"/>
        <w:kinsoku/>
        <w:wordWrap/>
        <w:overflowPunct/>
        <w:topLinePunct w:val="0"/>
        <w:bidi w:val="0"/>
        <w:adjustRightInd/>
        <w:snapToGrid/>
        <w:spacing w:before="0" w:line="560" w:lineRule="exact"/>
        <w:ind w:firstLine="560"/>
        <w:jc w:val="both"/>
        <w:rPr>
          <w:rFonts w:hint="eastAsia" w:ascii="宋体" w:hAnsi="宋体" w:eastAsia="宋体" w:cs="宋体"/>
          <w:color w:val="000000" w:themeColor="text1"/>
          <w:kern w:val="0"/>
          <w:sz w:val="28"/>
          <w:szCs w:val="28"/>
          <w:highlight w:val="none"/>
          <w:lang w:val="zh-CN"/>
          <w14:textFill>
            <w14:solidFill>
              <w14:schemeClr w14:val="tx1"/>
            </w14:solidFill>
          </w14:textFill>
        </w:rPr>
      </w:pPr>
      <w:r>
        <w:rPr>
          <w:rFonts w:hint="eastAsia" w:ascii="宋体" w:hAnsi="宋体" w:eastAsia="宋体" w:cs="宋体"/>
          <w:color w:val="000000" w:themeColor="text1"/>
          <w:kern w:val="0"/>
          <w:sz w:val="28"/>
          <w:szCs w:val="28"/>
          <w:highlight w:val="none"/>
          <w:lang w:val="zh-CN"/>
          <w14:textFill>
            <w14:solidFill>
              <w14:schemeClr w14:val="tx1"/>
            </w14:solidFill>
          </w14:textFill>
        </w:rPr>
        <w:t>36.2</w:t>
      </w:r>
      <w:r>
        <w:rPr>
          <w:rFonts w:hint="eastAsia" w:ascii="宋体" w:hAnsi="宋体" w:eastAsia="宋体" w:cs="宋体"/>
          <w:color w:val="000000" w:themeColor="text1"/>
          <w:sz w:val="28"/>
          <w:szCs w:val="28"/>
          <w:highlight w:val="none"/>
          <w14:textFill>
            <w14:solidFill>
              <w14:schemeClr w14:val="tx1"/>
            </w14:solidFill>
          </w14:textFill>
        </w:rPr>
        <w:t>采购合同由采购人与中标供应商根据招标文件、投标文件等内容通过政府采购电子交易平台在线签订，自动备案。</w:t>
      </w:r>
    </w:p>
    <w:p w14:paraId="0A539321">
      <w:pPr>
        <w:pStyle w:val="108"/>
        <w:keepNext w:val="0"/>
        <w:keepLines w:val="0"/>
        <w:pageBreakBefore w:val="0"/>
        <w:kinsoku/>
        <w:wordWrap/>
        <w:overflowPunct/>
        <w:topLinePunct w:val="0"/>
        <w:bidi w:val="0"/>
        <w:adjustRightInd/>
        <w:snapToGrid/>
        <w:spacing w:before="0" w:line="560" w:lineRule="exact"/>
        <w:ind w:firstLine="56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36.3签订合同时间：按中标通知书规定的时间与采购人签订合同（最长不能超过25日）。</w:t>
      </w:r>
    </w:p>
    <w:p w14:paraId="70B9570D">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36.4中标人拒绝与采购人签订合同的，采购人可以按照评审报告推荐的中标候选人名单排序，确定下一候选人为中标人，也可以重新开展政府采购活动。如采购人无正当理由拒签合同的，给中标供应商造成损失的，中标供应商可追究采购人承担相应的法律责任。</w:t>
      </w:r>
    </w:p>
    <w:p w14:paraId="5BE0C57C">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36.5政府采购合同是政府采购项目验收的依据，中标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17038097">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36.6采购人或中标供应商不得单方面向合同另一方提出任何招标文件没有约定的条件或不合理的要求，作为签订合同的条件；也不得协商另行订立背离招标文件和合同实质性内容的协议。</w:t>
      </w:r>
    </w:p>
    <w:p w14:paraId="32494E2D">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36.7如签订合同并生效后，供应商无故拒绝或延期，除按照合同条款处理外，将承担相应的法律责任。</w:t>
      </w:r>
    </w:p>
    <w:p w14:paraId="5FCE9B2B">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b w:val="0"/>
          <w:bCs/>
          <w:color w:val="000000" w:themeColor="text1"/>
          <w:sz w:val="28"/>
          <w:szCs w:val="28"/>
          <w:highlight w:val="none"/>
          <w14:textFill>
            <w14:solidFill>
              <w14:schemeClr w14:val="tx1"/>
            </w14:solidFill>
          </w14:textFill>
        </w:rPr>
      </w:pPr>
      <w:r>
        <w:rPr>
          <w:rFonts w:hint="eastAsia" w:ascii="宋体" w:hAnsi="宋体" w:eastAsia="宋体" w:cs="宋体"/>
          <w:b w:val="0"/>
          <w:bCs/>
          <w:color w:val="000000" w:themeColor="text1"/>
          <w:sz w:val="28"/>
          <w:szCs w:val="28"/>
          <w:highlight w:val="none"/>
          <w14:textFill>
            <w14:solidFill>
              <w14:schemeClr w14:val="tx1"/>
            </w14:solidFill>
          </w14:textFill>
        </w:rPr>
        <w:t>36.8采购人需追加与合同标的相同的货物或者货物的，在不改变原合同条款且已报财政部门批准落实资金的前提下，可从原中标供应商处添购，所签订的补充添置合同的采购资金总额不超过原采购合同金额的10%。</w:t>
      </w:r>
    </w:p>
    <w:p w14:paraId="283DE78A">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37.政府采购合同公告</w:t>
      </w:r>
    </w:p>
    <w:p w14:paraId="4C10C909">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采购人或者受托采购代理机构应当自政府采购合同签订之日起2个工作日内，将政府采购合同</w:t>
      </w:r>
      <w:r>
        <w:rPr>
          <w:rFonts w:hint="eastAsia" w:ascii="宋体" w:hAnsi="宋体" w:eastAsia="宋体" w:cs="宋体"/>
          <w:bCs/>
          <w:color w:val="000000" w:themeColor="text1"/>
          <w:sz w:val="28"/>
          <w:szCs w:val="28"/>
          <w:highlight w:val="none"/>
          <w14:textFill>
            <w14:solidFill>
              <w14:schemeClr w14:val="tx1"/>
            </w14:solidFill>
          </w14:textFill>
        </w:rPr>
        <w:t>在以下媒体上发布</w:t>
      </w:r>
      <w:r>
        <w:rPr>
          <w:rFonts w:hint="eastAsia" w:ascii="宋体" w:hAnsi="宋体" w:eastAsia="宋体" w:cs="宋体"/>
          <w:color w:val="000000" w:themeColor="text1"/>
          <w:kern w:val="0"/>
          <w:sz w:val="28"/>
          <w:szCs w:val="28"/>
          <w:highlight w:val="none"/>
          <w14:textFill>
            <w14:solidFill>
              <w14:schemeClr w14:val="tx1"/>
            </w14:solidFill>
          </w14:textFill>
        </w:rPr>
        <w:t xml:space="preserve"> “新疆政府采购网”（http://www.ccgp-xinjiang.gov.cn）</w:t>
      </w:r>
      <w:r>
        <w:rPr>
          <w:rFonts w:hint="eastAsia" w:ascii="宋体" w:hAnsi="宋体" w:eastAsia="宋体" w:cs="宋体"/>
          <w:color w:val="000000" w:themeColor="text1"/>
          <w:sz w:val="28"/>
          <w:szCs w:val="28"/>
          <w:highlight w:val="none"/>
          <w14:textFill>
            <w14:solidFill>
              <w14:schemeClr w14:val="tx1"/>
            </w14:solidFill>
          </w14:textFill>
        </w:rPr>
        <w:t>上公告，但政府采购合同中涉及国家秘密、商业秘密的内容除外。</w:t>
      </w:r>
    </w:p>
    <w:p w14:paraId="35877C1D">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38. 询问、质疑和投诉</w:t>
      </w:r>
    </w:p>
    <w:p w14:paraId="7710702C">
      <w:pPr>
        <w:keepNext w:val="0"/>
        <w:keepLines w:val="0"/>
        <w:pageBreakBefore w:val="0"/>
        <w:kinsoku/>
        <w:wordWrap/>
        <w:overflowPunct/>
        <w:topLinePunct w:val="0"/>
        <w:bidi w:val="0"/>
        <w:adjustRightInd/>
        <w:snapToGrid/>
        <w:spacing w:line="560" w:lineRule="exact"/>
        <w:ind w:firstLine="562" w:firstLineChars="200"/>
        <w:jc w:val="both"/>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38.1询问</w:t>
      </w:r>
    </w:p>
    <w:p w14:paraId="6C887320">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38.1.1供应商在开标前对政府采购活动事项有疑问的，可以向采购人或采购代理机构项目负责人提出询问。</w:t>
      </w:r>
    </w:p>
    <w:p w14:paraId="0FAD52B6">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38.1.2采购人或采购人委托的采购代理机构自受理询问之日起3个工作日内对供应商依法提出的询问作出答复，</w:t>
      </w:r>
      <w:r>
        <w:rPr>
          <w:rFonts w:hint="eastAsia" w:ascii="宋体" w:hAnsi="宋体" w:eastAsia="宋体" w:cs="宋体"/>
          <w:color w:val="000000" w:themeColor="text1"/>
          <w:sz w:val="28"/>
          <w:szCs w:val="28"/>
          <w:highlight w:val="none"/>
          <w14:textFill>
            <w14:solidFill>
              <w14:schemeClr w14:val="tx1"/>
            </w14:solidFill>
          </w14:textFill>
        </w:rPr>
        <w:t>但答复内容不得涉及商业秘密</w:t>
      </w:r>
      <w:r>
        <w:rPr>
          <w:rFonts w:hint="eastAsia" w:ascii="宋体" w:hAnsi="宋体" w:eastAsia="宋体" w:cs="宋体"/>
          <w:bCs/>
          <w:color w:val="000000" w:themeColor="text1"/>
          <w:sz w:val="28"/>
          <w:szCs w:val="28"/>
          <w:highlight w:val="none"/>
          <w14:textFill>
            <w14:solidFill>
              <w14:schemeClr w14:val="tx1"/>
            </w14:solidFill>
          </w14:textFill>
        </w:rPr>
        <w:t>。</w:t>
      </w:r>
    </w:p>
    <w:p w14:paraId="201E113F">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38.1.3 询问事项可能影响中标、成交结果的，采购人应当暂停签订合同，已经签订合同的，应当中止履行合同。</w:t>
      </w:r>
    </w:p>
    <w:p w14:paraId="1285EC99">
      <w:pPr>
        <w:keepNext w:val="0"/>
        <w:keepLines w:val="0"/>
        <w:pageBreakBefore w:val="0"/>
        <w:kinsoku/>
        <w:wordWrap/>
        <w:overflowPunct/>
        <w:topLinePunct w:val="0"/>
        <w:bidi w:val="0"/>
        <w:adjustRightInd/>
        <w:snapToGrid/>
        <w:spacing w:line="560" w:lineRule="exact"/>
        <w:ind w:firstLine="562"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38.2质疑</w:t>
      </w:r>
    </w:p>
    <w:p w14:paraId="3EC49236">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b w:val="0"/>
          <w:bCs w:val="0"/>
          <w:color w:val="000000" w:themeColor="text1"/>
          <w:sz w:val="28"/>
          <w:szCs w:val="28"/>
          <w:highlight w:val="none"/>
          <w14:textFill>
            <w14:solidFill>
              <w14:schemeClr w14:val="tx1"/>
            </w14:solidFill>
          </w14:textFill>
        </w:rPr>
      </w:pPr>
      <w:r>
        <w:rPr>
          <w:rFonts w:hint="eastAsia" w:ascii="宋体" w:hAnsi="宋体" w:eastAsia="宋体" w:cs="宋体"/>
          <w:b w:val="0"/>
          <w:bCs w:val="0"/>
          <w:color w:val="000000" w:themeColor="text1"/>
          <w:sz w:val="28"/>
          <w:szCs w:val="28"/>
          <w:highlight w:val="none"/>
          <w14:textFill>
            <w14:solidFill>
              <w14:schemeClr w14:val="tx1"/>
            </w14:solidFill>
          </w14:textFill>
        </w:rPr>
        <w:t>38.2.1供应商认为招标文件、采购过程或者中标结果使自己的合法权益受到损害的，必须在知道或者应知其权益受到损害之日起7个工作日内，以书面形式向采购人、采购代理机构提出质疑，质疑有效期结束后，采购人或采购代理机构不再受理该项目质疑。采购人、采购代理机构接收质疑函的方式、联系部门、联系电话和通讯地址等信息详见“</w:t>
      </w:r>
      <w:r>
        <w:rPr>
          <w:rFonts w:hint="eastAsia" w:ascii="宋体" w:hAnsi="宋体" w:cs="宋体"/>
          <w:b w:val="0"/>
          <w:bCs w:val="0"/>
          <w:color w:val="000000" w:themeColor="text1"/>
          <w:sz w:val="28"/>
          <w:szCs w:val="28"/>
          <w:highlight w:val="none"/>
          <w:lang w:eastAsia="zh-CN"/>
          <w14:textFill>
            <w14:solidFill>
              <w14:schemeClr w14:val="tx1"/>
            </w14:solidFill>
          </w14:textFill>
        </w:rPr>
        <w:t>供应商</w:t>
      </w:r>
      <w:r>
        <w:rPr>
          <w:rFonts w:hint="eastAsia" w:ascii="宋体" w:hAnsi="宋体" w:eastAsia="宋体" w:cs="宋体"/>
          <w:b w:val="0"/>
          <w:bCs w:val="0"/>
          <w:color w:val="000000" w:themeColor="text1"/>
          <w:sz w:val="28"/>
          <w:szCs w:val="28"/>
          <w:highlight w:val="none"/>
          <w14:textFill>
            <w14:solidFill>
              <w14:schemeClr w14:val="tx1"/>
            </w14:solidFill>
          </w14:textFill>
        </w:rPr>
        <w:t xml:space="preserve">须知前附表”。具体质疑起算时间及处理方式如下： </w:t>
      </w:r>
    </w:p>
    <w:p w14:paraId="2819ED22">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（1）潜在供应商依法获取公开招标文件后，认为采购文件使自己的权益受到损害的，应当在公开招标文件公告期限届满之日起7个工作日内提出质疑。</w:t>
      </w:r>
      <w:r>
        <w:rPr>
          <w:rFonts w:hint="eastAsia" w:ascii="宋体" w:hAnsi="宋体" w:eastAsia="宋体" w:cs="宋体"/>
          <w:color w:val="000000" w:themeColor="text1"/>
          <w:sz w:val="28"/>
          <w:szCs w:val="28"/>
          <w:highlight w:val="none"/>
          <w14:textFill>
            <w14:solidFill>
              <w14:schemeClr w14:val="tx1"/>
            </w14:solidFill>
          </w14:textFill>
        </w:rPr>
        <w:t>委托代理协议无特殊约定的，</w:t>
      </w:r>
      <w:r>
        <w:rPr>
          <w:rFonts w:hint="eastAsia" w:ascii="宋体" w:hAnsi="宋体" w:eastAsia="宋体" w:cs="宋体"/>
          <w:bCs/>
          <w:color w:val="000000" w:themeColor="text1"/>
          <w:sz w:val="28"/>
          <w:szCs w:val="28"/>
          <w:highlight w:val="none"/>
          <w14:textFill>
            <w14:solidFill>
              <w14:schemeClr w14:val="tx1"/>
            </w14:solidFill>
          </w14:textFill>
        </w:rPr>
        <w:t>对公开招标文件中采购需求（含资格要求、采购预算和评分办法）的质疑由采购人受理并负责答复；对公开招标文件中的采购执行程序的质疑由采购代理机构受理并负责答复。</w:t>
      </w:r>
    </w:p>
    <w:p w14:paraId="7B3D6A95">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2）供应商认为采购过程使自己的权益受到损害的，应当在各采购程序环节结束之日起7个工作日内提出质疑。对采购过程中资格审查、符合性审查等具体评审情况的质疑应向采购人或代理机构提出，由采购人或代理机构受理并负责答复；对采购过程中采购执行程序的质疑由采购代理机构受理并负责答复。</w:t>
      </w:r>
    </w:p>
    <w:p w14:paraId="07E96396">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（3）供应商认为中标或者成交结果使自己的权益受到损害的，应当在中标或者成交结果公告期限届满之日起7个工作日内提出质疑，由采购人受理并负责答复。</w:t>
      </w:r>
    </w:p>
    <w:p w14:paraId="34628537">
      <w:pPr>
        <w:keepNext w:val="0"/>
        <w:keepLines w:val="0"/>
        <w:pageBreakBefore w:val="0"/>
        <w:kinsoku/>
        <w:wordWrap/>
        <w:overflowPunct/>
        <w:topLinePunct w:val="0"/>
        <w:bidi w:val="0"/>
        <w:adjustRightInd/>
        <w:snapToGrid/>
        <w:spacing w:line="560" w:lineRule="exact"/>
        <w:ind w:firstLine="562" w:firstLineChars="200"/>
        <w:jc w:val="both"/>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t>38.2.2</w:t>
      </w:r>
      <w:r>
        <w:rPr>
          <w:rFonts w:hint="eastAsia" w:ascii="宋体" w:hAnsi="宋体" w:eastAsia="宋体" w:cs="宋体"/>
          <w:bCs/>
          <w:color w:val="000000" w:themeColor="text1"/>
          <w:sz w:val="28"/>
          <w:szCs w:val="28"/>
          <w:highlight w:val="none"/>
          <w14:textFill>
            <w14:solidFill>
              <w14:schemeClr w14:val="tx1"/>
            </w14:solidFill>
          </w14:textFill>
        </w:rPr>
        <w:t>供应商质疑实行实名制，其质疑应当有具体的质疑事项及事实根据，质疑应当坚持依法依规、诚实信用原则，不得进行虚假、恶意质疑。</w:t>
      </w:r>
    </w:p>
    <w:p w14:paraId="7C4B7A18">
      <w:pPr>
        <w:keepNext w:val="0"/>
        <w:keepLines w:val="0"/>
        <w:pageBreakBefore w:val="0"/>
        <w:kinsoku/>
        <w:wordWrap/>
        <w:overflowPunct/>
        <w:topLinePunct w:val="0"/>
        <w:bidi w:val="0"/>
        <w:adjustRightInd/>
        <w:snapToGrid/>
        <w:spacing w:line="560" w:lineRule="exact"/>
        <w:ind w:firstLine="562" w:firstLineChars="200"/>
        <w:jc w:val="both"/>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t>38.2.3</w:t>
      </w:r>
      <w:r>
        <w:rPr>
          <w:rFonts w:hint="eastAsia" w:ascii="宋体" w:hAnsi="宋体" w:eastAsia="宋体" w:cs="宋体"/>
          <w:bCs/>
          <w:color w:val="000000" w:themeColor="text1"/>
          <w:sz w:val="28"/>
          <w:szCs w:val="28"/>
          <w:highlight w:val="none"/>
          <w14:textFill>
            <w14:solidFill>
              <w14:schemeClr w14:val="tx1"/>
            </w14:solidFill>
          </w14:textFill>
        </w:rPr>
        <w:t xml:space="preserve"> 质疑供应商可以委托代理人办理质疑事务。委托代理人应熟悉相关业务情况。代理人办理质疑事务时，除提交质疑书外，还应当提交质疑供应商的授权委托书和委托代理人身份证明复印件</w:t>
      </w:r>
      <w:r>
        <w:rPr>
          <w:rFonts w:hint="eastAsia" w:ascii="宋体" w:hAnsi="宋体" w:eastAsia="宋体" w:cs="宋体"/>
          <w:color w:val="000000" w:themeColor="text1"/>
          <w:sz w:val="28"/>
          <w:szCs w:val="28"/>
          <w:highlight w:val="none"/>
          <w14:textFill>
            <w14:solidFill>
              <w14:schemeClr w14:val="tx1"/>
            </w14:solidFill>
          </w14:textFill>
        </w:rPr>
        <w:t>。</w:t>
      </w:r>
    </w:p>
    <w:p w14:paraId="352DFBE1">
      <w:pPr>
        <w:keepNext w:val="0"/>
        <w:keepLines w:val="0"/>
        <w:pageBreakBefore w:val="0"/>
        <w:kinsoku/>
        <w:wordWrap/>
        <w:overflowPunct/>
        <w:topLinePunct w:val="0"/>
        <w:bidi w:val="0"/>
        <w:adjustRightInd/>
        <w:snapToGrid/>
        <w:spacing w:line="560" w:lineRule="exact"/>
        <w:ind w:firstLine="562" w:firstLineChars="200"/>
        <w:jc w:val="both"/>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t>38.2.4 质疑供应商提起质疑应当符合下列条件：</w:t>
      </w:r>
    </w:p>
    <w:p w14:paraId="349B0B92">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（1）质疑供应商是参与所质疑项目采购活动的供应商（潜在供应商已依法获取可之一的采购文件的，可以对该采购文件质疑）；</w:t>
      </w:r>
    </w:p>
    <w:p w14:paraId="4C01F116">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（2）质疑函内容符合本章第38.2.5项的规定；</w:t>
      </w:r>
    </w:p>
    <w:p w14:paraId="7012456B">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（3）在质疑有效期限内提起质疑；</w:t>
      </w:r>
    </w:p>
    <w:p w14:paraId="0C5A313D">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（4）属于所质疑的采购人或采购人委托的采购代理机构组织的采购活动；</w:t>
      </w:r>
    </w:p>
    <w:p w14:paraId="235D3F2A">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 xml:space="preserve">（5）同一质疑事项未经采购人或采购人委托的采购代理机构质疑处理； </w:t>
      </w:r>
    </w:p>
    <w:p w14:paraId="0571DA88">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（6）供应商对同一采购程序环节的质疑应当在质疑有效期内一次性提出；</w:t>
      </w:r>
    </w:p>
    <w:p w14:paraId="549782F8">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（7）供应商提交质疑应当提交必要的证明材料，证明材料应以合法手段取得；</w:t>
      </w:r>
    </w:p>
    <w:p w14:paraId="5078999E">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（8）财政部门规定的其他条件。</w:t>
      </w:r>
    </w:p>
    <w:p w14:paraId="64C21F22">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 38.2.5 </w:t>
      </w:r>
      <w:r>
        <w:rPr>
          <w:rFonts w:hint="eastAsia" w:ascii="宋体" w:hAnsi="宋体" w:eastAsia="宋体" w:cs="宋体"/>
          <w:bCs/>
          <w:color w:val="000000" w:themeColor="text1"/>
          <w:sz w:val="28"/>
          <w:szCs w:val="28"/>
          <w:highlight w:val="none"/>
          <w14:textFill>
            <w14:solidFill>
              <w14:schemeClr w14:val="tx1"/>
            </w14:solidFill>
          </w14:textFill>
        </w:rPr>
        <w:t>供应商提出质疑应当提交质疑函和必要的证明材料，针对同一采购程序环节的质疑必须在法定质疑期内一次性提出。质疑函应当包括下列内容（质疑函格式后附）：</w:t>
      </w:r>
    </w:p>
    <w:p w14:paraId="1588CFC5">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（1）供应商的姓名或者名称、地址、邮编、联系人及联系电话；</w:t>
      </w:r>
    </w:p>
    <w:p w14:paraId="535E1126">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（2）质疑项目的名称、编号；</w:t>
      </w:r>
    </w:p>
    <w:p w14:paraId="4442F063">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（3）具体、明确的质疑事项和与质疑事项相关的请求；</w:t>
      </w:r>
    </w:p>
    <w:p w14:paraId="0D27A3F3">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（4）事实依据（列明权益受到损害的事实和理由）；</w:t>
      </w:r>
    </w:p>
    <w:p w14:paraId="4BE50764">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（5）必要的法律依据；</w:t>
      </w:r>
    </w:p>
    <w:p w14:paraId="54736216">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（6）提出质疑的日期。</w:t>
      </w:r>
    </w:p>
    <w:p w14:paraId="6D3B7679">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供应商为自然人的，应当由本人签字；供应商为法人或者其他组织的，应当由法定代表人、主要负责人，或者其委托代理人签字或者盖章，并加盖公章。</w:t>
      </w:r>
    </w:p>
    <w:p w14:paraId="74A7593C">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b w:val="0"/>
          <w:bCs/>
          <w:color w:val="000000" w:themeColor="text1"/>
          <w:sz w:val="28"/>
          <w:szCs w:val="28"/>
          <w:highlight w:val="none"/>
          <w14:textFill>
            <w14:solidFill>
              <w14:schemeClr w14:val="tx1"/>
            </w14:solidFill>
          </w14:textFill>
        </w:rPr>
      </w:pPr>
      <w:r>
        <w:rPr>
          <w:rFonts w:hint="eastAsia" w:ascii="宋体" w:hAnsi="宋体" w:eastAsia="宋体" w:cs="宋体"/>
          <w:b w:val="0"/>
          <w:bCs/>
          <w:color w:val="000000" w:themeColor="text1"/>
          <w:sz w:val="28"/>
          <w:szCs w:val="28"/>
          <w:highlight w:val="none"/>
          <w14:textFill>
            <w14:solidFill>
              <w14:schemeClr w14:val="tx1"/>
            </w14:solidFill>
          </w14:textFill>
        </w:rPr>
        <w:t>38.2.6采购人或采购人委托的采购代理机构在收到质疑函后7个工作日内作出答复，并以书面形式通知质疑供应商及其他有关供应商。对不符合质疑条件的质疑，答复不予受理，并说明理由；对符合质疑条件的质疑，对质疑事项作出答复</w:t>
      </w:r>
    </w:p>
    <w:p w14:paraId="40472AAD">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3</w:t>
      </w:r>
      <w:r>
        <w:rPr>
          <w:rFonts w:hint="eastAsia" w:ascii="宋体" w:hAnsi="宋体" w:eastAsia="宋体" w:cs="宋体"/>
          <w:bCs/>
          <w:color w:val="000000" w:themeColor="text1"/>
          <w:sz w:val="28"/>
          <w:szCs w:val="28"/>
          <w:highlight w:val="none"/>
          <w14:textFill>
            <w14:solidFill>
              <w14:schemeClr w14:val="tx1"/>
            </w14:solidFill>
          </w14:textFill>
        </w:rPr>
        <w:t>8.2.7采购人、采购代理机构认为供应商质疑不成立，或者成立但未对中标结果构成影响的，继续开展采购活动；认为供应商质疑成立且影响或者可能影响中标结果的，按照下列情况处理：</w:t>
      </w:r>
    </w:p>
    <w:p w14:paraId="14C768FB">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　　（一）对招标文件提出的质疑，依法通过澄清或者修改可以继续开展采购活动的，澄清或者修改招标文件后继续开展采购活动；否则应当修改招标文件后重新开展采购活动。</w:t>
      </w:r>
    </w:p>
    <w:p w14:paraId="357C8623">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　　（二）对采购过程、中标结果提出的质疑，合格供应商符合法定数量时，可以从合格的中标候选人中另行确定中标供应商的，应当依法另行确定中标供应商；否则应当重新开展采购活动。</w:t>
      </w:r>
    </w:p>
    <w:p w14:paraId="406530B1">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质疑答复导致中标结果改变的，采购人或者采购代理机构应当将有关情况书面报告本级财政部门。</w:t>
      </w:r>
    </w:p>
    <w:p w14:paraId="0025413A">
      <w:pPr>
        <w:keepNext w:val="0"/>
        <w:keepLines w:val="0"/>
        <w:pageBreakBefore w:val="0"/>
        <w:kinsoku/>
        <w:wordWrap/>
        <w:overflowPunct/>
        <w:topLinePunct w:val="0"/>
        <w:bidi w:val="0"/>
        <w:adjustRightInd/>
        <w:snapToGrid/>
        <w:spacing w:line="560" w:lineRule="exact"/>
        <w:ind w:firstLine="562" w:firstLineChars="200"/>
        <w:jc w:val="both"/>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38.3投诉</w:t>
      </w:r>
    </w:p>
    <w:p w14:paraId="02D0F0B6">
      <w:pPr>
        <w:keepNext w:val="0"/>
        <w:keepLines w:val="0"/>
        <w:pageBreakBefore w:val="0"/>
        <w:kinsoku/>
        <w:wordWrap/>
        <w:overflowPunct/>
        <w:topLinePunct w:val="0"/>
        <w:bidi w:val="0"/>
        <w:adjustRightInd/>
        <w:snapToGrid/>
        <w:spacing w:line="560" w:lineRule="exact"/>
        <w:ind w:firstLine="562" w:firstLineChars="200"/>
        <w:jc w:val="both"/>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38.3</w:t>
      </w:r>
      <w:r>
        <w:rPr>
          <w:rFonts w:hint="eastAsia" w:ascii="宋体" w:hAnsi="宋体" w:eastAsia="宋体" w:cs="宋体"/>
          <w:bCs/>
          <w:color w:val="000000" w:themeColor="text1"/>
          <w:sz w:val="28"/>
          <w:szCs w:val="28"/>
          <w:highlight w:val="none"/>
          <w14:textFill>
            <w14:solidFill>
              <w14:schemeClr w14:val="tx1"/>
            </w14:solidFill>
          </w14:textFill>
        </w:rPr>
        <w:t>.</w:t>
      </w:r>
      <w:r>
        <w:rPr>
          <w:rFonts w:hint="eastAsia" w:ascii="宋体" w:hAnsi="宋体" w:eastAsia="宋体" w:cs="宋体"/>
          <w:b/>
          <w:bCs/>
          <w:color w:val="000000" w:themeColor="text1"/>
          <w:sz w:val="28"/>
          <w:szCs w:val="28"/>
          <w:highlight w:val="none"/>
          <w14:textFill>
            <w14:solidFill>
              <w14:schemeClr w14:val="tx1"/>
            </w14:solidFill>
          </w14:textFill>
        </w:rPr>
        <w:t xml:space="preserve">1 </w:t>
      </w:r>
      <w:r>
        <w:rPr>
          <w:rFonts w:hint="eastAsia" w:ascii="宋体" w:hAnsi="宋体" w:eastAsia="宋体" w:cs="宋体"/>
          <w:bCs/>
          <w:color w:val="000000" w:themeColor="text1"/>
          <w:sz w:val="28"/>
          <w:szCs w:val="28"/>
          <w:highlight w:val="none"/>
          <w14:textFill>
            <w14:solidFill>
              <w14:schemeClr w14:val="tx1"/>
            </w14:solidFill>
          </w14:textFill>
        </w:rPr>
        <w:t xml:space="preserve"> 供应商认为采购文件、采购过程、中标和成交结果使自己的合法权益受到损害的，应当首先依法向采购人或采购人委托的</w:t>
      </w:r>
      <w:r>
        <w:rPr>
          <w:rFonts w:hint="eastAsia" w:ascii="宋体" w:hAnsi="宋体" w:eastAsia="宋体" w:cs="宋体"/>
          <w:color w:val="000000" w:themeColor="text1"/>
          <w:sz w:val="28"/>
          <w:szCs w:val="28"/>
          <w:highlight w:val="none"/>
          <w14:textFill>
            <w14:solidFill>
              <w14:schemeClr w14:val="tx1"/>
            </w14:solidFill>
          </w14:textFill>
        </w:rPr>
        <w:t>采购代理机构</w:t>
      </w:r>
      <w:r>
        <w:rPr>
          <w:rFonts w:hint="eastAsia" w:ascii="宋体" w:hAnsi="宋体" w:eastAsia="宋体" w:cs="宋体"/>
          <w:bCs/>
          <w:color w:val="000000" w:themeColor="text1"/>
          <w:sz w:val="28"/>
          <w:szCs w:val="28"/>
          <w:highlight w:val="none"/>
          <w14:textFill>
            <w14:solidFill>
              <w14:schemeClr w14:val="tx1"/>
            </w14:solidFill>
          </w14:textFill>
        </w:rPr>
        <w:t>提出质疑。对采购人、</w:t>
      </w:r>
      <w:r>
        <w:rPr>
          <w:rFonts w:hint="eastAsia" w:ascii="宋体" w:hAnsi="宋体" w:eastAsia="宋体" w:cs="宋体"/>
          <w:color w:val="000000" w:themeColor="text1"/>
          <w:sz w:val="28"/>
          <w:szCs w:val="28"/>
          <w:highlight w:val="none"/>
          <w14:textFill>
            <w14:solidFill>
              <w14:schemeClr w14:val="tx1"/>
            </w14:solidFill>
          </w14:textFill>
        </w:rPr>
        <w:t>采购代理机构</w:t>
      </w:r>
      <w:r>
        <w:rPr>
          <w:rFonts w:hint="eastAsia" w:ascii="宋体" w:hAnsi="宋体" w:eastAsia="宋体" w:cs="宋体"/>
          <w:bCs/>
          <w:color w:val="000000" w:themeColor="text1"/>
          <w:sz w:val="28"/>
          <w:szCs w:val="28"/>
          <w:highlight w:val="none"/>
          <w14:textFill>
            <w14:solidFill>
              <w14:schemeClr w14:val="tx1"/>
            </w14:solidFill>
          </w14:textFill>
        </w:rPr>
        <w:t>的答复不满意，或者采购人、</w:t>
      </w:r>
      <w:r>
        <w:rPr>
          <w:rFonts w:hint="eastAsia" w:ascii="宋体" w:hAnsi="宋体" w:eastAsia="宋体" w:cs="宋体"/>
          <w:color w:val="000000" w:themeColor="text1"/>
          <w:sz w:val="28"/>
          <w:szCs w:val="28"/>
          <w:highlight w:val="none"/>
          <w14:textFill>
            <w14:solidFill>
              <w14:schemeClr w14:val="tx1"/>
            </w14:solidFill>
          </w14:textFill>
        </w:rPr>
        <w:t>采购代理机构</w:t>
      </w:r>
      <w:r>
        <w:rPr>
          <w:rFonts w:hint="eastAsia" w:ascii="宋体" w:hAnsi="宋体" w:eastAsia="宋体" w:cs="宋体"/>
          <w:bCs/>
          <w:color w:val="000000" w:themeColor="text1"/>
          <w:sz w:val="28"/>
          <w:szCs w:val="28"/>
          <w:highlight w:val="none"/>
          <w14:textFill>
            <w14:solidFill>
              <w14:schemeClr w14:val="tx1"/>
            </w14:solidFill>
          </w14:textFill>
        </w:rPr>
        <w:t>未在规定期限内做出答复的，供应商可以在答复期满后15个工作日内向哈密市政府采购监督管理部门提起投诉，投诉联系方式见“</w:t>
      </w:r>
      <w:r>
        <w:rPr>
          <w:rFonts w:hint="eastAsia" w:ascii="宋体" w:hAnsi="宋体" w:cs="宋体"/>
          <w:bCs/>
          <w:color w:val="000000" w:themeColor="text1"/>
          <w:sz w:val="28"/>
          <w:szCs w:val="28"/>
          <w:highlight w:val="none"/>
          <w:lang w:eastAsia="zh-CN"/>
          <w14:textFill>
            <w14:solidFill>
              <w14:schemeClr w14:val="tx1"/>
            </w14:solidFill>
          </w14:textFill>
        </w:rPr>
        <w:t>供应商</w:t>
      </w:r>
      <w:r>
        <w:rPr>
          <w:rFonts w:hint="eastAsia" w:ascii="宋体" w:hAnsi="宋体" w:eastAsia="宋体" w:cs="宋体"/>
          <w:bCs/>
          <w:color w:val="000000" w:themeColor="text1"/>
          <w:sz w:val="28"/>
          <w:szCs w:val="28"/>
          <w:highlight w:val="none"/>
          <w14:textFill>
            <w14:solidFill>
              <w14:schemeClr w14:val="tx1"/>
            </w14:solidFill>
          </w14:textFill>
        </w:rPr>
        <w:t>须知前附表”。</w:t>
      </w:r>
    </w:p>
    <w:p w14:paraId="6171EB48">
      <w:pPr>
        <w:keepNext w:val="0"/>
        <w:keepLines w:val="0"/>
        <w:pageBreakBefore w:val="0"/>
        <w:kinsoku/>
        <w:wordWrap/>
        <w:overflowPunct/>
        <w:topLinePunct w:val="0"/>
        <w:bidi w:val="0"/>
        <w:adjustRightInd/>
        <w:snapToGrid/>
        <w:spacing w:line="560" w:lineRule="exact"/>
        <w:ind w:firstLine="562" w:firstLineChars="200"/>
        <w:jc w:val="both"/>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 xml:space="preserve">38.3.2 </w:t>
      </w:r>
      <w:r>
        <w:rPr>
          <w:rFonts w:hint="eastAsia" w:ascii="宋体" w:hAnsi="宋体" w:eastAsia="宋体" w:cs="宋体"/>
          <w:color w:val="000000" w:themeColor="text1"/>
          <w:sz w:val="28"/>
          <w:szCs w:val="28"/>
          <w:highlight w:val="none"/>
          <w14:textFill>
            <w14:solidFill>
              <w14:schemeClr w14:val="tx1"/>
            </w14:solidFill>
          </w14:textFill>
        </w:rPr>
        <w:t xml:space="preserve"> 投诉人投诉时，应当提交投诉书，并按照被投诉采购人、采购代理机构和与投诉事项有关的供应商数量提供投诉书的副本。投诉书应当包括下列主要内容（如材料中有外文资料应同时附上对应的中文译本）</w:t>
      </w:r>
      <w:r>
        <w:rPr>
          <w:rFonts w:hint="eastAsia" w:ascii="宋体" w:hAnsi="宋体" w:eastAsia="宋体" w:cs="宋体"/>
          <w:bCs/>
          <w:color w:val="000000" w:themeColor="text1"/>
          <w:sz w:val="28"/>
          <w:szCs w:val="28"/>
          <w:highlight w:val="none"/>
          <w14:textFill>
            <w14:solidFill>
              <w14:schemeClr w14:val="tx1"/>
            </w14:solidFill>
          </w14:textFill>
        </w:rPr>
        <w:t>（投诉书格式后附）</w:t>
      </w:r>
      <w:r>
        <w:rPr>
          <w:rFonts w:hint="eastAsia" w:ascii="宋体" w:hAnsi="宋体" w:eastAsia="宋体" w:cs="宋体"/>
          <w:color w:val="000000" w:themeColor="text1"/>
          <w:sz w:val="28"/>
          <w:szCs w:val="28"/>
          <w:highlight w:val="none"/>
          <w14:textFill>
            <w14:solidFill>
              <w14:schemeClr w14:val="tx1"/>
            </w14:solidFill>
          </w14:textFill>
        </w:rPr>
        <w:t>：</w:t>
      </w:r>
    </w:p>
    <w:p w14:paraId="411C35E3">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（1）投诉人和被投诉人的名称、地址、邮编、联系人及联系电话等； </w:t>
      </w:r>
    </w:p>
    <w:p w14:paraId="3385B9D2">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（2）质疑和质疑答复情况及相关证明材料； </w:t>
      </w:r>
    </w:p>
    <w:p w14:paraId="1BF428C5">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（3）具体、明确的投诉事项和与投诉事项相关的投诉请求；</w:t>
      </w:r>
    </w:p>
    <w:p w14:paraId="44B0129D">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（4）事实依据；</w:t>
      </w:r>
    </w:p>
    <w:p w14:paraId="4A3D3D84">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（5）法律依据；</w:t>
      </w:r>
    </w:p>
    <w:p w14:paraId="2E4D6973">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（6）提起投诉的日期。</w:t>
      </w:r>
    </w:p>
    <w:p w14:paraId="6C45E060">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（7）附件材料：营业执照副本内页复印件（要求证件有效并清晰反映企业法人经营范围；近期连续三个月依法缴纳税收和在职职工社会保障资金证明材料（复印件）。</w:t>
      </w:r>
      <w:r>
        <w:rPr>
          <w:rFonts w:hint="eastAsia" w:ascii="宋体" w:hAnsi="宋体" w:eastAsia="宋体" w:cs="宋体"/>
          <w:color w:val="000000" w:themeColor="text1"/>
          <w:sz w:val="28"/>
          <w:szCs w:val="28"/>
          <w:highlight w:val="none"/>
          <w14:textFill>
            <w14:solidFill>
              <w14:schemeClr w14:val="tx1"/>
            </w14:solidFill>
          </w14:textFill>
        </w:rPr>
        <w:tab/>
      </w:r>
    </w:p>
    <w:p w14:paraId="22417981">
      <w:pPr>
        <w:keepNext w:val="0"/>
        <w:keepLines w:val="0"/>
        <w:pageBreakBefore w:val="0"/>
        <w:kinsoku/>
        <w:wordWrap/>
        <w:overflowPunct/>
        <w:topLinePunct w:val="0"/>
        <w:bidi w:val="0"/>
        <w:adjustRightInd/>
        <w:snapToGrid/>
        <w:spacing w:line="560" w:lineRule="exact"/>
        <w:ind w:firstLine="562" w:firstLineChars="200"/>
        <w:jc w:val="both"/>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 xml:space="preserve">38.3.3  </w:t>
      </w:r>
      <w:r>
        <w:rPr>
          <w:rFonts w:hint="eastAsia" w:ascii="宋体" w:hAnsi="宋体" w:eastAsia="宋体" w:cs="宋体"/>
          <w:color w:val="000000" w:themeColor="text1"/>
          <w:sz w:val="28"/>
          <w:szCs w:val="28"/>
          <w:highlight w:val="none"/>
          <w14:textFill>
            <w14:solidFill>
              <w14:schemeClr w14:val="tx1"/>
            </w14:solidFill>
          </w14:textFill>
        </w:rPr>
        <w:t>投诉人可以委托代理人办理投诉事务。</w:t>
      </w:r>
      <w:r>
        <w:rPr>
          <w:rFonts w:hint="eastAsia" w:ascii="宋体" w:hAnsi="宋体" w:eastAsia="宋体" w:cs="宋体"/>
          <w:bCs/>
          <w:color w:val="000000" w:themeColor="text1"/>
          <w:sz w:val="28"/>
          <w:szCs w:val="28"/>
          <w:highlight w:val="none"/>
          <w14:textFill>
            <w14:solidFill>
              <w14:schemeClr w14:val="tx1"/>
            </w14:solidFill>
          </w14:textFill>
        </w:rPr>
        <w:t>委托代理人应熟悉相关业务情况。</w:t>
      </w:r>
      <w:r>
        <w:rPr>
          <w:rFonts w:hint="eastAsia" w:ascii="宋体" w:hAnsi="宋体" w:eastAsia="宋体" w:cs="宋体"/>
          <w:color w:val="000000" w:themeColor="text1"/>
          <w:sz w:val="28"/>
          <w:szCs w:val="28"/>
          <w:highlight w:val="none"/>
          <w14:textFill>
            <w14:solidFill>
              <w14:schemeClr w14:val="tx1"/>
            </w14:solidFill>
          </w14:textFill>
        </w:rPr>
        <w:t>代理人办理投诉事务时，除提交投诉书外，还应当提交投诉人的授权委托书和委托代理人身份证明复印件。</w:t>
      </w:r>
    </w:p>
    <w:p w14:paraId="40510542">
      <w:pPr>
        <w:keepNext w:val="0"/>
        <w:keepLines w:val="0"/>
        <w:pageBreakBefore w:val="0"/>
        <w:kinsoku/>
        <w:wordWrap/>
        <w:overflowPunct/>
        <w:topLinePunct w:val="0"/>
        <w:bidi w:val="0"/>
        <w:adjustRightInd/>
        <w:snapToGrid/>
        <w:spacing w:line="560" w:lineRule="exact"/>
        <w:ind w:firstLine="562"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38.3.4</w:t>
      </w:r>
      <w:r>
        <w:rPr>
          <w:rFonts w:hint="eastAsia" w:ascii="宋体" w:hAnsi="宋体" w:eastAsia="宋体" w:cs="宋体"/>
          <w:color w:val="000000" w:themeColor="text1"/>
          <w:sz w:val="28"/>
          <w:szCs w:val="28"/>
          <w:highlight w:val="none"/>
          <w14:textFill>
            <w14:solidFill>
              <w14:schemeClr w14:val="tx1"/>
            </w14:solidFill>
          </w14:textFill>
        </w:rPr>
        <w:t xml:space="preserve">  投诉人提起投诉应当符合下列条件：</w:t>
      </w:r>
    </w:p>
    <w:p w14:paraId="756902CA">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（1）投诉人是参与所投诉政府采购活动的供应商；</w:t>
      </w:r>
    </w:p>
    <w:p w14:paraId="6465EB0C">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（2）提起投诉前已依法进行质疑；</w:t>
      </w:r>
    </w:p>
    <w:p w14:paraId="675EB22A">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（3）投诉书内容符合本章第38.3.2项的规定；</w:t>
      </w:r>
    </w:p>
    <w:p w14:paraId="2761D915">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（4）在投诉有效期限内提起投诉；</w:t>
      </w:r>
    </w:p>
    <w:p w14:paraId="7F6A8054">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（5）属于哈密市伊州区政府采购监督管理部门管辖；</w:t>
      </w:r>
    </w:p>
    <w:p w14:paraId="190F94F5">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（6）同一投诉事项未经</w:t>
      </w:r>
      <w:r>
        <w:rPr>
          <w:rFonts w:hint="eastAsia" w:ascii="宋体" w:hAnsi="宋体" w:eastAsia="宋体" w:cs="宋体"/>
          <w:bCs/>
          <w:color w:val="000000" w:themeColor="text1"/>
          <w:sz w:val="28"/>
          <w:szCs w:val="28"/>
          <w:highlight w:val="none"/>
          <w14:textFill>
            <w14:solidFill>
              <w14:schemeClr w14:val="tx1"/>
            </w14:solidFill>
          </w14:textFill>
        </w:rPr>
        <w:t>政府采购监督管理部门</w:t>
      </w:r>
      <w:r>
        <w:rPr>
          <w:rFonts w:hint="eastAsia" w:ascii="宋体" w:hAnsi="宋体" w:eastAsia="宋体" w:cs="宋体"/>
          <w:color w:val="000000" w:themeColor="text1"/>
          <w:sz w:val="28"/>
          <w:szCs w:val="28"/>
          <w:highlight w:val="none"/>
          <w14:textFill>
            <w14:solidFill>
              <w14:schemeClr w14:val="tx1"/>
            </w14:solidFill>
          </w14:textFill>
        </w:rPr>
        <w:t>投诉处理；</w:t>
      </w:r>
    </w:p>
    <w:p w14:paraId="776CE9BA">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（7）国务院财政部门规定的其他条件。</w:t>
      </w:r>
    </w:p>
    <w:p w14:paraId="6A172EF3">
      <w:pPr>
        <w:keepNext w:val="0"/>
        <w:keepLines w:val="0"/>
        <w:pageBreakBefore w:val="0"/>
        <w:kinsoku/>
        <w:wordWrap/>
        <w:overflowPunct/>
        <w:topLinePunct w:val="0"/>
        <w:bidi w:val="0"/>
        <w:adjustRightInd/>
        <w:snapToGrid/>
        <w:spacing w:line="560" w:lineRule="exact"/>
        <w:ind w:firstLine="562"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38.3.5</w:t>
      </w:r>
      <w:r>
        <w:rPr>
          <w:rFonts w:hint="eastAsia" w:ascii="宋体" w:hAnsi="宋体" w:eastAsia="宋体" w:cs="宋体"/>
          <w:color w:val="000000" w:themeColor="text1"/>
          <w:sz w:val="28"/>
          <w:szCs w:val="28"/>
          <w:highlight w:val="none"/>
          <w14:textFill>
            <w14:solidFill>
              <w14:schemeClr w14:val="tx1"/>
            </w14:solidFill>
          </w14:textFill>
        </w:rPr>
        <w:t xml:space="preserve">  政府采购监督管理部门自受理投诉之日起30个工作日内，对投诉事项作出处理决定，并以书面形式通知投诉人、被投诉人及其他与投诉处理结果有利害关系的政府采购当事人。并将投诉结果在新疆政府采购网（http://www.ccgp-xinjiang.gov.cn）发布。</w:t>
      </w:r>
    </w:p>
    <w:p w14:paraId="1A52A40F">
      <w:pPr>
        <w:keepNext w:val="0"/>
        <w:keepLines w:val="0"/>
        <w:pageBreakBefore w:val="0"/>
        <w:kinsoku/>
        <w:wordWrap/>
        <w:overflowPunct/>
        <w:topLinePunct w:val="0"/>
        <w:bidi w:val="0"/>
        <w:adjustRightInd/>
        <w:snapToGrid/>
        <w:spacing w:line="560" w:lineRule="exact"/>
        <w:ind w:firstLine="562"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38.3.6</w:t>
      </w:r>
      <w:r>
        <w:rPr>
          <w:rFonts w:hint="eastAsia" w:ascii="宋体" w:hAnsi="宋体" w:eastAsia="宋体" w:cs="宋体"/>
          <w:color w:val="000000" w:themeColor="text1"/>
          <w:sz w:val="28"/>
          <w:szCs w:val="28"/>
          <w:highlight w:val="none"/>
          <w14:textFill>
            <w14:solidFill>
              <w14:schemeClr w14:val="tx1"/>
            </w14:solidFill>
          </w14:textFill>
        </w:rPr>
        <w:t xml:space="preserve">  哈密市伊州区政府采购监督管理部门在处理投诉事项期间，可以视具体情况暂停采购活动。</w:t>
      </w:r>
    </w:p>
    <w:p w14:paraId="46D43BB8">
      <w:pPr>
        <w:pStyle w:val="4"/>
        <w:keepNext w:val="0"/>
        <w:keepLines w:val="0"/>
        <w:pageBreakBefore w:val="0"/>
        <w:kinsoku/>
        <w:wordWrap/>
        <w:overflowPunct/>
        <w:topLinePunct w:val="0"/>
        <w:bidi w:val="0"/>
        <w:adjustRightInd/>
        <w:snapToGrid/>
        <w:spacing w:line="560" w:lineRule="exact"/>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八、验收</w:t>
      </w:r>
    </w:p>
    <w:p w14:paraId="02B512B7">
      <w:pPr>
        <w:keepNext w:val="0"/>
        <w:keepLines w:val="0"/>
        <w:pageBreakBefore w:val="0"/>
        <w:kinsoku/>
        <w:wordWrap/>
        <w:overflowPunct/>
        <w:topLinePunct w:val="0"/>
        <w:bidi w:val="0"/>
        <w:adjustRightInd/>
        <w:snapToGrid/>
        <w:spacing w:line="560" w:lineRule="exact"/>
        <w:ind w:firstLine="562" w:firstLineChars="200"/>
        <w:jc w:val="both"/>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39.验收</w:t>
      </w:r>
    </w:p>
    <w:p w14:paraId="7B21FE0D">
      <w:pPr>
        <w:keepNext w:val="0"/>
        <w:keepLines w:val="0"/>
        <w:pageBreakBefore w:val="0"/>
        <w:tabs>
          <w:tab w:val="left" w:pos="0"/>
        </w:tabs>
        <w:kinsoku/>
        <w:wordWrap/>
        <w:overflowPunct/>
        <w:topLinePunct w:val="0"/>
        <w:bidi w:val="0"/>
        <w:adjustRightInd/>
        <w:snapToGrid/>
        <w:spacing w:line="560" w:lineRule="exact"/>
        <w:ind w:firstLine="48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39.1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434B3A0">
      <w:pPr>
        <w:keepNext w:val="0"/>
        <w:keepLines w:val="0"/>
        <w:pageBreakBefore w:val="0"/>
        <w:tabs>
          <w:tab w:val="left" w:pos="0"/>
        </w:tabs>
        <w:kinsoku/>
        <w:wordWrap/>
        <w:overflowPunct/>
        <w:topLinePunct w:val="0"/>
        <w:bidi w:val="0"/>
        <w:adjustRightInd/>
        <w:snapToGrid/>
        <w:spacing w:line="560" w:lineRule="exact"/>
        <w:ind w:firstLine="48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39.2采购人可以邀请参加本项目的其他</w:t>
      </w:r>
      <w:r>
        <w:rPr>
          <w:rFonts w:hint="eastAsia" w:ascii="宋体" w:hAnsi="宋体" w:cs="宋体"/>
          <w:color w:val="000000" w:themeColor="text1"/>
          <w:sz w:val="28"/>
          <w:szCs w:val="28"/>
          <w:highlight w:val="none"/>
          <w:lang w:eastAsia="zh-CN"/>
          <w14:textFill>
            <w14:solidFill>
              <w14:schemeClr w14:val="tx1"/>
            </w14:solidFill>
          </w14:textFill>
        </w:rPr>
        <w:t>供应商</w:t>
      </w:r>
      <w:r>
        <w:rPr>
          <w:rFonts w:hint="eastAsia" w:ascii="宋体" w:hAnsi="宋体" w:eastAsia="宋体" w:cs="宋体"/>
          <w:color w:val="000000" w:themeColor="text1"/>
          <w:sz w:val="28"/>
          <w:szCs w:val="28"/>
          <w:highlight w:val="none"/>
          <w14:textFill>
            <w14:solidFill>
              <w14:schemeClr w14:val="tx1"/>
            </w14:solidFill>
          </w14:textFill>
        </w:rPr>
        <w:t>或者第三方机构参与验收。参与验收的</w:t>
      </w:r>
      <w:r>
        <w:rPr>
          <w:rFonts w:hint="eastAsia" w:ascii="宋体" w:hAnsi="宋体" w:cs="宋体"/>
          <w:color w:val="000000" w:themeColor="text1"/>
          <w:sz w:val="28"/>
          <w:szCs w:val="28"/>
          <w:highlight w:val="none"/>
          <w:lang w:eastAsia="zh-CN"/>
          <w14:textFill>
            <w14:solidFill>
              <w14:schemeClr w14:val="tx1"/>
            </w14:solidFill>
          </w14:textFill>
        </w:rPr>
        <w:t>供应商</w:t>
      </w:r>
      <w:r>
        <w:rPr>
          <w:rFonts w:hint="eastAsia" w:ascii="宋体" w:hAnsi="宋体" w:eastAsia="宋体" w:cs="宋体"/>
          <w:color w:val="000000" w:themeColor="text1"/>
          <w:sz w:val="28"/>
          <w:szCs w:val="28"/>
          <w:highlight w:val="none"/>
          <w14:textFill>
            <w14:solidFill>
              <w14:schemeClr w14:val="tx1"/>
            </w14:solidFill>
          </w14:textFill>
        </w:rPr>
        <w:t>或者第三方机构的意见作为验收书的参考资料一并存档。</w:t>
      </w:r>
    </w:p>
    <w:p w14:paraId="1D71499D">
      <w:pPr>
        <w:keepNext w:val="0"/>
        <w:keepLines w:val="0"/>
        <w:pageBreakBefore w:val="0"/>
        <w:tabs>
          <w:tab w:val="left" w:pos="0"/>
        </w:tabs>
        <w:kinsoku/>
        <w:wordWrap/>
        <w:overflowPunct/>
        <w:topLinePunct w:val="0"/>
        <w:bidi w:val="0"/>
        <w:adjustRightInd/>
        <w:snapToGrid/>
        <w:spacing w:line="560" w:lineRule="exact"/>
        <w:ind w:firstLine="48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39.3严格按照采购合同开展履约验收。采购人成立验收小组，按照采购合同的约定对供应商履约情况进行验收。验收时，按照采购合同的约定对每一项技术、货物、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41527B4">
      <w:pPr>
        <w:keepNext w:val="0"/>
        <w:keepLines w:val="0"/>
        <w:pageBreakBefore w:val="0"/>
        <w:tabs>
          <w:tab w:val="left" w:pos="0"/>
        </w:tabs>
        <w:kinsoku/>
        <w:wordWrap/>
        <w:overflowPunct/>
        <w:topLinePunct w:val="0"/>
        <w:bidi w:val="0"/>
        <w:adjustRightInd/>
        <w:snapToGrid/>
        <w:spacing w:line="560" w:lineRule="exact"/>
        <w:ind w:firstLine="48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39.4验收合格的项目，采购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6E13D648">
      <w:pPr>
        <w:pStyle w:val="4"/>
        <w:keepNext w:val="0"/>
        <w:keepLines w:val="0"/>
        <w:pageBreakBefore w:val="0"/>
        <w:kinsoku/>
        <w:wordWrap/>
        <w:overflowPunct/>
        <w:topLinePunct w:val="0"/>
        <w:bidi w:val="0"/>
        <w:adjustRightInd/>
        <w:snapToGrid/>
        <w:spacing w:line="560" w:lineRule="exact"/>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九、其他事项</w:t>
      </w:r>
    </w:p>
    <w:p w14:paraId="0BC00D43">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40.代理货物费</w:t>
      </w:r>
    </w:p>
    <w:p w14:paraId="27C738D0">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b w:val="0"/>
          <w:bCs/>
          <w:color w:val="000000" w:themeColor="text1"/>
          <w:sz w:val="28"/>
          <w:szCs w:val="28"/>
          <w:highlight w:val="none"/>
          <w14:textFill>
            <w14:solidFill>
              <w14:schemeClr w14:val="tx1"/>
            </w14:solidFill>
          </w14:textFill>
        </w:rPr>
      </w:pPr>
      <w:r>
        <w:rPr>
          <w:rFonts w:hint="eastAsia" w:ascii="宋体" w:hAnsi="宋体" w:eastAsia="宋体" w:cs="宋体"/>
          <w:b w:val="0"/>
          <w:bCs/>
          <w:color w:val="000000" w:themeColor="text1"/>
          <w:sz w:val="28"/>
          <w:szCs w:val="28"/>
          <w:highlight w:val="none"/>
          <w14:textFill>
            <w14:solidFill>
              <w14:schemeClr w14:val="tx1"/>
            </w14:solidFill>
          </w14:textFill>
        </w:rPr>
        <w:t>代理货物收费标准及缴费账户详见“</w:t>
      </w:r>
      <w:r>
        <w:rPr>
          <w:rFonts w:hint="eastAsia" w:ascii="宋体" w:hAnsi="宋体" w:cs="宋体"/>
          <w:b w:val="0"/>
          <w:bCs/>
          <w:color w:val="000000" w:themeColor="text1"/>
          <w:sz w:val="28"/>
          <w:szCs w:val="28"/>
          <w:highlight w:val="none"/>
          <w:lang w:eastAsia="zh-CN"/>
          <w14:textFill>
            <w14:solidFill>
              <w14:schemeClr w14:val="tx1"/>
            </w14:solidFill>
          </w14:textFill>
        </w:rPr>
        <w:t>供应商</w:t>
      </w:r>
      <w:r>
        <w:rPr>
          <w:rFonts w:hint="eastAsia" w:ascii="宋体" w:hAnsi="宋体" w:eastAsia="宋体" w:cs="宋体"/>
          <w:b w:val="0"/>
          <w:bCs/>
          <w:color w:val="000000" w:themeColor="text1"/>
          <w:sz w:val="28"/>
          <w:szCs w:val="28"/>
          <w:highlight w:val="none"/>
          <w14:textFill>
            <w14:solidFill>
              <w14:schemeClr w14:val="tx1"/>
            </w14:solidFill>
          </w14:textFill>
        </w:rPr>
        <w:t>须知前附表”，</w:t>
      </w:r>
      <w:r>
        <w:rPr>
          <w:rFonts w:hint="eastAsia" w:ascii="宋体" w:hAnsi="宋体" w:cs="宋体"/>
          <w:b w:val="0"/>
          <w:bCs/>
          <w:color w:val="000000" w:themeColor="text1"/>
          <w:sz w:val="28"/>
          <w:szCs w:val="28"/>
          <w:highlight w:val="none"/>
          <w:lang w:eastAsia="zh-CN"/>
          <w14:textFill>
            <w14:solidFill>
              <w14:schemeClr w14:val="tx1"/>
            </w14:solidFill>
          </w14:textFill>
        </w:rPr>
        <w:t>供应商</w:t>
      </w:r>
      <w:r>
        <w:rPr>
          <w:rFonts w:hint="eastAsia" w:ascii="宋体" w:hAnsi="宋体" w:eastAsia="宋体" w:cs="宋体"/>
          <w:b w:val="0"/>
          <w:bCs/>
          <w:color w:val="000000" w:themeColor="text1"/>
          <w:sz w:val="28"/>
          <w:szCs w:val="28"/>
          <w:highlight w:val="none"/>
          <w14:textFill>
            <w14:solidFill>
              <w14:schemeClr w14:val="tx1"/>
            </w14:solidFill>
          </w14:textFill>
        </w:rPr>
        <w:t>为联合体的，可以由联合体中的一方或者多方共同交纳代理货物费。</w:t>
      </w:r>
    </w:p>
    <w:p w14:paraId="67EC36C5">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41. 需要补充的其他内容</w:t>
      </w:r>
    </w:p>
    <w:p w14:paraId="2283EC55">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41.1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由中小企业制造，即货物由中小企业生产且使用该中小企业商号或者注册商标，不对其中涉及的工程承建商和服务的承接商作出要求的，享受本文件规定的中小企业扶持政策。</w:t>
      </w:r>
    </w:p>
    <w:p w14:paraId="2FAFA353">
      <w:pPr>
        <w:keepNext w:val="0"/>
        <w:keepLines w:val="0"/>
        <w:pageBreakBefore w:val="0"/>
        <w:kinsoku/>
        <w:wordWrap/>
        <w:overflowPunct/>
        <w:topLinePunct w:val="0"/>
        <w:bidi w:val="0"/>
        <w:adjustRightInd/>
        <w:snapToGrid/>
        <w:spacing w:line="560" w:lineRule="exact"/>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在货物采购项目中，供应商提供的货物既有中小企业制造货物，也有大型企业制造货物的，不享受本文件规定的中小企业扶持政策。以联合体形式参加政府采购活动，联合体各方均为中小企业的，联合体视同中小企业。其中，联合体各方均为小微企业的，联合体视同小微企业。</w:t>
      </w:r>
    </w:p>
    <w:p w14:paraId="3712A41C">
      <w:pPr>
        <w:keepNext w:val="0"/>
        <w:keepLines w:val="0"/>
        <w:pageBreakBefore w:val="0"/>
        <w:kinsoku/>
        <w:wordWrap/>
        <w:overflowPunct/>
        <w:topLinePunct w:val="0"/>
        <w:bidi w:val="0"/>
        <w:adjustRightInd/>
        <w:snapToGrid/>
        <w:spacing w:line="560" w:lineRule="exact"/>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依据本文件规定享受扶持政策获得政府采购合同的，小微企业不得将合同分包给大中型企业，中型企业不得将合同分包给大型企业。</w:t>
      </w:r>
    </w:p>
    <w:p w14:paraId="6AF2FD3C">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45.本招标文件解释规则详见“</w:t>
      </w:r>
      <w:r>
        <w:rPr>
          <w:rFonts w:hint="eastAsia" w:ascii="宋体" w:hAnsi="宋体" w:cs="宋体"/>
          <w:color w:val="000000" w:themeColor="text1"/>
          <w:sz w:val="28"/>
          <w:szCs w:val="28"/>
          <w:highlight w:val="none"/>
          <w:lang w:eastAsia="zh-CN"/>
          <w14:textFill>
            <w14:solidFill>
              <w14:schemeClr w14:val="tx1"/>
            </w14:solidFill>
          </w14:textFill>
        </w:rPr>
        <w:t>供应商</w:t>
      </w:r>
      <w:r>
        <w:rPr>
          <w:rFonts w:hint="eastAsia" w:ascii="宋体" w:hAnsi="宋体" w:eastAsia="宋体" w:cs="宋体"/>
          <w:color w:val="000000" w:themeColor="text1"/>
          <w:sz w:val="28"/>
          <w:szCs w:val="28"/>
          <w:highlight w:val="none"/>
          <w14:textFill>
            <w14:solidFill>
              <w14:schemeClr w14:val="tx1"/>
            </w14:solidFill>
          </w14:textFill>
        </w:rPr>
        <w:t>须知前附表”。</w:t>
      </w:r>
    </w:p>
    <w:p w14:paraId="43CAD89E">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46.其他事项详见“</w:t>
      </w:r>
      <w:r>
        <w:rPr>
          <w:rFonts w:hint="eastAsia" w:ascii="宋体" w:hAnsi="宋体" w:cs="宋体"/>
          <w:color w:val="000000" w:themeColor="text1"/>
          <w:sz w:val="28"/>
          <w:szCs w:val="28"/>
          <w:highlight w:val="none"/>
          <w:lang w:eastAsia="zh-CN"/>
          <w14:textFill>
            <w14:solidFill>
              <w14:schemeClr w14:val="tx1"/>
            </w14:solidFill>
          </w14:textFill>
        </w:rPr>
        <w:t>供应商</w:t>
      </w:r>
      <w:r>
        <w:rPr>
          <w:rFonts w:hint="eastAsia" w:ascii="宋体" w:hAnsi="宋体" w:eastAsia="宋体" w:cs="宋体"/>
          <w:color w:val="000000" w:themeColor="text1"/>
          <w:sz w:val="28"/>
          <w:szCs w:val="28"/>
          <w:highlight w:val="none"/>
          <w14:textFill>
            <w14:solidFill>
              <w14:schemeClr w14:val="tx1"/>
            </w14:solidFill>
          </w14:textFill>
        </w:rPr>
        <w:t>须知前附表”。</w:t>
      </w:r>
    </w:p>
    <w:p w14:paraId="74F14C58">
      <w:pPr>
        <w:pageBreakBefore w:val="0"/>
        <w:widowControl/>
        <w:wordWrap/>
        <w:topLinePunct w:val="0"/>
        <w:bidi w:val="0"/>
        <w:spacing w:line="560" w:lineRule="exact"/>
        <w:jc w:val="left"/>
        <w:rPr>
          <w:b/>
          <w:color w:val="000000" w:themeColor="text1"/>
          <w:sz w:val="36"/>
          <w:szCs w:val="20"/>
          <w:highlight w:val="none"/>
          <w14:textFill>
            <w14:solidFill>
              <w14:schemeClr w14:val="tx1"/>
            </w14:solidFill>
          </w14:textFill>
        </w:rPr>
      </w:pPr>
      <w:r>
        <w:rPr>
          <w:b/>
          <w:color w:val="000000" w:themeColor="text1"/>
          <w:sz w:val="36"/>
          <w:highlight w:val="none"/>
          <w14:textFill>
            <w14:solidFill>
              <w14:schemeClr w14:val="tx1"/>
            </w14:solidFill>
          </w14:textFill>
        </w:rPr>
        <w:br w:type="page"/>
      </w:r>
    </w:p>
    <w:p w14:paraId="4B99FC7C">
      <w:pPr>
        <w:pStyle w:val="31"/>
        <w:pageBreakBefore w:val="0"/>
        <w:wordWrap/>
        <w:topLinePunct w:val="0"/>
        <w:bidi w:val="0"/>
        <w:spacing w:before="0" w:after="0" w:line="560" w:lineRule="exact"/>
        <w:rPr>
          <w:color w:val="000000" w:themeColor="text1"/>
          <w:sz w:val="36"/>
          <w:szCs w:val="36"/>
          <w:highlight w:val="none"/>
          <w14:textFill>
            <w14:solidFill>
              <w14:schemeClr w14:val="tx1"/>
            </w14:solidFill>
          </w14:textFill>
        </w:rPr>
      </w:pPr>
      <w:r>
        <w:rPr>
          <w:rFonts w:hint="eastAsia"/>
          <w:color w:val="000000" w:themeColor="text1"/>
          <w:sz w:val="36"/>
          <w:szCs w:val="36"/>
          <w:highlight w:val="none"/>
          <w14:textFill>
            <w14:solidFill>
              <w14:schemeClr w14:val="tx1"/>
            </w14:solidFill>
          </w14:textFill>
        </w:rPr>
        <w:t>第三章  采购需求</w:t>
      </w:r>
      <w:r>
        <w:rPr>
          <w:rFonts w:hint="eastAsia" w:ascii="宋体" w:hAnsi="宋体" w:eastAsia="宋体" w:cs="宋体"/>
          <w:color w:val="000000" w:themeColor="text1"/>
          <w:sz w:val="36"/>
          <w:szCs w:val="36"/>
          <w:highlight w:val="none"/>
          <w:lang w:eastAsia="zh-CN"/>
          <w14:textFill>
            <w14:solidFill>
              <w14:schemeClr w14:val="tx1"/>
            </w14:solidFill>
          </w14:textFill>
        </w:rPr>
        <w:t>（标项</w:t>
      </w:r>
      <w:r>
        <w:rPr>
          <w:rFonts w:hint="eastAsia" w:ascii="宋体" w:hAnsi="宋体" w:cs="宋体"/>
          <w:color w:val="000000" w:themeColor="text1"/>
          <w:sz w:val="36"/>
          <w:szCs w:val="36"/>
          <w:highlight w:val="none"/>
          <w:lang w:val="en-US" w:eastAsia="zh-CN"/>
          <w14:textFill>
            <w14:solidFill>
              <w14:schemeClr w14:val="tx1"/>
            </w14:solidFill>
          </w14:textFill>
        </w:rPr>
        <w:t>3</w:t>
      </w:r>
      <w:r>
        <w:rPr>
          <w:rFonts w:hint="eastAsia" w:ascii="宋体" w:hAnsi="宋体" w:eastAsia="宋体" w:cs="宋体"/>
          <w:color w:val="000000" w:themeColor="text1"/>
          <w:sz w:val="36"/>
          <w:szCs w:val="36"/>
          <w:highlight w:val="none"/>
          <w:lang w:eastAsia="zh-CN"/>
          <w14:textFill>
            <w14:solidFill>
              <w14:schemeClr w14:val="tx1"/>
            </w14:solidFill>
          </w14:textFill>
        </w:rPr>
        <w:t>）</w:t>
      </w:r>
    </w:p>
    <w:p w14:paraId="1691B987">
      <w:pPr>
        <w:keepNext w:val="0"/>
        <w:keepLines w:val="0"/>
        <w:pageBreakBefore w:val="0"/>
        <w:widowControl/>
        <w:kinsoku w:val="0"/>
        <w:wordWrap/>
        <w:overflowPunct/>
        <w:topLinePunct w:val="0"/>
        <w:autoSpaceDE w:val="0"/>
        <w:autoSpaceDN w:val="0"/>
        <w:bidi w:val="0"/>
        <w:adjustRightInd/>
        <w:snapToGrid/>
        <w:spacing w:line="560" w:lineRule="exact"/>
        <w:jc w:val="both"/>
        <w:textAlignment w:val="baseline"/>
        <w:rPr>
          <w:rFonts w:hint="eastAsia" w:ascii="宋体" w:hAnsi="宋体" w:eastAsia="宋体" w:cs="宋体"/>
          <w:b/>
          <w:bCs/>
          <w:color w:val="000000" w:themeColor="text1"/>
          <w:sz w:val="28"/>
          <w:szCs w:val="28"/>
          <w:highlight w:val="none"/>
          <w:lang w:eastAsia="zh-CN"/>
          <w14:textFill>
            <w14:solidFill>
              <w14:schemeClr w14:val="tx1"/>
            </w14:solidFill>
          </w14:textFill>
        </w:rPr>
      </w:pPr>
      <w:r>
        <w:rPr>
          <w:rFonts w:hint="eastAsia" w:ascii="宋体" w:hAnsi="宋体" w:eastAsia="宋体" w:cs="宋体"/>
          <w:b/>
          <w:bCs/>
          <w:color w:val="000000" w:themeColor="text1"/>
          <w:sz w:val="28"/>
          <w:szCs w:val="28"/>
          <w:highlight w:val="none"/>
          <w:lang w:eastAsia="zh-CN"/>
          <w14:textFill>
            <w14:solidFill>
              <w14:schemeClr w14:val="tx1"/>
            </w14:solidFill>
          </w14:textFill>
        </w:rPr>
        <w:t>一、设备购置清单</w:t>
      </w:r>
    </w:p>
    <w:tbl>
      <w:tblPr>
        <w:tblStyle w:val="34"/>
        <w:tblW w:w="921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15"/>
        <w:gridCol w:w="3933"/>
        <w:gridCol w:w="2035"/>
        <w:gridCol w:w="2035"/>
      </w:tblGrid>
      <w:tr w14:paraId="635715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1" w:hRule="atLeast"/>
          <w:jc w:val="center"/>
        </w:trPr>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272DD">
            <w:pPr>
              <w:keepNext w:val="0"/>
              <w:keepLines w:val="0"/>
              <w:pageBreakBefore w:val="0"/>
              <w:widowControl/>
              <w:suppressLineNumbers w:val="0"/>
              <w:wordWrap/>
              <w:overflowPunct/>
              <w:topLinePunct w:val="0"/>
              <w:bidi w:val="0"/>
              <w:adjustRightInd/>
              <w:snapToGrid/>
              <w:spacing w:line="560" w:lineRule="exact"/>
              <w:jc w:val="center"/>
              <w:textAlignment w:val="center"/>
              <w:rPr>
                <w:rFonts w:hint="eastAsia" w:ascii="宋体" w:hAnsi="宋体" w:eastAsia="宋体" w:cs="宋体"/>
                <w:b/>
                <w:bCs/>
                <w:i w:val="0"/>
                <w:iCs w:val="0"/>
                <w:color w:val="000000" w:themeColor="text1"/>
                <w:sz w:val="28"/>
                <w:szCs w:val="28"/>
                <w:highlight w:val="none"/>
                <w:u w:val="none"/>
                <w14:textFill>
                  <w14:solidFill>
                    <w14:schemeClr w14:val="tx1"/>
                  </w14:solidFill>
                </w14:textFill>
              </w:rPr>
            </w:pPr>
            <w:r>
              <w:rPr>
                <w:rFonts w:hint="eastAsia" w:ascii="宋体" w:hAnsi="宋体" w:eastAsia="宋体" w:cs="宋体"/>
                <w:b/>
                <w:bCs/>
                <w:i w:val="0"/>
                <w:iCs w:val="0"/>
                <w:snapToGrid w:val="0"/>
                <w:color w:val="000000" w:themeColor="text1"/>
                <w:kern w:val="0"/>
                <w:sz w:val="28"/>
                <w:szCs w:val="28"/>
                <w:highlight w:val="none"/>
                <w:u w:val="none"/>
                <w:lang w:val="en-US" w:eastAsia="zh-CN" w:bidi="ar"/>
                <w14:textFill>
                  <w14:solidFill>
                    <w14:schemeClr w14:val="tx1"/>
                  </w14:solidFill>
                </w14:textFill>
              </w:rPr>
              <w:t>序号</w:t>
            </w:r>
          </w:p>
        </w:tc>
        <w:tc>
          <w:tcPr>
            <w:tcW w:w="3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A2343">
            <w:pPr>
              <w:keepNext w:val="0"/>
              <w:keepLines w:val="0"/>
              <w:pageBreakBefore w:val="0"/>
              <w:widowControl/>
              <w:suppressLineNumbers w:val="0"/>
              <w:wordWrap/>
              <w:overflowPunct/>
              <w:topLinePunct w:val="0"/>
              <w:bidi w:val="0"/>
              <w:adjustRightInd/>
              <w:snapToGrid/>
              <w:spacing w:line="560" w:lineRule="exact"/>
              <w:jc w:val="center"/>
              <w:textAlignment w:val="center"/>
              <w:rPr>
                <w:rFonts w:hint="eastAsia" w:ascii="宋体" w:hAnsi="宋体" w:eastAsia="宋体" w:cs="宋体"/>
                <w:b/>
                <w:bCs/>
                <w:i w:val="0"/>
                <w:iCs w:val="0"/>
                <w:color w:val="000000" w:themeColor="text1"/>
                <w:sz w:val="28"/>
                <w:szCs w:val="28"/>
                <w:highlight w:val="none"/>
                <w:u w:val="none"/>
                <w14:textFill>
                  <w14:solidFill>
                    <w14:schemeClr w14:val="tx1"/>
                  </w14:solidFill>
                </w14:textFill>
              </w:rPr>
            </w:pPr>
            <w:r>
              <w:rPr>
                <w:rFonts w:hint="eastAsia" w:ascii="宋体" w:hAnsi="宋体" w:eastAsia="宋体" w:cs="宋体"/>
                <w:b/>
                <w:bCs/>
                <w:i w:val="0"/>
                <w:iCs w:val="0"/>
                <w:snapToGrid w:val="0"/>
                <w:color w:val="000000" w:themeColor="text1"/>
                <w:kern w:val="0"/>
                <w:sz w:val="28"/>
                <w:szCs w:val="28"/>
                <w:highlight w:val="none"/>
                <w:u w:val="none"/>
                <w:lang w:val="en-US" w:eastAsia="zh-CN" w:bidi="ar"/>
                <w14:textFill>
                  <w14:solidFill>
                    <w14:schemeClr w14:val="tx1"/>
                  </w14:solidFill>
                </w14:textFill>
              </w:rPr>
              <w:t>设备名称</w:t>
            </w:r>
          </w:p>
        </w:tc>
        <w:tc>
          <w:tcPr>
            <w:tcW w:w="2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4A3E7">
            <w:pPr>
              <w:keepNext w:val="0"/>
              <w:keepLines w:val="0"/>
              <w:pageBreakBefore w:val="0"/>
              <w:widowControl/>
              <w:suppressLineNumbers w:val="0"/>
              <w:wordWrap/>
              <w:overflowPunct/>
              <w:topLinePunct w:val="0"/>
              <w:bidi w:val="0"/>
              <w:adjustRightInd/>
              <w:snapToGrid/>
              <w:spacing w:line="560" w:lineRule="exact"/>
              <w:jc w:val="center"/>
              <w:textAlignment w:val="center"/>
              <w:rPr>
                <w:rFonts w:hint="eastAsia" w:ascii="宋体" w:hAnsi="宋体" w:eastAsia="宋体" w:cs="宋体"/>
                <w:b/>
                <w:bCs/>
                <w:i w:val="0"/>
                <w:iCs w:val="0"/>
                <w:color w:val="000000" w:themeColor="text1"/>
                <w:sz w:val="28"/>
                <w:szCs w:val="28"/>
                <w:highlight w:val="none"/>
                <w:u w:val="none"/>
                <w14:textFill>
                  <w14:solidFill>
                    <w14:schemeClr w14:val="tx1"/>
                  </w14:solidFill>
                </w14:textFill>
              </w:rPr>
            </w:pPr>
            <w:r>
              <w:rPr>
                <w:rFonts w:hint="eastAsia" w:ascii="宋体" w:hAnsi="宋体" w:eastAsia="宋体" w:cs="宋体"/>
                <w:b/>
                <w:bCs/>
                <w:i w:val="0"/>
                <w:iCs w:val="0"/>
                <w:snapToGrid w:val="0"/>
                <w:color w:val="000000" w:themeColor="text1"/>
                <w:kern w:val="0"/>
                <w:sz w:val="28"/>
                <w:szCs w:val="28"/>
                <w:highlight w:val="none"/>
                <w:u w:val="none"/>
                <w:lang w:val="en-US" w:eastAsia="zh-CN" w:bidi="ar"/>
                <w14:textFill>
                  <w14:solidFill>
                    <w14:schemeClr w14:val="tx1"/>
                  </w14:solidFill>
                </w14:textFill>
              </w:rPr>
              <w:t>单位</w:t>
            </w:r>
          </w:p>
        </w:tc>
        <w:tc>
          <w:tcPr>
            <w:tcW w:w="2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98DB9">
            <w:pPr>
              <w:keepNext w:val="0"/>
              <w:keepLines w:val="0"/>
              <w:pageBreakBefore w:val="0"/>
              <w:widowControl/>
              <w:suppressLineNumbers w:val="0"/>
              <w:wordWrap/>
              <w:overflowPunct/>
              <w:topLinePunct w:val="0"/>
              <w:bidi w:val="0"/>
              <w:adjustRightInd/>
              <w:snapToGrid/>
              <w:spacing w:line="560" w:lineRule="exact"/>
              <w:jc w:val="center"/>
              <w:textAlignment w:val="center"/>
              <w:rPr>
                <w:rFonts w:hint="eastAsia" w:ascii="宋体" w:hAnsi="宋体" w:eastAsia="宋体" w:cs="宋体"/>
                <w:b/>
                <w:bCs/>
                <w:i w:val="0"/>
                <w:iCs w:val="0"/>
                <w:color w:val="000000" w:themeColor="text1"/>
                <w:sz w:val="28"/>
                <w:szCs w:val="28"/>
                <w:highlight w:val="none"/>
                <w:u w:val="none"/>
                <w14:textFill>
                  <w14:solidFill>
                    <w14:schemeClr w14:val="tx1"/>
                  </w14:solidFill>
                </w14:textFill>
              </w:rPr>
            </w:pPr>
            <w:r>
              <w:rPr>
                <w:rFonts w:hint="eastAsia" w:ascii="宋体" w:hAnsi="宋体" w:eastAsia="宋体" w:cs="宋体"/>
                <w:b/>
                <w:bCs/>
                <w:i w:val="0"/>
                <w:iCs w:val="0"/>
                <w:snapToGrid w:val="0"/>
                <w:color w:val="000000" w:themeColor="text1"/>
                <w:kern w:val="0"/>
                <w:sz w:val="28"/>
                <w:szCs w:val="28"/>
                <w:highlight w:val="none"/>
                <w:u w:val="none"/>
                <w:lang w:val="en-US" w:eastAsia="zh-CN" w:bidi="ar"/>
                <w14:textFill>
                  <w14:solidFill>
                    <w14:schemeClr w14:val="tx1"/>
                  </w14:solidFill>
                </w14:textFill>
              </w:rPr>
              <w:t>数量</w:t>
            </w:r>
          </w:p>
        </w:tc>
      </w:tr>
      <w:tr w14:paraId="2D1CBB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4" w:hRule="atLeast"/>
          <w:jc w:val="center"/>
        </w:trPr>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C29F4">
            <w:pPr>
              <w:keepNext w:val="0"/>
              <w:keepLines w:val="0"/>
              <w:pageBreakBefore w:val="0"/>
              <w:widowControl/>
              <w:suppressLineNumbers w:val="0"/>
              <w:wordWrap/>
              <w:overflowPunct/>
              <w:topLinePunct w:val="0"/>
              <w:bidi w:val="0"/>
              <w:adjustRightInd/>
              <w:snapToGrid/>
              <w:spacing w:line="560" w:lineRule="exact"/>
              <w:jc w:val="center"/>
              <w:textAlignment w:val="center"/>
              <w:rPr>
                <w:rFonts w:hint="eastAsia" w:ascii="宋体" w:hAnsi="宋体" w:eastAsia="宋体" w:cs="宋体"/>
                <w:i w:val="0"/>
                <w:iCs w:val="0"/>
                <w:color w:val="000000" w:themeColor="text1"/>
                <w:sz w:val="28"/>
                <w:szCs w:val="28"/>
                <w:highlight w:val="none"/>
                <w:u w:val="none"/>
                <w14:textFill>
                  <w14:solidFill>
                    <w14:schemeClr w14:val="tx1"/>
                  </w14:solidFill>
                </w14:textFill>
              </w:rPr>
            </w:pPr>
            <w:r>
              <w:rPr>
                <w:rFonts w:hint="eastAsia" w:ascii="宋体" w:hAnsi="宋体" w:eastAsia="宋体" w:cs="宋体"/>
                <w:i w:val="0"/>
                <w:iCs w:val="0"/>
                <w:snapToGrid w:val="0"/>
                <w:color w:val="000000" w:themeColor="text1"/>
                <w:kern w:val="0"/>
                <w:sz w:val="28"/>
                <w:szCs w:val="28"/>
                <w:highlight w:val="none"/>
                <w:u w:val="none"/>
                <w:lang w:val="en-US" w:eastAsia="zh-CN" w:bidi="ar"/>
                <w14:textFill>
                  <w14:solidFill>
                    <w14:schemeClr w14:val="tx1"/>
                  </w14:solidFill>
                </w14:textFill>
              </w:rPr>
              <w:t>1</w:t>
            </w:r>
          </w:p>
        </w:tc>
        <w:tc>
          <w:tcPr>
            <w:tcW w:w="3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9FC1A">
            <w:pPr>
              <w:keepNext w:val="0"/>
              <w:keepLines w:val="0"/>
              <w:pageBreakBefore w:val="0"/>
              <w:widowControl/>
              <w:suppressLineNumbers w:val="0"/>
              <w:wordWrap/>
              <w:overflowPunct/>
              <w:topLinePunct w:val="0"/>
              <w:bidi w:val="0"/>
              <w:adjustRightInd/>
              <w:snapToGrid/>
              <w:spacing w:line="560" w:lineRule="exact"/>
              <w:jc w:val="center"/>
              <w:textAlignment w:val="center"/>
              <w:rPr>
                <w:rFonts w:hint="default" w:ascii="宋体" w:hAnsi="宋体" w:eastAsia="宋体" w:cs="宋体"/>
                <w:i w:val="0"/>
                <w:iCs w:val="0"/>
                <w:color w:val="000000" w:themeColor="text1"/>
                <w:sz w:val="28"/>
                <w:szCs w:val="28"/>
                <w:highlight w:val="none"/>
                <w:u w:val="none"/>
                <w:lang w:val="en-US" w:eastAsia="zh-CN"/>
                <w14:textFill>
                  <w14:solidFill>
                    <w14:schemeClr w14:val="tx1"/>
                  </w14:solidFill>
                </w14:textFill>
              </w:rPr>
            </w:pPr>
            <w:r>
              <w:rPr>
                <w:rFonts w:hint="eastAsia" w:ascii="宋体" w:hAnsi="宋体" w:cs="宋体"/>
                <w:color w:val="000000" w:themeColor="text1"/>
                <w:sz w:val="28"/>
                <w:szCs w:val="28"/>
                <w:highlight w:val="none"/>
                <w:lang w:val="en-US" w:eastAsia="zh-CN"/>
                <w14:textFill>
                  <w14:solidFill>
                    <w14:schemeClr w14:val="tx1"/>
                  </w14:solidFill>
                </w14:textFill>
              </w:rPr>
              <w:t>汤剂包装机</w:t>
            </w:r>
          </w:p>
        </w:tc>
        <w:tc>
          <w:tcPr>
            <w:tcW w:w="2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D4DF2">
            <w:pPr>
              <w:keepNext w:val="0"/>
              <w:keepLines w:val="0"/>
              <w:pageBreakBefore w:val="0"/>
              <w:widowControl/>
              <w:suppressLineNumbers w:val="0"/>
              <w:wordWrap/>
              <w:overflowPunct/>
              <w:topLinePunct w:val="0"/>
              <w:bidi w:val="0"/>
              <w:adjustRightInd/>
              <w:snapToGrid/>
              <w:spacing w:line="560" w:lineRule="exact"/>
              <w:jc w:val="center"/>
              <w:textAlignment w:val="center"/>
              <w:rPr>
                <w:rFonts w:hint="eastAsia" w:ascii="宋体" w:hAnsi="宋体" w:eastAsia="宋体" w:cs="宋体"/>
                <w:i w:val="0"/>
                <w:iCs w:val="0"/>
                <w:color w:val="000000" w:themeColor="text1"/>
                <w:sz w:val="28"/>
                <w:szCs w:val="28"/>
                <w:highlight w:val="none"/>
                <w:u w:val="none"/>
                <w14:textFill>
                  <w14:solidFill>
                    <w14:schemeClr w14:val="tx1"/>
                  </w14:solidFill>
                </w14:textFill>
              </w:rPr>
            </w:pPr>
            <w:r>
              <w:rPr>
                <w:rFonts w:hint="eastAsia" w:ascii="宋体" w:hAnsi="宋体" w:eastAsia="宋体" w:cs="宋体"/>
                <w:i w:val="0"/>
                <w:iCs w:val="0"/>
                <w:snapToGrid w:val="0"/>
                <w:color w:val="000000" w:themeColor="text1"/>
                <w:kern w:val="0"/>
                <w:sz w:val="28"/>
                <w:szCs w:val="28"/>
                <w:highlight w:val="none"/>
                <w:u w:val="none"/>
                <w:lang w:val="en-US" w:eastAsia="zh-CN" w:bidi="ar"/>
                <w14:textFill>
                  <w14:solidFill>
                    <w14:schemeClr w14:val="tx1"/>
                  </w14:solidFill>
                </w14:textFill>
              </w:rPr>
              <w:t>台</w:t>
            </w:r>
          </w:p>
        </w:tc>
        <w:tc>
          <w:tcPr>
            <w:tcW w:w="2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FB73E">
            <w:pPr>
              <w:keepNext w:val="0"/>
              <w:keepLines w:val="0"/>
              <w:pageBreakBefore w:val="0"/>
              <w:widowControl/>
              <w:suppressLineNumbers w:val="0"/>
              <w:wordWrap/>
              <w:overflowPunct/>
              <w:topLinePunct w:val="0"/>
              <w:bidi w:val="0"/>
              <w:adjustRightInd/>
              <w:snapToGrid/>
              <w:spacing w:line="560" w:lineRule="exact"/>
              <w:jc w:val="center"/>
              <w:textAlignment w:val="center"/>
              <w:rPr>
                <w:rFonts w:hint="eastAsia" w:ascii="宋体" w:hAnsi="宋体" w:eastAsia="宋体" w:cs="宋体"/>
                <w:i w:val="0"/>
                <w:iCs w:val="0"/>
                <w:color w:val="000000" w:themeColor="text1"/>
                <w:sz w:val="28"/>
                <w:szCs w:val="28"/>
                <w:highlight w:val="none"/>
                <w:u w:val="none"/>
                <w:lang w:val="en-US" w:eastAsia="zh-CN"/>
                <w14:textFill>
                  <w14:solidFill>
                    <w14:schemeClr w14:val="tx1"/>
                  </w14:solidFill>
                </w14:textFill>
              </w:rPr>
            </w:pPr>
            <w:r>
              <w:rPr>
                <w:rFonts w:hint="eastAsia" w:ascii="宋体" w:hAnsi="宋体" w:cs="宋体"/>
                <w:i w:val="0"/>
                <w:iCs w:val="0"/>
                <w:color w:val="000000" w:themeColor="text1"/>
                <w:sz w:val="28"/>
                <w:szCs w:val="28"/>
                <w:highlight w:val="none"/>
                <w:u w:val="none"/>
                <w:lang w:val="en-US" w:eastAsia="zh-CN"/>
                <w14:textFill>
                  <w14:solidFill>
                    <w14:schemeClr w14:val="tx1"/>
                  </w14:solidFill>
                </w14:textFill>
              </w:rPr>
              <w:t>1</w:t>
            </w:r>
          </w:p>
        </w:tc>
      </w:tr>
    </w:tbl>
    <w:p w14:paraId="75F2DE91">
      <w:pPr>
        <w:keepNext w:val="0"/>
        <w:keepLines w:val="0"/>
        <w:pageBreakBefore w:val="0"/>
        <w:widowControl/>
        <w:kinsoku w:val="0"/>
        <w:wordWrap/>
        <w:overflowPunct/>
        <w:topLinePunct w:val="0"/>
        <w:autoSpaceDE w:val="0"/>
        <w:autoSpaceDN w:val="0"/>
        <w:bidi w:val="0"/>
        <w:adjustRightInd/>
        <w:snapToGrid/>
        <w:spacing w:line="560" w:lineRule="exact"/>
        <w:jc w:val="both"/>
        <w:textAlignment w:val="baseline"/>
        <w:rPr>
          <w:rFonts w:hint="eastAsia" w:ascii="宋体" w:hAnsi="宋体" w:eastAsia="宋体" w:cs="宋体"/>
          <w:color w:val="000000" w:themeColor="text1"/>
          <w:sz w:val="28"/>
          <w:szCs w:val="28"/>
          <w:highlight w:val="none"/>
          <w:lang w:eastAsia="zh-CN"/>
          <w14:textFill>
            <w14:solidFill>
              <w14:schemeClr w14:val="tx1"/>
            </w14:solidFill>
          </w14:textFill>
        </w:rPr>
      </w:pPr>
    </w:p>
    <w:p w14:paraId="01D24404">
      <w:pPr>
        <w:keepNext w:val="0"/>
        <w:keepLines w:val="0"/>
        <w:pageBreakBefore w:val="0"/>
        <w:widowControl/>
        <w:kinsoku w:val="0"/>
        <w:wordWrap/>
        <w:overflowPunct/>
        <w:topLinePunct w:val="0"/>
        <w:autoSpaceDE w:val="0"/>
        <w:autoSpaceDN w:val="0"/>
        <w:bidi w:val="0"/>
        <w:adjustRightInd/>
        <w:snapToGrid/>
        <w:spacing w:line="560" w:lineRule="exact"/>
        <w:jc w:val="both"/>
        <w:textAlignment w:val="baseline"/>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bCs/>
          <w:color w:val="000000" w:themeColor="text1"/>
          <w:sz w:val="28"/>
          <w:szCs w:val="28"/>
          <w:highlight w:val="none"/>
          <w:lang w:eastAsia="zh-CN"/>
          <w14:textFill>
            <w14:solidFill>
              <w14:schemeClr w14:val="tx1"/>
            </w14:solidFill>
          </w14:textFill>
        </w:rPr>
        <w:t>二、技术参数</w:t>
      </w:r>
    </w:p>
    <w:p w14:paraId="4254A81E">
      <w:pPr>
        <w:spacing w:line="700" w:lineRule="exact"/>
        <w:jc w:val="center"/>
        <w:rPr>
          <w:rFonts w:hint="eastAsia"/>
          <w:b/>
          <w:color w:val="000000" w:themeColor="text1"/>
          <w:sz w:val="28"/>
          <w:szCs w:val="28"/>
          <w:highlight w:val="none"/>
          <w14:textFill>
            <w14:solidFill>
              <w14:schemeClr w14:val="tx1"/>
            </w14:solidFill>
          </w14:textFill>
        </w:rPr>
      </w:pPr>
      <w:r>
        <w:rPr>
          <w:rFonts w:hint="eastAsia" w:ascii="宋体" w:hAnsi="宋体" w:cs="宋体"/>
          <w:b/>
          <w:bCs/>
          <w:color w:val="000000" w:themeColor="text1"/>
          <w:sz w:val="28"/>
          <w:szCs w:val="28"/>
          <w:highlight w:val="none"/>
          <w:lang w:val="en-US" w:eastAsia="zh-CN"/>
          <w14:textFill>
            <w14:solidFill>
              <w14:schemeClr w14:val="tx1"/>
            </w14:solidFill>
          </w14:textFill>
        </w:rPr>
        <w:t>汤剂包装机</w:t>
      </w:r>
    </w:p>
    <w:p w14:paraId="16617209">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lang w:val="en-US" w:eastAsia="zh-CN"/>
          <w14:textFill>
            <w14:solidFill>
              <w14:schemeClr w14:val="tx1"/>
            </w14:solidFill>
          </w14:textFill>
        </w:rPr>
        <w:t>1</w:t>
      </w:r>
      <w:r>
        <w:rPr>
          <w:rFonts w:hint="eastAsia" w:ascii="宋体" w:hAnsi="宋体"/>
          <w:color w:val="000000" w:themeColor="text1"/>
          <w:sz w:val="28"/>
          <w:szCs w:val="28"/>
          <w:highlight w:val="none"/>
          <w14:textFill>
            <w14:solidFill>
              <w14:schemeClr w14:val="tx1"/>
            </w14:solidFill>
          </w14:textFill>
        </w:rPr>
        <w:t>、容量：</w:t>
      </w:r>
      <w:r>
        <w:rPr>
          <w:rFonts w:hint="eastAsia" w:ascii="宋体" w:hAnsi="宋体"/>
          <w:color w:val="000000" w:themeColor="text1"/>
          <w:sz w:val="28"/>
          <w:szCs w:val="28"/>
          <w:highlight w:val="none"/>
          <w:lang w:val="en-US" w:eastAsia="zh-CN"/>
          <w14:textFill>
            <w14:solidFill>
              <w14:schemeClr w14:val="tx1"/>
            </w14:solidFill>
          </w14:textFill>
        </w:rPr>
        <w:t>≥</w:t>
      </w:r>
      <w:r>
        <w:rPr>
          <w:rFonts w:hint="eastAsia" w:ascii="宋体" w:hAnsi="宋体"/>
          <w:color w:val="000000" w:themeColor="text1"/>
          <w:sz w:val="28"/>
          <w:szCs w:val="28"/>
          <w:highlight w:val="none"/>
          <w14:textFill>
            <w14:solidFill>
              <w14:schemeClr w14:val="tx1"/>
            </w14:solidFill>
          </w14:textFill>
        </w:rPr>
        <w:t>20L</w:t>
      </w:r>
    </w:p>
    <w:p w14:paraId="0309316F">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宋体" w:hAnsi="宋体"/>
          <w:color w:val="000000" w:themeColor="text1"/>
          <w:sz w:val="28"/>
          <w:szCs w:val="28"/>
          <w:highlight w:val="none"/>
          <w:lang w:val="en-US" w:eastAsia="zh-CN"/>
          <w14:textFill>
            <w14:solidFill>
              <w14:schemeClr w14:val="tx1"/>
            </w14:solidFill>
          </w14:textFill>
        </w:rPr>
      </w:pPr>
      <w:r>
        <w:rPr>
          <w:rFonts w:hint="eastAsia" w:ascii="宋体" w:hAnsi="宋体"/>
          <w:color w:val="000000" w:themeColor="text1"/>
          <w:sz w:val="28"/>
          <w:szCs w:val="28"/>
          <w:highlight w:val="none"/>
          <w:lang w:val="en-US" w:eastAsia="zh-CN"/>
          <w14:textFill>
            <w14:solidFill>
              <w14:schemeClr w14:val="tx1"/>
            </w14:solidFill>
          </w14:textFill>
        </w:rPr>
        <w:t>2</w:t>
      </w:r>
      <w:r>
        <w:rPr>
          <w:rFonts w:hint="eastAsia" w:ascii="宋体" w:hAnsi="宋体"/>
          <w:color w:val="000000" w:themeColor="text1"/>
          <w:sz w:val="28"/>
          <w:szCs w:val="28"/>
          <w:highlight w:val="none"/>
          <w14:textFill>
            <w14:solidFill>
              <w14:schemeClr w14:val="tx1"/>
            </w14:solidFill>
          </w14:textFill>
        </w:rPr>
        <w:t>、功率：</w:t>
      </w:r>
      <w:r>
        <w:rPr>
          <w:rFonts w:hint="eastAsia" w:ascii="宋体" w:hAnsi="宋体"/>
          <w:color w:val="000000" w:themeColor="text1"/>
          <w:sz w:val="28"/>
          <w:szCs w:val="28"/>
          <w:highlight w:val="none"/>
          <w:lang w:val="en-US" w:eastAsia="zh-CN"/>
          <w14:textFill>
            <w14:solidFill>
              <w14:schemeClr w14:val="tx1"/>
            </w14:solidFill>
          </w14:textFill>
        </w:rPr>
        <w:t>约800W+800w</w:t>
      </w:r>
    </w:p>
    <w:p w14:paraId="3C8FBDBA">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lang w:val="en-US" w:eastAsia="zh-CN"/>
          <w14:textFill>
            <w14:solidFill>
              <w14:schemeClr w14:val="tx1"/>
            </w14:solidFill>
          </w14:textFill>
        </w:rPr>
        <w:t>3</w:t>
      </w:r>
      <w:r>
        <w:rPr>
          <w:rFonts w:hint="eastAsia" w:ascii="宋体" w:hAnsi="宋体"/>
          <w:color w:val="000000" w:themeColor="text1"/>
          <w:sz w:val="28"/>
          <w:szCs w:val="28"/>
          <w:highlight w:val="none"/>
          <w14:textFill>
            <w14:solidFill>
              <w14:schemeClr w14:val="tx1"/>
            </w14:solidFill>
          </w14:textFill>
        </w:rPr>
        <w:t>、电压：</w:t>
      </w:r>
      <w:r>
        <w:rPr>
          <w:rFonts w:hint="eastAsia" w:ascii="宋体" w:hAnsi="宋体"/>
          <w:color w:val="000000" w:themeColor="text1"/>
          <w:sz w:val="28"/>
          <w:szCs w:val="28"/>
          <w:highlight w:val="none"/>
          <w:lang w:val="en-US" w:eastAsia="zh-CN"/>
          <w14:textFill>
            <w14:solidFill>
              <w14:schemeClr w14:val="tx1"/>
            </w14:solidFill>
          </w14:textFill>
        </w:rPr>
        <w:t>约</w:t>
      </w:r>
      <w:r>
        <w:rPr>
          <w:rFonts w:hint="eastAsia" w:ascii="宋体" w:hAnsi="宋体"/>
          <w:color w:val="000000" w:themeColor="text1"/>
          <w:sz w:val="28"/>
          <w:szCs w:val="28"/>
          <w:highlight w:val="none"/>
          <w14:textFill>
            <w14:solidFill>
              <w14:schemeClr w14:val="tx1"/>
            </w14:solidFill>
          </w14:textFill>
        </w:rPr>
        <w:t>AC220V</w:t>
      </w:r>
    </w:p>
    <w:p w14:paraId="21235CC3">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lang w:val="en-US" w:eastAsia="zh-CN"/>
          <w14:textFill>
            <w14:solidFill>
              <w14:schemeClr w14:val="tx1"/>
            </w14:solidFill>
          </w14:textFill>
        </w:rPr>
        <w:t>4</w:t>
      </w:r>
      <w:r>
        <w:rPr>
          <w:rFonts w:hint="eastAsia" w:ascii="宋体" w:hAnsi="宋体"/>
          <w:color w:val="000000" w:themeColor="text1"/>
          <w:sz w:val="28"/>
          <w:szCs w:val="28"/>
          <w:highlight w:val="none"/>
          <w14:textFill>
            <w14:solidFill>
              <w14:schemeClr w14:val="tx1"/>
            </w14:solidFill>
          </w14:textFill>
        </w:rPr>
        <w:t>、尺寸：</w:t>
      </w:r>
      <w:r>
        <w:rPr>
          <w:rFonts w:hint="eastAsia" w:ascii="宋体" w:hAnsi="宋体"/>
          <w:color w:val="000000" w:themeColor="text1"/>
          <w:sz w:val="28"/>
          <w:szCs w:val="28"/>
          <w:highlight w:val="none"/>
          <w:lang w:val="en-US" w:eastAsia="zh-CN"/>
          <w14:textFill>
            <w14:solidFill>
              <w14:schemeClr w14:val="tx1"/>
            </w14:solidFill>
          </w14:textFill>
        </w:rPr>
        <w:t>约</w:t>
      </w:r>
      <w:r>
        <w:rPr>
          <w:rFonts w:hint="eastAsia" w:ascii="宋体" w:hAnsi="宋体"/>
          <w:color w:val="000000" w:themeColor="text1"/>
          <w:sz w:val="28"/>
          <w:szCs w:val="28"/>
          <w:highlight w:val="none"/>
          <w14:textFill>
            <w14:solidFill>
              <w14:schemeClr w14:val="tx1"/>
            </w14:solidFill>
          </w14:textFill>
        </w:rPr>
        <w:t>570×570×1200（mm）</w:t>
      </w:r>
    </w:p>
    <w:p w14:paraId="0BE4C1B1">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lang w:val="en-US" w:eastAsia="zh-CN"/>
          <w14:textFill>
            <w14:solidFill>
              <w14:schemeClr w14:val="tx1"/>
            </w14:solidFill>
          </w14:textFill>
        </w:rPr>
        <w:t>5</w:t>
      </w:r>
      <w:r>
        <w:rPr>
          <w:rFonts w:hint="eastAsia" w:ascii="宋体" w:hAnsi="宋体"/>
          <w:color w:val="000000" w:themeColor="text1"/>
          <w:sz w:val="28"/>
          <w:szCs w:val="28"/>
          <w:highlight w:val="none"/>
          <w14:textFill>
            <w14:solidFill>
              <w14:schemeClr w14:val="tx1"/>
            </w14:solidFill>
          </w14:textFill>
        </w:rPr>
        <w:t>、自动包装。</w:t>
      </w:r>
    </w:p>
    <w:p w14:paraId="2BF00733">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lang w:val="en-US" w:eastAsia="zh-CN"/>
          <w14:textFill>
            <w14:solidFill>
              <w14:schemeClr w14:val="tx1"/>
            </w14:solidFill>
          </w14:textFill>
        </w:rPr>
        <w:t>6</w:t>
      </w:r>
      <w:r>
        <w:rPr>
          <w:rFonts w:hint="eastAsia" w:ascii="宋体" w:hAnsi="宋体"/>
          <w:color w:val="000000" w:themeColor="text1"/>
          <w:sz w:val="28"/>
          <w:szCs w:val="28"/>
          <w:highlight w:val="none"/>
          <w14:textFill>
            <w14:solidFill>
              <w14:schemeClr w14:val="tx1"/>
            </w14:solidFill>
          </w14:textFill>
        </w:rPr>
        <w:t>、包装温度、包装量自动显示。</w:t>
      </w:r>
    </w:p>
    <w:p w14:paraId="1BB21FFA">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lang w:val="en-US" w:eastAsia="zh-CN"/>
          <w14:textFill>
            <w14:solidFill>
              <w14:schemeClr w14:val="tx1"/>
            </w14:solidFill>
          </w14:textFill>
        </w:rPr>
        <w:t>7</w:t>
      </w:r>
      <w:r>
        <w:rPr>
          <w:rFonts w:hint="eastAsia" w:ascii="宋体" w:hAnsi="宋体"/>
          <w:color w:val="000000" w:themeColor="text1"/>
          <w:sz w:val="28"/>
          <w:szCs w:val="28"/>
          <w:highlight w:val="none"/>
          <w14:textFill>
            <w14:solidFill>
              <w14:schemeClr w14:val="tx1"/>
            </w14:solidFill>
          </w14:textFill>
        </w:rPr>
        <w:t>、★具备联网通讯功能。可实现煎药单数据传输等通讯协议，并支持包数、包装量通讯协议的自动设置；</w:t>
      </w:r>
    </w:p>
    <w:p w14:paraId="43C064A4">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lang w:val="en-US" w:eastAsia="zh-CN"/>
          <w14:textFill>
            <w14:solidFill>
              <w14:schemeClr w14:val="tx1"/>
            </w14:solidFill>
          </w14:textFill>
        </w:rPr>
        <w:t>8</w:t>
      </w:r>
      <w:r>
        <w:rPr>
          <w:rFonts w:hint="eastAsia" w:ascii="宋体" w:hAnsi="宋体"/>
          <w:color w:val="000000" w:themeColor="text1"/>
          <w:sz w:val="28"/>
          <w:szCs w:val="28"/>
          <w:highlight w:val="none"/>
          <w14:textFill>
            <w14:solidFill>
              <w14:schemeClr w14:val="tx1"/>
            </w14:solidFill>
          </w14:textFill>
        </w:rPr>
        <w:t>、封合温度数字化控制，可以设定自动恒定。</w:t>
      </w:r>
    </w:p>
    <w:p w14:paraId="6D3B83E2">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lang w:val="en-US" w:eastAsia="zh-CN"/>
          <w14:textFill>
            <w14:solidFill>
              <w14:schemeClr w14:val="tx1"/>
            </w14:solidFill>
          </w14:textFill>
        </w:rPr>
        <w:t>9</w:t>
      </w:r>
      <w:r>
        <w:rPr>
          <w:rFonts w:hint="eastAsia" w:ascii="宋体" w:hAnsi="宋体"/>
          <w:color w:val="000000" w:themeColor="text1"/>
          <w:sz w:val="28"/>
          <w:szCs w:val="28"/>
          <w:highlight w:val="none"/>
          <w14:textFill>
            <w14:solidFill>
              <w14:schemeClr w14:val="tx1"/>
            </w14:solidFill>
          </w14:textFill>
        </w:rPr>
        <w:t>、包装量为50-250</w:t>
      </w:r>
      <w:r>
        <w:rPr>
          <w:rFonts w:hint="eastAsia" w:ascii="宋体" w:hAnsi="宋体"/>
          <w:color w:val="000000" w:themeColor="text1"/>
          <w:sz w:val="28"/>
          <w:szCs w:val="28"/>
          <w:highlight w:val="none"/>
          <w:lang w:val="en-US" w:eastAsia="zh-CN"/>
          <w14:textFill>
            <w14:solidFill>
              <w14:schemeClr w14:val="tx1"/>
            </w14:solidFill>
          </w14:textFill>
        </w:rPr>
        <w:t>m</w:t>
      </w:r>
      <w:r>
        <w:rPr>
          <w:rFonts w:hint="eastAsia" w:ascii="宋体" w:hAnsi="宋体"/>
          <w:color w:val="000000" w:themeColor="text1"/>
          <w:sz w:val="28"/>
          <w:szCs w:val="28"/>
          <w:highlight w:val="none"/>
          <w14:textFill>
            <w14:solidFill>
              <w14:schemeClr w14:val="tx1"/>
            </w14:solidFill>
          </w14:textFill>
        </w:rPr>
        <w:t>L无极变量可调包装。</w:t>
      </w:r>
    </w:p>
    <w:p w14:paraId="164A9897">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lang w:val="en-US" w:eastAsia="zh-CN"/>
          <w14:textFill>
            <w14:solidFill>
              <w14:schemeClr w14:val="tx1"/>
            </w14:solidFill>
          </w14:textFill>
        </w:rPr>
        <w:t>10</w:t>
      </w:r>
      <w:r>
        <w:rPr>
          <w:rFonts w:hint="eastAsia" w:ascii="宋体" w:hAnsi="宋体"/>
          <w:color w:val="000000" w:themeColor="text1"/>
          <w:sz w:val="28"/>
          <w:szCs w:val="28"/>
          <w:highlight w:val="none"/>
          <w14:textFill>
            <w14:solidFill>
              <w14:schemeClr w14:val="tx1"/>
            </w14:solidFill>
          </w14:textFill>
        </w:rPr>
        <w:t>、具有喷淋清洗装置，分为储液桶清洗、喷嘴清洗；</w:t>
      </w:r>
    </w:p>
    <w:p w14:paraId="6F106E22">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lang w:val="en-US" w:eastAsia="zh-CN"/>
          <w14:textFill>
            <w14:solidFill>
              <w14:schemeClr w14:val="tx1"/>
            </w14:solidFill>
          </w14:textFill>
        </w:rPr>
        <w:t>11</w:t>
      </w:r>
      <w:r>
        <w:rPr>
          <w:rFonts w:hint="eastAsia" w:ascii="宋体" w:hAnsi="宋体"/>
          <w:color w:val="000000" w:themeColor="text1"/>
          <w:sz w:val="28"/>
          <w:szCs w:val="28"/>
          <w:highlight w:val="none"/>
          <w14:textFill>
            <w14:solidFill>
              <w14:schemeClr w14:val="tx1"/>
            </w14:solidFill>
          </w14:textFill>
        </w:rPr>
        <w:t>、药液加热控制，具有防干烧功能，可浓缩药液；</w:t>
      </w:r>
    </w:p>
    <w:p w14:paraId="7BAFCCF5">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lang w:val="en-US" w:eastAsia="zh-CN"/>
          <w14:textFill>
            <w14:solidFill>
              <w14:schemeClr w14:val="tx1"/>
            </w14:solidFill>
          </w14:textFill>
        </w:rPr>
        <w:t>12</w:t>
      </w:r>
      <w:r>
        <w:rPr>
          <w:rFonts w:hint="eastAsia" w:ascii="宋体" w:hAnsi="宋体"/>
          <w:color w:val="000000" w:themeColor="text1"/>
          <w:sz w:val="28"/>
          <w:szCs w:val="28"/>
          <w:highlight w:val="none"/>
          <w14:textFill>
            <w14:solidFill>
              <w14:schemeClr w14:val="tx1"/>
            </w14:solidFill>
          </w14:textFill>
        </w:rPr>
        <w:t>、易撕口设计，便于携带饮用；</w:t>
      </w:r>
    </w:p>
    <w:p w14:paraId="4C706DE1">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lang w:val="en-US" w:eastAsia="zh-CN"/>
          <w14:textFill>
            <w14:solidFill>
              <w14:schemeClr w14:val="tx1"/>
            </w14:solidFill>
          </w14:textFill>
        </w:rPr>
        <w:t>13</w:t>
      </w:r>
      <w:r>
        <w:rPr>
          <w:rFonts w:hint="eastAsia" w:ascii="宋体" w:hAnsi="宋体"/>
          <w:color w:val="000000" w:themeColor="text1"/>
          <w:sz w:val="28"/>
          <w:szCs w:val="28"/>
          <w:highlight w:val="none"/>
          <w14:textFill>
            <w14:solidFill>
              <w14:schemeClr w14:val="tx1"/>
            </w14:solidFill>
          </w14:textFill>
        </w:rPr>
        <w:t>、适用于老人、儿童、成年人等不同用量。</w:t>
      </w:r>
    </w:p>
    <w:p w14:paraId="5198CBBE">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1</w:t>
      </w:r>
      <w:r>
        <w:rPr>
          <w:rFonts w:hint="eastAsia" w:ascii="宋体" w:hAnsi="宋体"/>
          <w:color w:val="000000" w:themeColor="text1"/>
          <w:sz w:val="28"/>
          <w:szCs w:val="28"/>
          <w:highlight w:val="none"/>
          <w:lang w:val="en-US" w:eastAsia="zh-CN"/>
          <w14:textFill>
            <w14:solidFill>
              <w14:schemeClr w14:val="tx1"/>
            </w14:solidFill>
          </w14:textFill>
        </w:rPr>
        <w:t>4</w:t>
      </w:r>
      <w:r>
        <w:rPr>
          <w:rFonts w:hint="eastAsia" w:ascii="宋体" w:hAnsi="宋体"/>
          <w:color w:val="000000" w:themeColor="text1"/>
          <w:sz w:val="28"/>
          <w:szCs w:val="28"/>
          <w:highlight w:val="none"/>
          <w14:textFill>
            <w14:solidFill>
              <w14:schemeClr w14:val="tx1"/>
            </w14:solidFill>
          </w14:textFill>
        </w:rPr>
        <w:t>、包装平均速度</w:t>
      </w:r>
      <w:r>
        <w:rPr>
          <w:rFonts w:hint="eastAsia" w:ascii="宋体" w:hAnsi="宋体"/>
          <w:color w:val="000000" w:themeColor="text1"/>
          <w:sz w:val="28"/>
          <w:szCs w:val="28"/>
          <w:highlight w:val="none"/>
          <w:lang w:val="en-US" w:eastAsia="zh-CN"/>
          <w14:textFill>
            <w14:solidFill>
              <w14:schemeClr w14:val="tx1"/>
            </w14:solidFill>
          </w14:textFill>
        </w:rPr>
        <w:t>≥</w:t>
      </w:r>
      <w:r>
        <w:rPr>
          <w:rFonts w:hint="eastAsia" w:ascii="宋体" w:hAnsi="宋体"/>
          <w:color w:val="000000" w:themeColor="text1"/>
          <w:sz w:val="28"/>
          <w:szCs w:val="28"/>
          <w:highlight w:val="none"/>
          <w14:textFill>
            <w14:solidFill>
              <w14:schemeClr w14:val="tx1"/>
            </w14:solidFill>
          </w14:textFill>
        </w:rPr>
        <w:t>8袋/分。</w:t>
      </w:r>
    </w:p>
    <w:p w14:paraId="2162CF25">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1</w:t>
      </w:r>
      <w:r>
        <w:rPr>
          <w:rFonts w:hint="eastAsia" w:ascii="宋体" w:hAnsi="宋体"/>
          <w:color w:val="000000" w:themeColor="text1"/>
          <w:sz w:val="28"/>
          <w:szCs w:val="28"/>
          <w:highlight w:val="none"/>
          <w:lang w:val="en-US" w:eastAsia="zh-CN"/>
          <w14:textFill>
            <w14:solidFill>
              <w14:schemeClr w14:val="tx1"/>
            </w14:solidFill>
          </w14:textFill>
        </w:rPr>
        <w:t>5</w:t>
      </w:r>
      <w:r>
        <w:rPr>
          <w:rFonts w:hint="eastAsia" w:ascii="宋体" w:hAnsi="宋体"/>
          <w:color w:val="000000" w:themeColor="text1"/>
          <w:sz w:val="28"/>
          <w:szCs w:val="28"/>
          <w:highlight w:val="none"/>
          <w14:textFill>
            <w14:solidFill>
              <w14:schemeClr w14:val="tx1"/>
            </w14:solidFill>
          </w14:textFill>
        </w:rPr>
        <w:t>、生产厂家通过ISO9001质量认证、ISO13485认证。</w:t>
      </w:r>
    </w:p>
    <w:p w14:paraId="0FE92853">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宋体" w:hAnsi="宋体"/>
          <w:color w:val="000000" w:themeColor="text1"/>
          <w:sz w:val="28"/>
          <w:szCs w:val="28"/>
          <w:highlight w:val="none"/>
          <w14:textFill>
            <w14:solidFill>
              <w14:schemeClr w14:val="tx1"/>
            </w14:solidFill>
          </w14:textFill>
        </w:rPr>
      </w:pPr>
    </w:p>
    <w:p w14:paraId="4E22D0AC">
      <w:pPr>
        <w:spacing w:line="400" w:lineRule="exact"/>
        <w:jc w:val="center"/>
        <w:rPr>
          <w:rFonts w:hint="eastAsia" w:eastAsia="宋体"/>
          <w:b/>
          <w:bCs/>
          <w:color w:val="000000" w:themeColor="text1"/>
          <w:sz w:val="32"/>
          <w:szCs w:val="32"/>
          <w:highlight w:val="none"/>
          <w:lang w:eastAsia="zh-CN"/>
          <w14:textFill>
            <w14:solidFill>
              <w14:schemeClr w14:val="tx1"/>
            </w14:solidFill>
          </w14:textFill>
        </w:rPr>
      </w:pPr>
      <w:r>
        <w:rPr>
          <w:rFonts w:hint="eastAsia" w:ascii="宋体" w:hAnsi="宋体" w:cs="宋体"/>
          <w:b/>
          <w:bCs/>
          <w:color w:val="000000" w:themeColor="text1"/>
          <w:sz w:val="28"/>
          <w:szCs w:val="28"/>
          <w:highlight w:val="none"/>
          <w:lang w:val="en-US" w:eastAsia="zh-CN"/>
          <w14:textFill>
            <w14:solidFill>
              <w14:schemeClr w14:val="tx1"/>
            </w14:solidFill>
          </w14:textFill>
        </w:rPr>
        <w:t>汤剂包装机</w:t>
      </w:r>
    </w:p>
    <w:p w14:paraId="2F3952E8">
      <w:pPr>
        <w:bidi w:val="0"/>
        <w:rPr>
          <w:rFonts w:hint="eastAsia"/>
          <w:color w:val="000000" w:themeColor="text1"/>
          <w:highlight w:val="none"/>
          <w14:textFill>
            <w14:solidFill>
              <w14:schemeClr w14:val="tx1"/>
            </w14:solidFill>
          </w14:textFill>
        </w:rPr>
      </w:pPr>
    </w:p>
    <w:p w14:paraId="32CE26D7">
      <w:pPr>
        <w:spacing w:line="400" w:lineRule="exact"/>
        <w:jc w:val="center"/>
        <w:rPr>
          <w:b/>
          <w:color w:val="000000" w:themeColor="text1"/>
          <w:sz w:val="32"/>
          <w:szCs w:val="32"/>
          <w:highlight w:val="none"/>
          <w14:textFill>
            <w14:solidFill>
              <w14:schemeClr w14:val="tx1"/>
            </w14:solidFill>
          </w14:textFill>
        </w:rPr>
      </w:pPr>
      <w:r>
        <w:rPr>
          <w:b/>
          <w:color w:val="000000" w:themeColor="text1"/>
          <w:sz w:val="28"/>
          <w:szCs w:val="28"/>
          <w:highlight w:val="none"/>
          <w14:textFill>
            <w14:solidFill>
              <w14:schemeClr w14:val="tx1"/>
            </w14:solidFill>
          </w14:textFill>
        </w:rPr>
        <w:t>配置清单</w:t>
      </w:r>
    </w:p>
    <w:p w14:paraId="110E5943">
      <w:pPr>
        <w:spacing w:line="400" w:lineRule="exact"/>
        <w:jc w:val="center"/>
        <w:rPr>
          <w:rFonts w:hint="eastAsia"/>
          <w:b/>
          <w:color w:val="000000" w:themeColor="text1"/>
          <w:sz w:val="32"/>
          <w:szCs w:val="32"/>
          <w:highlight w:val="none"/>
          <w14:textFill>
            <w14:solidFill>
              <w14:schemeClr w14:val="tx1"/>
            </w14:solidFill>
          </w14:textFill>
        </w:rPr>
      </w:pPr>
    </w:p>
    <w:tbl>
      <w:tblPr>
        <w:tblStyle w:val="34"/>
        <w:tblW w:w="97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3"/>
        <w:gridCol w:w="1852"/>
        <w:gridCol w:w="2776"/>
        <w:gridCol w:w="1500"/>
        <w:gridCol w:w="1350"/>
        <w:gridCol w:w="1519"/>
      </w:tblGrid>
      <w:tr w14:paraId="43A90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743" w:type="dxa"/>
            <w:noWrap w:val="0"/>
            <w:vAlign w:val="center"/>
          </w:tcPr>
          <w:p w14:paraId="7380C245">
            <w:pPr>
              <w:jc w:val="center"/>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序号</w:t>
            </w:r>
          </w:p>
        </w:tc>
        <w:tc>
          <w:tcPr>
            <w:tcW w:w="1852" w:type="dxa"/>
            <w:noWrap w:val="0"/>
            <w:vAlign w:val="center"/>
          </w:tcPr>
          <w:p w14:paraId="3DB8524D">
            <w:pPr>
              <w:jc w:val="center"/>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名称</w:t>
            </w:r>
          </w:p>
        </w:tc>
        <w:tc>
          <w:tcPr>
            <w:tcW w:w="2776" w:type="dxa"/>
            <w:noWrap w:val="0"/>
            <w:vAlign w:val="center"/>
          </w:tcPr>
          <w:p w14:paraId="252C080E">
            <w:pPr>
              <w:jc w:val="center"/>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型号</w:t>
            </w:r>
          </w:p>
        </w:tc>
        <w:tc>
          <w:tcPr>
            <w:tcW w:w="1500" w:type="dxa"/>
            <w:noWrap w:val="0"/>
            <w:vAlign w:val="center"/>
          </w:tcPr>
          <w:p w14:paraId="3EB93F1F">
            <w:pPr>
              <w:jc w:val="center"/>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材质</w:t>
            </w:r>
          </w:p>
        </w:tc>
        <w:tc>
          <w:tcPr>
            <w:tcW w:w="1350" w:type="dxa"/>
            <w:noWrap w:val="0"/>
            <w:vAlign w:val="center"/>
          </w:tcPr>
          <w:p w14:paraId="3168E579">
            <w:pPr>
              <w:jc w:val="center"/>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数量</w:t>
            </w:r>
          </w:p>
        </w:tc>
        <w:tc>
          <w:tcPr>
            <w:tcW w:w="1519" w:type="dxa"/>
            <w:noWrap w:val="0"/>
            <w:vAlign w:val="center"/>
          </w:tcPr>
          <w:p w14:paraId="5BE0E9A6">
            <w:pPr>
              <w:jc w:val="center"/>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备注</w:t>
            </w:r>
          </w:p>
        </w:tc>
      </w:tr>
      <w:tr w14:paraId="2F1E8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1" w:hRule="atLeast"/>
        </w:trPr>
        <w:tc>
          <w:tcPr>
            <w:tcW w:w="743" w:type="dxa"/>
            <w:noWrap w:val="0"/>
            <w:vAlign w:val="center"/>
          </w:tcPr>
          <w:p w14:paraId="22A7E3C6">
            <w:pPr>
              <w:jc w:val="center"/>
              <w:rPr>
                <w:rFonts w:hint="eastAsia" w:eastAsia="宋体"/>
                <w:color w:val="000000" w:themeColor="text1"/>
                <w:sz w:val="28"/>
                <w:szCs w:val="28"/>
                <w:highlight w:val="none"/>
                <w:lang w:eastAsia="zh-CN"/>
                <w14:textFill>
                  <w14:solidFill>
                    <w14:schemeClr w14:val="tx1"/>
                  </w14:solidFill>
                </w14:textFill>
              </w:rPr>
            </w:pPr>
            <w:r>
              <w:rPr>
                <w:rFonts w:hint="eastAsia"/>
                <w:color w:val="000000" w:themeColor="text1"/>
                <w:sz w:val="28"/>
                <w:szCs w:val="28"/>
                <w:highlight w:val="none"/>
                <w:lang w:val="en-US" w:eastAsia="zh-CN"/>
                <w14:textFill>
                  <w14:solidFill>
                    <w14:schemeClr w14:val="tx1"/>
                  </w14:solidFill>
                </w14:textFill>
              </w:rPr>
              <w:t>1</w:t>
            </w:r>
          </w:p>
        </w:tc>
        <w:tc>
          <w:tcPr>
            <w:tcW w:w="1852" w:type="dxa"/>
            <w:noWrap w:val="0"/>
            <w:vAlign w:val="center"/>
          </w:tcPr>
          <w:p w14:paraId="6C74ED04">
            <w:pPr>
              <w:jc w:val="center"/>
              <w:rPr>
                <w:color w:val="000000" w:themeColor="text1"/>
                <w:sz w:val="28"/>
                <w:szCs w:val="28"/>
                <w:highlight w:val="none"/>
                <w14:textFill>
                  <w14:solidFill>
                    <w14:schemeClr w14:val="tx1"/>
                  </w14:solidFill>
                </w14:textFill>
              </w:rPr>
            </w:pPr>
            <w:r>
              <w:rPr>
                <w:color w:val="000000" w:themeColor="text1"/>
                <w:sz w:val="28"/>
                <w:szCs w:val="28"/>
                <w:highlight w:val="none"/>
                <w14:textFill>
                  <w14:solidFill>
                    <w14:schemeClr w14:val="tx1"/>
                  </w14:solidFill>
                </w14:textFill>
              </w:rPr>
              <w:t>随机资料</w:t>
            </w:r>
          </w:p>
        </w:tc>
        <w:tc>
          <w:tcPr>
            <w:tcW w:w="2776" w:type="dxa"/>
            <w:noWrap w:val="0"/>
            <w:vAlign w:val="center"/>
          </w:tcPr>
          <w:p w14:paraId="45B3AEAA">
            <w:pPr>
              <w:jc w:val="center"/>
              <w:rPr>
                <w:color w:val="000000" w:themeColor="text1"/>
                <w:sz w:val="28"/>
                <w:szCs w:val="28"/>
                <w:highlight w:val="none"/>
                <w14:textFill>
                  <w14:solidFill>
                    <w14:schemeClr w14:val="tx1"/>
                  </w14:solidFill>
                </w14:textFill>
              </w:rPr>
            </w:pPr>
            <w:r>
              <w:rPr>
                <w:color w:val="000000" w:themeColor="text1"/>
                <w:sz w:val="28"/>
                <w:szCs w:val="28"/>
                <w:highlight w:val="none"/>
                <w14:textFill>
                  <w14:solidFill>
                    <w14:schemeClr w14:val="tx1"/>
                  </w14:solidFill>
                </w14:textFill>
              </w:rPr>
              <w:t>使用说明书、合格证、保修卡</w:t>
            </w:r>
          </w:p>
        </w:tc>
        <w:tc>
          <w:tcPr>
            <w:tcW w:w="1500" w:type="dxa"/>
            <w:noWrap w:val="0"/>
            <w:vAlign w:val="center"/>
          </w:tcPr>
          <w:p w14:paraId="6079EE43">
            <w:pPr>
              <w:jc w:val="center"/>
              <w:rPr>
                <w:rFonts w:hint="eastAsia"/>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纸</w:t>
            </w:r>
          </w:p>
        </w:tc>
        <w:tc>
          <w:tcPr>
            <w:tcW w:w="1350" w:type="dxa"/>
            <w:noWrap w:val="0"/>
            <w:vAlign w:val="center"/>
          </w:tcPr>
          <w:p w14:paraId="23F8B956">
            <w:pPr>
              <w:jc w:val="center"/>
              <w:rPr>
                <w:color w:val="000000" w:themeColor="text1"/>
                <w:sz w:val="28"/>
                <w:szCs w:val="28"/>
                <w:highlight w:val="none"/>
                <w14:textFill>
                  <w14:solidFill>
                    <w14:schemeClr w14:val="tx1"/>
                  </w14:solidFill>
                </w14:textFill>
              </w:rPr>
            </w:pPr>
            <w:r>
              <w:rPr>
                <w:color w:val="000000" w:themeColor="text1"/>
                <w:sz w:val="28"/>
                <w:szCs w:val="28"/>
                <w:highlight w:val="none"/>
                <w14:textFill>
                  <w14:solidFill>
                    <w14:schemeClr w14:val="tx1"/>
                  </w14:solidFill>
                </w14:textFill>
              </w:rPr>
              <w:t>1套</w:t>
            </w:r>
          </w:p>
        </w:tc>
        <w:tc>
          <w:tcPr>
            <w:tcW w:w="1519" w:type="dxa"/>
            <w:noWrap w:val="0"/>
            <w:vAlign w:val="center"/>
          </w:tcPr>
          <w:p w14:paraId="6792AB11">
            <w:pPr>
              <w:jc w:val="center"/>
              <w:rPr>
                <w:color w:val="000000" w:themeColor="text1"/>
                <w:sz w:val="28"/>
                <w:szCs w:val="28"/>
                <w:highlight w:val="none"/>
                <w14:textFill>
                  <w14:solidFill>
                    <w14:schemeClr w14:val="tx1"/>
                  </w14:solidFill>
                </w14:textFill>
              </w:rPr>
            </w:pPr>
          </w:p>
        </w:tc>
      </w:tr>
      <w:tr w14:paraId="07EC5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743" w:type="dxa"/>
            <w:noWrap w:val="0"/>
            <w:vAlign w:val="center"/>
          </w:tcPr>
          <w:p w14:paraId="3876D73A">
            <w:pPr>
              <w:jc w:val="center"/>
              <w:rPr>
                <w:rFonts w:hint="eastAsia" w:eastAsia="宋体"/>
                <w:color w:val="000000" w:themeColor="text1"/>
                <w:sz w:val="28"/>
                <w:szCs w:val="28"/>
                <w:highlight w:val="none"/>
                <w:lang w:eastAsia="zh-CN"/>
                <w14:textFill>
                  <w14:solidFill>
                    <w14:schemeClr w14:val="tx1"/>
                  </w14:solidFill>
                </w14:textFill>
              </w:rPr>
            </w:pPr>
            <w:r>
              <w:rPr>
                <w:rFonts w:hint="eastAsia"/>
                <w:color w:val="000000" w:themeColor="text1"/>
                <w:sz w:val="28"/>
                <w:szCs w:val="28"/>
                <w:highlight w:val="none"/>
                <w:lang w:val="en-US" w:eastAsia="zh-CN"/>
                <w14:textFill>
                  <w14:solidFill>
                    <w14:schemeClr w14:val="tx1"/>
                  </w14:solidFill>
                </w14:textFill>
              </w:rPr>
              <w:t>2</w:t>
            </w:r>
          </w:p>
        </w:tc>
        <w:tc>
          <w:tcPr>
            <w:tcW w:w="1852" w:type="dxa"/>
            <w:noWrap w:val="0"/>
            <w:vAlign w:val="center"/>
          </w:tcPr>
          <w:p w14:paraId="532A5904">
            <w:pPr>
              <w:jc w:val="center"/>
              <w:rPr>
                <w:rFonts w:hint="eastAsia"/>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喉箍</w:t>
            </w:r>
          </w:p>
        </w:tc>
        <w:tc>
          <w:tcPr>
            <w:tcW w:w="2776" w:type="dxa"/>
            <w:noWrap w:val="0"/>
            <w:vAlign w:val="center"/>
          </w:tcPr>
          <w:p w14:paraId="303ACD57">
            <w:pPr>
              <w:jc w:val="center"/>
              <w:rPr>
                <w:rFonts w:hint="eastAsia"/>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大</w:t>
            </w:r>
          </w:p>
        </w:tc>
        <w:tc>
          <w:tcPr>
            <w:tcW w:w="1500" w:type="dxa"/>
            <w:noWrap w:val="0"/>
            <w:vAlign w:val="center"/>
          </w:tcPr>
          <w:p w14:paraId="111FB9C9">
            <w:pPr>
              <w:jc w:val="center"/>
              <w:rPr>
                <w:rFonts w:hint="eastAsia"/>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不锈钢</w:t>
            </w:r>
          </w:p>
        </w:tc>
        <w:tc>
          <w:tcPr>
            <w:tcW w:w="1350" w:type="dxa"/>
            <w:noWrap w:val="0"/>
            <w:vAlign w:val="center"/>
          </w:tcPr>
          <w:p w14:paraId="715F2E4A">
            <w:pPr>
              <w:jc w:val="center"/>
              <w:rPr>
                <w:rFonts w:hint="eastAsia"/>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1个</w:t>
            </w:r>
          </w:p>
        </w:tc>
        <w:tc>
          <w:tcPr>
            <w:tcW w:w="1519" w:type="dxa"/>
            <w:noWrap w:val="0"/>
            <w:vAlign w:val="center"/>
          </w:tcPr>
          <w:p w14:paraId="37E58E79">
            <w:pPr>
              <w:jc w:val="center"/>
              <w:rPr>
                <w:color w:val="000000" w:themeColor="text1"/>
                <w:sz w:val="28"/>
                <w:szCs w:val="28"/>
                <w:highlight w:val="none"/>
                <w14:textFill>
                  <w14:solidFill>
                    <w14:schemeClr w14:val="tx1"/>
                  </w14:solidFill>
                </w14:textFill>
              </w:rPr>
            </w:pPr>
          </w:p>
        </w:tc>
      </w:tr>
      <w:tr w14:paraId="513BA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743" w:type="dxa"/>
            <w:noWrap w:val="0"/>
            <w:vAlign w:val="center"/>
          </w:tcPr>
          <w:p w14:paraId="34F73B02">
            <w:pPr>
              <w:jc w:val="center"/>
              <w:rPr>
                <w:rFonts w:hint="eastAsia" w:eastAsia="宋体"/>
                <w:color w:val="000000" w:themeColor="text1"/>
                <w:sz w:val="28"/>
                <w:szCs w:val="28"/>
                <w:highlight w:val="none"/>
                <w:lang w:eastAsia="zh-CN"/>
                <w14:textFill>
                  <w14:solidFill>
                    <w14:schemeClr w14:val="tx1"/>
                  </w14:solidFill>
                </w14:textFill>
              </w:rPr>
            </w:pPr>
            <w:r>
              <w:rPr>
                <w:rFonts w:hint="eastAsia"/>
                <w:color w:val="000000" w:themeColor="text1"/>
                <w:sz w:val="28"/>
                <w:szCs w:val="28"/>
                <w:highlight w:val="none"/>
                <w:lang w:val="en-US" w:eastAsia="zh-CN"/>
                <w14:textFill>
                  <w14:solidFill>
                    <w14:schemeClr w14:val="tx1"/>
                  </w14:solidFill>
                </w14:textFill>
              </w:rPr>
              <w:t>3</w:t>
            </w:r>
          </w:p>
        </w:tc>
        <w:tc>
          <w:tcPr>
            <w:tcW w:w="1852" w:type="dxa"/>
            <w:noWrap w:val="0"/>
            <w:vAlign w:val="center"/>
          </w:tcPr>
          <w:p w14:paraId="38E39F65">
            <w:pPr>
              <w:jc w:val="center"/>
              <w:rPr>
                <w:rFonts w:hint="eastAsia"/>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过滤罩</w:t>
            </w:r>
          </w:p>
        </w:tc>
        <w:tc>
          <w:tcPr>
            <w:tcW w:w="2776" w:type="dxa"/>
            <w:noWrap w:val="0"/>
            <w:vAlign w:val="center"/>
          </w:tcPr>
          <w:p w14:paraId="0503B6B6">
            <w:pPr>
              <w:jc w:val="center"/>
              <w:rPr>
                <w:rFonts w:hint="eastAsia"/>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通用</w:t>
            </w:r>
          </w:p>
        </w:tc>
        <w:tc>
          <w:tcPr>
            <w:tcW w:w="1500" w:type="dxa"/>
            <w:noWrap w:val="0"/>
            <w:vAlign w:val="center"/>
          </w:tcPr>
          <w:p w14:paraId="3D41EC5C">
            <w:pPr>
              <w:jc w:val="center"/>
              <w:rPr>
                <w:rFonts w:hint="eastAsia"/>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不锈钢</w:t>
            </w:r>
          </w:p>
        </w:tc>
        <w:tc>
          <w:tcPr>
            <w:tcW w:w="1350" w:type="dxa"/>
            <w:noWrap w:val="0"/>
            <w:vAlign w:val="center"/>
          </w:tcPr>
          <w:p w14:paraId="172D49E7">
            <w:pPr>
              <w:jc w:val="center"/>
              <w:rPr>
                <w:rFonts w:hint="eastAsia"/>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2个</w:t>
            </w:r>
          </w:p>
        </w:tc>
        <w:tc>
          <w:tcPr>
            <w:tcW w:w="1519" w:type="dxa"/>
            <w:noWrap w:val="0"/>
            <w:vAlign w:val="center"/>
          </w:tcPr>
          <w:p w14:paraId="1AAE9CB3">
            <w:pPr>
              <w:jc w:val="center"/>
              <w:rPr>
                <w:color w:val="000000" w:themeColor="text1"/>
                <w:sz w:val="28"/>
                <w:szCs w:val="28"/>
                <w:highlight w:val="none"/>
                <w14:textFill>
                  <w14:solidFill>
                    <w14:schemeClr w14:val="tx1"/>
                  </w14:solidFill>
                </w14:textFill>
              </w:rPr>
            </w:pPr>
          </w:p>
        </w:tc>
      </w:tr>
      <w:tr w14:paraId="3B6CA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743" w:type="dxa"/>
            <w:noWrap w:val="0"/>
            <w:vAlign w:val="center"/>
          </w:tcPr>
          <w:p w14:paraId="69B0A71B">
            <w:pPr>
              <w:jc w:val="center"/>
              <w:rPr>
                <w:rFonts w:hint="eastAsia" w:eastAsia="宋体"/>
                <w:color w:val="000000" w:themeColor="text1"/>
                <w:sz w:val="28"/>
                <w:szCs w:val="28"/>
                <w:highlight w:val="none"/>
                <w:lang w:eastAsia="zh-CN"/>
                <w14:textFill>
                  <w14:solidFill>
                    <w14:schemeClr w14:val="tx1"/>
                  </w14:solidFill>
                </w14:textFill>
              </w:rPr>
            </w:pPr>
            <w:r>
              <w:rPr>
                <w:rFonts w:hint="eastAsia"/>
                <w:color w:val="000000" w:themeColor="text1"/>
                <w:sz w:val="28"/>
                <w:szCs w:val="28"/>
                <w:highlight w:val="none"/>
                <w:lang w:val="en-US" w:eastAsia="zh-CN"/>
                <w14:textFill>
                  <w14:solidFill>
                    <w14:schemeClr w14:val="tx1"/>
                  </w14:solidFill>
                </w14:textFill>
              </w:rPr>
              <w:t>4</w:t>
            </w:r>
          </w:p>
        </w:tc>
        <w:tc>
          <w:tcPr>
            <w:tcW w:w="1852" w:type="dxa"/>
            <w:noWrap w:val="0"/>
            <w:vAlign w:val="center"/>
          </w:tcPr>
          <w:p w14:paraId="495C5473">
            <w:pPr>
              <w:jc w:val="center"/>
              <w:rPr>
                <w:rFonts w:hint="eastAsia"/>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过滤网筐</w:t>
            </w:r>
          </w:p>
        </w:tc>
        <w:tc>
          <w:tcPr>
            <w:tcW w:w="2776" w:type="dxa"/>
            <w:noWrap w:val="0"/>
            <w:vAlign w:val="center"/>
          </w:tcPr>
          <w:p w14:paraId="55863769">
            <w:pPr>
              <w:jc w:val="center"/>
              <w:rPr>
                <w:rFonts w:hint="eastAsia"/>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通用</w:t>
            </w:r>
          </w:p>
        </w:tc>
        <w:tc>
          <w:tcPr>
            <w:tcW w:w="1500" w:type="dxa"/>
            <w:noWrap w:val="0"/>
            <w:vAlign w:val="center"/>
          </w:tcPr>
          <w:p w14:paraId="595338A5">
            <w:pPr>
              <w:jc w:val="center"/>
              <w:rPr>
                <w:rFonts w:hint="eastAsia"/>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不锈钢</w:t>
            </w:r>
          </w:p>
        </w:tc>
        <w:tc>
          <w:tcPr>
            <w:tcW w:w="1350" w:type="dxa"/>
            <w:noWrap w:val="0"/>
            <w:vAlign w:val="center"/>
          </w:tcPr>
          <w:p w14:paraId="735981FA">
            <w:pPr>
              <w:jc w:val="center"/>
              <w:rPr>
                <w:rFonts w:hint="eastAsia"/>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2个</w:t>
            </w:r>
          </w:p>
        </w:tc>
        <w:tc>
          <w:tcPr>
            <w:tcW w:w="1519" w:type="dxa"/>
            <w:noWrap w:val="0"/>
            <w:vAlign w:val="center"/>
          </w:tcPr>
          <w:p w14:paraId="28EDB1A3">
            <w:pPr>
              <w:jc w:val="center"/>
              <w:rPr>
                <w:color w:val="000000" w:themeColor="text1"/>
                <w:sz w:val="28"/>
                <w:szCs w:val="28"/>
                <w:highlight w:val="none"/>
                <w14:textFill>
                  <w14:solidFill>
                    <w14:schemeClr w14:val="tx1"/>
                  </w14:solidFill>
                </w14:textFill>
              </w:rPr>
            </w:pPr>
          </w:p>
        </w:tc>
      </w:tr>
      <w:tr w14:paraId="7343E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743" w:type="dxa"/>
            <w:noWrap w:val="0"/>
            <w:vAlign w:val="center"/>
          </w:tcPr>
          <w:p w14:paraId="77C8F191">
            <w:pPr>
              <w:jc w:val="center"/>
              <w:rPr>
                <w:rFonts w:hint="eastAsia" w:eastAsia="宋体"/>
                <w:color w:val="000000" w:themeColor="text1"/>
                <w:sz w:val="28"/>
                <w:szCs w:val="28"/>
                <w:highlight w:val="none"/>
                <w:lang w:eastAsia="zh-CN"/>
                <w14:textFill>
                  <w14:solidFill>
                    <w14:schemeClr w14:val="tx1"/>
                  </w14:solidFill>
                </w14:textFill>
              </w:rPr>
            </w:pPr>
            <w:r>
              <w:rPr>
                <w:rFonts w:hint="eastAsia"/>
                <w:color w:val="000000" w:themeColor="text1"/>
                <w:sz w:val="28"/>
                <w:szCs w:val="28"/>
                <w:highlight w:val="none"/>
                <w:lang w:val="en-US" w:eastAsia="zh-CN"/>
                <w14:textFill>
                  <w14:solidFill>
                    <w14:schemeClr w14:val="tx1"/>
                  </w14:solidFill>
                </w14:textFill>
              </w:rPr>
              <w:t>5</w:t>
            </w:r>
          </w:p>
        </w:tc>
        <w:tc>
          <w:tcPr>
            <w:tcW w:w="1852" w:type="dxa"/>
            <w:noWrap w:val="0"/>
            <w:vAlign w:val="center"/>
          </w:tcPr>
          <w:p w14:paraId="1908DADC">
            <w:pPr>
              <w:jc w:val="center"/>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排水</w:t>
            </w:r>
            <w:r>
              <w:rPr>
                <w:color w:val="000000" w:themeColor="text1"/>
                <w:sz w:val="28"/>
                <w:szCs w:val="28"/>
                <w:highlight w:val="none"/>
                <w14:textFill>
                  <w14:solidFill>
                    <w14:schemeClr w14:val="tx1"/>
                  </w14:solidFill>
                </w14:textFill>
              </w:rPr>
              <w:t>软管</w:t>
            </w:r>
          </w:p>
        </w:tc>
        <w:tc>
          <w:tcPr>
            <w:tcW w:w="2776" w:type="dxa"/>
            <w:noWrap w:val="0"/>
            <w:vAlign w:val="center"/>
          </w:tcPr>
          <w:p w14:paraId="4F94BB62">
            <w:pPr>
              <w:jc w:val="center"/>
              <w:rPr>
                <w:color w:val="000000" w:themeColor="text1"/>
                <w:sz w:val="28"/>
                <w:szCs w:val="28"/>
                <w:highlight w:val="none"/>
                <w14:textFill>
                  <w14:solidFill>
                    <w14:schemeClr w14:val="tx1"/>
                  </w14:solidFill>
                </w14:textFill>
              </w:rPr>
            </w:pPr>
            <w:r>
              <w:rPr>
                <w:rFonts w:ascii="Arial" w:hAnsi="Arial" w:cs="Arial"/>
                <w:color w:val="000000" w:themeColor="text1"/>
                <w:kern w:val="0"/>
                <w:sz w:val="28"/>
                <w:szCs w:val="28"/>
                <w:highlight w:val="none"/>
                <w:lang w:val="zh-CN"/>
                <w14:textFill>
                  <w14:solidFill>
                    <w14:schemeClr w14:val="tx1"/>
                  </w14:solidFill>
                </w14:textFill>
              </w:rPr>
              <w:t>Φ</w:t>
            </w:r>
            <w:r>
              <w:rPr>
                <w:color w:val="000000" w:themeColor="text1"/>
                <w:sz w:val="28"/>
                <w:szCs w:val="28"/>
                <w:highlight w:val="none"/>
                <w14:textFill>
                  <w14:solidFill>
                    <w14:schemeClr w14:val="tx1"/>
                  </w14:solidFill>
                </w14:textFill>
              </w:rPr>
              <w:t>25mm（外）</w:t>
            </w:r>
          </w:p>
        </w:tc>
        <w:tc>
          <w:tcPr>
            <w:tcW w:w="1500" w:type="dxa"/>
            <w:noWrap w:val="0"/>
            <w:vAlign w:val="center"/>
          </w:tcPr>
          <w:p w14:paraId="2E194C6A">
            <w:pPr>
              <w:jc w:val="center"/>
              <w:rPr>
                <w:color w:val="000000" w:themeColor="text1"/>
                <w:sz w:val="28"/>
                <w:szCs w:val="28"/>
                <w:highlight w:val="none"/>
                <w14:textFill>
                  <w14:solidFill>
                    <w14:schemeClr w14:val="tx1"/>
                  </w14:solidFill>
                </w14:textFill>
              </w:rPr>
            </w:pPr>
            <w:r>
              <w:rPr>
                <w:color w:val="000000" w:themeColor="text1"/>
                <w:sz w:val="28"/>
                <w:szCs w:val="28"/>
                <w:highlight w:val="none"/>
                <w14:textFill>
                  <w14:solidFill>
                    <w14:schemeClr w14:val="tx1"/>
                  </w14:solidFill>
                </w14:textFill>
              </w:rPr>
              <w:t>pvc</w:t>
            </w:r>
          </w:p>
        </w:tc>
        <w:tc>
          <w:tcPr>
            <w:tcW w:w="1350" w:type="dxa"/>
            <w:noWrap w:val="0"/>
            <w:vAlign w:val="center"/>
          </w:tcPr>
          <w:p w14:paraId="346E1C2A">
            <w:pPr>
              <w:jc w:val="center"/>
              <w:rPr>
                <w:color w:val="000000" w:themeColor="text1"/>
                <w:sz w:val="28"/>
                <w:szCs w:val="28"/>
                <w:highlight w:val="none"/>
                <w14:textFill>
                  <w14:solidFill>
                    <w14:schemeClr w14:val="tx1"/>
                  </w14:solidFill>
                </w14:textFill>
              </w:rPr>
            </w:pPr>
            <w:r>
              <w:rPr>
                <w:color w:val="000000" w:themeColor="text1"/>
                <w:sz w:val="28"/>
                <w:szCs w:val="28"/>
                <w:highlight w:val="none"/>
                <w14:textFill>
                  <w14:solidFill>
                    <w14:schemeClr w14:val="tx1"/>
                  </w14:solidFill>
                </w14:textFill>
              </w:rPr>
              <w:t>1根</w:t>
            </w:r>
          </w:p>
        </w:tc>
        <w:tc>
          <w:tcPr>
            <w:tcW w:w="1519" w:type="dxa"/>
            <w:noWrap w:val="0"/>
            <w:vAlign w:val="center"/>
          </w:tcPr>
          <w:p w14:paraId="0E255706">
            <w:pPr>
              <w:jc w:val="center"/>
              <w:rPr>
                <w:color w:val="000000" w:themeColor="text1"/>
                <w:sz w:val="28"/>
                <w:szCs w:val="28"/>
                <w:highlight w:val="none"/>
                <w14:textFill>
                  <w14:solidFill>
                    <w14:schemeClr w14:val="tx1"/>
                  </w14:solidFill>
                </w14:textFill>
              </w:rPr>
            </w:pPr>
          </w:p>
        </w:tc>
      </w:tr>
    </w:tbl>
    <w:p w14:paraId="2B2BF252">
      <w:pPr>
        <w:bidi w:val="0"/>
        <w:rPr>
          <w:rFonts w:hint="eastAsia"/>
          <w:color w:val="000000" w:themeColor="text1"/>
          <w:highlight w:val="none"/>
          <w14:textFill>
            <w14:solidFill>
              <w14:schemeClr w14:val="tx1"/>
            </w14:solidFill>
          </w14:textFill>
        </w:rPr>
      </w:pPr>
    </w:p>
    <w:p w14:paraId="76E2F2A0">
      <w:pPr>
        <w:bidi w:val="0"/>
        <w:rPr>
          <w:rFonts w:hint="eastAsia"/>
          <w:color w:val="000000" w:themeColor="text1"/>
          <w:highlight w:val="none"/>
          <w14:textFill>
            <w14:solidFill>
              <w14:schemeClr w14:val="tx1"/>
            </w14:solidFill>
          </w14:textFill>
        </w:rPr>
      </w:pPr>
    </w:p>
    <w:p w14:paraId="3816713C">
      <w:pPr>
        <w:bidi w:val="0"/>
        <w:rPr>
          <w:rFonts w:hint="eastAsia"/>
          <w:color w:val="000000" w:themeColor="text1"/>
          <w:highlight w:val="none"/>
          <w14:textFill>
            <w14:solidFill>
              <w14:schemeClr w14:val="tx1"/>
            </w14:solidFill>
          </w14:textFill>
        </w:rPr>
      </w:pPr>
    </w:p>
    <w:p w14:paraId="7ED27550">
      <w:pPr>
        <w:bidi w:val="0"/>
        <w:rPr>
          <w:rFonts w:hint="eastAsia"/>
          <w:color w:val="000000" w:themeColor="text1"/>
          <w:highlight w:val="none"/>
          <w14:textFill>
            <w14:solidFill>
              <w14:schemeClr w14:val="tx1"/>
            </w14:solidFill>
          </w14:textFill>
        </w:rPr>
      </w:pPr>
    </w:p>
    <w:p w14:paraId="23250BBF">
      <w:pPr>
        <w:bidi w:val="0"/>
        <w:rPr>
          <w:rFonts w:hint="eastAsia"/>
          <w:color w:val="000000" w:themeColor="text1"/>
          <w:highlight w:val="none"/>
          <w14:textFill>
            <w14:solidFill>
              <w14:schemeClr w14:val="tx1"/>
            </w14:solidFill>
          </w14:textFill>
        </w:rPr>
      </w:pPr>
    </w:p>
    <w:p w14:paraId="54C8B875">
      <w:pPr>
        <w:bidi w:val="0"/>
        <w:rPr>
          <w:rFonts w:hint="eastAsia"/>
          <w:color w:val="000000" w:themeColor="text1"/>
          <w:highlight w:val="none"/>
          <w14:textFill>
            <w14:solidFill>
              <w14:schemeClr w14:val="tx1"/>
            </w14:solidFill>
          </w14:textFill>
        </w:rPr>
      </w:pPr>
    </w:p>
    <w:p w14:paraId="3C2E9153">
      <w:pPr>
        <w:bidi w:val="0"/>
        <w:rPr>
          <w:rFonts w:hint="eastAsia"/>
          <w:color w:val="000000" w:themeColor="text1"/>
          <w:highlight w:val="none"/>
          <w14:textFill>
            <w14:solidFill>
              <w14:schemeClr w14:val="tx1"/>
            </w14:solidFill>
          </w14:textFill>
        </w:rPr>
      </w:pPr>
    </w:p>
    <w:p w14:paraId="49D06585">
      <w:pPr>
        <w:bidi w:val="0"/>
        <w:rPr>
          <w:rFonts w:hint="eastAsia"/>
          <w:color w:val="000000" w:themeColor="text1"/>
          <w:highlight w:val="none"/>
          <w14:textFill>
            <w14:solidFill>
              <w14:schemeClr w14:val="tx1"/>
            </w14:solidFill>
          </w14:textFill>
        </w:rPr>
      </w:pPr>
    </w:p>
    <w:p w14:paraId="55C6B9A0">
      <w:pPr>
        <w:bidi w:val="0"/>
        <w:rPr>
          <w:rFonts w:hint="eastAsia"/>
          <w:color w:val="000000" w:themeColor="text1"/>
          <w:highlight w:val="none"/>
          <w14:textFill>
            <w14:solidFill>
              <w14:schemeClr w14:val="tx1"/>
            </w14:solidFill>
          </w14:textFill>
        </w:rPr>
      </w:pPr>
    </w:p>
    <w:p w14:paraId="7356B7A2">
      <w:pPr>
        <w:bidi w:val="0"/>
        <w:rPr>
          <w:rFonts w:hint="eastAsia"/>
          <w:color w:val="000000" w:themeColor="text1"/>
          <w:highlight w:val="none"/>
          <w14:textFill>
            <w14:solidFill>
              <w14:schemeClr w14:val="tx1"/>
            </w14:solidFill>
          </w14:textFill>
        </w:rPr>
      </w:pPr>
    </w:p>
    <w:p w14:paraId="14754274">
      <w:pPr>
        <w:bidi w:val="0"/>
        <w:rPr>
          <w:rFonts w:hint="eastAsia"/>
          <w:color w:val="000000" w:themeColor="text1"/>
          <w:highlight w:val="none"/>
          <w14:textFill>
            <w14:solidFill>
              <w14:schemeClr w14:val="tx1"/>
            </w14:solidFill>
          </w14:textFill>
        </w:rPr>
      </w:pPr>
    </w:p>
    <w:p w14:paraId="2DE56EAC">
      <w:pPr>
        <w:bidi w:val="0"/>
        <w:rPr>
          <w:rFonts w:hint="eastAsia"/>
          <w:color w:val="000000" w:themeColor="text1"/>
          <w:highlight w:val="none"/>
          <w14:textFill>
            <w14:solidFill>
              <w14:schemeClr w14:val="tx1"/>
            </w14:solidFill>
          </w14:textFill>
        </w:rPr>
      </w:pPr>
    </w:p>
    <w:p w14:paraId="19368CC8">
      <w:pPr>
        <w:bidi w:val="0"/>
        <w:rPr>
          <w:rFonts w:hint="eastAsia"/>
          <w:color w:val="000000" w:themeColor="text1"/>
          <w:highlight w:val="none"/>
          <w14:textFill>
            <w14:solidFill>
              <w14:schemeClr w14:val="tx1"/>
            </w14:solidFill>
          </w14:textFill>
        </w:rPr>
      </w:pPr>
    </w:p>
    <w:p w14:paraId="4A436893">
      <w:pPr>
        <w:bidi w:val="0"/>
        <w:rPr>
          <w:rFonts w:hint="eastAsia"/>
          <w:color w:val="000000" w:themeColor="text1"/>
          <w:highlight w:val="none"/>
          <w14:textFill>
            <w14:solidFill>
              <w14:schemeClr w14:val="tx1"/>
            </w14:solidFill>
          </w14:textFill>
        </w:rPr>
      </w:pPr>
    </w:p>
    <w:p w14:paraId="03C58396">
      <w:pPr>
        <w:bidi w:val="0"/>
        <w:rPr>
          <w:rFonts w:hint="eastAsia"/>
          <w:color w:val="000000" w:themeColor="text1"/>
          <w:highlight w:val="none"/>
          <w14:textFill>
            <w14:solidFill>
              <w14:schemeClr w14:val="tx1"/>
            </w14:solidFill>
          </w14:textFill>
        </w:rPr>
      </w:pPr>
    </w:p>
    <w:p w14:paraId="3358CA69">
      <w:pPr>
        <w:bidi w:val="0"/>
        <w:rPr>
          <w:rFonts w:hint="eastAsia"/>
          <w:color w:val="000000" w:themeColor="text1"/>
          <w:highlight w:val="none"/>
          <w14:textFill>
            <w14:solidFill>
              <w14:schemeClr w14:val="tx1"/>
            </w14:solidFill>
          </w14:textFill>
        </w:rPr>
      </w:pPr>
    </w:p>
    <w:p w14:paraId="0E04578C">
      <w:pPr>
        <w:bidi w:val="0"/>
        <w:rPr>
          <w:rFonts w:hint="eastAsia"/>
          <w:color w:val="000000" w:themeColor="text1"/>
          <w:highlight w:val="none"/>
          <w14:textFill>
            <w14:solidFill>
              <w14:schemeClr w14:val="tx1"/>
            </w14:solidFill>
          </w14:textFill>
        </w:rPr>
      </w:pPr>
    </w:p>
    <w:p w14:paraId="4DD17357">
      <w:pPr>
        <w:bidi w:val="0"/>
        <w:rPr>
          <w:rFonts w:hint="eastAsia"/>
          <w:color w:val="000000" w:themeColor="text1"/>
          <w:highlight w:val="none"/>
          <w14:textFill>
            <w14:solidFill>
              <w14:schemeClr w14:val="tx1"/>
            </w14:solidFill>
          </w14:textFill>
        </w:rPr>
      </w:pPr>
    </w:p>
    <w:p w14:paraId="79F5E05E">
      <w:pPr>
        <w:bidi w:val="0"/>
        <w:rPr>
          <w:rFonts w:hint="eastAsia"/>
          <w:color w:val="000000" w:themeColor="text1"/>
          <w:highlight w:val="none"/>
          <w14:textFill>
            <w14:solidFill>
              <w14:schemeClr w14:val="tx1"/>
            </w14:solidFill>
          </w14:textFill>
        </w:rPr>
      </w:pPr>
    </w:p>
    <w:p w14:paraId="5BD86B80">
      <w:pPr>
        <w:bidi w:val="0"/>
        <w:rPr>
          <w:rFonts w:hint="eastAsia"/>
          <w:color w:val="000000" w:themeColor="text1"/>
          <w:highlight w:val="none"/>
          <w14:textFill>
            <w14:solidFill>
              <w14:schemeClr w14:val="tx1"/>
            </w14:solidFill>
          </w14:textFill>
        </w:rPr>
      </w:pPr>
    </w:p>
    <w:p w14:paraId="276F3933">
      <w:pPr>
        <w:bidi w:val="0"/>
        <w:rPr>
          <w:rFonts w:hint="eastAsia"/>
          <w:color w:val="000000" w:themeColor="text1"/>
          <w:highlight w:val="none"/>
          <w14:textFill>
            <w14:solidFill>
              <w14:schemeClr w14:val="tx1"/>
            </w14:solidFill>
          </w14:textFill>
        </w:rPr>
      </w:pPr>
    </w:p>
    <w:p w14:paraId="70E8FBA9">
      <w:pPr>
        <w:bidi w:val="0"/>
        <w:rPr>
          <w:rFonts w:hint="eastAsia"/>
          <w:color w:val="000000" w:themeColor="text1"/>
          <w:highlight w:val="none"/>
          <w14:textFill>
            <w14:solidFill>
              <w14:schemeClr w14:val="tx1"/>
            </w14:solidFill>
          </w14:textFill>
        </w:rPr>
      </w:pPr>
    </w:p>
    <w:p w14:paraId="398C7236">
      <w:pPr>
        <w:pStyle w:val="31"/>
        <w:pageBreakBefore w:val="0"/>
        <w:wordWrap/>
        <w:topLinePunct w:val="0"/>
        <w:bidi w:val="0"/>
        <w:spacing w:before="0" w:after="0" w:line="560" w:lineRule="exact"/>
        <w:rPr>
          <w:rFonts w:hint="eastAsia" w:eastAsia="宋体"/>
          <w:color w:val="000000" w:themeColor="text1"/>
          <w:sz w:val="36"/>
          <w:szCs w:val="36"/>
          <w:highlight w:val="none"/>
          <w:lang w:eastAsia="zh-CN"/>
          <w14:textFill>
            <w14:solidFill>
              <w14:schemeClr w14:val="tx1"/>
            </w14:solidFill>
          </w14:textFill>
        </w:rPr>
      </w:pPr>
      <w:r>
        <w:rPr>
          <w:rFonts w:hint="eastAsia"/>
          <w:color w:val="000000" w:themeColor="text1"/>
          <w:sz w:val="36"/>
          <w:szCs w:val="36"/>
          <w:highlight w:val="none"/>
          <w14:textFill>
            <w14:solidFill>
              <w14:schemeClr w14:val="tx1"/>
            </w14:solidFill>
          </w14:textFill>
        </w:rPr>
        <w:t>第四章</w:t>
      </w:r>
      <w:r>
        <w:rPr>
          <w:color w:val="000000" w:themeColor="text1"/>
          <w:sz w:val="36"/>
          <w:szCs w:val="36"/>
          <w:highlight w:val="none"/>
          <w14:textFill>
            <w14:solidFill>
              <w14:schemeClr w14:val="tx1"/>
            </w14:solidFill>
          </w14:textFill>
        </w:rPr>
        <w:t xml:space="preserve">  </w:t>
      </w:r>
      <w:r>
        <w:rPr>
          <w:rFonts w:hint="eastAsia"/>
          <w:color w:val="000000" w:themeColor="text1"/>
          <w:sz w:val="36"/>
          <w:szCs w:val="36"/>
          <w:highlight w:val="none"/>
          <w14:textFill>
            <w14:solidFill>
              <w14:schemeClr w14:val="tx1"/>
            </w14:solidFill>
          </w14:textFill>
        </w:rPr>
        <w:t>评标方法及评分标准</w:t>
      </w:r>
      <w:r>
        <w:rPr>
          <w:rFonts w:hint="eastAsia" w:ascii="宋体" w:hAnsi="宋体" w:eastAsia="宋体" w:cs="宋体"/>
          <w:color w:val="000000" w:themeColor="text1"/>
          <w:sz w:val="36"/>
          <w:szCs w:val="36"/>
          <w:highlight w:val="none"/>
          <w:lang w:eastAsia="zh-CN"/>
          <w14:textFill>
            <w14:solidFill>
              <w14:schemeClr w14:val="tx1"/>
            </w14:solidFill>
          </w14:textFill>
        </w:rPr>
        <w:t>（标项</w:t>
      </w:r>
      <w:r>
        <w:rPr>
          <w:rFonts w:hint="eastAsia" w:ascii="宋体" w:hAnsi="宋体" w:cs="宋体"/>
          <w:color w:val="000000" w:themeColor="text1"/>
          <w:sz w:val="36"/>
          <w:szCs w:val="36"/>
          <w:highlight w:val="none"/>
          <w:lang w:val="en-US" w:eastAsia="zh-CN"/>
          <w14:textFill>
            <w14:solidFill>
              <w14:schemeClr w14:val="tx1"/>
            </w14:solidFill>
          </w14:textFill>
        </w:rPr>
        <w:t>3</w:t>
      </w:r>
      <w:r>
        <w:rPr>
          <w:rFonts w:hint="eastAsia" w:ascii="宋体" w:hAnsi="宋体" w:eastAsia="宋体" w:cs="宋体"/>
          <w:color w:val="000000" w:themeColor="text1"/>
          <w:sz w:val="36"/>
          <w:szCs w:val="36"/>
          <w:highlight w:val="none"/>
          <w:lang w:eastAsia="zh-CN"/>
          <w14:textFill>
            <w14:solidFill>
              <w14:schemeClr w14:val="tx1"/>
            </w14:solidFill>
          </w14:textFill>
        </w:rPr>
        <w:t>）</w:t>
      </w:r>
    </w:p>
    <w:p w14:paraId="31A12F5E">
      <w:pPr>
        <w:pStyle w:val="4"/>
        <w:keepNext w:val="0"/>
        <w:keepLines w:val="0"/>
        <w:pageBreakBefore w:val="0"/>
        <w:wordWrap/>
        <w:topLinePunct w:val="0"/>
        <w:bidi w:val="0"/>
        <w:spacing w:line="560" w:lineRule="exact"/>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第一节</w:t>
      </w:r>
      <w:r>
        <w:rPr>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评标方法</w:t>
      </w:r>
    </w:p>
    <w:p w14:paraId="6FB0F4FA">
      <w:pPr>
        <w:keepNext w:val="0"/>
        <w:keepLines w:val="0"/>
        <w:pageBreakBefore w:val="0"/>
        <w:widowControl w:val="0"/>
        <w:kinsoku/>
        <w:wordWrap/>
        <w:overflowPunct/>
        <w:topLinePunct w:val="0"/>
        <w:bidi w:val="0"/>
        <w:adjustRightInd/>
        <w:snapToGrid w:val="0"/>
        <w:spacing w:line="560" w:lineRule="exact"/>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本项目采用 以下方式进行评审。</w:t>
      </w:r>
    </w:p>
    <w:p w14:paraId="4084CF57">
      <w:pPr>
        <w:keepNext w:val="0"/>
        <w:keepLines w:val="0"/>
        <w:pageBreakBefore w:val="0"/>
        <w:widowControl w:val="0"/>
        <w:kinsoku/>
        <w:wordWrap/>
        <w:overflowPunct/>
        <w:topLinePunct w:val="0"/>
        <w:autoSpaceDE w:val="0"/>
        <w:autoSpaceDN w:val="0"/>
        <w:bidi w:val="0"/>
        <w:adjustRightInd/>
        <w:snapToGrid w:val="0"/>
        <w:spacing w:line="560" w:lineRule="exact"/>
        <w:ind w:firstLine="560" w:firstLineChars="200"/>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综合评分法，是指投标文件满足招标文件全部实质性要求，且按照评审因素的量化指标评审得分最高的</w:t>
      </w:r>
      <w:r>
        <w:rPr>
          <w:rFonts w:hint="eastAsia" w:ascii="宋体" w:hAnsi="宋体" w:cs="宋体"/>
          <w:color w:val="000000" w:themeColor="text1"/>
          <w:sz w:val="28"/>
          <w:szCs w:val="28"/>
          <w:highlight w:val="none"/>
          <w:lang w:eastAsia="zh-CN"/>
          <w14:textFill>
            <w14:solidFill>
              <w14:schemeClr w14:val="tx1"/>
            </w14:solidFill>
          </w14:textFill>
        </w:rPr>
        <w:t>供应商</w:t>
      </w:r>
      <w:r>
        <w:rPr>
          <w:rFonts w:hint="eastAsia" w:ascii="宋体" w:hAnsi="宋体" w:eastAsia="宋体" w:cs="宋体"/>
          <w:color w:val="000000" w:themeColor="text1"/>
          <w:sz w:val="28"/>
          <w:szCs w:val="28"/>
          <w:highlight w:val="none"/>
          <w14:textFill>
            <w14:solidFill>
              <w14:schemeClr w14:val="tx1"/>
            </w14:solidFill>
          </w14:textFill>
        </w:rPr>
        <w:t>为中标候选人的评标方法。评标委员会将对各</w:t>
      </w:r>
      <w:r>
        <w:rPr>
          <w:rFonts w:hint="eastAsia" w:ascii="宋体" w:hAnsi="宋体" w:cs="宋体"/>
          <w:color w:val="000000" w:themeColor="text1"/>
          <w:sz w:val="28"/>
          <w:szCs w:val="28"/>
          <w:highlight w:val="none"/>
          <w:lang w:eastAsia="zh-CN"/>
          <w14:textFill>
            <w14:solidFill>
              <w14:schemeClr w14:val="tx1"/>
            </w14:solidFill>
          </w14:textFill>
        </w:rPr>
        <w:t>供应商</w:t>
      </w:r>
      <w:r>
        <w:rPr>
          <w:rFonts w:hint="eastAsia" w:ascii="宋体" w:hAnsi="宋体" w:eastAsia="宋体" w:cs="宋体"/>
          <w:color w:val="000000" w:themeColor="text1"/>
          <w:sz w:val="28"/>
          <w:szCs w:val="28"/>
          <w:highlight w:val="none"/>
          <w14:textFill>
            <w14:solidFill>
              <w14:schemeClr w14:val="tx1"/>
            </w14:solidFill>
          </w14:textFill>
        </w:rPr>
        <w:t>的投标报价、技术和货物方案、</w:t>
      </w:r>
      <w:r>
        <w:rPr>
          <w:rFonts w:hint="eastAsia" w:ascii="宋体" w:hAnsi="宋体" w:cs="宋体"/>
          <w:color w:val="000000" w:themeColor="text1"/>
          <w:sz w:val="28"/>
          <w:szCs w:val="28"/>
          <w:highlight w:val="none"/>
          <w:lang w:eastAsia="zh-CN"/>
          <w14:textFill>
            <w14:solidFill>
              <w14:schemeClr w14:val="tx1"/>
            </w14:solidFill>
          </w14:textFill>
        </w:rPr>
        <w:t>供应商</w:t>
      </w:r>
      <w:r>
        <w:rPr>
          <w:rFonts w:hint="eastAsia" w:ascii="宋体" w:hAnsi="宋体" w:eastAsia="宋体" w:cs="宋体"/>
          <w:color w:val="000000" w:themeColor="text1"/>
          <w:sz w:val="28"/>
          <w:szCs w:val="28"/>
          <w:highlight w:val="none"/>
          <w14:textFill>
            <w14:solidFill>
              <w14:schemeClr w14:val="tx1"/>
            </w14:solidFill>
          </w14:textFill>
        </w:rPr>
        <w:t>的企业实力及资质等方面进行综合评审，对实质上响应招标文件的</w:t>
      </w:r>
      <w:r>
        <w:rPr>
          <w:rFonts w:hint="eastAsia" w:ascii="宋体" w:hAnsi="宋体" w:cs="宋体"/>
          <w:color w:val="000000" w:themeColor="text1"/>
          <w:sz w:val="28"/>
          <w:szCs w:val="28"/>
          <w:highlight w:val="none"/>
          <w:lang w:eastAsia="zh-CN"/>
          <w14:textFill>
            <w14:solidFill>
              <w14:schemeClr w14:val="tx1"/>
            </w14:solidFill>
          </w14:textFill>
        </w:rPr>
        <w:t>供应商</w:t>
      </w:r>
      <w:r>
        <w:rPr>
          <w:rFonts w:hint="eastAsia" w:ascii="宋体" w:hAnsi="宋体" w:eastAsia="宋体" w:cs="宋体"/>
          <w:color w:val="000000" w:themeColor="text1"/>
          <w:sz w:val="28"/>
          <w:szCs w:val="28"/>
          <w:highlight w:val="none"/>
          <w14:textFill>
            <w14:solidFill>
              <w14:schemeClr w14:val="tx1"/>
            </w14:solidFill>
          </w14:textFill>
        </w:rPr>
        <w:t>，由各评委独立记名打分。经统计，得出各</w:t>
      </w:r>
      <w:r>
        <w:rPr>
          <w:rFonts w:hint="eastAsia" w:ascii="宋体" w:hAnsi="宋体" w:cs="宋体"/>
          <w:color w:val="000000" w:themeColor="text1"/>
          <w:sz w:val="28"/>
          <w:szCs w:val="28"/>
          <w:highlight w:val="none"/>
          <w:lang w:eastAsia="zh-CN"/>
          <w14:textFill>
            <w14:solidFill>
              <w14:schemeClr w14:val="tx1"/>
            </w14:solidFill>
          </w14:textFill>
        </w:rPr>
        <w:t>供应商</w:t>
      </w:r>
      <w:r>
        <w:rPr>
          <w:rFonts w:hint="eastAsia" w:ascii="宋体" w:hAnsi="宋体" w:eastAsia="宋体" w:cs="宋体"/>
          <w:color w:val="000000" w:themeColor="text1"/>
          <w:sz w:val="28"/>
          <w:szCs w:val="28"/>
          <w:highlight w:val="none"/>
          <w14:textFill>
            <w14:solidFill>
              <w14:schemeClr w14:val="tx1"/>
            </w14:solidFill>
          </w14:textFill>
        </w:rPr>
        <w:t xml:space="preserve">的综合得分,按综合得分由高到低顺序排列。若综合得分相同的，按投标报价由低到高顺序排列。若综合得分且投标报价相同的，货物类采购项目以技术性能得分较高者为先，货物类采购项目以实力信誉及业绩得分较高者为先。 </w:t>
      </w:r>
    </w:p>
    <w:p w14:paraId="7E34D09E">
      <w:pPr>
        <w:pStyle w:val="4"/>
        <w:keepNext w:val="0"/>
        <w:keepLines w:val="0"/>
        <w:pageBreakBefore w:val="0"/>
        <w:wordWrap/>
        <w:topLinePunct w:val="0"/>
        <w:bidi w:val="0"/>
        <w:spacing w:line="560" w:lineRule="exact"/>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第二节</w:t>
      </w:r>
      <w:r>
        <w:rPr>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评标程序</w:t>
      </w:r>
    </w:p>
    <w:p w14:paraId="0A1E69E0">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asciiTheme="minorEastAsia" w:hAnsiTheme="minorEastAsia" w:eastAsia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b/>
          <w:color w:val="000000" w:themeColor="text1"/>
          <w:sz w:val="28"/>
          <w:szCs w:val="28"/>
          <w:highlight w:val="none"/>
          <w14:textFill>
            <w14:solidFill>
              <w14:schemeClr w14:val="tx1"/>
            </w14:solidFill>
          </w14:textFill>
        </w:rPr>
        <w:t>1.符合性审查</w:t>
      </w:r>
    </w:p>
    <w:p w14:paraId="2864EFD9">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评标委员会应当对符合资格的</w:t>
      </w:r>
      <w:r>
        <w:rPr>
          <w:rFonts w:hint="eastAsia" w:asciiTheme="minorEastAsia" w:hAnsiTheme="minorEastAsia" w:eastAsiaTheme="minorEastAsia"/>
          <w:color w:val="000000" w:themeColor="text1"/>
          <w:sz w:val="28"/>
          <w:szCs w:val="28"/>
          <w:highlight w:val="none"/>
          <w:lang w:eastAsia="zh-CN"/>
          <w14:textFill>
            <w14:solidFill>
              <w14:schemeClr w14:val="tx1"/>
            </w14:solidFill>
          </w14:textFill>
        </w:rPr>
        <w:t>供应商</w:t>
      </w:r>
      <w:r>
        <w:rPr>
          <w:rFonts w:hint="eastAsia" w:asciiTheme="minorEastAsia" w:hAnsiTheme="minorEastAsia" w:eastAsiaTheme="minorEastAsia"/>
          <w:color w:val="000000" w:themeColor="text1"/>
          <w:sz w:val="28"/>
          <w:szCs w:val="28"/>
          <w:highlight w:val="none"/>
          <w14:textFill>
            <w14:solidFill>
              <w14:schemeClr w14:val="tx1"/>
            </w14:solidFill>
          </w14:textFill>
        </w:rPr>
        <w:t>的投标文件进行投标报价、商务、技术等实质性内容符合性审查，以确定其是否满足招标文件的实质性要求。</w:t>
      </w:r>
    </w:p>
    <w:p w14:paraId="26ED23B9">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asciiTheme="minorEastAsia" w:hAnsiTheme="minorEastAsia" w:eastAsia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b/>
          <w:color w:val="000000" w:themeColor="text1"/>
          <w:sz w:val="28"/>
          <w:szCs w:val="28"/>
          <w:highlight w:val="none"/>
          <w14:textFill>
            <w14:solidFill>
              <w14:schemeClr w14:val="tx1"/>
            </w14:solidFill>
          </w14:textFill>
        </w:rPr>
        <w:t>2.符合性审查不通过而导致投标无效的情形</w:t>
      </w:r>
    </w:p>
    <w:p w14:paraId="2C9610DB">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lang w:eastAsia="zh-CN"/>
          <w14:textFill>
            <w14:solidFill>
              <w14:schemeClr w14:val="tx1"/>
            </w14:solidFill>
          </w14:textFill>
        </w:rPr>
        <w:t>供应商</w:t>
      </w:r>
      <w:r>
        <w:rPr>
          <w:rFonts w:hint="eastAsia" w:asciiTheme="minorEastAsia" w:hAnsiTheme="minorEastAsia" w:eastAsiaTheme="minorEastAsia"/>
          <w:color w:val="000000" w:themeColor="text1"/>
          <w:sz w:val="28"/>
          <w:szCs w:val="28"/>
          <w:highlight w:val="none"/>
          <w14:textFill>
            <w14:solidFill>
              <w14:schemeClr w14:val="tx1"/>
            </w14:solidFill>
          </w14:textFill>
        </w:rPr>
        <w:t>的投标文件中存在对招标文件的任何实质性要求和条件的负偏离，将被视为投标无效。</w:t>
      </w:r>
    </w:p>
    <w:p w14:paraId="32F120A4">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2.1在报价评审时，如发现下列情形之一的，将被视为投标无效：</w:t>
      </w:r>
    </w:p>
    <w:p w14:paraId="1F711E06">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（1）投标文件未提供“</w:t>
      </w:r>
      <w:r>
        <w:rPr>
          <w:rFonts w:hint="eastAsia" w:asciiTheme="minorEastAsia" w:hAnsiTheme="minorEastAsia" w:eastAsiaTheme="minorEastAsia"/>
          <w:color w:val="000000" w:themeColor="text1"/>
          <w:sz w:val="28"/>
          <w:szCs w:val="28"/>
          <w:highlight w:val="none"/>
          <w:lang w:eastAsia="zh-CN"/>
          <w14:textFill>
            <w14:solidFill>
              <w14:schemeClr w14:val="tx1"/>
            </w14:solidFill>
          </w14:textFill>
        </w:rPr>
        <w:t>供应商</w:t>
      </w:r>
      <w:r>
        <w:rPr>
          <w:rFonts w:hint="eastAsia" w:asciiTheme="minorEastAsia" w:hAnsiTheme="minorEastAsia" w:eastAsiaTheme="minorEastAsia"/>
          <w:color w:val="000000" w:themeColor="text1"/>
          <w:sz w:val="28"/>
          <w:szCs w:val="28"/>
          <w:highlight w:val="none"/>
          <w14:textFill>
            <w14:solidFill>
              <w14:schemeClr w14:val="tx1"/>
            </w14:solidFill>
          </w14:textFill>
        </w:rPr>
        <w:t>须知前附表”第13.1条规定中“必须提供”的文件资料的;</w:t>
      </w:r>
    </w:p>
    <w:p w14:paraId="0E7A4B14">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（2）未采用人民币报价或者未按照招标文件标明的币种报价的；</w:t>
      </w:r>
    </w:p>
    <w:p w14:paraId="7BD12BA7">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（3）报价超出招标文件规定最高限价，或者超出采购预算金额（包括分项预算）的；</w:t>
      </w:r>
    </w:p>
    <w:p w14:paraId="116F5526">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（4）</w:t>
      </w:r>
      <w:r>
        <w:rPr>
          <w:rFonts w:hint="eastAsia" w:asciiTheme="minorEastAsia" w:hAnsiTheme="minorEastAsia" w:eastAsiaTheme="minorEastAsia"/>
          <w:color w:val="000000" w:themeColor="text1"/>
          <w:sz w:val="28"/>
          <w:szCs w:val="28"/>
          <w:highlight w:val="none"/>
          <w:lang w:eastAsia="zh-CN"/>
          <w14:textFill>
            <w14:solidFill>
              <w14:schemeClr w14:val="tx1"/>
            </w14:solidFill>
          </w14:textFill>
        </w:rPr>
        <w:t>供应商</w:t>
      </w:r>
      <w:r>
        <w:rPr>
          <w:rFonts w:hint="eastAsia" w:asciiTheme="minorEastAsia" w:hAnsiTheme="minorEastAsia" w:eastAsiaTheme="minorEastAsia"/>
          <w:color w:val="000000" w:themeColor="text1"/>
          <w:sz w:val="28"/>
          <w:szCs w:val="28"/>
          <w:highlight w:val="none"/>
          <w14:textFill>
            <w14:solidFill>
              <w14:schemeClr w14:val="tx1"/>
            </w14:solidFill>
          </w14:textFill>
        </w:rPr>
        <w:t>未就所投的进行报价或者存在漏项报价；</w:t>
      </w:r>
      <w:r>
        <w:rPr>
          <w:rFonts w:hint="eastAsia" w:asciiTheme="minorEastAsia" w:hAnsiTheme="minorEastAsia" w:eastAsiaTheme="minorEastAsia"/>
          <w:color w:val="000000" w:themeColor="text1"/>
          <w:sz w:val="28"/>
          <w:szCs w:val="28"/>
          <w:highlight w:val="none"/>
          <w:lang w:eastAsia="zh-CN"/>
          <w14:textFill>
            <w14:solidFill>
              <w14:schemeClr w14:val="tx1"/>
            </w14:solidFill>
          </w14:textFill>
        </w:rPr>
        <w:t>供应商</w:t>
      </w:r>
      <w:r>
        <w:rPr>
          <w:rFonts w:hint="eastAsia" w:asciiTheme="minorEastAsia" w:hAnsiTheme="minorEastAsia" w:eastAsiaTheme="minorEastAsia"/>
          <w:color w:val="000000" w:themeColor="text1"/>
          <w:sz w:val="28"/>
          <w:szCs w:val="28"/>
          <w:highlight w:val="none"/>
          <w14:textFill>
            <w14:solidFill>
              <w14:schemeClr w14:val="tx1"/>
            </w14:solidFill>
          </w14:textFill>
        </w:rPr>
        <w:t>未就所投的单项内容作唯一报价；</w:t>
      </w:r>
      <w:r>
        <w:rPr>
          <w:rFonts w:hint="eastAsia" w:asciiTheme="minorEastAsia" w:hAnsiTheme="minorEastAsia" w:eastAsiaTheme="minorEastAsia"/>
          <w:color w:val="000000" w:themeColor="text1"/>
          <w:sz w:val="28"/>
          <w:szCs w:val="28"/>
          <w:highlight w:val="none"/>
          <w:lang w:eastAsia="zh-CN"/>
          <w14:textFill>
            <w14:solidFill>
              <w14:schemeClr w14:val="tx1"/>
            </w14:solidFill>
          </w14:textFill>
        </w:rPr>
        <w:t>供应商</w:t>
      </w:r>
      <w:r>
        <w:rPr>
          <w:rFonts w:hint="eastAsia" w:asciiTheme="minorEastAsia" w:hAnsiTheme="minorEastAsia" w:eastAsiaTheme="minorEastAsia"/>
          <w:color w:val="000000" w:themeColor="text1"/>
          <w:sz w:val="28"/>
          <w:szCs w:val="28"/>
          <w:highlight w:val="none"/>
          <w14:textFill>
            <w14:solidFill>
              <w14:schemeClr w14:val="tx1"/>
            </w14:solidFill>
          </w14:textFill>
        </w:rPr>
        <w:t>未就所投的全部内容作唯一总价报价；存在有选择、有条件报价的（招标文件允许有备选方案或者其他约定的除外）；</w:t>
      </w:r>
    </w:p>
    <w:p w14:paraId="7E7EA261">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（5）修正后的报价，</w:t>
      </w:r>
      <w:r>
        <w:rPr>
          <w:rFonts w:hint="eastAsia" w:asciiTheme="minorEastAsia" w:hAnsiTheme="minorEastAsia" w:eastAsiaTheme="minorEastAsia"/>
          <w:color w:val="000000" w:themeColor="text1"/>
          <w:sz w:val="28"/>
          <w:szCs w:val="28"/>
          <w:highlight w:val="none"/>
          <w:lang w:eastAsia="zh-CN"/>
          <w14:textFill>
            <w14:solidFill>
              <w14:schemeClr w14:val="tx1"/>
            </w14:solidFill>
          </w14:textFill>
        </w:rPr>
        <w:t>供应商</w:t>
      </w:r>
      <w:r>
        <w:rPr>
          <w:rFonts w:hint="eastAsia" w:asciiTheme="minorEastAsia" w:hAnsiTheme="minorEastAsia" w:eastAsiaTheme="minorEastAsia"/>
          <w:color w:val="000000" w:themeColor="text1"/>
          <w:sz w:val="28"/>
          <w:szCs w:val="28"/>
          <w:highlight w:val="none"/>
          <w14:textFill>
            <w14:solidFill>
              <w14:schemeClr w14:val="tx1"/>
            </w14:solidFill>
          </w14:textFill>
        </w:rPr>
        <w:t>不确认的；</w:t>
      </w:r>
    </w:p>
    <w:p w14:paraId="73FA094E">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（6）</w:t>
      </w:r>
      <w:r>
        <w:rPr>
          <w:rFonts w:hint="eastAsia" w:asciiTheme="minorEastAsia" w:hAnsiTheme="minorEastAsia" w:eastAsiaTheme="minorEastAsia"/>
          <w:color w:val="000000" w:themeColor="text1"/>
          <w:sz w:val="28"/>
          <w:szCs w:val="28"/>
          <w:highlight w:val="none"/>
          <w:lang w:eastAsia="zh-CN"/>
          <w14:textFill>
            <w14:solidFill>
              <w14:schemeClr w14:val="tx1"/>
            </w14:solidFill>
          </w14:textFill>
        </w:rPr>
        <w:t>供应商</w:t>
      </w:r>
      <w:r>
        <w:rPr>
          <w:rFonts w:hint="eastAsia" w:asciiTheme="minorEastAsia" w:hAnsiTheme="minorEastAsia" w:eastAsiaTheme="minorEastAsia"/>
          <w:color w:val="000000" w:themeColor="text1"/>
          <w:sz w:val="28"/>
          <w:szCs w:val="28"/>
          <w:highlight w:val="none"/>
          <w14:textFill>
            <w14:solidFill>
              <w14:schemeClr w14:val="tx1"/>
            </w14:solidFill>
          </w14:textFill>
        </w:rPr>
        <w:t>属于本章第5条第（2）项情形的。</w:t>
      </w:r>
    </w:p>
    <w:p w14:paraId="1FFFB77B">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2.2在商务评审时，如发现下列情形之一的，将被视为投标无效：</w:t>
      </w:r>
    </w:p>
    <w:p w14:paraId="697178FD">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（1）投标文件未按招标文件要求签署、盖章的；</w:t>
      </w:r>
    </w:p>
    <w:p w14:paraId="4087A36A">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 xml:space="preserve">（2）委托代理人未能出具有效身份证明或者出具的身份证明与授权委托书中的信息不符的； </w:t>
      </w:r>
    </w:p>
    <w:p w14:paraId="70693BB7">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（3）投标文件未提供“</w:t>
      </w:r>
      <w:r>
        <w:rPr>
          <w:rFonts w:hint="eastAsia" w:asciiTheme="minorEastAsia" w:hAnsiTheme="minorEastAsia" w:eastAsiaTheme="minorEastAsia"/>
          <w:color w:val="000000" w:themeColor="text1"/>
          <w:sz w:val="28"/>
          <w:szCs w:val="28"/>
          <w:highlight w:val="none"/>
          <w:lang w:eastAsia="zh-CN"/>
          <w14:textFill>
            <w14:solidFill>
              <w14:schemeClr w14:val="tx1"/>
            </w14:solidFill>
          </w14:textFill>
        </w:rPr>
        <w:t>供应商</w:t>
      </w:r>
      <w:r>
        <w:rPr>
          <w:rFonts w:hint="eastAsia" w:asciiTheme="minorEastAsia" w:hAnsiTheme="minorEastAsia" w:eastAsiaTheme="minorEastAsia"/>
          <w:color w:val="000000" w:themeColor="text1"/>
          <w:sz w:val="28"/>
          <w:szCs w:val="28"/>
          <w:highlight w:val="none"/>
          <w14:textFill>
            <w14:solidFill>
              <w14:schemeClr w14:val="tx1"/>
            </w14:solidFill>
          </w14:textFill>
        </w:rPr>
        <w:t>须知前附表”第13.1条规定中“必须提供”或者“委托时必须提供”的文件资料的;</w:t>
      </w:r>
    </w:p>
    <w:p w14:paraId="1D103E80">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（4）投标有效期、项目完成时间（交货时间、货物完成时间或者货物期等）、质保期、售后货物等招标文件中标“</w:t>
      </w:r>
      <w:r>
        <w:rPr>
          <w:rFonts w:hint="eastAsia" w:ascii="宋体" w:hAnsi="宋体" w:eastAsia="宋体" w:cs="宋体"/>
          <w:color w:val="000000" w:themeColor="text1"/>
          <w:sz w:val="28"/>
          <w:szCs w:val="28"/>
          <w:highlight w:val="none"/>
          <w14:textFill>
            <w14:solidFill>
              <w14:schemeClr w14:val="tx1"/>
            </w14:solidFill>
          </w14:textFill>
        </w:rPr>
        <w:t>★</w:t>
      </w:r>
      <w:r>
        <w:rPr>
          <w:rFonts w:hint="eastAsia" w:asciiTheme="minorEastAsia" w:hAnsiTheme="minorEastAsia" w:eastAsiaTheme="minorEastAsia"/>
          <w:color w:val="000000" w:themeColor="text1"/>
          <w:sz w:val="28"/>
          <w:szCs w:val="28"/>
          <w:highlight w:val="none"/>
          <w14:textFill>
            <w14:solidFill>
              <w14:schemeClr w14:val="tx1"/>
            </w14:solidFill>
          </w14:textFill>
        </w:rPr>
        <w:t>”的商务条款发生负偏离的；</w:t>
      </w:r>
    </w:p>
    <w:p w14:paraId="22290039">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（5）商务条款评审允许负偏离的条款数超过“</w:t>
      </w:r>
      <w:r>
        <w:rPr>
          <w:rFonts w:hint="eastAsia" w:asciiTheme="minorEastAsia" w:hAnsiTheme="minorEastAsia" w:eastAsiaTheme="minorEastAsia"/>
          <w:color w:val="000000" w:themeColor="text1"/>
          <w:sz w:val="28"/>
          <w:szCs w:val="28"/>
          <w:highlight w:val="none"/>
          <w:lang w:eastAsia="zh-CN"/>
          <w14:textFill>
            <w14:solidFill>
              <w14:schemeClr w14:val="tx1"/>
            </w14:solidFill>
          </w14:textFill>
        </w:rPr>
        <w:t>供应商</w:t>
      </w:r>
      <w:r>
        <w:rPr>
          <w:rFonts w:hint="eastAsia" w:asciiTheme="minorEastAsia" w:hAnsiTheme="minorEastAsia" w:eastAsiaTheme="minorEastAsia"/>
          <w:color w:val="000000" w:themeColor="text1"/>
          <w:sz w:val="28"/>
          <w:szCs w:val="28"/>
          <w:highlight w:val="none"/>
          <w14:textFill>
            <w14:solidFill>
              <w14:schemeClr w14:val="tx1"/>
            </w14:solidFill>
          </w14:textFill>
        </w:rPr>
        <w:t>须知前附表”规定项数的。</w:t>
      </w:r>
    </w:p>
    <w:p w14:paraId="2EAC4908">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（6）投标文件的实质性内容未使用中文表述、使用计量单位不符合招标文件要求的；</w:t>
      </w:r>
    </w:p>
    <w:p w14:paraId="745FF0C4">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（7）投标文件中的文件资料因填写不齐全或者内容虚假或者出现其他情形而导致被评标委员会认定无效的；</w:t>
      </w:r>
    </w:p>
    <w:p w14:paraId="396A59E9">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（8）投标文件含有采购人不能接受的附加条件的；</w:t>
      </w:r>
    </w:p>
    <w:p w14:paraId="639A4E10">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（9）未响应招标文件实质性要求的；</w:t>
      </w:r>
    </w:p>
    <w:p w14:paraId="421DC517">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（10）属于</w:t>
      </w:r>
      <w:r>
        <w:rPr>
          <w:rFonts w:hint="eastAsia" w:asciiTheme="minorEastAsia" w:hAnsiTheme="minorEastAsia" w:eastAsiaTheme="minorEastAsia"/>
          <w:color w:val="000000" w:themeColor="text1"/>
          <w:sz w:val="28"/>
          <w:szCs w:val="28"/>
          <w:highlight w:val="none"/>
          <w:lang w:eastAsia="zh-CN"/>
          <w14:textFill>
            <w14:solidFill>
              <w14:schemeClr w14:val="tx1"/>
            </w14:solidFill>
          </w14:textFill>
        </w:rPr>
        <w:t>供应商</w:t>
      </w:r>
      <w:r>
        <w:rPr>
          <w:rFonts w:hint="eastAsia" w:asciiTheme="minorEastAsia" w:hAnsiTheme="minorEastAsia" w:eastAsiaTheme="minorEastAsia"/>
          <w:color w:val="000000" w:themeColor="text1"/>
          <w:sz w:val="28"/>
          <w:szCs w:val="28"/>
          <w:highlight w:val="none"/>
          <w14:textFill>
            <w14:solidFill>
              <w14:schemeClr w14:val="tx1"/>
            </w14:solidFill>
          </w14:textFill>
        </w:rPr>
        <w:t>须知正文第9.2条情形的；</w:t>
      </w:r>
    </w:p>
    <w:p w14:paraId="7A1B7F07">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（11）法律、法规和招标文件规定的其他无效情形。</w:t>
      </w:r>
    </w:p>
    <w:p w14:paraId="118D36EB">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2.3在技术评审时，如发现下列情形之一的，将被视为投标无效：</w:t>
      </w:r>
    </w:p>
    <w:p w14:paraId="62AE2F74">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w:t>
      </w:r>
      <w:r>
        <w:rPr>
          <w:rFonts w:asciiTheme="minorEastAsia" w:hAnsiTheme="minorEastAsia" w:eastAsiaTheme="minorEastAsia"/>
          <w:color w:val="000000" w:themeColor="text1"/>
          <w:sz w:val="28"/>
          <w:szCs w:val="28"/>
          <w:highlight w:val="none"/>
          <w14:textFill>
            <w14:solidFill>
              <w14:schemeClr w14:val="tx1"/>
            </w14:solidFill>
          </w14:textFill>
        </w:rPr>
        <w:t>1</w:t>
      </w:r>
      <w:r>
        <w:rPr>
          <w:rFonts w:hint="eastAsia" w:asciiTheme="minorEastAsia" w:hAnsiTheme="minorEastAsia" w:eastAsiaTheme="minorEastAsia"/>
          <w:color w:val="000000" w:themeColor="text1"/>
          <w:sz w:val="28"/>
          <w:szCs w:val="28"/>
          <w:highlight w:val="none"/>
          <w14:textFill>
            <w14:solidFill>
              <w14:schemeClr w14:val="tx1"/>
            </w14:solidFill>
          </w14:textFill>
        </w:rPr>
        <w:t>）不满足招标文件要求的货物内容、技术要求、安全、质量标准，或者与招标文件中标“</w:t>
      </w:r>
      <w:r>
        <w:rPr>
          <w:rFonts w:hint="eastAsia" w:ascii="宋体" w:hAnsi="宋体" w:eastAsia="宋体" w:cs="宋体"/>
          <w:color w:val="000000" w:themeColor="text1"/>
          <w:sz w:val="28"/>
          <w:szCs w:val="28"/>
          <w:highlight w:val="none"/>
          <w14:textFill>
            <w14:solidFill>
              <w14:schemeClr w14:val="tx1"/>
            </w14:solidFill>
          </w14:textFill>
        </w:rPr>
        <w:t>★</w:t>
      </w:r>
      <w:r>
        <w:rPr>
          <w:rFonts w:hint="eastAsia" w:asciiTheme="minorEastAsia" w:hAnsiTheme="minorEastAsia" w:eastAsiaTheme="minorEastAsia"/>
          <w:color w:val="000000" w:themeColor="text1"/>
          <w:sz w:val="28"/>
          <w:szCs w:val="28"/>
          <w:highlight w:val="none"/>
          <w14:textFill>
            <w14:solidFill>
              <w14:schemeClr w14:val="tx1"/>
            </w14:solidFill>
          </w14:textFill>
        </w:rPr>
        <w:t>”的技术需求发生负偏离的；</w:t>
      </w:r>
    </w:p>
    <w:p w14:paraId="7D0CD6F2">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w:t>
      </w:r>
      <w:r>
        <w:rPr>
          <w:rFonts w:asciiTheme="minorEastAsia" w:hAnsiTheme="minorEastAsia" w:eastAsiaTheme="minorEastAsia"/>
          <w:color w:val="000000" w:themeColor="text1"/>
          <w:sz w:val="28"/>
          <w:szCs w:val="28"/>
          <w:highlight w:val="none"/>
          <w14:textFill>
            <w14:solidFill>
              <w14:schemeClr w14:val="tx1"/>
            </w14:solidFill>
          </w14:textFill>
        </w:rPr>
        <w:t>2</w:t>
      </w:r>
      <w:r>
        <w:rPr>
          <w:rFonts w:hint="eastAsia" w:asciiTheme="minorEastAsia" w:hAnsiTheme="minorEastAsia" w:eastAsiaTheme="minorEastAsia"/>
          <w:color w:val="000000" w:themeColor="text1"/>
          <w:sz w:val="28"/>
          <w:szCs w:val="28"/>
          <w:highlight w:val="none"/>
          <w14:textFill>
            <w14:solidFill>
              <w14:schemeClr w14:val="tx1"/>
            </w14:solidFill>
          </w14:textFill>
        </w:rPr>
        <w:t>）技术需求评审允许负偏离的条款数超过“</w:t>
      </w:r>
      <w:r>
        <w:rPr>
          <w:rFonts w:hint="eastAsia" w:asciiTheme="minorEastAsia" w:hAnsiTheme="minorEastAsia" w:eastAsiaTheme="minorEastAsia"/>
          <w:color w:val="000000" w:themeColor="text1"/>
          <w:sz w:val="28"/>
          <w:szCs w:val="28"/>
          <w:highlight w:val="none"/>
          <w:lang w:eastAsia="zh-CN"/>
          <w14:textFill>
            <w14:solidFill>
              <w14:schemeClr w14:val="tx1"/>
            </w14:solidFill>
          </w14:textFill>
        </w:rPr>
        <w:t>供应商</w:t>
      </w:r>
      <w:r>
        <w:rPr>
          <w:rFonts w:hint="eastAsia" w:asciiTheme="minorEastAsia" w:hAnsiTheme="minorEastAsia" w:eastAsiaTheme="minorEastAsia"/>
          <w:color w:val="000000" w:themeColor="text1"/>
          <w:sz w:val="28"/>
          <w:szCs w:val="28"/>
          <w:highlight w:val="none"/>
          <w14:textFill>
            <w14:solidFill>
              <w14:schemeClr w14:val="tx1"/>
            </w14:solidFill>
          </w14:textFill>
        </w:rPr>
        <w:t>须知前附表”规定项数的；</w:t>
      </w:r>
    </w:p>
    <w:p w14:paraId="24E50CA8">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w:t>
      </w:r>
      <w:r>
        <w:rPr>
          <w:rFonts w:asciiTheme="minorEastAsia" w:hAnsiTheme="minorEastAsia" w:eastAsiaTheme="minorEastAsia"/>
          <w:color w:val="000000" w:themeColor="text1"/>
          <w:sz w:val="28"/>
          <w:szCs w:val="28"/>
          <w:highlight w:val="none"/>
          <w14:textFill>
            <w14:solidFill>
              <w14:schemeClr w14:val="tx1"/>
            </w14:solidFill>
          </w14:textFill>
        </w:rPr>
        <w:t>3</w:t>
      </w:r>
      <w:r>
        <w:rPr>
          <w:rFonts w:hint="eastAsia" w:asciiTheme="minorEastAsia" w:hAnsiTheme="minorEastAsia" w:eastAsiaTheme="minorEastAsia"/>
          <w:color w:val="000000" w:themeColor="text1"/>
          <w:sz w:val="28"/>
          <w:szCs w:val="28"/>
          <w:highlight w:val="none"/>
          <w14:textFill>
            <w14:solidFill>
              <w14:schemeClr w14:val="tx1"/>
            </w14:solidFill>
          </w14:textFill>
        </w:rPr>
        <w:t>）投标文件未提供“</w:t>
      </w:r>
      <w:r>
        <w:rPr>
          <w:rFonts w:hint="eastAsia" w:asciiTheme="minorEastAsia" w:hAnsiTheme="minorEastAsia" w:eastAsiaTheme="minorEastAsia"/>
          <w:color w:val="000000" w:themeColor="text1"/>
          <w:sz w:val="28"/>
          <w:szCs w:val="28"/>
          <w:highlight w:val="none"/>
          <w:lang w:eastAsia="zh-CN"/>
          <w14:textFill>
            <w14:solidFill>
              <w14:schemeClr w14:val="tx1"/>
            </w14:solidFill>
          </w14:textFill>
        </w:rPr>
        <w:t>供应商</w:t>
      </w:r>
      <w:r>
        <w:rPr>
          <w:rFonts w:hint="eastAsia" w:asciiTheme="minorEastAsia" w:hAnsiTheme="minorEastAsia" w:eastAsiaTheme="minorEastAsia"/>
          <w:color w:val="000000" w:themeColor="text1"/>
          <w:sz w:val="28"/>
          <w:szCs w:val="28"/>
          <w:highlight w:val="none"/>
          <w14:textFill>
            <w14:solidFill>
              <w14:schemeClr w14:val="tx1"/>
            </w14:solidFill>
          </w14:textFill>
        </w:rPr>
        <w:t>须知前附表”第</w:t>
      </w:r>
      <w:r>
        <w:rPr>
          <w:rFonts w:asciiTheme="minorEastAsia" w:hAnsiTheme="minorEastAsia" w:eastAsiaTheme="minorEastAsia"/>
          <w:color w:val="000000" w:themeColor="text1"/>
          <w:sz w:val="28"/>
          <w:szCs w:val="28"/>
          <w:highlight w:val="none"/>
          <w14:textFill>
            <w14:solidFill>
              <w14:schemeClr w14:val="tx1"/>
            </w14:solidFill>
          </w14:textFill>
        </w:rPr>
        <w:t>13.1</w:t>
      </w:r>
      <w:r>
        <w:rPr>
          <w:rFonts w:hint="eastAsia" w:asciiTheme="minorEastAsia" w:hAnsiTheme="minorEastAsia" w:eastAsiaTheme="minorEastAsia"/>
          <w:color w:val="000000" w:themeColor="text1"/>
          <w:sz w:val="28"/>
          <w:szCs w:val="28"/>
          <w:highlight w:val="none"/>
          <w14:textFill>
            <w14:solidFill>
              <w14:schemeClr w14:val="tx1"/>
            </w14:solidFill>
          </w14:textFill>
        </w:rPr>
        <w:t>条规定中“必须提供”的文件资料的</w:t>
      </w:r>
      <w:r>
        <w:rPr>
          <w:rFonts w:asciiTheme="minorEastAsia" w:hAnsiTheme="minorEastAsia" w:eastAsiaTheme="minorEastAsia"/>
          <w:color w:val="000000" w:themeColor="text1"/>
          <w:sz w:val="28"/>
          <w:szCs w:val="28"/>
          <w:highlight w:val="none"/>
          <w14:textFill>
            <w14:solidFill>
              <w14:schemeClr w14:val="tx1"/>
            </w14:solidFill>
          </w14:textFill>
        </w:rPr>
        <w:t>;</w:t>
      </w:r>
    </w:p>
    <w:p w14:paraId="43730410">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w:t>
      </w:r>
      <w:r>
        <w:rPr>
          <w:rFonts w:asciiTheme="minorEastAsia" w:hAnsiTheme="minorEastAsia" w:eastAsiaTheme="minorEastAsia"/>
          <w:color w:val="000000" w:themeColor="text1"/>
          <w:sz w:val="28"/>
          <w:szCs w:val="28"/>
          <w:highlight w:val="none"/>
          <w14:textFill>
            <w14:solidFill>
              <w14:schemeClr w14:val="tx1"/>
            </w14:solidFill>
          </w14:textFill>
        </w:rPr>
        <w:t>4</w:t>
      </w:r>
      <w:r>
        <w:rPr>
          <w:rFonts w:hint="eastAsia" w:asciiTheme="minorEastAsia" w:hAnsiTheme="minorEastAsia" w:eastAsiaTheme="minorEastAsia"/>
          <w:color w:val="000000" w:themeColor="text1"/>
          <w:sz w:val="28"/>
          <w:szCs w:val="28"/>
          <w:highlight w:val="none"/>
          <w14:textFill>
            <w14:solidFill>
              <w14:schemeClr w14:val="tx1"/>
            </w14:solidFill>
          </w14:textFill>
        </w:rPr>
        <w:t>）虚假投标，或者出现其他情形而导致被评标委员会认定无效的；</w:t>
      </w:r>
    </w:p>
    <w:p w14:paraId="4F92BEAB">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w:t>
      </w:r>
      <w:r>
        <w:rPr>
          <w:rFonts w:asciiTheme="minorEastAsia" w:hAnsiTheme="minorEastAsia" w:eastAsiaTheme="minorEastAsia"/>
          <w:color w:val="000000" w:themeColor="text1"/>
          <w:sz w:val="28"/>
          <w:szCs w:val="28"/>
          <w:highlight w:val="none"/>
          <w14:textFill>
            <w14:solidFill>
              <w14:schemeClr w14:val="tx1"/>
            </w14:solidFill>
          </w14:textFill>
        </w:rPr>
        <w:t>5</w:t>
      </w:r>
      <w:r>
        <w:rPr>
          <w:rFonts w:hint="eastAsia" w:asciiTheme="minorEastAsia" w:hAnsiTheme="minorEastAsia" w:eastAsiaTheme="minorEastAsia"/>
          <w:color w:val="000000" w:themeColor="text1"/>
          <w:sz w:val="28"/>
          <w:szCs w:val="28"/>
          <w:highlight w:val="none"/>
          <w14:textFill>
            <w14:solidFill>
              <w14:schemeClr w14:val="tx1"/>
            </w14:solidFill>
          </w14:textFill>
        </w:rPr>
        <w:t>）招标文件要求提供技术方案的，投标技术方案不明确，招标文件未允许但存在一个或者一个以上备选（替代）投标方案的。</w:t>
      </w:r>
    </w:p>
    <w:p w14:paraId="6F303B06">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asciiTheme="minorEastAsia" w:hAnsiTheme="minorEastAsia" w:eastAsia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b/>
          <w:color w:val="000000" w:themeColor="text1"/>
          <w:sz w:val="28"/>
          <w:szCs w:val="28"/>
          <w:highlight w:val="none"/>
          <w14:textFill>
            <w14:solidFill>
              <w14:schemeClr w14:val="tx1"/>
            </w14:solidFill>
          </w14:textFill>
        </w:rPr>
        <w:t>3.澄清补正、说明或者补正</w:t>
      </w:r>
    </w:p>
    <w:p w14:paraId="4AEE0FBB">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cs="Courier New" w:asciiTheme="minorEastAsia" w:hAnsiTheme="minorEastAsia" w:eastAsiaTheme="minorEastAsia"/>
          <w:color w:val="000000" w:themeColor="text1"/>
          <w:sz w:val="28"/>
          <w:szCs w:val="28"/>
          <w:highlight w:val="none"/>
          <w14:textFill>
            <w14:solidFill>
              <w14:schemeClr w14:val="tx1"/>
            </w14:solidFill>
          </w14:textFill>
        </w:rPr>
      </w:pPr>
      <w:r>
        <w:rPr>
          <w:rFonts w:hint="eastAsia" w:cs="Courier New" w:asciiTheme="minorEastAsia" w:hAnsiTheme="minorEastAsia" w:eastAsiaTheme="minorEastAsia"/>
          <w:color w:val="000000" w:themeColor="text1"/>
          <w:sz w:val="28"/>
          <w:szCs w:val="28"/>
          <w:highlight w:val="none"/>
          <w14:textFill>
            <w14:solidFill>
              <w14:schemeClr w14:val="tx1"/>
            </w14:solidFill>
          </w14:textFill>
        </w:rPr>
        <w:t>对投标文件中含义不明确、同类问题表述不一致或者有明显文字和计算错误的内容，评标委员会应在“政采云”平台发布电子澄清函，要求</w:t>
      </w:r>
      <w:r>
        <w:rPr>
          <w:rFonts w:hint="eastAsia" w:cs="Courier New" w:asciiTheme="minorEastAsia" w:hAnsiTheme="minorEastAsia" w:eastAsiaTheme="minorEastAsia"/>
          <w:color w:val="000000" w:themeColor="text1"/>
          <w:sz w:val="28"/>
          <w:szCs w:val="28"/>
          <w:highlight w:val="none"/>
          <w:lang w:eastAsia="zh-CN"/>
          <w14:textFill>
            <w14:solidFill>
              <w14:schemeClr w14:val="tx1"/>
            </w14:solidFill>
          </w14:textFill>
        </w:rPr>
        <w:t>供应商</w:t>
      </w:r>
      <w:r>
        <w:rPr>
          <w:rFonts w:hint="eastAsia" w:cs="Courier New" w:asciiTheme="minorEastAsia" w:hAnsiTheme="minorEastAsia" w:eastAsiaTheme="minorEastAsia"/>
          <w:color w:val="000000" w:themeColor="text1"/>
          <w:sz w:val="28"/>
          <w:szCs w:val="28"/>
          <w:highlight w:val="none"/>
          <w14:textFill>
            <w14:solidFill>
              <w14:schemeClr w14:val="tx1"/>
            </w14:solidFill>
          </w14:textFill>
        </w:rPr>
        <w:t>在规定时间内作出必要的澄清、说明或者补正。</w:t>
      </w:r>
      <w:r>
        <w:rPr>
          <w:rFonts w:hint="eastAsia" w:cs="Courier New" w:asciiTheme="minorEastAsia" w:hAnsiTheme="minorEastAsia" w:eastAsiaTheme="minorEastAsia"/>
          <w:color w:val="000000" w:themeColor="text1"/>
          <w:sz w:val="28"/>
          <w:szCs w:val="28"/>
          <w:highlight w:val="none"/>
          <w:lang w:eastAsia="zh-CN"/>
          <w14:textFill>
            <w14:solidFill>
              <w14:schemeClr w14:val="tx1"/>
            </w14:solidFill>
          </w14:textFill>
        </w:rPr>
        <w:t>供应商</w:t>
      </w:r>
      <w:r>
        <w:rPr>
          <w:rFonts w:hint="eastAsia" w:cs="Courier New" w:asciiTheme="minorEastAsia" w:hAnsiTheme="minorEastAsia" w:eastAsiaTheme="minorEastAsia"/>
          <w:color w:val="000000" w:themeColor="text1"/>
          <w:sz w:val="28"/>
          <w:szCs w:val="28"/>
          <w:highlight w:val="none"/>
          <w14:textFill>
            <w14:solidFill>
              <w14:schemeClr w14:val="tx1"/>
            </w14:solidFill>
          </w14:textFill>
        </w:rPr>
        <w:t>在“政采云”平台接收到电子澄清函后根据澄清函内容上传PDF格式回函，电子澄清答复函使用CA证书加盖单位公章后在线上传至评标委员会。</w:t>
      </w:r>
      <w:r>
        <w:rPr>
          <w:rFonts w:hint="eastAsia" w:cs="Courier New" w:asciiTheme="minorEastAsia" w:hAnsiTheme="minorEastAsia" w:eastAsiaTheme="minorEastAsia"/>
          <w:color w:val="000000" w:themeColor="text1"/>
          <w:sz w:val="28"/>
          <w:szCs w:val="28"/>
          <w:highlight w:val="none"/>
          <w:lang w:eastAsia="zh-CN"/>
          <w14:textFill>
            <w14:solidFill>
              <w14:schemeClr w14:val="tx1"/>
            </w14:solidFill>
          </w14:textFill>
        </w:rPr>
        <w:t>供应商</w:t>
      </w:r>
      <w:r>
        <w:rPr>
          <w:rFonts w:hint="eastAsia" w:cs="Courier New" w:asciiTheme="minorEastAsia" w:hAnsiTheme="minorEastAsia" w:eastAsiaTheme="minorEastAsia"/>
          <w:color w:val="000000" w:themeColor="text1"/>
          <w:sz w:val="28"/>
          <w:szCs w:val="28"/>
          <w:highlight w:val="none"/>
          <w14:textFill>
            <w14:solidFill>
              <w14:schemeClr w14:val="tx1"/>
            </w14:solidFill>
          </w14:textFill>
        </w:rPr>
        <w:t>的澄清、说明或者补正不得超出投标文件的范围或者改变投标文件的实质性内容。</w:t>
      </w:r>
      <w:r>
        <w:rPr>
          <w:rFonts w:hint="eastAsia" w:cs="Courier New" w:asciiTheme="minorEastAsia" w:hAnsiTheme="minorEastAsia" w:eastAsiaTheme="minorEastAsia"/>
          <w:color w:val="000000" w:themeColor="text1"/>
          <w:sz w:val="28"/>
          <w:szCs w:val="28"/>
          <w:highlight w:val="none"/>
          <w:lang w:eastAsia="zh-CN"/>
          <w14:textFill>
            <w14:solidFill>
              <w14:schemeClr w14:val="tx1"/>
            </w14:solidFill>
          </w14:textFill>
        </w:rPr>
        <w:t>供应商</w:t>
      </w:r>
      <w:r>
        <w:rPr>
          <w:rFonts w:hint="eastAsia" w:cs="Courier New" w:asciiTheme="minorEastAsia" w:hAnsiTheme="minorEastAsia" w:eastAsiaTheme="minorEastAsia"/>
          <w:color w:val="000000" w:themeColor="text1"/>
          <w:sz w:val="28"/>
          <w:szCs w:val="28"/>
          <w:highlight w:val="none"/>
          <w14:textFill>
            <w14:solidFill>
              <w14:schemeClr w14:val="tx1"/>
            </w14:solidFill>
          </w14:textFill>
        </w:rPr>
        <w:t>未在规定时间内进行澄清、说明或者补正的，按无效投标处理。</w:t>
      </w:r>
    </w:p>
    <w:p w14:paraId="35ABCC7B">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cs="Courier New" w:asciiTheme="minorEastAsia" w:hAnsiTheme="minorEastAsia" w:eastAsiaTheme="minorEastAsia"/>
          <w:color w:val="000000" w:themeColor="text1"/>
          <w:sz w:val="28"/>
          <w:szCs w:val="28"/>
          <w:highlight w:val="none"/>
          <w14:textFill>
            <w14:solidFill>
              <w14:schemeClr w14:val="tx1"/>
            </w14:solidFill>
          </w14:textFill>
        </w:rPr>
      </w:pPr>
      <w:r>
        <w:rPr>
          <w:rFonts w:hint="eastAsia" w:cs="Courier New" w:asciiTheme="minorEastAsia" w:hAnsiTheme="minorEastAsia" w:eastAsiaTheme="minorEastAsia"/>
          <w:color w:val="000000" w:themeColor="text1"/>
          <w:sz w:val="28"/>
          <w:szCs w:val="28"/>
          <w:highlight w:val="none"/>
          <w14:textFill>
            <w14:solidFill>
              <w14:schemeClr w14:val="tx1"/>
            </w14:solidFill>
          </w14:textFill>
        </w:rPr>
        <w:t>异常情况处理：如遇无法正常使用线上发送澄清函的情况，将启动书面形式办理。启动书面形式办理的情况下，评标委员会以书面形式要求</w:t>
      </w:r>
      <w:r>
        <w:rPr>
          <w:rFonts w:hint="eastAsia" w:cs="Courier New" w:asciiTheme="minorEastAsia" w:hAnsiTheme="minorEastAsia" w:eastAsiaTheme="minorEastAsia"/>
          <w:color w:val="000000" w:themeColor="text1"/>
          <w:sz w:val="28"/>
          <w:szCs w:val="28"/>
          <w:highlight w:val="none"/>
          <w:lang w:eastAsia="zh-CN"/>
          <w14:textFill>
            <w14:solidFill>
              <w14:schemeClr w14:val="tx1"/>
            </w14:solidFill>
          </w14:textFill>
        </w:rPr>
        <w:t>供应商</w:t>
      </w:r>
      <w:r>
        <w:rPr>
          <w:rFonts w:hint="eastAsia" w:cs="Courier New" w:asciiTheme="minorEastAsia" w:hAnsiTheme="minorEastAsia" w:eastAsiaTheme="minorEastAsia"/>
          <w:color w:val="000000" w:themeColor="text1"/>
          <w:sz w:val="28"/>
          <w:szCs w:val="28"/>
          <w:highlight w:val="none"/>
          <w14:textFill>
            <w14:solidFill>
              <w14:schemeClr w14:val="tx1"/>
            </w14:solidFill>
          </w14:textFill>
        </w:rPr>
        <w:t>在规定时间内作出必要的澄清、说明或者补正。</w:t>
      </w:r>
      <w:r>
        <w:rPr>
          <w:rFonts w:hint="eastAsia" w:cs="Courier New" w:asciiTheme="minorEastAsia" w:hAnsiTheme="minorEastAsia" w:eastAsiaTheme="minorEastAsia"/>
          <w:color w:val="000000" w:themeColor="text1"/>
          <w:sz w:val="28"/>
          <w:szCs w:val="28"/>
          <w:highlight w:val="none"/>
          <w:lang w:eastAsia="zh-CN"/>
          <w14:textFill>
            <w14:solidFill>
              <w14:schemeClr w14:val="tx1"/>
            </w14:solidFill>
          </w14:textFill>
        </w:rPr>
        <w:t>供应商</w:t>
      </w:r>
      <w:r>
        <w:rPr>
          <w:rFonts w:hint="eastAsia" w:cs="Courier New" w:asciiTheme="minorEastAsia" w:hAnsiTheme="minorEastAsia" w:eastAsiaTheme="minorEastAsia"/>
          <w:color w:val="000000" w:themeColor="text1"/>
          <w:sz w:val="28"/>
          <w:szCs w:val="28"/>
          <w:highlight w:val="none"/>
          <w14:textFill>
            <w14:solidFill>
              <w14:schemeClr w14:val="tx1"/>
            </w14:solidFill>
          </w14:textFill>
        </w:rPr>
        <w:t>的澄清、说明或者补正必须采用书面形式，并加盖公章，或者由法定代表人或者其授权的代表签字。</w:t>
      </w:r>
    </w:p>
    <w:p w14:paraId="23B000CD">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asciiTheme="minorEastAsia" w:hAnsiTheme="minorEastAsia" w:eastAsia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b/>
          <w:color w:val="000000" w:themeColor="text1"/>
          <w:sz w:val="28"/>
          <w:szCs w:val="28"/>
          <w:highlight w:val="none"/>
          <w14:textFill>
            <w14:solidFill>
              <w14:schemeClr w14:val="tx1"/>
            </w14:solidFill>
          </w14:textFill>
        </w:rPr>
        <w:t>4.投标文件修正</w:t>
      </w:r>
    </w:p>
    <w:p w14:paraId="494AAAA8">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 xml:space="preserve">4.1投标文件报价出现前后不一致的，按照下列规定修正： </w:t>
      </w:r>
    </w:p>
    <w:p w14:paraId="0DF17145">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w:t>
      </w:r>
      <w:r>
        <w:rPr>
          <w:rFonts w:asciiTheme="minorEastAsia" w:hAnsiTheme="minorEastAsia" w:eastAsiaTheme="minorEastAsia"/>
          <w:color w:val="000000" w:themeColor="text1"/>
          <w:sz w:val="28"/>
          <w:szCs w:val="28"/>
          <w:highlight w:val="none"/>
          <w14:textFill>
            <w14:solidFill>
              <w14:schemeClr w14:val="tx1"/>
            </w14:solidFill>
          </w14:textFill>
        </w:rPr>
        <w:t>1</w:t>
      </w:r>
      <w:r>
        <w:rPr>
          <w:rFonts w:hint="eastAsia" w:asciiTheme="minorEastAsia" w:hAnsiTheme="minorEastAsia" w:eastAsiaTheme="minorEastAsia"/>
          <w:color w:val="000000" w:themeColor="text1"/>
          <w:sz w:val="28"/>
          <w:szCs w:val="28"/>
          <w:highlight w:val="none"/>
          <w14:textFill>
            <w14:solidFill>
              <w14:schemeClr w14:val="tx1"/>
            </w14:solidFill>
          </w14:textFill>
        </w:rPr>
        <w:t>）报价文件中“开标一览表”内容与投标文件中相应内容不一致的，以“开标一览表”为准；</w:t>
      </w:r>
    </w:p>
    <w:p w14:paraId="115890EE">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w:t>
      </w:r>
      <w:r>
        <w:rPr>
          <w:rFonts w:asciiTheme="minorEastAsia" w:hAnsiTheme="minorEastAsia" w:eastAsiaTheme="minorEastAsia"/>
          <w:color w:val="000000" w:themeColor="text1"/>
          <w:sz w:val="28"/>
          <w:szCs w:val="28"/>
          <w:highlight w:val="none"/>
          <w14:textFill>
            <w14:solidFill>
              <w14:schemeClr w14:val="tx1"/>
            </w14:solidFill>
          </w14:textFill>
        </w:rPr>
        <w:t>2</w:t>
      </w:r>
      <w:r>
        <w:rPr>
          <w:rFonts w:hint="eastAsia" w:asciiTheme="minorEastAsia" w:hAnsiTheme="minorEastAsia" w:eastAsiaTheme="minorEastAsia"/>
          <w:color w:val="000000" w:themeColor="text1"/>
          <w:sz w:val="28"/>
          <w:szCs w:val="28"/>
          <w:highlight w:val="none"/>
          <w14:textFill>
            <w14:solidFill>
              <w14:schemeClr w14:val="tx1"/>
            </w14:solidFill>
          </w14:textFill>
        </w:rPr>
        <w:t>）大写金额和小写金额不一致的，以大写金额为准；</w:t>
      </w:r>
    </w:p>
    <w:p w14:paraId="6751547A">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w:t>
      </w:r>
      <w:r>
        <w:rPr>
          <w:rFonts w:asciiTheme="minorEastAsia" w:hAnsiTheme="minorEastAsia" w:eastAsiaTheme="minorEastAsia"/>
          <w:color w:val="000000" w:themeColor="text1"/>
          <w:sz w:val="28"/>
          <w:szCs w:val="28"/>
          <w:highlight w:val="none"/>
          <w14:textFill>
            <w14:solidFill>
              <w14:schemeClr w14:val="tx1"/>
            </w14:solidFill>
          </w14:textFill>
        </w:rPr>
        <w:t>3</w:t>
      </w:r>
      <w:r>
        <w:rPr>
          <w:rFonts w:hint="eastAsia" w:asciiTheme="minorEastAsia" w:hAnsiTheme="minorEastAsia" w:eastAsiaTheme="minorEastAsia"/>
          <w:color w:val="000000" w:themeColor="text1"/>
          <w:sz w:val="28"/>
          <w:szCs w:val="28"/>
          <w:highlight w:val="none"/>
          <w14:textFill>
            <w14:solidFill>
              <w14:schemeClr w14:val="tx1"/>
            </w14:solidFill>
          </w14:textFill>
        </w:rPr>
        <w:t>）单价金额小数点或者百分比有明显错位的，以开标一览表的总价为准，并修改单价；</w:t>
      </w:r>
    </w:p>
    <w:p w14:paraId="66B1890E">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w:t>
      </w:r>
      <w:r>
        <w:rPr>
          <w:rFonts w:asciiTheme="minorEastAsia" w:hAnsiTheme="minorEastAsia" w:eastAsiaTheme="minorEastAsia"/>
          <w:color w:val="000000" w:themeColor="text1"/>
          <w:sz w:val="28"/>
          <w:szCs w:val="28"/>
          <w:highlight w:val="none"/>
          <w14:textFill>
            <w14:solidFill>
              <w14:schemeClr w14:val="tx1"/>
            </w14:solidFill>
          </w14:textFill>
        </w:rPr>
        <w:t>4</w:t>
      </w:r>
      <w:r>
        <w:rPr>
          <w:rFonts w:hint="eastAsia" w:asciiTheme="minorEastAsia" w:hAnsiTheme="minorEastAsia" w:eastAsiaTheme="minorEastAsia"/>
          <w:color w:val="000000" w:themeColor="text1"/>
          <w:sz w:val="28"/>
          <w:szCs w:val="28"/>
          <w:highlight w:val="none"/>
          <w14:textFill>
            <w14:solidFill>
              <w14:schemeClr w14:val="tx1"/>
            </w14:solidFill>
          </w14:textFill>
        </w:rPr>
        <w:t>）总价金额与按单价汇总金额不一致的，以单价金额计算结果为准。</w:t>
      </w:r>
    </w:p>
    <w:p w14:paraId="2479A5E9">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同时出现两种以上不一致的，按照以上（</w:t>
      </w:r>
      <w:r>
        <w:rPr>
          <w:rFonts w:asciiTheme="minorEastAsia" w:hAnsiTheme="minorEastAsia" w:eastAsiaTheme="minorEastAsia"/>
          <w:color w:val="000000" w:themeColor="text1"/>
          <w:sz w:val="28"/>
          <w:szCs w:val="28"/>
          <w:highlight w:val="none"/>
          <w14:textFill>
            <w14:solidFill>
              <w14:schemeClr w14:val="tx1"/>
            </w14:solidFill>
          </w14:textFill>
        </w:rPr>
        <w:t>1</w:t>
      </w:r>
      <w:r>
        <w:rPr>
          <w:rFonts w:hint="eastAsia" w:asciiTheme="minorEastAsia" w:hAnsiTheme="minorEastAsia" w:eastAsiaTheme="minorEastAsia"/>
          <w:color w:val="000000" w:themeColor="text1"/>
          <w:sz w:val="28"/>
          <w:szCs w:val="28"/>
          <w:highlight w:val="none"/>
          <w14:textFill>
            <w14:solidFill>
              <w14:schemeClr w14:val="tx1"/>
            </w14:solidFill>
          </w14:textFill>
        </w:rPr>
        <w:t>）</w:t>
      </w:r>
      <w:r>
        <w:rPr>
          <w:rFonts w:asciiTheme="minorEastAsia" w:hAnsiTheme="minorEastAsia" w:eastAsiaTheme="minorEastAsia"/>
          <w:color w:val="000000" w:themeColor="text1"/>
          <w:sz w:val="28"/>
          <w:szCs w:val="28"/>
          <w:highlight w:val="none"/>
          <w14:textFill>
            <w14:solidFill>
              <w14:schemeClr w14:val="tx1"/>
            </w14:solidFill>
          </w14:textFill>
        </w:rPr>
        <w:t>-</w:t>
      </w:r>
      <w:r>
        <w:rPr>
          <w:rFonts w:hint="eastAsia" w:asciiTheme="minorEastAsia" w:hAnsiTheme="minorEastAsia" w:eastAsiaTheme="minorEastAsia"/>
          <w:color w:val="000000" w:themeColor="text1"/>
          <w:sz w:val="28"/>
          <w:szCs w:val="28"/>
          <w:highlight w:val="none"/>
          <w14:textFill>
            <w14:solidFill>
              <w14:schemeClr w14:val="tx1"/>
            </w14:solidFill>
          </w14:textFill>
        </w:rPr>
        <w:t>（</w:t>
      </w:r>
      <w:r>
        <w:rPr>
          <w:rFonts w:asciiTheme="minorEastAsia" w:hAnsiTheme="minorEastAsia" w:eastAsiaTheme="minorEastAsia"/>
          <w:color w:val="000000" w:themeColor="text1"/>
          <w:sz w:val="28"/>
          <w:szCs w:val="28"/>
          <w:highlight w:val="none"/>
          <w14:textFill>
            <w14:solidFill>
              <w14:schemeClr w14:val="tx1"/>
            </w14:solidFill>
          </w14:textFill>
        </w:rPr>
        <w:t>4</w:t>
      </w:r>
      <w:r>
        <w:rPr>
          <w:rFonts w:hint="eastAsia" w:asciiTheme="minorEastAsia" w:hAnsiTheme="minorEastAsia" w:eastAsiaTheme="minorEastAsia"/>
          <w:color w:val="000000" w:themeColor="text1"/>
          <w:sz w:val="28"/>
          <w:szCs w:val="28"/>
          <w:highlight w:val="none"/>
          <w14:textFill>
            <w14:solidFill>
              <w14:schemeClr w14:val="tx1"/>
            </w14:solidFill>
          </w14:textFill>
        </w:rPr>
        <w:t>）规定的顺序修正。修正后的报价经</w:t>
      </w:r>
      <w:r>
        <w:rPr>
          <w:rFonts w:hint="eastAsia" w:asciiTheme="minorEastAsia" w:hAnsiTheme="minorEastAsia" w:eastAsiaTheme="minorEastAsia"/>
          <w:color w:val="000000" w:themeColor="text1"/>
          <w:sz w:val="28"/>
          <w:szCs w:val="28"/>
          <w:highlight w:val="none"/>
          <w:lang w:eastAsia="zh-CN"/>
          <w14:textFill>
            <w14:solidFill>
              <w14:schemeClr w14:val="tx1"/>
            </w14:solidFill>
          </w14:textFill>
        </w:rPr>
        <w:t>供应商</w:t>
      </w:r>
      <w:r>
        <w:rPr>
          <w:rFonts w:hint="eastAsia" w:asciiTheme="minorEastAsia" w:hAnsiTheme="minorEastAsia" w:eastAsiaTheme="minorEastAsia"/>
          <w:color w:val="000000" w:themeColor="text1"/>
          <w:sz w:val="28"/>
          <w:szCs w:val="28"/>
          <w:highlight w:val="none"/>
          <w14:textFill>
            <w14:solidFill>
              <w14:schemeClr w14:val="tx1"/>
            </w14:solidFill>
          </w14:textFill>
        </w:rPr>
        <w:t>确认后产生约束力，</w:t>
      </w:r>
      <w:r>
        <w:rPr>
          <w:rFonts w:hint="eastAsia" w:asciiTheme="minorEastAsia" w:hAnsiTheme="minorEastAsia" w:eastAsiaTheme="minorEastAsia"/>
          <w:color w:val="000000" w:themeColor="text1"/>
          <w:sz w:val="28"/>
          <w:szCs w:val="28"/>
          <w:highlight w:val="none"/>
          <w:lang w:eastAsia="zh-CN"/>
          <w14:textFill>
            <w14:solidFill>
              <w14:schemeClr w14:val="tx1"/>
            </w14:solidFill>
          </w14:textFill>
        </w:rPr>
        <w:t>供应商</w:t>
      </w:r>
      <w:r>
        <w:rPr>
          <w:rFonts w:hint="eastAsia" w:asciiTheme="minorEastAsia" w:hAnsiTheme="minorEastAsia" w:eastAsiaTheme="minorEastAsia"/>
          <w:color w:val="000000" w:themeColor="text1"/>
          <w:sz w:val="28"/>
          <w:szCs w:val="28"/>
          <w:highlight w:val="none"/>
          <w14:textFill>
            <w14:solidFill>
              <w14:schemeClr w14:val="tx1"/>
            </w14:solidFill>
          </w14:textFill>
        </w:rPr>
        <w:t>不确认的，其投标无效。</w:t>
      </w:r>
    </w:p>
    <w:p w14:paraId="73145D69">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4.2经</w:t>
      </w:r>
      <w:r>
        <w:rPr>
          <w:rFonts w:hint="eastAsia" w:asciiTheme="minorEastAsia" w:hAnsiTheme="minorEastAsia" w:eastAsiaTheme="minorEastAsia"/>
          <w:color w:val="000000" w:themeColor="text1"/>
          <w:sz w:val="28"/>
          <w:szCs w:val="28"/>
          <w:highlight w:val="none"/>
          <w:lang w:eastAsia="zh-CN"/>
          <w14:textFill>
            <w14:solidFill>
              <w14:schemeClr w14:val="tx1"/>
            </w14:solidFill>
          </w14:textFill>
        </w:rPr>
        <w:t>供应商</w:t>
      </w:r>
      <w:r>
        <w:rPr>
          <w:rFonts w:hint="eastAsia" w:asciiTheme="minorEastAsia" w:hAnsiTheme="minorEastAsia" w:eastAsiaTheme="minorEastAsia"/>
          <w:color w:val="000000" w:themeColor="text1"/>
          <w:sz w:val="28"/>
          <w:szCs w:val="28"/>
          <w:highlight w:val="none"/>
          <w14:textFill>
            <w14:solidFill>
              <w14:schemeClr w14:val="tx1"/>
            </w14:solidFill>
          </w14:textFill>
        </w:rPr>
        <w:t>确认修正后的报价若超过采购预算金额或者最高限价，</w:t>
      </w:r>
      <w:r>
        <w:rPr>
          <w:rFonts w:hint="eastAsia" w:asciiTheme="minorEastAsia" w:hAnsiTheme="minorEastAsia" w:eastAsiaTheme="minorEastAsia"/>
          <w:color w:val="000000" w:themeColor="text1"/>
          <w:sz w:val="28"/>
          <w:szCs w:val="28"/>
          <w:highlight w:val="none"/>
          <w:lang w:eastAsia="zh-CN"/>
          <w14:textFill>
            <w14:solidFill>
              <w14:schemeClr w14:val="tx1"/>
            </w14:solidFill>
          </w14:textFill>
        </w:rPr>
        <w:t>供应商</w:t>
      </w:r>
      <w:r>
        <w:rPr>
          <w:rFonts w:hint="eastAsia" w:asciiTheme="minorEastAsia" w:hAnsiTheme="minorEastAsia" w:eastAsiaTheme="minorEastAsia"/>
          <w:color w:val="000000" w:themeColor="text1"/>
          <w:sz w:val="28"/>
          <w:szCs w:val="28"/>
          <w:highlight w:val="none"/>
          <w14:textFill>
            <w14:solidFill>
              <w14:schemeClr w14:val="tx1"/>
            </w14:solidFill>
          </w14:textFill>
        </w:rPr>
        <w:t>的投标文件作无效投标处理。</w:t>
      </w:r>
    </w:p>
    <w:p w14:paraId="07BCA11A">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4.3经</w:t>
      </w:r>
      <w:r>
        <w:rPr>
          <w:rFonts w:hint="eastAsia" w:asciiTheme="minorEastAsia" w:hAnsiTheme="minorEastAsia" w:eastAsiaTheme="minorEastAsia"/>
          <w:color w:val="000000" w:themeColor="text1"/>
          <w:sz w:val="28"/>
          <w:szCs w:val="28"/>
          <w:highlight w:val="none"/>
          <w:lang w:eastAsia="zh-CN"/>
          <w14:textFill>
            <w14:solidFill>
              <w14:schemeClr w14:val="tx1"/>
            </w14:solidFill>
          </w14:textFill>
        </w:rPr>
        <w:t>供应商</w:t>
      </w:r>
      <w:r>
        <w:rPr>
          <w:rFonts w:hint="eastAsia" w:asciiTheme="minorEastAsia" w:hAnsiTheme="minorEastAsia" w:eastAsiaTheme="minorEastAsia"/>
          <w:color w:val="000000" w:themeColor="text1"/>
          <w:sz w:val="28"/>
          <w:szCs w:val="28"/>
          <w:highlight w:val="none"/>
          <w14:textFill>
            <w14:solidFill>
              <w14:schemeClr w14:val="tx1"/>
            </w14:solidFill>
          </w14:textFill>
        </w:rPr>
        <w:t>确认修正后的报价作为签订合同的依据，并以此报价计算价格分。</w:t>
      </w:r>
    </w:p>
    <w:p w14:paraId="2992FF09">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5.比较与评价</w:t>
      </w:r>
    </w:p>
    <w:p w14:paraId="1CC08552">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asciiTheme="minorEastAsia" w:hAnsiTheme="minorEastAsia" w:eastAsiaTheme="minorEastAsia"/>
          <w:color w:val="000000" w:themeColor="text1"/>
          <w:sz w:val="28"/>
          <w:szCs w:val="28"/>
          <w:highlight w:val="none"/>
          <w14:textFill>
            <w14:solidFill>
              <w14:schemeClr w14:val="tx1"/>
            </w14:solidFill>
          </w14:textFill>
        </w:rPr>
      </w:pPr>
      <w:r>
        <w:rPr>
          <w:rFonts w:asciiTheme="minorEastAsia" w:hAnsiTheme="minorEastAsia" w:eastAsiaTheme="minorEastAsia"/>
          <w:color w:val="000000" w:themeColor="text1"/>
          <w:sz w:val="28"/>
          <w:szCs w:val="28"/>
          <w:highlight w:val="none"/>
          <w14:textFill>
            <w14:solidFill>
              <w14:schemeClr w14:val="tx1"/>
            </w14:solidFill>
          </w14:textFill>
        </w:rPr>
        <w:t>5.1</w:t>
      </w:r>
      <w:r>
        <w:rPr>
          <w:rFonts w:hint="eastAsia" w:asciiTheme="minorEastAsia" w:hAnsiTheme="minorEastAsia" w:eastAsiaTheme="minorEastAsia"/>
          <w:color w:val="000000" w:themeColor="text1"/>
          <w:sz w:val="28"/>
          <w:szCs w:val="28"/>
          <w:highlight w:val="none"/>
          <w14:textFill>
            <w14:solidFill>
              <w14:schemeClr w14:val="tx1"/>
            </w14:solidFill>
          </w14:textFill>
        </w:rPr>
        <w:t>评标委员会按照招标文件中规定的评标方法和评标标准，对符合性审查合格的投标文件进行商务和技术评估，综合比较与评价。</w:t>
      </w:r>
    </w:p>
    <w:p w14:paraId="4D7CDC1E">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asciiTheme="minorEastAsia" w:hAnsiTheme="minorEastAsia" w:eastAsiaTheme="minorEastAsia"/>
          <w:color w:val="000000" w:themeColor="text1"/>
          <w:sz w:val="28"/>
          <w:szCs w:val="28"/>
          <w:highlight w:val="none"/>
          <w14:textFill>
            <w14:solidFill>
              <w14:schemeClr w14:val="tx1"/>
            </w14:solidFill>
          </w14:textFill>
        </w:rPr>
      </w:pPr>
      <w:r>
        <w:rPr>
          <w:rFonts w:asciiTheme="minorEastAsia" w:hAnsiTheme="minorEastAsia" w:eastAsiaTheme="minorEastAsia"/>
          <w:color w:val="000000" w:themeColor="text1"/>
          <w:sz w:val="28"/>
          <w:szCs w:val="28"/>
          <w:highlight w:val="none"/>
          <w14:textFill>
            <w14:solidFill>
              <w14:schemeClr w14:val="tx1"/>
            </w14:solidFill>
          </w14:textFill>
        </w:rPr>
        <w:t>5.2</w:t>
      </w:r>
      <w:r>
        <w:rPr>
          <w:rFonts w:hint="eastAsia" w:asciiTheme="minorEastAsia" w:hAnsiTheme="minorEastAsia" w:eastAsiaTheme="minorEastAsia"/>
          <w:color w:val="000000" w:themeColor="text1"/>
          <w:sz w:val="28"/>
          <w:szCs w:val="28"/>
          <w:highlight w:val="none"/>
          <w14:textFill>
            <w14:solidFill>
              <w14:schemeClr w14:val="tx1"/>
            </w14:solidFill>
          </w14:textFill>
        </w:rPr>
        <w:t>评标委员会独立对每个</w:t>
      </w:r>
      <w:r>
        <w:rPr>
          <w:rFonts w:hint="eastAsia" w:asciiTheme="minorEastAsia" w:hAnsiTheme="minorEastAsia" w:eastAsiaTheme="minorEastAsia"/>
          <w:color w:val="000000" w:themeColor="text1"/>
          <w:sz w:val="28"/>
          <w:szCs w:val="28"/>
          <w:highlight w:val="none"/>
          <w:lang w:eastAsia="zh-CN"/>
          <w14:textFill>
            <w14:solidFill>
              <w14:schemeClr w14:val="tx1"/>
            </w14:solidFill>
          </w14:textFill>
        </w:rPr>
        <w:t>供应商</w:t>
      </w:r>
      <w:r>
        <w:rPr>
          <w:rFonts w:hint="eastAsia" w:asciiTheme="minorEastAsia" w:hAnsiTheme="minorEastAsia" w:eastAsiaTheme="minorEastAsia"/>
          <w:color w:val="000000" w:themeColor="text1"/>
          <w:sz w:val="28"/>
          <w:szCs w:val="28"/>
          <w:highlight w:val="none"/>
          <w14:textFill>
            <w14:solidFill>
              <w14:schemeClr w14:val="tx1"/>
            </w14:solidFill>
          </w14:textFill>
        </w:rPr>
        <w:t>的投标文件进行评价，并汇总每个</w:t>
      </w:r>
      <w:r>
        <w:rPr>
          <w:rFonts w:hint="eastAsia" w:asciiTheme="minorEastAsia" w:hAnsiTheme="minorEastAsia" w:eastAsiaTheme="minorEastAsia"/>
          <w:color w:val="000000" w:themeColor="text1"/>
          <w:sz w:val="28"/>
          <w:szCs w:val="28"/>
          <w:highlight w:val="none"/>
          <w:lang w:eastAsia="zh-CN"/>
          <w14:textFill>
            <w14:solidFill>
              <w14:schemeClr w14:val="tx1"/>
            </w14:solidFill>
          </w14:textFill>
        </w:rPr>
        <w:t>供应商</w:t>
      </w:r>
      <w:r>
        <w:rPr>
          <w:rFonts w:hint="eastAsia" w:asciiTheme="minorEastAsia" w:hAnsiTheme="minorEastAsia" w:eastAsiaTheme="minorEastAsia"/>
          <w:color w:val="000000" w:themeColor="text1"/>
          <w:sz w:val="28"/>
          <w:szCs w:val="28"/>
          <w:highlight w:val="none"/>
          <w14:textFill>
            <w14:solidFill>
              <w14:schemeClr w14:val="tx1"/>
            </w14:solidFill>
          </w14:textFill>
        </w:rPr>
        <w:t>的得分。</w:t>
      </w:r>
    </w:p>
    <w:p w14:paraId="4A96A20F">
      <w:pPr>
        <w:keepNext w:val="0"/>
        <w:keepLines w:val="0"/>
        <w:pageBreakBefore w:val="0"/>
        <w:widowControl/>
        <w:numPr>
          <w:ilvl w:val="0"/>
          <w:numId w:val="19"/>
        </w:numPr>
        <w:kinsoku/>
        <w:wordWrap/>
        <w:overflowPunct/>
        <w:topLinePunct w:val="0"/>
        <w:autoSpaceDE/>
        <w:autoSpaceDN/>
        <w:bidi w:val="0"/>
        <w:adjustRightInd/>
        <w:snapToGrid/>
        <w:spacing w:line="560" w:lineRule="exact"/>
        <w:ind w:firstLine="560" w:firstLineChars="200"/>
        <w:jc w:val="left"/>
        <w:textAlignment w:val="auto"/>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评审委员会成员要根据政府采购法律法规和采购文件所载明的评审方法、标准进行评审。对供应商的价格分等客观评分项的评分应当一致，对其他需要借助专业知识评判的主观评分项，应当严格按照评分细则公正评分。</w:t>
      </w:r>
    </w:p>
    <w:p w14:paraId="35B051AA">
      <w:pPr>
        <w:keepNext w:val="0"/>
        <w:keepLines w:val="0"/>
        <w:pageBreakBefore w:val="0"/>
        <w:widowControl/>
        <w:numPr>
          <w:ilvl w:val="0"/>
          <w:numId w:val="19"/>
        </w:numPr>
        <w:kinsoku/>
        <w:wordWrap/>
        <w:overflowPunct/>
        <w:topLinePunct w:val="0"/>
        <w:autoSpaceDE/>
        <w:autoSpaceDN/>
        <w:bidi w:val="0"/>
        <w:adjustRightInd/>
        <w:snapToGrid/>
        <w:spacing w:line="560" w:lineRule="exact"/>
        <w:ind w:firstLine="560" w:firstLineChars="200"/>
        <w:jc w:val="left"/>
        <w:textAlignment w:val="auto"/>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评标委员会认为</w:t>
      </w:r>
      <w:r>
        <w:rPr>
          <w:rFonts w:hint="eastAsia" w:asciiTheme="minorEastAsia" w:hAnsiTheme="minorEastAsia" w:eastAsiaTheme="minorEastAsia"/>
          <w:color w:val="000000" w:themeColor="text1"/>
          <w:sz w:val="28"/>
          <w:szCs w:val="28"/>
          <w:highlight w:val="none"/>
          <w:lang w:eastAsia="zh-CN"/>
          <w14:textFill>
            <w14:solidFill>
              <w14:schemeClr w14:val="tx1"/>
            </w14:solidFill>
          </w14:textFill>
        </w:rPr>
        <w:t>供应商</w:t>
      </w:r>
      <w:r>
        <w:rPr>
          <w:rFonts w:hint="eastAsia" w:asciiTheme="minorEastAsia" w:hAnsiTheme="minorEastAsia" w:eastAsiaTheme="minorEastAsia"/>
          <w:color w:val="000000" w:themeColor="text1"/>
          <w:sz w:val="28"/>
          <w:szCs w:val="28"/>
          <w:highlight w:val="none"/>
          <w14:textFill>
            <w14:solidFill>
              <w14:schemeClr w14:val="tx1"/>
            </w14:solidFill>
          </w14:textFill>
        </w:rPr>
        <w:t>的报价明显低于其他通过符合性审查</w:t>
      </w:r>
      <w:r>
        <w:rPr>
          <w:rFonts w:hint="eastAsia" w:asciiTheme="minorEastAsia" w:hAnsiTheme="minorEastAsia" w:eastAsiaTheme="minorEastAsia"/>
          <w:color w:val="000000" w:themeColor="text1"/>
          <w:sz w:val="28"/>
          <w:szCs w:val="28"/>
          <w:highlight w:val="none"/>
          <w:lang w:eastAsia="zh-CN"/>
          <w14:textFill>
            <w14:solidFill>
              <w14:schemeClr w14:val="tx1"/>
            </w14:solidFill>
          </w14:textFill>
        </w:rPr>
        <w:t>供应商</w:t>
      </w:r>
      <w:r>
        <w:rPr>
          <w:rFonts w:hint="eastAsia" w:asciiTheme="minorEastAsia" w:hAnsiTheme="minorEastAsia" w:eastAsiaTheme="minorEastAsia"/>
          <w:color w:val="000000" w:themeColor="text1"/>
          <w:sz w:val="28"/>
          <w:szCs w:val="28"/>
          <w:highlight w:val="none"/>
          <w14:textFill>
            <w14:solidFill>
              <w14:schemeClr w14:val="tx1"/>
            </w14:solidFill>
          </w14:textFill>
        </w:rPr>
        <w:t>的报价，有可能影响产品质量或者不能诚信履约的，应当要求其在评标现场合理的时间内提供书面说明，必要时提交相关证明材料；</w:t>
      </w:r>
      <w:r>
        <w:rPr>
          <w:rFonts w:hint="eastAsia" w:asciiTheme="minorEastAsia" w:hAnsiTheme="minorEastAsia" w:eastAsiaTheme="minorEastAsia"/>
          <w:color w:val="000000" w:themeColor="text1"/>
          <w:sz w:val="28"/>
          <w:szCs w:val="28"/>
          <w:highlight w:val="none"/>
          <w:lang w:eastAsia="zh-CN"/>
          <w14:textFill>
            <w14:solidFill>
              <w14:schemeClr w14:val="tx1"/>
            </w14:solidFill>
          </w14:textFill>
        </w:rPr>
        <w:t>供应商</w:t>
      </w:r>
      <w:r>
        <w:rPr>
          <w:rFonts w:hint="eastAsia" w:asciiTheme="minorEastAsia" w:hAnsiTheme="minorEastAsia" w:eastAsiaTheme="minorEastAsia"/>
          <w:color w:val="000000" w:themeColor="text1"/>
          <w:sz w:val="28"/>
          <w:szCs w:val="28"/>
          <w:highlight w:val="none"/>
          <w14:textFill>
            <w14:solidFill>
              <w14:schemeClr w14:val="tx1"/>
            </w14:solidFill>
          </w14:textFill>
        </w:rPr>
        <w:t>不能证明其报价合理性的，评标委员会将其作为无效投标处理。</w:t>
      </w:r>
    </w:p>
    <w:p w14:paraId="432958BF">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asciiTheme="minorEastAsia" w:hAnsiTheme="minorEastAsia" w:eastAsiaTheme="minorEastAsia"/>
          <w:color w:val="000000" w:themeColor="text1"/>
          <w:sz w:val="28"/>
          <w:szCs w:val="28"/>
          <w:highlight w:val="none"/>
          <w14:textFill>
            <w14:solidFill>
              <w14:schemeClr w14:val="tx1"/>
            </w14:solidFill>
          </w14:textFill>
        </w:rPr>
      </w:pPr>
      <w:r>
        <w:rPr>
          <w:rFonts w:asciiTheme="minorEastAsia" w:hAnsiTheme="minorEastAsia" w:eastAsiaTheme="minorEastAsia"/>
          <w:color w:val="000000" w:themeColor="text1"/>
          <w:sz w:val="28"/>
          <w:szCs w:val="28"/>
          <w:highlight w:val="none"/>
          <w14:textFill>
            <w14:solidFill>
              <w14:schemeClr w14:val="tx1"/>
            </w14:solidFill>
          </w14:textFill>
        </w:rPr>
        <w:t>5.3</w:t>
      </w:r>
      <w:r>
        <w:rPr>
          <w:rFonts w:hint="eastAsia" w:asciiTheme="minorEastAsia" w:hAnsiTheme="minorEastAsia" w:eastAsiaTheme="minorEastAsia"/>
          <w:color w:val="000000" w:themeColor="text1"/>
          <w:sz w:val="28"/>
          <w:szCs w:val="28"/>
          <w:highlight w:val="none"/>
          <w14:textFill>
            <w14:solidFill>
              <w14:schemeClr w14:val="tx1"/>
            </w14:solidFill>
          </w14:textFill>
        </w:rPr>
        <w:t>评标委员会按照招标文件中规定的评标方法和标准计算各</w:t>
      </w:r>
      <w:r>
        <w:rPr>
          <w:rFonts w:hint="eastAsia" w:asciiTheme="minorEastAsia" w:hAnsiTheme="minorEastAsia" w:eastAsiaTheme="minorEastAsia"/>
          <w:color w:val="000000" w:themeColor="text1"/>
          <w:sz w:val="28"/>
          <w:szCs w:val="28"/>
          <w:highlight w:val="none"/>
          <w:lang w:eastAsia="zh-CN"/>
          <w14:textFill>
            <w14:solidFill>
              <w14:schemeClr w14:val="tx1"/>
            </w14:solidFill>
          </w14:textFill>
        </w:rPr>
        <w:t>供应商</w:t>
      </w:r>
      <w:r>
        <w:rPr>
          <w:rFonts w:hint="eastAsia" w:asciiTheme="minorEastAsia" w:hAnsiTheme="minorEastAsia" w:eastAsiaTheme="minorEastAsia"/>
          <w:color w:val="000000" w:themeColor="text1"/>
          <w:sz w:val="28"/>
          <w:szCs w:val="28"/>
          <w:highlight w:val="none"/>
          <w14:textFill>
            <w14:solidFill>
              <w14:schemeClr w14:val="tx1"/>
            </w14:solidFill>
          </w14:textFill>
        </w:rPr>
        <w:t>的报价得分。在计算过程中，不得去掉最高报价或者最低报价。</w:t>
      </w:r>
    </w:p>
    <w:p w14:paraId="36EA0443">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asciiTheme="minorEastAsia" w:hAnsiTheme="minorEastAsia" w:eastAsiaTheme="minorEastAsia"/>
          <w:color w:val="000000" w:themeColor="text1"/>
          <w:sz w:val="28"/>
          <w:szCs w:val="28"/>
          <w:highlight w:val="none"/>
          <w14:textFill>
            <w14:solidFill>
              <w14:schemeClr w14:val="tx1"/>
            </w14:solidFill>
          </w14:textFill>
        </w:rPr>
      </w:pPr>
      <w:r>
        <w:rPr>
          <w:rFonts w:asciiTheme="minorEastAsia" w:hAnsiTheme="minorEastAsia" w:eastAsiaTheme="minorEastAsia"/>
          <w:color w:val="000000" w:themeColor="text1"/>
          <w:sz w:val="28"/>
          <w:szCs w:val="28"/>
          <w:highlight w:val="none"/>
          <w14:textFill>
            <w14:solidFill>
              <w14:schemeClr w14:val="tx1"/>
            </w14:solidFill>
          </w14:textFill>
        </w:rPr>
        <w:t>5.4</w:t>
      </w:r>
      <w:r>
        <w:rPr>
          <w:rFonts w:hint="eastAsia" w:asciiTheme="minorEastAsia" w:hAnsiTheme="minorEastAsia" w:eastAsiaTheme="minorEastAsia"/>
          <w:color w:val="000000" w:themeColor="text1"/>
          <w:sz w:val="28"/>
          <w:szCs w:val="28"/>
          <w:highlight w:val="none"/>
          <w14:textFill>
            <w14:solidFill>
              <w14:schemeClr w14:val="tx1"/>
            </w14:solidFill>
          </w14:textFill>
        </w:rPr>
        <w:t>各</w:t>
      </w:r>
      <w:r>
        <w:rPr>
          <w:rFonts w:hint="eastAsia" w:asciiTheme="minorEastAsia" w:hAnsiTheme="minorEastAsia" w:eastAsiaTheme="minorEastAsia"/>
          <w:color w:val="000000" w:themeColor="text1"/>
          <w:sz w:val="28"/>
          <w:szCs w:val="28"/>
          <w:highlight w:val="none"/>
          <w:lang w:eastAsia="zh-CN"/>
          <w14:textFill>
            <w14:solidFill>
              <w14:schemeClr w14:val="tx1"/>
            </w14:solidFill>
          </w14:textFill>
        </w:rPr>
        <w:t>供应商</w:t>
      </w:r>
      <w:r>
        <w:rPr>
          <w:rFonts w:hint="eastAsia" w:asciiTheme="minorEastAsia" w:hAnsiTheme="minorEastAsia" w:eastAsiaTheme="minorEastAsia"/>
          <w:color w:val="000000" w:themeColor="text1"/>
          <w:sz w:val="28"/>
          <w:szCs w:val="28"/>
          <w:highlight w:val="none"/>
          <w14:textFill>
            <w14:solidFill>
              <w14:schemeClr w14:val="tx1"/>
            </w14:solidFill>
          </w14:textFill>
        </w:rPr>
        <w:t>的得分为所有评委的有效评分的算术平均数。</w:t>
      </w:r>
    </w:p>
    <w:p w14:paraId="6A4880AF">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asciiTheme="minorEastAsia" w:hAnsiTheme="minorEastAsia" w:eastAsiaTheme="minorEastAsia"/>
          <w:color w:val="000000" w:themeColor="text1"/>
          <w:sz w:val="28"/>
          <w:szCs w:val="28"/>
          <w:highlight w:val="none"/>
          <w14:textFill>
            <w14:solidFill>
              <w14:schemeClr w14:val="tx1"/>
            </w14:solidFill>
          </w14:textFill>
        </w:rPr>
      </w:pPr>
      <w:r>
        <w:rPr>
          <w:rFonts w:asciiTheme="minorEastAsia" w:hAnsiTheme="minorEastAsia" w:eastAsiaTheme="minorEastAsia"/>
          <w:color w:val="000000" w:themeColor="text1"/>
          <w:sz w:val="28"/>
          <w:szCs w:val="28"/>
          <w:highlight w:val="none"/>
          <w14:textFill>
            <w14:solidFill>
              <w14:schemeClr w14:val="tx1"/>
            </w14:solidFill>
          </w14:textFill>
        </w:rPr>
        <w:t>5.5</w:t>
      </w:r>
      <w:r>
        <w:rPr>
          <w:rFonts w:hint="eastAsia" w:asciiTheme="minorEastAsia" w:hAnsiTheme="minorEastAsia" w:eastAsiaTheme="minorEastAsia"/>
          <w:color w:val="000000" w:themeColor="text1"/>
          <w:sz w:val="28"/>
          <w:szCs w:val="28"/>
          <w:highlight w:val="none"/>
          <w14:textFill>
            <w14:solidFill>
              <w14:schemeClr w14:val="tx1"/>
            </w14:solidFill>
          </w14:textFill>
        </w:rPr>
        <w:t>评标委员会按照招标文件中的规定推荐中标候选人。</w:t>
      </w:r>
    </w:p>
    <w:p w14:paraId="3B876D32">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asciiTheme="minorEastAsia" w:hAnsiTheme="minorEastAsia" w:eastAsiaTheme="minorEastAsia"/>
          <w:color w:val="000000" w:themeColor="text1"/>
          <w:sz w:val="28"/>
          <w:szCs w:val="28"/>
          <w:highlight w:val="none"/>
          <w14:textFill>
            <w14:solidFill>
              <w14:schemeClr w14:val="tx1"/>
            </w14:solidFill>
          </w14:textFill>
        </w:rPr>
      </w:pPr>
      <w:r>
        <w:rPr>
          <w:rFonts w:asciiTheme="minorEastAsia" w:hAnsiTheme="minorEastAsia" w:eastAsiaTheme="minorEastAsia"/>
          <w:color w:val="000000" w:themeColor="text1"/>
          <w:sz w:val="28"/>
          <w:szCs w:val="28"/>
          <w:highlight w:val="none"/>
          <w14:textFill>
            <w14:solidFill>
              <w14:schemeClr w14:val="tx1"/>
            </w14:solidFill>
          </w14:textFill>
        </w:rPr>
        <w:t>5.6</w:t>
      </w:r>
      <w:r>
        <w:rPr>
          <w:rFonts w:hint="eastAsia" w:asciiTheme="minorEastAsia" w:hAnsiTheme="minorEastAsia" w:eastAsiaTheme="minorEastAsia"/>
          <w:color w:val="000000" w:themeColor="text1"/>
          <w:sz w:val="28"/>
          <w:szCs w:val="28"/>
          <w:highlight w:val="none"/>
          <w14:textFill>
            <w14:solidFill>
              <w14:schemeClr w14:val="tx1"/>
            </w14:solidFill>
          </w14:textFill>
        </w:rPr>
        <w:t>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应当在评标报告上签署不同意见及理由，否则视为同意评标报告。</w:t>
      </w:r>
    </w:p>
    <w:p w14:paraId="6DB95A1E">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asciiTheme="minorEastAsia" w:hAnsiTheme="minorEastAsia" w:eastAsia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b/>
          <w:color w:val="000000" w:themeColor="text1"/>
          <w:sz w:val="28"/>
          <w:szCs w:val="28"/>
          <w:highlight w:val="none"/>
          <w14:textFill>
            <w14:solidFill>
              <w14:schemeClr w14:val="tx1"/>
            </w14:solidFill>
          </w14:textFill>
        </w:rPr>
        <w:t>6.评审复核</w:t>
      </w:r>
    </w:p>
    <w:p w14:paraId="381748A9">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6.1评标报告签署前，评标委员会要对评审结果进行复核，复核意见要体现在评标报告中。</w:t>
      </w:r>
    </w:p>
    <w:p w14:paraId="2743BCE6">
      <w:pPr>
        <w:keepNext w:val="0"/>
        <w:keepLines w:val="0"/>
        <w:pageBreakBefore w:val="0"/>
        <w:widowControl/>
        <w:kinsoku/>
        <w:wordWrap/>
        <w:overflowPunct/>
        <w:topLinePunct w:val="0"/>
        <w:autoSpaceDE/>
        <w:autoSpaceDN/>
        <w:bidi w:val="0"/>
        <w:adjustRightInd w:val="0"/>
        <w:snapToGrid w:val="0"/>
        <w:spacing w:line="560" w:lineRule="exact"/>
        <w:ind w:firstLine="560" w:firstLineChars="200"/>
        <w:jc w:val="left"/>
        <w:textAlignment w:val="baseline"/>
        <w:rPr>
          <w:rFonts w:asciiTheme="minorEastAsia" w:hAnsiTheme="minorEastAsia" w:eastAsiaTheme="minorEastAsia"/>
          <w:color w:val="000000" w:themeColor="text1"/>
          <w:sz w:val="28"/>
          <w:szCs w:val="28"/>
          <w:highlight w:val="none"/>
          <w14:textFill>
            <w14:solidFill>
              <w14:schemeClr w14:val="tx1"/>
            </w14:solidFill>
          </w14:textFill>
        </w:rPr>
      </w:pPr>
      <w:r>
        <w:rPr>
          <w:rFonts w:asciiTheme="minorEastAsia" w:hAnsiTheme="minorEastAsia" w:eastAsiaTheme="minorEastAsia"/>
          <w:color w:val="000000" w:themeColor="text1"/>
          <w:sz w:val="28"/>
          <w:szCs w:val="28"/>
          <w:highlight w:val="none"/>
          <w14:textFill>
            <w14:solidFill>
              <w14:schemeClr w14:val="tx1"/>
            </w14:solidFill>
          </w14:textFill>
        </w:rPr>
        <w:t>6.2</w:t>
      </w:r>
      <w:r>
        <w:rPr>
          <w:rFonts w:hint="eastAsia" w:asciiTheme="minorEastAsia" w:hAnsiTheme="minorEastAsia" w:eastAsiaTheme="minorEastAsia"/>
          <w:color w:val="000000" w:themeColor="text1"/>
          <w:sz w:val="28"/>
          <w:szCs w:val="28"/>
          <w:highlight w:val="none"/>
          <w14:textFill>
            <w14:solidFill>
              <w14:schemeClr w14:val="tx1"/>
            </w14:solidFill>
          </w14:textFill>
        </w:rPr>
        <w:t>评标结果汇总完成后，除下列情形外，任何人不得修改评标结果：</w:t>
      </w:r>
    </w:p>
    <w:p w14:paraId="46378D5E">
      <w:pPr>
        <w:keepNext w:val="0"/>
        <w:keepLines w:val="0"/>
        <w:pageBreakBefore w:val="0"/>
        <w:widowControl/>
        <w:kinsoku/>
        <w:wordWrap/>
        <w:overflowPunct/>
        <w:topLinePunct w:val="0"/>
        <w:autoSpaceDE/>
        <w:autoSpaceDN/>
        <w:bidi w:val="0"/>
        <w:adjustRightInd w:val="0"/>
        <w:snapToGrid w:val="0"/>
        <w:spacing w:line="560" w:lineRule="exact"/>
        <w:jc w:val="left"/>
        <w:textAlignment w:val="baseline"/>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　　（一）分值汇总计算错误的；</w:t>
      </w:r>
    </w:p>
    <w:p w14:paraId="03CD998F">
      <w:pPr>
        <w:keepNext w:val="0"/>
        <w:keepLines w:val="0"/>
        <w:pageBreakBefore w:val="0"/>
        <w:widowControl/>
        <w:kinsoku/>
        <w:wordWrap/>
        <w:overflowPunct/>
        <w:topLinePunct w:val="0"/>
        <w:autoSpaceDE/>
        <w:autoSpaceDN/>
        <w:bidi w:val="0"/>
        <w:adjustRightInd w:val="0"/>
        <w:snapToGrid w:val="0"/>
        <w:spacing w:line="560" w:lineRule="exact"/>
        <w:jc w:val="left"/>
        <w:textAlignment w:val="baseline"/>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　　（二）分项评分超出评分标准范围的；</w:t>
      </w:r>
    </w:p>
    <w:p w14:paraId="4441DBA5">
      <w:pPr>
        <w:keepNext w:val="0"/>
        <w:keepLines w:val="0"/>
        <w:pageBreakBefore w:val="0"/>
        <w:widowControl/>
        <w:kinsoku/>
        <w:wordWrap/>
        <w:overflowPunct/>
        <w:topLinePunct w:val="0"/>
        <w:autoSpaceDE/>
        <w:autoSpaceDN/>
        <w:bidi w:val="0"/>
        <w:adjustRightInd w:val="0"/>
        <w:snapToGrid w:val="0"/>
        <w:spacing w:line="560" w:lineRule="exact"/>
        <w:jc w:val="left"/>
        <w:textAlignment w:val="baseline"/>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　　（三）评标委员会成员对客观评审因素评分不一致的；</w:t>
      </w:r>
    </w:p>
    <w:p w14:paraId="7AD6D227">
      <w:pPr>
        <w:keepNext w:val="0"/>
        <w:keepLines w:val="0"/>
        <w:pageBreakBefore w:val="0"/>
        <w:widowControl/>
        <w:kinsoku/>
        <w:wordWrap/>
        <w:overflowPunct/>
        <w:topLinePunct w:val="0"/>
        <w:autoSpaceDE/>
        <w:autoSpaceDN/>
        <w:bidi w:val="0"/>
        <w:adjustRightInd w:val="0"/>
        <w:snapToGrid w:val="0"/>
        <w:spacing w:line="560" w:lineRule="exact"/>
        <w:jc w:val="left"/>
        <w:textAlignment w:val="baseline"/>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　　（四）经评标委员会认定评分畸高、畸低的。</w:t>
      </w:r>
    </w:p>
    <w:p w14:paraId="4AB92260">
      <w:pPr>
        <w:keepNext w:val="0"/>
        <w:keepLines w:val="0"/>
        <w:pageBreakBefore w:val="0"/>
        <w:kinsoku/>
        <w:wordWrap/>
        <w:overflowPunct/>
        <w:topLinePunct w:val="0"/>
        <w:autoSpaceDE/>
        <w:autoSpaceDN/>
        <w:bidi w:val="0"/>
        <w:adjustRightInd w:val="0"/>
        <w:snapToGrid w:val="0"/>
        <w:spacing w:line="560" w:lineRule="exact"/>
        <w:ind w:firstLine="560" w:firstLineChars="200"/>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1FDC6536">
      <w:pPr>
        <w:pageBreakBefore w:val="0"/>
        <w:widowControl/>
        <w:wordWrap/>
        <w:topLinePunct w:val="0"/>
        <w:bidi w:val="0"/>
        <w:spacing w:line="560" w:lineRule="exact"/>
        <w:jc w:val="left"/>
        <w:rPr>
          <w:rFonts w:asciiTheme="minorEastAsia" w:hAnsiTheme="minorEastAsia" w:eastAsiaTheme="minorEastAsia"/>
          <w:color w:val="000000" w:themeColor="text1"/>
          <w:sz w:val="28"/>
          <w:szCs w:val="28"/>
          <w:highlight w:val="none"/>
          <w14:textFill>
            <w14:solidFill>
              <w14:schemeClr w14:val="tx1"/>
            </w14:solidFill>
          </w14:textFill>
        </w:rPr>
      </w:pPr>
      <w:r>
        <w:rPr>
          <w:rFonts w:asciiTheme="minorEastAsia" w:hAnsiTheme="minorEastAsia" w:eastAsiaTheme="minorEastAsia"/>
          <w:color w:val="000000" w:themeColor="text1"/>
          <w:sz w:val="28"/>
          <w:szCs w:val="28"/>
          <w:highlight w:val="none"/>
          <w14:textFill>
            <w14:solidFill>
              <w14:schemeClr w14:val="tx1"/>
            </w14:solidFill>
          </w14:textFill>
        </w:rPr>
        <w:br w:type="page"/>
      </w:r>
    </w:p>
    <w:tbl>
      <w:tblPr>
        <w:tblStyle w:val="34"/>
        <w:tblpPr w:leftFromText="180" w:rightFromText="180" w:vertAnchor="text" w:horzAnchor="margin" w:tblpY="272"/>
        <w:tblOverlap w:val="never"/>
        <w:tblW w:w="9532" w:type="dxa"/>
        <w:tblInd w:w="0"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75" w:type="dxa"/>
          <w:left w:w="75" w:type="dxa"/>
          <w:bottom w:w="75" w:type="dxa"/>
          <w:right w:w="75" w:type="dxa"/>
        </w:tblCellMar>
      </w:tblPr>
      <w:tblGrid>
        <w:gridCol w:w="430"/>
        <w:gridCol w:w="495"/>
        <w:gridCol w:w="1852"/>
        <w:gridCol w:w="5020"/>
        <w:gridCol w:w="879"/>
        <w:gridCol w:w="856"/>
      </w:tblGrid>
      <w:tr w14:paraId="643F9C5E">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23" w:hRule="atLeast"/>
        </w:trPr>
        <w:tc>
          <w:tcPr>
            <w:tcW w:w="925" w:type="dxa"/>
            <w:gridSpan w:val="2"/>
            <w:vMerge w:val="restart"/>
            <w:tcBorders>
              <w:top w:val="outset" w:color="auto" w:sz="6" w:space="0"/>
              <w:left w:val="outset" w:color="auto" w:sz="6" w:space="0"/>
              <w:bottom w:val="outset" w:color="auto" w:sz="6" w:space="0"/>
              <w:right w:val="outset" w:color="auto" w:sz="6" w:space="0"/>
            </w:tcBorders>
            <w:vAlign w:val="center"/>
          </w:tcPr>
          <w:p w14:paraId="6B74BBB0">
            <w:pPr>
              <w:pStyle w:val="145"/>
              <w:pageBreakBefore w:val="0"/>
              <w:wordWrap/>
              <w:topLinePunct w:val="0"/>
              <w:bidi w:val="0"/>
              <w:spacing w:line="560" w:lineRule="exact"/>
              <w:jc w:val="center"/>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评分因素</w:t>
            </w:r>
          </w:p>
        </w:tc>
        <w:tc>
          <w:tcPr>
            <w:tcW w:w="1852" w:type="dxa"/>
            <w:vMerge w:val="restart"/>
            <w:tcBorders>
              <w:top w:val="outset" w:color="auto" w:sz="6" w:space="0"/>
              <w:left w:val="outset" w:color="auto" w:sz="6" w:space="0"/>
              <w:bottom w:val="outset" w:color="auto" w:sz="6" w:space="0"/>
              <w:right w:val="outset" w:color="auto" w:sz="6" w:space="0"/>
            </w:tcBorders>
            <w:vAlign w:val="center"/>
          </w:tcPr>
          <w:p w14:paraId="3200F374">
            <w:pPr>
              <w:pStyle w:val="145"/>
              <w:pageBreakBefore w:val="0"/>
              <w:wordWrap/>
              <w:topLinePunct w:val="0"/>
              <w:bidi w:val="0"/>
              <w:spacing w:line="560" w:lineRule="exact"/>
              <w:jc w:val="center"/>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评分点</w:t>
            </w:r>
          </w:p>
        </w:tc>
        <w:tc>
          <w:tcPr>
            <w:tcW w:w="5020" w:type="dxa"/>
            <w:vMerge w:val="restart"/>
            <w:tcBorders>
              <w:top w:val="outset" w:color="auto" w:sz="6" w:space="0"/>
              <w:left w:val="outset" w:color="auto" w:sz="6" w:space="0"/>
              <w:bottom w:val="outset" w:color="auto" w:sz="6" w:space="0"/>
              <w:right w:val="outset" w:color="auto" w:sz="6" w:space="0"/>
            </w:tcBorders>
            <w:vAlign w:val="center"/>
          </w:tcPr>
          <w:p w14:paraId="18F77DDB">
            <w:pPr>
              <w:pStyle w:val="145"/>
              <w:pageBreakBefore w:val="0"/>
              <w:wordWrap/>
              <w:topLinePunct w:val="0"/>
              <w:bidi w:val="0"/>
              <w:spacing w:line="560" w:lineRule="exact"/>
              <w:jc w:val="center"/>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评分标准</w:t>
            </w:r>
          </w:p>
        </w:tc>
        <w:tc>
          <w:tcPr>
            <w:tcW w:w="1735" w:type="dxa"/>
            <w:gridSpan w:val="2"/>
            <w:tcBorders>
              <w:top w:val="outset" w:color="auto" w:sz="6" w:space="0"/>
              <w:left w:val="outset" w:color="auto" w:sz="6" w:space="0"/>
              <w:bottom w:val="outset" w:color="auto" w:sz="6" w:space="0"/>
              <w:right w:val="outset" w:color="auto" w:sz="6" w:space="0"/>
            </w:tcBorders>
            <w:vAlign w:val="center"/>
          </w:tcPr>
          <w:p w14:paraId="2969E23C">
            <w:pPr>
              <w:pStyle w:val="145"/>
              <w:pageBreakBefore w:val="0"/>
              <w:wordWrap/>
              <w:topLinePunct w:val="0"/>
              <w:bidi w:val="0"/>
              <w:spacing w:line="560" w:lineRule="exact"/>
              <w:jc w:val="center"/>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评审意见</w:t>
            </w:r>
          </w:p>
        </w:tc>
      </w:tr>
      <w:tr w14:paraId="0240602B">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23" w:hRule="atLeast"/>
        </w:trPr>
        <w:tc>
          <w:tcPr>
            <w:tcW w:w="925" w:type="dxa"/>
            <w:gridSpan w:val="2"/>
            <w:vMerge w:val="continue"/>
            <w:tcBorders>
              <w:top w:val="outset" w:color="auto" w:sz="6" w:space="0"/>
              <w:left w:val="outset" w:color="auto" w:sz="6" w:space="0"/>
              <w:bottom w:val="outset" w:color="auto" w:sz="6" w:space="0"/>
              <w:right w:val="outset" w:color="auto" w:sz="6" w:space="0"/>
            </w:tcBorders>
            <w:vAlign w:val="center"/>
          </w:tcPr>
          <w:p w14:paraId="73DF95B8">
            <w:pPr>
              <w:pStyle w:val="145"/>
              <w:pageBreakBefore w:val="0"/>
              <w:wordWrap/>
              <w:topLinePunct w:val="0"/>
              <w:bidi w:val="0"/>
              <w:spacing w:line="560" w:lineRule="exact"/>
              <w:jc w:val="center"/>
              <w:rPr>
                <w:rFonts w:cs="宋体" w:asciiTheme="minorEastAsia" w:hAnsiTheme="minorEastAsia" w:eastAsiaTheme="minorEastAsia"/>
                <w:color w:val="000000" w:themeColor="text1"/>
                <w:sz w:val="28"/>
                <w:szCs w:val="28"/>
                <w:highlight w:val="none"/>
                <w14:textFill>
                  <w14:solidFill>
                    <w14:schemeClr w14:val="tx1"/>
                  </w14:solidFill>
                </w14:textFill>
              </w:rPr>
            </w:pPr>
          </w:p>
        </w:tc>
        <w:tc>
          <w:tcPr>
            <w:tcW w:w="1852" w:type="dxa"/>
            <w:vMerge w:val="continue"/>
            <w:tcBorders>
              <w:top w:val="outset" w:color="auto" w:sz="6" w:space="0"/>
              <w:left w:val="outset" w:color="auto" w:sz="6" w:space="0"/>
              <w:bottom w:val="outset" w:color="auto" w:sz="6" w:space="0"/>
              <w:right w:val="outset" w:color="auto" w:sz="6" w:space="0"/>
            </w:tcBorders>
            <w:vAlign w:val="center"/>
          </w:tcPr>
          <w:p w14:paraId="7B98AB44">
            <w:pPr>
              <w:pStyle w:val="145"/>
              <w:pageBreakBefore w:val="0"/>
              <w:wordWrap/>
              <w:topLinePunct w:val="0"/>
              <w:bidi w:val="0"/>
              <w:spacing w:line="560" w:lineRule="exact"/>
              <w:jc w:val="center"/>
              <w:rPr>
                <w:rFonts w:cs="宋体" w:asciiTheme="minorEastAsia" w:hAnsiTheme="minorEastAsia" w:eastAsiaTheme="minorEastAsia"/>
                <w:color w:val="000000" w:themeColor="text1"/>
                <w:sz w:val="28"/>
                <w:szCs w:val="28"/>
                <w:highlight w:val="none"/>
                <w14:textFill>
                  <w14:solidFill>
                    <w14:schemeClr w14:val="tx1"/>
                  </w14:solidFill>
                </w14:textFill>
              </w:rPr>
            </w:pPr>
          </w:p>
        </w:tc>
        <w:tc>
          <w:tcPr>
            <w:tcW w:w="5020" w:type="dxa"/>
            <w:vMerge w:val="continue"/>
            <w:tcBorders>
              <w:top w:val="outset" w:color="auto" w:sz="6" w:space="0"/>
              <w:left w:val="outset" w:color="auto" w:sz="6" w:space="0"/>
              <w:bottom w:val="outset" w:color="auto" w:sz="6" w:space="0"/>
              <w:right w:val="outset" w:color="auto" w:sz="6" w:space="0"/>
            </w:tcBorders>
            <w:vAlign w:val="center"/>
          </w:tcPr>
          <w:p w14:paraId="55373A38">
            <w:pPr>
              <w:pStyle w:val="145"/>
              <w:pageBreakBefore w:val="0"/>
              <w:wordWrap/>
              <w:topLinePunct w:val="0"/>
              <w:bidi w:val="0"/>
              <w:spacing w:line="560" w:lineRule="exact"/>
              <w:jc w:val="center"/>
              <w:rPr>
                <w:rFonts w:cs="宋体" w:asciiTheme="minorEastAsia" w:hAnsiTheme="minorEastAsia" w:eastAsiaTheme="minorEastAsia"/>
                <w:color w:val="000000" w:themeColor="text1"/>
                <w:sz w:val="28"/>
                <w:szCs w:val="28"/>
                <w:highlight w:val="none"/>
                <w14:textFill>
                  <w14:solidFill>
                    <w14:schemeClr w14:val="tx1"/>
                  </w14:solidFill>
                </w14:textFill>
              </w:rPr>
            </w:pPr>
          </w:p>
        </w:tc>
        <w:tc>
          <w:tcPr>
            <w:tcW w:w="879" w:type="dxa"/>
            <w:tcBorders>
              <w:top w:val="outset" w:color="auto" w:sz="6" w:space="0"/>
              <w:left w:val="outset" w:color="auto" w:sz="6" w:space="0"/>
              <w:bottom w:val="outset" w:color="auto" w:sz="6" w:space="0"/>
              <w:right w:val="outset" w:color="auto" w:sz="6" w:space="0"/>
            </w:tcBorders>
            <w:vAlign w:val="center"/>
          </w:tcPr>
          <w:p w14:paraId="33B7FFDF">
            <w:pPr>
              <w:pStyle w:val="145"/>
              <w:pageBreakBefore w:val="0"/>
              <w:wordWrap/>
              <w:topLinePunct w:val="0"/>
              <w:bidi w:val="0"/>
              <w:spacing w:line="560" w:lineRule="exact"/>
              <w:jc w:val="center"/>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是</w:t>
            </w:r>
          </w:p>
        </w:tc>
        <w:tc>
          <w:tcPr>
            <w:tcW w:w="856" w:type="dxa"/>
            <w:tcBorders>
              <w:top w:val="outset" w:color="auto" w:sz="6" w:space="0"/>
              <w:left w:val="outset" w:color="auto" w:sz="6" w:space="0"/>
              <w:bottom w:val="outset" w:color="auto" w:sz="6" w:space="0"/>
              <w:right w:val="outset" w:color="auto" w:sz="6" w:space="0"/>
            </w:tcBorders>
            <w:vAlign w:val="center"/>
          </w:tcPr>
          <w:p w14:paraId="3A95F6BD">
            <w:pPr>
              <w:pStyle w:val="145"/>
              <w:pageBreakBefore w:val="0"/>
              <w:wordWrap/>
              <w:topLinePunct w:val="0"/>
              <w:bidi w:val="0"/>
              <w:spacing w:line="560" w:lineRule="exact"/>
              <w:jc w:val="center"/>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否</w:t>
            </w:r>
          </w:p>
        </w:tc>
      </w:tr>
      <w:tr w14:paraId="0CE68FEB">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23" w:hRule="atLeast"/>
        </w:trPr>
        <w:tc>
          <w:tcPr>
            <w:tcW w:w="430" w:type="dxa"/>
            <w:vMerge w:val="restart"/>
            <w:tcBorders>
              <w:top w:val="outset" w:color="auto" w:sz="6" w:space="0"/>
              <w:left w:val="outset" w:color="auto" w:sz="6" w:space="0"/>
              <w:right w:val="outset" w:color="auto" w:sz="6" w:space="0"/>
            </w:tcBorders>
            <w:vAlign w:val="center"/>
          </w:tcPr>
          <w:p w14:paraId="0DC9C317">
            <w:pPr>
              <w:pStyle w:val="145"/>
              <w:pageBreakBefore w:val="0"/>
              <w:wordWrap/>
              <w:topLinePunct w:val="0"/>
              <w:bidi w:val="0"/>
              <w:spacing w:line="560" w:lineRule="exact"/>
              <w:jc w:val="center"/>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初步评审</w:t>
            </w:r>
          </w:p>
        </w:tc>
        <w:tc>
          <w:tcPr>
            <w:tcW w:w="495" w:type="dxa"/>
            <w:vMerge w:val="restart"/>
            <w:tcBorders>
              <w:top w:val="outset" w:color="auto" w:sz="6" w:space="0"/>
              <w:left w:val="outset" w:color="auto" w:sz="6" w:space="0"/>
              <w:right w:val="outset" w:color="auto" w:sz="6" w:space="0"/>
            </w:tcBorders>
            <w:vAlign w:val="center"/>
          </w:tcPr>
          <w:p w14:paraId="735F88C9">
            <w:pPr>
              <w:pStyle w:val="145"/>
              <w:pageBreakBefore w:val="0"/>
              <w:wordWrap/>
              <w:topLinePunct w:val="0"/>
              <w:bidi w:val="0"/>
              <w:spacing w:line="560" w:lineRule="exact"/>
              <w:jc w:val="center"/>
              <w:rPr>
                <w:rFonts w:hint="eastAsia" w:cs="宋体" w:asciiTheme="minorEastAsia" w:hAnsiTheme="minorEastAsia" w:eastAsiaTheme="minorEastAsia"/>
                <w:color w:val="000000" w:themeColor="text1"/>
                <w:sz w:val="28"/>
                <w:szCs w:val="28"/>
                <w:highlight w:val="none"/>
                <w:lang w:eastAsia="zh-CN"/>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资格</w:t>
            </w:r>
            <w:r>
              <w:rPr>
                <w:rFonts w:hint="eastAsia" w:cs="宋体" w:asciiTheme="minorEastAsia" w:hAnsiTheme="minorEastAsia" w:eastAsiaTheme="minorEastAsia"/>
                <w:color w:val="000000" w:themeColor="text1"/>
                <w:sz w:val="28"/>
                <w:szCs w:val="28"/>
                <w:highlight w:val="none"/>
                <w:lang w:eastAsia="zh-CN"/>
                <w14:textFill>
                  <w14:solidFill>
                    <w14:schemeClr w14:val="tx1"/>
                  </w14:solidFill>
                </w14:textFill>
              </w:rPr>
              <w:t>性</w:t>
            </w:r>
          </w:p>
          <w:p w14:paraId="7E443EEB">
            <w:pPr>
              <w:pStyle w:val="145"/>
              <w:pageBreakBefore w:val="0"/>
              <w:wordWrap/>
              <w:topLinePunct w:val="0"/>
              <w:bidi w:val="0"/>
              <w:spacing w:line="560" w:lineRule="exact"/>
              <w:jc w:val="center"/>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检查</w:t>
            </w:r>
          </w:p>
        </w:tc>
        <w:tc>
          <w:tcPr>
            <w:tcW w:w="1852" w:type="dxa"/>
            <w:tcBorders>
              <w:top w:val="outset" w:color="auto" w:sz="6" w:space="0"/>
              <w:left w:val="outset" w:color="auto" w:sz="6" w:space="0"/>
              <w:bottom w:val="outset" w:color="auto" w:sz="6" w:space="0"/>
              <w:right w:val="outset" w:color="auto" w:sz="6" w:space="0"/>
            </w:tcBorders>
            <w:vAlign w:val="center"/>
          </w:tcPr>
          <w:p w14:paraId="5AAD4A04">
            <w:pPr>
              <w:pStyle w:val="145"/>
              <w:pageBreakBefore w:val="0"/>
              <w:wordWrap/>
              <w:topLinePunct w:val="0"/>
              <w:bidi w:val="0"/>
              <w:adjustRightInd w:val="0"/>
              <w:snapToGrid w:val="0"/>
              <w:spacing w:line="560" w:lineRule="exact"/>
              <w:jc w:val="center"/>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营业执照</w:t>
            </w:r>
          </w:p>
        </w:tc>
        <w:tc>
          <w:tcPr>
            <w:tcW w:w="5020" w:type="dxa"/>
            <w:tcBorders>
              <w:top w:val="outset" w:color="auto" w:sz="6" w:space="0"/>
              <w:left w:val="outset" w:color="auto" w:sz="6" w:space="0"/>
              <w:bottom w:val="outset" w:color="auto" w:sz="6" w:space="0"/>
              <w:right w:val="outset" w:color="auto" w:sz="6" w:space="0"/>
            </w:tcBorders>
            <w:vAlign w:val="center"/>
          </w:tcPr>
          <w:p w14:paraId="7C5707DB">
            <w:pPr>
              <w:pStyle w:val="145"/>
              <w:pageBreakBefore w:val="0"/>
              <w:wordWrap/>
              <w:topLinePunct w:val="0"/>
              <w:bidi w:val="0"/>
              <w:adjustRightInd w:val="0"/>
              <w:snapToGrid w:val="0"/>
              <w:spacing w:line="560" w:lineRule="exact"/>
              <w:jc w:val="both"/>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lang w:eastAsia="zh-CN"/>
                <w14:textFill>
                  <w14:solidFill>
                    <w14:schemeClr w14:val="tx1"/>
                  </w14:solidFill>
                </w14:textFill>
              </w:rPr>
              <w:t>提供</w:t>
            </w:r>
            <w:r>
              <w:rPr>
                <w:rFonts w:hint="eastAsia" w:ascii="宋体" w:hAnsi="宋体" w:eastAsia="宋体" w:cs="宋体"/>
                <w:color w:val="000000" w:themeColor="text1"/>
                <w:sz w:val="28"/>
                <w:szCs w:val="28"/>
                <w:highlight w:val="none"/>
                <w14:textFill>
                  <w14:solidFill>
                    <w14:schemeClr w14:val="tx1"/>
                  </w14:solidFill>
                </w14:textFill>
              </w:rPr>
              <w:t>具有合法有效的营业执照</w:t>
            </w:r>
          </w:p>
        </w:tc>
        <w:tc>
          <w:tcPr>
            <w:tcW w:w="879" w:type="dxa"/>
            <w:tcBorders>
              <w:top w:val="outset" w:color="auto" w:sz="6" w:space="0"/>
              <w:left w:val="outset" w:color="auto" w:sz="6" w:space="0"/>
              <w:bottom w:val="outset" w:color="auto" w:sz="6" w:space="0"/>
              <w:right w:val="outset" w:color="auto" w:sz="6" w:space="0"/>
            </w:tcBorders>
            <w:vAlign w:val="center"/>
          </w:tcPr>
          <w:p w14:paraId="45B9919A">
            <w:pPr>
              <w:pStyle w:val="145"/>
              <w:pageBreakBefore w:val="0"/>
              <w:wordWrap/>
              <w:topLinePunct w:val="0"/>
              <w:bidi w:val="0"/>
              <w:spacing w:line="560" w:lineRule="exact"/>
              <w:rPr>
                <w:rFonts w:cs="宋体" w:asciiTheme="minorEastAsia" w:hAnsiTheme="minorEastAsia" w:eastAsiaTheme="minorEastAsia"/>
                <w:color w:val="000000" w:themeColor="text1"/>
                <w:sz w:val="28"/>
                <w:szCs w:val="28"/>
                <w:highlight w:val="none"/>
                <w14:textFill>
                  <w14:solidFill>
                    <w14:schemeClr w14:val="tx1"/>
                  </w14:solidFill>
                </w14:textFill>
              </w:rPr>
            </w:pPr>
          </w:p>
        </w:tc>
        <w:tc>
          <w:tcPr>
            <w:tcW w:w="856" w:type="dxa"/>
            <w:tcBorders>
              <w:top w:val="outset" w:color="auto" w:sz="6" w:space="0"/>
              <w:left w:val="outset" w:color="auto" w:sz="6" w:space="0"/>
              <w:bottom w:val="outset" w:color="auto" w:sz="6" w:space="0"/>
              <w:right w:val="outset" w:color="auto" w:sz="6" w:space="0"/>
            </w:tcBorders>
            <w:vAlign w:val="center"/>
          </w:tcPr>
          <w:p w14:paraId="6C03DE27">
            <w:pPr>
              <w:pStyle w:val="145"/>
              <w:pageBreakBefore w:val="0"/>
              <w:wordWrap/>
              <w:topLinePunct w:val="0"/>
              <w:bidi w:val="0"/>
              <w:spacing w:line="560" w:lineRule="exact"/>
              <w:rPr>
                <w:rFonts w:cs="宋体" w:asciiTheme="minorEastAsia" w:hAnsiTheme="minorEastAsia" w:eastAsiaTheme="minorEastAsia"/>
                <w:color w:val="000000" w:themeColor="text1"/>
                <w:sz w:val="28"/>
                <w:szCs w:val="28"/>
                <w:highlight w:val="none"/>
                <w14:textFill>
                  <w14:solidFill>
                    <w14:schemeClr w14:val="tx1"/>
                  </w14:solidFill>
                </w14:textFill>
              </w:rPr>
            </w:pPr>
          </w:p>
        </w:tc>
      </w:tr>
      <w:tr w14:paraId="2C395407">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23" w:hRule="atLeast"/>
        </w:trPr>
        <w:tc>
          <w:tcPr>
            <w:tcW w:w="430" w:type="dxa"/>
            <w:vMerge w:val="continue"/>
            <w:tcBorders>
              <w:left w:val="outset" w:color="auto" w:sz="6" w:space="0"/>
              <w:right w:val="outset" w:color="auto" w:sz="6" w:space="0"/>
            </w:tcBorders>
            <w:vAlign w:val="center"/>
          </w:tcPr>
          <w:p w14:paraId="0AA54E79">
            <w:pPr>
              <w:pStyle w:val="145"/>
              <w:pageBreakBefore w:val="0"/>
              <w:wordWrap/>
              <w:topLinePunct w:val="0"/>
              <w:bidi w:val="0"/>
              <w:spacing w:line="560" w:lineRule="exact"/>
              <w:rPr>
                <w:rFonts w:cs="宋体" w:asciiTheme="minorEastAsia" w:hAnsiTheme="minorEastAsia" w:eastAsiaTheme="minorEastAsia"/>
                <w:color w:val="000000" w:themeColor="text1"/>
                <w:sz w:val="28"/>
                <w:szCs w:val="28"/>
                <w:highlight w:val="none"/>
                <w14:textFill>
                  <w14:solidFill>
                    <w14:schemeClr w14:val="tx1"/>
                  </w14:solidFill>
                </w14:textFill>
              </w:rPr>
            </w:pPr>
          </w:p>
        </w:tc>
        <w:tc>
          <w:tcPr>
            <w:tcW w:w="495" w:type="dxa"/>
            <w:vMerge w:val="continue"/>
            <w:tcBorders>
              <w:left w:val="outset" w:color="auto" w:sz="6" w:space="0"/>
              <w:right w:val="outset" w:color="auto" w:sz="6" w:space="0"/>
            </w:tcBorders>
            <w:vAlign w:val="center"/>
          </w:tcPr>
          <w:p w14:paraId="707C7B84">
            <w:pPr>
              <w:pStyle w:val="145"/>
              <w:pageBreakBefore w:val="0"/>
              <w:wordWrap/>
              <w:topLinePunct w:val="0"/>
              <w:bidi w:val="0"/>
              <w:spacing w:line="560" w:lineRule="exact"/>
              <w:rPr>
                <w:rFonts w:cs="宋体" w:asciiTheme="minorEastAsia" w:hAnsiTheme="minorEastAsia" w:eastAsiaTheme="minorEastAsia"/>
                <w:color w:val="000000" w:themeColor="text1"/>
                <w:sz w:val="28"/>
                <w:szCs w:val="28"/>
                <w:highlight w:val="none"/>
                <w14:textFill>
                  <w14:solidFill>
                    <w14:schemeClr w14:val="tx1"/>
                  </w14:solidFill>
                </w14:textFill>
              </w:rPr>
            </w:pPr>
          </w:p>
        </w:tc>
        <w:tc>
          <w:tcPr>
            <w:tcW w:w="1852" w:type="dxa"/>
            <w:tcBorders>
              <w:top w:val="outset" w:color="auto" w:sz="6" w:space="0"/>
              <w:left w:val="outset" w:color="auto" w:sz="6" w:space="0"/>
              <w:bottom w:val="outset" w:color="auto" w:sz="6" w:space="0"/>
              <w:right w:val="outset" w:color="auto" w:sz="6" w:space="0"/>
            </w:tcBorders>
            <w:vAlign w:val="center"/>
          </w:tcPr>
          <w:p w14:paraId="0AD66352">
            <w:pPr>
              <w:pStyle w:val="145"/>
              <w:pageBreakBefore w:val="0"/>
              <w:wordWrap/>
              <w:topLinePunct w:val="0"/>
              <w:bidi w:val="0"/>
              <w:adjustRightInd w:val="0"/>
              <w:snapToGrid w:val="0"/>
              <w:spacing w:line="560" w:lineRule="exact"/>
              <w:jc w:val="center"/>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ascii="宋体" w:hAnsi="宋体" w:eastAsia="宋体" w:cs="宋体"/>
                <w:color w:val="000000" w:themeColor="text1"/>
                <w:sz w:val="28"/>
                <w:szCs w:val="28"/>
                <w:highlight w:val="none"/>
                <w14:textFill>
                  <w14:solidFill>
                    <w14:schemeClr w14:val="tx1"/>
                  </w14:solidFill>
                </w14:textFill>
              </w:rPr>
              <w:t>财务</w:t>
            </w:r>
          </w:p>
        </w:tc>
        <w:tc>
          <w:tcPr>
            <w:tcW w:w="5020" w:type="dxa"/>
            <w:tcBorders>
              <w:top w:val="outset" w:color="auto" w:sz="6" w:space="0"/>
              <w:left w:val="outset" w:color="auto" w:sz="6" w:space="0"/>
              <w:bottom w:val="outset" w:color="auto" w:sz="6" w:space="0"/>
              <w:right w:val="outset" w:color="auto" w:sz="6" w:space="0"/>
            </w:tcBorders>
            <w:vAlign w:val="center"/>
          </w:tcPr>
          <w:p w14:paraId="509D04C4">
            <w:pPr>
              <w:pStyle w:val="145"/>
              <w:pageBreakBefore w:val="0"/>
              <w:wordWrap/>
              <w:topLinePunct w:val="0"/>
              <w:bidi w:val="0"/>
              <w:adjustRightInd w:val="0"/>
              <w:snapToGrid w:val="0"/>
              <w:spacing w:line="560" w:lineRule="exact"/>
              <w:jc w:val="both"/>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提供</w:t>
            </w:r>
            <w:r>
              <w:rPr>
                <w:rFonts w:hint="eastAsia" w:ascii="宋体" w:hAnsi="宋体" w:eastAsia="宋体"/>
                <w:color w:val="000000" w:themeColor="text1"/>
                <w:sz w:val="28"/>
                <w:szCs w:val="28"/>
                <w:highlight w:val="none"/>
                <w14:textFill>
                  <w14:solidFill>
                    <w14:schemeClr w14:val="tx1"/>
                  </w14:solidFill>
                </w14:textFill>
              </w:rPr>
              <w:t>202</w:t>
            </w:r>
            <w:r>
              <w:rPr>
                <w:rFonts w:hint="eastAsia" w:ascii="宋体" w:hAnsi="宋体" w:eastAsia="宋体"/>
                <w:color w:val="000000" w:themeColor="text1"/>
                <w:sz w:val="28"/>
                <w:szCs w:val="28"/>
                <w:highlight w:val="none"/>
                <w:lang w:val="en-US" w:eastAsia="zh-CN"/>
                <w14:textFill>
                  <w14:solidFill>
                    <w14:schemeClr w14:val="tx1"/>
                  </w14:solidFill>
                </w14:textFill>
              </w:rPr>
              <w:t>2</w:t>
            </w:r>
            <w:r>
              <w:rPr>
                <w:rFonts w:hint="eastAsia" w:ascii="宋体" w:hAnsi="宋体" w:eastAsia="宋体"/>
                <w:color w:val="000000" w:themeColor="text1"/>
                <w:sz w:val="28"/>
                <w:szCs w:val="28"/>
                <w:highlight w:val="none"/>
                <w14:textFill>
                  <w14:solidFill>
                    <w14:schemeClr w14:val="tx1"/>
                  </w14:solidFill>
                </w14:textFill>
              </w:rPr>
              <w:t>-202</w:t>
            </w:r>
            <w:r>
              <w:rPr>
                <w:rFonts w:hint="eastAsia" w:ascii="宋体" w:hAnsi="宋体" w:eastAsia="宋体"/>
                <w:color w:val="000000" w:themeColor="text1"/>
                <w:sz w:val="28"/>
                <w:szCs w:val="28"/>
                <w:highlight w:val="none"/>
                <w:lang w:val="en-US" w:eastAsia="zh-CN"/>
                <w14:textFill>
                  <w14:solidFill>
                    <w14:schemeClr w14:val="tx1"/>
                  </w14:solidFill>
                </w14:textFill>
              </w:rPr>
              <w:t>4</w:t>
            </w:r>
            <w:r>
              <w:rPr>
                <w:rFonts w:hint="eastAsia" w:ascii="宋体" w:hAnsi="宋体" w:eastAsia="宋体" w:cs="宋体"/>
                <w:color w:val="000000" w:themeColor="text1"/>
                <w:sz w:val="28"/>
                <w:szCs w:val="28"/>
                <w:highlight w:val="none"/>
                <w14:textFill>
                  <w14:solidFill>
                    <w14:schemeClr w14:val="tx1"/>
                  </w14:solidFill>
                </w14:textFill>
              </w:rPr>
              <w:t>年任意一年的</w:t>
            </w:r>
            <w:r>
              <w:rPr>
                <w:rFonts w:hint="eastAsia" w:ascii="宋体" w:hAnsi="宋体" w:eastAsia="宋体" w:cs="宋体"/>
                <w:color w:val="000000" w:themeColor="text1"/>
                <w:sz w:val="28"/>
                <w:szCs w:val="28"/>
                <w:highlight w:val="none"/>
                <w:lang w:val="en-US" w:eastAsia="zh-CN"/>
                <w14:textFill>
                  <w14:solidFill>
                    <w14:schemeClr w14:val="tx1"/>
                  </w14:solidFill>
                </w14:textFill>
              </w:rPr>
              <w:t>完整</w:t>
            </w:r>
            <w:r>
              <w:rPr>
                <w:rFonts w:hint="eastAsia" w:ascii="宋体" w:hAnsi="宋体" w:eastAsia="宋体" w:cs="宋体"/>
                <w:color w:val="000000" w:themeColor="text1"/>
                <w:sz w:val="28"/>
                <w:szCs w:val="28"/>
                <w:highlight w:val="none"/>
                <w14:textFill>
                  <w14:solidFill>
                    <w14:schemeClr w14:val="tx1"/>
                  </w14:solidFill>
                </w14:textFill>
              </w:rPr>
              <w:t>审计报告或财务报表（应包括资产负债表、现金流量表、利润表），本年度新成立或成立不满一年的无法提供财务审计报告或财务状况报告表的无需提供。</w:t>
            </w:r>
          </w:p>
        </w:tc>
        <w:tc>
          <w:tcPr>
            <w:tcW w:w="879" w:type="dxa"/>
            <w:tcBorders>
              <w:top w:val="outset" w:color="auto" w:sz="6" w:space="0"/>
              <w:left w:val="outset" w:color="auto" w:sz="6" w:space="0"/>
              <w:bottom w:val="outset" w:color="auto" w:sz="6" w:space="0"/>
              <w:right w:val="outset" w:color="auto" w:sz="6" w:space="0"/>
            </w:tcBorders>
            <w:vAlign w:val="center"/>
          </w:tcPr>
          <w:p w14:paraId="5FBB73F8">
            <w:pPr>
              <w:pStyle w:val="145"/>
              <w:pageBreakBefore w:val="0"/>
              <w:wordWrap/>
              <w:topLinePunct w:val="0"/>
              <w:bidi w:val="0"/>
              <w:spacing w:line="560" w:lineRule="exact"/>
              <w:rPr>
                <w:rFonts w:cs="宋体" w:asciiTheme="minorEastAsia" w:hAnsiTheme="minorEastAsia" w:eastAsiaTheme="minorEastAsia"/>
                <w:color w:val="000000" w:themeColor="text1"/>
                <w:sz w:val="28"/>
                <w:szCs w:val="28"/>
                <w:highlight w:val="none"/>
                <w14:textFill>
                  <w14:solidFill>
                    <w14:schemeClr w14:val="tx1"/>
                  </w14:solidFill>
                </w14:textFill>
              </w:rPr>
            </w:pPr>
          </w:p>
        </w:tc>
        <w:tc>
          <w:tcPr>
            <w:tcW w:w="856" w:type="dxa"/>
            <w:tcBorders>
              <w:top w:val="outset" w:color="auto" w:sz="6" w:space="0"/>
              <w:left w:val="outset" w:color="auto" w:sz="6" w:space="0"/>
              <w:bottom w:val="outset" w:color="auto" w:sz="6" w:space="0"/>
              <w:right w:val="outset" w:color="auto" w:sz="6" w:space="0"/>
            </w:tcBorders>
            <w:vAlign w:val="center"/>
          </w:tcPr>
          <w:p w14:paraId="40800B60">
            <w:pPr>
              <w:pStyle w:val="145"/>
              <w:pageBreakBefore w:val="0"/>
              <w:wordWrap/>
              <w:topLinePunct w:val="0"/>
              <w:bidi w:val="0"/>
              <w:spacing w:line="560" w:lineRule="exact"/>
              <w:rPr>
                <w:rFonts w:cs="宋体" w:asciiTheme="minorEastAsia" w:hAnsiTheme="minorEastAsia" w:eastAsiaTheme="minorEastAsia"/>
                <w:color w:val="000000" w:themeColor="text1"/>
                <w:sz w:val="28"/>
                <w:szCs w:val="28"/>
                <w:highlight w:val="none"/>
                <w14:textFill>
                  <w14:solidFill>
                    <w14:schemeClr w14:val="tx1"/>
                  </w14:solidFill>
                </w14:textFill>
              </w:rPr>
            </w:pPr>
          </w:p>
        </w:tc>
      </w:tr>
      <w:tr w14:paraId="145D46A6">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23" w:hRule="atLeast"/>
        </w:trPr>
        <w:tc>
          <w:tcPr>
            <w:tcW w:w="430" w:type="dxa"/>
            <w:vMerge w:val="continue"/>
            <w:tcBorders>
              <w:left w:val="outset" w:color="auto" w:sz="6" w:space="0"/>
              <w:right w:val="outset" w:color="auto" w:sz="6" w:space="0"/>
            </w:tcBorders>
            <w:vAlign w:val="center"/>
          </w:tcPr>
          <w:p w14:paraId="4F7227BE">
            <w:pPr>
              <w:pStyle w:val="145"/>
              <w:pageBreakBefore w:val="0"/>
              <w:wordWrap/>
              <w:topLinePunct w:val="0"/>
              <w:bidi w:val="0"/>
              <w:spacing w:line="560" w:lineRule="exact"/>
              <w:rPr>
                <w:rFonts w:cs="宋体" w:asciiTheme="minorEastAsia" w:hAnsiTheme="minorEastAsia" w:eastAsiaTheme="minorEastAsia"/>
                <w:color w:val="000000" w:themeColor="text1"/>
                <w:sz w:val="28"/>
                <w:szCs w:val="28"/>
                <w:highlight w:val="none"/>
                <w14:textFill>
                  <w14:solidFill>
                    <w14:schemeClr w14:val="tx1"/>
                  </w14:solidFill>
                </w14:textFill>
              </w:rPr>
            </w:pPr>
          </w:p>
        </w:tc>
        <w:tc>
          <w:tcPr>
            <w:tcW w:w="495" w:type="dxa"/>
            <w:vMerge w:val="continue"/>
            <w:tcBorders>
              <w:left w:val="outset" w:color="auto" w:sz="6" w:space="0"/>
              <w:right w:val="outset" w:color="auto" w:sz="6" w:space="0"/>
            </w:tcBorders>
            <w:vAlign w:val="center"/>
          </w:tcPr>
          <w:p w14:paraId="687C59F4">
            <w:pPr>
              <w:pStyle w:val="145"/>
              <w:pageBreakBefore w:val="0"/>
              <w:wordWrap/>
              <w:topLinePunct w:val="0"/>
              <w:bidi w:val="0"/>
              <w:spacing w:line="560" w:lineRule="exact"/>
              <w:rPr>
                <w:rFonts w:cs="宋体" w:asciiTheme="minorEastAsia" w:hAnsiTheme="minorEastAsia" w:eastAsiaTheme="minorEastAsia"/>
                <w:color w:val="000000" w:themeColor="text1"/>
                <w:sz w:val="28"/>
                <w:szCs w:val="28"/>
                <w:highlight w:val="none"/>
                <w14:textFill>
                  <w14:solidFill>
                    <w14:schemeClr w14:val="tx1"/>
                  </w14:solidFill>
                </w14:textFill>
              </w:rPr>
            </w:pPr>
          </w:p>
        </w:tc>
        <w:tc>
          <w:tcPr>
            <w:tcW w:w="1852" w:type="dxa"/>
            <w:tcBorders>
              <w:top w:val="outset" w:color="auto" w:sz="6" w:space="0"/>
              <w:left w:val="outset" w:color="auto" w:sz="6" w:space="0"/>
              <w:bottom w:val="outset" w:color="auto" w:sz="6" w:space="0"/>
              <w:right w:val="outset" w:color="auto" w:sz="6" w:space="0"/>
            </w:tcBorders>
            <w:vAlign w:val="center"/>
          </w:tcPr>
          <w:p w14:paraId="4E611F1E">
            <w:pPr>
              <w:pStyle w:val="145"/>
              <w:pageBreakBefore w:val="0"/>
              <w:wordWrap/>
              <w:topLinePunct w:val="0"/>
              <w:bidi w:val="0"/>
              <w:adjustRightInd w:val="0"/>
              <w:snapToGrid w:val="0"/>
              <w:spacing w:line="560" w:lineRule="exact"/>
              <w:jc w:val="center"/>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履行合同所必需的设备和专业技术能力</w:t>
            </w:r>
          </w:p>
        </w:tc>
        <w:tc>
          <w:tcPr>
            <w:tcW w:w="5020" w:type="dxa"/>
            <w:tcBorders>
              <w:top w:val="outset" w:color="auto" w:sz="6" w:space="0"/>
              <w:left w:val="outset" w:color="auto" w:sz="6" w:space="0"/>
              <w:bottom w:val="outset" w:color="auto" w:sz="6" w:space="0"/>
              <w:right w:val="outset" w:color="auto" w:sz="6" w:space="0"/>
            </w:tcBorders>
            <w:vAlign w:val="center"/>
          </w:tcPr>
          <w:p w14:paraId="79E70F72">
            <w:pPr>
              <w:pStyle w:val="145"/>
              <w:pageBreakBefore w:val="0"/>
              <w:wordWrap/>
              <w:topLinePunct w:val="0"/>
              <w:bidi w:val="0"/>
              <w:adjustRightInd w:val="0"/>
              <w:snapToGrid w:val="0"/>
              <w:spacing w:line="560" w:lineRule="exact"/>
              <w:jc w:val="both"/>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根据项目需求提供履行合同所必需的设备和专业技术能力的加盖单位公章的书面承诺函</w:t>
            </w:r>
          </w:p>
        </w:tc>
        <w:tc>
          <w:tcPr>
            <w:tcW w:w="879" w:type="dxa"/>
            <w:tcBorders>
              <w:top w:val="outset" w:color="auto" w:sz="6" w:space="0"/>
              <w:left w:val="outset" w:color="auto" w:sz="6" w:space="0"/>
              <w:bottom w:val="outset" w:color="auto" w:sz="6" w:space="0"/>
              <w:right w:val="outset" w:color="auto" w:sz="6" w:space="0"/>
            </w:tcBorders>
            <w:vAlign w:val="center"/>
          </w:tcPr>
          <w:p w14:paraId="60D5D705">
            <w:pPr>
              <w:pStyle w:val="145"/>
              <w:pageBreakBefore w:val="0"/>
              <w:wordWrap/>
              <w:topLinePunct w:val="0"/>
              <w:bidi w:val="0"/>
              <w:spacing w:line="560" w:lineRule="exact"/>
              <w:rPr>
                <w:rFonts w:cs="宋体" w:asciiTheme="minorEastAsia" w:hAnsiTheme="minorEastAsia" w:eastAsiaTheme="minorEastAsia"/>
                <w:color w:val="000000" w:themeColor="text1"/>
                <w:sz w:val="28"/>
                <w:szCs w:val="28"/>
                <w:highlight w:val="none"/>
                <w14:textFill>
                  <w14:solidFill>
                    <w14:schemeClr w14:val="tx1"/>
                  </w14:solidFill>
                </w14:textFill>
              </w:rPr>
            </w:pPr>
          </w:p>
        </w:tc>
        <w:tc>
          <w:tcPr>
            <w:tcW w:w="856" w:type="dxa"/>
            <w:tcBorders>
              <w:top w:val="outset" w:color="auto" w:sz="6" w:space="0"/>
              <w:left w:val="outset" w:color="auto" w:sz="6" w:space="0"/>
              <w:bottom w:val="outset" w:color="auto" w:sz="6" w:space="0"/>
              <w:right w:val="outset" w:color="auto" w:sz="6" w:space="0"/>
            </w:tcBorders>
            <w:vAlign w:val="center"/>
          </w:tcPr>
          <w:p w14:paraId="47332BBA">
            <w:pPr>
              <w:pStyle w:val="145"/>
              <w:pageBreakBefore w:val="0"/>
              <w:wordWrap/>
              <w:topLinePunct w:val="0"/>
              <w:bidi w:val="0"/>
              <w:spacing w:line="560" w:lineRule="exact"/>
              <w:rPr>
                <w:rFonts w:cs="宋体" w:asciiTheme="minorEastAsia" w:hAnsiTheme="minorEastAsia" w:eastAsiaTheme="minorEastAsia"/>
                <w:color w:val="000000" w:themeColor="text1"/>
                <w:sz w:val="28"/>
                <w:szCs w:val="28"/>
                <w:highlight w:val="none"/>
                <w14:textFill>
                  <w14:solidFill>
                    <w14:schemeClr w14:val="tx1"/>
                  </w14:solidFill>
                </w14:textFill>
              </w:rPr>
            </w:pPr>
          </w:p>
        </w:tc>
      </w:tr>
      <w:tr w14:paraId="3A63CA7A">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23" w:hRule="atLeast"/>
        </w:trPr>
        <w:tc>
          <w:tcPr>
            <w:tcW w:w="430" w:type="dxa"/>
            <w:vMerge w:val="continue"/>
            <w:tcBorders>
              <w:left w:val="outset" w:color="auto" w:sz="6" w:space="0"/>
              <w:right w:val="outset" w:color="auto" w:sz="6" w:space="0"/>
            </w:tcBorders>
            <w:vAlign w:val="center"/>
          </w:tcPr>
          <w:p w14:paraId="09E71B9F">
            <w:pPr>
              <w:pStyle w:val="145"/>
              <w:pageBreakBefore w:val="0"/>
              <w:wordWrap/>
              <w:topLinePunct w:val="0"/>
              <w:bidi w:val="0"/>
              <w:spacing w:line="560" w:lineRule="exact"/>
              <w:rPr>
                <w:rFonts w:cs="宋体" w:asciiTheme="minorEastAsia" w:hAnsiTheme="minorEastAsia" w:eastAsiaTheme="minorEastAsia"/>
                <w:color w:val="000000" w:themeColor="text1"/>
                <w:sz w:val="28"/>
                <w:szCs w:val="28"/>
                <w:highlight w:val="none"/>
                <w14:textFill>
                  <w14:solidFill>
                    <w14:schemeClr w14:val="tx1"/>
                  </w14:solidFill>
                </w14:textFill>
              </w:rPr>
            </w:pPr>
          </w:p>
        </w:tc>
        <w:tc>
          <w:tcPr>
            <w:tcW w:w="495" w:type="dxa"/>
            <w:vMerge w:val="continue"/>
            <w:tcBorders>
              <w:left w:val="outset" w:color="auto" w:sz="6" w:space="0"/>
              <w:right w:val="outset" w:color="auto" w:sz="6" w:space="0"/>
            </w:tcBorders>
            <w:vAlign w:val="center"/>
          </w:tcPr>
          <w:p w14:paraId="4B4AF4DA">
            <w:pPr>
              <w:pStyle w:val="145"/>
              <w:pageBreakBefore w:val="0"/>
              <w:wordWrap/>
              <w:topLinePunct w:val="0"/>
              <w:bidi w:val="0"/>
              <w:spacing w:line="560" w:lineRule="exact"/>
              <w:rPr>
                <w:rFonts w:cs="宋体" w:asciiTheme="minorEastAsia" w:hAnsiTheme="minorEastAsia" w:eastAsiaTheme="minorEastAsia"/>
                <w:color w:val="000000" w:themeColor="text1"/>
                <w:sz w:val="28"/>
                <w:szCs w:val="28"/>
                <w:highlight w:val="none"/>
                <w14:textFill>
                  <w14:solidFill>
                    <w14:schemeClr w14:val="tx1"/>
                  </w14:solidFill>
                </w14:textFill>
              </w:rPr>
            </w:pPr>
          </w:p>
        </w:tc>
        <w:tc>
          <w:tcPr>
            <w:tcW w:w="1852" w:type="dxa"/>
            <w:tcBorders>
              <w:top w:val="outset" w:color="auto" w:sz="6" w:space="0"/>
              <w:left w:val="outset" w:color="auto" w:sz="6" w:space="0"/>
              <w:bottom w:val="outset" w:color="auto" w:sz="6" w:space="0"/>
              <w:right w:val="outset" w:color="auto" w:sz="6" w:space="0"/>
            </w:tcBorders>
            <w:vAlign w:val="center"/>
          </w:tcPr>
          <w:p w14:paraId="77B2A2C9">
            <w:pPr>
              <w:pStyle w:val="145"/>
              <w:pageBreakBefore w:val="0"/>
              <w:wordWrap/>
              <w:topLinePunct w:val="0"/>
              <w:bidi w:val="0"/>
              <w:adjustRightInd w:val="0"/>
              <w:snapToGrid w:val="0"/>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依法缴纳税收和社会保障</w:t>
            </w:r>
          </w:p>
          <w:p w14:paraId="7A29260A">
            <w:pPr>
              <w:pStyle w:val="145"/>
              <w:pageBreakBefore w:val="0"/>
              <w:wordWrap/>
              <w:topLinePunct w:val="0"/>
              <w:bidi w:val="0"/>
              <w:adjustRightInd w:val="0"/>
              <w:snapToGrid w:val="0"/>
              <w:spacing w:line="560" w:lineRule="exact"/>
              <w:jc w:val="center"/>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资金</w:t>
            </w:r>
          </w:p>
        </w:tc>
        <w:tc>
          <w:tcPr>
            <w:tcW w:w="5020" w:type="dxa"/>
            <w:tcBorders>
              <w:top w:val="outset" w:color="auto" w:sz="6" w:space="0"/>
              <w:left w:val="outset" w:color="auto" w:sz="6" w:space="0"/>
              <w:bottom w:val="outset" w:color="auto" w:sz="6" w:space="0"/>
              <w:right w:val="outset" w:color="auto" w:sz="6" w:space="0"/>
            </w:tcBorders>
            <w:vAlign w:val="center"/>
          </w:tcPr>
          <w:p w14:paraId="39BFDA5D">
            <w:pPr>
              <w:pStyle w:val="145"/>
              <w:pageBreakBefore w:val="0"/>
              <w:wordWrap/>
              <w:topLinePunct w:val="0"/>
              <w:bidi w:val="0"/>
              <w:adjustRightInd w:val="0"/>
              <w:snapToGrid w:val="0"/>
              <w:spacing w:line="560" w:lineRule="exact"/>
              <w:jc w:val="both"/>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提供参加本次政府采购活动前近半年内任意一个月的依法缴纳税收和社会保障资金的相关材料</w:t>
            </w:r>
          </w:p>
        </w:tc>
        <w:tc>
          <w:tcPr>
            <w:tcW w:w="879" w:type="dxa"/>
            <w:tcBorders>
              <w:top w:val="outset" w:color="auto" w:sz="6" w:space="0"/>
              <w:left w:val="outset" w:color="auto" w:sz="6" w:space="0"/>
              <w:bottom w:val="outset" w:color="auto" w:sz="6" w:space="0"/>
              <w:right w:val="outset" w:color="auto" w:sz="6" w:space="0"/>
            </w:tcBorders>
            <w:vAlign w:val="center"/>
          </w:tcPr>
          <w:p w14:paraId="7CEBF63D">
            <w:pPr>
              <w:pStyle w:val="145"/>
              <w:pageBreakBefore w:val="0"/>
              <w:wordWrap/>
              <w:topLinePunct w:val="0"/>
              <w:bidi w:val="0"/>
              <w:spacing w:line="560" w:lineRule="exact"/>
              <w:rPr>
                <w:rFonts w:cs="宋体" w:asciiTheme="minorEastAsia" w:hAnsiTheme="minorEastAsia" w:eastAsiaTheme="minorEastAsia"/>
                <w:color w:val="000000" w:themeColor="text1"/>
                <w:sz w:val="28"/>
                <w:szCs w:val="28"/>
                <w:highlight w:val="none"/>
                <w14:textFill>
                  <w14:solidFill>
                    <w14:schemeClr w14:val="tx1"/>
                  </w14:solidFill>
                </w14:textFill>
              </w:rPr>
            </w:pPr>
          </w:p>
        </w:tc>
        <w:tc>
          <w:tcPr>
            <w:tcW w:w="856" w:type="dxa"/>
            <w:tcBorders>
              <w:top w:val="outset" w:color="auto" w:sz="6" w:space="0"/>
              <w:left w:val="outset" w:color="auto" w:sz="6" w:space="0"/>
              <w:bottom w:val="outset" w:color="auto" w:sz="6" w:space="0"/>
              <w:right w:val="outset" w:color="auto" w:sz="6" w:space="0"/>
            </w:tcBorders>
            <w:vAlign w:val="center"/>
          </w:tcPr>
          <w:p w14:paraId="6F184B2F">
            <w:pPr>
              <w:pStyle w:val="145"/>
              <w:pageBreakBefore w:val="0"/>
              <w:wordWrap/>
              <w:topLinePunct w:val="0"/>
              <w:bidi w:val="0"/>
              <w:spacing w:line="560" w:lineRule="exact"/>
              <w:rPr>
                <w:rFonts w:cs="宋体" w:asciiTheme="minorEastAsia" w:hAnsiTheme="minorEastAsia" w:eastAsiaTheme="minorEastAsia"/>
                <w:color w:val="000000" w:themeColor="text1"/>
                <w:sz w:val="28"/>
                <w:szCs w:val="28"/>
                <w:highlight w:val="none"/>
                <w14:textFill>
                  <w14:solidFill>
                    <w14:schemeClr w14:val="tx1"/>
                  </w14:solidFill>
                </w14:textFill>
              </w:rPr>
            </w:pPr>
          </w:p>
        </w:tc>
      </w:tr>
      <w:tr w14:paraId="794DCFFA">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23" w:hRule="atLeast"/>
        </w:trPr>
        <w:tc>
          <w:tcPr>
            <w:tcW w:w="430" w:type="dxa"/>
            <w:vMerge w:val="continue"/>
            <w:tcBorders>
              <w:left w:val="outset" w:color="auto" w:sz="6" w:space="0"/>
              <w:right w:val="outset" w:color="auto" w:sz="6" w:space="0"/>
            </w:tcBorders>
            <w:vAlign w:val="center"/>
          </w:tcPr>
          <w:p w14:paraId="0B8B9E21">
            <w:pPr>
              <w:pStyle w:val="145"/>
              <w:pageBreakBefore w:val="0"/>
              <w:wordWrap/>
              <w:topLinePunct w:val="0"/>
              <w:bidi w:val="0"/>
              <w:spacing w:line="560" w:lineRule="exact"/>
              <w:rPr>
                <w:rFonts w:cs="宋体" w:asciiTheme="minorEastAsia" w:hAnsiTheme="minorEastAsia" w:eastAsiaTheme="minorEastAsia"/>
                <w:color w:val="000000" w:themeColor="text1"/>
                <w:sz w:val="28"/>
                <w:szCs w:val="28"/>
                <w:highlight w:val="none"/>
                <w14:textFill>
                  <w14:solidFill>
                    <w14:schemeClr w14:val="tx1"/>
                  </w14:solidFill>
                </w14:textFill>
              </w:rPr>
            </w:pPr>
          </w:p>
        </w:tc>
        <w:tc>
          <w:tcPr>
            <w:tcW w:w="495" w:type="dxa"/>
            <w:vMerge w:val="continue"/>
            <w:tcBorders>
              <w:left w:val="outset" w:color="auto" w:sz="6" w:space="0"/>
              <w:right w:val="outset" w:color="auto" w:sz="6" w:space="0"/>
            </w:tcBorders>
            <w:vAlign w:val="center"/>
          </w:tcPr>
          <w:p w14:paraId="7B873C42">
            <w:pPr>
              <w:pStyle w:val="145"/>
              <w:pageBreakBefore w:val="0"/>
              <w:wordWrap/>
              <w:topLinePunct w:val="0"/>
              <w:bidi w:val="0"/>
              <w:spacing w:line="560" w:lineRule="exact"/>
              <w:rPr>
                <w:rFonts w:cs="宋体" w:asciiTheme="minorEastAsia" w:hAnsiTheme="minorEastAsia" w:eastAsiaTheme="minorEastAsia"/>
                <w:color w:val="000000" w:themeColor="text1"/>
                <w:sz w:val="28"/>
                <w:szCs w:val="28"/>
                <w:highlight w:val="none"/>
                <w14:textFill>
                  <w14:solidFill>
                    <w14:schemeClr w14:val="tx1"/>
                  </w14:solidFill>
                </w14:textFill>
              </w:rPr>
            </w:pPr>
          </w:p>
        </w:tc>
        <w:tc>
          <w:tcPr>
            <w:tcW w:w="1852" w:type="dxa"/>
            <w:tcBorders>
              <w:top w:val="outset" w:color="auto" w:sz="6" w:space="0"/>
              <w:left w:val="outset" w:color="auto" w:sz="6" w:space="0"/>
              <w:bottom w:val="outset" w:color="auto" w:sz="6" w:space="0"/>
              <w:right w:val="outset" w:color="auto" w:sz="6" w:space="0"/>
            </w:tcBorders>
            <w:vAlign w:val="center"/>
          </w:tcPr>
          <w:p w14:paraId="70552AE3">
            <w:pPr>
              <w:pStyle w:val="145"/>
              <w:pageBreakBefore w:val="0"/>
              <w:wordWrap/>
              <w:topLinePunct w:val="0"/>
              <w:bidi w:val="0"/>
              <w:adjustRightInd w:val="0"/>
              <w:snapToGrid w:val="0"/>
              <w:spacing w:line="560" w:lineRule="exact"/>
              <w:jc w:val="center"/>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前3年内在经营活动中没有重大违法记录</w:t>
            </w:r>
          </w:p>
        </w:tc>
        <w:tc>
          <w:tcPr>
            <w:tcW w:w="5020" w:type="dxa"/>
            <w:tcBorders>
              <w:top w:val="outset" w:color="auto" w:sz="6" w:space="0"/>
              <w:left w:val="outset" w:color="auto" w:sz="6" w:space="0"/>
              <w:bottom w:val="outset" w:color="auto" w:sz="6" w:space="0"/>
              <w:right w:val="outset" w:color="auto" w:sz="6" w:space="0"/>
            </w:tcBorders>
            <w:vAlign w:val="center"/>
          </w:tcPr>
          <w:p w14:paraId="7BCE686E">
            <w:pPr>
              <w:pStyle w:val="145"/>
              <w:pageBreakBefore w:val="0"/>
              <w:wordWrap/>
              <w:topLinePunct w:val="0"/>
              <w:bidi w:val="0"/>
              <w:adjustRightInd w:val="0"/>
              <w:snapToGrid w:val="0"/>
              <w:spacing w:line="560" w:lineRule="exact"/>
              <w:jc w:val="both"/>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提供参加本次政府采购活动前3年内在经营活动中没有重大违法记录的书面承诺函并加盖单位公章</w:t>
            </w:r>
          </w:p>
        </w:tc>
        <w:tc>
          <w:tcPr>
            <w:tcW w:w="879" w:type="dxa"/>
            <w:tcBorders>
              <w:top w:val="outset" w:color="auto" w:sz="6" w:space="0"/>
              <w:left w:val="outset" w:color="auto" w:sz="6" w:space="0"/>
              <w:bottom w:val="outset" w:color="auto" w:sz="6" w:space="0"/>
              <w:right w:val="outset" w:color="auto" w:sz="6" w:space="0"/>
            </w:tcBorders>
            <w:vAlign w:val="center"/>
          </w:tcPr>
          <w:p w14:paraId="51EA6F27">
            <w:pPr>
              <w:pStyle w:val="145"/>
              <w:pageBreakBefore w:val="0"/>
              <w:wordWrap/>
              <w:topLinePunct w:val="0"/>
              <w:bidi w:val="0"/>
              <w:spacing w:line="560" w:lineRule="exact"/>
              <w:rPr>
                <w:rFonts w:cs="宋体" w:asciiTheme="minorEastAsia" w:hAnsiTheme="minorEastAsia" w:eastAsiaTheme="minorEastAsia"/>
                <w:color w:val="000000" w:themeColor="text1"/>
                <w:sz w:val="28"/>
                <w:szCs w:val="28"/>
                <w:highlight w:val="none"/>
                <w14:textFill>
                  <w14:solidFill>
                    <w14:schemeClr w14:val="tx1"/>
                  </w14:solidFill>
                </w14:textFill>
              </w:rPr>
            </w:pPr>
          </w:p>
        </w:tc>
        <w:tc>
          <w:tcPr>
            <w:tcW w:w="856" w:type="dxa"/>
            <w:tcBorders>
              <w:top w:val="outset" w:color="auto" w:sz="6" w:space="0"/>
              <w:left w:val="outset" w:color="auto" w:sz="6" w:space="0"/>
              <w:bottom w:val="outset" w:color="auto" w:sz="6" w:space="0"/>
              <w:right w:val="outset" w:color="auto" w:sz="6" w:space="0"/>
            </w:tcBorders>
            <w:vAlign w:val="center"/>
          </w:tcPr>
          <w:p w14:paraId="7F7CEE0D">
            <w:pPr>
              <w:pStyle w:val="145"/>
              <w:pageBreakBefore w:val="0"/>
              <w:wordWrap/>
              <w:topLinePunct w:val="0"/>
              <w:bidi w:val="0"/>
              <w:spacing w:line="560" w:lineRule="exact"/>
              <w:rPr>
                <w:rFonts w:cs="宋体" w:asciiTheme="minorEastAsia" w:hAnsiTheme="minorEastAsia" w:eastAsiaTheme="minorEastAsia"/>
                <w:color w:val="000000" w:themeColor="text1"/>
                <w:sz w:val="28"/>
                <w:szCs w:val="28"/>
                <w:highlight w:val="none"/>
                <w14:textFill>
                  <w14:solidFill>
                    <w14:schemeClr w14:val="tx1"/>
                  </w14:solidFill>
                </w14:textFill>
              </w:rPr>
            </w:pPr>
          </w:p>
        </w:tc>
      </w:tr>
      <w:tr w14:paraId="78EBB1FD">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23" w:hRule="atLeast"/>
        </w:trPr>
        <w:tc>
          <w:tcPr>
            <w:tcW w:w="430" w:type="dxa"/>
            <w:vMerge w:val="continue"/>
            <w:tcBorders>
              <w:left w:val="outset" w:color="auto" w:sz="6" w:space="0"/>
              <w:right w:val="outset" w:color="auto" w:sz="6" w:space="0"/>
            </w:tcBorders>
            <w:vAlign w:val="center"/>
          </w:tcPr>
          <w:p w14:paraId="105BDEAB">
            <w:pPr>
              <w:pStyle w:val="145"/>
              <w:pageBreakBefore w:val="0"/>
              <w:wordWrap/>
              <w:topLinePunct w:val="0"/>
              <w:bidi w:val="0"/>
              <w:spacing w:line="560" w:lineRule="exact"/>
              <w:rPr>
                <w:rFonts w:cs="宋体" w:asciiTheme="minorEastAsia" w:hAnsiTheme="minorEastAsia" w:eastAsiaTheme="minorEastAsia"/>
                <w:color w:val="000000" w:themeColor="text1"/>
                <w:sz w:val="28"/>
                <w:szCs w:val="28"/>
                <w:highlight w:val="none"/>
                <w14:textFill>
                  <w14:solidFill>
                    <w14:schemeClr w14:val="tx1"/>
                  </w14:solidFill>
                </w14:textFill>
              </w:rPr>
            </w:pPr>
          </w:p>
        </w:tc>
        <w:tc>
          <w:tcPr>
            <w:tcW w:w="495" w:type="dxa"/>
            <w:vMerge w:val="continue"/>
            <w:tcBorders>
              <w:left w:val="outset" w:color="auto" w:sz="6" w:space="0"/>
              <w:right w:val="outset" w:color="auto" w:sz="6" w:space="0"/>
            </w:tcBorders>
            <w:vAlign w:val="center"/>
          </w:tcPr>
          <w:p w14:paraId="33AE00A3">
            <w:pPr>
              <w:pStyle w:val="145"/>
              <w:pageBreakBefore w:val="0"/>
              <w:wordWrap/>
              <w:topLinePunct w:val="0"/>
              <w:bidi w:val="0"/>
              <w:spacing w:line="560" w:lineRule="exact"/>
              <w:rPr>
                <w:rFonts w:cs="宋体" w:asciiTheme="minorEastAsia" w:hAnsiTheme="minorEastAsia" w:eastAsiaTheme="minorEastAsia"/>
                <w:color w:val="000000" w:themeColor="text1"/>
                <w:sz w:val="28"/>
                <w:szCs w:val="28"/>
                <w:highlight w:val="none"/>
                <w14:textFill>
                  <w14:solidFill>
                    <w14:schemeClr w14:val="tx1"/>
                  </w14:solidFill>
                </w14:textFill>
              </w:rPr>
            </w:pPr>
          </w:p>
        </w:tc>
        <w:tc>
          <w:tcPr>
            <w:tcW w:w="1852" w:type="dxa"/>
            <w:tcBorders>
              <w:top w:val="outset" w:color="auto" w:sz="6" w:space="0"/>
              <w:left w:val="outset" w:color="auto" w:sz="6" w:space="0"/>
              <w:bottom w:val="outset" w:color="auto" w:sz="6" w:space="0"/>
              <w:right w:val="outset" w:color="auto" w:sz="6" w:space="0"/>
            </w:tcBorders>
            <w:vAlign w:val="center"/>
          </w:tcPr>
          <w:p w14:paraId="707D9611">
            <w:pPr>
              <w:pStyle w:val="145"/>
              <w:pageBreakBefore w:val="0"/>
              <w:kinsoku/>
              <w:wordWrap/>
              <w:topLinePunct w:val="0"/>
              <w:bidi w:val="0"/>
              <w:spacing w:line="560" w:lineRule="exact"/>
              <w:jc w:val="center"/>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法律、行政法规规定的其他条件</w:t>
            </w:r>
          </w:p>
        </w:tc>
        <w:tc>
          <w:tcPr>
            <w:tcW w:w="5020" w:type="dxa"/>
            <w:tcBorders>
              <w:top w:val="outset" w:color="auto" w:sz="6" w:space="0"/>
              <w:left w:val="outset" w:color="auto" w:sz="6" w:space="0"/>
              <w:bottom w:val="outset" w:color="auto" w:sz="6" w:space="0"/>
              <w:right w:val="outset" w:color="auto" w:sz="6" w:space="0"/>
            </w:tcBorders>
            <w:vAlign w:val="center"/>
          </w:tcPr>
          <w:p w14:paraId="6C4787C1">
            <w:pPr>
              <w:pStyle w:val="145"/>
              <w:pageBreakBefore w:val="0"/>
              <w:kinsoku/>
              <w:wordWrap/>
              <w:topLinePunct w:val="0"/>
              <w:bidi w:val="0"/>
              <w:spacing w:line="560" w:lineRule="exact"/>
              <w:jc w:val="both"/>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提供信用信誉承诺函</w:t>
            </w:r>
          </w:p>
        </w:tc>
        <w:tc>
          <w:tcPr>
            <w:tcW w:w="879" w:type="dxa"/>
            <w:tcBorders>
              <w:top w:val="outset" w:color="auto" w:sz="6" w:space="0"/>
              <w:left w:val="outset" w:color="auto" w:sz="6" w:space="0"/>
              <w:bottom w:val="outset" w:color="auto" w:sz="6" w:space="0"/>
              <w:right w:val="outset" w:color="auto" w:sz="6" w:space="0"/>
            </w:tcBorders>
            <w:vAlign w:val="center"/>
          </w:tcPr>
          <w:p w14:paraId="014D7E4D">
            <w:pPr>
              <w:pStyle w:val="145"/>
              <w:pageBreakBefore w:val="0"/>
              <w:wordWrap/>
              <w:topLinePunct w:val="0"/>
              <w:bidi w:val="0"/>
              <w:spacing w:line="560" w:lineRule="exact"/>
              <w:rPr>
                <w:rFonts w:cs="宋体" w:asciiTheme="minorEastAsia" w:hAnsiTheme="minorEastAsia" w:eastAsiaTheme="minorEastAsia"/>
                <w:color w:val="000000" w:themeColor="text1"/>
                <w:sz w:val="28"/>
                <w:szCs w:val="28"/>
                <w:highlight w:val="none"/>
                <w14:textFill>
                  <w14:solidFill>
                    <w14:schemeClr w14:val="tx1"/>
                  </w14:solidFill>
                </w14:textFill>
              </w:rPr>
            </w:pPr>
          </w:p>
        </w:tc>
        <w:tc>
          <w:tcPr>
            <w:tcW w:w="856" w:type="dxa"/>
            <w:tcBorders>
              <w:top w:val="outset" w:color="auto" w:sz="6" w:space="0"/>
              <w:left w:val="outset" w:color="auto" w:sz="6" w:space="0"/>
              <w:bottom w:val="outset" w:color="auto" w:sz="6" w:space="0"/>
              <w:right w:val="outset" w:color="auto" w:sz="6" w:space="0"/>
            </w:tcBorders>
            <w:vAlign w:val="center"/>
          </w:tcPr>
          <w:p w14:paraId="7397A9D9">
            <w:pPr>
              <w:pStyle w:val="145"/>
              <w:pageBreakBefore w:val="0"/>
              <w:wordWrap/>
              <w:topLinePunct w:val="0"/>
              <w:bidi w:val="0"/>
              <w:spacing w:line="560" w:lineRule="exact"/>
              <w:rPr>
                <w:rFonts w:cs="宋体" w:asciiTheme="minorEastAsia" w:hAnsiTheme="minorEastAsia" w:eastAsiaTheme="minorEastAsia"/>
                <w:color w:val="000000" w:themeColor="text1"/>
                <w:sz w:val="28"/>
                <w:szCs w:val="28"/>
                <w:highlight w:val="none"/>
                <w14:textFill>
                  <w14:solidFill>
                    <w14:schemeClr w14:val="tx1"/>
                  </w14:solidFill>
                </w14:textFill>
              </w:rPr>
            </w:pPr>
          </w:p>
        </w:tc>
      </w:tr>
      <w:tr w14:paraId="67664BC8">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23" w:hRule="atLeast"/>
        </w:trPr>
        <w:tc>
          <w:tcPr>
            <w:tcW w:w="430" w:type="dxa"/>
            <w:vMerge w:val="continue"/>
            <w:tcBorders>
              <w:left w:val="outset" w:color="auto" w:sz="6" w:space="0"/>
              <w:right w:val="outset" w:color="auto" w:sz="6" w:space="0"/>
            </w:tcBorders>
            <w:vAlign w:val="center"/>
          </w:tcPr>
          <w:p w14:paraId="633C36EE">
            <w:pPr>
              <w:pStyle w:val="145"/>
              <w:pageBreakBefore w:val="0"/>
              <w:wordWrap/>
              <w:topLinePunct w:val="0"/>
              <w:bidi w:val="0"/>
              <w:spacing w:line="560" w:lineRule="exact"/>
              <w:rPr>
                <w:rFonts w:cs="宋体" w:asciiTheme="minorEastAsia" w:hAnsiTheme="minorEastAsia" w:eastAsiaTheme="minorEastAsia"/>
                <w:color w:val="000000" w:themeColor="text1"/>
                <w:sz w:val="28"/>
                <w:szCs w:val="28"/>
                <w:highlight w:val="none"/>
                <w14:textFill>
                  <w14:solidFill>
                    <w14:schemeClr w14:val="tx1"/>
                  </w14:solidFill>
                </w14:textFill>
              </w:rPr>
            </w:pPr>
          </w:p>
        </w:tc>
        <w:tc>
          <w:tcPr>
            <w:tcW w:w="495" w:type="dxa"/>
            <w:vMerge w:val="continue"/>
            <w:tcBorders>
              <w:left w:val="outset" w:color="auto" w:sz="6" w:space="0"/>
              <w:right w:val="outset" w:color="auto" w:sz="6" w:space="0"/>
            </w:tcBorders>
            <w:vAlign w:val="center"/>
          </w:tcPr>
          <w:p w14:paraId="709F05E2">
            <w:pPr>
              <w:pStyle w:val="145"/>
              <w:pageBreakBefore w:val="0"/>
              <w:wordWrap/>
              <w:topLinePunct w:val="0"/>
              <w:bidi w:val="0"/>
              <w:spacing w:line="560" w:lineRule="exact"/>
              <w:rPr>
                <w:rFonts w:cs="宋体" w:asciiTheme="minorEastAsia" w:hAnsiTheme="minorEastAsia" w:eastAsiaTheme="minorEastAsia"/>
                <w:color w:val="000000" w:themeColor="text1"/>
                <w:sz w:val="28"/>
                <w:szCs w:val="28"/>
                <w:highlight w:val="none"/>
                <w14:textFill>
                  <w14:solidFill>
                    <w14:schemeClr w14:val="tx1"/>
                  </w14:solidFill>
                </w14:textFill>
              </w:rPr>
            </w:pPr>
          </w:p>
        </w:tc>
        <w:tc>
          <w:tcPr>
            <w:tcW w:w="1852" w:type="dxa"/>
            <w:tcBorders>
              <w:top w:val="outset" w:color="auto" w:sz="6" w:space="0"/>
              <w:left w:val="outset" w:color="auto" w:sz="6" w:space="0"/>
              <w:bottom w:val="outset" w:color="auto" w:sz="6" w:space="0"/>
              <w:right w:val="outset" w:color="auto" w:sz="6" w:space="0"/>
            </w:tcBorders>
            <w:vAlign w:val="center"/>
          </w:tcPr>
          <w:p w14:paraId="25CAB151">
            <w:pPr>
              <w:pStyle w:val="145"/>
              <w:pageBreakBefore w:val="0"/>
              <w:wordWrap/>
              <w:topLinePunct w:val="0"/>
              <w:bidi w:val="0"/>
              <w:spacing w:line="560" w:lineRule="exact"/>
              <w:jc w:val="center"/>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投标保证金</w:t>
            </w:r>
          </w:p>
        </w:tc>
        <w:tc>
          <w:tcPr>
            <w:tcW w:w="5020" w:type="dxa"/>
            <w:tcBorders>
              <w:top w:val="outset" w:color="auto" w:sz="6" w:space="0"/>
              <w:left w:val="outset" w:color="auto" w:sz="6" w:space="0"/>
              <w:bottom w:val="outset" w:color="auto" w:sz="6" w:space="0"/>
              <w:right w:val="outset" w:color="auto" w:sz="6" w:space="0"/>
            </w:tcBorders>
            <w:vAlign w:val="center"/>
          </w:tcPr>
          <w:p w14:paraId="6EBEBEA4">
            <w:pPr>
              <w:pStyle w:val="145"/>
              <w:pageBreakBefore w:val="0"/>
              <w:wordWrap/>
              <w:topLinePunct w:val="0"/>
              <w:bidi w:val="0"/>
              <w:spacing w:line="560" w:lineRule="exact"/>
              <w:jc w:val="both"/>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lang w:eastAsia="zh-CN"/>
                <w14:textFill>
                  <w14:solidFill>
                    <w14:schemeClr w14:val="tx1"/>
                  </w14:solidFill>
                </w14:textFill>
              </w:rPr>
              <w:t>投标保证金凭证</w:t>
            </w:r>
          </w:p>
        </w:tc>
        <w:tc>
          <w:tcPr>
            <w:tcW w:w="879" w:type="dxa"/>
            <w:tcBorders>
              <w:top w:val="outset" w:color="auto" w:sz="6" w:space="0"/>
              <w:left w:val="outset" w:color="auto" w:sz="6" w:space="0"/>
              <w:bottom w:val="outset" w:color="auto" w:sz="6" w:space="0"/>
              <w:right w:val="outset" w:color="auto" w:sz="6" w:space="0"/>
            </w:tcBorders>
            <w:vAlign w:val="center"/>
          </w:tcPr>
          <w:p w14:paraId="27BCAFAF">
            <w:pPr>
              <w:pStyle w:val="145"/>
              <w:pageBreakBefore w:val="0"/>
              <w:wordWrap/>
              <w:topLinePunct w:val="0"/>
              <w:bidi w:val="0"/>
              <w:spacing w:line="560" w:lineRule="exact"/>
              <w:rPr>
                <w:rFonts w:cs="宋体" w:asciiTheme="minorEastAsia" w:hAnsiTheme="minorEastAsia" w:eastAsiaTheme="minorEastAsia"/>
                <w:color w:val="000000" w:themeColor="text1"/>
                <w:sz w:val="28"/>
                <w:szCs w:val="28"/>
                <w:highlight w:val="none"/>
                <w14:textFill>
                  <w14:solidFill>
                    <w14:schemeClr w14:val="tx1"/>
                  </w14:solidFill>
                </w14:textFill>
              </w:rPr>
            </w:pPr>
          </w:p>
        </w:tc>
        <w:tc>
          <w:tcPr>
            <w:tcW w:w="856" w:type="dxa"/>
            <w:tcBorders>
              <w:top w:val="outset" w:color="auto" w:sz="6" w:space="0"/>
              <w:left w:val="outset" w:color="auto" w:sz="6" w:space="0"/>
              <w:bottom w:val="outset" w:color="auto" w:sz="6" w:space="0"/>
              <w:right w:val="outset" w:color="auto" w:sz="6" w:space="0"/>
            </w:tcBorders>
            <w:vAlign w:val="center"/>
          </w:tcPr>
          <w:p w14:paraId="41DAB20D">
            <w:pPr>
              <w:pStyle w:val="145"/>
              <w:pageBreakBefore w:val="0"/>
              <w:wordWrap/>
              <w:topLinePunct w:val="0"/>
              <w:bidi w:val="0"/>
              <w:spacing w:line="560" w:lineRule="exact"/>
              <w:rPr>
                <w:rFonts w:cs="宋体" w:asciiTheme="minorEastAsia" w:hAnsiTheme="minorEastAsia" w:eastAsiaTheme="minorEastAsia"/>
                <w:color w:val="000000" w:themeColor="text1"/>
                <w:sz w:val="28"/>
                <w:szCs w:val="28"/>
                <w:highlight w:val="none"/>
                <w14:textFill>
                  <w14:solidFill>
                    <w14:schemeClr w14:val="tx1"/>
                  </w14:solidFill>
                </w14:textFill>
              </w:rPr>
            </w:pPr>
          </w:p>
        </w:tc>
      </w:tr>
      <w:tr w14:paraId="6D22C0B7">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23" w:hRule="atLeast"/>
        </w:trPr>
        <w:tc>
          <w:tcPr>
            <w:tcW w:w="430" w:type="dxa"/>
            <w:vMerge w:val="continue"/>
            <w:tcBorders>
              <w:left w:val="outset" w:color="auto" w:sz="6" w:space="0"/>
              <w:right w:val="single" w:color="auto" w:sz="4" w:space="0"/>
            </w:tcBorders>
            <w:vAlign w:val="center"/>
          </w:tcPr>
          <w:p w14:paraId="1D9B4F23">
            <w:pPr>
              <w:pStyle w:val="145"/>
              <w:pageBreakBefore w:val="0"/>
              <w:wordWrap/>
              <w:topLinePunct w:val="0"/>
              <w:bidi w:val="0"/>
              <w:spacing w:line="560" w:lineRule="exact"/>
              <w:rPr>
                <w:rFonts w:cs="宋体" w:asciiTheme="minorEastAsia" w:hAnsiTheme="minorEastAsia" w:eastAsiaTheme="minorEastAsia"/>
                <w:color w:val="000000" w:themeColor="text1"/>
                <w:sz w:val="28"/>
                <w:szCs w:val="28"/>
                <w:highlight w:val="none"/>
                <w14:textFill>
                  <w14:solidFill>
                    <w14:schemeClr w14:val="tx1"/>
                  </w14:solidFill>
                </w14:textFill>
              </w:rPr>
            </w:pPr>
          </w:p>
        </w:tc>
        <w:tc>
          <w:tcPr>
            <w:tcW w:w="495" w:type="dxa"/>
            <w:vMerge w:val="restart"/>
            <w:tcBorders>
              <w:top w:val="single" w:color="auto" w:sz="4" w:space="0"/>
              <w:left w:val="single" w:color="auto" w:sz="4" w:space="0"/>
              <w:bottom w:val="single" w:color="auto" w:sz="4" w:space="0"/>
              <w:right w:val="single" w:color="auto" w:sz="4" w:space="0"/>
            </w:tcBorders>
            <w:vAlign w:val="center"/>
          </w:tcPr>
          <w:p w14:paraId="0BD6D770">
            <w:pPr>
              <w:pStyle w:val="145"/>
              <w:pageBreakBefore w:val="0"/>
              <w:wordWrap/>
              <w:topLinePunct w:val="0"/>
              <w:bidi w:val="0"/>
              <w:spacing w:line="560" w:lineRule="exact"/>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符合性检查</w:t>
            </w:r>
          </w:p>
        </w:tc>
        <w:tc>
          <w:tcPr>
            <w:tcW w:w="1852" w:type="dxa"/>
            <w:tcBorders>
              <w:top w:val="outset" w:color="auto" w:sz="6" w:space="0"/>
              <w:left w:val="single" w:color="auto" w:sz="4" w:space="0"/>
              <w:right w:val="outset" w:color="auto" w:sz="6" w:space="0"/>
            </w:tcBorders>
            <w:vAlign w:val="center"/>
          </w:tcPr>
          <w:p w14:paraId="7E3B4DFB">
            <w:pPr>
              <w:pStyle w:val="145"/>
              <w:pageBreakBefore w:val="0"/>
              <w:wordWrap/>
              <w:topLinePunct w:val="0"/>
              <w:bidi w:val="0"/>
              <w:adjustRightInd w:val="0"/>
              <w:snapToGrid w:val="0"/>
              <w:spacing w:line="560" w:lineRule="exact"/>
              <w:jc w:val="center"/>
              <w:rPr>
                <w:rFonts w:hint="eastAsia"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响应文件的</w:t>
            </w:r>
          </w:p>
          <w:p w14:paraId="18D4C532">
            <w:pPr>
              <w:pStyle w:val="145"/>
              <w:pageBreakBefore w:val="0"/>
              <w:wordWrap/>
              <w:topLinePunct w:val="0"/>
              <w:bidi w:val="0"/>
              <w:adjustRightInd w:val="0"/>
              <w:snapToGrid w:val="0"/>
              <w:spacing w:line="560" w:lineRule="exact"/>
              <w:jc w:val="center"/>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签署</w:t>
            </w:r>
          </w:p>
        </w:tc>
        <w:tc>
          <w:tcPr>
            <w:tcW w:w="5020" w:type="dxa"/>
            <w:tcBorders>
              <w:top w:val="outset" w:color="auto" w:sz="6" w:space="0"/>
              <w:left w:val="outset" w:color="auto" w:sz="6" w:space="0"/>
              <w:right w:val="outset" w:color="auto" w:sz="6" w:space="0"/>
            </w:tcBorders>
            <w:vAlign w:val="center"/>
          </w:tcPr>
          <w:p w14:paraId="07332D92">
            <w:pPr>
              <w:pStyle w:val="145"/>
              <w:pageBreakBefore w:val="0"/>
              <w:wordWrap/>
              <w:topLinePunct w:val="0"/>
              <w:bidi w:val="0"/>
              <w:adjustRightInd w:val="0"/>
              <w:snapToGrid w:val="0"/>
              <w:spacing w:line="560" w:lineRule="exact"/>
              <w:jc w:val="center"/>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按招标文件要求在规定区域加盖单位公章和法定代表人章或签字</w:t>
            </w:r>
          </w:p>
        </w:tc>
        <w:tc>
          <w:tcPr>
            <w:tcW w:w="879" w:type="dxa"/>
            <w:tcBorders>
              <w:top w:val="outset" w:color="auto" w:sz="6" w:space="0"/>
              <w:left w:val="outset" w:color="auto" w:sz="6" w:space="0"/>
              <w:right w:val="outset" w:color="auto" w:sz="6" w:space="0"/>
            </w:tcBorders>
            <w:vAlign w:val="center"/>
          </w:tcPr>
          <w:p w14:paraId="7DD89B6D">
            <w:pPr>
              <w:pStyle w:val="145"/>
              <w:pageBreakBefore w:val="0"/>
              <w:wordWrap/>
              <w:topLinePunct w:val="0"/>
              <w:bidi w:val="0"/>
              <w:spacing w:line="560" w:lineRule="exact"/>
              <w:rPr>
                <w:rFonts w:cs="宋体" w:asciiTheme="minorEastAsia" w:hAnsiTheme="minorEastAsia" w:eastAsiaTheme="minorEastAsia"/>
                <w:color w:val="000000" w:themeColor="text1"/>
                <w:sz w:val="28"/>
                <w:szCs w:val="28"/>
                <w:highlight w:val="none"/>
                <w14:textFill>
                  <w14:solidFill>
                    <w14:schemeClr w14:val="tx1"/>
                  </w14:solidFill>
                </w14:textFill>
              </w:rPr>
            </w:pPr>
          </w:p>
        </w:tc>
        <w:tc>
          <w:tcPr>
            <w:tcW w:w="856" w:type="dxa"/>
            <w:tcBorders>
              <w:top w:val="outset" w:color="auto" w:sz="6" w:space="0"/>
              <w:left w:val="outset" w:color="auto" w:sz="6" w:space="0"/>
              <w:right w:val="outset" w:color="auto" w:sz="6" w:space="0"/>
            </w:tcBorders>
            <w:vAlign w:val="center"/>
          </w:tcPr>
          <w:p w14:paraId="36F433D5">
            <w:pPr>
              <w:pStyle w:val="145"/>
              <w:pageBreakBefore w:val="0"/>
              <w:wordWrap/>
              <w:topLinePunct w:val="0"/>
              <w:bidi w:val="0"/>
              <w:spacing w:line="560" w:lineRule="exact"/>
              <w:rPr>
                <w:rFonts w:cs="宋体" w:asciiTheme="minorEastAsia" w:hAnsiTheme="minorEastAsia" w:eastAsiaTheme="minorEastAsia"/>
                <w:color w:val="000000" w:themeColor="text1"/>
                <w:sz w:val="28"/>
                <w:szCs w:val="28"/>
                <w:highlight w:val="none"/>
                <w14:textFill>
                  <w14:solidFill>
                    <w14:schemeClr w14:val="tx1"/>
                  </w14:solidFill>
                </w14:textFill>
              </w:rPr>
            </w:pPr>
          </w:p>
        </w:tc>
      </w:tr>
      <w:tr w14:paraId="5B1DBCD8">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23" w:hRule="atLeast"/>
        </w:trPr>
        <w:tc>
          <w:tcPr>
            <w:tcW w:w="430" w:type="dxa"/>
            <w:vMerge w:val="continue"/>
            <w:tcBorders>
              <w:left w:val="outset" w:color="auto" w:sz="6" w:space="0"/>
              <w:right w:val="single" w:color="auto" w:sz="4" w:space="0"/>
            </w:tcBorders>
            <w:vAlign w:val="center"/>
          </w:tcPr>
          <w:p w14:paraId="5C1D3EBC">
            <w:pPr>
              <w:pStyle w:val="145"/>
              <w:pageBreakBefore w:val="0"/>
              <w:wordWrap/>
              <w:topLinePunct w:val="0"/>
              <w:bidi w:val="0"/>
              <w:spacing w:line="560" w:lineRule="exact"/>
              <w:rPr>
                <w:rFonts w:cs="宋体" w:asciiTheme="minorEastAsia" w:hAnsiTheme="minorEastAsia" w:eastAsiaTheme="minorEastAsia"/>
                <w:color w:val="000000" w:themeColor="text1"/>
                <w:sz w:val="28"/>
                <w:szCs w:val="28"/>
                <w:highlight w:val="none"/>
                <w14:textFill>
                  <w14:solidFill>
                    <w14:schemeClr w14:val="tx1"/>
                  </w14:solidFill>
                </w14:textFill>
              </w:rPr>
            </w:pPr>
          </w:p>
        </w:tc>
        <w:tc>
          <w:tcPr>
            <w:tcW w:w="495" w:type="dxa"/>
            <w:vMerge w:val="continue"/>
            <w:tcBorders>
              <w:top w:val="single" w:color="auto" w:sz="4" w:space="0"/>
              <w:left w:val="single" w:color="auto" w:sz="4" w:space="0"/>
              <w:bottom w:val="single" w:color="auto" w:sz="4" w:space="0"/>
              <w:right w:val="single" w:color="auto" w:sz="4" w:space="0"/>
            </w:tcBorders>
            <w:vAlign w:val="center"/>
          </w:tcPr>
          <w:p w14:paraId="03279FB8">
            <w:pPr>
              <w:pStyle w:val="145"/>
              <w:pageBreakBefore w:val="0"/>
              <w:wordWrap/>
              <w:topLinePunct w:val="0"/>
              <w:bidi w:val="0"/>
              <w:spacing w:line="560" w:lineRule="exact"/>
              <w:rPr>
                <w:rFonts w:cs="宋体" w:asciiTheme="minorEastAsia" w:hAnsiTheme="minorEastAsia" w:eastAsiaTheme="minorEastAsia"/>
                <w:color w:val="000000" w:themeColor="text1"/>
                <w:sz w:val="28"/>
                <w:szCs w:val="28"/>
                <w:highlight w:val="none"/>
                <w14:textFill>
                  <w14:solidFill>
                    <w14:schemeClr w14:val="tx1"/>
                  </w14:solidFill>
                </w14:textFill>
              </w:rPr>
            </w:pPr>
          </w:p>
        </w:tc>
        <w:tc>
          <w:tcPr>
            <w:tcW w:w="1852" w:type="dxa"/>
            <w:tcBorders>
              <w:top w:val="outset" w:color="auto" w:sz="6" w:space="0"/>
              <w:left w:val="single" w:color="auto" w:sz="4" w:space="0"/>
              <w:right w:val="outset" w:color="auto" w:sz="6" w:space="0"/>
            </w:tcBorders>
            <w:vAlign w:val="center"/>
          </w:tcPr>
          <w:p w14:paraId="0BFC77E4">
            <w:pPr>
              <w:pStyle w:val="145"/>
              <w:pageBreakBefore w:val="0"/>
              <w:wordWrap/>
              <w:topLinePunct w:val="0"/>
              <w:bidi w:val="0"/>
              <w:adjustRightInd w:val="0"/>
              <w:snapToGrid w:val="0"/>
              <w:spacing w:line="560" w:lineRule="exact"/>
              <w:jc w:val="center"/>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报价唯一</w:t>
            </w:r>
          </w:p>
        </w:tc>
        <w:tc>
          <w:tcPr>
            <w:tcW w:w="5020" w:type="dxa"/>
            <w:tcBorders>
              <w:top w:val="outset" w:color="auto" w:sz="6" w:space="0"/>
              <w:left w:val="outset" w:color="auto" w:sz="6" w:space="0"/>
              <w:right w:val="outset" w:color="auto" w:sz="6" w:space="0"/>
            </w:tcBorders>
            <w:vAlign w:val="center"/>
          </w:tcPr>
          <w:p w14:paraId="042195A4">
            <w:pPr>
              <w:pStyle w:val="145"/>
              <w:pageBreakBefore w:val="0"/>
              <w:wordWrap/>
              <w:topLinePunct w:val="0"/>
              <w:bidi w:val="0"/>
              <w:adjustRightInd w:val="0"/>
              <w:snapToGrid w:val="0"/>
              <w:spacing w:line="560" w:lineRule="exact"/>
              <w:jc w:val="center"/>
              <w:rPr>
                <w:rFonts w:hint="eastAsia" w:cs="宋体" w:asciiTheme="minorEastAsia" w:hAnsiTheme="minorEastAsia" w:eastAsiaTheme="minorEastAsia"/>
                <w:color w:val="000000" w:themeColor="text1"/>
                <w:sz w:val="28"/>
                <w:szCs w:val="28"/>
                <w:highlight w:val="none"/>
                <w:lang w:eastAsia="zh-CN"/>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只有一个有效报价且未超过</w:t>
            </w:r>
            <w:r>
              <w:rPr>
                <w:rFonts w:hint="eastAsia" w:cs="宋体" w:asciiTheme="minorEastAsia" w:hAnsiTheme="minorEastAsia" w:eastAsiaTheme="minorEastAsia"/>
                <w:color w:val="000000" w:themeColor="text1"/>
                <w:sz w:val="28"/>
                <w:szCs w:val="28"/>
                <w:highlight w:val="none"/>
                <w:lang w:eastAsia="zh-CN"/>
                <w14:textFill>
                  <w14:solidFill>
                    <w14:schemeClr w14:val="tx1"/>
                  </w14:solidFill>
                </w14:textFill>
              </w:rPr>
              <w:t>最高限价</w:t>
            </w:r>
          </w:p>
        </w:tc>
        <w:tc>
          <w:tcPr>
            <w:tcW w:w="879" w:type="dxa"/>
            <w:tcBorders>
              <w:top w:val="outset" w:color="auto" w:sz="6" w:space="0"/>
              <w:left w:val="outset" w:color="auto" w:sz="6" w:space="0"/>
              <w:right w:val="outset" w:color="auto" w:sz="6" w:space="0"/>
            </w:tcBorders>
            <w:vAlign w:val="center"/>
          </w:tcPr>
          <w:p w14:paraId="70907DBB">
            <w:pPr>
              <w:pStyle w:val="145"/>
              <w:pageBreakBefore w:val="0"/>
              <w:wordWrap/>
              <w:topLinePunct w:val="0"/>
              <w:bidi w:val="0"/>
              <w:spacing w:line="560" w:lineRule="exact"/>
              <w:rPr>
                <w:rFonts w:cs="宋体" w:asciiTheme="minorEastAsia" w:hAnsiTheme="minorEastAsia" w:eastAsiaTheme="minorEastAsia"/>
                <w:color w:val="000000" w:themeColor="text1"/>
                <w:sz w:val="28"/>
                <w:szCs w:val="28"/>
                <w:highlight w:val="none"/>
                <w14:textFill>
                  <w14:solidFill>
                    <w14:schemeClr w14:val="tx1"/>
                  </w14:solidFill>
                </w14:textFill>
              </w:rPr>
            </w:pPr>
          </w:p>
        </w:tc>
        <w:tc>
          <w:tcPr>
            <w:tcW w:w="856" w:type="dxa"/>
            <w:tcBorders>
              <w:top w:val="outset" w:color="auto" w:sz="6" w:space="0"/>
              <w:left w:val="outset" w:color="auto" w:sz="6" w:space="0"/>
              <w:right w:val="outset" w:color="auto" w:sz="6" w:space="0"/>
            </w:tcBorders>
            <w:vAlign w:val="center"/>
          </w:tcPr>
          <w:p w14:paraId="721C9ED2">
            <w:pPr>
              <w:pStyle w:val="145"/>
              <w:pageBreakBefore w:val="0"/>
              <w:wordWrap/>
              <w:topLinePunct w:val="0"/>
              <w:bidi w:val="0"/>
              <w:spacing w:line="560" w:lineRule="exact"/>
              <w:rPr>
                <w:rFonts w:cs="宋体" w:asciiTheme="minorEastAsia" w:hAnsiTheme="minorEastAsia" w:eastAsiaTheme="minorEastAsia"/>
                <w:color w:val="000000" w:themeColor="text1"/>
                <w:sz w:val="28"/>
                <w:szCs w:val="28"/>
                <w:highlight w:val="none"/>
                <w14:textFill>
                  <w14:solidFill>
                    <w14:schemeClr w14:val="tx1"/>
                  </w14:solidFill>
                </w14:textFill>
              </w:rPr>
            </w:pPr>
          </w:p>
        </w:tc>
      </w:tr>
      <w:tr w14:paraId="36DB58DD">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23" w:hRule="atLeast"/>
        </w:trPr>
        <w:tc>
          <w:tcPr>
            <w:tcW w:w="430" w:type="dxa"/>
            <w:vMerge w:val="continue"/>
            <w:tcBorders>
              <w:left w:val="outset" w:color="auto" w:sz="6" w:space="0"/>
              <w:right w:val="single" w:color="auto" w:sz="4" w:space="0"/>
            </w:tcBorders>
            <w:vAlign w:val="center"/>
          </w:tcPr>
          <w:p w14:paraId="298159CE">
            <w:pPr>
              <w:pStyle w:val="145"/>
              <w:pageBreakBefore w:val="0"/>
              <w:wordWrap/>
              <w:topLinePunct w:val="0"/>
              <w:bidi w:val="0"/>
              <w:spacing w:line="560" w:lineRule="exact"/>
              <w:rPr>
                <w:rFonts w:cs="宋体" w:asciiTheme="minorEastAsia" w:hAnsiTheme="minorEastAsia" w:eastAsiaTheme="minorEastAsia"/>
                <w:color w:val="000000" w:themeColor="text1"/>
                <w:sz w:val="28"/>
                <w:szCs w:val="28"/>
                <w:highlight w:val="none"/>
                <w14:textFill>
                  <w14:solidFill>
                    <w14:schemeClr w14:val="tx1"/>
                  </w14:solidFill>
                </w14:textFill>
              </w:rPr>
            </w:pPr>
          </w:p>
        </w:tc>
        <w:tc>
          <w:tcPr>
            <w:tcW w:w="495" w:type="dxa"/>
            <w:vMerge w:val="continue"/>
            <w:tcBorders>
              <w:top w:val="single" w:color="auto" w:sz="4" w:space="0"/>
              <w:left w:val="single" w:color="auto" w:sz="4" w:space="0"/>
              <w:bottom w:val="single" w:color="auto" w:sz="4" w:space="0"/>
              <w:right w:val="single" w:color="auto" w:sz="4" w:space="0"/>
            </w:tcBorders>
            <w:vAlign w:val="center"/>
          </w:tcPr>
          <w:p w14:paraId="099C532E">
            <w:pPr>
              <w:pStyle w:val="145"/>
              <w:pageBreakBefore w:val="0"/>
              <w:wordWrap/>
              <w:topLinePunct w:val="0"/>
              <w:bidi w:val="0"/>
              <w:spacing w:line="560" w:lineRule="exact"/>
              <w:rPr>
                <w:rFonts w:cs="宋体" w:asciiTheme="minorEastAsia" w:hAnsiTheme="minorEastAsia" w:eastAsiaTheme="minorEastAsia"/>
                <w:color w:val="000000" w:themeColor="text1"/>
                <w:sz w:val="28"/>
                <w:szCs w:val="28"/>
                <w:highlight w:val="none"/>
                <w14:textFill>
                  <w14:solidFill>
                    <w14:schemeClr w14:val="tx1"/>
                  </w14:solidFill>
                </w14:textFill>
              </w:rPr>
            </w:pPr>
          </w:p>
        </w:tc>
        <w:tc>
          <w:tcPr>
            <w:tcW w:w="1852" w:type="dxa"/>
            <w:tcBorders>
              <w:top w:val="outset" w:color="auto" w:sz="6" w:space="0"/>
              <w:left w:val="single" w:color="auto" w:sz="4" w:space="0"/>
              <w:bottom w:val="outset" w:color="auto" w:sz="6" w:space="0"/>
              <w:right w:val="outset" w:color="auto" w:sz="6" w:space="0"/>
            </w:tcBorders>
            <w:vAlign w:val="center"/>
          </w:tcPr>
          <w:p w14:paraId="57FA0540">
            <w:pPr>
              <w:pStyle w:val="145"/>
              <w:pageBreakBefore w:val="0"/>
              <w:wordWrap/>
              <w:topLinePunct w:val="0"/>
              <w:bidi w:val="0"/>
              <w:adjustRightInd w:val="0"/>
              <w:snapToGrid w:val="0"/>
              <w:spacing w:line="560" w:lineRule="exact"/>
              <w:jc w:val="center"/>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商务要求</w:t>
            </w:r>
          </w:p>
        </w:tc>
        <w:tc>
          <w:tcPr>
            <w:tcW w:w="5020" w:type="dxa"/>
            <w:tcBorders>
              <w:top w:val="outset" w:color="auto" w:sz="6" w:space="0"/>
              <w:left w:val="outset" w:color="auto" w:sz="6" w:space="0"/>
              <w:bottom w:val="outset" w:color="auto" w:sz="6" w:space="0"/>
              <w:right w:val="outset" w:color="auto" w:sz="6" w:space="0"/>
            </w:tcBorders>
            <w:vAlign w:val="center"/>
          </w:tcPr>
          <w:p w14:paraId="1BFE3934">
            <w:pPr>
              <w:pStyle w:val="145"/>
              <w:pageBreakBefore w:val="0"/>
              <w:wordWrap/>
              <w:topLinePunct w:val="0"/>
              <w:bidi w:val="0"/>
              <w:adjustRightInd w:val="0"/>
              <w:snapToGrid w:val="0"/>
              <w:spacing w:line="560" w:lineRule="exact"/>
              <w:jc w:val="center"/>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响应文件未附有采购人不能接受或不符合招标文件的商务要求</w:t>
            </w:r>
          </w:p>
        </w:tc>
        <w:tc>
          <w:tcPr>
            <w:tcW w:w="879" w:type="dxa"/>
            <w:tcBorders>
              <w:top w:val="outset" w:color="auto" w:sz="6" w:space="0"/>
              <w:left w:val="outset" w:color="auto" w:sz="6" w:space="0"/>
              <w:bottom w:val="outset" w:color="auto" w:sz="6" w:space="0"/>
              <w:right w:val="outset" w:color="auto" w:sz="6" w:space="0"/>
            </w:tcBorders>
            <w:vAlign w:val="center"/>
          </w:tcPr>
          <w:p w14:paraId="3F9D6217">
            <w:pPr>
              <w:pStyle w:val="145"/>
              <w:pageBreakBefore w:val="0"/>
              <w:wordWrap/>
              <w:topLinePunct w:val="0"/>
              <w:bidi w:val="0"/>
              <w:spacing w:line="560" w:lineRule="exact"/>
              <w:rPr>
                <w:rFonts w:cs="宋体" w:asciiTheme="minorEastAsia" w:hAnsiTheme="minorEastAsia" w:eastAsiaTheme="minorEastAsia"/>
                <w:color w:val="000000" w:themeColor="text1"/>
                <w:sz w:val="28"/>
                <w:szCs w:val="28"/>
                <w:highlight w:val="none"/>
                <w14:textFill>
                  <w14:solidFill>
                    <w14:schemeClr w14:val="tx1"/>
                  </w14:solidFill>
                </w14:textFill>
              </w:rPr>
            </w:pPr>
          </w:p>
        </w:tc>
        <w:tc>
          <w:tcPr>
            <w:tcW w:w="856" w:type="dxa"/>
            <w:tcBorders>
              <w:top w:val="outset" w:color="auto" w:sz="6" w:space="0"/>
              <w:left w:val="outset" w:color="auto" w:sz="6" w:space="0"/>
              <w:bottom w:val="outset" w:color="auto" w:sz="6" w:space="0"/>
              <w:right w:val="outset" w:color="auto" w:sz="6" w:space="0"/>
            </w:tcBorders>
            <w:vAlign w:val="center"/>
          </w:tcPr>
          <w:p w14:paraId="235A15F2">
            <w:pPr>
              <w:pStyle w:val="145"/>
              <w:pageBreakBefore w:val="0"/>
              <w:wordWrap/>
              <w:topLinePunct w:val="0"/>
              <w:bidi w:val="0"/>
              <w:spacing w:line="560" w:lineRule="exact"/>
              <w:rPr>
                <w:rFonts w:cs="宋体" w:asciiTheme="minorEastAsia" w:hAnsiTheme="minorEastAsia" w:eastAsiaTheme="minorEastAsia"/>
                <w:color w:val="000000" w:themeColor="text1"/>
                <w:sz w:val="28"/>
                <w:szCs w:val="28"/>
                <w:highlight w:val="none"/>
                <w14:textFill>
                  <w14:solidFill>
                    <w14:schemeClr w14:val="tx1"/>
                  </w14:solidFill>
                </w14:textFill>
              </w:rPr>
            </w:pPr>
          </w:p>
        </w:tc>
      </w:tr>
      <w:tr w14:paraId="71B4056A">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23" w:hRule="atLeast"/>
        </w:trPr>
        <w:tc>
          <w:tcPr>
            <w:tcW w:w="430" w:type="dxa"/>
            <w:vMerge w:val="continue"/>
            <w:tcBorders>
              <w:left w:val="outset" w:color="auto" w:sz="6" w:space="0"/>
              <w:bottom w:val="outset" w:color="auto" w:sz="6" w:space="0"/>
              <w:right w:val="single" w:color="auto" w:sz="4" w:space="0"/>
            </w:tcBorders>
            <w:vAlign w:val="center"/>
          </w:tcPr>
          <w:p w14:paraId="2D66E32E">
            <w:pPr>
              <w:pStyle w:val="145"/>
              <w:pageBreakBefore w:val="0"/>
              <w:wordWrap/>
              <w:topLinePunct w:val="0"/>
              <w:bidi w:val="0"/>
              <w:spacing w:line="560" w:lineRule="exact"/>
              <w:rPr>
                <w:rFonts w:cs="宋体" w:asciiTheme="minorEastAsia" w:hAnsiTheme="minorEastAsia" w:eastAsiaTheme="minorEastAsia"/>
                <w:color w:val="000000" w:themeColor="text1"/>
                <w:sz w:val="28"/>
                <w:szCs w:val="28"/>
                <w:highlight w:val="none"/>
                <w14:textFill>
                  <w14:solidFill>
                    <w14:schemeClr w14:val="tx1"/>
                  </w14:solidFill>
                </w14:textFill>
              </w:rPr>
            </w:pPr>
          </w:p>
        </w:tc>
        <w:tc>
          <w:tcPr>
            <w:tcW w:w="495" w:type="dxa"/>
            <w:vMerge w:val="continue"/>
            <w:tcBorders>
              <w:top w:val="single" w:color="auto" w:sz="4" w:space="0"/>
              <w:left w:val="single" w:color="auto" w:sz="4" w:space="0"/>
              <w:bottom w:val="single" w:color="auto" w:sz="4" w:space="0"/>
              <w:right w:val="single" w:color="auto" w:sz="4" w:space="0"/>
            </w:tcBorders>
            <w:vAlign w:val="center"/>
          </w:tcPr>
          <w:p w14:paraId="2A201CB4">
            <w:pPr>
              <w:pStyle w:val="145"/>
              <w:pageBreakBefore w:val="0"/>
              <w:wordWrap/>
              <w:topLinePunct w:val="0"/>
              <w:bidi w:val="0"/>
              <w:spacing w:line="560" w:lineRule="exact"/>
              <w:rPr>
                <w:rFonts w:cs="宋体" w:asciiTheme="minorEastAsia" w:hAnsiTheme="minorEastAsia" w:eastAsiaTheme="minorEastAsia"/>
                <w:color w:val="000000" w:themeColor="text1"/>
                <w:sz w:val="28"/>
                <w:szCs w:val="28"/>
                <w:highlight w:val="none"/>
                <w14:textFill>
                  <w14:solidFill>
                    <w14:schemeClr w14:val="tx1"/>
                  </w14:solidFill>
                </w14:textFill>
              </w:rPr>
            </w:pPr>
          </w:p>
        </w:tc>
        <w:tc>
          <w:tcPr>
            <w:tcW w:w="1852" w:type="dxa"/>
            <w:tcBorders>
              <w:top w:val="outset" w:color="auto" w:sz="6" w:space="0"/>
              <w:left w:val="single" w:color="auto" w:sz="4" w:space="0"/>
              <w:bottom w:val="outset" w:color="auto" w:sz="6" w:space="0"/>
              <w:right w:val="outset" w:color="auto" w:sz="6" w:space="0"/>
            </w:tcBorders>
            <w:vAlign w:val="center"/>
          </w:tcPr>
          <w:p w14:paraId="6F3D6B8D">
            <w:pPr>
              <w:pStyle w:val="145"/>
              <w:pageBreakBefore w:val="0"/>
              <w:wordWrap/>
              <w:topLinePunct w:val="0"/>
              <w:bidi w:val="0"/>
              <w:adjustRightInd w:val="0"/>
              <w:snapToGrid w:val="0"/>
              <w:spacing w:line="560" w:lineRule="exact"/>
              <w:jc w:val="center"/>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lang w:val="en-US" w:eastAsia="zh-CN"/>
                <w14:textFill>
                  <w14:solidFill>
                    <w14:schemeClr w14:val="tx1"/>
                  </w14:solidFill>
                </w14:textFill>
              </w:rPr>
              <w:t>技术</w:t>
            </w:r>
            <w:r>
              <w:rPr>
                <w:rFonts w:hint="eastAsia" w:cs="宋体" w:asciiTheme="minorEastAsia" w:hAnsiTheme="minorEastAsia" w:eastAsiaTheme="minorEastAsia"/>
                <w:color w:val="000000" w:themeColor="text1"/>
                <w:sz w:val="28"/>
                <w:szCs w:val="28"/>
                <w:highlight w:val="none"/>
                <w14:textFill>
                  <w14:solidFill>
                    <w14:schemeClr w14:val="tx1"/>
                  </w14:solidFill>
                </w14:textFill>
              </w:rPr>
              <w:t>要求</w:t>
            </w:r>
          </w:p>
        </w:tc>
        <w:tc>
          <w:tcPr>
            <w:tcW w:w="5020" w:type="dxa"/>
            <w:tcBorders>
              <w:top w:val="outset" w:color="auto" w:sz="6" w:space="0"/>
              <w:left w:val="outset" w:color="auto" w:sz="6" w:space="0"/>
              <w:bottom w:val="outset" w:color="auto" w:sz="6" w:space="0"/>
              <w:right w:val="outset" w:color="auto" w:sz="6" w:space="0"/>
            </w:tcBorders>
            <w:vAlign w:val="center"/>
          </w:tcPr>
          <w:p w14:paraId="54F80D9D">
            <w:pPr>
              <w:pStyle w:val="145"/>
              <w:pageBreakBefore w:val="0"/>
              <w:wordWrap/>
              <w:topLinePunct w:val="0"/>
              <w:bidi w:val="0"/>
              <w:adjustRightInd w:val="0"/>
              <w:snapToGrid w:val="0"/>
              <w:spacing w:line="560" w:lineRule="exact"/>
              <w:jc w:val="center"/>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响应文件未附有采购人不能接受或不符合招标文件的</w:t>
            </w:r>
            <w:r>
              <w:rPr>
                <w:rFonts w:hint="eastAsia" w:cs="宋体" w:asciiTheme="minorEastAsia" w:hAnsiTheme="minorEastAsia" w:eastAsiaTheme="minorEastAsia"/>
                <w:color w:val="000000" w:themeColor="text1"/>
                <w:sz w:val="28"/>
                <w:szCs w:val="28"/>
                <w:highlight w:val="none"/>
                <w:lang w:val="en-US" w:eastAsia="zh-CN"/>
                <w14:textFill>
                  <w14:solidFill>
                    <w14:schemeClr w14:val="tx1"/>
                  </w14:solidFill>
                </w14:textFill>
              </w:rPr>
              <w:t>技术</w:t>
            </w:r>
            <w:r>
              <w:rPr>
                <w:rFonts w:hint="eastAsia" w:cs="宋体" w:asciiTheme="minorEastAsia" w:hAnsiTheme="minorEastAsia" w:eastAsiaTheme="minorEastAsia"/>
                <w:color w:val="000000" w:themeColor="text1"/>
                <w:sz w:val="28"/>
                <w:szCs w:val="28"/>
                <w:highlight w:val="none"/>
                <w14:textFill>
                  <w14:solidFill>
                    <w14:schemeClr w14:val="tx1"/>
                  </w14:solidFill>
                </w14:textFill>
              </w:rPr>
              <w:t>要求</w:t>
            </w:r>
          </w:p>
        </w:tc>
        <w:tc>
          <w:tcPr>
            <w:tcW w:w="879" w:type="dxa"/>
            <w:tcBorders>
              <w:top w:val="outset" w:color="auto" w:sz="6" w:space="0"/>
              <w:left w:val="outset" w:color="auto" w:sz="6" w:space="0"/>
              <w:bottom w:val="outset" w:color="auto" w:sz="6" w:space="0"/>
              <w:right w:val="outset" w:color="auto" w:sz="6" w:space="0"/>
            </w:tcBorders>
            <w:vAlign w:val="center"/>
          </w:tcPr>
          <w:p w14:paraId="1B6FFFE9">
            <w:pPr>
              <w:pStyle w:val="145"/>
              <w:pageBreakBefore w:val="0"/>
              <w:wordWrap/>
              <w:topLinePunct w:val="0"/>
              <w:bidi w:val="0"/>
              <w:spacing w:line="560" w:lineRule="exact"/>
              <w:rPr>
                <w:rFonts w:cs="宋体" w:asciiTheme="minorEastAsia" w:hAnsiTheme="minorEastAsia" w:eastAsiaTheme="minorEastAsia"/>
                <w:color w:val="000000" w:themeColor="text1"/>
                <w:sz w:val="28"/>
                <w:szCs w:val="28"/>
                <w:highlight w:val="none"/>
                <w14:textFill>
                  <w14:solidFill>
                    <w14:schemeClr w14:val="tx1"/>
                  </w14:solidFill>
                </w14:textFill>
              </w:rPr>
            </w:pPr>
          </w:p>
        </w:tc>
        <w:tc>
          <w:tcPr>
            <w:tcW w:w="856" w:type="dxa"/>
            <w:tcBorders>
              <w:top w:val="outset" w:color="auto" w:sz="6" w:space="0"/>
              <w:left w:val="outset" w:color="auto" w:sz="6" w:space="0"/>
              <w:bottom w:val="outset" w:color="auto" w:sz="6" w:space="0"/>
              <w:right w:val="outset" w:color="auto" w:sz="6" w:space="0"/>
            </w:tcBorders>
            <w:vAlign w:val="center"/>
          </w:tcPr>
          <w:p w14:paraId="4712075E">
            <w:pPr>
              <w:pStyle w:val="145"/>
              <w:pageBreakBefore w:val="0"/>
              <w:wordWrap/>
              <w:topLinePunct w:val="0"/>
              <w:bidi w:val="0"/>
              <w:spacing w:line="560" w:lineRule="exact"/>
              <w:rPr>
                <w:rFonts w:cs="宋体" w:asciiTheme="minorEastAsia" w:hAnsiTheme="minorEastAsia" w:eastAsiaTheme="minorEastAsia"/>
                <w:color w:val="000000" w:themeColor="text1"/>
                <w:sz w:val="28"/>
                <w:szCs w:val="28"/>
                <w:highlight w:val="none"/>
                <w14:textFill>
                  <w14:solidFill>
                    <w14:schemeClr w14:val="tx1"/>
                  </w14:solidFill>
                </w14:textFill>
              </w:rPr>
            </w:pPr>
          </w:p>
        </w:tc>
      </w:tr>
    </w:tbl>
    <w:p w14:paraId="564F0B70">
      <w:pPr>
        <w:pageBreakBefore w:val="0"/>
        <w:widowControl/>
        <w:wordWrap/>
        <w:topLinePunct w:val="0"/>
        <w:bidi w:val="0"/>
        <w:spacing w:line="560" w:lineRule="exact"/>
        <w:jc w:val="left"/>
        <w:rPr>
          <w:rFonts w:hAnsi="宋体"/>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br w:type="page"/>
      </w:r>
    </w:p>
    <w:p w14:paraId="2B4450E8">
      <w:pPr>
        <w:pStyle w:val="4"/>
        <w:keepNext w:val="0"/>
        <w:keepLines w:val="0"/>
        <w:pageBreakBefore w:val="0"/>
        <w:kinsoku/>
        <w:wordWrap/>
        <w:overflowPunct/>
        <w:topLinePunct w:val="0"/>
        <w:autoSpaceDE/>
        <w:autoSpaceDN/>
        <w:bidi w:val="0"/>
        <w:adjustRightInd/>
        <w:snapToGrid/>
        <w:spacing w:line="560" w:lineRule="exact"/>
        <w:jc w:val="center"/>
        <w:textAlignment w:val="auto"/>
        <w:rPr>
          <w:rFonts w:hint="default"/>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第三节</w:t>
      </w:r>
      <w:r>
        <w:rPr>
          <w:color w:val="000000" w:themeColor="text1"/>
          <w:sz w:val="28"/>
          <w:szCs w:val="28"/>
          <w:highlight w:val="none"/>
          <w14:textFill>
            <w14:solidFill>
              <w14:schemeClr w14:val="tx1"/>
            </w14:solidFill>
          </w14:textFill>
        </w:rPr>
        <w:t xml:space="preserve"> </w:t>
      </w:r>
      <w:r>
        <w:rPr>
          <w:rFonts w:hint="eastAsia"/>
          <w:color w:val="000000" w:themeColor="text1"/>
          <w:sz w:val="28"/>
          <w:szCs w:val="28"/>
          <w:highlight w:val="none"/>
          <w14:textFill>
            <w14:solidFill>
              <w14:schemeClr w14:val="tx1"/>
            </w14:solidFill>
          </w14:textFill>
        </w:rPr>
        <w:t>评分标准</w:t>
      </w:r>
      <w:r>
        <w:rPr>
          <w:rFonts w:hint="eastAsia" w:ascii="宋体" w:hAnsi="宋体" w:eastAsia="宋体" w:cs="宋体"/>
          <w:color w:val="000000" w:themeColor="text1"/>
          <w:sz w:val="28"/>
          <w:szCs w:val="28"/>
          <w:highlight w:val="none"/>
          <w14:textFill>
            <w14:solidFill>
              <w14:schemeClr w14:val="tx1"/>
            </w14:solidFill>
          </w14:textFill>
        </w:rPr>
        <w:t>（标项</w:t>
      </w:r>
      <w:r>
        <w:rPr>
          <w:rFonts w:hint="eastAsia" w:ascii="宋体" w:hAnsi="宋体" w:cs="宋体"/>
          <w:color w:val="000000" w:themeColor="text1"/>
          <w:sz w:val="28"/>
          <w:szCs w:val="28"/>
          <w:highlight w:val="none"/>
          <w:lang w:val="en-US" w:eastAsia="zh-CN"/>
          <w14:textFill>
            <w14:solidFill>
              <w14:schemeClr w14:val="tx1"/>
            </w14:solidFill>
          </w14:textFill>
        </w:rPr>
        <w:t>3</w:t>
      </w:r>
      <w:r>
        <w:rPr>
          <w:rFonts w:hint="eastAsia" w:ascii="宋体" w:hAnsi="宋体" w:eastAsia="宋体" w:cs="宋体"/>
          <w:color w:val="000000" w:themeColor="text1"/>
          <w:sz w:val="28"/>
          <w:szCs w:val="28"/>
          <w:highlight w:val="none"/>
          <w14:textFill>
            <w14:solidFill>
              <w14:schemeClr w14:val="tx1"/>
            </w14:solidFill>
          </w14:textFill>
        </w:rPr>
        <w:t>）</w:t>
      </w:r>
    </w:p>
    <w:p w14:paraId="305C2998">
      <w:pPr>
        <w:pStyle w:val="17"/>
        <w:keepNext w:val="0"/>
        <w:keepLines w:val="0"/>
        <w:pageBreakBefore w:val="0"/>
        <w:kinsoku/>
        <w:wordWrap/>
        <w:overflowPunct/>
        <w:topLinePunct w:val="0"/>
        <w:autoSpaceDE/>
        <w:autoSpaceDN/>
        <w:bidi w:val="0"/>
        <w:adjustRightInd/>
        <w:snapToGrid/>
        <w:spacing w:line="560" w:lineRule="exact"/>
        <w:textAlignment w:val="auto"/>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一、综合评分法</w:t>
      </w:r>
    </w:p>
    <w:p w14:paraId="774E5AC6">
      <w:pPr>
        <w:keepNext w:val="0"/>
        <w:keepLines w:val="0"/>
        <w:pageBreakBefore w:val="0"/>
        <w:kinsoku/>
        <w:wordWrap/>
        <w:overflowPunct/>
        <w:topLinePunct w:val="0"/>
        <w:autoSpaceDE/>
        <w:autoSpaceDN/>
        <w:bidi w:val="0"/>
        <w:adjustRightInd/>
        <w:snapToGrid/>
        <w:spacing w:line="560" w:lineRule="exact"/>
        <w:textAlignment w:val="auto"/>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注：1、计分方法按四舍五入取至百分位。</w:t>
      </w:r>
    </w:p>
    <w:p w14:paraId="38197547">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asciiTheme="minorEastAsia" w:hAnsiTheme="minorEastAsia" w:eastAsiaTheme="minorEastAsia"/>
          <w:bCs/>
          <w:color w:val="000000" w:themeColor="text1"/>
          <w:sz w:val="28"/>
          <w:szCs w:val="28"/>
          <w:highlight w:val="none"/>
          <w:u w:val="single"/>
          <w14:textFill>
            <w14:solidFill>
              <w14:schemeClr w14:val="tx1"/>
            </w14:solidFill>
          </w14:textFill>
        </w:rPr>
      </w:pPr>
      <w:r>
        <w:rPr>
          <w:rFonts w:hint="eastAsia" w:asciiTheme="minorEastAsia" w:hAnsiTheme="minorEastAsia" w:eastAsiaTheme="minorEastAsia"/>
          <w:bCs/>
          <w:color w:val="000000" w:themeColor="text1"/>
          <w:sz w:val="28"/>
          <w:szCs w:val="28"/>
          <w:highlight w:val="none"/>
          <w14:textFill>
            <w14:solidFill>
              <w14:schemeClr w14:val="tx1"/>
            </w14:solidFill>
          </w14:textFill>
        </w:rPr>
        <w:t>总得分=</w:t>
      </w:r>
      <w:r>
        <w:rPr>
          <w:rFonts w:hint="eastAsia" w:asciiTheme="minorEastAsia" w:hAnsiTheme="minorEastAsia" w:eastAsiaTheme="minorEastAsia"/>
          <w:bCs/>
          <w:color w:val="000000" w:themeColor="text1"/>
          <w:sz w:val="28"/>
          <w:szCs w:val="28"/>
          <w:highlight w:val="none"/>
          <w:u w:val="single"/>
          <w14:textFill>
            <w14:solidFill>
              <w14:schemeClr w14:val="tx1"/>
            </w14:solidFill>
          </w14:textFill>
        </w:rPr>
        <w:t xml:space="preserve"> 报价得分+ 商务得分+技术得分                                                           </w:t>
      </w:r>
    </w:p>
    <w:p w14:paraId="35647131">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asciiTheme="minorEastAsia" w:hAnsiTheme="minorEastAsia" w:eastAsiaTheme="minorEastAsia"/>
          <w:bCs/>
          <w:color w:val="000000" w:themeColor="text1"/>
          <w:sz w:val="28"/>
          <w:szCs w:val="28"/>
          <w:highlight w:val="none"/>
          <w14:textFill>
            <w14:solidFill>
              <w14:schemeClr w14:val="tx1"/>
            </w14:solidFill>
          </w14:textFill>
        </w:rPr>
      </w:pPr>
      <w:r>
        <w:rPr>
          <w:rFonts w:asciiTheme="minorEastAsia" w:hAnsiTheme="minorEastAsia" w:eastAsiaTheme="minorEastAsia"/>
          <w:bCs/>
          <w:color w:val="000000" w:themeColor="text1"/>
          <w:sz w:val="28"/>
          <w:szCs w:val="28"/>
          <w:highlight w:val="none"/>
          <w14:textFill>
            <w14:solidFill>
              <w14:schemeClr w14:val="tx1"/>
            </w14:solidFill>
          </w14:textFill>
        </w:rPr>
        <w:t xml:space="preserve"> </w:t>
      </w:r>
      <w:r>
        <w:rPr>
          <w:rFonts w:hint="eastAsia" w:asciiTheme="minorEastAsia" w:hAnsiTheme="minorEastAsia" w:eastAsiaTheme="minorEastAsia"/>
          <w:bCs/>
          <w:color w:val="000000" w:themeColor="text1"/>
          <w:sz w:val="28"/>
          <w:szCs w:val="28"/>
          <w:highlight w:val="none"/>
          <w14:textFill>
            <w14:solidFill>
              <w14:schemeClr w14:val="tx1"/>
            </w14:solidFill>
          </w14:textFill>
        </w:rPr>
        <w:t>标项</w:t>
      </w:r>
      <w:r>
        <w:rPr>
          <w:rFonts w:hint="eastAsia" w:asciiTheme="minorEastAsia" w:hAnsiTheme="minorEastAsia" w:eastAsiaTheme="minorEastAsia"/>
          <w:bCs/>
          <w:color w:val="000000" w:themeColor="text1"/>
          <w:sz w:val="28"/>
          <w:szCs w:val="28"/>
          <w:highlight w:val="none"/>
          <w:lang w:val="en-US" w:eastAsia="zh-CN"/>
          <w14:textFill>
            <w14:solidFill>
              <w14:schemeClr w14:val="tx1"/>
            </w14:solidFill>
          </w14:textFill>
        </w:rPr>
        <w:t>3</w:t>
      </w:r>
      <w:r>
        <w:rPr>
          <w:rFonts w:asciiTheme="minorEastAsia" w:hAnsiTheme="minorEastAsia" w:eastAsiaTheme="minorEastAsia"/>
          <w:bCs/>
          <w:color w:val="000000" w:themeColor="text1"/>
          <w:sz w:val="28"/>
          <w:szCs w:val="28"/>
          <w:highlight w:val="none"/>
          <w14:textFill>
            <w14:solidFill>
              <w14:schemeClr w14:val="tx1"/>
            </w14:solidFill>
          </w14:textFill>
        </w:rPr>
        <w:t xml:space="preserve">的评分方法 </w:t>
      </w:r>
    </w:p>
    <w:tbl>
      <w:tblPr>
        <w:tblStyle w:val="35"/>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3"/>
        <w:gridCol w:w="1500"/>
        <w:gridCol w:w="6283"/>
        <w:gridCol w:w="1088"/>
      </w:tblGrid>
      <w:tr w14:paraId="73D6A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 w:type="dxa"/>
            <w:vAlign w:val="center"/>
          </w:tcPr>
          <w:p w14:paraId="4F76645A">
            <w:pPr>
              <w:keepNext w:val="0"/>
              <w:keepLines w:val="0"/>
              <w:pageBreakBefore w:val="0"/>
              <w:kinsoku/>
              <w:wordWrap/>
              <w:overflowPunct/>
              <w:topLinePunct w:val="0"/>
              <w:autoSpaceDE/>
              <w:autoSpaceDN/>
              <w:bidi w:val="0"/>
              <w:adjustRightInd/>
              <w:snapToGrid/>
              <w:spacing w:line="560" w:lineRule="exact"/>
              <w:jc w:val="center"/>
              <w:textAlignment w:val="auto"/>
              <w:rPr>
                <w:rFonts w:asciiTheme="minorEastAsia" w:hAnsiTheme="minorEastAsia" w:eastAsiaTheme="minorEastAsia"/>
                <w:bCs/>
                <w:color w:val="000000" w:themeColor="text1"/>
                <w:kern w:val="0"/>
                <w:sz w:val="28"/>
                <w:szCs w:val="28"/>
                <w:highlight w:val="none"/>
                <w14:textFill>
                  <w14:solidFill>
                    <w14:schemeClr w14:val="tx1"/>
                  </w14:solidFill>
                </w14:textFill>
              </w:rPr>
            </w:pPr>
            <w:r>
              <w:rPr>
                <w:rFonts w:hint="eastAsia" w:asciiTheme="minorEastAsia" w:hAnsiTheme="minorEastAsia" w:eastAsiaTheme="minorEastAsia"/>
                <w:bCs/>
                <w:color w:val="000000" w:themeColor="text1"/>
                <w:kern w:val="0"/>
                <w:sz w:val="28"/>
                <w:szCs w:val="28"/>
                <w:highlight w:val="none"/>
                <w14:textFill>
                  <w14:solidFill>
                    <w14:schemeClr w14:val="tx1"/>
                  </w14:solidFill>
                </w14:textFill>
              </w:rPr>
              <w:t>序号</w:t>
            </w:r>
          </w:p>
        </w:tc>
        <w:tc>
          <w:tcPr>
            <w:tcW w:w="1500" w:type="dxa"/>
            <w:vAlign w:val="center"/>
          </w:tcPr>
          <w:p w14:paraId="0E74AEFC">
            <w:pPr>
              <w:keepNext w:val="0"/>
              <w:keepLines w:val="0"/>
              <w:pageBreakBefore w:val="0"/>
              <w:kinsoku/>
              <w:wordWrap/>
              <w:overflowPunct/>
              <w:topLinePunct w:val="0"/>
              <w:autoSpaceDE/>
              <w:autoSpaceDN/>
              <w:bidi w:val="0"/>
              <w:adjustRightInd/>
              <w:snapToGrid/>
              <w:spacing w:line="560" w:lineRule="exact"/>
              <w:jc w:val="center"/>
              <w:textAlignment w:val="auto"/>
              <w:rPr>
                <w:rFonts w:asciiTheme="minorEastAsia" w:hAnsiTheme="minorEastAsia" w:eastAsiaTheme="minorEastAsia"/>
                <w:bCs/>
                <w:color w:val="000000" w:themeColor="text1"/>
                <w:kern w:val="0"/>
                <w:sz w:val="28"/>
                <w:szCs w:val="28"/>
                <w:highlight w:val="none"/>
                <w14:textFill>
                  <w14:solidFill>
                    <w14:schemeClr w14:val="tx1"/>
                  </w14:solidFill>
                </w14:textFill>
              </w:rPr>
            </w:pPr>
            <w:r>
              <w:rPr>
                <w:rFonts w:hint="eastAsia" w:asciiTheme="minorEastAsia" w:hAnsiTheme="minorEastAsia" w:eastAsiaTheme="minorEastAsia"/>
                <w:bCs/>
                <w:color w:val="000000" w:themeColor="text1"/>
                <w:kern w:val="0"/>
                <w:sz w:val="28"/>
                <w:szCs w:val="28"/>
                <w:highlight w:val="none"/>
                <w14:textFill>
                  <w14:solidFill>
                    <w14:schemeClr w14:val="tx1"/>
                  </w14:solidFill>
                </w14:textFill>
              </w:rPr>
              <w:t>评分类型</w:t>
            </w:r>
          </w:p>
        </w:tc>
        <w:tc>
          <w:tcPr>
            <w:tcW w:w="6283" w:type="dxa"/>
            <w:vAlign w:val="center"/>
          </w:tcPr>
          <w:p w14:paraId="5C81E3CD">
            <w:pPr>
              <w:keepNext w:val="0"/>
              <w:keepLines w:val="0"/>
              <w:pageBreakBefore w:val="0"/>
              <w:kinsoku/>
              <w:wordWrap/>
              <w:overflowPunct/>
              <w:topLinePunct w:val="0"/>
              <w:autoSpaceDE/>
              <w:autoSpaceDN/>
              <w:bidi w:val="0"/>
              <w:adjustRightInd/>
              <w:snapToGrid/>
              <w:spacing w:line="560" w:lineRule="exact"/>
              <w:jc w:val="center"/>
              <w:textAlignment w:val="auto"/>
              <w:rPr>
                <w:rFonts w:asciiTheme="minorEastAsia" w:hAnsiTheme="minorEastAsia" w:eastAsiaTheme="minorEastAsia"/>
                <w:bCs/>
                <w:color w:val="000000" w:themeColor="text1"/>
                <w:kern w:val="0"/>
                <w:sz w:val="28"/>
                <w:szCs w:val="28"/>
                <w:highlight w:val="none"/>
                <w14:textFill>
                  <w14:solidFill>
                    <w14:schemeClr w14:val="tx1"/>
                  </w14:solidFill>
                </w14:textFill>
              </w:rPr>
            </w:pPr>
            <w:r>
              <w:rPr>
                <w:rFonts w:hint="eastAsia" w:asciiTheme="minorEastAsia" w:hAnsiTheme="minorEastAsia" w:eastAsiaTheme="minorEastAsia"/>
                <w:bCs/>
                <w:color w:val="000000" w:themeColor="text1"/>
                <w:kern w:val="0"/>
                <w:sz w:val="28"/>
                <w:szCs w:val="28"/>
                <w:highlight w:val="none"/>
                <w14:textFill>
                  <w14:solidFill>
                    <w14:schemeClr w14:val="tx1"/>
                  </w14:solidFill>
                </w14:textFill>
              </w:rPr>
              <w:t>评分标准</w:t>
            </w:r>
          </w:p>
        </w:tc>
        <w:tc>
          <w:tcPr>
            <w:tcW w:w="1088" w:type="dxa"/>
            <w:vAlign w:val="center"/>
          </w:tcPr>
          <w:p w14:paraId="451C10FE">
            <w:pPr>
              <w:keepNext w:val="0"/>
              <w:keepLines w:val="0"/>
              <w:pageBreakBefore w:val="0"/>
              <w:kinsoku/>
              <w:wordWrap/>
              <w:overflowPunct/>
              <w:topLinePunct w:val="0"/>
              <w:autoSpaceDE/>
              <w:autoSpaceDN/>
              <w:bidi w:val="0"/>
              <w:adjustRightInd/>
              <w:snapToGrid/>
              <w:spacing w:line="560" w:lineRule="exact"/>
              <w:jc w:val="center"/>
              <w:textAlignment w:val="auto"/>
              <w:rPr>
                <w:rFonts w:asciiTheme="minorEastAsia" w:hAnsiTheme="minorEastAsia" w:eastAsiaTheme="minorEastAsia"/>
                <w:bCs/>
                <w:color w:val="000000" w:themeColor="text1"/>
                <w:kern w:val="0"/>
                <w:sz w:val="28"/>
                <w:szCs w:val="28"/>
                <w:highlight w:val="none"/>
                <w14:textFill>
                  <w14:solidFill>
                    <w14:schemeClr w14:val="tx1"/>
                  </w14:solidFill>
                </w14:textFill>
              </w:rPr>
            </w:pPr>
            <w:r>
              <w:rPr>
                <w:rFonts w:hint="eastAsia" w:asciiTheme="minorEastAsia" w:hAnsiTheme="minorEastAsia" w:eastAsiaTheme="minorEastAsia"/>
                <w:bCs/>
                <w:color w:val="000000" w:themeColor="text1"/>
                <w:kern w:val="0"/>
                <w:sz w:val="28"/>
                <w:szCs w:val="28"/>
                <w:highlight w:val="none"/>
                <w14:textFill>
                  <w14:solidFill>
                    <w14:schemeClr w14:val="tx1"/>
                  </w14:solidFill>
                </w14:textFill>
              </w:rPr>
              <w:t>分值</w:t>
            </w:r>
          </w:p>
        </w:tc>
      </w:tr>
      <w:tr w14:paraId="3ED86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 w:type="dxa"/>
            <w:vAlign w:val="center"/>
          </w:tcPr>
          <w:p w14:paraId="1BB856B0">
            <w:pPr>
              <w:keepNext w:val="0"/>
              <w:keepLines w:val="0"/>
              <w:pageBreakBefore w:val="0"/>
              <w:kinsoku/>
              <w:wordWrap/>
              <w:overflowPunct/>
              <w:topLinePunct w:val="0"/>
              <w:autoSpaceDE/>
              <w:autoSpaceDN/>
              <w:bidi w:val="0"/>
              <w:adjustRightInd/>
              <w:snapToGrid/>
              <w:spacing w:line="560" w:lineRule="exact"/>
              <w:jc w:val="center"/>
              <w:textAlignment w:val="auto"/>
              <w:rPr>
                <w:rFonts w:asciiTheme="minorEastAsia" w:hAnsiTheme="minorEastAsia" w:eastAsiaTheme="minorEastAsia"/>
                <w:bCs/>
                <w:color w:val="000000" w:themeColor="text1"/>
                <w:kern w:val="0"/>
                <w:sz w:val="28"/>
                <w:szCs w:val="28"/>
                <w:highlight w:val="none"/>
                <w14:textFill>
                  <w14:solidFill>
                    <w14:schemeClr w14:val="tx1"/>
                  </w14:solidFill>
                </w14:textFill>
              </w:rPr>
            </w:pPr>
            <w:r>
              <w:rPr>
                <w:rFonts w:asciiTheme="minorEastAsia" w:hAnsiTheme="minorEastAsia" w:eastAsiaTheme="minorEastAsia"/>
                <w:bCs/>
                <w:color w:val="000000" w:themeColor="text1"/>
                <w:kern w:val="0"/>
                <w:sz w:val="28"/>
                <w:szCs w:val="28"/>
                <w:highlight w:val="none"/>
                <w14:textFill>
                  <w14:solidFill>
                    <w14:schemeClr w14:val="tx1"/>
                  </w14:solidFill>
                </w14:textFill>
              </w:rPr>
              <w:t>1</w:t>
            </w:r>
          </w:p>
        </w:tc>
        <w:tc>
          <w:tcPr>
            <w:tcW w:w="1500" w:type="dxa"/>
            <w:vAlign w:val="center"/>
          </w:tcPr>
          <w:p w14:paraId="2958AE24">
            <w:pPr>
              <w:keepNext w:val="0"/>
              <w:keepLines w:val="0"/>
              <w:pageBreakBefore w:val="0"/>
              <w:kinsoku/>
              <w:wordWrap/>
              <w:overflowPunct/>
              <w:topLinePunct w:val="0"/>
              <w:autoSpaceDE/>
              <w:autoSpaceDN/>
              <w:bidi w:val="0"/>
              <w:adjustRightInd/>
              <w:snapToGrid/>
              <w:spacing w:line="560" w:lineRule="exact"/>
              <w:jc w:val="center"/>
              <w:textAlignment w:val="auto"/>
              <w:rPr>
                <w:rFonts w:asciiTheme="minorEastAsia" w:hAnsiTheme="minorEastAsia" w:eastAsiaTheme="minorEastAsia"/>
                <w:bCs/>
                <w:color w:val="000000" w:themeColor="text1"/>
                <w:kern w:val="0"/>
                <w:sz w:val="28"/>
                <w:szCs w:val="28"/>
                <w:highlight w:val="none"/>
                <w14:textFill>
                  <w14:solidFill>
                    <w14:schemeClr w14:val="tx1"/>
                  </w14:solidFill>
                </w14:textFill>
              </w:rPr>
            </w:pPr>
            <w:r>
              <w:rPr>
                <w:rFonts w:hint="eastAsia" w:asciiTheme="minorEastAsia" w:hAnsiTheme="minorEastAsia" w:eastAsiaTheme="minorEastAsia"/>
                <w:bCs/>
                <w:color w:val="000000" w:themeColor="text1"/>
                <w:kern w:val="0"/>
                <w:sz w:val="28"/>
                <w:szCs w:val="28"/>
                <w:highlight w:val="none"/>
                <w14:textFill>
                  <w14:solidFill>
                    <w14:schemeClr w14:val="tx1"/>
                  </w14:solidFill>
                </w14:textFill>
              </w:rPr>
              <w:t>报价</w:t>
            </w:r>
          </w:p>
        </w:tc>
        <w:tc>
          <w:tcPr>
            <w:tcW w:w="6283" w:type="dxa"/>
          </w:tcPr>
          <w:p w14:paraId="4F68504C">
            <w:pPr>
              <w:keepNext w:val="0"/>
              <w:keepLines w:val="0"/>
              <w:pageBreakBefore w:val="0"/>
              <w:kinsoku/>
              <w:wordWrap/>
              <w:overflowPunct/>
              <w:topLinePunct w:val="0"/>
              <w:autoSpaceDE/>
              <w:autoSpaceDN/>
              <w:bidi w:val="0"/>
              <w:adjustRightInd/>
              <w:snapToGrid/>
              <w:spacing w:line="560" w:lineRule="exact"/>
              <w:textAlignment w:val="auto"/>
              <w:rPr>
                <w:rFonts w:asciiTheme="minorEastAsia" w:hAnsiTheme="minorEastAsia" w:eastAsiaTheme="minorEastAsia"/>
                <w:bCs/>
                <w:color w:val="000000" w:themeColor="text1"/>
                <w:kern w:val="0"/>
                <w:sz w:val="28"/>
                <w:szCs w:val="28"/>
                <w:highlight w:val="none"/>
                <w14:textFill>
                  <w14:solidFill>
                    <w14:schemeClr w14:val="tx1"/>
                  </w14:solidFill>
                </w14:textFill>
              </w:rPr>
            </w:pPr>
            <w:r>
              <w:rPr>
                <w:rFonts w:hint="eastAsia" w:asciiTheme="minorEastAsia" w:hAnsiTheme="minorEastAsia" w:eastAsiaTheme="minorEastAsia"/>
                <w:bCs/>
                <w:color w:val="000000" w:themeColor="text1"/>
                <w:kern w:val="0"/>
                <w:sz w:val="28"/>
                <w:szCs w:val="28"/>
                <w:highlight w:val="none"/>
                <w14:textFill>
                  <w14:solidFill>
                    <w14:schemeClr w14:val="tx1"/>
                  </w14:solidFill>
                </w14:textFill>
              </w:rPr>
              <w:t>(评标基准价/投标报价)*最大分值</w:t>
            </w:r>
          </w:p>
          <w:p w14:paraId="5C39091F">
            <w:pPr>
              <w:keepNext w:val="0"/>
              <w:keepLines w:val="0"/>
              <w:pageBreakBefore w:val="0"/>
              <w:kinsoku/>
              <w:wordWrap/>
              <w:overflowPunct/>
              <w:topLinePunct w:val="0"/>
              <w:autoSpaceDE/>
              <w:autoSpaceDN/>
              <w:bidi w:val="0"/>
              <w:adjustRightInd/>
              <w:snapToGrid/>
              <w:spacing w:line="560" w:lineRule="exact"/>
              <w:textAlignment w:val="auto"/>
              <w:rPr>
                <w:rFonts w:asciiTheme="minorEastAsia" w:hAnsiTheme="minorEastAsia" w:eastAsiaTheme="minorEastAsia"/>
                <w:bCs/>
                <w:color w:val="000000" w:themeColor="text1"/>
                <w:kern w:val="0"/>
                <w:sz w:val="28"/>
                <w:szCs w:val="28"/>
                <w:highlight w:val="none"/>
                <w14:textFill>
                  <w14:solidFill>
                    <w14:schemeClr w14:val="tx1"/>
                  </w14:solidFill>
                </w14:textFill>
              </w:rPr>
            </w:pPr>
            <w:r>
              <w:rPr>
                <w:rFonts w:hint="eastAsia" w:asciiTheme="minorEastAsia" w:hAnsiTheme="minorEastAsia" w:eastAsiaTheme="minorEastAsia"/>
                <w:bCs/>
                <w:color w:val="000000" w:themeColor="text1"/>
                <w:kern w:val="0"/>
                <w:sz w:val="28"/>
                <w:szCs w:val="28"/>
                <w:highlight w:val="none"/>
                <w14:textFill>
                  <w14:solidFill>
                    <w14:schemeClr w14:val="tx1"/>
                  </w14:solidFill>
                </w14:textFill>
              </w:rPr>
              <w:t>1.评标基准价：满足招标文件要求且经算术修正，依据政府采购政策进行价格扣除后的最低投标报价为评标基准价；</w:t>
            </w:r>
          </w:p>
          <w:p w14:paraId="603B8C41">
            <w:pPr>
              <w:keepNext w:val="0"/>
              <w:keepLines w:val="0"/>
              <w:pageBreakBefore w:val="0"/>
              <w:kinsoku/>
              <w:wordWrap/>
              <w:overflowPunct/>
              <w:topLinePunct w:val="0"/>
              <w:autoSpaceDE/>
              <w:autoSpaceDN/>
              <w:bidi w:val="0"/>
              <w:adjustRightInd/>
              <w:snapToGrid/>
              <w:spacing w:line="560" w:lineRule="exact"/>
              <w:textAlignment w:val="auto"/>
              <w:rPr>
                <w:rFonts w:asciiTheme="minorEastAsia" w:hAnsiTheme="minorEastAsia" w:eastAsiaTheme="minorEastAsia"/>
                <w:bCs/>
                <w:color w:val="000000" w:themeColor="text1"/>
                <w:kern w:val="0"/>
                <w:sz w:val="28"/>
                <w:szCs w:val="28"/>
                <w:highlight w:val="none"/>
                <w14:textFill>
                  <w14:solidFill>
                    <w14:schemeClr w14:val="tx1"/>
                  </w14:solidFill>
                </w14:textFill>
              </w:rPr>
            </w:pPr>
            <w:r>
              <w:rPr>
                <w:rFonts w:hint="eastAsia" w:asciiTheme="minorEastAsia" w:hAnsiTheme="minorEastAsia" w:eastAsiaTheme="minorEastAsia"/>
                <w:bCs/>
                <w:color w:val="000000" w:themeColor="text1"/>
                <w:kern w:val="0"/>
                <w:sz w:val="28"/>
                <w:szCs w:val="28"/>
                <w:highlight w:val="none"/>
                <w14:textFill>
                  <w14:solidFill>
                    <w14:schemeClr w14:val="tx1"/>
                  </w14:solidFill>
                </w14:textFill>
              </w:rPr>
              <w:t>2.投标报价：评标委员会以开标一览表中报价为基础，对其进行算术修正，依据政府采购政策进行价格扣除后，作为投标报价得分计算的依据。</w:t>
            </w:r>
          </w:p>
        </w:tc>
        <w:tc>
          <w:tcPr>
            <w:tcW w:w="1088" w:type="dxa"/>
            <w:vAlign w:val="center"/>
          </w:tcPr>
          <w:p w14:paraId="3BC1F392">
            <w:pPr>
              <w:keepNext w:val="0"/>
              <w:keepLines w:val="0"/>
              <w:pageBreakBefore w:val="0"/>
              <w:kinsoku/>
              <w:wordWrap/>
              <w:overflowPunct/>
              <w:topLinePunct w:val="0"/>
              <w:autoSpaceDE/>
              <w:autoSpaceDN/>
              <w:bidi w:val="0"/>
              <w:adjustRightInd/>
              <w:snapToGrid/>
              <w:spacing w:line="560" w:lineRule="exact"/>
              <w:jc w:val="center"/>
              <w:textAlignment w:val="auto"/>
              <w:rPr>
                <w:rFonts w:asciiTheme="minorEastAsia" w:hAnsiTheme="minorEastAsia" w:eastAsiaTheme="minorEastAsia"/>
                <w:bCs/>
                <w:color w:val="000000" w:themeColor="text1"/>
                <w:kern w:val="0"/>
                <w:sz w:val="28"/>
                <w:szCs w:val="28"/>
                <w:highlight w:val="none"/>
                <w14:textFill>
                  <w14:solidFill>
                    <w14:schemeClr w14:val="tx1"/>
                  </w14:solidFill>
                </w14:textFill>
              </w:rPr>
            </w:pPr>
            <w:r>
              <w:rPr>
                <w:rFonts w:asciiTheme="minorEastAsia" w:hAnsiTheme="minorEastAsia" w:eastAsiaTheme="minorEastAsia"/>
                <w:bCs/>
                <w:color w:val="000000" w:themeColor="text1"/>
                <w:kern w:val="0"/>
                <w:sz w:val="28"/>
                <w:szCs w:val="28"/>
                <w:highlight w:val="none"/>
                <w14:textFill>
                  <w14:solidFill>
                    <w14:schemeClr w14:val="tx1"/>
                  </w14:solidFill>
                </w14:textFill>
              </w:rPr>
              <w:t>30</w:t>
            </w:r>
          </w:p>
        </w:tc>
      </w:tr>
      <w:tr w14:paraId="22992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gridSpan w:val="4"/>
            <w:vAlign w:val="center"/>
          </w:tcPr>
          <w:p w14:paraId="160721A0">
            <w:pPr>
              <w:keepNext w:val="0"/>
              <w:keepLines w:val="0"/>
              <w:pageBreakBefore w:val="0"/>
              <w:kinsoku/>
              <w:wordWrap/>
              <w:overflowPunct/>
              <w:topLinePunct w:val="0"/>
              <w:autoSpaceDE/>
              <w:autoSpaceDN/>
              <w:bidi w:val="0"/>
              <w:adjustRightInd/>
              <w:snapToGrid/>
              <w:spacing w:line="560" w:lineRule="exact"/>
              <w:jc w:val="left"/>
              <w:textAlignment w:val="auto"/>
              <w:rPr>
                <w:rFonts w:asciiTheme="minorEastAsia" w:hAnsiTheme="minorEastAsia" w:eastAsiaTheme="minorEastAsia"/>
                <w:bCs/>
                <w:color w:val="000000" w:themeColor="text1"/>
                <w:kern w:val="0"/>
                <w:sz w:val="28"/>
                <w:szCs w:val="28"/>
                <w:highlight w:val="none"/>
                <w14:textFill>
                  <w14:solidFill>
                    <w14:schemeClr w14:val="tx1"/>
                  </w14:solidFill>
                </w14:textFill>
              </w:rPr>
            </w:pPr>
            <w:r>
              <w:rPr>
                <w:rFonts w:hint="eastAsia" w:asciiTheme="minorEastAsia" w:hAnsiTheme="minorEastAsia" w:eastAsiaTheme="minorEastAsia"/>
                <w:bCs/>
                <w:color w:val="000000" w:themeColor="text1"/>
                <w:kern w:val="0"/>
                <w:sz w:val="28"/>
                <w:szCs w:val="28"/>
                <w:highlight w:val="none"/>
                <w14:textFill>
                  <w14:solidFill>
                    <w14:schemeClr w14:val="tx1"/>
                  </w14:solidFill>
                </w14:textFill>
              </w:rPr>
              <w:t>商务部分（</w:t>
            </w:r>
            <w:r>
              <w:rPr>
                <w:rFonts w:hint="eastAsia" w:asciiTheme="minorEastAsia" w:hAnsiTheme="minorEastAsia" w:eastAsiaTheme="minorEastAsia"/>
                <w:bCs/>
                <w:color w:val="000000" w:themeColor="text1"/>
                <w:kern w:val="0"/>
                <w:sz w:val="28"/>
                <w:szCs w:val="28"/>
                <w:highlight w:val="none"/>
                <w:lang w:val="en-US" w:eastAsia="zh-CN"/>
                <w14:textFill>
                  <w14:solidFill>
                    <w14:schemeClr w14:val="tx1"/>
                  </w14:solidFill>
                </w14:textFill>
              </w:rPr>
              <w:t>6</w:t>
            </w:r>
            <w:r>
              <w:rPr>
                <w:rFonts w:hint="eastAsia" w:asciiTheme="minorEastAsia" w:hAnsiTheme="minorEastAsia" w:eastAsiaTheme="minorEastAsia"/>
                <w:bCs/>
                <w:color w:val="000000" w:themeColor="text1"/>
                <w:kern w:val="0"/>
                <w:sz w:val="28"/>
                <w:szCs w:val="28"/>
                <w:highlight w:val="none"/>
                <w14:textFill>
                  <w14:solidFill>
                    <w14:schemeClr w14:val="tx1"/>
                  </w14:solidFill>
                </w14:textFill>
              </w:rPr>
              <w:t>分）</w:t>
            </w:r>
          </w:p>
        </w:tc>
      </w:tr>
      <w:tr w14:paraId="1C39C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 w:type="dxa"/>
            <w:vAlign w:val="center"/>
          </w:tcPr>
          <w:p w14:paraId="79B8B5B7">
            <w:pPr>
              <w:keepNext w:val="0"/>
              <w:keepLines w:val="0"/>
              <w:pageBreakBefore w:val="0"/>
              <w:kinsoku/>
              <w:wordWrap/>
              <w:overflowPunct/>
              <w:topLinePunct w:val="0"/>
              <w:autoSpaceDE/>
              <w:autoSpaceDN/>
              <w:bidi w:val="0"/>
              <w:adjustRightInd/>
              <w:snapToGrid/>
              <w:spacing w:line="560" w:lineRule="exact"/>
              <w:jc w:val="center"/>
              <w:textAlignment w:val="auto"/>
              <w:rPr>
                <w:rFonts w:asciiTheme="minorEastAsia" w:hAnsiTheme="minorEastAsia" w:eastAsiaTheme="minorEastAsia"/>
                <w:bCs/>
                <w:color w:val="000000" w:themeColor="text1"/>
                <w:kern w:val="0"/>
                <w:sz w:val="28"/>
                <w:szCs w:val="28"/>
                <w:highlight w:val="none"/>
                <w14:textFill>
                  <w14:solidFill>
                    <w14:schemeClr w14:val="tx1"/>
                  </w14:solidFill>
                </w14:textFill>
              </w:rPr>
            </w:pPr>
            <w:r>
              <w:rPr>
                <w:rFonts w:hint="eastAsia" w:asciiTheme="minorEastAsia" w:hAnsiTheme="minorEastAsia" w:eastAsiaTheme="minorEastAsia"/>
                <w:bCs/>
                <w:color w:val="000000" w:themeColor="text1"/>
                <w:kern w:val="0"/>
                <w:sz w:val="28"/>
                <w:szCs w:val="28"/>
                <w:highlight w:val="none"/>
                <w14:textFill>
                  <w14:solidFill>
                    <w14:schemeClr w14:val="tx1"/>
                  </w14:solidFill>
                </w14:textFill>
              </w:rPr>
              <w:t>1</w:t>
            </w:r>
          </w:p>
        </w:tc>
        <w:tc>
          <w:tcPr>
            <w:tcW w:w="1500" w:type="dxa"/>
            <w:vAlign w:val="center"/>
          </w:tcPr>
          <w:p w14:paraId="21D2FDC4">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bCs/>
                <w:color w:val="000000" w:themeColor="text1"/>
                <w:kern w:val="0"/>
                <w:sz w:val="28"/>
                <w:szCs w:val="28"/>
                <w:highlight w:val="none"/>
                <w14:textFill>
                  <w14:solidFill>
                    <w14:schemeClr w14:val="tx1"/>
                  </w14:solidFill>
                </w14:textFill>
              </w:rPr>
            </w:pPr>
            <w:r>
              <w:rPr>
                <w:rFonts w:hint="eastAsia" w:asciiTheme="minorEastAsia" w:hAnsiTheme="minorEastAsia" w:eastAsiaTheme="minorEastAsia"/>
                <w:bCs/>
                <w:color w:val="000000" w:themeColor="text1"/>
                <w:kern w:val="0"/>
                <w:sz w:val="28"/>
                <w:szCs w:val="28"/>
                <w:highlight w:val="none"/>
                <w14:textFill>
                  <w14:solidFill>
                    <w14:schemeClr w14:val="tx1"/>
                  </w14:solidFill>
                </w14:textFill>
              </w:rPr>
              <w:t>业绩</w:t>
            </w:r>
          </w:p>
          <w:p w14:paraId="08CB2485">
            <w:pPr>
              <w:keepNext w:val="0"/>
              <w:keepLines w:val="0"/>
              <w:pageBreakBefore w:val="0"/>
              <w:kinsoku/>
              <w:wordWrap/>
              <w:overflowPunct/>
              <w:topLinePunct w:val="0"/>
              <w:autoSpaceDE/>
              <w:autoSpaceDN/>
              <w:bidi w:val="0"/>
              <w:adjustRightInd/>
              <w:snapToGrid/>
              <w:spacing w:line="560" w:lineRule="exact"/>
              <w:jc w:val="center"/>
              <w:textAlignment w:val="auto"/>
              <w:rPr>
                <w:rFonts w:asciiTheme="minorEastAsia" w:hAnsiTheme="minorEastAsia" w:eastAsiaTheme="minorEastAsia"/>
                <w:bCs/>
                <w:color w:val="000000" w:themeColor="text1"/>
                <w:kern w:val="0"/>
                <w:sz w:val="28"/>
                <w:szCs w:val="28"/>
                <w:highlight w:val="none"/>
                <w14:textFill>
                  <w14:solidFill>
                    <w14:schemeClr w14:val="tx1"/>
                  </w14:solidFill>
                </w14:textFill>
              </w:rPr>
            </w:pPr>
            <w:r>
              <w:rPr>
                <w:rFonts w:hint="eastAsia" w:asciiTheme="minorEastAsia" w:hAnsiTheme="minorEastAsia" w:eastAsiaTheme="minorEastAsia"/>
                <w:bCs/>
                <w:color w:val="000000" w:themeColor="text1"/>
                <w:kern w:val="0"/>
                <w:sz w:val="28"/>
                <w:szCs w:val="28"/>
                <w:highlight w:val="none"/>
                <w14:textFill>
                  <w14:solidFill>
                    <w14:schemeClr w14:val="tx1"/>
                  </w14:solidFill>
                </w14:textFill>
              </w:rPr>
              <w:t>情况</w:t>
            </w:r>
          </w:p>
        </w:tc>
        <w:tc>
          <w:tcPr>
            <w:tcW w:w="6283" w:type="dxa"/>
          </w:tcPr>
          <w:p w14:paraId="313441E4">
            <w:pPr>
              <w:keepNext w:val="0"/>
              <w:keepLines w:val="0"/>
              <w:pageBreakBefore w:val="0"/>
              <w:kinsoku/>
              <w:wordWrap/>
              <w:overflowPunct/>
              <w:topLinePunct w:val="0"/>
              <w:autoSpaceDE/>
              <w:autoSpaceDN/>
              <w:bidi w:val="0"/>
              <w:adjustRightInd/>
              <w:snapToGrid/>
              <w:spacing w:line="560" w:lineRule="exact"/>
              <w:textAlignment w:val="auto"/>
              <w:rPr>
                <w:rFonts w:asciiTheme="minorEastAsia" w:hAnsiTheme="minorEastAsia" w:eastAsiaTheme="minorEastAsia"/>
                <w:bCs/>
                <w:color w:val="000000" w:themeColor="text1"/>
                <w:kern w:val="0"/>
                <w:sz w:val="28"/>
                <w:szCs w:val="28"/>
                <w:highlight w:val="none"/>
                <w14:textFill>
                  <w14:solidFill>
                    <w14:schemeClr w14:val="tx1"/>
                  </w14:solidFill>
                </w14:textFill>
              </w:rPr>
            </w:pPr>
            <w:r>
              <w:rPr>
                <w:rFonts w:hint="eastAsia" w:asciiTheme="minorEastAsia" w:hAnsiTheme="minorEastAsia" w:eastAsiaTheme="minorEastAsia"/>
                <w:bCs/>
                <w:color w:val="000000" w:themeColor="text1"/>
                <w:kern w:val="0"/>
                <w:sz w:val="28"/>
                <w:szCs w:val="28"/>
                <w:highlight w:val="none"/>
                <w:shd w:val="clear"/>
                <w14:textFill>
                  <w14:solidFill>
                    <w14:schemeClr w14:val="tx1"/>
                  </w14:solidFill>
                </w14:textFill>
              </w:rPr>
              <w:t>近三年（202</w:t>
            </w:r>
            <w:r>
              <w:rPr>
                <w:rFonts w:hint="eastAsia" w:asciiTheme="minorEastAsia" w:hAnsiTheme="minorEastAsia" w:eastAsiaTheme="minorEastAsia"/>
                <w:bCs/>
                <w:color w:val="000000" w:themeColor="text1"/>
                <w:kern w:val="0"/>
                <w:sz w:val="28"/>
                <w:szCs w:val="28"/>
                <w:highlight w:val="none"/>
                <w:shd w:val="clear"/>
                <w:lang w:val="en-US" w:eastAsia="zh-CN"/>
                <w14:textFill>
                  <w14:solidFill>
                    <w14:schemeClr w14:val="tx1"/>
                  </w14:solidFill>
                </w14:textFill>
              </w:rPr>
              <w:t>2</w:t>
            </w:r>
            <w:r>
              <w:rPr>
                <w:rFonts w:hint="eastAsia" w:asciiTheme="minorEastAsia" w:hAnsiTheme="minorEastAsia" w:eastAsiaTheme="minorEastAsia"/>
                <w:bCs/>
                <w:color w:val="000000" w:themeColor="text1"/>
                <w:kern w:val="0"/>
                <w:sz w:val="28"/>
                <w:szCs w:val="28"/>
                <w:highlight w:val="none"/>
                <w:shd w:val="clear"/>
                <w14:textFill>
                  <w14:solidFill>
                    <w14:schemeClr w14:val="tx1"/>
                  </w14:solidFill>
                </w14:textFill>
              </w:rPr>
              <w:t>年</w:t>
            </w:r>
            <w:r>
              <w:rPr>
                <w:rFonts w:hint="eastAsia" w:asciiTheme="minorEastAsia" w:hAnsiTheme="minorEastAsia" w:eastAsiaTheme="minorEastAsia"/>
                <w:bCs/>
                <w:color w:val="000000" w:themeColor="text1"/>
                <w:kern w:val="0"/>
                <w:sz w:val="28"/>
                <w:szCs w:val="28"/>
                <w:highlight w:val="none"/>
                <w:shd w:val="clear"/>
                <w:lang w:val="en-US" w:eastAsia="zh-CN"/>
                <w14:textFill>
                  <w14:solidFill>
                    <w14:schemeClr w14:val="tx1"/>
                  </w14:solidFill>
                </w14:textFill>
              </w:rPr>
              <w:t>1月1日</w:t>
            </w:r>
            <w:r>
              <w:rPr>
                <w:rFonts w:hint="eastAsia" w:asciiTheme="minorEastAsia" w:hAnsiTheme="minorEastAsia" w:eastAsiaTheme="minorEastAsia"/>
                <w:bCs/>
                <w:color w:val="000000" w:themeColor="text1"/>
                <w:kern w:val="0"/>
                <w:sz w:val="28"/>
                <w:szCs w:val="28"/>
                <w:highlight w:val="none"/>
                <w:shd w:val="clear"/>
                <w14:textFill>
                  <w14:solidFill>
                    <w14:schemeClr w14:val="tx1"/>
                  </w14:solidFill>
                </w14:textFill>
              </w:rPr>
              <w:t>-至今）</w:t>
            </w:r>
            <w:r>
              <w:rPr>
                <w:rFonts w:hint="eastAsia" w:asciiTheme="minorEastAsia" w:hAnsiTheme="minorEastAsia" w:eastAsiaTheme="minorEastAsia"/>
                <w:bCs/>
                <w:color w:val="000000" w:themeColor="text1"/>
                <w:kern w:val="0"/>
                <w:sz w:val="28"/>
                <w:szCs w:val="28"/>
                <w:highlight w:val="none"/>
                <w14:textFill>
                  <w14:solidFill>
                    <w14:schemeClr w14:val="tx1"/>
                  </w14:solidFill>
                </w14:textFill>
              </w:rPr>
              <w:t>内具有良好的类似业绩，并提供证明材料（中标通知书或合同），每提供一项业绩得2分，最高得4分。</w:t>
            </w:r>
          </w:p>
        </w:tc>
        <w:tc>
          <w:tcPr>
            <w:tcW w:w="1088" w:type="dxa"/>
            <w:vAlign w:val="center"/>
          </w:tcPr>
          <w:p w14:paraId="014C72E8">
            <w:pPr>
              <w:keepNext w:val="0"/>
              <w:keepLines w:val="0"/>
              <w:pageBreakBefore w:val="0"/>
              <w:kinsoku/>
              <w:wordWrap/>
              <w:overflowPunct/>
              <w:topLinePunct w:val="0"/>
              <w:autoSpaceDE/>
              <w:autoSpaceDN/>
              <w:bidi w:val="0"/>
              <w:adjustRightInd/>
              <w:snapToGrid/>
              <w:spacing w:line="560" w:lineRule="exact"/>
              <w:jc w:val="center"/>
              <w:textAlignment w:val="auto"/>
              <w:rPr>
                <w:rFonts w:asciiTheme="minorEastAsia" w:hAnsiTheme="minorEastAsia" w:eastAsiaTheme="minorEastAsia"/>
                <w:bCs/>
                <w:color w:val="000000" w:themeColor="text1"/>
                <w:kern w:val="0"/>
                <w:sz w:val="28"/>
                <w:szCs w:val="28"/>
                <w:highlight w:val="none"/>
                <w14:textFill>
                  <w14:solidFill>
                    <w14:schemeClr w14:val="tx1"/>
                  </w14:solidFill>
                </w14:textFill>
              </w:rPr>
            </w:pPr>
            <w:r>
              <w:rPr>
                <w:rFonts w:hint="eastAsia" w:asciiTheme="minorEastAsia" w:hAnsiTheme="minorEastAsia" w:eastAsiaTheme="minorEastAsia"/>
                <w:bCs/>
                <w:color w:val="000000" w:themeColor="text1"/>
                <w:kern w:val="0"/>
                <w:sz w:val="28"/>
                <w:szCs w:val="28"/>
                <w:highlight w:val="none"/>
                <w14:textFill>
                  <w14:solidFill>
                    <w14:schemeClr w14:val="tx1"/>
                  </w14:solidFill>
                </w14:textFill>
              </w:rPr>
              <w:t>4</w:t>
            </w:r>
          </w:p>
        </w:tc>
      </w:tr>
      <w:tr w14:paraId="6CC1E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 w:type="dxa"/>
            <w:vAlign w:val="center"/>
          </w:tcPr>
          <w:p w14:paraId="74F6D388">
            <w:pPr>
              <w:keepNext w:val="0"/>
              <w:keepLines w:val="0"/>
              <w:pageBreakBefore w:val="0"/>
              <w:kinsoku/>
              <w:wordWrap/>
              <w:overflowPunct/>
              <w:topLinePunct w:val="0"/>
              <w:autoSpaceDE/>
              <w:autoSpaceDN/>
              <w:bidi w:val="0"/>
              <w:adjustRightInd/>
              <w:snapToGrid/>
              <w:spacing w:line="560" w:lineRule="exact"/>
              <w:jc w:val="center"/>
              <w:textAlignment w:val="auto"/>
              <w:rPr>
                <w:rFonts w:asciiTheme="minorEastAsia" w:hAnsiTheme="minorEastAsia" w:eastAsiaTheme="minorEastAsia"/>
                <w:bCs/>
                <w:color w:val="000000" w:themeColor="text1"/>
                <w:kern w:val="0"/>
                <w:sz w:val="28"/>
                <w:szCs w:val="28"/>
                <w:highlight w:val="none"/>
                <w14:textFill>
                  <w14:solidFill>
                    <w14:schemeClr w14:val="tx1"/>
                  </w14:solidFill>
                </w14:textFill>
              </w:rPr>
            </w:pPr>
            <w:r>
              <w:rPr>
                <w:rFonts w:hint="eastAsia" w:asciiTheme="minorEastAsia" w:hAnsiTheme="minorEastAsia" w:eastAsiaTheme="minorEastAsia"/>
                <w:bCs/>
                <w:color w:val="000000" w:themeColor="text1"/>
                <w:kern w:val="0"/>
                <w:sz w:val="28"/>
                <w:szCs w:val="28"/>
                <w:highlight w:val="none"/>
                <w14:textFill>
                  <w14:solidFill>
                    <w14:schemeClr w14:val="tx1"/>
                  </w14:solidFill>
                </w14:textFill>
              </w:rPr>
              <w:t>2</w:t>
            </w:r>
          </w:p>
        </w:tc>
        <w:tc>
          <w:tcPr>
            <w:tcW w:w="1500" w:type="dxa"/>
            <w:vAlign w:val="center"/>
          </w:tcPr>
          <w:p w14:paraId="7D353AE5">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cs="Times New Roman" w:asciiTheme="minorEastAsia" w:hAnsiTheme="minorEastAsia" w:eastAsiaTheme="minorEastAsia"/>
                <w:bCs/>
                <w:color w:val="000000" w:themeColor="text1"/>
                <w:kern w:val="0"/>
                <w:sz w:val="28"/>
                <w:szCs w:val="28"/>
                <w:highlight w:val="none"/>
                <w14:textFill>
                  <w14:solidFill>
                    <w14:schemeClr w14:val="tx1"/>
                  </w14:solidFill>
                </w14:textFill>
              </w:rPr>
            </w:pPr>
            <w:r>
              <w:rPr>
                <w:rFonts w:hint="eastAsia" w:cs="Times New Roman" w:asciiTheme="minorEastAsia" w:hAnsiTheme="minorEastAsia" w:eastAsiaTheme="minorEastAsia"/>
                <w:bCs/>
                <w:color w:val="000000" w:themeColor="text1"/>
                <w:kern w:val="0"/>
                <w:sz w:val="28"/>
                <w:szCs w:val="28"/>
                <w:highlight w:val="none"/>
                <w:lang w:val="en-US" w:eastAsia="zh-CN"/>
                <w14:textFill>
                  <w14:solidFill>
                    <w14:schemeClr w14:val="tx1"/>
                  </w14:solidFill>
                </w14:textFill>
              </w:rPr>
              <w:t>项目负责人要求</w:t>
            </w:r>
          </w:p>
        </w:tc>
        <w:tc>
          <w:tcPr>
            <w:tcW w:w="6283" w:type="dxa"/>
            <w:vAlign w:val="center"/>
          </w:tcPr>
          <w:p w14:paraId="24794AC6">
            <w:pPr>
              <w:keepNext w:val="0"/>
              <w:keepLines w:val="0"/>
              <w:pageBreakBefore w:val="0"/>
              <w:kinsoku/>
              <w:wordWrap/>
              <w:overflowPunct/>
              <w:topLinePunct w:val="0"/>
              <w:autoSpaceDE/>
              <w:autoSpaceDN/>
              <w:bidi w:val="0"/>
              <w:adjustRightInd/>
              <w:snapToGrid/>
              <w:spacing w:line="560" w:lineRule="exact"/>
              <w:jc w:val="both"/>
              <w:textAlignment w:val="auto"/>
              <w:rPr>
                <w:rFonts w:hint="default" w:cs="Times New Roman" w:asciiTheme="minorEastAsia" w:hAnsiTheme="minorEastAsia" w:eastAsiaTheme="minorEastAsia"/>
                <w:bCs/>
                <w:color w:val="000000" w:themeColor="text1"/>
                <w:kern w:val="0"/>
                <w:sz w:val="28"/>
                <w:szCs w:val="28"/>
                <w:highlight w:val="none"/>
                <w:lang w:val="en-US" w:eastAsia="zh-CN"/>
                <w14:textFill>
                  <w14:solidFill>
                    <w14:schemeClr w14:val="tx1"/>
                  </w14:solidFill>
                </w14:textFill>
              </w:rPr>
            </w:pPr>
            <w:r>
              <w:rPr>
                <w:rFonts w:hint="eastAsia" w:cs="Times New Roman" w:asciiTheme="minorEastAsia" w:hAnsiTheme="minorEastAsia" w:eastAsiaTheme="minorEastAsia"/>
                <w:bCs/>
                <w:color w:val="000000" w:themeColor="text1"/>
                <w:kern w:val="0"/>
                <w:sz w:val="28"/>
                <w:szCs w:val="28"/>
                <w:highlight w:val="none"/>
                <w14:textFill>
                  <w14:solidFill>
                    <w14:schemeClr w14:val="tx1"/>
                  </w14:solidFill>
                </w14:textFill>
              </w:rPr>
              <w:t>针对本项目指派一名项目负责人，与采购人保持经常性联系，负责安排及全面督导项目的供货、安装、验收及移交工作，以减少交流的中间环节，得</w:t>
            </w:r>
            <w:r>
              <w:rPr>
                <w:rFonts w:hint="eastAsia" w:cs="Times New Roman" w:asciiTheme="minorEastAsia" w:hAnsiTheme="minorEastAsia" w:eastAsiaTheme="minorEastAsia"/>
                <w:bCs/>
                <w:color w:val="000000" w:themeColor="text1"/>
                <w:kern w:val="0"/>
                <w:sz w:val="28"/>
                <w:szCs w:val="28"/>
                <w:highlight w:val="none"/>
                <w:lang w:val="en-US" w:eastAsia="zh-CN"/>
                <w14:textFill>
                  <w14:solidFill>
                    <w14:schemeClr w14:val="tx1"/>
                  </w14:solidFill>
                </w14:textFill>
              </w:rPr>
              <w:t>3</w:t>
            </w:r>
            <w:r>
              <w:rPr>
                <w:rFonts w:hint="eastAsia" w:cs="Times New Roman" w:asciiTheme="minorEastAsia" w:hAnsiTheme="minorEastAsia" w:eastAsiaTheme="minorEastAsia"/>
                <w:bCs/>
                <w:color w:val="000000" w:themeColor="text1"/>
                <w:kern w:val="0"/>
                <w:sz w:val="28"/>
                <w:szCs w:val="28"/>
                <w:highlight w:val="none"/>
                <w14:textFill>
                  <w14:solidFill>
                    <w14:schemeClr w14:val="tx1"/>
                  </w14:solidFill>
                </w14:textFill>
              </w:rPr>
              <w:t>分；否则不得分。</w:t>
            </w:r>
            <w:r>
              <w:rPr>
                <w:rFonts w:hint="eastAsia" w:cs="Times New Roman" w:asciiTheme="minorEastAsia" w:hAnsiTheme="minorEastAsia" w:eastAsiaTheme="minorEastAsia"/>
                <w:bCs/>
                <w:color w:val="000000" w:themeColor="text1"/>
                <w:kern w:val="0"/>
                <w:sz w:val="28"/>
                <w:szCs w:val="28"/>
                <w:highlight w:val="none"/>
                <w:lang w:val="en-US" w:eastAsia="zh-CN"/>
                <w14:textFill>
                  <w14:solidFill>
                    <w14:schemeClr w14:val="tx1"/>
                  </w14:solidFill>
                </w14:textFill>
              </w:rPr>
              <w:t>注：需提供项目负责人由本单位缴纳的近半年任意一个月的社保证明材料，不提供不得分。</w:t>
            </w:r>
          </w:p>
        </w:tc>
        <w:tc>
          <w:tcPr>
            <w:tcW w:w="1088" w:type="dxa"/>
            <w:vAlign w:val="center"/>
          </w:tcPr>
          <w:p w14:paraId="5A8E4522">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bCs/>
                <w:color w:val="000000" w:themeColor="text1"/>
                <w:kern w:val="0"/>
                <w:sz w:val="28"/>
                <w:szCs w:val="28"/>
                <w:highlight w:val="none"/>
                <w:lang w:eastAsia="zh-CN"/>
                <w14:textFill>
                  <w14:solidFill>
                    <w14:schemeClr w14:val="tx1"/>
                  </w14:solidFill>
                </w14:textFill>
              </w:rPr>
            </w:pPr>
            <w:r>
              <w:rPr>
                <w:rFonts w:hint="eastAsia" w:asciiTheme="minorEastAsia" w:hAnsiTheme="minorEastAsia" w:eastAsiaTheme="minorEastAsia"/>
                <w:bCs/>
                <w:color w:val="000000" w:themeColor="text1"/>
                <w:kern w:val="0"/>
                <w:sz w:val="28"/>
                <w:szCs w:val="28"/>
                <w:highlight w:val="none"/>
                <w:lang w:val="en-US" w:eastAsia="zh-CN"/>
                <w14:textFill>
                  <w14:solidFill>
                    <w14:schemeClr w14:val="tx1"/>
                  </w14:solidFill>
                </w14:textFill>
              </w:rPr>
              <w:t>3</w:t>
            </w:r>
          </w:p>
        </w:tc>
      </w:tr>
      <w:tr w14:paraId="1AC2F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gridSpan w:val="4"/>
            <w:vAlign w:val="center"/>
          </w:tcPr>
          <w:p w14:paraId="68AEE2EB">
            <w:pPr>
              <w:keepNext w:val="0"/>
              <w:keepLines w:val="0"/>
              <w:pageBreakBefore w:val="0"/>
              <w:kinsoku/>
              <w:wordWrap/>
              <w:overflowPunct/>
              <w:topLinePunct w:val="0"/>
              <w:autoSpaceDE/>
              <w:autoSpaceDN/>
              <w:bidi w:val="0"/>
              <w:adjustRightInd/>
              <w:snapToGrid/>
              <w:spacing w:line="560" w:lineRule="exact"/>
              <w:jc w:val="left"/>
              <w:textAlignment w:val="auto"/>
              <w:rPr>
                <w:rFonts w:asciiTheme="minorEastAsia" w:hAnsiTheme="minorEastAsia" w:eastAsiaTheme="minorEastAsia"/>
                <w:bCs/>
                <w:color w:val="000000" w:themeColor="text1"/>
                <w:kern w:val="0"/>
                <w:sz w:val="28"/>
                <w:szCs w:val="28"/>
                <w:highlight w:val="none"/>
                <w14:textFill>
                  <w14:solidFill>
                    <w14:schemeClr w14:val="tx1"/>
                  </w14:solidFill>
                </w14:textFill>
              </w:rPr>
            </w:pPr>
            <w:r>
              <w:rPr>
                <w:rFonts w:hint="eastAsia" w:asciiTheme="minorEastAsia" w:hAnsiTheme="minorEastAsia" w:eastAsiaTheme="minorEastAsia"/>
                <w:bCs/>
                <w:color w:val="000000" w:themeColor="text1"/>
                <w:kern w:val="0"/>
                <w:sz w:val="28"/>
                <w:szCs w:val="28"/>
                <w:highlight w:val="none"/>
                <w14:textFill>
                  <w14:solidFill>
                    <w14:schemeClr w14:val="tx1"/>
                  </w14:solidFill>
                </w14:textFill>
              </w:rPr>
              <w:t>技术部分（</w:t>
            </w:r>
            <w:r>
              <w:rPr>
                <w:rFonts w:hint="eastAsia" w:asciiTheme="minorEastAsia" w:hAnsiTheme="minorEastAsia" w:eastAsiaTheme="minorEastAsia"/>
                <w:bCs/>
                <w:color w:val="000000" w:themeColor="text1"/>
                <w:kern w:val="0"/>
                <w:sz w:val="28"/>
                <w:szCs w:val="28"/>
                <w:highlight w:val="none"/>
                <w:lang w:val="en-US" w:eastAsia="zh-CN"/>
                <w14:textFill>
                  <w14:solidFill>
                    <w14:schemeClr w14:val="tx1"/>
                  </w14:solidFill>
                </w14:textFill>
              </w:rPr>
              <w:t>64</w:t>
            </w:r>
            <w:r>
              <w:rPr>
                <w:rFonts w:hint="eastAsia" w:asciiTheme="minorEastAsia" w:hAnsiTheme="minorEastAsia" w:eastAsiaTheme="minorEastAsia"/>
                <w:bCs/>
                <w:color w:val="000000" w:themeColor="text1"/>
                <w:kern w:val="0"/>
                <w:sz w:val="28"/>
                <w:szCs w:val="28"/>
                <w:highlight w:val="none"/>
                <w14:textFill>
                  <w14:solidFill>
                    <w14:schemeClr w14:val="tx1"/>
                  </w14:solidFill>
                </w14:textFill>
              </w:rPr>
              <w:t>分）</w:t>
            </w:r>
          </w:p>
        </w:tc>
      </w:tr>
      <w:tr w14:paraId="25469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 w:type="dxa"/>
            <w:vAlign w:val="center"/>
          </w:tcPr>
          <w:p w14:paraId="40236EFB">
            <w:pPr>
              <w:keepNext w:val="0"/>
              <w:keepLines w:val="0"/>
              <w:pageBreakBefore w:val="0"/>
              <w:kinsoku/>
              <w:wordWrap/>
              <w:overflowPunct/>
              <w:topLinePunct w:val="0"/>
              <w:autoSpaceDE/>
              <w:autoSpaceDN/>
              <w:bidi w:val="0"/>
              <w:adjustRightInd/>
              <w:snapToGrid/>
              <w:spacing w:line="560" w:lineRule="exact"/>
              <w:jc w:val="center"/>
              <w:textAlignment w:val="auto"/>
              <w:rPr>
                <w:rFonts w:asciiTheme="minorEastAsia" w:hAnsiTheme="minorEastAsia" w:eastAsiaTheme="minorEastAsia"/>
                <w:bCs/>
                <w:color w:val="000000" w:themeColor="text1"/>
                <w:kern w:val="0"/>
                <w:sz w:val="28"/>
                <w:szCs w:val="28"/>
                <w:highlight w:val="none"/>
                <w14:textFill>
                  <w14:solidFill>
                    <w14:schemeClr w14:val="tx1"/>
                  </w14:solidFill>
                </w14:textFill>
              </w:rPr>
            </w:pPr>
            <w:r>
              <w:rPr>
                <w:rFonts w:hint="eastAsia" w:asciiTheme="minorEastAsia" w:hAnsiTheme="minorEastAsia" w:eastAsiaTheme="minorEastAsia"/>
                <w:bCs/>
                <w:color w:val="000000" w:themeColor="text1"/>
                <w:kern w:val="0"/>
                <w:sz w:val="28"/>
                <w:szCs w:val="28"/>
                <w:highlight w:val="none"/>
                <w14:textFill>
                  <w14:solidFill>
                    <w14:schemeClr w14:val="tx1"/>
                  </w14:solidFill>
                </w14:textFill>
              </w:rPr>
              <w:t>1</w:t>
            </w:r>
          </w:p>
        </w:tc>
        <w:tc>
          <w:tcPr>
            <w:tcW w:w="1500" w:type="dxa"/>
            <w:vAlign w:val="center"/>
          </w:tcPr>
          <w:p w14:paraId="279FEA68">
            <w:pPr>
              <w:pageBreakBefore w:val="0"/>
              <w:kinsoku/>
              <w:wordWrap/>
              <w:overflowPunct/>
              <w:topLinePunct w:val="0"/>
              <w:autoSpaceDE/>
              <w:autoSpaceDN/>
              <w:bidi w:val="0"/>
              <w:spacing w:line="560" w:lineRule="exact"/>
              <w:jc w:val="center"/>
              <w:textAlignment w:val="auto"/>
              <w:rPr>
                <w:rFonts w:asciiTheme="minorEastAsia" w:hAnsiTheme="minorEastAsia" w:eastAsiaTheme="minorEastAsia"/>
                <w:bCs/>
                <w:color w:val="000000" w:themeColor="text1"/>
                <w:kern w:val="0"/>
                <w:sz w:val="28"/>
                <w:szCs w:val="28"/>
                <w:highlight w:val="none"/>
                <w14:textFill>
                  <w14:solidFill>
                    <w14:schemeClr w14:val="tx1"/>
                  </w14:solidFill>
                </w14:textFill>
              </w:rPr>
            </w:pPr>
            <w:r>
              <w:rPr>
                <w:rFonts w:hint="eastAsia" w:ascii="宋体" w:hAnsi="宋体" w:eastAsia="宋体" w:cs="宋体"/>
                <w:color w:val="000000" w:themeColor="text1"/>
                <w:kern w:val="0"/>
                <w:sz w:val="28"/>
                <w:szCs w:val="28"/>
                <w:highlight w:val="none"/>
                <w14:textFill>
                  <w14:solidFill>
                    <w14:schemeClr w14:val="tx1"/>
                  </w14:solidFill>
                </w14:textFill>
              </w:rPr>
              <w:t>功能指标及技术参数要求</w:t>
            </w:r>
          </w:p>
        </w:tc>
        <w:tc>
          <w:tcPr>
            <w:tcW w:w="6283" w:type="dxa"/>
            <w:vAlign w:val="center"/>
          </w:tcPr>
          <w:p w14:paraId="06034852">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000000" w:themeColor="text1"/>
                <w:kern w:val="0"/>
                <w:sz w:val="28"/>
                <w:szCs w:val="28"/>
                <w:highlight w:val="none"/>
                <w14:textFill>
                  <w14:solidFill>
                    <w14:schemeClr w14:val="tx1"/>
                  </w14:solidFill>
                </w14:textFill>
              </w:rPr>
            </w:pPr>
            <w:r>
              <w:rPr>
                <w:rFonts w:hint="eastAsia" w:ascii="宋体" w:hAnsi="宋体" w:eastAsia="宋体" w:cs="宋体"/>
                <w:color w:val="000000" w:themeColor="text1"/>
                <w:kern w:val="0"/>
                <w:sz w:val="28"/>
                <w:szCs w:val="28"/>
                <w:highlight w:val="none"/>
                <w14:textFill>
                  <w14:solidFill>
                    <w14:schemeClr w14:val="tx1"/>
                  </w14:solidFill>
                </w14:textFill>
              </w:rPr>
              <w:t>对照第</w:t>
            </w:r>
            <w:r>
              <w:rPr>
                <w:rFonts w:hint="eastAsia" w:ascii="宋体" w:hAnsi="宋体" w:eastAsia="宋体" w:cs="宋体"/>
                <w:color w:val="000000" w:themeColor="text1"/>
                <w:kern w:val="0"/>
                <w:sz w:val="28"/>
                <w:szCs w:val="28"/>
                <w:highlight w:val="none"/>
                <w:lang w:val="en-US" w:eastAsia="zh-CN"/>
                <w14:textFill>
                  <w14:solidFill>
                    <w14:schemeClr w14:val="tx1"/>
                  </w14:solidFill>
                </w14:textFill>
              </w:rPr>
              <w:t>三</w:t>
            </w:r>
            <w:r>
              <w:rPr>
                <w:rFonts w:hint="eastAsia" w:ascii="宋体" w:hAnsi="宋体" w:eastAsia="宋体" w:cs="宋体"/>
                <w:color w:val="000000" w:themeColor="text1"/>
                <w:kern w:val="0"/>
                <w:sz w:val="28"/>
                <w:szCs w:val="28"/>
                <w:highlight w:val="none"/>
                <w14:textFill>
                  <w14:solidFill>
                    <w14:schemeClr w14:val="tx1"/>
                  </w14:solidFill>
                </w14:textFill>
              </w:rPr>
              <w:t>章“</w:t>
            </w:r>
            <w:r>
              <w:rPr>
                <w:rFonts w:hint="eastAsia" w:ascii="宋体" w:hAnsi="宋体" w:eastAsia="宋体" w:cs="宋体"/>
                <w:color w:val="000000" w:themeColor="text1"/>
                <w:kern w:val="0"/>
                <w:sz w:val="28"/>
                <w:szCs w:val="28"/>
                <w:highlight w:val="none"/>
                <w:lang w:val="en-US" w:eastAsia="zh-CN"/>
                <w14:textFill>
                  <w14:solidFill>
                    <w14:schemeClr w14:val="tx1"/>
                  </w14:solidFill>
                </w14:textFill>
              </w:rPr>
              <w:t>采购</w:t>
            </w:r>
            <w:r>
              <w:rPr>
                <w:rFonts w:hint="eastAsia" w:ascii="宋体" w:hAnsi="宋体" w:eastAsia="宋体" w:cs="宋体"/>
                <w:color w:val="000000" w:themeColor="text1"/>
                <w:kern w:val="0"/>
                <w:sz w:val="28"/>
                <w:szCs w:val="28"/>
                <w:highlight w:val="none"/>
                <w14:textFill>
                  <w14:solidFill>
                    <w14:schemeClr w14:val="tx1"/>
                  </w14:solidFill>
                </w14:textFill>
              </w:rPr>
              <w:t>需求”的技术参数（每条技术参数前标注“★”的为核心技术参数，未标注的为一般参数），根据投标人提供的产品配置及技术性能指标的响应情况进行评审。</w:t>
            </w:r>
          </w:p>
          <w:p w14:paraId="79A2276C">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宋体" w:hAnsi="宋体" w:eastAsia="宋体" w:cs="宋体"/>
                <w:color w:val="000000" w:themeColor="text1"/>
                <w:kern w:val="0"/>
                <w:sz w:val="28"/>
                <w:szCs w:val="28"/>
                <w:highlight w:val="none"/>
                <w:lang w:val="en-US" w:eastAsia="zh-CN"/>
                <w14:textFill>
                  <w14:solidFill>
                    <w14:schemeClr w14:val="tx1"/>
                  </w14:solidFill>
                </w14:textFill>
              </w:rPr>
            </w:pPr>
            <w:r>
              <w:rPr>
                <w:rFonts w:hint="eastAsia" w:ascii="宋体" w:hAnsi="宋体" w:eastAsia="宋体" w:cs="宋体"/>
                <w:color w:val="000000" w:themeColor="text1"/>
                <w:kern w:val="0"/>
                <w:sz w:val="28"/>
                <w:szCs w:val="28"/>
                <w:highlight w:val="none"/>
                <w:lang w:val="en-US" w:eastAsia="zh-CN"/>
                <w14:textFill>
                  <w14:solidFill>
                    <w14:schemeClr w14:val="tx1"/>
                  </w14:solidFill>
                </w14:textFill>
              </w:rPr>
              <w:t xml:space="preserve">   </w:t>
            </w:r>
            <w:r>
              <w:rPr>
                <w:rFonts w:hint="eastAsia" w:ascii="宋体" w:hAnsi="宋体" w:eastAsia="宋体" w:cs="宋体"/>
                <w:color w:val="000000" w:themeColor="text1"/>
                <w:kern w:val="0"/>
                <w:sz w:val="28"/>
                <w:szCs w:val="28"/>
                <w:highlight w:val="none"/>
                <w14:textFill>
                  <w14:solidFill>
                    <w14:schemeClr w14:val="tx1"/>
                  </w14:solidFill>
                </w14:textFill>
              </w:rPr>
              <w:t>1.本标</w:t>
            </w:r>
            <w:r>
              <w:rPr>
                <w:rFonts w:hint="eastAsia" w:ascii="宋体" w:hAnsi="宋体" w:cs="宋体"/>
                <w:color w:val="000000" w:themeColor="text1"/>
                <w:kern w:val="0"/>
                <w:sz w:val="28"/>
                <w:szCs w:val="28"/>
                <w:highlight w:val="none"/>
                <w:lang w:eastAsia="zh-CN"/>
                <w14:textFill>
                  <w14:solidFill>
                    <w14:schemeClr w14:val="tx1"/>
                  </w14:solidFill>
                </w14:textFill>
              </w:rPr>
              <w:t>项</w:t>
            </w:r>
            <w:r>
              <w:rPr>
                <w:rFonts w:hint="eastAsia" w:ascii="宋体" w:hAnsi="宋体" w:cs="宋体"/>
                <w:color w:val="000000" w:themeColor="text1"/>
                <w:kern w:val="0"/>
                <w:sz w:val="28"/>
                <w:szCs w:val="28"/>
                <w:highlight w:val="none"/>
                <w:lang w:val="en-US" w:eastAsia="zh-CN"/>
                <w14:textFill>
                  <w14:solidFill>
                    <w14:schemeClr w14:val="tx1"/>
                  </w14:solidFill>
                </w14:textFill>
              </w:rPr>
              <w:t>1</w:t>
            </w:r>
            <w:r>
              <w:rPr>
                <w:rFonts w:hint="eastAsia" w:ascii="宋体" w:hAnsi="宋体" w:eastAsia="宋体" w:cs="宋体"/>
                <w:color w:val="000000" w:themeColor="text1"/>
                <w:kern w:val="0"/>
                <w:sz w:val="28"/>
                <w:szCs w:val="28"/>
                <w:highlight w:val="none"/>
                <w14:textFill>
                  <w14:solidFill>
                    <w14:schemeClr w14:val="tx1"/>
                  </w14:solidFill>
                </w14:textFill>
              </w:rPr>
              <w:t>种产品，投标人投产品技术参数完全响应招标文件要求的，得</w:t>
            </w:r>
            <w:r>
              <w:rPr>
                <w:rFonts w:hint="eastAsia" w:ascii="宋体" w:hAnsi="宋体" w:cs="宋体"/>
                <w:color w:val="000000" w:themeColor="text1"/>
                <w:kern w:val="0"/>
                <w:sz w:val="28"/>
                <w:szCs w:val="28"/>
                <w:highlight w:val="none"/>
                <w:lang w:val="en-US" w:eastAsia="zh-CN"/>
                <w14:textFill>
                  <w14:solidFill>
                    <w14:schemeClr w14:val="tx1"/>
                  </w14:solidFill>
                </w14:textFill>
              </w:rPr>
              <w:t>36</w:t>
            </w:r>
            <w:r>
              <w:rPr>
                <w:rFonts w:hint="eastAsia" w:ascii="宋体" w:hAnsi="宋体" w:eastAsia="宋体" w:cs="宋体"/>
                <w:color w:val="000000" w:themeColor="text1"/>
                <w:kern w:val="0"/>
                <w:sz w:val="28"/>
                <w:szCs w:val="28"/>
                <w:highlight w:val="none"/>
                <w14:textFill>
                  <w14:solidFill>
                    <w14:schemeClr w14:val="tx1"/>
                  </w14:solidFill>
                </w14:textFill>
              </w:rPr>
              <w:t>分；</w:t>
            </w:r>
          </w:p>
          <w:p w14:paraId="3AC68611">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default" w:ascii="宋体" w:hAnsi="宋体" w:eastAsia="宋体" w:cs="宋体"/>
                <w:color w:val="000000" w:themeColor="text1"/>
                <w:kern w:val="0"/>
                <w:sz w:val="28"/>
                <w:szCs w:val="28"/>
                <w:highlight w:val="none"/>
                <w:lang w:val="en-US" w:eastAsia="zh-CN"/>
                <w14:textFill>
                  <w14:solidFill>
                    <w14:schemeClr w14:val="tx1"/>
                  </w14:solidFill>
                </w14:textFill>
              </w:rPr>
            </w:pPr>
            <w:r>
              <w:rPr>
                <w:rFonts w:hint="eastAsia" w:ascii="宋体" w:hAnsi="宋体" w:eastAsia="宋体" w:cs="宋体"/>
                <w:color w:val="000000" w:themeColor="text1"/>
                <w:kern w:val="0"/>
                <w:sz w:val="28"/>
                <w:szCs w:val="28"/>
                <w:highlight w:val="none"/>
                <w:lang w:val="en-US" w:eastAsia="zh-CN"/>
                <w14:textFill>
                  <w14:solidFill>
                    <w14:schemeClr w14:val="tx1"/>
                  </w14:solidFill>
                </w14:textFill>
              </w:rPr>
              <w:t>2.</w:t>
            </w:r>
            <w:r>
              <w:rPr>
                <w:rFonts w:hint="eastAsia" w:ascii="宋体" w:hAnsi="宋体" w:cs="宋体"/>
                <w:color w:val="000000" w:themeColor="text1"/>
                <w:kern w:val="0"/>
                <w:sz w:val="28"/>
                <w:szCs w:val="28"/>
                <w:highlight w:val="none"/>
                <w:lang w:val="en-US" w:eastAsia="zh-CN"/>
                <w14:textFill>
                  <w14:solidFill>
                    <w14:schemeClr w14:val="tx1"/>
                  </w14:solidFill>
                </w14:textFill>
              </w:rPr>
              <w:t>所投</w:t>
            </w:r>
            <w:r>
              <w:rPr>
                <w:rFonts w:hint="eastAsia" w:ascii="宋体" w:hAnsi="宋体" w:eastAsia="宋体" w:cs="宋体"/>
                <w:color w:val="000000" w:themeColor="text1"/>
                <w:kern w:val="0"/>
                <w:sz w:val="28"/>
                <w:szCs w:val="28"/>
                <w:highlight w:val="none"/>
                <w:lang w:val="en-US" w:eastAsia="zh-CN"/>
                <w14:textFill>
                  <w14:solidFill>
                    <w14:schemeClr w14:val="tx1"/>
                  </w14:solidFill>
                </w14:textFill>
              </w:rPr>
              <w:t>产品核心技术参数存在负偏离的,</w:t>
            </w:r>
            <w:r>
              <w:rPr>
                <w:rFonts w:hint="eastAsia" w:ascii="宋体" w:hAnsi="宋体" w:cs="宋体"/>
                <w:color w:val="000000" w:themeColor="text1"/>
                <w:kern w:val="0"/>
                <w:sz w:val="28"/>
                <w:szCs w:val="28"/>
                <w:highlight w:val="none"/>
                <w:lang w:val="en-US" w:eastAsia="zh-CN"/>
                <w14:textFill>
                  <w14:solidFill>
                    <w14:schemeClr w14:val="tx1"/>
                  </w14:solidFill>
                </w14:textFill>
              </w:rPr>
              <w:t>每有一项扣36分。</w:t>
            </w:r>
          </w:p>
          <w:p w14:paraId="3C8A7118">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宋体" w:hAnsi="宋体" w:eastAsia="宋体" w:cs="宋体"/>
                <w:color w:val="000000" w:themeColor="text1"/>
                <w:kern w:val="0"/>
                <w:sz w:val="28"/>
                <w:szCs w:val="28"/>
                <w:highlight w:val="none"/>
                <w:lang w:val="en-US" w:eastAsia="zh-CN"/>
                <w14:textFill>
                  <w14:solidFill>
                    <w14:schemeClr w14:val="tx1"/>
                  </w14:solidFill>
                </w14:textFill>
              </w:rPr>
            </w:pPr>
            <w:r>
              <w:rPr>
                <w:rFonts w:hint="eastAsia" w:ascii="宋体" w:hAnsi="宋体" w:eastAsia="宋体" w:cs="宋体"/>
                <w:color w:val="000000" w:themeColor="text1"/>
                <w:kern w:val="0"/>
                <w:sz w:val="28"/>
                <w:szCs w:val="28"/>
                <w:highlight w:val="none"/>
                <w:lang w:val="en-US" w:eastAsia="zh-CN"/>
                <w14:textFill>
                  <w14:solidFill>
                    <w14:schemeClr w14:val="tx1"/>
                  </w14:solidFill>
                </w14:textFill>
              </w:rPr>
              <w:t>3.</w:t>
            </w:r>
            <w:r>
              <w:rPr>
                <w:rFonts w:hint="eastAsia" w:ascii="宋体" w:hAnsi="宋体" w:cs="宋体"/>
                <w:color w:val="000000" w:themeColor="text1"/>
                <w:kern w:val="0"/>
                <w:sz w:val="28"/>
                <w:szCs w:val="28"/>
                <w:highlight w:val="none"/>
                <w:lang w:val="en-US" w:eastAsia="zh-CN"/>
                <w14:textFill>
                  <w14:solidFill>
                    <w14:schemeClr w14:val="tx1"/>
                  </w14:solidFill>
                </w14:textFill>
              </w:rPr>
              <w:t>所投</w:t>
            </w:r>
            <w:r>
              <w:rPr>
                <w:rFonts w:hint="eastAsia" w:ascii="宋体" w:hAnsi="宋体" w:eastAsia="宋体" w:cs="宋体"/>
                <w:color w:val="000000" w:themeColor="text1"/>
                <w:kern w:val="0"/>
                <w:sz w:val="28"/>
                <w:szCs w:val="28"/>
                <w:highlight w:val="none"/>
                <w:lang w:val="en-US" w:eastAsia="zh-CN"/>
                <w14:textFill>
                  <w14:solidFill>
                    <w14:schemeClr w14:val="tx1"/>
                  </w14:solidFill>
                </w14:textFill>
              </w:rPr>
              <w:t>产品一般技术参数存在负偏离的，每一条扣</w:t>
            </w:r>
            <w:r>
              <w:rPr>
                <w:rFonts w:hint="eastAsia" w:ascii="宋体" w:hAnsi="宋体" w:cs="宋体"/>
                <w:color w:val="000000" w:themeColor="text1"/>
                <w:kern w:val="0"/>
                <w:sz w:val="28"/>
                <w:szCs w:val="28"/>
                <w:highlight w:val="none"/>
                <w:lang w:val="en-US" w:eastAsia="zh-CN"/>
                <w14:textFill>
                  <w14:solidFill>
                    <w14:schemeClr w14:val="tx1"/>
                  </w14:solidFill>
                </w14:textFill>
              </w:rPr>
              <w:t>10</w:t>
            </w:r>
            <w:r>
              <w:rPr>
                <w:rFonts w:hint="eastAsia" w:ascii="宋体" w:hAnsi="宋体" w:eastAsia="宋体" w:cs="宋体"/>
                <w:color w:val="000000" w:themeColor="text1"/>
                <w:kern w:val="0"/>
                <w:sz w:val="28"/>
                <w:szCs w:val="28"/>
                <w:highlight w:val="none"/>
                <w:lang w:val="en-US" w:eastAsia="zh-CN"/>
                <w14:textFill>
                  <w14:solidFill>
                    <w14:schemeClr w14:val="tx1"/>
                  </w14:solidFill>
                </w14:textFill>
              </w:rPr>
              <w:t>分，</w:t>
            </w:r>
            <w:r>
              <w:rPr>
                <w:rFonts w:hint="eastAsia" w:ascii="宋体" w:hAnsi="宋体" w:cs="宋体"/>
                <w:color w:val="000000" w:themeColor="text1"/>
                <w:kern w:val="0"/>
                <w:sz w:val="28"/>
                <w:szCs w:val="28"/>
                <w:highlight w:val="none"/>
                <w:lang w:val="en-US" w:eastAsia="zh-CN"/>
                <w14:textFill>
                  <w14:solidFill>
                    <w14:schemeClr w14:val="tx1"/>
                  </w14:solidFill>
                </w14:textFill>
              </w:rPr>
              <w:t>扣完为止</w:t>
            </w:r>
            <w:r>
              <w:rPr>
                <w:rFonts w:hint="eastAsia" w:ascii="宋体" w:hAnsi="宋体" w:eastAsia="宋体" w:cs="宋体"/>
                <w:color w:val="000000" w:themeColor="text1"/>
                <w:kern w:val="0"/>
                <w:sz w:val="28"/>
                <w:szCs w:val="28"/>
                <w:highlight w:val="none"/>
                <w:lang w:val="en-US" w:eastAsia="zh-CN"/>
                <w14:textFill>
                  <w14:solidFill>
                    <w14:schemeClr w14:val="tx1"/>
                  </w14:solidFill>
                </w14:textFill>
              </w:rPr>
              <w:t>。</w:t>
            </w:r>
          </w:p>
          <w:p w14:paraId="1061E93A">
            <w:pPr>
              <w:pageBreakBefore w:val="0"/>
              <w:numPr>
                <w:ilvl w:val="0"/>
                <w:numId w:val="0"/>
              </w:numPr>
              <w:kinsoku/>
              <w:wordWrap/>
              <w:overflowPunct/>
              <w:topLinePunct w:val="0"/>
              <w:autoSpaceDE/>
              <w:autoSpaceDN/>
              <w:bidi w:val="0"/>
              <w:spacing w:line="560" w:lineRule="exact"/>
              <w:jc w:val="left"/>
              <w:textAlignment w:val="auto"/>
              <w:rPr>
                <w:rFonts w:hint="default" w:ascii="宋体" w:hAnsi="宋体" w:eastAsia="宋体" w:cs="宋体"/>
                <w:color w:val="000000" w:themeColor="text1"/>
                <w:kern w:val="0"/>
                <w:sz w:val="28"/>
                <w:szCs w:val="28"/>
                <w:highlight w:val="none"/>
                <w:lang w:val="en-US" w:eastAsia="zh-CN"/>
                <w14:textFill>
                  <w14:solidFill>
                    <w14:schemeClr w14:val="tx1"/>
                  </w14:solidFill>
                </w14:textFill>
              </w:rPr>
            </w:pPr>
            <w:r>
              <w:rPr>
                <w:b/>
                <w:bCs/>
                <w:color w:val="000000" w:themeColor="text1"/>
                <w:sz w:val="28"/>
                <w:szCs w:val="28"/>
                <w:highlight w:val="none"/>
                <w14:textFill>
                  <w14:solidFill>
                    <w14:schemeClr w14:val="tx1"/>
                  </w14:solidFill>
                </w14:textFill>
              </w:rPr>
              <w:t>注：负偏离评审依据：</w:t>
            </w:r>
            <w:r>
              <w:rPr>
                <w:rFonts w:hint="eastAsia"/>
                <w:b/>
                <w:bCs/>
                <w:color w:val="000000" w:themeColor="text1"/>
                <w:sz w:val="28"/>
                <w:szCs w:val="28"/>
                <w:highlight w:val="none"/>
                <w14:textFill>
                  <w14:solidFill>
                    <w14:schemeClr w14:val="tx1"/>
                  </w14:solidFill>
                </w14:textFill>
              </w:rPr>
              <w:t>①</w:t>
            </w:r>
            <w:r>
              <w:rPr>
                <w:b/>
                <w:bCs/>
                <w:color w:val="000000" w:themeColor="text1"/>
                <w:sz w:val="28"/>
                <w:szCs w:val="28"/>
                <w:highlight w:val="none"/>
                <w14:textFill>
                  <w14:solidFill>
                    <w14:schemeClr w14:val="tx1"/>
                  </w14:solidFill>
                </w14:textFill>
              </w:rPr>
              <w:t>所</w:t>
            </w:r>
            <w:r>
              <w:rPr>
                <w:rFonts w:hint="eastAsia"/>
                <w:b/>
                <w:bCs/>
                <w:color w:val="000000" w:themeColor="text1"/>
                <w:sz w:val="28"/>
                <w:szCs w:val="28"/>
                <w:highlight w:val="none"/>
                <w14:textFill>
                  <w14:solidFill>
                    <w14:schemeClr w14:val="tx1"/>
                  </w14:solidFill>
                </w14:textFill>
              </w:rPr>
              <w:t>提供</w:t>
            </w:r>
            <w:r>
              <w:rPr>
                <w:b/>
                <w:bCs/>
                <w:color w:val="000000" w:themeColor="text1"/>
                <w:sz w:val="28"/>
                <w:szCs w:val="28"/>
                <w:highlight w:val="none"/>
                <w14:textFill>
                  <w14:solidFill>
                    <w14:schemeClr w14:val="tx1"/>
                  </w14:solidFill>
                </w14:textFill>
              </w:rPr>
              <w:t>产品技术参数低于</w:t>
            </w:r>
            <w:r>
              <w:rPr>
                <w:rFonts w:hint="eastAsia"/>
                <w:b/>
                <w:bCs/>
                <w:color w:val="000000" w:themeColor="text1"/>
                <w:sz w:val="28"/>
                <w:szCs w:val="28"/>
                <w:highlight w:val="none"/>
                <w14:textFill>
                  <w14:solidFill>
                    <w14:schemeClr w14:val="tx1"/>
                  </w14:solidFill>
                </w14:textFill>
              </w:rPr>
              <w:t>招标</w:t>
            </w:r>
            <w:r>
              <w:rPr>
                <w:b/>
                <w:bCs/>
                <w:color w:val="000000" w:themeColor="text1"/>
                <w:sz w:val="28"/>
                <w:szCs w:val="28"/>
                <w:highlight w:val="none"/>
                <w14:textFill>
                  <w14:solidFill>
                    <w14:schemeClr w14:val="tx1"/>
                  </w14:solidFill>
                </w14:textFill>
              </w:rPr>
              <w:t>文件要求的，视为负偏离；</w:t>
            </w:r>
            <w:r>
              <w:rPr>
                <w:rFonts w:hint="eastAsia"/>
                <w:b/>
                <w:bCs/>
                <w:color w:val="000000" w:themeColor="text1"/>
                <w:sz w:val="28"/>
                <w:szCs w:val="28"/>
                <w:highlight w:val="none"/>
                <w14:textFill>
                  <w14:solidFill>
                    <w14:schemeClr w14:val="tx1"/>
                  </w14:solidFill>
                </w14:textFill>
              </w:rPr>
              <w:t>②</w:t>
            </w:r>
            <w:r>
              <w:rPr>
                <w:b/>
                <w:bCs/>
                <w:color w:val="000000" w:themeColor="text1"/>
                <w:sz w:val="28"/>
                <w:szCs w:val="28"/>
                <w:highlight w:val="none"/>
                <w14:textFill>
                  <w14:solidFill>
                    <w14:schemeClr w14:val="tx1"/>
                  </w14:solidFill>
                </w14:textFill>
              </w:rPr>
              <w:t>技术参数响应条款</w:t>
            </w:r>
            <w:r>
              <w:rPr>
                <w:rFonts w:hint="eastAsia"/>
                <w:b/>
                <w:bCs/>
                <w:color w:val="000000" w:themeColor="text1"/>
                <w:sz w:val="28"/>
                <w:szCs w:val="28"/>
                <w:highlight w:val="none"/>
                <w14:textFill>
                  <w14:solidFill>
                    <w14:schemeClr w14:val="tx1"/>
                  </w14:solidFill>
                </w14:textFill>
              </w:rPr>
              <w:t>（以投标文件内技术偏离表为准）</w:t>
            </w:r>
            <w:r>
              <w:rPr>
                <w:b/>
                <w:bCs/>
                <w:color w:val="000000" w:themeColor="text1"/>
                <w:sz w:val="28"/>
                <w:szCs w:val="28"/>
                <w:highlight w:val="none"/>
                <w14:textFill>
                  <w14:solidFill>
                    <w14:schemeClr w14:val="tx1"/>
                  </w14:solidFill>
                </w14:textFill>
              </w:rPr>
              <w:t>与</w:t>
            </w:r>
            <w:r>
              <w:rPr>
                <w:rFonts w:hint="eastAsia"/>
                <w:b/>
                <w:bCs/>
                <w:color w:val="000000" w:themeColor="text1"/>
                <w:sz w:val="28"/>
                <w:szCs w:val="28"/>
                <w:highlight w:val="none"/>
                <w14:textFill>
                  <w14:solidFill>
                    <w14:schemeClr w14:val="tx1"/>
                  </w14:solidFill>
                </w14:textFill>
              </w:rPr>
              <w:t>招标</w:t>
            </w:r>
            <w:r>
              <w:rPr>
                <w:b/>
                <w:bCs/>
                <w:color w:val="000000" w:themeColor="text1"/>
                <w:sz w:val="28"/>
                <w:szCs w:val="28"/>
                <w:highlight w:val="none"/>
                <w14:textFill>
                  <w14:solidFill>
                    <w14:schemeClr w14:val="tx1"/>
                  </w14:solidFill>
                </w14:textFill>
              </w:rPr>
              <w:t>文件对比有缺项、漏项的，视为负偏离；</w:t>
            </w:r>
            <w:r>
              <w:rPr>
                <w:rFonts w:hint="eastAsia"/>
                <w:b/>
                <w:bCs/>
                <w:color w:val="000000" w:themeColor="text1"/>
                <w:sz w:val="28"/>
                <w:szCs w:val="28"/>
                <w:highlight w:val="none"/>
                <w14:textFill>
                  <w14:solidFill>
                    <w14:schemeClr w14:val="tx1"/>
                  </w14:solidFill>
                </w14:textFill>
              </w:rPr>
              <w:t>③投标文件内技术偏离表完全复制招标文件技术参数的（不涉及具体参数指标的描述性技术要求除外），视为负偏离；</w:t>
            </w:r>
          </w:p>
        </w:tc>
        <w:tc>
          <w:tcPr>
            <w:tcW w:w="1088" w:type="dxa"/>
            <w:vAlign w:val="center"/>
          </w:tcPr>
          <w:p w14:paraId="5821668E">
            <w:pPr>
              <w:pageBreakBefore w:val="0"/>
              <w:kinsoku/>
              <w:wordWrap/>
              <w:overflowPunct/>
              <w:topLinePunct w:val="0"/>
              <w:autoSpaceDE/>
              <w:autoSpaceDN/>
              <w:bidi w:val="0"/>
              <w:spacing w:line="560" w:lineRule="exact"/>
              <w:jc w:val="center"/>
              <w:textAlignment w:val="auto"/>
              <w:rPr>
                <w:rFonts w:hint="default" w:asciiTheme="minorEastAsia" w:hAnsiTheme="minorEastAsia" w:eastAsiaTheme="minorEastAsia"/>
                <w:bCs/>
                <w:color w:val="000000" w:themeColor="text1"/>
                <w:kern w:val="0"/>
                <w:sz w:val="28"/>
                <w:szCs w:val="28"/>
                <w:highlight w:val="none"/>
                <w:lang w:val="en-US"/>
                <w14:textFill>
                  <w14:solidFill>
                    <w14:schemeClr w14:val="tx1"/>
                  </w14:solidFill>
                </w14:textFill>
              </w:rPr>
            </w:pPr>
            <w:r>
              <w:rPr>
                <w:rFonts w:hint="eastAsia" w:ascii="宋体" w:hAnsi="宋体" w:cs="宋体"/>
                <w:color w:val="000000" w:themeColor="text1"/>
                <w:kern w:val="0"/>
                <w:sz w:val="28"/>
                <w:szCs w:val="28"/>
                <w:highlight w:val="none"/>
                <w:lang w:val="en-US" w:eastAsia="zh-CN"/>
                <w14:textFill>
                  <w14:solidFill>
                    <w14:schemeClr w14:val="tx1"/>
                  </w14:solidFill>
                </w14:textFill>
              </w:rPr>
              <w:t>36</w:t>
            </w:r>
          </w:p>
        </w:tc>
      </w:tr>
      <w:tr w14:paraId="192B7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 w:type="dxa"/>
            <w:vAlign w:val="center"/>
          </w:tcPr>
          <w:p w14:paraId="5D49C9E6">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bCs/>
                <w:color w:val="000000" w:themeColor="text1"/>
                <w:kern w:val="0"/>
                <w:sz w:val="28"/>
                <w:szCs w:val="28"/>
                <w:highlight w:val="none"/>
                <w:lang w:val="en-US" w:eastAsia="zh-CN"/>
                <w14:textFill>
                  <w14:solidFill>
                    <w14:schemeClr w14:val="tx1"/>
                  </w14:solidFill>
                </w14:textFill>
              </w:rPr>
            </w:pPr>
            <w:r>
              <w:rPr>
                <w:rFonts w:hint="eastAsia" w:asciiTheme="minorEastAsia" w:hAnsiTheme="minorEastAsia" w:eastAsiaTheme="minorEastAsia"/>
                <w:bCs/>
                <w:color w:val="000000" w:themeColor="text1"/>
                <w:kern w:val="0"/>
                <w:sz w:val="28"/>
                <w:szCs w:val="28"/>
                <w:highlight w:val="none"/>
                <w:lang w:val="en-US" w:eastAsia="zh-CN"/>
                <w14:textFill>
                  <w14:solidFill>
                    <w14:schemeClr w14:val="tx1"/>
                  </w14:solidFill>
                </w14:textFill>
              </w:rPr>
              <w:t>2</w:t>
            </w:r>
          </w:p>
        </w:tc>
        <w:tc>
          <w:tcPr>
            <w:tcW w:w="1500" w:type="dxa"/>
            <w:vAlign w:val="center"/>
          </w:tcPr>
          <w:p w14:paraId="20707182">
            <w:pPr>
              <w:pageBreakBefore w:val="0"/>
              <w:kinsoku/>
              <w:wordWrap/>
              <w:overflowPunct/>
              <w:topLinePunct w:val="0"/>
              <w:autoSpaceDE/>
              <w:autoSpaceDN/>
              <w:bidi w:val="0"/>
              <w:spacing w:line="560" w:lineRule="exact"/>
              <w:jc w:val="center"/>
              <w:textAlignment w:val="auto"/>
              <w:rPr>
                <w:rFonts w:hint="eastAsia" w:ascii="宋体" w:hAnsi="宋体" w:eastAsia="宋体" w:cs="宋体"/>
                <w:color w:val="000000" w:themeColor="text1"/>
                <w:kern w:val="0"/>
                <w:sz w:val="28"/>
                <w:szCs w:val="28"/>
                <w:highlight w:val="none"/>
                <w:lang w:eastAsia="zh-CN"/>
                <w14:textFill>
                  <w14:solidFill>
                    <w14:schemeClr w14:val="tx1"/>
                  </w14:solidFill>
                </w14:textFill>
              </w:rPr>
            </w:pPr>
            <w:r>
              <w:rPr>
                <w:rFonts w:hint="eastAsia" w:ascii="宋体" w:hAnsi="宋体" w:eastAsia="宋体" w:cs="宋体"/>
                <w:color w:val="000000" w:themeColor="text1"/>
                <w:kern w:val="0"/>
                <w:sz w:val="28"/>
                <w:szCs w:val="28"/>
                <w:highlight w:val="none"/>
                <w14:textFill>
                  <w14:solidFill>
                    <w14:schemeClr w14:val="tx1"/>
                  </w14:solidFill>
                </w14:textFill>
              </w:rPr>
              <w:t>项目实施总体方案</w:t>
            </w:r>
          </w:p>
        </w:tc>
        <w:tc>
          <w:tcPr>
            <w:tcW w:w="6283" w:type="dxa"/>
            <w:vAlign w:val="center"/>
          </w:tcPr>
          <w:p w14:paraId="1BFDE456">
            <w:pPr>
              <w:pageBreakBefore w:val="0"/>
              <w:kinsoku/>
              <w:wordWrap/>
              <w:overflowPunct/>
              <w:topLinePunct w:val="0"/>
              <w:autoSpaceDE/>
              <w:autoSpaceDN/>
              <w:bidi w:val="0"/>
              <w:spacing w:line="560" w:lineRule="exact"/>
              <w:jc w:val="left"/>
              <w:textAlignment w:val="auto"/>
              <w:rPr>
                <w:rFonts w:hint="eastAsia" w:ascii="宋体" w:hAnsi="宋体" w:eastAsia="宋体" w:cs="宋体"/>
                <w:color w:val="000000" w:themeColor="text1"/>
                <w:kern w:val="0"/>
                <w:sz w:val="28"/>
                <w:szCs w:val="28"/>
                <w:highlight w:val="none"/>
                <w14:textFill>
                  <w14:solidFill>
                    <w14:schemeClr w14:val="tx1"/>
                  </w14:solidFill>
                </w14:textFill>
              </w:rPr>
            </w:pPr>
            <w:r>
              <w:rPr>
                <w:rFonts w:hint="eastAsia" w:ascii="宋体" w:hAnsi="宋体" w:eastAsia="宋体" w:cs="宋体"/>
                <w:color w:val="000000" w:themeColor="text1"/>
                <w:kern w:val="0"/>
                <w:sz w:val="28"/>
                <w:szCs w:val="28"/>
                <w:highlight w:val="none"/>
                <w14:textFill>
                  <w14:solidFill>
                    <w14:schemeClr w14:val="tx1"/>
                  </w14:solidFill>
                </w14:textFill>
              </w:rPr>
              <w:t>项目实施总体方案：1、针对本项目有供货安装调试</w:t>
            </w:r>
            <w:r>
              <w:rPr>
                <w:rFonts w:hint="eastAsia" w:ascii="宋体" w:hAnsi="宋体" w:eastAsia="宋体" w:cs="宋体"/>
                <w:color w:val="000000" w:themeColor="text1"/>
                <w:kern w:val="0"/>
                <w:sz w:val="28"/>
                <w:szCs w:val="28"/>
                <w:highlight w:val="none"/>
                <w:lang w:eastAsia="zh-CN"/>
                <w14:textFill>
                  <w14:solidFill>
                    <w14:schemeClr w14:val="tx1"/>
                  </w14:solidFill>
                </w14:textFill>
              </w:rPr>
              <w:t>方案</w:t>
            </w:r>
            <w:r>
              <w:rPr>
                <w:rFonts w:hint="eastAsia" w:ascii="宋体" w:hAnsi="宋体" w:cs="宋体"/>
                <w:color w:val="000000" w:themeColor="text1"/>
                <w:kern w:val="0"/>
                <w:sz w:val="28"/>
                <w:szCs w:val="28"/>
                <w:highlight w:val="none"/>
                <w:lang w:eastAsia="zh-CN"/>
                <w14:textFill>
                  <w14:solidFill>
                    <w14:schemeClr w14:val="tx1"/>
                  </w14:solidFill>
                </w14:textFill>
              </w:rPr>
              <w:t>、</w:t>
            </w:r>
            <w:r>
              <w:rPr>
                <w:rFonts w:hint="eastAsia" w:ascii="宋体" w:hAnsi="宋体" w:eastAsia="宋体" w:cs="宋体"/>
                <w:color w:val="000000" w:themeColor="text1"/>
                <w:kern w:val="0"/>
                <w:sz w:val="28"/>
                <w:szCs w:val="28"/>
                <w:highlight w:val="none"/>
                <w14:textFill>
                  <w14:solidFill>
                    <w14:schemeClr w14:val="tx1"/>
                  </w14:solidFill>
                </w14:textFill>
              </w:rPr>
              <w:t>人员安排方案，每有一项得</w:t>
            </w:r>
            <w:r>
              <w:rPr>
                <w:rFonts w:hint="eastAsia" w:ascii="宋体" w:hAnsi="宋体" w:cs="宋体"/>
                <w:color w:val="000000" w:themeColor="text1"/>
                <w:kern w:val="0"/>
                <w:sz w:val="28"/>
                <w:szCs w:val="28"/>
                <w:highlight w:val="none"/>
                <w:lang w:val="en-US" w:eastAsia="zh-CN"/>
                <w14:textFill>
                  <w14:solidFill>
                    <w14:schemeClr w14:val="tx1"/>
                  </w14:solidFill>
                </w14:textFill>
              </w:rPr>
              <w:t>1</w:t>
            </w:r>
            <w:r>
              <w:rPr>
                <w:rFonts w:hint="eastAsia" w:ascii="宋体" w:hAnsi="宋体" w:eastAsia="宋体" w:cs="宋体"/>
                <w:color w:val="000000" w:themeColor="text1"/>
                <w:kern w:val="0"/>
                <w:sz w:val="28"/>
                <w:szCs w:val="28"/>
                <w:highlight w:val="none"/>
                <w14:textFill>
                  <w14:solidFill>
                    <w14:schemeClr w14:val="tx1"/>
                  </w14:solidFill>
                </w14:textFill>
              </w:rPr>
              <w:t>分，满</w:t>
            </w:r>
            <w:r>
              <w:rPr>
                <w:rFonts w:hint="eastAsia" w:ascii="宋体" w:hAnsi="宋体" w:cs="宋体"/>
                <w:color w:val="000000" w:themeColor="text1"/>
                <w:kern w:val="0"/>
                <w:sz w:val="28"/>
                <w:szCs w:val="28"/>
                <w:highlight w:val="none"/>
                <w:lang w:val="en-US" w:eastAsia="zh-CN"/>
                <w14:textFill>
                  <w14:solidFill>
                    <w14:schemeClr w14:val="tx1"/>
                  </w14:solidFill>
                </w14:textFill>
              </w:rPr>
              <w:t>2</w:t>
            </w:r>
            <w:r>
              <w:rPr>
                <w:rFonts w:hint="eastAsia" w:ascii="宋体" w:hAnsi="宋体" w:eastAsia="宋体" w:cs="宋体"/>
                <w:color w:val="000000" w:themeColor="text1"/>
                <w:kern w:val="0"/>
                <w:sz w:val="28"/>
                <w:szCs w:val="28"/>
                <w:highlight w:val="none"/>
                <w14:textFill>
                  <w14:solidFill>
                    <w14:schemeClr w14:val="tx1"/>
                  </w14:solidFill>
                </w14:textFill>
              </w:rPr>
              <w:t>分，未提供不得分；2、有安全保证措施、成品保护措施每有一项得</w:t>
            </w:r>
            <w:r>
              <w:rPr>
                <w:rFonts w:hint="eastAsia" w:ascii="宋体" w:hAnsi="宋体" w:cs="宋体"/>
                <w:color w:val="000000" w:themeColor="text1"/>
                <w:kern w:val="0"/>
                <w:sz w:val="28"/>
                <w:szCs w:val="28"/>
                <w:highlight w:val="none"/>
                <w:lang w:val="en-US" w:eastAsia="zh-CN"/>
                <w14:textFill>
                  <w14:solidFill>
                    <w14:schemeClr w14:val="tx1"/>
                  </w14:solidFill>
                </w14:textFill>
              </w:rPr>
              <w:t>1</w:t>
            </w:r>
            <w:r>
              <w:rPr>
                <w:rFonts w:hint="eastAsia" w:ascii="宋体" w:hAnsi="宋体" w:eastAsia="宋体" w:cs="宋体"/>
                <w:color w:val="000000" w:themeColor="text1"/>
                <w:kern w:val="0"/>
                <w:sz w:val="28"/>
                <w:szCs w:val="28"/>
                <w:highlight w:val="none"/>
                <w14:textFill>
                  <w14:solidFill>
                    <w14:schemeClr w14:val="tx1"/>
                  </w14:solidFill>
                </w14:textFill>
              </w:rPr>
              <w:t>分，满分</w:t>
            </w:r>
            <w:r>
              <w:rPr>
                <w:rFonts w:hint="eastAsia" w:ascii="宋体" w:hAnsi="宋体" w:cs="宋体"/>
                <w:color w:val="000000" w:themeColor="text1"/>
                <w:kern w:val="0"/>
                <w:sz w:val="28"/>
                <w:szCs w:val="28"/>
                <w:highlight w:val="none"/>
                <w:lang w:val="en-US" w:eastAsia="zh-CN"/>
                <w14:textFill>
                  <w14:solidFill>
                    <w14:schemeClr w14:val="tx1"/>
                  </w14:solidFill>
                </w14:textFill>
              </w:rPr>
              <w:t>2</w:t>
            </w:r>
            <w:r>
              <w:rPr>
                <w:rFonts w:hint="eastAsia" w:ascii="宋体" w:hAnsi="宋体" w:eastAsia="宋体" w:cs="宋体"/>
                <w:color w:val="000000" w:themeColor="text1"/>
                <w:kern w:val="0"/>
                <w:sz w:val="28"/>
                <w:szCs w:val="28"/>
                <w:highlight w:val="none"/>
                <w14:textFill>
                  <w14:solidFill>
                    <w14:schemeClr w14:val="tx1"/>
                  </w14:solidFill>
                </w14:textFill>
              </w:rPr>
              <w:t>分，未提供不得分；</w:t>
            </w:r>
            <w:r>
              <w:rPr>
                <w:rFonts w:hint="eastAsia" w:ascii="宋体" w:hAnsi="宋体" w:eastAsia="宋体" w:cs="宋体"/>
                <w:color w:val="000000" w:themeColor="text1"/>
                <w:kern w:val="0"/>
                <w:sz w:val="28"/>
                <w:szCs w:val="28"/>
                <w:highlight w:val="none"/>
                <w:lang w:val="en-US" w:eastAsia="zh-CN" w:bidi="ar-SA"/>
                <w14:textFill>
                  <w14:solidFill>
                    <w14:schemeClr w14:val="tx1"/>
                  </w14:solidFill>
                </w14:textFill>
              </w:rPr>
              <w:t>3、</w:t>
            </w:r>
            <w:r>
              <w:rPr>
                <w:rFonts w:hint="eastAsia" w:ascii="宋体" w:hAnsi="宋体" w:eastAsia="宋体" w:cs="宋体"/>
                <w:color w:val="000000" w:themeColor="text1"/>
                <w:kern w:val="0"/>
                <w:sz w:val="28"/>
                <w:szCs w:val="28"/>
                <w:highlight w:val="none"/>
                <w14:textFill>
                  <w14:solidFill>
                    <w14:schemeClr w14:val="tx1"/>
                  </w14:solidFill>
                </w14:textFill>
              </w:rPr>
              <w:t>有</w:t>
            </w:r>
            <w:r>
              <w:rPr>
                <w:rFonts w:hint="eastAsia" w:ascii="宋体" w:hAnsi="宋体" w:cs="宋体"/>
                <w:color w:val="000000" w:themeColor="text1"/>
                <w:kern w:val="0"/>
                <w:sz w:val="28"/>
                <w:szCs w:val="28"/>
                <w:highlight w:val="none"/>
                <w:lang w:eastAsia="zh-CN"/>
                <w14:textFill>
                  <w14:solidFill>
                    <w14:schemeClr w14:val="tx1"/>
                  </w14:solidFill>
                </w14:textFill>
              </w:rPr>
              <w:t>运输保障措施、</w:t>
            </w:r>
            <w:r>
              <w:rPr>
                <w:rFonts w:hint="eastAsia" w:ascii="宋体" w:hAnsi="宋体" w:eastAsia="宋体" w:cs="宋体"/>
                <w:color w:val="000000" w:themeColor="text1"/>
                <w:kern w:val="0"/>
                <w:sz w:val="28"/>
                <w:szCs w:val="28"/>
                <w:highlight w:val="none"/>
                <w14:textFill>
                  <w14:solidFill>
                    <w14:schemeClr w14:val="tx1"/>
                  </w14:solidFill>
                </w14:textFill>
              </w:rPr>
              <w:t>供货应急处理措施</w:t>
            </w:r>
            <w:r>
              <w:rPr>
                <w:rFonts w:hint="eastAsia" w:ascii="宋体" w:hAnsi="宋体" w:cs="宋体"/>
                <w:color w:val="000000" w:themeColor="text1"/>
                <w:kern w:val="0"/>
                <w:sz w:val="28"/>
                <w:szCs w:val="28"/>
                <w:highlight w:val="none"/>
                <w:lang w:eastAsia="zh-CN"/>
                <w14:textFill>
                  <w14:solidFill>
                    <w14:schemeClr w14:val="tx1"/>
                  </w14:solidFill>
                </w14:textFill>
              </w:rPr>
              <w:t>，每有一项得</w:t>
            </w:r>
            <w:r>
              <w:rPr>
                <w:rFonts w:hint="eastAsia" w:ascii="宋体" w:hAnsi="宋体" w:cs="宋体"/>
                <w:color w:val="000000" w:themeColor="text1"/>
                <w:kern w:val="0"/>
                <w:sz w:val="28"/>
                <w:szCs w:val="28"/>
                <w:highlight w:val="none"/>
                <w:lang w:val="en-US" w:eastAsia="zh-CN"/>
                <w14:textFill>
                  <w14:solidFill>
                    <w14:schemeClr w14:val="tx1"/>
                  </w14:solidFill>
                </w14:textFill>
              </w:rPr>
              <w:t>1</w:t>
            </w:r>
            <w:r>
              <w:rPr>
                <w:rFonts w:hint="eastAsia" w:ascii="宋体" w:hAnsi="宋体" w:eastAsia="宋体" w:cs="宋体"/>
                <w:color w:val="000000" w:themeColor="text1"/>
                <w:kern w:val="0"/>
                <w:sz w:val="28"/>
                <w:szCs w:val="28"/>
                <w:highlight w:val="none"/>
                <w14:textFill>
                  <w14:solidFill>
                    <w14:schemeClr w14:val="tx1"/>
                  </w14:solidFill>
                </w14:textFill>
              </w:rPr>
              <w:t>分，</w:t>
            </w:r>
            <w:r>
              <w:rPr>
                <w:rFonts w:hint="eastAsia" w:ascii="宋体" w:hAnsi="宋体" w:cs="宋体"/>
                <w:color w:val="000000" w:themeColor="text1"/>
                <w:kern w:val="0"/>
                <w:sz w:val="28"/>
                <w:szCs w:val="28"/>
                <w:highlight w:val="none"/>
                <w:lang w:eastAsia="zh-CN"/>
                <w14:textFill>
                  <w14:solidFill>
                    <w14:schemeClr w14:val="tx1"/>
                  </w14:solidFill>
                </w14:textFill>
              </w:rPr>
              <w:t>满分</w:t>
            </w:r>
            <w:r>
              <w:rPr>
                <w:rFonts w:hint="eastAsia" w:ascii="宋体" w:hAnsi="宋体" w:cs="宋体"/>
                <w:color w:val="000000" w:themeColor="text1"/>
                <w:kern w:val="0"/>
                <w:sz w:val="28"/>
                <w:szCs w:val="28"/>
                <w:highlight w:val="none"/>
                <w:lang w:val="en-US" w:eastAsia="zh-CN"/>
                <w14:textFill>
                  <w14:solidFill>
                    <w14:schemeClr w14:val="tx1"/>
                  </w14:solidFill>
                </w14:textFill>
              </w:rPr>
              <w:t>2分；</w:t>
            </w:r>
            <w:r>
              <w:rPr>
                <w:rFonts w:hint="eastAsia" w:ascii="宋体" w:hAnsi="宋体" w:eastAsia="宋体" w:cs="宋体"/>
                <w:color w:val="000000" w:themeColor="text1"/>
                <w:kern w:val="0"/>
                <w:sz w:val="28"/>
                <w:szCs w:val="28"/>
                <w:highlight w:val="none"/>
                <w14:textFill>
                  <w14:solidFill>
                    <w14:schemeClr w14:val="tx1"/>
                  </w14:solidFill>
                </w14:textFill>
              </w:rPr>
              <w:t>未提供不得分。</w:t>
            </w:r>
          </w:p>
          <w:p w14:paraId="6C5743BD">
            <w:pPr>
              <w:pageBreakBefore w:val="0"/>
              <w:kinsoku/>
              <w:wordWrap/>
              <w:overflowPunct/>
              <w:topLinePunct w:val="0"/>
              <w:autoSpaceDE/>
              <w:autoSpaceDN/>
              <w:bidi w:val="0"/>
              <w:spacing w:line="560" w:lineRule="exact"/>
              <w:jc w:val="left"/>
              <w:textAlignment w:val="auto"/>
              <w:rPr>
                <w:rFonts w:hint="default"/>
                <w:b w:val="0"/>
                <w:bCs w:val="0"/>
                <w:color w:val="000000" w:themeColor="text1"/>
                <w:sz w:val="28"/>
                <w:szCs w:val="28"/>
                <w:highlight w:val="none"/>
                <w:lang w:val="en-US" w:eastAsia="zh-CN"/>
                <w14:textFill>
                  <w14:solidFill>
                    <w14:schemeClr w14:val="tx1"/>
                  </w14:solidFill>
                </w14:textFill>
              </w:rPr>
            </w:pPr>
            <w:r>
              <w:rPr>
                <w:rFonts w:hint="eastAsia" w:ascii="宋体" w:hAnsi="宋体" w:cs="宋体"/>
                <w:color w:val="000000" w:themeColor="text1"/>
                <w:kern w:val="0"/>
                <w:sz w:val="28"/>
                <w:szCs w:val="28"/>
                <w:highlight w:val="none"/>
                <w:lang w:eastAsia="zh-CN"/>
                <w14:textFill>
                  <w14:solidFill>
                    <w14:schemeClr w14:val="tx1"/>
                  </w14:solidFill>
                </w14:textFill>
              </w:rPr>
              <w:t>注</w:t>
            </w:r>
            <w:r>
              <w:rPr>
                <w:rFonts w:hint="eastAsia" w:ascii="宋体" w:hAnsi="宋体" w:cs="宋体"/>
                <w:color w:val="000000" w:themeColor="text1"/>
                <w:kern w:val="0"/>
                <w:sz w:val="28"/>
                <w:szCs w:val="28"/>
                <w:highlight w:val="none"/>
                <w:lang w:val="en-US" w:eastAsia="zh-CN"/>
                <w14:textFill>
                  <w14:solidFill>
                    <w14:schemeClr w14:val="tx1"/>
                  </w14:solidFill>
                </w14:textFill>
              </w:rPr>
              <w:t>:</w:t>
            </w:r>
            <w:r>
              <w:rPr>
                <w:rFonts w:hint="eastAsia" w:ascii="宋体" w:hAnsi="宋体" w:eastAsia="宋体" w:cs="宋体"/>
                <w:color w:val="000000" w:themeColor="text1"/>
                <w:kern w:val="0"/>
                <w:sz w:val="28"/>
                <w:szCs w:val="28"/>
                <w:highlight w:val="none"/>
                <w:lang w:eastAsia="zh-CN"/>
                <w14:textFill>
                  <w14:solidFill>
                    <w14:schemeClr w14:val="tx1"/>
                  </w14:solidFill>
                </w14:textFill>
              </w:rPr>
              <w:t>以上</w:t>
            </w:r>
            <w:r>
              <w:rPr>
                <w:rFonts w:hint="eastAsia" w:ascii="宋体" w:hAnsi="宋体" w:cs="宋体"/>
                <w:color w:val="000000" w:themeColor="text1"/>
                <w:kern w:val="0"/>
                <w:sz w:val="28"/>
                <w:szCs w:val="28"/>
                <w:highlight w:val="none"/>
                <w:lang w:eastAsia="zh-CN"/>
                <w14:textFill>
                  <w14:solidFill>
                    <w14:schemeClr w14:val="tx1"/>
                  </w14:solidFill>
                </w14:textFill>
              </w:rPr>
              <w:t>内容</w:t>
            </w:r>
            <w:r>
              <w:rPr>
                <w:rFonts w:hint="eastAsia" w:ascii="宋体" w:hAnsi="宋体" w:eastAsia="宋体" w:cs="宋体"/>
                <w:color w:val="000000" w:themeColor="text1"/>
                <w:kern w:val="0"/>
                <w:sz w:val="28"/>
                <w:szCs w:val="28"/>
                <w:highlight w:val="none"/>
                <w:lang w:eastAsia="zh-CN"/>
                <w14:textFill>
                  <w14:solidFill>
                    <w14:schemeClr w14:val="tx1"/>
                  </w14:solidFill>
                </w14:textFill>
              </w:rPr>
              <w:t xml:space="preserve">每有一处存在不足（存在不足是指逻辑不严谨、内容不完整、表述不清晰、实操性不强或不符合项目实际情况）扣 </w:t>
            </w:r>
            <w:r>
              <w:rPr>
                <w:rFonts w:hint="eastAsia" w:ascii="宋体" w:hAnsi="宋体" w:cs="宋体"/>
                <w:color w:val="000000" w:themeColor="text1"/>
                <w:kern w:val="0"/>
                <w:sz w:val="28"/>
                <w:szCs w:val="28"/>
                <w:highlight w:val="none"/>
                <w:lang w:val="en-US" w:eastAsia="zh-CN"/>
                <w14:textFill>
                  <w14:solidFill>
                    <w14:schemeClr w14:val="tx1"/>
                  </w14:solidFill>
                </w14:textFill>
              </w:rPr>
              <w:t>0.5</w:t>
            </w:r>
            <w:r>
              <w:rPr>
                <w:rFonts w:hint="eastAsia" w:ascii="宋体" w:hAnsi="宋体" w:eastAsia="宋体" w:cs="宋体"/>
                <w:color w:val="000000" w:themeColor="text1"/>
                <w:kern w:val="0"/>
                <w:sz w:val="28"/>
                <w:szCs w:val="28"/>
                <w:highlight w:val="none"/>
                <w:lang w:eastAsia="zh-CN"/>
                <w14:textFill>
                  <w14:solidFill>
                    <w14:schemeClr w14:val="tx1"/>
                  </w14:solidFill>
                </w14:textFill>
              </w:rPr>
              <w:t>分，直至扣完为止，未提供不得分。</w:t>
            </w:r>
          </w:p>
        </w:tc>
        <w:tc>
          <w:tcPr>
            <w:tcW w:w="1088" w:type="dxa"/>
            <w:vAlign w:val="center"/>
          </w:tcPr>
          <w:p w14:paraId="5FEE49B2">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宋体" w:hAnsi="宋体" w:cs="宋体"/>
                <w:color w:val="000000" w:themeColor="text1"/>
                <w:kern w:val="0"/>
                <w:sz w:val="28"/>
                <w:szCs w:val="28"/>
                <w:highlight w:val="none"/>
                <w:lang w:val="en-US" w:eastAsia="zh-CN"/>
                <w14:textFill>
                  <w14:solidFill>
                    <w14:schemeClr w14:val="tx1"/>
                  </w14:solidFill>
                </w14:textFill>
              </w:rPr>
            </w:pPr>
            <w:r>
              <w:rPr>
                <w:rFonts w:hint="eastAsia" w:asciiTheme="minorEastAsia" w:hAnsiTheme="minorEastAsia" w:eastAsiaTheme="minorEastAsia"/>
                <w:bCs/>
                <w:color w:val="000000" w:themeColor="text1"/>
                <w:kern w:val="0"/>
                <w:sz w:val="28"/>
                <w:szCs w:val="28"/>
                <w:highlight w:val="none"/>
                <w:lang w:val="en-US" w:eastAsia="zh-CN"/>
                <w14:textFill>
                  <w14:solidFill>
                    <w14:schemeClr w14:val="tx1"/>
                  </w14:solidFill>
                </w14:textFill>
              </w:rPr>
              <w:t>6</w:t>
            </w:r>
          </w:p>
        </w:tc>
      </w:tr>
      <w:tr w14:paraId="72038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 w:type="dxa"/>
            <w:vAlign w:val="center"/>
          </w:tcPr>
          <w:p w14:paraId="1125C792">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bCs/>
                <w:color w:val="000000" w:themeColor="text1"/>
                <w:kern w:val="0"/>
                <w:sz w:val="28"/>
                <w:szCs w:val="28"/>
                <w:highlight w:val="none"/>
                <w:lang w:eastAsia="zh-CN"/>
                <w14:textFill>
                  <w14:solidFill>
                    <w14:schemeClr w14:val="tx1"/>
                  </w14:solidFill>
                </w14:textFill>
              </w:rPr>
            </w:pPr>
            <w:r>
              <w:rPr>
                <w:rFonts w:hint="eastAsia" w:asciiTheme="minorEastAsia" w:hAnsiTheme="minorEastAsia" w:eastAsiaTheme="minorEastAsia"/>
                <w:bCs/>
                <w:color w:val="000000" w:themeColor="text1"/>
                <w:kern w:val="0"/>
                <w:sz w:val="28"/>
                <w:szCs w:val="28"/>
                <w:highlight w:val="none"/>
                <w:lang w:val="en-US" w:eastAsia="zh-CN"/>
                <w14:textFill>
                  <w14:solidFill>
                    <w14:schemeClr w14:val="tx1"/>
                  </w14:solidFill>
                </w14:textFill>
              </w:rPr>
              <w:t>3</w:t>
            </w:r>
          </w:p>
        </w:tc>
        <w:tc>
          <w:tcPr>
            <w:tcW w:w="1500" w:type="dxa"/>
            <w:vAlign w:val="center"/>
          </w:tcPr>
          <w:p w14:paraId="624FFFFD">
            <w:pPr>
              <w:pageBreakBefore w:val="0"/>
              <w:kinsoku/>
              <w:wordWrap/>
              <w:overflowPunct/>
              <w:topLinePunct w:val="0"/>
              <w:autoSpaceDE/>
              <w:autoSpaceDN/>
              <w:bidi w:val="0"/>
              <w:spacing w:line="360" w:lineRule="auto"/>
              <w:jc w:val="center"/>
              <w:textAlignment w:val="auto"/>
              <w:rPr>
                <w:rFonts w:asciiTheme="minorEastAsia" w:hAnsiTheme="minorEastAsia" w:eastAsiaTheme="minorEastAsia"/>
                <w:bCs/>
                <w:color w:val="000000" w:themeColor="text1"/>
                <w:kern w:val="0"/>
                <w:sz w:val="28"/>
                <w:szCs w:val="28"/>
                <w:highlight w:val="none"/>
                <w14:textFill>
                  <w14:solidFill>
                    <w14:schemeClr w14:val="tx1"/>
                  </w14:solidFill>
                </w14:textFill>
              </w:rPr>
            </w:pPr>
            <w:r>
              <w:rPr>
                <w:rFonts w:hint="eastAsia" w:ascii="宋体" w:hAnsi="宋体" w:eastAsia="宋体" w:cs="宋体"/>
                <w:color w:val="000000" w:themeColor="text1"/>
                <w:kern w:val="0"/>
                <w:sz w:val="28"/>
                <w:szCs w:val="28"/>
                <w:highlight w:val="none"/>
                <w14:textFill>
                  <w14:solidFill>
                    <w14:schemeClr w14:val="tx1"/>
                  </w14:solidFill>
                </w14:textFill>
              </w:rPr>
              <w:t>进度计划与质量保证</w:t>
            </w:r>
          </w:p>
        </w:tc>
        <w:tc>
          <w:tcPr>
            <w:tcW w:w="6283" w:type="dxa"/>
            <w:vAlign w:val="center"/>
          </w:tcPr>
          <w:p w14:paraId="219FAF04">
            <w:pPr>
              <w:pageBreakBefore w:val="0"/>
              <w:kinsoku/>
              <w:wordWrap/>
              <w:overflowPunct/>
              <w:topLinePunct w:val="0"/>
              <w:autoSpaceDE/>
              <w:autoSpaceDN/>
              <w:bidi w:val="0"/>
              <w:spacing w:line="360" w:lineRule="auto"/>
              <w:jc w:val="left"/>
              <w:textAlignment w:val="auto"/>
              <w:rPr>
                <w:rFonts w:asciiTheme="minorEastAsia" w:hAnsiTheme="minorEastAsia" w:eastAsiaTheme="minorEastAsia"/>
                <w:bCs/>
                <w:color w:val="000000" w:themeColor="text1"/>
                <w:kern w:val="0"/>
                <w:sz w:val="28"/>
                <w:szCs w:val="28"/>
                <w:highlight w:val="none"/>
                <w14:textFill>
                  <w14:solidFill>
                    <w14:schemeClr w14:val="tx1"/>
                  </w14:solidFill>
                </w14:textFill>
              </w:rPr>
            </w:pPr>
            <w:r>
              <w:rPr>
                <w:rFonts w:hint="eastAsia" w:ascii="宋体" w:hAnsi="宋体" w:eastAsia="宋体" w:cs="宋体"/>
                <w:color w:val="000000" w:themeColor="text1"/>
                <w:kern w:val="0"/>
                <w:sz w:val="28"/>
                <w:szCs w:val="28"/>
                <w:highlight w:val="none"/>
                <w14:textFill>
                  <w14:solidFill>
                    <w14:schemeClr w14:val="tx1"/>
                  </w14:solidFill>
                </w14:textFill>
              </w:rPr>
              <w:t>评委根据提供对进度计划、质量保证措施方案实施要点进行评分。进度计划、质量保证措施解决方案</w:t>
            </w:r>
            <w:r>
              <w:rPr>
                <w:rFonts w:hint="eastAsia" w:ascii="宋体" w:hAnsi="宋体" w:eastAsia="宋体" w:cs="宋体"/>
                <w:color w:val="000000" w:themeColor="text1"/>
                <w:kern w:val="0"/>
                <w:sz w:val="28"/>
                <w:szCs w:val="28"/>
                <w:highlight w:val="none"/>
                <w:lang w:val="en-US" w:eastAsia="zh-CN"/>
                <w14:textFill>
                  <w14:solidFill>
                    <w14:schemeClr w14:val="tx1"/>
                  </w14:solidFill>
                </w14:textFill>
              </w:rPr>
              <w:t>内容</w:t>
            </w:r>
            <w:r>
              <w:rPr>
                <w:rFonts w:hint="eastAsia" w:ascii="宋体" w:hAnsi="宋体" w:eastAsia="宋体" w:cs="宋体"/>
                <w:color w:val="000000" w:themeColor="text1"/>
                <w:kern w:val="0"/>
                <w:sz w:val="28"/>
                <w:szCs w:val="28"/>
                <w:highlight w:val="none"/>
                <w14:textFill>
                  <w14:solidFill>
                    <w14:schemeClr w14:val="tx1"/>
                  </w14:solidFill>
                </w14:textFill>
              </w:rPr>
              <w:t>完整</w:t>
            </w:r>
            <w:r>
              <w:rPr>
                <w:rFonts w:hint="eastAsia" w:ascii="宋体" w:hAnsi="宋体" w:eastAsia="宋体" w:cs="宋体"/>
                <w:color w:val="000000" w:themeColor="text1"/>
                <w:kern w:val="0"/>
                <w:sz w:val="28"/>
                <w:szCs w:val="28"/>
                <w:highlight w:val="none"/>
                <w:lang w:eastAsia="zh-CN"/>
                <w14:textFill>
                  <w14:solidFill>
                    <w14:schemeClr w14:val="tx1"/>
                  </w14:solidFill>
                </w14:textFill>
              </w:rPr>
              <w:t>、</w:t>
            </w:r>
            <w:r>
              <w:rPr>
                <w:rFonts w:hint="eastAsia" w:ascii="宋体" w:hAnsi="宋体" w:eastAsia="宋体" w:cs="宋体"/>
                <w:color w:val="000000" w:themeColor="text1"/>
                <w:kern w:val="0"/>
                <w:sz w:val="28"/>
                <w:szCs w:val="28"/>
                <w:highlight w:val="none"/>
                <w:lang w:val="en-US" w:eastAsia="zh-CN"/>
                <w14:textFill>
                  <w14:solidFill>
                    <w14:schemeClr w14:val="tx1"/>
                  </w14:solidFill>
                </w14:textFill>
              </w:rPr>
              <w:t>合理</w:t>
            </w:r>
            <w:r>
              <w:rPr>
                <w:rFonts w:hint="eastAsia" w:ascii="宋体" w:hAnsi="宋体" w:eastAsia="宋体" w:cs="宋体"/>
                <w:color w:val="000000" w:themeColor="text1"/>
                <w:kern w:val="0"/>
                <w:sz w:val="28"/>
                <w:szCs w:val="28"/>
                <w:highlight w:val="none"/>
                <w14:textFill>
                  <w14:solidFill>
                    <w14:schemeClr w14:val="tx1"/>
                  </w14:solidFill>
                </w14:textFill>
              </w:rPr>
              <w:t>的得</w:t>
            </w:r>
            <w:r>
              <w:rPr>
                <w:rFonts w:hint="eastAsia" w:ascii="宋体" w:hAnsi="宋体" w:cs="宋体"/>
                <w:color w:val="000000" w:themeColor="text1"/>
                <w:kern w:val="0"/>
                <w:sz w:val="28"/>
                <w:szCs w:val="28"/>
                <w:highlight w:val="none"/>
                <w:lang w:val="en-US" w:eastAsia="zh-CN"/>
                <w14:textFill>
                  <w14:solidFill>
                    <w14:schemeClr w14:val="tx1"/>
                  </w14:solidFill>
                </w14:textFill>
              </w:rPr>
              <w:t>6</w:t>
            </w:r>
            <w:r>
              <w:rPr>
                <w:rFonts w:hint="eastAsia" w:ascii="宋体" w:hAnsi="宋体" w:eastAsia="宋体" w:cs="宋体"/>
                <w:color w:val="000000" w:themeColor="text1"/>
                <w:kern w:val="0"/>
                <w:sz w:val="28"/>
                <w:szCs w:val="28"/>
                <w:highlight w:val="none"/>
                <w14:textFill>
                  <w14:solidFill>
                    <w14:schemeClr w14:val="tx1"/>
                  </w14:solidFill>
                </w14:textFill>
              </w:rPr>
              <w:t>分；进度计划、质量保证措施解决方案</w:t>
            </w:r>
            <w:r>
              <w:rPr>
                <w:rFonts w:hint="eastAsia" w:ascii="宋体" w:hAnsi="宋体" w:eastAsia="宋体" w:cs="宋体"/>
                <w:color w:val="000000" w:themeColor="text1"/>
                <w:kern w:val="0"/>
                <w:sz w:val="28"/>
                <w:szCs w:val="28"/>
                <w:highlight w:val="none"/>
                <w:lang w:val="en-US" w:eastAsia="zh-CN"/>
                <w14:textFill>
                  <w14:solidFill>
                    <w14:schemeClr w14:val="tx1"/>
                  </w14:solidFill>
                </w14:textFill>
              </w:rPr>
              <w:t>内容</w:t>
            </w:r>
            <w:r>
              <w:rPr>
                <w:rFonts w:hint="eastAsia" w:ascii="宋体" w:hAnsi="宋体" w:eastAsia="宋体" w:cs="宋体"/>
                <w:color w:val="000000" w:themeColor="text1"/>
                <w:kern w:val="0"/>
                <w:sz w:val="28"/>
                <w:szCs w:val="28"/>
                <w:highlight w:val="none"/>
                <w14:textFill>
                  <w14:solidFill>
                    <w14:schemeClr w14:val="tx1"/>
                  </w14:solidFill>
                </w14:textFill>
              </w:rPr>
              <w:t>简略</w:t>
            </w:r>
            <w:r>
              <w:rPr>
                <w:rFonts w:hint="eastAsia" w:ascii="宋体" w:hAnsi="宋体" w:eastAsia="宋体" w:cs="宋体"/>
                <w:color w:val="000000" w:themeColor="text1"/>
                <w:kern w:val="0"/>
                <w:sz w:val="28"/>
                <w:szCs w:val="28"/>
                <w:highlight w:val="none"/>
                <w:lang w:eastAsia="zh-CN"/>
                <w14:textFill>
                  <w14:solidFill>
                    <w14:schemeClr w14:val="tx1"/>
                  </w14:solidFill>
                </w14:textFill>
              </w:rPr>
              <w:t>、</w:t>
            </w:r>
            <w:r>
              <w:rPr>
                <w:rFonts w:hint="eastAsia" w:ascii="宋体" w:hAnsi="宋体" w:eastAsia="宋体" w:cs="宋体"/>
                <w:color w:val="000000" w:themeColor="text1"/>
                <w:kern w:val="0"/>
                <w:sz w:val="28"/>
                <w:szCs w:val="28"/>
                <w:highlight w:val="none"/>
                <w:lang w:val="en-US" w:eastAsia="zh-CN"/>
                <w14:textFill>
                  <w14:solidFill>
                    <w14:schemeClr w14:val="tx1"/>
                  </w14:solidFill>
                </w14:textFill>
              </w:rPr>
              <w:t>较为合理</w:t>
            </w:r>
            <w:r>
              <w:rPr>
                <w:rFonts w:hint="eastAsia" w:ascii="宋体" w:hAnsi="宋体" w:eastAsia="宋体" w:cs="宋体"/>
                <w:color w:val="000000" w:themeColor="text1"/>
                <w:kern w:val="0"/>
                <w:sz w:val="28"/>
                <w:szCs w:val="28"/>
                <w:highlight w:val="none"/>
                <w14:textFill>
                  <w14:solidFill>
                    <w14:schemeClr w14:val="tx1"/>
                  </w14:solidFill>
                </w14:textFill>
              </w:rPr>
              <w:t>的得</w:t>
            </w:r>
            <w:r>
              <w:rPr>
                <w:rFonts w:hint="eastAsia" w:ascii="宋体" w:hAnsi="宋体" w:cs="宋体"/>
                <w:color w:val="000000" w:themeColor="text1"/>
                <w:kern w:val="0"/>
                <w:sz w:val="28"/>
                <w:szCs w:val="28"/>
                <w:highlight w:val="none"/>
                <w:lang w:val="en-US" w:eastAsia="zh-CN"/>
                <w14:textFill>
                  <w14:solidFill>
                    <w14:schemeClr w14:val="tx1"/>
                  </w14:solidFill>
                </w14:textFill>
              </w:rPr>
              <w:t>4</w:t>
            </w:r>
            <w:r>
              <w:rPr>
                <w:rFonts w:hint="eastAsia" w:ascii="宋体" w:hAnsi="宋体" w:eastAsia="宋体" w:cs="宋体"/>
                <w:color w:val="000000" w:themeColor="text1"/>
                <w:kern w:val="0"/>
                <w:sz w:val="28"/>
                <w:szCs w:val="28"/>
                <w:highlight w:val="none"/>
                <w14:textFill>
                  <w14:solidFill>
                    <w14:schemeClr w14:val="tx1"/>
                  </w14:solidFill>
                </w14:textFill>
              </w:rPr>
              <w:t>分；未提供或进度计划、质量保证措施解决方案不合理的得</w:t>
            </w:r>
            <w:r>
              <w:rPr>
                <w:rFonts w:hint="eastAsia" w:ascii="宋体" w:hAnsi="宋体" w:cs="宋体"/>
                <w:color w:val="000000" w:themeColor="text1"/>
                <w:kern w:val="0"/>
                <w:sz w:val="28"/>
                <w:szCs w:val="28"/>
                <w:highlight w:val="none"/>
                <w:lang w:val="en-US" w:eastAsia="zh-CN"/>
                <w14:textFill>
                  <w14:solidFill>
                    <w14:schemeClr w14:val="tx1"/>
                  </w14:solidFill>
                </w14:textFill>
              </w:rPr>
              <w:t>2</w:t>
            </w:r>
            <w:r>
              <w:rPr>
                <w:rFonts w:hint="eastAsia" w:ascii="宋体" w:hAnsi="宋体" w:eastAsia="宋体" w:cs="宋体"/>
                <w:color w:val="000000" w:themeColor="text1"/>
                <w:kern w:val="0"/>
                <w:sz w:val="28"/>
                <w:szCs w:val="28"/>
                <w:highlight w:val="none"/>
                <w14:textFill>
                  <w14:solidFill>
                    <w14:schemeClr w14:val="tx1"/>
                  </w14:solidFill>
                </w14:textFill>
              </w:rPr>
              <w:t>分。</w:t>
            </w:r>
          </w:p>
        </w:tc>
        <w:tc>
          <w:tcPr>
            <w:tcW w:w="1088" w:type="dxa"/>
            <w:vAlign w:val="center"/>
          </w:tcPr>
          <w:p w14:paraId="77D36E28">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bCs/>
                <w:color w:val="000000" w:themeColor="text1"/>
                <w:kern w:val="0"/>
                <w:sz w:val="28"/>
                <w:szCs w:val="28"/>
                <w:highlight w:val="none"/>
                <w:lang w:val="en-US" w:eastAsia="zh-CN"/>
                <w14:textFill>
                  <w14:solidFill>
                    <w14:schemeClr w14:val="tx1"/>
                  </w14:solidFill>
                </w14:textFill>
              </w:rPr>
            </w:pPr>
            <w:r>
              <w:rPr>
                <w:rFonts w:hint="eastAsia" w:asciiTheme="minorEastAsia" w:hAnsiTheme="minorEastAsia" w:eastAsiaTheme="minorEastAsia"/>
                <w:bCs/>
                <w:color w:val="000000" w:themeColor="text1"/>
                <w:kern w:val="0"/>
                <w:sz w:val="28"/>
                <w:szCs w:val="28"/>
                <w:highlight w:val="none"/>
                <w:lang w:val="en-US" w:eastAsia="zh-CN"/>
                <w14:textFill>
                  <w14:solidFill>
                    <w14:schemeClr w14:val="tx1"/>
                  </w14:solidFill>
                </w14:textFill>
              </w:rPr>
              <w:t>6</w:t>
            </w:r>
          </w:p>
        </w:tc>
      </w:tr>
      <w:tr w14:paraId="06F56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 w:type="dxa"/>
            <w:vAlign w:val="center"/>
          </w:tcPr>
          <w:p w14:paraId="3D027D1B">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bCs/>
                <w:color w:val="000000" w:themeColor="text1"/>
                <w:kern w:val="0"/>
                <w:sz w:val="28"/>
                <w:szCs w:val="28"/>
                <w:highlight w:val="none"/>
                <w:lang w:eastAsia="zh-CN"/>
                <w14:textFill>
                  <w14:solidFill>
                    <w14:schemeClr w14:val="tx1"/>
                  </w14:solidFill>
                </w14:textFill>
              </w:rPr>
            </w:pPr>
            <w:r>
              <w:rPr>
                <w:rFonts w:hint="eastAsia" w:asciiTheme="minorEastAsia" w:hAnsiTheme="minorEastAsia" w:eastAsiaTheme="minorEastAsia"/>
                <w:bCs/>
                <w:color w:val="000000" w:themeColor="text1"/>
                <w:kern w:val="0"/>
                <w:sz w:val="28"/>
                <w:szCs w:val="28"/>
                <w:highlight w:val="none"/>
                <w:lang w:val="en-US" w:eastAsia="zh-CN"/>
                <w14:textFill>
                  <w14:solidFill>
                    <w14:schemeClr w14:val="tx1"/>
                  </w14:solidFill>
                </w14:textFill>
              </w:rPr>
              <w:t>4</w:t>
            </w:r>
          </w:p>
        </w:tc>
        <w:tc>
          <w:tcPr>
            <w:tcW w:w="1500" w:type="dxa"/>
            <w:vAlign w:val="center"/>
          </w:tcPr>
          <w:p w14:paraId="59E8C950">
            <w:pPr>
              <w:pageBreakBefore w:val="0"/>
              <w:kinsoku/>
              <w:wordWrap/>
              <w:overflowPunct/>
              <w:topLinePunct w:val="0"/>
              <w:autoSpaceDE/>
              <w:autoSpaceDN/>
              <w:bidi w:val="0"/>
              <w:spacing w:line="560" w:lineRule="exact"/>
              <w:jc w:val="center"/>
              <w:textAlignment w:val="auto"/>
              <w:rPr>
                <w:rFonts w:asciiTheme="minorEastAsia" w:hAnsiTheme="minorEastAsia" w:eastAsiaTheme="minorEastAsia"/>
                <w:bCs/>
                <w:color w:val="000000" w:themeColor="text1"/>
                <w:kern w:val="0"/>
                <w:sz w:val="28"/>
                <w:szCs w:val="28"/>
                <w:highlight w:val="none"/>
                <w14:textFill>
                  <w14:solidFill>
                    <w14:schemeClr w14:val="tx1"/>
                  </w14:solidFill>
                </w14:textFill>
              </w:rPr>
            </w:pPr>
            <w:r>
              <w:rPr>
                <w:rFonts w:hint="eastAsia" w:ascii="宋体" w:hAnsi="宋体" w:eastAsia="宋体" w:cs="宋体"/>
                <w:color w:val="000000" w:themeColor="text1"/>
                <w:kern w:val="0"/>
                <w:sz w:val="28"/>
                <w:szCs w:val="28"/>
                <w:highlight w:val="none"/>
                <w14:textFill>
                  <w14:solidFill>
                    <w14:schemeClr w14:val="tx1"/>
                  </w14:solidFill>
                </w14:textFill>
              </w:rPr>
              <w:t>验收方案和措施</w:t>
            </w:r>
          </w:p>
        </w:tc>
        <w:tc>
          <w:tcPr>
            <w:tcW w:w="6283" w:type="dxa"/>
            <w:vAlign w:val="center"/>
          </w:tcPr>
          <w:p w14:paraId="3A56F40B">
            <w:pPr>
              <w:pageBreakBefore w:val="0"/>
              <w:kinsoku/>
              <w:wordWrap/>
              <w:overflowPunct/>
              <w:topLinePunct w:val="0"/>
              <w:autoSpaceDE/>
              <w:autoSpaceDN/>
              <w:bidi w:val="0"/>
              <w:spacing w:line="560" w:lineRule="exact"/>
              <w:jc w:val="left"/>
              <w:textAlignment w:val="auto"/>
              <w:rPr>
                <w:rFonts w:asciiTheme="minorEastAsia" w:hAnsiTheme="minorEastAsia" w:eastAsiaTheme="minorEastAsia"/>
                <w:bCs/>
                <w:color w:val="000000" w:themeColor="text1"/>
                <w:kern w:val="0"/>
                <w:sz w:val="28"/>
                <w:szCs w:val="28"/>
                <w:highlight w:val="none"/>
                <w14:textFill>
                  <w14:solidFill>
                    <w14:schemeClr w14:val="tx1"/>
                  </w14:solidFill>
                </w14:textFill>
              </w:rPr>
            </w:pPr>
            <w:r>
              <w:rPr>
                <w:rFonts w:hint="eastAsia" w:ascii="宋体" w:hAnsi="宋体" w:eastAsia="宋体" w:cs="宋体"/>
                <w:color w:val="000000" w:themeColor="text1"/>
                <w:kern w:val="0"/>
                <w:sz w:val="28"/>
                <w:szCs w:val="28"/>
                <w:highlight w:val="none"/>
                <w14:textFill>
                  <w14:solidFill>
                    <w14:schemeClr w14:val="tx1"/>
                  </w14:solidFill>
                </w14:textFill>
              </w:rPr>
              <w:t>根据本项目的实际情况，自行编制验收方案和措施；验收方案和措施优质完整符合项目实际需要</w:t>
            </w:r>
            <w:r>
              <w:rPr>
                <w:rFonts w:hint="eastAsia" w:ascii="宋体" w:hAnsi="宋体" w:cs="宋体"/>
                <w:color w:val="000000" w:themeColor="text1"/>
                <w:kern w:val="0"/>
                <w:sz w:val="28"/>
                <w:szCs w:val="28"/>
                <w:highlight w:val="none"/>
                <w:lang w:eastAsia="zh-CN"/>
                <w14:textFill>
                  <w14:solidFill>
                    <w14:schemeClr w14:val="tx1"/>
                  </w14:solidFill>
                </w14:textFill>
              </w:rPr>
              <w:t>的</w:t>
            </w:r>
            <w:r>
              <w:rPr>
                <w:rFonts w:hint="eastAsia" w:ascii="宋体" w:hAnsi="宋体" w:eastAsia="宋体" w:cs="宋体"/>
                <w:color w:val="000000" w:themeColor="text1"/>
                <w:kern w:val="0"/>
                <w:sz w:val="28"/>
                <w:szCs w:val="28"/>
                <w:highlight w:val="none"/>
                <w14:textFill>
                  <w14:solidFill>
                    <w14:schemeClr w14:val="tx1"/>
                  </w14:solidFill>
                </w14:textFill>
              </w:rPr>
              <w:t>得</w:t>
            </w:r>
            <w:r>
              <w:rPr>
                <w:rFonts w:hint="eastAsia" w:ascii="宋体" w:hAnsi="宋体" w:cs="宋体"/>
                <w:color w:val="000000" w:themeColor="text1"/>
                <w:kern w:val="0"/>
                <w:sz w:val="28"/>
                <w:szCs w:val="28"/>
                <w:highlight w:val="none"/>
                <w:lang w:val="en-US" w:eastAsia="zh-CN"/>
                <w14:textFill>
                  <w14:solidFill>
                    <w14:schemeClr w14:val="tx1"/>
                  </w14:solidFill>
                </w14:textFill>
              </w:rPr>
              <w:t>5</w:t>
            </w:r>
            <w:r>
              <w:rPr>
                <w:rFonts w:hint="eastAsia" w:ascii="宋体" w:hAnsi="宋体" w:eastAsia="宋体" w:cs="宋体"/>
                <w:color w:val="000000" w:themeColor="text1"/>
                <w:kern w:val="0"/>
                <w:sz w:val="28"/>
                <w:szCs w:val="28"/>
                <w:highlight w:val="none"/>
                <w14:textFill>
                  <w14:solidFill>
                    <w14:schemeClr w14:val="tx1"/>
                  </w14:solidFill>
                </w14:textFill>
              </w:rPr>
              <w:t>分</w:t>
            </w:r>
            <w:r>
              <w:rPr>
                <w:rFonts w:hint="eastAsia" w:ascii="宋体" w:hAnsi="宋体" w:cs="宋体"/>
                <w:color w:val="000000" w:themeColor="text1"/>
                <w:kern w:val="0"/>
                <w:sz w:val="28"/>
                <w:szCs w:val="28"/>
                <w:highlight w:val="none"/>
                <w:lang w:eastAsia="zh-CN"/>
                <w14:textFill>
                  <w14:solidFill>
                    <w14:schemeClr w14:val="tx1"/>
                  </w14:solidFill>
                </w14:textFill>
              </w:rPr>
              <w:t>；</w:t>
            </w:r>
            <w:r>
              <w:rPr>
                <w:rFonts w:hint="eastAsia" w:ascii="宋体" w:hAnsi="宋体" w:eastAsia="宋体" w:cs="宋体"/>
                <w:color w:val="000000" w:themeColor="text1"/>
                <w:kern w:val="0"/>
                <w:sz w:val="28"/>
                <w:szCs w:val="28"/>
                <w:highlight w:val="none"/>
                <w14:textFill>
                  <w14:solidFill>
                    <w14:schemeClr w14:val="tx1"/>
                  </w14:solidFill>
                </w14:textFill>
              </w:rPr>
              <w:t>验收方案和措施基本满足</w:t>
            </w:r>
            <w:r>
              <w:rPr>
                <w:rFonts w:hint="eastAsia" w:ascii="宋体" w:hAnsi="宋体" w:cs="宋体"/>
                <w:color w:val="000000" w:themeColor="text1"/>
                <w:kern w:val="0"/>
                <w:sz w:val="28"/>
                <w:szCs w:val="28"/>
                <w:highlight w:val="none"/>
                <w:lang w:eastAsia="zh-CN"/>
                <w14:textFill>
                  <w14:solidFill>
                    <w14:schemeClr w14:val="tx1"/>
                  </w14:solidFill>
                </w14:textFill>
              </w:rPr>
              <w:t>采购人实际</w:t>
            </w:r>
            <w:r>
              <w:rPr>
                <w:rFonts w:hint="eastAsia" w:ascii="宋体" w:hAnsi="宋体" w:eastAsia="宋体" w:cs="宋体"/>
                <w:color w:val="000000" w:themeColor="text1"/>
                <w:kern w:val="0"/>
                <w:sz w:val="28"/>
                <w:szCs w:val="28"/>
                <w:highlight w:val="none"/>
                <w14:textFill>
                  <w14:solidFill>
                    <w14:schemeClr w14:val="tx1"/>
                  </w14:solidFill>
                </w14:textFill>
              </w:rPr>
              <w:t>需要</w:t>
            </w:r>
            <w:r>
              <w:rPr>
                <w:rFonts w:hint="eastAsia" w:ascii="宋体" w:hAnsi="宋体" w:cs="宋体"/>
                <w:color w:val="000000" w:themeColor="text1"/>
                <w:kern w:val="0"/>
                <w:sz w:val="28"/>
                <w:szCs w:val="28"/>
                <w:highlight w:val="none"/>
                <w:lang w:eastAsia="zh-CN"/>
                <w14:textFill>
                  <w14:solidFill>
                    <w14:schemeClr w14:val="tx1"/>
                  </w14:solidFill>
                </w14:textFill>
              </w:rPr>
              <w:t>的</w:t>
            </w:r>
            <w:r>
              <w:rPr>
                <w:rFonts w:hint="eastAsia" w:ascii="宋体" w:hAnsi="宋体" w:eastAsia="宋体" w:cs="宋体"/>
                <w:color w:val="000000" w:themeColor="text1"/>
                <w:kern w:val="0"/>
                <w:sz w:val="28"/>
                <w:szCs w:val="28"/>
                <w:highlight w:val="none"/>
                <w14:textFill>
                  <w14:solidFill>
                    <w14:schemeClr w14:val="tx1"/>
                  </w14:solidFill>
                </w14:textFill>
              </w:rPr>
              <w:t>得</w:t>
            </w:r>
            <w:r>
              <w:rPr>
                <w:rFonts w:hint="eastAsia" w:ascii="宋体" w:hAnsi="宋体" w:cs="宋体"/>
                <w:color w:val="000000" w:themeColor="text1"/>
                <w:kern w:val="0"/>
                <w:sz w:val="28"/>
                <w:szCs w:val="28"/>
                <w:highlight w:val="none"/>
                <w:lang w:val="en-US" w:eastAsia="zh-CN"/>
                <w14:textFill>
                  <w14:solidFill>
                    <w14:schemeClr w14:val="tx1"/>
                  </w14:solidFill>
                </w14:textFill>
              </w:rPr>
              <w:t>3</w:t>
            </w:r>
            <w:r>
              <w:rPr>
                <w:rFonts w:hint="eastAsia" w:ascii="宋体" w:hAnsi="宋体" w:eastAsia="宋体" w:cs="宋体"/>
                <w:color w:val="000000" w:themeColor="text1"/>
                <w:kern w:val="0"/>
                <w:sz w:val="28"/>
                <w:szCs w:val="28"/>
                <w:highlight w:val="none"/>
                <w14:textFill>
                  <w14:solidFill>
                    <w14:schemeClr w14:val="tx1"/>
                  </w14:solidFill>
                </w14:textFill>
              </w:rPr>
              <w:t>分</w:t>
            </w:r>
            <w:r>
              <w:rPr>
                <w:rFonts w:hint="eastAsia" w:ascii="宋体" w:hAnsi="宋体" w:cs="宋体"/>
                <w:color w:val="000000" w:themeColor="text1"/>
                <w:kern w:val="0"/>
                <w:sz w:val="28"/>
                <w:szCs w:val="28"/>
                <w:highlight w:val="none"/>
                <w:lang w:eastAsia="zh-CN"/>
                <w14:textFill>
                  <w14:solidFill>
                    <w14:schemeClr w14:val="tx1"/>
                  </w14:solidFill>
                </w14:textFill>
              </w:rPr>
              <w:t>；</w:t>
            </w:r>
            <w:r>
              <w:rPr>
                <w:rFonts w:hint="eastAsia" w:ascii="宋体" w:hAnsi="宋体" w:eastAsia="宋体" w:cs="宋体"/>
                <w:color w:val="000000" w:themeColor="text1"/>
                <w:kern w:val="0"/>
                <w:sz w:val="28"/>
                <w:szCs w:val="28"/>
                <w:highlight w:val="none"/>
                <w:lang w:eastAsia="zh-CN"/>
                <w14:textFill>
                  <w14:solidFill>
                    <w14:schemeClr w14:val="tx1"/>
                  </w14:solidFill>
                </w14:textFill>
              </w:rPr>
              <w:t>不提供不得分。</w:t>
            </w:r>
          </w:p>
        </w:tc>
        <w:tc>
          <w:tcPr>
            <w:tcW w:w="1088" w:type="dxa"/>
            <w:vAlign w:val="center"/>
          </w:tcPr>
          <w:p w14:paraId="1C9610CB">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bCs/>
                <w:color w:val="000000" w:themeColor="text1"/>
                <w:kern w:val="0"/>
                <w:sz w:val="28"/>
                <w:szCs w:val="28"/>
                <w:highlight w:val="none"/>
                <w:lang w:eastAsia="zh-CN"/>
                <w14:textFill>
                  <w14:solidFill>
                    <w14:schemeClr w14:val="tx1"/>
                  </w14:solidFill>
                </w14:textFill>
              </w:rPr>
            </w:pPr>
            <w:r>
              <w:rPr>
                <w:rFonts w:hint="eastAsia" w:asciiTheme="minorEastAsia" w:hAnsiTheme="minorEastAsia" w:eastAsiaTheme="minorEastAsia"/>
                <w:bCs/>
                <w:color w:val="000000" w:themeColor="text1"/>
                <w:kern w:val="0"/>
                <w:sz w:val="28"/>
                <w:szCs w:val="28"/>
                <w:highlight w:val="none"/>
                <w:lang w:val="en-US" w:eastAsia="zh-CN"/>
                <w14:textFill>
                  <w14:solidFill>
                    <w14:schemeClr w14:val="tx1"/>
                  </w14:solidFill>
                </w14:textFill>
              </w:rPr>
              <w:t>5</w:t>
            </w:r>
          </w:p>
        </w:tc>
      </w:tr>
      <w:tr w14:paraId="12024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 w:type="dxa"/>
            <w:vAlign w:val="center"/>
          </w:tcPr>
          <w:p w14:paraId="69898325">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bCs/>
                <w:color w:val="000000" w:themeColor="text1"/>
                <w:kern w:val="0"/>
                <w:sz w:val="28"/>
                <w:szCs w:val="28"/>
                <w:highlight w:val="none"/>
                <w:lang w:eastAsia="zh-CN"/>
                <w14:textFill>
                  <w14:solidFill>
                    <w14:schemeClr w14:val="tx1"/>
                  </w14:solidFill>
                </w14:textFill>
              </w:rPr>
            </w:pPr>
            <w:r>
              <w:rPr>
                <w:rFonts w:hint="eastAsia" w:asciiTheme="minorEastAsia" w:hAnsiTheme="minorEastAsia" w:eastAsiaTheme="minorEastAsia"/>
                <w:bCs/>
                <w:color w:val="000000" w:themeColor="text1"/>
                <w:kern w:val="0"/>
                <w:sz w:val="28"/>
                <w:szCs w:val="28"/>
                <w:highlight w:val="none"/>
                <w:lang w:val="en-US" w:eastAsia="zh-CN"/>
                <w14:textFill>
                  <w14:solidFill>
                    <w14:schemeClr w14:val="tx1"/>
                  </w14:solidFill>
                </w14:textFill>
              </w:rPr>
              <w:t>5</w:t>
            </w:r>
          </w:p>
        </w:tc>
        <w:tc>
          <w:tcPr>
            <w:tcW w:w="1500" w:type="dxa"/>
            <w:vAlign w:val="center"/>
          </w:tcPr>
          <w:p w14:paraId="60882376">
            <w:pPr>
              <w:pageBreakBefore w:val="0"/>
              <w:kinsoku/>
              <w:wordWrap/>
              <w:overflowPunct/>
              <w:topLinePunct w:val="0"/>
              <w:autoSpaceDE/>
              <w:autoSpaceDN/>
              <w:bidi w:val="0"/>
              <w:spacing w:line="560" w:lineRule="exact"/>
              <w:jc w:val="center"/>
              <w:textAlignment w:val="auto"/>
              <w:rPr>
                <w:rFonts w:asciiTheme="minorEastAsia" w:hAnsiTheme="minorEastAsia" w:eastAsiaTheme="minorEastAsia"/>
                <w:bCs/>
                <w:color w:val="000000" w:themeColor="text1"/>
                <w:kern w:val="0"/>
                <w:sz w:val="28"/>
                <w:szCs w:val="28"/>
                <w:highlight w:val="none"/>
                <w14:textFill>
                  <w14:solidFill>
                    <w14:schemeClr w14:val="tx1"/>
                  </w14:solidFill>
                </w14:textFill>
              </w:rPr>
            </w:pPr>
            <w:r>
              <w:rPr>
                <w:rFonts w:hint="eastAsia" w:ascii="宋体" w:hAnsi="宋体" w:eastAsia="宋体" w:cs="宋体"/>
                <w:color w:val="000000" w:themeColor="text1"/>
                <w:kern w:val="0"/>
                <w:sz w:val="28"/>
                <w:szCs w:val="28"/>
                <w:highlight w:val="none"/>
                <w:lang w:eastAsia="zh-CN"/>
                <w14:textFill>
                  <w14:solidFill>
                    <w14:schemeClr w14:val="tx1"/>
                  </w14:solidFill>
                </w14:textFill>
              </w:rPr>
              <w:t>培训方案</w:t>
            </w:r>
          </w:p>
        </w:tc>
        <w:tc>
          <w:tcPr>
            <w:tcW w:w="6283" w:type="dxa"/>
            <w:vAlign w:val="center"/>
          </w:tcPr>
          <w:p w14:paraId="413E9262">
            <w:pPr>
              <w:pageBreakBefore w:val="0"/>
              <w:kinsoku/>
              <w:wordWrap/>
              <w:overflowPunct/>
              <w:topLinePunct w:val="0"/>
              <w:autoSpaceDE/>
              <w:autoSpaceDN/>
              <w:bidi w:val="0"/>
              <w:spacing w:line="560" w:lineRule="exact"/>
              <w:jc w:val="left"/>
              <w:textAlignment w:val="auto"/>
              <w:rPr>
                <w:rFonts w:asciiTheme="minorEastAsia" w:hAnsiTheme="minorEastAsia" w:eastAsiaTheme="minorEastAsia"/>
                <w:bCs/>
                <w:color w:val="000000" w:themeColor="text1"/>
                <w:kern w:val="0"/>
                <w:sz w:val="28"/>
                <w:szCs w:val="28"/>
                <w:highlight w:val="none"/>
                <w14:textFill>
                  <w14:solidFill>
                    <w14:schemeClr w14:val="tx1"/>
                  </w14:solidFill>
                </w14:textFill>
              </w:rPr>
            </w:pPr>
            <w:r>
              <w:rPr>
                <w:rFonts w:hint="eastAsia" w:ascii="宋体" w:hAnsi="宋体" w:eastAsia="宋体" w:cs="宋体"/>
                <w:color w:val="000000" w:themeColor="text1"/>
                <w:kern w:val="0"/>
                <w:sz w:val="28"/>
                <w:szCs w:val="28"/>
                <w:highlight w:val="none"/>
                <w:lang w:eastAsia="zh-CN"/>
                <w14:textFill>
                  <w14:solidFill>
                    <w14:schemeClr w14:val="tx1"/>
                  </w14:solidFill>
                </w14:textFill>
              </w:rPr>
              <w:t>针对本项目制定</w:t>
            </w:r>
            <w:r>
              <w:rPr>
                <w:rFonts w:hint="eastAsia" w:ascii="宋体" w:hAnsi="宋体" w:cs="宋体"/>
                <w:color w:val="000000" w:themeColor="text1"/>
                <w:kern w:val="0"/>
                <w:sz w:val="28"/>
                <w:szCs w:val="28"/>
                <w:highlight w:val="none"/>
                <w:lang w:eastAsia="zh-CN"/>
                <w14:textFill>
                  <w14:solidFill>
                    <w14:schemeClr w14:val="tx1"/>
                  </w14:solidFill>
                </w14:textFill>
              </w:rPr>
              <w:t>符合项目情况的</w:t>
            </w:r>
            <w:r>
              <w:rPr>
                <w:rFonts w:hint="eastAsia" w:ascii="宋体" w:hAnsi="宋体" w:eastAsia="宋体" w:cs="宋体"/>
                <w:color w:val="000000" w:themeColor="text1"/>
                <w:kern w:val="0"/>
                <w:sz w:val="28"/>
                <w:szCs w:val="28"/>
                <w:highlight w:val="none"/>
                <w:lang w:eastAsia="zh-CN"/>
                <w14:textFill>
                  <w14:solidFill>
                    <w14:schemeClr w14:val="tx1"/>
                  </w14:solidFill>
                </w14:textFill>
              </w:rPr>
              <w:t>培训方案；</w:t>
            </w:r>
            <w:r>
              <w:rPr>
                <w:rFonts w:hint="eastAsia" w:ascii="宋体" w:hAnsi="宋体" w:cs="宋体"/>
                <w:color w:val="000000" w:themeColor="text1"/>
                <w:kern w:val="0"/>
                <w:sz w:val="28"/>
                <w:szCs w:val="28"/>
                <w:highlight w:val="none"/>
                <w:lang w:eastAsia="zh-CN"/>
                <w14:textFill>
                  <w14:solidFill>
                    <w14:schemeClr w14:val="tx1"/>
                  </w14:solidFill>
                </w14:textFill>
              </w:rPr>
              <w:t>包括但不限于</w:t>
            </w:r>
            <w:r>
              <w:rPr>
                <w:rFonts w:hint="eastAsia" w:ascii="宋体" w:hAnsi="宋体" w:eastAsia="宋体" w:cs="宋体"/>
                <w:color w:val="000000" w:themeColor="text1"/>
                <w:kern w:val="0"/>
                <w:sz w:val="28"/>
                <w:szCs w:val="28"/>
                <w:highlight w:val="none"/>
                <w:lang w:eastAsia="zh-CN"/>
                <w14:textFill>
                  <w14:solidFill>
                    <w14:schemeClr w14:val="tx1"/>
                  </w14:solidFill>
                </w14:textFill>
              </w:rPr>
              <w:t>培训</w:t>
            </w:r>
            <w:r>
              <w:rPr>
                <w:rFonts w:hint="eastAsia" w:ascii="宋体" w:hAnsi="宋体" w:cs="宋体"/>
                <w:color w:val="000000" w:themeColor="text1"/>
                <w:kern w:val="0"/>
                <w:sz w:val="28"/>
                <w:szCs w:val="28"/>
                <w:highlight w:val="none"/>
                <w:lang w:eastAsia="zh-CN"/>
                <w14:textFill>
                  <w14:solidFill>
                    <w14:schemeClr w14:val="tx1"/>
                  </w14:solidFill>
                </w14:textFill>
              </w:rPr>
              <w:t>时间、培训</w:t>
            </w:r>
            <w:r>
              <w:rPr>
                <w:rFonts w:hint="eastAsia" w:ascii="宋体" w:hAnsi="宋体" w:eastAsia="宋体" w:cs="宋体"/>
                <w:color w:val="000000" w:themeColor="text1"/>
                <w:kern w:val="0"/>
                <w:sz w:val="28"/>
                <w:szCs w:val="28"/>
                <w:highlight w:val="none"/>
                <w:lang w:eastAsia="zh-CN"/>
                <w14:textFill>
                  <w14:solidFill>
                    <w14:schemeClr w14:val="tx1"/>
                  </w14:solidFill>
                </w14:textFill>
              </w:rPr>
              <w:t>团队</w:t>
            </w:r>
            <w:r>
              <w:rPr>
                <w:rFonts w:hint="eastAsia" w:ascii="宋体" w:hAnsi="宋体" w:cs="宋体"/>
                <w:color w:val="000000" w:themeColor="text1"/>
                <w:kern w:val="0"/>
                <w:sz w:val="28"/>
                <w:szCs w:val="28"/>
                <w:highlight w:val="none"/>
                <w:lang w:eastAsia="zh-CN"/>
                <w14:textFill>
                  <w14:solidFill>
                    <w14:schemeClr w14:val="tx1"/>
                  </w14:solidFill>
                </w14:textFill>
              </w:rPr>
              <w:t>、</w:t>
            </w:r>
            <w:r>
              <w:rPr>
                <w:rFonts w:hint="eastAsia" w:ascii="宋体" w:hAnsi="宋体" w:eastAsia="宋体" w:cs="宋体"/>
                <w:color w:val="000000" w:themeColor="text1"/>
                <w:kern w:val="0"/>
                <w:sz w:val="28"/>
                <w:szCs w:val="28"/>
                <w:highlight w:val="none"/>
                <w:lang w:eastAsia="zh-CN"/>
                <w14:textFill>
                  <w14:solidFill>
                    <w14:schemeClr w14:val="tx1"/>
                  </w14:solidFill>
                </w14:textFill>
              </w:rPr>
              <w:t>培训</w:t>
            </w:r>
            <w:r>
              <w:rPr>
                <w:rFonts w:hint="eastAsia" w:ascii="宋体" w:hAnsi="宋体" w:cs="宋体"/>
                <w:color w:val="000000" w:themeColor="text1"/>
                <w:kern w:val="0"/>
                <w:sz w:val="28"/>
                <w:szCs w:val="28"/>
                <w:highlight w:val="none"/>
                <w:lang w:eastAsia="zh-CN"/>
                <w14:textFill>
                  <w14:solidFill>
                    <w14:schemeClr w14:val="tx1"/>
                  </w14:solidFill>
                </w14:textFill>
              </w:rPr>
              <w:t>内容等方面</w:t>
            </w:r>
            <w:r>
              <w:rPr>
                <w:rFonts w:hint="eastAsia" w:ascii="宋体" w:hAnsi="宋体" w:eastAsia="宋体" w:cs="宋体"/>
                <w:color w:val="000000" w:themeColor="text1"/>
                <w:kern w:val="0"/>
                <w:sz w:val="28"/>
                <w:szCs w:val="28"/>
                <w:highlight w:val="none"/>
                <w:lang w:eastAsia="zh-CN"/>
                <w14:textFill>
                  <w14:solidFill>
                    <w14:schemeClr w14:val="tx1"/>
                  </w14:solidFill>
                </w14:textFill>
              </w:rPr>
              <w:t>。对</w:t>
            </w:r>
            <w:r>
              <w:rPr>
                <w:rFonts w:hint="eastAsia" w:ascii="宋体" w:hAnsi="宋体" w:cs="宋体"/>
                <w:color w:val="000000" w:themeColor="text1"/>
                <w:kern w:val="0"/>
                <w:sz w:val="28"/>
                <w:szCs w:val="28"/>
                <w:highlight w:val="none"/>
                <w:lang w:eastAsia="zh-CN"/>
                <w14:textFill>
                  <w14:solidFill>
                    <w14:schemeClr w14:val="tx1"/>
                  </w14:solidFill>
                </w14:textFill>
              </w:rPr>
              <w:t>方案</w:t>
            </w:r>
            <w:r>
              <w:rPr>
                <w:rFonts w:hint="eastAsia" w:ascii="宋体" w:hAnsi="宋体" w:eastAsia="宋体" w:cs="宋体"/>
                <w:color w:val="000000" w:themeColor="text1"/>
                <w:kern w:val="0"/>
                <w:sz w:val="28"/>
                <w:szCs w:val="28"/>
                <w:highlight w:val="none"/>
                <w:lang w:eastAsia="zh-CN"/>
                <w14:textFill>
                  <w14:solidFill>
                    <w14:schemeClr w14:val="tx1"/>
                  </w14:solidFill>
                </w14:textFill>
              </w:rPr>
              <w:t>进行综合评比</w:t>
            </w:r>
            <w:r>
              <w:rPr>
                <w:rFonts w:hint="eastAsia" w:ascii="宋体" w:hAnsi="宋体" w:cs="宋体"/>
                <w:color w:val="000000" w:themeColor="text1"/>
                <w:kern w:val="0"/>
                <w:sz w:val="28"/>
                <w:szCs w:val="28"/>
                <w:highlight w:val="none"/>
                <w:lang w:eastAsia="zh-CN"/>
                <w14:textFill>
                  <w14:solidFill>
                    <w14:schemeClr w14:val="tx1"/>
                  </w14:solidFill>
                </w14:textFill>
              </w:rPr>
              <w:t>，</w:t>
            </w:r>
            <w:r>
              <w:rPr>
                <w:rFonts w:hint="eastAsia" w:ascii="宋体" w:hAnsi="宋体" w:eastAsia="宋体" w:cs="宋体"/>
                <w:color w:val="000000" w:themeColor="text1"/>
                <w:kern w:val="0"/>
                <w:sz w:val="28"/>
                <w:szCs w:val="28"/>
                <w:highlight w:val="none"/>
                <w:lang w:eastAsia="zh-CN"/>
                <w14:textFill>
                  <w14:solidFill>
                    <w14:schemeClr w14:val="tx1"/>
                  </w14:solidFill>
                </w14:textFill>
              </w:rPr>
              <w:t>提供优质完整符合项目实际情况的</w:t>
            </w:r>
            <w:r>
              <w:rPr>
                <w:rFonts w:hint="eastAsia" w:ascii="宋体" w:hAnsi="宋体" w:cs="宋体"/>
                <w:color w:val="000000" w:themeColor="text1"/>
                <w:kern w:val="0"/>
                <w:sz w:val="28"/>
                <w:szCs w:val="28"/>
                <w:highlight w:val="none"/>
                <w:lang w:eastAsia="zh-CN"/>
                <w14:textFill>
                  <w14:solidFill>
                    <w14:schemeClr w14:val="tx1"/>
                  </w14:solidFill>
                </w14:textFill>
              </w:rPr>
              <w:t>方案</w:t>
            </w:r>
            <w:r>
              <w:rPr>
                <w:rFonts w:hint="eastAsia" w:ascii="宋体" w:hAnsi="宋体" w:eastAsia="宋体" w:cs="宋体"/>
                <w:color w:val="000000" w:themeColor="text1"/>
                <w:kern w:val="0"/>
                <w:sz w:val="28"/>
                <w:szCs w:val="28"/>
                <w:highlight w:val="none"/>
                <w:lang w:eastAsia="zh-CN"/>
                <w14:textFill>
                  <w14:solidFill>
                    <w14:schemeClr w14:val="tx1"/>
                  </w14:solidFill>
                </w14:textFill>
              </w:rPr>
              <w:t>得</w:t>
            </w:r>
            <w:r>
              <w:rPr>
                <w:rFonts w:hint="eastAsia" w:ascii="宋体" w:hAnsi="宋体" w:cs="宋体"/>
                <w:color w:val="000000" w:themeColor="text1"/>
                <w:kern w:val="0"/>
                <w:sz w:val="28"/>
                <w:szCs w:val="28"/>
                <w:highlight w:val="none"/>
                <w:lang w:val="en-US" w:eastAsia="zh-CN"/>
                <w14:textFill>
                  <w14:solidFill>
                    <w14:schemeClr w14:val="tx1"/>
                  </w14:solidFill>
                </w14:textFill>
              </w:rPr>
              <w:t>5</w:t>
            </w:r>
            <w:r>
              <w:rPr>
                <w:rFonts w:hint="eastAsia" w:ascii="宋体" w:hAnsi="宋体" w:eastAsia="宋体" w:cs="宋体"/>
                <w:color w:val="000000" w:themeColor="text1"/>
                <w:kern w:val="0"/>
                <w:sz w:val="28"/>
                <w:szCs w:val="28"/>
                <w:highlight w:val="none"/>
                <w:lang w:eastAsia="zh-CN"/>
                <w14:textFill>
                  <w14:solidFill>
                    <w14:schemeClr w14:val="tx1"/>
                  </w14:solidFill>
                </w14:textFill>
              </w:rPr>
              <w:t>分</w:t>
            </w:r>
            <w:r>
              <w:rPr>
                <w:rFonts w:hint="eastAsia" w:ascii="宋体" w:hAnsi="宋体" w:cs="宋体"/>
                <w:color w:val="000000" w:themeColor="text1"/>
                <w:kern w:val="0"/>
                <w:sz w:val="28"/>
                <w:szCs w:val="28"/>
                <w:highlight w:val="none"/>
                <w:lang w:eastAsia="zh-CN"/>
                <w14:textFill>
                  <w14:solidFill>
                    <w14:schemeClr w14:val="tx1"/>
                  </w14:solidFill>
                </w14:textFill>
              </w:rPr>
              <w:t>；</w:t>
            </w:r>
            <w:r>
              <w:rPr>
                <w:rFonts w:hint="eastAsia" w:ascii="宋体" w:hAnsi="宋体" w:eastAsia="宋体" w:cs="宋体"/>
                <w:color w:val="000000" w:themeColor="text1"/>
                <w:kern w:val="0"/>
                <w:sz w:val="28"/>
                <w:szCs w:val="28"/>
                <w:highlight w:val="none"/>
                <w:lang w:eastAsia="zh-CN"/>
                <w14:textFill>
                  <w14:solidFill>
                    <w14:schemeClr w14:val="tx1"/>
                  </w14:solidFill>
                </w14:textFill>
              </w:rPr>
              <w:t>能基本满足采购人需求的</w:t>
            </w:r>
            <w:r>
              <w:rPr>
                <w:rFonts w:hint="eastAsia" w:ascii="宋体" w:hAnsi="宋体" w:cs="宋体"/>
                <w:color w:val="000000" w:themeColor="text1"/>
                <w:kern w:val="0"/>
                <w:sz w:val="28"/>
                <w:szCs w:val="28"/>
                <w:highlight w:val="none"/>
                <w:lang w:eastAsia="zh-CN"/>
                <w14:textFill>
                  <w14:solidFill>
                    <w14:schemeClr w14:val="tx1"/>
                  </w14:solidFill>
                </w14:textFill>
              </w:rPr>
              <w:t>得</w:t>
            </w:r>
            <w:r>
              <w:rPr>
                <w:rFonts w:hint="eastAsia" w:ascii="宋体" w:hAnsi="宋体" w:cs="宋体"/>
                <w:color w:val="000000" w:themeColor="text1"/>
                <w:kern w:val="0"/>
                <w:sz w:val="28"/>
                <w:szCs w:val="28"/>
                <w:highlight w:val="none"/>
                <w:lang w:val="en-US" w:eastAsia="zh-CN"/>
                <w14:textFill>
                  <w14:solidFill>
                    <w14:schemeClr w14:val="tx1"/>
                  </w14:solidFill>
                </w14:textFill>
              </w:rPr>
              <w:t>3</w:t>
            </w:r>
            <w:r>
              <w:rPr>
                <w:rFonts w:hint="eastAsia" w:ascii="宋体" w:hAnsi="宋体" w:eastAsia="宋体" w:cs="宋体"/>
                <w:color w:val="000000" w:themeColor="text1"/>
                <w:kern w:val="0"/>
                <w:sz w:val="28"/>
                <w:szCs w:val="28"/>
                <w:highlight w:val="none"/>
                <w:lang w:eastAsia="zh-CN"/>
                <w14:textFill>
                  <w14:solidFill>
                    <w14:schemeClr w14:val="tx1"/>
                  </w14:solidFill>
                </w14:textFill>
              </w:rPr>
              <w:t>分；未提供不得分。</w:t>
            </w:r>
          </w:p>
        </w:tc>
        <w:tc>
          <w:tcPr>
            <w:tcW w:w="1088" w:type="dxa"/>
            <w:vAlign w:val="center"/>
          </w:tcPr>
          <w:p w14:paraId="0ABD8F67">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bCs/>
                <w:color w:val="000000" w:themeColor="text1"/>
                <w:kern w:val="0"/>
                <w:sz w:val="28"/>
                <w:szCs w:val="28"/>
                <w:highlight w:val="none"/>
                <w:lang w:eastAsia="zh-CN"/>
                <w14:textFill>
                  <w14:solidFill>
                    <w14:schemeClr w14:val="tx1"/>
                  </w14:solidFill>
                </w14:textFill>
              </w:rPr>
            </w:pPr>
            <w:r>
              <w:rPr>
                <w:rFonts w:hint="eastAsia" w:asciiTheme="minorEastAsia" w:hAnsiTheme="minorEastAsia" w:eastAsiaTheme="minorEastAsia"/>
                <w:bCs/>
                <w:color w:val="000000" w:themeColor="text1"/>
                <w:kern w:val="0"/>
                <w:sz w:val="28"/>
                <w:szCs w:val="28"/>
                <w:highlight w:val="none"/>
                <w:lang w:val="en-US" w:eastAsia="zh-CN"/>
                <w14:textFill>
                  <w14:solidFill>
                    <w14:schemeClr w14:val="tx1"/>
                  </w14:solidFill>
                </w14:textFill>
              </w:rPr>
              <w:t>5</w:t>
            </w:r>
          </w:p>
        </w:tc>
      </w:tr>
      <w:tr w14:paraId="06034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 w:type="dxa"/>
            <w:vAlign w:val="center"/>
          </w:tcPr>
          <w:p w14:paraId="45F6A948">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heme="minorEastAsia" w:hAnsiTheme="minorEastAsia" w:eastAsiaTheme="minorEastAsia"/>
                <w:bCs/>
                <w:color w:val="000000" w:themeColor="text1"/>
                <w:kern w:val="0"/>
                <w:sz w:val="28"/>
                <w:szCs w:val="28"/>
                <w:highlight w:val="none"/>
                <w:lang w:val="en-US" w:eastAsia="zh-CN"/>
                <w14:textFill>
                  <w14:solidFill>
                    <w14:schemeClr w14:val="tx1"/>
                  </w14:solidFill>
                </w14:textFill>
              </w:rPr>
            </w:pPr>
            <w:r>
              <w:rPr>
                <w:rFonts w:hint="eastAsia" w:asciiTheme="minorEastAsia" w:hAnsiTheme="minorEastAsia" w:eastAsiaTheme="minorEastAsia"/>
                <w:bCs/>
                <w:color w:val="000000" w:themeColor="text1"/>
                <w:kern w:val="0"/>
                <w:sz w:val="28"/>
                <w:szCs w:val="28"/>
                <w:highlight w:val="none"/>
                <w:lang w:val="en-US" w:eastAsia="zh-CN"/>
                <w14:textFill>
                  <w14:solidFill>
                    <w14:schemeClr w14:val="tx1"/>
                  </w14:solidFill>
                </w14:textFill>
              </w:rPr>
              <w:t>6</w:t>
            </w:r>
          </w:p>
        </w:tc>
        <w:tc>
          <w:tcPr>
            <w:tcW w:w="1500" w:type="dxa"/>
            <w:vAlign w:val="center"/>
          </w:tcPr>
          <w:p w14:paraId="40E6A776">
            <w:pPr>
              <w:pageBreakBefore w:val="0"/>
              <w:kinsoku/>
              <w:wordWrap/>
              <w:overflowPunct/>
              <w:topLinePunct w:val="0"/>
              <w:autoSpaceDE/>
              <w:autoSpaceDN/>
              <w:bidi w:val="0"/>
              <w:spacing w:line="560" w:lineRule="exact"/>
              <w:jc w:val="center"/>
              <w:textAlignment w:val="auto"/>
              <w:rPr>
                <w:rFonts w:hint="eastAsia" w:ascii="宋体" w:hAnsi="宋体" w:eastAsia="宋体" w:cs="宋体"/>
                <w:color w:val="000000" w:themeColor="text1"/>
                <w:kern w:val="0"/>
                <w:sz w:val="28"/>
                <w:szCs w:val="28"/>
                <w:highlight w:val="none"/>
                <w:lang w:eastAsia="zh-CN"/>
                <w14:textFill>
                  <w14:solidFill>
                    <w14:schemeClr w14:val="tx1"/>
                  </w14:solidFill>
                </w14:textFill>
              </w:rPr>
            </w:pPr>
            <w:r>
              <w:rPr>
                <w:rFonts w:hint="eastAsia" w:ascii="宋体" w:hAnsi="宋体" w:eastAsia="宋体" w:cs="宋体"/>
                <w:color w:val="000000" w:themeColor="text1"/>
                <w:kern w:val="0"/>
                <w:sz w:val="28"/>
                <w:szCs w:val="28"/>
                <w:highlight w:val="none"/>
                <w14:textFill>
                  <w14:solidFill>
                    <w14:schemeClr w14:val="tx1"/>
                  </w14:solidFill>
                </w14:textFill>
              </w:rPr>
              <w:t>售后服务</w:t>
            </w:r>
          </w:p>
        </w:tc>
        <w:tc>
          <w:tcPr>
            <w:tcW w:w="6283" w:type="dxa"/>
            <w:vAlign w:val="center"/>
          </w:tcPr>
          <w:p w14:paraId="00160391">
            <w:pPr>
              <w:pageBreakBefore w:val="0"/>
              <w:kinsoku/>
              <w:wordWrap/>
              <w:overflowPunct/>
              <w:topLinePunct w:val="0"/>
              <w:autoSpaceDE/>
              <w:autoSpaceDN/>
              <w:bidi w:val="0"/>
              <w:spacing w:line="560" w:lineRule="exact"/>
              <w:jc w:val="left"/>
              <w:textAlignment w:val="auto"/>
              <w:rPr>
                <w:rFonts w:hint="eastAsia" w:ascii="宋体" w:hAnsi="宋体" w:eastAsia="宋体" w:cs="宋体"/>
                <w:color w:val="000000" w:themeColor="text1"/>
                <w:kern w:val="0"/>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lang w:eastAsia="zh-CN"/>
                <w14:textFill>
                  <w14:solidFill>
                    <w14:schemeClr w14:val="tx1"/>
                  </w14:solidFill>
                </w14:textFill>
              </w:rPr>
              <w:t>（</w:t>
            </w:r>
            <w:r>
              <w:rPr>
                <w:rFonts w:hint="eastAsia" w:ascii="宋体" w:hAnsi="宋体" w:cs="宋体"/>
                <w:color w:val="000000" w:themeColor="text1"/>
                <w:kern w:val="0"/>
                <w:sz w:val="28"/>
                <w:szCs w:val="28"/>
                <w:highlight w:val="none"/>
                <w:lang w:val="en-US" w:eastAsia="zh-CN"/>
                <w14:textFill>
                  <w14:solidFill>
                    <w14:schemeClr w14:val="tx1"/>
                  </w14:solidFill>
                </w14:textFill>
              </w:rPr>
              <w:t>1</w:t>
            </w:r>
            <w:r>
              <w:rPr>
                <w:rFonts w:hint="eastAsia" w:ascii="宋体" w:hAnsi="宋体" w:cs="宋体"/>
                <w:color w:val="000000" w:themeColor="text1"/>
                <w:kern w:val="0"/>
                <w:sz w:val="28"/>
                <w:szCs w:val="28"/>
                <w:highlight w:val="none"/>
                <w:lang w:eastAsia="zh-CN"/>
                <w14:textFill>
                  <w14:solidFill>
                    <w14:schemeClr w14:val="tx1"/>
                  </w14:solidFill>
                </w14:textFill>
              </w:rPr>
              <w:t>）</w:t>
            </w:r>
            <w:r>
              <w:rPr>
                <w:rFonts w:hint="eastAsia" w:ascii="宋体" w:hAnsi="宋体" w:eastAsia="宋体" w:cs="宋体"/>
                <w:color w:val="000000" w:themeColor="text1"/>
                <w:kern w:val="0"/>
                <w:sz w:val="28"/>
                <w:szCs w:val="28"/>
                <w:highlight w:val="none"/>
                <w14:textFill>
                  <w14:solidFill>
                    <w14:schemeClr w14:val="tx1"/>
                  </w14:solidFill>
                </w14:textFill>
              </w:rPr>
              <w:t>需具备完整的售后服务体系；</w:t>
            </w:r>
          </w:p>
          <w:p w14:paraId="65970010">
            <w:pPr>
              <w:pageBreakBefore w:val="0"/>
              <w:kinsoku/>
              <w:wordWrap/>
              <w:overflowPunct/>
              <w:topLinePunct w:val="0"/>
              <w:autoSpaceDE/>
              <w:autoSpaceDN/>
              <w:bidi w:val="0"/>
              <w:spacing w:line="560" w:lineRule="exact"/>
              <w:jc w:val="left"/>
              <w:textAlignment w:val="auto"/>
              <w:rPr>
                <w:rFonts w:hint="eastAsia" w:ascii="宋体" w:hAnsi="宋体" w:eastAsia="宋体" w:cs="宋体"/>
                <w:color w:val="000000" w:themeColor="text1"/>
                <w:kern w:val="0"/>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lang w:eastAsia="zh-CN"/>
                <w14:textFill>
                  <w14:solidFill>
                    <w14:schemeClr w14:val="tx1"/>
                  </w14:solidFill>
                </w14:textFill>
              </w:rPr>
              <w:t>（</w:t>
            </w:r>
            <w:r>
              <w:rPr>
                <w:rFonts w:hint="eastAsia" w:ascii="宋体" w:hAnsi="宋体" w:cs="宋体"/>
                <w:color w:val="000000" w:themeColor="text1"/>
                <w:kern w:val="0"/>
                <w:sz w:val="28"/>
                <w:szCs w:val="28"/>
                <w:highlight w:val="none"/>
                <w:lang w:val="en-US" w:eastAsia="zh-CN"/>
                <w14:textFill>
                  <w14:solidFill>
                    <w14:schemeClr w14:val="tx1"/>
                  </w14:solidFill>
                </w14:textFill>
              </w:rPr>
              <w:t>2</w:t>
            </w:r>
            <w:r>
              <w:rPr>
                <w:rFonts w:hint="eastAsia" w:ascii="宋体" w:hAnsi="宋体" w:cs="宋体"/>
                <w:color w:val="000000" w:themeColor="text1"/>
                <w:kern w:val="0"/>
                <w:sz w:val="28"/>
                <w:szCs w:val="28"/>
                <w:highlight w:val="none"/>
                <w:lang w:eastAsia="zh-CN"/>
                <w14:textFill>
                  <w14:solidFill>
                    <w14:schemeClr w14:val="tx1"/>
                  </w14:solidFill>
                </w14:textFill>
              </w:rPr>
              <w:t>）</w:t>
            </w:r>
            <w:r>
              <w:rPr>
                <w:rFonts w:hint="eastAsia" w:ascii="宋体" w:hAnsi="宋体" w:eastAsia="宋体" w:cs="宋体"/>
                <w:color w:val="000000" w:themeColor="text1"/>
                <w:kern w:val="0"/>
                <w:sz w:val="28"/>
                <w:szCs w:val="28"/>
                <w:highlight w:val="none"/>
                <w14:textFill>
                  <w14:solidFill>
                    <w14:schemeClr w14:val="tx1"/>
                  </w14:solidFill>
                </w14:textFill>
              </w:rPr>
              <w:t>服务响应时间、修复时间、应急处理等售后计划措施合理售后服务说明是否合理 ；</w:t>
            </w:r>
          </w:p>
          <w:p w14:paraId="1E557E63">
            <w:pPr>
              <w:pageBreakBefore w:val="0"/>
              <w:kinsoku/>
              <w:wordWrap/>
              <w:overflowPunct/>
              <w:topLinePunct w:val="0"/>
              <w:autoSpaceDE/>
              <w:autoSpaceDN/>
              <w:bidi w:val="0"/>
              <w:spacing w:line="560" w:lineRule="exact"/>
              <w:jc w:val="left"/>
              <w:textAlignment w:val="auto"/>
              <w:rPr>
                <w:rFonts w:hint="eastAsia" w:ascii="宋体" w:hAnsi="宋体" w:eastAsia="宋体" w:cs="宋体"/>
                <w:color w:val="000000" w:themeColor="text1"/>
                <w:kern w:val="0"/>
                <w:sz w:val="28"/>
                <w:szCs w:val="28"/>
                <w:highlight w:val="none"/>
                <w14:textFill>
                  <w14:solidFill>
                    <w14:schemeClr w14:val="tx1"/>
                  </w14:solidFill>
                </w14:textFill>
              </w:rPr>
            </w:pPr>
            <w:r>
              <w:rPr>
                <w:rFonts w:hint="eastAsia" w:ascii="宋体" w:hAnsi="宋体" w:eastAsia="宋体" w:cs="宋体"/>
                <w:color w:val="000000" w:themeColor="text1"/>
                <w:kern w:val="0"/>
                <w:sz w:val="28"/>
                <w:szCs w:val="28"/>
                <w:highlight w:val="none"/>
                <w14:textFill>
                  <w14:solidFill>
                    <w14:schemeClr w14:val="tx1"/>
                  </w14:solidFill>
                </w14:textFill>
              </w:rPr>
              <w:t>（3）需提供针对本项目的售后服务方案，方案优质完整，具有较强的针对性和可行性；</w:t>
            </w:r>
          </w:p>
          <w:p w14:paraId="0F7B7BB7">
            <w:pPr>
              <w:pageBreakBefore w:val="0"/>
              <w:kinsoku/>
              <w:wordWrap/>
              <w:overflowPunct/>
              <w:topLinePunct w:val="0"/>
              <w:autoSpaceDE/>
              <w:autoSpaceDN/>
              <w:bidi w:val="0"/>
              <w:spacing w:line="560" w:lineRule="exact"/>
              <w:jc w:val="left"/>
              <w:textAlignment w:val="auto"/>
              <w:rPr>
                <w:rFonts w:hint="eastAsia" w:ascii="宋体" w:hAnsi="宋体" w:eastAsia="宋体" w:cs="宋体"/>
                <w:color w:val="000000" w:themeColor="text1"/>
                <w:kern w:val="0"/>
                <w:sz w:val="28"/>
                <w:szCs w:val="28"/>
                <w:highlight w:val="none"/>
                <w14:textFill>
                  <w14:solidFill>
                    <w14:schemeClr w14:val="tx1"/>
                  </w14:solidFill>
                </w14:textFill>
              </w:rPr>
            </w:pPr>
            <w:r>
              <w:rPr>
                <w:rFonts w:hint="eastAsia" w:ascii="宋体" w:hAnsi="宋体" w:eastAsia="宋体" w:cs="宋体"/>
                <w:color w:val="000000" w:themeColor="text1"/>
                <w:kern w:val="0"/>
                <w:sz w:val="28"/>
                <w:szCs w:val="28"/>
                <w:highlight w:val="none"/>
                <w14:textFill>
                  <w14:solidFill>
                    <w14:schemeClr w14:val="tx1"/>
                  </w14:solidFill>
                </w14:textFill>
              </w:rPr>
              <w:t>对以上三项内容进行综合评比，提供优质完整</w:t>
            </w:r>
            <w:r>
              <w:rPr>
                <w:rFonts w:hint="eastAsia" w:ascii="宋体" w:hAnsi="宋体" w:eastAsia="宋体" w:cs="宋体"/>
                <w:color w:val="000000" w:themeColor="text1"/>
                <w:kern w:val="0"/>
                <w:sz w:val="28"/>
                <w:szCs w:val="28"/>
                <w:highlight w:val="none"/>
                <w:lang w:eastAsia="zh-CN"/>
                <w14:textFill>
                  <w14:solidFill>
                    <w14:schemeClr w14:val="tx1"/>
                  </w14:solidFill>
                </w14:textFill>
              </w:rPr>
              <w:t>符合项目实际情况的</w:t>
            </w:r>
            <w:r>
              <w:rPr>
                <w:rFonts w:hint="eastAsia" w:ascii="宋体" w:hAnsi="宋体" w:eastAsia="宋体" w:cs="宋体"/>
                <w:color w:val="000000" w:themeColor="text1"/>
                <w:kern w:val="0"/>
                <w:sz w:val="28"/>
                <w:szCs w:val="28"/>
                <w:highlight w:val="none"/>
                <w14:textFill>
                  <w14:solidFill>
                    <w14:schemeClr w14:val="tx1"/>
                  </w14:solidFill>
                </w14:textFill>
              </w:rPr>
              <w:t>得</w:t>
            </w:r>
            <w:r>
              <w:rPr>
                <w:rFonts w:hint="eastAsia" w:ascii="宋体" w:hAnsi="宋体" w:cs="宋体"/>
                <w:color w:val="000000" w:themeColor="text1"/>
                <w:kern w:val="0"/>
                <w:sz w:val="28"/>
                <w:szCs w:val="28"/>
                <w:highlight w:val="none"/>
                <w:lang w:val="en-US" w:eastAsia="zh-CN"/>
                <w14:textFill>
                  <w14:solidFill>
                    <w14:schemeClr w14:val="tx1"/>
                  </w14:solidFill>
                </w14:textFill>
              </w:rPr>
              <w:t>5</w:t>
            </w:r>
            <w:r>
              <w:rPr>
                <w:rFonts w:hint="eastAsia" w:ascii="宋体" w:hAnsi="宋体" w:eastAsia="宋体" w:cs="宋体"/>
                <w:color w:val="000000" w:themeColor="text1"/>
                <w:kern w:val="0"/>
                <w:sz w:val="28"/>
                <w:szCs w:val="28"/>
                <w:highlight w:val="none"/>
                <w14:textFill>
                  <w14:solidFill>
                    <w14:schemeClr w14:val="tx1"/>
                  </w14:solidFill>
                </w14:textFill>
              </w:rPr>
              <w:t xml:space="preserve">分、能基本满足采购人需求的 </w:t>
            </w:r>
            <w:r>
              <w:rPr>
                <w:rFonts w:hint="eastAsia" w:ascii="宋体" w:hAnsi="宋体" w:cs="宋体"/>
                <w:color w:val="000000" w:themeColor="text1"/>
                <w:kern w:val="0"/>
                <w:sz w:val="28"/>
                <w:szCs w:val="28"/>
                <w:highlight w:val="none"/>
                <w:lang w:eastAsia="zh-CN"/>
                <w14:textFill>
                  <w14:solidFill>
                    <w14:schemeClr w14:val="tx1"/>
                  </w14:solidFill>
                </w14:textFill>
              </w:rPr>
              <w:t>得</w:t>
            </w:r>
            <w:r>
              <w:rPr>
                <w:rFonts w:hint="eastAsia" w:ascii="宋体" w:hAnsi="宋体" w:cs="宋体"/>
                <w:color w:val="000000" w:themeColor="text1"/>
                <w:kern w:val="0"/>
                <w:sz w:val="28"/>
                <w:szCs w:val="28"/>
                <w:highlight w:val="none"/>
                <w:lang w:val="en-US" w:eastAsia="zh-CN"/>
                <w14:textFill>
                  <w14:solidFill>
                    <w14:schemeClr w14:val="tx1"/>
                  </w14:solidFill>
                </w14:textFill>
              </w:rPr>
              <w:t>3</w:t>
            </w:r>
            <w:r>
              <w:rPr>
                <w:rFonts w:hint="eastAsia" w:ascii="宋体" w:hAnsi="宋体" w:eastAsia="宋体" w:cs="宋体"/>
                <w:color w:val="000000" w:themeColor="text1"/>
                <w:kern w:val="0"/>
                <w:sz w:val="28"/>
                <w:szCs w:val="28"/>
                <w:highlight w:val="none"/>
                <w14:textFill>
                  <w14:solidFill>
                    <w14:schemeClr w14:val="tx1"/>
                  </w14:solidFill>
                </w14:textFill>
              </w:rPr>
              <w:t>分</w:t>
            </w:r>
            <w:r>
              <w:rPr>
                <w:rFonts w:hint="eastAsia" w:ascii="宋体" w:hAnsi="宋体" w:eastAsia="宋体" w:cs="宋体"/>
                <w:color w:val="000000" w:themeColor="text1"/>
                <w:kern w:val="0"/>
                <w:sz w:val="28"/>
                <w:szCs w:val="28"/>
                <w:highlight w:val="none"/>
                <w:lang w:eastAsia="zh-CN"/>
                <w14:textFill>
                  <w14:solidFill>
                    <w14:schemeClr w14:val="tx1"/>
                  </w14:solidFill>
                </w14:textFill>
              </w:rPr>
              <w:t>；</w:t>
            </w:r>
            <w:r>
              <w:rPr>
                <w:rFonts w:hint="eastAsia" w:ascii="宋体" w:hAnsi="宋体" w:eastAsia="宋体" w:cs="宋体"/>
                <w:color w:val="000000" w:themeColor="text1"/>
                <w:kern w:val="0"/>
                <w:sz w:val="28"/>
                <w:szCs w:val="28"/>
                <w:highlight w:val="none"/>
                <w14:textFill>
                  <w14:solidFill>
                    <w14:schemeClr w14:val="tx1"/>
                  </w14:solidFill>
                </w14:textFill>
              </w:rPr>
              <w:t>未提供不得分。</w:t>
            </w:r>
          </w:p>
        </w:tc>
        <w:tc>
          <w:tcPr>
            <w:tcW w:w="1088" w:type="dxa"/>
            <w:vAlign w:val="center"/>
          </w:tcPr>
          <w:p w14:paraId="72343401">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heme="minorEastAsia" w:hAnsiTheme="minorEastAsia" w:eastAsiaTheme="minorEastAsia"/>
                <w:bCs/>
                <w:color w:val="000000" w:themeColor="text1"/>
                <w:kern w:val="0"/>
                <w:sz w:val="28"/>
                <w:szCs w:val="28"/>
                <w:highlight w:val="none"/>
                <w:lang w:val="en-US" w:eastAsia="zh-CN"/>
                <w14:textFill>
                  <w14:solidFill>
                    <w14:schemeClr w14:val="tx1"/>
                  </w14:solidFill>
                </w14:textFill>
              </w:rPr>
            </w:pPr>
            <w:r>
              <w:rPr>
                <w:rFonts w:hint="eastAsia" w:asciiTheme="minorEastAsia" w:hAnsiTheme="minorEastAsia" w:eastAsiaTheme="minorEastAsia"/>
                <w:bCs/>
                <w:color w:val="000000" w:themeColor="text1"/>
                <w:kern w:val="0"/>
                <w:sz w:val="28"/>
                <w:szCs w:val="28"/>
                <w:highlight w:val="none"/>
                <w:lang w:val="en-US" w:eastAsia="zh-CN"/>
                <w14:textFill>
                  <w14:solidFill>
                    <w14:schemeClr w14:val="tx1"/>
                  </w14:solidFill>
                </w14:textFill>
              </w:rPr>
              <w:t>5</w:t>
            </w:r>
          </w:p>
        </w:tc>
      </w:tr>
    </w:tbl>
    <w:p w14:paraId="58FBA635">
      <w:pPr>
        <w:pageBreakBefore w:val="0"/>
        <w:wordWrap/>
        <w:topLinePunct w:val="0"/>
        <w:bidi w:val="0"/>
        <w:spacing w:line="560" w:lineRule="exact"/>
        <w:rPr>
          <w:rFonts w:hint="eastAsia"/>
          <w:color w:val="000000" w:themeColor="text1"/>
          <w:highlight w:val="none"/>
          <w14:textFill>
            <w14:solidFill>
              <w14:schemeClr w14:val="tx1"/>
            </w14:solidFill>
          </w14:textFill>
        </w:rPr>
      </w:pPr>
    </w:p>
    <w:p w14:paraId="18F5C162">
      <w:pPr>
        <w:pStyle w:val="4"/>
        <w:keepNext w:val="0"/>
        <w:keepLines w:val="0"/>
        <w:pageBreakBefore w:val="0"/>
        <w:kinsoku/>
        <w:wordWrap/>
        <w:overflowPunct/>
        <w:topLinePunct w:val="0"/>
        <w:autoSpaceDE/>
        <w:autoSpaceDN/>
        <w:bidi w:val="0"/>
        <w:adjustRightInd/>
        <w:snapToGrid/>
        <w:spacing w:line="560" w:lineRule="exact"/>
        <w:jc w:val="center"/>
        <w:textAlignment w:val="auto"/>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第四节</w:t>
      </w:r>
      <w:r>
        <w:rPr>
          <w:color w:val="000000" w:themeColor="text1"/>
          <w:sz w:val="28"/>
          <w:szCs w:val="28"/>
          <w:highlight w:val="none"/>
          <w14:textFill>
            <w14:solidFill>
              <w14:schemeClr w14:val="tx1"/>
            </w14:solidFill>
          </w14:textFill>
        </w:rPr>
        <w:t xml:space="preserve"> </w:t>
      </w:r>
      <w:r>
        <w:rPr>
          <w:rFonts w:hint="eastAsia"/>
          <w:color w:val="000000" w:themeColor="text1"/>
          <w:sz w:val="28"/>
          <w:szCs w:val="28"/>
          <w:highlight w:val="none"/>
          <w14:textFill>
            <w14:solidFill>
              <w14:schemeClr w14:val="tx1"/>
            </w14:solidFill>
          </w14:textFill>
        </w:rPr>
        <w:t>中标候选人推荐原则</w:t>
      </w:r>
    </w:p>
    <w:p w14:paraId="26E81CD9">
      <w:pPr>
        <w:pStyle w:val="17"/>
        <w:keepNext w:val="0"/>
        <w:keepLines w:val="0"/>
        <w:pageBreakBefore w:val="0"/>
        <w:kinsoku/>
        <w:wordWrap/>
        <w:overflowPunct/>
        <w:topLinePunct w:val="0"/>
        <w:autoSpaceDE/>
        <w:autoSpaceDN/>
        <w:bidi w:val="0"/>
        <w:adjustRightInd/>
        <w:snapToGrid/>
        <w:spacing w:line="560" w:lineRule="exact"/>
        <w:textAlignment w:val="auto"/>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一、综合评分法</w:t>
      </w:r>
    </w:p>
    <w:p w14:paraId="775559FE">
      <w:pPr>
        <w:pStyle w:val="17"/>
        <w:keepNext w:val="0"/>
        <w:keepLines w:val="0"/>
        <w:pageBreakBefore w:val="0"/>
        <w:kinsoku/>
        <w:wordWrap/>
        <w:overflowPunct/>
        <w:topLinePunct w:val="0"/>
        <w:autoSpaceDE/>
        <w:autoSpaceDN/>
        <w:bidi w:val="0"/>
        <w:adjustRightInd/>
        <w:snapToGrid/>
        <w:spacing w:line="560" w:lineRule="exact"/>
        <w:ind w:firstLine="560" w:firstLineChars="200"/>
        <w:jc w:val="both"/>
        <w:textAlignment w:val="auto"/>
        <w:rPr>
          <w:b w:val="0"/>
          <w:bCs w:val="0"/>
          <w:color w:val="000000" w:themeColor="text1"/>
          <w:sz w:val="28"/>
          <w:szCs w:val="28"/>
          <w:highlight w:val="none"/>
          <w14:textFill>
            <w14:solidFill>
              <w14:schemeClr w14:val="tx1"/>
            </w14:solidFill>
          </w14:textFill>
        </w:rPr>
      </w:pPr>
      <w:r>
        <w:rPr>
          <w:rFonts w:hint="eastAsia"/>
          <w:b w:val="0"/>
          <w:bCs w:val="0"/>
          <w:color w:val="000000" w:themeColor="text1"/>
          <w:sz w:val="28"/>
          <w:szCs w:val="28"/>
          <w:highlight w:val="none"/>
          <w14:textFill>
            <w14:solidFill>
              <w14:schemeClr w14:val="tx1"/>
            </w14:solidFill>
          </w14:textFill>
        </w:rPr>
        <w:t>1.评标委员会将根据总得分由高到低排列次序并推荐中标候选人。总得分相同的，以投标报价由低到高顺序排列。得分相同且投标报价相同的并列，投标文件满足招标文件全部实质性要求，且按照评审因素的量化指标评审得分最高的</w:t>
      </w:r>
      <w:r>
        <w:rPr>
          <w:rFonts w:hint="eastAsia"/>
          <w:b w:val="0"/>
          <w:bCs w:val="0"/>
          <w:color w:val="000000" w:themeColor="text1"/>
          <w:sz w:val="28"/>
          <w:szCs w:val="28"/>
          <w:highlight w:val="none"/>
          <w:lang w:eastAsia="zh-CN"/>
          <w14:textFill>
            <w14:solidFill>
              <w14:schemeClr w14:val="tx1"/>
            </w14:solidFill>
          </w14:textFill>
        </w:rPr>
        <w:t>供应商</w:t>
      </w:r>
      <w:r>
        <w:rPr>
          <w:rFonts w:hint="eastAsia"/>
          <w:b w:val="0"/>
          <w:bCs w:val="0"/>
          <w:color w:val="000000" w:themeColor="text1"/>
          <w:sz w:val="28"/>
          <w:szCs w:val="28"/>
          <w:highlight w:val="none"/>
          <w14:textFill>
            <w14:solidFill>
              <w14:schemeClr w14:val="tx1"/>
            </w14:solidFill>
          </w14:textFill>
        </w:rPr>
        <w:t>为排名第一的中标候选人。</w:t>
      </w:r>
    </w:p>
    <w:p w14:paraId="133C4BBD">
      <w:pPr>
        <w:pStyle w:val="17"/>
        <w:keepNext w:val="0"/>
        <w:keepLines w:val="0"/>
        <w:pageBreakBefore w:val="0"/>
        <w:kinsoku/>
        <w:wordWrap/>
        <w:overflowPunct/>
        <w:topLinePunct w:val="0"/>
        <w:autoSpaceDE/>
        <w:autoSpaceDN/>
        <w:bidi w:val="0"/>
        <w:adjustRightInd/>
        <w:snapToGrid/>
        <w:spacing w:line="560" w:lineRule="exact"/>
        <w:ind w:firstLine="560" w:firstLineChars="200"/>
        <w:jc w:val="both"/>
        <w:textAlignment w:val="auto"/>
        <w:rPr>
          <w:b w:val="0"/>
          <w:bCs w:val="0"/>
          <w:color w:val="000000" w:themeColor="text1"/>
          <w:sz w:val="28"/>
          <w:szCs w:val="28"/>
          <w:highlight w:val="none"/>
          <w14:textFill>
            <w14:solidFill>
              <w14:schemeClr w14:val="tx1"/>
            </w14:solidFill>
          </w14:textFill>
        </w:rPr>
      </w:pPr>
      <w:r>
        <w:rPr>
          <w:rFonts w:hint="eastAsia"/>
          <w:b w:val="0"/>
          <w:bCs w:val="0"/>
          <w:color w:val="000000" w:themeColor="text1"/>
          <w:sz w:val="28"/>
          <w:szCs w:val="28"/>
          <w:highlight w:val="none"/>
          <w14:textFill>
            <w14:solidFill>
              <w14:schemeClr w14:val="tx1"/>
            </w14:solidFill>
          </w14:textFill>
        </w:rPr>
        <w:t>2.根据《政府采购货物和服务招标投标管理办法》（财政部令第87号）第三十一条第二款规定，采用综合评分法的采购项目，提供相同品牌产品且通过资格审查、符合性审查的不同</w:t>
      </w:r>
      <w:r>
        <w:rPr>
          <w:rFonts w:hint="eastAsia"/>
          <w:b w:val="0"/>
          <w:bCs w:val="0"/>
          <w:color w:val="000000" w:themeColor="text1"/>
          <w:sz w:val="28"/>
          <w:szCs w:val="28"/>
          <w:highlight w:val="none"/>
          <w:lang w:eastAsia="zh-CN"/>
          <w14:textFill>
            <w14:solidFill>
              <w14:schemeClr w14:val="tx1"/>
            </w14:solidFill>
          </w14:textFill>
        </w:rPr>
        <w:t>供应商</w:t>
      </w:r>
      <w:r>
        <w:rPr>
          <w:rFonts w:hint="eastAsia"/>
          <w:b w:val="0"/>
          <w:bCs w:val="0"/>
          <w:color w:val="000000" w:themeColor="text1"/>
          <w:sz w:val="28"/>
          <w:szCs w:val="28"/>
          <w:highlight w:val="none"/>
          <w14:textFill>
            <w14:solidFill>
              <w14:schemeClr w14:val="tx1"/>
            </w14:solidFill>
          </w14:textFill>
        </w:rPr>
        <w:t>参加同一合同项下投标的，按一家</w:t>
      </w:r>
      <w:r>
        <w:rPr>
          <w:rFonts w:hint="eastAsia"/>
          <w:b w:val="0"/>
          <w:bCs w:val="0"/>
          <w:color w:val="000000" w:themeColor="text1"/>
          <w:sz w:val="28"/>
          <w:szCs w:val="28"/>
          <w:highlight w:val="none"/>
          <w:lang w:eastAsia="zh-CN"/>
          <w14:textFill>
            <w14:solidFill>
              <w14:schemeClr w14:val="tx1"/>
            </w14:solidFill>
          </w14:textFill>
        </w:rPr>
        <w:t>供应商</w:t>
      </w:r>
      <w:r>
        <w:rPr>
          <w:rFonts w:hint="eastAsia"/>
          <w:b w:val="0"/>
          <w:bCs w:val="0"/>
          <w:color w:val="000000" w:themeColor="text1"/>
          <w:sz w:val="28"/>
          <w:szCs w:val="28"/>
          <w:highlight w:val="none"/>
          <w14:textFill>
            <w14:solidFill>
              <w14:schemeClr w14:val="tx1"/>
            </w14:solidFill>
          </w14:textFill>
        </w:rPr>
        <w:t>计算，评审后得分最高的同品牌</w:t>
      </w:r>
      <w:r>
        <w:rPr>
          <w:rFonts w:hint="eastAsia"/>
          <w:b w:val="0"/>
          <w:bCs w:val="0"/>
          <w:color w:val="000000" w:themeColor="text1"/>
          <w:sz w:val="28"/>
          <w:szCs w:val="28"/>
          <w:highlight w:val="none"/>
          <w:lang w:eastAsia="zh-CN"/>
          <w14:textFill>
            <w14:solidFill>
              <w14:schemeClr w14:val="tx1"/>
            </w14:solidFill>
          </w14:textFill>
        </w:rPr>
        <w:t>供应商</w:t>
      </w:r>
      <w:r>
        <w:rPr>
          <w:rFonts w:hint="eastAsia"/>
          <w:b w:val="0"/>
          <w:bCs w:val="0"/>
          <w:color w:val="000000" w:themeColor="text1"/>
          <w:sz w:val="28"/>
          <w:szCs w:val="28"/>
          <w:highlight w:val="none"/>
          <w14:textFill>
            <w14:solidFill>
              <w14:schemeClr w14:val="tx1"/>
            </w14:solidFill>
          </w14:textFill>
        </w:rPr>
        <w:t>获得中标人推荐资格；评审得分相同的，按照“</w:t>
      </w:r>
      <w:r>
        <w:rPr>
          <w:rFonts w:hint="eastAsia"/>
          <w:b w:val="0"/>
          <w:bCs w:val="0"/>
          <w:color w:val="000000" w:themeColor="text1"/>
          <w:sz w:val="28"/>
          <w:szCs w:val="28"/>
          <w:highlight w:val="none"/>
          <w:lang w:eastAsia="zh-CN"/>
          <w14:textFill>
            <w14:solidFill>
              <w14:schemeClr w14:val="tx1"/>
            </w14:solidFill>
          </w14:textFill>
        </w:rPr>
        <w:t>供应商</w:t>
      </w:r>
      <w:r>
        <w:rPr>
          <w:rFonts w:hint="eastAsia"/>
          <w:b w:val="0"/>
          <w:bCs w:val="0"/>
          <w:color w:val="000000" w:themeColor="text1"/>
          <w:sz w:val="28"/>
          <w:szCs w:val="28"/>
          <w:highlight w:val="none"/>
          <w14:textFill>
            <w14:solidFill>
              <w14:schemeClr w14:val="tx1"/>
            </w14:solidFill>
          </w14:textFill>
        </w:rPr>
        <w:t>须知前附表”及“</w:t>
      </w:r>
      <w:r>
        <w:rPr>
          <w:rFonts w:hint="eastAsia"/>
          <w:b w:val="0"/>
          <w:bCs w:val="0"/>
          <w:color w:val="000000" w:themeColor="text1"/>
          <w:sz w:val="28"/>
          <w:szCs w:val="28"/>
          <w:highlight w:val="none"/>
          <w:lang w:eastAsia="zh-CN"/>
          <w14:textFill>
            <w14:solidFill>
              <w14:schemeClr w14:val="tx1"/>
            </w14:solidFill>
          </w14:textFill>
        </w:rPr>
        <w:t>供应商</w:t>
      </w:r>
      <w:r>
        <w:rPr>
          <w:rFonts w:hint="eastAsia"/>
          <w:b w:val="0"/>
          <w:bCs w:val="0"/>
          <w:color w:val="000000" w:themeColor="text1"/>
          <w:sz w:val="28"/>
          <w:szCs w:val="28"/>
          <w:highlight w:val="none"/>
          <w14:textFill>
            <w14:solidFill>
              <w14:schemeClr w14:val="tx1"/>
            </w14:solidFill>
          </w14:textFill>
        </w:rPr>
        <w:t>须知正文”推荐。</w:t>
      </w:r>
    </w:p>
    <w:p w14:paraId="26D1E4FE">
      <w:pPr>
        <w:pStyle w:val="4"/>
        <w:keepNext w:val="0"/>
        <w:keepLines w:val="0"/>
        <w:pageBreakBefore w:val="0"/>
        <w:kinsoku/>
        <w:wordWrap/>
        <w:overflowPunct/>
        <w:topLinePunct w:val="0"/>
        <w:autoSpaceDE/>
        <w:autoSpaceDN/>
        <w:bidi w:val="0"/>
        <w:adjustRightInd/>
        <w:snapToGrid/>
        <w:spacing w:line="560" w:lineRule="exact"/>
        <w:jc w:val="center"/>
        <w:textAlignment w:val="auto"/>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第五节</w:t>
      </w:r>
      <w:r>
        <w:rPr>
          <w:color w:val="000000" w:themeColor="text1"/>
          <w:sz w:val="28"/>
          <w:szCs w:val="28"/>
          <w:highlight w:val="none"/>
          <w14:textFill>
            <w14:solidFill>
              <w14:schemeClr w14:val="tx1"/>
            </w14:solidFill>
          </w14:textFill>
        </w:rPr>
        <w:t xml:space="preserve"> </w:t>
      </w:r>
      <w:r>
        <w:rPr>
          <w:rFonts w:hint="eastAsia"/>
          <w:color w:val="000000" w:themeColor="text1"/>
          <w:sz w:val="28"/>
          <w:szCs w:val="28"/>
          <w:highlight w:val="none"/>
          <w14:textFill>
            <w14:solidFill>
              <w14:schemeClr w14:val="tx1"/>
            </w14:solidFill>
          </w14:textFill>
        </w:rPr>
        <w:t>评标报告</w:t>
      </w:r>
    </w:p>
    <w:p w14:paraId="04749E30">
      <w:pPr>
        <w:pStyle w:val="108"/>
        <w:keepNext w:val="0"/>
        <w:keepLines w:val="0"/>
        <w:pageBreakBefore w:val="0"/>
        <w:kinsoku/>
        <w:wordWrap/>
        <w:overflowPunct/>
        <w:topLinePunct w:val="0"/>
        <w:autoSpaceDE/>
        <w:autoSpaceDN/>
        <w:bidi w:val="0"/>
        <w:adjustRightInd/>
        <w:snapToGrid/>
        <w:spacing w:before="0" w:line="560" w:lineRule="exact"/>
        <w:ind w:firstLine="560"/>
        <w:textAlignment w:val="auto"/>
        <w:rPr>
          <w:rFonts w:asciiTheme="minorEastAsia" w:hAnsiTheme="minorEastAsia"/>
          <w:color w:val="000000" w:themeColor="text1"/>
          <w:sz w:val="28"/>
          <w:szCs w:val="28"/>
          <w:highlight w:val="none"/>
          <w14:textFill>
            <w14:solidFill>
              <w14:schemeClr w14:val="tx1"/>
            </w14:solidFill>
          </w14:textFill>
        </w:rPr>
      </w:pPr>
      <w:r>
        <w:rPr>
          <w:rFonts w:hint="eastAsia" w:asciiTheme="minorEastAsia" w:hAnsiTheme="minorEastAsia"/>
          <w:color w:val="000000" w:themeColor="text1"/>
          <w:sz w:val="28"/>
          <w:szCs w:val="28"/>
          <w:highlight w:val="none"/>
          <w14:textFill>
            <w14:solidFill>
              <w14:schemeClr w14:val="tx1"/>
            </w14:solidFill>
          </w14:textFill>
        </w:rPr>
        <w:t>（一）评标报告与推荐中标候选人</w:t>
      </w:r>
    </w:p>
    <w:p w14:paraId="6DCDF86B">
      <w:pPr>
        <w:pStyle w:val="17"/>
        <w:keepNext w:val="0"/>
        <w:keepLines w:val="0"/>
        <w:pageBreakBefore w:val="0"/>
        <w:kinsoku/>
        <w:wordWrap/>
        <w:overflowPunct/>
        <w:topLinePunct w:val="0"/>
        <w:autoSpaceDE/>
        <w:autoSpaceDN/>
        <w:bidi w:val="0"/>
        <w:adjustRightInd/>
        <w:snapToGrid/>
        <w:spacing w:line="560" w:lineRule="exact"/>
        <w:jc w:val="both"/>
        <w:textAlignment w:val="auto"/>
        <w:rPr>
          <w:b w:val="0"/>
          <w:bCs w:val="0"/>
          <w:color w:val="000000" w:themeColor="text1"/>
          <w:sz w:val="28"/>
          <w:szCs w:val="28"/>
          <w:highlight w:val="none"/>
          <w14:textFill>
            <w14:solidFill>
              <w14:schemeClr w14:val="tx1"/>
            </w14:solidFill>
          </w14:textFill>
        </w:rPr>
      </w:pPr>
      <w:r>
        <w:rPr>
          <w:rFonts w:hint="eastAsia"/>
          <w:b w:val="0"/>
          <w:bCs w:val="0"/>
          <w:color w:val="000000" w:themeColor="text1"/>
          <w:sz w:val="28"/>
          <w:szCs w:val="28"/>
          <w:highlight w:val="none"/>
          <w14:textFill>
            <w14:solidFill>
              <w14:schemeClr w14:val="tx1"/>
            </w14:solidFill>
          </w14:textFill>
        </w:rPr>
        <w:t>评标委员会根据原始评标记录和评标结果编写评标报告，并通过电子交易平台向采购人、采购代理机构提交。</w:t>
      </w:r>
    </w:p>
    <w:p w14:paraId="33E68843">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（二）评标争议事项处理</w:t>
      </w:r>
    </w:p>
    <w:p w14:paraId="628F2E2B">
      <w:pPr>
        <w:pStyle w:val="17"/>
        <w:keepNext w:val="0"/>
        <w:keepLines w:val="0"/>
        <w:pageBreakBefore w:val="0"/>
        <w:kinsoku/>
        <w:wordWrap/>
        <w:overflowPunct/>
        <w:topLinePunct w:val="0"/>
        <w:autoSpaceDE/>
        <w:autoSpaceDN/>
        <w:bidi w:val="0"/>
        <w:adjustRightInd/>
        <w:snapToGrid/>
        <w:spacing w:line="560" w:lineRule="exact"/>
        <w:jc w:val="both"/>
        <w:textAlignment w:val="auto"/>
        <w:rPr>
          <w:color w:val="000000" w:themeColor="text1"/>
          <w:sz w:val="28"/>
          <w:szCs w:val="28"/>
          <w:highlight w:val="none"/>
          <w14:textFill>
            <w14:solidFill>
              <w14:schemeClr w14:val="tx1"/>
            </w14:solidFill>
          </w14:textFill>
        </w:rPr>
        <w:sectPr>
          <w:pgSz w:w="11906" w:h="16838"/>
          <w:pgMar w:top="1134" w:right="1134" w:bottom="1134" w:left="1134" w:header="720" w:footer="720" w:gutter="0"/>
          <w:pgNumType w:fmt="decimal"/>
          <w:cols w:space="720" w:num="1"/>
          <w:docGrid w:type="lines" w:linePitch="331" w:charSpace="0"/>
        </w:sectPr>
      </w:pPr>
      <w:r>
        <w:rPr>
          <w:rFonts w:hint="eastAsia"/>
          <w:b w:val="0"/>
          <w:bCs w:val="0"/>
          <w:color w:val="000000" w:themeColor="text1"/>
          <w:sz w:val="28"/>
          <w:szCs w:val="28"/>
          <w:highlight w:val="none"/>
          <w14:textFill>
            <w14:solidFill>
              <w14:schemeClr w14:val="tx1"/>
            </w14:solidFill>
          </w14:textFill>
        </w:rPr>
        <w:t>评标委员会成员对需要共同认定的事项存在争议的，应当按照少数服从多数的原则作出结论。持不同意见的评标委员会成员应当在评标报告上签署不同意见及理由，否则视为同意评标报告。</w:t>
      </w:r>
    </w:p>
    <w:p w14:paraId="0ED3ED61">
      <w:pPr>
        <w:pStyle w:val="31"/>
        <w:pageBreakBefore w:val="0"/>
        <w:numPr>
          <w:ilvl w:val="0"/>
          <w:numId w:val="3"/>
        </w:numPr>
        <w:wordWrap/>
        <w:topLinePunct w:val="0"/>
        <w:bidi w:val="0"/>
        <w:spacing w:before="0" w:after="0" w:line="560" w:lineRule="exact"/>
        <w:rPr>
          <w:rFonts w:hint="eastAsia"/>
          <w:color w:val="000000" w:themeColor="text1"/>
          <w:sz w:val="28"/>
          <w:szCs w:val="28"/>
          <w:highlight w:val="none"/>
          <w14:textFill>
            <w14:solidFill>
              <w14:schemeClr w14:val="tx1"/>
            </w14:solidFill>
          </w14:textFill>
        </w:rPr>
      </w:pPr>
      <w:r>
        <w:rPr>
          <w:rFonts w:hint="eastAsia"/>
          <w:color w:val="000000" w:themeColor="text1"/>
          <w:sz w:val="28"/>
          <w:szCs w:val="28"/>
          <w:highlight w:val="none"/>
          <w:lang w:val="en-US" w:eastAsia="zh-CN"/>
          <w14:textFill>
            <w14:solidFill>
              <w14:schemeClr w14:val="tx1"/>
            </w14:solidFill>
          </w14:textFill>
        </w:rPr>
        <w:t xml:space="preserve">  </w:t>
      </w:r>
      <w:r>
        <w:rPr>
          <w:rFonts w:hint="eastAsia"/>
          <w:color w:val="000000" w:themeColor="text1"/>
          <w:sz w:val="28"/>
          <w:szCs w:val="28"/>
          <w:highlight w:val="none"/>
          <w14:textFill>
            <w14:solidFill>
              <w14:schemeClr w14:val="tx1"/>
            </w14:solidFill>
          </w14:textFill>
        </w:rPr>
        <w:t>拟签订的合同文本</w:t>
      </w:r>
    </w:p>
    <w:p w14:paraId="537E55F6">
      <w:pPr>
        <w:pageBreakBefore w:val="0"/>
        <w:widowControl w:val="0"/>
        <w:numPr>
          <w:ilvl w:val="0"/>
          <w:numId w:val="0"/>
        </w:numPr>
        <w:wordWrap/>
        <w:topLinePunct w:val="0"/>
        <w:bidi w:val="0"/>
        <w:spacing w:line="560" w:lineRule="exact"/>
        <w:jc w:val="both"/>
        <w:rPr>
          <w:color w:val="000000" w:themeColor="text1"/>
          <w:sz w:val="28"/>
          <w:szCs w:val="28"/>
          <w:highlight w:val="none"/>
          <w14:textFill>
            <w14:solidFill>
              <w14:schemeClr w14:val="tx1"/>
            </w14:solidFill>
          </w14:textFill>
        </w:rPr>
      </w:pPr>
    </w:p>
    <w:p w14:paraId="77DAB492">
      <w:pPr>
        <w:pStyle w:val="13"/>
        <w:spacing w:after="0"/>
        <w:jc w:val="center"/>
        <w:rPr>
          <w:rFonts w:ascii="宋体" w:hAnsi="宋体" w:cs="宋体"/>
          <w:b/>
          <w:bCs/>
          <w:color w:val="000000" w:themeColor="text1"/>
          <w:spacing w:val="-20"/>
          <w:kern w:val="44"/>
          <w:sz w:val="28"/>
          <w:szCs w:val="28"/>
          <w:highlight w:val="none"/>
          <w14:textFill>
            <w14:solidFill>
              <w14:schemeClr w14:val="tx1"/>
            </w14:solidFill>
          </w14:textFill>
        </w:rPr>
      </w:pPr>
    </w:p>
    <w:p w14:paraId="4250BF05">
      <w:pPr>
        <w:pStyle w:val="13"/>
        <w:pageBreakBefore w:val="0"/>
        <w:kinsoku/>
        <w:wordWrap/>
        <w:overflowPunct/>
        <w:topLinePunct w:val="0"/>
        <w:bidi w:val="0"/>
        <w:spacing w:after="0" w:afterAutospacing="0" w:line="560" w:lineRule="exact"/>
        <w:jc w:val="center"/>
        <w:textAlignment w:val="auto"/>
        <w:rPr>
          <w:rFonts w:hint="eastAsia" w:asciiTheme="minorEastAsia" w:hAnsiTheme="minorEastAsia" w:eastAsiaTheme="minorEastAsia" w:cstheme="minorEastAsia"/>
          <w:b/>
          <w:bCs/>
          <w:color w:val="000000" w:themeColor="text1"/>
          <w:spacing w:val="-20"/>
          <w:kern w:val="44"/>
          <w:sz w:val="28"/>
          <w:szCs w:val="28"/>
          <w:highlight w:val="none"/>
          <w14:textFill>
            <w14:solidFill>
              <w14:schemeClr w14:val="tx1"/>
            </w14:solidFill>
          </w14:textFill>
        </w:rPr>
      </w:pPr>
    </w:p>
    <w:p w14:paraId="63E052C8">
      <w:pPr>
        <w:pStyle w:val="13"/>
        <w:pageBreakBefore w:val="0"/>
        <w:kinsoku/>
        <w:wordWrap/>
        <w:overflowPunct/>
        <w:topLinePunct w:val="0"/>
        <w:bidi w:val="0"/>
        <w:spacing w:after="0" w:afterAutospacing="0" w:line="560" w:lineRule="exact"/>
        <w:jc w:val="center"/>
        <w:textAlignment w:val="auto"/>
        <w:rPr>
          <w:rFonts w:hint="eastAsia" w:asciiTheme="minorEastAsia" w:hAnsiTheme="minorEastAsia" w:eastAsiaTheme="minorEastAsia" w:cstheme="minorEastAsia"/>
          <w:b/>
          <w:bCs/>
          <w:color w:val="000000" w:themeColor="text1"/>
          <w:spacing w:val="-20"/>
          <w:kern w:val="44"/>
          <w:sz w:val="28"/>
          <w:szCs w:val="28"/>
          <w:highlight w:val="none"/>
          <w14:textFill>
            <w14:solidFill>
              <w14:schemeClr w14:val="tx1"/>
            </w14:solidFill>
          </w14:textFill>
        </w:rPr>
      </w:pPr>
    </w:p>
    <w:p w14:paraId="667FCA1D">
      <w:pPr>
        <w:pStyle w:val="13"/>
        <w:pageBreakBefore w:val="0"/>
        <w:kinsoku/>
        <w:wordWrap/>
        <w:overflowPunct/>
        <w:topLinePunct w:val="0"/>
        <w:bidi w:val="0"/>
        <w:spacing w:after="0" w:afterAutospacing="0" w:line="560" w:lineRule="exact"/>
        <w:jc w:val="center"/>
        <w:textAlignment w:val="auto"/>
        <w:rPr>
          <w:rFonts w:hint="eastAsia" w:asciiTheme="minorEastAsia" w:hAnsiTheme="minorEastAsia" w:eastAsiaTheme="minorEastAsia" w:cstheme="minorEastAsia"/>
          <w:b/>
          <w:bCs/>
          <w:color w:val="000000" w:themeColor="text1"/>
          <w:spacing w:val="-20"/>
          <w:kern w:val="44"/>
          <w:sz w:val="28"/>
          <w:szCs w:val="28"/>
          <w:highlight w:val="none"/>
          <w14:textFill>
            <w14:solidFill>
              <w14:schemeClr w14:val="tx1"/>
            </w14:solidFill>
          </w14:textFill>
        </w:rPr>
      </w:pPr>
    </w:p>
    <w:p w14:paraId="157C5607">
      <w:pPr>
        <w:pStyle w:val="13"/>
        <w:pageBreakBefore w:val="0"/>
        <w:kinsoku/>
        <w:wordWrap/>
        <w:overflowPunct/>
        <w:topLinePunct w:val="0"/>
        <w:bidi w:val="0"/>
        <w:spacing w:after="0" w:afterAutospacing="0" w:line="560" w:lineRule="exact"/>
        <w:jc w:val="center"/>
        <w:textAlignment w:val="auto"/>
        <w:rPr>
          <w:rFonts w:hint="eastAsia" w:asciiTheme="minorEastAsia" w:hAnsiTheme="minorEastAsia" w:eastAsiaTheme="minorEastAsia" w:cstheme="minorEastAsia"/>
          <w:b/>
          <w:bCs/>
          <w:color w:val="000000" w:themeColor="text1"/>
          <w:spacing w:val="-20"/>
          <w:kern w:val="44"/>
          <w:sz w:val="28"/>
          <w:szCs w:val="28"/>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pacing w:val="-20"/>
          <w:kern w:val="44"/>
          <w:sz w:val="28"/>
          <w:szCs w:val="28"/>
          <w:highlight w:val="none"/>
          <w:lang w:eastAsia="zh-CN"/>
          <w14:textFill>
            <w14:solidFill>
              <w14:schemeClr w14:val="tx1"/>
            </w14:solidFill>
          </w14:textFill>
        </w:rPr>
        <w:t>哈密市中心医院</w:t>
      </w:r>
    </w:p>
    <w:p w14:paraId="174ED87A">
      <w:pPr>
        <w:pStyle w:val="13"/>
        <w:pageBreakBefore w:val="0"/>
        <w:kinsoku/>
        <w:wordWrap/>
        <w:overflowPunct/>
        <w:topLinePunct w:val="0"/>
        <w:bidi w:val="0"/>
        <w:spacing w:after="0" w:afterAutospacing="0" w:line="560" w:lineRule="exact"/>
        <w:jc w:val="center"/>
        <w:textAlignment w:val="auto"/>
        <w:rPr>
          <w:rFonts w:hint="eastAsia" w:asciiTheme="minorEastAsia" w:hAnsiTheme="minorEastAsia" w:eastAsiaTheme="minorEastAsia" w:cstheme="minorEastAsia"/>
          <w:b/>
          <w:bCs/>
          <w:color w:val="000000" w:themeColor="text1"/>
          <w:spacing w:val="-20"/>
          <w:kern w:val="44"/>
          <w:sz w:val="28"/>
          <w:szCs w:val="28"/>
          <w:highlight w:val="none"/>
          <w14:textFill>
            <w14:solidFill>
              <w14:schemeClr w14:val="tx1"/>
            </w14:solidFill>
          </w14:textFill>
        </w:rPr>
      </w:pPr>
      <w:r>
        <w:rPr>
          <w:rFonts w:hint="eastAsia" w:asciiTheme="minorEastAsia" w:hAnsiTheme="minorEastAsia" w:eastAsiaTheme="minorEastAsia" w:cstheme="minorEastAsia"/>
          <w:b/>
          <w:bCs/>
          <w:color w:val="000000" w:themeColor="text1"/>
          <w:spacing w:val="-20"/>
          <w:kern w:val="44"/>
          <w:sz w:val="28"/>
          <w:szCs w:val="28"/>
          <w:highlight w:val="none"/>
          <w:lang w:eastAsia="zh-CN"/>
          <w14:textFill>
            <w14:solidFill>
              <w14:schemeClr w14:val="tx1"/>
            </w14:solidFill>
          </w14:textFill>
        </w:rPr>
        <w:t>货物买卖</w:t>
      </w:r>
      <w:r>
        <w:rPr>
          <w:rFonts w:hint="eastAsia" w:asciiTheme="minorEastAsia" w:hAnsiTheme="minorEastAsia" w:eastAsiaTheme="minorEastAsia" w:cstheme="minorEastAsia"/>
          <w:b/>
          <w:bCs/>
          <w:color w:val="000000" w:themeColor="text1"/>
          <w:spacing w:val="-20"/>
          <w:kern w:val="44"/>
          <w:sz w:val="28"/>
          <w:szCs w:val="28"/>
          <w:highlight w:val="none"/>
          <w14:textFill>
            <w14:solidFill>
              <w14:schemeClr w14:val="tx1"/>
            </w14:solidFill>
          </w14:textFill>
        </w:rPr>
        <w:t>合同</w:t>
      </w:r>
    </w:p>
    <w:p w14:paraId="2D7C7D31">
      <w:pPr>
        <w:pageBreakBefore w:val="0"/>
        <w:kinsoku/>
        <w:wordWrap/>
        <w:overflowPunct/>
        <w:topLinePunct w:val="0"/>
        <w:bidi w:val="0"/>
        <w:spacing w:afterAutospacing="0" w:line="560" w:lineRule="exact"/>
        <w:textAlignment w:val="auto"/>
        <w:rPr>
          <w:rFonts w:hint="eastAsia" w:asciiTheme="minorEastAsia" w:hAnsiTheme="minorEastAsia" w:eastAsiaTheme="minorEastAsia" w:cstheme="minorEastAsia"/>
          <w:b/>
          <w:bCs/>
          <w:color w:val="000000" w:themeColor="text1"/>
          <w:spacing w:val="-20"/>
          <w:kern w:val="44"/>
          <w:sz w:val="28"/>
          <w:szCs w:val="28"/>
          <w:highlight w:val="none"/>
          <w14:textFill>
            <w14:solidFill>
              <w14:schemeClr w14:val="tx1"/>
            </w14:solidFill>
          </w14:textFill>
        </w:rPr>
      </w:pPr>
    </w:p>
    <w:p w14:paraId="02032CC3">
      <w:pPr>
        <w:pStyle w:val="171"/>
        <w:pageBreakBefore w:val="0"/>
        <w:kinsoku/>
        <w:wordWrap/>
        <w:overflowPunct/>
        <w:topLinePunct w:val="0"/>
        <w:bidi w:val="0"/>
        <w:spacing w:afterAutospacing="0" w:line="560" w:lineRule="exact"/>
        <w:textAlignment w:val="auto"/>
        <w:rPr>
          <w:rFonts w:hint="eastAsia" w:asciiTheme="minorEastAsia" w:hAnsiTheme="minorEastAsia" w:eastAsiaTheme="minorEastAsia" w:cstheme="minorEastAsia"/>
          <w:b/>
          <w:bCs/>
          <w:color w:val="000000" w:themeColor="text1"/>
          <w:spacing w:val="-20"/>
          <w:kern w:val="44"/>
          <w:sz w:val="28"/>
          <w:szCs w:val="28"/>
          <w:highlight w:val="none"/>
          <w14:textFill>
            <w14:solidFill>
              <w14:schemeClr w14:val="tx1"/>
            </w14:solidFill>
          </w14:textFill>
        </w:rPr>
      </w:pPr>
    </w:p>
    <w:p w14:paraId="3DF5E7A6">
      <w:pPr>
        <w:pStyle w:val="171"/>
        <w:pageBreakBefore w:val="0"/>
        <w:kinsoku/>
        <w:wordWrap/>
        <w:overflowPunct/>
        <w:topLinePunct w:val="0"/>
        <w:bidi w:val="0"/>
        <w:spacing w:afterAutospacing="0" w:line="560" w:lineRule="exact"/>
        <w:textAlignment w:val="auto"/>
        <w:rPr>
          <w:rFonts w:hint="eastAsia" w:asciiTheme="minorEastAsia" w:hAnsiTheme="minorEastAsia" w:eastAsiaTheme="minorEastAsia" w:cstheme="minorEastAsia"/>
          <w:b/>
          <w:bCs/>
          <w:color w:val="000000" w:themeColor="text1"/>
          <w:spacing w:val="-20"/>
          <w:kern w:val="44"/>
          <w:sz w:val="28"/>
          <w:szCs w:val="28"/>
          <w:highlight w:val="none"/>
          <w14:textFill>
            <w14:solidFill>
              <w14:schemeClr w14:val="tx1"/>
            </w14:solidFill>
          </w14:textFill>
        </w:rPr>
      </w:pPr>
    </w:p>
    <w:p w14:paraId="753BF7CD">
      <w:pPr>
        <w:pStyle w:val="171"/>
        <w:pageBreakBefore w:val="0"/>
        <w:kinsoku/>
        <w:wordWrap/>
        <w:overflowPunct/>
        <w:topLinePunct w:val="0"/>
        <w:bidi w:val="0"/>
        <w:spacing w:afterAutospacing="0" w:line="560" w:lineRule="exact"/>
        <w:textAlignment w:val="auto"/>
        <w:rPr>
          <w:rFonts w:hint="eastAsia" w:asciiTheme="minorEastAsia" w:hAnsiTheme="minorEastAsia" w:eastAsiaTheme="minorEastAsia" w:cstheme="minorEastAsia"/>
          <w:b/>
          <w:bCs/>
          <w:color w:val="000000" w:themeColor="text1"/>
          <w:spacing w:val="-20"/>
          <w:kern w:val="44"/>
          <w:sz w:val="28"/>
          <w:szCs w:val="28"/>
          <w:highlight w:val="none"/>
          <w14:textFill>
            <w14:solidFill>
              <w14:schemeClr w14:val="tx1"/>
            </w14:solidFill>
          </w14:textFill>
        </w:rPr>
      </w:pPr>
    </w:p>
    <w:p w14:paraId="7832F68E">
      <w:pPr>
        <w:pStyle w:val="171"/>
        <w:pageBreakBefore w:val="0"/>
        <w:kinsoku/>
        <w:wordWrap/>
        <w:overflowPunct/>
        <w:topLinePunct w:val="0"/>
        <w:bidi w:val="0"/>
        <w:spacing w:afterAutospacing="0" w:line="560" w:lineRule="exact"/>
        <w:textAlignment w:val="auto"/>
        <w:rPr>
          <w:rFonts w:hint="eastAsia" w:asciiTheme="minorEastAsia" w:hAnsiTheme="minorEastAsia" w:eastAsiaTheme="minorEastAsia" w:cstheme="minorEastAsia"/>
          <w:b/>
          <w:bCs/>
          <w:color w:val="000000" w:themeColor="text1"/>
          <w:spacing w:val="-20"/>
          <w:kern w:val="44"/>
          <w:sz w:val="28"/>
          <w:szCs w:val="28"/>
          <w:highlight w:val="none"/>
          <w14:textFill>
            <w14:solidFill>
              <w14:schemeClr w14:val="tx1"/>
            </w14:solidFill>
          </w14:textFill>
        </w:rPr>
      </w:pPr>
    </w:p>
    <w:p w14:paraId="0BF708CF">
      <w:pPr>
        <w:pStyle w:val="171"/>
        <w:pageBreakBefore w:val="0"/>
        <w:kinsoku/>
        <w:wordWrap/>
        <w:overflowPunct/>
        <w:topLinePunct w:val="0"/>
        <w:bidi w:val="0"/>
        <w:spacing w:afterAutospacing="0" w:line="560" w:lineRule="exact"/>
        <w:textAlignment w:val="auto"/>
        <w:rPr>
          <w:rFonts w:hint="eastAsia" w:asciiTheme="minorEastAsia" w:hAnsiTheme="minorEastAsia" w:eastAsiaTheme="minorEastAsia" w:cstheme="minorEastAsia"/>
          <w:b/>
          <w:bCs/>
          <w:color w:val="000000" w:themeColor="text1"/>
          <w:spacing w:val="-20"/>
          <w:kern w:val="44"/>
          <w:sz w:val="28"/>
          <w:szCs w:val="28"/>
          <w:highlight w:val="none"/>
          <w14:textFill>
            <w14:solidFill>
              <w14:schemeClr w14:val="tx1"/>
            </w14:solidFill>
          </w14:textFill>
        </w:rPr>
      </w:pPr>
    </w:p>
    <w:p w14:paraId="4DDD7C2D">
      <w:pPr>
        <w:pageBreakBefore w:val="0"/>
        <w:kinsoku/>
        <w:wordWrap/>
        <w:overflowPunct/>
        <w:topLinePunct w:val="0"/>
        <w:bidi w:val="0"/>
        <w:spacing w:afterAutospacing="0" w:line="560" w:lineRule="exact"/>
        <w:textAlignment w:val="auto"/>
        <w:rPr>
          <w:rFonts w:hint="eastAsia" w:asciiTheme="minorEastAsia" w:hAnsiTheme="minorEastAsia" w:eastAsiaTheme="minorEastAsia" w:cstheme="minorEastAsia"/>
          <w:b/>
          <w:bCs/>
          <w:color w:val="000000" w:themeColor="text1"/>
          <w:spacing w:val="-20"/>
          <w:kern w:val="44"/>
          <w:sz w:val="28"/>
          <w:szCs w:val="28"/>
          <w:highlight w:val="none"/>
          <w14:textFill>
            <w14:solidFill>
              <w14:schemeClr w14:val="tx1"/>
            </w14:solidFill>
          </w14:textFill>
        </w:rPr>
      </w:pPr>
    </w:p>
    <w:p w14:paraId="344E90AF">
      <w:pPr>
        <w:pageBreakBefore w:val="0"/>
        <w:kinsoku/>
        <w:wordWrap/>
        <w:overflowPunct/>
        <w:topLinePunct w:val="0"/>
        <w:bidi w:val="0"/>
        <w:spacing w:afterAutospacing="0" w:line="560" w:lineRule="exact"/>
        <w:textAlignment w:val="auto"/>
        <w:rPr>
          <w:rFonts w:hint="eastAsia" w:asciiTheme="minorEastAsia" w:hAnsiTheme="minorEastAsia" w:eastAsiaTheme="minorEastAsia" w:cstheme="minorEastAsia"/>
          <w:b/>
          <w:bCs/>
          <w:color w:val="000000" w:themeColor="text1"/>
          <w:spacing w:val="-20"/>
          <w:kern w:val="44"/>
          <w:sz w:val="28"/>
          <w:szCs w:val="28"/>
          <w:highlight w:val="none"/>
          <w14:textFill>
            <w14:solidFill>
              <w14:schemeClr w14:val="tx1"/>
            </w14:solidFill>
          </w14:textFill>
        </w:rPr>
      </w:pPr>
    </w:p>
    <w:p w14:paraId="029B834F">
      <w:pPr>
        <w:pageBreakBefore w:val="0"/>
        <w:kinsoku/>
        <w:wordWrap/>
        <w:overflowPunct/>
        <w:topLinePunct w:val="0"/>
        <w:bidi w:val="0"/>
        <w:spacing w:afterAutospacing="0" w:line="560" w:lineRule="exact"/>
        <w:ind w:left="420" w:leftChars="200"/>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8"/>
          <w:szCs w:val="28"/>
          <w:highlight w:val="none"/>
          <w14:textFill>
            <w14:solidFill>
              <w14:schemeClr w14:val="tx1"/>
            </w14:solidFill>
          </w14:textFill>
        </w:rPr>
        <w:t>项目名称：</w:t>
      </w:r>
      <w:r>
        <w:rPr>
          <w:rFonts w:hint="eastAsia" w:asciiTheme="minorEastAsia" w:hAnsiTheme="minorEastAsia" w:eastAsiaTheme="minorEastAsia" w:cstheme="minorEastAsia"/>
          <w:color w:val="000000" w:themeColor="text1"/>
          <w:sz w:val="28"/>
          <w:szCs w:val="28"/>
          <w:highlight w:val="none"/>
          <w:u w:val="single"/>
          <w:lang w:eastAsia="zh-CN"/>
          <w14:textFill>
            <w14:solidFill>
              <w14:schemeClr w14:val="tx1"/>
            </w14:solidFill>
          </w14:textFill>
        </w:rPr>
        <w:t>按哈密市中心医院中标通知书项目名称填写</w:t>
      </w:r>
    </w:p>
    <w:p w14:paraId="14AE460F">
      <w:pPr>
        <w:pageBreakBefore w:val="0"/>
        <w:kinsoku/>
        <w:wordWrap/>
        <w:overflowPunct/>
        <w:topLinePunct w:val="0"/>
        <w:bidi w:val="0"/>
        <w:spacing w:afterAutospacing="0" w:line="560" w:lineRule="exact"/>
        <w:ind w:left="420" w:leftChars="200"/>
        <w:textAlignment w:val="auto"/>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合同编号：</w:t>
      </w:r>
      <w: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t xml:space="preserve">                             </w:t>
      </w:r>
    </w:p>
    <w:p w14:paraId="0D677D06">
      <w:pPr>
        <w:pageBreakBefore w:val="0"/>
        <w:kinsoku/>
        <w:wordWrap/>
        <w:overflowPunct/>
        <w:topLinePunct w:val="0"/>
        <w:bidi w:val="0"/>
        <w:spacing w:afterAutospacing="0" w:line="560" w:lineRule="exact"/>
        <w:ind w:left="420" w:leftChars="200"/>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甲    方：</w:t>
      </w:r>
      <w: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highlight w:val="none"/>
          <w:u w:val="single"/>
          <w:lang w:eastAsia="zh-CN"/>
          <w14:textFill>
            <w14:solidFill>
              <w14:schemeClr w14:val="tx1"/>
            </w14:solidFill>
          </w14:textFill>
        </w:rPr>
        <w:t>哈密市中心医院</w:t>
      </w:r>
      <w: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t xml:space="preserve">  </w:t>
      </w:r>
    </w:p>
    <w:p w14:paraId="0154C7C2">
      <w:pPr>
        <w:pageBreakBefore w:val="0"/>
        <w:kinsoku/>
        <w:wordWrap/>
        <w:overflowPunct/>
        <w:topLinePunct w:val="0"/>
        <w:bidi w:val="0"/>
        <w:spacing w:afterAutospacing="0" w:line="560" w:lineRule="exact"/>
        <w:ind w:left="420" w:leftChars="200"/>
        <w:textAlignment w:val="auto"/>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乙    方：</w:t>
      </w:r>
      <w: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t xml:space="preserve">                             </w:t>
      </w:r>
    </w:p>
    <w:p w14:paraId="5D0EEC6F">
      <w:pPr>
        <w:pageBreakBefore w:val="0"/>
        <w:kinsoku/>
        <w:wordWrap/>
        <w:overflowPunct/>
        <w:topLinePunct w:val="0"/>
        <w:bidi w:val="0"/>
        <w:spacing w:afterAutospacing="0" w:line="560" w:lineRule="exact"/>
        <w:ind w:left="420" w:leftChars="200"/>
        <w:textAlignment w:val="auto"/>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签订日期</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highlight w:val="none"/>
          <w:u w:val="single"/>
          <w:lang w:eastAsia="zh-CN"/>
          <w14:textFill>
            <w14:solidFill>
              <w14:schemeClr w14:val="tx1"/>
            </w14:solidFill>
          </w14:textFill>
        </w:rPr>
        <w:t>年</w:t>
      </w:r>
      <w: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highlight w:val="none"/>
          <w:u w:val="single"/>
          <w:lang w:eastAsia="zh-CN"/>
          <w14:textFill>
            <w14:solidFill>
              <w14:schemeClr w14:val="tx1"/>
            </w14:solidFill>
          </w14:textFill>
        </w:rPr>
        <w:t>月</w:t>
      </w:r>
      <w: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highlight w:val="none"/>
          <w:u w:val="single"/>
          <w:lang w:eastAsia="zh-CN"/>
          <w14:textFill>
            <w14:solidFill>
              <w14:schemeClr w14:val="tx1"/>
            </w14:solidFill>
          </w14:textFill>
        </w:rPr>
        <w:t>日</w:t>
      </w:r>
      <w: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t xml:space="preserve">        </w:t>
      </w:r>
    </w:p>
    <w:p w14:paraId="63039872">
      <w:pPr>
        <w:bidi w:val="0"/>
        <w:rPr>
          <w:rFonts w:hint="eastAsia"/>
          <w:color w:val="000000" w:themeColor="text1"/>
          <w:highlight w:val="none"/>
          <w14:textFill>
            <w14:solidFill>
              <w14:schemeClr w14:val="tx1"/>
            </w14:solidFill>
          </w14:textFill>
        </w:rPr>
      </w:pPr>
    </w:p>
    <w:p w14:paraId="6D758CA1">
      <w:pPr>
        <w:pageBreakBefore w:val="0"/>
        <w:kinsoku/>
        <w:wordWrap/>
        <w:overflowPunct/>
        <w:topLinePunct w:val="0"/>
        <w:bidi w:val="0"/>
        <w:spacing w:afterAutospacing="0" w:line="560" w:lineRule="exac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br w:type="page"/>
      </w:r>
    </w:p>
    <w:p w14:paraId="0C06CD1A">
      <w:pPr>
        <w:pageBreakBefore w:val="0"/>
        <w:kinsoku/>
        <w:wordWrap/>
        <w:overflowPunct/>
        <w:topLinePunct w:val="0"/>
        <w:bidi w:val="0"/>
        <w:spacing w:afterAutospacing="0" w:line="560" w:lineRule="exact"/>
        <w:jc w:val="center"/>
        <w:textAlignment w:val="auto"/>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使</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用</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说</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明</w:t>
      </w:r>
    </w:p>
    <w:p w14:paraId="7CE9118B">
      <w:pPr>
        <w:pageBreakBefore w:val="0"/>
        <w:kinsoku/>
        <w:wordWrap/>
        <w:overflowPunct/>
        <w:topLinePunct w:val="0"/>
        <w:bidi w:val="0"/>
        <w:spacing w:afterAutospacing="0" w:line="560" w:lineRule="exact"/>
        <w:ind w:firstLine="560" w:firstLineChars="200"/>
        <w:textAlignment w:val="auto"/>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pPr>
    </w:p>
    <w:p w14:paraId="7930B71A">
      <w:pPr>
        <w:pageBreakBefore w:val="0"/>
        <w:kinsoku/>
        <w:wordWrap/>
        <w:overflowPunct/>
        <w:topLinePunct w:val="0"/>
        <w:bidi w:val="0"/>
        <w:spacing w:afterAutospacing="0" w:line="560" w:lineRule="exact"/>
        <w:ind w:firstLine="560" w:firstLineChars="200"/>
        <w:textAlignment w:val="auto"/>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1.本合同标准文本适用于购买现成货物的采购项目，不包括需要供应商定制开发、创新研发的货物采购项目。</w:t>
      </w:r>
    </w:p>
    <w:p w14:paraId="4ED623DE">
      <w:pPr>
        <w:pageBreakBefore w:val="0"/>
        <w:kinsoku/>
        <w:wordWrap/>
        <w:overflowPunct/>
        <w:topLinePunct w:val="0"/>
        <w:bidi w:val="0"/>
        <w:spacing w:afterAutospacing="0" w:line="560" w:lineRule="exact"/>
        <w:ind w:firstLine="0" w:firstLineChars="0"/>
        <w:textAlignment w:val="auto"/>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 xml:space="preserve">   2.本合同标准文本为货物买卖合同编制提供参考，可以结合采购项目具体情况，对文本作必要的调整修订后使用。</w:t>
      </w:r>
    </w:p>
    <w:p w14:paraId="333D8081">
      <w:pPr>
        <w:pageBreakBefore w:val="0"/>
        <w:kinsoku/>
        <w:wordWrap/>
        <w:overflowPunct/>
        <w:topLinePunct w:val="0"/>
        <w:bidi w:val="0"/>
        <w:spacing w:afterAutospacing="0" w:line="560" w:lineRule="exact"/>
        <w:ind w:firstLine="560" w:firstLineChars="200"/>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sectPr>
          <w:headerReference r:id="rId29" w:type="default"/>
          <w:footerReference r:id="rId30"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3.本合同标准文本各条款中，如涉及填写多家供应商、制造商，多种采购标的、分包主要内容等信息的，可根据采购项目具体情况添加信息项。</w:t>
      </w:r>
    </w:p>
    <w:p w14:paraId="37209517">
      <w:pPr>
        <w:pStyle w:val="3"/>
        <w:pageBreakBefore w:val="0"/>
        <w:kinsoku/>
        <w:wordWrap/>
        <w:overflowPunct/>
        <w:topLinePunct w:val="0"/>
        <w:bidi w:val="0"/>
        <w:adjustRightInd w:val="0"/>
        <w:snapToGrid w:val="0"/>
        <w:spacing w:beforeLines="0" w:afterAutospacing="0" w:line="560" w:lineRule="exact"/>
        <w:jc w:val="center"/>
        <w:textAlignment w:val="auto"/>
        <w:rPr>
          <w:rFonts w:hint="eastAsia" w:asciiTheme="minorEastAsia" w:hAnsiTheme="minorEastAsia" w:eastAsiaTheme="minorEastAsia" w:cstheme="minorEastAsia"/>
          <w:b w:val="0"/>
          <w:bCs w:val="0"/>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8"/>
          <w:szCs w:val="28"/>
          <w:highlight w:val="none"/>
          <w14:textFill>
            <w14:solidFill>
              <w14:schemeClr w14:val="tx1"/>
            </w14:solidFill>
          </w14:textFill>
        </w:rPr>
        <w:t>第一节 合同协议书</w:t>
      </w:r>
    </w:p>
    <w:p w14:paraId="64B15218">
      <w:pPr>
        <w:pageBreakBefore w:val="0"/>
        <w:kinsoku/>
        <w:wordWrap/>
        <w:overflowPunct/>
        <w:topLinePunct w:val="0"/>
        <w:bidi w:val="0"/>
        <w:adjustRightInd w:val="0"/>
        <w:snapToGrid w:val="0"/>
        <w:spacing w:before="0" w:beforeLines="0" w:afterAutospacing="0" w:line="560" w:lineRule="exac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甲方（全称）：</w:t>
      </w:r>
      <w: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highlight w:val="none"/>
          <w:u w:val="single"/>
          <w:lang w:eastAsia="zh-CN"/>
          <w14:textFill>
            <w14:solidFill>
              <w14:schemeClr w14:val="tx1"/>
            </w14:solidFill>
          </w14:textFill>
        </w:rPr>
        <w:t>哈密市中心医院</w:t>
      </w:r>
      <w: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t xml:space="preserve">       </w:t>
      </w:r>
    </w:p>
    <w:p w14:paraId="1945DE87">
      <w:pPr>
        <w:pageBreakBefore w:val="0"/>
        <w:kinsoku/>
        <w:wordWrap/>
        <w:overflowPunct/>
        <w:topLinePunct w:val="0"/>
        <w:bidi w:val="0"/>
        <w:adjustRightInd w:val="0"/>
        <w:snapToGrid w:val="0"/>
        <w:spacing w:before="0" w:beforeLines="0" w:afterAutospacing="0" w:line="560" w:lineRule="exact"/>
        <w:textAlignment w:val="auto"/>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乙方（全称）：</w:t>
      </w:r>
      <w: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t xml:space="preserve">                       </w:t>
      </w:r>
    </w:p>
    <w:p w14:paraId="42ACD823">
      <w:pPr>
        <w:pStyle w:val="14"/>
        <w:pageBreakBefore w:val="0"/>
        <w:kinsoku/>
        <w:wordWrap/>
        <w:overflowPunct/>
        <w:topLinePunct w:val="0"/>
        <w:bidi w:val="0"/>
        <w:adjustRightInd w:val="0"/>
        <w:snapToGrid w:val="0"/>
        <w:spacing w:before="0" w:beforeLines="0" w:after="0" w:afterAutospacing="0" w:line="560" w:lineRule="exact"/>
        <w:ind w:left="0" w:leftChars="0" w:firstLine="544" w:firstLineChars="200"/>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依据《中华人民共和国民法典》</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《中华人民共和国政府采购法》等有关的法律法规，以及</w:t>
      </w:r>
      <w:r>
        <w:rPr>
          <w:rFonts w:hint="eastAsia" w:asciiTheme="minorEastAsia" w:hAnsiTheme="minorEastAsia" w:eastAsiaTheme="minorEastAsia" w:cstheme="minorEastAsia"/>
          <w:i w:val="0"/>
          <w:iCs w:val="0"/>
          <w:color w:val="000000" w:themeColor="text1"/>
          <w:sz w:val="28"/>
          <w:szCs w:val="28"/>
          <w:highlight w:val="none"/>
          <w:u w:val="none"/>
          <w:lang w:eastAsia="zh-CN"/>
          <w14:textFill>
            <w14:solidFill>
              <w14:schemeClr w14:val="tx1"/>
            </w14:solidFill>
          </w14:textFill>
        </w:rPr>
        <w:t>本采购项目</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的</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招标</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/谈判</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文件等</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采购文件</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 xml:space="preserve">乙方的《投标（响应）文件》及《中标（成交）通知书》，甲乙双方同意签订本合同。具体情况及要求如下：     </w:t>
      </w:r>
    </w:p>
    <w:p w14:paraId="202DC463">
      <w:pPr>
        <w:pageBreakBefore w:val="0"/>
        <w:numPr>
          <w:ilvl w:val="0"/>
          <w:numId w:val="4"/>
        </w:numPr>
        <w:kinsoku/>
        <w:wordWrap/>
        <w:overflowPunct/>
        <w:topLinePunct w:val="0"/>
        <w:bidi w:val="0"/>
        <w:adjustRightInd w:val="0"/>
        <w:snapToGrid w:val="0"/>
        <w:spacing w:before="0" w:beforeLines="0" w:afterAutospacing="0" w:line="560" w:lineRule="exact"/>
        <w:ind w:firstLine="562" w:firstLineChars="200"/>
        <w:textAlignment w:val="auto"/>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项目信息</w:t>
      </w:r>
    </w:p>
    <w:p w14:paraId="653B5190">
      <w:pPr>
        <w:pStyle w:val="14"/>
        <w:pageBreakBefore w:val="0"/>
        <w:numPr>
          <w:ilvl w:val="0"/>
          <w:numId w:val="5"/>
        </w:numPr>
        <w:kinsoku/>
        <w:wordWrap/>
        <w:overflowPunct/>
        <w:topLinePunct w:val="0"/>
        <w:bidi w:val="0"/>
        <w:adjustRightInd w:val="0"/>
        <w:snapToGrid w:val="0"/>
        <w:spacing w:before="0" w:beforeLines="0" w:after="0" w:afterAutospacing="0" w:line="560" w:lineRule="exact"/>
        <w:ind w:left="0" w:leftChars="0" w:firstLine="544" w:firstLineChars="200"/>
        <w:textAlignment w:val="auto"/>
        <w:rPr>
          <w:rFonts w:hint="eastAsia" w:asciiTheme="minorEastAsia" w:hAnsiTheme="minorEastAsia" w:eastAsiaTheme="minorEastAsia" w:cstheme="minorEastAsia"/>
          <w:color w:val="000000" w:themeColor="text1"/>
          <w:sz w:val="28"/>
          <w:szCs w:val="28"/>
          <w:highlight w:val="none"/>
          <w:u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采购项目名称：</w:t>
      </w:r>
      <w: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highlight w:val="none"/>
          <w:u w:val="single"/>
          <w:lang w:eastAsia="zh-CN"/>
          <w14:textFill>
            <w14:solidFill>
              <w14:schemeClr w14:val="tx1"/>
            </w14:solidFill>
          </w14:textFill>
        </w:rPr>
        <w:t>同中标通知书一致</w:t>
      </w:r>
      <w: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t xml:space="preserve">                 </w:t>
      </w:r>
    </w:p>
    <w:p w14:paraId="63EE6532">
      <w:pPr>
        <w:pageBreakBefore w:val="0"/>
        <w:kinsoku/>
        <w:wordWrap/>
        <w:overflowPunct/>
        <w:topLinePunct w:val="0"/>
        <w:bidi w:val="0"/>
        <w:adjustRightInd w:val="0"/>
        <w:snapToGrid w:val="0"/>
        <w:spacing w:before="0" w:beforeLines="0" w:afterAutospacing="0" w:line="560" w:lineRule="exact"/>
        <w:ind w:firstLine="560" w:firstLineChars="200"/>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）项目内容：</w:t>
      </w:r>
    </w:p>
    <w:p w14:paraId="43B5A004">
      <w:pPr>
        <w:pageBreakBefore w:val="0"/>
        <w:numPr>
          <w:ilvl w:val="-1"/>
          <w:numId w:val="0"/>
        </w:numPr>
        <w:kinsoku/>
        <w:wordWrap/>
        <w:overflowPunct/>
        <w:topLinePunct w:val="0"/>
        <w:bidi w:val="0"/>
        <w:adjustRightInd w:val="0"/>
        <w:snapToGrid w:val="0"/>
        <w:spacing w:before="0" w:beforeLines="0" w:afterAutospacing="0" w:line="560" w:lineRule="exact"/>
        <w:ind w:firstLine="560" w:firstLineChars="200"/>
        <w:textAlignment w:val="auto"/>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采购标的及数量</w:t>
      </w:r>
    </w:p>
    <w:tbl>
      <w:tblPr>
        <w:tblStyle w:val="3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1217"/>
        <w:gridCol w:w="1217"/>
        <w:gridCol w:w="1217"/>
        <w:gridCol w:w="1218"/>
        <w:gridCol w:w="1218"/>
        <w:gridCol w:w="1218"/>
      </w:tblGrid>
      <w:tr w14:paraId="2E18E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Align w:val="center"/>
          </w:tcPr>
          <w:p w14:paraId="73EE2C98">
            <w:pPr>
              <w:pageBreakBefore w:val="0"/>
              <w:numPr>
                <w:ilvl w:val="-1"/>
                <w:numId w:val="0"/>
              </w:numPr>
              <w:kinsoku/>
              <w:wordWrap/>
              <w:overflowPunct/>
              <w:topLinePunct w:val="0"/>
              <w:bidi w:val="0"/>
              <w:adjustRightInd w:val="0"/>
              <w:snapToGrid w:val="0"/>
              <w:spacing w:before="0" w:beforeLines="0" w:afterAutospacing="0" w:line="560" w:lineRule="exact"/>
              <w:ind w:left="0" w:leftChars="0" w:firstLine="0" w:firstLineChars="0"/>
              <w:jc w:val="center"/>
              <w:textAlignment w:val="auto"/>
              <w:rPr>
                <w:rFonts w:hint="eastAsia" w:asciiTheme="minorEastAsia" w:hAnsiTheme="minorEastAsia" w:eastAsiaTheme="minorEastAsia" w:cstheme="minorEastAsia"/>
                <w:color w:val="000000" w:themeColor="text1"/>
                <w:kern w:val="2"/>
                <w:sz w:val="28"/>
                <w:szCs w:val="28"/>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产品名称</w:t>
            </w:r>
          </w:p>
        </w:tc>
        <w:tc>
          <w:tcPr>
            <w:tcW w:w="1217" w:type="dxa"/>
            <w:vAlign w:val="center"/>
          </w:tcPr>
          <w:p w14:paraId="2E85FF6C">
            <w:pPr>
              <w:pageBreakBefore w:val="0"/>
              <w:numPr>
                <w:ilvl w:val="-1"/>
                <w:numId w:val="0"/>
              </w:numPr>
              <w:kinsoku/>
              <w:wordWrap/>
              <w:overflowPunct/>
              <w:topLinePunct w:val="0"/>
              <w:bidi w:val="0"/>
              <w:adjustRightInd w:val="0"/>
              <w:snapToGrid w:val="0"/>
              <w:spacing w:before="0" w:beforeLines="0" w:afterAutospacing="0" w:line="560" w:lineRule="exact"/>
              <w:ind w:left="0" w:leftChars="0" w:firstLine="560" w:firstLineChars="200"/>
              <w:jc w:val="center"/>
              <w:textAlignment w:val="auto"/>
              <w:rPr>
                <w:rFonts w:hint="eastAsia" w:asciiTheme="minorEastAsia" w:hAnsiTheme="minorEastAsia" w:eastAsiaTheme="minorEastAsia" w:cstheme="minorEastAsia"/>
                <w:color w:val="000000" w:themeColor="text1"/>
                <w:kern w:val="2"/>
                <w:sz w:val="28"/>
                <w:szCs w:val="28"/>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型号</w:t>
            </w:r>
          </w:p>
        </w:tc>
        <w:tc>
          <w:tcPr>
            <w:tcW w:w="1217" w:type="dxa"/>
            <w:vAlign w:val="center"/>
          </w:tcPr>
          <w:p w14:paraId="6DF7A9E0">
            <w:pPr>
              <w:pageBreakBefore w:val="0"/>
              <w:numPr>
                <w:ilvl w:val="-1"/>
                <w:numId w:val="0"/>
              </w:numPr>
              <w:kinsoku/>
              <w:wordWrap/>
              <w:overflowPunct/>
              <w:topLinePunct w:val="0"/>
              <w:bidi w:val="0"/>
              <w:adjustRightInd w:val="0"/>
              <w:snapToGrid w:val="0"/>
              <w:spacing w:before="0" w:beforeLines="0" w:afterAutospacing="0" w:line="560" w:lineRule="exact"/>
              <w:ind w:left="0" w:leftChars="0" w:firstLine="0" w:firstLineChars="0"/>
              <w:jc w:val="center"/>
              <w:textAlignment w:val="auto"/>
              <w:rPr>
                <w:rFonts w:hint="eastAsia" w:asciiTheme="minorEastAsia" w:hAnsiTheme="minorEastAsia" w:eastAsiaTheme="minorEastAsia" w:cstheme="minorEastAsia"/>
                <w:color w:val="000000" w:themeColor="text1"/>
                <w:kern w:val="2"/>
                <w:sz w:val="28"/>
                <w:szCs w:val="28"/>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生产厂家</w:t>
            </w:r>
          </w:p>
        </w:tc>
        <w:tc>
          <w:tcPr>
            <w:tcW w:w="1217" w:type="dxa"/>
            <w:vAlign w:val="center"/>
          </w:tcPr>
          <w:p w14:paraId="4D7E8D14">
            <w:pPr>
              <w:pageBreakBefore w:val="0"/>
              <w:numPr>
                <w:ilvl w:val="-1"/>
                <w:numId w:val="0"/>
              </w:numPr>
              <w:kinsoku/>
              <w:wordWrap/>
              <w:overflowPunct/>
              <w:topLinePunct w:val="0"/>
              <w:bidi w:val="0"/>
              <w:adjustRightInd w:val="0"/>
              <w:snapToGrid w:val="0"/>
              <w:spacing w:before="0" w:beforeLines="0" w:afterAutospacing="0" w:line="560" w:lineRule="exact"/>
              <w:ind w:left="0" w:leftChars="0" w:firstLine="0" w:firstLineChars="0"/>
              <w:jc w:val="center"/>
              <w:textAlignment w:val="auto"/>
              <w:rPr>
                <w:rFonts w:hint="eastAsia" w:asciiTheme="minorEastAsia" w:hAnsiTheme="minorEastAsia" w:eastAsiaTheme="minorEastAsia" w:cstheme="minorEastAsia"/>
                <w:color w:val="000000" w:themeColor="text1"/>
                <w:kern w:val="2"/>
                <w:sz w:val="28"/>
                <w:szCs w:val="28"/>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注册证号</w:t>
            </w:r>
          </w:p>
        </w:tc>
        <w:tc>
          <w:tcPr>
            <w:tcW w:w="1218" w:type="dxa"/>
            <w:vAlign w:val="center"/>
          </w:tcPr>
          <w:p w14:paraId="04DB73A6">
            <w:pPr>
              <w:pageBreakBefore w:val="0"/>
              <w:numPr>
                <w:ilvl w:val="-1"/>
                <w:numId w:val="0"/>
              </w:numPr>
              <w:kinsoku/>
              <w:wordWrap/>
              <w:overflowPunct/>
              <w:topLinePunct w:val="0"/>
              <w:bidi w:val="0"/>
              <w:adjustRightInd w:val="0"/>
              <w:snapToGrid w:val="0"/>
              <w:spacing w:before="0" w:beforeLines="0" w:afterAutospacing="0" w:line="560" w:lineRule="exact"/>
              <w:ind w:left="0" w:leftChars="0" w:firstLine="0" w:firstLineChars="0"/>
              <w:jc w:val="center"/>
              <w:textAlignment w:val="auto"/>
              <w:rPr>
                <w:rFonts w:hint="eastAsia" w:asciiTheme="minorEastAsia" w:hAnsiTheme="minorEastAsia" w:eastAsiaTheme="minorEastAsia" w:cstheme="minorEastAsia"/>
                <w:color w:val="000000" w:themeColor="text1"/>
                <w:kern w:val="2"/>
                <w:sz w:val="28"/>
                <w:szCs w:val="28"/>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数量</w:t>
            </w:r>
          </w:p>
        </w:tc>
        <w:tc>
          <w:tcPr>
            <w:tcW w:w="1218" w:type="dxa"/>
            <w:vAlign w:val="center"/>
          </w:tcPr>
          <w:p w14:paraId="5146C9BC">
            <w:pPr>
              <w:pageBreakBefore w:val="0"/>
              <w:numPr>
                <w:ilvl w:val="-1"/>
                <w:numId w:val="0"/>
              </w:numPr>
              <w:kinsoku/>
              <w:wordWrap/>
              <w:overflowPunct/>
              <w:topLinePunct w:val="0"/>
              <w:bidi w:val="0"/>
              <w:adjustRightInd w:val="0"/>
              <w:snapToGrid w:val="0"/>
              <w:spacing w:before="0" w:beforeLines="0" w:afterAutospacing="0" w:line="560" w:lineRule="exact"/>
              <w:ind w:left="0" w:leftChars="0" w:firstLine="0" w:firstLineChars="0"/>
              <w:jc w:val="center"/>
              <w:textAlignment w:val="auto"/>
              <w:rPr>
                <w:rFonts w:hint="eastAsia" w:asciiTheme="minorEastAsia" w:hAnsiTheme="minorEastAsia" w:eastAsiaTheme="minorEastAsia" w:cstheme="minorEastAsia"/>
                <w:color w:val="000000" w:themeColor="text1"/>
                <w:kern w:val="2"/>
                <w:sz w:val="28"/>
                <w:szCs w:val="28"/>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单价</w:t>
            </w:r>
          </w:p>
        </w:tc>
        <w:tc>
          <w:tcPr>
            <w:tcW w:w="1218" w:type="dxa"/>
            <w:vAlign w:val="center"/>
          </w:tcPr>
          <w:p w14:paraId="75112123">
            <w:pPr>
              <w:pageBreakBefore w:val="0"/>
              <w:numPr>
                <w:ilvl w:val="-1"/>
                <w:numId w:val="0"/>
              </w:numPr>
              <w:kinsoku/>
              <w:wordWrap/>
              <w:overflowPunct/>
              <w:topLinePunct w:val="0"/>
              <w:bidi w:val="0"/>
              <w:adjustRightInd w:val="0"/>
              <w:snapToGrid w:val="0"/>
              <w:spacing w:before="0" w:beforeLines="0" w:afterAutospacing="0" w:line="560" w:lineRule="exact"/>
              <w:ind w:left="0" w:leftChars="0" w:firstLine="0" w:firstLineChars="0"/>
              <w:jc w:val="center"/>
              <w:textAlignment w:val="auto"/>
              <w:rPr>
                <w:rFonts w:hint="eastAsia" w:asciiTheme="minorEastAsia" w:hAnsiTheme="minorEastAsia" w:eastAsiaTheme="minorEastAsia" w:cstheme="minorEastAsia"/>
                <w:color w:val="000000" w:themeColor="text1"/>
                <w:kern w:val="2"/>
                <w:sz w:val="28"/>
                <w:szCs w:val="28"/>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合计</w:t>
            </w:r>
          </w:p>
        </w:tc>
      </w:tr>
      <w:tr w14:paraId="02803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Align w:val="center"/>
          </w:tcPr>
          <w:p w14:paraId="34319367">
            <w:pPr>
              <w:pStyle w:val="171"/>
              <w:pageBreakBefore w:val="0"/>
              <w:widowControl w:val="0"/>
              <w:kinsoku/>
              <w:wordWrap/>
              <w:overflowPunct/>
              <w:topLinePunct w:val="0"/>
              <w:bidi w:val="0"/>
              <w:spacing w:afterAutospacing="0" w:line="560" w:lineRule="exact"/>
              <w:ind w:firstLine="560" w:firstLineChars="200"/>
              <w:jc w:val="center"/>
              <w:textAlignment w:val="auto"/>
              <w:rPr>
                <w:rFonts w:hint="eastAsia" w:asciiTheme="minorEastAsia" w:hAnsiTheme="minorEastAsia" w:eastAsiaTheme="minorEastAsia" w:cstheme="minorEastAsia"/>
                <w:color w:val="000000" w:themeColor="text1"/>
                <w:sz w:val="28"/>
                <w:szCs w:val="28"/>
                <w:highlight w:val="none"/>
                <w:vertAlign w:val="baseline"/>
                <w:lang w:val="en-US" w:eastAsia="zh-CN" w:bidi="ar-SA"/>
                <w14:textFill>
                  <w14:solidFill>
                    <w14:schemeClr w14:val="tx1"/>
                  </w14:solidFill>
                </w14:textFill>
              </w:rPr>
            </w:pPr>
          </w:p>
        </w:tc>
        <w:tc>
          <w:tcPr>
            <w:tcW w:w="1217" w:type="dxa"/>
            <w:vAlign w:val="center"/>
          </w:tcPr>
          <w:p w14:paraId="741FF5D0">
            <w:pPr>
              <w:pStyle w:val="171"/>
              <w:pageBreakBefore w:val="0"/>
              <w:widowControl w:val="0"/>
              <w:kinsoku/>
              <w:wordWrap/>
              <w:overflowPunct/>
              <w:topLinePunct w:val="0"/>
              <w:bidi w:val="0"/>
              <w:spacing w:afterAutospacing="0" w:line="560" w:lineRule="exact"/>
              <w:ind w:firstLine="560" w:firstLineChars="200"/>
              <w:jc w:val="center"/>
              <w:textAlignment w:val="auto"/>
              <w:rPr>
                <w:rFonts w:hint="eastAsia" w:asciiTheme="minorEastAsia" w:hAnsiTheme="minorEastAsia" w:eastAsiaTheme="minorEastAsia" w:cstheme="minorEastAsia"/>
                <w:color w:val="000000" w:themeColor="text1"/>
                <w:sz w:val="28"/>
                <w:szCs w:val="28"/>
                <w:highlight w:val="none"/>
                <w:vertAlign w:val="baseline"/>
                <w:lang w:val="en-US" w:eastAsia="zh-CN" w:bidi="ar-SA"/>
                <w14:textFill>
                  <w14:solidFill>
                    <w14:schemeClr w14:val="tx1"/>
                  </w14:solidFill>
                </w14:textFill>
              </w:rPr>
            </w:pPr>
          </w:p>
        </w:tc>
        <w:tc>
          <w:tcPr>
            <w:tcW w:w="1217" w:type="dxa"/>
            <w:vAlign w:val="center"/>
          </w:tcPr>
          <w:p w14:paraId="58DB76AB">
            <w:pPr>
              <w:pStyle w:val="171"/>
              <w:pageBreakBefore w:val="0"/>
              <w:widowControl w:val="0"/>
              <w:kinsoku/>
              <w:wordWrap/>
              <w:overflowPunct/>
              <w:topLinePunct w:val="0"/>
              <w:bidi w:val="0"/>
              <w:spacing w:afterAutospacing="0" w:line="560" w:lineRule="exact"/>
              <w:ind w:firstLine="560" w:firstLineChars="200"/>
              <w:jc w:val="center"/>
              <w:textAlignment w:val="auto"/>
              <w:rPr>
                <w:rFonts w:hint="eastAsia" w:asciiTheme="minorEastAsia" w:hAnsiTheme="minorEastAsia" w:eastAsiaTheme="minorEastAsia" w:cstheme="minorEastAsia"/>
                <w:color w:val="000000" w:themeColor="text1"/>
                <w:sz w:val="28"/>
                <w:szCs w:val="28"/>
                <w:highlight w:val="none"/>
                <w:vertAlign w:val="baseline"/>
                <w:lang w:val="en-US" w:eastAsia="zh-CN" w:bidi="ar-SA"/>
                <w14:textFill>
                  <w14:solidFill>
                    <w14:schemeClr w14:val="tx1"/>
                  </w14:solidFill>
                </w14:textFill>
              </w:rPr>
            </w:pPr>
          </w:p>
        </w:tc>
        <w:tc>
          <w:tcPr>
            <w:tcW w:w="1217" w:type="dxa"/>
            <w:vAlign w:val="center"/>
          </w:tcPr>
          <w:p w14:paraId="357A71E8">
            <w:pPr>
              <w:pStyle w:val="171"/>
              <w:pageBreakBefore w:val="0"/>
              <w:widowControl w:val="0"/>
              <w:kinsoku/>
              <w:wordWrap/>
              <w:overflowPunct/>
              <w:topLinePunct w:val="0"/>
              <w:bidi w:val="0"/>
              <w:spacing w:afterAutospacing="0" w:line="560" w:lineRule="exact"/>
              <w:ind w:firstLine="560" w:firstLineChars="200"/>
              <w:jc w:val="center"/>
              <w:textAlignment w:val="auto"/>
              <w:rPr>
                <w:rFonts w:hint="eastAsia" w:asciiTheme="minorEastAsia" w:hAnsiTheme="minorEastAsia" w:eastAsiaTheme="minorEastAsia" w:cstheme="minorEastAsia"/>
                <w:color w:val="000000" w:themeColor="text1"/>
                <w:sz w:val="28"/>
                <w:szCs w:val="28"/>
                <w:highlight w:val="none"/>
                <w:vertAlign w:val="baseline"/>
                <w:lang w:val="en-US" w:eastAsia="zh-CN" w:bidi="ar-SA"/>
                <w14:textFill>
                  <w14:solidFill>
                    <w14:schemeClr w14:val="tx1"/>
                  </w14:solidFill>
                </w14:textFill>
              </w:rPr>
            </w:pPr>
          </w:p>
        </w:tc>
        <w:tc>
          <w:tcPr>
            <w:tcW w:w="1218" w:type="dxa"/>
            <w:vAlign w:val="center"/>
          </w:tcPr>
          <w:p w14:paraId="1644007B">
            <w:pPr>
              <w:pStyle w:val="171"/>
              <w:pageBreakBefore w:val="0"/>
              <w:widowControl w:val="0"/>
              <w:kinsoku/>
              <w:wordWrap/>
              <w:overflowPunct/>
              <w:topLinePunct w:val="0"/>
              <w:bidi w:val="0"/>
              <w:spacing w:afterAutospacing="0" w:line="560" w:lineRule="exact"/>
              <w:ind w:firstLine="560" w:firstLineChars="200"/>
              <w:jc w:val="center"/>
              <w:textAlignment w:val="auto"/>
              <w:rPr>
                <w:rFonts w:hint="eastAsia" w:asciiTheme="minorEastAsia" w:hAnsiTheme="minorEastAsia" w:eastAsiaTheme="minorEastAsia" w:cstheme="minorEastAsia"/>
                <w:color w:val="000000" w:themeColor="text1"/>
                <w:sz w:val="28"/>
                <w:szCs w:val="28"/>
                <w:highlight w:val="none"/>
                <w:vertAlign w:val="baseline"/>
                <w:lang w:val="en-US" w:eastAsia="zh-CN" w:bidi="ar-SA"/>
                <w14:textFill>
                  <w14:solidFill>
                    <w14:schemeClr w14:val="tx1"/>
                  </w14:solidFill>
                </w14:textFill>
              </w:rPr>
            </w:pPr>
          </w:p>
        </w:tc>
        <w:tc>
          <w:tcPr>
            <w:tcW w:w="1218" w:type="dxa"/>
            <w:vAlign w:val="center"/>
          </w:tcPr>
          <w:p w14:paraId="0F02CC27">
            <w:pPr>
              <w:pStyle w:val="171"/>
              <w:pageBreakBefore w:val="0"/>
              <w:widowControl w:val="0"/>
              <w:kinsoku/>
              <w:wordWrap/>
              <w:overflowPunct/>
              <w:topLinePunct w:val="0"/>
              <w:bidi w:val="0"/>
              <w:spacing w:afterAutospacing="0" w:line="560" w:lineRule="exact"/>
              <w:ind w:firstLine="560" w:firstLineChars="200"/>
              <w:jc w:val="center"/>
              <w:textAlignment w:val="auto"/>
              <w:rPr>
                <w:rFonts w:hint="eastAsia" w:asciiTheme="minorEastAsia" w:hAnsiTheme="minorEastAsia" w:eastAsiaTheme="minorEastAsia" w:cstheme="minorEastAsia"/>
                <w:color w:val="000000" w:themeColor="text1"/>
                <w:sz w:val="28"/>
                <w:szCs w:val="28"/>
                <w:highlight w:val="none"/>
                <w:vertAlign w:val="baseline"/>
                <w:lang w:val="en-US" w:eastAsia="zh-CN" w:bidi="ar-SA"/>
                <w14:textFill>
                  <w14:solidFill>
                    <w14:schemeClr w14:val="tx1"/>
                  </w14:solidFill>
                </w14:textFill>
              </w:rPr>
            </w:pPr>
          </w:p>
        </w:tc>
        <w:tc>
          <w:tcPr>
            <w:tcW w:w="1218" w:type="dxa"/>
            <w:vAlign w:val="center"/>
          </w:tcPr>
          <w:p w14:paraId="61A5745E">
            <w:pPr>
              <w:pStyle w:val="171"/>
              <w:pageBreakBefore w:val="0"/>
              <w:widowControl w:val="0"/>
              <w:kinsoku/>
              <w:wordWrap/>
              <w:overflowPunct/>
              <w:topLinePunct w:val="0"/>
              <w:bidi w:val="0"/>
              <w:spacing w:afterAutospacing="0" w:line="560" w:lineRule="exact"/>
              <w:ind w:firstLine="560" w:firstLineChars="200"/>
              <w:jc w:val="center"/>
              <w:textAlignment w:val="auto"/>
              <w:rPr>
                <w:rFonts w:hint="eastAsia" w:asciiTheme="minorEastAsia" w:hAnsiTheme="minorEastAsia" w:eastAsiaTheme="minorEastAsia" w:cstheme="minorEastAsia"/>
                <w:color w:val="000000" w:themeColor="text1"/>
                <w:sz w:val="28"/>
                <w:szCs w:val="28"/>
                <w:highlight w:val="none"/>
                <w:vertAlign w:val="baseline"/>
                <w:lang w:val="en-US" w:eastAsia="zh-CN" w:bidi="ar-SA"/>
                <w14:textFill>
                  <w14:solidFill>
                    <w14:schemeClr w14:val="tx1"/>
                  </w14:solidFill>
                </w14:textFill>
              </w:rPr>
            </w:pPr>
          </w:p>
        </w:tc>
      </w:tr>
    </w:tbl>
    <w:p w14:paraId="58220E0B">
      <w:pPr>
        <w:pStyle w:val="171"/>
        <w:pageBreakBefore w:val="0"/>
        <w:numPr>
          <w:ilvl w:val="-1"/>
          <w:numId w:val="0"/>
        </w:numPr>
        <w:kinsoku/>
        <w:wordWrap/>
        <w:overflowPunct/>
        <w:topLinePunct w:val="0"/>
        <w:bidi w:val="0"/>
        <w:adjustRightInd w:val="0"/>
        <w:snapToGrid w:val="0"/>
        <w:spacing w:before="0" w:beforeLines="0" w:afterAutospacing="0" w:line="560" w:lineRule="exact"/>
        <w:ind w:left="0" w:firstLine="420" w:firstLineChars="0"/>
        <w:textAlignment w:val="auto"/>
        <w:rPr>
          <w:rFonts w:hint="eastAsia" w:asciiTheme="minorEastAsia" w:hAnsiTheme="minorEastAsia" w:eastAsiaTheme="minorEastAsia" w:cstheme="minorEastAsia"/>
          <w:iCs w:val="0"/>
          <w:color w:val="000000" w:themeColor="text1"/>
          <w:sz w:val="28"/>
          <w:szCs w:val="28"/>
          <w:highlight w:val="none"/>
          <w:lang w:eastAsia="zh-CN"/>
          <w14:textFill>
            <w14:solidFill>
              <w14:schemeClr w14:val="tx1"/>
            </w14:solidFill>
          </w14:textFill>
        </w:rPr>
      </w:pPr>
      <w:r>
        <w:rPr>
          <w:rFonts w:hint="eastAsia" w:asciiTheme="minorEastAsia" w:hAnsiTheme="minorEastAsia" w:eastAsiaTheme="minorEastAsia" w:cstheme="minorEastAsia"/>
          <w:iCs w:val="0"/>
          <w:color w:val="000000" w:themeColor="text1"/>
          <w:sz w:val="28"/>
          <w:szCs w:val="28"/>
          <w:highlight w:val="none"/>
          <w:lang w:val="en-US" w:eastAsia="zh-CN"/>
          <w14:textFill>
            <w14:solidFill>
              <w14:schemeClr w14:val="tx1"/>
            </w14:solidFill>
          </w14:textFill>
        </w:rPr>
        <w:t>（3）采购方式：</w:t>
      </w:r>
      <w:r>
        <w:rPr>
          <w:rFonts w:hint="eastAsia" w:asciiTheme="minorEastAsia" w:hAnsiTheme="minorEastAsia" w:eastAsiaTheme="minorEastAsia" w:cstheme="minorEastAsia"/>
          <w:iCs w:val="0"/>
          <w:color w:val="000000" w:themeColor="text1"/>
          <w:sz w:val="28"/>
          <w:szCs w:val="28"/>
          <w:highlight w:val="none"/>
          <w14:textFill>
            <w14:solidFill>
              <w14:schemeClr w14:val="tx1"/>
            </w14:solidFill>
          </w14:textFill>
        </w:rPr>
        <w:sym w:font="Wingdings" w:char="00FE"/>
      </w:r>
      <w:r>
        <w:rPr>
          <w:rFonts w:hint="eastAsia" w:asciiTheme="minorEastAsia" w:hAnsiTheme="minorEastAsia" w:eastAsiaTheme="minorEastAsia" w:cstheme="minorEastAsia"/>
          <w:iCs w:val="0"/>
          <w:color w:val="000000" w:themeColor="text1"/>
          <w:sz w:val="28"/>
          <w:szCs w:val="28"/>
          <w:highlight w:val="none"/>
          <w:lang w:eastAsia="zh-CN"/>
          <w14:textFill>
            <w14:solidFill>
              <w14:schemeClr w14:val="tx1"/>
            </w14:solidFill>
          </w14:textFill>
        </w:rPr>
        <w:t>公开招标</w:t>
      </w:r>
      <w:r>
        <w:rPr>
          <w:rFonts w:hint="eastAsia" w:asciiTheme="minorEastAsia" w:hAnsiTheme="minorEastAsia" w:eastAsiaTheme="minorEastAsia" w:cstheme="minorEastAsia"/>
          <w:iCs w:val="0"/>
          <w:color w:val="000000" w:themeColor="text1"/>
          <w:sz w:val="28"/>
          <w:szCs w:val="28"/>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iCs w:val="0"/>
          <w:color w:val="000000" w:themeColor="text1"/>
          <w:sz w:val="28"/>
          <w:szCs w:val="28"/>
          <w:highlight w:val="none"/>
          <w14:textFill>
            <w14:solidFill>
              <w14:schemeClr w14:val="tx1"/>
            </w14:solidFill>
          </w14:textFill>
        </w:rPr>
        <w:sym w:font="Wingdings" w:char="00A8"/>
      </w:r>
      <w:r>
        <w:rPr>
          <w:rFonts w:hint="eastAsia" w:asciiTheme="minorEastAsia" w:hAnsiTheme="minorEastAsia" w:eastAsiaTheme="minorEastAsia" w:cstheme="minorEastAsia"/>
          <w:iCs w:val="0"/>
          <w:color w:val="000000" w:themeColor="text1"/>
          <w:sz w:val="28"/>
          <w:szCs w:val="28"/>
          <w:highlight w:val="none"/>
          <w:lang w:eastAsia="zh-CN"/>
          <w14:textFill>
            <w14:solidFill>
              <w14:schemeClr w14:val="tx1"/>
            </w14:solidFill>
          </w14:textFill>
        </w:rPr>
        <w:t>邀请招标</w:t>
      </w:r>
      <w:r>
        <w:rPr>
          <w:rFonts w:hint="eastAsia" w:asciiTheme="minorEastAsia" w:hAnsiTheme="minorEastAsia" w:eastAsiaTheme="minorEastAsia" w:cstheme="minorEastAsia"/>
          <w:iCs w:val="0"/>
          <w:color w:val="000000" w:themeColor="text1"/>
          <w:sz w:val="28"/>
          <w:szCs w:val="28"/>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iCs w:val="0"/>
          <w:color w:val="000000" w:themeColor="text1"/>
          <w:sz w:val="28"/>
          <w:szCs w:val="28"/>
          <w:highlight w:val="none"/>
          <w14:textFill>
            <w14:solidFill>
              <w14:schemeClr w14:val="tx1"/>
            </w14:solidFill>
          </w14:textFill>
        </w:rPr>
        <w:sym w:font="Wingdings" w:char="00A8"/>
      </w:r>
      <w:r>
        <w:rPr>
          <w:rFonts w:hint="eastAsia" w:asciiTheme="minorEastAsia" w:hAnsiTheme="minorEastAsia" w:eastAsiaTheme="minorEastAsia" w:cstheme="minorEastAsia"/>
          <w:iCs w:val="0"/>
          <w:color w:val="000000" w:themeColor="text1"/>
          <w:sz w:val="28"/>
          <w:szCs w:val="28"/>
          <w:highlight w:val="none"/>
          <w:lang w:eastAsia="zh-CN"/>
          <w14:textFill>
            <w14:solidFill>
              <w14:schemeClr w14:val="tx1"/>
            </w14:solidFill>
          </w14:textFill>
        </w:rPr>
        <w:t>竞争性谈判</w:t>
      </w:r>
      <w:r>
        <w:rPr>
          <w:rFonts w:hint="eastAsia" w:asciiTheme="minorEastAsia" w:hAnsiTheme="minorEastAsia" w:eastAsiaTheme="minorEastAsia" w:cstheme="minorEastAsia"/>
          <w:iCs w:val="0"/>
          <w:color w:val="000000" w:themeColor="text1"/>
          <w:sz w:val="28"/>
          <w:szCs w:val="28"/>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iCs w:val="0"/>
          <w:color w:val="000000" w:themeColor="text1"/>
          <w:sz w:val="28"/>
          <w:szCs w:val="28"/>
          <w:highlight w:val="none"/>
          <w14:textFill>
            <w14:solidFill>
              <w14:schemeClr w14:val="tx1"/>
            </w14:solidFill>
          </w14:textFill>
        </w:rPr>
        <w:sym w:font="Wingdings" w:char="00A8"/>
      </w:r>
      <w:r>
        <w:rPr>
          <w:rFonts w:hint="eastAsia" w:asciiTheme="minorEastAsia" w:hAnsiTheme="minorEastAsia" w:eastAsiaTheme="minorEastAsia" w:cstheme="minorEastAsia"/>
          <w:iCs w:val="0"/>
          <w:color w:val="000000" w:themeColor="text1"/>
          <w:sz w:val="28"/>
          <w:szCs w:val="28"/>
          <w:highlight w:val="none"/>
          <w:lang w:eastAsia="zh-CN"/>
          <w14:textFill>
            <w14:solidFill>
              <w14:schemeClr w14:val="tx1"/>
            </w14:solidFill>
          </w14:textFill>
        </w:rPr>
        <w:t>竞争性磋商</w:t>
      </w:r>
    </w:p>
    <w:p w14:paraId="297E0149">
      <w:pPr>
        <w:pStyle w:val="171"/>
        <w:pageBreakBefore w:val="0"/>
        <w:numPr>
          <w:ilvl w:val="-1"/>
          <w:numId w:val="0"/>
        </w:numPr>
        <w:kinsoku/>
        <w:wordWrap/>
        <w:overflowPunct/>
        <w:topLinePunct w:val="0"/>
        <w:bidi w:val="0"/>
        <w:adjustRightInd w:val="0"/>
        <w:snapToGrid w:val="0"/>
        <w:spacing w:before="0" w:beforeLines="0" w:afterAutospacing="0" w:line="560" w:lineRule="exact"/>
        <w:ind w:left="0" w:firstLine="420" w:firstLineChars="0"/>
        <w:textAlignment w:val="auto"/>
        <w:rPr>
          <w:rFonts w:hint="eastAsia" w:asciiTheme="minorEastAsia" w:hAnsiTheme="minorEastAsia" w:eastAsiaTheme="minorEastAsia" w:cstheme="minorEastAsia"/>
          <w:iCs w:val="0"/>
          <w:color w:val="000000" w:themeColor="text1"/>
          <w:sz w:val="28"/>
          <w:szCs w:val="28"/>
          <w:highlight w:val="none"/>
          <w:u w:val="singl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u w:val="none"/>
          <w:lang w:val="en-US" w:eastAsia="zh-CN"/>
          <w14:textFill>
            <w14:solidFill>
              <w14:schemeClr w14:val="tx1"/>
            </w14:solidFill>
          </w14:textFill>
        </w:rPr>
        <w:t xml:space="preserve">                  </w:t>
      </w:r>
      <w:r>
        <w:rPr>
          <w:rFonts w:hint="eastAsia" w:asciiTheme="minorEastAsia" w:hAnsiTheme="minorEastAsia" w:eastAsiaTheme="minorEastAsia" w:cstheme="minorEastAsia"/>
          <w:iCs w:val="0"/>
          <w:color w:val="000000" w:themeColor="text1"/>
          <w:sz w:val="28"/>
          <w:szCs w:val="28"/>
          <w:highlight w:val="none"/>
          <w14:textFill>
            <w14:solidFill>
              <w14:schemeClr w14:val="tx1"/>
            </w14:solidFill>
          </w14:textFill>
        </w:rPr>
        <w:sym w:font="Wingdings" w:char="00A8"/>
      </w:r>
      <w:r>
        <w:rPr>
          <w:rFonts w:hint="eastAsia" w:asciiTheme="minorEastAsia" w:hAnsiTheme="minorEastAsia" w:eastAsiaTheme="minorEastAsia" w:cstheme="minorEastAsia"/>
          <w:iCs w:val="0"/>
          <w:color w:val="000000" w:themeColor="text1"/>
          <w:sz w:val="28"/>
          <w:szCs w:val="28"/>
          <w:highlight w:val="none"/>
          <w:lang w:eastAsia="zh-CN"/>
          <w14:textFill>
            <w14:solidFill>
              <w14:schemeClr w14:val="tx1"/>
            </w14:solidFill>
          </w14:textFill>
        </w:rPr>
        <w:t>询价</w:t>
      </w:r>
      <w:r>
        <w:rPr>
          <w:rFonts w:hint="eastAsia" w:asciiTheme="minorEastAsia" w:hAnsiTheme="minorEastAsia" w:eastAsiaTheme="minorEastAsia" w:cstheme="minorEastAsia"/>
          <w:iCs w:val="0"/>
          <w:color w:val="000000" w:themeColor="text1"/>
          <w:sz w:val="28"/>
          <w:szCs w:val="28"/>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iCs w:val="0"/>
          <w:color w:val="000000" w:themeColor="text1"/>
          <w:sz w:val="28"/>
          <w:szCs w:val="28"/>
          <w:highlight w:val="none"/>
          <w14:textFill>
            <w14:solidFill>
              <w14:schemeClr w14:val="tx1"/>
            </w14:solidFill>
          </w14:textFill>
        </w:rPr>
        <w:sym w:font="Wingdings" w:char="00A8"/>
      </w:r>
      <w:r>
        <w:rPr>
          <w:rFonts w:hint="eastAsia" w:asciiTheme="minorEastAsia" w:hAnsiTheme="minorEastAsia" w:eastAsiaTheme="minorEastAsia" w:cstheme="minorEastAsia"/>
          <w:iCs w:val="0"/>
          <w:color w:val="000000" w:themeColor="text1"/>
          <w:sz w:val="28"/>
          <w:szCs w:val="28"/>
          <w:highlight w:val="none"/>
          <w:lang w:eastAsia="zh-CN"/>
          <w14:textFill>
            <w14:solidFill>
              <w14:schemeClr w14:val="tx1"/>
            </w14:solidFill>
          </w14:textFill>
        </w:rPr>
        <w:t>单一来源</w:t>
      </w:r>
      <w:r>
        <w:rPr>
          <w:rFonts w:hint="eastAsia" w:asciiTheme="minorEastAsia" w:hAnsiTheme="minorEastAsia" w:eastAsiaTheme="minorEastAsia" w:cstheme="minorEastAsia"/>
          <w:iCs w:val="0"/>
          <w:color w:val="000000" w:themeColor="text1"/>
          <w:sz w:val="28"/>
          <w:szCs w:val="28"/>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iCs w:val="0"/>
          <w:color w:val="000000" w:themeColor="text1"/>
          <w:sz w:val="28"/>
          <w:szCs w:val="28"/>
          <w:highlight w:val="none"/>
          <w14:textFill>
            <w14:solidFill>
              <w14:schemeClr w14:val="tx1"/>
            </w14:solidFill>
          </w14:textFill>
        </w:rPr>
        <w:sym w:font="Wingdings" w:char="00A8"/>
      </w:r>
      <w:r>
        <w:rPr>
          <w:rFonts w:hint="eastAsia" w:asciiTheme="minorEastAsia" w:hAnsiTheme="minorEastAsia" w:eastAsiaTheme="minorEastAsia" w:cstheme="minorEastAsia"/>
          <w:iCs w:val="0"/>
          <w:color w:val="000000" w:themeColor="text1"/>
          <w:sz w:val="28"/>
          <w:szCs w:val="28"/>
          <w:highlight w:val="none"/>
          <w:lang w:eastAsia="zh-CN"/>
          <w14:textFill>
            <w14:solidFill>
              <w14:schemeClr w14:val="tx1"/>
            </w14:solidFill>
          </w14:textFill>
        </w:rPr>
        <w:t>框架协议</w:t>
      </w:r>
      <w:r>
        <w:rPr>
          <w:rFonts w:hint="eastAsia" w:asciiTheme="minorEastAsia" w:hAnsiTheme="minorEastAsia" w:eastAsiaTheme="minorEastAsia" w:cstheme="minorEastAsia"/>
          <w:iCs w:val="0"/>
          <w:color w:val="000000" w:themeColor="text1"/>
          <w:sz w:val="28"/>
          <w:szCs w:val="28"/>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iCs w:val="0"/>
          <w:color w:val="000000" w:themeColor="text1"/>
          <w:sz w:val="28"/>
          <w:szCs w:val="28"/>
          <w:highlight w:val="none"/>
          <w14:textFill>
            <w14:solidFill>
              <w14:schemeClr w14:val="tx1"/>
            </w14:solidFill>
          </w14:textFill>
        </w:rPr>
        <w:sym w:font="Wingdings" w:char="00A8"/>
      </w:r>
      <w:r>
        <w:rPr>
          <w:rFonts w:hint="eastAsia" w:asciiTheme="minorEastAsia" w:hAnsiTheme="minorEastAsia" w:eastAsiaTheme="minorEastAsia" w:cstheme="minorEastAsia"/>
          <w:iCs w:val="0"/>
          <w:color w:val="000000" w:themeColor="text1"/>
          <w:sz w:val="28"/>
          <w:szCs w:val="28"/>
          <w:highlight w:val="none"/>
          <w:lang w:eastAsia="zh-CN"/>
          <w14:textFill>
            <w14:solidFill>
              <w14:schemeClr w14:val="tx1"/>
            </w14:solidFill>
          </w14:textFill>
        </w:rPr>
        <w:t>其他：</w:t>
      </w:r>
      <w:r>
        <w:rPr>
          <w:rFonts w:hint="eastAsia" w:asciiTheme="minorEastAsia" w:hAnsiTheme="minorEastAsia" w:eastAsiaTheme="minorEastAsia" w:cstheme="minorEastAsia"/>
          <w:iCs w:val="0"/>
          <w:color w:val="000000" w:themeColor="text1"/>
          <w:sz w:val="28"/>
          <w:szCs w:val="28"/>
          <w:highlight w:val="none"/>
          <w:u w:val="single"/>
          <w:lang w:val="en-US" w:eastAsia="zh-CN"/>
          <w14:textFill>
            <w14:solidFill>
              <w14:schemeClr w14:val="tx1"/>
            </w14:solidFill>
          </w14:textFill>
        </w:rPr>
        <w:t xml:space="preserve">          </w:t>
      </w:r>
    </w:p>
    <w:p w14:paraId="563F8809">
      <w:pPr>
        <w:pStyle w:val="171"/>
        <w:pageBreakBefore w:val="0"/>
        <w:numPr>
          <w:ilvl w:val="-1"/>
          <w:numId w:val="0"/>
        </w:numPr>
        <w:kinsoku/>
        <w:wordWrap/>
        <w:overflowPunct/>
        <w:topLinePunct w:val="0"/>
        <w:bidi w:val="0"/>
        <w:adjustRightInd w:val="0"/>
        <w:snapToGrid w:val="0"/>
        <w:spacing w:before="0" w:beforeLines="0" w:afterAutospacing="0" w:line="560" w:lineRule="exact"/>
        <w:ind w:firstLine="560" w:firstLineChars="200"/>
        <w:textAlignment w:val="auto"/>
        <w:rPr>
          <w:rFonts w:hint="eastAsia" w:asciiTheme="minorEastAsia" w:hAnsiTheme="minorEastAsia" w:eastAsiaTheme="minorEastAsia" w:cstheme="minorEastAsia"/>
          <w:iCs w:val="0"/>
          <w:color w:val="000000" w:themeColor="text1"/>
          <w:sz w:val="28"/>
          <w:szCs w:val="28"/>
          <w:highlight w:val="none"/>
          <w:u w:val="single"/>
          <w:lang w:val="en-US" w:eastAsia="zh-CN"/>
          <w14:textFill>
            <w14:solidFill>
              <w14:schemeClr w14:val="tx1"/>
            </w14:solidFill>
          </w14:textFill>
        </w:rPr>
      </w:pPr>
      <w:r>
        <w:rPr>
          <w:rFonts w:hint="eastAsia" w:asciiTheme="minorEastAsia" w:hAnsiTheme="minorEastAsia" w:eastAsiaTheme="minorEastAsia" w:cstheme="minorEastAsia"/>
          <w:iCs w:val="0"/>
          <w:color w:val="000000" w:themeColor="text1"/>
          <w:sz w:val="28"/>
          <w:szCs w:val="28"/>
          <w:highlight w:val="none"/>
          <w:u w:val="none"/>
          <w:lang w:val="en-US" w:eastAsia="zh-CN"/>
          <w14:textFill>
            <w14:solidFill>
              <w14:schemeClr w14:val="tx1"/>
            </w14:solidFill>
          </w14:textFill>
        </w:rPr>
        <w:t>（4）交货期：</w:t>
      </w:r>
      <w:r>
        <w:rPr>
          <w:rFonts w:hint="eastAsia" w:asciiTheme="minorEastAsia" w:hAnsiTheme="minorEastAsia" w:eastAsiaTheme="minorEastAsia" w:cstheme="minorEastAsia"/>
          <w:iCs w:val="0"/>
          <w:color w:val="000000" w:themeColor="text1"/>
          <w:sz w:val="28"/>
          <w:szCs w:val="28"/>
          <w:highlight w:val="none"/>
          <w:u w:val="single"/>
          <w:lang w:val="en-US" w:eastAsia="zh-CN"/>
          <w14:textFill>
            <w14:solidFill>
              <w14:schemeClr w14:val="tx1"/>
            </w14:solidFill>
          </w14:textFill>
        </w:rPr>
        <w:t>自合同签订（成交通知书下发）之日起   日内完成项目最终验收。</w:t>
      </w:r>
    </w:p>
    <w:p w14:paraId="162DCE20">
      <w:pPr>
        <w:pageBreakBefore w:val="0"/>
        <w:numPr>
          <w:ilvl w:val="0"/>
          <w:numId w:val="4"/>
        </w:numPr>
        <w:kinsoku/>
        <w:wordWrap/>
        <w:overflowPunct/>
        <w:topLinePunct w:val="0"/>
        <w:bidi w:val="0"/>
        <w:adjustRightInd w:val="0"/>
        <w:snapToGrid w:val="0"/>
        <w:spacing w:before="0" w:beforeLines="0" w:afterAutospacing="0" w:line="560" w:lineRule="exact"/>
        <w:ind w:firstLine="562" w:firstLineChars="200"/>
        <w:textAlignment w:val="auto"/>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合同金额</w:t>
      </w:r>
    </w:p>
    <w:p w14:paraId="7FBE53E6">
      <w:pPr>
        <w:pageBreakBefore w:val="0"/>
        <w:kinsoku/>
        <w:wordWrap/>
        <w:overflowPunct/>
        <w:topLinePunct w:val="0"/>
        <w:bidi w:val="0"/>
        <w:adjustRightInd w:val="0"/>
        <w:snapToGrid w:val="0"/>
        <w:spacing w:before="0" w:beforeLines="0" w:afterAutospacing="0" w:line="560" w:lineRule="exact"/>
        <w:ind w:firstLine="560" w:firstLineChars="200"/>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（1）合同金额小写：</w:t>
      </w:r>
      <w: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t xml:space="preserve">      </w:t>
      </w:r>
    </w:p>
    <w:p w14:paraId="46419FCF">
      <w:pPr>
        <w:pageBreakBefore w:val="0"/>
        <w:kinsoku/>
        <w:wordWrap/>
        <w:overflowPunct/>
        <w:topLinePunct w:val="0"/>
        <w:bidi w:val="0"/>
        <w:adjustRightInd w:val="0"/>
        <w:snapToGrid w:val="0"/>
        <w:spacing w:before="0" w:beforeLines="0" w:afterAutospacing="0" w:line="560" w:lineRule="exact"/>
        <w:ind w:left="0" w:firstLine="0" w:firstLineChars="0"/>
        <w:textAlignment w:val="auto"/>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大写：</w:t>
      </w:r>
      <w: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t xml:space="preserve">      </w:t>
      </w:r>
    </w:p>
    <w:p w14:paraId="14FF14B3">
      <w:pPr>
        <w:pageBreakBefore w:val="0"/>
        <w:kinsoku/>
        <w:wordWrap/>
        <w:overflowPunct/>
        <w:topLinePunct w:val="0"/>
        <w:bidi w:val="0"/>
        <w:adjustRightInd w:val="0"/>
        <w:snapToGrid w:val="0"/>
        <w:spacing w:before="0" w:beforeLines="0" w:afterAutospacing="0" w:line="560" w:lineRule="exact"/>
        <w:ind w:firstLine="0" w:firstLineChars="0"/>
        <w:textAlignment w:val="auto"/>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highlight w:val="none"/>
          <w:lang w:val="zh-CN" w:eastAsia="zh-CN"/>
          <w14:textFill>
            <w14:solidFill>
              <w14:schemeClr w14:val="tx1"/>
            </w14:solidFill>
          </w14:textFill>
        </w:rPr>
        <w:t>本合同总金额为含税价格，乙方因本合同而须支付的各项税费由乙方自行承担，不再向甲方收取。</w:t>
      </w:r>
    </w:p>
    <w:p w14:paraId="2142E9B7">
      <w:pPr>
        <w:pageBreakBefore w:val="0"/>
        <w:numPr>
          <w:ilvl w:val="-1"/>
          <w:numId w:val="0"/>
        </w:numPr>
        <w:kinsoku/>
        <w:wordWrap/>
        <w:overflowPunct/>
        <w:topLinePunct w:val="0"/>
        <w:bidi w:val="0"/>
        <w:adjustRightInd w:val="0"/>
        <w:snapToGrid w:val="0"/>
        <w:spacing w:before="0" w:beforeLines="0" w:afterAutospacing="0" w:line="560" w:lineRule="exact"/>
        <w:ind w:firstLine="0" w:firstLineChars="0"/>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合同定价方式</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（采用组合定价方式的，可以勾选多项）</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w:t>
      </w:r>
    </w:p>
    <w:p w14:paraId="0B772803">
      <w:pPr>
        <w:pageBreakBefore w:val="0"/>
        <w:kinsoku/>
        <w:wordWrap/>
        <w:overflowPunct/>
        <w:topLinePunct w:val="0"/>
        <w:bidi w:val="0"/>
        <w:adjustRightInd w:val="0"/>
        <w:snapToGrid w:val="0"/>
        <w:spacing w:before="0" w:beforeLines="0" w:afterAutospacing="0" w:line="560" w:lineRule="exact"/>
        <w:ind w:firstLine="560" w:firstLineChars="200"/>
        <w:textAlignment w:val="auto"/>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pPr>
      <w:r>
        <w:rPr>
          <w:rFonts w:hint="eastAsia" w:asciiTheme="minorEastAsia" w:hAnsiTheme="minorEastAsia" w:eastAsiaTheme="minorEastAsia" w:cstheme="minorEastAsia"/>
          <w:iCs/>
          <w:color w:val="000000" w:themeColor="text1"/>
          <w:sz w:val="28"/>
          <w:szCs w:val="28"/>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iCs/>
          <w:color w:val="000000" w:themeColor="text1"/>
          <w:sz w:val="28"/>
          <w:szCs w:val="28"/>
          <w:highlight w:val="none"/>
          <w14:textFill>
            <w14:solidFill>
              <w14:schemeClr w14:val="tx1"/>
            </w14:solidFill>
          </w14:textFill>
        </w:rPr>
        <w:sym w:font="Wingdings" w:char="00A8"/>
      </w:r>
      <w:r>
        <w:rPr>
          <w:rFonts w:hint="eastAsia" w:asciiTheme="minorEastAsia" w:hAnsiTheme="minorEastAsia" w:eastAsiaTheme="minorEastAsia" w:cstheme="minorEastAsia"/>
          <w:iCs/>
          <w:color w:val="000000" w:themeColor="text1"/>
          <w:sz w:val="28"/>
          <w:szCs w:val="28"/>
          <w:highlight w:val="none"/>
          <w14:textFill>
            <w14:solidFill>
              <w14:schemeClr w14:val="tx1"/>
            </w14:solidFill>
          </w14:textFill>
        </w:rPr>
        <w:t xml:space="preserve">固定总价 </w:t>
      </w:r>
      <w:r>
        <w:rPr>
          <w:rFonts w:hint="eastAsia" w:asciiTheme="minorEastAsia" w:hAnsiTheme="minorEastAsia" w:eastAsiaTheme="minorEastAsia" w:cstheme="minorEastAsia"/>
          <w:iCs/>
          <w:color w:val="000000" w:themeColor="text1"/>
          <w:sz w:val="28"/>
          <w:szCs w:val="28"/>
          <w:highlight w:val="none"/>
          <w14:textFill>
            <w14:solidFill>
              <w14:schemeClr w14:val="tx1"/>
            </w14:solidFill>
          </w14:textFill>
        </w:rPr>
        <w:sym w:font="Wingdings" w:char="00A8"/>
      </w:r>
      <w:r>
        <w:rPr>
          <w:rFonts w:hint="eastAsia" w:asciiTheme="minorEastAsia" w:hAnsiTheme="minorEastAsia" w:eastAsiaTheme="minorEastAsia" w:cstheme="minorEastAsia"/>
          <w:iCs/>
          <w:color w:val="000000" w:themeColor="text1"/>
          <w:sz w:val="28"/>
          <w:szCs w:val="28"/>
          <w:highlight w:val="none"/>
          <w14:textFill>
            <w14:solidFill>
              <w14:schemeClr w14:val="tx1"/>
            </w14:solidFill>
          </w14:textFill>
        </w:rPr>
        <w:t>固定单价</w:t>
      </w:r>
      <w:r>
        <w:rPr>
          <w:rFonts w:hint="eastAsia" w:asciiTheme="minorEastAsia" w:hAnsiTheme="minorEastAsia" w:eastAsiaTheme="minorEastAsia" w:cstheme="minorEastAsia"/>
          <w:iCs/>
          <w:color w:val="000000" w:themeColor="text1"/>
          <w:sz w:val="28"/>
          <w:szCs w:val="28"/>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iCs/>
          <w:color w:val="000000" w:themeColor="text1"/>
          <w:sz w:val="28"/>
          <w:szCs w:val="28"/>
          <w:highlight w:val="none"/>
          <w14:textFill>
            <w14:solidFill>
              <w14:schemeClr w14:val="tx1"/>
            </w14:solidFill>
          </w14:textFill>
        </w:rPr>
        <w:sym w:font="Wingdings" w:char="00A8"/>
      </w:r>
      <w:r>
        <w:rPr>
          <w:rFonts w:hint="eastAsia" w:asciiTheme="minorEastAsia" w:hAnsiTheme="minorEastAsia" w:eastAsiaTheme="minorEastAsia" w:cstheme="minorEastAsia"/>
          <w:iCs/>
          <w:color w:val="000000" w:themeColor="text1"/>
          <w:sz w:val="28"/>
          <w:szCs w:val="28"/>
          <w:highlight w:val="none"/>
          <w:lang w:eastAsia="zh-CN"/>
          <w14:textFill>
            <w14:solidFill>
              <w14:schemeClr w14:val="tx1"/>
            </w14:solidFill>
          </w14:textFill>
        </w:rPr>
        <w:t>固定费率</w:t>
      </w:r>
      <w:r>
        <w:rPr>
          <w:rFonts w:hint="eastAsia" w:asciiTheme="minorEastAsia" w:hAnsiTheme="minorEastAsia" w:eastAsiaTheme="minorEastAsia" w:cstheme="minorEastAsia"/>
          <w:iCs/>
          <w:color w:val="000000" w:themeColor="text1"/>
          <w:sz w:val="28"/>
          <w:szCs w:val="28"/>
          <w:highlight w:val="none"/>
          <w14:textFill>
            <w14:solidFill>
              <w14:schemeClr w14:val="tx1"/>
            </w14:solidFill>
          </w14:textFill>
        </w:rPr>
        <w:t xml:space="preserve"> </w:t>
      </w:r>
      <w:r>
        <w:rPr>
          <w:rFonts w:hint="eastAsia" w:asciiTheme="minorEastAsia" w:hAnsiTheme="minorEastAsia" w:eastAsiaTheme="minorEastAsia" w:cstheme="minorEastAsia"/>
          <w:iCs/>
          <w:color w:val="000000" w:themeColor="text1"/>
          <w:sz w:val="28"/>
          <w:szCs w:val="28"/>
          <w:highlight w:val="none"/>
          <w14:textFill>
            <w14:solidFill>
              <w14:schemeClr w14:val="tx1"/>
            </w14:solidFill>
          </w14:textFill>
        </w:rPr>
        <w:sym w:font="Wingdings" w:char="00A8"/>
      </w:r>
      <w:r>
        <w:rPr>
          <w:rFonts w:hint="eastAsia" w:asciiTheme="minorEastAsia" w:hAnsiTheme="minorEastAsia" w:eastAsiaTheme="minorEastAsia" w:cstheme="minorEastAsia"/>
          <w:iCs/>
          <w:color w:val="000000" w:themeColor="text1"/>
          <w:sz w:val="28"/>
          <w:szCs w:val="28"/>
          <w:highlight w:val="none"/>
          <w14:textFill>
            <w14:solidFill>
              <w14:schemeClr w14:val="tx1"/>
            </w14:solidFill>
          </w14:textFill>
        </w:rPr>
        <w:t xml:space="preserve">成本补偿 </w:t>
      </w:r>
      <w:r>
        <w:rPr>
          <w:rFonts w:hint="eastAsia" w:asciiTheme="minorEastAsia" w:hAnsiTheme="minorEastAsia" w:eastAsiaTheme="minorEastAsia" w:cstheme="minorEastAsia"/>
          <w:iCs/>
          <w:color w:val="000000" w:themeColor="text1"/>
          <w:sz w:val="28"/>
          <w:szCs w:val="28"/>
          <w:highlight w:val="none"/>
          <w14:textFill>
            <w14:solidFill>
              <w14:schemeClr w14:val="tx1"/>
            </w14:solidFill>
          </w14:textFill>
        </w:rPr>
        <w:sym w:font="Wingdings" w:char="00A8"/>
      </w:r>
      <w:r>
        <w:rPr>
          <w:rFonts w:hint="eastAsia" w:asciiTheme="minorEastAsia" w:hAnsiTheme="minorEastAsia" w:eastAsiaTheme="minorEastAsia" w:cstheme="minorEastAsia"/>
          <w:iCs/>
          <w:color w:val="000000" w:themeColor="text1"/>
          <w:sz w:val="28"/>
          <w:szCs w:val="28"/>
          <w:highlight w:val="none"/>
          <w14:textFill>
            <w14:solidFill>
              <w14:schemeClr w14:val="tx1"/>
            </w14:solidFill>
          </w14:textFill>
        </w:rPr>
        <w:t>绩效激励</w:t>
      </w:r>
      <w:r>
        <w:rPr>
          <w:rFonts w:hint="eastAsia" w:asciiTheme="minorEastAsia" w:hAnsiTheme="minorEastAsia" w:eastAsiaTheme="minorEastAsia" w:cstheme="minorEastAsia"/>
          <w:iCs/>
          <w:color w:val="000000" w:themeColor="text1"/>
          <w:sz w:val="28"/>
          <w:szCs w:val="28"/>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iCs/>
          <w:color w:val="000000" w:themeColor="text1"/>
          <w:sz w:val="28"/>
          <w:szCs w:val="28"/>
          <w:highlight w:val="none"/>
          <w14:textFill>
            <w14:solidFill>
              <w14:schemeClr w14:val="tx1"/>
            </w14:solidFill>
          </w14:textFill>
        </w:rPr>
        <w:sym w:font="Wingdings" w:char="00A8"/>
      </w:r>
      <w:r>
        <w:rPr>
          <w:rFonts w:hint="eastAsia" w:asciiTheme="minorEastAsia" w:hAnsiTheme="minorEastAsia" w:eastAsiaTheme="minorEastAsia" w:cstheme="minorEastAsia"/>
          <w:iCs/>
          <w:color w:val="000000" w:themeColor="text1"/>
          <w:sz w:val="28"/>
          <w:szCs w:val="28"/>
          <w:highlight w:val="none"/>
          <w:lang w:eastAsia="zh-CN"/>
          <w14:textFill>
            <w14:solidFill>
              <w14:schemeClr w14:val="tx1"/>
            </w14:solidFill>
          </w14:textFill>
        </w:rPr>
        <w:t>其他</w:t>
      </w:r>
      <w: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t xml:space="preserve">       </w:t>
      </w:r>
    </w:p>
    <w:p w14:paraId="44D1B3CE">
      <w:pPr>
        <w:pStyle w:val="105"/>
        <w:pageBreakBefore w:val="0"/>
        <w:kinsoku/>
        <w:wordWrap/>
        <w:overflowPunct/>
        <w:topLinePunct w:val="0"/>
        <w:bidi w:val="0"/>
        <w:spacing w:beforeLines="0" w:afterAutospacing="0" w:line="560" w:lineRule="exac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）付款方式（按项目实际勾选填写）：</w:t>
      </w:r>
    </w:p>
    <w:p w14:paraId="3E9C66ED">
      <w:pPr>
        <w:pageBreakBefore w:val="0"/>
        <w:kinsoku/>
        <w:wordWrap/>
        <w:overflowPunct/>
        <w:topLinePunct w:val="0"/>
        <w:bidi w:val="0"/>
        <w:adjustRightInd w:val="0"/>
        <w:snapToGrid w:val="0"/>
        <w:spacing w:before="0" w:beforeLines="0" w:afterAutospacing="0" w:line="560" w:lineRule="exact"/>
        <w:ind w:firstLine="840" w:firstLineChars="300"/>
        <w:textAlignment w:val="auto"/>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sym w:font="Wingdings" w:char="00A8"/>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全额付款：</w:t>
      </w:r>
      <w:r>
        <w:rPr>
          <w:rFonts w:hint="eastAsia" w:asciiTheme="minorEastAsia" w:hAnsiTheme="minorEastAsia" w:eastAsiaTheme="minorEastAsia" w:cstheme="minorEastAsia"/>
          <w:color w:val="000000" w:themeColor="text1"/>
          <w:sz w:val="28"/>
          <w:szCs w:val="28"/>
          <w:highlight w:val="none"/>
          <w:u w:val="single"/>
          <w:lang w:eastAsia="zh-CN"/>
          <w14:textFill>
            <w14:solidFill>
              <w14:schemeClr w14:val="tx1"/>
            </w14:solidFill>
          </w14:textFill>
        </w:rPr>
        <w:t>待</w:t>
      </w:r>
      <w:r>
        <w:rPr>
          <w:rFonts w:hint="eastAsia" w:asciiTheme="minorEastAsia" w:hAnsiTheme="minorEastAsia" w:eastAsiaTheme="minorEastAsia" w:cstheme="minorEastAsia"/>
          <w:color w:val="000000" w:themeColor="text1"/>
          <w:sz w:val="28"/>
          <w:szCs w:val="28"/>
          <w:highlight w:val="none"/>
          <w:u w:val="single"/>
          <w:lang w:val="en-US" w:eastAsia="zh-CN"/>
          <w14:textFill>
            <w14:solidFill>
              <w14:schemeClr w14:val="tx1"/>
            </w14:solidFill>
          </w14:textFill>
        </w:rPr>
        <w:t xml:space="preserve">     最终验收合格后，甲方一次性支付货款。                           </w:t>
      </w:r>
      <w: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t xml:space="preserve">                  </w:t>
      </w:r>
    </w:p>
    <w:p w14:paraId="628E459A">
      <w:pPr>
        <w:pageBreakBefore w:val="0"/>
        <w:kinsoku/>
        <w:wordWrap/>
        <w:overflowPunct/>
        <w:topLinePunct w:val="0"/>
        <w:bidi w:val="0"/>
        <w:snapToGrid w:val="0"/>
        <w:spacing w:beforeLines="0" w:afterAutospacing="0" w:line="560" w:lineRule="exact"/>
        <w:ind w:firstLine="840" w:firstLineChars="300"/>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sym w:font="Wingdings" w:char="00FE"/>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分期付款：</w:t>
      </w:r>
      <w:r>
        <w:rPr>
          <w:rFonts w:hint="eastAsia" w:asciiTheme="minorEastAsia" w:hAnsiTheme="minorEastAsia" w:eastAsiaTheme="minorEastAsia" w:cstheme="minorEastAsia"/>
          <w:color w:val="000000" w:themeColor="text1"/>
          <w:sz w:val="28"/>
          <w:szCs w:val="28"/>
          <w:highlight w:val="none"/>
          <w:u w:val="single"/>
          <w:lang w:eastAsia="zh-CN"/>
          <w14:textFill>
            <w14:solidFill>
              <w14:schemeClr w14:val="tx1"/>
            </w14:solidFill>
          </w14:textFill>
        </w:rPr>
        <w:t>货物抵达交货地点安装、调试、验收合格，设备使用满贰个月后甲方向供应商支付合同总金额的</w:t>
      </w:r>
      <w:r>
        <w:rPr>
          <w:rFonts w:hint="eastAsia" w:asciiTheme="minorEastAsia" w:hAnsiTheme="minorEastAsia" w:eastAsiaTheme="minorEastAsia" w:cstheme="minorEastAsia"/>
          <w:color w:val="000000" w:themeColor="text1"/>
          <w:sz w:val="28"/>
          <w:szCs w:val="28"/>
          <w:highlight w:val="none"/>
          <w:u w:val="single"/>
          <w:lang w:val="en-US" w:eastAsia="zh-CN"/>
          <w14:textFill>
            <w14:solidFill>
              <w14:schemeClr w14:val="tx1"/>
            </w14:solidFill>
          </w14:textFill>
        </w:rPr>
        <w:t>80%，设备使用满壹年后甲方向供应商制度合同总金额的10%，合同全部内容履约完成后，无任何质量问题后支付合同金额的剩余10%。</w:t>
      </w:r>
    </w:p>
    <w:p w14:paraId="4C71767C">
      <w:pPr>
        <w:pageBreakBefore w:val="0"/>
        <w:numPr>
          <w:ilvl w:val="0"/>
          <w:numId w:val="4"/>
        </w:numPr>
        <w:kinsoku/>
        <w:wordWrap/>
        <w:overflowPunct/>
        <w:topLinePunct w:val="0"/>
        <w:bidi w:val="0"/>
        <w:adjustRightInd w:val="0"/>
        <w:snapToGrid w:val="0"/>
        <w:spacing w:before="0" w:beforeLines="0" w:afterAutospacing="0" w:line="560" w:lineRule="exact"/>
        <w:ind w:firstLine="562" w:firstLineChars="200"/>
        <w:textAlignment w:val="auto"/>
        <w:rPr>
          <w:rFonts w:hint="eastAsia" w:asciiTheme="minorEastAsia" w:hAnsiTheme="minorEastAsia" w:eastAsiaTheme="minorEastAsia" w:cstheme="minorEastAsia"/>
          <w:b/>
          <w:bCs w:val="0"/>
          <w:color w:val="000000" w:themeColor="text1"/>
          <w:sz w:val="28"/>
          <w:szCs w:val="28"/>
          <w:highlight w:val="none"/>
          <w:u w:val="single"/>
          <w14:textFill>
            <w14:solidFill>
              <w14:schemeClr w14:val="tx1"/>
            </w14:solidFill>
          </w14:textFill>
        </w:rPr>
      </w:pPr>
      <w:r>
        <w:rPr>
          <w:rFonts w:hint="eastAsia" w:asciiTheme="minorEastAsia" w:hAnsiTheme="minorEastAsia" w:eastAsiaTheme="minorEastAsia" w:cstheme="minorEastAsia"/>
          <w:b/>
          <w:bCs w:val="0"/>
          <w:color w:val="000000" w:themeColor="text1"/>
          <w:sz w:val="28"/>
          <w:szCs w:val="28"/>
          <w:highlight w:val="none"/>
          <w14:textFill>
            <w14:solidFill>
              <w14:schemeClr w14:val="tx1"/>
            </w14:solidFill>
          </w14:textFill>
        </w:rPr>
        <w:t>合同履行</w:t>
      </w:r>
    </w:p>
    <w:p w14:paraId="7C96EEE2">
      <w:pPr>
        <w:pageBreakBefore w:val="0"/>
        <w:kinsoku/>
        <w:wordWrap/>
        <w:overflowPunct/>
        <w:topLinePunct w:val="0"/>
        <w:bidi w:val="0"/>
        <w:adjustRightInd w:val="0"/>
        <w:snapToGrid w:val="0"/>
        <w:spacing w:before="0" w:beforeLines="0" w:afterAutospacing="0" w:line="560" w:lineRule="exact"/>
        <w:ind w:firstLine="560" w:firstLineChars="200"/>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（1）起始日期：</w:t>
      </w:r>
      <w:r>
        <w:rPr>
          <w:rFonts w:hint="eastAsia" w:asciiTheme="minorEastAsia" w:hAnsiTheme="minorEastAsia" w:eastAsiaTheme="minorEastAsia" w:cstheme="minorEastAsia"/>
          <w:color w:val="000000" w:themeColor="text1"/>
          <w:sz w:val="28"/>
          <w:szCs w:val="28"/>
          <w:highlight w:val="none"/>
          <w:u w:val="single"/>
          <w:lang w:eastAsia="zh-CN"/>
          <w14:textFill>
            <w14:solidFill>
              <w14:schemeClr w14:val="tx1"/>
            </w14:solidFill>
          </w14:textFill>
        </w:rPr>
        <w:t>自成交通知书下发之日起至质保期结束且货物无任何质量问题止</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w:t>
      </w:r>
    </w:p>
    <w:p w14:paraId="674EFD50">
      <w:pPr>
        <w:pageBreakBefore w:val="0"/>
        <w:kinsoku/>
        <w:wordWrap/>
        <w:overflowPunct/>
        <w:topLinePunct w:val="0"/>
        <w:bidi w:val="0"/>
        <w:adjustRightInd w:val="0"/>
        <w:snapToGrid w:val="0"/>
        <w:spacing w:before="0" w:beforeLines="0" w:afterAutospacing="0" w:line="560" w:lineRule="exact"/>
        <w:ind w:firstLine="560" w:firstLineChars="200"/>
        <w:textAlignment w:val="auto"/>
        <w:rPr>
          <w:rFonts w:hint="eastAsia" w:asciiTheme="minorEastAsia" w:hAnsiTheme="minorEastAsia" w:eastAsiaTheme="minorEastAsia" w:cstheme="minorEastAsia"/>
          <w:color w:val="000000" w:themeColor="text1"/>
          <w:sz w:val="28"/>
          <w:szCs w:val="28"/>
          <w:highlight w:val="none"/>
          <w:u w:val="single"/>
          <w:lang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（2）</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履约</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地点</w:t>
      </w:r>
      <w:r>
        <w:rPr>
          <w:rFonts w:hint="eastAsia" w:asciiTheme="minorEastAsia" w:hAnsiTheme="minorEastAsia" w:eastAsiaTheme="minorEastAsia" w:cstheme="minorEastAsia"/>
          <w:b w:val="0"/>
          <w:bCs/>
          <w:color w:val="000000" w:themeColor="text1"/>
          <w:sz w:val="28"/>
          <w:szCs w:val="28"/>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8"/>
          <w:szCs w:val="28"/>
          <w:highlight w:val="none"/>
          <w:u w:val="single"/>
          <w:lang w:eastAsia="zh-CN"/>
          <w14:textFill>
            <w14:solidFill>
              <w14:schemeClr w14:val="tx1"/>
            </w14:solidFill>
          </w14:textFill>
        </w:rPr>
        <w:t>哈密市中心医院</w:t>
      </w:r>
    </w:p>
    <w:p w14:paraId="1D23096C">
      <w:pPr>
        <w:pageBreakBefore w:val="0"/>
        <w:kinsoku/>
        <w:wordWrap/>
        <w:overflowPunct/>
        <w:topLinePunct w:val="0"/>
        <w:bidi w:val="0"/>
        <w:adjustRightInd w:val="0"/>
        <w:snapToGrid w:val="0"/>
        <w:spacing w:before="0" w:beforeLines="0" w:afterAutospacing="0" w:line="560" w:lineRule="exact"/>
        <w:ind w:firstLine="560" w:firstLineChars="200"/>
        <w:textAlignment w:val="auto"/>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pP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（3）履约担保：</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是否收取履约保证金：</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sym w:font="Wingdings" w:char="00A8"/>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是</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sym w:font="Wingdings" w:char="00A8"/>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否</w:t>
      </w:r>
    </w:p>
    <w:p w14:paraId="2F915570">
      <w:pPr>
        <w:pStyle w:val="171"/>
        <w:pageBreakBefore w:val="0"/>
        <w:kinsoku/>
        <w:wordWrap/>
        <w:overflowPunct/>
        <w:topLinePunct w:val="0"/>
        <w:bidi w:val="0"/>
        <w:spacing w:beforeLines="0" w:afterAutospacing="0" w:line="560" w:lineRule="exact"/>
        <w:textAlignment w:val="auto"/>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8"/>
          <w:szCs w:val="28"/>
          <w:highlight w:val="none"/>
          <w:u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 xml:space="preserve">  收取履约保证金形式：</w:t>
      </w:r>
      <w:r>
        <w:rPr>
          <w:rFonts w:hint="eastAsia" w:asciiTheme="minorEastAsia" w:hAnsiTheme="minorEastAsia" w:eastAsiaTheme="minorEastAsia" w:cstheme="minorEastAsia"/>
          <w:bCs/>
          <w:color w:val="000000" w:themeColor="text1"/>
          <w:sz w:val="28"/>
          <w:szCs w:val="28"/>
          <w:highlight w:val="none"/>
          <w:u w:val="single"/>
          <w:lang w:eastAsia="zh-CN"/>
          <w14:textFill>
            <w14:solidFill>
              <w14:schemeClr w14:val="tx1"/>
            </w14:solidFill>
          </w14:textFill>
        </w:rPr>
        <w:t>转账</w:t>
      </w:r>
      <w:r>
        <w:rPr>
          <w:rFonts w:hint="eastAsia" w:asciiTheme="minorEastAsia" w:hAnsiTheme="minorEastAsia" w:eastAsiaTheme="minorEastAsia" w:cstheme="minorEastAsia"/>
          <w:bCs/>
          <w:color w:val="000000" w:themeColor="text1"/>
          <w:sz w:val="28"/>
          <w:szCs w:val="28"/>
          <w:highlight w:val="none"/>
          <w:u w:val="single"/>
          <w14:textFill>
            <w14:solidFill>
              <w14:schemeClr w14:val="tx1"/>
            </w14:solidFill>
          </w14:textFill>
        </w:rPr>
        <w:t xml:space="preserve"> </w:t>
      </w:r>
    </w:p>
    <w:p w14:paraId="0403B66F">
      <w:pPr>
        <w:pStyle w:val="171"/>
        <w:pageBreakBefore w:val="0"/>
        <w:kinsoku/>
        <w:wordWrap/>
        <w:overflowPunct/>
        <w:topLinePunct w:val="0"/>
        <w:bidi w:val="0"/>
        <w:spacing w:beforeLines="0" w:afterAutospacing="0" w:line="560" w:lineRule="exact"/>
        <w:textAlignment w:val="auto"/>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 xml:space="preserve">    收取履约保证金金额：</w:t>
      </w:r>
      <w:r>
        <w:rPr>
          <w:rFonts w:hint="eastAsia" w:asciiTheme="minorEastAsia" w:hAnsiTheme="minorEastAsia" w:eastAsiaTheme="minorEastAsia" w:cstheme="minorEastAsia"/>
          <w:bCs/>
          <w:color w:val="000000" w:themeColor="text1"/>
          <w:sz w:val="28"/>
          <w:szCs w:val="28"/>
          <w:highlight w:val="none"/>
          <w:u w:val="single"/>
          <w14:textFill>
            <w14:solidFill>
              <w14:schemeClr w14:val="tx1"/>
            </w14:solidFill>
          </w14:textFill>
        </w:rPr>
        <w:t xml:space="preserve">                            </w:t>
      </w:r>
    </w:p>
    <w:p w14:paraId="6022B989">
      <w:pPr>
        <w:pageBreakBefore w:val="0"/>
        <w:kinsoku/>
        <w:wordWrap/>
        <w:overflowPunct/>
        <w:topLinePunct w:val="0"/>
        <w:bidi w:val="0"/>
        <w:snapToGrid w:val="0"/>
        <w:spacing w:beforeLines="0" w:afterAutospacing="0" w:line="560" w:lineRule="exact"/>
        <w:ind w:firstLine="560" w:firstLineChars="200"/>
        <w:textAlignment w:val="auto"/>
        <w:rPr>
          <w:rFonts w:hint="eastAsia" w:asciiTheme="minorEastAsia" w:hAnsiTheme="minorEastAsia" w:eastAsiaTheme="minorEastAsia" w:cstheme="minorEastAsia"/>
          <w:bCs/>
          <w:color w:val="000000" w:themeColor="text1"/>
          <w:kern w:val="2"/>
          <w:sz w:val="28"/>
          <w:szCs w:val="28"/>
          <w:highlight w:val="none"/>
          <w:u w:val="none"/>
          <w:lang w:val="en-US" w:eastAsia="zh-CN" w:bidi="ar-SA"/>
          <w14:textFill>
            <w14:solidFill>
              <w14:schemeClr w14:val="tx1"/>
            </w14:solidFill>
          </w14:textFill>
        </w:rPr>
      </w:pPr>
      <w:r>
        <w:rPr>
          <w:rFonts w:hint="eastAsia" w:asciiTheme="minorEastAsia" w:hAnsiTheme="minorEastAsia" w:eastAsiaTheme="minorEastAsia" w:cstheme="minorEastAsia"/>
          <w:bCs/>
          <w:color w:val="000000" w:themeColor="text1"/>
          <w:sz w:val="28"/>
          <w:szCs w:val="28"/>
          <w:highlight w:val="none"/>
          <w:u w:val="none"/>
          <w:lang w:val="en-US" w:eastAsia="zh-CN"/>
          <w14:textFill>
            <w14:solidFill>
              <w14:schemeClr w14:val="tx1"/>
            </w14:solidFill>
          </w14:textFill>
        </w:rPr>
        <w:t xml:space="preserve">    履约担保期限</w:t>
      </w:r>
      <w:r>
        <w:rPr>
          <w:rFonts w:hint="eastAsia" w:asciiTheme="minorEastAsia" w:hAnsiTheme="minorEastAsia" w:eastAsiaTheme="minorEastAsia" w:cstheme="minorEastAsia"/>
          <w:bCs/>
          <w:color w:val="000000" w:themeColor="text1"/>
          <w:sz w:val="28"/>
          <w:szCs w:val="28"/>
          <w:highlight w:val="none"/>
          <w:u w:val="none"/>
          <w:lang w:eastAsia="zh-CN"/>
          <w14:textFill>
            <w14:solidFill>
              <w14:schemeClr w14:val="tx1"/>
            </w14:solidFill>
          </w14:textFill>
        </w:rPr>
        <w:t>：</w:t>
      </w:r>
      <w:r>
        <w:rPr>
          <w:rFonts w:hint="eastAsia" w:asciiTheme="minorEastAsia" w:hAnsiTheme="minorEastAsia" w:eastAsiaTheme="minorEastAsia" w:cstheme="minorEastAsia"/>
          <w:bCs/>
          <w:color w:val="000000" w:themeColor="text1"/>
          <w:sz w:val="28"/>
          <w:szCs w:val="28"/>
          <w:highlight w:val="none"/>
          <w:u w:val="single"/>
          <w:lang w:eastAsia="zh-CN"/>
          <w14:textFill>
            <w14:solidFill>
              <w14:schemeClr w14:val="tx1"/>
            </w14:solidFill>
          </w14:textFill>
        </w:rPr>
        <w:t>中标之日起至乙方完成合同约定的所有责任、义务。</w:t>
      </w:r>
      <w:r>
        <w:rPr>
          <w:rFonts w:hint="eastAsia" w:asciiTheme="minorEastAsia" w:hAnsiTheme="minorEastAsia" w:eastAsiaTheme="minorEastAsia" w:cstheme="minorEastAsia"/>
          <w:bCs/>
          <w:color w:val="000000" w:themeColor="text1"/>
          <w:kern w:val="2"/>
          <w:sz w:val="28"/>
          <w:szCs w:val="28"/>
          <w:highlight w:val="none"/>
          <w:u w:val="none"/>
          <w:lang w:val="en-US" w:eastAsia="zh-CN" w:bidi="ar-SA"/>
          <w14:textFill>
            <w14:solidFill>
              <w14:schemeClr w14:val="tx1"/>
            </w14:solidFill>
          </w14:textFill>
        </w:rPr>
        <w:t xml:space="preserve">  </w:t>
      </w:r>
    </w:p>
    <w:p w14:paraId="5E62466E">
      <w:pPr>
        <w:pStyle w:val="171"/>
        <w:pageBreakBefore w:val="0"/>
        <w:kinsoku/>
        <w:wordWrap/>
        <w:overflowPunct/>
        <w:topLinePunct w:val="0"/>
        <w:bidi w:val="0"/>
        <w:spacing w:afterAutospacing="0" w:line="560" w:lineRule="exact"/>
        <w:textAlignment w:val="auto"/>
        <w:rPr>
          <w:rFonts w:hint="eastAsia" w:asciiTheme="minorEastAsia" w:hAnsiTheme="minorEastAsia" w:eastAsiaTheme="minorEastAsia" w:cstheme="minorEastAsia"/>
          <w:bCs/>
          <w:color w:val="000000" w:themeColor="text1"/>
          <w:kern w:val="2"/>
          <w:sz w:val="28"/>
          <w:szCs w:val="28"/>
          <w:highlight w:val="none"/>
          <w:u w:val="none"/>
          <w:lang w:val="en-US" w:eastAsia="zh-CN" w:bidi="ar-SA"/>
          <w14:textFill>
            <w14:solidFill>
              <w14:schemeClr w14:val="tx1"/>
            </w14:solidFill>
          </w14:textFill>
        </w:rPr>
      </w:pPr>
      <w:r>
        <w:rPr>
          <w:rFonts w:hint="eastAsia" w:asciiTheme="minorEastAsia" w:hAnsiTheme="minorEastAsia" w:eastAsiaTheme="minorEastAsia" w:cstheme="minorEastAsia"/>
          <w:bCs/>
          <w:color w:val="000000" w:themeColor="text1"/>
          <w:kern w:val="2"/>
          <w:sz w:val="28"/>
          <w:szCs w:val="28"/>
          <w:highlight w:val="none"/>
          <w:u w:val="none"/>
          <w:lang w:val="en-US" w:eastAsia="zh-CN" w:bidi="ar-SA"/>
          <w14:textFill>
            <w14:solidFill>
              <w14:schemeClr w14:val="tx1"/>
            </w14:solidFill>
          </w14:textFill>
        </w:rPr>
        <w:t>汇款信息</w:t>
      </w:r>
    </w:p>
    <w:p w14:paraId="47D76DD7">
      <w:pPr>
        <w:pStyle w:val="171"/>
        <w:pageBreakBefore w:val="0"/>
        <w:kinsoku/>
        <w:wordWrap/>
        <w:overflowPunct/>
        <w:topLinePunct w:val="0"/>
        <w:bidi w:val="0"/>
        <w:spacing w:afterAutospacing="0" w:line="560" w:lineRule="exact"/>
        <w:textAlignment w:val="auto"/>
        <w:rPr>
          <w:rFonts w:hint="eastAsia" w:asciiTheme="minorEastAsia" w:hAnsiTheme="minorEastAsia" w:eastAsiaTheme="minorEastAsia" w:cstheme="minorEastAsia"/>
          <w:bCs/>
          <w:color w:val="000000" w:themeColor="text1"/>
          <w:kern w:val="2"/>
          <w:sz w:val="28"/>
          <w:szCs w:val="28"/>
          <w:highlight w:val="none"/>
          <w:u w:val="none"/>
          <w:lang w:val="en-US" w:eastAsia="zh-CN" w:bidi="ar-SA"/>
          <w14:textFill>
            <w14:solidFill>
              <w14:schemeClr w14:val="tx1"/>
            </w14:solidFill>
          </w14:textFill>
        </w:rPr>
      </w:pPr>
      <w:r>
        <w:rPr>
          <w:rFonts w:hint="eastAsia" w:asciiTheme="minorEastAsia" w:hAnsiTheme="minorEastAsia" w:eastAsiaTheme="minorEastAsia" w:cstheme="minorEastAsia"/>
          <w:bCs/>
          <w:color w:val="000000" w:themeColor="text1"/>
          <w:kern w:val="2"/>
          <w:sz w:val="28"/>
          <w:szCs w:val="28"/>
          <w:highlight w:val="none"/>
          <w:u w:val="none"/>
          <w:lang w:val="en-US" w:eastAsia="zh-CN" w:bidi="ar-SA"/>
          <w14:textFill>
            <w14:solidFill>
              <w14:schemeClr w14:val="tx1"/>
            </w14:solidFill>
          </w14:textFill>
        </w:rPr>
        <w:t>户名：哈密市中心医院</w:t>
      </w:r>
    </w:p>
    <w:p w14:paraId="5C60E551">
      <w:pPr>
        <w:pStyle w:val="171"/>
        <w:pageBreakBefore w:val="0"/>
        <w:kinsoku/>
        <w:wordWrap/>
        <w:overflowPunct/>
        <w:topLinePunct w:val="0"/>
        <w:bidi w:val="0"/>
        <w:spacing w:afterAutospacing="0" w:line="560" w:lineRule="exact"/>
        <w:textAlignment w:val="auto"/>
        <w:rPr>
          <w:rFonts w:hint="eastAsia" w:asciiTheme="minorEastAsia" w:hAnsiTheme="minorEastAsia" w:eastAsiaTheme="minorEastAsia" w:cstheme="minorEastAsia"/>
          <w:bCs/>
          <w:color w:val="000000" w:themeColor="text1"/>
          <w:kern w:val="2"/>
          <w:sz w:val="28"/>
          <w:szCs w:val="28"/>
          <w:highlight w:val="none"/>
          <w:u w:val="none"/>
          <w:lang w:val="en-US" w:eastAsia="zh-CN" w:bidi="ar-SA"/>
          <w14:textFill>
            <w14:solidFill>
              <w14:schemeClr w14:val="tx1"/>
            </w14:solidFill>
          </w14:textFill>
        </w:rPr>
      </w:pPr>
      <w:r>
        <w:rPr>
          <w:rFonts w:hint="eastAsia" w:asciiTheme="minorEastAsia" w:hAnsiTheme="minorEastAsia" w:eastAsiaTheme="minorEastAsia" w:cstheme="minorEastAsia"/>
          <w:bCs/>
          <w:color w:val="000000" w:themeColor="text1"/>
          <w:kern w:val="2"/>
          <w:sz w:val="28"/>
          <w:szCs w:val="28"/>
          <w:highlight w:val="none"/>
          <w:u w:val="none"/>
          <w:lang w:val="en-US" w:eastAsia="zh-CN" w:bidi="ar-SA"/>
          <w14:textFill>
            <w14:solidFill>
              <w14:schemeClr w14:val="tx1"/>
            </w14:solidFill>
          </w14:textFill>
        </w:rPr>
        <w:t>账号：30285901040000148</w:t>
      </w:r>
    </w:p>
    <w:p w14:paraId="3D4B7229">
      <w:pPr>
        <w:pStyle w:val="171"/>
        <w:pageBreakBefore w:val="0"/>
        <w:kinsoku/>
        <w:wordWrap/>
        <w:overflowPunct/>
        <w:topLinePunct w:val="0"/>
        <w:bidi w:val="0"/>
        <w:spacing w:afterAutospacing="0" w:line="560" w:lineRule="exact"/>
        <w:textAlignment w:val="auto"/>
        <w:rPr>
          <w:rFonts w:hint="eastAsia" w:asciiTheme="minorEastAsia" w:hAnsiTheme="minorEastAsia" w:eastAsiaTheme="minorEastAsia" w:cstheme="minorEastAsia"/>
          <w:bCs/>
          <w:color w:val="000000" w:themeColor="text1"/>
          <w:kern w:val="2"/>
          <w:sz w:val="28"/>
          <w:szCs w:val="28"/>
          <w:highlight w:val="none"/>
          <w:u w:val="none"/>
          <w:lang w:val="en-US" w:eastAsia="zh-CN" w:bidi="ar-SA"/>
          <w14:textFill>
            <w14:solidFill>
              <w14:schemeClr w14:val="tx1"/>
            </w14:solidFill>
          </w14:textFill>
        </w:rPr>
      </w:pPr>
      <w:r>
        <w:rPr>
          <w:rFonts w:hint="eastAsia" w:asciiTheme="minorEastAsia" w:hAnsiTheme="minorEastAsia" w:eastAsiaTheme="minorEastAsia" w:cstheme="minorEastAsia"/>
          <w:bCs/>
          <w:color w:val="000000" w:themeColor="text1"/>
          <w:kern w:val="2"/>
          <w:sz w:val="28"/>
          <w:szCs w:val="28"/>
          <w:highlight w:val="none"/>
          <w:u w:val="none"/>
          <w:lang w:val="en-US" w:eastAsia="zh-CN" w:bidi="ar-SA"/>
          <w14:textFill>
            <w14:solidFill>
              <w14:schemeClr w14:val="tx1"/>
            </w14:solidFill>
          </w14:textFill>
        </w:rPr>
        <w:t>开户行：中国农业银行股份有限公司哈密胜利路支行</w:t>
      </w:r>
    </w:p>
    <w:p w14:paraId="77194535">
      <w:pPr>
        <w:pageBreakBefore w:val="0"/>
        <w:numPr>
          <w:ilvl w:val="0"/>
          <w:numId w:val="4"/>
        </w:numPr>
        <w:kinsoku/>
        <w:wordWrap/>
        <w:overflowPunct/>
        <w:topLinePunct w:val="0"/>
        <w:bidi w:val="0"/>
        <w:adjustRightInd w:val="0"/>
        <w:snapToGrid w:val="0"/>
        <w:spacing w:before="0" w:beforeLines="0" w:afterAutospacing="0" w:line="560" w:lineRule="exact"/>
        <w:ind w:firstLine="562" w:firstLineChars="200"/>
        <w:textAlignment w:val="auto"/>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合同验收</w:t>
      </w:r>
    </w:p>
    <w:p w14:paraId="5C4E3C42">
      <w:pPr>
        <w:pageBreakBefore w:val="0"/>
        <w:numPr>
          <w:ilvl w:val="0"/>
          <w:numId w:val="6"/>
        </w:numPr>
        <w:kinsoku/>
        <w:wordWrap/>
        <w:overflowPunct/>
        <w:topLinePunct w:val="0"/>
        <w:bidi w:val="0"/>
        <w:adjustRightInd w:val="0"/>
        <w:snapToGrid w:val="0"/>
        <w:spacing w:before="0" w:beforeLines="0" w:afterAutospacing="0" w:line="560" w:lineRule="exact"/>
        <w:ind w:firstLine="560" w:firstLineChars="200"/>
        <w:textAlignment w:val="auto"/>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验收组织方式：</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sym w:font="Wingdings" w:char="00FE"/>
      </w: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 xml:space="preserve">自行组织 </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sym w:font="Wingdings" w:char="00A8"/>
      </w: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委托第三方组织</w:t>
      </w:r>
    </w:p>
    <w:p w14:paraId="6D84C74B">
      <w:pPr>
        <w:pageBreakBefore w:val="0"/>
        <w:numPr>
          <w:ilvl w:val="0"/>
          <w:numId w:val="0"/>
        </w:numPr>
        <w:kinsoku/>
        <w:wordWrap/>
        <w:overflowPunct/>
        <w:topLinePunct w:val="0"/>
        <w:bidi w:val="0"/>
        <w:adjustRightInd w:val="0"/>
        <w:snapToGrid w:val="0"/>
        <w:spacing w:before="0" w:beforeLines="0" w:afterAutospacing="0" w:line="560" w:lineRule="exact"/>
        <w:textAlignment w:val="auto"/>
        <w:rPr>
          <w:rFonts w:hint="eastAsia" w:asciiTheme="minorEastAsia" w:hAnsiTheme="minorEastAsia" w:eastAsiaTheme="minorEastAsia" w:cstheme="minorEastAsia"/>
          <w:bCs/>
          <w:color w:val="000000" w:themeColor="text1"/>
          <w:sz w:val="28"/>
          <w:szCs w:val="28"/>
          <w:highlight w:val="none"/>
          <w:u w:val="single"/>
          <w14:textFill>
            <w14:solidFill>
              <w14:schemeClr w14:val="tx1"/>
            </w14:solidFill>
          </w14:textFill>
        </w:rPr>
      </w:pPr>
      <w:r>
        <w:rPr>
          <w:rFonts w:hint="eastAsia" w:asciiTheme="minorEastAsia" w:hAnsiTheme="minorEastAsia" w:eastAsiaTheme="minorEastAsia" w:cstheme="minorEastAsia"/>
          <w:bCs/>
          <w:color w:val="000000" w:themeColor="text1"/>
          <w:sz w:val="28"/>
          <w:szCs w:val="28"/>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验收主体：</w:t>
      </w:r>
      <w:r>
        <w:rPr>
          <w:rFonts w:hint="eastAsia" w:asciiTheme="minorEastAsia" w:hAnsiTheme="minorEastAsia" w:eastAsiaTheme="minorEastAsia" w:cstheme="minorEastAsia"/>
          <w:bCs/>
          <w:color w:val="000000" w:themeColor="text1"/>
          <w:sz w:val="28"/>
          <w:szCs w:val="28"/>
          <w:highlight w:val="none"/>
          <w:u w:val="single"/>
          <w:lang w:eastAsia="zh-CN"/>
          <w14:textFill>
            <w14:solidFill>
              <w14:schemeClr w14:val="tx1"/>
            </w14:solidFill>
          </w14:textFill>
        </w:rPr>
        <w:t>甲方、乙方</w:t>
      </w:r>
    </w:p>
    <w:p w14:paraId="3747FC14">
      <w:pPr>
        <w:pageBreakBefore w:val="0"/>
        <w:numPr>
          <w:ilvl w:val="0"/>
          <w:numId w:val="6"/>
        </w:numPr>
        <w:kinsoku/>
        <w:wordWrap/>
        <w:overflowPunct/>
        <w:topLinePunct w:val="0"/>
        <w:bidi w:val="0"/>
        <w:adjustRightInd w:val="0"/>
        <w:snapToGrid w:val="0"/>
        <w:spacing w:before="0" w:beforeLines="0" w:afterAutospacing="0" w:line="560" w:lineRule="exact"/>
        <w:ind w:left="0" w:leftChars="0" w:firstLine="560" w:firstLineChars="200"/>
        <w:textAlignment w:val="auto"/>
        <w:rPr>
          <w:rFonts w:hint="eastAsia" w:asciiTheme="minorEastAsia" w:hAnsiTheme="minorEastAsia" w:eastAsiaTheme="minorEastAsia" w:cstheme="minorEastAsia"/>
          <w:bCs/>
          <w:color w:val="000000" w:themeColor="text1"/>
          <w:sz w:val="28"/>
          <w:szCs w:val="28"/>
          <w:highlight w:val="none"/>
          <w:u w:val="singl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履约验收时间：</w:t>
      </w:r>
      <w:r>
        <w:rPr>
          <w:rFonts w:hint="eastAsia" w:asciiTheme="minorEastAsia" w:hAnsiTheme="minorEastAsia" w:eastAsiaTheme="minorEastAsia" w:cstheme="minorEastAsia"/>
          <w:bCs/>
          <w:color w:val="000000" w:themeColor="text1"/>
          <w:sz w:val="28"/>
          <w:szCs w:val="28"/>
          <w:highlight w:val="none"/>
          <w:u w:val="single"/>
          <w:lang w:eastAsia="zh-CN"/>
          <w14:textFill>
            <w14:solidFill>
              <w14:schemeClr w14:val="tx1"/>
            </w14:solidFill>
          </w14:textFill>
        </w:rPr>
        <w:t>货到安装完成</w:t>
      </w:r>
      <w:r>
        <w:rPr>
          <w:rFonts w:hint="eastAsia" w:asciiTheme="minorEastAsia" w:hAnsiTheme="minorEastAsia" w:eastAsiaTheme="minorEastAsia" w:cstheme="minorEastAsia"/>
          <w:bCs/>
          <w:color w:val="000000" w:themeColor="text1"/>
          <w:sz w:val="28"/>
          <w:szCs w:val="28"/>
          <w:highlight w:val="none"/>
          <w:u w:val="single"/>
          <w:lang w:val="en-US" w:eastAsia="zh-CN"/>
          <w14:textFill>
            <w14:solidFill>
              <w14:schemeClr w14:val="tx1"/>
            </w14:solidFill>
          </w14:textFill>
        </w:rPr>
        <w:t>后3日内 。</w:t>
      </w:r>
    </w:p>
    <w:p w14:paraId="565E2D5C">
      <w:pPr>
        <w:pageBreakBefore w:val="0"/>
        <w:numPr>
          <w:ilvl w:val="0"/>
          <w:numId w:val="0"/>
        </w:numPr>
        <w:kinsoku/>
        <w:wordWrap/>
        <w:overflowPunct/>
        <w:topLinePunct w:val="0"/>
        <w:bidi w:val="0"/>
        <w:adjustRightInd w:val="0"/>
        <w:snapToGrid w:val="0"/>
        <w:spacing w:before="0" w:beforeLines="0" w:afterAutospacing="0" w:line="560" w:lineRule="exact"/>
        <w:ind w:leftChars="200"/>
        <w:textAlignment w:val="auto"/>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（3）履约验收方式：</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sym w:font="Wingdings" w:char="00FE"/>
      </w: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 xml:space="preserve">一次性验收         </w:t>
      </w:r>
    </w:p>
    <w:p w14:paraId="6E615F96">
      <w:pPr>
        <w:pageBreakBefore w:val="0"/>
        <w:kinsoku/>
        <w:wordWrap/>
        <w:overflowPunct/>
        <w:topLinePunct w:val="0"/>
        <w:bidi w:val="0"/>
        <w:adjustRightInd w:val="0"/>
        <w:snapToGrid w:val="0"/>
        <w:spacing w:before="0" w:beforeLines="0" w:afterAutospacing="0" w:line="560" w:lineRule="exact"/>
        <w:ind w:firstLine="0" w:firstLineChars="0"/>
        <w:textAlignment w:val="auto"/>
        <w:rPr>
          <w:rFonts w:hint="eastAsia" w:asciiTheme="minorEastAsia" w:hAnsiTheme="minorEastAsia" w:eastAsiaTheme="minorEastAsia" w:cstheme="minorEastAsia"/>
          <w:bCs/>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8"/>
          <w:szCs w:val="28"/>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sym w:font="Wingdings" w:char="00A8"/>
      </w: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分期/分项验收</w:t>
      </w:r>
      <w:r>
        <w:rPr>
          <w:rFonts w:hint="eastAsia" w:asciiTheme="minorEastAsia" w:hAnsiTheme="minorEastAsia" w:eastAsiaTheme="minorEastAsia" w:cstheme="minorEastAsia"/>
          <w:bCs/>
          <w:color w:val="000000" w:themeColor="text1"/>
          <w:sz w:val="28"/>
          <w:szCs w:val="28"/>
          <w:highlight w:val="none"/>
          <w:lang w:eastAsia="zh-CN"/>
          <w14:textFill>
            <w14:solidFill>
              <w14:schemeClr w14:val="tx1"/>
            </w14:solidFill>
          </w14:textFill>
        </w:rPr>
        <w:t>：</w:t>
      </w:r>
      <w:r>
        <w:rPr>
          <w:rFonts w:hint="eastAsia" w:asciiTheme="minorEastAsia" w:hAnsiTheme="minorEastAsia" w:eastAsiaTheme="minorEastAsia" w:cstheme="minorEastAsia"/>
          <w:bCs/>
          <w:color w:val="000000" w:themeColor="text1"/>
          <w:sz w:val="28"/>
          <w:szCs w:val="28"/>
          <w:highlight w:val="none"/>
          <w:u w:val="single"/>
          <w14:textFill>
            <w14:solidFill>
              <w14:schemeClr w14:val="tx1"/>
            </w14:solidFill>
          </w14:textFill>
        </w:rPr>
        <w:t xml:space="preserve"> </w:t>
      </w:r>
      <w:r>
        <w:rPr>
          <w:rFonts w:hint="eastAsia" w:asciiTheme="minorEastAsia" w:hAnsiTheme="minorEastAsia" w:eastAsiaTheme="minorEastAsia" w:cstheme="minorEastAsia"/>
          <w:bCs/>
          <w:color w:val="000000" w:themeColor="text1"/>
          <w:sz w:val="28"/>
          <w:szCs w:val="28"/>
          <w:highlight w:val="none"/>
          <w:u w:val="single"/>
          <w:lang w:eastAsia="zh-CN"/>
          <w14:textFill>
            <w14:solidFill>
              <w14:schemeClr w14:val="tx1"/>
            </w14:solidFill>
          </w14:textFill>
        </w:rPr>
        <w:t>（应明确分期</w:t>
      </w:r>
      <w:r>
        <w:rPr>
          <w:rFonts w:hint="eastAsia" w:asciiTheme="minorEastAsia" w:hAnsiTheme="minorEastAsia" w:eastAsiaTheme="minorEastAsia" w:cstheme="minorEastAsia"/>
          <w:bCs/>
          <w:color w:val="000000" w:themeColor="text1"/>
          <w:sz w:val="28"/>
          <w:szCs w:val="28"/>
          <w:highlight w:val="none"/>
          <w:u w:val="single"/>
          <w:lang w:val="en" w:eastAsia="zh-CN"/>
          <w14:textFill>
            <w14:solidFill>
              <w14:schemeClr w14:val="tx1"/>
            </w14:solidFill>
          </w14:textFill>
        </w:rPr>
        <w:t>/分项验收的工作安排</w:t>
      </w:r>
      <w:r>
        <w:rPr>
          <w:rFonts w:hint="eastAsia" w:asciiTheme="minorEastAsia" w:hAnsiTheme="minorEastAsia" w:eastAsiaTheme="minorEastAsia" w:cstheme="minorEastAsia"/>
          <w:bCs/>
          <w:color w:val="000000" w:themeColor="text1"/>
          <w:sz w:val="28"/>
          <w:szCs w:val="28"/>
          <w:highlight w:val="none"/>
          <w:u w:val="single"/>
          <w:lang w:eastAsia="zh-CN"/>
          <w14:textFill>
            <w14:solidFill>
              <w14:schemeClr w14:val="tx1"/>
            </w14:solidFill>
          </w14:textFill>
        </w:rPr>
        <w:t>）</w:t>
      </w:r>
      <w:r>
        <w:rPr>
          <w:rFonts w:hint="eastAsia" w:asciiTheme="minorEastAsia" w:hAnsiTheme="minorEastAsia" w:eastAsiaTheme="minorEastAsia" w:cstheme="minorEastAsia"/>
          <w:bCs/>
          <w:color w:val="000000" w:themeColor="text1"/>
          <w:sz w:val="28"/>
          <w:szCs w:val="28"/>
          <w:highlight w:val="none"/>
          <w:u w:val="single"/>
          <w14:textFill>
            <w14:solidFill>
              <w14:schemeClr w14:val="tx1"/>
            </w14:solidFill>
          </w14:textFill>
        </w:rPr>
        <w:t xml:space="preserve"> </w:t>
      </w:r>
      <w:r>
        <w:rPr>
          <w:rFonts w:hint="eastAsia" w:asciiTheme="minorEastAsia" w:hAnsiTheme="minorEastAsia" w:eastAsiaTheme="minorEastAsia" w:cstheme="minorEastAsia"/>
          <w:bCs/>
          <w:color w:val="000000" w:themeColor="text1"/>
          <w:sz w:val="28"/>
          <w:szCs w:val="28"/>
          <w:highlight w:val="none"/>
          <w:u w:val="single"/>
          <w:lang w:val="en-US" w:eastAsia="zh-CN"/>
          <w14:textFill>
            <w14:solidFill>
              <w14:schemeClr w14:val="tx1"/>
            </w14:solidFill>
          </w14:textFill>
        </w:rPr>
        <w:t xml:space="preserve"> </w:t>
      </w:r>
    </w:p>
    <w:p w14:paraId="0DA03AE1">
      <w:pPr>
        <w:pageBreakBefore w:val="0"/>
        <w:kinsoku/>
        <w:wordWrap/>
        <w:overflowPunct/>
        <w:topLinePunct w:val="0"/>
        <w:bidi w:val="0"/>
        <w:adjustRightInd w:val="0"/>
        <w:snapToGrid w:val="0"/>
        <w:spacing w:before="0" w:beforeLines="0" w:afterAutospacing="0" w:line="560" w:lineRule="exact"/>
        <w:ind w:firstLine="560" w:firstLineChars="200"/>
        <w:textAlignment w:val="auto"/>
        <w:rPr>
          <w:rFonts w:hint="eastAsia" w:asciiTheme="minorEastAsia" w:hAnsiTheme="minorEastAsia" w:eastAsiaTheme="minorEastAsia" w:cstheme="minorEastAsia"/>
          <w:bCs/>
          <w:color w:val="000000" w:themeColor="text1"/>
          <w:sz w:val="28"/>
          <w:szCs w:val="28"/>
          <w:highlight w:val="none"/>
          <w:lang w:eastAsia="zh-CN"/>
          <w14:textFill>
            <w14:solidFill>
              <w14:schemeClr w14:val="tx1"/>
            </w14:solidFill>
          </w14:textFill>
        </w:rPr>
      </w:pP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（4）履约验收程序：</w:t>
      </w:r>
      <w:r>
        <w:rPr>
          <w:rFonts w:hint="eastAsia" w:asciiTheme="minorEastAsia" w:hAnsiTheme="minorEastAsia" w:eastAsiaTheme="minorEastAsia" w:cstheme="minorEastAsia"/>
          <w:bCs/>
          <w:color w:val="000000" w:themeColor="text1"/>
          <w:sz w:val="28"/>
          <w:szCs w:val="28"/>
          <w:highlight w:val="none"/>
          <w:u w:val="single"/>
          <w:lang w:eastAsia="zh-CN"/>
          <w14:textFill>
            <w14:solidFill>
              <w14:schemeClr w14:val="tx1"/>
            </w14:solidFill>
          </w14:textFill>
        </w:rPr>
        <w:t>乙方提出验收申请，甲乙双方按照合同要求及清单明细逐一进行验收，验收合格后，双方共同在验收单上签字确认。</w:t>
      </w:r>
    </w:p>
    <w:p w14:paraId="47CAEA7D">
      <w:pPr>
        <w:pageBreakBefore w:val="0"/>
        <w:kinsoku/>
        <w:wordWrap/>
        <w:overflowPunct/>
        <w:topLinePunct w:val="0"/>
        <w:bidi w:val="0"/>
        <w:adjustRightInd w:val="0"/>
        <w:snapToGrid w:val="0"/>
        <w:spacing w:before="0" w:beforeLines="0" w:afterAutospacing="0" w:line="560" w:lineRule="exact"/>
        <w:ind w:firstLine="560" w:firstLineChars="200"/>
        <w:textAlignment w:val="auto"/>
        <w:rPr>
          <w:rFonts w:hint="eastAsia" w:asciiTheme="minorEastAsia" w:hAnsiTheme="minorEastAsia" w:eastAsiaTheme="minorEastAsia" w:cstheme="minorEastAsia"/>
          <w:bCs/>
          <w:color w:val="000000" w:themeColor="text1"/>
          <w:sz w:val="28"/>
          <w:szCs w:val="28"/>
          <w:highlight w:val="none"/>
          <w:u w:val="single"/>
          <w:lang w:eastAsia="zh-CN"/>
          <w14:textFill>
            <w14:solidFill>
              <w14:schemeClr w14:val="tx1"/>
            </w14:solidFill>
          </w14:textFill>
        </w:rPr>
      </w:pP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（5）履约验收的内容：</w:t>
      </w:r>
      <w:r>
        <w:rPr>
          <w:rFonts w:hint="eastAsia" w:asciiTheme="minorEastAsia" w:hAnsiTheme="minorEastAsia" w:eastAsiaTheme="minorEastAsia" w:cstheme="minorEastAsia"/>
          <w:bCs/>
          <w:color w:val="000000" w:themeColor="text1"/>
          <w:sz w:val="28"/>
          <w:szCs w:val="28"/>
          <w:highlight w:val="none"/>
          <w:u w:val="single"/>
          <w:lang w:eastAsia="zh-CN"/>
          <w14:textFill>
            <w14:solidFill>
              <w14:schemeClr w14:val="tx1"/>
            </w14:solidFill>
          </w14:textFill>
        </w:rPr>
        <w:t>包括合同及采购文件、乙方响应文件中的每一项技术和商务要求的履约情况。</w:t>
      </w:r>
    </w:p>
    <w:p w14:paraId="3563F53C">
      <w:pPr>
        <w:pageBreakBefore w:val="0"/>
        <w:kinsoku/>
        <w:wordWrap/>
        <w:overflowPunct/>
        <w:topLinePunct w:val="0"/>
        <w:bidi w:val="0"/>
        <w:adjustRightInd w:val="0"/>
        <w:snapToGrid w:val="0"/>
        <w:spacing w:before="0" w:beforeLines="0" w:afterAutospacing="0" w:line="560" w:lineRule="exact"/>
        <w:ind w:firstLine="560" w:firstLineChars="200"/>
        <w:textAlignment w:val="auto"/>
        <w:rPr>
          <w:rFonts w:hint="eastAsia" w:asciiTheme="minorEastAsia" w:hAnsiTheme="minorEastAsia" w:eastAsiaTheme="minorEastAsia" w:cstheme="minorEastAsia"/>
          <w:bCs/>
          <w:color w:val="000000" w:themeColor="text1"/>
          <w:sz w:val="28"/>
          <w:szCs w:val="28"/>
          <w:highlight w:val="none"/>
          <w:u w:val="single"/>
          <w14:textFill>
            <w14:solidFill>
              <w14:schemeClr w14:val="tx1"/>
            </w14:solidFill>
          </w14:textFill>
        </w:rPr>
      </w:pP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（6）履约验收标准：</w:t>
      </w:r>
      <w:r>
        <w:rPr>
          <w:rFonts w:hint="eastAsia" w:asciiTheme="minorEastAsia" w:hAnsiTheme="minorEastAsia" w:eastAsiaTheme="minorEastAsia" w:cstheme="minorEastAsia"/>
          <w:bCs/>
          <w:color w:val="000000" w:themeColor="text1"/>
          <w:sz w:val="28"/>
          <w:szCs w:val="28"/>
          <w:highlight w:val="none"/>
          <w:u w:val="single"/>
          <w14:textFill>
            <w14:solidFill>
              <w14:schemeClr w14:val="tx1"/>
            </w14:solidFill>
          </w14:textFill>
        </w:rPr>
        <w:t xml:space="preserve">  </w:t>
      </w:r>
      <w:r>
        <w:rPr>
          <w:rFonts w:hint="eastAsia" w:asciiTheme="minorEastAsia" w:hAnsiTheme="minorEastAsia" w:eastAsiaTheme="minorEastAsia" w:cstheme="minorEastAsia"/>
          <w:bCs/>
          <w:color w:val="000000" w:themeColor="text1"/>
          <w:sz w:val="28"/>
          <w:szCs w:val="28"/>
          <w:highlight w:val="none"/>
          <w:u w:val="single"/>
          <w:lang w:eastAsia="zh-CN"/>
          <w14:textFill>
            <w14:solidFill>
              <w14:schemeClr w14:val="tx1"/>
            </w14:solidFill>
          </w14:textFill>
        </w:rPr>
        <w:t>设备完全符合甲方要求</w:t>
      </w:r>
      <w:r>
        <w:rPr>
          <w:rFonts w:hint="eastAsia" w:asciiTheme="minorEastAsia" w:hAnsiTheme="minorEastAsia" w:eastAsiaTheme="minorEastAsia" w:cstheme="minorEastAsia"/>
          <w:bCs/>
          <w:color w:val="000000" w:themeColor="text1"/>
          <w:sz w:val="28"/>
          <w:szCs w:val="28"/>
          <w:highlight w:val="none"/>
          <w:u w:val="single"/>
          <w14:textFill>
            <w14:solidFill>
              <w14:schemeClr w14:val="tx1"/>
            </w14:solidFill>
          </w14:textFill>
        </w:rPr>
        <w:t xml:space="preserve">   </w:t>
      </w:r>
    </w:p>
    <w:p w14:paraId="3D7287C2">
      <w:pPr>
        <w:pStyle w:val="171"/>
        <w:pageBreakBefore w:val="0"/>
        <w:kinsoku/>
        <w:wordWrap/>
        <w:overflowPunct/>
        <w:topLinePunct w:val="0"/>
        <w:bidi w:val="0"/>
        <w:spacing w:beforeLines="0" w:afterAutospacing="0" w:line="560" w:lineRule="exact"/>
        <w:textAlignment w:val="auto"/>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pPr>
      <w:r>
        <w:rPr>
          <w:rFonts w:hint="eastAsia" w:asciiTheme="minorEastAsia" w:hAnsiTheme="minorEastAsia" w:eastAsiaTheme="minorEastAsia" w:cstheme="minorEastAsia"/>
          <w:bCs/>
          <w:color w:val="000000" w:themeColor="text1"/>
          <w:sz w:val="28"/>
          <w:szCs w:val="28"/>
          <w:highlight w:val="none"/>
          <w:u w:val="none"/>
          <w:lang w:eastAsia="zh-CN"/>
          <w14:textFill>
            <w14:solidFill>
              <w14:schemeClr w14:val="tx1"/>
            </w14:solidFill>
          </w14:textFill>
        </w:rPr>
        <w:t>（</w:t>
      </w:r>
      <w:r>
        <w:rPr>
          <w:rFonts w:hint="eastAsia" w:asciiTheme="minorEastAsia" w:hAnsiTheme="minorEastAsia" w:eastAsiaTheme="minorEastAsia" w:cstheme="minorEastAsia"/>
          <w:bCs/>
          <w:color w:val="000000" w:themeColor="text1"/>
          <w:sz w:val="28"/>
          <w:szCs w:val="28"/>
          <w:highlight w:val="none"/>
          <w:u w:val="none"/>
          <w:lang w:val="en-US" w:eastAsia="zh-CN"/>
          <w14:textFill>
            <w14:solidFill>
              <w14:schemeClr w14:val="tx1"/>
            </w14:solidFill>
          </w14:textFill>
        </w:rPr>
        <w:t>7</w:t>
      </w:r>
      <w:r>
        <w:rPr>
          <w:rFonts w:hint="eastAsia" w:asciiTheme="minorEastAsia" w:hAnsiTheme="minorEastAsia" w:eastAsiaTheme="minorEastAsia" w:cstheme="minorEastAsia"/>
          <w:bCs/>
          <w:color w:val="000000" w:themeColor="text1"/>
          <w:sz w:val="28"/>
          <w:szCs w:val="28"/>
          <w:highlight w:val="none"/>
          <w:u w:val="none"/>
          <w:lang w:eastAsia="zh-CN"/>
          <w14:textFill>
            <w14:solidFill>
              <w14:schemeClr w14:val="tx1"/>
            </w14:solidFill>
          </w14:textFill>
        </w:rPr>
        <w:t>）是否以采购活动中供应商提供的样品作为参考：</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sym w:font="Wingdings" w:char="00FE"/>
      </w: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 xml:space="preserve">是  </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sym w:font="Wingdings" w:char="00A8"/>
      </w: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否</w:t>
      </w:r>
    </w:p>
    <w:p w14:paraId="20D8C024">
      <w:pPr>
        <w:pageBreakBefore w:val="0"/>
        <w:kinsoku/>
        <w:wordWrap/>
        <w:overflowPunct/>
        <w:topLinePunct w:val="0"/>
        <w:bidi w:val="0"/>
        <w:adjustRightInd w:val="0"/>
        <w:snapToGrid w:val="0"/>
        <w:spacing w:before="0" w:beforeLines="0" w:afterAutospacing="0" w:line="560" w:lineRule="exact"/>
        <w:ind w:firstLine="560" w:firstLineChars="200"/>
        <w:textAlignment w:val="auto"/>
        <w:rPr>
          <w:rFonts w:hint="eastAsia" w:asciiTheme="minorEastAsia" w:hAnsiTheme="minorEastAsia" w:eastAsiaTheme="minorEastAsia" w:cstheme="minorEastAsia"/>
          <w:bCs/>
          <w:color w:val="000000" w:themeColor="text1"/>
          <w:sz w:val="28"/>
          <w:szCs w:val="28"/>
          <w:highlight w:val="none"/>
          <w:u w:val="single"/>
          <w14:textFill>
            <w14:solidFill>
              <w14:schemeClr w14:val="tx1"/>
            </w14:solidFill>
          </w14:textFill>
        </w:rPr>
      </w:pP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（8）履约验收其他事项：</w:t>
      </w:r>
      <w:r>
        <w:rPr>
          <w:rFonts w:hint="eastAsia" w:asciiTheme="minorEastAsia" w:hAnsiTheme="minorEastAsia" w:eastAsiaTheme="minorEastAsia" w:cstheme="minorEastAsia"/>
          <w:bCs/>
          <w:color w:val="000000" w:themeColor="text1"/>
          <w:sz w:val="28"/>
          <w:szCs w:val="28"/>
          <w:highlight w:val="none"/>
          <w:u w:val="single"/>
          <w14:textFill>
            <w14:solidFill>
              <w14:schemeClr w14:val="tx1"/>
            </w14:solidFill>
          </w14:textFill>
        </w:rPr>
        <w:t xml:space="preserve">      </w:t>
      </w:r>
      <w:r>
        <w:rPr>
          <w:rFonts w:hint="eastAsia" w:asciiTheme="minorEastAsia" w:hAnsiTheme="minorEastAsia" w:eastAsiaTheme="minorEastAsia" w:cstheme="minorEastAsia"/>
          <w:bCs/>
          <w:color w:val="000000" w:themeColor="text1"/>
          <w:sz w:val="28"/>
          <w:szCs w:val="28"/>
          <w:highlight w:val="none"/>
          <w:u w:val="single"/>
          <w:lang w:eastAsia="zh-CN"/>
          <w14:textFill>
            <w14:solidFill>
              <w14:schemeClr w14:val="tx1"/>
            </w14:solidFill>
          </w14:textFill>
        </w:rPr>
        <w:t>无</w:t>
      </w:r>
      <w:r>
        <w:rPr>
          <w:rFonts w:hint="eastAsia" w:asciiTheme="minorEastAsia" w:hAnsiTheme="minorEastAsia" w:eastAsiaTheme="minorEastAsia" w:cstheme="minorEastAsia"/>
          <w:bCs/>
          <w:color w:val="000000" w:themeColor="text1"/>
          <w:sz w:val="28"/>
          <w:szCs w:val="28"/>
          <w:highlight w:val="none"/>
          <w:u w:val="single"/>
          <w14:textFill>
            <w14:solidFill>
              <w14:schemeClr w14:val="tx1"/>
            </w14:solidFill>
          </w14:textFill>
        </w:rPr>
        <w:t xml:space="preserve">         </w:t>
      </w:r>
    </w:p>
    <w:p w14:paraId="56B476BE">
      <w:pPr>
        <w:pageBreakBefore w:val="0"/>
        <w:numPr>
          <w:ilvl w:val="0"/>
          <w:numId w:val="4"/>
        </w:numPr>
        <w:kinsoku/>
        <w:wordWrap/>
        <w:overflowPunct/>
        <w:topLinePunct w:val="0"/>
        <w:bidi w:val="0"/>
        <w:adjustRightInd w:val="0"/>
        <w:snapToGrid w:val="0"/>
        <w:spacing w:before="0" w:beforeLines="0" w:afterAutospacing="0" w:line="560" w:lineRule="exact"/>
        <w:ind w:firstLine="562" w:firstLineChars="200"/>
        <w:textAlignment w:val="auto"/>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组成合同的文件</w:t>
      </w:r>
    </w:p>
    <w:p w14:paraId="3897DBE7">
      <w:pPr>
        <w:pageBreakBefore w:val="0"/>
        <w:kinsoku/>
        <w:wordWrap/>
        <w:overflowPunct/>
        <w:topLinePunct w:val="0"/>
        <w:bidi w:val="0"/>
        <w:adjustRightInd w:val="0"/>
        <w:snapToGrid w:val="0"/>
        <w:spacing w:before="0" w:beforeLines="0" w:afterAutospacing="0" w:line="560" w:lineRule="exact"/>
        <w:ind w:firstLine="560" w:firstLineChars="200"/>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本协议书与下列文件一起构成合同文件，如下述文件之间有任何抵触、矛盾或歧义，应按以下顺序解释：</w:t>
      </w:r>
    </w:p>
    <w:p w14:paraId="031D4FC2">
      <w:pPr>
        <w:pageBreakBefore w:val="0"/>
        <w:kinsoku/>
        <w:wordWrap/>
        <w:overflowPunct/>
        <w:topLinePunct w:val="0"/>
        <w:bidi w:val="0"/>
        <w:adjustRightInd w:val="0"/>
        <w:snapToGrid w:val="0"/>
        <w:spacing w:before="0" w:beforeLines="0" w:afterAutospacing="0" w:line="560" w:lineRule="exact"/>
        <w:ind w:firstLine="560" w:firstLineChars="200"/>
        <w:textAlignment w:val="auto"/>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（1）合同协议书及其变更、补充</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协议</w:t>
      </w:r>
    </w:p>
    <w:p w14:paraId="713D0EB0">
      <w:pPr>
        <w:pageBreakBefore w:val="0"/>
        <w:kinsoku/>
        <w:wordWrap/>
        <w:overflowPunct/>
        <w:topLinePunct w:val="0"/>
        <w:bidi w:val="0"/>
        <w:adjustRightInd w:val="0"/>
        <w:snapToGrid w:val="0"/>
        <w:spacing w:before="0" w:beforeLines="0" w:afterAutospacing="0" w:line="560" w:lineRule="exact"/>
        <w:ind w:firstLine="560" w:firstLineChars="200"/>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）合同专用条款</w:t>
      </w:r>
    </w:p>
    <w:p w14:paraId="27527F1D">
      <w:pPr>
        <w:pageBreakBefore w:val="0"/>
        <w:kinsoku/>
        <w:wordWrap/>
        <w:overflowPunct/>
        <w:topLinePunct w:val="0"/>
        <w:bidi w:val="0"/>
        <w:adjustRightInd w:val="0"/>
        <w:snapToGrid w:val="0"/>
        <w:spacing w:before="0" w:beforeLines="0" w:afterAutospacing="0" w:line="560" w:lineRule="exact"/>
        <w:ind w:firstLine="560" w:firstLineChars="200"/>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）合同通用条款</w:t>
      </w:r>
    </w:p>
    <w:p w14:paraId="73DAFD8C">
      <w:pPr>
        <w:pageBreakBefore w:val="0"/>
        <w:kinsoku/>
        <w:wordWrap/>
        <w:overflowPunct/>
        <w:topLinePunct w:val="0"/>
        <w:bidi w:val="0"/>
        <w:adjustRightInd w:val="0"/>
        <w:snapToGrid w:val="0"/>
        <w:spacing w:before="0" w:beforeLines="0" w:afterAutospacing="0" w:line="560" w:lineRule="exact"/>
        <w:ind w:firstLine="560" w:firstLineChars="200"/>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）中标</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（成交）</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通知书</w:t>
      </w:r>
    </w:p>
    <w:p w14:paraId="17B1DF58">
      <w:pPr>
        <w:pageBreakBefore w:val="0"/>
        <w:kinsoku/>
        <w:wordWrap/>
        <w:overflowPunct/>
        <w:topLinePunct w:val="0"/>
        <w:bidi w:val="0"/>
        <w:adjustRightInd w:val="0"/>
        <w:snapToGrid w:val="0"/>
        <w:spacing w:before="0" w:beforeLines="0" w:afterAutospacing="0" w:line="560" w:lineRule="exact"/>
        <w:ind w:firstLine="560" w:firstLineChars="200"/>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）投标（响应）文件</w:t>
      </w:r>
    </w:p>
    <w:p w14:paraId="2B676023">
      <w:pPr>
        <w:pageBreakBefore w:val="0"/>
        <w:kinsoku/>
        <w:wordWrap/>
        <w:overflowPunct/>
        <w:topLinePunct w:val="0"/>
        <w:bidi w:val="0"/>
        <w:adjustRightInd w:val="0"/>
        <w:snapToGrid w:val="0"/>
        <w:spacing w:before="0" w:beforeLines="0" w:afterAutospacing="0" w:line="560" w:lineRule="exact"/>
        <w:ind w:firstLine="560" w:firstLineChars="200"/>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（6）采购文件</w:t>
      </w:r>
    </w:p>
    <w:p w14:paraId="75D7B9B3">
      <w:pPr>
        <w:pageBreakBefore w:val="0"/>
        <w:kinsoku/>
        <w:wordWrap/>
        <w:overflowPunct/>
        <w:topLinePunct w:val="0"/>
        <w:bidi w:val="0"/>
        <w:adjustRightInd w:val="0"/>
        <w:snapToGrid w:val="0"/>
        <w:spacing w:before="0" w:beforeLines="0" w:afterAutospacing="0" w:line="560" w:lineRule="exact"/>
        <w:ind w:firstLine="560" w:firstLineChars="200"/>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（7）有关技术文件，图纸</w:t>
      </w:r>
    </w:p>
    <w:p w14:paraId="601678B1">
      <w:pPr>
        <w:pStyle w:val="171"/>
        <w:pageBreakBefore w:val="0"/>
        <w:kinsoku/>
        <w:wordWrap/>
        <w:overflowPunct/>
        <w:topLinePunct w:val="0"/>
        <w:bidi w:val="0"/>
        <w:spacing w:beforeLines="0" w:afterAutospacing="0" w:line="560" w:lineRule="exact"/>
        <w:textAlignment w:val="auto"/>
        <w:rPr>
          <w:rFonts w:hint="eastAsia" w:asciiTheme="minorEastAsia" w:hAnsiTheme="minorEastAsia" w:eastAsiaTheme="minorEastAsia" w:cstheme="minorEastAsia"/>
          <w:color w:val="000000" w:themeColor="text1"/>
          <w:kern w:val="2"/>
          <w:sz w:val="28"/>
          <w:szCs w:val="28"/>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w:t>
      </w:r>
      <w:r>
        <w:rPr>
          <w:rFonts w:hint="eastAsia" w:asciiTheme="minorEastAsia" w:hAnsiTheme="minorEastAsia" w:eastAsiaTheme="minorEastAsia" w:cstheme="minorEastAsia"/>
          <w:bCs w:val="0"/>
          <w:color w:val="000000" w:themeColor="text1"/>
          <w:kern w:val="2"/>
          <w:sz w:val="28"/>
          <w:szCs w:val="28"/>
          <w:highlight w:val="none"/>
          <w:lang w:eastAsia="zh-CN"/>
          <w14:textFill>
            <w14:solidFill>
              <w14:schemeClr w14:val="tx1"/>
            </w14:solidFill>
          </w14:textFill>
        </w:rPr>
        <w:t>国家法律、行政法规和规章制度规定或合同约定的作为合同组成部分的其他文件</w:t>
      </w:r>
    </w:p>
    <w:p w14:paraId="2DBF07C0">
      <w:pPr>
        <w:pageBreakBefore w:val="0"/>
        <w:numPr>
          <w:ilvl w:val="0"/>
          <w:numId w:val="4"/>
        </w:numPr>
        <w:kinsoku/>
        <w:wordWrap/>
        <w:overflowPunct/>
        <w:topLinePunct w:val="0"/>
        <w:bidi w:val="0"/>
        <w:adjustRightInd w:val="0"/>
        <w:snapToGrid w:val="0"/>
        <w:spacing w:before="0" w:beforeLines="0" w:afterAutospacing="0" w:line="560" w:lineRule="exact"/>
        <w:ind w:firstLine="562" w:firstLineChars="200"/>
        <w:textAlignment w:val="auto"/>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合同生效</w:t>
      </w:r>
    </w:p>
    <w:p w14:paraId="3C985A91">
      <w:pPr>
        <w:pageBreakBefore w:val="0"/>
        <w:kinsoku/>
        <w:wordWrap/>
        <w:overflowPunct/>
        <w:topLinePunct w:val="0"/>
        <w:bidi w:val="0"/>
        <w:adjustRightInd w:val="0"/>
        <w:snapToGrid w:val="0"/>
        <w:spacing w:before="0" w:beforeLines="0" w:afterAutospacing="0" w:line="560" w:lineRule="exact"/>
        <w:ind w:firstLine="560" w:firstLineChars="200"/>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本合同</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自成交通知书下发之日起</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生效。</w:t>
      </w:r>
    </w:p>
    <w:p w14:paraId="0FDECA71">
      <w:pPr>
        <w:pageBreakBefore w:val="0"/>
        <w:numPr>
          <w:ilvl w:val="0"/>
          <w:numId w:val="4"/>
        </w:numPr>
        <w:kinsoku/>
        <w:wordWrap/>
        <w:overflowPunct/>
        <w:topLinePunct w:val="0"/>
        <w:bidi w:val="0"/>
        <w:adjustRightInd w:val="0"/>
        <w:snapToGrid w:val="0"/>
        <w:spacing w:before="0" w:beforeLines="0" w:afterAutospacing="0" w:line="560" w:lineRule="exact"/>
        <w:ind w:firstLine="562" w:firstLineChars="200"/>
        <w:textAlignment w:val="auto"/>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合同份数</w:t>
      </w:r>
    </w:p>
    <w:p w14:paraId="3BF589DC">
      <w:pPr>
        <w:pageBreakBefore w:val="0"/>
        <w:kinsoku/>
        <w:wordWrap/>
        <w:overflowPunct/>
        <w:topLinePunct w:val="0"/>
        <w:bidi w:val="0"/>
        <w:adjustRightInd w:val="0"/>
        <w:snapToGrid w:val="0"/>
        <w:spacing w:before="0" w:beforeLines="0" w:afterAutospacing="0" w:line="560" w:lineRule="exact"/>
        <w:ind w:firstLine="560" w:firstLineChars="200"/>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本合同一式</w:t>
      </w:r>
      <w:r>
        <w:rPr>
          <w:rFonts w:hint="eastAsia" w:asciiTheme="minorEastAsia" w:hAnsiTheme="minorEastAsia" w:eastAsiaTheme="minorEastAsia" w:cstheme="minorEastAsia"/>
          <w:color w:val="000000" w:themeColor="text1"/>
          <w:sz w:val="28"/>
          <w:szCs w:val="28"/>
          <w:highlight w:val="none"/>
          <w:u w:val="single"/>
          <w:lang w:eastAsia="zh-CN"/>
          <w14:textFill>
            <w14:solidFill>
              <w14:schemeClr w14:val="tx1"/>
            </w14:solidFill>
          </w14:textFill>
        </w:rPr>
        <w:t>六</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份，</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甲方</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执</w:t>
      </w:r>
      <w:r>
        <w:rPr>
          <w:rFonts w:hint="eastAsia" w:asciiTheme="minorEastAsia" w:hAnsiTheme="minorEastAsia" w:eastAsiaTheme="minorEastAsia" w:cstheme="minorEastAsia"/>
          <w:color w:val="000000" w:themeColor="text1"/>
          <w:sz w:val="28"/>
          <w:szCs w:val="28"/>
          <w:highlight w:val="none"/>
          <w:u w:val="single"/>
          <w:lang w:eastAsia="zh-CN"/>
          <w14:textFill>
            <w14:solidFill>
              <w14:schemeClr w14:val="tx1"/>
            </w14:solidFill>
          </w14:textFill>
        </w:rPr>
        <w:t>五</w:t>
      </w:r>
      <w: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t>份</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乙方</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执</w:t>
      </w:r>
      <w:r>
        <w:rPr>
          <w:rFonts w:hint="eastAsia" w:asciiTheme="minorEastAsia" w:hAnsiTheme="minorEastAsia" w:eastAsiaTheme="minorEastAsia" w:cstheme="minorEastAsia"/>
          <w:color w:val="000000" w:themeColor="text1"/>
          <w:sz w:val="28"/>
          <w:szCs w:val="28"/>
          <w:highlight w:val="none"/>
          <w:u w:val="single"/>
          <w:lang w:eastAsia="zh-CN"/>
          <w14:textFill>
            <w14:solidFill>
              <w14:schemeClr w14:val="tx1"/>
            </w14:solidFill>
          </w14:textFill>
        </w:rPr>
        <w:t>一</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份，均具有同等法律效力。</w:t>
      </w:r>
    </w:p>
    <w:p w14:paraId="1AE86073">
      <w:pPr>
        <w:pageBreakBefore w:val="0"/>
        <w:kinsoku/>
        <w:wordWrap/>
        <w:overflowPunct/>
        <w:topLinePunct w:val="0"/>
        <w:bidi w:val="0"/>
        <w:adjustRightInd w:val="0"/>
        <w:snapToGrid w:val="0"/>
        <w:spacing w:before="0" w:beforeLines="0" w:afterAutospacing="0" w:line="560" w:lineRule="exact"/>
        <w:ind w:firstLine="560" w:firstLineChars="200"/>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合同订立时间：</w:t>
      </w:r>
      <w: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年</w:t>
      </w:r>
      <w: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月</w:t>
      </w:r>
      <w: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日</w:t>
      </w:r>
    </w:p>
    <w:p w14:paraId="141CD904">
      <w:pPr>
        <w:pageBreakBefore w:val="0"/>
        <w:kinsoku/>
        <w:wordWrap/>
        <w:overflowPunct/>
        <w:topLinePunct w:val="0"/>
        <w:bidi w:val="0"/>
        <w:adjustRightInd w:val="0"/>
        <w:snapToGrid w:val="0"/>
        <w:spacing w:before="0" w:beforeLines="0" w:afterAutospacing="0" w:line="560" w:lineRule="exact"/>
        <w:ind w:firstLine="560" w:firstLineChars="200"/>
        <w:textAlignment w:val="auto"/>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合同订立地点：</w:t>
      </w:r>
      <w:r>
        <w:rPr>
          <w:rFonts w:hint="eastAsia" w:asciiTheme="minorEastAsia" w:hAnsiTheme="minorEastAsia" w:eastAsiaTheme="minorEastAsia" w:cstheme="minorEastAsia"/>
          <w:color w:val="000000" w:themeColor="text1"/>
          <w:sz w:val="28"/>
          <w:szCs w:val="28"/>
          <w:highlight w:val="none"/>
          <w:u w:val="single"/>
          <w:lang w:eastAsia="zh-CN"/>
          <w14:textFill>
            <w14:solidFill>
              <w14:schemeClr w14:val="tx1"/>
            </w14:solidFill>
          </w14:textFill>
        </w:rPr>
        <w:t>哈密市中心医院</w:t>
      </w:r>
    </w:p>
    <w:p w14:paraId="4BA021FB">
      <w:pP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br w:type="page"/>
      </w:r>
    </w:p>
    <w:p w14:paraId="54DB0705">
      <w:pPr>
        <w:pStyle w:val="105"/>
        <w:pageBreakBefore w:val="0"/>
        <w:kinsoku/>
        <w:wordWrap/>
        <w:overflowPunct/>
        <w:topLinePunct w:val="0"/>
        <w:bidi w:val="0"/>
        <w:spacing w:afterAutospacing="0" w:line="560" w:lineRule="exac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p>
    <w:tbl>
      <w:tblPr>
        <w:tblStyle w:val="34"/>
        <w:tblW w:w="9710" w:type="dxa"/>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2180"/>
        <w:gridCol w:w="2789"/>
        <w:gridCol w:w="2288"/>
        <w:gridCol w:w="2453"/>
      </w:tblGrid>
      <w:tr w14:paraId="5F2E312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4969" w:type="dxa"/>
            <w:gridSpan w:val="2"/>
            <w:tcBorders>
              <w:bottom w:val="single" w:color="auto" w:sz="2" w:space="0"/>
              <w:right w:val="single" w:color="auto" w:sz="2" w:space="0"/>
            </w:tcBorders>
            <w:vAlign w:val="center"/>
          </w:tcPr>
          <w:p w14:paraId="53A764DE">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甲方</w:t>
            </w:r>
          </w:p>
        </w:tc>
        <w:tc>
          <w:tcPr>
            <w:tcW w:w="4741" w:type="dxa"/>
            <w:gridSpan w:val="2"/>
            <w:tcBorders>
              <w:left w:val="single" w:color="auto" w:sz="2" w:space="0"/>
              <w:bottom w:val="single" w:color="auto" w:sz="2" w:space="0"/>
            </w:tcBorders>
            <w:vAlign w:val="center"/>
          </w:tcPr>
          <w:p w14:paraId="303A8FC6">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乙方（供应商）</w:t>
            </w:r>
          </w:p>
        </w:tc>
      </w:tr>
      <w:tr w14:paraId="1BFEC44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864" w:hRule="atLeast"/>
        </w:trPr>
        <w:tc>
          <w:tcPr>
            <w:tcW w:w="2180" w:type="dxa"/>
            <w:tcBorders>
              <w:top w:val="single" w:color="auto" w:sz="2" w:space="0"/>
              <w:bottom w:val="single" w:color="auto" w:sz="2" w:space="0"/>
              <w:right w:val="single" w:color="auto" w:sz="2" w:space="0"/>
            </w:tcBorders>
            <w:vAlign w:val="center"/>
          </w:tcPr>
          <w:p w14:paraId="2F5FC094">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单位名称（</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合同章</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w:t>
            </w:r>
          </w:p>
        </w:tc>
        <w:tc>
          <w:tcPr>
            <w:tcW w:w="2789" w:type="dxa"/>
            <w:tcBorders>
              <w:top w:val="single" w:color="auto" w:sz="2" w:space="0"/>
              <w:left w:val="single" w:color="auto" w:sz="2" w:space="0"/>
              <w:bottom w:val="single" w:color="auto" w:sz="2" w:space="0"/>
              <w:right w:val="single" w:color="auto" w:sz="2" w:space="0"/>
            </w:tcBorders>
            <w:vAlign w:val="center"/>
          </w:tcPr>
          <w:p w14:paraId="0E52F3F0">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p>
        </w:tc>
        <w:tc>
          <w:tcPr>
            <w:tcW w:w="2288" w:type="dxa"/>
            <w:tcBorders>
              <w:top w:val="single" w:color="auto" w:sz="2" w:space="0"/>
              <w:left w:val="single" w:color="auto" w:sz="2" w:space="0"/>
              <w:bottom w:val="single" w:color="auto" w:sz="2" w:space="0"/>
              <w:right w:val="single" w:color="auto" w:sz="2" w:space="0"/>
            </w:tcBorders>
            <w:vAlign w:val="center"/>
          </w:tcPr>
          <w:p w14:paraId="113F1E0B">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单位名称（公章</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或合同章</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w:t>
            </w:r>
          </w:p>
        </w:tc>
        <w:tc>
          <w:tcPr>
            <w:tcW w:w="2453" w:type="dxa"/>
            <w:tcBorders>
              <w:top w:val="single" w:color="auto" w:sz="2" w:space="0"/>
              <w:left w:val="single" w:color="auto" w:sz="2" w:space="0"/>
              <w:bottom w:val="single" w:color="auto" w:sz="2" w:space="0"/>
            </w:tcBorders>
            <w:vAlign w:val="center"/>
          </w:tcPr>
          <w:p w14:paraId="1F289ABE">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pacing w:val="20"/>
                <w:sz w:val="28"/>
                <w:szCs w:val="28"/>
                <w:highlight w:val="none"/>
                <w14:textFill>
                  <w14:solidFill>
                    <w14:schemeClr w14:val="tx1"/>
                  </w14:solidFill>
                </w14:textFill>
              </w:rPr>
            </w:pPr>
          </w:p>
        </w:tc>
      </w:tr>
      <w:tr w14:paraId="4469107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447" w:hRule="atLeast"/>
        </w:trPr>
        <w:tc>
          <w:tcPr>
            <w:tcW w:w="2180" w:type="dxa"/>
            <w:tcBorders>
              <w:top w:val="single" w:color="auto" w:sz="2" w:space="0"/>
              <w:right w:val="single" w:color="auto" w:sz="2" w:space="0"/>
            </w:tcBorders>
            <w:vAlign w:val="center"/>
          </w:tcPr>
          <w:p w14:paraId="2591C447">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法定代表人</w:t>
            </w:r>
          </w:p>
          <w:p w14:paraId="0E70FFEB">
            <w:pPr>
              <w:pageBreakBefore w:val="0"/>
              <w:kinsoku/>
              <w:wordWrap/>
              <w:overflowPunct/>
              <w:topLinePunct w:val="0"/>
              <w:bidi w:val="0"/>
              <w:adjustRightInd w:val="0"/>
              <w:snapToGrid w:val="0"/>
              <w:spacing w:afterAutospacing="0" w:line="560" w:lineRule="exact"/>
              <w:ind w:firstLine="414" w:firstLineChars="148"/>
              <w:jc w:val="both"/>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（签章）</w:t>
            </w:r>
          </w:p>
        </w:tc>
        <w:tc>
          <w:tcPr>
            <w:tcW w:w="2789" w:type="dxa"/>
            <w:tcBorders>
              <w:top w:val="single" w:color="auto" w:sz="2" w:space="0"/>
              <w:left w:val="single" w:color="auto" w:sz="2" w:space="0"/>
              <w:right w:val="single" w:color="auto" w:sz="2" w:space="0"/>
            </w:tcBorders>
            <w:vAlign w:val="center"/>
          </w:tcPr>
          <w:p w14:paraId="4C4648A1">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p>
        </w:tc>
        <w:tc>
          <w:tcPr>
            <w:tcW w:w="2288" w:type="dxa"/>
            <w:tcBorders>
              <w:top w:val="single" w:color="auto" w:sz="2" w:space="0"/>
              <w:left w:val="single" w:color="auto" w:sz="2" w:space="0"/>
              <w:right w:val="single" w:color="auto" w:sz="2" w:space="0"/>
            </w:tcBorders>
            <w:vAlign w:val="center"/>
          </w:tcPr>
          <w:p w14:paraId="0786F607">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法定代表人</w:t>
            </w:r>
          </w:p>
          <w:p w14:paraId="0F98ABAD">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或其委托代理人（签章）</w:t>
            </w:r>
          </w:p>
        </w:tc>
        <w:tc>
          <w:tcPr>
            <w:tcW w:w="2453" w:type="dxa"/>
            <w:tcBorders>
              <w:top w:val="single" w:color="auto" w:sz="2" w:space="0"/>
              <w:left w:val="single" w:color="auto" w:sz="2" w:space="0"/>
              <w:bottom w:val="single" w:color="auto" w:sz="2" w:space="0"/>
            </w:tcBorders>
            <w:vAlign w:val="center"/>
          </w:tcPr>
          <w:p w14:paraId="142FBD69">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p>
        </w:tc>
      </w:tr>
      <w:tr w14:paraId="261C89E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180" w:type="dxa"/>
            <w:tcBorders>
              <w:top w:val="single" w:color="auto" w:sz="2" w:space="0"/>
              <w:bottom w:val="single" w:color="auto" w:sz="2" w:space="0"/>
              <w:right w:val="single" w:color="auto" w:sz="2" w:space="0"/>
            </w:tcBorders>
            <w:vAlign w:val="center"/>
          </w:tcPr>
          <w:p w14:paraId="67D9963B">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副院长：</w:t>
            </w:r>
          </w:p>
        </w:tc>
        <w:tc>
          <w:tcPr>
            <w:tcW w:w="2789" w:type="dxa"/>
            <w:tcBorders>
              <w:top w:val="single" w:color="auto" w:sz="2" w:space="0"/>
              <w:left w:val="single" w:color="auto" w:sz="2" w:space="0"/>
              <w:bottom w:val="single" w:color="auto" w:sz="2" w:space="0"/>
              <w:right w:val="single" w:color="auto" w:sz="2" w:space="0"/>
            </w:tcBorders>
            <w:vAlign w:val="center"/>
          </w:tcPr>
          <w:p w14:paraId="0C8E8DE2">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p>
        </w:tc>
        <w:tc>
          <w:tcPr>
            <w:tcW w:w="2288" w:type="dxa"/>
            <w:tcBorders>
              <w:top w:val="single" w:color="auto" w:sz="2" w:space="0"/>
              <w:left w:val="single" w:color="auto" w:sz="2" w:space="0"/>
              <w:bottom w:val="single" w:color="auto" w:sz="2" w:space="0"/>
              <w:right w:val="single" w:color="auto" w:sz="2" w:space="0"/>
            </w:tcBorders>
            <w:vAlign w:val="center"/>
          </w:tcPr>
          <w:p w14:paraId="3C848C85">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pPr>
          </w:p>
        </w:tc>
        <w:tc>
          <w:tcPr>
            <w:tcW w:w="2453" w:type="dxa"/>
            <w:tcBorders>
              <w:top w:val="single" w:color="auto" w:sz="2" w:space="0"/>
              <w:left w:val="single" w:color="auto" w:sz="2" w:space="0"/>
              <w:bottom w:val="single" w:color="auto" w:sz="2" w:space="0"/>
            </w:tcBorders>
            <w:vAlign w:val="center"/>
          </w:tcPr>
          <w:p w14:paraId="306D425F">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pacing w:val="20"/>
                <w:sz w:val="28"/>
                <w:szCs w:val="28"/>
                <w:highlight w:val="none"/>
                <w14:textFill>
                  <w14:solidFill>
                    <w14:schemeClr w14:val="tx1"/>
                  </w14:solidFill>
                </w14:textFill>
              </w:rPr>
            </w:pPr>
          </w:p>
        </w:tc>
      </w:tr>
      <w:tr w14:paraId="75136BE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180" w:type="dxa"/>
            <w:tcBorders>
              <w:top w:val="single" w:color="auto" w:sz="2" w:space="0"/>
              <w:bottom w:val="single" w:color="auto" w:sz="2" w:space="0"/>
              <w:right w:val="single" w:color="auto" w:sz="2" w:space="0"/>
            </w:tcBorders>
            <w:vAlign w:val="center"/>
          </w:tcPr>
          <w:p w14:paraId="61907E77">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kern w:val="2"/>
                <w:sz w:val="28"/>
                <w:szCs w:val="28"/>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住</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所</w:t>
            </w:r>
          </w:p>
        </w:tc>
        <w:tc>
          <w:tcPr>
            <w:tcW w:w="2789" w:type="dxa"/>
            <w:tcBorders>
              <w:top w:val="single" w:color="auto" w:sz="2" w:space="0"/>
              <w:left w:val="single" w:color="auto" w:sz="2" w:space="0"/>
              <w:bottom w:val="single" w:color="auto" w:sz="2" w:space="0"/>
              <w:right w:val="single" w:color="auto" w:sz="2" w:space="0"/>
            </w:tcBorders>
            <w:vAlign w:val="center"/>
          </w:tcPr>
          <w:p w14:paraId="39BEAC91">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kern w:val="2"/>
                <w:sz w:val="28"/>
                <w:szCs w:val="28"/>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8"/>
                <w:szCs w:val="28"/>
                <w:highlight w:val="none"/>
                <w:lang w:val="en-US" w:eastAsia="zh-CN" w:bidi="ar-SA"/>
                <w14:textFill>
                  <w14:solidFill>
                    <w14:schemeClr w14:val="tx1"/>
                  </w14:solidFill>
                </w14:textFill>
              </w:rPr>
              <w:t>哈密市广场北路18号</w:t>
            </w:r>
          </w:p>
        </w:tc>
        <w:tc>
          <w:tcPr>
            <w:tcW w:w="2288" w:type="dxa"/>
            <w:tcBorders>
              <w:top w:val="single" w:color="auto" w:sz="2" w:space="0"/>
              <w:left w:val="single" w:color="auto" w:sz="2" w:space="0"/>
              <w:bottom w:val="single" w:color="auto" w:sz="2" w:space="0"/>
              <w:right w:val="single" w:color="auto" w:sz="2" w:space="0"/>
            </w:tcBorders>
            <w:vAlign w:val="center"/>
          </w:tcPr>
          <w:p w14:paraId="702A559C">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kern w:val="2"/>
                <w:sz w:val="28"/>
                <w:szCs w:val="28"/>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住</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所</w:t>
            </w:r>
          </w:p>
        </w:tc>
        <w:tc>
          <w:tcPr>
            <w:tcW w:w="2453" w:type="dxa"/>
            <w:tcBorders>
              <w:top w:val="single" w:color="auto" w:sz="2" w:space="0"/>
              <w:left w:val="single" w:color="auto" w:sz="2" w:space="0"/>
              <w:bottom w:val="single" w:color="auto" w:sz="2" w:space="0"/>
            </w:tcBorders>
            <w:vAlign w:val="center"/>
          </w:tcPr>
          <w:p w14:paraId="39A64E64">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pacing w:val="20"/>
                <w:kern w:val="2"/>
                <w:sz w:val="28"/>
                <w:szCs w:val="28"/>
                <w:highlight w:val="none"/>
                <w:lang w:val="en-US" w:eastAsia="zh-CN" w:bidi="ar-SA"/>
                <w14:textFill>
                  <w14:solidFill>
                    <w14:schemeClr w14:val="tx1"/>
                  </w14:solidFill>
                </w14:textFill>
              </w:rPr>
            </w:pPr>
          </w:p>
        </w:tc>
      </w:tr>
      <w:tr w14:paraId="13A262F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180" w:type="dxa"/>
            <w:tcBorders>
              <w:top w:val="single" w:color="auto" w:sz="2" w:space="0"/>
              <w:bottom w:val="single" w:color="auto" w:sz="2" w:space="0"/>
              <w:right w:val="single" w:color="auto" w:sz="2" w:space="0"/>
            </w:tcBorders>
            <w:vAlign w:val="center"/>
          </w:tcPr>
          <w:p w14:paraId="1DEA6D5D">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联 系 人</w:t>
            </w:r>
          </w:p>
        </w:tc>
        <w:tc>
          <w:tcPr>
            <w:tcW w:w="2789" w:type="dxa"/>
            <w:tcBorders>
              <w:top w:val="single" w:color="auto" w:sz="2" w:space="0"/>
              <w:left w:val="single" w:color="auto" w:sz="2" w:space="0"/>
              <w:bottom w:val="single" w:color="auto" w:sz="2" w:space="0"/>
              <w:right w:val="single" w:color="auto" w:sz="2" w:space="0"/>
            </w:tcBorders>
            <w:vAlign w:val="center"/>
          </w:tcPr>
          <w:p w14:paraId="16574DE7">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p>
        </w:tc>
        <w:tc>
          <w:tcPr>
            <w:tcW w:w="2288" w:type="dxa"/>
            <w:tcBorders>
              <w:top w:val="single" w:color="auto" w:sz="2" w:space="0"/>
              <w:left w:val="single" w:color="auto" w:sz="2" w:space="0"/>
              <w:bottom w:val="single" w:color="auto" w:sz="2" w:space="0"/>
              <w:right w:val="single" w:color="auto" w:sz="2" w:space="0"/>
            </w:tcBorders>
            <w:vAlign w:val="center"/>
          </w:tcPr>
          <w:p w14:paraId="77128639">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联 系 人</w:t>
            </w:r>
          </w:p>
        </w:tc>
        <w:tc>
          <w:tcPr>
            <w:tcW w:w="2453" w:type="dxa"/>
            <w:tcBorders>
              <w:top w:val="single" w:color="auto" w:sz="2" w:space="0"/>
              <w:left w:val="single" w:color="auto" w:sz="2" w:space="0"/>
              <w:bottom w:val="single" w:color="auto" w:sz="2" w:space="0"/>
            </w:tcBorders>
            <w:vAlign w:val="center"/>
          </w:tcPr>
          <w:p w14:paraId="27D84839">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pacing w:val="20"/>
                <w:sz w:val="28"/>
                <w:szCs w:val="28"/>
                <w:highlight w:val="none"/>
                <w14:textFill>
                  <w14:solidFill>
                    <w14:schemeClr w14:val="tx1"/>
                  </w14:solidFill>
                </w14:textFill>
              </w:rPr>
            </w:pPr>
          </w:p>
        </w:tc>
      </w:tr>
      <w:tr w14:paraId="733FB53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180" w:type="dxa"/>
            <w:tcBorders>
              <w:top w:val="single" w:color="auto" w:sz="2" w:space="0"/>
              <w:bottom w:val="single" w:color="auto" w:sz="2" w:space="0"/>
              <w:right w:val="single" w:color="auto" w:sz="2" w:space="0"/>
            </w:tcBorders>
            <w:vAlign w:val="center"/>
          </w:tcPr>
          <w:p w14:paraId="3370F8B6">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联系电话</w:t>
            </w:r>
          </w:p>
        </w:tc>
        <w:tc>
          <w:tcPr>
            <w:tcW w:w="2789" w:type="dxa"/>
            <w:tcBorders>
              <w:top w:val="single" w:color="auto" w:sz="2" w:space="0"/>
              <w:left w:val="single" w:color="auto" w:sz="2" w:space="0"/>
              <w:bottom w:val="single" w:color="auto" w:sz="2" w:space="0"/>
              <w:right w:val="single" w:color="auto" w:sz="2" w:space="0"/>
            </w:tcBorders>
            <w:vAlign w:val="center"/>
          </w:tcPr>
          <w:p w14:paraId="4F4073B9">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p>
        </w:tc>
        <w:tc>
          <w:tcPr>
            <w:tcW w:w="2288" w:type="dxa"/>
            <w:tcBorders>
              <w:top w:val="single" w:color="auto" w:sz="2" w:space="0"/>
              <w:left w:val="single" w:color="auto" w:sz="2" w:space="0"/>
              <w:bottom w:val="single" w:color="auto" w:sz="2" w:space="0"/>
              <w:right w:val="single" w:color="auto" w:sz="2" w:space="0"/>
            </w:tcBorders>
            <w:vAlign w:val="center"/>
          </w:tcPr>
          <w:p w14:paraId="175851AC">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联系电话</w:t>
            </w:r>
          </w:p>
        </w:tc>
        <w:tc>
          <w:tcPr>
            <w:tcW w:w="2453" w:type="dxa"/>
            <w:tcBorders>
              <w:top w:val="single" w:color="auto" w:sz="2" w:space="0"/>
              <w:left w:val="single" w:color="auto" w:sz="2" w:space="0"/>
              <w:bottom w:val="single" w:color="auto" w:sz="2" w:space="0"/>
            </w:tcBorders>
            <w:vAlign w:val="center"/>
          </w:tcPr>
          <w:p w14:paraId="2612F742">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pacing w:val="20"/>
                <w:sz w:val="28"/>
                <w:szCs w:val="28"/>
                <w:highlight w:val="none"/>
                <w14:textFill>
                  <w14:solidFill>
                    <w14:schemeClr w14:val="tx1"/>
                  </w14:solidFill>
                </w14:textFill>
              </w:rPr>
            </w:pPr>
          </w:p>
        </w:tc>
      </w:tr>
      <w:tr w14:paraId="2BF2A6A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180" w:type="dxa"/>
            <w:tcBorders>
              <w:top w:val="single" w:color="auto" w:sz="2" w:space="0"/>
              <w:bottom w:val="single" w:color="auto" w:sz="2" w:space="0"/>
              <w:right w:val="single" w:color="auto" w:sz="2" w:space="0"/>
            </w:tcBorders>
            <w:vAlign w:val="center"/>
          </w:tcPr>
          <w:p w14:paraId="767CA17E">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通信地址</w:t>
            </w:r>
          </w:p>
        </w:tc>
        <w:tc>
          <w:tcPr>
            <w:tcW w:w="2789" w:type="dxa"/>
            <w:tcBorders>
              <w:top w:val="single" w:color="auto" w:sz="2" w:space="0"/>
              <w:left w:val="single" w:color="auto" w:sz="2" w:space="0"/>
              <w:bottom w:val="single" w:color="auto" w:sz="2" w:space="0"/>
              <w:right w:val="single" w:color="auto" w:sz="2" w:space="0"/>
            </w:tcBorders>
            <w:vAlign w:val="center"/>
          </w:tcPr>
          <w:p w14:paraId="0797D190">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2"/>
                <w:sz w:val="28"/>
                <w:szCs w:val="28"/>
                <w:highlight w:val="none"/>
                <w:lang w:val="en-US" w:eastAsia="zh-CN" w:bidi="ar-SA"/>
                <w14:textFill>
                  <w14:solidFill>
                    <w14:schemeClr w14:val="tx1"/>
                  </w14:solidFill>
                </w14:textFill>
              </w:rPr>
              <w:t>哈密市广场北路18号</w:t>
            </w:r>
          </w:p>
        </w:tc>
        <w:tc>
          <w:tcPr>
            <w:tcW w:w="2288" w:type="dxa"/>
            <w:tcBorders>
              <w:top w:val="single" w:color="auto" w:sz="2" w:space="0"/>
              <w:left w:val="single" w:color="auto" w:sz="2" w:space="0"/>
              <w:bottom w:val="single" w:color="auto" w:sz="2" w:space="0"/>
              <w:right w:val="single" w:color="auto" w:sz="2" w:space="0"/>
            </w:tcBorders>
            <w:vAlign w:val="center"/>
          </w:tcPr>
          <w:p w14:paraId="5F1FEFA6">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通信地址</w:t>
            </w:r>
          </w:p>
        </w:tc>
        <w:tc>
          <w:tcPr>
            <w:tcW w:w="2453" w:type="dxa"/>
            <w:tcBorders>
              <w:top w:val="single" w:color="auto" w:sz="2" w:space="0"/>
              <w:left w:val="single" w:color="auto" w:sz="2" w:space="0"/>
              <w:bottom w:val="single" w:color="auto" w:sz="2" w:space="0"/>
            </w:tcBorders>
            <w:vAlign w:val="center"/>
          </w:tcPr>
          <w:p w14:paraId="4BF3D419">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pacing w:val="20"/>
                <w:sz w:val="28"/>
                <w:szCs w:val="28"/>
                <w:highlight w:val="none"/>
                <w14:textFill>
                  <w14:solidFill>
                    <w14:schemeClr w14:val="tx1"/>
                  </w14:solidFill>
                </w14:textFill>
              </w:rPr>
            </w:pPr>
          </w:p>
        </w:tc>
      </w:tr>
      <w:tr w14:paraId="5983393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180" w:type="dxa"/>
            <w:tcBorders>
              <w:top w:val="single" w:color="auto" w:sz="2" w:space="0"/>
              <w:bottom w:val="single" w:color="auto" w:sz="2" w:space="0"/>
              <w:right w:val="single" w:color="auto" w:sz="2" w:space="0"/>
            </w:tcBorders>
            <w:vAlign w:val="center"/>
          </w:tcPr>
          <w:p w14:paraId="2BF6B298">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邮政编码</w:t>
            </w:r>
          </w:p>
        </w:tc>
        <w:tc>
          <w:tcPr>
            <w:tcW w:w="2789" w:type="dxa"/>
            <w:tcBorders>
              <w:top w:val="single" w:color="auto" w:sz="2" w:space="0"/>
              <w:left w:val="single" w:color="auto" w:sz="2" w:space="0"/>
              <w:bottom w:val="single" w:color="auto" w:sz="2" w:space="0"/>
              <w:right w:val="single" w:color="auto" w:sz="2" w:space="0"/>
            </w:tcBorders>
            <w:vAlign w:val="center"/>
          </w:tcPr>
          <w:p w14:paraId="3E09CB73">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p>
        </w:tc>
        <w:tc>
          <w:tcPr>
            <w:tcW w:w="2288" w:type="dxa"/>
            <w:tcBorders>
              <w:top w:val="single" w:color="auto" w:sz="2" w:space="0"/>
              <w:left w:val="single" w:color="auto" w:sz="2" w:space="0"/>
              <w:bottom w:val="single" w:color="auto" w:sz="2" w:space="0"/>
              <w:right w:val="single" w:color="auto" w:sz="2" w:space="0"/>
            </w:tcBorders>
            <w:vAlign w:val="center"/>
          </w:tcPr>
          <w:p w14:paraId="08FBAAE9">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邮政编码</w:t>
            </w:r>
          </w:p>
        </w:tc>
        <w:tc>
          <w:tcPr>
            <w:tcW w:w="2453" w:type="dxa"/>
            <w:tcBorders>
              <w:top w:val="single" w:color="auto" w:sz="2" w:space="0"/>
              <w:left w:val="single" w:color="auto" w:sz="2" w:space="0"/>
              <w:bottom w:val="single" w:color="auto" w:sz="2" w:space="0"/>
            </w:tcBorders>
            <w:vAlign w:val="center"/>
          </w:tcPr>
          <w:p w14:paraId="1868A3AB">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pacing w:val="20"/>
                <w:sz w:val="28"/>
                <w:szCs w:val="28"/>
                <w:highlight w:val="none"/>
                <w14:textFill>
                  <w14:solidFill>
                    <w14:schemeClr w14:val="tx1"/>
                  </w14:solidFill>
                </w14:textFill>
              </w:rPr>
            </w:pPr>
          </w:p>
        </w:tc>
      </w:tr>
      <w:tr w14:paraId="209232B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180" w:type="dxa"/>
            <w:tcBorders>
              <w:top w:val="single" w:color="auto" w:sz="2" w:space="0"/>
              <w:bottom w:val="single" w:color="auto" w:sz="2" w:space="0"/>
              <w:right w:val="single" w:color="auto" w:sz="2" w:space="0"/>
            </w:tcBorders>
            <w:vAlign w:val="center"/>
          </w:tcPr>
          <w:p w14:paraId="12ACDE0E">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电子邮箱</w:t>
            </w:r>
          </w:p>
        </w:tc>
        <w:tc>
          <w:tcPr>
            <w:tcW w:w="2789" w:type="dxa"/>
            <w:tcBorders>
              <w:top w:val="single" w:color="auto" w:sz="2" w:space="0"/>
              <w:left w:val="single" w:color="auto" w:sz="2" w:space="0"/>
              <w:bottom w:val="single" w:color="auto" w:sz="2" w:space="0"/>
              <w:right w:val="single" w:color="auto" w:sz="2" w:space="0"/>
            </w:tcBorders>
            <w:vAlign w:val="center"/>
          </w:tcPr>
          <w:p w14:paraId="028CAF9E">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p>
        </w:tc>
        <w:tc>
          <w:tcPr>
            <w:tcW w:w="2288" w:type="dxa"/>
            <w:tcBorders>
              <w:top w:val="single" w:color="auto" w:sz="2" w:space="0"/>
              <w:left w:val="single" w:color="auto" w:sz="2" w:space="0"/>
              <w:bottom w:val="single" w:color="auto" w:sz="2" w:space="0"/>
              <w:right w:val="single" w:color="auto" w:sz="2" w:space="0"/>
            </w:tcBorders>
            <w:vAlign w:val="center"/>
          </w:tcPr>
          <w:p w14:paraId="62285DDD">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电子邮箱</w:t>
            </w:r>
          </w:p>
        </w:tc>
        <w:tc>
          <w:tcPr>
            <w:tcW w:w="2453" w:type="dxa"/>
            <w:tcBorders>
              <w:top w:val="single" w:color="auto" w:sz="2" w:space="0"/>
              <w:left w:val="single" w:color="auto" w:sz="2" w:space="0"/>
              <w:bottom w:val="single" w:color="auto" w:sz="2" w:space="0"/>
            </w:tcBorders>
            <w:vAlign w:val="center"/>
          </w:tcPr>
          <w:p w14:paraId="6A3D33C8">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pacing w:val="20"/>
                <w:sz w:val="28"/>
                <w:szCs w:val="28"/>
                <w:highlight w:val="none"/>
                <w14:textFill>
                  <w14:solidFill>
                    <w14:schemeClr w14:val="tx1"/>
                  </w14:solidFill>
                </w14:textFill>
              </w:rPr>
            </w:pPr>
          </w:p>
        </w:tc>
      </w:tr>
      <w:tr w14:paraId="3F44434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180" w:type="dxa"/>
            <w:tcBorders>
              <w:top w:val="single" w:color="auto" w:sz="2" w:space="0"/>
              <w:bottom w:val="single" w:color="auto" w:sz="2" w:space="0"/>
              <w:right w:val="single" w:color="auto" w:sz="2" w:space="0"/>
            </w:tcBorders>
            <w:vAlign w:val="center"/>
          </w:tcPr>
          <w:p w14:paraId="68E988AC">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统一社会信用代码</w:t>
            </w:r>
          </w:p>
        </w:tc>
        <w:tc>
          <w:tcPr>
            <w:tcW w:w="2789" w:type="dxa"/>
            <w:tcBorders>
              <w:top w:val="single" w:color="auto" w:sz="2" w:space="0"/>
              <w:left w:val="single" w:color="auto" w:sz="2" w:space="0"/>
              <w:bottom w:val="single" w:color="auto" w:sz="2" w:space="0"/>
              <w:right w:val="single" w:color="auto" w:sz="2" w:space="0"/>
            </w:tcBorders>
            <w:vAlign w:val="center"/>
          </w:tcPr>
          <w:p w14:paraId="0261A0C0">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p>
        </w:tc>
        <w:tc>
          <w:tcPr>
            <w:tcW w:w="2288" w:type="dxa"/>
            <w:tcBorders>
              <w:top w:val="single" w:color="auto" w:sz="2" w:space="0"/>
              <w:left w:val="single" w:color="auto" w:sz="2" w:space="0"/>
              <w:bottom w:val="single" w:color="auto" w:sz="2" w:space="0"/>
              <w:right w:val="single" w:color="auto" w:sz="2" w:space="0"/>
            </w:tcBorders>
            <w:vAlign w:val="center"/>
          </w:tcPr>
          <w:p w14:paraId="033D5E24">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统一社会信用代码</w:t>
            </w:r>
          </w:p>
        </w:tc>
        <w:tc>
          <w:tcPr>
            <w:tcW w:w="2453" w:type="dxa"/>
            <w:tcBorders>
              <w:top w:val="single" w:color="auto" w:sz="2" w:space="0"/>
              <w:left w:val="single" w:color="auto" w:sz="2" w:space="0"/>
              <w:bottom w:val="single" w:color="auto" w:sz="2" w:space="0"/>
            </w:tcBorders>
            <w:vAlign w:val="center"/>
          </w:tcPr>
          <w:p w14:paraId="0D7951C8">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pacing w:val="20"/>
                <w:sz w:val="28"/>
                <w:szCs w:val="28"/>
                <w:highlight w:val="none"/>
                <w14:textFill>
                  <w14:solidFill>
                    <w14:schemeClr w14:val="tx1"/>
                  </w14:solidFill>
                </w14:textFill>
              </w:rPr>
            </w:pPr>
          </w:p>
        </w:tc>
      </w:tr>
      <w:tr w14:paraId="5D04B24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180" w:type="dxa"/>
            <w:tcBorders>
              <w:top w:val="single" w:color="auto" w:sz="2" w:space="0"/>
              <w:bottom w:val="single" w:color="auto" w:sz="2" w:space="0"/>
              <w:right w:val="single" w:color="auto" w:sz="2" w:space="0"/>
            </w:tcBorders>
            <w:vAlign w:val="center"/>
          </w:tcPr>
          <w:p w14:paraId="2F8D2494">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p>
        </w:tc>
        <w:tc>
          <w:tcPr>
            <w:tcW w:w="2789" w:type="dxa"/>
            <w:tcBorders>
              <w:top w:val="single" w:color="auto" w:sz="2" w:space="0"/>
              <w:left w:val="single" w:color="auto" w:sz="2" w:space="0"/>
              <w:bottom w:val="single" w:color="auto" w:sz="2" w:space="0"/>
              <w:right w:val="single" w:color="auto" w:sz="2" w:space="0"/>
            </w:tcBorders>
            <w:vAlign w:val="center"/>
          </w:tcPr>
          <w:p w14:paraId="05636668">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p>
        </w:tc>
        <w:tc>
          <w:tcPr>
            <w:tcW w:w="2288" w:type="dxa"/>
            <w:tcBorders>
              <w:top w:val="single" w:color="auto" w:sz="2" w:space="0"/>
              <w:left w:val="single" w:color="auto" w:sz="2" w:space="0"/>
              <w:bottom w:val="single" w:color="auto" w:sz="2" w:space="0"/>
              <w:right w:val="single" w:color="auto" w:sz="2" w:space="0"/>
            </w:tcBorders>
            <w:vAlign w:val="center"/>
          </w:tcPr>
          <w:p w14:paraId="70C69827">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开户名称</w:t>
            </w:r>
          </w:p>
        </w:tc>
        <w:tc>
          <w:tcPr>
            <w:tcW w:w="2453" w:type="dxa"/>
            <w:tcBorders>
              <w:top w:val="single" w:color="auto" w:sz="2" w:space="0"/>
              <w:left w:val="single" w:color="auto" w:sz="2" w:space="0"/>
              <w:bottom w:val="single" w:color="auto" w:sz="2" w:space="0"/>
            </w:tcBorders>
            <w:vAlign w:val="center"/>
          </w:tcPr>
          <w:p w14:paraId="3C9F226C">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pacing w:val="20"/>
                <w:sz w:val="28"/>
                <w:szCs w:val="28"/>
                <w:highlight w:val="none"/>
                <w14:textFill>
                  <w14:solidFill>
                    <w14:schemeClr w14:val="tx1"/>
                  </w14:solidFill>
                </w14:textFill>
              </w:rPr>
            </w:pPr>
          </w:p>
        </w:tc>
      </w:tr>
      <w:tr w14:paraId="3247F36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180" w:type="dxa"/>
            <w:tcBorders>
              <w:top w:val="single" w:color="auto" w:sz="2" w:space="0"/>
              <w:bottom w:val="single" w:color="auto" w:sz="2" w:space="0"/>
              <w:right w:val="single" w:color="auto" w:sz="2" w:space="0"/>
            </w:tcBorders>
            <w:vAlign w:val="center"/>
          </w:tcPr>
          <w:p w14:paraId="50BA42FF">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p>
        </w:tc>
        <w:tc>
          <w:tcPr>
            <w:tcW w:w="2789" w:type="dxa"/>
            <w:tcBorders>
              <w:top w:val="single" w:color="auto" w:sz="2" w:space="0"/>
              <w:left w:val="single" w:color="auto" w:sz="2" w:space="0"/>
              <w:bottom w:val="single" w:color="auto" w:sz="2" w:space="0"/>
              <w:right w:val="single" w:color="auto" w:sz="2" w:space="0"/>
            </w:tcBorders>
            <w:vAlign w:val="center"/>
          </w:tcPr>
          <w:p w14:paraId="24CF30E8">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p>
        </w:tc>
        <w:tc>
          <w:tcPr>
            <w:tcW w:w="2288" w:type="dxa"/>
            <w:tcBorders>
              <w:top w:val="single" w:color="auto" w:sz="2" w:space="0"/>
              <w:left w:val="single" w:color="auto" w:sz="2" w:space="0"/>
              <w:bottom w:val="single" w:color="auto" w:sz="2" w:space="0"/>
              <w:right w:val="single" w:color="auto" w:sz="2" w:space="0"/>
            </w:tcBorders>
            <w:vAlign w:val="center"/>
          </w:tcPr>
          <w:p w14:paraId="7DB10CBA">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开户银行</w:t>
            </w:r>
          </w:p>
        </w:tc>
        <w:tc>
          <w:tcPr>
            <w:tcW w:w="2453" w:type="dxa"/>
            <w:tcBorders>
              <w:top w:val="single" w:color="auto" w:sz="2" w:space="0"/>
              <w:left w:val="single" w:color="auto" w:sz="2" w:space="0"/>
              <w:bottom w:val="single" w:color="auto" w:sz="2" w:space="0"/>
            </w:tcBorders>
            <w:vAlign w:val="center"/>
          </w:tcPr>
          <w:p w14:paraId="2331A07B">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pacing w:val="20"/>
                <w:sz w:val="28"/>
                <w:szCs w:val="28"/>
                <w:highlight w:val="none"/>
                <w14:textFill>
                  <w14:solidFill>
                    <w14:schemeClr w14:val="tx1"/>
                  </w14:solidFill>
                </w14:textFill>
              </w:rPr>
            </w:pPr>
          </w:p>
        </w:tc>
      </w:tr>
      <w:tr w14:paraId="76086BF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180" w:type="dxa"/>
            <w:tcBorders>
              <w:top w:val="single" w:color="auto" w:sz="2" w:space="0"/>
              <w:bottom w:val="single" w:color="auto" w:sz="2" w:space="0"/>
              <w:right w:val="single" w:color="auto" w:sz="2" w:space="0"/>
            </w:tcBorders>
            <w:vAlign w:val="center"/>
          </w:tcPr>
          <w:p w14:paraId="6ABCDD9A">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p>
        </w:tc>
        <w:tc>
          <w:tcPr>
            <w:tcW w:w="2789" w:type="dxa"/>
            <w:tcBorders>
              <w:top w:val="single" w:color="auto" w:sz="2" w:space="0"/>
              <w:left w:val="single" w:color="auto" w:sz="2" w:space="0"/>
              <w:bottom w:val="single" w:color="auto" w:sz="2" w:space="0"/>
              <w:right w:val="single" w:color="auto" w:sz="2" w:space="0"/>
            </w:tcBorders>
            <w:vAlign w:val="center"/>
          </w:tcPr>
          <w:p w14:paraId="1B909C7E">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p>
        </w:tc>
        <w:tc>
          <w:tcPr>
            <w:tcW w:w="2288" w:type="dxa"/>
            <w:tcBorders>
              <w:top w:val="single" w:color="auto" w:sz="2" w:space="0"/>
              <w:left w:val="single" w:color="auto" w:sz="2" w:space="0"/>
              <w:bottom w:val="single" w:color="auto" w:sz="2" w:space="0"/>
              <w:right w:val="single" w:color="auto" w:sz="2" w:space="0"/>
            </w:tcBorders>
            <w:vAlign w:val="center"/>
          </w:tcPr>
          <w:p w14:paraId="2C21DF54">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银行账号</w:t>
            </w:r>
          </w:p>
        </w:tc>
        <w:tc>
          <w:tcPr>
            <w:tcW w:w="2453" w:type="dxa"/>
            <w:tcBorders>
              <w:top w:val="single" w:color="auto" w:sz="2" w:space="0"/>
              <w:left w:val="single" w:color="auto" w:sz="2" w:space="0"/>
              <w:bottom w:val="single" w:color="auto" w:sz="2" w:space="0"/>
            </w:tcBorders>
            <w:vAlign w:val="center"/>
          </w:tcPr>
          <w:p w14:paraId="1DD819BD">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pacing w:val="20"/>
                <w:sz w:val="28"/>
                <w:szCs w:val="28"/>
                <w:highlight w:val="none"/>
                <w14:textFill>
                  <w14:solidFill>
                    <w14:schemeClr w14:val="tx1"/>
                  </w14:solidFill>
                </w14:textFill>
              </w:rPr>
            </w:pPr>
          </w:p>
        </w:tc>
      </w:tr>
      <w:tr w14:paraId="2B787D2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9710" w:type="dxa"/>
            <w:gridSpan w:val="4"/>
            <w:tcBorders>
              <w:top w:val="single" w:color="auto" w:sz="2" w:space="0"/>
            </w:tcBorders>
            <w:vAlign w:val="center"/>
          </w:tcPr>
          <w:p w14:paraId="3D8A70A9">
            <w:pPr>
              <w:pStyle w:val="14"/>
              <w:pageBreakBefore w:val="0"/>
              <w:kinsoku/>
              <w:wordWrap/>
              <w:overflowPunct/>
              <w:topLinePunct w:val="0"/>
              <w:bidi w:val="0"/>
              <w:adjustRightInd w:val="0"/>
              <w:snapToGrid w:val="0"/>
              <w:spacing w:before="156" w:beforeLines="50" w:after="0" w:afterAutospacing="0" w:line="560" w:lineRule="exact"/>
              <w:ind w:left="0" w:leftChars="0"/>
              <w:jc w:val="left"/>
              <w:textAlignment w:val="auto"/>
              <w:rPr>
                <w:rFonts w:hint="eastAsia" w:asciiTheme="minorEastAsia" w:hAnsiTheme="minorEastAsia" w:eastAsiaTheme="minorEastAsia" w:cstheme="minorEastAsia"/>
                <w:color w:val="000000" w:themeColor="text1"/>
                <w:spacing w:val="20"/>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注：涉及联合体或其他合同主体的信息应按上表格式加列。</w:t>
            </w:r>
          </w:p>
        </w:tc>
      </w:tr>
    </w:tbl>
    <w:p w14:paraId="1B317E3F">
      <w:pPr>
        <w:pStyle w:val="3"/>
        <w:pageBreakBefore w:val="0"/>
        <w:kinsoku/>
        <w:wordWrap/>
        <w:overflowPunct/>
        <w:topLinePunct w:val="0"/>
        <w:bidi w:val="0"/>
        <w:adjustRightInd w:val="0"/>
        <w:snapToGrid w:val="0"/>
        <w:spacing w:before="156" w:beforeLines="50" w:afterAutospacing="0" w:line="560" w:lineRule="exact"/>
        <w:jc w:val="center"/>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br w:type="page"/>
      </w:r>
      <w:r>
        <w:rPr>
          <w:rFonts w:hint="eastAsia" w:asciiTheme="minorEastAsia" w:hAnsiTheme="minorEastAsia" w:eastAsiaTheme="minorEastAsia" w:cstheme="minorEastAsia"/>
          <w:b w:val="0"/>
          <w:bCs w:val="0"/>
          <w:color w:val="000000" w:themeColor="text1"/>
          <w:sz w:val="28"/>
          <w:szCs w:val="28"/>
          <w:highlight w:val="none"/>
          <w14:textFill>
            <w14:solidFill>
              <w14:schemeClr w14:val="tx1"/>
            </w14:solidFill>
          </w14:textFill>
        </w:rPr>
        <w:t>第二节 合同通用条款</w:t>
      </w:r>
    </w:p>
    <w:p w14:paraId="0CB1AF78">
      <w:pPr>
        <w:pageBreakBefore w:val="0"/>
        <w:tabs>
          <w:tab w:val="left" w:pos="8820"/>
          <w:tab w:val="left" w:pos="9345"/>
          <w:tab w:val="left" w:pos="9765"/>
        </w:tabs>
        <w:kinsoku/>
        <w:wordWrap/>
        <w:overflowPunct/>
        <w:topLinePunct w:val="0"/>
        <w:bidi w:val="0"/>
        <w:adjustRightInd w:val="0"/>
        <w:snapToGrid w:val="0"/>
        <w:spacing w:before="0" w:afterAutospacing="0" w:line="560" w:lineRule="exact"/>
        <w:jc w:val="left"/>
        <w:textAlignment w:val="auto"/>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1.</w:t>
      </w:r>
      <w:r>
        <w:rPr>
          <w:rFonts w:hint="eastAsia" w:asciiTheme="minorEastAsia" w:hAnsiTheme="minorEastAsia" w:eastAsiaTheme="minorEastAsia" w:cstheme="minorEastAsia"/>
          <w:b/>
          <w:color w:val="000000" w:themeColor="text1"/>
          <w:sz w:val="28"/>
          <w:szCs w:val="28"/>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定义</w:t>
      </w:r>
    </w:p>
    <w:p w14:paraId="45FD22E2">
      <w:pPr>
        <w:pageBreakBefore w:val="0"/>
        <w:kinsoku/>
        <w:wordWrap/>
        <w:overflowPunct/>
        <w:topLinePunct w:val="0"/>
        <w:autoSpaceDE w:val="0"/>
        <w:autoSpaceDN w:val="0"/>
        <w:bidi w:val="0"/>
        <w:adjustRightInd w:val="0"/>
        <w:snapToGrid w:val="0"/>
        <w:spacing w:before="0" w:afterAutospacing="0" w:line="560" w:lineRule="exact"/>
        <w:ind w:firstLine="560" w:firstLineChars="200"/>
        <w:jc w:val="lef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1.1合同当事人</w:t>
      </w:r>
    </w:p>
    <w:p w14:paraId="06B8F8E3">
      <w:pPr>
        <w:pageBreakBefore w:val="0"/>
        <w:kinsoku/>
        <w:wordWrap/>
        <w:overflowPunct/>
        <w:topLinePunct w:val="0"/>
        <w:autoSpaceDE w:val="0"/>
        <w:autoSpaceDN w:val="0"/>
        <w:bidi w:val="0"/>
        <w:adjustRightInd w:val="0"/>
        <w:snapToGrid w:val="0"/>
        <w:spacing w:before="0" w:afterAutospacing="0" w:line="560" w:lineRule="exact"/>
        <w:ind w:firstLine="560" w:firstLineChars="200"/>
        <w:jc w:val="lef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（1）采购人（以下称甲方）是指使用财政性资金向供应商购买货物</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及其相关服务的</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国家机关、事业单位、团体组织。</w:t>
      </w:r>
    </w:p>
    <w:p w14:paraId="3FCF08DE">
      <w:pPr>
        <w:pageBreakBefore w:val="0"/>
        <w:kinsoku/>
        <w:wordWrap/>
        <w:overflowPunct/>
        <w:topLinePunct w:val="0"/>
        <w:autoSpaceDE w:val="0"/>
        <w:autoSpaceDN w:val="0"/>
        <w:bidi w:val="0"/>
        <w:adjustRightInd w:val="0"/>
        <w:snapToGrid w:val="0"/>
        <w:spacing w:before="0" w:afterAutospacing="0" w:line="560" w:lineRule="exact"/>
        <w:ind w:firstLine="560" w:firstLineChars="200"/>
        <w:jc w:val="lef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（2）供应商（以下称</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乙</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方）是指参加采购活动并且中标（成交），向采购人提供</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合同约定的货物及其相关服务的法人、非法人组织或者自然人</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w:t>
      </w:r>
    </w:p>
    <w:p w14:paraId="07D09D29">
      <w:pPr>
        <w:pageBreakBefore w:val="0"/>
        <w:kinsoku/>
        <w:wordWrap/>
        <w:overflowPunct/>
        <w:topLinePunct w:val="0"/>
        <w:autoSpaceDE w:val="0"/>
        <w:autoSpaceDN w:val="0"/>
        <w:bidi w:val="0"/>
        <w:adjustRightInd w:val="0"/>
        <w:snapToGrid w:val="0"/>
        <w:spacing w:before="0" w:afterAutospacing="0" w:line="560" w:lineRule="exact"/>
        <w:ind w:firstLine="560" w:firstLineChars="200"/>
        <w:jc w:val="lef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（3）其他合同主体是指除采购人和供应商以外，</w:t>
      </w: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依法参与合同缔结或履行，享有权利、承担义务的合同当事人</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w:t>
      </w:r>
    </w:p>
    <w:p w14:paraId="6F942371">
      <w:pPr>
        <w:pageBreakBefore w:val="0"/>
        <w:tabs>
          <w:tab w:val="left" w:pos="570"/>
          <w:tab w:val="left" w:pos="9240"/>
          <w:tab w:val="left" w:pos="9555"/>
        </w:tabs>
        <w:kinsoku/>
        <w:wordWrap/>
        <w:overflowPunct/>
        <w:topLinePunct w:val="0"/>
        <w:bidi w:val="0"/>
        <w:adjustRightInd w:val="0"/>
        <w:snapToGrid w:val="0"/>
        <w:spacing w:before="0" w:afterAutospacing="0" w:line="560" w:lineRule="exact"/>
        <w:ind w:firstLine="560" w:firstLineChars="200"/>
        <w:jc w:val="lef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1.2本合同下列术语应解释为：</w:t>
      </w:r>
    </w:p>
    <w:p w14:paraId="25567C0E">
      <w:pPr>
        <w:pageBreakBefore w:val="0"/>
        <w:kinsoku/>
        <w:wordWrap/>
        <w:overflowPunct/>
        <w:topLinePunct w:val="0"/>
        <w:bidi w:val="0"/>
        <w:adjustRightInd w:val="0"/>
        <w:snapToGrid w:val="0"/>
        <w:spacing w:before="0" w:beforeLines="0" w:afterAutospacing="0" w:line="560" w:lineRule="exact"/>
        <w:ind w:firstLine="560" w:firstLineChars="200"/>
        <w:jc w:val="lef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（1）“合同”系指</w:t>
      </w: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合同当事人意思表示达成一致的任何协议，包括签署的</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合同协议书及其变更、补充</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协议，</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合同专用条款</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合同通用条款</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中标</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（成交）</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通知书</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投标（响应）文件</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采购文件</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有关技术文件</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和</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图纸</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，以及</w:t>
      </w:r>
      <w:r>
        <w:rPr>
          <w:rFonts w:hint="eastAsia" w:asciiTheme="minorEastAsia" w:hAnsiTheme="minorEastAsia" w:eastAsiaTheme="minorEastAsia" w:cstheme="minorEastAsia"/>
          <w:bCs w:val="0"/>
          <w:color w:val="000000" w:themeColor="text1"/>
          <w:kern w:val="2"/>
          <w:sz w:val="28"/>
          <w:szCs w:val="28"/>
          <w:highlight w:val="none"/>
          <w:lang w:eastAsia="zh-CN"/>
          <w14:textFill>
            <w14:solidFill>
              <w14:schemeClr w14:val="tx1"/>
            </w14:solidFill>
          </w14:textFill>
        </w:rPr>
        <w:t>国家法律、行政法规和规章制度规定或合同约定的作为合同组成部分的其他文件</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w:t>
      </w:r>
    </w:p>
    <w:p w14:paraId="23689C45">
      <w:pPr>
        <w:pageBreakBefore w:val="0"/>
        <w:tabs>
          <w:tab w:val="left" w:pos="570"/>
          <w:tab w:val="left" w:pos="9240"/>
          <w:tab w:val="left" w:pos="9555"/>
        </w:tabs>
        <w:kinsoku/>
        <w:wordWrap/>
        <w:overflowPunct/>
        <w:topLinePunct w:val="0"/>
        <w:bidi w:val="0"/>
        <w:adjustRightInd w:val="0"/>
        <w:snapToGrid w:val="0"/>
        <w:spacing w:before="0" w:afterAutospacing="0" w:line="560" w:lineRule="exact"/>
        <w:ind w:firstLine="560" w:firstLineChars="200"/>
        <w:jc w:val="lef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）“合同价</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款</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”系指根据本合同规定乙方在全面履行合同义务后甲方应支付给乙方的价款。</w:t>
      </w:r>
    </w:p>
    <w:p w14:paraId="63F1A1F9">
      <w:pPr>
        <w:pageBreakBefore w:val="0"/>
        <w:tabs>
          <w:tab w:val="left" w:pos="570"/>
          <w:tab w:val="left" w:pos="9240"/>
          <w:tab w:val="left" w:pos="9555"/>
        </w:tabs>
        <w:kinsoku/>
        <w:wordWrap/>
        <w:overflowPunct/>
        <w:topLinePunct w:val="0"/>
        <w:bidi w:val="0"/>
        <w:adjustRightInd w:val="0"/>
        <w:snapToGrid w:val="0"/>
        <w:spacing w:before="0" w:afterAutospacing="0" w:line="560" w:lineRule="exact"/>
        <w:ind w:firstLine="560" w:firstLineChars="200"/>
        <w:jc w:val="left"/>
        <w:textAlignment w:val="auto"/>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）“货物”系指乙方根据本合同规定须向甲方提供的各种形态和种类的物品，包括原材料、设备、产品（包括软件）及相关的其备品备件、工具、手册及</w:t>
      </w:r>
      <w:r>
        <w:rPr>
          <w:rFonts w:hint="eastAsia" w:asciiTheme="minorEastAsia" w:hAnsiTheme="minorEastAsia" w:eastAsiaTheme="minorEastAsia" w:cstheme="minorEastAsia"/>
          <w:color w:val="000000" w:themeColor="text1"/>
          <w:sz w:val="28"/>
          <w:szCs w:val="28"/>
          <w:highlight w:val="none"/>
          <w:lang w:val="en"/>
          <w14:textFill>
            <w14:solidFill>
              <w14:schemeClr w14:val="tx1"/>
            </w14:solidFill>
          </w14:textFill>
        </w:rPr>
        <w:t>其他</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技术资料和材料</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等</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w:t>
      </w:r>
    </w:p>
    <w:p w14:paraId="46550DC7">
      <w:pPr>
        <w:pageBreakBefore w:val="0"/>
        <w:kinsoku/>
        <w:wordWrap/>
        <w:overflowPunct/>
        <w:topLinePunct w:val="0"/>
        <w:bidi w:val="0"/>
        <w:adjustRightInd w:val="0"/>
        <w:snapToGrid w:val="0"/>
        <w:spacing w:before="0" w:afterAutospacing="0" w:line="560" w:lineRule="exact"/>
        <w:ind w:firstLine="560" w:firstLineChars="200"/>
        <w:jc w:val="left"/>
        <w:textAlignment w:val="auto"/>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相关</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服务”系指根据合同规定，乙方应提供的</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与货物有关的</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技术、管理和</w:t>
      </w:r>
      <w:r>
        <w:rPr>
          <w:rFonts w:hint="eastAsia" w:asciiTheme="minorEastAsia" w:hAnsiTheme="minorEastAsia" w:eastAsiaTheme="minorEastAsia" w:cstheme="minorEastAsia"/>
          <w:color w:val="000000" w:themeColor="text1"/>
          <w:sz w:val="28"/>
          <w:szCs w:val="28"/>
          <w:highlight w:val="none"/>
          <w:lang w:val="en"/>
          <w14:textFill>
            <w14:solidFill>
              <w14:schemeClr w14:val="tx1"/>
            </w14:solidFill>
          </w14:textFill>
        </w:rPr>
        <w:t>其他</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服务，包括但不限于：管理和质量保证、运输、保险、检验、现场准备、安装、集成、调试、培训、维修、</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废弃处置、</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技术支持等以及合同中规定乙方应承担的</w:t>
      </w:r>
      <w:r>
        <w:rPr>
          <w:rFonts w:hint="eastAsia" w:asciiTheme="minorEastAsia" w:hAnsiTheme="minorEastAsia" w:eastAsiaTheme="minorEastAsia" w:cstheme="minorEastAsia"/>
          <w:color w:val="000000" w:themeColor="text1"/>
          <w:sz w:val="28"/>
          <w:szCs w:val="28"/>
          <w:highlight w:val="none"/>
          <w:lang w:val="en"/>
          <w14:textFill>
            <w14:solidFill>
              <w14:schemeClr w14:val="tx1"/>
            </w14:solidFill>
          </w14:textFill>
        </w:rPr>
        <w:t>其他</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义务。</w:t>
      </w:r>
    </w:p>
    <w:p w14:paraId="2ADD174B">
      <w:pPr>
        <w:pageBreakBefore w:val="0"/>
        <w:kinsoku/>
        <w:wordWrap/>
        <w:overflowPunct/>
        <w:topLinePunct w:val="0"/>
        <w:bidi w:val="0"/>
        <w:adjustRightInd w:val="0"/>
        <w:snapToGrid w:val="0"/>
        <w:spacing w:before="0" w:afterAutospacing="0" w:line="560" w:lineRule="exact"/>
        <w:ind w:firstLine="560" w:firstLineChars="200"/>
        <w:jc w:val="left"/>
        <w:textAlignment w:val="auto"/>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）“分包”系指中标</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成交</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供应商按采购文件、投标（响应）文件的规定，根据分包意向协议，将中标</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成交</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项目中的部分履约内容，分给具有相应资质条件的供应商履行合同的行为。</w:t>
      </w:r>
    </w:p>
    <w:p w14:paraId="32C4B20B">
      <w:pPr>
        <w:pageBreakBefore w:val="0"/>
        <w:tabs>
          <w:tab w:val="left" w:pos="570"/>
          <w:tab w:val="left" w:pos="9240"/>
          <w:tab w:val="left" w:pos="9555"/>
        </w:tabs>
        <w:kinsoku/>
        <w:wordWrap/>
        <w:overflowPunct/>
        <w:topLinePunct w:val="0"/>
        <w:bidi w:val="0"/>
        <w:adjustRightInd w:val="0"/>
        <w:snapToGrid w:val="0"/>
        <w:spacing w:before="0" w:afterAutospacing="0" w:line="560" w:lineRule="exact"/>
        <w:ind w:firstLine="560" w:firstLineChars="200"/>
        <w:jc w:val="lef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）“联合体”系指</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由</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两个以上的自然人、法人或者</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非法人</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组织组成，</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以一个供应商的身份共同参加政府采购的主体。</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联合体各方应在签订合同协议书前向甲方提交联合协议，且明确牵头人及各成员单位的工作分工、权利、义务、责任，联合体各方应共同与甲方签订合同，就合同约定的事项对</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甲方</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承担连带责任。联合体具体要求见【</w:t>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合同专用条款</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w:t>
      </w:r>
    </w:p>
    <w:p w14:paraId="690F79BB">
      <w:pPr>
        <w:pageBreakBefore w:val="0"/>
        <w:tabs>
          <w:tab w:val="left" w:pos="570"/>
          <w:tab w:val="left" w:pos="9240"/>
          <w:tab w:val="left" w:pos="9555"/>
        </w:tabs>
        <w:kinsoku/>
        <w:wordWrap/>
        <w:overflowPunct/>
        <w:topLinePunct w:val="0"/>
        <w:bidi w:val="0"/>
        <w:adjustRightInd w:val="0"/>
        <w:snapToGrid w:val="0"/>
        <w:spacing w:before="0" w:afterAutospacing="0" w:line="560" w:lineRule="exact"/>
        <w:ind w:firstLine="560" w:firstLineChars="200"/>
        <w:jc w:val="lef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）其他术语解释，见【</w:t>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合同专用条款</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w:t>
      </w:r>
    </w:p>
    <w:p w14:paraId="4242C9CB">
      <w:pPr>
        <w:pageBreakBefore w:val="0"/>
        <w:numPr>
          <w:ilvl w:val="0"/>
          <w:numId w:val="7"/>
        </w:numPr>
        <w:kinsoku/>
        <w:wordWrap/>
        <w:overflowPunct/>
        <w:topLinePunct w:val="0"/>
        <w:autoSpaceDE w:val="0"/>
        <w:autoSpaceDN w:val="0"/>
        <w:bidi w:val="0"/>
        <w:adjustRightInd w:val="0"/>
        <w:snapToGrid w:val="0"/>
        <w:spacing w:before="0" w:afterAutospacing="0" w:line="560" w:lineRule="exact"/>
        <w:jc w:val="left"/>
        <w:textAlignment w:val="auto"/>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合同标的及金额</w:t>
      </w:r>
    </w:p>
    <w:p w14:paraId="02777FCB">
      <w:pPr>
        <w:pageBreakBefore w:val="0"/>
        <w:kinsoku/>
        <w:wordWrap/>
        <w:overflowPunct/>
        <w:topLinePunct w:val="0"/>
        <w:autoSpaceDE w:val="0"/>
        <w:autoSpaceDN w:val="0"/>
        <w:bidi w:val="0"/>
        <w:adjustRightInd w:val="0"/>
        <w:snapToGrid w:val="0"/>
        <w:spacing w:before="0" w:afterAutospacing="0" w:line="560" w:lineRule="exact"/>
        <w:ind w:firstLine="560" w:firstLineChars="200"/>
        <w:jc w:val="left"/>
        <w:textAlignment w:val="auto"/>
        <w:rPr>
          <w:rFonts w:hint="eastAsia" w:asciiTheme="minorEastAsia" w:hAnsiTheme="minorEastAsia" w:eastAsiaTheme="minorEastAsia" w:cstheme="minorEastAsia"/>
          <w:b/>
          <w:bCs/>
          <w:i/>
          <w:i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2</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.1 合同标的及金额应与中标（成交）结果一致。乙方为履行本合同而发生的所有费用均应包含在合同</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价款</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中，甲方不再另行支付</w:t>
      </w:r>
      <w:r>
        <w:rPr>
          <w:rFonts w:hint="eastAsia" w:asciiTheme="minorEastAsia" w:hAnsiTheme="minorEastAsia" w:eastAsiaTheme="minorEastAsia" w:cstheme="minorEastAsia"/>
          <w:color w:val="000000" w:themeColor="text1"/>
          <w:sz w:val="28"/>
          <w:szCs w:val="28"/>
          <w:highlight w:val="none"/>
          <w:lang w:val="en"/>
          <w14:textFill>
            <w14:solidFill>
              <w14:schemeClr w14:val="tx1"/>
            </w14:solidFill>
          </w14:textFill>
        </w:rPr>
        <w:t>其他</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任何费用。</w:t>
      </w:r>
    </w:p>
    <w:p w14:paraId="361E560A">
      <w:pPr>
        <w:pageBreakBefore w:val="0"/>
        <w:kinsoku/>
        <w:wordWrap/>
        <w:overflowPunct/>
        <w:topLinePunct w:val="0"/>
        <w:bidi w:val="0"/>
        <w:adjustRightInd w:val="0"/>
        <w:snapToGrid w:val="0"/>
        <w:spacing w:before="0" w:afterAutospacing="0" w:line="560" w:lineRule="exact"/>
        <w:jc w:val="left"/>
        <w:textAlignment w:val="auto"/>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lang w:eastAsia="zh-CN"/>
          <w14:textFill>
            <w14:solidFill>
              <w14:schemeClr w14:val="tx1"/>
            </w14:solidFill>
          </w14:textFill>
        </w:rPr>
        <w:t>3</w:t>
      </w:r>
      <w:r>
        <w:rPr>
          <w:rFonts w:hint="eastAsia" w:asciiTheme="minorEastAsia" w:hAnsiTheme="minorEastAsia" w:eastAsiaTheme="minorEastAsia" w:cstheme="minorEastAsia"/>
          <w:b/>
          <w:color w:val="000000" w:themeColor="text1"/>
          <w:sz w:val="28"/>
          <w:szCs w:val="28"/>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履行合同的时间、地点和方式</w:t>
      </w:r>
    </w:p>
    <w:p w14:paraId="17377D79">
      <w:pPr>
        <w:pageBreakBefore w:val="0"/>
        <w:kinsoku/>
        <w:wordWrap/>
        <w:overflowPunct/>
        <w:topLinePunct w:val="0"/>
        <w:autoSpaceDE w:val="0"/>
        <w:autoSpaceDN w:val="0"/>
        <w:bidi w:val="0"/>
        <w:adjustRightInd w:val="0"/>
        <w:snapToGrid w:val="0"/>
        <w:spacing w:before="0" w:afterAutospacing="0" w:line="560" w:lineRule="exact"/>
        <w:ind w:firstLine="560" w:firstLineChars="200"/>
        <w:jc w:val="lef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3</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.1 乙方应当在约定的时间、地点</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，按照约定</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方式履行合同。</w:t>
      </w:r>
    </w:p>
    <w:p w14:paraId="53805FEA">
      <w:pPr>
        <w:pageBreakBefore w:val="0"/>
        <w:kinsoku/>
        <w:wordWrap/>
        <w:overflowPunct/>
        <w:topLinePunct w:val="0"/>
        <w:autoSpaceDE w:val="0"/>
        <w:autoSpaceDN w:val="0"/>
        <w:bidi w:val="0"/>
        <w:adjustRightInd w:val="0"/>
        <w:snapToGrid w:val="0"/>
        <w:spacing w:before="0" w:afterAutospacing="0" w:line="560" w:lineRule="exact"/>
        <w:jc w:val="left"/>
        <w:textAlignment w:val="auto"/>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eastAsia="zh-CN"/>
          <w14:textFill>
            <w14:solidFill>
              <w14:schemeClr w14:val="tx1"/>
            </w14:solidFill>
          </w14:textFill>
        </w:rPr>
        <w:t>4</w:t>
      </w: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甲方的权利和义务</w:t>
      </w:r>
    </w:p>
    <w:p w14:paraId="418B4033">
      <w:pPr>
        <w:pageBreakBefore w:val="0"/>
        <w:kinsoku/>
        <w:wordWrap/>
        <w:overflowPunct/>
        <w:topLinePunct w:val="0"/>
        <w:autoSpaceDE w:val="0"/>
        <w:autoSpaceDN w:val="0"/>
        <w:bidi w:val="0"/>
        <w:adjustRightInd w:val="0"/>
        <w:snapToGrid w:val="0"/>
        <w:spacing w:before="0" w:afterAutospacing="0" w:line="560" w:lineRule="exact"/>
        <w:ind w:firstLine="560" w:firstLineChars="200"/>
        <w:jc w:val="lef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4</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.1 签署合同后，甲方</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应</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确定</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项目负责人（或项目联系人）</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，负责与本合同有关的事务。甲方有权对乙方的履约行为进行检查，并及时确认乙方提交的事项。甲方应当配合乙方完成相关项目实施工作。</w:t>
      </w:r>
    </w:p>
    <w:p w14:paraId="6F987271">
      <w:pPr>
        <w:pageBreakBefore w:val="0"/>
        <w:kinsoku/>
        <w:wordWrap/>
        <w:overflowPunct/>
        <w:topLinePunct w:val="0"/>
        <w:autoSpaceDE w:val="0"/>
        <w:autoSpaceDN w:val="0"/>
        <w:bidi w:val="0"/>
        <w:adjustRightInd w:val="0"/>
        <w:snapToGrid w:val="0"/>
        <w:spacing w:before="0" w:afterAutospacing="0" w:line="560" w:lineRule="exact"/>
        <w:ind w:firstLine="560" w:firstLineChars="200"/>
        <w:jc w:val="lef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4</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.2 甲方有权要求乙方按时提交各阶段有关安排计划，并有权定期核对乙方提供货物数量、规格、质量等内容。甲方有权督促乙方工作并要求乙方更换不符合要求的货物。</w:t>
      </w:r>
    </w:p>
    <w:p w14:paraId="0761D9CF">
      <w:pPr>
        <w:pageBreakBefore w:val="0"/>
        <w:kinsoku/>
        <w:wordWrap/>
        <w:overflowPunct/>
        <w:topLinePunct w:val="0"/>
        <w:autoSpaceDE w:val="0"/>
        <w:autoSpaceDN w:val="0"/>
        <w:bidi w:val="0"/>
        <w:adjustRightInd w:val="0"/>
        <w:snapToGrid w:val="0"/>
        <w:spacing w:before="0" w:afterAutospacing="0" w:line="560" w:lineRule="exact"/>
        <w:ind w:firstLine="560" w:firstLineChars="200"/>
        <w:jc w:val="lef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4</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.3 甲方有权要求乙方对缺陷部分予以修复，并按合同约定享有货物保修及其他合同约定的权利。</w:t>
      </w:r>
    </w:p>
    <w:p w14:paraId="1965528F">
      <w:pPr>
        <w:pageBreakBefore w:val="0"/>
        <w:kinsoku/>
        <w:wordWrap/>
        <w:overflowPunct/>
        <w:topLinePunct w:val="0"/>
        <w:bidi w:val="0"/>
        <w:snapToGrid w:val="0"/>
        <w:spacing w:afterAutospacing="0" w:line="560" w:lineRule="exact"/>
        <w:ind w:firstLine="560" w:firstLineChars="200"/>
        <w:textAlignment w:val="auto"/>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4.4 甲方应当按照合同约定及时对交付的货物进行验收，</w:t>
      </w:r>
      <w:r>
        <w:rPr>
          <w:rFonts w:hint="eastAsia" w:asciiTheme="minorEastAsia" w:hAnsiTheme="minorEastAsia" w:eastAsiaTheme="minorEastAsia" w:cstheme="minorEastAsia"/>
          <w:b w:val="0"/>
          <w:bCs w:val="0"/>
          <w:color w:val="000000" w:themeColor="text1"/>
          <w:sz w:val="28"/>
          <w:szCs w:val="28"/>
          <w:highlight w:val="none"/>
          <w:lang w:eastAsia="zh-CN"/>
          <w14:textFill>
            <w14:solidFill>
              <w14:schemeClr w14:val="tx1"/>
            </w14:solidFill>
          </w14:textFill>
        </w:rPr>
        <w:t>未</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在</w:t>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【合同专用条款】</w:t>
      </w:r>
      <w:r>
        <w:rPr>
          <w:rFonts w:hint="eastAsia" w:asciiTheme="minorEastAsia" w:hAnsiTheme="minorEastAsia" w:eastAsiaTheme="minorEastAsia" w:cstheme="minorEastAsia"/>
          <w:b w:val="0"/>
          <w:bCs w:val="0"/>
          <w:color w:val="000000" w:themeColor="text1"/>
          <w:sz w:val="28"/>
          <w:szCs w:val="28"/>
          <w:highlight w:val="none"/>
          <w:lang w:eastAsia="zh-CN"/>
          <w14:textFill>
            <w14:solidFill>
              <w14:schemeClr w14:val="tx1"/>
            </w14:solidFill>
          </w14:textFill>
        </w:rPr>
        <w:t>约定的期限内对乙方履约提出任何异议或者向乙方作出任何说明的，</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视为验收通过。</w:t>
      </w:r>
    </w:p>
    <w:p w14:paraId="7BF745AD">
      <w:pPr>
        <w:pageBreakBefore w:val="0"/>
        <w:kinsoku/>
        <w:wordWrap/>
        <w:overflowPunct/>
        <w:topLinePunct w:val="0"/>
        <w:autoSpaceDE w:val="0"/>
        <w:autoSpaceDN w:val="0"/>
        <w:bidi w:val="0"/>
        <w:adjustRightInd w:val="0"/>
        <w:snapToGrid w:val="0"/>
        <w:spacing w:afterAutospacing="0" w:line="560" w:lineRule="exact"/>
        <w:ind w:firstLine="560" w:firstLineChars="200"/>
        <w:jc w:val="lef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4</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 xml:space="preserve"> 甲方应当根据合同约定</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及</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时向乙方支付</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合同价款，不得以内部人员变更、履行内部付款流程等为由，拒绝或迟延支付。</w:t>
      </w:r>
    </w:p>
    <w:p w14:paraId="702E90E3">
      <w:pPr>
        <w:pageBreakBefore w:val="0"/>
        <w:kinsoku/>
        <w:wordWrap/>
        <w:overflowPunct/>
        <w:topLinePunct w:val="0"/>
        <w:autoSpaceDE w:val="0"/>
        <w:autoSpaceDN w:val="0"/>
        <w:bidi w:val="0"/>
        <w:adjustRightInd w:val="0"/>
        <w:snapToGrid w:val="0"/>
        <w:spacing w:before="0" w:afterAutospacing="0" w:line="560" w:lineRule="exact"/>
        <w:ind w:firstLine="560" w:firstLineChars="200"/>
        <w:jc w:val="lef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4</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 xml:space="preserve"> 国家法律法规规定</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及</w:t>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【合同专用条款】</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约定应</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由甲方承担的其他义务和责任。</w:t>
      </w:r>
    </w:p>
    <w:p w14:paraId="5969EE99">
      <w:pPr>
        <w:pageBreakBefore w:val="0"/>
        <w:kinsoku/>
        <w:wordWrap/>
        <w:overflowPunct/>
        <w:topLinePunct w:val="0"/>
        <w:autoSpaceDE w:val="0"/>
        <w:autoSpaceDN w:val="0"/>
        <w:bidi w:val="0"/>
        <w:adjustRightInd w:val="0"/>
        <w:snapToGrid w:val="0"/>
        <w:spacing w:before="0" w:afterAutospacing="0" w:line="560" w:lineRule="exact"/>
        <w:jc w:val="left"/>
        <w:textAlignment w:val="auto"/>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eastAsia="zh-CN"/>
          <w14:textFill>
            <w14:solidFill>
              <w14:schemeClr w14:val="tx1"/>
            </w14:solidFill>
          </w14:textFill>
        </w:rPr>
        <w:t>5</w:t>
      </w: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乙方的权利和义务</w:t>
      </w:r>
    </w:p>
    <w:p w14:paraId="1A6E5150">
      <w:pPr>
        <w:pageBreakBefore w:val="0"/>
        <w:kinsoku/>
        <w:wordWrap/>
        <w:overflowPunct/>
        <w:topLinePunct w:val="0"/>
        <w:autoSpaceDE w:val="0"/>
        <w:autoSpaceDN w:val="0"/>
        <w:bidi w:val="0"/>
        <w:adjustRightInd w:val="0"/>
        <w:snapToGrid w:val="0"/>
        <w:spacing w:before="0" w:afterAutospacing="0" w:line="560" w:lineRule="exact"/>
        <w:ind w:firstLine="560" w:firstLineChars="200"/>
        <w:jc w:val="lef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5</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.1 签署合同后，乙方</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应</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确定</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项目负责人（或项目联系人）</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，负责与本合同有关的事务。</w:t>
      </w:r>
    </w:p>
    <w:p w14:paraId="74B857C1">
      <w:pPr>
        <w:pageBreakBefore w:val="0"/>
        <w:kinsoku/>
        <w:wordWrap/>
        <w:overflowPunct/>
        <w:topLinePunct w:val="0"/>
        <w:autoSpaceDE w:val="0"/>
        <w:autoSpaceDN w:val="0"/>
        <w:bidi w:val="0"/>
        <w:adjustRightInd w:val="0"/>
        <w:snapToGrid w:val="0"/>
        <w:spacing w:before="0" w:afterAutospacing="0" w:line="560" w:lineRule="exact"/>
        <w:ind w:firstLine="560" w:firstLineChars="200"/>
        <w:jc w:val="lef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5</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.2 乙方应按照合同要求履约，充分合理安排，确保提供的货物</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及相关</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服务符合合同</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有关</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要求。接受项目行业管理部门及政府有关部门的指导，配合甲方的履约检查</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及验收</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，并负责项目实施过程中的所有协调工作。</w:t>
      </w:r>
    </w:p>
    <w:p w14:paraId="28547868">
      <w:pPr>
        <w:pStyle w:val="13"/>
        <w:pageBreakBefore w:val="0"/>
        <w:kinsoku/>
        <w:wordWrap/>
        <w:overflowPunct/>
        <w:topLinePunct w:val="0"/>
        <w:bidi w:val="0"/>
        <w:spacing w:after="0" w:afterAutospacing="0" w:line="560" w:lineRule="exact"/>
        <w:ind w:firstLine="492" w:firstLineChars="176"/>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5</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.3乙方有权根据合同约定向甲方收取</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合同价款</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w:t>
      </w:r>
    </w:p>
    <w:p w14:paraId="2E0A832E">
      <w:pPr>
        <w:pStyle w:val="13"/>
        <w:pageBreakBefore w:val="0"/>
        <w:kinsoku/>
        <w:wordWrap/>
        <w:overflowPunct/>
        <w:topLinePunct w:val="0"/>
        <w:bidi w:val="0"/>
        <w:spacing w:after="0" w:afterAutospacing="0" w:line="560" w:lineRule="exact"/>
        <w:ind w:firstLine="492" w:firstLineChars="176"/>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5</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.4国家法律法规规定</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及</w:t>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【合同专用条款】</w:t>
      </w:r>
      <w:r>
        <w:rPr>
          <w:rFonts w:hint="eastAsia" w:asciiTheme="minorEastAsia" w:hAnsiTheme="minorEastAsia" w:eastAsiaTheme="minorEastAsia" w:cstheme="minorEastAsia"/>
          <w:b w:val="0"/>
          <w:bCs w:val="0"/>
          <w:color w:val="000000" w:themeColor="text1"/>
          <w:sz w:val="28"/>
          <w:szCs w:val="28"/>
          <w:highlight w:val="none"/>
          <w:lang w:eastAsia="zh-CN"/>
          <w14:textFill>
            <w14:solidFill>
              <w14:schemeClr w14:val="tx1"/>
            </w14:solidFill>
          </w14:textFill>
        </w:rPr>
        <w:t>约定应</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由乙方承担的其他义务和责任。</w:t>
      </w:r>
    </w:p>
    <w:p w14:paraId="012B7274">
      <w:pPr>
        <w:pageBreakBefore w:val="0"/>
        <w:numPr>
          <w:ilvl w:val="0"/>
          <w:numId w:val="8"/>
        </w:numPr>
        <w:kinsoku/>
        <w:wordWrap/>
        <w:overflowPunct/>
        <w:topLinePunct w:val="0"/>
        <w:autoSpaceDE w:val="0"/>
        <w:autoSpaceDN w:val="0"/>
        <w:bidi w:val="0"/>
        <w:adjustRightInd w:val="0"/>
        <w:snapToGrid w:val="0"/>
        <w:spacing w:before="0" w:afterAutospacing="0" w:line="560" w:lineRule="exact"/>
        <w:jc w:val="left"/>
        <w:textAlignment w:val="auto"/>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合同履</w:t>
      </w: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行</w:t>
      </w:r>
    </w:p>
    <w:p w14:paraId="4B12B90A">
      <w:pPr>
        <w:pageBreakBefore w:val="0"/>
        <w:kinsoku/>
        <w:wordWrap/>
        <w:overflowPunct/>
        <w:topLinePunct w:val="0"/>
        <w:autoSpaceDE w:val="0"/>
        <w:autoSpaceDN w:val="0"/>
        <w:bidi w:val="0"/>
        <w:adjustRightInd w:val="0"/>
        <w:snapToGrid w:val="0"/>
        <w:spacing w:before="0" w:afterAutospacing="0" w:line="560" w:lineRule="exact"/>
        <w:ind w:firstLine="560" w:firstLineChars="200"/>
        <w:jc w:val="lef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6</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.1 甲乙双方应当按照</w:t>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【合同专用条款】</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约定顺序履行合同义务；如果没有先后顺序的，应当同时履行。</w:t>
      </w:r>
    </w:p>
    <w:p w14:paraId="72A62C4C">
      <w:pPr>
        <w:pageBreakBefore w:val="0"/>
        <w:kinsoku/>
        <w:wordWrap/>
        <w:overflowPunct/>
        <w:topLinePunct w:val="0"/>
        <w:autoSpaceDE w:val="0"/>
        <w:autoSpaceDN w:val="0"/>
        <w:bidi w:val="0"/>
        <w:adjustRightInd w:val="0"/>
        <w:snapToGrid w:val="0"/>
        <w:spacing w:before="0" w:afterAutospacing="0" w:line="560" w:lineRule="exact"/>
        <w:ind w:firstLine="560" w:firstLineChars="200"/>
        <w:jc w:val="lef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6</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.2 甲乙双方按照合同约定顺序履行合同义务时，应当先履行一方未履行的，后履行一方有权拒绝其履行请求。先履行一方履行不符合约定的，后履行一方有权拒绝其相应的履行请求。</w:t>
      </w:r>
    </w:p>
    <w:p w14:paraId="05014BB4">
      <w:pPr>
        <w:pageBreakBefore w:val="0"/>
        <w:kinsoku/>
        <w:wordWrap/>
        <w:overflowPunct/>
        <w:topLinePunct w:val="0"/>
        <w:bidi w:val="0"/>
        <w:adjustRightInd w:val="0"/>
        <w:snapToGrid w:val="0"/>
        <w:spacing w:before="0" w:afterAutospacing="0" w:line="560" w:lineRule="exact"/>
        <w:jc w:val="left"/>
        <w:textAlignment w:val="auto"/>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eastAsia="zh-CN"/>
          <w14:textFill>
            <w14:solidFill>
              <w14:schemeClr w14:val="tx1"/>
            </w14:solidFill>
          </w14:textFill>
        </w:rPr>
        <w:t>7</w:t>
      </w: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货物包装、运输</w:t>
      </w:r>
      <w:r>
        <w:rPr>
          <w:rFonts w:hint="eastAsia" w:asciiTheme="minorEastAsia" w:hAnsiTheme="minorEastAsia" w:eastAsiaTheme="minorEastAsia" w:cstheme="minorEastAsia"/>
          <w:b/>
          <w:bCs/>
          <w:color w:val="000000" w:themeColor="text1"/>
          <w:sz w:val="28"/>
          <w:szCs w:val="28"/>
          <w:highlight w:val="none"/>
          <w:lang w:eastAsia="zh-CN"/>
          <w14:textFill>
            <w14:solidFill>
              <w14:schemeClr w14:val="tx1"/>
            </w14:solidFill>
          </w14:textFill>
        </w:rPr>
        <w:t>、</w:t>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保险</w:t>
      </w:r>
      <w:r>
        <w:rPr>
          <w:rFonts w:hint="eastAsia" w:asciiTheme="minorEastAsia" w:hAnsiTheme="minorEastAsia" w:eastAsiaTheme="minorEastAsia" w:cstheme="minorEastAsia"/>
          <w:b/>
          <w:bCs/>
          <w:color w:val="000000" w:themeColor="text1"/>
          <w:sz w:val="28"/>
          <w:szCs w:val="28"/>
          <w:highlight w:val="none"/>
          <w:lang w:eastAsia="zh-CN"/>
          <w14:textFill>
            <w14:solidFill>
              <w14:schemeClr w14:val="tx1"/>
            </w14:solidFill>
          </w14:textFill>
        </w:rPr>
        <w:t>和交付</w:t>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要求</w:t>
      </w:r>
    </w:p>
    <w:p w14:paraId="306AE140">
      <w:pPr>
        <w:pageBreakBefore w:val="0"/>
        <w:kinsoku/>
        <w:wordWrap/>
        <w:overflowPunct/>
        <w:topLinePunct w:val="0"/>
        <w:autoSpaceDE w:val="0"/>
        <w:autoSpaceDN w:val="0"/>
        <w:bidi w:val="0"/>
        <w:adjustRightInd w:val="0"/>
        <w:snapToGrid w:val="0"/>
        <w:spacing w:before="0" w:afterAutospacing="0" w:line="560" w:lineRule="exact"/>
        <w:ind w:firstLine="560" w:firstLineChars="200"/>
        <w:jc w:val="lef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7</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.1 本合同</w:t>
      </w: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涉及商品包装</w:t>
      </w:r>
      <w:r>
        <w:rPr>
          <w:rFonts w:hint="eastAsia" w:asciiTheme="minorEastAsia" w:hAnsiTheme="minorEastAsia" w:eastAsiaTheme="minorEastAsia" w:cstheme="minorEastAsia"/>
          <w:bCs/>
          <w:color w:val="000000" w:themeColor="text1"/>
          <w:sz w:val="28"/>
          <w:szCs w:val="28"/>
          <w:highlight w:val="none"/>
          <w:lang w:eastAsia="zh-CN"/>
          <w14:textFill>
            <w14:solidFill>
              <w14:schemeClr w14:val="tx1"/>
            </w14:solidFill>
          </w14:textFill>
        </w:rPr>
        <w:t>、</w:t>
      </w: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快递包装的，</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除</w:t>
      </w: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【合同专用条款】</w:t>
      </w: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另有</w:t>
      </w:r>
      <w:r>
        <w:rPr>
          <w:rFonts w:hint="eastAsia" w:asciiTheme="minorEastAsia" w:hAnsiTheme="minorEastAsia" w:eastAsiaTheme="minorEastAsia" w:cstheme="minorEastAsia"/>
          <w:bCs/>
          <w:color w:val="000000" w:themeColor="text1"/>
          <w:sz w:val="28"/>
          <w:szCs w:val="28"/>
          <w:highlight w:val="none"/>
          <w:lang w:eastAsia="zh-CN"/>
          <w14:textFill>
            <w14:solidFill>
              <w14:schemeClr w14:val="tx1"/>
            </w14:solidFill>
          </w14:textFill>
        </w:rPr>
        <w:t>约</w:t>
      </w: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定</w:t>
      </w:r>
      <w:r>
        <w:rPr>
          <w:rFonts w:hint="eastAsia" w:asciiTheme="minorEastAsia" w:hAnsiTheme="minorEastAsia" w:eastAsiaTheme="minorEastAsia" w:cstheme="minorEastAsia"/>
          <w:bCs/>
          <w:color w:val="000000" w:themeColor="text1"/>
          <w:sz w:val="28"/>
          <w:szCs w:val="28"/>
          <w:highlight w:val="none"/>
          <w:lang w:eastAsia="zh-CN"/>
          <w14:textFill>
            <w14:solidFill>
              <w14:schemeClr w14:val="tx1"/>
            </w14:solidFill>
          </w14:textFill>
        </w:rPr>
        <w:t>外</w:t>
      </w: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包装应适应远距离运输、防潮、防震、防锈和防野蛮装卸等要求，确保货物安全无损地运抵</w:t>
      </w: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【合同专用条款】</w:t>
      </w:r>
      <w:r>
        <w:rPr>
          <w:rFonts w:hint="eastAsia" w:asciiTheme="minorEastAsia" w:hAnsiTheme="minorEastAsia" w:eastAsiaTheme="minorEastAsia" w:cstheme="minorEastAsia"/>
          <w:b w:val="0"/>
          <w:bCs/>
          <w:color w:val="000000" w:themeColor="text1"/>
          <w:sz w:val="28"/>
          <w:szCs w:val="28"/>
          <w:highlight w:val="none"/>
          <w:lang w:eastAsia="zh-CN"/>
          <w14:textFill>
            <w14:solidFill>
              <w14:schemeClr w14:val="tx1"/>
            </w14:solidFill>
          </w14:textFill>
        </w:rPr>
        <w:t>约定的</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指定现场。</w:t>
      </w:r>
    </w:p>
    <w:p w14:paraId="36E8D581">
      <w:pPr>
        <w:pageBreakBefore w:val="0"/>
        <w:kinsoku/>
        <w:wordWrap/>
        <w:overflowPunct/>
        <w:topLinePunct w:val="0"/>
        <w:bidi w:val="0"/>
        <w:adjustRightInd w:val="0"/>
        <w:snapToGrid w:val="0"/>
        <w:spacing w:before="0" w:afterAutospacing="0" w:line="560" w:lineRule="exact"/>
        <w:ind w:firstLine="560" w:firstLineChars="200"/>
        <w:jc w:val="lef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7</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.2 除</w:t>
      </w: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【合同专用条款】</w:t>
      </w: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另有</w:t>
      </w:r>
      <w:r>
        <w:rPr>
          <w:rFonts w:hint="eastAsia" w:asciiTheme="minorEastAsia" w:hAnsiTheme="minorEastAsia" w:eastAsiaTheme="minorEastAsia" w:cstheme="minorEastAsia"/>
          <w:bCs/>
          <w:color w:val="000000" w:themeColor="text1"/>
          <w:sz w:val="28"/>
          <w:szCs w:val="28"/>
          <w:highlight w:val="none"/>
          <w:lang w:eastAsia="zh-CN"/>
          <w14:textFill>
            <w14:solidFill>
              <w14:schemeClr w14:val="tx1"/>
            </w14:solidFill>
          </w14:textFill>
        </w:rPr>
        <w:t>约</w:t>
      </w: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定</w:t>
      </w:r>
      <w:r>
        <w:rPr>
          <w:rFonts w:hint="eastAsia" w:asciiTheme="minorEastAsia" w:hAnsiTheme="minorEastAsia" w:eastAsiaTheme="minorEastAsia" w:cstheme="minorEastAsia"/>
          <w:bCs/>
          <w:color w:val="000000" w:themeColor="text1"/>
          <w:sz w:val="28"/>
          <w:szCs w:val="28"/>
          <w:highlight w:val="none"/>
          <w:lang w:eastAsia="zh-CN"/>
          <w14:textFill>
            <w14:solidFill>
              <w14:schemeClr w14:val="tx1"/>
            </w14:solidFill>
          </w14:textFill>
        </w:rPr>
        <w:t>外</w:t>
      </w: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乙方负责办理将货物运抵本合同规定的交货地点</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，并装卸、交付至甲方</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的一切运输事项，相关费用应</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包含</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在合同</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价款</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中。</w:t>
      </w:r>
    </w:p>
    <w:p w14:paraId="6B3C58DC">
      <w:pPr>
        <w:pageBreakBefore w:val="0"/>
        <w:kinsoku/>
        <w:wordWrap/>
        <w:overflowPunct/>
        <w:topLinePunct w:val="0"/>
        <w:bidi w:val="0"/>
        <w:adjustRightInd w:val="0"/>
        <w:snapToGrid w:val="0"/>
        <w:spacing w:before="0" w:afterAutospacing="0" w:line="560" w:lineRule="exact"/>
        <w:ind w:firstLine="560" w:firstLineChars="200"/>
        <w:jc w:val="lef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7</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.3 货物保险要求按</w:t>
      </w: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【合同专用条款】</w:t>
      </w: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规定执行</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w:t>
      </w:r>
    </w:p>
    <w:p w14:paraId="3203E3FE">
      <w:pPr>
        <w:pageBreakBefore w:val="0"/>
        <w:kinsoku/>
        <w:wordWrap/>
        <w:overflowPunct/>
        <w:topLinePunct w:val="0"/>
        <w:autoSpaceDE w:val="0"/>
        <w:autoSpaceDN w:val="0"/>
        <w:bidi w:val="0"/>
        <w:adjustRightInd w:val="0"/>
        <w:snapToGrid w:val="0"/>
        <w:spacing w:before="0" w:afterAutospacing="0" w:line="560" w:lineRule="exact"/>
        <w:ind w:firstLine="560" w:firstLineChars="200"/>
        <w:jc w:val="lef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7</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 xml:space="preserve">.4 </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除采购活动</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对商品包装</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快递包装</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达成具体约定外</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，乙方提供产品及相关快递服务</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涉及到</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具体包装要求</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的，</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应</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不低于</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《商品包装政府采购需求标准（试行）</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快递包装政府采购需求标准（试行）》</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标准</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，并作为履约验收的内容，必要时甲方可以要求乙方在履约验收环节出具检测报告。</w:t>
      </w:r>
    </w:p>
    <w:p w14:paraId="682C8141">
      <w:pPr>
        <w:pageBreakBefore w:val="0"/>
        <w:kinsoku/>
        <w:wordWrap/>
        <w:overflowPunct/>
        <w:topLinePunct w:val="0"/>
        <w:autoSpaceDE w:val="0"/>
        <w:autoSpaceDN w:val="0"/>
        <w:bidi w:val="0"/>
        <w:adjustRightInd w:val="0"/>
        <w:snapToGrid w:val="0"/>
        <w:spacing w:before="0" w:afterAutospacing="0" w:line="560" w:lineRule="exact"/>
        <w:ind w:firstLine="560" w:firstLineChars="200"/>
        <w:jc w:val="lef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 xml:space="preserve">7.5 </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乙方在运输到达之前</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应</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提前通知</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甲方</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，并提示货物运输装卸的注意事项</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，甲方配合乙方做好货物的接收工作。</w:t>
      </w:r>
    </w:p>
    <w:p w14:paraId="2ABF389B">
      <w:pPr>
        <w:pStyle w:val="171"/>
        <w:pageBreakBefore w:val="0"/>
        <w:kinsoku/>
        <w:wordWrap/>
        <w:overflowPunct/>
        <w:topLinePunct w:val="0"/>
        <w:bidi w:val="0"/>
        <w:spacing w:afterAutospacing="0" w:line="560" w:lineRule="exact"/>
        <w:textAlignment w:val="auto"/>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8"/>
          <w:szCs w:val="28"/>
          <w:highlight w:val="none"/>
          <w:lang w:val="en-US" w:eastAsia="zh-CN"/>
          <w14:textFill>
            <w14:solidFill>
              <w14:schemeClr w14:val="tx1"/>
            </w14:solidFill>
          </w14:textFill>
        </w:rPr>
        <w:t xml:space="preserve">7.6 </w:t>
      </w:r>
      <w:r>
        <w:rPr>
          <w:rFonts w:hint="eastAsia" w:asciiTheme="minorEastAsia" w:hAnsiTheme="minorEastAsia" w:eastAsiaTheme="minorEastAsia" w:cstheme="minorEastAsia"/>
          <w:color w:val="000000" w:themeColor="text1"/>
          <w:kern w:val="2"/>
          <w:sz w:val="28"/>
          <w:szCs w:val="28"/>
          <w:highlight w:val="none"/>
          <w14:textFill>
            <w14:solidFill>
              <w14:schemeClr w14:val="tx1"/>
            </w14:solidFill>
          </w14:textFill>
        </w:rPr>
        <w:t>如因包装</w:t>
      </w:r>
      <w:r>
        <w:rPr>
          <w:rFonts w:hint="eastAsia" w:asciiTheme="minorEastAsia" w:hAnsiTheme="minorEastAsia" w:eastAsiaTheme="minorEastAsia" w:cstheme="minorEastAsia"/>
          <w:color w:val="000000" w:themeColor="text1"/>
          <w:kern w:val="2"/>
          <w:sz w:val="28"/>
          <w:szCs w:val="28"/>
          <w:highlight w:val="none"/>
          <w:lang w:eastAsia="zh-CN"/>
          <w14:textFill>
            <w14:solidFill>
              <w14:schemeClr w14:val="tx1"/>
            </w14:solidFill>
          </w14:textFill>
        </w:rPr>
        <w:t>、运输</w:t>
      </w:r>
      <w:r>
        <w:rPr>
          <w:rFonts w:hint="eastAsia" w:asciiTheme="minorEastAsia" w:hAnsiTheme="minorEastAsia" w:eastAsiaTheme="minorEastAsia" w:cstheme="minorEastAsia"/>
          <w:color w:val="000000" w:themeColor="text1"/>
          <w:kern w:val="2"/>
          <w:sz w:val="28"/>
          <w:szCs w:val="28"/>
          <w:highlight w:val="none"/>
          <w14:textFill>
            <w14:solidFill>
              <w14:schemeClr w14:val="tx1"/>
            </w14:solidFill>
          </w14:textFill>
        </w:rPr>
        <w:t>问题导致货物</w:t>
      </w:r>
      <w:r>
        <w:rPr>
          <w:rFonts w:hint="eastAsia" w:asciiTheme="minorEastAsia" w:hAnsiTheme="minorEastAsia" w:eastAsiaTheme="minorEastAsia" w:cstheme="minorEastAsia"/>
          <w:color w:val="000000" w:themeColor="text1"/>
          <w:kern w:val="2"/>
          <w:sz w:val="28"/>
          <w:szCs w:val="28"/>
          <w:highlight w:val="none"/>
          <w:lang w:eastAsia="zh-CN"/>
          <w14:textFill>
            <w14:solidFill>
              <w14:schemeClr w14:val="tx1"/>
            </w14:solidFill>
          </w14:textFill>
        </w:rPr>
        <w:t>损毁、丢失</w:t>
      </w:r>
      <w:r>
        <w:rPr>
          <w:rFonts w:hint="eastAsia" w:asciiTheme="minorEastAsia" w:hAnsiTheme="minorEastAsia" w:eastAsiaTheme="minorEastAsia" w:cstheme="minorEastAsia"/>
          <w:color w:val="000000" w:themeColor="text1"/>
          <w:kern w:val="2"/>
          <w:sz w:val="28"/>
          <w:szCs w:val="28"/>
          <w:highlight w:val="none"/>
          <w14:textFill>
            <w14:solidFill>
              <w14:schemeClr w14:val="tx1"/>
            </w14:solidFill>
          </w14:textFill>
        </w:rPr>
        <w:t>或者品质下降，</w:t>
      </w:r>
      <w:r>
        <w:rPr>
          <w:rFonts w:hint="eastAsia" w:asciiTheme="minorEastAsia" w:hAnsiTheme="minorEastAsia" w:eastAsiaTheme="minorEastAsia" w:cstheme="minorEastAsia"/>
          <w:color w:val="000000" w:themeColor="text1"/>
          <w:kern w:val="2"/>
          <w:sz w:val="28"/>
          <w:szCs w:val="28"/>
          <w:highlight w:val="none"/>
          <w:lang w:eastAsia="zh-CN"/>
          <w14:textFill>
            <w14:solidFill>
              <w14:schemeClr w14:val="tx1"/>
            </w14:solidFill>
          </w14:textFill>
        </w:rPr>
        <w:t>甲方</w:t>
      </w:r>
      <w:r>
        <w:rPr>
          <w:rFonts w:hint="eastAsia" w:asciiTheme="minorEastAsia" w:hAnsiTheme="minorEastAsia" w:eastAsiaTheme="minorEastAsia" w:cstheme="minorEastAsia"/>
          <w:color w:val="000000" w:themeColor="text1"/>
          <w:kern w:val="2"/>
          <w:sz w:val="28"/>
          <w:szCs w:val="28"/>
          <w:highlight w:val="none"/>
          <w14:textFill>
            <w14:solidFill>
              <w14:schemeClr w14:val="tx1"/>
            </w14:solidFill>
          </w14:textFill>
        </w:rPr>
        <w:t>有权要求降价、换货、拒收部分或整批货物，由此</w:t>
      </w:r>
      <w:r>
        <w:rPr>
          <w:rFonts w:hint="eastAsia" w:asciiTheme="minorEastAsia" w:hAnsiTheme="minorEastAsia" w:eastAsiaTheme="minorEastAsia" w:cstheme="minorEastAsia"/>
          <w:color w:val="000000" w:themeColor="text1"/>
          <w:kern w:val="2"/>
          <w:sz w:val="28"/>
          <w:szCs w:val="28"/>
          <w:highlight w:val="none"/>
          <w:lang w:eastAsia="zh-CN"/>
          <w14:textFill>
            <w14:solidFill>
              <w14:schemeClr w14:val="tx1"/>
            </w14:solidFill>
          </w14:textFill>
        </w:rPr>
        <w:t>产生</w:t>
      </w:r>
      <w:r>
        <w:rPr>
          <w:rFonts w:hint="eastAsia" w:asciiTheme="minorEastAsia" w:hAnsiTheme="minorEastAsia" w:eastAsiaTheme="minorEastAsia" w:cstheme="minorEastAsia"/>
          <w:color w:val="000000" w:themeColor="text1"/>
          <w:kern w:val="2"/>
          <w:sz w:val="28"/>
          <w:szCs w:val="28"/>
          <w:highlight w:val="none"/>
          <w14:textFill>
            <w14:solidFill>
              <w14:schemeClr w14:val="tx1"/>
            </w14:solidFill>
          </w14:textFill>
        </w:rPr>
        <w:t>的费用和损失，均由</w:t>
      </w:r>
      <w:r>
        <w:rPr>
          <w:rFonts w:hint="eastAsia" w:asciiTheme="minorEastAsia" w:hAnsiTheme="minorEastAsia" w:eastAsiaTheme="minorEastAsia" w:cstheme="minorEastAsia"/>
          <w:color w:val="000000" w:themeColor="text1"/>
          <w:kern w:val="2"/>
          <w:sz w:val="28"/>
          <w:szCs w:val="28"/>
          <w:highlight w:val="none"/>
          <w:lang w:eastAsia="zh-CN"/>
          <w14:textFill>
            <w14:solidFill>
              <w14:schemeClr w14:val="tx1"/>
            </w14:solidFill>
          </w14:textFill>
        </w:rPr>
        <w:t>乙方</w:t>
      </w:r>
      <w:r>
        <w:rPr>
          <w:rFonts w:hint="eastAsia" w:asciiTheme="minorEastAsia" w:hAnsiTheme="minorEastAsia" w:eastAsiaTheme="minorEastAsia" w:cstheme="minorEastAsia"/>
          <w:color w:val="000000" w:themeColor="text1"/>
          <w:kern w:val="2"/>
          <w:sz w:val="28"/>
          <w:szCs w:val="28"/>
          <w:highlight w:val="none"/>
          <w14:textFill>
            <w14:solidFill>
              <w14:schemeClr w14:val="tx1"/>
            </w14:solidFill>
          </w14:textFill>
        </w:rPr>
        <w:t>承担。</w:t>
      </w:r>
    </w:p>
    <w:p w14:paraId="55B3A062">
      <w:pPr>
        <w:pageBreakBefore w:val="0"/>
        <w:kinsoku/>
        <w:wordWrap/>
        <w:overflowPunct/>
        <w:topLinePunct w:val="0"/>
        <w:bidi w:val="0"/>
        <w:adjustRightInd w:val="0"/>
        <w:snapToGrid w:val="0"/>
        <w:spacing w:before="0" w:afterAutospacing="0" w:line="560" w:lineRule="exact"/>
        <w:jc w:val="left"/>
        <w:textAlignment w:val="auto"/>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lang w:eastAsia="zh-CN"/>
          <w14:textFill>
            <w14:solidFill>
              <w14:schemeClr w14:val="tx1"/>
            </w14:solidFill>
          </w14:textFill>
        </w:rPr>
        <w:t>8</w:t>
      </w:r>
      <w:r>
        <w:rPr>
          <w:rFonts w:hint="eastAsia" w:asciiTheme="minorEastAsia" w:hAnsiTheme="minorEastAsia" w:eastAsiaTheme="minorEastAsia" w:cstheme="minorEastAsia"/>
          <w:b/>
          <w:color w:val="000000" w:themeColor="text1"/>
          <w:sz w:val="28"/>
          <w:szCs w:val="28"/>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质量标准和保证</w:t>
      </w:r>
    </w:p>
    <w:p w14:paraId="542485F2">
      <w:pPr>
        <w:pStyle w:val="17"/>
        <w:pageBreakBefore w:val="0"/>
        <w:kinsoku/>
        <w:wordWrap/>
        <w:overflowPunct/>
        <w:topLinePunct w:val="0"/>
        <w:bidi w:val="0"/>
        <w:adjustRightInd w:val="0"/>
        <w:snapToGrid w:val="0"/>
        <w:spacing w:before="0" w:afterAutospacing="0" w:line="560" w:lineRule="exact"/>
        <w:ind w:firstLine="562" w:firstLineChars="200"/>
        <w:jc w:val="left"/>
        <w:textAlignment w:val="auto"/>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8</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.1 质量标准</w:t>
      </w:r>
    </w:p>
    <w:p w14:paraId="23E9E5DA">
      <w:pPr>
        <w:pageBreakBefore w:val="0"/>
        <w:kinsoku/>
        <w:wordWrap/>
        <w:overflowPunct/>
        <w:topLinePunct w:val="0"/>
        <w:autoSpaceDE w:val="0"/>
        <w:autoSpaceDN w:val="0"/>
        <w:bidi w:val="0"/>
        <w:adjustRightInd w:val="0"/>
        <w:snapToGrid w:val="0"/>
        <w:spacing w:before="0" w:afterAutospacing="0" w:line="560" w:lineRule="exact"/>
        <w:ind w:firstLine="560" w:firstLineChars="200"/>
        <w:jc w:val="lef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（1）本合同下</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提供</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的货物应符合</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合同约</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定的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w:t>
      </w:r>
    </w:p>
    <w:p w14:paraId="16D049D3">
      <w:pPr>
        <w:pStyle w:val="17"/>
        <w:pageBreakBefore w:val="0"/>
        <w:kinsoku/>
        <w:wordWrap/>
        <w:overflowPunct/>
        <w:topLinePunct w:val="0"/>
        <w:bidi w:val="0"/>
        <w:adjustRightInd w:val="0"/>
        <w:snapToGrid w:val="0"/>
        <w:spacing w:before="0" w:afterAutospacing="0" w:line="560" w:lineRule="exact"/>
        <w:ind w:firstLine="562" w:firstLineChars="200"/>
        <w:jc w:val="lef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（2）采用中华人民共和国法定计量单位。</w:t>
      </w:r>
    </w:p>
    <w:p w14:paraId="11C5339B">
      <w:pPr>
        <w:pageBreakBefore w:val="0"/>
        <w:kinsoku/>
        <w:wordWrap/>
        <w:overflowPunct/>
        <w:topLinePunct w:val="0"/>
        <w:autoSpaceDE w:val="0"/>
        <w:autoSpaceDN w:val="0"/>
        <w:bidi w:val="0"/>
        <w:adjustRightInd w:val="0"/>
        <w:snapToGrid w:val="0"/>
        <w:spacing w:before="0" w:afterAutospacing="0" w:line="560" w:lineRule="exact"/>
        <w:ind w:firstLine="560" w:firstLineChars="200"/>
        <w:jc w:val="lef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（3）乙方所</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提供</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的货物应符合国家有关安全、环保、卫生</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的</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规定。</w:t>
      </w:r>
    </w:p>
    <w:p w14:paraId="75722B3A">
      <w:pPr>
        <w:pageBreakBefore w:val="0"/>
        <w:kinsoku/>
        <w:wordWrap/>
        <w:overflowPunct/>
        <w:topLinePunct w:val="0"/>
        <w:autoSpaceDE w:val="0"/>
        <w:autoSpaceDN w:val="0"/>
        <w:bidi w:val="0"/>
        <w:adjustRightInd w:val="0"/>
        <w:snapToGrid w:val="0"/>
        <w:spacing w:before="0" w:afterAutospacing="0" w:line="560" w:lineRule="exact"/>
        <w:ind w:firstLine="560" w:firstLineChars="200"/>
        <w:jc w:val="lef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（4）乙方应向甲方提交所</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提供</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货物的技术文件，包括相应的中文技术文件，如：产品目录、图纸、操作手册、使用说明、维护手册或服务指南</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等</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上述</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文件应包装好随货物一同发运。</w:t>
      </w:r>
    </w:p>
    <w:p w14:paraId="3511CDD1">
      <w:pPr>
        <w:pageBreakBefore w:val="0"/>
        <w:kinsoku/>
        <w:wordWrap/>
        <w:overflowPunct/>
        <w:topLinePunct w:val="0"/>
        <w:autoSpaceDE w:val="0"/>
        <w:autoSpaceDN w:val="0"/>
        <w:bidi w:val="0"/>
        <w:adjustRightInd w:val="0"/>
        <w:snapToGrid w:val="0"/>
        <w:spacing w:before="0" w:afterAutospacing="0" w:line="560" w:lineRule="exact"/>
        <w:ind w:firstLine="560" w:firstLineChars="200"/>
        <w:jc w:val="lef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8</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.2 保证</w:t>
      </w:r>
    </w:p>
    <w:p w14:paraId="1521901A">
      <w:pPr>
        <w:pageBreakBefore w:val="0"/>
        <w:kinsoku/>
        <w:wordWrap/>
        <w:overflowPunct/>
        <w:topLinePunct w:val="0"/>
        <w:autoSpaceDE w:val="0"/>
        <w:autoSpaceDN w:val="0"/>
        <w:bidi w:val="0"/>
        <w:adjustRightInd w:val="0"/>
        <w:snapToGrid w:val="0"/>
        <w:spacing w:before="0" w:afterAutospacing="0" w:line="560" w:lineRule="exact"/>
        <w:ind w:firstLine="560" w:firstLineChars="200"/>
        <w:jc w:val="lef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（1）乙方应保证</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提供的货物</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完全符合合同规定的质量、规格和性能要求。乙方应保证货物在正确安装、正常使用和保养条件下，在其使用寿命期内具</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备合同约定</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的性能。</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存在</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质量保证期的，货物最终交付验收</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合格</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后</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在</w:t>
      </w: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【合同专用条款】</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规定或乙方</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书面</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承诺（两者以较长的为准）的质量保证期内，本保证保持有效。</w:t>
      </w:r>
    </w:p>
    <w:p w14:paraId="07CEEF9E">
      <w:pPr>
        <w:pageBreakBefore w:val="0"/>
        <w:kinsoku/>
        <w:wordWrap/>
        <w:overflowPunct/>
        <w:topLinePunct w:val="0"/>
        <w:autoSpaceDE w:val="0"/>
        <w:autoSpaceDN w:val="0"/>
        <w:bidi w:val="0"/>
        <w:adjustRightInd w:val="0"/>
        <w:snapToGrid w:val="0"/>
        <w:spacing w:before="0" w:afterAutospacing="0" w:line="560" w:lineRule="exact"/>
        <w:ind w:firstLine="560" w:firstLineChars="200"/>
        <w:jc w:val="lef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（2）在质量保证期内所发现的缺陷，甲方应尽快以书面形式通知乙方。</w:t>
      </w:r>
    </w:p>
    <w:p w14:paraId="5AA254EF">
      <w:pPr>
        <w:pageBreakBefore w:val="0"/>
        <w:kinsoku/>
        <w:wordWrap/>
        <w:overflowPunct/>
        <w:topLinePunct w:val="0"/>
        <w:autoSpaceDE w:val="0"/>
        <w:autoSpaceDN w:val="0"/>
        <w:bidi w:val="0"/>
        <w:adjustRightInd w:val="0"/>
        <w:snapToGrid w:val="0"/>
        <w:spacing w:before="0" w:afterAutospacing="0" w:line="560" w:lineRule="exact"/>
        <w:ind w:firstLine="560" w:firstLineChars="200"/>
        <w:jc w:val="lef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（3）乙方收到通知后</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应在</w:t>
      </w: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【合同专用条款】</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规定的响应时间内以合理的速度免费维修或更换有缺陷的货物或部件。</w:t>
      </w:r>
    </w:p>
    <w:p w14:paraId="01C264E3">
      <w:pPr>
        <w:pageBreakBefore w:val="0"/>
        <w:kinsoku/>
        <w:wordWrap/>
        <w:overflowPunct/>
        <w:topLinePunct w:val="0"/>
        <w:autoSpaceDE w:val="0"/>
        <w:autoSpaceDN w:val="0"/>
        <w:bidi w:val="0"/>
        <w:adjustRightInd w:val="0"/>
        <w:snapToGrid w:val="0"/>
        <w:spacing w:before="0" w:afterAutospacing="0" w:line="560" w:lineRule="exact"/>
        <w:ind w:firstLine="560" w:firstLineChars="200"/>
        <w:jc w:val="lef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（4）在质量保证期内，如果货物的质量或规格与合同不符，或证实货物是有缺陷的，包括潜在的缺陷或使用不符合要求的材料等，甲方可以根据本合同第1</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.1条规定以书面形式</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追究</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乙方</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的违约责任</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w:t>
      </w:r>
    </w:p>
    <w:p w14:paraId="5FA857EC">
      <w:pPr>
        <w:pageBreakBefore w:val="0"/>
        <w:kinsoku/>
        <w:wordWrap/>
        <w:overflowPunct/>
        <w:topLinePunct w:val="0"/>
        <w:bidi w:val="0"/>
        <w:adjustRightInd w:val="0"/>
        <w:snapToGrid w:val="0"/>
        <w:spacing w:before="0" w:afterAutospacing="0" w:line="560" w:lineRule="exact"/>
        <w:ind w:firstLine="560" w:firstLineChars="200"/>
        <w:jc w:val="lef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（5）乙方在约定的时间内未能弥补缺陷，甲方可采取必要的补救措施，但其风险和费用将由乙方承担，甲方根据合同</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约定</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对乙方行使的其他权利不受影响。</w:t>
      </w:r>
    </w:p>
    <w:p w14:paraId="429C9E8F">
      <w:pPr>
        <w:pageBreakBefore w:val="0"/>
        <w:kinsoku/>
        <w:wordWrap/>
        <w:overflowPunct/>
        <w:topLinePunct w:val="0"/>
        <w:bidi w:val="0"/>
        <w:adjustRightInd w:val="0"/>
        <w:snapToGrid w:val="0"/>
        <w:spacing w:before="0" w:afterAutospacing="0" w:line="560" w:lineRule="exact"/>
        <w:jc w:val="left"/>
        <w:textAlignment w:val="auto"/>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eastAsia="zh-CN"/>
          <w14:textFill>
            <w14:solidFill>
              <w14:schemeClr w14:val="tx1"/>
            </w14:solidFill>
          </w14:textFill>
        </w:rPr>
        <w:t>9</w:t>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w:t>
      </w: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权利瑕疵担保</w:t>
      </w:r>
    </w:p>
    <w:p w14:paraId="32409023">
      <w:pPr>
        <w:pageBreakBefore w:val="0"/>
        <w:kinsoku/>
        <w:wordWrap/>
        <w:overflowPunct/>
        <w:topLinePunct w:val="0"/>
        <w:autoSpaceDE w:val="0"/>
        <w:autoSpaceDN w:val="0"/>
        <w:bidi w:val="0"/>
        <w:adjustRightInd w:val="0"/>
        <w:snapToGrid w:val="0"/>
        <w:spacing w:before="0" w:afterAutospacing="0" w:line="560" w:lineRule="exact"/>
        <w:ind w:firstLine="560" w:firstLineChars="200"/>
        <w:jc w:val="lef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9</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.1 乙方保证对其出售的货物享有合法的权利。</w:t>
      </w:r>
    </w:p>
    <w:p w14:paraId="3459ECD7">
      <w:pPr>
        <w:pageBreakBefore w:val="0"/>
        <w:kinsoku/>
        <w:wordWrap/>
        <w:overflowPunct/>
        <w:topLinePunct w:val="0"/>
        <w:autoSpaceDE w:val="0"/>
        <w:autoSpaceDN w:val="0"/>
        <w:bidi w:val="0"/>
        <w:adjustRightInd w:val="0"/>
        <w:snapToGrid w:val="0"/>
        <w:spacing w:before="0" w:afterAutospacing="0" w:line="560" w:lineRule="exact"/>
        <w:ind w:firstLine="560" w:firstLineChars="200"/>
        <w:jc w:val="lef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9</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.2 乙方保证在交付的货物上不存在抵押权等担保物权。</w:t>
      </w:r>
    </w:p>
    <w:p w14:paraId="7D20EC8A">
      <w:pPr>
        <w:pageBreakBefore w:val="0"/>
        <w:kinsoku/>
        <w:wordWrap/>
        <w:overflowPunct/>
        <w:topLinePunct w:val="0"/>
        <w:autoSpaceDE w:val="0"/>
        <w:autoSpaceDN w:val="0"/>
        <w:bidi w:val="0"/>
        <w:adjustRightInd w:val="0"/>
        <w:snapToGrid w:val="0"/>
        <w:spacing w:before="0" w:afterAutospacing="0" w:line="560" w:lineRule="exact"/>
        <w:ind w:firstLine="560" w:firstLineChars="200"/>
        <w:jc w:val="lef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9</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.3 如甲方使用</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上述</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货物构成</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对第三人</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侵权的，则由乙方承担全部责任。</w:t>
      </w:r>
    </w:p>
    <w:p w14:paraId="2B6B1095">
      <w:pPr>
        <w:pageBreakBefore w:val="0"/>
        <w:kinsoku/>
        <w:wordWrap/>
        <w:overflowPunct/>
        <w:topLinePunct w:val="0"/>
        <w:autoSpaceDE w:val="0"/>
        <w:autoSpaceDN w:val="0"/>
        <w:bidi w:val="0"/>
        <w:adjustRightInd w:val="0"/>
        <w:snapToGrid w:val="0"/>
        <w:spacing w:before="0" w:afterAutospacing="0" w:line="560" w:lineRule="exact"/>
        <w:jc w:val="left"/>
        <w:textAlignment w:val="auto"/>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1</w:t>
      </w:r>
      <w:r>
        <w:rPr>
          <w:rFonts w:hint="eastAsia" w:asciiTheme="minorEastAsia" w:hAnsiTheme="minorEastAsia" w:eastAsiaTheme="minorEastAsia" w:cstheme="minorEastAsia"/>
          <w:b/>
          <w:bCs/>
          <w:color w:val="000000" w:themeColor="text1"/>
          <w:sz w:val="28"/>
          <w:szCs w:val="28"/>
          <w:highlight w:val="none"/>
          <w:lang w:eastAsia="zh-CN"/>
          <w14:textFill>
            <w14:solidFill>
              <w14:schemeClr w14:val="tx1"/>
            </w14:solidFill>
          </w14:textFill>
        </w:rPr>
        <w:t>0</w:t>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w:t>
      </w: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知识产权保护</w:t>
      </w:r>
    </w:p>
    <w:p w14:paraId="7244DF40">
      <w:pPr>
        <w:pageBreakBefore w:val="0"/>
        <w:kinsoku/>
        <w:wordWrap/>
        <w:overflowPunct/>
        <w:topLinePunct w:val="0"/>
        <w:autoSpaceDE w:val="0"/>
        <w:autoSpaceDN w:val="0"/>
        <w:bidi w:val="0"/>
        <w:adjustRightInd w:val="0"/>
        <w:snapToGrid w:val="0"/>
        <w:spacing w:before="0" w:afterAutospacing="0" w:line="560" w:lineRule="exact"/>
        <w:ind w:firstLine="560" w:firstLineChars="200"/>
        <w:jc w:val="lef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1</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0</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.1 乙方对其所销售的货物应当享有知识产权或经权利人合法授权，保证没有侵犯任何第三人的知识产权等权利。因违反前述约定对第三人构成侵权的，应当由乙方向第三人承担法律责任；甲方依法向第三人赔偿后，有权向乙方追偿。甲方有其他损失的，乙方应当赔偿。</w:t>
      </w:r>
    </w:p>
    <w:p w14:paraId="27BB1C86">
      <w:pPr>
        <w:pageBreakBefore w:val="0"/>
        <w:kinsoku/>
        <w:wordWrap/>
        <w:overflowPunct/>
        <w:topLinePunct w:val="0"/>
        <w:autoSpaceDE w:val="0"/>
        <w:autoSpaceDN w:val="0"/>
        <w:bidi w:val="0"/>
        <w:adjustRightInd w:val="0"/>
        <w:snapToGrid w:val="0"/>
        <w:spacing w:before="0" w:afterAutospacing="0" w:line="560" w:lineRule="exact"/>
        <w:jc w:val="left"/>
        <w:textAlignment w:val="auto"/>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1</w:t>
      </w:r>
      <w:r>
        <w:rPr>
          <w:rFonts w:hint="eastAsia" w:asciiTheme="minorEastAsia" w:hAnsiTheme="minorEastAsia" w:eastAsiaTheme="minorEastAsia" w:cstheme="minorEastAsia"/>
          <w:b/>
          <w:bCs/>
          <w:color w:val="000000" w:themeColor="text1"/>
          <w:sz w:val="28"/>
          <w:szCs w:val="28"/>
          <w:highlight w:val="none"/>
          <w:lang w:eastAsia="zh-CN"/>
          <w14:textFill>
            <w14:solidFill>
              <w14:schemeClr w14:val="tx1"/>
            </w14:solidFill>
          </w14:textFill>
        </w:rPr>
        <w:t>1</w:t>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w:t>
      </w: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保密义务</w:t>
      </w:r>
    </w:p>
    <w:p w14:paraId="771AD995">
      <w:pPr>
        <w:pageBreakBefore w:val="0"/>
        <w:kinsoku/>
        <w:wordWrap/>
        <w:overflowPunct/>
        <w:topLinePunct w:val="0"/>
        <w:autoSpaceDE w:val="0"/>
        <w:autoSpaceDN w:val="0"/>
        <w:bidi w:val="0"/>
        <w:adjustRightInd w:val="0"/>
        <w:snapToGrid w:val="0"/>
        <w:spacing w:before="0" w:afterAutospacing="0" w:line="560" w:lineRule="exact"/>
        <w:ind w:firstLine="560" w:firstLineChars="200"/>
        <w:jc w:val="lef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 xml:space="preserve">11.1 </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甲、乙双方</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对</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采购和合同履行过程中所获悉的</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国家秘密、工作秘密、</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商业秘密或者其他应当保密的信息，均有保密义务</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且不受合同有效期所限，直至该信息成为公开信息</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。泄露、不正当地使用</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国家秘密、工作秘密、</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商业秘密或者</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其他应当保密的</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信息，应当承担</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相应</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责任。其他应当保密的信息由双方在</w:t>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【合同专用条款】</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中约定。</w:t>
      </w:r>
    </w:p>
    <w:p w14:paraId="28BD8B9E">
      <w:pPr>
        <w:pageBreakBefore w:val="0"/>
        <w:kinsoku/>
        <w:wordWrap/>
        <w:overflowPunct/>
        <w:topLinePunct w:val="0"/>
        <w:autoSpaceDE w:val="0"/>
        <w:autoSpaceDN w:val="0"/>
        <w:bidi w:val="0"/>
        <w:adjustRightInd w:val="0"/>
        <w:snapToGrid w:val="0"/>
        <w:spacing w:before="0" w:afterAutospacing="0" w:line="560" w:lineRule="exact"/>
        <w:jc w:val="left"/>
        <w:textAlignment w:val="auto"/>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1</w:t>
      </w:r>
      <w:r>
        <w:rPr>
          <w:rFonts w:hint="eastAsia" w:asciiTheme="minorEastAsia" w:hAnsiTheme="minorEastAsia" w:eastAsiaTheme="minorEastAsia" w:cstheme="minorEastAsia"/>
          <w:b/>
          <w:bCs/>
          <w:color w:val="000000" w:themeColor="text1"/>
          <w:sz w:val="28"/>
          <w:szCs w:val="28"/>
          <w:highlight w:val="none"/>
          <w:lang w:eastAsia="zh-CN"/>
          <w14:textFill>
            <w14:solidFill>
              <w14:schemeClr w14:val="tx1"/>
            </w14:solidFill>
          </w14:textFill>
        </w:rPr>
        <w:t>2</w:t>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w:t>
      </w: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合同价款支付</w:t>
      </w:r>
    </w:p>
    <w:p w14:paraId="2A40503B">
      <w:pPr>
        <w:pageBreakBefore w:val="0"/>
        <w:kinsoku/>
        <w:wordWrap/>
        <w:overflowPunct/>
        <w:topLinePunct w:val="0"/>
        <w:autoSpaceDE/>
        <w:autoSpaceDN/>
        <w:bidi w:val="0"/>
        <w:adjustRightInd w:val="0"/>
        <w:snapToGrid w:val="0"/>
        <w:spacing w:before="0" w:afterAutospacing="0" w:line="560" w:lineRule="exact"/>
        <w:ind w:firstLine="560" w:firstLineChars="200"/>
        <w:jc w:val="left"/>
        <w:textAlignment w:val="auto"/>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1</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2</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 xml:space="preserve">.1 </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合同价款支付</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按照国库集中支付</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制度及财政管理相关</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规定执行。</w:t>
      </w:r>
    </w:p>
    <w:p w14:paraId="7647E113">
      <w:pPr>
        <w:pStyle w:val="3"/>
        <w:pageBreakBefore w:val="0"/>
        <w:kinsoku/>
        <w:wordWrap/>
        <w:overflowPunct/>
        <w:topLinePunct w:val="0"/>
        <w:bidi w:val="0"/>
        <w:spacing w:afterAutospacing="0" w:line="560" w:lineRule="exact"/>
        <w:ind w:firstLine="560" w:firstLineChars="200"/>
        <w:textAlignment w:val="auto"/>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8"/>
          <w:szCs w:val="28"/>
          <w:highlight w:val="none"/>
          <w:lang w:val="en-US" w:eastAsia="zh-CN"/>
          <w14:textFill>
            <w14:solidFill>
              <w14:schemeClr w14:val="tx1"/>
            </w14:solidFill>
          </w14:textFill>
        </w:rPr>
        <w:t xml:space="preserve">12.2 </w:t>
      </w:r>
      <w:r>
        <w:rPr>
          <w:rFonts w:hint="eastAsia" w:asciiTheme="minorEastAsia" w:hAnsiTheme="minorEastAsia" w:eastAsiaTheme="minorEastAsia" w:cstheme="minorEastAsia"/>
          <w:b w:val="0"/>
          <w:bCs w:val="0"/>
          <w:color w:val="000000" w:themeColor="text1"/>
          <w:kern w:val="2"/>
          <w:sz w:val="28"/>
          <w:szCs w:val="28"/>
          <w:highlight w:val="none"/>
          <w14:textFill>
            <w14:solidFill>
              <w14:schemeClr w14:val="tx1"/>
            </w14:solidFill>
          </w14:textFill>
        </w:rPr>
        <w:t>对于满足合同约定支付条件的，</w:t>
      </w:r>
      <w:r>
        <w:rPr>
          <w:rFonts w:hint="eastAsia" w:asciiTheme="minorEastAsia" w:hAnsiTheme="minorEastAsia" w:eastAsiaTheme="minorEastAsia" w:cstheme="minorEastAsia"/>
          <w:b w:val="0"/>
          <w:bCs w:val="0"/>
          <w:color w:val="000000" w:themeColor="text1"/>
          <w:kern w:val="2"/>
          <w:sz w:val="28"/>
          <w:szCs w:val="28"/>
          <w:highlight w:val="none"/>
          <w:lang w:val="en-US" w:eastAsia="zh-CN"/>
          <w14:textFill>
            <w14:solidFill>
              <w14:schemeClr w14:val="tx1"/>
            </w14:solidFill>
          </w14:textFill>
        </w:rPr>
        <w:t>甲方</w:t>
      </w:r>
      <w:r>
        <w:rPr>
          <w:rFonts w:hint="eastAsia" w:asciiTheme="minorEastAsia" w:hAnsiTheme="minorEastAsia" w:eastAsiaTheme="minorEastAsia" w:cstheme="minorEastAsia"/>
          <w:b w:val="0"/>
          <w:bCs w:val="0"/>
          <w:i w:val="0"/>
          <w:iCs w:val="0"/>
          <w:caps w:val="0"/>
          <w:color w:val="000000" w:themeColor="text1"/>
          <w:spacing w:val="0"/>
          <w:sz w:val="28"/>
          <w:szCs w:val="28"/>
          <w:highlight w:val="none"/>
          <w:shd w:val="clear"/>
          <w:vertAlign w:val="baseline"/>
          <w14:textFill>
            <w14:solidFill>
              <w14:schemeClr w14:val="tx1"/>
            </w14:solidFill>
          </w14:textFill>
        </w:rPr>
        <w:t>原则上应当自收到发票后10个工作日内</w:t>
      </w:r>
      <w:r>
        <w:rPr>
          <w:rFonts w:hint="eastAsia" w:asciiTheme="minorEastAsia" w:hAnsiTheme="minorEastAsia" w:eastAsiaTheme="minorEastAsia" w:cstheme="minorEastAsia"/>
          <w:b w:val="0"/>
          <w:bCs w:val="0"/>
          <w:color w:val="000000" w:themeColor="text1"/>
          <w:kern w:val="2"/>
          <w:sz w:val="28"/>
          <w:szCs w:val="28"/>
          <w:highlight w:val="none"/>
          <w14:textFill>
            <w14:solidFill>
              <w14:schemeClr w14:val="tx1"/>
            </w14:solidFill>
          </w14:textFill>
        </w:rPr>
        <w:t>将资金支付到合同约定的</w:t>
      </w:r>
      <w:r>
        <w:rPr>
          <w:rFonts w:hint="eastAsia" w:asciiTheme="minorEastAsia" w:hAnsiTheme="minorEastAsia" w:eastAsiaTheme="minorEastAsia" w:cstheme="minorEastAsia"/>
          <w:b w:val="0"/>
          <w:bCs w:val="0"/>
          <w:color w:val="000000" w:themeColor="text1"/>
          <w:kern w:val="2"/>
          <w:sz w:val="28"/>
          <w:szCs w:val="28"/>
          <w:highlight w:val="none"/>
          <w:lang w:eastAsia="zh-CN"/>
          <w14:textFill>
            <w14:solidFill>
              <w14:schemeClr w14:val="tx1"/>
            </w14:solidFill>
          </w14:textFill>
        </w:rPr>
        <w:t>乙方</w:t>
      </w:r>
      <w:r>
        <w:rPr>
          <w:rFonts w:hint="eastAsia" w:asciiTheme="minorEastAsia" w:hAnsiTheme="minorEastAsia" w:eastAsiaTheme="minorEastAsia" w:cstheme="minorEastAsia"/>
          <w:b w:val="0"/>
          <w:bCs w:val="0"/>
          <w:color w:val="000000" w:themeColor="text1"/>
          <w:kern w:val="2"/>
          <w:sz w:val="28"/>
          <w:szCs w:val="28"/>
          <w:highlight w:val="none"/>
          <w14:textFill>
            <w14:solidFill>
              <w14:schemeClr w14:val="tx1"/>
            </w14:solidFill>
          </w14:textFill>
        </w:rPr>
        <w:t>账户，不得以机构变动、人员更替、政策调整等为由迟延付款，不得将采购文件和合同中未规定的义务作为向</w:t>
      </w:r>
      <w:r>
        <w:rPr>
          <w:rFonts w:hint="eastAsia" w:asciiTheme="minorEastAsia" w:hAnsiTheme="minorEastAsia" w:eastAsiaTheme="minorEastAsia" w:cstheme="minorEastAsia"/>
          <w:b w:val="0"/>
          <w:bCs w:val="0"/>
          <w:color w:val="000000" w:themeColor="text1"/>
          <w:kern w:val="2"/>
          <w:sz w:val="28"/>
          <w:szCs w:val="28"/>
          <w:highlight w:val="none"/>
          <w:lang w:val="en-US" w:eastAsia="zh-CN"/>
          <w14:textFill>
            <w14:solidFill>
              <w14:schemeClr w14:val="tx1"/>
            </w14:solidFill>
          </w14:textFill>
        </w:rPr>
        <w:t>乙方</w:t>
      </w:r>
      <w:r>
        <w:rPr>
          <w:rFonts w:hint="eastAsia" w:asciiTheme="minorEastAsia" w:hAnsiTheme="minorEastAsia" w:eastAsiaTheme="minorEastAsia" w:cstheme="minorEastAsia"/>
          <w:b w:val="0"/>
          <w:bCs w:val="0"/>
          <w:color w:val="000000" w:themeColor="text1"/>
          <w:kern w:val="2"/>
          <w:sz w:val="28"/>
          <w:szCs w:val="28"/>
          <w:highlight w:val="none"/>
          <w14:textFill>
            <w14:solidFill>
              <w14:schemeClr w14:val="tx1"/>
            </w14:solidFill>
          </w14:textFill>
        </w:rPr>
        <w:t>付款的条件。具体合同价款支付时间在【</w:t>
      </w:r>
      <w:r>
        <w:rPr>
          <w:rFonts w:hint="eastAsia" w:asciiTheme="minorEastAsia" w:hAnsiTheme="minorEastAsia" w:eastAsiaTheme="minorEastAsia" w:cstheme="minorEastAsia"/>
          <w:b/>
          <w:bCs/>
          <w:color w:val="000000" w:themeColor="text1"/>
          <w:kern w:val="2"/>
          <w:sz w:val="28"/>
          <w:szCs w:val="28"/>
          <w:highlight w:val="none"/>
          <w14:textFill>
            <w14:solidFill>
              <w14:schemeClr w14:val="tx1"/>
            </w14:solidFill>
          </w14:textFill>
        </w:rPr>
        <w:t>合同专用条款</w:t>
      </w:r>
      <w:r>
        <w:rPr>
          <w:rFonts w:hint="eastAsia" w:asciiTheme="minorEastAsia" w:hAnsiTheme="minorEastAsia" w:eastAsiaTheme="minorEastAsia" w:cstheme="minorEastAsia"/>
          <w:b w:val="0"/>
          <w:bCs w:val="0"/>
          <w:color w:val="000000" w:themeColor="text1"/>
          <w:kern w:val="2"/>
          <w:sz w:val="28"/>
          <w:szCs w:val="28"/>
          <w:highlight w:val="none"/>
          <w14:textFill>
            <w14:solidFill>
              <w14:schemeClr w14:val="tx1"/>
            </w14:solidFill>
          </w14:textFill>
        </w:rPr>
        <w:t>】中</w:t>
      </w:r>
      <w:r>
        <w:rPr>
          <w:rFonts w:hint="eastAsia" w:asciiTheme="minorEastAsia" w:hAnsiTheme="minorEastAsia" w:eastAsiaTheme="minorEastAsia" w:cstheme="minorEastAsia"/>
          <w:b w:val="0"/>
          <w:bCs w:val="0"/>
          <w:color w:val="000000" w:themeColor="text1"/>
          <w:kern w:val="2"/>
          <w:sz w:val="28"/>
          <w:szCs w:val="28"/>
          <w:highlight w:val="none"/>
          <w:lang w:eastAsia="zh-CN"/>
          <w14:textFill>
            <w14:solidFill>
              <w14:schemeClr w14:val="tx1"/>
            </w14:solidFill>
          </w14:textFill>
        </w:rPr>
        <w:t>约</w:t>
      </w:r>
      <w:r>
        <w:rPr>
          <w:rFonts w:hint="eastAsia" w:asciiTheme="minorEastAsia" w:hAnsiTheme="minorEastAsia" w:eastAsiaTheme="minorEastAsia" w:cstheme="minorEastAsia"/>
          <w:b w:val="0"/>
          <w:bCs w:val="0"/>
          <w:color w:val="000000" w:themeColor="text1"/>
          <w:kern w:val="2"/>
          <w:sz w:val="28"/>
          <w:szCs w:val="28"/>
          <w:highlight w:val="none"/>
          <w14:textFill>
            <w14:solidFill>
              <w14:schemeClr w14:val="tx1"/>
            </w14:solidFill>
          </w14:textFill>
        </w:rPr>
        <w:t>定。</w:t>
      </w:r>
    </w:p>
    <w:p w14:paraId="10980FBA">
      <w:pPr>
        <w:pStyle w:val="13"/>
        <w:pageBreakBefore w:val="0"/>
        <w:kinsoku/>
        <w:wordWrap/>
        <w:overflowPunct/>
        <w:topLinePunct w:val="0"/>
        <w:bidi w:val="0"/>
        <w:spacing w:after="0" w:afterAutospacing="0" w:line="560" w:lineRule="exact"/>
        <w:textAlignment w:val="auto"/>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1</w:t>
      </w:r>
      <w:r>
        <w:rPr>
          <w:rFonts w:hint="eastAsia" w:asciiTheme="minorEastAsia" w:hAnsiTheme="minorEastAsia" w:eastAsiaTheme="minorEastAsia" w:cstheme="minorEastAsia"/>
          <w:b/>
          <w:bCs/>
          <w:color w:val="000000" w:themeColor="text1"/>
          <w:sz w:val="28"/>
          <w:szCs w:val="28"/>
          <w:highlight w:val="none"/>
          <w:lang w:eastAsia="zh-CN"/>
          <w14:textFill>
            <w14:solidFill>
              <w14:schemeClr w14:val="tx1"/>
            </w14:solidFill>
          </w14:textFill>
        </w:rPr>
        <w:t>3</w:t>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w:t>
      </w: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履约保证金</w:t>
      </w:r>
    </w:p>
    <w:p w14:paraId="5C2F09AA">
      <w:pPr>
        <w:pageBreakBefore w:val="0"/>
        <w:kinsoku/>
        <w:wordWrap/>
        <w:overflowPunct/>
        <w:topLinePunct w:val="0"/>
        <w:bidi w:val="0"/>
        <w:adjustRightInd w:val="0"/>
        <w:snapToGrid w:val="0"/>
        <w:spacing w:before="0" w:afterAutospacing="0" w:line="560" w:lineRule="exact"/>
        <w:ind w:firstLine="560" w:firstLineChars="200"/>
        <w:jc w:val="lef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1</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3</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.1 乙方应当以支票、汇票、本票或者金融机构、担保机构出具的保函等非现金形式提交。</w:t>
      </w:r>
    </w:p>
    <w:p w14:paraId="0C18A65A">
      <w:pPr>
        <w:pageBreakBefore w:val="0"/>
        <w:kinsoku/>
        <w:wordWrap/>
        <w:overflowPunct/>
        <w:topLinePunct w:val="0"/>
        <w:bidi w:val="0"/>
        <w:adjustRightInd w:val="0"/>
        <w:snapToGrid w:val="0"/>
        <w:spacing w:before="0" w:afterAutospacing="0" w:line="560" w:lineRule="exact"/>
        <w:ind w:firstLine="560" w:firstLineChars="200"/>
        <w:jc w:val="lef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1</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3</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.2 如果乙方</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出现</w:t>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【合同专用条款】</w:t>
      </w:r>
      <w:r>
        <w:rPr>
          <w:rFonts w:hint="eastAsia" w:asciiTheme="minorEastAsia" w:hAnsiTheme="minorEastAsia" w:eastAsiaTheme="minorEastAsia" w:cstheme="minorEastAsia"/>
          <w:b w:val="0"/>
          <w:bCs w:val="0"/>
          <w:color w:val="000000" w:themeColor="text1"/>
          <w:sz w:val="28"/>
          <w:szCs w:val="28"/>
          <w:highlight w:val="none"/>
          <w:lang w:eastAsia="zh-CN"/>
          <w14:textFill>
            <w14:solidFill>
              <w14:schemeClr w14:val="tx1"/>
            </w14:solidFill>
          </w14:textFill>
        </w:rPr>
        <w:t>约定情形的</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，履约保证金不予退还；如果乙方未能按合同约定全面履行义务，甲方有权从履约保证金中取得补偿或赔偿，</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且</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不影响甲方要求乙方承担合同约定的超过履约保证金的违约责任的权利。</w:t>
      </w:r>
    </w:p>
    <w:p w14:paraId="760CC5F6">
      <w:pPr>
        <w:pageBreakBefore w:val="0"/>
        <w:kinsoku/>
        <w:wordWrap/>
        <w:overflowPunct/>
        <w:topLinePunct w:val="0"/>
        <w:bidi w:val="0"/>
        <w:spacing w:afterAutospacing="0" w:line="560" w:lineRule="exact"/>
        <w:ind w:firstLine="420"/>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1</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3</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.3 甲方在项目通过验收后按照</w:t>
      </w: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【合同专用条款】</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规定的时间内将履约保证金退还乙方；逾期退还的，乙方可要求甲方支付违约金，违约金按照</w:t>
      </w: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【合同专用条款】</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规定支付。</w:t>
      </w:r>
    </w:p>
    <w:p w14:paraId="4F2EA90B">
      <w:pPr>
        <w:pageBreakBefore w:val="0"/>
        <w:kinsoku/>
        <w:wordWrap/>
        <w:overflowPunct/>
        <w:topLinePunct w:val="0"/>
        <w:autoSpaceDE w:val="0"/>
        <w:autoSpaceDN w:val="0"/>
        <w:bidi w:val="0"/>
        <w:adjustRightInd w:val="0"/>
        <w:snapToGrid w:val="0"/>
        <w:spacing w:before="0" w:afterAutospacing="0" w:line="560" w:lineRule="exact"/>
        <w:jc w:val="left"/>
        <w:textAlignment w:val="auto"/>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1</w:t>
      </w:r>
      <w:r>
        <w:rPr>
          <w:rFonts w:hint="eastAsia" w:asciiTheme="minorEastAsia" w:hAnsiTheme="minorEastAsia" w:eastAsiaTheme="minorEastAsia" w:cstheme="minorEastAsia"/>
          <w:b/>
          <w:bCs/>
          <w:color w:val="000000" w:themeColor="text1"/>
          <w:sz w:val="28"/>
          <w:szCs w:val="28"/>
          <w:highlight w:val="none"/>
          <w:lang w:eastAsia="zh-CN"/>
          <w14:textFill>
            <w14:solidFill>
              <w14:schemeClr w14:val="tx1"/>
            </w14:solidFill>
          </w14:textFill>
        </w:rPr>
        <w:t>4</w:t>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w:t>
      </w: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售后服务</w:t>
      </w:r>
    </w:p>
    <w:p w14:paraId="2DC0A9FD">
      <w:pPr>
        <w:pageBreakBefore w:val="0"/>
        <w:kinsoku/>
        <w:wordWrap/>
        <w:overflowPunct/>
        <w:topLinePunct w:val="0"/>
        <w:autoSpaceDE w:val="0"/>
        <w:autoSpaceDN w:val="0"/>
        <w:bidi w:val="0"/>
        <w:adjustRightInd w:val="0"/>
        <w:snapToGrid w:val="0"/>
        <w:spacing w:before="0" w:afterAutospacing="0" w:line="560" w:lineRule="exact"/>
        <w:ind w:firstLine="560" w:firstLineChars="200"/>
        <w:jc w:val="lef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1</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4</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.1 除项目不涉及或采购活动中明确约定无须承担外，乙方还应提供下列服务：</w:t>
      </w:r>
    </w:p>
    <w:p w14:paraId="0ABB0606">
      <w:pPr>
        <w:pageBreakBefore w:val="0"/>
        <w:kinsoku/>
        <w:wordWrap/>
        <w:overflowPunct/>
        <w:topLinePunct w:val="0"/>
        <w:autoSpaceDE w:val="0"/>
        <w:autoSpaceDN w:val="0"/>
        <w:bidi w:val="0"/>
        <w:adjustRightInd w:val="0"/>
        <w:snapToGrid w:val="0"/>
        <w:spacing w:before="0" w:afterAutospacing="0" w:line="560" w:lineRule="exact"/>
        <w:ind w:firstLine="560" w:firstLineChars="200"/>
        <w:jc w:val="lef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（1）货物的现场移动、安装、调试、启动监督及技术支持；</w:t>
      </w:r>
    </w:p>
    <w:p w14:paraId="52A53029">
      <w:pPr>
        <w:pageBreakBefore w:val="0"/>
        <w:kinsoku/>
        <w:wordWrap/>
        <w:overflowPunct/>
        <w:topLinePunct w:val="0"/>
        <w:autoSpaceDE w:val="0"/>
        <w:autoSpaceDN w:val="0"/>
        <w:bidi w:val="0"/>
        <w:adjustRightInd w:val="0"/>
        <w:snapToGrid w:val="0"/>
        <w:spacing w:before="0" w:afterAutospacing="0" w:line="560" w:lineRule="exact"/>
        <w:ind w:firstLine="560" w:firstLineChars="200"/>
        <w:jc w:val="lef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（2）提供货物组装和维修所需的专用工具和辅助材料；</w:t>
      </w:r>
    </w:p>
    <w:p w14:paraId="76A55115">
      <w:pPr>
        <w:pageBreakBefore w:val="0"/>
        <w:kinsoku/>
        <w:wordWrap/>
        <w:overflowPunct/>
        <w:topLinePunct w:val="0"/>
        <w:autoSpaceDE w:val="0"/>
        <w:autoSpaceDN w:val="0"/>
        <w:bidi w:val="0"/>
        <w:adjustRightInd w:val="0"/>
        <w:snapToGrid w:val="0"/>
        <w:spacing w:before="0" w:afterAutospacing="0" w:line="560" w:lineRule="exact"/>
        <w:ind w:firstLine="560" w:firstLineChars="200"/>
        <w:jc w:val="lef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（3）在</w:t>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【合同专用条款】</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约定</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的期限内对所有的货物实施运行监督、维修，但前提条件是该服务并不能免除乙方在质量保证期内所承担的义务；</w:t>
      </w:r>
    </w:p>
    <w:p w14:paraId="26BCC2E8">
      <w:pPr>
        <w:pageBreakBefore w:val="0"/>
        <w:kinsoku/>
        <w:wordWrap/>
        <w:overflowPunct/>
        <w:topLinePunct w:val="0"/>
        <w:autoSpaceDE w:val="0"/>
        <w:autoSpaceDN w:val="0"/>
        <w:bidi w:val="0"/>
        <w:adjustRightInd w:val="0"/>
        <w:snapToGrid w:val="0"/>
        <w:spacing w:before="0" w:afterAutospacing="0" w:line="560" w:lineRule="exact"/>
        <w:ind w:firstLine="560" w:firstLineChars="200"/>
        <w:jc w:val="lef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（4）在制造商</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所在地</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或</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指定</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现场就货物的安装、启动、运营、维护</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、废弃处置等</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对甲方操作人员进行培训</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w:t>
      </w:r>
    </w:p>
    <w:p w14:paraId="091F5FF9">
      <w:pPr>
        <w:pStyle w:val="171"/>
        <w:pageBreakBefore w:val="0"/>
        <w:kinsoku/>
        <w:wordWrap/>
        <w:overflowPunct/>
        <w:topLinePunct w:val="0"/>
        <w:bidi w:val="0"/>
        <w:spacing w:afterAutospacing="0" w:line="560" w:lineRule="exac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（5）依照法律、行政法规的规定或者按照</w:t>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【合同专用条款】</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约定，货物在有效使用年限届满后应予回收的，乙方负有自行或者委托第三人对货物予以回收的义务；</w:t>
      </w:r>
    </w:p>
    <w:p w14:paraId="01141B82">
      <w:pPr>
        <w:pageBreakBefore w:val="0"/>
        <w:kinsoku/>
        <w:wordWrap/>
        <w:overflowPunct/>
        <w:topLinePunct w:val="0"/>
        <w:autoSpaceDE w:val="0"/>
        <w:autoSpaceDN w:val="0"/>
        <w:bidi w:val="0"/>
        <w:adjustRightInd w:val="0"/>
        <w:snapToGrid w:val="0"/>
        <w:spacing w:before="0" w:afterAutospacing="0" w:line="560" w:lineRule="exact"/>
        <w:ind w:firstLine="560" w:firstLineChars="200"/>
        <w:jc w:val="lef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w:t>
      </w: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【合同专用条款】</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规定由乙方提供的其他服务。</w:t>
      </w:r>
    </w:p>
    <w:p w14:paraId="50E917E4">
      <w:pPr>
        <w:pageBreakBefore w:val="0"/>
        <w:kinsoku/>
        <w:wordWrap/>
        <w:overflowPunct/>
        <w:topLinePunct w:val="0"/>
        <w:autoSpaceDE w:val="0"/>
        <w:autoSpaceDN w:val="0"/>
        <w:bidi w:val="0"/>
        <w:adjustRightInd w:val="0"/>
        <w:snapToGrid w:val="0"/>
        <w:spacing w:before="0" w:afterAutospacing="0" w:line="560" w:lineRule="exact"/>
        <w:ind w:firstLine="560" w:firstLineChars="200"/>
        <w:jc w:val="lef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1</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.2 乙方提供的</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售后</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服务的费用</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已</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包含在合同价款中，甲方不再另行支付。</w:t>
      </w:r>
    </w:p>
    <w:p w14:paraId="23D35B28">
      <w:pPr>
        <w:pageBreakBefore w:val="0"/>
        <w:kinsoku/>
        <w:wordWrap/>
        <w:overflowPunct/>
        <w:topLinePunct w:val="0"/>
        <w:bidi w:val="0"/>
        <w:adjustRightInd w:val="0"/>
        <w:snapToGrid w:val="0"/>
        <w:spacing w:before="0" w:afterAutospacing="0" w:line="560" w:lineRule="exact"/>
        <w:jc w:val="left"/>
        <w:textAlignment w:val="auto"/>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1</w:t>
      </w:r>
      <w:r>
        <w:rPr>
          <w:rFonts w:hint="eastAsia" w:asciiTheme="minorEastAsia" w:hAnsiTheme="minorEastAsia" w:eastAsiaTheme="minorEastAsia" w:cstheme="minorEastAsia"/>
          <w:b/>
          <w:bCs/>
          <w:color w:val="000000" w:themeColor="text1"/>
          <w:sz w:val="28"/>
          <w:szCs w:val="28"/>
          <w:highlight w:val="none"/>
          <w:lang w:eastAsia="zh-CN"/>
          <w14:textFill>
            <w14:solidFill>
              <w14:schemeClr w14:val="tx1"/>
            </w14:solidFill>
          </w14:textFill>
        </w:rPr>
        <w:t>5</w:t>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w:t>
      </w: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违约责任</w:t>
      </w:r>
    </w:p>
    <w:p w14:paraId="3133342A">
      <w:pPr>
        <w:pageBreakBefore w:val="0"/>
        <w:kinsoku/>
        <w:wordWrap/>
        <w:overflowPunct/>
        <w:topLinePunct w:val="0"/>
        <w:bidi w:val="0"/>
        <w:adjustRightInd w:val="0"/>
        <w:snapToGrid w:val="0"/>
        <w:spacing w:before="0" w:afterAutospacing="0" w:line="560" w:lineRule="exact"/>
        <w:ind w:firstLine="560" w:firstLineChars="200"/>
        <w:jc w:val="left"/>
        <w:textAlignment w:val="auto"/>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1</w:t>
      </w:r>
      <w:r>
        <w:rPr>
          <w:rFonts w:hint="eastAsia" w:asciiTheme="minorEastAsia" w:hAnsiTheme="minorEastAsia" w:eastAsiaTheme="minorEastAsia" w:cstheme="minorEastAsia"/>
          <w:bCs/>
          <w:color w:val="000000" w:themeColor="text1"/>
          <w:sz w:val="28"/>
          <w:szCs w:val="28"/>
          <w:highlight w:val="none"/>
          <w:lang w:eastAsia="zh-CN"/>
          <w14:textFill>
            <w14:solidFill>
              <w14:schemeClr w14:val="tx1"/>
            </w14:solidFill>
          </w14:textFill>
        </w:rPr>
        <w:t>5</w:t>
      </w: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.1质量瑕疵的</w:t>
      </w:r>
      <w:r>
        <w:rPr>
          <w:rFonts w:hint="eastAsia" w:asciiTheme="minorEastAsia" w:hAnsiTheme="minorEastAsia" w:eastAsiaTheme="minorEastAsia" w:cstheme="minorEastAsia"/>
          <w:bCs/>
          <w:color w:val="000000" w:themeColor="text1"/>
          <w:sz w:val="28"/>
          <w:szCs w:val="28"/>
          <w:highlight w:val="none"/>
          <w:lang w:eastAsia="zh-CN"/>
          <w14:textFill>
            <w14:solidFill>
              <w14:schemeClr w14:val="tx1"/>
            </w14:solidFill>
          </w14:textFill>
        </w:rPr>
        <w:t>违约责任</w:t>
      </w:r>
    </w:p>
    <w:p w14:paraId="2C7F779A">
      <w:pPr>
        <w:pageBreakBefore w:val="0"/>
        <w:kinsoku/>
        <w:wordWrap/>
        <w:overflowPunct/>
        <w:topLinePunct w:val="0"/>
        <w:autoSpaceDE w:val="0"/>
        <w:autoSpaceDN w:val="0"/>
        <w:bidi w:val="0"/>
        <w:adjustRightInd w:val="0"/>
        <w:snapToGrid w:val="0"/>
        <w:spacing w:before="0" w:afterAutospacing="0" w:line="560" w:lineRule="exact"/>
        <w:ind w:firstLine="560" w:firstLineChars="200"/>
        <w:jc w:val="lef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乙方</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提供</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的产品不符合</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合同约定的</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质量标准或存在产品质量缺陷，</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甲方有权要求乙方根据</w:t>
      </w: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【合同专用条款】</w:t>
      </w:r>
      <w:r>
        <w:rPr>
          <w:rFonts w:hint="eastAsia" w:asciiTheme="minorEastAsia" w:hAnsiTheme="minorEastAsia" w:eastAsiaTheme="minorEastAsia" w:cstheme="minorEastAsia"/>
          <w:b w:val="0"/>
          <w:bCs/>
          <w:color w:val="000000" w:themeColor="text1"/>
          <w:sz w:val="28"/>
          <w:szCs w:val="28"/>
          <w:highlight w:val="none"/>
          <w:lang w:eastAsia="zh-CN"/>
          <w14:textFill>
            <w14:solidFill>
              <w14:schemeClr w14:val="tx1"/>
            </w14:solidFill>
          </w14:textFill>
        </w:rPr>
        <w:t>要求</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及时修理、重作、更换，并承担由此给甲</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方</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造成的损失</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w:t>
      </w:r>
    </w:p>
    <w:p w14:paraId="432EEA77">
      <w:pPr>
        <w:pageBreakBefore w:val="0"/>
        <w:kinsoku/>
        <w:wordWrap/>
        <w:overflowPunct/>
        <w:topLinePunct w:val="0"/>
        <w:autoSpaceDE w:val="0"/>
        <w:autoSpaceDN w:val="0"/>
        <w:bidi w:val="0"/>
        <w:adjustRightInd w:val="0"/>
        <w:snapToGrid w:val="0"/>
        <w:spacing w:before="0" w:afterAutospacing="0" w:line="560" w:lineRule="exact"/>
        <w:ind w:firstLine="560" w:firstLineChars="200"/>
        <w:jc w:val="left"/>
        <w:textAlignment w:val="auto"/>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1</w:t>
      </w:r>
      <w:r>
        <w:rPr>
          <w:rFonts w:hint="eastAsia" w:asciiTheme="minorEastAsia" w:hAnsiTheme="minorEastAsia" w:eastAsiaTheme="minorEastAsia" w:cstheme="minorEastAsia"/>
          <w:bCs/>
          <w:color w:val="000000" w:themeColor="text1"/>
          <w:sz w:val="28"/>
          <w:szCs w:val="28"/>
          <w:highlight w:val="none"/>
          <w:lang w:eastAsia="zh-CN"/>
          <w14:textFill>
            <w14:solidFill>
              <w14:schemeClr w14:val="tx1"/>
            </w14:solidFill>
          </w14:textFill>
        </w:rPr>
        <w:t>5</w:t>
      </w: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.2 迟延交货的违约责任</w:t>
      </w:r>
    </w:p>
    <w:p w14:paraId="6F8B12F6">
      <w:pPr>
        <w:pageBreakBefore w:val="0"/>
        <w:kinsoku/>
        <w:wordWrap/>
        <w:overflowPunct/>
        <w:topLinePunct w:val="0"/>
        <w:autoSpaceDE w:val="0"/>
        <w:autoSpaceDN w:val="0"/>
        <w:bidi w:val="0"/>
        <w:adjustRightInd w:val="0"/>
        <w:snapToGrid w:val="0"/>
        <w:spacing w:before="0" w:afterAutospacing="0" w:line="560" w:lineRule="exact"/>
        <w:ind w:firstLine="560" w:firstLineChars="200"/>
        <w:jc w:val="lef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（1）乙方应按照本合同规定的时间、地点交货和提供</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相关</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服务。在履行合同过程中，如果乙方遇到可能</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影响</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按时交货和提供服务的情形时，应及时以书面形式将迟延的事实、可能迟延的期限和理由通知甲方。甲方在收到乙方通知后，应尽快对情况进行评价，并确定是否同意延</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长</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交货时间或延期提供服务。</w:t>
      </w:r>
    </w:p>
    <w:p w14:paraId="285D7A1F">
      <w:pPr>
        <w:pageBreakBefore w:val="0"/>
        <w:kinsoku/>
        <w:wordWrap/>
        <w:overflowPunct/>
        <w:topLinePunct w:val="0"/>
        <w:autoSpaceDE w:val="0"/>
        <w:autoSpaceDN w:val="0"/>
        <w:bidi w:val="0"/>
        <w:adjustRightInd w:val="0"/>
        <w:snapToGrid w:val="0"/>
        <w:spacing w:before="0" w:afterAutospacing="0" w:line="560" w:lineRule="exact"/>
        <w:ind w:firstLine="560" w:firstLineChars="200"/>
        <w:jc w:val="left"/>
        <w:textAlignment w:val="auto"/>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（2）如果乙方没有按照合同规定的时间交货和提供</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相关</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服务，甲方有权从货款中扣除误期赔偿费而不影响合同项下的其他补救方法，赔偿费按</w:t>
      </w: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【合同专用条款】</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规定执行。如果涉及公共利益，且赔偿金额无法弥补公共利益损失，</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甲方</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可要求继续履行或者</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采取其他补救措施</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w:t>
      </w:r>
    </w:p>
    <w:p w14:paraId="7F619DC2">
      <w:pPr>
        <w:pageBreakBefore w:val="0"/>
        <w:kinsoku/>
        <w:wordWrap/>
        <w:overflowPunct/>
        <w:topLinePunct w:val="0"/>
        <w:autoSpaceDE w:val="0"/>
        <w:autoSpaceDN w:val="0"/>
        <w:bidi w:val="0"/>
        <w:adjustRightInd w:val="0"/>
        <w:snapToGrid w:val="0"/>
        <w:spacing w:before="0" w:afterAutospacing="0" w:line="560" w:lineRule="exact"/>
        <w:ind w:firstLine="560" w:firstLineChars="200"/>
        <w:jc w:val="lef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1</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5</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.3 迟延支付的违约责任</w:t>
      </w:r>
    </w:p>
    <w:p w14:paraId="5079AB35">
      <w:pPr>
        <w:pageBreakBefore w:val="0"/>
        <w:kinsoku/>
        <w:wordWrap/>
        <w:overflowPunct/>
        <w:topLinePunct w:val="0"/>
        <w:autoSpaceDE w:val="0"/>
        <w:autoSpaceDN w:val="0"/>
        <w:bidi w:val="0"/>
        <w:adjustRightInd w:val="0"/>
        <w:snapToGrid w:val="0"/>
        <w:spacing w:before="0" w:afterAutospacing="0" w:line="560" w:lineRule="exact"/>
        <w:ind w:firstLine="560" w:firstLineChars="200"/>
        <w:jc w:val="lef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甲方存在迟延支付乙方合同款项的，应当承担</w:t>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【合同专用条款】</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规定的逾期付款利息。</w:t>
      </w:r>
    </w:p>
    <w:p w14:paraId="19E4E345">
      <w:pPr>
        <w:pageBreakBefore w:val="0"/>
        <w:kinsoku/>
        <w:wordWrap/>
        <w:overflowPunct/>
        <w:topLinePunct w:val="0"/>
        <w:bidi w:val="0"/>
        <w:adjustRightInd w:val="0"/>
        <w:snapToGrid w:val="0"/>
        <w:spacing w:before="0" w:afterAutospacing="0" w:line="560" w:lineRule="exact"/>
        <w:ind w:firstLine="560" w:firstLineChars="200"/>
        <w:jc w:val="lef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1</w:t>
      </w:r>
      <w:r>
        <w:rPr>
          <w:rFonts w:hint="eastAsia" w:asciiTheme="minorEastAsia" w:hAnsiTheme="minorEastAsia" w:eastAsiaTheme="minorEastAsia" w:cstheme="minorEastAsia"/>
          <w:bCs/>
          <w:color w:val="000000" w:themeColor="text1"/>
          <w:sz w:val="28"/>
          <w:szCs w:val="28"/>
          <w:highlight w:val="none"/>
          <w:lang w:eastAsia="zh-CN"/>
          <w14:textFill>
            <w14:solidFill>
              <w14:schemeClr w14:val="tx1"/>
            </w14:solidFill>
          </w14:textFill>
        </w:rPr>
        <w:t>5</w:t>
      </w: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.4其他违约责任根据项目实际需要按</w:t>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【合同专用条款】</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规定执行。</w:t>
      </w:r>
    </w:p>
    <w:p w14:paraId="4666C4F1">
      <w:pPr>
        <w:pageBreakBefore w:val="0"/>
        <w:numPr>
          <w:ilvl w:val="0"/>
          <w:numId w:val="9"/>
        </w:numPr>
        <w:kinsoku/>
        <w:wordWrap/>
        <w:overflowPunct/>
        <w:topLinePunct w:val="0"/>
        <w:autoSpaceDE w:val="0"/>
        <w:autoSpaceDN w:val="0"/>
        <w:bidi w:val="0"/>
        <w:adjustRightInd w:val="0"/>
        <w:snapToGrid w:val="0"/>
        <w:spacing w:before="0" w:afterAutospacing="0" w:line="560" w:lineRule="exact"/>
        <w:jc w:val="left"/>
        <w:textAlignment w:val="auto"/>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合同变更</w:t>
      </w:r>
      <w:r>
        <w:rPr>
          <w:rFonts w:hint="eastAsia" w:asciiTheme="minorEastAsia" w:hAnsiTheme="minorEastAsia" w:eastAsiaTheme="minorEastAsia" w:cstheme="minorEastAsia"/>
          <w:b/>
          <w:color w:val="000000" w:themeColor="text1"/>
          <w:sz w:val="28"/>
          <w:szCs w:val="28"/>
          <w:highlight w:val="none"/>
          <w:lang w:eastAsia="zh-CN"/>
          <w14:textFill>
            <w14:solidFill>
              <w14:schemeClr w14:val="tx1"/>
            </w14:solidFill>
          </w14:textFill>
        </w:rPr>
        <w:t>、中止与终止</w:t>
      </w:r>
    </w:p>
    <w:p w14:paraId="5294798B">
      <w:pPr>
        <w:pageBreakBefore w:val="0"/>
        <w:kinsoku/>
        <w:wordWrap/>
        <w:overflowPunct/>
        <w:topLinePunct w:val="0"/>
        <w:autoSpaceDE/>
        <w:autoSpaceDN/>
        <w:bidi w:val="0"/>
        <w:adjustRightInd w:val="0"/>
        <w:snapToGrid w:val="0"/>
        <w:spacing w:before="0" w:afterAutospacing="0" w:line="560" w:lineRule="exact"/>
        <w:ind w:firstLine="0" w:firstLineChars="0"/>
        <w:jc w:val="lef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1</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.1合同的</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变更</w:t>
      </w:r>
    </w:p>
    <w:p w14:paraId="68210E63">
      <w:pPr>
        <w:pageBreakBefore w:val="0"/>
        <w:kinsoku/>
        <w:wordWrap/>
        <w:overflowPunct/>
        <w:topLinePunct w:val="0"/>
        <w:autoSpaceDE w:val="0"/>
        <w:autoSpaceDN w:val="0"/>
        <w:bidi w:val="0"/>
        <w:adjustRightInd w:val="0"/>
        <w:snapToGrid w:val="0"/>
        <w:spacing w:before="0" w:afterAutospacing="0" w:line="560" w:lineRule="exact"/>
        <w:ind w:firstLine="560" w:firstLineChars="200"/>
        <w:jc w:val="lef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合同履行中，</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在不改变合同其他条款的前提下，甲方可以在合同价款10%的范围内追加与合同标的相同的货物，并就此与乙方协商</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一致后</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签订补充协议。</w:t>
      </w:r>
    </w:p>
    <w:p w14:paraId="61B89A79">
      <w:pPr>
        <w:pageBreakBefore w:val="0"/>
        <w:kinsoku/>
        <w:wordWrap/>
        <w:overflowPunct/>
        <w:topLinePunct w:val="0"/>
        <w:bidi w:val="0"/>
        <w:adjustRightInd w:val="0"/>
        <w:snapToGrid w:val="0"/>
        <w:spacing w:before="0" w:afterAutospacing="0" w:line="560" w:lineRule="exact"/>
        <w:ind w:firstLine="560" w:firstLineChars="200"/>
        <w:jc w:val="lef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1</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合同的中止</w:t>
      </w:r>
    </w:p>
    <w:p w14:paraId="1CF02EC0">
      <w:pPr>
        <w:pageBreakBefore w:val="0"/>
        <w:kinsoku/>
        <w:wordWrap/>
        <w:overflowPunct/>
        <w:topLinePunct w:val="0"/>
        <w:autoSpaceDE w:val="0"/>
        <w:autoSpaceDN w:val="0"/>
        <w:bidi w:val="0"/>
        <w:adjustRightInd w:val="0"/>
        <w:snapToGrid w:val="0"/>
        <w:spacing w:before="0" w:afterAutospacing="0" w:line="560" w:lineRule="exact"/>
        <w:ind w:firstLine="560" w:firstLineChars="200"/>
        <w:jc w:val="lef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（1）合同履行过程中因供应商就采购文件、采购过程或结果提起投诉的，甲方认为有必要的，</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可以</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中止合同的履行。</w:t>
      </w:r>
    </w:p>
    <w:p w14:paraId="1D42D4B6">
      <w:pPr>
        <w:pageBreakBefore w:val="0"/>
        <w:kinsoku/>
        <w:wordWrap/>
        <w:overflowPunct/>
        <w:topLinePunct w:val="0"/>
        <w:autoSpaceDE w:val="0"/>
        <w:autoSpaceDN w:val="0"/>
        <w:bidi w:val="0"/>
        <w:adjustRightInd w:val="0"/>
        <w:snapToGrid w:val="0"/>
        <w:spacing w:before="0" w:afterAutospacing="0" w:line="560" w:lineRule="exact"/>
        <w:ind w:firstLine="560" w:firstLineChars="200"/>
        <w:jc w:val="lef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（2）</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合同履行过程中，</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如果乙方出现以下情形之一的：1．经营状况严重恶化；2．转移财产、抽逃资金，以逃避债务；3．丧失商业信誉；4．有丧失或者可能丧失履约能力的其他情形</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，乙方有义务及时告知甲方</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。甲方</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有权</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以书面形式通知乙方中止合同</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并要求乙方在合理期限内消除相关情形或者提供适当担保。</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乙方提供适当担保的，</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合同继续</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履行</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；乙</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方在合理期限内未恢复履约能力且未提供适当担保的，视为拒绝</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继续</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履约，甲方</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有权</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解除合同并要求乙方承担</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由此给甲方造成的损失</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w:t>
      </w:r>
    </w:p>
    <w:p w14:paraId="441F225F">
      <w:pPr>
        <w:pStyle w:val="171"/>
        <w:pageBreakBefore w:val="0"/>
        <w:kinsoku/>
        <w:wordWrap/>
        <w:overflowPunct/>
        <w:topLinePunct w:val="0"/>
        <w:bidi w:val="0"/>
        <w:spacing w:afterAutospacing="0" w:line="560" w:lineRule="exact"/>
        <w:jc w:val="both"/>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（3）乙方分立、合并或者变更住所的，应当及时以书面形式告知甲方。乙方没有</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及时告知</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甲方，致使</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合同</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履行发生困难的，甲方可以中止合同履行并要求乙方承担由此给甲方造成的损失。</w:t>
      </w:r>
    </w:p>
    <w:p w14:paraId="6FEA092A">
      <w:pPr>
        <w:pageBreakBefore w:val="0"/>
        <w:kinsoku/>
        <w:wordWrap/>
        <w:overflowPunct/>
        <w:topLinePunct w:val="0"/>
        <w:bidi w:val="0"/>
        <w:snapToGrid w:val="0"/>
        <w:spacing w:afterAutospacing="0" w:line="560" w:lineRule="exact"/>
        <w:ind w:firstLine="560" w:firstLineChars="200"/>
        <w:jc w:val="lef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）甲方不得以行政区划调整、政府换届、机构或者职能调整以及相关责任人更替为由中止合同。</w:t>
      </w:r>
    </w:p>
    <w:p w14:paraId="0404FB31">
      <w:pPr>
        <w:pageBreakBefore w:val="0"/>
        <w:kinsoku/>
        <w:wordWrap/>
        <w:overflowPunct/>
        <w:topLinePunct w:val="0"/>
        <w:bidi w:val="0"/>
        <w:adjustRightInd w:val="0"/>
        <w:snapToGrid w:val="0"/>
        <w:spacing w:before="0" w:afterAutospacing="0" w:line="560" w:lineRule="exact"/>
        <w:ind w:firstLine="560" w:firstLineChars="200"/>
        <w:jc w:val="lef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1</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合同的终止</w:t>
      </w:r>
    </w:p>
    <w:p w14:paraId="1BE676B5">
      <w:pPr>
        <w:pageBreakBefore w:val="0"/>
        <w:kinsoku/>
        <w:wordWrap/>
        <w:overflowPunct/>
        <w:topLinePunct w:val="0"/>
        <w:autoSpaceDE w:val="0"/>
        <w:autoSpaceDN w:val="0"/>
        <w:bidi w:val="0"/>
        <w:adjustRightInd w:val="0"/>
        <w:snapToGrid w:val="0"/>
        <w:spacing w:before="0" w:afterAutospacing="0" w:line="560" w:lineRule="exact"/>
        <w:ind w:firstLine="560" w:firstLineChars="200"/>
        <w:jc w:val="lef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（1）合同因有效期限届满而终止；</w:t>
      </w:r>
    </w:p>
    <w:p w14:paraId="584EB5A6">
      <w:pPr>
        <w:pageBreakBefore w:val="0"/>
        <w:kinsoku/>
        <w:wordWrap/>
        <w:overflowPunct/>
        <w:topLinePunct w:val="0"/>
        <w:bidi w:val="0"/>
        <w:snapToGrid w:val="0"/>
        <w:spacing w:afterAutospacing="0" w:line="560" w:lineRule="exact"/>
        <w:ind w:firstLine="560" w:firstLineChars="200"/>
        <w:textAlignment w:val="auto"/>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（2）乙方未</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按</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合同约定履行，构成根本性违约的，甲方有权终止合同</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并追究乙方的违约责</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任</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w:t>
      </w:r>
    </w:p>
    <w:p w14:paraId="1D22A10B">
      <w:pPr>
        <w:pStyle w:val="171"/>
        <w:pageBreakBefore w:val="0"/>
        <w:kinsoku/>
        <w:wordWrap/>
        <w:overflowPunct/>
        <w:topLinePunct w:val="0"/>
        <w:bidi w:val="0"/>
        <w:spacing w:afterAutospacing="0" w:line="560" w:lineRule="exact"/>
        <w:textAlignment w:val="auto"/>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 xml:space="preserve">16.4 </w:t>
      </w:r>
      <w:r>
        <w:rPr>
          <w:rFonts w:hint="eastAsia" w:asciiTheme="minorEastAsia" w:hAnsiTheme="minorEastAsia" w:eastAsiaTheme="minorEastAsia" w:cstheme="minorEastAsia"/>
          <w:color w:val="000000" w:themeColor="text1"/>
          <w:kern w:val="2"/>
          <w:sz w:val="28"/>
          <w:szCs w:val="28"/>
          <w:highlight w:val="none"/>
          <w:lang w:val="en-US" w:eastAsia="zh-CN"/>
          <w14:textFill>
            <w14:solidFill>
              <w14:schemeClr w14:val="tx1"/>
            </w14:solidFill>
          </w14:textFill>
        </w:rPr>
        <w:t>涉及国家利益、社会公共利益的情形</w:t>
      </w:r>
    </w:p>
    <w:p w14:paraId="2D1B3BA9">
      <w:pPr>
        <w:pStyle w:val="171"/>
        <w:pageBreakBefore w:val="0"/>
        <w:kinsoku/>
        <w:wordWrap/>
        <w:overflowPunct/>
        <w:topLinePunct w:val="0"/>
        <w:bidi w:val="0"/>
        <w:spacing w:afterAutospacing="0" w:line="560" w:lineRule="exact"/>
        <w:jc w:val="both"/>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合同继续履行将损害国家利益和社会公共利益的，双方当事人</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应当变更、</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中止</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或者终止</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合同。有过错的一方应当承担赔偿责任，双方都有过错的，各自承担相应的责任。</w:t>
      </w:r>
    </w:p>
    <w:p w14:paraId="595F1EEF">
      <w:pPr>
        <w:pageBreakBefore w:val="0"/>
        <w:kinsoku/>
        <w:wordWrap/>
        <w:overflowPunct/>
        <w:topLinePunct w:val="0"/>
        <w:autoSpaceDE w:val="0"/>
        <w:autoSpaceDN w:val="0"/>
        <w:bidi w:val="0"/>
        <w:adjustRightInd w:val="0"/>
        <w:snapToGrid w:val="0"/>
        <w:spacing w:before="0" w:afterAutospacing="0" w:line="560" w:lineRule="exact"/>
        <w:jc w:val="left"/>
        <w:textAlignment w:val="auto"/>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1</w:t>
      </w: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7</w:t>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w:t>
      </w: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合同分包</w:t>
      </w:r>
    </w:p>
    <w:p w14:paraId="6337FD8F">
      <w:pPr>
        <w:pageBreakBefore w:val="0"/>
        <w:kinsoku/>
        <w:wordWrap/>
        <w:overflowPunct/>
        <w:topLinePunct w:val="0"/>
        <w:autoSpaceDE w:val="0"/>
        <w:autoSpaceDN w:val="0"/>
        <w:bidi w:val="0"/>
        <w:adjustRightInd w:val="0"/>
        <w:snapToGrid w:val="0"/>
        <w:spacing w:before="0" w:afterAutospacing="0" w:line="560" w:lineRule="exact"/>
        <w:ind w:firstLine="560" w:firstLineChars="200"/>
        <w:jc w:val="lef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1</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.1 乙方不得</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将合同转包给其他供应商。涉及合同分包的，乙方</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应</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根据采购文件和投标（响应）文件规定进行</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合同分包。</w:t>
      </w:r>
    </w:p>
    <w:p w14:paraId="2FFD0A2E">
      <w:pPr>
        <w:pageBreakBefore w:val="0"/>
        <w:kinsoku/>
        <w:wordWrap/>
        <w:overflowPunct/>
        <w:topLinePunct w:val="0"/>
        <w:autoSpaceDE w:val="0"/>
        <w:autoSpaceDN w:val="0"/>
        <w:bidi w:val="0"/>
        <w:adjustRightInd w:val="0"/>
        <w:snapToGrid w:val="0"/>
        <w:spacing w:before="0" w:afterAutospacing="0" w:line="560" w:lineRule="exact"/>
        <w:ind w:firstLine="560" w:firstLineChars="200"/>
        <w:jc w:val="lef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1</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.2 乙方执行政府采购政策向中小企业依法分包的</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乙方应当按采购文件</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和</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投标（响应）文件签订分包</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意向</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协议，分包</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意向</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协议属于本合同组成部分。</w:t>
      </w:r>
    </w:p>
    <w:p w14:paraId="00216AF8">
      <w:pPr>
        <w:pageBreakBefore w:val="0"/>
        <w:kinsoku/>
        <w:wordWrap/>
        <w:overflowPunct/>
        <w:topLinePunct w:val="0"/>
        <w:autoSpaceDE w:val="0"/>
        <w:autoSpaceDN w:val="0"/>
        <w:bidi w:val="0"/>
        <w:adjustRightInd w:val="0"/>
        <w:snapToGrid w:val="0"/>
        <w:spacing w:before="0" w:afterAutospacing="0" w:line="560" w:lineRule="exact"/>
        <w:jc w:val="left"/>
        <w:textAlignment w:val="auto"/>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eastAsia="zh-CN"/>
          <w14:textFill>
            <w14:solidFill>
              <w14:schemeClr w14:val="tx1"/>
            </w14:solidFill>
          </w14:textFill>
        </w:rPr>
        <w:t>1</w:t>
      </w: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8</w:t>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w:t>
      </w: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不可抗力</w:t>
      </w:r>
    </w:p>
    <w:p w14:paraId="08BD2D90">
      <w:pPr>
        <w:pageBreakBefore w:val="0"/>
        <w:kinsoku/>
        <w:wordWrap/>
        <w:overflowPunct/>
        <w:topLinePunct w:val="0"/>
        <w:autoSpaceDE w:val="0"/>
        <w:autoSpaceDN w:val="0"/>
        <w:bidi w:val="0"/>
        <w:adjustRightInd w:val="0"/>
        <w:snapToGrid w:val="0"/>
        <w:spacing w:before="0" w:afterAutospacing="0" w:line="560" w:lineRule="exact"/>
        <w:ind w:firstLine="560" w:firstLineChars="200"/>
        <w:jc w:val="lef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1</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.1 不可抗力是指合同双方不能预见、不能避免且不能克服的客观情况。</w:t>
      </w:r>
    </w:p>
    <w:p w14:paraId="3994511B">
      <w:pPr>
        <w:pageBreakBefore w:val="0"/>
        <w:kinsoku/>
        <w:wordWrap/>
        <w:overflowPunct/>
        <w:topLinePunct w:val="0"/>
        <w:autoSpaceDE w:val="0"/>
        <w:autoSpaceDN w:val="0"/>
        <w:bidi w:val="0"/>
        <w:adjustRightInd w:val="0"/>
        <w:snapToGrid w:val="0"/>
        <w:spacing w:before="0" w:afterAutospacing="0" w:line="560" w:lineRule="exact"/>
        <w:ind w:firstLine="560" w:firstLineChars="200"/>
        <w:jc w:val="lef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1</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.2 任何一方对由于不可抗力造成的部分或全部不能履行合同不承担违约责任。但迟延履行后发生不可抗力的，不能免除责任。</w:t>
      </w:r>
    </w:p>
    <w:p w14:paraId="56302FB0">
      <w:pPr>
        <w:pageBreakBefore w:val="0"/>
        <w:kinsoku/>
        <w:wordWrap/>
        <w:overflowPunct/>
        <w:topLinePunct w:val="0"/>
        <w:autoSpaceDE w:val="0"/>
        <w:autoSpaceDN w:val="0"/>
        <w:bidi w:val="0"/>
        <w:adjustRightInd w:val="0"/>
        <w:snapToGrid w:val="0"/>
        <w:spacing w:before="0" w:afterAutospacing="0" w:line="560" w:lineRule="exact"/>
        <w:ind w:firstLine="560" w:firstLineChars="200"/>
        <w:jc w:val="lef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1</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.3 遇有不可抗力的一方，应及时将事件情况以书面形式</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告</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知另一方，并在事件发生后及时向另一方提交合同不能履行或部分不能履行或需要延期履行</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的详细</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报告</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，以</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及证明不可抗力发生及其持续时间的证据</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w:t>
      </w:r>
    </w:p>
    <w:p w14:paraId="123A456F">
      <w:pPr>
        <w:pageBreakBefore w:val="0"/>
        <w:kinsoku/>
        <w:wordWrap/>
        <w:overflowPunct/>
        <w:topLinePunct w:val="0"/>
        <w:autoSpaceDE w:val="0"/>
        <w:autoSpaceDN w:val="0"/>
        <w:bidi w:val="0"/>
        <w:adjustRightInd w:val="0"/>
        <w:snapToGrid w:val="0"/>
        <w:spacing w:before="0" w:afterAutospacing="0" w:line="560" w:lineRule="exact"/>
        <w:jc w:val="left"/>
        <w:textAlignment w:val="auto"/>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19</w:t>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w:t>
      </w: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解决争议的方法</w:t>
      </w:r>
    </w:p>
    <w:p w14:paraId="5F0EA3EB">
      <w:pPr>
        <w:pStyle w:val="171"/>
        <w:pageBreakBefore w:val="0"/>
        <w:kinsoku/>
        <w:wordWrap/>
        <w:overflowPunct/>
        <w:topLinePunct w:val="0"/>
        <w:bidi w:val="0"/>
        <w:spacing w:afterAutospacing="0" w:line="560" w:lineRule="exact"/>
        <w:jc w:val="both"/>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19</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.1 因本合同及合同有关事项发生的争议，由</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甲乙双</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方友好协商解决。协商不成时，可以</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向有关组织申请</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调解。合同一方或</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双</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方不愿调解或调解不成的，可以通过仲裁或诉讼的方式解决争议。</w:t>
      </w:r>
    </w:p>
    <w:p w14:paraId="13DAD658">
      <w:pPr>
        <w:pStyle w:val="171"/>
        <w:pageBreakBefore w:val="0"/>
        <w:kinsoku/>
        <w:wordWrap/>
        <w:overflowPunct/>
        <w:topLinePunct w:val="0"/>
        <w:bidi w:val="0"/>
        <w:spacing w:afterAutospacing="0" w:line="560" w:lineRule="exact"/>
        <w:jc w:val="both"/>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19</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.2 选择仲裁的，应在</w:t>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【合同专用条款】</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中明确仲裁机构及仲裁地；通过诉讼方式解决的，可以在</w:t>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【合同专用条款】</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中进一步约定选择与争议有实际联系的地点的人民法院管辖，但管辖法院的约定不得违反级别管辖和专属管辖的规定。</w:t>
      </w:r>
    </w:p>
    <w:p w14:paraId="5444A106">
      <w:pPr>
        <w:pStyle w:val="171"/>
        <w:pageBreakBefore w:val="0"/>
        <w:kinsoku/>
        <w:wordWrap/>
        <w:overflowPunct/>
        <w:topLinePunct w:val="0"/>
        <w:bidi w:val="0"/>
        <w:spacing w:afterAutospacing="0" w:line="560" w:lineRule="exact"/>
        <w:jc w:val="both"/>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19</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.3 如</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甲乙双方</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有争议的事项不影响合同其他部分的履行，在争议解决期间，合同其他部分应</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当</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继续履行。</w:t>
      </w:r>
    </w:p>
    <w:p w14:paraId="492771E9">
      <w:pPr>
        <w:pageBreakBefore w:val="0"/>
        <w:kinsoku/>
        <w:wordWrap/>
        <w:overflowPunct/>
        <w:topLinePunct w:val="0"/>
        <w:autoSpaceDE w:val="0"/>
        <w:autoSpaceDN w:val="0"/>
        <w:bidi w:val="0"/>
        <w:adjustRightInd w:val="0"/>
        <w:snapToGrid w:val="0"/>
        <w:spacing w:before="0" w:afterAutospacing="0" w:line="560" w:lineRule="exact"/>
        <w:jc w:val="lef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lang w:val="en-US" w:eastAsia="zh-CN"/>
          <w14:textFill>
            <w14:solidFill>
              <w14:schemeClr w14:val="tx1"/>
            </w14:solidFill>
          </w14:textFill>
        </w:rPr>
        <w:t>20</w:t>
      </w: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w:t>
      </w:r>
      <w:r>
        <w:rPr>
          <w:rFonts w:hint="eastAsia" w:asciiTheme="minorEastAsia" w:hAnsiTheme="minorEastAsia" w:eastAsiaTheme="minorEastAsia" w:cstheme="minorEastAsia"/>
          <w:b/>
          <w:color w:val="000000" w:themeColor="text1"/>
          <w:sz w:val="28"/>
          <w:szCs w:val="28"/>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采购政策</w:t>
      </w:r>
    </w:p>
    <w:p w14:paraId="60C507A6">
      <w:pPr>
        <w:pageBreakBefore w:val="0"/>
        <w:kinsoku/>
        <w:wordWrap/>
        <w:overflowPunct/>
        <w:topLinePunct w:val="0"/>
        <w:autoSpaceDE w:val="0"/>
        <w:autoSpaceDN w:val="0"/>
        <w:bidi w:val="0"/>
        <w:adjustRightInd w:val="0"/>
        <w:snapToGrid w:val="0"/>
        <w:spacing w:before="0" w:afterAutospacing="0" w:line="560" w:lineRule="exact"/>
        <w:ind w:firstLine="560" w:firstLineChars="200"/>
        <w:jc w:val="left"/>
        <w:textAlignment w:val="auto"/>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 xml:space="preserve">20.1 </w:t>
      </w:r>
      <w:r>
        <w:rPr>
          <w:rFonts w:hint="eastAsia" w:asciiTheme="minorEastAsia" w:hAnsiTheme="minorEastAsia" w:eastAsiaTheme="minorEastAsia" w:cstheme="minorEastAsia"/>
          <w:color w:val="000000" w:themeColor="text1"/>
          <w:sz w:val="28"/>
          <w:szCs w:val="28"/>
          <w:highlight w:val="none"/>
          <w:lang w:val="en-GB"/>
          <w14:textFill>
            <w14:solidFill>
              <w14:schemeClr w14:val="tx1"/>
            </w14:solidFill>
          </w14:textFill>
        </w:rPr>
        <w:t>本合同应当按照规定执行政府采购政策。</w:t>
      </w:r>
    </w:p>
    <w:p w14:paraId="3A822D4D">
      <w:pPr>
        <w:pageBreakBefore w:val="0"/>
        <w:kinsoku/>
        <w:wordWrap/>
        <w:overflowPunct/>
        <w:topLinePunct w:val="0"/>
        <w:autoSpaceDE w:val="0"/>
        <w:autoSpaceDN w:val="0"/>
        <w:bidi w:val="0"/>
        <w:adjustRightInd w:val="0"/>
        <w:snapToGrid w:val="0"/>
        <w:spacing w:before="0" w:afterAutospacing="0" w:line="560" w:lineRule="exact"/>
        <w:ind w:firstLine="560" w:firstLineChars="200"/>
        <w:jc w:val="lef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2</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0</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 xml:space="preserve"> 本合同依法执行政府采购政策的方式和内容，属于合同履约验收的范围。</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甲乙双方</w:t>
      </w:r>
      <w:r>
        <w:rPr>
          <w:rFonts w:hint="eastAsia" w:asciiTheme="minorEastAsia" w:hAnsiTheme="minorEastAsia" w:eastAsiaTheme="minorEastAsia" w:cstheme="minorEastAsia"/>
          <w:color w:val="000000" w:themeColor="text1"/>
          <w:sz w:val="28"/>
          <w:szCs w:val="28"/>
          <w:highlight w:val="none"/>
          <w:lang w:val="en-GB"/>
          <w14:textFill>
            <w14:solidFill>
              <w14:schemeClr w14:val="tx1"/>
            </w14:solidFill>
          </w14:textFill>
        </w:rPr>
        <w:t>未按规定要求执行政府采购政策造成损失的</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，有过错的一方应当承担赔偿责任，双方都有过错的，各自承担相应的责任。</w:t>
      </w:r>
    </w:p>
    <w:p w14:paraId="0FC36953">
      <w:pPr>
        <w:pStyle w:val="13"/>
        <w:pageBreakBefore w:val="0"/>
        <w:kinsoku/>
        <w:wordWrap/>
        <w:overflowPunct/>
        <w:topLinePunct w:val="0"/>
        <w:bidi w:val="0"/>
        <w:spacing w:after="0" w:afterAutospacing="0" w:line="560" w:lineRule="exact"/>
        <w:ind w:firstLine="560" w:firstLineChars="200"/>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2</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0</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 xml:space="preserve"> 对于</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为落实中小企业支持政策，</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通过采购项目</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整体</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预留、</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设置</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5A49E315">
      <w:pPr>
        <w:pageBreakBefore w:val="0"/>
        <w:kinsoku/>
        <w:wordWrap/>
        <w:overflowPunct/>
        <w:topLinePunct w:val="0"/>
        <w:autoSpaceDE w:val="0"/>
        <w:autoSpaceDN w:val="0"/>
        <w:bidi w:val="0"/>
        <w:adjustRightInd w:val="0"/>
        <w:snapToGrid w:val="0"/>
        <w:spacing w:before="0" w:afterAutospacing="0" w:line="560" w:lineRule="exact"/>
        <w:jc w:val="left"/>
        <w:textAlignment w:val="auto"/>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2</w:t>
      </w:r>
      <w:r>
        <w:rPr>
          <w:rFonts w:hint="eastAsia" w:asciiTheme="minorEastAsia" w:hAnsiTheme="minorEastAsia" w:eastAsiaTheme="minorEastAsia" w:cstheme="minorEastAsia"/>
          <w:b/>
          <w:color w:val="000000" w:themeColor="text1"/>
          <w:sz w:val="28"/>
          <w:szCs w:val="28"/>
          <w:highlight w:val="none"/>
          <w:lang w:val="en-US" w:eastAsia="zh-CN"/>
          <w14:textFill>
            <w14:solidFill>
              <w14:schemeClr w14:val="tx1"/>
            </w14:solidFill>
          </w14:textFill>
        </w:rPr>
        <w:t>1</w:t>
      </w: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w:t>
      </w:r>
      <w:r>
        <w:rPr>
          <w:rFonts w:hint="eastAsia" w:asciiTheme="minorEastAsia" w:hAnsiTheme="minorEastAsia" w:eastAsiaTheme="minorEastAsia" w:cstheme="minorEastAsia"/>
          <w:b/>
          <w:color w:val="000000" w:themeColor="text1"/>
          <w:sz w:val="28"/>
          <w:szCs w:val="28"/>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法律适用</w:t>
      </w:r>
    </w:p>
    <w:p w14:paraId="29E0615B">
      <w:pPr>
        <w:pStyle w:val="171"/>
        <w:pageBreakBefore w:val="0"/>
        <w:kinsoku/>
        <w:wordWrap/>
        <w:overflowPunct/>
        <w:topLinePunct w:val="0"/>
        <w:bidi w:val="0"/>
        <w:spacing w:afterAutospacing="0" w:line="560" w:lineRule="exact"/>
        <w:jc w:val="both"/>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2</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.1 本合同的订立、生效、解释、履行及与本合同有关的争议解决，均适用法律、行政法规。</w:t>
      </w:r>
    </w:p>
    <w:p w14:paraId="728EEE10">
      <w:pPr>
        <w:pStyle w:val="171"/>
        <w:pageBreakBefore w:val="0"/>
        <w:kinsoku/>
        <w:wordWrap/>
        <w:overflowPunct/>
        <w:topLinePunct w:val="0"/>
        <w:bidi w:val="0"/>
        <w:spacing w:afterAutospacing="0" w:line="560" w:lineRule="exact"/>
        <w:jc w:val="both"/>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2</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.2 本合同条款与法律、行政法规的强制性规定不一致的，双方当事人应按照法律、行政法规的强制性规定修改本合同的相关条款。</w:t>
      </w:r>
    </w:p>
    <w:p w14:paraId="3B0BC065">
      <w:pPr>
        <w:pageBreakBefore w:val="0"/>
        <w:numPr>
          <w:ilvl w:val="-1"/>
          <w:numId w:val="0"/>
        </w:numPr>
        <w:kinsoku/>
        <w:wordWrap/>
        <w:overflowPunct/>
        <w:topLinePunct w:val="0"/>
        <w:autoSpaceDE w:val="0"/>
        <w:autoSpaceDN w:val="0"/>
        <w:bidi w:val="0"/>
        <w:adjustRightInd w:val="0"/>
        <w:snapToGrid w:val="0"/>
        <w:spacing w:before="0" w:afterAutospacing="0" w:line="560" w:lineRule="exact"/>
        <w:jc w:val="left"/>
        <w:textAlignment w:val="auto"/>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lang w:val="en-US" w:eastAsia="zh-CN"/>
          <w14:textFill>
            <w14:solidFill>
              <w14:schemeClr w14:val="tx1"/>
            </w14:solidFill>
          </w14:textFill>
        </w:rPr>
        <w:t xml:space="preserve">22. </w:t>
      </w: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通知</w:t>
      </w:r>
    </w:p>
    <w:p w14:paraId="1650C6C6">
      <w:pPr>
        <w:pStyle w:val="171"/>
        <w:pageBreakBefore w:val="0"/>
        <w:kinsoku/>
        <w:wordWrap/>
        <w:overflowPunct/>
        <w:topLinePunct w:val="0"/>
        <w:bidi w:val="0"/>
        <w:spacing w:afterAutospacing="0" w:line="560" w:lineRule="exact"/>
        <w:jc w:val="both"/>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2</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.1</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本合同任何一方向对方发出的通知、信件、数据电文等，应当发送至本合同第一部分《合同协议书》所约定的通讯地址、联系人、联系电话或电子邮箱。</w:t>
      </w:r>
    </w:p>
    <w:p w14:paraId="5EC48620">
      <w:pPr>
        <w:pStyle w:val="171"/>
        <w:pageBreakBefore w:val="0"/>
        <w:kinsoku/>
        <w:wordWrap/>
        <w:overflowPunct/>
        <w:topLinePunct w:val="0"/>
        <w:bidi w:val="0"/>
        <w:spacing w:afterAutospacing="0" w:line="560" w:lineRule="exact"/>
        <w:ind w:firstLine="0" w:firstLineChars="0"/>
        <w:jc w:val="both"/>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2</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.2</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一方当事人变更名称、</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住所</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、联系人、联系电话或电子邮箱</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等信息</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的，应当在变更后3日内及时书面通知对方，对方实际收到变更通知前的送达仍为有效送达。</w:t>
      </w:r>
    </w:p>
    <w:p w14:paraId="086F0B02">
      <w:pPr>
        <w:pageBreakBefore w:val="0"/>
        <w:kinsoku/>
        <w:wordWrap/>
        <w:overflowPunct/>
        <w:topLinePunct w:val="0"/>
        <w:bidi w:val="0"/>
        <w:adjustRightInd w:val="0"/>
        <w:snapToGrid w:val="0"/>
        <w:spacing w:before="0" w:afterAutospacing="0" w:line="560" w:lineRule="exact"/>
        <w:ind w:firstLine="560" w:firstLineChars="200"/>
        <w:jc w:val="lef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2</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本合同一方给另一方的通知均应采用书面形式，传真或快递送到本合同中规定的对方的地址和办理签收手续。</w:t>
      </w:r>
    </w:p>
    <w:p w14:paraId="772B71AC">
      <w:pPr>
        <w:pageBreakBefore w:val="0"/>
        <w:kinsoku/>
        <w:wordWrap/>
        <w:overflowPunct/>
        <w:topLinePunct w:val="0"/>
        <w:bidi w:val="0"/>
        <w:adjustRightInd w:val="0"/>
        <w:snapToGrid w:val="0"/>
        <w:spacing w:before="0" w:afterAutospacing="0" w:line="560" w:lineRule="exact"/>
        <w:ind w:firstLine="560" w:firstLineChars="200"/>
        <w:jc w:val="lef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2</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通知以送达之日或通知书中规定的生效之日起生效，两者中以较迟之日为准。</w:t>
      </w:r>
    </w:p>
    <w:p w14:paraId="1261883C">
      <w:pPr>
        <w:pageBreakBefore w:val="0"/>
        <w:numPr>
          <w:ilvl w:val="0"/>
          <w:numId w:val="10"/>
        </w:numPr>
        <w:kinsoku/>
        <w:wordWrap/>
        <w:overflowPunct/>
        <w:topLinePunct w:val="0"/>
        <w:bidi w:val="0"/>
        <w:adjustRightInd w:val="0"/>
        <w:snapToGrid w:val="0"/>
        <w:spacing w:before="0" w:afterAutospacing="0" w:line="560" w:lineRule="exact"/>
        <w:jc w:val="left"/>
        <w:textAlignment w:val="auto"/>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合同未尽事项</w:t>
      </w:r>
    </w:p>
    <w:p w14:paraId="207B83E1">
      <w:pPr>
        <w:pageBreakBefore w:val="0"/>
        <w:kinsoku/>
        <w:wordWrap/>
        <w:overflowPunct/>
        <w:topLinePunct w:val="0"/>
        <w:bidi w:val="0"/>
        <w:adjustRightInd w:val="0"/>
        <w:snapToGrid w:val="0"/>
        <w:spacing w:before="0" w:afterAutospacing="0" w:line="560" w:lineRule="exact"/>
        <w:ind w:firstLine="560" w:firstLineChars="200"/>
        <w:jc w:val="left"/>
        <w:textAlignment w:val="auto"/>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2</w:t>
      </w:r>
      <w:r>
        <w:rPr>
          <w:rFonts w:hint="eastAsia" w:asciiTheme="minorEastAsia" w:hAnsiTheme="minorEastAsia" w:eastAsiaTheme="minorEastAsia" w:cstheme="minorEastAsia"/>
          <w:bCs/>
          <w:color w:val="000000" w:themeColor="text1"/>
          <w:sz w:val="28"/>
          <w:szCs w:val="28"/>
          <w:highlight w:val="none"/>
          <w:lang w:val="en-US" w:eastAsia="zh-CN"/>
          <w14:textFill>
            <w14:solidFill>
              <w14:schemeClr w14:val="tx1"/>
            </w14:solidFill>
          </w14:textFill>
        </w:rPr>
        <w:t>3</w:t>
      </w: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.1合同未尽事项见</w:t>
      </w: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【合同专用条款】</w:t>
      </w: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w:t>
      </w:r>
    </w:p>
    <w:p w14:paraId="09607DF0">
      <w:pPr>
        <w:pageBreakBefore w:val="0"/>
        <w:kinsoku/>
        <w:wordWrap/>
        <w:overflowPunct/>
        <w:topLinePunct w:val="0"/>
        <w:bidi w:val="0"/>
        <w:adjustRightInd w:val="0"/>
        <w:snapToGrid w:val="0"/>
        <w:spacing w:afterAutospacing="0" w:line="560" w:lineRule="exact"/>
        <w:ind w:firstLine="0" w:firstLineChars="0"/>
        <w:jc w:val="lef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8"/>
          <w:szCs w:val="28"/>
          <w:highlight w:val="none"/>
          <w:lang w:val="en-US" w:eastAsia="zh-CN"/>
          <w14:textFill>
            <w14:solidFill>
              <w14:schemeClr w14:val="tx1"/>
            </w14:solidFill>
          </w14:textFill>
        </w:rPr>
        <w:t xml:space="preserve">    23.2 合同附件与合同正文具有同等的法律效力。</w:t>
      </w:r>
    </w:p>
    <w:p w14:paraId="653C6AF0">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b w:val="0"/>
          <w:bCs w:val="0"/>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8"/>
          <w:szCs w:val="28"/>
          <w:highlight w:val="none"/>
          <w14:textFill>
            <w14:solidFill>
              <w14:schemeClr w14:val="tx1"/>
            </w14:solidFill>
          </w14:textFill>
        </w:rPr>
        <w:br w:type="page"/>
      </w:r>
    </w:p>
    <w:p w14:paraId="32342135">
      <w:pPr>
        <w:pStyle w:val="3"/>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b w:val="0"/>
          <w:bCs w:val="0"/>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8"/>
          <w:szCs w:val="28"/>
          <w:highlight w:val="none"/>
          <w14:textFill>
            <w14:solidFill>
              <w14:schemeClr w14:val="tx1"/>
            </w14:solidFill>
          </w14:textFill>
        </w:rPr>
        <w:t>第三节 合同专用条款</w:t>
      </w:r>
    </w:p>
    <w:tbl>
      <w:tblPr>
        <w:tblStyle w:val="34"/>
        <w:tblW w:w="9278"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750"/>
        <w:gridCol w:w="1897"/>
        <w:gridCol w:w="5631"/>
      </w:tblGrid>
      <w:tr w14:paraId="6675A8E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750" w:type="dxa"/>
            <w:vAlign w:val="center"/>
          </w:tcPr>
          <w:p w14:paraId="44217CD1">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第二节</w:t>
            </w:r>
          </w:p>
          <w:p w14:paraId="26D39FA9">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第</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4.6款</w:t>
            </w:r>
          </w:p>
        </w:tc>
        <w:tc>
          <w:tcPr>
            <w:tcW w:w="1897" w:type="dxa"/>
            <w:vAlign w:val="center"/>
          </w:tcPr>
          <w:p w14:paraId="36AEF5F3">
            <w:pPr>
              <w:pageBreakBefore w:val="0"/>
              <w:kinsoku/>
              <w:wordWrap/>
              <w:overflowPunct/>
              <w:topLinePunct w:val="0"/>
              <w:bidi w:val="0"/>
              <w:adjustRightInd w:val="0"/>
              <w:snapToGrid w:val="0"/>
              <w:spacing w:afterAutospacing="0" w:line="560" w:lineRule="exact"/>
              <w:jc w:val="left"/>
              <w:textAlignment w:val="auto"/>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约定甲方承担的其他义务和责任</w:t>
            </w:r>
          </w:p>
        </w:tc>
        <w:tc>
          <w:tcPr>
            <w:tcW w:w="5631" w:type="dxa"/>
            <w:vAlign w:val="center"/>
          </w:tcPr>
          <w:p w14:paraId="61132B7C">
            <w:pPr>
              <w:pageBreakBefore w:val="0"/>
              <w:kinsoku/>
              <w:wordWrap/>
              <w:overflowPunct/>
              <w:topLinePunct w:val="0"/>
              <w:bidi w:val="0"/>
              <w:adjustRightInd w:val="0"/>
              <w:snapToGrid w:val="0"/>
              <w:spacing w:afterAutospacing="0" w:line="560" w:lineRule="exact"/>
              <w:jc w:val="left"/>
              <w:textAlignment w:val="auto"/>
              <w:rPr>
                <w:rFonts w:hint="eastAsia" w:asciiTheme="minorEastAsia" w:hAnsiTheme="minorEastAsia" w:eastAsiaTheme="minorEastAsia" w:cstheme="minorEastAsia"/>
                <w:color w:val="000000" w:themeColor="text1"/>
                <w:kern w:val="2"/>
                <w:sz w:val="28"/>
                <w:szCs w:val="28"/>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8"/>
                <w:szCs w:val="28"/>
                <w:highlight w:val="none"/>
                <w:lang w:val="en-US" w:eastAsia="zh-CN" w:bidi="ar-SA"/>
                <w14:textFill>
                  <w14:solidFill>
                    <w14:schemeClr w14:val="tx1"/>
                  </w14:solidFill>
                </w14:textFill>
              </w:rPr>
              <w:t>/</w:t>
            </w:r>
          </w:p>
        </w:tc>
      </w:tr>
      <w:tr w14:paraId="704F099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750" w:type="dxa"/>
            <w:vAlign w:val="center"/>
          </w:tcPr>
          <w:p w14:paraId="16109EAF">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第二节</w:t>
            </w:r>
          </w:p>
          <w:p w14:paraId="6FA4272F">
            <w:pPr>
              <w:pageBreakBefore w:val="0"/>
              <w:kinsoku/>
              <w:wordWrap/>
              <w:overflowPunct/>
              <w:topLinePunct w:val="0"/>
              <w:bidi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第</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5.4款</w:t>
            </w:r>
          </w:p>
        </w:tc>
        <w:tc>
          <w:tcPr>
            <w:tcW w:w="1897" w:type="dxa"/>
            <w:vAlign w:val="center"/>
          </w:tcPr>
          <w:p w14:paraId="33C0C84A">
            <w:pPr>
              <w:pageBreakBefore w:val="0"/>
              <w:kinsoku/>
              <w:wordWrap/>
              <w:overflowPunct/>
              <w:topLinePunct w:val="0"/>
              <w:bidi w:val="0"/>
              <w:adjustRightInd w:val="0"/>
              <w:snapToGrid w:val="0"/>
              <w:spacing w:afterAutospacing="0" w:line="560" w:lineRule="exact"/>
              <w:jc w:val="left"/>
              <w:textAlignment w:val="auto"/>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约定乙方承担的其他义务和责任</w:t>
            </w:r>
          </w:p>
        </w:tc>
        <w:tc>
          <w:tcPr>
            <w:tcW w:w="5631" w:type="dxa"/>
            <w:vAlign w:val="center"/>
          </w:tcPr>
          <w:p w14:paraId="3A884CCB">
            <w:pPr>
              <w:pageBreakBefore w:val="0"/>
              <w:kinsoku/>
              <w:wordWrap/>
              <w:overflowPunct/>
              <w:topLinePunct w:val="0"/>
              <w:bidi w:val="0"/>
              <w:adjustRightInd w:val="0"/>
              <w:snapToGrid w:val="0"/>
              <w:spacing w:afterAutospacing="0" w:line="560" w:lineRule="exact"/>
              <w:jc w:val="left"/>
              <w:textAlignment w:val="auto"/>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1、在质保期内，乙方需提供免费的维修及零配件更换，乙方有义务向甲方提供合同项下设备的终生技术支持，包括技术咨询及技术人员的支持和零配件在设备使用寿命内的供应保证，更换配件的质保期应从更换之日起另行计算。</w:t>
            </w:r>
          </w:p>
          <w:p w14:paraId="65B39D49">
            <w:pPr>
              <w:pageBreakBefore w:val="0"/>
              <w:kinsoku/>
              <w:wordWrap/>
              <w:overflowPunct/>
              <w:topLinePunct w:val="0"/>
              <w:bidi w:val="0"/>
              <w:adjustRightInd w:val="0"/>
              <w:snapToGrid w:val="0"/>
              <w:spacing w:afterAutospacing="0" w:line="560" w:lineRule="exact"/>
              <w:jc w:val="left"/>
              <w:textAlignment w:val="auto"/>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2、在甲方发出要求服务通知的24小时内，乙方指派的服务人员必须到达用户方现场，对设备出现的较大的问题，解决时间不超过2个日历日。</w:t>
            </w:r>
          </w:p>
          <w:p w14:paraId="2EAE9A72">
            <w:pPr>
              <w:pageBreakBefore w:val="0"/>
              <w:kinsoku/>
              <w:wordWrap/>
              <w:overflowPunct/>
              <w:topLinePunct w:val="0"/>
              <w:bidi w:val="0"/>
              <w:adjustRightInd w:val="0"/>
              <w:snapToGrid w:val="0"/>
              <w:spacing w:afterAutospacing="0" w:line="560" w:lineRule="exact"/>
              <w:jc w:val="left"/>
              <w:textAlignment w:val="auto"/>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3、如设备维修调试后达不到合同规定的质量或技术指标要求，甲方有权提出退货，并要求乙方退回货款。</w:t>
            </w:r>
          </w:p>
          <w:p w14:paraId="582DA87C">
            <w:pPr>
              <w:pageBreakBefore w:val="0"/>
              <w:kinsoku/>
              <w:wordWrap/>
              <w:overflowPunct/>
              <w:topLinePunct w:val="0"/>
              <w:bidi w:val="0"/>
              <w:adjustRightInd w:val="0"/>
              <w:snapToGrid w:val="0"/>
              <w:spacing w:afterAutospacing="0" w:line="560" w:lineRule="exact"/>
              <w:jc w:val="left"/>
              <w:textAlignment w:val="auto"/>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4、对于隐蔽性的、合理的检查和试验都不能发觉的缺陷，即使质量保证期已过，由于其产品本身的设计缺陷、制造缺陷、安装缺陷造成的故障，仍由乙方免费负责维修、更换。</w:t>
            </w:r>
          </w:p>
          <w:p w14:paraId="00F5E138">
            <w:pPr>
              <w:pStyle w:val="171"/>
              <w:pageBreakBefore w:val="0"/>
              <w:kinsoku/>
              <w:wordWrap/>
              <w:overflowPunct/>
              <w:topLinePunct w:val="0"/>
              <w:bidi w:val="0"/>
              <w:spacing w:afterAutospacing="0" w:line="560" w:lineRule="exact"/>
              <w:ind w:left="0" w:leftChars="0" w:firstLine="0" w:firstLineChars="0"/>
              <w:textAlignment w:val="auto"/>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8"/>
                <w:szCs w:val="28"/>
                <w:highlight w:val="none"/>
                <w:lang w:val="en-US" w:eastAsia="zh-CN" w:bidi="ar-SA"/>
                <w14:textFill>
                  <w14:solidFill>
                    <w14:schemeClr w14:val="tx1"/>
                  </w14:solidFill>
                </w14:textFill>
              </w:rPr>
              <w:t>5、质保期外，终身维修，定期保养，最优惠提供零配件、易损件和耗材。</w:t>
            </w:r>
          </w:p>
        </w:tc>
      </w:tr>
      <w:tr w14:paraId="17BAA6C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750" w:type="dxa"/>
            <w:vAlign w:val="center"/>
          </w:tcPr>
          <w:p w14:paraId="6B3B4409">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第二节</w:t>
            </w:r>
          </w:p>
          <w:p w14:paraId="140272D7">
            <w:pPr>
              <w:pageBreakBefore w:val="0"/>
              <w:kinsoku/>
              <w:wordWrap/>
              <w:overflowPunct/>
              <w:topLinePunct w:val="0"/>
              <w:bidi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第</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6.1款</w:t>
            </w:r>
          </w:p>
        </w:tc>
        <w:tc>
          <w:tcPr>
            <w:tcW w:w="1897" w:type="dxa"/>
            <w:vAlign w:val="center"/>
          </w:tcPr>
          <w:p w14:paraId="2FEF5371">
            <w:pPr>
              <w:pageBreakBefore w:val="0"/>
              <w:kinsoku/>
              <w:wordWrap/>
              <w:overflowPunct/>
              <w:topLinePunct w:val="0"/>
              <w:bidi w:val="0"/>
              <w:adjustRightInd w:val="0"/>
              <w:snapToGrid w:val="0"/>
              <w:spacing w:afterAutospacing="0" w:line="560" w:lineRule="exact"/>
              <w:jc w:val="left"/>
              <w:textAlignment w:val="auto"/>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履行合同义务的顺序</w:t>
            </w:r>
          </w:p>
        </w:tc>
        <w:tc>
          <w:tcPr>
            <w:tcW w:w="5631" w:type="dxa"/>
            <w:vAlign w:val="center"/>
          </w:tcPr>
          <w:p w14:paraId="19FF6E59">
            <w:pPr>
              <w:pageBreakBefore w:val="0"/>
              <w:kinsoku/>
              <w:wordWrap/>
              <w:overflowPunct/>
              <w:topLinePunct w:val="0"/>
              <w:bidi w:val="0"/>
              <w:adjustRightInd w:val="0"/>
              <w:snapToGrid w:val="0"/>
              <w:spacing w:afterAutospacing="0" w:line="560" w:lineRule="exact"/>
              <w:jc w:val="left"/>
              <w:textAlignment w:val="auto"/>
              <w:rPr>
                <w:rFonts w:hint="eastAsia" w:asciiTheme="minorEastAsia" w:hAnsiTheme="minorEastAsia" w:eastAsiaTheme="minorEastAsia" w:cstheme="minorEastAsia"/>
                <w:color w:val="000000" w:themeColor="text1"/>
                <w:kern w:val="2"/>
                <w:sz w:val="28"/>
                <w:szCs w:val="28"/>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8"/>
                <w:szCs w:val="28"/>
                <w:highlight w:val="none"/>
                <w:lang w:val="en-US" w:eastAsia="zh-CN" w:bidi="ar-SA"/>
                <w14:textFill>
                  <w14:solidFill>
                    <w14:schemeClr w14:val="tx1"/>
                  </w14:solidFill>
                </w14:textFill>
              </w:rPr>
              <w:t>/</w:t>
            </w:r>
          </w:p>
        </w:tc>
      </w:tr>
      <w:tr w14:paraId="3AFE934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750" w:type="dxa"/>
            <w:vMerge w:val="restart"/>
            <w:vAlign w:val="center"/>
          </w:tcPr>
          <w:p w14:paraId="7F236D9F">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第二节</w:t>
            </w:r>
          </w:p>
          <w:p w14:paraId="28CA4155">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第</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.1</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款</w:t>
            </w:r>
          </w:p>
        </w:tc>
        <w:tc>
          <w:tcPr>
            <w:tcW w:w="1897" w:type="dxa"/>
            <w:vAlign w:val="center"/>
          </w:tcPr>
          <w:p w14:paraId="14F00C79">
            <w:pPr>
              <w:pageBreakBefore w:val="0"/>
              <w:kinsoku/>
              <w:wordWrap/>
              <w:overflowPunct/>
              <w:topLinePunct w:val="0"/>
              <w:bidi w:val="0"/>
              <w:adjustRightInd w:val="0"/>
              <w:snapToGrid w:val="0"/>
              <w:spacing w:afterAutospacing="0" w:line="560" w:lineRule="exact"/>
              <w:jc w:val="lef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包装</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特殊要求</w:t>
            </w:r>
          </w:p>
        </w:tc>
        <w:tc>
          <w:tcPr>
            <w:tcW w:w="5631" w:type="dxa"/>
            <w:vAlign w:val="center"/>
          </w:tcPr>
          <w:p w14:paraId="4F78EB7D">
            <w:pPr>
              <w:pageBreakBefore w:val="0"/>
              <w:kinsoku/>
              <w:wordWrap/>
              <w:overflowPunct/>
              <w:topLinePunct w:val="0"/>
              <w:bidi w:val="0"/>
              <w:spacing w:afterAutospacing="0" w:line="560" w:lineRule="exac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乙方必须提供未经使用的全新产品，采用厂家原装包装。由于包装不善所发生的一切费用和损失，由乙方负担。</w:t>
            </w:r>
          </w:p>
        </w:tc>
      </w:tr>
      <w:tr w14:paraId="1E2CF45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750" w:type="dxa"/>
            <w:vMerge w:val="continue"/>
            <w:vAlign w:val="center"/>
          </w:tcPr>
          <w:p w14:paraId="220038B0">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p>
        </w:tc>
        <w:tc>
          <w:tcPr>
            <w:tcW w:w="1897" w:type="dxa"/>
            <w:vAlign w:val="center"/>
          </w:tcPr>
          <w:p w14:paraId="1F7F1F3E">
            <w:pPr>
              <w:pageBreakBefore w:val="0"/>
              <w:kinsoku/>
              <w:wordWrap/>
              <w:overflowPunct/>
              <w:topLinePunct w:val="0"/>
              <w:bidi w:val="0"/>
              <w:adjustRightInd w:val="0"/>
              <w:snapToGrid w:val="0"/>
              <w:spacing w:afterAutospacing="0" w:line="560" w:lineRule="exact"/>
              <w:jc w:val="left"/>
              <w:textAlignment w:val="auto"/>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指定现场</w:t>
            </w:r>
          </w:p>
        </w:tc>
        <w:tc>
          <w:tcPr>
            <w:tcW w:w="5631" w:type="dxa"/>
            <w:vAlign w:val="center"/>
          </w:tcPr>
          <w:p w14:paraId="251A8160">
            <w:pPr>
              <w:pageBreakBefore w:val="0"/>
              <w:kinsoku/>
              <w:wordWrap/>
              <w:overflowPunct/>
              <w:topLinePunct w:val="0"/>
              <w:bidi w:val="0"/>
              <w:spacing w:afterAutospacing="0" w:line="560" w:lineRule="exact"/>
              <w:textAlignment w:val="auto"/>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甲方指定地点</w:t>
            </w:r>
          </w:p>
        </w:tc>
      </w:tr>
      <w:tr w14:paraId="5E5D300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750" w:type="dxa"/>
            <w:vAlign w:val="center"/>
          </w:tcPr>
          <w:p w14:paraId="342DA470">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第二节</w:t>
            </w:r>
          </w:p>
          <w:p w14:paraId="47D68DC6">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第</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.2</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款</w:t>
            </w:r>
          </w:p>
        </w:tc>
        <w:tc>
          <w:tcPr>
            <w:tcW w:w="1897" w:type="dxa"/>
            <w:vAlign w:val="center"/>
          </w:tcPr>
          <w:p w14:paraId="3A218FC8">
            <w:pPr>
              <w:pageBreakBefore w:val="0"/>
              <w:kinsoku/>
              <w:wordWrap/>
              <w:overflowPunct/>
              <w:topLinePunct w:val="0"/>
              <w:bidi w:val="0"/>
              <w:adjustRightInd w:val="0"/>
              <w:snapToGrid w:val="0"/>
              <w:spacing w:afterAutospacing="0" w:line="560" w:lineRule="exact"/>
              <w:jc w:val="left"/>
              <w:textAlignment w:val="auto"/>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运输特殊要求</w:t>
            </w:r>
          </w:p>
        </w:tc>
        <w:tc>
          <w:tcPr>
            <w:tcW w:w="5631" w:type="dxa"/>
            <w:vAlign w:val="center"/>
          </w:tcPr>
          <w:p w14:paraId="59D57345">
            <w:pPr>
              <w:pageBreakBefore w:val="0"/>
              <w:kinsoku/>
              <w:wordWrap/>
              <w:overflowPunct/>
              <w:topLinePunct w:val="0"/>
              <w:bidi w:val="0"/>
              <w:spacing w:afterAutospacing="0" w:line="560" w:lineRule="exact"/>
              <w:textAlignment w:val="auto"/>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w:t>
            </w:r>
          </w:p>
        </w:tc>
      </w:tr>
      <w:tr w14:paraId="326F5AF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750" w:type="dxa"/>
            <w:vAlign w:val="center"/>
          </w:tcPr>
          <w:p w14:paraId="1B36AF87">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第二节</w:t>
            </w:r>
          </w:p>
          <w:p w14:paraId="096BA17F">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第</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.3</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款</w:t>
            </w:r>
          </w:p>
        </w:tc>
        <w:tc>
          <w:tcPr>
            <w:tcW w:w="1897" w:type="dxa"/>
            <w:vAlign w:val="center"/>
          </w:tcPr>
          <w:p w14:paraId="6F843B54">
            <w:pPr>
              <w:pageBreakBefore w:val="0"/>
              <w:kinsoku/>
              <w:wordWrap/>
              <w:overflowPunct/>
              <w:topLinePunct w:val="0"/>
              <w:bidi w:val="0"/>
              <w:adjustRightInd w:val="0"/>
              <w:snapToGrid w:val="0"/>
              <w:spacing w:afterAutospacing="0" w:line="560" w:lineRule="exact"/>
              <w:jc w:val="left"/>
              <w:textAlignment w:val="auto"/>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保险要求</w:t>
            </w:r>
          </w:p>
        </w:tc>
        <w:tc>
          <w:tcPr>
            <w:tcW w:w="5631" w:type="dxa"/>
            <w:vAlign w:val="center"/>
          </w:tcPr>
          <w:p w14:paraId="41475C4B">
            <w:pPr>
              <w:pageBreakBefore w:val="0"/>
              <w:kinsoku/>
              <w:wordWrap/>
              <w:overflowPunct/>
              <w:topLinePunct w:val="0"/>
              <w:bidi w:val="0"/>
              <w:spacing w:afterAutospacing="0" w:line="560" w:lineRule="exact"/>
              <w:textAlignment w:val="auto"/>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w:t>
            </w:r>
          </w:p>
        </w:tc>
      </w:tr>
      <w:tr w14:paraId="15653AA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750" w:type="dxa"/>
            <w:vAlign w:val="center"/>
          </w:tcPr>
          <w:p w14:paraId="65FED23F">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第二节</w:t>
            </w:r>
          </w:p>
          <w:p w14:paraId="60CD1E2F">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第</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.2（1）项</w:t>
            </w:r>
          </w:p>
        </w:tc>
        <w:tc>
          <w:tcPr>
            <w:tcW w:w="1897" w:type="dxa"/>
            <w:vAlign w:val="center"/>
          </w:tcPr>
          <w:p w14:paraId="49B23D3E">
            <w:pPr>
              <w:pageBreakBefore w:val="0"/>
              <w:kinsoku/>
              <w:wordWrap/>
              <w:overflowPunct/>
              <w:topLinePunct w:val="0"/>
              <w:bidi w:val="0"/>
              <w:adjustRightInd w:val="0"/>
              <w:snapToGrid w:val="0"/>
              <w:spacing w:afterAutospacing="0" w:line="560" w:lineRule="exact"/>
              <w:jc w:val="lef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质量保证期</w:t>
            </w:r>
          </w:p>
        </w:tc>
        <w:tc>
          <w:tcPr>
            <w:tcW w:w="5631" w:type="dxa"/>
            <w:vAlign w:val="center"/>
          </w:tcPr>
          <w:p w14:paraId="3F9B5E46">
            <w:pPr>
              <w:pageBreakBefore w:val="0"/>
              <w:kinsoku/>
              <w:wordWrap/>
              <w:overflowPunct/>
              <w:topLinePunct w:val="0"/>
              <w:autoSpaceDE w:val="0"/>
              <w:autoSpaceDN w:val="0"/>
              <w:bidi w:val="0"/>
              <w:adjustRightInd w:val="0"/>
              <w:snapToGrid w:val="0"/>
              <w:spacing w:afterAutospacing="0" w:line="560" w:lineRule="exact"/>
              <w:jc w:val="left"/>
              <w:textAlignment w:val="auto"/>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自货物验收合格之日起   年。</w:t>
            </w:r>
          </w:p>
        </w:tc>
      </w:tr>
      <w:tr w14:paraId="7CE56DD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750" w:type="dxa"/>
            <w:vAlign w:val="center"/>
          </w:tcPr>
          <w:p w14:paraId="39384A3A">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第二节</w:t>
            </w:r>
          </w:p>
          <w:p w14:paraId="1B1C8E36">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第</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.2（3）项</w:t>
            </w:r>
          </w:p>
        </w:tc>
        <w:tc>
          <w:tcPr>
            <w:tcW w:w="1897" w:type="dxa"/>
            <w:vAlign w:val="center"/>
          </w:tcPr>
          <w:p w14:paraId="69E07700">
            <w:pPr>
              <w:pageBreakBefore w:val="0"/>
              <w:kinsoku/>
              <w:wordWrap/>
              <w:overflowPunct/>
              <w:topLinePunct w:val="0"/>
              <w:bidi w:val="0"/>
              <w:adjustRightInd w:val="0"/>
              <w:snapToGrid w:val="0"/>
              <w:spacing w:afterAutospacing="0" w:line="560" w:lineRule="exact"/>
              <w:jc w:val="left"/>
              <w:textAlignment w:val="auto"/>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货物质量缺陷</w:t>
            </w:r>
          </w:p>
          <w:p w14:paraId="0FC4F641">
            <w:pPr>
              <w:pageBreakBefore w:val="0"/>
              <w:kinsoku/>
              <w:wordWrap/>
              <w:overflowPunct/>
              <w:topLinePunct w:val="0"/>
              <w:bidi w:val="0"/>
              <w:adjustRightInd w:val="0"/>
              <w:snapToGrid w:val="0"/>
              <w:spacing w:afterAutospacing="0" w:line="560" w:lineRule="exact"/>
              <w:jc w:val="lef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响应时间</w:t>
            </w:r>
          </w:p>
        </w:tc>
        <w:tc>
          <w:tcPr>
            <w:tcW w:w="5631" w:type="dxa"/>
            <w:vAlign w:val="center"/>
          </w:tcPr>
          <w:p w14:paraId="38C614A5">
            <w:pPr>
              <w:pageBreakBefore w:val="0"/>
              <w:kinsoku/>
              <w:wordWrap/>
              <w:overflowPunct/>
              <w:topLinePunct w:val="0"/>
              <w:bidi w:val="0"/>
              <w:adjustRightInd w:val="0"/>
              <w:snapToGrid w:val="0"/>
              <w:spacing w:afterAutospacing="0" w:line="560" w:lineRule="exact"/>
              <w:jc w:val="both"/>
              <w:textAlignment w:val="auto"/>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收到甲方通知起一日内。</w:t>
            </w:r>
          </w:p>
        </w:tc>
      </w:tr>
      <w:tr w14:paraId="08CFEAA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750" w:type="dxa"/>
            <w:vAlign w:val="center"/>
          </w:tcPr>
          <w:p w14:paraId="278AA7EC">
            <w:pPr>
              <w:pageBreakBefore w:val="0"/>
              <w:kinsoku/>
              <w:wordWrap/>
              <w:overflowPunct/>
              <w:topLinePunct w:val="0"/>
              <w:bidi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第二节</w:t>
            </w:r>
          </w:p>
          <w:p w14:paraId="3EF585FC">
            <w:pPr>
              <w:pStyle w:val="171"/>
              <w:pageBreakBefore w:val="0"/>
              <w:kinsoku/>
              <w:wordWrap/>
              <w:overflowPunct/>
              <w:topLinePunct w:val="0"/>
              <w:bidi w:val="0"/>
              <w:spacing w:afterAutospacing="0" w:line="560" w:lineRule="exact"/>
              <w:ind w:firstLine="0" w:firstLineChars="0"/>
              <w:jc w:val="center"/>
              <w:textAlignment w:val="auto"/>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第11.1款</w:t>
            </w:r>
          </w:p>
        </w:tc>
        <w:tc>
          <w:tcPr>
            <w:tcW w:w="1897" w:type="dxa"/>
            <w:vAlign w:val="center"/>
          </w:tcPr>
          <w:p w14:paraId="7A3FF9D2">
            <w:pPr>
              <w:pageBreakBefore w:val="0"/>
              <w:kinsoku/>
              <w:wordWrap/>
              <w:overflowPunct/>
              <w:topLinePunct w:val="0"/>
              <w:bidi w:val="0"/>
              <w:adjustRightInd w:val="0"/>
              <w:snapToGrid w:val="0"/>
              <w:spacing w:afterAutospacing="0" w:line="560" w:lineRule="exact"/>
              <w:jc w:val="both"/>
              <w:textAlignment w:val="auto"/>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其他应当保密的信息</w:t>
            </w:r>
          </w:p>
        </w:tc>
        <w:tc>
          <w:tcPr>
            <w:tcW w:w="5631" w:type="dxa"/>
            <w:vAlign w:val="center"/>
          </w:tcPr>
          <w:p w14:paraId="36611FEE">
            <w:pPr>
              <w:pageBreakBefore w:val="0"/>
              <w:kinsoku/>
              <w:wordWrap/>
              <w:overflowPunct/>
              <w:topLinePunct w:val="0"/>
              <w:bidi w:val="0"/>
              <w:adjustRightInd w:val="0"/>
              <w:snapToGrid w:val="0"/>
              <w:spacing w:afterAutospacing="0" w:line="560" w:lineRule="exact"/>
              <w:jc w:val="left"/>
              <w:textAlignment w:val="auto"/>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w:t>
            </w:r>
          </w:p>
        </w:tc>
      </w:tr>
      <w:tr w14:paraId="652A1ED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750" w:type="dxa"/>
            <w:vAlign w:val="center"/>
          </w:tcPr>
          <w:p w14:paraId="172D31B9">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第二节</w:t>
            </w:r>
          </w:p>
          <w:p w14:paraId="57E37EBC">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第1</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.2款</w:t>
            </w:r>
          </w:p>
        </w:tc>
        <w:tc>
          <w:tcPr>
            <w:tcW w:w="1897" w:type="dxa"/>
            <w:vAlign w:val="center"/>
          </w:tcPr>
          <w:p w14:paraId="2BACCD97">
            <w:pPr>
              <w:pageBreakBefore w:val="0"/>
              <w:kinsoku/>
              <w:wordWrap/>
              <w:overflowPunct/>
              <w:topLinePunct w:val="0"/>
              <w:bidi w:val="0"/>
              <w:adjustRightInd w:val="0"/>
              <w:snapToGrid w:val="0"/>
              <w:spacing w:afterAutospacing="0" w:line="560" w:lineRule="exact"/>
              <w:jc w:val="left"/>
              <w:textAlignment w:val="auto"/>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合同价款支付</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时间</w:t>
            </w:r>
          </w:p>
        </w:tc>
        <w:tc>
          <w:tcPr>
            <w:tcW w:w="5631" w:type="dxa"/>
            <w:vAlign w:val="center"/>
          </w:tcPr>
          <w:p w14:paraId="176826D2">
            <w:pPr>
              <w:pageBreakBefore w:val="0"/>
              <w:kinsoku/>
              <w:wordWrap/>
              <w:overflowPunct/>
              <w:topLinePunct w:val="0"/>
              <w:bidi w:val="0"/>
              <w:adjustRightInd w:val="0"/>
              <w:snapToGrid w:val="0"/>
              <w:spacing w:afterAutospacing="0" w:line="560" w:lineRule="exact"/>
              <w:jc w:val="left"/>
              <w:textAlignment w:val="auto"/>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符合合同价款支付条件，乙方开具合法有效的发票后30日内支付。</w:t>
            </w:r>
          </w:p>
        </w:tc>
      </w:tr>
      <w:tr w14:paraId="39C07F3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750" w:type="dxa"/>
            <w:vAlign w:val="center"/>
          </w:tcPr>
          <w:p w14:paraId="533C3EC4">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第二节</w:t>
            </w:r>
          </w:p>
          <w:p w14:paraId="10B83030">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第</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13.2</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款</w:t>
            </w:r>
          </w:p>
        </w:tc>
        <w:tc>
          <w:tcPr>
            <w:tcW w:w="1897" w:type="dxa"/>
            <w:vAlign w:val="center"/>
          </w:tcPr>
          <w:p w14:paraId="1FDB9665">
            <w:pPr>
              <w:pageBreakBefore w:val="0"/>
              <w:kinsoku/>
              <w:wordWrap/>
              <w:overflowPunct/>
              <w:topLinePunct w:val="0"/>
              <w:bidi w:val="0"/>
              <w:adjustRightInd w:val="0"/>
              <w:snapToGrid w:val="0"/>
              <w:spacing w:afterAutospacing="0" w:line="560" w:lineRule="exact"/>
              <w:jc w:val="left"/>
              <w:textAlignment w:val="auto"/>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履约保证金不予退还的情形</w:t>
            </w:r>
          </w:p>
        </w:tc>
        <w:tc>
          <w:tcPr>
            <w:tcW w:w="5631" w:type="dxa"/>
            <w:vAlign w:val="center"/>
          </w:tcPr>
          <w:p w14:paraId="0FDC3600">
            <w:pPr>
              <w:pageBreakBefore w:val="0"/>
              <w:kinsoku/>
              <w:wordWrap/>
              <w:overflowPunct/>
              <w:topLinePunct w:val="0"/>
              <w:bidi w:val="0"/>
              <w:adjustRightInd w:val="0"/>
              <w:snapToGrid w:val="0"/>
              <w:spacing w:afterAutospacing="0" w:line="560" w:lineRule="exact"/>
              <w:jc w:val="left"/>
              <w:textAlignment w:val="auto"/>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因乙方原因，造成货物在质保期内不能正常使用，且乙方未在规定时间进行维修、更换。</w:t>
            </w:r>
          </w:p>
        </w:tc>
      </w:tr>
      <w:tr w14:paraId="1BD75CE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750" w:type="dxa"/>
            <w:vAlign w:val="center"/>
          </w:tcPr>
          <w:p w14:paraId="2A659B40">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第二节</w:t>
            </w:r>
          </w:p>
          <w:p w14:paraId="76FECCD0">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第</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13.3</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款</w:t>
            </w:r>
          </w:p>
        </w:tc>
        <w:tc>
          <w:tcPr>
            <w:tcW w:w="1897" w:type="dxa"/>
            <w:vAlign w:val="center"/>
          </w:tcPr>
          <w:p w14:paraId="27E780E5">
            <w:pPr>
              <w:pageBreakBefore w:val="0"/>
              <w:kinsoku/>
              <w:wordWrap/>
              <w:overflowPunct/>
              <w:topLinePunct w:val="0"/>
              <w:bidi w:val="0"/>
              <w:adjustRightInd w:val="0"/>
              <w:snapToGrid w:val="0"/>
              <w:spacing w:afterAutospacing="0" w:line="560" w:lineRule="exact"/>
              <w:jc w:val="lef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履约保证金退还时间及</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逾期退还的</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违约金</w:t>
            </w:r>
          </w:p>
        </w:tc>
        <w:tc>
          <w:tcPr>
            <w:tcW w:w="5631" w:type="dxa"/>
            <w:vAlign w:val="center"/>
          </w:tcPr>
          <w:p w14:paraId="1863749A">
            <w:pPr>
              <w:pageBreakBefore w:val="0"/>
              <w:kinsoku/>
              <w:wordWrap/>
              <w:overflowPunct/>
              <w:topLinePunct w:val="0"/>
              <w:bidi w:val="0"/>
              <w:adjustRightInd w:val="0"/>
              <w:snapToGrid w:val="0"/>
              <w:spacing w:afterAutospacing="0" w:line="560" w:lineRule="exact"/>
              <w:jc w:val="left"/>
              <w:textAlignment w:val="auto"/>
              <w:rPr>
                <w:rFonts w:hint="eastAsia" w:asciiTheme="minorEastAsia" w:hAnsiTheme="minorEastAsia" w:eastAsiaTheme="minorEastAsia" w:cstheme="minorEastAsia"/>
                <w:color w:val="000000" w:themeColor="text1"/>
                <w:sz w:val="28"/>
                <w:szCs w:val="28"/>
                <w:highlight w:val="none"/>
                <w:lang w:val="en-US"/>
                <w14:textFill>
                  <w14:solidFill>
                    <w14:schemeClr w14:val="tx1"/>
                  </w14:solidFill>
                </w14:textFill>
              </w:rPr>
            </w:pPr>
            <w:r>
              <w:rPr>
                <w:rFonts w:hint="eastAsia" w:asciiTheme="minorEastAsia" w:hAnsiTheme="minorEastAsia" w:eastAsiaTheme="minorEastAsia" w:cstheme="minorEastAsia"/>
                <w:bCs/>
                <w:color w:val="000000" w:themeColor="text1"/>
                <w:sz w:val="28"/>
                <w:szCs w:val="28"/>
                <w:highlight w:val="none"/>
                <w:u w:val="none"/>
                <w:lang w:eastAsia="zh-CN"/>
                <w14:textFill>
                  <w14:solidFill>
                    <w14:schemeClr w14:val="tx1"/>
                  </w14:solidFill>
                </w14:textFill>
              </w:rPr>
              <w:t>乙方完成合同约定的所有责任、义务后无息支付</w:t>
            </w:r>
            <w:r>
              <w:rPr>
                <w:rFonts w:hint="eastAsia" w:asciiTheme="minorEastAsia" w:hAnsiTheme="minorEastAsia" w:eastAsiaTheme="minorEastAsia" w:cstheme="minorEastAsia"/>
                <w:bCs/>
                <w:color w:val="000000" w:themeColor="text1"/>
                <w:sz w:val="28"/>
                <w:szCs w:val="28"/>
                <w:highlight w:val="none"/>
                <w:u w:val="none"/>
                <w:lang w:val="en-US" w:eastAsia="zh-CN"/>
                <w14:textFill>
                  <w14:solidFill>
                    <w14:schemeClr w14:val="tx1"/>
                  </w14:solidFill>
                </w14:textFill>
              </w:rPr>
              <w:t>。</w:t>
            </w:r>
          </w:p>
        </w:tc>
      </w:tr>
      <w:tr w14:paraId="1F52DFB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750" w:type="dxa"/>
            <w:vAlign w:val="center"/>
          </w:tcPr>
          <w:p w14:paraId="559EB2A4">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第二节</w:t>
            </w:r>
          </w:p>
          <w:p w14:paraId="34C9EA9E">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第1</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.1（</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）项</w:t>
            </w:r>
          </w:p>
        </w:tc>
        <w:tc>
          <w:tcPr>
            <w:tcW w:w="1897" w:type="dxa"/>
            <w:vAlign w:val="center"/>
          </w:tcPr>
          <w:p w14:paraId="15F55F1A">
            <w:pPr>
              <w:pageBreakBefore w:val="0"/>
              <w:kinsoku/>
              <w:wordWrap/>
              <w:overflowPunct/>
              <w:topLinePunct w:val="0"/>
              <w:bidi w:val="0"/>
              <w:adjustRightInd w:val="0"/>
              <w:snapToGrid w:val="0"/>
              <w:spacing w:afterAutospacing="0" w:line="560" w:lineRule="exact"/>
              <w:jc w:val="left"/>
              <w:textAlignment w:val="auto"/>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运行监督、维修期限</w:t>
            </w:r>
          </w:p>
        </w:tc>
        <w:tc>
          <w:tcPr>
            <w:tcW w:w="5631" w:type="dxa"/>
            <w:vAlign w:val="center"/>
          </w:tcPr>
          <w:p w14:paraId="72D8744B">
            <w:pPr>
              <w:pageBreakBefore w:val="0"/>
              <w:kinsoku/>
              <w:wordWrap/>
              <w:overflowPunct/>
              <w:topLinePunct w:val="0"/>
              <w:bidi w:val="0"/>
              <w:adjustRightInd w:val="0"/>
              <w:snapToGrid w:val="0"/>
              <w:spacing w:afterAutospacing="0" w:line="560" w:lineRule="exact"/>
              <w:jc w:val="left"/>
              <w:textAlignment w:val="auto"/>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乙方应在货物验收合格后，每</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 xml:space="preserve">   月对货物进行运行监督，并留存书面资料。</w:t>
            </w:r>
          </w:p>
        </w:tc>
      </w:tr>
      <w:tr w14:paraId="72B6DB3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750" w:type="dxa"/>
            <w:vAlign w:val="center"/>
          </w:tcPr>
          <w:p w14:paraId="0BB930CC">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第二节</w:t>
            </w:r>
          </w:p>
          <w:p w14:paraId="6F8E32F1">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第1</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.1（</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）项</w:t>
            </w:r>
          </w:p>
        </w:tc>
        <w:tc>
          <w:tcPr>
            <w:tcW w:w="1897" w:type="dxa"/>
            <w:vAlign w:val="center"/>
          </w:tcPr>
          <w:p w14:paraId="36C8A34D">
            <w:pPr>
              <w:pageBreakBefore w:val="0"/>
              <w:kinsoku/>
              <w:wordWrap/>
              <w:overflowPunct/>
              <w:topLinePunct w:val="0"/>
              <w:bidi w:val="0"/>
              <w:adjustRightInd w:val="0"/>
              <w:snapToGrid w:val="0"/>
              <w:spacing w:afterAutospacing="0" w:line="560" w:lineRule="exact"/>
              <w:jc w:val="left"/>
              <w:textAlignment w:val="auto"/>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货物回收的约定</w:t>
            </w:r>
          </w:p>
        </w:tc>
        <w:tc>
          <w:tcPr>
            <w:tcW w:w="5631" w:type="dxa"/>
            <w:vAlign w:val="center"/>
          </w:tcPr>
          <w:p w14:paraId="38FC8DEA">
            <w:pPr>
              <w:pageBreakBefore w:val="0"/>
              <w:kinsoku/>
              <w:wordWrap/>
              <w:overflowPunct/>
              <w:topLinePunct w:val="0"/>
              <w:bidi w:val="0"/>
              <w:adjustRightInd w:val="0"/>
              <w:snapToGrid w:val="0"/>
              <w:spacing w:afterAutospacing="0" w:line="560" w:lineRule="exact"/>
              <w:jc w:val="left"/>
              <w:textAlignment w:val="auto"/>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w:t>
            </w:r>
          </w:p>
        </w:tc>
      </w:tr>
      <w:tr w14:paraId="59C410B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750" w:type="dxa"/>
            <w:vAlign w:val="center"/>
          </w:tcPr>
          <w:p w14:paraId="30BD1A18">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第二节</w:t>
            </w:r>
          </w:p>
          <w:p w14:paraId="1010EEE1">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第1</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.1（</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）项</w:t>
            </w:r>
          </w:p>
        </w:tc>
        <w:tc>
          <w:tcPr>
            <w:tcW w:w="1897" w:type="dxa"/>
            <w:vAlign w:val="center"/>
          </w:tcPr>
          <w:p w14:paraId="660CAFF8">
            <w:pPr>
              <w:pageBreakBefore w:val="0"/>
              <w:kinsoku/>
              <w:wordWrap/>
              <w:overflowPunct/>
              <w:topLinePunct w:val="0"/>
              <w:bidi w:val="0"/>
              <w:adjustRightInd w:val="0"/>
              <w:snapToGrid w:val="0"/>
              <w:spacing w:afterAutospacing="0" w:line="560" w:lineRule="exact"/>
              <w:jc w:val="lef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乙方提供的其他服务</w:t>
            </w:r>
          </w:p>
        </w:tc>
        <w:tc>
          <w:tcPr>
            <w:tcW w:w="5631" w:type="dxa"/>
            <w:vAlign w:val="center"/>
          </w:tcPr>
          <w:p w14:paraId="57F3ACEC">
            <w:pPr>
              <w:pageBreakBefore w:val="0"/>
              <w:kinsoku/>
              <w:wordWrap/>
              <w:overflowPunct/>
              <w:topLinePunct w:val="0"/>
              <w:bidi w:val="0"/>
              <w:adjustRightInd w:val="0"/>
              <w:snapToGrid w:val="0"/>
              <w:spacing w:afterAutospacing="0" w:line="560" w:lineRule="exact"/>
              <w:jc w:val="left"/>
              <w:textAlignment w:val="auto"/>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乙方须保障甲方在使用其设备、服务及其任何部分不受到第三方关于侵犯专利权、商标权或工业设计权的指控。任何第三方如果提供侵权指控，乙方须与第三方交涉并承担由此而引起的一切法律责任和费用。</w:t>
            </w:r>
          </w:p>
        </w:tc>
      </w:tr>
      <w:tr w14:paraId="7A68A0C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750" w:type="dxa"/>
            <w:vAlign w:val="center"/>
          </w:tcPr>
          <w:p w14:paraId="43BE7D7F">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第二节</w:t>
            </w:r>
          </w:p>
          <w:p w14:paraId="27A56392">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第1</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1款</w:t>
            </w:r>
          </w:p>
        </w:tc>
        <w:tc>
          <w:tcPr>
            <w:tcW w:w="1897" w:type="dxa"/>
            <w:vAlign w:val="center"/>
          </w:tcPr>
          <w:p w14:paraId="6EE335E6">
            <w:pPr>
              <w:pageBreakBefore w:val="0"/>
              <w:kinsoku/>
              <w:wordWrap/>
              <w:overflowPunct/>
              <w:topLinePunct w:val="0"/>
              <w:bidi w:val="0"/>
              <w:adjustRightInd w:val="0"/>
              <w:snapToGrid w:val="0"/>
              <w:spacing w:afterAutospacing="0" w:line="560" w:lineRule="exact"/>
              <w:jc w:val="lef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修理、重作、更换相关具体规定</w:t>
            </w:r>
          </w:p>
        </w:tc>
        <w:tc>
          <w:tcPr>
            <w:tcW w:w="5631" w:type="dxa"/>
            <w:vAlign w:val="center"/>
          </w:tcPr>
          <w:p w14:paraId="5B8D49F7">
            <w:pPr>
              <w:pageBreakBefore w:val="0"/>
              <w:kinsoku/>
              <w:wordWrap/>
              <w:overflowPunct/>
              <w:topLinePunct w:val="0"/>
              <w:bidi w:val="0"/>
              <w:adjustRightInd w:val="0"/>
              <w:snapToGrid w:val="0"/>
              <w:spacing w:afterAutospacing="0" w:line="560" w:lineRule="exact"/>
              <w:jc w:val="left"/>
              <w:textAlignment w:val="auto"/>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乙方</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提供</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的产品不符合</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合同约定的</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质量标准或存在产品质量缺陷</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w:t>
            </w:r>
          </w:p>
        </w:tc>
      </w:tr>
      <w:tr w14:paraId="742DB1C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750" w:type="dxa"/>
            <w:vAlign w:val="center"/>
          </w:tcPr>
          <w:p w14:paraId="50AB74CB">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第二节</w:t>
            </w:r>
          </w:p>
          <w:p w14:paraId="6E3F153F">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第1</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.2（2）项</w:t>
            </w:r>
          </w:p>
        </w:tc>
        <w:tc>
          <w:tcPr>
            <w:tcW w:w="1897" w:type="dxa"/>
            <w:vAlign w:val="center"/>
          </w:tcPr>
          <w:p w14:paraId="589080D0">
            <w:pPr>
              <w:pageBreakBefore w:val="0"/>
              <w:kinsoku/>
              <w:wordWrap/>
              <w:overflowPunct/>
              <w:topLinePunct w:val="0"/>
              <w:bidi w:val="0"/>
              <w:adjustRightInd w:val="0"/>
              <w:snapToGrid w:val="0"/>
              <w:spacing w:afterAutospacing="0" w:line="560" w:lineRule="exact"/>
              <w:jc w:val="lef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迟延交货赔偿费</w:t>
            </w:r>
          </w:p>
        </w:tc>
        <w:tc>
          <w:tcPr>
            <w:tcW w:w="5631" w:type="dxa"/>
            <w:vAlign w:val="center"/>
          </w:tcPr>
          <w:p w14:paraId="0823E7B9">
            <w:pPr>
              <w:pageBreakBefore w:val="0"/>
              <w:kinsoku/>
              <w:wordWrap/>
              <w:overflowPunct/>
              <w:topLinePunct w:val="0"/>
              <w:bidi w:val="0"/>
              <w:adjustRightInd w:val="0"/>
              <w:snapToGrid w:val="0"/>
              <w:spacing w:afterAutospacing="0" w:line="560" w:lineRule="exact"/>
              <w:jc w:val="left"/>
              <w:textAlignment w:val="auto"/>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1.乙方应按合同约定的时间及地点向甲方提供符合验收条件的货物，因乙方原因造成项目未在约定期限内完成验收，每逾期一日，按合同金额的0.5%向甲方支付违约金，对甲方造成相应损失的，还应据实赔偿。逾期超过7天的，视为乙方不能交货，甲方有权要求乙方继续交货并按照前述标准支付违约金。此种情形下，甲方也有权解除本合同并追究乙方的不能交货的违约责任。</w:t>
            </w:r>
          </w:p>
        </w:tc>
      </w:tr>
      <w:tr w14:paraId="448C067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750" w:type="dxa"/>
            <w:vAlign w:val="center"/>
          </w:tcPr>
          <w:p w14:paraId="21B78D19">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第二节</w:t>
            </w:r>
          </w:p>
          <w:p w14:paraId="651B8304">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第1</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3款</w:t>
            </w:r>
          </w:p>
        </w:tc>
        <w:tc>
          <w:tcPr>
            <w:tcW w:w="1897" w:type="dxa"/>
            <w:vAlign w:val="center"/>
          </w:tcPr>
          <w:p w14:paraId="46FD3DD8">
            <w:pPr>
              <w:pageBreakBefore w:val="0"/>
              <w:kinsoku/>
              <w:wordWrap/>
              <w:overflowPunct/>
              <w:topLinePunct w:val="0"/>
              <w:bidi w:val="0"/>
              <w:adjustRightInd w:val="0"/>
              <w:snapToGrid w:val="0"/>
              <w:spacing w:afterAutospacing="0" w:line="560" w:lineRule="exact"/>
              <w:jc w:val="lef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逾期付款利息</w:t>
            </w:r>
          </w:p>
        </w:tc>
        <w:tc>
          <w:tcPr>
            <w:tcW w:w="5631" w:type="dxa"/>
            <w:vAlign w:val="center"/>
          </w:tcPr>
          <w:p w14:paraId="0D66677C">
            <w:pPr>
              <w:pageBreakBefore w:val="0"/>
              <w:kinsoku/>
              <w:wordWrap/>
              <w:overflowPunct/>
              <w:topLinePunct w:val="0"/>
              <w:bidi w:val="0"/>
              <w:adjustRightInd w:val="0"/>
              <w:snapToGrid w:val="0"/>
              <w:spacing w:afterAutospacing="0" w:line="560" w:lineRule="exact"/>
              <w:jc w:val="left"/>
              <w:textAlignment w:val="auto"/>
              <w:rPr>
                <w:rFonts w:hint="eastAsia" w:asciiTheme="minorEastAsia" w:hAnsiTheme="minorEastAsia" w:eastAsiaTheme="minorEastAsia" w:cstheme="minorEastAsia"/>
                <w:color w:val="000000" w:themeColor="text1"/>
                <w:sz w:val="28"/>
                <w:szCs w:val="28"/>
                <w:highlight w:val="none"/>
                <w:u w:val="singl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u w:val="single"/>
                <w:lang w:val="en-US" w:eastAsia="zh-CN"/>
                <w14:textFill>
                  <w14:solidFill>
                    <w14:schemeClr w14:val="tx1"/>
                  </w14:solidFill>
                </w14:textFill>
              </w:rPr>
              <w:t>/</w:t>
            </w:r>
          </w:p>
        </w:tc>
      </w:tr>
      <w:tr w14:paraId="75C27C8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750" w:type="dxa"/>
            <w:tcBorders>
              <w:bottom w:val="single" w:color="auto" w:sz="2" w:space="0"/>
              <w:right w:val="single" w:color="auto" w:sz="2" w:space="0"/>
            </w:tcBorders>
            <w:vAlign w:val="center"/>
          </w:tcPr>
          <w:p w14:paraId="05884FF3">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第二节</w:t>
            </w:r>
          </w:p>
          <w:p w14:paraId="1C0967F7">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第1</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.4</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款</w:t>
            </w:r>
          </w:p>
        </w:tc>
        <w:tc>
          <w:tcPr>
            <w:tcW w:w="1897" w:type="dxa"/>
            <w:tcBorders>
              <w:left w:val="single" w:color="auto" w:sz="2" w:space="0"/>
              <w:bottom w:val="single" w:color="auto" w:sz="2" w:space="0"/>
              <w:right w:val="single" w:color="auto" w:sz="2" w:space="0"/>
            </w:tcBorders>
            <w:vAlign w:val="center"/>
          </w:tcPr>
          <w:p w14:paraId="69EB0521">
            <w:pPr>
              <w:pageBreakBefore w:val="0"/>
              <w:kinsoku/>
              <w:wordWrap/>
              <w:overflowPunct/>
              <w:topLinePunct w:val="0"/>
              <w:bidi w:val="0"/>
              <w:adjustRightInd w:val="0"/>
              <w:snapToGrid w:val="0"/>
              <w:spacing w:afterAutospacing="0" w:line="560" w:lineRule="exact"/>
              <w:jc w:val="lef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其他违约责任</w:t>
            </w:r>
          </w:p>
        </w:tc>
        <w:tc>
          <w:tcPr>
            <w:tcW w:w="5631" w:type="dxa"/>
            <w:tcBorders>
              <w:left w:val="single" w:color="auto" w:sz="2" w:space="0"/>
              <w:bottom w:val="single" w:color="auto" w:sz="2" w:space="0"/>
            </w:tcBorders>
            <w:vAlign w:val="center"/>
          </w:tcPr>
          <w:p w14:paraId="6BD6D0B6">
            <w:pPr>
              <w:pageBreakBefore w:val="0"/>
              <w:kinsoku/>
              <w:wordWrap/>
              <w:overflowPunct/>
              <w:topLinePunct w:val="0"/>
              <w:bidi w:val="0"/>
              <w:adjustRightInd w:val="0"/>
              <w:snapToGrid w:val="0"/>
              <w:spacing w:afterAutospacing="0" w:line="560" w:lineRule="exact"/>
              <w:jc w:val="left"/>
              <w:textAlignment w:val="auto"/>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1质保期内，乙方未按合同约定在约定时间内完成货物维修或更换，每逾期一日，按合同金额的0.5%向甲方支付违约金，对甲方造成相应损失的，还应据实赔偿。</w:t>
            </w:r>
          </w:p>
          <w:p w14:paraId="32C20288">
            <w:pPr>
              <w:pageBreakBefore w:val="0"/>
              <w:numPr>
                <w:ilvl w:val="0"/>
                <w:numId w:val="0"/>
              </w:numPr>
              <w:kinsoku/>
              <w:wordWrap/>
              <w:overflowPunct/>
              <w:topLinePunct w:val="0"/>
              <w:bidi w:val="0"/>
              <w:adjustRightInd w:val="0"/>
              <w:snapToGrid w:val="0"/>
              <w:spacing w:afterAutospacing="0" w:line="560" w:lineRule="exact"/>
              <w:ind w:leftChars="0"/>
              <w:jc w:val="left"/>
              <w:textAlignment w:val="auto"/>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2.乙方拒不交货或不能交货的，买方有权单方解除本合同，并按照合同总额的10%要求乙方支付违约金。</w:t>
            </w:r>
          </w:p>
        </w:tc>
      </w:tr>
      <w:tr w14:paraId="54E6583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750" w:type="dxa"/>
            <w:tcBorders>
              <w:top w:val="single" w:color="auto" w:sz="2" w:space="0"/>
              <w:right w:val="single" w:color="auto" w:sz="2" w:space="0"/>
            </w:tcBorders>
            <w:vAlign w:val="center"/>
          </w:tcPr>
          <w:p w14:paraId="6F2DD76F">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第二节</w:t>
            </w:r>
          </w:p>
          <w:p w14:paraId="0BD12849">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第</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19</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.2</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款</w:t>
            </w:r>
          </w:p>
        </w:tc>
        <w:tc>
          <w:tcPr>
            <w:tcW w:w="1897" w:type="dxa"/>
            <w:tcBorders>
              <w:top w:val="single" w:color="auto" w:sz="2" w:space="0"/>
              <w:left w:val="single" w:color="auto" w:sz="2" w:space="0"/>
              <w:right w:val="single" w:color="auto" w:sz="2" w:space="0"/>
            </w:tcBorders>
            <w:vAlign w:val="center"/>
          </w:tcPr>
          <w:p w14:paraId="18452CBC">
            <w:pPr>
              <w:pageBreakBefore w:val="0"/>
              <w:kinsoku/>
              <w:wordWrap/>
              <w:overflowPunct/>
              <w:topLinePunct w:val="0"/>
              <w:bidi w:val="0"/>
              <w:adjustRightInd w:val="0"/>
              <w:snapToGrid w:val="0"/>
              <w:spacing w:afterAutospacing="0" w:line="560" w:lineRule="exact"/>
              <w:jc w:val="lef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解决争议的方法</w:t>
            </w:r>
          </w:p>
        </w:tc>
        <w:tc>
          <w:tcPr>
            <w:tcW w:w="5631" w:type="dxa"/>
            <w:tcBorders>
              <w:top w:val="single" w:color="auto" w:sz="2" w:space="0"/>
              <w:left w:val="single" w:color="auto" w:sz="2" w:space="0"/>
            </w:tcBorders>
            <w:vAlign w:val="center"/>
          </w:tcPr>
          <w:p w14:paraId="694B3167">
            <w:pPr>
              <w:pageBreakBefore w:val="0"/>
              <w:kinsoku/>
              <w:wordWrap/>
              <w:overflowPunct/>
              <w:topLinePunct w:val="0"/>
              <w:autoSpaceDE w:val="0"/>
              <w:autoSpaceDN w:val="0"/>
              <w:bidi w:val="0"/>
              <w:adjustRightInd w:val="0"/>
              <w:snapToGrid w:val="0"/>
              <w:spacing w:afterAutospacing="0" w:line="560" w:lineRule="exact"/>
              <w:jc w:val="left"/>
              <w:textAlignment w:val="auto"/>
              <w:rPr>
                <w:rFonts w:hint="eastAsia" w:asciiTheme="minorEastAsia" w:hAnsiTheme="minorEastAsia" w:eastAsiaTheme="minorEastAsia" w:cstheme="minorEastAsia"/>
                <w:b w:val="0"/>
                <w:bCs w:val="0"/>
                <w:i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val="0"/>
                <w:bCs w:val="0"/>
                <w:iCs/>
                <w:color w:val="000000" w:themeColor="text1"/>
                <w:sz w:val="28"/>
                <w:szCs w:val="28"/>
                <w:highlight w:val="none"/>
                <w14:textFill>
                  <w14:solidFill>
                    <w14:schemeClr w14:val="tx1"/>
                  </w14:solidFill>
                </w14:textFill>
              </w:rPr>
              <w:t>因本合同及合同有关事项发生的争议，按下列第</w:t>
            </w:r>
            <w:r>
              <w:rPr>
                <w:rFonts w:hint="eastAsia" w:asciiTheme="minorEastAsia" w:hAnsiTheme="minorEastAsia" w:eastAsiaTheme="minorEastAsia" w:cstheme="minorEastAsia"/>
                <w:b w:val="0"/>
                <w:bCs w:val="0"/>
                <w:iCs/>
                <w:color w:val="000000" w:themeColor="text1"/>
                <w:sz w:val="28"/>
                <w:szCs w:val="28"/>
                <w:highlight w:val="none"/>
                <w:u w:val="single"/>
                <w:lang w:val="en-US" w:eastAsia="zh-CN"/>
                <w14:textFill>
                  <w14:solidFill>
                    <w14:schemeClr w14:val="tx1"/>
                  </w14:solidFill>
                </w14:textFill>
              </w:rPr>
              <w:t>2</w:t>
            </w:r>
            <w:r>
              <w:rPr>
                <w:rFonts w:hint="eastAsia" w:asciiTheme="minorEastAsia" w:hAnsiTheme="minorEastAsia" w:eastAsiaTheme="minorEastAsia" w:cstheme="minorEastAsia"/>
                <w:b w:val="0"/>
                <w:bCs w:val="0"/>
                <w:iCs/>
                <w:color w:val="000000" w:themeColor="text1"/>
                <w:sz w:val="28"/>
                <w:szCs w:val="28"/>
                <w:highlight w:val="none"/>
                <w14:textFill>
                  <w14:solidFill>
                    <w14:schemeClr w14:val="tx1"/>
                  </w14:solidFill>
                </w14:textFill>
              </w:rPr>
              <w:t>种方式解决：</w:t>
            </w:r>
          </w:p>
          <w:p w14:paraId="60A4E63A">
            <w:pPr>
              <w:pageBreakBefore w:val="0"/>
              <w:kinsoku/>
              <w:wordWrap/>
              <w:overflowPunct/>
              <w:topLinePunct w:val="0"/>
              <w:autoSpaceDE w:val="0"/>
              <w:autoSpaceDN w:val="0"/>
              <w:bidi w:val="0"/>
              <w:adjustRightInd w:val="0"/>
              <w:snapToGrid w:val="0"/>
              <w:spacing w:afterAutospacing="0" w:line="560" w:lineRule="exact"/>
              <w:jc w:val="left"/>
              <w:textAlignment w:val="auto"/>
              <w:rPr>
                <w:rFonts w:hint="eastAsia" w:asciiTheme="minorEastAsia" w:hAnsiTheme="minorEastAsia" w:eastAsiaTheme="minorEastAsia" w:cstheme="minorEastAsia"/>
                <w:b w:val="0"/>
                <w:bCs w:val="0"/>
                <w:i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val="0"/>
                <w:bCs w:val="0"/>
                <w:iCs/>
                <w:color w:val="000000" w:themeColor="text1"/>
                <w:sz w:val="28"/>
                <w:szCs w:val="28"/>
                <w:highlight w:val="none"/>
                <w14:textFill>
                  <w14:solidFill>
                    <w14:schemeClr w14:val="tx1"/>
                  </w14:solidFill>
                </w14:textFill>
              </w:rPr>
              <w:t>（1）向</w:t>
            </w:r>
            <w:r>
              <w:rPr>
                <w:rFonts w:hint="eastAsia" w:asciiTheme="minorEastAsia" w:hAnsiTheme="minorEastAsia" w:eastAsiaTheme="minorEastAsia" w:cstheme="minorEastAsia"/>
                <w:b w:val="0"/>
                <w:bCs w:val="0"/>
                <w:iCs/>
                <w:color w:val="000000" w:themeColor="text1"/>
                <w:sz w:val="28"/>
                <w:szCs w:val="28"/>
                <w:highlight w:val="none"/>
                <w:u w:val="single"/>
                <w:lang w:val="en-US" w:eastAsia="zh-CN"/>
                <w14:textFill>
                  <w14:solidFill>
                    <w14:schemeClr w14:val="tx1"/>
                  </w14:solidFill>
                </w14:textFill>
              </w:rPr>
              <w:t>/</w:t>
            </w:r>
            <w:r>
              <w:rPr>
                <w:rFonts w:hint="eastAsia" w:asciiTheme="minorEastAsia" w:hAnsiTheme="minorEastAsia" w:eastAsiaTheme="minorEastAsia" w:cstheme="minorEastAsia"/>
                <w:b w:val="0"/>
                <w:bCs w:val="0"/>
                <w:iCs/>
                <w:color w:val="000000" w:themeColor="text1"/>
                <w:sz w:val="28"/>
                <w:szCs w:val="28"/>
                <w:highlight w:val="none"/>
                <w14:textFill>
                  <w14:solidFill>
                    <w14:schemeClr w14:val="tx1"/>
                  </w14:solidFill>
                </w14:textFill>
              </w:rPr>
              <w:t>仲裁委员会申请仲裁，仲裁地点为</w:t>
            </w:r>
            <w:r>
              <w:rPr>
                <w:rFonts w:hint="eastAsia" w:asciiTheme="minorEastAsia" w:hAnsiTheme="minorEastAsia" w:eastAsiaTheme="minorEastAsia" w:cstheme="minorEastAsia"/>
                <w:b w:val="0"/>
                <w:bCs w:val="0"/>
                <w:iCs/>
                <w:color w:val="000000" w:themeColor="text1"/>
                <w:sz w:val="28"/>
                <w:szCs w:val="28"/>
                <w:highlight w:val="none"/>
                <w:u w:val="single"/>
                <w:lang w:val="en-US" w:eastAsia="zh-CN"/>
                <w14:textFill>
                  <w14:solidFill>
                    <w14:schemeClr w14:val="tx1"/>
                  </w14:solidFill>
                </w14:textFill>
              </w:rPr>
              <w:t>/</w:t>
            </w:r>
            <w:r>
              <w:rPr>
                <w:rFonts w:hint="eastAsia" w:asciiTheme="minorEastAsia" w:hAnsiTheme="minorEastAsia" w:eastAsiaTheme="minorEastAsia" w:cstheme="minorEastAsia"/>
                <w:b w:val="0"/>
                <w:bCs w:val="0"/>
                <w:iCs/>
                <w:color w:val="000000" w:themeColor="text1"/>
                <w:sz w:val="28"/>
                <w:szCs w:val="28"/>
                <w:highlight w:val="none"/>
                <w14:textFill>
                  <w14:solidFill>
                    <w14:schemeClr w14:val="tx1"/>
                  </w14:solidFill>
                </w14:textFill>
              </w:rPr>
              <w:t>；</w:t>
            </w:r>
          </w:p>
          <w:p w14:paraId="495F7339">
            <w:pPr>
              <w:pageBreakBefore w:val="0"/>
              <w:kinsoku/>
              <w:wordWrap/>
              <w:overflowPunct/>
              <w:topLinePunct w:val="0"/>
              <w:bidi w:val="0"/>
              <w:adjustRightInd w:val="0"/>
              <w:snapToGrid w:val="0"/>
              <w:spacing w:afterAutospacing="0" w:line="560" w:lineRule="exact"/>
              <w:ind w:firstLine="0" w:firstLineChars="0"/>
              <w:jc w:val="left"/>
              <w:textAlignment w:val="auto"/>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pPr>
            <w:r>
              <w:rPr>
                <w:rFonts w:hint="eastAsia" w:asciiTheme="minorEastAsia" w:hAnsiTheme="minorEastAsia" w:eastAsiaTheme="minorEastAsia" w:cstheme="minorEastAsia"/>
                <w:b w:val="0"/>
                <w:bCs w:val="0"/>
                <w:iCs/>
                <w:color w:val="000000" w:themeColor="text1"/>
                <w:sz w:val="28"/>
                <w:szCs w:val="28"/>
                <w:highlight w:val="none"/>
                <w14:textFill>
                  <w14:solidFill>
                    <w14:schemeClr w14:val="tx1"/>
                  </w14:solidFill>
                </w14:textFill>
              </w:rPr>
              <w:t>（2）向</w:t>
            </w:r>
            <w:r>
              <w:rPr>
                <w:rFonts w:hint="eastAsia" w:asciiTheme="minorEastAsia" w:hAnsiTheme="minorEastAsia" w:eastAsiaTheme="minorEastAsia" w:cstheme="minorEastAsia"/>
                <w:b w:val="0"/>
                <w:bCs w:val="0"/>
                <w:iCs/>
                <w:color w:val="000000" w:themeColor="text1"/>
                <w:sz w:val="28"/>
                <w:szCs w:val="28"/>
                <w:highlight w:val="none"/>
                <w:u w:val="single"/>
                <w:lang w:eastAsia="zh-CN"/>
                <w14:textFill>
                  <w14:solidFill>
                    <w14:schemeClr w14:val="tx1"/>
                  </w14:solidFill>
                </w14:textFill>
              </w:rPr>
              <w:t>伊州区</w:t>
            </w:r>
            <w:r>
              <w:rPr>
                <w:rFonts w:hint="eastAsia" w:asciiTheme="minorEastAsia" w:hAnsiTheme="minorEastAsia" w:eastAsiaTheme="minorEastAsia" w:cstheme="minorEastAsia"/>
                <w:b w:val="0"/>
                <w:bCs w:val="0"/>
                <w:iCs/>
                <w:color w:val="000000" w:themeColor="text1"/>
                <w:sz w:val="28"/>
                <w:szCs w:val="28"/>
                <w:highlight w:val="none"/>
                <w14:textFill>
                  <w14:solidFill>
                    <w14:schemeClr w14:val="tx1"/>
                  </w14:solidFill>
                </w14:textFill>
              </w:rPr>
              <w:t>人民法院起诉</w:t>
            </w:r>
            <w:r>
              <w:rPr>
                <w:rFonts w:hint="eastAsia" w:asciiTheme="minorEastAsia" w:hAnsiTheme="minorEastAsia" w:eastAsiaTheme="minorEastAsia" w:cstheme="minorEastAsia"/>
                <w:b w:val="0"/>
                <w:bCs w:val="0"/>
                <w:iCs/>
                <w:color w:val="000000" w:themeColor="text1"/>
                <w:sz w:val="28"/>
                <w:szCs w:val="28"/>
                <w:highlight w:val="none"/>
                <w:lang w:eastAsia="zh-CN"/>
                <w14:textFill>
                  <w14:solidFill>
                    <w14:schemeClr w14:val="tx1"/>
                  </w14:solidFill>
                </w14:textFill>
              </w:rPr>
              <w:t>，因诉讼产生的诉讼费、律师费、保全费、保全保险费等为实现债权产生的一切费用由违约方承担</w:t>
            </w:r>
            <w:r>
              <w:rPr>
                <w:rFonts w:hint="eastAsia" w:asciiTheme="minorEastAsia" w:hAnsiTheme="minorEastAsia" w:eastAsiaTheme="minorEastAsia" w:cstheme="minorEastAsia"/>
                <w:b w:val="0"/>
                <w:bCs w:val="0"/>
                <w:iCs/>
                <w:color w:val="000000" w:themeColor="text1"/>
                <w:sz w:val="28"/>
                <w:szCs w:val="28"/>
                <w:highlight w:val="none"/>
                <w14:textFill>
                  <w14:solidFill>
                    <w14:schemeClr w14:val="tx1"/>
                  </w14:solidFill>
                </w14:textFill>
              </w:rPr>
              <w:t>。</w:t>
            </w:r>
          </w:p>
        </w:tc>
      </w:tr>
      <w:tr w14:paraId="605240A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750" w:type="dxa"/>
            <w:vAlign w:val="center"/>
          </w:tcPr>
          <w:p w14:paraId="5182CDCF">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第二节</w:t>
            </w:r>
          </w:p>
          <w:p w14:paraId="00C4D321">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第2</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3.1</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款</w:t>
            </w:r>
          </w:p>
        </w:tc>
        <w:tc>
          <w:tcPr>
            <w:tcW w:w="1897" w:type="dxa"/>
            <w:vAlign w:val="center"/>
          </w:tcPr>
          <w:p w14:paraId="78025455">
            <w:pPr>
              <w:pageBreakBefore w:val="0"/>
              <w:kinsoku/>
              <w:wordWrap/>
              <w:overflowPunct/>
              <w:topLinePunct w:val="0"/>
              <w:bidi w:val="0"/>
              <w:adjustRightInd w:val="0"/>
              <w:snapToGrid w:val="0"/>
              <w:spacing w:afterAutospacing="0" w:line="560" w:lineRule="exact"/>
              <w:jc w:val="lef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8"/>
                <w:szCs w:val="28"/>
                <w:highlight w:val="none"/>
                <w:lang w:eastAsia="zh-CN"/>
                <w14:textFill>
                  <w14:solidFill>
                    <w14:schemeClr w14:val="tx1"/>
                  </w14:solidFill>
                </w14:textFill>
              </w:rPr>
              <w:t>其他专用条款</w:t>
            </w:r>
          </w:p>
        </w:tc>
        <w:tc>
          <w:tcPr>
            <w:tcW w:w="5631" w:type="dxa"/>
            <w:vAlign w:val="center"/>
          </w:tcPr>
          <w:p w14:paraId="093CD7B3">
            <w:pPr>
              <w:pageBreakBefore w:val="0"/>
              <w:kinsoku/>
              <w:wordWrap/>
              <w:overflowPunct/>
              <w:topLinePunct w:val="0"/>
              <w:bidi w:val="0"/>
              <w:adjustRightInd w:val="0"/>
              <w:snapToGrid w:val="0"/>
              <w:spacing w:afterAutospacing="0" w:line="560" w:lineRule="exact"/>
              <w:jc w:val="left"/>
              <w:textAlignment w:val="auto"/>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val="0"/>
                <w:bCs w:val="0"/>
                <w:iCs/>
                <w:color w:val="000000" w:themeColor="text1"/>
                <w:sz w:val="28"/>
                <w:szCs w:val="28"/>
                <w:highlight w:val="none"/>
                <w:lang w:val="en-US" w:eastAsia="zh-CN"/>
                <w14:textFill>
                  <w14:solidFill>
                    <w14:schemeClr w14:val="tx1"/>
                  </w14:solidFill>
                </w14:textFill>
              </w:rPr>
              <w:t>本合同后附《哈密市中心医院供应商廉洁承诺书》，乙方签字、盖章后作为本合同一部分。</w:t>
            </w:r>
          </w:p>
        </w:tc>
      </w:tr>
    </w:tbl>
    <w:p w14:paraId="3C7C9CF7">
      <w:pPr>
        <w:pageBreakBefore w:val="0"/>
        <w:kinsoku/>
        <w:wordWrap/>
        <w:overflowPunct/>
        <w:topLinePunct w:val="0"/>
        <w:bidi w:val="0"/>
        <w:spacing w:afterAutospacing="0" w:line="560" w:lineRule="exac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p>
    <w:p w14:paraId="62F35337">
      <w:pPr>
        <w:pageBreakBefore w:val="0"/>
        <w:kinsoku/>
        <w:wordWrap/>
        <w:overflowPunct/>
        <w:topLinePunct w:val="0"/>
        <w:bidi w:val="0"/>
        <w:spacing w:afterAutospacing="0" w:line="560" w:lineRule="exac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br w:type="page"/>
      </w:r>
    </w:p>
    <w:p w14:paraId="600D408F">
      <w:pPr>
        <w:pageBreakBefore w:val="0"/>
        <w:kinsoku/>
        <w:wordWrap/>
        <w:overflowPunct/>
        <w:topLinePunct w:val="0"/>
        <w:bidi w:val="0"/>
        <w:spacing w:afterAutospacing="0" w:line="560" w:lineRule="exact"/>
        <w:jc w:val="center"/>
        <w:textAlignment w:val="auto"/>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哈密市中心医院供应商廉洁承诺书</w:t>
      </w:r>
    </w:p>
    <w:p w14:paraId="56F5A0B4">
      <w:pPr>
        <w:pageBreakBefore w:val="0"/>
        <w:numPr>
          <w:ilvl w:val="0"/>
          <w:numId w:val="11"/>
        </w:numPr>
        <w:kinsoku/>
        <w:wordWrap/>
        <w:overflowPunct/>
        <w:topLinePunct w:val="0"/>
        <w:bidi w:val="0"/>
        <w:spacing w:afterAutospacing="0" w:line="560" w:lineRule="exact"/>
        <w:ind w:firstLine="560" w:firstLineChars="200"/>
        <w:jc w:val="both"/>
        <w:textAlignment w:val="auto"/>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严格遵守国家相关法律法规、医院相关规章制度规定，做到诚实守信、廉洁购销、合规经营。</w:t>
      </w:r>
    </w:p>
    <w:p w14:paraId="057DCCD8">
      <w:pPr>
        <w:pageBreakBefore w:val="0"/>
        <w:numPr>
          <w:ilvl w:val="0"/>
          <w:numId w:val="11"/>
        </w:numPr>
        <w:kinsoku/>
        <w:wordWrap/>
        <w:overflowPunct/>
        <w:topLinePunct w:val="0"/>
        <w:bidi w:val="0"/>
        <w:spacing w:afterAutospacing="0" w:line="560" w:lineRule="exact"/>
        <w:ind w:firstLine="560" w:firstLineChars="200"/>
        <w:jc w:val="both"/>
        <w:textAlignment w:val="auto"/>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不将任何生产或者代理的产品在医院采购未完成前交科室进行临床试用或者使用。</w:t>
      </w:r>
    </w:p>
    <w:p w14:paraId="7C5177B6">
      <w:pPr>
        <w:pageBreakBefore w:val="0"/>
        <w:numPr>
          <w:ilvl w:val="0"/>
          <w:numId w:val="11"/>
        </w:numPr>
        <w:kinsoku/>
        <w:wordWrap/>
        <w:overflowPunct/>
        <w:topLinePunct w:val="0"/>
        <w:bidi w:val="0"/>
        <w:spacing w:afterAutospacing="0" w:line="560" w:lineRule="exact"/>
        <w:ind w:firstLine="560" w:firstLineChars="200"/>
        <w:jc w:val="both"/>
        <w:textAlignment w:val="auto"/>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不通过打招呼或者暗中授意等不正当手段竞标采购项目，不哄抬物价，牟取暴利，扰乱医院正常工作秩序。</w:t>
      </w:r>
    </w:p>
    <w:p w14:paraId="6EE513B0">
      <w:pPr>
        <w:pageBreakBefore w:val="0"/>
        <w:numPr>
          <w:ilvl w:val="0"/>
          <w:numId w:val="11"/>
        </w:numPr>
        <w:kinsoku/>
        <w:wordWrap/>
        <w:overflowPunct/>
        <w:topLinePunct w:val="0"/>
        <w:bidi w:val="0"/>
        <w:spacing w:afterAutospacing="0" w:line="560" w:lineRule="exact"/>
        <w:ind w:firstLine="560" w:firstLineChars="200"/>
        <w:jc w:val="both"/>
        <w:textAlignment w:val="auto"/>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严格管理好公司销售人员，不在采购、销售、使用等环节中进行商业贿赂。</w:t>
      </w:r>
    </w:p>
    <w:p w14:paraId="7D97C411">
      <w:pPr>
        <w:pageBreakBefore w:val="0"/>
        <w:numPr>
          <w:ilvl w:val="0"/>
          <w:numId w:val="11"/>
        </w:numPr>
        <w:kinsoku/>
        <w:wordWrap/>
        <w:overflowPunct/>
        <w:topLinePunct w:val="0"/>
        <w:bidi w:val="0"/>
        <w:spacing w:afterAutospacing="0" w:line="560" w:lineRule="exact"/>
        <w:ind w:firstLine="560" w:firstLineChars="200"/>
        <w:jc w:val="both"/>
        <w:textAlignment w:val="auto"/>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不进入诊室、病区和库房，不向医院工作人员打听医疗用品进、销、存量和使用情况。</w:t>
      </w:r>
    </w:p>
    <w:p w14:paraId="7212E333">
      <w:pPr>
        <w:pageBreakBefore w:val="0"/>
        <w:numPr>
          <w:ilvl w:val="0"/>
          <w:numId w:val="11"/>
        </w:numPr>
        <w:kinsoku/>
        <w:wordWrap/>
        <w:overflowPunct/>
        <w:topLinePunct w:val="0"/>
        <w:bidi w:val="0"/>
        <w:spacing w:afterAutospacing="0" w:line="560" w:lineRule="exact"/>
        <w:ind w:firstLine="560" w:firstLineChars="200"/>
        <w:jc w:val="both"/>
        <w:textAlignment w:val="auto"/>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不向医院工作人员及其亲属赠送“红包”“回扣”及礼品、钱款、购物卡、有价证券和贵重礼品等，或给予其他不正当利益。</w:t>
      </w:r>
    </w:p>
    <w:p w14:paraId="4A81D311">
      <w:pPr>
        <w:pageBreakBefore w:val="0"/>
        <w:numPr>
          <w:ilvl w:val="0"/>
          <w:numId w:val="11"/>
        </w:numPr>
        <w:kinsoku/>
        <w:wordWrap/>
        <w:overflowPunct/>
        <w:topLinePunct w:val="0"/>
        <w:bidi w:val="0"/>
        <w:spacing w:afterAutospacing="0" w:line="560" w:lineRule="exact"/>
        <w:ind w:firstLine="560" w:firstLineChars="200"/>
        <w:jc w:val="both"/>
        <w:textAlignment w:val="auto"/>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不得以回扣、宴请等方式影响医院工作人员采购或使用医药产品的选择权，不得在学术活动中提供旅游、超标准支付食宿费用。</w:t>
      </w:r>
    </w:p>
    <w:p w14:paraId="78F459D6">
      <w:pPr>
        <w:pageBreakBefore w:val="0"/>
        <w:numPr>
          <w:ilvl w:val="0"/>
          <w:numId w:val="0"/>
        </w:numPr>
        <w:kinsoku/>
        <w:wordWrap/>
        <w:overflowPunct/>
        <w:topLinePunct w:val="0"/>
        <w:bidi w:val="0"/>
        <w:spacing w:afterAutospacing="0" w:line="560" w:lineRule="exact"/>
        <w:ind w:firstLine="560" w:firstLineChars="200"/>
        <w:jc w:val="both"/>
        <w:textAlignment w:val="auto"/>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以上承诺本公司将严格履行，如有违背以上承诺的行为，本公司自愿承担相应责任。</w:t>
      </w:r>
    </w:p>
    <w:p w14:paraId="064A5C95">
      <w:pPr>
        <w:bidi w:val="0"/>
        <w:rPr>
          <w:rFonts w:hint="eastAsia"/>
          <w:color w:val="000000" w:themeColor="text1"/>
          <w:highlight w:val="none"/>
          <w:lang w:val="en-US" w:eastAsia="zh-CN"/>
          <w14:textFill>
            <w14:solidFill>
              <w14:schemeClr w14:val="tx1"/>
            </w14:solidFill>
          </w14:textFill>
        </w:rPr>
      </w:pPr>
    </w:p>
    <w:p w14:paraId="7B501EF1">
      <w:pPr>
        <w:pageBreakBefore w:val="0"/>
        <w:widowControl/>
        <w:kinsoku/>
        <w:wordWrap/>
        <w:overflowPunct/>
        <w:topLinePunct w:val="0"/>
        <w:bidi w:val="0"/>
        <w:spacing w:beforeAutospacing="1" w:afterAutospacing="0" w:line="560" w:lineRule="exact"/>
        <w:jc w:val="lef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sectPr>
          <w:pgSz w:w="11906" w:h="16838"/>
          <w:pgMar w:top="1134" w:right="1134" w:bottom="1134" w:left="1134" w:header="720" w:footer="720" w:gutter="0"/>
          <w:pgNumType w:fmt="decimal"/>
          <w:cols w:space="720" w:num="1"/>
          <w:docGrid w:type="lines" w:linePitch="331" w:charSpace="0"/>
        </w:sectPr>
      </w:pP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 xml:space="preserve">承诺企业代表签字：                         承诺企业盖章    </w:t>
      </w:r>
    </w:p>
    <w:p w14:paraId="795ECD02">
      <w:pPr>
        <w:pStyle w:val="31"/>
        <w:pageBreakBefore w:val="0"/>
        <w:wordWrap/>
        <w:topLinePunct w:val="0"/>
        <w:bidi w:val="0"/>
        <w:spacing w:before="0" w:after="0" w:line="560" w:lineRule="exact"/>
        <w:rPr>
          <w:rFonts w:hint="eastAsia" w:eastAsia="宋体"/>
          <w:color w:val="000000" w:themeColor="text1"/>
          <w:sz w:val="36"/>
          <w:szCs w:val="36"/>
          <w:highlight w:val="none"/>
          <w:lang w:eastAsia="zh-CN"/>
          <w14:textFill>
            <w14:solidFill>
              <w14:schemeClr w14:val="tx1"/>
            </w14:solidFill>
          </w14:textFill>
        </w:rPr>
      </w:pPr>
      <w:r>
        <w:rPr>
          <w:rFonts w:hint="eastAsia"/>
          <w:color w:val="000000" w:themeColor="text1"/>
          <w:sz w:val="36"/>
          <w:szCs w:val="36"/>
          <w:highlight w:val="none"/>
          <w14:textFill>
            <w14:solidFill>
              <w14:schemeClr w14:val="tx1"/>
            </w14:solidFill>
          </w14:textFill>
        </w:rPr>
        <w:t xml:space="preserve">第六章 </w:t>
      </w:r>
      <w:r>
        <w:rPr>
          <w:rFonts w:hint="eastAsia"/>
          <w:color w:val="000000" w:themeColor="text1"/>
          <w:sz w:val="36"/>
          <w:szCs w:val="36"/>
          <w:highlight w:val="none"/>
          <w:lang w:val="en-US" w:eastAsia="zh-CN"/>
          <w14:textFill>
            <w14:solidFill>
              <w14:schemeClr w14:val="tx1"/>
            </w14:solidFill>
          </w14:textFill>
        </w:rPr>
        <w:t xml:space="preserve"> </w:t>
      </w:r>
      <w:r>
        <w:rPr>
          <w:rFonts w:hint="eastAsia"/>
          <w:color w:val="000000" w:themeColor="text1"/>
          <w:sz w:val="36"/>
          <w:szCs w:val="36"/>
          <w:highlight w:val="none"/>
          <w14:textFill>
            <w14:solidFill>
              <w14:schemeClr w14:val="tx1"/>
            </w14:solidFill>
          </w14:textFill>
        </w:rPr>
        <w:t>投标文件格式</w:t>
      </w:r>
      <w:r>
        <w:rPr>
          <w:rFonts w:hint="eastAsia" w:ascii="宋体" w:hAnsi="宋体" w:eastAsia="宋体" w:cs="宋体"/>
          <w:color w:val="000000" w:themeColor="text1"/>
          <w:sz w:val="36"/>
          <w:szCs w:val="36"/>
          <w:highlight w:val="none"/>
          <w:lang w:eastAsia="zh-CN"/>
          <w14:textFill>
            <w14:solidFill>
              <w14:schemeClr w14:val="tx1"/>
            </w14:solidFill>
          </w14:textFill>
        </w:rPr>
        <w:t>（标项</w:t>
      </w:r>
      <w:r>
        <w:rPr>
          <w:rFonts w:hint="eastAsia" w:ascii="宋体" w:hAnsi="宋体" w:cs="宋体"/>
          <w:color w:val="000000" w:themeColor="text1"/>
          <w:sz w:val="36"/>
          <w:szCs w:val="36"/>
          <w:highlight w:val="none"/>
          <w:lang w:val="en-US" w:eastAsia="zh-CN"/>
          <w14:textFill>
            <w14:solidFill>
              <w14:schemeClr w14:val="tx1"/>
            </w14:solidFill>
          </w14:textFill>
        </w:rPr>
        <w:t>3</w:t>
      </w:r>
      <w:r>
        <w:rPr>
          <w:rFonts w:hint="eastAsia" w:ascii="宋体" w:hAnsi="宋体" w:eastAsia="宋体" w:cs="宋体"/>
          <w:color w:val="000000" w:themeColor="text1"/>
          <w:sz w:val="36"/>
          <w:szCs w:val="36"/>
          <w:highlight w:val="none"/>
          <w:lang w:eastAsia="zh-CN"/>
          <w14:textFill>
            <w14:solidFill>
              <w14:schemeClr w14:val="tx1"/>
            </w14:solidFill>
          </w14:textFill>
        </w:rPr>
        <w:t>）</w:t>
      </w:r>
    </w:p>
    <w:p w14:paraId="4EE859BA">
      <w:pPr>
        <w:pageBreakBefore w:val="0"/>
        <w:wordWrap/>
        <w:topLinePunct w:val="0"/>
        <w:bidi w:val="0"/>
        <w:spacing w:before="120" w:beforeLines="50" w:after="120" w:afterLines="50" w:line="560" w:lineRule="exact"/>
        <w:jc w:val="center"/>
        <w:rPr>
          <w:rFonts w:hint="eastAsia" w:ascii="宋体" w:hAnsi="宋体" w:cs="宋体"/>
          <w:b/>
          <w:color w:val="000000" w:themeColor="text1"/>
          <w:spacing w:val="20"/>
          <w:sz w:val="44"/>
          <w:szCs w:val="44"/>
          <w:highlight w:val="none"/>
          <w:lang w:eastAsia="zh-CN"/>
          <w14:textFill>
            <w14:solidFill>
              <w14:schemeClr w14:val="tx1"/>
            </w14:solidFill>
          </w14:textFill>
        </w:rPr>
      </w:pPr>
    </w:p>
    <w:p w14:paraId="18D44040">
      <w:pPr>
        <w:pageBreakBefore w:val="0"/>
        <w:wordWrap/>
        <w:topLinePunct w:val="0"/>
        <w:bidi w:val="0"/>
        <w:spacing w:before="120" w:beforeLines="50" w:after="120" w:afterLines="50" w:line="560" w:lineRule="exact"/>
        <w:jc w:val="center"/>
        <w:rPr>
          <w:rFonts w:hint="eastAsia" w:ascii="宋体" w:hAnsi="宋体" w:cs="宋体"/>
          <w:b/>
          <w:color w:val="000000" w:themeColor="text1"/>
          <w:spacing w:val="20"/>
          <w:sz w:val="44"/>
          <w:szCs w:val="44"/>
          <w:highlight w:val="none"/>
          <w:lang w:eastAsia="zh-CN"/>
          <w14:textFill>
            <w14:solidFill>
              <w14:schemeClr w14:val="tx1"/>
            </w14:solidFill>
          </w14:textFill>
        </w:rPr>
      </w:pPr>
    </w:p>
    <w:p w14:paraId="5920250A">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color w:val="000000" w:themeColor="text1"/>
          <w:sz w:val="32"/>
          <w:szCs w:val="20"/>
          <w:highlight w:val="none"/>
          <w14:textFill>
            <w14:solidFill>
              <w14:schemeClr w14:val="tx1"/>
            </w14:solidFill>
          </w14:textFill>
        </w:rPr>
      </w:pPr>
      <w:r>
        <w:rPr>
          <w:rFonts w:hint="eastAsia" w:ascii="宋体" w:hAnsi="宋体" w:eastAsia="宋体" w:cs="宋体"/>
          <w:color w:val="000000" w:themeColor="text1"/>
          <w:sz w:val="32"/>
          <w:szCs w:val="20"/>
          <w:highlight w:val="none"/>
          <w14:textFill>
            <w14:solidFill>
              <w14:schemeClr w14:val="tx1"/>
            </w14:solidFill>
          </w14:textFill>
        </w:rPr>
        <w:t>（项目名称）</w:t>
      </w:r>
    </w:p>
    <w:p w14:paraId="3B504CA6">
      <w:pPr>
        <w:pStyle w:val="156"/>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color w:val="000000" w:themeColor="text1"/>
          <w:sz w:val="32"/>
          <w:szCs w:val="32"/>
          <w:highlight w:val="none"/>
          <w:lang w:eastAsia="zh-CN"/>
          <w14:textFill>
            <w14:solidFill>
              <w14:schemeClr w14:val="tx1"/>
            </w14:solidFill>
          </w14:textFill>
        </w:rPr>
      </w:pPr>
      <w:r>
        <w:rPr>
          <w:rFonts w:hint="eastAsia" w:ascii="宋体" w:hAnsi="宋体" w:eastAsia="宋体" w:cs="宋体"/>
          <w:color w:val="000000" w:themeColor="text1"/>
          <w:sz w:val="32"/>
          <w:szCs w:val="32"/>
          <w:highlight w:val="none"/>
          <w:lang w:eastAsia="zh-CN"/>
          <w14:textFill>
            <w14:solidFill>
              <w14:schemeClr w14:val="tx1"/>
            </w14:solidFill>
          </w14:textFill>
        </w:rPr>
        <w:t>（项目编号</w:t>
      </w:r>
      <w:r>
        <w:rPr>
          <w:rFonts w:hint="eastAsia" w:ascii="宋体" w:hAnsi="宋体" w:cs="宋体"/>
          <w:color w:val="000000" w:themeColor="text1"/>
          <w:sz w:val="32"/>
          <w:szCs w:val="32"/>
          <w:highlight w:val="none"/>
          <w:lang w:eastAsia="zh-CN"/>
          <w14:textFill>
            <w14:solidFill>
              <w14:schemeClr w14:val="tx1"/>
            </w14:solidFill>
          </w14:textFill>
        </w:rPr>
        <w:t>、标项名称</w:t>
      </w:r>
      <w:r>
        <w:rPr>
          <w:rFonts w:hint="eastAsia" w:ascii="宋体" w:hAnsi="宋体" w:eastAsia="宋体" w:cs="宋体"/>
          <w:color w:val="000000" w:themeColor="text1"/>
          <w:sz w:val="32"/>
          <w:szCs w:val="32"/>
          <w:highlight w:val="none"/>
          <w:lang w:eastAsia="zh-CN"/>
          <w14:textFill>
            <w14:solidFill>
              <w14:schemeClr w14:val="tx1"/>
            </w14:solidFill>
          </w14:textFill>
        </w:rPr>
        <w:t>）</w:t>
      </w:r>
    </w:p>
    <w:p w14:paraId="70DABA00">
      <w:pPr>
        <w:pStyle w:val="156"/>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 xml:space="preserve">  </w:t>
      </w:r>
    </w:p>
    <w:p w14:paraId="5803C674">
      <w:pPr>
        <w:pStyle w:val="156"/>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cs="宋体"/>
          <w:color w:val="000000" w:themeColor="text1"/>
          <w:sz w:val="24"/>
          <w:highlight w:val="none"/>
          <w14:textFill>
            <w14:solidFill>
              <w14:schemeClr w14:val="tx1"/>
            </w14:solidFill>
          </w14:textFill>
        </w:rPr>
      </w:pPr>
    </w:p>
    <w:p w14:paraId="1CD0F95E">
      <w:pPr>
        <w:pStyle w:val="156"/>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cs="宋体"/>
          <w:color w:val="000000" w:themeColor="text1"/>
          <w:sz w:val="24"/>
          <w:highlight w:val="none"/>
          <w14:textFill>
            <w14:solidFill>
              <w14:schemeClr w14:val="tx1"/>
            </w14:solidFill>
          </w14:textFill>
        </w:rPr>
      </w:pPr>
    </w:p>
    <w:p w14:paraId="4C0BAD8C">
      <w:pPr>
        <w:pStyle w:val="156"/>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cs="宋体"/>
          <w:b/>
          <w:color w:val="000000" w:themeColor="text1"/>
          <w:sz w:val="48"/>
          <w:szCs w:val="48"/>
          <w:highlight w:val="none"/>
          <w14:textFill>
            <w14:solidFill>
              <w14:schemeClr w14:val="tx1"/>
            </w14:solidFill>
          </w14:textFill>
        </w:rPr>
      </w:pPr>
      <w:r>
        <w:rPr>
          <w:rFonts w:hint="eastAsia" w:ascii="宋体" w:hAnsi="宋体" w:cs="宋体"/>
          <w:b/>
          <w:color w:val="000000" w:themeColor="text1"/>
          <w:sz w:val="48"/>
          <w:szCs w:val="48"/>
          <w:highlight w:val="none"/>
          <w14:textFill>
            <w14:solidFill>
              <w14:schemeClr w14:val="tx1"/>
            </w14:solidFill>
          </w14:textFill>
        </w:rPr>
        <w:t>响应文件</w:t>
      </w:r>
    </w:p>
    <w:p w14:paraId="5F447633">
      <w:pPr>
        <w:pStyle w:val="156"/>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cs="宋体"/>
          <w:color w:val="000000" w:themeColor="text1"/>
          <w:sz w:val="24"/>
          <w:highlight w:val="none"/>
          <w14:textFill>
            <w14:solidFill>
              <w14:schemeClr w14:val="tx1"/>
            </w14:solidFill>
          </w14:textFill>
        </w:rPr>
      </w:pPr>
    </w:p>
    <w:p w14:paraId="13F466B5">
      <w:pPr>
        <w:pStyle w:val="156"/>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cs="宋体"/>
          <w:color w:val="000000" w:themeColor="text1"/>
          <w:sz w:val="24"/>
          <w:highlight w:val="none"/>
          <w14:textFill>
            <w14:solidFill>
              <w14:schemeClr w14:val="tx1"/>
            </w14:solidFill>
          </w14:textFill>
        </w:rPr>
      </w:pPr>
    </w:p>
    <w:p w14:paraId="023462D6">
      <w:pPr>
        <w:pStyle w:val="156"/>
        <w:pageBreakBefore w:val="0"/>
        <w:wordWrap/>
        <w:topLinePunct w:val="0"/>
        <w:bidi w:val="0"/>
        <w:spacing w:line="560" w:lineRule="exact"/>
        <w:jc w:val="center"/>
        <w:rPr>
          <w:rFonts w:hint="eastAsia" w:ascii="宋体" w:hAnsi="宋体" w:cs="宋体"/>
          <w:b/>
          <w:color w:val="000000" w:themeColor="text1"/>
          <w:sz w:val="24"/>
          <w:highlight w:val="none"/>
          <w14:textFill>
            <w14:solidFill>
              <w14:schemeClr w14:val="tx1"/>
            </w14:solidFill>
          </w14:textFill>
        </w:rPr>
      </w:pPr>
    </w:p>
    <w:p w14:paraId="2F36AC8F">
      <w:pPr>
        <w:pStyle w:val="156"/>
        <w:pageBreakBefore w:val="0"/>
        <w:wordWrap/>
        <w:topLinePunct w:val="0"/>
        <w:bidi w:val="0"/>
        <w:spacing w:line="560" w:lineRule="exact"/>
        <w:jc w:val="center"/>
        <w:rPr>
          <w:rFonts w:hint="eastAsia" w:ascii="宋体" w:hAnsi="宋体" w:cs="宋体"/>
          <w:b/>
          <w:color w:val="000000" w:themeColor="text1"/>
          <w:sz w:val="24"/>
          <w:highlight w:val="none"/>
          <w14:textFill>
            <w14:solidFill>
              <w14:schemeClr w14:val="tx1"/>
            </w14:solidFill>
          </w14:textFill>
        </w:rPr>
      </w:pPr>
    </w:p>
    <w:p w14:paraId="5F31A6B8">
      <w:pPr>
        <w:pStyle w:val="158"/>
        <w:pageBreakBefore w:val="0"/>
        <w:wordWrap/>
        <w:topLinePunct w:val="0"/>
        <w:bidi w:val="0"/>
        <w:spacing w:line="560" w:lineRule="exact"/>
        <w:rPr>
          <w:rFonts w:hint="eastAsia" w:ascii="宋体" w:hAnsi="宋体" w:cs="宋体"/>
          <w:b/>
          <w:color w:val="000000" w:themeColor="text1"/>
          <w:sz w:val="24"/>
          <w:highlight w:val="none"/>
          <w:lang w:eastAsia="zh-CN"/>
          <w14:textFill>
            <w14:solidFill>
              <w14:schemeClr w14:val="tx1"/>
            </w14:solidFill>
          </w14:textFill>
        </w:rPr>
      </w:pPr>
    </w:p>
    <w:p w14:paraId="5D258DE3">
      <w:pPr>
        <w:pStyle w:val="158"/>
        <w:pageBreakBefore w:val="0"/>
        <w:wordWrap/>
        <w:topLinePunct w:val="0"/>
        <w:bidi w:val="0"/>
        <w:spacing w:line="560" w:lineRule="exact"/>
        <w:rPr>
          <w:rFonts w:hint="eastAsia" w:ascii="宋体" w:hAnsi="宋体" w:cs="宋体"/>
          <w:b/>
          <w:color w:val="000000" w:themeColor="text1"/>
          <w:sz w:val="24"/>
          <w:highlight w:val="none"/>
          <w:lang w:eastAsia="zh-CN"/>
          <w14:textFill>
            <w14:solidFill>
              <w14:schemeClr w14:val="tx1"/>
            </w14:solidFill>
          </w14:textFill>
        </w:rPr>
      </w:pPr>
    </w:p>
    <w:p w14:paraId="6A2E23C9">
      <w:pPr>
        <w:pStyle w:val="156"/>
        <w:pageBreakBefore w:val="0"/>
        <w:wordWrap/>
        <w:topLinePunct w:val="0"/>
        <w:bidi w:val="0"/>
        <w:spacing w:line="560" w:lineRule="exact"/>
        <w:jc w:val="center"/>
        <w:rPr>
          <w:rFonts w:hint="eastAsia" w:ascii="宋体" w:hAnsi="宋体" w:cs="宋体"/>
          <w:b/>
          <w:color w:val="000000" w:themeColor="text1"/>
          <w:sz w:val="24"/>
          <w:highlight w:val="none"/>
          <w14:textFill>
            <w14:solidFill>
              <w14:schemeClr w14:val="tx1"/>
            </w14:solidFill>
          </w14:textFill>
        </w:rPr>
      </w:pPr>
    </w:p>
    <w:p w14:paraId="5A004FE0">
      <w:pPr>
        <w:pStyle w:val="156"/>
        <w:keepNext w:val="0"/>
        <w:keepLines w:val="0"/>
        <w:pageBreakBefore w:val="0"/>
        <w:widowControl w:val="0"/>
        <w:kinsoku/>
        <w:wordWrap/>
        <w:overflowPunct/>
        <w:topLinePunct w:val="0"/>
        <w:autoSpaceDE/>
        <w:autoSpaceDN/>
        <w:bidi w:val="0"/>
        <w:adjustRightInd/>
        <w:snapToGrid/>
        <w:spacing w:line="560" w:lineRule="exact"/>
        <w:ind w:firstLine="1400" w:firstLineChars="500"/>
        <w:textAlignment w:val="auto"/>
        <w:rPr>
          <w:rFonts w:hint="eastAsia" w:ascii="宋体" w:hAnsi="宋体" w:cs="宋体"/>
          <w:color w:val="000000" w:themeColor="text1"/>
          <w:sz w:val="28"/>
          <w:szCs w:val="28"/>
          <w:highlight w:val="none"/>
          <w:u w:val="singl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供 应 商：</w:t>
      </w:r>
      <w:r>
        <w:rPr>
          <w:rFonts w:hint="eastAsia" w:ascii="宋体" w:hAnsi="宋体" w:cs="宋体"/>
          <w:color w:val="000000" w:themeColor="text1"/>
          <w:sz w:val="28"/>
          <w:szCs w:val="28"/>
          <w:highlight w:val="none"/>
          <w:u w:val="single"/>
          <w14:textFill>
            <w14:solidFill>
              <w14:schemeClr w14:val="tx1"/>
            </w14:solidFill>
          </w14:textFill>
        </w:rPr>
        <w:t xml:space="preserve">                            </w:t>
      </w:r>
      <w:r>
        <w:rPr>
          <w:rFonts w:hint="eastAsia" w:ascii="宋体" w:hAnsi="宋体" w:cs="宋体"/>
          <w:color w:val="000000" w:themeColor="text1"/>
          <w:sz w:val="28"/>
          <w:szCs w:val="28"/>
          <w:highlight w:val="none"/>
          <w14:textFill>
            <w14:solidFill>
              <w14:schemeClr w14:val="tx1"/>
            </w14:solidFill>
          </w14:textFill>
        </w:rPr>
        <w:t>（电子</w:t>
      </w:r>
      <w:r>
        <w:rPr>
          <w:rFonts w:hint="eastAsia" w:ascii="宋体" w:hAnsi="宋体" w:cs="宋体"/>
          <w:color w:val="000000" w:themeColor="text1"/>
          <w:sz w:val="28"/>
          <w:szCs w:val="28"/>
          <w:highlight w:val="none"/>
          <w:lang w:eastAsia="zh-CN"/>
          <w14:textFill>
            <w14:solidFill>
              <w14:schemeClr w14:val="tx1"/>
            </w14:solidFill>
          </w14:textFill>
        </w:rPr>
        <w:t>公</w:t>
      </w:r>
      <w:r>
        <w:rPr>
          <w:rFonts w:hint="eastAsia" w:ascii="宋体" w:hAnsi="宋体" w:cs="宋体"/>
          <w:color w:val="000000" w:themeColor="text1"/>
          <w:sz w:val="28"/>
          <w:szCs w:val="28"/>
          <w:highlight w:val="none"/>
          <w14:textFill>
            <w14:solidFill>
              <w14:schemeClr w14:val="tx1"/>
            </w14:solidFill>
          </w14:textFill>
        </w:rPr>
        <w:t>章）</w:t>
      </w:r>
    </w:p>
    <w:p w14:paraId="1E451923">
      <w:pPr>
        <w:keepNext w:val="0"/>
        <w:keepLines w:val="0"/>
        <w:pageBreakBefore w:val="0"/>
        <w:widowControl w:val="0"/>
        <w:kinsoku/>
        <w:wordWrap/>
        <w:overflowPunct/>
        <w:topLinePunct w:val="0"/>
        <w:autoSpaceDE/>
        <w:autoSpaceDN/>
        <w:bidi w:val="0"/>
        <w:adjustRightInd/>
        <w:snapToGrid/>
        <w:spacing w:line="560" w:lineRule="exact"/>
        <w:ind w:firstLine="1400" w:firstLineChars="500"/>
        <w:textAlignment w:val="auto"/>
        <w:rPr>
          <w:rFonts w:hint="eastAsia"/>
          <w:color w:val="000000" w:themeColor="text1"/>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法定代表人：</w:t>
      </w:r>
      <w:r>
        <w:rPr>
          <w:rFonts w:hint="eastAsia" w:ascii="宋体" w:hAnsi="宋体" w:eastAsia="宋体" w:cs="宋体"/>
          <w:color w:val="000000" w:themeColor="text1"/>
          <w:kern w:val="2"/>
          <w:sz w:val="28"/>
          <w:szCs w:val="28"/>
          <w:highlight w:val="none"/>
          <w:u w:val="single"/>
          <w:lang w:val="en-US" w:eastAsia="zh-CN" w:bidi="ar-SA"/>
          <w14:textFill>
            <w14:solidFill>
              <w14:schemeClr w14:val="tx1"/>
            </w14:solidFill>
          </w14:textFill>
        </w:rPr>
        <w:t xml:space="preserve">                          </w:t>
      </w:r>
      <w:r>
        <w:rPr>
          <w:rFonts w:hint="eastAsia" w:ascii="宋体" w:hAnsi="宋体" w:cs="宋体"/>
          <w:color w:val="000000" w:themeColor="text1"/>
          <w:sz w:val="28"/>
          <w:szCs w:val="28"/>
          <w:highlight w:val="none"/>
          <w14:textFill>
            <w14:solidFill>
              <w14:schemeClr w14:val="tx1"/>
            </w14:solidFill>
          </w14:textFill>
        </w:rPr>
        <w:t>（</w:t>
      </w:r>
      <w:r>
        <w:rPr>
          <w:rFonts w:hint="eastAsia" w:ascii="宋体" w:hAnsi="宋体" w:cs="宋体"/>
          <w:color w:val="000000" w:themeColor="text1"/>
          <w:sz w:val="28"/>
          <w:szCs w:val="28"/>
          <w:highlight w:val="none"/>
          <w:lang w:eastAsia="zh-CN"/>
          <w14:textFill>
            <w14:solidFill>
              <w14:schemeClr w14:val="tx1"/>
            </w14:solidFill>
          </w14:textFill>
        </w:rPr>
        <w:t>签字或盖章</w:t>
      </w:r>
      <w:r>
        <w:rPr>
          <w:rFonts w:hint="eastAsia" w:ascii="宋体" w:hAnsi="宋体" w:cs="宋体"/>
          <w:color w:val="000000" w:themeColor="text1"/>
          <w:sz w:val="28"/>
          <w:szCs w:val="28"/>
          <w:highlight w:val="none"/>
          <w14:textFill>
            <w14:solidFill>
              <w14:schemeClr w14:val="tx1"/>
            </w14:solidFill>
          </w14:textFill>
        </w:rPr>
        <w:t>）</w:t>
      </w:r>
    </w:p>
    <w:p w14:paraId="74B4FB39">
      <w:pPr>
        <w:pStyle w:val="158"/>
        <w:keepNext w:val="0"/>
        <w:keepLines w:val="0"/>
        <w:pageBreakBefore w:val="0"/>
        <w:widowControl w:val="0"/>
        <w:kinsoku/>
        <w:wordWrap/>
        <w:overflowPunct/>
        <w:topLinePunct w:val="0"/>
        <w:autoSpaceDE/>
        <w:autoSpaceDN/>
        <w:bidi w:val="0"/>
        <w:adjustRightInd/>
        <w:snapToGrid/>
        <w:spacing w:line="560" w:lineRule="exact"/>
        <w:ind w:firstLine="1400" w:firstLineChars="500"/>
        <w:textAlignment w:val="auto"/>
        <w:rPr>
          <w:rFonts w:ascii="宋体" w:hAnsi="宋体" w:cs="宋体"/>
          <w:color w:val="000000" w:themeColor="text1"/>
          <w:sz w:val="28"/>
          <w:szCs w:val="28"/>
          <w:highlight w:val="none"/>
          <w:u w:val="singl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联 系 人：</w:t>
      </w:r>
      <w:r>
        <w:rPr>
          <w:rFonts w:hint="eastAsia" w:ascii="宋体" w:hAnsi="宋体" w:cs="宋体"/>
          <w:color w:val="000000" w:themeColor="text1"/>
          <w:sz w:val="28"/>
          <w:szCs w:val="28"/>
          <w:highlight w:val="none"/>
          <w:u w:val="single"/>
          <w14:textFill>
            <w14:solidFill>
              <w14:schemeClr w14:val="tx1"/>
            </w14:solidFill>
          </w14:textFill>
        </w:rPr>
        <w:t xml:space="preserve">                            </w:t>
      </w:r>
    </w:p>
    <w:p w14:paraId="201EBBDE">
      <w:pPr>
        <w:pStyle w:val="158"/>
        <w:keepNext w:val="0"/>
        <w:keepLines w:val="0"/>
        <w:pageBreakBefore w:val="0"/>
        <w:widowControl w:val="0"/>
        <w:kinsoku/>
        <w:wordWrap/>
        <w:overflowPunct/>
        <w:topLinePunct w:val="0"/>
        <w:autoSpaceDE/>
        <w:autoSpaceDN/>
        <w:bidi w:val="0"/>
        <w:adjustRightInd/>
        <w:snapToGrid/>
        <w:spacing w:line="560" w:lineRule="exact"/>
        <w:ind w:firstLine="1400" w:firstLineChars="500"/>
        <w:textAlignment w:val="auto"/>
        <w:rPr>
          <w:rFonts w:hint="eastAsia" w:ascii="宋体" w:hAnsi="宋体" w:cs="宋体"/>
          <w:color w:val="000000" w:themeColor="text1"/>
          <w:sz w:val="28"/>
          <w:szCs w:val="28"/>
          <w:highlight w:val="none"/>
          <w:u w:val="singl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联系电话：</w:t>
      </w:r>
      <w:r>
        <w:rPr>
          <w:rFonts w:hint="eastAsia" w:ascii="宋体" w:hAnsi="宋体" w:cs="宋体"/>
          <w:color w:val="000000" w:themeColor="text1"/>
          <w:sz w:val="28"/>
          <w:szCs w:val="28"/>
          <w:highlight w:val="none"/>
          <w:u w:val="single"/>
          <w14:textFill>
            <w14:solidFill>
              <w14:schemeClr w14:val="tx1"/>
            </w14:solidFill>
          </w14:textFill>
        </w:rPr>
        <w:t xml:space="preserve">                            </w:t>
      </w:r>
    </w:p>
    <w:p w14:paraId="25AF3F96">
      <w:pPr>
        <w:pStyle w:val="156"/>
        <w:keepNext w:val="0"/>
        <w:keepLines w:val="0"/>
        <w:pageBreakBefore w:val="0"/>
        <w:widowControl w:val="0"/>
        <w:kinsoku/>
        <w:wordWrap/>
        <w:overflowPunct/>
        <w:topLinePunct w:val="0"/>
        <w:autoSpaceDE/>
        <w:autoSpaceDN/>
        <w:bidi w:val="0"/>
        <w:adjustRightInd/>
        <w:snapToGrid/>
        <w:spacing w:line="560" w:lineRule="exact"/>
        <w:ind w:firstLine="1400" w:firstLineChars="500"/>
        <w:textAlignment w:val="auto"/>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日    期：</w:t>
      </w:r>
      <w:r>
        <w:rPr>
          <w:rFonts w:hint="eastAsia" w:ascii="宋体" w:hAnsi="宋体" w:cs="宋体"/>
          <w:color w:val="000000" w:themeColor="text1"/>
          <w:sz w:val="28"/>
          <w:szCs w:val="28"/>
          <w:highlight w:val="none"/>
          <w:u w:val="single"/>
          <w14:textFill>
            <w14:solidFill>
              <w14:schemeClr w14:val="tx1"/>
            </w14:solidFill>
          </w14:textFill>
        </w:rPr>
        <w:t xml:space="preserve">                            </w:t>
      </w:r>
      <w:r>
        <w:rPr>
          <w:rFonts w:hint="eastAsia" w:ascii="宋体" w:hAnsi="宋体" w:cs="宋体"/>
          <w:color w:val="000000" w:themeColor="text1"/>
          <w:sz w:val="28"/>
          <w:szCs w:val="28"/>
          <w:highlight w:val="none"/>
          <w14:textFill>
            <w14:solidFill>
              <w14:schemeClr w14:val="tx1"/>
            </w14:solidFill>
          </w14:textFill>
        </w:rPr>
        <w:t>（年/月/日）</w:t>
      </w:r>
    </w:p>
    <w:p w14:paraId="7BC8E2A1">
      <w:pPr>
        <w:pageBreakBefore w:val="0"/>
        <w:wordWrap/>
        <w:topLinePunct w:val="0"/>
        <w:bidi w:val="0"/>
        <w:spacing w:line="560" w:lineRule="exact"/>
        <w:rPr>
          <w:rFonts w:hint="eastAsia"/>
          <w:color w:val="000000" w:themeColor="text1"/>
          <w:highlight w:val="none"/>
          <w14:textFill>
            <w14:solidFill>
              <w14:schemeClr w14:val="tx1"/>
            </w14:solidFill>
          </w14:textFill>
        </w:rPr>
      </w:pPr>
    </w:p>
    <w:p w14:paraId="462C544C">
      <w:pPr>
        <w:pageBreakBefore w:val="0"/>
        <w:wordWrap/>
        <w:topLinePunct w:val="0"/>
        <w:bidi w:val="0"/>
        <w:spacing w:line="560" w:lineRule="exact"/>
        <w:rPr>
          <w:rFonts w:hint="eastAsia"/>
          <w:color w:val="000000" w:themeColor="text1"/>
          <w:highlight w:val="none"/>
          <w14:textFill>
            <w14:solidFill>
              <w14:schemeClr w14:val="tx1"/>
            </w14:solidFill>
          </w14:textFill>
        </w:rPr>
      </w:pPr>
    </w:p>
    <w:p w14:paraId="777F9A0E">
      <w:pPr>
        <w:pageBreakBefore w:val="0"/>
        <w:wordWrap/>
        <w:topLinePunct w:val="0"/>
        <w:bidi w:val="0"/>
        <w:spacing w:line="560" w:lineRule="exact"/>
        <w:rPr>
          <w:rFonts w:hint="eastAsia"/>
          <w:color w:val="000000" w:themeColor="text1"/>
          <w:highlight w:val="none"/>
          <w14:textFill>
            <w14:solidFill>
              <w14:schemeClr w14:val="tx1"/>
            </w14:solidFill>
          </w14:textFill>
        </w:rPr>
      </w:pPr>
    </w:p>
    <w:p w14:paraId="2B7A4CC9">
      <w:pPr>
        <w:pageBreakBefore w:val="0"/>
        <w:wordWrap/>
        <w:topLinePunct w:val="0"/>
        <w:bidi w:val="0"/>
        <w:spacing w:line="560" w:lineRule="exact"/>
        <w:rPr>
          <w:rFonts w:hint="eastAsia"/>
          <w:color w:val="000000" w:themeColor="text1"/>
          <w:highlight w:val="none"/>
          <w14:textFill>
            <w14:solidFill>
              <w14:schemeClr w14:val="tx1"/>
            </w14:solidFill>
          </w14:textFill>
        </w:rPr>
      </w:pPr>
    </w:p>
    <w:p w14:paraId="6EE6FDC9">
      <w:pPr>
        <w:pageBreakBefore w:val="0"/>
        <w:wordWrap/>
        <w:topLinePunct w:val="0"/>
        <w:bidi w:val="0"/>
        <w:spacing w:line="560" w:lineRule="exact"/>
        <w:jc w:val="center"/>
        <w:rPr>
          <w:rFonts w:cs="仿宋_GB2312" w:asciiTheme="minorEastAsia" w:hAnsiTheme="minorEastAsia" w:eastAsiaTheme="minorEastAsia"/>
          <w:color w:val="000000" w:themeColor="text1"/>
          <w:kern w:val="0"/>
          <w:sz w:val="28"/>
          <w:szCs w:val="28"/>
          <w:highlight w:val="none"/>
          <w14:textFill>
            <w14:solidFill>
              <w14:schemeClr w14:val="tx1"/>
            </w14:solidFill>
          </w14:textFill>
        </w:rPr>
      </w:pPr>
      <w:r>
        <w:rPr>
          <w:rFonts w:hint="eastAsia" w:cs="仿宋_GB2312" w:asciiTheme="minorEastAsia" w:hAnsiTheme="minorEastAsia" w:eastAsiaTheme="minorEastAsia"/>
          <w:b/>
          <w:color w:val="000000" w:themeColor="text1"/>
          <w:kern w:val="0"/>
          <w:sz w:val="28"/>
          <w:szCs w:val="28"/>
          <w:highlight w:val="none"/>
          <w14:textFill>
            <w14:solidFill>
              <w14:schemeClr w14:val="tx1"/>
            </w14:solidFill>
          </w14:textFill>
        </w:rPr>
        <w:t>资格证明文件目录</w:t>
      </w:r>
    </w:p>
    <w:p w14:paraId="45C35A8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cs="仿宋_GB2312" w:asciiTheme="minorEastAsia" w:hAnsiTheme="minorEastAsia" w:eastAsiaTheme="minorEastAsia"/>
          <w:color w:val="000000" w:themeColor="text1"/>
          <w:kern w:val="0"/>
          <w:sz w:val="28"/>
          <w:szCs w:val="28"/>
          <w:highlight w:val="none"/>
          <w14:textFill>
            <w14:solidFill>
              <w14:schemeClr w14:val="tx1"/>
            </w14:solidFill>
          </w14:textFill>
        </w:rPr>
      </w:pPr>
      <w:r>
        <w:rPr>
          <w:rFonts w:hint="eastAsia" w:cs="仿宋_GB2312" w:asciiTheme="minorEastAsia" w:hAnsiTheme="minorEastAsia" w:eastAsiaTheme="minorEastAsia"/>
          <w:color w:val="000000" w:themeColor="text1"/>
          <w:kern w:val="0"/>
          <w:sz w:val="28"/>
          <w:szCs w:val="28"/>
          <w:highlight w:val="none"/>
          <w14:textFill>
            <w14:solidFill>
              <w14:schemeClr w14:val="tx1"/>
            </w14:solidFill>
          </w14:textFill>
        </w:rPr>
        <w:t>一、合法有效的法人营业执照………………………………………………（页码）</w:t>
      </w:r>
    </w:p>
    <w:p w14:paraId="5E55D0A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cs="仿宋_GB2312" w:asciiTheme="minorEastAsia" w:hAnsiTheme="minorEastAsia" w:eastAsiaTheme="minorEastAsia"/>
          <w:color w:val="000000" w:themeColor="text1"/>
          <w:kern w:val="0"/>
          <w:sz w:val="28"/>
          <w:szCs w:val="28"/>
          <w:highlight w:val="none"/>
          <w14:textFill>
            <w14:solidFill>
              <w14:schemeClr w14:val="tx1"/>
            </w14:solidFill>
          </w14:textFill>
        </w:rPr>
      </w:pPr>
      <w:r>
        <w:rPr>
          <w:rFonts w:hint="eastAsia" w:cs="仿宋_GB2312" w:asciiTheme="minorEastAsia" w:hAnsiTheme="minorEastAsia" w:eastAsiaTheme="minorEastAsia"/>
          <w:color w:val="000000" w:themeColor="text1"/>
          <w:kern w:val="0"/>
          <w:sz w:val="28"/>
          <w:szCs w:val="28"/>
          <w:highlight w:val="none"/>
          <w14:textFill>
            <w14:solidFill>
              <w14:schemeClr w14:val="tx1"/>
            </w14:solidFill>
          </w14:textFill>
        </w:rPr>
        <w:t>二、202</w:t>
      </w:r>
      <w:r>
        <w:rPr>
          <w:rFonts w:hint="eastAsia" w:cs="仿宋_GB2312" w:asciiTheme="minorEastAsia" w:hAnsiTheme="minorEastAsia" w:eastAsiaTheme="minorEastAsia"/>
          <w:color w:val="000000" w:themeColor="text1"/>
          <w:kern w:val="0"/>
          <w:sz w:val="28"/>
          <w:szCs w:val="28"/>
          <w:highlight w:val="none"/>
          <w:lang w:val="en-US" w:eastAsia="zh-CN"/>
          <w14:textFill>
            <w14:solidFill>
              <w14:schemeClr w14:val="tx1"/>
            </w14:solidFill>
          </w14:textFill>
        </w:rPr>
        <w:t>2</w:t>
      </w:r>
      <w:r>
        <w:rPr>
          <w:rFonts w:hint="eastAsia" w:cs="仿宋_GB2312" w:asciiTheme="minorEastAsia" w:hAnsiTheme="minorEastAsia" w:eastAsiaTheme="minorEastAsia"/>
          <w:color w:val="000000" w:themeColor="text1"/>
          <w:kern w:val="0"/>
          <w:sz w:val="28"/>
          <w:szCs w:val="28"/>
          <w:highlight w:val="none"/>
          <w14:textFill>
            <w14:solidFill>
              <w14:schemeClr w14:val="tx1"/>
            </w14:solidFill>
          </w14:textFill>
        </w:rPr>
        <w:t>-202</w:t>
      </w:r>
      <w:r>
        <w:rPr>
          <w:rFonts w:hint="eastAsia" w:cs="仿宋_GB2312" w:asciiTheme="minorEastAsia" w:hAnsiTheme="minorEastAsia" w:eastAsiaTheme="minorEastAsia"/>
          <w:color w:val="000000" w:themeColor="text1"/>
          <w:kern w:val="0"/>
          <w:sz w:val="28"/>
          <w:szCs w:val="28"/>
          <w:highlight w:val="none"/>
          <w:lang w:val="en-US" w:eastAsia="zh-CN"/>
          <w14:textFill>
            <w14:solidFill>
              <w14:schemeClr w14:val="tx1"/>
            </w14:solidFill>
          </w14:textFill>
        </w:rPr>
        <w:t>4</w:t>
      </w:r>
      <w:r>
        <w:rPr>
          <w:rFonts w:hint="eastAsia" w:cs="仿宋_GB2312" w:asciiTheme="minorEastAsia" w:hAnsiTheme="minorEastAsia" w:eastAsiaTheme="minorEastAsia"/>
          <w:color w:val="000000" w:themeColor="text1"/>
          <w:kern w:val="0"/>
          <w:sz w:val="28"/>
          <w:szCs w:val="28"/>
          <w:highlight w:val="none"/>
          <w14:textFill>
            <w14:solidFill>
              <w14:schemeClr w14:val="tx1"/>
            </w14:solidFill>
          </w14:textFill>
        </w:rPr>
        <w:t xml:space="preserve">年任意一年的财务报表或审计报告………………………（页码） </w:t>
      </w:r>
    </w:p>
    <w:p w14:paraId="5B7FEEB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cs="仿宋_GB2312" w:asciiTheme="minorEastAsia" w:hAnsiTheme="minorEastAsia" w:eastAsiaTheme="minorEastAsia"/>
          <w:color w:val="000000" w:themeColor="text1"/>
          <w:kern w:val="0"/>
          <w:sz w:val="28"/>
          <w:szCs w:val="28"/>
          <w:highlight w:val="none"/>
          <w14:textFill>
            <w14:solidFill>
              <w14:schemeClr w14:val="tx1"/>
            </w14:solidFill>
          </w14:textFill>
        </w:rPr>
      </w:pPr>
      <w:r>
        <w:rPr>
          <w:rFonts w:hint="eastAsia" w:cs="仿宋_GB2312" w:asciiTheme="minorEastAsia" w:hAnsiTheme="minorEastAsia" w:eastAsiaTheme="minorEastAsia"/>
          <w:color w:val="000000" w:themeColor="text1"/>
          <w:kern w:val="0"/>
          <w:sz w:val="28"/>
          <w:szCs w:val="28"/>
          <w:highlight w:val="none"/>
          <w14:textFill>
            <w14:solidFill>
              <w14:schemeClr w14:val="tx1"/>
            </w14:solidFill>
          </w14:textFill>
        </w:rPr>
        <w:t>三、根据项目需求提供履行合同所必需的设备和专业技术能力的加盖单位公章的书面承诺函…………………………………………………………………（页码）</w:t>
      </w:r>
    </w:p>
    <w:p w14:paraId="0EFB566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cs="仿宋_GB2312" w:asciiTheme="minorEastAsia" w:hAnsiTheme="minorEastAsia" w:eastAsiaTheme="minorEastAsia"/>
          <w:color w:val="000000" w:themeColor="text1"/>
          <w:kern w:val="0"/>
          <w:sz w:val="28"/>
          <w:szCs w:val="28"/>
          <w:highlight w:val="none"/>
          <w14:textFill>
            <w14:solidFill>
              <w14:schemeClr w14:val="tx1"/>
            </w14:solidFill>
          </w14:textFill>
        </w:rPr>
      </w:pPr>
      <w:r>
        <w:rPr>
          <w:rFonts w:hint="eastAsia" w:cs="仿宋_GB2312" w:asciiTheme="minorEastAsia" w:hAnsiTheme="minorEastAsia" w:eastAsiaTheme="minorEastAsia"/>
          <w:color w:val="000000" w:themeColor="text1"/>
          <w:kern w:val="0"/>
          <w:sz w:val="28"/>
          <w:szCs w:val="28"/>
          <w:highlight w:val="none"/>
          <w14:textFill>
            <w14:solidFill>
              <w14:schemeClr w14:val="tx1"/>
            </w14:solidFill>
          </w14:textFill>
        </w:rPr>
        <w:t>四、提供参加本次政府采购活动前近半年任意一个月的依法缴纳税收和社会保障资金的相关材料……………………………………………………………（页码）</w:t>
      </w:r>
    </w:p>
    <w:p w14:paraId="7082379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cs="仿宋_GB2312" w:asciiTheme="minorEastAsia" w:hAnsiTheme="minorEastAsia" w:eastAsiaTheme="minorEastAsia"/>
          <w:color w:val="000000" w:themeColor="text1"/>
          <w:kern w:val="0"/>
          <w:sz w:val="28"/>
          <w:szCs w:val="28"/>
          <w:highlight w:val="none"/>
          <w14:textFill>
            <w14:solidFill>
              <w14:schemeClr w14:val="tx1"/>
            </w14:solidFill>
          </w14:textFill>
        </w:rPr>
      </w:pPr>
      <w:r>
        <w:rPr>
          <w:rFonts w:hint="eastAsia" w:cs="仿宋_GB2312" w:asciiTheme="minorEastAsia" w:hAnsiTheme="minorEastAsia" w:eastAsiaTheme="minorEastAsia"/>
          <w:color w:val="000000" w:themeColor="text1"/>
          <w:kern w:val="0"/>
          <w:sz w:val="28"/>
          <w:szCs w:val="28"/>
          <w:highlight w:val="none"/>
          <w14:textFill>
            <w14:solidFill>
              <w14:schemeClr w14:val="tx1"/>
            </w14:solidFill>
          </w14:textFill>
        </w:rPr>
        <w:t>五、提供参加本次政府采购活动前3年内在经营活动中没有重大违法记录的书面承诺函并加盖单位公章……………………………………………………（页码）</w:t>
      </w:r>
    </w:p>
    <w:p w14:paraId="3A10B24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cs="仿宋_GB2312" w:asciiTheme="minorEastAsia" w:hAnsiTheme="minorEastAsia" w:eastAsiaTheme="minorEastAsia"/>
          <w:color w:val="000000" w:themeColor="text1"/>
          <w:kern w:val="0"/>
          <w:sz w:val="28"/>
          <w:szCs w:val="28"/>
          <w:highlight w:val="none"/>
          <w14:textFill>
            <w14:solidFill>
              <w14:schemeClr w14:val="tx1"/>
            </w14:solidFill>
          </w14:textFill>
        </w:rPr>
      </w:pPr>
      <w:r>
        <w:rPr>
          <w:rFonts w:hint="eastAsia" w:cs="仿宋_GB2312" w:asciiTheme="minorEastAsia" w:hAnsiTheme="minorEastAsia" w:eastAsiaTheme="minorEastAsia"/>
          <w:color w:val="000000" w:themeColor="text1"/>
          <w:kern w:val="0"/>
          <w:sz w:val="28"/>
          <w:szCs w:val="28"/>
          <w:highlight w:val="none"/>
          <w14:textFill>
            <w14:solidFill>
              <w14:schemeClr w14:val="tx1"/>
            </w14:solidFill>
          </w14:textFill>
        </w:rPr>
        <w:t>六、</w:t>
      </w:r>
      <w:r>
        <w:rPr>
          <w:rFonts w:hint="eastAsia" w:asciiTheme="minorEastAsia" w:hAnsiTheme="minorEastAsia" w:eastAsiaTheme="minorEastAsia" w:cstheme="minorEastAsia"/>
          <w:color w:val="000000" w:themeColor="text1"/>
          <w:kern w:val="0"/>
          <w:sz w:val="28"/>
          <w:szCs w:val="28"/>
          <w:highlight w:val="none"/>
          <w14:textFill>
            <w14:solidFill>
              <w14:schemeClr w14:val="tx1"/>
            </w14:solidFill>
          </w14:textFill>
        </w:rPr>
        <w:t>法律、行政法规规定的其他条件</w:t>
      </w:r>
      <w:r>
        <w:rPr>
          <w:rFonts w:hint="eastAsia" w:cs="仿宋_GB2312" w:asciiTheme="minorEastAsia" w:hAnsiTheme="minorEastAsia" w:eastAsiaTheme="minorEastAsia"/>
          <w:color w:val="000000" w:themeColor="text1"/>
          <w:kern w:val="0"/>
          <w:sz w:val="28"/>
          <w:szCs w:val="28"/>
          <w:highlight w:val="none"/>
          <w14:textFill>
            <w14:solidFill>
              <w14:schemeClr w14:val="tx1"/>
            </w14:solidFill>
          </w14:textFill>
        </w:rPr>
        <w:t>………………………………………（页码）</w:t>
      </w:r>
    </w:p>
    <w:p w14:paraId="7E0FD84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cs="仿宋_GB2312" w:asciiTheme="minorEastAsia" w:hAnsiTheme="minorEastAsia" w:eastAsiaTheme="minorEastAsia"/>
          <w:color w:val="000000" w:themeColor="text1"/>
          <w:kern w:val="0"/>
          <w:sz w:val="28"/>
          <w:szCs w:val="28"/>
          <w:highlight w:val="none"/>
          <w14:textFill>
            <w14:solidFill>
              <w14:schemeClr w14:val="tx1"/>
            </w14:solidFill>
          </w14:textFill>
        </w:rPr>
      </w:pPr>
      <w:r>
        <w:rPr>
          <w:rFonts w:hint="eastAsia" w:cs="仿宋_GB2312" w:asciiTheme="minorEastAsia" w:hAnsiTheme="minorEastAsia" w:eastAsiaTheme="minorEastAsia"/>
          <w:color w:val="000000" w:themeColor="text1"/>
          <w:kern w:val="0"/>
          <w:sz w:val="28"/>
          <w:szCs w:val="28"/>
          <w:highlight w:val="none"/>
          <w14:textFill>
            <w14:solidFill>
              <w14:schemeClr w14:val="tx1"/>
            </w14:solidFill>
          </w14:textFill>
        </w:rPr>
        <w:t>七、投标保证金凭证…………………………………………………………（页码）</w:t>
      </w:r>
    </w:p>
    <w:p w14:paraId="717AE1A1">
      <w:pPr>
        <w:pageBreakBefore w:val="0"/>
        <w:wordWrap/>
        <w:topLinePunct w:val="0"/>
        <w:bidi w:val="0"/>
        <w:spacing w:line="560" w:lineRule="exact"/>
        <w:jc w:val="center"/>
        <w:rPr>
          <w:rFonts w:ascii="宋体" w:hAnsi="宋体" w:cs="宋体"/>
          <w:color w:val="000000" w:themeColor="text1"/>
          <w:highlight w:val="none"/>
          <w14:textFill>
            <w14:solidFill>
              <w14:schemeClr w14:val="tx1"/>
            </w14:solidFill>
          </w14:textFill>
        </w:rPr>
      </w:pPr>
      <w:r>
        <w:rPr>
          <w:rFonts w:hint="eastAsia" w:cs="仿宋_GB2312" w:asciiTheme="minorEastAsia" w:hAnsiTheme="minorEastAsia" w:eastAsiaTheme="minorEastAsia"/>
          <w:b/>
          <w:color w:val="000000" w:themeColor="text1"/>
          <w:kern w:val="0"/>
          <w:sz w:val="28"/>
          <w:szCs w:val="28"/>
          <w:highlight w:val="none"/>
          <w14:textFill>
            <w14:solidFill>
              <w14:schemeClr w14:val="tx1"/>
            </w14:solidFill>
          </w14:textFill>
        </w:rPr>
        <w:t>报价文件目录</w:t>
      </w:r>
    </w:p>
    <w:p w14:paraId="297BF926">
      <w:pPr>
        <w:pageBreakBefore w:val="0"/>
        <w:wordWrap/>
        <w:topLinePunct w:val="0"/>
        <w:bidi w:val="0"/>
        <w:spacing w:line="560" w:lineRule="exact"/>
        <w:rPr>
          <w:rFonts w:cs="仿宋_GB2312" w:asciiTheme="minorEastAsia" w:hAnsiTheme="minorEastAsia" w:eastAsiaTheme="minorEastAsia"/>
          <w:color w:val="000000" w:themeColor="text1"/>
          <w:kern w:val="0"/>
          <w:sz w:val="28"/>
          <w:szCs w:val="28"/>
          <w:highlight w:val="none"/>
          <w14:textFill>
            <w14:solidFill>
              <w14:schemeClr w14:val="tx1"/>
            </w14:solidFill>
          </w14:textFill>
        </w:rPr>
      </w:pPr>
      <w:r>
        <w:rPr>
          <w:rFonts w:hint="eastAsia" w:cs="仿宋_GB2312" w:asciiTheme="minorEastAsia" w:hAnsiTheme="minorEastAsia" w:eastAsiaTheme="minorEastAsia"/>
          <w:color w:val="000000" w:themeColor="text1"/>
          <w:kern w:val="0"/>
          <w:sz w:val="28"/>
          <w:szCs w:val="28"/>
          <w:highlight w:val="none"/>
          <w14:textFill>
            <w14:solidFill>
              <w14:schemeClr w14:val="tx1"/>
            </w14:solidFill>
          </w14:textFill>
        </w:rPr>
        <w:t>一、投标函……………………………………………………………………（页码）</w:t>
      </w:r>
    </w:p>
    <w:p w14:paraId="3BE97522">
      <w:pPr>
        <w:pageBreakBefore w:val="0"/>
        <w:wordWrap/>
        <w:topLinePunct w:val="0"/>
        <w:bidi w:val="0"/>
        <w:spacing w:line="560" w:lineRule="exact"/>
        <w:rPr>
          <w:rFonts w:cs="仿宋_GB2312" w:asciiTheme="minorEastAsia" w:hAnsiTheme="minorEastAsia" w:eastAsiaTheme="minorEastAsia"/>
          <w:color w:val="000000" w:themeColor="text1"/>
          <w:kern w:val="0"/>
          <w:sz w:val="28"/>
          <w:szCs w:val="28"/>
          <w:highlight w:val="none"/>
          <w14:textFill>
            <w14:solidFill>
              <w14:schemeClr w14:val="tx1"/>
            </w14:solidFill>
          </w14:textFill>
        </w:rPr>
      </w:pPr>
      <w:r>
        <w:rPr>
          <w:rFonts w:hint="eastAsia" w:cs="仿宋_GB2312" w:asciiTheme="minorEastAsia" w:hAnsiTheme="minorEastAsia" w:eastAsiaTheme="minorEastAsia"/>
          <w:color w:val="000000" w:themeColor="text1"/>
          <w:kern w:val="0"/>
          <w:sz w:val="28"/>
          <w:szCs w:val="28"/>
          <w:highlight w:val="none"/>
          <w14:textFill>
            <w14:solidFill>
              <w14:schemeClr w14:val="tx1"/>
            </w14:solidFill>
          </w14:textFill>
        </w:rPr>
        <w:t>二、开标一览表………………………………………………………………（页码）</w:t>
      </w:r>
    </w:p>
    <w:p w14:paraId="06302A0F">
      <w:pPr>
        <w:pageBreakBefore w:val="0"/>
        <w:wordWrap/>
        <w:topLinePunct w:val="0"/>
        <w:bidi w:val="0"/>
        <w:spacing w:line="560" w:lineRule="exact"/>
        <w:rPr>
          <w:rFonts w:cs="仿宋_GB2312" w:asciiTheme="minorEastAsia" w:hAnsiTheme="minorEastAsia" w:eastAsiaTheme="minorEastAsia"/>
          <w:color w:val="000000" w:themeColor="text1"/>
          <w:sz w:val="28"/>
          <w:szCs w:val="28"/>
          <w:highlight w:val="none"/>
          <w14:textFill>
            <w14:solidFill>
              <w14:schemeClr w14:val="tx1"/>
            </w14:solidFill>
          </w14:textFill>
        </w:rPr>
      </w:pPr>
      <w:r>
        <w:rPr>
          <w:rFonts w:hint="eastAsia" w:cs="仿宋_GB2312" w:asciiTheme="minorEastAsia" w:hAnsiTheme="minorEastAsia" w:eastAsiaTheme="minorEastAsia"/>
          <w:color w:val="000000" w:themeColor="text1"/>
          <w:kern w:val="0"/>
          <w:sz w:val="28"/>
          <w:szCs w:val="28"/>
          <w:highlight w:val="none"/>
          <w14:textFill>
            <w14:solidFill>
              <w14:schemeClr w14:val="tx1"/>
            </w14:solidFill>
          </w14:textFill>
        </w:rPr>
        <w:t>三、分项报价表………………………………………………………………（页码）</w:t>
      </w:r>
    </w:p>
    <w:p w14:paraId="63D04199">
      <w:pPr>
        <w:pageBreakBefore w:val="0"/>
        <w:widowControl/>
        <w:wordWrap/>
        <w:topLinePunct w:val="0"/>
        <w:bidi w:val="0"/>
        <w:spacing w:line="560" w:lineRule="exact"/>
        <w:jc w:val="left"/>
        <w:rPr>
          <w:rFonts w:hint="eastAsia" w:cs="仿宋_GB2312" w:asciiTheme="minorEastAsia" w:hAnsiTheme="minorEastAsia" w:eastAsiaTheme="minorEastAsia"/>
          <w:b/>
          <w:color w:val="000000" w:themeColor="text1"/>
          <w:kern w:val="0"/>
          <w:sz w:val="28"/>
          <w:szCs w:val="28"/>
          <w:highlight w:val="none"/>
          <w14:textFill>
            <w14:solidFill>
              <w14:schemeClr w14:val="tx1"/>
            </w14:solidFill>
          </w14:textFill>
        </w:rPr>
      </w:pPr>
      <w:r>
        <w:rPr>
          <w:rFonts w:hint="eastAsia" w:cs="仿宋_GB2312" w:asciiTheme="minorEastAsia" w:hAnsiTheme="minorEastAsia" w:eastAsiaTheme="minorEastAsia"/>
          <w:color w:val="000000" w:themeColor="text1"/>
          <w:kern w:val="0"/>
          <w:sz w:val="28"/>
          <w:szCs w:val="28"/>
          <w:highlight w:val="none"/>
          <w14:textFill>
            <w14:solidFill>
              <w14:schemeClr w14:val="tx1"/>
            </w14:solidFill>
          </w14:textFill>
        </w:rPr>
        <w:t>四、中小企业</w:t>
      </w:r>
      <w:r>
        <w:rPr>
          <w:rFonts w:hint="eastAsia" w:cs="仿宋_GB2312" w:asciiTheme="minorEastAsia" w:hAnsiTheme="minorEastAsia" w:eastAsiaTheme="minorEastAsia"/>
          <w:color w:val="000000" w:themeColor="text1"/>
          <w:kern w:val="0"/>
          <w:sz w:val="28"/>
          <w:szCs w:val="28"/>
          <w:highlight w:val="none"/>
          <w:lang w:eastAsia="zh-CN"/>
          <w14:textFill>
            <w14:solidFill>
              <w14:schemeClr w14:val="tx1"/>
            </w14:solidFill>
          </w14:textFill>
        </w:rPr>
        <w:t>声</w:t>
      </w:r>
      <w:r>
        <w:rPr>
          <w:rFonts w:hint="eastAsia" w:cs="仿宋_GB2312" w:asciiTheme="minorEastAsia" w:hAnsiTheme="minorEastAsia" w:eastAsiaTheme="minorEastAsia"/>
          <w:color w:val="000000" w:themeColor="text1"/>
          <w:kern w:val="0"/>
          <w:sz w:val="28"/>
          <w:szCs w:val="28"/>
          <w:highlight w:val="none"/>
          <w14:textFill>
            <w14:solidFill>
              <w14:schemeClr w14:val="tx1"/>
            </w14:solidFill>
          </w14:textFill>
        </w:rPr>
        <w:t>明函…………………………………………………………（页码）</w:t>
      </w:r>
    </w:p>
    <w:p w14:paraId="254EF8F5">
      <w:pPr>
        <w:pageBreakBefore w:val="0"/>
        <w:wordWrap/>
        <w:topLinePunct w:val="0"/>
        <w:bidi w:val="0"/>
        <w:spacing w:line="560" w:lineRule="exact"/>
        <w:jc w:val="center"/>
        <w:rPr>
          <w:rFonts w:cs="仿宋_GB2312" w:asciiTheme="minorEastAsia" w:hAnsiTheme="minorEastAsia" w:eastAsiaTheme="minorEastAsia"/>
          <w:b/>
          <w:color w:val="000000" w:themeColor="text1"/>
          <w:kern w:val="0"/>
          <w:sz w:val="28"/>
          <w:szCs w:val="28"/>
          <w:highlight w:val="none"/>
          <w14:textFill>
            <w14:solidFill>
              <w14:schemeClr w14:val="tx1"/>
            </w14:solidFill>
          </w14:textFill>
        </w:rPr>
      </w:pPr>
      <w:r>
        <w:rPr>
          <w:rFonts w:hint="eastAsia" w:cs="仿宋_GB2312" w:asciiTheme="minorEastAsia" w:hAnsiTheme="minorEastAsia" w:eastAsiaTheme="minorEastAsia"/>
          <w:b/>
          <w:color w:val="000000" w:themeColor="text1"/>
          <w:kern w:val="0"/>
          <w:sz w:val="28"/>
          <w:szCs w:val="28"/>
          <w:highlight w:val="none"/>
          <w14:textFill>
            <w14:solidFill>
              <w14:schemeClr w14:val="tx1"/>
            </w14:solidFill>
          </w14:textFill>
        </w:rPr>
        <w:t>商务文件目录</w:t>
      </w:r>
    </w:p>
    <w:p w14:paraId="6ECBA1B9">
      <w:pPr>
        <w:keepNext w:val="0"/>
        <w:keepLines w:val="0"/>
        <w:pageBreakBefore w:val="0"/>
        <w:widowControl w:val="0"/>
        <w:kinsoku/>
        <w:wordWrap/>
        <w:overflowPunct/>
        <w:topLinePunct w:val="0"/>
        <w:autoSpaceDE/>
        <w:autoSpaceDN/>
        <w:bidi w:val="0"/>
        <w:adjustRightInd/>
        <w:snapToGrid/>
        <w:spacing w:line="560" w:lineRule="exact"/>
        <w:textAlignment w:val="auto"/>
        <w:rPr>
          <w:rFonts w:cs="仿宋_GB2312" w:asciiTheme="minorEastAsia" w:hAnsiTheme="minorEastAsia" w:eastAsiaTheme="minorEastAsia"/>
          <w:color w:val="000000" w:themeColor="text1"/>
          <w:sz w:val="28"/>
          <w:szCs w:val="28"/>
          <w:highlight w:val="none"/>
          <w14:textFill>
            <w14:solidFill>
              <w14:schemeClr w14:val="tx1"/>
            </w14:solidFill>
          </w14:textFill>
        </w:rPr>
      </w:pPr>
      <w:r>
        <w:rPr>
          <w:rFonts w:hint="eastAsia" w:cs="仿宋_GB2312" w:asciiTheme="minorEastAsia" w:hAnsiTheme="minorEastAsia" w:eastAsiaTheme="minorEastAsia"/>
          <w:color w:val="000000" w:themeColor="text1"/>
          <w:kern w:val="0"/>
          <w:sz w:val="28"/>
          <w:szCs w:val="28"/>
          <w:highlight w:val="none"/>
          <w14:textFill>
            <w14:solidFill>
              <w14:schemeClr w14:val="tx1"/>
            </w14:solidFill>
          </w14:textFill>
        </w:rPr>
        <w:t>一、</w:t>
      </w:r>
      <w:r>
        <w:rPr>
          <w:rFonts w:hint="eastAsia" w:cs="仿宋_GB2312" w:asciiTheme="minorEastAsia" w:hAnsiTheme="minorEastAsia" w:eastAsiaTheme="minorEastAsia"/>
          <w:color w:val="000000" w:themeColor="text1"/>
          <w:sz w:val="28"/>
          <w:szCs w:val="28"/>
          <w:highlight w:val="none"/>
          <w14:textFill>
            <w14:solidFill>
              <w14:schemeClr w14:val="tx1"/>
            </w14:solidFill>
          </w14:textFill>
        </w:rPr>
        <w:t>无串通投标行为的承诺函</w:t>
      </w:r>
      <w:r>
        <w:rPr>
          <w:rFonts w:hint="eastAsia" w:cs="仿宋_GB2312" w:asciiTheme="minorEastAsia" w:hAnsiTheme="minorEastAsia" w:eastAsiaTheme="minorEastAsia"/>
          <w:color w:val="000000" w:themeColor="text1"/>
          <w:kern w:val="0"/>
          <w:sz w:val="28"/>
          <w:szCs w:val="28"/>
          <w:highlight w:val="none"/>
          <w14:textFill>
            <w14:solidFill>
              <w14:schemeClr w14:val="tx1"/>
            </w14:solidFill>
          </w14:textFill>
        </w:rPr>
        <w:t>………………………………………………（页码）</w:t>
      </w:r>
      <w:r>
        <w:rPr>
          <w:rFonts w:hint="eastAsia" w:cs="仿宋_GB2312" w:asciiTheme="minorEastAsia" w:hAnsiTheme="minorEastAsia" w:eastAsiaTheme="minorEastAsia"/>
          <w:color w:val="000000" w:themeColor="text1"/>
          <w:sz w:val="28"/>
          <w:szCs w:val="28"/>
          <w:highlight w:val="none"/>
          <w14:textFill>
            <w14:solidFill>
              <w14:schemeClr w14:val="tx1"/>
            </w14:solidFill>
          </w14:textFill>
        </w:rPr>
        <w:t xml:space="preserve"> </w:t>
      </w:r>
    </w:p>
    <w:p w14:paraId="0D2737E3">
      <w:pPr>
        <w:keepNext w:val="0"/>
        <w:keepLines w:val="0"/>
        <w:pageBreakBefore w:val="0"/>
        <w:widowControl w:val="0"/>
        <w:kinsoku/>
        <w:wordWrap/>
        <w:overflowPunct/>
        <w:topLinePunct w:val="0"/>
        <w:autoSpaceDE/>
        <w:autoSpaceDN/>
        <w:bidi w:val="0"/>
        <w:adjustRightInd/>
        <w:snapToGrid/>
        <w:spacing w:line="560" w:lineRule="exact"/>
        <w:textAlignment w:val="auto"/>
        <w:rPr>
          <w:rFonts w:cs="仿宋_GB2312" w:asciiTheme="minorEastAsia" w:hAnsiTheme="minorEastAsia" w:eastAsiaTheme="minorEastAsia"/>
          <w:color w:val="000000" w:themeColor="text1"/>
          <w:sz w:val="28"/>
          <w:szCs w:val="28"/>
          <w:highlight w:val="none"/>
          <w14:textFill>
            <w14:solidFill>
              <w14:schemeClr w14:val="tx1"/>
            </w14:solidFill>
          </w14:textFill>
        </w:rPr>
      </w:pPr>
      <w:r>
        <w:rPr>
          <w:rFonts w:hint="eastAsia" w:cs="仿宋_GB2312" w:asciiTheme="minorEastAsia" w:hAnsiTheme="minorEastAsia" w:eastAsiaTheme="minorEastAsia"/>
          <w:color w:val="000000" w:themeColor="text1"/>
          <w:sz w:val="28"/>
          <w:szCs w:val="28"/>
          <w:highlight w:val="none"/>
          <w:lang w:val="en-US" w:eastAsia="zh-CN"/>
          <w14:textFill>
            <w14:solidFill>
              <w14:schemeClr w14:val="tx1"/>
            </w14:solidFill>
          </w14:textFill>
        </w:rPr>
        <w:t>二、</w:t>
      </w:r>
      <w:r>
        <w:rPr>
          <w:rFonts w:hint="eastAsia" w:cs="仿宋_GB2312" w:asciiTheme="minorEastAsia" w:hAnsiTheme="minorEastAsia" w:eastAsiaTheme="minorEastAsia"/>
          <w:color w:val="000000" w:themeColor="text1"/>
          <w:sz w:val="28"/>
          <w:szCs w:val="28"/>
          <w:highlight w:val="none"/>
          <w14:textFill>
            <w14:solidFill>
              <w14:schemeClr w14:val="tx1"/>
            </w14:solidFill>
          </w14:textFill>
        </w:rPr>
        <w:t>法定代表人身份证明</w:t>
      </w:r>
      <w:r>
        <w:rPr>
          <w:rFonts w:hint="eastAsia" w:cs="仿宋_GB2312" w:asciiTheme="minorEastAsia" w:hAnsiTheme="minorEastAsia" w:eastAsiaTheme="minorEastAsia"/>
          <w:color w:val="000000" w:themeColor="text1"/>
          <w:kern w:val="0"/>
          <w:sz w:val="28"/>
          <w:szCs w:val="28"/>
          <w:highlight w:val="none"/>
          <w14:textFill>
            <w14:solidFill>
              <w14:schemeClr w14:val="tx1"/>
            </w14:solidFill>
          </w14:textFill>
        </w:rPr>
        <w:t>……………………………………………………（页码）</w:t>
      </w:r>
    </w:p>
    <w:p w14:paraId="67F2811D">
      <w:pPr>
        <w:keepNext w:val="0"/>
        <w:keepLines w:val="0"/>
        <w:pageBreakBefore w:val="0"/>
        <w:widowControl w:val="0"/>
        <w:kinsoku/>
        <w:wordWrap/>
        <w:overflowPunct/>
        <w:topLinePunct w:val="0"/>
        <w:autoSpaceDE/>
        <w:autoSpaceDN/>
        <w:bidi w:val="0"/>
        <w:adjustRightInd/>
        <w:snapToGrid/>
        <w:spacing w:line="560" w:lineRule="exact"/>
        <w:textAlignment w:val="auto"/>
        <w:rPr>
          <w:rFonts w:cs="仿宋_GB2312" w:asciiTheme="minorEastAsia" w:hAnsiTheme="minorEastAsia" w:eastAsiaTheme="minorEastAsia"/>
          <w:color w:val="000000" w:themeColor="text1"/>
          <w:sz w:val="28"/>
          <w:szCs w:val="28"/>
          <w:highlight w:val="none"/>
          <w14:textFill>
            <w14:solidFill>
              <w14:schemeClr w14:val="tx1"/>
            </w14:solidFill>
          </w14:textFill>
        </w:rPr>
      </w:pPr>
      <w:r>
        <w:rPr>
          <w:rFonts w:hint="eastAsia" w:cs="仿宋_GB2312" w:asciiTheme="minorEastAsia" w:hAnsiTheme="minorEastAsia" w:eastAsiaTheme="minorEastAsia"/>
          <w:color w:val="000000" w:themeColor="text1"/>
          <w:kern w:val="0"/>
          <w:sz w:val="28"/>
          <w:szCs w:val="28"/>
          <w:highlight w:val="none"/>
          <w14:textFill>
            <w14:solidFill>
              <w14:schemeClr w14:val="tx1"/>
            </w14:solidFill>
          </w14:textFill>
        </w:rPr>
        <w:t>三、</w:t>
      </w:r>
      <w:r>
        <w:rPr>
          <w:rFonts w:hint="eastAsia" w:cs="仿宋_GB2312" w:asciiTheme="minorEastAsia" w:hAnsiTheme="minorEastAsia" w:eastAsiaTheme="minorEastAsia"/>
          <w:color w:val="000000" w:themeColor="text1"/>
          <w:sz w:val="28"/>
          <w:szCs w:val="28"/>
          <w:highlight w:val="none"/>
          <w14:textFill>
            <w14:solidFill>
              <w14:schemeClr w14:val="tx1"/>
            </w14:solidFill>
          </w14:textFill>
        </w:rPr>
        <w:t>法定代表人授权委托书</w:t>
      </w:r>
      <w:r>
        <w:rPr>
          <w:rFonts w:hint="eastAsia" w:cs="仿宋_GB2312" w:asciiTheme="minorEastAsia" w:hAnsiTheme="minorEastAsia" w:eastAsiaTheme="minorEastAsia"/>
          <w:color w:val="000000" w:themeColor="text1"/>
          <w:sz w:val="28"/>
          <w:szCs w:val="28"/>
          <w:highlight w:val="none"/>
          <w:lang w:eastAsia="zh-CN"/>
          <w14:textFill>
            <w14:solidFill>
              <w14:schemeClr w14:val="tx1"/>
            </w14:solidFill>
          </w14:textFill>
        </w:rPr>
        <w:t>（（如有委托时））</w:t>
      </w:r>
      <w:r>
        <w:rPr>
          <w:rFonts w:hint="eastAsia" w:cs="仿宋_GB2312" w:asciiTheme="minorEastAsia" w:hAnsiTheme="minorEastAsia" w:eastAsiaTheme="minorEastAsia"/>
          <w:color w:val="000000" w:themeColor="text1"/>
          <w:kern w:val="0"/>
          <w:sz w:val="28"/>
          <w:szCs w:val="28"/>
          <w:highlight w:val="none"/>
          <w14:textFill>
            <w14:solidFill>
              <w14:schemeClr w14:val="tx1"/>
            </w14:solidFill>
          </w14:textFill>
        </w:rPr>
        <w:t>…………………………（页码）</w:t>
      </w:r>
    </w:p>
    <w:p w14:paraId="73093D84">
      <w:pPr>
        <w:keepNext w:val="0"/>
        <w:keepLines w:val="0"/>
        <w:pageBreakBefore w:val="0"/>
        <w:widowControl w:val="0"/>
        <w:kinsoku/>
        <w:wordWrap/>
        <w:overflowPunct/>
        <w:topLinePunct w:val="0"/>
        <w:autoSpaceDE/>
        <w:autoSpaceDN/>
        <w:bidi w:val="0"/>
        <w:adjustRightInd/>
        <w:snapToGrid/>
        <w:spacing w:line="560" w:lineRule="exact"/>
        <w:textAlignment w:val="auto"/>
        <w:rPr>
          <w:rFonts w:cs="仿宋_GB2312" w:asciiTheme="minorEastAsia" w:hAnsiTheme="minorEastAsia" w:eastAsiaTheme="minorEastAsia"/>
          <w:color w:val="000000" w:themeColor="text1"/>
          <w:sz w:val="28"/>
          <w:szCs w:val="28"/>
          <w:highlight w:val="none"/>
          <w14:textFill>
            <w14:solidFill>
              <w14:schemeClr w14:val="tx1"/>
            </w14:solidFill>
          </w14:textFill>
        </w:rPr>
      </w:pPr>
      <w:r>
        <w:rPr>
          <w:rFonts w:hint="eastAsia" w:cs="仿宋_GB2312" w:asciiTheme="minorEastAsia" w:hAnsiTheme="minorEastAsia" w:eastAsiaTheme="minorEastAsia"/>
          <w:color w:val="000000" w:themeColor="text1"/>
          <w:kern w:val="0"/>
          <w:sz w:val="28"/>
          <w:szCs w:val="28"/>
          <w:highlight w:val="none"/>
          <w14:textFill>
            <w14:solidFill>
              <w14:schemeClr w14:val="tx1"/>
            </w14:solidFill>
          </w14:textFill>
        </w:rPr>
        <w:t>四、</w:t>
      </w:r>
      <w:r>
        <w:rPr>
          <w:rFonts w:hint="eastAsia" w:cs="仿宋_GB2312" w:asciiTheme="minorEastAsia" w:hAnsiTheme="minorEastAsia" w:eastAsiaTheme="minorEastAsia"/>
          <w:color w:val="000000" w:themeColor="text1"/>
          <w:sz w:val="28"/>
          <w:szCs w:val="28"/>
          <w:highlight w:val="none"/>
          <w14:textFill>
            <w14:solidFill>
              <w14:schemeClr w14:val="tx1"/>
            </w14:solidFill>
          </w14:textFill>
        </w:rPr>
        <w:t>商务条款偏离表</w:t>
      </w:r>
      <w:r>
        <w:rPr>
          <w:rFonts w:hint="eastAsia" w:cs="仿宋_GB2312" w:asciiTheme="minorEastAsia" w:hAnsiTheme="minorEastAsia" w:eastAsiaTheme="minorEastAsia"/>
          <w:color w:val="000000" w:themeColor="text1"/>
          <w:kern w:val="0"/>
          <w:sz w:val="28"/>
          <w:szCs w:val="28"/>
          <w:highlight w:val="none"/>
          <w14:textFill>
            <w14:solidFill>
              <w14:schemeClr w14:val="tx1"/>
            </w14:solidFill>
          </w14:textFill>
        </w:rPr>
        <w:t>…………………………………………………………（页码）</w:t>
      </w:r>
    </w:p>
    <w:p w14:paraId="358EA730">
      <w:pPr>
        <w:keepNext w:val="0"/>
        <w:keepLines w:val="0"/>
        <w:pageBreakBefore w:val="0"/>
        <w:widowControl w:val="0"/>
        <w:kinsoku/>
        <w:wordWrap/>
        <w:overflowPunct/>
        <w:topLinePunct w:val="0"/>
        <w:autoSpaceDE/>
        <w:autoSpaceDN/>
        <w:bidi w:val="0"/>
        <w:adjustRightInd/>
        <w:snapToGrid/>
        <w:spacing w:line="560" w:lineRule="exact"/>
        <w:textAlignment w:val="auto"/>
        <w:rPr>
          <w:rFonts w:cs="仿宋_GB2312" w:asciiTheme="minorEastAsia" w:hAnsiTheme="minorEastAsia" w:eastAsiaTheme="minorEastAsia"/>
          <w:color w:val="000000" w:themeColor="text1"/>
          <w:sz w:val="28"/>
          <w:szCs w:val="28"/>
          <w:highlight w:val="none"/>
          <w14:textFill>
            <w14:solidFill>
              <w14:schemeClr w14:val="tx1"/>
            </w14:solidFill>
          </w14:textFill>
        </w:rPr>
      </w:pPr>
      <w:r>
        <w:rPr>
          <w:rFonts w:hint="eastAsia" w:cs="仿宋_GB2312" w:asciiTheme="minorEastAsia" w:hAnsiTheme="minorEastAsia" w:eastAsiaTheme="minorEastAsia"/>
          <w:color w:val="000000" w:themeColor="text1"/>
          <w:kern w:val="0"/>
          <w:sz w:val="28"/>
          <w:szCs w:val="28"/>
          <w:highlight w:val="none"/>
          <w14:textFill>
            <w14:solidFill>
              <w14:schemeClr w14:val="tx1"/>
            </w14:solidFill>
          </w14:textFill>
        </w:rPr>
        <w:t>五、</w:t>
      </w:r>
      <w:r>
        <w:rPr>
          <w:rFonts w:hint="eastAsia" w:cs="仿宋_GB2312" w:asciiTheme="minorEastAsia" w:hAnsiTheme="minorEastAsia" w:eastAsiaTheme="minorEastAsia"/>
          <w:color w:val="000000" w:themeColor="text1"/>
          <w:sz w:val="28"/>
          <w:szCs w:val="28"/>
          <w:highlight w:val="none"/>
          <w:lang w:eastAsia="zh-CN"/>
          <w14:textFill>
            <w14:solidFill>
              <w14:schemeClr w14:val="tx1"/>
            </w14:solidFill>
          </w14:textFill>
        </w:rPr>
        <w:t>供应商</w:t>
      </w:r>
      <w:r>
        <w:rPr>
          <w:rFonts w:hint="eastAsia" w:cs="仿宋_GB2312" w:asciiTheme="minorEastAsia" w:hAnsiTheme="minorEastAsia" w:eastAsiaTheme="minorEastAsia"/>
          <w:color w:val="000000" w:themeColor="text1"/>
          <w:sz w:val="28"/>
          <w:szCs w:val="28"/>
          <w:highlight w:val="none"/>
          <w14:textFill>
            <w14:solidFill>
              <w14:schemeClr w14:val="tx1"/>
            </w14:solidFill>
          </w14:textFill>
        </w:rPr>
        <w:t>情况介绍</w:t>
      </w:r>
      <w:r>
        <w:rPr>
          <w:rFonts w:hint="eastAsia" w:cs="仿宋_GB2312" w:asciiTheme="minorEastAsia" w:hAnsiTheme="minorEastAsia" w:eastAsiaTheme="minorEastAsia"/>
          <w:color w:val="000000" w:themeColor="text1"/>
          <w:kern w:val="0"/>
          <w:sz w:val="28"/>
          <w:szCs w:val="28"/>
          <w:highlight w:val="none"/>
          <w14:textFill>
            <w14:solidFill>
              <w14:schemeClr w14:val="tx1"/>
            </w14:solidFill>
          </w14:textFill>
        </w:rPr>
        <w:t>…………………………………………………………（页码）</w:t>
      </w:r>
    </w:p>
    <w:p w14:paraId="2EBD0FB6">
      <w:pPr>
        <w:keepNext w:val="0"/>
        <w:keepLines w:val="0"/>
        <w:pageBreakBefore w:val="0"/>
        <w:widowControl w:val="0"/>
        <w:kinsoku/>
        <w:wordWrap/>
        <w:overflowPunct/>
        <w:topLinePunct w:val="0"/>
        <w:autoSpaceDE/>
        <w:autoSpaceDN/>
        <w:bidi w:val="0"/>
        <w:adjustRightInd/>
        <w:snapToGrid/>
        <w:spacing w:line="560" w:lineRule="exact"/>
        <w:textAlignment w:val="auto"/>
        <w:rPr>
          <w:rFonts w:cs="仿宋_GB2312" w:asciiTheme="minorEastAsia" w:hAnsiTheme="minorEastAsia" w:eastAsiaTheme="minorEastAsia"/>
          <w:color w:val="000000" w:themeColor="text1"/>
          <w:sz w:val="28"/>
          <w:szCs w:val="28"/>
          <w:highlight w:val="none"/>
          <w14:textFill>
            <w14:solidFill>
              <w14:schemeClr w14:val="tx1"/>
            </w14:solidFill>
          </w14:textFill>
        </w:rPr>
      </w:pPr>
      <w:r>
        <w:rPr>
          <w:rFonts w:hint="eastAsia" w:cs="仿宋_GB2312" w:asciiTheme="minorEastAsia" w:hAnsiTheme="minorEastAsia" w:eastAsiaTheme="minorEastAsia"/>
          <w:color w:val="000000" w:themeColor="text1"/>
          <w:kern w:val="0"/>
          <w:sz w:val="28"/>
          <w:szCs w:val="28"/>
          <w:highlight w:val="none"/>
          <w14:textFill>
            <w14:solidFill>
              <w14:schemeClr w14:val="tx1"/>
            </w14:solidFill>
          </w14:textFill>
        </w:rPr>
        <w:t>六、</w:t>
      </w:r>
      <w:r>
        <w:rPr>
          <w:rFonts w:hint="eastAsia" w:cs="仿宋_GB2312" w:asciiTheme="minorEastAsia" w:hAnsiTheme="minorEastAsia" w:eastAsiaTheme="minorEastAsia"/>
          <w:color w:val="000000" w:themeColor="text1"/>
          <w:sz w:val="28"/>
          <w:szCs w:val="28"/>
          <w:highlight w:val="none"/>
          <w14:textFill>
            <w14:solidFill>
              <w14:schemeClr w14:val="tx1"/>
            </w14:solidFill>
          </w14:textFill>
        </w:rPr>
        <w:t>供应商类似业绩的证明文件</w:t>
      </w:r>
      <w:r>
        <w:rPr>
          <w:rFonts w:hint="eastAsia" w:cs="仿宋_GB2312" w:asciiTheme="minorEastAsia" w:hAnsiTheme="minorEastAsia" w:eastAsiaTheme="minorEastAsia"/>
          <w:color w:val="000000" w:themeColor="text1"/>
          <w:kern w:val="0"/>
          <w:sz w:val="28"/>
          <w:szCs w:val="28"/>
          <w:highlight w:val="none"/>
          <w14:textFill>
            <w14:solidFill>
              <w14:schemeClr w14:val="tx1"/>
            </w14:solidFill>
          </w14:textFill>
        </w:rPr>
        <w:t>……………………………………………（页码）</w:t>
      </w:r>
    </w:p>
    <w:p w14:paraId="309EE88F">
      <w:pPr>
        <w:keepNext w:val="0"/>
        <w:keepLines w:val="0"/>
        <w:pageBreakBefore w:val="0"/>
        <w:widowControl w:val="0"/>
        <w:kinsoku/>
        <w:wordWrap/>
        <w:overflowPunct/>
        <w:topLinePunct w:val="0"/>
        <w:autoSpaceDE/>
        <w:autoSpaceDN/>
        <w:bidi w:val="0"/>
        <w:adjustRightInd/>
        <w:snapToGrid/>
        <w:spacing w:line="560" w:lineRule="exact"/>
        <w:textAlignment w:val="auto"/>
        <w:rPr>
          <w:rFonts w:cs="仿宋_GB2312" w:asciiTheme="minorEastAsia" w:hAnsiTheme="minorEastAsia" w:eastAsiaTheme="minorEastAsia"/>
          <w:color w:val="000000" w:themeColor="text1"/>
          <w:sz w:val="28"/>
          <w:szCs w:val="28"/>
          <w:highlight w:val="none"/>
          <w14:textFill>
            <w14:solidFill>
              <w14:schemeClr w14:val="tx1"/>
            </w14:solidFill>
          </w14:textFill>
        </w:rPr>
      </w:pPr>
      <w:r>
        <w:rPr>
          <w:rFonts w:hint="eastAsia" w:cs="仿宋_GB2312" w:asciiTheme="minorEastAsia" w:hAnsiTheme="minorEastAsia" w:eastAsiaTheme="minorEastAsia"/>
          <w:color w:val="000000" w:themeColor="text1"/>
          <w:kern w:val="0"/>
          <w:sz w:val="28"/>
          <w:szCs w:val="28"/>
          <w:highlight w:val="none"/>
          <w14:textFill>
            <w14:solidFill>
              <w14:schemeClr w14:val="tx1"/>
            </w14:solidFill>
          </w14:textFill>
        </w:rPr>
        <w:t>七、</w:t>
      </w:r>
      <w:r>
        <w:rPr>
          <w:rFonts w:hint="eastAsia" w:cs="仿宋_GB2312" w:asciiTheme="minorEastAsia" w:hAnsiTheme="minorEastAsia" w:eastAsiaTheme="minorEastAsia"/>
          <w:color w:val="000000" w:themeColor="text1"/>
          <w:sz w:val="28"/>
          <w:szCs w:val="28"/>
          <w:highlight w:val="none"/>
          <w14:textFill>
            <w14:solidFill>
              <w14:schemeClr w14:val="tx1"/>
            </w14:solidFill>
          </w14:textFill>
        </w:rPr>
        <w:t>项目</w:t>
      </w:r>
      <w:r>
        <w:rPr>
          <w:rFonts w:hint="eastAsia" w:cs="仿宋_GB2312" w:asciiTheme="minorEastAsia" w:hAnsiTheme="minorEastAsia" w:eastAsiaTheme="minorEastAsia"/>
          <w:color w:val="000000" w:themeColor="text1"/>
          <w:sz w:val="28"/>
          <w:szCs w:val="28"/>
          <w:highlight w:val="none"/>
          <w:lang w:eastAsia="zh-CN"/>
          <w14:textFill>
            <w14:solidFill>
              <w14:schemeClr w14:val="tx1"/>
            </w14:solidFill>
          </w14:textFill>
        </w:rPr>
        <w:t>负责人简历表</w:t>
      </w:r>
      <w:r>
        <w:rPr>
          <w:rFonts w:hint="eastAsia" w:cs="仿宋_GB2312" w:asciiTheme="minorEastAsia" w:hAnsiTheme="minorEastAsia" w:eastAsiaTheme="minorEastAsia"/>
          <w:color w:val="000000" w:themeColor="text1"/>
          <w:kern w:val="0"/>
          <w:sz w:val="28"/>
          <w:szCs w:val="28"/>
          <w:highlight w:val="none"/>
          <w14:textFill>
            <w14:solidFill>
              <w14:schemeClr w14:val="tx1"/>
            </w14:solidFill>
          </w14:textFill>
        </w:rPr>
        <w:t>………………………………………………………（页码）</w:t>
      </w:r>
    </w:p>
    <w:p w14:paraId="234FA35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cs="仿宋_GB2312" w:asciiTheme="minorEastAsia" w:hAnsiTheme="minorEastAsia" w:eastAsiaTheme="minorEastAsia"/>
          <w:b/>
          <w:color w:val="000000" w:themeColor="text1"/>
          <w:kern w:val="0"/>
          <w:sz w:val="28"/>
          <w:szCs w:val="28"/>
          <w:highlight w:val="none"/>
          <w14:textFill>
            <w14:solidFill>
              <w14:schemeClr w14:val="tx1"/>
            </w14:solidFill>
          </w14:textFill>
        </w:rPr>
      </w:pPr>
      <w:r>
        <w:rPr>
          <w:rFonts w:hint="eastAsia" w:cs="仿宋_GB2312" w:asciiTheme="minorEastAsia" w:hAnsiTheme="minorEastAsia" w:eastAsiaTheme="minorEastAsia"/>
          <w:color w:val="000000" w:themeColor="text1"/>
          <w:kern w:val="0"/>
          <w:sz w:val="28"/>
          <w:szCs w:val="28"/>
          <w:highlight w:val="none"/>
          <w14:textFill>
            <w14:solidFill>
              <w14:schemeClr w14:val="tx1"/>
            </w14:solidFill>
          </w14:textFill>
        </w:rPr>
        <w:t>八、</w:t>
      </w:r>
      <w:r>
        <w:rPr>
          <w:rFonts w:hint="eastAsia" w:cs="仿宋_GB2312" w:asciiTheme="minorEastAsia" w:hAnsiTheme="minorEastAsia" w:eastAsiaTheme="minorEastAsia"/>
          <w:color w:val="000000" w:themeColor="text1"/>
          <w:sz w:val="28"/>
          <w:szCs w:val="28"/>
          <w:highlight w:val="none"/>
          <w:lang w:eastAsia="zh-CN"/>
          <w14:textFill>
            <w14:solidFill>
              <w14:schemeClr w14:val="tx1"/>
            </w14:solidFill>
          </w14:textFill>
        </w:rPr>
        <w:t>供应商</w:t>
      </w:r>
      <w:r>
        <w:rPr>
          <w:rFonts w:hint="eastAsia" w:cs="仿宋_GB2312" w:asciiTheme="minorEastAsia" w:hAnsiTheme="minorEastAsia" w:eastAsiaTheme="minorEastAsia"/>
          <w:color w:val="000000" w:themeColor="text1"/>
          <w:sz w:val="28"/>
          <w:szCs w:val="28"/>
          <w:highlight w:val="none"/>
          <w14:textFill>
            <w14:solidFill>
              <w14:schemeClr w14:val="tx1"/>
            </w14:solidFill>
          </w14:textFill>
        </w:rPr>
        <w:t>认为需要提供的其他</w:t>
      </w:r>
      <w:r>
        <w:rPr>
          <w:rFonts w:hint="eastAsia" w:cs="仿宋_GB2312" w:asciiTheme="minorEastAsia" w:hAnsiTheme="minorEastAsia" w:eastAsiaTheme="minorEastAsia"/>
          <w:color w:val="000000" w:themeColor="text1"/>
          <w:sz w:val="28"/>
          <w:szCs w:val="28"/>
          <w:highlight w:val="none"/>
          <w:lang w:eastAsia="zh-CN"/>
          <w14:textFill>
            <w14:solidFill>
              <w14:schemeClr w14:val="tx1"/>
            </w14:solidFill>
          </w14:textFill>
        </w:rPr>
        <w:t>商务文件</w:t>
      </w:r>
      <w:r>
        <w:rPr>
          <w:rFonts w:hint="eastAsia" w:cs="仿宋_GB2312" w:asciiTheme="minorEastAsia" w:hAnsiTheme="minorEastAsia" w:eastAsiaTheme="minorEastAsia"/>
          <w:color w:val="000000" w:themeColor="text1"/>
          <w:sz w:val="28"/>
          <w:szCs w:val="28"/>
          <w:highlight w:val="none"/>
          <w14:textFill>
            <w14:solidFill>
              <w14:schemeClr w14:val="tx1"/>
            </w14:solidFill>
          </w14:textFill>
        </w:rPr>
        <w:t>材料</w:t>
      </w:r>
      <w:r>
        <w:rPr>
          <w:rFonts w:hint="eastAsia" w:cs="仿宋_GB2312" w:asciiTheme="minorEastAsia" w:hAnsiTheme="minorEastAsia" w:eastAsiaTheme="minorEastAsia"/>
          <w:color w:val="000000" w:themeColor="text1"/>
          <w:kern w:val="0"/>
          <w:sz w:val="28"/>
          <w:szCs w:val="28"/>
          <w:highlight w:val="none"/>
          <w14:textFill>
            <w14:solidFill>
              <w14:schemeClr w14:val="tx1"/>
            </w14:solidFill>
          </w14:textFill>
        </w:rPr>
        <w:t>……………………………（页码）</w:t>
      </w:r>
    </w:p>
    <w:p w14:paraId="3FC6DF92">
      <w:pPr>
        <w:pageBreakBefore w:val="0"/>
        <w:wordWrap/>
        <w:topLinePunct w:val="0"/>
        <w:bidi w:val="0"/>
        <w:spacing w:line="560" w:lineRule="exact"/>
        <w:jc w:val="center"/>
        <w:rPr>
          <w:rFonts w:hint="eastAsia" w:cs="仿宋_GB2312" w:asciiTheme="minorEastAsia" w:hAnsiTheme="minorEastAsia" w:eastAsiaTheme="minorEastAsia"/>
          <w:b/>
          <w:color w:val="000000" w:themeColor="text1"/>
          <w:kern w:val="0"/>
          <w:sz w:val="28"/>
          <w:szCs w:val="28"/>
          <w:highlight w:val="none"/>
          <w14:textFill>
            <w14:solidFill>
              <w14:schemeClr w14:val="tx1"/>
            </w14:solidFill>
          </w14:textFill>
        </w:rPr>
      </w:pPr>
    </w:p>
    <w:p w14:paraId="4A6B2841">
      <w:pPr>
        <w:pageBreakBefore w:val="0"/>
        <w:wordWrap/>
        <w:topLinePunct w:val="0"/>
        <w:bidi w:val="0"/>
        <w:spacing w:line="560" w:lineRule="exact"/>
        <w:jc w:val="center"/>
        <w:rPr>
          <w:rFonts w:cs="仿宋_GB2312" w:asciiTheme="minorEastAsia" w:hAnsiTheme="minorEastAsia" w:eastAsiaTheme="minorEastAsia"/>
          <w:b/>
          <w:color w:val="000000" w:themeColor="text1"/>
          <w:kern w:val="0"/>
          <w:sz w:val="28"/>
          <w:szCs w:val="28"/>
          <w:highlight w:val="none"/>
          <w14:textFill>
            <w14:solidFill>
              <w14:schemeClr w14:val="tx1"/>
            </w14:solidFill>
          </w14:textFill>
        </w:rPr>
      </w:pPr>
      <w:r>
        <w:rPr>
          <w:rFonts w:hint="eastAsia" w:cs="仿宋_GB2312" w:asciiTheme="minorEastAsia" w:hAnsiTheme="minorEastAsia" w:eastAsiaTheme="minorEastAsia"/>
          <w:b/>
          <w:color w:val="000000" w:themeColor="text1"/>
          <w:kern w:val="0"/>
          <w:sz w:val="28"/>
          <w:szCs w:val="28"/>
          <w:highlight w:val="none"/>
          <w14:textFill>
            <w14:solidFill>
              <w14:schemeClr w14:val="tx1"/>
            </w14:solidFill>
          </w14:textFill>
        </w:rPr>
        <w:t>技术文件目录</w:t>
      </w:r>
    </w:p>
    <w:p w14:paraId="3703C1C0">
      <w:pPr>
        <w:pStyle w:val="112"/>
        <w:keepNext w:val="0"/>
        <w:keepLines w:val="0"/>
        <w:pageBreakBefore w:val="0"/>
        <w:widowControl w:val="0"/>
        <w:kinsoku/>
        <w:wordWrap/>
        <w:overflowPunct/>
        <w:topLinePunct w:val="0"/>
        <w:autoSpaceDE/>
        <w:autoSpaceDN/>
        <w:bidi w:val="0"/>
        <w:adjustRightInd w:val="0"/>
        <w:snapToGrid/>
        <w:spacing w:line="560" w:lineRule="exact"/>
        <w:ind w:left="0" w:firstLine="0" w:firstLineChars="0"/>
        <w:textAlignment w:val="auto"/>
        <w:rPr>
          <w:rFonts w:cs="仿宋_GB2312" w:asciiTheme="minorEastAsia" w:hAnsiTheme="minorEastAsia" w:eastAsiaTheme="minorEastAsia"/>
          <w:color w:val="000000" w:themeColor="text1"/>
          <w:sz w:val="28"/>
          <w:szCs w:val="28"/>
          <w:highlight w:val="none"/>
          <w14:textFill>
            <w14:solidFill>
              <w14:schemeClr w14:val="tx1"/>
            </w14:solidFill>
          </w14:textFill>
        </w:rPr>
      </w:pPr>
      <w:r>
        <w:rPr>
          <w:rFonts w:hint="eastAsia" w:cs="仿宋_GB2312" w:asciiTheme="minorEastAsia" w:hAnsiTheme="minorEastAsia" w:eastAsiaTheme="minorEastAsia"/>
          <w:color w:val="000000" w:themeColor="text1"/>
          <w:sz w:val="28"/>
          <w:szCs w:val="28"/>
          <w:highlight w:val="none"/>
          <w14:textFill>
            <w14:solidFill>
              <w14:schemeClr w14:val="tx1"/>
            </w14:solidFill>
          </w14:textFill>
        </w:rPr>
        <w:t>一、技术需求偏离表……………………………………………………</w:t>
      </w:r>
      <w:r>
        <w:rPr>
          <w:rFonts w:hint="eastAsia" w:cs="仿宋_GB2312" w:asciiTheme="minorEastAsia" w:hAnsiTheme="minorEastAsia" w:eastAsiaTheme="minorEastAsia"/>
          <w:color w:val="000000" w:themeColor="text1"/>
          <w:kern w:val="0"/>
          <w:sz w:val="28"/>
          <w:szCs w:val="28"/>
          <w:highlight w:val="none"/>
          <w14:textFill>
            <w14:solidFill>
              <w14:schemeClr w14:val="tx1"/>
            </w14:solidFill>
          </w14:textFill>
        </w:rPr>
        <w:t>……</w:t>
      </w:r>
      <w:r>
        <w:rPr>
          <w:rFonts w:hint="eastAsia" w:cs="仿宋_GB2312" w:asciiTheme="minorEastAsia" w:hAnsiTheme="minorEastAsia" w:eastAsiaTheme="minorEastAsia"/>
          <w:color w:val="000000" w:themeColor="text1"/>
          <w:sz w:val="28"/>
          <w:szCs w:val="28"/>
          <w:highlight w:val="none"/>
          <w14:textFill>
            <w14:solidFill>
              <w14:schemeClr w14:val="tx1"/>
            </w14:solidFill>
          </w14:textFill>
        </w:rPr>
        <w:t>（页码）</w:t>
      </w:r>
    </w:p>
    <w:p w14:paraId="58CA9917">
      <w:pPr>
        <w:pStyle w:val="112"/>
        <w:keepNext w:val="0"/>
        <w:keepLines w:val="0"/>
        <w:pageBreakBefore w:val="0"/>
        <w:widowControl w:val="0"/>
        <w:kinsoku/>
        <w:wordWrap/>
        <w:overflowPunct/>
        <w:topLinePunct w:val="0"/>
        <w:autoSpaceDE/>
        <w:autoSpaceDN/>
        <w:bidi w:val="0"/>
        <w:adjustRightInd w:val="0"/>
        <w:snapToGrid/>
        <w:spacing w:line="560" w:lineRule="exact"/>
        <w:ind w:left="0" w:firstLine="0" w:firstLineChars="0"/>
        <w:textAlignment w:val="auto"/>
        <w:rPr>
          <w:rFonts w:cs="仿宋_GB2312" w:asciiTheme="minorEastAsia" w:hAnsiTheme="minorEastAsia" w:eastAsiaTheme="minorEastAsia"/>
          <w:color w:val="000000" w:themeColor="text1"/>
          <w:sz w:val="28"/>
          <w:szCs w:val="28"/>
          <w:highlight w:val="none"/>
          <w14:textFill>
            <w14:solidFill>
              <w14:schemeClr w14:val="tx1"/>
            </w14:solidFill>
          </w14:textFill>
        </w:rPr>
      </w:pPr>
      <w:r>
        <w:rPr>
          <w:rFonts w:hint="eastAsia" w:cs="仿宋_GB2312" w:asciiTheme="minorEastAsia" w:hAnsiTheme="minorEastAsia" w:eastAsiaTheme="minorEastAsia"/>
          <w:color w:val="000000" w:themeColor="text1"/>
          <w:sz w:val="28"/>
          <w:szCs w:val="28"/>
          <w:highlight w:val="none"/>
          <w14:textFill>
            <w14:solidFill>
              <w14:schemeClr w14:val="tx1"/>
            </w14:solidFill>
          </w14:textFill>
        </w:rPr>
        <w:t>二、采购清单……………………………………………………………</w:t>
      </w:r>
      <w:r>
        <w:rPr>
          <w:rFonts w:hint="eastAsia" w:cs="仿宋_GB2312" w:asciiTheme="minorEastAsia" w:hAnsiTheme="minorEastAsia" w:eastAsiaTheme="minorEastAsia"/>
          <w:color w:val="000000" w:themeColor="text1"/>
          <w:kern w:val="0"/>
          <w:sz w:val="28"/>
          <w:szCs w:val="28"/>
          <w:highlight w:val="none"/>
          <w14:textFill>
            <w14:solidFill>
              <w14:schemeClr w14:val="tx1"/>
            </w14:solidFill>
          </w14:textFill>
        </w:rPr>
        <w:t>……</w:t>
      </w:r>
      <w:r>
        <w:rPr>
          <w:rFonts w:hint="eastAsia" w:cs="仿宋_GB2312" w:asciiTheme="minorEastAsia" w:hAnsiTheme="minorEastAsia" w:eastAsiaTheme="minorEastAsia"/>
          <w:color w:val="000000" w:themeColor="text1"/>
          <w:sz w:val="28"/>
          <w:szCs w:val="28"/>
          <w:highlight w:val="none"/>
          <w14:textFill>
            <w14:solidFill>
              <w14:schemeClr w14:val="tx1"/>
            </w14:solidFill>
          </w14:textFill>
        </w:rPr>
        <w:t>（页码）</w:t>
      </w:r>
    </w:p>
    <w:p w14:paraId="6AEA667F">
      <w:pPr>
        <w:pStyle w:val="112"/>
        <w:keepNext w:val="0"/>
        <w:keepLines w:val="0"/>
        <w:pageBreakBefore w:val="0"/>
        <w:widowControl w:val="0"/>
        <w:kinsoku/>
        <w:wordWrap/>
        <w:overflowPunct/>
        <w:topLinePunct w:val="0"/>
        <w:autoSpaceDE/>
        <w:autoSpaceDN/>
        <w:bidi w:val="0"/>
        <w:adjustRightInd w:val="0"/>
        <w:snapToGrid/>
        <w:spacing w:line="560" w:lineRule="exact"/>
        <w:ind w:left="0" w:firstLine="0" w:firstLineChars="0"/>
        <w:textAlignment w:val="auto"/>
        <w:rPr>
          <w:rFonts w:cs="仿宋_GB2312" w:asciiTheme="minorEastAsia" w:hAnsiTheme="minorEastAsia" w:eastAsiaTheme="minorEastAsia"/>
          <w:color w:val="000000" w:themeColor="text1"/>
          <w:sz w:val="28"/>
          <w:szCs w:val="28"/>
          <w:highlight w:val="none"/>
          <w14:textFill>
            <w14:solidFill>
              <w14:schemeClr w14:val="tx1"/>
            </w14:solidFill>
          </w14:textFill>
        </w:rPr>
      </w:pPr>
      <w:r>
        <w:rPr>
          <w:rFonts w:hint="eastAsia" w:cs="仿宋_GB2312" w:asciiTheme="minorEastAsia" w:hAnsiTheme="minorEastAsia" w:eastAsiaTheme="minorEastAsia"/>
          <w:color w:val="000000" w:themeColor="text1"/>
          <w:sz w:val="28"/>
          <w:szCs w:val="28"/>
          <w:highlight w:val="none"/>
          <w14:textFill>
            <w14:solidFill>
              <w14:schemeClr w14:val="tx1"/>
            </w14:solidFill>
          </w14:textFill>
        </w:rPr>
        <w:t>三、产品及性能…………………………………………………………</w:t>
      </w:r>
      <w:r>
        <w:rPr>
          <w:rFonts w:hint="eastAsia" w:cs="仿宋_GB2312" w:asciiTheme="minorEastAsia" w:hAnsiTheme="minorEastAsia" w:eastAsiaTheme="minorEastAsia"/>
          <w:color w:val="000000" w:themeColor="text1"/>
          <w:kern w:val="0"/>
          <w:sz w:val="28"/>
          <w:szCs w:val="28"/>
          <w:highlight w:val="none"/>
          <w14:textFill>
            <w14:solidFill>
              <w14:schemeClr w14:val="tx1"/>
            </w14:solidFill>
          </w14:textFill>
        </w:rPr>
        <w:t>……</w:t>
      </w:r>
      <w:r>
        <w:rPr>
          <w:rFonts w:hint="eastAsia" w:cs="仿宋_GB2312" w:asciiTheme="minorEastAsia" w:hAnsiTheme="minorEastAsia" w:eastAsiaTheme="minorEastAsia"/>
          <w:color w:val="000000" w:themeColor="text1"/>
          <w:sz w:val="28"/>
          <w:szCs w:val="28"/>
          <w:highlight w:val="none"/>
          <w14:textFill>
            <w14:solidFill>
              <w14:schemeClr w14:val="tx1"/>
            </w14:solidFill>
          </w14:textFill>
        </w:rPr>
        <w:t>（页码）</w:t>
      </w:r>
    </w:p>
    <w:p w14:paraId="2305D438">
      <w:pPr>
        <w:pStyle w:val="112"/>
        <w:keepNext w:val="0"/>
        <w:keepLines w:val="0"/>
        <w:pageBreakBefore w:val="0"/>
        <w:widowControl w:val="0"/>
        <w:kinsoku/>
        <w:wordWrap/>
        <w:overflowPunct/>
        <w:topLinePunct w:val="0"/>
        <w:autoSpaceDE/>
        <w:autoSpaceDN/>
        <w:bidi w:val="0"/>
        <w:adjustRightInd w:val="0"/>
        <w:snapToGrid/>
        <w:spacing w:line="560" w:lineRule="exact"/>
        <w:ind w:left="0" w:firstLine="0" w:firstLineChars="0"/>
        <w:textAlignment w:val="auto"/>
        <w:rPr>
          <w:rFonts w:cs="仿宋_GB2312" w:asciiTheme="minorEastAsia" w:hAnsiTheme="minorEastAsia" w:eastAsiaTheme="minorEastAsia"/>
          <w:color w:val="000000" w:themeColor="text1"/>
          <w:sz w:val="28"/>
          <w:szCs w:val="28"/>
          <w:highlight w:val="none"/>
          <w14:textFill>
            <w14:solidFill>
              <w14:schemeClr w14:val="tx1"/>
            </w14:solidFill>
          </w14:textFill>
        </w:rPr>
      </w:pPr>
      <w:r>
        <w:rPr>
          <w:rFonts w:hint="eastAsia" w:cs="仿宋_GB2312" w:asciiTheme="minorEastAsia" w:hAnsiTheme="minorEastAsia" w:eastAsiaTheme="minorEastAsia"/>
          <w:color w:val="000000" w:themeColor="text1"/>
          <w:sz w:val="28"/>
          <w:szCs w:val="28"/>
          <w:highlight w:val="none"/>
          <w14:textFill>
            <w14:solidFill>
              <w14:schemeClr w14:val="tx1"/>
            </w14:solidFill>
          </w14:textFill>
        </w:rPr>
        <w:t>四、</w:t>
      </w:r>
      <w:r>
        <w:rPr>
          <w:rFonts w:hint="eastAsia" w:cs="仿宋_GB2312" w:asciiTheme="minorEastAsia" w:hAnsiTheme="minorEastAsia" w:eastAsiaTheme="minorEastAsia"/>
          <w:color w:val="000000" w:themeColor="text1"/>
          <w:sz w:val="28"/>
          <w:szCs w:val="28"/>
          <w:highlight w:val="none"/>
          <w:lang w:eastAsia="zh-CN"/>
          <w14:textFill>
            <w14:solidFill>
              <w14:schemeClr w14:val="tx1"/>
            </w14:solidFill>
          </w14:textFill>
        </w:rPr>
        <w:t>技术方案</w:t>
      </w:r>
      <w:r>
        <w:rPr>
          <w:rFonts w:hint="eastAsia" w:cs="仿宋_GB2312" w:asciiTheme="minorEastAsia" w:hAnsiTheme="minorEastAsia" w:eastAsiaTheme="minorEastAsia"/>
          <w:color w:val="000000" w:themeColor="text1"/>
          <w:sz w:val="28"/>
          <w:szCs w:val="28"/>
          <w:highlight w:val="none"/>
          <w14:textFill>
            <w14:solidFill>
              <w14:schemeClr w14:val="tx1"/>
            </w14:solidFill>
          </w14:textFill>
        </w:rPr>
        <w:t>……………………………………………………………</w:t>
      </w:r>
      <w:r>
        <w:rPr>
          <w:rFonts w:hint="eastAsia" w:cs="仿宋_GB2312" w:asciiTheme="minorEastAsia" w:hAnsiTheme="minorEastAsia" w:eastAsiaTheme="minorEastAsia"/>
          <w:color w:val="000000" w:themeColor="text1"/>
          <w:kern w:val="0"/>
          <w:sz w:val="28"/>
          <w:szCs w:val="28"/>
          <w:highlight w:val="none"/>
          <w14:textFill>
            <w14:solidFill>
              <w14:schemeClr w14:val="tx1"/>
            </w14:solidFill>
          </w14:textFill>
        </w:rPr>
        <w:t>……</w:t>
      </w:r>
      <w:r>
        <w:rPr>
          <w:rFonts w:hint="eastAsia" w:cs="仿宋_GB2312" w:asciiTheme="minorEastAsia" w:hAnsiTheme="minorEastAsia" w:eastAsiaTheme="minorEastAsia"/>
          <w:color w:val="000000" w:themeColor="text1"/>
          <w:sz w:val="28"/>
          <w:szCs w:val="28"/>
          <w:highlight w:val="none"/>
          <w14:textFill>
            <w14:solidFill>
              <w14:schemeClr w14:val="tx1"/>
            </w14:solidFill>
          </w14:textFill>
        </w:rPr>
        <w:t>（页码）</w:t>
      </w:r>
    </w:p>
    <w:p w14:paraId="1B687C81">
      <w:pPr>
        <w:pStyle w:val="112"/>
        <w:keepNext w:val="0"/>
        <w:keepLines w:val="0"/>
        <w:pageBreakBefore w:val="0"/>
        <w:widowControl w:val="0"/>
        <w:kinsoku/>
        <w:wordWrap/>
        <w:overflowPunct/>
        <w:topLinePunct w:val="0"/>
        <w:autoSpaceDE/>
        <w:autoSpaceDN/>
        <w:bidi w:val="0"/>
        <w:adjustRightInd w:val="0"/>
        <w:snapToGrid/>
        <w:spacing w:line="560" w:lineRule="exact"/>
        <w:ind w:left="0" w:firstLine="0" w:firstLineChars="0"/>
        <w:textAlignment w:val="auto"/>
        <w:rPr>
          <w:rFonts w:cs="仿宋_GB2312" w:asciiTheme="minorEastAsia" w:hAnsiTheme="minorEastAsia" w:eastAsiaTheme="minorEastAsia"/>
          <w:color w:val="000000" w:themeColor="text1"/>
          <w:sz w:val="28"/>
          <w:szCs w:val="28"/>
          <w:highlight w:val="none"/>
          <w14:textFill>
            <w14:solidFill>
              <w14:schemeClr w14:val="tx1"/>
            </w14:solidFill>
          </w14:textFill>
        </w:rPr>
      </w:pPr>
      <w:r>
        <w:rPr>
          <w:rFonts w:hint="eastAsia" w:cs="仿宋_GB2312" w:asciiTheme="minorEastAsia" w:hAnsiTheme="minorEastAsia" w:eastAsiaTheme="minorEastAsia"/>
          <w:color w:val="000000" w:themeColor="text1"/>
          <w:sz w:val="28"/>
          <w:szCs w:val="28"/>
          <w:highlight w:val="none"/>
          <w:lang w:eastAsia="zh-CN"/>
          <w14:textFill>
            <w14:solidFill>
              <w14:schemeClr w14:val="tx1"/>
            </w14:solidFill>
          </w14:textFill>
        </w:rPr>
        <w:t>五</w:t>
      </w:r>
      <w:r>
        <w:rPr>
          <w:rFonts w:hint="eastAsia" w:cs="仿宋_GB2312" w:asciiTheme="minorEastAsia" w:hAnsiTheme="minorEastAsia" w:eastAsiaTheme="minorEastAsia"/>
          <w:color w:val="000000" w:themeColor="text1"/>
          <w:sz w:val="28"/>
          <w:szCs w:val="28"/>
          <w:highlight w:val="none"/>
          <w14:textFill>
            <w14:solidFill>
              <w14:schemeClr w14:val="tx1"/>
            </w14:solidFill>
          </w14:textFill>
        </w:rPr>
        <w:t>、</w:t>
      </w:r>
      <w:r>
        <w:rPr>
          <w:rFonts w:hint="eastAsia" w:cs="仿宋_GB2312" w:asciiTheme="minorEastAsia" w:hAnsiTheme="minorEastAsia" w:eastAsiaTheme="minorEastAsia"/>
          <w:color w:val="000000" w:themeColor="text1"/>
          <w:sz w:val="28"/>
          <w:szCs w:val="28"/>
          <w:highlight w:val="none"/>
          <w:lang w:eastAsia="zh-CN"/>
          <w14:textFill>
            <w14:solidFill>
              <w14:schemeClr w14:val="tx1"/>
            </w14:solidFill>
          </w14:textFill>
        </w:rPr>
        <w:t>供应商</w:t>
      </w:r>
      <w:r>
        <w:rPr>
          <w:rFonts w:hint="eastAsia" w:cs="仿宋_GB2312" w:asciiTheme="minorEastAsia" w:hAnsiTheme="minorEastAsia" w:eastAsiaTheme="minorEastAsia"/>
          <w:color w:val="000000" w:themeColor="text1"/>
          <w:sz w:val="28"/>
          <w:szCs w:val="28"/>
          <w:highlight w:val="none"/>
          <w14:textFill>
            <w14:solidFill>
              <w14:schemeClr w14:val="tx1"/>
            </w14:solidFill>
          </w14:textFill>
        </w:rPr>
        <w:t>认为需要的其他技术文件或说明（如有）</w:t>
      </w:r>
      <w:r>
        <w:rPr>
          <w:rFonts w:hint="eastAsia" w:cs="仿宋_GB2312" w:asciiTheme="minorEastAsia" w:hAnsiTheme="minorEastAsia" w:eastAsiaTheme="minorEastAsia"/>
          <w:color w:val="000000" w:themeColor="text1"/>
          <w:sz w:val="28"/>
          <w:szCs w:val="28"/>
          <w:highlight w:val="none"/>
          <w:lang w:val="zh-CN"/>
          <w14:textFill>
            <w14:solidFill>
              <w14:schemeClr w14:val="tx1"/>
            </w14:solidFill>
          </w14:textFill>
        </w:rPr>
        <w:t>………………</w:t>
      </w:r>
      <w:r>
        <w:rPr>
          <w:rFonts w:hint="eastAsia" w:cs="仿宋_GB2312" w:asciiTheme="minorEastAsia" w:hAnsiTheme="minorEastAsia" w:eastAsiaTheme="minorEastAsia"/>
          <w:color w:val="000000" w:themeColor="text1"/>
          <w:kern w:val="0"/>
          <w:sz w:val="28"/>
          <w:szCs w:val="28"/>
          <w:highlight w:val="none"/>
          <w14:textFill>
            <w14:solidFill>
              <w14:schemeClr w14:val="tx1"/>
            </w14:solidFill>
          </w14:textFill>
        </w:rPr>
        <w:t>……</w:t>
      </w:r>
      <w:r>
        <w:rPr>
          <w:rFonts w:hint="eastAsia" w:cs="仿宋_GB2312" w:asciiTheme="minorEastAsia" w:hAnsiTheme="minorEastAsia" w:eastAsiaTheme="minorEastAsia"/>
          <w:color w:val="000000" w:themeColor="text1"/>
          <w:sz w:val="28"/>
          <w:szCs w:val="28"/>
          <w:highlight w:val="none"/>
          <w14:textFill>
            <w14:solidFill>
              <w14:schemeClr w14:val="tx1"/>
            </w14:solidFill>
          </w14:textFill>
        </w:rPr>
        <w:t>（页码）</w:t>
      </w:r>
    </w:p>
    <w:p w14:paraId="51D87A29">
      <w:pPr>
        <w:pageBreakBefore w:val="0"/>
        <w:wordWrap/>
        <w:topLinePunct w:val="0"/>
        <w:bidi w:val="0"/>
        <w:spacing w:line="560" w:lineRule="exact"/>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p>
    <w:p w14:paraId="555FD44A">
      <w:pPr>
        <w:keepNext w:val="0"/>
        <w:keepLines w:val="0"/>
        <w:pageBreakBefore w:val="0"/>
        <w:widowControl w:val="0"/>
        <w:kinsoku/>
        <w:wordWrap/>
        <w:overflowPunct/>
        <w:topLinePunct w:val="0"/>
        <w:autoSpaceDE/>
        <w:autoSpaceDN/>
        <w:bidi w:val="0"/>
        <w:adjustRightInd/>
        <w:snapToGrid/>
        <w:spacing w:line="440" w:lineRule="exact"/>
        <w:textAlignment w:val="auto"/>
        <w:rPr>
          <w:rFonts w:cs="仿宋_GB2312" w:asciiTheme="minorEastAsia" w:hAnsiTheme="minorEastAsia" w:eastAsiaTheme="minorEastAsia"/>
          <w:b/>
          <w:bCs/>
          <w:color w:val="000000" w:themeColor="text1"/>
          <w:sz w:val="28"/>
          <w:szCs w:val="28"/>
          <w:highlight w:val="none"/>
          <w14:textFill>
            <w14:solidFill>
              <w14:schemeClr w14:val="tx1"/>
            </w14:solidFill>
          </w14:textFill>
        </w:rPr>
      </w:pPr>
      <w:r>
        <w:rPr>
          <w:rFonts w:hint="eastAsia" w:cs="仿宋_GB2312" w:asciiTheme="minorEastAsia" w:hAnsiTheme="minorEastAsia" w:eastAsiaTheme="minorEastAsia"/>
          <w:b/>
          <w:bCs/>
          <w:color w:val="000000" w:themeColor="text1"/>
          <w:sz w:val="28"/>
          <w:szCs w:val="28"/>
          <w:highlight w:val="none"/>
          <w14:textFill>
            <w14:solidFill>
              <w14:schemeClr w14:val="tx1"/>
            </w14:solidFill>
          </w14:textFill>
        </w:rPr>
        <w:t>注：以上目录是基本格式要求，各</w:t>
      </w:r>
      <w:r>
        <w:rPr>
          <w:rFonts w:hint="eastAsia" w:cs="仿宋_GB2312" w:asciiTheme="minorEastAsia" w:hAnsiTheme="minorEastAsia" w:eastAsiaTheme="minorEastAsia"/>
          <w:b/>
          <w:bCs/>
          <w:color w:val="000000" w:themeColor="text1"/>
          <w:sz w:val="28"/>
          <w:szCs w:val="28"/>
          <w:highlight w:val="none"/>
          <w:lang w:eastAsia="zh-CN"/>
          <w14:textFill>
            <w14:solidFill>
              <w14:schemeClr w14:val="tx1"/>
            </w14:solidFill>
          </w14:textFill>
        </w:rPr>
        <w:t>供应商</w:t>
      </w:r>
      <w:r>
        <w:rPr>
          <w:rFonts w:hint="eastAsia" w:cs="仿宋_GB2312" w:asciiTheme="minorEastAsia" w:hAnsiTheme="minorEastAsia" w:eastAsiaTheme="minorEastAsia"/>
          <w:b/>
          <w:bCs/>
          <w:color w:val="000000" w:themeColor="text1"/>
          <w:sz w:val="28"/>
          <w:szCs w:val="28"/>
          <w:highlight w:val="none"/>
          <w14:textFill>
            <w14:solidFill>
              <w14:schemeClr w14:val="tx1"/>
            </w14:solidFill>
          </w14:textFill>
        </w:rPr>
        <w:t>可根据自身情况进一步向下增加内容或细化。</w:t>
      </w:r>
    </w:p>
    <w:p w14:paraId="024B1134">
      <w:pPr>
        <w:pageBreakBefore w:val="0"/>
        <w:widowControl/>
        <w:wordWrap/>
        <w:topLinePunct w:val="0"/>
        <w:bidi w:val="0"/>
        <w:spacing w:line="560" w:lineRule="exact"/>
        <w:jc w:val="left"/>
        <w:rPr>
          <w:rFonts w:asciiTheme="minorEastAsia" w:hAnsiTheme="minorEastAsia" w:eastAsiaTheme="minorEastAsia"/>
          <w:color w:val="000000" w:themeColor="text1"/>
          <w:sz w:val="30"/>
          <w:szCs w:val="20"/>
          <w:highlight w:val="none"/>
          <w14:textFill>
            <w14:solidFill>
              <w14:schemeClr w14:val="tx1"/>
            </w14:solidFill>
          </w14:textFill>
        </w:rPr>
        <w:sectPr>
          <w:pgSz w:w="11906" w:h="16838"/>
          <w:pgMar w:top="1134" w:right="1134" w:bottom="1134" w:left="1134" w:header="720" w:footer="720" w:gutter="0"/>
          <w:pgNumType w:fmt="decimal"/>
          <w:cols w:space="720" w:num="1"/>
          <w:docGrid w:type="lines" w:linePitch="331" w:charSpace="0"/>
        </w:sectPr>
      </w:pPr>
    </w:p>
    <w:p w14:paraId="4170A9CE">
      <w:pPr>
        <w:pStyle w:val="4"/>
        <w:keepNext w:val="0"/>
        <w:keepLines w:val="0"/>
        <w:pageBreakBefore w:val="0"/>
        <w:wordWrap/>
        <w:topLinePunct w:val="0"/>
        <w:bidi w:val="0"/>
        <w:spacing w:line="560" w:lineRule="exact"/>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第</w:t>
      </w:r>
      <w:r>
        <w:rPr>
          <w:rFonts w:hint="eastAsia"/>
          <w:color w:val="000000" w:themeColor="text1"/>
          <w:highlight w:val="none"/>
          <w:lang w:eastAsia="zh-CN"/>
          <w14:textFill>
            <w14:solidFill>
              <w14:schemeClr w14:val="tx1"/>
            </w14:solidFill>
          </w14:textFill>
        </w:rPr>
        <w:t>一</w:t>
      </w:r>
      <w:r>
        <w:rPr>
          <w:rFonts w:hint="eastAsia"/>
          <w:color w:val="000000" w:themeColor="text1"/>
          <w:highlight w:val="none"/>
          <w14:textFill>
            <w14:solidFill>
              <w14:schemeClr w14:val="tx1"/>
            </w14:solidFill>
          </w14:textFill>
        </w:rPr>
        <w:t>节 资格证明文件格式</w:t>
      </w:r>
    </w:p>
    <w:p w14:paraId="36DCE3C7">
      <w:pPr>
        <w:pStyle w:val="17"/>
        <w:pageBreakBefore w:val="0"/>
        <w:wordWrap/>
        <w:topLinePunct w:val="0"/>
        <w:bidi w:val="0"/>
        <w:spacing w:line="560" w:lineRule="exact"/>
        <w:rPr>
          <w:rFonts w:hint="eastAsia"/>
          <w:color w:val="000000" w:themeColor="text1"/>
          <w:highlight w:val="none"/>
          <w14:textFill>
            <w14:solidFill>
              <w14:schemeClr w14:val="tx1"/>
            </w14:solidFill>
          </w14:textFill>
        </w:rPr>
      </w:pPr>
    </w:p>
    <w:p w14:paraId="3F7D6CC6">
      <w:pPr>
        <w:pStyle w:val="17"/>
        <w:keepNext w:val="0"/>
        <w:keepLines w:val="0"/>
        <w:pageBreakBefore w:val="0"/>
        <w:kinsoku/>
        <w:wordWrap/>
        <w:overflowPunct/>
        <w:topLinePunct w:val="0"/>
        <w:autoSpaceDE/>
        <w:autoSpaceDN/>
        <w:bidi w:val="0"/>
        <w:adjustRightInd/>
        <w:snapToGrid/>
        <w:spacing w:line="560" w:lineRule="exact"/>
        <w:ind w:right="0" w:firstLine="0" w:firstLineChars="0"/>
        <w:jc w:val="both"/>
        <w:textAlignment w:val="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一、合法有效的法人营业执照</w:t>
      </w:r>
    </w:p>
    <w:p w14:paraId="4B656598">
      <w:pPr>
        <w:keepNext w:val="0"/>
        <w:keepLines w:val="0"/>
        <w:pageBreakBefore w:val="0"/>
        <w:kinsoku/>
        <w:wordWrap/>
        <w:overflowPunct/>
        <w:topLinePunct w:val="0"/>
        <w:bidi w:val="0"/>
        <w:adjustRightInd/>
        <w:snapToGrid/>
        <w:spacing w:line="560" w:lineRule="exact"/>
        <w:ind w:left="0" w:leftChars="0" w:firstLine="0" w:firstLineChars="0"/>
        <w:textAlignment w:val="auto"/>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附：企业营业执照</w:t>
      </w:r>
    </w:p>
    <w:p w14:paraId="645F755A">
      <w:pPr>
        <w:pStyle w:val="17"/>
        <w:keepNext w:val="0"/>
        <w:keepLines w:val="0"/>
        <w:pageBreakBefore w:val="0"/>
        <w:kinsoku/>
        <w:wordWrap/>
        <w:overflowPunct/>
        <w:topLinePunct w:val="0"/>
        <w:autoSpaceDE/>
        <w:autoSpaceDN/>
        <w:bidi w:val="0"/>
        <w:adjustRightInd/>
        <w:snapToGrid/>
        <w:spacing w:line="560" w:lineRule="exact"/>
        <w:ind w:right="0" w:firstLine="0" w:firstLineChars="0"/>
        <w:jc w:val="both"/>
        <w:textAlignment w:val="auto"/>
        <w:rPr>
          <w:color w:val="000000" w:themeColor="text1"/>
          <w:highlight w:val="none"/>
          <w14:textFill>
            <w14:solidFill>
              <w14:schemeClr w14:val="tx1"/>
            </w14:solidFill>
          </w14:textFill>
        </w:rPr>
      </w:pPr>
    </w:p>
    <w:p w14:paraId="7F683628">
      <w:pPr>
        <w:pStyle w:val="17"/>
        <w:keepNext w:val="0"/>
        <w:keepLines w:val="0"/>
        <w:pageBreakBefore w:val="0"/>
        <w:kinsoku/>
        <w:wordWrap/>
        <w:overflowPunct/>
        <w:topLinePunct w:val="0"/>
        <w:autoSpaceDE/>
        <w:autoSpaceDN/>
        <w:bidi w:val="0"/>
        <w:adjustRightInd/>
        <w:snapToGrid/>
        <w:spacing w:line="560" w:lineRule="exact"/>
        <w:ind w:right="0" w:firstLine="0" w:firstLineChars="0"/>
        <w:jc w:val="both"/>
        <w:textAlignment w:val="auto"/>
        <w:rPr>
          <w:color w:val="000000" w:themeColor="text1"/>
          <w:highlight w:val="none"/>
          <w14:textFill>
            <w14:solidFill>
              <w14:schemeClr w14:val="tx1"/>
            </w14:solidFill>
          </w14:textFill>
        </w:rPr>
      </w:pPr>
    </w:p>
    <w:p w14:paraId="0D32A51A">
      <w:pPr>
        <w:pStyle w:val="17"/>
        <w:keepNext w:val="0"/>
        <w:keepLines w:val="0"/>
        <w:pageBreakBefore w:val="0"/>
        <w:kinsoku/>
        <w:wordWrap/>
        <w:overflowPunct/>
        <w:topLinePunct w:val="0"/>
        <w:autoSpaceDE/>
        <w:autoSpaceDN/>
        <w:bidi w:val="0"/>
        <w:adjustRightInd/>
        <w:snapToGrid/>
        <w:spacing w:line="560" w:lineRule="exact"/>
        <w:ind w:right="0" w:firstLine="0" w:firstLineChars="0"/>
        <w:jc w:val="both"/>
        <w:textAlignment w:val="auto"/>
        <w:rPr>
          <w:color w:val="000000" w:themeColor="text1"/>
          <w:highlight w:val="none"/>
          <w14:textFill>
            <w14:solidFill>
              <w14:schemeClr w14:val="tx1"/>
            </w14:solidFill>
          </w14:textFill>
        </w:rPr>
      </w:pPr>
    </w:p>
    <w:p w14:paraId="7AFC47CD">
      <w:pPr>
        <w:pStyle w:val="17"/>
        <w:keepNext w:val="0"/>
        <w:keepLines w:val="0"/>
        <w:pageBreakBefore w:val="0"/>
        <w:kinsoku/>
        <w:wordWrap/>
        <w:overflowPunct/>
        <w:topLinePunct w:val="0"/>
        <w:autoSpaceDE/>
        <w:autoSpaceDN/>
        <w:bidi w:val="0"/>
        <w:adjustRightInd/>
        <w:snapToGrid/>
        <w:spacing w:line="560" w:lineRule="exact"/>
        <w:ind w:right="0" w:firstLine="0" w:firstLineChars="0"/>
        <w:jc w:val="both"/>
        <w:textAlignment w:val="auto"/>
        <w:rPr>
          <w:color w:val="000000" w:themeColor="text1"/>
          <w:highlight w:val="none"/>
          <w14:textFill>
            <w14:solidFill>
              <w14:schemeClr w14:val="tx1"/>
            </w14:solidFill>
          </w14:textFill>
        </w:rPr>
      </w:pPr>
    </w:p>
    <w:p w14:paraId="181E80AB">
      <w:pPr>
        <w:pStyle w:val="17"/>
        <w:keepNext w:val="0"/>
        <w:keepLines w:val="0"/>
        <w:pageBreakBefore w:val="0"/>
        <w:kinsoku/>
        <w:wordWrap/>
        <w:overflowPunct/>
        <w:topLinePunct w:val="0"/>
        <w:autoSpaceDE/>
        <w:autoSpaceDN/>
        <w:bidi w:val="0"/>
        <w:adjustRightInd/>
        <w:snapToGrid/>
        <w:spacing w:line="560" w:lineRule="exact"/>
        <w:ind w:right="0" w:firstLine="0" w:firstLineChars="0"/>
        <w:jc w:val="both"/>
        <w:textAlignment w:val="auto"/>
        <w:rPr>
          <w:color w:val="000000" w:themeColor="text1"/>
          <w:highlight w:val="none"/>
          <w14:textFill>
            <w14:solidFill>
              <w14:schemeClr w14:val="tx1"/>
            </w14:solidFill>
          </w14:textFill>
        </w:rPr>
      </w:pPr>
    </w:p>
    <w:p w14:paraId="0BCF8C6E">
      <w:pPr>
        <w:pStyle w:val="17"/>
        <w:keepNext w:val="0"/>
        <w:keepLines w:val="0"/>
        <w:pageBreakBefore w:val="0"/>
        <w:kinsoku/>
        <w:wordWrap/>
        <w:overflowPunct/>
        <w:topLinePunct w:val="0"/>
        <w:autoSpaceDE/>
        <w:autoSpaceDN/>
        <w:bidi w:val="0"/>
        <w:adjustRightInd/>
        <w:snapToGrid/>
        <w:spacing w:line="560" w:lineRule="exact"/>
        <w:ind w:right="0" w:firstLine="0" w:firstLineChars="0"/>
        <w:jc w:val="both"/>
        <w:textAlignment w:val="auto"/>
        <w:rPr>
          <w:color w:val="000000" w:themeColor="text1"/>
          <w:highlight w:val="none"/>
          <w14:textFill>
            <w14:solidFill>
              <w14:schemeClr w14:val="tx1"/>
            </w14:solidFill>
          </w14:textFill>
        </w:rPr>
      </w:pPr>
    </w:p>
    <w:p w14:paraId="040E3431">
      <w:pPr>
        <w:pStyle w:val="17"/>
        <w:keepNext w:val="0"/>
        <w:keepLines w:val="0"/>
        <w:pageBreakBefore w:val="0"/>
        <w:kinsoku/>
        <w:wordWrap/>
        <w:overflowPunct/>
        <w:topLinePunct w:val="0"/>
        <w:autoSpaceDE/>
        <w:autoSpaceDN/>
        <w:bidi w:val="0"/>
        <w:adjustRightInd/>
        <w:snapToGrid/>
        <w:spacing w:line="560" w:lineRule="exact"/>
        <w:ind w:right="0" w:firstLine="0" w:firstLineChars="0"/>
        <w:jc w:val="both"/>
        <w:textAlignment w:val="auto"/>
        <w:rPr>
          <w:color w:val="000000" w:themeColor="text1"/>
          <w:highlight w:val="none"/>
          <w14:textFill>
            <w14:solidFill>
              <w14:schemeClr w14:val="tx1"/>
            </w14:solidFill>
          </w14:textFill>
        </w:rPr>
      </w:pPr>
    </w:p>
    <w:p w14:paraId="3CAA5B6F">
      <w:pPr>
        <w:pStyle w:val="17"/>
        <w:keepNext w:val="0"/>
        <w:keepLines w:val="0"/>
        <w:pageBreakBefore w:val="0"/>
        <w:kinsoku/>
        <w:wordWrap/>
        <w:overflowPunct/>
        <w:topLinePunct w:val="0"/>
        <w:autoSpaceDE/>
        <w:autoSpaceDN/>
        <w:bidi w:val="0"/>
        <w:adjustRightInd/>
        <w:snapToGrid/>
        <w:spacing w:line="560" w:lineRule="exact"/>
        <w:ind w:right="0" w:firstLine="0" w:firstLineChars="0"/>
        <w:jc w:val="both"/>
        <w:textAlignment w:val="auto"/>
        <w:rPr>
          <w:color w:val="000000" w:themeColor="text1"/>
          <w:highlight w:val="none"/>
          <w14:textFill>
            <w14:solidFill>
              <w14:schemeClr w14:val="tx1"/>
            </w14:solidFill>
          </w14:textFill>
        </w:rPr>
      </w:pPr>
    </w:p>
    <w:p w14:paraId="1FE65B9C">
      <w:pPr>
        <w:pStyle w:val="17"/>
        <w:keepNext w:val="0"/>
        <w:keepLines w:val="0"/>
        <w:pageBreakBefore w:val="0"/>
        <w:kinsoku/>
        <w:wordWrap/>
        <w:overflowPunct/>
        <w:topLinePunct w:val="0"/>
        <w:autoSpaceDE/>
        <w:autoSpaceDN/>
        <w:bidi w:val="0"/>
        <w:adjustRightInd/>
        <w:snapToGrid/>
        <w:spacing w:line="560" w:lineRule="exact"/>
        <w:ind w:right="0" w:firstLine="0" w:firstLineChars="0"/>
        <w:jc w:val="both"/>
        <w:textAlignment w:val="auto"/>
        <w:rPr>
          <w:color w:val="000000" w:themeColor="text1"/>
          <w:highlight w:val="none"/>
          <w14:textFill>
            <w14:solidFill>
              <w14:schemeClr w14:val="tx1"/>
            </w14:solidFill>
          </w14:textFill>
        </w:rPr>
      </w:pPr>
    </w:p>
    <w:p w14:paraId="5B082433">
      <w:pPr>
        <w:pStyle w:val="17"/>
        <w:keepNext w:val="0"/>
        <w:keepLines w:val="0"/>
        <w:pageBreakBefore w:val="0"/>
        <w:kinsoku/>
        <w:wordWrap/>
        <w:overflowPunct/>
        <w:topLinePunct w:val="0"/>
        <w:autoSpaceDE/>
        <w:autoSpaceDN/>
        <w:bidi w:val="0"/>
        <w:adjustRightInd/>
        <w:snapToGrid/>
        <w:spacing w:line="560" w:lineRule="exact"/>
        <w:ind w:right="0" w:firstLine="0" w:firstLineChars="0"/>
        <w:jc w:val="both"/>
        <w:textAlignment w:val="auto"/>
        <w:rPr>
          <w:color w:val="000000" w:themeColor="text1"/>
          <w:highlight w:val="none"/>
          <w14:textFill>
            <w14:solidFill>
              <w14:schemeClr w14:val="tx1"/>
            </w14:solidFill>
          </w14:textFill>
        </w:rPr>
      </w:pPr>
    </w:p>
    <w:p w14:paraId="2CAD1411">
      <w:pPr>
        <w:pStyle w:val="17"/>
        <w:keepNext w:val="0"/>
        <w:keepLines w:val="0"/>
        <w:pageBreakBefore w:val="0"/>
        <w:kinsoku/>
        <w:wordWrap/>
        <w:overflowPunct/>
        <w:topLinePunct w:val="0"/>
        <w:autoSpaceDE/>
        <w:autoSpaceDN/>
        <w:bidi w:val="0"/>
        <w:adjustRightInd/>
        <w:snapToGrid/>
        <w:spacing w:line="560" w:lineRule="exact"/>
        <w:ind w:right="0" w:firstLine="0" w:firstLineChars="0"/>
        <w:jc w:val="both"/>
        <w:textAlignment w:val="auto"/>
        <w:rPr>
          <w:color w:val="000000" w:themeColor="text1"/>
          <w:highlight w:val="none"/>
          <w14:textFill>
            <w14:solidFill>
              <w14:schemeClr w14:val="tx1"/>
            </w14:solidFill>
          </w14:textFill>
        </w:rPr>
      </w:pPr>
    </w:p>
    <w:p w14:paraId="07EDF8E1">
      <w:pPr>
        <w:pStyle w:val="17"/>
        <w:keepNext w:val="0"/>
        <w:keepLines w:val="0"/>
        <w:pageBreakBefore w:val="0"/>
        <w:kinsoku/>
        <w:wordWrap/>
        <w:overflowPunct/>
        <w:topLinePunct w:val="0"/>
        <w:autoSpaceDE/>
        <w:autoSpaceDN/>
        <w:bidi w:val="0"/>
        <w:adjustRightInd/>
        <w:snapToGrid/>
        <w:spacing w:line="560" w:lineRule="exact"/>
        <w:ind w:right="0" w:firstLine="0" w:firstLineChars="0"/>
        <w:jc w:val="both"/>
        <w:textAlignment w:val="auto"/>
        <w:rPr>
          <w:color w:val="000000" w:themeColor="text1"/>
          <w:highlight w:val="none"/>
          <w14:textFill>
            <w14:solidFill>
              <w14:schemeClr w14:val="tx1"/>
            </w14:solidFill>
          </w14:textFill>
        </w:rPr>
      </w:pPr>
    </w:p>
    <w:p w14:paraId="4BDE9C2A">
      <w:pPr>
        <w:pStyle w:val="17"/>
        <w:keepNext w:val="0"/>
        <w:keepLines w:val="0"/>
        <w:pageBreakBefore w:val="0"/>
        <w:kinsoku/>
        <w:wordWrap/>
        <w:overflowPunct/>
        <w:topLinePunct w:val="0"/>
        <w:autoSpaceDE/>
        <w:autoSpaceDN/>
        <w:bidi w:val="0"/>
        <w:adjustRightInd/>
        <w:snapToGrid/>
        <w:spacing w:line="560" w:lineRule="exact"/>
        <w:ind w:right="0" w:firstLine="0" w:firstLineChars="0"/>
        <w:jc w:val="both"/>
        <w:textAlignment w:val="auto"/>
        <w:rPr>
          <w:color w:val="000000" w:themeColor="text1"/>
          <w:highlight w:val="none"/>
          <w14:textFill>
            <w14:solidFill>
              <w14:schemeClr w14:val="tx1"/>
            </w14:solidFill>
          </w14:textFill>
        </w:rPr>
      </w:pPr>
    </w:p>
    <w:p w14:paraId="1CC9A747">
      <w:pPr>
        <w:pStyle w:val="17"/>
        <w:keepNext w:val="0"/>
        <w:keepLines w:val="0"/>
        <w:pageBreakBefore w:val="0"/>
        <w:kinsoku/>
        <w:wordWrap/>
        <w:overflowPunct/>
        <w:topLinePunct w:val="0"/>
        <w:autoSpaceDE/>
        <w:autoSpaceDN/>
        <w:bidi w:val="0"/>
        <w:adjustRightInd/>
        <w:snapToGrid/>
        <w:spacing w:line="560" w:lineRule="exact"/>
        <w:ind w:right="0" w:firstLine="0" w:firstLineChars="0"/>
        <w:jc w:val="both"/>
        <w:textAlignment w:val="auto"/>
        <w:rPr>
          <w:color w:val="000000" w:themeColor="text1"/>
          <w:highlight w:val="none"/>
          <w14:textFill>
            <w14:solidFill>
              <w14:schemeClr w14:val="tx1"/>
            </w14:solidFill>
          </w14:textFill>
        </w:rPr>
      </w:pPr>
    </w:p>
    <w:p w14:paraId="72276151">
      <w:pPr>
        <w:pStyle w:val="17"/>
        <w:keepNext w:val="0"/>
        <w:keepLines w:val="0"/>
        <w:pageBreakBefore w:val="0"/>
        <w:kinsoku/>
        <w:wordWrap/>
        <w:overflowPunct/>
        <w:topLinePunct w:val="0"/>
        <w:autoSpaceDE/>
        <w:autoSpaceDN/>
        <w:bidi w:val="0"/>
        <w:adjustRightInd/>
        <w:snapToGrid/>
        <w:spacing w:line="560" w:lineRule="exact"/>
        <w:ind w:right="0" w:firstLine="0" w:firstLineChars="0"/>
        <w:jc w:val="both"/>
        <w:textAlignment w:val="auto"/>
        <w:rPr>
          <w:color w:val="000000" w:themeColor="text1"/>
          <w:highlight w:val="none"/>
          <w14:textFill>
            <w14:solidFill>
              <w14:schemeClr w14:val="tx1"/>
            </w14:solidFill>
          </w14:textFill>
        </w:rPr>
      </w:pPr>
    </w:p>
    <w:p w14:paraId="52731DB4">
      <w:pPr>
        <w:pStyle w:val="17"/>
        <w:keepNext w:val="0"/>
        <w:keepLines w:val="0"/>
        <w:pageBreakBefore w:val="0"/>
        <w:kinsoku/>
        <w:wordWrap/>
        <w:overflowPunct/>
        <w:topLinePunct w:val="0"/>
        <w:autoSpaceDE/>
        <w:autoSpaceDN/>
        <w:bidi w:val="0"/>
        <w:adjustRightInd/>
        <w:snapToGrid/>
        <w:spacing w:line="560" w:lineRule="exact"/>
        <w:ind w:right="0" w:firstLine="0" w:firstLineChars="0"/>
        <w:jc w:val="both"/>
        <w:textAlignment w:val="auto"/>
        <w:rPr>
          <w:color w:val="000000" w:themeColor="text1"/>
          <w:highlight w:val="none"/>
          <w14:textFill>
            <w14:solidFill>
              <w14:schemeClr w14:val="tx1"/>
            </w14:solidFill>
          </w14:textFill>
        </w:rPr>
      </w:pPr>
    </w:p>
    <w:p w14:paraId="144B2567">
      <w:pPr>
        <w:pStyle w:val="17"/>
        <w:keepNext w:val="0"/>
        <w:keepLines w:val="0"/>
        <w:pageBreakBefore w:val="0"/>
        <w:kinsoku/>
        <w:wordWrap/>
        <w:overflowPunct/>
        <w:topLinePunct w:val="0"/>
        <w:autoSpaceDE/>
        <w:autoSpaceDN/>
        <w:bidi w:val="0"/>
        <w:adjustRightInd/>
        <w:snapToGrid/>
        <w:spacing w:line="560" w:lineRule="exact"/>
        <w:ind w:right="0" w:firstLine="0" w:firstLineChars="0"/>
        <w:jc w:val="both"/>
        <w:textAlignment w:val="auto"/>
        <w:rPr>
          <w:color w:val="000000" w:themeColor="text1"/>
          <w:highlight w:val="none"/>
          <w14:textFill>
            <w14:solidFill>
              <w14:schemeClr w14:val="tx1"/>
            </w14:solidFill>
          </w14:textFill>
        </w:rPr>
      </w:pPr>
    </w:p>
    <w:p w14:paraId="1C42AB76">
      <w:pPr>
        <w:pStyle w:val="17"/>
        <w:keepNext w:val="0"/>
        <w:keepLines w:val="0"/>
        <w:pageBreakBefore w:val="0"/>
        <w:kinsoku/>
        <w:wordWrap/>
        <w:overflowPunct/>
        <w:topLinePunct w:val="0"/>
        <w:autoSpaceDE/>
        <w:autoSpaceDN/>
        <w:bidi w:val="0"/>
        <w:adjustRightInd/>
        <w:snapToGrid/>
        <w:spacing w:line="560" w:lineRule="exact"/>
        <w:ind w:right="0" w:firstLine="0" w:firstLineChars="0"/>
        <w:jc w:val="both"/>
        <w:textAlignment w:val="auto"/>
        <w:rPr>
          <w:color w:val="000000" w:themeColor="text1"/>
          <w:highlight w:val="none"/>
          <w14:textFill>
            <w14:solidFill>
              <w14:schemeClr w14:val="tx1"/>
            </w14:solidFill>
          </w14:textFill>
        </w:rPr>
      </w:pPr>
    </w:p>
    <w:p w14:paraId="6B2FFDC4">
      <w:pPr>
        <w:pStyle w:val="17"/>
        <w:keepNext w:val="0"/>
        <w:keepLines w:val="0"/>
        <w:pageBreakBefore w:val="0"/>
        <w:kinsoku/>
        <w:wordWrap/>
        <w:overflowPunct/>
        <w:topLinePunct w:val="0"/>
        <w:autoSpaceDE/>
        <w:autoSpaceDN/>
        <w:bidi w:val="0"/>
        <w:adjustRightInd/>
        <w:snapToGrid/>
        <w:spacing w:line="560" w:lineRule="exact"/>
        <w:ind w:right="0" w:firstLine="0" w:firstLineChars="0"/>
        <w:jc w:val="both"/>
        <w:textAlignment w:val="auto"/>
        <w:rPr>
          <w:color w:val="000000" w:themeColor="text1"/>
          <w:highlight w:val="none"/>
          <w14:textFill>
            <w14:solidFill>
              <w14:schemeClr w14:val="tx1"/>
            </w14:solidFill>
          </w14:textFill>
        </w:rPr>
      </w:pPr>
    </w:p>
    <w:p w14:paraId="7F19AFDF">
      <w:pPr>
        <w:pStyle w:val="17"/>
        <w:keepNext w:val="0"/>
        <w:keepLines w:val="0"/>
        <w:pageBreakBefore w:val="0"/>
        <w:kinsoku/>
        <w:wordWrap/>
        <w:overflowPunct/>
        <w:topLinePunct w:val="0"/>
        <w:autoSpaceDE/>
        <w:autoSpaceDN/>
        <w:bidi w:val="0"/>
        <w:adjustRightInd/>
        <w:snapToGrid/>
        <w:spacing w:line="560" w:lineRule="exact"/>
        <w:ind w:right="0" w:firstLine="0" w:firstLineChars="0"/>
        <w:jc w:val="both"/>
        <w:textAlignment w:val="auto"/>
        <w:rPr>
          <w:color w:val="000000" w:themeColor="text1"/>
          <w:highlight w:val="none"/>
          <w14:textFill>
            <w14:solidFill>
              <w14:schemeClr w14:val="tx1"/>
            </w14:solidFill>
          </w14:textFill>
        </w:rPr>
      </w:pPr>
    </w:p>
    <w:p w14:paraId="3CDB8213">
      <w:pPr>
        <w:pStyle w:val="17"/>
        <w:keepNext w:val="0"/>
        <w:keepLines w:val="0"/>
        <w:pageBreakBefore w:val="0"/>
        <w:kinsoku/>
        <w:wordWrap/>
        <w:overflowPunct/>
        <w:topLinePunct w:val="0"/>
        <w:autoSpaceDE/>
        <w:autoSpaceDN/>
        <w:bidi w:val="0"/>
        <w:adjustRightInd/>
        <w:snapToGrid/>
        <w:spacing w:line="560" w:lineRule="exact"/>
        <w:ind w:right="0" w:firstLine="0" w:firstLineChars="0"/>
        <w:jc w:val="both"/>
        <w:textAlignment w:val="auto"/>
        <w:rPr>
          <w:color w:val="000000" w:themeColor="text1"/>
          <w:highlight w:val="none"/>
          <w14:textFill>
            <w14:solidFill>
              <w14:schemeClr w14:val="tx1"/>
            </w14:solidFill>
          </w14:textFill>
        </w:rPr>
      </w:pPr>
    </w:p>
    <w:p w14:paraId="278F21F5">
      <w:pPr>
        <w:pStyle w:val="17"/>
        <w:keepNext w:val="0"/>
        <w:keepLines w:val="0"/>
        <w:pageBreakBefore w:val="0"/>
        <w:kinsoku/>
        <w:wordWrap/>
        <w:overflowPunct/>
        <w:topLinePunct w:val="0"/>
        <w:autoSpaceDE/>
        <w:autoSpaceDN/>
        <w:bidi w:val="0"/>
        <w:adjustRightInd/>
        <w:snapToGrid/>
        <w:spacing w:line="560" w:lineRule="exact"/>
        <w:ind w:right="0" w:firstLine="0" w:firstLineChars="0"/>
        <w:jc w:val="both"/>
        <w:textAlignment w:val="auto"/>
        <w:rPr>
          <w:color w:val="000000" w:themeColor="text1"/>
          <w:highlight w:val="none"/>
          <w14:textFill>
            <w14:solidFill>
              <w14:schemeClr w14:val="tx1"/>
            </w14:solidFill>
          </w14:textFill>
        </w:rPr>
      </w:pPr>
    </w:p>
    <w:p w14:paraId="24673F5A">
      <w:pPr>
        <w:pStyle w:val="17"/>
        <w:keepNext w:val="0"/>
        <w:keepLines w:val="0"/>
        <w:pageBreakBefore w:val="0"/>
        <w:kinsoku/>
        <w:wordWrap/>
        <w:overflowPunct/>
        <w:topLinePunct w:val="0"/>
        <w:autoSpaceDE/>
        <w:autoSpaceDN/>
        <w:bidi w:val="0"/>
        <w:adjustRightInd/>
        <w:snapToGrid/>
        <w:spacing w:line="560" w:lineRule="exact"/>
        <w:ind w:right="0" w:firstLine="0" w:firstLineChars="0"/>
        <w:jc w:val="both"/>
        <w:textAlignment w:val="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二、提供（202</w:t>
      </w:r>
      <w:r>
        <w:rPr>
          <w:rFonts w:hint="eastAsia"/>
          <w:color w:val="000000" w:themeColor="text1"/>
          <w:highlight w:val="none"/>
          <w:lang w:val="en-US" w:eastAsia="zh-CN"/>
          <w14:textFill>
            <w14:solidFill>
              <w14:schemeClr w14:val="tx1"/>
            </w14:solidFill>
          </w14:textFill>
        </w:rPr>
        <w:t>2</w:t>
      </w:r>
      <w:r>
        <w:rPr>
          <w:rFonts w:hint="eastAsia"/>
          <w:color w:val="000000" w:themeColor="text1"/>
          <w:highlight w:val="none"/>
          <w14:textFill>
            <w14:solidFill>
              <w14:schemeClr w14:val="tx1"/>
            </w14:solidFill>
          </w14:textFill>
        </w:rPr>
        <w:t>年-202</w:t>
      </w:r>
      <w:r>
        <w:rPr>
          <w:rFonts w:hint="eastAsia"/>
          <w:color w:val="000000" w:themeColor="text1"/>
          <w:highlight w:val="none"/>
          <w:lang w:val="en-US" w:eastAsia="zh-CN"/>
          <w14:textFill>
            <w14:solidFill>
              <w14:schemeClr w14:val="tx1"/>
            </w14:solidFill>
          </w14:textFill>
        </w:rPr>
        <w:t>4</w:t>
      </w:r>
      <w:r>
        <w:rPr>
          <w:rFonts w:hint="eastAsia"/>
          <w:color w:val="000000" w:themeColor="text1"/>
          <w:highlight w:val="none"/>
          <w14:textFill>
            <w14:solidFill>
              <w14:schemeClr w14:val="tx1"/>
            </w14:solidFill>
          </w14:textFill>
        </w:rPr>
        <w:t>年）任意一年的财务报表或审计报告，成立不足一年的无需提供</w:t>
      </w:r>
    </w:p>
    <w:p w14:paraId="1F0A3CDD">
      <w:pPr>
        <w:keepNext w:val="0"/>
        <w:keepLines w:val="0"/>
        <w:pageBreakBefore w:val="0"/>
        <w:kinsoku/>
        <w:wordWrap/>
        <w:overflowPunct/>
        <w:topLinePunct w:val="0"/>
        <w:bidi w:val="0"/>
        <w:adjustRightInd/>
        <w:snapToGrid/>
        <w:spacing w:line="560" w:lineRule="exact"/>
        <w:jc w:val="left"/>
        <w:rPr>
          <w:rFonts w:hint="eastAsia" w:ascii="宋体" w:hAnsi="宋体" w:eastAsia="宋体" w:cs="宋体"/>
          <w:color w:val="000000" w:themeColor="text1"/>
          <w:sz w:val="28"/>
          <w:szCs w:val="28"/>
          <w:highlight w:val="none"/>
          <w:lang w:eastAsia="zh-CN"/>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附：提供</w:t>
      </w:r>
      <w:r>
        <w:rPr>
          <w:rFonts w:hint="eastAsia" w:ascii="宋体" w:hAnsi="宋体" w:eastAsia="宋体"/>
          <w:color w:val="000000" w:themeColor="text1"/>
          <w:sz w:val="28"/>
          <w:szCs w:val="28"/>
          <w:highlight w:val="none"/>
          <w14:textFill>
            <w14:solidFill>
              <w14:schemeClr w14:val="tx1"/>
            </w14:solidFill>
          </w14:textFill>
        </w:rPr>
        <w:t>202</w:t>
      </w:r>
      <w:r>
        <w:rPr>
          <w:rFonts w:hint="eastAsia" w:ascii="宋体" w:hAnsi="宋体"/>
          <w:color w:val="000000" w:themeColor="text1"/>
          <w:sz w:val="28"/>
          <w:szCs w:val="28"/>
          <w:highlight w:val="none"/>
          <w:lang w:val="en-US" w:eastAsia="zh-CN"/>
          <w14:textFill>
            <w14:solidFill>
              <w14:schemeClr w14:val="tx1"/>
            </w14:solidFill>
          </w14:textFill>
        </w:rPr>
        <w:t>2</w:t>
      </w:r>
      <w:r>
        <w:rPr>
          <w:rFonts w:hint="eastAsia" w:ascii="宋体" w:hAnsi="宋体" w:eastAsia="宋体"/>
          <w:color w:val="000000" w:themeColor="text1"/>
          <w:sz w:val="28"/>
          <w:szCs w:val="28"/>
          <w:highlight w:val="none"/>
          <w14:textFill>
            <w14:solidFill>
              <w14:schemeClr w14:val="tx1"/>
            </w14:solidFill>
          </w14:textFill>
        </w:rPr>
        <w:t>-202</w:t>
      </w:r>
      <w:r>
        <w:rPr>
          <w:rFonts w:hint="eastAsia" w:ascii="宋体" w:hAnsi="宋体"/>
          <w:color w:val="000000" w:themeColor="text1"/>
          <w:sz w:val="28"/>
          <w:szCs w:val="28"/>
          <w:highlight w:val="none"/>
          <w:lang w:val="en-US" w:eastAsia="zh-CN"/>
          <w14:textFill>
            <w14:solidFill>
              <w14:schemeClr w14:val="tx1"/>
            </w14:solidFill>
          </w14:textFill>
        </w:rPr>
        <w:t>4</w:t>
      </w:r>
      <w:r>
        <w:rPr>
          <w:rFonts w:hint="eastAsia" w:ascii="宋体" w:hAnsi="宋体" w:eastAsia="宋体" w:cs="宋体"/>
          <w:color w:val="000000" w:themeColor="text1"/>
          <w:sz w:val="28"/>
          <w:szCs w:val="28"/>
          <w:highlight w:val="none"/>
          <w14:textFill>
            <w14:solidFill>
              <w14:schemeClr w14:val="tx1"/>
            </w14:solidFill>
          </w14:textFill>
        </w:rPr>
        <w:t>年任意一年的</w:t>
      </w:r>
      <w:r>
        <w:rPr>
          <w:rFonts w:hint="eastAsia" w:ascii="宋体" w:hAnsi="宋体" w:eastAsia="宋体" w:cs="宋体"/>
          <w:color w:val="000000" w:themeColor="text1"/>
          <w:sz w:val="28"/>
          <w:szCs w:val="28"/>
          <w:highlight w:val="none"/>
          <w:lang w:val="en-US" w:eastAsia="zh-CN"/>
          <w14:textFill>
            <w14:solidFill>
              <w14:schemeClr w14:val="tx1"/>
            </w14:solidFill>
          </w14:textFill>
        </w:rPr>
        <w:t>完整</w:t>
      </w:r>
      <w:r>
        <w:rPr>
          <w:rFonts w:hint="eastAsia" w:ascii="宋体" w:hAnsi="宋体" w:eastAsia="宋体" w:cs="宋体"/>
          <w:color w:val="000000" w:themeColor="text1"/>
          <w:sz w:val="28"/>
          <w:szCs w:val="28"/>
          <w:highlight w:val="none"/>
          <w14:textFill>
            <w14:solidFill>
              <w14:schemeClr w14:val="tx1"/>
            </w14:solidFill>
          </w14:textFill>
        </w:rPr>
        <w:t>审计报告或财务报表（应包括资产负债表、现金流量表、利润表），本年度新成立或成立不满一年的无法提供财务审计报告或财务状况报告表的无需提供。</w:t>
      </w:r>
    </w:p>
    <w:p w14:paraId="5173F2BC">
      <w:pPr>
        <w:keepNext w:val="0"/>
        <w:keepLines w:val="0"/>
        <w:pageBreakBefore w:val="0"/>
        <w:kinsoku/>
        <w:wordWrap/>
        <w:overflowPunct/>
        <w:topLinePunct w:val="0"/>
        <w:bidi w:val="0"/>
        <w:adjustRightInd/>
        <w:snapToGrid/>
        <w:spacing w:line="560" w:lineRule="exact"/>
        <w:ind w:left="0" w:leftChars="0" w:firstLine="0" w:firstLineChars="0"/>
        <w:textAlignment w:val="auto"/>
        <w:rPr>
          <w:rFonts w:hint="eastAsia" w:ascii="宋体" w:hAnsi="宋体" w:eastAsia="宋体" w:cs="宋体"/>
          <w:color w:val="000000" w:themeColor="text1"/>
          <w:sz w:val="28"/>
          <w:szCs w:val="28"/>
          <w:highlight w:val="none"/>
          <w:lang w:eastAsia="zh-CN"/>
          <w14:textFill>
            <w14:solidFill>
              <w14:schemeClr w14:val="tx1"/>
            </w14:solidFill>
          </w14:textFill>
        </w:rPr>
      </w:pPr>
    </w:p>
    <w:p w14:paraId="04920321">
      <w:pPr>
        <w:keepNext w:val="0"/>
        <w:keepLines w:val="0"/>
        <w:pageBreakBefore w:val="0"/>
        <w:kinsoku/>
        <w:wordWrap/>
        <w:overflowPunct/>
        <w:topLinePunct w:val="0"/>
        <w:autoSpaceDE/>
        <w:autoSpaceDN/>
        <w:bidi w:val="0"/>
        <w:adjustRightInd/>
        <w:snapToGrid/>
        <w:spacing w:line="560" w:lineRule="exact"/>
        <w:ind w:right="0" w:firstLine="0" w:firstLineChars="0"/>
        <w:jc w:val="both"/>
        <w:textAlignment w:val="auto"/>
        <w:rPr>
          <w:rFonts w:asciiTheme="minorEastAsia" w:hAnsiTheme="minorEastAsia" w:eastAsiaTheme="minorEastAsia"/>
          <w:color w:val="000000" w:themeColor="text1"/>
          <w:sz w:val="28"/>
          <w:szCs w:val="28"/>
          <w:highlight w:val="none"/>
          <w14:textFill>
            <w14:solidFill>
              <w14:schemeClr w14:val="tx1"/>
            </w14:solidFill>
          </w14:textFill>
        </w:rPr>
      </w:pPr>
    </w:p>
    <w:p w14:paraId="57A7E49E">
      <w:pPr>
        <w:keepNext w:val="0"/>
        <w:keepLines w:val="0"/>
        <w:pageBreakBefore w:val="0"/>
        <w:kinsoku/>
        <w:wordWrap/>
        <w:overflowPunct/>
        <w:topLinePunct w:val="0"/>
        <w:autoSpaceDE/>
        <w:autoSpaceDN/>
        <w:bidi w:val="0"/>
        <w:adjustRightInd/>
        <w:snapToGrid/>
        <w:spacing w:line="560" w:lineRule="exact"/>
        <w:ind w:right="0" w:firstLine="0" w:firstLineChars="0"/>
        <w:jc w:val="both"/>
        <w:textAlignment w:val="auto"/>
        <w:rPr>
          <w:rFonts w:asciiTheme="minorEastAsia" w:hAnsiTheme="minorEastAsia" w:eastAsiaTheme="minorEastAsia"/>
          <w:color w:val="000000" w:themeColor="text1"/>
          <w:sz w:val="28"/>
          <w:szCs w:val="28"/>
          <w:highlight w:val="none"/>
          <w14:textFill>
            <w14:solidFill>
              <w14:schemeClr w14:val="tx1"/>
            </w14:solidFill>
          </w14:textFill>
        </w:rPr>
      </w:pPr>
    </w:p>
    <w:p w14:paraId="6D178D48">
      <w:pPr>
        <w:keepNext w:val="0"/>
        <w:keepLines w:val="0"/>
        <w:pageBreakBefore w:val="0"/>
        <w:kinsoku/>
        <w:wordWrap/>
        <w:overflowPunct/>
        <w:topLinePunct w:val="0"/>
        <w:autoSpaceDE/>
        <w:autoSpaceDN/>
        <w:bidi w:val="0"/>
        <w:adjustRightInd/>
        <w:snapToGrid/>
        <w:spacing w:line="560" w:lineRule="exact"/>
        <w:ind w:right="0" w:firstLine="0" w:firstLineChars="0"/>
        <w:jc w:val="both"/>
        <w:textAlignment w:val="auto"/>
        <w:rPr>
          <w:rFonts w:asciiTheme="minorEastAsia" w:hAnsiTheme="minorEastAsia" w:eastAsiaTheme="minorEastAsia"/>
          <w:color w:val="000000" w:themeColor="text1"/>
          <w:sz w:val="28"/>
          <w:szCs w:val="28"/>
          <w:highlight w:val="none"/>
          <w14:textFill>
            <w14:solidFill>
              <w14:schemeClr w14:val="tx1"/>
            </w14:solidFill>
          </w14:textFill>
        </w:rPr>
      </w:pPr>
    </w:p>
    <w:p w14:paraId="1F7B0CF8">
      <w:pPr>
        <w:keepNext w:val="0"/>
        <w:keepLines w:val="0"/>
        <w:pageBreakBefore w:val="0"/>
        <w:kinsoku/>
        <w:wordWrap/>
        <w:overflowPunct/>
        <w:topLinePunct w:val="0"/>
        <w:autoSpaceDE/>
        <w:autoSpaceDN/>
        <w:bidi w:val="0"/>
        <w:adjustRightInd/>
        <w:snapToGrid/>
        <w:spacing w:line="560" w:lineRule="exact"/>
        <w:ind w:right="0" w:firstLine="0" w:firstLineChars="0"/>
        <w:jc w:val="both"/>
        <w:textAlignment w:val="auto"/>
        <w:rPr>
          <w:rFonts w:asciiTheme="minorEastAsia" w:hAnsiTheme="minorEastAsia" w:eastAsiaTheme="minorEastAsia"/>
          <w:color w:val="000000" w:themeColor="text1"/>
          <w:sz w:val="28"/>
          <w:szCs w:val="28"/>
          <w:highlight w:val="none"/>
          <w14:textFill>
            <w14:solidFill>
              <w14:schemeClr w14:val="tx1"/>
            </w14:solidFill>
          </w14:textFill>
        </w:rPr>
      </w:pPr>
    </w:p>
    <w:p w14:paraId="4DED354B">
      <w:pPr>
        <w:keepNext w:val="0"/>
        <w:keepLines w:val="0"/>
        <w:pageBreakBefore w:val="0"/>
        <w:kinsoku/>
        <w:wordWrap/>
        <w:overflowPunct/>
        <w:topLinePunct w:val="0"/>
        <w:autoSpaceDE/>
        <w:autoSpaceDN/>
        <w:bidi w:val="0"/>
        <w:adjustRightInd/>
        <w:snapToGrid/>
        <w:spacing w:line="560" w:lineRule="exact"/>
        <w:ind w:right="0" w:firstLine="0" w:firstLineChars="0"/>
        <w:jc w:val="both"/>
        <w:textAlignment w:val="auto"/>
        <w:rPr>
          <w:rFonts w:asciiTheme="minorEastAsia" w:hAnsiTheme="minorEastAsia" w:eastAsiaTheme="minorEastAsia"/>
          <w:color w:val="000000" w:themeColor="text1"/>
          <w:sz w:val="28"/>
          <w:szCs w:val="28"/>
          <w:highlight w:val="none"/>
          <w14:textFill>
            <w14:solidFill>
              <w14:schemeClr w14:val="tx1"/>
            </w14:solidFill>
          </w14:textFill>
        </w:rPr>
      </w:pPr>
    </w:p>
    <w:p w14:paraId="498059B6">
      <w:pPr>
        <w:keepNext w:val="0"/>
        <w:keepLines w:val="0"/>
        <w:pageBreakBefore w:val="0"/>
        <w:kinsoku/>
        <w:wordWrap/>
        <w:overflowPunct/>
        <w:topLinePunct w:val="0"/>
        <w:autoSpaceDE/>
        <w:autoSpaceDN/>
        <w:bidi w:val="0"/>
        <w:adjustRightInd/>
        <w:snapToGrid/>
        <w:spacing w:line="560" w:lineRule="exact"/>
        <w:ind w:right="0" w:firstLine="0" w:firstLineChars="0"/>
        <w:jc w:val="both"/>
        <w:textAlignment w:val="auto"/>
        <w:rPr>
          <w:rFonts w:asciiTheme="minorEastAsia" w:hAnsiTheme="minorEastAsia" w:eastAsiaTheme="minorEastAsia"/>
          <w:color w:val="000000" w:themeColor="text1"/>
          <w:sz w:val="28"/>
          <w:szCs w:val="28"/>
          <w:highlight w:val="none"/>
          <w14:textFill>
            <w14:solidFill>
              <w14:schemeClr w14:val="tx1"/>
            </w14:solidFill>
          </w14:textFill>
        </w:rPr>
      </w:pPr>
    </w:p>
    <w:p w14:paraId="4375DE3C">
      <w:pPr>
        <w:keepNext w:val="0"/>
        <w:keepLines w:val="0"/>
        <w:pageBreakBefore w:val="0"/>
        <w:kinsoku/>
        <w:wordWrap/>
        <w:overflowPunct/>
        <w:topLinePunct w:val="0"/>
        <w:autoSpaceDE/>
        <w:autoSpaceDN/>
        <w:bidi w:val="0"/>
        <w:adjustRightInd/>
        <w:snapToGrid/>
        <w:spacing w:line="560" w:lineRule="exact"/>
        <w:ind w:right="0" w:firstLine="0" w:firstLineChars="0"/>
        <w:jc w:val="both"/>
        <w:textAlignment w:val="auto"/>
        <w:rPr>
          <w:rFonts w:asciiTheme="minorEastAsia" w:hAnsiTheme="minorEastAsia" w:eastAsiaTheme="minorEastAsia"/>
          <w:color w:val="000000" w:themeColor="text1"/>
          <w:sz w:val="28"/>
          <w:szCs w:val="28"/>
          <w:highlight w:val="none"/>
          <w14:textFill>
            <w14:solidFill>
              <w14:schemeClr w14:val="tx1"/>
            </w14:solidFill>
          </w14:textFill>
        </w:rPr>
      </w:pPr>
    </w:p>
    <w:p w14:paraId="58F4A87A">
      <w:pPr>
        <w:keepNext w:val="0"/>
        <w:keepLines w:val="0"/>
        <w:pageBreakBefore w:val="0"/>
        <w:kinsoku/>
        <w:wordWrap/>
        <w:overflowPunct/>
        <w:topLinePunct w:val="0"/>
        <w:autoSpaceDE/>
        <w:autoSpaceDN/>
        <w:bidi w:val="0"/>
        <w:adjustRightInd/>
        <w:snapToGrid/>
        <w:spacing w:line="560" w:lineRule="exact"/>
        <w:ind w:right="0" w:firstLine="0" w:firstLineChars="0"/>
        <w:jc w:val="both"/>
        <w:textAlignment w:val="auto"/>
        <w:rPr>
          <w:rFonts w:asciiTheme="minorEastAsia" w:hAnsiTheme="minorEastAsia" w:eastAsiaTheme="minorEastAsia"/>
          <w:color w:val="000000" w:themeColor="text1"/>
          <w:sz w:val="28"/>
          <w:szCs w:val="28"/>
          <w:highlight w:val="none"/>
          <w14:textFill>
            <w14:solidFill>
              <w14:schemeClr w14:val="tx1"/>
            </w14:solidFill>
          </w14:textFill>
        </w:rPr>
      </w:pPr>
    </w:p>
    <w:p w14:paraId="590F9A46">
      <w:pPr>
        <w:keepNext w:val="0"/>
        <w:keepLines w:val="0"/>
        <w:pageBreakBefore w:val="0"/>
        <w:kinsoku/>
        <w:wordWrap/>
        <w:overflowPunct/>
        <w:topLinePunct w:val="0"/>
        <w:autoSpaceDE/>
        <w:autoSpaceDN/>
        <w:bidi w:val="0"/>
        <w:adjustRightInd/>
        <w:snapToGrid/>
        <w:spacing w:line="560" w:lineRule="exact"/>
        <w:ind w:right="0" w:firstLine="0" w:firstLineChars="0"/>
        <w:jc w:val="both"/>
        <w:textAlignment w:val="auto"/>
        <w:rPr>
          <w:rFonts w:asciiTheme="minorEastAsia" w:hAnsiTheme="minorEastAsia" w:eastAsiaTheme="minorEastAsia"/>
          <w:color w:val="000000" w:themeColor="text1"/>
          <w:sz w:val="28"/>
          <w:szCs w:val="28"/>
          <w:highlight w:val="none"/>
          <w14:textFill>
            <w14:solidFill>
              <w14:schemeClr w14:val="tx1"/>
            </w14:solidFill>
          </w14:textFill>
        </w:rPr>
      </w:pPr>
    </w:p>
    <w:p w14:paraId="1AEA8D7F">
      <w:pPr>
        <w:keepNext w:val="0"/>
        <w:keepLines w:val="0"/>
        <w:pageBreakBefore w:val="0"/>
        <w:kinsoku/>
        <w:wordWrap/>
        <w:overflowPunct/>
        <w:topLinePunct w:val="0"/>
        <w:autoSpaceDE/>
        <w:autoSpaceDN/>
        <w:bidi w:val="0"/>
        <w:adjustRightInd/>
        <w:snapToGrid/>
        <w:spacing w:line="560" w:lineRule="exact"/>
        <w:ind w:right="0" w:firstLine="0" w:firstLineChars="0"/>
        <w:jc w:val="both"/>
        <w:textAlignment w:val="auto"/>
        <w:rPr>
          <w:rFonts w:asciiTheme="minorEastAsia" w:hAnsiTheme="minorEastAsia" w:eastAsiaTheme="minorEastAsia"/>
          <w:color w:val="000000" w:themeColor="text1"/>
          <w:sz w:val="28"/>
          <w:szCs w:val="28"/>
          <w:highlight w:val="none"/>
          <w14:textFill>
            <w14:solidFill>
              <w14:schemeClr w14:val="tx1"/>
            </w14:solidFill>
          </w14:textFill>
        </w:rPr>
      </w:pPr>
    </w:p>
    <w:p w14:paraId="55AB8897">
      <w:pPr>
        <w:keepNext w:val="0"/>
        <w:keepLines w:val="0"/>
        <w:pageBreakBefore w:val="0"/>
        <w:kinsoku/>
        <w:wordWrap/>
        <w:overflowPunct/>
        <w:topLinePunct w:val="0"/>
        <w:autoSpaceDE/>
        <w:autoSpaceDN/>
        <w:bidi w:val="0"/>
        <w:adjustRightInd/>
        <w:snapToGrid/>
        <w:spacing w:line="560" w:lineRule="exact"/>
        <w:ind w:right="0" w:firstLine="0" w:firstLineChars="0"/>
        <w:jc w:val="both"/>
        <w:textAlignment w:val="auto"/>
        <w:rPr>
          <w:rFonts w:asciiTheme="minorEastAsia" w:hAnsiTheme="minorEastAsia" w:eastAsiaTheme="minorEastAsia"/>
          <w:color w:val="000000" w:themeColor="text1"/>
          <w:sz w:val="28"/>
          <w:szCs w:val="28"/>
          <w:highlight w:val="none"/>
          <w14:textFill>
            <w14:solidFill>
              <w14:schemeClr w14:val="tx1"/>
            </w14:solidFill>
          </w14:textFill>
        </w:rPr>
      </w:pPr>
    </w:p>
    <w:p w14:paraId="46595336">
      <w:pPr>
        <w:keepNext w:val="0"/>
        <w:keepLines w:val="0"/>
        <w:pageBreakBefore w:val="0"/>
        <w:kinsoku/>
        <w:wordWrap/>
        <w:overflowPunct/>
        <w:topLinePunct w:val="0"/>
        <w:autoSpaceDE/>
        <w:autoSpaceDN/>
        <w:bidi w:val="0"/>
        <w:adjustRightInd/>
        <w:snapToGrid/>
        <w:spacing w:line="560" w:lineRule="exact"/>
        <w:ind w:right="0" w:firstLine="0" w:firstLineChars="0"/>
        <w:jc w:val="both"/>
        <w:textAlignment w:val="auto"/>
        <w:rPr>
          <w:rFonts w:asciiTheme="minorEastAsia" w:hAnsiTheme="minorEastAsia" w:eastAsiaTheme="minorEastAsia"/>
          <w:color w:val="000000" w:themeColor="text1"/>
          <w:sz w:val="28"/>
          <w:szCs w:val="28"/>
          <w:highlight w:val="none"/>
          <w14:textFill>
            <w14:solidFill>
              <w14:schemeClr w14:val="tx1"/>
            </w14:solidFill>
          </w14:textFill>
        </w:rPr>
      </w:pPr>
    </w:p>
    <w:p w14:paraId="315990E1">
      <w:pPr>
        <w:keepNext w:val="0"/>
        <w:keepLines w:val="0"/>
        <w:pageBreakBefore w:val="0"/>
        <w:kinsoku/>
        <w:wordWrap/>
        <w:overflowPunct/>
        <w:topLinePunct w:val="0"/>
        <w:autoSpaceDE/>
        <w:autoSpaceDN/>
        <w:bidi w:val="0"/>
        <w:adjustRightInd/>
        <w:snapToGrid/>
        <w:spacing w:line="560" w:lineRule="exact"/>
        <w:ind w:right="0" w:firstLine="0" w:firstLineChars="0"/>
        <w:jc w:val="both"/>
        <w:textAlignment w:val="auto"/>
        <w:rPr>
          <w:rFonts w:asciiTheme="minorEastAsia" w:hAnsiTheme="minorEastAsia" w:eastAsiaTheme="minorEastAsia"/>
          <w:color w:val="000000" w:themeColor="text1"/>
          <w:sz w:val="28"/>
          <w:szCs w:val="28"/>
          <w:highlight w:val="none"/>
          <w14:textFill>
            <w14:solidFill>
              <w14:schemeClr w14:val="tx1"/>
            </w14:solidFill>
          </w14:textFill>
        </w:rPr>
      </w:pPr>
    </w:p>
    <w:p w14:paraId="153BE512">
      <w:pPr>
        <w:keepNext w:val="0"/>
        <w:keepLines w:val="0"/>
        <w:pageBreakBefore w:val="0"/>
        <w:kinsoku/>
        <w:wordWrap/>
        <w:overflowPunct/>
        <w:topLinePunct w:val="0"/>
        <w:autoSpaceDE/>
        <w:autoSpaceDN/>
        <w:bidi w:val="0"/>
        <w:adjustRightInd/>
        <w:snapToGrid/>
        <w:spacing w:line="560" w:lineRule="exact"/>
        <w:ind w:right="0" w:firstLine="0" w:firstLineChars="0"/>
        <w:jc w:val="both"/>
        <w:textAlignment w:val="auto"/>
        <w:rPr>
          <w:rFonts w:asciiTheme="minorEastAsia" w:hAnsiTheme="minorEastAsia" w:eastAsiaTheme="minorEastAsia"/>
          <w:color w:val="000000" w:themeColor="text1"/>
          <w:sz w:val="28"/>
          <w:szCs w:val="28"/>
          <w:highlight w:val="none"/>
          <w14:textFill>
            <w14:solidFill>
              <w14:schemeClr w14:val="tx1"/>
            </w14:solidFill>
          </w14:textFill>
        </w:rPr>
      </w:pPr>
    </w:p>
    <w:p w14:paraId="3BC5E96C">
      <w:pPr>
        <w:keepNext w:val="0"/>
        <w:keepLines w:val="0"/>
        <w:pageBreakBefore w:val="0"/>
        <w:kinsoku/>
        <w:wordWrap/>
        <w:overflowPunct/>
        <w:topLinePunct w:val="0"/>
        <w:autoSpaceDE/>
        <w:autoSpaceDN/>
        <w:bidi w:val="0"/>
        <w:adjustRightInd/>
        <w:snapToGrid/>
        <w:spacing w:line="560" w:lineRule="exact"/>
        <w:ind w:right="0" w:firstLine="0" w:firstLineChars="0"/>
        <w:jc w:val="both"/>
        <w:textAlignment w:val="auto"/>
        <w:rPr>
          <w:rFonts w:asciiTheme="minorEastAsia" w:hAnsiTheme="minorEastAsia" w:eastAsiaTheme="minorEastAsia"/>
          <w:color w:val="000000" w:themeColor="text1"/>
          <w:sz w:val="28"/>
          <w:szCs w:val="28"/>
          <w:highlight w:val="none"/>
          <w14:textFill>
            <w14:solidFill>
              <w14:schemeClr w14:val="tx1"/>
            </w14:solidFill>
          </w14:textFill>
        </w:rPr>
      </w:pPr>
    </w:p>
    <w:p w14:paraId="3B09A4CE">
      <w:pPr>
        <w:keepNext w:val="0"/>
        <w:keepLines w:val="0"/>
        <w:pageBreakBefore w:val="0"/>
        <w:kinsoku/>
        <w:wordWrap/>
        <w:overflowPunct/>
        <w:topLinePunct w:val="0"/>
        <w:autoSpaceDE/>
        <w:autoSpaceDN/>
        <w:bidi w:val="0"/>
        <w:adjustRightInd/>
        <w:snapToGrid/>
        <w:spacing w:line="560" w:lineRule="exact"/>
        <w:ind w:right="0" w:firstLine="0" w:firstLineChars="0"/>
        <w:jc w:val="both"/>
        <w:textAlignment w:val="auto"/>
        <w:rPr>
          <w:rFonts w:asciiTheme="minorEastAsia" w:hAnsiTheme="minorEastAsia" w:eastAsiaTheme="minorEastAsia"/>
          <w:color w:val="000000" w:themeColor="text1"/>
          <w:sz w:val="28"/>
          <w:szCs w:val="28"/>
          <w:highlight w:val="none"/>
          <w14:textFill>
            <w14:solidFill>
              <w14:schemeClr w14:val="tx1"/>
            </w14:solidFill>
          </w14:textFill>
        </w:rPr>
      </w:pPr>
    </w:p>
    <w:p w14:paraId="70CCB144">
      <w:pPr>
        <w:keepNext w:val="0"/>
        <w:keepLines w:val="0"/>
        <w:pageBreakBefore w:val="0"/>
        <w:kinsoku/>
        <w:wordWrap/>
        <w:overflowPunct/>
        <w:topLinePunct w:val="0"/>
        <w:autoSpaceDE/>
        <w:autoSpaceDN/>
        <w:bidi w:val="0"/>
        <w:adjustRightInd/>
        <w:snapToGrid/>
        <w:spacing w:line="560" w:lineRule="exact"/>
        <w:ind w:right="0" w:firstLine="0" w:firstLineChars="0"/>
        <w:jc w:val="both"/>
        <w:textAlignment w:val="auto"/>
        <w:rPr>
          <w:rFonts w:hint="eastAsia" w:cs="仿宋_GB2312" w:asciiTheme="minorEastAsia" w:hAnsiTheme="minorEastAsia" w:eastAsiaTheme="minorEastAsia"/>
          <w:b/>
          <w:color w:val="000000" w:themeColor="text1"/>
          <w:kern w:val="0"/>
          <w:sz w:val="28"/>
          <w:szCs w:val="28"/>
          <w:highlight w:val="none"/>
          <w14:textFill>
            <w14:solidFill>
              <w14:schemeClr w14:val="tx1"/>
            </w14:solidFill>
          </w14:textFill>
        </w:rPr>
      </w:pPr>
    </w:p>
    <w:p w14:paraId="10BE3CB5">
      <w:pPr>
        <w:keepNext w:val="0"/>
        <w:keepLines w:val="0"/>
        <w:pageBreakBefore w:val="0"/>
        <w:kinsoku/>
        <w:wordWrap/>
        <w:overflowPunct/>
        <w:topLinePunct w:val="0"/>
        <w:autoSpaceDE/>
        <w:autoSpaceDN/>
        <w:bidi w:val="0"/>
        <w:adjustRightInd/>
        <w:snapToGrid/>
        <w:spacing w:line="560" w:lineRule="exact"/>
        <w:ind w:right="0" w:firstLine="0" w:firstLineChars="0"/>
        <w:jc w:val="both"/>
        <w:textAlignment w:val="auto"/>
        <w:rPr>
          <w:rFonts w:hint="eastAsia" w:cs="仿宋_GB2312" w:asciiTheme="minorEastAsia" w:hAnsiTheme="minorEastAsia" w:eastAsiaTheme="minorEastAsia"/>
          <w:b/>
          <w:color w:val="000000" w:themeColor="text1"/>
          <w:kern w:val="0"/>
          <w:sz w:val="28"/>
          <w:szCs w:val="28"/>
          <w:highlight w:val="none"/>
          <w14:textFill>
            <w14:solidFill>
              <w14:schemeClr w14:val="tx1"/>
            </w14:solidFill>
          </w14:textFill>
        </w:rPr>
      </w:pPr>
    </w:p>
    <w:p w14:paraId="4726CFEA">
      <w:pPr>
        <w:keepNext w:val="0"/>
        <w:keepLines w:val="0"/>
        <w:pageBreakBefore w:val="0"/>
        <w:kinsoku/>
        <w:wordWrap/>
        <w:overflowPunct/>
        <w:topLinePunct w:val="0"/>
        <w:autoSpaceDE/>
        <w:autoSpaceDN/>
        <w:bidi w:val="0"/>
        <w:adjustRightInd/>
        <w:snapToGrid/>
        <w:spacing w:line="560" w:lineRule="exact"/>
        <w:ind w:right="0" w:firstLine="0" w:firstLineChars="0"/>
        <w:jc w:val="both"/>
        <w:textAlignment w:val="auto"/>
        <w:rPr>
          <w:rFonts w:hint="eastAsia" w:cs="仿宋_GB2312" w:asciiTheme="minorEastAsia" w:hAnsiTheme="minorEastAsia" w:eastAsiaTheme="minorEastAsia"/>
          <w:b/>
          <w:color w:val="000000" w:themeColor="text1"/>
          <w:kern w:val="0"/>
          <w:sz w:val="28"/>
          <w:szCs w:val="28"/>
          <w:highlight w:val="none"/>
          <w14:textFill>
            <w14:solidFill>
              <w14:schemeClr w14:val="tx1"/>
            </w14:solidFill>
          </w14:textFill>
        </w:rPr>
      </w:pPr>
    </w:p>
    <w:p w14:paraId="2B87D554">
      <w:pPr>
        <w:keepNext w:val="0"/>
        <w:keepLines w:val="0"/>
        <w:pageBreakBefore w:val="0"/>
        <w:kinsoku/>
        <w:wordWrap/>
        <w:overflowPunct/>
        <w:topLinePunct w:val="0"/>
        <w:autoSpaceDE/>
        <w:autoSpaceDN/>
        <w:bidi w:val="0"/>
        <w:adjustRightInd/>
        <w:snapToGrid/>
        <w:spacing w:line="560" w:lineRule="exact"/>
        <w:ind w:right="0" w:firstLine="0" w:firstLineChars="0"/>
        <w:jc w:val="both"/>
        <w:textAlignment w:val="auto"/>
        <w:rPr>
          <w:rFonts w:hint="eastAsia" w:cs="仿宋_GB2312" w:asciiTheme="minorEastAsia" w:hAnsiTheme="minorEastAsia" w:eastAsiaTheme="minorEastAsia"/>
          <w:b/>
          <w:color w:val="000000" w:themeColor="text1"/>
          <w:kern w:val="0"/>
          <w:sz w:val="28"/>
          <w:szCs w:val="28"/>
          <w:highlight w:val="none"/>
          <w14:textFill>
            <w14:solidFill>
              <w14:schemeClr w14:val="tx1"/>
            </w14:solidFill>
          </w14:textFill>
        </w:rPr>
      </w:pPr>
    </w:p>
    <w:p w14:paraId="03026432">
      <w:pPr>
        <w:keepNext w:val="0"/>
        <w:keepLines w:val="0"/>
        <w:pageBreakBefore w:val="0"/>
        <w:kinsoku/>
        <w:wordWrap/>
        <w:overflowPunct/>
        <w:topLinePunct w:val="0"/>
        <w:autoSpaceDE/>
        <w:autoSpaceDN/>
        <w:bidi w:val="0"/>
        <w:adjustRightInd/>
        <w:snapToGrid/>
        <w:spacing w:line="560" w:lineRule="exact"/>
        <w:ind w:right="0" w:firstLine="0" w:firstLineChars="0"/>
        <w:jc w:val="both"/>
        <w:textAlignment w:val="auto"/>
        <w:rPr>
          <w:rFonts w:cs="仿宋_GB2312" w:asciiTheme="minorEastAsia" w:hAnsiTheme="minorEastAsia" w:eastAsiaTheme="minorEastAsia"/>
          <w:b/>
          <w:color w:val="000000" w:themeColor="text1"/>
          <w:kern w:val="0"/>
          <w:sz w:val="28"/>
          <w:szCs w:val="28"/>
          <w:highlight w:val="none"/>
          <w14:textFill>
            <w14:solidFill>
              <w14:schemeClr w14:val="tx1"/>
            </w14:solidFill>
          </w14:textFill>
        </w:rPr>
      </w:pPr>
      <w:r>
        <w:rPr>
          <w:rFonts w:hint="eastAsia" w:cs="仿宋_GB2312" w:asciiTheme="minorEastAsia" w:hAnsiTheme="minorEastAsia" w:eastAsiaTheme="minorEastAsia"/>
          <w:b/>
          <w:color w:val="000000" w:themeColor="text1"/>
          <w:kern w:val="0"/>
          <w:sz w:val="28"/>
          <w:szCs w:val="28"/>
          <w:highlight w:val="none"/>
          <w14:textFill>
            <w14:solidFill>
              <w14:schemeClr w14:val="tx1"/>
            </w14:solidFill>
          </w14:textFill>
        </w:rPr>
        <w:t>三、根据项目需求提供履行合同所必需的设备和专业技术能力的加盖单位公章的书面承诺函</w:t>
      </w:r>
    </w:p>
    <w:p w14:paraId="77E40922">
      <w:pPr>
        <w:pStyle w:val="13"/>
        <w:keepNext w:val="0"/>
        <w:keepLines w:val="0"/>
        <w:pageBreakBefore w:val="0"/>
        <w:widowControl w:val="0"/>
        <w:kinsoku/>
        <w:wordWrap/>
        <w:overflowPunct/>
        <w:topLinePunct w:val="0"/>
        <w:bidi w:val="0"/>
        <w:adjustRightInd/>
        <w:snapToGrid/>
        <w:spacing w:after="0" w:line="560" w:lineRule="exact"/>
        <w:textAlignment w:val="auto"/>
        <w:rPr>
          <w:rFonts w:hint="eastAsia" w:ascii="宋体" w:hAnsi="宋体" w:eastAsia="宋体" w:cs="宋体"/>
          <w:color w:val="000000" w:themeColor="text1"/>
          <w:kern w:val="0"/>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致：</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sz w:val="28"/>
          <w:szCs w:val="28"/>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8"/>
          <w:szCs w:val="28"/>
          <w:highlight w:val="none"/>
          <w:u w:val="single"/>
          <w14:textFill>
            <w14:solidFill>
              <w14:schemeClr w14:val="tx1"/>
            </w14:solidFill>
          </w14:textFill>
        </w:rPr>
        <w:t xml:space="preserve">（采购人名称） </w:t>
      </w:r>
    </w:p>
    <w:p w14:paraId="7E091474">
      <w:pPr>
        <w:keepNext w:val="0"/>
        <w:keepLines w:val="0"/>
        <w:pageBreakBefore w:val="0"/>
        <w:widowControl w:val="0"/>
        <w:kinsoku/>
        <w:wordWrap/>
        <w:overflowPunct/>
        <w:topLinePunct w:val="0"/>
        <w:bidi w:val="0"/>
        <w:adjustRightInd/>
        <w:snapToGrid/>
        <w:spacing w:line="560" w:lineRule="exact"/>
        <w:ind w:left="0" w:leftChars="0" w:firstLine="560" w:firstLineChars="200"/>
        <w:textAlignment w:val="auto"/>
        <w:rPr>
          <w:rFonts w:hint="eastAsia" w:ascii="宋体" w:hAnsi="宋体" w:eastAsia="宋体" w:cs="宋体"/>
          <w:color w:val="000000" w:themeColor="text1"/>
          <w:kern w:val="0"/>
          <w:sz w:val="28"/>
          <w:szCs w:val="28"/>
          <w:highlight w:val="none"/>
          <w14:textFill>
            <w14:solidFill>
              <w14:schemeClr w14:val="tx1"/>
            </w14:solidFill>
          </w14:textFill>
        </w:rPr>
      </w:pPr>
      <w:r>
        <w:rPr>
          <w:rFonts w:hint="eastAsia" w:ascii="宋体" w:hAnsi="宋体" w:eastAsia="宋体" w:cs="宋体"/>
          <w:color w:val="000000" w:themeColor="text1"/>
          <w:kern w:val="0"/>
          <w:sz w:val="28"/>
          <w:szCs w:val="28"/>
          <w:highlight w:val="none"/>
          <w14:textFill>
            <w14:solidFill>
              <w14:schemeClr w14:val="tx1"/>
            </w14:solidFill>
          </w14:textFill>
        </w:rPr>
        <w:t>在</w:t>
      </w:r>
      <w:r>
        <w:rPr>
          <w:rFonts w:hint="eastAsia" w:ascii="宋体" w:hAnsi="宋体" w:eastAsia="宋体" w:cs="宋体"/>
          <w:color w:val="000000" w:themeColor="text1"/>
          <w:kern w:val="0"/>
          <w:sz w:val="28"/>
          <w:szCs w:val="28"/>
          <w:highlight w:val="none"/>
          <w:u w:val="single"/>
          <w:lang w:val="en-US" w:eastAsia="zh-CN"/>
          <w14:textFill>
            <w14:solidFill>
              <w14:schemeClr w14:val="tx1"/>
            </w14:solidFill>
          </w14:textFill>
        </w:rPr>
        <w:t xml:space="preserve">            </w:t>
      </w:r>
      <w:r>
        <w:rPr>
          <w:rFonts w:hint="eastAsia" w:ascii="宋体" w:hAnsi="宋体" w:cs="宋体"/>
          <w:color w:val="000000" w:themeColor="text1"/>
          <w:kern w:val="0"/>
          <w:sz w:val="28"/>
          <w:szCs w:val="28"/>
          <w:highlight w:val="none"/>
          <w:u w:val="single"/>
          <w:lang w:val="en-US" w:eastAsia="zh-CN"/>
          <w14:textFill>
            <w14:solidFill>
              <w14:schemeClr w14:val="tx1"/>
            </w14:solidFill>
          </w14:textFill>
        </w:rPr>
        <w:t>（</w:t>
      </w:r>
      <w:r>
        <w:rPr>
          <w:rFonts w:hint="eastAsia" w:ascii="宋体" w:hAnsi="宋体" w:eastAsia="宋体" w:cs="宋体"/>
          <w:color w:val="000000" w:themeColor="text1"/>
          <w:kern w:val="0"/>
          <w:sz w:val="28"/>
          <w:szCs w:val="28"/>
          <w:highlight w:val="none"/>
          <w:u w:val="single"/>
          <w14:textFill>
            <w14:solidFill>
              <w14:schemeClr w14:val="tx1"/>
            </w14:solidFill>
          </w14:textFill>
        </w:rPr>
        <w:t>项目名称</w:t>
      </w:r>
      <w:r>
        <w:rPr>
          <w:rFonts w:hint="eastAsia" w:ascii="宋体" w:hAnsi="宋体" w:cs="宋体"/>
          <w:color w:val="000000" w:themeColor="text1"/>
          <w:kern w:val="0"/>
          <w:sz w:val="28"/>
          <w:szCs w:val="28"/>
          <w:highlight w:val="none"/>
          <w:u w:val="single"/>
          <w:lang w:eastAsia="zh-CN"/>
          <w14:textFill>
            <w14:solidFill>
              <w14:schemeClr w14:val="tx1"/>
            </w14:solidFill>
          </w14:textFill>
        </w:rPr>
        <w:t>、</w:t>
      </w:r>
      <w:r>
        <w:rPr>
          <w:rFonts w:hint="eastAsia" w:ascii="宋体" w:hAnsi="宋体" w:cs="宋体"/>
          <w:color w:val="000000" w:themeColor="text1"/>
          <w:kern w:val="0"/>
          <w:sz w:val="28"/>
          <w:szCs w:val="28"/>
          <w:highlight w:val="none"/>
          <w:u w:val="single"/>
          <w:lang w:val="en-US" w:eastAsia="zh-CN"/>
          <w14:textFill>
            <w14:solidFill>
              <w14:schemeClr w14:val="tx1"/>
            </w14:solidFill>
          </w14:textFill>
        </w:rPr>
        <w:t>项目编号、标项名称）</w:t>
      </w:r>
      <w:r>
        <w:rPr>
          <w:rFonts w:hint="eastAsia" w:ascii="宋体" w:hAnsi="宋体" w:eastAsia="宋体" w:cs="宋体"/>
          <w:color w:val="000000" w:themeColor="text1"/>
          <w:kern w:val="0"/>
          <w:sz w:val="28"/>
          <w:szCs w:val="28"/>
          <w:highlight w:val="none"/>
          <w14:textFill>
            <w14:solidFill>
              <w14:schemeClr w14:val="tx1"/>
            </w14:solidFill>
          </w14:textFill>
        </w:rPr>
        <w:t>，我公司在完全理解本项目招标的技术要求、商务条款及其他内容后，决定参与该项目的投标活动。并承诺，如中标，我公司将提供足够的设备和专业技术能力保证本合同履行。</w:t>
      </w:r>
    </w:p>
    <w:p w14:paraId="7294F564">
      <w:pPr>
        <w:keepNext w:val="0"/>
        <w:keepLines w:val="0"/>
        <w:pageBreakBefore w:val="0"/>
        <w:widowControl w:val="0"/>
        <w:kinsoku/>
        <w:wordWrap/>
        <w:overflowPunct/>
        <w:topLinePunct w:val="0"/>
        <w:bidi w:val="0"/>
        <w:adjustRightInd/>
        <w:snapToGrid/>
        <w:spacing w:line="560" w:lineRule="exact"/>
        <w:ind w:left="0" w:leftChars="0" w:firstLine="560" w:firstLineChars="200"/>
        <w:textAlignment w:val="auto"/>
        <w:rPr>
          <w:rFonts w:hint="eastAsia" w:ascii="宋体" w:hAnsi="宋体" w:eastAsia="宋体" w:cs="宋体"/>
          <w:color w:val="000000" w:themeColor="text1"/>
          <w:kern w:val="0"/>
          <w:sz w:val="28"/>
          <w:szCs w:val="28"/>
          <w:highlight w:val="none"/>
          <w14:textFill>
            <w14:solidFill>
              <w14:schemeClr w14:val="tx1"/>
            </w14:solidFill>
          </w14:textFill>
        </w:rPr>
      </w:pPr>
      <w:r>
        <w:rPr>
          <w:rFonts w:hint="eastAsia" w:ascii="宋体" w:hAnsi="宋体" w:eastAsia="宋体" w:cs="宋体"/>
          <w:color w:val="000000" w:themeColor="text1"/>
          <w:kern w:val="0"/>
          <w:sz w:val="28"/>
          <w:szCs w:val="28"/>
          <w:highlight w:val="none"/>
          <w14:textFill>
            <w14:solidFill>
              <w14:schemeClr w14:val="tx1"/>
            </w14:solidFill>
          </w14:textFill>
        </w:rPr>
        <w:t>本公司对上述承诺的真实性负责。如有虚假，我公司同意按我方合同违约处理并依法承担相应法律责任。</w:t>
      </w:r>
    </w:p>
    <w:p w14:paraId="2FB239A1">
      <w:pPr>
        <w:keepNext w:val="0"/>
        <w:keepLines w:val="0"/>
        <w:pageBreakBefore w:val="0"/>
        <w:widowControl w:val="0"/>
        <w:kinsoku/>
        <w:wordWrap/>
        <w:overflowPunct/>
        <w:topLinePunct w:val="0"/>
        <w:bidi w:val="0"/>
        <w:adjustRightInd/>
        <w:snapToGrid/>
        <w:spacing w:line="560" w:lineRule="exact"/>
        <w:ind w:left="0" w:leftChars="0" w:firstLine="560" w:firstLineChars="200"/>
        <w:textAlignment w:val="auto"/>
        <w:rPr>
          <w:rFonts w:hint="eastAsia" w:ascii="宋体" w:hAnsi="宋体" w:eastAsia="宋体" w:cs="宋体"/>
          <w:color w:val="000000" w:themeColor="text1"/>
          <w:sz w:val="28"/>
          <w:szCs w:val="28"/>
          <w:highlight w:val="none"/>
          <w14:textFill>
            <w14:solidFill>
              <w14:schemeClr w14:val="tx1"/>
            </w14:solidFill>
          </w14:textFill>
        </w:rPr>
      </w:pPr>
    </w:p>
    <w:p w14:paraId="64CC2D91">
      <w:pPr>
        <w:keepNext w:val="0"/>
        <w:keepLines w:val="0"/>
        <w:pageBreakBefore w:val="0"/>
        <w:widowControl w:val="0"/>
        <w:kinsoku/>
        <w:wordWrap/>
        <w:overflowPunct/>
        <w:topLinePunct w:val="0"/>
        <w:bidi w:val="0"/>
        <w:adjustRightInd/>
        <w:snapToGrid/>
        <w:spacing w:line="560" w:lineRule="exact"/>
        <w:ind w:left="0" w:leftChars="0" w:firstLine="560" w:firstLineChars="200"/>
        <w:textAlignment w:val="auto"/>
        <w:rPr>
          <w:rFonts w:hint="eastAsia" w:ascii="宋体" w:hAnsi="宋体" w:eastAsia="宋体" w:cs="宋体"/>
          <w:color w:val="000000" w:themeColor="text1"/>
          <w:sz w:val="28"/>
          <w:szCs w:val="28"/>
          <w:highlight w:val="none"/>
          <w14:textFill>
            <w14:solidFill>
              <w14:schemeClr w14:val="tx1"/>
            </w14:solidFill>
          </w14:textFill>
        </w:rPr>
      </w:pPr>
    </w:p>
    <w:p w14:paraId="202EB403">
      <w:pPr>
        <w:keepNext w:val="0"/>
        <w:keepLines w:val="0"/>
        <w:pageBreakBefore w:val="0"/>
        <w:widowControl w:val="0"/>
        <w:kinsoku/>
        <w:wordWrap/>
        <w:overflowPunct/>
        <w:topLinePunct w:val="0"/>
        <w:autoSpaceDE w:val="0"/>
        <w:autoSpaceDN w:val="0"/>
        <w:bidi w:val="0"/>
        <w:adjustRightInd/>
        <w:snapToGrid/>
        <w:spacing w:line="560" w:lineRule="exact"/>
        <w:ind w:left="0" w:leftChars="0" w:firstLine="560" w:firstLineChars="200"/>
        <w:jc w:val="center"/>
        <w:textAlignment w:val="auto"/>
        <w:rPr>
          <w:rFonts w:hint="default" w:ascii="宋体" w:hAnsi="宋体" w:eastAsia="宋体" w:cs="宋体"/>
          <w:color w:val="000000" w:themeColor="text1"/>
          <w:kern w:val="0"/>
          <w:sz w:val="28"/>
          <w:szCs w:val="28"/>
          <w:highlight w:val="none"/>
          <w:u w:val="single"/>
          <w:lang w:val="en-US" w:eastAsia="zh-CN"/>
          <w14:textFill>
            <w14:solidFill>
              <w14:schemeClr w14:val="tx1"/>
            </w14:solidFill>
          </w14:textFill>
        </w:rPr>
      </w:pPr>
      <w:r>
        <w:rPr>
          <w:rFonts w:hint="eastAsia" w:ascii="宋体" w:hAnsi="宋体" w:eastAsia="宋体" w:cs="宋体"/>
          <w:color w:val="000000" w:themeColor="text1"/>
          <w:kern w:val="0"/>
          <w:sz w:val="28"/>
          <w:szCs w:val="28"/>
          <w:highlight w:val="none"/>
          <w:lang w:val="en-US" w:eastAsia="zh-CN"/>
          <w14:textFill>
            <w14:solidFill>
              <w14:schemeClr w14:val="tx1"/>
            </w14:solidFill>
          </w14:textFill>
        </w:rPr>
        <w:t xml:space="preserve">                  </w:t>
      </w:r>
      <w:r>
        <w:rPr>
          <w:rFonts w:hint="eastAsia" w:ascii="宋体" w:hAnsi="宋体" w:eastAsia="宋体" w:cs="宋体"/>
          <w:color w:val="000000" w:themeColor="text1"/>
          <w:kern w:val="0"/>
          <w:sz w:val="28"/>
          <w:szCs w:val="28"/>
          <w:highlight w:val="none"/>
          <w14:textFill>
            <w14:solidFill>
              <w14:schemeClr w14:val="tx1"/>
            </w14:solidFill>
          </w14:textFill>
        </w:rPr>
        <w:t>供应商名称（电子公章）：</w:t>
      </w:r>
      <w:r>
        <w:rPr>
          <w:rFonts w:hint="eastAsia" w:ascii="宋体" w:hAnsi="宋体" w:cs="宋体"/>
          <w:color w:val="000000" w:themeColor="text1"/>
          <w:kern w:val="0"/>
          <w:sz w:val="28"/>
          <w:szCs w:val="28"/>
          <w:highlight w:val="none"/>
          <w:lang w:val="en-US" w:eastAsia="zh-CN"/>
          <w14:textFill>
            <w14:solidFill>
              <w14:schemeClr w14:val="tx1"/>
            </w14:solidFill>
          </w14:textFill>
        </w:rPr>
        <w:t xml:space="preserve"> </w:t>
      </w:r>
      <w:r>
        <w:rPr>
          <w:rFonts w:hint="eastAsia" w:ascii="宋体" w:hAnsi="宋体" w:cs="宋体"/>
          <w:color w:val="000000" w:themeColor="text1"/>
          <w:kern w:val="0"/>
          <w:sz w:val="28"/>
          <w:szCs w:val="28"/>
          <w:highlight w:val="none"/>
          <w:u w:val="single"/>
          <w:lang w:val="en-US" w:eastAsia="zh-CN"/>
          <w14:textFill>
            <w14:solidFill>
              <w14:schemeClr w14:val="tx1"/>
            </w14:solidFill>
          </w14:textFill>
        </w:rPr>
        <w:t xml:space="preserve">        </w:t>
      </w:r>
    </w:p>
    <w:p w14:paraId="39F72444">
      <w:pPr>
        <w:pStyle w:val="163"/>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宋体" w:hAnsi="宋体" w:eastAsia="宋体" w:cs="宋体"/>
          <w:color w:val="000000" w:themeColor="text1"/>
          <w:kern w:val="0"/>
          <w:sz w:val="28"/>
          <w:szCs w:val="28"/>
          <w:highlight w:val="none"/>
          <w:lang w:val="en-US" w:eastAsia="zh-CN"/>
          <w14:textFill>
            <w14:solidFill>
              <w14:schemeClr w14:val="tx1"/>
            </w14:solidFill>
          </w14:textFill>
        </w:rPr>
      </w:pPr>
      <w:r>
        <w:rPr>
          <w:rFonts w:hint="eastAsia" w:ascii="宋体" w:hAnsi="宋体" w:eastAsia="宋体" w:cs="宋体"/>
          <w:color w:val="000000" w:themeColor="text1"/>
          <w:kern w:val="0"/>
          <w:sz w:val="28"/>
          <w:szCs w:val="28"/>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法定代表人或其委托代理人（签字</w:t>
      </w:r>
      <w:r>
        <w:rPr>
          <w:rFonts w:hint="eastAsia" w:ascii="宋体" w:hAnsi="宋体" w:cs="宋体"/>
          <w:color w:val="000000" w:themeColor="text1"/>
          <w:sz w:val="28"/>
          <w:szCs w:val="28"/>
          <w:highlight w:val="none"/>
          <w:lang w:eastAsia="zh-CN"/>
          <w14:textFill>
            <w14:solidFill>
              <w14:schemeClr w14:val="tx1"/>
            </w14:solidFill>
          </w14:textFill>
        </w:rPr>
        <w:t>或</w:t>
      </w:r>
      <w:r>
        <w:rPr>
          <w:rFonts w:hint="eastAsia" w:ascii="宋体" w:hAnsi="宋体" w:eastAsia="宋体" w:cs="宋体"/>
          <w:color w:val="000000" w:themeColor="text1"/>
          <w:sz w:val="28"/>
          <w:szCs w:val="28"/>
          <w:highlight w:val="none"/>
          <w14:textFill>
            <w14:solidFill>
              <w14:schemeClr w14:val="tx1"/>
            </w14:solidFill>
          </w14:textFill>
        </w:rPr>
        <w:t>盖章）：</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r>
        <w:rPr>
          <w:rFonts w:hint="eastAsia" w:ascii="宋体" w:hAnsi="宋体" w:cs="宋体"/>
          <w:color w:val="000000" w:themeColor="text1"/>
          <w:sz w:val="28"/>
          <w:szCs w:val="28"/>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kern w:val="0"/>
          <w:sz w:val="28"/>
          <w:szCs w:val="28"/>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8"/>
          <w:szCs w:val="28"/>
          <w:highlight w:val="none"/>
          <w:lang w:val="en-US" w:eastAsia="zh-CN"/>
          <w14:textFill>
            <w14:solidFill>
              <w14:schemeClr w14:val="tx1"/>
            </w14:solidFill>
          </w14:textFill>
        </w:rPr>
        <w:t xml:space="preserve">                       </w:t>
      </w:r>
    </w:p>
    <w:p w14:paraId="0F8F0363">
      <w:pPr>
        <w:keepNext w:val="0"/>
        <w:keepLines w:val="0"/>
        <w:pageBreakBefore w:val="0"/>
        <w:widowControl w:val="0"/>
        <w:kinsoku/>
        <w:wordWrap/>
        <w:overflowPunct/>
        <w:topLinePunct w:val="0"/>
        <w:autoSpaceDE w:val="0"/>
        <w:autoSpaceDN w:val="0"/>
        <w:bidi w:val="0"/>
        <w:adjustRightInd/>
        <w:snapToGrid/>
        <w:spacing w:line="560" w:lineRule="exact"/>
        <w:ind w:left="0" w:leftChars="0" w:firstLine="560" w:firstLineChars="200"/>
        <w:jc w:val="center"/>
        <w:textAlignment w:val="auto"/>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lang w:val="en-US" w:eastAsia="zh-CN"/>
          <w14:textFill>
            <w14:solidFill>
              <w14:schemeClr w14:val="tx1"/>
            </w14:solidFill>
          </w14:textFill>
        </w:rPr>
        <w:t xml:space="preserve">            </w:t>
      </w:r>
      <w:r>
        <w:rPr>
          <w:rFonts w:hint="eastAsia" w:ascii="宋体" w:hAnsi="宋体" w:eastAsia="宋体" w:cs="宋体"/>
          <w:color w:val="000000" w:themeColor="text1"/>
          <w:kern w:val="0"/>
          <w:sz w:val="28"/>
          <w:szCs w:val="28"/>
          <w:highlight w:val="none"/>
          <w:lang w:val="zh-CN"/>
          <w14:textFill>
            <w14:solidFill>
              <w14:schemeClr w14:val="tx1"/>
            </w14:solidFill>
          </w14:textFill>
        </w:rPr>
        <w:t xml:space="preserve">日期： </w:t>
      </w:r>
      <w:r>
        <w:rPr>
          <w:rFonts w:hint="eastAsia" w:ascii="宋体" w:hAnsi="宋体" w:eastAsia="宋体" w:cs="宋体"/>
          <w:color w:val="000000" w:themeColor="text1"/>
          <w:kern w:val="0"/>
          <w:sz w:val="28"/>
          <w:szCs w:val="28"/>
          <w:highlight w:val="none"/>
          <w:u w:val="single"/>
          <w:lang w:val="zh-CN"/>
          <w14:textFill>
            <w14:solidFill>
              <w14:schemeClr w14:val="tx1"/>
            </w14:solidFill>
          </w14:textFill>
        </w:rPr>
        <w:t xml:space="preserve"> </w:t>
      </w:r>
      <w:r>
        <w:rPr>
          <w:rFonts w:hint="eastAsia" w:ascii="宋体" w:hAnsi="宋体" w:cs="宋体"/>
          <w:color w:val="000000" w:themeColor="text1"/>
          <w:kern w:val="0"/>
          <w:sz w:val="28"/>
          <w:szCs w:val="28"/>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8"/>
          <w:szCs w:val="28"/>
          <w:highlight w:val="none"/>
          <w:lang w:val="zh-CN"/>
          <w14:textFill>
            <w14:solidFill>
              <w14:schemeClr w14:val="tx1"/>
            </w14:solidFill>
          </w14:textFill>
        </w:rPr>
        <w:t>年</w:t>
      </w:r>
      <w:r>
        <w:rPr>
          <w:rFonts w:hint="eastAsia" w:ascii="宋体" w:hAnsi="宋体" w:cs="宋体"/>
          <w:color w:val="000000" w:themeColor="text1"/>
          <w:kern w:val="0"/>
          <w:sz w:val="28"/>
          <w:szCs w:val="28"/>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8"/>
          <w:szCs w:val="28"/>
          <w:highlight w:val="none"/>
          <w:u w:val="single"/>
          <w:lang w:val="zh-CN"/>
          <w14:textFill>
            <w14:solidFill>
              <w14:schemeClr w14:val="tx1"/>
            </w14:solidFill>
          </w14:textFill>
        </w:rPr>
        <w:t xml:space="preserve"> </w:t>
      </w:r>
      <w:r>
        <w:rPr>
          <w:rFonts w:hint="eastAsia" w:ascii="宋体" w:hAnsi="宋体" w:cs="宋体"/>
          <w:color w:val="000000" w:themeColor="text1"/>
          <w:kern w:val="0"/>
          <w:sz w:val="28"/>
          <w:szCs w:val="28"/>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8"/>
          <w:szCs w:val="28"/>
          <w:highlight w:val="none"/>
          <w:u w:val="single"/>
          <w:lang w:val="zh-CN"/>
          <w14:textFill>
            <w14:solidFill>
              <w14:schemeClr w14:val="tx1"/>
            </w14:solidFill>
          </w14:textFill>
        </w:rPr>
        <w:t xml:space="preserve"> </w:t>
      </w:r>
      <w:r>
        <w:rPr>
          <w:rFonts w:hint="eastAsia" w:ascii="宋体" w:hAnsi="宋体" w:eastAsia="宋体" w:cs="宋体"/>
          <w:color w:val="000000" w:themeColor="text1"/>
          <w:kern w:val="0"/>
          <w:sz w:val="28"/>
          <w:szCs w:val="28"/>
          <w:highlight w:val="none"/>
          <w:lang w:val="zh-CN"/>
          <w14:textFill>
            <w14:solidFill>
              <w14:schemeClr w14:val="tx1"/>
            </w14:solidFill>
          </w14:textFill>
        </w:rPr>
        <w:t>月</w:t>
      </w:r>
      <w:r>
        <w:rPr>
          <w:rFonts w:hint="eastAsia" w:ascii="宋体" w:hAnsi="宋体" w:eastAsia="宋体" w:cs="宋体"/>
          <w:color w:val="000000" w:themeColor="text1"/>
          <w:kern w:val="0"/>
          <w:sz w:val="28"/>
          <w:szCs w:val="28"/>
          <w:highlight w:val="none"/>
          <w:u w:val="single"/>
          <w:lang w:val="zh-CN"/>
          <w14:textFill>
            <w14:solidFill>
              <w14:schemeClr w14:val="tx1"/>
            </w14:solidFill>
          </w14:textFill>
        </w:rPr>
        <w:t xml:space="preserve">   </w:t>
      </w:r>
      <w:r>
        <w:rPr>
          <w:rFonts w:hint="eastAsia" w:ascii="宋体" w:hAnsi="宋体" w:cs="宋体"/>
          <w:color w:val="000000" w:themeColor="text1"/>
          <w:kern w:val="0"/>
          <w:sz w:val="28"/>
          <w:szCs w:val="28"/>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8"/>
          <w:szCs w:val="28"/>
          <w:highlight w:val="none"/>
          <w:lang w:val="zh-CN"/>
          <w14:textFill>
            <w14:solidFill>
              <w14:schemeClr w14:val="tx1"/>
            </w14:solidFill>
          </w14:textFill>
        </w:rPr>
        <w:t>日</w:t>
      </w:r>
    </w:p>
    <w:p w14:paraId="489349C6">
      <w:pPr>
        <w:keepNext w:val="0"/>
        <w:keepLines w:val="0"/>
        <w:pageBreakBefore w:val="0"/>
        <w:kinsoku/>
        <w:wordWrap/>
        <w:overflowPunct/>
        <w:topLinePunct w:val="0"/>
        <w:autoSpaceDE/>
        <w:autoSpaceDN/>
        <w:bidi w:val="0"/>
        <w:adjustRightInd/>
        <w:snapToGrid/>
        <w:spacing w:before="165" w:beforeLines="50" w:after="50" w:line="560" w:lineRule="exact"/>
        <w:ind w:right="0" w:firstLine="0" w:firstLineChars="0"/>
        <w:jc w:val="both"/>
        <w:textAlignment w:val="auto"/>
        <w:rPr>
          <w:rFonts w:asciiTheme="minorEastAsia" w:hAnsiTheme="minorEastAsia" w:eastAsiaTheme="minorEastAsia"/>
          <w:b/>
          <w:color w:val="000000" w:themeColor="text1"/>
          <w:sz w:val="28"/>
          <w:szCs w:val="28"/>
          <w:highlight w:val="none"/>
          <w14:textFill>
            <w14:solidFill>
              <w14:schemeClr w14:val="tx1"/>
            </w14:solidFill>
          </w14:textFill>
        </w:rPr>
      </w:pPr>
    </w:p>
    <w:p w14:paraId="732E0412">
      <w:pPr>
        <w:keepNext w:val="0"/>
        <w:keepLines w:val="0"/>
        <w:pageBreakBefore w:val="0"/>
        <w:kinsoku/>
        <w:wordWrap/>
        <w:overflowPunct/>
        <w:topLinePunct w:val="0"/>
        <w:autoSpaceDE/>
        <w:autoSpaceDN/>
        <w:bidi w:val="0"/>
        <w:adjustRightInd/>
        <w:snapToGrid/>
        <w:spacing w:before="165" w:beforeLines="50" w:after="50" w:line="560" w:lineRule="exact"/>
        <w:ind w:right="0" w:firstLine="0" w:firstLineChars="0"/>
        <w:jc w:val="both"/>
        <w:textAlignment w:val="auto"/>
        <w:rPr>
          <w:rFonts w:asciiTheme="minorEastAsia" w:hAnsiTheme="minorEastAsia" w:eastAsiaTheme="minorEastAsia"/>
          <w:b/>
          <w:color w:val="000000" w:themeColor="text1"/>
          <w:sz w:val="28"/>
          <w:szCs w:val="28"/>
          <w:highlight w:val="none"/>
          <w14:textFill>
            <w14:solidFill>
              <w14:schemeClr w14:val="tx1"/>
            </w14:solidFill>
          </w14:textFill>
        </w:rPr>
      </w:pPr>
    </w:p>
    <w:p w14:paraId="05539662">
      <w:pPr>
        <w:keepNext w:val="0"/>
        <w:keepLines w:val="0"/>
        <w:pageBreakBefore w:val="0"/>
        <w:kinsoku/>
        <w:wordWrap/>
        <w:overflowPunct/>
        <w:topLinePunct w:val="0"/>
        <w:autoSpaceDE/>
        <w:autoSpaceDN/>
        <w:bidi w:val="0"/>
        <w:adjustRightInd/>
        <w:snapToGrid/>
        <w:spacing w:before="165" w:beforeLines="50" w:after="50" w:line="560" w:lineRule="exact"/>
        <w:ind w:right="0" w:firstLine="0" w:firstLineChars="0"/>
        <w:jc w:val="both"/>
        <w:textAlignment w:val="auto"/>
        <w:rPr>
          <w:rFonts w:asciiTheme="minorEastAsia" w:hAnsiTheme="minorEastAsia" w:eastAsiaTheme="minorEastAsia"/>
          <w:b/>
          <w:color w:val="000000" w:themeColor="text1"/>
          <w:sz w:val="28"/>
          <w:szCs w:val="28"/>
          <w:highlight w:val="none"/>
          <w14:textFill>
            <w14:solidFill>
              <w14:schemeClr w14:val="tx1"/>
            </w14:solidFill>
          </w14:textFill>
        </w:rPr>
      </w:pPr>
    </w:p>
    <w:p w14:paraId="24FE1A00">
      <w:pPr>
        <w:keepNext w:val="0"/>
        <w:keepLines w:val="0"/>
        <w:pageBreakBefore w:val="0"/>
        <w:kinsoku/>
        <w:wordWrap/>
        <w:overflowPunct/>
        <w:topLinePunct w:val="0"/>
        <w:autoSpaceDE/>
        <w:autoSpaceDN/>
        <w:bidi w:val="0"/>
        <w:adjustRightInd/>
        <w:snapToGrid/>
        <w:spacing w:before="165" w:beforeLines="50" w:after="50" w:line="560" w:lineRule="exact"/>
        <w:ind w:right="0" w:firstLine="0" w:firstLineChars="0"/>
        <w:jc w:val="both"/>
        <w:textAlignment w:val="auto"/>
        <w:rPr>
          <w:rFonts w:asciiTheme="minorEastAsia" w:hAnsiTheme="minorEastAsia" w:eastAsiaTheme="minorEastAsia"/>
          <w:b/>
          <w:color w:val="000000" w:themeColor="text1"/>
          <w:sz w:val="28"/>
          <w:szCs w:val="28"/>
          <w:highlight w:val="none"/>
          <w14:textFill>
            <w14:solidFill>
              <w14:schemeClr w14:val="tx1"/>
            </w14:solidFill>
          </w14:textFill>
        </w:rPr>
      </w:pPr>
    </w:p>
    <w:p w14:paraId="29BEA38F">
      <w:pPr>
        <w:keepNext w:val="0"/>
        <w:keepLines w:val="0"/>
        <w:pageBreakBefore w:val="0"/>
        <w:kinsoku/>
        <w:wordWrap/>
        <w:overflowPunct/>
        <w:topLinePunct w:val="0"/>
        <w:autoSpaceDE/>
        <w:autoSpaceDN/>
        <w:bidi w:val="0"/>
        <w:adjustRightInd/>
        <w:snapToGrid/>
        <w:spacing w:before="165" w:beforeLines="50" w:after="50" w:line="560" w:lineRule="exact"/>
        <w:ind w:right="0" w:firstLine="0" w:firstLineChars="0"/>
        <w:jc w:val="both"/>
        <w:textAlignment w:val="auto"/>
        <w:rPr>
          <w:rFonts w:asciiTheme="minorEastAsia" w:hAnsiTheme="minorEastAsia" w:eastAsiaTheme="minorEastAsia"/>
          <w:b/>
          <w:color w:val="000000" w:themeColor="text1"/>
          <w:sz w:val="28"/>
          <w:szCs w:val="28"/>
          <w:highlight w:val="none"/>
          <w14:textFill>
            <w14:solidFill>
              <w14:schemeClr w14:val="tx1"/>
            </w14:solidFill>
          </w14:textFill>
        </w:rPr>
      </w:pPr>
    </w:p>
    <w:p w14:paraId="3AF350F4">
      <w:pPr>
        <w:keepNext w:val="0"/>
        <w:keepLines w:val="0"/>
        <w:pageBreakBefore w:val="0"/>
        <w:kinsoku/>
        <w:wordWrap/>
        <w:overflowPunct/>
        <w:topLinePunct w:val="0"/>
        <w:autoSpaceDE/>
        <w:autoSpaceDN/>
        <w:bidi w:val="0"/>
        <w:adjustRightInd/>
        <w:snapToGrid/>
        <w:spacing w:before="165" w:beforeLines="50" w:after="50" w:line="560" w:lineRule="exact"/>
        <w:ind w:right="0" w:firstLine="0" w:firstLineChars="0"/>
        <w:jc w:val="both"/>
        <w:textAlignment w:val="auto"/>
        <w:rPr>
          <w:rFonts w:asciiTheme="minorEastAsia" w:hAnsiTheme="minorEastAsia" w:eastAsiaTheme="minorEastAsia"/>
          <w:b/>
          <w:color w:val="000000" w:themeColor="text1"/>
          <w:sz w:val="28"/>
          <w:szCs w:val="28"/>
          <w:highlight w:val="none"/>
          <w14:textFill>
            <w14:solidFill>
              <w14:schemeClr w14:val="tx1"/>
            </w14:solidFill>
          </w14:textFill>
        </w:rPr>
      </w:pPr>
    </w:p>
    <w:p w14:paraId="18E95682">
      <w:pPr>
        <w:keepNext w:val="0"/>
        <w:keepLines w:val="0"/>
        <w:pageBreakBefore w:val="0"/>
        <w:kinsoku/>
        <w:wordWrap/>
        <w:overflowPunct/>
        <w:topLinePunct w:val="0"/>
        <w:autoSpaceDE/>
        <w:autoSpaceDN/>
        <w:bidi w:val="0"/>
        <w:adjustRightInd/>
        <w:snapToGrid/>
        <w:spacing w:before="165" w:beforeLines="50" w:after="50" w:line="560" w:lineRule="exact"/>
        <w:ind w:right="0" w:firstLine="0" w:firstLineChars="0"/>
        <w:jc w:val="both"/>
        <w:textAlignment w:val="auto"/>
        <w:rPr>
          <w:rFonts w:asciiTheme="minorEastAsia" w:hAnsiTheme="minorEastAsia" w:eastAsiaTheme="minorEastAsia"/>
          <w:b/>
          <w:color w:val="000000" w:themeColor="text1"/>
          <w:sz w:val="28"/>
          <w:szCs w:val="28"/>
          <w:highlight w:val="none"/>
          <w14:textFill>
            <w14:solidFill>
              <w14:schemeClr w14:val="tx1"/>
            </w14:solidFill>
          </w14:textFill>
        </w:rPr>
      </w:pPr>
    </w:p>
    <w:p w14:paraId="0F130154">
      <w:pPr>
        <w:keepNext w:val="0"/>
        <w:keepLines w:val="0"/>
        <w:pageBreakBefore w:val="0"/>
        <w:kinsoku/>
        <w:wordWrap/>
        <w:overflowPunct/>
        <w:topLinePunct w:val="0"/>
        <w:autoSpaceDE/>
        <w:autoSpaceDN/>
        <w:bidi w:val="0"/>
        <w:adjustRightInd/>
        <w:snapToGrid/>
        <w:spacing w:line="560" w:lineRule="exact"/>
        <w:ind w:right="0" w:firstLine="0" w:firstLineChars="0"/>
        <w:jc w:val="both"/>
        <w:textAlignment w:val="auto"/>
        <w:rPr>
          <w:rFonts w:hint="eastAsia" w:cs="仿宋_GB2312" w:asciiTheme="minorEastAsia" w:hAnsiTheme="minorEastAsia" w:eastAsiaTheme="minorEastAsia"/>
          <w:b/>
          <w:color w:val="000000" w:themeColor="text1"/>
          <w:kern w:val="0"/>
          <w:sz w:val="28"/>
          <w:szCs w:val="28"/>
          <w:highlight w:val="none"/>
          <w14:textFill>
            <w14:solidFill>
              <w14:schemeClr w14:val="tx1"/>
            </w14:solidFill>
          </w14:textFill>
        </w:rPr>
      </w:pPr>
    </w:p>
    <w:p w14:paraId="64C18606">
      <w:pPr>
        <w:keepNext w:val="0"/>
        <w:keepLines w:val="0"/>
        <w:pageBreakBefore w:val="0"/>
        <w:kinsoku/>
        <w:wordWrap/>
        <w:overflowPunct/>
        <w:topLinePunct w:val="0"/>
        <w:autoSpaceDE/>
        <w:autoSpaceDN/>
        <w:bidi w:val="0"/>
        <w:adjustRightInd/>
        <w:snapToGrid/>
        <w:spacing w:line="560" w:lineRule="exact"/>
        <w:ind w:right="0" w:firstLine="0" w:firstLineChars="0"/>
        <w:jc w:val="both"/>
        <w:textAlignment w:val="auto"/>
        <w:rPr>
          <w:rFonts w:hint="eastAsia" w:cs="仿宋_GB2312" w:asciiTheme="minorEastAsia" w:hAnsiTheme="minorEastAsia" w:eastAsiaTheme="minorEastAsia"/>
          <w:b/>
          <w:color w:val="000000" w:themeColor="text1"/>
          <w:kern w:val="0"/>
          <w:sz w:val="28"/>
          <w:szCs w:val="28"/>
          <w:highlight w:val="none"/>
          <w14:textFill>
            <w14:solidFill>
              <w14:schemeClr w14:val="tx1"/>
            </w14:solidFill>
          </w14:textFill>
        </w:rPr>
      </w:pPr>
    </w:p>
    <w:p w14:paraId="56DAFB9F">
      <w:pPr>
        <w:keepNext w:val="0"/>
        <w:keepLines w:val="0"/>
        <w:pageBreakBefore w:val="0"/>
        <w:kinsoku/>
        <w:wordWrap/>
        <w:overflowPunct/>
        <w:topLinePunct w:val="0"/>
        <w:autoSpaceDE/>
        <w:autoSpaceDN/>
        <w:bidi w:val="0"/>
        <w:adjustRightInd/>
        <w:snapToGrid/>
        <w:spacing w:line="560" w:lineRule="exact"/>
        <w:ind w:right="0" w:firstLine="0" w:firstLineChars="0"/>
        <w:jc w:val="both"/>
        <w:textAlignment w:val="auto"/>
        <w:rPr>
          <w:rFonts w:hint="eastAsia" w:cs="仿宋_GB2312" w:asciiTheme="minorEastAsia" w:hAnsiTheme="minorEastAsia" w:eastAsiaTheme="minorEastAsia"/>
          <w:b/>
          <w:color w:val="000000" w:themeColor="text1"/>
          <w:kern w:val="0"/>
          <w:sz w:val="28"/>
          <w:szCs w:val="28"/>
          <w:highlight w:val="none"/>
          <w14:textFill>
            <w14:solidFill>
              <w14:schemeClr w14:val="tx1"/>
            </w14:solidFill>
          </w14:textFill>
        </w:rPr>
      </w:pPr>
    </w:p>
    <w:p w14:paraId="7017B03B">
      <w:pPr>
        <w:keepNext w:val="0"/>
        <w:keepLines w:val="0"/>
        <w:pageBreakBefore w:val="0"/>
        <w:kinsoku/>
        <w:wordWrap/>
        <w:overflowPunct/>
        <w:topLinePunct w:val="0"/>
        <w:autoSpaceDE/>
        <w:autoSpaceDN/>
        <w:bidi w:val="0"/>
        <w:adjustRightInd/>
        <w:snapToGrid/>
        <w:spacing w:line="560" w:lineRule="exact"/>
        <w:ind w:right="0" w:firstLine="0" w:firstLineChars="0"/>
        <w:jc w:val="both"/>
        <w:textAlignment w:val="auto"/>
        <w:rPr>
          <w:rFonts w:asciiTheme="minorEastAsia" w:hAnsiTheme="minorEastAsia" w:eastAsiaTheme="minorEastAsia"/>
          <w:b/>
          <w:color w:val="000000" w:themeColor="text1"/>
          <w:sz w:val="28"/>
          <w:szCs w:val="28"/>
          <w:highlight w:val="none"/>
          <w14:textFill>
            <w14:solidFill>
              <w14:schemeClr w14:val="tx1"/>
            </w14:solidFill>
          </w14:textFill>
        </w:rPr>
      </w:pPr>
      <w:r>
        <w:rPr>
          <w:rFonts w:hint="eastAsia" w:cs="仿宋_GB2312" w:asciiTheme="minorEastAsia" w:hAnsiTheme="minorEastAsia" w:eastAsiaTheme="minorEastAsia"/>
          <w:b/>
          <w:color w:val="000000" w:themeColor="text1"/>
          <w:kern w:val="0"/>
          <w:sz w:val="28"/>
          <w:szCs w:val="28"/>
          <w:highlight w:val="none"/>
          <w14:textFill>
            <w14:solidFill>
              <w14:schemeClr w14:val="tx1"/>
            </w14:solidFill>
          </w14:textFill>
        </w:rPr>
        <w:t>四、提供参加本次政府采购活动前近半年任意一个月的依法缴纳税收和社会保障资金的相关材料</w:t>
      </w:r>
    </w:p>
    <w:p w14:paraId="79F81D55">
      <w:pPr>
        <w:keepNext w:val="0"/>
        <w:keepLines w:val="0"/>
        <w:pageBreakBefore w:val="0"/>
        <w:kinsoku/>
        <w:wordWrap/>
        <w:overflowPunct/>
        <w:topLinePunct w:val="0"/>
        <w:bidi w:val="0"/>
        <w:adjustRightInd/>
        <w:snapToGrid/>
        <w:spacing w:line="560" w:lineRule="exact"/>
        <w:ind w:left="0" w:leftChars="0" w:firstLine="0" w:firstLineChars="0"/>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附：企业近半年任意一个月</w:t>
      </w:r>
      <w:r>
        <w:rPr>
          <w:rFonts w:hint="eastAsia" w:ascii="宋体" w:hAnsi="宋体" w:cs="宋体"/>
          <w:color w:val="000000" w:themeColor="text1"/>
          <w:sz w:val="28"/>
          <w:szCs w:val="28"/>
          <w:highlight w:val="none"/>
          <w:lang w:val="en-US" w:eastAsia="zh-CN"/>
          <w14:textFill>
            <w14:solidFill>
              <w14:schemeClr w14:val="tx1"/>
            </w14:solidFill>
          </w14:textFill>
        </w:rPr>
        <w:t>的</w:t>
      </w:r>
      <w:r>
        <w:rPr>
          <w:rFonts w:hint="eastAsia" w:ascii="宋体" w:hAnsi="宋体" w:eastAsia="宋体" w:cs="宋体"/>
          <w:color w:val="000000" w:themeColor="text1"/>
          <w:sz w:val="28"/>
          <w:szCs w:val="28"/>
          <w:highlight w:val="none"/>
          <w14:textFill>
            <w14:solidFill>
              <w14:schemeClr w14:val="tx1"/>
            </w14:solidFill>
          </w14:textFill>
        </w:rPr>
        <w:t>依法缴纳税收证明和社会保障资金缴纳凭证</w:t>
      </w:r>
    </w:p>
    <w:p w14:paraId="7F3D8EE5">
      <w:pPr>
        <w:keepNext w:val="0"/>
        <w:keepLines w:val="0"/>
        <w:pageBreakBefore w:val="0"/>
        <w:kinsoku/>
        <w:wordWrap/>
        <w:overflowPunct/>
        <w:topLinePunct w:val="0"/>
        <w:autoSpaceDE/>
        <w:autoSpaceDN/>
        <w:bidi w:val="0"/>
        <w:adjustRightInd/>
        <w:snapToGrid/>
        <w:spacing w:line="560" w:lineRule="exact"/>
        <w:ind w:right="0" w:firstLine="0" w:firstLineChars="0"/>
        <w:jc w:val="both"/>
        <w:textAlignment w:val="auto"/>
        <w:rPr>
          <w:rFonts w:cs="仿宋_GB2312" w:asciiTheme="minorEastAsia" w:hAnsiTheme="minorEastAsia" w:eastAsiaTheme="minorEastAsia"/>
          <w:b/>
          <w:color w:val="000000" w:themeColor="text1"/>
          <w:kern w:val="0"/>
          <w:sz w:val="28"/>
          <w:szCs w:val="28"/>
          <w:highlight w:val="none"/>
          <w14:textFill>
            <w14:solidFill>
              <w14:schemeClr w14:val="tx1"/>
            </w14:solidFill>
          </w14:textFill>
        </w:rPr>
      </w:pPr>
    </w:p>
    <w:p w14:paraId="4B1DF216">
      <w:pPr>
        <w:keepNext w:val="0"/>
        <w:keepLines w:val="0"/>
        <w:pageBreakBefore w:val="0"/>
        <w:kinsoku/>
        <w:wordWrap/>
        <w:overflowPunct/>
        <w:topLinePunct w:val="0"/>
        <w:autoSpaceDE/>
        <w:autoSpaceDN/>
        <w:bidi w:val="0"/>
        <w:adjustRightInd/>
        <w:snapToGrid/>
        <w:spacing w:line="560" w:lineRule="exact"/>
        <w:ind w:right="0" w:firstLine="0" w:firstLineChars="0"/>
        <w:jc w:val="both"/>
        <w:textAlignment w:val="auto"/>
        <w:rPr>
          <w:rFonts w:cs="仿宋_GB2312" w:asciiTheme="minorEastAsia" w:hAnsiTheme="minorEastAsia" w:eastAsiaTheme="minorEastAsia"/>
          <w:b/>
          <w:color w:val="000000" w:themeColor="text1"/>
          <w:kern w:val="0"/>
          <w:sz w:val="28"/>
          <w:szCs w:val="28"/>
          <w:highlight w:val="none"/>
          <w14:textFill>
            <w14:solidFill>
              <w14:schemeClr w14:val="tx1"/>
            </w14:solidFill>
          </w14:textFill>
        </w:rPr>
      </w:pPr>
    </w:p>
    <w:p w14:paraId="6840FD98">
      <w:pPr>
        <w:keepNext w:val="0"/>
        <w:keepLines w:val="0"/>
        <w:pageBreakBefore w:val="0"/>
        <w:kinsoku/>
        <w:wordWrap/>
        <w:overflowPunct/>
        <w:topLinePunct w:val="0"/>
        <w:autoSpaceDE/>
        <w:autoSpaceDN/>
        <w:bidi w:val="0"/>
        <w:adjustRightInd/>
        <w:snapToGrid/>
        <w:spacing w:line="560" w:lineRule="exact"/>
        <w:ind w:right="0" w:firstLine="0" w:firstLineChars="0"/>
        <w:jc w:val="both"/>
        <w:textAlignment w:val="auto"/>
        <w:rPr>
          <w:rFonts w:cs="仿宋_GB2312" w:asciiTheme="minorEastAsia" w:hAnsiTheme="minorEastAsia" w:eastAsiaTheme="minorEastAsia"/>
          <w:b/>
          <w:color w:val="000000" w:themeColor="text1"/>
          <w:kern w:val="0"/>
          <w:sz w:val="28"/>
          <w:szCs w:val="28"/>
          <w:highlight w:val="none"/>
          <w14:textFill>
            <w14:solidFill>
              <w14:schemeClr w14:val="tx1"/>
            </w14:solidFill>
          </w14:textFill>
        </w:rPr>
      </w:pPr>
    </w:p>
    <w:p w14:paraId="35823281">
      <w:pPr>
        <w:keepNext w:val="0"/>
        <w:keepLines w:val="0"/>
        <w:pageBreakBefore w:val="0"/>
        <w:kinsoku/>
        <w:wordWrap/>
        <w:overflowPunct/>
        <w:topLinePunct w:val="0"/>
        <w:autoSpaceDE/>
        <w:autoSpaceDN/>
        <w:bidi w:val="0"/>
        <w:adjustRightInd/>
        <w:snapToGrid/>
        <w:spacing w:line="560" w:lineRule="exact"/>
        <w:ind w:right="0" w:firstLine="0" w:firstLineChars="0"/>
        <w:jc w:val="both"/>
        <w:textAlignment w:val="auto"/>
        <w:rPr>
          <w:rFonts w:cs="仿宋_GB2312" w:asciiTheme="minorEastAsia" w:hAnsiTheme="minorEastAsia" w:eastAsiaTheme="minorEastAsia"/>
          <w:b/>
          <w:color w:val="000000" w:themeColor="text1"/>
          <w:kern w:val="0"/>
          <w:sz w:val="28"/>
          <w:szCs w:val="28"/>
          <w:highlight w:val="none"/>
          <w14:textFill>
            <w14:solidFill>
              <w14:schemeClr w14:val="tx1"/>
            </w14:solidFill>
          </w14:textFill>
        </w:rPr>
      </w:pPr>
    </w:p>
    <w:p w14:paraId="4D5BF25F">
      <w:pPr>
        <w:keepNext w:val="0"/>
        <w:keepLines w:val="0"/>
        <w:pageBreakBefore w:val="0"/>
        <w:kinsoku/>
        <w:wordWrap/>
        <w:overflowPunct/>
        <w:topLinePunct w:val="0"/>
        <w:autoSpaceDE/>
        <w:autoSpaceDN/>
        <w:bidi w:val="0"/>
        <w:adjustRightInd/>
        <w:snapToGrid/>
        <w:spacing w:line="560" w:lineRule="exact"/>
        <w:ind w:right="0" w:firstLine="0" w:firstLineChars="0"/>
        <w:jc w:val="both"/>
        <w:textAlignment w:val="auto"/>
        <w:rPr>
          <w:rFonts w:cs="仿宋_GB2312" w:asciiTheme="minorEastAsia" w:hAnsiTheme="minorEastAsia" w:eastAsiaTheme="minorEastAsia"/>
          <w:b/>
          <w:color w:val="000000" w:themeColor="text1"/>
          <w:kern w:val="0"/>
          <w:sz w:val="28"/>
          <w:szCs w:val="28"/>
          <w:highlight w:val="none"/>
          <w14:textFill>
            <w14:solidFill>
              <w14:schemeClr w14:val="tx1"/>
            </w14:solidFill>
          </w14:textFill>
        </w:rPr>
      </w:pPr>
    </w:p>
    <w:p w14:paraId="7DFEA87F">
      <w:pPr>
        <w:keepNext w:val="0"/>
        <w:keepLines w:val="0"/>
        <w:pageBreakBefore w:val="0"/>
        <w:kinsoku/>
        <w:wordWrap/>
        <w:overflowPunct/>
        <w:topLinePunct w:val="0"/>
        <w:autoSpaceDE/>
        <w:autoSpaceDN/>
        <w:bidi w:val="0"/>
        <w:adjustRightInd/>
        <w:snapToGrid/>
        <w:spacing w:line="560" w:lineRule="exact"/>
        <w:ind w:right="0" w:firstLine="0" w:firstLineChars="0"/>
        <w:jc w:val="both"/>
        <w:textAlignment w:val="auto"/>
        <w:rPr>
          <w:rFonts w:cs="仿宋_GB2312" w:asciiTheme="minorEastAsia" w:hAnsiTheme="minorEastAsia" w:eastAsiaTheme="minorEastAsia"/>
          <w:b/>
          <w:color w:val="000000" w:themeColor="text1"/>
          <w:kern w:val="0"/>
          <w:sz w:val="28"/>
          <w:szCs w:val="28"/>
          <w:highlight w:val="none"/>
          <w14:textFill>
            <w14:solidFill>
              <w14:schemeClr w14:val="tx1"/>
            </w14:solidFill>
          </w14:textFill>
        </w:rPr>
      </w:pPr>
    </w:p>
    <w:p w14:paraId="4EAEC6B4">
      <w:pPr>
        <w:keepNext w:val="0"/>
        <w:keepLines w:val="0"/>
        <w:pageBreakBefore w:val="0"/>
        <w:kinsoku/>
        <w:wordWrap/>
        <w:overflowPunct/>
        <w:topLinePunct w:val="0"/>
        <w:autoSpaceDE/>
        <w:autoSpaceDN/>
        <w:bidi w:val="0"/>
        <w:adjustRightInd/>
        <w:snapToGrid/>
        <w:spacing w:line="560" w:lineRule="exact"/>
        <w:ind w:right="0" w:firstLine="0" w:firstLineChars="0"/>
        <w:jc w:val="both"/>
        <w:textAlignment w:val="auto"/>
        <w:rPr>
          <w:rFonts w:cs="仿宋_GB2312" w:asciiTheme="minorEastAsia" w:hAnsiTheme="minorEastAsia" w:eastAsiaTheme="minorEastAsia"/>
          <w:b/>
          <w:color w:val="000000" w:themeColor="text1"/>
          <w:kern w:val="0"/>
          <w:sz w:val="28"/>
          <w:szCs w:val="28"/>
          <w:highlight w:val="none"/>
          <w14:textFill>
            <w14:solidFill>
              <w14:schemeClr w14:val="tx1"/>
            </w14:solidFill>
          </w14:textFill>
        </w:rPr>
      </w:pPr>
    </w:p>
    <w:p w14:paraId="2C201DD4">
      <w:pPr>
        <w:keepNext w:val="0"/>
        <w:keepLines w:val="0"/>
        <w:pageBreakBefore w:val="0"/>
        <w:kinsoku/>
        <w:wordWrap/>
        <w:overflowPunct/>
        <w:topLinePunct w:val="0"/>
        <w:autoSpaceDE/>
        <w:autoSpaceDN/>
        <w:bidi w:val="0"/>
        <w:adjustRightInd/>
        <w:snapToGrid/>
        <w:spacing w:line="560" w:lineRule="exact"/>
        <w:ind w:right="0" w:firstLine="0" w:firstLineChars="0"/>
        <w:jc w:val="both"/>
        <w:textAlignment w:val="auto"/>
        <w:rPr>
          <w:rFonts w:cs="仿宋_GB2312" w:asciiTheme="minorEastAsia" w:hAnsiTheme="minorEastAsia" w:eastAsiaTheme="minorEastAsia"/>
          <w:b/>
          <w:color w:val="000000" w:themeColor="text1"/>
          <w:kern w:val="0"/>
          <w:sz w:val="28"/>
          <w:szCs w:val="28"/>
          <w:highlight w:val="none"/>
          <w14:textFill>
            <w14:solidFill>
              <w14:schemeClr w14:val="tx1"/>
            </w14:solidFill>
          </w14:textFill>
        </w:rPr>
      </w:pPr>
    </w:p>
    <w:p w14:paraId="510862BF">
      <w:pPr>
        <w:keepNext w:val="0"/>
        <w:keepLines w:val="0"/>
        <w:pageBreakBefore w:val="0"/>
        <w:kinsoku/>
        <w:wordWrap/>
        <w:overflowPunct/>
        <w:topLinePunct w:val="0"/>
        <w:autoSpaceDE/>
        <w:autoSpaceDN/>
        <w:bidi w:val="0"/>
        <w:adjustRightInd/>
        <w:snapToGrid/>
        <w:spacing w:line="560" w:lineRule="exact"/>
        <w:ind w:right="0" w:firstLine="0" w:firstLineChars="0"/>
        <w:jc w:val="both"/>
        <w:textAlignment w:val="auto"/>
        <w:rPr>
          <w:rFonts w:cs="仿宋_GB2312" w:asciiTheme="minorEastAsia" w:hAnsiTheme="minorEastAsia" w:eastAsiaTheme="minorEastAsia"/>
          <w:b/>
          <w:color w:val="000000" w:themeColor="text1"/>
          <w:kern w:val="0"/>
          <w:sz w:val="28"/>
          <w:szCs w:val="28"/>
          <w:highlight w:val="none"/>
          <w14:textFill>
            <w14:solidFill>
              <w14:schemeClr w14:val="tx1"/>
            </w14:solidFill>
          </w14:textFill>
        </w:rPr>
      </w:pPr>
    </w:p>
    <w:p w14:paraId="3E34AECC">
      <w:pPr>
        <w:keepNext w:val="0"/>
        <w:keepLines w:val="0"/>
        <w:pageBreakBefore w:val="0"/>
        <w:kinsoku/>
        <w:wordWrap/>
        <w:overflowPunct/>
        <w:topLinePunct w:val="0"/>
        <w:autoSpaceDE/>
        <w:autoSpaceDN/>
        <w:bidi w:val="0"/>
        <w:adjustRightInd/>
        <w:snapToGrid/>
        <w:spacing w:line="560" w:lineRule="exact"/>
        <w:ind w:right="0" w:firstLine="0" w:firstLineChars="0"/>
        <w:jc w:val="both"/>
        <w:textAlignment w:val="auto"/>
        <w:rPr>
          <w:rFonts w:cs="仿宋_GB2312" w:asciiTheme="minorEastAsia" w:hAnsiTheme="minorEastAsia" w:eastAsiaTheme="minorEastAsia"/>
          <w:b/>
          <w:color w:val="000000" w:themeColor="text1"/>
          <w:kern w:val="0"/>
          <w:sz w:val="28"/>
          <w:szCs w:val="28"/>
          <w:highlight w:val="none"/>
          <w14:textFill>
            <w14:solidFill>
              <w14:schemeClr w14:val="tx1"/>
            </w14:solidFill>
          </w14:textFill>
        </w:rPr>
      </w:pPr>
    </w:p>
    <w:p w14:paraId="7385CF22">
      <w:pPr>
        <w:keepNext w:val="0"/>
        <w:keepLines w:val="0"/>
        <w:pageBreakBefore w:val="0"/>
        <w:kinsoku/>
        <w:wordWrap/>
        <w:overflowPunct/>
        <w:topLinePunct w:val="0"/>
        <w:autoSpaceDE/>
        <w:autoSpaceDN/>
        <w:bidi w:val="0"/>
        <w:adjustRightInd/>
        <w:snapToGrid/>
        <w:spacing w:line="560" w:lineRule="exact"/>
        <w:ind w:right="0" w:firstLine="0" w:firstLineChars="0"/>
        <w:jc w:val="both"/>
        <w:textAlignment w:val="auto"/>
        <w:rPr>
          <w:rFonts w:cs="仿宋_GB2312" w:asciiTheme="minorEastAsia" w:hAnsiTheme="minorEastAsia" w:eastAsiaTheme="minorEastAsia"/>
          <w:b/>
          <w:color w:val="000000" w:themeColor="text1"/>
          <w:kern w:val="0"/>
          <w:sz w:val="28"/>
          <w:szCs w:val="28"/>
          <w:highlight w:val="none"/>
          <w14:textFill>
            <w14:solidFill>
              <w14:schemeClr w14:val="tx1"/>
            </w14:solidFill>
          </w14:textFill>
        </w:rPr>
      </w:pPr>
    </w:p>
    <w:p w14:paraId="18A7EC73">
      <w:pPr>
        <w:keepNext w:val="0"/>
        <w:keepLines w:val="0"/>
        <w:pageBreakBefore w:val="0"/>
        <w:kinsoku/>
        <w:wordWrap/>
        <w:overflowPunct/>
        <w:topLinePunct w:val="0"/>
        <w:autoSpaceDE/>
        <w:autoSpaceDN/>
        <w:bidi w:val="0"/>
        <w:adjustRightInd/>
        <w:snapToGrid/>
        <w:spacing w:line="560" w:lineRule="exact"/>
        <w:ind w:right="0" w:firstLine="0" w:firstLineChars="0"/>
        <w:jc w:val="both"/>
        <w:textAlignment w:val="auto"/>
        <w:rPr>
          <w:rFonts w:cs="仿宋_GB2312" w:asciiTheme="minorEastAsia" w:hAnsiTheme="minorEastAsia" w:eastAsiaTheme="minorEastAsia"/>
          <w:b/>
          <w:color w:val="000000" w:themeColor="text1"/>
          <w:kern w:val="0"/>
          <w:sz w:val="28"/>
          <w:szCs w:val="28"/>
          <w:highlight w:val="none"/>
          <w14:textFill>
            <w14:solidFill>
              <w14:schemeClr w14:val="tx1"/>
            </w14:solidFill>
          </w14:textFill>
        </w:rPr>
      </w:pPr>
    </w:p>
    <w:p w14:paraId="3EE1A9DB">
      <w:pPr>
        <w:keepNext w:val="0"/>
        <w:keepLines w:val="0"/>
        <w:pageBreakBefore w:val="0"/>
        <w:kinsoku/>
        <w:wordWrap/>
        <w:overflowPunct/>
        <w:topLinePunct w:val="0"/>
        <w:autoSpaceDE/>
        <w:autoSpaceDN/>
        <w:bidi w:val="0"/>
        <w:adjustRightInd/>
        <w:snapToGrid/>
        <w:spacing w:line="560" w:lineRule="exact"/>
        <w:ind w:right="0" w:firstLine="0" w:firstLineChars="0"/>
        <w:jc w:val="both"/>
        <w:textAlignment w:val="auto"/>
        <w:rPr>
          <w:rFonts w:cs="仿宋_GB2312" w:asciiTheme="minorEastAsia" w:hAnsiTheme="minorEastAsia" w:eastAsiaTheme="minorEastAsia"/>
          <w:b/>
          <w:color w:val="000000" w:themeColor="text1"/>
          <w:kern w:val="0"/>
          <w:sz w:val="28"/>
          <w:szCs w:val="28"/>
          <w:highlight w:val="none"/>
          <w14:textFill>
            <w14:solidFill>
              <w14:schemeClr w14:val="tx1"/>
            </w14:solidFill>
          </w14:textFill>
        </w:rPr>
      </w:pPr>
    </w:p>
    <w:p w14:paraId="39DBE978">
      <w:pPr>
        <w:keepNext w:val="0"/>
        <w:keepLines w:val="0"/>
        <w:pageBreakBefore w:val="0"/>
        <w:kinsoku/>
        <w:wordWrap/>
        <w:overflowPunct/>
        <w:topLinePunct w:val="0"/>
        <w:autoSpaceDE/>
        <w:autoSpaceDN/>
        <w:bidi w:val="0"/>
        <w:adjustRightInd/>
        <w:snapToGrid/>
        <w:spacing w:line="560" w:lineRule="exact"/>
        <w:ind w:right="0" w:firstLine="0" w:firstLineChars="0"/>
        <w:jc w:val="both"/>
        <w:textAlignment w:val="auto"/>
        <w:rPr>
          <w:rFonts w:cs="仿宋_GB2312" w:asciiTheme="minorEastAsia" w:hAnsiTheme="minorEastAsia" w:eastAsiaTheme="minorEastAsia"/>
          <w:b/>
          <w:color w:val="000000" w:themeColor="text1"/>
          <w:kern w:val="0"/>
          <w:sz w:val="28"/>
          <w:szCs w:val="28"/>
          <w:highlight w:val="none"/>
          <w14:textFill>
            <w14:solidFill>
              <w14:schemeClr w14:val="tx1"/>
            </w14:solidFill>
          </w14:textFill>
        </w:rPr>
      </w:pPr>
    </w:p>
    <w:p w14:paraId="670E4D54">
      <w:pPr>
        <w:keepNext w:val="0"/>
        <w:keepLines w:val="0"/>
        <w:pageBreakBefore w:val="0"/>
        <w:kinsoku/>
        <w:wordWrap/>
        <w:overflowPunct/>
        <w:topLinePunct w:val="0"/>
        <w:autoSpaceDE/>
        <w:autoSpaceDN/>
        <w:bidi w:val="0"/>
        <w:adjustRightInd/>
        <w:snapToGrid/>
        <w:spacing w:line="560" w:lineRule="exact"/>
        <w:ind w:right="0" w:firstLine="0" w:firstLineChars="0"/>
        <w:jc w:val="both"/>
        <w:textAlignment w:val="auto"/>
        <w:rPr>
          <w:rFonts w:cs="仿宋_GB2312" w:asciiTheme="minorEastAsia" w:hAnsiTheme="minorEastAsia" w:eastAsiaTheme="minorEastAsia"/>
          <w:b/>
          <w:color w:val="000000" w:themeColor="text1"/>
          <w:kern w:val="0"/>
          <w:sz w:val="28"/>
          <w:szCs w:val="28"/>
          <w:highlight w:val="none"/>
          <w14:textFill>
            <w14:solidFill>
              <w14:schemeClr w14:val="tx1"/>
            </w14:solidFill>
          </w14:textFill>
        </w:rPr>
      </w:pPr>
    </w:p>
    <w:p w14:paraId="3C45560D">
      <w:pPr>
        <w:keepNext w:val="0"/>
        <w:keepLines w:val="0"/>
        <w:pageBreakBefore w:val="0"/>
        <w:kinsoku/>
        <w:wordWrap/>
        <w:overflowPunct/>
        <w:topLinePunct w:val="0"/>
        <w:autoSpaceDE/>
        <w:autoSpaceDN/>
        <w:bidi w:val="0"/>
        <w:adjustRightInd/>
        <w:snapToGrid/>
        <w:spacing w:line="560" w:lineRule="exact"/>
        <w:ind w:right="0" w:firstLine="0" w:firstLineChars="0"/>
        <w:jc w:val="both"/>
        <w:textAlignment w:val="auto"/>
        <w:rPr>
          <w:rFonts w:cs="仿宋_GB2312" w:asciiTheme="minorEastAsia" w:hAnsiTheme="minorEastAsia" w:eastAsiaTheme="minorEastAsia"/>
          <w:b/>
          <w:color w:val="000000" w:themeColor="text1"/>
          <w:kern w:val="0"/>
          <w:sz w:val="28"/>
          <w:szCs w:val="28"/>
          <w:highlight w:val="none"/>
          <w14:textFill>
            <w14:solidFill>
              <w14:schemeClr w14:val="tx1"/>
            </w14:solidFill>
          </w14:textFill>
        </w:rPr>
      </w:pPr>
    </w:p>
    <w:p w14:paraId="24645A50">
      <w:pPr>
        <w:keepNext w:val="0"/>
        <w:keepLines w:val="0"/>
        <w:pageBreakBefore w:val="0"/>
        <w:kinsoku/>
        <w:wordWrap/>
        <w:overflowPunct/>
        <w:topLinePunct w:val="0"/>
        <w:autoSpaceDE/>
        <w:autoSpaceDN/>
        <w:bidi w:val="0"/>
        <w:adjustRightInd/>
        <w:snapToGrid/>
        <w:spacing w:line="560" w:lineRule="exact"/>
        <w:ind w:right="0" w:firstLine="0" w:firstLineChars="0"/>
        <w:jc w:val="both"/>
        <w:textAlignment w:val="auto"/>
        <w:rPr>
          <w:rFonts w:cs="仿宋_GB2312" w:asciiTheme="minorEastAsia" w:hAnsiTheme="minorEastAsia" w:eastAsiaTheme="minorEastAsia"/>
          <w:b/>
          <w:color w:val="000000" w:themeColor="text1"/>
          <w:kern w:val="0"/>
          <w:sz w:val="28"/>
          <w:szCs w:val="28"/>
          <w:highlight w:val="none"/>
          <w14:textFill>
            <w14:solidFill>
              <w14:schemeClr w14:val="tx1"/>
            </w14:solidFill>
          </w14:textFill>
        </w:rPr>
      </w:pPr>
    </w:p>
    <w:p w14:paraId="34E5E072">
      <w:pPr>
        <w:keepNext w:val="0"/>
        <w:keepLines w:val="0"/>
        <w:pageBreakBefore w:val="0"/>
        <w:kinsoku/>
        <w:wordWrap/>
        <w:overflowPunct/>
        <w:topLinePunct w:val="0"/>
        <w:autoSpaceDE/>
        <w:autoSpaceDN/>
        <w:bidi w:val="0"/>
        <w:adjustRightInd/>
        <w:snapToGrid/>
        <w:spacing w:line="560" w:lineRule="exact"/>
        <w:ind w:right="0" w:firstLine="0" w:firstLineChars="0"/>
        <w:jc w:val="both"/>
        <w:textAlignment w:val="auto"/>
        <w:rPr>
          <w:rFonts w:cs="仿宋_GB2312" w:asciiTheme="minorEastAsia" w:hAnsiTheme="minorEastAsia" w:eastAsiaTheme="minorEastAsia"/>
          <w:b/>
          <w:color w:val="000000" w:themeColor="text1"/>
          <w:kern w:val="0"/>
          <w:sz w:val="28"/>
          <w:szCs w:val="28"/>
          <w:highlight w:val="none"/>
          <w14:textFill>
            <w14:solidFill>
              <w14:schemeClr w14:val="tx1"/>
            </w14:solidFill>
          </w14:textFill>
        </w:rPr>
      </w:pPr>
    </w:p>
    <w:p w14:paraId="434A6300">
      <w:pPr>
        <w:keepNext w:val="0"/>
        <w:keepLines w:val="0"/>
        <w:pageBreakBefore w:val="0"/>
        <w:kinsoku/>
        <w:wordWrap/>
        <w:overflowPunct/>
        <w:topLinePunct w:val="0"/>
        <w:autoSpaceDE/>
        <w:autoSpaceDN/>
        <w:bidi w:val="0"/>
        <w:adjustRightInd/>
        <w:snapToGrid/>
        <w:spacing w:line="560" w:lineRule="exact"/>
        <w:ind w:right="0" w:firstLine="0" w:firstLineChars="0"/>
        <w:jc w:val="both"/>
        <w:textAlignment w:val="auto"/>
        <w:rPr>
          <w:rFonts w:cs="仿宋_GB2312" w:asciiTheme="minorEastAsia" w:hAnsiTheme="minorEastAsia" w:eastAsiaTheme="minorEastAsia"/>
          <w:b/>
          <w:color w:val="000000" w:themeColor="text1"/>
          <w:kern w:val="0"/>
          <w:sz w:val="28"/>
          <w:szCs w:val="28"/>
          <w:highlight w:val="none"/>
          <w14:textFill>
            <w14:solidFill>
              <w14:schemeClr w14:val="tx1"/>
            </w14:solidFill>
          </w14:textFill>
        </w:rPr>
      </w:pPr>
    </w:p>
    <w:p w14:paraId="332C05B5">
      <w:pPr>
        <w:keepNext w:val="0"/>
        <w:keepLines w:val="0"/>
        <w:pageBreakBefore w:val="0"/>
        <w:kinsoku/>
        <w:wordWrap/>
        <w:overflowPunct/>
        <w:topLinePunct w:val="0"/>
        <w:autoSpaceDE/>
        <w:autoSpaceDN/>
        <w:bidi w:val="0"/>
        <w:adjustRightInd/>
        <w:snapToGrid/>
        <w:spacing w:line="560" w:lineRule="exact"/>
        <w:ind w:right="0" w:firstLine="0" w:firstLineChars="0"/>
        <w:jc w:val="both"/>
        <w:textAlignment w:val="auto"/>
        <w:rPr>
          <w:rFonts w:hint="eastAsia" w:cs="仿宋_GB2312" w:asciiTheme="minorEastAsia" w:hAnsiTheme="minorEastAsia" w:eastAsiaTheme="minorEastAsia"/>
          <w:b/>
          <w:color w:val="000000" w:themeColor="text1"/>
          <w:kern w:val="0"/>
          <w:sz w:val="28"/>
          <w:szCs w:val="28"/>
          <w:highlight w:val="none"/>
          <w14:textFill>
            <w14:solidFill>
              <w14:schemeClr w14:val="tx1"/>
            </w14:solidFill>
          </w14:textFill>
        </w:rPr>
      </w:pPr>
    </w:p>
    <w:p w14:paraId="31F4C7D1">
      <w:pPr>
        <w:keepNext w:val="0"/>
        <w:keepLines w:val="0"/>
        <w:pageBreakBefore w:val="0"/>
        <w:kinsoku/>
        <w:wordWrap/>
        <w:overflowPunct/>
        <w:topLinePunct w:val="0"/>
        <w:autoSpaceDE/>
        <w:autoSpaceDN/>
        <w:bidi w:val="0"/>
        <w:adjustRightInd/>
        <w:snapToGrid/>
        <w:spacing w:line="560" w:lineRule="exact"/>
        <w:ind w:right="0" w:firstLine="0" w:firstLineChars="0"/>
        <w:jc w:val="both"/>
        <w:textAlignment w:val="auto"/>
        <w:rPr>
          <w:rFonts w:hint="eastAsia" w:cs="仿宋_GB2312" w:asciiTheme="minorEastAsia" w:hAnsiTheme="minorEastAsia" w:eastAsiaTheme="minorEastAsia"/>
          <w:b/>
          <w:color w:val="000000" w:themeColor="text1"/>
          <w:kern w:val="0"/>
          <w:sz w:val="28"/>
          <w:szCs w:val="28"/>
          <w:highlight w:val="none"/>
          <w14:textFill>
            <w14:solidFill>
              <w14:schemeClr w14:val="tx1"/>
            </w14:solidFill>
          </w14:textFill>
        </w:rPr>
      </w:pPr>
    </w:p>
    <w:p w14:paraId="066C93E8">
      <w:pPr>
        <w:keepNext w:val="0"/>
        <w:keepLines w:val="0"/>
        <w:pageBreakBefore w:val="0"/>
        <w:kinsoku/>
        <w:wordWrap/>
        <w:overflowPunct/>
        <w:topLinePunct w:val="0"/>
        <w:autoSpaceDE/>
        <w:autoSpaceDN/>
        <w:bidi w:val="0"/>
        <w:adjustRightInd/>
        <w:snapToGrid/>
        <w:spacing w:line="560" w:lineRule="exact"/>
        <w:ind w:right="0" w:firstLine="0" w:firstLineChars="0"/>
        <w:jc w:val="both"/>
        <w:textAlignment w:val="auto"/>
        <w:rPr>
          <w:rFonts w:hint="eastAsia" w:cs="仿宋_GB2312" w:asciiTheme="minorEastAsia" w:hAnsiTheme="minorEastAsia" w:eastAsiaTheme="minorEastAsia"/>
          <w:b/>
          <w:color w:val="000000" w:themeColor="text1"/>
          <w:kern w:val="0"/>
          <w:sz w:val="28"/>
          <w:szCs w:val="28"/>
          <w:highlight w:val="none"/>
          <w14:textFill>
            <w14:solidFill>
              <w14:schemeClr w14:val="tx1"/>
            </w14:solidFill>
          </w14:textFill>
        </w:rPr>
      </w:pPr>
    </w:p>
    <w:p w14:paraId="42EA1660">
      <w:pPr>
        <w:keepNext w:val="0"/>
        <w:keepLines w:val="0"/>
        <w:pageBreakBefore w:val="0"/>
        <w:kinsoku/>
        <w:wordWrap/>
        <w:overflowPunct/>
        <w:topLinePunct w:val="0"/>
        <w:autoSpaceDE/>
        <w:autoSpaceDN/>
        <w:bidi w:val="0"/>
        <w:adjustRightInd/>
        <w:snapToGrid/>
        <w:spacing w:line="560" w:lineRule="exact"/>
        <w:ind w:right="0" w:firstLine="0" w:firstLineChars="0"/>
        <w:jc w:val="both"/>
        <w:textAlignment w:val="auto"/>
        <w:rPr>
          <w:rFonts w:hint="eastAsia" w:cs="仿宋_GB2312" w:asciiTheme="minorEastAsia" w:hAnsiTheme="minorEastAsia" w:eastAsiaTheme="minorEastAsia"/>
          <w:b/>
          <w:color w:val="000000" w:themeColor="text1"/>
          <w:kern w:val="0"/>
          <w:sz w:val="28"/>
          <w:szCs w:val="28"/>
          <w:highlight w:val="none"/>
          <w14:textFill>
            <w14:solidFill>
              <w14:schemeClr w14:val="tx1"/>
            </w14:solidFill>
          </w14:textFill>
        </w:rPr>
      </w:pPr>
    </w:p>
    <w:p w14:paraId="59DA33B1">
      <w:pPr>
        <w:keepNext w:val="0"/>
        <w:keepLines w:val="0"/>
        <w:pageBreakBefore w:val="0"/>
        <w:kinsoku/>
        <w:wordWrap/>
        <w:overflowPunct/>
        <w:topLinePunct w:val="0"/>
        <w:autoSpaceDE/>
        <w:autoSpaceDN/>
        <w:bidi w:val="0"/>
        <w:adjustRightInd/>
        <w:snapToGrid/>
        <w:spacing w:line="560" w:lineRule="exact"/>
        <w:ind w:right="0" w:firstLine="0" w:firstLineChars="0"/>
        <w:jc w:val="both"/>
        <w:textAlignment w:val="auto"/>
        <w:rPr>
          <w:rFonts w:asciiTheme="minorEastAsia" w:hAnsiTheme="minorEastAsia" w:eastAsiaTheme="minorEastAsia"/>
          <w:b/>
          <w:color w:val="000000" w:themeColor="text1"/>
          <w:sz w:val="28"/>
          <w:szCs w:val="28"/>
          <w:highlight w:val="none"/>
          <w14:textFill>
            <w14:solidFill>
              <w14:schemeClr w14:val="tx1"/>
            </w14:solidFill>
          </w14:textFill>
        </w:rPr>
      </w:pPr>
      <w:r>
        <w:rPr>
          <w:rFonts w:hint="eastAsia" w:cs="仿宋_GB2312" w:asciiTheme="minorEastAsia" w:hAnsiTheme="minorEastAsia" w:eastAsiaTheme="minorEastAsia"/>
          <w:b/>
          <w:color w:val="000000" w:themeColor="text1"/>
          <w:kern w:val="0"/>
          <w:sz w:val="28"/>
          <w:szCs w:val="28"/>
          <w:highlight w:val="none"/>
          <w14:textFill>
            <w14:solidFill>
              <w14:schemeClr w14:val="tx1"/>
            </w14:solidFill>
          </w14:textFill>
        </w:rPr>
        <w:t>五、提供参加本次政府采购活动前3年内在经营活动中没有重大违法记录的书面承诺函并加盖单位公章</w:t>
      </w:r>
    </w:p>
    <w:p w14:paraId="1DF34904">
      <w:pPr>
        <w:pStyle w:val="163"/>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无重大违法记录声明书</w:t>
      </w:r>
    </w:p>
    <w:p w14:paraId="3E6F3B7C">
      <w:pPr>
        <w:pStyle w:val="13"/>
        <w:keepNext w:val="0"/>
        <w:keepLines w:val="0"/>
        <w:pageBreakBefore w:val="0"/>
        <w:widowControl w:val="0"/>
        <w:kinsoku/>
        <w:wordWrap/>
        <w:overflowPunct/>
        <w:topLinePunct w:val="0"/>
        <w:bidi w:val="0"/>
        <w:adjustRightInd/>
        <w:snapToGrid/>
        <w:spacing w:after="0" w:line="560" w:lineRule="exact"/>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致：</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sz w:val="28"/>
          <w:szCs w:val="28"/>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8"/>
          <w:szCs w:val="28"/>
          <w:highlight w:val="none"/>
          <w:u w:val="single"/>
          <w14:textFill>
            <w14:solidFill>
              <w14:schemeClr w14:val="tx1"/>
            </w14:solidFill>
          </w14:textFill>
        </w:rPr>
        <w:t xml:space="preserve">（采购人名称） </w:t>
      </w:r>
      <w:r>
        <w:rPr>
          <w:rFonts w:hint="eastAsia" w:ascii="宋体" w:hAnsi="宋体" w:eastAsia="宋体" w:cs="宋体"/>
          <w:color w:val="000000" w:themeColor="text1"/>
          <w:sz w:val="28"/>
          <w:szCs w:val="28"/>
          <w:highlight w:val="none"/>
          <w14:textFill>
            <w14:solidFill>
              <w14:schemeClr w14:val="tx1"/>
            </w14:solidFill>
          </w14:textFill>
        </w:rPr>
        <w:t>：</w:t>
      </w:r>
    </w:p>
    <w:p w14:paraId="10497904">
      <w:pPr>
        <w:pStyle w:val="163"/>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我公司参与</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项目名称、</w:t>
      </w:r>
      <w:r>
        <w:rPr>
          <w:rFonts w:hint="eastAsia" w:ascii="宋体" w:hAnsi="宋体" w:cs="宋体"/>
          <w:color w:val="000000" w:themeColor="text1"/>
          <w:sz w:val="28"/>
          <w:szCs w:val="28"/>
          <w:highlight w:val="none"/>
          <w:lang w:eastAsia="zh-CN"/>
          <w14:textFill>
            <w14:solidFill>
              <w14:schemeClr w14:val="tx1"/>
            </w14:solidFill>
          </w14:textFill>
        </w:rPr>
        <w:t>项目</w:t>
      </w:r>
      <w:r>
        <w:rPr>
          <w:rFonts w:hint="eastAsia" w:ascii="宋体" w:hAnsi="宋体" w:eastAsia="宋体" w:cs="宋体"/>
          <w:color w:val="000000" w:themeColor="text1"/>
          <w:sz w:val="28"/>
          <w:szCs w:val="28"/>
          <w:highlight w:val="none"/>
          <w14:textFill>
            <w14:solidFill>
              <w14:schemeClr w14:val="tx1"/>
            </w14:solidFill>
          </w14:textFill>
        </w:rPr>
        <w:t>编号</w:t>
      </w:r>
      <w:r>
        <w:rPr>
          <w:rFonts w:hint="eastAsia" w:ascii="宋体" w:hAnsi="宋体" w:cs="宋体"/>
          <w:color w:val="000000" w:themeColor="text1"/>
          <w:sz w:val="28"/>
          <w:szCs w:val="28"/>
          <w:highlight w:val="none"/>
          <w:lang w:eastAsia="zh-CN"/>
          <w14:textFill>
            <w14:solidFill>
              <w14:schemeClr w14:val="tx1"/>
            </w14:solidFill>
          </w14:textFill>
        </w:rPr>
        <w:t>、标项名称</w:t>
      </w:r>
      <w:r>
        <w:rPr>
          <w:rFonts w:hint="eastAsia" w:ascii="宋体" w:hAnsi="宋体" w:eastAsia="宋体" w:cs="宋体"/>
          <w:color w:val="000000" w:themeColor="text1"/>
          <w:sz w:val="28"/>
          <w:szCs w:val="28"/>
          <w:highlight w:val="none"/>
          <w14:textFill>
            <w14:solidFill>
              <w14:schemeClr w14:val="tx1"/>
            </w14:solidFill>
          </w14:textFill>
        </w:rPr>
        <w:t>）投标，本公司郑重声明，我方参加本项目政府采购活动前三年内无重大违法记录，符合《政府采购法》规定的</w:t>
      </w:r>
      <w:r>
        <w:rPr>
          <w:rFonts w:hint="eastAsia" w:ascii="宋体" w:hAnsi="宋体" w:cs="宋体"/>
          <w:color w:val="000000" w:themeColor="text1"/>
          <w:sz w:val="28"/>
          <w:szCs w:val="28"/>
          <w:highlight w:val="none"/>
          <w:lang w:eastAsia="zh-CN"/>
          <w14:textFill>
            <w14:solidFill>
              <w14:schemeClr w14:val="tx1"/>
            </w14:solidFill>
          </w14:textFill>
        </w:rPr>
        <w:t>供应商</w:t>
      </w:r>
      <w:r>
        <w:rPr>
          <w:rFonts w:hint="eastAsia" w:ascii="宋体" w:hAnsi="宋体" w:eastAsia="宋体" w:cs="宋体"/>
          <w:color w:val="000000" w:themeColor="text1"/>
          <w:sz w:val="28"/>
          <w:szCs w:val="28"/>
          <w:highlight w:val="none"/>
          <w14:textFill>
            <w14:solidFill>
              <w14:schemeClr w14:val="tx1"/>
            </w14:solidFill>
          </w14:textFill>
        </w:rPr>
        <w:t>条件。若贵方在本项目采购过程中发现我方政府采购活动前三年内有重大违法记录，我公司将无条件退出本项目的投标，并承担因此引起的一切后果。我方对此声明负全部法律责任。</w:t>
      </w:r>
    </w:p>
    <w:p w14:paraId="3D48D05C">
      <w:pPr>
        <w:pStyle w:val="163"/>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特此声明。  </w:t>
      </w:r>
    </w:p>
    <w:p w14:paraId="62E6195F">
      <w:pPr>
        <w:pStyle w:val="163"/>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color w:val="000000" w:themeColor="text1"/>
          <w:sz w:val="28"/>
          <w:szCs w:val="28"/>
          <w:highlight w:val="none"/>
          <w14:textFill>
            <w14:solidFill>
              <w14:schemeClr w14:val="tx1"/>
            </w14:solidFill>
          </w14:textFill>
        </w:rPr>
      </w:pPr>
    </w:p>
    <w:p w14:paraId="6528CA5A">
      <w:pPr>
        <w:pStyle w:val="163"/>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color w:val="000000" w:themeColor="text1"/>
          <w:sz w:val="28"/>
          <w:szCs w:val="28"/>
          <w:highlight w:val="none"/>
          <w14:textFill>
            <w14:solidFill>
              <w14:schemeClr w14:val="tx1"/>
            </w14:solidFill>
          </w14:textFill>
        </w:rPr>
      </w:pPr>
    </w:p>
    <w:p w14:paraId="1F94AB32">
      <w:pPr>
        <w:pStyle w:val="163"/>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color w:val="000000" w:themeColor="text1"/>
          <w:sz w:val="28"/>
          <w:szCs w:val="28"/>
          <w:highlight w:val="none"/>
          <w14:textFill>
            <w14:solidFill>
              <w14:schemeClr w14:val="tx1"/>
            </w14:solidFill>
          </w14:textFill>
        </w:rPr>
      </w:pPr>
    </w:p>
    <w:p w14:paraId="491933FB">
      <w:pPr>
        <w:pStyle w:val="163"/>
        <w:keepNext w:val="0"/>
        <w:keepLines w:val="0"/>
        <w:pageBreakBefore w:val="0"/>
        <w:widowControl w:val="0"/>
        <w:kinsoku/>
        <w:wordWrap/>
        <w:overflowPunct/>
        <w:topLinePunct w:val="0"/>
        <w:autoSpaceDE/>
        <w:autoSpaceDN/>
        <w:bidi w:val="0"/>
        <w:adjustRightInd/>
        <w:snapToGrid/>
        <w:spacing w:line="560" w:lineRule="exact"/>
        <w:ind w:firstLine="2800" w:firstLineChars="1000"/>
        <w:jc w:val="both"/>
        <w:textAlignment w:val="auto"/>
        <w:rPr>
          <w:rFonts w:hint="default"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4"/>
          <w:highlight w:val="none"/>
          <w14:textFill>
            <w14:solidFill>
              <w14:schemeClr w14:val="tx1"/>
            </w14:solidFill>
          </w14:textFill>
        </w:rPr>
        <w:t>供应商名称</w:t>
      </w:r>
      <w:r>
        <w:rPr>
          <w:rFonts w:hint="eastAsia" w:ascii="宋体" w:hAnsi="宋体" w:eastAsia="宋体" w:cs="宋体"/>
          <w:color w:val="000000" w:themeColor="text1"/>
          <w:sz w:val="28"/>
          <w:szCs w:val="28"/>
          <w:highlight w:val="none"/>
          <w14:textFill>
            <w14:solidFill>
              <w14:schemeClr w14:val="tx1"/>
            </w14:solidFill>
          </w14:textFill>
        </w:rPr>
        <w:t>（电子公章）：</w:t>
      </w:r>
      <w:r>
        <w:rPr>
          <w:rFonts w:hint="eastAsia" w:ascii="宋体" w:hAnsi="宋体" w:cs="宋体"/>
          <w:color w:val="000000" w:themeColor="text1"/>
          <w:sz w:val="28"/>
          <w:szCs w:val="28"/>
          <w:highlight w:val="none"/>
          <w:u w:val="single"/>
          <w:lang w:val="en-US" w:eastAsia="zh-CN"/>
          <w14:textFill>
            <w14:solidFill>
              <w14:schemeClr w14:val="tx1"/>
            </w14:solidFill>
          </w14:textFill>
        </w:rPr>
        <w:t xml:space="preserve">             </w:t>
      </w:r>
      <w:r>
        <w:rPr>
          <w:rFonts w:hint="eastAsia" w:ascii="宋体" w:hAnsi="宋体" w:cs="宋体"/>
          <w:color w:val="000000" w:themeColor="text1"/>
          <w:sz w:val="28"/>
          <w:szCs w:val="28"/>
          <w:highlight w:val="none"/>
          <w:lang w:val="en-US" w:eastAsia="zh-CN"/>
          <w14:textFill>
            <w14:solidFill>
              <w14:schemeClr w14:val="tx1"/>
            </w14:solidFill>
          </w14:textFill>
        </w:rPr>
        <w:t xml:space="preserve">  </w:t>
      </w:r>
    </w:p>
    <w:p w14:paraId="71F091D0">
      <w:pPr>
        <w:pStyle w:val="163"/>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法定代表人或其委托代理人（签字或盖章）：</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p>
    <w:p w14:paraId="2021AA73">
      <w:pPr>
        <w:pStyle w:val="163"/>
        <w:keepNext w:val="0"/>
        <w:keepLines w:val="0"/>
        <w:pageBreakBefore w:val="0"/>
        <w:widowControl w:val="0"/>
        <w:kinsoku/>
        <w:wordWrap/>
        <w:overflowPunct/>
        <w:topLinePunct w:val="0"/>
        <w:autoSpaceDE/>
        <w:autoSpaceDN/>
        <w:bidi w:val="0"/>
        <w:adjustRightInd/>
        <w:snapToGrid/>
        <w:spacing w:line="560" w:lineRule="exact"/>
        <w:ind w:firstLine="2800" w:firstLineChars="1000"/>
        <w:jc w:val="both"/>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日期：</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年</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月</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日</w:t>
      </w:r>
    </w:p>
    <w:p w14:paraId="748CF448">
      <w:pPr>
        <w:keepNext w:val="0"/>
        <w:keepLines w:val="0"/>
        <w:pageBreakBefore w:val="0"/>
        <w:kinsoku/>
        <w:wordWrap/>
        <w:overflowPunct/>
        <w:topLinePunct w:val="0"/>
        <w:autoSpaceDE/>
        <w:autoSpaceDN/>
        <w:bidi w:val="0"/>
        <w:adjustRightInd/>
        <w:snapToGrid/>
        <w:spacing w:line="560" w:lineRule="exact"/>
        <w:ind w:right="0" w:firstLine="0" w:firstLineChars="0"/>
        <w:contextualSpacing/>
        <w:jc w:val="both"/>
        <w:textAlignment w:val="auto"/>
        <w:rPr>
          <w:rFonts w:asciiTheme="minorEastAsia" w:hAnsiTheme="minorEastAsia" w:eastAsiaTheme="minorEastAsia"/>
          <w:color w:val="000000" w:themeColor="text1"/>
          <w:sz w:val="28"/>
          <w:szCs w:val="28"/>
          <w:highlight w:val="none"/>
          <w14:textFill>
            <w14:solidFill>
              <w14:schemeClr w14:val="tx1"/>
            </w14:solidFill>
          </w14:textFill>
        </w:rPr>
      </w:pPr>
    </w:p>
    <w:p w14:paraId="06B6D085">
      <w:pPr>
        <w:keepNext w:val="0"/>
        <w:keepLines w:val="0"/>
        <w:pageBreakBefore w:val="0"/>
        <w:kinsoku/>
        <w:wordWrap/>
        <w:overflowPunct/>
        <w:topLinePunct w:val="0"/>
        <w:autoSpaceDE/>
        <w:autoSpaceDN/>
        <w:bidi w:val="0"/>
        <w:adjustRightInd/>
        <w:snapToGrid/>
        <w:spacing w:line="560" w:lineRule="exact"/>
        <w:ind w:right="0" w:firstLine="0" w:firstLineChars="0"/>
        <w:contextualSpacing/>
        <w:jc w:val="both"/>
        <w:textAlignment w:val="auto"/>
        <w:rPr>
          <w:rFonts w:asciiTheme="minorEastAsia" w:hAnsiTheme="minorEastAsia" w:eastAsiaTheme="minorEastAsia"/>
          <w:color w:val="000000" w:themeColor="text1"/>
          <w:sz w:val="28"/>
          <w:szCs w:val="28"/>
          <w:highlight w:val="none"/>
          <w14:textFill>
            <w14:solidFill>
              <w14:schemeClr w14:val="tx1"/>
            </w14:solidFill>
          </w14:textFill>
        </w:rPr>
      </w:pPr>
    </w:p>
    <w:p w14:paraId="273B405D">
      <w:pPr>
        <w:keepNext w:val="0"/>
        <w:keepLines w:val="0"/>
        <w:pageBreakBefore w:val="0"/>
        <w:kinsoku/>
        <w:wordWrap/>
        <w:overflowPunct/>
        <w:topLinePunct w:val="0"/>
        <w:autoSpaceDE/>
        <w:autoSpaceDN/>
        <w:bidi w:val="0"/>
        <w:adjustRightInd/>
        <w:snapToGrid/>
        <w:spacing w:line="560" w:lineRule="exact"/>
        <w:ind w:right="0" w:firstLine="0" w:firstLineChars="0"/>
        <w:contextualSpacing/>
        <w:jc w:val="both"/>
        <w:textAlignment w:val="auto"/>
        <w:rPr>
          <w:rFonts w:asciiTheme="minorEastAsia" w:hAnsiTheme="minorEastAsia" w:eastAsiaTheme="minorEastAsia"/>
          <w:color w:val="000000" w:themeColor="text1"/>
          <w:sz w:val="28"/>
          <w:szCs w:val="28"/>
          <w:highlight w:val="none"/>
          <w14:textFill>
            <w14:solidFill>
              <w14:schemeClr w14:val="tx1"/>
            </w14:solidFill>
          </w14:textFill>
        </w:rPr>
      </w:pPr>
    </w:p>
    <w:p w14:paraId="61DC03D9">
      <w:pPr>
        <w:keepNext w:val="0"/>
        <w:keepLines w:val="0"/>
        <w:pageBreakBefore w:val="0"/>
        <w:kinsoku/>
        <w:wordWrap/>
        <w:overflowPunct/>
        <w:topLinePunct w:val="0"/>
        <w:autoSpaceDE/>
        <w:autoSpaceDN/>
        <w:bidi w:val="0"/>
        <w:adjustRightInd/>
        <w:snapToGrid/>
        <w:spacing w:line="560" w:lineRule="exact"/>
        <w:ind w:right="0" w:firstLine="0" w:firstLineChars="0"/>
        <w:contextualSpacing/>
        <w:jc w:val="both"/>
        <w:textAlignment w:val="auto"/>
        <w:rPr>
          <w:rFonts w:asciiTheme="minorEastAsia" w:hAnsiTheme="minorEastAsia" w:eastAsiaTheme="minorEastAsia"/>
          <w:color w:val="000000" w:themeColor="text1"/>
          <w:sz w:val="28"/>
          <w:szCs w:val="28"/>
          <w:highlight w:val="none"/>
          <w14:textFill>
            <w14:solidFill>
              <w14:schemeClr w14:val="tx1"/>
            </w14:solidFill>
          </w14:textFill>
        </w:rPr>
      </w:pPr>
    </w:p>
    <w:p w14:paraId="26A957DF">
      <w:pPr>
        <w:keepNext w:val="0"/>
        <w:keepLines w:val="0"/>
        <w:pageBreakBefore w:val="0"/>
        <w:kinsoku/>
        <w:wordWrap/>
        <w:overflowPunct/>
        <w:topLinePunct w:val="0"/>
        <w:autoSpaceDE/>
        <w:autoSpaceDN/>
        <w:bidi w:val="0"/>
        <w:adjustRightInd/>
        <w:snapToGrid/>
        <w:spacing w:line="560" w:lineRule="exact"/>
        <w:ind w:right="0" w:firstLine="0" w:firstLineChars="0"/>
        <w:contextualSpacing/>
        <w:jc w:val="both"/>
        <w:textAlignment w:val="auto"/>
        <w:rPr>
          <w:rFonts w:asciiTheme="minorEastAsia" w:hAnsiTheme="minorEastAsia" w:eastAsiaTheme="minorEastAsia"/>
          <w:color w:val="000000" w:themeColor="text1"/>
          <w:sz w:val="28"/>
          <w:szCs w:val="28"/>
          <w:highlight w:val="none"/>
          <w14:textFill>
            <w14:solidFill>
              <w14:schemeClr w14:val="tx1"/>
            </w14:solidFill>
          </w14:textFill>
        </w:rPr>
      </w:pPr>
    </w:p>
    <w:p w14:paraId="4CBD30AE">
      <w:pPr>
        <w:keepNext w:val="0"/>
        <w:keepLines w:val="0"/>
        <w:pageBreakBefore w:val="0"/>
        <w:kinsoku/>
        <w:wordWrap/>
        <w:overflowPunct/>
        <w:topLinePunct w:val="0"/>
        <w:autoSpaceDE/>
        <w:autoSpaceDN/>
        <w:bidi w:val="0"/>
        <w:adjustRightInd/>
        <w:snapToGrid/>
        <w:spacing w:line="560" w:lineRule="exact"/>
        <w:ind w:right="0" w:firstLine="0" w:firstLineChars="0"/>
        <w:contextualSpacing/>
        <w:jc w:val="both"/>
        <w:textAlignment w:val="auto"/>
        <w:rPr>
          <w:rFonts w:asciiTheme="minorEastAsia" w:hAnsiTheme="minorEastAsia" w:eastAsiaTheme="minorEastAsia"/>
          <w:color w:val="000000" w:themeColor="text1"/>
          <w:sz w:val="28"/>
          <w:szCs w:val="28"/>
          <w:highlight w:val="none"/>
          <w14:textFill>
            <w14:solidFill>
              <w14:schemeClr w14:val="tx1"/>
            </w14:solidFill>
          </w14:textFill>
        </w:rPr>
      </w:pPr>
    </w:p>
    <w:p w14:paraId="19F5B1F2">
      <w:pPr>
        <w:keepNext w:val="0"/>
        <w:keepLines w:val="0"/>
        <w:pageBreakBefore w:val="0"/>
        <w:kinsoku/>
        <w:wordWrap/>
        <w:overflowPunct/>
        <w:topLinePunct w:val="0"/>
        <w:autoSpaceDE/>
        <w:autoSpaceDN/>
        <w:bidi w:val="0"/>
        <w:adjustRightInd/>
        <w:snapToGrid/>
        <w:spacing w:line="560" w:lineRule="exact"/>
        <w:ind w:right="0" w:firstLine="0" w:firstLineChars="0"/>
        <w:jc w:val="both"/>
        <w:textAlignment w:val="auto"/>
        <w:rPr>
          <w:rFonts w:hint="eastAsia" w:cs="仿宋_GB2312" w:asciiTheme="minorEastAsia" w:hAnsiTheme="minorEastAsia" w:eastAsiaTheme="minorEastAsia"/>
          <w:b/>
          <w:color w:val="000000" w:themeColor="text1"/>
          <w:kern w:val="0"/>
          <w:sz w:val="28"/>
          <w:szCs w:val="28"/>
          <w:highlight w:val="none"/>
          <w14:textFill>
            <w14:solidFill>
              <w14:schemeClr w14:val="tx1"/>
            </w14:solidFill>
          </w14:textFill>
        </w:rPr>
      </w:pPr>
    </w:p>
    <w:p w14:paraId="7E81A3C5">
      <w:pPr>
        <w:keepNext w:val="0"/>
        <w:keepLines w:val="0"/>
        <w:pageBreakBefore w:val="0"/>
        <w:kinsoku/>
        <w:wordWrap/>
        <w:overflowPunct/>
        <w:topLinePunct w:val="0"/>
        <w:autoSpaceDE/>
        <w:autoSpaceDN/>
        <w:bidi w:val="0"/>
        <w:adjustRightInd/>
        <w:snapToGrid/>
        <w:spacing w:line="560" w:lineRule="exact"/>
        <w:ind w:right="0" w:firstLine="0" w:firstLineChars="0"/>
        <w:jc w:val="both"/>
        <w:textAlignment w:val="auto"/>
        <w:rPr>
          <w:rFonts w:hint="eastAsia" w:cs="仿宋_GB2312" w:asciiTheme="minorEastAsia" w:hAnsiTheme="minorEastAsia" w:eastAsiaTheme="minorEastAsia"/>
          <w:b/>
          <w:color w:val="000000" w:themeColor="text1"/>
          <w:kern w:val="0"/>
          <w:sz w:val="28"/>
          <w:szCs w:val="28"/>
          <w:highlight w:val="none"/>
          <w14:textFill>
            <w14:solidFill>
              <w14:schemeClr w14:val="tx1"/>
            </w14:solidFill>
          </w14:textFill>
        </w:rPr>
      </w:pPr>
    </w:p>
    <w:p w14:paraId="4D59AE29">
      <w:pPr>
        <w:keepNext w:val="0"/>
        <w:keepLines w:val="0"/>
        <w:pageBreakBefore w:val="0"/>
        <w:kinsoku/>
        <w:wordWrap/>
        <w:overflowPunct/>
        <w:topLinePunct w:val="0"/>
        <w:autoSpaceDE/>
        <w:autoSpaceDN/>
        <w:bidi w:val="0"/>
        <w:adjustRightInd/>
        <w:snapToGrid/>
        <w:spacing w:line="560" w:lineRule="exact"/>
        <w:ind w:right="0" w:firstLine="0" w:firstLineChars="0"/>
        <w:jc w:val="both"/>
        <w:textAlignment w:val="auto"/>
        <w:rPr>
          <w:rFonts w:hint="eastAsia" w:cs="仿宋_GB2312" w:asciiTheme="minorEastAsia" w:hAnsiTheme="minorEastAsia" w:eastAsiaTheme="minorEastAsia"/>
          <w:b/>
          <w:color w:val="000000" w:themeColor="text1"/>
          <w:kern w:val="0"/>
          <w:sz w:val="28"/>
          <w:szCs w:val="28"/>
          <w:highlight w:val="none"/>
          <w14:textFill>
            <w14:solidFill>
              <w14:schemeClr w14:val="tx1"/>
            </w14:solidFill>
          </w14:textFill>
        </w:rPr>
      </w:pPr>
    </w:p>
    <w:p w14:paraId="4343EACB">
      <w:pPr>
        <w:keepNext w:val="0"/>
        <w:keepLines w:val="0"/>
        <w:pageBreakBefore w:val="0"/>
        <w:kinsoku/>
        <w:wordWrap/>
        <w:overflowPunct/>
        <w:topLinePunct w:val="0"/>
        <w:autoSpaceDE/>
        <w:autoSpaceDN/>
        <w:bidi w:val="0"/>
        <w:adjustRightInd/>
        <w:snapToGrid/>
        <w:spacing w:line="560" w:lineRule="exact"/>
        <w:ind w:right="0" w:firstLine="0" w:firstLineChars="0"/>
        <w:jc w:val="both"/>
        <w:textAlignment w:val="auto"/>
        <w:rPr>
          <w:rFonts w:hint="eastAsia" w:cs="仿宋_GB2312" w:asciiTheme="minorEastAsia" w:hAnsiTheme="minorEastAsia" w:eastAsiaTheme="minorEastAsia"/>
          <w:b/>
          <w:color w:val="000000" w:themeColor="text1"/>
          <w:kern w:val="0"/>
          <w:sz w:val="28"/>
          <w:szCs w:val="28"/>
          <w:highlight w:val="none"/>
          <w14:textFill>
            <w14:solidFill>
              <w14:schemeClr w14:val="tx1"/>
            </w14:solidFill>
          </w14:textFill>
        </w:rPr>
      </w:pPr>
    </w:p>
    <w:p w14:paraId="45700C81">
      <w:pPr>
        <w:keepNext w:val="0"/>
        <w:keepLines w:val="0"/>
        <w:pageBreakBefore w:val="0"/>
        <w:kinsoku/>
        <w:wordWrap/>
        <w:overflowPunct/>
        <w:topLinePunct w:val="0"/>
        <w:autoSpaceDE/>
        <w:autoSpaceDN/>
        <w:bidi w:val="0"/>
        <w:adjustRightInd/>
        <w:snapToGrid/>
        <w:spacing w:line="560" w:lineRule="exact"/>
        <w:ind w:right="0" w:firstLine="0" w:firstLineChars="0"/>
        <w:jc w:val="both"/>
        <w:textAlignment w:val="auto"/>
        <w:rPr>
          <w:rFonts w:cs="仿宋_GB2312" w:asciiTheme="minorEastAsia" w:hAnsiTheme="minorEastAsia" w:eastAsiaTheme="minorEastAsia"/>
          <w:b/>
          <w:color w:val="000000" w:themeColor="text1"/>
          <w:kern w:val="0"/>
          <w:sz w:val="28"/>
          <w:szCs w:val="28"/>
          <w:highlight w:val="none"/>
          <w14:textFill>
            <w14:solidFill>
              <w14:schemeClr w14:val="tx1"/>
            </w14:solidFill>
          </w14:textFill>
        </w:rPr>
      </w:pPr>
      <w:r>
        <w:rPr>
          <w:rFonts w:hint="eastAsia" w:cs="仿宋_GB2312" w:asciiTheme="minorEastAsia" w:hAnsiTheme="minorEastAsia" w:eastAsiaTheme="minorEastAsia"/>
          <w:b/>
          <w:color w:val="000000" w:themeColor="text1"/>
          <w:kern w:val="0"/>
          <w:sz w:val="28"/>
          <w:szCs w:val="28"/>
          <w:highlight w:val="none"/>
          <w14:textFill>
            <w14:solidFill>
              <w14:schemeClr w14:val="tx1"/>
            </w14:solidFill>
          </w14:textFill>
        </w:rPr>
        <w:t>六、</w:t>
      </w:r>
      <w:r>
        <w:rPr>
          <w:rFonts w:hint="eastAsia" w:ascii="宋体" w:hAnsi="宋体" w:eastAsia="宋体" w:cs="宋体"/>
          <w:b/>
          <w:bCs/>
          <w:i w:val="0"/>
          <w:caps w:val="0"/>
          <w:color w:val="000000" w:themeColor="text1"/>
          <w:spacing w:val="0"/>
          <w:kern w:val="2"/>
          <w:sz w:val="28"/>
          <w:szCs w:val="28"/>
          <w:highlight w:val="none"/>
          <w:lang w:val="en-US" w:eastAsia="zh-CN" w:bidi="ar-SA"/>
          <w14:textFill>
            <w14:solidFill>
              <w14:schemeClr w14:val="tx1"/>
            </w14:solidFill>
          </w14:textFill>
        </w:rPr>
        <w:t>法律、行政法规规定的其他条件。</w:t>
      </w:r>
    </w:p>
    <w:p w14:paraId="1155D39B">
      <w:pPr>
        <w:pStyle w:val="13"/>
        <w:keepNext w:val="0"/>
        <w:keepLines w:val="0"/>
        <w:pageBreakBefore w:val="0"/>
        <w:widowControl w:val="0"/>
        <w:kinsoku/>
        <w:wordWrap/>
        <w:overflowPunct/>
        <w:topLinePunct w:val="0"/>
        <w:bidi w:val="0"/>
        <w:adjustRightInd/>
        <w:snapToGrid/>
        <w:spacing w:after="0" w:line="560" w:lineRule="exact"/>
        <w:jc w:val="center"/>
        <w:textAlignment w:val="auto"/>
        <w:rPr>
          <w:rFonts w:hint="eastAsia" w:ascii="宋体" w:hAnsi="宋体" w:eastAsia="宋体" w:cs="宋体"/>
          <w:color w:val="000000" w:themeColor="text1"/>
          <w:sz w:val="28"/>
          <w:szCs w:val="28"/>
          <w:highlight w:val="none"/>
          <w:lang w:eastAsia="zh-CN"/>
          <w14:textFill>
            <w14:solidFill>
              <w14:schemeClr w14:val="tx1"/>
            </w14:solidFill>
          </w14:textFill>
        </w:rPr>
      </w:pPr>
    </w:p>
    <w:p w14:paraId="3642D77E">
      <w:pPr>
        <w:pStyle w:val="13"/>
        <w:keepNext w:val="0"/>
        <w:keepLines w:val="0"/>
        <w:pageBreakBefore w:val="0"/>
        <w:widowControl w:val="0"/>
        <w:kinsoku/>
        <w:wordWrap/>
        <w:overflowPunct/>
        <w:topLinePunct w:val="0"/>
        <w:bidi w:val="0"/>
        <w:adjustRightInd/>
        <w:snapToGrid/>
        <w:spacing w:after="0" w:line="560" w:lineRule="exact"/>
        <w:jc w:val="center"/>
        <w:textAlignment w:val="auto"/>
        <w:rPr>
          <w:rFonts w:hint="eastAsia" w:ascii="宋体" w:hAnsi="宋体" w:eastAsia="宋体" w:cs="宋体"/>
          <w:color w:val="000000" w:themeColor="text1"/>
          <w:sz w:val="28"/>
          <w:szCs w:val="28"/>
          <w:highlight w:val="none"/>
          <w:lang w:eastAsia="zh-CN"/>
          <w14:textFill>
            <w14:solidFill>
              <w14:schemeClr w14:val="tx1"/>
            </w14:solidFill>
          </w14:textFill>
        </w:rPr>
      </w:pPr>
      <w:r>
        <w:rPr>
          <w:rFonts w:hint="eastAsia" w:ascii="宋体" w:hAnsi="宋体" w:eastAsia="宋体" w:cs="宋体"/>
          <w:color w:val="000000" w:themeColor="text1"/>
          <w:sz w:val="28"/>
          <w:szCs w:val="28"/>
          <w:highlight w:val="none"/>
          <w:lang w:eastAsia="zh-CN"/>
          <w14:textFill>
            <w14:solidFill>
              <w14:schemeClr w14:val="tx1"/>
            </w14:solidFill>
          </w14:textFill>
        </w:rPr>
        <w:t>信用信誉承诺函</w:t>
      </w:r>
    </w:p>
    <w:p w14:paraId="01F09A45">
      <w:pPr>
        <w:pStyle w:val="13"/>
        <w:keepNext w:val="0"/>
        <w:keepLines w:val="0"/>
        <w:pageBreakBefore w:val="0"/>
        <w:widowControl w:val="0"/>
        <w:kinsoku/>
        <w:wordWrap/>
        <w:overflowPunct/>
        <w:topLinePunct w:val="0"/>
        <w:bidi w:val="0"/>
        <w:adjustRightInd/>
        <w:snapToGrid/>
        <w:spacing w:after="0" w:line="560" w:lineRule="exact"/>
        <w:textAlignment w:val="auto"/>
        <w:rPr>
          <w:rFonts w:hint="eastAsia" w:ascii="宋体" w:hAnsi="宋体" w:eastAsia="宋体" w:cs="宋体"/>
          <w:color w:val="000000" w:themeColor="text1"/>
          <w:kern w:val="0"/>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致：</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sz w:val="28"/>
          <w:szCs w:val="28"/>
          <w:highlight w:val="none"/>
          <w:u w:val="single"/>
          <w:lang w:val="en-US" w:eastAsia="zh-CN"/>
          <w14:textFill>
            <w14:solidFill>
              <w14:schemeClr w14:val="tx1"/>
            </w14:solidFill>
          </w14:textFill>
        </w:rPr>
        <w:t xml:space="preserve">    </w:t>
      </w:r>
      <w:r>
        <w:rPr>
          <w:rFonts w:hint="eastAsia" w:ascii="宋体" w:hAnsi="宋体" w:cs="宋体"/>
          <w:color w:val="000000" w:themeColor="text1"/>
          <w:sz w:val="28"/>
          <w:szCs w:val="28"/>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8"/>
          <w:szCs w:val="28"/>
          <w:highlight w:val="none"/>
          <w:u w:val="single"/>
          <w14:textFill>
            <w14:solidFill>
              <w14:schemeClr w14:val="tx1"/>
            </w14:solidFill>
          </w14:textFill>
        </w:rPr>
        <w:t xml:space="preserve">（采购人名称） </w:t>
      </w:r>
    </w:p>
    <w:p w14:paraId="3D19EAAC">
      <w:pPr>
        <w:keepNext w:val="0"/>
        <w:keepLines w:val="0"/>
        <w:pageBreakBefore w:val="0"/>
        <w:widowControl w:val="0"/>
        <w:kinsoku/>
        <w:wordWrap/>
        <w:overflowPunct/>
        <w:topLinePunct w:val="0"/>
        <w:bidi w:val="0"/>
        <w:adjustRightInd/>
        <w:snapToGrid/>
        <w:spacing w:line="560" w:lineRule="exact"/>
        <w:ind w:left="0" w:leftChars="0" w:firstLine="560" w:firstLineChars="200"/>
        <w:textAlignment w:val="auto"/>
        <w:rPr>
          <w:rFonts w:hint="eastAsia" w:ascii="宋体" w:hAnsi="宋体" w:eastAsia="宋体" w:cs="宋体"/>
          <w:color w:val="000000" w:themeColor="text1"/>
          <w:kern w:val="0"/>
          <w:sz w:val="28"/>
          <w:szCs w:val="28"/>
          <w:highlight w:val="none"/>
          <w:lang w:eastAsia="zh-CN"/>
          <w14:textFill>
            <w14:solidFill>
              <w14:schemeClr w14:val="tx1"/>
            </w14:solidFill>
          </w14:textFill>
        </w:rPr>
      </w:pPr>
      <w:r>
        <w:rPr>
          <w:rFonts w:hint="eastAsia" w:ascii="宋体" w:hAnsi="宋体" w:eastAsia="宋体" w:cs="宋体"/>
          <w:color w:val="000000" w:themeColor="text1"/>
          <w:kern w:val="0"/>
          <w:sz w:val="28"/>
          <w:szCs w:val="28"/>
          <w:highlight w:val="none"/>
          <w14:textFill>
            <w14:solidFill>
              <w14:schemeClr w14:val="tx1"/>
            </w14:solidFill>
          </w14:textFill>
        </w:rPr>
        <w:t>在</w:t>
      </w:r>
      <w:r>
        <w:rPr>
          <w:rFonts w:hint="eastAsia" w:ascii="宋体" w:hAnsi="宋体" w:eastAsia="宋体" w:cs="宋体"/>
          <w:color w:val="000000" w:themeColor="text1"/>
          <w:kern w:val="0"/>
          <w:sz w:val="28"/>
          <w:szCs w:val="28"/>
          <w:highlight w:val="none"/>
          <w:u w:val="single"/>
          <w:lang w:val="en-US" w:eastAsia="zh-CN"/>
          <w14:textFill>
            <w14:solidFill>
              <w14:schemeClr w14:val="tx1"/>
            </w14:solidFill>
          </w14:textFill>
        </w:rPr>
        <w:t xml:space="preserve">            </w:t>
      </w:r>
      <w:r>
        <w:rPr>
          <w:rFonts w:hint="eastAsia" w:ascii="宋体" w:hAnsi="宋体" w:cs="宋体"/>
          <w:color w:val="000000" w:themeColor="text1"/>
          <w:kern w:val="0"/>
          <w:sz w:val="28"/>
          <w:szCs w:val="28"/>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8"/>
          <w:szCs w:val="28"/>
          <w:highlight w:val="none"/>
          <w:u w:val="single"/>
          <w14:textFill>
            <w14:solidFill>
              <w14:schemeClr w14:val="tx1"/>
            </w14:solidFill>
          </w14:textFill>
        </w:rPr>
        <w:t>项目名称</w:t>
      </w:r>
      <w:r>
        <w:rPr>
          <w:rFonts w:hint="eastAsia" w:ascii="宋体" w:hAnsi="宋体" w:eastAsia="宋体" w:cs="宋体"/>
          <w:color w:val="000000" w:themeColor="text1"/>
          <w:kern w:val="0"/>
          <w:sz w:val="28"/>
          <w:szCs w:val="28"/>
          <w:highlight w:val="none"/>
          <w:u w:val="single"/>
          <w:lang w:eastAsia="zh-CN"/>
          <w14:textFill>
            <w14:solidFill>
              <w14:schemeClr w14:val="tx1"/>
            </w14:solidFill>
          </w14:textFill>
        </w:rPr>
        <w:t>、项目编号</w:t>
      </w:r>
      <w:r>
        <w:rPr>
          <w:rFonts w:hint="eastAsia" w:ascii="宋体" w:hAnsi="宋体" w:cs="宋体"/>
          <w:color w:val="000000" w:themeColor="text1"/>
          <w:kern w:val="0"/>
          <w:sz w:val="28"/>
          <w:szCs w:val="28"/>
          <w:highlight w:val="none"/>
          <w:u w:val="single"/>
          <w:lang w:eastAsia="zh-CN"/>
          <w14:textFill>
            <w14:solidFill>
              <w14:schemeClr w14:val="tx1"/>
            </w14:solidFill>
          </w14:textFill>
        </w:rPr>
        <w:t>、标项名称</w:t>
      </w:r>
      <w:r>
        <w:rPr>
          <w:rFonts w:hint="eastAsia" w:ascii="宋体" w:hAnsi="宋体" w:eastAsia="宋体" w:cs="宋体"/>
          <w:color w:val="000000" w:themeColor="text1"/>
          <w:kern w:val="0"/>
          <w:sz w:val="28"/>
          <w:szCs w:val="28"/>
          <w:highlight w:val="none"/>
          <w14:textFill>
            <w14:solidFill>
              <w14:schemeClr w14:val="tx1"/>
            </w14:solidFill>
          </w14:textFill>
        </w:rPr>
        <w:t>，我公司</w:t>
      </w:r>
      <w:r>
        <w:rPr>
          <w:rFonts w:hint="eastAsia" w:ascii="宋体" w:hAnsi="宋体" w:eastAsia="宋体" w:cs="宋体"/>
          <w:color w:val="000000" w:themeColor="text1"/>
          <w:kern w:val="0"/>
          <w:sz w:val="28"/>
          <w:szCs w:val="28"/>
          <w:highlight w:val="none"/>
          <w:lang w:eastAsia="zh-CN"/>
          <w14:textFill>
            <w14:solidFill>
              <w14:schemeClr w14:val="tx1"/>
            </w14:solidFill>
          </w14:textFill>
        </w:rPr>
        <w:t>承诺，</w:t>
      </w:r>
      <w:r>
        <w:rPr>
          <w:rFonts w:hint="eastAsia" w:ascii="宋体" w:hAnsi="宋体" w:eastAsia="宋体" w:cs="宋体"/>
          <w:color w:val="000000" w:themeColor="text1"/>
          <w:kern w:val="0"/>
          <w:sz w:val="28"/>
          <w:szCs w:val="28"/>
          <w:highlight w:val="none"/>
          <w14:textFill>
            <w14:solidFill>
              <w14:schemeClr w14:val="tx1"/>
            </w14:solidFill>
          </w14:textFill>
        </w:rPr>
        <w:t>在“信用中国”网站</w:t>
      </w:r>
      <w:r>
        <w:rPr>
          <w:rFonts w:hint="eastAsia" w:ascii="宋体" w:hAnsi="宋体" w:eastAsia="宋体" w:cs="宋体"/>
          <w:color w:val="000000" w:themeColor="text1"/>
          <w:kern w:val="0"/>
          <w:sz w:val="28"/>
          <w:szCs w:val="28"/>
          <w:highlight w:val="none"/>
          <w:lang w:eastAsia="zh-CN"/>
          <w14:textFill>
            <w14:solidFill>
              <w14:schemeClr w14:val="tx1"/>
            </w14:solidFill>
          </w14:textFill>
        </w:rPr>
        <w:t>未</w:t>
      </w:r>
      <w:r>
        <w:rPr>
          <w:rFonts w:hint="eastAsia" w:ascii="宋体" w:hAnsi="宋体" w:eastAsia="宋体" w:cs="宋体"/>
          <w:color w:val="000000" w:themeColor="text1"/>
          <w:kern w:val="0"/>
          <w:sz w:val="28"/>
          <w:szCs w:val="28"/>
          <w:highlight w:val="none"/>
          <w14:textFill>
            <w14:solidFill>
              <w14:schemeClr w14:val="tx1"/>
            </w14:solidFill>
          </w14:textFill>
        </w:rPr>
        <w:t>被列入失信被执行人</w:t>
      </w:r>
      <w:r>
        <w:rPr>
          <w:rFonts w:hint="eastAsia" w:ascii="宋体" w:hAnsi="宋体" w:eastAsia="宋体" w:cs="宋体"/>
          <w:color w:val="000000" w:themeColor="text1"/>
          <w:kern w:val="0"/>
          <w:sz w:val="28"/>
          <w:szCs w:val="28"/>
          <w:highlight w:val="none"/>
          <w:lang w:eastAsia="zh-CN"/>
          <w14:textFill>
            <w14:solidFill>
              <w14:schemeClr w14:val="tx1"/>
            </w14:solidFill>
          </w14:textFill>
        </w:rPr>
        <w:t>和</w:t>
      </w:r>
      <w:r>
        <w:rPr>
          <w:rFonts w:hint="eastAsia" w:ascii="宋体" w:hAnsi="宋体" w:eastAsia="宋体" w:cs="宋体"/>
          <w:color w:val="000000" w:themeColor="text1"/>
          <w:kern w:val="0"/>
          <w:sz w:val="28"/>
          <w:szCs w:val="28"/>
          <w:highlight w:val="none"/>
          <w14:textFill>
            <w14:solidFill>
              <w14:schemeClr w14:val="tx1"/>
            </w14:solidFill>
          </w14:textFill>
        </w:rPr>
        <w:t>重大税收违法失信主体、</w:t>
      </w:r>
      <w:r>
        <w:rPr>
          <w:rFonts w:hint="eastAsia" w:ascii="宋体" w:hAnsi="宋体" w:eastAsia="宋体" w:cs="宋体"/>
          <w:color w:val="000000" w:themeColor="text1"/>
          <w:kern w:val="0"/>
          <w:sz w:val="28"/>
          <w:szCs w:val="28"/>
          <w:highlight w:val="none"/>
          <w:lang w:eastAsia="zh-CN"/>
          <w14:textFill>
            <w14:solidFill>
              <w14:schemeClr w14:val="tx1"/>
            </w14:solidFill>
          </w14:textFill>
        </w:rPr>
        <w:t>在</w:t>
      </w:r>
      <w:r>
        <w:rPr>
          <w:rFonts w:hint="eastAsia" w:ascii="宋体" w:hAnsi="宋体" w:eastAsia="宋体" w:cs="宋体"/>
          <w:color w:val="000000" w:themeColor="text1"/>
          <w:kern w:val="0"/>
          <w:sz w:val="28"/>
          <w:szCs w:val="28"/>
          <w:highlight w:val="none"/>
          <w14:textFill>
            <w14:solidFill>
              <w14:schemeClr w14:val="tx1"/>
            </w14:solidFill>
          </w14:textFill>
        </w:rPr>
        <w:t>中国政府采购网</w:t>
      </w:r>
      <w:r>
        <w:rPr>
          <w:rFonts w:hint="eastAsia" w:ascii="宋体" w:hAnsi="宋体" w:eastAsia="宋体" w:cs="宋体"/>
          <w:color w:val="000000" w:themeColor="text1"/>
          <w:kern w:val="0"/>
          <w:sz w:val="28"/>
          <w:szCs w:val="28"/>
          <w:highlight w:val="none"/>
          <w:lang w:eastAsia="zh-CN"/>
          <w14:textFill>
            <w14:solidFill>
              <w14:schemeClr w14:val="tx1"/>
            </w14:solidFill>
          </w14:textFill>
        </w:rPr>
        <w:t>中未被列入</w:t>
      </w:r>
      <w:r>
        <w:rPr>
          <w:rFonts w:hint="eastAsia" w:ascii="宋体" w:hAnsi="宋体" w:eastAsia="宋体" w:cs="宋体"/>
          <w:color w:val="000000" w:themeColor="text1"/>
          <w:kern w:val="0"/>
          <w:sz w:val="28"/>
          <w:szCs w:val="28"/>
          <w:highlight w:val="none"/>
          <w14:textFill>
            <w14:solidFill>
              <w14:schemeClr w14:val="tx1"/>
            </w14:solidFill>
          </w14:textFill>
        </w:rPr>
        <w:t>严重违法失信行为记录名单的（尚在处罚期内的）</w:t>
      </w:r>
      <w:r>
        <w:rPr>
          <w:rFonts w:hint="eastAsia" w:ascii="宋体" w:hAnsi="宋体" w:eastAsia="宋体" w:cs="宋体"/>
          <w:color w:val="000000" w:themeColor="text1"/>
          <w:kern w:val="0"/>
          <w:sz w:val="28"/>
          <w:szCs w:val="28"/>
          <w:highlight w:val="none"/>
          <w:lang w:eastAsia="zh-CN"/>
          <w14:textFill>
            <w14:solidFill>
              <w14:schemeClr w14:val="tx1"/>
            </w14:solidFill>
          </w14:textFill>
        </w:rPr>
        <w:t>。</w:t>
      </w:r>
    </w:p>
    <w:p w14:paraId="7AC232E1">
      <w:pPr>
        <w:keepNext w:val="0"/>
        <w:keepLines w:val="0"/>
        <w:pageBreakBefore w:val="0"/>
        <w:widowControl w:val="0"/>
        <w:kinsoku/>
        <w:wordWrap/>
        <w:overflowPunct/>
        <w:topLinePunct w:val="0"/>
        <w:bidi w:val="0"/>
        <w:adjustRightInd/>
        <w:snapToGrid/>
        <w:spacing w:line="560" w:lineRule="exact"/>
        <w:ind w:left="0" w:leftChars="0" w:firstLine="560" w:firstLineChars="200"/>
        <w:textAlignment w:val="auto"/>
        <w:rPr>
          <w:rFonts w:hint="eastAsia" w:ascii="宋体" w:hAnsi="宋体" w:eastAsia="宋体" w:cs="宋体"/>
          <w:color w:val="000000" w:themeColor="text1"/>
          <w:kern w:val="0"/>
          <w:sz w:val="28"/>
          <w:szCs w:val="28"/>
          <w:highlight w:val="none"/>
          <w14:textFill>
            <w14:solidFill>
              <w14:schemeClr w14:val="tx1"/>
            </w14:solidFill>
          </w14:textFill>
        </w:rPr>
      </w:pPr>
      <w:r>
        <w:rPr>
          <w:rFonts w:hint="eastAsia" w:ascii="宋体" w:hAnsi="宋体" w:eastAsia="宋体" w:cs="宋体"/>
          <w:color w:val="000000" w:themeColor="text1"/>
          <w:kern w:val="0"/>
          <w:sz w:val="28"/>
          <w:szCs w:val="28"/>
          <w:highlight w:val="none"/>
          <w14:textFill>
            <w14:solidFill>
              <w14:schemeClr w14:val="tx1"/>
            </w14:solidFill>
          </w14:textFill>
        </w:rPr>
        <w:t>本公司对上述承诺的真实性负责。如有虚假，我公司同意</w:t>
      </w:r>
      <w:r>
        <w:rPr>
          <w:rFonts w:hint="eastAsia" w:ascii="宋体" w:hAnsi="宋体" w:eastAsia="宋体" w:cs="宋体"/>
          <w:color w:val="000000" w:themeColor="text1"/>
          <w:kern w:val="0"/>
          <w:sz w:val="28"/>
          <w:szCs w:val="28"/>
          <w:highlight w:val="none"/>
          <w:lang w:val="en-US" w:eastAsia="zh-CN"/>
          <w14:textFill>
            <w14:solidFill>
              <w14:schemeClr w14:val="tx1"/>
            </w14:solidFill>
          </w14:textFill>
        </w:rPr>
        <w:t>承担一切相关的后果，并</w:t>
      </w:r>
      <w:r>
        <w:rPr>
          <w:rFonts w:hint="eastAsia" w:ascii="宋体" w:hAnsi="宋体" w:eastAsia="宋体" w:cs="宋体"/>
          <w:color w:val="000000" w:themeColor="text1"/>
          <w:kern w:val="0"/>
          <w:sz w:val="28"/>
          <w:szCs w:val="28"/>
          <w:highlight w:val="none"/>
          <w14:textFill>
            <w14:solidFill>
              <w14:schemeClr w14:val="tx1"/>
            </w14:solidFill>
          </w14:textFill>
        </w:rPr>
        <w:t>依法承担相应法律责任。</w:t>
      </w:r>
    </w:p>
    <w:p w14:paraId="2F6B3743">
      <w:pPr>
        <w:keepNext w:val="0"/>
        <w:keepLines w:val="0"/>
        <w:pageBreakBefore w:val="0"/>
        <w:widowControl w:val="0"/>
        <w:kinsoku/>
        <w:wordWrap/>
        <w:overflowPunct/>
        <w:topLinePunct w:val="0"/>
        <w:bidi w:val="0"/>
        <w:adjustRightInd/>
        <w:snapToGrid/>
        <w:spacing w:line="560" w:lineRule="exact"/>
        <w:ind w:left="0" w:leftChars="0" w:firstLine="560" w:firstLineChars="200"/>
        <w:textAlignment w:val="auto"/>
        <w:rPr>
          <w:rFonts w:hint="eastAsia" w:ascii="宋体" w:hAnsi="宋体" w:eastAsia="宋体" w:cs="宋体"/>
          <w:color w:val="000000" w:themeColor="text1"/>
          <w:sz w:val="28"/>
          <w:szCs w:val="28"/>
          <w:highlight w:val="none"/>
          <w14:textFill>
            <w14:solidFill>
              <w14:schemeClr w14:val="tx1"/>
            </w14:solidFill>
          </w14:textFill>
        </w:rPr>
      </w:pPr>
    </w:p>
    <w:p w14:paraId="2C0260CC">
      <w:pPr>
        <w:keepNext w:val="0"/>
        <w:keepLines w:val="0"/>
        <w:pageBreakBefore w:val="0"/>
        <w:widowControl w:val="0"/>
        <w:kinsoku/>
        <w:wordWrap/>
        <w:overflowPunct/>
        <w:topLinePunct w:val="0"/>
        <w:bidi w:val="0"/>
        <w:adjustRightInd/>
        <w:snapToGrid/>
        <w:spacing w:line="560" w:lineRule="exact"/>
        <w:ind w:left="0" w:leftChars="0" w:firstLine="560" w:firstLineChars="200"/>
        <w:textAlignment w:val="auto"/>
        <w:rPr>
          <w:rFonts w:hint="eastAsia" w:ascii="宋体" w:hAnsi="宋体" w:eastAsia="宋体" w:cs="宋体"/>
          <w:color w:val="000000" w:themeColor="text1"/>
          <w:sz w:val="28"/>
          <w:szCs w:val="28"/>
          <w:highlight w:val="none"/>
          <w14:textFill>
            <w14:solidFill>
              <w14:schemeClr w14:val="tx1"/>
            </w14:solidFill>
          </w14:textFill>
        </w:rPr>
      </w:pPr>
    </w:p>
    <w:p w14:paraId="67BBB2B3">
      <w:pPr>
        <w:keepNext w:val="0"/>
        <w:keepLines w:val="0"/>
        <w:pageBreakBefore w:val="0"/>
        <w:widowControl w:val="0"/>
        <w:kinsoku/>
        <w:wordWrap/>
        <w:overflowPunct/>
        <w:topLinePunct w:val="0"/>
        <w:autoSpaceDE w:val="0"/>
        <w:autoSpaceDN w:val="0"/>
        <w:bidi w:val="0"/>
        <w:adjustRightInd/>
        <w:snapToGrid/>
        <w:spacing w:line="560" w:lineRule="exact"/>
        <w:ind w:firstLine="2800" w:firstLineChars="1000"/>
        <w:jc w:val="both"/>
        <w:textAlignment w:val="auto"/>
        <w:rPr>
          <w:rFonts w:hint="eastAsia" w:ascii="宋体" w:hAnsi="宋体" w:eastAsia="宋体" w:cs="宋体"/>
          <w:color w:val="000000" w:themeColor="text1"/>
          <w:kern w:val="0"/>
          <w:sz w:val="28"/>
          <w:szCs w:val="28"/>
          <w:highlight w:val="none"/>
          <w:lang w:val="en-US" w:eastAsia="zh-CN"/>
          <w14:textFill>
            <w14:solidFill>
              <w14:schemeClr w14:val="tx1"/>
            </w14:solidFill>
          </w14:textFill>
        </w:rPr>
      </w:pPr>
      <w:r>
        <w:rPr>
          <w:rFonts w:hint="eastAsia" w:ascii="宋体" w:hAnsi="宋体" w:eastAsia="宋体" w:cs="宋体"/>
          <w:color w:val="000000" w:themeColor="text1"/>
          <w:kern w:val="0"/>
          <w:sz w:val="28"/>
          <w:szCs w:val="28"/>
          <w:highlight w:val="none"/>
          <w14:textFill>
            <w14:solidFill>
              <w14:schemeClr w14:val="tx1"/>
            </w14:solidFill>
          </w14:textFill>
        </w:rPr>
        <w:t>供应商名称（电子公章）：</w:t>
      </w:r>
      <w:r>
        <w:rPr>
          <w:rFonts w:hint="eastAsia" w:ascii="宋体" w:hAnsi="宋体" w:eastAsia="宋体" w:cs="宋体"/>
          <w:color w:val="000000" w:themeColor="text1"/>
          <w:kern w:val="0"/>
          <w:sz w:val="28"/>
          <w:szCs w:val="28"/>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8"/>
          <w:szCs w:val="28"/>
          <w:highlight w:val="none"/>
          <w:lang w:val="en-US" w:eastAsia="zh-CN"/>
          <w14:textFill>
            <w14:solidFill>
              <w14:schemeClr w14:val="tx1"/>
            </w14:solidFill>
          </w14:textFill>
        </w:rPr>
        <w:t xml:space="preserve">                               </w:t>
      </w:r>
    </w:p>
    <w:p w14:paraId="374917E8">
      <w:pPr>
        <w:keepNext w:val="0"/>
        <w:keepLines w:val="0"/>
        <w:pageBreakBefore w:val="0"/>
        <w:widowControl/>
        <w:kinsoku/>
        <w:wordWrap/>
        <w:overflowPunct/>
        <w:topLinePunct w:val="0"/>
        <w:autoSpaceDE/>
        <w:autoSpaceDN/>
        <w:bidi w:val="0"/>
        <w:adjustRightInd/>
        <w:snapToGrid/>
        <w:spacing w:line="560" w:lineRule="exact"/>
        <w:ind w:right="0" w:firstLine="0" w:firstLineChars="0"/>
        <w:jc w:val="right"/>
        <w:textAlignment w:val="auto"/>
        <w:rPr>
          <w:rFonts w:cs="仿宋_GB2312" w:asciiTheme="minorEastAsia" w:hAnsiTheme="minorEastAsia" w:eastAsiaTheme="minorEastAsia"/>
          <w:color w:val="000000" w:themeColor="text1"/>
          <w:kern w:val="0"/>
          <w:sz w:val="28"/>
          <w:szCs w:val="28"/>
          <w:highlight w:val="none"/>
          <w14:textFill>
            <w14:solidFill>
              <w14:schemeClr w14:val="tx1"/>
            </w14:solidFill>
          </w14:textFill>
        </w:rPr>
      </w:pPr>
      <w:r>
        <w:rPr>
          <w:rFonts w:hint="eastAsia" w:ascii="宋体" w:hAnsi="宋体" w:eastAsia="宋体" w:cs="宋体"/>
          <w:color w:val="000000" w:themeColor="text1"/>
          <w:kern w:val="0"/>
          <w:sz w:val="28"/>
          <w:szCs w:val="28"/>
          <w:highlight w:val="none"/>
          <w:lang w:val="en-US" w:eastAsia="zh-CN"/>
          <w14:textFill>
            <w14:solidFill>
              <w14:schemeClr w14:val="tx1"/>
            </w14:solidFill>
          </w14:textFill>
        </w:rPr>
        <w:t xml:space="preserve">    </w:t>
      </w:r>
      <w:r>
        <w:rPr>
          <w:rFonts w:hint="eastAsia" w:ascii="宋体" w:hAnsi="宋体" w:eastAsia="宋体" w:cs="宋体"/>
          <w:color w:val="000000" w:themeColor="text1"/>
          <w:kern w:val="0"/>
          <w:sz w:val="28"/>
          <w:szCs w:val="28"/>
          <w:highlight w:val="none"/>
          <w:lang w:val="zh-CN"/>
          <w14:textFill>
            <w14:solidFill>
              <w14:schemeClr w14:val="tx1"/>
            </w14:solidFill>
          </w14:textFill>
        </w:rPr>
        <w:t>日</w:t>
      </w:r>
      <w:r>
        <w:rPr>
          <w:rFonts w:hint="eastAsia" w:ascii="宋体" w:hAnsi="宋体" w:eastAsia="宋体" w:cs="宋体"/>
          <w:color w:val="000000" w:themeColor="text1"/>
          <w:kern w:val="0"/>
          <w:sz w:val="28"/>
          <w:szCs w:val="28"/>
          <w:highlight w:val="none"/>
          <w:lang w:val="en-US" w:eastAsia="zh-CN"/>
          <w14:textFill>
            <w14:solidFill>
              <w14:schemeClr w14:val="tx1"/>
            </w14:solidFill>
          </w14:textFill>
        </w:rPr>
        <w:t xml:space="preserve">     </w:t>
      </w:r>
      <w:r>
        <w:rPr>
          <w:rFonts w:hint="eastAsia" w:ascii="宋体" w:hAnsi="宋体" w:eastAsia="宋体" w:cs="宋体"/>
          <w:color w:val="000000" w:themeColor="text1"/>
          <w:kern w:val="0"/>
          <w:sz w:val="28"/>
          <w:szCs w:val="28"/>
          <w:highlight w:val="none"/>
          <w:lang w:val="zh-CN"/>
          <w14:textFill>
            <w14:solidFill>
              <w14:schemeClr w14:val="tx1"/>
            </w14:solidFill>
          </w14:textFill>
        </w:rPr>
        <w:t>期：</w:t>
      </w:r>
      <w:r>
        <w:rPr>
          <w:rFonts w:hint="eastAsia" w:ascii="宋体" w:hAnsi="宋体" w:eastAsia="宋体" w:cs="宋体"/>
          <w:color w:val="000000" w:themeColor="text1"/>
          <w:kern w:val="0"/>
          <w:sz w:val="28"/>
          <w:szCs w:val="28"/>
          <w:highlight w:val="none"/>
          <w:u w:val="single"/>
          <w:lang w:val="zh-CN"/>
          <w14:textFill>
            <w14:solidFill>
              <w14:schemeClr w14:val="tx1"/>
            </w14:solidFill>
          </w14:textFill>
        </w:rPr>
        <w:t xml:space="preserve">  </w:t>
      </w:r>
      <w:r>
        <w:rPr>
          <w:rFonts w:hint="eastAsia" w:ascii="宋体" w:hAnsi="宋体" w:eastAsia="宋体" w:cs="宋体"/>
          <w:color w:val="000000" w:themeColor="text1"/>
          <w:kern w:val="0"/>
          <w:sz w:val="28"/>
          <w:szCs w:val="28"/>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8"/>
          <w:szCs w:val="28"/>
          <w:highlight w:val="none"/>
          <w:lang w:val="zh-CN"/>
          <w14:textFill>
            <w14:solidFill>
              <w14:schemeClr w14:val="tx1"/>
            </w14:solidFill>
          </w14:textFill>
        </w:rPr>
        <w:t>年</w:t>
      </w:r>
      <w:r>
        <w:rPr>
          <w:rFonts w:hint="eastAsia" w:ascii="宋体" w:hAnsi="宋体" w:eastAsia="宋体" w:cs="宋体"/>
          <w:color w:val="000000" w:themeColor="text1"/>
          <w:kern w:val="0"/>
          <w:sz w:val="28"/>
          <w:szCs w:val="28"/>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8"/>
          <w:szCs w:val="28"/>
          <w:highlight w:val="none"/>
          <w:u w:val="single"/>
          <w:lang w:val="zh-CN"/>
          <w14:textFill>
            <w14:solidFill>
              <w14:schemeClr w14:val="tx1"/>
            </w14:solidFill>
          </w14:textFill>
        </w:rPr>
        <w:t xml:space="preserve"> </w:t>
      </w:r>
      <w:r>
        <w:rPr>
          <w:rFonts w:hint="eastAsia" w:ascii="宋体" w:hAnsi="宋体" w:eastAsia="宋体" w:cs="宋体"/>
          <w:color w:val="000000" w:themeColor="text1"/>
          <w:kern w:val="0"/>
          <w:sz w:val="28"/>
          <w:szCs w:val="28"/>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8"/>
          <w:szCs w:val="28"/>
          <w:highlight w:val="none"/>
          <w:u w:val="single"/>
          <w:lang w:val="zh-CN"/>
          <w14:textFill>
            <w14:solidFill>
              <w14:schemeClr w14:val="tx1"/>
            </w14:solidFill>
          </w14:textFill>
        </w:rPr>
        <w:t xml:space="preserve"> </w:t>
      </w:r>
      <w:r>
        <w:rPr>
          <w:rFonts w:hint="eastAsia" w:ascii="宋体" w:hAnsi="宋体" w:eastAsia="宋体" w:cs="宋体"/>
          <w:color w:val="000000" w:themeColor="text1"/>
          <w:kern w:val="0"/>
          <w:sz w:val="28"/>
          <w:szCs w:val="28"/>
          <w:highlight w:val="none"/>
          <w:lang w:val="zh-CN"/>
          <w14:textFill>
            <w14:solidFill>
              <w14:schemeClr w14:val="tx1"/>
            </w14:solidFill>
          </w14:textFill>
        </w:rPr>
        <w:t>月</w:t>
      </w:r>
      <w:r>
        <w:rPr>
          <w:rFonts w:hint="eastAsia" w:ascii="宋体" w:hAnsi="宋体" w:eastAsia="宋体" w:cs="宋体"/>
          <w:color w:val="000000" w:themeColor="text1"/>
          <w:kern w:val="0"/>
          <w:sz w:val="28"/>
          <w:szCs w:val="28"/>
          <w:highlight w:val="none"/>
          <w:u w:val="single"/>
          <w:lang w:val="zh-CN"/>
          <w14:textFill>
            <w14:solidFill>
              <w14:schemeClr w14:val="tx1"/>
            </w14:solidFill>
          </w14:textFill>
        </w:rPr>
        <w:t xml:space="preserve"> </w:t>
      </w:r>
      <w:r>
        <w:rPr>
          <w:rFonts w:hint="eastAsia" w:ascii="宋体" w:hAnsi="宋体" w:eastAsia="宋体" w:cs="宋体"/>
          <w:color w:val="000000" w:themeColor="text1"/>
          <w:kern w:val="0"/>
          <w:sz w:val="28"/>
          <w:szCs w:val="28"/>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8"/>
          <w:szCs w:val="28"/>
          <w:highlight w:val="none"/>
          <w:u w:val="single"/>
          <w:lang w:val="zh-CN"/>
          <w14:textFill>
            <w14:solidFill>
              <w14:schemeClr w14:val="tx1"/>
            </w14:solidFill>
          </w14:textFill>
        </w:rPr>
        <w:t xml:space="preserve">  </w:t>
      </w:r>
      <w:r>
        <w:rPr>
          <w:rFonts w:hint="eastAsia" w:ascii="宋体" w:hAnsi="宋体" w:eastAsia="宋体" w:cs="宋体"/>
          <w:color w:val="000000" w:themeColor="text1"/>
          <w:kern w:val="0"/>
          <w:sz w:val="28"/>
          <w:szCs w:val="28"/>
          <w:highlight w:val="none"/>
          <w:lang w:val="zh-CN"/>
          <w14:textFill>
            <w14:solidFill>
              <w14:schemeClr w14:val="tx1"/>
            </w14:solidFill>
          </w14:textFill>
        </w:rPr>
        <w:t>日</w:t>
      </w:r>
    </w:p>
    <w:p w14:paraId="15D8DF2B">
      <w:pPr>
        <w:keepNext w:val="0"/>
        <w:keepLines w:val="0"/>
        <w:pageBreakBefore w:val="0"/>
        <w:widowControl/>
        <w:kinsoku/>
        <w:wordWrap/>
        <w:overflowPunct/>
        <w:topLinePunct w:val="0"/>
        <w:autoSpaceDE/>
        <w:autoSpaceDN/>
        <w:bidi w:val="0"/>
        <w:adjustRightInd/>
        <w:snapToGrid/>
        <w:spacing w:line="560" w:lineRule="exact"/>
        <w:ind w:right="0" w:firstLine="0" w:firstLineChars="0"/>
        <w:jc w:val="both"/>
        <w:textAlignment w:val="auto"/>
        <w:rPr>
          <w:rFonts w:cs="仿宋_GB2312" w:asciiTheme="minorEastAsia" w:hAnsiTheme="minorEastAsia" w:eastAsiaTheme="minorEastAsia"/>
          <w:color w:val="000000" w:themeColor="text1"/>
          <w:kern w:val="0"/>
          <w:sz w:val="28"/>
          <w:szCs w:val="28"/>
          <w:highlight w:val="none"/>
          <w14:textFill>
            <w14:solidFill>
              <w14:schemeClr w14:val="tx1"/>
            </w14:solidFill>
          </w14:textFill>
        </w:rPr>
      </w:pPr>
    </w:p>
    <w:p w14:paraId="7CD8F820">
      <w:pPr>
        <w:keepNext w:val="0"/>
        <w:keepLines w:val="0"/>
        <w:pageBreakBefore w:val="0"/>
        <w:widowControl/>
        <w:kinsoku/>
        <w:wordWrap/>
        <w:overflowPunct/>
        <w:topLinePunct w:val="0"/>
        <w:autoSpaceDE/>
        <w:autoSpaceDN/>
        <w:bidi w:val="0"/>
        <w:adjustRightInd/>
        <w:snapToGrid/>
        <w:spacing w:line="560" w:lineRule="exact"/>
        <w:ind w:right="0" w:firstLine="0" w:firstLineChars="0"/>
        <w:jc w:val="both"/>
        <w:textAlignment w:val="auto"/>
        <w:rPr>
          <w:rFonts w:cs="仿宋_GB2312" w:asciiTheme="minorEastAsia" w:hAnsiTheme="minorEastAsia" w:eastAsiaTheme="minorEastAsia"/>
          <w:color w:val="000000" w:themeColor="text1"/>
          <w:kern w:val="0"/>
          <w:sz w:val="28"/>
          <w:szCs w:val="28"/>
          <w:highlight w:val="none"/>
          <w14:textFill>
            <w14:solidFill>
              <w14:schemeClr w14:val="tx1"/>
            </w14:solidFill>
          </w14:textFill>
        </w:rPr>
      </w:pPr>
    </w:p>
    <w:p w14:paraId="7F9538C5">
      <w:pPr>
        <w:keepNext w:val="0"/>
        <w:keepLines w:val="0"/>
        <w:pageBreakBefore w:val="0"/>
        <w:widowControl/>
        <w:kinsoku/>
        <w:wordWrap/>
        <w:overflowPunct/>
        <w:topLinePunct w:val="0"/>
        <w:autoSpaceDE/>
        <w:autoSpaceDN/>
        <w:bidi w:val="0"/>
        <w:adjustRightInd/>
        <w:snapToGrid/>
        <w:spacing w:line="560" w:lineRule="exact"/>
        <w:ind w:right="0" w:firstLine="0" w:firstLineChars="0"/>
        <w:jc w:val="both"/>
        <w:textAlignment w:val="auto"/>
        <w:rPr>
          <w:rFonts w:cs="仿宋_GB2312" w:asciiTheme="minorEastAsia" w:hAnsiTheme="minorEastAsia" w:eastAsiaTheme="minorEastAsia"/>
          <w:color w:val="000000" w:themeColor="text1"/>
          <w:kern w:val="0"/>
          <w:sz w:val="28"/>
          <w:szCs w:val="28"/>
          <w:highlight w:val="none"/>
          <w14:textFill>
            <w14:solidFill>
              <w14:schemeClr w14:val="tx1"/>
            </w14:solidFill>
          </w14:textFill>
        </w:rPr>
      </w:pPr>
    </w:p>
    <w:p w14:paraId="5B57F1B1">
      <w:pPr>
        <w:keepNext w:val="0"/>
        <w:keepLines w:val="0"/>
        <w:pageBreakBefore w:val="0"/>
        <w:widowControl/>
        <w:kinsoku/>
        <w:wordWrap/>
        <w:overflowPunct/>
        <w:topLinePunct w:val="0"/>
        <w:autoSpaceDE/>
        <w:autoSpaceDN/>
        <w:bidi w:val="0"/>
        <w:adjustRightInd/>
        <w:snapToGrid/>
        <w:spacing w:line="560" w:lineRule="exact"/>
        <w:ind w:right="0" w:firstLine="0" w:firstLineChars="0"/>
        <w:jc w:val="both"/>
        <w:textAlignment w:val="auto"/>
        <w:rPr>
          <w:rFonts w:cs="仿宋_GB2312" w:asciiTheme="minorEastAsia" w:hAnsiTheme="minorEastAsia" w:eastAsiaTheme="minorEastAsia"/>
          <w:color w:val="000000" w:themeColor="text1"/>
          <w:kern w:val="0"/>
          <w:sz w:val="28"/>
          <w:szCs w:val="28"/>
          <w:highlight w:val="none"/>
          <w14:textFill>
            <w14:solidFill>
              <w14:schemeClr w14:val="tx1"/>
            </w14:solidFill>
          </w14:textFill>
        </w:rPr>
      </w:pPr>
    </w:p>
    <w:p w14:paraId="35C11C85">
      <w:pPr>
        <w:keepNext w:val="0"/>
        <w:keepLines w:val="0"/>
        <w:pageBreakBefore w:val="0"/>
        <w:widowControl/>
        <w:kinsoku/>
        <w:wordWrap/>
        <w:overflowPunct/>
        <w:topLinePunct w:val="0"/>
        <w:autoSpaceDE/>
        <w:autoSpaceDN/>
        <w:bidi w:val="0"/>
        <w:adjustRightInd/>
        <w:snapToGrid/>
        <w:spacing w:line="560" w:lineRule="exact"/>
        <w:ind w:right="0" w:firstLine="0" w:firstLineChars="0"/>
        <w:jc w:val="both"/>
        <w:textAlignment w:val="auto"/>
        <w:rPr>
          <w:rFonts w:cs="仿宋_GB2312" w:asciiTheme="minorEastAsia" w:hAnsiTheme="minorEastAsia" w:eastAsiaTheme="minorEastAsia"/>
          <w:color w:val="000000" w:themeColor="text1"/>
          <w:kern w:val="0"/>
          <w:sz w:val="28"/>
          <w:szCs w:val="28"/>
          <w:highlight w:val="none"/>
          <w14:textFill>
            <w14:solidFill>
              <w14:schemeClr w14:val="tx1"/>
            </w14:solidFill>
          </w14:textFill>
        </w:rPr>
      </w:pPr>
    </w:p>
    <w:p w14:paraId="0A7A0D52">
      <w:pPr>
        <w:keepNext w:val="0"/>
        <w:keepLines w:val="0"/>
        <w:pageBreakBefore w:val="0"/>
        <w:widowControl/>
        <w:kinsoku/>
        <w:wordWrap/>
        <w:overflowPunct/>
        <w:topLinePunct w:val="0"/>
        <w:autoSpaceDE/>
        <w:autoSpaceDN/>
        <w:bidi w:val="0"/>
        <w:adjustRightInd/>
        <w:snapToGrid/>
        <w:spacing w:line="560" w:lineRule="exact"/>
        <w:ind w:right="0" w:firstLine="0" w:firstLineChars="0"/>
        <w:jc w:val="both"/>
        <w:textAlignment w:val="auto"/>
        <w:rPr>
          <w:rFonts w:cs="仿宋_GB2312" w:asciiTheme="minorEastAsia" w:hAnsiTheme="minorEastAsia" w:eastAsiaTheme="minorEastAsia"/>
          <w:color w:val="000000" w:themeColor="text1"/>
          <w:kern w:val="0"/>
          <w:sz w:val="28"/>
          <w:szCs w:val="28"/>
          <w:highlight w:val="none"/>
          <w14:textFill>
            <w14:solidFill>
              <w14:schemeClr w14:val="tx1"/>
            </w14:solidFill>
          </w14:textFill>
        </w:rPr>
      </w:pPr>
    </w:p>
    <w:p w14:paraId="393577C8">
      <w:pPr>
        <w:keepNext w:val="0"/>
        <w:keepLines w:val="0"/>
        <w:pageBreakBefore w:val="0"/>
        <w:widowControl/>
        <w:kinsoku/>
        <w:wordWrap/>
        <w:overflowPunct/>
        <w:topLinePunct w:val="0"/>
        <w:autoSpaceDE/>
        <w:autoSpaceDN/>
        <w:bidi w:val="0"/>
        <w:adjustRightInd/>
        <w:snapToGrid/>
        <w:spacing w:line="560" w:lineRule="exact"/>
        <w:ind w:right="0" w:firstLine="0" w:firstLineChars="0"/>
        <w:jc w:val="both"/>
        <w:textAlignment w:val="auto"/>
        <w:rPr>
          <w:rFonts w:cs="仿宋_GB2312" w:asciiTheme="minorEastAsia" w:hAnsiTheme="minorEastAsia" w:eastAsiaTheme="minorEastAsia"/>
          <w:color w:val="000000" w:themeColor="text1"/>
          <w:kern w:val="0"/>
          <w:sz w:val="28"/>
          <w:szCs w:val="28"/>
          <w:highlight w:val="none"/>
          <w14:textFill>
            <w14:solidFill>
              <w14:schemeClr w14:val="tx1"/>
            </w14:solidFill>
          </w14:textFill>
        </w:rPr>
      </w:pPr>
    </w:p>
    <w:p w14:paraId="60C1B45C">
      <w:pPr>
        <w:keepNext w:val="0"/>
        <w:keepLines w:val="0"/>
        <w:pageBreakBefore w:val="0"/>
        <w:widowControl/>
        <w:kinsoku/>
        <w:wordWrap/>
        <w:overflowPunct/>
        <w:topLinePunct w:val="0"/>
        <w:autoSpaceDE/>
        <w:autoSpaceDN/>
        <w:bidi w:val="0"/>
        <w:adjustRightInd/>
        <w:snapToGrid/>
        <w:spacing w:line="560" w:lineRule="exact"/>
        <w:ind w:right="0" w:firstLine="0" w:firstLineChars="0"/>
        <w:jc w:val="both"/>
        <w:textAlignment w:val="auto"/>
        <w:rPr>
          <w:rFonts w:cs="仿宋_GB2312" w:asciiTheme="minorEastAsia" w:hAnsiTheme="minorEastAsia" w:eastAsiaTheme="minorEastAsia"/>
          <w:color w:val="000000" w:themeColor="text1"/>
          <w:kern w:val="0"/>
          <w:sz w:val="28"/>
          <w:szCs w:val="28"/>
          <w:highlight w:val="none"/>
          <w14:textFill>
            <w14:solidFill>
              <w14:schemeClr w14:val="tx1"/>
            </w14:solidFill>
          </w14:textFill>
        </w:rPr>
      </w:pPr>
    </w:p>
    <w:p w14:paraId="6714E82F">
      <w:pPr>
        <w:keepNext w:val="0"/>
        <w:keepLines w:val="0"/>
        <w:pageBreakBefore w:val="0"/>
        <w:widowControl/>
        <w:kinsoku/>
        <w:wordWrap/>
        <w:overflowPunct/>
        <w:topLinePunct w:val="0"/>
        <w:autoSpaceDE/>
        <w:autoSpaceDN/>
        <w:bidi w:val="0"/>
        <w:adjustRightInd/>
        <w:snapToGrid/>
        <w:spacing w:line="560" w:lineRule="exact"/>
        <w:ind w:right="0" w:firstLine="0" w:firstLineChars="0"/>
        <w:jc w:val="both"/>
        <w:textAlignment w:val="auto"/>
        <w:rPr>
          <w:rFonts w:cs="仿宋_GB2312" w:asciiTheme="minorEastAsia" w:hAnsiTheme="minorEastAsia" w:eastAsiaTheme="minorEastAsia"/>
          <w:color w:val="000000" w:themeColor="text1"/>
          <w:kern w:val="0"/>
          <w:sz w:val="28"/>
          <w:szCs w:val="28"/>
          <w:highlight w:val="none"/>
          <w14:textFill>
            <w14:solidFill>
              <w14:schemeClr w14:val="tx1"/>
            </w14:solidFill>
          </w14:textFill>
        </w:rPr>
      </w:pPr>
    </w:p>
    <w:p w14:paraId="7A4B00AF">
      <w:pPr>
        <w:keepNext w:val="0"/>
        <w:keepLines w:val="0"/>
        <w:pageBreakBefore w:val="0"/>
        <w:widowControl/>
        <w:kinsoku/>
        <w:wordWrap/>
        <w:overflowPunct/>
        <w:topLinePunct w:val="0"/>
        <w:autoSpaceDE/>
        <w:autoSpaceDN/>
        <w:bidi w:val="0"/>
        <w:adjustRightInd/>
        <w:snapToGrid/>
        <w:spacing w:line="560" w:lineRule="exact"/>
        <w:ind w:right="0" w:firstLine="0" w:firstLineChars="0"/>
        <w:jc w:val="both"/>
        <w:textAlignment w:val="auto"/>
        <w:rPr>
          <w:rFonts w:cs="仿宋_GB2312" w:asciiTheme="minorEastAsia" w:hAnsiTheme="minorEastAsia" w:eastAsiaTheme="minorEastAsia"/>
          <w:color w:val="000000" w:themeColor="text1"/>
          <w:kern w:val="0"/>
          <w:sz w:val="28"/>
          <w:szCs w:val="28"/>
          <w:highlight w:val="none"/>
          <w14:textFill>
            <w14:solidFill>
              <w14:schemeClr w14:val="tx1"/>
            </w14:solidFill>
          </w14:textFill>
        </w:rPr>
      </w:pPr>
    </w:p>
    <w:p w14:paraId="516B4CA9">
      <w:pPr>
        <w:keepNext w:val="0"/>
        <w:keepLines w:val="0"/>
        <w:pageBreakBefore w:val="0"/>
        <w:widowControl/>
        <w:kinsoku/>
        <w:wordWrap/>
        <w:overflowPunct/>
        <w:topLinePunct w:val="0"/>
        <w:autoSpaceDE/>
        <w:autoSpaceDN/>
        <w:bidi w:val="0"/>
        <w:adjustRightInd/>
        <w:snapToGrid/>
        <w:spacing w:line="560" w:lineRule="exact"/>
        <w:ind w:right="0" w:firstLine="0" w:firstLineChars="0"/>
        <w:jc w:val="both"/>
        <w:textAlignment w:val="auto"/>
        <w:rPr>
          <w:rFonts w:cs="仿宋_GB2312" w:asciiTheme="minorEastAsia" w:hAnsiTheme="minorEastAsia" w:eastAsiaTheme="minorEastAsia"/>
          <w:color w:val="000000" w:themeColor="text1"/>
          <w:kern w:val="0"/>
          <w:sz w:val="28"/>
          <w:szCs w:val="28"/>
          <w:highlight w:val="none"/>
          <w14:textFill>
            <w14:solidFill>
              <w14:schemeClr w14:val="tx1"/>
            </w14:solidFill>
          </w14:textFill>
        </w:rPr>
      </w:pPr>
    </w:p>
    <w:p w14:paraId="736A51AA">
      <w:pPr>
        <w:keepNext w:val="0"/>
        <w:keepLines w:val="0"/>
        <w:pageBreakBefore w:val="0"/>
        <w:widowControl/>
        <w:kinsoku/>
        <w:wordWrap/>
        <w:overflowPunct/>
        <w:topLinePunct w:val="0"/>
        <w:autoSpaceDE/>
        <w:autoSpaceDN/>
        <w:bidi w:val="0"/>
        <w:adjustRightInd/>
        <w:snapToGrid/>
        <w:spacing w:line="560" w:lineRule="exact"/>
        <w:ind w:right="0" w:firstLine="0" w:firstLineChars="0"/>
        <w:jc w:val="both"/>
        <w:textAlignment w:val="auto"/>
        <w:rPr>
          <w:rFonts w:cs="仿宋_GB2312" w:asciiTheme="minorEastAsia" w:hAnsiTheme="minorEastAsia" w:eastAsiaTheme="minorEastAsia"/>
          <w:color w:val="000000" w:themeColor="text1"/>
          <w:kern w:val="0"/>
          <w:sz w:val="28"/>
          <w:szCs w:val="28"/>
          <w:highlight w:val="none"/>
          <w14:textFill>
            <w14:solidFill>
              <w14:schemeClr w14:val="tx1"/>
            </w14:solidFill>
          </w14:textFill>
        </w:rPr>
      </w:pPr>
    </w:p>
    <w:p w14:paraId="6BECE726">
      <w:pPr>
        <w:keepNext w:val="0"/>
        <w:keepLines w:val="0"/>
        <w:pageBreakBefore w:val="0"/>
        <w:widowControl/>
        <w:kinsoku/>
        <w:wordWrap/>
        <w:overflowPunct/>
        <w:topLinePunct w:val="0"/>
        <w:autoSpaceDE/>
        <w:autoSpaceDN/>
        <w:bidi w:val="0"/>
        <w:adjustRightInd/>
        <w:snapToGrid/>
        <w:spacing w:line="560" w:lineRule="exact"/>
        <w:ind w:right="0" w:firstLine="0" w:firstLineChars="0"/>
        <w:jc w:val="both"/>
        <w:textAlignment w:val="auto"/>
        <w:rPr>
          <w:rFonts w:cs="仿宋_GB2312" w:asciiTheme="minorEastAsia" w:hAnsiTheme="minorEastAsia" w:eastAsiaTheme="minorEastAsia"/>
          <w:color w:val="000000" w:themeColor="text1"/>
          <w:kern w:val="0"/>
          <w:sz w:val="28"/>
          <w:szCs w:val="28"/>
          <w:highlight w:val="none"/>
          <w14:textFill>
            <w14:solidFill>
              <w14:schemeClr w14:val="tx1"/>
            </w14:solidFill>
          </w14:textFill>
        </w:rPr>
      </w:pPr>
    </w:p>
    <w:p w14:paraId="773E8A15">
      <w:pPr>
        <w:keepNext w:val="0"/>
        <w:keepLines w:val="0"/>
        <w:pageBreakBefore w:val="0"/>
        <w:kinsoku/>
        <w:wordWrap/>
        <w:overflowPunct/>
        <w:topLinePunct w:val="0"/>
        <w:autoSpaceDE/>
        <w:autoSpaceDN/>
        <w:bidi w:val="0"/>
        <w:adjustRightInd/>
        <w:snapToGrid/>
        <w:spacing w:line="560" w:lineRule="exact"/>
        <w:ind w:right="0" w:firstLine="0" w:firstLineChars="0"/>
        <w:jc w:val="both"/>
        <w:textAlignment w:val="auto"/>
        <w:rPr>
          <w:rFonts w:cs="仿宋_GB2312" w:asciiTheme="minorEastAsia" w:hAnsiTheme="minorEastAsia" w:eastAsiaTheme="minorEastAsia"/>
          <w:b/>
          <w:color w:val="000000" w:themeColor="text1"/>
          <w:sz w:val="28"/>
          <w:szCs w:val="28"/>
          <w:highlight w:val="none"/>
          <w14:textFill>
            <w14:solidFill>
              <w14:schemeClr w14:val="tx1"/>
            </w14:solidFill>
          </w14:textFill>
        </w:rPr>
      </w:pPr>
      <w:r>
        <w:rPr>
          <w:rFonts w:hint="eastAsia" w:cs="仿宋_GB2312" w:asciiTheme="minorEastAsia" w:hAnsiTheme="minorEastAsia" w:eastAsiaTheme="minorEastAsia"/>
          <w:b/>
          <w:color w:val="000000" w:themeColor="text1"/>
          <w:sz w:val="28"/>
          <w:szCs w:val="28"/>
          <w:highlight w:val="none"/>
          <w14:textFill>
            <w14:solidFill>
              <w14:schemeClr w14:val="tx1"/>
            </w14:solidFill>
          </w14:textFill>
        </w:rPr>
        <w:t>七、保证金凭证</w:t>
      </w:r>
    </w:p>
    <w:p w14:paraId="43F38AB9">
      <w:pPr>
        <w:pStyle w:val="145"/>
        <w:pageBreakBefore w:val="0"/>
        <w:tabs>
          <w:tab w:val="left" w:pos="1429"/>
        </w:tabs>
        <w:wordWrap/>
        <w:topLinePunct w:val="0"/>
        <w:bidi w:val="0"/>
        <w:spacing w:line="560" w:lineRule="exact"/>
        <w:rPr>
          <w:rFonts w:asciiTheme="minorEastAsia" w:hAnsiTheme="minorEastAsia" w:eastAsiaTheme="minorEastAsia"/>
          <w:bCs/>
          <w:color w:val="000000" w:themeColor="text1"/>
          <w:sz w:val="28"/>
          <w:szCs w:val="28"/>
          <w:highlight w:val="none"/>
          <w14:textFill>
            <w14:solidFill>
              <w14:schemeClr w14:val="tx1"/>
            </w14:solidFill>
          </w14:textFill>
        </w:rPr>
      </w:pPr>
      <w:r>
        <w:rPr>
          <w:rFonts w:asciiTheme="minorEastAsia" w:hAnsiTheme="minorEastAsia" w:eastAsiaTheme="minorEastAsia"/>
          <w:bCs/>
          <w:color w:val="000000" w:themeColor="text1"/>
          <w:sz w:val="28"/>
          <w:szCs w:val="28"/>
          <w:highlight w:val="none"/>
          <w14:textFill>
            <w14:solidFill>
              <w14:schemeClr w14:val="tx1"/>
            </w14:solidFill>
          </w14:textFill>
        </w:rPr>
        <w:t>说明：此处上传</w:t>
      </w:r>
      <w:r>
        <w:rPr>
          <w:rFonts w:hint="eastAsia" w:asciiTheme="minorEastAsia" w:hAnsiTheme="minorEastAsia" w:eastAsiaTheme="minorEastAsia"/>
          <w:bCs/>
          <w:color w:val="000000" w:themeColor="text1"/>
          <w:sz w:val="28"/>
          <w:szCs w:val="28"/>
          <w:highlight w:val="none"/>
          <w14:textFill>
            <w14:solidFill>
              <w14:schemeClr w14:val="tx1"/>
            </w14:solidFill>
          </w14:textFill>
        </w:rPr>
        <w:t>投标</w:t>
      </w:r>
      <w:r>
        <w:rPr>
          <w:rFonts w:asciiTheme="minorEastAsia" w:hAnsiTheme="minorEastAsia" w:eastAsiaTheme="minorEastAsia"/>
          <w:bCs/>
          <w:color w:val="000000" w:themeColor="text1"/>
          <w:sz w:val="28"/>
          <w:szCs w:val="28"/>
          <w:highlight w:val="none"/>
          <w14:textFill>
            <w14:solidFill>
              <w14:schemeClr w14:val="tx1"/>
            </w14:solidFill>
          </w14:textFill>
        </w:rPr>
        <w:t>保证金缴纳证明文件</w:t>
      </w:r>
    </w:p>
    <w:p w14:paraId="463A43B7">
      <w:pPr>
        <w:pStyle w:val="145"/>
        <w:pageBreakBefore w:val="0"/>
        <w:tabs>
          <w:tab w:val="left" w:pos="1429"/>
        </w:tabs>
        <w:wordWrap/>
        <w:topLinePunct w:val="0"/>
        <w:bidi w:val="0"/>
        <w:spacing w:line="560" w:lineRule="exact"/>
        <w:rPr>
          <w:rFonts w:asciiTheme="minorEastAsia" w:hAnsiTheme="minorEastAsia" w:eastAsiaTheme="minorEastAsia"/>
          <w:bCs/>
          <w:color w:val="000000" w:themeColor="text1"/>
          <w:sz w:val="28"/>
          <w:szCs w:val="28"/>
          <w:highlight w:val="none"/>
          <w14:textFill>
            <w14:solidFill>
              <w14:schemeClr w14:val="tx1"/>
            </w14:solidFill>
          </w14:textFill>
        </w:rPr>
      </w:pPr>
    </w:p>
    <w:p w14:paraId="5FABE24C">
      <w:pPr>
        <w:pStyle w:val="145"/>
        <w:pageBreakBefore w:val="0"/>
        <w:tabs>
          <w:tab w:val="left" w:pos="1429"/>
        </w:tabs>
        <w:wordWrap/>
        <w:topLinePunct w:val="0"/>
        <w:bidi w:val="0"/>
        <w:spacing w:line="560" w:lineRule="exact"/>
        <w:rPr>
          <w:rFonts w:asciiTheme="minorEastAsia" w:hAnsiTheme="minorEastAsia" w:eastAsiaTheme="minorEastAsia"/>
          <w:bCs/>
          <w:color w:val="000000" w:themeColor="text1"/>
          <w:sz w:val="28"/>
          <w:szCs w:val="28"/>
          <w:highlight w:val="none"/>
          <w14:textFill>
            <w14:solidFill>
              <w14:schemeClr w14:val="tx1"/>
            </w14:solidFill>
          </w14:textFill>
        </w:rPr>
      </w:pPr>
    </w:p>
    <w:p w14:paraId="51F88A3F">
      <w:pPr>
        <w:pStyle w:val="145"/>
        <w:pageBreakBefore w:val="0"/>
        <w:tabs>
          <w:tab w:val="left" w:pos="1429"/>
        </w:tabs>
        <w:wordWrap/>
        <w:topLinePunct w:val="0"/>
        <w:bidi w:val="0"/>
        <w:spacing w:line="560" w:lineRule="exact"/>
        <w:rPr>
          <w:rFonts w:asciiTheme="minorEastAsia" w:hAnsiTheme="minorEastAsia" w:eastAsiaTheme="minorEastAsia"/>
          <w:bCs/>
          <w:color w:val="000000" w:themeColor="text1"/>
          <w:sz w:val="28"/>
          <w:szCs w:val="28"/>
          <w:highlight w:val="none"/>
          <w14:textFill>
            <w14:solidFill>
              <w14:schemeClr w14:val="tx1"/>
            </w14:solidFill>
          </w14:textFill>
        </w:rPr>
      </w:pPr>
    </w:p>
    <w:p w14:paraId="1486FFDF">
      <w:pPr>
        <w:pStyle w:val="145"/>
        <w:pageBreakBefore w:val="0"/>
        <w:tabs>
          <w:tab w:val="left" w:pos="1429"/>
        </w:tabs>
        <w:wordWrap/>
        <w:topLinePunct w:val="0"/>
        <w:bidi w:val="0"/>
        <w:spacing w:line="560" w:lineRule="exact"/>
        <w:rPr>
          <w:rFonts w:asciiTheme="minorEastAsia" w:hAnsiTheme="minorEastAsia" w:eastAsiaTheme="minorEastAsia"/>
          <w:bCs/>
          <w:color w:val="000000" w:themeColor="text1"/>
          <w:sz w:val="28"/>
          <w:szCs w:val="28"/>
          <w:highlight w:val="none"/>
          <w14:textFill>
            <w14:solidFill>
              <w14:schemeClr w14:val="tx1"/>
            </w14:solidFill>
          </w14:textFill>
        </w:rPr>
      </w:pPr>
    </w:p>
    <w:p w14:paraId="590DE998">
      <w:pPr>
        <w:pStyle w:val="145"/>
        <w:pageBreakBefore w:val="0"/>
        <w:tabs>
          <w:tab w:val="left" w:pos="1429"/>
        </w:tabs>
        <w:wordWrap/>
        <w:topLinePunct w:val="0"/>
        <w:bidi w:val="0"/>
        <w:spacing w:line="560" w:lineRule="exact"/>
        <w:rPr>
          <w:rFonts w:asciiTheme="minorEastAsia" w:hAnsiTheme="minorEastAsia" w:eastAsiaTheme="minorEastAsia"/>
          <w:bCs/>
          <w:color w:val="000000" w:themeColor="text1"/>
          <w:sz w:val="28"/>
          <w:szCs w:val="28"/>
          <w:highlight w:val="none"/>
          <w14:textFill>
            <w14:solidFill>
              <w14:schemeClr w14:val="tx1"/>
            </w14:solidFill>
          </w14:textFill>
        </w:rPr>
      </w:pPr>
    </w:p>
    <w:p w14:paraId="29B6913D">
      <w:pPr>
        <w:pStyle w:val="145"/>
        <w:pageBreakBefore w:val="0"/>
        <w:tabs>
          <w:tab w:val="left" w:pos="1429"/>
        </w:tabs>
        <w:wordWrap/>
        <w:topLinePunct w:val="0"/>
        <w:bidi w:val="0"/>
        <w:spacing w:line="560" w:lineRule="exact"/>
        <w:rPr>
          <w:rFonts w:asciiTheme="minorEastAsia" w:hAnsiTheme="minorEastAsia" w:eastAsiaTheme="minorEastAsia"/>
          <w:bCs/>
          <w:color w:val="000000" w:themeColor="text1"/>
          <w:sz w:val="28"/>
          <w:szCs w:val="28"/>
          <w:highlight w:val="none"/>
          <w14:textFill>
            <w14:solidFill>
              <w14:schemeClr w14:val="tx1"/>
            </w14:solidFill>
          </w14:textFill>
        </w:rPr>
      </w:pPr>
    </w:p>
    <w:p w14:paraId="6AB6E6A9">
      <w:pPr>
        <w:pStyle w:val="145"/>
        <w:pageBreakBefore w:val="0"/>
        <w:tabs>
          <w:tab w:val="left" w:pos="1429"/>
        </w:tabs>
        <w:wordWrap/>
        <w:topLinePunct w:val="0"/>
        <w:bidi w:val="0"/>
        <w:spacing w:line="560" w:lineRule="exact"/>
        <w:rPr>
          <w:rFonts w:asciiTheme="minorEastAsia" w:hAnsiTheme="minorEastAsia" w:eastAsiaTheme="minorEastAsia"/>
          <w:bCs/>
          <w:color w:val="000000" w:themeColor="text1"/>
          <w:sz w:val="28"/>
          <w:szCs w:val="28"/>
          <w:highlight w:val="none"/>
          <w14:textFill>
            <w14:solidFill>
              <w14:schemeClr w14:val="tx1"/>
            </w14:solidFill>
          </w14:textFill>
        </w:rPr>
      </w:pPr>
    </w:p>
    <w:p w14:paraId="455F7662">
      <w:pPr>
        <w:pStyle w:val="145"/>
        <w:pageBreakBefore w:val="0"/>
        <w:tabs>
          <w:tab w:val="left" w:pos="1429"/>
        </w:tabs>
        <w:wordWrap/>
        <w:topLinePunct w:val="0"/>
        <w:bidi w:val="0"/>
        <w:spacing w:line="560" w:lineRule="exact"/>
        <w:rPr>
          <w:rFonts w:asciiTheme="minorEastAsia" w:hAnsiTheme="minorEastAsia" w:eastAsiaTheme="minorEastAsia"/>
          <w:bCs/>
          <w:color w:val="000000" w:themeColor="text1"/>
          <w:sz w:val="28"/>
          <w:szCs w:val="28"/>
          <w:highlight w:val="none"/>
          <w14:textFill>
            <w14:solidFill>
              <w14:schemeClr w14:val="tx1"/>
            </w14:solidFill>
          </w14:textFill>
        </w:rPr>
      </w:pPr>
    </w:p>
    <w:p w14:paraId="56A99086">
      <w:pPr>
        <w:pStyle w:val="145"/>
        <w:pageBreakBefore w:val="0"/>
        <w:tabs>
          <w:tab w:val="left" w:pos="1429"/>
        </w:tabs>
        <w:wordWrap/>
        <w:topLinePunct w:val="0"/>
        <w:bidi w:val="0"/>
        <w:spacing w:line="560" w:lineRule="exact"/>
        <w:rPr>
          <w:rFonts w:asciiTheme="minorEastAsia" w:hAnsiTheme="minorEastAsia" w:eastAsiaTheme="minorEastAsia"/>
          <w:bCs/>
          <w:color w:val="000000" w:themeColor="text1"/>
          <w:sz w:val="28"/>
          <w:szCs w:val="28"/>
          <w:highlight w:val="none"/>
          <w14:textFill>
            <w14:solidFill>
              <w14:schemeClr w14:val="tx1"/>
            </w14:solidFill>
          </w14:textFill>
        </w:rPr>
      </w:pPr>
    </w:p>
    <w:p w14:paraId="66264D10">
      <w:pPr>
        <w:pStyle w:val="145"/>
        <w:pageBreakBefore w:val="0"/>
        <w:tabs>
          <w:tab w:val="left" w:pos="1429"/>
        </w:tabs>
        <w:wordWrap/>
        <w:topLinePunct w:val="0"/>
        <w:bidi w:val="0"/>
        <w:spacing w:line="560" w:lineRule="exact"/>
        <w:rPr>
          <w:rFonts w:asciiTheme="minorEastAsia" w:hAnsiTheme="minorEastAsia" w:eastAsiaTheme="minorEastAsia"/>
          <w:bCs/>
          <w:color w:val="000000" w:themeColor="text1"/>
          <w:sz w:val="28"/>
          <w:szCs w:val="28"/>
          <w:highlight w:val="none"/>
          <w14:textFill>
            <w14:solidFill>
              <w14:schemeClr w14:val="tx1"/>
            </w14:solidFill>
          </w14:textFill>
        </w:rPr>
      </w:pPr>
    </w:p>
    <w:p w14:paraId="33DCEC10">
      <w:pPr>
        <w:pStyle w:val="145"/>
        <w:pageBreakBefore w:val="0"/>
        <w:tabs>
          <w:tab w:val="left" w:pos="1429"/>
        </w:tabs>
        <w:wordWrap/>
        <w:topLinePunct w:val="0"/>
        <w:bidi w:val="0"/>
        <w:spacing w:line="560" w:lineRule="exact"/>
        <w:rPr>
          <w:rFonts w:asciiTheme="minorEastAsia" w:hAnsiTheme="minorEastAsia" w:eastAsiaTheme="minorEastAsia"/>
          <w:bCs/>
          <w:color w:val="000000" w:themeColor="text1"/>
          <w:sz w:val="28"/>
          <w:szCs w:val="28"/>
          <w:highlight w:val="none"/>
          <w14:textFill>
            <w14:solidFill>
              <w14:schemeClr w14:val="tx1"/>
            </w14:solidFill>
          </w14:textFill>
        </w:rPr>
      </w:pPr>
    </w:p>
    <w:p w14:paraId="14D1651E">
      <w:pPr>
        <w:pStyle w:val="145"/>
        <w:pageBreakBefore w:val="0"/>
        <w:tabs>
          <w:tab w:val="left" w:pos="1429"/>
        </w:tabs>
        <w:wordWrap/>
        <w:topLinePunct w:val="0"/>
        <w:bidi w:val="0"/>
        <w:spacing w:line="560" w:lineRule="exact"/>
        <w:rPr>
          <w:rFonts w:asciiTheme="minorEastAsia" w:hAnsiTheme="minorEastAsia" w:eastAsiaTheme="minorEastAsia"/>
          <w:bCs/>
          <w:color w:val="000000" w:themeColor="text1"/>
          <w:sz w:val="28"/>
          <w:szCs w:val="28"/>
          <w:highlight w:val="none"/>
          <w14:textFill>
            <w14:solidFill>
              <w14:schemeClr w14:val="tx1"/>
            </w14:solidFill>
          </w14:textFill>
        </w:rPr>
      </w:pPr>
    </w:p>
    <w:p w14:paraId="7045C83D">
      <w:pPr>
        <w:pStyle w:val="145"/>
        <w:pageBreakBefore w:val="0"/>
        <w:tabs>
          <w:tab w:val="left" w:pos="1429"/>
        </w:tabs>
        <w:wordWrap/>
        <w:topLinePunct w:val="0"/>
        <w:bidi w:val="0"/>
        <w:spacing w:line="560" w:lineRule="exact"/>
        <w:rPr>
          <w:rFonts w:asciiTheme="minorEastAsia" w:hAnsiTheme="minorEastAsia" w:eastAsiaTheme="minorEastAsia"/>
          <w:bCs/>
          <w:color w:val="000000" w:themeColor="text1"/>
          <w:sz w:val="28"/>
          <w:szCs w:val="28"/>
          <w:highlight w:val="none"/>
          <w14:textFill>
            <w14:solidFill>
              <w14:schemeClr w14:val="tx1"/>
            </w14:solidFill>
          </w14:textFill>
        </w:rPr>
      </w:pPr>
    </w:p>
    <w:p w14:paraId="6236D59C">
      <w:pPr>
        <w:pStyle w:val="145"/>
        <w:pageBreakBefore w:val="0"/>
        <w:tabs>
          <w:tab w:val="left" w:pos="1429"/>
        </w:tabs>
        <w:wordWrap/>
        <w:topLinePunct w:val="0"/>
        <w:bidi w:val="0"/>
        <w:spacing w:line="560" w:lineRule="exact"/>
        <w:rPr>
          <w:rFonts w:asciiTheme="minorEastAsia" w:hAnsiTheme="minorEastAsia" w:eastAsiaTheme="minorEastAsia"/>
          <w:bCs/>
          <w:color w:val="000000" w:themeColor="text1"/>
          <w:sz w:val="28"/>
          <w:szCs w:val="28"/>
          <w:highlight w:val="none"/>
          <w14:textFill>
            <w14:solidFill>
              <w14:schemeClr w14:val="tx1"/>
            </w14:solidFill>
          </w14:textFill>
        </w:rPr>
      </w:pPr>
    </w:p>
    <w:p w14:paraId="014C9407">
      <w:pPr>
        <w:pStyle w:val="145"/>
        <w:pageBreakBefore w:val="0"/>
        <w:tabs>
          <w:tab w:val="left" w:pos="1429"/>
        </w:tabs>
        <w:wordWrap/>
        <w:topLinePunct w:val="0"/>
        <w:bidi w:val="0"/>
        <w:spacing w:line="560" w:lineRule="exact"/>
        <w:rPr>
          <w:rFonts w:asciiTheme="minorEastAsia" w:hAnsiTheme="minorEastAsia" w:eastAsiaTheme="minorEastAsia"/>
          <w:bCs/>
          <w:color w:val="000000" w:themeColor="text1"/>
          <w:sz w:val="28"/>
          <w:szCs w:val="28"/>
          <w:highlight w:val="none"/>
          <w14:textFill>
            <w14:solidFill>
              <w14:schemeClr w14:val="tx1"/>
            </w14:solidFill>
          </w14:textFill>
        </w:rPr>
      </w:pPr>
    </w:p>
    <w:p w14:paraId="1F419A26">
      <w:pPr>
        <w:pStyle w:val="145"/>
        <w:pageBreakBefore w:val="0"/>
        <w:tabs>
          <w:tab w:val="left" w:pos="1429"/>
        </w:tabs>
        <w:wordWrap/>
        <w:topLinePunct w:val="0"/>
        <w:bidi w:val="0"/>
        <w:spacing w:line="560" w:lineRule="exact"/>
        <w:rPr>
          <w:rFonts w:asciiTheme="minorEastAsia" w:hAnsiTheme="minorEastAsia" w:eastAsiaTheme="minorEastAsia"/>
          <w:bCs/>
          <w:color w:val="000000" w:themeColor="text1"/>
          <w:sz w:val="28"/>
          <w:szCs w:val="28"/>
          <w:highlight w:val="none"/>
          <w14:textFill>
            <w14:solidFill>
              <w14:schemeClr w14:val="tx1"/>
            </w14:solidFill>
          </w14:textFill>
        </w:rPr>
      </w:pPr>
    </w:p>
    <w:p w14:paraId="6A9603BA">
      <w:pPr>
        <w:pStyle w:val="145"/>
        <w:pageBreakBefore w:val="0"/>
        <w:tabs>
          <w:tab w:val="left" w:pos="1429"/>
        </w:tabs>
        <w:wordWrap/>
        <w:topLinePunct w:val="0"/>
        <w:bidi w:val="0"/>
        <w:spacing w:line="560" w:lineRule="exact"/>
        <w:rPr>
          <w:rFonts w:asciiTheme="minorEastAsia" w:hAnsiTheme="minorEastAsia" w:eastAsiaTheme="minorEastAsia"/>
          <w:bCs/>
          <w:color w:val="000000" w:themeColor="text1"/>
          <w:sz w:val="28"/>
          <w:szCs w:val="28"/>
          <w:highlight w:val="none"/>
          <w14:textFill>
            <w14:solidFill>
              <w14:schemeClr w14:val="tx1"/>
            </w14:solidFill>
          </w14:textFill>
        </w:rPr>
      </w:pPr>
    </w:p>
    <w:p w14:paraId="43DEA5DE">
      <w:pPr>
        <w:pStyle w:val="145"/>
        <w:pageBreakBefore w:val="0"/>
        <w:tabs>
          <w:tab w:val="left" w:pos="1429"/>
        </w:tabs>
        <w:wordWrap/>
        <w:topLinePunct w:val="0"/>
        <w:bidi w:val="0"/>
        <w:spacing w:line="560" w:lineRule="exact"/>
        <w:rPr>
          <w:rFonts w:asciiTheme="minorEastAsia" w:hAnsiTheme="minorEastAsia" w:eastAsiaTheme="minorEastAsia"/>
          <w:bCs/>
          <w:color w:val="000000" w:themeColor="text1"/>
          <w:sz w:val="28"/>
          <w:szCs w:val="28"/>
          <w:highlight w:val="none"/>
          <w14:textFill>
            <w14:solidFill>
              <w14:schemeClr w14:val="tx1"/>
            </w14:solidFill>
          </w14:textFill>
        </w:rPr>
      </w:pPr>
    </w:p>
    <w:p w14:paraId="57701371">
      <w:pPr>
        <w:pStyle w:val="145"/>
        <w:pageBreakBefore w:val="0"/>
        <w:tabs>
          <w:tab w:val="left" w:pos="1429"/>
        </w:tabs>
        <w:wordWrap/>
        <w:topLinePunct w:val="0"/>
        <w:bidi w:val="0"/>
        <w:spacing w:line="560" w:lineRule="exact"/>
        <w:rPr>
          <w:rFonts w:asciiTheme="minorEastAsia" w:hAnsiTheme="minorEastAsia" w:eastAsiaTheme="minorEastAsia"/>
          <w:bCs/>
          <w:color w:val="000000" w:themeColor="text1"/>
          <w:sz w:val="28"/>
          <w:szCs w:val="28"/>
          <w:highlight w:val="none"/>
          <w14:textFill>
            <w14:solidFill>
              <w14:schemeClr w14:val="tx1"/>
            </w14:solidFill>
          </w14:textFill>
        </w:rPr>
      </w:pPr>
    </w:p>
    <w:p w14:paraId="5E6CAC0F">
      <w:pPr>
        <w:pageBreakBefore w:val="0"/>
        <w:wordWrap/>
        <w:topLinePunct w:val="0"/>
        <w:bidi w:val="0"/>
        <w:spacing w:line="560" w:lineRule="exact"/>
        <w:rPr>
          <w:color w:val="000000" w:themeColor="text1"/>
          <w:highlight w:val="none"/>
          <w14:textFill>
            <w14:solidFill>
              <w14:schemeClr w14:val="tx1"/>
            </w14:solidFill>
          </w14:textFill>
        </w:rPr>
      </w:pPr>
    </w:p>
    <w:p w14:paraId="6AF4A01C">
      <w:pPr>
        <w:keepNext w:val="0"/>
        <w:keepLines w:val="0"/>
        <w:pageBreakBefore w:val="0"/>
        <w:kinsoku/>
        <w:wordWrap/>
        <w:overflowPunct/>
        <w:topLinePunct w:val="0"/>
        <w:autoSpaceDE/>
        <w:autoSpaceDN/>
        <w:bidi w:val="0"/>
        <w:adjustRightInd/>
        <w:snapToGrid/>
        <w:spacing w:line="560" w:lineRule="exact"/>
        <w:ind w:right="0" w:firstLine="0" w:firstLineChars="0"/>
        <w:jc w:val="both"/>
        <w:textAlignment w:val="auto"/>
        <w:rPr>
          <w:rFonts w:hint="eastAsia" w:cs="仿宋_GB2312" w:asciiTheme="minorEastAsia" w:hAnsiTheme="minorEastAsia" w:eastAsiaTheme="minorEastAsia"/>
          <w:b/>
          <w:color w:val="000000" w:themeColor="text1"/>
          <w:sz w:val="28"/>
          <w:szCs w:val="28"/>
          <w:highlight w:val="none"/>
          <w:lang w:eastAsia="zh-CN"/>
          <w14:textFill>
            <w14:solidFill>
              <w14:schemeClr w14:val="tx1"/>
            </w14:solidFill>
          </w14:textFill>
        </w:rPr>
      </w:pPr>
    </w:p>
    <w:p w14:paraId="5D874595">
      <w:pPr>
        <w:keepNext w:val="0"/>
        <w:keepLines w:val="0"/>
        <w:pageBreakBefore w:val="0"/>
        <w:kinsoku/>
        <w:wordWrap/>
        <w:overflowPunct/>
        <w:topLinePunct w:val="0"/>
        <w:autoSpaceDE/>
        <w:autoSpaceDN/>
        <w:bidi w:val="0"/>
        <w:adjustRightInd/>
        <w:snapToGrid/>
        <w:spacing w:line="560" w:lineRule="exact"/>
        <w:ind w:right="0" w:firstLine="0" w:firstLineChars="0"/>
        <w:jc w:val="both"/>
        <w:textAlignment w:val="auto"/>
        <w:rPr>
          <w:rFonts w:hint="eastAsia" w:cs="仿宋_GB2312" w:asciiTheme="minorEastAsia" w:hAnsiTheme="minorEastAsia" w:eastAsiaTheme="minorEastAsia"/>
          <w:b/>
          <w:color w:val="000000" w:themeColor="text1"/>
          <w:sz w:val="28"/>
          <w:szCs w:val="28"/>
          <w:highlight w:val="none"/>
          <w:lang w:eastAsia="zh-CN"/>
          <w14:textFill>
            <w14:solidFill>
              <w14:schemeClr w14:val="tx1"/>
            </w14:solidFill>
          </w14:textFill>
        </w:rPr>
      </w:pPr>
    </w:p>
    <w:p w14:paraId="2A48F1B6">
      <w:pPr>
        <w:keepNext w:val="0"/>
        <w:keepLines w:val="0"/>
        <w:pageBreakBefore w:val="0"/>
        <w:kinsoku/>
        <w:wordWrap/>
        <w:overflowPunct/>
        <w:topLinePunct w:val="0"/>
        <w:autoSpaceDE/>
        <w:autoSpaceDN/>
        <w:bidi w:val="0"/>
        <w:adjustRightInd/>
        <w:snapToGrid/>
        <w:spacing w:line="560" w:lineRule="exact"/>
        <w:ind w:right="0" w:firstLine="0" w:firstLineChars="0"/>
        <w:jc w:val="both"/>
        <w:textAlignment w:val="auto"/>
        <w:rPr>
          <w:rFonts w:hint="eastAsia" w:cs="仿宋_GB2312" w:asciiTheme="minorEastAsia" w:hAnsiTheme="minorEastAsia" w:eastAsiaTheme="minorEastAsia"/>
          <w:b/>
          <w:color w:val="000000" w:themeColor="text1"/>
          <w:sz w:val="28"/>
          <w:szCs w:val="28"/>
          <w:highlight w:val="none"/>
          <w:lang w:eastAsia="zh-CN"/>
          <w14:textFill>
            <w14:solidFill>
              <w14:schemeClr w14:val="tx1"/>
            </w14:solidFill>
          </w14:textFill>
        </w:rPr>
      </w:pPr>
    </w:p>
    <w:p w14:paraId="228C404D">
      <w:pPr>
        <w:keepNext w:val="0"/>
        <w:keepLines w:val="0"/>
        <w:pageBreakBefore w:val="0"/>
        <w:kinsoku/>
        <w:wordWrap/>
        <w:overflowPunct/>
        <w:topLinePunct w:val="0"/>
        <w:autoSpaceDE/>
        <w:autoSpaceDN/>
        <w:bidi w:val="0"/>
        <w:adjustRightInd/>
        <w:snapToGrid/>
        <w:spacing w:line="560" w:lineRule="exact"/>
        <w:ind w:right="0" w:firstLine="0" w:firstLineChars="0"/>
        <w:jc w:val="both"/>
        <w:textAlignment w:val="auto"/>
        <w:rPr>
          <w:rFonts w:hint="eastAsia" w:cs="仿宋_GB2312" w:asciiTheme="minorEastAsia" w:hAnsiTheme="minorEastAsia" w:eastAsiaTheme="minorEastAsia"/>
          <w:b/>
          <w:color w:val="000000" w:themeColor="text1"/>
          <w:sz w:val="28"/>
          <w:szCs w:val="28"/>
          <w:highlight w:val="none"/>
          <w:lang w:eastAsia="zh-CN"/>
          <w14:textFill>
            <w14:solidFill>
              <w14:schemeClr w14:val="tx1"/>
            </w14:solidFill>
          </w14:textFill>
        </w:rPr>
      </w:pPr>
    </w:p>
    <w:p w14:paraId="169620BB">
      <w:pPr>
        <w:pStyle w:val="4"/>
        <w:keepNext w:val="0"/>
        <w:keepLines w:val="0"/>
        <w:pageBreakBefore w:val="0"/>
        <w:wordWrap/>
        <w:topLinePunct w:val="0"/>
        <w:bidi w:val="0"/>
        <w:spacing w:line="560" w:lineRule="exact"/>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第</w:t>
      </w:r>
      <w:r>
        <w:rPr>
          <w:rFonts w:hint="eastAsia"/>
          <w:color w:val="000000" w:themeColor="text1"/>
          <w:highlight w:val="none"/>
          <w:lang w:eastAsia="zh-CN"/>
          <w14:textFill>
            <w14:solidFill>
              <w14:schemeClr w14:val="tx1"/>
            </w14:solidFill>
          </w14:textFill>
        </w:rPr>
        <w:t>二</w:t>
      </w:r>
      <w:r>
        <w:rPr>
          <w:rFonts w:hint="eastAsia"/>
          <w:color w:val="000000" w:themeColor="text1"/>
          <w:highlight w:val="none"/>
          <w14:textFill>
            <w14:solidFill>
              <w14:schemeClr w14:val="tx1"/>
            </w14:solidFill>
          </w14:textFill>
        </w:rPr>
        <w:t>节 报价文件格式</w:t>
      </w:r>
    </w:p>
    <w:p w14:paraId="6264B246">
      <w:pPr>
        <w:pStyle w:val="17"/>
        <w:keepNext w:val="0"/>
        <w:keepLines w:val="0"/>
        <w:pageBreakBefore w:val="0"/>
        <w:kinsoku/>
        <w:wordWrap/>
        <w:overflowPunct/>
        <w:topLinePunct w:val="0"/>
        <w:autoSpaceDE/>
        <w:autoSpaceDN/>
        <w:bidi w:val="0"/>
        <w:spacing w:line="520" w:lineRule="exact"/>
        <w:textAlignment w:val="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一、投标函</w:t>
      </w:r>
    </w:p>
    <w:p w14:paraId="69683240">
      <w:pPr>
        <w:pStyle w:val="17"/>
        <w:keepNext w:val="0"/>
        <w:keepLines w:val="0"/>
        <w:pageBreakBefore w:val="0"/>
        <w:kinsoku/>
        <w:wordWrap/>
        <w:overflowPunct/>
        <w:topLinePunct w:val="0"/>
        <w:autoSpaceDE/>
        <w:autoSpaceDN/>
        <w:bidi w:val="0"/>
        <w:spacing w:line="520" w:lineRule="exact"/>
        <w:jc w:val="both"/>
        <w:textAlignment w:val="auto"/>
        <w:rPr>
          <w:b w:val="0"/>
          <w:color w:val="000000" w:themeColor="text1"/>
          <w:highlight w:val="none"/>
          <w14:textFill>
            <w14:solidFill>
              <w14:schemeClr w14:val="tx1"/>
            </w14:solidFill>
          </w14:textFill>
        </w:rPr>
      </w:pPr>
      <w:r>
        <w:rPr>
          <w:rFonts w:hint="eastAsia"/>
          <w:b w:val="0"/>
          <w:color w:val="000000" w:themeColor="text1"/>
          <w:highlight w:val="none"/>
          <w14:textFill>
            <w14:solidFill>
              <w14:schemeClr w14:val="tx1"/>
            </w14:solidFill>
          </w14:textFill>
        </w:rPr>
        <w:t>致：</w:t>
      </w:r>
      <w:r>
        <w:rPr>
          <w:rFonts w:hint="eastAsia"/>
          <w:b w:val="0"/>
          <w:color w:val="000000" w:themeColor="text1"/>
          <w:highlight w:val="none"/>
          <w:lang w:eastAsia="zh-CN"/>
          <w14:textFill>
            <w14:solidFill>
              <w14:schemeClr w14:val="tx1"/>
            </w14:solidFill>
          </w14:textFill>
        </w:rPr>
        <w:t>（</w:t>
      </w:r>
      <w:r>
        <w:rPr>
          <w:rFonts w:hint="eastAsia"/>
          <w:b w:val="0"/>
          <w:color w:val="000000" w:themeColor="text1"/>
          <w:highlight w:val="none"/>
          <w:u w:val="single"/>
          <w:lang w:eastAsia="zh-CN"/>
          <w14:textFill>
            <w14:solidFill>
              <w14:schemeClr w14:val="tx1"/>
            </w14:solidFill>
          </w14:textFill>
        </w:rPr>
        <w:t>采购人名称）</w:t>
      </w:r>
      <w:r>
        <w:rPr>
          <w:rFonts w:hint="eastAsia"/>
          <w:b w:val="0"/>
          <w:color w:val="000000" w:themeColor="text1"/>
          <w:highlight w:val="none"/>
          <w:u w:val="single"/>
          <w:lang w:val="en-US" w:eastAsia="zh-CN"/>
          <w14:textFill>
            <w14:solidFill>
              <w14:schemeClr w14:val="tx1"/>
            </w14:solidFill>
          </w14:textFill>
        </w:rPr>
        <w:t xml:space="preserve">              </w:t>
      </w:r>
      <w:r>
        <w:rPr>
          <w:b w:val="0"/>
          <w:color w:val="000000" w:themeColor="text1"/>
          <w:highlight w:val="none"/>
          <w:u w:val="single"/>
          <w14:textFill>
            <w14:solidFill>
              <w14:schemeClr w14:val="tx1"/>
            </w14:solidFill>
          </w14:textFill>
        </w:rPr>
        <w:t xml:space="preserve"> </w:t>
      </w:r>
    </w:p>
    <w:p w14:paraId="524D3E86">
      <w:pPr>
        <w:pStyle w:val="17"/>
        <w:keepNext w:val="0"/>
        <w:keepLines w:val="0"/>
        <w:pageBreakBefore w:val="0"/>
        <w:kinsoku/>
        <w:wordWrap/>
        <w:overflowPunct/>
        <w:topLinePunct w:val="0"/>
        <w:autoSpaceDE/>
        <w:autoSpaceDN/>
        <w:bidi w:val="0"/>
        <w:spacing w:line="520" w:lineRule="exact"/>
        <w:ind w:firstLine="560" w:firstLineChars="200"/>
        <w:jc w:val="both"/>
        <w:textAlignment w:val="auto"/>
        <w:rPr>
          <w:b w:val="0"/>
          <w:color w:val="000000" w:themeColor="text1"/>
          <w:highlight w:val="none"/>
          <w14:textFill>
            <w14:solidFill>
              <w14:schemeClr w14:val="tx1"/>
            </w14:solidFill>
          </w14:textFill>
        </w:rPr>
      </w:pPr>
      <w:r>
        <w:rPr>
          <w:rFonts w:hint="eastAsia"/>
          <w:b w:val="0"/>
          <w:color w:val="000000" w:themeColor="text1"/>
          <w:highlight w:val="none"/>
          <w14:textFill>
            <w14:solidFill>
              <w14:schemeClr w14:val="tx1"/>
            </w14:solidFill>
          </w14:textFill>
        </w:rPr>
        <w:t>我方已仔细阅读了贵方组织的</w:t>
      </w:r>
      <w:r>
        <w:rPr>
          <w:b w:val="0"/>
          <w:color w:val="000000" w:themeColor="text1"/>
          <w:highlight w:val="none"/>
          <w:u w:val="single"/>
          <w14:textFill>
            <w14:solidFill>
              <w14:schemeClr w14:val="tx1"/>
            </w14:solidFill>
          </w14:textFill>
        </w:rPr>
        <w:t xml:space="preserve">  </w:t>
      </w:r>
      <w:r>
        <w:rPr>
          <w:rFonts w:hint="eastAsia"/>
          <w:b w:val="0"/>
          <w:color w:val="000000" w:themeColor="text1"/>
          <w:highlight w:val="none"/>
          <w:u w:val="single"/>
          <w:lang w:val="en-US" w:eastAsia="zh-CN"/>
          <w14:textFill>
            <w14:solidFill>
              <w14:schemeClr w14:val="tx1"/>
            </w14:solidFill>
          </w14:textFill>
        </w:rPr>
        <w:t xml:space="preserve">           （项目名称、</w:t>
      </w:r>
      <w:r>
        <w:rPr>
          <w:rFonts w:hint="eastAsia"/>
          <w:b w:val="0"/>
          <w:color w:val="000000" w:themeColor="text1"/>
          <w:highlight w:val="none"/>
          <w:u w:val="single"/>
          <w14:textFill>
            <w14:solidFill>
              <w14:schemeClr w14:val="tx1"/>
            </w14:solidFill>
          </w14:textFill>
        </w:rPr>
        <w:t>项目编号</w:t>
      </w:r>
      <w:r>
        <w:rPr>
          <w:rFonts w:hint="eastAsia"/>
          <w:b w:val="0"/>
          <w:color w:val="000000" w:themeColor="text1"/>
          <w:highlight w:val="none"/>
          <w:u w:val="single"/>
          <w:lang w:eastAsia="zh-CN"/>
          <w14:textFill>
            <w14:solidFill>
              <w14:schemeClr w14:val="tx1"/>
            </w14:solidFill>
          </w14:textFill>
        </w:rPr>
        <w:t>、标项名称</w:t>
      </w:r>
      <w:r>
        <w:rPr>
          <w:rFonts w:hint="eastAsia"/>
          <w:b w:val="0"/>
          <w:color w:val="000000" w:themeColor="text1"/>
          <w:highlight w:val="none"/>
          <w:u w:val="single"/>
          <w:lang w:val="en-US" w:eastAsia="zh-CN"/>
          <w14:textFill>
            <w14:solidFill>
              <w14:schemeClr w14:val="tx1"/>
            </w14:solidFill>
          </w14:textFill>
        </w:rPr>
        <w:t xml:space="preserve">） </w:t>
      </w:r>
      <w:r>
        <w:rPr>
          <w:rFonts w:hint="eastAsia"/>
          <w:b w:val="0"/>
          <w:color w:val="000000" w:themeColor="text1"/>
          <w:highlight w:val="none"/>
          <w14:textFill>
            <w14:solidFill>
              <w14:schemeClr w14:val="tx1"/>
            </w14:solidFill>
          </w14:textFill>
        </w:rPr>
        <w:t>的招标文件的全部内容，授权</w:t>
      </w:r>
      <w:r>
        <w:rPr>
          <w:b w:val="0"/>
          <w:color w:val="000000" w:themeColor="text1"/>
          <w:highlight w:val="none"/>
          <w:u w:val="single"/>
          <w14:textFill>
            <w14:solidFill>
              <w14:schemeClr w14:val="tx1"/>
            </w14:solidFill>
          </w14:textFill>
        </w:rPr>
        <w:t xml:space="preserve">                      </w:t>
      </w:r>
      <w:r>
        <w:rPr>
          <w:rFonts w:hint="eastAsia"/>
          <w:b w:val="0"/>
          <w:color w:val="000000" w:themeColor="text1"/>
          <w:highlight w:val="none"/>
          <w14:textFill>
            <w14:solidFill>
              <w14:schemeClr w14:val="tx1"/>
            </w14:solidFill>
          </w14:textFill>
        </w:rPr>
        <w:t>(全权代表姓名)</w:t>
      </w:r>
      <w:r>
        <w:rPr>
          <w:b w:val="0"/>
          <w:color w:val="000000" w:themeColor="text1"/>
          <w:highlight w:val="none"/>
          <w:u w:val="single"/>
          <w14:textFill>
            <w14:solidFill>
              <w14:schemeClr w14:val="tx1"/>
            </w14:solidFill>
          </w14:textFill>
        </w:rPr>
        <w:t xml:space="preserve">          </w:t>
      </w:r>
      <w:r>
        <w:rPr>
          <w:rFonts w:hint="eastAsia"/>
          <w:b w:val="0"/>
          <w:color w:val="000000" w:themeColor="text1"/>
          <w:highlight w:val="none"/>
          <w14:textFill>
            <w14:solidFill>
              <w14:schemeClr w14:val="tx1"/>
            </w14:solidFill>
          </w14:textFill>
        </w:rPr>
        <w:t xml:space="preserve"> (职务、职称)为全权代表，现正式递交下述文件参加贵方组织的本次政府采购活动： </w:t>
      </w:r>
    </w:p>
    <w:p w14:paraId="333A98C9">
      <w:pPr>
        <w:pStyle w:val="17"/>
        <w:keepNext w:val="0"/>
        <w:keepLines w:val="0"/>
        <w:pageBreakBefore w:val="0"/>
        <w:kinsoku/>
        <w:wordWrap/>
        <w:overflowPunct/>
        <w:topLinePunct w:val="0"/>
        <w:autoSpaceDE/>
        <w:autoSpaceDN/>
        <w:bidi w:val="0"/>
        <w:spacing w:line="520" w:lineRule="exact"/>
        <w:jc w:val="both"/>
        <w:textAlignment w:val="auto"/>
        <w:rPr>
          <w:b w:val="0"/>
          <w:color w:val="000000" w:themeColor="text1"/>
          <w:highlight w:val="none"/>
          <w14:textFill>
            <w14:solidFill>
              <w14:schemeClr w14:val="tx1"/>
            </w14:solidFill>
          </w14:textFill>
        </w:rPr>
      </w:pPr>
      <w:r>
        <w:rPr>
          <w:rFonts w:hint="eastAsia"/>
          <w:b w:val="0"/>
          <w:color w:val="000000" w:themeColor="text1"/>
          <w:highlight w:val="none"/>
          <w14:textFill>
            <w14:solidFill>
              <w14:schemeClr w14:val="tx1"/>
            </w14:solidFill>
          </w14:textFill>
        </w:rPr>
        <w:t>一、报价文件电子版一份（包含按</w:t>
      </w:r>
      <w:r>
        <w:rPr>
          <w:rFonts w:hint="eastAsia"/>
          <w:b w:val="0"/>
          <w:color w:val="000000" w:themeColor="text1"/>
          <w:highlight w:val="none"/>
          <w:lang w:eastAsia="zh-CN"/>
          <w14:textFill>
            <w14:solidFill>
              <w14:schemeClr w14:val="tx1"/>
            </w14:solidFill>
          </w14:textFill>
        </w:rPr>
        <w:t>供应商</w:t>
      </w:r>
      <w:r>
        <w:rPr>
          <w:rFonts w:hint="eastAsia"/>
          <w:b w:val="0"/>
          <w:color w:val="000000" w:themeColor="text1"/>
          <w:highlight w:val="none"/>
          <w14:textFill>
            <w14:solidFill>
              <w14:schemeClr w14:val="tx1"/>
            </w14:solidFill>
          </w14:textFill>
        </w:rPr>
        <w:t>须知前附表要求提交的全部文件）；</w:t>
      </w:r>
    </w:p>
    <w:p w14:paraId="073F88E3">
      <w:pPr>
        <w:pStyle w:val="17"/>
        <w:keepNext w:val="0"/>
        <w:keepLines w:val="0"/>
        <w:pageBreakBefore w:val="0"/>
        <w:kinsoku/>
        <w:wordWrap/>
        <w:overflowPunct/>
        <w:topLinePunct w:val="0"/>
        <w:autoSpaceDE/>
        <w:autoSpaceDN/>
        <w:bidi w:val="0"/>
        <w:spacing w:line="520" w:lineRule="exact"/>
        <w:jc w:val="both"/>
        <w:textAlignment w:val="auto"/>
        <w:rPr>
          <w:b w:val="0"/>
          <w:color w:val="000000" w:themeColor="text1"/>
          <w:highlight w:val="none"/>
          <w14:textFill>
            <w14:solidFill>
              <w14:schemeClr w14:val="tx1"/>
            </w14:solidFill>
          </w14:textFill>
        </w:rPr>
      </w:pPr>
      <w:r>
        <w:rPr>
          <w:rFonts w:hint="eastAsia"/>
          <w:b w:val="0"/>
          <w:color w:val="000000" w:themeColor="text1"/>
          <w:highlight w:val="none"/>
          <w14:textFill>
            <w14:solidFill>
              <w14:schemeClr w14:val="tx1"/>
            </w14:solidFill>
          </w14:textFill>
        </w:rPr>
        <w:t>二、资格文件电子版一份（包含按</w:t>
      </w:r>
      <w:r>
        <w:rPr>
          <w:rFonts w:hint="eastAsia"/>
          <w:b w:val="0"/>
          <w:color w:val="000000" w:themeColor="text1"/>
          <w:highlight w:val="none"/>
          <w:lang w:eastAsia="zh-CN"/>
          <w14:textFill>
            <w14:solidFill>
              <w14:schemeClr w14:val="tx1"/>
            </w14:solidFill>
          </w14:textFill>
        </w:rPr>
        <w:t>供应商</w:t>
      </w:r>
      <w:r>
        <w:rPr>
          <w:rFonts w:hint="eastAsia"/>
          <w:b w:val="0"/>
          <w:color w:val="000000" w:themeColor="text1"/>
          <w:highlight w:val="none"/>
          <w14:textFill>
            <w14:solidFill>
              <w14:schemeClr w14:val="tx1"/>
            </w14:solidFill>
          </w14:textFill>
        </w:rPr>
        <w:t>须知前附表要求提交的全部文件）；</w:t>
      </w:r>
    </w:p>
    <w:p w14:paraId="590EFB46">
      <w:pPr>
        <w:pStyle w:val="17"/>
        <w:keepNext w:val="0"/>
        <w:keepLines w:val="0"/>
        <w:pageBreakBefore w:val="0"/>
        <w:kinsoku/>
        <w:wordWrap/>
        <w:overflowPunct/>
        <w:topLinePunct w:val="0"/>
        <w:autoSpaceDE/>
        <w:autoSpaceDN/>
        <w:bidi w:val="0"/>
        <w:spacing w:line="520" w:lineRule="exact"/>
        <w:jc w:val="both"/>
        <w:textAlignment w:val="auto"/>
        <w:rPr>
          <w:b w:val="0"/>
          <w:color w:val="000000" w:themeColor="text1"/>
          <w:highlight w:val="none"/>
          <w14:textFill>
            <w14:solidFill>
              <w14:schemeClr w14:val="tx1"/>
            </w14:solidFill>
          </w14:textFill>
        </w:rPr>
      </w:pPr>
      <w:r>
        <w:rPr>
          <w:rFonts w:hint="eastAsia"/>
          <w:b w:val="0"/>
          <w:color w:val="000000" w:themeColor="text1"/>
          <w:highlight w:val="none"/>
          <w14:textFill>
            <w14:solidFill>
              <w14:schemeClr w14:val="tx1"/>
            </w14:solidFill>
          </w14:textFill>
        </w:rPr>
        <w:t>三、技术文件电子版一份（包含按</w:t>
      </w:r>
      <w:r>
        <w:rPr>
          <w:rFonts w:hint="eastAsia"/>
          <w:b w:val="0"/>
          <w:color w:val="000000" w:themeColor="text1"/>
          <w:highlight w:val="none"/>
          <w:lang w:eastAsia="zh-CN"/>
          <w14:textFill>
            <w14:solidFill>
              <w14:schemeClr w14:val="tx1"/>
            </w14:solidFill>
          </w14:textFill>
        </w:rPr>
        <w:t>供应商</w:t>
      </w:r>
      <w:r>
        <w:rPr>
          <w:rFonts w:hint="eastAsia"/>
          <w:b w:val="0"/>
          <w:color w:val="000000" w:themeColor="text1"/>
          <w:highlight w:val="none"/>
          <w14:textFill>
            <w14:solidFill>
              <w14:schemeClr w14:val="tx1"/>
            </w14:solidFill>
          </w14:textFill>
        </w:rPr>
        <w:t>须知前附表要求提交的全部文件）；</w:t>
      </w:r>
    </w:p>
    <w:p w14:paraId="661B601A">
      <w:pPr>
        <w:pStyle w:val="17"/>
        <w:keepNext w:val="0"/>
        <w:keepLines w:val="0"/>
        <w:pageBreakBefore w:val="0"/>
        <w:kinsoku/>
        <w:wordWrap/>
        <w:overflowPunct/>
        <w:topLinePunct w:val="0"/>
        <w:autoSpaceDE/>
        <w:autoSpaceDN/>
        <w:bidi w:val="0"/>
        <w:spacing w:line="520" w:lineRule="exact"/>
        <w:jc w:val="both"/>
        <w:textAlignment w:val="auto"/>
        <w:rPr>
          <w:b w:val="0"/>
          <w:color w:val="000000" w:themeColor="text1"/>
          <w:highlight w:val="none"/>
          <w14:textFill>
            <w14:solidFill>
              <w14:schemeClr w14:val="tx1"/>
            </w14:solidFill>
          </w14:textFill>
        </w:rPr>
      </w:pPr>
      <w:r>
        <w:rPr>
          <w:rFonts w:hint="eastAsia"/>
          <w:b w:val="0"/>
          <w:color w:val="000000" w:themeColor="text1"/>
          <w:highlight w:val="none"/>
          <w14:textFill>
            <w14:solidFill>
              <w14:schemeClr w14:val="tx1"/>
            </w14:solidFill>
          </w14:textFill>
        </w:rPr>
        <w:t>四、商务文件电子版一份（包含按</w:t>
      </w:r>
      <w:r>
        <w:rPr>
          <w:rFonts w:hint="eastAsia"/>
          <w:b w:val="0"/>
          <w:color w:val="000000" w:themeColor="text1"/>
          <w:highlight w:val="none"/>
          <w:lang w:eastAsia="zh-CN"/>
          <w14:textFill>
            <w14:solidFill>
              <w14:schemeClr w14:val="tx1"/>
            </w14:solidFill>
          </w14:textFill>
        </w:rPr>
        <w:t>供应商</w:t>
      </w:r>
      <w:r>
        <w:rPr>
          <w:rFonts w:hint="eastAsia"/>
          <w:b w:val="0"/>
          <w:color w:val="000000" w:themeColor="text1"/>
          <w:highlight w:val="none"/>
          <w14:textFill>
            <w14:solidFill>
              <w14:schemeClr w14:val="tx1"/>
            </w14:solidFill>
          </w14:textFill>
        </w:rPr>
        <w:t>须知前附表要求提交的全部文件）；</w:t>
      </w:r>
    </w:p>
    <w:p w14:paraId="75F55A3A">
      <w:pPr>
        <w:pStyle w:val="17"/>
        <w:keepNext w:val="0"/>
        <w:keepLines w:val="0"/>
        <w:pageBreakBefore w:val="0"/>
        <w:kinsoku/>
        <w:wordWrap/>
        <w:overflowPunct/>
        <w:topLinePunct w:val="0"/>
        <w:autoSpaceDE/>
        <w:autoSpaceDN/>
        <w:bidi w:val="0"/>
        <w:spacing w:line="520" w:lineRule="exact"/>
        <w:jc w:val="both"/>
        <w:textAlignment w:val="auto"/>
        <w:rPr>
          <w:b w:val="0"/>
          <w:color w:val="000000" w:themeColor="text1"/>
          <w:highlight w:val="none"/>
          <w14:textFill>
            <w14:solidFill>
              <w14:schemeClr w14:val="tx1"/>
            </w14:solidFill>
          </w14:textFill>
        </w:rPr>
      </w:pPr>
      <w:r>
        <w:rPr>
          <w:rFonts w:hint="eastAsia"/>
          <w:b w:val="0"/>
          <w:color w:val="000000" w:themeColor="text1"/>
          <w:highlight w:val="none"/>
          <w14:textFill>
            <w14:solidFill>
              <w14:schemeClr w14:val="tx1"/>
            </w14:solidFill>
          </w14:textFill>
        </w:rPr>
        <w:t>据此函，签字人兹宣布：</w:t>
      </w:r>
    </w:p>
    <w:p w14:paraId="1AD87FA1">
      <w:pPr>
        <w:pStyle w:val="17"/>
        <w:keepNext w:val="0"/>
        <w:keepLines w:val="0"/>
        <w:pageBreakBefore w:val="0"/>
        <w:kinsoku/>
        <w:wordWrap/>
        <w:overflowPunct/>
        <w:topLinePunct w:val="0"/>
        <w:autoSpaceDE/>
        <w:autoSpaceDN/>
        <w:bidi w:val="0"/>
        <w:spacing w:line="520" w:lineRule="exact"/>
        <w:jc w:val="both"/>
        <w:textAlignment w:val="auto"/>
        <w:rPr>
          <w:b w:val="0"/>
          <w:color w:val="000000" w:themeColor="text1"/>
          <w:highlight w:val="none"/>
          <w:u w:val="single"/>
          <w14:textFill>
            <w14:solidFill>
              <w14:schemeClr w14:val="tx1"/>
            </w14:solidFill>
          </w14:textFill>
        </w:rPr>
      </w:pPr>
      <w:r>
        <w:rPr>
          <w:rFonts w:hint="eastAsia"/>
          <w:b w:val="0"/>
          <w:color w:val="000000" w:themeColor="text1"/>
          <w:highlight w:val="none"/>
          <w14:textFill>
            <w14:solidFill>
              <w14:schemeClr w14:val="tx1"/>
            </w14:solidFill>
          </w14:textFill>
        </w:rPr>
        <w:t>1、我方愿意以</w:t>
      </w:r>
      <w:r>
        <w:rPr>
          <w:rFonts w:hint="eastAsia"/>
          <w:b w:val="0"/>
          <w:color w:val="000000" w:themeColor="text1"/>
          <w:highlight w:val="none"/>
          <w:u w:val="single"/>
          <w14:textFill>
            <w14:solidFill>
              <w14:schemeClr w14:val="tx1"/>
            </w14:solidFill>
          </w14:textFill>
        </w:rPr>
        <w:t xml:space="preserve">          </w:t>
      </w:r>
      <w:r>
        <w:rPr>
          <w:rFonts w:hint="eastAsia"/>
          <w:b w:val="0"/>
          <w:color w:val="000000" w:themeColor="text1"/>
          <w:highlight w:val="none"/>
          <w14:textFill>
            <w14:solidFill>
              <w14:schemeClr w14:val="tx1"/>
            </w14:solidFill>
          </w14:textFill>
        </w:rPr>
        <w:t>元（大写：        ），供货期</w:t>
      </w:r>
      <w:r>
        <w:rPr>
          <w:rFonts w:hint="eastAsia"/>
          <w:b w:val="0"/>
          <w:color w:val="000000" w:themeColor="text1"/>
          <w:highlight w:val="none"/>
          <w:u w:val="single"/>
          <w14:textFill>
            <w14:solidFill>
              <w14:schemeClr w14:val="tx1"/>
            </w14:solidFill>
          </w14:textFill>
        </w:rPr>
        <w:t xml:space="preserve">             </w:t>
      </w:r>
      <w:r>
        <w:rPr>
          <w:rFonts w:hint="eastAsia"/>
          <w:b w:val="0"/>
          <w:color w:val="000000" w:themeColor="text1"/>
          <w:highlight w:val="none"/>
          <w14:textFill>
            <w14:solidFill>
              <w14:schemeClr w14:val="tx1"/>
            </w14:solidFill>
          </w14:textFill>
        </w:rPr>
        <w:t>，提供本项目招标文件第三章“采购需求”中的相应的采购内容。</w:t>
      </w:r>
    </w:p>
    <w:p w14:paraId="7D39AE84">
      <w:pPr>
        <w:pStyle w:val="17"/>
        <w:keepNext w:val="0"/>
        <w:keepLines w:val="0"/>
        <w:pageBreakBefore w:val="0"/>
        <w:kinsoku/>
        <w:wordWrap/>
        <w:overflowPunct/>
        <w:topLinePunct w:val="0"/>
        <w:autoSpaceDE/>
        <w:autoSpaceDN/>
        <w:bidi w:val="0"/>
        <w:spacing w:line="520" w:lineRule="exact"/>
        <w:jc w:val="both"/>
        <w:textAlignment w:val="auto"/>
        <w:rPr>
          <w:b w:val="0"/>
          <w:color w:val="000000" w:themeColor="text1"/>
          <w:highlight w:val="none"/>
          <w:u w:val="single"/>
          <w14:textFill>
            <w14:solidFill>
              <w14:schemeClr w14:val="tx1"/>
            </w14:solidFill>
          </w14:textFill>
        </w:rPr>
      </w:pPr>
      <w:r>
        <w:rPr>
          <w:rFonts w:hint="eastAsia"/>
          <w:b w:val="0"/>
          <w:color w:val="000000" w:themeColor="text1"/>
          <w:highlight w:val="none"/>
          <w14:textFill>
            <w14:solidFill>
              <w14:schemeClr w14:val="tx1"/>
            </w14:solidFill>
          </w14:textFill>
        </w:rPr>
        <w:t xml:space="preserve">2、我方同意自本项目招标文件“第二章 </w:t>
      </w:r>
      <w:r>
        <w:rPr>
          <w:rFonts w:hint="eastAsia"/>
          <w:b w:val="0"/>
          <w:color w:val="000000" w:themeColor="text1"/>
          <w:highlight w:val="none"/>
          <w:lang w:eastAsia="zh-CN"/>
          <w14:textFill>
            <w14:solidFill>
              <w14:schemeClr w14:val="tx1"/>
            </w14:solidFill>
          </w14:textFill>
        </w:rPr>
        <w:t>供应商</w:t>
      </w:r>
      <w:r>
        <w:rPr>
          <w:rFonts w:hint="eastAsia"/>
          <w:b w:val="0"/>
          <w:color w:val="000000" w:themeColor="text1"/>
          <w:highlight w:val="none"/>
          <w14:textFill>
            <w14:solidFill>
              <w14:schemeClr w14:val="tx1"/>
            </w14:solidFill>
          </w14:textFill>
        </w:rPr>
        <w:t xml:space="preserve">须知”第一节 </w:t>
      </w:r>
      <w:r>
        <w:rPr>
          <w:rFonts w:hint="eastAsia"/>
          <w:b w:val="0"/>
          <w:color w:val="000000" w:themeColor="text1"/>
          <w:highlight w:val="none"/>
          <w:lang w:eastAsia="zh-CN"/>
          <w14:textFill>
            <w14:solidFill>
              <w14:schemeClr w14:val="tx1"/>
            </w14:solidFill>
          </w14:textFill>
        </w:rPr>
        <w:t>供应商</w:t>
      </w:r>
      <w:r>
        <w:rPr>
          <w:rFonts w:hint="eastAsia"/>
          <w:b w:val="0"/>
          <w:color w:val="000000" w:themeColor="text1"/>
          <w:highlight w:val="none"/>
          <w14:textFill>
            <w14:solidFill>
              <w14:schemeClr w14:val="tx1"/>
            </w14:solidFill>
          </w14:textFill>
        </w:rPr>
        <w:t>须知前附表的投标截止时间（开标时间）起遵循本投标函，并承诺在“</w:t>
      </w:r>
      <w:r>
        <w:rPr>
          <w:rFonts w:hint="eastAsia"/>
          <w:b w:val="0"/>
          <w:color w:val="000000" w:themeColor="text1"/>
          <w:highlight w:val="none"/>
          <w:lang w:eastAsia="zh-CN"/>
          <w14:textFill>
            <w14:solidFill>
              <w14:schemeClr w14:val="tx1"/>
            </w14:solidFill>
          </w14:textFill>
        </w:rPr>
        <w:t>供应商</w:t>
      </w:r>
      <w:r>
        <w:rPr>
          <w:rFonts w:hint="eastAsia"/>
          <w:b w:val="0"/>
          <w:color w:val="000000" w:themeColor="text1"/>
          <w:highlight w:val="none"/>
          <w14:textFill>
            <w14:solidFill>
              <w14:schemeClr w14:val="tx1"/>
            </w14:solidFill>
          </w14:textFill>
        </w:rPr>
        <w:t>须知前附表”的投标有效期内不修改、撤销投标文件。</w:t>
      </w:r>
    </w:p>
    <w:p w14:paraId="5565C202">
      <w:pPr>
        <w:pStyle w:val="17"/>
        <w:keepNext w:val="0"/>
        <w:keepLines w:val="0"/>
        <w:pageBreakBefore w:val="0"/>
        <w:kinsoku/>
        <w:wordWrap/>
        <w:overflowPunct/>
        <w:topLinePunct w:val="0"/>
        <w:autoSpaceDE/>
        <w:autoSpaceDN/>
        <w:bidi w:val="0"/>
        <w:spacing w:line="520" w:lineRule="exact"/>
        <w:jc w:val="both"/>
        <w:textAlignment w:val="auto"/>
        <w:rPr>
          <w:b w:val="0"/>
          <w:color w:val="000000" w:themeColor="text1"/>
          <w:highlight w:val="none"/>
          <w:u w:val="single"/>
          <w14:textFill>
            <w14:solidFill>
              <w14:schemeClr w14:val="tx1"/>
            </w14:solidFill>
          </w14:textFill>
        </w:rPr>
      </w:pPr>
      <w:r>
        <w:rPr>
          <w:rFonts w:hint="eastAsia"/>
          <w:b w:val="0"/>
          <w:color w:val="000000" w:themeColor="text1"/>
          <w:highlight w:val="none"/>
          <w14:textFill>
            <w14:solidFill>
              <w14:schemeClr w14:val="tx1"/>
            </w14:solidFill>
          </w14:textFill>
        </w:rPr>
        <w:t>3、我方所递交的投标文件及有关资料都是内容完整、真实和准确的。</w:t>
      </w:r>
    </w:p>
    <w:p w14:paraId="1700C053">
      <w:pPr>
        <w:pStyle w:val="17"/>
        <w:keepNext w:val="0"/>
        <w:keepLines w:val="0"/>
        <w:pageBreakBefore w:val="0"/>
        <w:kinsoku/>
        <w:wordWrap/>
        <w:overflowPunct/>
        <w:topLinePunct w:val="0"/>
        <w:autoSpaceDE/>
        <w:autoSpaceDN/>
        <w:bidi w:val="0"/>
        <w:spacing w:line="520" w:lineRule="exact"/>
        <w:jc w:val="both"/>
        <w:textAlignment w:val="auto"/>
        <w:rPr>
          <w:b w:val="0"/>
          <w:color w:val="000000" w:themeColor="text1"/>
          <w:highlight w:val="none"/>
          <w14:textFill>
            <w14:solidFill>
              <w14:schemeClr w14:val="tx1"/>
            </w14:solidFill>
          </w14:textFill>
        </w:rPr>
      </w:pPr>
      <w:r>
        <w:rPr>
          <w:rFonts w:hint="eastAsia"/>
          <w:b w:val="0"/>
          <w:color w:val="000000" w:themeColor="text1"/>
          <w:highlight w:val="none"/>
          <w14:textFill>
            <w14:solidFill>
              <w14:schemeClr w14:val="tx1"/>
            </w14:solidFill>
          </w14:textFill>
        </w:rPr>
        <w:t>4、如本项目采购内容涉及须符合国家强制规定的，我方承诺我方本次投标（包括资格条件和所投产品）均符合国家有关强制规定。</w:t>
      </w:r>
    </w:p>
    <w:p w14:paraId="7DAFB8C8">
      <w:pPr>
        <w:pStyle w:val="17"/>
        <w:keepNext w:val="0"/>
        <w:keepLines w:val="0"/>
        <w:pageBreakBefore w:val="0"/>
        <w:kinsoku/>
        <w:wordWrap/>
        <w:overflowPunct/>
        <w:topLinePunct w:val="0"/>
        <w:autoSpaceDE/>
        <w:autoSpaceDN/>
        <w:bidi w:val="0"/>
        <w:spacing w:line="520" w:lineRule="exact"/>
        <w:jc w:val="both"/>
        <w:textAlignment w:val="auto"/>
        <w:rPr>
          <w:b w:val="0"/>
          <w:color w:val="000000" w:themeColor="text1"/>
          <w:highlight w:val="none"/>
          <w14:textFill>
            <w14:solidFill>
              <w14:schemeClr w14:val="tx1"/>
            </w14:solidFill>
          </w14:textFill>
        </w:rPr>
      </w:pPr>
      <w:r>
        <w:rPr>
          <w:rFonts w:hint="eastAsia"/>
          <w:b w:val="0"/>
          <w:color w:val="000000" w:themeColor="text1"/>
          <w:highlight w:val="none"/>
          <w14:textFill>
            <w14:solidFill>
              <w14:schemeClr w14:val="tx1"/>
            </w14:solidFill>
          </w14:textFill>
        </w:rPr>
        <w:t>5、如我方中标，我方承诺在收到中标通知书后，在中标通知书规定的期限内，根据招标文件、我方的投标文件及有关澄清承诺书的要求按第五章“拟签订的合同文本”与采购人订立书面合同，并按照合同约定承担完成合同的责任和义务。</w:t>
      </w:r>
    </w:p>
    <w:p w14:paraId="53508864">
      <w:pPr>
        <w:pStyle w:val="17"/>
        <w:keepNext w:val="0"/>
        <w:keepLines w:val="0"/>
        <w:pageBreakBefore w:val="0"/>
        <w:kinsoku/>
        <w:wordWrap/>
        <w:overflowPunct/>
        <w:topLinePunct w:val="0"/>
        <w:autoSpaceDE/>
        <w:autoSpaceDN/>
        <w:bidi w:val="0"/>
        <w:spacing w:line="520" w:lineRule="exact"/>
        <w:jc w:val="both"/>
        <w:textAlignment w:val="auto"/>
        <w:rPr>
          <w:b w:val="0"/>
          <w:color w:val="000000" w:themeColor="text1"/>
          <w:highlight w:val="none"/>
          <w14:textFill>
            <w14:solidFill>
              <w14:schemeClr w14:val="tx1"/>
            </w14:solidFill>
          </w14:textFill>
        </w:rPr>
      </w:pPr>
      <w:r>
        <w:rPr>
          <w:rFonts w:hint="eastAsia"/>
          <w:b w:val="0"/>
          <w:color w:val="000000" w:themeColor="text1"/>
          <w:highlight w:val="none"/>
          <w14:textFill>
            <w14:solidFill>
              <w14:schemeClr w14:val="tx1"/>
            </w14:solidFill>
          </w14:textFill>
        </w:rPr>
        <w:t>6、我方已详细审核招标文件，我方知道必须放弃提出含糊不清或误解问题的权利。</w:t>
      </w:r>
    </w:p>
    <w:p w14:paraId="38EE203E">
      <w:pPr>
        <w:pStyle w:val="17"/>
        <w:keepNext w:val="0"/>
        <w:keepLines w:val="0"/>
        <w:pageBreakBefore w:val="0"/>
        <w:kinsoku/>
        <w:wordWrap/>
        <w:overflowPunct/>
        <w:topLinePunct w:val="0"/>
        <w:autoSpaceDE/>
        <w:autoSpaceDN/>
        <w:bidi w:val="0"/>
        <w:spacing w:line="520" w:lineRule="exact"/>
        <w:jc w:val="both"/>
        <w:textAlignment w:val="auto"/>
        <w:rPr>
          <w:b w:val="0"/>
          <w:color w:val="000000" w:themeColor="text1"/>
          <w:highlight w:val="none"/>
          <w14:textFill>
            <w14:solidFill>
              <w14:schemeClr w14:val="tx1"/>
            </w14:solidFill>
          </w14:textFill>
        </w:rPr>
      </w:pPr>
      <w:r>
        <w:rPr>
          <w:rFonts w:hint="eastAsia"/>
          <w:b w:val="0"/>
          <w:color w:val="000000" w:themeColor="text1"/>
          <w:highlight w:val="none"/>
          <w14:textFill>
            <w14:solidFill>
              <w14:schemeClr w14:val="tx1"/>
            </w14:solidFill>
          </w14:textFill>
        </w:rPr>
        <w:t>7、我方同意应贵方要求提供与本投标有关的任何数据或资料。若贵方需要，我方愿意提供我方作出的一切承诺的证明材料。</w:t>
      </w:r>
    </w:p>
    <w:p w14:paraId="48DB7F46">
      <w:pPr>
        <w:pStyle w:val="17"/>
        <w:keepNext w:val="0"/>
        <w:keepLines w:val="0"/>
        <w:pageBreakBefore w:val="0"/>
        <w:kinsoku/>
        <w:wordWrap/>
        <w:overflowPunct/>
        <w:topLinePunct w:val="0"/>
        <w:autoSpaceDE/>
        <w:autoSpaceDN/>
        <w:bidi w:val="0"/>
        <w:spacing w:line="520" w:lineRule="exact"/>
        <w:jc w:val="both"/>
        <w:textAlignment w:val="auto"/>
        <w:rPr>
          <w:b w:val="0"/>
          <w:color w:val="000000" w:themeColor="text1"/>
          <w:highlight w:val="none"/>
          <w14:textFill>
            <w14:solidFill>
              <w14:schemeClr w14:val="tx1"/>
            </w14:solidFill>
          </w14:textFill>
        </w:rPr>
      </w:pPr>
      <w:r>
        <w:rPr>
          <w:rFonts w:hint="eastAsia"/>
          <w:b w:val="0"/>
          <w:color w:val="000000" w:themeColor="text1"/>
          <w:highlight w:val="none"/>
          <w14:textFill>
            <w14:solidFill>
              <w14:schemeClr w14:val="tx1"/>
            </w14:solidFill>
          </w14:textFill>
        </w:rPr>
        <w:t>8、我方完全理解贵方不一定接受投标报价最低的</w:t>
      </w:r>
      <w:r>
        <w:rPr>
          <w:rFonts w:hint="eastAsia"/>
          <w:b w:val="0"/>
          <w:color w:val="000000" w:themeColor="text1"/>
          <w:highlight w:val="none"/>
          <w:lang w:eastAsia="zh-CN"/>
          <w14:textFill>
            <w14:solidFill>
              <w14:schemeClr w14:val="tx1"/>
            </w14:solidFill>
          </w14:textFill>
        </w:rPr>
        <w:t>供应商</w:t>
      </w:r>
      <w:r>
        <w:rPr>
          <w:rFonts w:hint="eastAsia"/>
          <w:b w:val="0"/>
          <w:color w:val="000000" w:themeColor="text1"/>
          <w:highlight w:val="none"/>
          <w14:textFill>
            <w14:solidFill>
              <w14:schemeClr w14:val="tx1"/>
            </w14:solidFill>
          </w14:textFill>
        </w:rPr>
        <w:t>为中标供应商的行为。</w:t>
      </w:r>
    </w:p>
    <w:p w14:paraId="0F0E4B8D">
      <w:pPr>
        <w:pStyle w:val="17"/>
        <w:keepNext w:val="0"/>
        <w:keepLines w:val="0"/>
        <w:pageBreakBefore w:val="0"/>
        <w:kinsoku/>
        <w:wordWrap/>
        <w:overflowPunct/>
        <w:topLinePunct w:val="0"/>
        <w:autoSpaceDE/>
        <w:autoSpaceDN/>
        <w:bidi w:val="0"/>
        <w:spacing w:line="520" w:lineRule="exact"/>
        <w:jc w:val="both"/>
        <w:textAlignment w:val="auto"/>
        <w:rPr>
          <w:b w:val="0"/>
          <w:color w:val="000000" w:themeColor="text1"/>
          <w:highlight w:val="none"/>
          <w14:textFill>
            <w14:solidFill>
              <w14:schemeClr w14:val="tx1"/>
            </w14:solidFill>
          </w14:textFill>
        </w:rPr>
      </w:pPr>
      <w:r>
        <w:rPr>
          <w:rFonts w:hint="eastAsia"/>
          <w:b w:val="0"/>
          <w:color w:val="000000" w:themeColor="text1"/>
          <w:highlight w:val="none"/>
          <w14:textFill>
            <w14:solidFill>
              <w14:schemeClr w14:val="tx1"/>
            </w14:solidFill>
          </w14:textFill>
        </w:rPr>
        <w:t>9、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0A0D3808">
      <w:pPr>
        <w:pStyle w:val="17"/>
        <w:keepNext w:val="0"/>
        <w:keepLines w:val="0"/>
        <w:pageBreakBefore w:val="0"/>
        <w:numPr>
          <w:ilvl w:val="0"/>
          <w:numId w:val="20"/>
        </w:numPr>
        <w:tabs>
          <w:tab w:val="left" w:pos="1140"/>
        </w:tabs>
        <w:kinsoku/>
        <w:wordWrap/>
        <w:overflowPunct/>
        <w:topLinePunct w:val="0"/>
        <w:autoSpaceDE/>
        <w:autoSpaceDN/>
        <w:bidi w:val="0"/>
        <w:spacing w:line="520" w:lineRule="exact"/>
        <w:jc w:val="both"/>
        <w:textAlignment w:val="auto"/>
        <w:rPr>
          <w:b w:val="0"/>
          <w:color w:val="000000" w:themeColor="text1"/>
          <w:highlight w:val="none"/>
          <w14:textFill>
            <w14:solidFill>
              <w14:schemeClr w14:val="tx1"/>
            </w14:solidFill>
          </w14:textFill>
        </w:rPr>
      </w:pPr>
      <w:r>
        <w:rPr>
          <w:rFonts w:hint="eastAsia"/>
          <w:b w:val="0"/>
          <w:color w:val="000000" w:themeColor="text1"/>
          <w:highlight w:val="none"/>
          <w14:textFill>
            <w14:solidFill>
              <w14:schemeClr w14:val="tx1"/>
            </w14:solidFill>
          </w14:textFill>
        </w:rPr>
        <w:t>提供虚假材料谋取中标、成交的；</w:t>
      </w:r>
    </w:p>
    <w:p w14:paraId="43B63415">
      <w:pPr>
        <w:pStyle w:val="17"/>
        <w:keepNext w:val="0"/>
        <w:keepLines w:val="0"/>
        <w:pageBreakBefore w:val="0"/>
        <w:numPr>
          <w:ilvl w:val="0"/>
          <w:numId w:val="20"/>
        </w:numPr>
        <w:tabs>
          <w:tab w:val="left" w:pos="1140"/>
        </w:tabs>
        <w:kinsoku/>
        <w:wordWrap/>
        <w:overflowPunct/>
        <w:topLinePunct w:val="0"/>
        <w:autoSpaceDE/>
        <w:autoSpaceDN/>
        <w:bidi w:val="0"/>
        <w:spacing w:line="520" w:lineRule="exact"/>
        <w:jc w:val="both"/>
        <w:textAlignment w:val="auto"/>
        <w:rPr>
          <w:b w:val="0"/>
          <w:color w:val="000000" w:themeColor="text1"/>
          <w:highlight w:val="none"/>
          <w14:textFill>
            <w14:solidFill>
              <w14:schemeClr w14:val="tx1"/>
            </w14:solidFill>
          </w14:textFill>
        </w:rPr>
      </w:pPr>
      <w:r>
        <w:rPr>
          <w:rFonts w:hint="eastAsia"/>
          <w:b w:val="0"/>
          <w:color w:val="000000" w:themeColor="text1"/>
          <w:highlight w:val="none"/>
          <w14:textFill>
            <w14:solidFill>
              <w14:schemeClr w14:val="tx1"/>
            </w14:solidFill>
          </w14:textFill>
        </w:rPr>
        <w:t>采取不正当手段诋毁、排挤其他供应商的；</w:t>
      </w:r>
    </w:p>
    <w:p w14:paraId="3896868E">
      <w:pPr>
        <w:pStyle w:val="17"/>
        <w:keepNext w:val="0"/>
        <w:keepLines w:val="0"/>
        <w:pageBreakBefore w:val="0"/>
        <w:numPr>
          <w:ilvl w:val="0"/>
          <w:numId w:val="20"/>
        </w:numPr>
        <w:tabs>
          <w:tab w:val="left" w:pos="1140"/>
        </w:tabs>
        <w:kinsoku/>
        <w:wordWrap/>
        <w:overflowPunct/>
        <w:topLinePunct w:val="0"/>
        <w:autoSpaceDE/>
        <w:autoSpaceDN/>
        <w:bidi w:val="0"/>
        <w:spacing w:line="520" w:lineRule="exact"/>
        <w:jc w:val="both"/>
        <w:textAlignment w:val="auto"/>
        <w:rPr>
          <w:b w:val="0"/>
          <w:color w:val="000000" w:themeColor="text1"/>
          <w:highlight w:val="none"/>
          <w14:textFill>
            <w14:solidFill>
              <w14:schemeClr w14:val="tx1"/>
            </w14:solidFill>
          </w14:textFill>
        </w:rPr>
      </w:pPr>
      <w:r>
        <w:rPr>
          <w:rFonts w:hint="eastAsia"/>
          <w:b w:val="0"/>
          <w:color w:val="000000" w:themeColor="text1"/>
          <w:highlight w:val="none"/>
          <w14:textFill>
            <w14:solidFill>
              <w14:schemeClr w14:val="tx1"/>
            </w14:solidFill>
          </w14:textFill>
        </w:rPr>
        <w:t>与采购人、其他供应商或者采购代理机构恶意串通的；</w:t>
      </w:r>
    </w:p>
    <w:p w14:paraId="2C693A7E">
      <w:pPr>
        <w:pStyle w:val="17"/>
        <w:keepNext w:val="0"/>
        <w:keepLines w:val="0"/>
        <w:pageBreakBefore w:val="0"/>
        <w:numPr>
          <w:ilvl w:val="0"/>
          <w:numId w:val="20"/>
        </w:numPr>
        <w:tabs>
          <w:tab w:val="left" w:pos="1140"/>
        </w:tabs>
        <w:kinsoku/>
        <w:wordWrap/>
        <w:overflowPunct/>
        <w:topLinePunct w:val="0"/>
        <w:autoSpaceDE/>
        <w:autoSpaceDN/>
        <w:bidi w:val="0"/>
        <w:spacing w:line="520" w:lineRule="exact"/>
        <w:jc w:val="both"/>
        <w:textAlignment w:val="auto"/>
        <w:rPr>
          <w:b w:val="0"/>
          <w:color w:val="000000" w:themeColor="text1"/>
          <w:highlight w:val="none"/>
          <w14:textFill>
            <w14:solidFill>
              <w14:schemeClr w14:val="tx1"/>
            </w14:solidFill>
          </w14:textFill>
        </w:rPr>
      </w:pPr>
      <w:r>
        <w:rPr>
          <w:rFonts w:hint="eastAsia"/>
          <w:b w:val="0"/>
          <w:color w:val="000000" w:themeColor="text1"/>
          <w:highlight w:val="none"/>
          <w14:textFill>
            <w14:solidFill>
              <w14:schemeClr w14:val="tx1"/>
            </w14:solidFill>
          </w14:textFill>
        </w:rPr>
        <w:t>向采购人、采购代理机构行贿或者提供其他不正当利益的；</w:t>
      </w:r>
    </w:p>
    <w:p w14:paraId="5192AEE3">
      <w:pPr>
        <w:pStyle w:val="17"/>
        <w:keepNext w:val="0"/>
        <w:keepLines w:val="0"/>
        <w:pageBreakBefore w:val="0"/>
        <w:numPr>
          <w:ilvl w:val="0"/>
          <w:numId w:val="20"/>
        </w:numPr>
        <w:tabs>
          <w:tab w:val="left" w:pos="1140"/>
        </w:tabs>
        <w:kinsoku/>
        <w:wordWrap/>
        <w:overflowPunct/>
        <w:topLinePunct w:val="0"/>
        <w:autoSpaceDE/>
        <w:autoSpaceDN/>
        <w:bidi w:val="0"/>
        <w:spacing w:line="520" w:lineRule="exact"/>
        <w:jc w:val="both"/>
        <w:textAlignment w:val="auto"/>
        <w:rPr>
          <w:b w:val="0"/>
          <w:color w:val="000000" w:themeColor="text1"/>
          <w:highlight w:val="none"/>
          <w14:textFill>
            <w14:solidFill>
              <w14:schemeClr w14:val="tx1"/>
            </w14:solidFill>
          </w14:textFill>
        </w:rPr>
      </w:pPr>
      <w:r>
        <w:rPr>
          <w:rFonts w:hint="eastAsia"/>
          <w:b w:val="0"/>
          <w:color w:val="000000" w:themeColor="text1"/>
          <w:highlight w:val="none"/>
          <w14:textFill>
            <w14:solidFill>
              <w14:schemeClr w14:val="tx1"/>
            </w14:solidFill>
          </w14:textFill>
        </w:rPr>
        <w:t>在招标采购过程中与采购人进行协商谈判的；</w:t>
      </w:r>
    </w:p>
    <w:p w14:paraId="40004B76">
      <w:pPr>
        <w:pStyle w:val="17"/>
        <w:keepNext w:val="0"/>
        <w:keepLines w:val="0"/>
        <w:pageBreakBefore w:val="0"/>
        <w:numPr>
          <w:ilvl w:val="0"/>
          <w:numId w:val="20"/>
        </w:numPr>
        <w:tabs>
          <w:tab w:val="left" w:pos="1140"/>
        </w:tabs>
        <w:kinsoku/>
        <w:wordWrap/>
        <w:overflowPunct/>
        <w:topLinePunct w:val="0"/>
        <w:autoSpaceDE/>
        <w:autoSpaceDN/>
        <w:bidi w:val="0"/>
        <w:spacing w:line="520" w:lineRule="exact"/>
        <w:jc w:val="both"/>
        <w:textAlignment w:val="auto"/>
        <w:rPr>
          <w:b w:val="0"/>
          <w:color w:val="000000" w:themeColor="text1"/>
          <w:highlight w:val="none"/>
          <w14:textFill>
            <w14:solidFill>
              <w14:schemeClr w14:val="tx1"/>
            </w14:solidFill>
          </w14:textFill>
        </w:rPr>
      </w:pPr>
      <w:r>
        <w:rPr>
          <w:rFonts w:hint="eastAsia"/>
          <w:b w:val="0"/>
          <w:color w:val="000000" w:themeColor="text1"/>
          <w:highlight w:val="none"/>
          <w14:textFill>
            <w14:solidFill>
              <w14:schemeClr w14:val="tx1"/>
            </w14:solidFill>
          </w14:textFill>
        </w:rPr>
        <w:t>拒绝有关部门监督检查或提供虚假情况的。</w:t>
      </w:r>
    </w:p>
    <w:p w14:paraId="4009AA30">
      <w:pPr>
        <w:pStyle w:val="17"/>
        <w:keepNext w:val="0"/>
        <w:keepLines w:val="0"/>
        <w:pageBreakBefore w:val="0"/>
        <w:kinsoku/>
        <w:wordWrap/>
        <w:overflowPunct/>
        <w:topLinePunct w:val="0"/>
        <w:autoSpaceDE/>
        <w:autoSpaceDN/>
        <w:bidi w:val="0"/>
        <w:spacing w:line="520" w:lineRule="exact"/>
        <w:jc w:val="both"/>
        <w:textAlignment w:val="auto"/>
        <w:rPr>
          <w:b w:val="0"/>
          <w:color w:val="000000" w:themeColor="text1"/>
          <w:highlight w:val="none"/>
          <w14:textFill>
            <w14:solidFill>
              <w14:schemeClr w14:val="tx1"/>
            </w14:solidFill>
          </w14:textFill>
        </w:rPr>
      </w:pPr>
      <w:r>
        <w:rPr>
          <w:rFonts w:hint="eastAsia"/>
          <w:b w:val="0"/>
          <w:color w:val="000000" w:themeColor="text1"/>
          <w:highlight w:val="none"/>
          <w14:textFill>
            <w14:solidFill>
              <w14:schemeClr w14:val="tx1"/>
            </w14:solidFill>
          </w14:textFill>
        </w:rPr>
        <w:t xml:space="preserve">10、我方及由本人担任法定代表人的其他机构最近三年内被处罚的违法行为有：                                                                                                                                                              </w:t>
      </w:r>
    </w:p>
    <w:p w14:paraId="06AFF904">
      <w:pPr>
        <w:pStyle w:val="17"/>
        <w:keepNext w:val="0"/>
        <w:keepLines w:val="0"/>
        <w:pageBreakBefore w:val="0"/>
        <w:kinsoku/>
        <w:wordWrap/>
        <w:overflowPunct/>
        <w:topLinePunct w:val="0"/>
        <w:autoSpaceDE/>
        <w:autoSpaceDN/>
        <w:bidi w:val="0"/>
        <w:spacing w:line="520" w:lineRule="exact"/>
        <w:jc w:val="both"/>
        <w:textAlignment w:val="auto"/>
        <w:rPr>
          <w:b w:val="0"/>
          <w:color w:val="000000" w:themeColor="text1"/>
          <w:highlight w:val="none"/>
          <w14:textFill>
            <w14:solidFill>
              <w14:schemeClr w14:val="tx1"/>
            </w14:solidFill>
          </w14:textFill>
        </w:rPr>
      </w:pPr>
      <w:r>
        <w:rPr>
          <w:rFonts w:hint="eastAsia"/>
          <w:b w:val="0"/>
          <w:color w:val="000000" w:themeColor="text1"/>
          <w:highlight w:val="none"/>
          <w14:textFill>
            <w14:solidFill>
              <w14:schemeClr w14:val="tx1"/>
            </w14:solidFill>
          </w14:textFill>
        </w:rPr>
        <w:t>11、以上事项如有虚假或隐瞒，我方愿意承担一切后果，并不再寻求任何旨在减轻或免除法律责任的辩解。</w:t>
      </w:r>
    </w:p>
    <w:p w14:paraId="5DB45228">
      <w:pPr>
        <w:pStyle w:val="17"/>
        <w:keepNext w:val="0"/>
        <w:keepLines w:val="0"/>
        <w:pageBreakBefore w:val="0"/>
        <w:kinsoku/>
        <w:wordWrap/>
        <w:overflowPunct/>
        <w:topLinePunct w:val="0"/>
        <w:autoSpaceDE/>
        <w:autoSpaceDN/>
        <w:bidi w:val="0"/>
        <w:spacing w:line="520" w:lineRule="exact"/>
        <w:jc w:val="both"/>
        <w:textAlignment w:val="auto"/>
        <w:rPr>
          <w:b w:val="0"/>
          <w:color w:val="000000" w:themeColor="text1"/>
          <w:highlight w:val="none"/>
          <w14:textFill>
            <w14:solidFill>
              <w14:schemeClr w14:val="tx1"/>
            </w14:solidFill>
          </w14:textFill>
        </w:rPr>
      </w:pPr>
      <w:r>
        <w:rPr>
          <w:rFonts w:hint="eastAsia"/>
          <w:b w:val="0"/>
          <w:color w:val="000000" w:themeColor="text1"/>
          <w:highlight w:val="none"/>
          <w14:textFill>
            <w14:solidFill>
              <w14:schemeClr w14:val="tx1"/>
            </w14:solidFill>
          </w14:textFill>
        </w:rPr>
        <w:t>12、与本投标有关的一切正式往来信函请寄：</w:t>
      </w:r>
      <w:r>
        <w:rPr>
          <w:rFonts w:hint="eastAsia"/>
          <w:b w:val="0"/>
          <w:color w:val="000000" w:themeColor="text1"/>
          <w:highlight w:val="none"/>
          <w:u w:val="single"/>
          <w14:textFill>
            <w14:solidFill>
              <w14:schemeClr w14:val="tx1"/>
            </w14:solidFill>
          </w14:textFill>
        </w:rPr>
        <w:t xml:space="preserve"> </w:t>
      </w:r>
    </w:p>
    <w:p w14:paraId="35725E6F">
      <w:pPr>
        <w:pStyle w:val="17"/>
        <w:keepNext w:val="0"/>
        <w:keepLines w:val="0"/>
        <w:pageBreakBefore w:val="0"/>
        <w:kinsoku/>
        <w:wordWrap/>
        <w:overflowPunct/>
        <w:topLinePunct w:val="0"/>
        <w:autoSpaceDE/>
        <w:autoSpaceDN/>
        <w:bidi w:val="0"/>
        <w:spacing w:line="520" w:lineRule="exact"/>
        <w:jc w:val="left"/>
        <w:textAlignment w:val="auto"/>
        <w:rPr>
          <w:b w:val="0"/>
          <w:color w:val="000000" w:themeColor="text1"/>
          <w:highlight w:val="none"/>
          <w14:textFill>
            <w14:solidFill>
              <w14:schemeClr w14:val="tx1"/>
            </w14:solidFill>
          </w14:textFill>
        </w:rPr>
      </w:pPr>
      <w:r>
        <w:rPr>
          <w:rFonts w:hint="eastAsia"/>
          <w:b w:val="0"/>
          <w:color w:val="000000" w:themeColor="text1"/>
          <w:highlight w:val="none"/>
          <w14:textFill>
            <w14:solidFill>
              <w14:schemeClr w14:val="tx1"/>
            </w14:solidFill>
          </w14:textFill>
        </w:rPr>
        <w:t>地址：</w:t>
      </w:r>
      <w:r>
        <w:rPr>
          <w:rFonts w:hint="eastAsia"/>
          <w:b w:val="0"/>
          <w:color w:val="000000" w:themeColor="text1"/>
          <w:highlight w:val="none"/>
          <w:u w:val="single"/>
          <w14:textFill>
            <w14:solidFill>
              <w14:schemeClr w14:val="tx1"/>
            </w14:solidFill>
          </w14:textFill>
        </w:rPr>
        <w:t xml:space="preserve">                                                     </w:t>
      </w:r>
      <w:r>
        <w:rPr>
          <w:rFonts w:hint="eastAsia"/>
          <w:b w:val="0"/>
          <w:color w:val="000000" w:themeColor="text1"/>
          <w:highlight w:val="none"/>
          <w14:textFill>
            <w14:solidFill>
              <w14:schemeClr w14:val="tx1"/>
            </w14:solidFill>
          </w14:textFill>
        </w:rPr>
        <w:t xml:space="preserve">    </w:t>
      </w:r>
    </w:p>
    <w:p w14:paraId="12793ED5">
      <w:pPr>
        <w:pStyle w:val="17"/>
        <w:keepNext w:val="0"/>
        <w:keepLines w:val="0"/>
        <w:pageBreakBefore w:val="0"/>
        <w:kinsoku/>
        <w:wordWrap/>
        <w:overflowPunct/>
        <w:topLinePunct w:val="0"/>
        <w:autoSpaceDE/>
        <w:autoSpaceDN/>
        <w:bidi w:val="0"/>
        <w:spacing w:line="520" w:lineRule="exact"/>
        <w:jc w:val="left"/>
        <w:textAlignment w:val="auto"/>
        <w:rPr>
          <w:b w:val="0"/>
          <w:color w:val="000000" w:themeColor="text1"/>
          <w:highlight w:val="none"/>
          <w14:textFill>
            <w14:solidFill>
              <w14:schemeClr w14:val="tx1"/>
            </w14:solidFill>
          </w14:textFill>
        </w:rPr>
      </w:pPr>
      <w:r>
        <w:rPr>
          <w:rFonts w:hint="eastAsia"/>
          <w:b w:val="0"/>
          <w:color w:val="000000" w:themeColor="text1"/>
          <w:highlight w:val="none"/>
          <w14:textFill>
            <w14:solidFill>
              <w14:schemeClr w14:val="tx1"/>
            </w14:solidFill>
          </w14:textFill>
        </w:rPr>
        <w:t>电话：</w:t>
      </w:r>
      <w:r>
        <w:rPr>
          <w:rFonts w:hint="eastAsia"/>
          <w:b w:val="0"/>
          <w:color w:val="000000" w:themeColor="text1"/>
          <w:highlight w:val="none"/>
          <w:u w:val="single"/>
          <w14:textFill>
            <w14:solidFill>
              <w14:schemeClr w14:val="tx1"/>
            </w14:solidFill>
          </w14:textFill>
        </w:rPr>
        <w:t xml:space="preserve">                                      　　　　　　　　　</w:t>
      </w:r>
    </w:p>
    <w:p w14:paraId="6BFBDF37">
      <w:pPr>
        <w:pStyle w:val="17"/>
        <w:keepNext w:val="0"/>
        <w:keepLines w:val="0"/>
        <w:pageBreakBefore w:val="0"/>
        <w:kinsoku/>
        <w:wordWrap/>
        <w:overflowPunct/>
        <w:topLinePunct w:val="0"/>
        <w:autoSpaceDE/>
        <w:autoSpaceDN/>
        <w:bidi w:val="0"/>
        <w:spacing w:line="520" w:lineRule="exact"/>
        <w:jc w:val="left"/>
        <w:textAlignment w:val="auto"/>
        <w:rPr>
          <w:b w:val="0"/>
          <w:color w:val="000000" w:themeColor="text1"/>
          <w:highlight w:val="none"/>
          <w14:textFill>
            <w14:solidFill>
              <w14:schemeClr w14:val="tx1"/>
            </w14:solidFill>
          </w14:textFill>
        </w:rPr>
      </w:pPr>
      <w:r>
        <w:rPr>
          <w:rFonts w:hint="eastAsia"/>
          <w:b w:val="0"/>
          <w:color w:val="000000" w:themeColor="text1"/>
          <w:highlight w:val="none"/>
          <w14:textFill>
            <w14:solidFill>
              <w14:schemeClr w14:val="tx1"/>
            </w14:solidFill>
          </w14:textFill>
        </w:rPr>
        <w:t>传真：</w:t>
      </w:r>
      <w:r>
        <w:rPr>
          <w:rFonts w:hint="eastAsia"/>
          <w:b w:val="0"/>
          <w:color w:val="000000" w:themeColor="text1"/>
          <w:highlight w:val="none"/>
          <w:u w:val="single"/>
          <w14:textFill>
            <w14:solidFill>
              <w14:schemeClr w14:val="tx1"/>
            </w14:solidFill>
          </w14:textFill>
        </w:rPr>
        <w:t>　　　　　　　　　　　　　　　　　　　　　　　　　　　　</w:t>
      </w:r>
    </w:p>
    <w:p w14:paraId="77B3D2A0">
      <w:pPr>
        <w:pStyle w:val="17"/>
        <w:keepNext w:val="0"/>
        <w:keepLines w:val="0"/>
        <w:pageBreakBefore w:val="0"/>
        <w:kinsoku/>
        <w:wordWrap/>
        <w:overflowPunct/>
        <w:topLinePunct w:val="0"/>
        <w:autoSpaceDE/>
        <w:autoSpaceDN/>
        <w:bidi w:val="0"/>
        <w:spacing w:line="520" w:lineRule="exact"/>
        <w:jc w:val="left"/>
        <w:textAlignment w:val="auto"/>
        <w:rPr>
          <w:b w:val="0"/>
          <w:color w:val="000000" w:themeColor="text1"/>
          <w:highlight w:val="none"/>
          <w14:textFill>
            <w14:solidFill>
              <w14:schemeClr w14:val="tx1"/>
            </w14:solidFill>
          </w14:textFill>
        </w:rPr>
      </w:pPr>
      <w:r>
        <w:rPr>
          <w:rFonts w:hint="eastAsia"/>
          <w:b w:val="0"/>
          <w:color w:val="000000" w:themeColor="text1"/>
          <w:highlight w:val="none"/>
          <w14:textFill>
            <w14:solidFill>
              <w14:schemeClr w14:val="tx1"/>
            </w14:solidFill>
          </w14:textFill>
        </w:rPr>
        <w:t>邮政编码：</w:t>
      </w:r>
      <w:r>
        <w:rPr>
          <w:rFonts w:hint="eastAsia"/>
          <w:b w:val="0"/>
          <w:color w:val="000000" w:themeColor="text1"/>
          <w:highlight w:val="none"/>
          <w:u w:val="single"/>
          <w14:textFill>
            <w14:solidFill>
              <w14:schemeClr w14:val="tx1"/>
            </w14:solidFill>
          </w14:textFill>
        </w:rPr>
        <w:t xml:space="preserve">                                                    </w:t>
      </w:r>
    </w:p>
    <w:p w14:paraId="64515D29">
      <w:pPr>
        <w:pStyle w:val="17"/>
        <w:keepNext w:val="0"/>
        <w:keepLines w:val="0"/>
        <w:pageBreakBefore w:val="0"/>
        <w:kinsoku/>
        <w:wordWrap/>
        <w:overflowPunct/>
        <w:topLinePunct w:val="0"/>
        <w:autoSpaceDE/>
        <w:autoSpaceDN/>
        <w:bidi w:val="0"/>
        <w:spacing w:line="520" w:lineRule="exact"/>
        <w:jc w:val="left"/>
        <w:textAlignment w:val="auto"/>
        <w:rPr>
          <w:b w:val="0"/>
          <w:color w:val="000000" w:themeColor="text1"/>
          <w:highlight w:val="none"/>
          <w:u w:val="single"/>
          <w14:textFill>
            <w14:solidFill>
              <w14:schemeClr w14:val="tx1"/>
            </w14:solidFill>
          </w14:textFill>
        </w:rPr>
      </w:pPr>
      <w:r>
        <w:rPr>
          <w:rFonts w:hint="eastAsia"/>
          <w:b w:val="0"/>
          <w:color w:val="000000" w:themeColor="text1"/>
          <w:highlight w:val="none"/>
          <w14:textFill>
            <w14:solidFill>
              <w14:schemeClr w14:val="tx1"/>
            </w14:solidFill>
          </w14:textFill>
        </w:rPr>
        <w:t>开户名称：</w:t>
      </w:r>
      <w:r>
        <w:rPr>
          <w:rFonts w:hint="eastAsia"/>
          <w:b w:val="0"/>
          <w:color w:val="000000" w:themeColor="text1"/>
          <w:highlight w:val="none"/>
          <w:u w:val="single"/>
          <w14:textFill>
            <w14:solidFill>
              <w14:schemeClr w14:val="tx1"/>
            </w14:solidFill>
          </w14:textFill>
        </w:rPr>
        <w:t xml:space="preserve">                                                    </w:t>
      </w:r>
    </w:p>
    <w:p w14:paraId="01B61874">
      <w:pPr>
        <w:pStyle w:val="17"/>
        <w:keepNext w:val="0"/>
        <w:keepLines w:val="0"/>
        <w:pageBreakBefore w:val="0"/>
        <w:kinsoku/>
        <w:wordWrap/>
        <w:overflowPunct/>
        <w:topLinePunct w:val="0"/>
        <w:autoSpaceDE/>
        <w:autoSpaceDN/>
        <w:bidi w:val="0"/>
        <w:spacing w:line="520" w:lineRule="exact"/>
        <w:jc w:val="left"/>
        <w:textAlignment w:val="auto"/>
        <w:rPr>
          <w:b w:val="0"/>
          <w:color w:val="000000" w:themeColor="text1"/>
          <w:highlight w:val="none"/>
          <w14:textFill>
            <w14:solidFill>
              <w14:schemeClr w14:val="tx1"/>
            </w14:solidFill>
          </w14:textFill>
        </w:rPr>
      </w:pPr>
      <w:r>
        <w:rPr>
          <w:rFonts w:hint="eastAsia"/>
          <w:b w:val="0"/>
          <w:color w:val="000000" w:themeColor="text1"/>
          <w:highlight w:val="none"/>
          <w14:textFill>
            <w14:solidFill>
              <w14:schemeClr w14:val="tx1"/>
            </w14:solidFill>
          </w14:textFill>
        </w:rPr>
        <w:t>开户银行：</w:t>
      </w:r>
      <w:r>
        <w:rPr>
          <w:rFonts w:hint="eastAsia"/>
          <w:b w:val="0"/>
          <w:color w:val="000000" w:themeColor="text1"/>
          <w:highlight w:val="none"/>
          <w:u w:val="single"/>
          <w14:textFill>
            <w14:solidFill>
              <w14:schemeClr w14:val="tx1"/>
            </w14:solidFill>
          </w14:textFill>
        </w:rPr>
        <w:t xml:space="preserve">                                                    </w:t>
      </w:r>
    </w:p>
    <w:p w14:paraId="2BAD4109">
      <w:pPr>
        <w:pStyle w:val="17"/>
        <w:keepNext w:val="0"/>
        <w:keepLines w:val="0"/>
        <w:pageBreakBefore w:val="0"/>
        <w:kinsoku/>
        <w:wordWrap/>
        <w:overflowPunct/>
        <w:topLinePunct w:val="0"/>
        <w:autoSpaceDE/>
        <w:autoSpaceDN/>
        <w:bidi w:val="0"/>
        <w:spacing w:line="520" w:lineRule="exact"/>
        <w:jc w:val="left"/>
        <w:textAlignment w:val="auto"/>
        <w:rPr>
          <w:b w:val="0"/>
          <w:color w:val="000000" w:themeColor="text1"/>
          <w:highlight w:val="none"/>
          <w14:textFill>
            <w14:solidFill>
              <w14:schemeClr w14:val="tx1"/>
            </w14:solidFill>
          </w14:textFill>
        </w:rPr>
      </w:pPr>
      <w:r>
        <w:rPr>
          <w:rFonts w:hint="eastAsia"/>
          <w:b w:val="0"/>
          <w:color w:val="000000" w:themeColor="text1"/>
          <w:highlight w:val="none"/>
          <w14:textFill>
            <w14:solidFill>
              <w14:schemeClr w14:val="tx1"/>
            </w14:solidFill>
          </w14:textFill>
        </w:rPr>
        <w:t>银行账号：</w:t>
      </w:r>
      <w:r>
        <w:rPr>
          <w:rFonts w:hint="eastAsia"/>
          <w:b w:val="0"/>
          <w:color w:val="000000" w:themeColor="text1"/>
          <w:highlight w:val="none"/>
          <w:u w:val="single"/>
          <w14:textFill>
            <w14:solidFill>
              <w14:schemeClr w14:val="tx1"/>
            </w14:solidFill>
          </w14:textFill>
        </w:rPr>
        <w:t xml:space="preserve">                                                    </w:t>
      </w:r>
    </w:p>
    <w:p w14:paraId="2388EDEE">
      <w:pPr>
        <w:keepNext w:val="0"/>
        <w:keepLines w:val="0"/>
        <w:pageBreakBefore w:val="0"/>
        <w:kinsoku/>
        <w:wordWrap/>
        <w:overflowPunct/>
        <w:topLinePunct w:val="0"/>
        <w:autoSpaceDE/>
        <w:autoSpaceDN/>
        <w:bidi w:val="0"/>
        <w:snapToGrid w:val="0"/>
        <w:spacing w:line="520" w:lineRule="exact"/>
        <w:textAlignment w:val="auto"/>
        <w:rPr>
          <w:rFonts w:hint="eastAsia" w:cs="仿宋_GB2312" w:asciiTheme="minorEastAsia" w:hAnsiTheme="minorEastAsia" w:eastAsiaTheme="minorEastAsia"/>
          <w:color w:val="000000" w:themeColor="text1"/>
          <w:kern w:val="0"/>
          <w:sz w:val="28"/>
          <w:szCs w:val="28"/>
          <w:highlight w:val="none"/>
          <w:lang w:val="zh-CN"/>
          <w14:textFill>
            <w14:solidFill>
              <w14:schemeClr w14:val="tx1"/>
            </w14:solidFill>
          </w14:textFill>
        </w:rPr>
      </w:pPr>
    </w:p>
    <w:p w14:paraId="76D8433A">
      <w:pPr>
        <w:keepNext w:val="0"/>
        <w:keepLines w:val="0"/>
        <w:pageBreakBefore w:val="0"/>
        <w:kinsoku/>
        <w:wordWrap/>
        <w:overflowPunct/>
        <w:topLinePunct w:val="0"/>
        <w:autoSpaceDE/>
        <w:autoSpaceDN/>
        <w:bidi w:val="0"/>
        <w:snapToGrid w:val="0"/>
        <w:spacing w:line="520" w:lineRule="exact"/>
        <w:ind w:firstLine="5880" w:firstLineChars="2100"/>
        <w:textAlignment w:val="auto"/>
        <w:rPr>
          <w:rFonts w:cs="仿宋_GB2312" w:asciiTheme="minorEastAsia" w:hAnsiTheme="minorEastAsia" w:eastAsiaTheme="minorEastAsia"/>
          <w:color w:val="000000" w:themeColor="text1"/>
          <w:kern w:val="0"/>
          <w:sz w:val="28"/>
          <w:szCs w:val="28"/>
          <w:highlight w:val="none"/>
          <w14:textFill>
            <w14:solidFill>
              <w14:schemeClr w14:val="tx1"/>
            </w14:solidFill>
          </w14:textFill>
        </w:rPr>
      </w:pPr>
      <w:r>
        <w:rPr>
          <w:rFonts w:hint="eastAsia" w:cs="仿宋_GB2312" w:asciiTheme="minorEastAsia" w:hAnsiTheme="minorEastAsia" w:eastAsiaTheme="minorEastAsia"/>
          <w:color w:val="000000" w:themeColor="text1"/>
          <w:kern w:val="0"/>
          <w:sz w:val="28"/>
          <w:szCs w:val="28"/>
          <w:highlight w:val="none"/>
          <w:lang w:val="zh-CN"/>
          <w14:textFill>
            <w14:solidFill>
              <w14:schemeClr w14:val="tx1"/>
            </w14:solidFill>
          </w14:textFill>
        </w:rPr>
        <w:t>供应商名称(电子公章)：</w:t>
      </w:r>
    </w:p>
    <w:p w14:paraId="1175751D">
      <w:pPr>
        <w:keepNext w:val="0"/>
        <w:keepLines w:val="0"/>
        <w:pageBreakBefore w:val="0"/>
        <w:kinsoku/>
        <w:wordWrap/>
        <w:overflowPunct/>
        <w:topLinePunct w:val="0"/>
        <w:autoSpaceDE/>
        <w:autoSpaceDN/>
        <w:bidi w:val="0"/>
        <w:snapToGrid w:val="0"/>
        <w:spacing w:line="520" w:lineRule="exact"/>
        <w:jc w:val="right"/>
        <w:textAlignment w:val="auto"/>
        <w:rPr>
          <w:rFonts w:hint="eastAsia" w:cs="仿宋_GB2312" w:asciiTheme="minorEastAsia" w:hAnsiTheme="minorEastAsia" w:eastAsiaTheme="minorEastAsia"/>
          <w:color w:val="000000" w:themeColor="text1"/>
          <w:kern w:val="0"/>
          <w:sz w:val="28"/>
          <w:szCs w:val="28"/>
          <w:highlight w:val="none"/>
          <w:lang w:val="zh-CN"/>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法定代表人或其委托代理人（签字</w:t>
      </w:r>
      <w:r>
        <w:rPr>
          <w:rFonts w:hint="eastAsia" w:ascii="宋体" w:hAnsi="宋体" w:cs="宋体"/>
          <w:color w:val="000000" w:themeColor="text1"/>
          <w:sz w:val="28"/>
          <w:szCs w:val="28"/>
          <w:highlight w:val="none"/>
          <w:lang w:eastAsia="zh-CN"/>
          <w14:textFill>
            <w14:solidFill>
              <w14:schemeClr w14:val="tx1"/>
            </w14:solidFill>
          </w14:textFill>
        </w:rPr>
        <w:t>或</w:t>
      </w:r>
      <w:r>
        <w:rPr>
          <w:rFonts w:hint="eastAsia" w:ascii="宋体" w:hAnsi="宋体" w:eastAsia="宋体" w:cs="宋体"/>
          <w:color w:val="000000" w:themeColor="text1"/>
          <w:sz w:val="28"/>
          <w:szCs w:val="28"/>
          <w:highlight w:val="none"/>
          <w14:textFill>
            <w14:solidFill>
              <w14:schemeClr w14:val="tx1"/>
            </w14:solidFill>
          </w14:textFill>
        </w:rPr>
        <w:t>盖章）：</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r>
        <w:rPr>
          <w:rFonts w:hint="eastAsia" w:ascii="宋体" w:hAnsi="宋体" w:cs="宋体"/>
          <w:color w:val="000000" w:themeColor="text1"/>
          <w:sz w:val="28"/>
          <w:szCs w:val="28"/>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kern w:val="0"/>
          <w:sz w:val="28"/>
          <w:szCs w:val="28"/>
          <w:highlight w:val="none"/>
          <w:u w:val="single"/>
          <w:lang w:val="en-US" w:eastAsia="zh-CN"/>
          <w14:textFill>
            <w14:solidFill>
              <w14:schemeClr w14:val="tx1"/>
            </w14:solidFill>
          </w14:textFill>
        </w:rPr>
        <w:t xml:space="preserve"> </w:t>
      </w:r>
    </w:p>
    <w:p w14:paraId="4AC8284C">
      <w:pPr>
        <w:keepNext w:val="0"/>
        <w:keepLines w:val="0"/>
        <w:pageBreakBefore w:val="0"/>
        <w:kinsoku/>
        <w:wordWrap/>
        <w:overflowPunct/>
        <w:topLinePunct w:val="0"/>
        <w:autoSpaceDE/>
        <w:autoSpaceDN/>
        <w:bidi w:val="0"/>
        <w:snapToGrid w:val="0"/>
        <w:spacing w:line="520" w:lineRule="exact"/>
        <w:ind w:firstLine="6020" w:firstLineChars="2150"/>
        <w:textAlignment w:val="auto"/>
        <w:rPr>
          <w:rFonts w:cs="仿宋_GB2312" w:asciiTheme="minorEastAsia" w:hAnsiTheme="minorEastAsia" w:eastAsiaTheme="minorEastAsia"/>
          <w:color w:val="000000" w:themeColor="text1"/>
          <w:kern w:val="0"/>
          <w:sz w:val="28"/>
          <w:szCs w:val="28"/>
          <w:highlight w:val="none"/>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8"/>
          <w:szCs w:val="28"/>
          <w:highlight w:val="none"/>
          <w:lang w:val="zh-CN"/>
          <w14:textFill>
            <w14:solidFill>
              <w14:schemeClr w14:val="tx1"/>
            </w14:solidFill>
          </w14:textFill>
        </w:rPr>
        <w:t>日期</w:t>
      </w:r>
      <w:r>
        <w:rPr>
          <w:rFonts w:hint="eastAsia" w:cs="仿宋_GB2312" w:asciiTheme="minorEastAsia" w:hAnsiTheme="minorEastAsia" w:eastAsiaTheme="minorEastAsia"/>
          <w:color w:val="000000" w:themeColor="text1"/>
          <w:kern w:val="0"/>
          <w:sz w:val="28"/>
          <w:szCs w:val="28"/>
          <w:highlight w:val="none"/>
          <w14:textFill>
            <w14:solidFill>
              <w14:schemeClr w14:val="tx1"/>
            </w14:solidFill>
          </w14:textFill>
        </w:rPr>
        <w:t xml:space="preserve">：  年  </w:t>
      </w:r>
      <w:r>
        <w:rPr>
          <w:rFonts w:hint="eastAsia" w:cs="仿宋_GB2312" w:asciiTheme="minorEastAsia" w:hAnsiTheme="minorEastAsia" w:eastAsiaTheme="minorEastAsia"/>
          <w:color w:val="000000" w:themeColor="text1"/>
          <w:kern w:val="0"/>
          <w:sz w:val="28"/>
          <w:szCs w:val="28"/>
          <w:highlight w:val="none"/>
          <w:lang w:val="zh-CN"/>
          <w14:textFill>
            <w14:solidFill>
              <w14:schemeClr w14:val="tx1"/>
            </w14:solidFill>
          </w14:textFill>
        </w:rPr>
        <w:t>月</w:t>
      </w:r>
      <w:r>
        <w:rPr>
          <w:rFonts w:hint="eastAsia" w:cs="仿宋_GB2312" w:asciiTheme="minorEastAsia" w:hAnsiTheme="minorEastAsia" w:eastAsiaTheme="minorEastAsia"/>
          <w:color w:val="000000" w:themeColor="text1"/>
          <w:kern w:val="0"/>
          <w:sz w:val="28"/>
          <w:szCs w:val="28"/>
          <w:highlight w:val="none"/>
          <w14:textFill>
            <w14:solidFill>
              <w14:schemeClr w14:val="tx1"/>
            </w14:solidFill>
          </w14:textFill>
        </w:rPr>
        <w:t xml:space="preserve">   </w:t>
      </w:r>
      <w:r>
        <w:rPr>
          <w:rFonts w:hint="eastAsia" w:cs="仿宋_GB2312" w:asciiTheme="minorEastAsia" w:hAnsiTheme="minorEastAsia" w:eastAsiaTheme="minorEastAsia"/>
          <w:color w:val="000000" w:themeColor="text1"/>
          <w:kern w:val="0"/>
          <w:sz w:val="28"/>
          <w:szCs w:val="28"/>
          <w:highlight w:val="none"/>
          <w:lang w:val="zh-CN"/>
          <w14:textFill>
            <w14:solidFill>
              <w14:schemeClr w14:val="tx1"/>
            </w14:solidFill>
          </w14:textFill>
        </w:rPr>
        <w:t>日</w:t>
      </w:r>
    </w:p>
    <w:p w14:paraId="1178646A">
      <w:pPr>
        <w:keepNext w:val="0"/>
        <w:keepLines w:val="0"/>
        <w:pageBreakBefore w:val="0"/>
        <w:widowControl/>
        <w:kinsoku/>
        <w:wordWrap/>
        <w:overflowPunct/>
        <w:topLinePunct w:val="0"/>
        <w:autoSpaceDE/>
        <w:autoSpaceDN/>
        <w:bidi w:val="0"/>
        <w:spacing w:line="520" w:lineRule="exact"/>
        <w:jc w:val="left"/>
        <w:textAlignment w:val="auto"/>
        <w:rPr>
          <w:rFonts w:ascii="仿宋_GB2312" w:hAnsi="仿宋" w:eastAsia="仿宋_GB2312" w:cs="仿宋_GB2312"/>
          <w:color w:val="000000" w:themeColor="text1"/>
          <w:kern w:val="0"/>
          <w:sz w:val="24"/>
          <w:highlight w:val="none"/>
          <w:lang w:val="zh-CN"/>
          <w14:textFill>
            <w14:solidFill>
              <w14:schemeClr w14:val="tx1"/>
            </w14:solidFill>
          </w14:textFill>
        </w:rPr>
        <w:sectPr>
          <w:pgSz w:w="11906" w:h="16838"/>
          <w:pgMar w:top="1134" w:right="1134" w:bottom="1134" w:left="1134" w:header="720" w:footer="720" w:gutter="0"/>
          <w:pgNumType w:fmt="decimal"/>
          <w:cols w:space="720" w:num="1"/>
          <w:docGrid w:type="lines" w:linePitch="331" w:charSpace="0"/>
        </w:sectPr>
      </w:pPr>
    </w:p>
    <w:p w14:paraId="40CA6536">
      <w:pPr>
        <w:pStyle w:val="17"/>
        <w:pageBreakBefore w:val="0"/>
        <w:wordWrap/>
        <w:topLinePunct w:val="0"/>
        <w:bidi w:val="0"/>
        <w:spacing w:line="560" w:lineRule="exact"/>
        <w:rPr>
          <w:color w:val="000000" w:themeColor="text1"/>
          <w:sz w:val="30"/>
          <w:szCs w:val="30"/>
          <w:highlight w:val="none"/>
          <w14:textFill>
            <w14:solidFill>
              <w14:schemeClr w14:val="tx1"/>
            </w14:solidFill>
          </w14:textFill>
        </w:rPr>
      </w:pPr>
      <w:r>
        <w:rPr>
          <w:rFonts w:hint="eastAsia" w:hAnsi="宋体"/>
          <w:color w:val="000000" w:themeColor="text1"/>
          <w:sz w:val="30"/>
          <w:highlight w:val="none"/>
          <w14:textFill>
            <w14:solidFill>
              <w14:schemeClr w14:val="tx1"/>
            </w14:solidFill>
          </w14:textFill>
        </w:rPr>
        <w:t>二、</w:t>
      </w:r>
      <w:r>
        <w:rPr>
          <w:rFonts w:hint="eastAsia"/>
          <w:color w:val="000000" w:themeColor="text1"/>
          <w:sz w:val="30"/>
          <w:szCs w:val="30"/>
          <w:highlight w:val="none"/>
          <w14:textFill>
            <w14:solidFill>
              <w14:schemeClr w14:val="tx1"/>
            </w14:solidFill>
          </w14:textFill>
        </w:rPr>
        <w:t>开标一览表</w:t>
      </w:r>
      <w:r>
        <w:rPr>
          <w:rFonts w:hint="eastAsia"/>
          <w:color w:val="000000" w:themeColor="text1"/>
          <w:highlight w:val="none"/>
          <w:lang w:val="zh-CN"/>
          <w14:textFill>
            <w14:solidFill>
              <w14:schemeClr w14:val="tx1"/>
            </w14:solidFill>
          </w14:textFill>
        </w:rPr>
        <w:t>(单位均为人民币元)</w:t>
      </w:r>
    </w:p>
    <w:p w14:paraId="66746D84">
      <w:pPr>
        <w:pStyle w:val="17"/>
        <w:pageBreakBefore w:val="0"/>
        <w:wordWrap/>
        <w:topLinePunct w:val="0"/>
        <w:bidi w:val="0"/>
        <w:spacing w:line="560" w:lineRule="exac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                     </w:t>
      </w:r>
    </w:p>
    <w:tbl>
      <w:tblPr>
        <w:tblStyle w:val="34"/>
        <w:tblW w:w="958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0"/>
      </w:tblGrid>
      <w:tr w14:paraId="13F5D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8" w:hRule="atLeast"/>
        </w:trPr>
        <w:tc>
          <w:tcPr>
            <w:tcW w:w="9580" w:type="dxa"/>
            <w:tcBorders>
              <w:top w:val="single" w:color="auto" w:sz="4" w:space="0"/>
              <w:left w:val="single" w:color="auto" w:sz="4" w:space="0"/>
              <w:bottom w:val="single" w:color="auto" w:sz="4" w:space="0"/>
              <w:right w:val="single" w:color="auto" w:sz="4" w:space="0"/>
            </w:tcBorders>
          </w:tcPr>
          <w:p w14:paraId="2563AD2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olor w:val="000000" w:themeColor="text1"/>
                <w:sz w:val="28"/>
                <w:szCs w:val="28"/>
                <w:highlight w:val="none"/>
                <w:lang w:eastAsia="zh-CN"/>
                <w14:textFill>
                  <w14:solidFill>
                    <w14:schemeClr w14:val="tx1"/>
                  </w14:solidFill>
                </w14:textFill>
              </w:rPr>
            </w:pPr>
            <w:r>
              <w:rPr>
                <w:rFonts w:hint="eastAsia" w:asciiTheme="minorEastAsia" w:hAnsiTheme="minorEastAsia" w:eastAsiaTheme="minorEastAsia"/>
                <w:color w:val="000000" w:themeColor="text1"/>
                <w:sz w:val="28"/>
                <w:szCs w:val="28"/>
                <w:highlight w:val="none"/>
                <w:lang w:eastAsia="zh-CN"/>
                <w14:textFill>
                  <w14:solidFill>
                    <w14:schemeClr w14:val="tx1"/>
                  </w14:solidFill>
                </w14:textFill>
              </w:rPr>
              <w:t>标项名称：</w:t>
            </w:r>
          </w:p>
        </w:tc>
      </w:tr>
      <w:tr w14:paraId="13442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3" w:hRule="atLeast"/>
        </w:trPr>
        <w:tc>
          <w:tcPr>
            <w:tcW w:w="9580" w:type="dxa"/>
            <w:tcBorders>
              <w:top w:val="single" w:color="auto" w:sz="4" w:space="0"/>
              <w:left w:val="single" w:color="auto" w:sz="4" w:space="0"/>
              <w:bottom w:val="single" w:color="auto" w:sz="4" w:space="0"/>
              <w:right w:val="single" w:color="auto" w:sz="4" w:space="0"/>
            </w:tcBorders>
          </w:tcPr>
          <w:p w14:paraId="1924AC75">
            <w:pPr>
              <w:keepNext w:val="0"/>
              <w:keepLines w:val="0"/>
              <w:pageBreakBefore w:val="0"/>
              <w:widowControl w:val="0"/>
              <w:kinsoku/>
              <w:wordWrap/>
              <w:overflowPunct/>
              <w:topLinePunct w:val="0"/>
              <w:autoSpaceDE/>
              <w:autoSpaceDN/>
              <w:bidi w:val="0"/>
              <w:adjustRightInd/>
              <w:snapToGrid/>
              <w:spacing w:line="560" w:lineRule="exact"/>
              <w:textAlignment w:val="auto"/>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报价（总报价）：大写：</w:t>
            </w:r>
          </w:p>
          <w:p w14:paraId="2AA28DF5">
            <w:pPr>
              <w:keepNext w:val="0"/>
              <w:keepLines w:val="0"/>
              <w:pageBreakBefore w:val="0"/>
              <w:widowControl w:val="0"/>
              <w:kinsoku/>
              <w:wordWrap/>
              <w:overflowPunct/>
              <w:topLinePunct w:val="0"/>
              <w:autoSpaceDE/>
              <w:autoSpaceDN/>
              <w:bidi w:val="0"/>
              <w:adjustRightInd/>
              <w:snapToGrid/>
              <w:spacing w:line="560" w:lineRule="exact"/>
              <w:textAlignment w:val="auto"/>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 xml:space="preserve">               小写：</w:t>
            </w:r>
          </w:p>
        </w:tc>
      </w:tr>
      <w:tr w14:paraId="1B5FF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9" w:hRule="atLeast"/>
        </w:trPr>
        <w:tc>
          <w:tcPr>
            <w:tcW w:w="9580" w:type="dxa"/>
            <w:tcBorders>
              <w:top w:val="single" w:color="auto" w:sz="4" w:space="0"/>
              <w:left w:val="single" w:color="auto" w:sz="4" w:space="0"/>
              <w:bottom w:val="single" w:color="auto" w:sz="4" w:space="0"/>
              <w:right w:val="single" w:color="auto" w:sz="4" w:space="0"/>
            </w:tcBorders>
          </w:tcPr>
          <w:p w14:paraId="644055B8">
            <w:pPr>
              <w:keepNext w:val="0"/>
              <w:keepLines w:val="0"/>
              <w:pageBreakBefore w:val="0"/>
              <w:widowControl w:val="0"/>
              <w:kinsoku/>
              <w:wordWrap/>
              <w:overflowPunct/>
              <w:topLinePunct w:val="0"/>
              <w:autoSpaceDE/>
              <w:autoSpaceDN/>
              <w:bidi w:val="0"/>
              <w:adjustRightInd/>
              <w:snapToGrid/>
              <w:spacing w:line="560" w:lineRule="exact"/>
              <w:textAlignment w:val="auto"/>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供货期：</w:t>
            </w:r>
          </w:p>
        </w:tc>
      </w:tr>
      <w:tr w14:paraId="2CE47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9" w:hRule="atLeast"/>
        </w:trPr>
        <w:tc>
          <w:tcPr>
            <w:tcW w:w="9580" w:type="dxa"/>
            <w:tcBorders>
              <w:top w:val="single" w:color="auto" w:sz="4" w:space="0"/>
              <w:left w:val="single" w:color="auto" w:sz="4" w:space="0"/>
              <w:bottom w:val="single" w:color="auto" w:sz="4" w:space="0"/>
              <w:right w:val="single" w:color="auto" w:sz="4" w:space="0"/>
            </w:tcBorders>
          </w:tcPr>
          <w:p w14:paraId="0C225AD4">
            <w:pPr>
              <w:keepNext w:val="0"/>
              <w:keepLines w:val="0"/>
              <w:pageBreakBefore w:val="0"/>
              <w:widowControl w:val="0"/>
              <w:kinsoku/>
              <w:wordWrap/>
              <w:overflowPunct/>
              <w:topLinePunct w:val="0"/>
              <w:autoSpaceDE/>
              <w:autoSpaceDN/>
              <w:bidi w:val="0"/>
              <w:adjustRightInd/>
              <w:snapToGrid/>
              <w:spacing w:line="560" w:lineRule="exact"/>
              <w:textAlignment w:val="auto"/>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质保期：</w:t>
            </w:r>
          </w:p>
        </w:tc>
      </w:tr>
      <w:tr w14:paraId="56DB0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4" w:hRule="atLeast"/>
        </w:trPr>
        <w:tc>
          <w:tcPr>
            <w:tcW w:w="9580" w:type="dxa"/>
            <w:tcBorders>
              <w:top w:val="single" w:color="auto" w:sz="4" w:space="0"/>
              <w:left w:val="single" w:color="auto" w:sz="4" w:space="0"/>
              <w:bottom w:val="single" w:color="auto" w:sz="4" w:space="0"/>
              <w:right w:val="single" w:color="auto" w:sz="4" w:space="0"/>
            </w:tcBorders>
          </w:tcPr>
          <w:p w14:paraId="57A872E4">
            <w:pPr>
              <w:keepNext w:val="0"/>
              <w:keepLines w:val="0"/>
              <w:pageBreakBefore w:val="0"/>
              <w:widowControl w:val="0"/>
              <w:kinsoku/>
              <w:wordWrap/>
              <w:overflowPunct/>
              <w:topLinePunct w:val="0"/>
              <w:autoSpaceDE/>
              <w:autoSpaceDN/>
              <w:bidi w:val="0"/>
              <w:adjustRightInd/>
              <w:snapToGrid/>
              <w:spacing w:line="560" w:lineRule="exact"/>
              <w:textAlignment w:val="auto"/>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备注：</w:t>
            </w:r>
            <w:r>
              <w:rPr>
                <w:rFonts w:asciiTheme="minorEastAsia" w:hAnsiTheme="minorEastAsia" w:eastAsiaTheme="minorEastAsia"/>
                <w:color w:val="000000" w:themeColor="text1"/>
                <w:sz w:val="28"/>
                <w:szCs w:val="28"/>
                <w:highlight w:val="none"/>
                <w14:textFill>
                  <w14:solidFill>
                    <w14:schemeClr w14:val="tx1"/>
                  </w14:solidFill>
                </w14:textFill>
              </w:rPr>
              <w:t xml:space="preserve"> </w:t>
            </w:r>
          </w:p>
        </w:tc>
      </w:tr>
    </w:tbl>
    <w:p w14:paraId="7E86D36D">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cs="仿宋_GB2312" w:asciiTheme="minorEastAsia" w:hAnsiTheme="minorEastAsia" w:eastAsiaTheme="minorEastAsia"/>
          <w:color w:val="000000" w:themeColor="text1"/>
          <w:kern w:val="0"/>
          <w:sz w:val="28"/>
          <w:szCs w:val="28"/>
          <w:highlight w:val="none"/>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8"/>
          <w:szCs w:val="28"/>
          <w:highlight w:val="none"/>
          <w:lang w:val="zh-CN"/>
          <w14:textFill>
            <w14:solidFill>
              <w14:schemeClr w14:val="tx1"/>
            </w14:solidFill>
          </w14:textFill>
        </w:rPr>
        <w:t xml:space="preserve">注： </w:t>
      </w:r>
    </w:p>
    <w:p w14:paraId="0F958ABE">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cs="仿宋_GB2312" w:asciiTheme="minorEastAsia" w:hAnsiTheme="minorEastAsia" w:eastAsiaTheme="minorEastAsia"/>
          <w:b w:val="0"/>
          <w:bCs/>
          <w:color w:val="000000" w:themeColor="text1"/>
          <w:kern w:val="0"/>
          <w:sz w:val="28"/>
          <w:szCs w:val="28"/>
          <w:highlight w:val="none"/>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8"/>
          <w:szCs w:val="28"/>
          <w:highlight w:val="none"/>
          <w:lang w:val="zh-CN"/>
          <w14:textFill>
            <w14:solidFill>
              <w14:schemeClr w14:val="tx1"/>
            </w14:solidFill>
          </w14:textFill>
        </w:rPr>
        <w:t>1、 供应商需按本表格式填写，不得自行更改，也不得留空, 如有多分标，按分标分别提供开标一览表，必须加盖供应商有效电子公章，</w:t>
      </w:r>
      <w:r>
        <w:rPr>
          <w:rFonts w:hint="eastAsia" w:cs="仿宋_GB2312" w:asciiTheme="minorEastAsia" w:hAnsiTheme="minorEastAsia" w:eastAsiaTheme="minorEastAsia"/>
          <w:b w:val="0"/>
          <w:bCs/>
          <w:color w:val="000000" w:themeColor="text1"/>
          <w:kern w:val="0"/>
          <w:sz w:val="28"/>
          <w:szCs w:val="28"/>
          <w:highlight w:val="none"/>
          <w:lang w:val="zh-CN"/>
          <w14:textFill>
            <w14:solidFill>
              <w14:schemeClr w14:val="tx1"/>
            </w14:solidFill>
          </w14:textFill>
        </w:rPr>
        <w:t>否则其投标作无效标处理。</w:t>
      </w:r>
    </w:p>
    <w:p w14:paraId="0222C670">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cs="仿宋_GB2312" w:asciiTheme="minorEastAsia" w:hAnsiTheme="minorEastAsia" w:eastAsiaTheme="minorEastAsia"/>
          <w:color w:val="000000" w:themeColor="text1"/>
          <w:kern w:val="0"/>
          <w:sz w:val="28"/>
          <w:szCs w:val="28"/>
          <w:highlight w:val="none"/>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8"/>
          <w:szCs w:val="28"/>
          <w:highlight w:val="none"/>
          <w:lang w:val="zh-CN"/>
          <w14:textFill>
            <w14:solidFill>
              <w14:schemeClr w14:val="tx1"/>
            </w14:solidFill>
          </w14:textFill>
        </w:rPr>
        <w:t>2、符合招标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42BD0293">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8"/>
          <w:szCs w:val="28"/>
          <w:highlight w:val="none"/>
          <w:lang w:val="zh-CN"/>
          <w14:textFill>
            <w14:solidFill>
              <w14:schemeClr w14:val="tx1"/>
            </w14:solidFill>
          </w14:textFill>
        </w:rPr>
        <w:t>3、本项目报价需包含完成本项目所需的全部费用（包括但不限于各设备运费、吊装、安装、调试、备件、耗材、税金等）。</w:t>
      </w:r>
    </w:p>
    <w:p w14:paraId="16A7C6C6">
      <w:pPr>
        <w:pageBreakBefore w:val="0"/>
        <w:wordWrap/>
        <w:topLinePunct w:val="0"/>
        <w:bidi w:val="0"/>
        <w:snapToGrid w:val="0"/>
        <w:spacing w:line="560" w:lineRule="exact"/>
        <w:ind w:firstLine="5880" w:firstLineChars="2100"/>
        <w:rPr>
          <w:rFonts w:hint="eastAsia" w:cs="仿宋_GB2312" w:asciiTheme="minorEastAsia" w:hAnsiTheme="minorEastAsia" w:eastAsiaTheme="minorEastAsia"/>
          <w:color w:val="000000" w:themeColor="text1"/>
          <w:kern w:val="0"/>
          <w:sz w:val="28"/>
          <w:szCs w:val="28"/>
          <w:highlight w:val="none"/>
          <w:lang w:val="zh-CN"/>
          <w14:textFill>
            <w14:solidFill>
              <w14:schemeClr w14:val="tx1"/>
            </w14:solidFill>
          </w14:textFill>
        </w:rPr>
      </w:pPr>
    </w:p>
    <w:p w14:paraId="54287F49">
      <w:pPr>
        <w:pageBreakBefore w:val="0"/>
        <w:wordWrap/>
        <w:topLinePunct w:val="0"/>
        <w:bidi w:val="0"/>
        <w:snapToGrid w:val="0"/>
        <w:spacing w:line="560" w:lineRule="exact"/>
        <w:ind w:firstLine="5880" w:firstLineChars="2100"/>
        <w:rPr>
          <w:rFonts w:cs="仿宋_GB2312" w:asciiTheme="minorEastAsia" w:hAnsiTheme="minorEastAsia" w:eastAsiaTheme="minorEastAsia"/>
          <w:color w:val="000000" w:themeColor="text1"/>
          <w:kern w:val="0"/>
          <w:sz w:val="28"/>
          <w:szCs w:val="28"/>
          <w:highlight w:val="none"/>
          <w14:textFill>
            <w14:solidFill>
              <w14:schemeClr w14:val="tx1"/>
            </w14:solidFill>
          </w14:textFill>
        </w:rPr>
      </w:pPr>
      <w:r>
        <w:rPr>
          <w:rFonts w:hint="eastAsia" w:cs="仿宋_GB2312" w:asciiTheme="minorEastAsia" w:hAnsiTheme="minorEastAsia" w:eastAsiaTheme="minorEastAsia"/>
          <w:color w:val="000000" w:themeColor="text1"/>
          <w:kern w:val="0"/>
          <w:sz w:val="28"/>
          <w:szCs w:val="28"/>
          <w:highlight w:val="none"/>
          <w:lang w:val="zh-CN"/>
          <w14:textFill>
            <w14:solidFill>
              <w14:schemeClr w14:val="tx1"/>
            </w14:solidFill>
          </w14:textFill>
        </w:rPr>
        <w:t>供应商名称(电子公章)：</w:t>
      </w:r>
    </w:p>
    <w:p w14:paraId="3305167A">
      <w:pPr>
        <w:pageBreakBefore w:val="0"/>
        <w:wordWrap/>
        <w:topLinePunct w:val="0"/>
        <w:bidi w:val="0"/>
        <w:snapToGrid w:val="0"/>
        <w:spacing w:line="560" w:lineRule="exact"/>
        <w:jc w:val="right"/>
        <w:rPr>
          <w:rFonts w:hint="eastAsia" w:cs="仿宋_GB2312" w:asciiTheme="minorEastAsia" w:hAnsiTheme="minorEastAsia" w:eastAsiaTheme="minorEastAsia"/>
          <w:color w:val="000000" w:themeColor="text1"/>
          <w:kern w:val="0"/>
          <w:sz w:val="28"/>
          <w:szCs w:val="28"/>
          <w:highlight w:val="none"/>
          <w:lang w:val="zh-CN"/>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法定代表人或其委托代理人（签字</w:t>
      </w:r>
      <w:r>
        <w:rPr>
          <w:rFonts w:hint="eastAsia" w:ascii="宋体" w:hAnsi="宋体" w:cs="宋体"/>
          <w:color w:val="000000" w:themeColor="text1"/>
          <w:sz w:val="28"/>
          <w:szCs w:val="28"/>
          <w:highlight w:val="none"/>
          <w:lang w:eastAsia="zh-CN"/>
          <w14:textFill>
            <w14:solidFill>
              <w14:schemeClr w14:val="tx1"/>
            </w14:solidFill>
          </w14:textFill>
        </w:rPr>
        <w:t>或</w:t>
      </w:r>
      <w:r>
        <w:rPr>
          <w:rFonts w:hint="eastAsia" w:ascii="宋体" w:hAnsi="宋体" w:eastAsia="宋体" w:cs="宋体"/>
          <w:color w:val="000000" w:themeColor="text1"/>
          <w:sz w:val="28"/>
          <w:szCs w:val="28"/>
          <w:highlight w:val="none"/>
          <w14:textFill>
            <w14:solidFill>
              <w14:schemeClr w14:val="tx1"/>
            </w14:solidFill>
          </w14:textFill>
        </w:rPr>
        <w:t>盖章）：</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r>
        <w:rPr>
          <w:rFonts w:hint="eastAsia" w:ascii="宋体" w:hAnsi="宋体" w:cs="宋体"/>
          <w:color w:val="000000" w:themeColor="text1"/>
          <w:sz w:val="28"/>
          <w:szCs w:val="28"/>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kern w:val="0"/>
          <w:sz w:val="28"/>
          <w:szCs w:val="28"/>
          <w:highlight w:val="none"/>
          <w:u w:val="single"/>
          <w:lang w:val="en-US" w:eastAsia="zh-CN"/>
          <w14:textFill>
            <w14:solidFill>
              <w14:schemeClr w14:val="tx1"/>
            </w14:solidFill>
          </w14:textFill>
        </w:rPr>
        <w:t xml:space="preserve"> </w:t>
      </w:r>
    </w:p>
    <w:p w14:paraId="7E1654DD">
      <w:pPr>
        <w:pageBreakBefore w:val="0"/>
        <w:wordWrap/>
        <w:topLinePunct w:val="0"/>
        <w:bidi w:val="0"/>
        <w:snapToGrid w:val="0"/>
        <w:spacing w:line="560" w:lineRule="exact"/>
        <w:ind w:firstLine="6020" w:firstLineChars="2150"/>
        <w:rPr>
          <w:rFonts w:cs="仿宋_GB2312" w:asciiTheme="minorEastAsia" w:hAnsiTheme="minorEastAsia" w:eastAsiaTheme="minorEastAsia"/>
          <w:color w:val="000000" w:themeColor="text1"/>
          <w:kern w:val="0"/>
          <w:sz w:val="28"/>
          <w:szCs w:val="28"/>
          <w:highlight w:val="none"/>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8"/>
          <w:szCs w:val="28"/>
          <w:highlight w:val="none"/>
          <w:lang w:val="zh-CN"/>
          <w14:textFill>
            <w14:solidFill>
              <w14:schemeClr w14:val="tx1"/>
            </w14:solidFill>
          </w14:textFill>
        </w:rPr>
        <w:t>日期</w:t>
      </w:r>
      <w:r>
        <w:rPr>
          <w:rFonts w:hint="eastAsia" w:cs="仿宋_GB2312" w:asciiTheme="minorEastAsia" w:hAnsiTheme="minorEastAsia" w:eastAsiaTheme="minorEastAsia"/>
          <w:color w:val="000000" w:themeColor="text1"/>
          <w:kern w:val="0"/>
          <w:sz w:val="28"/>
          <w:szCs w:val="28"/>
          <w:highlight w:val="none"/>
          <w14:textFill>
            <w14:solidFill>
              <w14:schemeClr w14:val="tx1"/>
            </w14:solidFill>
          </w14:textFill>
        </w:rPr>
        <w:t xml:space="preserve">：  年  </w:t>
      </w:r>
      <w:r>
        <w:rPr>
          <w:rFonts w:hint="eastAsia" w:cs="仿宋_GB2312" w:asciiTheme="minorEastAsia" w:hAnsiTheme="minorEastAsia" w:eastAsiaTheme="minorEastAsia"/>
          <w:color w:val="000000" w:themeColor="text1"/>
          <w:kern w:val="0"/>
          <w:sz w:val="28"/>
          <w:szCs w:val="28"/>
          <w:highlight w:val="none"/>
          <w:lang w:val="zh-CN"/>
          <w14:textFill>
            <w14:solidFill>
              <w14:schemeClr w14:val="tx1"/>
            </w14:solidFill>
          </w14:textFill>
        </w:rPr>
        <w:t>月</w:t>
      </w:r>
      <w:r>
        <w:rPr>
          <w:rFonts w:hint="eastAsia" w:cs="仿宋_GB2312" w:asciiTheme="minorEastAsia" w:hAnsiTheme="minorEastAsia" w:eastAsiaTheme="minorEastAsia"/>
          <w:color w:val="000000" w:themeColor="text1"/>
          <w:kern w:val="0"/>
          <w:sz w:val="28"/>
          <w:szCs w:val="28"/>
          <w:highlight w:val="none"/>
          <w14:textFill>
            <w14:solidFill>
              <w14:schemeClr w14:val="tx1"/>
            </w14:solidFill>
          </w14:textFill>
        </w:rPr>
        <w:t xml:space="preserve">   </w:t>
      </w:r>
      <w:r>
        <w:rPr>
          <w:rFonts w:hint="eastAsia" w:cs="仿宋_GB2312" w:asciiTheme="minorEastAsia" w:hAnsiTheme="minorEastAsia" w:eastAsiaTheme="minorEastAsia"/>
          <w:color w:val="000000" w:themeColor="text1"/>
          <w:kern w:val="0"/>
          <w:sz w:val="28"/>
          <w:szCs w:val="28"/>
          <w:highlight w:val="none"/>
          <w:lang w:val="zh-CN"/>
          <w14:textFill>
            <w14:solidFill>
              <w14:schemeClr w14:val="tx1"/>
            </w14:solidFill>
          </w14:textFill>
        </w:rPr>
        <w:t>日</w:t>
      </w:r>
    </w:p>
    <w:p w14:paraId="6DB49E38">
      <w:pPr>
        <w:pStyle w:val="17"/>
        <w:pageBreakBefore w:val="0"/>
        <w:numPr>
          <w:ilvl w:val="0"/>
          <w:numId w:val="13"/>
        </w:numPr>
        <w:wordWrap/>
        <w:topLinePunct w:val="0"/>
        <w:bidi w:val="0"/>
        <w:spacing w:line="560" w:lineRule="exact"/>
        <w:rPr>
          <w:color w:val="000000" w:themeColor="text1"/>
          <w:highlight w:val="none"/>
          <w14:textFill>
            <w14:solidFill>
              <w14:schemeClr w14:val="tx1"/>
            </w14:solidFill>
          </w14:textFill>
        </w:rPr>
      </w:pPr>
      <w:r>
        <w:rPr>
          <w:rFonts w:ascii="仿宋_GB2312" w:hAnsi="仿宋" w:eastAsia="仿宋_GB2312" w:cs="仿宋_GB2312"/>
          <w:color w:val="000000" w:themeColor="text1"/>
          <w:kern w:val="0"/>
          <w:sz w:val="24"/>
          <w:highlight w:val="none"/>
          <w:lang w:val="zh-CN"/>
          <w14:textFill>
            <w14:solidFill>
              <w14:schemeClr w14:val="tx1"/>
            </w14:solidFill>
          </w14:textFill>
        </w:rPr>
        <w:br w:type="page"/>
      </w:r>
      <w:r>
        <w:rPr>
          <w:color w:val="000000" w:themeColor="text1"/>
          <w:highlight w:val="none"/>
          <w14:textFill>
            <w14:solidFill>
              <w14:schemeClr w14:val="tx1"/>
            </w14:solidFill>
          </w14:textFill>
        </w:rPr>
        <w:t>分项报价表</w:t>
      </w:r>
    </w:p>
    <w:p w14:paraId="152D5679">
      <w:pPr>
        <w:pStyle w:val="17"/>
        <w:pageBreakBefore w:val="0"/>
        <w:numPr>
          <w:ilvl w:val="0"/>
          <w:numId w:val="0"/>
        </w:numPr>
        <w:wordWrap/>
        <w:topLinePunct w:val="0"/>
        <w:bidi w:val="0"/>
        <w:spacing w:line="560" w:lineRule="exact"/>
        <w:jc w:val="both"/>
        <w:rPr>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标项名称：</w:t>
      </w:r>
    </w:p>
    <w:tbl>
      <w:tblPr>
        <w:tblStyle w:val="34"/>
        <w:tblW w:w="104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2"/>
        <w:gridCol w:w="2441"/>
        <w:gridCol w:w="955"/>
        <w:gridCol w:w="2463"/>
        <w:gridCol w:w="955"/>
        <w:gridCol w:w="1106"/>
        <w:gridCol w:w="1134"/>
        <w:gridCol w:w="816"/>
      </w:tblGrid>
      <w:tr w14:paraId="5FD1A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atLeast"/>
          <w:jc w:val="center"/>
        </w:trPr>
        <w:tc>
          <w:tcPr>
            <w:tcW w:w="552" w:type="dxa"/>
            <w:tcBorders>
              <w:top w:val="single" w:color="auto" w:sz="12" w:space="0"/>
              <w:left w:val="single" w:color="auto" w:sz="12" w:space="0"/>
              <w:bottom w:val="single" w:color="auto" w:sz="4" w:space="0"/>
            </w:tcBorders>
            <w:vAlign w:val="center"/>
          </w:tcPr>
          <w:p w14:paraId="5A2FB992">
            <w:pPr>
              <w:pStyle w:val="169"/>
              <w:pageBreakBefore w:val="0"/>
              <w:tabs>
                <w:tab w:val="left" w:pos="1337"/>
              </w:tabs>
              <w:wordWrap/>
              <w:topLinePunct w:val="0"/>
              <w:bidi w:val="0"/>
              <w:spacing w:line="560" w:lineRule="exact"/>
              <w:ind w:left="-42" w:right="-42"/>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项</w:t>
            </w:r>
          </w:p>
        </w:tc>
        <w:tc>
          <w:tcPr>
            <w:tcW w:w="2441" w:type="dxa"/>
            <w:tcBorders>
              <w:top w:val="single" w:color="auto" w:sz="12" w:space="0"/>
              <w:bottom w:val="single" w:color="auto" w:sz="4" w:space="0"/>
            </w:tcBorders>
            <w:vAlign w:val="center"/>
          </w:tcPr>
          <w:p w14:paraId="65C01223">
            <w:pPr>
              <w:pStyle w:val="169"/>
              <w:pageBreakBefore w:val="0"/>
              <w:tabs>
                <w:tab w:val="left" w:pos="1337"/>
              </w:tabs>
              <w:wordWrap/>
              <w:topLinePunct w:val="0"/>
              <w:bidi w:val="0"/>
              <w:spacing w:line="560" w:lineRule="exact"/>
              <w:ind w:left="-42" w:right="-42"/>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w:t>
            </w:r>
          </w:p>
        </w:tc>
        <w:tc>
          <w:tcPr>
            <w:tcW w:w="3418" w:type="dxa"/>
            <w:gridSpan w:val="2"/>
            <w:tcBorders>
              <w:top w:val="single" w:color="auto" w:sz="12" w:space="0"/>
              <w:bottom w:val="single" w:color="auto" w:sz="4" w:space="0"/>
            </w:tcBorders>
            <w:vAlign w:val="center"/>
          </w:tcPr>
          <w:p w14:paraId="47926E43">
            <w:pPr>
              <w:pStyle w:val="169"/>
              <w:pageBreakBefore w:val="0"/>
              <w:tabs>
                <w:tab w:val="left" w:pos="1337"/>
              </w:tabs>
              <w:wordWrap/>
              <w:topLinePunct w:val="0"/>
              <w:bidi w:val="0"/>
              <w:spacing w:line="560" w:lineRule="exact"/>
              <w:ind w:right="-42"/>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2</w:t>
            </w:r>
          </w:p>
        </w:tc>
        <w:tc>
          <w:tcPr>
            <w:tcW w:w="4011" w:type="dxa"/>
            <w:gridSpan w:val="4"/>
            <w:tcBorders>
              <w:top w:val="single" w:color="auto" w:sz="12" w:space="0"/>
              <w:bottom w:val="single" w:color="auto" w:sz="4" w:space="0"/>
              <w:right w:val="single" w:color="auto" w:sz="12" w:space="0"/>
            </w:tcBorders>
          </w:tcPr>
          <w:p w14:paraId="5C6BB7F0">
            <w:pPr>
              <w:pStyle w:val="169"/>
              <w:pageBreakBefore w:val="0"/>
              <w:tabs>
                <w:tab w:val="left" w:pos="1337"/>
              </w:tabs>
              <w:wordWrap/>
              <w:topLinePunct w:val="0"/>
              <w:bidi w:val="0"/>
              <w:spacing w:line="560" w:lineRule="exact"/>
              <w:ind w:left="-42" w:right="-42"/>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3</w:t>
            </w:r>
          </w:p>
        </w:tc>
      </w:tr>
      <w:tr w14:paraId="0DD22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52" w:type="dxa"/>
            <w:vMerge w:val="restart"/>
            <w:tcBorders>
              <w:left w:val="single" w:color="auto" w:sz="12" w:space="0"/>
            </w:tcBorders>
            <w:vAlign w:val="center"/>
          </w:tcPr>
          <w:p w14:paraId="3921EA0C">
            <w:pPr>
              <w:pStyle w:val="169"/>
              <w:pageBreakBefore w:val="0"/>
              <w:tabs>
                <w:tab w:val="left" w:pos="1337"/>
              </w:tabs>
              <w:wordWrap/>
              <w:topLinePunct w:val="0"/>
              <w:bidi w:val="0"/>
              <w:spacing w:line="560" w:lineRule="exact"/>
              <w:ind w:left="-42" w:right="-42"/>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序</w:t>
            </w:r>
          </w:p>
          <w:p w14:paraId="3A38FA43">
            <w:pPr>
              <w:pStyle w:val="169"/>
              <w:pageBreakBefore w:val="0"/>
              <w:tabs>
                <w:tab w:val="left" w:pos="1337"/>
              </w:tabs>
              <w:wordWrap/>
              <w:topLinePunct w:val="0"/>
              <w:bidi w:val="0"/>
              <w:spacing w:line="560" w:lineRule="exact"/>
              <w:ind w:left="-42" w:right="-42"/>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号</w:t>
            </w:r>
          </w:p>
        </w:tc>
        <w:tc>
          <w:tcPr>
            <w:tcW w:w="2441" w:type="dxa"/>
            <w:vMerge w:val="restart"/>
            <w:vAlign w:val="center"/>
          </w:tcPr>
          <w:p w14:paraId="7F5F920B">
            <w:pPr>
              <w:pStyle w:val="169"/>
              <w:pageBreakBefore w:val="0"/>
              <w:tabs>
                <w:tab w:val="left" w:pos="1337"/>
              </w:tabs>
              <w:wordWrap/>
              <w:topLinePunct w:val="0"/>
              <w:bidi w:val="0"/>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产品名称</w:t>
            </w:r>
          </w:p>
        </w:tc>
        <w:tc>
          <w:tcPr>
            <w:tcW w:w="3418" w:type="dxa"/>
            <w:gridSpan w:val="2"/>
            <w:vMerge w:val="restart"/>
            <w:vAlign w:val="center"/>
          </w:tcPr>
          <w:p w14:paraId="73F5F363">
            <w:pPr>
              <w:pStyle w:val="169"/>
              <w:pageBreakBefore w:val="0"/>
              <w:tabs>
                <w:tab w:val="left" w:pos="1337"/>
              </w:tabs>
              <w:wordWrap/>
              <w:topLinePunct w:val="0"/>
              <w:bidi w:val="0"/>
              <w:spacing w:line="560" w:lineRule="exact"/>
              <w:ind w:left="-42" w:right="-42"/>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品牌、型号</w:t>
            </w:r>
          </w:p>
        </w:tc>
        <w:tc>
          <w:tcPr>
            <w:tcW w:w="4011" w:type="dxa"/>
            <w:gridSpan w:val="4"/>
            <w:tcBorders>
              <w:right w:val="single" w:color="auto" w:sz="12" w:space="0"/>
            </w:tcBorders>
          </w:tcPr>
          <w:p w14:paraId="57FD64DD">
            <w:pPr>
              <w:pStyle w:val="169"/>
              <w:pageBreakBefore w:val="0"/>
              <w:wordWrap/>
              <w:topLinePunct w:val="0"/>
              <w:bidi w:val="0"/>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价格（元）</w:t>
            </w:r>
          </w:p>
        </w:tc>
      </w:tr>
      <w:tr w14:paraId="774C5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52" w:type="dxa"/>
            <w:vMerge w:val="continue"/>
            <w:tcBorders>
              <w:left w:val="single" w:color="auto" w:sz="12" w:space="0"/>
            </w:tcBorders>
            <w:vAlign w:val="center"/>
          </w:tcPr>
          <w:p w14:paraId="07485DF9">
            <w:pPr>
              <w:pStyle w:val="169"/>
              <w:pageBreakBefore w:val="0"/>
              <w:tabs>
                <w:tab w:val="left" w:pos="1337"/>
              </w:tabs>
              <w:wordWrap/>
              <w:topLinePunct w:val="0"/>
              <w:bidi w:val="0"/>
              <w:spacing w:line="560" w:lineRule="exact"/>
              <w:ind w:left="-42" w:right="-42"/>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2441" w:type="dxa"/>
            <w:vMerge w:val="continue"/>
            <w:vAlign w:val="center"/>
          </w:tcPr>
          <w:p w14:paraId="340D5667">
            <w:pPr>
              <w:pStyle w:val="169"/>
              <w:pageBreakBefore w:val="0"/>
              <w:tabs>
                <w:tab w:val="left" w:pos="1337"/>
              </w:tabs>
              <w:wordWrap/>
              <w:topLinePunct w:val="0"/>
              <w:bidi w:val="0"/>
              <w:spacing w:line="560" w:lineRule="exact"/>
              <w:ind w:left="-42" w:right="-42"/>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3418" w:type="dxa"/>
            <w:gridSpan w:val="2"/>
            <w:vMerge w:val="continue"/>
            <w:vAlign w:val="center"/>
          </w:tcPr>
          <w:p w14:paraId="67F91AC5">
            <w:pPr>
              <w:pStyle w:val="169"/>
              <w:pageBreakBefore w:val="0"/>
              <w:tabs>
                <w:tab w:val="left" w:pos="1337"/>
              </w:tabs>
              <w:wordWrap/>
              <w:topLinePunct w:val="0"/>
              <w:bidi w:val="0"/>
              <w:spacing w:line="560" w:lineRule="exact"/>
              <w:ind w:left="-42" w:right="-42"/>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955" w:type="dxa"/>
            <w:vAlign w:val="center"/>
          </w:tcPr>
          <w:p w14:paraId="582D8A4F">
            <w:pPr>
              <w:pStyle w:val="169"/>
              <w:pageBreakBefore w:val="0"/>
              <w:tabs>
                <w:tab w:val="left" w:pos="1337"/>
              </w:tabs>
              <w:wordWrap/>
              <w:topLinePunct w:val="0"/>
              <w:bidi w:val="0"/>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数量</w:t>
            </w:r>
          </w:p>
        </w:tc>
        <w:tc>
          <w:tcPr>
            <w:tcW w:w="1106" w:type="dxa"/>
          </w:tcPr>
          <w:p w14:paraId="18EFE8C2">
            <w:pPr>
              <w:pStyle w:val="169"/>
              <w:pageBreakBefore w:val="0"/>
              <w:widowControl/>
              <w:wordWrap/>
              <w:topLinePunct w:val="0"/>
              <w:bidi w:val="0"/>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单位</w:t>
            </w:r>
          </w:p>
        </w:tc>
        <w:tc>
          <w:tcPr>
            <w:tcW w:w="1134" w:type="dxa"/>
            <w:vAlign w:val="center"/>
          </w:tcPr>
          <w:p w14:paraId="09D00ADE">
            <w:pPr>
              <w:pStyle w:val="169"/>
              <w:pageBreakBefore w:val="0"/>
              <w:widowControl/>
              <w:wordWrap/>
              <w:topLinePunct w:val="0"/>
              <w:bidi w:val="0"/>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单价</w:t>
            </w:r>
          </w:p>
        </w:tc>
        <w:tc>
          <w:tcPr>
            <w:tcW w:w="816" w:type="dxa"/>
            <w:tcBorders>
              <w:right w:val="single" w:color="auto" w:sz="12" w:space="0"/>
            </w:tcBorders>
            <w:vAlign w:val="center"/>
          </w:tcPr>
          <w:p w14:paraId="54B26060">
            <w:pPr>
              <w:pStyle w:val="169"/>
              <w:pageBreakBefore w:val="0"/>
              <w:widowControl/>
              <w:wordWrap/>
              <w:topLinePunct w:val="0"/>
              <w:bidi w:val="0"/>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小计</w:t>
            </w:r>
          </w:p>
        </w:tc>
      </w:tr>
      <w:tr w14:paraId="446A7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52" w:type="dxa"/>
            <w:tcBorders>
              <w:left w:val="single" w:color="auto" w:sz="12" w:space="0"/>
            </w:tcBorders>
            <w:vAlign w:val="center"/>
          </w:tcPr>
          <w:p w14:paraId="651CDF22">
            <w:pPr>
              <w:pStyle w:val="169"/>
              <w:pageBreakBefore w:val="0"/>
              <w:tabs>
                <w:tab w:val="left" w:pos="1337"/>
              </w:tabs>
              <w:wordWrap/>
              <w:topLinePunct w:val="0"/>
              <w:bidi w:val="0"/>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w:t>
            </w:r>
          </w:p>
        </w:tc>
        <w:tc>
          <w:tcPr>
            <w:tcW w:w="2441" w:type="dxa"/>
            <w:vAlign w:val="center"/>
          </w:tcPr>
          <w:p w14:paraId="72D95F8D">
            <w:pPr>
              <w:pStyle w:val="169"/>
              <w:pageBreakBefore w:val="0"/>
              <w:tabs>
                <w:tab w:val="left" w:pos="1337"/>
              </w:tabs>
              <w:wordWrap/>
              <w:topLinePunct w:val="0"/>
              <w:bidi w:val="0"/>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3418" w:type="dxa"/>
            <w:gridSpan w:val="2"/>
            <w:vAlign w:val="center"/>
          </w:tcPr>
          <w:p w14:paraId="4455B4AA">
            <w:pPr>
              <w:pStyle w:val="169"/>
              <w:pageBreakBefore w:val="0"/>
              <w:tabs>
                <w:tab w:val="left" w:pos="1337"/>
              </w:tabs>
              <w:wordWrap/>
              <w:topLinePunct w:val="0"/>
              <w:bidi w:val="0"/>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955" w:type="dxa"/>
            <w:vAlign w:val="center"/>
          </w:tcPr>
          <w:p w14:paraId="4A626D1A">
            <w:pPr>
              <w:pStyle w:val="169"/>
              <w:pageBreakBefore w:val="0"/>
              <w:tabs>
                <w:tab w:val="left" w:pos="1337"/>
              </w:tabs>
              <w:wordWrap/>
              <w:topLinePunct w:val="0"/>
              <w:bidi w:val="0"/>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106" w:type="dxa"/>
          </w:tcPr>
          <w:p w14:paraId="701C6179">
            <w:pPr>
              <w:pStyle w:val="169"/>
              <w:pageBreakBefore w:val="0"/>
              <w:tabs>
                <w:tab w:val="left" w:pos="1337"/>
              </w:tabs>
              <w:wordWrap/>
              <w:topLinePunct w:val="0"/>
              <w:bidi w:val="0"/>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134" w:type="dxa"/>
            <w:vAlign w:val="center"/>
          </w:tcPr>
          <w:p w14:paraId="0888D6F0">
            <w:pPr>
              <w:pStyle w:val="169"/>
              <w:pageBreakBefore w:val="0"/>
              <w:tabs>
                <w:tab w:val="left" w:pos="1337"/>
              </w:tabs>
              <w:wordWrap/>
              <w:topLinePunct w:val="0"/>
              <w:bidi w:val="0"/>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816" w:type="dxa"/>
            <w:tcBorders>
              <w:right w:val="single" w:color="auto" w:sz="12" w:space="0"/>
            </w:tcBorders>
            <w:vAlign w:val="center"/>
          </w:tcPr>
          <w:p w14:paraId="765F0B28">
            <w:pPr>
              <w:pStyle w:val="169"/>
              <w:pageBreakBefore w:val="0"/>
              <w:tabs>
                <w:tab w:val="left" w:pos="1337"/>
              </w:tabs>
              <w:wordWrap/>
              <w:topLinePunct w:val="0"/>
              <w:bidi w:val="0"/>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r>
      <w:tr w14:paraId="57DAB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52" w:type="dxa"/>
            <w:tcBorders>
              <w:left w:val="single" w:color="auto" w:sz="12" w:space="0"/>
            </w:tcBorders>
            <w:vAlign w:val="center"/>
          </w:tcPr>
          <w:p w14:paraId="734925DA">
            <w:pPr>
              <w:pStyle w:val="169"/>
              <w:pageBreakBefore w:val="0"/>
              <w:tabs>
                <w:tab w:val="left" w:pos="1337"/>
              </w:tabs>
              <w:wordWrap/>
              <w:topLinePunct w:val="0"/>
              <w:bidi w:val="0"/>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2</w:t>
            </w:r>
          </w:p>
        </w:tc>
        <w:tc>
          <w:tcPr>
            <w:tcW w:w="2441" w:type="dxa"/>
            <w:vAlign w:val="center"/>
          </w:tcPr>
          <w:p w14:paraId="61B9FDDD">
            <w:pPr>
              <w:pStyle w:val="169"/>
              <w:pageBreakBefore w:val="0"/>
              <w:tabs>
                <w:tab w:val="left" w:pos="1337"/>
              </w:tabs>
              <w:wordWrap/>
              <w:topLinePunct w:val="0"/>
              <w:bidi w:val="0"/>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3418" w:type="dxa"/>
            <w:gridSpan w:val="2"/>
          </w:tcPr>
          <w:p w14:paraId="592FE82B">
            <w:pPr>
              <w:pStyle w:val="169"/>
              <w:pageBreakBefore w:val="0"/>
              <w:tabs>
                <w:tab w:val="left" w:pos="1337"/>
              </w:tabs>
              <w:wordWrap/>
              <w:topLinePunct w:val="0"/>
              <w:bidi w:val="0"/>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955" w:type="dxa"/>
          </w:tcPr>
          <w:p w14:paraId="74337D6E">
            <w:pPr>
              <w:pStyle w:val="169"/>
              <w:pageBreakBefore w:val="0"/>
              <w:tabs>
                <w:tab w:val="left" w:pos="1337"/>
              </w:tabs>
              <w:wordWrap/>
              <w:topLinePunct w:val="0"/>
              <w:bidi w:val="0"/>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106" w:type="dxa"/>
          </w:tcPr>
          <w:p w14:paraId="28126526">
            <w:pPr>
              <w:pStyle w:val="169"/>
              <w:pageBreakBefore w:val="0"/>
              <w:tabs>
                <w:tab w:val="left" w:pos="1337"/>
              </w:tabs>
              <w:wordWrap/>
              <w:topLinePunct w:val="0"/>
              <w:bidi w:val="0"/>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134" w:type="dxa"/>
          </w:tcPr>
          <w:p w14:paraId="573391FD">
            <w:pPr>
              <w:pStyle w:val="169"/>
              <w:pageBreakBefore w:val="0"/>
              <w:tabs>
                <w:tab w:val="left" w:pos="1337"/>
              </w:tabs>
              <w:wordWrap/>
              <w:topLinePunct w:val="0"/>
              <w:bidi w:val="0"/>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816" w:type="dxa"/>
            <w:tcBorders>
              <w:right w:val="single" w:color="auto" w:sz="12" w:space="0"/>
            </w:tcBorders>
            <w:vAlign w:val="center"/>
          </w:tcPr>
          <w:p w14:paraId="2E669E71">
            <w:pPr>
              <w:pStyle w:val="169"/>
              <w:pageBreakBefore w:val="0"/>
              <w:tabs>
                <w:tab w:val="left" w:pos="1337"/>
              </w:tabs>
              <w:wordWrap/>
              <w:topLinePunct w:val="0"/>
              <w:bidi w:val="0"/>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r>
      <w:tr w14:paraId="5F853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52" w:type="dxa"/>
            <w:tcBorders>
              <w:left w:val="single" w:color="auto" w:sz="12" w:space="0"/>
            </w:tcBorders>
            <w:vAlign w:val="center"/>
          </w:tcPr>
          <w:p w14:paraId="7767EA7C">
            <w:pPr>
              <w:pStyle w:val="169"/>
              <w:pageBreakBefore w:val="0"/>
              <w:tabs>
                <w:tab w:val="left" w:pos="1337"/>
              </w:tabs>
              <w:wordWrap/>
              <w:topLinePunct w:val="0"/>
              <w:bidi w:val="0"/>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3</w:t>
            </w:r>
          </w:p>
        </w:tc>
        <w:tc>
          <w:tcPr>
            <w:tcW w:w="2441" w:type="dxa"/>
            <w:vAlign w:val="center"/>
          </w:tcPr>
          <w:p w14:paraId="7434EE9C">
            <w:pPr>
              <w:pStyle w:val="169"/>
              <w:pageBreakBefore w:val="0"/>
              <w:tabs>
                <w:tab w:val="left" w:pos="1337"/>
              </w:tabs>
              <w:wordWrap/>
              <w:topLinePunct w:val="0"/>
              <w:bidi w:val="0"/>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3418" w:type="dxa"/>
            <w:gridSpan w:val="2"/>
          </w:tcPr>
          <w:p w14:paraId="05106A63">
            <w:pPr>
              <w:pStyle w:val="169"/>
              <w:pageBreakBefore w:val="0"/>
              <w:tabs>
                <w:tab w:val="left" w:pos="1337"/>
              </w:tabs>
              <w:wordWrap/>
              <w:topLinePunct w:val="0"/>
              <w:bidi w:val="0"/>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955" w:type="dxa"/>
          </w:tcPr>
          <w:p w14:paraId="392A7609">
            <w:pPr>
              <w:pStyle w:val="169"/>
              <w:pageBreakBefore w:val="0"/>
              <w:tabs>
                <w:tab w:val="left" w:pos="1337"/>
              </w:tabs>
              <w:wordWrap/>
              <w:topLinePunct w:val="0"/>
              <w:bidi w:val="0"/>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106" w:type="dxa"/>
          </w:tcPr>
          <w:p w14:paraId="25A51C87">
            <w:pPr>
              <w:pStyle w:val="169"/>
              <w:pageBreakBefore w:val="0"/>
              <w:tabs>
                <w:tab w:val="left" w:pos="1337"/>
              </w:tabs>
              <w:wordWrap/>
              <w:topLinePunct w:val="0"/>
              <w:bidi w:val="0"/>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134" w:type="dxa"/>
          </w:tcPr>
          <w:p w14:paraId="6B37F26F">
            <w:pPr>
              <w:pStyle w:val="169"/>
              <w:pageBreakBefore w:val="0"/>
              <w:tabs>
                <w:tab w:val="left" w:pos="1337"/>
              </w:tabs>
              <w:wordWrap/>
              <w:topLinePunct w:val="0"/>
              <w:bidi w:val="0"/>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816" w:type="dxa"/>
            <w:tcBorders>
              <w:right w:val="single" w:color="auto" w:sz="12" w:space="0"/>
            </w:tcBorders>
            <w:vAlign w:val="center"/>
          </w:tcPr>
          <w:p w14:paraId="7EA72B9B">
            <w:pPr>
              <w:pStyle w:val="169"/>
              <w:pageBreakBefore w:val="0"/>
              <w:tabs>
                <w:tab w:val="left" w:pos="1337"/>
              </w:tabs>
              <w:wordWrap/>
              <w:topLinePunct w:val="0"/>
              <w:bidi w:val="0"/>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r>
      <w:tr w14:paraId="0A5E0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52" w:type="dxa"/>
            <w:tcBorders>
              <w:left w:val="single" w:color="auto" w:sz="12" w:space="0"/>
            </w:tcBorders>
            <w:vAlign w:val="center"/>
          </w:tcPr>
          <w:p w14:paraId="0FA978B0">
            <w:pPr>
              <w:pStyle w:val="169"/>
              <w:pageBreakBefore w:val="0"/>
              <w:tabs>
                <w:tab w:val="left" w:pos="1337"/>
              </w:tabs>
              <w:wordWrap/>
              <w:topLinePunct w:val="0"/>
              <w:bidi w:val="0"/>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4</w:t>
            </w:r>
          </w:p>
        </w:tc>
        <w:tc>
          <w:tcPr>
            <w:tcW w:w="2441" w:type="dxa"/>
            <w:vAlign w:val="center"/>
          </w:tcPr>
          <w:p w14:paraId="2409D27A">
            <w:pPr>
              <w:pStyle w:val="169"/>
              <w:pageBreakBefore w:val="0"/>
              <w:tabs>
                <w:tab w:val="left" w:pos="1337"/>
              </w:tabs>
              <w:wordWrap/>
              <w:topLinePunct w:val="0"/>
              <w:bidi w:val="0"/>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3418" w:type="dxa"/>
            <w:gridSpan w:val="2"/>
          </w:tcPr>
          <w:p w14:paraId="38309594">
            <w:pPr>
              <w:pStyle w:val="169"/>
              <w:pageBreakBefore w:val="0"/>
              <w:tabs>
                <w:tab w:val="left" w:pos="1337"/>
              </w:tabs>
              <w:wordWrap/>
              <w:topLinePunct w:val="0"/>
              <w:bidi w:val="0"/>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955" w:type="dxa"/>
          </w:tcPr>
          <w:p w14:paraId="761DA304">
            <w:pPr>
              <w:pStyle w:val="169"/>
              <w:pageBreakBefore w:val="0"/>
              <w:tabs>
                <w:tab w:val="left" w:pos="1337"/>
              </w:tabs>
              <w:wordWrap/>
              <w:topLinePunct w:val="0"/>
              <w:bidi w:val="0"/>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106" w:type="dxa"/>
          </w:tcPr>
          <w:p w14:paraId="7A7D5922">
            <w:pPr>
              <w:pStyle w:val="169"/>
              <w:pageBreakBefore w:val="0"/>
              <w:tabs>
                <w:tab w:val="left" w:pos="1337"/>
              </w:tabs>
              <w:wordWrap/>
              <w:topLinePunct w:val="0"/>
              <w:bidi w:val="0"/>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134" w:type="dxa"/>
          </w:tcPr>
          <w:p w14:paraId="2D4A2ACC">
            <w:pPr>
              <w:pStyle w:val="169"/>
              <w:pageBreakBefore w:val="0"/>
              <w:tabs>
                <w:tab w:val="left" w:pos="1337"/>
              </w:tabs>
              <w:wordWrap/>
              <w:topLinePunct w:val="0"/>
              <w:bidi w:val="0"/>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816" w:type="dxa"/>
            <w:tcBorders>
              <w:right w:val="single" w:color="auto" w:sz="12" w:space="0"/>
            </w:tcBorders>
            <w:vAlign w:val="center"/>
          </w:tcPr>
          <w:p w14:paraId="44908D83">
            <w:pPr>
              <w:pStyle w:val="169"/>
              <w:pageBreakBefore w:val="0"/>
              <w:tabs>
                <w:tab w:val="left" w:pos="1337"/>
              </w:tabs>
              <w:wordWrap/>
              <w:topLinePunct w:val="0"/>
              <w:bidi w:val="0"/>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r>
      <w:tr w14:paraId="71281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52" w:type="dxa"/>
            <w:tcBorders>
              <w:left w:val="single" w:color="auto" w:sz="12" w:space="0"/>
            </w:tcBorders>
            <w:vAlign w:val="center"/>
          </w:tcPr>
          <w:p w14:paraId="2149D791">
            <w:pPr>
              <w:pStyle w:val="169"/>
              <w:pageBreakBefore w:val="0"/>
              <w:tabs>
                <w:tab w:val="left" w:pos="1337"/>
              </w:tabs>
              <w:wordWrap/>
              <w:topLinePunct w:val="0"/>
              <w:bidi w:val="0"/>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5</w:t>
            </w:r>
          </w:p>
        </w:tc>
        <w:tc>
          <w:tcPr>
            <w:tcW w:w="2441" w:type="dxa"/>
            <w:vAlign w:val="center"/>
          </w:tcPr>
          <w:p w14:paraId="33FF136E">
            <w:pPr>
              <w:pStyle w:val="169"/>
              <w:pageBreakBefore w:val="0"/>
              <w:tabs>
                <w:tab w:val="left" w:pos="1337"/>
              </w:tabs>
              <w:wordWrap/>
              <w:topLinePunct w:val="0"/>
              <w:bidi w:val="0"/>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w:t>
            </w:r>
          </w:p>
        </w:tc>
        <w:tc>
          <w:tcPr>
            <w:tcW w:w="3418" w:type="dxa"/>
            <w:gridSpan w:val="2"/>
          </w:tcPr>
          <w:p w14:paraId="368D0FD5">
            <w:pPr>
              <w:pStyle w:val="169"/>
              <w:pageBreakBefore w:val="0"/>
              <w:tabs>
                <w:tab w:val="left" w:pos="1337"/>
              </w:tabs>
              <w:wordWrap/>
              <w:topLinePunct w:val="0"/>
              <w:bidi w:val="0"/>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955" w:type="dxa"/>
          </w:tcPr>
          <w:p w14:paraId="2B419777">
            <w:pPr>
              <w:pStyle w:val="169"/>
              <w:pageBreakBefore w:val="0"/>
              <w:tabs>
                <w:tab w:val="left" w:pos="1337"/>
              </w:tabs>
              <w:wordWrap/>
              <w:topLinePunct w:val="0"/>
              <w:bidi w:val="0"/>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106" w:type="dxa"/>
          </w:tcPr>
          <w:p w14:paraId="57DA0471">
            <w:pPr>
              <w:pStyle w:val="169"/>
              <w:pageBreakBefore w:val="0"/>
              <w:tabs>
                <w:tab w:val="left" w:pos="1337"/>
              </w:tabs>
              <w:wordWrap/>
              <w:topLinePunct w:val="0"/>
              <w:bidi w:val="0"/>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134" w:type="dxa"/>
            <w:vAlign w:val="center"/>
          </w:tcPr>
          <w:p w14:paraId="77A31955">
            <w:pPr>
              <w:pStyle w:val="169"/>
              <w:pageBreakBefore w:val="0"/>
              <w:tabs>
                <w:tab w:val="left" w:pos="1337"/>
              </w:tabs>
              <w:wordWrap/>
              <w:topLinePunct w:val="0"/>
              <w:bidi w:val="0"/>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816" w:type="dxa"/>
            <w:tcBorders>
              <w:right w:val="single" w:color="auto" w:sz="12" w:space="0"/>
            </w:tcBorders>
            <w:vAlign w:val="center"/>
          </w:tcPr>
          <w:p w14:paraId="60EFECF8">
            <w:pPr>
              <w:pStyle w:val="169"/>
              <w:pageBreakBefore w:val="0"/>
              <w:tabs>
                <w:tab w:val="left" w:pos="1337"/>
              </w:tabs>
              <w:wordWrap/>
              <w:topLinePunct w:val="0"/>
              <w:bidi w:val="0"/>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r>
      <w:tr w14:paraId="5B83E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52" w:type="dxa"/>
            <w:tcBorders>
              <w:left w:val="single" w:color="auto" w:sz="12" w:space="0"/>
              <w:bottom w:val="single" w:color="auto" w:sz="12" w:space="0"/>
            </w:tcBorders>
            <w:vAlign w:val="center"/>
          </w:tcPr>
          <w:p w14:paraId="0E651215">
            <w:pPr>
              <w:pStyle w:val="169"/>
              <w:pageBreakBefore w:val="0"/>
              <w:tabs>
                <w:tab w:val="left" w:pos="1337"/>
              </w:tabs>
              <w:wordWrap/>
              <w:topLinePunct w:val="0"/>
              <w:bidi w:val="0"/>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2441" w:type="dxa"/>
            <w:tcBorders>
              <w:bottom w:val="single" w:color="auto" w:sz="12" w:space="0"/>
            </w:tcBorders>
            <w:vAlign w:val="center"/>
          </w:tcPr>
          <w:p w14:paraId="01C6A1EA">
            <w:pPr>
              <w:pStyle w:val="169"/>
              <w:pageBreakBefore w:val="0"/>
              <w:tabs>
                <w:tab w:val="left" w:pos="1337"/>
              </w:tabs>
              <w:wordWrap/>
              <w:topLinePunct w:val="0"/>
              <w:bidi w:val="0"/>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合计</w:t>
            </w:r>
          </w:p>
        </w:tc>
        <w:tc>
          <w:tcPr>
            <w:tcW w:w="955" w:type="dxa"/>
            <w:tcBorders>
              <w:bottom w:val="single" w:color="auto" w:sz="12" w:space="0"/>
            </w:tcBorders>
          </w:tcPr>
          <w:p w14:paraId="7E2E0912">
            <w:pPr>
              <w:pStyle w:val="169"/>
              <w:pageBreakBefore w:val="0"/>
              <w:tabs>
                <w:tab w:val="left" w:pos="1337"/>
              </w:tabs>
              <w:wordWrap/>
              <w:topLinePunct w:val="0"/>
              <w:bidi w:val="0"/>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6474" w:type="dxa"/>
            <w:gridSpan w:val="5"/>
            <w:tcBorders>
              <w:bottom w:val="single" w:color="auto" w:sz="12" w:space="0"/>
              <w:right w:val="single" w:color="auto" w:sz="12" w:space="0"/>
            </w:tcBorders>
          </w:tcPr>
          <w:p w14:paraId="4FA4A355">
            <w:pPr>
              <w:pStyle w:val="169"/>
              <w:pageBreakBefore w:val="0"/>
              <w:tabs>
                <w:tab w:val="left" w:pos="1337"/>
              </w:tabs>
              <w:wordWrap/>
              <w:topLinePunct w:val="0"/>
              <w:bidi w:val="0"/>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r>
    </w:tbl>
    <w:p w14:paraId="0EC133BA">
      <w:pPr>
        <w:pageBreakBefore w:val="0"/>
        <w:widowControl/>
        <w:wordWrap/>
        <w:topLinePunct w:val="0"/>
        <w:bidi w:val="0"/>
        <w:spacing w:line="560" w:lineRule="exact"/>
        <w:jc w:val="left"/>
        <w:rPr>
          <w:rFonts w:ascii="仿宋_GB2312" w:hAnsi="仿宋" w:eastAsia="仿宋_GB2312" w:cs="仿宋_GB2312"/>
          <w:color w:val="000000" w:themeColor="text1"/>
          <w:kern w:val="0"/>
          <w:sz w:val="24"/>
          <w:highlight w:val="none"/>
          <w:lang w:val="zh-CN"/>
          <w14:textFill>
            <w14:solidFill>
              <w14:schemeClr w14:val="tx1"/>
            </w14:solidFill>
          </w14:textFill>
        </w:rPr>
      </w:pPr>
    </w:p>
    <w:p w14:paraId="3BFB9617">
      <w:pPr>
        <w:pageBreakBefore w:val="0"/>
        <w:wordWrap/>
        <w:topLinePunct w:val="0"/>
        <w:bidi w:val="0"/>
        <w:snapToGrid w:val="0"/>
        <w:spacing w:line="560" w:lineRule="exact"/>
        <w:rPr>
          <w:rFonts w:ascii="仿宋_GB2312" w:hAnsi="仿宋" w:eastAsia="仿宋_GB2312" w:cs="仿宋_GB2312"/>
          <w:color w:val="000000" w:themeColor="text1"/>
          <w:kern w:val="0"/>
          <w:sz w:val="24"/>
          <w:szCs w:val="21"/>
          <w:highlight w:val="none"/>
          <w14:textFill>
            <w14:solidFill>
              <w14:schemeClr w14:val="tx1"/>
            </w14:solidFill>
          </w14:textFill>
        </w:rPr>
      </w:pPr>
    </w:p>
    <w:p w14:paraId="58B364F3">
      <w:pPr>
        <w:pageBreakBefore w:val="0"/>
        <w:wordWrap/>
        <w:topLinePunct w:val="0"/>
        <w:bidi w:val="0"/>
        <w:snapToGrid w:val="0"/>
        <w:spacing w:line="560" w:lineRule="exact"/>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t>说明： 1、</w:t>
      </w:r>
      <w:r>
        <w:rPr>
          <w:rFonts w:hint="eastAsia" w:ascii="宋体" w:hAnsi="宋体" w:cs="宋体"/>
          <w:b/>
          <w:bCs/>
          <w:color w:val="000000" w:themeColor="text1"/>
          <w:sz w:val="28"/>
          <w:szCs w:val="28"/>
          <w:highlight w:val="none"/>
          <w:lang w:eastAsia="zh-CN"/>
          <w14:textFill>
            <w14:solidFill>
              <w14:schemeClr w14:val="tx1"/>
            </w14:solidFill>
          </w14:textFill>
        </w:rPr>
        <w:t>供应商</w:t>
      </w:r>
      <w:r>
        <w:rPr>
          <w:rFonts w:hint="eastAsia" w:ascii="宋体" w:hAnsi="宋体" w:eastAsia="宋体" w:cs="宋体"/>
          <w:b/>
          <w:bCs/>
          <w:color w:val="000000" w:themeColor="text1"/>
          <w:sz w:val="28"/>
          <w:szCs w:val="28"/>
          <w:highlight w:val="none"/>
          <w14:textFill>
            <w14:solidFill>
              <w14:schemeClr w14:val="tx1"/>
            </w14:solidFill>
          </w14:textFill>
        </w:rPr>
        <w:t>必须填写分项报价表，否则将导致投标被拒绝。</w:t>
      </w:r>
    </w:p>
    <w:p w14:paraId="1AA7BBB7">
      <w:pPr>
        <w:pageBreakBefore w:val="0"/>
        <w:wordWrap/>
        <w:topLinePunct w:val="0"/>
        <w:bidi w:val="0"/>
        <w:snapToGrid w:val="0"/>
        <w:spacing w:line="560" w:lineRule="exact"/>
        <w:ind w:firstLine="843" w:firstLineChars="300"/>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t xml:space="preserve"> 2、供应商可根据自身需求自行</w:t>
      </w:r>
      <w:r>
        <w:rPr>
          <w:rFonts w:hint="eastAsia" w:ascii="宋体" w:hAnsi="宋体" w:cs="宋体"/>
          <w:b/>
          <w:bCs/>
          <w:color w:val="000000" w:themeColor="text1"/>
          <w:sz w:val="28"/>
          <w:szCs w:val="28"/>
          <w:highlight w:val="none"/>
          <w:lang w:eastAsia="zh-CN"/>
          <w14:textFill>
            <w14:solidFill>
              <w14:schemeClr w14:val="tx1"/>
            </w14:solidFill>
          </w14:textFill>
        </w:rPr>
        <w:t>加</w:t>
      </w:r>
      <w:r>
        <w:rPr>
          <w:rFonts w:hint="eastAsia" w:ascii="宋体" w:hAnsi="宋体" w:eastAsia="宋体" w:cs="宋体"/>
          <w:b/>
          <w:bCs/>
          <w:color w:val="000000" w:themeColor="text1"/>
          <w:sz w:val="28"/>
          <w:szCs w:val="28"/>
          <w:highlight w:val="none"/>
          <w14:textFill>
            <w14:solidFill>
              <w14:schemeClr w14:val="tx1"/>
            </w14:solidFill>
          </w14:textFill>
        </w:rPr>
        <w:t>减行数。</w:t>
      </w:r>
    </w:p>
    <w:p w14:paraId="7DFB4457">
      <w:pPr>
        <w:pageBreakBefore w:val="0"/>
        <w:wordWrap/>
        <w:topLinePunct w:val="0"/>
        <w:bidi w:val="0"/>
        <w:snapToGrid w:val="0"/>
        <w:spacing w:line="560" w:lineRule="exact"/>
        <w:rPr>
          <w:rFonts w:ascii="仿宋_GB2312" w:hAnsi="仿宋" w:eastAsia="仿宋_GB2312" w:cs="仿宋_GB2312"/>
          <w:color w:val="000000" w:themeColor="text1"/>
          <w:kern w:val="0"/>
          <w:sz w:val="24"/>
          <w:szCs w:val="21"/>
          <w:highlight w:val="none"/>
          <w14:textFill>
            <w14:solidFill>
              <w14:schemeClr w14:val="tx1"/>
            </w14:solidFill>
          </w14:textFill>
        </w:rPr>
      </w:pPr>
    </w:p>
    <w:p w14:paraId="393AC014">
      <w:pPr>
        <w:pageBreakBefore w:val="0"/>
        <w:wordWrap/>
        <w:topLinePunct w:val="0"/>
        <w:bidi w:val="0"/>
        <w:snapToGrid w:val="0"/>
        <w:spacing w:line="560" w:lineRule="exact"/>
        <w:ind w:firstLine="480" w:firstLineChars="200"/>
        <w:jc w:val="center"/>
        <w:rPr>
          <w:rFonts w:ascii="仿宋_GB2312" w:hAnsi="仿宋" w:eastAsia="仿宋_GB2312" w:cs="仿宋_GB2312"/>
          <w:color w:val="000000" w:themeColor="text1"/>
          <w:kern w:val="0"/>
          <w:sz w:val="24"/>
          <w:szCs w:val="21"/>
          <w:highlight w:val="none"/>
          <w14:textFill>
            <w14:solidFill>
              <w14:schemeClr w14:val="tx1"/>
            </w14:solidFill>
          </w14:textFill>
        </w:rPr>
      </w:pPr>
    </w:p>
    <w:p w14:paraId="1828B5B6">
      <w:pPr>
        <w:pageBreakBefore w:val="0"/>
        <w:wordWrap/>
        <w:topLinePunct w:val="0"/>
        <w:bidi w:val="0"/>
        <w:snapToGrid w:val="0"/>
        <w:spacing w:line="560" w:lineRule="exact"/>
        <w:ind w:firstLine="480" w:firstLineChars="200"/>
        <w:jc w:val="center"/>
        <w:rPr>
          <w:rFonts w:ascii="仿宋_GB2312" w:hAnsi="仿宋" w:eastAsia="仿宋_GB2312" w:cs="仿宋_GB2312"/>
          <w:color w:val="000000" w:themeColor="text1"/>
          <w:kern w:val="0"/>
          <w:sz w:val="24"/>
          <w:szCs w:val="21"/>
          <w:highlight w:val="none"/>
          <w14:textFill>
            <w14:solidFill>
              <w14:schemeClr w14:val="tx1"/>
            </w14:solidFill>
          </w14:textFill>
        </w:rPr>
      </w:pPr>
    </w:p>
    <w:p w14:paraId="36755D45">
      <w:pPr>
        <w:pageBreakBefore w:val="0"/>
        <w:wordWrap/>
        <w:topLinePunct w:val="0"/>
        <w:autoSpaceDE w:val="0"/>
        <w:autoSpaceDN w:val="0"/>
        <w:bidi w:val="0"/>
        <w:spacing w:line="560" w:lineRule="exact"/>
        <w:ind w:left="4375" w:leftChars="1950" w:hanging="280" w:hangingChars="100"/>
        <w:rPr>
          <w:rFonts w:cs="仿宋_GB2312" w:asciiTheme="minorEastAsia" w:hAnsiTheme="minorEastAsia" w:eastAsiaTheme="minorEastAsia"/>
          <w:color w:val="000000" w:themeColor="text1"/>
          <w:kern w:val="0"/>
          <w:sz w:val="28"/>
          <w:szCs w:val="28"/>
          <w:highlight w:val="none"/>
          <w14:textFill>
            <w14:solidFill>
              <w14:schemeClr w14:val="tx1"/>
            </w14:solidFill>
          </w14:textFill>
        </w:rPr>
      </w:pPr>
      <w:r>
        <w:rPr>
          <w:rFonts w:hint="eastAsia" w:cs="仿宋_GB2312" w:asciiTheme="minorEastAsia" w:hAnsiTheme="minorEastAsia" w:eastAsiaTheme="minorEastAsia"/>
          <w:color w:val="000000" w:themeColor="text1"/>
          <w:kern w:val="0"/>
          <w:sz w:val="28"/>
          <w:szCs w:val="28"/>
          <w:highlight w:val="none"/>
          <w14:textFill>
            <w14:solidFill>
              <w14:schemeClr w14:val="tx1"/>
            </w14:solidFill>
          </w14:textFill>
        </w:rPr>
        <w:t>供应商名称（</w:t>
      </w:r>
      <w:r>
        <w:rPr>
          <w:rFonts w:hint="eastAsia" w:cs="仿宋_GB2312" w:asciiTheme="minorEastAsia" w:hAnsiTheme="minorEastAsia" w:eastAsiaTheme="minorEastAsia"/>
          <w:color w:val="000000" w:themeColor="text1"/>
          <w:kern w:val="0"/>
          <w:sz w:val="28"/>
          <w:szCs w:val="28"/>
          <w:highlight w:val="none"/>
          <w:lang w:eastAsia="zh-CN"/>
          <w14:textFill>
            <w14:solidFill>
              <w14:schemeClr w14:val="tx1"/>
            </w14:solidFill>
          </w14:textFill>
        </w:rPr>
        <w:t>电子公章</w:t>
      </w:r>
      <w:r>
        <w:rPr>
          <w:rFonts w:hint="eastAsia" w:cs="仿宋_GB2312" w:asciiTheme="minorEastAsia" w:hAnsiTheme="minorEastAsia" w:eastAsiaTheme="minorEastAsia"/>
          <w:color w:val="000000" w:themeColor="text1"/>
          <w:kern w:val="0"/>
          <w:sz w:val="28"/>
          <w:szCs w:val="28"/>
          <w:highlight w:val="none"/>
          <w14:textFill>
            <w14:solidFill>
              <w14:schemeClr w14:val="tx1"/>
            </w14:solidFill>
          </w14:textFill>
        </w:rPr>
        <w:t>）：</w:t>
      </w:r>
    </w:p>
    <w:p w14:paraId="611961B4">
      <w:pPr>
        <w:pageBreakBefore w:val="0"/>
        <w:wordWrap/>
        <w:topLinePunct w:val="0"/>
        <w:autoSpaceDE w:val="0"/>
        <w:autoSpaceDN w:val="0"/>
        <w:bidi w:val="0"/>
        <w:spacing w:line="560" w:lineRule="exact"/>
        <w:ind w:firstLine="4200" w:firstLineChars="1500"/>
        <w:rPr>
          <w:rFonts w:hint="eastAsia" w:cs="仿宋_GB2312" w:asciiTheme="minorEastAsia" w:hAnsiTheme="minorEastAsia" w:eastAsiaTheme="minorEastAsia"/>
          <w:color w:val="000000" w:themeColor="text1"/>
          <w:kern w:val="0"/>
          <w:sz w:val="28"/>
          <w:szCs w:val="28"/>
          <w:highlight w:val="none"/>
          <w:lang w:val="zh-CN"/>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法定代表人或其委托代理人（签字</w:t>
      </w:r>
      <w:r>
        <w:rPr>
          <w:rFonts w:hint="eastAsia" w:ascii="宋体" w:hAnsi="宋体" w:cs="宋体"/>
          <w:color w:val="000000" w:themeColor="text1"/>
          <w:sz w:val="28"/>
          <w:szCs w:val="28"/>
          <w:highlight w:val="none"/>
          <w:lang w:eastAsia="zh-CN"/>
          <w14:textFill>
            <w14:solidFill>
              <w14:schemeClr w14:val="tx1"/>
            </w14:solidFill>
          </w14:textFill>
        </w:rPr>
        <w:t>或</w:t>
      </w:r>
      <w:r>
        <w:rPr>
          <w:rFonts w:hint="eastAsia" w:ascii="宋体" w:hAnsi="宋体" w:eastAsia="宋体" w:cs="宋体"/>
          <w:color w:val="000000" w:themeColor="text1"/>
          <w:sz w:val="28"/>
          <w:szCs w:val="28"/>
          <w:highlight w:val="none"/>
          <w14:textFill>
            <w14:solidFill>
              <w14:schemeClr w14:val="tx1"/>
            </w14:solidFill>
          </w14:textFill>
        </w:rPr>
        <w:t>盖章）：</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r>
        <w:rPr>
          <w:rFonts w:hint="eastAsia" w:ascii="宋体" w:hAnsi="宋体" w:cs="宋体"/>
          <w:color w:val="000000" w:themeColor="text1"/>
          <w:sz w:val="28"/>
          <w:szCs w:val="28"/>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kern w:val="0"/>
          <w:sz w:val="28"/>
          <w:szCs w:val="28"/>
          <w:highlight w:val="none"/>
          <w:u w:val="single"/>
          <w:lang w:val="en-US" w:eastAsia="zh-CN"/>
          <w14:textFill>
            <w14:solidFill>
              <w14:schemeClr w14:val="tx1"/>
            </w14:solidFill>
          </w14:textFill>
        </w:rPr>
        <w:t xml:space="preserve"> </w:t>
      </w:r>
    </w:p>
    <w:p w14:paraId="2D519F53">
      <w:pPr>
        <w:pageBreakBefore w:val="0"/>
        <w:wordWrap/>
        <w:topLinePunct w:val="0"/>
        <w:autoSpaceDE w:val="0"/>
        <w:autoSpaceDN w:val="0"/>
        <w:bidi w:val="0"/>
        <w:spacing w:line="560" w:lineRule="exact"/>
        <w:ind w:firstLine="4200" w:firstLineChars="1500"/>
        <w:rPr>
          <w:rFonts w:cs="仿宋_GB2312" w:asciiTheme="minorEastAsia" w:hAnsiTheme="minorEastAsia" w:eastAsiaTheme="minorEastAsia"/>
          <w:color w:val="000000" w:themeColor="text1"/>
          <w:kern w:val="0"/>
          <w:sz w:val="28"/>
          <w:szCs w:val="28"/>
          <w:highlight w:val="none"/>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8"/>
          <w:szCs w:val="28"/>
          <w:highlight w:val="none"/>
          <w:lang w:val="zh-CN"/>
          <w14:textFill>
            <w14:solidFill>
              <w14:schemeClr w14:val="tx1"/>
            </w14:solidFill>
          </w14:textFill>
        </w:rPr>
        <w:t>日  期</w:t>
      </w:r>
      <w:r>
        <w:rPr>
          <w:rFonts w:hint="eastAsia" w:cs="仿宋_GB2312" w:asciiTheme="minorEastAsia" w:hAnsiTheme="minorEastAsia" w:eastAsiaTheme="minorEastAsia"/>
          <w:color w:val="000000" w:themeColor="text1"/>
          <w:kern w:val="0"/>
          <w:sz w:val="28"/>
          <w:szCs w:val="28"/>
          <w:highlight w:val="none"/>
          <w14:textFill>
            <w14:solidFill>
              <w14:schemeClr w14:val="tx1"/>
            </w14:solidFill>
          </w14:textFill>
        </w:rPr>
        <w:t xml:space="preserve">：  </w:t>
      </w:r>
      <w:r>
        <w:rPr>
          <w:rFonts w:hint="eastAsia" w:cs="仿宋_GB2312" w:asciiTheme="minorEastAsia" w:hAnsiTheme="minorEastAsia" w:eastAsiaTheme="minorEastAsia"/>
          <w:color w:val="000000" w:themeColor="text1"/>
          <w:kern w:val="0"/>
          <w:sz w:val="28"/>
          <w:szCs w:val="28"/>
          <w:highlight w:val="none"/>
          <w:lang w:val="zh-CN"/>
          <w14:textFill>
            <w14:solidFill>
              <w14:schemeClr w14:val="tx1"/>
            </w14:solidFill>
          </w14:textFill>
        </w:rPr>
        <w:t>年</w:t>
      </w:r>
      <w:r>
        <w:rPr>
          <w:rFonts w:hint="eastAsia" w:cs="仿宋_GB2312" w:asciiTheme="minorEastAsia" w:hAnsiTheme="minorEastAsia" w:eastAsiaTheme="minorEastAsia"/>
          <w:color w:val="000000" w:themeColor="text1"/>
          <w:kern w:val="0"/>
          <w:sz w:val="28"/>
          <w:szCs w:val="28"/>
          <w:highlight w:val="none"/>
          <w14:textFill>
            <w14:solidFill>
              <w14:schemeClr w14:val="tx1"/>
            </w14:solidFill>
          </w14:textFill>
        </w:rPr>
        <w:t xml:space="preserve">  </w:t>
      </w:r>
      <w:r>
        <w:rPr>
          <w:rFonts w:hint="eastAsia" w:cs="仿宋_GB2312" w:asciiTheme="minorEastAsia" w:hAnsiTheme="minorEastAsia" w:eastAsiaTheme="minorEastAsia"/>
          <w:color w:val="000000" w:themeColor="text1"/>
          <w:kern w:val="0"/>
          <w:sz w:val="28"/>
          <w:szCs w:val="28"/>
          <w:highlight w:val="none"/>
          <w:lang w:val="zh-CN"/>
          <w14:textFill>
            <w14:solidFill>
              <w14:schemeClr w14:val="tx1"/>
            </w14:solidFill>
          </w14:textFill>
        </w:rPr>
        <w:t>月</w:t>
      </w:r>
      <w:r>
        <w:rPr>
          <w:rFonts w:hint="eastAsia" w:cs="仿宋_GB2312" w:asciiTheme="minorEastAsia" w:hAnsiTheme="minorEastAsia" w:eastAsiaTheme="minorEastAsia"/>
          <w:color w:val="000000" w:themeColor="text1"/>
          <w:kern w:val="0"/>
          <w:sz w:val="28"/>
          <w:szCs w:val="28"/>
          <w:highlight w:val="none"/>
          <w14:textFill>
            <w14:solidFill>
              <w14:schemeClr w14:val="tx1"/>
            </w14:solidFill>
          </w14:textFill>
        </w:rPr>
        <w:t xml:space="preserve">   </w:t>
      </w:r>
      <w:r>
        <w:rPr>
          <w:rFonts w:hint="eastAsia" w:cs="仿宋_GB2312" w:asciiTheme="minorEastAsia" w:hAnsiTheme="minorEastAsia" w:eastAsiaTheme="minorEastAsia"/>
          <w:color w:val="000000" w:themeColor="text1"/>
          <w:kern w:val="0"/>
          <w:sz w:val="28"/>
          <w:szCs w:val="28"/>
          <w:highlight w:val="none"/>
          <w:lang w:val="zh-CN"/>
          <w14:textFill>
            <w14:solidFill>
              <w14:schemeClr w14:val="tx1"/>
            </w14:solidFill>
          </w14:textFill>
        </w:rPr>
        <w:t>日</w:t>
      </w:r>
    </w:p>
    <w:p w14:paraId="4C4BB790">
      <w:pPr>
        <w:pageBreakBefore w:val="0"/>
        <w:widowControl/>
        <w:wordWrap/>
        <w:topLinePunct w:val="0"/>
        <w:bidi w:val="0"/>
        <w:spacing w:line="560" w:lineRule="exact"/>
        <w:jc w:val="left"/>
        <w:rPr>
          <w:rFonts w:ascii="宋体" w:hAnsi="宋体"/>
          <w:color w:val="000000" w:themeColor="text1"/>
          <w:szCs w:val="20"/>
          <w:highlight w:val="none"/>
          <w14:textFill>
            <w14:solidFill>
              <w14:schemeClr w14:val="tx1"/>
            </w14:solidFill>
          </w14:textFill>
        </w:rPr>
      </w:pPr>
      <w:r>
        <w:rPr>
          <w:rFonts w:ascii="宋体" w:hAnsi="宋体"/>
          <w:color w:val="000000" w:themeColor="text1"/>
          <w:szCs w:val="20"/>
          <w:highlight w:val="none"/>
          <w14:textFill>
            <w14:solidFill>
              <w14:schemeClr w14:val="tx1"/>
            </w14:solidFill>
          </w14:textFill>
        </w:rPr>
        <w:br w:type="page"/>
      </w:r>
    </w:p>
    <w:p w14:paraId="56A2E091">
      <w:pPr>
        <w:pStyle w:val="17"/>
        <w:pageBreakBefore w:val="0"/>
        <w:wordWrap/>
        <w:topLinePunct w:val="0"/>
        <w:bidi w:val="0"/>
        <w:spacing w:line="560" w:lineRule="exact"/>
        <w:rPr>
          <w:rFonts w:hint="eastAsia" w:eastAsiaTheme="minorEastAsia"/>
          <w:color w:val="000000" w:themeColor="text1"/>
          <w:highlight w:val="none"/>
          <w:lang w:eastAsia="zh-CN"/>
          <w14:textFill>
            <w14:solidFill>
              <w14:schemeClr w14:val="tx1"/>
            </w14:solidFill>
          </w14:textFill>
        </w:rPr>
      </w:pPr>
      <w:r>
        <w:rPr>
          <w:rFonts w:hint="eastAsia"/>
          <w:color w:val="000000" w:themeColor="text1"/>
          <w:highlight w:val="none"/>
          <w14:textFill>
            <w14:solidFill>
              <w14:schemeClr w14:val="tx1"/>
            </w14:solidFill>
          </w14:textFill>
        </w:rPr>
        <w:t>四</w:t>
      </w:r>
      <w:r>
        <w:rPr>
          <w:color w:val="000000" w:themeColor="text1"/>
          <w:highlight w:val="none"/>
          <w14:textFill>
            <w14:solidFill>
              <w14:schemeClr w14:val="tx1"/>
            </w14:solidFill>
          </w14:textFill>
        </w:rPr>
        <w:t>、中小企业声明函</w:t>
      </w:r>
      <w:r>
        <w:rPr>
          <w:rFonts w:hint="eastAsia"/>
          <w:color w:val="000000" w:themeColor="text1"/>
          <w:highlight w:val="none"/>
          <w:lang w:eastAsia="zh-CN"/>
          <w14:textFill>
            <w14:solidFill>
              <w14:schemeClr w14:val="tx1"/>
            </w14:solidFill>
          </w14:textFill>
        </w:rPr>
        <w:t>（如有）</w:t>
      </w:r>
    </w:p>
    <w:p w14:paraId="13C4CDEC">
      <w:pPr>
        <w:pStyle w:val="13"/>
        <w:pageBreakBefore w:val="0"/>
        <w:wordWrap/>
        <w:topLinePunct w:val="0"/>
        <w:bidi w:val="0"/>
        <w:adjustRightInd w:val="0"/>
        <w:snapToGrid w:val="0"/>
        <w:spacing w:line="560" w:lineRule="exact"/>
        <w:ind w:left="-426" w:leftChars="-203" w:right="142" w:firstLine="560" w:firstLineChars="200"/>
        <w:rPr>
          <w:rFonts w:asciiTheme="minorEastAsia" w:hAnsiTheme="minorEastAsia" w:eastAsiaTheme="minorEastAsia"/>
          <w:color w:val="000000" w:themeColor="text1"/>
          <w:kern w:val="24"/>
          <w:sz w:val="28"/>
          <w:szCs w:val="28"/>
          <w:highlight w:val="none"/>
          <w14:textFill>
            <w14:solidFill>
              <w14:schemeClr w14:val="tx1"/>
            </w14:solidFill>
          </w14:textFill>
        </w:rPr>
      </w:pPr>
      <w:r>
        <w:rPr>
          <w:rFonts w:hint="eastAsia" w:asciiTheme="minorEastAsia" w:hAnsiTheme="minorEastAsia" w:eastAsiaTheme="minorEastAsia"/>
          <w:color w:val="000000" w:themeColor="text1"/>
          <w:kern w:val="24"/>
          <w:sz w:val="28"/>
          <w:szCs w:val="28"/>
          <w:highlight w:val="none"/>
          <w14:textFill>
            <w14:solidFill>
              <w14:schemeClr w14:val="tx1"/>
            </w14:solidFill>
          </w14:textFill>
        </w:rPr>
        <w:t>本公司（联合体）郑重声明，根据《政府采购促进中小企业发展管理办法》（财库﹝2020﹞46号）的规定，本公司（联合体）参加</w:t>
      </w:r>
      <w:r>
        <w:rPr>
          <w:rFonts w:hint="eastAsia" w:asciiTheme="minorEastAsia" w:hAnsiTheme="minorEastAsia" w:eastAsiaTheme="minorEastAsia"/>
          <w:color w:val="000000" w:themeColor="text1"/>
          <w:kern w:val="24"/>
          <w:sz w:val="28"/>
          <w:szCs w:val="28"/>
          <w:highlight w:val="none"/>
          <w:u w:val="single"/>
          <w14:textFill>
            <w14:solidFill>
              <w14:schemeClr w14:val="tx1"/>
            </w14:solidFill>
          </w14:textFill>
        </w:rPr>
        <w:t xml:space="preserve">           （单位名称）的           （项目名称）     </w:t>
      </w:r>
      <w:r>
        <w:rPr>
          <w:rFonts w:hint="eastAsia" w:asciiTheme="minorEastAsia" w:hAnsiTheme="minorEastAsia" w:eastAsiaTheme="minorEastAsia"/>
          <w:color w:val="000000" w:themeColor="text1"/>
          <w:kern w:val="24"/>
          <w:sz w:val="28"/>
          <w:szCs w:val="28"/>
          <w:highlight w:val="none"/>
          <w14:textFill>
            <w14:solidFill>
              <w14:schemeClr w14:val="tx1"/>
            </w14:solidFill>
          </w14:textFill>
        </w:rPr>
        <w:t>采购活动，提供的货物全部由符合政策要求的中小企业制造。相关企业（含联合体中的中小企业、签订分包意向协议的中小企业）的具体情况如下：</w:t>
      </w:r>
    </w:p>
    <w:p w14:paraId="0B0A336C">
      <w:pPr>
        <w:pageBreakBefore w:val="0"/>
        <w:tabs>
          <w:tab w:val="left" w:pos="1384"/>
          <w:tab w:val="left" w:pos="4562"/>
          <w:tab w:val="left" w:pos="6803"/>
        </w:tabs>
        <w:wordWrap/>
        <w:topLinePunct w:val="0"/>
        <w:bidi w:val="0"/>
        <w:adjustRightInd w:val="0"/>
        <w:snapToGrid w:val="0"/>
        <w:spacing w:line="560" w:lineRule="exact"/>
        <w:ind w:left="-426" w:right="-58" w:firstLine="655"/>
        <w:rPr>
          <w:rFonts w:asciiTheme="minorEastAsia" w:hAnsiTheme="minorEastAsia" w:eastAsiaTheme="minorEastAsia"/>
          <w:color w:val="000000" w:themeColor="text1"/>
          <w:kern w:val="24"/>
          <w:sz w:val="28"/>
          <w:szCs w:val="28"/>
          <w:highlight w:val="none"/>
          <w14:textFill>
            <w14:solidFill>
              <w14:schemeClr w14:val="tx1"/>
            </w14:solidFill>
          </w14:textFill>
        </w:rPr>
      </w:pPr>
      <w:r>
        <w:rPr>
          <w:rFonts w:hint="eastAsia" w:asciiTheme="minorEastAsia" w:hAnsiTheme="minorEastAsia" w:eastAsiaTheme="minorEastAsia"/>
          <w:color w:val="000000" w:themeColor="text1"/>
          <w:kern w:val="24"/>
          <w:sz w:val="28"/>
          <w:szCs w:val="28"/>
          <w:highlight w:val="none"/>
          <w14:textFill>
            <w14:solidFill>
              <w14:schemeClr w14:val="tx1"/>
            </w14:solidFill>
          </w14:textFill>
        </w:rPr>
        <w:t>1.</w:t>
      </w:r>
      <w:r>
        <w:rPr>
          <w:rFonts w:hint="eastAsia" w:asciiTheme="minorEastAsia" w:hAnsiTheme="minorEastAsia" w:eastAsiaTheme="minorEastAsia"/>
          <w:color w:val="000000" w:themeColor="text1"/>
          <w:kern w:val="24"/>
          <w:sz w:val="28"/>
          <w:szCs w:val="28"/>
          <w:highlight w:val="none"/>
          <w:u w:val="single"/>
          <w14:textFill>
            <w14:solidFill>
              <w14:schemeClr w14:val="tx1"/>
            </w14:solidFill>
          </w14:textFill>
        </w:rPr>
        <w:t xml:space="preserve">     （标的名称）</w:t>
      </w:r>
      <w:r>
        <w:rPr>
          <w:rFonts w:hint="eastAsia" w:asciiTheme="minorEastAsia" w:hAnsiTheme="minorEastAsia" w:eastAsiaTheme="minorEastAsia"/>
          <w:color w:val="000000" w:themeColor="text1"/>
          <w:kern w:val="24"/>
          <w:sz w:val="28"/>
          <w:szCs w:val="28"/>
          <w:highlight w:val="none"/>
          <w14:textFill>
            <w14:solidFill>
              <w14:schemeClr w14:val="tx1"/>
            </w14:solidFill>
          </w14:textFill>
        </w:rPr>
        <w:t>，属于</w:t>
      </w:r>
      <w:r>
        <w:rPr>
          <w:rFonts w:hint="eastAsia" w:asciiTheme="minorEastAsia" w:hAnsiTheme="minorEastAsia" w:eastAsiaTheme="minorEastAsia"/>
          <w:color w:val="000000" w:themeColor="text1"/>
          <w:kern w:val="24"/>
          <w:sz w:val="28"/>
          <w:szCs w:val="28"/>
          <w:highlight w:val="none"/>
          <w:u w:val="single"/>
          <w14:textFill>
            <w14:solidFill>
              <w14:schemeClr w14:val="tx1"/>
            </w14:solidFill>
          </w14:textFill>
        </w:rPr>
        <w:t>（采购文件所属行业）</w:t>
      </w:r>
      <w:r>
        <w:rPr>
          <w:rFonts w:hint="eastAsia" w:asciiTheme="minorEastAsia" w:hAnsiTheme="minorEastAsia" w:eastAsiaTheme="minorEastAsia"/>
          <w:color w:val="000000" w:themeColor="text1"/>
          <w:kern w:val="24"/>
          <w:sz w:val="28"/>
          <w:szCs w:val="28"/>
          <w:highlight w:val="none"/>
          <w14:textFill>
            <w14:solidFill>
              <w14:schemeClr w14:val="tx1"/>
            </w14:solidFill>
          </w14:textFill>
        </w:rPr>
        <w:t>行业；制造商为</w:t>
      </w:r>
      <w:r>
        <w:rPr>
          <w:rFonts w:hint="eastAsia" w:asciiTheme="minorEastAsia" w:hAnsiTheme="minorEastAsia" w:eastAsiaTheme="minorEastAsia"/>
          <w:color w:val="000000" w:themeColor="text1"/>
          <w:kern w:val="24"/>
          <w:sz w:val="28"/>
          <w:szCs w:val="28"/>
          <w:highlight w:val="none"/>
          <w:u w:val="single"/>
          <w14:textFill>
            <w14:solidFill>
              <w14:schemeClr w14:val="tx1"/>
            </w14:solidFill>
          </w14:textFill>
        </w:rPr>
        <w:t xml:space="preserve">          （企业名称）</w:t>
      </w:r>
      <w:r>
        <w:rPr>
          <w:rFonts w:hint="eastAsia" w:asciiTheme="minorEastAsia" w:hAnsiTheme="minorEastAsia" w:eastAsiaTheme="minorEastAsia"/>
          <w:color w:val="000000" w:themeColor="text1"/>
          <w:kern w:val="24"/>
          <w:sz w:val="28"/>
          <w:szCs w:val="28"/>
          <w:highlight w:val="none"/>
          <w14:textFill>
            <w14:solidFill>
              <w14:schemeClr w14:val="tx1"/>
            </w14:solidFill>
          </w14:textFill>
        </w:rPr>
        <w:t>，从业人员</w:t>
      </w:r>
      <w:r>
        <w:rPr>
          <w:rFonts w:hint="eastAsia" w:asciiTheme="minorEastAsia" w:hAnsiTheme="minorEastAsia" w:eastAsiaTheme="minorEastAsia"/>
          <w:color w:val="000000" w:themeColor="text1"/>
          <w:kern w:val="24"/>
          <w:sz w:val="28"/>
          <w:szCs w:val="28"/>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kern w:val="24"/>
          <w:sz w:val="28"/>
          <w:szCs w:val="28"/>
          <w:highlight w:val="none"/>
          <w14:textFill>
            <w14:solidFill>
              <w14:schemeClr w14:val="tx1"/>
            </w14:solidFill>
          </w14:textFill>
        </w:rPr>
        <w:t>人，营业收入为</w:t>
      </w:r>
      <w:r>
        <w:rPr>
          <w:rFonts w:hint="eastAsia" w:asciiTheme="minorEastAsia" w:hAnsiTheme="minorEastAsia" w:eastAsiaTheme="minorEastAsia"/>
          <w:color w:val="000000" w:themeColor="text1"/>
          <w:kern w:val="24"/>
          <w:sz w:val="28"/>
          <w:szCs w:val="28"/>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kern w:val="24"/>
          <w:sz w:val="28"/>
          <w:szCs w:val="28"/>
          <w:highlight w:val="none"/>
          <w14:textFill>
            <w14:solidFill>
              <w14:schemeClr w14:val="tx1"/>
            </w14:solidFill>
          </w14:textFill>
        </w:rPr>
        <w:t>万元，资产总额为</w:t>
      </w:r>
      <w:r>
        <w:rPr>
          <w:rFonts w:hint="eastAsia" w:asciiTheme="minorEastAsia" w:hAnsiTheme="minorEastAsia" w:eastAsiaTheme="minorEastAsia"/>
          <w:color w:val="000000" w:themeColor="text1"/>
          <w:kern w:val="24"/>
          <w:sz w:val="28"/>
          <w:szCs w:val="28"/>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kern w:val="24"/>
          <w:sz w:val="28"/>
          <w:szCs w:val="28"/>
          <w:highlight w:val="none"/>
          <w14:textFill>
            <w14:solidFill>
              <w14:schemeClr w14:val="tx1"/>
            </w14:solidFill>
          </w14:textFill>
        </w:rPr>
        <w:t>万元，属于</w:t>
      </w:r>
      <w:r>
        <w:rPr>
          <w:rFonts w:hint="eastAsia" w:asciiTheme="minorEastAsia" w:hAnsiTheme="minorEastAsia" w:eastAsiaTheme="minorEastAsia"/>
          <w:color w:val="000000" w:themeColor="text1"/>
          <w:kern w:val="24"/>
          <w:sz w:val="28"/>
          <w:szCs w:val="28"/>
          <w:highlight w:val="none"/>
          <w:u w:val="single"/>
          <w14:textFill>
            <w14:solidFill>
              <w14:schemeClr w14:val="tx1"/>
            </w14:solidFill>
          </w14:textFill>
        </w:rPr>
        <w:t xml:space="preserve">     （中型企业、小型企业、微型企业）</w:t>
      </w:r>
      <w:r>
        <w:rPr>
          <w:rFonts w:hint="eastAsia" w:asciiTheme="minorEastAsia" w:hAnsiTheme="minorEastAsia" w:eastAsiaTheme="minorEastAsia"/>
          <w:color w:val="000000" w:themeColor="text1"/>
          <w:kern w:val="24"/>
          <w:sz w:val="28"/>
          <w:szCs w:val="28"/>
          <w:highlight w:val="none"/>
          <w14:textFill>
            <w14:solidFill>
              <w14:schemeClr w14:val="tx1"/>
            </w14:solidFill>
          </w14:textFill>
        </w:rPr>
        <w:t>；</w:t>
      </w:r>
    </w:p>
    <w:p w14:paraId="58358DB9">
      <w:pPr>
        <w:pageBreakBefore w:val="0"/>
        <w:tabs>
          <w:tab w:val="left" w:pos="1384"/>
          <w:tab w:val="left" w:pos="4562"/>
          <w:tab w:val="left" w:pos="6803"/>
        </w:tabs>
        <w:wordWrap/>
        <w:topLinePunct w:val="0"/>
        <w:bidi w:val="0"/>
        <w:adjustRightInd w:val="0"/>
        <w:snapToGrid w:val="0"/>
        <w:spacing w:line="560" w:lineRule="exact"/>
        <w:ind w:left="-426" w:right="-58" w:firstLine="655"/>
        <w:rPr>
          <w:rFonts w:asciiTheme="minorEastAsia" w:hAnsiTheme="minorEastAsia" w:eastAsiaTheme="minorEastAsia"/>
          <w:color w:val="000000" w:themeColor="text1"/>
          <w:kern w:val="24"/>
          <w:sz w:val="28"/>
          <w:szCs w:val="28"/>
          <w:highlight w:val="none"/>
          <w14:textFill>
            <w14:solidFill>
              <w14:schemeClr w14:val="tx1"/>
            </w14:solidFill>
          </w14:textFill>
        </w:rPr>
      </w:pPr>
      <w:r>
        <w:rPr>
          <w:rFonts w:hint="eastAsia" w:asciiTheme="minorEastAsia" w:hAnsiTheme="minorEastAsia" w:eastAsiaTheme="minorEastAsia"/>
          <w:color w:val="000000" w:themeColor="text1"/>
          <w:kern w:val="24"/>
          <w:sz w:val="28"/>
          <w:szCs w:val="28"/>
          <w:highlight w:val="none"/>
          <w14:textFill>
            <w14:solidFill>
              <w14:schemeClr w14:val="tx1"/>
            </w14:solidFill>
          </w14:textFill>
        </w:rPr>
        <w:t>2.</w:t>
      </w:r>
      <w:r>
        <w:rPr>
          <w:rFonts w:hint="eastAsia" w:asciiTheme="minorEastAsia" w:hAnsiTheme="minorEastAsia" w:eastAsiaTheme="minorEastAsia"/>
          <w:color w:val="000000" w:themeColor="text1"/>
          <w:kern w:val="24"/>
          <w:sz w:val="28"/>
          <w:szCs w:val="28"/>
          <w:highlight w:val="none"/>
          <w:u w:val="single"/>
          <w14:textFill>
            <w14:solidFill>
              <w14:schemeClr w14:val="tx1"/>
            </w14:solidFill>
          </w14:textFill>
        </w:rPr>
        <w:t xml:space="preserve">     （标的名称）</w:t>
      </w:r>
      <w:r>
        <w:rPr>
          <w:rFonts w:hint="eastAsia" w:asciiTheme="minorEastAsia" w:hAnsiTheme="minorEastAsia" w:eastAsiaTheme="minorEastAsia"/>
          <w:color w:val="000000" w:themeColor="text1"/>
          <w:kern w:val="24"/>
          <w:sz w:val="28"/>
          <w:szCs w:val="28"/>
          <w:highlight w:val="none"/>
          <w14:textFill>
            <w14:solidFill>
              <w14:schemeClr w14:val="tx1"/>
            </w14:solidFill>
          </w14:textFill>
        </w:rPr>
        <w:t>，属于</w:t>
      </w:r>
      <w:r>
        <w:rPr>
          <w:rFonts w:hint="eastAsia" w:asciiTheme="minorEastAsia" w:hAnsiTheme="minorEastAsia" w:eastAsiaTheme="minorEastAsia"/>
          <w:color w:val="000000" w:themeColor="text1"/>
          <w:kern w:val="24"/>
          <w:sz w:val="28"/>
          <w:szCs w:val="28"/>
          <w:highlight w:val="none"/>
          <w:u w:val="single"/>
          <w14:textFill>
            <w14:solidFill>
              <w14:schemeClr w14:val="tx1"/>
            </w14:solidFill>
          </w14:textFill>
        </w:rPr>
        <w:t>（采购文件所属行业）</w:t>
      </w:r>
      <w:r>
        <w:rPr>
          <w:rFonts w:hint="eastAsia" w:asciiTheme="minorEastAsia" w:hAnsiTheme="minorEastAsia" w:eastAsiaTheme="minorEastAsia"/>
          <w:color w:val="000000" w:themeColor="text1"/>
          <w:kern w:val="24"/>
          <w:sz w:val="28"/>
          <w:szCs w:val="28"/>
          <w:highlight w:val="none"/>
          <w14:textFill>
            <w14:solidFill>
              <w14:schemeClr w14:val="tx1"/>
            </w14:solidFill>
          </w14:textFill>
        </w:rPr>
        <w:t>行业；制造商为</w:t>
      </w:r>
      <w:r>
        <w:rPr>
          <w:rFonts w:hint="eastAsia" w:asciiTheme="minorEastAsia" w:hAnsiTheme="minorEastAsia" w:eastAsiaTheme="minorEastAsia"/>
          <w:color w:val="000000" w:themeColor="text1"/>
          <w:kern w:val="24"/>
          <w:sz w:val="28"/>
          <w:szCs w:val="28"/>
          <w:highlight w:val="none"/>
          <w:u w:val="single"/>
          <w14:textFill>
            <w14:solidFill>
              <w14:schemeClr w14:val="tx1"/>
            </w14:solidFill>
          </w14:textFill>
        </w:rPr>
        <w:t xml:space="preserve">          （企业名称）</w:t>
      </w:r>
      <w:r>
        <w:rPr>
          <w:rFonts w:hint="eastAsia" w:asciiTheme="minorEastAsia" w:hAnsiTheme="minorEastAsia" w:eastAsiaTheme="minorEastAsia"/>
          <w:color w:val="000000" w:themeColor="text1"/>
          <w:kern w:val="24"/>
          <w:sz w:val="28"/>
          <w:szCs w:val="28"/>
          <w:highlight w:val="none"/>
          <w14:textFill>
            <w14:solidFill>
              <w14:schemeClr w14:val="tx1"/>
            </w14:solidFill>
          </w14:textFill>
        </w:rPr>
        <w:t>，从业人员</w:t>
      </w:r>
      <w:r>
        <w:rPr>
          <w:rFonts w:hint="eastAsia" w:asciiTheme="minorEastAsia" w:hAnsiTheme="minorEastAsia" w:eastAsiaTheme="minorEastAsia"/>
          <w:color w:val="000000" w:themeColor="text1"/>
          <w:kern w:val="24"/>
          <w:sz w:val="28"/>
          <w:szCs w:val="28"/>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kern w:val="24"/>
          <w:sz w:val="28"/>
          <w:szCs w:val="28"/>
          <w:highlight w:val="none"/>
          <w14:textFill>
            <w14:solidFill>
              <w14:schemeClr w14:val="tx1"/>
            </w14:solidFill>
          </w14:textFill>
        </w:rPr>
        <w:t>人，营业收入为</w:t>
      </w:r>
      <w:r>
        <w:rPr>
          <w:rFonts w:hint="eastAsia" w:asciiTheme="minorEastAsia" w:hAnsiTheme="minorEastAsia" w:eastAsiaTheme="minorEastAsia"/>
          <w:color w:val="000000" w:themeColor="text1"/>
          <w:kern w:val="24"/>
          <w:sz w:val="28"/>
          <w:szCs w:val="28"/>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kern w:val="24"/>
          <w:sz w:val="28"/>
          <w:szCs w:val="28"/>
          <w:highlight w:val="none"/>
          <w14:textFill>
            <w14:solidFill>
              <w14:schemeClr w14:val="tx1"/>
            </w14:solidFill>
          </w14:textFill>
        </w:rPr>
        <w:t>万元，资产总额为</w:t>
      </w:r>
      <w:r>
        <w:rPr>
          <w:rFonts w:hint="eastAsia" w:asciiTheme="minorEastAsia" w:hAnsiTheme="minorEastAsia" w:eastAsiaTheme="minorEastAsia"/>
          <w:color w:val="000000" w:themeColor="text1"/>
          <w:kern w:val="24"/>
          <w:sz w:val="28"/>
          <w:szCs w:val="28"/>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kern w:val="24"/>
          <w:sz w:val="28"/>
          <w:szCs w:val="28"/>
          <w:highlight w:val="none"/>
          <w14:textFill>
            <w14:solidFill>
              <w14:schemeClr w14:val="tx1"/>
            </w14:solidFill>
          </w14:textFill>
        </w:rPr>
        <w:t>万元，属于</w:t>
      </w:r>
      <w:r>
        <w:rPr>
          <w:rFonts w:hint="eastAsia" w:asciiTheme="minorEastAsia" w:hAnsiTheme="minorEastAsia" w:eastAsiaTheme="minorEastAsia"/>
          <w:color w:val="000000" w:themeColor="text1"/>
          <w:kern w:val="24"/>
          <w:sz w:val="28"/>
          <w:szCs w:val="28"/>
          <w:highlight w:val="none"/>
          <w:u w:val="single"/>
          <w14:textFill>
            <w14:solidFill>
              <w14:schemeClr w14:val="tx1"/>
            </w14:solidFill>
          </w14:textFill>
        </w:rPr>
        <w:t xml:space="preserve">     （中型企业、小型企业、微型企业）</w:t>
      </w:r>
      <w:r>
        <w:rPr>
          <w:rFonts w:hint="eastAsia" w:asciiTheme="minorEastAsia" w:hAnsiTheme="minorEastAsia" w:eastAsiaTheme="minorEastAsia"/>
          <w:color w:val="000000" w:themeColor="text1"/>
          <w:kern w:val="24"/>
          <w:sz w:val="28"/>
          <w:szCs w:val="28"/>
          <w:highlight w:val="none"/>
          <w14:textFill>
            <w14:solidFill>
              <w14:schemeClr w14:val="tx1"/>
            </w14:solidFill>
          </w14:textFill>
        </w:rPr>
        <w:t>；</w:t>
      </w:r>
    </w:p>
    <w:p w14:paraId="7652DE18">
      <w:pPr>
        <w:pStyle w:val="13"/>
        <w:pageBreakBefore w:val="0"/>
        <w:wordWrap/>
        <w:topLinePunct w:val="0"/>
        <w:bidi w:val="0"/>
        <w:adjustRightInd w:val="0"/>
        <w:snapToGrid w:val="0"/>
        <w:spacing w:line="560" w:lineRule="exact"/>
        <w:ind w:left="142" w:right="142"/>
        <w:rPr>
          <w:rFonts w:asciiTheme="minorEastAsia" w:hAnsiTheme="minorEastAsia" w:eastAsiaTheme="minorEastAsia"/>
          <w:color w:val="000000" w:themeColor="text1"/>
          <w:kern w:val="24"/>
          <w:sz w:val="28"/>
          <w:szCs w:val="28"/>
          <w:highlight w:val="none"/>
          <w14:textFill>
            <w14:solidFill>
              <w14:schemeClr w14:val="tx1"/>
            </w14:solidFill>
          </w14:textFill>
        </w:rPr>
      </w:pPr>
      <w:r>
        <w:rPr>
          <w:rFonts w:hint="eastAsia" w:asciiTheme="minorEastAsia" w:hAnsiTheme="minorEastAsia" w:eastAsiaTheme="minorEastAsia"/>
          <w:color w:val="000000" w:themeColor="text1"/>
          <w:kern w:val="24"/>
          <w:sz w:val="28"/>
          <w:szCs w:val="28"/>
          <w:highlight w:val="none"/>
          <w14:textFill>
            <w14:solidFill>
              <w14:schemeClr w14:val="tx1"/>
            </w14:solidFill>
          </w14:textFill>
        </w:rPr>
        <w:t xml:space="preserve">…… </w:t>
      </w:r>
    </w:p>
    <w:p w14:paraId="5B7F68F2">
      <w:pPr>
        <w:pStyle w:val="13"/>
        <w:pageBreakBefore w:val="0"/>
        <w:wordWrap/>
        <w:topLinePunct w:val="0"/>
        <w:bidi w:val="0"/>
        <w:adjustRightInd w:val="0"/>
        <w:snapToGrid w:val="0"/>
        <w:spacing w:line="560" w:lineRule="exact"/>
        <w:ind w:left="-405" w:leftChars="-193" w:right="142" w:firstLine="529" w:firstLineChars="189"/>
        <w:rPr>
          <w:rFonts w:asciiTheme="minorEastAsia" w:hAnsiTheme="minorEastAsia" w:eastAsiaTheme="minorEastAsia"/>
          <w:color w:val="000000" w:themeColor="text1"/>
          <w:kern w:val="24"/>
          <w:sz w:val="28"/>
          <w:szCs w:val="28"/>
          <w:highlight w:val="none"/>
          <w14:textFill>
            <w14:solidFill>
              <w14:schemeClr w14:val="tx1"/>
            </w14:solidFill>
          </w14:textFill>
        </w:rPr>
      </w:pPr>
      <w:r>
        <w:rPr>
          <w:rFonts w:hint="eastAsia" w:asciiTheme="minorEastAsia" w:hAnsiTheme="minorEastAsia" w:eastAsiaTheme="minorEastAsia"/>
          <w:color w:val="000000" w:themeColor="text1"/>
          <w:kern w:val="24"/>
          <w:sz w:val="28"/>
          <w:szCs w:val="28"/>
          <w:highlight w:val="none"/>
          <w14:textFill>
            <w14:solidFill>
              <w14:schemeClr w14:val="tx1"/>
            </w14:solidFill>
          </w14:textFill>
        </w:rPr>
        <w:t>以上企业，不属于大企业的分支机构，不存在控股股东为大企业的情形，也不存在与大企业的负责人为同一人的情形。</w:t>
      </w:r>
    </w:p>
    <w:p w14:paraId="089757CA">
      <w:pPr>
        <w:pStyle w:val="13"/>
        <w:pageBreakBefore w:val="0"/>
        <w:wordWrap/>
        <w:topLinePunct w:val="0"/>
        <w:bidi w:val="0"/>
        <w:adjustRightInd w:val="0"/>
        <w:snapToGrid w:val="0"/>
        <w:spacing w:line="560" w:lineRule="exact"/>
        <w:ind w:left="-426" w:right="142" w:firstLine="567"/>
        <w:rPr>
          <w:rFonts w:asciiTheme="minorEastAsia" w:hAnsiTheme="minorEastAsia" w:eastAsiaTheme="minorEastAsia"/>
          <w:color w:val="000000" w:themeColor="text1"/>
          <w:kern w:val="24"/>
          <w:sz w:val="28"/>
          <w:szCs w:val="28"/>
          <w:highlight w:val="none"/>
          <w14:textFill>
            <w14:solidFill>
              <w14:schemeClr w14:val="tx1"/>
            </w14:solidFill>
          </w14:textFill>
        </w:rPr>
      </w:pPr>
      <w:r>
        <w:rPr>
          <w:rFonts w:hint="eastAsia" w:asciiTheme="minorEastAsia" w:hAnsiTheme="minorEastAsia" w:eastAsiaTheme="minorEastAsia"/>
          <w:color w:val="000000" w:themeColor="text1"/>
          <w:kern w:val="24"/>
          <w:sz w:val="28"/>
          <w:szCs w:val="28"/>
          <w:highlight w:val="none"/>
          <w14:textFill>
            <w14:solidFill>
              <w14:schemeClr w14:val="tx1"/>
            </w14:solidFill>
          </w14:textFill>
        </w:rPr>
        <w:t>本企业对上述声明内容的真实性负责。如有虚假，将依法承担相应责任。</w:t>
      </w:r>
    </w:p>
    <w:p w14:paraId="3ABC26AC">
      <w:pPr>
        <w:pageBreakBefore w:val="0"/>
        <w:wordWrap/>
        <w:topLinePunct w:val="0"/>
        <w:autoSpaceDE w:val="0"/>
        <w:autoSpaceDN w:val="0"/>
        <w:bidi w:val="0"/>
        <w:adjustRightInd w:val="0"/>
        <w:snapToGrid w:val="0"/>
        <w:spacing w:line="560" w:lineRule="exact"/>
        <w:rPr>
          <w:rFonts w:cs="仿宋_GB2312" w:asciiTheme="minorEastAsia" w:hAnsiTheme="minorEastAsia" w:eastAsiaTheme="minorEastAsia"/>
          <w:color w:val="000000" w:themeColor="text1"/>
          <w:kern w:val="0"/>
          <w:sz w:val="28"/>
          <w:szCs w:val="28"/>
          <w:highlight w:val="none"/>
          <w14:textFill>
            <w14:solidFill>
              <w14:schemeClr w14:val="tx1"/>
            </w14:solidFill>
          </w14:textFill>
        </w:rPr>
      </w:pPr>
    </w:p>
    <w:p w14:paraId="4F566DCD">
      <w:pPr>
        <w:pageBreakBefore w:val="0"/>
        <w:wordWrap/>
        <w:topLinePunct w:val="0"/>
        <w:autoSpaceDE w:val="0"/>
        <w:autoSpaceDN w:val="0"/>
        <w:bidi w:val="0"/>
        <w:adjustRightInd w:val="0"/>
        <w:snapToGrid w:val="0"/>
        <w:spacing w:line="560" w:lineRule="exact"/>
        <w:ind w:left="4375" w:leftChars="1950" w:hanging="280" w:hangingChars="100"/>
        <w:rPr>
          <w:rFonts w:cs="仿宋_GB2312" w:asciiTheme="minorEastAsia" w:hAnsiTheme="minorEastAsia" w:eastAsiaTheme="minorEastAsia"/>
          <w:color w:val="000000" w:themeColor="text1"/>
          <w:kern w:val="0"/>
          <w:sz w:val="28"/>
          <w:szCs w:val="28"/>
          <w:highlight w:val="none"/>
          <w14:textFill>
            <w14:solidFill>
              <w14:schemeClr w14:val="tx1"/>
            </w14:solidFill>
          </w14:textFill>
        </w:rPr>
      </w:pPr>
      <w:r>
        <w:rPr>
          <w:rFonts w:hint="eastAsia" w:cs="仿宋_GB2312" w:asciiTheme="minorEastAsia" w:hAnsiTheme="minorEastAsia" w:eastAsiaTheme="minorEastAsia"/>
          <w:color w:val="000000" w:themeColor="text1"/>
          <w:kern w:val="0"/>
          <w:sz w:val="28"/>
          <w:szCs w:val="28"/>
          <w:highlight w:val="none"/>
          <w:lang w:eastAsia="zh-CN"/>
          <w14:textFill>
            <w14:solidFill>
              <w14:schemeClr w14:val="tx1"/>
            </w14:solidFill>
          </w14:textFill>
        </w:rPr>
        <w:t>企业</w:t>
      </w:r>
      <w:r>
        <w:rPr>
          <w:rFonts w:hint="eastAsia" w:cs="仿宋_GB2312" w:asciiTheme="minorEastAsia" w:hAnsiTheme="minorEastAsia" w:eastAsiaTheme="minorEastAsia"/>
          <w:color w:val="000000" w:themeColor="text1"/>
          <w:kern w:val="0"/>
          <w:sz w:val="28"/>
          <w:szCs w:val="28"/>
          <w:highlight w:val="none"/>
          <w14:textFill>
            <w14:solidFill>
              <w14:schemeClr w14:val="tx1"/>
            </w14:solidFill>
          </w14:textFill>
        </w:rPr>
        <w:t>名称（</w:t>
      </w:r>
      <w:r>
        <w:rPr>
          <w:rFonts w:hint="eastAsia" w:cs="仿宋_GB2312" w:asciiTheme="minorEastAsia" w:hAnsiTheme="minorEastAsia" w:eastAsiaTheme="minorEastAsia"/>
          <w:color w:val="000000" w:themeColor="text1"/>
          <w:kern w:val="0"/>
          <w:sz w:val="28"/>
          <w:szCs w:val="28"/>
          <w:highlight w:val="none"/>
          <w:lang w:eastAsia="zh-CN"/>
          <w14:textFill>
            <w14:solidFill>
              <w14:schemeClr w14:val="tx1"/>
            </w14:solidFill>
          </w14:textFill>
        </w:rPr>
        <w:t>电子公章</w:t>
      </w:r>
      <w:r>
        <w:rPr>
          <w:rFonts w:hint="eastAsia" w:cs="仿宋_GB2312" w:asciiTheme="minorEastAsia" w:hAnsiTheme="minorEastAsia" w:eastAsiaTheme="minorEastAsia"/>
          <w:color w:val="000000" w:themeColor="text1"/>
          <w:kern w:val="0"/>
          <w:sz w:val="28"/>
          <w:szCs w:val="28"/>
          <w:highlight w:val="none"/>
          <w14:textFill>
            <w14:solidFill>
              <w14:schemeClr w14:val="tx1"/>
            </w14:solidFill>
          </w14:textFill>
        </w:rPr>
        <w:t>）：</w:t>
      </w:r>
    </w:p>
    <w:p w14:paraId="44B54663">
      <w:pPr>
        <w:pageBreakBefore w:val="0"/>
        <w:wordWrap/>
        <w:topLinePunct w:val="0"/>
        <w:autoSpaceDE w:val="0"/>
        <w:autoSpaceDN w:val="0"/>
        <w:bidi w:val="0"/>
        <w:adjustRightInd w:val="0"/>
        <w:snapToGrid w:val="0"/>
        <w:spacing w:line="560" w:lineRule="exact"/>
        <w:ind w:firstLine="4200" w:firstLineChars="1500"/>
        <w:rPr>
          <w:color w:val="000000" w:themeColor="text1"/>
          <w:highlight w:val="none"/>
          <w14:textFill>
            <w14:solidFill>
              <w14:schemeClr w14:val="tx1"/>
            </w14:solidFill>
          </w14:textFill>
        </w:rPr>
      </w:pPr>
      <w:r>
        <w:rPr>
          <w:rFonts w:hint="eastAsia" w:cs="仿宋_GB2312" w:asciiTheme="minorEastAsia" w:hAnsiTheme="minorEastAsia" w:eastAsiaTheme="minorEastAsia"/>
          <w:color w:val="000000" w:themeColor="text1"/>
          <w:kern w:val="0"/>
          <w:sz w:val="28"/>
          <w:szCs w:val="28"/>
          <w:highlight w:val="none"/>
          <w:lang w:val="zh-CN"/>
          <w14:textFill>
            <w14:solidFill>
              <w14:schemeClr w14:val="tx1"/>
            </w14:solidFill>
          </w14:textFill>
        </w:rPr>
        <w:t>日期：  年  月   日</w:t>
      </w:r>
    </w:p>
    <w:p w14:paraId="44EB2241">
      <w:pPr>
        <w:keepNext w:val="0"/>
        <w:keepLines w:val="0"/>
        <w:pageBreakBefore w:val="0"/>
        <w:widowControl w:val="0"/>
        <w:kinsoku/>
        <w:wordWrap/>
        <w:overflowPunct/>
        <w:topLinePunct w:val="0"/>
        <w:autoSpaceDE/>
        <w:autoSpaceDN/>
        <w:bidi w:val="0"/>
        <w:adjustRightInd/>
        <w:snapToGrid w:val="0"/>
        <w:spacing w:before="50" w:after="165" w:afterLines="50" w:line="400" w:lineRule="exact"/>
        <w:jc w:val="left"/>
        <w:textAlignment w:val="auto"/>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注：</w:t>
      </w:r>
    </w:p>
    <w:p w14:paraId="6E50B748">
      <w:pPr>
        <w:keepNext w:val="0"/>
        <w:keepLines w:val="0"/>
        <w:pageBreakBefore w:val="0"/>
        <w:widowControl w:val="0"/>
        <w:numPr>
          <w:ilvl w:val="0"/>
          <w:numId w:val="21"/>
        </w:numPr>
        <w:kinsoku/>
        <w:wordWrap/>
        <w:overflowPunct/>
        <w:topLinePunct w:val="0"/>
        <w:autoSpaceDE/>
        <w:autoSpaceDN/>
        <w:bidi w:val="0"/>
        <w:adjustRightInd/>
        <w:snapToGrid w:val="0"/>
        <w:spacing w:before="50" w:after="165" w:afterLines="50" w:line="400" w:lineRule="exact"/>
        <w:jc w:val="left"/>
        <w:textAlignment w:val="auto"/>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从业人员、营业收入、资产总额填报上一年度数据，无上一年度数据的新成立企业可不填报。</w:t>
      </w:r>
    </w:p>
    <w:p w14:paraId="6A4AEFE6">
      <w:pPr>
        <w:pStyle w:val="101"/>
        <w:keepNext w:val="0"/>
        <w:keepLines w:val="0"/>
        <w:pageBreakBefore w:val="0"/>
        <w:widowControl w:val="0"/>
        <w:numPr>
          <w:ilvl w:val="0"/>
          <w:numId w:val="21"/>
        </w:numPr>
        <w:kinsoku/>
        <w:wordWrap/>
        <w:overflowPunct/>
        <w:topLinePunct w:val="0"/>
        <w:autoSpaceDE/>
        <w:autoSpaceDN/>
        <w:bidi w:val="0"/>
        <w:adjustRightInd/>
        <w:snapToGrid w:val="0"/>
        <w:spacing w:before="50" w:after="165" w:afterLines="50" w:line="400" w:lineRule="exact"/>
        <w:ind w:firstLineChars="0"/>
        <w:jc w:val="left"/>
        <w:textAlignment w:val="auto"/>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请根据自己的真实情况出具《中小企业声明函》。依法享受中小企业优惠政策的，采购人或者采购代理机构在公告中标结果时，同时公告其《中小企业声明函》，接受社会监督。</w:t>
      </w:r>
    </w:p>
    <w:p w14:paraId="1806A028">
      <w:pPr>
        <w:pStyle w:val="101"/>
        <w:keepNext w:val="0"/>
        <w:keepLines w:val="0"/>
        <w:pageBreakBefore w:val="0"/>
        <w:widowControl w:val="0"/>
        <w:numPr>
          <w:ilvl w:val="0"/>
          <w:numId w:val="21"/>
        </w:numPr>
        <w:kinsoku/>
        <w:wordWrap/>
        <w:overflowPunct/>
        <w:topLinePunct w:val="0"/>
        <w:autoSpaceDE/>
        <w:autoSpaceDN/>
        <w:bidi w:val="0"/>
        <w:adjustRightInd/>
        <w:snapToGrid w:val="0"/>
        <w:spacing w:before="50" w:after="165" w:afterLines="50" w:line="400" w:lineRule="exact"/>
        <w:ind w:firstLineChars="0"/>
        <w:jc w:val="left"/>
        <w:textAlignment w:val="auto"/>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小型、微型企业提供中型企业提供的货物的，视同为中型企业。</w:t>
      </w:r>
    </w:p>
    <w:p w14:paraId="04E78DBA">
      <w:pPr>
        <w:pageBreakBefore w:val="0"/>
        <w:widowControl/>
        <w:wordWrap/>
        <w:topLinePunct w:val="0"/>
        <w:bidi w:val="0"/>
        <w:spacing w:line="560" w:lineRule="exact"/>
        <w:jc w:val="left"/>
        <w:rPr>
          <w:rFonts w:ascii="仿宋" w:hAnsi="仿宋" w:eastAsia="仿宋" w:cs="仿宋_GB2312"/>
          <w:b/>
          <w:color w:val="000000" w:themeColor="text1"/>
          <w:sz w:val="30"/>
          <w:szCs w:val="30"/>
          <w:highlight w:val="none"/>
          <w14:textFill>
            <w14:solidFill>
              <w14:schemeClr w14:val="tx1"/>
            </w14:solidFill>
          </w14:textFill>
        </w:rPr>
      </w:pPr>
      <w:r>
        <w:rPr>
          <w:rFonts w:ascii="仿宋" w:hAnsi="仿宋" w:eastAsia="仿宋" w:cs="仿宋_GB2312"/>
          <w:b/>
          <w:color w:val="000000" w:themeColor="text1"/>
          <w:sz w:val="30"/>
          <w:szCs w:val="30"/>
          <w:highlight w:val="none"/>
          <w14:textFill>
            <w14:solidFill>
              <w14:schemeClr w14:val="tx1"/>
            </w14:solidFill>
          </w14:textFill>
        </w:rPr>
        <w:br w:type="page"/>
      </w:r>
      <w:r>
        <w:rPr>
          <w:rFonts w:hint="eastAsia" w:ascii="微软雅黑" w:hAnsi="微软雅黑" w:eastAsia="微软雅黑" w:cs="微软雅黑"/>
          <w:color w:val="000000" w:themeColor="text1"/>
          <w:sz w:val="32"/>
          <w:szCs w:val="32"/>
          <w:highlight w:val="none"/>
          <w14:textFill>
            <w14:solidFill>
              <w14:schemeClr w14:val="tx1"/>
            </w14:solidFill>
          </w14:textFill>
        </w:rPr>
        <w:t>附件</w:t>
      </w:r>
      <w:r>
        <w:rPr>
          <w:rFonts w:hint="eastAsia" w:ascii="Arial Unicode MS" w:hAnsi="Arial Unicode MS" w:eastAsia="Arial Unicode MS" w:cs="Arial Unicode MS"/>
          <w:color w:val="000000" w:themeColor="text1"/>
          <w:sz w:val="32"/>
          <w:szCs w:val="32"/>
          <w:highlight w:val="none"/>
          <w14:textFill>
            <w14:solidFill>
              <w14:schemeClr w14:val="tx1"/>
            </w14:solidFill>
          </w14:textFill>
        </w:rPr>
        <w:t>1</w:t>
      </w:r>
      <w:r>
        <w:rPr>
          <w:rFonts w:hint="eastAsia" w:ascii="微软雅黑" w:hAnsi="微软雅黑" w:eastAsia="微软雅黑" w:cs="微软雅黑"/>
          <w:color w:val="000000" w:themeColor="text1"/>
          <w:sz w:val="32"/>
          <w:szCs w:val="32"/>
          <w:highlight w:val="none"/>
          <w14:textFill>
            <w14:solidFill>
              <w14:schemeClr w14:val="tx1"/>
            </w14:solidFill>
          </w14:textFill>
        </w:rPr>
        <w:t>：</w:t>
      </w:r>
    </w:p>
    <w:p w14:paraId="0B6C5E35">
      <w:pPr>
        <w:pageBreakBefore w:val="0"/>
        <w:wordWrap/>
        <w:topLinePunct w:val="0"/>
        <w:bidi w:val="0"/>
        <w:spacing w:line="560" w:lineRule="exact"/>
        <w:jc w:val="center"/>
        <w:rPr>
          <w:rFonts w:ascii="Arial Unicode MS" w:hAnsi="Arial Unicode MS" w:eastAsia="Arial Unicode MS" w:cs="Arial Unicode MS"/>
          <w:color w:val="000000" w:themeColor="text1"/>
          <w:sz w:val="40"/>
          <w:szCs w:val="40"/>
          <w:highlight w:val="none"/>
          <w14:textFill>
            <w14:solidFill>
              <w14:schemeClr w14:val="tx1"/>
            </w14:solidFill>
          </w14:textFill>
        </w:rPr>
      </w:pPr>
      <w:r>
        <w:rPr>
          <w:rFonts w:hint="eastAsia" w:ascii="微软雅黑" w:hAnsi="微软雅黑" w:eastAsia="微软雅黑" w:cs="微软雅黑"/>
          <w:color w:val="000000" w:themeColor="text1"/>
          <w:sz w:val="40"/>
          <w:szCs w:val="40"/>
          <w:highlight w:val="none"/>
          <w14:textFill>
            <w14:solidFill>
              <w14:schemeClr w14:val="tx1"/>
            </w14:solidFill>
          </w14:textFill>
        </w:rPr>
        <w:t>中小微企业划型标准</w:t>
      </w:r>
    </w:p>
    <w:tbl>
      <w:tblPr>
        <w:tblStyle w:val="34"/>
        <w:tblW w:w="9198" w:type="dxa"/>
        <w:tblInd w:w="250" w:type="dxa"/>
        <w:tblLayout w:type="fixed"/>
        <w:tblCellMar>
          <w:top w:w="0" w:type="dxa"/>
          <w:left w:w="108" w:type="dxa"/>
          <w:bottom w:w="0" w:type="dxa"/>
          <w:right w:w="108" w:type="dxa"/>
        </w:tblCellMar>
      </w:tblPr>
      <w:tblGrid>
        <w:gridCol w:w="1960"/>
        <w:gridCol w:w="1797"/>
        <w:gridCol w:w="849"/>
        <w:gridCol w:w="1867"/>
        <w:gridCol w:w="1659"/>
        <w:gridCol w:w="1066"/>
      </w:tblGrid>
      <w:tr w14:paraId="4EC34384">
        <w:tblPrEx>
          <w:tblCellMar>
            <w:top w:w="0" w:type="dxa"/>
            <w:left w:w="108" w:type="dxa"/>
            <w:bottom w:w="0" w:type="dxa"/>
            <w:right w:w="108" w:type="dxa"/>
          </w:tblCellMar>
        </w:tblPrEx>
        <w:trPr>
          <w:trHeight w:val="702" w:hRule="atLeast"/>
        </w:trPr>
        <w:tc>
          <w:tcPr>
            <w:tcW w:w="1960" w:type="dxa"/>
            <w:tcBorders>
              <w:top w:val="single" w:color="auto" w:sz="4" w:space="0"/>
              <w:left w:val="single" w:color="auto" w:sz="4" w:space="0"/>
              <w:bottom w:val="single" w:color="auto" w:sz="4" w:space="0"/>
              <w:right w:val="single" w:color="auto" w:sz="4" w:space="0"/>
            </w:tcBorders>
            <w:vAlign w:val="center"/>
          </w:tcPr>
          <w:p w14:paraId="5F6F5CB7">
            <w:pPr>
              <w:pageBreakBefore w:val="0"/>
              <w:widowControl/>
              <w:wordWrap/>
              <w:topLinePunct w:val="0"/>
              <w:bidi w:val="0"/>
              <w:spacing w:line="560" w:lineRule="exact"/>
              <w:jc w:val="left"/>
              <w:rPr>
                <w:rFonts w:ascii="仿宋_GB2312" w:hAnsi="仿宋" w:eastAsia="仿宋_GB2312" w:cs="宋体"/>
                <w:b/>
                <w:color w:val="000000" w:themeColor="text1"/>
                <w:kern w:val="0"/>
                <w:sz w:val="24"/>
                <w:highlight w:val="none"/>
                <w14:textFill>
                  <w14:solidFill>
                    <w14:schemeClr w14:val="tx1"/>
                  </w14:solidFill>
                </w14:textFill>
              </w:rPr>
            </w:pPr>
            <w:r>
              <w:rPr>
                <w:rFonts w:hint="eastAsia" w:ascii="仿宋_GB2312" w:hAnsi="仿宋" w:eastAsia="仿宋_GB2312" w:cs="宋体"/>
                <w:b/>
                <w:color w:val="000000" w:themeColor="text1"/>
                <w:kern w:val="0"/>
                <w:sz w:val="24"/>
                <w:highlight w:val="none"/>
                <w14:textFill>
                  <w14:solidFill>
                    <w14:schemeClr w14:val="tx1"/>
                  </w14:solidFill>
                </w14:textFill>
              </w:rPr>
              <w:t>行业名称</w:t>
            </w:r>
          </w:p>
        </w:tc>
        <w:tc>
          <w:tcPr>
            <w:tcW w:w="1797" w:type="dxa"/>
            <w:tcBorders>
              <w:top w:val="single" w:color="auto" w:sz="4" w:space="0"/>
              <w:left w:val="nil"/>
              <w:bottom w:val="single" w:color="auto" w:sz="4" w:space="0"/>
              <w:right w:val="single" w:color="auto" w:sz="4" w:space="0"/>
            </w:tcBorders>
            <w:vAlign w:val="center"/>
          </w:tcPr>
          <w:p w14:paraId="7D77B903">
            <w:pPr>
              <w:pageBreakBefore w:val="0"/>
              <w:widowControl/>
              <w:wordWrap/>
              <w:topLinePunct w:val="0"/>
              <w:bidi w:val="0"/>
              <w:spacing w:line="560" w:lineRule="exact"/>
              <w:jc w:val="left"/>
              <w:rPr>
                <w:rFonts w:ascii="仿宋_GB2312" w:hAnsi="仿宋" w:eastAsia="仿宋_GB2312" w:cs="宋体"/>
                <w:b/>
                <w:color w:val="000000" w:themeColor="text1"/>
                <w:kern w:val="0"/>
                <w:sz w:val="24"/>
                <w:highlight w:val="none"/>
                <w14:textFill>
                  <w14:solidFill>
                    <w14:schemeClr w14:val="tx1"/>
                  </w14:solidFill>
                </w14:textFill>
              </w:rPr>
            </w:pPr>
            <w:r>
              <w:rPr>
                <w:rFonts w:hint="eastAsia" w:ascii="仿宋_GB2312" w:hAnsi="仿宋" w:eastAsia="仿宋_GB2312" w:cs="宋体"/>
                <w:b/>
                <w:color w:val="000000" w:themeColor="text1"/>
                <w:kern w:val="0"/>
                <w:sz w:val="24"/>
                <w:highlight w:val="none"/>
                <w14:textFill>
                  <w14:solidFill>
                    <w14:schemeClr w14:val="tx1"/>
                  </w14:solidFill>
                </w14:textFill>
              </w:rPr>
              <w:t>指标名称</w:t>
            </w:r>
          </w:p>
        </w:tc>
        <w:tc>
          <w:tcPr>
            <w:tcW w:w="849" w:type="dxa"/>
            <w:tcBorders>
              <w:top w:val="single" w:color="auto" w:sz="4" w:space="0"/>
              <w:left w:val="nil"/>
              <w:bottom w:val="single" w:color="auto" w:sz="4" w:space="0"/>
              <w:right w:val="single" w:color="auto" w:sz="4" w:space="0"/>
            </w:tcBorders>
            <w:vAlign w:val="center"/>
          </w:tcPr>
          <w:p w14:paraId="6CC881EC">
            <w:pPr>
              <w:pageBreakBefore w:val="0"/>
              <w:widowControl/>
              <w:wordWrap/>
              <w:topLinePunct w:val="0"/>
              <w:bidi w:val="0"/>
              <w:spacing w:line="560" w:lineRule="exact"/>
              <w:jc w:val="left"/>
              <w:rPr>
                <w:rFonts w:ascii="仿宋_GB2312" w:hAnsi="仿宋" w:eastAsia="仿宋_GB2312" w:cs="宋体"/>
                <w:b/>
                <w:color w:val="000000" w:themeColor="text1"/>
                <w:kern w:val="0"/>
                <w:sz w:val="24"/>
                <w:highlight w:val="none"/>
                <w14:textFill>
                  <w14:solidFill>
                    <w14:schemeClr w14:val="tx1"/>
                  </w14:solidFill>
                </w14:textFill>
              </w:rPr>
            </w:pPr>
            <w:r>
              <w:rPr>
                <w:rFonts w:hint="eastAsia" w:ascii="仿宋_GB2312" w:hAnsi="仿宋" w:eastAsia="仿宋_GB2312" w:cs="宋体"/>
                <w:b/>
                <w:color w:val="000000" w:themeColor="text1"/>
                <w:kern w:val="0"/>
                <w:sz w:val="24"/>
                <w:highlight w:val="none"/>
                <w14:textFill>
                  <w14:solidFill>
                    <w14:schemeClr w14:val="tx1"/>
                  </w14:solidFill>
                </w14:textFill>
              </w:rPr>
              <w:t>计量单位</w:t>
            </w:r>
          </w:p>
        </w:tc>
        <w:tc>
          <w:tcPr>
            <w:tcW w:w="1867" w:type="dxa"/>
            <w:tcBorders>
              <w:top w:val="single" w:color="auto" w:sz="4" w:space="0"/>
              <w:left w:val="nil"/>
              <w:bottom w:val="single" w:color="auto" w:sz="4" w:space="0"/>
              <w:right w:val="single" w:color="auto" w:sz="4" w:space="0"/>
            </w:tcBorders>
            <w:vAlign w:val="center"/>
          </w:tcPr>
          <w:p w14:paraId="5E9E8563">
            <w:pPr>
              <w:pageBreakBefore w:val="0"/>
              <w:widowControl/>
              <w:wordWrap/>
              <w:topLinePunct w:val="0"/>
              <w:bidi w:val="0"/>
              <w:spacing w:line="560" w:lineRule="exact"/>
              <w:jc w:val="left"/>
              <w:rPr>
                <w:rFonts w:ascii="仿宋_GB2312" w:hAnsi="仿宋" w:eastAsia="仿宋_GB2312" w:cs="宋体"/>
                <w:b/>
                <w:color w:val="000000" w:themeColor="text1"/>
                <w:kern w:val="0"/>
                <w:sz w:val="24"/>
                <w:highlight w:val="none"/>
                <w14:textFill>
                  <w14:solidFill>
                    <w14:schemeClr w14:val="tx1"/>
                  </w14:solidFill>
                </w14:textFill>
              </w:rPr>
            </w:pPr>
            <w:r>
              <w:rPr>
                <w:rFonts w:hint="eastAsia" w:ascii="仿宋_GB2312" w:hAnsi="仿宋" w:eastAsia="仿宋_GB2312" w:cs="宋体"/>
                <w:b/>
                <w:color w:val="000000" w:themeColor="text1"/>
                <w:kern w:val="0"/>
                <w:sz w:val="24"/>
                <w:highlight w:val="none"/>
                <w14:textFill>
                  <w14:solidFill>
                    <w14:schemeClr w14:val="tx1"/>
                  </w14:solidFill>
                </w14:textFill>
              </w:rPr>
              <w:t>中型</w:t>
            </w:r>
          </w:p>
        </w:tc>
        <w:tc>
          <w:tcPr>
            <w:tcW w:w="1659" w:type="dxa"/>
            <w:tcBorders>
              <w:top w:val="single" w:color="auto" w:sz="4" w:space="0"/>
              <w:left w:val="nil"/>
              <w:bottom w:val="single" w:color="auto" w:sz="4" w:space="0"/>
              <w:right w:val="single" w:color="auto" w:sz="4" w:space="0"/>
            </w:tcBorders>
            <w:vAlign w:val="center"/>
          </w:tcPr>
          <w:p w14:paraId="0F4433D8">
            <w:pPr>
              <w:pageBreakBefore w:val="0"/>
              <w:widowControl/>
              <w:wordWrap/>
              <w:topLinePunct w:val="0"/>
              <w:bidi w:val="0"/>
              <w:spacing w:line="560" w:lineRule="exact"/>
              <w:jc w:val="left"/>
              <w:rPr>
                <w:rFonts w:ascii="仿宋_GB2312" w:hAnsi="仿宋" w:eastAsia="仿宋_GB2312" w:cs="宋体"/>
                <w:b/>
                <w:color w:val="000000" w:themeColor="text1"/>
                <w:kern w:val="0"/>
                <w:sz w:val="24"/>
                <w:highlight w:val="none"/>
                <w14:textFill>
                  <w14:solidFill>
                    <w14:schemeClr w14:val="tx1"/>
                  </w14:solidFill>
                </w14:textFill>
              </w:rPr>
            </w:pPr>
            <w:r>
              <w:rPr>
                <w:rFonts w:hint="eastAsia" w:ascii="仿宋_GB2312" w:hAnsi="仿宋" w:eastAsia="仿宋_GB2312" w:cs="宋体"/>
                <w:b/>
                <w:color w:val="000000" w:themeColor="text1"/>
                <w:kern w:val="0"/>
                <w:sz w:val="24"/>
                <w:highlight w:val="none"/>
                <w14:textFill>
                  <w14:solidFill>
                    <w14:schemeClr w14:val="tx1"/>
                  </w14:solidFill>
                </w14:textFill>
              </w:rPr>
              <w:t>小型</w:t>
            </w:r>
          </w:p>
        </w:tc>
        <w:tc>
          <w:tcPr>
            <w:tcW w:w="1066" w:type="dxa"/>
            <w:tcBorders>
              <w:top w:val="single" w:color="auto" w:sz="4" w:space="0"/>
              <w:left w:val="nil"/>
              <w:bottom w:val="single" w:color="auto" w:sz="4" w:space="0"/>
              <w:right w:val="single" w:color="auto" w:sz="4" w:space="0"/>
            </w:tcBorders>
            <w:vAlign w:val="center"/>
          </w:tcPr>
          <w:p w14:paraId="0CEE85FB">
            <w:pPr>
              <w:pageBreakBefore w:val="0"/>
              <w:widowControl/>
              <w:wordWrap/>
              <w:topLinePunct w:val="0"/>
              <w:bidi w:val="0"/>
              <w:spacing w:line="560" w:lineRule="exact"/>
              <w:jc w:val="left"/>
              <w:rPr>
                <w:rFonts w:ascii="仿宋_GB2312" w:hAnsi="仿宋" w:eastAsia="仿宋_GB2312" w:cs="宋体"/>
                <w:b/>
                <w:color w:val="000000" w:themeColor="text1"/>
                <w:kern w:val="0"/>
                <w:sz w:val="24"/>
                <w:highlight w:val="none"/>
                <w14:textFill>
                  <w14:solidFill>
                    <w14:schemeClr w14:val="tx1"/>
                  </w14:solidFill>
                </w14:textFill>
              </w:rPr>
            </w:pPr>
            <w:r>
              <w:rPr>
                <w:rFonts w:hint="eastAsia" w:ascii="仿宋_GB2312" w:hAnsi="仿宋" w:eastAsia="仿宋_GB2312" w:cs="宋体"/>
                <w:b/>
                <w:color w:val="000000" w:themeColor="text1"/>
                <w:kern w:val="0"/>
                <w:sz w:val="24"/>
                <w:highlight w:val="none"/>
                <w14:textFill>
                  <w14:solidFill>
                    <w14:schemeClr w14:val="tx1"/>
                  </w14:solidFill>
                </w14:textFill>
              </w:rPr>
              <w:t>微型</w:t>
            </w:r>
          </w:p>
        </w:tc>
      </w:tr>
      <w:tr w14:paraId="0E67503B">
        <w:tblPrEx>
          <w:tblCellMar>
            <w:top w:w="0" w:type="dxa"/>
            <w:left w:w="108" w:type="dxa"/>
            <w:bottom w:w="0" w:type="dxa"/>
            <w:right w:w="108" w:type="dxa"/>
          </w:tblCellMar>
        </w:tblPrEx>
        <w:trPr>
          <w:trHeight w:val="356" w:hRule="atLeast"/>
        </w:trPr>
        <w:tc>
          <w:tcPr>
            <w:tcW w:w="1960" w:type="dxa"/>
            <w:tcBorders>
              <w:top w:val="nil"/>
              <w:left w:val="single" w:color="auto" w:sz="4" w:space="0"/>
              <w:bottom w:val="single" w:color="auto" w:sz="4" w:space="0"/>
              <w:right w:val="single" w:color="auto" w:sz="4" w:space="0"/>
            </w:tcBorders>
            <w:vAlign w:val="bottom"/>
          </w:tcPr>
          <w:p w14:paraId="0B2DC531">
            <w:pPr>
              <w:pageBreakBefore w:val="0"/>
              <w:widowControl/>
              <w:wordWrap/>
              <w:topLinePunct w:val="0"/>
              <w:bidi w:val="0"/>
              <w:spacing w:line="560" w:lineRule="exact"/>
              <w:jc w:val="center"/>
              <w:rPr>
                <w:rFonts w:ascii="仿宋_GB2312" w:hAnsi="仿宋" w:eastAsia="仿宋_GB2312" w:cs="宋体"/>
                <w:b/>
                <w:bCs/>
                <w:color w:val="000000" w:themeColor="text1"/>
                <w:kern w:val="0"/>
                <w:sz w:val="20"/>
                <w:szCs w:val="20"/>
                <w:highlight w:val="none"/>
                <w14:textFill>
                  <w14:solidFill>
                    <w14:schemeClr w14:val="tx1"/>
                  </w14:solidFill>
                </w14:textFill>
              </w:rPr>
            </w:pPr>
            <w:r>
              <w:rPr>
                <w:rFonts w:hint="eastAsia" w:ascii="仿宋_GB2312" w:hAnsi="仿宋" w:eastAsia="仿宋_GB2312" w:cs="宋体"/>
                <w:b/>
                <w:bCs/>
                <w:color w:val="000000" w:themeColor="text1"/>
                <w:kern w:val="0"/>
                <w:sz w:val="20"/>
                <w:szCs w:val="20"/>
                <w:highlight w:val="none"/>
                <w14:textFill>
                  <w14:solidFill>
                    <w14:schemeClr w14:val="tx1"/>
                  </w14:solidFill>
                </w14:textFill>
              </w:rPr>
              <w:t>农、林、牧、渔</w:t>
            </w:r>
          </w:p>
        </w:tc>
        <w:tc>
          <w:tcPr>
            <w:tcW w:w="1797" w:type="dxa"/>
            <w:tcBorders>
              <w:top w:val="nil"/>
              <w:left w:val="nil"/>
              <w:bottom w:val="single" w:color="auto" w:sz="4" w:space="0"/>
              <w:right w:val="single" w:color="auto" w:sz="4" w:space="0"/>
            </w:tcBorders>
            <w:vAlign w:val="center"/>
          </w:tcPr>
          <w:p w14:paraId="7E620244">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营业收入（Y）</w:t>
            </w:r>
          </w:p>
        </w:tc>
        <w:tc>
          <w:tcPr>
            <w:tcW w:w="849" w:type="dxa"/>
            <w:tcBorders>
              <w:top w:val="nil"/>
              <w:left w:val="nil"/>
              <w:bottom w:val="single" w:color="auto" w:sz="4" w:space="0"/>
              <w:right w:val="single" w:color="auto" w:sz="4" w:space="0"/>
            </w:tcBorders>
            <w:vAlign w:val="center"/>
          </w:tcPr>
          <w:p w14:paraId="6333F6ED">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万元</w:t>
            </w:r>
          </w:p>
        </w:tc>
        <w:tc>
          <w:tcPr>
            <w:tcW w:w="1867" w:type="dxa"/>
            <w:tcBorders>
              <w:top w:val="nil"/>
              <w:left w:val="nil"/>
              <w:bottom w:val="single" w:color="auto" w:sz="4" w:space="0"/>
              <w:right w:val="single" w:color="auto" w:sz="4" w:space="0"/>
            </w:tcBorders>
            <w:vAlign w:val="center"/>
          </w:tcPr>
          <w:p w14:paraId="5C4B2B99">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500≤Y＜20000</w:t>
            </w:r>
          </w:p>
        </w:tc>
        <w:tc>
          <w:tcPr>
            <w:tcW w:w="1659" w:type="dxa"/>
            <w:tcBorders>
              <w:top w:val="nil"/>
              <w:left w:val="nil"/>
              <w:bottom w:val="single" w:color="auto" w:sz="4" w:space="0"/>
              <w:right w:val="single" w:color="auto" w:sz="4" w:space="0"/>
            </w:tcBorders>
            <w:vAlign w:val="center"/>
          </w:tcPr>
          <w:p w14:paraId="545B7F88">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50≤Y＜500</w:t>
            </w:r>
          </w:p>
        </w:tc>
        <w:tc>
          <w:tcPr>
            <w:tcW w:w="1066" w:type="dxa"/>
            <w:tcBorders>
              <w:top w:val="nil"/>
              <w:left w:val="nil"/>
              <w:bottom w:val="single" w:color="auto" w:sz="4" w:space="0"/>
              <w:right w:val="single" w:color="auto" w:sz="4" w:space="0"/>
            </w:tcBorders>
            <w:vAlign w:val="center"/>
          </w:tcPr>
          <w:p w14:paraId="42810E99">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Y＜50</w:t>
            </w:r>
          </w:p>
        </w:tc>
      </w:tr>
      <w:tr w14:paraId="0E9C9B00">
        <w:tblPrEx>
          <w:tblCellMar>
            <w:top w:w="0" w:type="dxa"/>
            <w:left w:w="108" w:type="dxa"/>
            <w:bottom w:w="0" w:type="dxa"/>
            <w:right w:w="108" w:type="dxa"/>
          </w:tblCellMar>
        </w:tblPrEx>
        <w:trPr>
          <w:trHeight w:val="356" w:hRule="atLeast"/>
        </w:trPr>
        <w:tc>
          <w:tcPr>
            <w:tcW w:w="1960" w:type="dxa"/>
            <w:vMerge w:val="restart"/>
            <w:tcBorders>
              <w:top w:val="nil"/>
              <w:left w:val="single" w:color="auto" w:sz="4" w:space="0"/>
              <w:bottom w:val="single" w:color="auto" w:sz="4" w:space="0"/>
              <w:right w:val="single" w:color="auto" w:sz="4" w:space="0"/>
            </w:tcBorders>
            <w:vAlign w:val="bottom"/>
          </w:tcPr>
          <w:p w14:paraId="7E72FFCD">
            <w:pPr>
              <w:pageBreakBefore w:val="0"/>
              <w:widowControl/>
              <w:wordWrap/>
              <w:topLinePunct w:val="0"/>
              <w:bidi w:val="0"/>
              <w:spacing w:line="560" w:lineRule="exact"/>
              <w:jc w:val="center"/>
              <w:rPr>
                <w:rFonts w:ascii="仿宋_GB2312" w:hAnsi="仿宋" w:eastAsia="仿宋_GB2312" w:cs="宋体"/>
                <w:b/>
                <w:bCs/>
                <w:color w:val="000000" w:themeColor="text1"/>
                <w:kern w:val="0"/>
                <w:sz w:val="20"/>
                <w:szCs w:val="20"/>
                <w:highlight w:val="none"/>
                <w14:textFill>
                  <w14:solidFill>
                    <w14:schemeClr w14:val="tx1"/>
                  </w14:solidFill>
                </w14:textFill>
              </w:rPr>
            </w:pPr>
            <w:r>
              <w:rPr>
                <w:rFonts w:hint="eastAsia" w:ascii="仿宋_GB2312" w:hAnsi="仿宋" w:eastAsia="仿宋_GB2312" w:cs="宋体"/>
                <w:b/>
                <w:bCs/>
                <w:color w:val="000000" w:themeColor="text1"/>
                <w:kern w:val="0"/>
                <w:sz w:val="20"/>
                <w:szCs w:val="20"/>
                <w:highlight w:val="none"/>
                <w14:textFill>
                  <w14:solidFill>
                    <w14:schemeClr w14:val="tx1"/>
                  </w14:solidFill>
                </w14:textFill>
              </w:rPr>
              <w:t>工业</w:t>
            </w:r>
          </w:p>
        </w:tc>
        <w:tc>
          <w:tcPr>
            <w:tcW w:w="1797" w:type="dxa"/>
            <w:tcBorders>
              <w:top w:val="nil"/>
              <w:left w:val="nil"/>
              <w:bottom w:val="single" w:color="auto" w:sz="4" w:space="0"/>
              <w:right w:val="single" w:color="auto" w:sz="4" w:space="0"/>
            </w:tcBorders>
            <w:vAlign w:val="center"/>
          </w:tcPr>
          <w:p w14:paraId="026178FC">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从业人员（X）</w:t>
            </w:r>
          </w:p>
        </w:tc>
        <w:tc>
          <w:tcPr>
            <w:tcW w:w="849" w:type="dxa"/>
            <w:tcBorders>
              <w:top w:val="nil"/>
              <w:left w:val="nil"/>
              <w:bottom w:val="single" w:color="auto" w:sz="4" w:space="0"/>
              <w:right w:val="single" w:color="auto" w:sz="4" w:space="0"/>
            </w:tcBorders>
            <w:vAlign w:val="center"/>
          </w:tcPr>
          <w:p w14:paraId="77309419">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人</w:t>
            </w:r>
          </w:p>
        </w:tc>
        <w:tc>
          <w:tcPr>
            <w:tcW w:w="1867" w:type="dxa"/>
            <w:tcBorders>
              <w:top w:val="nil"/>
              <w:left w:val="nil"/>
              <w:bottom w:val="single" w:color="auto" w:sz="4" w:space="0"/>
              <w:right w:val="single" w:color="auto" w:sz="4" w:space="0"/>
            </w:tcBorders>
            <w:vAlign w:val="center"/>
          </w:tcPr>
          <w:p w14:paraId="486A6345">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300≤X＜1000</w:t>
            </w:r>
          </w:p>
        </w:tc>
        <w:tc>
          <w:tcPr>
            <w:tcW w:w="1659" w:type="dxa"/>
            <w:tcBorders>
              <w:top w:val="nil"/>
              <w:left w:val="nil"/>
              <w:bottom w:val="single" w:color="auto" w:sz="4" w:space="0"/>
              <w:right w:val="single" w:color="auto" w:sz="4" w:space="0"/>
            </w:tcBorders>
            <w:vAlign w:val="center"/>
          </w:tcPr>
          <w:p w14:paraId="58F48C6E">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20≤X＜300</w:t>
            </w:r>
          </w:p>
        </w:tc>
        <w:tc>
          <w:tcPr>
            <w:tcW w:w="1066" w:type="dxa"/>
            <w:tcBorders>
              <w:top w:val="nil"/>
              <w:left w:val="nil"/>
              <w:bottom w:val="single" w:color="auto" w:sz="4" w:space="0"/>
              <w:right w:val="single" w:color="auto" w:sz="4" w:space="0"/>
            </w:tcBorders>
            <w:vAlign w:val="center"/>
          </w:tcPr>
          <w:p w14:paraId="7F53C337">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X＜20</w:t>
            </w:r>
          </w:p>
        </w:tc>
      </w:tr>
      <w:tr w14:paraId="2D8B8996">
        <w:tblPrEx>
          <w:tblCellMar>
            <w:top w:w="0" w:type="dxa"/>
            <w:left w:w="108" w:type="dxa"/>
            <w:bottom w:w="0" w:type="dxa"/>
            <w:right w:w="108" w:type="dxa"/>
          </w:tblCellMar>
        </w:tblPrEx>
        <w:trPr>
          <w:trHeight w:val="356" w:hRule="atLeast"/>
        </w:trPr>
        <w:tc>
          <w:tcPr>
            <w:tcW w:w="1960" w:type="dxa"/>
            <w:vMerge w:val="continue"/>
            <w:tcBorders>
              <w:top w:val="nil"/>
              <w:left w:val="single" w:color="auto" w:sz="4" w:space="0"/>
              <w:bottom w:val="single" w:color="auto" w:sz="4" w:space="0"/>
              <w:right w:val="single" w:color="auto" w:sz="4" w:space="0"/>
            </w:tcBorders>
            <w:vAlign w:val="center"/>
          </w:tcPr>
          <w:p w14:paraId="5009BEFA">
            <w:pPr>
              <w:pageBreakBefore w:val="0"/>
              <w:widowControl/>
              <w:wordWrap/>
              <w:topLinePunct w:val="0"/>
              <w:bidi w:val="0"/>
              <w:spacing w:line="560" w:lineRule="exact"/>
              <w:jc w:val="left"/>
              <w:rPr>
                <w:rFonts w:ascii="仿宋_GB2312" w:hAnsi="仿宋" w:eastAsia="仿宋_GB2312" w:cs="宋体"/>
                <w:b/>
                <w:bCs/>
                <w:color w:val="000000" w:themeColor="text1"/>
                <w:kern w:val="0"/>
                <w:sz w:val="20"/>
                <w:szCs w:val="20"/>
                <w:highlight w:val="none"/>
                <w14:textFill>
                  <w14:solidFill>
                    <w14:schemeClr w14:val="tx1"/>
                  </w14:solidFill>
                </w14:textFill>
              </w:rPr>
            </w:pPr>
          </w:p>
        </w:tc>
        <w:tc>
          <w:tcPr>
            <w:tcW w:w="1797" w:type="dxa"/>
            <w:tcBorders>
              <w:top w:val="nil"/>
              <w:left w:val="nil"/>
              <w:bottom w:val="single" w:color="auto" w:sz="4" w:space="0"/>
              <w:right w:val="single" w:color="auto" w:sz="4" w:space="0"/>
            </w:tcBorders>
            <w:vAlign w:val="center"/>
          </w:tcPr>
          <w:p w14:paraId="4D57277F">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营业收入（Y）</w:t>
            </w:r>
          </w:p>
        </w:tc>
        <w:tc>
          <w:tcPr>
            <w:tcW w:w="849" w:type="dxa"/>
            <w:tcBorders>
              <w:top w:val="nil"/>
              <w:left w:val="nil"/>
              <w:bottom w:val="single" w:color="auto" w:sz="4" w:space="0"/>
              <w:right w:val="single" w:color="auto" w:sz="4" w:space="0"/>
            </w:tcBorders>
            <w:vAlign w:val="center"/>
          </w:tcPr>
          <w:p w14:paraId="01D763B2">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万元</w:t>
            </w:r>
          </w:p>
        </w:tc>
        <w:tc>
          <w:tcPr>
            <w:tcW w:w="1867" w:type="dxa"/>
            <w:tcBorders>
              <w:top w:val="nil"/>
              <w:left w:val="nil"/>
              <w:bottom w:val="single" w:color="auto" w:sz="4" w:space="0"/>
              <w:right w:val="single" w:color="auto" w:sz="4" w:space="0"/>
            </w:tcBorders>
            <w:vAlign w:val="center"/>
          </w:tcPr>
          <w:p w14:paraId="71522EF8">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2000≤Y＜40000</w:t>
            </w:r>
          </w:p>
        </w:tc>
        <w:tc>
          <w:tcPr>
            <w:tcW w:w="1659" w:type="dxa"/>
            <w:tcBorders>
              <w:top w:val="nil"/>
              <w:left w:val="nil"/>
              <w:bottom w:val="single" w:color="auto" w:sz="4" w:space="0"/>
              <w:right w:val="single" w:color="auto" w:sz="4" w:space="0"/>
            </w:tcBorders>
            <w:vAlign w:val="center"/>
          </w:tcPr>
          <w:p w14:paraId="45F2074A">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300≤Y＜2000</w:t>
            </w:r>
          </w:p>
        </w:tc>
        <w:tc>
          <w:tcPr>
            <w:tcW w:w="1066" w:type="dxa"/>
            <w:tcBorders>
              <w:top w:val="nil"/>
              <w:left w:val="nil"/>
              <w:bottom w:val="single" w:color="auto" w:sz="4" w:space="0"/>
              <w:right w:val="single" w:color="auto" w:sz="4" w:space="0"/>
            </w:tcBorders>
            <w:vAlign w:val="center"/>
          </w:tcPr>
          <w:p w14:paraId="65F4BE91">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Y＜300</w:t>
            </w:r>
          </w:p>
        </w:tc>
      </w:tr>
      <w:tr w14:paraId="22170B11">
        <w:tblPrEx>
          <w:tblCellMar>
            <w:top w:w="0" w:type="dxa"/>
            <w:left w:w="108" w:type="dxa"/>
            <w:bottom w:w="0" w:type="dxa"/>
            <w:right w:w="108" w:type="dxa"/>
          </w:tblCellMar>
        </w:tblPrEx>
        <w:trPr>
          <w:trHeight w:val="356" w:hRule="atLeast"/>
        </w:trPr>
        <w:tc>
          <w:tcPr>
            <w:tcW w:w="1960" w:type="dxa"/>
            <w:vMerge w:val="restart"/>
            <w:tcBorders>
              <w:top w:val="nil"/>
              <w:left w:val="single" w:color="auto" w:sz="4" w:space="0"/>
              <w:bottom w:val="single" w:color="auto" w:sz="4" w:space="0"/>
              <w:right w:val="single" w:color="auto" w:sz="4" w:space="0"/>
            </w:tcBorders>
            <w:vAlign w:val="bottom"/>
          </w:tcPr>
          <w:p w14:paraId="5D9031C0">
            <w:pPr>
              <w:pageBreakBefore w:val="0"/>
              <w:widowControl/>
              <w:wordWrap/>
              <w:topLinePunct w:val="0"/>
              <w:bidi w:val="0"/>
              <w:spacing w:line="560" w:lineRule="exact"/>
              <w:jc w:val="center"/>
              <w:rPr>
                <w:rFonts w:ascii="仿宋_GB2312" w:hAnsi="仿宋" w:eastAsia="仿宋_GB2312" w:cs="宋体"/>
                <w:b/>
                <w:bCs/>
                <w:color w:val="000000" w:themeColor="text1"/>
                <w:kern w:val="0"/>
                <w:sz w:val="20"/>
                <w:szCs w:val="20"/>
                <w:highlight w:val="none"/>
                <w14:textFill>
                  <w14:solidFill>
                    <w14:schemeClr w14:val="tx1"/>
                  </w14:solidFill>
                </w14:textFill>
              </w:rPr>
            </w:pPr>
            <w:r>
              <w:rPr>
                <w:rFonts w:hint="eastAsia" w:ascii="仿宋_GB2312" w:hAnsi="仿宋" w:eastAsia="仿宋_GB2312" w:cs="宋体"/>
                <w:b/>
                <w:bCs/>
                <w:color w:val="000000" w:themeColor="text1"/>
                <w:kern w:val="0"/>
                <w:sz w:val="20"/>
                <w:szCs w:val="20"/>
                <w:highlight w:val="none"/>
                <w14:textFill>
                  <w14:solidFill>
                    <w14:schemeClr w14:val="tx1"/>
                  </w14:solidFill>
                </w14:textFill>
              </w:rPr>
              <w:t>建筑业</w:t>
            </w:r>
          </w:p>
        </w:tc>
        <w:tc>
          <w:tcPr>
            <w:tcW w:w="1797" w:type="dxa"/>
            <w:tcBorders>
              <w:top w:val="nil"/>
              <w:left w:val="nil"/>
              <w:bottom w:val="single" w:color="auto" w:sz="4" w:space="0"/>
              <w:right w:val="single" w:color="auto" w:sz="4" w:space="0"/>
            </w:tcBorders>
            <w:vAlign w:val="center"/>
          </w:tcPr>
          <w:p w14:paraId="3C319ED7">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营业收入（Y）</w:t>
            </w:r>
          </w:p>
        </w:tc>
        <w:tc>
          <w:tcPr>
            <w:tcW w:w="849" w:type="dxa"/>
            <w:tcBorders>
              <w:top w:val="nil"/>
              <w:left w:val="nil"/>
              <w:bottom w:val="single" w:color="auto" w:sz="4" w:space="0"/>
              <w:right w:val="single" w:color="auto" w:sz="4" w:space="0"/>
            </w:tcBorders>
            <w:vAlign w:val="center"/>
          </w:tcPr>
          <w:p w14:paraId="3DB652B4">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万元</w:t>
            </w:r>
          </w:p>
        </w:tc>
        <w:tc>
          <w:tcPr>
            <w:tcW w:w="1867" w:type="dxa"/>
            <w:tcBorders>
              <w:top w:val="nil"/>
              <w:left w:val="nil"/>
              <w:bottom w:val="single" w:color="auto" w:sz="4" w:space="0"/>
              <w:right w:val="single" w:color="auto" w:sz="4" w:space="0"/>
            </w:tcBorders>
            <w:vAlign w:val="center"/>
          </w:tcPr>
          <w:p w14:paraId="692BF9C5">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6000≤Y＜80000</w:t>
            </w:r>
          </w:p>
        </w:tc>
        <w:tc>
          <w:tcPr>
            <w:tcW w:w="1659" w:type="dxa"/>
            <w:tcBorders>
              <w:top w:val="nil"/>
              <w:left w:val="nil"/>
              <w:bottom w:val="single" w:color="auto" w:sz="4" w:space="0"/>
              <w:right w:val="single" w:color="auto" w:sz="4" w:space="0"/>
            </w:tcBorders>
            <w:vAlign w:val="center"/>
          </w:tcPr>
          <w:p w14:paraId="18703538">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300≤Y＜6000</w:t>
            </w:r>
          </w:p>
        </w:tc>
        <w:tc>
          <w:tcPr>
            <w:tcW w:w="1066" w:type="dxa"/>
            <w:tcBorders>
              <w:top w:val="nil"/>
              <w:left w:val="nil"/>
              <w:bottom w:val="single" w:color="auto" w:sz="4" w:space="0"/>
              <w:right w:val="single" w:color="auto" w:sz="4" w:space="0"/>
            </w:tcBorders>
            <w:vAlign w:val="center"/>
          </w:tcPr>
          <w:p w14:paraId="6BF15272">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Y＜300</w:t>
            </w:r>
          </w:p>
        </w:tc>
      </w:tr>
      <w:tr w14:paraId="4C15BBFF">
        <w:tblPrEx>
          <w:tblCellMar>
            <w:top w:w="0" w:type="dxa"/>
            <w:left w:w="108" w:type="dxa"/>
            <w:bottom w:w="0" w:type="dxa"/>
            <w:right w:w="108" w:type="dxa"/>
          </w:tblCellMar>
        </w:tblPrEx>
        <w:trPr>
          <w:trHeight w:val="356" w:hRule="atLeast"/>
        </w:trPr>
        <w:tc>
          <w:tcPr>
            <w:tcW w:w="1960" w:type="dxa"/>
            <w:vMerge w:val="continue"/>
            <w:tcBorders>
              <w:top w:val="nil"/>
              <w:left w:val="single" w:color="auto" w:sz="4" w:space="0"/>
              <w:bottom w:val="single" w:color="auto" w:sz="4" w:space="0"/>
              <w:right w:val="single" w:color="auto" w:sz="4" w:space="0"/>
            </w:tcBorders>
            <w:vAlign w:val="center"/>
          </w:tcPr>
          <w:p w14:paraId="78ACC29E">
            <w:pPr>
              <w:pageBreakBefore w:val="0"/>
              <w:widowControl/>
              <w:wordWrap/>
              <w:topLinePunct w:val="0"/>
              <w:bidi w:val="0"/>
              <w:spacing w:line="560" w:lineRule="exact"/>
              <w:jc w:val="left"/>
              <w:rPr>
                <w:rFonts w:ascii="仿宋_GB2312" w:hAnsi="仿宋" w:eastAsia="仿宋_GB2312" w:cs="宋体"/>
                <w:b/>
                <w:bCs/>
                <w:color w:val="000000" w:themeColor="text1"/>
                <w:kern w:val="0"/>
                <w:sz w:val="20"/>
                <w:szCs w:val="20"/>
                <w:highlight w:val="none"/>
                <w14:textFill>
                  <w14:solidFill>
                    <w14:schemeClr w14:val="tx1"/>
                  </w14:solidFill>
                </w14:textFill>
              </w:rPr>
            </w:pPr>
          </w:p>
        </w:tc>
        <w:tc>
          <w:tcPr>
            <w:tcW w:w="1797" w:type="dxa"/>
            <w:tcBorders>
              <w:top w:val="nil"/>
              <w:left w:val="nil"/>
              <w:bottom w:val="single" w:color="auto" w:sz="4" w:space="0"/>
              <w:right w:val="single" w:color="auto" w:sz="4" w:space="0"/>
            </w:tcBorders>
            <w:vAlign w:val="center"/>
          </w:tcPr>
          <w:p w14:paraId="53AC0926">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资产总额（Z）</w:t>
            </w:r>
          </w:p>
        </w:tc>
        <w:tc>
          <w:tcPr>
            <w:tcW w:w="849" w:type="dxa"/>
            <w:tcBorders>
              <w:top w:val="nil"/>
              <w:left w:val="nil"/>
              <w:bottom w:val="single" w:color="auto" w:sz="4" w:space="0"/>
              <w:right w:val="single" w:color="auto" w:sz="4" w:space="0"/>
            </w:tcBorders>
            <w:vAlign w:val="center"/>
          </w:tcPr>
          <w:p w14:paraId="0307367D">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万元</w:t>
            </w:r>
          </w:p>
        </w:tc>
        <w:tc>
          <w:tcPr>
            <w:tcW w:w="1867" w:type="dxa"/>
            <w:tcBorders>
              <w:top w:val="nil"/>
              <w:left w:val="nil"/>
              <w:bottom w:val="single" w:color="auto" w:sz="4" w:space="0"/>
              <w:right w:val="single" w:color="auto" w:sz="4" w:space="0"/>
            </w:tcBorders>
            <w:vAlign w:val="center"/>
          </w:tcPr>
          <w:p w14:paraId="6F4EBCE1">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5000≤Z＜80000</w:t>
            </w:r>
          </w:p>
        </w:tc>
        <w:tc>
          <w:tcPr>
            <w:tcW w:w="1659" w:type="dxa"/>
            <w:tcBorders>
              <w:top w:val="nil"/>
              <w:left w:val="nil"/>
              <w:bottom w:val="single" w:color="auto" w:sz="4" w:space="0"/>
              <w:right w:val="single" w:color="auto" w:sz="4" w:space="0"/>
            </w:tcBorders>
            <w:vAlign w:val="center"/>
          </w:tcPr>
          <w:p w14:paraId="1243773F">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300≤Z＜5000</w:t>
            </w:r>
          </w:p>
        </w:tc>
        <w:tc>
          <w:tcPr>
            <w:tcW w:w="1066" w:type="dxa"/>
            <w:tcBorders>
              <w:top w:val="nil"/>
              <w:left w:val="nil"/>
              <w:bottom w:val="single" w:color="auto" w:sz="4" w:space="0"/>
              <w:right w:val="single" w:color="auto" w:sz="4" w:space="0"/>
            </w:tcBorders>
            <w:vAlign w:val="center"/>
          </w:tcPr>
          <w:p w14:paraId="041C2270">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Z＜300</w:t>
            </w:r>
          </w:p>
        </w:tc>
      </w:tr>
      <w:tr w14:paraId="1E8881A0">
        <w:tblPrEx>
          <w:tblCellMar>
            <w:top w:w="0" w:type="dxa"/>
            <w:left w:w="108" w:type="dxa"/>
            <w:bottom w:w="0" w:type="dxa"/>
            <w:right w:w="108" w:type="dxa"/>
          </w:tblCellMar>
        </w:tblPrEx>
        <w:trPr>
          <w:trHeight w:val="356" w:hRule="atLeast"/>
        </w:trPr>
        <w:tc>
          <w:tcPr>
            <w:tcW w:w="1960" w:type="dxa"/>
            <w:vMerge w:val="restart"/>
            <w:tcBorders>
              <w:top w:val="nil"/>
              <w:left w:val="single" w:color="auto" w:sz="4" w:space="0"/>
              <w:bottom w:val="single" w:color="auto" w:sz="4" w:space="0"/>
              <w:right w:val="single" w:color="auto" w:sz="4" w:space="0"/>
            </w:tcBorders>
            <w:vAlign w:val="bottom"/>
          </w:tcPr>
          <w:p w14:paraId="2EB9D05B">
            <w:pPr>
              <w:pageBreakBefore w:val="0"/>
              <w:widowControl/>
              <w:wordWrap/>
              <w:topLinePunct w:val="0"/>
              <w:bidi w:val="0"/>
              <w:spacing w:line="560" w:lineRule="exact"/>
              <w:jc w:val="center"/>
              <w:rPr>
                <w:rFonts w:ascii="仿宋_GB2312" w:hAnsi="仿宋" w:eastAsia="仿宋_GB2312" w:cs="宋体"/>
                <w:b/>
                <w:bCs/>
                <w:color w:val="000000" w:themeColor="text1"/>
                <w:kern w:val="0"/>
                <w:sz w:val="20"/>
                <w:szCs w:val="20"/>
                <w:highlight w:val="none"/>
                <w14:textFill>
                  <w14:solidFill>
                    <w14:schemeClr w14:val="tx1"/>
                  </w14:solidFill>
                </w14:textFill>
              </w:rPr>
            </w:pPr>
            <w:r>
              <w:rPr>
                <w:rFonts w:hint="eastAsia" w:ascii="仿宋_GB2312" w:hAnsi="仿宋" w:eastAsia="仿宋_GB2312" w:cs="宋体"/>
                <w:b/>
                <w:bCs/>
                <w:color w:val="000000" w:themeColor="text1"/>
                <w:kern w:val="0"/>
                <w:sz w:val="20"/>
                <w:szCs w:val="20"/>
                <w:highlight w:val="none"/>
                <w14:textFill>
                  <w14:solidFill>
                    <w14:schemeClr w14:val="tx1"/>
                  </w14:solidFill>
                </w14:textFill>
              </w:rPr>
              <w:t>批发业</w:t>
            </w:r>
          </w:p>
        </w:tc>
        <w:tc>
          <w:tcPr>
            <w:tcW w:w="1797" w:type="dxa"/>
            <w:tcBorders>
              <w:top w:val="nil"/>
              <w:left w:val="nil"/>
              <w:bottom w:val="single" w:color="auto" w:sz="4" w:space="0"/>
              <w:right w:val="single" w:color="auto" w:sz="4" w:space="0"/>
            </w:tcBorders>
            <w:vAlign w:val="center"/>
          </w:tcPr>
          <w:p w14:paraId="7D40B645">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从业人员（X）</w:t>
            </w:r>
          </w:p>
        </w:tc>
        <w:tc>
          <w:tcPr>
            <w:tcW w:w="849" w:type="dxa"/>
            <w:tcBorders>
              <w:top w:val="nil"/>
              <w:left w:val="nil"/>
              <w:bottom w:val="single" w:color="auto" w:sz="4" w:space="0"/>
              <w:right w:val="single" w:color="auto" w:sz="4" w:space="0"/>
            </w:tcBorders>
            <w:vAlign w:val="center"/>
          </w:tcPr>
          <w:p w14:paraId="69619CB5">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人</w:t>
            </w:r>
          </w:p>
        </w:tc>
        <w:tc>
          <w:tcPr>
            <w:tcW w:w="1867" w:type="dxa"/>
            <w:tcBorders>
              <w:top w:val="nil"/>
              <w:left w:val="nil"/>
              <w:bottom w:val="single" w:color="auto" w:sz="4" w:space="0"/>
              <w:right w:val="single" w:color="auto" w:sz="4" w:space="0"/>
            </w:tcBorders>
            <w:vAlign w:val="center"/>
          </w:tcPr>
          <w:p w14:paraId="4A9D8023">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20≤X＜200</w:t>
            </w:r>
          </w:p>
        </w:tc>
        <w:tc>
          <w:tcPr>
            <w:tcW w:w="1659" w:type="dxa"/>
            <w:tcBorders>
              <w:top w:val="nil"/>
              <w:left w:val="nil"/>
              <w:bottom w:val="single" w:color="auto" w:sz="4" w:space="0"/>
              <w:right w:val="single" w:color="auto" w:sz="4" w:space="0"/>
            </w:tcBorders>
            <w:vAlign w:val="center"/>
          </w:tcPr>
          <w:p w14:paraId="4CFCF482">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5≤X＜20</w:t>
            </w:r>
          </w:p>
        </w:tc>
        <w:tc>
          <w:tcPr>
            <w:tcW w:w="1066" w:type="dxa"/>
            <w:tcBorders>
              <w:top w:val="nil"/>
              <w:left w:val="nil"/>
              <w:bottom w:val="single" w:color="auto" w:sz="4" w:space="0"/>
              <w:right w:val="single" w:color="auto" w:sz="4" w:space="0"/>
            </w:tcBorders>
            <w:vAlign w:val="center"/>
          </w:tcPr>
          <w:p w14:paraId="0DC64D03">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X＜5</w:t>
            </w:r>
          </w:p>
        </w:tc>
      </w:tr>
      <w:tr w14:paraId="1B00DDDB">
        <w:tblPrEx>
          <w:tblCellMar>
            <w:top w:w="0" w:type="dxa"/>
            <w:left w:w="108" w:type="dxa"/>
            <w:bottom w:w="0" w:type="dxa"/>
            <w:right w:w="108" w:type="dxa"/>
          </w:tblCellMar>
        </w:tblPrEx>
        <w:trPr>
          <w:trHeight w:val="356" w:hRule="atLeast"/>
        </w:trPr>
        <w:tc>
          <w:tcPr>
            <w:tcW w:w="1960" w:type="dxa"/>
            <w:vMerge w:val="continue"/>
            <w:tcBorders>
              <w:top w:val="nil"/>
              <w:left w:val="single" w:color="auto" w:sz="4" w:space="0"/>
              <w:bottom w:val="single" w:color="auto" w:sz="4" w:space="0"/>
              <w:right w:val="single" w:color="auto" w:sz="4" w:space="0"/>
            </w:tcBorders>
            <w:vAlign w:val="center"/>
          </w:tcPr>
          <w:p w14:paraId="0F8E0EF9">
            <w:pPr>
              <w:pageBreakBefore w:val="0"/>
              <w:widowControl/>
              <w:wordWrap/>
              <w:topLinePunct w:val="0"/>
              <w:bidi w:val="0"/>
              <w:spacing w:line="560" w:lineRule="exact"/>
              <w:jc w:val="left"/>
              <w:rPr>
                <w:rFonts w:ascii="仿宋_GB2312" w:hAnsi="仿宋" w:eastAsia="仿宋_GB2312" w:cs="宋体"/>
                <w:b/>
                <w:bCs/>
                <w:color w:val="000000" w:themeColor="text1"/>
                <w:kern w:val="0"/>
                <w:sz w:val="20"/>
                <w:szCs w:val="20"/>
                <w:highlight w:val="none"/>
                <w14:textFill>
                  <w14:solidFill>
                    <w14:schemeClr w14:val="tx1"/>
                  </w14:solidFill>
                </w14:textFill>
              </w:rPr>
            </w:pPr>
          </w:p>
        </w:tc>
        <w:tc>
          <w:tcPr>
            <w:tcW w:w="1797" w:type="dxa"/>
            <w:tcBorders>
              <w:top w:val="nil"/>
              <w:left w:val="nil"/>
              <w:bottom w:val="single" w:color="auto" w:sz="4" w:space="0"/>
              <w:right w:val="single" w:color="auto" w:sz="4" w:space="0"/>
            </w:tcBorders>
            <w:vAlign w:val="center"/>
          </w:tcPr>
          <w:p w14:paraId="241498BF">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营业收入（Y）</w:t>
            </w:r>
          </w:p>
        </w:tc>
        <w:tc>
          <w:tcPr>
            <w:tcW w:w="849" w:type="dxa"/>
            <w:tcBorders>
              <w:top w:val="nil"/>
              <w:left w:val="nil"/>
              <w:bottom w:val="single" w:color="auto" w:sz="4" w:space="0"/>
              <w:right w:val="single" w:color="auto" w:sz="4" w:space="0"/>
            </w:tcBorders>
            <w:vAlign w:val="center"/>
          </w:tcPr>
          <w:p w14:paraId="3233F88F">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万元</w:t>
            </w:r>
          </w:p>
        </w:tc>
        <w:tc>
          <w:tcPr>
            <w:tcW w:w="1867" w:type="dxa"/>
            <w:tcBorders>
              <w:top w:val="nil"/>
              <w:left w:val="nil"/>
              <w:bottom w:val="single" w:color="auto" w:sz="4" w:space="0"/>
              <w:right w:val="single" w:color="auto" w:sz="4" w:space="0"/>
            </w:tcBorders>
            <w:vAlign w:val="center"/>
          </w:tcPr>
          <w:p w14:paraId="3A46DC13">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5000≤Y＜40000</w:t>
            </w:r>
          </w:p>
        </w:tc>
        <w:tc>
          <w:tcPr>
            <w:tcW w:w="1659" w:type="dxa"/>
            <w:tcBorders>
              <w:top w:val="nil"/>
              <w:left w:val="nil"/>
              <w:bottom w:val="single" w:color="auto" w:sz="4" w:space="0"/>
              <w:right w:val="single" w:color="auto" w:sz="4" w:space="0"/>
            </w:tcBorders>
            <w:vAlign w:val="center"/>
          </w:tcPr>
          <w:p w14:paraId="384F617A">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1000≤Y＜5000</w:t>
            </w:r>
          </w:p>
        </w:tc>
        <w:tc>
          <w:tcPr>
            <w:tcW w:w="1066" w:type="dxa"/>
            <w:tcBorders>
              <w:top w:val="nil"/>
              <w:left w:val="nil"/>
              <w:bottom w:val="single" w:color="auto" w:sz="4" w:space="0"/>
              <w:right w:val="single" w:color="auto" w:sz="4" w:space="0"/>
            </w:tcBorders>
            <w:vAlign w:val="center"/>
          </w:tcPr>
          <w:p w14:paraId="4EDBC0F4">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Y＜1000</w:t>
            </w:r>
          </w:p>
        </w:tc>
      </w:tr>
      <w:tr w14:paraId="63D04C40">
        <w:tblPrEx>
          <w:tblCellMar>
            <w:top w:w="0" w:type="dxa"/>
            <w:left w:w="108" w:type="dxa"/>
            <w:bottom w:w="0" w:type="dxa"/>
            <w:right w:w="108" w:type="dxa"/>
          </w:tblCellMar>
        </w:tblPrEx>
        <w:trPr>
          <w:trHeight w:val="356" w:hRule="atLeast"/>
        </w:trPr>
        <w:tc>
          <w:tcPr>
            <w:tcW w:w="1960" w:type="dxa"/>
            <w:vMerge w:val="restart"/>
            <w:tcBorders>
              <w:top w:val="nil"/>
              <w:left w:val="single" w:color="auto" w:sz="4" w:space="0"/>
              <w:bottom w:val="single" w:color="auto" w:sz="4" w:space="0"/>
              <w:right w:val="single" w:color="auto" w:sz="4" w:space="0"/>
            </w:tcBorders>
            <w:vAlign w:val="bottom"/>
          </w:tcPr>
          <w:p w14:paraId="4EE1637B">
            <w:pPr>
              <w:pageBreakBefore w:val="0"/>
              <w:widowControl/>
              <w:wordWrap/>
              <w:topLinePunct w:val="0"/>
              <w:bidi w:val="0"/>
              <w:spacing w:line="560" w:lineRule="exact"/>
              <w:jc w:val="center"/>
              <w:rPr>
                <w:rFonts w:ascii="仿宋_GB2312" w:hAnsi="仿宋" w:eastAsia="仿宋_GB2312" w:cs="宋体"/>
                <w:b/>
                <w:bCs/>
                <w:color w:val="000000" w:themeColor="text1"/>
                <w:kern w:val="0"/>
                <w:sz w:val="20"/>
                <w:szCs w:val="20"/>
                <w:highlight w:val="none"/>
                <w14:textFill>
                  <w14:solidFill>
                    <w14:schemeClr w14:val="tx1"/>
                  </w14:solidFill>
                </w14:textFill>
              </w:rPr>
            </w:pPr>
            <w:r>
              <w:rPr>
                <w:rFonts w:hint="eastAsia" w:ascii="仿宋_GB2312" w:hAnsi="仿宋" w:eastAsia="仿宋_GB2312" w:cs="宋体"/>
                <w:b/>
                <w:bCs/>
                <w:color w:val="000000" w:themeColor="text1"/>
                <w:kern w:val="0"/>
                <w:sz w:val="20"/>
                <w:szCs w:val="20"/>
                <w:highlight w:val="none"/>
                <w14:textFill>
                  <w14:solidFill>
                    <w14:schemeClr w14:val="tx1"/>
                  </w14:solidFill>
                </w14:textFill>
              </w:rPr>
              <w:t>零售业</w:t>
            </w:r>
          </w:p>
        </w:tc>
        <w:tc>
          <w:tcPr>
            <w:tcW w:w="1797" w:type="dxa"/>
            <w:tcBorders>
              <w:top w:val="nil"/>
              <w:left w:val="nil"/>
              <w:bottom w:val="single" w:color="auto" w:sz="4" w:space="0"/>
              <w:right w:val="single" w:color="auto" w:sz="4" w:space="0"/>
            </w:tcBorders>
            <w:vAlign w:val="center"/>
          </w:tcPr>
          <w:p w14:paraId="6C5610ED">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从业人员（X）</w:t>
            </w:r>
          </w:p>
        </w:tc>
        <w:tc>
          <w:tcPr>
            <w:tcW w:w="849" w:type="dxa"/>
            <w:tcBorders>
              <w:top w:val="nil"/>
              <w:left w:val="nil"/>
              <w:bottom w:val="single" w:color="auto" w:sz="4" w:space="0"/>
              <w:right w:val="single" w:color="auto" w:sz="4" w:space="0"/>
            </w:tcBorders>
            <w:vAlign w:val="center"/>
          </w:tcPr>
          <w:p w14:paraId="5DD226C4">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人</w:t>
            </w:r>
          </w:p>
        </w:tc>
        <w:tc>
          <w:tcPr>
            <w:tcW w:w="1867" w:type="dxa"/>
            <w:tcBorders>
              <w:top w:val="nil"/>
              <w:left w:val="nil"/>
              <w:bottom w:val="single" w:color="auto" w:sz="4" w:space="0"/>
              <w:right w:val="single" w:color="auto" w:sz="4" w:space="0"/>
            </w:tcBorders>
            <w:vAlign w:val="center"/>
          </w:tcPr>
          <w:p w14:paraId="604158F9">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50≤X＜300</w:t>
            </w:r>
          </w:p>
        </w:tc>
        <w:tc>
          <w:tcPr>
            <w:tcW w:w="1659" w:type="dxa"/>
            <w:tcBorders>
              <w:top w:val="nil"/>
              <w:left w:val="nil"/>
              <w:bottom w:val="single" w:color="auto" w:sz="4" w:space="0"/>
              <w:right w:val="single" w:color="auto" w:sz="4" w:space="0"/>
            </w:tcBorders>
            <w:vAlign w:val="center"/>
          </w:tcPr>
          <w:p w14:paraId="383038A4">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10≤X＜50</w:t>
            </w:r>
          </w:p>
        </w:tc>
        <w:tc>
          <w:tcPr>
            <w:tcW w:w="1066" w:type="dxa"/>
            <w:tcBorders>
              <w:top w:val="nil"/>
              <w:left w:val="nil"/>
              <w:bottom w:val="single" w:color="auto" w:sz="4" w:space="0"/>
              <w:right w:val="single" w:color="auto" w:sz="4" w:space="0"/>
            </w:tcBorders>
            <w:vAlign w:val="center"/>
          </w:tcPr>
          <w:p w14:paraId="6E9E7B70">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X＜10</w:t>
            </w:r>
          </w:p>
        </w:tc>
      </w:tr>
      <w:tr w14:paraId="3D93A3E5">
        <w:tblPrEx>
          <w:tblCellMar>
            <w:top w:w="0" w:type="dxa"/>
            <w:left w:w="108" w:type="dxa"/>
            <w:bottom w:w="0" w:type="dxa"/>
            <w:right w:w="108" w:type="dxa"/>
          </w:tblCellMar>
        </w:tblPrEx>
        <w:trPr>
          <w:trHeight w:val="356" w:hRule="atLeast"/>
        </w:trPr>
        <w:tc>
          <w:tcPr>
            <w:tcW w:w="1960" w:type="dxa"/>
            <w:vMerge w:val="continue"/>
            <w:tcBorders>
              <w:top w:val="nil"/>
              <w:left w:val="single" w:color="auto" w:sz="4" w:space="0"/>
              <w:bottom w:val="single" w:color="auto" w:sz="4" w:space="0"/>
              <w:right w:val="single" w:color="auto" w:sz="4" w:space="0"/>
            </w:tcBorders>
            <w:vAlign w:val="center"/>
          </w:tcPr>
          <w:p w14:paraId="033A0D7E">
            <w:pPr>
              <w:pageBreakBefore w:val="0"/>
              <w:widowControl/>
              <w:wordWrap/>
              <w:topLinePunct w:val="0"/>
              <w:bidi w:val="0"/>
              <w:spacing w:line="560" w:lineRule="exact"/>
              <w:jc w:val="left"/>
              <w:rPr>
                <w:rFonts w:ascii="仿宋_GB2312" w:hAnsi="仿宋" w:eastAsia="仿宋_GB2312" w:cs="宋体"/>
                <w:b/>
                <w:bCs/>
                <w:color w:val="000000" w:themeColor="text1"/>
                <w:kern w:val="0"/>
                <w:sz w:val="20"/>
                <w:szCs w:val="20"/>
                <w:highlight w:val="none"/>
                <w14:textFill>
                  <w14:solidFill>
                    <w14:schemeClr w14:val="tx1"/>
                  </w14:solidFill>
                </w14:textFill>
              </w:rPr>
            </w:pPr>
          </w:p>
        </w:tc>
        <w:tc>
          <w:tcPr>
            <w:tcW w:w="1797" w:type="dxa"/>
            <w:tcBorders>
              <w:top w:val="nil"/>
              <w:left w:val="nil"/>
              <w:bottom w:val="single" w:color="auto" w:sz="4" w:space="0"/>
              <w:right w:val="single" w:color="auto" w:sz="4" w:space="0"/>
            </w:tcBorders>
            <w:vAlign w:val="center"/>
          </w:tcPr>
          <w:p w14:paraId="4956B192">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营业收入（Y）</w:t>
            </w:r>
          </w:p>
        </w:tc>
        <w:tc>
          <w:tcPr>
            <w:tcW w:w="849" w:type="dxa"/>
            <w:tcBorders>
              <w:top w:val="nil"/>
              <w:left w:val="nil"/>
              <w:bottom w:val="single" w:color="auto" w:sz="4" w:space="0"/>
              <w:right w:val="single" w:color="auto" w:sz="4" w:space="0"/>
            </w:tcBorders>
            <w:vAlign w:val="center"/>
          </w:tcPr>
          <w:p w14:paraId="53FCD66F">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万元</w:t>
            </w:r>
          </w:p>
        </w:tc>
        <w:tc>
          <w:tcPr>
            <w:tcW w:w="1867" w:type="dxa"/>
            <w:tcBorders>
              <w:top w:val="nil"/>
              <w:left w:val="nil"/>
              <w:bottom w:val="single" w:color="auto" w:sz="4" w:space="0"/>
              <w:right w:val="single" w:color="auto" w:sz="4" w:space="0"/>
            </w:tcBorders>
            <w:vAlign w:val="center"/>
          </w:tcPr>
          <w:p w14:paraId="3DCE9CC9">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500≤Y＜20000</w:t>
            </w:r>
          </w:p>
        </w:tc>
        <w:tc>
          <w:tcPr>
            <w:tcW w:w="1659" w:type="dxa"/>
            <w:tcBorders>
              <w:top w:val="nil"/>
              <w:left w:val="nil"/>
              <w:bottom w:val="single" w:color="auto" w:sz="4" w:space="0"/>
              <w:right w:val="single" w:color="auto" w:sz="4" w:space="0"/>
            </w:tcBorders>
            <w:vAlign w:val="center"/>
          </w:tcPr>
          <w:p w14:paraId="64D7E8E5">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100≤Y＜500</w:t>
            </w:r>
          </w:p>
        </w:tc>
        <w:tc>
          <w:tcPr>
            <w:tcW w:w="1066" w:type="dxa"/>
            <w:tcBorders>
              <w:top w:val="nil"/>
              <w:left w:val="nil"/>
              <w:bottom w:val="single" w:color="auto" w:sz="4" w:space="0"/>
              <w:right w:val="single" w:color="auto" w:sz="4" w:space="0"/>
            </w:tcBorders>
            <w:vAlign w:val="center"/>
          </w:tcPr>
          <w:p w14:paraId="6E6C5392">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Y＜100</w:t>
            </w:r>
          </w:p>
        </w:tc>
      </w:tr>
      <w:tr w14:paraId="7E7CF782">
        <w:tblPrEx>
          <w:tblCellMar>
            <w:top w:w="0" w:type="dxa"/>
            <w:left w:w="108" w:type="dxa"/>
            <w:bottom w:w="0" w:type="dxa"/>
            <w:right w:w="108" w:type="dxa"/>
          </w:tblCellMar>
        </w:tblPrEx>
        <w:trPr>
          <w:trHeight w:val="356" w:hRule="atLeast"/>
        </w:trPr>
        <w:tc>
          <w:tcPr>
            <w:tcW w:w="1960" w:type="dxa"/>
            <w:vMerge w:val="restart"/>
            <w:tcBorders>
              <w:top w:val="nil"/>
              <w:left w:val="single" w:color="auto" w:sz="4" w:space="0"/>
              <w:bottom w:val="single" w:color="auto" w:sz="4" w:space="0"/>
              <w:right w:val="single" w:color="auto" w:sz="4" w:space="0"/>
            </w:tcBorders>
            <w:vAlign w:val="bottom"/>
          </w:tcPr>
          <w:p w14:paraId="7B8CE29B">
            <w:pPr>
              <w:pageBreakBefore w:val="0"/>
              <w:widowControl/>
              <w:wordWrap/>
              <w:topLinePunct w:val="0"/>
              <w:bidi w:val="0"/>
              <w:spacing w:line="560" w:lineRule="exact"/>
              <w:jc w:val="center"/>
              <w:rPr>
                <w:rFonts w:ascii="仿宋_GB2312" w:hAnsi="仿宋" w:eastAsia="仿宋_GB2312" w:cs="宋体"/>
                <w:b/>
                <w:bCs/>
                <w:color w:val="000000" w:themeColor="text1"/>
                <w:kern w:val="0"/>
                <w:sz w:val="20"/>
                <w:szCs w:val="20"/>
                <w:highlight w:val="none"/>
                <w14:textFill>
                  <w14:solidFill>
                    <w14:schemeClr w14:val="tx1"/>
                  </w14:solidFill>
                </w14:textFill>
              </w:rPr>
            </w:pPr>
            <w:r>
              <w:rPr>
                <w:rFonts w:hint="eastAsia" w:ascii="仿宋_GB2312" w:hAnsi="仿宋" w:eastAsia="仿宋_GB2312" w:cs="宋体"/>
                <w:b/>
                <w:bCs/>
                <w:color w:val="000000" w:themeColor="text1"/>
                <w:kern w:val="0"/>
                <w:sz w:val="20"/>
                <w:szCs w:val="20"/>
                <w:highlight w:val="none"/>
                <w14:textFill>
                  <w14:solidFill>
                    <w14:schemeClr w14:val="tx1"/>
                  </w14:solidFill>
                </w14:textFill>
              </w:rPr>
              <w:t>交通运输业</w:t>
            </w:r>
          </w:p>
        </w:tc>
        <w:tc>
          <w:tcPr>
            <w:tcW w:w="1797" w:type="dxa"/>
            <w:tcBorders>
              <w:top w:val="nil"/>
              <w:left w:val="nil"/>
              <w:bottom w:val="single" w:color="auto" w:sz="4" w:space="0"/>
              <w:right w:val="single" w:color="auto" w:sz="4" w:space="0"/>
            </w:tcBorders>
            <w:vAlign w:val="center"/>
          </w:tcPr>
          <w:p w14:paraId="04D70D7E">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从业人员（X）</w:t>
            </w:r>
          </w:p>
        </w:tc>
        <w:tc>
          <w:tcPr>
            <w:tcW w:w="849" w:type="dxa"/>
            <w:tcBorders>
              <w:top w:val="nil"/>
              <w:left w:val="nil"/>
              <w:bottom w:val="single" w:color="auto" w:sz="4" w:space="0"/>
              <w:right w:val="single" w:color="auto" w:sz="4" w:space="0"/>
            </w:tcBorders>
            <w:vAlign w:val="center"/>
          </w:tcPr>
          <w:p w14:paraId="080523CC">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人</w:t>
            </w:r>
          </w:p>
        </w:tc>
        <w:tc>
          <w:tcPr>
            <w:tcW w:w="1867" w:type="dxa"/>
            <w:tcBorders>
              <w:top w:val="nil"/>
              <w:left w:val="nil"/>
              <w:bottom w:val="single" w:color="auto" w:sz="4" w:space="0"/>
              <w:right w:val="single" w:color="auto" w:sz="4" w:space="0"/>
            </w:tcBorders>
            <w:vAlign w:val="center"/>
          </w:tcPr>
          <w:p w14:paraId="32D5BD18">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300≤X＜1000</w:t>
            </w:r>
          </w:p>
        </w:tc>
        <w:tc>
          <w:tcPr>
            <w:tcW w:w="1659" w:type="dxa"/>
            <w:tcBorders>
              <w:top w:val="nil"/>
              <w:left w:val="nil"/>
              <w:bottom w:val="single" w:color="auto" w:sz="4" w:space="0"/>
              <w:right w:val="single" w:color="auto" w:sz="4" w:space="0"/>
            </w:tcBorders>
            <w:vAlign w:val="center"/>
          </w:tcPr>
          <w:p w14:paraId="69374D0A">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20≤X＜300</w:t>
            </w:r>
          </w:p>
        </w:tc>
        <w:tc>
          <w:tcPr>
            <w:tcW w:w="1066" w:type="dxa"/>
            <w:tcBorders>
              <w:top w:val="nil"/>
              <w:left w:val="nil"/>
              <w:bottom w:val="single" w:color="auto" w:sz="4" w:space="0"/>
              <w:right w:val="single" w:color="auto" w:sz="4" w:space="0"/>
            </w:tcBorders>
            <w:vAlign w:val="center"/>
          </w:tcPr>
          <w:p w14:paraId="10F3CA8A">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X＜20</w:t>
            </w:r>
          </w:p>
        </w:tc>
      </w:tr>
      <w:tr w14:paraId="264AEF92">
        <w:tblPrEx>
          <w:tblCellMar>
            <w:top w:w="0" w:type="dxa"/>
            <w:left w:w="108" w:type="dxa"/>
            <w:bottom w:w="0" w:type="dxa"/>
            <w:right w:w="108" w:type="dxa"/>
          </w:tblCellMar>
        </w:tblPrEx>
        <w:trPr>
          <w:trHeight w:val="356" w:hRule="atLeast"/>
        </w:trPr>
        <w:tc>
          <w:tcPr>
            <w:tcW w:w="1960" w:type="dxa"/>
            <w:vMerge w:val="continue"/>
            <w:tcBorders>
              <w:top w:val="nil"/>
              <w:left w:val="single" w:color="auto" w:sz="4" w:space="0"/>
              <w:bottom w:val="single" w:color="auto" w:sz="4" w:space="0"/>
              <w:right w:val="single" w:color="auto" w:sz="4" w:space="0"/>
            </w:tcBorders>
            <w:vAlign w:val="center"/>
          </w:tcPr>
          <w:p w14:paraId="194C0FF1">
            <w:pPr>
              <w:pageBreakBefore w:val="0"/>
              <w:widowControl/>
              <w:wordWrap/>
              <w:topLinePunct w:val="0"/>
              <w:bidi w:val="0"/>
              <w:spacing w:line="560" w:lineRule="exact"/>
              <w:jc w:val="left"/>
              <w:rPr>
                <w:rFonts w:ascii="仿宋_GB2312" w:hAnsi="仿宋" w:eastAsia="仿宋_GB2312" w:cs="宋体"/>
                <w:b/>
                <w:bCs/>
                <w:color w:val="000000" w:themeColor="text1"/>
                <w:kern w:val="0"/>
                <w:sz w:val="20"/>
                <w:szCs w:val="20"/>
                <w:highlight w:val="none"/>
                <w14:textFill>
                  <w14:solidFill>
                    <w14:schemeClr w14:val="tx1"/>
                  </w14:solidFill>
                </w14:textFill>
              </w:rPr>
            </w:pPr>
          </w:p>
        </w:tc>
        <w:tc>
          <w:tcPr>
            <w:tcW w:w="1797" w:type="dxa"/>
            <w:tcBorders>
              <w:top w:val="nil"/>
              <w:left w:val="nil"/>
              <w:bottom w:val="single" w:color="auto" w:sz="4" w:space="0"/>
              <w:right w:val="single" w:color="auto" w:sz="4" w:space="0"/>
            </w:tcBorders>
            <w:vAlign w:val="center"/>
          </w:tcPr>
          <w:p w14:paraId="05641160">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营业收入（Y）</w:t>
            </w:r>
          </w:p>
        </w:tc>
        <w:tc>
          <w:tcPr>
            <w:tcW w:w="849" w:type="dxa"/>
            <w:tcBorders>
              <w:top w:val="nil"/>
              <w:left w:val="nil"/>
              <w:bottom w:val="single" w:color="auto" w:sz="4" w:space="0"/>
              <w:right w:val="single" w:color="auto" w:sz="4" w:space="0"/>
            </w:tcBorders>
            <w:vAlign w:val="center"/>
          </w:tcPr>
          <w:p w14:paraId="006D8906">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万元</w:t>
            </w:r>
          </w:p>
        </w:tc>
        <w:tc>
          <w:tcPr>
            <w:tcW w:w="1867" w:type="dxa"/>
            <w:tcBorders>
              <w:top w:val="nil"/>
              <w:left w:val="nil"/>
              <w:bottom w:val="single" w:color="auto" w:sz="4" w:space="0"/>
              <w:right w:val="single" w:color="auto" w:sz="4" w:space="0"/>
            </w:tcBorders>
            <w:vAlign w:val="center"/>
          </w:tcPr>
          <w:p w14:paraId="415BDBA6">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3000≤Y＜30000</w:t>
            </w:r>
          </w:p>
        </w:tc>
        <w:tc>
          <w:tcPr>
            <w:tcW w:w="1659" w:type="dxa"/>
            <w:tcBorders>
              <w:top w:val="nil"/>
              <w:left w:val="nil"/>
              <w:bottom w:val="single" w:color="auto" w:sz="4" w:space="0"/>
              <w:right w:val="single" w:color="auto" w:sz="4" w:space="0"/>
            </w:tcBorders>
            <w:vAlign w:val="center"/>
          </w:tcPr>
          <w:p w14:paraId="18163EF9">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200≤Y＜3000</w:t>
            </w:r>
          </w:p>
        </w:tc>
        <w:tc>
          <w:tcPr>
            <w:tcW w:w="1066" w:type="dxa"/>
            <w:tcBorders>
              <w:top w:val="nil"/>
              <w:left w:val="nil"/>
              <w:bottom w:val="single" w:color="auto" w:sz="4" w:space="0"/>
              <w:right w:val="single" w:color="auto" w:sz="4" w:space="0"/>
            </w:tcBorders>
            <w:vAlign w:val="center"/>
          </w:tcPr>
          <w:p w14:paraId="6C736057">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Y＜200</w:t>
            </w:r>
          </w:p>
        </w:tc>
      </w:tr>
      <w:tr w14:paraId="5A8D7EAA">
        <w:tblPrEx>
          <w:tblCellMar>
            <w:top w:w="0" w:type="dxa"/>
            <w:left w:w="108" w:type="dxa"/>
            <w:bottom w:w="0" w:type="dxa"/>
            <w:right w:w="108" w:type="dxa"/>
          </w:tblCellMar>
        </w:tblPrEx>
        <w:trPr>
          <w:trHeight w:val="356" w:hRule="atLeast"/>
        </w:trPr>
        <w:tc>
          <w:tcPr>
            <w:tcW w:w="1960" w:type="dxa"/>
            <w:vMerge w:val="restart"/>
            <w:tcBorders>
              <w:top w:val="nil"/>
              <w:left w:val="single" w:color="auto" w:sz="4" w:space="0"/>
              <w:bottom w:val="single" w:color="auto" w:sz="4" w:space="0"/>
              <w:right w:val="single" w:color="auto" w:sz="4" w:space="0"/>
            </w:tcBorders>
            <w:vAlign w:val="bottom"/>
          </w:tcPr>
          <w:p w14:paraId="2F327DC6">
            <w:pPr>
              <w:pageBreakBefore w:val="0"/>
              <w:widowControl/>
              <w:wordWrap/>
              <w:topLinePunct w:val="0"/>
              <w:bidi w:val="0"/>
              <w:spacing w:line="560" w:lineRule="exact"/>
              <w:jc w:val="center"/>
              <w:rPr>
                <w:rFonts w:ascii="仿宋_GB2312" w:hAnsi="仿宋" w:eastAsia="仿宋_GB2312" w:cs="宋体"/>
                <w:b/>
                <w:bCs/>
                <w:color w:val="000000" w:themeColor="text1"/>
                <w:kern w:val="0"/>
                <w:sz w:val="20"/>
                <w:szCs w:val="20"/>
                <w:highlight w:val="none"/>
                <w14:textFill>
                  <w14:solidFill>
                    <w14:schemeClr w14:val="tx1"/>
                  </w14:solidFill>
                </w14:textFill>
              </w:rPr>
            </w:pPr>
            <w:r>
              <w:rPr>
                <w:rFonts w:hint="eastAsia" w:ascii="仿宋_GB2312" w:hAnsi="仿宋" w:eastAsia="仿宋_GB2312" w:cs="宋体"/>
                <w:b/>
                <w:bCs/>
                <w:color w:val="000000" w:themeColor="text1"/>
                <w:kern w:val="0"/>
                <w:sz w:val="20"/>
                <w:szCs w:val="20"/>
                <w:highlight w:val="none"/>
                <w14:textFill>
                  <w14:solidFill>
                    <w14:schemeClr w14:val="tx1"/>
                  </w14:solidFill>
                </w14:textFill>
              </w:rPr>
              <w:t>仓储业</w:t>
            </w:r>
          </w:p>
        </w:tc>
        <w:tc>
          <w:tcPr>
            <w:tcW w:w="1797" w:type="dxa"/>
            <w:tcBorders>
              <w:top w:val="nil"/>
              <w:left w:val="nil"/>
              <w:bottom w:val="single" w:color="auto" w:sz="4" w:space="0"/>
              <w:right w:val="single" w:color="auto" w:sz="4" w:space="0"/>
            </w:tcBorders>
            <w:vAlign w:val="center"/>
          </w:tcPr>
          <w:p w14:paraId="71BB1E35">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从业人员（X）</w:t>
            </w:r>
          </w:p>
        </w:tc>
        <w:tc>
          <w:tcPr>
            <w:tcW w:w="849" w:type="dxa"/>
            <w:tcBorders>
              <w:top w:val="nil"/>
              <w:left w:val="nil"/>
              <w:bottom w:val="single" w:color="auto" w:sz="4" w:space="0"/>
              <w:right w:val="single" w:color="auto" w:sz="4" w:space="0"/>
            </w:tcBorders>
            <w:vAlign w:val="center"/>
          </w:tcPr>
          <w:p w14:paraId="57C368BB">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人</w:t>
            </w:r>
          </w:p>
        </w:tc>
        <w:tc>
          <w:tcPr>
            <w:tcW w:w="1867" w:type="dxa"/>
            <w:tcBorders>
              <w:top w:val="nil"/>
              <w:left w:val="nil"/>
              <w:bottom w:val="single" w:color="auto" w:sz="4" w:space="0"/>
              <w:right w:val="single" w:color="auto" w:sz="4" w:space="0"/>
            </w:tcBorders>
            <w:vAlign w:val="center"/>
          </w:tcPr>
          <w:p w14:paraId="1C9EF877">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100≤X＜200</w:t>
            </w:r>
          </w:p>
        </w:tc>
        <w:tc>
          <w:tcPr>
            <w:tcW w:w="1659" w:type="dxa"/>
            <w:tcBorders>
              <w:top w:val="nil"/>
              <w:left w:val="nil"/>
              <w:bottom w:val="single" w:color="auto" w:sz="4" w:space="0"/>
              <w:right w:val="single" w:color="auto" w:sz="4" w:space="0"/>
            </w:tcBorders>
            <w:vAlign w:val="center"/>
          </w:tcPr>
          <w:p w14:paraId="384C8026">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20≤X＜100</w:t>
            </w:r>
          </w:p>
        </w:tc>
        <w:tc>
          <w:tcPr>
            <w:tcW w:w="1066" w:type="dxa"/>
            <w:tcBorders>
              <w:top w:val="nil"/>
              <w:left w:val="nil"/>
              <w:bottom w:val="single" w:color="auto" w:sz="4" w:space="0"/>
              <w:right w:val="single" w:color="auto" w:sz="4" w:space="0"/>
            </w:tcBorders>
            <w:vAlign w:val="center"/>
          </w:tcPr>
          <w:p w14:paraId="444A129B">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X＜20</w:t>
            </w:r>
          </w:p>
        </w:tc>
      </w:tr>
      <w:tr w14:paraId="1CF74DA7">
        <w:tblPrEx>
          <w:tblCellMar>
            <w:top w:w="0" w:type="dxa"/>
            <w:left w:w="108" w:type="dxa"/>
            <w:bottom w:w="0" w:type="dxa"/>
            <w:right w:w="108" w:type="dxa"/>
          </w:tblCellMar>
        </w:tblPrEx>
        <w:trPr>
          <w:trHeight w:val="356" w:hRule="atLeast"/>
        </w:trPr>
        <w:tc>
          <w:tcPr>
            <w:tcW w:w="1960" w:type="dxa"/>
            <w:vMerge w:val="continue"/>
            <w:tcBorders>
              <w:top w:val="nil"/>
              <w:left w:val="single" w:color="auto" w:sz="4" w:space="0"/>
              <w:bottom w:val="single" w:color="auto" w:sz="4" w:space="0"/>
              <w:right w:val="single" w:color="auto" w:sz="4" w:space="0"/>
            </w:tcBorders>
            <w:vAlign w:val="center"/>
          </w:tcPr>
          <w:p w14:paraId="035FBDAB">
            <w:pPr>
              <w:pageBreakBefore w:val="0"/>
              <w:widowControl/>
              <w:wordWrap/>
              <w:topLinePunct w:val="0"/>
              <w:bidi w:val="0"/>
              <w:spacing w:line="560" w:lineRule="exact"/>
              <w:jc w:val="left"/>
              <w:rPr>
                <w:rFonts w:ascii="仿宋_GB2312" w:hAnsi="仿宋" w:eastAsia="仿宋_GB2312" w:cs="宋体"/>
                <w:b/>
                <w:bCs/>
                <w:color w:val="000000" w:themeColor="text1"/>
                <w:kern w:val="0"/>
                <w:sz w:val="20"/>
                <w:szCs w:val="20"/>
                <w:highlight w:val="none"/>
                <w14:textFill>
                  <w14:solidFill>
                    <w14:schemeClr w14:val="tx1"/>
                  </w14:solidFill>
                </w14:textFill>
              </w:rPr>
            </w:pPr>
          </w:p>
        </w:tc>
        <w:tc>
          <w:tcPr>
            <w:tcW w:w="1797" w:type="dxa"/>
            <w:tcBorders>
              <w:top w:val="nil"/>
              <w:left w:val="nil"/>
              <w:bottom w:val="single" w:color="auto" w:sz="4" w:space="0"/>
              <w:right w:val="single" w:color="auto" w:sz="4" w:space="0"/>
            </w:tcBorders>
            <w:vAlign w:val="center"/>
          </w:tcPr>
          <w:p w14:paraId="6A39550B">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营业收入（Y）</w:t>
            </w:r>
          </w:p>
        </w:tc>
        <w:tc>
          <w:tcPr>
            <w:tcW w:w="849" w:type="dxa"/>
            <w:tcBorders>
              <w:top w:val="nil"/>
              <w:left w:val="nil"/>
              <w:bottom w:val="single" w:color="auto" w:sz="4" w:space="0"/>
              <w:right w:val="single" w:color="auto" w:sz="4" w:space="0"/>
            </w:tcBorders>
            <w:vAlign w:val="center"/>
          </w:tcPr>
          <w:p w14:paraId="00E024EE">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万元</w:t>
            </w:r>
          </w:p>
        </w:tc>
        <w:tc>
          <w:tcPr>
            <w:tcW w:w="1867" w:type="dxa"/>
            <w:tcBorders>
              <w:top w:val="nil"/>
              <w:left w:val="nil"/>
              <w:bottom w:val="single" w:color="auto" w:sz="4" w:space="0"/>
              <w:right w:val="single" w:color="auto" w:sz="4" w:space="0"/>
            </w:tcBorders>
            <w:vAlign w:val="center"/>
          </w:tcPr>
          <w:p w14:paraId="50613DFB">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1000≤Y＜30000</w:t>
            </w:r>
          </w:p>
        </w:tc>
        <w:tc>
          <w:tcPr>
            <w:tcW w:w="1659" w:type="dxa"/>
            <w:tcBorders>
              <w:top w:val="nil"/>
              <w:left w:val="nil"/>
              <w:bottom w:val="single" w:color="auto" w:sz="4" w:space="0"/>
              <w:right w:val="single" w:color="auto" w:sz="4" w:space="0"/>
            </w:tcBorders>
            <w:vAlign w:val="center"/>
          </w:tcPr>
          <w:p w14:paraId="4EC7DDF9">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100≤Y＜1000</w:t>
            </w:r>
          </w:p>
        </w:tc>
        <w:tc>
          <w:tcPr>
            <w:tcW w:w="1066" w:type="dxa"/>
            <w:tcBorders>
              <w:top w:val="nil"/>
              <w:left w:val="nil"/>
              <w:bottom w:val="single" w:color="auto" w:sz="4" w:space="0"/>
              <w:right w:val="single" w:color="auto" w:sz="4" w:space="0"/>
            </w:tcBorders>
            <w:vAlign w:val="center"/>
          </w:tcPr>
          <w:p w14:paraId="064113B1">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Y＜100</w:t>
            </w:r>
          </w:p>
        </w:tc>
      </w:tr>
      <w:tr w14:paraId="0EE2D8C6">
        <w:tblPrEx>
          <w:tblCellMar>
            <w:top w:w="0" w:type="dxa"/>
            <w:left w:w="108" w:type="dxa"/>
            <w:bottom w:w="0" w:type="dxa"/>
            <w:right w:w="108" w:type="dxa"/>
          </w:tblCellMar>
        </w:tblPrEx>
        <w:trPr>
          <w:trHeight w:val="356" w:hRule="atLeast"/>
        </w:trPr>
        <w:tc>
          <w:tcPr>
            <w:tcW w:w="1960" w:type="dxa"/>
            <w:vMerge w:val="restart"/>
            <w:tcBorders>
              <w:top w:val="nil"/>
              <w:left w:val="single" w:color="auto" w:sz="4" w:space="0"/>
              <w:bottom w:val="single" w:color="auto" w:sz="4" w:space="0"/>
              <w:right w:val="single" w:color="auto" w:sz="4" w:space="0"/>
            </w:tcBorders>
            <w:vAlign w:val="bottom"/>
          </w:tcPr>
          <w:p w14:paraId="6776919D">
            <w:pPr>
              <w:pageBreakBefore w:val="0"/>
              <w:widowControl/>
              <w:wordWrap/>
              <w:topLinePunct w:val="0"/>
              <w:bidi w:val="0"/>
              <w:spacing w:line="560" w:lineRule="exact"/>
              <w:jc w:val="center"/>
              <w:rPr>
                <w:rFonts w:ascii="仿宋_GB2312" w:hAnsi="仿宋" w:eastAsia="仿宋_GB2312" w:cs="宋体"/>
                <w:b/>
                <w:bCs/>
                <w:color w:val="000000" w:themeColor="text1"/>
                <w:kern w:val="0"/>
                <w:sz w:val="20"/>
                <w:szCs w:val="20"/>
                <w:highlight w:val="none"/>
                <w14:textFill>
                  <w14:solidFill>
                    <w14:schemeClr w14:val="tx1"/>
                  </w14:solidFill>
                </w14:textFill>
              </w:rPr>
            </w:pPr>
            <w:r>
              <w:rPr>
                <w:rFonts w:hint="eastAsia" w:ascii="仿宋_GB2312" w:hAnsi="仿宋" w:eastAsia="仿宋_GB2312" w:cs="宋体"/>
                <w:b/>
                <w:bCs/>
                <w:color w:val="000000" w:themeColor="text1"/>
                <w:kern w:val="0"/>
                <w:sz w:val="20"/>
                <w:szCs w:val="20"/>
                <w:highlight w:val="none"/>
                <w14:textFill>
                  <w14:solidFill>
                    <w14:schemeClr w14:val="tx1"/>
                  </w14:solidFill>
                </w14:textFill>
              </w:rPr>
              <w:t>邮政业</w:t>
            </w:r>
          </w:p>
        </w:tc>
        <w:tc>
          <w:tcPr>
            <w:tcW w:w="1797" w:type="dxa"/>
            <w:tcBorders>
              <w:top w:val="nil"/>
              <w:left w:val="nil"/>
              <w:bottom w:val="single" w:color="auto" w:sz="4" w:space="0"/>
              <w:right w:val="single" w:color="auto" w:sz="4" w:space="0"/>
            </w:tcBorders>
            <w:vAlign w:val="center"/>
          </w:tcPr>
          <w:p w14:paraId="14CE50E7">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从业人员（X）</w:t>
            </w:r>
          </w:p>
        </w:tc>
        <w:tc>
          <w:tcPr>
            <w:tcW w:w="849" w:type="dxa"/>
            <w:tcBorders>
              <w:top w:val="nil"/>
              <w:left w:val="nil"/>
              <w:bottom w:val="single" w:color="auto" w:sz="4" w:space="0"/>
              <w:right w:val="single" w:color="auto" w:sz="4" w:space="0"/>
            </w:tcBorders>
            <w:vAlign w:val="center"/>
          </w:tcPr>
          <w:p w14:paraId="7FF38CC3">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人</w:t>
            </w:r>
          </w:p>
        </w:tc>
        <w:tc>
          <w:tcPr>
            <w:tcW w:w="1867" w:type="dxa"/>
            <w:tcBorders>
              <w:top w:val="nil"/>
              <w:left w:val="nil"/>
              <w:bottom w:val="single" w:color="auto" w:sz="4" w:space="0"/>
              <w:right w:val="single" w:color="auto" w:sz="4" w:space="0"/>
            </w:tcBorders>
            <w:vAlign w:val="center"/>
          </w:tcPr>
          <w:p w14:paraId="52894D2D">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300≤X＜1000</w:t>
            </w:r>
          </w:p>
        </w:tc>
        <w:tc>
          <w:tcPr>
            <w:tcW w:w="1659" w:type="dxa"/>
            <w:tcBorders>
              <w:top w:val="nil"/>
              <w:left w:val="nil"/>
              <w:bottom w:val="single" w:color="auto" w:sz="4" w:space="0"/>
              <w:right w:val="single" w:color="auto" w:sz="4" w:space="0"/>
            </w:tcBorders>
            <w:vAlign w:val="center"/>
          </w:tcPr>
          <w:p w14:paraId="301F6760">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20≤X＜300</w:t>
            </w:r>
          </w:p>
        </w:tc>
        <w:tc>
          <w:tcPr>
            <w:tcW w:w="1066" w:type="dxa"/>
            <w:tcBorders>
              <w:top w:val="nil"/>
              <w:left w:val="nil"/>
              <w:bottom w:val="single" w:color="auto" w:sz="4" w:space="0"/>
              <w:right w:val="single" w:color="auto" w:sz="4" w:space="0"/>
            </w:tcBorders>
            <w:vAlign w:val="center"/>
          </w:tcPr>
          <w:p w14:paraId="0193A754">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X＜20</w:t>
            </w:r>
          </w:p>
        </w:tc>
      </w:tr>
      <w:tr w14:paraId="501F1A51">
        <w:tblPrEx>
          <w:tblCellMar>
            <w:top w:w="0" w:type="dxa"/>
            <w:left w:w="108" w:type="dxa"/>
            <w:bottom w:w="0" w:type="dxa"/>
            <w:right w:w="108" w:type="dxa"/>
          </w:tblCellMar>
        </w:tblPrEx>
        <w:trPr>
          <w:trHeight w:val="356" w:hRule="atLeast"/>
        </w:trPr>
        <w:tc>
          <w:tcPr>
            <w:tcW w:w="1960" w:type="dxa"/>
            <w:vMerge w:val="continue"/>
            <w:tcBorders>
              <w:top w:val="nil"/>
              <w:left w:val="single" w:color="auto" w:sz="4" w:space="0"/>
              <w:bottom w:val="single" w:color="auto" w:sz="4" w:space="0"/>
              <w:right w:val="single" w:color="auto" w:sz="4" w:space="0"/>
            </w:tcBorders>
            <w:vAlign w:val="center"/>
          </w:tcPr>
          <w:p w14:paraId="7E9EEFB5">
            <w:pPr>
              <w:pageBreakBefore w:val="0"/>
              <w:widowControl/>
              <w:wordWrap/>
              <w:topLinePunct w:val="0"/>
              <w:bidi w:val="0"/>
              <w:spacing w:line="560" w:lineRule="exact"/>
              <w:jc w:val="left"/>
              <w:rPr>
                <w:rFonts w:ascii="仿宋_GB2312" w:hAnsi="仿宋" w:eastAsia="仿宋_GB2312" w:cs="宋体"/>
                <w:b/>
                <w:bCs/>
                <w:color w:val="000000" w:themeColor="text1"/>
                <w:kern w:val="0"/>
                <w:sz w:val="20"/>
                <w:szCs w:val="20"/>
                <w:highlight w:val="none"/>
                <w14:textFill>
                  <w14:solidFill>
                    <w14:schemeClr w14:val="tx1"/>
                  </w14:solidFill>
                </w14:textFill>
              </w:rPr>
            </w:pPr>
          </w:p>
        </w:tc>
        <w:tc>
          <w:tcPr>
            <w:tcW w:w="1797" w:type="dxa"/>
            <w:tcBorders>
              <w:top w:val="nil"/>
              <w:left w:val="nil"/>
              <w:bottom w:val="single" w:color="auto" w:sz="4" w:space="0"/>
              <w:right w:val="single" w:color="auto" w:sz="4" w:space="0"/>
            </w:tcBorders>
            <w:vAlign w:val="center"/>
          </w:tcPr>
          <w:p w14:paraId="507744EE">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营业收入（Y）</w:t>
            </w:r>
          </w:p>
        </w:tc>
        <w:tc>
          <w:tcPr>
            <w:tcW w:w="849" w:type="dxa"/>
            <w:tcBorders>
              <w:top w:val="nil"/>
              <w:left w:val="nil"/>
              <w:bottom w:val="single" w:color="auto" w:sz="4" w:space="0"/>
              <w:right w:val="single" w:color="auto" w:sz="4" w:space="0"/>
            </w:tcBorders>
            <w:vAlign w:val="center"/>
          </w:tcPr>
          <w:p w14:paraId="5C677277">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万元</w:t>
            </w:r>
          </w:p>
        </w:tc>
        <w:tc>
          <w:tcPr>
            <w:tcW w:w="1867" w:type="dxa"/>
            <w:tcBorders>
              <w:top w:val="nil"/>
              <w:left w:val="nil"/>
              <w:bottom w:val="single" w:color="auto" w:sz="4" w:space="0"/>
              <w:right w:val="single" w:color="auto" w:sz="4" w:space="0"/>
            </w:tcBorders>
            <w:vAlign w:val="center"/>
          </w:tcPr>
          <w:p w14:paraId="0B27471B">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2000≤Y＜30000</w:t>
            </w:r>
          </w:p>
        </w:tc>
        <w:tc>
          <w:tcPr>
            <w:tcW w:w="1659" w:type="dxa"/>
            <w:tcBorders>
              <w:top w:val="nil"/>
              <w:left w:val="nil"/>
              <w:bottom w:val="single" w:color="auto" w:sz="4" w:space="0"/>
              <w:right w:val="single" w:color="auto" w:sz="4" w:space="0"/>
            </w:tcBorders>
            <w:vAlign w:val="center"/>
          </w:tcPr>
          <w:p w14:paraId="6BCEE0B6">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100≤Y＜2000</w:t>
            </w:r>
          </w:p>
        </w:tc>
        <w:tc>
          <w:tcPr>
            <w:tcW w:w="1066" w:type="dxa"/>
            <w:tcBorders>
              <w:top w:val="nil"/>
              <w:left w:val="nil"/>
              <w:bottom w:val="single" w:color="auto" w:sz="4" w:space="0"/>
              <w:right w:val="single" w:color="auto" w:sz="4" w:space="0"/>
            </w:tcBorders>
            <w:vAlign w:val="center"/>
          </w:tcPr>
          <w:p w14:paraId="15396E2C">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Y＜100</w:t>
            </w:r>
          </w:p>
        </w:tc>
      </w:tr>
      <w:tr w14:paraId="5390C4B0">
        <w:tblPrEx>
          <w:tblCellMar>
            <w:top w:w="0" w:type="dxa"/>
            <w:left w:w="108" w:type="dxa"/>
            <w:bottom w:w="0" w:type="dxa"/>
            <w:right w:w="108" w:type="dxa"/>
          </w:tblCellMar>
        </w:tblPrEx>
        <w:trPr>
          <w:trHeight w:val="356" w:hRule="atLeast"/>
        </w:trPr>
        <w:tc>
          <w:tcPr>
            <w:tcW w:w="1960" w:type="dxa"/>
            <w:vMerge w:val="restart"/>
            <w:tcBorders>
              <w:top w:val="nil"/>
              <w:left w:val="single" w:color="auto" w:sz="4" w:space="0"/>
              <w:bottom w:val="single" w:color="auto" w:sz="4" w:space="0"/>
              <w:right w:val="single" w:color="auto" w:sz="4" w:space="0"/>
            </w:tcBorders>
            <w:vAlign w:val="bottom"/>
          </w:tcPr>
          <w:p w14:paraId="6CF288B9">
            <w:pPr>
              <w:pageBreakBefore w:val="0"/>
              <w:widowControl/>
              <w:wordWrap/>
              <w:topLinePunct w:val="0"/>
              <w:bidi w:val="0"/>
              <w:spacing w:line="560" w:lineRule="exact"/>
              <w:jc w:val="center"/>
              <w:rPr>
                <w:rFonts w:ascii="仿宋_GB2312" w:hAnsi="仿宋" w:eastAsia="仿宋_GB2312" w:cs="宋体"/>
                <w:b/>
                <w:bCs/>
                <w:color w:val="000000" w:themeColor="text1"/>
                <w:kern w:val="0"/>
                <w:sz w:val="20"/>
                <w:szCs w:val="20"/>
                <w:highlight w:val="none"/>
                <w14:textFill>
                  <w14:solidFill>
                    <w14:schemeClr w14:val="tx1"/>
                  </w14:solidFill>
                </w14:textFill>
              </w:rPr>
            </w:pPr>
            <w:r>
              <w:rPr>
                <w:rFonts w:hint="eastAsia" w:ascii="仿宋_GB2312" w:hAnsi="仿宋" w:eastAsia="仿宋_GB2312" w:cs="宋体"/>
                <w:b/>
                <w:bCs/>
                <w:color w:val="000000" w:themeColor="text1"/>
                <w:kern w:val="0"/>
                <w:sz w:val="20"/>
                <w:szCs w:val="20"/>
                <w:highlight w:val="none"/>
                <w14:textFill>
                  <w14:solidFill>
                    <w14:schemeClr w14:val="tx1"/>
                  </w14:solidFill>
                </w14:textFill>
              </w:rPr>
              <w:t>住宿业</w:t>
            </w:r>
          </w:p>
        </w:tc>
        <w:tc>
          <w:tcPr>
            <w:tcW w:w="1797" w:type="dxa"/>
            <w:tcBorders>
              <w:top w:val="nil"/>
              <w:left w:val="nil"/>
              <w:bottom w:val="single" w:color="auto" w:sz="4" w:space="0"/>
              <w:right w:val="single" w:color="auto" w:sz="4" w:space="0"/>
            </w:tcBorders>
            <w:vAlign w:val="center"/>
          </w:tcPr>
          <w:p w14:paraId="20C4BEDE">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从业人员（X）</w:t>
            </w:r>
          </w:p>
        </w:tc>
        <w:tc>
          <w:tcPr>
            <w:tcW w:w="849" w:type="dxa"/>
            <w:tcBorders>
              <w:top w:val="nil"/>
              <w:left w:val="nil"/>
              <w:bottom w:val="single" w:color="auto" w:sz="4" w:space="0"/>
              <w:right w:val="single" w:color="auto" w:sz="4" w:space="0"/>
            </w:tcBorders>
            <w:vAlign w:val="center"/>
          </w:tcPr>
          <w:p w14:paraId="6D68070D">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人</w:t>
            </w:r>
          </w:p>
        </w:tc>
        <w:tc>
          <w:tcPr>
            <w:tcW w:w="1867" w:type="dxa"/>
            <w:tcBorders>
              <w:top w:val="nil"/>
              <w:left w:val="nil"/>
              <w:bottom w:val="single" w:color="auto" w:sz="4" w:space="0"/>
              <w:right w:val="single" w:color="auto" w:sz="4" w:space="0"/>
            </w:tcBorders>
            <w:vAlign w:val="center"/>
          </w:tcPr>
          <w:p w14:paraId="67FF2E33">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100≤X＜300</w:t>
            </w:r>
          </w:p>
        </w:tc>
        <w:tc>
          <w:tcPr>
            <w:tcW w:w="1659" w:type="dxa"/>
            <w:tcBorders>
              <w:top w:val="nil"/>
              <w:left w:val="nil"/>
              <w:bottom w:val="single" w:color="auto" w:sz="4" w:space="0"/>
              <w:right w:val="single" w:color="auto" w:sz="4" w:space="0"/>
            </w:tcBorders>
            <w:vAlign w:val="center"/>
          </w:tcPr>
          <w:p w14:paraId="78DF8D4A">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10≤X＜100</w:t>
            </w:r>
          </w:p>
        </w:tc>
        <w:tc>
          <w:tcPr>
            <w:tcW w:w="1066" w:type="dxa"/>
            <w:tcBorders>
              <w:top w:val="nil"/>
              <w:left w:val="nil"/>
              <w:bottom w:val="single" w:color="auto" w:sz="4" w:space="0"/>
              <w:right w:val="single" w:color="auto" w:sz="4" w:space="0"/>
            </w:tcBorders>
            <w:vAlign w:val="center"/>
          </w:tcPr>
          <w:p w14:paraId="746F97CE">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X＜10</w:t>
            </w:r>
          </w:p>
        </w:tc>
      </w:tr>
      <w:tr w14:paraId="7B0B14B8">
        <w:tblPrEx>
          <w:tblCellMar>
            <w:top w:w="0" w:type="dxa"/>
            <w:left w:w="108" w:type="dxa"/>
            <w:bottom w:w="0" w:type="dxa"/>
            <w:right w:w="108" w:type="dxa"/>
          </w:tblCellMar>
        </w:tblPrEx>
        <w:trPr>
          <w:trHeight w:val="356" w:hRule="atLeast"/>
        </w:trPr>
        <w:tc>
          <w:tcPr>
            <w:tcW w:w="1960" w:type="dxa"/>
            <w:vMerge w:val="continue"/>
            <w:tcBorders>
              <w:top w:val="nil"/>
              <w:left w:val="single" w:color="auto" w:sz="4" w:space="0"/>
              <w:bottom w:val="single" w:color="auto" w:sz="4" w:space="0"/>
              <w:right w:val="single" w:color="auto" w:sz="4" w:space="0"/>
            </w:tcBorders>
            <w:vAlign w:val="center"/>
          </w:tcPr>
          <w:p w14:paraId="77233F55">
            <w:pPr>
              <w:pageBreakBefore w:val="0"/>
              <w:widowControl/>
              <w:wordWrap/>
              <w:topLinePunct w:val="0"/>
              <w:bidi w:val="0"/>
              <w:spacing w:line="560" w:lineRule="exact"/>
              <w:jc w:val="left"/>
              <w:rPr>
                <w:rFonts w:ascii="仿宋_GB2312" w:hAnsi="仿宋" w:eastAsia="仿宋_GB2312" w:cs="宋体"/>
                <w:b/>
                <w:bCs/>
                <w:color w:val="000000" w:themeColor="text1"/>
                <w:kern w:val="0"/>
                <w:sz w:val="20"/>
                <w:szCs w:val="20"/>
                <w:highlight w:val="none"/>
                <w14:textFill>
                  <w14:solidFill>
                    <w14:schemeClr w14:val="tx1"/>
                  </w14:solidFill>
                </w14:textFill>
              </w:rPr>
            </w:pPr>
          </w:p>
        </w:tc>
        <w:tc>
          <w:tcPr>
            <w:tcW w:w="1797" w:type="dxa"/>
            <w:tcBorders>
              <w:top w:val="nil"/>
              <w:left w:val="nil"/>
              <w:bottom w:val="single" w:color="auto" w:sz="4" w:space="0"/>
              <w:right w:val="single" w:color="auto" w:sz="4" w:space="0"/>
            </w:tcBorders>
            <w:vAlign w:val="center"/>
          </w:tcPr>
          <w:p w14:paraId="6341CEC0">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营业收入（Y）</w:t>
            </w:r>
          </w:p>
        </w:tc>
        <w:tc>
          <w:tcPr>
            <w:tcW w:w="849" w:type="dxa"/>
            <w:tcBorders>
              <w:top w:val="nil"/>
              <w:left w:val="nil"/>
              <w:bottom w:val="single" w:color="auto" w:sz="4" w:space="0"/>
              <w:right w:val="single" w:color="auto" w:sz="4" w:space="0"/>
            </w:tcBorders>
            <w:vAlign w:val="center"/>
          </w:tcPr>
          <w:p w14:paraId="247D399E">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万元</w:t>
            </w:r>
          </w:p>
        </w:tc>
        <w:tc>
          <w:tcPr>
            <w:tcW w:w="1867" w:type="dxa"/>
            <w:tcBorders>
              <w:top w:val="nil"/>
              <w:left w:val="nil"/>
              <w:bottom w:val="single" w:color="auto" w:sz="4" w:space="0"/>
              <w:right w:val="single" w:color="auto" w:sz="4" w:space="0"/>
            </w:tcBorders>
            <w:vAlign w:val="center"/>
          </w:tcPr>
          <w:p w14:paraId="7DD10ABB">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2000≤Y＜10000</w:t>
            </w:r>
          </w:p>
        </w:tc>
        <w:tc>
          <w:tcPr>
            <w:tcW w:w="1659" w:type="dxa"/>
            <w:tcBorders>
              <w:top w:val="nil"/>
              <w:left w:val="nil"/>
              <w:bottom w:val="single" w:color="auto" w:sz="4" w:space="0"/>
              <w:right w:val="single" w:color="auto" w:sz="4" w:space="0"/>
            </w:tcBorders>
            <w:vAlign w:val="center"/>
          </w:tcPr>
          <w:p w14:paraId="01FA8AAB">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100≤Y＜2000</w:t>
            </w:r>
          </w:p>
        </w:tc>
        <w:tc>
          <w:tcPr>
            <w:tcW w:w="1066" w:type="dxa"/>
            <w:tcBorders>
              <w:top w:val="nil"/>
              <w:left w:val="nil"/>
              <w:bottom w:val="single" w:color="auto" w:sz="4" w:space="0"/>
              <w:right w:val="single" w:color="auto" w:sz="4" w:space="0"/>
            </w:tcBorders>
            <w:vAlign w:val="center"/>
          </w:tcPr>
          <w:p w14:paraId="6598F657">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Y＜100</w:t>
            </w:r>
          </w:p>
        </w:tc>
      </w:tr>
      <w:tr w14:paraId="1519F15B">
        <w:tblPrEx>
          <w:tblCellMar>
            <w:top w:w="0" w:type="dxa"/>
            <w:left w:w="108" w:type="dxa"/>
            <w:bottom w:w="0" w:type="dxa"/>
            <w:right w:w="108" w:type="dxa"/>
          </w:tblCellMar>
        </w:tblPrEx>
        <w:trPr>
          <w:trHeight w:val="356" w:hRule="atLeast"/>
        </w:trPr>
        <w:tc>
          <w:tcPr>
            <w:tcW w:w="1960" w:type="dxa"/>
            <w:vMerge w:val="restart"/>
            <w:tcBorders>
              <w:top w:val="nil"/>
              <w:left w:val="single" w:color="auto" w:sz="4" w:space="0"/>
              <w:bottom w:val="single" w:color="auto" w:sz="4" w:space="0"/>
              <w:right w:val="single" w:color="auto" w:sz="4" w:space="0"/>
            </w:tcBorders>
            <w:vAlign w:val="bottom"/>
          </w:tcPr>
          <w:p w14:paraId="3B0D613C">
            <w:pPr>
              <w:pageBreakBefore w:val="0"/>
              <w:widowControl/>
              <w:wordWrap/>
              <w:topLinePunct w:val="0"/>
              <w:bidi w:val="0"/>
              <w:spacing w:line="560" w:lineRule="exact"/>
              <w:jc w:val="center"/>
              <w:rPr>
                <w:rFonts w:ascii="仿宋_GB2312" w:hAnsi="仿宋" w:eastAsia="仿宋_GB2312" w:cs="宋体"/>
                <w:b/>
                <w:bCs/>
                <w:color w:val="000000" w:themeColor="text1"/>
                <w:kern w:val="0"/>
                <w:sz w:val="20"/>
                <w:szCs w:val="20"/>
                <w:highlight w:val="none"/>
                <w14:textFill>
                  <w14:solidFill>
                    <w14:schemeClr w14:val="tx1"/>
                  </w14:solidFill>
                </w14:textFill>
              </w:rPr>
            </w:pPr>
            <w:r>
              <w:rPr>
                <w:rFonts w:hint="eastAsia" w:ascii="仿宋_GB2312" w:hAnsi="仿宋" w:eastAsia="仿宋_GB2312" w:cs="宋体"/>
                <w:b/>
                <w:bCs/>
                <w:color w:val="000000" w:themeColor="text1"/>
                <w:kern w:val="0"/>
                <w:sz w:val="20"/>
                <w:szCs w:val="20"/>
                <w:highlight w:val="none"/>
                <w14:textFill>
                  <w14:solidFill>
                    <w14:schemeClr w14:val="tx1"/>
                  </w14:solidFill>
                </w14:textFill>
              </w:rPr>
              <w:t>餐饮业</w:t>
            </w:r>
          </w:p>
        </w:tc>
        <w:tc>
          <w:tcPr>
            <w:tcW w:w="1797" w:type="dxa"/>
            <w:tcBorders>
              <w:top w:val="nil"/>
              <w:left w:val="nil"/>
              <w:bottom w:val="single" w:color="auto" w:sz="4" w:space="0"/>
              <w:right w:val="single" w:color="auto" w:sz="4" w:space="0"/>
            </w:tcBorders>
            <w:vAlign w:val="center"/>
          </w:tcPr>
          <w:p w14:paraId="1AE20A90">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从业人员（X）</w:t>
            </w:r>
          </w:p>
        </w:tc>
        <w:tc>
          <w:tcPr>
            <w:tcW w:w="849" w:type="dxa"/>
            <w:tcBorders>
              <w:top w:val="nil"/>
              <w:left w:val="nil"/>
              <w:bottom w:val="single" w:color="auto" w:sz="4" w:space="0"/>
              <w:right w:val="single" w:color="auto" w:sz="4" w:space="0"/>
            </w:tcBorders>
            <w:vAlign w:val="center"/>
          </w:tcPr>
          <w:p w14:paraId="49F6FB74">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人</w:t>
            </w:r>
          </w:p>
        </w:tc>
        <w:tc>
          <w:tcPr>
            <w:tcW w:w="1867" w:type="dxa"/>
            <w:tcBorders>
              <w:top w:val="nil"/>
              <w:left w:val="nil"/>
              <w:bottom w:val="single" w:color="auto" w:sz="4" w:space="0"/>
              <w:right w:val="single" w:color="auto" w:sz="4" w:space="0"/>
            </w:tcBorders>
            <w:vAlign w:val="center"/>
          </w:tcPr>
          <w:p w14:paraId="4589766F">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100≤X＜300</w:t>
            </w:r>
          </w:p>
        </w:tc>
        <w:tc>
          <w:tcPr>
            <w:tcW w:w="1659" w:type="dxa"/>
            <w:tcBorders>
              <w:top w:val="nil"/>
              <w:left w:val="nil"/>
              <w:bottom w:val="single" w:color="auto" w:sz="4" w:space="0"/>
              <w:right w:val="single" w:color="auto" w:sz="4" w:space="0"/>
            </w:tcBorders>
            <w:vAlign w:val="center"/>
          </w:tcPr>
          <w:p w14:paraId="53DB14A0">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10≤X＜100</w:t>
            </w:r>
          </w:p>
        </w:tc>
        <w:tc>
          <w:tcPr>
            <w:tcW w:w="1066" w:type="dxa"/>
            <w:tcBorders>
              <w:top w:val="nil"/>
              <w:left w:val="nil"/>
              <w:bottom w:val="single" w:color="auto" w:sz="4" w:space="0"/>
              <w:right w:val="single" w:color="auto" w:sz="4" w:space="0"/>
            </w:tcBorders>
            <w:vAlign w:val="center"/>
          </w:tcPr>
          <w:p w14:paraId="56B1664E">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X＜10</w:t>
            </w:r>
          </w:p>
        </w:tc>
      </w:tr>
      <w:tr w14:paraId="4A3F5400">
        <w:tblPrEx>
          <w:tblCellMar>
            <w:top w:w="0" w:type="dxa"/>
            <w:left w:w="108" w:type="dxa"/>
            <w:bottom w:w="0" w:type="dxa"/>
            <w:right w:w="108" w:type="dxa"/>
          </w:tblCellMar>
        </w:tblPrEx>
        <w:trPr>
          <w:trHeight w:val="356" w:hRule="atLeast"/>
        </w:trPr>
        <w:tc>
          <w:tcPr>
            <w:tcW w:w="1960" w:type="dxa"/>
            <w:vMerge w:val="continue"/>
            <w:tcBorders>
              <w:top w:val="nil"/>
              <w:left w:val="single" w:color="auto" w:sz="4" w:space="0"/>
              <w:bottom w:val="single" w:color="auto" w:sz="4" w:space="0"/>
              <w:right w:val="single" w:color="auto" w:sz="4" w:space="0"/>
            </w:tcBorders>
            <w:vAlign w:val="center"/>
          </w:tcPr>
          <w:p w14:paraId="75649BCB">
            <w:pPr>
              <w:pageBreakBefore w:val="0"/>
              <w:widowControl/>
              <w:wordWrap/>
              <w:topLinePunct w:val="0"/>
              <w:bidi w:val="0"/>
              <w:spacing w:line="560" w:lineRule="exact"/>
              <w:jc w:val="left"/>
              <w:rPr>
                <w:rFonts w:ascii="仿宋_GB2312" w:hAnsi="仿宋" w:eastAsia="仿宋_GB2312" w:cs="宋体"/>
                <w:b/>
                <w:bCs/>
                <w:color w:val="000000" w:themeColor="text1"/>
                <w:kern w:val="0"/>
                <w:sz w:val="20"/>
                <w:szCs w:val="20"/>
                <w:highlight w:val="none"/>
                <w14:textFill>
                  <w14:solidFill>
                    <w14:schemeClr w14:val="tx1"/>
                  </w14:solidFill>
                </w14:textFill>
              </w:rPr>
            </w:pPr>
          </w:p>
        </w:tc>
        <w:tc>
          <w:tcPr>
            <w:tcW w:w="1797" w:type="dxa"/>
            <w:tcBorders>
              <w:top w:val="nil"/>
              <w:left w:val="nil"/>
              <w:bottom w:val="single" w:color="auto" w:sz="4" w:space="0"/>
              <w:right w:val="single" w:color="auto" w:sz="4" w:space="0"/>
            </w:tcBorders>
            <w:vAlign w:val="center"/>
          </w:tcPr>
          <w:p w14:paraId="177E335D">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营业收入（Y）</w:t>
            </w:r>
          </w:p>
        </w:tc>
        <w:tc>
          <w:tcPr>
            <w:tcW w:w="849" w:type="dxa"/>
            <w:tcBorders>
              <w:top w:val="nil"/>
              <w:left w:val="nil"/>
              <w:bottom w:val="single" w:color="auto" w:sz="4" w:space="0"/>
              <w:right w:val="single" w:color="auto" w:sz="4" w:space="0"/>
            </w:tcBorders>
            <w:vAlign w:val="center"/>
          </w:tcPr>
          <w:p w14:paraId="48EDBF1F">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万元</w:t>
            </w:r>
          </w:p>
        </w:tc>
        <w:tc>
          <w:tcPr>
            <w:tcW w:w="1867" w:type="dxa"/>
            <w:tcBorders>
              <w:top w:val="nil"/>
              <w:left w:val="nil"/>
              <w:bottom w:val="single" w:color="auto" w:sz="4" w:space="0"/>
              <w:right w:val="single" w:color="auto" w:sz="4" w:space="0"/>
            </w:tcBorders>
            <w:vAlign w:val="center"/>
          </w:tcPr>
          <w:p w14:paraId="6605197E">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2000≤Y＜10000</w:t>
            </w:r>
          </w:p>
        </w:tc>
        <w:tc>
          <w:tcPr>
            <w:tcW w:w="1659" w:type="dxa"/>
            <w:tcBorders>
              <w:top w:val="nil"/>
              <w:left w:val="nil"/>
              <w:bottom w:val="single" w:color="auto" w:sz="4" w:space="0"/>
              <w:right w:val="single" w:color="auto" w:sz="4" w:space="0"/>
            </w:tcBorders>
            <w:vAlign w:val="center"/>
          </w:tcPr>
          <w:p w14:paraId="3C1C4C3D">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100≤Y＜2000</w:t>
            </w:r>
          </w:p>
        </w:tc>
        <w:tc>
          <w:tcPr>
            <w:tcW w:w="1066" w:type="dxa"/>
            <w:tcBorders>
              <w:top w:val="nil"/>
              <w:left w:val="nil"/>
              <w:bottom w:val="single" w:color="auto" w:sz="4" w:space="0"/>
              <w:right w:val="single" w:color="auto" w:sz="4" w:space="0"/>
            </w:tcBorders>
            <w:vAlign w:val="center"/>
          </w:tcPr>
          <w:p w14:paraId="2F6C7233">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Y＜100</w:t>
            </w:r>
          </w:p>
        </w:tc>
      </w:tr>
      <w:tr w14:paraId="3E67692D">
        <w:tblPrEx>
          <w:tblCellMar>
            <w:top w:w="0" w:type="dxa"/>
            <w:left w:w="108" w:type="dxa"/>
            <w:bottom w:w="0" w:type="dxa"/>
            <w:right w:w="108" w:type="dxa"/>
          </w:tblCellMar>
        </w:tblPrEx>
        <w:trPr>
          <w:trHeight w:val="356" w:hRule="atLeast"/>
        </w:trPr>
        <w:tc>
          <w:tcPr>
            <w:tcW w:w="1960" w:type="dxa"/>
            <w:vMerge w:val="restart"/>
            <w:tcBorders>
              <w:top w:val="nil"/>
              <w:left w:val="single" w:color="auto" w:sz="4" w:space="0"/>
              <w:bottom w:val="single" w:color="auto" w:sz="4" w:space="0"/>
              <w:right w:val="single" w:color="auto" w:sz="4" w:space="0"/>
            </w:tcBorders>
            <w:vAlign w:val="bottom"/>
          </w:tcPr>
          <w:p w14:paraId="53A3012B">
            <w:pPr>
              <w:pageBreakBefore w:val="0"/>
              <w:widowControl/>
              <w:wordWrap/>
              <w:topLinePunct w:val="0"/>
              <w:bidi w:val="0"/>
              <w:spacing w:line="560" w:lineRule="exact"/>
              <w:jc w:val="center"/>
              <w:rPr>
                <w:rFonts w:ascii="仿宋_GB2312" w:hAnsi="仿宋" w:eastAsia="仿宋_GB2312" w:cs="宋体"/>
                <w:b/>
                <w:bCs/>
                <w:color w:val="000000" w:themeColor="text1"/>
                <w:kern w:val="0"/>
                <w:sz w:val="20"/>
                <w:szCs w:val="20"/>
                <w:highlight w:val="none"/>
                <w14:textFill>
                  <w14:solidFill>
                    <w14:schemeClr w14:val="tx1"/>
                  </w14:solidFill>
                </w14:textFill>
              </w:rPr>
            </w:pPr>
            <w:r>
              <w:rPr>
                <w:rFonts w:hint="eastAsia" w:ascii="仿宋_GB2312" w:hAnsi="仿宋" w:eastAsia="仿宋_GB2312" w:cs="宋体"/>
                <w:b/>
                <w:bCs/>
                <w:color w:val="000000" w:themeColor="text1"/>
                <w:kern w:val="0"/>
                <w:sz w:val="20"/>
                <w:szCs w:val="20"/>
                <w:highlight w:val="none"/>
                <w14:textFill>
                  <w14:solidFill>
                    <w14:schemeClr w14:val="tx1"/>
                  </w14:solidFill>
                </w14:textFill>
              </w:rPr>
              <w:t>信息传输业</w:t>
            </w:r>
          </w:p>
        </w:tc>
        <w:tc>
          <w:tcPr>
            <w:tcW w:w="1797" w:type="dxa"/>
            <w:tcBorders>
              <w:top w:val="nil"/>
              <w:left w:val="nil"/>
              <w:bottom w:val="single" w:color="auto" w:sz="4" w:space="0"/>
              <w:right w:val="single" w:color="auto" w:sz="4" w:space="0"/>
            </w:tcBorders>
            <w:vAlign w:val="center"/>
          </w:tcPr>
          <w:p w14:paraId="6D0EAC6B">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从业人员（X）</w:t>
            </w:r>
          </w:p>
        </w:tc>
        <w:tc>
          <w:tcPr>
            <w:tcW w:w="849" w:type="dxa"/>
            <w:tcBorders>
              <w:top w:val="nil"/>
              <w:left w:val="nil"/>
              <w:bottom w:val="single" w:color="auto" w:sz="4" w:space="0"/>
              <w:right w:val="single" w:color="auto" w:sz="4" w:space="0"/>
            </w:tcBorders>
            <w:vAlign w:val="center"/>
          </w:tcPr>
          <w:p w14:paraId="1B374015">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人</w:t>
            </w:r>
          </w:p>
        </w:tc>
        <w:tc>
          <w:tcPr>
            <w:tcW w:w="1867" w:type="dxa"/>
            <w:tcBorders>
              <w:top w:val="nil"/>
              <w:left w:val="nil"/>
              <w:bottom w:val="single" w:color="auto" w:sz="4" w:space="0"/>
              <w:right w:val="single" w:color="auto" w:sz="4" w:space="0"/>
            </w:tcBorders>
            <w:vAlign w:val="center"/>
          </w:tcPr>
          <w:p w14:paraId="62DA359A">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100≤X＜2000</w:t>
            </w:r>
          </w:p>
        </w:tc>
        <w:tc>
          <w:tcPr>
            <w:tcW w:w="1659" w:type="dxa"/>
            <w:tcBorders>
              <w:top w:val="nil"/>
              <w:left w:val="nil"/>
              <w:bottom w:val="single" w:color="auto" w:sz="4" w:space="0"/>
              <w:right w:val="single" w:color="auto" w:sz="4" w:space="0"/>
            </w:tcBorders>
            <w:vAlign w:val="center"/>
          </w:tcPr>
          <w:p w14:paraId="03B4B92F">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10≤X＜100</w:t>
            </w:r>
          </w:p>
        </w:tc>
        <w:tc>
          <w:tcPr>
            <w:tcW w:w="1066" w:type="dxa"/>
            <w:tcBorders>
              <w:top w:val="nil"/>
              <w:left w:val="nil"/>
              <w:bottom w:val="single" w:color="auto" w:sz="4" w:space="0"/>
              <w:right w:val="single" w:color="auto" w:sz="4" w:space="0"/>
            </w:tcBorders>
            <w:vAlign w:val="center"/>
          </w:tcPr>
          <w:p w14:paraId="70994FB1">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X＜10</w:t>
            </w:r>
          </w:p>
        </w:tc>
      </w:tr>
      <w:tr w14:paraId="4D8568B7">
        <w:tblPrEx>
          <w:tblCellMar>
            <w:top w:w="0" w:type="dxa"/>
            <w:left w:w="108" w:type="dxa"/>
            <w:bottom w:w="0" w:type="dxa"/>
            <w:right w:w="108" w:type="dxa"/>
          </w:tblCellMar>
        </w:tblPrEx>
        <w:trPr>
          <w:trHeight w:val="356" w:hRule="atLeast"/>
        </w:trPr>
        <w:tc>
          <w:tcPr>
            <w:tcW w:w="1960" w:type="dxa"/>
            <w:vMerge w:val="continue"/>
            <w:tcBorders>
              <w:top w:val="nil"/>
              <w:left w:val="single" w:color="auto" w:sz="4" w:space="0"/>
              <w:bottom w:val="single" w:color="auto" w:sz="4" w:space="0"/>
              <w:right w:val="single" w:color="auto" w:sz="4" w:space="0"/>
            </w:tcBorders>
            <w:vAlign w:val="center"/>
          </w:tcPr>
          <w:p w14:paraId="521A7A22">
            <w:pPr>
              <w:pageBreakBefore w:val="0"/>
              <w:widowControl/>
              <w:wordWrap/>
              <w:topLinePunct w:val="0"/>
              <w:bidi w:val="0"/>
              <w:spacing w:line="560" w:lineRule="exact"/>
              <w:jc w:val="left"/>
              <w:rPr>
                <w:rFonts w:ascii="仿宋_GB2312" w:hAnsi="仿宋" w:eastAsia="仿宋_GB2312" w:cs="宋体"/>
                <w:b/>
                <w:bCs/>
                <w:color w:val="000000" w:themeColor="text1"/>
                <w:kern w:val="0"/>
                <w:sz w:val="20"/>
                <w:szCs w:val="20"/>
                <w:highlight w:val="none"/>
                <w14:textFill>
                  <w14:solidFill>
                    <w14:schemeClr w14:val="tx1"/>
                  </w14:solidFill>
                </w14:textFill>
              </w:rPr>
            </w:pPr>
          </w:p>
        </w:tc>
        <w:tc>
          <w:tcPr>
            <w:tcW w:w="1797" w:type="dxa"/>
            <w:tcBorders>
              <w:top w:val="nil"/>
              <w:left w:val="nil"/>
              <w:bottom w:val="single" w:color="auto" w:sz="4" w:space="0"/>
              <w:right w:val="single" w:color="auto" w:sz="4" w:space="0"/>
            </w:tcBorders>
            <w:vAlign w:val="center"/>
          </w:tcPr>
          <w:p w14:paraId="03994338">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营业收入（Y）</w:t>
            </w:r>
          </w:p>
        </w:tc>
        <w:tc>
          <w:tcPr>
            <w:tcW w:w="849" w:type="dxa"/>
            <w:tcBorders>
              <w:top w:val="nil"/>
              <w:left w:val="nil"/>
              <w:bottom w:val="single" w:color="auto" w:sz="4" w:space="0"/>
              <w:right w:val="single" w:color="auto" w:sz="4" w:space="0"/>
            </w:tcBorders>
            <w:vAlign w:val="center"/>
          </w:tcPr>
          <w:p w14:paraId="2C3F6158">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万元</w:t>
            </w:r>
          </w:p>
        </w:tc>
        <w:tc>
          <w:tcPr>
            <w:tcW w:w="1867" w:type="dxa"/>
            <w:tcBorders>
              <w:top w:val="nil"/>
              <w:left w:val="nil"/>
              <w:bottom w:val="single" w:color="auto" w:sz="4" w:space="0"/>
              <w:right w:val="single" w:color="auto" w:sz="4" w:space="0"/>
            </w:tcBorders>
            <w:vAlign w:val="center"/>
          </w:tcPr>
          <w:p w14:paraId="1CDA5734">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1000≤Y＜100000</w:t>
            </w:r>
          </w:p>
        </w:tc>
        <w:tc>
          <w:tcPr>
            <w:tcW w:w="1659" w:type="dxa"/>
            <w:tcBorders>
              <w:top w:val="nil"/>
              <w:left w:val="nil"/>
              <w:bottom w:val="single" w:color="auto" w:sz="4" w:space="0"/>
              <w:right w:val="single" w:color="auto" w:sz="4" w:space="0"/>
            </w:tcBorders>
            <w:vAlign w:val="center"/>
          </w:tcPr>
          <w:p w14:paraId="3CD528E4">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100≤Y＜1000</w:t>
            </w:r>
          </w:p>
        </w:tc>
        <w:tc>
          <w:tcPr>
            <w:tcW w:w="1066" w:type="dxa"/>
            <w:tcBorders>
              <w:top w:val="nil"/>
              <w:left w:val="nil"/>
              <w:bottom w:val="single" w:color="auto" w:sz="4" w:space="0"/>
              <w:right w:val="single" w:color="auto" w:sz="4" w:space="0"/>
            </w:tcBorders>
            <w:vAlign w:val="center"/>
          </w:tcPr>
          <w:p w14:paraId="0EA1FE47">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Y＜100</w:t>
            </w:r>
          </w:p>
        </w:tc>
      </w:tr>
      <w:tr w14:paraId="0A951486">
        <w:tblPrEx>
          <w:tblCellMar>
            <w:top w:w="0" w:type="dxa"/>
            <w:left w:w="108" w:type="dxa"/>
            <w:bottom w:w="0" w:type="dxa"/>
            <w:right w:w="108" w:type="dxa"/>
          </w:tblCellMar>
        </w:tblPrEx>
        <w:trPr>
          <w:trHeight w:val="356" w:hRule="atLeast"/>
        </w:trPr>
        <w:tc>
          <w:tcPr>
            <w:tcW w:w="1960" w:type="dxa"/>
            <w:vMerge w:val="restart"/>
            <w:tcBorders>
              <w:top w:val="nil"/>
              <w:left w:val="single" w:color="auto" w:sz="4" w:space="0"/>
              <w:bottom w:val="single" w:color="auto" w:sz="4" w:space="0"/>
              <w:right w:val="single" w:color="auto" w:sz="4" w:space="0"/>
            </w:tcBorders>
            <w:vAlign w:val="bottom"/>
          </w:tcPr>
          <w:p w14:paraId="6280E00F">
            <w:pPr>
              <w:pageBreakBefore w:val="0"/>
              <w:widowControl/>
              <w:wordWrap/>
              <w:topLinePunct w:val="0"/>
              <w:bidi w:val="0"/>
              <w:spacing w:line="560" w:lineRule="exact"/>
              <w:jc w:val="center"/>
              <w:rPr>
                <w:rFonts w:ascii="仿宋_GB2312" w:hAnsi="仿宋" w:eastAsia="仿宋_GB2312" w:cs="宋体"/>
                <w:b/>
                <w:bCs/>
                <w:color w:val="000000" w:themeColor="text1"/>
                <w:kern w:val="0"/>
                <w:sz w:val="20"/>
                <w:szCs w:val="20"/>
                <w:highlight w:val="none"/>
                <w14:textFill>
                  <w14:solidFill>
                    <w14:schemeClr w14:val="tx1"/>
                  </w14:solidFill>
                </w14:textFill>
              </w:rPr>
            </w:pPr>
            <w:r>
              <w:rPr>
                <w:rFonts w:hint="eastAsia" w:ascii="仿宋_GB2312" w:hAnsi="仿宋" w:eastAsia="仿宋_GB2312" w:cs="宋体"/>
                <w:b/>
                <w:bCs/>
                <w:color w:val="000000" w:themeColor="text1"/>
                <w:kern w:val="0"/>
                <w:sz w:val="20"/>
                <w:szCs w:val="20"/>
                <w:highlight w:val="none"/>
                <w14:textFill>
                  <w14:solidFill>
                    <w14:schemeClr w14:val="tx1"/>
                  </w14:solidFill>
                </w14:textFill>
              </w:rPr>
              <w:t>软件和信息技术服务业</w:t>
            </w:r>
          </w:p>
        </w:tc>
        <w:tc>
          <w:tcPr>
            <w:tcW w:w="1797" w:type="dxa"/>
            <w:tcBorders>
              <w:top w:val="nil"/>
              <w:left w:val="nil"/>
              <w:bottom w:val="single" w:color="auto" w:sz="4" w:space="0"/>
              <w:right w:val="single" w:color="auto" w:sz="4" w:space="0"/>
            </w:tcBorders>
            <w:vAlign w:val="center"/>
          </w:tcPr>
          <w:p w14:paraId="07C493D4">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从业人员（X）</w:t>
            </w:r>
          </w:p>
        </w:tc>
        <w:tc>
          <w:tcPr>
            <w:tcW w:w="849" w:type="dxa"/>
            <w:tcBorders>
              <w:top w:val="nil"/>
              <w:left w:val="nil"/>
              <w:bottom w:val="single" w:color="auto" w:sz="4" w:space="0"/>
              <w:right w:val="single" w:color="auto" w:sz="4" w:space="0"/>
            </w:tcBorders>
            <w:vAlign w:val="center"/>
          </w:tcPr>
          <w:p w14:paraId="1AC303D6">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人</w:t>
            </w:r>
          </w:p>
        </w:tc>
        <w:tc>
          <w:tcPr>
            <w:tcW w:w="1867" w:type="dxa"/>
            <w:tcBorders>
              <w:top w:val="nil"/>
              <w:left w:val="nil"/>
              <w:bottom w:val="single" w:color="auto" w:sz="4" w:space="0"/>
              <w:right w:val="single" w:color="auto" w:sz="4" w:space="0"/>
            </w:tcBorders>
            <w:vAlign w:val="center"/>
          </w:tcPr>
          <w:p w14:paraId="0DE1CE21">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100≤X＜300</w:t>
            </w:r>
          </w:p>
        </w:tc>
        <w:tc>
          <w:tcPr>
            <w:tcW w:w="1659" w:type="dxa"/>
            <w:tcBorders>
              <w:top w:val="nil"/>
              <w:left w:val="nil"/>
              <w:bottom w:val="single" w:color="auto" w:sz="4" w:space="0"/>
              <w:right w:val="single" w:color="auto" w:sz="4" w:space="0"/>
            </w:tcBorders>
            <w:vAlign w:val="center"/>
          </w:tcPr>
          <w:p w14:paraId="6151F92D">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10≤X＜100</w:t>
            </w:r>
          </w:p>
        </w:tc>
        <w:tc>
          <w:tcPr>
            <w:tcW w:w="1066" w:type="dxa"/>
            <w:tcBorders>
              <w:top w:val="nil"/>
              <w:left w:val="nil"/>
              <w:bottom w:val="single" w:color="auto" w:sz="4" w:space="0"/>
              <w:right w:val="single" w:color="auto" w:sz="4" w:space="0"/>
            </w:tcBorders>
            <w:vAlign w:val="center"/>
          </w:tcPr>
          <w:p w14:paraId="54322A6B">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X＜10</w:t>
            </w:r>
          </w:p>
        </w:tc>
      </w:tr>
      <w:tr w14:paraId="2638283E">
        <w:tblPrEx>
          <w:tblCellMar>
            <w:top w:w="0" w:type="dxa"/>
            <w:left w:w="108" w:type="dxa"/>
            <w:bottom w:w="0" w:type="dxa"/>
            <w:right w:w="108" w:type="dxa"/>
          </w:tblCellMar>
        </w:tblPrEx>
        <w:trPr>
          <w:trHeight w:val="356" w:hRule="atLeast"/>
        </w:trPr>
        <w:tc>
          <w:tcPr>
            <w:tcW w:w="1960" w:type="dxa"/>
            <w:vMerge w:val="continue"/>
            <w:tcBorders>
              <w:top w:val="nil"/>
              <w:left w:val="single" w:color="auto" w:sz="4" w:space="0"/>
              <w:bottom w:val="single" w:color="auto" w:sz="4" w:space="0"/>
              <w:right w:val="single" w:color="auto" w:sz="4" w:space="0"/>
            </w:tcBorders>
            <w:vAlign w:val="center"/>
          </w:tcPr>
          <w:p w14:paraId="36193C71">
            <w:pPr>
              <w:pageBreakBefore w:val="0"/>
              <w:widowControl/>
              <w:wordWrap/>
              <w:topLinePunct w:val="0"/>
              <w:bidi w:val="0"/>
              <w:spacing w:line="560" w:lineRule="exact"/>
              <w:jc w:val="left"/>
              <w:rPr>
                <w:rFonts w:ascii="仿宋_GB2312" w:hAnsi="仿宋" w:eastAsia="仿宋_GB2312" w:cs="宋体"/>
                <w:b/>
                <w:bCs/>
                <w:color w:val="000000" w:themeColor="text1"/>
                <w:kern w:val="0"/>
                <w:sz w:val="20"/>
                <w:szCs w:val="20"/>
                <w:highlight w:val="none"/>
                <w14:textFill>
                  <w14:solidFill>
                    <w14:schemeClr w14:val="tx1"/>
                  </w14:solidFill>
                </w14:textFill>
              </w:rPr>
            </w:pPr>
          </w:p>
        </w:tc>
        <w:tc>
          <w:tcPr>
            <w:tcW w:w="1797" w:type="dxa"/>
            <w:tcBorders>
              <w:top w:val="nil"/>
              <w:left w:val="nil"/>
              <w:bottom w:val="single" w:color="auto" w:sz="4" w:space="0"/>
              <w:right w:val="single" w:color="auto" w:sz="4" w:space="0"/>
            </w:tcBorders>
            <w:vAlign w:val="center"/>
          </w:tcPr>
          <w:p w14:paraId="47BFDA68">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营业收入（Y）</w:t>
            </w:r>
          </w:p>
        </w:tc>
        <w:tc>
          <w:tcPr>
            <w:tcW w:w="849" w:type="dxa"/>
            <w:tcBorders>
              <w:top w:val="nil"/>
              <w:left w:val="nil"/>
              <w:bottom w:val="single" w:color="auto" w:sz="4" w:space="0"/>
              <w:right w:val="single" w:color="auto" w:sz="4" w:space="0"/>
            </w:tcBorders>
            <w:vAlign w:val="center"/>
          </w:tcPr>
          <w:p w14:paraId="45B9A417">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万元</w:t>
            </w:r>
          </w:p>
        </w:tc>
        <w:tc>
          <w:tcPr>
            <w:tcW w:w="1867" w:type="dxa"/>
            <w:tcBorders>
              <w:top w:val="nil"/>
              <w:left w:val="nil"/>
              <w:bottom w:val="single" w:color="auto" w:sz="4" w:space="0"/>
              <w:right w:val="single" w:color="auto" w:sz="4" w:space="0"/>
            </w:tcBorders>
            <w:vAlign w:val="center"/>
          </w:tcPr>
          <w:p w14:paraId="414DF260">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1000≤Y＜10000</w:t>
            </w:r>
          </w:p>
        </w:tc>
        <w:tc>
          <w:tcPr>
            <w:tcW w:w="1659" w:type="dxa"/>
            <w:tcBorders>
              <w:top w:val="nil"/>
              <w:left w:val="nil"/>
              <w:bottom w:val="single" w:color="auto" w:sz="4" w:space="0"/>
              <w:right w:val="single" w:color="auto" w:sz="4" w:space="0"/>
            </w:tcBorders>
            <w:vAlign w:val="center"/>
          </w:tcPr>
          <w:p w14:paraId="3644AF89">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50≤Y＜1000</w:t>
            </w:r>
          </w:p>
        </w:tc>
        <w:tc>
          <w:tcPr>
            <w:tcW w:w="1066" w:type="dxa"/>
            <w:tcBorders>
              <w:top w:val="nil"/>
              <w:left w:val="nil"/>
              <w:bottom w:val="single" w:color="auto" w:sz="4" w:space="0"/>
              <w:right w:val="single" w:color="auto" w:sz="4" w:space="0"/>
            </w:tcBorders>
            <w:vAlign w:val="center"/>
          </w:tcPr>
          <w:p w14:paraId="2986BFBA">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Y＜50</w:t>
            </w:r>
          </w:p>
        </w:tc>
      </w:tr>
      <w:tr w14:paraId="4AE3BEC0">
        <w:tblPrEx>
          <w:tblCellMar>
            <w:top w:w="0" w:type="dxa"/>
            <w:left w:w="108" w:type="dxa"/>
            <w:bottom w:w="0" w:type="dxa"/>
            <w:right w:w="108" w:type="dxa"/>
          </w:tblCellMar>
        </w:tblPrEx>
        <w:trPr>
          <w:trHeight w:val="356" w:hRule="atLeast"/>
        </w:trPr>
        <w:tc>
          <w:tcPr>
            <w:tcW w:w="1960" w:type="dxa"/>
            <w:vMerge w:val="restart"/>
            <w:tcBorders>
              <w:top w:val="nil"/>
              <w:left w:val="single" w:color="auto" w:sz="4" w:space="0"/>
              <w:bottom w:val="single" w:color="auto" w:sz="4" w:space="0"/>
              <w:right w:val="single" w:color="auto" w:sz="4" w:space="0"/>
            </w:tcBorders>
            <w:vAlign w:val="bottom"/>
          </w:tcPr>
          <w:p w14:paraId="3D71A808">
            <w:pPr>
              <w:pageBreakBefore w:val="0"/>
              <w:widowControl/>
              <w:wordWrap/>
              <w:topLinePunct w:val="0"/>
              <w:bidi w:val="0"/>
              <w:spacing w:line="560" w:lineRule="exact"/>
              <w:jc w:val="center"/>
              <w:rPr>
                <w:rFonts w:ascii="仿宋_GB2312" w:hAnsi="仿宋" w:eastAsia="仿宋_GB2312" w:cs="宋体"/>
                <w:b/>
                <w:bCs/>
                <w:color w:val="000000" w:themeColor="text1"/>
                <w:kern w:val="0"/>
                <w:sz w:val="20"/>
                <w:szCs w:val="20"/>
                <w:highlight w:val="none"/>
                <w14:textFill>
                  <w14:solidFill>
                    <w14:schemeClr w14:val="tx1"/>
                  </w14:solidFill>
                </w14:textFill>
              </w:rPr>
            </w:pPr>
            <w:r>
              <w:rPr>
                <w:rFonts w:hint="eastAsia" w:ascii="仿宋_GB2312" w:hAnsi="仿宋" w:eastAsia="仿宋_GB2312" w:cs="宋体"/>
                <w:b/>
                <w:bCs/>
                <w:color w:val="000000" w:themeColor="text1"/>
                <w:kern w:val="0"/>
                <w:sz w:val="20"/>
                <w:szCs w:val="20"/>
                <w:highlight w:val="none"/>
                <w14:textFill>
                  <w14:solidFill>
                    <w14:schemeClr w14:val="tx1"/>
                  </w14:solidFill>
                </w14:textFill>
              </w:rPr>
              <w:t>房地产开发经营</w:t>
            </w:r>
          </w:p>
        </w:tc>
        <w:tc>
          <w:tcPr>
            <w:tcW w:w="1797" w:type="dxa"/>
            <w:tcBorders>
              <w:top w:val="nil"/>
              <w:left w:val="nil"/>
              <w:bottom w:val="single" w:color="auto" w:sz="4" w:space="0"/>
              <w:right w:val="single" w:color="auto" w:sz="4" w:space="0"/>
            </w:tcBorders>
            <w:vAlign w:val="center"/>
          </w:tcPr>
          <w:p w14:paraId="798AC1C9">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营业收入（Y）</w:t>
            </w:r>
          </w:p>
        </w:tc>
        <w:tc>
          <w:tcPr>
            <w:tcW w:w="849" w:type="dxa"/>
            <w:tcBorders>
              <w:top w:val="nil"/>
              <w:left w:val="nil"/>
              <w:bottom w:val="single" w:color="auto" w:sz="4" w:space="0"/>
              <w:right w:val="single" w:color="auto" w:sz="4" w:space="0"/>
            </w:tcBorders>
            <w:vAlign w:val="center"/>
          </w:tcPr>
          <w:p w14:paraId="43728C78">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万元</w:t>
            </w:r>
          </w:p>
        </w:tc>
        <w:tc>
          <w:tcPr>
            <w:tcW w:w="1867" w:type="dxa"/>
            <w:tcBorders>
              <w:top w:val="nil"/>
              <w:left w:val="nil"/>
              <w:bottom w:val="single" w:color="auto" w:sz="4" w:space="0"/>
              <w:right w:val="single" w:color="auto" w:sz="4" w:space="0"/>
            </w:tcBorders>
            <w:vAlign w:val="center"/>
          </w:tcPr>
          <w:p w14:paraId="4998C198">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1000≤Y＜200000</w:t>
            </w:r>
          </w:p>
        </w:tc>
        <w:tc>
          <w:tcPr>
            <w:tcW w:w="1659" w:type="dxa"/>
            <w:tcBorders>
              <w:top w:val="nil"/>
              <w:left w:val="nil"/>
              <w:bottom w:val="single" w:color="auto" w:sz="4" w:space="0"/>
              <w:right w:val="single" w:color="auto" w:sz="4" w:space="0"/>
            </w:tcBorders>
            <w:vAlign w:val="center"/>
          </w:tcPr>
          <w:p w14:paraId="6AA5D9D8">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100≤X＜1000</w:t>
            </w:r>
          </w:p>
        </w:tc>
        <w:tc>
          <w:tcPr>
            <w:tcW w:w="1066" w:type="dxa"/>
            <w:tcBorders>
              <w:top w:val="nil"/>
              <w:left w:val="nil"/>
              <w:bottom w:val="single" w:color="auto" w:sz="4" w:space="0"/>
              <w:right w:val="single" w:color="auto" w:sz="4" w:space="0"/>
            </w:tcBorders>
            <w:vAlign w:val="center"/>
          </w:tcPr>
          <w:p w14:paraId="24C55A66">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X＜100</w:t>
            </w:r>
          </w:p>
        </w:tc>
      </w:tr>
      <w:tr w14:paraId="7CE5E3B0">
        <w:tblPrEx>
          <w:tblCellMar>
            <w:top w:w="0" w:type="dxa"/>
            <w:left w:w="108" w:type="dxa"/>
            <w:bottom w:w="0" w:type="dxa"/>
            <w:right w:w="108" w:type="dxa"/>
          </w:tblCellMar>
        </w:tblPrEx>
        <w:trPr>
          <w:trHeight w:val="356" w:hRule="atLeast"/>
        </w:trPr>
        <w:tc>
          <w:tcPr>
            <w:tcW w:w="1960" w:type="dxa"/>
            <w:vMerge w:val="continue"/>
            <w:tcBorders>
              <w:top w:val="nil"/>
              <w:left w:val="single" w:color="auto" w:sz="4" w:space="0"/>
              <w:bottom w:val="single" w:color="auto" w:sz="4" w:space="0"/>
              <w:right w:val="single" w:color="auto" w:sz="4" w:space="0"/>
            </w:tcBorders>
            <w:vAlign w:val="center"/>
          </w:tcPr>
          <w:p w14:paraId="63B53697">
            <w:pPr>
              <w:pageBreakBefore w:val="0"/>
              <w:widowControl/>
              <w:wordWrap/>
              <w:topLinePunct w:val="0"/>
              <w:bidi w:val="0"/>
              <w:spacing w:line="560" w:lineRule="exact"/>
              <w:jc w:val="left"/>
              <w:rPr>
                <w:rFonts w:ascii="仿宋_GB2312" w:hAnsi="仿宋" w:eastAsia="仿宋_GB2312" w:cs="宋体"/>
                <w:b/>
                <w:bCs/>
                <w:color w:val="000000" w:themeColor="text1"/>
                <w:kern w:val="0"/>
                <w:sz w:val="20"/>
                <w:szCs w:val="20"/>
                <w:highlight w:val="none"/>
                <w14:textFill>
                  <w14:solidFill>
                    <w14:schemeClr w14:val="tx1"/>
                  </w14:solidFill>
                </w14:textFill>
              </w:rPr>
            </w:pPr>
          </w:p>
        </w:tc>
        <w:tc>
          <w:tcPr>
            <w:tcW w:w="1797" w:type="dxa"/>
            <w:tcBorders>
              <w:top w:val="nil"/>
              <w:left w:val="nil"/>
              <w:bottom w:val="single" w:color="auto" w:sz="4" w:space="0"/>
              <w:right w:val="single" w:color="auto" w:sz="4" w:space="0"/>
            </w:tcBorders>
            <w:vAlign w:val="center"/>
          </w:tcPr>
          <w:p w14:paraId="3337FD50">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资产总额（Z）</w:t>
            </w:r>
          </w:p>
        </w:tc>
        <w:tc>
          <w:tcPr>
            <w:tcW w:w="849" w:type="dxa"/>
            <w:tcBorders>
              <w:top w:val="nil"/>
              <w:left w:val="nil"/>
              <w:bottom w:val="single" w:color="auto" w:sz="4" w:space="0"/>
              <w:right w:val="single" w:color="auto" w:sz="4" w:space="0"/>
            </w:tcBorders>
            <w:vAlign w:val="center"/>
          </w:tcPr>
          <w:p w14:paraId="7127CC46">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万元</w:t>
            </w:r>
          </w:p>
        </w:tc>
        <w:tc>
          <w:tcPr>
            <w:tcW w:w="1867" w:type="dxa"/>
            <w:tcBorders>
              <w:top w:val="nil"/>
              <w:left w:val="nil"/>
              <w:bottom w:val="single" w:color="auto" w:sz="4" w:space="0"/>
              <w:right w:val="single" w:color="auto" w:sz="4" w:space="0"/>
            </w:tcBorders>
            <w:vAlign w:val="center"/>
          </w:tcPr>
          <w:p w14:paraId="4AC064FD">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5000≤Z＜10000</w:t>
            </w:r>
          </w:p>
        </w:tc>
        <w:tc>
          <w:tcPr>
            <w:tcW w:w="1659" w:type="dxa"/>
            <w:tcBorders>
              <w:top w:val="nil"/>
              <w:left w:val="nil"/>
              <w:bottom w:val="single" w:color="auto" w:sz="4" w:space="0"/>
              <w:right w:val="single" w:color="auto" w:sz="4" w:space="0"/>
            </w:tcBorders>
            <w:vAlign w:val="center"/>
          </w:tcPr>
          <w:p w14:paraId="064CEB0E">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2000≤Y＜5000</w:t>
            </w:r>
          </w:p>
        </w:tc>
        <w:tc>
          <w:tcPr>
            <w:tcW w:w="1066" w:type="dxa"/>
            <w:tcBorders>
              <w:top w:val="nil"/>
              <w:left w:val="nil"/>
              <w:bottom w:val="single" w:color="auto" w:sz="4" w:space="0"/>
              <w:right w:val="single" w:color="auto" w:sz="4" w:space="0"/>
            </w:tcBorders>
            <w:vAlign w:val="center"/>
          </w:tcPr>
          <w:p w14:paraId="1B2BFAEE">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Y＜2000</w:t>
            </w:r>
          </w:p>
        </w:tc>
      </w:tr>
      <w:tr w14:paraId="70A6CA01">
        <w:tblPrEx>
          <w:tblCellMar>
            <w:top w:w="0" w:type="dxa"/>
            <w:left w:w="108" w:type="dxa"/>
            <w:bottom w:w="0" w:type="dxa"/>
            <w:right w:w="108" w:type="dxa"/>
          </w:tblCellMar>
        </w:tblPrEx>
        <w:trPr>
          <w:trHeight w:val="356" w:hRule="atLeast"/>
        </w:trPr>
        <w:tc>
          <w:tcPr>
            <w:tcW w:w="1960" w:type="dxa"/>
            <w:vMerge w:val="restart"/>
            <w:tcBorders>
              <w:top w:val="nil"/>
              <w:left w:val="single" w:color="auto" w:sz="4" w:space="0"/>
              <w:bottom w:val="single" w:color="auto" w:sz="4" w:space="0"/>
              <w:right w:val="single" w:color="auto" w:sz="4" w:space="0"/>
            </w:tcBorders>
            <w:vAlign w:val="bottom"/>
          </w:tcPr>
          <w:p w14:paraId="424E1052">
            <w:pPr>
              <w:pageBreakBefore w:val="0"/>
              <w:widowControl/>
              <w:wordWrap/>
              <w:topLinePunct w:val="0"/>
              <w:bidi w:val="0"/>
              <w:spacing w:line="560" w:lineRule="exact"/>
              <w:jc w:val="center"/>
              <w:rPr>
                <w:rFonts w:ascii="仿宋_GB2312" w:hAnsi="仿宋" w:eastAsia="仿宋_GB2312" w:cs="宋体"/>
                <w:b/>
                <w:bCs/>
                <w:color w:val="000000" w:themeColor="text1"/>
                <w:kern w:val="0"/>
                <w:sz w:val="20"/>
                <w:szCs w:val="20"/>
                <w:highlight w:val="none"/>
                <w14:textFill>
                  <w14:solidFill>
                    <w14:schemeClr w14:val="tx1"/>
                  </w14:solidFill>
                </w14:textFill>
              </w:rPr>
            </w:pPr>
            <w:r>
              <w:rPr>
                <w:rFonts w:hint="eastAsia" w:ascii="仿宋_GB2312" w:hAnsi="仿宋" w:eastAsia="仿宋_GB2312" w:cs="宋体"/>
                <w:b/>
                <w:bCs/>
                <w:color w:val="000000" w:themeColor="text1"/>
                <w:kern w:val="0"/>
                <w:sz w:val="20"/>
                <w:szCs w:val="20"/>
                <w:highlight w:val="none"/>
                <w14:textFill>
                  <w14:solidFill>
                    <w14:schemeClr w14:val="tx1"/>
                  </w14:solidFill>
                </w14:textFill>
              </w:rPr>
              <w:t>物业管理</w:t>
            </w:r>
          </w:p>
        </w:tc>
        <w:tc>
          <w:tcPr>
            <w:tcW w:w="1797" w:type="dxa"/>
            <w:tcBorders>
              <w:top w:val="nil"/>
              <w:left w:val="nil"/>
              <w:bottom w:val="single" w:color="auto" w:sz="4" w:space="0"/>
              <w:right w:val="single" w:color="auto" w:sz="4" w:space="0"/>
            </w:tcBorders>
            <w:vAlign w:val="center"/>
          </w:tcPr>
          <w:p w14:paraId="6B9B75D7">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从业人员（X）</w:t>
            </w:r>
          </w:p>
        </w:tc>
        <w:tc>
          <w:tcPr>
            <w:tcW w:w="849" w:type="dxa"/>
            <w:tcBorders>
              <w:top w:val="nil"/>
              <w:left w:val="nil"/>
              <w:bottom w:val="single" w:color="auto" w:sz="4" w:space="0"/>
              <w:right w:val="single" w:color="auto" w:sz="4" w:space="0"/>
            </w:tcBorders>
            <w:vAlign w:val="center"/>
          </w:tcPr>
          <w:p w14:paraId="48FECB86">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人</w:t>
            </w:r>
          </w:p>
        </w:tc>
        <w:tc>
          <w:tcPr>
            <w:tcW w:w="1867" w:type="dxa"/>
            <w:tcBorders>
              <w:top w:val="nil"/>
              <w:left w:val="nil"/>
              <w:bottom w:val="single" w:color="auto" w:sz="4" w:space="0"/>
              <w:right w:val="single" w:color="auto" w:sz="4" w:space="0"/>
            </w:tcBorders>
            <w:vAlign w:val="center"/>
          </w:tcPr>
          <w:p w14:paraId="152AF95D">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300≤X＜1000</w:t>
            </w:r>
          </w:p>
        </w:tc>
        <w:tc>
          <w:tcPr>
            <w:tcW w:w="1659" w:type="dxa"/>
            <w:tcBorders>
              <w:top w:val="nil"/>
              <w:left w:val="nil"/>
              <w:bottom w:val="single" w:color="auto" w:sz="4" w:space="0"/>
              <w:right w:val="single" w:color="auto" w:sz="4" w:space="0"/>
            </w:tcBorders>
            <w:vAlign w:val="center"/>
          </w:tcPr>
          <w:p w14:paraId="64EFFF98">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100≤X＜300</w:t>
            </w:r>
          </w:p>
        </w:tc>
        <w:tc>
          <w:tcPr>
            <w:tcW w:w="1066" w:type="dxa"/>
            <w:tcBorders>
              <w:top w:val="nil"/>
              <w:left w:val="nil"/>
              <w:bottom w:val="single" w:color="auto" w:sz="4" w:space="0"/>
              <w:right w:val="single" w:color="auto" w:sz="4" w:space="0"/>
            </w:tcBorders>
            <w:vAlign w:val="center"/>
          </w:tcPr>
          <w:p w14:paraId="4E637D6E">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X＜100</w:t>
            </w:r>
          </w:p>
        </w:tc>
      </w:tr>
      <w:tr w14:paraId="6EE3576A">
        <w:tblPrEx>
          <w:tblCellMar>
            <w:top w:w="0" w:type="dxa"/>
            <w:left w:w="108" w:type="dxa"/>
            <w:bottom w:w="0" w:type="dxa"/>
            <w:right w:w="108" w:type="dxa"/>
          </w:tblCellMar>
        </w:tblPrEx>
        <w:trPr>
          <w:trHeight w:val="356" w:hRule="atLeast"/>
        </w:trPr>
        <w:tc>
          <w:tcPr>
            <w:tcW w:w="1960" w:type="dxa"/>
            <w:vMerge w:val="continue"/>
            <w:tcBorders>
              <w:top w:val="nil"/>
              <w:left w:val="single" w:color="auto" w:sz="4" w:space="0"/>
              <w:bottom w:val="single" w:color="auto" w:sz="4" w:space="0"/>
              <w:right w:val="single" w:color="auto" w:sz="4" w:space="0"/>
            </w:tcBorders>
            <w:vAlign w:val="center"/>
          </w:tcPr>
          <w:p w14:paraId="4C99EAF0">
            <w:pPr>
              <w:pageBreakBefore w:val="0"/>
              <w:widowControl/>
              <w:wordWrap/>
              <w:topLinePunct w:val="0"/>
              <w:bidi w:val="0"/>
              <w:spacing w:line="560" w:lineRule="exact"/>
              <w:jc w:val="left"/>
              <w:rPr>
                <w:rFonts w:ascii="仿宋_GB2312" w:hAnsi="仿宋" w:eastAsia="仿宋_GB2312" w:cs="宋体"/>
                <w:b/>
                <w:bCs/>
                <w:color w:val="000000" w:themeColor="text1"/>
                <w:kern w:val="0"/>
                <w:sz w:val="20"/>
                <w:szCs w:val="20"/>
                <w:highlight w:val="none"/>
                <w14:textFill>
                  <w14:solidFill>
                    <w14:schemeClr w14:val="tx1"/>
                  </w14:solidFill>
                </w14:textFill>
              </w:rPr>
            </w:pPr>
          </w:p>
        </w:tc>
        <w:tc>
          <w:tcPr>
            <w:tcW w:w="1797" w:type="dxa"/>
            <w:tcBorders>
              <w:top w:val="nil"/>
              <w:left w:val="nil"/>
              <w:bottom w:val="single" w:color="auto" w:sz="4" w:space="0"/>
              <w:right w:val="single" w:color="auto" w:sz="4" w:space="0"/>
            </w:tcBorders>
            <w:vAlign w:val="center"/>
          </w:tcPr>
          <w:p w14:paraId="4742FAF7">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营业收入（Y）</w:t>
            </w:r>
          </w:p>
        </w:tc>
        <w:tc>
          <w:tcPr>
            <w:tcW w:w="849" w:type="dxa"/>
            <w:tcBorders>
              <w:top w:val="nil"/>
              <w:left w:val="nil"/>
              <w:bottom w:val="single" w:color="auto" w:sz="4" w:space="0"/>
              <w:right w:val="single" w:color="auto" w:sz="4" w:space="0"/>
            </w:tcBorders>
            <w:vAlign w:val="center"/>
          </w:tcPr>
          <w:p w14:paraId="170C329D">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万元</w:t>
            </w:r>
          </w:p>
        </w:tc>
        <w:tc>
          <w:tcPr>
            <w:tcW w:w="1867" w:type="dxa"/>
            <w:tcBorders>
              <w:top w:val="nil"/>
              <w:left w:val="nil"/>
              <w:bottom w:val="single" w:color="auto" w:sz="4" w:space="0"/>
              <w:right w:val="single" w:color="auto" w:sz="4" w:space="0"/>
            </w:tcBorders>
            <w:vAlign w:val="center"/>
          </w:tcPr>
          <w:p w14:paraId="4227E861">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1000≤Y＜5000</w:t>
            </w:r>
          </w:p>
        </w:tc>
        <w:tc>
          <w:tcPr>
            <w:tcW w:w="1659" w:type="dxa"/>
            <w:tcBorders>
              <w:top w:val="nil"/>
              <w:left w:val="nil"/>
              <w:bottom w:val="single" w:color="auto" w:sz="4" w:space="0"/>
              <w:right w:val="single" w:color="auto" w:sz="4" w:space="0"/>
            </w:tcBorders>
            <w:vAlign w:val="center"/>
          </w:tcPr>
          <w:p w14:paraId="383D38CA">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500≤Y＜1000</w:t>
            </w:r>
          </w:p>
        </w:tc>
        <w:tc>
          <w:tcPr>
            <w:tcW w:w="1066" w:type="dxa"/>
            <w:tcBorders>
              <w:top w:val="nil"/>
              <w:left w:val="nil"/>
              <w:bottom w:val="single" w:color="auto" w:sz="4" w:space="0"/>
              <w:right w:val="single" w:color="auto" w:sz="4" w:space="0"/>
            </w:tcBorders>
            <w:vAlign w:val="center"/>
          </w:tcPr>
          <w:p w14:paraId="163BF489">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Y＜500</w:t>
            </w:r>
          </w:p>
        </w:tc>
      </w:tr>
      <w:tr w14:paraId="4F71BD8B">
        <w:tblPrEx>
          <w:tblCellMar>
            <w:top w:w="0" w:type="dxa"/>
            <w:left w:w="108" w:type="dxa"/>
            <w:bottom w:w="0" w:type="dxa"/>
            <w:right w:w="108" w:type="dxa"/>
          </w:tblCellMar>
        </w:tblPrEx>
        <w:trPr>
          <w:trHeight w:val="356" w:hRule="atLeast"/>
        </w:trPr>
        <w:tc>
          <w:tcPr>
            <w:tcW w:w="1960" w:type="dxa"/>
            <w:vMerge w:val="restart"/>
            <w:tcBorders>
              <w:top w:val="nil"/>
              <w:left w:val="single" w:color="auto" w:sz="4" w:space="0"/>
              <w:bottom w:val="single" w:color="auto" w:sz="4" w:space="0"/>
              <w:right w:val="single" w:color="auto" w:sz="4" w:space="0"/>
            </w:tcBorders>
            <w:vAlign w:val="bottom"/>
          </w:tcPr>
          <w:p w14:paraId="0546C6BC">
            <w:pPr>
              <w:pageBreakBefore w:val="0"/>
              <w:widowControl/>
              <w:wordWrap/>
              <w:topLinePunct w:val="0"/>
              <w:bidi w:val="0"/>
              <w:spacing w:line="560" w:lineRule="exact"/>
              <w:jc w:val="center"/>
              <w:rPr>
                <w:rFonts w:ascii="仿宋_GB2312" w:hAnsi="仿宋" w:eastAsia="仿宋_GB2312" w:cs="宋体"/>
                <w:b/>
                <w:bCs/>
                <w:color w:val="000000" w:themeColor="text1"/>
                <w:kern w:val="0"/>
                <w:sz w:val="20"/>
                <w:szCs w:val="20"/>
                <w:highlight w:val="none"/>
                <w14:textFill>
                  <w14:solidFill>
                    <w14:schemeClr w14:val="tx1"/>
                  </w14:solidFill>
                </w14:textFill>
              </w:rPr>
            </w:pPr>
            <w:r>
              <w:rPr>
                <w:rFonts w:hint="eastAsia" w:ascii="仿宋_GB2312" w:hAnsi="仿宋" w:eastAsia="仿宋_GB2312" w:cs="宋体"/>
                <w:b/>
                <w:bCs/>
                <w:color w:val="000000" w:themeColor="text1"/>
                <w:kern w:val="0"/>
                <w:sz w:val="20"/>
                <w:szCs w:val="20"/>
                <w:highlight w:val="none"/>
                <w14:textFill>
                  <w14:solidFill>
                    <w14:schemeClr w14:val="tx1"/>
                  </w14:solidFill>
                </w14:textFill>
              </w:rPr>
              <w:t>租赁和商务服务业</w:t>
            </w:r>
          </w:p>
        </w:tc>
        <w:tc>
          <w:tcPr>
            <w:tcW w:w="1797" w:type="dxa"/>
            <w:tcBorders>
              <w:top w:val="nil"/>
              <w:left w:val="nil"/>
              <w:bottom w:val="single" w:color="auto" w:sz="4" w:space="0"/>
              <w:right w:val="single" w:color="auto" w:sz="4" w:space="0"/>
            </w:tcBorders>
            <w:vAlign w:val="center"/>
          </w:tcPr>
          <w:p w14:paraId="276EB4D7">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从业人员（X）</w:t>
            </w:r>
          </w:p>
        </w:tc>
        <w:tc>
          <w:tcPr>
            <w:tcW w:w="849" w:type="dxa"/>
            <w:tcBorders>
              <w:top w:val="nil"/>
              <w:left w:val="nil"/>
              <w:bottom w:val="single" w:color="auto" w:sz="4" w:space="0"/>
              <w:right w:val="single" w:color="auto" w:sz="4" w:space="0"/>
            </w:tcBorders>
            <w:vAlign w:val="center"/>
          </w:tcPr>
          <w:p w14:paraId="2D3B46E0">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人</w:t>
            </w:r>
          </w:p>
        </w:tc>
        <w:tc>
          <w:tcPr>
            <w:tcW w:w="1867" w:type="dxa"/>
            <w:tcBorders>
              <w:top w:val="nil"/>
              <w:left w:val="nil"/>
              <w:bottom w:val="single" w:color="auto" w:sz="4" w:space="0"/>
              <w:right w:val="single" w:color="auto" w:sz="4" w:space="0"/>
            </w:tcBorders>
            <w:vAlign w:val="center"/>
          </w:tcPr>
          <w:p w14:paraId="503E090C">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100≤X＜300</w:t>
            </w:r>
          </w:p>
        </w:tc>
        <w:tc>
          <w:tcPr>
            <w:tcW w:w="1659" w:type="dxa"/>
            <w:tcBorders>
              <w:top w:val="nil"/>
              <w:left w:val="nil"/>
              <w:bottom w:val="single" w:color="auto" w:sz="4" w:space="0"/>
              <w:right w:val="single" w:color="auto" w:sz="4" w:space="0"/>
            </w:tcBorders>
            <w:vAlign w:val="center"/>
          </w:tcPr>
          <w:p w14:paraId="4A6E441E">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10≤X＜100</w:t>
            </w:r>
          </w:p>
        </w:tc>
        <w:tc>
          <w:tcPr>
            <w:tcW w:w="1066" w:type="dxa"/>
            <w:tcBorders>
              <w:top w:val="nil"/>
              <w:left w:val="nil"/>
              <w:bottom w:val="single" w:color="auto" w:sz="4" w:space="0"/>
              <w:right w:val="single" w:color="auto" w:sz="4" w:space="0"/>
            </w:tcBorders>
            <w:vAlign w:val="center"/>
          </w:tcPr>
          <w:p w14:paraId="20165879">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X＜10</w:t>
            </w:r>
          </w:p>
        </w:tc>
      </w:tr>
      <w:tr w14:paraId="2A28C441">
        <w:tblPrEx>
          <w:tblCellMar>
            <w:top w:w="0" w:type="dxa"/>
            <w:left w:w="108" w:type="dxa"/>
            <w:bottom w:w="0" w:type="dxa"/>
            <w:right w:w="108" w:type="dxa"/>
          </w:tblCellMar>
        </w:tblPrEx>
        <w:trPr>
          <w:trHeight w:val="356" w:hRule="atLeast"/>
        </w:trPr>
        <w:tc>
          <w:tcPr>
            <w:tcW w:w="1960" w:type="dxa"/>
            <w:vMerge w:val="continue"/>
            <w:tcBorders>
              <w:top w:val="nil"/>
              <w:left w:val="single" w:color="auto" w:sz="4" w:space="0"/>
              <w:bottom w:val="single" w:color="auto" w:sz="4" w:space="0"/>
              <w:right w:val="single" w:color="auto" w:sz="4" w:space="0"/>
            </w:tcBorders>
            <w:vAlign w:val="center"/>
          </w:tcPr>
          <w:p w14:paraId="2CA7BAF3">
            <w:pPr>
              <w:pageBreakBefore w:val="0"/>
              <w:widowControl/>
              <w:wordWrap/>
              <w:topLinePunct w:val="0"/>
              <w:bidi w:val="0"/>
              <w:spacing w:line="560" w:lineRule="exact"/>
              <w:jc w:val="left"/>
              <w:rPr>
                <w:rFonts w:ascii="仿宋_GB2312" w:hAnsi="仿宋" w:eastAsia="仿宋_GB2312" w:cs="宋体"/>
                <w:b/>
                <w:bCs/>
                <w:color w:val="000000" w:themeColor="text1"/>
                <w:kern w:val="0"/>
                <w:sz w:val="20"/>
                <w:szCs w:val="20"/>
                <w:highlight w:val="none"/>
                <w14:textFill>
                  <w14:solidFill>
                    <w14:schemeClr w14:val="tx1"/>
                  </w14:solidFill>
                </w14:textFill>
              </w:rPr>
            </w:pPr>
          </w:p>
        </w:tc>
        <w:tc>
          <w:tcPr>
            <w:tcW w:w="1797" w:type="dxa"/>
            <w:tcBorders>
              <w:top w:val="nil"/>
              <w:left w:val="nil"/>
              <w:bottom w:val="single" w:color="auto" w:sz="4" w:space="0"/>
              <w:right w:val="single" w:color="auto" w:sz="4" w:space="0"/>
            </w:tcBorders>
            <w:vAlign w:val="center"/>
          </w:tcPr>
          <w:p w14:paraId="6E9ACF57">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资产总额（Z）</w:t>
            </w:r>
          </w:p>
        </w:tc>
        <w:tc>
          <w:tcPr>
            <w:tcW w:w="849" w:type="dxa"/>
            <w:tcBorders>
              <w:top w:val="nil"/>
              <w:left w:val="nil"/>
              <w:bottom w:val="single" w:color="auto" w:sz="4" w:space="0"/>
              <w:right w:val="single" w:color="auto" w:sz="4" w:space="0"/>
            </w:tcBorders>
            <w:vAlign w:val="center"/>
          </w:tcPr>
          <w:p w14:paraId="6F2B55D3">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万元</w:t>
            </w:r>
          </w:p>
        </w:tc>
        <w:tc>
          <w:tcPr>
            <w:tcW w:w="1867" w:type="dxa"/>
            <w:tcBorders>
              <w:top w:val="nil"/>
              <w:left w:val="nil"/>
              <w:bottom w:val="single" w:color="auto" w:sz="4" w:space="0"/>
              <w:right w:val="single" w:color="auto" w:sz="4" w:space="0"/>
            </w:tcBorders>
            <w:vAlign w:val="center"/>
          </w:tcPr>
          <w:p w14:paraId="7D186027">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8000≤Z＜120000</w:t>
            </w:r>
          </w:p>
        </w:tc>
        <w:tc>
          <w:tcPr>
            <w:tcW w:w="1659" w:type="dxa"/>
            <w:tcBorders>
              <w:top w:val="nil"/>
              <w:left w:val="nil"/>
              <w:bottom w:val="single" w:color="auto" w:sz="4" w:space="0"/>
              <w:right w:val="single" w:color="auto" w:sz="4" w:space="0"/>
            </w:tcBorders>
            <w:vAlign w:val="center"/>
          </w:tcPr>
          <w:p w14:paraId="328C1B2E">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100≤Z＜8000</w:t>
            </w:r>
          </w:p>
        </w:tc>
        <w:tc>
          <w:tcPr>
            <w:tcW w:w="1066" w:type="dxa"/>
            <w:tcBorders>
              <w:top w:val="nil"/>
              <w:left w:val="nil"/>
              <w:bottom w:val="single" w:color="auto" w:sz="4" w:space="0"/>
              <w:right w:val="single" w:color="auto" w:sz="4" w:space="0"/>
            </w:tcBorders>
            <w:vAlign w:val="center"/>
          </w:tcPr>
          <w:p w14:paraId="1FB40D63">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Y＜100</w:t>
            </w:r>
          </w:p>
        </w:tc>
      </w:tr>
      <w:tr w14:paraId="307419B0">
        <w:tblPrEx>
          <w:tblCellMar>
            <w:top w:w="0" w:type="dxa"/>
            <w:left w:w="108" w:type="dxa"/>
            <w:bottom w:w="0" w:type="dxa"/>
            <w:right w:w="108" w:type="dxa"/>
          </w:tblCellMar>
        </w:tblPrEx>
        <w:trPr>
          <w:trHeight w:val="367" w:hRule="atLeast"/>
        </w:trPr>
        <w:tc>
          <w:tcPr>
            <w:tcW w:w="1960" w:type="dxa"/>
            <w:tcBorders>
              <w:top w:val="nil"/>
              <w:left w:val="single" w:color="auto" w:sz="4" w:space="0"/>
              <w:bottom w:val="single" w:color="auto" w:sz="4" w:space="0"/>
              <w:right w:val="single" w:color="auto" w:sz="4" w:space="0"/>
            </w:tcBorders>
            <w:vAlign w:val="bottom"/>
          </w:tcPr>
          <w:p w14:paraId="0D8E1CE9">
            <w:pPr>
              <w:pageBreakBefore w:val="0"/>
              <w:widowControl/>
              <w:wordWrap/>
              <w:topLinePunct w:val="0"/>
              <w:bidi w:val="0"/>
              <w:spacing w:line="560" w:lineRule="exact"/>
              <w:jc w:val="center"/>
              <w:rPr>
                <w:rFonts w:ascii="仿宋_GB2312" w:hAnsi="仿宋" w:eastAsia="仿宋_GB2312" w:cs="宋体"/>
                <w:b/>
                <w:bCs/>
                <w:color w:val="000000" w:themeColor="text1"/>
                <w:kern w:val="0"/>
                <w:sz w:val="20"/>
                <w:szCs w:val="20"/>
                <w:highlight w:val="none"/>
                <w14:textFill>
                  <w14:solidFill>
                    <w14:schemeClr w14:val="tx1"/>
                  </w14:solidFill>
                </w14:textFill>
              </w:rPr>
            </w:pPr>
            <w:r>
              <w:rPr>
                <w:rFonts w:hint="eastAsia" w:ascii="仿宋_GB2312" w:hAnsi="仿宋" w:eastAsia="仿宋_GB2312" w:cs="宋体"/>
                <w:b/>
                <w:bCs/>
                <w:color w:val="000000" w:themeColor="text1"/>
                <w:kern w:val="0"/>
                <w:sz w:val="20"/>
                <w:szCs w:val="20"/>
                <w:highlight w:val="none"/>
                <w14:textFill>
                  <w14:solidFill>
                    <w14:schemeClr w14:val="tx1"/>
                  </w14:solidFill>
                </w14:textFill>
              </w:rPr>
              <w:t>其他未列明行业</w:t>
            </w:r>
          </w:p>
        </w:tc>
        <w:tc>
          <w:tcPr>
            <w:tcW w:w="1797" w:type="dxa"/>
            <w:tcBorders>
              <w:top w:val="nil"/>
              <w:left w:val="nil"/>
              <w:bottom w:val="single" w:color="auto" w:sz="4" w:space="0"/>
              <w:right w:val="single" w:color="auto" w:sz="4" w:space="0"/>
            </w:tcBorders>
            <w:vAlign w:val="center"/>
          </w:tcPr>
          <w:p w14:paraId="30409F53">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从业人员（X）</w:t>
            </w:r>
          </w:p>
        </w:tc>
        <w:tc>
          <w:tcPr>
            <w:tcW w:w="849" w:type="dxa"/>
            <w:tcBorders>
              <w:top w:val="nil"/>
              <w:left w:val="nil"/>
              <w:bottom w:val="single" w:color="auto" w:sz="4" w:space="0"/>
              <w:right w:val="single" w:color="auto" w:sz="4" w:space="0"/>
            </w:tcBorders>
            <w:vAlign w:val="center"/>
          </w:tcPr>
          <w:p w14:paraId="7F774017">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人</w:t>
            </w:r>
          </w:p>
        </w:tc>
        <w:tc>
          <w:tcPr>
            <w:tcW w:w="1867" w:type="dxa"/>
            <w:tcBorders>
              <w:top w:val="nil"/>
              <w:left w:val="nil"/>
              <w:bottom w:val="single" w:color="auto" w:sz="4" w:space="0"/>
              <w:right w:val="single" w:color="auto" w:sz="4" w:space="0"/>
            </w:tcBorders>
            <w:vAlign w:val="center"/>
          </w:tcPr>
          <w:p w14:paraId="041633E4">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100≤X＜300</w:t>
            </w:r>
          </w:p>
        </w:tc>
        <w:tc>
          <w:tcPr>
            <w:tcW w:w="1659" w:type="dxa"/>
            <w:tcBorders>
              <w:top w:val="nil"/>
              <w:left w:val="nil"/>
              <w:bottom w:val="single" w:color="auto" w:sz="4" w:space="0"/>
              <w:right w:val="single" w:color="auto" w:sz="4" w:space="0"/>
            </w:tcBorders>
            <w:vAlign w:val="center"/>
          </w:tcPr>
          <w:p w14:paraId="5FA23003">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10≤X＜100</w:t>
            </w:r>
          </w:p>
        </w:tc>
        <w:tc>
          <w:tcPr>
            <w:tcW w:w="1066" w:type="dxa"/>
            <w:tcBorders>
              <w:top w:val="nil"/>
              <w:left w:val="nil"/>
              <w:bottom w:val="single" w:color="auto" w:sz="4" w:space="0"/>
              <w:right w:val="single" w:color="auto" w:sz="4" w:space="0"/>
            </w:tcBorders>
            <w:vAlign w:val="center"/>
          </w:tcPr>
          <w:p w14:paraId="0F3BBDE1">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X＜10</w:t>
            </w:r>
          </w:p>
        </w:tc>
      </w:tr>
    </w:tbl>
    <w:p w14:paraId="5F78ED74">
      <w:pPr>
        <w:pageBreakBefore w:val="0"/>
        <w:wordWrap/>
        <w:topLinePunct w:val="0"/>
        <w:bidi w:val="0"/>
        <w:spacing w:line="560" w:lineRule="exact"/>
        <w:ind w:firstLine="550" w:firstLineChars="250"/>
        <w:rPr>
          <w:rFonts w:ascii="仿宋_GB2312" w:hAnsi="仿宋" w:eastAsia="仿宋_GB2312"/>
          <w:color w:val="000000" w:themeColor="text1"/>
          <w:szCs w:val="21"/>
          <w:highlight w:val="none"/>
          <w14:textFill>
            <w14:solidFill>
              <w14:schemeClr w14:val="tx1"/>
            </w14:solidFill>
          </w14:textFill>
        </w:rPr>
      </w:pPr>
      <w:r>
        <w:rPr>
          <w:rFonts w:hint="eastAsia" w:ascii="仿宋_GB2312" w:hAnsi="仿宋" w:eastAsia="仿宋_GB2312"/>
          <w:color w:val="000000" w:themeColor="text1"/>
          <w:sz w:val="22"/>
          <w:szCs w:val="22"/>
          <w:highlight w:val="none"/>
          <w14:textFill>
            <w14:solidFill>
              <w14:schemeClr w14:val="tx1"/>
            </w14:solidFill>
          </w14:textFill>
        </w:rPr>
        <w:t>说明：上述标准参照《关于印发中小企业划型标准规定的通知》（工信部联企业[2011]300号），大型、中型和小型企业须同时满足所列指标的下限，否则下划一档；微型企业只须满足所列指标中的一项即可。</w:t>
      </w:r>
    </w:p>
    <w:p w14:paraId="61697ACF">
      <w:pPr>
        <w:bidi w:val="0"/>
        <w:rPr>
          <w:rFonts w:hint="eastAsia"/>
          <w:color w:val="000000" w:themeColor="text1"/>
          <w:highlight w:val="none"/>
          <w14:textFill>
            <w14:solidFill>
              <w14:schemeClr w14:val="tx1"/>
            </w14:solidFill>
          </w14:textFill>
        </w:rPr>
      </w:pPr>
    </w:p>
    <w:p w14:paraId="57051754">
      <w:pPr>
        <w:bidi w:val="0"/>
        <w:rPr>
          <w:rFonts w:hint="eastAsia"/>
          <w:color w:val="000000" w:themeColor="text1"/>
          <w:highlight w:val="none"/>
          <w14:textFill>
            <w14:solidFill>
              <w14:schemeClr w14:val="tx1"/>
            </w14:solidFill>
          </w14:textFill>
        </w:rPr>
      </w:pPr>
    </w:p>
    <w:p w14:paraId="0499FB8F">
      <w:pPr>
        <w:bidi w:val="0"/>
        <w:rPr>
          <w:rFonts w:hint="eastAsia"/>
          <w:color w:val="000000" w:themeColor="text1"/>
          <w:highlight w:val="none"/>
          <w14:textFill>
            <w14:solidFill>
              <w14:schemeClr w14:val="tx1"/>
            </w14:solidFill>
          </w14:textFill>
        </w:rPr>
      </w:pPr>
    </w:p>
    <w:p w14:paraId="5BC2614B">
      <w:pPr>
        <w:bidi w:val="0"/>
        <w:rPr>
          <w:rFonts w:hint="eastAsia"/>
          <w:color w:val="000000" w:themeColor="text1"/>
          <w:highlight w:val="none"/>
          <w14:textFill>
            <w14:solidFill>
              <w14:schemeClr w14:val="tx1"/>
            </w14:solidFill>
          </w14:textFill>
        </w:rPr>
      </w:pPr>
    </w:p>
    <w:p w14:paraId="4B0AE3E6">
      <w:pPr>
        <w:bidi w:val="0"/>
        <w:rPr>
          <w:rFonts w:hint="eastAsia"/>
          <w:color w:val="000000" w:themeColor="text1"/>
          <w:highlight w:val="none"/>
          <w14:textFill>
            <w14:solidFill>
              <w14:schemeClr w14:val="tx1"/>
            </w14:solidFill>
          </w14:textFill>
        </w:rPr>
      </w:pPr>
    </w:p>
    <w:p w14:paraId="56385465">
      <w:pPr>
        <w:bidi w:val="0"/>
        <w:rPr>
          <w:rFonts w:hint="eastAsia"/>
          <w:color w:val="000000" w:themeColor="text1"/>
          <w:highlight w:val="none"/>
          <w14:textFill>
            <w14:solidFill>
              <w14:schemeClr w14:val="tx1"/>
            </w14:solidFill>
          </w14:textFill>
        </w:rPr>
      </w:pPr>
    </w:p>
    <w:p w14:paraId="47FCB5D1">
      <w:pPr>
        <w:bidi w:val="0"/>
        <w:rPr>
          <w:rFonts w:hint="eastAsia"/>
          <w:color w:val="000000" w:themeColor="text1"/>
          <w:highlight w:val="none"/>
          <w14:textFill>
            <w14:solidFill>
              <w14:schemeClr w14:val="tx1"/>
            </w14:solidFill>
          </w14:textFill>
        </w:rPr>
      </w:pPr>
    </w:p>
    <w:p w14:paraId="2F2AFE3F">
      <w:pPr>
        <w:bidi w:val="0"/>
        <w:rPr>
          <w:rFonts w:hint="eastAsia"/>
          <w:color w:val="000000" w:themeColor="text1"/>
          <w:highlight w:val="none"/>
          <w14:textFill>
            <w14:solidFill>
              <w14:schemeClr w14:val="tx1"/>
            </w14:solidFill>
          </w14:textFill>
        </w:rPr>
      </w:pPr>
    </w:p>
    <w:p w14:paraId="7B707662">
      <w:pPr>
        <w:bidi w:val="0"/>
        <w:rPr>
          <w:rFonts w:hint="eastAsia"/>
          <w:color w:val="000000" w:themeColor="text1"/>
          <w:highlight w:val="none"/>
          <w14:textFill>
            <w14:solidFill>
              <w14:schemeClr w14:val="tx1"/>
            </w14:solidFill>
          </w14:textFill>
        </w:rPr>
      </w:pPr>
    </w:p>
    <w:p w14:paraId="271F7D1B">
      <w:pPr>
        <w:bidi w:val="0"/>
        <w:rPr>
          <w:rFonts w:hint="eastAsia"/>
          <w:color w:val="000000" w:themeColor="text1"/>
          <w:highlight w:val="none"/>
          <w14:textFill>
            <w14:solidFill>
              <w14:schemeClr w14:val="tx1"/>
            </w14:solidFill>
          </w14:textFill>
        </w:rPr>
      </w:pPr>
    </w:p>
    <w:p w14:paraId="68E2170D">
      <w:pPr>
        <w:bidi w:val="0"/>
        <w:rPr>
          <w:rFonts w:hint="eastAsia"/>
          <w:color w:val="000000" w:themeColor="text1"/>
          <w:highlight w:val="none"/>
          <w14:textFill>
            <w14:solidFill>
              <w14:schemeClr w14:val="tx1"/>
            </w14:solidFill>
          </w14:textFill>
        </w:rPr>
      </w:pPr>
    </w:p>
    <w:p w14:paraId="11A207A4">
      <w:pPr>
        <w:bidi w:val="0"/>
        <w:rPr>
          <w:rFonts w:hint="eastAsia"/>
          <w:color w:val="000000" w:themeColor="text1"/>
          <w:highlight w:val="none"/>
          <w14:textFill>
            <w14:solidFill>
              <w14:schemeClr w14:val="tx1"/>
            </w14:solidFill>
          </w14:textFill>
        </w:rPr>
      </w:pPr>
    </w:p>
    <w:p w14:paraId="290884A2">
      <w:pPr>
        <w:bidi w:val="0"/>
        <w:rPr>
          <w:rFonts w:hint="eastAsia"/>
          <w:color w:val="000000" w:themeColor="text1"/>
          <w:highlight w:val="none"/>
          <w14:textFill>
            <w14:solidFill>
              <w14:schemeClr w14:val="tx1"/>
            </w14:solidFill>
          </w14:textFill>
        </w:rPr>
      </w:pPr>
    </w:p>
    <w:p w14:paraId="0423B502">
      <w:pPr>
        <w:bidi w:val="0"/>
        <w:rPr>
          <w:rFonts w:hint="eastAsia"/>
          <w:color w:val="000000" w:themeColor="text1"/>
          <w:highlight w:val="none"/>
          <w14:textFill>
            <w14:solidFill>
              <w14:schemeClr w14:val="tx1"/>
            </w14:solidFill>
          </w14:textFill>
        </w:rPr>
      </w:pPr>
    </w:p>
    <w:p w14:paraId="43F86243">
      <w:pPr>
        <w:bidi w:val="0"/>
        <w:rPr>
          <w:rFonts w:hint="eastAsia"/>
          <w:color w:val="000000" w:themeColor="text1"/>
          <w:highlight w:val="none"/>
          <w14:textFill>
            <w14:solidFill>
              <w14:schemeClr w14:val="tx1"/>
            </w14:solidFill>
          </w14:textFill>
        </w:rPr>
      </w:pPr>
    </w:p>
    <w:p w14:paraId="4F452EF4">
      <w:pPr>
        <w:bidi w:val="0"/>
        <w:rPr>
          <w:rFonts w:hint="eastAsia"/>
          <w:color w:val="000000" w:themeColor="text1"/>
          <w:highlight w:val="none"/>
          <w14:textFill>
            <w14:solidFill>
              <w14:schemeClr w14:val="tx1"/>
            </w14:solidFill>
          </w14:textFill>
        </w:rPr>
      </w:pPr>
    </w:p>
    <w:p w14:paraId="4CD9F61B">
      <w:pPr>
        <w:bidi w:val="0"/>
        <w:rPr>
          <w:rFonts w:hint="eastAsia"/>
          <w:color w:val="000000" w:themeColor="text1"/>
          <w:highlight w:val="none"/>
          <w14:textFill>
            <w14:solidFill>
              <w14:schemeClr w14:val="tx1"/>
            </w14:solidFill>
          </w14:textFill>
        </w:rPr>
      </w:pPr>
    </w:p>
    <w:p w14:paraId="6000C28E">
      <w:pPr>
        <w:bidi w:val="0"/>
        <w:rPr>
          <w:rFonts w:hint="eastAsia"/>
          <w:color w:val="000000" w:themeColor="text1"/>
          <w:highlight w:val="none"/>
          <w14:textFill>
            <w14:solidFill>
              <w14:schemeClr w14:val="tx1"/>
            </w14:solidFill>
          </w14:textFill>
        </w:rPr>
      </w:pPr>
    </w:p>
    <w:p w14:paraId="14219C8B">
      <w:pPr>
        <w:bidi w:val="0"/>
        <w:rPr>
          <w:rFonts w:hint="eastAsia"/>
          <w:color w:val="000000" w:themeColor="text1"/>
          <w:highlight w:val="none"/>
          <w14:textFill>
            <w14:solidFill>
              <w14:schemeClr w14:val="tx1"/>
            </w14:solidFill>
          </w14:textFill>
        </w:rPr>
      </w:pPr>
    </w:p>
    <w:p w14:paraId="20AD261A">
      <w:pPr>
        <w:bidi w:val="0"/>
        <w:rPr>
          <w:rFonts w:hint="eastAsia"/>
          <w:color w:val="000000" w:themeColor="text1"/>
          <w:highlight w:val="none"/>
          <w14:textFill>
            <w14:solidFill>
              <w14:schemeClr w14:val="tx1"/>
            </w14:solidFill>
          </w14:textFill>
        </w:rPr>
      </w:pPr>
    </w:p>
    <w:p w14:paraId="630FCBAE">
      <w:pPr>
        <w:bidi w:val="0"/>
        <w:rPr>
          <w:rFonts w:hint="eastAsia"/>
          <w:color w:val="000000" w:themeColor="text1"/>
          <w:highlight w:val="none"/>
          <w14:textFill>
            <w14:solidFill>
              <w14:schemeClr w14:val="tx1"/>
            </w14:solidFill>
          </w14:textFill>
        </w:rPr>
      </w:pPr>
    </w:p>
    <w:p w14:paraId="7D2B7515">
      <w:pPr>
        <w:bidi w:val="0"/>
        <w:rPr>
          <w:rFonts w:hint="eastAsia"/>
          <w:color w:val="000000" w:themeColor="text1"/>
          <w:highlight w:val="none"/>
          <w14:textFill>
            <w14:solidFill>
              <w14:schemeClr w14:val="tx1"/>
            </w14:solidFill>
          </w14:textFill>
        </w:rPr>
      </w:pPr>
    </w:p>
    <w:p w14:paraId="7A0B0C5F">
      <w:pPr>
        <w:bidi w:val="0"/>
        <w:rPr>
          <w:rFonts w:hint="eastAsia"/>
          <w:color w:val="000000" w:themeColor="text1"/>
          <w:highlight w:val="none"/>
          <w14:textFill>
            <w14:solidFill>
              <w14:schemeClr w14:val="tx1"/>
            </w14:solidFill>
          </w14:textFill>
        </w:rPr>
      </w:pPr>
    </w:p>
    <w:p w14:paraId="2E4B42B5">
      <w:pPr>
        <w:pStyle w:val="4"/>
        <w:keepNext w:val="0"/>
        <w:keepLines w:val="0"/>
        <w:pageBreakBefore w:val="0"/>
        <w:wordWrap/>
        <w:topLinePunct w:val="0"/>
        <w:bidi w:val="0"/>
        <w:spacing w:line="560" w:lineRule="exact"/>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第</w:t>
      </w:r>
      <w:r>
        <w:rPr>
          <w:rFonts w:hint="eastAsia"/>
          <w:color w:val="000000" w:themeColor="text1"/>
          <w:highlight w:val="none"/>
          <w:lang w:eastAsia="zh-CN"/>
          <w14:textFill>
            <w14:solidFill>
              <w14:schemeClr w14:val="tx1"/>
            </w14:solidFill>
          </w14:textFill>
        </w:rPr>
        <w:t>三</w:t>
      </w:r>
      <w:r>
        <w:rPr>
          <w:rFonts w:hint="eastAsia"/>
          <w:color w:val="000000" w:themeColor="text1"/>
          <w:highlight w:val="none"/>
          <w14:textFill>
            <w14:solidFill>
              <w14:schemeClr w14:val="tx1"/>
            </w14:solidFill>
          </w14:textFill>
        </w:rPr>
        <w:t>节 商务文件格式</w:t>
      </w:r>
    </w:p>
    <w:p w14:paraId="5A519CDB">
      <w:pPr>
        <w:pageBreakBefore w:val="0"/>
        <w:wordWrap/>
        <w:topLinePunct w:val="0"/>
        <w:bidi w:val="0"/>
        <w:snapToGrid w:val="0"/>
        <w:spacing w:before="120" w:beforeLines="50" w:after="50" w:line="560" w:lineRule="exact"/>
        <w:ind w:left="420"/>
        <w:jc w:val="center"/>
        <w:rPr>
          <w:rFonts w:ascii="宋体" w:hAnsi="宋体"/>
          <w:b/>
          <w:color w:val="000000" w:themeColor="text1"/>
          <w:szCs w:val="21"/>
          <w:highlight w:val="none"/>
          <w14:textFill>
            <w14:solidFill>
              <w14:schemeClr w14:val="tx1"/>
            </w14:solidFill>
          </w14:textFill>
        </w:rPr>
      </w:pPr>
      <w:r>
        <w:rPr>
          <w:rFonts w:hint="eastAsia" w:asciiTheme="minorEastAsia" w:hAnsiTheme="minorEastAsia" w:eastAsiaTheme="minorEastAsia"/>
          <w:b/>
          <w:bCs/>
          <w:color w:val="000000" w:themeColor="text1"/>
          <w:sz w:val="30"/>
          <w:szCs w:val="30"/>
          <w:highlight w:val="none"/>
          <w14:textFill>
            <w14:solidFill>
              <w14:schemeClr w14:val="tx1"/>
            </w14:solidFill>
          </w14:textFill>
        </w:rPr>
        <w:t>一、无串标行为承诺函</w:t>
      </w:r>
    </w:p>
    <w:p w14:paraId="2E249B55">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asciiTheme="minorEastAsia" w:hAnsiTheme="minorEastAsia" w:eastAsia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b/>
          <w:color w:val="000000" w:themeColor="text1"/>
          <w:sz w:val="28"/>
          <w:szCs w:val="28"/>
          <w:highlight w:val="none"/>
          <w14:textFill>
            <w14:solidFill>
              <w14:schemeClr w14:val="tx1"/>
            </w14:solidFill>
          </w14:textFill>
        </w:rPr>
        <w:t>一、我方承诺无下列相互串通投标的情形：</w:t>
      </w:r>
    </w:p>
    <w:p w14:paraId="4CE6F52E">
      <w:pPr>
        <w:keepNext w:val="0"/>
        <w:keepLines w:val="0"/>
        <w:pageBreakBefore w:val="0"/>
        <w:widowControl w:val="0"/>
        <w:kinsoku/>
        <w:wordWrap/>
        <w:overflowPunct/>
        <w:topLinePunct w:val="0"/>
        <w:autoSpaceDE/>
        <w:autoSpaceDN/>
        <w:bidi w:val="0"/>
        <w:adjustRightInd w:val="0"/>
        <w:snapToGrid w:val="0"/>
        <w:spacing w:line="560" w:lineRule="exact"/>
        <w:ind w:firstLine="548" w:firstLineChars="196"/>
        <w:jc w:val="both"/>
        <w:textAlignment w:val="auto"/>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1.不同</w:t>
      </w:r>
      <w:r>
        <w:rPr>
          <w:rFonts w:hint="eastAsia" w:asciiTheme="minorEastAsia" w:hAnsiTheme="minorEastAsia" w:eastAsiaTheme="minorEastAsia"/>
          <w:color w:val="000000" w:themeColor="text1"/>
          <w:sz w:val="28"/>
          <w:szCs w:val="28"/>
          <w:highlight w:val="none"/>
          <w:lang w:eastAsia="zh-CN"/>
          <w14:textFill>
            <w14:solidFill>
              <w14:schemeClr w14:val="tx1"/>
            </w14:solidFill>
          </w14:textFill>
        </w:rPr>
        <w:t>供应商</w:t>
      </w:r>
      <w:r>
        <w:rPr>
          <w:rFonts w:hint="eastAsia" w:asciiTheme="minorEastAsia" w:hAnsiTheme="minorEastAsia" w:eastAsiaTheme="minorEastAsia"/>
          <w:color w:val="000000" w:themeColor="text1"/>
          <w:sz w:val="28"/>
          <w:szCs w:val="28"/>
          <w:highlight w:val="none"/>
          <w14:textFill>
            <w14:solidFill>
              <w14:schemeClr w14:val="tx1"/>
            </w14:solidFill>
          </w14:textFill>
        </w:rPr>
        <w:t>的投标文件由同一单位或者个人编制；或者不同</w:t>
      </w:r>
      <w:r>
        <w:rPr>
          <w:rFonts w:hint="eastAsia" w:asciiTheme="minorEastAsia" w:hAnsiTheme="minorEastAsia" w:eastAsiaTheme="minorEastAsia"/>
          <w:color w:val="000000" w:themeColor="text1"/>
          <w:sz w:val="28"/>
          <w:szCs w:val="28"/>
          <w:highlight w:val="none"/>
          <w:lang w:eastAsia="zh-CN"/>
          <w14:textFill>
            <w14:solidFill>
              <w14:schemeClr w14:val="tx1"/>
            </w14:solidFill>
          </w14:textFill>
        </w:rPr>
        <w:t>供应商</w:t>
      </w:r>
      <w:r>
        <w:rPr>
          <w:rFonts w:hint="eastAsia" w:asciiTheme="minorEastAsia" w:hAnsiTheme="minorEastAsia" w:eastAsiaTheme="minorEastAsia"/>
          <w:color w:val="000000" w:themeColor="text1"/>
          <w:sz w:val="28"/>
          <w:szCs w:val="28"/>
          <w:highlight w:val="none"/>
          <w14:textFill>
            <w14:solidFill>
              <w14:schemeClr w14:val="tx1"/>
            </w14:solidFill>
          </w14:textFill>
        </w:rPr>
        <w:t>报名的IP地址一致的；或者编制标书硬件设备CPU编号、硬盘编号、网卡地址一致的情况。</w:t>
      </w:r>
    </w:p>
    <w:p w14:paraId="20A5077F">
      <w:pPr>
        <w:keepNext w:val="0"/>
        <w:keepLines w:val="0"/>
        <w:pageBreakBefore w:val="0"/>
        <w:widowControl w:val="0"/>
        <w:kinsoku/>
        <w:wordWrap/>
        <w:overflowPunct/>
        <w:topLinePunct w:val="0"/>
        <w:autoSpaceDE/>
        <w:autoSpaceDN/>
        <w:bidi w:val="0"/>
        <w:adjustRightInd w:val="0"/>
        <w:snapToGrid w:val="0"/>
        <w:spacing w:line="560" w:lineRule="exact"/>
        <w:ind w:firstLine="548" w:firstLineChars="196"/>
        <w:jc w:val="both"/>
        <w:textAlignment w:val="auto"/>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2.不同</w:t>
      </w:r>
      <w:r>
        <w:rPr>
          <w:rFonts w:hint="eastAsia" w:asciiTheme="minorEastAsia" w:hAnsiTheme="minorEastAsia" w:eastAsiaTheme="minorEastAsia"/>
          <w:color w:val="000000" w:themeColor="text1"/>
          <w:sz w:val="28"/>
          <w:szCs w:val="28"/>
          <w:highlight w:val="none"/>
          <w:lang w:eastAsia="zh-CN"/>
          <w14:textFill>
            <w14:solidFill>
              <w14:schemeClr w14:val="tx1"/>
            </w14:solidFill>
          </w14:textFill>
        </w:rPr>
        <w:t>供应商</w:t>
      </w:r>
      <w:r>
        <w:rPr>
          <w:rFonts w:hint="eastAsia" w:asciiTheme="minorEastAsia" w:hAnsiTheme="minorEastAsia" w:eastAsiaTheme="minorEastAsia"/>
          <w:color w:val="000000" w:themeColor="text1"/>
          <w:sz w:val="28"/>
          <w:szCs w:val="28"/>
          <w:highlight w:val="none"/>
          <w14:textFill>
            <w14:solidFill>
              <w14:schemeClr w14:val="tx1"/>
            </w14:solidFill>
          </w14:textFill>
        </w:rPr>
        <w:t>委托同一单位或者个人办理投标事宜；</w:t>
      </w:r>
    </w:p>
    <w:p w14:paraId="236871AC">
      <w:pPr>
        <w:keepNext w:val="0"/>
        <w:keepLines w:val="0"/>
        <w:pageBreakBefore w:val="0"/>
        <w:widowControl w:val="0"/>
        <w:kinsoku/>
        <w:wordWrap/>
        <w:overflowPunct/>
        <w:topLinePunct w:val="0"/>
        <w:autoSpaceDE/>
        <w:autoSpaceDN/>
        <w:bidi w:val="0"/>
        <w:adjustRightInd w:val="0"/>
        <w:snapToGrid w:val="0"/>
        <w:spacing w:line="560" w:lineRule="exact"/>
        <w:ind w:firstLine="548" w:firstLineChars="196"/>
        <w:jc w:val="both"/>
        <w:textAlignment w:val="auto"/>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3.不同的</w:t>
      </w:r>
      <w:r>
        <w:rPr>
          <w:rFonts w:hint="eastAsia" w:asciiTheme="minorEastAsia" w:hAnsiTheme="minorEastAsia" w:eastAsiaTheme="minorEastAsia"/>
          <w:color w:val="000000" w:themeColor="text1"/>
          <w:sz w:val="28"/>
          <w:szCs w:val="28"/>
          <w:highlight w:val="none"/>
          <w:lang w:eastAsia="zh-CN"/>
          <w14:textFill>
            <w14:solidFill>
              <w14:schemeClr w14:val="tx1"/>
            </w14:solidFill>
          </w14:textFill>
        </w:rPr>
        <w:t>供应商</w:t>
      </w:r>
      <w:r>
        <w:rPr>
          <w:rFonts w:hint="eastAsia" w:asciiTheme="minorEastAsia" w:hAnsiTheme="minorEastAsia" w:eastAsiaTheme="minorEastAsia"/>
          <w:color w:val="000000" w:themeColor="text1"/>
          <w:sz w:val="28"/>
          <w:szCs w:val="28"/>
          <w:highlight w:val="none"/>
          <w14:textFill>
            <w14:solidFill>
              <w14:schemeClr w14:val="tx1"/>
            </w14:solidFill>
          </w14:textFill>
        </w:rPr>
        <w:t>的投标文件载明的项目管理员为同一个人；</w:t>
      </w:r>
    </w:p>
    <w:p w14:paraId="4275ACC6">
      <w:pPr>
        <w:keepNext w:val="0"/>
        <w:keepLines w:val="0"/>
        <w:pageBreakBefore w:val="0"/>
        <w:widowControl w:val="0"/>
        <w:kinsoku/>
        <w:wordWrap/>
        <w:overflowPunct/>
        <w:topLinePunct w:val="0"/>
        <w:autoSpaceDE/>
        <w:autoSpaceDN/>
        <w:bidi w:val="0"/>
        <w:adjustRightInd w:val="0"/>
        <w:snapToGrid w:val="0"/>
        <w:spacing w:line="560" w:lineRule="exact"/>
        <w:ind w:firstLine="548" w:firstLineChars="196"/>
        <w:jc w:val="both"/>
        <w:textAlignment w:val="auto"/>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4.不同</w:t>
      </w:r>
      <w:r>
        <w:rPr>
          <w:rFonts w:hint="eastAsia" w:asciiTheme="minorEastAsia" w:hAnsiTheme="minorEastAsia" w:eastAsiaTheme="minorEastAsia"/>
          <w:color w:val="000000" w:themeColor="text1"/>
          <w:sz w:val="28"/>
          <w:szCs w:val="28"/>
          <w:highlight w:val="none"/>
          <w:lang w:eastAsia="zh-CN"/>
          <w14:textFill>
            <w14:solidFill>
              <w14:schemeClr w14:val="tx1"/>
            </w14:solidFill>
          </w14:textFill>
        </w:rPr>
        <w:t>供应商</w:t>
      </w:r>
      <w:r>
        <w:rPr>
          <w:rFonts w:hint="eastAsia" w:asciiTheme="minorEastAsia" w:hAnsiTheme="minorEastAsia" w:eastAsiaTheme="minorEastAsia"/>
          <w:color w:val="000000" w:themeColor="text1"/>
          <w:sz w:val="28"/>
          <w:szCs w:val="28"/>
          <w:highlight w:val="none"/>
          <w14:textFill>
            <w14:solidFill>
              <w14:schemeClr w14:val="tx1"/>
            </w14:solidFill>
          </w14:textFill>
        </w:rPr>
        <w:t>的投标文件异常一致或者投标报价呈规律性差异；</w:t>
      </w:r>
    </w:p>
    <w:p w14:paraId="3D96DFC8">
      <w:pPr>
        <w:keepNext w:val="0"/>
        <w:keepLines w:val="0"/>
        <w:pageBreakBefore w:val="0"/>
        <w:widowControl w:val="0"/>
        <w:kinsoku/>
        <w:wordWrap/>
        <w:overflowPunct/>
        <w:topLinePunct w:val="0"/>
        <w:autoSpaceDE/>
        <w:autoSpaceDN/>
        <w:bidi w:val="0"/>
        <w:adjustRightInd w:val="0"/>
        <w:snapToGrid w:val="0"/>
        <w:spacing w:line="560" w:lineRule="exact"/>
        <w:ind w:firstLine="548" w:firstLineChars="196"/>
        <w:jc w:val="both"/>
        <w:textAlignment w:val="auto"/>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5.不同</w:t>
      </w:r>
      <w:r>
        <w:rPr>
          <w:rFonts w:hint="eastAsia" w:asciiTheme="minorEastAsia" w:hAnsiTheme="minorEastAsia" w:eastAsiaTheme="minorEastAsia"/>
          <w:color w:val="000000" w:themeColor="text1"/>
          <w:sz w:val="28"/>
          <w:szCs w:val="28"/>
          <w:highlight w:val="none"/>
          <w:lang w:eastAsia="zh-CN"/>
          <w14:textFill>
            <w14:solidFill>
              <w14:schemeClr w14:val="tx1"/>
            </w14:solidFill>
          </w14:textFill>
        </w:rPr>
        <w:t>供应商</w:t>
      </w:r>
      <w:r>
        <w:rPr>
          <w:rFonts w:hint="eastAsia" w:asciiTheme="minorEastAsia" w:hAnsiTheme="minorEastAsia" w:eastAsiaTheme="minorEastAsia"/>
          <w:color w:val="000000" w:themeColor="text1"/>
          <w:sz w:val="28"/>
          <w:szCs w:val="28"/>
          <w:highlight w:val="none"/>
          <w14:textFill>
            <w14:solidFill>
              <w14:schemeClr w14:val="tx1"/>
            </w14:solidFill>
          </w14:textFill>
        </w:rPr>
        <w:t>的投标文件相互混装；</w:t>
      </w:r>
    </w:p>
    <w:p w14:paraId="65580E08">
      <w:pPr>
        <w:keepNext w:val="0"/>
        <w:keepLines w:val="0"/>
        <w:pageBreakBefore w:val="0"/>
        <w:widowControl w:val="0"/>
        <w:kinsoku/>
        <w:wordWrap/>
        <w:overflowPunct/>
        <w:topLinePunct w:val="0"/>
        <w:autoSpaceDE/>
        <w:autoSpaceDN/>
        <w:bidi w:val="0"/>
        <w:adjustRightInd w:val="0"/>
        <w:snapToGrid w:val="0"/>
        <w:spacing w:line="560" w:lineRule="exact"/>
        <w:ind w:firstLine="548" w:firstLineChars="196"/>
        <w:jc w:val="both"/>
        <w:textAlignment w:val="auto"/>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6.不同</w:t>
      </w:r>
      <w:r>
        <w:rPr>
          <w:rFonts w:hint="eastAsia" w:asciiTheme="minorEastAsia" w:hAnsiTheme="minorEastAsia" w:eastAsiaTheme="minorEastAsia"/>
          <w:color w:val="000000" w:themeColor="text1"/>
          <w:sz w:val="28"/>
          <w:szCs w:val="28"/>
          <w:highlight w:val="none"/>
          <w:lang w:eastAsia="zh-CN"/>
          <w14:textFill>
            <w14:solidFill>
              <w14:schemeClr w14:val="tx1"/>
            </w14:solidFill>
          </w14:textFill>
        </w:rPr>
        <w:t>供应商</w:t>
      </w:r>
      <w:r>
        <w:rPr>
          <w:rFonts w:hint="eastAsia" w:asciiTheme="minorEastAsia" w:hAnsiTheme="minorEastAsia" w:eastAsiaTheme="minorEastAsia"/>
          <w:color w:val="000000" w:themeColor="text1"/>
          <w:sz w:val="28"/>
          <w:szCs w:val="28"/>
          <w:highlight w:val="none"/>
          <w14:textFill>
            <w14:solidFill>
              <w14:schemeClr w14:val="tx1"/>
            </w14:solidFill>
          </w14:textFill>
        </w:rPr>
        <w:t>的投标保证金从同一单位或者个人账户转出。</w:t>
      </w:r>
    </w:p>
    <w:p w14:paraId="189AEAB3">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b/>
          <w:color w:val="000000" w:themeColor="text1"/>
          <w:sz w:val="28"/>
          <w:szCs w:val="28"/>
          <w:highlight w:val="none"/>
          <w14:textFill>
            <w14:solidFill>
              <w14:schemeClr w14:val="tx1"/>
            </w14:solidFill>
          </w14:textFill>
        </w:rPr>
        <w:t>二、我方承诺无下列恶意串通的情形：</w:t>
      </w:r>
    </w:p>
    <w:p w14:paraId="0C6EE08A">
      <w:pPr>
        <w:keepNext w:val="0"/>
        <w:keepLines w:val="0"/>
        <w:pageBreakBefore w:val="0"/>
        <w:widowControl w:val="0"/>
        <w:kinsoku/>
        <w:wordWrap/>
        <w:overflowPunct/>
        <w:topLinePunct w:val="0"/>
        <w:autoSpaceDE/>
        <w:autoSpaceDN/>
        <w:bidi w:val="0"/>
        <w:adjustRightInd w:val="0"/>
        <w:snapToGrid w:val="0"/>
        <w:spacing w:line="560" w:lineRule="exact"/>
        <w:ind w:firstLine="548" w:firstLineChars="196"/>
        <w:jc w:val="both"/>
        <w:textAlignment w:val="auto"/>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1.</w:t>
      </w:r>
      <w:r>
        <w:rPr>
          <w:rFonts w:hint="eastAsia" w:asciiTheme="minorEastAsia" w:hAnsiTheme="minorEastAsia" w:eastAsiaTheme="minorEastAsia"/>
          <w:color w:val="000000" w:themeColor="text1"/>
          <w:sz w:val="28"/>
          <w:szCs w:val="28"/>
          <w:highlight w:val="none"/>
          <w:lang w:eastAsia="zh-CN"/>
          <w14:textFill>
            <w14:solidFill>
              <w14:schemeClr w14:val="tx1"/>
            </w14:solidFill>
          </w14:textFill>
        </w:rPr>
        <w:t>供应商</w:t>
      </w:r>
      <w:r>
        <w:rPr>
          <w:rFonts w:hint="eastAsia" w:asciiTheme="minorEastAsia" w:hAnsiTheme="minorEastAsia" w:eastAsiaTheme="minorEastAsia"/>
          <w:color w:val="000000" w:themeColor="text1"/>
          <w:sz w:val="28"/>
          <w:szCs w:val="28"/>
          <w:highlight w:val="none"/>
          <w14:textFill>
            <w14:solidFill>
              <w14:schemeClr w14:val="tx1"/>
            </w14:solidFill>
          </w14:textFill>
        </w:rPr>
        <w:t>直接或者间接从采购人或者采购代理机构处获得其他</w:t>
      </w:r>
      <w:r>
        <w:rPr>
          <w:rFonts w:hint="eastAsia" w:asciiTheme="minorEastAsia" w:hAnsiTheme="minorEastAsia" w:eastAsiaTheme="minorEastAsia"/>
          <w:color w:val="000000" w:themeColor="text1"/>
          <w:sz w:val="28"/>
          <w:szCs w:val="28"/>
          <w:highlight w:val="none"/>
          <w:lang w:eastAsia="zh-CN"/>
          <w14:textFill>
            <w14:solidFill>
              <w14:schemeClr w14:val="tx1"/>
            </w14:solidFill>
          </w14:textFill>
        </w:rPr>
        <w:t>供应商</w:t>
      </w:r>
      <w:r>
        <w:rPr>
          <w:rFonts w:hint="eastAsia" w:asciiTheme="minorEastAsia" w:hAnsiTheme="minorEastAsia" w:eastAsiaTheme="minorEastAsia"/>
          <w:color w:val="000000" w:themeColor="text1"/>
          <w:sz w:val="28"/>
          <w:szCs w:val="28"/>
          <w:highlight w:val="none"/>
          <w14:textFill>
            <w14:solidFill>
              <w14:schemeClr w14:val="tx1"/>
            </w14:solidFill>
          </w14:textFill>
        </w:rPr>
        <w:t>的相关信息并修改其投标文件或者投标文件；</w:t>
      </w:r>
    </w:p>
    <w:p w14:paraId="2B3BA034">
      <w:pPr>
        <w:keepNext w:val="0"/>
        <w:keepLines w:val="0"/>
        <w:pageBreakBefore w:val="0"/>
        <w:widowControl w:val="0"/>
        <w:kinsoku/>
        <w:wordWrap/>
        <w:overflowPunct/>
        <w:topLinePunct w:val="0"/>
        <w:autoSpaceDE/>
        <w:autoSpaceDN/>
        <w:bidi w:val="0"/>
        <w:adjustRightInd w:val="0"/>
        <w:snapToGrid w:val="0"/>
        <w:spacing w:line="560" w:lineRule="exact"/>
        <w:ind w:firstLine="548" w:firstLineChars="196"/>
        <w:jc w:val="both"/>
        <w:textAlignment w:val="auto"/>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2.</w:t>
      </w:r>
      <w:r>
        <w:rPr>
          <w:rFonts w:hint="eastAsia" w:asciiTheme="minorEastAsia" w:hAnsiTheme="minorEastAsia" w:eastAsiaTheme="minorEastAsia"/>
          <w:color w:val="000000" w:themeColor="text1"/>
          <w:sz w:val="28"/>
          <w:szCs w:val="28"/>
          <w:highlight w:val="none"/>
          <w:lang w:eastAsia="zh-CN"/>
          <w14:textFill>
            <w14:solidFill>
              <w14:schemeClr w14:val="tx1"/>
            </w14:solidFill>
          </w14:textFill>
        </w:rPr>
        <w:t>供应商</w:t>
      </w:r>
      <w:r>
        <w:rPr>
          <w:rFonts w:hint="eastAsia" w:asciiTheme="minorEastAsia" w:hAnsiTheme="minorEastAsia" w:eastAsiaTheme="minorEastAsia"/>
          <w:color w:val="000000" w:themeColor="text1"/>
          <w:sz w:val="28"/>
          <w:szCs w:val="28"/>
          <w:highlight w:val="none"/>
          <w14:textFill>
            <w14:solidFill>
              <w14:schemeClr w14:val="tx1"/>
            </w14:solidFill>
          </w14:textFill>
        </w:rPr>
        <w:t>按照采购人或者采购代理机构的授意撤换、修改投标文件或者投标文件；</w:t>
      </w:r>
    </w:p>
    <w:p w14:paraId="2AE9222C">
      <w:pPr>
        <w:keepNext w:val="0"/>
        <w:keepLines w:val="0"/>
        <w:pageBreakBefore w:val="0"/>
        <w:widowControl w:val="0"/>
        <w:kinsoku/>
        <w:wordWrap/>
        <w:overflowPunct/>
        <w:topLinePunct w:val="0"/>
        <w:autoSpaceDE/>
        <w:autoSpaceDN/>
        <w:bidi w:val="0"/>
        <w:adjustRightInd w:val="0"/>
        <w:snapToGrid w:val="0"/>
        <w:spacing w:line="560" w:lineRule="exact"/>
        <w:ind w:firstLine="548" w:firstLineChars="196"/>
        <w:jc w:val="both"/>
        <w:textAlignment w:val="auto"/>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3.</w:t>
      </w:r>
      <w:r>
        <w:rPr>
          <w:rFonts w:hint="eastAsia" w:asciiTheme="minorEastAsia" w:hAnsiTheme="minorEastAsia" w:eastAsiaTheme="minorEastAsia"/>
          <w:color w:val="000000" w:themeColor="text1"/>
          <w:sz w:val="28"/>
          <w:szCs w:val="28"/>
          <w:highlight w:val="none"/>
          <w:lang w:eastAsia="zh-CN"/>
          <w14:textFill>
            <w14:solidFill>
              <w14:schemeClr w14:val="tx1"/>
            </w14:solidFill>
          </w14:textFill>
        </w:rPr>
        <w:t>供应商</w:t>
      </w:r>
      <w:r>
        <w:rPr>
          <w:rFonts w:hint="eastAsia" w:asciiTheme="minorEastAsia" w:hAnsiTheme="minorEastAsia" w:eastAsiaTheme="minorEastAsia"/>
          <w:color w:val="000000" w:themeColor="text1"/>
          <w:sz w:val="28"/>
          <w:szCs w:val="28"/>
          <w:highlight w:val="none"/>
          <w14:textFill>
            <w14:solidFill>
              <w14:schemeClr w14:val="tx1"/>
            </w14:solidFill>
          </w14:textFill>
        </w:rPr>
        <w:t>之间协商报价、技术方案等投标文件或者投标文件的实质性内容；</w:t>
      </w:r>
    </w:p>
    <w:p w14:paraId="6AB2DB5A">
      <w:pPr>
        <w:keepNext w:val="0"/>
        <w:keepLines w:val="0"/>
        <w:pageBreakBefore w:val="0"/>
        <w:widowControl w:val="0"/>
        <w:kinsoku/>
        <w:wordWrap/>
        <w:overflowPunct/>
        <w:topLinePunct w:val="0"/>
        <w:autoSpaceDE/>
        <w:autoSpaceDN/>
        <w:bidi w:val="0"/>
        <w:adjustRightInd w:val="0"/>
        <w:snapToGrid w:val="0"/>
        <w:spacing w:line="560" w:lineRule="exact"/>
        <w:ind w:firstLine="548" w:firstLineChars="196"/>
        <w:jc w:val="both"/>
        <w:textAlignment w:val="auto"/>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4.属于同一集团、协会、商会等组织成员的</w:t>
      </w:r>
      <w:r>
        <w:rPr>
          <w:rFonts w:hint="eastAsia" w:asciiTheme="minorEastAsia" w:hAnsiTheme="minorEastAsia" w:eastAsiaTheme="minorEastAsia"/>
          <w:color w:val="000000" w:themeColor="text1"/>
          <w:sz w:val="28"/>
          <w:szCs w:val="28"/>
          <w:highlight w:val="none"/>
          <w:lang w:eastAsia="zh-CN"/>
          <w14:textFill>
            <w14:solidFill>
              <w14:schemeClr w14:val="tx1"/>
            </w14:solidFill>
          </w14:textFill>
        </w:rPr>
        <w:t>供应商</w:t>
      </w:r>
      <w:r>
        <w:rPr>
          <w:rFonts w:hint="eastAsia" w:asciiTheme="minorEastAsia" w:hAnsiTheme="minorEastAsia" w:eastAsiaTheme="minorEastAsia"/>
          <w:color w:val="000000" w:themeColor="text1"/>
          <w:sz w:val="28"/>
          <w:szCs w:val="28"/>
          <w:highlight w:val="none"/>
          <w14:textFill>
            <w14:solidFill>
              <w14:schemeClr w14:val="tx1"/>
            </w14:solidFill>
          </w14:textFill>
        </w:rPr>
        <w:t>按照该组织要求协同参加政府采购活动；</w:t>
      </w:r>
    </w:p>
    <w:p w14:paraId="63EE56B7">
      <w:pPr>
        <w:keepNext w:val="0"/>
        <w:keepLines w:val="0"/>
        <w:pageBreakBefore w:val="0"/>
        <w:widowControl w:val="0"/>
        <w:kinsoku/>
        <w:wordWrap/>
        <w:overflowPunct/>
        <w:topLinePunct w:val="0"/>
        <w:autoSpaceDE/>
        <w:autoSpaceDN/>
        <w:bidi w:val="0"/>
        <w:adjustRightInd w:val="0"/>
        <w:snapToGrid w:val="0"/>
        <w:spacing w:line="560" w:lineRule="exact"/>
        <w:ind w:firstLine="548" w:firstLineChars="196"/>
        <w:jc w:val="both"/>
        <w:textAlignment w:val="auto"/>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5.</w:t>
      </w:r>
      <w:r>
        <w:rPr>
          <w:rFonts w:hint="eastAsia" w:asciiTheme="minorEastAsia" w:hAnsiTheme="minorEastAsia" w:eastAsiaTheme="minorEastAsia"/>
          <w:color w:val="000000" w:themeColor="text1"/>
          <w:sz w:val="28"/>
          <w:szCs w:val="28"/>
          <w:highlight w:val="none"/>
          <w:lang w:eastAsia="zh-CN"/>
          <w14:textFill>
            <w14:solidFill>
              <w14:schemeClr w14:val="tx1"/>
            </w14:solidFill>
          </w14:textFill>
        </w:rPr>
        <w:t>供应商</w:t>
      </w:r>
      <w:r>
        <w:rPr>
          <w:rFonts w:hint="eastAsia" w:asciiTheme="minorEastAsia" w:hAnsiTheme="minorEastAsia" w:eastAsiaTheme="minorEastAsia"/>
          <w:color w:val="000000" w:themeColor="text1"/>
          <w:sz w:val="28"/>
          <w:szCs w:val="28"/>
          <w:highlight w:val="none"/>
          <w14:textFill>
            <w14:solidFill>
              <w14:schemeClr w14:val="tx1"/>
            </w14:solidFill>
          </w14:textFill>
        </w:rPr>
        <w:t>之间事先约定一致抬高或者压低投标报价，或者在招标项目中事先约定轮流以高价位或者低价位中标，或者事先约定由某一特定</w:t>
      </w:r>
      <w:r>
        <w:rPr>
          <w:rFonts w:hint="eastAsia" w:asciiTheme="minorEastAsia" w:hAnsiTheme="minorEastAsia" w:eastAsiaTheme="minorEastAsia"/>
          <w:color w:val="000000" w:themeColor="text1"/>
          <w:sz w:val="28"/>
          <w:szCs w:val="28"/>
          <w:highlight w:val="none"/>
          <w:lang w:eastAsia="zh-CN"/>
          <w14:textFill>
            <w14:solidFill>
              <w14:schemeClr w14:val="tx1"/>
            </w14:solidFill>
          </w14:textFill>
        </w:rPr>
        <w:t>供应商</w:t>
      </w:r>
      <w:r>
        <w:rPr>
          <w:rFonts w:hint="eastAsia" w:asciiTheme="minorEastAsia" w:hAnsiTheme="minorEastAsia" w:eastAsiaTheme="minorEastAsia"/>
          <w:color w:val="000000" w:themeColor="text1"/>
          <w:sz w:val="28"/>
          <w:szCs w:val="28"/>
          <w:highlight w:val="none"/>
          <w14:textFill>
            <w14:solidFill>
              <w14:schemeClr w14:val="tx1"/>
            </w14:solidFill>
          </w14:textFill>
        </w:rPr>
        <w:t>中标，然后再参加投标；</w:t>
      </w:r>
    </w:p>
    <w:p w14:paraId="144697A3">
      <w:pPr>
        <w:keepNext w:val="0"/>
        <w:keepLines w:val="0"/>
        <w:pageBreakBefore w:val="0"/>
        <w:widowControl w:val="0"/>
        <w:kinsoku/>
        <w:wordWrap/>
        <w:overflowPunct/>
        <w:topLinePunct w:val="0"/>
        <w:autoSpaceDE/>
        <w:autoSpaceDN/>
        <w:bidi w:val="0"/>
        <w:adjustRightInd w:val="0"/>
        <w:snapToGrid w:val="0"/>
        <w:spacing w:line="560" w:lineRule="exact"/>
        <w:ind w:firstLine="548" w:firstLineChars="196"/>
        <w:jc w:val="both"/>
        <w:textAlignment w:val="auto"/>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6.</w:t>
      </w:r>
      <w:r>
        <w:rPr>
          <w:rFonts w:hint="eastAsia" w:asciiTheme="minorEastAsia" w:hAnsiTheme="minorEastAsia" w:eastAsiaTheme="minorEastAsia"/>
          <w:color w:val="000000" w:themeColor="text1"/>
          <w:sz w:val="28"/>
          <w:szCs w:val="28"/>
          <w:highlight w:val="none"/>
          <w:lang w:eastAsia="zh-CN"/>
          <w14:textFill>
            <w14:solidFill>
              <w14:schemeClr w14:val="tx1"/>
            </w14:solidFill>
          </w14:textFill>
        </w:rPr>
        <w:t>供应商</w:t>
      </w:r>
      <w:r>
        <w:rPr>
          <w:rFonts w:hint="eastAsia" w:asciiTheme="minorEastAsia" w:hAnsiTheme="minorEastAsia" w:eastAsiaTheme="minorEastAsia"/>
          <w:color w:val="000000" w:themeColor="text1"/>
          <w:sz w:val="28"/>
          <w:szCs w:val="28"/>
          <w:highlight w:val="none"/>
          <w14:textFill>
            <w14:solidFill>
              <w14:schemeClr w14:val="tx1"/>
            </w14:solidFill>
          </w14:textFill>
        </w:rPr>
        <w:t>之间商定部分</w:t>
      </w:r>
      <w:r>
        <w:rPr>
          <w:rFonts w:hint="eastAsia" w:asciiTheme="minorEastAsia" w:hAnsiTheme="minorEastAsia" w:eastAsiaTheme="minorEastAsia"/>
          <w:color w:val="000000" w:themeColor="text1"/>
          <w:sz w:val="28"/>
          <w:szCs w:val="28"/>
          <w:highlight w:val="none"/>
          <w:lang w:eastAsia="zh-CN"/>
          <w14:textFill>
            <w14:solidFill>
              <w14:schemeClr w14:val="tx1"/>
            </w14:solidFill>
          </w14:textFill>
        </w:rPr>
        <w:t>供应商</w:t>
      </w:r>
      <w:r>
        <w:rPr>
          <w:rFonts w:hint="eastAsia" w:asciiTheme="minorEastAsia" w:hAnsiTheme="minorEastAsia" w:eastAsiaTheme="minorEastAsia"/>
          <w:color w:val="000000" w:themeColor="text1"/>
          <w:sz w:val="28"/>
          <w:szCs w:val="28"/>
          <w:highlight w:val="none"/>
          <w14:textFill>
            <w14:solidFill>
              <w14:schemeClr w14:val="tx1"/>
            </w14:solidFill>
          </w14:textFill>
        </w:rPr>
        <w:t>放弃参加政府采购活动或者放弃中标；</w:t>
      </w:r>
    </w:p>
    <w:p w14:paraId="06E3F2F3">
      <w:pPr>
        <w:keepNext w:val="0"/>
        <w:keepLines w:val="0"/>
        <w:pageBreakBefore w:val="0"/>
        <w:widowControl w:val="0"/>
        <w:kinsoku/>
        <w:wordWrap/>
        <w:overflowPunct/>
        <w:topLinePunct w:val="0"/>
        <w:autoSpaceDE/>
        <w:autoSpaceDN/>
        <w:bidi w:val="0"/>
        <w:adjustRightInd w:val="0"/>
        <w:snapToGrid w:val="0"/>
        <w:spacing w:line="560" w:lineRule="exact"/>
        <w:ind w:firstLine="548" w:firstLineChars="196"/>
        <w:jc w:val="both"/>
        <w:textAlignment w:val="auto"/>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7.</w:t>
      </w:r>
      <w:r>
        <w:rPr>
          <w:rFonts w:hint="eastAsia" w:asciiTheme="minorEastAsia" w:hAnsiTheme="minorEastAsia" w:eastAsiaTheme="minorEastAsia"/>
          <w:color w:val="000000" w:themeColor="text1"/>
          <w:sz w:val="28"/>
          <w:szCs w:val="28"/>
          <w:highlight w:val="none"/>
          <w:lang w:eastAsia="zh-CN"/>
          <w14:textFill>
            <w14:solidFill>
              <w14:schemeClr w14:val="tx1"/>
            </w14:solidFill>
          </w14:textFill>
        </w:rPr>
        <w:t>供应商</w:t>
      </w:r>
      <w:r>
        <w:rPr>
          <w:rFonts w:hint="eastAsia" w:asciiTheme="minorEastAsia" w:hAnsiTheme="minorEastAsia" w:eastAsiaTheme="minorEastAsia"/>
          <w:color w:val="000000" w:themeColor="text1"/>
          <w:sz w:val="28"/>
          <w:szCs w:val="28"/>
          <w:highlight w:val="none"/>
          <w14:textFill>
            <w14:solidFill>
              <w14:schemeClr w14:val="tx1"/>
            </w14:solidFill>
          </w14:textFill>
        </w:rPr>
        <w:t>与采购人或者采购代理机构之间、</w:t>
      </w:r>
      <w:r>
        <w:rPr>
          <w:rFonts w:hint="eastAsia" w:asciiTheme="minorEastAsia" w:hAnsiTheme="minorEastAsia" w:eastAsiaTheme="minorEastAsia"/>
          <w:color w:val="000000" w:themeColor="text1"/>
          <w:sz w:val="28"/>
          <w:szCs w:val="28"/>
          <w:highlight w:val="none"/>
          <w:lang w:eastAsia="zh-CN"/>
          <w14:textFill>
            <w14:solidFill>
              <w14:schemeClr w14:val="tx1"/>
            </w14:solidFill>
          </w14:textFill>
        </w:rPr>
        <w:t>供应商</w:t>
      </w:r>
      <w:r>
        <w:rPr>
          <w:rFonts w:hint="eastAsia" w:asciiTheme="minorEastAsia" w:hAnsiTheme="minorEastAsia" w:eastAsiaTheme="minorEastAsia"/>
          <w:color w:val="000000" w:themeColor="text1"/>
          <w:sz w:val="28"/>
          <w:szCs w:val="28"/>
          <w:highlight w:val="none"/>
          <w14:textFill>
            <w14:solidFill>
              <w14:schemeClr w14:val="tx1"/>
            </w14:solidFill>
          </w14:textFill>
        </w:rPr>
        <w:t>相互之间，为谋求特定</w:t>
      </w:r>
      <w:r>
        <w:rPr>
          <w:rFonts w:hint="eastAsia" w:asciiTheme="minorEastAsia" w:hAnsiTheme="minorEastAsia" w:eastAsiaTheme="minorEastAsia"/>
          <w:color w:val="000000" w:themeColor="text1"/>
          <w:sz w:val="28"/>
          <w:szCs w:val="28"/>
          <w:highlight w:val="none"/>
          <w:lang w:eastAsia="zh-CN"/>
          <w14:textFill>
            <w14:solidFill>
              <w14:schemeClr w14:val="tx1"/>
            </w14:solidFill>
          </w14:textFill>
        </w:rPr>
        <w:t>供应商</w:t>
      </w:r>
      <w:r>
        <w:rPr>
          <w:rFonts w:hint="eastAsia" w:asciiTheme="minorEastAsia" w:hAnsiTheme="minorEastAsia" w:eastAsiaTheme="minorEastAsia"/>
          <w:color w:val="000000" w:themeColor="text1"/>
          <w:sz w:val="28"/>
          <w:szCs w:val="28"/>
          <w:highlight w:val="none"/>
          <w14:textFill>
            <w14:solidFill>
              <w14:schemeClr w14:val="tx1"/>
            </w14:solidFill>
          </w14:textFill>
        </w:rPr>
        <w:t>中标或者排斥其他</w:t>
      </w:r>
      <w:r>
        <w:rPr>
          <w:rFonts w:hint="eastAsia" w:asciiTheme="minorEastAsia" w:hAnsiTheme="minorEastAsia" w:eastAsiaTheme="minorEastAsia"/>
          <w:color w:val="000000" w:themeColor="text1"/>
          <w:sz w:val="28"/>
          <w:szCs w:val="28"/>
          <w:highlight w:val="none"/>
          <w:lang w:eastAsia="zh-CN"/>
          <w14:textFill>
            <w14:solidFill>
              <w14:schemeClr w14:val="tx1"/>
            </w14:solidFill>
          </w14:textFill>
        </w:rPr>
        <w:t>供应商</w:t>
      </w:r>
      <w:r>
        <w:rPr>
          <w:rFonts w:hint="eastAsia" w:asciiTheme="minorEastAsia" w:hAnsiTheme="minorEastAsia" w:eastAsiaTheme="minorEastAsia"/>
          <w:color w:val="000000" w:themeColor="text1"/>
          <w:sz w:val="28"/>
          <w:szCs w:val="28"/>
          <w:highlight w:val="none"/>
          <w14:textFill>
            <w14:solidFill>
              <w14:schemeClr w14:val="tx1"/>
            </w14:solidFill>
          </w14:textFill>
        </w:rPr>
        <w:t>的其他串通行为。</w:t>
      </w:r>
    </w:p>
    <w:p w14:paraId="15926728">
      <w:pPr>
        <w:keepNext w:val="0"/>
        <w:keepLines w:val="0"/>
        <w:pageBreakBefore w:val="0"/>
        <w:widowControl w:val="0"/>
        <w:kinsoku/>
        <w:wordWrap/>
        <w:overflowPunct/>
        <w:topLinePunct w:val="0"/>
        <w:autoSpaceDE/>
        <w:autoSpaceDN/>
        <w:bidi w:val="0"/>
        <w:adjustRightInd w:val="0"/>
        <w:snapToGrid w:val="0"/>
        <w:spacing w:line="560" w:lineRule="exact"/>
        <w:ind w:firstLine="551" w:firstLineChars="196"/>
        <w:jc w:val="both"/>
        <w:textAlignment w:val="auto"/>
        <w:rPr>
          <w:rFonts w:asciiTheme="minorEastAsia" w:hAnsiTheme="minorEastAsia" w:eastAsia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b/>
          <w:color w:val="000000" w:themeColor="text1"/>
          <w:sz w:val="28"/>
          <w:szCs w:val="28"/>
          <w:highlight w:val="none"/>
          <w14:textFill>
            <w14:solidFill>
              <w14:schemeClr w14:val="tx1"/>
            </w14:solidFill>
          </w14:textFill>
        </w:rPr>
        <w:t>以上情形一经核查属实，接受政府采购监管部门对我方认定存在围标串标行为，我方愿意承担一切后果，并不再寻求任何旨在减轻或者免除法律责任的辩解。</w:t>
      </w:r>
    </w:p>
    <w:p w14:paraId="32F8CD91">
      <w:pPr>
        <w:pageBreakBefore w:val="0"/>
        <w:wordWrap/>
        <w:topLinePunct w:val="0"/>
        <w:bidi w:val="0"/>
        <w:adjustRightInd w:val="0"/>
        <w:snapToGrid w:val="0"/>
        <w:spacing w:line="560" w:lineRule="exact"/>
        <w:ind w:firstLine="4200" w:firstLineChars="1500"/>
        <w:rPr>
          <w:rFonts w:cs="仿宋_GB2312" w:asciiTheme="minorEastAsia" w:hAnsiTheme="minorEastAsia" w:eastAsiaTheme="minorEastAsia"/>
          <w:color w:val="000000" w:themeColor="text1"/>
          <w:kern w:val="0"/>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lang w:eastAsia="zh-CN"/>
          <w14:textFill>
            <w14:solidFill>
              <w14:schemeClr w14:val="tx1"/>
            </w14:solidFill>
          </w14:textFill>
        </w:rPr>
        <w:t>供应商</w:t>
      </w:r>
      <w:r>
        <w:rPr>
          <w:rFonts w:hint="eastAsia" w:cs="仿宋_GB2312" w:asciiTheme="minorEastAsia" w:hAnsiTheme="minorEastAsia" w:eastAsiaTheme="minorEastAsia"/>
          <w:color w:val="000000" w:themeColor="text1"/>
          <w:kern w:val="0"/>
          <w:sz w:val="28"/>
          <w:szCs w:val="28"/>
          <w:highlight w:val="none"/>
          <w:lang w:val="zh-CN"/>
          <w14:textFill>
            <w14:solidFill>
              <w14:schemeClr w14:val="tx1"/>
            </w14:solidFill>
          </w14:textFill>
        </w:rPr>
        <w:t>名称(电子公章)：</w:t>
      </w:r>
    </w:p>
    <w:p w14:paraId="4E19B68A">
      <w:pPr>
        <w:pageBreakBefore w:val="0"/>
        <w:wordWrap/>
        <w:topLinePunct w:val="0"/>
        <w:bidi w:val="0"/>
        <w:adjustRightInd w:val="0"/>
        <w:snapToGrid w:val="0"/>
        <w:spacing w:line="560" w:lineRule="exact"/>
        <w:ind w:firstLine="4200" w:firstLineChars="1500"/>
        <w:rPr>
          <w:rFonts w:hint="eastAsia" w:cs="仿宋_GB2312" w:asciiTheme="minorEastAsia" w:hAnsiTheme="minorEastAsia" w:eastAsiaTheme="minorEastAsia"/>
          <w:color w:val="000000" w:themeColor="text1"/>
          <w:kern w:val="0"/>
          <w:sz w:val="28"/>
          <w:szCs w:val="28"/>
          <w:highlight w:val="none"/>
          <w:lang w:val="zh-CN"/>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法定代表人或其委托代理人（签字</w:t>
      </w:r>
      <w:r>
        <w:rPr>
          <w:rFonts w:hint="eastAsia" w:ascii="宋体" w:hAnsi="宋体" w:cs="宋体"/>
          <w:color w:val="000000" w:themeColor="text1"/>
          <w:sz w:val="28"/>
          <w:szCs w:val="28"/>
          <w:highlight w:val="none"/>
          <w:lang w:eastAsia="zh-CN"/>
          <w14:textFill>
            <w14:solidFill>
              <w14:schemeClr w14:val="tx1"/>
            </w14:solidFill>
          </w14:textFill>
        </w:rPr>
        <w:t>或</w:t>
      </w:r>
      <w:r>
        <w:rPr>
          <w:rFonts w:hint="eastAsia" w:ascii="宋体" w:hAnsi="宋体" w:eastAsia="宋体" w:cs="宋体"/>
          <w:color w:val="000000" w:themeColor="text1"/>
          <w:sz w:val="28"/>
          <w:szCs w:val="28"/>
          <w:highlight w:val="none"/>
          <w14:textFill>
            <w14:solidFill>
              <w14:schemeClr w14:val="tx1"/>
            </w14:solidFill>
          </w14:textFill>
        </w:rPr>
        <w:t>盖章）：</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r>
        <w:rPr>
          <w:rFonts w:hint="eastAsia" w:ascii="宋体" w:hAnsi="宋体" w:cs="宋体"/>
          <w:color w:val="000000" w:themeColor="text1"/>
          <w:sz w:val="28"/>
          <w:szCs w:val="28"/>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kern w:val="0"/>
          <w:sz w:val="28"/>
          <w:szCs w:val="28"/>
          <w:highlight w:val="none"/>
          <w:u w:val="single"/>
          <w:lang w:val="en-US" w:eastAsia="zh-CN"/>
          <w14:textFill>
            <w14:solidFill>
              <w14:schemeClr w14:val="tx1"/>
            </w14:solidFill>
          </w14:textFill>
        </w:rPr>
        <w:t xml:space="preserve"> </w:t>
      </w:r>
    </w:p>
    <w:p w14:paraId="548D3667">
      <w:pPr>
        <w:pageBreakBefore w:val="0"/>
        <w:wordWrap/>
        <w:topLinePunct w:val="0"/>
        <w:bidi w:val="0"/>
        <w:adjustRightInd w:val="0"/>
        <w:snapToGrid w:val="0"/>
        <w:spacing w:line="560" w:lineRule="exact"/>
        <w:ind w:firstLine="4200" w:firstLineChars="1500"/>
        <w:rPr>
          <w:rFonts w:cs="仿宋_GB2312" w:asciiTheme="minorEastAsia" w:hAnsiTheme="minorEastAsia" w:eastAsiaTheme="minorEastAsia"/>
          <w:color w:val="000000" w:themeColor="text1"/>
          <w:kern w:val="0"/>
          <w:sz w:val="28"/>
          <w:szCs w:val="28"/>
          <w:highlight w:val="none"/>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8"/>
          <w:szCs w:val="28"/>
          <w:highlight w:val="none"/>
          <w:lang w:val="zh-CN"/>
          <w14:textFill>
            <w14:solidFill>
              <w14:schemeClr w14:val="tx1"/>
            </w14:solidFill>
          </w14:textFill>
        </w:rPr>
        <w:t>日  期</w:t>
      </w:r>
      <w:r>
        <w:rPr>
          <w:rFonts w:hint="eastAsia" w:cs="仿宋_GB2312" w:asciiTheme="minorEastAsia" w:hAnsiTheme="minorEastAsia" w:eastAsiaTheme="minorEastAsia"/>
          <w:color w:val="000000" w:themeColor="text1"/>
          <w:kern w:val="0"/>
          <w:sz w:val="28"/>
          <w:szCs w:val="28"/>
          <w:highlight w:val="none"/>
          <w14:textFill>
            <w14:solidFill>
              <w14:schemeClr w14:val="tx1"/>
            </w14:solidFill>
          </w14:textFill>
        </w:rPr>
        <w:t xml:space="preserve">：  年  </w:t>
      </w:r>
      <w:r>
        <w:rPr>
          <w:rFonts w:hint="eastAsia" w:cs="仿宋_GB2312" w:asciiTheme="minorEastAsia" w:hAnsiTheme="minorEastAsia" w:eastAsiaTheme="minorEastAsia"/>
          <w:color w:val="000000" w:themeColor="text1"/>
          <w:kern w:val="0"/>
          <w:sz w:val="28"/>
          <w:szCs w:val="28"/>
          <w:highlight w:val="none"/>
          <w:lang w:val="zh-CN"/>
          <w14:textFill>
            <w14:solidFill>
              <w14:schemeClr w14:val="tx1"/>
            </w14:solidFill>
          </w14:textFill>
        </w:rPr>
        <w:t>月</w:t>
      </w:r>
      <w:r>
        <w:rPr>
          <w:rFonts w:hint="eastAsia" w:cs="仿宋_GB2312" w:asciiTheme="minorEastAsia" w:hAnsiTheme="minorEastAsia" w:eastAsiaTheme="minorEastAsia"/>
          <w:color w:val="000000" w:themeColor="text1"/>
          <w:kern w:val="0"/>
          <w:sz w:val="28"/>
          <w:szCs w:val="28"/>
          <w:highlight w:val="none"/>
          <w14:textFill>
            <w14:solidFill>
              <w14:schemeClr w14:val="tx1"/>
            </w14:solidFill>
          </w14:textFill>
        </w:rPr>
        <w:t xml:space="preserve">   </w:t>
      </w:r>
      <w:r>
        <w:rPr>
          <w:rFonts w:hint="eastAsia" w:cs="仿宋_GB2312" w:asciiTheme="minorEastAsia" w:hAnsiTheme="minorEastAsia" w:eastAsiaTheme="minorEastAsia"/>
          <w:color w:val="000000" w:themeColor="text1"/>
          <w:kern w:val="0"/>
          <w:sz w:val="28"/>
          <w:szCs w:val="28"/>
          <w:highlight w:val="none"/>
          <w:lang w:val="zh-CN"/>
          <w14:textFill>
            <w14:solidFill>
              <w14:schemeClr w14:val="tx1"/>
            </w14:solidFill>
          </w14:textFill>
        </w:rPr>
        <w:t>日</w:t>
      </w:r>
    </w:p>
    <w:p w14:paraId="05F0724A">
      <w:pPr>
        <w:pStyle w:val="17"/>
        <w:pageBreakBefore w:val="0"/>
        <w:wordWrap/>
        <w:topLinePunct w:val="0"/>
        <w:bidi w:val="0"/>
        <w:spacing w:line="560" w:lineRule="exact"/>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br w:type="page"/>
      </w:r>
      <w:r>
        <w:rPr>
          <w:rFonts w:hint="eastAsia"/>
          <w:color w:val="000000" w:themeColor="text1"/>
          <w:highlight w:val="none"/>
          <w14:textFill>
            <w14:solidFill>
              <w14:schemeClr w14:val="tx1"/>
            </w14:solidFill>
          </w14:textFill>
        </w:rPr>
        <w:t>二、法定代表人身份证明</w:t>
      </w:r>
    </w:p>
    <w:p w14:paraId="56E63158">
      <w:pPr>
        <w:pageBreakBefore w:val="0"/>
        <w:wordWrap/>
        <w:topLinePunct w:val="0"/>
        <w:bidi w:val="0"/>
        <w:spacing w:before="240" w:beforeLines="100" w:after="120" w:afterLines="50" w:line="560" w:lineRule="exact"/>
        <w:rPr>
          <w:rFonts w:ascii="黑体" w:hAnsi="宋体" w:eastAsia="黑体"/>
          <w:color w:val="000000" w:themeColor="text1"/>
          <w:sz w:val="32"/>
          <w:szCs w:val="32"/>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lang w:eastAsia="zh-CN"/>
          <w14:textFill>
            <w14:solidFill>
              <w14:schemeClr w14:val="tx1"/>
            </w14:solidFill>
          </w14:textFill>
        </w:rPr>
        <w:t>供</w:t>
      </w:r>
      <w:r>
        <w:rPr>
          <w:rFonts w:hint="eastAsia" w:asciiTheme="minorEastAsia" w:hAnsiTheme="minorEastAsia" w:eastAsiaTheme="minorEastAsia"/>
          <w:color w:val="000000" w:themeColor="text1"/>
          <w:sz w:val="28"/>
          <w:szCs w:val="28"/>
          <w:highlight w:val="none"/>
          <w:lang w:val="en-US" w:eastAsia="zh-CN"/>
          <w14:textFill>
            <w14:solidFill>
              <w14:schemeClr w14:val="tx1"/>
            </w14:solidFill>
          </w14:textFill>
        </w:rPr>
        <w:t xml:space="preserve"> </w:t>
      </w:r>
      <w:r>
        <w:rPr>
          <w:rFonts w:hint="eastAsia" w:asciiTheme="minorEastAsia" w:hAnsiTheme="minorEastAsia" w:eastAsiaTheme="minorEastAsia"/>
          <w:color w:val="000000" w:themeColor="text1"/>
          <w:sz w:val="28"/>
          <w:szCs w:val="28"/>
          <w:highlight w:val="none"/>
          <w:lang w:eastAsia="zh-CN"/>
          <w14:textFill>
            <w14:solidFill>
              <w14:schemeClr w14:val="tx1"/>
            </w14:solidFill>
          </w14:textFill>
        </w:rPr>
        <w:t>应</w:t>
      </w:r>
      <w:r>
        <w:rPr>
          <w:rFonts w:hint="eastAsia" w:asciiTheme="minorEastAsia" w:hAnsiTheme="minorEastAsia" w:eastAsiaTheme="minorEastAsia"/>
          <w:color w:val="000000" w:themeColor="text1"/>
          <w:sz w:val="28"/>
          <w:szCs w:val="28"/>
          <w:highlight w:val="none"/>
          <w:lang w:val="en-US" w:eastAsia="zh-CN"/>
          <w14:textFill>
            <w14:solidFill>
              <w14:schemeClr w14:val="tx1"/>
            </w14:solidFill>
          </w14:textFill>
        </w:rPr>
        <w:t xml:space="preserve"> </w:t>
      </w:r>
      <w:r>
        <w:rPr>
          <w:rFonts w:hint="eastAsia" w:asciiTheme="minorEastAsia" w:hAnsiTheme="minorEastAsia" w:eastAsiaTheme="minorEastAsia"/>
          <w:color w:val="000000" w:themeColor="text1"/>
          <w:sz w:val="28"/>
          <w:szCs w:val="28"/>
          <w:highlight w:val="none"/>
          <w:lang w:eastAsia="zh-CN"/>
          <w14:textFill>
            <w14:solidFill>
              <w14:schemeClr w14:val="tx1"/>
            </w14:solidFill>
          </w14:textFill>
        </w:rPr>
        <w:t>商</w:t>
      </w:r>
      <w:r>
        <w:rPr>
          <w:rFonts w:hint="eastAsia" w:asciiTheme="minorEastAsia" w:hAnsiTheme="minorEastAsia" w:eastAsiaTheme="minorEastAsia"/>
          <w:color w:val="000000" w:themeColor="text1"/>
          <w:sz w:val="28"/>
          <w:szCs w:val="28"/>
          <w:highlight w:val="none"/>
          <w14:textFill>
            <w14:solidFill>
              <w14:schemeClr w14:val="tx1"/>
            </w14:solidFill>
          </w14:textFill>
        </w:rPr>
        <w:t>：</w:t>
      </w:r>
      <w:r>
        <w:rPr>
          <w:rFonts w:hint="eastAsia" w:asciiTheme="minorEastAsia" w:hAnsiTheme="minorEastAsia" w:eastAsiaTheme="minorEastAsia"/>
          <w:color w:val="000000" w:themeColor="text1"/>
          <w:sz w:val="28"/>
          <w:szCs w:val="28"/>
          <w:highlight w:val="none"/>
          <w:u w:val="single"/>
          <w14:textFill>
            <w14:solidFill>
              <w14:schemeClr w14:val="tx1"/>
            </w14:solidFill>
          </w14:textFill>
        </w:rPr>
        <w:t xml:space="preserve">                                                        </w:t>
      </w:r>
    </w:p>
    <w:p w14:paraId="28CACA48">
      <w:pPr>
        <w:pageBreakBefore w:val="0"/>
        <w:wordWrap/>
        <w:topLinePunct w:val="0"/>
        <w:bidi w:val="0"/>
        <w:spacing w:line="560" w:lineRule="exact"/>
        <w:jc w:val="left"/>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地    址：</w:t>
      </w:r>
      <w:r>
        <w:rPr>
          <w:rFonts w:hint="eastAsia" w:asciiTheme="minorEastAsia" w:hAnsiTheme="minorEastAsia" w:eastAsiaTheme="minorEastAsia"/>
          <w:color w:val="000000" w:themeColor="text1"/>
          <w:sz w:val="28"/>
          <w:szCs w:val="28"/>
          <w:highlight w:val="none"/>
          <w:u w:val="single"/>
          <w14:textFill>
            <w14:solidFill>
              <w14:schemeClr w14:val="tx1"/>
            </w14:solidFill>
          </w14:textFill>
        </w:rPr>
        <w:t xml:space="preserve">                                                        </w:t>
      </w:r>
    </w:p>
    <w:p w14:paraId="01F4199B">
      <w:pPr>
        <w:pageBreakBefore w:val="0"/>
        <w:wordWrap/>
        <w:topLinePunct w:val="0"/>
        <w:bidi w:val="0"/>
        <w:spacing w:line="560" w:lineRule="exact"/>
        <w:jc w:val="left"/>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姓    名：</w:t>
      </w:r>
      <w:r>
        <w:rPr>
          <w:rFonts w:hint="eastAsia" w:asciiTheme="minorEastAsia" w:hAnsiTheme="minorEastAsia" w:eastAsiaTheme="minorEastAsia"/>
          <w:color w:val="000000" w:themeColor="text1"/>
          <w:sz w:val="28"/>
          <w:szCs w:val="28"/>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z w:val="28"/>
          <w:szCs w:val="28"/>
          <w:highlight w:val="none"/>
          <w14:textFill>
            <w14:solidFill>
              <w14:schemeClr w14:val="tx1"/>
            </w14:solidFill>
          </w14:textFill>
        </w:rPr>
        <w:t>性      别：</w:t>
      </w:r>
      <w:r>
        <w:rPr>
          <w:rFonts w:hint="eastAsia" w:asciiTheme="minorEastAsia" w:hAnsiTheme="minorEastAsia" w:eastAsiaTheme="minorEastAsia"/>
          <w:color w:val="000000" w:themeColor="text1"/>
          <w:sz w:val="28"/>
          <w:szCs w:val="28"/>
          <w:highlight w:val="none"/>
          <w:u w:val="single"/>
          <w14:textFill>
            <w14:solidFill>
              <w14:schemeClr w14:val="tx1"/>
            </w14:solidFill>
          </w14:textFill>
        </w:rPr>
        <w:t xml:space="preserve">                </w:t>
      </w:r>
    </w:p>
    <w:p w14:paraId="66B1E799">
      <w:pPr>
        <w:pageBreakBefore w:val="0"/>
        <w:wordWrap/>
        <w:topLinePunct w:val="0"/>
        <w:bidi w:val="0"/>
        <w:spacing w:line="560" w:lineRule="exact"/>
        <w:jc w:val="left"/>
        <w:rPr>
          <w:rFonts w:asciiTheme="minorEastAsia" w:hAnsiTheme="minorEastAsia" w:eastAsiaTheme="minorEastAsia"/>
          <w:color w:val="000000" w:themeColor="text1"/>
          <w:sz w:val="28"/>
          <w:szCs w:val="28"/>
          <w:highlight w:val="none"/>
          <w:u w:val="singl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年    龄：</w:t>
      </w:r>
      <w:r>
        <w:rPr>
          <w:rFonts w:hint="eastAsia" w:asciiTheme="minorEastAsia" w:hAnsiTheme="minorEastAsia" w:eastAsiaTheme="minorEastAsia"/>
          <w:color w:val="000000" w:themeColor="text1"/>
          <w:sz w:val="28"/>
          <w:szCs w:val="28"/>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z w:val="28"/>
          <w:szCs w:val="28"/>
          <w:highlight w:val="none"/>
          <w14:textFill>
            <w14:solidFill>
              <w14:schemeClr w14:val="tx1"/>
            </w14:solidFill>
          </w14:textFill>
        </w:rPr>
        <w:t>职      务：</w:t>
      </w:r>
      <w:r>
        <w:rPr>
          <w:rFonts w:hint="eastAsia" w:asciiTheme="minorEastAsia" w:hAnsiTheme="minorEastAsia" w:eastAsiaTheme="minorEastAsia"/>
          <w:color w:val="000000" w:themeColor="text1"/>
          <w:sz w:val="28"/>
          <w:szCs w:val="28"/>
          <w:highlight w:val="none"/>
          <w:u w:val="single"/>
          <w14:textFill>
            <w14:solidFill>
              <w14:schemeClr w14:val="tx1"/>
            </w14:solidFill>
          </w14:textFill>
        </w:rPr>
        <w:t xml:space="preserve">                </w:t>
      </w:r>
    </w:p>
    <w:p w14:paraId="1F56BE93">
      <w:pPr>
        <w:pageBreakBefore w:val="0"/>
        <w:wordWrap/>
        <w:topLinePunct w:val="0"/>
        <w:bidi w:val="0"/>
        <w:spacing w:line="560" w:lineRule="exact"/>
        <w:jc w:val="left"/>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身份证号码：</w:t>
      </w:r>
      <w:r>
        <w:rPr>
          <w:rFonts w:asciiTheme="minorEastAsia" w:hAnsiTheme="minorEastAsia" w:eastAsiaTheme="minorEastAsia"/>
          <w:color w:val="000000" w:themeColor="text1"/>
          <w:sz w:val="28"/>
          <w:szCs w:val="28"/>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z w:val="28"/>
          <w:szCs w:val="28"/>
          <w:highlight w:val="none"/>
          <w14:textFill>
            <w14:solidFill>
              <w14:schemeClr w14:val="tx1"/>
            </w14:solidFill>
          </w14:textFill>
        </w:rPr>
        <w:t>系</w:t>
      </w:r>
      <w:r>
        <w:rPr>
          <w:rFonts w:hint="eastAsia" w:asciiTheme="minorEastAsia" w:hAnsiTheme="minorEastAsia" w:eastAsiaTheme="minorEastAsia"/>
          <w:color w:val="000000" w:themeColor="text1"/>
          <w:sz w:val="28"/>
          <w:szCs w:val="28"/>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z w:val="28"/>
          <w:szCs w:val="28"/>
          <w:highlight w:val="none"/>
          <w:u w:val="single"/>
          <w:lang w:eastAsia="zh-CN"/>
          <w14:textFill>
            <w14:solidFill>
              <w14:schemeClr w14:val="tx1"/>
            </w14:solidFill>
          </w14:textFill>
        </w:rPr>
        <w:t>供应商</w:t>
      </w:r>
      <w:r>
        <w:rPr>
          <w:rFonts w:hint="eastAsia" w:asciiTheme="minorEastAsia" w:hAnsiTheme="minorEastAsia" w:eastAsiaTheme="minorEastAsia"/>
          <w:color w:val="000000" w:themeColor="text1"/>
          <w:sz w:val="28"/>
          <w:szCs w:val="28"/>
          <w:highlight w:val="none"/>
          <w:u w:val="single"/>
          <w14:textFill>
            <w14:solidFill>
              <w14:schemeClr w14:val="tx1"/>
            </w14:solidFill>
          </w14:textFill>
        </w:rPr>
        <w:t xml:space="preserve">名称）              </w:t>
      </w:r>
      <w:r>
        <w:rPr>
          <w:rFonts w:hint="eastAsia" w:asciiTheme="minorEastAsia" w:hAnsiTheme="minorEastAsia" w:eastAsiaTheme="minorEastAsia"/>
          <w:color w:val="000000" w:themeColor="text1"/>
          <w:sz w:val="28"/>
          <w:szCs w:val="28"/>
          <w:highlight w:val="none"/>
          <w14:textFill>
            <w14:solidFill>
              <w14:schemeClr w14:val="tx1"/>
            </w14:solidFill>
          </w14:textFill>
        </w:rPr>
        <w:t>的法定代表人。</w:t>
      </w:r>
    </w:p>
    <w:p w14:paraId="63F8BC26">
      <w:pPr>
        <w:pageBreakBefore w:val="0"/>
        <w:wordWrap/>
        <w:topLinePunct w:val="0"/>
        <w:bidi w:val="0"/>
        <w:spacing w:line="560" w:lineRule="exact"/>
        <w:ind w:left="540"/>
        <w:jc w:val="left"/>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特此证明。</w:t>
      </w:r>
    </w:p>
    <w:p w14:paraId="0BBEB054">
      <w:pPr>
        <w:pageBreakBefore w:val="0"/>
        <w:wordWrap/>
        <w:topLinePunct w:val="0"/>
        <w:bidi w:val="0"/>
        <w:spacing w:line="560" w:lineRule="exact"/>
        <w:ind w:left="540"/>
        <w:jc w:val="left"/>
        <w:rPr>
          <w:rFonts w:asciiTheme="minorEastAsia" w:hAnsiTheme="minorEastAsia" w:eastAsiaTheme="minorEastAsia"/>
          <w:color w:val="000000" w:themeColor="text1"/>
          <w:sz w:val="28"/>
          <w:szCs w:val="28"/>
          <w:highlight w:val="none"/>
          <w14:textFill>
            <w14:solidFill>
              <w14:schemeClr w14:val="tx1"/>
            </w14:solidFill>
          </w14:textFill>
        </w:rPr>
      </w:pPr>
    </w:p>
    <w:p w14:paraId="2787C60A">
      <w:pPr>
        <w:pageBreakBefore w:val="0"/>
        <w:wordWrap/>
        <w:topLinePunct w:val="0"/>
        <w:bidi w:val="0"/>
        <w:spacing w:line="560" w:lineRule="exact"/>
        <w:ind w:left="540"/>
        <w:jc w:val="left"/>
        <w:rPr>
          <w:rFonts w:asciiTheme="minorEastAsia" w:hAnsiTheme="minorEastAsia" w:eastAsiaTheme="minorEastAsia"/>
          <w:color w:val="000000" w:themeColor="text1"/>
          <w:sz w:val="28"/>
          <w:szCs w:val="28"/>
          <w:highlight w:val="none"/>
          <w14:textFill>
            <w14:solidFill>
              <w14:schemeClr w14:val="tx1"/>
            </w14:solidFill>
          </w14:textFill>
        </w:rPr>
      </w:pPr>
    </w:p>
    <w:p w14:paraId="6E23BE22">
      <w:pPr>
        <w:pageBreakBefore w:val="0"/>
        <w:wordWrap/>
        <w:topLinePunct w:val="0"/>
        <w:bidi w:val="0"/>
        <w:spacing w:line="560" w:lineRule="exact"/>
        <w:ind w:left="540"/>
        <w:jc w:val="left"/>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附件：法定代表人有效身份证正、反面复印件</w:t>
      </w:r>
    </w:p>
    <w:p w14:paraId="1D21709C">
      <w:pPr>
        <w:pageBreakBefore w:val="0"/>
        <w:wordWrap/>
        <w:topLinePunct w:val="0"/>
        <w:bidi w:val="0"/>
        <w:spacing w:line="560" w:lineRule="exact"/>
        <w:ind w:left="540"/>
        <w:jc w:val="left"/>
        <w:rPr>
          <w:rFonts w:asciiTheme="minorEastAsia" w:hAnsiTheme="minorEastAsia" w:eastAsiaTheme="minorEastAsia"/>
          <w:color w:val="000000" w:themeColor="text1"/>
          <w:sz w:val="28"/>
          <w:szCs w:val="28"/>
          <w:highlight w:val="none"/>
          <w14:textFill>
            <w14:solidFill>
              <w14:schemeClr w14:val="tx1"/>
            </w14:solidFill>
          </w14:textFill>
        </w:rPr>
      </w:pPr>
    </w:p>
    <w:p w14:paraId="216AA29B">
      <w:pPr>
        <w:pageBreakBefore w:val="0"/>
        <w:wordWrap/>
        <w:topLinePunct w:val="0"/>
        <w:bidi w:val="0"/>
        <w:spacing w:line="560" w:lineRule="exact"/>
        <w:ind w:left="540"/>
        <w:jc w:val="left"/>
        <w:rPr>
          <w:rFonts w:asciiTheme="minorEastAsia" w:hAnsiTheme="minorEastAsia" w:eastAsiaTheme="minorEastAsia"/>
          <w:color w:val="000000" w:themeColor="text1"/>
          <w:sz w:val="28"/>
          <w:szCs w:val="28"/>
          <w:highlight w:val="none"/>
          <w14:textFill>
            <w14:solidFill>
              <w14:schemeClr w14:val="tx1"/>
            </w14:solidFill>
          </w14:textFill>
        </w:rPr>
      </w:pPr>
    </w:p>
    <w:p w14:paraId="0BE1650D">
      <w:pPr>
        <w:pageBreakBefore w:val="0"/>
        <w:wordWrap/>
        <w:topLinePunct w:val="0"/>
        <w:bidi w:val="0"/>
        <w:spacing w:line="560" w:lineRule="exact"/>
        <w:ind w:left="540"/>
        <w:jc w:val="left"/>
        <w:rPr>
          <w:rFonts w:asciiTheme="minorEastAsia" w:hAnsiTheme="minorEastAsia" w:eastAsiaTheme="minorEastAsia"/>
          <w:color w:val="000000" w:themeColor="text1"/>
          <w:sz w:val="28"/>
          <w:szCs w:val="28"/>
          <w:highlight w:val="none"/>
          <w14:textFill>
            <w14:solidFill>
              <w14:schemeClr w14:val="tx1"/>
            </w14:solidFill>
          </w14:textFill>
        </w:rPr>
      </w:pPr>
    </w:p>
    <w:p w14:paraId="3593C88A">
      <w:pPr>
        <w:pageBreakBefore w:val="0"/>
        <w:wordWrap/>
        <w:topLinePunct w:val="0"/>
        <w:bidi w:val="0"/>
        <w:spacing w:line="560" w:lineRule="exact"/>
        <w:ind w:left="540"/>
        <w:jc w:val="left"/>
        <w:rPr>
          <w:rFonts w:asciiTheme="minorEastAsia" w:hAnsiTheme="minorEastAsia" w:eastAsiaTheme="minorEastAsia"/>
          <w:color w:val="000000" w:themeColor="text1"/>
          <w:sz w:val="28"/>
          <w:szCs w:val="28"/>
          <w:highlight w:val="none"/>
          <w14:textFill>
            <w14:solidFill>
              <w14:schemeClr w14:val="tx1"/>
            </w14:solidFill>
          </w14:textFill>
        </w:rPr>
      </w:pPr>
    </w:p>
    <w:p w14:paraId="05474956">
      <w:pPr>
        <w:pageBreakBefore w:val="0"/>
        <w:wordWrap/>
        <w:topLinePunct w:val="0"/>
        <w:bidi w:val="0"/>
        <w:spacing w:line="560" w:lineRule="exact"/>
        <w:ind w:left="540"/>
        <w:jc w:val="left"/>
        <w:rPr>
          <w:rFonts w:asciiTheme="minorEastAsia" w:hAnsiTheme="minorEastAsia" w:eastAsiaTheme="minorEastAsia"/>
          <w:color w:val="000000" w:themeColor="text1"/>
          <w:sz w:val="28"/>
          <w:szCs w:val="28"/>
          <w:highlight w:val="none"/>
          <w14:textFill>
            <w14:solidFill>
              <w14:schemeClr w14:val="tx1"/>
            </w14:solidFill>
          </w14:textFill>
        </w:rPr>
      </w:pPr>
    </w:p>
    <w:p w14:paraId="18A3DC64">
      <w:pPr>
        <w:pageBreakBefore w:val="0"/>
        <w:wordWrap/>
        <w:topLinePunct w:val="0"/>
        <w:bidi w:val="0"/>
        <w:spacing w:line="560" w:lineRule="exact"/>
        <w:ind w:left="540"/>
        <w:jc w:val="left"/>
        <w:rPr>
          <w:rFonts w:asciiTheme="minorEastAsia" w:hAnsiTheme="minorEastAsia" w:eastAsiaTheme="minorEastAsia"/>
          <w:color w:val="000000" w:themeColor="text1"/>
          <w:sz w:val="28"/>
          <w:szCs w:val="28"/>
          <w:highlight w:val="none"/>
          <w14:textFill>
            <w14:solidFill>
              <w14:schemeClr w14:val="tx1"/>
            </w14:solidFill>
          </w14:textFill>
        </w:rPr>
      </w:pPr>
    </w:p>
    <w:p w14:paraId="79111501">
      <w:pPr>
        <w:pageBreakBefore w:val="0"/>
        <w:wordWrap/>
        <w:topLinePunct w:val="0"/>
        <w:bidi w:val="0"/>
        <w:snapToGrid w:val="0"/>
        <w:spacing w:line="560" w:lineRule="exact"/>
        <w:ind w:firstLine="4480" w:firstLineChars="1600"/>
        <w:jc w:val="left"/>
        <w:rPr>
          <w:rFonts w:cs="仿宋_GB2312" w:asciiTheme="minorEastAsia" w:hAnsiTheme="minorEastAsia" w:eastAsiaTheme="minorEastAsia"/>
          <w:color w:val="000000" w:themeColor="text1"/>
          <w:kern w:val="0"/>
          <w:sz w:val="28"/>
          <w:szCs w:val="28"/>
          <w:highlight w:val="none"/>
          <w14:textFill>
            <w14:solidFill>
              <w14:schemeClr w14:val="tx1"/>
            </w14:solidFill>
          </w14:textFill>
        </w:rPr>
      </w:pPr>
      <w:r>
        <w:rPr>
          <w:rFonts w:hint="eastAsia" w:cs="仿宋_GB2312" w:asciiTheme="minorEastAsia" w:hAnsiTheme="minorEastAsia" w:eastAsiaTheme="minorEastAsia"/>
          <w:color w:val="000000" w:themeColor="text1"/>
          <w:kern w:val="0"/>
          <w:sz w:val="28"/>
          <w:szCs w:val="28"/>
          <w:highlight w:val="none"/>
          <w:lang w:val="zh-CN"/>
          <w14:textFill>
            <w14:solidFill>
              <w14:schemeClr w14:val="tx1"/>
            </w14:solidFill>
          </w14:textFill>
        </w:rPr>
        <w:t>供应商名称(电子公章)：</w:t>
      </w:r>
    </w:p>
    <w:p w14:paraId="4BFE1085">
      <w:pPr>
        <w:pageBreakBefore w:val="0"/>
        <w:wordWrap/>
        <w:topLinePunct w:val="0"/>
        <w:bidi w:val="0"/>
        <w:snapToGrid w:val="0"/>
        <w:spacing w:line="560" w:lineRule="exact"/>
        <w:ind w:firstLine="4480" w:firstLineChars="1600"/>
        <w:jc w:val="left"/>
        <w:rPr>
          <w:rFonts w:cs="仿宋_GB2312" w:asciiTheme="minorEastAsia" w:hAnsiTheme="minorEastAsia" w:eastAsiaTheme="minorEastAsia"/>
          <w:color w:val="000000" w:themeColor="text1"/>
          <w:kern w:val="0"/>
          <w:sz w:val="28"/>
          <w:szCs w:val="28"/>
          <w:highlight w:val="none"/>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8"/>
          <w:szCs w:val="28"/>
          <w:highlight w:val="none"/>
          <w:lang w:val="zh-CN"/>
          <w14:textFill>
            <w14:solidFill>
              <w14:schemeClr w14:val="tx1"/>
            </w14:solidFill>
          </w14:textFill>
        </w:rPr>
        <w:t>日  期</w:t>
      </w:r>
      <w:r>
        <w:rPr>
          <w:rFonts w:hint="eastAsia" w:cs="仿宋_GB2312" w:asciiTheme="minorEastAsia" w:hAnsiTheme="minorEastAsia" w:eastAsiaTheme="minorEastAsia"/>
          <w:color w:val="000000" w:themeColor="text1"/>
          <w:kern w:val="0"/>
          <w:sz w:val="28"/>
          <w:szCs w:val="28"/>
          <w:highlight w:val="none"/>
          <w14:textFill>
            <w14:solidFill>
              <w14:schemeClr w14:val="tx1"/>
            </w14:solidFill>
          </w14:textFill>
        </w:rPr>
        <w:t xml:space="preserve">：  年  </w:t>
      </w:r>
      <w:r>
        <w:rPr>
          <w:rFonts w:hint="eastAsia" w:cs="仿宋_GB2312" w:asciiTheme="minorEastAsia" w:hAnsiTheme="minorEastAsia" w:eastAsiaTheme="minorEastAsia"/>
          <w:color w:val="000000" w:themeColor="text1"/>
          <w:kern w:val="0"/>
          <w:sz w:val="28"/>
          <w:szCs w:val="28"/>
          <w:highlight w:val="none"/>
          <w:lang w:val="zh-CN"/>
          <w14:textFill>
            <w14:solidFill>
              <w14:schemeClr w14:val="tx1"/>
            </w14:solidFill>
          </w14:textFill>
        </w:rPr>
        <w:t>月</w:t>
      </w:r>
      <w:r>
        <w:rPr>
          <w:rFonts w:hint="eastAsia" w:cs="仿宋_GB2312" w:asciiTheme="minorEastAsia" w:hAnsiTheme="minorEastAsia" w:eastAsiaTheme="minorEastAsia"/>
          <w:color w:val="000000" w:themeColor="text1"/>
          <w:kern w:val="0"/>
          <w:sz w:val="28"/>
          <w:szCs w:val="28"/>
          <w:highlight w:val="none"/>
          <w14:textFill>
            <w14:solidFill>
              <w14:schemeClr w14:val="tx1"/>
            </w14:solidFill>
          </w14:textFill>
        </w:rPr>
        <w:t xml:space="preserve">   </w:t>
      </w:r>
      <w:r>
        <w:rPr>
          <w:rFonts w:hint="eastAsia" w:cs="仿宋_GB2312" w:asciiTheme="minorEastAsia" w:hAnsiTheme="minorEastAsia" w:eastAsiaTheme="minorEastAsia"/>
          <w:color w:val="000000" w:themeColor="text1"/>
          <w:kern w:val="0"/>
          <w:sz w:val="28"/>
          <w:szCs w:val="28"/>
          <w:highlight w:val="none"/>
          <w:lang w:val="zh-CN"/>
          <w14:textFill>
            <w14:solidFill>
              <w14:schemeClr w14:val="tx1"/>
            </w14:solidFill>
          </w14:textFill>
        </w:rPr>
        <w:t>日</w:t>
      </w:r>
    </w:p>
    <w:p w14:paraId="63C314F1">
      <w:pPr>
        <w:pageBreakBefore w:val="0"/>
        <w:wordWrap/>
        <w:topLinePunct w:val="0"/>
        <w:bidi w:val="0"/>
        <w:snapToGrid w:val="0"/>
        <w:spacing w:before="120" w:beforeLines="50" w:after="50" w:line="560" w:lineRule="exact"/>
        <w:jc w:val="left"/>
        <w:rPr>
          <w:rFonts w:ascii="宋体" w:hAnsi="宋体"/>
          <w:color w:val="000000" w:themeColor="text1"/>
          <w:sz w:val="24"/>
          <w:highlight w:val="none"/>
          <w14:textFill>
            <w14:solidFill>
              <w14:schemeClr w14:val="tx1"/>
            </w14:solidFill>
          </w14:textFill>
        </w:rPr>
      </w:pPr>
    </w:p>
    <w:p w14:paraId="37404901">
      <w:pPr>
        <w:pageBreakBefore w:val="0"/>
        <w:wordWrap/>
        <w:topLinePunct w:val="0"/>
        <w:bidi w:val="0"/>
        <w:snapToGrid w:val="0"/>
        <w:spacing w:before="120" w:beforeLines="50" w:after="50" w:line="560" w:lineRule="exact"/>
        <w:ind w:firstLine="602" w:firstLineChars="250"/>
        <w:jc w:val="left"/>
        <w:rPr>
          <w:rFonts w:ascii="宋体" w:hAnsi="宋体"/>
          <w:b/>
          <w:color w:val="000000" w:themeColor="text1"/>
          <w:sz w:val="24"/>
          <w:szCs w:val="20"/>
          <w:highlight w:val="none"/>
          <w14:textFill>
            <w14:solidFill>
              <w14:schemeClr w14:val="tx1"/>
            </w14:solidFill>
          </w14:textFill>
        </w:rPr>
      </w:pPr>
    </w:p>
    <w:tbl>
      <w:tblPr>
        <w:tblStyle w:val="34"/>
        <w:tblpPr w:leftFromText="180" w:rightFromText="180" w:vertAnchor="text" w:horzAnchor="margin" w:tblpXSpec="center" w:tblpY="1169"/>
        <w:tblW w:w="84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0"/>
      </w:tblGrid>
      <w:tr w14:paraId="26660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5" w:hRule="atLeast"/>
          <w:jc w:val="center"/>
        </w:trPr>
        <w:tc>
          <w:tcPr>
            <w:tcW w:w="8460" w:type="dxa"/>
            <w:tcBorders>
              <w:top w:val="single" w:color="auto" w:sz="4" w:space="0"/>
              <w:left w:val="single" w:color="auto" w:sz="4" w:space="0"/>
              <w:bottom w:val="single" w:color="auto" w:sz="4" w:space="0"/>
              <w:right w:val="single" w:color="auto" w:sz="4" w:space="0"/>
            </w:tcBorders>
          </w:tcPr>
          <w:p w14:paraId="62BFD943">
            <w:pPr>
              <w:pageBreakBefore w:val="0"/>
              <w:wordWrap/>
              <w:topLinePunct w:val="0"/>
              <w:bidi w:val="0"/>
              <w:spacing w:line="560" w:lineRule="exact"/>
              <w:rPr>
                <w:rFonts w:ascii="宋体"/>
                <w:b/>
                <w:color w:val="000000" w:themeColor="text1"/>
                <w:sz w:val="24"/>
                <w:highlight w:val="none"/>
                <w14:textFill>
                  <w14:solidFill>
                    <w14:schemeClr w14:val="tx1"/>
                  </w14:solidFill>
                </w14:textFill>
              </w:rPr>
            </w:pPr>
          </w:p>
          <w:p w14:paraId="1C48F7A0">
            <w:pPr>
              <w:pageBreakBefore w:val="0"/>
              <w:wordWrap/>
              <w:topLinePunct w:val="0"/>
              <w:bidi w:val="0"/>
              <w:spacing w:line="560" w:lineRule="exact"/>
              <w:rPr>
                <w:rFonts w:ascii="宋体"/>
                <w:b/>
                <w:color w:val="000000" w:themeColor="text1"/>
                <w:sz w:val="24"/>
                <w:highlight w:val="none"/>
                <w14:textFill>
                  <w14:solidFill>
                    <w14:schemeClr w14:val="tx1"/>
                  </w14:solidFill>
                </w14:textFill>
              </w:rPr>
            </w:pPr>
            <w:r>
              <w:rPr>
                <w:rFonts w:hint="eastAsia" w:ascii="宋体"/>
                <w:b/>
                <w:color w:val="000000" w:themeColor="text1"/>
                <w:sz w:val="24"/>
                <w:highlight w:val="none"/>
                <w14:textFill>
                  <w14:solidFill>
                    <w14:schemeClr w14:val="tx1"/>
                  </w14:solidFill>
                </w14:textFill>
              </w:rPr>
              <w:t>法定代表身份证复印件粘帖处（正、反面）</w:t>
            </w:r>
          </w:p>
        </w:tc>
      </w:tr>
    </w:tbl>
    <w:p w14:paraId="7A17960A">
      <w:pPr>
        <w:pStyle w:val="17"/>
        <w:pageBreakBefore w:val="0"/>
        <w:wordWrap/>
        <w:topLinePunct w:val="0"/>
        <w:bidi w:val="0"/>
        <w:spacing w:line="560" w:lineRule="exact"/>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附件：</w:t>
      </w:r>
    </w:p>
    <w:p w14:paraId="2AB2C894">
      <w:pPr>
        <w:pStyle w:val="17"/>
        <w:pageBreakBefore w:val="0"/>
        <w:wordWrap/>
        <w:topLinePunct w:val="0"/>
        <w:bidi w:val="0"/>
        <w:spacing w:line="560" w:lineRule="exact"/>
        <w:rPr>
          <w:color w:val="000000" w:themeColor="text1"/>
          <w:highlight w:val="none"/>
          <w14:textFill>
            <w14:solidFill>
              <w14:schemeClr w14:val="tx1"/>
            </w14:solidFill>
          </w14:textFill>
        </w:rPr>
      </w:pPr>
    </w:p>
    <w:p w14:paraId="1A70BE07">
      <w:pPr>
        <w:pageBreakBefore w:val="0"/>
        <w:widowControl/>
        <w:wordWrap/>
        <w:topLinePunct w:val="0"/>
        <w:bidi w:val="0"/>
        <w:spacing w:line="560" w:lineRule="exact"/>
        <w:jc w:val="left"/>
        <w:rPr>
          <w:rFonts w:ascii="宋体" w:hAnsi="宋体"/>
          <w:b/>
          <w:color w:val="000000" w:themeColor="text1"/>
          <w:sz w:val="24"/>
          <w:szCs w:val="20"/>
          <w:highlight w:val="none"/>
          <w14:textFill>
            <w14:solidFill>
              <w14:schemeClr w14:val="tx1"/>
            </w14:solidFill>
          </w14:textFill>
        </w:rPr>
      </w:pPr>
      <w:r>
        <w:rPr>
          <w:rFonts w:hAnsi="宋体"/>
          <w:b/>
          <w:color w:val="000000" w:themeColor="text1"/>
          <w:sz w:val="24"/>
          <w:highlight w:val="none"/>
          <w14:textFill>
            <w14:solidFill>
              <w14:schemeClr w14:val="tx1"/>
            </w14:solidFill>
          </w14:textFill>
        </w:rPr>
        <w:br w:type="page"/>
      </w:r>
    </w:p>
    <w:p w14:paraId="197FC531">
      <w:pPr>
        <w:pageBreakBefore w:val="0"/>
        <w:wordWrap/>
        <w:topLinePunct w:val="0"/>
        <w:bidi w:val="0"/>
        <w:spacing w:line="560" w:lineRule="exact"/>
        <w:jc w:val="center"/>
        <w:rPr>
          <w:b/>
          <w:color w:val="000000" w:themeColor="text1"/>
          <w:sz w:val="28"/>
          <w:szCs w:val="28"/>
          <w:highlight w:val="none"/>
          <w14:textFill>
            <w14:solidFill>
              <w14:schemeClr w14:val="tx1"/>
            </w14:solidFill>
          </w14:textFill>
        </w:rPr>
      </w:pPr>
      <w:r>
        <w:rPr>
          <w:rFonts w:hint="eastAsia"/>
          <w:b/>
          <w:color w:val="000000" w:themeColor="text1"/>
          <w:sz w:val="28"/>
          <w:szCs w:val="28"/>
          <w:highlight w:val="none"/>
          <w14:textFill>
            <w14:solidFill>
              <w14:schemeClr w14:val="tx1"/>
            </w14:solidFill>
          </w14:textFill>
        </w:rPr>
        <w:t>三、法定代表人授权委托书（如有委托时）</w:t>
      </w:r>
    </w:p>
    <w:p w14:paraId="729EA929">
      <w:pPr>
        <w:pageBreakBefore w:val="0"/>
        <w:wordWrap/>
        <w:topLinePunct w:val="0"/>
        <w:bidi w:val="0"/>
        <w:spacing w:line="560" w:lineRule="exact"/>
        <w:rPr>
          <w:color w:val="000000" w:themeColor="text1"/>
          <w:sz w:val="28"/>
          <w:szCs w:val="28"/>
          <w:highlight w:val="none"/>
          <w14:textFill>
            <w14:solidFill>
              <w14:schemeClr w14:val="tx1"/>
            </w14:solidFill>
          </w14:textFill>
        </w:rPr>
      </w:pPr>
    </w:p>
    <w:p w14:paraId="5546D24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color w:val="000000" w:themeColor="text1"/>
          <w:sz w:val="28"/>
          <w:szCs w:val="28"/>
          <w:highlight w:val="none"/>
          <w:u w:val="single"/>
          <w:lang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t>致：</w:t>
      </w:r>
      <w:r>
        <w:rPr>
          <w:rFonts w:hint="eastAsia" w:asciiTheme="minorEastAsia" w:hAnsiTheme="minorEastAsia" w:eastAsiaTheme="minorEastAsia" w:cstheme="minorEastAsia"/>
          <w:color w:val="000000" w:themeColor="text1"/>
          <w:sz w:val="28"/>
          <w:szCs w:val="28"/>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highlight w:val="none"/>
          <w:u w:val="single"/>
          <w:lang w:eastAsia="zh-CN"/>
          <w14:textFill>
            <w14:solidFill>
              <w14:schemeClr w14:val="tx1"/>
            </w14:solidFill>
          </w14:textFill>
        </w:rPr>
        <w:t>采购人名称）</w:t>
      </w:r>
    </w:p>
    <w:p w14:paraId="7622684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 xml:space="preserve">本人 </w:t>
      </w:r>
      <w: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（姓名）系</w:t>
      </w:r>
      <w: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名称）的法定代表人，现授权我单位在职正式员工</w:t>
      </w:r>
      <w: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（姓名和职务）为我方代理人。代理人根据授权，以我方名义签署、澄清、说明、补正、递交、撤回、修改贵方组织的</w:t>
      </w:r>
      <w: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highlight w:val="none"/>
          <w:u w:val="single"/>
          <w:lang w:val="en-US" w:eastAsia="zh-CN"/>
          <w14:textFill>
            <w14:solidFill>
              <w14:schemeClr w14:val="tx1"/>
            </w14:solidFill>
          </w14:textFill>
        </w:rPr>
        <w:t xml:space="preserve">         （项目名称、标项名称）   </w:t>
      </w:r>
      <w: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（项目编号：</w:t>
      </w:r>
      <w:r>
        <w:rPr>
          <w:rFonts w:hint="eastAsia" w:asciiTheme="minorEastAsia" w:hAnsiTheme="minorEastAsia" w:eastAsiaTheme="minorEastAsia" w:cstheme="minorEastAsia"/>
          <w:color w:val="000000" w:themeColor="text1"/>
          <w:sz w:val="28"/>
          <w:szCs w:val="28"/>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）的投标文件、签订合同和处理一切有关事宜，其法律后果由我方承担。</w:t>
      </w:r>
    </w:p>
    <w:p w14:paraId="735134F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本授权书于</w:t>
      </w:r>
      <w: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年</w:t>
      </w:r>
      <w: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月</w:t>
      </w:r>
      <w: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日签字生效，委托期限：</w:t>
      </w:r>
      <w: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w:t>
      </w:r>
    </w:p>
    <w:p w14:paraId="0C74444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代理人无转委托权。</w:t>
      </w:r>
    </w:p>
    <w:p w14:paraId="6F751F5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p>
    <w:p w14:paraId="7BE3BC2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p>
    <w:p w14:paraId="717ADF7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p>
    <w:p w14:paraId="4199F15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 xml:space="preserve">       供应商名称</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电子公章</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 xml:space="preserve">）：                                    </w:t>
      </w:r>
    </w:p>
    <w:p w14:paraId="6DDDD6A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法定代表人（</w:t>
      </w:r>
      <w:r>
        <w:rPr>
          <w:rFonts w:hint="eastAsia" w:ascii="宋体" w:hAnsi="宋体" w:eastAsia="宋体" w:cs="宋体"/>
          <w:color w:val="000000" w:themeColor="text1"/>
          <w:sz w:val="28"/>
          <w:szCs w:val="28"/>
          <w:highlight w:val="none"/>
          <w14:textFill>
            <w14:solidFill>
              <w14:schemeClr w14:val="tx1"/>
            </w14:solidFill>
          </w14:textFill>
        </w:rPr>
        <w:t>签字或盖章</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 xml:space="preserve">）：    </w:t>
      </w:r>
      <w:r>
        <w:rPr>
          <w:color w:val="000000" w:themeColor="text1"/>
          <w:highlight w:val="none"/>
          <w14:textFill>
            <w14:solidFill>
              <w14:schemeClr w14:val="tx1"/>
            </w14:solidFill>
          </w14:textFill>
        </w:rPr>
        <w:t xml:space="preserve">                            </w:t>
      </w:r>
    </w:p>
    <w:p w14:paraId="1EC3B754">
      <w:pPr>
        <w:pStyle w:val="17"/>
        <w:pageBreakBefore w:val="0"/>
        <w:wordWrap/>
        <w:topLinePunct w:val="0"/>
        <w:bidi w:val="0"/>
        <w:spacing w:before="120" w:after="120" w:line="560" w:lineRule="exact"/>
        <w:outlineLvl w:val="9"/>
        <w:rPr>
          <w:color w:val="000000" w:themeColor="text1"/>
          <w:highlight w:val="none"/>
          <w14:textFill>
            <w14:solidFill>
              <w14:schemeClr w14:val="tx1"/>
            </w14:solidFill>
          </w14:textFill>
        </w:rPr>
      </w:pPr>
    </w:p>
    <w:p w14:paraId="49C75804">
      <w:pPr>
        <w:pageBreakBefore w:val="0"/>
        <w:wordWrap/>
        <w:topLinePunct w:val="0"/>
        <w:autoSpaceDE w:val="0"/>
        <w:autoSpaceDN w:val="0"/>
        <w:bidi w:val="0"/>
        <w:adjustRightInd w:val="0"/>
        <w:spacing w:line="560" w:lineRule="exact"/>
        <w:ind w:firstLine="420" w:firstLineChars="200"/>
        <w:jc w:val="left"/>
        <w:rPr>
          <w:rFonts w:ascii="宋体" w:cs="宋体"/>
          <w:color w:val="000000" w:themeColor="text1"/>
          <w:kern w:val="0"/>
          <w:szCs w:val="21"/>
          <w:highlight w:val="none"/>
          <w14:textFill>
            <w14:solidFill>
              <w14:schemeClr w14:val="tx1"/>
            </w14:solidFill>
          </w14:textFill>
        </w:rPr>
      </w:pPr>
      <w:r>
        <w:rPr>
          <w:rFonts w:hint="eastAsia" w:ascii="宋体" w:cs="宋体"/>
          <w:color w:val="000000" w:themeColor="text1"/>
          <w:kern w:val="0"/>
          <w:szCs w:val="21"/>
          <w:highlight w:val="none"/>
          <w14:textFill>
            <w14:solidFill>
              <w14:schemeClr w14:val="tx1"/>
            </w14:solidFill>
          </w14:textFill>
        </w:rPr>
        <w:t xml:space="preserve"> </w:t>
      </w:r>
    </w:p>
    <w:p w14:paraId="68CC304D">
      <w:pPr>
        <w:pageBreakBefore w:val="0"/>
        <w:wordWrap/>
        <w:topLinePunct w:val="0"/>
        <w:autoSpaceDE w:val="0"/>
        <w:autoSpaceDN w:val="0"/>
        <w:bidi w:val="0"/>
        <w:adjustRightInd w:val="0"/>
        <w:spacing w:line="560" w:lineRule="exact"/>
        <w:ind w:firstLine="420" w:firstLineChars="200"/>
        <w:jc w:val="left"/>
        <w:rPr>
          <w:rFonts w:ascii="宋体" w:cs="宋体"/>
          <w:color w:val="000000" w:themeColor="text1"/>
          <w:kern w:val="0"/>
          <w:szCs w:val="21"/>
          <w:highlight w:val="none"/>
          <w14:textFill>
            <w14:solidFill>
              <w14:schemeClr w14:val="tx1"/>
            </w14:solidFill>
          </w14:textFill>
        </w:rPr>
      </w:pPr>
    </w:p>
    <w:p w14:paraId="696CCF67">
      <w:pPr>
        <w:pageBreakBefore w:val="0"/>
        <w:wordWrap/>
        <w:topLinePunct w:val="0"/>
        <w:autoSpaceDE w:val="0"/>
        <w:autoSpaceDN w:val="0"/>
        <w:bidi w:val="0"/>
        <w:adjustRightInd w:val="0"/>
        <w:spacing w:line="560" w:lineRule="exact"/>
        <w:ind w:firstLine="420" w:firstLineChars="200"/>
        <w:jc w:val="left"/>
        <w:rPr>
          <w:rFonts w:ascii="宋体" w:cs="宋体"/>
          <w:color w:val="000000" w:themeColor="text1"/>
          <w:kern w:val="0"/>
          <w:szCs w:val="21"/>
          <w:highlight w:val="none"/>
          <w14:textFill>
            <w14:solidFill>
              <w14:schemeClr w14:val="tx1"/>
            </w14:solidFill>
          </w14:textFill>
        </w:rPr>
      </w:pPr>
    </w:p>
    <w:p w14:paraId="54970480">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注：</w:t>
      </w:r>
    </w:p>
    <w:p w14:paraId="35297931">
      <w:pPr>
        <w:keepNext w:val="0"/>
        <w:keepLines w:val="0"/>
        <w:pageBreakBefore w:val="0"/>
        <w:widowControl w:val="0"/>
        <w:kinsoku/>
        <w:wordWrap/>
        <w:overflowPunct/>
        <w:topLinePunct w:val="0"/>
        <w:autoSpaceDE/>
        <w:autoSpaceDN/>
        <w:bidi w:val="0"/>
        <w:adjustRightInd/>
        <w:snapToGrid w:val="0"/>
        <w:spacing w:line="560" w:lineRule="exact"/>
        <w:jc w:val="lef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1. 供应商为其他组织或者自然人时，本招标文件规定的法定代表人指负责人或者自然人。本招标文件所称负责人是指参加投标的其他组织营业执照上的负责人，本招标文件所称自然人指参与投标的自然人本人。</w:t>
      </w:r>
    </w:p>
    <w:p w14:paraId="1B52C14A">
      <w:pPr>
        <w:pageBreakBefore w:val="0"/>
        <w:widowControl/>
        <w:wordWrap/>
        <w:topLinePunct w:val="0"/>
        <w:bidi w:val="0"/>
        <w:spacing w:line="560" w:lineRule="exact"/>
        <w:jc w:val="left"/>
        <w:rPr>
          <w:rFonts w:ascii="宋体"/>
          <w:b/>
          <w:color w:val="000000" w:themeColor="text1"/>
          <w:sz w:val="24"/>
          <w:highlight w:val="none"/>
          <w14:textFill>
            <w14:solidFill>
              <w14:schemeClr w14:val="tx1"/>
            </w14:solidFill>
          </w14:textFill>
        </w:rPr>
      </w:pPr>
    </w:p>
    <w:p w14:paraId="58764B5A">
      <w:pPr>
        <w:pageBreakBefore w:val="0"/>
        <w:wordWrap/>
        <w:topLinePunct w:val="0"/>
        <w:bidi w:val="0"/>
        <w:spacing w:line="560" w:lineRule="exact"/>
        <w:rPr>
          <w:rFonts w:hint="eastAsia" w:ascii="宋体"/>
          <w:b/>
          <w:color w:val="000000" w:themeColor="text1"/>
          <w:sz w:val="24"/>
          <w:highlight w:val="none"/>
          <w14:textFill>
            <w14:solidFill>
              <w14:schemeClr w14:val="tx1"/>
            </w14:solidFill>
          </w14:textFill>
        </w:rPr>
      </w:pPr>
    </w:p>
    <w:p w14:paraId="48832593">
      <w:pPr>
        <w:pageBreakBefore w:val="0"/>
        <w:wordWrap/>
        <w:topLinePunct w:val="0"/>
        <w:bidi w:val="0"/>
        <w:spacing w:line="560" w:lineRule="exact"/>
        <w:rPr>
          <w:b/>
          <w:color w:val="000000" w:themeColor="text1"/>
          <w:sz w:val="24"/>
          <w:highlight w:val="none"/>
          <w14:textFill>
            <w14:solidFill>
              <w14:schemeClr w14:val="tx1"/>
            </w14:solidFill>
          </w14:textFill>
        </w:rPr>
      </w:pPr>
      <w:r>
        <w:rPr>
          <w:rFonts w:hint="eastAsia" w:ascii="宋体"/>
          <w:b/>
          <w:color w:val="000000" w:themeColor="text1"/>
          <w:sz w:val="24"/>
          <w:highlight w:val="none"/>
          <w14:textFill>
            <w14:solidFill>
              <w14:schemeClr w14:val="tx1"/>
            </w14:solidFill>
          </w14:textFill>
        </w:rPr>
        <w:t>附件：</w:t>
      </w:r>
    </w:p>
    <w:tbl>
      <w:tblPr>
        <w:tblStyle w:val="34"/>
        <w:tblpPr w:leftFromText="180" w:rightFromText="180" w:vertAnchor="text" w:horzAnchor="margin" w:tblpXSpec="center" w:tblpY="263"/>
        <w:tblW w:w="79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0"/>
      </w:tblGrid>
      <w:tr w14:paraId="07343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0" w:hRule="atLeast"/>
          <w:jc w:val="center"/>
        </w:trPr>
        <w:tc>
          <w:tcPr>
            <w:tcW w:w="7990" w:type="dxa"/>
            <w:tcBorders>
              <w:top w:val="single" w:color="auto" w:sz="4" w:space="0"/>
              <w:left w:val="single" w:color="auto" w:sz="4" w:space="0"/>
              <w:bottom w:val="single" w:color="auto" w:sz="4" w:space="0"/>
              <w:right w:val="single" w:color="auto" w:sz="4" w:space="0"/>
            </w:tcBorders>
          </w:tcPr>
          <w:p w14:paraId="2A8BE6BD">
            <w:pPr>
              <w:pageBreakBefore w:val="0"/>
              <w:wordWrap/>
              <w:topLinePunct w:val="0"/>
              <w:bidi w:val="0"/>
              <w:spacing w:line="560" w:lineRule="exact"/>
              <w:rPr>
                <w:rFonts w:ascii="宋体"/>
                <w:b/>
                <w:color w:val="000000" w:themeColor="text1"/>
                <w:sz w:val="24"/>
                <w:highlight w:val="none"/>
                <w14:textFill>
                  <w14:solidFill>
                    <w14:schemeClr w14:val="tx1"/>
                  </w14:solidFill>
                </w14:textFill>
              </w:rPr>
            </w:pPr>
          </w:p>
          <w:p w14:paraId="16C2AD7F">
            <w:pPr>
              <w:pageBreakBefore w:val="0"/>
              <w:wordWrap/>
              <w:topLinePunct w:val="0"/>
              <w:bidi w:val="0"/>
              <w:spacing w:line="560" w:lineRule="exact"/>
              <w:rPr>
                <w:rFonts w:ascii="宋体"/>
                <w:b/>
                <w:color w:val="000000" w:themeColor="text1"/>
                <w:sz w:val="24"/>
                <w:highlight w:val="none"/>
                <w14:textFill>
                  <w14:solidFill>
                    <w14:schemeClr w14:val="tx1"/>
                  </w14:solidFill>
                </w14:textFill>
              </w:rPr>
            </w:pPr>
            <w:r>
              <w:rPr>
                <w:rFonts w:hint="eastAsia" w:ascii="宋体"/>
                <w:b/>
                <w:color w:val="000000" w:themeColor="text1"/>
                <w:sz w:val="24"/>
                <w:highlight w:val="none"/>
                <w14:textFill>
                  <w14:solidFill>
                    <w14:schemeClr w14:val="tx1"/>
                  </w14:solidFill>
                </w14:textFill>
              </w:rPr>
              <w:t>全权代表身份证复印件粘帖处（正、反面）</w:t>
            </w:r>
          </w:p>
        </w:tc>
      </w:tr>
    </w:tbl>
    <w:p w14:paraId="3C3B1011">
      <w:pPr>
        <w:pageBreakBefore w:val="0"/>
        <w:wordWrap/>
        <w:topLinePunct w:val="0"/>
        <w:bidi w:val="0"/>
        <w:snapToGrid w:val="0"/>
        <w:spacing w:before="50" w:after="120" w:afterLines="50" w:line="560" w:lineRule="exact"/>
        <w:jc w:val="left"/>
        <w:rPr>
          <w:rFonts w:ascii="仿宋_GB2312" w:hAnsi="仿宋_GB2312" w:eastAsia="仿宋_GB2312" w:cs="仿宋_GB2312"/>
          <w:color w:val="000000" w:themeColor="text1"/>
          <w:szCs w:val="21"/>
          <w:highlight w:val="none"/>
          <w14:textFill>
            <w14:solidFill>
              <w14:schemeClr w14:val="tx1"/>
            </w14:solidFill>
          </w14:textFill>
        </w:rPr>
      </w:pPr>
    </w:p>
    <w:p w14:paraId="57EAE130">
      <w:pPr>
        <w:pageBreakBefore w:val="0"/>
        <w:wordWrap/>
        <w:topLinePunct w:val="0"/>
        <w:bidi w:val="0"/>
        <w:snapToGrid w:val="0"/>
        <w:spacing w:before="120" w:beforeLines="50" w:after="50" w:line="560" w:lineRule="exact"/>
        <w:ind w:firstLine="566" w:firstLineChars="236"/>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br w:type="page"/>
      </w:r>
    </w:p>
    <w:p w14:paraId="2975325E">
      <w:pPr>
        <w:pageBreakBefore w:val="0"/>
        <w:wordWrap/>
        <w:topLinePunct w:val="0"/>
        <w:bidi w:val="0"/>
        <w:spacing w:line="560" w:lineRule="exact"/>
        <w:jc w:val="center"/>
        <w:rPr>
          <w:rFonts w:ascii="宋体" w:hAnsi="宋体"/>
          <w:color w:val="000000" w:themeColor="text1"/>
          <w:sz w:val="24"/>
          <w:highlight w:val="none"/>
          <w14:textFill>
            <w14:solidFill>
              <w14:schemeClr w14:val="tx1"/>
            </w14:solidFill>
          </w14:textFill>
        </w:rPr>
      </w:pPr>
      <w:r>
        <w:rPr>
          <w:rFonts w:hint="eastAsia"/>
          <w:b/>
          <w:bCs/>
          <w:color w:val="000000" w:themeColor="text1"/>
          <w:sz w:val="30"/>
          <w:szCs w:val="30"/>
          <w:highlight w:val="none"/>
          <w14:textFill>
            <w14:solidFill>
              <w14:schemeClr w14:val="tx1"/>
            </w14:solidFill>
          </w14:textFill>
        </w:rPr>
        <w:t>四、商务条款偏离表</w:t>
      </w:r>
    </w:p>
    <w:p w14:paraId="6DBFDCF5">
      <w:pPr>
        <w:pStyle w:val="17"/>
        <w:pageBreakBefore w:val="0"/>
        <w:wordWrap/>
        <w:topLinePunct w:val="0"/>
        <w:bidi w:val="0"/>
        <w:spacing w:line="560" w:lineRule="exact"/>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供应商根据本项目招标文件，详细填写相应的具体内容。“偏离说明”一栏应当选择“正偏离”、“负偏离”或“无偏离”进行填写。</w:t>
      </w:r>
    </w:p>
    <w:tbl>
      <w:tblPr>
        <w:tblStyle w:val="34"/>
        <w:tblpPr w:leftFromText="180" w:rightFromText="180" w:vertAnchor="text" w:horzAnchor="margin" w:tblpXSpec="center" w:tblpY="94"/>
        <w:tblW w:w="9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800"/>
        <w:gridCol w:w="3429"/>
        <w:gridCol w:w="1434"/>
      </w:tblGrid>
      <w:tr w14:paraId="0600C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817" w:type="dxa"/>
            <w:tcBorders>
              <w:top w:val="single" w:color="auto" w:sz="4" w:space="0"/>
              <w:left w:val="single" w:color="auto" w:sz="4" w:space="0"/>
              <w:bottom w:val="single" w:color="auto" w:sz="4" w:space="0"/>
              <w:right w:val="single" w:color="auto" w:sz="4" w:space="0"/>
            </w:tcBorders>
            <w:vAlign w:val="center"/>
          </w:tcPr>
          <w:p w14:paraId="24C03F11">
            <w:pPr>
              <w:pageBreakBefore w:val="0"/>
              <w:wordWrap/>
              <w:topLinePunct w:val="0"/>
              <w:bidi w:val="0"/>
              <w:spacing w:line="560" w:lineRule="exact"/>
              <w:jc w:val="center"/>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项号</w:t>
            </w:r>
          </w:p>
        </w:tc>
        <w:tc>
          <w:tcPr>
            <w:tcW w:w="3800" w:type="dxa"/>
            <w:tcBorders>
              <w:top w:val="single" w:color="auto" w:sz="4" w:space="0"/>
              <w:left w:val="single" w:color="auto" w:sz="4" w:space="0"/>
              <w:bottom w:val="single" w:color="auto" w:sz="4" w:space="0"/>
              <w:right w:val="single" w:color="auto" w:sz="4" w:space="0"/>
            </w:tcBorders>
            <w:vAlign w:val="center"/>
          </w:tcPr>
          <w:p w14:paraId="5284163D">
            <w:pPr>
              <w:pageBreakBefore w:val="0"/>
              <w:wordWrap/>
              <w:topLinePunct w:val="0"/>
              <w:bidi w:val="0"/>
              <w:spacing w:line="560" w:lineRule="exact"/>
              <w:jc w:val="center"/>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招标文件的商务需求</w:t>
            </w:r>
          </w:p>
        </w:tc>
        <w:tc>
          <w:tcPr>
            <w:tcW w:w="3429" w:type="dxa"/>
            <w:tcBorders>
              <w:top w:val="single" w:color="auto" w:sz="4" w:space="0"/>
              <w:left w:val="single" w:color="auto" w:sz="4" w:space="0"/>
              <w:bottom w:val="single" w:color="auto" w:sz="4" w:space="0"/>
              <w:right w:val="single" w:color="auto" w:sz="4" w:space="0"/>
            </w:tcBorders>
            <w:vAlign w:val="center"/>
          </w:tcPr>
          <w:p w14:paraId="6590835C">
            <w:pPr>
              <w:pageBreakBefore w:val="0"/>
              <w:wordWrap/>
              <w:topLinePunct w:val="0"/>
              <w:bidi w:val="0"/>
              <w:spacing w:line="560" w:lineRule="exact"/>
              <w:jc w:val="center"/>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投标文件承诺的商务条款</w:t>
            </w:r>
          </w:p>
        </w:tc>
        <w:tc>
          <w:tcPr>
            <w:tcW w:w="1434" w:type="dxa"/>
            <w:tcBorders>
              <w:top w:val="single" w:color="auto" w:sz="4" w:space="0"/>
              <w:left w:val="single" w:color="auto" w:sz="4" w:space="0"/>
              <w:bottom w:val="single" w:color="auto" w:sz="4" w:space="0"/>
              <w:right w:val="single" w:color="auto" w:sz="4" w:space="0"/>
            </w:tcBorders>
            <w:vAlign w:val="center"/>
          </w:tcPr>
          <w:p w14:paraId="3A0F2C7F">
            <w:pPr>
              <w:pageBreakBefore w:val="0"/>
              <w:wordWrap/>
              <w:topLinePunct w:val="0"/>
              <w:bidi w:val="0"/>
              <w:spacing w:line="560" w:lineRule="exact"/>
              <w:jc w:val="center"/>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偏离说明</w:t>
            </w:r>
          </w:p>
        </w:tc>
      </w:tr>
      <w:tr w14:paraId="63A99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7" w:hRule="atLeast"/>
        </w:trPr>
        <w:tc>
          <w:tcPr>
            <w:tcW w:w="817" w:type="dxa"/>
            <w:tcBorders>
              <w:top w:val="single" w:color="auto" w:sz="4" w:space="0"/>
              <w:left w:val="single" w:color="auto" w:sz="4" w:space="0"/>
              <w:bottom w:val="single" w:color="auto" w:sz="4" w:space="0"/>
              <w:right w:val="single" w:color="auto" w:sz="4" w:space="0"/>
            </w:tcBorders>
          </w:tcPr>
          <w:p w14:paraId="4DB940E6">
            <w:pPr>
              <w:pageBreakBefore w:val="0"/>
              <w:wordWrap/>
              <w:topLinePunct w:val="0"/>
              <w:bidi w:val="0"/>
              <w:spacing w:line="560" w:lineRule="exact"/>
              <w:rPr>
                <w:rFonts w:asciiTheme="minorEastAsia" w:hAnsiTheme="minorEastAsia" w:eastAsiaTheme="minorEastAsia"/>
                <w:color w:val="000000" w:themeColor="text1"/>
                <w:sz w:val="28"/>
                <w:szCs w:val="28"/>
                <w:highlight w:val="none"/>
                <w14:textFill>
                  <w14:solidFill>
                    <w14:schemeClr w14:val="tx1"/>
                  </w14:solidFill>
                </w14:textFill>
              </w:rPr>
            </w:pPr>
          </w:p>
        </w:tc>
        <w:tc>
          <w:tcPr>
            <w:tcW w:w="3800" w:type="dxa"/>
            <w:tcBorders>
              <w:top w:val="single" w:color="auto" w:sz="4" w:space="0"/>
              <w:left w:val="single" w:color="auto" w:sz="4" w:space="0"/>
              <w:bottom w:val="single" w:color="auto" w:sz="4" w:space="0"/>
              <w:right w:val="single" w:color="auto" w:sz="4" w:space="0"/>
            </w:tcBorders>
          </w:tcPr>
          <w:p w14:paraId="1EE9D503">
            <w:pPr>
              <w:pageBreakBefore w:val="0"/>
              <w:wordWrap/>
              <w:topLinePunct w:val="0"/>
              <w:bidi w:val="0"/>
              <w:spacing w:line="560" w:lineRule="exact"/>
              <w:rPr>
                <w:rFonts w:asciiTheme="minorEastAsia" w:hAnsiTheme="minorEastAsia" w:eastAsiaTheme="minorEastAsia"/>
                <w:color w:val="000000" w:themeColor="text1"/>
                <w:sz w:val="28"/>
                <w:szCs w:val="28"/>
                <w:highlight w:val="none"/>
                <w14:textFill>
                  <w14:solidFill>
                    <w14:schemeClr w14:val="tx1"/>
                  </w14:solidFill>
                </w14:textFill>
              </w:rPr>
            </w:pPr>
          </w:p>
        </w:tc>
        <w:tc>
          <w:tcPr>
            <w:tcW w:w="3429" w:type="dxa"/>
            <w:tcBorders>
              <w:top w:val="single" w:color="auto" w:sz="4" w:space="0"/>
              <w:left w:val="single" w:color="auto" w:sz="4" w:space="0"/>
              <w:bottom w:val="single" w:color="auto" w:sz="4" w:space="0"/>
              <w:right w:val="single" w:color="auto" w:sz="4" w:space="0"/>
            </w:tcBorders>
          </w:tcPr>
          <w:p w14:paraId="211EA390">
            <w:pPr>
              <w:pageBreakBefore w:val="0"/>
              <w:wordWrap/>
              <w:topLinePunct w:val="0"/>
              <w:bidi w:val="0"/>
              <w:spacing w:line="560" w:lineRule="exact"/>
              <w:rPr>
                <w:rFonts w:asciiTheme="minorEastAsia" w:hAnsiTheme="minorEastAsia" w:eastAsiaTheme="minorEastAsia"/>
                <w:color w:val="000000" w:themeColor="text1"/>
                <w:sz w:val="28"/>
                <w:szCs w:val="28"/>
                <w:highlight w:val="none"/>
                <w14:textFill>
                  <w14:solidFill>
                    <w14:schemeClr w14:val="tx1"/>
                  </w14:solidFill>
                </w14:textFill>
              </w:rPr>
            </w:pPr>
          </w:p>
        </w:tc>
        <w:tc>
          <w:tcPr>
            <w:tcW w:w="1434" w:type="dxa"/>
            <w:tcBorders>
              <w:top w:val="single" w:color="auto" w:sz="4" w:space="0"/>
              <w:left w:val="single" w:color="auto" w:sz="4" w:space="0"/>
              <w:bottom w:val="single" w:color="auto" w:sz="4" w:space="0"/>
              <w:right w:val="single" w:color="auto" w:sz="4" w:space="0"/>
            </w:tcBorders>
            <w:vAlign w:val="center"/>
          </w:tcPr>
          <w:p w14:paraId="00447405">
            <w:pPr>
              <w:pageBreakBefore w:val="0"/>
              <w:wordWrap/>
              <w:topLinePunct w:val="0"/>
              <w:bidi w:val="0"/>
              <w:spacing w:line="560" w:lineRule="exact"/>
              <w:jc w:val="center"/>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正偏离（负偏离或无偏离）</w:t>
            </w:r>
          </w:p>
        </w:tc>
      </w:tr>
      <w:tr w14:paraId="07678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817" w:type="dxa"/>
            <w:tcBorders>
              <w:top w:val="single" w:color="auto" w:sz="4" w:space="0"/>
              <w:left w:val="single" w:color="auto" w:sz="4" w:space="0"/>
              <w:bottom w:val="single" w:color="auto" w:sz="4" w:space="0"/>
              <w:right w:val="single" w:color="auto" w:sz="4" w:space="0"/>
            </w:tcBorders>
          </w:tcPr>
          <w:p w14:paraId="05A909F2">
            <w:pPr>
              <w:pageBreakBefore w:val="0"/>
              <w:wordWrap/>
              <w:topLinePunct w:val="0"/>
              <w:bidi w:val="0"/>
              <w:spacing w:line="560" w:lineRule="exact"/>
              <w:rPr>
                <w:rFonts w:asciiTheme="minorEastAsia" w:hAnsiTheme="minorEastAsia" w:eastAsiaTheme="minorEastAsia"/>
                <w:color w:val="000000" w:themeColor="text1"/>
                <w:sz w:val="28"/>
                <w:szCs w:val="28"/>
                <w:highlight w:val="none"/>
                <w14:textFill>
                  <w14:solidFill>
                    <w14:schemeClr w14:val="tx1"/>
                  </w14:solidFill>
                </w14:textFill>
              </w:rPr>
            </w:pPr>
          </w:p>
        </w:tc>
        <w:tc>
          <w:tcPr>
            <w:tcW w:w="3800" w:type="dxa"/>
            <w:tcBorders>
              <w:top w:val="single" w:color="auto" w:sz="4" w:space="0"/>
              <w:left w:val="single" w:color="auto" w:sz="4" w:space="0"/>
              <w:bottom w:val="single" w:color="auto" w:sz="4" w:space="0"/>
              <w:right w:val="single" w:color="auto" w:sz="4" w:space="0"/>
            </w:tcBorders>
          </w:tcPr>
          <w:p w14:paraId="4587F0A7">
            <w:pPr>
              <w:pageBreakBefore w:val="0"/>
              <w:wordWrap/>
              <w:topLinePunct w:val="0"/>
              <w:bidi w:val="0"/>
              <w:spacing w:line="560" w:lineRule="exact"/>
              <w:rPr>
                <w:rFonts w:asciiTheme="minorEastAsia" w:hAnsiTheme="minorEastAsia" w:eastAsiaTheme="minorEastAsia"/>
                <w:color w:val="000000" w:themeColor="text1"/>
                <w:sz w:val="28"/>
                <w:szCs w:val="28"/>
                <w:highlight w:val="none"/>
                <w14:textFill>
                  <w14:solidFill>
                    <w14:schemeClr w14:val="tx1"/>
                  </w14:solidFill>
                </w14:textFill>
              </w:rPr>
            </w:pPr>
          </w:p>
        </w:tc>
        <w:tc>
          <w:tcPr>
            <w:tcW w:w="3429" w:type="dxa"/>
            <w:tcBorders>
              <w:top w:val="single" w:color="auto" w:sz="4" w:space="0"/>
              <w:left w:val="single" w:color="auto" w:sz="4" w:space="0"/>
              <w:bottom w:val="single" w:color="auto" w:sz="4" w:space="0"/>
              <w:right w:val="single" w:color="auto" w:sz="4" w:space="0"/>
            </w:tcBorders>
          </w:tcPr>
          <w:p w14:paraId="256164B4">
            <w:pPr>
              <w:pageBreakBefore w:val="0"/>
              <w:wordWrap/>
              <w:topLinePunct w:val="0"/>
              <w:bidi w:val="0"/>
              <w:spacing w:line="560" w:lineRule="exact"/>
              <w:rPr>
                <w:rFonts w:asciiTheme="minorEastAsia" w:hAnsiTheme="minorEastAsia" w:eastAsiaTheme="minorEastAsia"/>
                <w:color w:val="000000" w:themeColor="text1"/>
                <w:sz w:val="28"/>
                <w:szCs w:val="28"/>
                <w:highlight w:val="none"/>
                <w14:textFill>
                  <w14:solidFill>
                    <w14:schemeClr w14:val="tx1"/>
                  </w14:solidFill>
                </w14:textFill>
              </w:rPr>
            </w:pPr>
          </w:p>
        </w:tc>
        <w:tc>
          <w:tcPr>
            <w:tcW w:w="1434" w:type="dxa"/>
            <w:tcBorders>
              <w:top w:val="single" w:color="auto" w:sz="4" w:space="0"/>
              <w:left w:val="single" w:color="auto" w:sz="4" w:space="0"/>
              <w:bottom w:val="single" w:color="auto" w:sz="4" w:space="0"/>
              <w:right w:val="single" w:color="auto" w:sz="4" w:space="0"/>
            </w:tcBorders>
            <w:vAlign w:val="center"/>
          </w:tcPr>
          <w:p w14:paraId="11EBD394">
            <w:pPr>
              <w:pageBreakBefore w:val="0"/>
              <w:wordWrap/>
              <w:topLinePunct w:val="0"/>
              <w:bidi w:val="0"/>
              <w:spacing w:line="560" w:lineRule="exact"/>
              <w:jc w:val="center"/>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正偏离（负偏离或无偏离）</w:t>
            </w:r>
          </w:p>
        </w:tc>
      </w:tr>
      <w:tr w14:paraId="5711C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817" w:type="dxa"/>
            <w:tcBorders>
              <w:top w:val="single" w:color="auto" w:sz="4" w:space="0"/>
              <w:left w:val="single" w:color="auto" w:sz="4" w:space="0"/>
              <w:bottom w:val="single" w:color="auto" w:sz="4" w:space="0"/>
              <w:right w:val="single" w:color="auto" w:sz="4" w:space="0"/>
            </w:tcBorders>
          </w:tcPr>
          <w:p w14:paraId="29B0FE67">
            <w:pPr>
              <w:pageBreakBefore w:val="0"/>
              <w:wordWrap/>
              <w:topLinePunct w:val="0"/>
              <w:bidi w:val="0"/>
              <w:spacing w:line="560" w:lineRule="exact"/>
              <w:rPr>
                <w:rFonts w:asciiTheme="minorEastAsia" w:hAnsiTheme="minorEastAsia" w:eastAsiaTheme="minorEastAsia"/>
                <w:color w:val="000000" w:themeColor="text1"/>
                <w:sz w:val="28"/>
                <w:szCs w:val="28"/>
                <w:highlight w:val="none"/>
                <w14:textFill>
                  <w14:solidFill>
                    <w14:schemeClr w14:val="tx1"/>
                  </w14:solidFill>
                </w14:textFill>
              </w:rPr>
            </w:pPr>
          </w:p>
        </w:tc>
        <w:tc>
          <w:tcPr>
            <w:tcW w:w="3800" w:type="dxa"/>
            <w:tcBorders>
              <w:top w:val="single" w:color="auto" w:sz="4" w:space="0"/>
              <w:left w:val="single" w:color="auto" w:sz="4" w:space="0"/>
              <w:bottom w:val="single" w:color="auto" w:sz="4" w:space="0"/>
              <w:right w:val="single" w:color="auto" w:sz="4" w:space="0"/>
            </w:tcBorders>
          </w:tcPr>
          <w:p w14:paraId="5A97F2B8">
            <w:pPr>
              <w:pageBreakBefore w:val="0"/>
              <w:wordWrap/>
              <w:topLinePunct w:val="0"/>
              <w:bidi w:val="0"/>
              <w:spacing w:line="560" w:lineRule="exact"/>
              <w:rPr>
                <w:rFonts w:asciiTheme="minorEastAsia" w:hAnsiTheme="minorEastAsia" w:eastAsiaTheme="minorEastAsia"/>
                <w:color w:val="000000" w:themeColor="text1"/>
                <w:sz w:val="28"/>
                <w:szCs w:val="28"/>
                <w:highlight w:val="none"/>
                <w14:textFill>
                  <w14:solidFill>
                    <w14:schemeClr w14:val="tx1"/>
                  </w14:solidFill>
                </w14:textFill>
              </w:rPr>
            </w:pPr>
          </w:p>
        </w:tc>
        <w:tc>
          <w:tcPr>
            <w:tcW w:w="3429" w:type="dxa"/>
            <w:tcBorders>
              <w:top w:val="single" w:color="auto" w:sz="4" w:space="0"/>
              <w:left w:val="single" w:color="auto" w:sz="4" w:space="0"/>
              <w:bottom w:val="single" w:color="auto" w:sz="4" w:space="0"/>
              <w:right w:val="single" w:color="auto" w:sz="4" w:space="0"/>
            </w:tcBorders>
          </w:tcPr>
          <w:p w14:paraId="7064AFA6">
            <w:pPr>
              <w:pageBreakBefore w:val="0"/>
              <w:wordWrap/>
              <w:topLinePunct w:val="0"/>
              <w:bidi w:val="0"/>
              <w:spacing w:line="560" w:lineRule="exact"/>
              <w:rPr>
                <w:rFonts w:asciiTheme="minorEastAsia" w:hAnsiTheme="minorEastAsia" w:eastAsiaTheme="minorEastAsia"/>
                <w:color w:val="000000" w:themeColor="text1"/>
                <w:sz w:val="28"/>
                <w:szCs w:val="28"/>
                <w:highlight w:val="none"/>
                <w14:textFill>
                  <w14:solidFill>
                    <w14:schemeClr w14:val="tx1"/>
                  </w14:solidFill>
                </w14:textFill>
              </w:rPr>
            </w:pPr>
          </w:p>
        </w:tc>
        <w:tc>
          <w:tcPr>
            <w:tcW w:w="1434" w:type="dxa"/>
            <w:tcBorders>
              <w:top w:val="single" w:color="auto" w:sz="4" w:space="0"/>
              <w:left w:val="single" w:color="auto" w:sz="4" w:space="0"/>
              <w:bottom w:val="single" w:color="auto" w:sz="4" w:space="0"/>
              <w:right w:val="single" w:color="auto" w:sz="4" w:space="0"/>
            </w:tcBorders>
            <w:vAlign w:val="center"/>
          </w:tcPr>
          <w:p w14:paraId="423754EA">
            <w:pPr>
              <w:pageBreakBefore w:val="0"/>
              <w:wordWrap/>
              <w:topLinePunct w:val="0"/>
              <w:bidi w:val="0"/>
              <w:spacing w:line="560" w:lineRule="exact"/>
              <w:jc w:val="center"/>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正偏离（负偏离或无偏离）</w:t>
            </w:r>
          </w:p>
        </w:tc>
      </w:tr>
      <w:tr w14:paraId="3A00B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9480" w:type="dxa"/>
            <w:gridSpan w:val="4"/>
            <w:tcBorders>
              <w:top w:val="single" w:color="auto" w:sz="4" w:space="0"/>
              <w:left w:val="single" w:color="auto" w:sz="4" w:space="0"/>
              <w:bottom w:val="single" w:color="auto" w:sz="4" w:space="0"/>
              <w:right w:val="single" w:color="auto" w:sz="4" w:space="0"/>
            </w:tcBorders>
          </w:tcPr>
          <w:p w14:paraId="74D08AEB">
            <w:pPr>
              <w:pageBreakBefore w:val="0"/>
              <w:wordWrap/>
              <w:topLinePunct w:val="0"/>
              <w:bidi w:val="0"/>
              <w:spacing w:line="560" w:lineRule="exact"/>
              <w:rPr>
                <w:rFonts w:ascii="宋体" w:hAnsi="宋体"/>
                <w:color w:val="000000" w:themeColor="text1"/>
                <w:szCs w:val="21"/>
                <w:highlight w:val="none"/>
                <w14:textFill>
                  <w14:solidFill>
                    <w14:schemeClr w14:val="tx1"/>
                  </w14:solidFill>
                </w14:textFill>
              </w:rPr>
            </w:pPr>
          </w:p>
        </w:tc>
      </w:tr>
    </w:tbl>
    <w:p w14:paraId="45FDDA07">
      <w:pPr>
        <w:pStyle w:val="17"/>
        <w:pageBreakBefore w:val="0"/>
        <w:wordWrap/>
        <w:topLinePunct w:val="0"/>
        <w:bidi w:val="0"/>
        <w:spacing w:line="560" w:lineRule="exact"/>
        <w:rPr>
          <w:color w:val="000000" w:themeColor="text1"/>
          <w:highlight w:val="none"/>
          <w14:textFill>
            <w14:solidFill>
              <w14:schemeClr w14:val="tx1"/>
            </w14:solidFill>
          </w14:textFill>
        </w:rPr>
      </w:pPr>
    </w:p>
    <w:p w14:paraId="684C3D6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注：</w:t>
      </w:r>
    </w:p>
    <w:p w14:paraId="3A70791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1.商务偏离表按本招标文件自行填写。表格内容不得留空。</w:t>
      </w:r>
    </w:p>
    <w:p w14:paraId="2D0A8B4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2.当投标文件的商务内容低于招标文件要求时，供应商应当如实写明“负偏离”，否则视为虚假应标。</w:t>
      </w:r>
    </w:p>
    <w:p w14:paraId="54B4E0B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olor w:val="000000" w:themeColor="text1"/>
          <w:sz w:val="28"/>
          <w:szCs w:val="28"/>
          <w:highlight w:val="none"/>
          <w14:textFill>
            <w14:solidFill>
              <w14:schemeClr w14:val="tx1"/>
            </w14:solidFill>
          </w14:textFill>
        </w:rPr>
      </w:pPr>
    </w:p>
    <w:p w14:paraId="188B7498">
      <w:pPr>
        <w:pageBreakBefore w:val="0"/>
        <w:wordWrap/>
        <w:topLinePunct w:val="0"/>
        <w:bidi w:val="0"/>
        <w:snapToGrid w:val="0"/>
        <w:spacing w:before="165" w:beforeLines="50" w:after="50" w:line="560" w:lineRule="exact"/>
        <w:jc w:val="both"/>
        <w:rPr>
          <w:rFonts w:hint="eastAsia"/>
          <w:b/>
          <w:bCs/>
          <w:color w:val="000000" w:themeColor="text1"/>
          <w:sz w:val="30"/>
          <w:szCs w:val="30"/>
          <w:highlight w:val="none"/>
          <w14:textFill>
            <w14:solidFill>
              <w14:schemeClr w14:val="tx1"/>
            </w14:solidFill>
          </w14:textFill>
        </w:rPr>
      </w:pPr>
    </w:p>
    <w:p w14:paraId="007FAFE6">
      <w:pPr>
        <w:pageBreakBefore w:val="0"/>
        <w:wordWrap/>
        <w:topLinePunct w:val="0"/>
        <w:bidi w:val="0"/>
        <w:snapToGrid w:val="0"/>
        <w:spacing w:before="165" w:beforeLines="50" w:after="50" w:line="560" w:lineRule="exact"/>
        <w:jc w:val="center"/>
        <w:rPr>
          <w:b/>
          <w:bCs/>
          <w:color w:val="000000" w:themeColor="text1"/>
          <w:sz w:val="30"/>
          <w:szCs w:val="30"/>
          <w:highlight w:val="none"/>
          <w14:textFill>
            <w14:solidFill>
              <w14:schemeClr w14:val="tx1"/>
            </w14:solidFill>
          </w14:textFill>
        </w:rPr>
      </w:pPr>
      <w:r>
        <w:rPr>
          <w:rFonts w:hint="eastAsia"/>
          <w:b/>
          <w:bCs/>
          <w:color w:val="000000" w:themeColor="text1"/>
          <w:sz w:val="30"/>
          <w:szCs w:val="30"/>
          <w:highlight w:val="none"/>
          <w14:textFill>
            <w14:solidFill>
              <w14:schemeClr w14:val="tx1"/>
            </w14:solidFill>
          </w14:textFill>
        </w:rPr>
        <w:t>五、</w:t>
      </w:r>
      <w:r>
        <w:rPr>
          <w:rFonts w:hint="eastAsia"/>
          <w:b/>
          <w:bCs/>
          <w:color w:val="000000" w:themeColor="text1"/>
          <w:sz w:val="30"/>
          <w:szCs w:val="30"/>
          <w:highlight w:val="none"/>
          <w:lang w:eastAsia="zh-CN"/>
          <w14:textFill>
            <w14:solidFill>
              <w14:schemeClr w14:val="tx1"/>
            </w14:solidFill>
          </w14:textFill>
        </w:rPr>
        <w:t>供应商</w:t>
      </w:r>
      <w:r>
        <w:rPr>
          <w:rFonts w:hint="eastAsia"/>
          <w:b/>
          <w:bCs/>
          <w:color w:val="000000" w:themeColor="text1"/>
          <w:sz w:val="30"/>
          <w:szCs w:val="30"/>
          <w:highlight w:val="none"/>
          <w14:textFill>
            <w14:solidFill>
              <w14:schemeClr w14:val="tx1"/>
            </w14:solidFill>
          </w14:textFill>
        </w:rPr>
        <w:t>情况介绍</w:t>
      </w:r>
    </w:p>
    <w:tbl>
      <w:tblPr>
        <w:tblStyle w:val="34"/>
        <w:tblW w:w="87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936"/>
        <w:gridCol w:w="1214"/>
        <w:gridCol w:w="1007"/>
        <w:gridCol w:w="1100"/>
        <w:gridCol w:w="1318"/>
        <w:gridCol w:w="43"/>
        <w:gridCol w:w="779"/>
        <w:gridCol w:w="1303"/>
      </w:tblGrid>
      <w:tr w14:paraId="041D8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32" w:hRule="atLeast"/>
          <w:jc w:val="center"/>
        </w:trPr>
        <w:tc>
          <w:tcPr>
            <w:tcW w:w="1936" w:type="dxa"/>
            <w:vAlign w:val="center"/>
          </w:tcPr>
          <w:p w14:paraId="1C1230B6">
            <w:pPr>
              <w:pageBreakBefore w:val="0"/>
              <w:wordWrap/>
              <w:topLinePunct w:val="0"/>
              <w:bidi w:val="0"/>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投标人名称</w:t>
            </w:r>
          </w:p>
        </w:tc>
        <w:tc>
          <w:tcPr>
            <w:tcW w:w="6764" w:type="dxa"/>
            <w:gridSpan w:val="7"/>
            <w:vAlign w:val="center"/>
          </w:tcPr>
          <w:p w14:paraId="2C4A1549">
            <w:pPr>
              <w:pageBreakBefore w:val="0"/>
              <w:wordWrap/>
              <w:topLinePunct w:val="0"/>
              <w:bidi w:val="0"/>
              <w:spacing w:line="560" w:lineRule="exact"/>
              <w:ind w:firstLine="255"/>
              <w:jc w:val="center"/>
              <w:rPr>
                <w:rFonts w:hint="eastAsia" w:ascii="宋体" w:hAnsi="宋体" w:eastAsia="宋体" w:cs="宋体"/>
                <w:color w:val="000000" w:themeColor="text1"/>
                <w:sz w:val="28"/>
                <w:szCs w:val="28"/>
                <w:highlight w:val="none"/>
                <w14:textFill>
                  <w14:solidFill>
                    <w14:schemeClr w14:val="tx1"/>
                  </w14:solidFill>
                </w14:textFill>
              </w:rPr>
            </w:pPr>
          </w:p>
        </w:tc>
      </w:tr>
      <w:tr w14:paraId="7D6A2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32" w:hRule="atLeast"/>
          <w:jc w:val="center"/>
        </w:trPr>
        <w:tc>
          <w:tcPr>
            <w:tcW w:w="1936" w:type="dxa"/>
            <w:vAlign w:val="center"/>
          </w:tcPr>
          <w:p w14:paraId="6D999579">
            <w:pPr>
              <w:pageBreakBefore w:val="0"/>
              <w:wordWrap/>
              <w:topLinePunct w:val="0"/>
              <w:bidi w:val="0"/>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注册地址</w:t>
            </w:r>
          </w:p>
        </w:tc>
        <w:tc>
          <w:tcPr>
            <w:tcW w:w="3321" w:type="dxa"/>
            <w:gridSpan w:val="3"/>
            <w:vAlign w:val="center"/>
          </w:tcPr>
          <w:p w14:paraId="4AD02C75">
            <w:pPr>
              <w:pageBreakBefore w:val="0"/>
              <w:wordWrap/>
              <w:topLinePunct w:val="0"/>
              <w:bidi w:val="0"/>
              <w:spacing w:line="560" w:lineRule="exact"/>
              <w:ind w:firstLine="255"/>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318" w:type="dxa"/>
            <w:vAlign w:val="center"/>
          </w:tcPr>
          <w:p w14:paraId="1B344178">
            <w:pPr>
              <w:pageBreakBefore w:val="0"/>
              <w:wordWrap/>
              <w:topLinePunct w:val="0"/>
              <w:bidi w:val="0"/>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邮政编码</w:t>
            </w:r>
          </w:p>
        </w:tc>
        <w:tc>
          <w:tcPr>
            <w:tcW w:w="2125" w:type="dxa"/>
            <w:gridSpan w:val="3"/>
            <w:vAlign w:val="center"/>
          </w:tcPr>
          <w:p w14:paraId="0E4AF947">
            <w:pPr>
              <w:pageBreakBefore w:val="0"/>
              <w:wordWrap/>
              <w:topLinePunct w:val="0"/>
              <w:bidi w:val="0"/>
              <w:spacing w:line="560" w:lineRule="exact"/>
              <w:ind w:firstLine="255"/>
              <w:jc w:val="center"/>
              <w:rPr>
                <w:rFonts w:hint="eastAsia" w:ascii="宋体" w:hAnsi="宋体" w:eastAsia="宋体" w:cs="宋体"/>
                <w:color w:val="000000" w:themeColor="text1"/>
                <w:sz w:val="28"/>
                <w:szCs w:val="28"/>
                <w:highlight w:val="none"/>
                <w14:textFill>
                  <w14:solidFill>
                    <w14:schemeClr w14:val="tx1"/>
                  </w14:solidFill>
                </w14:textFill>
              </w:rPr>
            </w:pPr>
          </w:p>
        </w:tc>
      </w:tr>
      <w:tr w14:paraId="05A74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32" w:hRule="atLeast"/>
          <w:jc w:val="center"/>
        </w:trPr>
        <w:tc>
          <w:tcPr>
            <w:tcW w:w="1936" w:type="dxa"/>
            <w:vMerge w:val="restart"/>
            <w:vAlign w:val="center"/>
          </w:tcPr>
          <w:p w14:paraId="214F903C">
            <w:pPr>
              <w:pageBreakBefore w:val="0"/>
              <w:wordWrap/>
              <w:topLinePunct w:val="0"/>
              <w:bidi w:val="0"/>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联系方式</w:t>
            </w:r>
          </w:p>
        </w:tc>
        <w:tc>
          <w:tcPr>
            <w:tcW w:w="1214" w:type="dxa"/>
            <w:vAlign w:val="center"/>
          </w:tcPr>
          <w:p w14:paraId="799F6F8E">
            <w:pPr>
              <w:pageBreakBefore w:val="0"/>
              <w:wordWrap/>
              <w:topLinePunct w:val="0"/>
              <w:bidi w:val="0"/>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联系人</w:t>
            </w:r>
          </w:p>
        </w:tc>
        <w:tc>
          <w:tcPr>
            <w:tcW w:w="2107" w:type="dxa"/>
            <w:gridSpan w:val="2"/>
            <w:vAlign w:val="center"/>
          </w:tcPr>
          <w:p w14:paraId="65AE29FB">
            <w:pPr>
              <w:pageBreakBefore w:val="0"/>
              <w:wordWrap/>
              <w:topLinePunct w:val="0"/>
              <w:bidi w:val="0"/>
              <w:spacing w:line="560" w:lineRule="exact"/>
              <w:ind w:firstLine="255"/>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318" w:type="dxa"/>
            <w:vAlign w:val="center"/>
          </w:tcPr>
          <w:p w14:paraId="675F7B67">
            <w:pPr>
              <w:pageBreakBefore w:val="0"/>
              <w:wordWrap/>
              <w:topLinePunct w:val="0"/>
              <w:bidi w:val="0"/>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电话</w:t>
            </w:r>
          </w:p>
        </w:tc>
        <w:tc>
          <w:tcPr>
            <w:tcW w:w="2125" w:type="dxa"/>
            <w:gridSpan w:val="3"/>
            <w:vAlign w:val="center"/>
          </w:tcPr>
          <w:p w14:paraId="56AE71F3">
            <w:pPr>
              <w:pageBreakBefore w:val="0"/>
              <w:wordWrap/>
              <w:topLinePunct w:val="0"/>
              <w:bidi w:val="0"/>
              <w:spacing w:line="560" w:lineRule="exact"/>
              <w:ind w:firstLine="255"/>
              <w:jc w:val="center"/>
              <w:rPr>
                <w:rFonts w:hint="eastAsia" w:ascii="宋体" w:hAnsi="宋体" w:eastAsia="宋体" w:cs="宋体"/>
                <w:color w:val="000000" w:themeColor="text1"/>
                <w:sz w:val="28"/>
                <w:szCs w:val="28"/>
                <w:highlight w:val="none"/>
                <w14:textFill>
                  <w14:solidFill>
                    <w14:schemeClr w14:val="tx1"/>
                  </w14:solidFill>
                </w14:textFill>
              </w:rPr>
            </w:pPr>
          </w:p>
        </w:tc>
      </w:tr>
      <w:tr w14:paraId="50CA7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32" w:hRule="atLeast"/>
          <w:jc w:val="center"/>
        </w:trPr>
        <w:tc>
          <w:tcPr>
            <w:tcW w:w="1936" w:type="dxa"/>
            <w:vMerge w:val="continue"/>
            <w:vAlign w:val="center"/>
          </w:tcPr>
          <w:p w14:paraId="35FD4D93">
            <w:pPr>
              <w:pageBreakBefore w:val="0"/>
              <w:wordWrap/>
              <w:topLinePunct w:val="0"/>
              <w:bidi w:val="0"/>
              <w:spacing w:line="560" w:lineRule="exact"/>
              <w:ind w:firstLine="255"/>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214" w:type="dxa"/>
            <w:vAlign w:val="center"/>
          </w:tcPr>
          <w:p w14:paraId="48723F04">
            <w:pPr>
              <w:pageBreakBefore w:val="0"/>
              <w:wordWrap/>
              <w:topLinePunct w:val="0"/>
              <w:bidi w:val="0"/>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传真</w:t>
            </w:r>
          </w:p>
        </w:tc>
        <w:tc>
          <w:tcPr>
            <w:tcW w:w="2107" w:type="dxa"/>
            <w:gridSpan w:val="2"/>
            <w:vAlign w:val="center"/>
          </w:tcPr>
          <w:p w14:paraId="24D6C97A">
            <w:pPr>
              <w:pageBreakBefore w:val="0"/>
              <w:wordWrap/>
              <w:topLinePunct w:val="0"/>
              <w:bidi w:val="0"/>
              <w:spacing w:line="560" w:lineRule="exact"/>
              <w:ind w:firstLine="255"/>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318" w:type="dxa"/>
            <w:vAlign w:val="center"/>
          </w:tcPr>
          <w:p w14:paraId="3A11F3B2">
            <w:pPr>
              <w:pageBreakBefore w:val="0"/>
              <w:wordWrap/>
              <w:topLinePunct w:val="0"/>
              <w:bidi w:val="0"/>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网址</w:t>
            </w:r>
          </w:p>
        </w:tc>
        <w:tc>
          <w:tcPr>
            <w:tcW w:w="2125" w:type="dxa"/>
            <w:gridSpan w:val="3"/>
            <w:vAlign w:val="center"/>
          </w:tcPr>
          <w:p w14:paraId="796E501A">
            <w:pPr>
              <w:pageBreakBefore w:val="0"/>
              <w:wordWrap/>
              <w:topLinePunct w:val="0"/>
              <w:bidi w:val="0"/>
              <w:spacing w:line="560" w:lineRule="exact"/>
              <w:ind w:firstLine="255"/>
              <w:jc w:val="center"/>
              <w:rPr>
                <w:rFonts w:hint="eastAsia" w:ascii="宋体" w:hAnsi="宋体" w:eastAsia="宋体" w:cs="宋体"/>
                <w:color w:val="000000" w:themeColor="text1"/>
                <w:sz w:val="28"/>
                <w:szCs w:val="28"/>
                <w:highlight w:val="none"/>
                <w14:textFill>
                  <w14:solidFill>
                    <w14:schemeClr w14:val="tx1"/>
                  </w14:solidFill>
                </w14:textFill>
              </w:rPr>
            </w:pPr>
          </w:p>
        </w:tc>
      </w:tr>
      <w:tr w14:paraId="27313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27" w:hRule="atLeast"/>
          <w:jc w:val="center"/>
        </w:trPr>
        <w:tc>
          <w:tcPr>
            <w:tcW w:w="1936" w:type="dxa"/>
            <w:vAlign w:val="center"/>
          </w:tcPr>
          <w:p w14:paraId="288454F4">
            <w:pPr>
              <w:pageBreakBefore w:val="0"/>
              <w:wordWrap/>
              <w:topLinePunct w:val="0"/>
              <w:bidi w:val="0"/>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营业执照注册号</w:t>
            </w:r>
          </w:p>
        </w:tc>
        <w:tc>
          <w:tcPr>
            <w:tcW w:w="6764" w:type="dxa"/>
            <w:gridSpan w:val="7"/>
            <w:vAlign w:val="center"/>
          </w:tcPr>
          <w:p w14:paraId="2D3756B0">
            <w:pPr>
              <w:pageBreakBefore w:val="0"/>
              <w:wordWrap/>
              <w:topLinePunct w:val="0"/>
              <w:bidi w:val="0"/>
              <w:spacing w:line="560" w:lineRule="exact"/>
              <w:ind w:firstLine="255"/>
              <w:jc w:val="center"/>
              <w:rPr>
                <w:rFonts w:hint="eastAsia" w:ascii="宋体" w:hAnsi="宋体" w:eastAsia="宋体" w:cs="宋体"/>
                <w:color w:val="000000" w:themeColor="text1"/>
                <w:sz w:val="28"/>
                <w:szCs w:val="28"/>
                <w:highlight w:val="none"/>
                <w14:textFill>
                  <w14:solidFill>
                    <w14:schemeClr w14:val="tx1"/>
                  </w14:solidFill>
                </w14:textFill>
              </w:rPr>
            </w:pPr>
          </w:p>
        </w:tc>
      </w:tr>
      <w:tr w14:paraId="7BC90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32" w:hRule="atLeast"/>
          <w:jc w:val="center"/>
        </w:trPr>
        <w:tc>
          <w:tcPr>
            <w:tcW w:w="1936" w:type="dxa"/>
            <w:vAlign w:val="center"/>
          </w:tcPr>
          <w:p w14:paraId="6CAB17C2">
            <w:pPr>
              <w:pageBreakBefore w:val="0"/>
              <w:wordWrap/>
              <w:topLinePunct w:val="0"/>
              <w:bidi w:val="0"/>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法定代表人</w:t>
            </w:r>
          </w:p>
        </w:tc>
        <w:tc>
          <w:tcPr>
            <w:tcW w:w="1214" w:type="dxa"/>
            <w:vAlign w:val="center"/>
          </w:tcPr>
          <w:p w14:paraId="01BA443F">
            <w:pPr>
              <w:pageBreakBefore w:val="0"/>
              <w:wordWrap/>
              <w:topLinePunct w:val="0"/>
              <w:bidi w:val="0"/>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姓名</w:t>
            </w:r>
          </w:p>
        </w:tc>
        <w:tc>
          <w:tcPr>
            <w:tcW w:w="1007" w:type="dxa"/>
            <w:vAlign w:val="center"/>
          </w:tcPr>
          <w:p w14:paraId="39869645">
            <w:pPr>
              <w:pageBreakBefore w:val="0"/>
              <w:wordWrap/>
              <w:topLinePunct w:val="0"/>
              <w:bidi w:val="0"/>
              <w:spacing w:line="560" w:lineRule="exact"/>
              <w:ind w:firstLine="255"/>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100" w:type="dxa"/>
            <w:vAlign w:val="center"/>
          </w:tcPr>
          <w:p w14:paraId="188E0817">
            <w:pPr>
              <w:pageBreakBefore w:val="0"/>
              <w:wordWrap/>
              <w:topLinePunct w:val="0"/>
              <w:bidi w:val="0"/>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技术</w:t>
            </w:r>
          </w:p>
          <w:p w14:paraId="063CBBB1">
            <w:pPr>
              <w:pageBreakBefore w:val="0"/>
              <w:wordWrap/>
              <w:topLinePunct w:val="0"/>
              <w:bidi w:val="0"/>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职称</w:t>
            </w:r>
          </w:p>
        </w:tc>
        <w:tc>
          <w:tcPr>
            <w:tcW w:w="1361" w:type="dxa"/>
            <w:gridSpan w:val="2"/>
            <w:vAlign w:val="center"/>
          </w:tcPr>
          <w:p w14:paraId="6B5EBAC6">
            <w:pPr>
              <w:pageBreakBefore w:val="0"/>
              <w:wordWrap/>
              <w:topLinePunct w:val="0"/>
              <w:bidi w:val="0"/>
              <w:spacing w:line="560" w:lineRule="exact"/>
              <w:ind w:firstLine="255"/>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779" w:type="dxa"/>
            <w:vAlign w:val="center"/>
          </w:tcPr>
          <w:p w14:paraId="1036AEB1">
            <w:pPr>
              <w:pageBreakBefore w:val="0"/>
              <w:wordWrap/>
              <w:topLinePunct w:val="0"/>
              <w:bidi w:val="0"/>
              <w:spacing w:line="560" w:lineRule="exact"/>
              <w:ind w:firstLine="140" w:firstLineChars="50"/>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电话</w:t>
            </w:r>
          </w:p>
        </w:tc>
        <w:tc>
          <w:tcPr>
            <w:tcW w:w="1303" w:type="dxa"/>
            <w:vAlign w:val="center"/>
          </w:tcPr>
          <w:p w14:paraId="1BBC99DC">
            <w:pPr>
              <w:pageBreakBefore w:val="0"/>
              <w:wordWrap/>
              <w:topLinePunct w:val="0"/>
              <w:bidi w:val="0"/>
              <w:spacing w:line="560" w:lineRule="exact"/>
              <w:ind w:firstLine="255"/>
              <w:jc w:val="center"/>
              <w:rPr>
                <w:rFonts w:hint="eastAsia" w:ascii="宋体" w:hAnsi="宋体" w:eastAsia="宋体" w:cs="宋体"/>
                <w:color w:val="000000" w:themeColor="text1"/>
                <w:sz w:val="28"/>
                <w:szCs w:val="28"/>
                <w:highlight w:val="none"/>
                <w14:textFill>
                  <w14:solidFill>
                    <w14:schemeClr w14:val="tx1"/>
                  </w14:solidFill>
                </w14:textFill>
              </w:rPr>
            </w:pPr>
          </w:p>
        </w:tc>
      </w:tr>
      <w:tr w14:paraId="1F7CA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32" w:hRule="atLeast"/>
          <w:jc w:val="center"/>
        </w:trPr>
        <w:tc>
          <w:tcPr>
            <w:tcW w:w="1936" w:type="dxa"/>
            <w:vAlign w:val="center"/>
          </w:tcPr>
          <w:p w14:paraId="0D88E26E">
            <w:pPr>
              <w:pageBreakBefore w:val="0"/>
              <w:wordWrap/>
              <w:topLinePunct w:val="0"/>
              <w:bidi w:val="0"/>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技术负责人</w:t>
            </w:r>
          </w:p>
        </w:tc>
        <w:tc>
          <w:tcPr>
            <w:tcW w:w="1214" w:type="dxa"/>
            <w:vAlign w:val="center"/>
          </w:tcPr>
          <w:p w14:paraId="00DCF57C">
            <w:pPr>
              <w:pageBreakBefore w:val="0"/>
              <w:wordWrap/>
              <w:topLinePunct w:val="0"/>
              <w:bidi w:val="0"/>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姓名</w:t>
            </w:r>
          </w:p>
        </w:tc>
        <w:tc>
          <w:tcPr>
            <w:tcW w:w="1007" w:type="dxa"/>
            <w:vAlign w:val="center"/>
          </w:tcPr>
          <w:p w14:paraId="4A951A9F">
            <w:pPr>
              <w:pageBreakBefore w:val="0"/>
              <w:wordWrap/>
              <w:topLinePunct w:val="0"/>
              <w:bidi w:val="0"/>
              <w:spacing w:line="560" w:lineRule="exact"/>
              <w:ind w:firstLine="255"/>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100" w:type="dxa"/>
            <w:vAlign w:val="center"/>
          </w:tcPr>
          <w:p w14:paraId="4F47A545">
            <w:pPr>
              <w:pageBreakBefore w:val="0"/>
              <w:wordWrap/>
              <w:topLinePunct w:val="0"/>
              <w:bidi w:val="0"/>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技术</w:t>
            </w:r>
          </w:p>
          <w:p w14:paraId="4374E81C">
            <w:pPr>
              <w:pageBreakBefore w:val="0"/>
              <w:wordWrap/>
              <w:topLinePunct w:val="0"/>
              <w:bidi w:val="0"/>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职称</w:t>
            </w:r>
          </w:p>
        </w:tc>
        <w:tc>
          <w:tcPr>
            <w:tcW w:w="1361" w:type="dxa"/>
            <w:gridSpan w:val="2"/>
            <w:vAlign w:val="center"/>
          </w:tcPr>
          <w:p w14:paraId="041CF246">
            <w:pPr>
              <w:pageBreakBefore w:val="0"/>
              <w:wordWrap/>
              <w:topLinePunct w:val="0"/>
              <w:bidi w:val="0"/>
              <w:spacing w:line="560" w:lineRule="exact"/>
              <w:ind w:firstLine="255"/>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779" w:type="dxa"/>
            <w:vAlign w:val="center"/>
          </w:tcPr>
          <w:p w14:paraId="633543CF">
            <w:pPr>
              <w:pageBreakBefore w:val="0"/>
              <w:wordWrap/>
              <w:topLinePunct w:val="0"/>
              <w:bidi w:val="0"/>
              <w:spacing w:line="560" w:lineRule="exact"/>
              <w:ind w:firstLine="140" w:firstLineChars="50"/>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电话</w:t>
            </w:r>
          </w:p>
        </w:tc>
        <w:tc>
          <w:tcPr>
            <w:tcW w:w="1303" w:type="dxa"/>
            <w:vAlign w:val="center"/>
          </w:tcPr>
          <w:p w14:paraId="163B6D21">
            <w:pPr>
              <w:pageBreakBefore w:val="0"/>
              <w:wordWrap/>
              <w:topLinePunct w:val="0"/>
              <w:bidi w:val="0"/>
              <w:spacing w:line="560" w:lineRule="exact"/>
              <w:ind w:firstLine="255"/>
              <w:jc w:val="center"/>
              <w:rPr>
                <w:rFonts w:hint="eastAsia" w:ascii="宋体" w:hAnsi="宋体" w:eastAsia="宋体" w:cs="宋体"/>
                <w:color w:val="000000" w:themeColor="text1"/>
                <w:sz w:val="28"/>
                <w:szCs w:val="28"/>
                <w:highlight w:val="none"/>
                <w14:textFill>
                  <w14:solidFill>
                    <w14:schemeClr w14:val="tx1"/>
                  </w14:solidFill>
                </w14:textFill>
              </w:rPr>
            </w:pPr>
          </w:p>
        </w:tc>
      </w:tr>
      <w:tr w14:paraId="688E0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32" w:hRule="atLeast"/>
          <w:jc w:val="center"/>
        </w:trPr>
        <w:tc>
          <w:tcPr>
            <w:tcW w:w="1936" w:type="dxa"/>
            <w:vAlign w:val="center"/>
          </w:tcPr>
          <w:p w14:paraId="2FD41BE0">
            <w:pPr>
              <w:pageBreakBefore w:val="0"/>
              <w:wordWrap/>
              <w:topLinePunct w:val="0"/>
              <w:bidi w:val="0"/>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成立时间</w:t>
            </w:r>
          </w:p>
        </w:tc>
        <w:tc>
          <w:tcPr>
            <w:tcW w:w="2221" w:type="dxa"/>
            <w:gridSpan w:val="2"/>
            <w:vAlign w:val="center"/>
          </w:tcPr>
          <w:p w14:paraId="0600601A">
            <w:pPr>
              <w:pageBreakBefore w:val="0"/>
              <w:wordWrap/>
              <w:topLinePunct w:val="0"/>
              <w:bidi w:val="0"/>
              <w:spacing w:line="560" w:lineRule="exact"/>
              <w:ind w:firstLine="255"/>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4543" w:type="dxa"/>
            <w:gridSpan w:val="5"/>
            <w:vAlign w:val="center"/>
          </w:tcPr>
          <w:p w14:paraId="60CC7E73">
            <w:pPr>
              <w:pageBreakBefore w:val="0"/>
              <w:wordWrap/>
              <w:topLinePunct w:val="0"/>
              <w:bidi w:val="0"/>
              <w:spacing w:line="560" w:lineRule="exact"/>
              <w:ind w:firstLine="255"/>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员工总人数：</w:t>
            </w:r>
          </w:p>
        </w:tc>
      </w:tr>
      <w:tr w14:paraId="7CFAB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32" w:hRule="atLeast"/>
          <w:jc w:val="center"/>
        </w:trPr>
        <w:tc>
          <w:tcPr>
            <w:tcW w:w="1936" w:type="dxa"/>
            <w:vAlign w:val="center"/>
          </w:tcPr>
          <w:p w14:paraId="62789ECD">
            <w:pPr>
              <w:pageBreakBefore w:val="0"/>
              <w:wordWrap/>
              <w:topLinePunct w:val="0"/>
              <w:bidi w:val="0"/>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注册资金</w:t>
            </w:r>
          </w:p>
        </w:tc>
        <w:tc>
          <w:tcPr>
            <w:tcW w:w="6764" w:type="dxa"/>
            <w:gridSpan w:val="7"/>
            <w:vAlign w:val="center"/>
          </w:tcPr>
          <w:p w14:paraId="057C7644">
            <w:pPr>
              <w:pageBreakBefore w:val="0"/>
              <w:wordWrap/>
              <w:topLinePunct w:val="0"/>
              <w:bidi w:val="0"/>
              <w:spacing w:line="560" w:lineRule="exact"/>
              <w:ind w:firstLine="255"/>
              <w:jc w:val="center"/>
              <w:rPr>
                <w:rFonts w:hint="eastAsia" w:ascii="宋体" w:hAnsi="宋体" w:eastAsia="宋体" w:cs="宋体"/>
                <w:color w:val="000000" w:themeColor="text1"/>
                <w:sz w:val="28"/>
                <w:szCs w:val="28"/>
                <w:highlight w:val="none"/>
                <w14:textFill>
                  <w14:solidFill>
                    <w14:schemeClr w14:val="tx1"/>
                  </w14:solidFill>
                </w14:textFill>
              </w:rPr>
            </w:pPr>
          </w:p>
        </w:tc>
      </w:tr>
      <w:tr w14:paraId="0F4BD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32" w:hRule="atLeast"/>
          <w:jc w:val="center"/>
        </w:trPr>
        <w:tc>
          <w:tcPr>
            <w:tcW w:w="1936" w:type="dxa"/>
            <w:vAlign w:val="center"/>
          </w:tcPr>
          <w:p w14:paraId="13F6165F">
            <w:pPr>
              <w:pageBreakBefore w:val="0"/>
              <w:wordWrap/>
              <w:topLinePunct w:val="0"/>
              <w:bidi w:val="0"/>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开户银行</w:t>
            </w:r>
          </w:p>
        </w:tc>
        <w:tc>
          <w:tcPr>
            <w:tcW w:w="6764" w:type="dxa"/>
            <w:gridSpan w:val="7"/>
            <w:vAlign w:val="center"/>
          </w:tcPr>
          <w:p w14:paraId="4A51C0FB">
            <w:pPr>
              <w:pageBreakBefore w:val="0"/>
              <w:wordWrap/>
              <w:topLinePunct w:val="0"/>
              <w:bidi w:val="0"/>
              <w:spacing w:line="560" w:lineRule="exact"/>
              <w:ind w:firstLine="255"/>
              <w:jc w:val="center"/>
              <w:rPr>
                <w:rFonts w:hint="eastAsia" w:ascii="宋体" w:hAnsi="宋体" w:eastAsia="宋体" w:cs="宋体"/>
                <w:color w:val="000000" w:themeColor="text1"/>
                <w:sz w:val="28"/>
                <w:szCs w:val="28"/>
                <w:highlight w:val="none"/>
                <w14:textFill>
                  <w14:solidFill>
                    <w14:schemeClr w14:val="tx1"/>
                  </w14:solidFill>
                </w14:textFill>
              </w:rPr>
            </w:pPr>
          </w:p>
        </w:tc>
      </w:tr>
      <w:tr w14:paraId="37013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2" w:hRule="atLeast"/>
          <w:jc w:val="center"/>
        </w:trPr>
        <w:tc>
          <w:tcPr>
            <w:tcW w:w="1936" w:type="dxa"/>
            <w:vAlign w:val="center"/>
          </w:tcPr>
          <w:p w14:paraId="24AD8493">
            <w:pPr>
              <w:pageBreakBefore w:val="0"/>
              <w:wordWrap/>
              <w:topLinePunct w:val="0"/>
              <w:bidi w:val="0"/>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账号</w:t>
            </w:r>
          </w:p>
        </w:tc>
        <w:tc>
          <w:tcPr>
            <w:tcW w:w="6764" w:type="dxa"/>
            <w:gridSpan w:val="7"/>
            <w:vAlign w:val="center"/>
          </w:tcPr>
          <w:p w14:paraId="58C471A1">
            <w:pPr>
              <w:pageBreakBefore w:val="0"/>
              <w:wordWrap/>
              <w:topLinePunct w:val="0"/>
              <w:bidi w:val="0"/>
              <w:spacing w:line="560" w:lineRule="exact"/>
              <w:ind w:firstLine="255"/>
              <w:jc w:val="center"/>
              <w:rPr>
                <w:rFonts w:hint="eastAsia" w:ascii="宋体" w:hAnsi="宋体" w:eastAsia="宋体" w:cs="宋体"/>
                <w:color w:val="000000" w:themeColor="text1"/>
                <w:sz w:val="28"/>
                <w:szCs w:val="28"/>
                <w:highlight w:val="none"/>
                <w14:textFill>
                  <w14:solidFill>
                    <w14:schemeClr w14:val="tx1"/>
                  </w14:solidFill>
                </w14:textFill>
              </w:rPr>
            </w:pPr>
          </w:p>
        </w:tc>
      </w:tr>
      <w:tr w14:paraId="0B4D6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2" w:hRule="atLeast"/>
          <w:jc w:val="center"/>
        </w:trPr>
        <w:tc>
          <w:tcPr>
            <w:tcW w:w="1936" w:type="dxa"/>
            <w:vMerge w:val="restart"/>
            <w:vAlign w:val="center"/>
          </w:tcPr>
          <w:p w14:paraId="4E3D1EC1">
            <w:pPr>
              <w:pStyle w:val="164"/>
              <w:pageBreakBefore w:val="0"/>
              <w:wordWrap/>
              <w:topLinePunct w:val="0"/>
              <w:bidi w:val="0"/>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企业关联情况</w:t>
            </w:r>
          </w:p>
        </w:tc>
        <w:tc>
          <w:tcPr>
            <w:tcW w:w="6764" w:type="dxa"/>
            <w:gridSpan w:val="7"/>
            <w:vAlign w:val="center"/>
          </w:tcPr>
          <w:p w14:paraId="28C5268A">
            <w:pPr>
              <w:pStyle w:val="164"/>
              <w:keepNext w:val="0"/>
              <w:keepLines w:val="0"/>
              <w:pageBreakBefore w:val="0"/>
              <w:widowControl w:val="0"/>
              <w:kinsoku/>
              <w:wordWrap/>
              <w:overflowPunct/>
              <w:topLinePunct w:val="0"/>
              <w:autoSpaceDE/>
              <w:autoSpaceDN/>
              <w:bidi w:val="0"/>
              <w:adjustRightInd/>
              <w:snapToGrid/>
              <w:spacing w:line="560" w:lineRule="exact"/>
              <w:ind w:left="0"/>
              <w:jc w:val="both"/>
              <w:textAlignment w:val="auto"/>
              <w:rPr>
                <w:rFonts w:hint="eastAsia" w:ascii="宋体" w:hAnsi="宋体" w:eastAsia="宋体" w:cs="宋体"/>
                <w:color w:val="000000" w:themeColor="text1"/>
                <w:sz w:val="28"/>
                <w:szCs w:val="28"/>
                <w:highlight w:val="none"/>
                <w:lang w:eastAsia="zh-CN"/>
                <w14:textFill>
                  <w14:solidFill>
                    <w14:schemeClr w14:val="tx1"/>
                  </w14:solidFill>
                </w14:textFill>
              </w:rPr>
            </w:pPr>
            <w:r>
              <w:rPr>
                <w:rFonts w:hint="eastAsia" w:ascii="宋体" w:hAnsi="宋体" w:eastAsia="宋体" w:cs="宋体"/>
                <w:color w:val="000000" w:themeColor="text1"/>
                <w:sz w:val="28"/>
                <w:szCs w:val="28"/>
                <w:highlight w:val="none"/>
                <w:lang w:eastAsia="zh-CN"/>
                <w14:textFill>
                  <w14:solidFill>
                    <w14:schemeClr w14:val="tx1"/>
                  </w14:solidFill>
                </w14:textFill>
              </w:rPr>
              <w:t>1：与我公司单位负责人为同一人的其他单位名称：</w:t>
            </w:r>
          </w:p>
        </w:tc>
      </w:tr>
      <w:tr w14:paraId="1F1F5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28" w:hRule="atLeast"/>
          <w:jc w:val="center"/>
        </w:trPr>
        <w:tc>
          <w:tcPr>
            <w:tcW w:w="1936" w:type="dxa"/>
            <w:vMerge w:val="continue"/>
            <w:vAlign w:val="center"/>
          </w:tcPr>
          <w:p w14:paraId="20E3732F">
            <w:pPr>
              <w:pStyle w:val="160"/>
              <w:pageBreakBefore w:val="0"/>
              <w:widowControl/>
              <w:wordWrap/>
              <w:topLinePunct w:val="0"/>
              <w:bidi w:val="0"/>
              <w:spacing w:line="560" w:lineRule="exact"/>
              <w:jc w:val="left"/>
              <w:rPr>
                <w:rFonts w:hint="eastAsia" w:ascii="宋体" w:hAnsi="宋体" w:eastAsia="宋体" w:cs="宋体"/>
                <w:color w:val="000000" w:themeColor="text1"/>
                <w:sz w:val="28"/>
                <w:szCs w:val="28"/>
                <w:highlight w:val="none"/>
                <w14:textFill>
                  <w14:solidFill>
                    <w14:schemeClr w14:val="tx1"/>
                  </w14:solidFill>
                </w14:textFill>
              </w:rPr>
            </w:pPr>
          </w:p>
        </w:tc>
        <w:tc>
          <w:tcPr>
            <w:tcW w:w="6764" w:type="dxa"/>
            <w:gridSpan w:val="7"/>
            <w:vAlign w:val="center"/>
          </w:tcPr>
          <w:p w14:paraId="22732DFC">
            <w:pPr>
              <w:pStyle w:val="164"/>
              <w:keepNext w:val="0"/>
              <w:keepLines w:val="0"/>
              <w:pageBreakBefore w:val="0"/>
              <w:widowControl w:val="0"/>
              <w:kinsoku/>
              <w:wordWrap/>
              <w:overflowPunct/>
              <w:topLinePunct w:val="0"/>
              <w:autoSpaceDE/>
              <w:autoSpaceDN/>
              <w:bidi w:val="0"/>
              <w:adjustRightInd/>
              <w:snapToGrid/>
              <w:spacing w:line="560" w:lineRule="exact"/>
              <w:ind w:left="0"/>
              <w:jc w:val="both"/>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□无；</w:t>
            </w:r>
            <w:r>
              <w:rPr>
                <w:rFonts w:hint="eastAsia" w:ascii="宋体" w:hAnsi="宋体" w:eastAsia="宋体" w:cs="宋体"/>
                <w:color w:val="000000" w:themeColor="text1"/>
                <w:sz w:val="28"/>
                <w:szCs w:val="28"/>
                <w:highlight w:val="none"/>
                <w:lang w:eastAsia="zh-CN"/>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 xml:space="preserve"> □有：</w:t>
            </w:r>
          </w:p>
        </w:tc>
      </w:tr>
      <w:tr w14:paraId="3AD49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2" w:hRule="atLeast"/>
          <w:jc w:val="center"/>
        </w:trPr>
        <w:tc>
          <w:tcPr>
            <w:tcW w:w="1936" w:type="dxa"/>
            <w:vMerge w:val="continue"/>
            <w:vAlign w:val="center"/>
          </w:tcPr>
          <w:p w14:paraId="46C13AE4">
            <w:pPr>
              <w:pStyle w:val="160"/>
              <w:pageBreakBefore w:val="0"/>
              <w:widowControl/>
              <w:wordWrap/>
              <w:topLinePunct w:val="0"/>
              <w:bidi w:val="0"/>
              <w:spacing w:line="560" w:lineRule="exact"/>
              <w:jc w:val="left"/>
              <w:rPr>
                <w:rFonts w:hint="eastAsia" w:ascii="宋体" w:hAnsi="宋体" w:eastAsia="宋体" w:cs="宋体"/>
                <w:color w:val="000000" w:themeColor="text1"/>
                <w:sz w:val="28"/>
                <w:szCs w:val="28"/>
                <w:highlight w:val="none"/>
                <w14:textFill>
                  <w14:solidFill>
                    <w14:schemeClr w14:val="tx1"/>
                  </w14:solidFill>
                </w14:textFill>
              </w:rPr>
            </w:pPr>
          </w:p>
        </w:tc>
        <w:tc>
          <w:tcPr>
            <w:tcW w:w="6764" w:type="dxa"/>
            <w:gridSpan w:val="7"/>
            <w:vAlign w:val="center"/>
          </w:tcPr>
          <w:p w14:paraId="71F507E2">
            <w:pPr>
              <w:pStyle w:val="164"/>
              <w:keepNext w:val="0"/>
              <w:keepLines w:val="0"/>
              <w:pageBreakBefore w:val="0"/>
              <w:widowControl w:val="0"/>
              <w:kinsoku/>
              <w:wordWrap/>
              <w:overflowPunct/>
              <w:topLinePunct w:val="0"/>
              <w:autoSpaceDE/>
              <w:autoSpaceDN/>
              <w:bidi w:val="0"/>
              <w:adjustRightInd/>
              <w:snapToGrid/>
              <w:spacing w:line="560" w:lineRule="exact"/>
              <w:ind w:left="0"/>
              <w:jc w:val="both"/>
              <w:textAlignment w:val="auto"/>
              <w:rPr>
                <w:rFonts w:hint="eastAsia" w:ascii="宋体" w:hAnsi="宋体" w:eastAsia="宋体" w:cs="宋体"/>
                <w:color w:val="000000" w:themeColor="text1"/>
                <w:sz w:val="28"/>
                <w:szCs w:val="28"/>
                <w:highlight w:val="none"/>
                <w:lang w:eastAsia="zh-CN"/>
                <w14:textFill>
                  <w14:solidFill>
                    <w14:schemeClr w14:val="tx1"/>
                  </w14:solidFill>
                </w14:textFill>
              </w:rPr>
            </w:pPr>
            <w:r>
              <w:rPr>
                <w:rFonts w:hint="eastAsia" w:ascii="宋体" w:hAnsi="宋体" w:eastAsia="宋体" w:cs="宋体"/>
                <w:color w:val="000000" w:themeColor="text1"/>
                <w:sz w:val="28"/>
                <w:szCs w:val="28"/>
                <w:highlight w:val="none"/>
                <w:lang w:eastAsia="zh-CN"/>
                <w14:textFill>
                  <w14:solidFill>
                    <w14:schemeClr w14:val="tx1"/>
                  </w14:solidFill>
                </w14:textFill>
              </w:rPr>
              <w:t xml:space="preserve">2、与我公司存在控股、管理关系的其他单位的名称： </w:t>
            </w:r>
          </w:p>
        </w:tc>
      </w:tr>
      <w:tr w14:paraId="0DF55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04" w:hRule="atLeast"/>
          <w:jc w:val="center"/>
        </w:trPr>
        <w:tc>
          <w:tcPr>
            <w:tcW w:w="1936" w:type="dxa"/>
            <w:vMerge w:val="continue"/>
            <w:vAlign w:val="center"/>
          </w:tcPr>
          <w:p w14:paraId="3CD57E64">
            <w:pPr>
              <w:pStyle w:val="160"/>
              <w:pageBreakBefore w:val="0"/>
              <w:widowControl/>
              <w:wordWrap/>
              <w:topLinePunct w:val="0"/>
              <w:bidi w:val="0"/>
              <w:spacing w:line="560" w:lineRule="exact"/>
              <w:jc w:val="left"/>
              <w:rPr>
                <w:rFonts w:hint="eastAsia" w:ascii="宋体" w:hAnsi="宋体" w:eastAsia="宋体" w:cs="宋体"/>
                <w:color w:val="000000" w:themeColor="text1"/>
                <w:sz w:val="28"/>
                <w:szCs w:val="28"/>
                <w:highlight w:val="none"/>
                <w14:textFill>
                  <w14:solidFill>
                    <w14:schemeClr w14:val="tx1"/>
                  </w14:solidFill>
                </w14:textFill>
              </w:rPr>
            </w:pPr>
          </w:p>
        </w:tc>
        <w:tc>
          <w:tcPr>
            <w:tcW w:w="6764" w:type="dxa"/>
            <w:gridSpan w:val="7"/>
            <w:vAlign w:val="center"/>
          </w:tcPr>
          <w:p w14:paraId="5BBEEE03">
            <w:pPr>
              <w:pStyle w:val="164"/>
              <w:keepNext w:val="0"/>
              <w:keepLines w:val="0"/>
              <w:pageBreakBefore w:val="0"/>
              <w:widowControl w:val="0"/>
              <w:kinsoku/>
              <w:wordWrap/>
              <w:overflowPunct/>
              <w:topLinePunct w:val="0"/>
              <w:autoSpaceDE/>
              <w:autoSpaceDN/>
              <w:bidi w:val="0"/>
              <w:adjustRightInd/>
              <w:snapToGrid/>
              <w:spacing w:line="560" w:lineRule="exact"/>
              <w:ind w:left="0"/>
              <w:jc w:val="both"/>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□无；</w:t>
            </w:r>
            <w:r>
              <w:rPr>
                <w:rFonts w:hint="eastAsia" w:ascii="宋体" w:hAnsi="宋体" w:eastAsia="宋体" w:cs="宋体"/>
                <w:color w:val="000000" w:themeColor="text1"/>
                <w:sz w:val="28"/>
                <w:szCs w:val="28"/>
                <w:highlight w:val="none"/>
                <w:lang w:eastAsia="zh-CN"/>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 xml:space="preserve"> □有：</w:t>
            </w:r>
          </w:p>
        </w:tc>
      </w:tr>
      <w:tr w14:paraId="3F05A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13" w:hRule="atLeast"/>
          <w:jc w:val="center"/>
        </w:trPr>
        <w:tc>
          <w:tcPr>
            <w:tcW w:w="1936" w:type="dxa"/>
            <w:vMerge w:val="continue"/>
            <w:vAlign w:val="center"/>
          </w:tcPr>
          <w:p w14:paraId="06193176">
            <w:pPr>
              <w:pStyle w:val="160"/>
              <w:pageBreakBefore w:val="0"/>
              <w:widowControl/>
              <w:wordWrap/>
              <w:topLinePunct w:val="0"/>
              <w:bidi w:val="0"/>
              <w:spacing w:line="560" w:lineRule="exact"/>
              <w:jc w:val="left"/>
              <w:rPr>
                <w:rFonts w:hint="eastAsia" w:ascii="宋体" w:hAnsi="宋体" w:eastAsia="宋体" w:cs="宋体"/>
                <w:color w:val="000000" w:themeColor="text1"/>
                <w:sz w:val="28"/>
                <w:szCs w:val="28"/>
                <w:highlight w:val="none"/>
                <w14:textFill>
                  <w14:solidFill>
                    <w14:schemeClr w14:val="tx1"/>
                  </w14:solidFill>
                </w14:textFill>
              </w:rPr>
            </w:pPr>
          </w:p>
        </w:tc>
        <w:tc>
          <w:tcPr>
            <w:tcW w:w="6764" w:type="dxa"/>
            <w:gridSpan w:val="7"/>
            <w:vAlign w:val="center"/>
          </w:tcPr>
          <w:p w14:paraId="5C9DDD96">
            <w:pPr>
              <w:pStyle w:val="164"/>
              <w:keepNext w:val="0"/>
              <w:keepLines w:val="0"/>
              <w:pageBreakBefore w:val="0"/>
              <w:widowControl w:val="0"/>
              <w:kinsoku/>
              <w:wordWrap/>
              <w:overflowPunct/>
              <w:topLinePunct w:val="0"/>
              <w:autoSpaceDE/>
              <w:autoSpaceDN/>
              <w:bidi w:val="0"/>
              <w:adjustRightInd/>
              <w:snapToGrid/>
              <w:spacing w:line="560" w:lineRule="exact"/>
              <w:ind w:left="0"/>
              <w:jc w:val="both"/>
              <w:textAlignment w:val="auto"/>
              <w:rPr>
                <w:rFonts w:hint="eastAsia" w:ascii="宋体" w:hAnsi="宋体" w:eastAsia="宋体" w:cs="宋体"/>
                <w:color w:val="000000" w:themeColor="text1"/>
                <w:sz w:val="28"/>
                <w:szCs w:val="28"/>
                <w:highlight w:val="none"/>
                <w:lang w:eastAsia="zh-CN"/>
                <w14:textFill>
                  <w14:solidFill>
                    <w14:schemeClr w14:val="tx1"/>
                  </w14:solidFill>
                </w14:textFill>
              </w:rPr>
            </w:pPr>
            <w:r>
              <w:rPr>
                <w:rFonts w:hint="eastAsia" w:ascii="宋体" w:hAnsi="宋体" w:eastAsia="宋体" w:cs="宋体"/>
                <w:color w:val="000000" w:themeColor="text1"/>
                <w:sz w:val="28"/>
                <w:szCs w:val="28"/>
                <w:highlight w:val="none"/>
                <w:lang w:eastAsia="zh-CN"/>
                <w14:textFill>
                  <w14:solidFill>
                    <w14:schemeClr w14:val="tx1"/>
                  </w14:solidFill>
                </w14:textFill>
              </w:rPr>
              <w:t>备注：1、“单位负责人”是指单位法定代表人或者法律、行政法规规定代表单位行使职权的主要负责人。</w:t>
            </w:r>
          </w:p>
          <w:p w14:paraId="685E7E37">
            <w:pPr>
              <w:pStyle w:val="164"/>
              <w:keepNext w:val="0"/>
              <w:keepLines w:val="0"/>
              <w:pageBreakBefore w:val="0"/>
              <w:widowControl w:val="0"/>
              <w:kinsoku/>
              <w:wordWrap/>
              <w:overflowPunct/>
              <w:topLinePunct w:val="0"/>
              <w:autoSpaceDE/>
              <w:autoSpaceDN/>
              <w:bidi w:val="0"/>
              <w:adjustRightInd/>
              <w:snapToGrid/>
              <w:spacing w:line="560" w:lineRule="exact"/>
              <w:ind w:left="0"/>
              <w:jc w:val="both"/>
              <w:textAlignment w:val="auto"/>
              <w:rPr>
                <w:rFonts w:hint="eastAsia" w:ascii="宋体" w:hAnsi="宋体" w:eastAsia="宋体" w:cs="宋体"/>
                <w:color w:val="000000" w:themeColor="text1"/>
                <w:sz w:val="28"/>
                <w:szCs w:val="28"/>
                <w:highlight w:val="none"/>
                <w:lang w:eastAsia="zh-CN"/>
                <w14:textFill>
                  <w14:solidFill>
                    <w14:schemeClr w14:val="tx1"/>
                  </w14:solidFill>
                </w14:textFill>
              </w:rPr>
            </w:pPr>
            <w:r>
              <w:rPr>
                <w:rFonts w:hint="eastAsia" w:ascii="宋体" w:hAnsi="宋体" w:eastAsia="宋体" w:cs="宋体"/>
                <w:color w:val="000000" w:themeColor="text1"/>
                <w:sz w:val="28"/>
                <w:szCs w:val="28"/>
                <w:highlight w:val="none"/>
                <w:lang w:eastAsia="zh-CN"/>
                <w14:textFill>
                  <w14:solidFill>
                    <w14:schemeClr w14:val="tx1"/>
                  </w14:solidFill>
                </w14:textFill>
              </w:rPr>
              <w:t>2、本条所规定的控股、管理关系仅限于直接控股、直接管理关系，不包括间接的控股或管理关系。</w:t>
            </w:r>
          </w:p>
        </w:tc>
      </w:tr>
    </w:tbl>
    <w:p w14:paraId="31DC4DDC">
      <w:pPr>
        <w:pageBreakBefore w:val="0"/>
        <w:wordWrap/>
        <w:topLinePunct w:val="0"/>
        <w:bidi w:val="0"/>
        <w:snapToGrid w:val="0"/>
        <w:spacing w:line="560" w:lineRule="exact"/>
        <w:ind w:firstLine="4935" w:firstLineChars="2350"/>
        <w:rPr>
          <w:rFonts w:hAnsi="宋体"/>
          <w:color w:val="000000" w:themeColor="text1"/>
          <w:szCs w:val="21"/>
          <w:highlight w:val="none"/>
          <w14:textFill>
            <w14:solidFill>
              <w14:schemeClr w14:val="tx1"/>
            </w14:solidFill>
          </w14:textFill>
        </w:rPr>
      </w:pPr>
      <w:r>
        <w:rPr>
          <w:rFonts w:hAnsi="宋体"/>
          <w:color w:val="000000" w:themeColor="text1"/>
          <w:szCs w:val="21"/>
          <w:highlight w:val="none"/>
          <w14:textFill>
            <w14:solidFill>
              <w14:schemeClr w14:val="tx1"/>
            </w14:solidFill>
          </w14:textFill>
        </w:rPr>
        <w:t xml:space="preserve"> </w:t>
      </w:r>
    </w:p>
    <w:p w14:paraId="510301F9">
      <w:pPr>
        <w:pageBreakBefore w:val="0"/>
        <w:wordWrap/>
        <w:topLinePunct w:val="0"/>
        <w:bidi w:val="0"/>
        <w:snapToGrid w:val="0"/>
        <w:spacing w:line="560" w:lineRule="exact"/>
        <w:jc w:val="center"/>
        <w:rPr>
          <w:b/>
          <w:bCs/>
          <w:color w:val="000000" w:themeColor="text1"/>
          <w:sz w:val="30"/>
          <w:szCs w:val="30"/>
          <w:highlight w:val="none"/>
          <w14:textFill>
            <w14:solidFill>
              <w14:schemeClr w14:val="tx1"/>
            </w14:solidFill>
          </w14:textFill>
        </w:rPr>
      </w:pPr>
      <w:r>
        <w:rPr>
          <w:rFonts w:hint="eastAsia"/>
          <w:b/>
          <w:bCs/>
          <w:color w:val="000000" w:themeColor="text1"/>
          <w:sz w:val="30"/>
          <w:szCs w:val="30"/>
          <w:highlight w:val="none"/>
          <w14:textFill>
            <w14:solidFill>
              <w14:schemeClr w14:val="tx1"/>
            </w14:solidFill>
          </w14:textFill>
        </w:rPr>
        <w:t>六、</w:t>
      </w:r>
      <w:r>
        <w:rPr>
          <w:rFonts w:hint="eastAsia"/>
          <w:b/>
          <w:bCs/>
          <w:color w:val="000000" w:themeColor="text1"/>
          <w:sz w:val="30"/>
          <w:szCs w:val="30"/>
          <w:highlight w:val="none"/>
          <w:lang w:eastAsia="zh-CN"/>
          <w14:textFill>
            <w14:solidFill>
              <w14:schemeClr w14:val="tx1"/>
            </w14:solidFill>
          </w14:textFill>
        </w:rPr>
        <w:t>供应商</w:t>
      </w:r>
      <w:r>
        <w:rPr>
          <w:rFonts w:hint="eastAsia"/>
          <w:b/>
          <w:bCs/>
          <w:color w:val="000000" w:themeColor="text1"/>
          <w:sz w:val="30"/>
          <w:szCs w:val="30"/>
          <w:highlight w:val="none"/>
          <w14:textFill>
            <w14:solidFill>
              <w14:schemeClr w14:val="tx1"/>
            </w14:solidFill>
          </w14:textFill>
        </w:rPr>
        <w:t>类似的业绩证明文件</w:t>
      </w:r>
    </w:p>
    <w:tbl>
      <w:tblPr>
        <w:tblStyle w:val="34"/>
        <w:tblW w:w="8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7"/>
        <w:gridCol w:w="6106"/>
      </w:tblGrid>
      <w:tr w14:paraId="3F951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2417" w:type="dxa"/>
            <w:noWrap w:val="0"/>
            <w:vAlign w:val="center"/>
          </w:tcPr>
          <w:p w14:paraId="54031E0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cs="仿宋_GB2312"/>
                <w:color w:val="000000" w:themeColor="text1"/>
                <w:sz w:val="28"/>
                <w:szCs w:val="28"/>
                <w:highlight w:val="none"/>
                <w14:textFill>
                  <w14:solidFill>
                    <w14:schemeClr w14:val="tx1"/>
                  </w14:solidFill>
                </w14:textFill>
              </w:rPr>
            </w:pPr>
            <w:r>
              <w:rPr>
                <w:rFonts w:hint="eastAsia" w:cs="仿宋_GB2312"/>
                <w:color w:val="000000" w:themeColor="text1"/>
                <w:sz w:val="28"/>
                <w:szCs w:val="28"/>
                <w:highlight w:val="none"/>
                <w14:textFill>
                  <w14:solidFill>
                    <w14:schemeClr w14:val="tx1"/>
                  </w14:solidFill>
                </w14:textFill>
              </w:rPr>
              <w:t>序号</w:t>
            </w:r>
          </w:p>
        </w:tc>
        <w:tc>
          <w:tcPr>
            <w:tcW w:w="6106" w:type="dxa"/>
            <w:noWrap w:val="0"/>
            <w:vAlign w:val="center"/>
          </w:tcPr>
          <w:p w14:paraId="466B85CA">
            <w:pPr>
              <w:pageBreakBefore w:val="0"/>
              <w:wordWrap/>
              <w:topLinePunct w:val="0"/>
              <w:bidi w:val="0"/>
              <w:spacing w:line="560" w:lineRule="exact"/>
              <w:jc w:val="center"/>
              <w:rPr>
                <w:rFonts w:hint="eastAsia" w:cs="仿宋_GB2312"/>
                <w:color w:val="000000" w:themeColor="text1"/>
                <w:highlight w:val="none"/>
                <w14:textFill>
                  <w14:solidFill>
                    <w14:schemeClr w14:val="tx1"/>
                  </w14:solidFill>
                </w14:textFill>
              </w:rPr>
            </w:pPr>
          </w:p>
        </w:tc>
      </w:tr>
      <w:tr w14:paraId="4F066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2417" w:type="dxa"/>
            <w:noWrap w:val="0"/>
            <w:vAlign w:val="center"/>
          </w:tcPr>
          <w:p w14:paraId="71A9C5A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cs="仿宋_GB2312"/>
                <w:color w:val="000000" w:themeColor="text1"/>
                <w:sz w:val="28"/>
                <w:szCs w:val="28"/>
                <w:highlight w:val="none"/>
                <w14:textFill>
                  <w14:solidFill>
                    <w14:schemeClr w14:val="tx1"/>
                  </w14:solidFill>
                </w14:textFill>
              </w:rPr>
            </w:pPr>
            <w:r>
              <w:rPr>
                <w:rFonts w:hint="eastAsia" w:cs="仿宋_GB2312"/>
                <w:color w:val="000000" w:themeColor="text1"/>
                <w:sz w:val="28"/>
                <w:szCs w:val="28"/>
                <w:highlight w:val="none"/>
                <w14:textFill>
                  <w14:solidFill>
                    <w14:schemeClr w14:val="tx1"/>
                  </w14:solidFill>
                </w14:textFill>
              </w:rPr>
              <w:t>项目名称</w:t>
            </w:r>
          </w:p>
        </w:tc>
        <w:tc>
          <w:tcPr>
            <w:tcW w:w="6106" w:type="dxa"/>
            <w:noWrap w:val="0"/>
            <w:vAlign w:val="center"/>
          </w:tcPr>
          <w:p w14:paraId="549270E9">
            <w:pPr>
              <w:pageBreakBefore w:val="0"/>
              <w:wordWrap/>
              <w:topLinePunct w:val="0"/>
              <w:bidi w:val="0"/>
              <w:spacing w:line="560" w:lineRule="exact"/>
              <w:jc w:val="center"/>
              <w:rPr>
                <w:rFonts w:hint="eastAsia" w:cs="仿宋_GB2312"/>
                <w:color w:val="000000" w:themeColor="text1"/>
                <w:highlight w:val="none"/>
                <w14:textFill>
                  <w14:solidFill>
                    <w14:schemeClr w14:val="tx1"/>
                  </w14:solidFill>
                </w14:textFill>
              </w:rPr>
            </w:pPr>
          </w:p>
        </w:tc>
      </w:tr>
      <w:tr w14:paraId="03DC0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2417" w:type="dxa"/>
            <w:noWrap w:val="0"/>
            <w:vAlign w:val="center"/>
          </w:tcPr>
          <w:p w14:paraId="2BAFB23A">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cs="仿宋_GB2312"/>
                <w:color w:val="000000" w:themeColor="text1"/>
                <w:sz w:val="28"/>
                <w:szCs w:val="28"/>
                <w:highlight w:val="none"/>
                <w14:textFill>
                  <w14:solidFill>
                    <w14:schemeClr w14:val="tx1"/>
                  </w14:solidFill>
                </w14:textFill>
              </w:rPr>
            </w:pPr>
            <w:r>
              <w:rPr>
                <w:rFonts w:hint="eastAsia" w:cs="仿宋_GB2312"/>
                <w:color w:val="000000" w:themeColor="text1"/>
                <w:sz w:val="28"/>
                <w:szCs w:val="28"/>
                <w:highlight w:val="none"/>
                <w14:textFill>
                  <w14:solidFill>
                    <w14:schemeClr w14:val="tx1"/>
                  </w14:solidFill>
                </w14:textFill>
              </w:rPr>
              <w:t>项目所在地</w:t>
            </w:r>
          </w:p>
        </w:tc>
        <w:tc>
          <w:tcPr>
            <w:tcW w:w="6106" w:type="dxa"/>
            <w:noWrap w:val="0"/>
            <w:vAlign w:val="center"/>
          </w:tcPr>
          <w:p w14:paraId="5771956D">
            <w:pPr>
              <w:pageBreakBefore w:val="0"/>
              <w:wordWrap/>
              <w:topLinePunct w:val="0"/>
              <w:bidi w:val="0"/>
              <w:spacing w:line="560" w:lineRule="exact"/>
              <w:jc w:val="center"/>
              <w:rPr>
                <w:rFonts w:hint="eastAsia" w:cs="仿宋_GB2312"/>
                <w:color w:val="000000" w:themeColor="text1"/>
                <w:highlight w:val="none"/>
                <w14:textFill>
                  <w14:solidFill>
                    <w14:schemeClr w14:val="tx1"/>
                  </w14:solidFill>
                </w14:textFill>
              </w:rPr>
            </w:pPr>
          </w:p>
        </w:tc>
      </w:tr>
      <w:tr w14:paraId="55CB7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2417" w:type="dxa"/>
            <w:noWrap w:val="0"/>
            <w:vAlign w:val="center"/>
          </w:tcPr>
          <w:p w14:paraId="1E2C6D63">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cs="仿宋_GB2312"/>
                <w:color w:val="000000" w:themeColor="text1"/>
                <w:sz w:val="28"/>
                <w:szCs w:val="28"/>
                <w:highlight w:val="none"/>
                <w14:textFill>
                  <w14:solidFill>
                    <w14:schemeClr w14:val="tx1"/>
                  </w14:solidFill>
                </w14:textFill>
              </w:rPr>
            </w:pPr>
            <w:r>
              <w:rPr>
                <w:rFonts w:hint="eastAsia" w:cs="仿宋_GB2312"/>
                <w:color w:val="000000" w:themeColor="text1"/>
                <w:sz w:val="28"/>
                <w:szCs w:val="28"/>
                <w:highlight w:val="none"/>
                <w14:textFill>
                  <w14:solidFill>
                    <w14:schemeClr w14:val="tx1"/>
                  </w14:solidFill>
                </w14:textFill>
              </w:rPr>
              <w:t>发包人名称</w:t>
            </w:r>
          </w:p>
        </w:tc>
        <w:tc>
          <w:tcPr>
            <w:tcW w:w="6106" w:type="dxa"/>
            <w:noWrap w:val="0"/>
            <w:vAlign w:val="center"/>
          </w:tcPr>
          <w:p w14:paraId="6A711514">
            <w:pPr>
              <w:pageBreakBefore w:val="0"/>
              <w:wordWrap/>
              <w:topLinePunct w:val="0"/>
              <w:bidi w:val="0"/>
              <w:spacing w:line="560" w:lineRule="exact"/>
              <w:jc w:val="center"/>
              <w:rPr>
                <w:rFonts w:hint="eastAsia" w:cs="仿宋_GB2312"/>
                <w:color w:val="000000" w:themeColor="text1"/>
                <w:highlight w:val="none"/>
                <w14:textFill>
                  <w14:solidFill>
                    <w14:schemeClr w14:val="tx1"/>
                  </w14:solidFill>
                </w14:textFill>
              </w:rPr>
            </w:pPr>
          </w:p>
        </w:tc>
      </w:tr>
      <w:tr w14:paraId="14BAC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2417" w:type="dxa"/>
            <w:noWrap w:val="0"/>
            <w:vAlign w:val="center"/>
          </w:tcPr>
          <w:p w14:paraId="7AC2FBC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cs="仿宋_GB2312"/>
                <w:color w:val="000000" w:themeColor="text1"/>
                <w:sz w:val="28"/>
                <w:szCs w:val="28"/>
                <w:highlight w:val="none"/>
                <w14:textFill>
                  <w14:solidFill>
                    <w14:schemeClr w14:val="tx1"/>
                  </w14:solidFill>
                </w14:textFill>
              </w:rPr>
            </w:pPr>
            <w:r>
              <w:rPr>
                <w:rFonts w:hint="eastAsia" w:cs="仿宋_GB2312"/>
                <w:color w:val="000000" w:themeColor="text1"/>
                <w:sz w:val="28"/>
                <w:szCs w:val="28"/>
                <w:highlight w:val="none"/>
                <w14:textFill>
                  <w14:solidFill>
                    <w14:schemeClr w14:val="tx1"/>
                  </w14:solidFill>
                </w14:textFill>
              </w:rPr>
              <w:t>合同价格</w:t>
            </w:r>
          </w:p>
        </w:tc>
        <w:tc>
          <w:tcPr>
            <w:tcW w:w="6106" w:type="dxa"/>
            <w:noWrap w:val="0"/>
            <w:vAlign w:val="center"/>
          </w:tcPr>
          <w:p w14:paraId="6043B70F">
            <w:pPr>
              <w:pageBreakBefore w:val="0"/>
              <w:wordWrap/>
              <w:topLinePunct w:val="0"/>
              <w:bidi w:val="0"/>
              <w:spacing w:line="560" w:lineRule="exact"/>
              <w:jc w:val="center"/>
              <w:rPr>
                <w:rFonts w:hint="eastAsia" w:cs="仿宋_GB2312"/>
                <w:color w:val="000000" w:themeColor="text1"/>
                <w:highlight w:val="none"/>
                <w14:textFill>
                  <w14:solidFill>
                    <w14:schemeClr w14:val="tx1"/>
                  </w14:solidFill>
                </w14:textFill>
              </w:rPr>
            </w:pPr>
          </w:p>
        </w:tc>
      </w:tr>
      <w:tr w14:paraId="5ABD5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2417" w:type="dxa"/>
            <w:noWrap w:val="0"/>
            <w:vAlign w:val="center"/>
          </w:tcPr>
          <w:p w14:paraId="3DD79C21">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cs="仿宋_GB2312"/>
                <w:color w:val="000000" w:themeColor="text1"/>
                <w:sz w:val="28"/>
                <w:szCs w:val="28"/>
                <w:highlight w:val="none"/>
                <w14:textFill>
                  <w14:solidFill>
                    <w14:schemeClr w14:val="tx1"/>
                  </w14:solidFill>
                </w14:textFill>
              </w:rPr>
            </w:pPr>
            <w:r>
              <w:rPr>
                <w:rFonts w:hint="eastAsia" w:cs="仿宋_GB2312"/>
                <w:color w:val="000000" w:themeColor="text1"/>
                <w:sz w:val="28"/>
                <w:szCs w:val="28"/>
                <w:highlight w:val="none"/>
                <w14:textFill>
                  <w14:solidFill>
                    <w14:schemeClr w14:val="tx1"/>
                  </w14:solidFill>
                </w14:textFill>
              </w:rPr>
              <w:t>服务期限</w:t>
            </w:r>
          </w:p>
        </w:tc>
        <w:tc>
          <w:tcPr>
            <w:tcW w:w="6106" w:type="dxa"/>
            <w:noWrap w:val="0"/>
            <w:vAlign w:val="center"/>
          </w:tcPr>
          <w:p w14:paraId="1B221E23">
            <w:pPr>
              <w:pageBreakBefore w:val="0"/>
              <w:wordWrap/>
              <w:topLinePunct w:val="0"/>
              <w:bidi w:val="0"/>
              <w:spacing w:line="560" w:lineRule="exact"/>
              <w:jc w:val="center"/>
              <w:rPr>
                <w:rFonts w:hint="eastAsia" w:cs="仿宋_GB2312"/>
                <w:color w:val="000000" w:themeColor="text1"/>
                <w:highlight w:val="none"/>
                <w14:textFill>
                  <w14:solidFill>
                    <w14:schemeClr w14:val="tx1"/>
                  </w14:solidFill>
                </w14:textFill>
              </w:rPr>
            </w:pPr>
          </w:p>
        </w:tc>
      </w:tr>
      <w:tr w14:paraId="30258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2417" w:type="dxa"/>
            <w:noWrap w:val="0"/>
            <w:vAlign w:val="center"/>
          </w:tcPr>
          <w:p w14:paraId="2429DCCD">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cs="仿宋_GB2312"/>
                <w:color w:val="000000" w:themeColor="text1"/>
                <w:sz w:val="28"/>
                <w:szCs w:val="28"/>
                <w:highlight w:val="none"/>
                <w14:textFill>
                  <w14:solidFill>
                    <w14:schemeClr w14:val="tx1"/>
                  </w14:solidFill>
                </w14:textFill>
              </w:rPr>
            </w:pPr>
            <w:r>
              <w:rPr>
                <w:rFonts w:hint="eastAsia" w:cs="仿宋_GB2312"/>
                <w:color w:val="000000" w:themeColor="text1"/>
                <w:sz w:val="28"/>
                <w:szCs w:val="28"/>
                <w:highlight w:val="none"/>
                <w14:textFill>
                  <w14:solidFill>
                    <w14:schemeClr w14:val="tx1"/>
                  </w14:solidFill>
                </w14:textFill>
              </w:rPr>
              <w:t>承担的工作</w:t>
            </w:r>
          </w:p>
        </w:tc>
        <w:tc>
          <w:tcPr>
            <w:tcW w:w="6106" w:type="dxa"/>
            <w:noWrap w:val="0"/>
            <w:vAlign w:val="center"/>
          </w:tcPr>
          <w:p w14:paraId="2B58573A">
            <w:pPr>
              <w:pageBreakBefore w:val="0"/>
              <w:wordWrap/>
              <w:topLinePunct w:val="0"/>
              <w:bidi w:val="0"/>
              <w:spacing w:line="560" w:lineRule="exact"/>
              <w:jc w:val="center"/>
              <w:rPr>
                <w:rFonts w:hint="eastAsia" w:cs="仿宋_GB2312"/>
                <w:color w:val="000000" w:themeColor="text1"/>
                <w:highlight w:val="none"/>
                <w14:textFill>
                  <w14:solidFill>
                    <w14:schemeClr w14:val="tx1"/>
                  </w14:solidFill>
                </w14:textFill>
              </w:rPr>
            </w:pPr>
          </w:p>
        </w:tc>
      </w:tr>
      <w:tr w14:paraId="76323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2417" w:type="dxa"/>
            <w:noWrap w:val="0"/>
            <w:vAlign w:val="center"/>
          </w:tcPr>
          <w:p w14:paraId="252CA9FA">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cs="仿宋_GB2312"/>
                <w:color w:val="000000" w:themeColor="text1"/>
                <w:sz w:val="28"/>
                <w:szCs w:val="28"/>
                <w:highlight w:val="none"/>
                <w14:textFill>
                  <w14:solidFill>
                    <w14:schemeClr w14:val="tx1"/>
                  </w14:solidFill>
                </w14:textFill>
              </w:rPr>
            </w:pPr>
            <w:r>
              <w:rPr>
                <w:rFonts w:hint="eastAsia" w:cs="仿宋_GB2312"/>
                <w:color w:val="000000" w:themeColor="text1"/>
                <w:sz w:val="28"/>
                <w:szCs w:val="28"/>
                <w:highlight w:val="none"/>
                <w14:textFill>
                  <w14:solidFill>
                    <w14:schemeClr w14:val="tx1"/>
                  </w14:solidFill>
                </w14:textFill>
              </w:rPr>
              <w:t>服务质量</w:t>
            </w:r>
          </w:p>
        </w:tc>
        <w:tc>
          <w:tcPr>
            <w:tcW w:w="6106" w:type="dxa"/>
            <w:noWrap w:val="0"/>
            <w:vAlign w:val="center"/>
          </w:tcPr>
          <w:p w14:paraId="224A462E">
            <w:pPr>
              <w:pageBreakBefore w:val="0"/>
              <w:wordWrap/>
              <w:topLinePunct w:val="0"/>
              <w:bidi w:val="0"/>
              <w:spacing w:line="560" w:lineRule="exact"/>
              <w:jc w:val="center"/>
              <w:rPr>
                <w:rFonts w:hint="eastAsia" w:cs="仿宋_GB2312"/>
                <w:color w:val="000000" w:themeColor="text1"/>
                <w:highlight w:val="none"/>
                <w14:textFill>
                  <w14:solidFill>
                    <w14:schemeClr w14:val="tx1"/>
                  </w14:solidFill>
                </w14:textFill>
              </w:rPr>
            </w:pPr>
          </w:p>
        </w:tc>
      </w:tr>
      <w:tr w14:paraId="59A61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2417" w:type="dxa"/>
            <w:noWrap w:val="0"/>
            <w:vAlign w:val="center"/>
          </w:tcPr>
          <w:p w14:paraId="66BED986">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cs="仿宋_GB2312"/>
                <w:color w:val="000000" w:themeColor="text1"/>
                <w:sz w:val="28"/>
                <w:szCs w:val="28"/>
                <w:highlight w:val="none"/>
                <w14:textFill>
                  <w14:solidFill>
                    <w14:schemeClr w14:val="tx1"/>
                  </w14:solidFill>
                </w14:textFill>
              </w:rPr>
            </w:pPr>
            <w:r>
              <w:rPr>
                <w:rFonts w:hint="eastAsia" w:cs="仿宋_GB2312"/>
                <w:color w:val="000000" w:themeColor="text1"/>
                <w:sz w:val="28"/>
                <w:szCs w:val="28"/>
                <w:highlight w:val="none"/>
                <w14:textFill>
                  <w14:solidFill>
                    <w14:schemeClr w14:val="tx1"/>
                  </w14:solidFill>
                </w14:textFill>
              </w:rPr>
              <w:t>项目负责人</w:t>
            </w:r>
          </w:p>
        </w:tc>
        <w:tc>
          <w:tcPr>
            <w:tcW w:w="6106" w:type="dxa"/>
            <w:noWrap w:val="0"/>
            <w:vAlign w:val="center"/>
          </w:tcPr>
          <w:p w14:paraId="3CC1414D">
            <w:pPr>
              <w:pageBreakBefore w:val="0"/>
              <w:wordWrap/>
              <w:topLinePunct w:val="0"/>
              <w:bidi w:val="0"/>
              <w:spacing w:line="560" w:lineRule="exact"/>
              <w:jc w:val="center"/>
              <w:rPr>
                <w:rFonts w:hint="eastAsia" w:cs="仿宋_GB2312"/>
                <w:color w:val="000000" w:themeColor="text1"/>
                <w:highlight w:val="none"/>
                <w14:textFill>
                  <w14:solidFill>
                    <w14:schemeClr w14:val="tx1"/>
                  </w14:solidFill>
                </w14:textFill>
              </w:rPr>
            </w:pPr>
          </w:p>
        </w:tc>
      </w:tr>
      <w:tr w14:paraId="29870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2417" w:type="dxa"/>
            <w:noWrap w:val="0"/>
            <w:vAlign w:val="center"/>
          </w:tcPr>
          <w:p w14:paraId="34BA53AF">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cs="仿宋_GB2312"/>
                <w:color w:val="000000" w:themeColor="text1"/>
                <w:sz w:val="28"/>
                <w:szCs w:val="28"/>
                <w:highlight w:val="none"/>
                <w14:textFill>
                  <w14:solidFill>
                    <w14:schemeClr w14:val="tx1"/>
                  </w14:solidFill>
                </w14:textFill>
              </w:rPr>
            </w:pPr>
            <w:r>
              <w:rPr>
                <w:rFonts w:hint="eastAsia" w:cs="仿宋_GB2312"/>
                <w:color w:val="000000" w:themeColor="text1"/>
                <w:sz w:val="28"/>
                <w:szCs w:val="28"/>
                <w:highlight w:val="none"/>
                <w14:textFill>
                  <w14:solidFill>
                    <w14:schemeClr w14:val="tx1"/>
                  </w14:solidFill>
                </w14:textFill>
              </w:rPr>
              <w:t>项目描述</w:t>
            </w:r>
          </w:p>
        </w:tc>
        <w:tc>
          <w:tcPr>
            <w:tcW w:w="6106" w:type="dxa"/>
            <w:noWrap w:val="0"/>
            <w:vAlign w:val="center"/>
          </w:tcPr>
          <w:p w14:paraId="36135173">
            <w:pPr>
              <w:pageBreakBefore w:val="0"/>
              <w:wordWrap/>
              <w:topLinePunct w:val="0"/>
              <w:bidi w:val="0"/>
              <w:spacing w:line="560" w:lineRule="exact"/>
              <w:jc w:val="center"/>
              <w:rPr>
                <w:rFonts w:hint="eastAsia" w:cs="仿宋_GB2312"/>
                <w:color w:val="000000" w:themeColor="text1"/>
                <w:highlight w:val="none"/>
                <w14:textFill>
                  <w14:solidFill>
                    <w14:schemeClr w14:val="tx1"/>
                  </w14:solidFill>
                </w14:textFill>
              </w:rPr>
            </w:pPr>
          </w:p>
        </w:tc>
      </w:tr>
      <w:tr w14:paraId="4B062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2417" w:type="dxa"/>
            <w:noWrap w:val="0"/>
            <w:vAlign w:val="center"/>
          </w:tcPr>
          <w:p w14:paraId="39CA5071">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cs="仿宋_GB2312"/>
                <w:color w:val="000000" w:themeColor="text1"/>
                <w:sz w:val="28"/>
                <w:szCs w:val="28"/>
                <w:highlight w:val="none"/>
                <w14:textFill>
                  <w14:solidFill>
                    <w14:schemeClr w14:val="tx1"/>
                  </w14:solidFill>
                </w14:textFill>
              </w:rPr>
            </w:pPr>
            <w:r>
              <w:rPr>
                <w:rFonts w:hint="eastAsia" w:cs="仿宋_GB2312"/>
                <w:color w:val="000000" w:themeColor="text1"/>
                <w:sz w:val="28"/>
                <w:szCs w:val="28"/>
                <w:highlight w:val="none"/>
                <w14:textFill>
                  <w14:solidFill>
                    <w14:schemeClr w14:val="tx1"/>
                  </w14:solidFill>
                </w14:textFill>
              </w:rPr>
              <w:t>备注</w:t>
            </w:r>
          </w:p>
        </w:tc>
        <w:tc>
          <w:tcPr>
            <w:tcW w:w="6106" w:type="dxa"/>
            <w:noWrap w:val="0"/>
            <w:vAlign w:val="center"/>
          </w:tcPr>
          <w:p w14:paraId="66212A25">
            <w:pPr>
              <w:pageBreakBefore w:val="0"/>
              <w:wordWrap/>
              <w:topLinePunct w:val="0"/>
              <w:bidi w:val="0"/>
              <w:spacing w:line="560" w:lineRule="exact"/>
              <w:jc w:val="center"/>
              <w:rPr>
                <w:rFonts w:hint="eastAsia" w:cs="仿宋_GB2312"/>
                <w:color w:val="000000" w:themeColor="text1"/>
                <w:highlight w:val="none"/>
                <w14:textFill>
                  <w14:solidFill>
                    <w14:schemeClr w14:val="tx1"/>
                  </w14:solidFill>
                </w14:textFill>
              </w:rPr>
            </w:pPr>
          </w:p>
        </w:tc>
      </w:tr>
    </w:tbl>
    <w:p w14:paraId="724C5C00">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Theme="minorEastAsia" w:hAnsiTheme="minorEastAsia" w:eastAsiaTheme="minorEastAsia" w:cstheme="minorEastAsia"/>
          <w:color w:val="000000" w:themeColor="text1"/>
          <w:kern w:val="0"/>
          <w:sz w:val="28"/>
          <w:szCs w:val="28"/>
          <w:highlight w:val="none"/>
          <w:lang w:val="zh-CN"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注：</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可按上述的格式自行编制，须随表提交相应的合同</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或</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中标通知书。</w:t>
      </w:r>
      <w:r>
        <w:rPr>
          <w:rFonts w:hint="eastAsia" w:asciiTheme="minorEastAsia" w:hAnsiTheme="minorEastAsia" w:eastAsiaTheme="minorEastAsia"/>
          <w:bCs/>
          <w:color w:val="000000" w:themeColor="text1"/>
          <w:kern w:val="0"/>
          <w:sz w:val="28"/>
          <w:szCs w:val="28"/>
          <w:highlight w:val="none"/>
          <w:lang w:eastAsia="zh-CN"/>
          <w14:textFill>
            <w14:solidFill>
              <w14:schemeClr w14:val="tx1"/>
            </w14:solidFill>
          </w14:textFill>
        </w:rPr>
        <w:t>类似业绩：</w:t>
      </w:r>
      <w:r>
        <w:rPr>
          <w:rFonts w:hint="eastAsia" w:asciiTheme="minorEastAsia" w:hAnsiTheme="minorEastAsia" w:eastAsiaTheme="minorEastAsia"/>
          <w:bCs/>
          <w:color w:val="000000" w:themeColor="text1"/>
          <w:kern w:val="0"/>
          <w:sz w:val="28"/>
          <w:szCs w:val="28"/>
          <w:highlight w:val="none"/>
          <w14:textFill>
            <w14:solidFill>
              <w14:schemeClr w14:val="tx1"/>
            </w14:solidFill>
          </w14:textFill>
        </w:rPr>
        <w:t>近三年（202</w:t>
      </w:r>
      <w:r>
        <w:rPr>
          <w:rFonts w:hint="eastAsia" w:asciiTheme="minorEastAsia" w:hAnsiTheme="minorEastAsia" w:eastAsiaTheme="minorEastAsia"/>
          <w:bCs/>
          <w:color w:val="000000" w:themeColor="text1"/>
          <w:kern w:val="0"/>
          <w:sz w:val="28"/>
          <w:szCs w:val="28"/>
          <w:highlight w:val="none"/>
          <w:lang w:val="en-US" w:eastAsia="zh-CN"/>
          <w14:textFill>
            <w14:solidFill>
              <w14:schemeClr w14:val="tx1"/>
            </w14:solidFill>
          </w14:textFill>
        </w:rPr>
        <w:t>2</w:t>
      </w:r>
      <w:r>
        <w:rPr>
          <w:rFonts w:hint="eastAsia" w:asciiTheme="minorEastAsia" w:hAnsiTheme="minorEastAsia" w:eastAsiaTheme="minorEastAsia"/>
          <w:bCs/>
          <w:color w:val="000000" w:themeColor="text1"/>
          <w:kern w:val="0"/>
          <w:sz w:val="28"/>
          <w:szCs w:val="28"/>
          <w:highlight w:val="none"/>
          <w14:textFill>
            <w14:solidFill>
              <w14:schemeClr w14:val="tx1"/>
            </w14:solidFill>
          </w14:textFill>
        </w:rPr>
        <w:t>年</w:t>
      </w:r>
      <w:r>
        <w:rPr>
          <w:rFonts w:hint="eastAsia" w:asciiTheme="minorEastAsia" w:hAnsiTheme="minorEastAsia" w:eastAsiaTheme="minorEastAsia"/>
          <w:bCs/>
          <w:color w:val="000000" w:themeColor="text1"/>
          <w:kern w:val="0"/>
          <w:sz w:val="28"/>
          <w:szCs w:val="28"/>
          <w:highlight w:val="none"/>
          <w:lang w:val="en-US" w:eastAsia="zh-CN"/>
          <w14:textFill>
            <w14:solidFill>
              <w14:schemeClr w14:val="tx1"/>
            </w14:solidFill>
          </w14:textFill>
        </w:rPr>
        <w:t>1月1日</w:t>
      </w:r>
      <w:r>
        <w:rPr>
          <w:rFonts w:hint="eastAsia" w:asciiTheme="minorEastAsia" w:hAnsiTheme="minorEastAsia" w:eastAsiaTheme="minorEastAsia"/>
          <w:bCs/>
          <w:color w:val="000000" w:themeColor="text1"/>
          <w:kern w:val="0"/>
          <w:sz w:val="28"/>
          <w:szCs w:val="28"/>
          <w:highlight w:val="none"/>
          <w14:textFill>
            <w14:solidFill>
              <w14:schemeClr w14:val="tx1"/>
            </w14:solidFill>
          </w14:textFill>
        </w:rPr>
        <w:t>-至今）</w:t>
      </w:r>
      <w:r>
        <w:rPr>
          <w:rFonts w:hint="eastAsia" w:asciiTheme="minorEastAsia" w:hAnsiTheme="minorEastAsia" w:eastAsiaTheme="minorEastAsia"/>
          <w:bCs/>
          <w:color w:val="000000" w:themeColor="text1"/>
          <w:kern w:val="0"/>
          <w:sz w:val="28"/>
          <w:szCs w:val="28"/>
          <w:highlight w:val="none"/>
          <w:lang w:eastAsia="zh-CN"/>
          <w14:textFill>
            <w14:solidFill>
              <w14:schemeClr w14:val="tx1"/>
            </w14:solidFill>
          </w14:textFill>
        </w:rPr>
        <w:t>。</w:t>
      </w:r>
    </w:p>
    <w:p w14:paraId="16E81F87">
      <w:pPr>
        <w:keepNext w:val="0"/>
        <w:keepLines w:val="0"/>
        <w:pageBreakBefore w:val="0"/>
        <w:widowControl w:val="0"/>
        <w:kinsoku/>
        <w:wordWrap/>
        <w:overflowPunct/>
        <w:topLinePunct w:val="0"/>
        <w:autoSpaceDE/>
        <w:autoSpaceDN/>
        <w:bidi w:val="0"/>
        <w:adjustRightInd/>
        <w:snapToGrid w:val="0"/>
        <w:spacing w:line="560" w:lineRule="exact"/>
        <w:ind w:left="0" w:leftChars="0"/>
        <w:jc w:val="center"/>
        <w:textAlignment w:val="auto"/>
        <w:rPr>
          <w:rFonts w:hint="eastAsia" w:asciiTheme="minorEastAsia" w:hAnsiTheme="minorEastAsia" w:eastAsiaTheme="minorEastAsia" w:cstheme="minorEastAsia"/>
          <w:color w:val="000000" w:themeColor="text1"/>
          <w:kern w:val="0"/>
          <w:sz w:val="28"/>
          <w:szCs w:val="28"/>
          <w:highlight w:val="none"/>
          <w:lang w:val="zh-CN"/>
          <w14:textFill>
            <w14:solidFill>
              <w14:schemeClr w14:val="tx1"/>
            </w14:solidFill>
          </w14:textFill>
        </w:rPr>
      </w:pPr>
    </w:p>
    <w:p w14:paraId="4C4A73B1">
      <w:pPr>
        <w:pageBreakBefore w:val="0"/>
        <w:widowControl/>
        <w:wordWrap/>
        <w:topLinePunct w:val="0"/>
        <w:bidi w:val="0"/>
        <w:spacing w:line="560" w:lineRule="exact"/>
        <w:jc w:val="left"/>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ascii="仿宋_GB2312" w:hAnsi="仿宋" w:eastAsia="仿宋_GB2312" w:cs="仿宋_GB2312"/>
          <w:color w:val="000000" w:themeColor="text1"/>
          <w:kern w:val="0"/>
          <w:sz w:val="24"/>
          <w:highlight w:val="none"/>
          <w:lang w:val="zh-CN"/>
          <w14:textFill>
            <w14:solidFill>
              <w14:schemeClr w14:val="tx1"/>
            </w14:solidFill>
          </w14:textFill>
        </w:rPr>
        <w:br w:type="page"/>
      </w:r>
    </w:p>
    <w:p w14:paraId="4CE8D7CB">
      <w:pPr>
        <w:pageBreakBefore w:val="0"/>
        <w:wordWrap/>
        <w:topLinePunct w:val="0"/>
        <w:bidi w:val="0"/>
        <w:snapToGrid w:val="0"/>
        <w:spacing w:before="165" w:beforeLines="50" w:after="50" w:line="560" w:lineRule="exact"/>
        <w:ind w:firstLine="602" w:firstLineChars="200"/>
        <w:jc w:val="center"/>
        <w:rPr>
          <w:b/>
          <w:bCs/>
          <w:color w:val="000000" w:themeColor="text1"/>
          <w:sz w:val="30"/>
          <w:szCs w:val="30"/>
          <w:highlight w:val="none"/>
          <w14:textFill>
            <w14:solidFill>
              <w14:schemeClr w14:val="tx1"/>
            </w14:solidFill>
          </w14:textFill>
        </w:rPr>
      </w:pPr>
      <w:r>
        <w:rPr>
          <w:rFonts w:hint="eastAsia"/>
          <w:b/>
          <w:bCs/>
          <w:color w:val="000000" w:themeColor="text1"/>
          <w:sz w:val="30"/>
          <w:szCs w:val="30"/>
          <w:highlight w:val="none"/>
          <w:lang w:eastAsia="zh-CN"/>
          <w14:textFill>
            <w14:solidFill>
              <w14:schemeClr w14:val="tx1"/>
            </w14:solidFill>
          </w14:textFill>
        </w:rPr>
        <w:t>七</w:t>
      </w:r>
      <w:r>
        <w:rPr>
          <w:rFonts w:hint="eastAsia"/>
          <w:b/>
          <w:bCs/>
          <w:color w:val="000000" w:themeColor="text1"/>
          <w:sz w:val="30"/>
          <w:szCs w:val="30"/>
          <w:highlight w:val="none"/>
          <w14:textFill>
            <w14:solidFill>
              <w14:schemeClr w14:val="tx1"/>
            </w14:solidFill>
          </w14:textFill>
        </w:rPr>
        <w:t>、项目负责人简历表</w:t>
      </w:r>
    </w:p>
    <w:tbl>
      <w:tblPr>
        <w:tblStyle w:val="34"/>
        <w:tblW w:w="10095" w:type="dxa"/>
        <w:jc w:val="center"/>
        <w:tblLayout w:type="fixed"/>
        <w:tblCellMar>
          <w:top w:w="0" w:type="dxa"/>
          <w:left w:w="108" w:type="dxa"/>
          <w:bottom w:w="0" w:type="dxa"/>
          <w:right w:w="108" w:type="dxa"/>
        </w:tblCellMar>
      </w:tblPr>
      <w:tblGrid>
        <w:gridCol w:w="1096"/>
        <w:gridCol w:w="730"/>
        <w:gridCol w:w="890"/>
        <w:gridCol w:w="915"/>
        <w:gridCol w:w="1412"/>
        <w:gridCol w:w="836"/>
        <w:gridCol w:w="1495"/>
        <w:gridCol w:w="474"/>
        <w:gridCol w:w="2247"/>
      </w:tblGrid>
      <w:tr w14:paraId="40C2B258">
        <w:tblPrEx>
          <w:tblCellMar>
            <w:top w:w="0" w:type="dxa"/>
            <w:left w:w="108" w:type="dxa"/>
            <w:bottom w:w="0" w:type="dxa"/>
            <w:right w:w="108" w:type="dxa"/>
          </w:tblCellMar>
        </w:tblPrEx>
        <w:trPr>
          <w:trHeight w:val="1174" w:hRule="exact"/>
          <w:jc w:val="center"/>
        </w:trPr>
        <w:tc>
          <w:tcPr>
            <w:tcW w:w="1096" w:type="dxa"/>
            <w:tcBorders>
              <w:top w:val="single" w:color="000000" w:sz="4" w:space="0"/>
              <w:left w:val="single" w:color="000000" w:sz="4" w:space="0"/>
              <w:bottom w:val="single" w:color="000000" w:sz="4" w:space="0"/>
              <w:right w:val="single" w:color="000000" w:sz="4" w:space="0"/>
            </w:tcBorders>
            <w:vAlign w:val="center"/>
          </w:tcPr>
          <w:p w14:paraId="187FB082">
            <w:pPr>
              <w:pStyle w:val="93"/>
              <w:keepNext w:val="0"/>
              <w:keepLines w:val="0"/>
              <w:pageBreakBefore w:val="0"/>
              <w:widowControl w:val="0"/>
              <w:tabs>
                <w:tab w:val="left" w:pos="692"/>
              </w:tabs>
              <w:kinsoku/>
              <w:wordWrap/>
              <w:overflowPunct w:val="0"/>
              <w:topLinePunct w:val="0"/>
              <w:autoSpaceDE/>
              <w:autoSpaceDN/>
              <w:bidi w:val="0"/>
              <w:adjustRightInd/>
              <w:snapToGrid/>
              <w:spacing w:line="560" w:lineRule="exact"/>
              <w:ind w:left="0" w:right="0" w:firstLine="0"/>
              <w:jc w:val="center"/>
              <w:textAlignment w:val="auto"/>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姓名</w:t>
            </w:r>
          </w:p>
        </w:tc>
        <w:tc>
          <w:tcPr>
            <w:tcW w:w="1620" w:type="dxa"/>
            <w:gridSpan w:val="2"/>
            <w:tcBorders>
              <w:top w:val="single" w:color="000000" w:sz="4" w:space="0"/>
              <w:left w:val="single" w:color="000000" w:sz="4" w:space="0"/>
              <w:bottom w:val="single" w:color="000000" w:sz="4" w:space="0"/>
              <w:right w:val="single" w:color="000000" w:sz="4" w:space="0"/>
            </w:tcBorders>
            <w:vAlign w:val="center"/>
          </w:tcPr>
          <w:p w14:paraId="358B55D3">
            <w:pPr>
              <w:keepNext w:val="0"/>
              <w:keepLines w:val="0"/>
              <w:pageBreakBefore w:val="0"/>
              <w:widowControl w:val="0"/>
              <w:kinsoku/>
              <w:wordWrap/>
              <w:topLinePunct w:val="0"/>
              <w:autoSpaceDE/>
              <w:autoSpaceDN/>
              <w:bidi w:val="0"/>
              <w:adjustRightInd/>
              <w:snapToGrid/>
              <w:spacing w:line="560" w:lineRule="exact"/>
              <w:ind w:left="0" w:right="0" w:firstLine="0"/>
              <w:jc w:val="center"/>
              <w:textAlignment w:val="auto"/>
              <w:rPr>
                <w:rFonts w:ascii="宋体" w:hAnsi="宋体" w:cs="宋体"/>
                <w:color w:val="000000" w:themeColor="text1"/>
                <w:sz w:val="28"/>
                <w:szCs w:val="28"/>
                <w:highlight w:val="none"/>
                <w14:textFill>
                  <w14:solidFill>
                    <w14:schemeClr w14:val="tx1"/>
                  </w14:solidFill>
                </w14:textFill>
              </w:rPr>
            </w:pPr>
          </w:p>
        </w:tc>
        <w:tc>
          <w:tcPr>
            <w:tcW w:w="915" w:type="dxa"/>
            <w:tcBorders>
              <w:top w:val="single" w:color="000000" w:sz="4" w:space="0"/>
              <w:left w:val="single" w:color="000000" w:sz="4" w:space="0"/>
              <w:bottom w:val="single" w:color="000000" w:sz="4" w:space="0"/>
              <w:right w:val="single" w:color="000000" w:sz="4" w:space="0"/>
            </w:tcBorders>
            <w:vAlign w:val="center"/>
          </w:tcPr>
          <w:p w14:paraId="0CF7ADB0">
            <w:pPr>
              <w:pStyle w:val="93"/>
              <w:keepNext w:val="0"/>
              <w:keepLines w:val="0"/>
              <w:pageBreakBefore w:val="0"/>
              <w:widowControl w:val="0"/>
              <w:kinsoku/>
              <w:wordWrap/>
              <w:overflowPunct w:val="0"/>
              <w:topLinePunct w:val="0"/>
              <w:autoSpaceDE/>
              <w:autoSpaceDN/>
              <w:bidi w:val="0"/>
              <w:adjustRightInd/>
              <w:snapToGrid/>
              <w:spacing w:line="560" w:lineRule="exact"/>
              <w:ind w:left="0" w:right="0" w:firstLine="0"/>
              <w:jc w:val="center"/>
              <w:textAlignment w:val="auto"/>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年龄</w:t>
            </w:r>
          </w:p>
        </w:tc>
        <w:tc>
          <w:tcPr>
            <w:tcW w:w="1412" w:type="dxa"/>
            <w:tcBorders>
              <w:top w:val="single" w:color="000000" w:sz="4" w:space="0"/>
              <w:left w:val="single" w:color="000000" w:sz="4" w:space="0"/>
              <w:bottom w:val="single" w:color="000000" w:sz="4" w:space="0"/>
              <w:right w:val="single" w:color="000000" w:sz="4" w:space="0"/>
            </w:tcBorders>
            <w:vAlign w:val="center"/>
          </w:tcPr>
          <w:p w14:paraId="481D628E">
            <w:pPr>
              <w:keepNext w:val="0"/>
              <w:keepLines w:val="0"/>
              <w:pageBreakBefore w:val="0"/>
              <w:widowControl w:val="0"/>
              <w:kinsoku/>
              <w:wordWrap/>
              <w:topLinePunct w:val="0"/>
              <w:autoSpaceDE/>
              <w:autoSpaceDN/>
              <w:bidi w:val="0"/>
              <w:adjustRightInd/>
              <w:snapToGrid/>
              <w:spacing w:line="560" w:lineRule="exact"/>
              <w:ind w:left="0" w:right="0" w:firstLine="0"/>
              <w:jc w:val="center"/>
              <w:textAlignment w:val="auto"/>
              <w:rPr>
                <w:rFonts w:ascii="宋体" w:hAnsi="宋体" w:cs="宋体"/>
                <w:color w:val="000000" w:themeColor="text1"/>
                <w:sz w:val="28"/>
                <w:szCs w:val="28"/>
                <w:highlight w:val="none"/>
                <w14:textFill>
                  <w14:solidFill>
                    <w14:schemeClr w14:val="tx1"/>
                  </w14:solidFill>
                </w14:textFill>
              </w:rPr>
            </w:pPr>
          </w:p>
        </w:tc>
        <w:tc>
          <w:tcPr>
            <w:tcW w:w="2805" w:type="dxa"/>
            <w:gridSpan w:val="3"/>
            <w:tcBorders>
              <w:top w:val="single" w:color="000000" w:sz="4" w:space="0"/>
              <w:left w:val="single" w:color="000000" w:sz="4" w:space="0"/>
              <w:bottom w:val="single" w:color="000000" w:sz="4" w:space="0"/>
              <w:right w:val="single" w:color="000000" w:sz="4" w:space="0"/>
            </w:tcBorders>
            <w:vAlign w:val="center"/>
          </w:tcPr>
          <w:p w14:paraId="0A1E2FCC">
            <w:pPr>
              <w:pStyle w:val="93"/>
              <w:keepNext w:val="0"/>
              <w:keepLines w:val="0"/>
              <w:pageBreakBefore w:val="0"/>
              <w:widowControl w:val="0"/>
              <w:kinsoku/>
              <w:wordWrap/>
              <w:overflowPunct w:val="0"/>
              <w:topLinePunct w:val="0"/>
              <w:autoSpaceDE/>
              <w:autoSpaceDN/>
              <w:bidi w:val="0"/>
              <w:adjustRightInd/>
              <w:snapToGrid/>
              <w:spacing w:line="560" w:lineRule="exact"/>
              <w:ind w:left="0" w:right="0" w:firstLine="0"/>
              <w:jc w:val="center"/>
              <w:textAlignment w:val="auto"/>
              <w:rPr>
                <w:rFonts w:hAnsi="宋体" w:cs="宋体"/>
                <w:color w:val="000000" w:themeColor="text1"/>
                <w:sz w:val="28"/>
                <w:szCs w:val="28"/>
                <w:highlight w:val="none"/>
                <w:lang w:eastAsia="zh-CN"/>
                <w14:textFill>
                  <w14:solidFill>
                    <w14:schemeClr w14:val="tx1"/>
                  </w14:solidFill>
                </w14:textFill>
              </w:rPr>
            </w:pPr>
            <w:r>
              <w:rPr>
                <w:rFonts w:hint="eastAsia" w:hAnsi="宋体" w:cs="宋体"/>
                <w:color w:val="000000" w:themeColor="text1"/>
                <w:sz w:val="28"/>
                <w:szCs w:val="28"/>
                <w:highlight w:val="none"/>
                <w:lang w:eastAsia="zh-CN"/>
                <w14:textFill>
                  <w14:solidFill>
                    <w14:schemeClr w14:val="tx1"/>
                  </w14:solidFill>
                </w14:textFill>
              </w:rPr>
              <w:t>执业资格证书（或上岗证书）名称（如有）</w:t>
            </w:r>
          </w:p>
        </w:tc>
        <w:tc>
          <w:tcPr>
            <w:tcW w:w="2247" w:type="dxa"/>
            <w:tcBorders>
              <w:top w:val="single" w:color="000000" w:sz="4" w:space="0"/>
              <w:left w:val="single" w:color="000000" w:sz="4" w:space="0"/>
              <w:bottom w:val="single" w:color="000000" w:sz="4" w:space="0"/>
              <w:right w:val="single" w:color="000000" w:sz="4" w:space="0"/>
            </w:tcBorders>
            <w:vAlign w:val="center"/>
          </w:tcPr>
          <w:p w14:paraId="37FA89CA">
            <w:pPr>
              <w:keepNext w:val="0"/>
              <w:keepLines w:val="0"/>
              <w:pageBreakBefore w:val="0"/>
              <w:widowControl w:val="0"/>
              <w:kinsoku/>
              <w:wordWrap/>
              <w:topLinePunct w:val="0"/>
              <w:autoSpaceDE/>
              <w:autoSpaceDN/>
              <w:bidi w:val="0"/>
              <w:adjustRightInd/>
              <w:snapToGrid/>
              <w:spacing w:line="560" w:lineRule="exact"/>
              <w:ind w:left="0" w:right="0" w:firstLine="0"/>
              <w:jc w:val="center"/>
              <w:textAlignment w:val="auto"/>
              <w:rPr>
                <w:rFonts w:ascii="宋体" w:hAnsi="宋体" w:cs="宋体"/>
                <w:color w:val="000000" w:themeColor="text1"/>
                <w:sz w:val="28"/>
                <w:szCs w:val="28"/>
                <w:highlight w:val="none"/>
                <w14:textFill>
                  <w14:solidFill>
                    <w14:schemeClr w14:val="tx1"/>
                  </w14:solidFill>
                </w14:textFill>
              </w:rPr>
            </w:pPr>
          </w:p>
        </w:tc>
      </w:tr>
      <w:tr w14:paraId="15CEF413">
        <w:tblPrEx>
          <w:tblCellMar>
            <w:top w:w="0" w:type="dxa"/>
            <w:left w:w="108" w:type="dxa"/>
            <w:bottom w:w="0" w:type="dxa"/>
            <w:right w:w="108" w:type="dxa"/>
          </w:tblCellMar>
        </w:tblPrEx>
        <w:trPr>
          <w:trHeight w:val="950" w:hRule="exact"/>
          <w:jc w:val="center"/>
        </w:trPr>
        <w:tc>
          <w:tcPr>
            <w:tcW w:w="1096" w:type="dxa"/>
            <w:tcBorders>
              <w:top w:val="single" w:color="000000" w:sz="4" w:space="0"/>
              <w:left w:val="single" w:color="000000" w:sz="4" w:space="0"/>
              <w:bottom w:val="single" w:color="000000" w:sz="4" w:space="0"/>
              <w:right w:val="single" w:color="000000" w:sz="4" w:space="0"/>
            </w:tcBorders>
            <w:vAlign w:val="center"/>
          </w:tcPr>
          <w:p w14:paraId="299DA114">
            <w:pPr>
              <w:pStyle w:val="93"/>
              <w:keepNext w:val="0"/>
              <w:keepLines w:val="0"/>
              <w:pageBreakBefore w:val="0"/>
              <w:widowControl w:val="0"/>
              <w:tabs>
                <w:tab w:val="left" w:pos="692"/>
              </w:tabs>
              <w:kinsoku/>
              <w:wordWrap/>
              <w:overflowPunct w:val="0"/>
              <w:topLinePunct w:val="0"/>
              <w:autoSpaceDE/>
              <w:autoSpaceDN/>
              <w:bidi w:val="0"/>
              <w:adjustRightInd/>
              <w:snapToGrid/>
              <w:spacing w:line="560" w:lineRule="exact"/>
              <w:ind w:left="0" w:right="0" w:firstLine="0"/>
              <w:jc w:val="center"/>
              <w:textAlignment w:val="auto"/>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职称</w:t>
            </w:r>
          </w:p>
        </w:tc>
        <w:tc>
          <w:tcPr>
            <w:tcW w:w="1620" w:type="dxa"/>
            <w:gridSpan w:val="2"/>
            <w:tcBorders>
              <w:top w:val="single" w:color="000000" w:sz="4" w:space="0"/>
              <w:left w:val="single" w:color="000000" w:sz="4" w:space="0"/>
              <w:bottom w:val="single" w:color="000000" w:sz="4" w:space="0"/>
              <w:right w:val="single" w:color="000000" w:sz="4" w:space="0"/>
            </w:tcBorders>
            <w:vAlign w:val="center"/>
          </w:tcPr>
          <w:p w14:paraId="1B6DFC2B">
            <w:pPr>
              <w:keepNext w:val="0"/>
              <w:keepLines w:val="0"/>
              <w:pageBreakBefore w:val="0"/>
              <w:widowControl w:val="0"/>
              <w:kinsoku/>
              <w:wordWrap/>
              <w:topLinePunct w:val="0"/>
              <w:autoSpaceDE/>
              <w:autoSpaceDN/>
              <w:bidi w:val="0"/>
              <w:adjustRightInd/>
              <w:snapToGrid/>
              <w:spacing w:line="560" w:lineRule="exact"/>
              <w:ind w:left="0" w:right="0" w:firstLine="0"/>
              <w:jc w:val="center"/>
              <w:textAlignment w:val="auto"/>
              <w:rPr>
                <w:rFonts w:ascii="宋体" w:hAnsi="宋体" w:cs="宋体"/>
                <w:color w:val="000000" w:themeColor="text1"/>
                <w:sz w:val="28"/>
                <w:szCs w:val="28"/>
                <w:highlight w:val="none"/>
                <w14:textFill>
                  <w14:solidFill>
                    <w14:schemeClr w14:val="tx1"/>
                  </w14:solidFill>
                </w14:textFill>
              </w:rPr>
            </w:pPr>
          </w:p>
        </w:tc>
        <w:tc>
          <w:tcPr>
            <w:tcW w:w="915" w:type="dxa"/>
            <w:tcBorders>
              <w:top w:val="single" w:color="000000" w:sz="4" w:space="0"/>
              <w:left w:val="single" w:color="000000" w:sz="4" w:space="0"/>
              <w:bottom w:val="single" w:color="000000" w:sz="4" w:space="0"/>
              <w:right w:val="single" w:color="000000" w:sz="4" w:space="0"/>
            </w:tcBorders>
            <w:vAlign w:val="center"/>
          </w:tcPr>
          <w:p w14:paraId="38F20BF8">
            <w:pPr>
              <w:pStyle w:val="93"/>
              <w:keepNext w:val="0"/>
              <w:keepLines w:val="0"/>
              <w:pageBreakBefore w:val="0"/>
              <w:widowControl w:val="0"/>
              <w:kinsoku/>
              <w:wordWrap/>
              <w:overflowPunct w:val="0"/>
              <w:topLinePunct w:val="0"/>
              <w:autoSpaceDE/>
              <w:autoSpaceDN/>
              <w:bidi w:val="0"/>
              <w:adjustRightInd/>
              <w:snapToGrid/>
              <w:spacing w:line="560" w:lineRule="exact"/>
              <w:ind w:left="0" w:right="0" w:firstLine="0"/>
              <w:jc w:val="center"/>
              <w:textAlignment w:val="auto"/>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学历</w:t>
            </w:r>
          </w:p>
        </w:tc>
        <w:tc>
          <w:tcPr>
            <w:tcW w:w="1412" w:type="dxa"/>
            <w:tcBorders>
              <w:top w:val="single" w:color="000000" w:sz="4" w:space="0"/>
              <w:left w:val="single" w:color="000000" w:sz="4" w:space="0"/>
              <w:bottom w:val="single" w:color="000000" w:sz="4" w:space="0"/>
              <w:right w:val="single" w:color="000000" w:sz="4" w:space="0"/>
            </w:tcBorders>
            <w:vAlign w:val="center"/>
          </w:tcPr>
          <w:p w14:paraId="4280D88D">
            <w:pPr>
              <w:keepNext w:val="0"/>
              <w:keepLines w:val="0"/>
              <w:pageBreakBefore w:val="0"/>
              <w:widowControl w:val="0"/>
              <w:kinsoku/>
              <w:wordWrap/>
              <w:topLinePunct w:val="0"/>
              <w:autoSpaceDE/>
              <w:autoSpaceDN/>
              <w:bidi w:val="0"/>
              <w:adjustRightInd/>
              <w:snapToGrid/>
              <w:spacing w:line="560" w:lineRule="exact"/>
              <w:ind w:left="0" w:right="0" w:firstLine="0"/>
              <w:jc w:val="center"/>
              <w:textAlignment w:val="auto"/>
              <w:rPr>
                <w:rFonts w:ascii="宋体" w:hAnsi="宋体" w:cs="宋体"/>
                <w:color w:val="000000" w:themeColor="text1"/>
                <w:sz w:val="28"/>
                <w:szCs w:val="28"/>
                <w:highlight w:val="none"/>
                <w14:textFill>
                  <w14:solidFill>
                    <w14:schemeClr w14:val="tx1"/>
                  </w14:solidFill>
                </w14:textFill>
              </w:rPr>
            </w:pPr>
          </w:p>
        </w:tc>
        <w:tc>
          <w:tcPr>
            <w:tcW w:w="2805" w:type="dxa"/>
            <w:gridSpan w:val="3"/>
            <w:tcBorders>
              <w:top w:val="single" w:color="000000" w:sz="4" w:space="0"/>
              <w:left w:val="single" w:color="000000" w:sz="4" w:space="0"/>
              <w:bottom w:val="single" w:color="000000" w:sz="4" w:space="0"/>
              <w:right w:val="single" w:color="000000" w:sz="4" w:space="0"/>
            </w:tcBorders>
            <w:vAlign w:val="center"/>
          </w:tcPr>
          <w:p w14:paraId="6746FBC5">
            <w:pPr>
              <w:pStyle w:val="93"/>
              <w:keepNext w:val="0"/>
              <w:keepLines w:val="0"/>
              <w:pageBreakBefore w:val="0"/>
              <w:widowControl w:val="0"/>
              <w:kinsoku/>
              <w:wordWrap/>
              <w:overflowPunct w:val="0"/>
              <w:topLinePunct w:val="0"/>
              <w:autoSpaceDE/>
              <w:autoSpaceDN/>
              <w:bidi w:val="0"/>
              <w:adjustRightInd/>
              <w:snapToGrid/>
              <w:spacing w:line="560" w:lineRule="exact"/>
              <w:ind w:left="0" w:right="0" w:firstLine="0"/>
              <w:jc w:val="center"/>
              <w:textAlignment w:val="auto"/>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拟在本项目任职</w:t>
            </w:r>
          </w:p>
        </w:tc>
        <w:tc>
          <w:tcPr>
            <w:tcW w:w="2247" w:type="dxa"/>
            <w:tcBorders>
              <w:top w:val="single" w:color="000000" w:sz="4" w:space="0"/>
              <w:left w:val="single" w:color="000000" w:sz="4" w:space="0"/>
              <w:bottom w:val="single" w:color="000000" w:sz="4" w:space="0"/>
              <w:right w:val="single" w:color="000000" w:sz="4" w:space="0"/>
            </w:tcBorders>
            <w:vAlign w:val="center"/>
          </w:tcPr>
          <w:p w14:paraId="3FC113AE">
            <w:pPr>
              <w:keepNext w:val="0"/>
              <w:keepLines w:val="0"/>
              <w:pageBreakBefore w:val="0"/>
              <w:widowControl w:val="0"/>
              <w:kinsoku/>
              <w:wordWrap/>
              <w:topLinePunct w:val="0"/>
              <w:autoSpaceDE/>
              <w:autoSpaceDN/>
              <w:bidi w:val="0"/>
              <w:adjustRightInd/>
              <w:snapToGrid/>
              <w:spacing w:line="560" w:lineRule="exact"/>
              <w:ind w:left="0" w:right="0" w:firstLine="0"/>
              <w:jc w:val="center"/>
              <w:textAlignment w:val="auto"/>
              <w:rPr>
                <w:rFonts w:ascii="宋体" w:hAnsi="宋体" w:cs="宋体"/>
                <w:color w:val="000000" w:themeColor="text1"/>
                <w:sz w:val="28"/>
                <w:szCs w:val="28"/>
                <w:highlight w:val="none"/>
                <w14:textFill>
                  <w14:solidFill>
                    <w14:schemeClr w14:val="tx1"/>
                  </w14:solidFill>
                </w14:textFill>
              </w:rPr>
            </w:pPr>
          </w:p>
        </w:tc>
      </w:tr>
      <w:tr w14:paraId="048ED48A">
        <w:tblPrEx>
          <w:tblCellMar>
            <w:top w:w="0" w:type="dxa"/>
            <w:left w:w="108" w:type="dxa"/>
            <w:bottom w:w="0" w:type="dxa"/>
            <w:right w:w="108" w:type="dxa"/>
          </w:tblCellMar>
        </w:tblPrEx>
        <w:trPr>
          <w:trHeight w:val="1002" w:hRule="exact"/>
          <w:jc w:val="center"/>
        </w:trPr>
        <w:tc>
          <w:tcPr>
            <w:tcW w:w="1096" w:type="dxa"/>
            <w:tcBorders>
              <w:top w:val="single" w:color="000000" w:sz="4" w:space="0"/>
              <w:left w:val="single" w:color="000000" w:sz="4" w:space="0"/>
              <w:bottom w:val="single" w:color="000000" w:sz="4" w:space="0"/>
              <w:right w:val="single" w:color="000000" w:sz="4" w:space="0"/>
            </w:tcBorders>
            <w:vAlign w:val="center"/>
          </w:tcPr>
          <w:p w14:paraId="7FF787BE">
            <w:pPr>
              <w:pStyle w:val="93"/>
              <w:keepNext w:val="0"/>
              <w:keepLines w:val="0"/>
              <w:pageBreakBefore w:val="0"/>
              <w:widowControl w:val="0"/>
              <w:kinsoku/>
              <w:wordWrap/>
              <w:overflowPunct w:val="0"/>
              <w:topLinePunct w:val="0"/>
              <w:autoSpaceDE/>
              <w:autoSpaceDN/>
              <w:bidi w:val="0"/>
              <w:adjustRightInd/>
              <w:snapToGrid/>
              <w:spacing w:line="560" w:lineRule="exact"/>
              <w:ind w:left="0" w:right="0" w:firstLine="0"/>
              <w:jc w:val="center"/>
              <w:textAlignment w:val="auto"/>
              <w:rPr>
                <w:rFonts w:hint="eastAsia"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工作</w:t>
            </w:r>
          </w:p>
          <w:p w14:paraId="2095D00F">
            <w:pPr>
              <w:pStyle w:val="93"/>
              <w:keepNext w:val="0"/>
              <w:keepLines w:val="0"/>
              <w:pageBreakBefore w:val="0"/>
              <w:widowControl w:val="0"/>
              <w:kinsoku/>
              <w:wordWrap/>
              <w:overflowPunct w:val="0"/>
              <w:topLinePunct w:val="0"/>
              <w:autoSpaceDE/>
              <w:autoSpaceDN/>
              <w:bidi w:val="0"/>
              <w:adjustRightInd/>
              <w:snapToGrid/>
              <w:spacing w:line="560" w:lineRule="exact"/>
              <w:ind w:left="0" w:right="0" w:firstLine="0"/>
              <w:jc w:val="center"/>
              <w:textAlignment w:val="auto"/>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年限</w:t>
            </w:r>
          </w:p>
        </w:tc>
        <w:tc>
          <w:tcPr>
            <w:tcW w:w="3947" w:type="dxa"/>
            <w:gridSpan w:val="4"/>
            <w:tcBorders>
              <w:top w:val="single" w:color="000000" w:sz="4" w:space="0"/>
              <w:left w:val="single" w:color="000000" w:sz="4" w:space="0"/>
              <w:bottom w:val="single" w:color="000000" w:sz="4" w:space="0"/>
              <w:right w:val="single" w:color="000000" w:sz="4" w:space="0"/>
            </w:tcBorders>
            <w:vAlign w:val="center"/>
          </w:tcPr>
          <w:p w14:paraId="760F8FB6">
            <w:pPr>
              <w:keepNext w:val="0"/>
              <w:keepLines w:val="0"/>
              <w:pageBreakBefore w:val="0"/>
              <w:widowControl w:val="0"/>
              <w:kinsoku/>
              <w:wordWrap/>
              <w:topLinePunct w:val="0"/>
              <w:autoSpaceDE/>
              <w:autoSpaceDN/>
              <w:bidi w:val="0"/>
              <w:adjustRightInd/>
              <w:snapToGrid/>
              <w:spacing w:line="560" w:lineRule="exact"/>
              <w:ind w:left="0" w:right="0" w:firstLine="0"/>
              <w:jc w:val="center"/>
              <w:textAlignment w:val="auto"/>
              <w:rPr>
                <w:rFonts w:ascii="宋体" w:hAnsi="宋体" w:cs="宋体"/>
                <w:color w:val="000000" w:themeColor="text1"/>
                <w:sz w:val="28"/>
                <w:szCs w:val="28"/>
                <w:highlight w:val="none"/>
                <w14:textFill>
                  <w14:solidFill>
                    <w14:schemeClr w14:val="tx1"/>
                  </w14:solidFill>
                </w14:textFill>
              </w:rPr>
            </w:pPr>
          </w:p>
        </w:tc>
        <w:tc>
          <w:tcPr>
            <w:tcW w:w="2805" w:type="dxa"/>
            <w:gridSpan w:val="3"/>
            <w:tcBorders>
              <w:top w:val="single" w:color="000000" w:sz="4" w:space="0"/>
              <w:left w:val="single" w:color="000000" w:sz="4" w:space="0"/>
              <w:bottom w:val="single" w:color="000000" w:sz="4" w:space="0"/>
              <w:right w:val="single" w:color="000000" w:sz="4" w:space="0"/>
            </w:tcBorders>
            <w:vAlign w:val="center"/>
          </w:tcPr>
          <w:p w14:paraId="5B0BE8E0">
            <w:pPr>
              <w:pStyle w:val="93"/>
              <w:keepNext w:val="0"/>
              <w:keepLines w:val="0"/>
              <w:pageBreakBefore w:val="0"/>
              <w:widowControl w:val="0"/>
              <w:kinsoku/>
              <w:wordWrap/>
              <w:overflowPunct w:val="0"/>
              <w:topLinePunct w:val="0"/>
              <w:autoSpaceDE/>
              <w:autoSpaceDN/>
              <w:bidi w:val="0"/>
              <w:adjustRightInd/>
              <w:snapToGrid/>
              <w:spacing w:line="560" w:lineRule="exact"/>
              <w:ind w:left="0" w:right="0" w:firstLine="0"/>
              <w:jc w:val="center"/>
              <w:textAlignment w:val="auto"/>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从事该岗位工作年限</w:t>
            </w:r>
          </w:p>
        </w:tc>
        <w:tc>
          <w:tcPr>
            <w:tcW w:w="2247" w:type="dxa"/>
            <w:tcBorders>
              <w:top w:val="single" w:color="000000" w:sz="4" w:space="0"/>
              <w:left w:val="single" w:color="000000" w:sz="4" w:space="0"/>
              <w:bottom w:val="single" w:color="000000" w:sz="4" w:space="0"/>
              <w:right w:val="single" w:color="000000" w:sz="4" w:space="0"/>
            </w:tcBorders>
            <w:vAlign w:val="center"/>
          </w:tcPr>
          <w:p w14:paraId="702B5A91">
            <w:pPr>
              <w:keepNext w:val="0"/>
              <w:keepLines w:val="0"/>
              <w:pageBreakBefore w:val="0"/>
              <w:widowControl w:val="0"/>
              <w:kinsoku/>
              <w:wordWrap/>
              <w:topLinePunct w:val="0"/>
              <w:autoSpaceDE/>
              <w:autoSpaceDN/>
              <w:bidi w:val="0"/>
              <w:adjustRightInd/>
              <w:snapToGrid/>
              <w:spacing w:line="560" w:lineRule="exact"/>
              <w:ind w:left="0" w:right="0" w:firstLine="0"/>
              <w:jc w:val="center"/>
              <w:textAlignment w:val="auto"/>
              <w:rPr>
                <w:rFonts w:ascii="宋体" w:hAnsi="宋体" w:cs="宋体"/>
                <w:color w:val="000000" w:themeColor="text1"/>
                <w:sz w:val="28"/>
                <w:szCs w:val="28"/>
                <w:highlight w:val="none"/>
                <w14:textFill>
                  <w14:solidFill>
                    <w14:schemeClr w14:val="tx1"/>
                  </w14:solidFill>
                </w14:textFill>
              </w:rPr>
            </w:pPr>
          </w:p>
        </w:tc>
      </w:tr>
      <w:tr w14:paraId="04004F21">
        <w:tblPrEx>
          <w:tblCellMar>
            <w:top w:w="0" w:type="dxa"/>
            <w:left w:w="108" w:type="dxa"/>
            <w:bottom w:w="0" w:type="dxa"/>
            <w:right w:w="108" w:type="dxa"/>
          </w:tblCellMar>
        </w:tblPrEx>
        <w:trPr>
          <w:trHeight w:val="1146" w:hRule="exact"/>
          <w:jc w:val="center"/>
        </w:trPr>
        <w:tc>
          <w:tcPr>
            <w:tcW w:w="1096" w:type="dxa"/>
            <w:tcBorders>
              <w:top w:val="single" w:color="000000" w:sz="4" w:space="0"/>
              <w:left w:val="single" w:color="000000" w:sz="4" w:space="0"/>
              <w:bottom w:val="single" w:color="000000" w:sz="4" w:space="0"/>
              <w:right w:val="single" w:color="000000" w:sz="4" w:space="0"/>
            </w:tcBorders>
            <w:vAlign w:val="center"/>
          </w:tcPr>
          <w:p w14:paraId="589EADAF">
            <w:pPr>
              <w:pStyle w:val="93"/>
              <w:keepNext w:val="0"/>
              <w:keepLines w:val="0"/>
              <w:pageBreakBefore w:val="0"/>
              <w:widowControl w:val="0"/>
              <w:kinsoku/>
              <w:wordWrap/>
              <w:overflowPunct w:val="0"/>
              <w:topLinePunct w:val="0"/>
              <w:autoSpaceDE/>
              <w:autoSpaceDN/>
              <w:bidi w:val="0"/>
              <w:adjustRightInd/>
              <w:snapToGrid/>
              <w:spacing w:line="560" w:lineRule="exact"/>
              <w:ind w:left="0" w:right="0" w:firstLine="0"/>
              <w:jc w:val="center"/>
              <w:textAlignment w:val="auto"/>
              <w:rPr>
                <w:rFonts w:hint="eastAsia"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毕业</w:t>
            </w:r>
          </w:p>
          <w:p w14:paraId="2DCDC5F9">
            <w:pPr>
              <w:pStyle w:val="93"/>
              <w:keepNext w:val="0"/>
              <w:keepLines w:val="0"/>
              <w:pageBreakBefore w:val="0"/>
              <w:widowControl w:val="0"/>
              <w:kinsoku/>
              <w:wordWrap/>
              <w:overflowPunct w:val="0"/>
              <w:topLinePunct w:val="0"/>
              <w:autoSpaceDE/>
              <w:autoSpaceDN/>
              <w:bidi w:val="0"/>
              <w:adjustRightInd/>
              <w:snapToGrid/>
              <w:spacing w:line="560" w:lineRule="exact"/>
              <w:ind w:left="0" w:right="0" w:firstLine="0"/>
              <w:jc w:val="center"/>
              <w:textAlignment w:val="auto"/>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学校</w:t>
            </w:r>
          </w:p>
        </w:tc>
        <w:tc>
          <w:tcPr>
            <w:tcW w:w="8999" w:type="dxa"/>
            <w:gridSpan w:val="8"/>
            <w:tcBorders>
              <w:top w:val="single" w:color="000000" w:sz="4" w:space="0"/>
              <w:left w:val="single" w:color="000000" w:sz="4" w:space="0"/>
              <w:bottom w:val="single" w:color="000000" w:sz="4" w:space="0"/>
              <w:right w:val="single" w:color="000000" w:sz="4" w:space="0"/>
            </w:tcBorders>
            <w:vAlign w:val="center"/>
          </w:tcPr>
          <w:p w14:paraId="043850DB">
            <w:pPr>
              <w:pStyle w:val="93"/>
              <w:keepNext w:val="0"/>
              <w:keepLines w:val="0"/>
              <w:pageBreakBefore w:val="0"/>
              <w:widowControl w:val="0"/>
              <w:tabs>
                <w:tab w:val="left" w:pos="3357"/>
                <w:tab w:val="left" w:pos="4617"/>
              </w:tabs>
              <w:kinsoku/>
              <w:wordWrap/>
              <w:overflowPunct w:val="0"/>
              <w:topLinePunct w:val="0"/>
              <w:autoSpaceDE/>
              <w:autoSpaceDN/>
              <w:bidi w:val="0"/>
              <w:adjustRightInd/>
              <w:snapToGrid/>
              <w:spacing w:line="560" w:lineRule="exact"/>
              <w:ind w:left="0" w:right="0" w:firstLine="0"/>
              <w:jc w:val="center"/>
              <w:textAlignment w:val="auto"/>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年毕业于</w:t>
            </w:r>
            <w:r>
              <w:rPr>
                <w:rFonts w:hint="eastAsia" w:hAnsi="宋体" w:cs="宋体"/>
                <w:color w:val="000000" w:themeColor="text1"/>
                <w:sz w:val="28"/>
                <w:szCs w:val="28"/>
                <w:highlight w:val="none"/>
                <w14:textFill>
                  <w14:solidFill>
                    <w14:schemeClr w14:val="tx1"/>
                  </w14:solidFill>
                </w14:textFill>
              </w:rPr>
              <w:tab/>
            </w:r>
            <w:r>
              <w:rPr>
                <w:rFonts w:hint="eastAsia" w:hAnsi="宋体" w:cs="宋体"/>
                <w:color w:val="000000" w:themeColor="text1"/>
                <w:sz w:val="28"/>
                <w:szCs w:val="28"/>
                <w:highlight w:val="none"/>
                <w14:textFill>
                  <w14:solidFill>
                    <w14:schemeClr w14:val="tx1"/>
                  </w14:solidFill>
                </w14:textFill>
              </w:rPr>
              <w:t>学校</w:t>
            </w:r>
            <w:r>
              <w:rPr>
                <w:rFonts w:hint="eastAsia" w:hAnsi="宋体" w:cs="宋体"/>
                <w:color w:val="000000" w:themeColor="text1"/>
                <w:sz w:val="28"/>
                <w:szCs w:val="28"/>
                <w:highlight w:val="none"/>
                <w14:textFill>
                  <w14:solidFill>
                    <w14:schemeClr w14:val="tx1"/>
                  </w14:solidFill>
                </w14:textFill>
              </w:rPr>
              <w:tab/>
            </w:r>
            <w:r>
              <w:rPr>
                <w:rFonts w:hint="eastAsia" w:hAnsi="宋体" w:cs="宋体"/>
                <w:color w:val="000000" w:themeColor="text1"/>
                <w:sz w:val="28"/>
                <w:szCs w:val="28"/>
                <w:highlight w:val="none"/>
                <w:lang w:val="en-US" w:eastAsia="zh-CN"/>
                <w14:textFill>
                  <w14:solidFill>
                    <w14:schemeClr w14:val="tx1"/>
                  </w14:solidFill>
                </w14:textFill>
              </w:rPr>
              <w:t xml:space="preserve">   </w:t>
            </w:r>
            <w:r>
              <w:rPr>
                <w:rFonts w:hint="eastAsia" w:hAnsi="宋体" w:cs="宋体"/>
                <w:color w:val="000000" w:themeColor="text1"/>
                <w:sz w:val="28"/>
                <w:szCs w:val="28"/>
                <w:highlight w:val="none"/>
                <w14:textFill>
                  <w14:solidFill>
                    <w14:schemeClr w14:val="tx1"/>
                  </w14:solidFill>
                </w14:textFill>
              </w:rPr>
              <w:t>专业</w:t>
            </w:r>
          </w:p>
        </w:tc>
      </w:tr>
      <w:tr w14:paraId="640B67F8">
        <w:tblPrEx>
          <w:tblCellMar>
            <w:top w:w="0" w:type="dxa"/>
            <w:left w:w="108" w:type="dxa"/>
            <w:bottom w:w="0" w:type="dxa"/>
            <w:right w:w="108" w:type="dxa"/>
          </w:tblCellMar>
        </w:tblPrEx>
        <w:trPr>
          <w:trHeight w:val="642" w:hRule="atLeast"/>
          <w:jc w:val="center"/>
        </w:trPr>
        <w:tc>
          <w:tcPr>
            <w:tcW w:w="10095" w:type="dxa"/>
            <w:gridSpan w:val="9"/>
            <w:tcBorders>
              <w:top w:val="single" w:color="000000" w:sz="4" w:space="0"/>
              <w:left w:val="single" w:color="000000" w:sz="4" w:space="0"/>
              <w:bottom w:val="single" w:color="000000" w:sz="4" w:space="0"/>
              <w:right w:val="single" w:color="000000" w:sz="4" w:space="0"/>
            </w:tcBorders>
            <w:vAlign w:val="center"/>
          </w:tcPr>
          <w:p w14:paraId="1FF3217B">
            <w:pPr>
              <w:pStyle w:val="93"/>
              <w:keepNext w:val="0"/>
              <w:keepLines w:val="0"/>
              <w:pageBreakBefore w:val="0"/>
              <w:widowControl w:val="0"/>
              <w:kinsoku/>
              <w:wordWrap/>
              <w:overflowPunct w:val="0"/>
              <w:topLinePunct w:val="0"/>
              <w:autoSpaceDE/>
              <w:autoSpaceDN/>
              <w:bidi w:val="0"/>
              <w:adjustRightInd/>
              <w:snapToGrid/>
              <w:spacing w:line="560" w:lineRule="exact"/>
              <w:ind w:left="0" w:right="0" w:firstLine="0"/>
              <w:jc w:val="center"/>
              <w:textAlignment w:val="auto"/>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主要工作经历</w:t>
            </w:r>
          </w:p>
        </w:tc>
      </w:tr>
      <w:tr w14:paraId="36E229A0">
        <w:tblPrEx>
          <w:tblCellMar>
            <w:top w:w="0" w:type="dxa"/>
            <w:left w:w="108" w:type="dxa"/>
            <w:bottom w:w="0" w:type="dxa"/>
            <w:right w:w="108" w:type="dxa"/>
          </w:tblCellMar>
        </w:tblPrEx>
        <w:trPr>
          <w:trHeight w:val="662" w:hRule="exact"/>
          <w:jc w:val="center"/>
        </w:trPr>
        <w:tc>
          <w:tcPr>
            <w:tcW w:w="1826" w:type="dxa"/>
            <w:gridSpan w:val="2"/>
            <w:tcBorders>
              <w:top w:val="single" w:color="000000" w:sz="4" w:space="0"/>
              <w:left w:val="single" w:color="000000" w:sz="4" w:space="0"/>
              <w:bottom w:val="single" w:color="000000" w:sz="4" w:space="0"/>
              <w:right w:val="single" w:color="000000" w:sz="4" w:space="0"/>
            </w:tcBorders>
            <w:vAlign w:val="center"/>
          </w:tcPr>
          <w:p w14:paraId="638F871D">
            <w:pPr>
              <w:pStyle w:val="93"/>
              <w:keepNext w:val="0"/>
              <w:keepLines w:val="0"/>
              <w:pageBreakBefore w:val="0"/>
              <w:widowControl w:val="0"/>
              <w:tabs>
                <w:tab w:val="left" w:pos="871"/>
              </w:tabs>
              <w:kinsoku/>
              <w:wordWrap/>
              <w:overflowPunct w:val="0"/>
              <w:topLinePunct w:val="0"/>
              <w:autoSpaceDE/>
              <w:autoSpaceDN/>
              <w:bidi w:val="0"/>
              <w:adjustRightInd/>
              <w:snapToGrid/>
              <w:spacing w:line="560" w:lineRule="exact"/>
              <w:ind w:left="0" w:right="0" w:firstLine="0"/>
              <w:jc w:val="center"/>
              <w:textAlignment w:val="auto"/>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时</w:t>
            </w:r>
            <w:r>
              <w:rPr>
                <w:rFonts w:hint="eastAsia" w:hAnsi="宋体" w:cs="宋体"/>
                <w:color w:val="000000" w:themeColor="text1"/>
                <w:sz w:val="28"/>
                <w:szCs w:val="28"/>
                <w:highlight w:val="none"/>
                <w14:textFill>
                  <w14:solidFill>
                    <w14:schemeClr w14:val="tx1"/>
                  </w14:solidFill>
                </w14:textFill>
              </w:rPr>
              <w:tab/>
            </w:r>
            <w:r>
              <w:rPr>
                <w:rFonts w:hint="eastAsia" w:hAnsi="宋体" w:cs="宋体"/>
                <w:color w:val="000000" w:themeColor="text1"/>
                <w:sz w:val="28"/>
                <w:szCs w:val="28"/>
                <w:highlight w:val="none"/>
                <w14:textFill>
                  <w14:solidFill>
                    <w14:schemeClr w14:val="tx1"/>
                  </w14:solidFill>
                </w14:textFill>
              </w:rPr>
              <w:t>间</w:t>
            </w:r>
          </w:p>
        </w:tc>
        <w:tc>
          <w:tcPr>
            <w:tcW w:w="4053" w:type="dxa"/>
            <w:gridSpan w:val="4"/>
            <w:tcBorders>
              <w:top w:val="single" w:color="000000" w:sz="4" w:space="0"/>
              <w:left w:val="single" w:color="000000" w:sz="4" w:space="0"/>
              <w:bottom w:val="single" w:color="000000" w:sz="4" w:space="0"/>
              <w:right w:val="single" w:color="000000" w:sz="4" w:space="0"/>
            </w:tcBorders>
            <w:vAlign w:val="center"/>
          </w:tcPr>
          <w:p w14:paraId="4BED92BB">
            <w:pPr>
              <w:pStyle w:val="93"/>
              <w:keepNext w:val="0"/>
              <w:keepLines w:val="0"/>
              <w:pageBreakBefore w:val="0"/>
              <w:widowControl w:val="0"/>
              <w:kinsoku/>
              <w:wordWrap/>
              <w:overflowPunct w:val="0"/>
              <w:topLinePunct w:val="0"/>
              <w:autoSpaceDE/>
              <w:autoSpaceDN/>
              <w:bidi w:val="0"/>
              <w:adjustRightInd/>
              <w:snapToGrid/>
              <w:spacing w:line="560" w:lineRule="exact"/>
              <w:ind w:left="0" w:right="0" w:firstLine="0"/>
              <w:jc w:val="center"/>
              <w:textAlignment w:val="auto"/>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参加过的类似项目</w:t>
            </w:r>
          </w:p>
        </w:tc>
        <w:tc>
          <w:tcPr>
            <w:tcW w:w="1495" w:type="dxa"/>
            <w:tcBorders>
              <w:top w:val="single" w:color="000000" w:sz="4" w:space="0"/>
              <w:left w:val="single" w:color="000000" w:sz="4" w:space="0"/>
              <w:bottom w:val="single" w:color="000000" w:sz="4" w:space="0"/>
              <w:right w:val="single" w:color="000000" w:sz="4" w:space="0"/>
            </w:tcBorders>
            <w:vAlign w:val="center"/>
          </w:tcPr>
          <w:p w14:paraId="4AB90A55">
            <w:pPr>
              <w:pStyle w:val="93"/>
              <w:keepNext w:val="0"/>
              <w:keepLines w:val="0"/>
              <w:pageBreakBefore w:val="0"/>
              <w:widowControl w:val="0"/>
              <w:kinsoku/>
              <w:wordWrap/>
              <w:overflowPunct w:val="0"/>
              <w:topLinePunct w:val="0"/>
              <w:autoSpaceDE/>
              <w:autoSpaceDN/>
              <w:bidi w:val="0"/>
              <w:adjustRightInd/>
              <w:snapToGrid/>
              <w:spacing w:line="560" w:lineRule="exact"/>
              <w:ind w:left="0" w:right="0" w:firstLine="0"/>
              <w:jc w:val="center"/>
              <w:textAlignment w:val="auto"/>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担任职务</w:t>
            </w:r>
          </w:p>
        </w:tc>
        <w:tc>
          <w:tcPr>
            <w:tcW w:w="2721" w:type="dxa"/>
            <w:gridSpan w:val="2"/>
            <w:tcBorders>
              <w:top w:val="single" w:color="000000" w:sz="4" w:space="0"/>
              <w:left w:val="single" w:color="000000" w:sz="4" w:space="0"/>
              <w:bottom w:val="single" w:color="000000" w:sz="4" w:space="0"/>
              <w:right w:val="single" w:color="000000" w:sz="4" w:space="0"/>
            </w:tcBorders>
            <w:vAlign w:val="center"/>
          </w:tcPr>
          <w:p w14:paraId="1A963A4E">
            <w:pPr>
              <w:pStyle w:val="93"/>
              <w:keepNext w:val="0"/>
              <w:keepLines w:val="0"/>
              <w:pageBreakBefore w:val="0"/>
              <w:widowControl w:val="0"/>
              <w:kinsoku/>
              <w:wordWrap/>
              <w:overflowPunct w:val="0"/>
              <w:topLinePunct w:val="0"/>
              <w:autoSpaceDE/>
              <w:autoSpaceDN/>
              <w:bidi w:val="0"/>
              <w:adjustRightInd/>
              <w:snapToGrid/>
              <w:spacing w:line="560" w:lineRule="exact"/>
              <w:ind w:left="0" w:right="0" w:firstLine="0"/>
              <w:jc w:val="center"/>
              <w:textAlignment w:val="auto"/>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lang w:eastAsia="zh-CN"/>
                <w14:textFill>
                  <w14:solidFill>
                    <w14:schemeClr w14:val="tx1"/>
                  </w14:solidFill>
                </w14:textFill>
              </w:rPr>
              <w:t>采购</w:t>
            </w:r>
            <w:r>
              <w:rPr>
                <w:rFonts w:hint="eastAsia" w:hAnsi="宋体" w:cs="宋体"/>
                <w:color w:val="000000" w:themeColor="text1"/>
                <w:sz w:val="28"/>
                <w:szCs w:val="28"/>
                <w:highlight w:val="none"/>
                <w14:textFill>
                  <w14:solidFill>
                    <w14:schemeClr w14:val="tx1"/>
                  </w14:solidFill>
                </w14:textFill>
              </w:rPr>
              <w:t>人</w:t>
            </w:r>
          </w:p>
        </w:tc>
      </w:tr>
      <w:tr w14:paraId="7388763D">
        <w:tblPrEx>
          <w:tblCellMar>
            <w:top w:w="0" w:type="dxa"/>
            <w:left w:w="108" w:type="dxa"/>
            <w:bottom w:w="0" w:type="dxa"/>
            <w:right w:w="108" w:type="dxa"/>
          </w:tblCellMar>
        </w:tblPrEx>
        <w:trPr>
          <w:trHeight w:val="648" w:hRule="exact"/>
          <w:jc w:val="center"/>
        </w:trPr>
        <w:tc>
          <w:tcPr>
            <w:tcW w:w="1826" w:type="dxa"/>
            <w:gridSpan w:val="2"/>
            <w:tcBorders>
              <w:top w:val="single" w:color="000000" w:sz="4" w:space="0"/>
              <w:left w:val="single" w:color="000000" w:sz="4" w:space="0"/>
              <w:bottom w:val="single" w:color="000000" w:sz="4" w:space="0"/>
              <w:right w:val="single" w:color="000000" w:sz="4" w:space="0"/>
            </w:tcBorders>
            <w:vAlign w:val="center"/>
          </w:tcPr>
          <w:p w14:paraId="5896260B">
            <w:pPr>
              <w:keepNext w:val="0"/>
              <w:keepLines w:val="0"/>
              <w:pageBreakBefore w:val="0"/>
              <w:widowControl w:val="0"/>
              <w:kinsoku/>
              <w:wordWrap/>
              <w:topLinePunct w:val="0"/>
              <w:autoSpaceDE/>
              <w:autoSpaceDN/>
              <w:bidi w:val="0"/>
              <w:adjustRightInd/>
              <w:snapToGrid/>
              <w:spacing w:line="560" w:lineRule="exact"/>
              <w:ind w:left="0" w:right="0" w:firstLine="0"/>
              <w:jc w:val="center"/>
              <w:textAlignment w:val="auto"/>
              <w:rPr>
                <w:rFonts w:ascii="宋体" w:hAnsi="宋体" w:cs="宋体"/>
                <w:color w:val="000000" w:themeColor="text1"/>
                <w:sz w:val="28"/>
                <w:szCs w:val="28"/>
                <w:highlight w:val="none"/>
                <w14:textFill>
                  <w14:solidFill>
                    <w14:schemeClr w14:val="tx1"/>
                  </w14:solidFill>
                </w14:textFill>
              </w:rPr>
            </w:pPr>
          </w:p>
        </w:tc>
        <w:tc>
          <w:tcPr>
            <w:tcW w:w="4053" w:type="dxa"/>
            <w:gridSpan w:val="4"/>
            <w:tcBorders>
              <w:top w:val="single" w:color="000000" w:sz="4" w:space="0"/>
              <w:left w:val="single" w:color="000000" w:sz="4" w:space="0"/>
              <w:bottom w:val="single" w:color="000000" w:sz="4" w:space="0"/>
              <w:right w:val="single" w:color="000000" w:sz="4" w:space="0"/>
            </w:tcBorders>
            <w:vAlign w:val="center"/>
          </w:tcPr>
          <w:p w14:paraId="7AF2A2C2">
            <w:pPr>
              <w:keepNext w:val="0"/>
              <w:keepLines w:val="0"/>
              <w:pageBreakBefore w:val="0"/>
              <w:widowControl w:val="0"/>
              <w:kinsoku/>
              <w:wordWrap/>
              <w:topLinePunct w:val="0"/>
              <w:autoSpaceDE/>
              <w:autoSpaceDN/>
              <w:bidi w:val="0"/>
              <w:adjustRightInd/>
              <w:snapToGrid/>
              <w:spacing w:line="560" w:lineRule="exact"/>
              <w:ind w:left="0" w:right="0" w:firstLine="0"/>
              <w:jc w:val="center"/>
              <w:textAlignment w:val="auto"/>
              <w:rPr>
                <w:rFonts w:ascii="宋体" w:hAnsi="宋体" w:cs="宋体"/>
                <w:color w:val="000000" w:themeColor="text1"/>
                <w:sz w:val="28"/>
                <w:szCs w:val="28"/>
                <w:highlight w:val="none"/>
                <w14:textFill>
                  <w14:solidFill>
                    <w14:schemeClr w14:val="tx1"/>
                  </w14:solidFill>
                </w14:textFill>
              </w:rPr>
            </w:pPr>
          </w:p>
        </w:tc>
        <w:tc>
          <w:tcPr>
            <w:tcW w:w="1495" w:type="dxa"/>
            <w:tcBorders>
              <w:top w:val="single" w:color="000000" w:sz="4" w:space="0"/>
              <w:left w:val="single" w:color="000000" w:sz="4" w:space="0"/>
              <w:bottom w:val="single" w:color="000000" w:sz="4" w:space="0"/>
              <w:right w:val="single" w:color="000000" w:sz="4" w:space="0"/>
            </w:tcBorders>
            <w:vAlign w:val="center"/>
          </w:tcPr>
          <w:p w14:paraId="16B5C368">
            <w:pPr>
              <w:keepNext w:val="0"/>
              <w:keepLines w:val="0"/>
              <w:pageBreakBefore w:val="0"/>
              <w:widowControl w:val="0"/>
              <w:kinsoku/>
              <w:wordWrap/>
              <w:topLinePunct w:val="0"/>
              <w:autoSpaceDE/>
              <w:autoSpaceDN/>
              <w:bidi w:val="0"/>
              <w:adjustRightInd/>
              <w:snapToGrid/>
              <w:spacing w:line="560" w:lineRule="exact"/>
              <w:ind w:left="0" w:right="0" w:firstLine="0"/>
              <w:jc w:val="center"/>
              <w:textAlignment w:val="auto"/>
              <w:rPr>
                <w:rFonts w:ascii="宋体" w:hAnsi="宋体" w:cs="宋体"/>
                <w:color w:val="000000" w:themeColor="text1"/>
                <w:sz w:val="28"/>
                <w:szCs w:val="28"/>
                <w:highlight w:val="none"/>
                <w14:textFill>
                  <w14:solidFill>
                    <w14:schemeClr w14:val="tx1"/>
                  </w14:solidFill>
                </w14:textFill>
              </w:rPr>
            </w:pPr>
          </w:p>
        </w:tc>
        <w:tc>
          <w:tcPr>
            <w:tcW w:w="2721" w:type="dxa"/>
            <w:gridSpan w:val="2"/>
            <w:tcBorders>
              <w:top w:val="single" w:color="000000" w:sz="4" w:space="0"/>
              <w:left w:val="single" w:color="000000" w:sz="4" w:space="0"/>
              <w:bottom w:val="single" w:color="000000" w:sz="4" w:space="0"/>
              <w:right w:val="single" w:color="000000" w:sz="4" w:space="0"/>
            </w:tcBorders>
            <w:vAlign w:val="center"/>
          </w:tcPr>
          <w:p w14:paraId="5A545C5B">
            <w:pPr>
              <w:keepNext w:val="0"/>
              <w:keepLines w:val="0"/>
              <w:pageBreakBefore w:val="0"/>
              <w:widowControl w:val="0"/>
              <w:kinsoku/>
              <w:wordWrap/>
              <w:topLinePunct w:val="0"/>
              <w:autoSpaceDE/>
              <w:autoSpaceDN/>
              <w:bidi w:val="0"/>
              <w:adjustRightInd/>
              <w:snapToGrid/>
              <w:spacing w:line="560" w:lineRule="exact"/>
              <w:ind w:left="0" w:right="0" w:firstLine="0"/>
              <w:jc w:val="center"/>
              <w:textAlignment w:val="auto"/>
              <w:rPr>
                <w:rFonts w:ascii="宋体" w:hAnsi="宋体" w:cs="宋体"/>
                <w:color w:val="000000" w:themeColor="text1"/>
                <w:sz w:val="28"/>
                <w:szCs w:val="28"/>
                <w:highlight w:val="none"/>
                <w14:textFill>
                  <w14:solidFill>
                    <w14:schemeClr w14:val="tx1"/>
                  </w14:solidFill>
                </w14:textFill>
              </w:rPr>
            </w:pPr>
          </w:p>
        </w:tc>
      </w:tr>
      <w:tr w14:paraId="4F04EFC3">
        <w:tblPrEx>
          <w:tblCellMar>
            <w:top w:w="0" w:type="dxa"/>
            <w:left w:w="108" w:type="dxa"/>
            <w:bottom w:w="0" w:type="dxa"/>
            <w:right w:w="108" w:type="dxa"/>
          </w:tblCellMar>
        </w:tblPrEx>
        <w:trPr>
          <w:trHeight w:val="647" w:hRule="exact"/>
          <w:jc w:val="center"/>
        </w:trPr>
        <w:tc>
          <w:tcPr>
            <w:tcW w:w="1826" w:type="dxa"/>
            <w:gridSpan w:val="2"/>
            <w:tcBorders>
              <w:top w:val="single" w:color="000000" w:sz="4" w:space="0"/>
              <w:left w:val="single" w:color="000000" w:sz="4" w:space="0"/>
              <w:bottom w:val="single" w:color="000000" w:sz="4" w:space="0"/>
              <w:right w:val="single" w:color="000000" w:sz="4" w:space="0"/>
            </w:tcBorders>
            <w:vAlign w:val="center"/>
          </w:tcPr>
          <w:p w14:paraId="273A0118">
            <w:pPr>
              <w:keepNext w:val="0"/>
              <w:keepLines w:val="0"/>
              <w:pageBreakBefore w:val="0"/>
              <w:widowControl w:val="0"/>
              <w:kinsoku/>
              <w:wordWrap/>
              <w:topLinePunct w:val="0"/>
              <w:autoSpaceDE/>
              <w:autoSpaceDN/>
              <w:bidi w:val="0"/>
              <w:adjustRightInd/>
              <w:snapToGrid/>
              <w:spacing w:line="560" w:lineRule="exact"/>
              <w:ind w:left="0" w:right="0" w:firstLine="0"/>
              <w:jc w:val="center"/>
              <w:textAlignment w:val="auto"/>
              <w:rPr>
                <w:rFonts w:ascii="宋体" w:hAnsi="宋体" w:cs="宋体"/>
                <w:color w:val="000000" w:themeColor="text1"/>
                <w:sz w:val="28"/>
                <w:szCs w:val="28"/>
                <w:highlight w:val="none"/>
                <w14:textFill>
                  <w14:solidFill>
                    <w14:schemeClr w14:val="tx1"/>
                  </w14:solidFill>
                </w14:textFill>
              </w:rPr>
            </w:pPr>
          </w:p>
        </w:tc>
        <w:tc>
          <w:tcPr>
            <w:tcW w:w="4053" w:type="dxa"/>
            <w:gridSpan w:val="4"/>
            <w:tcBorders>
              <w:top w:val="single" w:color="000000" w:sz="4" w:space="0"/>
              <w:left w:val="single" w:color="000000" w:sz="4" w:space="0"/>
              <w:bottom w:val="single" w:color="000000" w:sz="4" w:space="0"/>
              <w:right w:val="single" w:color="000000" w:sz="4" w:space="0"/>
            </w:tcBorders>
            <w:vAlign w:val="center"/>
          </w:tcPr>
          <w:p w14:paraId="05845FAE">
            <w:pPr>
              <w:keepNext w:val="0"/>
              <w:keepLines w:val="0"/>
              <w:pageBreakBefore w:val="0"/>
              <w:widowControl w:val="0"/>
              <w:kinsoku/>
              <w:wordWrap/>
              <w:topLinePunct w:val="0"/>
              <w:autoSpaceDE/>
              <w:autoSpaceDN/>
              <w:bidi w:val="0"/>
              <w:adjustRightInd/>
              <w:snapToGrid/>
              <w:spacing w:line="560" w:lineRule="exact"/>
              <w:ind w:left="0" w:right="0" w:firstLine="0"/>
              <w:jc w:val="center"/>
              <w:textAlignment w:val="auto"/>
              <w:rPr>
                <w:rFonts w:ascii="宋体" w:hAnsi="宋体" w:cs="宋体"/>
                <w:color w:val="000000" w:themeColor="text1"/>
                <w:sz w:val="28"/>
                <w:szCs w:val="28"/>
                <w:highlight w:val="none"/>
                <w14:textFill>
                  <w14:solidFill>
                    <w14:schemeClr w14:val="tx1"/>
                  </w14:solidFill>
                </w14:textFill>
              </w:rPr>
            </w:pPr>
          </w:p>
        </w:tc>
        <w:tc>
          <w:tcPr>
            <w:tcW w:w="1495" w:type="dxa"/>
            <w:tcBorders>
              <w:top w:val="single" w:color="000000" w:sz="4" w:space="0"/>
              <w:left w:val="single" w:color="000000" w:sz="4" w:space="0"/>
              <w:bottom w:val="single" w:color="000000" w:sz="4" w:space="0"/>
              <w:right w:val="single" w:color="000000" w:sz="4" w:space="0"/>
            </w:tcBorders>
            <w:vAlign w:val="center"/>
          </w:tcPr>
          <w:p w14:paraId="032AFB27">
            <w:pPr>
              <w:keepNext w:val="0"/>
              <w:keepLines w:val="0"/>
              <w:pageBreakBefore w:val="0"/>
              <w:widowControl w:val="0"/>
              <w:kinsoku/>
              <w:wordWrap/>
              <w:topLinePunct w:val="0"/>
              <w:autoSpaceDE/>
              <w:autoSpaceDN/>
              <w:bidi w:val="0"/>
              <w:adjustRightInd/>
              <w:snapToGrid/>
              <w:spacing w:line="560" w:lineRule="exact"/>
              <w:ind w:left="0" w:right="0" w:firstLine="0"/>
              <w:jc w:val="center"/>
              <w:textAlignment w:val="auto"/>
              <w:rPr>
                <w:rFonts w:ascii="宋体" w:hAnsi="宋体" w:cs="宋体"/>
                <w:color w:val="000000" w:themeColor="text1"/>
                <w:sz w:val="28"/>
                <w:szCs w:val="28"/>
                <w:highlight w:val="none"/>
                <w14:textFill>
                  <w14:solidFill>
                    <w14:schemeClr w14:val="tx1"/>
                  </w14:solidFill>
                </w14:textFill>
              </w:rPr>
            </w:pPr>
          </w:p>
        </w:tc>
        <w:tc>
          <w:tcPr>
            <w:tcW w:w="2721" w:type="dxa"/>
            <w:gridSpan w:val="2"/>
            <w:tcBorders>
              <w:top w:val="single" w:color="000000" w:sz="4" w:space="0"/>
              <w:left w:val="single" w:color="000000" w:sz="4" w:space="0"/>
              <w:bottom w:val="single" w:color="000000" w:sz="4" w:space="0"/>
              <w:right w:val="single" w:color="000000" w:sz="4" w:space="0"/>
            </w:tcBorders>
            <w:vAlign w:val="center"/>
          </w:tcPr>
          <w:p w14:paraId="0E5BD1E9">
            <w:pPr>
              <w:keepNext w:val="0"/>
              <w:keepLines w:val="0"/>
              <w:pageBreakBefore w:val="0"/>
              <w:widowControl w:val="0"/>
              <w:kinsoku/>
              <w:wordWrap/>
              <w:topLinePunct w:val="0"/>
              <w:autoSpaceDE/>
              <w:autoSpaceDN/>
              <w:bidi w:val="0"/>
              <w:adjustRightInd/>
              <w:snapToGrid/>
              <w:spacing w:line="560" w:lineRule="exact"/>
              <w:ind w:left="0" w:right="0" w:firstLine="0"/>
              <w:jc w:val="center"/>
              <w:textAlignment w:val="auto"/>
              <w:rPr>
                <w:rFonts w:ascii="宋体" w:hAnsi="宋体" w:cs="宋体"/>
                <w:color w:val="000000" w:themeColor="text1"/>
                <w:sz w:val="28"/>
                <w:szCs w:val="28"/>
                <w:highlight w:val="none"/>
                <w14:textFill>
                  <w14:solidFill>
                    <w14:schemeClr w14:val="tx1"/>
                  </w14:solidFill>
                </w14:textFill>
              </w:rPr>
            </w:pPr>
          </w:p>
        </w:tc>
      </w:tr>
      <w:tr w14:paraId="67D3CB7F">
        <w:tblPrEx>
          <w:tblCellMar>
            <w:top w:w="0" w:type="dxa"/>
            <w:left w:w="108" w:type="dxa"/>
            <w:bottom w:w="0" w:type="dxa"/>
            <w:right w:w="108" w:type="dxa"/>
          </w:tblCellMar>
        </w:tblPrEx>
        <w:trPr>
          <w:trHeight w:val="647" w:hRule="exact"/>
          <w:jc w:val="center"/>
        </w:trPr>
        <w:tc>
          <w:tcPr>
            <w:tcW w:w="1826" w:type="dxa"/>
            <w:gridSpan w:val="2"/>
            <w:tcBorders>
              <w:top w:val="single" w:color="000000" w:sz="4" w:space="0"/>
              <w:left w:val="single" w:color="000000" w:sz="4" w:space="0"/>
              <w:bottom w:val="single" w:color="000000" w:sz="4" w:space="0"/>
              <w:right w:val="single" w:color="000000" w:sz="4" w:space="0"/>
            </w:tcBorders>
            <w:vAlign w:val="center"/>
          </w:tcPr>
          <w:p w14:paraId="28FD6011">
            <w:pPr>
              <w:keepNext w:val="0"/>
              <w:keepLines w:val="0"/>
              <w:pageBreakBefore w:val="0"/>
              <w:widowControl w:val="0"/>
              <w:kinsoku/>
              <w:wordWrap/>
              <w:topLinePunct w:val="0"/>
              <w:autoSpaceDE/>
              <w:autoSpaceDN/>
              <w:bidi w:val="0"/>
              <w:adjustRightInd/>
              <w:snapToGrid/>
              <w:spacing w:line="560" w:lineRule="exact"/>
              <w:ind w:left="0" w:right="0" w:firstLine="0"/>
              <w:jc w:val="center"/>
              <w:textAlignment w:val="auto"/>
              <w:rPr>
                <w:rFonts w:ascii="宋体" w:hAnsi="宋体" w:cs="宋体"/>
                <w:color w:val="000000" w:themeColor="text1"/>
                <w:sz w:val="28"/>
                <w:szCs w:val="28"/>
                <w:highlight w:val="none"/>
                <w14:textFill>
                  <w14:solidFill>
                    <w14:schemeClr w14:val="tx1"/>
                  </w14:solidFill>
                </w14:textFill>
              </w:rPr>
            </w:pPr>
          </w:p>
        </w:tc>
        <w:tc>
          <w:tcPr>
            <w:tcW w:w="4053" w:type="dxa"/>
            <w:gridSpan w:val="4"/>
            <w:tcBorders>
              <w:top w:val="single" w:color="000000" w:sz="4" w:space="0"/>
              <w:left w:val="single" w:color="000000" w:sz="4" w:space="0"/>
              <w:bottom w:val="single" w:color="000000" w:sz="4" w:space="0"/>
              <w:right w:val="single" w:color="000000" w:sz="4" w:space="0"/>
            </w:tcBorders>
            <w:vAlign w:val="center"/>
          </w:tcPr>
          <w:p w14:paraId="74CB8310">
            <w:pPr>
              <w:keepNext w:val="0"/>
              <w:keepLines w:val="0"/>
              <w:pageBreakBefore w:val="0"/>
              <w:widowControl w:val="0"/>
              <w:kinsoku/>
              <w:wordWrap/>
              <w:topLinePunct w:val="0"/>
              <w:autoSpaceDE/>
              <w:autoSpaceDN/>
              <w:bidi w:val="0"/>
              <w:adjustRightInd/>
              <w:snapToGrid/>
              <w:spacing w:line="560" w:lineRule="exact"/>
              <w:ind w:left="0" w:right="0" w:firstLine="0"/>
              <w:jc w:val="center"/>
              <w:textAlignment w:val="auto"/>
              <w:rPr>
                <w:rFonts w:ascii="宋体" w:hAnsi="宋体" w:cs="宋体"/>
                <w:color w:val="000000" w:themeColor="text1"/>
                <w:sz w:val="28"/>
                <w:szCs w:val="28"/>
                <w:highlight w:val="none"/>
                <w14:textFill>
                  <w14:solidFill>
                    <w14:schemeClr w14:val="tx1"/>
                  </w14:solidFill>
                </w14:textFill>
              </w:rPr>
            </w:pPr>
          </w:p>
        </w:tc>
        <w:tc>
          <w:tcPr>
            <w:tcW w:w="1495" w:type="dxa"/>
            <w:tcBorders>
              <w:top w:val="single" w:color="000000" w:sz="4" w:space="0"/>
              <w:left w:val="single" w:color="000000" w:sz="4" w:space="0"/>
              <w:bottom w:val="single" w:color="000000" w:sz="4" w:space="0"/>
              <w:right w:val="single" w:color="000000" w:sz="4" w:space="0"/>
            </w:tcBorders>
            <w:vAlign w:val="center"/>
          </w:tcPr>
          <w:p w14:paraId="3CB2DA12">
            <w:pPr>
              <w:keepNext w:val="0"/>
              <w:keepLines w:val="0"/>
              <w:pageBreakBefore w:val="0"/>
              <w:widowControl w:val="0"/>
              <w:kinsoku/>
              <w:wordWrap/>
              <w:topLinePunct w:val="0"/>
              <w:autoSpaceDE/>
              <w:autoSpaceDN/>
              <w:bidi w:val="0"/>
              <w:adjustRightInd/>
              <w:snapToGrid/>
              <w:spacing w:line="560" w:lineRule="exact"/>
              <w:ind w:left="0" w:right="0" w:firstLine="0"/>
              <w:jc w:val="center"/>
              <w:textAlignment w:val="auto"/>
              <w:rPr>
                <w:rFonts w:ascii="宋体" w:hAnsi="宋体" w:cs="宋体"/>
                <w:color w:val="000000" w:themeColor="text1"/>
                <w:sz w:val="28"/>
                <w:szCs w:val="28"/>
                <w:highlight w:val="none"/>
                <w14:textFill>
                  <w14:solidFill>
                    <w14:schemeClr w14:val="tx1"/>
                  </w14:solidFill>
                </w14:textFill>
              </w:rPr>
            </w:pPr>
          </w:p>
        </w:tc>
        <w:tc>
          <w:tcPr>
            <w:tcW w:w="2721" w:type="dxa"/>
            <w:gridSpan w:val="2"/>
            <w:tcBorders>
              <w:top w:val="single" w:color="000000" w:sz="4" w:space="0"/>
              <w:left w:val="single" w:color="000000" w:sz="4" w:space="0"/>
              <w:bottom w:val="single" w:color="000000" w:sz="4" w:space="0"/>
              <w:right w:val="single" w:color="000000" w:sz="4" w:space="0"/>
            </w:tcBorders>
            <w:vAlign w:val="center"/>
          </w:tcPr>
          <w:p w14:paraId="6ABD57AE">
            <w:pPr>
              <w:keepNext w:val="0"/>
              <w:keepLines w:val="0"/>
              <w:pageBreakBefore w:val="0"/>
              <w:widowControl w:val="0"/>
              <w:kinsoku/>
              <w:wordWrap/>
              <w:topLinePunct w:val="0"/>
              <w:autoSpaceDE/>
              <w:autoSpaceDN/>
              <w:bidi w:val="0"/>
              <w:adjustRightInd/>
              <w:snapToGrid/>
              <w:spacing w:line="560" w:lineRule="exact"/>
              <w:ind w:left="0" w:right="0" w:firstLine="0"/>
              <w:jc w:val="center"/>
              <w:textAlignment w:val="auto"/>
              <w:rPr>
                <w:rFonts w:ascii="宋体" w:hAnsi="宋体" w:cs="宋体"/>
                <w:color w:val="000000" w:themeColor="text1"/>
                <w:sz w:val="28"/>
                <w:szCs w:val="28"/>
                <w:highlight w:val="none"/>
                <w14:textFill>
                  <w14:solidFill>
                    <w14:schemeClr w14:val="tx1"/>
                  </w14:solidFill>
                </w14:textFill>
              </w:rPr>
            </w:pPr>
          </w:p>
        </w:tc>
      </w:tr>
      <w:tr w14:paraId="06AD7BE1">
        <w:tblPrEx>
          <w:tblCellMar>
            <w:top w:w="0" w:type="dxa"/>
            <w:left w:w="108" w:type="dxa"/>
            <w:bottom w:w="0" w:type="dxa"/>
            <w:right w:w="108" w:type="dxa"/>
          </w:tblCellMar>
        </w:tblPrEx>
        <w:trPr>
          <w:trHeight w:val="648" w:hRule="exact"/>
          <w:jc w:val="center"/>
        </w:trPr>
        <w:tc>
          <w:tcPr>
            <w:tcW w:w="1826" w:type="dxa"/>
            <w:gridSpan w:val="2"/>
            <w:tcBorders>
              <w:top w:val="single" w:color="000000" w:sz="4" w:space="0"/>
              <w:left w:val="single" w:color="000000" w:sz="4" w:space="0"/>
              <w:bottom w:val="single" w:color="000000" w:sz="4" w:space="0"/>
              <w:right w:val="single" w:color="000000" w:sz="4" w:space="0"/>
            </w:tcBorders>
            <w:vAlign w:val="center"/>
          </w:tcPr>
          <w:p w14:paraId="24DFE1D9">
            <w:pPr>
              <w:keepNext w:val="0"/>
              <w:keepLines w:val="0"/>
              <w:pageBreakBefore w:val="0"/>
              <w:widowControl w:val="0"/>
              <w:kinsoku/>
              <w:wordWrap/>
              <w:topLinePunct w:val="0"/>
              <w:autoSpaceDE/>
              <w:autoSpaceDN/>
              <w:bidi w:val="0"/>
              <w:adjustRightInd/>
              <w:snapToGrid/>
              <w:spacing w:line="560" w:lineRule="exact"/>
              <w:ind w:left="0" w:right="0" w:firstLine="0"/>
              <w:jc w:val="center"/>
              <w:textAlignment w:val="auto"/>
              <w:rPr>
                <w:rFonts w:ascii="宋体" w:hAnsi="宋体" w:cs="宋体"/>
                <w:color w:val="000000" w:themeColor="text1"/>
                <w:sz w:val="28"/>
                <w:szCs w:val="28"/>
                <w:highlight w:val="none"/>
                <w14:textFill>
                  <w14:solidFill>
                    <w14:schemeClr w14:val="tx1"/>
                  </w14:solidFill>
                </w14:textFill>
              </w:rPr>
            </w:pPr>
          </w:p>
        </w:tc>
        <w:tc>
          <w:tcPr>
            <w:tcW w:w="4053" w:type="dxa"/>
            <w:gridSpan w:val="4"/>
            <w:tcBorders>
              <w:top w:val="single" w:color="000000" w:sz="4" w:space="0"/>
              <w:left w:val="single" w:color="000000" w:sz="4" w:space="0"/>
              <w:bottom w:val="single" w:color="000000" w:sz="4" w:space="0"/>
              <w:right w:val="single" w:color="000000" w:sz="4" w:space="0"/>
            </w:tcBorders>
            <w:vAlign w:val="center"/>
          </w:tcPr>
          <w:p w14:paraId="1072902A">
            <w:pPr>
              <w:keepNext w:val="0"/>
              <w:keepLines w:val="0"/>
              <w:pageBreakBefore w:val="0"/>
              <w:widowControl w:val="0"/>
              <w:kinsoku/>
              <w:wordWrap/>
              <w:topLinePunct w:val="0"/>
              <w:autoSpaceDE/>
              <w:autoSpaceDN/>
              <w:bidi w:val="0"/>
              <w:adjustRightInd/>
              <w:snapToGrid/>
              <w:spacing w:line="560" w:lineRule="exact"/>
              <w:ind w:left="0" w:right="0" w:firstLine="0"/>
              <w:jc w:val="center"/>
              <w:textAlignment w:val="auto"/>
              <w:rPr>
                <w:rFonts w:ascii="宋体" w:hAnsi="宋体" w:cs="宋体"/>
                <w:color w:val="000000" w:themeColor="text1"/>
                <w:sz w:val="28"/>
                <w:szCs w:val="28"/>
                <w:highlight w:val="none"/>
                <w14:textFill>
                  <w14:solidFill>
                    <w14:schemeClr w14:val="tx1"/>
                  </w14:solidFill>
                </w14:textFill>
              </w:rPr>
            </w:pPr>
          </w:p>
        </w:tc>
        <w:tc>
          <w:tcPr>
            <w:tcW w:w="1495" w:type="dxa"/>
            <w:tcBorders>
              <w:top w:val="single" w:color="000000" w:sz="4" w:space="0"/>
              <w:left w:val="single" w:color="000000" w:sz="4" w:space="0"/>
              <w:bottom w:val="single" w:color="000000" w:sz="4" w:space="0"/>
              <w:right w:val="single" w:color="000000" w:sz="4" w:space="0"/>
            </w:tcBorders>
            <w:vAlign w:val="center"/>
          </w:tcPr>
          <w:p w14:paraId="0D1E1323">
            <w:pPr>
              <w:keepNext w:val="0"/>
              <w:keepLines w:val="0"/>
              <w:pageBreakBefore w:val="0"/>
              <w:widowControl w:val="0"/>
              <w:kinsoku/>
              <w:wordWrap/>
              <w:topLinePunct w:val="0"/>
              <w:autoSpaceDE/>
              <w:autoSpaceDN/>
              <w:bidi w:val="0"/>
              <w:adjustRightInd/>
              <w:snapToGrid/>
              <w:spacing w:line="560" w:lineRule="exact"/>
              <w:ind w:left="0" w:right="0" w:firstLine="0"/>
              <w:jc w:val="center"/>
              <w:textAlignment w:val="auto"/>
              <w:rPr>
                <w:rFonts w:ascii="宋体" w:hAnsi="宋体" w:cs="宋体"/>
                <w:color w:val="000000" w:themeColor="text1"/>
                <w:sz w:val="28"/>
                <w:szCs w:val="28"/>
                <w:highlight w:val="none"/>
                <w14:textFill>
                  <w14:solidFill>
                    <w14:schemeClr w14:val="tx1"/>
                  </w14:solidFill>
                </w14:textFill>
              </w:rPr>
            </w:pPr>
          </w:p>
        </w:tc>
        <w:tc>
          <w:tcPr>
            <w:tcW w:w="2721" w:type="dxa"/>
            <w:gridSpan w:val="2"/>
            <w:tcBorders>
              <w:top w:val="single" w:color="000000" w:sz="4" w:space="0"/>
              <w:left w:val="single" w:color="000000" w:sz="4" w:space="0"/>
              <w:bottom w:val="single" w:color="000000" w:sz="4" w:space="0"/>
              <w:right w:val="single" w:color="000000" w:sz="4" w:space="0"/>
            </w:tcBorders>
            <w:vAlign w:val="center"/>
          </w:tcPr>
          <w:p w14:paraId="6E652773">
            <w:pPr>
              <w:keepNext w:val="0"/>
              <w:keepLines w:val="0"/>
              <w:pageBreakBefore w:val="0"/>
              <w:widowControl w:val="0"/>
              <w:kinsoku/>
              <w:wordWrap/>
              <w:topLinePunct w:val="0"/>
              <w:autoSpaceDE/>
              <w:autoSpaceDN/>
              <w:bidi w:val="0"/>
              <w:adjustRightInd/>
              <w:snapToGrid/>
              <w:spacing w:line="560" w:lineRule="exact"/>
              <w:ind w:left="0" w:right="0" w:firstLine="0"/>
              <w:jc w:val="center"/>
              <w:textAlignment w:val="auto"/>
              <w:rPr>
                <w:rFonts w:ascii="宋体" w:hAnsi="宋体" w:cs="宋体"/>
                <w:color w:val="000000" w:themeColor="text1"/>
                <w:sz w:val="28"/>
                <w:szCs w:val="28"/>
                <w:highlight w:val="none"/>
                <w14:textFill>
                  <w14:solidFill>
                    <w14:schemeClr w14:val="tx1"/>
                  </w14:solidFill>
                </w14:textFill>
              </w:rPr>
            </w:pPr>
          </w:p>
        </w:tc>
      </w:tr>
      <w:tr w14:paraId="4A8AE4E5">
        <w:tblPrEx>
          <w:tblCellMar>
            <w:top w:w="0" w:type="dxa"/>
            <w:left w:w="108" w:type="dxa"/>
            <w:bottom w:w="0" w:type="dxa"/>
            <w:right w:w="108" w:type="dxa"/>
          </w:tblCellMar>
        </w:tblPrEx>
        <w:trPr>
          <w:trHeight w:val="647" w:hRule="exact"/>
          <w:jc w:val="center"/>
        </w:trPr>
        <w:tc>
          <w:tcPr>
            <w:tcW w:w="1826" w:type="dxa"/>
            <w:gridSpan w:val="2"/>
            <w:tcBorders>
              <w:top w:val="single" w:color="000000" w:sz="4" w:space="0"/>
              <w:left w:val="single" w:color="000000" w:sz="4" w:space="0"/>
              <w:bottom w:val="single" w:color="000000" w:sz="4" w:space="0"/>
              <w:right w:val="single" w:color="000000" w:sz="4" w:space="0"/>
            </w:tcBorders>
            <w:vAlign w:val="center"/>
          </w:tcPr>
          <w:p w14:paraId="18F239E6">
            <w:pPr>
              <w:keepNext w:val="0"/>
              <w:keepLines w:val="0"/>
              <w:pageBreakBefore w:val="0"/>
              <w:widowControl w:val="0"/>
              <w:kinsoku/>
              <w:wordWrap/>
              <w:topLinePunct w:val="0"/>
              <w:autoSpaceDE/>
              <w:autoSpaceDN/>
              <w:bidi w:val="0"/>
              <w:adjustRightInd/>
              <w:snapToGrid/>
              <w:spacing w:line="560" w:lineRule="exact"/>
              <w:ind w:left="0" w:right="0" w:firstLine="0"/>
              <w:jc w:val="center"/>
              <w:textAlignment w:val="auto"/>
              <w:rPr>
                <w:rFonts w:ascii="宋体" w:hAnsi="宋体" w:cs="宋体"/>
                <w:color w:val="000000" w:themeColor="text1"/>
                <w:sz w:val="28"/>
                <w:szCs w:val="28"/>
                <w:highlight w:val="none"/>
                <w14:textFill>
                  <w14:solidFill>
                    <w14:schemeClr w14:val="tx1"/>
                  </w14:solidFill>
                </w14:textFill>
              </w:rPr>
            </w:pPr>
          </w:p>
        </w:tc>
        <w:tc>
          <w:tcPr>
            <w:tcW w:w="4053" w:type="dxa"/>
            <w:gridSpan w:val="4"/>
            <w:tcBorders>
              <w:top w:val="single" w:color="000000" w:sz="4" w:space="0"/>
              <w:left w:val="single" w:color="000000" w:sz="4" w:space="0"/>
              <w:bottom w:val="single" w:color="000000" w:sz="4" w:space="0"/>
              <w:right w:val="single" w:color="000000" w:sz="4" w:space="0"/>
            </w:tcBorders>
            <w:vAlign w:val="center"/>
          </w:tcPr>
          <w:p w14:paraId="39F1867C">
            <w:pPr>
              <w:keepNext w:val="0"/>
              <w:keepLines w:val="0"/>
              <w:pageBreakBefore w:val="0"/>
              <w:widowControl w:val="0"/>
              <w:kinsoku/>
              <w:wordWrap/>
              <w:topLinePunct w:val="0"/>
              <w:autoSpaceDE/>
              <w:autoSpaceDN/>
              <w:bidi w:val="0"/>
              <w:adjustRightInd/>
              <w:snapToGrid/>
              <w:spacing w:line="560" w:lineRule="exact"/>
              <w:ind w:left="0" w:right="0" w:firstLine="0"/>
              <w:jc w:val="center"/>
              <w:textAlignment w:val="auto"/>
              <w:rPr>
                <w:rFonts w:ascii="宋体" w:hAnsi="宋体" w:cs="宋体"/>
                <w:color w:val="000000" w:themeColor="text1"/>
                <w:sz w:val="28"/>
                <w:szCs w:val="28"/>
                <w:highlight w:val="none"/>
                <w14:textFill>
                  <w14:solidFill>
                    <w14:schemeClr w14:val="tx1"/>
                  </w14:solidFill>
                </w14:textFill>
              </w:rPr>
            </w:pPr>
          </w:p>
        </w:tc>
        <w:tc>
          <w:tcPr>
            <w:tcW w:w="1495" w:type="dxa"/>
            <w:tcBorders>
              <w:top w:val="single" w:color="000000" w:sz="4" w:space="0"/>
              <w:left w:val="single" w:color="000000" w:sz="4" w:space="0"/>
              <w:bottom w:val="single" w:color="000000" w:sz="4" w:space="0"/>
              <w:right w:val="single" w:color="000000" w:sz="4" w:space="0"/>
            </w:tcBorders>
            <w:vAlign w:val="center"/>
          </w:tcPr>
          <w:p w14:paraId="0C5DD353">
            <w:pPr>
              <w:keepNext w:val="0"/>
              <w:keepLines w:val="0"/>
              <w:pageBreakBefore w:val="0"/>
              <w:widowControl w:val="0"/>
              <w:kinsoku/>
              <w:wordWrap/>
              <w:topLinePunct w:val="0"/>
              <w:autoSpaceDE/>
              <w:autoSpaceDN/>
              <w:bidi w:val="0"/>
              <w:adjustRightInd/>
              <w:snapToGrid/>
              <w:spacing w:line="560" w:lineRule="exact"/>
              <w:ind w:left="0" w:right="0" w:firstLine="0"/>
              <w:jc w:val="center"/>
              <w:textAlignment w:val="auto"/>
              <w:rPr>
                <w:rFonts w:ascii="宋体" w:hAnsi="宋体" w:cs="宋体"/>
                <w:color w:val="000000" w:themeColor="text1"/>
                <w:sz w:val="28"/>
                <w:szCs w:val="28"/>
                <w:highlight w:val="none"/>
                <w14:textFill>
                  <w14:solidFill>
                    <w14:schemeClr w14:val="tx1"/>
                  </w14:solidFill>
                </w14:textFill>
              </w:rPr>
            </w:pPr>
          </w:p>
        </w:tc>
        <w:tc>
          <w:tcPr>
            <w:tcW w:w="2721" w:type="dxa"/>
            <w:gridSpan w:val="2"/>
            <w:tcBorders>
              <w:top w:val="single" w:color="000000" w:sz="4" w:space="0"/>
              <w:left w:val="single" w:color="000000" w:sz="4" w:space="0"/>
              <w:bottom w:val="single" w:color="000000" w:sz="4" w:space="0"/>
              <w:right w:val="single" w:color="000000" w:sz="4" w:space="0"/>
            </w:tcBorders>
            <w:vAlign w:val="center"/>
          </w:tcPr>
          <w:p w14:paraId="36B2BAC0">
            <w:pPr>
              <w:keepNext w:val="0"/>
              <w:keepLines w:val="0"/>
              <w:pageBreakBefore w:val="0"/>
              <w:widowControl w:val="0"/>
              <w:kinsoku/>
              <w:wordWrap/>
              <w:topLinePunct w:val="0"/>
              <w:autoSpaceDE/>
              <w:autoSpaceDN/>
              <w:bidi w:val="0"/>
              <w:adjustRightInd/>
              <w:snapToGrid/>
              <w:spacing w:line="560" w:lineRule="exact"/>
              <w:ind w:left="0" w:right="0" w:firstLine="0"/>
              <w:jc w:val="center"/>
              <w:textAlignment w:val="auto"/>
              <w:rPr>
                <w:rFonts w:ascii="宋体" w:hAnsi="宋体" w:cs="宋体"/>
                <w:color w:val="000000" w:themeColor="text1"/>
                <w:sz w:val="28"/>
                <w:szCs w:val="28"/>
                <w:highlight w:val="none"/>
                <w14:textFill>
                  <w14:solidFill>
                    <w14:schemeClr w14:val="tx1"/>
                  </w14:solidFill>
                </w14:textFill>
              </w:rPr>
            </w:pPr>
          </w:p>
        </w:tc>
      </w:tr>
      <w:tr w14:paraId="3D3245C8">
        <w:tblPrEx>
          <w:tblCellMar>
            <w:top w:w="0" w:type="dxa"/>
            <w:left w:w="108" w:type="dxa"/>
            <w:bottom w:w="0" w:type="dxa"/>
            <w:right w:w="108" w:type="dxa"/>
          </w:tblCellMar>
        </w:tblPrEx>
        <w:trPr>
          <w:trHeight w:val="647" w:hRule="exact"/>
          <w:jc w:val="center"/>
        </w:trPr>
        <w:tc>
          <w:tcPr>
            <w:tcW w:w="1826" w:type="dxa"/>
            <w:gridSpan w:val="2"/>
            <w:tcBorders>
              <w:top w:val="single" w:color="000000" w:sz="4" w:space="0"/>
              <w:left w:val="single" w:color="000000" w:sz="4" w:space="0"/>
              <w:bottom w:val="single" w:color="000000" w:sz="4" w:space="0"/>
              <w:right w:val="single" w:color="000000" w:sz="4" w:space="0"/>
            </w:tcBorders>
            <w:vAlign w:val="center"/>
          </w:tcPr>
          <w:p w14:paraId="05DF8D3E">
            <w:pPr>
              <w:keepNext w:val="0"/>
              <w:keepLines w:val="0"/>
              <w:pageBreakBefore w:val="0"/>
              <w:widowControl w:val="0"/>
              <w:kinsoku/>
              <w:wordWrap/>
              <w:topLinePunct w:val="0"/>
              <w:autoSpaceDE/>
              <w:autoSpaceDN/>
              <w:bidi w:val="0"/>
              <w:adjustRightInd/>
              <w:snapToGrid/>
              <w:spacing w:line="560" w:lineRule="exact"/>
              <w:ind w:left="0" w:right="0" w:firstLine="0"/>
              <w:jc w:val="center"/>
              <w:textAlignment w:val="auto"/>
              <w:rPr>
                <w:rFonts w:ascii="宋体" w:hAnsi="宋体" w:cs="宋体"/>
                <w:color w:val="000000" w:themeColor="text1"/>
                <w:sz w:val="28"/>
                <w:szCs w:val="28"/>
                <w:highlight w:val="none"/>
                <w14:textFill>
                  <w14:solidFill>
                    <w14:schemeClr w14:val="tx1"/>
                  </w14:solidFill>
                </w14:textFill>
              </w:rPr>
            </w:pPr>
          </w:p>
        </w:tc>
        <w:tc>
          <w:tcPr>
            <w:tcW w:w="4053" w:type="dxa"/>
            <w:gridSpan w:val="4"/>
            <w:tcBorders>
              <w:top w:val="single" w:color="000000" w:sz="4" w:space="0"/>
              <w:left w:val="single" w:color="000000" w:sz="4" w:space="0"/>
              <w:bottom w:val="single" w:color="000000" w:sz="4" w:space="0"/>
              <w:right w:val="single" w:color="000000" w:sz="4" w:space="0"/>
            </w:tcBorders>
            <w:vAlign w:val="center"/>
          </w:tcPr>
          <w:p w14:paraId="01E4B751">
            <w:pPr>
              <w:keepNext w:val="0"/>
              <w:keepLines w:val="0"/>
              <w:pageBreakBefore w:val="0"/>
              <w:widowControl w:val="0"/>
              <w:kinsoku/>
              <w:wordWrap/>
              <w:topLinePunct w:val="0"/>
              <w:autoSpaceDE/>
              <w:autoSpaceDN/>
              <w:bidi w:val="0"/>
              <w:adjustRightInd/>
              <w:snapToGrid/>
              <w:spacing w:line="560" w:lineRule="exact"/>
              <w:ind w:left="0" w:right="0" w:firstLine="0"/>
              <w:jc w:val="center"/>
              <w:textAlignment w:val="auto"/>
              <w:rPr>
                <w:rFonts w:ascii="宋体" w:hAnsi="宋体" w:cs="宋体"/>
                <w:color w:val="000000" w:themeColor="text1"/>
                <w:sz w:val="28"/>
                <w:szCs w:val="28"/>
                <w:highlight w:val="none"/>
                <w14:textFill>
                  <w14:solidFill>
                    <w14:schemeClr w14:val="tx1"/>
                  </w14:solidFill>
                </w14:textFill>
              </w:rPr>
            </w:pPr>
          </w:p>
        </w:tc>
        <w:tc>
          <w:tcPr>
            <w:tcW w:w="1495" w:type="dxa"/>
            <w:tcBorders>
              <w:top w:val="single" w:color="000000" w:sz="4" w:space="0"/>
              <w:left w:val="single" w:color="000000" w:sz="4" w:space="0"/>
              <w:bottom w:val="single" w:color="000000" w:sz="4" w:space="0"/>
              <w:right w:val="single" w:color="000000" w:sz="4" w:space="0"/>
            </w:tcBorders>
            <w:vAlign w:val="center"/>
          </w:tcPr>
          <w:p w14:paraId="20367527">
            <w:pPr>
              <w:keepNext w:val="0"/>
              <w:keepLines w:val="0"/>
              <w:pageBreakBefore w:val="0"/>
              <w:widowControl w:val="0"/>
              <w:kinsoku/>
              <w:wordWrap/>
              <w:topLinePunct w:val="0"/>
              <w:autoSpaceDE/>
              <w:autoSpaceDN/>
              <w:bidi w:val="0"/>
              <w:adjustRightInd/>
              <w:snapToGrid/>
              <w:spacing w:line="560" w:lineRule="exact"/>
              <w:ind w:left="0" w:right="0" w:firstLine="0"/>
              <w:jc w:val="center"/>
              <w:textAlignment w:val="auto"/>
              <w:rPr>
                <w:rFonts w:ascii="宋体" w:hAnsi="宋体" w:cs="宋体"/>
                <w:color w:val="000000" w:themeColor="text1"/>
                <w:sz w:val="28"/>
                <w:szCs w:val="28"/>
                <w:highlight w:val="none"/>
                <w14:textFill>
                  <w14:solidFill>
                    <w14:schemeClr w14:val="tx1"/>
                  </w14:solidFill>
                </w14:textFill>
              </w:rPr>
            </w:pPr>
          </w:p>
        </w:tc>
        <w:tc>
          <w:tcPr>
            <w:tcW w:w="2721" w:type="dxa"/>
            <w:gridSpan w:val="2"/>
            <w:tcBorders>
              <w:top w:val="single" w:color="000000" w:sz="4" w:space="0"/>
              <w:left w:val="single" w:color="000000" w:sz="4" w:space="0"/>
              <w:bottom w:val="single" w:color="000000" w:sz="4" w:space="0"/>
              <w:right w:val="single" w:color="000000" w:sz="4" w:space="0"/>
            </w:tcBorders>
            <w:vAlign w:val="center"/>
          </w:tcPr>
          <w:p w14:paraId="0DAB66F5">
            <w:pPr>
              <w:keepNext w:val="0"/>
              <w:keepLines w:val="0"/>
              <w:pageBreakBefore w:val="0"/>
              <w:widowControl w:val="0"/>
              <w:kinsoku/>
              <w:wordWrap/>
              <w:topLinePunct w:val="0"/>
              <w:autoSpaceDE/>
              <w:autoSpaceDN/>
              <w:bidi w:val="0"/>
              <w:adjustRightInd/>
              <w:snapToGrid/>
              <w:spacing w:line="560" w:lineRule="exact"/>
              <w:ind w:left="0" w:right="0" w:firstLine="0"/>
              <w:jc w:val="center"/>
              <w:textAlignment w:val="auto"/>
              <w:rPr>
                <w:rFonts w:ascii="宋体" w:hAnsi="宋体" w:cs="宋体"/>
                <w:color w:val="000000" w:themeColor="text1"/>
                <w:sz w:val="28"/>
                <w:szCs w:val="28"/>
                <w:highlight w:val="none"/>
                <w14:textFill>
                  <w14:solidFill>
                    <w14:schemeClr w14:val="tx1"/>
                  </w14:solidFill>
                </w14:textFill>
              </w:rPr>
            </w:pPr>
          </w:p>
        </w:tc>
      </w:tr>
      <w:tr w14:paraId="32B5CB90">
        <w:tblPrEx>
          <w:tblCellMar>
            <w:top w:w="0" w:type="dxa"/>
            <w:left w:w="108" w:type="dxa"/>
            <w:bottom w:w="0" w:type="dxa"/>
            <w:right w:w="108" w:type="dxa"/>
          </w:tblCellMar>
        </w:tblPrEx>
        <w:trPr>
          <w:trHeight w:val="657" w:hRule="exact"/>
          <w:jc w:val="center"/>
        </w:trPr>
        <w:tc>
          <w:tcPr>
            <w:tcW w:w="1826" w:type="dxa"/>
            <w:gridSpan w:val="2"/>
            <w:tcBorders>
              <w:top w:val="single" w:color="000000" w:sz="4" w:space="0"/>
              <w:left w:val="single" w:color="000000" w:sz="4" w:space="0"/>
              <w:bottom w:val="single" w:color="000000" w:sz="4" w:space="0"/>
              <w:right w:val="single" w:color="000000" w:sz="4" w:space="0"/>
            </w:tcBorders>
            <w:vAlign w:val="center"/>
          </w:tcPr>
          <w:p w14:paraId="4E972101">
            <w:pPr>
              <w:keepNext w:val="0"/>
              <w:keepLines w:val="0"/>
              <w:pageBreakBefore w:val="0"/>
              <w:widowControl w:val="0"/>
              <w:kinsoku/>
              <w:wordWrap/>
              <w:topLinePunct w:val="0"/>
              <w:autoSpaceDE/>
              <w:autoSpaceDN/>
              <w:bidi w:val="0"/>
              <w:adjustRightInd/>
              <w:snapToGrid/>
              <w:spacing w:line="560" w:lineRule="exact"/>
              <w:ind w:left="0" w:right="0" w:firstLine="0"/>
              <w:jc w:val="center"/>
              <w:textAlignment w:val="auto"/>
              <w:rPr>
                <w:rFonts w:ascii="宋体" w:hAnsi="宋体" w:cs="宋体"/>
                <w:color w:val="000000" w:themeColor="text1"/>
                <w:sz w:val="28"/>
                <w:szCs w:val="28"/>
                <w:highlight w:val="none"/>
                <w14:textFill>
                  <w14:solidFill>
                    <w14:schemeClr w14:val="tx1"/>
                  </w14:solidFill>
                </w14:textFill>
              </w:rPr>
            </w:pPr>
          </w:p>
        </w:tc>
        <w:tc>
          <w:tcPr>
            <w:tcW w:w="4053" w:type="dxa"/>
            <w:gridSpan w:val="4"/>
            <w:tcBorders>
              <w:top w:val="single" w:color="000000" w:sz="4" w:space="0"/>
              <w:left w:val="single" w:color="000000" w:sz="4" w:space="0"/>
              <w:bottom w:val="single" w:color="000000" w:sz="4" w:space="0"/>
              <w:right w:val="single" w:color="000000" w:sz="4" w:space="0"/>
            </w:tcBorders>
            <w:vAlign w:val="center"/>
          </w:tcPr>
          <w:p w14:paraId="73437A6A">
            <w:pPr>
              <w:keepNext w:val="0"/>
              <w:keepLines w:val="0"/>
              <w:pageBreakBefore w:val="0"/>
              <w:widowControl w:val="0"/>
              <w:kinsoku/>
              <w:wordWrap/>
              <w:topLinePunct w:val="0"/>
              <w:autoSpaceDE/>
              <w:autoSpaceDN/>
              <w:bidi w:val="0"/>
              <w:adjustRightInd/>
              <w:snapToGrid/>
              <w:spacing w:line="560" w:lineRule="exact"/>
              <w:ind w:left="0" w:right="0" w:firstLine="0"/>
              <w:jc w:val="center"/>
              <w:textAlignment w:val="auto"/>
              <w:rPr>
                <w:rFonts w:ascii="宋体" w:hAnsi="宋体" w:cs="宋体"/>
                <w:color w:val="000000" w:themeColor="text1"/>
                <w:sz w:val="28"/>
                <w:szCs w:val="28"/>
                <w:highlight w:val="none"/>
                <w14:textFill>
                  <w14:solidFill>
                    <w14:schemeClr w14:val="tx1"/>
                  </w14:solidFill>
                </w14:textFill>
              </w:rPr>
            </w:pPr>
          </w:p>
        </w:tc>
        <w:tc>
          <w:tcPr>
            <w:tcW w:w="1495" w:type="dxa"/>
            <w:tcBorders>
              <w:top w:val="single" w:color="000000" w:sz="4" w:space="0"/>
              <w:left w:val="single" w:color="000000" w:sz="4" w:space="0"/>
              <w:bottom w:val="single" w:color="000000" w:sz="4" w:space="0"/>
              <w:right w:val="single" w:color="000000" w:sz="4" w:space="0"/>
            </w:tcBorders>
            <w:vAlign w:val="center"/>
          </w:tcPr>
          <w:p w14:paraId="765B4917">
            <w:pPr>
              <w:keepNext w:val="0"/>
              <w:keepLines w:val="0"/>
              <w:pageBreakBefore w:val="0"/>
              <w:widowControl w:val="0"/>
              <w:kinsoku/>
              <w:wordWrap/>
              <w:topLinePunct w:val="0"/>
              <w:autoSpaceDE/>
              <w:autoSpaceDN/>
              <w:bidi w:val="0"/>
              <w:adjustRightInd/>
              <w:snapToGrid/>
              <w:spacing w:line="560" w:lineRule="exact"/>
              <w:ind w:left="0" w:right="0" w:firstLine="0"/>
              <w:jc w:val="center"/>
              <w:textAlignment w:val="auto"/>
              <w:rPr>
                <w:rFonts w:ascii="宋体" w:hAnsi="宋体" w:cs="宋体"/>
                <w:color w:val="000000" w:themeColor="text1"/>
                <w:sz w:val="28"/>
                <w:szCs w:val="28"/>
                <w:highlight w:val="none"/>
                <w14:textFill>
                  <w14:solidFill>
                    <w14:schemeClr w14:val="tx1"/>
                  </w14:solidFill>
                </w14:textFill>
              </w:rPr>
            </w:pPr>
          </w:p>
        </w:tc>
        <w:tc>
          <w:tcPr>
            <w:tcW w:w="2721" w:type="dxa"/>
            <w:gridSpan w:val="2"/>
            <w:tcBorders>
              <w:top w:val="single" w:color="000000" w:sz="4" w:space="0"/>
              <w:left w:val="single" w:color="000000" w:sz="4" w:space="0"/>
              <w:bottom w:val="single" w:color="000000" w:sz="4" w:space="0"/>
              <w:right w:val="single" w:color="000000" w:sz="4" w:space="0"/>
            </w:tcBorders>
            <w:vAlign w:val="center"/>
          </w:tcPr>
          <w:p w14:paraId="06162514">
            <w:pPr>
              <w:keepNext w:val="0"/>
              <w:keepLines w:val="0"/>
              <w:pageBreakBefore w:val="0"/>
              <w:widowControl w:val="0"/>
              <w:kinsoku/>
              <w:wordWrap/>
              <w:topLinePunct w:val="0"/>
              <w:autoSpaceDE/>
              <w:autoSpaceDN/>
              <w:bidi w:val="0"/>
              <w:adjustRightInd/>
              <w:snapToGrid/>
              <w:spacing w:line="560" w:lineRule="exact"/>
              <w:ind w:left="0" w:right="0" w:firstLine="0"/>
              <w:jc w:val="center"/>
              <w:textAlignment w:val="auto"/>
              <w:rPr>
                <w:rFonts w:ascii="宋体" w:hAnsi="宋体" w:cs="宋体"/>
                <w:color w:val="000000" w:themeColor="text1"/>
                <w:sz w:val="28"/>
                <w:szCs w:val="28"/>
                <w:highlight w:val="none"/>
                <w14:textFill>
                  <w14:solidFill>
                    <w14:schemeClr w14:val="tx1"/>
                  </w14:solidFill>
                </w14:textFill>
              </w:rPr>
            </w:pPr>
          </w:p>
        </w:tc>
      </w:tr>
    </w:tbl>
    <w:p w14:paraId="5A895533">
      <w:pPr>
        <w:pageBreakBefore w:val="0"/>
        <w:wordWrap/>
        <w:topLinePunct w:val="0"/>
        <w:bidi w:val="0"/>
        <w:snapToGrid w:val="0"/>
        <w:spacing w:before="165" w:beforeLines="50" w:after="50" w:line="560" w:lineRule="exact"/>
        <w:jc w:val="both"/>
        <w:rPr>
          <w:rFonts w:hint="eastAsia" w:asciiTheme="minorEastAsia" w:hAnsiTheme="minorEastAsia" w:eastAsiaTheme="minorEastAsia"/>
          <w:b/>
          <w:bCs/>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b/>
          <w:bCs/>
          <w:color w:val="000000" w:themeColor="text1"/>
          <w:sz w:val="28"/>
          <w:szCs w:val="28"/>
          <w:highlight w:val="none"/>
          <w:lang w:val="en-US" w:eastAsia="zh-CN"/>
          <w14:textFill>
            <w14:solidFill>
              <w14:schemeClr w14:val="tx1"/>
            </w14:solidFill>
          </w14:textFill>
        </w:rPr>
        <w:t>附：项目负责人提供由本单位缴纳的近半年任意一个月的社保证明材料。</w:t>
      </w:r>
    </w:p>
    <w:p w14:paraId="77094CAD">
      <w:pPr>
        <w:pageBreakBefore w:val="0"/>
        <w:wordWrap/>
        <w:topLinePunct w:val="0"/>
        <w:bidi w:val="0"/>
        <w:snapToGrid w:val="0"/>
        <w:spacing w:before="165" w:beforeLines="50" w:after="50" w:line="560" w:lineRule="exact"/>
        <w:ind w:firstLine="602" w:firstLineChars="200"/>
        <w:jc w:val="center"/>
        <w:rPr>
          <w:b/>
          <w:bCs/>
          <w:color w:val="000000" w:themeColor="text1"/>
          <w:sz w:val="30"/>
          <w:szCs w:val="30"/>
          <w:highlight w:val="none"/>
          <w14:textFill>
            <w14:solidFill>
              <w14:schemeClr w14:val="tx1"/>
            </w14:solidFill>
          </w14:textFill>
        </w:rPr>
      </w:pPr>
    </w:p>
    <w:p w14:paraId="4935E078">
      <w:pPr>
        <w:pageBreakBefore w:val="0"/>
        <w:widowControl/>
        <w:wordWrap/>
        <w:topLinePunct w:val="0"/>
        <w:bidi w:val="0"/>
        <w:spacing w:line="560" w:lineRule="exact"/>
        <w:jc w:val="left"/>
        <w:rPr>
          <w:b/>
          <w:bCs/>
          <w:color w:val="000000" w:themeColor="text1"/>
          <w:sz w:val="30"/>
          <w:szCs w:val="30"/>
          <w:highlight w:val="none"/>
          <w14:textFill>
            <w14:solidFill>
              <w14:schemeClr w14:val="tx1"/>
            </w14:solidFill>
          </w14:textFill>
        </w:rPr>
      </w:pPr>
      <w:r>
        <w:rPr>
          <w:b/>
          <w:bCs/>
          <w:color w:val="000000" w:themeColor="text1"/>
          <w:sz w:val="30"/>
          <w:szCs w:val="30"/>
          <w:highlight w:val="none"/>
          <w14:textFill>
            <w14:solidFill>
              <w14:schemeClr w14:val="tx1"/>
            </w14:solidFill>
          </w14:textFill>
        </w:rPr>
        <w:br w:type="page"/>
      </w:r>
    </w:p>
    <w:p w14:paraId="799175DC">
      <w:pPr>
        <w:pageBreakBefore w:val="0"/>
        <w:numPr>
          <w:ilvl w:val="0"/>
          <w:numId w:val="0"/>
        </w:numPr>
        <w:wordWrap/>
        <w:topLinePunct w:val="0"/>
        <w:bidi w:val="0"/>
        <w:snapToGrid w:val="0"/>
        <w:spacing w:before="165" w:beforeLines="50" w:after="50" w:line="560" w:lineRule="exact"/>
        <w:ind w:firstLine="602" w:firstLineChars="200"/>
        <w:jc w:val="center"/>
        <w:rPr>
          <w:rFonts w:hint="eastAsia"/>
          <w:b/>
          <w:bCs/>
          <w:color w:val="000000" w:themeColor="text1"/>
          <w:sz w:val="30"/>
          <w:szCs w:val="30"/>
          <w:highlight w:val="none"/>
          <w14:textFill>
            <w14:solidFill>
              <w14:schemeClr w14:val="tx1"/>
            </w14:solidFill>
          </w14:textFill>
        </w:rPr>
      </w:pPr>
      <w:r>
        <w:rPr>
          <w:rFonts w:hint="eastAsia" w:ascii="Times New Roman" w:hAnsi="Times New Roman" w:eastAsia="宋体" w:cs="Times New Roman"/>
          <w:b/>
          <w:bCs/>
          <w:color w:val="000000" w:themeColor="text1"/>
          <w:kern w:val="2"/>
          <w:sz w:val="30"/>
          <w:szCs w:val="30"/>
          <w:highlight w:val="none"/>
          <w:lang w:val="en-US" w:eastAsia="zh-CN" w:bidi="ar-SA"/>
          <w14:textFill>
            <w14:solidFill>
              <w14:schemeClr w14:val="tx1"/>
            </w14:solidFill>
          </w14:textFill>
        </w:rPr>
        <w:t>八、</w:t>
      </w:r>
      <w:r>
        <w:rPr>
          <w:rFonts w:hint="eastAsia"/>
          <w:b/>
          <w:bCs/>
          <w:color w:val="000000" w:themeColor="text1"/>
          <w:sz w:val="30"/>
          <w:szCs w:val="30"/>
          <w:highlight w:val="none"/>
          <w:lang w:eastAsia="zh-CN"/>
          <w14:textFill>
            <w14:solidFill>
              <w14:schemeClr w14:val="tx1"/>
            </w14:solidFill>
          </w14:textFill>
        </w:rPr>
        <w:t>供应商</w:t>
      </w:r>
      <w:r>
        <w:rPr>
          <w:rFonts w:hint="eastAsia"/>
          <w:b/>
          <w:bCs/>
          <w:color w:val="000000" w:themeColor="text1"/>
          <w:sz w:val="30"/>
          <w:szCs w:val="30"/>
          <w:highlight w:val="none"/>
          <w14:textFill>
            <w14:solidFill>
              <w14:schemeClr w14:val="tx1"/>
            </w14:solidFill>
          </w14:textFill>
        </w:rPr>
        <w:t>认为需要提供的其他</w:t>
      </w:r>
      <w:r>
        <w:rPr>
          <w:rFonts w:hint="eastAsia"/>
          <w:b/>
          <w:bCs/>
          <w:color w:val="000000" w:themeColor="text1"/>
          <w:sz w:val="30"/>
          <w:szCs w:val="30"/>
          <w:highlight w:val="none"/>
          <w:lang w:eastAsia="zh-CN"/>
          <w14:textFill>
            <w14:solidFill>
              <w14:schemeClr w14:val="tx1"/>
            </w14:solidFill>
          </w14:textFill>
        </w:rPr>
        <w:t>商务文件</w:t>
      </w:r>
      <w:r>
        <w:rPr>
          <w:rFonts w:hint="eastAsia"/>
          <w:b/>
          <w:bCs/>
          <w:color w:val="000000" w:themeColor="text1"/>
          <w:sz w:val="30"/>
          <w:szCs w:val="30"/>
          <w:highlight w:val="none"/>
          <w14:textFill>
            <w14:solidFill>
              <w14:schemeClr w14:val="tx1"/>
            </w14:solidFill>
          </w14:textFill>
        </w:rPr>
        <w:t>材料（如有）</w:t>
      </w:r>
    </w:p>
    <w:p w14:paraId="272EB498">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default"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sectPr>
          <w:headerReference r:id="rId31" w:type="default"/>
          <w:pgSz w:w="11906" w:h="16838"/>
          <w:pgMar w:top="1134" w:right="1134" w:bottom="1134" w:left="1134" w:header="720" w:footer="720" w:gutter="0"/>
          <w:cols w:space="720" w:num="1"/>
          <w:docGrid w:type="lines" w:linePitch="331" w:charSpace="0"/>
        </w:sectPr>
      </w:pP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1、供应商提供信用中国网站（https://www.creditchina.gov.cn）查询截图（共需“失信被执行人”、“重大税收违法失信主体”(进入信用中国网站-信用服务-失信被执行人、重大税收违法失信主体-查询、截图)和中国政府采购网网站（http://www.ccgp.gov.cn）查询截图（</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instrText xml:space="preserve"> HYPERLINK "http://www.ccgp.gov.cn/search/cr/" \o "政府采购严重违法失信行为记录名单" </w:instrTex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政府采购严重违法失信行为记录名单</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），此项仅作为资料留存使用。</w:t>
      </w:r>
    </w:p>
    <w:p w14:paraId="6B3B96E7">
      <w:pPr>
        <w:pStyle w:val="4"/>
        <w:keepNext w:val="0"/>
        <w:keepLines w:val="0"/>
        <w:pageBreakBefore w:val="0"/>
        <w:wordWrap/>
        <w:topLinePunct w:val="0"/>
        <w:bidi w:val="0"/>
        <w:spacing w:line="560" w:lineRule="exact"/>
        <w:ind w:left="0" w:leftChars="0" w:firstLine="0" w:firstLineChars="0"/>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第</w:t>
      </w:r>
      <w:r>
        <w:rPr>
          <w:rFonts w:hint="eastAsia"/>
          <w:color w:val="000000" w:themeColor="text1"/>
          <w:highlight w:val="none"/>
          <w:lang w:eastAsia="zh-CN"/>
          <w14:textFill>
            <w14:solidFill>
              <w14:schemeClr w14:val="tx1"/>
            </w14:solidFill>
          </w14:textFill>
        </w:rPr>
        <w:t>四</w:t>
      </w:r>
      <w:r>
        <w:rPr>
          <w:rFonts w:hint="eastAsia"/>
          <w:color w:val="000000" w:themeColor="text1"/>
          <w:highlight w:val="none"/>
          <w14:textFill>
            <w14:solidFill>
              <w14:schemeClr w14:val="tx1"/>
            </w14:solidFill>
          </w14:textFill>
        </w:rPr>
        <w:t>节 技术文件格式</w:t>
      </w:r>
    </w:p>
    <w:p w14:paraId="7E435A23">
      <w:pPr>
        <w:pStyle w:val="17"/>
        <w:pageBreakBefore w:val="0"/>
        <w:wordWrap/>
        <w:topLinePunct w:val="0"/>
        <w:bidi w:val="0"/>
        <w:spacing w:line="560" w:lineRule="exac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一、技术需求偏离表</w:t>
      </w:r>
    </w:p>
    <w:p w14:paraId="45667CDB">
      <w:pPr>
        <w:pStyle w:val="17"/>
        <w:pageBreakBefore w:val="0"/>
        <w:wordWrap/>
        <w:topLinePunct w:val="0"/>
        <w:bidi w:val="0"/>
        <w:spacing w:line="560" w:lineRule="exact"/>
        <w:jc w:val="both"/>
        <w:rPr>
          <w:rFonts w:hint="eastAsia" w:eastAsiaTheme="minor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标项名称：</w:t>
      </w:r>
    </w:p>
    <w:tbl>
      <w:tblPr>
        <w:tblStyle w:val="34"/>
        <w:tblW w:w="96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2128"/>
        <w:gridCol w:w="2410"/>
        <w:gridCol w:w="2378"/>
        <w:gridCol w:w="1732"/>
      </w:tblGrid>
      <w:tr w14:paraId="33E9A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trPr>
        <w:tc>
          <w:tcPr>
            <w:tcW w:w="957" w:type="dxa"/>
            <w:vAlign w:val="center"/>
          </w:tcPr>
          <w:p w14:paraId="06FEBD68">
            <w:pPr>
              <w:pageBreakBefore w:val="0"/>
              <w:wordWrap/>
              <w:topLinePunct w:val="0"/>
              <w:bidi w:val="0"/>
              <w:spacing w:line="56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序号</w:t>
            </w:r>
          </w:p>
        </w:tc>
        <w:tc>
          <w:tcPr>
            <w:tcW w:w="2128" w:type="dxa"/>
            <w:vAlign w:val="center"/>
          </w:tcPr>
          <w:p w14:paraId="207432A2">
            <w:pPr>
              <w:pageBreakBefore w:val="0"/>
              <w:wordWrap/>
              <w:topLinePunct w:val="0"/>
              <w:bidi w:val="0"/>
              <w:spacing w:line="56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产品名称</w:t>
            </w:r>
          </w:p>
        </w:tc>
        <w:tc>
          <w:tcPr>
            <w:tcW w:w="2410" w:type="dxa"/>
            <w:vAlign w:val="center"/>
          </w:tcPr>
          <w:p w14:paraId="534A35D1">
            <w:pPr>
              <w:pageBreakBefore w:val="0"/>
              <w:wordWrap/>
              <w:topLinePunct w:val="0"/>
              <w:bidi w:val="0"/>
              <w:spacing w:line="56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招标产品参数</w:t>
            </w:r>
          </w:p>
        </w:tc>
        <w:tc>
          <w:tcPr>
            <w:tcW w:w="2378" w:type="dxa"/>
            <w:vAlign w:val="center"/>
          </w:tcPr>
          <w:p w14:paraId="1E1B9ECD">
            <w:pPr>
              <w:pageBreakBefore w:val="0"/>
              <w:wordWrap/>
              <w:topLinePunct w:val="0"/>
              <w:bidi w:val="0"/>
              <w:spacing w:line="56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投标产品参数</w:t>
            </w:r>
          </w:p>
        </w:tc>
        <w:tc>
          <w:tcPr>
            <w:tcW w:w="1732" w:type="dxa"/>
            <w:vAlign w:val="center"/>
          </w:tcPr>
          <w:p w14:paraId="3D13491D">
            <w:pPr>
              <w:pageBreakBefore w:val="0"/>
              <w:wordWrap/>
              <w:topLinePunct w:val="0"/>
              <w:bidi w:val="0"/>
              <w:spacing w:line="56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偏离说明</w:t>
            </w:r>
          </w:p>
        </w:tc>
      </w:tr>
      <w:tr w14:paraId="054C2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957" w:type="dxa"/>
            <w:vAlign w:val="center"/>
          </w:tcPr>
          <w:p w14:paraId="6FE467B6">
            <w:pPr>
              <w:pageBreakBefore w:val="0"/>
              <w:wordWrap/>
              <w:topLinePunct w:val="0"/>
              <w:bidi w:val="0"/>
              <w:spacing w:line="56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c>
          <w:tcPr>
            <w:tcW w:w="2128" w:type="dxa"/>
          </w:tcPr>
          <w:p w14:paraId="49086CC3">
            <w:pPr>
              <w:pageBreakBefore w:val="0"/>
              <w:wordWrap/>
              <w:topLinePunct w:val="0"/>
              <w:bidi w:val="0"/>
              <w:spacing w:line="560" w:lineRule="exact"/>
              <w:rPr>
                <w:rFonts w:hint="eastAsia" w:ascii="宋体" w:hAnsi="宋体" w:eastAsia="宋体" w:cs="宋体"/>
                <w:color w:val="000000" w:themeColor="text1"/>
                <w:sz w:val="24"/>
                <w:szCs w:val="24"/>
                <w:highlight w:val="none"/>
                <w14:textFill>
                  <w14:solidFill>
                    <w14:schemeClr w14:val="tx1"/>
                  </w14:solidFill>
                </w14:textFill>
              </w:rPr>
            </w:pPr>
          </w:p>
        </w:tc>
        <w:tc>
          <w:tcPr>
            <w:tcW w:w="2410" w:type="dxa"/>
          </w:tcPr>
          <w:p w14:paraId="6AAA352A">
            <w:pPr>
              <w:pageBreakBefore w:val="0"/>
              <w:wordWrap/>
              <w:topLinePunct w:val="0"/>
              <w:bidi w:val="0"/>
              <w:spacing w:line="560" w:lineRule="exact"/>
              <w:rPr>
                <w:rFonts w:hint="eastAsia" w:ascii="宋体" w:hAnsi="宋体" w:eastAsia="宋体" w:cs="宋体"/>
                <w:color w:val="000000" w:themeColor="text1"/>
                <w:sz w:val="24"/>
                <w:szCs w:val="24"/>
                <w:highlight w:val="none"/>
                <w14:textFill>
                  <w14:solidFill>
                    <w14:schemeClr w14:val="tx1"/>
                  </w14:solidFill>
                </w14:textFill>
              </w:rPr>
            </w:pPr>
          </w:p>
        </w:tc>
        <w:tc>
          <w:tcPr>
            <w:tcW w:w="2378" w:type="dxa"/>
          </w:tcPr>
          <w:p w14:paraId="4CA12A42">
            <w:pPr>
              <w:pageBreakBefore w:val="0"/>
              <w:wordWrap/>
              <w:topLinePunct w:val="0"/>
              <w:bidi w:val="0"/>
              <w:spacing w:line="560" w:lineRule="exact"/>
              <w:rPr>
                <w:rFonts w:hint="eastAsia" w:ascii="宋体" w:hAnsi="宋体" w:eastAsia="宋体" w:cs="宋体"/>
                <w:color w:val="000000" w:themeColor="text1"/>
                <w:sz w:val="24"/>
                <w:szCs w:val="24"/>
                <w:highlight w:val="none"/>
                <w14:textFill>
                  <w14:solidFill>
                    <w14:schemeClr w14:val="tx1"/>
                  </w14:solidFill>
                </w14:textFill>
              </w:rPr>
            </w:pPr>
          </w:p>
        </w:tc>
        <w:tc>
          <w:tcPr>
            <w:tcW w:w="1732" w:type="dxa"/>
          </w:tcPr>
          <w:p w14:paraId="4087535B">
            <w:pPr>
              <w:pageBreakBefore w:val="0"/>
              <w:wordWrap/>
              <w:topLinePunct w:val="0"/>
              <w:bidi w:val="0"/>
              <w:spacing w:line="560" w:lineRule="exact"/>
              <w:rPr>
                <w:rFonts w:hint="eastAsia" w:ascii="宋体" w:hAnsi="宋体" w:eastAsia="宋体" w:cs="宋体"/>
                <w:color w:val="000000" w:themeColor="text1"/>
                <w:sz w:val="24"/>
                <w:szCs w:val="24"/>
                <w:highlight w:val="none"/>
                <w14:textFill>
                  <w14:solidFill>
                    <w14:schemeClr w14:val="tx1"/>
                  </w14:solidFill>
                </w14:textFill>
              </w:rPr>
            </w:pPr>
          </w:p>
        </w:tc>
      </w:tr>
      <w:tr w14:paraId="5A770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957" w:type="dxa"/>
            <w:vAlign w:val="center"/>
          </w:tcPr>
          <w:p w14:paraId="1AE9091D">
            <w:pPr>
              <w:pageBreakBefore w:val="0"/>
              <w:wordWrap/>
              <w:topLinePunct w:val="0"/>
              <w:bidi w:val="0"/>
              <w:spacing w:line="56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p>
        </w:tc>
        <w:tc>
          <w:tcPr>
            <w:tcW w:w="2128" w:type="dxa"/>
          </w:tcPr>
          <w:p w14:paraId="4549F7AB">
            <w:pPr>
              <w:pageBreakBefore w:val="0"/>
              <w:wordWrap/>
              <w:topLinePunct w:val="0"/>
              <w:bidi w:val="0"/>
              <w:spacing w:line="560" w:lineRule="exact"/>
              <w:rPr>
                <w:rFonts w:hint="eastAsia" w:ascii="宋体" w:hAnsi="宋体" w:eastAsia="宋体" w:cs="宋体"/>
                <w:color w:val="000000" w:themeColor="text1"/>
                <w:sz w:val="24"/>
                <w:szCs w:val="24"/>
                <w:highlight w:val="none"/>
                <w14:textFill>
                  <w14:solidFill>
                    <w14:schemeClr w14:val="tx1"/>
                  </w14:solidFill>
                </w14:textFill>
              </w:rPr>
            </w:pPr>
          </w:p>
        </w:tc>
        <w:tc>
          <w:tcPr>
            <w:tcW w:w="2410" w:type="dxa"/>
          </w:tcPr>
          <w:p w14:paraId="36429CD4">
            <w:pPr>
              <w:pageBreakBefore w:val="0"/>
              <w:wordWrap/>
              <w:topLinePunct w:val="0"/>
              <w:bidi w:val="0"/>
              <w:spacing w:line="560" w:lineRule="exact"/>
              <w:rPr>
                <w:rFonts w:hint="eastAsia" w:ascii="宋体" w:hAnsi="宋体" w:eastAsia="宋体" w:cs="宋体"/>
                <w:color w:val="000000" w:themeColor="text1"/>
                <w:sz w:val="24"/>
                <w:szCs w:val="24"/>
                <w:highlight w:val="none"/>
                <w14:textFill>
                  <w14:solidFill>
                    <w14:schemeClr w14:val="tx1"/>
                  </w14:solidFill>
                </w14:textFill>
              </w:rPr>
            </w:pPr>
          </w:p>
        </w:tc>
        <w:tc>
          <w:tcPr>
            <w:tcW w:w="2378" w:type="dxa"/>
          </w:tcPr>
          <w:p w14:paraId="58D44128">
            <w:pPr>
              <w:pageBreakBefore w:val="0"/>
              <w:wordWrap/>
              <w:topLinePunct w:val="0"/>
              <w:bidi w:val="0"/>
              <w:spacing w:line="560" w:lineRule="exact"/>
              <w:rPr>
                <w:rFonts w:hint="eastAsia" w:ascii="宋体" w:hAnsi="宋体" w:eastAsia="宋体" w:cs="宋体"/>
                <w:color w:val="000000" w:themeColor="text1"/>
                <w:sz w:val="24"/>
                <w:szCs w:val="24"/>
                <w:highlight w:val="none"/>
                <w14:textFill>
                  <w14:solidFill>
                    <w14:schemeClr w14:val="tx1"/>
                  </w14:solidFill>
                </w14:textFill>
              </w:rPr>
            </w:pPr>
          </w:p>
        </w:tc>
        <w:tc>
          <w:tcPr>
            <w:tcW w:w="1732" w:type="dxa"/>
          </w:tcPr>
          <w:p w14:paraId="3330FAB0">
            <w:pPr>
              <w:pageBreakBefore w:val="0"/>
              <w:wordWrap/>
              <w:topLinePunct w:val="0"/>
              <w:bidi w:val="0"/>
              <w:spacing w:line="560" w:lineRule="exact"/>
              <w:rPr>
                <w:rFonts w:hint="eastAsia" w:ascii="宋体" w:hAnsi="宋体" w:eastAsia="宋体" w:cs="宋体"/>
                <w:color w:val="000000" w:themeColor="text1"/>
                <w:sz w:val="24"/>
                <w:szCs w:val="24"/>
                <w:highlight w:val="none"/>
                <w14:textFill>
                  <w14:solidFill>
                    <w14:schemeClr w14:val="tx1"/>
                  </w14:solidFill>
                </w14:textFill>
              </w:rPr>
            </w:pPr>
          </w:p>
        </w:tc>
      </w:tr>
      <w:tr w14:paraId="74D10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957" w:type="dxa"/>
            <w:vAlign w:val="center"/>
          </w:tcPr>
          <w:p w14:paraId="7D15C0E9">
            <w:pPr>
              <w:pageBreakBefore w:val="0"/>
              <w:wordWrap/>
              <w:topLinePunct w:val="0"/>
              <w:bidi w:val="0"/>
              <w:spacing w:line="56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w:t>
            </w:r>
          </w:p>
        </w:tc>
        <w:tc>
          <w:tcPr>
            <w:tcW w:w="2128" w:type="dxa"/>
          </w:tcPr>
          <w:p w14:paraId="3F7A645F">
            <w:pPr>
              <w:pageBreakBefore w:val="0"/>
              <w:wordWrap/>
              <w:topLinePunct w:val="0"/>
              <w:bidi w:val="0"/>
              <w:spacing w:line="560" w:lineRule="exact"/>
              <w:rPr>
                <w:rFonts w:hint="eastAsia" w:ascii="宋体" w:hAnsi="宋体" w:eastAsia="宋体" w:cs="宋体"/>
                <w:color w:val="000000" w:themeColor="text1"/>
                <w:sz w:val="24"/>
                <w:szCs w:val="24"/>
                <w:highlight w:val="none"/>
                <w14:textFill>
                  <w14:solidFill>
                    <w14:schemeClr w14:val="tx1"/>
                  </w14:solidFill>
                </w14:textFill>
              </w:rPr>
            </w:pPr>
          </w:p>
        </w:tc>
        <w:tc>
          <w:tcPr>
            <w:tcW w:w="2410" w:type="dxa"/>
          </w:tcPr>
          <w:p w14:paraId="08D3F7A4">
            <w:pPr>
              <w:pageBreakBefore w:val="0"/>
              <w:wordWrap/>
              <w:topLinePunct w:val="0"/>
              <w:bidi w:val="0"/>
              <w:spacing w:line="560" w:lineRule="exact"/>
              <w:rPr>
                <w:rFonts w:hint="eastAsia" w:ascii="宋体" w:hAnsi="宋体" w:eastAsia="宋体" w:cs="宋体"/>
                <w:color w:val="000000" w:themeColor="text1"/>
                <w:sz w:val="24"/>
                <w:szCs w:val="24"/>
                <w:highlight w:val="none"/>
                <w14:textFill>
                  <w14:solidFill>
                    <w14:schemeClr w14:val="tx1"/>
                  </w14:solidFill>
                </w14:textFill>
              </w:rPr>
            </w:pPr>
          </w:p>
        </w:tc>
        <w:tc>
          <w:tcPr>
            <w:tcW w:w="2378" w:type="dxa"/>
          </w:tcPr>
          <w:p w14:paraId="5D63424B">
            <w:pPr>
              <w:pageBreakBefore w:val="0"/>
              <w:wordWrap/>
              <w:topLinePunct w:val="0"/>
              <w:bidi w:val="0"/>
              <w:spacing w:line="560" w:lineRule="exact"/>
              <w:rPr>
                <w:rFonts w:hint="eastAsia" w:ascii="宋体" w:hAnsi="宋体" w:eastAsia="宋体" w:cs="宋体"/>
                <w:color w:val="000000" w:themeColor="text1"/>
                <w:sz w:val="24"/>
                <w:szCs w:val="24"/>
                <w:highlight w:val="none"/>
                <w14:textFill>
                  <w14:solidFill>
                    <w14:schemeClr w14:val="tx1"/>
                  </w14:solidFill>
                </w14:textFill>
              </w:rPr>
            </w:pPr>
          </w:p>
        </w:tc>
        <w:tc>
          <w:tcPr>
            <w:tcW w:w="1732" w:type="dxa"/>
          </w:tcPr>
          <w:p w14:paraId="060B6063">
            <w:pPr>
              <w:pageBreakBefore w:val="0"/>
              <w:wordWrap/>
              <w:topLinePunct w:val="0"/>
              <w:bidi w:val="0"/>
              <w:spacing w:line="560" w:lineRule="exact"/>
              <w:rPr>
                <w:rFonts w:hint="eastAsia" w:ascii="宋体" w:hAnsi="宋体" w:eastAsia="宋体" w:cs="宋体"/>
                <w:color w:val="000000" w:themeColor="text1"/>
                <w:sz w:val="24"/>
                <w:szCs w:val="24"/>
                <w:highlight w:val="none"/>
                <w14:textFill>
                  <w14:solidFill>
                    <w14:schemeClr w14:val="tx1"/>
                  </w14:solidFill>
                </w14:textFill>
              </w:rPr>
            </w:pPr>
          </w:p>
        </w:tc>
      </w:tr>
      <w:tr w14:paraId="0CD49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957" w:type="dxa"/>
            <w:vAlign w:val="center"/>
          </w:tcPr>
          <w:p w14:paraId="4884B51D">
            <w:pPr>
              <w:pageBreakBefore w:val="0"/>
              <w:wordWrap/>
              <w:topLinePunct w:val="0"/>
              <w:bidi w:val="0"/>
              <w:spacing w:line="56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w:t>
            </w:r>
          </w:p>
        </w:tc>
        <w:tc>
          <w:tcPr>
            <w:tcW w:w="2128" w:type="dxa"/>
          </w:tcPr>
          <w:p w14:paraId="53108740">
            <w:pPr>
              <w:pageBreakBefore w:val="0"/>
              <w:wordWrap/>
              <w:topLinePunct w:val="0"/>
              <w:bidi w:val="0"/>
              <w:spacing w:line="560" w:lineRule="exact"/>
              <w:rPr>
                <w:rFonts w:hint="eastAsia" w:ascii="宋体" w:hAnsi="宋体" w:eastAsia="宋体" w:cs="宋体"/>
                <w:color w:val="000000" w:themeColor="text1"/>
                <w:sz w:val="24"/>
                <w:szCs w:val="24"/>
                <w:highlight w:val="none"/>
                <w14:textFill>
                  <w14:solidFill>
                    <w14:schemeClr w14:val="tx1"/>
                  </w14:solidFill>
                </w14:textFill>
              </w:rPr>
            </w:pPr>
          </w:p>
        </w:tc>
        <w:tc>
          <w:tcPr>
            <w:tcW w:w="2410" w:type="dxa"/>
          </w:tcPr>
          <w:p w14:paraId="13070B2C">
            <w:pPr>
              <w:pageBreakBefore w:val="0"/>
              <w:wordWrap/>
              <w:topLinePunct w:val="0"/>
              <w:bidi w:val="0"/>
              <w:spacing w:line="560" w:lineRule="exact"/>
              <w:rPr>
                <w:rFonts w:hint="eastAsia" w:ascii="宋体" w:hAnsi="宋体" w:eastAsia="宋体" w:cs="宋体"/>
                <w:color w:val="000000" w:themeColor="text1"/>
                <w:sz w:val="24"/>
                <w:szCs w:val="24"/>
                <w:highlight w:val="none"/>
                <w14:textFill>
                  <w14:solidFill>
                    <w14:schemeClr w14:val="tx1"/>
                  </w14:solidFill>
                </w14:textFill>
              </w:rPr>
            </w:pPr>
          </w:p>
        </w:tc>
        <w:tc>
          <w:tcPr>
            <w:tcW w:w="2378" w:type="dxa"/>
          </w:tcPr>
          <w:p w14:paraId="4F5CF92B">
            <w:pPr>
              <w:pageBreakBefore w:val="0"/>
              <w:wordWrap/>
              <w:topLinePunct w:val="0"/>
              <w:bidi w:val="0"/>
              <w:spacing w:line="560" w:lineRule="exact"/>
              <w:rPr>
                <w:rFonts w:hint="eastAsia" w:ascii="宋体" w:hAnsi="宋体" w:eastAsia="宋体" w:cs="宋体"/>
                <w:color w:val="000000" w:themeColor="text1"/>
                <w:sz w:val="24"/>
                <w:szCs w:val="24"/>
                <w:highlight w:val="none"/>
                <w14:textFill>
                  <w14:solidFill>
                    <w14:schemeClr w14:val="tx1"/>
                  </w14:solidFill>
                </w14:textFill>
              </w:rPr>
            </w:pPr>
          </w:p>
        </w:tc>
        <w:tc>
          <w:tcPr>
            <w:tcW w:w="1732" w:type="dxa"/>
          </w:tcPr>
          <w:p w14:paraId="168CC482">
            <w:pPr>
              <w:pageBreakBefore w:val="0"/>
              <w:wordWrap/>
              <w:topLinePunct w:val="0"/>
              <w:bidi w:val="0"/>
              <w:spacing w:line="560" w:lineRule="exact"/>
              <w:rPr>
                <w:rFonts w:hint="eastAsia" w:ascii="宋体" w:hAnsi="宋体" w:eastAsia="宋体" w:cs="宋体"/>
                <w:color w:val="000000" w:themeColor="text1"/>
                <w:sz w:val="24"/>
                <w:szCs w:val="24"/>
                <w:highlight w:val="none"/>
                <w14:textFill>
                  <w14:solidFill>
                    <w14:schemeClr w14:val="tx1"/>
                  </w14:solidFill>
                </w14:textFill>
              </w:rPr>
            </w:pPr>
          </w:p>
        </w:tc>
      </w:tr>
      <w:tr w14:paraId="696D3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957" w:type="dxa"/>
            <w:vAlign w:val="center"/>
          </w:tcPr>
          <w:p w14:paraId="38C618E8">
            <w:pPr>
              <w:pageBreakBefore w:val="0"/>
              <w:wordWrap/>
              <w:topLinePunct w:val="0"/>
              <w:bidi w:val="0"/>
              <w:spacing w:line="56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w:t>
            </w:r>
          </w:p>
        </w:tc>
        <w:tc>
          <w:tcPr>
            <w:tcW w:w="2128" w:type="dxa"/>
          </w:tcPr>
          <w:p w14:paraId="063A5522">
            <w:pPr>
              <w:pageBreakBefore w:val="0"/>
              <w:wordWrap/>
              <w:topLinePunct w:val="0"/>
              <w:bidi w:val="0"/>
              <w:spacing w:line="560" w:lineRule="exact"/>
              <w:rPr>
                <w:rFonts w:hint="eastAsia" w:ascii="宋体" w:hAnsi="宋体" w:eastAsia="宋体" w:cs="宋体"/>
                <w:color w:val="000000" w:themeColor="text1"/>
                <w:sz w:val="24"/>
                <w:szCs w:val="24"/>
                <w:highlight w:val="none"/>
                <w14:textFill>
                  <w14:solidFill>
                    <w14:schemeClr w14:val="tx1"/>
                  </w14:solidFill>
                </w14:textFill>
              </w:rPr>
            </w:pPr>
          </w:p>
        </w:tc>
        <w:tc>
          <w:tcPr>
            <w:tcW w:w="2410" w:type="dxa"/>
          </w:tcPr>
          <w:p w14:paraId="3344D1D2">
            <w:pPr>
              <w:pageBreakBefore w:val="0"/>
              <w:wordWrap/>
              <w:topLinePunct w:val="0"/>
              <w:bidi w:val="0"/>
              <w:spacing w:line="560" w:lineRule="exact"/>
              <w:rPr>
                <w:rFonts w:hint="eastAsia" w:ascii="宋体" w:hAnsi="宋体" w:eastAsia="宋体" w:cs="宋体"/>
                <w:color w:val="000000" w:themeColor="text1"/>
                <w:sz w:val="24"/>
                <w:szCs w:val="24"/>
                <w:highlight w:val="none"/>
                <w14:textFill>
                  <w14:solidFill>
                    <w14:schemeClr w14:val="tx1"/>
                  </w14:solidFill>
                </w14:textFill>
              </w:rPr>
            </w:pPr>
          </w:p>
        </w:tc>
        <w:tc>
          <w:tcPr>
            <w:tcW w:w="2378" w:type="dxa"/>
          </w:tcPr>
          <w:p w14:paraId="37873527">
            <w:pPr>
              <w:pageBreakBefore w:val="0"/>
              <w:wordWrap/>
              <w:topLinePunct w:val="0"/>
              <w:bidi w:val="0"/>
              <w:spacing w:line="560" w:lineRule="exact"/>
              <w:rPr>
                <w:rFonts w:hint="eastAsia" w:ascii="宋体" w:hAnsi="宋体" w:eastAsia="宋体" w:cs="宋体"/>
                <w:color w:val="000000" w:themeColor="text1"/>
                <w:sz w:val="24"/>
                <w:szCs w:val="24"/>
                <w:highlight w:val="none"/>
                <w14:textFill>
                  <w14:solidFill>
                    <w14:schemeClr w14:val="tx1"/>
                  </w14:solidFill>
                </w14:textFill>
              </w:rPr>
            </w:pPr>
          </w:p>
        </w:tc>
        <w:tc>
          <w:tcPr>
            <w:tcW w:w="1732" w:type="dxa"/>
          </w:tcPr>
          <w:p w14:paraId="2065F8FB">
            <w:pPr>
              <w:pageBreakBefore w:val="0"/>
              <w:wordWrap/>
              <w:topLinePunct w:val="0"/>
              <w:bidi w:val="0"/>
              <w:spacing w:line="560" w:lineRule="exact"/>
              <w:rPr>
                <w:rFonts w:hint="eastAsia" w:ascii="宋体" w:hAnsi="宋体" w:eastAsia="宋体" w:cs="宋体"/>
                <w:color w:val="000000" w:themeColor="text1"/>
                <w:sz w:val="24"/>
                <w:szCs w:val="24"/>
                <w:highlight w:val="none"/>
                <w14:textFill>
                  <w14:solidFill>
                    <w14:schemeClr w14:val="tx1"/>
                  </w14:solidFill>
                </w14:textFill>
              </w:rPr>
            </w:pPr>
          </w:p>
        </w:tc>
      </w:tr>
      <w:tr w14:paraId="1FCEC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957" w:type="dxa"/>
            <w:vAlign w:val="center"/>
          </w:tcPr>
          <w:p w14:paraId="72CB2F3D">
            <w:pPr>
              <w:pageBreakBefore w:val="0"/>
              <w:wordWrap/>
              <w:topLinePunct w:val="0"/>
              <w:bidi w:val="0"/>
              <w:spacing w:line="56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w:t>
            </w:r>
          </w:p>
        </w:tc>
        <w:tc>
          <w:tcPr>
            <w:tcW w:w="2128" w:type="dxa"/>
          </w:tcPr>
          <w:p w14:paraId="6D334E58">
            <w:pPr>
              <w:pageBreakBefore w:val="0"/>
              <w:wordWrap/>
              <w:topLinePunct w:val="0"/>
              <w:bidi w:val="0"/>
              <w:spacing w:line="560" w:lineRule="exact"/>
              <w:rPr>
                <w:rFonts w:hint="eastAsia" w:ascii="宋体" w:hAnsi="宋体" w:eastAsia="宋体" w:cs="宋体"/>
                <w:color w:val="000000" w:themeColor="text1"/>
                <w:sz w:val="24"/>
                <w:szCs w:val="24"/>
                <w:highlight w:val="none"/>
                <w14:textFill>
                  <w14:solidFill>
                    <w14:schemeClr w14:val="tx1"/>
                  </w14:solidFill>
                </w14:textFill>
              </w:rPr>
            </w:pPr>
          </w:p>
        </w:tc>
        <w:tc>
          <w:tcPr>
            <w:tcW w:w="2410" w:type="dxa"/>
          </w:tcPr>
          <w:p w14:paraId="22CDD638">
            <w:pPr>
              <w:pageBreakBefore w:val="0"/>
              <w:wordWrap/>
              <w:topLinePunct w:val="0"/>
              <w:bidi w:val="0"/>
              <w:spacing w:line="560" w:lineRule="exact"/>
              <w:rPr>
                <w:rFonts w:hint="eastAsia" w:ascii="宋体" w:hAnsi="宋体" w:eastAsia="宋体" w:cs="宋体"/>
                <w:color w:val="000000" w:themeColor="text1"/>
                <w:sz w:val="24"/>
                <w:szCs w:val="24"/>
                <w:highlight w:val="none"/>
                <w14:textFill>
                  <w14:solidFill>
                    <w14:schemeClr w14:val="tx1"/>
                  </w14:solidFill>
                </w14:textFill>
              </w:rPr>
            </w:pPr>
          </w:p>
        </w:tc>
        <w:tc>
          <w:tcPr>
            <w:tcW w:w="2378" w:type="dxa"/>
          </w:tcPr>
          <w:p w14:paraId="29E1D176">
            <w:pPr>
              <w:pageBreakBefore w:val="0"/>
              <w:wordWrap/>
              <w:topLinePunct w:val="0"/>
              <w:bidi w:val="0"/>
              <w:spacing w:line="560" w:lineRule="exact"/>
              <w:rPr>
                <w:rFonts w:hint="eastAsia" w:ascii="宋体" w:hAnsi="宋体" w:eastAsia="宋体" w:cs="宋体"/>
                <w:color w:val="000000" w:themeColor="text1"/>
                <w:sz w:val="24"/>
                <w:szCs w:val="24"/>
                <w:highlight w:val="none"/>
                <w14:textFill>
                  <w14:solidFill>
                    <w14:schemeClr w14:val="tx1"/>
                  </w14:solidFill>
                </w14:textFill>
              </w:rPr>
            </w:pPr>
          </w:p>
        </w:tc>
        <w:tc>
          <w:tcPr>
            <w:tcW w:w="1732" w:type="dxa"/>
          </w:tcPr>
          <w:p w14:paraId="1225C22C">
            <w:pPr>
              <w:pageBreakBefore w:val="0"/>
              <w:wordWrap/>
              <w:topLinePunct w:val="0"/>
              <w:bidi w:val="0"/>
              <w:spacing w:line="560" w:lineRule="exact"/>
              <w:rPr>
                <w:rFonts w:hint="eastAsia" w:ascii="宋体" w:hAnsi="宋体" w:eastAsia="宋体" w:cs="宋体"/>
                <w:color w:val="000000" w:themeColor="text1"/>
                <w:sz w:val="24"/>
                <w:szCs w:val="24"/>
                <w:highlight w:val="none"/>
                <w14:textFill>
                  <w14:solidFill>
                    <w14:schemeClr w14:val="tx1"/>
                  </w14:solidFill>
                </w14:textFill>
              </w:rPr>
            </w:pPr>
          </w:p>
        </w:tc>
      </w:tr>
      <w:tr w14:paraId="53EF8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957" w:type="dxa"/>
            <w:vAlign w:val="center"/>
          </w:tcPr>
          <w:p w14:paraId="41092054">
            <w:pPr>
              <w:pageBreakBefore w:val="0"/>
              <w:wordWrap/>
              <w:topLinePunct w:val="0"/>
              <w:bidi w:val="0"/>
              <w:spacing w:line="56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p>
        </w:tc>
        <w:tc>
          <w:tcPr>
            <w:tcW w:w="2128" w:type="dxa"/>
          </w:tcPr>
          <w:p w14:paraId="6711FC1C">
            <w:pPr>
              <w:pageBreakBefore w:val="0"/>
              <w:wordWrap/>
              <w:topLinePunct w:val="0"/>
              <w:bidi w:val="0"/>
              <w:spacing w:line="560" w:lineRule="exact"/>
              <w:rPr>
                <w:rFonts w:hint="eastAsia" w:ascii="宋体" w:hAnsi="宋体" w:eastAsia="宋体" w:cs="宋体"/>
                <w:color w:val="000000" w:themeColor="text1"/>
                <w:sz w:val="24"/>
                <w:szCs w:val="24"/>
                <w:highlight w:val="none"/>
                <w14:textFill>
                  <w14:solidFill>
                    <w14:schemeClr w14:val="tx1"/>
                  </w14:solidFill>
                </w14:textFill>
              </w:rPr>
            </w:pPr>
          </w:p>
        </w:tc>
        <w:tc>
          <w:tcPr>
            <w:tcW w:w="2410" w:type="dxa"/>
          </w:tcPr>
          <w:p w14:paraId="5C91D517">
            <w:pPr>
              <w:pageBreakBefore w:val="0"/>
              <w:wordWrap/>
              <w:topLinePunct w:val="0"/>
              <w:bidi w:val="0"/>
              <w:spacing w:line="560" w:lineRule="exact"/>
              <w:rPr>
                <w:rFonts w:hint="eastAsia" w:ascii="宋体" w:hAnsi="宋体" w:eastAsia="宋体" w:cs="宋体"/>
                <w:color w:val="000000" w:themeColor="text1"/>
                <w:sz w:val="24"/>
                <w:szCs w:val="24"/>
                <w:highlight w:val="none"/>
                <w14:textFill>
                  <w14:solidFill>
                    <w14:schemeClr w14:val="tx1"/>
                  </w14:solidFill>
                </w14:textFill>
              </w:rPr>
            </w:pPr>
          </w:p>
        </w:tc>
        <w:tc>
          <w:tcPr>
            <w:tcW w:w="2378" w:type="dxa"/>
          </w:tcPr>
          <w:p w14:paraId="2062D519">
            <w:pPr>
              <w:pageBreakBefore w:val="0"/>
              <w:wordWrap/>
              <w:topLinePunct w:val="0"/>
              <w:bidi w:val="0"/>
              <w:spacing w:line="560" w:lineRule="exact"/>
              <w:rPr>
                <w:rFonts w:hint="eastAsia" w:ascii="宋体" w:hAnsi="宋体" w:eastAsia="宋体" w:cs="宋体"/>
                <w:color w:val="000000" w:themeColor="text1"/>
                <w:sz w:val="24"/>
                <w:szCs w:val="24"/>
                <w:highlight w:val="none"/>
                <w14:textFill>
                  <w14:solidFill>
                    <w14:schemeClr w14:val="tx1"/>
                  </w14:solidFill>
                </w14:textFill>
              </w:rPr>
            </w:pPr>
          </w:p>
        </w:tc>
        <w:tc>
          <w:tcPr>
            <w:tcW w:w="1732" w:type="dxa"/>
          </w:tcPr>
          <w:p w14:paraId="678B67B6">
            <w:pPr>
              <w:pageBreakBefore w:val="0"/>
              <w:wordWrap/>
              <w:topLinePunct w:val="0"/>
              <w:bidi w:val="0"/>
              <w:spacing w:line="560" w:lineRule="exact"/>
              <w:rPr>
                <w:rFonts w:hint="eastAsia" w:ascii="宋体" w:hAnsi="宋体" w:eastAsia="宋体" w:cs="宋体"/>
                <w:color w:val="000000" w:themeColor="text1"/>
                <w:sz w:val="24"/>
                <w:szCs w:val="24"/>
                <w:highlight w:val="none"/>
                <w14:textFill>
                  <w14:solidFill>
                    <w14:schemeClr w14:val="tx1"/>
                  </w14:solidFill>
                </w14:textFill>
              </w:rPr>
            </w:pPr>
          </w:p>
        </w:tc>
      </w:tr>
      <w:tr w14:paraId="1A99A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957" w:type="dxa"/>
            <w:vAlign w:val="center"/>
          </w:tcPr>
          <w:p w14:paraId="494DB921">
            <w:pPr>
              <w:pageBreakBefore w:val="0"/>
              <w:wordWrap/>
              <w:topLinePunct w:val="0"/>
              <w:bidi w:val="0"/>
              <w:spacing w:line="56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p>
        </w:tc>
        <w:tc>
          <w:tcPr>
            <w:tcW w:w="2128" w:type="dxa"/>
          </w:tcPr>
          <w:p w14:paraId="2AAC589F">
            <w:pPr>
              <w:pageBreakBefore w:val="0"/>
              <w:wordWrap/>
              <w:topLinePunct w:val="0"/>
              <w:bidi w:val="0"/>
              <w:spacing w:line="560" w:lineRule="exact"/>
              <w:rPr>
                <w:rFonts w:hint="eastAsia" w:ascii="宋体" w:hAnsi="宋体" w:eastAsia="宋体" w:cs="宋体"/>
                <w:color w:val="000000" w:themeColor="text1"/>
                <w:sz w:val="24"/>
                <w:szCs w:val="24"/>
                <w:highlight w:val="none"/>
                <w14:textFill>
                  <w14:solidFill>
                    <w14:schemeClr w14:val="tx1"/>
                  </w14:solidFill>
                </w14:textFill>
              </w:rPr>
            </w:pPr>
          </w:p>
        </w:tc>
        <w:tc>
          <w:tcPr>
            <w:tcW w:w="2410" w:type="dxa"/>
          </w:tcPr>
          <w:p w14:paraId="32E9AD13">
            <w:pPr>
              <w:pageBreakBefore w:val="0"/>
              <w:wordWrap/>
              <w:topLinePunct w:val="0"/>
              <w:bidi w:val="0"/>
              <w:spacing w:line="560" w:lineRule="exact"/>
              <w:rPr>
                <w:rFonts w:hint="eastAsia" w:ascii="宋体" w:hAnsi="宋体" w:eastAsia="宋体" w:cs="宋体"/>
                <w:color w:val="000000" w:themeColor="text1"/>
                <w:sz w:val="24"/>
                <w:szCs w:val="24"/>
                <w:highlight w:val="none"/>
                <w14:textFill>
                  <w14:solidFill>
                    <w14:schemeClr w14:val="tx1"/>
                  </w14:solidFill>
                </w14:textFill>
              </w:rPr>
            </w:pPr>
          </w:p>
        </w:tc>
        <w:tc>
          <w:tcPr>
            <w:tcW w:w="2378" w:type="dxa"/>
          </w:tcPr>
          <w:p w14:paraId="25E5C6F7">
            <w:pPr>
              <w:pageBreakBefore w:val="0"/>
              <w:wordWrap/>
              <w:topLinePunct w:val="0"/>
              <w:bidi w:val="0"/>
              <w:spacing w:line="560" w:lineRule="exact"/>
              <w:rPr>
                <w:rFonts w:hint="eastAsia" w:ascii="宋体" w:hAnsi="宋体" w:eastAsia="宋体" w:cs="宋体"/>
                <w:color w:val="000000" w:themeColor="text1"/>
                <w:sz w:val="24"/>
                <w:szCs w:val="24"/>
                <w:highlight w:val="none"/>
                <w14:textFill>
                  <w14:solidFill>
                    <w14:schemeClr w14:val="tx1"/>
                  </w14:solidFill>
                </w14:textFill>
              </w:rPr>
            </w:pPr>
          </w:p>
        </w:tc>
        <w:tc>
          <w:tcPr>
            <w:tcW w:w="1732" w:type="dxa"/>
          </w:tcPr>
          <w:p w14:paraId="560AF766">
            <w:pPr>
              <w:pageBreakBefore w:val="0"/>
              <w:wordWrap/>
              <w:topLinePunct w:val="0"/>
              <w:bidi w:val="0"/>
              <w:spacing w:line="560" w:lineRule="exact"/>
              <w:rPr>
                <w:rFonts w:hint="eastAsia" w:ascii="宋体" w:hAnsi="宋体" w:eastAsia="宋体" w:cs="宋体"/>
                <w:color w:val="000000" w:themeColor="text1"/>
                <w:sz w:val="24"/>
                <w:szCs w:val="24"/>
                <w:highlight w:val="none"/>
                <w14:textFill>
                  <w14:solidFill>
                    <w14:schemeClr w14:val="tx1"/>
                  </w14:solidFill>
                </w14:textFill>
              </w:rPr>
            </w:pPr>
          </w:p>
        </w:tc>
      </w:tr>
      <w:tr w14:paraId="0070F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957" w:type="dxa"/>
            <w:vAlign w:val="center"/>
          </w:tcPr>
          <w:p w14:paraId="7F20EEBE">
            <w:pPr>
              <w:pageBreakBefore w:val="0"/>
              <w:wordWrap/>
              <w:topLinePunct w:val="0"/>
              <w:bidi w:val="0"/>
              <w:spacing w:line="56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p>
        </w:tc>
        <w:tc>
          <w:tcPr>
            <w:tcW w:w="2128" w:type="dxa"/>
          </w:tcPr>
          <w:p w14:paraId="3F0AF70A">
            <w:pPr>
              <w:pageBreakBefore w:val="0"/>
              <w:wordWrap/>
              <w:topLinePunct w:val="0"/>
              <w:bidi w:val="0"/>
              <w:spacing w:line="560" w:lineRule="exact"/>
              <w:rPr>
                <w:rFonts w:hint="eastAsia" w:ascii="宋体" w:hAnsi="宋体" w:eastAsia="宋体" w:cs="宋体"/>
                <w:color w:val="000000" w:themeColor="text1"/>
                <w:sz w:val="24"/>
                <w:szCs w:val="24"/>
                <w:highlight w:val="none"/>
                <w14:textFill>
                  <w14:solidFill>
                    <w14:schemeClr w14:val="tx1"/>
                  </w14:solidFill>
                </w14:textFill>
              </w:rPr>
            </w:pPr>
          </w:p>
        </w:tc>
        <w:tc>
          <w:tcPr>
            <w:tcW w:w="2410" w:type="dxa"/>
          </w:tcPr>
          <w:p w14:paraId="1CF8C3A7">
            <w:pPr>
              <w:pageBreakBefore w:val="0"/>
              <w:wordWrap/>
              <w:topLinePunct w:val="0"/>
              <w:bidi w:val="0"/>
              <w:spacing w:line="560" w:lineRule="exact"/>
              <w:rPr>
                <w:rFonts w:hint="eastAsia" w:ascii="宋体" w:hAnsi="宋体" w:eastAsia="宋体" w:cs="宋体"/>
                <w:color w:val="000000" w:themeColor="text1"/>
                <w:sz w:val="24"/>
                <w:szCs w:val="24"/>
                <w:highlight w:val="none"/>
                <w14:textFill>
                  <w14:solidFill>
                    <w14:schemeClr w14:val="tx1"/>
                  </w14:solidFill>
                </w14:textFill>
              </w:rPr>
            </w:pPr>
          </w:p>
        </w:tc>
        <w:tc>
          <w:tcPr>
            <w:tcW w:w="2378" w:type="dxa"/>
          </w:tcPr>
          <w:p w14:paraId="60141EA8">
            <w:pPr>
              <w:pageBreakBefore w:val="0"/>
              <w:wordWrap/>
              <w:topLinePunct w:val="0"/>
              <w:bidi w:val="0"/>
              <w:spacing w:line="560" w:lineRule="exact"/>
              <w:rPr>
                <w:rFonts w:hint="eastAsia" w:ascii="宋体" w:hAnsi="宋体" w:eastAsia="宋体" w:cs="宋体"/>
                <w:color w:val="000000" w:themeColor="text1"/>
                <w:sz w:val="24"/>
                <w:szCs w:val="24"/>
                <w:highlight w:val="none"/>
                <w14:textFill>
                  <w14:solidFill>
                    <w14:schemeClr w14:val="tx1"/>
                  </w14:solidFill>
                </w14:textFill>
              </w:rPr>
            </w:pPr>
          </w:p>
        </w:tc>
        <w:tc>
          <w:tcPr>
            <w:tcW w:w="1732" w:type="dxa"/>
          </w:tcPr>
          <w:p w14:paraId="49B6B627">
            <w:pPr>
              <w:pageBreakBefore w:val="0"/>
              <w:wordWrap/>
              <w:topLinePunct w:val="0"/>
              <w:bidi w:val="0"/>
              <w:spacing w:line="560" w:lineRule="exact"/>
              <w:rPr>
                <w:rFonts w:hint="eastAsia" w:ascii="宋体" w:hAnsi="宋体" w:eastAsia="宋体" w:cs="宋体"/>
                <w:color w:val="000000" w:themeColor="text1"/>
                <w:sz w:val="24"/>
                <w:szCs w:val="24"/>
                <w:highlight w:val="none"/>
                <w14:textFill>
                  <w14:solidFill>
                    <w14:schemeClr w14:val="tx1"/>
                  </w14:solidFill>
                </w14:textFill>
              </w:rPr>
            </w:pPr>
          </w:p>
        </w:tc>
      </w:tr>
    </w:tbl>
    <w:p w14:paraId="3E1CE5B5">
      <w:pPr>
        <w:keepNext w:val="0"/>
        <w:keepLines w:val="0"/>
        <w:pageBreakBefore w:val="0"/>
        <w:widowControl w:val="0"/>
        <w:kinsoku/>
        <w:wordWrap/>
        <w:overflowPunct/>
        <w:topLinePunct w:val="0"/>
        <w:autoSpaceDE w:val="0"/>
        <w:autoSpaceDN w:val="0"/>
        <w:bidi w:val="0"/>
        <w:adjustRightInd/>
        <w:snapToGrid/>
        <w:spacing w:line="560" w:lineRule="exact"/>
        <w:ind w:left="0" w:leftChars="0" w:firstLine="0" w:firstLineChars="0"/>
        <w:textAlignment w:val="auto"/>
        <w:rPr>
          <w:rFonts w:hint="eastAsia" w:ascii="宋体" w:hAnsi="宋体" w:eastAsia="宋体" w:cs="宋体"/>
          <w:b/>
          <w:bCs/>
          <w:color w:val="000000" w:themeColor="text1"/>
          <w:kern w:val="0"/>
          <w:sz w:val="28"/>
          <w:szCs w:val="28"/>
          <w:highlight w:val="none"/>
          <w14:textFill>
            <w14:solidFill>
              <w14:schemeClr w14:val="tx1"/>
            </w14:solidFill>
          </w14:textFill>
        </w:rPr>
      </w:pPr>
      <w:r>
        <w:rPr>
          <w:rFonts w:hint="eastAsia" w:ascii="宋体" w:hAnsi="宋体" w:cs="宋体"/>
          <w:b/>
          <w:bCs/>
          <w:color w:val="000000" w:themeColor="text1"/>
          <w:kern w:val="0"/>
          <w:sz w:val="28"/>
          <w:szCs w:val="28"/>
          <w:highlight w:val="none"/>
          <w:lang w:eastAsia="zh-CN"/>
          <w14:textFill>
            <w14:solidFill>
              <w14:schemeClr w14:val="tx1"/>
            </w14:solidFill>
          </w14:textFill>
        </w:rPr>
        <w:t>注：</w:t>
      </w:r>
      <w:r>
        <w:rPr>
          <w:rFonts w:hint="eastAsia" w:ascii="宋体" w:hAnsi="宋体" w:cs="宋体"/>
          <w:b/>
          <w:bCs/>
          <w:color w:val="000000" w:themeColor="text1"/>
          <w:kern w:val="0"/>
          <w:sz w:val="28"/>
          <w:szCs w:val="28"/>
          <w:highlight w:val="none"/>
          <w:lang w:val="en-US" w:eastAsia="zh-CN"/>
          <w14:textFill>
            <w14:solidFill>
              <w14:schemeClr w14:val="tx1"/>
            </w14:solidFill>
          </w14:textFill>
        </w:rPr>
        <w:t>1</w:t>
      </w:r>
      <w:r>
        <w:rPr>
          <w:rFonts w:hint="eastAsia" w:ascii="宋体" w:hAnsi="宋体" w:eastAsia="宋体" w:cs="宋体"/>
          <w:b/>
          <w:bCs/>
          <w:color w:val="000000" w:themeColor="text1"/>
          <w:kern w:val="0"/>
          <w:sz w:val="28"/>
          <w:szCs w:val="28"/>
          <w:highlight w:val="none"/>
          <w14:textFill>
            <w14:solidFill>
              <w14:schemeClr w14:val="tx1"/>
            </w14:solidFill>
          </w14:textFill>
        </w:rPr>
        <w:t>.相关证明材料</w:t>
      </w:r>
      <w:r>
        <w:rPr>
          <w:rFonts w:hint="eastAsia" w:ascii="宋体" w:hAnsi="宋体" w:cs="宋体"/>
          <w:b/>
          <w:bCs/>
          <w:color w:val="000000" w:themeColor="text1"/>
          <w:kern w:val="0"/>
          <w:sz w:val="28"/>
          <w:szCs w:val="28"/>
          <w:highlight w:val="none"/>
          <w:lang w:eastAsia="zh-CN"/>
          <w14:textFill>
            <w14:solidFill>
              <w14:schemeClr w14:val="tx1"/>
            </w14:solidFill>
          </w14:textFill>
        </w:rPr>
        <w:t>如有</w:t>
      </w:r>
      <w:r>
        <w:rPr>
          <w:rFonts w:hint="eastAsia" w:ascii="宋体" w:hAnsi="宋体" w:eastAsia="宋体" w:cs="宋体"/>
          <w:b/>
          <w:bCs/>
          <w:color w:val="000000" w:themeColor="text1"/>
          <w:kern w:val="0"/>
          <w:sz w:val="28"/>
          <w:szCs w:val="28"/>
          <w:highlight w:val="none"/>
          <w14:textFill>
            <w14:solidFill>
              <w14:schemeClr w14:val="tx1"/>
            </w14:solidFill>
          </w14:textFill>
        </w:rPr>
        <w:t>（</w:t>
      </w:r>
      <w:r>
        <w:rPr>
          <w:rFonts w:hint="eastAsia" w:ascii="宋体" w:hAnsi="宋体" w:cs="宋体"/>
          <w:b/>
          <w:bCs/>
          <w:color w:val="000000" w:themeColor="text1"/>
          <w:kern w:val="0"/>
          <w:sz w:val="28"/>
          <w:szCs w:val="28"/>
          <w:highlight w:val="none"/>
          <w:lang w:eastAsia="zh-CN"/>
          <w14:textFill>
            <w14:solidFill>
              <w14:schemeClr w14:val="tx1"/>
            </w14:solidFill>
          </w14:textFill>
        </w:rPr>
        <w:t>如有设备的</w:t>
      </w:r>
      <w:r>
        <w:rPr>
          <w:rFonts w:hint="eastAsia" w:ascii="宋体" w:hAnsi="宋体" w:eastAsia="宋体" w:cs="宋体"/>
          <w:b/>
          <w:bCs/>
          <w:color w:val="000000" w:themeColor="text1"/>
          <w:kern w:val="0"/>
          <w:sz w:val="28"/>
          <w:szCs w:val="28"/>
          <w:highlight w:val="none"/>
          <w14:textFill>
            <w14:solidFill>
              <w14:schemeClr w14:val="tx1"/>
            </w14:solidFill>
          </w14:textFill>
        </w:rPr>
        <w:t>检测报告、</w:t>
      </w:r>
      <w:r>
        <w:rPr>
          <w:rFonts w:hint="eastAsia" w:ascii="宋体" w:hAnsi="宋体" w:cs="宋体"/>
          <w:b/>
          <w:bCs/>
          <w:color w:val="000000" w:themeColor="text1"/>
          <w:kern w:val="0"/>
          <w:sz w:val="28"/>
          <w:szCs w:val="28"/>
          <w:highlight w:val="none"/>
          <w:lang w:eastAsia="zh-CN"/>
          <w14:textFill>
            <w14:solidFill>
              <w14:schemeClr w14:val="tx1"/>
            </w14:solidFill>
          </w14:textFill>
        </w:rPr>
        <w:t>彩页、照片</w:t>
      </w:r>
      <w:r>
        <w:rPr>
          <w:rFonts w:hint="eastAsia" w:ascii="宋体" w:hAnsi="宋体" w:eastAsia="宋体" w:cs="宋体"/>
          <w:b/>
          <w:bCs/>
          <w:color w:val="000000" w:themeColor="text1"/>
          <w:kern w:val="0"/>
          <w:sz w:val="28"/>
          <w:szCs w:val="28"/>
          <w:highlight w:val="none"/>
          <w14:textFill>
            <w14:solidFill>
              <w14:schemeClr w14:val="tx1"/>
            </w14:solidFill>
          </w14:textFill>
        </w:rPr>
        <w:t>等）。</w:t>
      </w:r>
    </w:p>
    <w:p w14:paraId="001C1991">
      <w:pPr>
        <w:keepNext w:val="0"/>
        <w:keepLines w:val="0"/>
        <w:pageBreakBefore w:val="0"/>
        <w:widowControl w:val="0"/>
        <w:kinsoku/>
        <w:wordWrap/>
        <w:overflowPunct/>
        <w:topLinePunct w:val="0"/>
        <w:autoSpaceDE w:val="0"/>
        <w:autoSpaceDN w:val="0"/>
        <w:bidi w:val="0"/>
        <w:adjustRightInd/>
        <w:snapToGrid/>
        <w:spacing w:line="560" w:lineRule="exact"/>
        <w:ind w:left="0" w:leftChars="0" w:firstLine="562" w:firstLineChars="200"/>
        <w:textAlignment w:val="auto"/>
        <w:rPr>
          <w:rFonts w:hint="eastAsia" w:ascii="宋体" w:hAnsi="宋体" w:eastAsia="宋体" w:cs="宋体"/>
          <w:b/>
          <w:bCs/>
          <w:color w:val="000000" w:themeColor="text1"/>
          <w:kern w:val="0"/>
          <w:sz w:val="28"/>
          <w:szCs w:val="28"/>
          <w:highlight w:val="none"/>
          <w:lang w:val="en-US" w:eastAsia="zh-CN"/>
          <w14:textFill>
            <w14:solidFill>
              <w14:schemeClr w14:val="tx1"/>
            </w14:solidFill>
          </w14:textFill>
        </w:rPr>
      </w:pPr>
      <w:r>
        <w:rPr>
          <w:rFonts w:hint="eastAsia" w:ascii="宋体" w:hAnsi="宋体" w:cs="宋体"/>
          <w:b/>
          <w:bCs/>
          <w:color w:val="000000" w:themeColor="text1"/>
          <w:kern w:val="0"/>
          <w:sz w:val="28"/>
          <w:szCs w:val="28"/>
          <w:highlight w:val="none"/>
          <w:lang w:val="en-US" w:eastAsia="zh-CN"/>
          <w14:textFill>
            <w14:solidFill>
              <w14:schemeClr w14:val="tx1"/>
            </w14:solidFill>
          </w14:textFill>
        </w:rPr>
        <w:t>2、供应商可根据自身需求自行加减行数。</w:t>
      </w:r>
    </w:p>
    <w:p w14:paraId="72DCC10D">
      <w:pPr>
        <w:pageBreakBefore w:val="0"/>
        <w:wordWrap/>
        <w:topLinePunct w:val="0"/>
        <w:bidi w:val="0"/>
        <w:snapToGrid w:val="0"/>
        <w:spacing w:line="560" w:lineRule="exact"/>
        <w:rPr>
          <w:rFonts w:cs="仿宋_GB2312" w:asciiTheme="minorEastAsia" w:hAnsiTheme="minorEastAsia" w:eastAsiaTheme="minorEastAsia"/>
          <w:color w:val="000000" w:themeColor="text1"/>
          <w:kern w:val="0"/>
          <w:sz w:val="24"/>
          <w:highlight w:val="none"/>
          <w:lang w:val="zh-CN"/>
          <w14:textFill>
            <w14:solidFill>
              <w14:schemeClr w14:val="tx1"/>
            </w14:solidFill>
          </w14:textFill>
        </w:rPr>
      </w:pPr>
    </w:p>
    <w:p w14:paraId="57452C6F">
      <w:pPr>
        <w:pageBreakBefore w:val="0"/>
        <w:wordWrap/>
        <w:topLinePunct w:val="0"/>
        <w:bidi w:val="0"/>
        <w:snapToGrid w:val="0"/>
        <w:spacing w:line="560" w:lineRule="exact"/>
        <w:rPr>
          <w:rFonts w:cs="仿宋_GB2312" w:asciiTheme="minorEastAsia" w:hAnsiTheme="minorEastAsia" w:eastAsiaTheme="minorEastAsia"/>
          <w:color w:val="000000" w:themeColor="text1"/>
          <w:kern w:val="0"/>
          <w:sz w:val="24"/>
          <w:highlight w:val="none"/>
          <w:lang w:val="zh-CN"/>
          <w14:textFill>
            <w14:solidFill>
              <w14:schemeClr w14:val="tx1"/>
            </w14:solidFill>
          </w14:textFill>
        </w:rPr>
      </w:pPr>
    </w:p>
    <w:p w14:paraId="35B2C7B3">
      <w:pPr>
        <w:pageBreakBefore w:val="0"/>
        <w:wordWrap/>
        <w:topLinePunct w:val="0"/>
        <w:bidi w:val="0"/>
        <w:snapToGrid w:val="0"/>
        <w:spacing w:line="560" w:lineRule="exact"/>
        <w:rPr>
          <w:rFonts w:cs="仿宋_GB2312" w:asciiTheme="minorEastAsia" w:hAnsiTheme="minorEastAsia" w:eastAsiaTheme="minorEastAsia"/>
          <w:color w:val="000000" w:themeColor="text1"/>
          <w:kern w:val="0"/>
          <w:sz w:val="24"/>
          <w:highlight w:val="none"/>
          <w:lang w:val="zh-CN"/>
          <w14:textFill>
            <w14:solidFill>
              <w14:schemeClr w14:val="tx1"/>
            </w14:solidFill>
          </w14:textFill>
        </w:rPr>
      </w:pPr>
    </w:p>
    <w:p w14:paraId="7C8C1EF9">
      <w:pPr>
        <w:pageBreakBefore w:val="0"/>
        <w:wordWrap/>
        <w:topLinePunct w:val="0"/>
        <w:bidi w:val="0"/>
        <w:snapToGrid w:val="0"/>
        <w:spacing w:line="560" w:lineRule="exact"/>
        <w:rPr>
          <w:rFonts w:cs="仿宋_GB2312" w:asciiTheme="minorEastAsia" w:hAnsiTheme="minorEastAsia" w:eastAsiaTheme="minorEastAsia"/>
          <w:color w:val="000000" w:themeColor="text1"/>
          <w:kern w:val="0"/>
          <w:sz w:val="24"/>
          <w:highlight w:val="none"/>
          <w:lang w:val="zh-CN"/>
          <w14:textFill>
            <w14:solidFill>
              <w14:schemeClr w14:val="tx1"/>
            </w14:solidFill>
          </w14:textFill>
        </w:rPr>
      </w:pPr>
    </w:p>
    <w:p w14:paraId="77876AB7">
      <w:pPr>
        <w:pageBreakBefore w:val="0"/>
        <w:wordWrap/>
        <w:topLinePunct w:val="0"/>
        <w:bidi w:val="0"/>
        <w:snapToGrid w:val="0"/>
        <w:spacing w:line="560" w:lineRule="exact"/>
        <w:rPr>
          <w:rFonts w:cs="仿宋_GB2312" w:asciiTheme="minorEastAsia" w:hAnsiTheme="minorEastAsia" w:eastAsiaTheme="minorEastAsia"/>
          <w:color w:val="000000" w:themeColor="text1"/>
          <w:kern w:val="0"/>
          <w:sz w:val="24"/>
          <w:highlight w:val="none"/>
          <w:lang w:val="zh-CN"/>
          <w14:textFill>
            <w14:solidFill>
              <w14:schemeClr w14:val="tx1"/>
            </w14:solidFill>
          </w14:textFill>
        </w:rPr>
      </w:pPr>
    </w:p>
    <w:p w14:paraId="3B788ABD">
      <w:pPr>
        <w:pStyle w:val="17"/>
        <w:pageBreakBefore w:val="0"/>
        <w:wordWrap/>
        <w:topLinePunct w:val="0"/>
        <w:bidi w:val="0"/>
        <w:spacing w:line="560" w:lineRule="exac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二、</w:t>
      </w:r>
      <w:r>
        <w:rPr>
          <w:rFonts w:hint="eastAsia"/>
          <w:color w:val="000000" w:themeColor="text1"/>
          <w:highlight w:val="none"/>
          <w14:textFill>
            <w14:solidFill>
              <w14:schemeClr w14:val="tx1"/>
            </w14:solidFill>
          </w14:textFill>
        </w:rPr>
        <w:t>采购清单</w:t>
      </w:r>
    </w:p>
    <w:p w14:paraId="0735B8B6">
      <w:pPr>
        <w:pStyle w:val="17"/>
        <w:pageBreakBefore w:val="0"/>
        <w:wordWrap/>
        <w:topLinePunct w:val="0"/>
        <w:bidi w:val="0"/>
        <w:spacing w:line="560" w:lineRule="exact"/>
        <w:ind w:firstLine="281" w:firstLineChars="100"/>
        <w:jc w:val="both"/>
        <w:rPr>
          <w:rFonts w:hint="eastAsia" w:eastAsiaTheme="minor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标项名称：</w:t>
      </w:r>
    </w:p>
    <w:tbl>
      <w:tblPr>
        <w:tblStyle w:val="34"/>
        <w:tblW w:w="9060" w:type="dxa"/>
        <w:jc w:val="center"/>
        <w:tblLayout w:type="fixed"/>
        <w:tblCellMar>
          <w:top w:w="15" w:type="dxa"/>
          <w:left w:w="15" w:type="dxa"/>
          <w:bottom w:w="15" w:type="dxa"/>
          <w:right w:w="15" w:type="dxa"/>
        </w:tblCellMar>
      </w:tblPr>
      <w:tblGrid>
        <w:gridCol w:w="622"/>
        <w:gridCol w:w="1472"/>
        <w:gridCol w:w="4542"/>
        <w:gridCol w:w="606"/>
        <w:gridCol w:w="606"/>
        <w:gridCol w:w="606"/>
        <w:gridCol w:w="606"/>
      </w:tblGrid>
      <w:tr w14:paraId="7D314876">
        <w:tblPrEx>
          <w:tblCellMar>
            <w:top w:w="15" w:type="dxa"/>
            <w:left w:w="15" w:type="dxa"/>
            <w:bottom w:w="15" w:type="dxa"/>
            <w:right w:w="15" w:type="dxa"/>
          </w:tblCellMar>
        </w:tblPrEx>
        <w:trPr>
          <w:trHeight w:val="838" w:hRule="atLeast"/>
          <w:jc w:val="center"/>
        </w:trPr>
        <w:tc>
          <w:tcPr>
            <w:tcW w:w="622" w:type="dxa"/>
            <w:tcBorders>
              <w:top w:val="single" w:color="auto" w:sz="4" w:space="0"/>
              <w:left w:val="single" w:color="auto" w:sz="4" w:space="0"/>
              <w:bottom w:val="single" w:color="auto" w:sz="4" w:space="0"/>
              <w:right w:val="single" w:color="auto" w:sz="4" w:space="0"/>
            </w:tcBorders>
            <w:vAlign w:val="center"/>
          </w:tcPr>
          <w:p w14:paraId="5E5B73C5">
            <w:pPr>
              <w:pageBreakBefore w:val="0"/>
              <w:wordWrap/>
              <w:topLinePunct w:val="0"/>
              <w:bidi w:val="0"/>
              <w:spacing w:line="560" w:lineRule="exact"/>
              <w:jc w:val="center"/>
              <w:textAlignment w:val="center"/>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kern w:val="0"/>
                <w:sz w:val="28"/>
                <w:szCs w:val="28"/>
                <w:highlight w:val="none"/>
                <w14:textFill>
                  <w14:solidFill>
                    <w14:schemeClr w14:val="tx1"/>
                  </w14:solidFill>
                </w14:textFill>
              </w:rPr>
              <w:t>序号</w:t>
            </w:r>
          </w:p>
        </w:tc>
        <w:tc>
          <w:tcPr>
            <w:tcW w:w="1472" w:type="dxa"/>
            <w:tcBorders>
              <w:top w:val="single" w:color="auto" w:sz="4" w:space="0"/>
              <w:left w:val="single" w:color="auto" w:sz="4" w:space="0"/>
              <w:bottom w:val="single" w:color="auto" w:sz="4" w:space="0"/>
              <w:right w:val="single" w:color="auto" w:sz="4" w:space="0"/>
            </w:tcBorders>
            <w:vAlign w:val="center"/>
          </w:tcPr>
          <w:p w14:paraId="322D832C">
            <w:pPr>
              <w:pageBreakBefore w:val="0"/>
              <w:wordWrap/>
              <w:topLinePunct w:val="0"/>
              <w:bidi w:val="0"/>
              <w:spacing w:line="560" w:lineRule="exact"/>
              <w:jc w:val="center"/>
              <w:textAlignment w:val="center"/>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kern w:val="0"/>
                <w:sz w:val="28"/>
                <w:szCs w:val="28"/>
                <w:highlight w:val="none"/>
                <w14:textFill>
                  <w14:solidFill>
                    <w14:schemeClr w14:val="tx1"/>
                  </w14:solidFill>
                </w14:textFill>
              </w:rPr>
              <w:t>设备名称</w:t>
            </w:r>
          </w:p>
        </w:tc>
        <w:tc>
          <w:tcPr>
            <w:tcW w:w="4542" w:type="dxa"/>
            <w:tcBorders>
              <w:top w:val="single" w:color="auto" w:sz="4" w:space="0"/>
              <w:left w:val="single" w:color="auto" w:sz="4" w:space="0"/>
              <w:bottom w:val="single" w:color="auto" w:sz="4" w:space="0"/>
              <w:right w:val="single" w:color="auto" w:sz="4" w:space="0"/>
            </w:tcBorders>
            <w:vAlign w:val="center"/>
          </w:tcPr>
          <w:p w14:paraId="7F43F49A">
            <w:pPr>
              <w:pageBreakBefore w:val="0"/>
              <w:wordWrap/>
              <w:topLinePunct w:val="0"/>
              <w:bidi w:val="0"/>
              <w:spacing w:line="560" w:lineRule="exact"/>
              <w:jc w:val="center"/>
              <w:textAlignment w:val="center"/>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kern w:val="0"/>
                <w:sz w:val="28"/>
                <w:szCs w:val="28"/>
                <w:highlight w:val="none"/>
                <w14:textFill>
                  <w14:solidFill>
                    <w14:schemeClr w14:val="tx1"/>
                  </w14:solidFill>
                </w14:textFill>
              </w:rPr>
              <w:t>技术参数</w:t>
            </w:r>
          </w:p>
        </w:tc>
        <w:tc>
          <w:tcPr>
            <w:tcW w:w="606" w:type="dxa"/>
            <w:tcBorders>
              <w:top w:val="single" w:color="auto" w:sz="4" w:space="0"/>
              <w:left w:val="single" w:color="auto" w:sz="4" w:space="0"/>
              <w:bottom w:val="single" w:color="auto" w:sz="4" w:space="0"/>
              <w:right w:val="single" w:color="auto" w:sz="4" w:space="0"/>
            </w:tcBorders>
            <w:vAlign w:val="center"/>
          </w:tcPr>
          <w:p w14:paraId="661889D4">
            <w:pPr>
              <w:pageBreakBefore w:val="0"/>
              <w:wordWrap/>
              <w:topLinePunct w:val="0"/>
              <w:bidi w:val="0"/>
              <w:spacing w:line="560" w:lineRule="exact"/>
              <w:jc w:val="center"/>
              <w:textAlignment w:val="center"/>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kern w:val="0"/>
                <w:sz w:val="28"/>
                <w:szCs w:val="28"/>
                <w:highlight w:val="none"/>
                <w14:textFill>
                  <w14:solidFill>
                    <w14:schemeClr w14:val="tx1"/>
                  </w14:solidFill>
                </w14:textFill>
              </w:rPr>
              <w:t>数量</w:t>
            </w:r>
          </w:p>
        </w:tc>
        <w:tc>
          <w:tcPr>
            <w:tcW w:w="606" w:type="dxa"/>
            <w:tcBorders>
              <w:top w:val="single" w:color="auto" w:sz="4" w:space="0"/>
              <w:left w:val="single" w:color="auto" w:sz="4" w:space="0"/>
              <w:bottom w:val="single" w:color="auto" w:sz="4" w:space="0"/>
              <w:right w:val="single" w:color="auto" w:sz="4" w:space="0"/>
            </w:tcBorders>
            <w:vAlign w:val="center"/>
          </w:tcPr>
          <w:p w14:paraId="3A744847">
            <w:pPr>
              <w:pageBreakBefore w:val="0"/>
              <w:wordWrap/>
              <w:topLinePunct w:val="0"/>
              <w:bidi w:val="0"/>
              <w:spacing w:line="560" w:lineRule="exact"/>
              <w:jc w:val="center"/>
              <w:textAlignment w:val="center"/>
              <w:rPr>
                <w:rFonts w:cs="宋体" w:asciiTheme="minorEastAsia" w:hAnsiTheme="minorEastAsia" w:eastAsiaTheme="minorEastAsia"/>
                <w:color w:val="000000" w:themeColor="text1"/>
                <w:kern w:val="0"/>
                <w:sz w:val="28"/>
                <w:szCs w:val="28"/>
                <w:highlight w:val="none"/>
                <w14:textFill>
                  <w14:solidFill>
                    <w14:schemeClr w14:val="tx1"/>
                  </w14:solidFill>
                </w14:textFill>
              </w:rPr>
            </w:pPr>
            <w:r>
              <w:rPr>
                <w:rFonts w:cs="宋体" w:asciiTheme="minorEastAsia" w:hAnsiTheme="minorEastAsia" w:eastAsiaTheme="minorEastAsia"/>
                <w:color w:val="000000" w:themeColor="text1"/>
                <w:kern w:val="0"/>
                <w:sz w:val="28"/>
                <w:szCs w:val="28"/>
                <w:highlight w:val="none"/>
                <w14:textFill>
                  <w14:solidFill>
                    <w14:schemeClr w14:val="tx1"/>
                  </w14:solidFill>
                </w14:textFill>
              </w:rPr>
              <w:t>品牌</w:t>
            </w:r>
          </w:p>
        </w:tc>
        <w:tc>
          <w:tcPr>
            <w:tcW w:w="606" w:type="dxa"/>
            <w:tcBorders>
              <w:top w:val="single" w:color="auto" w:sz="4" w:space="0"/>
              <w:left w:val="single" w:color="auto" w:sz="4" w:space="0"/>
              <w:bottom w:val="single" w:color="auto" w:sz="4" w:space="0"/>
              <w:right w:val="single" w:color="auto" w:sz="4" w:space="0"/>
            </w:tcBorders>
            <w:vAlign w:val="center"/>
          </w:tcPr>
          <w:p w14:paraId="2EAE9D12">
            <w:pPr>
              <w:pageBreakBefore w:val="0"/>
              <w:wordWrap/>
              <w:topLinePunct w:val="0"/>
              <w:bidi w:val="0"/>
              <w:spacing w:line="560" w:lineRule="exact"/>
              <w:jc w:val="center"/>
              <w:textAlignment w:val="center"/>
              <w:rPr>
                <w:rFonts w:cs="宋体" w:asciiTheme="minorEastAsia" w:hAnsiTheme="minorEastAsia" w:eastAsiaTheme="minorEastAsia"/>
                <w:color w:val="000000" w:themeColor="text1"/>
                <w:kern w:val="0"/>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kern w:val="0"/>
                <w:sz w:val="28"/>
                <w:szCs w:val="28"/>
                <w:highlight w:val="none"/>
                <w14:textFill>
                  <w14:solidFill>
                    <w14:schemeClr w14:val="tx1"/>
                  </w14:solidFill>
                </w14:textFill>
              </w:rPr>
              <w:t>型号</w:t>
            </w:r>
          </w:p>
        </w:tc>
        <w:tc>
          <w:tcPr>
            <w:tcW w:w="606" w:type="dxa"/>
            <w:tcBorders>
              <w:top w:val="single" w:color="auto" w:sz="4" w:space="0"/>
              <w:left w:val="single" w:color="auto" w:sz="4" w:space="0"/>
              <w:bottom w:val="single" w:color="auto" w:sz="4" w:space="0"/>
              <w:right w:val="single" w:color="auto" w:sz="4" w:space="0"/>
            </w:tcBorders>
            <w:vAlign w:val="center"/>
          </w:tcPr>
          <w:p w14:paraId="17980A10">
            <w:pPr>
              <w:pageBreakBefore w:val="0"/>
              <w:wordWrap/>
              <w:topLinePunct w:val="0"/>
              <w:bidi w:val="0"/>
              <w:spacing w:line="560" w:lineRule="exact"/>
              <w:jc w:val="center"/>
              <w:textAlignment w:val="center"/>
              <w:rPr>
                <w:rFonts w:cs="宋体" w:asciiTheme="minorEastAsia" w:hAnsiTheme="minorEastAsia" w:eastAsiaTheme="minorEastAsia"/>
                <w:color w:val="000000" w:themeColor="text1"/>
                <w:kern w:val="0"/>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kern w:val="0"/>
                <w:sz w:val="28"/>
                <w:szCs w:val="28"/>
                <w:highlight w:val="none"/>
                <w14:textFill>
                  <w14:solidFill>
                    <w14:schemeClr w14:val="tx1"/>
                  </w14:solidFill>
                </w14:textFill>
              </w:rPr>
              <w:t>备注</w:t>
            </w:r>
          </w:p>
        </w:tc>
      </w:tr>
      <w:tr w14:paraId="38E63636">
        <w:tblPrEx>
          <w:tblCellMar>
            <w:top w:w="15" w:type="dxa"/>
            <w:left w:w="15" w:type="dxa"/>
            <w:bottom w:w="15" w:type="dxa"/>
            <w:right w:w="15" w:type="dxa"/>
          </w:tblCellMar>
        </w:tblPrEx>
        <w:trPr>
          <w:trHeight w:val="690" w:hRule="atLeast"/>
          <w:jc w:val="center"/>
        </w:trPr>
        <w:tc>
          <w:tcPr>
            <w:tcW w:w="622" w:type="dxa"/>
            <w:tcBorders>
              <w:top w:val="single" w:color="auto" w:sz="4" w:space="0"/>
              <w:left w:val="single" w:color="auto" w:sz="4" w:space="0"/>
              <w:bottom w:val="single" w:color="auto" w:sz="4" w:space="0"/>
              <w:right w:val="single" w:color="auto" w:sz="4" w:space="0"/>
            </w:tcBorders>
            <w:vAlign w:val="center"/>
          </w:tcPr>
          <w:p w14:paraId="2E6730AB">
            <w:pPr>
              <w:pageBreakBefore w:val="0"/>
              <w:wordWrap/>
              <w:topLinePunct w:val="0"/>
              <w:bidi w:val="0"/>
              <w:spacing w:line="560" w:lineRule="exact"/>
              <w:jc w:val="center"/>
              <w:textAlignment w:val="center"/>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1</w:t>
            </w:r>
          </w:p>
        </w:tc>
        <w:tc>
          <w:tcPr>
            <w:tcW w:w="1472" w:type="dxa"/>
            <w:tcBorders>
              <w:top w:val="single" w:color="auto" w:sz="4" w:space="0"/>
              <w:left w:val="single" w:color="auto" w:sz="4" w:space="0"/>
              <w:bottom w:val="single" w:color="auto" w:sz="4" w:space="0"/>
              <w:right w:val="single" w:color="auto" w:sz="4" w:space="0"/>
            </w:tcBorders>
            <w:vAlign w:val="center"/>
          </w:tcPr>
          <w:p w14:paraId="452C009C">
            <w:pPr>
              <w:pageBreakBefore w:val="0"/>
              <w:wordWrap/>
              <w:topLinePunct w:val="0"/>
              <w:bidi w:val="0"/>
              <w:spacing w:line="560" w:lineRule="exact"/>
              <w:jc w:val="center"/>
              <w:textAlignment w:val="center"/>
              <w:rPr>
                <w:rFonts w:cs="宋体" w:asciiTheme="minorEastAsia" w:hAnsiTheme="minorEastAsia" w:eastAsiaTheme="minorEastAsia"/>
                <w:color w:val="000000" w:themeColor="text1"/>
                <w:sz w:val="28"/>
                <w:szCs w:val="28"/>
                <w:highlight w:val="none"/>
                <w14:textFill>
                  <w14:solidFill>
                    <w14:schemeClr w14:val="tx1"/>
                  </w14:solidFill>
                </w14:textFill>
              </w:rPr>
            </w:pPr>
          </w:p>
        </w:tc>
        <w:tc>
          <w:tcPr>
            <w:tcW w:w="4542" w:type="dxa"/>
            <w:tcBorders>
              <w:top w:val="single" w:color="auto" w:sz="4" w:space="0"/>
              <w:left w:val="single" w:color="auto" w:sz="4" w:space="0"/>
              <w:bottom w:val="single" w:color="auto" w:sz="4" w:space="0"/>
              <w:right w:val="single" w:color="auto" w:sz="4" w:space="0"/>
            </w:tcBorders>
            <w:vAlign w:val="center"/>
          </w:tcPr>
          <w:p w14:paraId="02CA2702">
            <w:pPr>
              <w:pageBreakBefore w:val="0"/>
              <w:wordWrap/>
              <w:topLinePunct w:val="0"/>
              <w:bidi w:val="0"/>
              <w:spacing w:line="560" w:lineRule="exact"/>
              <w:jc w:val="center"/>
              <w:textAlignment w:val="center"/>
              <w:rPr>
                <w:rFonts w:cs="宋体" w:asciiTheme="minorEastAsia" w:hAnsiTheme="minorEastAsia" w:eastAsiaTheme="minorEastAsia"/>
                <w:color w:val="000000" w:themeColor="text1"/>
                <w:sz w:val="28"/>
                <w:szCs w:val="28"/>
                <w:highlight w:val="none"/>
                <w14:textFill>
                  <w14:solidFill>
                    <w14:schemeClr w14:val="tx1"/>
                  </w14:solidFill>
                </w14:textFill>
              </w:rPr>
            </w:pPr>
          </w:p>
        </w:tc>
        <w:tc>
          <w:tcPr>
            <w:tcW w:w="606" w:type="dxa"/>
            <w:tcBorders>
              <w:top w:val="single" w:color="auto" w:sz="4" w:space="0"/>
              <w:left w:val="single" w:color="auto" w:sz="4" w:space="0"/>
              <w:bottom w:val="single" w:color="auto" w:sz="4" w:space="0"/>
              <w:right w:val="single" w:color="auto" w:sz="4" w:space="0"/>
            </w:tcBorders>
            <w:vAlign w:val="center"/>
          </w:tcPr>
          <w:p w14:paraId="5AD7ACCA">
            <w:pPr>
              <w:pageBreakBefore w:val="0"/>
              <w:wordWrap/>
              <w:topLinePunct w:val="0"/>
              <w:bidi w:val="0"/>
              <w:spacing w:line="560" w:lineRule="exact"/>
              <w:jc w:val="center"/>
              <w:textAlignment w:val="center"/>
              <w:rPr>
                <w:rFonts w:cs="宋体" w:asciiTheme="minorEastAsia" w:hAnsiTheme="minorEastAsia" w:eastAsiaTheme="minorEastAsia"/>
                <w:color w:val="000000" w:themeColor="text1"/>
                <w:sz w:val="28"/>
                <w:szCs w:val="28"/>
                <w:highlight w:val="none"/>
                <w14:textFill>
                  <w14:solidFill>
                    <w14:schemeClr w14:val="tx1"/>
                  </w14:solidFill>
                </w14:textFill>
              </w:rPr>
            </w:pPr>
          </w:p>
        </w:tc>
        <w:tc>
          <w:tcPr>
            <w:tcW w:w="606" w:type="dxa"/>
            <w:tcBorders>
              <w:top w:val="single" w:color="auto" w:sz="4" w:space="0"/>
              <w:left w:val="single" w:color="auto" w:sz="4" w:space="0"/>
              <w:bottom w:val="single" w:color="auto" w:sz="4" w:space="0"/>
              <w:right w:val="single" w:color="auto" w:sz="4" w:space="0"/>
            </w:tcBorders>
            <w:vAlign w:val="center"/>
          </w:tcPr>
          <w:p w14:paraId="04468308">
            <w:pPr>
              <w:pageBreakBefore w:val="0"/>
              <w:wordWrap/>
              <w:topLinePunct w:val="0"/>
              <w:bidi w:val="0"/>
              <w:spacing w:line="560" w:lineRule="exact"/>
              <w:jc w:val="center"/>
              <w:rPr>
                <w:rFonts w:cs="宋体" w:asciiTheme="minorEastAsia" w:hAnsiTheme="minorEastAsia" w:eastAsiaTheme="minorEastAsia"/>
                <w:color w:val="000000" w:themeColor="text1"/>
                <w:sz w:val="28"/>
                <w:szCs w:val="28"/>
                <w:highlight w:val="none"/>
                <w14:textFill>
                  <w14:solidFill>
                    <w14:schemeClr w14:val="tx1"/>
                  </w14:solidFill>
                </w14:textFill>
              </w:rPr>
            </w:pPr>
          </w:p>
        </w:tc>
        <w:tc>
          <w:tcPr>
            <w:tcW w:w="606" w:type="dxa"/>
            <w:tcBorders>
              <w:top w:val="single" w:color="auto" w:sz="4" w:space="0"/>
              <w:left w:val="single" w:color="auto" w:sz="4" w:space="0"/>
              <w:bottom w:val="single" w:color="auto" w:sz="4" w:space="0"/>
              <w:right w:val="single" w:color="auto" w:sz="4" w:space="0"/>
            </w:tcBorders>
          </w:tcPr>
          <w:p w14:paraId="0396ADC2">
            <w:pPr>
              <w:pageBreakBefore w:val="0"/>
              <w:wordWrap/>
              <w:topLinePunct w:val="0"/>
              <w:bidi w:val="0"/>
              <w:spacing w:line="560" w:lineRule="exact"/>
              <w:jc w:val="center"/>
              <w:rPr>
                <w:rFonts w:cs="宋体" w:asciiTheme="minorEastAsia" w:hAnsiTheme="minorEastAsia" w:eastAsiaTheme="minorEastAsia"/>
                <w:color w:val="000000" w:themeColor="text1"/>
                <w:sz w:val="28"/>
                <w:szCs w:val="28"/>
                <w:highlight w:val="none"/>
                <w14:textFill>
                  <w14:solidFill>
                    <w14:schemeClr w14:val="tx1"/>
                  </w14:solidFill>
                </w14:textFill>
              </w:rPr>
            </w:pPr>
          </w:p>
        </w:tc>
        <w:tc>
          <w:tcPr>
            <w:tcW w:w="606" w:type="dxa"/>
            <w:tcBorders>
              <w:top w:val="single" w:color="auto" w:sz="4" w:space="0"/>
              <w:left w:val="single" w:color="auto" w:sz="4" w:space="0"/>
              <w:bottom w:val="single" w:color="auto" w:sz="4" w:space="0"/>
              <w:right w:val="single" w:color="auto" w:sz="4" w:space="0"/>
            </w:tcBorders>
          </w:tcPr>
          <w:p w14:paraId="054AC836">
            <w:pPr>
              <w:pageBreakBefore w:val="0"/>
              <w:wordWrap/>
              <w:topLinePunct w:val="0"/>
              <w:bidi w:val="0"/>
              <w:spacing w:line="560" w:lineRule="exact"/>
              <w:jc w:val="center"/>
              <w:rPr>
                <w:rFonts w:cs="宋体" w:asciiTheme="minorEastAsia" w:hAnsiTheme="minorEastAsia" w:eastAsiaTheme="minorEastAsia"/>
                <w:color w:val="000000" w:themeColor="text1"/>
                <w:sz w:val="28"/>
                <w:szCs w:val="28"/>
                <w:highlight w:val="none"/>
                <w14:textFill>
                  <w14:solidFill>
                    <w14:schemeClr w14:val="tx1"/>
                  </w14:solidFill>
                </w14:textFill>
              </w:rPr>
            </w:pPr>
          </w:p>
        </w:tc>
      </w:tr>
      <w:tr w14:paraId="275E46D4">
        <w:tblPrEx>
          <w:tblCellMar>
            <w:top w:w="15" w:type="dxa"/>
            <w:left w:w="15" w:type="dxa"/>
            <w:bottom w:w="15" w:type="dxa"/>
            <w:right w:w="15" w:type="dxa"/>
          </w:tblCellMar>
        </w:tblPrEx>
        <w:trPr>
          <w:trHeight w:val="690" w:hRule="atLeast"/>
          <w:jc w:val="center"/>
        </w:trPr>
        <w:tc>
          <w:tcPr>
            <w:tcW w:w="622" w:type="dxa"/>
            <w:tcBorders>
              <w:top w:val="single" w:color="auto" w:sz="4" w:space="0"/>
              <w:left w:val="single" w:color="auto" w:sz="4" w:space="0"/>
              <w:bottom w:val="single" w:color="auto" w:sz="4" w:space="0"/>
              <w:right w:val="single" w:color="auto" w:sz="4" w:space="0"/>
            </w:tcBorders>
            <w:vAlign w:val="center"/>
          </w:tcPr>
          <w:p w14:paraId="02CEDE60">
            <w:pPr>
              <w:pageBreakBefore w:val="0"/>
              <w:wordWrap/>
              <w:topLinePunct w:val="0"/>
              <w:bidi w:val="0"/>
              <w:spacing w:line="560" w:lineRule="exact"/>
              <w:jc w:val="center"/>
              <w:textAlignment w:val="center"/>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2</w:t>
            </w:r>
          </w:p>
        </w:tc>
        <w:tc>
          <w:tcPr>
            <w:tcW w:w="1472" w:type="dxa"/>
            <w:tcBorders>
              <w:top w:val="single" w:color="auto" w:sz="4" w:space="0"/>
              <w:left w:val="single" w:color="auto" w:sz="4" w:space="0"/>
              <w:bottom w:val="single" w:color="auto" w:sz="4" w:space="0"/>
              <w:right w:val="single" w:color="auto" w:sz="4" w:space="0"/>
            </w:tcBorders>
            <w:vAlign w:val="center"/>
          </w:tcPr>
          <w:p w14:paraId="29BF2400">
            <w:pPr>
              <w:pageBreakBefore w:val="0"/>
              <w:wordWrap/>
              <w:topLinePunct w:val="0"/>
              <w:bidi w:val="0"/>
              <w:spacing w:line="560" w:lineRule="exact"/>
              <w:jc w:val="center"/>
              <w:textAlignment w:val="center"/>
              <w:rPr>
                <w:rFonts w:cs="宋体" w:asciiTheme="minorEastAsia" w:hAnsiTheme="minorEastAsia" w:eastAsiaTheme="minorEastAsia"/>
                <w:color w:val="000000" w:themeColor="text1"/>
                <w:sz w:val="28"/>
                <w:szCs w:val="28"/>
                <w:highlight w:val="none"/>
                <w14:textFill>
                  <w14:solidFill>
                    <w14:schemeClr w14:val="tx1"/>
                  </w14:solidFill>
                </w14:textFill>
              </w:rPr>
            </w:pPr>
          </w:p>
        </w:tc>
        <w:tc>
          <w:tcPr>
            <w:tcW w:w="4542" w:type="dxa"/>
            <w:tcBorders>
              <w:top w:val="single" w:color="auto" w:sz="4" w:space="0"/>
              <w:left w:val="single" w:color="auto" w:sz="4" w:space="0"/>
              <w:bottom w:val="single" w:color="auto" w:sz="4" w:space="0"/>
              <w:right w:val="single" w:color="auto" w:sz="4" w:space="0"/>
            </w:tcBorders>
            <w:vAlign w:val="center"/>
          </w:tcPr>
          <w:p w14:paraId="01F15A6E">
            <w:pPr>
              <w:pageBreakBefore w:val="0"/>
              <w:wordWrap/>
              <w:topLinePunct w:val="0"/>
              <w:bidi w:val="0"/>
              <w:spacing w:line="560" w:lineRule="exact"/>
              <w:jc w:val="center"/>
              <w:textAlignment w:val="center"/>
              <w:rPr>
                <w:rFonts w:cs="宋体" w:asciiTheme="minorEastAsia" w:hAnsiTheme="minorEastAsia" w:eastAsiaTheme="minorEastAsia"/>
                <w:color w:val="000000" w:themeColor="text1"/>
                <w:sz w:val="28"/>
                <w:szCs w:val="28"/>
                <w:highlight w:val="none"/>
                <w14:textFill>
                  <w14:solidFill>
                    <w14:schemeClr w14:val="tx1"/>
                  </w14:solidFill>
                </w14:textFill>
              </w:rPr>
            </w:pPr>
          </w:p>
        </w:tc>
        <w:tc>
          <w:tcPr>
            <w:tcW w:w="606" w:type="dxa"/>
            <w:tcBorders>
              <w:top w:val="single" w:color="auto" w:sz="4" w:space="0"/>
              <w:left w:val="single" w:color="auto" w:sz="4" w:space="0"/>
              <w:bottom w:val="single" w:color="auto" w:sz="4" w:space="0"/>
              <w:right w:val="single" w:color="auto" w:sz="4" w:space="0"/>
            </w:tcBorders>
            <w:vAlign w:val="center"/>
          </w:tcPr>
          <w:p w14:paraId="4AEDC7E2">
            <w:pPr>
              <w:pageBreakBefore w:val="0"/>
              <w:wordWrap/>
              <w:topLinePunct w:val="0"/>
              <w:bidi w:val="0"/>
              <w:spacing w:line="560" w:lineRule="exact"/>
              <w:jc w:val="center"/>
              <w:textAlignment w:val="center"/>
              <w:rPr>
                <w:rFonts w:cs="宋体" w:asciiTheme="minorEastAsia" w:hAnsiTheme="minorEastAsia" w:eastAsiaTheme="minorEastAsia"/>
                <w:color w:val="000000" w:themeColor="text1"/>
                <w:sz w:val="28"/>
                <w:szCs w:val="28"/>
                <w:highlight w:val="none"/>
                <w14:textFill>
                  <w14:solidFill>
                    <w14:schemeClr w14:val="tx1"/>
                  </w14:solidFill>
                </w14:textFill>
              </w:rPr>
            </w:pPr>
          </w:p>
        </w:tc>
        <w:tc>
          <w:tcPr>
            <w:tcW w:w="606" w:type="dxa"/>
            <w:tcBorders>
              <w:top w:val="single" w:color="auto" w:sz="4" w:space="0"/>
              <w:left w:val="single" w:color="auto" w:sz="4" w:space="0"/>
              <w:bottom w:val="single" w:color="auto" w:sz="4" w:space="0"/>
              <w:right w:val="single" w:color="auto" w:sz="4" w:space="0"/>
            </w:tcBorders>
            <w:vAlign w:val="center"/>
          </w:tcPr>
          <w:p w14:paraId="513A3C7E">
            <w:pPr>
              <w:pageBreakBefore w:val="0"/>
              <w:wordWrap/>
              <w:topLinePunct w:val="0"/>
              <w:bidi w:val="0"/>
              <w:spacing w:line="560" w:lineRule="exact"/>
              <w:jc w:val="center"/>
              <w:rPr>
                <w:rFonts w:cs="宋体" w:asciiTheme="minorEastAsia" w:hAnsiTheme="minorEastAsia" w:eastAsiaTheme="minorEastAsia"/>
                <w:color w:val="000000" w:themeColor="text1"/>
                <w:sz w:val="28"/>
                <w:szCs w:val="28"/>
                <w:highlight w:val="none"/>
                <w14:textFill>
                  <w14:solidFill>
                    <w14:schemeClr w14:val="tx1"/>
                  </w14:solidFill>
                </w14:textFill>
              </w:rPr>
            </w:pPr>
          </w:p>
        </w:tc>
        <w:tc>
          <w:tcPr>
            <w:tcW w:w="606" w:type="dxa"/>
            <w:tcBorders>
              <w:top w:val="single" w:color="auto" w:sz="4" w:space="0"/>
              <w:left w:val="single" w:color="auto" w:sz="4" w:space="0"/>
              <w:bottom w:val="single" w:color="auto" w:sz="4" w:space="0"/>
              <w:right w:val="single" w:color="auto" w:sz="4" w:space="0"/>
            </w:tcBorders>
          </w:tcPr>
          <w:p w14:paraId="6B6E776F">
            <w:pPr>
              <w:pageBreakBefore w:val="0"/>
              <w:wordWrap/>
              <w:topLinePunct w:val="0"/>
              <w:bidi w:val="0"/>
              <w:spacing w:line="560" w:lineRule="exact"/>
              <w:jc w:val="center"/>
              <w:rPr>
                <w:rFonts w:cs="宋体" w:asciiTheme="minorEastAsia" w:hAnsiTheme="minorEastAsia" w:eastAsiaTheme="minorEastAsia"/>
                <w:color w:val="000000" w:themeColor="text1"/>
                <w:sz w:val="28"/>
                <w:szCs w:val="28"/>
                <w:highlight w:val="none"/>
                <w14:textFill>
                  <w14:solidFill>
                    <w14:schemeClr w14:val="tx1"/>
                  </w14:solidFill>
                </w14:textFill>
              </w:rPr>
            </w:pPr>
          </w:p>
        </w:tc>
        <w:tc>
          <w:tcPr>
            <w:tcW w:w="606" w:type="dxa"/>
            <w:tcBorders>
              <w:top w:val="single" w:color="auto" w:sz="4" w:space="0"/>
              <w:left w:val="single" w:color="auto" w:sz="4" w:space="0"/>
              <w:bottom w:val="single" w:color="auto" w:sz="4" w:space="0"/>
              <w:right w:val="single" w:color="auto" w:sz="4" w:space="0"/>
            </w:tcBorders>
          </w:tcPr>
          <w:p w14:paraId="6FE3513E">
            <w:pPr>
              <w:pageBreakBefore w:val="0"/>
              <w:wordWrap/>
              <w:topLinePunct w:val="0"/>
              <w:bidi w:val="0"/>
              <w:spacing w:line="560" w:lineRule="exact"/>
              <w:jc w:val="center"/>
              <w:rPr>
                <w:rFonts w:cs="宋体" w:asciiTheme="minorEastAsia" w:hAnsiTheme="minorEastAsia" w:eastAsiaTheme="minorEastAsia"/>
                <w:color w:val="000000" w:themeColor="text1"/>
                <w:sz w:val="28"/>
                <w:szCs w:val="28"/>
                <w:highlight w:val="none"/>
                <w14:textFill>
                  <w14:solidFill>
                    <w14:schemeClr w14:val="tx1"/>
                  </w14:solidFill>
                </w14:textFill>
              </w:rPr>
            </w:pPr>
          </w:p>
        </w:tc>
      </w:tr>
      <w:tr w14:paraId="54696153">
        <w:tblPrEx>
          <w:tblCellMar>
            <w:top w:w="15" w:type="dxa"/>
            <w:left w:w="15" w:type="dxa"/>
            <w:bottom w:w="15" w:type="dxa"/>
            <w:right w:w="15" w:type="dxa"/>
          </w:tblCellMar>
        </w:tblPrEx>
        <w:trPr>
          <w:trHeight w:val="690" w:hRule="atLeast"/>
          <w:jc w:val="center"/>
        </w:trPr>
        <w:tc>
          <w:tcPr>
            <w:tcW w:w="622" w:type="dxa"/>
            <w:tcBorders>
              <w:top w:val="single" w:color="auto" w:sz="4" w:space="0"/>
              <w:left w:val="single" w:color="auto" w:sz="4" w:space="0"/>
              <w:bottom w:val="single" w:color="auto" w:sz="4" w:space="0"/>
              <w:right w:val="single" w:color="auto" w:sz="4" w:space="0"/>
            </w:tcBorders>
            <w:vAlign w:val="center"/>
          </w:tcPr>
          <w:p w14:paraId="047AAC73">
            <w:pPr>
              <w:pageBreakBefore w:val="0"/>
              <w:wordWrap/>
              <w:topLinePunct w:val="0"/>
              <w:bidi w:val="0"/>
              <w:spacing w:line="560" w:lineRule="exact"/>
              <w:jc w:val="center"/>
              <w:textAlignment w:val="center"/>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3</w:t>
            </w:r>
          </w:p>
        </w:tc>
        <w:tc>
          <w:tcPr>
            <w:tcW w:w="1472" w:type="dxa"/>
            <w:tcBorders>
              <w:top w:val="single" w:color="auto" w:sz="4" w:space="0"/>
              <w:left w:val="single" w:color="auto" w:sz="4" w:space="0"/>
              <w:bottom w:val="single" w:color="auto" w:sz="4" w:space="0"/>
              <w:right w:val="single" w:color="auto" w:sz="4" w:space="0"/>
            </w:tcBorders>
            <w:vAlign w:val="center"/>
          </w:tcPr>
          <w:p w14:paraId="7C790B4C">
            <w:pPr>
              <w:pageBreakBefore w:val="0"/>
              <w:wordWrap/>
              <w:topLinePunct w:val="0"/>
              <w:bidi w:val="0"/>
              <w:spacing w:line="560" w:lineRule="exact"/>
              <w:jc w:val="center"/>
              <w:textAlignment w:val="center"/>
              <w:rPr>
                <w:rFonts w:cs="宋体" w:asciiTheme="minorEastAsia" w:hAnsiTheme="minorEastAsia" w:eastAsiaTheme="minorEastAsia"/>
                <w:color w:val="000000" w:themeColor="text1"/>
                <w:sz w:val="28"/>
                <w:szCs w:val="28"/>
                <w:highlight w:val="none"/>
                <w14:textFill>
                  <w14:solidFill>
                    <w14:schemeClr w14:val="tx1"/>
                  </w14:solidFill>
                </w14:textFill>
              </w:rPr>
            </w:pPr>
          </w:p>
        </w:tc>
        <w:tc>
          <w:tcPr>
            <w:tcW w:w="4542" w:type="dxa"/>
            <w:tcBorders>
              <w:top w:val="single" w:color="auto" w:sz="4" w:space="0"/>
              <w:left w:val="single" w:color="auto" w:sz="4" w:space="0"/>
              <w:bottom w:val="single" w:color="auto" w:sz="4" w:space="0"/>
              <w:right w:val="single" w:color="auto" w:sz="4" w:space="0"/>
            </w:tcBorders>
            <w:vAlign w:val="center"/>
          </w:tcPr>
          <w:p w14:paraId="7B55AEC3">
            <w:pPr>
              <w:pageBreakBefore w:val="0"/>
              <w:wordWrap/>
              <w:topLinePunct w:val="0"/>
              <w:bidi w:val="0"/>
              <w:spacing w:line="560" w:lineRule="exact"/>
              <w:jc w:val="center"/>
              <w:textAlignment w:val="center"/>
              <w:rPr>
                <w:rFonts w:cs="宋体" w:asciiTheme="minorEastAsia" w:hAnsiTheme="minorEastAsia" w:eastAsiaTheme="minorEastAsia"/>
                <w:color w:val="000000" w:themeColor="text1"/>
                <w:sz w:val="28"/>
                <w:szCs w:val="28"/>
                <w:highlight w:val="none"/>
                <w14:textFill>
                  <w14:solidFill>
                    <w14:schemeClr w14:val="tx1"/>
                  </w14:solidFill>
                </w14:textFill>
              </w:rPr>
            </w:pPr>
          </w:p>
        </w:tc>
        <w:tc>
          <w:tcPr>
            <w:tcW w:w="606" w:type="dxa"/>
            <w:tcBorders>
              <w:top w:val="single" w:color="auto" w:sz="4" w:space="0"/>
              <w:left w:val="single" w:color="auto" w:sz="4" w:space="0"/>
              <w:bottom w:val="single" w:color="auto" w:sz="4" w:space="0"/>
              <w:right w:val="single" w:color="auto" w:sz="4" w:space="0"/>
            </w:tcBorders>
            <w:vAlign w:val="center"/>
          </w:tcPr>
          <w:p w14:paraId="24F79122">
            <w:pPr>
              <w:pageBreakBefore w:val="0"/>
              <w:wordWrap/>
              <w:topLinePunct w:val="0"/>
              <w:bidi w:val="0"/>
              <w:spacing w:line="560" w:lineRule="exact"/>
              <w:jc w:val="center"/>
              <w:textAlignment w:val="center"/>
              <w:rPr>
                <w:rFonts w:cs="宋体" w:asciiTheme="minorEastAsia" w:hAnsiTheme="minorEastAsia" w:eastAsiaTheme="minorEastAsia"/>
                <w:color w:val="000000" w:themeColor="text1"/>
                <w:sz w:val="28"/>
                <w:szCs w:val="28"/>
                <w:highlight w:val="none"/>
                <w14:textFill>
                  <w14:solidFill>
                    <w14:schemeClr w14:val="tx1"/>
                  </w14:solidFill>
                </w14:textFill>
              </w:rPr>
            </w:pPr>
          </w:p>
        </w:tc>
        <w:tc>
          <w:tcPr>
            <w:tcW w:w="606" w:type="dxa"/>
            <w:tcBorders>
              <w:top w:val="single" w:color="auto" w:sz="4" w:space="0"/>
              <w:left w:val="single" w:color="auto" w:sz="4" w:space="0"/>
              <w:bottom w:val="single" w:color="auto" w:sz="4" w:space="0"/>
              <w:right w:val="single" w:color="auto" w:sz="4" w:space="0"/>
            </w:tcBorders>
            <w:vAlign w:val="center"/>
          </w:tcPr>
          <w:p w14:paraId="6510EC9B">
            <w:pPr>
              <w:pageBreakBefore w:val="0"/>
              <w:wordWrap/>
              <w:topLinePunct w:val="0"/>
              <w:bidi w:val="0"/>
              <w:spacing w:line="560" w:lineRule="exact"/>
              <w:jc w:val="center"/>
              <w:rPr>
                <w:rFonts w:cs="宋体" w:asciiTheme="minorEastAsia" w:hAnsiTheme="minorEastAsia" w:eastAsiaTheme="minorEastAsia"/>
                <w:color w:val="000000" w:themeColor="text1"/>
                <w:sz w:val="28"/>
                <w:szCs w:val="28"/>
                <w:highlight w:val="none"/>
                <w14:textFill>
                  <w14:solidFill>
                    <w14:schemeClr w14:val="tx1"/>
                  </w14:solidFill>
                </w14:textFill>
              </w:rPr>
            </w:pPr>
          </w:p>
        </w:tc>
        <w:tc>
          <w:tcPr>
            <w:tcW w:w="606" w:type="dxa"/>
            <w:tcBorders>
              <w:top w:val="single" w:color="auto" w:sz="4" w:space="0"/>
              <w:left w:val="single" w:color="auto" w:sz="4" w:space="0"/>
              <w:bottom w:val="single" w:color="auto" w:sz="4" w:space="0"/>
              <w:right w:val="single" w:color="auto" w:sz="4" w:space="0"/>
            </w:tcBorders>
          </w:tcPr>
          <w:p w14:paraId="41B627DF">
            <w:pPr>
              <w:pageBreakBefore w:val="0"/>
              <w:wordWrap/>
              <w:topLinePunct w:val="0"/>
              <w:bidi w:val="0"/>
              <w:spacing w:line="560" w:lineRule="exact"/>
              <w:jc w:val="center"/>
              <w:rPr>
                <w:rFonts w:cs="宋体" w:asciiTheme="minorEastAsia" w:hAnsiTheme="minorEastAsia" w:eastAsiaTheme="minorEastAsia"/>
                <w:color w:val="000000" w:themeColor="text1"/>
                <w:sz w:val="28"/>
                <w:szCs w:val="28"/>
                <w:highlight w:val="none"/>
                <w14:textFill>
                  <w14:solidFill>
                    <w14:schemeClr w14:val="tx1"/>
                  </w14:solidFill>
                </w14:textFill>
              </w:rPr>
            </w:pPr>
          </w:p>
        </w:tc>
        <w:tc>
          <w:tcPr>
            <w:tcW w:w="606" w:type="dxa"/>
            <w:tcBorders>
              <w:top w:val="single" w:color="auto" w:sz="4" w:space="0"/>
              <w:left w:val="single" w:color="auto" w:sz="4" w:space="0"/>
              <w:bottom w:val="single" w:color="auto" w:sz="4" w:space="0"/>
              <w:right w:val="single" w:color="auto" w:sz="4" w:space="0"/>
            </w:tcBorders>
          </w:tcPr>
          <w:p w14:paraId="7A9AE3D6">
            <w:pPr>
              <w:pageBreakBefore w:val="0"/>
              <w:wordWrap/>
              <w:topLinePunct w:val="0"/>
              <w:bidi w:val="0"/>
              <w:spacing w:line="560" w:lineRule="exact"/>
              <w:jc w:val="center"/>
              <w:rPr>
                <w:rFonts w:cs="宋体" w:asciiTheme="minorEastAsia" w:hAnsiTheme="minorEastAsia" w:eastAsiaTheme="minorEastAsia"/>
                <w:color w:val="000000" w:themeColor="text1"/>
                <w:sz w:val="28"/>
                <w:szCs w:val="28"/>
                <w:highlight w:val="none"/>
                <w14:textFill>
                  <w14:solidFill>
                    <w14:schemeClr w14:val="tx1"/>
                  </w14:solidFill>
                </w14:textFill>
              </w:rPr>
            </w:pPr>
          </w:p>
        </w:tc>
      </w:tr>
      <w:tr w14:paraId="316FD370">
        <w:tblPrEx>
          <w:tblCellMar>
            <w:top w:w="15" w:type="dxa"/>
            <w:left w:w="15" w:type="dxa"/>
            <w:bottom w:w="15" w:type="dxa"/>
            <w:right w:w="15" w:type="dxa"/>
          </w:tblCellMar>
        </w:tblPrEx>
        <w:trPr>
          <w:trHeight w:val="690" w:hRule="atLeast"/>
          <w:jc w:val="center"/>
        </w:trPr>
        <w:tc>
          <w:tcPr>
            <w:tcW w:w="622" w:type="dxa"/>
            <w:tcBorders>
              <w:top w:val="single" w:color="auto" w:sz="4" w:space="0"/>
              <w:left w:val="single" w:color="auto" w:sz="4" w:space="0"/>
              <w:bottom w:val="single" w:color="auto" w:sz="4" w:space="0"/>
              <w:right w:val="single" w:color="auto" w:sz="4" w:space="0"/>
            </w:tcBorders>
            <w:vAlign w:val="center"/>
          </w:tcPr>
          <w:p w14:paraId="18865E4B">
            <w:pPr>
              <w:pageBreakBefore w:val="0"/>
              <w:wordWrap/>
              <w:topLinePunct w:val="0"/>
              <w:bidi w:val="0"/>
              <w:spacing w:line="560" w:lineRule="exact"/>
              <w:jc w:val="center"/>
              <w:textAlignment w:val="center"/>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4</w:t>
            </w:r>
          </w:p>
        </w:tc>
        <w:tc>
          <w:tcPr>
            <w:tcW w:w="1472" w:type="dxa"/>
            <w:tcBorders>
              <w:top w:val="single" w:color="auto" w:sz="4" w:space="0"/>
              <w:left w:val="single" w:color="auto" w:sz="4" w:space="0"/>
              <w:bottom w:val="single" w:color="auto" w:sz="4" w:space="0"/>
              <w:right w:val="single" w:color="auto" w:sz="4" w:space="0"/>
            </w:tcBorders>
            <w:vAlign w:val="center"/>
          </w:tcPr>
          <w:p w14:paraId="4B88E0BD">
            <w:pPr>
              <w:pageBreakBefore w:val="0"/>
              <w:wordWrap/>
              <w:topLinePunct w:val="0"/>
              <w:bidi w:val="0"/>
              <w:spacing w:line="560" w:lineRule="exact"/>
              <w:jc w:val="center"/>
              <w:textAlignment w:val="center"/>
              <w:rPr>
                <w:rFonts w:cs="宋体" w:asciiTheme="minorEastAsia" w:hAnsiTheme="minorEastAsia" w:eastAsiaTheme="minorEastAsia"/>
                <w:color w:val="000000" w:themeColor="text1"/>
                <w:sz w:val="28"/>
                <w:szCs w:val="28"/>
                <w:highlight w:val="none"/>
                <w14:textFill>
                  <w14:solidFill>
                    <w14:schemeClr w14:val="tx1"/>
                  </w14:solidFill>
                </w14:textFill>
              </w:rPr>
            </w:pPr>
          </w:p>
        </w:tc>
        <w:tc>
          <w:tcPr>
            <w:tcW w:w="4542" w:type="dxa"/>
            <w:tcBorders>
              <w:top w:val="single" w:color="auto" w:sz="4" w:space="0"/>
              <w:left w:val="single" w:color="auto" w:sz="4" w:space="0"/>
              <w:bottom w:val="single" w:color="auto" w:sz="4" w:space="0"/>
              <w:right w:val="single" w:color="auto" w:sz="4" w:space="0"/>
            </w:tcBorders>
            <w:vAlign w:val="center"/>
          </w:tcPr>
          <w:p w14:paraId="0BA908D9">
            <w:pPr>
              <w:pageBreakBefore w:val="0"/>
              <w:wordWrap/>
              <w:topLinePunct w:val="0"/>
              <w:bidi w:val="0"/>
              <w:spacing w:line="560" w:lineRule="exact"/>
              <w:jc w:val="center"/>
              <w:textAlignment w:val="center"/>
              <w:rPr>
                <w:rFonts w:cs="宋体" w:asciiTheme="minorEastAsia" w:hAnsiTheme="minorEastAsia" w:eastAsiaTheme="minorEastAsia"/>
                <w:color w:val="000000" w:themeColor="text1"/>
                <w:sz w:val="28"/>
                <w:szCs w:val="28"/>
                <w:highlight w:val="none"/>
                <w14:textFill>
                  <w14:solidFill>
                    <w14:schemeClr w14:val="tx1"/>
                  </w14:solidFill>
                </w14:textFill>
              </w:rPr>
            </w:pPr>
          </w:p>
        </w:tc>
        <w:tc>
          <w:tcPr>
            <w:tcW w:w="606" w:type="dxa"/>
            <w:tcBorders>
              <w:top w:val="single" w:color="auto" w:sz="4" w:space="0"/>
              <w:left w:val="single" w:color="auto" w:sz="4" w:space="0"/>
              <w:bottom w:val="single" w:color="auto" w:sz="4" w:space="0"/>
              <w:right w:val="single" w:color="auto" w:sz="4" w:space="0"/>
            </w:tcBorders>
            <w:vAlign w:val="center"/>
          </w:tcPr>
          <w:p w14:paraId="3644AF25">
            <w:pPr>
              <w:pageBreakBefore w:val="0"/>
              <w:wordWrap/>
              <w:topLinePunct w:val="0"/>
              <w:bidi w:val="0"/>
              <w:spacing w:line="560" w:lineRule="exact"/>
              <w:jc w:val="center"/>
              <w:textAlignment w:val="center"/>
              <w:rPr>
                <w:rFonts w:cs="宋体" w:asciiTheme="minorEastAsia" w:hAnsiTheme="minorEastAsia" w:eastAsiaTheme="minorEastAsia"/>
                <w:color w:val="000000" w:themeColor="text1"/>
                <w:sz w:val="28"/>
                <w:szCs w:val="28"/>
                <w:highlight w:val="none"/>
                <w14:textFill>
                  <w14:solidFill>
                    <w14:schemeClr w14:val="tx1"/>
                  </w14:solidFill>
                </w14:textFill>
              </w:rPr>
            </w:pPr>
          </w:p>
        </w:tc>
        <w:tc>
          <w:tcPr>
            <w:tcW w:w="606" w:type="dxa"/>
            <w:tcBorders>
              <w:top w:val="single" w:color="auto" w:sz="4" w:space="0"/>
              <w:left w:val="single" w:color="auto" w:sz="4" w:space="0"/>
              <w:bottom w:val="single" w:color="auto" w:sz="4" w:space="0"/>
              <w:right w:val="single" w:color="auto" w:sz="4" w:space="0"/>
            </w:tcBorders>
            <w:vAlign w:val="center"/>
          </w:tcPr>
          <w:p w14:paraId="4DA8ADFE">
            <w:pPr>
              <w:pageBreakBefore w:val="0"/>
              <w:wordWrap/>
              <w:topLinePunct w:val="0"/>
              <w:bidi w:val="0"/>
              <w:spacing w:line="560" w:lineRule="exact"/>
              <w:jc w:val="center"/>
              <w:rPr>
                <w:rFonts w:cs="宋体" w:asciiTheme="minorEastAsia" w:hAnsiTheme="minorEastAsia" w:eastAsiaTheme="minorEastAsia"/>
                <w:color w:val="000000" w:themeColor="text1"/>
                <w:sz w:val="28"/>
                <w:szCs w:val="28"/>
                <w:highlight w:val="none"/>
                <w14:textFill>
                  <w14:solidFill>
                    <w14:schemeClr w14:val="tx1"/>
                  </w14:solidFill>
                </w14:textFill>
              </w:rPr>
            </w:pPr>
          </w:p>
        </w:tc>
        <w:tc>
          <w:tcPr>
            <w:tcW w:w="606" w:type="dxa"/>
            <w:tcBorders>
              <w:top w:val="single" w:color="auto" w:sz="4" w:space="0"/>
              <w:left w:val="single" w:color="auto" w:sz="4" w:space="0"/>
              <w:bottom w:val="single" w:color="auto" w:sz="4" w:space="0"/>
              <w:right w:val="single" w:color="auto" w:sz="4" w:space="0"/>
            </w:tcBorders>
          </w:tcPr>
          <w:p w14:paraId="78B24E6A">
            <w:pPr>
              <w:pageBreakBefore w:val="0"/>
              <w:wordWrap/>
              <w:topLinePunct w:val="0"/>
              <w:bidi w:val="0"/>
              <w:spacing w:line="560" w:lineRule="exact"/>
              <w:jc w:val="center"/>
              <w:rPr>
                <w:rFonts w:cs="宋体" w:asciiTheme="minorEastAsia" w:hAnsiTheme="minorEastAsia" w:eastAsiaTheme="minorEastAsia"/>
                <w:color w:val="000000" w:themeColor="text1"/>
                <w:sz w:val="28"/>
                <w:szCs w:val="28"/>
                <w:highlight w:val="none"/>
                <w14:textFill>
                  <w14:solidFill>
                    <w14:schemeClr w14:val="tx1"/>
                  </w14:solidFill>
                </w14:textFill>
              </w:rPr>
            </w:pPr>
          </w:p>
        </w:tc>
        <w:tc>
          <w:tcPr>
            <w:tcW w:w="606" w:type="dxa"/>
            <w:tcBorders>
              <w:top w:val="single" w:color="auto" w:sz="4" w:space="0"/>
              <w:left w:val="single" w:color="auto" w:sz="4" w:space="0"/>
              <w:bottom w:val="single" w:color="auto" w:sz="4" w:space="0"/>
              <w:right w:val="single" w:color="auto" w:sz="4" w:space="0"/>
            </w:tcBorders>
          </w:tcPr>
          <w:p w14:paraId="0E7006A3">
            <w:pPr>
              <w:pageBreakBefore w:val="0"/>
              <w:wordWrap/>
              <w:topLinePunct w:val="0"/>
              <w:bidi w:val="0"/>
              <w:spacing w:line="560" w:lineRule="exact"/>
              <w:jc w:val="center"/>
              <w:rPr>
                <w:rFonts w:cs="宋体" w:asciiTheme="minorEastAsia" w:hAnsiTheme="minorEastAsia" w:eastAsiaTheme="minorEastAsia"/>
                <w:color w:val="000000" w:themeColor="text1"/>
                <w:sz w:val="28"/>
                <w:szCs w:val="28"/>
                <w:highlight w:val="none"/>
                <w14:textFill>
                  <w14:solidFill>
                    <w14:schemeClr w14:val="tx1"/>
                  </w14:solidFill>
                </w14:textFill>
              </w:rPr>
            </w:pPr>
          </w:p>
        </w:tc>
      </w:tr>
      <w:tr w14:paraId="07084541">
        <w:tblPrEx>
          <w:tblCellMar>
            <w:top w:w="15" w:type="dxa"/>
            <w:left w:w="15" w:type="dxa"/>
            <w:bottom w:w="15" w:type="dxa"/>
            <w:right w:w="15" w:type="dxa"/>
          </w:tblCellMar>
        </w:tblPrEx>
        <w:trPr>
          <w:trHeight w:val="690" w:hRule="atLeast"/>
          <w:jc w:val="center"/>
        </w:trPr>
        <w:tc>
          <w:tcPr>
            <w:tcW w:w="622" w:type="dxa"/>
            <w:tcBorders>
              <w:top w:val="single" w:color="auto" w:sz="4" w:space="0"/>
              <w:left w:val="single" w:color="auto" w:sz="4" w:space="0"/>
              <w:bottom w:val="single" w:color="auto" w:sz="4" w:space="0"/>
              <w:right w:val="single" w:color="auto" w:sz="4" w:space="0"/>
            </w:tcBorders>
            <w:vAlign w:val="center"/>
          </w:tcPr>
          <w:p w14:paraId="463EDAE3">
            <w:pPr>
              <w:pageBreakBefore w:val="0"/>
              <w:wordWrap/>
              <w:topLinePunct w:val="0"/>
              <w:bidi w:val="0"/>
              <w:spacing w:line="560" w:lineRule="exact"/>
              <w:jc w:val="center"/>
              <w:textAlignment w:val="center"/>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5</w:t>
            </w:r>
          </w:p>
        </w:tc>
        <w:tc>
          <w:tcPr>
            <w:tcW w:w="1472" w:type="dxa"/>
            <w:tcBorders>
              <w:top w:val="single" w:color="auto" w:sz="4" w:space="0"/>
              <w:left w:val="single" w:color="auto" w:sz="4" w:space="0"/>
              <w:bottom w:val="single" w:color="auto" w:sz="4" w:space="0"/>
              <w:right w:val="single" w:color="auto" w:sz="4" w:space="0"/>
            </w:tcBorders>
            <w:vAlign w:val="center"/>
          </w:tcPr>
          <w:p w14:paraId="5CB6D4A8">
            <w:pPr>
              <w:pageBreakBefore w:val="0"/>
              <w:wordWrap/>
              <w:topLinePunct w:val="0"/>
              <w:bidi w:val="0"/>
              <w:spacing w:line="560" w:lineRule="exact"/>
              <w:jc w:val="center"/>
              <w:textAlignment w:val="center"/>
              <w:rPr>
                <w:rFonts w:cs="宋体" w:asciiTheme="minorEastAsia" w:hAnsiTheme="minorEastAsia" w:eastAsiaTheme="minorEastAsia"/>
                <w:color w:val="000000" w:themeColor="text1"/>
                <w:sz w:val="28"/>
                <w:szCs w:val="28"/>
                <w:highlight w:val="none"/>
                <w14:textFill>
                  <w14:solidFill>
                    <w14:schemeClr w14:val="tx1"/>
                  </w14:solidFill>
                </w14:textFill>
              </w:rPr>
            </w:pPr>
          </w:p>
        </w:tc>
        <w:tc>
          <w:tcPr>
            <w:tcW w:w="4542" w:type="dxa"/>
            <w:tcBorders>
              <w:top w:val="single" w:color="auto" w:sz="4" w:space="0"/>
              <w:left w:val="single" w:color="auto" w:sz="4" w:space="0"/>
              <w:bottom w:val="single" w:color="auto" w:sz="4" w:space="0"/>
              <w:right w:val="single" w:color="auto" w:sz="4" w:space="0"/>
            </w:tcBorders>
            <w:vAlign w:val="center"/>
          </w:tcPr>
          <w:p w14:paraId="6478D01E">
            <w:pPr>
              <w:pageBreakBefore w:val="0"/>
              <w:wordWrap/>
              <w:topLinePunct w:val="0"/>
              <w:bidi w:val="0"/>
              <w:spacing w:line="560" w:lineRule="exact"/>
              <w:jc w:val="center"/>
              <w:textAlignment w:val="center"/>
              <w:rPr>
                <w:rFonts w:cs="宋体" w:asciiTheme="minorEastAsia" w:hAnsiTheme="minorEastAsia" w:eastAsiaTheme="minorEastAsia"/>
                <w:color w:val="000000" w:themeColor="text1"/>
                <w:sz w:val="28"/>
                <w:szCs w:val="28"/>
                <w:highlight w:val="none"/>
                <w14:textFill>
                  <w14:solidFill>
                    <w14:schemeClr w14:val="tx1"/>
                  </w14:solidFill>
                </w14:textFill>
              </w:rPr>
            </w:pPr>
          </w:p>
        </w:tc>
        <w:tc>
          <w:tcPr>
            <w:tcW w:w="606" w:type="dxa"/>
            <w:tcBorders>
              <w:top w:val="single" w:color="auto" w:sz="4" w:space="0"/>
              <w:left w:val="single" w:color="auto" w:sz="4" w:space="0"/>
              <w:bottom w:val="single" w:color="auto" w:sz="4" w:space="0"/>
              <w:right w:val="single" w:color="auto" w:sz="4" w:space="0"/>
            </w:tcBorders>
            <w:vAlign w:val="center"/>
          </w:tcPr>
          <w:p w14:paraId="491BEB6E">
            <w:pPr>
              <w:pageBreakBefore w:val="0"/>
              <w:wordWrap/>
              <w:topLinePunct w:val="0"/>
              <w:bidi w:val="0"/>
              <w:spacing w:line="560" w:lineRule="exact"/>
              <w:jc w:val="center"/>
              <w:textAlignment w:val="center"/>
              <w:rPr>
                <w:rFonts w:cs="宋体" w:asciiTheme="minorEastAsia" w:hAnsiTheme="minorEastAsia" w:eastAsiaTheme="minorEastAsia"/>
                <w:color w:val="000000" w:themeColor="text1"/>
                <w:sz w:val="28"/>
                <w:szCs w:val="28"/>
                <w:highlight w:val="none"/>
                <w14:textFill>
                  <w14:solidFill>
                    <w14:schemeClr w14:val="tx1"/>
                  </w14:solidFill>
                </w14:textFill>
              </w:rPr>
            </w:pPr>
          </w:p>
        </w:tc>
        <w:tc>
          <w:tcPr>
            <w:tcW w:w="606" w:type="dxa"/>
            <w:tcBorders>
              <w:top w:val="single" w:color="auto" w:sz="4" w:space="0"/>
              <w:left w:val="single" w:color="auto" w:sz="4" w:space="0"/>
              <w:bottom w:val="single" w:color="auto" w:sz="4" w:space="0"/>
              <w:right w:val="single" w:color="auto" w:sz="4" w:space="0"/>
            </w:tcBorders>
            <w:vAlign w:val="center"/>
          </w:tcPr>
          <w:p w14:paraId="5FAC6B83">
            <w:pPr>
              <w:pageBreakBefore w:val="0"/>
              <w:wordWrap/>
              <w:topLinePunct w:val="0"/>
              <w:bidi w:val="0"/>
              <w:spacing w:line="560" w:lineRule="exact"/>
              <w:jc w:val="center"/>
              <w:rPr>
                <w:rFonts w:cs="宋体" w:asciiTheme="minorEastAsia" w:hAnsiTheme="minorEastAsia" w:eastAsiaTheme="minorEastAsia"/>
                <w:color w:val="000000" w:themeColor="text1"/>
                <w:sz w:val="28"/>
                <w:szCs w:val="28"/>
                <w:highlight w:val="none"/>
                <w14:textFill>
                  <w14:solidFill>
                    <w14:schemeClr w14:val="tx1"/>
                  </w14:solidFill>
                </w14:textFill>
              </w:rPr>
            </w:pPr>
          </w:p>
        </w:tc>
        <w:tc>
          <w:tcPr>
            <w:tcW w:w="606" w:type="dxa"/>
            <w:tcBorders>
              <w:top w:val="single" w:color="auto" w:sz="4" w:space="0"/>
              <w:left w:val="single" w:color="auto" w:sz="4" w:space="0"/>
              <w:bottom w:val="single" w:color="auto" w:sz="4" w:space="0"/>
              <w:right w:val="single" w:color="auto" w:sz="4" w:space="0"/>
            </w:tcBorders>
          </w:tcPr>
          <w:p w14:paraId="3EBBE68A">
            <w:pPr>
              <w:pageBreakBefore w:val="0"/>
              <w:wordWrap/>
              <w:topLinePunct w:val="0"/>
              <w:bidi w:val="0"/>
              <w:spacing w:line="560" w:lineRule="exact"/>
              <w:jc w:val="center"/>
              <w:rPr>
                <w:rFonts w:cs="宋体" w:asciiTheme="minorEastAsia" w:hAnsiTheme="minorEastAsia" w:eastAsiaTheme="minorEastAsia"/>
                <w:color w:val="000000" w:themeColor="text1"/>
                <w:sz w:val="28"/>
                <w:szCs w:val="28"/>
                <w:highlight w:val="none"/>
                <w14:textFill>
                  <w14:solidFill>
                    <w14:schemeClr w14:val="tx1"/>
                  </w14:solidFill>
                </w14:textFill>
              </w:rPr>
            </w:pPr>
          </w:p>
        </w:tc>
        <w:tc>
          <w:tcPr>
            <w:tcW w:w="606" w:type="dxa"/>
            <w:tcBorders>
              <w:top w:val="single" w:color="auto" w:sz="4" w:space="0"/>
              <w:left w:val="single" w:color="auto" w:sz="4" w:space="0"/>
              <w:bottom w:val="single" w:color="auto" w:sz="4" w:space="0"/>
              <w:right w:val="single" w:color="auto" w:sz="4" w:space="0"/>
            </w:tcBorders>
          </w:tcPr>
          <w:p w14:paraId="28AAF4FB">
            <w:pPr>
              <w:pageBreakBefore w:val="0"/>
              <w:wordWrap/>
              <w:topLinePunct w:val="0"/>
              <w:bidi w:val="0"/>
              <w:spacing w:line="560" w:lineRule="exact"/>
              <w:jc w:val="center"/>
              <w:rPr>
                <w:rFonts w:cs="宋体" w:asciiTheme="minorEastAsia" w:hAnsiTheme="minorEastAsia" w:eastAsiaTheme="minorEastAsia"/>
                <w:color w:val="000000" w:themeColor="text1"/>
                <w:sz w:val="28"/>
                <w:szCs w:val="28"/>
                <w:highlight w:val="none"/>
                <w14:textFill>
                  <w14:solidFill>
                    <w14:schemeClr w14:val="tx1"/>
                  </w14:solidFill>
                </w14:textFill>
              </w:rPr>
            </w:pPr>
          </w:p>
        </w:tc>
      </w:tr>
      <w:tr w14:paraId="0990AEE0">
        <w:tblPrEx>
          <w:tblCellMar>
            <w:top w:w="15" w:type="dxa"/>
            <w:left w:w="15" w:type="dxa"/>
            <w:bottom w:w="15" w:type="dxa"/>
            <w:right w:w="15" w:type="dxa"/>
          </w:tblCellMar>
        </w:tblPrEx>
        <w:trPr>
          <w:trHeight w:val="690" w:hRule="atLeast"/>
          <w:jc w:val="center"/>
        </w:trPr>
        <w:tc>
          <w:tcPr>
            <w:tcW w:w="622" w:type="dxa"/>
            <w:tcBorders>
              <w:top w:val="single" w:color="auto" w:sz="4" w:space="0"/>
              <w:left w:val="single" w:color="auto" w:sz="4" w:space="0"/>
              <w:bottom w:val="single" w:color="auto" w:sz="4" w:space="0"/>
              <w:right w:val="single" w:color="auto" w:sz="4" w:space="0"/>
            </w:tcBorders>
            <w:vAlign w:val="center"/>
          </w:tcPr>
          <w:p w14:paraId="43680D1F">
            <w:pPr>
              <w:pageBreakBefore w:val="0"/>
              <w:wordWrap/>
              <w:topLinePunct w:val="0"/>
              <w:bidi w:val="0"/>
              <w:spacing w:line="560" w:lineRule="exact"/>
              <w:jc w:val="center"/>
              <w:textAlignment w:val="center"/>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cs="宋体" w:asciiTheme="minorEastAsia" w:hAnsiTheme="minorEastAsia" w:eastAsiaTheme="minorEastAsia"/>
                <w:color w:val="000000" w:themeColor="text1"/>
                <w:sz w:val="28"/>
                <w:szCs w:val="28"/>
                <w:highlight w:val="none"/>
                <w14:textFill>
                  <w14:solidFill>
                    <w14:schemeClr w14:val="tx1"/>
                  </w14:solidFill>
                </w14:textFill>
              </w:rPr>
              <w:t>…</w:t>
            </w:r>
          </w:p>
        </w:tc>
        <w:tc>
          <w:tcPr>
            <w:tcW w:w="1472" w:type="dxa"/>
            <w:tcBorders>
              <w:top w:val="single" w:color="auto" w:sz="4" w:space="0"/>
              <w:left w:val="single" w:color="auto" w:sz="4" w:space="0"/>
              <w:bottom w:val="single" w:color="auto" w:sz="4" w:space="0"/>
              <w:right w:val="single" w:color="auto" w:sz="4" w:space="0"/>
            </w:tcBorders>
            <w:vAlign w:val="center"/>
          </w:tcPr>
          <w:p w14:paraId="2ACB84A1">
            <w:pPr>
              <w:pageBreakBefore w:val="0"/>
              <w:wordWrap/>
              <w:topLinePunct w:val="0"/>
              <w:bidi w:val="0"/>
              <w:spacing w:line="560" w:lineRule="exact"/>
              <w:jc w:val="center"/>
              <w:textAlignment w:val="center"/>
              <w:rPr>
                <w:rFonts w:cs="宋体" w:asciiTheme="minorEastAsia" w:hAnsiTheme="minorEastAsia" w:eastAsiaTheme="minorEastAsia"/>
                <w:color w:val="000000" w:themeColor="text1"/>
                <w:sz w:val="28"/>
                <w:szCs w:val="28"/>
                <w:highlight w:val="none"/>
                <w14:textFill>
                  <w14:solidFill>
                    <w14:schemeClr w14:val="tx1"/>
                  </w14:solidFill>
                </w14:textFill>
              </w:rPr>
            </w:pPr>
          </w:p>
        </w:tc>
        <w:tc>
          <w:tcPr>
            <w:tcW w:w="4542" w:type="dxa"/>
            <w:tcBorders>
              <w:top w:val="single" w:color="auto" w:sz="4" w:space="0"/>
              <w:left w:val="single" w:color="auto" w:sz="4" w:space="0"/>
              <w:bottom w:val="single" w:color="auto" w:sz="4" w:space="0"/>
              <w:right w:val="single" w:color="auto" w:sz="4" w:space="0"/>
            </w:tcBorders>
            <w:vAlign w:val="center"/>
          </w:tcPr>
          <w:p w14:paraId="164C4CAF">
            <w:pPr>
              <w:pageBreakBefore w:val="0"/>
              <w:wordWrap/>
              <w:topLinePunct w:val="0"/>
              <w:bidi w:val="0"/>
              <w:spacing w:line="560" w:lineRule="exact"/>
              <w:jc w:val="center"/>
              <w:textAlignment w:val="center"/>
              <w:rPr>
                <w:rFonts w:cs="宋体" w:asciiTheme="minorEastAsia" w:hAnsiTheme="minorEastAsia" w:eastAsiaTheme="minorEastAsia"/>
                <w:color w:val="000000" w:themeColor="text1"/>
                <w:sz w:val="28"/>
                <w:szCs w:val="28"/>
                <w:highlight w:val="none"/>
                <w14:textFill>
                  <w14:solidFill>
                    <w14:schemeClr w14:val="tx1"/>
                  </w14:solidFill>
                </w14:textFill>
              </w:rPr>
            </w:pPr>
          </w:p>
        </w:tc>
        <w:tc>
          <w:tcPr>
            <w:tcW w:w="606" w:type="dxa"/>
            <w:tcBorders>
              <w:top w:val="single" w:color="auto" w:sz="4" w:space="0"/>
              <w:left w:val="single" w:color="auto" w:sz="4" w:space="0"/>
              <w:bottom w:val="single" w:color="auto" w:sz="4" w:space="0"/>
              <w:right w:val="single" w:color="auto" w:sz="4" w:space="0"/>
            </w:tcBorders>
            <w:vAlign w:val="center"/>
          </w:tcPr>
          <w:p w14:paraId="6F58215C">
            <w:pPr>
              <w:pageBreakBefore w:val="0"/>
              <w:wordWrap/>
              <w:topLinePunct w:val="0"/>
              <w:bidi w:val="0"/>
              <w:spacing w:line="560" w:lineRule="exact"/>
              <w:jc w:val="center"/>
              <w:textAlignment w:val="center"/>
              <w:rPr>
                <w:rFonts w:cs="宋体" w:asciiTheme="minorEastAsia" w:hAnsiTheme="minorEastAsia" w:eastAsiaTheme="minorEastAsia"/>
                <w:color w:val="000000" w:themeColor="text1"/>
                <w:sz w:val="28"/>
                <w:szCs w:val="28"/>
                <w:highlight w:val="none"/>
                <w14:textFill>
                  <w14:solidFill>
                    <w14:schemeClr w14:val="tx1"/>
                  </w14:solidFill>
                </w14:textFill>
              </w:rPr>
            </w:pPr>
          </w:p>
        </w:tc>
        <w:tc>
          <w:tcPr>
            <w:tcW w:w="606" w:type="dxa"/>
            <w:tcBorders>
              <w:top w:val="single" w:color="auto" w:sz="4" w:space="0"/>
              <w:left w:val="single" w:color="auto" w:sz="4" w:space="0"/>
              <w:bottom w:val="single" w:color="auto" w:sz="4" w:space="0"/>
              <w:right w:val="single" w:color="auto" w:sz="4" w:space="0"/>
            </w:tcBorders>
            <w:vAlign w:val="center"/>
          </w:tcPr>
          <w:p w14:paraId="154BF253">
            <w:pPr>
              <w:pageBreakBefore w:val="0"/>
              <w:wordWrap/>
              <w:topLinePunct w:val="0"/>
              <w:bidi w:val="0"/>
              <w:spacing w:line="560" w:lineRule="exact"/>
              <w:jc w:val="center"/>
              <w:rPr>
                <w:rFonts w:cs="宋体" w:asciiTheme="minorEastAsia" w:hAnsiTheme="minorEastAsia" w:eastAsiaTheme="minorEastAsia"/>
                <w:color w:val="000000" w:themeColor="text1"/>
                <w:sz w:val="28"/>
                <w:szCs w:val="28"/>
                <w:highlight w:val="none"/>
                <w14:textFill>
                  <w14:solidFill>
                    <w14:schemeClr w14:val="tx1"/>
                  </w14:solidFill>
                </w14:textFill>
              </w:rPr>
            </w:pPr>
          </w:p>
        </w:tc>
        <w:tc>
          <w:tcPr>
            <w:tcW w:w="606" w:type="dxa"/>
            <w:tcBorders>
              <w:top w:val="single" w:color="auto" w:sz="4" w:space="0"/>
              <w:left w:val="single" w:color="auto" w:sz="4" w:space="0"/>
              <w:bottom w:val="single" w:color="auto" w:sz="4" w:space="0"/>
              <w:right w:val="single" w:color="auto" w:sz="4" w:space="0"/>
            </w:tcBorders>
          </w:tcPr>
          <w:p w14:paraId="53CA2C43">
            <w:pPr>
              <w:pageBreakBefore w:val="0"/>
              <w:wordWrap/>
              <w:topLinePunct w:val="0"/>
              <w:bidi w:val="0"/>
              <w:spacing w:line="560" w:lineRule="exact"/>
              <w:jc w:val="center"/>
              <w:rPr>
                <w:rFonts w:cs="宋体" w:asciiTheme="minorEastAsia" w:hAnsiTheme="minorEastAsia" w:eastAsiaTheme="minorEastAsia"/>
                <w:color w:val="000000" w:themeColor="text1"/>
                <w:sz w:val="28"/>
                <w:szCs w:val="28"/>
                <w:highlight w:val="none"/>
                <w14:textFill>
                  <w14:solidFill>
                    <w14:schemeClr w14:val="tx1"/>
                  </w14:solidFill>
                </w14:textFill>
              </w:rPr>
            </w:pPr>
          </w:p>
        </w:tc>
        <w:tc>
          <w:tcPr>
            <w:tcW w:w="606" w:type="dxa"/>
            <w:tcBorders>
              <w:top w:val="single" w:color="auto" w:sz="4" w:space="0"/>
              <w:left w:val="single" w:color="auto" w:sz="4" w:space="0"/>
              <w:bottom w:val="single" w:color="auto" w:sz="4" w:space="0"/>
              <w:right w:val="single" w:color="auto" w:sz="4" w:space="0"/>
            </w:tcBorders>
          </w:tcPr>
          <w:p w14:paraId="1A10CF53">
            <w:pPr>
              <w:pageBreakBefore w:val="0"/>
              <w:wordWrap/>
              <w:topLinePunct w:val="0"/>
              <w:bidi w:val="0"/>
              <w:spacing w:line="560" w:lineRule="exact"/>
              <w:jc w:val="center"/>
              <w:rPr>
                <w:rFonts w:cs="宋体" w:asciiTheme="minorEastAsia" w:hAnsiTheme="minorEastAsia" w:eastAsiaTheme="minorEastAsia"/>
                <w:color w:val="000000" w:themeColor="text1"/>
                <w:sz w:val="28"/>
                <w:szCs w:val="28"/>
                <w:highlight w:val="none"/>
                <w14:textFill>
                  <w14:solidFill>
                    <w14:schemeClr w14:val="tx1"/>
                  </w14:solidFill>
                </w14:textFill>
              </w:rPr>
            </w:pPr>
          </w:p>
        </w:tc>
      </w:tr>
      <w:tr w14:paraId="24A3C4BB">
        <w:tblPrEx>
          <w:tblCellMar>
            <w:top w:w="15" w:type="dxa"/>
            <w:left w:w="15" w:type="dxa"/>
            <w:bottom w:w="15" w:type="dxa"/>
            <w:right w:w="15" w:type="dxa"/>
          </w:tblCellMar>
        </w:tblPrEx>
        <w:trPr>
          <w:trHeight w:val="690" w:hRule="atLeast"/>
          <w:jc w:val="center"/>
        </w:trPr>
        <w:tc>
          <w:tcPr>
            <w:tcW w:w="622" w:type="dxa"/>
            <w:tcBorders>
              <w:top w:val="single" w:color="auto" w:sz="4" w:space="0"/>
              <w:left w:val="single" w:color="auto" w:sz="4" w:space="0"/>
              <w:bottom w:val="single" w:color="auto" w:sz="4" w:space="0"/>
              <w:right w:val="single" w:color="auto" w:sz="4" w:space="0"/>
            </w:tcBorders>
            <w:vAlign w:val="center"/>
          </w:tcPr>
          <w:p w14:paraId="6F73FABD">
            <w:pPr>
              <w:pageBreakBefore w:val="0"/>
              <w:wordWrap/>
              <w:topLinePunct w:val="0"/>
              <w:bidi w:val="0"/>
              <w:spacing w:line="560" w:lineRule="exact"/>
              <w:jc w:val="center"/>
              <w:textAlignment w:val="center"/>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cs="宋体" w:asciiTheme="minorEastAsia" w:hAnsiTheme="minorEastAsia" w:eastAsiaTheme="minorEastAsia"/>
                <w:color w:val="000000" w:themeColor="text1"/>
                <w:sz w:val="28"/>
                <w:szCs w:val="28"/>
                <w:highlight w:val="none"/>
                <w14:textFill>
                  <w14:solidFill>
                    <w14:schemeClr w14:val="tx1"/>
                  </w14:solidFill>
                </w14:textFill>
              </w:rPr>
              <w:t>…</w:t>
            </w:r>
          </w:p>
        </w:tc>
        <w:tc>
          <w:tcPr>
            <w:tcW w:w="1472" w:type="dxa"/>
            <w:tcBorders>
              <w:top w:val="single" w:color="auto" w:sz="4" w:space="0"/>
              <w:left w:val="single" w:color="auto" w:sz="4" w:space="0"/>
              <w:bottom w:val="single" w:color="auto" w:sz="4" w:space="0"/>
              <w:right w:val="single" w:color="auto" w:sz="4" w:space="0"/>
            </w:tcBorders>
            <w:vAlign w:val="center"/>
          </w:tcPr>
          <w:p w14:paraId="49E681CF">
            <w:pPr>
              <w:pageBreakBefore w:val="0"/>
              <w:wordWrap/>
              <w:topLinePunct w:val="0"/>
              <w:bidi w:val="0"/>
              <w:spacing w:line="560" w:lineRule="exact"/>
              <w:jc w:val="center"/>
              <w:textAlignment w:val="center"/>
              <w:rPr>
                <w:rFonts w:cs="宋体" w:asciiTheme="minorEastAsia" w:hAnsiTheme="minorEastAsia" w:eastAsiaTheme="minorEastAsia"/>
                <w:color w:val="000000" w:themeColor="text1"/>
                <w:sz w:val="28"/>
                <w:szCs w:val="28"/>
                <w:highlight w:val="none"/>
                <w14:textFill>
                  <w14:solidFill>
                    <w14:schemeClr w14:val="tx1"/>
                  </w14:solidFill>
                </w14:textFill>
              </w:rPr>
            </w:pPr>
          </w:p>
        </w:tc>
        <w:tc>
          <w:tcPr>
            <w:tcW w:w="4542" w:type="dxa"/>
            <w:tcBorders>
              <w:top w:val="single" w:color="auto" w:sz="4" w:space="0"/>
              <w:left w:val="single" w:color="auto" w:sz="4" w:space="0"/>
              <w:bottom w:val="single" w:color="auto" w:sz="4" w:space="0"/>
              <w:right w:val="single" w:color="auto" w:sz="4" w:space="0"/>
            </w:tcBorders>
            <w:vAlign w:val="center"/>
          </w:tcPr>
          <w:p w14:paraId="2C65E653">
            <w:pPr>
              <w:pageBreakBefore w:val="0"/>
              <w:wordWrap/>
              <w:topLinePunct w:val="0"/>
              <w:bidi w:val="0"/>
              <w:spacing w:line="560" w:lineRule="exact"/>
              <w:jc w:val="center"/>
              <w:textAlignment w:val="center"/>
              <w:rPr>
                <w:rFonts w:cs="宋体" w:asciiTheme="minorEastAsia" w:hAnsiTheme="minorEastAsia" w:eastAsiaTheme="minorEastAsia"/>
                <w:color w:val="000000" w:themeColor="text1"/>
                <w:sz w:val="28"/>
                <w:szCs w:val="28"/>
                <w:highlight w:val="none"/>
                <w14:textFill>
                  <w14:solidFill>
                    <w14:schemeClr w14:val="tx1"/>
                  </w14:solidFill>
                </w14:textFill>
              </w:rPr>
            </w:pPr>
          </w:p>
        </w:tc>
        <w:tc>
          <w:tcPr>
            <w:tcW w:w="606" w:type="dxa"/>
            <w:tcBorders>
              <w:top w:val="single" w:color="auto" w:sz="4" w:space="0"/>
              <w:left w:val="single" w:color="auto" w:sz="4" w:space="0"/>
              <w:bottom w:val="single" w:color="auto" w:sz="4" w:space="0"/>
              <w:right w:val="single" w:color="auto" w:sz="4" w:space="0"/>
            </w:tcBorders>
            <w:vAlign w:val="center"/>
          </w:tcPr>
          <w:p w14:paraId="2130EABA">
            <w:pPr>
              <w:pageBreakBefore w:val="0"/>
              <w:wordWrap/>
              <w:topLinePunct w:val="0"/>
              <w:bidi w:val="0"/>
              <w:spacing w:line="560" w:lineRule="exact"/>
              <w:jc w:val="center"/>
              <w:textAlignment w:val="center"/>
              <w:rPr>
                <w:rFonts w:cs="宋体" w:asciiTheme="minorEastAsia" w:hAnsiTheme="minorEastAsia" w:eastAsiaTheme="minorEastAsia"/>
                <w:color w:val="000000" w:themeColor="text1"/>
                <w:sz w:val="28"/>
                <w:szCs w:val="28"/>
                <w:highlight w:val="none"/>
                <w14:textFill>
                  <w14:solidFill>
                    <w14:schemeClr w14:val="tx1"/>
                  </w14:solidFill>
                </w14:textFill>
              </w:rPr>
            </w:pPr>
          </w:p>
        </w:tc>
        <w:tc>
          <w:tcPr>
            <w:tcW w:w="606" w:type="dxa"/>
            <w:tcBorders>
              <w:top w:val="single" w:color="auto" w:sz="4" w:space="0"/>
              <w:left w:val="single" w:color="auto" w:sz="4" w:space="0"/>
              <w:bottom w:val="single" w:color="auto" w:sz="4" w:space="0"/>
              <w:right w:val="single" w:color="auto" w:sz="4" w:space="0"/>
            </w:tcBorders>
            <w:vAlign w:val="center"/>
          </w:tcPr>
          <w:p w14:paraId="1BE0F2D1">
            <w:pPr>
              <w:pageBreakBefore w:val="0"/>
              <w:wordWrap/>
              <w:topLinePunct w:val="0"/>
              <w:bidi w:val="0"/>
              <w:spacing w:line="560" w:lineRule="exact"/>
              <w:jc w:val="center"/>
              <w:rPr>
                <w:rFonts w:cs="宋体" w:asciiTheme="minorEastAsia" w:hAnsiTheme="minorEastAsia" w:eastAsiaTheme="minorEastAsia"/>
                <w:color w:val="000000" w:themeColor="text1"/>
                <w:sz w:val="28"/>
                <w:szCs w:val="28"/>
                <w:highlight w:val="none"/>
                <w14:textFill>
                  <w14:solidFill>
                    <w14:schemeClr w14:val="tx1"/>
                  </w14:solidFill>
                </w14:textFill>
              </w:rPr>
            </w:pPr>
          </w:p>
        </w:tc>
        <w:tc>
          <w:tcPr>
            <w:tcW w:w="606" w:type="dxa"/>
            <w:tcBorders>
              <w:top w:val="single" w:color="auto" w:sz="4" w:space="0"/>
              <w:left w:val="single" w:color="auto" w:sz="4" w:space="0"/>
              <w:bottom w:val="single" w:color="auto" w:sz="4" w:space="0"/>
              <w:right w:val="single" w:color="auto" w:sz="4" w:space="0"/>
            </w:tcBorders>
          </w:tcPr>
          <w:p w14:paraId="7100B18B">
            <w:pPr>
              <w:pageBreakBefore w:val="0"/>
              <w:wordWrap/>
              <w:topLinePunct w:val="0"/>
              <w:bidi w:val="0"/>
              <w:spacing w:line="560" w:lineRule="exact"/>
              <w:jc w:val="center"/>
              <w:rPr>
                <w:rFonts w:cs="宋体" w:asciiTheme="minorEastAsia" w:hAnsiTheme="minorEastAsia" w:eastAsiaTheme="minorEastAsia"/>
                <w:color w:val="000000" w:themeColor="text1"/>
                <w:sz w:val="28"/>
                <w:szCs w:val="28"/>
                <w:highlight w:val="none"/>
                <w14:textFill>
                  <w14:solidFill>
                    <w14:schemeClr w14:val="tx1"/>
                  </w14:solidFill>
                </w14:textFill>
              </w:rPr>
            </w:pPr>
          </w:p>
        </w:tc>
        <w:tc>
          <w:tcPr>
            <w:tcW w:w="606" w:type="dxa"/>
            <w:tcBorders>
              <w:top w:val="single" w:color="auto" w:sz="4" w:space="0"/>
              <w:left w:val="single" w:color="auto" w:sz="4" w:space="0"/>
              <w:bottom w:val="single" w:color="auto" w:sz="4" w:space="0"/>
              <w:right w:val="single" w:color="auto" w:sz="4" w:space="0"/>
            </w:tcBorders>
          </w:tcPr>
          <w:p w14:paraId="47CAAA9E">
            <w:pPr>
              <w:pageBreakBefore w:val="0"/>
              <w:wordWrap/>
              <w:topLinePunct w:val="0"/>
              <w:bidi w:val="0"/>
              <w:spacing w:line="560" w:lineRule="exact"/>
              <w:jc w:val="center"/>
              <w:rPr>
                <w:rFonts w:cs="宋体" w:asciiTheme="minorEastAsia" w:hAnsiTheme="minorEastAsia" w:eastAsiaTheme="minorEastAsia"/>
                <w:color w:val="000000" w:themeColor="text1"/>
                <w:sz w:val="28"/>
                <w:szCs w:val="28"/>
                <w:highlight w:val="none"/>
                <w14:textFill>
                  <w14:solidFill>
                    <w14:schemeClr w14:val="tx1"/>
                  </w14:solidFill>
                </w14:textFill>
              </w:rPr>
            </w:pPr>
          </w:p>
        </w:tc>
      </w:tr>
    </w:tbl>
    <w:p w14:paraId="18851F95">
      <w:pPr>
        <w:pageBreakBefore w:val="0"/>
        <w:wordWrap/>
        <w:topLinePunct w:val="0"/>
        <w:bidi w:val="0"/>
        <w:snapToGrid w:val="0"/>
        <w:spacing w:line="560" w:lineRule="exact"/>
        <w:ind w:firstLine="602" w:firstLineChars="200"/>
        <w:rPr>
          <w:rFonts w:ascii="仿宋" w:hAnsi="仿宋" w:eastAsia="仿宋" w:cs="仿宋_GB2312"/>
          <w:b/>
          <w:color w:val="000000" w:themeColor="text1"/>
          <w:sz w:val="30"/>
          <w:szCs w:val="30"/>
          <w:highlight w:val="none"/>
          <w14:textFill>
            <w14:solidFill>
              <w14:schemeClr w14:val="tx1"/>
            </w14:solidFill>
          </w14:textFill>
        </w:rPr>
      </w:pPr>
    </w:p>
    <w:p w14:paraId="553510FC">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t>注：1、供应商应提供本次招标项目的招标范围中的所有设备。</w:t>
      </w:r>
    </w:p>
    <w:p w14:paraId="29B163F0">
      <w:pPr>
        <w:keepNext w:val="0"/>
        <w:keepLines w:val="0"/>
        <w:pageBreakBefore w:val="0"/>
        <w:widowControl w:val="0"/>
        <w:kinsoku/>
        <w:wordWrap/>
        <w:overflowPunct/>
        <w:topLinePunct w:val="0"/>
        <w:autoSpaceDE/>
        <w:autoSpaceDN/>
        <w:bidi w:val="0"/>
        <w:adjustRightInd/>
        <w:snapToGrid w:val="0"/>
        <w:spacing w:line="560" w:lineRule="exact"/>
        <w:ind w:firstLine="562" w:firstLineChars="200"/>
        <w:textAlignment w:val="auto"/>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t>2、如中标单位所提供的的货物不符合要求，采购方有权要求中标单位退换全部设备，并由中标单位承担采购方的所造成的全部损失。</w:t>
      </w:r>
    </w:p>
    <w:p w14:paraId="4D48EE99">
      <w:pPr>
        <w:keepNext w:val="0"/>
        <w:keepLines w:val="0"/>
        <w:pageBreakBefore w:val="0"/>
        <w:widowControl w:val="0"/>
        <w:kinsoku/>
        <w:wordWrap/>
        <w:overflowPunct/>
        <w:topLinePunct w:val="0"/>
        <w:autoSpaceDE/>
        <w:autoSpaceDN/>
        <w:bidi w:val="0"/>
        <w:adjustRightInd/>
        <w:snapToGrid w:val="0"/>
        <w:spacing w:line="560" w:lineRule="exact"/>
        <w:ind w:firstLine="562" w:firstLineChars="200"/>
        <w:textAlignment w:val="auto"/>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t>3、供应商可根据自身需求更改采购清单表格格式，但不可删减主要内容（如</w:t>
      </w:r>
      <w:r>
        <w:rPr>
          <w:rFonts w:hint="eastAsia" w:ascii="宋体" w:hAnsi="宋体" w:cs="宋体"/>
          <w:b/>
          <w:bCs/>
          <w:color w:val="000000" w:themeColor="text1"/>
          <w:sz w:val="28"/>
          <w:szCs w:val="28"/>
          <w:highlight w:val="none"/>
          <w:lang w:eastAsia="zh-CN"/>
          <w14:textFill>
            <w14:solidFill>
              <w14:schemeClr w14:val="tx1"/>
            </w14:solidFill>
          </w14:textFill>
        </w:rPr>
        <w:t>设备</w:t>
      </w:r>
      <w:r>
        <w:rPr>
          <w:rFonts w:hint="eastAsia" w:ascii="宋体" w:hAnsi="宋体" w:eastAsia="宋体" w:cs="宋体"/>
          <w:b/>
          <w:bCs/>
          <w:color w:val="000000" w:themeColor="text1"/>
          <w:sz w:val="28"/>
          <w:szCs w:val="28"/>
          <w:highlight w:val="none"/>
          <w14:textFill>
            <w14:solidFill>
              <w14:schemeClr w14:val="tx1"/>
            </w14:solidFill>
          </w14:textFill>
        </w:rPr>
        <w:t>名称</w:t>
      </w:r>
      <w:r>
        <w:rPr>
          <w:rFonts w:hint="eastAsia" w:ascii="宋体" w:hAnsi="宋体" w:cs="宋体"/>
          <w:b/>
          <w:bCs/>
          <w:color w:val="000000" w:themeColor="text1"/>
          <w:sz w:val="28"/>
          <w:szCs w:val="28"/>
          <w:highlight w:val="none"/>
          <w:lang w:eastAsia="zh-CN"/>
          <w14:textFill>
            <w14:solidFill>
              <w14:schemeClr w14:val="tx1"/>
            </w14:solidFill>
          </w14:textFill>
        </w:rPr>
        <w:t>、技术</w:t>
      </w:r>
      <w:r>
        <w:rPr>
          <w:rFonts w:hint="eastAsia" w:ascii="宋体" w:hAnsi="宋体" w:eastAsia="宋体" w:cs="宋体"/>
          <w:b/>
          <w:bCs/>
          <w:color w:val="000000" w:themeColor="text1"/>
          <w:sz w:val="28"/>
          <w:szCs w:val="28"/>
          <w:highlight w:val="none"/>
          <w14:textFill>
            <w14:solidFill>
              <w14:schemeClr w14:val="tx1"/>
            </w14:solidFill>
          </w14:textFill>
        </w:rPr>
        <w:t>参数</w:t>
      </w:r>
      <w:r>
        <w:rPr>
          <w:rFonts w:hint="eastAsia" w:ascii="宋体" w:hAnsi="宋体" w:cs="宋体"/>
          <w:b/>
          <w:bCs/>
          <w:color w:val="000000" w:themeColor="text1"/>
          <w:sz w:val="28"/>
          <w:szCs w:val="28"/>
          <w:highlight w:val="none"/>
          <w:lang w:eastAsia="zh-CN"/>
          <w14:textFill>
            <w14:solidFill>
              <w14:schemeClr w14:val="tx1"/>
            </w14:solidFill>
          </w14:textFill>
        </w:rPr>
        <w:t>、</w:t>
      </w:r>
      <w:r>
        <w:rPr>
          <w:rFonts w:hint="eastAsia" w:ascii="宋体" w:hAnsi="宋体" w:eastAsia="宋体" w:cs="宋体"/>
          <w:b/>
          <w:bCs/>
          <w:color w:val="000000" w:themeColor="text1"/>
          <w:sz w:val="28"/>
          <w:szCs w:val="28"/>
          <w:highlight w:val="none"/>
          <w14:textFill>
            <w14:solidFill>
              <w14:schemeClr w14:val="tx1"/>
            </w14:solidFill>
          </w14:textFill>
        </w:rPr>
        <w:t>数量</w:t>
      </w:r>
      <w:r>
        <w:rPr>
          <w:rFonts w:hint="eastAsia" w:ascii="宋体" w:hAnsi="宋体" w:cs="宋体"/>
          <w:b/>
          <w:bCs/>
          <w:color w:val="000000" w:themeColor="text1"/>
          <w:sz w:val="28"/>
          <w:szCs w:val="28"/>
          <w:highlight w:val="none"/>
          <w:lang w:eastAsia="zh-CN"/>
          <w14:textFill>
            <w14:solidFill>
              <w14:schemeClr w14:val="tx1"/>
            </w14:solidFill>
          </w14:textFill>
        </w:rPr>
        <w:t>、品牌、型号</w:t>
      </w:r>
      <w:r>
        <w:rPr>
          <w:rFonts w:hint="eastAsia" w:ascii="宋体" w:hAnsi="宋体" w:eastAsia="宋体" w:cs="宋体"/>
          <w:b/>
          <w:bCs/>
          <w:color w:val="000000" w:themeColor="text1"/>
          <w:sz w:val="28"/>
          <w:szCs w:val="28"/>
          <w:highlight w:val="none"/>
          <w14:textFill>
            <w14:solidFill>
              <w14:schemeClr w14:val="tx1"/>
            </w14:solidFill>
          </w14:textFill>
        </w:rPr>
        <w:t>）。</w:t>
      </w:r>
    </w:p>
    <w:p w14:paraId="6B9FD0B0">
      <w:pPr>
        <w:pageBreakBefore w:val="0"/>
        <w:wordWrap/>
        <w:topLinePunct w:val="0"/>
        <w:autoSpaceDE w:val="0"/>
        <w:autoSpaceDN w:val="0"/>
        <w:bidi w:val="0"/>
        <w:spacing w:line="560" w:lineRule="exact"/>
        <w:ind w:left="4375" w:leftChars="1950" w:hanging="280" w:hangingChars="100"/>
        <w:rPr>
          <w:rFonts w:cs="仿宋_GB2312" w:asciiTheme="minorEastAsia" w:hAnsiTheme="minorEastAsia" w:eastAsiaTheme="minorEastAsia"/>
          <w:color w:val="000000" w:themeColor="text1"/>
          <w:kern w:val="0"/>
          <w:sz w:val="28"/>
          <w:szCs w:val="28"/>
          <w:highlight w:val="none"/>
          <w14:textFill>
            <w14:solidFill>
              <w14:schemeClr w14:val="tx1"/>
            </w14:solidFill>
          </w14:textFill>
        </w:rPr>
      </w:pPr>
    </w:p>
    <w:p w14:paraId="324F7F2C">
      <w:pPr>
        <w:pageBreakBefore w:val="0"/>
        <w:wordWrap/>
        <w:topLinePunct w:val="0"/>
        <w:autoSpaceDE w:val="0"/>
        <w:autoSpaceDN w:val="0"/>
        <w:bidi w:val="0"/>
        <w:spacing w:line="560" w:lineRule="exact"/>
        <w:ind w:left="4375" w:leftChars="1950" w:hanging="280" w:hangingChars="100"/>
        <w:rPr>
          <w:rFonts w:cs="仿宋_GB2312" w:asciiTheme="minorEastAsia" w:hAnsiTheme="minorEastAsia" w:eastAsiaTheme="minorEastAsia"/>
          <w:color w:val="000000" w:themeColor="text1"/>
          <w:kern w:val="0"/>
          <w:sz w:val="28"/>
          <w:szCs w:val="28"/>
          <w:highlight w:val="none"/>
          <w14:textFill>
            <w14:solidFill>
              <w14:schemeClr w14:val="tx1"/>
            </w14:solidFill>
          </w14:textFill>
        </w:rPr>
      </w:pPr>
    </w:p>
    <w:p w14:paraId="35E45FC8">
      <w:pPr>
        <w:pageBreakBefore w:val="0"/>
        <w:wordWrap/>
        <w:topLinePunct w:val="0"/>
        <w:autoSpaceDE w:val="0"/>
        <w:autoSpaceDN w:val="0"/>
        <w:bidi w:val="0"/>
        <w:spacing w:line="560" w:lineRule="exact"/>
        <w:ind w:left="4375" w:leftChars="1950" w:hanging="280" w:hangingChars="100"/>
        <w:rPr>
          <w:rFonts w:cs="仿宋_GB2312" w:asciiTheme="minorEastAsia" w:hAnsiTheme="minorEastAsia" w:eastAsiaTheme="minorEastAsia"/>
          <w:color w:val="000000" w:themeColor="text1"/>
          <w:kern w:val="0"/>
          <w:sz w:val="28"/>
          <w:szCs w:val="28"/>
          <w:highlight w:val="none"/>
          <w14:textFill>
            <w14:solidFill>
              <w14:schemeClr w14:val="tx1"/>
            </w14:solidFill>
          </w14:textFill>
        </w:rPr>
      </w:pPr>
    </w:p>
    <w:p w14:paraId="6718CB79">
      <w:pPr>
        <w:pageBreakBefore w:val="0"/>
        <w:widowControl/>
        <w:wordWrap/>
        <w:topLinePunct w:val="0"/>
        <w:bidi w:val="0"/>
        <w:spacing w:line="560" w:lineRule="exact"/>
        <w:jc w:val="left"/>
        <w:rPr>
          <w:b/>
          <w:bCs/>
          <w:color w:val="000000" w:themeColor="text1"/>
          <w:sz w:val="30"/>
          <w:szCs w:val="30"/>
          <w:highlight w:val="none"/>
          <w14:textFill>
            <w14:solidFill>
              <w14:schemeClr w14:val="tx1"/>
            </w14:solidFill>
          </w14:textFill>
        </w:rPr>
      </w:pPr>
    </w:p>
    <w:p w14:paraId="325F1C1D">
      <w:pPr>
        <w:pageBreakBefore w:val="0"/>
        <w:widowControl/>
        <w:wordWrap/>
        <w:topLinePunct w:val="0"/>
        <w:bidi w:val="0"/>
        <w:spacing w:line="560" w:lineRule="exact"/>
        <w:jc w:val="left"/>
        <w:rPr>
          <w:b/>
          <w:bCs/>
          <w:color w:val="000000" w:themeColor="text1"/>
          <w:sz w:val="30"/>
          <w:szCs w:val="30"/>
          <w:highlight w:val="none"/>
          <w14:textFill>
            <w14:solidFill>
              <w14:schemeClr w14:val="tx1"/>
            </w14:solidFill>
          </w14:textFill>
        </w:rPr>
      </w:pPr>
      <w:r>
        <w:rPr>
          <w:b/>
          <w:bCs/>
          <w:color w:val="000000" w:themeColor="text1"/>
          <w:sz w:val="30"/>
          <w:szCs w:val="30"/>
          <w:highlight w:val="none"/>
          <w14:textFill>
            <w14:solidFill>
              <w14:schemeClr w14:val="tx1"/>
            </w14:solidFill>
          </w14:textFill>
        </w:rPr>
        <w:br w:type="page"/>
      </w:r>
    </w:p>
    <w:p w14:paraId="4025A11E">
      <w:pPr>
        <w:pageBreakBefore w:val="0"/>
        <w:wordWrap/>
        <w:topLinePunct w:val="0"/>
        <w:bidi w:val="0"/>
        <w:snapToGrid w:val="0"/>
        <w:spacing w:before="165" w:beforeLines="50" w:after="50" w:line="560" w:lineRule="exact"/>
        <w:jc w:val="center"/>
        <w:rPr>
          <w:rFonts w:hint="eastAsia" w:asciiTheme="minorEastAsia" w:hAnsiTheme="minorEastAsia" w:eastAsiaTheme="minorEastAsia"/>
          <w:b/>
          <w:bCs/>
          <w:color w:val="000000" w:themeColor="text1"/>
          <w:sz w:val="30"/>
          <w:szCs w:val="30"/>
          <w:highlight w:val="none"/>
          <w:lang w:eastAsia="zh-CN"/>
          <w14:textFill>
            <w14:solidFill>
              <w14:schemeClr w14:val="tx1"/>
            </w14:solidFill>
          </w14:textFill>
        </w:rPr>
      </w:pPr>
      <w:r>
        <w:rPr>
          <w:rFonts w:hint="eastAsia" w:asciiTheme="minorEastAsia" w:hAnsiTheme="minorEastAsia" w:eastAsiaTheme="minorEastAsia"/>
          <w:b/>
          <w:bCs/>
          <w:color w:val="000000" w:themeColor="text1"/>
          <w:sz w:val="30"/>
          <w:szCs w:val="30"/>
          <w:highlight w:val="none"/>
          <w:lang w:eastAsia="zh-CN"/>
          <w14:textFill>
            <w14:solidFill>
              <w14:schemeClr w14:val="tx1"/>
            </w14:solidFill>
          </w14:textFill>
        </w:rPr>
        <w:t>三、产品及性能</w:t>
      </w:r>
    </w:p>
    <w:p w14:paraId="448C6CFF">
      <w:pPr>
        <w:pageBreakBefore w:val="0"/>
        <w:wordWrap/>
        <w:topLinePunct w:val="0"/>
        <w:autoSpaceDE w:val="0"/>
        <w:autoSpaceDN w:val="0"/>
        <w:bidi w:val="0"/>
        <w:spacing w:line="560" w:lineRule="exact"/>
        <w:jc w:val="center"/>
        <w:rPr>
          <w:rFonts w:hint="eastAsia" w:cs="仿宋_GB2312" w:asciiTheme="minorEastAsia" w:hAnsiTheme="minorEastAsia" w:eastAsiaTheme="minorEastAsia"/>
          <w:color w:val="000000" w:themeColor="text1"/>
          <w:sz w:val="24"/>
          <w:highlight w:val="none"/>
          <w:lang w:val="en-US" w:eastAsia="zh-CN"/>
          <w14:textFill>
            <w14:solidFill>
              <w14:schemeClr w14:val="tx1"/>
            </w14:solidFill>
          </w14:textFill>
        </w:rPr>
      </w:pPr>
      <w:r>
        <w:rPr>
          <w:rFonts w:hint="eastAsia" w:cs="仿宋_GB2312" w:asciiTheme="minorEastAsia" w:hAnsiTheme="minorEastAsia" w:eastAsiaTheme="minorEastAsia"/>
          <w:color w:val="000000" w:themeColor="text1"/>
          <w:sz w:val="28"/>
          <w:szCs w:val="28"/>
          <w:highlight w:val="none"/>
          <w:lang w:eastAsia="zh-CN"/>
          <w14:textFill>
            <w14:solidFill>
              <w14:schemeClr w14:val="tx1"/>
            </w14:solidFill>
          </w14:textFill>
        </w:rPr>
        <w:t>供应商</w:t>
      </w:r>
      <w:r>
        <w:rPr>
          <w:rFonts w:hint="eastAsia" w:cs="仿宋_GB2312" w:asciiTheme="minorEastAsia" w:hAnsiTheme="minorEastAsia" w:eastAsiaTheme="minorEastAsia"/>
          <w:color w:val="000000" w:themeColor="text1"/>
          <w:sz w:val="28"/>
          <w:szCs w:val="28"/>
          <w:highlight w:val="none"/>
          <w14:textFill>
            <w14:solidFill>
              <w14:schemeClr w14:val="tx1"/>
            </w14:solidFill>
          </w14:textFill>
        </w:rPr>
        <w:t>根据采购需求及评分标准要求</w:t>
      </w:r>
      <w:r>
        <w:rPr>
          <w:rFonts w:hint="eastAsia" w:cs="仿宋_GB2312" w:asciiTheme="minorEastAsia" w:hAnsiTheme="minorEastAsia" w:eastAsiaTheme="minorEastAsia"/>
          <w:color w:val="000000" w:themeColor="text1"/>
          <w:sz w:val="28"/>
          <w:szCs w:val="28"/>
          <w:highlight w:val="none"/>
          <w:lang w:eastAsia="zh-CN"/>
          <w14:textFill>
            <w14:solidFill>
              <w14:schemeClr w14:val="tx1"/>
            </w14:solidFill>
          </w14:textFill>
        </w:rPr>
        <w:t>自</w:t>
      </w:r>
      <w:r>
        <w:rPr>
          <w:rFonts w:hint="eastAsia" w:cs="仿宋_GB2312" w:asciiTheme="minorEastAsia" w:hAnsiTheme="minorEastAsia" w:eastAsiaTheme="minorEastAsia"/>
          <w:color w:val="000000" w:themeColor="text1"/>
          <w:sz w:val="28"/>
          <w:szCs w:val="28"/>
          <w:highlight w:val="none"/>
          <w:lang w:val="en-US" w:eastAsia="zh-CN"/>
          <w14:textFill>
            <w14:solidFill>
              <w14:schemeClr w14:val="tx1"/>
            </w14:solidFill>
          </w14:textFill>
        </w:rPr>
        <w:t>行</w:t>
      </w:r>
      <w:r>
        <w:rPr>
          <w:rFonts w:hint="eastAsia" w:cs="仿宋_GB2312" w:asciiTheme="minorEastAsia" w:hAnsiTheme="minorEastAsia" w:eastAsiaTheme="minorEastAsia"/>
          <w:color w:val="000000" w:themeColor="text1"/>
          <w:sz w:val="28"/>
          <w:szCs w:val="28"/>
          <w:highlight w:val="none"/>
          <w14:textFill>
            <w14:solidFill>
              <w14:schemeClr w14:val="tx1"/>
            </w14:solidFill>
          </w14:textFill>
        </w:rPr>
        <w:t>编制</w:t>
      </w:r>
    </w:p>
    <w:p w14:paraId="4EEDDF6D">
      <w:pPr>
        <w:pageBreakBefore w:val="0"/>
        <w:widowControl/>
        <w:wordWrap/>
        <w:topLinePunct w:val="0"/>
        <w:bidi w:val="0"/>
        <w:spacing w:line="560" w:lineRule="exact"/>
        <w:jc w:val="left"/>
        <w:rPr>
          <w:b/>
          <w:bCs/>
          <w:color w:val="000000" w:themeColor="text1"/>
          <w:sz w:val="30"/>
          <w:szCs w:val="30"/>
          <w:highlight w:val="none"/>
          <w14:textFill>
            <w14:solidFill>
              <w14:schemeClr w14:val="tx1"/>
            </w14:solidFill>
          </w14:textFill>
        </w:rPr>
      </w:pPr>
    </w:p>
    <w:p w14:paraId="12C7352F">
      <w:pPr>
        <w:pageBreakBefore w:val="0"/>
        <w:widowControl/>
        <w:wordWrap/>
        <w:topLinePunct w:val="0"/>
        <w:bidi w:val="0"/>
        <w:spacing w:line="560" w:lineRule="exact"/>
        <w:jc w:val="left"/>
        <w:rPr>
          <w:b/>
          <w:bCs/>
          <w:color w:val="000000" w:themeColor="text1"/>
          <w:sz w:val="30"/>
          <w:szCs w:val="30"/>
          <w:highlight w:val="none"/>
          <w14:textFill>
            <w14:solidFill>
              <w14:schemeClr w14:val="tx1"/>
            </w14:solidFill>
          </w14:textFill>
        </w:rPr>
      </w:pPr>
    </w:p>
    <w:p w14:paraId="0693E1F5">
      <w:pPr>
        <w:pageBreakBefore w:val="0"/>
        <w:widowControl/>
        <w:wordWrap/>
        <w:topLinePunct w:val="0"/>
        <w:bidi w:val="0"/>
        <w:spacing w:line="560" w:lineRule="exact"/>
        <w:jc w:val="left"/>
        <w:rPr>
          <w:b/>
          <w:bCs/>
          <w:color w:val="000000" w:themeColor="text1"/>
          <w:sz w:val="30"/>
          <w:szCs w:val="30"/>
          <w:highlight w:val="none"/>
          <w14:textFill>
            <w14:solidFill>
              <w14:schemeClr w14:val="tx1"/>
            </w14:solidFill>
          </w14:textFill>
        </w:rPr>
      </w:pPr>
    </w:p>
    <w:p w14:paraId="0182713A">
      <w:pPr>
        <w:pageBreakBefore w:val="0"/>
        <w:widowControl/>
        <w:wordWrap/>
        <w:topLinePunct w:val="0"/>
        <w:bidi w:val="0"/>
        <w:spacing w:line="560" w:lineRule="exact"/>
        <w:jc w:val="left"/>
        <w:rPr>
          <w:b/>
          <w:bCs/>
          <w:color w:val="000000" w:themeColor="text1"/>
          <w:sz w:val="30"/>
          <w:szCs w:val="30"/>
          <w:highlight w:val="none"/>
          <w14:textFill>
            <w14:solidFill>
              <w14:schemeClr w14:val="tx1"/>
            </w14:solidFill>
          </w14:textFill>
        </w:rPr>
      </w:pPr>
    </w:p>
    <w:p w14:paraId="1FC287D3">
      <w:pPr>
        <w:pageBreakBefore w:val="0"/>
        <w:widowControl/>
        <w:wordWrap/>
        <w:topLinePunct w:val="0"/>
        <w:bidi w:val="0"/>
        <w:spacing w:line="560" w:lineRule="exact"/>
        <w:jc w:val="left"/>
        <w:rPr>
          <w:b/>
          <w:bCs/>
          <w:color w:val="000000" w:themeColor="text1"/>
          <w:sz w:val="30"/>
          <w:szCs w:val="30"/>
          <w:highlight w:val="none"/>
          <w14:textFill>
            <w14:solidFill>
              <w14:schemeClr w14:val="tx1"/>
            </w14:solidFill>
          </w14:textFill>
        </w:rPr>
      </w:pPr>
    </w:p>
    <w:p w14:paraId="23A17BC3">
      <w:pPr>
        <w:pageBreakBefore w:val="0"/>
        <w:widowControl/>
        <w:wordWrap/>
        <w:topLinePunct w:val="0"/>
        <w:bidi w:val="0"/>
        <w:spacing w:line="560" w:lineRule="exact"/>
        <w:jc w:val="left"/>
        <w:rPr>
          <w:b/>
          <w:bCs/>
          <w:color w:val="000000" w:themeColor="text1"/>
          <w:sz w:val="30"/>
          <w:szCs w:val="30"/>
          <w:highlight w:val="none"/>
          <w14:textFill>
            <w14:solidFill>
              <w14:schemeClr w14:val="tx1"/>
            </w14:solidFill>
          </w14:textFill>
        </w:rPr>
      </w:pPr>
    </w:p>
    <w:p w14:paraId="4DB0744F">
      <w:pPr>
        <w:pageBreakBefore w:val="0"/>
        <w:widowControl/>
        <w:wordWrap/>
        <w:topLinePunct w:val="0"/>
        <w:bidi w:val="0"/>
        <w:spacing w:line="560" w:lineRule="exact"/>
        <w:jc w:val="left"/>
        <w:rPr>
          <w:b/>
          <w:bCs/>
          <w:color w:val="000000" w:themeColor="text1"/>
          <w:sz w:val="30"/>
          <w:szCs w:val="30"/>
          <w:highlight w:val="none"/>
          <w14:textFill>
            <w14:solidFill>
              <w14:schemeClr w14:val="tx1"/>
            </w14:solidFill>
          </w14:textFill>
        </w:rPr>
      </w:pPr>
    </w:p>
    <w:p w14:paraId="566685B1">
      <w:pPr>
        <w:pageBreakBefore w:val="0"/>
        <w:widowControl/>
        <w:wordWrap/>
        <w:topLinePunct w:val="0"/>
        <w:bidi w:val="0"/>
        <w:spacing w:line="560" w:lineRule="exact"/>
        <w:jc w:val="left"/>
        <w:rPr>
          <w:b/>
          <w:bCs/>
          <w:color w:val="000000" w:themeColor="text1"/>
          <w:sz w:val="30"/>
          <w:szCs w:val="30"/>
          <w:highlight w:val="none"/>
          <w14:textFill>
            <w14:solidFill>
              <w14:schemeClr w14:val="tx1"/>
            </w14:solidFill>
          </w14:textFill>
        </w:rPr>
      </w:pPr>
    </w:p>
    <w:p w14:paraId="0B257FEF">
      <w:pPr>
        <w:pageBreakBefore w:val="0"/>
        <w:widowControl/>
        <w:wordWrap/>
        <w:topLinePunct w:val="0"/>
        <w:bidi w:val="0"/>
        <w:spacing w:line="560" w:lineRule="exact"/>
        <w:jc w:val="left"/>
        <w:rPr>
          <w:b/>
          <w:bCs/>
          <w:color w:val="000000" w:themeColor="text1"/>
          <w:sz w:val="30"/>
          <w:szCs w:val="30"/>
          <w:highlight w:val="none"/>
          <w14:textFill>
            <w14:solidFill>
              <w14:schemeClr w14:val="tx1"/>
            </w14:solidFill>
          </w14:textFill>
        </w:rPr>
      </w:pPr>
    </w:p>
    <w:p w14:paraId="6A68419A">
      <w:pPr>
        <w:pageBreakBefore w:val="0"/>
        <w:widowControl/>
        <w:wordWrap/>
        <w:topLinePunct w:val="0"/>
        <w:bidi w:val="0"/>
        <w:spacing w:line="560" w:lineRule="exact"/>
        <w:jc w:val="left"/>
        <w:rPr>
          <w:b/>
          <w:bCs/>
          <w:color w:val="000000" w:themeColor="text1"/>
          <w:sz w:val="30"/>
          <w:szCs w:val="30"/>
          <w:highlight w:val="none"/>
          <w14:textFill>
            <w14:solidFill>
              <w14:schemeClr w14:val="tx1"/>
            </w14:solidFill>
          </w14:textFill>
        </w:rPr>
      </w:pPr>
    </w:p>
    <w:p w14:paraId="2FA81FBE">
      <w:pPr>
        <w:pageBreakBefore w:val="0"/>
        <w:widowControl/>
        <w:wordWrap/>
        <w:topLinePunct w:val="0"/>
        <w:bidi w:val="0"/>
        <w:spacing w:line="560" w:lineRule="exact"/>
        <w:jc w:val="left"/>
        <w:rPr>
          <w:b/>
          <w:bCs/>
          <w:color w:val="000000" w:themeColor="text1"/>
          <w:sz w:val="30"/>
          <w:szCs w:val="30"/>
          <w:highlight w:val="none"/>
          <w14:textFill>
            <w14:solidFill>
              <w14:schemeClr w14:val="tx1"/>
            </w14:solidFill>
          </w14:textFill>
        </w:rPr>
      </w:pPr>
    </w:p>
    <w:p w14:paraId="0D18F923">
      <w:pPr>
        <w:pageBreakBefore w:val="0"/>
        <w:widowControl/>
        <w:wordWrap/>
        <w:topLinePunct w:val="0"/>
        <w:bidi w:val="0"/>
        <w:spacing w:line="560" w:lineRule="exact"/>
        <w:jc w:val="left"/>
        <w:rPr>
          <w:b/>
          <w:bCs/>
          <w:color w:val="000000" w:themeColor="text1"/>
          <w:sz w:val="30"/>
          <w:szCs w:val="30"/>
          <w:highlight w:val="none"/>
          <w14:textFill>
            <w14:solidFill>
              <w14:schemeClr w14:val="tx1"/>
            </w14:solidFill>
          </w14:textFill>
        </w:rPr>
      </w:pPr>
    </w:p>
    <w:p w14:paraId="016E791D">
      <w:pPr>
        <w:pageBreakBefore w:val="0"/>
        <w:widowControl/>
        <w:wordWrap/>
        <w:topLinePunct w:val="0"/>
        <w:bidi w:val="0"/>
        <w:spacing w:line="560" w:lineRule="exact"/>
        <w:jc w:val="left"/>
        <w:rPr>
          <w:b/>
          <w:bCs/>
          <w:color w:val="000000" w:themeColor="text1"/>
          <w:sz w:val="30"/>
          <w:szCs w:val="30"/>
          <w:highlight w:val="none"/>
          <w14:textFill>
            <w14:solidFill>
              <w14:schemeClr w14:val="tx1"/>
            </w14:solidFill>
          </w14:textFill>
        </w:rPr>
      </w:pPr>
    </w:p>
    <w:p w14:paraId="7FD22715">
      <w:pPr>
        <w:pageBreakBefore w:val="0"/>
        <w:widowControl/>
        <w:wordWrap/>
        <w:topLinePunct w:val="0"/>
        <w:bidi w:val="0"/>
        <w:spacing w:line="560" w:lineRule="exact"/>
        <w:jc w:val="left"/>
        <w:rPr>
          <w:b/>
          <w:bCs/>
          <w:color w:val="000000" w:themeColor="text1"/>
          <w:sz w:val="30"/>
          <w:szCs w:val="30"/>
          <w:highlight w:val="none"/>
          <w14:textFill>
            <w14:solidFill>
              <w14:schemeClr w14:val="tx1"/>
            </w14:solidFill>
          </w14:textFill>
        </w:rPr>
      </w:pPr>
    </w:p>
    <w:p w14:paraId="47D8CA24">
      <w:pPr>
        <w:pageBreakBefore w:val="0"/>
        <w:widowControl/>
        <w:wordWrap/>
        <w:topLinePunct w:val="0"/>
        <w:bidi w:val="0"/>
        <w:spacing w:line="560" w:lineRule="exact"/>
        <w:jc w:val="left"/>
        <w:rPr>
          <w:b/>
          <w:bCs/>
          <w:color w:val="000000" w:themeColor="text1"/>
          <w:sz w:val="30"/>
          <w:szCs w:val="30"/>
          <w:highlight w:val="none"/>
          <w14:textFill>
            <w14:solidFill>
              <w14:schemeClr w14:val="tx1"/>
            </w14:solidFill>
          </w14:textFill>
        </w:rPr>
      </w:pPr>
    </w:p>
    <w:p w14:paraId="5BF19A09">
      <w:pPr>
        <w:pageBreakBefore w:val="0"/>
        <w:widowControl/>
        <w:wordWrap/>
        <w:topLinePunct w:val="0"/>
        <w:bidi w:val="0"/>
        <w:spacing w:line="560" w:lineRule="exact"/>
        <w:jc w:val="left"/>
        <w:rPr>
          <w:b/>
          <w:bCs/>
          <w:color w:val="000000" w:themeColor="text1"/>
          <w:sz w:val="30"/>
          <w:szCs w:val="30"/>
          <w:highlight w:val="none"/>
          <w14:textFill>
            <w14:solidFill>
              <w14:schemeClr w14:val="tx1"/>
            </w14:solidFill>
          </w14:textFill>
        </w:rPr>
      </w:pPr>
    </w:p>
    <w:p w14:paraId="4CF4CF4B">
      <w:pPr>
        <w:pageBreakBefore w:val="0"/>
        <w:widowControl/>
        <w:wordWrap/>
        <w:topLinePunct w:val="0"/>
        <w:bidi w:val="0"/>
        <w:spacing w:line="560" w:lineRule="exact"/>
        <w:jc w:val="left"/>
        <w:rPr>
          <w:b/>
          <w:bCs/>
          <w:color w:val="000000" w:themeColor="text1"/>
          <w:sz w:val="30"/>
          <w:szCs w:val="30"/>
          <w:highlight w:val="none"/>
          <w14:textFill>
            <w14:solidFill>
              <w14:schemeClr w14:val="tx1"/>
            </w14:solidFill>
          </w14:textFill>
        </w:rPr>
      </w:pPr>
    </w:p>
    <w:p w14:paraId="21438EF6">
      <w:pPr>
        <w:pageBreakBefore w:val="0"/>
        <w:widowControl/>
        <w:wordWrap/>
        <w:topLinePunct w:val="0"/>
        <w:bidi w:val="0"/>
        <w:spacing w:line="560" w:lineRule="exact"/>
        <w:jc w:val="left"/>
        <w:rPr>
          <w:b/>
          <w:bCs/>
          <w:color w:val="000000" w:themeColor="text1"/>
          <w:sz w:val="30"/>
          <w:szCs w:val="30"/>
          <w:highlight w:val="none"/>
          <w14:textFill>
            <w14:solidFill>
              <w14:schemeClr w14:val="tx1"/>
            </w14:solidFill>
          </w14:textFill>
        </w:rPr>
      </w:pPr>
    </w:p>
    <w:p w14:paraId="7480E405">
      <w:pPr>
        <w:pageBreakBefore w:val="0"/>
        <w:widowControl/>
        <w:wordWrap/>
        <w:topLinePunct w:val="0"/>
        <w:bidi w:val="0"/>
        <w:spacing w:line="560" w:lineRule="exact"/>
        <w:jc w:val="left"/>
        <w:rPr>
          <w:b/>
          <w:bCs/>
          <w:color w:val="000000" w:themeColor="text1"/>
          <w:sz w:val="30"/>
          <w:szCs w:val="30"/>
          <w:highlight w:val="none"/>
          <w14:textFill>
            <w14:solidFill>
              <w14:schemeClr w14:val="tx1"/>
            </w14:solidFill>
          </w14:textFill>
        </w:rPr>
      </w:pPr>
    </w:p>
    <w:p w14:paraId="5B3C9BBA">
      <w:pPr>
        <w:pageBreakBefore w:val="0"/>
        <w:widowControl/>
        <w:wordWrap/>
        <w:topLinePunct w:val="0"/>
        <w:bidi w:val="0"/>
        <w:spacing w:line="560" w:lineRule="exact"/>
        <w:jc w:val="left"/>
        <w:rPr>
          <w:b/>
          <w:bCs/>
          <w:color w:val="000000" w:themeColor="text1"/>
          <w:sz w:val="30"/>
          <w:szCs w:val="30"/>
          <w:highlight w:val="none"/>
          <w14:textFill>
            <w14:solidFill>
              <w14:schemeClr w14:val="tx1"/>
            </w14:solidFill>
          </w14:textFill>
        </w:rPr>
      </w:pPr>
    </w:p>
    <w:p w14:paraId="45726910">
      <w:pPr>
        <w:pageBreakBefore w:val="0"/>
        <w:wordWrap/>
        <w:topLinePunct w:val="0"/>
        <w:bidi w:val="0"/>
        <w:snapToGrid w:val="0"/>
        <w:spacing w:before="165" w:beforeLines="50" w:after="50" w:line="560" w:lineRule="exact"/>
        <w:jc w:val="center"/>
        <w:rPr>
          <w:rFonts w:hint="eastAsia" w:asciiTheme="minorEastAsia" w:hAnsiTheme="minorEastAsia" w:eastAsiaTheme="minorEastAsia"/>
          <w:b/>
          <w:bCs/>
          <w:color w:val="000000" w:themeColor="text1"/>
          <w:sz w:val="30"/>
          <w:szCs w:val="30"/>
          <w:highlight w:val="none"/>
          <w:lang w:eastAsia="zh-CN"/>
          <w14:textFill>
            <w14:solidFill>
              <w14:schemeClr w14:val="tx1"/>
            </w14:solidFill>
          </w14:textFill>
        </w:rPr>
      </w:pPr>
    </w:p>
    <w:p w14:paraId="6B2C295B">
      <w:pPr>
        <w:pageBreakBefore w:val="0"/>
        <w:wordWrap/>
        <w:topLinePunct w:val="0"/>
        <w:bidi w:val="0"/>
        <w:snapToGrid w:val="0"/>
        <w:spacing w:before="165" w:beforeLines="50" w:after="50" w:line="560" w:lineRule="exact"/>
        <w:jc w:val="center"/>
        <w:rPr>
          <w:rFonts w:hint="eastAsia" w:asciiTheme="minorEastAsia" w:hAnsiTheme="minorEastAsia" w:eastAsiaTheme="minorEastAsia"/>
          <w:b/>
          <w:bCs/>
          <w:color w:val="000000" w:themeColor="text1"/>
          <w:sz w:val="30"/>
          <w:szCs w:val="30"/>
          <w:highlight w:val="none"/>
          <w:lang w:eastAsia="zh-CN"/>
          <w14:textFill>
            <w14:solidFill>
              <w14:schemeClr w14:val="tx1"/>
            </w14:solidFill>
          </w14:textFill>
        </w:rPr>
      </w:pPr>
    </w:p>
    <w:p w14:paraId="3D6ECC5E">
      <w:pPr>
        <w:pageBreakBefore w:val="0"/>
        <w:wordWrap/>
        <w:topLinePunct w:val="0"/>
        <w:bidi w:val="0"/>
        <w:snapToGrid w:val="0"/>
        <w:spacing w:before="165" w:beforeLines="50" w:after="50" w:line="560" w:lineRule="exact"/>
        <w:jc w:val="center"/>
        <w:rPr>
          <w:rFonts w:hint="eastAsia" w:asciiTheme="minorEastAsia" w:hAnsiTheme="minorEastAsia" w:eastAsiaTheme="minorEastAsia"/>
          <w:b/>
          <w:bCs/>
          <w:color w:val="000000" w:themeColor="text1"/>
          <w:sz w:val="30"/>
          <w:szCs w:val="30"/>
          <w:highlight w:val="none"/>
          <w:lang w:eastAsia="zh-CN"/>
          <w14:textFill>
            <w14:solidFill>
              <w14:schemeClr w14:val="tx1"/>
            </w14:solidFill>
          </w14:textFill>
        </w:rPr>
      </w:pPr>
    </w:p>
    <w:p w14:paraId="3C19E17F">
      <w:pPr>
        <w:pageBreakBefore w:val="0"/>
        <w:wordWrap/>
        <w:topLinePunct w:val="0"/>
        <w:bidi w:val="0"/>
        <w:snapToGrid w:val="0"/>
        <w:spacing w:before="165" w:beforeLines="50" w:after="50" w:line="560" w:lineRule="exact"/>
        <w:jc w:val="center"/>
        <w:rPr>
          <w:rFonts w:hint="eastAsia" w:asciiTheme="minorEastAsia" w:hAnsiTheme="minorEastAsia" w:eastAsiaTheme="minorEastAsia"/>
          <w:b/>
          <w:bCs/>
          <w:color w:val="000000" w:themeColor="text1"/>
          <w:sz w:val="30"/>
          <w:szCs w:val="30"/>
          <w:highlight w:val="none"/>
          <w:lang w:eastAsia="zh-CN"/>
          <w14:textFill>
            <w14:solidFill>
              <w14:schemeClr w14:val="tx1"/>
            </w14:solidFill>
          </w14:textFill>
        </w:rPr>
      </w:pPr>
      <w:r>
        <w:rPr>
          <w:rFonts w:hint="eastAsia" w:asciiTheme="minorEastAsia" w:hAnsiTheme="minorEastAsia" w:eastAsiaTheme="minorEastAsia"/>
          <w:b/>
          <w:bCs/>
          <w:color w:val="000000" w:themeColor="text1"/>
          <w:sz w:val="30"/>
          <w:szCs w:val="30"/>
          <w:highlight w:val="none"/>
          <w:lang w:eastAsia="zh-CN"/>
          <w14:textFill>
            <w14:solidFill>
              <w14:schemeClr w14:val="tx1"/>
            </w14:solidFill>
          </w14:textFill>
        </w:rPr>
        <w:t>四</w:t>
      </w:r>
      <w:r>
        <w:rPr>
          <w:rFonts w:hint="eastAsia" w:asciiTheme="minorEastAsia" w:hAnsiTheme="minorEastAsia" w:eastAsiaTheme="minorEastAsia"/>
          <w:b/>
          <w:bCs/>
          <w:color w:val="000000" w:themeColor="text1"/>
          <w:sz w:val="30"/>
          <w:szCs w:val="30"/>
          <w:highlight w:val="none"/>
          <w14:textFill>
            <w14:solidFill>
              <w14:schemeClr w14:val="tx1"/>
            </w14:solidFill>
          </w14:textFill>
        </w:rPr>
        <w:t>、</w:t>
      </w:r>
      <w:r>
        <w:rPr>
          <w:rFonts w:hint="eastAsia" w:asciiTheme="minorEastAsia" w:hAnsiTheme="minorEastAsia" w:eastAsiaTheme="minorEastAsia"/>
          <w:b/>
          <w:bCs/>
          <w:color w:val="000000" w:themeColor="text1"/>
          <w:sz w:val="30"/>
          <w:szCs w:val="30"/>
          <w:highlight w:val="none"/>
          <w:lang w:eastAsia="zh-CN"/>
          <w14:textFill>
            <w14:solidFill>
              <w14:schemeClr w14:val="tx1"/>
            </w14:solidFill>
          </w14:textFill>
        </w:rPr>
        <w:t>技术方案</w:t>
      </w:r>
    </w:p>
    <w:p w14:paraId="782A1EB0">
      <w:pPr>
        <w:pageBreakBefore w:val="0"/>
        <w:wordWrap/>
        <w:topLinePunct w:val="0"/>
        <w:autoSpaceDE w:val="0"/>
        <w:autoSpaceDN w:val="0"/>
        <w:bidi w:val="0"/>
        <w:spacing w:line="560" w:lineRule="exact"/>
        <w:jc w:val="center"/>
        <w:rPr>
          <w:rFonts w:hint="eastAsia" w:cs="仿宋_GB2312" w:asciiTheme="minorEastAsia" w:hAnsiTheme="minorEastAsia" w:eastAsiaTheme="minorEastAsia"/>
          <w:color w:val="000000" w:themeColor="text1"/>
          <w:sz w:val="24"/>
          <w:highlight w:val="none"/>
          <w:lang w:val="en-US" w:eastAsia="zh-CN"/>
          <w14:textFill>
            <w14:solidFill>
              <w14:schemeClr w14:val="tx1"/>
            </w14:solidFill>
          </w14:textFill>
        </w:rPr>
      </w:pPr>
      <w:r>
        <w:rPr>
          <w:rFonts w:hint="eastAsia" w:cs="仿宋_GB2312" w:asciiTheme="minorEastAsia" w:hAnsiTheme="minorEastAsia" w:eastAsiaTheme="minorEastAsia"/>
          <w:color w:val="000000" w:themeColor="text1"/>
          <w:sz w:val="28"/>
          <w:szCs w:val="28"/>
          <w:highlight w:val="none"/>
          <w:lang w:eastAsia="zh-CN"/>
          <w14:textFill>
            <w14:solidFill>
              <w14:schemeClr w14:val="tx1"/>
            </w14:solidFill>
          </w14:textFill>
        </w:rPr>
        <w:t>供应商</w:t>
      </w:r>
      <w:r>
        <w:rPr>
          <w:rFonts w:hint="eastAsia" w:cs="仿宋_GB2312" w:asciiTheme="minorEastAsia" w:hAnsiTheme="minorEastAsia" w:eastAsiaTheme="minorEastAsia"/>
          <w:color w:val="000000" w:themeColor="text1"/>
          <w:sz w:val="28"/>
          <w:szCs w:val="28"/>
          <w:highlight w:val="none"/>
          <w14:textFill>
            <w14:solidFill>
              <w14:schemeClr w14:val="tx1"/>
            </w14:solidFill>
          </w14:textFill>
        </w:rPr>
        <w:t>根据采购需求及评分标准要求</w:t>
      </w:r>
      <w:r>
        <w:rPr>
          <w:rFonts w:hint="eastAsia" w:cs="仿宋_GB2312" w:asciiTheme="minorEastAsia" w:hAnsiTheme="minorEastAsia" w:eastAsiaTheme="minorEastAsia"/>
          <w:color w:val="000000" w:themeColor="text1"/>
          <w:sz w:val="28"/>
          <w:szCs w:val="28"/>
          <w:highlight w:val="none"/>
          <w:lang w:eastAsia="zh-CN"/>
          <w14:textFill>
            <w14:solidFill>
              <w14:schemeClr w14:val="tx1"/>
            </w14:solidFill>
          </w14:textFill>
        </w:rPr>
        <w:t>自</w:t>
      </w:r>
      <w:r>
        <w:rPr>
          <w:rFonts w:hint="eastAsia" w:cs="仿宋_GB2312" w:asciiTheme="minorEastAsia" w:hAnsiTheme="minorEastAsia" w:eastAsiaTheme="minorEastAsia"/>
          <w:color w:val="000000" w:themeColor="text1"/>
          <w:sz w:val="28"/>
          <w:szCs w:val="28"/>
          <w:highlight w:val="none"/>
          <w:lang w:val="en-US" w:eastAsia="zh-CN"/>
          <w14:textFill>
            <w14:solidFill>
              <w14:schemeClr w14:val="tx1"/>
            </w14:solidFill>
          </w14:textFill>
        </w:rPr>
        <w:t>行</w:t>
      </w:r>
      <w:r>
        <w:rPr>
          <w:rFonts w:hint="eastAsia" w:cs="仿宋_GB2312" w:asciiTheme="minorEastAsia" w:hAnsiTheme="minorEastAsia" w:eastAsiaTheme="minorEastAsia"/>
          <w:color w:val="000000" w:themeColor="text1"/>
          <w:sz w:val="28"/>
          <w:szCs w:val="28"/>
          <w:highlight w:val="none"/>
          <w14:textFill>
            <w14:solidFill>
              <w14:schemeClr w14:val="tx1"/>
            </w14:solidFill>
          </w14:textFill>
        </w:rPr>
        <w:t>编制</w:t>
      </w:r>
    </w:p>
    <w:p w14:paraId="47AE5C3E">
      <w:pPr>
        <w:pageBreakBefore w:val="0"/>
        <w:wordWrap/>
        <w:topLinePunct w:val="0"/>
        <w:bidi w:val="0"/>
        <w:snapToGrid w:val="0"/>
        <w:spacing w:before="165" w:beforeLines="50" w:after="50" w:line="560" w:lineRule="exact"/>
        <w:jc w:val="center"/>
        <w:rPr>
          <w:rFonts w:asciiTheme="minorEastAsia" w:hAnsiTheme="minorEastAsia" w:eastAsiaTheme="minorEastAsia"/>
          <w:b/>
          <w:bCs/>
          <w:color w:val="000000" w:themeColor="text1"/>
          <w:sz w:val="30"/>
          <w:szCs w:val="30"/>
          <w:highlight w:val="none"/>
          <w14:textFill>
            <w14:solidFill>
              <w14:schemeClr w14:val="tx1"/>
            </w14:solidFill>
          </w14:textFill>
        </w:rPr>
      </w:pPr>
    </w:p>
    <w:p w14:paraId="68A607AF">
      <w:pPr>
        <w:pageBreakBefore w:val="0"/>
        <w:wordWrap/>
        <w:topLinePunct w:val="0"/>
        <w:bidi w:val="0"/>
        <w:snapToGrid w:val="0"/>
        <w:spacing w:before="165" w:beforeLines="50" w:after="50" w:line="560" w:lineRule="exact"/>
        <w:jc w:val="center"/>
        <w:rPr>
          <w:rFonts w:asciiTheme="minorEastAsia" w:hAnsiTheme="minorEastAsia" w:eastAsiaTheme="minorEastAsia"/>
          <w:b/>
          <w:bCs/>
          <w:color w:val="000000" w:themeColor="text1"/>
          <w:sz w:val="30"/>
          <w:szCs w:val="30"/>
          <w:highlight w:val="none"/>
          <w14:textFill>
            <w14:solidFill>
              <w14:schemeClr w14:val="tx1"/>
            </w14:solidFill>
          </w14:textFill>
        </w:rPr>
      </w:pPr>
    </w:p>
    <w:p w14:paraId="08026EF7">
      <w:pPr>
        <w:pageBreakBefore w:val="0"/>
        <w:wordWrap/>
        <w:topLinePunct w:val="0"/>
        <w:bidi w:val="0"/>
        <w:snapToGrid w:val="0"/>
        <w:spacing w:before="165" w:beforeLines="50" w:after="50" w:line="560" w:lineRule="exact"/>
        <w:jc w:val="center"/>
        <w:rPr>
          <w:rFonts w:asciiTheme="minorEastAsia" w:hAnsiTheme="minorEastAsia" w:eastAsiaTheme="minorEastAsia"/>
          <w:b/>
          <w:bCs/>
          <w:color w:val="000000" w:themeColor="text1"/>
          <w:sz w:val="30"/>
          <w:szCs w:val="30"/>
          <w:highlight w:val="none"/>
          <w14:textFill>
            <w14:solidFill>
              <w14:schemeClr w14:val="tx1"/>
            </w14:solidFill>
          </w14:textFill>
        </w:rPr>
      </w:pPr>
    </w:p>
    <w:p w14:paraId="17471360">
      <w:pPr>
        <w:pageBreakBefore w:val="0"/>
        <w:wordWrap/>
        <w:topLinePunct w:val="0"/>
        <w:bidi w:val="0"/>
        <w:snapToGrid w:val="0"/>
        <w:spacing w:before="165" w:beforeLines="50" w:after="50" w:line="560" w:lineRule="exact"/>
        <w:jc w:val="center"/>
        <w:rPr>
          <w:rFonts w:asciiTheme="minorEastAsia" w:hAnsiTheme="minorEastAsia" w:eastAsiaTheme="minorEastAsia"/>
          <w:b/>
          <w:bCs/>
          <w:color w:val="000000" w:themeColor="text1"/>
          <w:sz w:val="30"/>
          <w:szCs w:val="30"/>
          <w:highlight w:val="none"/>
          <w14:textFill>
            <w14:solidFill>
              <w14:schemeClr w14:val="tx1"/>
            </w14:solidFill>
          </w14:textFill>
        </w:rPr>
      </w:pPr>
    </w:p>
    <w:p w14:paraId="685D664F">
      <w:pPr>
        <w:pageBreakBefore w:val="0"/>
        <w:wordWrap/>
        <w:topLinePunct w:val="0"/>
        <w:bidi w:val="0"/>
        <w:snapToGrid w:val="0"/>
        <w:spacing w:before="165" w:beforeLines="50" w:after="50" w:line="560" w:lineRule="exact"/>
        <w:jc w:val="center"/>
        <w:rPr>
          <w:rFonts w:asciiTheme="minorEastAsia" w:hAnsiTheme="minorEastAsia" w:eastAsiaTheme="minorEastAsia"/>
          <w:b/>
          <w:bCs/>
          <w:color w:val="000000" w:themeColor="text1"/>
          <w:sz w:val="30"/>
          <w:szCs w:val="30"/>
          <w:highlight w:val="none"/>
          <w14:textFill>
            <w14:solidFill>
              <w14:schemeClr w14:val="tx1"/>
            </w14:solidFill>
          </w14:textFill>
        </w:rPr>
      </w:pPr>
    </w:p>
    <w:p w14:paraId="262FEE90">
      <w:pPr>
        <w:pageBreakBefore w:val="0"/>
        <w:wordWrap/>
        <w:topLinePunct w:val="0"/>
        <w:bidi w:val="0"/>
        <w:snapToGrid w:val="0"/>
        <w:spacing w:before="165" w:beforeLines="50" w:after="50" w:line="560" w:lineRule="exact"/>
        <w:jc w:val="center"/>
        <w:rPr>
          <w:rFonts w:asciiTheme="minorEastAsia" w:hAnsiTheme="minorEastAsia" w:eastAsiaTheme="minorEastAsia"/>
          <w:b/>
          <w:bCs/>
          <w:color w:val="000000" w:themeColor="text1"/>
          <w:sz w:val="30"/>
          <w:szCs w:val="30"/>
          <w:highlight w:val="none"/>
          <w14:textFill>
            <w14:solidFill>
              <w14:schemeClr w14:val="tx1"/>
            </w14:solidFill>
          </w14:textFill>
        </w:rPr>
      </w:pPr>
    </w:p>
    <w:p w14:paraId="70787608">
      <w:pPr>
        <w:pageBreakBefore w:val="0"/>
        <w:wordWrap/>
        <w:topLinePunct w:val="0"/>
        <w:bidi w:val="0"/>
        <w:snapToGrid w:val="0"/>
        <w:spacing w:before="165" w:beforeLines="50" w:after="50" w:line="560" w:lineRule="exact"/>
        <w:jc w:val="center"/>
        <w:rPr>
          <w:rFonts w:asciiTheme="minorEastAsia" w:hAnsiTheme="minorEastAsia" w:eastAsiaTheme="minorEastAsia"/>
          <w:b/>
          <w:bCs/>
          <w:color w:val="000000" w:themeColor="text1"/>
          <w:sz w:val="30"/>
          <w:szCs w:val="30"/>
          <w:highlight w:val="none"/>
          <w14:textFill>
            <w14:solidFill>
              <w14:schemeClr w14:val="tx1"/>
            </w14:solidFill>
          </w14:textFill>
        </w:rPr>
      </w:pPr>
    </w:p>
    <w:p w14:paraId="34A76AE3">
      <w:pPr>
        <w:pageBreakBefore w:val="0"/>
        <w:wordWrap/>
        <w:topLinePunct w:val="0"/>
        <w:bidi w:val="0"/>
        <w:snapToGrid w:val="0"/>
        <w:spacing w:before="165" w:beforeLines="50" w:after="50" w:line="560" w:lineRule="exact"/>
        <w:jc w:val="center"/>
        <w:rPr>
          <w:rFonts w:asciiTheme="minorEastAsia" w:hAnsiTheme="minorEastAsia" w:eastAsiaTheme="minorEastAsia"/>
          <w:b/>
          <w:bCs/>
          <w:color w:val="000000" w:themeColor="text1"/>
          <w:sz w:val="30"/>
          <w:szCs w:val="30"/>
          <w:highlight w:val="none"/>
          <w14:textFill>
            <w14:solidFill>
              <w14:schemeClr w14:val="tx1"/>
            </w14:solidFill>
          </w14:textFill>
        </w:rPr>
      </w:pPr>
    </w:p>
    <w:p w14:paraId="7E3D52CE">
      <w:pPr>
        <w:pageBreakBefore w:val="0"/>
        <w:wordWrap/>
        <w:topLinePunct w:val="0"/>
        <w:bidi w:val="0"/>
        <w:snapToGrid w:val="0"/>
        <w:spacing w:before="165" w:beforeLines="50" w:after="50" w:line="560" w:lineRule="exact"/>
        <w:jc w:val="center"/>
        <w:rPr>
          <w:rFonts w:asciiTheme="minorEastAsia" w:hAnsiTheme="minorEastAsia" w:eastAsiaTheme="minorEastAsia"/>
          <w:b/>
          <w:bCs/>
          <w:color w:val="000000" w:themeColor="text1"/>
          <w:sz w:val="30"/>
          <w:szCs w:val="30"/>
          <w:highlight w:val="none"/>
          <w14:textFill>
            <w14:solidFill>
              <w14:schemeClr w14:val="tx1"/>
            </w14:solidFill>
          </w14:textFill>
        </w:rPr>
      </w:pPr>
    </w:p>
    <w:p w14:paraId="406549C3">
      <w:pPr>
        <w:pageBreakBefore w:val="0"/>
        <w:wordWrap/>
        <w:topLinePunct w:val="0"/>
        <w:bidi w:val="0"/>
        <w:snapToGrid w:val="0"/>
        <w:spacing w:before="165" w:beforeLines="50" w:after="50" w:line="560" w:lineRule="exact"/>
        <w:jc w:val="center"/>
        <w:rPr>
          <w:rFonts w:asciiTheme="minorEastAsia" w:hAnsiTheme="minorEastAsia" w:eastAsiaTheme="minorEastAsia"/>
          <w:b/>
          <w:bCs/>
          <w:color w:val="000000" w:themeColor="text1"/>
          <w:sz w:val="30"/>
          <w:szCs w:val="30"/>
          <w:highlight w:val="none"/>
          <w14:textFill>
            <w14:solidFill>
              <w14:schemeClr w14:val="tx1"/>
            </w14:solidFill>
          </w14:textFill>
        </w:rPr>
      </w:pPr>
    </w:p>
    <w:p w14:paraId="6BA06370">
      <w:pPr>
        <w:pageBreakBefore w:val="0"/>
        <w:wordWrap/>
        <w:topLinePunct w:val="0"/>
        <w:bidi w:val="0"/>
        <w:snapToGrid w:val="0"/>
        <w:spacing w:before="165" w:beforeLines="50" w:after="50" w:line="560" w:lineRule="exact"/>
        <w:jc w:val="center"/>
        <w:rPr>
          <w:rFonts w:asciiTheme="minorEastAsia" w:hAnsiTheme="minorEastAsia" w:eastAsiaTheme="minorEastAsia"/>
          <w:b/>
          <w:bCs/>
          <w:color w:val="000000" w:themeColor="text1"/>
          <w:sz w:val="30"/>
          <w:szCs w:val="30"/>
          <w:highlight w:val="none"/>
          <w14:textFill>
            <w14:solidFill>
              <w14:schemeClr w14:val="tx1"/>
            </w14:solidFill>
          </w14:textFill>
        </w:rPr>
      </w:pPr>
    </w:p>
    <w:p w14:paraId="4F8C88A1">
      <w:pPr>
        <w:pageBreakBefore w:val="0"/>
        <w:wordWrap/>
        <w:topLinePunct w:val="0"/>
        <w:bidi w:val="0"/>
        <w:snapToGrid w:val="0"/>
        <w:spacing w:before="165" w:beforeLines="50" w:after="50" w:line="560" w:lineRule="exact"/>
        <w:jc w:val="center"/>
        <w:rPr>
          <w:rFonts w:asciiTheme="minorEastAsia" w:hAnsiTheme="minorEastAsia" w:eastAsiaTheme="minorEastAsia"/>
          <w:b/>
          <w:bCs/>
          <w:color w:val="000000" w:themeColor="text1"/>
          <w:sz w:val="30"/>
          <w:szCs w:val="30"/>
          <w:highlight w:val="none"/>
          <w14:textFill>
            <w14:solidFill>
              <w14:schemeClr w14:val="tx1"/>
            </w14:solidFill>
          </w14:textFill>
        </w:rPr>
      </w:pPr>
    </w:p>
    <w:p w14:paraId="64E5056D">
      <w:pPr>
        <w:pageBreakBefore w:val="0"/>
        <w:wordWrap/>
        <w:topLinePunct w:val="0"/>
        <w:bidi w:val="0"/>
        <w:snapToGrid w:val="0"/>
        <w:spacing w:before="165" w:beforeLines="50" w:after="50" w:line="560" w:lineRule="exact"/>
        <w:jc w:val="center"/>
        <w:rPr>
          <w:rFonts w:asciiTheme="minorEastAsia" w:hAnsiTheme="minorEastAsia" w:eastAsiaTheme="minorEastAsia"/>
          <w:b/>
          <w:bCs/>
          <w:color w:val="000000" w:themeColor="text1"/>
          <w:sz w:val="30"/>
          <w:szCs w:val="30"/>
          <w:highlight w:val="none"/>
          <w14:textFill>
            <w14:solidFill>
              <w14:schemeClr w14:val="tx1"/>
            </w14:solidFill>
          </w14:textFill>
        </w:rPr>
      </w:pPr>
    </w:p>
    <w:p w14:paraId="7A6EE63D">
      <w:pPr>
        <w:pageBreakBefore w:val="0"/>
        <w:wordWrap/>
        <w:topLinePunct w:val="0"/>
        <w:bidi w:val="0"/>
        <w:snapToGrid w:val="0"/>
        <w:spacing w:before="165" w:beforeLines="50" w:after="50" w:line="560" w:lineRule="exact"/>
        <w:jc w:val="center"/>
        <w:rPr>
          <w:rFonts w:asciiTheme="minorEastAsia" w:hAnsiTheme="minorEastAsia" w:eastAsiaTheme="minorEastAsia"/>
          <w:b/>
          <w:bCs/>
          <w:color w:val="000000" w:themeColor="text1"/>
          <w:sz w:val="30"/>
          <w:szCs w:val="30"/>
          <w:highlight w:val="none"/>
          <w14:textFill>
            <w14:solidFill>
              <w14:schemeClr w14:val="tx1"/>
            </w14:solidFill>
          </w14:textFill>
        </w:rPr>
      </w:pPr>
    </w:p>
    <w:p w14:paraId="43DF3085">
      <w:pPr>
        <w:pageBreakBefore w:val="0"/>
        <w:wordWrap/>
        <w:topLinePunct w:val="0"/>
        <w:bidi w:val="0"/>
        <w:snapToGrid w:val="0"/>
        <w:spacing w:before="165" w:beforeLines="50" w:after="50" w:line="560" w:lineRule="exact"/>
        <w:jc w:val="center"/>
        <w:rPr>
          <w:rFonts w:asciiTheme="minorEastAsia" w:hAnsiTheme="minorEastAsia" w:eastAsiaTheme="minorEastAsia"/>
          <w:b/>
          <w:bCs/>
          <w:color w:val="000000" w:themeColor="text1"/>
          <w:sz w:val="30"/>
          <w:szCs w:val="30"/>
          <w:highlight w:val="none"/>
          <w14:textFill>
            <w14:solidFill>
              <w14:schemeClr w14:val="tx1"/>
            </w14:solidFill>
          </w14:textFill>
        </w:rPr>
      </w:pPr>
    </w:p>
    <w:p w14:paraId="0BE21E56">
      <w:pPr>
        <w:pageBreakBefore w:val="0"/>
        <w:wordWrap/>
        <w:topLinePunct w:val="0"/>
        <w:bidi w:val="0"/>
        <w:snapToGrid w:val="0"/>
        <w:spacing w:before="165" w:beforeLines="50" w:after="50" w:line="560" w:lineRule="exact"/>
        <w:jc w:val="center"/>
        <w:rPr>
          <w:rFonts w:asciiTheme="minorEastAsia" w:hAnsiTheme="minorEastAsia" w:eastAsiaTheme="minorEastAsia"/>
          <w:b/>
          <w:bCs/>
          <w:color w:val="000000" w:themeColor="text1"/>
          <w:sz w:val="30"/>
          <w:szCs w:val="30"/>
          <w:highlight w:val="none"/>
          <w14:textFill>
            <w14:solidFill>
              <w14:schemeClr w14:val="tx1"/>
            </w14:solidFill>
          </w14:textFill>
        </w:rPr>
      </w:pPr>
    </w:p>
    <w:p w14:paraId="14E40ACE">
      <w:pPr>
        <w:pageBreakBefore w:val="0"/>
        <w:wordWrap/>
        <w:topLinePunct w:val="0"/>
        <w:bidi w:val="0"/>
        <w:snapToGrid w:val="0"/>
        <w:spacing w:before="165" w:beforeLines="50" w:after="50" w:line="560" w:lineRule="exact"/>
        <w:jc w:val="center"/>
        <w:rPr>
          <w:rFonts w:asciiTheme="minorEastAsia" w:hAnsiTheme="minorEastAsia" w:eastAsiaTheme="minorEastAsia"/>
          <w:b/>
          <w:bCs/>
          <w:color w:val="000000" w:themeColor="text1"/>
          <w:sz w:val="30"/>
          <w:szCs w:val="30"/>
          <w:highlight w:val="none"/>
          <w14:textFill>
            <w14:solidFill>
              <w14:schemeClr w14:val="tx1"/>
            </w14:solidFill>
          </w14:textFill>
        </w:rPr>
      </w:pPr>
    </w:p>
    <w:p w14:paraId="02237F12">
      <w:pPr>
        <w:pageBreakBefore w:val="0"/>
        <w:wordWrap/>
        <w:topLinePunct w:val="0"/>
        <w:bidi w:val="0"/>
        <w:snapToGrid w:val="0"/>
        <w:spacing w:before="165" w:beforeLines="50" w:after="50" w:line="560" w:lineRule="exact"/>
        <w:jc w:val="both"/>
        <w:rPr>
          <w:rFonts w:asciiTheme="minorEastAsia" w:hAnsiTheme="minorEastAsia" w:eastAsiaTheme="minorEastAsia"/>
          <w:b/>
          <w:bCs/>
          <w:color w:val="000000" w:themeColor="text1"/>
          <w:sz w:val="30"/>
          <w:szCs w:val="30"/>
          <w:highlight w:val="none"/>
          <w14:textFill>
            <w14:solidFill>
              <w14:schemeClr w14:val="tx1"/>
            </w14:solidFill>
          </w14:textFill>
        </w:rPr>
      </w:pPr>
    </w:p>
    <w:p w14:paraId="1B632520">
      <w:pPr>
        <w:pageBreakBefore w:val="0"/>
        <w:widowControl/>
        <w:wordWrap/>
        <w:topLinePunct w:val="0"/>
        <w:bidi w:val="0"/>
        <w:spacing w:line="560" w:lineRule="exact"/>
        <w:jc w:val="center"/>
        <w:rPr>
          <w:rFonts w:hint="eastAsia" w:asciiTheme="minorEastAsia" w:hAnsiTheme="minorEastAsia" w:eastAsiaTheme="minorEastAsia"/>
          <w:b/>
          <w:bCs/>
          <w:color w:val="000000" w:themeColor="text1"/>
          <w:sz w:val="30"/>
          <w:szCs w:val="30"/>
          <w:highlight w:val="none"/>
          <w:lang w:eastAsia="zh-CN"/>
          <w14:textFill>
            <w14:solidFill>
              <w14:schemeClr w14:val="tx1"/>
            </w14:solidFill>
          </w14:textFill>
        </w:rPr>
      </w:pPr>
      <w:r>
        <w:rPr>
          <w:rFonts w:hint="eastAsia" w:asciiTheme="minorEastAsia" w:hAnsiTheme="minorEastAsia" w:eastAsiaTheme="minorEastAsia"/>
          <w:b/>
          <w:bCs/>
          <w:color w:val="000000" w:themeColor="text1"/>
          <w:sz w:val="30"/>
          <w:szCs w:val="30"/>
          <w:highlight w:val="none"/>
          <w:lang w:eastAsia="zh-CN"/>
          <w14:textFill>
            <w14:solidFill>
              <w14:schemeClr w14:val="tx1"/>
            </w14:solidFill>
          </w14:textFill>
        </w:rPr>
        <w:t>五</w:t>
      </w:r>
      <w:r>
        <w:rPr>
          <w:rFonts w:hint="eastAsia" w:asciiTheme="minorEastAsia" w:hAnsiTheme="minorEastAsia" w:eastAsiaTheme="minorEastAsia"/>
          <w:b/>
          <w:bCs/>
          <w:color w:val="000000" w:themeColor="text1"/>
          <w:sz w:val="30"/>
          <w:szCs w:val="30"/>
          <w:highlight w:val="none"/>
          <w14:textFill>
            <w14:solidFill>
              <w14:schemeClr w14:val="tx1"/>
            </w14:solidFill>
          </w14:textFill>
        </w:rPr>
        <w:t>、</w:t>
      </w:r>
      <w:r>
        <w:rPr>
          <w:rFonts w:hint="eastAsia" w:asciiTheme="minorEastAsia" w:hAnsiTheme="minorEastAsia" w:eastAsiaTheme="minorEastAsia"/>
          <w:b/>
          <w:bCs/>
          <w:color w:val="000000" w:themeColor="text1"/>
          <w:sz w:val="30"/>
          <w:szCs w:val="30"/>
          <w:highlight w:val="none"/>
          <w:lang w:eastAsia="zh-CN"/>
          <w14:textFill>
            <w14:solidFill>
              <w14:schemeClr w14:val="tx1"/>
            </w14:solidFill>
          </w14:textFill>
        </w:rPr>
        <w:t>供应商</w:t>
      </w:r>
      <w:r>
        <w:rPr>
          <w:rFonts w:hint="eastAsia" w:asciiTheme="minorEastAsia" w:hAnsiTheme="minorEastAsia" w:eastAsiaTheme="minorEastAsia"/>
          <w:b/>
          <w:bCs/>
          <w:color w:val="000000" w:themeColor="text1"/>
          <w:sz w:val="30"/>
          <w:szCs w:val="30"/>
          <w:highlight w:val="none"/>
          <w14:textFill>
            <w14:solidFill>
              <w14:schemeClr w14:val="tx1"/>
            </w14:solidFill>
          </w14:textFill>
        </w:rPr>
        <w:t>认为需要的其他技术文件或说明</w:t>
      </w:r>
      <w:r>
        <w:rPr>
          <w:rFonts w:hint="eastAsia" w:asciiTheme="minorEastAsia" w:hAnsiTheme="minorEastAsia" w:eastAsiaTheme="minorEastAsia"/>
          <w:b/>
          <w:bCs/>
          <w:color w:val="000000" w:themeColor="text1"/>
          <w:sz w:val="30"/>
          <w:szCs w:val="30"/>
          <w:highlight w:val="none"/>
          <w:lang w:eastAsia="zh-CN"/>
          <w14:textFill>
            <w14:solidFill>
              <w14:schemeClr w14:val="tx1"/>
            </w14:solidFill>
          </w14:textFill>
        </w:rPr>
        <w:t>（如有）</w:t>
      </w:r>
    </w:p>
    <w:p w14:paraId="046F6D71">
      <w:pPr>
        <w:pageBreakBefore w:val="0"/>
        <w:wordWrap/>
        <w:topLinePunct w:val="0"/>
        <w:bidi w:val="0"/>
        <w:spacing w:line="560" w:lineRule="exact"/>
        <w:jc w:val="center"/>
        <w:rPr>
          <w:rFonts w:cs="仿宋_GB2312" w:asciiTheme="minorEastAsia" w:hAnsiTheme="minorEastAsia" w:eastAsiaTheme="minorEastAsia"/>
          <w:color w:val="000000" w:themeColor="text1"/>
          <w:sz w:val="28"/>
          <w:szCs w:val="28"/>
          <w:highlight w:val="none"/>
          <w14:textFill>
            <w14:solidFill>
              <w14:schemeClr w14:val="tx1"/>
            </w14:solidFill>
          </w14:textFill>
        </w:rPr>
      </w:pPr>
      <w:r>
        <w:rPr>
          <w:rFonts w:hint="eastAsia" w:cs="仿宋_GB2312" w:asciiTheme="minorEastAsia" w:hAnsiTheme="minorEastAsia" w:eastAsiaTheme="minorEastAsia"/>
          <w:color w:val="000000" w:themeColor="text1"/>
          <w:sz w:val="28"/>
          <w:szCs w:val="28"/>
          <w:highlight w:val="none"/>
          <w14:textFill>
            <w14:solidFill>
              <w14:schemeClr w14:val="tx1"/>
            </w14:solidFill>
          </w14:textFill>
        </w:rPr>
        <w:t>（由</w:t>
      </w:r>
      <w:r>
        <w:rPr>
          <w:rFonts w:hint="eastAsia" w:cs="仿宋_GB2312" w:asciiTheme="minorEastAsia" w:hAnsiTheme="minorEastAsia" w:eastAsiaTheme="minorEastAsia"/>
          <w:color w:val="000000" w:themeColor="text1"/>
          <w:sz w:val="28"/>
          <w:szCs w:val="28"/>
          <w:highlight w:val="none"/>
          <w:lang w:eastAsia="zh-CN"/>
          <w14:textFill>
            <w14:solidFill>
              <w14:schemeClr w14:val="tx1"/>
            </w14:solidFill>
          </w14:textFill>
        </w:rPr>
        <w:t>供应商</w:t>
      </w:r>
      <w:r>
        <w:rPr>
          <w:rFonts w:hint="eastAsia" w:cs="仿宋_GB2312" w:asciiTheme="minorEastAsia" w:hAnsiTheme="minorEastAsia" w:eastAsiaTheme="minorEastAsia"/>
          <w:color w:val="000000" w:themeColor="text1"/>
          <w:sz w:val="28"/>
          <w:szCs w:val="28"/>
          <w:highlight w:val="none"/>
          <w14:textFill>
            <w14:solidFill>
              <w14:schemeClr w14:val="tx1"/>
            </w14:solidFill>
          </w14:textFill>
        </w:rPr>
        <w:t>根据采购需求自行编制）</w:t>
      </w:r>
    </w:p>
    <w:p w14:paraId="1C7BE529">
      <w:pPr>
        <w:pageBreakBefore w:val="0"/>
        <w:wordWrap/>
        <w:topLinePunct w:val="0"/>
        <w:bidi w:val="0"/>
        <w:spacing w:line="560" w:lineRule="exact"/>
        <w:jc w:val="center"/>
        <w:rPr>
          <w:rFonts w:ascii="仿宋_GB2312" w:hAnsi="仿宋" w:eastAsia="仿宋_GB2312" w:cs="仿宋_GB2312"/>
          <w:color w:val="000000" w:themeColor="text1"/>
          <w:sz w:val="24"/>
          <w:highlight w:val="none"/>
          <w14:textFill>
            <w14:solidFill>
              <w14:schemeClr w14:val="tx1"/>
            </w14:solidFill>
          </w14:textFill>
        </w:rPr>
      </w:pPr>
    </w:p>
    <w:p w14:paraId="1372209E">
      <w:pPr>
        <w:pageBreakBefore w:val="0"/>
        <w:widowControl/>
        <w:wordWrap/>
        <w:topLinePunct w:val="0"/>
        <w:bidi w:val="0"/>
        <w:spacing w:line="560" w:lineRule="exact"/>
        <w:jc w:val="left"/>
        <w:rPr>
          <w:rFonts w:ascii="宋体" w:hAnsi="宋体"/>
          <w:b/>
          <w:bCs/>
          <w:color w:val="000000" w:themeColor="text1"/>
          <w:sz w:val="24"/>
          <w:highlight w:val="none"/>
          <w14:textFill>
            <w14:solidFill>
              <w14:schemeClr w14:val="tx1"/>
            </w14:solidFill>
          </w14:textFill>
        </w:rPr>
        <w:sectPr>
          <w:headerReference r:id="rId32" w:type="default"/>
          <w:pgSz w:w="11906" w:h="16838"/>
          <w:pgMar w:top="1134" w:right="1134" w:bottom="1134" w:left="1134" w:header="720" w:footer="720" w:gutter="0"/>
          <w:pgNumType w:fmt="decimal"/>
          <w:cols w:space="720" w:num="1"/>
          <w:docGrid w:type="lines" w:linePitch="331" w:charSpace="0"/>
        </w:sectPr>
      </w:pPr>
    </w:p>
    <w:p w14:paraId="52B3E05D">
      <w:pPr>
        <w:pStyle w:val="31"/>
        <w:pageBreakBefore w:val="0"/>
        <w:wordWrap/>
        <w:topLinePunct w:val="0"/>
        <w:bidi w:val="0"/>
        <w:spacing w:before="0" w:after="0" w:line="560" w:lineRule="exact"/>
        <w:rPr>
          <w:color w:val="000000" w:themeColor="text1"/>
          <w:sz w:val="36"/>
          <w:szCs w:val="36"/>
          <w:highlight w:val="none"/>
          <w14:textFill>
            <w14:solidFill>
              <w14:schemeClr w14:val="tx1"/>
            </w14:solidFill>
          </w14:textFill>
        </w:rPr>
      </w:pPr>
      <w:r>
        <w:rPr>
          <w:rFonts w:hint="eastAsia"/>
          <w:color w:val="000000" w:themeColor="text1"/>
          <w:sz w:val="36"/>
          <w:szCs w:val="36"/>
          <w:highlight w:val="none"/>
          <w14:textFill>
            <w14:solidFill>
              <w14:schemeClr w14:val="tx1"/>
            </w14:solidFill>
          </w14:textFill>
        </w:rPr>
        <w:t>第七章</w:t>
      </w:r>
      <w:r>
        <w:rPr>
          <w:color w:val="000000" w:themeColor="text1"/>
          <w:sz w:val="36"/>
          <w:szCs w:val="36"/>
          <w:highlight w:val="none"/>
          <w14:textFill>
            <w14:solidFill>
              <w14:schemeClr w14:val="tx1"/>
            </w14:solidFill>
          </w14:textFill>
        </w:rPr>
        <w:t xml:space="preserve"> </w:t>
      </w:r>
      <w:r>
        <w:rPr>
          <w:rFonts w:hint="eastAsia"/>
          <w:color w:val="000000" w:themeColor="text1"/>
          <w:sz w:val="36"/>
          <w:szCs w:val="36"/>
          <w:highlight w:val="none"/>
          <w:lang w:val="en-US" w:eastAsia="zh-CN"/>
          <w14:textFill>
            <w14:solidFill>
              <w14:schemeClr w14:val="tx1"/>
            </w14:solidFill>
          </w14:textFill>
        </w:rPr>
        <w:t xml:space="preserve"> </w:t>
      </w:r>
      <w:r>
        <w:rPr>
          <w:rFonts w:hint="eastAsia"/>
          <w:color w:val="000000" w:themeColor="text1"/>
          <w:sz w:val="36"/>
          <w:szCs w:val="36"/>
          <w:highlight w:val="none"/>
          <w14:textFill>
            <w14:solidFill>
              <w14:schemeClr w14:val="tx1"/>
            </w14:solidFill>
          </w14:textFill>
        </w:rPr>
        <w:t>质疑、投诉证明材料格式</w:t>
      </w:r>
    </w:p>
    <w:p w14:paraId="0BDECDC5">
      <w:pPr>
        <w:pStyle w:val="3"/>
        <w:pageBreakBefore w:val="0"/>
        <w:wordWrap/>
        <w:topLinePunct w:val="0"/>
        <w:bidi w:val="0"/>
        <w:spacing w:line="560" w:lineRule="exact"/>
        <w:jc w:val="center"/>
        <w:rPr>
          <w:rFonts w:ascii="宋体" w:hAnsi="宋体"/>
          <w:b w:val="0"/>
          <w:bCs w:val="0"/>
          <w:color w:val="000000" w:themeColor="text1"/>
          <w:highlight w:val="none"/>
          <w14:textFill>
            <w14:solidFill>
              <w14:schemeClr w14:val="tx1"/>
            </w14:solidFill>
          </w14:textFill>
        </w:rPr>
      </w:pPr>
      <w:r>
        <w:rPr>
          <w:rFonts w:hint="eastAsia" w:ascii="宋体" w:hAnsi="宋体"/>
          <w:b w:val="0"/>
          <w:bCs w:val="0"/>
          <w:color w:val="000000" w:themeColor="text1"/>
          <w:highlight w:val="none"/>
          <w14:textFill>
            <w14:solidFill>
              <w14:schemeClr w14:val="tx1"/>
            </w14:solidFill>
          </w14:textFill>
        </w:rPr>
        <w:t>第一节 质疑函（格式）</w:t>
      </w:r>
    </w:p>
    <w:p w14:paraId="42446C1A">
      <w:pPr>
        <w:pageBreakBefore w:val="0"/>
        <w:wordWrap/>
        <w:topLinePunct w:val="0"/>
        <w:bidi w:val="0"/>
        <w:spacing w:line="560" w:lineRule="exact"/>
        <w:jc w:val="center"/>
        <w:rPr>
          <w:rFonts w:ascii="仿宋" w:hAnsi="仿宋" w:eastAsia="仿宋" w:cs="仿宋"/>
          <w:b/>
          <w:bCs/>
          <w:color w:val="000000" w:themeColor="text1"/>
          <w:sz w:val="44"/>
          <w:szCs w:val="44"/>
          <w:highlight w:val="none"/>
          <w14:textFill>
            <w14:solidFill>
              <w14:schemeClr w14:val="tx1"/>
            </w14:solidFill>
          </w14:textFill>
        </w:rPr>
      </w:pPr>
      <w:r>
        <w:rPr>
          <w:rFonts w:hint="eastAsia" w:ascii="仿宋" w:hAnsi="仿宋" w:eastAsia="仿宋" w:cs="仿宋"/>
          <w:b/>
          <w:bCs/>
          <w:color w:val="000000" w:themeColor="text1"/>
          <w:sz w:val="44"/>
          <w:szCs w:val="44"/>
          <w:highlight w:val="none"/>
          <w14:textFill>
            <w14:solidFill>
              <w14:schemeClr w14:val="tx1"/>
            </w14:solidFill>
          </w14:textFill>
        </w:rPr>
        <w:t>质疑函范本</w:t>
      </w:r>
    </w:p>
    <w:p w14:paraId="3836BA10">
      <w:pPr>
        <w:pageBreakBefore w:val="0"/>
        <w:wordWrap/>
        <w:topLinePunct w:val="0"/>
        <w:bidi w:val="0"/>
        <w:adjustRightInd w:val="0"/>
        <w:snapToGrid w:val="0"/>
        <w:spacing w:before="331" w:beforeLines="100" w:line="560" w:lineRule="exact"/>
        <w:rPr>
          <w:rFonts w:cs="仿宋" w:asciiTheme="minorEastAsia" w:hAnsiTheme="minorEastAsia" w:eastAsiaTheme="minorEastAsia"/>
          <w:bCs/>
          <w:color w:val="000000" w:themeColor="text1"/>
          <w:sz w:val="28"/>
          <w:szCs w:val="28"/>
          <w:highlight w:val="none"/>
          <w14:textFill>
            <w14:solidFill>
              <w14:schemeClr w14:val="tx1"/>
            </w14:solidFill>
          </w14:textFill>
        </w:rPr>
      </w:pPr>
      <w:r>
        <w:rPr>
          <w:rFonts w:hint="eastAsia" w:cs="仿宋" w:asciiTheme="minorEastAsia" w:hAnsiTheme="minorEastAsia" w:eastAsiaTheme="minorEastAsia"/>
          <w:bCs/>
          <w:color w:val="000000" w:themeColor="text1"/>
          <w:sz w:val="28"/>
          <w:szCs w:val="28"/>
          <w:highlight w:val="none"/>
          <w14:textFill>
            <w14:solidFill>
              <w14:schemeClr w14:val="tx1"/>
            </w14:solidFill>
          </w14:textFill>
        </w:rPr>
        <w:t>一、质疑供应商基本信息</w:t>
      </w:r>
    </w:p>
    <w:p w14:paraId="0A28A51A">
      <w:pPr>
        <w:pageBreakBefore w:val="0"/>
        <w:wordWrap/>
        <w:topLinePunct w:val="0"/>
        <w:bidi w:val="0"/>
        <w:adjustRightInd w:val="0"/>
        <w:snapToGrid w:val="0"/>
        <w:spacing w:line="560" w:lineRule="exact"/>
        <w:rPr>
          <w:rFonts w:cs="仿宋" w:asciiTheme="minorEastAsia" w:hAnsiTheme="minorEastAsia" w:eastAsiaTheme="minorEastAsia"/>
          <w:color w:val="000000" w:themeColor="text1"/>
          <w:sz w:val="28"/>
          <w:szCs w:val="28"/>
          <w:highlight w:val="none"/>
          <w:u w:val="dotted"/>
          <w14:textFill>
            <w14:solidFill>
              <w14:schemeClr w14:val="tx1"/>
            </w14:solidFill>
          </w14:textFill>
        </w:rPr>
      </w:pPr>
      <w:r>
        <w:rPr>
          <w:rFonts w:hint="eastAsia" w:cs="仿宋" w:asciiTheme="minorEastAsia" w:hAnsiTheme="minorEastAsia" w:eastAsiaTheme="minorEastAsia"/>
          <w:color w:val="000000" w:themeColor="text1"/>
          <w:sz w:val="28"/>
          <w:szCs w:val="28"/>
          <w:highlight w:val="none"/>
          <w14:textFill>
            <w14:solidFill>
              <w14:schemeClr w14:val="tx1"/>
            </w14:solidFill>
          </w14:textFill>
        </w:rPr>
        <w:t>质疑供应商：</w:t>
      </w:r>
      <w:r>
        <w:rPr>
          <w:rFonts w:hint="eastAsia" w:cs="仿宋" w:asciiTheme="minorEastAsia" w:hAnsiTheme="minorEastAsia" w:eastAsiaTheme="minorEastAsia"/>
          <w:color w:val="000000" w:themeColor="text1"/>
          <w:sz w:val="28"/>
          <w:szCs w:val="28"/>
          <w:highlight w:val="none"/>
          <w:u w:val="dotted"/>
          <w14:textFill>
            <w14:solidFill>
              <w14:schemeClr w14:val="tx1"/>
            </w14:solidFill>
          </w14:textFill>
        </w:rPr>
        <w:t xml:space="preserve">                                        </w:t>
      </w:r>
    </w:p>
    <w:p w14:paraId="52649B5F">
      <w:pPr>
        <w:pageBreakBefore w:val="0"/>
        <w:wordWrap/>
        <w:topLinePunct w:val="0"/>
        <w:bidi w:val="0"/>
        <w:adjustRightInd w:val="0"/>
        <w:snapToGrid w:val="0"/>
        <w:spacing w:line="560" w:lineRule="exact"/>
        <w:rPr>
          <w:rFonts w:cs="仿宋" w:asciiTheme="minorEastAsia" w:hAnsiTheme="minorEastAsia" w:eastAsiaTheme="minorEastAsia"/>
          <w:color w:val="000000" w:themeColor="text1"/>
          <w:sz w:val="28"/>
          <w:szCs w:val="28"/>
          <w:highlight w:val="none"/>
          <w14:textFill>
            <w14:solidFill>
              <w14:schemeClr w14:val="tx1"/>
            </w14:solidFill>
          </w14:textFill>
        </w:rPr>
      </w:pPr>
      <w:r>
        <w:rPr>
          <w:rFonts w:hint="eastAsia" w:cs="仿宋" w:asciiTheme="minorEastAsia" w:hAnsiTheme="minorEastAsia" w:eastAsiaTheme="minorEastAsia"/>
          <w:color w:val="000000" w:themeColor="text1"/>
          <w:sz w:val="28"/>
          <w:szCs w:val="28"/>
          <w:highlight w:val="none"/>
          <w14:textFill>
            <w14:solidFill>
              <w14:schemeClr w14:val="tx1"/>
            </w14:solidFill>
          </w14:textFill>
        </w:rPr>
        <w:t>地址：</w:t>
      </w:r>
      <w:r>
        <w:rPr>
          <w:rFonts w:hint="eastAsia" w:cs="仿宋" w:asciiTheme="minorEastAsia" w:hAnsiTheme="minorEastAsia" w:eastAsiaTheme="minorEastAsia"/>
          <w:color w:val="000000" w:themeColor="text1"/>
          <w:sz w:val="28"/>
          <w:szCs w:val="28"/>
          <w:highlight w:val="none"/>
          <w:u w:val="dotted"/>
          <w14:textFill>
            <w14:solidFill>
              <w14:schemeClr w14:val="tx1"/>
            </w14:solidFill>
          </w14:textFill>
        </w:rPr>
        <w:t xml:space="preserve">                          </w:t>
      </w:r>
      <w:r>
        <w:rPr>
          <w:rFonts w:hint="eastAsia" w:cs="仿宋" w:asciiTheme="minorEastAsia" w:hAnsiTheme="minorEastAsia" w:eastAsiaTheme="minorEastAsia"/>
          <w:color w:val="000000" w:themeColor="text1"/>
          <w:sz w:val="28"/>
          <w:szCs w:val="28"/>
          <w:highlight w:val="none"/>
          <w14:textFill>
            <w14:solidFill>
              <w14:schemeClr w14:val="tx1"/>
            </w14:solidFill>
          </w14:textFill>
        </w:rPr>
        <w:t>邮编：</w:t>
      </w:r>
      <w:r>
        <w:rPr>
          <w:rFonts w:hint="eastAsia" w:cs="仿宋" w:asciiTheme="minorEastAsia" w:hAnsiTheme="minorEastAsia" w:eastAsiaTheme="minorEastAsia"/>
          <w:color w:val="000000" w:themeColor="text1"/>
          <w:sz w:val="28"/>
          <w:szCs w:val="28"/>
          <w:highlight w:val="none"/>
          <w:u w:val="dotted"/>
          <w14:textFill>
            <w14:solidFill>
              <w14:schemeClr w14:val="tx1"/>
            </w14:solidFill>
          </w14:textFill>
        </w:rPr>
        <w:t xml:space="preserve">                                                   </w:t>
      </w:r>
    </w:p>
    <w:p w14:paraId="49236FAB">
      <w:pPr>
        <w:pageBreakBefore w:val="0"/>
        <w:wordWrap/>
        <w:topLinePunct w:val="0"/>
        <w:bidi w:val="0"/>
        <w:adjustRightInd w:val="0"/>
        <w:snapToGrid w:val="0"/>
        <w:spacing w:line="560" w:lineRule="exact"/>
        <w:rPr>
          <w:rFonts w:cs="仿宋" w:asciiTheme="minorEastAsia" w:hAnsiTheme="minorEastAsia" w:eastAsiaTheme="minorEastAsia"/>
          <w:color w:val="000000" w:themeColor="text1"/>
          <w:sz w:val="28"/>
          <w:szCs w:val="28"/>
          <w:highlight w:val="none"/>
          <w14:textFill>
            <w14:solidFill>
              <w14:schemeClr w14:val="tx1"/>
            </w14:solidFill>
          </w14:textFill>
        </w:rPr>
      </w:pPr>
      <w:r>
        <w:rPr>
          <w:rFonts w:hint="eastAsia" w:cs="仿宋" w:asciiTheme="minorEastAsia" w:hAnsiTheme="minorEastAsia" w:eastAsiaTheme="minorEastAsia"/>
          <w:color w:val="000000" w:themeColor="text1"/>
          <w:sz w:val="28"/>
          <w:szCs w:val="28"/>
          <w:highlight w:val="none"/>
          <w14:textFill>
            <w14:solidFill>
              <w14:schemeClr w14:val="tx1"/>
            </w14:solidFill>
          </w14:textFill>
        </w:rPr>
        <w:t>联系人：</w:t>
      </w:r>
      <w:r>
        <w:rPr>
          <w:rFonts w:hint="eastAsia" w:cs="仿宋" w:asciiTheme="minorEastAsia" w:hAnsiTheme="minorEastAsia" w:eastAsiaTheme="minorEastAsia"/>
          <w:color w:val="000000" w:themeColor="text1"/>
          <w:sz w:val="28"/>
          <w:szCs w:val="28"/>
          <w:highlight w:val="none"/>
          <w:u w:val="dotted"/>
          <w14:textFill>
            <w14:solidFill>
              <w14:schemeClr w14:val="tx1"/>
            </w14:solidFill>
          </w14:textFill>
        </w:rPr>
        <w:t xml:space="preserve">                      </w:t>
      </w:r>
      <w:r>
        <w:rPr>
          <w:rFonts w:hint="eastAsia" w:cs="仿宋" w:asciiTheme="minorEastAsia" w:hAnsiTheme="minorEastAsia" w:eastAsiaTheme="minorEastAsia"/>
          <w:color w:val="000000" w:themeColor="text1"/>
          <w:sz w:val="28"/>
          <w:szCs w:val="28"/>
          <w:highlight w:val="none"/>
          <w14:textFill>
            <w14:solidFill>
              <w14:schemeClr w14:val="tx1"/>
            </w14:solidFill>
          </w14:textFill>
        </w:rPr>
        <w:t>联系电话：</w:t>
      </w:r>
      <w:r>
        <w:rPr>
          <w:rFonts w:hint="eastAsia" w:cs="仿宋" w:asciiTheme="minorEastAsia" w:hAnsiTheme="minorEastAsia" w:eastAsiaTheme="minorEastAsia"/>
          <w:color w:val="000000" w:themeColor="text1"/>
          <w:sz w:val="28"/>
          <w:szCs w:val="28"/>
          <w:highlight w:val="none"/>
          <w:u w:val="dotted"/>
          <w14:textFill>
            <w14:solidFill>
              <w14:schemeClr w14:val="tx1"/>
            </w14:solidFill>
          </w14:textFill>
        </w:rPr>
        <w:t xml:space="preserve">                              </w:t>
      </w:r>
    </w:p>
    <w:p w14:paraId="132A2FB8">
      <w:pPr>
        <w:pageBreakBefore w:val="0"/>
        <w:wordWrap/>
        <w:topLinePunct w:val="0"/>
        <w:bidi w:val="0"/>
        <w:adjustRightInd w:val="0"/>
        <w:snapToGrid w:val="0"/>
        <w:spacing w:line="560" w:lineRule="exact"/>
        <w:rPr>
          <w:rFonts w:cs="仿宋" w:asciiTheme="minorEastAsia" w:hAnsiTheme="minorEastAsia" w:eastAsiaTheme="minorEastAsia"/>
          <w:color w:val="000000" w:themeColor="text1"/>
          <w:sz w:val="28"/>
          <w:szCs w:val="28"/>
          <w:highlight w:val="none"/>
          <w:u w:val="dotted"/>
          <w14:textFill>
            <w14:solidFill>
              <w14:schemeClr w14:val="tx1"/>
            </w14:solidFill>
          </w14:textFill>
        </w:rPr>
      </w:pPr>
      <w:r>
        <w:rPr>
          <w:rFonts w:hint="eastAsia" w:cs="仿宋" w:asciiTheme="minorEastAsia" w:hAnsiTheme="minorEastAsia" w:eastAsiaTheme="minorEastAsia"/>
          <w:color w:val="000000" w:themeColor="text1"/>
          <w:sz w:val="28"/>
          <w:szCs w:val="28"/>
          <w:highlight w:val="none"/>
          <w14:textFill>
            <w14:solidFill>
              <w14:schemeClr w14:val="tx1"/>
            </w14:solidFill>
          </w14:textFill>
        </w:rPr>
        <w:t>授权代表：</w:t>
      </w:r>
      <w:r>
        <w:rPr>
          <w:rFonts w:hint="eastAsia" w:cs="仿宋" w:asciiTheme="minorEastAsia" w:hAnsiTheme="minorEastAsia" w:eastAsiaTheme="minorEastAsia"/>
          <w:color w:val="000000" w:themeColor="text1"/>
          <w:sz w:val="28"/>
          <w:szCs w:val="28"/>
          <w:highlight w:val="none"/>
          <w:u w:val="dotted"/>
          <w14:textFill>
            <w14:solidFill>
              <w14:schemeClr w14:val="tx1"/>
            </w14:solidFill>
          </w14:textFill>
        </w:rPr>
        <w:t xml:space="preserve">                                          </w:t>
      </w:r>
    </w:p>
    <w:p w14:paraId="131624D3">
      <w:pPr>
        <w:pageBreakBefore w:val="0"/>
        <w:wordWrap/>
        <w:topLinePunct w:val="0"/>
        <w:bidi w:val="0"/>
        <w:adjustRightInd w:val="0"/>
        <w:snapToGrid w:val="0"/>
        <w:spacing w:line="560" w:lineRule="exact"/>
        <w:rPr>
          <w:rFonts w:cs="仿宋" w:asciiTheme="minorEastAsia" w:hAnsiTheme="minorEastAsia" w:eastAsiaTheme="minorEastAsia"/>
          <w:color w:val="000000" w:themeColor="text1"/>
          <w:sz w:val="28"/>
          <w:szCs w:val="28"/>
          <w:highlight w:val="none"/>
          <w14:textFill>
            <w14:solidFill>
              <w14:schemeClr w14:val="tx1"/>
            </w14:solidFill>
          </w14:textFill>
        </w:rPr>
      </w:pPr>
      <w:r>
        <w:rPr>
          <w:rFonts w:hint="eastAsia" w:cs="仿宋" w:asciiTheme="minorEastAsia" w:hAnsiTheme="minorEastAsia" w:eastAsiaTheme="minorEastAsia"/>
          <w:color w:val="000000" w:themeColor="text1"/>
          <w:sz w:val="28"/>
          <w:szCs w:val="28"/>
          <w:highlight w:val="none"/>
          <w14:textFill>
            <w14:solidFill>
              <w14:schemeClr w14:val="tx1"/>
            </w14:solidFill>
          </w14:textFill>
        </w:rPr>
        <w:t>联系电话：</w:t>
      </w:r>
      <w:r>
        <w:rPr>
          <w:rFonts w:hint="eastAsia" w:cs="仿宋" w:asciiTheme="minorEastAsia" w:hAnsiTheme="minorEastAsia" w:eastAsiaTheme="minorEastAsia"/>
          <w:color w:val="000000" w:themeColor="text1"/>
          <w:sz w:val="28"/>
          <w:szCs w:val="28"/>
          <w:highlight w:val="none"/>
          <w:u w:val="dotted"/>
          <w14:textFill>
            <w14:solidFill>
              <w14:schemeClr w14:val="tx1"/>
            </w14:solidFill>
          </w14:textFill>
        </w:rPr>
        <w:t xml:space="preserve">                                           </w:t>
      </w:r>
      <w:r>
        <w:rPr>
          <w:rFonts w:hint="eastAsia" w:cs="仿宋" w:asciiTheme="minorEastAsia" w:hAnsiTheme="minorEastAsia" w:eastAsiaTheme="minorEastAsia"/>
          <w:color w:val="000000" w:themeColor="text1"/>
          <w:sz w:val="28"/>
          <w:szCs w:val="28"/>
          <w:highlight w:val="none"/>
          <w14:textFill>
            <w14:solidFill>
              <w14:schemeClr w14:val="tx1"/>
            </w14:solidFill>
          </w14:textFill>
        </w:rPr>
        <w:t xml:space="preserve"> </w:t>
      </w:r>
    </w:p>
    <w:p w14:paraId="37A634B2">
      <w:pPr>
        <w:pageBreakBefore w:val="0"/>
        <w:wordWrap/>
        <w:topLinePunct w:val="0"/>
        <w:bidi w:val="0"/>
        <w:adjustRightInd w:val="0"/>
        <w:snapToGrid w:val="0"/>
        <w:spacing w:line="560" w:lineRule="exact"/>
        <w:rPr>
          <w:rFonts w:cs="仿宋" w:asciiTheme="minorEastAsia" w:hAnsiTheme="minorEastAsia" w:eastAsiaTheme="minorEastAsia"/>
          <w:color w:val="000000" w:themeColor="text1"/>
          <w:sz w:val="28"/>
          <w:szCs w:val="28"/>
          <w:highlight w:val="none"/>
          <w14:textFill>
            <w14:solidFill>
              <w14:schemeClr w14:val="tx1"/>
            </w14:solidFill>
          </w14:textFill>
        </w:rPr>
      </w:pPr>
      <w:r>
        <w:rPr>
          <w:rFonts w:hint="eastAsia" w:cs="仿宋" w:asciiTheme="minorEastAsia" w:hAnsiTheme="minorEastAsia" w:eastAsiaTheme="minorEastAsia"/>
          <w:color w:val="000000" w:themeColor="text1"/>
          <w:sz w:val="28"/>
          <w:szCs w:val="28"/>
          <w:highlight w:val="none"/>
          <w14:textFill>
            <w14:solidFill>
              <w14:schemeClr w14:val="tx1"/>
            </w14:solidFill>
          </w14:textFill>
        </w:rPr>
        <w:t xml:space="preserve">地址： </w:t>
      </w:r>
      <w:r>
        <w:rPr>
          <w:rFonts w:hint="eastAsia" w:cs="仿宋" w:asciiTheme="minorEastAsia" w:hAnsiTheme="minorEastAsia" w:eastAsiaTheme="minorEastAsia"/>
          <w:color w:val="000000" w:themeColor="text1"/>
          <w:sz w:val="28"/>
          <w:szCs w:val="28"/>
          <w:highlight w:val="none"/>
          <w:u w:val="dotted"/>
          <w14:textFill>
            <w14:solidFill>
              <w14:schemeClr w14:val="tx1"/>
            </w14:solidFill>
          </w14:textFill>
        </w:rPr>
        <w:t xml:space="preserve">                        </w:t>
      </w:r>
      <w:r>
        <w:rPr>
          <w:rFonts w:hint="eastAsia" w:cs="仿宋" w:asciiTheme="minorEastAsia" w:hAnsiTheme="minorEastAsia" w:eastAsiaTheme="minorEastAsia"/>
          <w:color w:val="000000" w:themeColor="text1"/>
          <w:sz w:val="28"/>
          <w:szCs w:val="28"/>
          <w:highlight w:val="none"/>
          <w14:textFill>
            <w14:solidFill>
              <w14:schemeClr w14:val="tx1"/>
            </w14:solidFill>
          </w14:textFill>
        </w:rPr>
        <w:t>邮编：</w:t>
      </w:r>
      <w:r>
        <w:rPr>
          <w:rFonts w:hint="eastAsia" w:cs="仿宋" w:asciiTheme="minorEastAsia" w:hAnsiTheme="minorEastAsia" w:eastAsiaTheme="minorEastAsia"/>
          <w:color w:val="000000" w:themeColor="text1"/>
          <w:sz w:val="28"/>
          <w:szCs w:val="28"/>
          <w:highlight w:val="none"/>
          <w:u w:val="dotted"/>
          <w14:textFill>
            <w14:solidFill>
              <w14:schemeClr w14:val="tx1"/>
            </w14:solidFill>
          </w14:textFill>
        </w:rPr>
        <w:t xml:space="preserve">                                                </w:t>
      </w:r>
    </w:p>
    <w:p w14:paraId="1FE74DE5">
      <w:pPr>
        <w:pageBreakBefore w:val="0"/>
        <w:wordWrap/>
        <w:topLinePunct w:val="0"/>
        <w:bidi w:val="0"/>
        <w:adjustRightInd w:val="0"/>
        <w:snapToGrid w:val="0"/>
        <w:spacing w:line="560" w:lineRule="exact"/>
        <w:rPr>
          <w:rFonts w:cs="仿宋" w:asciiTheme="minorEastAsia" w:hAnsiTheme="minorEastAsia" w:eastAsiaTheme="minorEastAsia"/>
          <w:bCs/>
          <w:color w:val="000000" w:themeColor="text1"/>
          <w:sz w:val="28"/>
          <w:szCs w:val="28"/>
          <w:highlight w:val="none"/>
          <w14:textFill>
            <w14:solidFill>
              <w14:schemeClr w14:val="tx1"/>
            </w14:solidFill>
          </w14:textFill>
        </w:rPr>
      </w:pPr>
      <w:r>
        <w:rPr>
          <w:rFonts w:hint="eastAsia" w:cs="仿宋" w:asciiTheme="minorEastAsia" w:hAnsiTheme="minorEastAsia" w:eastAsiaTheme="minorEastAsia"/>
          <w:bCs/>
          <w:color w:val="000000" w:themeColor="text1"/>
          <w:sz w:val="28"/>
          <w:szCs w:val="28"/>
          <w:highlight w:val="none"/>
          <w14:textFill>
            <w14:solidFill>
              <w14:schemeClr w14:val="tx1"/>
            </w14:solidFill>
          </w14:textFill>
        </w:rPr>
        <w:t>二、质疑项目基本情况</w:t>
      </w:r>
    </w:p>
    <w:p w14:paraId="4F87FE4F">
      <w:pPr>
        <w:pageBreakBefore w:val="0"/>
        <w:wordWrap/>
        <w:topLinePunct w:val="0"/>
        <w:bidi w:val="0"/>
        <w:adjustRightInd w:val="0"/>
        <w:snapToGrid w:val="0"/>
        <w:spacing w:line="560" w:lineRule="exact"/>
        <w:rPr>
          <w:rFonts w:cs="仿宋" w:asciiTheme="minorEastAsia" w:hAnsiTheme="minorEastAsia" w:eastAsiaTheme="minorEastAsia"/>
          <w:color w:val="000000" w:themeColor="text1"/>
          <w:sz w:val="28"/>
          <w:szCs w:val="28"/>
          <w:highlight w:val="none"/>
          <w14:textFill>
            <w14:solidFill>
              <w14:schemeClr w14:val="tx1"/>
            </w14:solidFill>
          </w14:textFill>
        </w:rPr>
      </w:pPr>
      <w:r>
        <w:rPr>
          <w:rFonts w:hint="eastAsia" w:cs="仿宋" w:asciiTheme="minorEastAsia" w:hAnsiTheme="minorEastAsia" w:eastAsiaTheme="minorEastAsia"/>
          <w:color w:val="000000" w:themeColor="text1"/>
          <w:sz w:val="28"/>
          <w:szCs w:val="28"/>
          <w:highlight w:val="none"/>
          <w14:textFill>
            <w14:solidFill>
              <w14:schemeClr w14:val="tx1"/>
            </w14:solidFill>
          </w14:textFill>
        </w:rPr>
        <w:t>质疑项目的名称：</w:t>
      </w:r>
      <w:r>
        <w:rPr>
          <w:rFonts w:hint="eastAsia" w:cs="仿宋" w:asciiTheme="minorEastAsia" w:hAnsiTheme="minorEastAsia" w:eastAsiaTheme="minorEastAsia"/>
          <w:color w:val="000000" w:themeColor="text1"/>
          <w:sz w:val="28"/>
          <w:szCs w:val="28"/>
          <w:highlight w:val="none"/>
          <w:u w:val="dotted"/>
          <w14:textFill>
            <w14:solidFill>
              <w14:schemeClr w14:val="tx1"/>
            </w14:solidFill>
          </w14:textFill>
        </w:rPr>
        <w:t xml:space="preserve">                                            </w:t>
      </w:r>
    </w:p>
    <w:p w14:paraId="0217AD0B">
      <w:pPr>
        <w:pageBreakBefore w:val="0"/>
        <w:wordWrap/>
        <w:topLinePunct w:val="0"/>
        <w:bidi w:val="0"/>
        <w:adjustRightInd w:val="0"/>
        <w:snapToGrid w:val="0"/>
        <w:spacing w:line="560" w:lineRule="exact"/>
        <w:rPr>
          <w:rFonts w:cs="仿宋" w:asciiTheme="minorEastAsia" w:hAnsiTheme="minorEastAsia" w:eastAsiaTheme="minorEastAsia"/>
          <w:color w:val="000000" w:themeColor="text1"/>
          <w:sz w:val="28"/>
          <w:szCs w:val="28"/>
          <w:highlight w:val="none"/>
          <w14:textFill>
            <w14:solidFill>
              <w14:schemeClr w14:val="tx1"/>
            </w14:solidFill>
          </w14:textFill>
        </w:rPr>
      </w:pPr>
      <w:r>
        <w:rPr>
          <w:rFonts w:hint="eastAsia" w:cs="仿宋" w:asciiTheme="minorEastAsia" w:hAnsiTheme="minorEastAsia" w:eastAsiaTheme="minorEastAsia"/>
          <w:color w:val="000000" w:themeColor="text1"/>
          <w:sz w:val="28"/>
          <w:szCs w:val="28"/>
          <w:highlight w:val="none"/>
          <w14:textFill>
            <w14:solidFill>
              <w14:schemeClr w14:val="tx1"/>
            </w14:solidFill>
          </w14:textFill>
        </w:rPr>
        <w:t>质疑项目的编号：</w:t>
      </w:r>
      <w:r>
        <w:rPr>
          <w:rFonts w:hint="eastAsia" w:cs="仿宋" w:asciiTheme="minorEastAsia" w:hAnsiTheme="minorEastAsia" w:eastAsiaTheme="minorEastAsia"/>
          <w:color w:val="000000" w:themeColor="text1"/>
          <w:sz w:val="28"/>
          <w:szCs w:val="28"/>
          <w:highlight w:val="none"/>
          <w:u w:val="dotted"/>
          <w14:textFill>
            <w14:solidFill>
              <w14:schemeClr w14:val="tx1"/>
            </w14:solidFill>
          </w14:textFill>
        </w:rPr>
        <w:t xml:space="preserve">                 </w:t>
      </w:r>
      <w:r>
        <w:rPr>
          <w:rFonts w:hint="eastAsia" w:cs="仿宋" w:asciiTheme="minorEastAsia" w:hAnsiTheme="minorEastAsia" w:eastAsiaTheme="minorEastAsia"/>
          <w:color w:val="000000" w:themeColor="text1"/>
          <w:sz w:val="28"/>
          <w:szCs w:val="28"/>
          <w:highlight w:val="none"/>
          <w14:textFill>
            <w14:solidFill>
              <w14:schemeClr w14:val="tx1"/>
            </w14:solidFill>
          </w14:textFill>
        </w:rPr>
        <w:t>包号：</w:t>
      </w:r>
      <w:r>
        <w:rPr>
          <w:rFonts w:hint="eastAsia" w:cs="仿宋" w:asciiTheme="minorEastAsia" w:hAnsiTheme="minorEastAsia" w:eastAsiaTheme="minorEastAsia"/>
          <w:color w:val="000000" w:themeColor="text1"/>
          <w:sz w:val="28"/>
          <w:szCs w:val="28"/>
          <w:highlight w:val="none"/>
          <w:u w:val="dotted"/>
          <w14:textFill>
            <w14:solidFill>
              <w14:schemeClr w14:val="tx1"/>
            </w14:solidFill>
          </w14:textFill>
        </w:rPr>
        <w:t xml:space="preserve">                 </w:t>
      </w:r>
    </w:p>
    <w:p w14:paraId="1A6D4540">
      <w:pPr>
        <w:pageBreakBefore w:val="0"/>
        <w:wordWrap/>
        <w:topLinePunct w:val="0"/>
        <w:bidi w:val="0"/>
        <w:adjustRightInd w:val="0"/>
        <w:snapToGrid w:val="0"/>
        <w:spacing w:line="560" w:lineRule="exact"/>
        <w:rPr>
          <w:rFonts w:cs="仿宋" w:asciiTheme="minorEastAsia" w:hAnsiTheme="minorEastAsia" w:eastAsiaTheme="minorEastAsia"/>
          <w:color w:val="000000" w:themeColor="text1"/>
          <w:sz w:val="28"/>
          <w:szCs w:val="28"/>
          <w:highlight w:val="none"/>
          <w:u w:val="dotted"/>
          <w14:textFill>
            <w14:solidFill>
              <w14:schemeClr w14:val="tx1"/>
            </w14:solidFill>
          </w14:textFill>
        </w:rPr>
      </w:pPr>
      <w:r>
        <w:rPr>
          <w:rFonts w:hint="eastAsia" w:cs="仿宋" w:asciiTheme="minorEastAsia" w:hAnsiTheme="minorEastAsia" w:eastAsiaTheme="minorEastAsia"/>
          <w:color w:val="000000" w:themeColor="text1"/>
          <w:sz w:val="28"/>
          <w:szCs w:val="28"/>
          <w:highlight w:val="none"/>
          <w14:textFill>
            <w14:solidFill>
              <w14:schemeClr w14:val="tx1"/>
            </w14:solidFill>
          </w14:textFill>
        </w:rPr>
        <w:t>采购人名称：</w:t>
      </w:r>
      <w:r>
        <w:rPr>
          <w:rFonts w:hint="eastAsia" w:cs="仿宋" w:asciiTheme="minorEastAsia" w:hAnsiTheme="minorEastAsia" w:eastAsiaTheme="minorEastAsia"/>
          <w:color w:val="000000" w:themeColor="text1"/>
          <w:sz w:val="28"/>
          <w:szCs w:val="28"/>
          <w:highlight w:val="none"/>
          <w:u w:val="dotted"/>
          <w14:textFill>
            <w14:solidFill>
              <w14:schemeClr w14:val="tx1"/>
            </w14:solidFill>
          </w14:textFill>
        </w:rPr>
        <w:t xml:space="preserve">                                            </w:t>
      </w:r>
    </w:p>
    <w:p w14:paraId="0BE2B3BD">
      <w:pPr>
        <w:pageBreakBefore w:val="0"/>
        <w:wordWrap/>
        <w:topLinePunct w:val="0"/>
        <w:bidi w:val="0"/>
        <w:adjustRightInd w:val="0"/>
        <w:snapToGrid w:val="0"/>
        <w:spacing w:line="560" w:lineRule="exact"/>
        <w:rPr>
          <w:rFonts w:cs="仿宋" w:asciiTheme="minorEastAsia" w:hAnsiTheme="minorEastAsia" w:eastAsiaTheme="minorEastAsia"/>
          <w:color w:val="000000" w:themeColor="text1"/>
          <w:sz w:val="28"/>
          <w:szCs w:val="28"/>
          <w:highlight w:val="none"/>
          <w14:textFill>
            <w14:solidFill>
              <w14:schemeClr w14:val="tx1"/>
            </w14:solidFill>
          </w14:textFill>
        </w:rPr>
      </w:pPr>
      <w:r>
        <w:rPr>
          <w:rFonts w:hint="eastAsia" w:cs="仿宋" w:asciiTheme="minorEastAsia" w:hAnsiTheme="minorEastAsia" w:eastAsiaTheme="minorEastAsia"/>
          <w:color w:val="000000" w:themeColor="text1"/>
          <w:sz w:val="28"/>
          <w:szCs w:val="28"/>
          <w:highlight w:val="none"/>
          <w14:textFill>
            <w14:solidFill>
              <w14:schemeClr w14:val="tx1"/>
            </w14:solidFill>
          </w14:textFill>
        </w:rPr>
        <w:t>采购文件获取日期：</w:t>
      </w:r>
      <w:r>
        <w:rPr>
          <w:rFonts w:hint="eastAsia" w:cs="仿宋" w:asciiTheme="minorEastAsia" w:hAnsiTheme="minorEastAsia" w:eastAsiaTheme="minorEastAsia"/>
          <w:color w:val="000000" w:themeColor="text1"/>
          <w:sz w:val="28"/>
          <w:szCs w:val="28"/>
          <w:highlight w:val="none"/>
          <w:u w:val="dotted"/>
          <w14:textFill>
            <w14:solidFill>
              <w14:schemeClr w14:val="tx1"/>
            </w14:solidFill>
          </w14:textFill>
        </w:rPr>
        <w:t xml:space="preserve">                                           </w:t>
      </w:r>
    </w:p>
    <w:p w14:paraId="34C9789C">
      <w:pPr>
        <w:pageBreakBefore w:val="0"/>
        <w:wordWrap/>
        <w:topLinePunct w:val="0"/>
        <w:bidi w:val="0"/>
        <w:adjustRightInd w:val="0"/>
        <w:snapToGrid w:val="0"/>
        <w:spacing w:line="560" w:lineRule="exact"/>
        <w:rPr>
          <w:rFonts w:cs="仿宋" w:asciiTheme="minorEastAsia" w:hAnsiTheme="minorEastAsia" w:eastAsiaTheme="minorEastAsia"/>
          <w:bCs/>
          <w:color w:val="000000" w:themeColor="text1"/>
          <w:sz w:val="28"/>
          <w:szCs w:val="28"/>
          <w:highlight w:val="none"/>
          <w14:textFill>
            <w14:solidFill>
              <w14:schemeClr w14:val="tx1"/>
            </w14:solidFill>
          </w14:textFill>
        </w:rPr>
      </w:pPr>
      <w:r>
        <w:rPr>
          <w:rFonts w:hint="eastAsia" w:cs="仿宋" w:asciiTheme="minorEastAsia" w:hAnsiTheme="minorEastAsia" w:eastAsiaTheme="minorEastAsia"/>
          <w:bCs/>
          <w:color w:val="000000" w:themeColor="text1"/>
          <w:sz w:val="28"/>
          <w:szCs w:val="28"/>
          <w:highlight w:val="none"/>
          <w14:textFill>
            <w14:solidFill>
              <w14:schemeClr w14:val="tx1"/>
            </w14:solidFill>
          </w14:textFill>
        </w:rPr>
        <w:t>三、质疑事项具体内容</w:t>
      </w:r>
    </w:p>
    <w:p w14:paraId="08261C70">
      <w:pPr>
        <w:pageBreakBefore w:val="0"/>
        <w:wordWrap/>
        <w:topLinePunct w:val="0"/>
        <w:bidi w:val="0"/>
        <w:adjustRightInd w:val="0"/>
        <w:snapToGrid w:val="0"/>
        <w:spacing w:line="560" w:lineRule="exact"/>
        <w:rPr>
          <w:rFonts w:cs="仿宋" w:asciiTheme="minorEastAsia" w:hAnsiTheme="minorEastAsia" w:eastAsiaTheme="minorEastAsia"/>
          <w:color w:val="000000" w:themeColor="text1"/>
          <w:sz w:val="28"/>
          <w:szCs w:val="28"/>
          <w:highlight w:val="none"/>
          <w:u w:val="dotted"/>
          <w14:textFill>
            <w14:solidFill>
              <w14:schemeClr w14:val="tx1"/>
            </w14:solidFill>
          </w14:textFill>
        </w:rPr>
      </w:pPr>
      <w:r>
        <w:rPr>
          <w:rFonts w:hint="eastAsia" w:cs="仿宋" w:asciiTheme="minorEastAsia" w:hAnsiTheme="minorEastAsia" w:eastAsiaTheme="minorEastAsia"/>
          <w:color w:val="000000" w:themeColor="text1"/>
          <w:sz w:val="28"/>
          <w:szCs w:val="28"/>
          <w:highlight w:val="none"/>
          <w14:textFill>
            <w14:solidFill>
              <w14:schemeClr w14:val="tx1"/>
            </w14:solidFill>
          </w14:textFill>
        </w:rPr>
        <w:t>质疑事项1：</w:t>
      </w:r>
      <w:r>
        <w:rPr>
          <w:rFonts w:hint="eastAsia" w:cs="仿宋" w:asciiTheme="minorEastAsia" w:hAnsiTheme="minorEastAsia" w:eastAsiaTheme="minorEastAsia"/>
          <w:color w:val="000000" w:themeColor="text1"/>
          <w:sz w:val="28"/>
          <w:szCs w:val="28"/>
          <w:highlight w:val="none"/>
          <w:u w:val="dotted"/>
          <w14:textFill>
            <w14:solidFill>
              <w14:schemeClr w14:val="tx1"/>
            </w14:solidFill>
          </w14:textFill>
        </w:rPr>
        <w:t xml:space="preserve">                                         </w:t>
      </w:r>
    </w:p>
    <w:p w14:paraId="24FA48F1">
      <w:pPr>
        <w:pageBreakBefore w:val="0"/>
        <w:wordWrap/>
        <w:topLinePunct w:val="0"/>
        <w:bidi w:val="0"/>
        <w:adjustRightInd w:val="0"/>
        <w:snapToGrid w:val="0"/>
        <w:spacing w:line="560" w:lineRule="exact"/>
        <w:rPr>
          <w:rFonts w:cs="仿宋" w:asciiTheme="minorEastAsia" w:hAnsiTheme="minorEastAsia" w:eastAsiaTheme="minorEastAsia"/>
          <w:color w:val="000000" w:themeColor="text1"/>
          <w:sz w:val="28"/>
          <w:szCs w:val="28"/>
          <w:highlight w:val="none"/>
          <w:u w:val="dotted"/>
          <w14:textFill>
            <w14:solidFill>
              <w14:schemeClr w14:val="tx1"/>
            </w14:solidFill>
          </w14:textFill>
        </w:rPr>
      </w:pPr>
      <w:r>
        <w:rPr>
          <w:rFonts w:hint="eastAsia" w:cs="仿宋" w:asciiTheme="minorEastAsia" w:hAnsiTheme="minorEastAsia" w:eastAsiaTheme="minorEastAsia"/>
          <w:color w:val="000000" w:themeColor="text1"/>
          <w:sz w:val="28"/>
          <w:szCs w:val="28"/>
          <w:highlight w:val="none"/>
          <w14:textFill>
            <w14:solidFill>
              <w14:schemeClr w14:val="tx1"/>
            </w14:solidFill>
          </w14:textFill>
        </w:rPr>
        <w:t>事实依据：</w:t>
      </w:r>
      <w:r>
        <w:rPr>
          <w:rFonts w:hint="eastAsia" w:cs="仿宋" w:asciiTheme="minorEastAsia" w:hAnsiTheme="minorEastAsia" w:eastAsiaTheme="minorEastAsia"/>
          <w:color w:val="000000" w:themeColor="text1"/>
          <w:sz w:val="28"/>
          <w:szCs w:val="28"/>
          <w:highlight w:val="none"/>
          <w:u w:val="dotted"/>
          <w14:textFill>
            <w14:solidFill>
              <w14:schemeClr w14:val="tx1"/>
            </w14:solidFill>
          </w14:textFill>
        </w:rPr>
        <w:t xml:space="preserve">                                          </w:t>
      </w:r>
    </w:p>
    <w:p w14:paraId="01B70FF9">
      <w:pPr>
        <w:pageBreakBefore w:val="0"/>
        <w:wordWrap/>
        <w:topLinePunct w:val="0"/>
        <w:bidi w:val="0"/>
        <w:adjustRightInd w:val="0"/>
        <w:snapToGrid w:val="0"/>
        <w:spacing w:line="560" w:lineRule="exact"/>
        <w:rPr>
          <w:rFonts w:cs="仿宋" w:asciiTheme="minorEastAsia" w:hAnsiTheme="minorEastAsia" w:eastAsiaTheme="minorEastAsia"/>
          <w:color w:val="000000" w:themeColor="text1"/>
          <w:sz w:val="28"/>
          <w:szCs w:val="28"/>
          <w:highlight w:val="none"/>
          <w:u w:val="dotted"/>
          <w14:textFill>
            <w14:solidFill>
              <w14:schemeClr w14:val="tx1"/>
            </w14:solidFill>
          </w14:textFill>
        </w:rPr>
      </w:pPr>
      <w:r>
        <w:rPr>
          <w:rFonts w:hint="eastAsia" w:cs="仿宋" w:asciiTheme="minorEastAsia" w:hAnsiTheme="minorEastAsia" w:eastAsiaTheme="minorEastAsia"/>
          <w:color w:val="000000" w:themeColor="text1"/>
          <w:sz w:val="28"/>
          <w:szCs w:val="28"/>
          <w:highlight w:val="none"/>
          <w14:textFill>
            <w14:solidFill>
              <w14:schemeClr w14:val="tx1"/>
            </w14:solidFill>
          </w14:textFill>
        </w:rPr>
        <w:t>法律依据：</w:t>
      </w:r>
      <w:r>
        <w:rPr>
          <w:rFonts w:hint="eastAsia" w:cs="仿宋" w:asciiTheme="minorEastAsia" w:hAnsiTheme="minorEastAsia" w:eastAsiaTheme="minorEastAsia"/>
          <w:color w:val="000000" w:themeColor="text1"/>
          <w:sz w:val="28"/>
          <w:szCs w:val="28"/>
          <w:highlight w:val="none"/>
          <w:u w:val="dotted"/>
          <w14:textFill>
            <w14:solidFill>
              <w14:schemeClr w14:val="tx1"/>
            </w14:solidFill>
          </w14:textFill>
        </w:rPr>
        <w:t xml:space="preserve">                                          </w:t>
      </w:r>
    </w:p>
    <w:p w14:paraId="70C3CD5A">
      <w:pPr>
        <w:pageBreakBefore w:val="0"/>
        <w:wordWrap/>
        <w:topLinePunct w:val="0"/>
        <w:bidi w:val="0"/>
        <w:adjustRightInd w:val="0"/>
        <w:snapToGrid w:val="0"/>
        <w:spacing w:line="560" w:lineRule="exact"/>
        <w:rPr>
          <w:rFonts w:cs="仿宋" w:asciiTheme="minorEastAsia" w:hAnsiTheme="minorEastAsia" w:eastAsiaTheme="minorEastAsia"/>
          <w:color w:val="000000" w:themeColor="text1"/>
          <w:sz w:val="28"/>
          <w:szCs w:val="28"/>
          <w:highlight w:val="none"/>
          <w:u w:val="dotted"/>
          <w14:textFill>
            <w14:solidFill>
              <w14:schemeClr w14:val="tx1"/>
            </w14:solidFill>
          </w14:textFill>
        </w:rPr>
      </w:pPr>
      <w:r>
        <w:rPr>
          <w:rFonts w:hint="eastAsia" w:cs="仿宋" w:asciiTheme="minorEastAsia" w:hAnsiTheme="minorEastAsia" w:eastAsiaTheme="minorEastAsia"/>
          <w:color w:val="000000" w:themeColor="text1"/>
          <w:sz w:val="28"/>
          <w:szCs w:val="28"/>
          <w:highlight w:val="none"/>
          <w14:textFill>
            <w14:solidFill>
              <w14:schemeClr w14:val="tx1"/>
            </w14:solidFill>
          </w14:textFill>
        </w:rPr>
        <w:t>质疑事项2</w:t>
      </w:r>
    </w:p>
    <w:p w14:paraId="1D8438DC">
      <w:pPr>
        <w:pageBreakBefore w:val="0"/>
        <w:wordWrap/>
        <w:topLinePunct w:val="0"/>
        <w:bidi w:val="0"/>
        <w:adjustRightInd w:val="0"/>
        <w:snapToGrid w:val="0"/>
        <w:spacing w:line="560" w:lineRule="exact"/>
        <w:rPr>
          <w:rFonts w:cs="仿宋" w:asciiTheme="minorEastAsia" w:hAnsiTheme="minorEastAsia" w:eastAsiaTheme="minorEastAsia"/>
          <w:bCs/>
          <w:color w:val="000000" w:themeColor="text1"/>
          <w:sz w:val="28"/>
          <w:szCs w:val="28"/>
          <w:highlight w:val="none"/>
          <w14:textFill>
            <w14:solidFill>
              <w14:schemeClr w14:val="tx1"/>
            </w14:solidFill>
          </w14:textFill>
        </w:rPr>
      </w:pPr>
      <w:r>
        <w:rPr>
          <w:rFonts w:hint="eastAsia" w:cs="仿宋" w:asciiTheme="minorEastAsia" w:hAnsiTheme="minorEastAsia" w:eastAsiaTheme="minorEastAsia"/>
          <w:bCs/>
          <w:color w:val="000000" w:themeColor="text1"/>
          <w:sz w:val="28"/>
          <w:szCs w:val="28"/>
          <w:highlight w:val="none"/>
          <w14:textFill>
            <w14:solidFill>
              <w14:schemeClr w14:val="tx1"/>
            </w14:solidFill>
          </w14:textFill>
        </w:rPr>
        <w:t>四、与质疑事项相关的质疑请求</w:t>
      </w:r>
    </w:p>
    <w:p w14:paraId="51A94363">
      <w:pPr>
        <w:pageBreakBefore w:val="0"/>
        <w:wordWrap/>
        <w:topLinePunct w:val="0"/>
        <w:bidi w:val="0"/>
        <w:adjustRightInd w:val="0"/>
        <w:snapToGrid w:val="0"/>
        <w:spacing w:line="560" w:lineRule="exact"/>
        <w:rPr>
          <w:rFonts w:cs="仿宋" w:asciiTheme="minorEastAsia" w:hAnsiTheme="minorEastAsia" w:eastAsiaTheme="minorEastAsia"/>
          <w:color w:val="000000" w:themeColor="text1"/>
          <w:sz w:val="28"/>
          <w:szCs w:val="28"/>
          <w:highlight w:val="none"/>
          <w:u w:val="dotted"/>
          <w14:textFill>
            <w14:solidFill>
              <w14:schemeClr w14:val="tx1"/>
            </w14:solidFill>
          </w14:textFill>
        </w:rPr>
      </w:pPr>
      <w:r>
        <w:rPr>
          <w:rFonts w:hint="eastAsia" w:cs="仿宋" w:asciiTheme="minorEastAsia" w:hAnsiTheme="minorEastAsia" w:eastAsiaTheme="minorEastAsia"/>
          <w:color w:val="000000" w:themeColor="text1"/>
          <w:sz w:val="28"/>
          <w:szCs w:val="28"/>
          <w:highlight w:val="none"/>
          <w14:textFill>
            <w14:solidFill>
              <w14:schemeClr w14:val="tx1"/>
            </w14:solidFill>
          </w14:textFill>
        </w:rPr>
        <w:t>请求：</w:t>
      </w:r>
      <w:r>
        <w:rPr>
          <w:rFonts w:hint="eastAsia" w:cs="仿宋" w:asciiTheme="minorEastAsia" w:hAnsiTheme="minorEastAsia" w:eastAsiaTheme="minorEastAsia"/>
          <w:color w:val="000000" w:themeColor="text1"/>
          <w:sz w:val="28"/>
          <w:szCs w:val="28"/>
          <w:highlight w:val="none"/>
          <w:u w:val="dotted"/>
          <w14:textFill>
            <w14:solidFill>
              <w14:schemeClr w14:val="tx1"/>
            </w14:solidFill>
          </w14:textFill>
        </w:rPr>
        <w:t xml:space="preserve">                                               </w:t>
      </w:r>
    </w:p>
    <w:p w14:paraId="203FBD98">
      <w:pPr>
        <w:pageBreakBefore w:val="0"/>
        <w:wordWrap/>
        <w:topLinePunct w:val="0"/>
        <w:bidi w:val="0"/>
        <w:adjustRightInd w:val="0"/>
        <w:snapToGrid w:val="0"/>
        <w:spacing w:line="560" w:lineRule="exact"/>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 xml:space="preserve">签字(签章)：                   公章：                      </w:t>
      </w:r>
    </w:p>
    <w:p w14:paraId="03B0EC45">
      <w:pPr>
        <w:pageBreakBefore w:val="0"/>
        <w:wordWrap/>
        <w:topLinePunct w:val="0"/>
        <w:bidi w:val="0"/>
        <w:adjustRightInd w:val="0"/>
        <w:snapToGrid w:val="0"/>
        <w:spacing w:line="560" w:lineRule="exact"/>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 xml:space="preserve">日期：    </w:t>
      </w:r>
    </w:p>
    <w:p w14:paraId="349D80A0">
      <w:pPr>
        <w:pageBreakBefore w:val="0"/>
        <w:wordWrap/>
        <w:topLinePunct w:val="0"/>
        <w:bidi w:val="0"/>
        <w:spacing w:line="560" w:lineRule="exact"/>
        <w:rPr>
          <w:rFonts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质疑函制作说明：</w:t>
      </w:r>
    </w:p>
    <w:p w14:paraId="60B7B026">
      <w:pPr>
        <w:pageBreakBefore w:val="0"/>
        <w:widowControl/>
        <w:wordWrap/>
        <w:topLinePunct w:val="0"/>
        <w:bidi w:val="0"/>
        <w:spacing w:line="560" w:lineRule="exact"/>
        <w:ind w:firstLine="480" w:firstLineChars="200"/>
        <w:jc w:val="left"/>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1.供应商提出质疑时，应提交质疑函和必要的证明材料。</w:t>
      </w:r>
    </w:p>
    <w:p w14:paraId="7754F65B">
      <w:pPr>
        <w:pageBreakBefore w:val="0"/>
        <w:widowControl/>
        <w:wordWrap/>
        <w:topLinePunct w:val="0"/>
        <w:bidi w:val="0"/>
        <w:spacing w:line="560" w:lineRule="exact"/>
        <w:ind w:firstLine="480" w:firstLineChars="200"/>
        <w:jc w:val="left"/>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2.质疑供应商若委托代理人进行质疑的，质疑函应按要求列明“授权代表”的有关内容，并在附件中提交由质疑</w:t>
      </w:r>
      <w:r>
        <w:rPr>
          <w:rFonts w:hint="eastAsia" w:cs="宋体" w:asciiTheme="minorEastAsia" w:hAnsiTheme="minorEastAsia" w:eastAsiaTheme="minorEastAsia"/>
          <w:color w:val="000000" w:themeColor="text1"/>
          <w:kern w:val="0"/>
          <w:sz w:val="24"/>
          <w:highlight w:val="none"/>
          <w14:textFill>
            <w14:solidFill>
              <w14:schemeClr w14:val="tx1"/>
            </w14:solidFill>
          </w14:textFill>
        </w:rPr>
        <w:t>供应商签署的授权委托书。授权委托书应载明代理人的姓名或者名称、代理事项、具体权限、期限和相关事项。</w:t>
      </w:r>
    </w:p>
    <w:p w14:paraId="638CADC3">
      <w:pPr>
        <w:pageBreakBefore w:val="0"/>
        <w:widowControl/>
        <w:wordWrap/>
        <w:topLinePunct w:val="0"/>
        <w:bidi w:val="0"/>
        <w:spacing w:line="560" w:lineRule="exact"/>
        <w:ind w:firstLine="480" w:firstLineChars="200"/>
        <w:jc w:val="left"/>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3.质疑供应商若对项目的某一分包进行质疑，质疑函中应列明具体分包号。</w:t>
      </w:r>
    </w:p>
    <w:p w14:paraId="46B6916E">
      <w:pPr>
        <w:pageBreakBefore w:val="0"/>
        <w:widowControl/>
        <w:wordWrap/>
        <w:topLinePunct w:val="0"/>
        <w:bidi w:val="0"/>
        <w:spacing w:line="560" w:lineRule="exact"/>
        <w:ind w:firstLine="480" w:firstLineChars="200"/>
        <w:jc w:val="left"/>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4.质疑函的质疑事项应具体、明确，并有必要的事实依据和法律依据。</w:t>
      </w:r>
    </w:p>
    <w:p w14:paraId="3217C00C">
      <w:pPr>
        <w:pageBreakBefore w:val="0"/>
        <w:widowControl/>
        <w:wordWrap/>
        <w:topLinePunct w:val="0"/>
        <w:bidi w:val="0"/>
        <w:spacing w:line="560" w:lineRule="exact"/>
        <w:ind w:firstLine="480" w:firstLineChars="200"/>
        <w:jc w:val="left"/>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5.质疑函的质疑请求应与质疑事项相关。</w:t>
      </w:r>
    </w:p>
    <w:p w14:paraId="0C07343A">
      <w:pPr>
        <w:pageBreakBefore w:val="0"/>
        <w:widowControl/>
        <w:wordWrap/>
        <w:topLinePunct w:val="0"/>
        <w:bidi w:val="0"/>
        <w:spacing w:line="560" w:lineRule="exact"/>
        <w:ind w:firstLine="480" w:firstLineChars="200"/>
        <w:jc w:val="left"/>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6.质疑供应商为自然人的，质疑函应由本人签字；质疑供应商为法人或者其他组织的，质疑函应由法定代表人、主要负责人，或者其授权代表签字或者盖章，并加盖公章。</w:t>
      </w:r>
    </w:p>
    <w:p w14:paraId="01B9F5DF">
      <w:pPr>
        <w:pageBreakBefore w:val="0"/>
        <w:widowControl/>
        <w:wordWrap/>
        <w:topLinePunct w:val="0"/>
        <w:bidi w:val="0"/>
        <w:spacing w:line="560" w:lineRule="exact"/>
        <w:ind w:firstLine="600" w:firstLineChars="200"/>
        <w:jc w:val="left"/>
        <w:rPr>
          <w:rFonts w:ascii="仿宋_GB2312" w:eastAsia="仿宋_GB2312"/>
          <w:color w:val="000000" w:themeColor="text1"/>
          <w:sz w:val="30"/>
          <w:szCs w:val="30"/>
          <w:highlight w:val="none"/>
          <w14:textFill>
            <w14:solidFill>
              <w14:schemeClr w14:val="tx1"/>
            </w14:solidFill>
          </w14:textFill>
        </w:rPr>
      </w:pPr>
    </w:p>
    <w:p w14:paraId="09DBF6F4">
      <w:pPr>
        <w:pageBreakBefore w:val="0"/>
        <w:widowControl/>
        <w:wordWrap/>
        <w:topLinePunct w:val="0"/>
        <w:bidi w:val="0"/>
        <w:spacing w:line="560" w:lineRule="exact"/>
        <w:jc w:val="left"/>
        <w:rPr>
          <w:rFonts w:ascii="ˎ̥" w:hAnsi="ˎ̥" w:cs="宋体"/>
          <w:color w:val="000000" w:themeColor="text1"/>
          <w:kern w:val="0"/>
          <w:sz w:val="24"/>
          <w:highlight w:val="none"/>
          <w14:textFill>
            <w14:solidFill>
              <w14:schemeClr w14:val="tx1"/>
            </w14:solidFill>
          </w14:textFill>
        </w:rPr>
        <w:sectPr>
          <w:pgSz w:w="11906" w:h="16838"/>
          <w:pgMar w:top="1134" w:right="1134" w:bottom="1134" w:left="1134" w:header="720" w:footer="720" w:gutter="0"/>
          <w:pgNumType w:fmt="decimal"/>
          <w:cols w:space="720" w:num="1"/>
          <w:docGrid w:type="lines" w:linePitch="331" w:charSpace="0"/>
        </w:sectPr>
      </w:pPr>
    </w:p>
    <w:p w14:paraId="0DCB7C8E">
      <w:pPr>
        <w:pStyle w:val="3"/>
        <w:pageBreakBefore w:val="0"/>
        <w:wordWrap/>
        <w:topLinePunct w:val="0"/>
        <w:bidi w:val="0"/>
        <w:spacing w:line="560" w:lineRule="exact"/>
        <w:jc w:val="center"/>
        <w:rPr>
          <w:rFonts w:ascii="宋体" w:hAnsi="宋体"/>
          <w:b w:val="0"/>
          <w:bCs w:val="0"/>
          <w:color w:val="000000" w:themeColor="text1"/>
          <w:highlight w:val="none"/>
          <w14:textFill>
            <w14:solidFill>
              <w14:schemeClr w14:val="tx1"/>
            </w14:solidFill>
          </w14:textFill>
        </w:rPr>
      </w:pPr>
      <w:r>
        <w:rPr>
          <w:rFonts w:hint="eastAsia" w:ascii="宋体" w:hAnsi="宋体"/>
          <w:b w:val="0"/>
          <w:bCs w:val="0"/>
          <w:color w:val="000000" w:themeColor="text1"/>
          <w:highlight w:val="none"/>
          <w14:textFill>
            <w14:solidFill>
              <w14:schemeClr w14:val="tx1"/>
            </w14:solidFill>
          </w14:textFill>
        </w:rPr>
        <w:t>第二节 投诉书（格式）</w:t>
      </w:r>
    </w:p>
    <w:p w14:paraId="1082ACE2">
      <w:pPr>
        <w:pageBreakBefore w:val="0"/>
        <w:wordWrap/>
        <w:topLinePunct w:val="0"/>
        <w:bidi w:val="0"/>
        <w:spacing w:line="560" w:lineRule="exact"/>
        <w:jc w:val="center"/>
        <w:rPr>
          <w:rFonts w:ascii="宋体" w:hAnsi="宋体"/>
          <w:b/>
          <w:color w:val="000000" w:themeColor="text1"/>
          <w:sz w:val="44"/>
          <w:szCs w:val="44"/>
          <w:highlight w:val="none"/>
          <w14:textFill>
            <w14:solidFill>
              <w14:schemeClr w14:val="tx1"/>
            </w14:solidFill>
          </w14:textFill>
        </w:rPr>
      </w:pPr>
      <w:r>
        <w:rPr>
          <w:rFonts w:hint="eastAsia" w:ascii="宋体" w:hAnsi="宋体"/>
          <w:b/>
          <w:color w:val="000000" w:themeColor="text1"/>
          <w:sz w:val="44"/>
          <w:szCs w:val="44"/>
          <w:highlight w:val="none"/>
          <w14:textFill>
            <w14:solidFill>
              <w14:schemeClr w14:val="tx1"/>
            </w14:solidFill>
          </w14:textFill>
        </w:rPr>
        <w:t>投诉书范本</w:t>
      </w:r>
    </w:p>
    <w:p w14:paraId="1C098A39">
      <w:pPr>
        <w:pageBreakBefore w:val="0"/>
        <w:wordWrap/>
        <w:topLinePunct w:val="0"/>
        <w:bidi w:val="0"/>
        <w:spacing w:line="560" w:lineRule="exact"/>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一、投诉相关主体基本情况</w:t>
      </w:r>
    </w:p>
    <w:p w14:paraId="41DCF669">
      <w:pPr>
        <w:pageBreakBefore w:val="0"/>
        <w:wordWrap/>
        <w:topLinePunct w:val="0"/>
        <w:bidi w:val="0"/>
        <w:spacing w:line="560" w:lineRule="exact"/>
        <w:rPr>
          <w:rFonts w:asciiTheme="minorEastAsia" w:hAnsiTheme="minorEastAsia" w:eastAsiaTheme="minorEastAsia"/>
          <w:color w:val="000000" w:themeColor="text1"/>
          <w:sz w:val="28"/>
          <w:szCs w:val="28"/>
          <w:highlight w:val="none"/>
          <w:u w:val="dotted"/>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投诉人：</w:t>
      </w:r>
      <w:r>
        <w:rPr>
          <w:rFonts w:hint="eastAsia" w:asciiTheme="minorEastAsia" w:hAnsiTheme="minorEastAsia" w:eastAsiaTheme="minorEastAsia"/>
          <w:color w:val="000000" w:themeColor="text1"/>
          <w:sz w:val="28"/>
          <w:szCs w:val="28"/>
          <w:highlight w:val="none"/>
          <w:u w:val="dotted"/>
          <w14:textFill>
            <w14:solidFill>
              <w14:schemeClr w14:val="tx1"/>
            </w14:solidFill>
          </w14:textFill>
        </w:rPr>
        <w:t xml:space="preserve">                                               </w:t>
      </w:r>
    </w:p>
    <w:p w14:paraId="07E1E104">
      <w:pPr>
        <w:pageBreakBefore w:val="0"/>
        <w:wordWrap/>
        <w:topLinePunct w:val="0"/>
        <w:bidi w:val="0"/>
        <w:spacing w:line="560" w:lineRule="exact"/>
        <w:rPr>
          <w:rFonts w:asciiTheme="minorEastAsia" w:hAnsiTheme="minorEastAsia" w:eastAsiaTheme="minorEastAsia"/>
          <w:color w:val="000000" w:themeColor="text1"/>
          <w:sz w:val="28"/>
          <w:szCs w:val="28"/>
          <w:highlight w:val="none"/>
          <w:u w:val="singl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地     址：</w:t>
      </w:r>
      <w:r>
        <w:rPr>
          <w:rFonts w:hint="eastAsia" w:asciiTheme="minorEastAsia" w:hAnsiTheme="minorEastAsia" w:eastAsiaTheme="minorEastAsia"/>
          <w:color w:val="000000" w:themeColor="text1"/>
          <w:sz w:val="28"/>
          <w:szCs w:val="28"/>
          <w:highlight w:val="none"/>
          <w:u w:val="dotted"/>
          <w14:textFill>
            <w14:solidFill>
              <w14:schemeClr w14:val="tx1"/>
            </w14:solidFill>
          </w14:textFill>
        </w:rPr>
        <w:t xml:space="preserve">                             </w:t>
      </w:r>
      <w:r>
        <w:rPr>
          <w:rFonts w:hint="eastAsia" w:asciiTheme="minorEastAsia" w:hAnsiTheme="minorEastAsia" w:eastAsiaTheme="minorEastAsia"/>
          <w:color w:val="000000" w:themeColor="text1"/>
          <w:sz w:val="28"/>
          <w:szCs w:val="28"/>
          <w:highlight w:val="none"/>
          <w14:textFill>
            <w14:solidFill>
              <w14:schemeClr w14:val="tx1"/>
            </w14:solidFill>
          </w14:textFill>
        </w:rPr>
        <w:t>邮编：</w:t>
      </w:r>
      <w:r>
        <w:rPr>
          <w:rFonts w:hint="eastAsia" w:asciiTheme="minorEastAsia" w:hAnsiTheme="minorEastAsia" w:eastAsiaTheme="minorEastAsia"/>
          <w:color w:val="000000" w:themeColor="text1"/>
          <w:sz w:val="28"/>
          <w:szCs w:val="28"/>
          <w:highlight w:val="none"/>
          <w:u w:val="dotted"/>
          <w14:textFill>
            <w14:solidFill>
              <w14:schemeClr w14:val="tx1"/>
            </w14:solidFill>
          </w14:textFill>
        </w:rPr>
        <w:t xml:space="preserve">         </w:t>
      </w:r>
      <w:r>
        <w:rPr>
          <w:rFonts w:hint="eastAsia" w:asciiTheme="minorEastAsia" w:hAnsiTheme="minorEastAsia" w:eastAsiaTheme="minorEastAsia"/>
          <w:color w:val="000000" w:themeColor="text1"/>
          <w:sz w:val="28"/>
          <w:szCs w:val="28"/>
          <w:highlight w:val="none"/>
          <w:u w:val="single"/>
          <w14:textFill>
            <w14:solidFill>
              <w14:schemeClr w14:val="tx1"/>
            </w14:solidFill>
          </w14:textFill>
        </w:rPr>
        <w:t xml:space="preserve">   </w:t>
      </w:r>
    </w:p>
    <w:p w14:paraId="1C51F09E">
      <w:pPr>
        <w:pageBreakBefore w:val="0"/>
        <w:tabs>
          <w:tab w:val="left" w:pos="6510"/>
        </w:tabs>
        <w:wordWrap/>
        <w:topLinePunct w:val="0"/>
        <w:bidi w:val="0"/>
        <w:spacing w:line="560" w:lineRule="exact"/>
        <w:jc w:val="left"/>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法定代表人/主要负责人：</w:t>
      </w:r>
      <w:r>
        <w:rPr>
          <w:rFonts w:hint="eastAsia" w:asciiTheme="minorEastAsia" w:hAnsiTheme="minorEastAsia" w:eastAsiaTheme="minorEastAsia"/>
          <w:color w:val="000000" w:themeColor="text1"/>
          <w:sz w:val="28"/>
          <w:szCs w:val="28"/>
          <w:highlight w:val="none"/>
          <w:u w:val="dotted"/>
          <w14:textFill>
            <w14:solidFill>
              <w14:schemeClr w14:val="tx1"/>
            </w14:solidFill>
          </w14:textFill>
        </w:rPr>
        <w:t xml:space="preserve">                                   </w:t>
      </w:r>
      <w:r>
        <w:rPr>
          <w:rFonts w:hint="eastAsia" w:asciiTheme="minorEastAsia" w:hAnsiTheme="minorEastAsia" w:eastAsiaTheme="minorEastAsia"/>
          <w:color w:val="000000" w:themeColor="text1"/>
          <w:sz w:val="28"/>
          <w:szCs w:val="28"/>
          <w:highlight w:val="none"/>
          <w14:textFill>
            <w14:solidFill>
              <w14:schemeClr w14:val="tx1"/>
            </w14:solidFill>
          </w14:textFill>
        </w:rPr>
        <w:t xml:space="preserve">  </w:t>
      </w:r>
    </w:p>
    <w:p w14:paraId="16145061">
      <w:pPr>
        <w:pageBreakBefore w:val="0"/>
        <w:tabs>
          <w:tab w:val="left" w:pos="6510"/>
        </w:tabs>
        <w:wordWrap/>
        <w:topLinePunct w:val="0"/>
        <w:bidi w:val="0"/>
        <w:spacing w:line="560" w:lineRule="exact"/>
        <w:rPr>
          <w:rFonts w:asciiTheme="minorEastAsia" w:hAnsiTheme="minorEastAsia" w:eastAsiaTheme="minorEastAsia"/>
          <w:color w:val="000000" w:themeColor="text1"/>
          <w:sz w:val="28"/>
          <w:szCs w:val="28"/>
          <w:highlight w:val="none"/>
          <w:u w:val="dotted"/>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联系电话：</w:t>
      </w:r>
      <w:r>
        <w:rPr>
          <w:rFonts w:hint="eastAsia" w:asciiTheme="minorEastAsia" w:hAnsiTheme="minorEastAsia" w:eastAsiaTheme="minorEastAsia"/>
          <w:color w:val="000000" w:themeColor="text1"/>
          <w:sz w:val="28"/>
          <w:szCs w:val="28"/>
          <w:highlight w:val="none"/>
          <w:u w:val="dotted"/>
          <w14:textFill>
            <w14:solidFill>
              <w14:schemeClr w14:val="tx1"/>
            </w14:solidFill>
          </w14:textFill>
        </w:rPr>
        <w:t xml:space="preserve">                                             </w:t>
      </w:r>
    </w:p>
    <w:p w14:paraId="523BDAE6">
      <w:pPr>
        <w:pageBreakBefore w:val="0"/>
        <w:wordWrap/>
        <w:topLinePunct w:val="0"/>
        <w:bidi w:val="0"/>
        <w:spacing w:line="560" w:lineRule="exact"/>
        <w:rPr>
          <w:rFonts w:asciiTheme="minorEastAsia" w:hAnsiTheme="minorEastAsia" w:eastAsiaTheme="minorEastAsia"/>
          <w:color w:val="000000" w:themeColor="text1"/>
          <w:sz w:val="28"/>
          <w:szCs w:val="28"/>
          <w:highlight w:val="none"/>
          <w:u w:val="dotted"/>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授权代表：</w:t>
      </w:r>
      <w:r>
        <w:rPr>
          <w:rFonts w:hint="eastAsia" w:asciiTheme="minorEastAsia" w:hAnsiTheme="minorEastAsia" w:eastAsiaTheme="minorEastAsia"/>
          <w:color w:val="000000" w:themeColor="text1"/>
          <w:sz w:val="28"/>
          <w:szCs w:val="28"/>
          <w:highlight w:val="none"/>
          <w:u w:val="dotted"/>
          <w14:textFill>
            <w14:solidFill>
              <w14:schemeClr w14:val="tx1"/>
            </w14:solidFill>
          </w14:textFill>
        </w:rPr>
        <w:t xml:space="preserve">             </w:t>
      </w:r>
      <w:r>
        <w:rPr>
          <w:rFonts w:hint="eastAsia" w:asciiTheme="minorEastAsia" w:hAnsiTheme="minorEastAsia" w:eastAsiaTheme="minorEastAsia"/>
          <w:color w:val="000000" w:themeColor="text1"/>
          <w:sz w:val="28"/>
          <w:szCs w:val="28"/>
          <w:highlight w:val="none"/>
          <w14:textFill>
            <w14:solidFill>
              <w14:schemeClr w14:val="tx1"/>
            </w14:solidFill>
          </w14:textFill>
        </w:rPr>
        <w:t>联系电话</w:t>
      </w:r>
      <w:r>
        <w:rPr>
          <w:rFonts w:hint="eastAsia" w:asciiTheme="minorEastAsia" w:hAnsiTheme="minorEastAsia" w:eastAsiaTheme="minorEastAsia"/>
          <w:color w:val="000000" w:themeColor="text1"/>
          <w:sz w:val="28"/>
          <w:szCs w:val="28"/>
          <w:highlight w:val="none"/>
          <w:u w:val="dotted"/>
          <w14:textFill>
            <w14:solidFill>
              <w14:schemeClr w14:val="tx1"/>
            </w14:solidFill>
          </w14:textFill>
        </w:rPr>
        <w:t xml:space="preserve">：                  </w:t>
      </w:r>
    </w:p>
    <w:p w14:paraId="7E5E4057">
      <w:pPr>
        <w:pageBreakBefore w:val="0"/>
        <w:wordWrap/>
        <w:topLinePunct w:val="0"/>
        <w:bidi w:val="0"/>
        <w:spacing w:line="560" w:lineRule="exact"/>
        <w:rPr>
          <w:rFonts w:asciiTheme="minorEastAsia" w:hAnsiTheme="minorEastAsia" w:eastAsiaTheme="minorEastAsia"/>
          <w:color w:val="000000" w:themeColor="text1"/>
          <w:sz w:val="28"/>
          <w:szCs w:val="28"/>
          <w:highlight w:val="none"/>
          <w:u w:val="dotted"/>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地     址：</w:t>
      </w:r>
      <w:r>
        <w:rPr>
          <w:rFonts w:hint="eastAsia" w:asciiTheme="minorEastAsia" w:hAnsiTheme="minorEastAsia" w:eastAsiaTheme="minorEastAsia"/>
          <w:color w:val="000000" w:themeColor="text1"/>
          <w:sz w:val="28"/>
          <w:szCs w:val="28"/>
          <w:highlight w:val="none"/>
          <w:u w:val="dotted"/>
          <w14:textFill>
            <w14:solidFill>
              <w14:schemeClr w14:val="tx1"/>
            </w14:solidFill>
          </w14:textFill>
        </w:rPr>
        <w:t xml:space="preserve">                             </w:t>
      </w:r>
      <w:r>
        <w:rPr>
          <w:rFonts w:hint="eastAsia" w:asciiTheme="minorEastAsia" w:hAnsiTheme="minorEastAsia" w:eastAsiaTheme="minorEastAsia"/>
          <w:color w:val="000000" w:themeColor="text1"/>
          <w:sz w:val="28"/>
          <w:szCs w:val="28"/>
          <w:highlight w:val="none"/>
          <w14:textFill>
            <w14:solidFill>
              <w14:schemeClr w14:val="tx1"/>
            </w14:solidFill>
          </w14:textFill>
        </w:rPr>
        <w:t>邮编：</w:t>
      </w:r>
      <w:r>
        <w:rPr>
          <w:rFonts w:hint="eastAsia" w:asciiTheme="minorEastAsia" w:hAnsiTheme="minorEastAsia" w:eastAsiaTheme="minorEastAsia"/>
          <w:color w:val="000000" w:themeColor="text1"/>
          <w:sz w:val="28"/>
          <w:szCs w:val="28"/>
          <w:highlight w:val="none"/>
          <w:u w:val="dotted"/>
          <w14:textFill>
            <w14:solidFill>
              <w14:schemeClr w14:val="tx1"/>
            </w14:solidFill>
          </w14:textFill>
        </w:rPr>
        <w:t xml:space="preserve">         </w:t>
      </w:r>
      <w:r>
        <w:rPr>
          <w:rFonts w:hint="eastAsia" w:asciiTheme="minorEastAsia" w:hAnsiTheme="minorEastAsia" w:eastAsiaTheme="minorEastAsia"/>
          <w:color w:val="000000" w:themeColor="text1"/>
          <w:sz w:val="28"/>
          <w:szCs w:val="28"/>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z w:val="28"/>
          <w:szCs w:val="28"/>
          <w:highlight w:val="none"/>
          <w:u w:val="dotted"/>
          <w14:textFill>
            <w14:solidFill>
              <w14:schemeClr w14:val="tx1"/>
            </w14:solidFill>
          </w14:textFill>
        </w:rPr>
        <w:t xml:space="preserve">                   </w:t>
      </w:r>
    </w:p>
    <w:p w14:paraId="615A0558">
      <w:pPr>
        <w:pageBreakBefore w:val="0"/>
        <w:wordWrap/>
        <w:topLinePunct w:val="0"/>
        <w:bidi w:val="0"/>
        <w:spacing w:line="560" w:lineRule="exact"/>
        <w:rPr>
          <w:rFonts w:asciiTheme="minorEastAsia" w:hAnsiTheme="minorEastAsia" w:eastAsiaTheme="minorEastAsia"/>
          <w:color w:val="000000" w:themeColor="text1"/>
          <w:sz w:val="28"/>
          <w:szCs w:val="28"/>
          <w:highlight w:val="none"/>
          <w:u w:val="singl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被投诉人1：</w:t>
      </w:r>
      <w:r>
        <w:rPr>
          <w:rFonts w:hint="eastAsia" w:asciiTheme="minorEastAsia" w:hAnsiTheme="minorEastAsia" w:eastAsiaTheme="minorEastAsia"/>
          <w:color w:val="000000" w:themeColor="text1"/>
          <w:sz w:val="28"/>
          <w:szCs w:val="28"/>
          <w:highlight w:val="none"/>
          <w:u w:val="dotted"/>
          <w14:textFill>
            <w14:solidFill>
              <w14:schemeClr w14:val="tx1"/>
            </w14:solidFill>
          </w14:textFill>
        </w:rPr>
        <w:t xml:space="preserve">                                           </w:t>
      </w:r>
      <w:r>
        <w:rPr>
          <w:rFonts w:hint="eastAsia" w:asciiTheme="minorEastAsia" w:hAnsiTheme="minorEastAsia" w:eastAsiaTheme="minorEastAsia"/>
          <w:color w:val="000000" w:themeColor="text1"/>
          <w:sz w:val="28"/>
          <w:szCs w:val="28"/>
          <w:highlight w:val="none"/>
          <w:u w:val="single"/>
          <w14:textFill>
            <w14:solidFill>
              <w14:schemeClr w14:val="tx1"/>
            </w14:solidFill>
          </w14:textFill>
        </w:rPr>
        <w:t xml:space="preserve">  </w:t>
      </w:r>
    </w:p>
    <w:p w14:paraId="2F11A64B">
      <w:pPr>
        <w:pageBreakBefore w:val="0"/>
        <w:wordWrap/>
        <w:topLinePunct w:val="0"/>
        <w:bidi w:val="0"/>
        <w:spacing w:line="560" w:lineRule="exact"/>
        <w:rPr>
          <w:rFonts w:asciiTheme="minorEastAsia" w:hAnsiTheme="minorEastAsia" w:eastAsiaTheme="minorEastAsia"/>
          <w:color w:val="000000" w:themeColor="text1"/>
          <w:sz w:val="28"/>
          <w:szCs w:val="28"/>
          <w:highlight w:val="none"/>
          <w:u w:val="singl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地     址：</w:t>
      </w:r>
      <w:r>
        <w:rPr>
          <w:rFonts w:hint="eastAsia" w:asciiTheme="minorEastAsia" w:hAnsiTheme="minorEastAsia" w:eastAsiaTheme="minorEastAsia"/>
          <w:color w:val="000000" w:themeColor="text1"/>
          <w:sz w:val="28"/>
          <w:szCs w:val="28"/>
          <w:highlight w:val="none"/>
          <w:u w:val="dotted"/>
          <w14:textFill>
            <w14:solidFill>
              <w14:schemeClr w14:val="tx1"/>
            </w14:solidFill>
          </w14:textFill>
        </w:rPr>
        <w:t xml:space="preserve">                             </w:t>
      </w:r>
      <w:r>
        <w:rPr>
          <w:rFonts w:hint="eastAsia" w:asciiTheme="minorEastAsia" w:hAnsiTheme="minorEastAsia" w:eastAsiaTheme="minorEastAsia"/>
          <w:color w:val="000000" w:themeColor="text1"/>
          <w:sz w:val="28"/>
          <w:szCs w:val="28"/>
          <w:highlight w:val="none"/>
          <w14:textFill>
            <w14:solidFill>
              <w14:schemeClr w14:val="tx1"/>
            </w14:solidFill>
          </w14:textFill>
        </w:rPr>
        <w:t>邮编：</w:t>
      </w:r>
      <w:r>
        <w:rPr>
          <w:rFonts w:hint="eastAsia" w:asciiTheme="minorEastAsia" w:hAnsiTheme="minorEastAsia" w:eastAsiaTheme="minorEastAsia"/>
          <w:color w:val="000000" w:themeColor="text1"/>
          <w:sz w:val="28"/>
          <w:szCs w:val="28"/>
          <w:highlight w:val="none"/>
          <w:u w:val="dotted"/>
          <w14:textFill>
            <w14:solidFill>
              <w14:schemeClr w14:val="tx1"/>
            </w14:solidFill>
          </w14:textFill>
        </w:rPr>
        <w:t xml:space="preserve">          </w:t>
      </w:r>
      <w:r>
        <w:rPr>
          <w:rFonts w:hint="eastAsia" w:asciiTheme="minorEastAsia" w:hAnsiTheme="minorEastAsia" w:eastAsiaTheme="minorEastAsia"/>
          <w:color w:val="000000" w:themeColor="text1"/>
          <w:sz w:val="28"/>
          <w:szCs w:val="28"/>
          <w:highlight w:val="none"/>
          <w:u w:val="single"/>
          <w14:textFill>
            <w14:solidFill>
              <w14:schemeClr w14:val="tx1"/>
            </w14:solidFill>
          </w14:textFill>
        </w:rPr>
        <w:t xml:space="preserve"> </w:t>
      </w:r>
    </w:p>
    <w:p w14:paraId="09DE9CD3">
      <w:pPr>
        <w:pageBreakBefore w:val="0"/>
        <w:wordWrap/>
        <w:topLinePunct w:val="0"/>
        <w:bidi w:val="0"/>
        <w:spacing w:line="560" w:lineRule="exact"/>
        <w:rPr>
          <w:rFonts w:asciiTheme="minorEastAsia" w:hAnsiTheme="minorEastAsia" w:eastAsiaTheme="minorEastAsia"/>
          <w:color w:val="000000" w:themeColor="text1"/>
          <w:sz w:val="28"/>
          <w:szCs w:val="28"/>
          <w:highlight w:val="none"/>
          <w:u w:val="singl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联系人：</w:t>
      </w:r>
      <w:r>
        <w:rPr>
          <w:rFonts w:hint="eastAsia" w:asciiTheme="minorEastAsia" w:hAnsiTheme="minorEastAsia" w:eastAsiaTheme="minorEastAsia"/>
          <w:color w:val="000000" w:themeColor="text1"/>
          <w:sz w:val="28"/>
          <w:szCs w:val="28"/>
          <w:highlight w:val="none"/>
          <w:u w:val="dotted"/>
          <w14:textFill>
            <w14:solidFill>
              <w14:schemeClr w14:val="tx1"/>
            </w14:solidFill>
          </w14:textFill>
        </w:rPr>
        <w:t xml:space="preserve">               </w:t>
      </w:r>
      <w:r>
        <w:rPr>
          <w:rFonts w:hint="eastAsia" w:asciiTheme="minorEastAsia" w:hAnsiTheme="minorEastAsia" w:eastAsiaTheme="minorEastAsia"/>
          <w:color w:val="000000" w:themeColor="text1"/>
          <w:sz w:val="28"/>
          <w:szCs w:val="28"/>
          <w:highlight w:val="none"/>
          <w14:textFill>
            <w14:solidFill>
              <w14:schemeClr w14:val="tx1"/>
            </w14:solidFill>
          </w14:textFill>
        </w:rPr>
        <w:t>联系电话：</w:t>
      </w:r>
      <w:r>
        <w:rPr>
          <w:rFonts w:hint="eastAsia" w:asciiTheme="minorEastAsia" w:hAnsiTheme="minorEastAsia" w:eastAsiaTheme="minorEastAsia"/>
          <w:color w:val="000000" w:themeColor="text1"/>
          <w:sz w:val="28"/>
          <w:szCs w:val="28"/>
          <w:highlight w:val="none"/>
          <w:u w:val="dotted"/>
          <w14:textFill>
            <w14:solidFill>
              <w14:schemeClr w14:val="tx1"/>
            </w14:solidFill>
          </w14:textFill>
        </w:rPr>
        <w:t xml:space="preserve">                      </w:t>
      </w:r>
      <w:r>
        <w:rPr>
          <w:rFonts w:hint="eastAsia" w:asciiTheme="minorEastAsia" w:hAnsiTheme="minorEastAsia" w:eastAsiaTheme="minorEastAsia"/>
          <w:color w:val="000000" w:themeColor="text1"/>
          <w:sz w:val="28"/>
          <w:szCs w:val="28"/>
          <w:highlight w:val="none"/>
          <w:u w:val="single"/>
          <w14:textFill>
            <w14:solidFill>
              <w14:schemeClr w14:val="tx1"/>
            </w14:solidFill>
          </w14:textFill>
        </w:rPr>
        <w:t xml:space="preserve"> </w:t>
      </w:r>
    </w:p>
    <w:p w14:paraId="4C695769">
      <w:pPr>
        <w:pageBreakBefore w:val="0"/>
        <w:wordWrap/>
        <w:topLinePunct w:val="0"/>
        <w:bidi w:val="0"/>
        <w:spacing w:line="560" w:lineRule="exact"/>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被投诉人2</w:t>
      </w:r>
    </w:p>
    <w:p w14:paraId="0C353342">
      <w:pPr>
        <w:pageBreakBefore w:val="0"/>
        <w:wordWrap/>
        <w:topLinePunct w:val="0"/>
        <w:bidi w:val="0"/>
        <w:spacing w:line="560" w:lineRule="exact"/>
        <w:rPr>
          <w:rFonts w:asciiTheme="minorEastAsia" w:hAnsiTheme="minorEastAsia" w:eastAsiaTheme="minorEastAsia"/>
          <w:color w:val="000000" w:themeColor="text1"/>
          <w:sz w:val="28"/>
          <w:szCs w:val="28"/>
          <w:highlight w:val="none"/>
          <w:u w:val="dotted"/>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w:t>
      </w:r>
    </w:p>
    <w:p w14:paraId="1841D46D">
      <w:pPr>
        <w:pageBreakBefore w:val="0"/>
        <w:wordWrap/>
        <w:topLinePunct w:val="0"/>
        <w:bidi w:val="0"/>
        <w:spacing w:line="560" w:lineRule="exact"/>
        <w:rPr>
          <w:rFonts w:asciiTheme="minorEastAsia" w:hAnsiTheme="minorEastAsia" w:eastAsiaTheme="minorEastAsia"/>
          <w:color w:val="000000" w:themeColor="text1"/>
          <w:sz w:val="28"/>
          <w:szCs w:val="28"/>
          <w:highlight w:val="none"/>
          <w:u w:val="singl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相关供应商：</w:t>
      </w:r>
      <w:r>
        <w:rPr>
          <w:rFonts w:hint="eastAsia" w:asciiTheme="minorEastAsia" w:hAnsiTheme="minorEastAsia" w:eastAsiaTheme="minorEastAsia"/>
          <w:color w:val="000000" w:themeColor="text1"/>
          <w:sz w:val="28"/>
          <w:szCs w:val="28"/>
          <w:highlight w:val="none"/>
          <w:u w:val="dotted"/>
          <w14:textFill>
            <w14:solidFill>
              <w14:schemeClr w14:val="tx1"/>
            </w14:solidFill>
          </w14:textFill>
        </w:rPr>
        <w:t xml:space="preserve">                                           </w:t>
      </w:r>
      <w:r>
        <w:rPr>
          <w:rFonts w:hint="eastAsia" w:asciiTheme="minorEastAsia" w:hAnsiTheme="minorEastAsia" w:eastAsiaTheme="minorEastAsia"/>
          <w:color w:val="000000" w:themeColor="text1"/>
          <w:sz w:val="28"/>
          <w:szCs w:val="28"/>
          <w:highlight w:val="none"/>
          <w:u w:val="single"/>
          <w14:textFill>
            <w14:solidFill>
              <w14:schemeClr w14:val="tx1"/>
            </w14:solidFill>
          </w14:textFill>
        </w:rPr>
        <w:t xml:space="preserve">    </w:t>
      </w:r>
    </w:p>
    <w:p w14:paraId="18FB28D9">
      <w:pPr>
        <w:pageBreakBefore w:val="0"/>
        <w:wordWrap/>
        <w:topLinePunct w:val="0"/>
        <w:bidi w:val="0"/>
        <w:spacing w:line="560" w:lineRule="exact"/>
        <w:rPr>
          <w:rFonts w:asciiTheme="minorEastAsia" w:hAnsiTheme="minorEastAsia" w:eastAsiaTheme="minorEastAsia"/>
          <w:color w:val="000000" w:themeColor="text1"/>
          <w:sz w:val="28"/>
          <w:szCs w:val="28"/>
          <w:highlight w:val="none"/>
          <w:u w:val="singl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地     址：</w:t>
      </w:r>
      <w:r>
        <w:rPr>
          <w:rFonts w:hint="eastAsia" w:asciiTheme="minorEastAsia" w:hAnsiTheme="minorEastAsia" w:eastAsiaTheme="minorEastAsia"/>
          <w:color w:val="000000" w:themeColor="text1"/>
          <w:sz w:val="28"/>
          <w:szCs w:val="28"/>
          <w:highlight w:val="none"/>
          <w:u w:val="dotted"/>
          <w14:textFill>
            <w14:solidFill>
              <w14:schemeClr w14:val="tx1"/>
            </w14:solidFill>
          </w14:textFill>
        </w:rPr>
        <w:t xml:space="preserve">                             </w:t>
      </w:r>
      <w:r>
        <w:rPr>
          <w:rFonts w:hint="eastAsia" w:asciiTheme="minorEastAsia" w:hAnsiTheme="minorEastAsia" w:eastAsiaTheme="minorEastAsia"/>
          <w:color w:val="000000" w:themeColor="text1"/>
          <w:sz w:val="28"/>
          <w:szCs w:val="28"/>
          <w:highlight w:val="none"/>
          <w14:textFill>
            <w14:solidFill>
              <w14:schemeClr w14:val="tx1"/>
            </w14:solidFill>
          </w14:textFill>
        </w:rPr>
        <w:t>邮编：</w:t>
      </w:r>
      <w:r>
        <w:rPr>
          <w:rFonts w:hint="eastAsia" w:asciiTheme="minorEastAsia" w:hAnsiTheme="minorEastAsia" w:eastAsiaTheme="minorEastAsia"/>
          <w:color w:val="000000" w:themeColor="text1"/>
          <w:sz w:val="28"/>
          <w:szCs w:val="28"/>
          <w:highlight w:val="none"/>
          <w:u w:val="dotted"/>
          <w14:textFill>
            <w14:solidFill>
              <w14:schemeClr w14:val="tx1"/>
            </w14:solidFill>
          </w14:textFill>
        </w:rPr>
        <w:t xml:space="preserve">          </w:t>
      </w:r>
      <w:r>
        <w:rPr>
          <w:rFonts w:hint="eastAsia" w:asciiTheme="minorEastAsia" w:hAnsiTheme="minorEastAsia" w:eastAsiaTheme="minorEastAsia"/>
          <w:color w:val="000000" w:themeColor="text1"/>
          <w:sz w:val="28"/>
          <w:szCs w:val="28"/>
          <w:highlight w:val="none"/>
          <w:u w:val="single"/>
          <w14:textFill>
            <w14:solidFill>
              <w14:schemeClr w14:val="tx1"/>
            </w14:solidFill>
          </w14:textFill>
        </w:rPr>
        <w:t xml:space="preserve"> </w:t>
      </w:r>
    </w:p>
    <w:p w14:paraId="1EE286C5">
      <w:pPr>
        <w:pageBreakBefore w:val="0"/>
        <w:wordWrap/>
        <w:topLinePunct w:val="0"/>
        <w:bidi w:val="0"/>
        <w:spacing w:line="560" w:lineRule="exact"/>
        <w:rPr>
          <w:rFonts w:asciiTheme="minorEastAsia" w:hAnsiTheme="minorEastAsia" w:eastAsiaTheme="minorEastAsia"/>
          <w:color w:val="000000" w:themeColor="text1"/>
          <w:sz w:val="28"/>
          <w:szCs w:val="28"/>
          <w:highlight w:val="none"/>
          <w:u w:val="singl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联系人：</w:t>
      </w:r>
      <w:r>
        <w:rPr>
          <w:rFonts w:hint="eastAsia" w:asciiTheme="minorEastAsia" w:hAnsiTheme="minorEastAsia" w:eastAsiaTheme="minorEastAsia"/>
          <w:color w:val="000000" w:themeColor="text1"/>
          <w:sz w:val="28"/>
          <w:szCs w:val="28"/>
          <w:highlight w:val="none"/>
          <w:u w:val="dotted"/>
          <w14:textFill>
            <w14:solidFill>
              <w14:schemeClr w14:val="tx1"/>
            </w14:solidFill>
          </w14:textFill>
        </w:rPr>
        <w:t xml:space="preserve">               </w:t>
      </w:r>
      <w:r>
        <w:rPr>
          <w:rFonts w:hint="eastAsia" w:asciiTheme="minorEastAsia" w:hAnsiTheme="minorEastAsia" w:eastAsiaTheme="minorEastAsia"/>
          <w:color w:val="000000" w:themeColor="text1"/>
          <w:sz w:val="28"/>
          <w:szCs w:val="28"/>
          <w:highlight w:val="none"/>
          <w14:textFill>
            <w14:solidFill>
              <w14:schemeClr w14:val="tx1"/>
            </w14:solidFill>
          </w14:textFill>
        </w:rPr>
        <w:t>联系电话：</w:t>
      </w:r>
      <w:r>
        <w:rPr>
          <w:rFonts w:hint="eastAsia" w:asciiTheme="minorEastAsia" w:hAnsiTheme="minorEastAsia" w:eastAsiaTheme="minorEastAsia"/>
          <w:color w:val="000000" w:themeColor="text1"/>
          <w:sz w:val="28"/>
          <w:szCs w:val="28"/>
          <w:highlight w:val="none"/>
          <w:u w:val="dotted"/>
          <w14:textFill>
            <w14:solidFill>
              <w14:schemeClr w14:val="tx1"/>
            </w14:solidFill>
          </w14:textFill>
        </w:rPr>
        <w:t xml:space="preserve">                      </w:t>
      </w:r>
      <w:r>
        <w:rPr>
          <w:rFonts w:hint="eastAsia" w:asciiTheme="minorEastAsia" w:hAnsiTheme="minorEastAsia" w:eastAsiaTheme="minorEastAsia"/>
          <w:color w:val="000000" w:themeColor="text1"/>
          <w:sz w:val="28"/>
          <w:szCs w:val="28"/>
          <w:highlight w:val="none"/>
          <w:u w:val="single"/>
          <w14:textFill>
            <w14:solidFill>
              <w14:schemeClr w14:val="tx1"/>
            </w14:solidFill>
          </w14:textFill>
        </w:rPr>
        <w:t xml:space="preserve">      </w:t>
      </w:r>
    </w:p>
    <w:p w14:paraId="40D967A3">
      <w:pPr>
        <w:pageBreakBefore w:val="0"/>
        <w:wordWrap/>
        <w:topLinePunct w:val="0"/>
        <w:bidi w:val="0"/>
        <w:spacing w:line="560" w:lineRule="exact"/>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二、投诉项目基本情况</w:t>
      </w:r>
    </w:p>
    <w:p w14:paraId="54195A1A">
      <w:pPr>
        <w:pageBreakBefore w:val="0"/>
        <w:wordWrap/>
        <w:topLinePunct w:val="0"/>
        <w:bidi w:val="0"/>
        <w:spacing w:line="560" w:lineRule="exact"/>
        <w:rPr>
          <w:rFonts w:asciiTheme="minorEastAsia" w:hAnsiTheme="minorEastAsia" w:eastAsiaTheme="minorEastAsia"/>
          <w:color w:val="000000" w:themeColor="text1"/>
          <w:sz w:val="28"/>
          <w:szCs w:val="28"/>
          <w:highlight w:val="none"/>
          <w:u w:val="dotted"/>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采购项目名称：</w:t>
      </w:r>
      <w:r>
        <w:rPr>
          <w:rFonts w:hint="eastAsia" w:asciiTheme="minorEastAsia" w:hAnsiTheme="minorEastAsia" w:eastAsiaTheme="minorEastAsia"/>
          <w:color w:val="000000" w:themeColor="text1"/>
          <w:sz w:val="28"/>
          <w:szCs w:val="28"/>
          <w:highlight w:val="none"/>
          <w:u w:val="dotted"/>
          <w14:textFill>
            <w14:solidFill>
              <w14:schemeClr w14:val="tx1"/>
            </w14:solidFill>
          </w14:textFill>
        </w:rPr>
        <w:t xml:space="preserve">                                            </w:t>
      </w:r>
    </w:p>
    <w:p w14:paraId="05AF6745">
      <w:pPr>
        <w:pageBreakBefore w:val="0"/>
        <w:wordWrap/>
        <w:topLinePunct w:val="0"/>
        <w:bidi w:val="0"/>
        <w:spacing w:line="560" w:lineRule="exact"/>
        <w:rPr>
          <w:rFonts w:asciiTheme="minorEastAsia" w:hAnsiTheme="minorEastAsia" w:eastAsiaTheme="minorEastAsia"/>
          <w:color w:val="000000" w:themeColor="text1"/>
          <w:sz w:val="28"/>
          <w:szCs w:val="28"/>
          <w:highlight w:val="none"/>
          <w:u w:val="singl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采购项目编号：</w:t>
      </w:r>
      <w:r>
        <w:rPr>
          <w:rFonts w:hint="eastAsia" w:asciiTheme="minorEastAsia" w:hAnsiTheme="minorEastAsia" w:eastAsiaTheme="minorEastAsia"/>
          <w:color w:val="000000" w:themeColor="text1"/>
          <w:sz w:val="28"/>
          <w:szCs w:val="28"/>
          <w:highlight w:val="none"/>
          <w:u w:val="dotted"/>
          <w14:textFill>
            <w14:solidFill>
              <w14:schemeClr w14:val="tx1"/>
            </w14:solidFill>
          </w14:textFill>
        </w:rPr>
        <w:t xml:space="preserve">                       </w:t>
      </w:r>
      <w:r>
        <w:rPr>
          <w:rFonts w:hint="eastAsia" w:asciiTheme="minorEastAsia" w:hAnsiTheme="minorEastAsia" w:eastAsiaTheme="minorEastAsia"/>
          <w:color w:val="000000" w:themeColor="text1"/>
          <w:sz w:val="28"/>
          <w:szCs w:val="28"/>
          <w:highlight w:val="none"/>
          <w14:textFill>
            <w14:solidFill>
              <w14:schemeClr w14:val="tx1"/>
            </w14:solidFill>
          </w14:textFill>
        </w:rPr>
        <w:t>包号：</w:t>
      </w:r>
      <w:r>
        <w:rPr>
          <w:rFonts w:hint="eastAsia" w:asciiTheme="minorEastAsia" w:hAnsiTheme="minorEastAsia" w:eastAsiaTheme="minorEastAsia"/>
          <w:color w:val="000000" w:themeColor="text1"/>
          <w:sz w:val="28"/>
          <w:szCs w:val="28"/>
          <w:highlight w:val="none"/>
          <w:u w:val="dotted"/>
          <w14:textFill>
            <w14:solidFill>
              <w14:schemeClr w14:val="tx1"/>
            </w14:solidFill>
          </w14:textFill>
        </w:rPr>
        <w:t xml:space="preserve">              </w:t>
      </w:r>
    </w:p>
    <w:p w14:paraId="4EE4E64D">
      <w:pPr>
        <w:pageBreakBefore w:val="0"/>
        <w:wordWrap/>
        <w:topLinePunct w:val="0"/>
        <w:bidi w:val="0"/>
        <w:spacing w:line="560" w:lineRule="exact"/>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采购人名称：</w:t>
      </w:r>
      <w:r>
        <w:rPr>
          <w:rFonts w:hint="eastAsia" w:asciiTheme="minorEastAsia" w:hAnsiTheme="minorEastAsia" w:eastAsiaTheme="minorEastAsia"/>
          <w:color w:val="000000" w:themeColor="text1"/>
          <w:sz w:val="28"/>
          <w:szCs w:val="28"/>
          <w:highlight w:val="none"/>
          <w:u w:val="dotted"/>
          <w14:textFill>
            <w14:solidFill>
              <w14:schemeClr w14:val="tx1"/>
            </w14:solidFill>
          </w14:textFill>
        </w:rPr>
        <w:t xml:space="preserve">                                             </w:t>
      </w:r>
    </w:p>
    <w:p w14:paraId="75D394D9">
      <w:pPr>
        <w:pageBreakBefore w:val="0"/>
        <w:wordWrap/>
        <w:topLinePunct w:val="0"/>
        <w:bidi w:val="0"/>
        <w:spacing w:line="560" w:lineRule="exact"/>
        <w:rPr>
          <w:rFonts w:asciiTheme="minorEastAsia" w:hAnsiTheme="minorEastAsia" w:eastAsiaTheme="minorEastAsia"/>
          <w:color w:val="000000" w:themeColor="text1"/>
          <w:sz w:val="28"/>
          <w:szCs w:val="28"/>
          <w:highlight w:val="none"/>
          <w:u w:val="singl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代理机构名称：</w:t>
      </w:r>
      <w:r>
        <w:rPr>
          <w:rFonts w:hint="eastAsia" w:asciiTheme="minorEastAsia" w:hAnsiTheme="minorEastAsia" w:eastAsiaTheme="minorEastAsia"/>
          <w:color w:val="000000" w:themeColor="text1"/>
          <w:sz w:val="28"/>
          <w:szCs w:val="28"/>
          <w:highlight w:val="none"/>
          <w:u w:val="dotted"/>
          <w14:textFill>
            <w14:solidFill>
              <w14:schemeClr w14:val="tx1"/>
            </w14:solidFill>
          </w14:textFill>
        </w:rPr>
        <w:t xml:space="preserve">                                         </w:t>
      </w:r>
    </w:p>
    <w:p w14:paraId="4529E966">
      <w:pPr>
        <w:pageBreakBefore w:val="0"/>
        <w:wordWrap/>
        <w:topLinePunct w:val="0"/>
        <w:bidi w:val="0"/>
        <w:spacing w:line="560" w:lineRule="exact"/>
        <w:rPr>
          <w:rFonts w:asciiTheme="minorEastAsia" w:hAnsiTheme="minorEastAsia" w:eastAsiaTheme="minorEastAsia"/>
          <w:color w:val="000000" w:themeColor="text1"/>
          <w:sz w:val="28"/>
          <w:szCs w:val="28"/>
          <w:highlight w:val="none"/>
          <w:u w:val="dotted"/>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采购文件公告:</w:t>
      </w:r>
      <w:r>
        <w:rPr>
          <w:rFonts w:hint="eastAsia" w:asciiTheme="minorEastAsia" w:hAnsiTheme="minorEastAsia" w:eastAsiaTheme="minorEastAsia"/>
          <w:color w:val="000000" w:themeColor="text1"/>
          <w:sz w:val="28"/>
          <w:szCs w:val="28"/>
          <w:highlight w:val="none"/>
          <w:u w:val="dotted"/>
          <w14:textFill>
            <w14:solidFill>
              <w14:schemeClr w14:val="tx1"/>
            </w14:solidFill>
          </w14:textFill>
        </w:rPr>
        <w:t xml:space="preserve">是/否 </w:t>
      </w:r>
      <w:r>
        <w:rPr>
          <w:rFonts w:hint="eastAsia" w:asciiTheme="minorEastAsia" w:hAnsiTheme="minorEastAsia" w:eastAsiaTheme="minorEastAsia"/>
          <w:color w:val="000000" w:themeColor="text1"/>
          <w:sz w:val="28"/>
          <w:szCs w:val="28"/>
          <w:highlight w:val="none"/>
          <w14:textFill>
            <w14:solidFill>
              <w14:schemeClr w14:val="tx1"/>
            </w14:solidFill>
          </w14:textFill>
        </w:rPr>
        <w:t>公告期限：</w:t>
      </w:r>
      <w:r>
        <w:rPr>
          <w:rFonts w:hint="eastAsia" w:asciiTheme="minorEastAsia" w:hAnsiTheme="minorEastAsia" w:eastAsiaTheme="minorEastAsia"/>
          <w:color w:val="000000" w:themeColor="text1"/>
          <w:sz w:val="28"/>
          <w:szCs w:val="28"/>
          <w:highlight w:val="none"/>
          <w:u w:val="dotted"/>
          <w14:textFill>
            <w14:solidFill>
              <w14:schemeClr w14:val="tx1"/>
            </w14:solidFill>
          </w14:textFill>
        </w:rPr>
        <w:t xml:space="preserve">                                 </w:t>
      </w:r>
    </w:p>
    <w:p w14:paraId="0A83F5E4">
      <w:pPr>
        <w:pageBreakBefore w:val="0"/>
        <w:wordWrap/>
        <w:topLinePunct w:val="0"/>
        <w:bidi w:val="0"/>
        <w:spacing w:line="560" w:lineRule="exact"/>
        <w:rPr>
          <w:rFonts w:asciiTheme="minorEastAsia" w:hAnsiTheme="minorEastAsia" w:eastAsiaTheme="minorEastAsia"/>
          <w:color w:val="000000" w:themeColor="text1"/>
          <w:sz w:val="28"/>
          <w:szCs w:val="28"/>
          <w:highlight w:val="none"/>
          <w:u w:val="singl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采购结果公告:</w:t>
      </w:r>
      <w:r>
        <w:rPr>
          <w:rFonts w:hint="eastAsia" w:asciiTheme="minorEastAsia" w:hAnsiTheme="minorEastAsia" w:eastAsiaTheme="minorEastAsia"/>
          <w:color w:val="000000" w:themeColor="text1"/>
          <w:sz w:val="28"/>
          <w:szCs w:val="28"/>
          <w:highlight w:val="none"/>
          <w:u w:val="dotted"/>
          <w14:textFill>
            <w14:solidFill>
              <w14:schemeClr w14:val="tx1"/>
            </w14:solidFill>
          </w14:textFill>
        </w:rPr>
        <w:t xml:space="preserve">是/否 </w:t>
      </w:r>
      <w:r>
        <w:rPr>
          <w:rFonts w:hint="eastAsia" w:asciiTheme="minorEastAsia" w:hAnsiTheme="minorEastAsia" w:eastAsiaTheme="minorEastAsia"/>
          <w:color w:val="000000" w:themeColor="text1"/>
          <w:sz w:val="28"/>
          <w:szCs w:val="28"/>
          <w:highlight w:val="none"/>
          <w14:textFill>
            <w14:solidFill>
              <w14:schemeClr w14:val="tx1"/>
            </w14:solidFill>
          </w14:textFill>
        </w:rPr>
        <w:t>公告期限：</w:t>
      </w:r>
      <w:r>
        <w:rPr>
          <w:rFonts w:hint="eastAsia" w:asciiTheme="minorEastAsia" w:hAnsiTheme="minorEastAsia" w:eastAsiaTheme="minorEastAsia"/>
          <w:color w:val="000000" w:themeColor="text1"/>
          <w:sz w:val="28"/>
          <w:szCs w:val="28"/>
          <w:highlight w:val="none"/>
          <w:u w:val="dotted"/>
          <w14:textFill>
            <w14:solidFill>
              <w14:schemeClr w14:val="tx1"/>
            </w14:solidFill>
          </w14:textFill>
        </w:rPr>
        <w:t xml:space="preserve">                        </w:t>
      </w:r>
    </w:p>
    <w:p w14:paraId="40A62557">
      <w:pPr>
        <w:pageBreakBefore w:val="0"/>
        <w:wordWrap/>
        <w:topLinePunct w:val="0"/>
        <w:bidi w:val="0"/>
        <w:spacing w:line="560" w:lineRule="exact"/>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三、质疑基本情况</w:t>
      </w:r>
    </w:p>
    <w:p w14:paraId="431B26A9">
      <w:pPr>
        <w:pageBreakBefore w:val="0"/>
        <w:wordWrap/>
        <w:topLinePunct w:val="0"/>
        <w:bidi w:val="0"/>
        <w:spacing w:line="560" w:lineRule="exact"/>
        <w:ind w:firstLine="560" w:firstLineChars="200"/>
        <w:rPr>
          <w:rFonts w:asciiTheme="minorEastAsia" w:hAnsiTheme="minorEastAsia" w:eastAsiaTheme="minorEastAsia"/>
          <w:color w:val="000000" w:themeColor="text1"/>
          <w:sz w:val="28"/>
          <w:szCs w:val="28"/>
          <w:highlight w:val="none"/>
          <w:u w:val="dotted"/>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投诉人于</w:t>
      </w:r>
      <w:r>
        <w:rPr>
          <w:rFonts w:hint="eastAsia" w:asciiTheme="minorEastAsia" w:hAnsiTheme="minorEastAsia" w:eastAsiaTheme="minorEastAsia"/>
          <w:color w:val="000000" w:themeColor="text1"/>
          <w:sz w:val="28"/>
          <w:szCs w:val="28"/>
          <w:highlight w:val="none"/>
          <w:u w:val="dotted"/>
          <w14:textFill>
            <w14:solidFill>
              <w14:schemeClr w14:val="tx1"/>
            </w14:solidFill>
          </w14:textFill>
        </w:rPr>
        <w:t xml:space="preserve">   </w:t>
      </w:r>
      <w:r>
        <w:rPr>
          <w:rFonts w:hint="eastAsia" w:asciiTheme="minorEastAsia" w:hAnsiTheme="minorEastAsia" w:eastAsiaTheme="minorEastAsia"/>
          <w:color w:val="000000" w:themeColor="text1"/>
          <w:sz w:val="28"/>
          <w:szCs w:val="28"/>
          <w:highlight w:val="none"/>
          <w14:textFill>
            <w14:solidFill>
              <w14:schemeClr w14:val="tx1"/>
            </w14:solidFill>
          </w14:textFill>
        </w:rPr>
        <w:t>年</w:t>
      </w:r>
      <w:r>
        <w:rPr>
          <w:rFonts w:hint="eastAsia" w:asciiTheme="minorEastAsia" w:hAnsiTheme="minorEastAsia" w:eastAsiaTheme="minorEastAsia"/>
          <w:color w:val="000000" w:themeColor="text1"/>
          <w:sz w:val="28"/>
          <w:szCs w:val="28"/>
          <w:highlight w:val="none"/>
          <w:u w:val="dotted"/>
          <w14:textFill>
            <w14:solidFill>
              <w14:schemeClr w14:val="tx1"/>
            </w14:solidFill>
          </w14:textFill>
        </w:rPr>
        <w:t xml:space="preserve">   </w:t>
      </w:r>
      <w:r>
        <w:rPr>
          <w:rFonts w:hint="eastAsia" w:asciiTheme="minorEastAsia" w:hAnsiTheme="minorEastAsia" w:eastAsiaTheme="minorEastAsia"/>
          <w:color w:val="000000" w:themeColor="text1"/>
          <w:sz w:val="28"/>
          <w:szCs w:val="28"/>
          <w:highlight w:val="none"/>
          <w14:textFill>
            <w14:solidFill>
              <w14:schemeClr w14:val="tx1"/>
            </w14:solidFill>
          </w14:textFill>
        </w:rPr>
        <w:t>月</w:t>
      </w:r>
      <w:r>
        <w:rPr>
          <w:rFonts w:hint="eastAsia" w:asciiTheme="minorEastAsia" w:hAnsiTheme="minorEastAsia" w:eastAsiaTheme="minorEastAsia"/>
          <w:color w:val="000000" w:themeColor="text1"/>
          <w:sz w:val="28"/>
          <w:szCs w:val="28"/>
          <w:highlight w:val="none"/>
          <w:u w:val="dotted"/>
          <w14:textFill>
            <w14:solidFill>
              <w14:schemeClr w14:val="tx1"/>
            </w14:solidFill>
          </w14:textFill>
        </w:rPr>
        <w:t xml:space="preserve">  </w:t>
      </w:r>
      <w:r>
        <w:rPr>
          <w:rFonts w:hint="eastAsia" w:asciiTheme="minorEastAsia" w:hAnsiTheme="minorEastAsia" w:eastAsiaTheme="minorEastAsia"/>
          <w:color w:val="000000" w:themeColor="text1"/>
          <w:sz w:val="28"/>
          <w:szCs w:val="28"/>
          <w:highlight w:val="none"/>
          <w14:textFill>
            <w14:solidFill>
              <w14:schemeClr w14:val="tx1"/>
            </w14:solidFill>
          </w14:textFill>
        </w:rPr>
        <w:t>日,向</w:t>
      </w:r>
      <w:r>
        <w:rPr>
          <w:rFonts w:hint="eastAsia" w:asciiTheme="minorEastAsia" w:hAnsiTheme="minorEastAsia" w:eastAsiaTheme="minorEastAsia"/>
          <w:color w:val="000000" w:themeColor="text1"/>
          <w:sz w:val="28"/>
          <w:szCs w:val="28"/>
          <w:highlight w:val="none"/>
          <w:u w:val="dotted"/>
          <w14:textFill>
            <w14:solidFill>
              <w14:schemeClr w14:val="tx1"/>
            </w14:solidFill>
          </w14:textFill>
        </w:rPr>
        <w:t xml:space="preserve">                   </w:t>
      </w:r>
      <w:r>
        <w:rPr>
          <w:rFonts w:hint="eastAsia" w:asciiTheme="minorEastAsia" w:hAnsiTheme="minorEastAsia" w:eastAsiaTheme="minorEastAsia"/>
          <w:color w:val="000000" w:themeColor="text1"/>
          <w:sz w:val="28"/>
          <w:szCs w:val="28"/>
          <w:highlight w:val="none"/>
          <w14:textFill>
            <w14:solidFill>
              <w14:schemeClr w14:val="tx1"/>
            </w14:solidFill>
          </w14:textFill>
        </w:rPr>
        <w:t>提出质疑，质疑事项为：</w:t>
      </w:r>
      <w:r>
        <w:rPr>
          <w:rFonts w:hint="eastAsia" w:asciiTheme="minorEastAsia" w:hAnsiTheme="minorEastAsia" w:eastAsiaTheme="minorEastAsia"/>
          <w:color w:val="000000" w:themeColor="text1"/>
          <w:sz w:val="28"/>
          <w:szCs w:val="28"/>
          <w:highlight w:val="none"/>
          <w:u w:val="dotted"/>
          <w14:textFill>
            <w14:solidFill>
              <w14:schemeClr w14:val="tx1"/>
            </w14:solidFill>
          </w14:textFill>
        </w:rPr>
        <w:t xml:space="preserve">                                </w:t>
      </w:r>
    </w:p>
    <w:p w14:paraId="0531C8DE">
      <w:pPr>
        <w:pageBreakBefore w:val="0"/>
        <w:wordWrap/>
        <w:topLinePunct w:val="0"/>
        <w:bidi w:val="0"/>
        <w:spacing w:line="560" w:lineRule="exact"/>
        <w:rPr>
          <w:rFonts w:asciiTheme="minorEastAsia" w:hAnsiTheme="minorEastAsia" w:eastAsiaTheme="minorEastAsia"/>
          <w:color w:val="000000" w:themeColor="text1"/>
          <w:sz w:val="28"/>
          <w:szCs w:val="28"/>
          <w:highlight w:val="none"/>
          <w:u w:val="dotted"/>
          <w14:textFill>
            <w14:solidFill>
              <w14:schemeClr w14:val="tx1"/>
            </w14:solidFill>
          </w14:textFill>
        </w:rPr>
      </w:pPr>
      <w:r>
        <w:rPr>
          <w:rFonts w:hint="eastAsia" w:asciiTheme="minorEastAsia" w:hAnsiTheme="minorEastAsia" w:eastAsiaTheme="minorEastAsia"/>
          <w:color w:val="000000" w:themeColor="text1"/>
          <w:sz w:val="28"/>
          <w:szCs w:val="28"/>
          <w:highlight w:val="none"/>
          <w:u w:val="dotted"/>
          <w14:textFill>
            <w14:solidFill>
              <w14:schemeClr w14:val="tx1"/>
            </w14:solidFill>
          </w14:textFill>
        </w:rPr>
        <w:t xml:space="preserve">                                                     </w:t>
      </w:r>
      <w:r>
        <w:rPr>
          <w:rFonts w:hint="eastAsia" w:asciiTheme="minorEastAsia" w:hAnsiTheme="minorEastAsia" w:eastAsiaTheme="minorEastAsia"/>
          <w:color w:val="000000" w:themeColor="text1"/>
          <w:sz w:val="28"/>
          <w:szCs w:val="28"/>
          <w:highlight w:val="none"/>
          <w14:textFill>
            <w14:solidFill>
              <w14:schemeClr w14:val="tx1"/>
            </w14:solidFill>
          </w14:textFill>
        </w:rPr>
        <w:t xml:space="preserve">  </w:t>
      </w:r>
    </w:p>
    <w:p w14:paraId="7EBC48C9">
      <w:pPr>
        <w:pageBreakBefore w:val="0"/>
        <w:wordWrap/>
        <w:topLinePunct w:val="0"/>
        <w:bidi w:val="0"/>
        <w:spacing w:line="560" w:lineRule="exact"/>
        <w:ind w:firstLine="420" w:firstLineChars="150"/>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u w:val="dotted"/>
          <w14:textFill>
            <w14:solidFill>
              <w14:schemeClr w14:val="tx1"/>
            </w14:solidFill>
          </w14:textFill>
        </w:rPr>
        <w:t>采购人/代理机构</w:t>
      </w:r>
      <w:r>
        <w:rPr>
          <w:rFonts w:hint="eastAsia" w:asciiTheme="minorEastAsia" w:hAnsiTheme="minorEastAsia" w:eastAsiaTheme="minorEastAsia"/>
          <w:color w:val="000000" w:themeColor="text1"/>
          <w:sz w:val="28"/>
          <w:szCs w:val="28"/>
          <w:highlight w:val="none"/>
          <w14:textFill>
            <w14:solidFill>
              <w14:schemeClr w14:val="tx1"/>
            </w14:solidFill>
          </w14:textFill>
        </w:rPr>
        <w:t>于</w:t>
      </w:r>
      <w:r>
        <w:rPr>
          <w:rFonts w:hint="eastAsia" w:asciiTheme="minorEastAsia" w:hAnsiTheme="minorEastAsia" w:eastAsiaTheme="minorEastAsia"/>
          <w:color w:val="000000" w:themeColor="text1"/>
          <w:sz w:val="28"/>
          <w:szCs w:val="28"/>
          <w:highlight w:val="none"/>
          <w:u w:val="dotted"/>
          <w14:textFill>
            <w14:solidFill>
              <w14:schemeClr w14:val="tx1"/>
            </w14:solidFill>
          </w14:textFill>
        </w:rPr>
        <w:t xml:space="preserve">   </w:t>
      </w:r>
      <w:r>
        <w:rPr>
          <w:rFonts w:hint="eastAsia" w:asciiTheme="minorEastAsia" w:hAnsiTheme="minorEastAsia" w:eastAsiaTheme="minorEastAsia"/>
          <w:color w:val="000000" w:themeColor="text1"/>
          <w:sz w:val="28"/>
          <w:szCs w:val="28"/>
          <w:highlight w:val="none"/>
          <w14:textFill>
            <w14:solidFill>
              <w14:schemeClr w14:val="tx1"/>
            </w14:solidFill>
          </w14:textFill>
        </w:rPr>
        <w:t>年</w:t>
      </w:r>
      <w:r>
        <w:rPr>
          <w:rFonts w:hint="eastAsia" w:asciiTheme="minorEastAsia" w:hAnsiTheme="minorEastAsia" w:eastAsiaTheme="minorEastAsia"/>
          <w:color w:val="000000" w:themeColor="text1"/>
          <w:sz w:val="28"/>
          <w:szCs w:val="28"/>
          <w:highlight w:val="none"/>
          <w:u w:val="dotted"/>
          <w14:textFill>
            <w14:solidFill>
              <w14:schemeClr w14:val="tx1"/>
            </w14:solidFill>
          </w14:textFill>
        </w:rPr>
        <w:t xml:space="preserve">   </w:t>
      </w:r>
      <w:r>
        <w:rPr>
          <w:rFonts w:hint="eastAsia" w:asciiTheme="minorEastAsia" w:hAnsiTheme="minorEastAsia" w:eastAsiaTheme="minorEastAsia"/>
          <w:color w:val="000000" w:themeColor="text1"/>
          <w:sz w:val="28"/>
          <w:szCs w:val="28"/>
          <w:highlight w:val="none"/>
          <w14:textFill>
            <w14:solidFill>
              <w14:schemeClr w14:val="tx1"/>
            </w14:solidFill>
          </w14:textFill>
        </w:rPr>
        <w:t>月</w:t>
      </w:r>
      <w:r>
        <w:rPr>
          <w:rFonts w:hint="eastAsia" w:asciiTheme="minorEastAsia" w:hAnsiTheme="minorEastAsia" w:eastAsiaTheme="minorEastAsia"/>
          <w:color w:val="000000" w:themeColor="text1"/>
          <w:sz w:val="28"/>
          <w:szCs w:val="28"/>
          <w:highlight w:val="none"/>
          <w:u w:val="dotted"/>
          <w14:textFill>
            <w14:solidFill>
              <w14:schemeClr w14:val="tx1"/>
            </w14:solidFill>
          </w14:textFill>
        </w:rPr>
        <w:t xml:space="preserve">   </w:t>
      </w:r>
      <w:r>
        <w:rPr>
          <w:rFonts w:hint="eastAsia" w:asciiTheme="minorEastAsia" w:hAnsiTheme="minorEastAsia" w:eastAsiaTheme="minorEastAsia"/>
          <w:color w:val="000000" w:themeColor="text1"/>
          <w:sz w:val="28"/>
          <w:szCs w:val="28"/>
          <w:highlight w:val="none"/>
          <w14:textFill>
            <w14:solidFill>
              <w14:schemeClr w14:val="tx1"/>
            </w14:solidFill>
          </w14:textFill>
        </w:rPr>
        <w:t>日,就质疑事项作出了答复/没有在法定期限内作出答复。</w:t>
      </w:r>
    </w:p>
    <w:p w14:paraId="40F0EE45">
      <w:pPr>
        <w:pageBreakBefore w:val="0"/>
        <w:wordWrap/>
        <w:topLinePunct w:val="0"/>
        <w:bidi w:val="0"/>
        <w:spacing w:line="560" w:lineRule="exact"/>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四、投诉事项具体内容</w:t>
      </w:r>
    </w:p>
    <w:p w14:paraId="55CF5F6B">
      <w:pPr>
        <w:pageBreakBefore w:val="0"/>
        <w:wordWrap/>
        <w:topLinePunct w:val="0"/>
        <w:bidi w:val="0"/>
        <w:spacing w:line="560" w:lineRule="exact"/>
        <w:rPr>
          <w:rFonts w:asciiTheme="minorEastAsia" w:hAnsiTheme="minorEastAsia" w:eastAsiaTheme="minorEastAsia"/>
          <w:color w:val="000000" w:themeColor="text1"/>
          <w:sz w:val="28"/>
          <w:szCs w:val="28"/>
          <w:highlight w:val="none"/>
          <w:u w:val="singl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投诉事项 1：</w:t>
      </w:r>
      <w:r>
        <w:rPr>
          <w:rFonts w:hint="eastAsia" w:asciiTheme="minorEastAsia" w:hAnsiTheme="minorEastAsia" w:eastAsiaTheme="minorEastAsia"/>
          <w:color w:val="000000" w:themeColor="text1"/>
          <w:sz w:val="28"/>
          <w:szCs w:val="28"/>
          <w:highlight w:val="none"/>
          <w:u w:val="dotted"/>
          <w14:textFill>
            <w14:solidFill>
              <w14:schemeClr w14:val="tx1"/>
            </w14:solidFill>
          </w14:textFill>
        </w:rPr>
        <w:t xml:space="preserve">                                       </w:t>
      </w:r>
    </w:p>
    <w:p w14:paraId="0E03C686">
      <w:pPr>
        <w:pageBreakBefore w:val="0"/>
        <w:wordWrap/>
        <w:topLinePunct w:val="0"/>
        <w:bidi w:val="0"/>
        <w:spacing w:line="560" w:lineRule="exact"/>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事实依据：</w:t>
      </w:r>
      <w:r>
        <w:rPr>
          <w:rFonts w:hint="eastAsia" w:asciiTheme="minorEastAsia" w:hAnsiTheme="minorEastAsia" w:eastAsiaTheme="minorEastAsia"/>
          <w:color w:val="000000" w:themeColor="text1"/>
          <w:sz w:val="28"/>
          <w:szCs w:val="28"/>
          <w:highlight w:val="none"/>
          <w:u w:val="dotted"/>
          <w14:textFill>
            <w14:solidFill>
              <w14:schemeClr w14:val="tx1"/>
            </w14:solidFill>
          </w14:textFill>
        </w:rPr>
        <w:t xml:space="preserve">                                         </w:t>
      </w:r>
    </w:p>
    <w:p w14:paraId="238F03A6">
      <w:pPr>
        <w:pageBreakBefore w:val="0"/>
        <w:wordWrap/>
        <w:topLinePunct w:val="0"/>
        <w:bidi w:val="0"/>
        <w:spacing w:line="560" w:lineRule="exact"/>
        <w:rPr>
          <w:rFonts w:asciiTheme="minorEastAsia" w:hAnsiTheme="minorEastAsia" w:eastAsiaTheme="minorEastAsia"/>
          <w:color w:val="000000" w:themeColor="text1"/>
          <w:sz w:val="28"/>
          <w:szCs w:val="28"/>
          <w:highlight w:val="none"/>
          <w:u w:val="dotted"/>
          <w14:textFill>
            <w14:solidFill>
              <w14:schemeClr w14:val="tx1"/>
            </w14:solidFill>
          </w14:textFill>
        </w:rPr>
      </w:pPr>
      <w:r>
        <w:rPr>
          <w:rFonts w:hint="eastAsia" w:asciiTheme="minorEastAsia" w:hAnsiTheme="minorEastAsia" w:eastAsiaTheme="minorEastAsia"/>
          <w:color w:val="000000" w:themeColor="text1"/>
          <w:sz w:val="28"/>
          <w:szCs w:val="28"/>
          <w:highlight w:val="none"/>
          <w:u w:val="dotted"/>
          <w14:textFill>
            <w14:solidFill>
              <w14:schemeClr w14:val="tx1"/>
            </w14:solidFill>
          </w14:textFill>
        </w:rPr>
        <w:t xml:space="preserve">                                                      </w:t>
      </w:r>
    </w:p>
    <w:p w14:paraId="76F29896">
      <w:pPr>
        <w:pageBreakBefore w:val="0"/>
        <w:wordWrap/>
        <w:topLinePunct w:val="0"/>
        <w:bidi w:val="0"/>
        <w:spacing w:line="560" w:lineRule="exact"/>
        <w:rPr>
          <w:rFonts w:asciiTheme="minorEastAsia" w:hAnsiTheme="minorEastAsia" w:eastAsiaTheme="minorEastAsia"/>
          <w:color w:val="000000" w:themeColor="text1"/>
          <w:sz w:val="28"/>
          <w:szCs w:val="28"/>
          <w:highlight w:val="none"/>
          <w:u w:val="singl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法律依据：</w:t>
      </w:r>
      <w:r>
        <w:rPr>
          <w:rFonts w:hint="eastAsia" w:asciiTheme="minorEastAsia" w:hAnsiTheme="minorEastAsia" w:eastAsiaTheme="minorEastAsia"/>
          <w:color w:val="000000" w:themeColor="text1"/>
          <w:sz w:val="28"/>
          <w:szCs w:val="28"/>
          <w:highlight w:val="none"/>
          <w:u w:val="dotted"/>
          <w14:textFill>
            <w14:solidFill>
              <w14:schemeClr w14:val="tx1"/>
            </w14:solidFill>
          </w14:textFill>
        </w:rPr>
        <w:t xml:space="preserve">                                          </w:t>
      </w:r>
    </w:p>
    <w:p w14:paraId="3BF27B75">
      <w:pPr>
        <w:pageBreakBefore w:val="0"/>
        <w:wordWrap/>
        <w:topLinePunct w:val="0"/>
        <w:bidi w:val="0"/>
        <w:spacing w:line="560" w:lineRule="exact"/>
        <w:rPr>
          <w:rFonts w:asciiTheme="minorEastAsia" w:hAnsiTheme="minorEastAsia" w:eastAsiaTheme="minorEastAsia"/>
          <w:color w:val="000000" w:themeColor="text1"/>
          <w:sz w:val="28"/>
          <w:szCs w:val="28"/>
          <w:highlight w:val="none"/>
          <w:u w:val="dotted"/>
          <w14:textFill>
            <w14:solidFill>
              <w14:schemeClr w14:val="tx1"/>
            </w14:solidFill>
          </w14:textFill>
        </w:rPr>
      </w:pPr>
      <w:r>
        <w:rPr>
          <w:rFonts w:hint="eastAsia" w:asciiTheme="minorEastAsia" w:hAnsiTheme="minorEastAsia" w:eastAsiaTheme="minorEastAsia"/>
          <w:color w:val="000000" w:themeColor="text1"/>
          <w:sz w:val="28"/>
          <w:szCs w:val="28"/>
          <w:highlight w:val="none"/>
          <w:u w:val="dotted"/>
          <w14:textFill>
            <w14:solidFill>
              <w14:schemeClr w14:val="tx1"/>
            </w14:solidFill>
          </w14:textFill>
        </w:rPr>
        <w:t xml:space="preserve">                                                      </w:t>
      </w:r>
    </w:p>
    <w:p w14:paraId="505268F1">
      <w:pPr>
        <w:pageBreakBefore w:val="0"/>
        <w:wordWrap/>
        <w:topLinePunct w:val="0"/>
        <w:bidi w:val="0"/>
        <w:spacing w:line="560" w:lineRule="exact"/>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投诉事项2</w:t>
      </w:r>
    </w:p>
    <w:p w14:paraId="5251A3F7">
      <w:pPr>
        <w:pageBreakBefore w:val="0"/>
        <w:wordWrap/>
        <w:topLinePunct w:val="0"/>
        <w:bidi w:val="0"/>
        <w:spacing w:line="560" w:lineRule="exact"/>
        <w:rPr>
          <w:rFonts w:asciiTheme="minorEastAsia" w:hAnsiTheme="minorEastAsia" w:eastAsiaTheme="minorEastAsia"/>
          <w:color w:val="000000" w:themeColor="text1"/>
          <w:sz w:val="28"/>
          <w:szCs w:val="28"/>
          <w:highlight w:val="none"/>
          <w:u w:val="dotted"/>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w:t>
      </w:r>
    </w:p>
    <w:p w14:paraId="7D2B6455">
      <w:pPr>
        <w:pageBreakBefore w:val="0"/>
        <w:wordWrap/>
        <w:topLinePunct w:val="0"/>
        <w:bidi w:val="0"/>
        <w:spacing w:line="560" w:lineRule="exact"/>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五、与投诉事项相关的投诉请求</w:t>
      </w:r>
    </w:p>
    <w:p w14:paraId="09E7FBE4">
      <w:pPr>
        <w:pageBreakBefore w:val="0"/>
        <w:wordWrap/>
        <w:topLinePunct w:val="0"/>
        <w:bidi w:val="0"/>
        <w:spacing w:line="560" w:lineRule="exact"/>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请求：</w:t>
      </w:r>
      <w:r>
        <w:rPr>
          <w:rFonts w:hint="eastAsia" w:asciiTheme="minorEastAsia" w:hAnsiTheme="minorEastAsia" w:eastAsiaTheme="minorEastAsia"/>
          <w:color w:val="000000" w:themeColor="text1"/>
          <w:sz w:val="28"/>
          <w:szCs w:val="28"/>
          <w:highlight w:val="none"/>
          <w:u w:val="dotted"/>
          <w14:textFill>
            <w14:solidFill>
              <w14:schemeClr w14:val="tx1"/>
            </w14:solidFill>
          </w14:textFill>
        </w:rPr>
        <w:t xml:space="preserve">                                              </w:t>
      </w:r>
      <w:r>
        <w:rPr>
          <w:rFonts w:hint="eastAsia" w:asciiTheme="minorEastAsia" w:hAnsiTheme="minorEastAsia" w:eastAsiaTheme="minorEastAsia"/>
          <w:color w:val="000000" w:themeColor="text1"/>
          <w:sz w:val="28"/>
          <w:szCs w:val="28"/>
          <w:highlight w:val="none"/>
          <w14:textFill>
            <w14:solidFill>
              <w14:schemeClr w14:val="tx1"/>
            </w14:solidFill>
          </w14:textFill>
        </w:rPr>
        <w:t xml:space="preserve"> </w:t>
      </w:r>
    </w:p>
    <w:p w14:paraId="09761BA7">
      <w:pPr>
        <w:pageBreakBefore w:val="0"/>
        <w:wordWrap/>
        <w:topLinePunct w:val="0"/>
        <w:bidi w:val="0"/>
        <w:spacing w:line="560" w:lineRule="exact"/>
        <w:rPr>
          <w:rFonts w:asciiTheme="minorEastAsia" w:hAnsiTheme="minorEastAsia" w:eastAsiaTheme="minorEastAsia"/>
          <w:color w:val="000000" w:themeColor="text1"/>
          <w:sz w:val="28"/>
          <w:szCs w:val="28"/>
          <w:highlight w:val="none"/>
          <w:u w:val="singl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 xml:space="preserve">                                                                                                    </w:t>
      </w:r>
    </w:p>
    <w:p w14:paraId="3F10AF41">
      <w:pPr>
        <w:pageBreakBefore w:val="0"/>
        <w:wordWrap/>
        <w:topLinePunct w:val="0"/>
        <w:bidi w:val="0"/>
        <w:spacing w:line="560" w:lineRule="exact"/>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 xml:space="preserve">签字(签章)：                   公章：                      </w:t>
      </w:r>
    </w:p>
    <w:p w14:paraId="2572A58B">
      <w:pPr>
        <w:pageBreakBefore w:val="0"/>
        <w:wordWrap/>
        <w:topLinePunct w:val="0"/>
        <w:bidi w:val="0"/>
        <w:spacing w:line="560" w:lineRule="exact"/>
        <w:rPr>
          <w:rFonts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 xml:space="preserve">日期：    </w:t>
      </w:r>
    </w:p>
    <w:p w14:paraId="52F988D3">
      <w:pPr>
        <w:pageBreakBefore w:val="0"/>
        <w:wordWrap/>
        <w:topLinePunct w:val="0"/>
        <w:bidi w:val="0"/>
        <w:spacing w:line="560" w:lineRule="exact"/>
        <w:rPr>
          <w:rFonts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投诉书制作说明：</w:t>
      </w:r>
    </w:p>
    <w:p w14:paraId="48E1841E">
      <w:pPr>
        <w:pageBreakBefore w:val="0"/>
        <w:widowControl/>
        <w:wordWrap/>
        <w:topLinePunct w:val="0"/>
        <w:bidi w:val="0"/>
        <w:spacing w:line="560" w:lineRule="exact"/>
        <w:ind w:firstLine="480" w:firstLineChars="200"/>
        <w:rPr>
          <w:rFonts w:cs="宋体"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1.投诉人提起投诉时，应当提交投诉书和必要的证明材料，并按照被投诉人和与投诉事项有关的供应商数量提供投诉书副本。</w:t>
      </w:r>
    </w:p>
    <w:p w14:paraId="3170F15D">
      <w:pPr>
        <w:pageBreakBefore w:val="0"/>
        <w:widowControl/>
        <w:wordWrap/>
        <w:topLinePunct w:val="0"/>
        <w:bidi w:val="0"/>
        <w:spacing w:line="560" w:lineRule="exact"/>
        <w:ind w:firstLine="480" w:firstLineChars="200"/>
        <w:jc w:val="left"/>
        <w:rPr>
          <w:rFonts w:cs="宋体"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2.投诉人若委托代理人进行投诉的，投诉书应按照要求列明“授权代表”的有关内容，并在附件中提交由</w:t>
      </w:r>
      <w:r>
        <w:rPr>
          <w:rFonts w:hint="eastAsia" w:cs="宋体" w:asciiTheme="minorEastAsia" w:hAnsiTheme="minorEastAsia" w:eastAsiaTheme="minorEastAsia"/>
          <w:color w:val="000000" w:themeColor="text1"/>
          <w:kern w:val="0"/>
          <w:sz w:val="24"/>
          <w:highlight w:val="none"/>
          <w14:textFill>
            <w14:solidFill>
              <w14:schemeClr w14:val="tx1"/>
            </w14:solidFill>
          </w14:textFill>
        </w:rPr>
        <w:t>投诉人签署的授权委托书。授权委托书应当载明代理人的姓名或者名称、代理事项、具体权限、期限和相关事项。</w:t>
      </w:r>
    </w:p>
    <w:p w14:paraId="7C31ACB4">
      <w:pPr>
        <w:pageBreakBefore w:val="0"/>
        <w:widowControl/>
        <w:wordWrap/>
        <w:topLinePunct w:val="0"/>
        <w:bidi w:val="0"/>
        <w:spacing w:line="560" w:lineRule="exact"/>
        <w:ind w:firstLine="480" w:firstLineChars="200"/>
        <w:jc w:val="left"/>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3.投诉人若对项目的某一分包进行投诉，投诉书应列明具体分包号。</w:t>
      </w:r>
    </w:p>
    <w:p w14:paraId="5011B872">
      <w:pPr>
        <w:pageBreakBefore w:val="0"/>
        <w:widowControl/>
        <w:wordWrap/>
        <w:topLinePunct w:val="0"/>
        <w:bidi w:val="0"/>
        <w:spacing w:line="560" w:lineRule="exact"/>
        <w:ind w:firstLine="480" w:firstLineChars="200"/>
        <w:jc w:val="left"/>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4.投诉书应简要列明质疑事项，质疑函、质疑答复等作为附件材料提供。</w:t>
      </w:r>
    </w:p>
    <w:p w14:paraId="5CCC5498">
      <w:pPr>
        <w:pageBreakBefore w:val="0"/>
        <w:widowControl/>
        <w:wordWrap/>
        <w:topLinePunct w:val="0"/>
        <w:bidi w:val="0"/>
        <w:spacing w:line="560" w:lineRule="exact"/>
        <w:ind w:firstLine="480" w:firstLineChars="200"/>
        <w:jc w:val="left"/>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5.投诉书的投诉事项应具体、明确，并有必要的事实依据和法律依据。</w:t>
      </w:r>
    </w:p>
    <w:p w14:paraId="7DF43855">
      <w:pPr>
        <w:pageBreakBefore w:val="0"/>
        <w:widowControl/>
        <w:wordWrap/>
        <w:topLinePunct w:val="0"/>
        <w:bidi w:val="0"/>
        <w:spacing w:line="560" w:lineRule="exact"/>
        <w:ind w:firstLine="480" w:firstLineChars="200"/>
        <w:jc w:val="left"/>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6.投诉书的投诉请求应与投诉事项相关。</w:t>
      </w:r>
    </w:p>
    <w:p w14:paraId="4672D55C">
      <w:pPr>
        <w:pageBreakBefore w:val="0"/>
        <w:widowControl/>
        <w:wordWrap/>
        <w:topLinePunct w:val="0"/>
        <w:bidi w:val="0"/>
        <w:spacing w:line="560" w:lineRule="exact"/>
        <w:ind w:firstLine="480" w:firstLineChars="200"/>
        <w:jc w:val="left"/>
        <w:rPr>
          <w:rFonts w:cs="宋体"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7.投诉人为自然人的，投诉书应当由本人签字；投诉人为法人或者其他组织的，投诉书应当由法定代表人、主要负责人，或者其授权代表签字或者盖章，并加盖公章。</w:t>
      </w:r>
    </w:p>
    <w:p w14:paraId="7C1F78A5">
      <w:pPr>
        <w:pageBreakBefore w:val="0"/>
        <w:wordWrap/>
        <w:topLinePunct w:val="0"/>
        <w:bidi w:val="0"/>
        <w:snapToGrid w:val="0"/>
        <w:spacing w:before="50" w:after="165" w:afterLines="50" w:line="560" w:lineRule="exact"/>
        <w:ind w:firstLine="480" w:firstLineChars="200"/>
        <w:jc w:val="left"/>
        <w:rPr>
          <w:color w:val="000000" w:themeColor="text1"/>
          <w:sz w:val="24"/>
          <w:highlight w:val="none"/>
          <w14:textFill>
            <w14:solidFill>
              <w14:schemeClr w14:val="tx1"/>
            </w14:solidFill>
          </w14:textFill>
        </w:rPr>
      </w:pPr>
    </w:p>
    <w:p w14:paraId="14C55329">
      <w:pPr>
        <w:pageBreakBefore w:val="0"/>
        <w:wordWrap/>
        <w:topLinePunct w:val="0"/>
        <w:bidi w:val="0"/>
        <w:spacing w:line="560" w:lineRule="exact"/>
        <w:rPr>
          <w:color w:val="000000" w:themeColor="text1"/>
          <w:highlight w:val="none"/>
          <w14:textFill>
            <w14:solidFill>
              <w14:schemeClr w14:val="tx1"/>
            </w14:solidFill>
          </w14:textFill>
        </w:rPr>
      </w:pPr>
    </w:p>
    <w:p w14:paraId="4A6DB044">
      <w:pPr>
        <w:pageBreakBefore w:val="0"/>
        <w:wordWrap/>
        <w:topLinePunct w:val="0"/>
        <w:bidi w:val="0"/>
        <w:spacing w:line="560" w:lineRule="exact"/>
        <w:rPr>
          <w:color w:val="000000" w:themeColor="text1"/>
          <w:highlight w:val="none"/>
          <w14:textFill>
            <w14:solidFill>
              <w14:schemeClr w14:val="tx1"/>
            </w14:solidFill>
          </w14:textFill>
        </w:rPr>
      </w:pPr>
    </w:p>
    <w:p w14:paraId="446703C0">
      <w:pPr>
        <w:pageBreakBefore w:val="0"/>
        <w:wordWrap/>
        <w:topLinePunct w:val="0"/>
        <w:bidi w:val="0"/>
        <w:spacing w:line="560" w:lineRule="exact"/>
        <w:rPr>
          <w:color w:val="000000" w:themeColor="text1"/>
          <w:highlight w:val="none"/>
          <w14:textFill>
            <w14:solidFill>
              <w14:schemeClr w14:val="tx1"/>
            </w14:solidFill>
          </w14:textFill>
        </w:rPr>
        <w:sectPr>
          <w:footerReference r:id="rId36" w:type="first"/>
          <w:headerReference r:id="rId33" w:type="default"/>
          <w:footerReference r:id="rId34" w:type="default"/>
          <w:footerReference r:id="rId35" w:type="even"/>
          <w:pgSz w:w="11906" w:h="16838"/>
          <w:pgMar w:top="1134" w:right="1134" w:bottom="1134" w:left="1134" w:header="720" w:footer="720" w:gutter="0"/>
          <w:pgNumType w:fmt="decimal"/>
          <w:cols w:space="720" w:num="1"/>
          <w:docGrid w:type="lines" w:linePitch="331" w:charSpace="0"/>
        </w:sectPr>
      </w:pPr>
    </w:p>
    <w:p w14:paraId="0F9F6E37">
      <w:pPr>
        <w:pageBreakBefore w:val="0"/>
        <w:wordWrap/>
        <w:topLinePunct w:val="0"/>
        <w:bidi w:val="0"/>
        <w:spacing w:before="165" w:beforeLines="50" w:line="560" w:lineRule="exact"/>
        <w:rPr>
          <w:rFonts w:asciiTheme="minorEastAsia" w:hAnsiTheme="minorEastAsia" w:eastAsiaTheme="minorEastAsia"/>
          <w:b/>
          <w:bCs/>
          <w:color w:val="000000" w:themeColor="text1"/>
          <w:sz w:val="36"/>
          <w:szCs w:val="36"/>
          <w:highlight w:val="none"/>
          <w14:textFill>
            <w14:solidFill>
              <w14:schemeClr w14:val="tx1"/>
            </w14:solidFill>
          </w14:textFill>
        </w:rPr>
      </w:pPr>
    </w:p>
    <w:p w14:paraId="04D77192">
      <w:pPr>
        <w:pageBreakBefore w:val="0"/>
        <w:wordWrap/>
        <w:topLinePunct w:val="0"/>
        <w:bidi w:val="0"/>
        <w:spacing w:before="165" w:beforeLines="50" w:line="560" w:lineRule="exact"/>
        <w:rPr>
          <w:rFonts w:asciiTheme="minorEastAsia" w:hAnsiTheme="minorEastAsia" w:eastAsiaTheme="minorEastAsia"/>
          <w:b/>
          <w:bCs/>
          <w:color w:val="000000" w:themeColor="text1"/>
          <w:sz w:val="36"/>
          <w:szCs w:val="36"/>
          <w:highlight w:val="none"/>
          <w14:textFill>
            <w14:solidFill>
              <w14:schemeClr w14:val="tx1"/>
            </w14:solidFill>
          </w14:textFill>
        </w:rPr>
      </w:pPr>
    </w:p>
    <w:p w14:paraId="56586E40">
      <w:pPr>
        <w:pageBreakBefore w:val="0"/>
        <w:wordWrap/>
        <w:topLinePunct w:val="0"/>
        <w:bidi w:val="0"/>
        <w:spacing w:before="165" w:beforeLines="50" w:line="560" w:lineRule="exact"/>
        <w:jc w:val="center"/>
        <w:rPr>
          <w:rFonts w:ascii="仿宋_GB2312" w:hAnsi="宋体" w:eastAsia="仿宋_GB2312"/>
          <w:b/>
          <w:color w:val="000000" w:themeColor="text1"/>
          <w:sz w:val="48"/>
          <w:szCs w:val="48"/>
          <w:highlight w:val="none"/>
          <w14:textFill>
            <w14:solidFill>
              <w14:schemeClr w14:val="tx1"/>
            </w14:solidFill>
          </w14:textFill>
        </w:rPr>
      </w:pPr>
      <w:r>
        <w:rPr>
          <w:rFonts w:hint="eastAsia" w:asciiTheme="minorEastAsia" w:hAnsiTheme="minorEastAsia" w:eastAsiaTheme="minorEastAsia"/>
          <w:b/>
          <w:bCs/>
          <w:color w:val="000000" w:themeColor="text1"/>
          <w:sz w:val="56"/>
          <w:szCs w:val="56"/>
          <w:highlight w:val="none"/>
          <w:lang w:eastAsia="zh-CN"/>
          <w14:textFill>
            <w14:solidFill>
              <w14:schemeClr w14:val="tx1"/>
            </w14:solidFill>
          </w14:textFill>
        </w:rPr>
        <w:t>哈密市中心医院2025年医疗设备购置项目（第一批）（二次）</w:t>
      </w:r>
    </w:p>
    <w:p w14:paraId="68EEE9DC">
      <w:pPr>
        <w:pageBreakBefore w:val="0"/>
        <w:wordWrap/>
        <w:topLinePunct w:val="0"/>
        <w:bidi w:val="0"/>
        <w:spacing w:before="165" w:beforeLines="50" w:line="560" w:lineRule="exact"/>
        <w:jc w:val="center"/>
        <w:rPr>
          <w:rFonts w:hint="default" w:asciiTheme="minorEastAsia" w:hAnsiTheme="minorEastAsia" w:eastAsiaTheme="minorEastAsia"/>
          <w:b/>
          <w:bCs/>
          <w:color w:val="000000" w:themeColor="text1"/>
          <w:sz w:val="56"/>
          <w:szCs w:val="56"/>
          <w:highlight w:val="none"/>
          <w:lang w:val="en-US" w:eastAsia="zh-CN"/>
          <w14:textFill>
            <w14:solidFill>
              <w14:schemeClr w14:val="tx1"/>
            </w14:solidFill>
          </w14:textFill>
        </w:rPr>
      </w:pPr>
      <w:r>
        <w:rPr>
          <w:rFonts w:hint="eastAsia" w:asciiTheme="minorEastAsia" w:hAnsiTheme="minorEastAsia" w:eastAsiaTheme="minorEastAsia"/>
          <w:b/>
          <w:bCs/>
          <w:color w:val="000000" w:themeColor="text1"/>
          <w:sz w:val="56"/>
          <w:szCs w:val="56"/>
          <w:highlight w:val="none"/>
          <w:lang w:val="en-US" w:eastAsia="zh-CN"/>
          <w14:textFill>
            <w14:solidFill>
              <w14:schemeClr w14:val="tx1"/>
            </w14:solidFill>
          </w14:textFill>
        </w:rPr>
        <w:t>标项四</w:t>
      </w:r>
    </w:p>
    <w:p w14:paraId="7D567B25">
      <w:pPr>
        <w:pageBreakBefore w:val="0"/>
        <w:wordWrap/>
        <w:topLinePunct w:val="0"/>
        <w:bidi w:val="0"/>
        <w:spacing w:before="165" w:beforeLines="50" w:line="560" w:lineRule="exact"/>
        <w:jc w:val="both"/>
        <w:rPr>
          <w:rFonts w:ascii="仿宋_GB2312" w:hAnsi="宋体" w:eastAsia="仿宋_GB2312"/>
          <w:b/>
          <w:color w:val="000000" w:themeColor="text1"/>
          <w:sz w:val="48"/>
          <w:szCs w:val="48"/>
          <w:highlight w:val="none"/>
          <w14:textFill>
            <w14:solidFill>
              <w14:schemeClr w14:val="tx1"/>
            </w14:solidFill>
          </w14:textFill>
        </w:rPr>
      </w:pPr>
    </w:p>
    <w:p w14:paraId="66C237F8">
      <w:pPr>
        <w:pageBreakBefore w:val="0"/>
        <w:wordWrap/>
        <w:topLinePunct w:val="0"/>
        <w:bidi w:val="0"/>
        <w:spacing w:before="165" w:beforeLines="50" w:line="560" w:lineRule="exact"/>
        <w:jc w:val="center"/>
        <w:rPr>
          <w:rFonts w:ascii="仿宋_GB2312" w:hAnsi="宋体" w:eastAsia="仿宋_GB2312"/>
          <w:b/>
          <w:color w:val="000000" w:themeColor="text1"/>
          <w:sz w:val="48"/>
          <w:szCs w:val="48"/>
          <w:highlight w:val="none"/>
          <w14:textFill>
            <w14:solidFill>
              <w14:schemeClr w14:val="tx1"/>
            </w14:solidFill>
          </w14:textFill>
        </w:rPr>
      </w:pPr>
    </w:p>
    <w:p w14:paraId="3DE31589">
      <w:pPr>
        <w:pageBreakBefore w:val="0"/>
        <w:wordWrap/>
        <w:topLinePunct w:val="0"/>
        <w:bidi w:val="0"/>
        <w:snapToGrid w:val="0"/>
        <w:spacing w:before="165" w:beforeLines="50" w:line="560" w:lineRule="exact"/>
        <w:jc w:val="center"/>
        <w:rPr>
          <w:rFonts w:asciiTheme="minorEastAsia" w:hAnsiTheme="minorEastAsia" w:eastAsiaTheme="minorEastAsia"/>
          <w:color w:val="000000" w:themeColor="text1"/>
          <w:sz w:val="72"/>
          <w:szCs w:val="72"/>
          <w:highlight w:val="none"/>
          <w14:textFill>
            <w14:solidFill>
              <w14:schemeClr w14:val="tx1"/>
            </w14:solidFill>
          </w14:textFill>
        </w:rPr>
      </w:pPr>
      <w:r>
        <w:rPr>
          <w:rFonts w:hint="eastAsia" w:asciiTheme="minorEastAsia" w:hAnsiTheme="minorEastAsia" w:eastAsiaTheme="minorEastAsia"/>
          <w:color w:val="000000" w:themeColor="text1"/>
          <w:sz w:val="72"/>
          <w:szCs w:val="72"/>
          <w:highlight w:val="none"/>
          <w14:textFill>
            <w14:solidFill>
              <w14:schemeClr w14:val="tx1"/>
            </w14:solidFill>
          </w14:textFill>
        </w:rPr>
        <w:t>招 标 文 件</w:t>
      </w:r>
    </w:p>
    <w:p w14:paraId="4604801D">
      <w:pPr>
        <w:pageBreakBefore w:val="0"/>
        <w:wordWrap/>
        <w:topLinePunct w:val="0"/>
        <w:bidi w:val="0"/>
        <w:snapToGrid w:val="0"/>
        <w:spacing w:before="165" w:beforeLines="50" w:line="560" w:lineRule="exact"/>
        <w:jc w:val="center"/>
        <w:rPr>
          <w:rFonts w:asciiTheme="minorEastAsia" w:hAnsiTheme="minorEastAsia" w:eastAsiaTheme="minorEastAsia"/>
          <w:color w:val="000000" w:themeColor="text1"/>
          <w:sz w:val="30"/>
          <w:szCs w:val="72"/>
          <w:highlight w:val="none"/>
          <w14:textFill>
            <w14:solidFill>
              <w14:schemeClr w14:val="tx1"/>
            </w14:solidFill>
          </w14:textFill>
        </w:rPr>
      </w:pPr>
      <w:r>
        <w:rPr>
          <w:rFonts w:hint="eastAsia" w:asciiTheme="minorEastAsia" w:hAnsiTheme="minorEastAsia" w:eastAsiaTheme="minorEastAsia"/>
          <w:color w:val="000000" w:themeColor="text1"/>
          <w:sz w:val="30"/>
          <w:szCs w:val="72"/>
          <w:highlight w:val="none"/>
          <w14:textFill>
            <w14:solidFill>
              <w14:schemeClr w14:val="tx1"/>
            </w14:solidFill>
          </w14:textFill>
        </w:rPr>
        <w:t>（全流程电子化评标）</w:t>
      </w:r>
    </w:p>
    <w:p w14:paraId="5936DD38">
      <w:pPr>
        <w:pageBreakBefore w:val="0"/>
        <w:wordWrap/>
        <w:topLinePunct w:val="0"/>
        <w:bidi w:val="0"/>
        <w:spacing w:before="165" w:beforeLines="50" w:line="560" w:lineRule="exact"/>
        <w:jc w:val="center"/>
        <w:rPr>
          <w:rFonts w:asciiTheme="minorEastAsia" w:hAnsiTheme="minorEastAsia" w:eastAsiaTheme="minorEastAsia"/>
          <w:color w:val="000000" w:themeColor="text1"/>
          <w:sz w:val="30"/>
          <w:szCs w:val="72"/>
          <w:highlight w:val="none"/>
          <w14:textFill>
            <w14:solidFill>
              <w14:schemeClr w14:val="tx1"/>
            </w14:solidFill>
          </w14:textFill>
        </w:rPr>
      </w:pPr>
      <w:r>
        <w:rPr>
          <w:rFonts w:hint="eastAsia" w:asciiTheme="minorEastAsia" w:hAnsiTheme="minorEastAsia" w:eastAsiaTheme="minorEastAsia"/>
          <w:color w:val="000000" w:themeColor="text1"/>
          <w:sz w:val="30"/>
          <w:szCs w:val="72"/>
          <w:highlight w:val="none"/>
          <w14:textFill>
            <w14:solidFill>
              <w14:schemeClr w14:val="tx1"/>
            </w14:solidFill>
          </w14:textFill>
        </w:rPr>
        <w:t xml:space="preserve">  </w:t>
      </w:r>
    </w:p>
    <w:p w14:paraId="4D4A5B57">
      <w:pPr>
        <w:pageBreakBefore w:val="0"/>
        <w:wordWrap/>
        <w:topLinePunct w:val="0"/>
        <w:bidi w:val="0"/>
        <w:spacing w:before="165" w:beforeLines="50" w:line="560" w:lineRule="exact"/>
        <w:rPr>
          <w:rFonts w:asciiTheme="minorEastAsia" w:hAnsiTheme="minorEastAsia" w:eastAsiaTheme="minorEastAsia"/>
          <w:color w:val="000000" w:themeColor="text1"/>
          <w:sz w:val="30"/>
          <w:szCs w:val="72"/>
          <w:highlight w:val="none"/>
          <w14:textFill>
            <w14:solidFill>
              <w14:schemeClr w14:val="tx1"/>
            </w14:solidFill>
          </w14:textFill>
        </w:rPr>
      </w:pPr>
    </w:p>
    <w:p w14:paraId="145783E0">
      <w:pPr>
        <w:pageBreakBefore w:val="0"/>
        <w:wordWrap/>
        <w:topLinePunct w:val="0"/>
        <w:bidi w:val="0"/>
        <w:spacing w:before="165" w:beforeLines="50" w:line="560" w:lineRule="exact"/>
        <w:rPr>
          <w:rFonts w:asciiTheme="minorEastAsia" w:hAnsiTheme="minorEastAsia" w:eastAsiaTheme="minorEastAsia"/>
          <w:color w:val="000000" w:themeColor="text1"/>
          <w:sz w:val="30"/>
          <w:szCs w:val="72"/>
          <w:highlight w:val="none"/>
          <w14:textFill>
            <w14:solidFill>
              <w14:schemeClr w14:val="tx1"/>
            </w14:solidFill>
          </w14:textFill>
        </w:rPr>
      </w:pPr>
    </w:p>
    <w:p w14:paraId="38D07E1F">
      <w:pPr>
        <w:pageBreakBefore w:val="0"/>
        <w:wordWrap/>
        <w:topLinePunct w:val="0"/>
        <w:bidi w:val="0"/>
        <w:spacing w:before="165" w:beforeLines="50" w:line="560" w:lineRule="exact"/>
        <w:rPr>
          <w:rFonts w:asciiTheme="minorEastAsia" w:hAnsiTheme="minorEastAsia" w:eastAsiaTheme="minorEastAsia"/>
          <w:color w:val="000000" w:themeColor="text1"/>
          <w:sz w:val="30"/>
          <w:szCs w:val="72"/>
          <w:highlight w:val="none"/>
          <w14:textFill>
            <w14:solidFill>
              <w14:schemeClr w14:val="tx1"/>
            </w14:solidFill>
          </w14:textFill>
        </w:rPr>
      </w:pPr>
    </w:p>
    <w:p w14:paraId="0F25FFD6">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heme="minorEastAsia" w:hAnsiTheme="minorEastAsia" w:eastAsiaTheme="minorEastAsia"/>
          <w:b/>
          <w:bCs/>
          <w:color w:val="000000" w:themeColor="text1"/>
          <w:sz w:val="30"/>
          <w:szCs w:val="30"/>
          <w:highlight w:val="none"/>
          <w:u w:val="single"/>
          <w:lang w:val="en-US" w:eastAsia="zh-CN"/>
          <w14:textFill>
            <w14:solidFill>
              <w14:schemeClr w14:val="tx1"/>
            </w14:solidFill>
          </w14:textFill>
        </w:rPr>
      </w:pPr>
      <w:r>
        <w:rPr>
          <w:rFonts w:hint="eastAsia" w:asciiTheme="minorEastAsia" w:hAnsiTheme="minorEastAsia" w:eastAsiaTheme="minorEastAsia"/>
          <w:b/>
          <w:bCs/>
          <w:color w:val="000000" w:themeColor="text1"/>
          <w:sz w:val="30"/>
          <w:szCs w:val="30"/>
          <w:highlight w:val="none"/>
          <w14:textFill>
            <w14:solidFill>
              <w14:schemeClr w14:val="tx1"/>
            </w14:solidFill>
          </w14:textFill>
        </w:rPr>
        <w:t>项 目 名 称：</w:t>
      </w:r>
      <w:r>
        <w:rPr>
          <w:rFonts w:hint="eastAsia" w:asciiTheme="minorEastAsia" w:hAnsiTheme="minorEastAsia" w:eastAsiaTheme="minorEastAsia"/>
          <w:b/>
          <w:bCs/>
          <w:color w:val="000000" w:themeColor="text1"/>
          <w:sz w:val="30"/>
          <w:szCs w:val="30"/>
          <w:highlight w:val="none"/>
          <w:u w:val="single"/>
          <w:lang w:eastAsia="zh-CN"/>
          <w14:textFill>
            <w14:solidFill>
              <w14:schemeClr w14:val="tx1"/>
            </w14:solidFill>
          </w14:textFill>
        </w:rPr>
        <w:t>哈密市中心医院2025年医疗设备购置项目（第一批）（二次）</w:t>
      </w:r>
    </w:p>
    <w:p w14:paraId="229C4631">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heme="minorEastAsia" w:hAnsiTheme="minorEastAsia" w:eastAsiaTheme="minorEastAsia"/>
          <w:b/>
          <w:bCs/>
          <w:color w:val="000000" w:themeColor="text1"/>
          <w:sz w:val="30"/>
          <w:szCs w:val="30"/>
          <w:highlight w:val="none"/>
          <w:lang w:val="en-US" w:eastAsia="zh-CN"/>
          <w14:textFill>
            <w14:solidFill>
              <w14:schemeClr w14:val="tx1"/>
            </w14:solidFill>
          </w14:textFill>
        </w:rPr>
      </w:pPr>
      <w:r>
        <w:rPr>
          <w:rFonts w:hint="eastAsia" w:asciiTheme="minorEastAsia" w:hAnsiTheme="minorEastAsia" w:eastAsiaTheme="minorEastAsia"/>
          <w:b/>
          <w:bCs/>
          <w:color w:val="000000" w:themeColor="text1"/>
          <w:sz w:val="30"/>
          <w:szCs w:val="30"/>
          <w:highlight w:val="none"/>
          <w14:textFill>
            <w14:solidFill>
              <w14:schemeClr w14:val="tx1"/>
            </w14:solidFill>
          </w14:textFill>
        </w:rPr>
        <w:t>项 目 编 号：</w:t>
      </w:r>
      <w:r>
        <w:rPr>
          <w:rFonts w:hint="eastAsia" w:asciiTheme="minorEastAsia" w:hAnsiTheme="minorEastAsia" w:eastAsiaTheme="minorEastAsia"/>
          <w:b/>
          <w:bCs/>
          <w:color w:val="000000" w:themeColor="text1"/>
          <w:sz w:val="30"/>
          <w:szCs w:val="30"/>
          <w:highlight w:val="none"/>
          <w:u w:val="single"/>
          <w:lang w:eastAsia="zh-CN"/>
          <w14:textFill>
            <w14:solidFill>
              <w14:schemeClr w14:val="tx1"/>
            </w14:solidFill>
          </w14:textFill>
        </w:rPr>
        <w:t>XJCY(HM)-2025019</w:t>
      </w:r>
      <w:r>
        <w:rPr>
          <w:rFonts w:hint="eastAsia" w:asciiTheme="minorEastAsia" w:hAnsiTheme="minorEastAsia" w:eastAsiaTheme="minorEastAsia"/>
          <w:b/>
          <w:bCs/>
          <w:color w:val="000000" w:themeColor="text1"/>
          <w:sz w:val="30"/>
          <w:szCs w:val="30"/>
          <w:highlight w:val="none"/>
          <w:u w:val="single"/>
          <w:lang w:val="en-US" w:eastAsia="zh-CN"/>
          <w14:textFill>
            <w14:solidFill>
              <w14:schemeClr w14:val="tx1"/>
            </w14:solidFill>
          </w14:textFill>
        </w:rPr>
        <w:t xml:space="preserve">-01                                      </w:t>
      </w:r>
    </w:p>
    <w:p w14:paraId="0A287CA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b/>
          <w:color w:val="000000" w:themeColor="text1"/>
          <w:sz w:val="30"/>
          <w:szCs w:val="30"/>
          <w:highlight w:val="none"/>
          <w:lang w:eastAsia="zh-CN"/>
          <w14:textFill>
            <w14:solidFill>
              <w14:schemeClr w14:val="tx1"/>
            </w14:solidFill>
          </w14:textFill>
        </w:rPr>
      </w:pPr>
      <w:r>
        <w:rPr>
          <w:rFonts w:hint="eastAsia" w:asciiTheme="minorEastAsia" w:hAnsiTheme="minorEastAsia" w:eastAsiaTheme="minorEastAsia"/>
          <w:b/>
          <w:color w:val="000000" w:themeColor="text1"/>
          <w:sz w:val="30"/>
          <w:szCs w:val="30"/>
          <w:highlight w:val="none"/>
          <w14:textFill>
            <w14:solidFill>
              <w14:schemeClr w14:val="tx1"/>
            </w14:solidFill>
          </w14:textFill>
        </w:rPr>
        <w:t xml:space="preserve">采  购   人： </w:t>
      </w:r>
      <w:r>
        <w:rPr>
          <w:rFonts w:hint="eastAsia" w:asciiTheme="minorEastAsia" w:hAnsiTheme="minorEastAsia" w:eastAsiaTheme="minorEastAsia"/>
          <w:b/>
          <w:color w:val="000000" w:themeColor="text1"/>
          <w:sz w:val="30"/>
          <w:szCs w:val="30"/>
          <w:highlight w:val="none"/>
          <w:u w:val="single"/>
          <w:lang w:eastAsia="zh-CN"/>
          <w14:textFill>
            <w14:solidFill>
              <w14:schemeClr w14:val="tx1"/>
            </w14:solidFill>
          </w14:textFill>
        </w:rPr>
        <w:t xml:space="preserve">哈密市中心医院   </w:t>
      </w:r>
      <w:r>
        <w:rPr>
          <w:rFonts w:hint="eastAsia" w:asciiTheme="minorEastAsia" w:hAnsiTheme="minorEastAsia" w:eastAsiaTheme="minorEastAsia"/>
          <w:b/>
          <w:color w:val="000000" w:themeColor="text1"/>
          <w:sz w:val="30"/>
          <w:szCs w:val="30"/>
          <w:highlight w:val="none"/>
          <w:u w:val="single"/>
          <w:lang w:val="en-US" w:eastAsia="zh-CN"/>
          <w14:textFill>
            <w14:solidFill>
              <w14:schemeClr w14:val="tx1"/>
            </w14:solidFill>
          </w14:textFill>
        </w:rPr>
        <w:t xml:space="preserve">                                      </w:t>
      </w:r>
      <w:r>
        <w:rPr>
          <w:rFonts w:hint="eastAsia" w:asciiTheme="minorEastAsia" w:hAnsiTheme="minorEastAsia" w:eastAsiaTheme="minorEastAsia"/>
          <w:b/>
          <w:color w:val="000000" w:themeColor="text1"/>
          <w:sz w:val="30"/>
          <w:szCs w:val="30"/>
          <w:highlight w:val="none"/>
          <w:u w:val="single"/>
          <w:lang w:eastAsia="zh-CN"/>
          <w14:textFill>
            <w14:solidFill>
              <w14:schemeClr w14:val="tx1"/>
            </w14:solidFill>
          </w14:textFill>
        </w:rPr>
        <w:t xml:space="preserve"> </w:t>
      </w:r>
    </w:p>
    <w:p w14:paraId="29B37385">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heme="minorEastAsia" w:hAnsiTheme="minorEastAsia" w:eastAsiaTheme="minorEastAsia"/>
          <w:b/>
          <w:color w:val="000000" w:themeColor="text1"/>
          <w:sz w:val="32"/>
          <w:szCs w:val="32"/>
          <w:highlight w:val="none"/>
          <w:lang w:val="en-US" w:eastAsia="zh-CN"/>
          <w14:textFill>
            <w14:solidFill>
              <w14:schemeClr w14:val="tx1"/>
            </w14:solidFill>
          </w14:textFill>
        </w:rPr>
      </w:pPr>
      <w:r>
        <w:rPr>
          <w:rFonts w:hint="eastAsia" w:asciiTheme="minorEastAsia" w:hAnsiTheme="minorEastAsia" w:eastAsiaTheme="minorEastAsia"/>
          <w:b/>
          <w:color w:val="000000" w:themeColor="text1"/>
          <w:sz w:val="30"/>
          <w:szCs w:val="30"/>
          <w:highlight w:val="none"/>
          <w14:textFill>
            <w14:solidFill>
              <w14:schemeClr w14:val="tx1"/>
            </w14:solidFill>
          </w14:textFill>
        </w:rPr>
        <w:t>采购代理机构：</w:t>
      </w:r>
      <w:r>
        <w:rPr>
          <w:rFonts w:hint="eastAsia" w:asciiTheme="minorEastAsia" w:hAnsiTheme="minorEastAsia" w:eastAsiaTheme="minorEastAsia"/>
          <w:b/>
          <w:color w:val="000000" w:themeColor="text1"/>
          <w:sz w:val="30"/>
          <w:szCs w:val="30"/>
          <w:highlight w:val="none"/>
          <w:u w:val="single"/>
          <w:lang w:eastAsia="zh-CN"/>
          <w14:textFill>
            <w14:solidFill>
              <w14:schemeClr w14:val="tx1"/>
            </w14:solidFill>
          </w14:textFill>
        </w:rPr>
        <w:t>新疆诚誉工程项目管理有限公司</w:t>
      </w:r>
      <w:r>
        <w:rPr>
          <w:rFonts w:hint="eastAsia" w:asciiTheme="minorEastAsia" w:hAnsiTheme="minorEastAsia" w:eastAsiaTheme="minorEastAsia"/>
          <w:b/>
          <w:color w:val="000000" w:themeColor="text1"/>
          <w:sz w:val="30"/>
          <w:szCs w:val="30"/>
          <w:highlight w:val="none"/>
          <w:u w:val="single"/>
          <w:lang w:val="en-US" w:eastAsia="zh-CN"/>
          <w14:textFill>
            <w14:solidFill>
              <w14:schemeClr w14:val="tx1"/>
            </w14:solidFill>
          </w14:textFill>
        </w:rPr>
        <w:t xml:space="preserve">                       </w:t>
      </w:r>
      <w:r>
        <w:rPr>
          <w:rFonts w:hint="eastAsia" w:asciiTheme="minorEastAsia" w:hAnsiTheme="minorEastAsia" w:eastAsiaTheme="minorEastAsia"/>
          <w:b/>
          <w:color w:val="000000" w:themeColor="text1"/>
          <w:sz w:val="32"/>
          <w:szCs w:val="32"/>
          <w:highlight w:val="none"/>
          <w:u w:val="single"/>
          <w:lang w:val="en-US" w:eastAsia="zh-CN"/>
          <w14:textFill>
            <w14:solidFill>
              <w14:schemeClr w14:val="tx1"/>
            </w14:solidFill>
          </w14:textFill>
        </w:rPr>
        <w:t xml:space="preserve">    </w:t>
      </w:r>
    </w:p>
    <w:p w14:paraId="40084B34">
      <w:pPr>
        <w:pStyle w:val="17"/>
        <w:pageBreakBefore w:val="0"/>
        <w:wordWrap/>
        <w:topLinePunct w:val="0"/>
        <w:bidi w:val="0"/>
        <w:spacing w:line="560" w:lineRule="exact"/>
        <w:rPr>
          <w:rFonts w:hint="eastAsia"/>
          <w:color w:val="000000" w:themeColor="text1"/>
          <w:highlight w:val="none"/>
          <w14:textFill>
            <w14:solidFill>
              <w14:schemeClr w14:val="tx1"/>
            </w14:solidFill>
          </w14:textFill>
        </w:rPr>
      </w:pPr>
    </w:p>
    <w:p w14:paraId="4A6841C9">
      <w:pPr>
        <w:pStyle w:val="17"/>
        <w:pageBreakBefore w:val="0"/>
        <w:wordWrap/>
        <w:topLinePunct w:val="0"/>
        <w:bidi w:val="0"/>
        <w:spacing w:line="560" w:lineRule="exact"/>
        <w:rPr>
          <w:color w:val="000000" w:themeColor="text1"/>
          <w:highlight w:val="none"/>
          <w14:textFill>
            <w14:solidFill>
              <w14:schemeClr w14:val="tx1"/>
            </w14:solidFill>
          </w14:textFill>
        </w:rPr>
      </w:pPr>
      <w:r>
        <w:rPr>
          <w:rFonts w:hint="eastAsia"/>
          <w:color w:val="000000" w:themeColor="text1"/>
          <w:sz w:val="30"/>
          <w:szCs w:val="30"/>
          <w:highlight w:val="none"/>
          <w14:textFill>
            <w14:solidFill>
              <w14:schemeClr w14:val="tx1"/>
            </w14:solidFill>
          </w14:textFill>
        </w:rPr>
        <w:t xml:space="preserve">  202</w:t>
      </w:r>
      <w:r>
        <w:rPr>
          <w:rFonts w:hint="eastAsia"/>
          <w:color w:val="000000" w:themeColor="text1"/>
          <w:sz w:val="30"/>
          <w:szCs w:val="30"/>
          <w:highlight w:val="none"/>
          <w:lang w:val="en-US" w:eastAsia="zh-CN"/>
          <w14:textFill>
            <w14:solidFill>
              <w14:schemeClr w14:val="tx1"/>
            </w14:solidFill>
          </w14:textFill>
        </w:rPr>
        <w:t>5</w:t>
      </w:r>
      <w:r>
        <w:rPr>
          <w:rFonts w:hint="eastAsia"/>
          <w:color w:val="000000" w:themeColor="text1"/>
          <w:sz w:val="30"/>
          <w:szCs w:val="30"/>
          <w:highlight w:val="none"/>
          <w14:textFill>
            <w14:solidFill>
              <w14:schemeClr w14:val="tx1"/>
            </w14:solidFill>
          </w14:textFill>
        </w:rPr>
        <w:t>年</w:t>
      </w:r>
      <w:r>
        <w:rPr>
          <w:rFonts w:hint="eastAsia"/>
          <w:color w:val="000000" w:themeColor="text1"/>
          <w:sz w:val="30"/>
          <w:szCs w:val="30"/>
          <w:highlight w:val="none"/>
          <w:lang w:val="en-US" w:eastAsia="zh-CN"/>
          <w14:textFill>
            <w14:solidFill>
              <w14:schemeClr w14:val="tx1"/>
            </w14:solidFill>
          </w14:textFill>
        </w:rPr>
        <w:t>6</w:t>
      </w:r>
      <w:r>
        <w:rPr>
          <w:rFonts w:hint="eastAsia"/>
          <w:color w:val="000000" w:themeColor="text1"/>
          <w:sz w:val="30"/>
          <w:szCs w:val="30"/>
          <w:highlight w:val="none"/>
          <w14:textFill>
            <w14:solidFill>
              <w14:schemeClr w14:val="tx1"/>
            </w14:solidFill>
          </w14:textFill>
        </w:rPr>
        <w:t xml:space="preserve">月  </w:t>
      </w:r>
      <w:r>
        <w:rPr>
          <w:rFonts w:hint="eastAsia"/>
          <w:color w:val="000000" w:themeColor="text1"/>
          <w:highlight w:val="none"/>
          <w14:textFill>
            <w14:solidFill>
              <w14:schemeClr w14:val="tx1"/>
            </w14:solidFill>
          </w14:textFill>
        </w:rPr>
        <w:t xml:space="preserve"> </w:t>
      </w:r>
    </w:p>
    <w:p w14:paraId="05AFECFF">
      <w:pPr>
        <w:pStyle w:val="17"/>
        <w:pageBreakBefore w:val="0"/>
        <w:wordWrap/>
        <w:topLinePunct w:val="0"/>
        <w:bidi w:val="0"/>
        <w:spacing w:line="560" w:lineRule="exact"/>
        <w:rPr>
          <w:rFonts w:hint="eastAsia"/>
          <w:color w:val="000000" w:themeColor="text1"/>
          <w:highlight w:val="none"/>
          <w14:textFill>
            <w14:solidFill>
              <w14:schemeClr w14:val="tx1"/>
            </w14:solidFill>
          </w14:textFill>
        </w:rPr>
        <w:sectPr>
          <w:headerReference r:id="rId37" w:type="default"/>
          <w:pgSz w:w="11906" w:h="16838"/>
          <w:pgMar w:top="1134" w:right="1134" w:bottom="1134" w:left="1134" w:header="720" w:footer="720" w:gutter="0"/>
          <w:pgNumType w:start="1"/>
          <w:cols w:space="720" w:num="1"/>
          <w:docGrid w:type="lines" w:linePitch="331" w:charSpace="0"/>
        </w:sectPr>
      </w:pPr>
    </w:p>
    <w:p w14:paraId="2FFA7B13">
      <w:pPr>
        <w:pStyle w:val="17"/>
        <w:pageBreakBefore w:val="0"/>
        <w:wordWrap/>
        <w:topLinePunct w:val="0"/>
        <w:bidi w:val="0"/>
        <w:spacing w:line="560" w:lineRule="exact"/>
        <w:rPr>
          <w:rFonts w:hint="eastAsia"/>
          <w:color w:val="000000" w:themeColor="text1"/>
          <w:sz w:val="36"/>
          <w:szCs w:val="36"/>
          <w:highlight w:val="none"/>
          <w14:textFill>
            <w14:solidFill>
              <w14:schemeClr w14:val="tx1"/>
            </w14:solidFill>
          </w14:textFill>
        </w:rPr>
      </w:pPr>
    </w:p>
    <w:p w14:paraId="7D9231A6">
      <w:pPr>
        <w:pStyle w:val="17"/>
        <w:pageBreakBefore w:val="0"/>
        <w:wordWrap/>
        <w:topLinePunct w:val="0"/>
        <w:bidi w:val="0"/>
        <w:spacing w:line="560" w:lineRule="exact"/>
        <w:rPr>
          <w:color w:val="000000" w:themeColor="text1"/>
          <w:sz w:val="36"/>
          <w:szCs w:val="36"/>
          <w:highlight w:val="none"/>
          <w14:textFill>
            <w14:solidFill>
              <w14:schemeClr w14:val="tx1"/>
            </w14:solidFill>
          </w14:textFill>
        </w:rPr>
      </w:pPr>
      <w:r>
        <w:rPr>
          <w:rFonts w:hint="eastAsia"/>
          <w:color w:val="000000" w:themeColor="text1"/>
          <w:sz w:val="36"/>
          <w:szCs w:val="36"/>
          <w:highlight w:val="none"/>
          <w14:textFill>
            <w14:solidFill>
              <w14:schemeClr w14:val="tx1"/>
            </w14:solidFill>
          </w14:textFill>
        </w:rPr>
        <w:t>目</w:t>
      </w:r>
      <w:r>
        <w:rPr>
          <w:color w:val="000000" w:themeColor="text1"/>
          <w:sz w:val="36"/>
          <w:szCs w:val="36"/>
          <w:highlight w:val="none"/>
          <w14:textFill>
            <w14:solidFill>
              <w14:schemeClr w14:val="tx1"/>
            </w14:solidFill>
          </w14:textFill>
        </w:rPr>
        <w:t xml:space="preserve">     </w:t>
      </w:r>
      <w:r>
        <w:rPr>
          <w:rFonts w:hint="eastAsia"/>
          <w:color w:val="000000" w:themeColor="text1"/>
          <w:sz w:val="36"/>
          <w:szCs w:val="36"/>
          <w:highlight w:val="none"/>
          <w14:textFill>
            <w14:solidFill>
              <w14:schemeClr w14:val="tx1"/>
            </w14:solidFill>
          </w14:textFill>
        </w:rPr>
        <w:t>录</w:t>
      </w:r>
    </w:p>
    <w:p w14:paraId="05346EA0">
      <w:pPr>
        <w:pStyle w:val="24"/>
        <w:keepNext w:val="0"/>
        <w:keepLines w:val="0"/>
        <w:pageBreakBefore w:val="0"/>
        <w:widowControl w:val="0"/>
        <w:tabs>
          <w:tab w:val="right" w:leader="dot" w:pos="9638"/>
        </w:tabs>
        <w:kinsoku/>
        <w:wordWrap/>
        <w:overflowPunct/>
        <w:topLinePunct w:val="0"/>
        <w:autoSpaceDE/>
        <w:autoSpaceDN/>
        <w:bidi w:val="0"/>
        <w:adjustRightInd/>
        <w:snapToGrid/>
        <w:spacing w:before="0" w:after="0" w:line="560" w:lineRule="exact"/>
        <w:textAlignment w:val="auto"/>
        <w:rPr>
          <w:rFonts w:hint="eastAsia" w:ascii="宋体" w:hAnsi="宋体" w:eastAsia="宋体" w:cs="宋体"/>
          <w:b w:val="0"/>
          <w:bCs w:val="0"/>
          <w:color w:val="000000" w:themeColor="text1"/>
          <w:sz w:val="28"/>
          <w:szCs w:val="28"/>
          <w:highlight w:val="none"/>
          <w14:textFill>
            <w14:solidFill>
              <w14:schemeClr w14:val="tx1"/>
            </w14:solidFill>
          </w14:textFill>
        </w:rPr>
      </w:pPr>
      <w:r>
        <w:rPr>
          <w:rFonts w:hint="eastAsia" w:ascii="宋体" w:hAnsi="宋体" w:eastAsia="宋体" w:cs="宋体"/>
          <w:b w:val="0"/>
          <w:bCs w:val="0"/>
          <w:caps w:val="0"/>
          <w:color w:val="000000" w:themeColor="text1"/>
          <w:sz w:val="28"/>
          <w:szCs w:val="28"/>
          <w:highlight w:val="none"/>
          <w:u w:val="none"/>
          <w14:textFill>
            <w14:solidFill>
              <w14:schemeClr w14:val="tx1"/>
            </w14:solidFill>
          </w14:textFill>
        </w:rPr>
        <w:fldChar w:fldCharType="begin"/>
      </w:r>
      <w:r>
        <w:rPr>
          <w:rFonts w:hint="eastAsia" w:ascii="宋体" w:hAnsi="宋体" w:eastAsia="宋体" w:cs="宋体"/>
          <w:b w:val="0"/>
          <w:bCs w:val="0"/>
          <w:caps w:val="0"/>
          <w:color w:val="000000" w:themeColor="text1"/>
          <w:sz w:val="28"/>
          <w:szCs w:val="28"/>
          <w:highlight w:val="none"/>
          <w:u w:val="none"/>
          <w14:textFill>
            <w14:solidFill>
              <w14:schemeClr w14:val="tx1"/>
            </w14:solidFill>
          </w14:textFill>
        </w:rPr>
        <w:instrText xml:space="preserve"> TOC \o "1-3" \h \z \u </w:instrText>
      </w:r>
      <w:r>
        <w:rPr>
          <w:rFonts w:hint="eastAsia" w:ascii="宋体" w:hAnsi="宋体" w:eastAsia="宋体" w:cs="宋体"/>
          <w:b w:val="0"/>
          <w:bCs w:val="0"/>
          <w:caps w:val="0"/>
          <w:color w:val="000000" w:themeColor="text1"/>
          <w:sz w:val="28"/>
          <w:szCs w:val="28"/>
          <w:highlight w:val="none"/>
          <w:u w:val="none"/>
          <w14:textFill>
            <w14:solidFill>
              <w14:schemeClr w14:val="tx1"/>
            </w14:solidFill>
          </w14:textFill>
        </w:rPr>
        <w:fldChar w:fldCharType="separate"/>
      </w:r>
      <w:r>
        <w:rPr>
          <w:rFonts w:hint="eastAsia" w:ascii="宋体" w:hAnsi="宋体" w:eastAsia="宋体" w:cs="宋体"/>
          <w:b w:val="0"/>
          <w:bCs w:val="0"/>
          <w:caps w:val="0"/>
          <w:color w:val="000000" w:themeColor="text1"/>
          <w:sz w:val="28"/>
          <w:szCs w:val="28"/>
          <w:highlight w:val="none"/>
          <w:u w:val="none"/>
          <w14:textFill>
            <w14:solidFill>
              <w14:schemeClr w14:val="tx1"/>
            </w14:solidFill>
          </w14:textFill>
        </w:rPr>
        <w:fldChar w:fldCharType="begin"/>
      </w:r>
      <w:r>
        <w:rPr>
          <w:rFonts w:hint="eastAsia" w:ascii="宋体" w:hAnsi="宋体" w:eastAsia="宋体" w:cs="宋体"/>
          <w:b w:val="0"/>
          <w:bCs w:val="0"/>
          <w:caps w:val="0"/>
          <w:color w:val="000000" w:themeColor="text1"/>
          <w:sz w:val="28"/>
          <w:szCs w:val="28"/>
          <w:highlight w:val="none"/>
          <w14:textFill>
            <w14:solidFill>
              <w14:schemeClr w14:val="tx1"/>
            </w14:solidFill>
          </w14:textFill>
        </w:rPr>
        <w:instrText xml:space="preserve"> HYPERLINK \l _Toc17893 </w:instrText>
      </w:r>
      <w:r>
        <w:rPr>
          <w:rFonts w:hint="eastAsia" w:ascii="宋体" w:hAnsi="宋体" w:eastAsia="宋体" w:cs="宋体"/>
          <w:b w:val="0"/>
          <w:bCs w:val="0"/>
          <w:caps w:val="0"/>
          <w:color w:val="000000" w:themeColor="text1"/>
          <w:sz w:val="28"/>
          <w:szCs w:val="28"/>
          <w:highlight w:val="none"/>
          <w14:textFill>
            <w14:solidFill>
              <w14:schemeClr w14:val="tx1"/>
            </w14:solidFill>
          </w14:textFill>
        </w:rPr>
        <w:fldChar w:fldCharType="separate"/>
      </w:r>
      <w:r>
        <w:rPr>
          <w:rFonts w:hint="eastAsia" w:ascii="宋体" w:hAnsi="宋体" w:eastAsia="宋体" w:cs="宋体"/>
          <w:b w:val="0"/>
          <w:bCs w:val="0"/>
          <w:color w:val="000000" w:themeColor="text1"/>
          <w:sz w:val="28"/>
          <w:szCs w:val="28"/>
          <w:highlight w:val="none"/>
          <w14:textFill>
            <w14:solidFill>
              <w14:schemeClr w14:val="tx1"/>
            </w14:solidFill>
          </w14:textFill>
        </w:rPr>
        <w:t>第一章  招标公告</w:t>
      </w:r>
      <w:r>
        <w:rPr>
          <w:rFonts w:hint="eastAsia" w:ascii="宋体" w:hAnsi="宋体" w:eastAsia="宋体" w:cs="宋体"/>
          <w:b w:val="0"/>
          <w:bCs w:val="0"/>
          <w:color w:val="000000" w:themeColor="text1"/>
          <w:sz w:val="28"/>
          <w:szCs w:val="28"/>
          <w:highlight w:val="none"/>
          <w14:textFill>
            <w14:solidFill>
              <w14:schemeClr w14:val="tx1"/>
            </w14:solidFill>
          </w14:textFill>
        </w:rPr>
        <w:tab/>
      </w:r>
      <w:r>
        <w:rPr>
          <w:rFonts w:hint="eastAsia" w:ascii="宋体" w:hAnsi="宋体" w:eastAsia="宋体" w:cs="宋体"/>
          <w:b w:val="0"/>
          <w:bCs w:val="0"/>
          <w:color w:val="000000" w:themeColor="text1"/>
          <w:sz w:val="28"/>
          <w:szCs w:val="28"/>
          <w:highlight w:val="none"/>
          <w14:textFill>
            <w14:solidFill>
              <w14:schemeClr w14:val="tx1"/>
            </w14:solidFill>
          </w14:textFill>
        </w:rPr>
        <w:fldChar w:fldCharType="begin"/>
      </w:r>
      <w:r>
        <w:rPr>
          <w:rFonts w:hint="eastAsia" w:ascii="宋体" w:hAnsi="宋体" w:eastAsia="宋体" w:cs="宋体"/>
          <w:b w:val="0"/>
          <w:bCs w:val="0"/>
          <w:color w:val="000000" w:themeColor="text1"/>
          <w:sz w:val="28"/>
          <w:szCs w:val="28"/>
          <w:highlight w:val="none"/>
          <w14:textFill>
            <w14:solidFill>
              <w14:schemeClr w14:val="tx1"/>
            </w14:solidFill>
          </w14:textFill>
        </w:rPr>
        <w:instrText xml:space="preserve"> PAGEREF _Toc17893 \h </w:instrText>
      </w:r>
      <w:r>
        <w:rPr>
          <w:rFonts w:hint="eastAsia" w:ascii="宋体" w:hAnsi="宋体" w:eastAsia="宋体" w:cs="宋体"/>
          <w:b w:val="0"/>
          <w:bCs w:val="0"/>
          <w:color w:val="000000" w:themeColor="text1"/>
          <w:sz w:val="28"/>
          <w:szCs w:val="28"/>
          <w:highlight w:val="none"/>
          <w14:textFill>
            <w14:solidFill>
              <w14:schemeClr w14:val="tx1"/>
            </w14:solidFill>
          </w14:textFill>
        </w:rPr>
        <w:fldChar w:fldCharType="separate"/>
      </w:r>
      <w:r>
        <w:rPr>
          <w:rFonts w:hint="eastAsia" w:ascii="宋体" w:hAnsi="宋体" w:eastAsia="宋体" w:cs="宋体"/>
          <w:b w:val="0"/>
          <w:bCs w:val="0"/>
          <w:color w:val="000000" w:themeColor="text1"/>
          <w:sz w:val="28"/>
          <w:szCs w:val="28"/>
          <w:highlight w:val="none"/>
          <w14:textFill>
            <w14:solidFill>
              <w14:schemeClr w14:val="tx1"/>
            </w14:solidFill>
          </w14:textFill>
        </w:rPr>
        <w:t>2</w:t>
      </w:r>
      <w:r>
        <w:rPr>
          <w:rFonts w:hint="eastAsia" w:ascii="宋体" w:hAnsi="宋体" w:eastAsia="宋体" w:cs="宋体"/>
          <w:b w:val="0"/>
          <w:bCs w:val="0"/>
          <w:color w:val="000000" w:themeColor="text1"/>
          <w:sz w:val="28"/>
          <w:szCs w:val="28"/>
          <w:highlight w:val="none"/>
          <w14:textFill>
            <w14:solidFill>
              <w14:schemeClr w14:val="tx1"/>
            </w14:solidFill>
          </w14:textFill>
        </w:rPr>
        <w:fldChar w:fldCharType="end"/>
      </w:r>
      <w:r>
        <w:rPr>
          <w:rFonts w:hint="eastAsia" w:ascii="宋体" w:hAnsi="宋体" w:eastAsia="宋体" w:cs="宋体"/>
          <w:b w:val="0"/>
          <w:bCs w:val="0"/>
          <w:caps w:val="0"/>
          <w:color w:val="000000" w:themeColor="text1"/>
          <w:sz w:val="28"/>
          <w:szCs w:val="28"/>
          <w:highlight w:val="none"/>
          <w:u w:val="none"/>
          <w14:textFill>
            <w14:solidFill>
              <w14:schemeClr w14:val="tx1"/>
            </w14:solidFill>
          </w14:textFill>
        </w:rPr>
        <w:fldChar w:fldCharType="end"/>
      </w:r>
    </w:p>
    <w:p w14:paraId="1C5478AE">
      <w:pPr>
        <w:pStyle w:val="24"/>
        <w:keepNext w:val="0"/>
        <w:keepLines w:val="0"/>
        <w:pageBreakBefore w:val="0"/>
        <w:widowControl w:val="0"/>
        <w:tabs>
          <w:tab w:val="right" w:leader="dot" w:pos="9638"/>
        </w:tabs>
        <w:kinsoku/>
        <w:wordWrap/>
        <w:overflowPunct/>
        <w:topLinePunct w:val="0"/>
        <w:autoSpaceDE/>
        <w:autoSpaceDN/>
        <w:bidi w:val="0"/>
        <w:adjustRightInd/>
        <w:snapToGrid/>
        <w:spacing w:before="0" w:after="0" w:line="560" w:lineRule="exact"/>
        <w:textAlignment w:val="auto"/>
        <w:rPr>
          <w:rFonts w:hint="eastAsia" w:ascii="宋体" w:hAnsi="宋体" w:eastAsia="宋体" w:cs="宋体"/>
          <w:b w:val="0"/>
          <w:bCs w:val="0"/>
          <w:color w:val="000000" w:themeColor="text1"/>
          <w:sz w:val="28"/>
          <w:szCs w:val="28"/>
          <w:highlight w:val="none"/>
          <w14:textFill>
            <w14:solidFill>
              <w14:schemeClr w14:val="tx1"/>
            </w14:solidFill>
          </w14:textFill>
        </w:rPr>
      </w:pPr>
      <w:r>
        <w:rPr>
          <w:rFonts w:hint="eastAsia" w:ascii="宋体" w:hAnsi="宋体" w:eastAsia="宋体" w:cs="宋体"/>
          <w:b w:val="0"/>
          <w:bCs w:val="0"/>
          <w:caps/>
          <w:color w:val="000000" w:themeColor="text1"/>
          <w:sz w:val="28"/>
          <w:szCs w:val="28"/>
          <w:highlight w:val="none"/>
          <w14:textFill>
            <w14:solidFill>
              <w14:schemeClr w14:val="tx1"/>
            </w14:solidFill>
          </w14:textFill>
        </w:rPr>
        <w:fldChar w:fldCharType="begin"/>
      </w:r>
      <w:r>
        <w:rPr>
          <w:rFonts w:hint="eastAsia" w:ascii="宋体" w:hAnsi="宋体" w:eastAsia="宋体" w:cs="宋体"/>
          <w:b w:val="0"/>
          <w:bCs w:val="0"/>
          <w:caps/>
          <w:color w:val="000000" w:themeColor="text1"/>
          <w:sz w:val="28"/>
          <w:szCs w:val="28"/>
          <w:highlight w:val="none"/>
          <w14:textFill>
            <w14:solidFill>
              <w14:schemeClr w14:val="tx1"/>
            </w14:solidFill>
          </w14:textFill>
        </w:rPr>
        <w:instrText xml:space="preserve"> HYPERLINK \l _Toc4957 </w:instrText>
      </w:r>
      <w:r>
        <w:rPr>
          <w:rFonts w:hint="eastAsia" w:ascii="宋体" w:hAnsi="宋体" w:eastAsia="宋体" w:cs="宋体"/>
          <w:b w:val="0"/>
          <w:bCs w:val="0"/>
          <w:caps/>
          <w:color w:val="000000" w:themeColor="text1"/>
          <w:sz w:val="28"/>
          <w:szCs w:val="28"/>
          <w:highlight w:val="none"/>
          <w14:textFill>
            <w14:solidFill>
              <w14:schemeClr w14:val="tx1"/>
            </w14:solidFill>
          </w14:textFill>
        </w:rPr>
        <w:fldChar w:fldCharType="separate"/>
      </w:r>
      <w:r>
        <w:rPr>
          <w:rFonts w:hint="eastAsia" w:ascii="宋体" w:hAnsi="宋体" w:eastAsia="宋体" w:cs="宋体"/>
          <w:b w:val="0"/>
          <w:bCs w:val="0"/>
          <w:color w:val="000000" w:themeColor="text1"/>
          <w:sz w:val="28"/>
          <w:szCs w:val="28"/>
          <w:highlight w:val="none"/>
          <w14:textFill>
            <w14:solidFill>
              <w14:schemeClr w14:val="tx1"/>
            </w14:solidFill>
          </w14:textFill>
        </w:rPr>
        <w:t xml:space="preserve">第二章  </w:t>
      </w:r>
      <w:r>
        <w:rPr>
          <w:rFonts w:hint="eastAsia" w:ascii="宋体" w:hAnsi="宋体" w:eastAsia="宋体" w:cs="宋体"/>
          <w:b w:val="0"/>
          <w:bCs w:val="0"/>
          <w:color w:val="000000" w:themeColor="text1"/>
          <w:sz w:val="28"/>
          <w:szCs w:val="28"/>
          <w:highlight w:val="none"/>
          <w:lang w:eastAsia="zh-CN"/>
          <w14:textFill>
            <w14:solidFill>
              <w14:schemeClr w14:val="tx1"/>
            </w14:solidFill>
          </w14:textFill>
        </w:rPr>
        <w:t>供应商</w:t>
      </w:r>
      <w:r>
        <w:rPr>
          <w:rFonts w:hint="eastAsia" w:ascii="宋体" w:hAnsi="宋体" w:eastAsia="宋体" w:cs="宋体"/>
          <w:b w:val="0"/>
          <w:bCs w:val="0"/>
          <w:color w:val="000000" w:themeColor="text1"/>
          <w:sz w:val="28"/>
          <w:szCs w:val="28"/>
          <w:highlight w:val="none"/>
          <w14:textFill>
            <w14:solidFill>
              <w14:schemeClr w14:val="tx1"/>
            </w14:solidFill>
          </w14:textFill>
        </w:rPr>
        <w:t>须知表</w:t>
      </w:r>
      <w:r>
        <w:rPr>
          <w:rFonts w:hint="eastAsia" w:ascii="宋体" w:hAnsi="宋体" w:eastAsia="宋体" w:cs="宋体"/>
          <w:b w:val="0"/>
          <w:bCs w:val="0"/>
          <w:color w:val="000000" w:themeColor="text1"/>
          <w:sz w:val="28"/>
          <w:szCs w:val="28"/>
          <w:highlight w:val="none"/>
          <w14:textFill>
            <w14:solidFill>
              <w14:schemeClr w14:val="tx1"/>
            </w14:solidFill>
          </w14:textFill>
        </w:rPr>
        <w:tab/>
      </w:r>
      <w:r>
        <w:rPr>
          <w:rFonts w:hint="eastAsia" w:ascii="宋体" w:hAnsi="宋体" w:eastAsia="宋体" w:cs="宋体"/>
          <w:b w:val="0"/>
          <w:bCs w:val="0"/>
          <w:color w:val="000000" w:themeColor="text1"/>
          <w:sz w:val="28"/>
          <w:szCs w:val="28"/>
          <w:highlight w:val="none"/>
          <w14:textFill>
            <w14:solidFill>
              <w14:schemeClr w14:val="tx1"/>
            </w14:solidFill>
          </w14:textFill>
        </w:rPr>
        <w:fldChar w:fldCharType="begin"/>
      </w:r>
      <w:r>
        <w:rPr>
          <w:rFonts w:hint="eastAsia" w:ascii="宋体" w:hAnsi="宋体" w:eastAsia="宋体" w:cs="宋体"/>
          <w:b w:val="0"/>
          <w:bCs w:val="0"/>
          <w:color w:val="000000" w:themeColor="text1"/>
          <w:sz w:val="28"/>
          <w:szCs w:val="28"/>
          <w:highlight w:val="none"/>
          <w14:textFill>
            <w14:solidFill>
              <w14:schemeClr w14:val="tx1"/>
            </w14:solidFill>
          </w14:textFill>
        </w:rPr>
        <w:instrText xml:space="preserve"> PAGEREF _Toc4957 \h </w:instrText>
      </w:r>
      <w:r>
        <w:rPr>
          <w:rFonts w:hint="eastAsia" w:ascii="宋体" w:hAnsi="宋体" w:eastAsia="宋体" w:cs="宋体"/>
          <w:b w:val="0"/>
          <w:bCs w:val="0"/>
          <w:color w:val="000000" w:themeColor="text1"/>
          <w:sz w:val="28"/>
          <w:szCs w:val="28"/>
          <w:highlight w:val="none"/>
          <w14:textFill>
            <w14:solidFill>
              <w14:schemeClr w14:val="tx1"/>
            </w14:solidFill>
          </w14:textFill>
        </w:rPr>
        <w:fldChar w:fldCharType="separate"/>
      </w:r>
      <w:r>
        <w:rPr>
          <w:rFonts w:hint="eastAsia" w:ascii="宋体" w:hAnsi="宋体" w:eastAsia="宋体" w:cs="宋体"/>
          <w:b w:val="0"/>
          <w:bCs w:val="0"/>
          <w:color w:val="000000" w:themeColor="text1"/>
          <w:sz w:val="28"/>
          <w:szCs w:val="28"/>
          <w:highlight w:val="none"/>
          <w14:textFill>
            <w14:solidFill>
              <w14:schemeClr w14:val="tx1"/>
            </w14:solidFill>
          </w14:textFill>
        </w:rPr>
        <w:t>7</w:t>
      </w:r>
      <w:r>
        <w:rPr>
          <w:rFonts w:hint="eastAsia" w:ascii="宋体" w:hAnsi="宋体" w:eastAsia="宋体" w:cs="宋体"/>
          <w:b w:val="0"/>
          <w:bCs w:val="0"/>
          <w:color w:val="000000" w:themeColor="text1"/>
          <w:sz w:val="28"/>
          <w:szCs w:val="28"/>
          <w:highlight w:val="none"/>
          <w14:textFill>
            <w14:solidFill>
              <w14:schemeClr w14:val="tx1"/>
            </w14:solidFill>
          </w14:textFill>
        </w:rPr>
        <w:fldChar w:fldCharType="end"/>
      </w:r>
      <w:r>
        <w:rPr>
          <w:rFonts w:hint="eastAsia" w:ascii="宋体" w:hAnsi="宋体" w:eastAsia="宋体" w:cs="宋体"/>
          <w:b w:val="0"/>
          <w:bCs w:val="0"/>
          <w:caps/>
          <w:color w:val="000000" w:themeColor="text1"/>
          <w:sz w:val="28"/>
          <w:szCs w:val="28"/>
          <w:highlight w:val="none"/>
          <w14:textFill>
            <w14:solidFill>
              <w14:schemeClr w14:val="tx1"/>
            </w14:solidFill>
          </w14:textFill>
        </w:rPr>
        <w:fldChar w:fldCharType="end"/>
      </w:r>
    </w:p>
    <w:p w14:paraId="76556BF4">
      <w:pPr>
        <w:pStyle w:val="24"/>
        <w:keepNext w:val="0"/>
        <w:keepLines w:val="0"/>
        <w:pageBreakBefore w:val="0"/>
        <w:widowControl w:val="0"/>
        <w:tabs>
          <w:tab w:val="right" w:leader="dot" w:pos="9638"/>
        </w:tabs>
        <w:kinsoku/>
        <w:wordWrap/>
        <w:overflowPunct/>
        <w:topLinePunct w:val="0"/>
        <w:autoSpaceDE/>
        <w:autoSpaceDN/>
        <w:bidi w:val="0"/>
        <w:adjustRightInd/>
        <w:snapToGrid/>
        <w:spacing w:before="0" w:after="0" w:line="560" w:lineRule="exact"/>
        <w:textAlignment w:val="auto"/>
        <w:rPr>
          <w:rFonts w:hint="eastAsia" w:ascii="宋体" w:hAnsi="宋体" w:eastAsia="宋体" w:cs="宋体"/>
          <w:b w:val="0"/>
          <w:bCs w:val="0"/>
          <w:color w:val="000000" w:themeColor="text1"/>
          <w:sz w:val="28"/>
          <w:szCs w:val="28"/>
          <w:highlight w:val="none"/>
          <w14:textFill>
            <w14:solidFill>
              <w14:schemeClr w14:val="tx1"/>
            </w14:solidFill>
          </w14:textFill>
        </w:rPr>
      </w:pPr>
      <w:r>
        <w:rPr>
          <w:rFonts w:hint="eastAsia" w:ascii="宋体" w:hAnsi="宋体" w:eastAsia="宋体" w:cs="宋体"/>
          <w:b w:val="0"/>
          <w:bCs w:val="0"/>
          <w:caps/>
          <w:color w:val="000000" w:themeColor="text1"/>
          <w:sz w:val="28"/>
          <w:szCs w:val="28"/>
          <w:highlight w:val="none"/>
          <w14:textFill>
            <w14:solidFill>
              <w14:schemeClr w14:val="tx1"/>
            </w14:solidFill>
          </w14:textFill>
        </w:rPr>
        <w:fldChar w:fldCharType="begin"/>
      </w:r>
      <w:r>
        <w:rPr>
          <w:rFonts w:hint="eastAsia" w:ascii="宋体" w:hAnsi="宋体" w:eastAsia="宋体" w:cs="宋体"/>
          <w:b w:val="0"/>
          <w:bCs w:val="0"/>
          <w:caps/>
          <w:color w:val="000000" w:themeColor="text1"/>
          <w:sz w:val="28"/>
          <w:szCs w:val="28"/>
          <w:highlight w:val="none"/>
          <w14:textFill>
            <w14:solidFill>
              <w14:schemeClr w14:val="tx1"/>
            </w14:solidFill>
          </w14:textFill>
        </w:rPr>
        <w:instrText xml:space="preserve"> HYPERLINK \l _Toc24808 </w:instrText>
      </w:r>
      <w:r>
        <w:rPr>
          <w:rFonts w:hint="eastAsia" w:ascii="宋体" w:hAnsi="宋体" w:eastAsia="宋体" w:cs="宋体"/>
          <w:b w:val="0"/>
          <w:bCs w:val="0"/>
          <w:caps/>
          <w:color w:val="000000" w:themeColor="text1"/>
          <w:sz w:val="28"/>
          <w:szCs w:val="28"/>
          <w:highlight w:val="none"/>
          <w14:textFill>
            <w14:solidFill>
              <w14:schemeClr w14:val="tx1"/>
            </w14:solidFill>
          </w14:textFill>
        </w:rPr>
        <w:fldChar w:fldCharType="separate"/>
      </w:r>
      <w:r>
        <w:rPr>
          <w:rFonts w:hint="eastAsia" w:ascii="宋体" w:hAnsi="宋体" w:eastAsia="宋体" w:cs="宋体"/>
          <w:b w:val="0"/>
          <w:bCs w:val="0"/>
          <w:color w:val="000000" w:themeColor="text1"/>
          <w:sz w:val="28"/>
          <w:szCs w:val="28"/>
          <w:highlight w:val="none"/>
          <w14:textFill>
            <w14:solidFill>
              <w14:schemeClr w14:val="tx1"/>
            </w14:solidFill>
          </w14:textFill>
        </w:rPr>
        <w:t>第三章  采购需求</w:t>
      </w:r>
      <w:r>
        <w:rPr>
          <w:rFonts w:hint="eastAsia" w:ascii="宋体" w:hAnsi="宋体" w:eastAsia="宋体" w:cs="宋体"/>
          <w:b w:val="0"/>
          <w:bCs w:val="0"/>
          <w:color w:val="000000" w:themeColor="text1"/>
          <w:sz w:val="28"/>
          <w:szCs w:val="28"/>
          <w:highlight w:val="none"/>
          <w14:textFill>
            <w14:solidFill>
              <w14:schemeClr w14:val="tx1"/>
            </w14:solidFill>
          </w14:textFill>
        </w:rPr>
        <w:tab/>
      </w:r>
      <w:r>
        <w:rPr>
          <w:rFonts w:hint="eastAsia" w:ascii="宋体" w:hAnsi="宋体" w:eastAsia="宋体" w:cs="宋体"/>
          <w:b w:val="0"/>
          <w:bCs w:val="0"/>
          <w:color w:val="000000" w:themeColor="text1"/>
          <w:sz w:val="28"/>
          <w:szCs w:val="28"/>
          <w:highlight w:val="none"/>
          <w14:textFill>
            <w14:solidFill>
              <w14:schemeClr w14:val="tx1"/>
            </w14:solidFill>
          </w14:textFill>
        </w:rPr>
        <w:fldChar w:fldCharType="begin"/>
      </w:r>
      <w:r>
        <w:rPr>
          <w:rFonts w:hint="eastAsia" w:ascii="宋体" w:hAnsi="宋体" w:eastAsia="宋体" w:cs="宋体"/>
          <w:b w:val="0"/>
          <w:bCs w:val="0"/>
          <w:color w:val="000000" w:themeColor="text1"/>
          <w:sz w:val="28"/>
          <w:szCs w:val="28"/>
          <w:highlight w:val="none"/>
          <w14:textFill>
            <w14:solidFill>
              <w14:schemeClr w14:val="tx1"/>
            </w14:solidFill>
          </w14:textFill>
        </w:rPr>
        <w:instrText xml:space="preserve"> PAGEREF _Toc24808 \h </w:instrText>
      </w:r>
      <w:r>
        <w:rPr>
          <w:rFonts w:hint="eastAsia" w:ascii="宋体" w:hAnsi="宋体" w:eastAsia="宋体" w:cs="宋体"/>
          <w:b w:val="0"/>
          <w:bCs w:val="0"/>
          <w:color w:val="000000" w:themeColor="text1"/>
          <w:sz w:val="28"/>
          <w:szCs w:val="28"/>
          <w:highlight w:val="none"/>
          <w14:textFill>
            <w14:solidFill>
              <w14:schemeClr w14:val="tx1"/>
            </w14:solidFill>
          </w14:textFill>
        </w:rPr>
        <w:fldChar w:fldCharType="separate"/>
      </w:r>
      <w:r>
        <w:rPr>
          <w:rFonts w:hint="eastAsia" w:ascii="宋体" w:hAnsi="宋体" w:eastAsia="宋体" w:cs="宋体"/>
          <w:b w:val="0"/>
          <w:bCs w:val="0"/>
          <w:color w:val="000000" w:themeColor="text1"/>
          <w:sz w:val="28"/>
          <w:szCs w:val="28"/>
          <w:highlight w:val="none"/>
          <w14:textFill>
            <w14:solidFill>
              <w14:schemeClr w14:val="tx1"/>
            </w14:solidFill>
          </w14:textFill>
        </w:rPr>
        <w:t>38</w:t>
      </w:r>
      <w:r>
        <w:rPr>
          <w:rFonts w:hint="eastAsia" w:ascii="宋体" w:hAnsi="宋体" w:eastAsia="宋体" w:cs="宋体"/>
          <w:b w:val="0"/>
          <w:bCs w:val="0"/>
          <w:color w:val="000000" w:themeColor="text1"/>
          <w:sz w:val="28"/>
          <w:szCs w:val="28"/>
          <w:highlight w:val="none"/>
          <w14:textFill>
            <w14:solidFill>
              <w14:schemeClr w14:val="tx1"/>
            </w14:solidFill>
          </w14:textFill>
        </w:rPr>
        <w:fldChar w:fldCharType="end"/>
      </w:r>
      <w:r>
        <w:rPr>
          <w:rFonts w:hint="eastAsia" w:ascii="宋体" w:hAnsi="宋体" w:eastAsia="宋体" w:cs="宋体"/>
          <w:b w:val="0"/>
          <w:bCs w:val="0"/>
          <w:caps/>
          <w:color w:val="000000" w:themeColor="text1"/>
          <w:sz w:val="28"/>
          <w:szCs w:val="28"/>
          <w:highlight w:val="none"/>
          <w14:textFill>
            <w14:solidFill>
              <w14:schemeClr w14:val="tx1"/>
            </w14:solidFill>
          </w14:textFill>
        </w:rPr>
        <w:fldChar w:fldCharType="end"/>
      </w:r>
    </w:p>
    <w:p w14:paraId="6A639670">
      <w:pPr>
        <w:pStyle w:val="24"/>
        <w:keepNext w:val="0"/>
        <w:keepLines w:val="0"/>
        <w:pageBreakBefore w:val="0"/>
        <w:widowControl w:val="0"/>
        <w:tabs>
          <w:tab w:val="right" w:leader="dot" w:pos="9638"/>
        </w:tabs>
        <w:kinsoku/>
        <w:wordWrap/>
        <w:overflowPunct/>
        <w:topLinePunct w:val="0"/>
        <w:autoSpaceDE/>
        <w:autoSpaceDN/>
        <w:bidi w:val="0"/>
        <w:adjustRightInd/>
        <w:snapToGrid/>
        <w:spacing w:before="0" w:after="0" w:line="560" w:lineRule="exact"/>
        <w:textAlignment w:val="auto"/>
        <w:rPr>
          <w:rFonts w:hint="eastAsia" w:ascii="宋体" w:hAnsi="宋体" w:eastAsia="宋体" w:cs="宋体"/>
          <w:b w:val="0"/>
          <w:bCs w:val="0"/>
          <w:color w:val="000000" w:themeColor="text1"/>
          <w:sz w:val="28"/>
          <w:szCs w:val="28"/>
          <w:highlight w:val="none"/>
          <w14:textFill>
            <w14:solidFill>
              <w14:schemeClr w14:val="tx1"/>
            </w14:solidFill>
          </w14:textFill>
        </w:rPr>
      </w:pPr>
      <w:r>
        <w:rPr>
          <w:rFonts w:hint="eastAsia" w:ascii="宋体" w:hAnsi="宋体" w:eastAsia="宋体" w:cs="宋体"/>
          <w:b w:val="0"/>
          <w:bCs w:val="0"/>
          <w:caps/>
          <w:color w:val="000000" w:themeColor="text1"/>
          <w:sz w:val="28"/>
          <w:szCs w:val="28"/>
          <w:highlight w:val="none"/>
          <w14:textFill>
            <w14:solidFill>
              <w14:schemeClr w14:val="tx1"/>
            </w14:solidFill>
          </w14:textFill>
        </w:rPr>
        <w:fldChar w:fldCharType="begin"/>
      </w:r>
      <w:r>
        <w:rPr>
          <w:rFonts w:hint="eastAsia" w:ascii="宋体" w:hAnsi="宋体" w:eastAsia="宋体" w:cs="宋体"/>
          <w:b w:val="0"/>
          <w:bCs w:val="0"/>
          <w:caps/>
          <w:color w:val="000000" w:themeColor="text1"/>
          <w:sz w:val="28"/>
          <w:szCs w:val="28"/>
          <w:highlight w:val="none"/>
          <w14:textFill>
            <w14:solidFill>
              <w14:schemeClr w14:val="tx1"/>
            </w14:solidFill>
          </w14:textFill>
        </w:rPr>
        <w:instrText xml:space="preserve"> HYPERLINK \l _Toc25374 </w:instrText>
      </w:r>
      <w:r>
        <w:rPr>
          <w:rFonts w:hint="eastAsia" w:ascii="宋体" w:hAnsi="宋体" w:eastAsia="宋体" w:cs="宋体"/>
          <w:b w:val="0"/>
          <w:bCs w:val="0"/>
          <w:caps/>
          <w:color w:val="000000" w:themeColor="text1"/>
          <w:sz w:val="28"/>
          <w:szCs w:val="28"/>
          <w:highlight w:val="none"/>
          <w14:textFill>
            <w14:solidFill>
              <w14:schemeClr w14:val="tx1"/>
            </w14:solidFill>
          </w14:textFill>
        </w:rPr>
        <w:fldChar w:fldCharType="separate"/>
      </w:r>
      <w:r>
        <w:rPr>
          <w:rFonts w:hint="eastAsia" w:ascii="宋体" w:hAnsi="宋体" w:eastAsia="宋体" w:cs="宋体"/>
          <w:b w:val="0"/>
          <w:bCs w:val="0"/>
          <w:color w:val="000000" w:themeColor="text1"/>
          <w:sz w:val="28"/>
          <w:szCs w:val="28"/>
          <w:highlight w:val="none"/>
          <w14:textFill>
            <w14:solidFill>
              <w14:schemeClr w14:val="tx1"/>
            </w14:solidFill>
          </w14:textFill>
        </w:rPr>
        <w:t>第四章  评标方法及评分标准</w:t>
      </w:r>
      <w:r>
        <w:rPr>
          <w:rFonts w:hint="eastAsia" w:ascii="宋体" w:hAnsi="宋体" w:eastAsia="宋体" w:cs="宋体"/>
          <w:b w:val="0"/>
          <w:bCs w:val="0"/>
          <w:color w:val="000000" w:themeColor="text1"/>
          <w:sz w:val="28"/>
          <w:szCs w:val="28"/>
          <w:highlight w:val="none"/>
          <w14:textFill>
            <w14:solidFill>
              <w14:schemeClr w14:val="tx1"/>
            </w14:solidFill>
          </w14:textFill>
        </w:rPr>
        <w:tab/>
      </w:r>
      <w:r>
        <w:rPr>
          <w:rFonts w:hint="eastAsia" w:ascii="宋体" w:hAnsi="宋体" w:eastAsia="宋体" w:cs="宋体"/>
          <w:b w:val="0"/>
          <w:bCs w:val="0"/>
          <w:color w:val="000000" w:themeColor="text1"/>
          <w:sz w:val="28"/>
          <w:szCs w:val="28"/>
          <w:highlight w:val="none"/>
          <w14:textFill>
            <w14:solidFill>
              <w14:schemeClr w14:val="tx1"/>
            </w14:solidFill>
          </w14:textFill>
        </w:rPr>
        <w:fldChar w:fldCharType="begin"/>
      </w:r>
      <w:r>
        <w:rPr>
          <w:rFonts w:hint="eastAsia" w:ascii="宋体" w:hAnsi="宋体" w:eastAsia="宋体" w:cs="宋体"/>
          <w:b w:val="0"/>
          <w:bCs w:val="0"/>
          <w:color w:val="000000" w:themeColor="text1"/>
          <w:sz w:val="28"/>
          <w:szCs w:val="28"/>
          <w:highlight w:val="none"/>
          <w14:textFill>
            <w14:solidFill>
              <w14:schemeClr w14:val="tx1"/>
            </w14:solidFill>
          </w14:textFill>
        </w:rPr>
        <w:instrText xml:space="preserve"> PAGEREF _Toc25374 \h </w:instrText>
      </w:r>
      <w:r>
        <w:rPr>
          <w:rFonts w:hint="eastAsia" w:ascii="宋体" w:hAnsi="宋体" w:eastAsia="宋体" w:cs="宋体"/>
          <w:b w:val="0"/>
          <w:bCs w:val="0"/>
          <w:color w:val="000000" w:themeColor="text1"/>
          <w:sz w:val="28"/>
          <w:szCs w:val="28"/>
          <w:highlight w:val="none"/>
          <w14:textFill>
            <w14:solidFill>
              <w14:schemeClr w14:val="tx1"/>
            </w14:solidFill>
          </w14:textFill>
        </w:rPr>
        <w:fldChar w:fldCharType="separate"/>
      </w:r>
      <w:r>
        <w:rPr>
          <w:rFonts w:hint="eastAsia" w:ascii="宋体" w:hAnsi="宋体" w:eastAsia="宋体" w:cs="宋体"/>
          <w:b w:val="0"/>
          <w:bCs w:val="0"/>
          <w:color w:val="000000" w:themeColor="text1"/>
          <w:sz w:val="28"/>
          <w:szCs w:val="28"/>
          <w:highlight w:val="none"/>
          <w14:textFill>
            <w14:solidFill>
              <w14:schemeClr w14:val="tx1"/>
            </w14:solidFill>
          </w14:textFill>
        </w:rPr>
        <w:t>40</w:t>
      </w:r>
      <w:r>
        <w:rPr>
          <w:rFonts w:hint="eastAsia" w:ascii="宋体" w:hAnsi="宋体" w:eastAsia="宋体" w:cs="宋体"/>
          <w:b w:val="0"/>
          <w:bCs w:val="0"/>
          <w:color w:val="000000" w:themeColor="text1"/>
          <w:sz w:val="28"/>
          <w:szCs w:val="28"/>
          <w:highlight w:val="none"/>
          <w14:textFill>
            <w14:solidFill>
              <w14:schemeClr w14:val="tx1"/>
            </w14:solidFill>
          </w14:textFill>
        </w:rPr>
        <w:fldChar w:fldCharType="end"/>
      </w:r>
      <w:r>
        <w:rPr>
          <w:rFonts w:hint="eastAsia" w:ascii="宋体" w:hAnsi="宋体" w:eastAsia="宋体" w:cs="宋体"/>
          <w:b w:val="0"/>
          <w:bCs w:val="0"/>
          <w:caps/>
          <w:color w:val="000000" w:themeColor="text1"/>
          <w:sz w:val="28"/>
          <w:szCs w:val="28"/>
          <w:highlight w:val="none"/>
          <w14:textFill>
            <w14:solidFill>
              <w14:schemeClr w14:val="tx1"/>
            </w14:solidFill>
          </w14:textFill>
        </w:rPr>
        <w:fldChar w:fldCharType="end"/>
      </w:r>
    </w:p>
    <w:p w14:paraId="11F60A55">
      <w:pPr>
        <w:pStyle w:val="24"/>
        <w:keepNext w:val="0"/>
        <w:keepLines w:val="0"/>
        <w:pageBreakBefore w:val="0"/>
        <w:widowControl w:val="0"/>
        <w:tabs>
          <w:tab w:val="right" w:leader="dot" w:pos="9638"/>
        </w:tabs>
        <w:kinsoku/>
        <w:wordWrap/>
        <w:overflowPunct/>
        <w:topLinePunct w:val="0"/>
        <w:autoSpaceDE/>
        <w:autoSpaceDN/>
        <w:bidi w:val="0"/>
        <w:adjustRightInd/>
        <w:snapToGrid/>
        <w:spacing w:before="0" w:after="0" w:line="560" w:lineRule="exact"/>
        <w:textAlignment w:val="auto"/>
        <w:rPr>
          <w:rFonts w:hint="eastAsia" w:ascii="宋体" w:hAnsi="宋体" w:eastAsia="宋体" w:cs="宋体"/>
          <w:b w:val="0"/>
          <w:bCs w:val="0"/>
          <w:color w:val="000000" w:themeColor="text1"/>
          <w:sz w:val="28"/>
          <w:szCs w:val="28"/>
          <w:highlight w:val="none"/>
          <w14:textFill>
            <w14:solidFill>
              <w14:schemeClr w14:val="tx1"/>
            </w14:solidFill>
          </w14:textFill>
        </w:rPr>
      </w:pPr>
      <w:r>
        <w:rPr>
          <w:rFonts w:hint="eastAsia" w:ascii="宋体" w:hAnsi="宋体" w:eastAsia="宋体" w:cs="宋体"/>
          <w:b w:val="0"/>
          <w:bCs w:val="0"/>
          <w:caps/>
          <w:color w:val="000000" w:themeColor="text1"/>
          <w:sz w:val="28"/>
          <w:szCs w:val="28"/>
          <w:highlight w:val="none"/>
          <w14:textFill>
            <w14:solidFill>
              <w14:schemeClr w14:val="tx1"/>
            </w14:solidFill>
          </w14:textFill>
        </w:rPr>
        <w:fldChar w:fldCharType="begin"/>
      </w:r>
      <w:r>
        <w:rPr>
          <w:rFonts w:hint="eastAsia" w:ascii="宋体" w:hAnsi="宋体" w:eastAsia="宋体" w:cs="宋体"/>
          <w:b w:val="0"/>
          <w:bCs w:val="0"/>
          <w:caps/>
          <w:color w:val="000000" w:themeColor="text1"/>
          <w:sz w:val="28"/>
          <w:szCs w:val="28"/>
          <w:highlight w:val="none"/>
          <w14:textFill>
            <w14:solidFill>
              <w14:schemeClr w14:val="tx1"/>
            </w14:solidFill>
          </w14:textFill>
        </w:rPr>
        <w:instrText xml:space="preserve"> HYPERLINK \l _Toc28798 </w:instrText>
      </w:r>
      <w:r>
        <w:rPr>
          <w:rFonts w:hint="eastAsia" w:ascii="宋体" w:hAnsi="宋体" w:eastAsia="宋体" w:cs="宋体"/>
          <w:b w:val="0"/>
          <w:bCs w:val="0"/>
          <w:caps/>
          <w:color w:val="000000" w:themeColor="text1"/>
          <w:sz w:val="28"/>
          <w:szCs w:val="28"/>
          <w:highlight w:val="none"/>
          <w14:textFill>
            <w14:solidFill>
              <w14:schemeClr w14:val="tx1"/>
            </w14:solidFill>
          </w14:textFill>
        </w:rPr>
        <w:fldChar w:fldCharType="separate"/>
      </w:r>
      <w:r>
        <w:rPr>
          <w:rFonts w:hint="eastAsia" w:ascii="宋体" w:hAnsi="宋体" w:eastAsia="宋体" w:cs="宋体"/>
          <w:b w:val="0"/>
          <w:bCs w:val="0"/>
          <w:color w:val="000000" w:themeColor="text1"/>
          <w:sz w:val="28"/>
          <w:szCs w:val="28"/>
          <w:highlight w:val="none"/>
          <w14:textFill>
            <w14:solidFill>
              <w14:schemeClr w14:val="tx1"/>
            </w14:solidFill>
          </w14:textFill>
        </w:rPr>
        <w:t>第五章 拟签订的合同文本</w:t>
      </w:r>
      <w:r>
        <w:rPr>
          <w:rFonts w:hint="eastAsia" w:ascii="宋体" w:hAnsi="宋体" w:eastAsia="宋体" w:cs="宋体"/>
          <w:b w:val="0"/>
          <w:bCs w:val="0"/>
          <w:color w:val="000000" w:themeColor="text1"/>
          <w:sz w:val="28"/>
          <w:szCs w:val="28"/>
          <w:highlight w:val="none"/>
          <w14:textFill>
            <w14:solidFill>
              <w14:schemeClr w14:val="tx1"/>
            </w14:solidFill>
          </w14:textFill>
        </w:rPr>
        <w:tab/>
      </w:r>
      <w:r>
        <w:rPr>
          <w:rFonts w:hint="eastAsia" w:ascii="宋体" w:hAnsi="宋体" w:eastAsia="宋体" w:cs="宋体"/>
          <w:b w:val="0"/>
          <w:bCs w:val="0"/>
          <w:color w:val="000000" w:themeColor="text1"/>
          <w:sz w:val="28"/>
          <w:szCs w:val="28"/>
          <w:highlight w:val="none"/>
          <w14:textFill>
            <w14:solidFill>
              <w14:schemeClr w14:val="tx1"/>
            </w14:solidFill>
          </w14:textFill>
        </w:rPr>
        <w:fldChar w:fldCharType="begin"/>
      </w:r>
      <w:r>
        <w:rPr>
          <w:rFonts w:hint="eastAsia" w:ascii="宋体" w:hAnsi="宋体" w:eastAsia="宋体" w:cs="宋体"/>
          <w:b w:val="0"/>
          <w:bCs w:val="0"/>
          <w:color w:val="000000" w:themeColor="text1"/>
          <w:sz w:val="28"/>
          <w:szCs w:val="28"/>
          <w:highlight w:val="none"/>
          <w14:textFill>
            <w14:solidFill>
              <w14:schemeClr w14:val="tx1"/>
            </w14:solidFill>
          </w14:textFill>
        </w:rPr>
        <w:instrText xml:space="preserve"> PAGEREF _Toc28798 \h </w:instrText>
      </w:r>
      <w:r>
        <w:rPr>
          <w:rFonts w:hint="eastAsia" w:ascii="宋体" w:hAnsi="宋体" w:eastAsia="宋体" w:cs="宋体"/>
          <w:b w:val="0"/>
          <w:bCs w:val="0"/>
          <w:color w:val="000000" w:themeColor="text1"/>
          <w:sz w:val="28"/>
          <w:szCs w:val="28"/>
          <w:highlight w:val="none"/>
          <w14:textFill>
            <w14:solidFill>
              <w14:schemeClr w14:val="tx1"/>
            </w14:solidFill>
          </w14:textFill>
        </w:rPr>
        <w:fldChar w:fldCharType="separate"/>
      </w:r>
      <w:r>
        <w:rPr>
          <w:rFonts w:hint="eastAsia" w:ascii="宋体" w:hAnsi="宋体" w:eastAsia="宋体" w:cs="宋体"/>
          <w:b w:val="0"/>
          <w:bCs w:val="0"/>
          <w:color w:val="000000" w:themeColor="text1"/>
          <w:sz w:val="28"/>
          <w:szCs w:val="28"/>
          <w:highlight w:val="none"/>
          <w14:textFill>
            <w14:solidFill>
              <w14:schemeClr w14:val="tx1"/>
            </w14:solidFill>
          </w14:textFill>
        </w:rPr>
        <w:t>51</w:t>
      </w:r>
      <w:r>
        <w:rPr>
          <w:rFonts w:hint="eastAsia" w:ascii="宋体" w:hAnsi="宋体" w:eastAsia="宋体" w:cs="宋体"/>
          <w:b w:val="0"/>
          <w:bCs w:val="0"/>
          <w:color w:val="000000" w:themeColor="text1"/>
          <w:sz w:val="28"/>
          <w:szCs w:val="28"/>
          <w:highlight w:val="none"/>
          <w14:textFill>
            <w14:solidFill>
              <w14:schemeClr w14:val="tx1"/>
            </w14:solidFill>
          </w14:textFill>
        </w:rPr>
        <w:fldChar w:fldCharType="end"/>
      </w:r>
      <w:r>
        <w:rPr>
          <w:rFonts w:hint="eastAsia" w:ascii="宋体" w:hAnsi="宋体" w:eastAsia="宋体" w:cs="宋体"/>
          <w:b w:val="0"/>
          <w:bCs w:val="0"/>
          <w:caps/>
          <w:color w:val="000000" w:themeColor="text1"/>
          <w:sz w:val="28"/>
          <w:szCs w:val="28"/>
          <w:highlight w:val="none"/>
          <w14:textFill>
            <w14:solidFill>
              <w14:schemeClr w14:val="tx1"/>
            </w14:solidFill>
          </w14:textFill>
        </w:rPr>
        <w:fldChar w:fldCharType="end"/>
      </w:r>
    </w:p>
    <w:p w14:paraId="5DF80570">
      <w:pPr>
        <w:pStyle w:val="24"/>
        <w:keepNext w:val="0"/>
        <w:keepLines w:val="0"/>
        <w:pageBreakBefore w:val="0"/>
        <w:widowControl w:val="0"/>
        <w:tabs>
          <w:tab w:val="right" w:leader="dot" w:pos="9638"/>
        </w:tabs>
        <w:kinsoku/>
        <w:wordWrap/>
        <w:overflowPunct/>
        <w:topLinePunct w:val="0"/>
        <w:autoSpaceDE/>
        <w:autoSpaceDN/>
        <w:bidi w:val="0"/>
        <w:adjustRightInd/>
        <w:snapToGrid/>
        <w:spacing w:before="0" w:after="0" w:line="560" w:lineRule="exact"/>
        <w:textAlignment w:val="auto"/>
        <w:rPr>
          <w:rFonts w:hint="eastAsia" w:ascii="宋体" w:hAnsi="宋体" w:eastAsia="宋体" w:cs="宋体"/>
          <w:b w:val="0"/>
          <w:bCs w:val="0"/>
          <w:color w:val="000000" w:themeColor="text1"/>
          <w:sz w:val="28"/>
          <w:szCs w:val="28"/>
          <w:highlight w:val="none"/>
          <w14:textFill>
            <w14:solidFill>
              <w14:schemeClr w14:val="tx1"/>
            </w14:solidFill>
          </w14:textFill>
        </w:rPr>
      </w:pPr>
      <w:r>
        <w:rPr>
          <w:rFonts w:hint="eastAsia" w:ascii="宋体" w:hAnsi="宋体" w:eastAsia="宋体" w:cs="宋体"/>
          <w:b w:val="0"/>
          <w:bCs w:val="0"/>
          <w:caps/>
          <w:color w:val="000000" w:themeColor="text1"/>
          <w:sz w:val="28"/>
          <w:szCs w:val="28"/>
          <w:highlight w:val="none"/>
          <w14:textFill>
            <w14:solidFill>
              <w14:schemeClr w14:val="tx1"/>
            </w14:solidFill>
          </w14:textFill>
        </w:rPr>
        <w:fldChar w:fldCharType="begin"/>
      </w:r>
      <w:r>
        <w:rPr>
          <w:rFonts w:hint="eastAsia" w:ascii="宋体" w:hAnsi="宋体" w:eastAsia="宋体" w:cs="宋体"/>
          <w:b w:val="0"/>
          <w:bCs w:val="0"/>
          <w:caps/>
          <w:color w:val="000000" w:themeColor="text1"/>
          <w:sz w:val="28"/>
          <w:szCs w:val="28"/>
          <w:highlight w:val="none"/>
          <w14:textFill>
            <w14:solidFill>
              <w14:schemeClr w14:val="tx1"/>
            </w14:solidFill>
          </w14:textFill>
        </w:rPr>
        <w:instrText xml:space="preserve"> HYPERLINK \l _Toc14746 </w:instrText>
      </w:r>
      <w:r>
        <w:rPr>
          <w:rFonts w:hint="eastAsia" w:ascii="宋体" w:hAnsi="宋体" w:eastAsia="宋体" w:cs="宋体"/>
          <w:b w:val="0"/>
          <w:bCs w:val="0"/>
          <w:caps/>
          <w:color w:val="000000" w:themeColor="text1"/>
          <w:sz w:val="28"/>
          <w:szCs w:val="28"/>
          <w:highlight w:val="none"/>
          <w14:textFill>
            <w14:solidFill>
              <w14:schemeClr w14:val="tx1"/>
            </w14:solidFill>
          </w14:textFill>
        </w:rPr>
        <w:fldChar w:fldCharType="separate"/>
      </w:r>
      <w:r>
        <w:rPr>
          <w:rFonts w:hint="eastAsia" w:ascii="宋体" w:hAnsi="宋体" w:eastAsia="宋体" w:cs="宋体"/>
          <w:b w:val="0"/>
          <w:bCs w:val="0"/>
          <w:color w:val="000000" w:themeColor="text1"/>
          <w:sz w:val="28"/>
          <w:szCs w:val="28"/>
          <w:highlight w:val="none"/>
          <w14:textFill>
            <w14:solidFill>
              <w14:schemeClr w14:val="tx1"/>
            </w14:solidFill>
          </w14:textFill>
        </w:rPr>
        <w:t xml:space="preserve">第六章 </w:t>
      </w:r>
      <w:r>
        <w:rPr>
          <w:rFonts w:hint="eastAsia" w:ascii="宋体" w:hAnsi="宋体" w:eastAsia="宋体" w:cs="宋体"/>
          <w:b w:val="0"/>
          <w:bCs w:val="0"/>
          <w:color w:val="000000" w:themeColor="text1"/>
          <w:sz w:val="28"/>
          <w:szCs w:val="28"/>
          <w:highlight w:val="non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highlight w:val="none"/>
          <w14:textFill>
            <w14:solidFill>
              <w14:schemeClr w14:val="tx1"/>
            </w14:solidFill>
          </w14:textFill>
        </w:rPr>
        <w:t>投标文件格式</w:t>
      </w:r>
      <w:r>
        <w:rPr>
          <w:rFonts w:hint="eastAsia" w:ascii="宋体" w:hAnsi="宋体" w:eastAsia="宋体" w:cs="宋体"/>
          <w:b w:val="0"/>
          <w:bCs w:val="0"/>
          <w:color w:val="000000" w:themeColor="text1"/>
          <w:sz w:val="28"/>
          <w:szCs w:val="28"/>
          <w:highlight w:val="none"/>
          <w14:textFill>
            <w14:solidFill>
              <w14:schemeClr w14:val="tx1"/>
            </w14:solidFill>
          </w14:textFill>
        </w:rPr>
        <w:tab/>
      </w:r>
      <w:r>
        <w:rPr>
          <w:rFonts w:hint="eastAsia" w:ascii="宋体" w:hAnsi="宋体" w:eastAsia="宋体" w:cs="宋体"/>
          <w:b w:val="0"/>
          <w:bCs w:val="0"/>
          <w:color w:val="000000" w:themeColor="text1"/>
          <w:sz w:val="28"/>
          <w:szCs w:val="28"/>
          <w:highlight w:val="none"/>
          <w14:textFill>
            <w14:solidFill>
              <w14:schemeClr w14:val="tx1"/>
            </w14:solidFill>
          </w14:textFill>
        </w:rPr>
        <w:fldChar w:fldCharType="begin"/>
      </w:r>
      <w:r>
        <w:rPr>
          <w:rFonts w:hint="eastAsia" w:ascii="宋体" w:hAnsi="宋体" w:eastAsia="宋体" w:cs="宋体"/>
          <w:b w:val="0"/>
          <w:bCs w:val="0"/>
          <w:color w:val="000000" w:themeColor="text1"/>
          <w:sz w:val="28"/>
          <w:szCs w:val="28"/>
          <w:highlight w:val="none"/>
          <w14:textFill>
            <w14:solidFill>
              <w14:schemeClr w14:val="tx1"/>
            </w14:solidFill>
          </w14:textFill>
        </w:rPr>
        <w:instrText xml:space="preserve"> PAGEREF _Toc14746 \h </w:instrText>
      </w:r>
      <w:r>
        <w:rPr>
          <w:rFonts w:hint="eastAsia" w:ascii="宋体" w:hAnsi="宋体" w:eastAsia="宋体" w:cs="宋体"/>
          <w:b w:val="0"/>
          <w:bCs w:val="0"/>
          <w:color w:val="000000" w:themeColor="text1"/>
          <w:sz w:val="28"/>
          <w:szCs w:val="28"/>
          <w:highlight w:val="none"/>
          <w14:textFill>
            <w14:solidFill>
              <w14:schemeClr w14:val="tx1"/>
            </w14:solidFill>
          </w14:textFill>
        </w:rPr>
        <w:fldChar w:fldCharType="separate"/>
      </w:r>
      <w:r>
        <w:rPr>
          <w:rFonts w:hint="eastAsia" w:ascii="宋体" w:hAnsi="宋体" w:eastAsia="宋体" w:cs="宋体"/>
          <w:b w:val="0"/>
          <w:bCs w:val="0"/>
          <w:color w:val="000000" w:themeColor="text1"/>
          <w:sz w:val="28"/>
          <w:szCs w:val="28"/>
          <w:highlight w:val="none"/>
          <w14:textFill>
            <w14:solidFill>
              <w14:schemeClr w14:val="tx1"/>
            </w14:solidFill>
          </w14:textFill>
        </w:rPr>
        <w:t>72</w:t>
      </w:r>
      <w:r>
        <w:rPr>
          <w:rFonts w:hint="eastAsia" w:ascii="宋体" w:hAnsi="宋体" w:eastAsia="宋体" w:cs="宋体"/>
          <w:b w:val="0"/>
          <w:bCs w:val="0"/>
          <w:color w:val="000000" w:themeColor="text1"/>
          <w:sz w:val="28"/>
          <w:szCs w:val="28"/>
          <w:highlight w:val="none"/>
          <w14:textFill>
            <w14:solidFill>
              <w14:schemeClr w14:val="tx1"/>
            </w14:solidFill>
          </w14:textFill>
        </w:rPr>
        <w:fldChar w:fldCharType="end"/>
      </w:r>
      <w:r>
        <w:rPr>
          <w:rFonts w:hint="eastAsia" w:ascii="宋体" w:hAnsi="宋体" w:eastAsia="宋体" w:cs="宋体"/>
          <w:b w:val="0"/>
          <w:bCs w:val="0"/>
          <w:caps/>
          <w:color w:val="000000" w:themeColor="text1"/>
          <w:sz w:val="28"/>
          <w:szCs w:val="28"/>
          <w:highlight w:val="none"/>
          <w14:textFill>
            <w14:solidFill>
              <w14:schemeClr w14:val="tx1"/>
            </w14:solidFill>
          </w14:textFill>
        </w:rPr>
        <w:fldChar w:fldCharType="end"/>
      </w:r>
    </w:p>
    <w:p w14:paraId="2194349A">
      <w:pPr>
        <w:pStyle w:val="24"/>
        <w:keepNext w:val="0"/>
        <w:keepLines w:val="0"/>
        <w:pageBreakBefore w:val="0"/>
        <w:widowControl w:val="0"/>
        <w:tabs>
          <w:tab w:val="right" w:leader="dot" w:pos="9638"/>
        </w:tabs>
        <w:kinsoku/>
        <w:wordWrap/>
        <w:overflowPunct/>
        <w:topLinePunct w:val="0"/>
        <w:autoSpaceDE/>
        <w:autoSpaceDN/>
        <w:bidi w:val="0"/>
        <w:adjustRightInd/>
        <w:snapToGrid/>
        <w:spacing w:before="0" w:after="0" w:line="560" w:lineRule="exact"/>
        <w:textAlignment w:val="auto"/>
        <w:rPr>
          <w:rFonts w:hint="eastAsia" w:ascii="宋体" w:hAnsi="宋体" w:eastAsia="宋体" w:cs="宋体"/>
          <w:b w:val="0"/>
          <w:bCs w:val="0"/>
          <w:color w:val="000000" w:themeColor="text1"/>
          <w:sz w:val="28"/>
          <w:szCs w:val="28"/>
          <w:highlight w:val="none"/>
          <w14:textFill>
            <w14:solidFill>
              <w14:schemeClr w14:val="tx1"/>
            </w14:solidFill>
          </w14:textFill>
        </w:rPr>
      </w:pPr>
      <w:r>
        <w:rPr>
          <w:rFonts w:hint="eastAsia" w:ascii="宋体" w:hAnsi="宋体" w:eastAsia="宋体" w:cs="宋体"/>
          <w:b w:val="0"/>
          <w:bCs w:val="0"/>
          <w:caps/>
          <w:color w:val="000000" w:themeColor="text1"/>
          <w:sz w:val="28"/>
          <w:szCs w:val="28"/>
          <w:highlight w:val="none"/>
          <w14:textFill>
            <w14:solidFill>
              <w14:schemeClr w14:val="tx1"/>
            </w14:solidFill>
          </w14:textFill>
        </w:rPr>
        <w:fldChar w:fldCharType="begin"/>
      </w:r>
      <w:r>
        <w:rPr>
          <w:rFonts w:hint="eastAsia" w:ascii="宋体" w:hAnsi="宋体" w:eastAsia="宋体" w:cs="宋体"/>
          <w:b w:val="0"/>
          <w:bCs w:val="0"/>
          <w:caps/>
          <w:color w:val="000000" w:themeColor="text1"/>
          <w:sz w:val="28"/>
          <w:szCs w:val="28"/>
          <w:highlight w:val="none"/>
          <w14:textFill>
            <w14:solidFill>
              <w14:schemeClr w14:val="tx1"/>
            </w14:solidFill>
          </w14:textFill>
        </w:rPr>
        <w:instrText xml:space="preserve"> HYPERLINK \l _Toc24257 </w:instrText>
      </w:r>
      <w:r>
        <w:rPr>
          <w:rFonts w:hint="eastAsia" w:ascii="宋体" w:hAnsi="宋体" w:eastAsia="宋体" w:cs="宋体"/>
          <w:b w:val="0"/>
          <w:bCs w:val="0"/>
          <w:caps/>
          <w:color w:val="000000" w:themeColor="text1"/>
          <w:sz w:val="28"/>
          <w:szCs w:val="28"/>
          <w:highlight w:val="none"/>
          <w14:textFill>
            <w14:solidFill>
              <w14:schemeClr w14:val="tx1"/>
            </w14:solidFill>
          </w14:textFill>
        </w:rPr>
        <w:fldChar w:fldCharType="separate"/>
      </w:r>
      <w:r>
        <w:rPr>
          <w:rFonts w:hint="eastAsia" w:ascii="宋体" w:hAnsi="宋体" w:eastAsia="宋体" w:cs="宋体"/>
          <w:b w:val="0"/>
          <w:bCs w:val="0"/>
          <w:color w:val="000000" w:themeColor="text1"/>
          <w:sz w:val="28"/>
          <w:szCs w:val="28"/>
          <w:highlight w:val="none"/>
          <w14:textFill>
            <w14:solidFill>
              <w14:schemeClr w14:val="tx1"/>
            </w14:solidFill>
          </w14:textFill>
        </w:rPr>
        <w:t xml:space="preserve">第七章 </w:t>
      </w:r>
      <w:r>
        <w:rPr>
          <w:rFonts w:hint="eastAsia" w:ascii="宋体" w:hAnsi="宋体" w:eastAsia="宋体" w:cs="宋体"/>
          <w:b w:val="0"/>
          <w:bCs w:val="0"/>
          <w:color w:val="000000" w:themeColor="text1"/>
          <w:sz w:val="28"/>
          <w:szCs w:val="28"/>
          <w:highlight w:val="non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highlight w:val="none"/>
          <w14:textFill>
            <w14:solidFill>
              <w14:schemeClr w14:val="tx1"/>
            </w14:solidFill>
          </w14:textFill>
        </w:rPr>
        <w:t>质疑、投诉证明材料格式</w:t>
      </w:r>
      <w:r>
        <w:rPr>
          <w:rFonts w:hint="eastAsia" w:ascii="宋体" w:hAnsi="宋体" w:eastAsia="宋体" w:cs="宋体"/>
          <w:b w:val="0"/>
          <w:bCs w:val="0"/>
          <w:color w:val="000000" w:themeColor="text1"/>
          <w:sz w:val="28"/>
          <w:szCs w:val="28"/>
          <w:highlight w:val="none"/>
          <w14:textFill>
            <w14:solidFill>
              <w14:schemeClr w14:val="tx1"/>
            </w14:solidFill>
          </w14:textFill>
        </w:rPr>
        <w:tab/>
      </w:r>
      <w:r>
        <w:rPr>
          <w:rFonts w:hint="eastAsia" w:ascii="宋体" w:hAnsi="宋体" w:eastAsia="宋体" w:cs="宋体"/>
          <w:b w:val="0"/>
          <w:bCs w:val="0"/>
          <w:color w:val="000000" w:themeColor="text1"/>
          <w:sz w:val="28"/>
          <w:szCs w:val="28"/>
          <w:highlight w:val="none"/>
          <w14:textFill>
            <w14:solidFill>
              <w14:schemeClr w14:val="tx1"/>
            </w14:solidFill>
          </w14:textFill>
        </w:rPr>
        <w:fldChar w:fldCharType="begin"/>
      </w:r>
      <w:r>
        <w:rPr>
          <w:rFonts w:hint="eastAsia" w:ascii="宋体" w:hAnsi="宋体" w:eastAsia="宋体" w:cs="宋体"/>
          <w:b w:val="0"/>
          <w:bCs w:val="0"/>
          <w:color w:val="000000" w:themeColor="text1"/>
          <w:sz w:val="28"/>
          <w:szCs w:val="28"/>
          <w:highlight w:val="none"/>
          <w14:textFill>
            <w14:solidFill>
              <w14:schemeClr w14:val="tx1"/>
            </w14:solidFill>
          </w14:textFill>
        </w:rPr>
        <w:instrText xml:space="preserve"> PAGEREF _Toc24257 \h </w:instrText>
      </w:r>
      <w:r>
        <w:rPr>
          <w:rFonts w:hint="eastAsia" w:ascii="宋体" w:hAnsi="宋体" w:eastAsia="宋体" w:cs="宋体"/>
          <w:b w:val="0"/>
          <w:bCs w:val="0"/>
          <w:color w:val="000000" w:themeColor="text1"/>
          <w:sz w:val="28"/>
          <w:szCs w:val="28"/>
          <w:highlight w:val="none"/>
          <w14:textFill>
            <w14:solidFill>
              <w14:schemeClr w14:val="tx1"/>
            </w14:solidFill>
          </w14:textFill>
        </w:rPr>
        <w:fldChar w:fldCharType="separate"/>
      </w:r>
      <w:r>
        <w:rPr>
          <w:rFonts w:hint="eastAsia" w:ascii="宋体" w:hAnsi="宋体" w:eastAsia="宋体" w:cs="宋体"/>
          <w:b w:val="0"/>
          <w:bCs w:val="0"/>
          <w:color w:val="000000" w:themeColor="text1"/>
          <w:sz w:val="28"/>
          <w:szCs w:val="28"/>
          <w:highlight w:val="none"/>
          <w14:textFill>
            <w14:solidFill>
              <w14:schemeClr w14:val="tx1"/>
            </w14:solidFill>
          </w14:textFill>
        </w:rPr>
        <w:t>106</w:t>
      </w:r>
      <w:r>
        <w:rPr>
          <w:rFonts w:hint="eastAsia" w:ascii="宋体" w:hAnsi="宋体" w:eastAsia="宋体" w:cs="宋体"/>
          <w:b w:val="0"/>
          <w:bCs w:val="0"/>
          <w:color w:val="000000" w:themeColor="text1"/>
          <w:sz w:val="28"/>
          <w:szCs w:val="28"/>
          <w:highlight w:val="none"/>
          <w14:textFill>
            <w14:solidFill>
              <w14:schemeClr w14:val="tx1"/>
            </w14:solidFill>
          </w14:textFill>
        </w:rPr>
        <w:fldChar w:fldCharType="end"/>
      </w:r>
      <w:r>
        <w:rPr>
          <w:rFonts w:hint="eastAsia" w:ascii="宋体" w:hAnsi="宋体" w:eastAsia="宋体" w:cs="宋体"/>
          <w:b w:val="0"/>
          <w:bCs w:val="0"/>
          <w:caps/>
          <w:color w:val="000000" w:themeColor="text1"/>
          <w:sz w:val="28"/>
          <w:szCs w:val="28"/>
          <w:highlight w:val="none"/>
          <w14:textFill>
            <w14:solidFill>
              <w14:schemeClr w14:val="tx1"/>
            </w14:solidFill>
          </w14:textFill>
        </w:rPr>
        <w:fldChar w:fldCharType="end"/>
      </w:r>
    </w:p>
    <w:p w14:paraId="00BC5312">
      <w:pPr>
        <w:pStyle w:val="17"/>
        <w:keepNext w:val="0"/>
        <w:keepLines w:val="0"/>
        <w:pageBreakBefore w:val="0"/>
        <w:widowControl w:val="0"/>
        <w:kinsoku/>
        <w:wordWrap/>
        <w:overflowPunct/>
        <w:topLinePunct w:val="0"/>
        <w:autoSpaceDE/>
        <w:autoSpaceDN/>
        <w:bidi w:val="0"/>
        <w:adjustRightInd/>
        <w:snapToGrid/>
        <w:spacing w:line="560" w:lineRule="exact"/>
        <w:textAlignment w:val="auto"/>
        <w:rPr>
          <w:color w:val="000000" w:themeColor="text1"/>
          <w:highlight w:val="none"/>
          <w14:textFill>
            <w14:solidFill>
              <w14:schemeClr w14:val="tx1"/>
            </w14:solidFill>
          </w14:textFill>
        </w:rPr>
        <w:sectPr>
          <w:footerReference r:id="rId38" w:type="default"/>
          <w:pgSz w:w="11906" w:h="16838"/>
          <w:pgMar w:top="1134" w:right="1134" w:bottom="1134" w:left="1134" w:header="720" w:footer="720" w:gutter="0"/>
          <w:pgNumType w:start="1"/>
          <w:cols w:space="720" w:num="1"/>
          <w:docGrid w:type="lines" w:linePitch="331" w:charSpace="0"/>
        </w:sectPr>
      </w:pPr>
      <w:r>
        <w:rPr>
          <w:rFonts w:hint="eastAsia" w:ascii="宋体" w:hAnsi="宋体" w:eastAsia="宋体" w:cs="宋体"/>
          <w:b w:val="0"/>
          <w:bCs w:val="0"/>
          <w:caps/>
          <w:color w:val="000000" w:themeColor="text1"/>
          <w:sz w:val="28"/>
          <w:szCs w:val="28"/>
          <w:highlight w:val="none"/>
          <w14:textFill>
            <w14:solidFill>
              <w14:schemeClr w14:val="tx1"/>
            </w14:solidFill>
          </w14:textFill>
        </w:rPr>
        <w:fldChar w:fldCharType="end"/>
      </w:r>
      <w:r>
        <w:rPr>
          <w:rFonts w:hint="eastAsia"/>
          <w:color w:val="000000" w:themeColor="text1"/>
          <w:highlight w:val="none"/>
          <w14:textFill>
            <w14:solidFill>
              <w14:schemeClr w14:val="tx1"/>
            </w14:solidFill>
          </w14:textFill>
        </w:rPr>
        <w:tab/>
      </w:r>
    </w:p>
    <w:p w14:paraId="5793EE20">
      <w:pPr>
        <w:pStyle w:val="31"/>
        <w:pageBreakBefore w:val="0"/>
        <w:widowControl w:val="0"/>
        <w:kinsoku/>
        <w:wordWrap/>
        <w:overflowPunct/>
        <w:topLinePunct w:val="0"/>
        <w:autoSpaceDE/>
        <w:autoSpaceDN/>
        <w:bidi w:val="0"/>
        <w:adjustRightInd/>
        <w:snapToGrid/>
        <w:spacing w:before="0" w:after="0" w:line="560" w:lineRule="exact"/>
        <w:ind w:left="0" w:leftChars="0"/>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第一章  招标公告</w:t>
      </w:r>
    </w:p>
    <w:p w14:paraId="36501957">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560" w:lineRule="exact"/>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项目概况</w:t>
      </w:r>
    </w:p>
    <w:p w14:paraId="3E3F80E3">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560" w:lineRule="exact"/>
        <w:ind w:left="0" w:leftChars="0" w:firstLine="562" w:firstLineChars="200"/>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cs="宋体"/>
          <w:b/>
          <w:bCs/>
          <w:color w:val="000000" w:themeColor="text1"/>
          <w:sz w:val="28"/>
          <w:szCs w:val="28"/>
          <w:highlight w:val="none"/>
          <w:u w:val="single"/>
          <w:lang w:eastAsia="zh-CN"/>
          <w14:textFill>
            <w14:solidFill>
              <w14:schemeClr w14:val="tx1"/>
            </w14:solidFill>
          </w14:textFill>
        </w:rPr>
        <w:t>哈密市中心医院2025年医疗设备购置项目（第一批）（二次）（</w:t>
      </w:r>
      <w:r>
        <w:rPr>
          <w:rFonts w:hint="eastAsia" w:ascii="宋体" w:hAnsi="宋体" w:eastAsia="宋体" w:cs="宋体"/>
          <w:color w:val="000000" w:themeColor="text1"/>
          <w:sz w:val="28"/>
          <w:szCs w:val="28"/>
          <w:highlight w:val="none"/>
          <w14:textFill>
            <w14:solidFill>
              <w14:schemeClr w14:val="tx1"/>
            </w14:solidFill>
          </w14:textFill>
        </w:rPr>
        <w:t>采购项目的潜在供应商应在</w:t>
      </w:r>
      <w:r>
        <w:rPr>
          <w:rFonts w:hint="eastAsia" w:ascii="宋体" w:hAnsi="宋体" w:eastAsia="宋体" w:cs="宋体"/>
          <w:color w:val="000000" w:themeColor="text1"/>
          <w:sz w:val="28"/>
          <w:szCs w:val="28"/>
          <w:highlight w:val="none"/>
          <w:u w:val="single"/>
          <w14:textFill>
            <w14:solidFill>
              <w14:schemeClr w14:val="tx1"/>
            </w14:solidFill>
          </w14:textFill>
        </w:rPr>
        <w:t>新疆政府采购网（http://www.ccgp-xinjiang.gov.cn）</w:t>
      </w:r>
      <w:r>
        <w:rPr>
          <w:rFonts w:hint="eastAsia" w:ascii="宋体" w:hAnsi="宋体" w:eastAsia="宋体" w:cs="宋体"/>
          <w:color w:val="000000" w:themeColor="text1"/>
          <w:sz w:val="28"/>
          <w:szCs w:val="28"/>
          <w:highlight w:val="none"/>
          <w14:textFill>
            <w14:solidFill>
              <w14:schemeClr w14:val="tx1"/>
            </w14:solidFill>
          </w14:textFill>
        </w:rPr>
        <w:t>政采云平台线上获取采购文件，并于</w:t>
      </w:r>
      <w:r>
        <w:rPr>
          <w:rFonts w:hint="eastAsia" w:ascii="宋体" w:hAnsi="宋体" w:eastAsia="宋体" w:cs="宋体"/>
          <w:b/>
          <w:bCs/>
          <w:color w:val="000000" w:themeColor="text1"/>
          <w:sz w:val="28"/>
          <w:szCs w:val="28"/>
          <w:highlight w:val="none"/>
          <w:u w:val="single"/>
          <w14:textFill>
            <w14:solidFill>
              <w14:schemeClr w14:val="tx1"/>
            </w14:solidFill>
          </w14:textFill>
        </w:rPr>
        <w:t>202</w:t>
      </w:r>
      <w:r>
        <w:rPr>
          <w:rFonts w:hint="eastAsia" w:ascii="宋体" w:hAnsi="宋体" w:cs="宋体"/>
          <w:b/>
          <w:bCs/>
          <w:color w:val="000000" w:themeColor="text1"/>
          <w:sz w:val="28"/>
          <w:szCs w:val="28"/>
          <w:highlight w:val="none"/>
          <w:u w:val="single"/>
          <w:lang w:val="en-US" w:eastAsia="zh-CN"/>
          <w14:textFill>
            <w14:solidFill>
              <w14:schemeClr w14:val="tx1"/>
            </w14:solidFill>
          </w14:textFill>
        </w:rPr>
        <w:t>5</w:t>
      </w:r>
      <w:r>
        <w:rPr>
          <w:rFonts w:hint="eastAsia" w:ascii="宋体" w:hAnsi="宋体" w:eastAsia="宋体" w:cs="宋体"/>
          <w:b/>
          <w:bCs/>
          <w:color w:val="000000" w:themeColor="text1"/>
          <w:sz w:val="28"/>
          <w:szCs w:val="28"/>
          <w:highlight w:val="none"/>
          <w:u w:val="single"/>
          <w14:textFill>
            <w14:solidFill>
              <w14:schemeClr w14:val="tx1"/>
            </w14:solidFill>
          </w14:textFill>
        </w:rPr>
        <w:t>年</w:t>
      </w:r>
      <w:r>
        <w:rPr>
          <w:rFonts w:hint="eastAsia" w:ascii="宋体" w:hAnsi="宋体" w:cs="宋体"/>
          <w:b/>
          <w:bCs/>
          <w:color w:val="000000" w:themeColor="text1"/>
          <w:sz w:val="28"/>
          <w:szCs w:val="28"/>
          <w:highlight w:val="none"/>
          <w:u w:val="single"/>
          <w:lang w:val="en-US" w:eastAsia="zh-CN"/>
          <w14:textFill>
            <w14:solidFill>
              <w14:schemeClr w14:val="tx1"/>
            </w14:solidFill>
          </w14:textFill>
        </w:rPr>
        <w:t>07</w:t>
      </w:r>
      <w:r>
        <w:rPr>
          <w:rFonts w:hint="eastAsia" w:ascii="宋体" w:hAnsi="宋体" w:eastAsia="宋体" w:cs="宋体"/>
          <w:b/>
          <w:bCs/>
          <w:color w:val="000000" w:themeColor="text1"/>
          <w:sz w:val="28"/>
          <w:szCs w:val="28"/>
          <w:highlight w:val="none"/>
          <w:u w:val="single"/>
          <w14:textFill>
            <w14:solidFill>
              <w14:schemeClr w14:val="tx1"/>
            </w14:solidFill>
          </w14:textFill>
        </w:rPr>
        <w:t>月</w:t>
      </w:r>
      <w:r>
        <w:rPr>
          <w:rFonts w:hint="eastAsia" w:ascii="宋体" w:hAnsi="宋体" w:cs="宋体"/>
          <w:b/>
          <w:bCs/>
          <w:color w:val="000000" w:themeColor="text1"/>
          <w:sz w:val="28"/>
          <w:szCs w:val="28"/>
          <w:highlight w:val="none"/>
          <w:u w:val="single"/>
          <w:lang w:val="en-US" w:eastAsia="zh-CN"/>
          <w14:textFill>
            <w14:solidFill>
              <w14:schemeClr w14:val="tx1"/>
            </w14:solidFill>
          </w14:textFill>
        </w:rPr>
        <w:t>17</w:t>
      </w:r>
      <w:r>
        <w:rPr>
          <w:rFonts w:hint="eastAsia" w:ascii="宋体" w:hAnsi="宋体" w:eastAsia="宋体" w:cs="宋体"/>
          <w:b/>
          <w:bCs/>
          <w:color w:val="000000" w:themeColor="text1"/>
          <w:sz w:val="28"/>
          <w:szCs w:val="28"/>
          <w:highlight w:val="none"/>
          <w:u w:val="single"/>
          <w14:textFill>
            <w14:solidFill>
              <w14:schemeClr w14:val="tx1"/>
            </w14:solidFill>
          </w14:textFill>
        </w:rPr>
        <w:t>日1</w:t>
      </w:r>
      <w:r>
        <w:rPr>
          <w:rFonts w:hint="eastAsia" w:ascii="宋体" w:hAnsi="宋体" w:cs="宋体"/>
          <w:b/>
          <w:bCs/>
          <w:color w:val="000000" w:themeColor="text1"/>
          <w:sz w:val="28"/>
          <w:szCs w:val="28"/>
          <w:highlight w:val="none"/>
          <w:u w:val="single"/>
          <w:lang w:val="en-US" w:eastAsia="zh-CN"/>
          <w14:textFill>
            <w14:solidFill>
              <w14:schemeClr w14:val="tx1"/>
            </w14:solidFill>
          </w14:textFill>
        </w:rPr>
        <w:t>1</w:t>
      </w:r>
      <w:r>
        <w:rPr>
          <w:rFonts w:hint="eastAsia" w:ascii="宋体" w:hAnsi="宋体" w:eastAsia="宋体" w:cs="宋体"/>
          <w:b/>
          <w:bCs/>
          <w:color w:val="000000" w:themeColor="text1"/>
          <w:sz w:val="28"/>
          <w:szCs w:val="28"/>
          <w:highlight w:val="none"/>
          <w:u w:val="single"/>
          <w14:textFill>
            <w14:solidFill>
              <w14:schemeClr w14:val="tx1"/>
            </w14:solidFill>
          </w14:textFill>
        </w:rPr>
        <w:t>点00分</w:t>
      </w:r>
      <w:r>
        <w:rPr>
          <w:rFonts w:hint="eastAsia" w:ascii="宋体" w:hAnsi="宋体" w:eastAsia="宋体" w:cs="宋体"/>
          <w:bCs/>
          <w:color w:val="000000" w:themeColor="text1"/>
          <w:sz w:val="28"/>
          <w:szCs w:val="28"/>
          <w:highlight w:val="none"/>
          <w14:textFill>
            <w14:solidFill>
              <w14:schemeClr w14:val="tx1"/>
            </w14:solidFill>
          </w14:textFill>
        </w:rPr>
        <w:t>（北京时间）前提交响应文件</w:t>
      </w:r>
      <w:r>
        <w:rPr>
          <w:rFonts w:hint="eastAsia" w:ascii="宋体" w:hAnsi="宋体" w:eastAsia="宋体" w:cs="宋体"/>
          <w:color w:val="000000" w:themeColor="text1"/>
          <w:sz w:val="28"/>
          <w:szCs w:val="28"/>
          <w:highlight w:val="none"/>
          <w14:textFill>
            <w14:solidFill>
              <w14:schemeClr w14:val="tx1"/>
            </w14:solidFill>
          </w14:textFill>
        </w:rPr>
        <w:t>。</w:t>
      </w:r>
    </w:p>
    <w:p w14:paraId="7E70255E">
      <w:pPr>
        <w:pStyle w:val="3"/>
        <w:keepNext/>
        <w:keepLines/>
        <w:pageBreakBefore w:val="0"/>
        <w:widowControl w:val="0"/>
        <w:kinsoku/>
        <w:wordWrap/>
        <w:overflowPunct/>
        <w:topLinePunct w:val="0"/>
        <w:autoSpaceDE/>
        <w:autoSpaceDN/>
        <w:bidi w:val="0"/>
        <w:adjustRightInd/>
        <w:snapToGrid/>
        <w:spacing w:before="0" w:after="0" w:line="560" w:lineRule="exact"/>
        <w:ind w:left="0" w:leftChars="0"/>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一、项目基本情况</w:t>
      </w:r>
    </w:p>
    <w:p w14:paraId="02076CF0">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项目编号：</w:t>
      </w:r>
      <w:r>
        <w:rPr>
          <w:rFonts w:hint="eastAsia" w:ascii="宋体" w:hAnsi="宋体" w:cs="宋体"/>
          <w:color w:val="000000" w:themeColor="text1"/>
          <w:sz w:val="28"/>
          <w:szCs w:val="28"/>
          <w:highlight w:val="none"/>
          <w:lang w:eastAsia="zh-CN"/>
          <w14:textFill>
            <w14:solidFill>
              <w14:schemeClr w14:val="tx1"/>
            </w14:solidFill>
          </w14:textFill>
        </w:rPr>
        <w:t>XJCY(HM)-2025019</w:t>
      </w:r>
      <w:r>
        <w:rPr>
          <w:rFonts w:hint="eastAsia" w:ascii="宋体" w:hAnsi="宋体" w:cs="宋体"/>
          <w:color w:val="000000" w:themeColor="text1"/>
          <w:sz w:val="28"/>
          <w:szCs w:val="28"/>
          <w:highlight w:val="none"/>
          <w:lang w:val="en-US" w:eastAsia="zh-CN"/>
          <w14:textFill>
            <w14:solidFill>
              <w14:schemeClr w14:val="tx1"/>
            </w14:solidFill>
          </w14:textFill>
        </w:rPr>
        <w:t>-01</w:t>
      </w:r>
    </w:p>
    <w:p w14:paraId="0DEB55CA">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cs="宋体"/>
          <w:color w:val="000000" w:themeColor="text1"/>
          <w:sz w:val="28"/>
          <w:szCs w:val="28"/>
          <w:highlight w:val="none"/>
          <w:lang w:eastAsia="zh-CN"/>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项目名称：</w:t>
      </w:r>
      <w:r>
        <w:rPr>
          <w:rFonts w:hint="eastAsia" w:ascii="宋体" w:hAnsi="宋体" w:cs="宋体"/>
          <w:color w:val="000000" w:themeColor="text1"/>
          <w:sz w:val="28"/>
          <w:szCs w:val="28"/>
          <w:highlight w:val="none"/>
          <w:lang w:eastAsia="zh-CN"/>
          <w14:textFill>
            <w14:solidFill>
              <w14:schemeClr w14:val="tx1"/>
            </w14:solidFill>
          </w14:textFill>
        </w:rPr>
        <w:t>哈密市中心医院2025年医疗设备购置项目（第一批）（二次）</w:t>
      </w:r>
    </w:p>
    <w:p w14:paraId="40677B37">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预算金额：</w:t>
      </w:r>
      <w:r>
        <w:rPr>
          <w:rFonts w:hint="eastAsia" w:ascii="宋体" w:hAnsi="宋体" w:cs="宋体"/>
          <w:color w:val="000000" w:themeColor="text1"/>
          <w:sz w:val="28"/>
          <w:szCs w:val="28"/>
          <w:highlight w:val="none"/>
          <w:lang w:val="en-US" w:eastAsia="zh-CN"/>
          <w14:textFill>
            <w14:solidFill>
              <w14:schemeClr w14:val="tx1"/>
            </w14:solidFill>
          </w14:textFill>
        </w:rPr>
        <w:t>42.8万</w:t>
      </w:r>
      <w:r>
        <w:rPr>
          <w:rFonts w:hint="eastAsia" w:ascii="宋体" w:hAnsi="宋体" w:eastAsia="宋体" w:cs="宋体"/>
          <w:color w:val="000000" w:themeColor="text1"/>
          <w:sz w:val="28"/>
          <w:szCs w:val="28"/>
          <w:highlight w:val="none"/>
          <w14:textFill>
            <w14:solidFill>
              <w14:schemeClr w14:val="tx1"/>
            </w14:solidFill>
          </w14:textFill>
        </w:rPr>
        <w:t>元</w:t>
      </w:r>
    </w:p>
    <w:p w14:paraId="3AE82CF2">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lang w:eastAsia="zh-CN"/>
          <w14:textFill>
            <w14:solidFill>
              <w14:schemeClr w14:val="tx1"/>
            </w14:solidFill>
          </w14:textFill>
        </w:rPr>
        <w:t>最高限价：</w:t>
      </w:r>
      <w:r>
        <w:rPr>
          <w:rFonts w:hint="eastAsia" w:ascii="宋体" w:hAnsi="宋体" w:cs="宋体"/>
          <w:color w:val="000000" w:themeColor="text1"/>
          <w:sz w:val="28"/>
          <w:szCs w:val="28"/>
          <w:highlight w:val="none"/>
          <w:lang w:val="en-US" w:eastAsia="zh-CN"/>
          <w14:textFill>
            <w14:solidFill>
              <w14:schemeClr w14:val="tx1"/>
            </w14:solidFill>
          </w14:textFill>
        </w:rPr>
        <w:t>180000元、 200000元、20000元、28000元</w:t>
      </w:r>
    </w:p>
    <w:p w14:paraId="0615547C">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采购需求：</w:t>
      </w:r>
    </w:p>
    <w:p w14:paraId="45120500">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cs="宋体"/>
          <w:color w:val="000000" w:themeColor="text1"/>
          <w:sz w:val="28"/>
          <w:szCs w:val="28"/>
          <w:highlight w:val="none"/>
          <w:lang w:eastAsia="zh-CN"/>
          <w14:textFill>
            <w14:solidFill>
              <w14:schemeClr w14:val="tx1"/>
            </w14:solidFill>
          </w14:textFill>
        </w:rPr>
      </w:pPr>
      <w:r>
        <w:rPr>
          <w:rFonts w:hint="eastAsia" w:ascii="宋体" w:hAnsi="宋体" w:cs="宋体"/>
          <w:color w:val="000000" w:themeColor="text1"/>
          <w:sz w:val="28"/>
          <w:szCs w:val="28"/>
          <w:highlight w:val="none"/>
          <w:lang w:eastAsia="zh-CN"/>
          <w14:textFill>
            <w14:solidFill>
              <w14:schemeClr w14:val="tx1"/>
            </w14:solidFill>
          </w14:textFill>
        </w:rPr>
        <w:t>标项一</w:t>
      </w:r>
    </w:p>
    <w:p w14:paraId="12EA2672">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cs="宋体"/>
          <w:color w:val="000000" w:themeColor="text1"/>
          <w:sz w:val="28"/>
          <w:szCs w:val="28"/>
          <w:highlight w:val="none"/>
          <w:lang w:eastAsia="zh-CN"/>
          <w14:textFill>
            <w14:solidFill>
              <w14:schemeClr w14:val="tx1"/>
            </w14:solidFill>
          </w14:textFill>
        </w:rPr>
      </w:pPr>
      <w:r>
        <w:rPr>
          <w:rFonts w:hint="eastAsia" w:ascii="宋体" w:hAnsi="宋体" w:cs="宋体"/>
          <w:color w:val="000000" w:themeColor="text1"/>
          <w:sz w:val="28"/>
          <w:szCs w:val="28"/>
          <w:highlight w:val="none"/>
          <w:lang w:eastAsia="zh-CN"/>
          <w14:textFill>
            <w14:solidFill>
              <w14:schemeClr w14:val="tx1"/>
            </w14:solidFill>
          </w14:textFill>
        </w:rPr>
        <w:t>标项名称:十功能自动煎药机</w:t>
      </w:r>
      <w:r>
        <w:rPr>
          <w:rFonts w:hint="eastAsia" w:ascii="宋体" w:hAnsi="宋体" w:cs="宋体"/>
          <w:color w:val="000000" w:themeColor="text1"/>
          <w:sz w:val="28"/>
          <w:szCs w:val="28"/>
          <w:highlight w:val="none"/>
          <w:lang w:eastAsia="zh-CN"/>
          <w14:textFill>
            <w14:solidFill>
              <w14:schemeClr w14:val="tx1"/>
            </w14:solidFill>
          </w14:textFill>
        </w:rPr>
        <w:br w:type="textWrapping"/>
      </w:r>
      <w:r>
        <w:rPr>
          <w:rFonts w:hint="eastAsia" w:ascii="宋体" w:hAnsi="宋体" w:cs="宋体"/>
          <w:color w:val="000000" w:themeColor="text1"/>
          <w:sz w:val="28"/>
          <w:szCs w:val="28"/>
          <w:highlight w:val="none"/>
          <w:lang w:eastAsia="zh-CN"/>
          <w14:textFill>
            <w14:solidFill>
              <w14:schemeClr w14:val="tx1"/>
            </w14:solidFill>
          </w14:textFill>
        </w:rPr>
        <w:t>数量:</w:t>
      </w:r>
      <w:r>
        <w:rPr>
          <w:rFonts w:hint="eastAsia" w:ascii="宋体" w:hAnsi="宋体" w:cs="宋体"/>
          <w:color w:val="000000" w:themeColor="text1"/>
          <w:sz w:val="28"/>
          <w:szCs w:val="28"/>
          <w:highlight w:val="none"/>
          <w:lang w:val="en-US" w:eastAsia="zh-CN"/>
          <w14:textFill>
            <w14:solidFill>
              <w14:schemeClr w14:val="tx1"/>
            </w14:solidFill>
          </w14:textFill>
        </w:rPr>
        <w:t>3</w:t>
      </w:r>
      <w:r>
        <w:rPr>
          <w:rFonts w:hint="eastAsia" w:ascii="宋体" w:hAnsi="宋体" w:cs="宋体"/>
          <w:color w:val="000000" w:themeColor="text1"/>
          <w:sz w:val="28"/>
          <w:szCs w:val="28"/>
          <w:highlight w:val="none"/>
          <w:lang w:eastAsia="zh-CN"/>
          <w14:textFill>
            <w14:solidFill>
              <w14:schemeClr w14:val="tx1"/>
            </w14:solidFill>
          </w14:textFill>
        </w:rPr>
        <w:br w:type="textWrapping"/>
      </w:r>
      <w:r>
        <w:rPr>
          <w:rFonts w:hint="eastAsia" w:ascii="宋体" w:hAnsi="宋体" w:cs="宋体"/>
          <w:color w:val="000000" w:themeColor="text1"/>
          <w:sz w:val="28"/>
          <w:szCs w:val="28"/>
          <w:highlight w:val="none"/>
          <w:lang w:eastAsia="zh-CN"/>
          <w14:textFill>
            <w14:solidFill>
              <w14:schemeClr w14:val="tx1"/>
            </w14:solidFill>
          </w14:textFill>
        </w:rPr>
        <w:t>预算金额（元）:</w:t>
      </w:r>
      <w:r>
        <w:rPr>
          <w:rFonts w:hint="eastAsia" w:ascii="宋体" w:hAnsi="宋体" w:cs="宋体"/>
          <w:color w:val="000000" w:themeColor="text1"/>
          <w:sz w:val="28"/>
          <w:szCs w:val="28"/>
          <w:highlight w:val="none"/>
          <w:lang w:val="en-US" w:eastAsia="zh-CN"/>
          <w14:textFill>
            <w14:solidFill>
              <w14:schemeClr w14:val="tx1"/>
            </w14:solidFill>
          </w14:textFill>
        </w:rPr>
        <w:t>180000</w:t>
      </w:r>
      <w:r>
        <w:rPr>
          <w:rFonts w:hint="eastAsia" w:ascii="宋体" w:hAnsi="宋体" w:cs="宋体"/>
          <w:color w:val="000000" w:themeColor="text1"/>
          <w:sz w:val="28"/>
          <w:szCs w:val="28"/>
          <w:highlight w:val="none"/>
          <w:lang w:eastAsia="zh-CN"/>
          <w14:textFill>
            <w14:solidFill>
              <w14:schemeClr w14:val="tx1"/>
            </w14:solidFill>
          </w14:textFill>
        </w:rPr>
        <w:br w:type="textWrapping"/>
      </w:r>
      <w:r>
        <w:rPr>
          <w:rFonts w:hint="eastAsia" w:ascii="宋体" w:hAnsi="宋体" w:cs="宋体"/>
          <w:color w:val="000000" w:themeColor="text1"/>
          <w:sz w:val="28"/>
          <w:szCs w:val="28"/>
          <w:highlight w:val="none"/>
          <w:lang w:eastAsia="zh-CN"/>
          <w14:textFill>
            <w14:solidFill>
              <w14:schemeClr w14:val="tx1"/>
            </w14:solidFill>
          </w14:textFill>
        </w:rPr>
        <w:t>单位：台 </w:t>
      </w:r>
      <w:r>
        <w:rPr>
          <w:rFonts w:hint="eastAsia" w:ascii="宋体" w:hAnsi="宋体" w:cs="宋体"/>
          <w:color w:val="000000" w:themeColor="text1"/>
          <w:sz w:val="28"/>
          <w:szCs w:val="28"/>
          <w:highlight w:val="none"/>
          <w:lang w:eastAsia="zh-CN"/>
          <w14:textFill>
            <w14:solidFill>
              <w14:schemeClr w14:val="tx1"/>
            </w14:solidFill>
          </w14:textFill>
        </w:rPr>
        <w:br w:type="textWrapping"/>
      </w:r>
      <w:r>
        <w:rPr>
          <w:rFonts w:hint="eastAsia" w:ascii="宋体" w:hAnsi="宋体" w:cs="宋体"/>
          <w:color w:val="000000" w:themeColor="text1"/>
          <w:sz w:val="28"/>
          <w:szCs w:val="28"/>
          <w:highlight w:val="none"/>
          <w:lang w:eastAsia="zh-CN"/>
          <w14:textFill>
            <w14:solidFill>
              <w14:schemeClr w14:val="tx1"/>
            </w14:solidFill>
          </w14:textFill>
        </w:rPr>
        <w:t>简要规格描述或项目基本概况介绍、用途：采购十功能自动煎药机（具体参数要求详见招标文件）</w:t>
      </w:r>
      <w:r>
        <w:rPr>
          <w:rFonts w:hint="eastAsia" w:ascii="宋体" w:hAnsi="宋体" w:cs="宋体"/>
          <w:color w:val="000000" w:themeColor="text1"/>
          <w:sz w:val="28"/>
          <w:szCs w:val="28"/>
          <w:highlight w:val="none"/>
          <w:lang w:eastAsia="zh-CN"/>
          <w14:textFill>
            <w14:solidFill>
              <w14:schemeClr w14:val="tx1"/>
            </w14:solidFill>
          </w14:textFill>
        </w:rPr>
        <w:br w:type="textWrapping"/>
      </w:r>
      <w:r>
        <w:rPr>
          <w:rFonts w:hint="eastAsia" w:ascii="宋体" w:hAnsi="宋体" w:cs="宋体"/>
          <w:color w:val="000000" w:themeColor="text1"/>
          <w:sz w:val="28"/>
          <w:szCs w:val="28"/>
          <w:highlight w:val="none"/>
          <w:lang w:eastAsia="zh-CN"/>
          <w14:textFill>
            <w14:solidFill>
              <w14:schemeClr w14:val="tx1"/>
            </w14:solidFill>
          </w14:textFill>
        </w:rPr>
        <w:t>备注：</w:t>
      </w:r>
    </w:p>
    <w:p w14:paraId="5C659EBA">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cs="宋体"/>
          <w:color w:val="000000" w:themeColor="text1"/>
          <w:sz w:val="28"/>
          <w:szCs w:val="28"/>
          <w:highlight w:val="none"/>
          <w:lang w:eastAsia="zh-CN"/>
          <w14:textFill>
            <w14:solidFill>
              <w14:schemeClr w14:val="tx1"/>
            </w14:solidFill>
          </w14:textFill>
        </w:rPr>
      </w:pPr>
      <w:r>
        <w:rPr>
          <w:rFonts w:hint="eastAsia" w:ascii="宋体" w:hAnsi="宋体" w:cs="宋体"/>
          <w:color w:val="000000" w:themeColor="text1"/>
          <w:sz w:val="28"/>
          <w:szCs w:val="28"/>
          <w:highlight w:val="none"/>
          <w:lang w:eastAsia="zh-CN"/>
          <w14:textFill>
            <w14:solidFill>
              <w14:schemeClr w14:val="tx1"/>
            </w14:solidFill>
          </w14:textFill>
        </w:rPr>
        <w:t>标项二</w:t>
      </w:r>
    </w:p>
    <w:p w14:paraId="301E0A90">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lang w:eastAsia="zh-CN"/>
          <w14:textFill>
            <w14:solidFill>
              <w14:schemeClr w14:val="tx1"/>
            </w14:solidFill>
          </w14:textFill>
        </w:rPr>
        <w:t>标项名称:健康体检一体机</w:t>
      </w:r>
      <w:r>
        <w:rPr>
          <w:rFonts w:hint="eastAsia" w:ascii="宋体" w:hAnsi="宋体" w:cs="宋体"/>
          <w:color w:val="000000" w:themeColor="text1"/>
          <w:sz w:val="28"/>
          <w:szCs w:val="28"/>
          <w:highlight w:val="none"/>
          <w:lang w:eastAsia="zh-CN"/>
          <w14:textFill>
            <w14:solidFill>
              <w14:schemeClr w14:val="tx1"/>
            </w14:solidFill>
          </w14:textFill>
        </w:rPr>
        <w:br w:type="textWrapping"/>
      </w:r>
      <w:r>
        <w:rPr>
          <w:rFonts w:hint="eastAsia" w:ascii="宋体" w:hAnsi="宋体" w:cs="宋体"/>
          <w:color w:val="000000" w:themeColor="text1"/>
          <w:sz w:val="28"/>
          <w:szCs w:val="28"/>
          <w:highlight w:val="none"/>
          <w:lang w:eastAsia="zh-CN"/>
          <w14:textFill>
            <w14:solidFill>
              <w14:schemeClr w14:val="tx1"/>
            </w14:solidFill>
          </w14:textFill>
        </w:rPr>
        <w:t>数量:1</w:t>
      </w:r>
      <w:r>
        <w:rPr>
          <w:rFonts w:hint="eastAsia" w:ascii="宋体" w:hAnsi="宋体" w:cs="宋体"/>
          <w:color w:val="000000" w:themeColor="text1"/>
          <w:sz w:val="28"/>
          <w:szCs w:val="28"/>
          <w:highlight w:val="none"/>
          <w:lang w:eastAsia="zh-CN"/>
          <w14:textFill>
            <w14:solidFill>
              <w14:schemeClr w14:val="tx1"/>
            </w14:solidFill>
          </w14:textFill>
        </w:rPr>
        <w:br w:type="textWrapping"/>
      </w:r>
      <w:r>
        <w:rPr>
          <w:rFonts w:hint="eastAsia" w:ascii="宋体" w:hAnsi="宋体" w:cs="宋体"/>
          <w:color w:val="000000" w:themeColor="text1"/>
          <w:sz w:val="28"/>
          <w:szCs w:val="28"/>
          <w:highlight w:val="none"/>
          <w:lang w:eastAsia="zh-CN"/>
          <w14:textFill>
            <w14:solidFill>
              <w14:schemeClr w14:val="tx1"/>
            </w14:solidFill>
          </w14:textFill>
        </w:rPr>
        <w:t>预算金额（元）:</w:t>
      </w:r>
      <w:r>
        <w:rPr>
          <w:rFonts w:hint="eastAsia" w:ascii="宋体" w:hAnsi="宋体" w:cs="宋体"/>
          <w:color w:val="000000" w:themeColor="text1"/>
          <w:sz w:val="28"/>
          <w:szCs w:val="28"/>
          <w:highlight w:val="none"/>
          <w:lang w:val="en-US" w:eastAsia="zh-CN"/>
          <w14:textFill>
            <w14:solidFill>
              <w14:schemeClr w14:val="tx1"/>
            </w14:solidFill>
          </w14:textFill>
        </w:rPr>
        <w:t>200000</w:t>
      </w:r>
      <w:r>
        <w:rPr>
          <w:rFonts w:hint="eastAsia" w:ascii="宋体" w:hAnsi="宋体" w:cs="宋体"/>
          <w:color w:val="000000" w:themeColor="text1"/>
          <w:sz w:val="28"/>
          <w:szCs w:val="28"/>
          <w:highlight w:val="none"/>
          <w:lang w:eastAsia="zh-CN"/>
          <w14:textFill>
            <w14:solidFill>
              <w14:schemeClr w14:val="tx1"/>
            </w14:solidFill>
          </w14:textFill>
        </w:rPr>
        <w:br w:type="textWrapping"/>
      </w:r>
      <w:r>
        <w:rPr>
          <w:rFonts w:hint="eastAsia" w:ascii="宋体" w:hAnsi="宋体" w:cs="宋体"/>
          <w:color w:val="000000" w:themeColor="text1"/>
          <w:sz w:val="28"/>
          <w:szCs w:val="28"/>
          <w:highlight w:val="none"/>
          <w:lang w:eastAsia="zh-CN"/>
          <w14:textFill>
            <w14:solidFill>
              <w14:schemeClr w14:val="tx1"/>
            </w14:solidFill>
          </w14:textFill>
        </w:rPr>
        <w:t>单位：台 </w:t>
      </w:r>
      <w:r>
        <w:rPr>
          <w:rFonts w:hint="eastAsia" w:ascii="宋体" w:hAnsi="宋体" w:cs="宋体"/>
          <w:color w:val="000000" w:themeColor="text1"/>
          <w:sz w:val="28"/>
          <w:szCs w:val="28"/>
          <w:highlight w:val="none"/>
          <w:lang w:eastAsia="zh-CN"/>
          <w14:textFill>
            <w14:solidFill>
              <w14:schemeClr w14:val="tx1"/>
            </w14:solidFill>
          </w14:textFill>
        </w:rPr>
        <w:br w:type="textWrapping"/>
      </w:r>
      <w:r>
        <w:rPr>
          <w:rFonts w:hint="eastAsia" w:ascii="宋体" w:hAnsi="宋体" w:cs="宋体"/>
          <w:color w:val="000000" w:themeColor="text1"/>
          <w:sz w:val="28"/>
          <w:szCs w:val="28"/>
          <w:highlight w:val="none"/>
          <w:lang w:eastAsia="zh-CN"/>
          <w14:textFill>
            <w14:solidFill>
              <w14:schemeClr w14:val="tx1"/>
            </w14:solidFill>
          </w14:textFill>
        </w:rPr>
        <w:t>简要规格描述或项目基本概况介绍、用途：采购健康体检一体机（具体参数要求详见招标文件）</w:t>
      </w:r>
      <w:r>
        <w:rPr>
          <w:rFonts w:hint="eastAsia" w:ascii="宋体" w:hAnsi="宋体" w:cs="宋体"/>
          <w:color w:val="000000" w:themeColor="text1"/>
          <w:sz w:val="28"/>
          <w:szCs w:val="28"/>
          <w:highlight w:val="none"/>
          <w:lang w:eastAsia="zh-CN"/>
          <w14:textFill>
            <w14:solidFill>
              <w14:schemeClr w14:val="tx1"/>
            </w14:solidFill>
          </w14:textFill>
        </w:rPr>
        <w:br w:type="textWrapping"/>
      </w:r>
      <w:r>
        <w:rPr>
          <w:rFonts w:hint="eastAsia" w:ascii="宋体" w:hAnsi="宋体" w:cs="宋体"/>
          <w:color w:val="000000" w:themeColor="text1"/>
          <w:sz w:val="28"/>
          <w:szCs w:val="28"/>
          <w:highlight w:val="none"/>
          <w:lang w:eastAsia="zh-CN"/>
          <w14:textFill>
            <w14:solidFill>
              <w14:schemeClr w14:val="tx1"/>
            </w14:solidFill>
          </w14:textFill>
        </w:rPr>
        <w:t>备注：</w:t>
      </w:r>
    </w:p>
    <w:p w14:paraId="71229CEF">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cs="宋体"/>
          <w:color w:val="000000" w:themeColor="text1"/>
          <w:sz w:val="28"/>
          <w:szCs w:val="28"/>
          <w:highlight w:val="none"/>
          <w:lang w:eastAsia="zh-CN"/>
          <w14:textFill>
            <w14:solidFill>
              <w14:schemeClr w14:val="tx1"/>
            </w14:solidFill>
          </w14:textFill>
        </w:rPr>
      </w:pPr>
      <w:r>
        <w:rPr>
          <w:rFonts w:hint="eastAsia" w:ascii="宋体" w:hAnsi="宋体" w:cs="宋体"/>
          <w:color w:val="000000" w:themeColor="text1"/>
          <w:sz w:val="28"/>
          <w:szCs w:val="28"/>
          <w:highlight w:val="none"/>
          <w:lang w:eastAsia="zh-CN"/>
          <w14:textFill>
            <w14:solidFill>
              <w14:schemeClr w14:val="tx1"/>
            </w14:solidFill>
          </w14:textFill>
        </w:rPr>
        <w:t>标项三</w:t>
      </w:r>
    </w:p>
    <w:p w14:paraId="06B603D3">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lang w:eastAsia="zh-CN"/>
          <w14:textFill>
            <w14:solidFill>
              <w14:schemeClr w14:val="tx1"/>
            </w14:solidFill>
          </w14:textFill>
        </w:rPr>
        <w:t>标项名称:</w:t>
      </w:r>
      <w:r>
        <w:rPr>
          <w:rFonts w:hint="eastAsia" w:ascii="宋体" w:hAnsi="宋体" w:cs="宋体"/>
          <w:color w:val="000000" w:themeColor="text1"/>
          <w:sz w:val="28"/>
          <w:szCs w:val="28"/>
          <w:highlight w:val="none"/>
          <w:lang w:val="en-US" w:eastAsia="zh-CN"/>
          <w14:textFill>
            <w14:solidFill>
              <w14:schemeClr w14:val="tx1"/>
            </w14:solidFill>
          </w14:textFill>
        </w:rPr>
        <w:t>汤剂包装机</w:t>
      </w:r>
      <w:r>
        <w:rPr>
          <w:rFonts w:hint="eastAsia" w:ascii="宋体" w:hAnsi="宋体" w:cs="宋体"/>
          <w:color w:val="000000" w:themeColor="text1"/>
          <w:sz w:val="28"/>
          <w:szCs w:val="28"/>
          <w:highlight w:val="none"/>
          <w:lang w:eastAsia="zh-CN"/>
          <w14:textFill>
            <w14:solidFill>
              <w14:schemeClr w14:val="tx1"/>
            </w14:solidFill>
          </w14:textFill>
        </w:rPr>
        <w:br w:type="textWrapping"/>
      </w:r>
      <w:r>
        <w:rPr>
          <w:rFonts w:hint="eastAsia" w:ascii="宋体" w:hAnsi="宋体" w:cs="宋体"/>
          <w:color w:val="000000" w:themeColor="text1"/>
          <w:sz w:val="28"/>
          <w:szCs w:val="28"/>
          <w:highlight w:val="none"/>
          <w:lang w:eastAsia="zh-CN"/>
          <w14:textFill>
            <w14:solidFill>
              <w14:schemeClr w14:val="tx1"/>
            </w14:solidFill>
          </w14:textFill>
        </w:rPr>
        <w:t>数量:1</w:t>
      </w:r>
      <w:r>
        <w:rPr>
          <w:rFonts w:hint="eastAsia" w:ascii="宋体" w:hAnsi="宋体" w:cs="宋体"/>
          <w:color w:val="000000" w:themeColor="text1"/>
          <w:sz w:val="28"/>
          <w:szCs w:val="28"/>
          <w:highlight w:val="none"/>
          <w:lang w:eastAsia="zh-CN"/>
          <w14:textFill>
            <w14:solidFill>
              <w14:schemeClr w14:val="tx1"/>
            </w14:solidFill>
          </w14:textFill>
        </w:rPr>
        <w:br w:type="textWrapping"/>
      </w:r>
      <w:r>
        <w:rPr>
          <w:rFonts w:hint="eastAsia" w:ascii="宋体" w:hAnsi="宋体" w:cs="宋体"/>
          <w:color w:val="000000" w:themeColor="text1"/>
          <w:sz w:val="28"/>
          <w:szCs w:val="28"/>
          <w:highlight w:val="none"/>
          <w:lang w:eastAsia="zh-CN"/>
          <w14:textFill>
            <w14:solidFill>
              <w14:schemeClr w14:val="tx1"/>
            </w14:solidFill>
          </w14:textFill>
        </w:rPr>
        <w:t>预算金额（元）:</w:t>
      </w:r>
      <w:r>
        <w:rPr>
          <w:rFonts w:hint="eastAsia" w:ascii="宋体" w:hAnsi="宋体" w:cs="宋体"/>
          <w:color w:val="000000" w:themeColor="text1"/>
          <w:sz w:val="28"/>
          <w:szCs w:val="28"/>
          <w:highlight w:val="none"/>
          <w:lang w:val="en-US" w:eastAsia="zh-CN"/>
          <w14:textFill>
            <w14:solidFill>
              <w14:schemeClr w14:val="tx1"/>
            </w14:solidFill>
          </w14:textFill>
        </w:rPr>
        <w:t>20000</w:t>
      </w:r>
      <w:r>
        <w:rPr>
          <w:rFonts w:hint="eastAsia" w:ascii="宋体" w:hAnsi="宋体" w:cs="宋体"/>
          <w:color w:val="000000" w:themeColor="text1"/>
          <w:sz w:val="28"/>
          <w:szCs w:val="28"/>
          <w:highlight w:val="none"/>
          <w:lang w:eastAsia="zh-CN"/>
          <w14:textFill>
            <w14:solidFill>
              <w14:schemeClr w14:val="tx1"/>
            </w14:solidFill>
          </w14:textFill>
        </w:rPr>
        <w:br w:type="textWrapping"/>
      </w:r>
      <w:r>
        <w:rPr>
          <w:rFonts w:hint="eastAsia" w:ascii="宋体" w:hAnsi="宋体" w:cs="宋体"/>
          <w:color w:val="000000" w:themeColor="text1"/>
          <w:sz w:val="28"/>
          <w:szCs w:val="28"/>
          <w:highlight w:val="none"/>
          <w:lang w:eastAsia="zh-CN"/>
          <w14:textFill>
            <w14:solidFill>
              <w14:schemeClr w14:val="tx1"/>
            </w14:solidFill>
          </w14:textFill>
        </w:rPr>
        <w:t>单位：台 </w:t>
      </w:r>
      <w:r>
        <w:rPr>
          <w:rFonts w:hint="eastAsia" w:ascii="宋体" w:hAnsi="宋体" w:cs="宋体"/>
          <w:color w:val="000000" w:themeColor="text1"/>
          <w:sz w:val="28"/>
          <w:szCs w:val="28"/>
          <w:highlight w:val="none"/>
          <w:lang w:eastAsia="zh-CN"/>
          <w14:textFill>
            <w14:solidFill>
              <w14:schemeClr w14:val="tx1"/>
            </w14:solidFill>
          </w14:textFill>
        </w:rPr>
        <w:br w:type="textWrapping"/>
      </w:r>
      <w:r>
        <w:rPr>
          <w:rFonts w:hint="eastAsia" w:ascii="宋体" w:hAnsi="宋体" w:cs="宋体"/>
          <w:color w:val="000000" w:themeColor="text1"/>
          <w:sz w:val="28"/>
          <w:szCs w:val="28"/>
          <w:highlight w:val="none"/>
          <w:lang w:eastAsia="zh-CN"/>
          <w14:textFill>
            <w14:solidFill>
              <w14:schemeClr w14:val="tx1"/>
            </w14:solidFill>
          </w14:textFill>
        </w:rPr>
        <w:t>简要规格描述或项目基本概况介绍、用途：采购</w:t>
      </w:r>
      <w:r>
        <w:rPr>
          <w:rFonts w:hint="eastAsia" w:ascii="宋体" w:hAnsi="宋体" w:cs="宋体"/>
          <w:color w:val="000000" w:themeColor="text1"/>
          <w:sz w:val="28"/>
          <w:szCs w:val="28"/>
          <w:highlight w:val="none"/>
          <w:lang w:val="en-US" w:eastAsia="zh-CN"/>
          <w14:textFill>
            <w14:solidFill>
              <w14:schemeClr w14:val="tx1"/>
            </w14:solidFill>
          </w14:textFill>
        </w:rPr>
        <w:t>汤剂包装机</w:t>
      </w:r>
      <w:r>
        <w:rPr>
          <w:rFonts w:hint="eastAsia" w:ascii="宋体" w:hAnsi="宋体" w:cs="宋体"/>
          <w:color w:val="000000" w:themeColor="text1"/>
          <w:sz w:val="28"/>
          <w:szCs w:val="28"/>
          <w:highlight w:val="none"/>
          <w:lang w:eastAsia="zh-CN"/>
          <w14:textFill>
            <w14:solidFill>
              <w14:schemeClr w14:val="tx1"/>
            </w14:solidFill>
          </w14:textFill>
        </w:rPr>
        <w:t>（具体参数要求详见招标文件）</w:t>
      </w:r>
      <w:r>
        <w:rPr>
          <w:rFonts w:hint="eastAsia" w:ascii="宋体" w:hAnsi="宋体" w:cs="宋体"/>
          <w:color w:val="000000" w:themeColor="text1"/>
          <w:sz w:val="28"/>
          <w:szCs w:val="28"/>
          <w:highlight w:val="none"/>
          <w:lang w:eastAsia="zh-CN"/>
          <w14:textFill>
            <w14:solidFill>
              <w14:schemeClr w14:val="tx1"/>
            </w14:solidFill>
          </w14:textFill>
        </w:rPr>
        <w:br w:type="textWrapping"/>
      </w:r>
      <w:r>
        <w:rPr>
          <w:rFonts w:hint="eastAsia" w:ascii="宋体" w:hAnsi="宋体" w:cs="宋体"/>
          <w:color w:val="000000" w:themeColor="text1"/>
          <w:sz w:val="28"/>
          <w:szCs w:val="28"/>
          <w:highlight w:val="none"/>
          <w:lang w:eastAsia="zh-CN"/>
          <w14:textFill>
            <w14:solidFill>
              <w14:schemeClr w14:val="tx1"/>
            </w14:solidFill>
          </w14:textFill>
        </w:rPr>
        <w:t>备注：</w:t>
      </w:r>
    </w:p>
    <w:p w14:paraId="62427B2A">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cs="宋体"/>
          <w:color w:val="000000" w:themeColor="text1"/>
          <w:sz w:val="28"/>
          <w:szCs w:val="28"/>
          <w:highlight w:val="none"/>
          <w:lang w:eastAsia="zh-CN"/>
          <w14:textFill>
            <w14:solidFill>
              <w14:schemeClr w14:val="tx1"/>
            </w14:solidFill>
          </w14:textFill>
        </w:rPr>
      </w:pPr>
      <w:r>
        <w:rPr>
          <w:rFonts w:hint="eastAsia" w:ascii="宋体" w:hAnsi="宋体" w:cs="宋体"/>
          <w:color w:val="000000" w:themeColor="text1"/>
          <w:sz w:val="28"/>
          <w:szCs w:val="28"/>
          <w:highlight w:val="none"/>
          <w:lang w:eastAsia="zh-CN"/>
          <w14:textFill>
            <w14:solidFill>
              <w14:schemeClr w14:val="tx1"/>
            </w14:solidFill>
          </w14:textFill>
        </w:rPr>
        <w:t>标项四</w:t>
      </w:r>
    </w:p>
    <w:p w14:paraId="72A357EC">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cs="宋体"/>
          <w:color w:val="000000" w:themeColor="text1"/>
          <w:sz w:val="28"/>
          <w:szCs w:val="28"/>
          <w:highlight w:val="none"/>
          <w:lang w:eastAsia="zh-CN"/>
          <w14:textFill>
            <w14:solidFill>
              <w14:schemeClr w14:val="tx1"/>
            </w14:solidFill>
          </w14:textFill>
        </w:rPr>
      </w:pPr>
      <w:r>
        <w:rPr>
          <w:rFonts w:hint="eastAsia" w:ascii="宋体" w:hAnsi="宋体" w:cs="宋体"/>
          <w:color w:val="000000" w:themeColor="text1"/>
          <w:sz w:val="28"/>
          <w:szCs w:val="28"/>
          <w:highlight w:val="none"/>
          <w:lang w:eastAsia="zh-CN"/>
          <w14:textFill>
            <w14:solidFill>
              <w14:schemeClr w14:val="tx1"/>
            </w14:solidFill>
          </w14:textFill>
        </w:rPr>
        <w:t>标项名称:智能头痛舒眠仪</w:t>
      </w:r>
      <w:r>
        <w:rPr>
          <w:rFonts w:hint="eastAsia" w:ascii="宋体" w:hAnsi="宋体" w:cs="宋体"/>
          <w:color w:val="000000" w:themeColor="text1"/>
          <w:sz w:val="28"/>
          <w:szCs w:val="28"/>
          <w:highlight w:val="none"/>
          <w:lang w:eastAsia="zh-CN"/>
          <w14:textFill>
            <w14:solidFill>
              <w14:schemeClr w14:val="tx1"/>
            </w14:solidFill>
          </w14:textFill>
        </w:rPr>
        <w:br w:type="textWrapping"/>
      </w:r>
      <w:r>
        <w:rPr>
          <w:rFonts w:hint="eastAsia" w:ascii="宋体" w:hAnsi="宋体" w:cs="宋体"/>
          <w:color w:val="000000" w:themeColor="text1"/>
          <w:sz w:val="28"/>
          <w:szCs w:val="28"/>
          <w:highlight w:val="none"/>
          <w:lang w:eastAsia="zh-CN"/>
          <w14:textFill>
            <w14:solidFill>
              <w14:schemeClr w14:val="tx1"/>
            </w14:solidFill>
          </w14:textFill>
        </w:rPr>
        <w:t>数量:</w:t>
      </w:r>
      <w:r>
        <w:rPr>
          <w:rFonts w:hint="eastAsia" w:ascii="宋体" w:hAnsi="宋体" w:cs="宋体"/>
          <w:color w:val="000000" w:themeColor="text1"/>
          <w:sz w:val="28"/>
          <w:szCs w:val="28"/>
          <w:highlight w:val="none"/>
          <w:lang w:val="en-US" w:eastAsia="zh-CN"/>
          <w14:textFill>
            <w14:solidFill>
              <w14:schemeClr w14:val="tx1"/>
            </w14:solidFill>
          </w14:textFill>
        </w:rPr>
        <w:t>10</w:t>
      </w:r>
      <w:r>
        <w:rPr>
          <w:rFonts w:hint="eastAsia" w:ascii="宋体" w:hAnsi="宋体" w:cs="宋体"/>
          <w:color w:val="000000" w:themeColor="text1"/>
          <w:sz w:val="28"/>
          <w:szCs w:val="28"/>
          <w:highlight w:val="none"/>
          <w:lang w:eastAsia="zh-CN"/>
          <w14:textFill>
            <w14:solidFill>
              <w14:schemeClr w14:val="tx1"/>
            </w14:solidFill>
          </w14:textFill>
        </w:rPr>
        <w:br w:type="textWrapping"/>
      </w:r>
      <w:r>
        <w:rPr>
          <w:rFonts w:hint="eastAsia" w:ascii="宋体" w:hAnsi="宋体" w:cs="宋体"/>
          <w:color w:val="000000" w:themeColor="text1"/>
          <w:sz w:val="28"/>
          <w:szCs w:val="28"/>
          <w:highlight w:val="none"/>
          <w:lang w:eastAsia="zh-CN"/>
          <w14:textFill>
            <w14:solidFill>
              <w14:schemeClr w14:val="tx1"/>
            </w14:solidFill>
          </w14:textFill>
        </w:rPr>
        <w:t>预算金额（元）:</w:t>
      </w:r>
      <w:r>
        <w:rPr>
          <w:rFonts w:hint="eastAsia" w:ascii="宋体" w:hAnsi="宋体" w:cs="宋体"/>
          <w:color w:val="000000" w:themeColor="text1"/>
          <w:sz w:val="28"/>
          <w:szCs w:val="28"/>
          <w:highlight w:val="none"/>
          <w:lang w:val="en-US" w:eastAsia="zh-CN"/>
          <w14:textFill>
            <w14:solidFill>
              <w14:schemeClr w14:val="tx1"/>
            </w14:solidFill>
          </w14:textFill>
        </w:rPr>
        <w:t>28000</w:t>
      </w:r>
      <w:r>
        <w:rPr>
          <w:rFonts w:hint="eastAsia" w:ascii="宋体" w:hAnsi="宋体" w:cs="宋体"/>
          <w:color w:val="000000" w:themeColor="text1"/>
          <w:sz w:val="28"/>
          <w:szCs w:val="28"/>
          <w:highlight w:val="none"/>
          <w:lang w:eastAsia="zh-CN"/>
          <w14:textFill>
            <w14:solidFill>
              <w14:schemeClr w14:val="tx1"/>
            </w14:solidFill>
          </w14:textFill>
        </w:rPr>
        <w:br w:type="textWrapping"/>
      </w:r>
      <w:r>
        <w:rPr>
          <w:rFonts w:hint="eastAsia" w:ascii="宋体" w:hAnsi="宋体" w:cs="宋体"/>
          <w:color w:val="000000" w:themeColor="text1"/>
          <w:sz w:val="28"/>
          <w:szCs w:val="28"/>
          <w:highlight w:val="none"/>
          <w:lang w:eastAsia="zh-CN"/>
          <w14:textFill>
            <w14:solidFill>
              <w14:schemeClr w14:val="tx1"/>
            </w14:solidFill>
          </w14:textFill>
        </w:rPr>
        <w:t>单位：台 </w:t>
      </w:r>
      <w:r>
        <w:rPr>
          <w:rFonts w:hint="eastAsia" w:ascii="宋体" w:hAnsi="宋体" w:cs="宋体"/>
          <w:color w:val="000000" w:themeColor="text1"/>
          <w:sz w:val="28"/>
          <w:szCs w:val="28"/>
          <w:highlight w:val="none"/>
          <w:lang w:eastAsia="zh-CN"/>
          <w14:textFill>
            <w14:solidFill>
              <w14:schemeClr w14:val="tx1"/>
            </w14:solidFill>
          </w14:textFill>
        </w:rPr>
        <w:br w:type="textWrapping"/>
      </w:r>
      <w:r>
        <w:rPr>
          <w:rFonts w:hint="eastAsia" w:ascii="宋体" w:hAnsi="宋体" w:cs="宋体"/>
          <w:color w:val="000000" w:themeColor="text1"/>
          <w:sz w:val="28"/>
          <w:szCs w:val="28"/>
          <w:highlight w:val="none"/>
          <w:lang w:eastAsia="zh-CN"/>
          <w14:textFill>
            <w14:solidFill>
              <w14:schemeClr w14:val="tx1"/>
            </w14:solidFill>
          </w14:textFill>
        </w:rPr>
        <w:t>简要规格描述或项目基本概况介绍、用途：采购智能头痛舒眠仪（具体参数要求详见招标文件）</w:t>
      </w:r>
      <w:r>
        <w:rPr>
          <w:rFonts w:hint="eastAsia" w:ascii="宋体" w:hAnsi="宋体" w:cs="宋体"/>
          <w:color w:val="000000" w:themeColor="text1"/>
          <w:sz w:val="28"/>
          <w:szCs w:val="28"/>
          <w:highlight w:val="none"/>
          <w:lang w:eastAsia="zh-CN"/>
          <w14:textFill>
            <w14:solidFill>
              <w14:schemeClr w14:val="tx1"/>
            </w14:solidFill>
          </w14:textFill>
        </w:rPr>
        <w:br w:type="textWrapping"/>
      </w:r>
      <w:r>
        <w:rPr>
          <w:rFonts w:hint="eastAsia" w:ascii="宋体" w:hAnsi="宋体" w:cs="宋体"/>
          <w:color w:val="000000" w:themeColor="text1"/>
          <w:sz w:val="28"/>
          <w:szCs w:val="28"/>
          <w:highlight w:val="none"/>
          <w:lang w:eastAsia="zh-CN"/>
          <w14:textFill>
            <w14:solidFill>
              <w14:schemeClr w14:val="tx1"/>
            </w14:solidFill>
          </w14:textFill>
        </w:rPr>
        <w:t>备注：</w:t>
      </w:r>
    </w:p>
    <w:p w14:paraId="79198C1F">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合同履</w:t>
      </w:r>
      <w:r>
        <w:rPr>
          <w:rFonts w:hint="eastAsia" w:ascii="宋体" w:hAnsi="宋体" w:eastAsia="宋体" w:cs="宋体"/>
          <w:color w:val="000000" w:themeColor="text1"/>
          <w:sz w:val="28"/>
          <w:szCs w:val="28"/>
          <w:highlight w:val="none"/>
          <w:lang w:eastAsia="zh-CN"/>
          <w14:textFill>
            <w14:solidFill>
              <w14:schemeClr w14:val="tx1"/>
            </w14:solidFill>
          </w14:textFill>
        </w:rPr>
        <w:t>约</w:t>
      </w:r>
      <w:r>
        <w:rPr>
          <w:rFonts w:hint="eastAsia" w:ascii="宋体" w:hAnsi="宋体" w:eastAsia="宋体" w:cs="宋体"/>
          <w:color w:val="000000" w:themeColor="text1"/>
          <w:sz w:val="28"/>
          <w:szCs w:val="28"/>
          <w:highlight w:val="none"/>
          <w14:textFill>
            <w14:solidFill>
              <w14:schemeClr w14:val="tx1"/>
            </w14:solidFill>
          </w14:textFill>
        </w:rPr>
        <w:t>期限：</w:t>
      </w:r>
      <w:r>
        <w:rPr>
          <w:rFonts w:hint="eastAsia" w:ascii="宋体" w:hAnsi="宋体" w:cs="宋体"/>
          <w:color w:val="000000" w:themeColor="text1"/>
          <w:sz w:val="28"/>
          <w:szCs w:val="28"/>
          <w:highlight w:val="none"/>
          <w:lang w:eastAsia="zh-CN"/>
          <w14:textFill>
            <w14:solidFill>
              <w14:schemeClr w14:val="tx1"/>
            </w14:solidFill>
          </w14:textFill>
        </w:rPr>
        <w:t>标项</w:t>
      </w:r>
      <w:r>
        <w:rPr>
          <w:rFonts w:hint="eastAsia" w:ascii="宋体" w:hAnsi="宋体" w:cs="宋体"/>
          <w:color w:val="000000" w:themeColor="text1"/>
          <w:sz w:val="28"/>
          <w:szCs w:val="28"/>
          <w:highlight w:val="none"/>
          <w:lang w:val="en-US" w:eastAsia="zh-CN"/>
          <w14:textFill>
            <w14:solidFill>
              <w14:schemeClr w14:val="tx1"/>
            </w14:solidFill>
          </w14:textFill>
        </w:rPr>
        <w:t>1、 标项2、标项3、标项4，</w:t>
      </w:r>
      <w:r>
        <w:rPr>
          <w:rFonts w:hint="eastAsia" w:ascii="宋体" w:hAnsi="宋体" w:eastAsia="宋体" w:cs="宋体"/>
          <w:color w:val="000000" w:themeColor="text1"/>
          <w:sz w:val="28"/>
          <w:szCs w:val="28"/>
          <w:highlight w:val="none"/>
          <w14:textFill>
            <w14:solidFill>
              <w14:schemeClr w14:val="tx1"/>
            </w14:solidFill>
          </w14:textFill>
        </w:rPr>
        <w:t>详见招标文件</w:t>
      </w:r>
    </w:p>
    <w:p w14:paraId="4F8EDEB5">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本项目</w:t>
      </w:r>
      <w:r>
        <w:rPr>
          <w:rFonts w:hint="eastAsia" w:ascii="宋体" w:hAnsi="宋体" w:cs="宋体"/>
          <w:color w:val="000000" w:themeColor="text1"/>
          <w:sz w:val="28"/>
          <w:szCs w:val="28"/>
          <w:highlight w:val="none"/>
          <w:lang w:eastAsia="zh-CN"/>
          <w14:textFill>
            <w14:solidFill>
              <w14:schemeClr w14:val="tx1"/>
            </w14:solidFill>
          </w14:textFill>
        </w:rPr>
        <w:t>标项</w:t>
      </w:r>
      <w:r>
        <w:rPr>
          <w:rFonts w:hint="eastAsia" w:ascii="宋体" w:hAnsi="宋体" w:cs="宋体"/>
          <w:color w:val="000000" w:themeColor="text1"/>
          <w:sz w:val="28"/>
          <w:szCs w:val="28"/>
          <w:highlight w:val="none"/>
          <w:lang w:val="en-US" w:eastAsia="zh-CN"/>
          <w14:textFill>
            <w14:solidFill>
              <w14:schemeClr w14:val="tx1"/>
            </w14:solidFill>
          </w14:textFill>
        </w:rPr>
        <w:t>1、 标项2、标项3、标项4</w:t>
      </w:r>
      <w:r>
        <w:rPr>
          <w:rFonts w:hint="eastAsia" w:ascii="宋体" w:hAnsi="宋体" w:eastAsia="宋体" w:cs="宋体"/>
          <w:color w:val="000000" w:themeColor="text1"/>
          <w:sz w:val="28"/>
          <w:szCs w:val="28"/>
          <w:highlight w:val="none"/>
          <w14:textFill>
            <w14:solidFill>
              <w14:schemeClr w14:val="tx1"/>
            </w14:solidFill>
          </w14:textFill>
        </w:rPr>
        <w:t>（否）接受联合体投标</w:t>
      </w:r>
    </w:p>
    <w:p w14:paraId="6F1963C9">
      <w:pPr>
        <w:pStyle w:val="3"/>
        <w:keepNext/>
        <w:keepLines/>
        <w:pageBreakBefore w:val="0"/>
        <w:widowControl w:val="0"/>
        <w:kinsoku/>
        <w:wordWrap/>
        <w:overflowPunct/>
        <w:topLinePunct w:val="0"/>
        <w:autoSpaceDE/>
        <w:autoSpaceDN/>
        <w:bidi w:val="0"/>
        <w:adjustRightInd/>
        <w:snapToGrid/>
        <w:spacing w:before="0" w:after="0" w:line="560" w:lineRule="exact"/>
        <w:ind w:left="0" w:leftChars="0"/>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二、</w:t>
      </w:r>
      <w:r>
        <w:rPr>
          <w:rFonts w:hint="eastAsia" w:ascii="宋体" w:hAnsi="宋体" w:eastAsia="宋体" w:cs="宋体"/>
          <w:color w:val="000000" w:themeColor="text1"/>
          <w:sz w:val="28"/>
          <w:szCs w:val="28"/>
          <w:highlight w:val="none"/>
          <w:lang w:eastAsia="zh-CN"/>
          <w14:textFill>
            <w14:solidFill>
              <w14:schemeClr w14:val="tx1"/>
            </w14:solidFill>
          </w14:textFill>
        </w:rPr>
        <w:t>供应商</w:t>
      </w:r>
      <w:r>
        <w:rPr>
          <w:rFonts w:hint="eastAsia" w:ascii="宋体" w:hAnsi="宋体" w:eastAsia="宋体" w:cs="宋体"/>
          <w:color w:val="000000" w:themeColor="text1"/>
          <w:sz w:val="28"/>
          <w:szCs w:val="28"/>
          <w:highlight w:val="none"/>
          <w14:textFill>
            <w14:solidFill>
              <w14:schemeClr w14:val="tx1"/>
            </w14:solidFill>
          </w14:textFill>
        </w:rPr>
        <w:t>的资格要求：</w:t>
      </w:r>
    </w:p>
    <w:p w14:paraId="7F6621C1">
      <w:pPr>
        <w:pageBreakBefore w:val="0"/>
        <w:widowControl w:val="0"/>
        <w:kinsoku/>
        <w:wordWrap/>
        <w:overflowPunct/>
        <w:topLinePunct w:val="0"/>
        <w:autoSpaceDE/>
        <w:autoSpaceDN/>
        <w:bidi w:val="0"/>
        <w:adjustRightInd/>
        <w:snapToGrid/>
        <w:spacing w:line="560" w:lineRule="exact"/>
        <w:ind w:left="0" w:leftChars="0"/>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1.满足《中华人民共和国政府采购法》第二十二条规定；</w:t>
      </w:r>
    </w:p>
    <w:p w14:paraId="69217647">
      <w:pPr>
        <w:pageBreakBefore w:val="0"/>
        <w:widowControl w:val="0"/>
        <w:kinsoku/>
        <w:wordWrap/>
        <w:overflowPunct/>
        <w:topLinePunct w:val="0"/>
        <w:autoSpaceDE/>
        <w:autoSpaceDN/>
        <w:bidi w:val="0"/>
        <w:adjustRightInd/>
        <w:snapToGrid/>
        <w:spacing w:line="560" w:lineRule="exact"/>
        <w:ind w:left="0" w:leftChars="0"/>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（1）具有独立承担民事责任的能力；</w:t>
      </w:r>
    </w:p>
    <w:p w14:paraId="3EF5465E">
      <w:pPr>
        <w:pageBreakBefore w:val="0"/>
        <w:widowControl w:val="0"/>
        <w:kinsoku/>
        <w:wordWrap/>
        <w:overflowPunct/>
        <w:topLinePunct w:val="0"/>
        <w:autoSpaceDE/>
        <w:autoSpaceDN/>
        <w:bidi w:val="0"/>
        <w:adjustRightInd/>
        <w:snapToGrid/>
        <w:spacing w:line="560" w:lineRule="exact"/>
        <w:ind w:left="0" w:leftChars="0"/>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（2）具有良好的商业信誉和健全的财务会计制度； </w:t>
      </w:r>
      <w:r>
        <w:rPr>
          <w:rFonts w:hint="eastAsia" w:ascii="宋体" w:hAnsi="宋体" w:eastAsia="宋体" w:cs="宋体"/>
          <w:color w:val="000000" w:themeColor="text1"/>
          <w:sz w:val="28"/>
          <w:szCs w:val="28"/>
          <w:highlight w:val="none"/>
          <w14:textFill>
            <w14:solidFill>
              <w14:schemeClr w14:val="tx1"/>
            </w14:solidFill>
          </w14:textFill>
        </w:rPr>
        <w:br w:type="textWrapping"/>
      </w:r>
      <w:r>
        <w:rPr>
          <w:rFonts w:hint="eastAsia" w:ascii="宋体" w:hAnsi="宋体" w:eastAsia="宋体" w:cs="宋体"/>
          <w:color w:val="000000" w:themeColor="text1"/>
          <w:sz w:val="28"/>
          <w:szCs w:val="28"/>
          <w:highlight w:val="none"/>
          <w14:textFill>
            <w14:solidFill>
              <w14:schemeClr w14:val="tx1"/>
            </w14:solidFill>
          </w14:textFill>
        </w:rPr>
        <w:t>（3）具有履行合同所必需的设备和专业技术能力；</w:t>
      </w:r>
    </w:p>
    <w:p w14:paraId="48CA6631">
      <w:pPr>
        <w:pageBreakBefore w:val="0"/>
        <w:widowControl w:val="0"/>
        <w:kinsoku/>
        <w:wordWrap/>
        <w:overflowPunct/>
        <w:topLinePunct w:val="0"/>
        <w:autoSpaceDE/>
        <w:autoSpaceDN/>
        <w:bidi w:val="0"/>
        <w:adjustRightInd/>
        <w:snapToGrid/>
        <w:spacing w:line="560" w:lineRule="exact"/>
        <w:ind w:left="0" w:leftChars="0"/>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（4）有依法缴纳税收和社会保障资金的良好记录； </w:t>
      </w:r>
      <w:r>
        <w:rPr>
          <w:rFonts w:hint="eastAsia" w:ascii="宋体" w:hAnsi="宋体" w:eastAsia="宋体" w:cs="宋体"/>
          <w:color w:val="000000" w:themeColor="text1"/>
          <w:sz w:val="28"/>
          <w:szCs w:val="28"/>
          <w:highlight w:val="none"/>
          <w14:textFill>
            <w14:solidFill>
              <w14:schemeClr w14:val="tx1"/>
            </w14:solidFill>
          </w14:textFill>
        </w:rPr>
        <w:br w:type="textWrapping"/>
      </w:r>
      <w:r>
        <w:rPr>
          <w:rFonts w:hint="eastAsia" w:ascii="宋体" w:hAnsi="宋体" w:eastAsia="宋体" w:cs="宋体"/>
          <w:color w:val="000000" w:themeColor="text1"/>
          <w:sz w:val="28"/>
          <w:szCs w:val="28"/>
          <w:highlight w:val="none"/>
          <w14:textFill>
            <w14:solidFill>
              <w14:schemeClr w14:val="tx1"/>
            </w14:solidFill>
          </w14:textFill>
        </w:rPr>
        <w:t xml:space="preserve">（5）参加政府采购活动前三年内，在经营活动中没有重大违法记录； </w:t>
      </w:r>
      <w:r>
        <w:rPr>
          <w:rFonts w:hint="eastAsia" w:ascii="宋体" w:hAnsi="宋体" w:eastAsia="宋体" w:cs="宋体"/>
          <w:color w:val="000000" w:themeColor="text1"/>
          <w:sz w:val="28"/>
          <w:szCs w:val="28"/>
          <w:highlight w:val="none"/>
          <w14:textFill>
            <w14:solidFill>
              <w14:schemeClr w14:val="tx1"/>
            </w14:solidFill>
          </w14:textFill>
        </w:rPr>
        <w:br w:type="textWrapping"/>
      </w:r>
      <w:r>
        <w:rPr>
          <w:rFonts w:hint="eastAsia" w:ascii="宋体" w:hAnsi="宋体" w:eastAsia="宋体" w:cs="宋体"/>
          <w:color w:val="000000" w:themeColor="text1"/>
          <w:sz w:val="28"/>
          <w:szCs w:val="28"/>
          <w:highlight w:val="none"/>
          <w14:textFill>
            <w14:solidFill>
              <w14:schemeClr w14:val="tx1"/>
            </w14:solidFill>
          </w14:textFill>
        </w:rPr>
        <w:t>（6）法律、行政法规规定的其他条件。</w:t>
      </w:r>
    </w:p>
    <w:p w14:paraId="749AD635">
      <w:pPr>
        <w:pageBreakBefore w:val="0"/>
        <w:widowControl w:val="0"/>
        <w:kinsoku/>
        <w:wordWrap/>
        <w:overflowPunct/>
        <w:topLinePunct w:val="0"/>
        <w:autoSpaceDE/>
        <w:autoSpaceDN/>
        <w:bidi w:val="0"/>
        <w:adjustRightInd/>
        <w:snapToGrid/>
        <w:spacing w:line="560" w:lineRule="exact"/>
        <w:ind w:left="0" w:leftChars="0"/>
        <w:textAlignment w:val="auto"/>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t>2.落实政府采购政策需满足的资格要求：</w:t>
      </w:r>
      <w:r>
        <w:rPr>
          <w:rFonts w:hint="eastAsia" w:ascii="宋体" w:hAnsi="宋体" w:cs="宋体"/>
          <w:color w:val="000000" w:themeColor="text1"/>
          <w:sz w:val="28"/>
          <w:szCs w:val="28"/>
          <w:highlight w:val="none"/>
          <w:lang w:eastAsia="zh-CN"/>
          <w14:textFill>
            <w14:solidFill>
              <w14:schemeClr w14:val="tx1"/>
            </w14:solidFill>
          </w14:textFill>
        </w:rPr>
        <w:t>标项</w:t>
      </w:r>
      <w:r>
        <w:rPr>
          <w:rFonts w:hint="eastAsia" w:ascii="宋体" w:hAnsi="宋体" w:cs="宋体"/>
          <w:color w:val="000000" w:themeColor="text1"/>
          <w:sz w:val="28"/>
          <w:szCs w:val="28"/>
          <w:highlight w:val="none"/>
          <w:lang w:val="en-US" w:eastAsia="zh-CN"/>
          <w14:textFill>
            <w14:solidFill>
              <w14:schemeClr w14:val="tx1"/>
            </w14:solidFill>
          </w14:textFill>
        </w:rPr>
        <w:t>1、 标项2、标项3、标项4，</w:t>
      </w:r>
      <w:r>
        <w:rPr>
          <w:rFonts w:hint="eastAsia" w:ascii="宋体" w:hAnsi="宋体" w:cs="宋体"/>
          <w:color w:val="000000" w:themeColor="text1"/>
          <w:sz w:val="28"/>
          <w:szCs w:val="28"/>
          <w:highlight w:val="none"/>
          <w:lang w:eastAsia="zh-CN"/>
          <w14:textFill>
            <w14:solidFill>
              <w14:schemeClr w14:val="tx1"/>
            </w14:solidFill>
          </w14:textFill>
        </w:rPr>
        <w:t>本项目为非专门面向中小企业采购项目，根据《政府采购促进中小企业发展管理办法》（财库【2020】46号）及（财库[2022]19号）的规定，评标时将给予此类企业进行价格扣除10%的优惠，用优惠后的价格参与评审。</w:t>
      </w:r>
    </w:p>
    <w:p w14:paraId="7F0F0288">
      <w:pPr>
        <w:pageBreakBefore w:val="0"/>
        <w:kinsoku/>
        <w:wordWrap/>
        <w:overflowPunct/>
        <w:topLinePunct w:val="0"/>
        <w:autoSpaceDE/>
        <w:autoSpaceDN/>
        <w:bidi w:val="0"/>
        <w:adjustRightInd w:val="0"/>
        <w:snapToGrid w:val="0"/>
        <w:spacing w:line="560" w:lineRule="exact"/>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3.本项目的特定资格要求</w:t>
      </w:r>
      <w:r>
        <w:rPr>
          <w:rFonts w:hint="eastAsia" w:ascii="宋体" w:hAnsi="宋体" w:eastAsia="宋体" w:cs="宋体"/>
          <w:color w:val="000000" w:themeColor="text1"/>
          <w:sz w:val="28"/>
          <w:szCs w:val="28"/>
          <w:highlight w:val="none"/>
          <w14:textFill>
            <w14:solidFill>
              <w14:schemeClr w14:val="tx1"/>
            </w14:solidFill>
          </w14:textFill>
        </w:rPr>
        <w:t>：</w:t>
      </w:r>
    </w:p>
    <w:p w14:paraId="09B86EF1">
      <w:pPr>
        <w:pageBreakBefore w:val="0"/>
        <w:kinsoku/>
        <w:wordWrap/>
        <w:overflowPunct/>
        <w:topLinePunct w:val="0"/>
        <w:autoSpaceDE/>
        <w:autoSpaceDN/>
        <w:bidi w:val="0"/>
        <w:adjustRightInd w:val="0"/>
        <w:snapToGrid w:val="0"/>
        <w:spacing w:line="560" w:lineRule="exact"/>
        <w:textAlignment w:val="auto"/>
        <w:rPr>
          <w:rFonts w:hint="eastAsia" w:ascii="宋体" w:hAnsi="宋体" w:cs="宋体"/>
          <w:color w:val="000000" w:themeColor="text1"/>
          <w:sz w:val="28"/>
          <w:szCs w:val="28"/>
          <w:highlight w:val="none"/>
          <w:lang w:val="en-US" w:eastAsia="zh-CN"/>
          <w14:textFill>
            <w14:solidFill>
              <w14:schemeClr w14:val="tx1"/>
            </w14:solidFill>
          </w14:textFill>
        </w:rPr>
      </w:pPr>
      <w:r>
        <w:rPr>
          <w:rFonts w:hint="eastAsia" w:ascii="宋体" w:hAnsi="宋体" w:cs="宋体"/>
          <w:color w:val="000000" w:themeColor="text1"/>
          <w:sz w:val="28"/>
          <w:szCs w:val="28"/>
          <w:highlight w:val="none"/>
          <w:lang w:eastAsia="zh-CN"/>
          <w14:textFill>
            <w14:solidFill>
              <w14:schemeClr w14:val="tx1"/>
            </w14:solidFill>
          </w14:textFill>
        </w:rPr>
        <w:t>标项</w:t>
      </w:r>
      <w:r>
        <w:rPr>
          <w:rFonts w:hint="eastAsia" w:ascii="宋体" w:hAnsi="宋体" w:cs="宋体"/>
          <w:color w:val="000000" w:themeColor="text1"/>
          <w:sz w:val="28"/>
          <w:szCs w:val="28"/>
          <w:highlight w:val="none"/>
          <w:lang w:val="en-US" w:eastAsia="zh-CN"/>
          <w14:textFill>
            <w14:solidFill>
              <w14:schemeClr w14:val="tx1"/>
            </w14:solidFill>
          </w14:textFill>
        </w:rPr>
        <w:t>1：无</w:t>
      </w:r>
    </w:p>
    <w:p w14:paraId="451EFD6C">
      <w:pPr>
        <w:pageBreakBefore w:val="0"/>
        <w:kinsoku/>
        <w:wordWrap/>
        <w:overflowPunct/>
        <w:topLinePunct w:val="0"/>
        <w:autoSpaceDE/>
        <w:autoSpaceDN/>
        <w:bidi w:val="0"/>
        <w:adjustRightInd w:val="0"/>
        <w:snapToGrid w:val="0"/>
        <w:spacing w:line="560" w:lineRule="exact"/>
        <w:textAlignment w:val="auto"/>
        <w:rPr>
          <w:rFonts w:hint="eastAsia" w:ascii="宋体" w:hAnsi="宋体" w:cs="宋体"/>
          <w:color w:val="000000" w:themeColor="text1"/>
          <w:sz w:val="28"/>
          <w:szCs w:val="28"/>
          <w:highlight w:val="none"/>
          <w:lang w:val="en-US" w:eastAsia="zh-CN"/>
          <w14:textFill>
            <w14:solidFill>
              <w14:schemeClr w14:val="tx1"/>
            </w14:solidFill>
          </w14:textFill>
        </w:rPr>
      </w:pPr>
      <w:r>
        <w:rPr>
          <w:rFonts w:hint="eastAsia" w:ascii="宋体" w:hAnsi="宋体" w:cs="宋体"/>
          <w:color w:val="000000" w:themeColor="text1"/>
          <w:sz w:val="28"/>
          <w:szCs w:val="28"/>
          <w:highlight w:val="none"/>
          <w:lang w:val="en-US" w:eastAsia="zh-CN"/>
          <w14:textFill>
            <w14:solidFill>
              <w14:schemeClr w14:val="tx1"/>
            </w14:solidFill>
          </w14:textFill>
        </w:rPr>
        <w:t>标项2：无</w:t>
      </w:r>
    </w:p>
    <w:p w14:paraId="056E7586">
      <w:pPr>
        <w:pageBreakBefore w:val="0"/>
        <w:kinsoku/>
        <w:wordWrap/>
        <w:overflowPunct/>
        <w:topLinePunct w:val="0"/>
        <w:autoSpaceDE/>
        <w:autoSpaceDN/>
        <w:bidi w:val="0"/>
        <w:adjustRightInd w:val="0"/>
        <w:snapToGrid w:val="0"/>
        <w:spacing w:line="560" w:lineRule="exact"/>
        <w:textAlignment w:val="auto"/>
        <w:rPr>
          <w:rFonts w:hint="eastAsia" w:ascii="宋体" w:hAnsi="宋体" w:cs="宋体"/>
          <w:color w:val="000000" w:themeColor="text1"/>
          <w:sz w:val="28"/>
          <w:szCs w:val="28"/>
          <w:highlight w:val="none"/>
          <w:lang w:val="en-US" w:eastAsia="zh-CN"/>
          <w14:textFill>
            <w14:solidFill>
              <w14:schemeClr w14:val="tx1"/>
            </w14:solidFill>
          </w14:textFill>
        </w:rPr>
      </w:pPr>
      <w:r>
        <w:rPr>
          <w:rFonts w:hint="eastAsia" w:ascii="宋体" w:hAnsi="宋体" w:cs="宋体"/>
          <w:color w:val="000000" w:themeColor="text1"/>
          <w:sz w:val="28"/>
          <w:szCs w:val="28"/>
          <w:highlight w:val="none"/>
          <w:lang w:val="en-US" w:eastAsia="zh-CN"/>
          <w14:textFill>
            <w14:solidFill>
              <w14:schemeClr w14:val="tx1"/>
            </w14:solidFill>
          </w14:textFill>
        </w:rPr>
        <w:t>标项3：无</w:t>
      </w:r>
    </w:p>
    <w:p w14:paraId="62FD7327">
      <w:pPr>
        <w:pageBreakBefore w:val="0"/>
        <w:kinsoku/>
        <w:wordWrap/>
        <w:overflowPunct/>
        <w:topLinePunct w:val="0"/>
        <w:autoSpaceDE/>
        <w:autoSpaceDN/>
        <w:bidi w:val="0"/>
        <w:adjustRightInd w:val="0"/>
        <w:snapToGrid w:val="0"/>
        <w:spacing w:line="560" w:lineRule="exact"/>
        <w:textAlignment w:val="auto"/>
        <w:rPr>
          <w:rFonts w:hint="eastAsia" w:ascii="宋体" w:hAnsi="宋体" w:cs="宋体"/>
          <w:color w:val="000000" w:themeColor="text1"/>
          <w:sz w:val="28"/>
          <w:szCs w:val="28"/>
          <w:highlight w:val="none"/>
          <w:lang w:val="en-US" w:eastAsia="zh-CN"/>
          <w14:textFill>
            <w14:solidFill>
              <w14:schemeClr w14:val="tx1"/>
            </w14:solidFill>
          </w14:textFill>
        </w:rPr>
      </w:pPr>
      <w:r>
        <w:rPr>
          <w:rFonts w:hint="eastAsia" w:ascii="宋体" w:hAnsi="宋体" w:cs="宋体"/>
          <w:color w:val="000000" w:themeColor="text1"/>
          <w:sz w:val="28"/>
          <w:szCs w:val="28"/>
          <w:highlight w:val="none"/>
          <w:lang w:val="en-US" w:eastAsia="zh-CN"/>
          <w14:textFill>
            <w14:solidFill>
              <w14:schemeClr w14:val="tx1"/>
            </w14:solidFill>
          </w14:textFill>
        </w:rPr>
        <w:t>标项4：</w:t>
      </w:r>
    </w:p>
    <w:p w14:paraId="3722CFBF">
      <w:pPr>
        <w:pageBreakBefore w:val="0"/>
        <w:kinsoku/>
        <w:wordWrap/>
        <w:overflowPunct/>
        <w:topLinePunct w:val="0"/>
        <w:autoSpaceDE/>
        <w:autoSpaceDN/>
        <w:bidi w:val="0"/>
        <w:adjustRightInd w:val="0"/>
        <w:snapToGrid w:val="0"/>
        <w:spacing w:line="560" w:lineRule="exact"/>
        <w:textAlignment w:val="auto"/>
        <w:rPr>
          <w:rFonts w:hint="eastAsia" w:ascii="宋体" w:hAnsi="宋体" w:cs="宋体"/>
          <w:color w:val="000000" w:themeColor="text1"/>
          <w:sz w:val="28"/>
          <w:szCs w:val="28"/>
          <w:highlight w:val="none"/>
          <w:lang w:val="en-US" w:eastAsia="zh-CN"/>
          <w14:textFill>
            <w14:solidFill>
              <w14:schemeClr w14:val="tx1"/>
            </w14:solidFill>
          </w14:textFill>
        </w:rPr>
      </w:pPr>
      <w:r>
        <w:rPr>
          <w:rFonts w:hint="eastAsia" w:ascii="宋体" w:hAnsi="宋体" w:cs="宋体"/>
          <w:b w:val="0"/>
          <w:bCs/>
          <w:color w:val="000000" w:themeColor="text1"/>
          <w:sz w:val="28"/>
          <w:szCs w:val="28"/>
          <w:highlight w:val="none"/>
          <w:lang w:eastAsia="zh-CN"/>
          <w14:textFill>
            <w14:solidFill>
              <w14:schemeClr w14:val="tx1"/>
            </w14:solidFill>
          </w14:textFill>
        </w:rPr>
        <w:t>（1）供应商为制造商需提供《医疗器械生产许可证》 及投标产品《医疗器械注册证》；（2）供应商为代理商需提供有效的行政主管部门颁发的《医疗器械经营备案证》</w:t>
      </w:r>
      <w:r>
        <w:rPr>
          <w:rFonts w:hint="eastAsia" w:ascii="宋体" w:hAnsi="宋体" w:cs="宋体"/>
          <w:b w:val="0"/>
          <w:bCs/>
          <w:color w:val="000000" w:themeColor="text1"/>
          <w:sz w:val="28"/>
          <w:szCs w:val="28"/>
          <w:highlight w:val="none"/>
          <w:lang w:val="en-US" w:eastAsia="zh-CN"/>
          <w14:textFill>
            <w14:solidFill>
              <w14:schemeClr w14:val="tx1"/>
            </w14:solidFill>
          </w14:textFill>
        </w:rPr>
        <w:t>和</w:t>
      </w:r>
      <w:r>
        <w:rPr>
          <w:rFonts w:hint="eastAsia" w:ascii="宋体" w:hAnsi="宋体" w:cs="宋体"/>
          <w:b w:val="0"/>
          <w:bCs/>
          <w:color w:val="000000" w:themeColor="text1"/>
          <w:sz w:val="28"/>
          <w:szCs w:val="28"/>
          <w:highlight w:val="none"/>
          <w:lang w:eastAsia="zh-CN"/>
          <w14:textFill>
            <w14:solidFill>
              <w14:schemeClr w14:val="tx1"/>
            </w14:solidFill>
          </w14:textFill>
        </w:rPr>
        <w:t>《医疗器械经营许可证》及制造商的《医疗器械生产许可证》和投标产品《医疗器械注册证》；</w:t>
      </w:r>
    </w:p>
    <w:p w14:paraId="335DAF83">
      <w:pPr>
        <w:pStyle w:val="3"/>
        <w:keepNext/>
        <w:keepLines/>
        <w:pageBreakBefore w:val="0"/>
        <w:widowControl w:val="0"/>
        <w:kinsoku/>
        <w:wordWrap/>
        <w:overflowPunct/>
        <w:topLinePunct w:val="0"/>
        <w:autoSpaceDE/>
        <w:autoSpaceDN/>
        <w:bidi w:val="0"/>
        <w:adjustRightInd/>
        <w:snapToGrid/>
        <w:spacing w:before="0" w:after="0" w:line="560" w:lineRule="exact"/>
        <w:ind w:left="0" w:leftChars="0"/>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三、获取采购文件：</w:t>
      </w:r>
    </w:p>
    <w:p w14:paraId="2537A22E">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时间：</w:t>
      </w:r>
      <w:r>
        <w:rPr>
          <w:rFonts w:hint="eastAsia" w:ascii="宋体" w:hAnsi="宋体" w:eastAsia="宋体" w:cs="宋体"/>
          <w:b/>
          <w:bCs/>
          <w:color w:val="000000" w:themeColor="text1"/>
          <w:sz w:val="28"/>
          <w:szCs w:val="28"/>
          <w:highlight w:val="none"/>
          <w:u w:val="single"/>
          <w14:textFill>
            <w14:solidFill>
              <w14:schemeClr w14:val="tx1"/>
            </w14:solidFill>
          </w14:textFill>
        </w:rPr>
        <w:t>202</w:t>
      </w:r>
      <w:r>
        <w:rPr>
          <w:rFonts w:hint="eastAsia" w:ascii="宋体" w:hAnsi="宋体" w:cs="宋体"/>
          <w:b/>
          <w:bCs/>
          <w:color w:val="000000" w:themeColor="text1"/>
          <w:sz w:val="28"/>
          <w:szCs w:val="28"/>
          <w:highlight w:val="none"/>
          <w:u w:val="single"/>
          <w:lang w:val="en-US" w:eastAsia="zh-CN"/>
          <w14:textFill>
            <w14:solidFill>
              <w14:schemeClr w14:val="tx1"/>
            </w14:solidFill>
          </w14:textFill>
        </w:rPr>
        <w:t>5</w:t>
      </w:r>
      <w:r>
        <w:rPr>
          <w:rFonts w:hint="eastAsia" w:ascii="宋体" w:hAnsi="宋体" w:eastAsia="宋体" w:cs="宋体"/>
          <w:b/>
          <w:bCs/>
          <w:color w:val="000000" w:themeColor="text1"/>
          <w:sz w:val="28"/>
          <w:szCs w:val="28"/>
          <w:highlight w:val="none"/>
          <w:u w:val="single"/>
          <w14:textFill>
            <w14:solidFill>
              <w14:schemeClr w14:val="tx1"/>
            </w14:solidFill>
          </w14:textFill>
        </w:rPr>
        <w:t>年</w:t>
      </w:r>
      <w:r>
        <w:rPr>
          <w:rFonts w:hint="eastAsia" w:ascii="宋体" w:hAnsi="宋体" w:cs="宋体"/>
          <w:b/>
          <w:bCs/>
          <w:color w:val="000000" w:themeColor="text1"/>
          <w:sz w:val="28"/>
          <w:szCs w:val="28"/>
          <w:highlight w:val="none"/>
          <w:u w:val="single"/>
          <w:lang w:val="en-US" w:eastAsia="zh-CN"/>
          <w14:textFill>
            <w14:solidFill>
              <w14:schemeClr w14:val="tx1"/>
            </w14:solidFill>
          </w14:textFill>
        </w:rPr>
        <w:t>06</w:t>
      </w:r>
      <w:r>
        <w:rPr>
          <w:rFonts w:hint="eastAsia" w:ascii="宋体" w:hAnsi="宋体" w:eastAsia="宋体" w:cs="宋体"/>
          <w:b/>
          <w:bCs/>
          <w:color w:val="000000" w:themeColor="text1"/>
          <w:sz w:val="28"/>
          <w:szCs w:val="28"/>
          <w:highlight w:val="none"/>
          <w:u w:val="single"/>
          <w14:textFill>
            <w14:solidFill>
              <w14:schemeClr w14:val="tx1"/>
            </w14:solidFill>
          </w14:textFill>
        </w:rPr>
        <w:t>月</w:t>
      </w:r>
      <w:r>
        <w:rPr>
          <w:rFonts w:hint="eastAsia" w:ascii="宋体" w:hAnsi="宋体" w:cs="宋体"/>
          <w:b/>
          <w:bCs/>
          <w:color w:val="000000" w:themeColor="text1"/>
          <w:sz w:val="28"/>
          <w:szCs w:val="28"/>
          <w:highlight w:val="none"/>
          <w:u w:val="single"/>
          <w:lang w:val="en-US" w:eastAsia="zh-CN"/>
          <w14:textFill>
            <w14:solidFill>
              <w14:schemeClr w14:val="tx1"/>
            </w14:solidFill>
          </w14:textFill>
        </w:rPr>
        <w:t>27</w:t>
      </w:r>
      <w:r>
        <w:rPr>
          <w:rFonts w:hint="eastAsia" w:ascii="宋体" w:hAnsi="宋体" w:eastAsia="宋体" w:cs="宋体"/>
          <w:b/>
          <w:bCs/>
          <w:color w:val="000000" w:themeColor="text1"/>
          <w:sz w:val="28"/>
          <w:szCs w:val="28"/>
          <w:highlight w:val="none"/>
          <w:u w:val="single"/>
          <w14:textFill>
            <w14:solidFill>
              <w14:schemeClr w14:val="tx1"/>
            </w14:solidFill>
          </w14:textFill>
        </w:rPr>
        <w:t>日</w:t>
      </w:r>
      <w:r>
        <w:rPr>
          <w:rFonts w:hint="eastAsia" w:ascii="宋体" w:hAnsi="宋体" w:eastAsia="宋体" w:cs="宋体"/>
          <w:b/>
          <w:bCs/>
          <w:color w:val="000000" w:themeColor="text1"/>
          <w:sz w:val="28"/>
          <w:szCs w:val="28"/>
          <w:highlight w:val="none"/>
          <w14:textFill>
            <w14:solidFill>
              <w14:schemeClr w14:val="tx1"/>
            </w14:solidFill>
          </w14:textFill>
        </w:rPr>
        <w:t>至</w:t>
      </w:r>
      <w:r>
        <w:rPr>
          <w:rFonts w:hint="eastAsia" w:ascii="宋体" w:hAnsi="宋体" w:eastAsia="宋体" w:cs="宋体"/>
          <w:b/>
          <w:bCs/>
          <w:color w:val="000000" w:themeColor="text1"/>
          <w:sz w:val="28"/>
          <w:szCs w:val="28"/>
          <w:highlight w:val="none"/>
          <w:u w:val="single"/>
          <w14:textFill>
            <w14:solidFill>
              <w14:schemeClr w14:val="tx1"/>
            </w14:solidFill>
          </w14:textFill>
        </w:rPr>
        <w:t>202</w:t>
      </w:r>
      <w:r>
        <w:rPr>
          <w:rFonts w:hint="eastAsia" w:ascii="宋体" w:hAnsi="宋体" w:cs="宋体"/>
          <w:b/>
          <w:bCs/>
          <w:color w:val="000000" w:themeColor="text1"/>
          <w:sz w:val="28"/>
          <w:szCs w:val="28"/>
          <w:highlight w:val="none"/>
          <w:u w:val="single"/>
          <w:lang w:val="en-US" w:eastAsia="zh-CN"/>
          <w14:textFill>
            <w14:solidFill>
              <w14:schemeClr w14:val="tx1"/>
            </w14:solidFill>
          </w14:textFill>
        </w:rPr>
        <w:t>5</w:t>
      </w:r>
      <w:r>
        <w:rPr>
          <w:rFonts w:hint="eastAsia" w:ascii="宋体" w:hAnsi="宋体" w:eastAsia="宋体" w:cs="宋体"/>
          <w:b/>
          <w:bCs/>
          <w:color w:val="000000" w:themeColor="text1"/>
          <w:sz w:val="28"/>
          <w:szCs w:val="28"/>
          <w:highlight w:val="none"/>
          <w:u w:val="single"/>
          <w14:textFill>
            <w14:solidFill>
              <w14:schemeClr w14:val="tx1"/>
            </w14:solidFill>
          </w14:textFill>
        </w:rPr>
        <w:t>年</w:t>
      </w:r>
      <w:r>
        <w:rPr>
          <w:rFonts w:hint="eastAsia" w:ascii="宋体" w:hAnsi="宋体" w:cs="宋体"/>
          <w:b/>
          <w:bCs/>
          <w:color w:val="000000" w:themeColor="text1"/>
          <w:sz w:val="28"/>
          <w:szCs w:val="28"/>
          <w:highlight w:val="none"/>
          <w:u w:val="single"/>
          <w:lang w:val="en-US" w:eastAsia="zh-CN"/>
          <w14:textFill>
            <w14:solidFill>
              <w14:schemeClr w14:val="tx1"/>
            </w14:solidFill>
          </w14:textFill>
        </w:rPr>
        <w:t>07</w:t>
      </w:r>
      <w:r>
        <w:rPr>
          <w:rFonts w:hint="eastAsia" w:ascii="宋体" w:hAnsi="宋体" w:eastAsia="宋体" w:cs="宋体"/>
          <w:b/>
          <w:bCs/>
          <w:color w:val="000000" w:themeColor="text1"/>
          <w:sz w:val="28"/>
          <w:szCs w:val="28"/>
          <w:highlight w:val="none"/>
          <w:u w:val="single"/>
          <w14:textFill>
            <w14:solidFill>
              <w14:schemeClr w14:val="tx1"/>
            </w14:solidFill>
          </w14:textFill>
        </w:rPr>
        <w:t>月</w:t>
      </w:r>
      <w:r>
        <w:rPr>
          <w:rFonts w:hint="eastAsia" w:ascii="宋体" w:hAnsi="宋体" w:cs="宋体"/>
          <w:b/>
          <w:bCs/>
          <w:color w:val="000000" w:themeColor="text1"/>
          <w:sz w:val="28"/>
          <w:szCs w:val="28"/>
          <w:highlight w:val="none"/>
          <w:u w:val="single"/>
          <w:lang w:val="en-US" w:eastAsia="zh-CN"/>
          <w14:textFill>
            <w14:solidFill>
              <w14:schemeClr w14:val="tx1"/>
            </w14:solidFill>
          </w14:textFill>
        </w:rPr>
        <w:t>03</w:t>
      </w:r>
      <w:r>
        <w:rPr>
          <w:rFonts w:hint="eastAsia" w:ascii="宋体" w:hAnsi="宋体" w:eastAsia="宋体" w:cs="宋体"/>
          <w:b/>
          <w:bCs/>
          <w:color w:val="000000" w:themeColor="text1"/>
          <w:sz w:val="28"/>
          <w:szCs w:val="28"/>
          <w:highlight w:val="none"/>
          <w:u w:val="single"/>
          <w14:textFill>
            <w14:solidFill>
              <w14:schemeClr w14:val="tx1"/>
            </w14:solidFill>
          </w14:textFill>
        </w:rPr>
        <w:t>日</w:t>
      </w:r>
      <w:r>
        <w:rPr>
          <w:rFonts w:hint="eastAsia" w:ascii="宋体" w:hAnsi="宋体" w:eastAsia="宋体" w:cs="宋体"/>
          <w:color w:val="000000" w:themeColor="text1"/>
          <w:sz w:val="28"/>
          <w:szCs w:val="28"/>
          <w:highlight w:val="none"/>
          <w:u w:val="single"/>
          <w14:textFill>
            <w14:solidFill>
              <w14:schemeClr w14:val="tx1"/>
            </w14:solidFill>
          </w14:textFill>
        </w:rPr>
        <w:t>（招标文件的发售期限自开始之日起不得少于5个工作日）</w:t>
      </w:r>
      <w:r>
        <w:rPr>
          <w:rFonts w:hint="eastAsia" w:ascii="宋体" w:hAnsi="宋体" w:eastAsia="宋体" w:cs="宋体"/>
          <w:color w:val="000000" w:themeColor="text1"/>
          <w:sz w:val="28"/>
          <w:szCs w:val="28"/>
          <w:highlight w:val="none"/>
          <w14:textFill>
            <w14:solidFill>
              <w14:schemeClr w14:val="tx1"/>
            </w14:solidFill>
          </w14:textFill>
        </w:rPr>
        <w:t>，每天上午</w:t>
      </w:r>
      <w:r>
        <w:rPr>
          <w:rFonts w:hint="eastAsia" w:ascii="宋体" w:hAnsi="宋体" w:eastAsia="宋体" w:cs="宋体"/>
          <w:color w:val="000000" w:themeColor="text1"/>
          <w:sz w:val="28"/>
          <w:szCs w:val="28"/>
          <w:highlight w:val="none"/>
          <w:u w:val="single"/>
          <w14:textFill>
            <w14:solidFill>
              <w14:schemeClr w14:val="tx1"/>
            </w14:solidFill>
          </w14:textFill>
        </w:rPr>
        <w:t>0</w:t>
      </w:r>
      <w:r>
        <w:rPr>
          <w:rFonts w:hint="eastAsia" w:ascii="宋体" w:hAnsi="宋体" w:cs="宋体"/>
          <w:color w:val="000000" w:themeColor="text1"/>
          <w:sz w:val="28"/>
          <w:szCs w:val="28"/>
          <w:highlight w:val="none"/>
          <w:u w:val="single"/>
          <w:lang w:val="en-US" w:eastAsia="zh-CN"/>
          <w14:textFill>
            <w14:solidFill>
              <w14:schemeClr w14:val="tx1"/>
            </w14:solidFill>
          </w14:textFill>
        </w:rPr>
        <w:t>0</w:t>
      </w:r>
      <w:r>
        <w:rPr>
          <w:rFonts w:hint="eastAsia" w:ascii="宋体" w:hAnsi="宋体" w:eastAsia="宋体" w:cs="宋体"/>
          <w:color w:val="000000" w:themeColor="text1"/>
          <w:sz w:val="28"/>
          <w:szCs w:val="28"/>
          <w:highlight w:val="none"/>
          <w:u w:val="single"/>
          <w14:textFill>
            <w14:solidFill>
              <w14:schemeClr w14:val="tx1"/>
            </w14:solidFill>
          </w14:textFill>
        </w:rPr>
        <w:t>：</w:t>
      </w:r>
      <w:r>
        <w:rPr>
          <w:rFonts w:hint="eastAsia" w:ascii="宋体" w:hAnsi="宋体" w:cs="宋体"/>
          <w:color w:val="000000" w:themeColor="text1"/>
          <w:sz w:val="28"/>
          <w:szCs w:val="28"/>
          <w:highlight w:val="none"/>
          <w:u w:val="single"/>
          <w:lang w:val="en-US" w:eastAsia="zh-CN"/>
          <w14:textFill>
            <w14:solidFill>
              <w14:schemeClr w14:val="tx1"/>
            </w14:solidFill>
          </w14:textFill>
        </w:rPr>
        <w:t>0</w:t>
      </w:r>
      <w:r>
        <w:rPr>
          <w:rFonts w:hint="eastAsia" w:ascii="宋体" w:hAnsi="宋体" w:eastAsia="宋体" w:cs="宋体"/>
          <w:color w:val="000000" w:themeColor="text1"/>
          <w:sz w:val="28"/>
          <w:szCs w:val="28"/>
          <w:highlight w:val="none"/>
          <w:u w:val="single"/>
          <w14:textFill>
            <w14:solidFill>
              <w14:schemeClr w14:val="tx1"/>
            </w14:solidFill>
          </w14:textFill>
        </w:rPr>
        <w:t>0</w:t>
      </w:r>
      <w:r>
        <w:rPr>
          <w:rFonts w:hint="eastAsia" w:ascii="宋体" w:hAnsi="宋体" w:eastAsia="宋体" w:cs="宋体"/>
          <w:color w:val="000000" w:themeColor="text1"/>
          <w:sz w:val="28"/>
          <w:szCs w:val="28"/>
          <w:highlight w:val="none"/>
          <w14:textFill>
            <w14:solidFill>
              <w14:schemeClr w14:val="tx1"/>
            </w14:solidFill>
          </w14:textFill>
        </w:rPr>
        <w:t>至</w:t>
      </w:r>
      <w:r>
        <w:rPr>
          <w:rFonts w:hint="eastAsia" w:ascii="宋体" w:hAnsi="宋体" w:eastAsia="宋体" w:cs="宋体"/>
          <w:color w:val="000000" w:themeColor="text1"/>
          <w:sz w:val="28"/>
          <w:szCs w:val="28"/>
          <w:highlight w:val="none"/>
          <w:u w:val="single"/>
          <w14:textFill>
            <w14:solidFill>
              <w14:schemeClr w14:val="tx1"/>
            </w14:solidFill>
          </w14:textFill>
        </w:rPr>
        <w:t>1</w:t>
      </w:r>
      <w:r>
        <w:rPr>
          <w:rFonts w:hint="eastAsia" w:ascii="宋体" w:hAnsi="宋体" w:cs="宋体"/>
          <w:color w:val="000000" w:themeColor="text1"/>
          <w:sz w:val="28"/>
          <w:szCs w:val="28"/>
          <w:highlight w:val="none"/>
          <w:u w:val="single"/>
          <w:lang w:val="en-US" w:eastAsia="zh-CN"/>
          <w14:textFill>
            <w14:solidFill>
              <w14:schemeClr w14:val="tx1"/>
            </w14:solidFill>
          </w14:textFill>
        </w:rPr>
        <w:t>4</w:t>
      </w:r>
      <w:r>
        <w:rPr>
          <w:rFonts w:hint="eastAsia" w:ascii="宋体" w:hAnsi="宋体" w:eastAsia="宋体" w:cs="宋体"/>
          <w:color w:val="000000" w:themeColor="text1"/>
          <w:sz w:val="28"/>
          <w:szCs w:val="28"/>
          <w:highlight w:val="none"/>
          <w:u w:val="single"/>
          <w14:textFill>
            <w14:solidFill>
              <w14:schemeClr w14:val="tx1"/>
            </w14:solidFill>
          </w14:textFill>
        </w:rPr>
        <w:t>：</w:t>
      </w:r>
      <w:r>
        <w:rPr>
          <w:rFonts w:hint="eastAsia" w:ascii="宋体" w:hAnsi="宋体" w:cs="宋体"/>
          <w:color w:val="000000" w:themeColor="text1"/>
          <w:sz w:val="28"/>
          <w:szCs w:val="28"/>
          <w:highlight w:val="none"/>
          <w:u w:val="single"/>
          <w:lang w:val="en-US" w:eastAsia="zh-CN"/>
          <w14:textFill>
            <w14:solidFill>
              <w14:schemeClr w14:val="tx1"/>
            </w14:solidFill>
          </w14:textFill>
        </w:rPr>
        <w:t>0</w:t>
      </w:r>
      <w:r>
        <w:rPr>
          <w:rFonts w:hint="eastAsia" w:ascii="宋体" w:hAnsi="宋体" w:eastAsia="宋体" w:cs="宋体"/>
          <w:color w:val="000000" w:themeColor="text1"/>
          <w:sz w:val="28"/>
          <w:szCs w:val="28"/>
          <w:highlight w:val="none"/>
          <w:u w:val="single"/>
          <w14:textFill>
            <w14:solidFill>
              <w14:schemeClr w14:val="tx1"/>
            </w14:solidFill>
          </w14:textFill>
        </w:rPr>
        <w:t>0</w:t>
      </w:r>
      <w:r>
        <w:rPr>
          <w:rFonts w:hint="eastAsia" w:ascii="宋体" w:hAnsi="宋体" w:eastAsia="宋体" w:cs="宋体"/>
          <w:color w:val="000000" w:themeColor="text1"/>
          <w:sz w:val="28"/>
          <w:szCs w:val="28"/>
          <w:highlight w:val="none"/>
          <w14:textFill>
            <w14:solidFill>
              <w14:schemeClr w14:val="tx1"/>
            </w14:solidFill>
          </w14:textFill>
        </w:rPr>
        <w:t>，下午</w:t>
      </w:r>
      <w:r>
        <w:rPr>
          <w:rFonts w:hint="eastAsia" w:ascii="宋体" w:hAnsi="宋体" w:eastAsia="宋体" w:cs="宋体"/>
          <w:color w:val="000000" w:themeColor="text1"/>
          <w:sz w:val="28"/>
          <w:szCs w:val="28"/>
          <w:highlight w:val="none"/>
          <w:u w:val="single"/>
          <w14:textFill>
            <w14:solidFill>
              <w14:schemeClr w14:val="tx1"/>
            </w14:solidFill>
          </w14:textFill>
        </w:rPr>
        <w:t>1</w:t>
      </w:r>
      <w:r>
        <w:rPr>
          <w:rFonts w:hint="eastAsia" w:ascii="宋体" w:hAnsi="宋体" w:cs="宋体"/>
          <w:color w:val="000000" w:themeColor="text1"/>
          <w:sz w:val="28"/>
          <w:szCs w:val="28"/>
          <w:highlight w:val="none"/>
          <w:u w:val="single"/>
          <w:lang w:val="en-US" w:eastAsia="zh-CN"/>
          <w14:textFill>
            <w14:solidFill>
              <w14:schemeClr w14:val="tx1"/>
            </w14:solidFill>
          </w14:textFill>
        </w:rPr>
        <w:t>4</w:t>
      </w:r>
      <w:r>
        <w:rPr>
          <w:rFonts w:hint="eastAsia" w:ascii="宋体" w:hAnsi="宋体" w:eastAsia="宋体" w:cs="宋体"/>
          <w:color w:val="000000" w:themeColor="text1"/>
          <w:sz w:val="28"/>
          <w:szCs w:val="28"/>
          <w:highlight w:val="none"/>
          <w:u w:val="single"/>
          <w14:textFill>
            <w14:solidFill>
              <w14:schemeClr w14:val="tx1"/>
            </w14:solidFill>
          </w14:textFill>
        </w:rPr>
        <w:t>：</w:t>
      </w:r>
      <w:r>
        <w:rPr>
          <w:rFonts w:hint="eastAsia" w:ascii="宋体" w:hAnsi="宋体" w:cs="宋体"/>
          <w:color w:val="000000" w:themeColor="text1"/>
          <w:sz w:val="28"/>
          <w:szCs w:val="28"/>
          <w:highlight w:val="none"/>
          <w:u w:val="single"/>
          <w:lang w:val="en-US" w:eastAsia="zh-CN"/>
          <w14:textFill>
            <w14:solidFill>
              <w14:schemeClr w14:val="tx1"/>
            </w14:solidFill>
          </w14:textFill>
        </w:rPr>
        <w:t>0</w:t>
      </w:r>
      <w:r>
        <w:rPr>
          <w:rFonts w:hint="eastAsia" w:ascii="宋体" w:hAnsi="宋体" w:eastAsia="宋体" w:cs="宋体"/>
          <w:color w:val="000000" w:themeColor="text1"/>
          <w:sz w:val="28"/>
          <w:szCs w:val="28"/>
          <w:highlight w:val="none"/>
          <w:u w:val="single"/>
          <w14:textFill>
            <w14:solidFill>
              <w14:schemeClr w14:val="tx1"/>
            </w14:solidFill>
          </w14:textFill>
        </w:rPr>
        <w:t>0</w:t>
      </w:r>
      <w:r>
        <w:rPr>
          <w:rFonts w:hint="eastAsia" w:ascii="宋体" w:hAnsi="宋体" w:eastAsia="宋体" w:cs="宋体"/>
          <w:color w:val="000000" w:themeColor="text1"/>
          <w:sz w:val="28"/>
          <w:szCs w:val="28"/>
          <w:highlight w:val="none"/>
          <w14:textFill>
            <w14:solidFill>
              <w14:schemeClr w14:val="tx1"/>
            </w14:solidFill>
          </w14:textFill>
        </w:rPr>
        <w:t>至</w:t>
      </w:r>
      <w:r>
        <w:rPr>
          <w:rFonts w:hint="eastAsia" w:ascii="宋体" w:hAnsi="宋体" w:cs="宋体"/>
          <w:color w:val="000000" w:themeColor="text1"/>
          <w:sz w:val="28"/>
          <w:szCs w:val="28"/>
          <w:highlight w:val="none"/>
          <w:u w:val="single"/>
          <w:lang w:val="en-US" w:eastAsia="zh-CN"/>
          <w14:textFill>
            <w14:solidFill>
              <w14:schemeClr w14:val="tx1"/>
            </w14:solidFill>
          </w14:textFill>
        </w:rPr>
        <w:t>23</w:t>
      </w:r>
      <w:r>
        <w:rPr>
          <w:rFonts w:hint="eastAsia" w:ascii="宋体" w:hAnsi="宋体" w:eastAsia="宋体" w:cs="宋体"/>
          <w:color w:val="000000" w:themeColor="text1"/>
          <w:sz w:val="28"/>
          <w:szCs w:val="28"/>
          <w:highlight w:val="none"/>
          <w:u w:val="single"/>
          <w14:textFill>
            <w14:solidFill>
              <w14:schemeClr w14:val="tx1"/>
            </w14:solidFill>
          </w14:textFill>
        </w:rPr>
        <w:t>:</w:t>
      </w:r>
      <w:r>
        <w:rPr>
          <w:rFonts w:hint="eastAsia" w:ascii="宋体" w:hAnsi="宋体" w:cs="宋体"/>
          <w:color w:val="000000" w:themeColor="text1"/>
          <w:sz w:val="28"/>
          <w:szCs w:val="28"/>
          <w:highlight w:val="none"/>
          <w:u w:val="single"/>
          <w:lang w:val="en-US" w:eastAsia="zh-CN"/>
          <w14:textFill>
            <w14:solidFill>
              <w14:schemeClr w14:val="tx1"/>
            </w14:solidFill>
          </w14:textFill>
        </w:rPr>
        <w:t>59</w:t>
      </w:r>
      <w:r>
        <w:rPr>
          <w:rFonts w:hint="eastAsia" w:ascii="宋体" w:hAnsi="宋体" w:eastAsia="宋体" w:cs="宋体"/>
          <w:color w:val="000000" w:themeColor="text1"/>
          <w:sz w:val="28"/>
          <w:szCs w:val="28"/>
          <w:highlight w:val="none"/>
          <w14:textFill>
            <w14:solidFill>
              <w14:schemeClr w14:val="tx1"/>
            </w14:solidFill>
          </w14:textFill>
        </w:rPr>
        <w:t>（北京时间，法定节假日除外 ）</w:t>
      </w:r>
    </w:p>
    <w:p w14:paraId="77495F03">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宋体" w:hAnsi="宋体" w:eastAsia="宋体" w:cs="宋体"/>
          <w:color w:val="000000" w:themeColor="text1"/>
          <w:sz w:val="28"/>
          <w:szCs w:val="28"/>
          <w:highlight w:val="none"/>
          <w:u w:val="singl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地点：新疆政府采购网（http://www.ccgp-xinjiang.gov.cn）政采云平台线上获取</w:t>
      </w:r>
    </w:p>
    <w:p w14:paraId="5F69011D">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方式：供应商登录政采云平台https://www.zcygov.cn/在线申请获取采购文件（进入“项目采购”应用，在获取采购文件菜单中选择项目，申请获取采购文件）。</w:t>
      </w:r>
    </w:p>
    <w:p w14:paraId="79412B67">
      <w:pPr>
        <w:pStyle w:val="3"/>
        <w:keepNext/>
        <w:keepLines/>
        <w:pageBreakBefore w:val="0"/>
        <w:widowControl w:val="0"/>
        <w:kinsoku/>
        <w:wordWrap/>
        <w:overflowPunct/>
        <w:topLinePunct w:val="0"/>
        <w:autoSpaceDE/>
        <w:autoSpaceDN/>
        <w:bidi w:val="0"/>
        <w:adjustRightInd/>
        <w:snapToGrid/>
        <w:spacing w:before="0" w:after="0" w:line="560" w:lineRule="exact"/>
        <w:ind w:left="0" w:leftChars="0"/>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四、响应文件截止时间、提交地址：</w:t>
      </w:r>
    </w:p>
    <w:p w14:paraId="140E28AD">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宋体" w:hAnsi="宋体" w:eastAsia="宋体" w:cs="宋体"/>
          <w:bCs/>
          <w:color w:val="000000" w:themeColor="text1"/>
          <w:sz w:val="28"/>
          <w:szCs w:val="28"/>
          <w:highlight w:val="none"/>
          <w:u w:val="singl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截止时间：</w:t>
      </w:r>
      <w:r>
        <w:rPr>
          <w:rFonts w:hint="eastAsia" w:ascii="宋体" w:hAnsi="宋体" w:eastAsia="宋体" w:cs="宋体"/>
          <w:b/>
          <w:bCs/>
          <w:color w:val="000000" w:themeColor="text1"/>
          <w:sz w:val="28"/>
          <w:szCs w:val="28"/>
          <w:highlight w:val="none"/>
          <w:u w:val="single"/>
          <w14:textFill>
            <w14:solidFill>
              <w14:schemeClr w14:val="tx1"/>
            </w14:solidFill>
          </w14:textFill>
        </w:rPr>
        <w:t>202</w:t>
      </w:r>
      <w:r>
        <w:rPr>
          <w:rFonts w:hint="eastAsia" w:ascii="宋体" w:hAnsi="宋体" w:cs="宋体"/>
          <w:b/>
          <w:bCs/>
          <w:color w:val="000000" w:themeColor="text1"/>
          <w:sz w:val="28"/>
          <w:szCs w:val="28"/>
          <w:highlight w:val="none"/>
          <w:u w:val="single"/>
          <w:lang w:val="en-US" w:eastAsia="zh-CN"/>
          <w14:textFill>
            <w14:solidFill>
              <w14:schemeClr w14:val="tx1"/>
            </w14:solidFill>
          </w14:textFill>
        </w:rPr>
        <w:t>5</w:t>
      </w:r>
      <w:r>
        <w:rPr>
          <w:rFonts w:hint="eastAsia" w:ascii="宋体" w:hAnsi="宋体" w:eastAsia="宋体" w:cs="宋体"/>
          <w:b/>
          <w:bCs/>
          <w:color w:val="000000" w:themeColor="text1"/>
          <w:sz w:val="28"/>
          <w:szCs w:val="28"/>
          <w:highlight w:val="none"/>
          <w:u w:val="single"/>
          <w14:textFill>
            <w14:solidFill>
              <w14:schemeClr w14:val="tx1"/>
            </w14:solidFill>
          </w14:textFill>
        </w:rPr>
        <w:t>年</w:t>
      </w:r>
      <w:r>
        <w:rPr>
          <w:rFonts w:hint="eastAsia" w:ascii="宋体" w:hAnsi="宋体" w:cs="宋体"/>
          <w:b/>
          <w:bCs/>
          <w:color w:val="000000" w:themeColor="text1"/>
          <w:sz w:val="28"/>
          <w:szCs w:val="28"/>
          <w:highlight w:val="none"/>
          <w:u w:val="single"/>
          <w:lang w:val="en-US" w:eastAsia="zh-CN"/>
          <w14:textFill>
            <w14:solidFill>
              <w14:schemeClr w14:val="tx1"/>
            </w14:solidFill>
          </w14:textFill>
        </w:rPr>
        <w:t>07</w:t>
      </w:r>
      <w:r>
        <w:rPr>
          <w:rFonts w:hint="eastAsia" w:ascii="宋体" w:hAnsi="宋体" w:eastAsia="宋体" w:cs="宋体"/>
          <w:b/>
          <w:bCs/>
          <w:color w:val="000000" w:themeColor="text1"/>
          <w:sz w:val="28"/>
          <w:szCs w:val="28"/>
          <w:highlight w:val="none"/>
          <w:u w:val="single"/>
          <w14:textFill>
            <w14:solidFill>
              <w14:schemeClr w14:val="tx1"/>
            </w14:solidFill>
          </w14:textFill>
        </w:rPr>
        <w:t>月</w:t>
      </w:r>
      <w:r>
        <w:rPr>
          <w:rFonts w:hint="eastAsia" w:ascii="宋体" w:hAnsi="宋体" w:cs="宋体"/>
          <w:b/>
          <w:bCs/>
          <w:color w:val="000000" w:themeColor="text1"/>
          <w:sz w:val="28"/>
          <w:szCs w:val="28"/>
          <w:highlight w:val="none"/>
          <w:u w:val="single"/>
          <w:lang w:val="en-US" w:eastAsia="zh-CN"/>
          <w14:textFill>
            <w14:solidFill>
              <w14:schemeClr w14:val="tx1"/>
            </w14:solidFill>
          </w14:textFill>
        </w:rPr>
        <w:t>17</w:t>
      </w:r>
      <w:r>
        <w:rPr>
          <w:rFonts w:hint="eastAsia" w:ascii="宋体" w:hAnsi="宋体" w:eastAsia="宋体" w:cs="宋体"/>
          <w:b/>
          <w:bCs/>
          <w:color w:val="000000" w:themeColor="text1"/>
          <w:sz w:val="28"/>
          <w:szCs w:val="28"/>
          <w:highlight w:val="none"/>
          <w:u w:val="single"/>
          <w14:textFill>
            <w14:solidFill>
              <w14:schemeClr w14:val="tx1"/>
            </w14:solidFill>
          </w14:textFill>
        </w:rPr>
        <w:t>日1</w:t>
      </w:r>
      <w:r>
        <w:rPr>
          <w:rFonts w:hint="eastAsia" w:ascii="宋体" w:hAnsi="宋体" w:cs="宋体"/>
          <w:b/>
          <w:bCs/>
          <w:color w:val="000000" w:themeColor="text1"/>
          <w:sz w:val="28"/>
          <w:szCs w:val="28"/>
          <w:highlight w:val="none"/>
          <w:u w:val="single"/>
          <w:lang w:val="en-US" w:eastAsia="zh-CN"/>
          <w14:textFill>
            <w14:solidFill>
              <w14:schemeClr w14:val="tx1"/>
            </w14:solidFill>
          </w14:textFill>
        </w:rPr>
        <w:t>1</w:t>
      </w:r>
      <w:r>
        <w:rPr>
          <w:rFonts w:hint="eastAsia" w:ascii="宋体" w:hAnsi="宋体" w:eastAsia="宋体" w:cs="宋体"/>
          <w:b/>
          <w:bCs/>
          <w:color w:val="000000" w:themeColor="text1"/>
          <w:sz w:val="28"/>
          <w:szCs w:val="28"/>
          <w:highlight w:val="none"/>
          <w:u w:val="single"/>
          <w14:textFill>
            <w14:solidFill>
              <w14:schemeClr w14:val="tx1"/>
            </w14:solidFill>
          </w14:textFill>
        </w:rPr>
        <w:t>点00分</w:t>
      </w:r>
      <w:r>
        <w:rPr>
          <w:rFonts w:hint="eastAsia" w:ascii="宋体" w:hAnsi="宋体" w:eastAsia="宋体" w:cs="宋体"/>
          <w:bCs/>
          <w:color w:val="000000" w:themeColor="text1"/>
          <w:sz w:val="28"/>
          <w:szCs w:val="28"/>
          <w:highlight w:val="none"/>
          <w14:textFill>
            <w14:solidFill>
              <w14:schemeClr w14:val="tx1"/>
            </w14:solidFill>
          </w14:textFill>
        </w:rPr>
        <w:t>（北京时间）</w:t>
      </w:r>
    </w:p>
    <w:p w14:paraId="72008D58">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提交地址：新疆政府采购网（</w:t>
      </w:r>
      <w:r>
        <w:rPr>
          <w:rFonts w:hint="eastAsia" w:ascii="宋体" w:hAnsi="宋体" w:eastAsia="宋体" w:cs="宋体"/>
          <w:color w:val="000000" w:themeColor="text1"/>
          <w:sz w:val="28"/>
          <w:szCs w:val="28"/>
          <w:highlight w:val="none"/>
          <w14:textFill>
            <w14:solidFill>
              <w14:schemeClr w14:val="tx1"/>
            </w14:solidFill>
          </w14:textFill>
        </w:rPr>
        <w:fldChar w:fldCharType="begin"/>
      </w:r>
      <w:r>
        <w:rPr>
          <w:rFonts w:hint="eastAsia" w:ascii="宋体" w:hAnsi="宋体" w:eastAsia="宋体" w:cs="宋体"/>
          <w:color w:val="000000" w:themeColor="text1"/>
          <w:sz w:val="28"/>
          <w:szCs w:val="28"/>
          <w:highlight w:val="none"/>
          <w14:textFill>
            <w14:solidFill>
              <w14:schemeClr w14:val="tx1"/>
            </w14:solidFill>
          </w14:textFill>
        </w:rPr>
        <w:instrText xml:space="preserve"> HYPERLINK "http://www.ccgp-xinjiang.gov.cn）政采" </w:instrText>
      </w:r>
      <w:r>
        <w:rPr>
          <w:rFonts w:hint="eastAsia" w:ascii="宋体" w:hAnsi="宋体" w:eastAsia="宋体" w:cs="宋体"/>
          <w:color w:val="000000" w:themeColor="text1"/>
          <w:sz w:val="28"/>
          <w:szCs w:val="28"/>
          <w:highlight w:val="none"/>
          <w14:textFill>
            <w14:solidFill>
              <w14:schemeClr w14:val="tx1"/>
            </w14:solidFill>
          </w14:textFill>
        </w:rPr>
        <w:fldChar w:fldCharType="separate"/>
      </w:r>
      <w:r>
        <w:rPr>
          <w:rStyle w:val="39"/>
          <w:rFonts w:hint="eastAsia" w:ascii="宋体" w:hAnsi="宋体" w:eastAsia="宋体" w:cs="宋体"/>
          <w:color w:val="000000" w:themeColor="text1"/>
          <w:sz w:val="28"/>
          <w:szCs w:val="28"/>
          <w:highlight w:val="none"/>
          <w14:textFill>
            <w14:solidFill>
              <w14:schemeClr w14:val="tx1"/>
            </w14:solidFill>
          </w14:textFill>
        </w:rPr>
        <w:t>http://www.ccgp-xinjiang.gov.cn）</w:t>
      </w:r>
      <w:r>
        <w:rPr>
          <w:rStyle w:val="39"/>
          <w:rFonts w:hint="eastAsia" w:ascii="宋体" w:hAnsi="宋体" w:eastAsia="宋体" w:cs="宋体"/>
          <w:color w:val="000000" w:themeColor="text1"/>
          <w:sz w:val="28"/>
          <w:szCs w:val="28"/>
          <w:highlight w:val="none"/>
          <w:u w:val="none"/>
          <w14:textFill>
            <w14:solidFill>
              <w14:schemeClr w14:val="tx1"/>
            </w14:solidFill>
          </w14:textFill>
        </w:rPr>
        <w:t>政采</w:t>
      </w:r>
      <w:r>
        <w:rPr>
          <w:rStyle w:val="39"/>
          <w:rFonts w:hint="eastAsia" w:ascii="宋体" w:hAnsi="宋体" w:eastAsia="宋体" w:cs="宋体"/>
          <w:color w:val="000000" w:themeColor="text1"/>
          <w:sz w:val="28"/>
          <w:szCs w:val="28"/>
          <w:highlight w:val="none"/>
          <w:u w:val="none"/>
          <w14:textFill>
            <w14:solidFill>
              <w14:schemeClr w14:val="tx1"/>
            </w14:solidFill>
          </w14:textFill>
        </w:rPr>
        <w:fldChar w:fldCharType="end"/>
      </w:r>
      <w:r>
        <w:rPr>
          <w:rFonts w:hint="eastAsia" w:ascii="宋体" w:hAnsi="宋体" w:eastAsia="宋体" w:cs="宋体"/>
          <w:color w:val="000000" w:themeColor="text1"/>
          <w:sz w:val="28"/>
          <w:szCs w:val="28"/>
          <w:highlight w:val="none"/>
          <w14:textFill>
            <w14:solidFill>
              <w14:schemeClr w14:val="tx1"/>
            </w14:solidFill>
          </w14:textFill>
        </w:rPr>
        <w:t>云投标客户端投标</w:t>
      </w:r>
    </w:p>
    <w:p w14:paraId="07AAB4F5">
      <w:pPr>
        <w:pStyle w:val="3"/>
        <w:keepNext/>
        <w:keepLines/>
        <w:pageBreakBefore w:val="0"/>
        <w:widowControl w:val="0"/>
        <w:kinsoku/>
        <w:wordWrap/>
        <w:overflowPunct/>
        <w:topLinePunct w:val="0"/>
        <w:autoSpaceDE/>
        <w:autoSpaceDN/>
        <w:bidi w:val="0"/>
        <w:adjustRightInd/>
        <w:snapToGrid/>
        <w:spacing w:before="0" w:after="0" w:line="560" w:lineRule="exact"/>
        <w:ind w:left="0" w:leftChars="0"/>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五、提交投标文件截止时间、开标时间和地点：</w:t>
      </w:r>
    </w:p>
    <w:p w14:paraId="0111D95B">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宋体" w:hAnsi="宋体" w:eastAsia="宋体" w:cs="宋体"/>
          <w:bCs/>
          <w:color w:val="000000" w:themeColor="text1"/>
          <w:sz w:val="28"/>
          <w:szCs w:val="28"/>
          <w:highlight w:val="none"/>
          <w:u w:val="singl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开标时间：</w:t>
      </w:r>
      <w:r>
        <w:rPr>
          <w:rFonts w:hint="eastAsia" w:ascii="宋体" w:hAnsi="宋体" w:eastAsia="宋体" w:cs="宋体"/>
          <w:b/>
          <w:bCs/>
          <w:color w:val="000000" w:themeColor="text1"/>
          <w:sz w:val="28"/>
          <w:szCs w:val="28"/>
          <w:highlight w:val="none"/>
          <w:u w:val="single"/>
          <w14:textFill>
            <w14:solidFill>
              <w14:schemeClr w14:val="tx1"/>
            </w14:solidFill>
          </w14:textFill>
        </w:rPr>
        <w:t>202</w:t>
      </w:r>
      <w:r>
        <w:rPr>
          <w:rFonts w:hint="eastAsia" w:ascii="宋体" w:hAnsi="宋体" w:cs="宋体"/>
          <w:b/>
          <w:bCs/>
          <w:color w:val="000000" w:themeColor="text1"/>
          <w:sz w:val="28"/>
          <w:szCs w:val="28"/>
          <w:highlight w:val="none"/>
          <w:u w:val="single"/>
          <w:lang w:val="en-US" w:eastAsia="zh-CN"/>
          <w14:textFill>
            <w14:solidFill>
              <w14:schemeClr w14:val="tx1"/>
            </w14:solidFill>
          </w14:textFill>
        </w:rPr>
        <w:t>5</w:t>
      </w:r>
      <w:r>
        <w:rPr>
          <w:rFonts w:hint="eastAsia" w:ascii="宋体" w:hAnsi="宋体" w:eastAsia="宋体" w:cs="宋体"/>
          <w:b/>
          <w:bCs/>
          <w:color w:val="000000" w:themeColor="text1"/>
          <w:sz w:val="28"/>
          <w:szCs w:val="28"/>
          <w:highlight w:val="none"/>
          <w:u w:val="single"/>
          <w14:textFill>
            <w14:solidFill>
              <w14:schemeClr w14:val="tx1"/>
            </w14:solidFill>
          </w14:textFill>
        </w:rPr>
        <w:t>年</w:t>
      </w:r>
      <w:r>
        <w:rPr>
          <w:rFonts w:hint="eastAsia" w:ascii="宋体" w:hAnsi="宋体" w:cs="宋体"/>
          <w:b/>
          <w:bCs/>
          <w:color w:val="000000" w:themeColor="text1"/>
          <w:sz w:val="28"/>
          <w:szCs w:val="28"/>
          <w:highlight w:val="none"/>
          <w:u w:val="single"/>
          <w:lang w:val="en-US" w:eastAsia="zh-CN"/>
          <w14:textFill>
            <w14:solidFill>
              <w14:schemeClr w14:val="tx1"/>
            </w14:solidFill>
          </w14:textFill>
        </w:rPr>
        <w:t>07</w:t>
      </w:r>
      <w:r>
        <w:rPr>
          <w:rFonts w:hint="eastAsia" w:ascii="宋体" w:hAnsi="宋体" w:eastAsia="宋体" w:cs="宋体"/>
          <w:b/>
          <w:bCs/>
          <w:color w:val="000000" w:themeColor="text1"/>
          <w:sz w:val="28"/>
          <w:szCs w:val="28"/>
          <w:highlight w:val="none"/>
          <w:u w:val="single"/>
          <w14:textFill>
            <w14:solidFill>
              <w14:schemeClr w14:val="tx1"/>
            </w14:solidFill>
          </w14:textFill>
        </w:rPr>
        <w:t>月</w:t>
      </w:r>
      <w:r>
        <w:rPr>
          <w:rFonts w:hint="eastAsia" w:ascii="宋体" w:hAnsi="宋体" w:cs="宋体"/>
          <w:b/>
          <w:bCs/>
          <w:color w:val="000000" w:themeColor="text1"/>
          <w:sz w:val="28"/>
          <w:szCs w:val="28"/>
          <w:highlight w:val="none"/>
          <w:u w:val="single"/>
          <w:lang w:val="en-US" w:eastAsia="zh-CN"/>
          <w14:textFill>
            <w14:solidFill>
              <w14:schemeClr w14:val="tx1"/>
            </w14:solidFill>
          </w14:textFill>
        </w:rPr>
        <w:t>17</w:t>
      </w:r>
      <w:r>
        <w:rPr>
          <w:rFonts w:hint="eastAsia" w:ascii="宋体" w:hAnsi="宋体" w:eastAsia="宋体" w:cs="宋体"/>
          <w:b/>
          <w:bCs/>
          <w:color w:val="000000" w:themeColor="text1"/>
          <w:sz w:val="28"/>
          <w:szCs w:val="28"/>
          <w:highlight w:val="none"/>
          <w:u w:val="single"/>
          <w14:textFill>
            <w14:solidFill>
              <w14:schemeClr w14:val="tx1"/>
            </w14:solidFill>
          </w14:textFill>
        </w:rPr>
        <w:t>日1</w:t>
      </w:r>
      <w:r>
        <w:rPr>
          <w:rFonts w:hint="eastAsia" w:ascii="宋体" w:hAnsi="宋体" w:cs="宋体"/>
          <w:b/>
          <w:bCs/>
          <w:color w:val="000000" w:themeColor="text1"/>
          <w:sz w:val="28"/>
          <w:szCs w:val="28"/>
          <w:highlight w:val="none"/>
          <w:u w:val="single"/>
          <w:lang w:val="en-US" w:eastAsia="zh-CN"/>
          <w14:textFill>
            <w14:solidFill>
              <w14:schemeClr w14:val="tx1"/>
            </w14:solidFill>
          </w14:textFill>
        </w:rPr>
        <w:t>1</w:t>
      </w:r>
      <w:r>
        <w:rPr>
          <w:rFonts w:hint="eastAsia" w:ascii="宋体" w:hAnsi="宋体" w:eastAsia="宋体" w:cs="宋体"/>
          <w:b/>
          <w:bCs/>
          <w:color w:val="000000" w:themeColor="text1"/>
          <w:sz w:val="28"/>
          <w:szCs w:val="28"/>
          <w:highlight w:val="none"/>
          <w:u w:val="single"/>
          <w14:textFill>
            <w14:solidFill>
              <w14:schemeClr w14:val="tx1"/>
            </w14:solidFill>
          </w14:textFill>
        </w:rPr>
        <w:t>点00分</w:t>
      </w:r>
      <w:r>
        <w:rPr>
          <w:rFonts w:hint="eastAsia" w:ascii="宋体" w:hAnsi="宋体" w:eastAsia="宋体" w:cs="宋体"/>
          <w:bCs/>
          <w:color w:val="000000" w:themeColor="text1"/>
          <w:sz w:val="28"/>
          <w:szCs w:val="28"/>
          <w:highlight w:val="none"/>
          <w14:textFill>
            <w14:solidFill>
              <w14:schemeClr w14:val="tx1"/>
            </w14:solidFill>
          </w14:textFill>
        </w:rPr>
        <w:t>（北京时间）</w:t>
      </w:r>
    </w:p>
    <w:p w14:paraId="11654F16">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开标地点：新疆政府采购网（</w:t>
      </w:r>
      <w:r>
        <w:rPr>
          <w:rFonts w:hint="eastAsia" w:ascii="宋体" w:hAnsi="宋体" w:eastAsia="宋体" w:cs="宋体"/>
          <w:color w:val="000000" w:themeColor="text1"/>
          <w:sz w:val="28"/>
          <w:szCs w:val="28"/>
          <w:highlight w:val="none"/>
          <w14:textFill>
            <w14:solidFill>
              <w14:schemeClr w14:val="tx1"/>
            </w14:solidFill>
          </w14:textFill>
        </w:rPr>
        <w:fldChar w:fldCharType="begin"/>
      </w:r>
      <w:r>
        <w:rPr>
          <w:rFonts w:hint="eastAsia" w:ascii="宋体" w:hAnsi="宋体" w:eastAsia="宋体" w:cs="宋体"/>
          <w:color w:val="000000" w:themeColor="text1"/>
          <w:sz w:val="28"/>
          <w:szCs w:val="28"/>
          <w:highlight w:val="none"/>
          <w14:textFill>
            <w14:solidFill>
              <w14:schemeClr w14:val="tx1"/>
            </w14:solidFill>
          </w14:textFill>
        </w:rPr>
        <w:instrText xml:space="preserve"> HYPERLINK "http://www.ccgp-xinjiang.gov.cn）政采" </w:instrText>
      </w:r>
      <w:r>
        <w:rPr>
          <w:rFonts w:hint="eastAsia" w:ascii="宋体" w:hAnsi="宋体" w:eastAsia="宋体" w:cs="宋体"/>
          <w:color w:val="000000" w:themeColor="text1"/>
          <w:sz w:val="28"/>
          <w:szCs w:val="28"/>
          <w:highlight w:val="none"/>
          <w14:textFill>
            <w14:solidFill>
              <w14:schemeClr w14:val="tx1"/>
            </w14:solidFill>
          </w14:textFill>
        </w:rPr>
        <w:fldChar w:fldCharType="separate"/>
      </w:r>
      <w:r>
        <w:rPr>
          <w:rStyle w:val="39"/>
          <w:rFonts w:hint="eastAsia" w:ascii="宋体" w:hAnsi="宋体" w:eastAsia="宋体" w:cs="宋体"/>
          <w:color w:val="000000" w:themeColor="text1"/>
          <w:sz w:val="28"/>
          <w:szCs w:val="28"/>
          <w:highlight w:val="none"/>
          <w14:textFill>
            <w14:solidFill>
              <w14:schemeClr w14:val="tx1"/>
            </w14:solidFill>
          </w14:textFill>
        </w:rPr>
        <w:t>http://www.ccgp-xinjiang.gov.cn）</w:t>
      </w:r>
      <w:r>
        <w:rPr>
          <w:rStyle w:val="39"/>
          <w:rFonts w:hint="eastAsia" w:ascii="宋体" w:hAnsi="宋体" w:eastAsia="宋体" w:cs="宋体"/>
          <w:color w:val="000000" w:themeColor="text1"/>
          <w:sz w:val="28"/>
          <w:szCs w:val="28"/>
          <w:highlight w:val="none"/>
          <w:u w:val="none"/>
          <w14:textFill>
            <w14:solidFill>
              <w14:schemeClr w14:val="tx1"/>
            </w14:solidFill>
          </w14:textFill>
        </w:rPr>
        <w:t>政采</w:t>
      </w:r>
      <w:r>
        <w:rPr>
          <w:rStyle w:val="39"/>
          <w:rFonts w:hint="eastAsia" w:ascii="宋体" w:hAnsi="宋体" w:eastAsia="宋体" w:cs="宋体"/>
          <w:color w:val="000000" w:themeColor="text1"/>
          <w:sz w:val="28"/>
          <w:szCs w:val="28"/>
          <w:highlight w:val="none"/>
          <w14:textFill>
            <w14:solidFill>
              <w14:schemeClr w14:val="tx1"/>
            </w14:solidFill>
          </w14:textFill>
        </w:rPr>
        <w:fldChar w:fldCharType="end"/>
      </w:r>
      <w:r>
        <w:rPr>
          <w:rFonts w:hint="eastAsia" w:ascii="宋体" w:hAnsi="宋体" w:eastAsia="宋体" w:cs="宋体"/>
          <w:color w:val="000000" w:themeColor="text1"/>
          <w:sz w:val="28"/>
          <w:szCs w:val="28"/>
          <w:highlight w:val="none"/>
          <w14:textFill>
            <w14:solidFill>
              <w14:schemeClr w14:val="tx1"/>
            </w14:solidFill>
          </w14:textFill>
        </w:rPr>
        <w:t>云平台</w:t>
      </w:r>
    </w:p>
    <w:p w14:paraId="5A0DA29B">
      <w:pPr>
        <w:pStyle w:val="3"/>
        <w:keepNext/>
        <w:keepLines/>
        <w:pageBreakBefore w:val="0"/>
        <w:widowControl w:val="0"/>
        <w:kinsoku/>
        <w:wordWrap/>
        <w:overflowPunct/>
        <w:topLinePunct w:val="0"/>
        <w:autoSpaceDE/>
        <w:autoSpaceDN/>
        <w:bidi w:val="0"/>
        <w:adjustRightInd/>
        <w:snapToGrid/>
        <w:spacing w:before="0" w:after="0" w:line="560" w:lineRule="exact"/>
        <w:ind w:left="0" w:leftChars="0"/>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六、公告期限</w:t>
      </w:r>
    </w:p>
    <w:p w14:paraId="0795D803">
      <w:pPr>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宋体" w:hAnsi="宋体" w:eastAsia="宋体" w:cs="宋体"/>
          <w:color w:val="000000" w:themeColor="text1"/>
          <w:kern w:val="0"/>
          <w:sz w:val="28"/>
          <w:szCs w:val="28"/>
          <w:highlight w:val="none"/>
          <w14:textFill>
            <w14:solidFill>
              <w14:schemeClr w14:val="tx1"/>
            </w14:solidFill>
          </w14:textFill>
        </w:rPr>
      </w:pPr>
      <w:r>
        <w:rPr>
          <w:rFonts w:hint="eastAsia" w:ascii="宋体" w:hAnsi="宋体" w:eastAsia="宋体" w:cs="宋体"/>
          <w:color w:val="000000" w:themeColor="text1"/>
          <w:kern w:val="0"/>
          <w:sz w:val="28"/>
          <w:szCs w:val="28"/>
          <w:highlight w:val="none"/>
          <w14:textFill>
            <w14:solidFill>
              <w14:schemeClr w14:val="tx1"/>
            </w14:solidFill>
          </w14:textFill>
        </w:rPr>
        <w:t>自本公告发布之日起</w:t>
      </w:r>
      <w:r>
        <w:rPr>
          <w:rFonts w:hint="eastAsia" w:ascii="宋体" w:hAnsi="宋体" w:cs="宋体"/>
          <w:color w:val="000000" w:themeColor="text1"/>
          <w:kern w:val="0"/>
          <w:sz w:val="28"/>
          <w:szCs w:val="28"/>
          <w:highlight w:val="none"/>
          <w:lang w:val="en-US" w:eastAsia="zh-CN"/>
          <w14:textFill>
            <w14:solidFill>
              <w14:schemeClr w14:val="tx1"/>
            </w14:solidFill>
          </w14:textFill>
        </w:rPr>
        <w:t>5</w:t>
      </w:r>
      <w:r>
        <w:rPr>
          <w:rFonts w:hint="eastAsia" w:ascii="宋体" w:hAnsi="宋体" w:eastAsia="宋体" w:cs="宋体"/>
          <w:color w:val="000000" w:themeColor="text1"/>
          <w:kern w:val="0"/>
          <w:sz w:val="28"/>
          <w:szCs w:val="28"/>
          <w:highlight w:val="none"/>
          <w14:textFill>
            <w14:solidFill>
              <w14:schemeClr w14:val="tx1"/>
            </w14:solidFill>
          </w14:textFill>
        </w:rPr>
        <w:t>个工作日。</w:t>
      </w:r>
    </w:p>
    <w:p w14:paraId="7D16CD4C">
      <w:pPr>
        <w:pStyle w:val="3"/>
        <w:keepNext/>
        <w:keepLines/>
        <w:pageBreakBefore w:val="0"/>
        <w:widowControl w:val="0"/>
        <w:kinsoku/>
        <w:wordWrap/>
        <w:overflowPunct/>
        <w:topLinePunct w:val="0"/>
        <w:autoSpaceDE/>
        <w:autoSpaceDN/>
        <w:bidi w:val="0"/>
        <w:adjustRightInd/>
        <w:snapToGrid/>
        <w:spacing w:before="0" w:after="0" w:line="560" w:lineRule="exact"/>
        <w:ind w:left="0" w:leftChars="0"/>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七、其他补充事宜</w:t>
      </w:r>
    </w:p>
    <w:p w14:paraId="205E58DF">
      <w:pPr>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1、本项目实行网上投标，采用电子投标文件；</w:t>
      </w:r>
    </w:p>
    <w:p w14:paraId="499B5A30">
      <w:pPr>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2、各供应商应在开标前应确保成为新疆政府采购网正式注册入库供应商，并完成CA数字证书（符合国密标准）申领。因未注册入库、未办理CA数字证书等原因造成无法投标或投标失败等后果由供应商自行承担。有意向参与新疆区域电子开评标的供应商，可访问新疆数字证书认证中心官方网站（https://www.xjca.com.cn/）或下载“新疆政务通”APP自行进行申领。如需咨询，请联系新疆CA服务热线95763；</w:t>
      </w:r>
    </w:p>
    <w:p w14:paraId="6D59FF51">
      <w:pPr>
        <w:keepNext w:val="0"/>
        <w:keepLines w:val="0"/>
        <w:pageBreakBefore w:val="0"/>
        <w:widowControl w:val="0"/>
        <w:kinsoku/>
        <w:wordWrap w:val="0"/>
        <w:overflowPunct/>
        <w:topLinePunct w:val="0"/>
        <w:autoSpaceDE/>
        <w:autoSpaceDN/>
        <w:bidi w:val="0"/>
        <w:adjustRightInd/>
        <w:snapToGrid/>
        <w:spacing w:line="560" w:lineRule="exact"/>
        <w:ind w:left="0" w:leftChars="0" w:firstLine="560" w:firstLineChars="200"/>
        <w:textAlignment w:val="auto"/>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3、供应商将政采云电子交易客户端下载、安装完成后，可通过账号密码或CA登录客户端进行投标文件的制作。在使用政采云投标客户端时，建议使用WIN7及以上操作系统。客户端请至新疆政府采购网（http://www.ccgp-xinjiang.gov.cn/）下载专区查看，如有问题可拨打政采云客户服务热线95763进行咨询。如因供应商自身原因导致在规定时间内无法正常解密的（如：浏览器故障、未安装相关驱动、网络故障、加密CA与解密CA不一致等），采购中心/代理机构不予异常处理，视为供应商自动弃标。</w:t>
      </w:r>
    </w:p>
    <w:p w14:paraId="4C7E0D70">
      <w:pPr>
        <w:keepNext w:val="0"/>
        <w:keepLines w:val="0"/>
        <w:pageBreakBefore w:val="0"/>
        <w:widowControl w:val="0"/>
        <w:kinsoku/>
        <w:wordWrap w:val="0"/>
        <w:overflowPunct/>
        <w:topLinePunct w:val="0"/>
        <w:autoSpaceDE/>
        <w:autoSpaceDN/>
        <w:bidi w:val="0"/>
        <w:adjustRightInd/>
        <w:snapToGrid/>
        <w:spacing w:line="560" w:lineRule="exact"/>
        <w:ind w:left="0" w:leftChars="0" w:firstLine="560" w:firstLineChars="200"/>
        <w:textAlignment w:val="auto"/>
        <w:rPr>
          <w:rFonts w:hint="eastAsia" w:ascii="宋体" w:hAnsi="宋体" w:eastAsia="宋体" w:cs="宋体"/>
          <w:color w:val="000000" w:themeColor="text1"/>
          <w:kern w:val="0"/>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 xml:space="preserve">4、供应商操作指南详见新疆政府采购网（http://www.ccgp-xinjiang.gov.cn/）—办事指南—操作指南。  </w:t>
      </w:r>
      <w:r>
        <w:rPr>
          <w:rFonts w:hint="eastAsia" w:ascii="宋体" w:hAnsi="宋体" w:eastAsia="宋体" w:cs="宋体"/>
          <w:color w:val="000000" w:themeColor="text1"/>
          <w:kern w:val="0"/>
          <w:sz w:val="28"/>
          <w:szCs w:val="28"/>
          <w:highlight w:val="none"/>
          <w14:textFill>
            <w14:solidFill>
              <w14:schemeClr w14:val="tx1"/>
            </w14:solidFill>
          </w14:textFill>
        </w:rPr>
        <w:t xml:space="preserve"> </w:t>
      </w:r>
    </w:p>
    <w:p w14:paraId="22D019A2">
      <w:pPr>
        <w:pStyle w:val="3"/>
        <w:keepNext/>
        <w:keepLines/>
        <w:pageBreakBefore w:val="0"/>
        <w:widowControl w:val="0"/>
        <w:kinsoku/>
        <w:wordWrap/>
        <w:overflowPunct/>
        <w:topLinePunct w:val="0"/>
        <w:autoSpaceDE/>
        <w:autoSpaceDN/>
        <w:bidi w:val="0"/>
        <w:adjustRightInd/>
        <w:snapToGrid/>
        <w:spacing w:before="0" w:after="0" w:line="560" w:lineRule="exact"/>
        <w:ind w:left="0" w:leftChars="0"/>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八、凡对本次采购提出询问，请按以下方式联系。</w:t>
      </w:r>
    </w:p>
    <w:p w14:paraId="56C6A2C4">
      <w:pPr>
        <w:pageBreakBefore w:val="0"/>
        <w:widowControl w:val="0"/>
        <w:kinsoku/>
        <w:wordWrap/>
        <w:overflowPunct/>
        <w:topLinePunct w:val="0"/>
        <w:autoSpaceDE/>
        <w:autoSpaceDN/>
        <w:bidi w:val="0"/>
        <w:adjustRightInd/>
        <w:snapToGrid/>
        <w:spacing w:line="560" w:lineRule="exact"/>
        <w:ind w:left="0" w:leftChars="0"/>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1.采购人信息</w:t>
      </w:r>
    </w:p>
    <w:p w14:paraId="1DFE8AF5">
      <w:pPr>
        <w:pageBreakBefore w:val="0"/>
        <w:widowControl w:val="0"/>
        <w:kinsoku/>
        <w:wordWrap/>
        <w:overflowPunct/>
        <w:topLinePunct w:val="0"/>
        <w:autoSpaceDE/>
        <w:autoSpaceDN/>
        <w:bidi w:val="0"/>
        <w:adjustRightInd/>
        <w:snapToGrid/>
        <w:spacing w:line="560" w:lineRule="exact"/>
        <w:ind w:left="0" w:leftChars="0" w:firstLine="560" w:firstLineChars="200"/>
        <w:jc w:val="left"/>
        <w:textAlignment w:val="auto"/>
        <w:rPr>
          <w:rFonts w:hint="eastAsia" w:ascii="宋体" w:hAnsi="宋体" w:eastAsia="宋体" w:cs="宋体"/>
          <w:color w:val="000000" w:themeColor="text1"/>
          <w:sz w:val="28"/>
          <w:szCs w:val="28"/>
          <w:highlight w:val="none"/>
          <w:u w:val="single"/>
          <w:lang w:eastAsia="zh-CN"/>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名    称：</w:t>
      </w:r>
      <w:r>
        <w:rPr>
          <w:rFonts w:hint="eastAsia" w:ascii="宋体" w:hAnsi="宋体" w:cs="宋体"/>
          <w:color w:val="000000" w:themeColor="text1"/>
          <w:sz w:val="28"/>
          <w:szCs w:val="28"/>
          <w:highlight w:val="none"/>
          <w:u w:val="single"/>
          <w:lang w:eastAsia="zh-CN"/>
          <w14:textFill>
            <w14:solidFill>
              <w14:schemeClr w14:val="tx1"/>
            </w14:solidFill>
          </w14:textFill>
        </w:rPr>
        <w:t xml:space="preserve">哈密市中心医院    </w:t>
      </w:r>
    </w:p>
    <w:p w14:paraId="13672EB0">
      <w:pPr>
        <w:pageBreakBefore w:val="0"/>
        <w:widowControl w:val="0"/>
        <w:kinsoku/>
        <w:wordWrap/>
        <w:overflowPunct/>
        <w:topLinePunct w:val="0"/>
        <w:autoSpaceDE/>
        <w:autoSpaceDN/>
        <w:bidi w:val="0"/>
        <w:adjustRightInd/>
        <w:snapToGrid/>
        <w:spacing w:line="560" w:lineRule="exact"/>
        <w:ind w:left="0" w:leftChars="0" w:firstLine="560" w:firstLineChars="200"/>
        <w:jc w:val="left"/>
        <w:textAlignment w:val="auto"/>
        <w:rPr>
          <w:rFonts w:hint="eastAsia" w:ascii="宋体" w:hAnsi="宋体" w:eastAsia="宋体" w:cs="宋体"/>
          <w:color w:val="000000" w:themeColor="text1"/>
          <w:sz w:val="28"/>
          <w:szCs w:val="28"/>
          <w:highlight w:val="none"/>
          <w:lang w:eastAsia="zh-CN"/>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地    址：</w:t>
      </w:r>
      <w:r>
        <w:rPr>
          <w:rFonts w:hint="eastAsia" w:ascii="宋体" w:hAnsi="宋体" w:eastAsia="宋体" w:cs="宋体"/>
          <w:color w:val="000000" w:themeColor="text1"/>
          <w:sz w:val="28"/>
          <w:szCs w:val="28"/>
          <w:highlight w:val="none"/>
          <w:u w:val="single"/>
          <w14:textFill>
            <w14:solidFill>
              <w14:schemeClr w14:val="tx1"/>
            </w14:solidFill>
          </w14:textFill>
        </w:rPr>
        <w:t>哈密市伊州区广场北路18号</w:t>
      </w:r>
    </w:p>
    <w:p w14:paraId="231B45C8">
      <w:pPr>
        <w:pageBreakBefore w:val="0"/>
        <w:widowControl w:val="0"/>
        <w:kinsoku/>
        <w:wordWrap/>
        <w:overflowPunct/>
        <w:topLinePunct w:val="0"/>
        <w:autoSpaceDE/>
        <w:autoSpaceDN/>
        <w:bidi w:val="0"/>
        <w:adjustRightInd/>
        <w:snapToGrid/>
        <w:spacing w:line="560" w:lineRule="exact"/>
        <w:ind w:left="0" w:leftChars="0" w:firstLine="560" w:firstLineChars="200"/>
        <w:jc w:val="left"/>
        <w:textAlignment w:val="auto"/>
        <w:rPr>
          <w:rFonts w:hint="eastAsia" w:ascii="宋体" w:hAnsi="宋体" w:eastAsia="宋体" w:cs="宋体"/>
          <w:color w:val="000000" w:themeColor="text1"/>
          <w:sz w:val="28"/>
          <w:szCs w:val="28"/>
          <w:highlight w:val="none"/>
          <w:u w:val="single"/>
          <w:lang w:eastAsia="zh-CN"/>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联系方式：</w:t>
      </w:r>
      <w:r>
        <w:rPr>
          <w:rFonts w:hint="eastAsia" w:ascii="宋体" w:hAnsi="宋体" w:eastAsia="宋体" w:cs="宋体"/>
          <w:color w:val="000000" w:themeColor="text1"/>
          <w:sz w:val="28"/>
          <w:szCs w:val="28"/>
          <w:highlight w:val="none"/>
          <w:u w:val="single"/>
          <w14:textFill>
            <w14:solidFill>
              <w14:schemeClr w14:val="tx1"/>
            </w14:solidFill>
          </w14:textFill>
        </w:rPr>
        <w:t>0902-2260357</w:t>
      </w:r>
    </w:p>
    <w:p w14:paraId="6DB281FA">
      <w:pPr>
        <w:pageBreakBefore w:val="0"/>
        <w:widowControl w:val="0"/>
        <w:kinsoku/>
        <w:wordWrap/>
        <w:overflowPunct/>
        <w:topLinePunct w:val="0"/>
        <w:autoSpaceDE/>
        <w:autoSpaceDN/>
        <w:bidi w:val="0"/>
        <w:adjustRightInd/>
        <w:snapToGrid/>
        <w:spacing w:line="560" w:lineRule="exact"/>
        <w:ind w:left="0" w:leftChars="0"/>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2.采购代理机构信息</w:t>
      </w:r>
    </w:p>
    <w:p w14:paraId="05EE368C">
      <w:pPr>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宋体" w:hAnsi="宋体" w:eastAsia="宋体" w:cs="宋体"/>
          <w:color w:val="000000" w:themeColor="text1"/>
          <w:sz w:val="28"/>
          <w:szCs w:val="28"/>
          <w:highlight w:val="none"/>
          <w:u w:val="single"/>
          <w:lang w:eastAsia="zh-CN"/>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名    称：</w:t>
      </w:r>
      <w:r>
        <w:rPr>
          <w:rFonts w:hint="eastAsia" w:ascii="宋体" w:hAnsi="宋体" w:cs="宋体"/>
          <w:color w:val="000000" w:themeColor="text1"/>
          <w:sz w:val="28"/>
          <w:szCs w:val="28"/>
          <w:highlight w:val="none"/>
          <w:u w:val="single"/>
          <w:lang w:eastAsia="zh-CN"/>
          <w14:textFill>
            <w14:solidFill>
              <w14:schemeClr w14:val="tx1"/>
            </w14:solidFill>
          </w14:textFill>
        </w:rPr>
        <w:t>新疆诚誉工程项目管理有限公司</w:t>
      </w:r>
    </w:p>
    <w:p w14:paraId="3092A9A9">
      <w:pPr>
        <w:pageBreakBefore w:val="0"/>
        <w:widowControl w:val="0"/>
        <w:kinsoku/>
        <w:wordWrap/>
        <w:overflowPunct/>
        <w:topLinePunct w:val="0"/>
        <w:autoSpaceDE/>
        <w:autoSpaceDN/>
        <w:bidi w:val="0"/>
        <w:adjustRightInd/>
        <w:snapToGrid/>
        <w:spacing w:line="560" w:lineRule="exact"/>
        <w:ind w:left="1399" w:leftChars="266" w:hanging="840" w:hangingChars="300"/>
        <w:textAlignment w:val="auto"/>
        <w:rPr>
          <w:rFonts w:hint="eastAsia" w:ascii="宋体" w:hAnsi="宋体" w:eastAsia="宋体" w:cs="宋体"/>
          <w:color w:val="000000" w:themeColor="text1"/>
          <w:sz w:val="28"/>
          <w:szCs w:val="28"/>
          <w:highlight w:val="none"/>
          <w:lang w:eastAsia="zh-CN"/>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地　　址：</w:t>
      </w:r>
      <w:r>
        <w:rPr>
          <w:rFonts w:hint="eastAsia" w:ascii="宋体" w:hAnsi="宋体" w:cs="宋体"/>
          <w:color w:val="000000" w:themeColor="text1"/>
          <w:sz w:val="28"/>
          <w:szCs w:val="28"/>
          <w:highlight w:val="none"/>
          <w:u w:val="single"/>
          <w:lang w:eastAsia="zh-CN"/>
          <w14:textFill>
            <w14:solidFill>
              <w14:schemeClr w14:val="tx1"/>
            </w14:solidFill>
          </w14:textFill>
        </w:rPr>
        <w:t>乌鲁木齐市会展大道599号新疆财富中心C座6楼601室</w:t>
      </w:r>
    </w:p>
    <w:p w14:paraId="612CA13E">
      <w:pPr>
        <w:pageBreakBefore w:val="0"/>
        <w:widowControl w:val="0"/>
        <w:kinsoku/>
        <w:wordWrap/>
        <w:overflowPunct/>
        <w:topLinePunct w:val="0"/>
        <w:autoSpaceDE/>
        <w:autoSpaceDN/>
        <w:bidi w:val="0"/>
        <w:adjustRightInd/>
        <w:snapToGrid/>
        <w:spacing w:line="560" w:lineRule="exact"/>
        <w:ind w:left="0" w:leftChars="0"/>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3.项目联系方式</w:t>
      </w:r>
    </w:p>
    <w:p w14:paraId="614E6183">
      <w:pPr>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宋体" w:hAnsi="宋体" w:eastAsia="宋体" w:cs="宋体"/>
          <w:color w:val="000000" w:themeColor="text1"/>
          <w:sz w:val="28"/>
          <w:szCs w:val="28"/>
          <w:highlight w:val="none"/>
          <w:lang w:eastAsia="zh-CN"/>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项目联系人：</w:t>
      </w:r>
      <w:r>
        <w:rPr>
          <w:rFonts w:hint="eastAsia" w:ascii="宋体" w:hAnsi="宋体" w:cs="宋体"/>
          <w:color w:val="000000" w:themeColor="text1"/>
          <w:sz w:val="28"/>
          <w:szCs w:val="28"/>
          <w:highlight w:val="none"/>
          <w:u w:val="single"/>
          <w:lang w:eastAsia="zh-CN"/>
          <w14:textFill>
            <w14:solidFill>
              <w14:schemeClr w14:val="tx1"/>
            </w14:solidFill>
          </w14:textFill>
        </w:rPr>
        <w:t>刘慧敏、赵箭</w:t>
      </w:r>
    </w:p>
    <w:p w14:paraId="4DC6A225">
      <w:pPr>
        <w:pageBreakBefore w:val="0"/>
        <w:widowControl w:val="0"/>
        <w:tabs>
          <w:tab w:val="right" w:pos="9864"/>
        </w:tabs>
        <w:kinsoku/>
        <w:wordWrap/>
        <w:overflowPunct/>
        <w:topLinePunct w:val="0"/>
        <w:autoSpaceDE/>
        <w:autoSpaceDN/>
        <w:bidi w:val="0"/>
        <w:adjustRightInd/>
        <w:snapToGrid/>
        <w:spacing w:line="560" w:lineRule="exact"/>
        <w:ind w:left="0" w:leftChars="0" w:firstLine="560" w:firstLineChars="200"/>
        <w:textAlignment w:val="auto"/>
        <w:rPr>
          <w:rFonts w:ascii="宋体" w:hAnsi="宋体"/>
          <w:b/>
          <w:color w:val="000000" w:themeColor="text1"/>
          <w:sz w:val="28"/>
          <w:szCs w:val="32"/>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电　　 话：</w:t>
      </w:r>
      <w:r>
        <w:rPr>
          <w:rFonts w:hint="eastAsia" w:ascii="宋体" w:hAnsi="宋体" w:cs="宋体"/>
          <w:color w:val="000000" w:themeColor="text1"/>
          <w:sz w:val="28"/>
          <w:szCs w:val="28"/>
          <w:highlight w:val="none"/>
          <w:u w:val="single"/>
          <w:lang w:val="en-US" w:eastAsia="zh-CN"/>
          <w14:textFill>
            <w14:solidFill>
              <w14:schemeClr w14:val="tx1"/>
            </w14:solidFill>
          </w14:textFill>
        </w:rPr>
        <w:t>15899485207、19999115800</w:t>
      </w:r>
      <w:r>
        <w:rPr>
          <w:rFonts w:ascii="宋体" w:hAnsi="宋体" w:cs="宋体"/>
          <w:color w:val="000000" w:themeColor="text1"/>
          <w:sz w:val="24"/>
          <w:szCs w:val="28"/>
          <w:highlight w:val="none"/>
          <w14:textFill>
            <w14:solidFill>
              <w14:schemeClr w14:val="tx1"/>
            </w14:solidFill>
          </w14:textFill>
        </w:rPr>
        <w:tab/>
      </w:r>
    </w:p>
    <w:p w14:paraId="4DA796E8">
      <w:pPr>
        <w:bidi w:val="0"/>
        <w:rPr>
          <w:rFonts w:hint="eastAsia"/>
          <w:color w:val="000000" w:themeColor="text1"/>
          <w:highlight w:val="none"/>
          <w14:textFill>
            <w14:solidFill>
              <w14:schemeClr w14:val="tx1"/>
            </w14:solidFill>
          </w14:textFill>
        </w:rPr>
      </w:pPr>
    </w:p>
    <w:p w14:paraId="0D7135CC">
      <w:pPr>
        <w:rPr>
          <w:rFonts w:hint="eastAsia"/>
          <w:color w:val="000000" w:themeColor="text1"/>
          <w:highlight w:val="none"/>
          <w14:textFill>
            <w14:solidFill>
              <w14:schemeClr w14:val="tx1"/>
            </w14:solidFill>
          </w14:textFill>
        </w:rPr>
      </w:pPr>
    </w:p>
    <w:p w14:paraId="414C6165">
      <w:pPr>
        <w:rPr>
          <w:rFonts w:hint="eastAsia"/>
          <w:color w:val="000000" w:themeColor="text1"/>
          <w:highlight w:val="none"/>
          <w14:textFill>
            <w14:solidFill>
              <w14:schemeClr w14:val="tx1"/>
            </w14:solidFill>
          </w14:textFill>
        </w:rPr>
      </w:pPr>
    </w:p>
    <w:p w14:paraId="5D264422">
      <w:pPr>
        <w:rPr>
          <w:rFonts w:hint="eastAsia"/>
          <w:color w:val="000000" w:themeColor="text1"/>
          <w:highlight w:val="none"/>
          <w14:textFill>
            <w14:solidFill>
              <w14:schemeClr w14:val="tx1"/>
            </w14:solidFill>
          </w14:textFill>
        </w:rPr>
      </w:pPr>
    </w:p>
    <w:p w14:paraId="5D1993FC">
      <w:pPr>
        <w:rPr>
          <w:rFonts w:hint="eastAsia"/>
          <w:color w:val="000000" w:themeColor="text1"/>
          <w:highlight w:val="none"/>
          <w14:textFill>
            <w14:solidFill>
              <w14:schemeClr w14:val="tx1"/>
            </w14:solidFill>
          </w14:textFill>
        </w:rPr>
      </w:pPr>
    </w:p>
    <w:p w14:paraId="128CAE5E">
      <w:pPr>
        <w:rPr>
          <w:rFonts w:hint="eastAsia"/>
          <w:color w:val="000000" w:themeColor="text1"/>
          <w:highlight w:val="none"/>
          <w14:textFill>
            <w14:solidFill>
              <w14:schemeClr w14:val="tx1"/>
            </w14:solidFill>
          </w14:textFill>
        </w:rPr>
      </w:pPr>
    </w:p>
    <w:p w14:paraId="6BD6E5D8">
      <w:pPr>
        <w:rPr>
          <w:rFonts w:hint="eastAsia"/>
          <w:color w:val="000000" w:themeColor="text1"/>
          <w:highlight w:val="none"/>
          <w14:textFill>
            <w14:solidFill>
              <w14:schemeClr w14:val="tx1"/>
            </w14:solidFill>
          </w14:textFill>
        </w:rPr>
      </w:pPr>
    </w:p>
    <w:p w14:paraId="409EE4F1">
      <w:pPr>
        <w:rPr>
          <w:rFonts w:hint="eastAsia"/>
          <w:color w:val="000000" w:themeColor="text1"/>
          <w:highlight w:val="none"/>
          <w14:textFill>
            <w14:solidFill>
              <w14:schemeClr w14:val="tx1"/>
            </w14:solidFill>
          </w14:textFill>
        </w:rPr>
      </w:pPr>
    </w:p>
    <w:p w14:paraId="48012EBC">
      <w:pPr>
        <w:rPr>
          <w:rFonts w:hint="eastAsia"/>
          <w:color w:val="000000" w:themeColor="text1"/>
          <w:highlight w:val="none"/>
          <w14:textFill>
            <w14:solidFill>
              <w14:schemeClr w14:val="tx1"/>
            </w14:solidFill>
          </w14:textFill>
        </w:rPr>
      </w:pPr>
    </w:p>
    <w:p w14:paraId="5EA7D36A">
      <w:pPr>
        <w:rPr>
          <w:rFonts w:hint="eastAsia"/>
          <w:color w:val="000000" w:themeColor="text1"/>
          <w:highlight w:val="none"/>
          <w14:textFill>
            <w14:solidFill>
              <w14:schemeClr w14:val="tx1"/>
            </w14:solidFill>
          </w14:textFill>
        </w:rPr>
      </w:pPr>
    </w:p>
    <w:p w14:paraId="1E6516E0">
      <w:pPr>
        <w:rPr>
          <w:rFonts w:hint="eastAsia"/>
          <w:color w:val="000000" w:themeColor="text1"/>
          <w:highlight w:val="none"/>
          <w14:textFill>
            <w14:solidFill>
              <w14:schemeClr w14:val="tx1"/>
            </w14:solidFill>
          </w14:textFill>
        </w:rPr>
      </w:pPr>
    </w:p>
    <w:p w14:paraId="19779F03">
      <w:pPr>
        <w:rPr>
          <w:rFonts w:hint="eastAsia"/>
          <w:color w:val="000000" w:themeColor="text1"/>
          <w:highlight w:val="none"/>
          <w14:textFill>
            <w14:solidFill>
              <w14:schemeClr w14:val="tx1"/>
            </w14:solidFill>
          </w14:textFill>
        </w:rPr>
      </w:pPr>
    </w:p>
    <w:p w14:paraId="58926EE1">
      <w:pPr>
        <w:rPr>
          <w:rFonts w:hint="eastAsia"/>
          <w:color w:val="000000" w:themeColor="text1"/>
          <w:highlight w:val="none"/>
          <w14:textFill>
            <w14:solidFill>
              <w14:schemeClr w14:val="tx1"/>
            </w14:solidFill>
          </w14:textFill>
        </w:rPr>
      </w:pPr>
    </w:p>
    <w:p w14:paraId="67175538">
      <w:pPr>
        <w:rPr>
          <w:rFonts w:hint="eastAsia"/>
          <w:color w:val="000000" w:themeColor="text1"/>
          <w:highlight w:val="none"/>
          <w14:textFill>
            <w14:solidFill>
              <w14:schemeClr w14:val="tx1"/>
            </w14:solidFill>
          </w14:textFill>
        </w:rPr>
      </w:pPr>
    </w:p>
    <w:p w14:paraId="7235FAF6">
      <w:pPr>
        <w:rPr>
          <w:rFonts w:hint="eastAsia"/>
          <w:color w:val="000000" w:themeColor="text1"/>
          <w:highlight w:val="none"/>
          <w14:textFill>
            <w14:solidFill>
              <w14:schemeClr w14:val="tx1"/>
            </w14:solidFill>
          </w14:textFill>
        </w:rPr>
      </w:pPr>
    </w:p>
    <w:p w14:paraId="039E2F8D">
      <w:pPr>
        <w:rPr>
          <w:rFonts w:hint="eastAsia"/>
          <w:color w:val="000000" w:themeColor="text1"/>
          <w:highlight w:val="none"/>
          <w14:textFill>
            <w14:solidFill>
              <w14:schemeClr w14:val="tx1"/>
            </w14:solidFill>
          </w14:textFill>
        </w:rPr>
      </w:pPr>
    </w:p>
    <w:p w14:paraId="1022A10D">
      <w:pPr>
        <w:rPr>
          <w:rFonts w:hint="eastAsia"/>
          <w:color w:val="000000" w:themeColor="text1"/>
          <w:highlight w:val="none"/>
          <w14:textFill>
            <w14:solidFill>
              <w14:schemeClr w14:val="tx1"/>
            </w14:solidFill>
          </w14:textFill>
        </w:rPr>
      </w:pPr>
    </w:p>
    <w:p w14:paraId="1FF78063">
      <w:pPr>
        <w:rPr>
          <w:rFonts w:hint="eastAsia"/>
          <w:color w:val="000000" w:themeColor="text1"/>
          <w:highlight w:val="none"/>
          <w14:textFill>
            <w14:solidFill>
              <w14:schemeClr w14:val="tx1"/>
            </w14:solidFill>
          </w14:textFill>
        </w:rPr>
      </w:pPr>
    </w:p>
    <w:p w14:paraId="4D3ED960">
      <w:pPr>
        <w:rPr>
          <w:rFonts w:hint="eastAsia"/>
          <w:color w:val="000000" w:themeColor="text1"/>
          <w:highlight w:val="none"/>
          <w14:textFill>
            <w14:solidFill>
              <w14:schemeClr w14:val="tx1"/>
            </w14:solidFill>
          </w14:textFill>
        </w:rPr>
      </w:pPr>
    </w:p>
    <w:p w14:paraId="6A5983EA">
      <w:pPr>
        <w:rPr>
          <w:rFonts w:hint="eastAsia"/>
          <w:color w:val="000000" w:themeColor="text1"/>
          <w:highlight w:val="none"/>
          <w14:textFill>
            <w14:solidFill>
              <w14:schemeClr w14:val="tx1"/>
            </w14:solidFill>
          </w14:textFill>
        </w:rPr>
      </w:pPr>
    </w:p>
    <w:p w14:paraId="7C573824">
      <w:pPr>
        <w:rPr>
          <w:rFonts w:hint="eastAsia"/>
          <w:color w:val="000000" w:themeColor="text1"/>
          <w:highlight w:val="none"/>
          <w14:textFill>
            <w14:solidFill>
              <w14:schemeClr w14:val="tx1"/>
            </w14:solidFill>
          </w14:textFill>
        </w:rPr>
      </w:pPr>
    </w:p>
    <w:p w14:paraId="4A5DDD2F">
      <w:pPr>
        <w:rPr>
          <w:rFonts w:hint="eastAsia"/>
          <w:color w:val="000000" w:themeColor="text1"/>
          <w:highlight w:val="none"/>
          <w14:textFill>
            <w14:solidFill>
              <w14:schemeClr w14:val="tx1"/>
            </w14:solidFill>
          </w14:textFill>
        </w:rPr>
      </w:pPr>
    </w:p>
    <w:p w14:paraId="1C59992D">
      <w:pPr>
        <w:rPr>
          <w:rFonts w:hint="eastAsia"/>
          <w:color w:val="000000" w:themeColor="text1"/>
          <w:highlight w:val="none"/>
          <w14:textFill>
            <w14:solidFill>
              <w14:schemeClr w14:val="tx1"/>
            </w14:solidFill>
          </w14:textFill>
        </w:rPr>
      </w:pPr>
    </w:p>
    <w:p w14:paraId="25968F59">
      <w:pPr>
        <w:pStyle w:val="31"/>
        <w:pageBreakBefore w:val="0"/>
        <w:numPr>
          <w:ilvl w:val="0"/>
          <w:numId w:val="1"/>
        </w:numPr>
        <w:wordWrap/>
        <w:topLinePunct w:val="0"/>
        <w:bidi w:val="0"/>
        <w:spacing w:before="0" w:after="0" w:line="560" w:lineRule="exact"/>
        <w:rPr>
          <w:rFonts w:hint="eastAsia"/>
          <w:color w:val="000000" w:themeColor="text1"/>
          <w:sz w:val="36"/>
          <w:szCs w:val="36"/>
          <w:highlight w:val="none"/>
          <w14:textFill>
            <w14:solidFill>
              <w14:schemeClr w14:val="tx1"/>
            </w14:solidFill>
          </w14:textFill>
        </w:rPr>
      </w:pPr>
      <w:r>
        <w:rPr>
          <w:color w:val="000000" w:themeColor="text1"/>
          <w:sz w:val="36"/>
          <w:szCs w:val="36"/>
          <w:highlight w:val="none"/>
          <w14:textFill>
            <w14:solidFill>
              <w14:schemeClr w14:val="tx1"/>
            </w14:solidFill>
          </w14:textFill>
        </w:rPr>
        <w:t xml:space="preserve"> </w:t>
      </w:r>
      <w:r>
        <w:rPr>
          <w:rFonts w:hint="eastAsia"/>
          <w:color w:val="000000" w:themeColor="text1"/>
          <w:sz w:val="36"/>
          <w:szCs w:val="36"/>
          <w:highlight w:val="none"/>
          <w:lang w:eastAsia="zh-CN"/>
          <w14:textFill>
            <w14:solidFill>
              <w14:schemeClr w14:val="tx1"/>
            </w14:solidFill>
          </w14:textFill>
        </w:rPr>
        <w:t>供应商</w:t>
      </w:r>
      <w:r>
        <w:rPr>
          <w:rFonts w:hint="eastAsia"/>
          <w:color w:val="000000" w:themeColor="text1"/>
          <w:sz w:val="36"/>
          <w:szCs w:val="36"/>
          <w:highlight w:val="none"/>
          <w14:textFill>
            <w14:solidFill>
              <w14:schemeClr w14:val="tx1"/>
            </w14:solidFill>
          </w14:textFill>
        </w:rPr>
        <w:t>须知表</w:t>
      </w:r>
      <w:r>
        <w:rPr>
          <w:rFonts w:hint="eastAsia" w:ascii="宋体" w:hAnsi="宋体" w:eastAsia="宋体" w:cs="宋体"/>
          <w:color w:val="000000" w:themeColor="text1"/>
          <w:sz w:val="36"/>
          <w:szCs w:val="36"/>
          <w:highlight w:val="none"/>
          <w:lang w:eastAsia="zh-CN"/>
          <w14:textFill>
            <w14:solidFill>
              <w14:schemeClr w14:val="tx1"/>
            </w14:solidFill>
          </w14:textFill>
        </w:rPr>
        <w:t>（</w:t>
      </w:r>
      <w:r>
        <w:rPr>
          <w:rFonts w:hint="eastAsia" w:ascii="宋体" w:hAnsi="宋体" w:eastAsia="宋体" w:cs="宋体"/>
          <w:color w:val="000000" w:themeColor="text1"/>
          <w:sz w:val="36"/>
          <w:szCs w:val="36"/>
          <w:highlight w:val="none"/>
          <w14:textFill>
            <w14:solidFill>
              <w14:schemeClr w14:val="tx1"/>
            </w14:solidFill>
          </w14:textFill>
        </w:rPr>
        <w:t>标项</w:t>
      </w:r>
      <w:r>
        <w:rPr>
          <w:rFonts w:hint="eastAsia" w:ascii="宋体" w:hAnsi="宋体" w:cs="宋体"/>
          <w:color w:val="000000" w:themeColor="text1"/>
          <w:sz w:val="36"/>
          <w:szCs w:val="36"/>
          <w:highlight w:val="none"/>
          <w:lang w:val="en-US" w:eastAsia="zh-CN"/>
          <w14:textFill>
            <w14:solidFill>
              <w14:schemeClr w14:val="tx1"/>
            </w14:solidFill>
          </w14:textFill>
        </w:rPr>
        <w:t>4</w:t>
      </w:r>
      <w:r>
        <w:rPr>
          <w:rFonts w:hint="eastAsia" w:ascii="宋体" w:hAnsi="宋体" w:eastAsia="宋体" w:cs="宋体"/>
          <w:color w:val="000000" w:themeColor="text1"/>
          <w:sz w:val="36"/>
          <w:szCs w:val="36"/>
          <w:highlight w:val="none"/>
          <w:lang w:eastAsia="zh-CN"/>
          <w14:textFill>
            <w14:solidFill>
              <w14:schemeClr w14:val="tx1"/>
            </w14:solidFill>
          </w14:textFill>
        </w:rPr>
        <w:t>）</w:t>
      </w:r>
    </w:p>
    <w:tbl>
      <w:tblPr>
        <w:tblStyle w:val="34"/>
        <w:tblW w:w="10529" w:type="dxa"/>
        <w:tblInd w:w="-17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93"/>
        <w:gridCol w:w="2239"/>
        <w:gridCol w:w="7297"/>
      </w:tblGrid>
      <w:tr w14:paraId="701817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14:paraId="4A2FAD5C">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序号</w:t>
            </w:r>
          </w:p>
        </w:tc>
        <w:tc>
          <w:tcPr>
            <w:tcW w:w="2239" w:type="dxa"/>
            <w:tcBorders>
              <w:top w:val="single" w:color="auto" w:sz="4" w:space="0"/>
              <w:left w:val="single" w:color="auto" w:sz="4" w:space="0"/>
              <w:bottom w:val="single" w:color="auto" w:sz="4" w:space="0"/>
              <w:right w:val="single" w:color="auto" w:sz="4" w:space="0"/>
            </w:tcBorders>
            <w:vAlign w:val="center"/>
          </w:tcPr>
          <w:p w14:paraId="17FB714E">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项目内容</w:t>
            </w:r>
          </w:p>
        </w:tc>
        <w:tc>
          <w:tcPr>
            <w:tcW w:w="7297" w:type="dxa"/>
            <w:tcBorders>
              <w:top w:val="single" w:color="auto" w:sz="4" w:space="0"/>
              <w:left w:val="single" w:color="auto" w:sz="4" w:space="0"/>
              <w:bottom w:val="single" w:color="auto" w:sz="4" w:space="0"/>
              <w:right w:val="single" w:color="auto" w:sz="4" w:space="0"/>
            </w:tcBorders>
            <w:vAlign w:val="center"/>
          </w:tcPr>
          <w:p w14:paraId="5575EFCD">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编列内容</w:t>
            </w:r>
          </w:p>
        </w:tc>
      </w:tr>
      <w:tr w14:paraId="3F1E79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14:paraId="0A12EC30">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w:t>
            </w:r>
          </w:p>
        </w:tc>
        <w:tc>
          <w:tcPr>
            <w:tcW w:w="2239" w:type="dxa"/>
            <w:tcBorders>
              <w:top w:val="single" w:color="auto" w:sz="4" w:space="0"/>
              <w:left w:val="single" w:color="auto" w:sz="4" w:space="0"/>
              <w:bottom w:val="single" w:color="auto" w:sz="4" w:space="0"/>
              <w:right w:val="single" w:color="auto" w:sz="4" w:space="0"/>
            </w:tcBorders>
            <w:vAlign w:val="center"/>
          </w:tcPr>
          <w:p w14:paraId="714F2198">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项目名称</w:t>
            </w:r>
          </w:p>
        </w:tc>
        <w:tc>
          <w:tcPr>
            <w:tcW w:w="7297" w:type="dxa"/>
            <w:tcBorders>
              <w:top w:val="single" w:color="auto" w:sz="4" w:space="0"/>
              <w:left w:val="single" w:color="auto" w:sz="4" w:space="0"/>
              <w:bottom w:val="single" w:color="auto" w:sz="4" w:space="0"/>
              <w:right w:val="single" w:color="auto" w:sz="4" w:space="0"/>
            </w:tcBorders>
            <w:vAlign w:val="center"/>
          </w:tcPr>
          <w:p w14:paraId="40A7AA61">
            <w:pPr>
              <w:pStyle w:val="11"/>
              <w:keepNext w:val="0"/>
              <w:keepLines w:val="0"/>
              <w:pageBreakBefore w:val="0"/>
              <w:kinsoku/>
              <w:wordWrap/>
              <w:overflowPunct/>
              <w:topLinePunct w:val="0"/>
              <w:bidi w:val="0"/>
              <w:adjustRightInd/>
              <w:snapToGrid/>
              <w:spacing w:line="560" w:lineRule="exact"/>
              <w:rPr>
                <w:rFonts w:hint="eastAsia" w:ascii="宋体" w:hAnsi="宋体" w:eastAsia="宋体" w:cs="宋体"/>
                <w:color w:val="000000" w:themeColor="text1"/>
                <w:sz w:val="28"/>
                <w:szCs w:val="28"/>
                <w:highlight w:val="none"/>
                <w:lang w:eastAsia="zh-CN"/>
                <w14:textFill>
                  <w14:solidFill>
                    <w14:schemeClr w14:val="tx1"/>
                  </w14:solidFill>
                </w14:textFill>
              </w:rPr>
            </w:pPr>
            <w:r>
              <w:rPr>
                <w:rFonts w:hint="eastAsia" w:ascii="宋体" w:hAnsi="宋体" w:cs="宋体"/>
                <w:color w:val="000000" w:themeColor="text1"/>
                <w:sz w:val="28"/>
                <w:szCs w:val="28"/>
                <w:highlight w:val="none"/>
                <w:lang w:eastAsia="zh-CN"/>
                <w14:textFill>
                  <w14:solidFill>
                    <w14:schemeClr w14:val="tx1"/>
                  </w14:solidFill>
                </w14:textFill>
              </w:rPr>
              <w:t>哈密市中心医院2025年医疗设备购置项目（第一批）（二次）</w:t>
            </w:r>
          </w:p>
        </w:tc>
      </w:tr>
      <w:tr w14:paraId="40E09A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14:paraId="6190F4E4">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2</w:t>
            </w:r>
          </w:p>
        </w:tc>
        <w:tc>
          <w:tcPr>
            <w:tcW w:w="2239" w:type="dxa"/>
            <w:tcBorders>
              <w:top w:val="single" w:color="auto" w:sz="4" w:space="0"/>
              <w:left w:val="single" w:color="auto" w:sz="4" w:space="0"/>
              <w:bottom w:val="single" w:color="auto" w:sz="4" w:space="0"/>
              <w:right w:val="single" w:color="auto" w:sz="4" w:space="0"/>
            </w:tcBorders>
            <w:vAlign w:val="center"/>
          </w:tcPr>
          <w:p w14:paraId="03B14B0C">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采购人</w:t>
            </w:r>
          </w:p>
        </w:tc>
        <w:tc>
          <w:tcPr>
            <w:tcW w:w="7297" w:type="dxa"/>
            <w:tcBorders>
              <w:top w:val="single" w:color="auto" w:sz="4" w:space="0"/>
              <w:left w:val="single" w:color="auto" w:sz="4" w:space="0"/>
              <w:bottom w:val="single" w:color="auto" w:sz="4" w:space="0"/>
              <w:right w:val="single" w:color="auto" w:sz="4" w:space="0"/>
            </w:tcBorders>
            <w:vAlign w:val="center"/>
          </w:tcPr>
          <w:p w14:paraId="28044DD6">
            <w:pPr>
              <w:keepNext w:val="0"/>
              <w:keepLines w:val="0"/>
              <w:pageBreakBefore w:val="0"/>
              <w:kinsoku/>
              <w:wordWrap/>
              <w:overflowPunct/>
              <w:topLinePunct w:val="0"/>
              <w:bidi w:val="0"/>
              <w:adjustRightInd/>
              <w:snapToGrid/>
              <w:spacing w:line="560" w:lineRule="exact"/>
              <w:rPr>
                <w:rFonts w:hint="eastAsia" w:ascii="宋体" w:hAnsi="宋体" w:eastAsia="宋体" w:cs="宋体"/>
                <w:color w:val="000000" w:themeColor="text1"/>
                <w:sz w:val="28"/>
                <w:szCs w:val="28"/>
                <w:highlight w:val="none"/>
                <w:u w:val="single"/>
                <w:lang w:eastAsia="zh-CN"/>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名    称：</w:t>
            </w:r>
            <w:r>
              <w:rPr>
                <w:rFonts w:hint="eastAsia" w:ascii="宋体" w:hAnsi="宋体" w:cs="宋体"/>
                <w:color w:val="000000" w:themeColor="text1"/>
                <w:sz w:val="28"/>
                <w:szCs w:val="28"/>
                <w:highlight w:val="none"/>
                <w:u w:val="single"/>
                <w:lang w:eastAsia="zh-CN"/>
                <w14:textFill>
                  <w14:solidFill>
                    <w14:schemeClr w14:val="tx1"/>
                  </w14:solidFill>
                </w14:textFill>
              </w:rPr>
              <w:t>哈密市中心医院</w:t>
            </w:r>
          </w:p>
          <w:p w14:paraId="7D0FFDAD">
            <w:pPr>
              <w:keepNext w:val="0"/>
              <w:keepLines w:val="0"/>
              <w:pageBreakBefore w:val="0"/>
              <w:kinsoku/>
              <w:wordWrap/>
              <w:overflowPunct/>
              <w:topLinePunct w:val="0"/>
              <w:bidi w:val="0"/>
              <w:adjustRightInd/>
              <w:snapToGrid/>
              <w:spacing w:line="560" w:lineRule="exact"/>
              <w:rPr>
                <w:rFonts w:hint="eastAsia" w:ascii="宋体" w:hAnsi="宋体" w:eastAsia="宋体" w:cs="宋体"/>
                <w:color w:val="000000" w:themeColor="text1"/>
                <w:sz w:val="28"/>
                <w:szCs w:val="28"/>
                <w:highlight w:val="none"/>
                <w:lang w:eastAsia="zh-CN"/>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地    址：</w:t>
            </w:r>
            <w:r>
              <w:rPr>
                <w:rFonts w:hint="eastAsia" w:ascii="宋体" w:hAnsi="宋体" w:cs="宋体"/>
                <w:color w:val="000000" w:themeColor="text1"/>
                <w:sz w:val="28"/>
                <w:szCs w:val="28"/>
                <w:highlight w:val="none"/>
                <w:u w:val="single"/>
                <w:lang w:eastAsia="zh-CN"/>
                <w14:textFill>
                  <w14:solidFill>
                    <w14:schemeClr w14:val="tx1"/>
                  </w14:solidFill>
                </w14:textFill>
              </w:rPr>
              <w:t>哈密市伊州区广场北路18号</w:t>
            </w:r>
          </w:p>
          <w:p w14:paraId="379A1AA8">
            <w:pPr>
              <w:keepNext w:val="0"/>
              <w:keepLines w:val="0"/>
              <w:pageBreakBefore w:val="0"/>
              <w:kinsoku/>
              <w:wordWrap/>
              <w:overflowPunct/>
              <w:topLinePunct w:val="0"/>
              <w:bidi w:val="0"/>
              <w:adjustRightInd/>
              <w:snapToGrid/>
              <w:spacing w:line="560" w:lineRule="exact"/>
              <w:rPr>
                <w:rFonts w:hint="eastAsia" w:ascii="宋体" w:hAnsi="宋体" w:eastAsia="宋体" w:cs="宋体"/>
                <w:color w:val="000000" w:themeColor="text1"/>
                <w:sz w:val="28"/>
                <w:szCs w:val="28"/>
                <w:highlight w:val="none"/>
                <w:u w:val="single"/>
                <w:lang w:eastAsia="zh-CN"/>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联系方式：</w:t>
            </w:r>
            <w:r>
              <w:rPr>
                <w:rFonts w:hint="eastAsia" w:ascii="宋体" w:hAnsi="宋体" w:eastAsia="宋体" w:cs="宋体"/>
                <w:color w:val="000000" w:themeColor="text1"/>
                <w:sz w:val="28"/>
                <w:szCs w:val="28"/>
                <w:highlight w:val="none"/>
                <w:u w:val="single"/>
                <w14:textFill>
                  <w14:solidFill>
                    <w14:schemeClr w14:val="tx1"/>
                  </w14:solidFill>
                </w14:textFill>
              </w:rPr>
              <w:t>0902-2260357</w:t>
            </w:r>
          </w:p>
        </w:tc>
      </w:tr>
      <w:tr w14:paraId="49046D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14:paraId="30582903">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3</w:t>
            </w:r>
          </w:p>
        </w:tc>
        <w:tc>
          <w:tcPr>
            <w:tcW w:w="2239" w:type="dxa"/>
            <w:tcBorders>
              <w:top w:val="single" w:color="auto" w:sz="4" w:space="0"/>
              <w:left w:val="single" w:color="auto" w:sz="4" w:space="0"/>
              <w:bottom w:val="single" w:color="auto" w:sz="4" w:space="0"/>
              <w:right w:val="single" w:color="auto" w:sz="4" w:space="0"/>
            </w:tcBorders>
            <w:vAlign w:val="center"/>
          </w:tcPr>
          <w:p w14:paraId="32549451">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采购代理机构</w:t>
            </w:r>
          </w:p>
        </w:tc>
        <w:tc>
          <w:tcPr>
            <w:tcW w:w="7297" w:type="dxa"/>
            <w:tcBorders>
              <w:top w:val="single" w:color="auto" w:sz="4" w:space="0"/>
              <w:left w:val="single" w:color="auto" w:sz="4" w:space="0"/>
              <w:bottom w:val="single" w:color="auto" w:sz="4" w:space="0"/>
              <w:right w:val="single" w:color="auto" w:sz="4" w:space="0"/>
            </w:tcBorders>
            <w:vAlign w:val="center"/>
          </w:tcPr>
          <w:p w14:paraId="6D19C458">
            <w:pPr>
              <w:keepNext w:val="0"/>
              <w:keepLines w:val="0"/>
              <w:pageBreakBefore w:val="0"/>
              <w:kinsoku/>
              <w:wordWrap/>
              <w:overflowPunct/>
              <w:topLinePunct w:val="0"/>
              <w:bidi w:val="0"/>
              <w:adjustRightInd/>
              <w:snapToGrid/>
              <w:spacing w:line="560" w:lineRule="exact"/>
              <w:rPr>
                <w:rFonts w:hint="eastAsia" w:ascii="宋体" w:hAnsi="宋体" w:eastAsia="宋体" w:cs="宋体"/>
                <w:color w:val="000000" w:themeColor="text1"/>
                <w:sz w:val="28"/>
                <w:szCs w:val="28"/>
                <w:highlight w:val="none"/>
                <w:u w:val="single"/>
                <w:lang w:eastAsia="zh-CN"/>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名    称：</w:t>
            </w:r>
            <w:r>
              <w:rPr>
                <w:rFonts w:hint="eastAsia" w:ascii="宋体" w:hAnsi="宋体" w:cs="宋体"/>
                <w:color w:val="000000" w:themeColor="text1"/>
                <w:sz w:val="28"/>
                <w:szCs w:val="28"/>
                <w:highlight w:val="none"/>
                <w:u w:val="single"/>
                <w:lang w:eastAsia="zh-CN"/>
                <w14:textFill>
                  <w14:solidFill>
                    <w14:schemeClr w14:val="tx1"/>
                  </w14:solidFill>
                </w14:textFill>
              </w:rPr>
              <w:t>新疆诚誉工程项目管理有限公司</w:t>
            </w:r>
          </w:p>
          <w:p w14:paraId="3C3A8C0E">
            <w:pPr>
              <w:keepNext w:val="0"/>
              <w:keepLines w:val="0"/>
              <w:pageBreakBefore w:val="0"/>
              <w:kinsoku/>
              <w:wordWrap/>
              <w:overflowPunct/>
              <w:topLinePunct w:val="0"/>
              <w:bidi w:val="0"/>
              <w:adjustRightInd/>
              <w:snapToGrid/>
              <w:spacing w:line="560" w:lineRule="exact"/>
              <w:rPr>
                <w:rFonts w:hint="eastAsia" w:ascii="宋体" w:hAnsi="宋体" w:eastAsia="宋体" w:cs="宋体"/>
                <w:color w:val="000000" w:themeColor="text1"/>
                <w:sz w:val="28"/>
                <w:szCs w:val="28"/>
                <w:highlight w:val="none"/>
                <w:lang w:eastAsia="zh-CN"/>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地　　址：</w:t>
            </w:r>
            <w:r>
              <w:rPr>
                <w:rFonts w:hint="eastAsia" w:ascii="宋体" w:hAnsi="宋体" w:cs="宋体"/>
                <w:color w:val="000000" w:themeColor="text1"/>
                <w:sz w:val="28"/>
                <w:szCs w:val="28"/>
                <w:highlight w:val="none"/>
                <w:u w:val="single"/>
                <w:lang w:eastAsia="zh-CN"/>
                <w14:textFill>
                  <w14:solidFill>
                    <w14:schemeClr w14:val="tx1"/>
                  </w14:solidFill>
                </w14:textFill>
              </w:rPr>
              <w:t>乌鲁木齐市会展大道599号新疆财富中心C座6楼601室</w:t>
            </w:r>
          </w:p>
          <w:p w14:paraId="082DEFF0">
            <w:pPr>
              <w:keepNext w:val="0"/>
              <w:keepLines w:val="0"/>
              <w:pageBreakBefore w:val="0"/>
              <w:kinsoku/>
              <w:wordWrap/>
              <w:overflowPunct/>
              <w:topLinePunct w:val="0"/>
              <w:bidi w:val="0"/>
              <w:adjustRightInd/>
              <w:snapToGrid/>
              <w:spacing w:line="560" w:lineRule="exact"/>
              <w:rPr>
                <w:rFonts w:hint="eastAsia" w:ascii="宋体" w:hAnsi="宋体" w:eastAsia="宋体" w:cs="宋体"/>
                <w:color w:val="000000" w:themeColor="text1"/>
                <w:sz w:val="28"/>
                <w:szCs w:val="28"/>
                <w:highlight w:val="none"/>
                <w:lang w:eastAsia="zh-CN"/>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项目联系人：</w:t>
            </w:r>
            <w:r>
              <w:rPr>
                <w:rFonts w:hint="eastAsia" w:ascii="宋体" w:hAnsi="宋体" w:cs="宋体"/>
                <w:color w:val="000000" w:themeColor="text1"/>
                <w:sz w:val="28"/>
                <w:szCs w:val="28"/>
                <w:highlight w:val="none"/>
                <w:u w:val="single"/>
                <w:lang w:eastAsia="zh-CN"/>
                <w14:textFill>
                  <w14:solidFill>
                    <w14:schemeClr w14:val="tx1"/>
                  </w14:solidFill>
                </w14:textFill>
              </w:rPr>
              <w:t>刘慧敏、赵箭</w:t>
            </w:r>
          </w:p>
          <w:p w14:paraId="585CDBE2">
            <w:pPr>
              <w:pStyle w:val="11"/>
              <w:keepNext w:val="0"/>
              <w:keepLines w:val="0"/>
              <w:pageBreakBefore w:val="0"/>
              <w:kinsoku/>
              <w:wordWrap/>
              <w:overflowPunct/>
              <w:topLinePunct w:val="0"/>
              <w:bidi w:val="0"/>
              <w:adjustRightInd/>
              <w:snapToGrid/>
              <w:spacing w:line="560" w:lineRule="exact"/>
              <w:rPr>
                <w:rFonts w:hint="default"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电　　 话：</w:t>
            </w:r>
            <w:r>
              <w:rPr>
                <w:rFonts w:hint="eastAsia" w:ascii="宋体" w:hAnsi="宋体" w:cs="宋体"/>
                <w:color w:val="000000" w:themeColor="text1"/>
                <w:sz w:val="28"/>
                <w:szCs w:val="28"/>
                <w:highlight w:val="none"/>
                <w:u w:val="single"/>
                <w:lang w:val="en-US" w:eastAsia="zh-CN"/>
                <w14:textFill>
                  <w14:solidFill>
                    <w14:schemeClr w14:val="tx1"/>
                  </w14:solidFill>
                </w14:textFill>
              </w:rPr>
              <w:t>15899485207、19999115800</w:t>
            </w:r>
          </w:p>
        </w:tc>
      </w:tr>
      <w:tr w14:paraId="3C96D1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14:paraId="4A645A42">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color w:val="000000" w:themeColor="text1"/>
                <w:sz w:val="28"/>
                <w:szCs w:val="28"/>
                <w:highlight w:val="none"/>
                <w:lang w:eastAsia="zh-CN"/>
                <w14:textFill>
                  <w14:solidFill>
                    <w14:schemeClr w14:val="tx1"/>
                  </w14:solidFill>
                </w14:textFill>
              </w:rPr>
            </w:pPr>
            <w:r>
              <w:rPr>
                <w:rFonts w:hint="eastAsia" w:ascii="宋体" w:hAnsi="宋体" w:cs="宋体"/>
                <w:color w:val="000000" w:themeColor="text1"/>
                <w:sz w:val="28"/>
                <w:szCs w:val="28"/>
                <w:highlight w:val="none"/>
                <w:lang w:val="en-US" w:eastAsia="zh-CN"/>
                <w14:textFill>
                  <w14:solidFill>
                    <w14:schemeClr w14:val="tx1"/>
                  </w14:solidFill>
                </w14:textFill>
              </w:rPr>
              <w:t>4</w:t>
            </w:r>
          </w:p>
        </w:tc>
        <w:tc>
          <w:tcPr>
            <w:tcW w:w="2239" w:type="dxa"/>
            <w:tcBorders>
              <w:top w:val="single" w:color="auto" w:sz="4" w:space="0"/>
              <w:left w:val="single" w:color="auto" w:sz="4" w:space="0"/>
              <w:bottom w:val="single" w:color="auto" w:sz="4" w:space="0"/>
              <w:right w:val="single" w:color="auto" w:sz="4" w:space="0"/>
            </w:tcBorders>
            <w:vAlign w:val="center"/>
          </w:tcPr>
          <w:p w14:paraId="11C618A9">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是否接受联合体投标</w:t>
            </w:r>
          </w:p>
        </w:tc>
        <w:tc>
          <w:tcPr>
            <w:tcW w:w="7297" w:type="dxa"/>
            <w:tcBorders>
              <w:top w:val="single" w:color="auto" w:sz="4" w:space="0"/>
              <w:left w:val="single" w:color="auto" w:sz="4" w:space="0"/>
              <w:bottom w:val="single" w:color="auto" w:sz="4" w:space="0"/>
              <w:right w:val="single" w:color="auto" w:sz="4" w:space="0"/>
            </w:tcBorders>
            <w:vAlign w:val="center"/>
          </w:tcPr>
          <w:p w14:paraId="25FDA78E">
            <w:pPr>
              <w:pStyle w:val="11"/>
              <w:keepNext w:val="0"/>
              <w:keepLines w:val="0"/>
              <w:pageBreakBefore w:val="0"/>
              <w:kinsoku/>
              <w:wordWrap/>
              <w:overflowPunct/>
              <w:topLinePunct w:val="0"/>
              <w:bidi w:val="0"/>
              <w:adjustRightInd/>
              <w:snapToGrid/>
              <w:spacing w:line="560" w:lineRule="exac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不允许联合体投标。</w:t>
            </w:r>
          </w:p>
        </w:tc>
      </w:tr>
      <w:tr w14:paraId="4FC014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14:paraId="0AA87C75">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color w:val="000000" w:themeColor="text1"/>
                <w:sz w:val="28"/>
                <w:szCs w:val="28"/>
                <w:highlight w:val="none"/>
                <w:lang w:eastAsia="zh-CN"/>
                <w14:textFill>
                  <w14:solidFill>
                    <w14:schemeClr w14:val="tx1"/>
                  </w14:solidFill>
                </w14:textFill>
              </w:rPr>
            </w:pPr>
            <w:r>
              <w:rPr>
                <w:rFonts w:hint="eastAsia" w:ascii="宋体" w:hAnsi="宋体" w:cs="宋体"/>
                <w:color w:val="000000" w:themeColor="text1"/>
                <w:sz w:val="28"/>
                <w:szCs w:val="28"/>
                <w:highlight w:val="none"/>
                <w:lang w:val="en-US" w:eastAsia="zh-CN"/>
                <w14:textFill>
                  <w14:solidFill>
                    <w14:schemeClr w14:val="tx1"/>
                  </w14:solidFill>
                </w14:textFill>
              </w:rPr>
              <w:t>5</w:t>
            </w:r>
          </w:p>
        </w:tc>
        <w:tc>
          <w:tcPr>
            <w:tcW w:w="2239" w:type="dxa"/>
            <w:tcBorders>
              <w:top w:val="single" w:color="auto" w:sz="4" w:space="0"/>
              <w:left w:val="single" w:color="auto" w:sz="4" w:space="0"/>
              <w:bottom w:val="single" w:color="auto" w:sz="4" w:space="0"/>
              <w:right w:val="single" w:color="auto" w:sz="4" w:space="0"/>
            </w:tcBorders>
            <w:vAlign w:val="center"/>
          </w:tcPr>
          <w:p w14:paraId="48866F62">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联合体投标要求</w:t>
            </w:r>
          </w:p>
        </w:tc>
        <w:tc>
          <w:tcPr>
            <w:tcW w:w="7297" w:type="dxa"/>
            <w:tcBorders>
              <w:top w:val="single" w:color="auto" w:sz="4" w:space="0"/>
              <w:left w:val="single" w:color="auto" w:sz="4" w:space="0"/>
              <w:bottom w:val="single" w:color="auto" w:sz="4" w:space="0"/>
              <w:right w:val="single" w:color="auto" w:sz="4" w:space="0"/>
            </w:tcBorders>
            <w:vAlign w:val="center"/>
          </w:tcPr>
          <w:p w14:paraId="156E58BF">
            <w:pPr>
              <w:pStyle w:val="11"/>
              <w:keepNext w:val="0"/>
              <w:keepLines w:val="0"/>
              <w:pageBreakBefore w:val="0"/>
              <w:kinsoku/>
              <w:wordWrap/>
              <w:overflowPunct/>
              <w:topLinePunct w:val="0"/>
              <w:bidi w:val="0"/>
              <w:adjustRightInd/>
              <w:snapToGrid/>
              <w:spacing w:line="560" w:lineRule="exac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无</w:t>
            </w:r>
          </w:p>
        </w:tc>
      </w:tr>
      <w:tr w14:paraId="0F0E75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14:paraId="73255A13">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color w:val="000000" w:themeColor="text1"/>
                <w:sz w:val="28"/>
                <w:szCs w:val="28"/>
                <w:highlight w:val="none"/>
                <w:lang w:eastAsia="zh-CN"/>
                <w14:textFill>
                  <w14:solidFill>
                    <w14:schemeClr w14:val="tx1"/>
                  </w14:solidFill>
                </w14:textFill>
              </w:rPr>
            </w:pPr>
            <w:r>
              <w:rPr>
                <w:rFonts w:hint="eastAsia" w:ascii="宋体" w:hAnsi="宋体" w:cs="宋体"/>
                <w:color w:val="000000" w:themeColor="text1"/>
                <w:sz w:val="28"/>
                <w:szCs w:val="28"/>
                <w:highlight w:val="none"/>
                <w:lang w:val="en-US" w:eastAsia="zh-CN"/>
                <w14:textFill>
                  <w14:solidFill>
                    <w14:schemeClr w14:val="tx1"/>
                  </w14:solidFill>
                </w14:textFill>
              </w:rPr>
              <w:t>6</w:t>
            </w:r>
          </w:p>
        </w:tc>
        <w:tc>
          <w:tcPr>
            <w:tcW w:w="2239" w:type="dxa"/>
            <w:tcBorders>
              <w:top w:val="single" w:color="auto" w:sz="4" w:space="0"/>
              <w:left w:val="single" w:color="auto" w:sz="4" w:space="0"/>
              <w:bottom w:val="single" w:color="auto" w:sz="4" w:space="0"/>
              <w:right w:val="single" w:color="auto" w:sz="4" w:space="0"/>
            </w:tcBorders>
            <w:vAlign w:val="center"/>
          </w:tcPr>
          <w:p w14:paraId="7AECFCBD">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是否允许转包/分包</w:t>
            </w:r>
          </w:p>
        </w:tc>
        <w:tc>
          <w:tcPr>
            <w:tcW w:w="7297" w:type="dxa"/>
            <w:tcBorders>
              <w:top w:val="single" w:color="auto" w:sz="4" w:space="0"/>
              <w:left w:val="single" w:color="auto" w:sz="4" w:space="0"/>
              <w:bottom w:val="single" w:color="auto" w:sz="4" w:space="0"/>
              <w:right w:val="single" w:color="auto" w:sz="4" w:space="0"/>
            </w:tcBorders>
            <w:vAlign w:val="center"/>
          </w:tcPr>
          <w:p w14:paraId="14898298">
            <w:pPr>
              <w:pStyle w:val="11"/>
              <w:keepNext w:val="0"/>
              <w:keepLines w:val="0"/>
              <w:pageBreakBefore w:val="0"/>
              <w:kinsoku/>
              <w:wordWrap/>
              <w:overflowPunct/>
              <w:topLinePunct w:val="0"/>
              <w:bidi w:val="0"/>
              <w:adjustRightInd/>
              <w:snapToGrid/>
              <w:spacing w:line="560" w:lineRule="exac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w:t>
            </w:r>
          </w:p>
        </w:tc>
      </w:tr>
      <w:tr w14:paraId="08E68C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14:paraId="7D97FD44">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color w:val="000000" w:themeColor="text1"/>
                <w:sz w:val="28"/>
                <w:szCs w:val="28"/>
                <w:highlight w:val="none"/>
                <w:lang w:eastAsia="zh-CN"/>
                <w14:textFill>
                  <w14:solidFill>
                    <w14:schemeClr w14:val="tx1"/>
                  </w14:solidFill>
                </w14:textFill>
              </w:rPr>
            </w:pPr>
            <w:r>
              <w:rPr>
                <w:rFonts w:hint="eastAsia" w:ascii="宋体" w:hAnsi="宋体" w:cs="宋体"/>
                <w:color w:val="000000" w:themeColor="text1"/>
                <w:sz w:val="28"/>
                <w:szCs w:val="28"/>
                <w:highlight w:val="none"/>
                <w:lang w:val="en-US" w:eastAsia="zh-CN"/>
                <w14:textFill>
                  <w14:solidFill>
                    <w14:schemeClr w14:val="tx1"/>
                  </w14:solidFill>
                </w14:textFill>
              </w:rPr>
              <w:t>7</w:t>
            </w:r>
          </w:p>
        </w:tc>
        <w:tc>
          <w:tcPr>
            <w:tcW w:w="2239" w:type="dxa"/>
            <w:tcBorders>
              <w:top w:val="single" w:color="auto" w:sz="4" w:space="0"/>
              <w:left w:val="single" w:color="auto" w:sz="4" w:space="0"/>
              <w:bottom w:val="single" w:color="auto" w:sz="4" w:space="0"/>
              <w:right w:val="single" w:color="auto" w:sz="4" w:space="0"/>
            </w:tcBorders>
            <w:vAlign w:val="center"/>
          </w:tcPr>
          <w:p w14:paraId="34CE9766">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媒体发布渠道</w:t>
            </w:r>
          </w:p>
        </w:tc>
        <w:tc>
          <w:tcPr>
            <w:tcW w:w="7297" w:type="dxa"/>
            <w:tcBorders>
              <w:top w:val="single" w:color="auto" w:sz="4" w:space="0"/>
              <w:left w:val="single" w:color="auto" w:sz="4" w:space="0"/>
              <w:bottom w:val="single" w:color="auto" w:sz="4" w:space="0"/>
              <w:right w:val="single" w:color="auto" w:sz="4" w:space="0"/>
            </w:tcBorders>
            <w:vAlign w:val="center"/>
          </w:tcPr>
          <w:p w14:paraId="30F0F8EB">
            <w:pPr>
              <w:keepNext w:val="0"/>
              <w:keepLines w:val="0"/>
              <w:pageBreakBefore w:val="0"/>
              <w:kinsoku/>
              <w:wordWrap/>
              <w:overflowPunct/>
              <w:topLinePunct w:val="0"/>
              <w:bidi w:val="0"/>
              <w:adjustRightInd/>
              <w:snapToGrid/>
              <w:spacing w:line="560" w:lineRule="exac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新疆政府采购网（http://www.ccgp-xinjiang.gov.cn）</w:t>
            </w:r>
          </w:p>
        </w:tc>
      </w:tr>
      <w:tr w14:paraId="5453DB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14:paraId="184E9E3D">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color w:val="000000" w:themeColor="text1"/>
                <w:sz w:val="28"/>
                <w:szCs w:val="28"/>
                <w:highlight w:val="none"/>
                <w:lang w:eastAsia="zh-CN"/>
                <w14:textFill>
                  <w14:solidFill>
                    <w14:schemeClr w14:val="tx1"/>
                  </w14:solidFill>
                </w14:textFill>
              </w:rPr>
            </w:pPr>
            <w:r>
              <w:rPr>
                <w:rFonts w:hint="eastAsia" w:ascii="宋体" w:hAnsi="宋体" w:cs="宋体"/>
                <w:color w:val="000000" w:themeColor="text1"/>
                <w:sz w:val="28"/>
                <w:szCs w:val="28"/>
                <w:highlight w:val="none"/>
                <w:lang w:val="en-US" w:eastAsia="zh-CN"/>
                <w14:textFill>
                  <w14:solidFill>
                    <w14:schemeClr w14:val="tx1"/>
                  </w14:solidFill>
                </w14:textFill>
              </w:rPr>
              <w:t>8</w:t>
            </w:r>
          </w:p>
        </w:tc>
        <w:tc>
          <w:tcPr>
            <w:tcW w:w="2239" w:type="dxa"/>
            <w:tcBorders>
              <w:top w:val="single" w:color="auto" w:sz="4" w:space="0"/>
              <w:left w:val="single" w:color="auto" w:sz="4" w:space="0"/>
              <w:bottom w:val="single" w:color="auto" w:sz="4" w:space="0"/>
              <w:right w:val="single" w:color="auto" w:sz="4" w:space="0"/>
            </w:tcBorders>
            <w:vAlign w:val="center"/>
          </w:tcPr>
          <w:p w14:paraId="09A33411">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是否组织标前答疑会</w:t>
            </w:r>
          </w:p>
        </w:tc>
        <w:tc>
          <w:tcPr>
            <w:tcW w:w="7297" w:type="dxa"/>
            <w:tcBorders>
              <w:top w:val="single" w:color="auto" w:sz="4" w:space="0"/>
              <w:left w:val="single" w:color="auto" w:sz="4" w:space="0"/>
              <w:bottom w:val="single" w:color="auto" w:sz="4" w:space="0"/>
              <w:right w:val="single" w:color="auto" w:sz="4" w:space="0"/>
            </w:tcBorders>
            <w:vAlign w:val="center"/>
          </w:tcPr>
          <w:p w14:paraId="41721147">
            <w:pPr>
              <w:keepNext w:val="0"/>
              <w:keepLines w:val="0"/>
              <w:pageBreakBefore w:val="0"/>
              <w:kinsoku/>
              <w:wordWrap/>
              <w:overflowPunct/>
              <w:topLinePunct w:val="0"/>
              <w:bidi w:val="0"/>
              <w:adjustRightInd/>
              <w:snapToGrid/>
              <w:spacing w:line="560" w:lineRule="exac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不组织召开 </w:t>
            </w:r>
          </w:p>
        </w:tc>
      </w:tr>
      <w:tr w14:paraId="3C472E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3" w:type="dxa"/>
            <w:tcBorders>
              <w:top w:val="nil"/>
              <w:left w:val="single" w:color="auto" w:sz="4" w:space="0"/>
              <w:bottom w:val="nil"/>
              <w:right w:val="single" w:color="auto" w:sz="4" w:space="0"/>
            </w:tcBorders>
            <w:vAlign w:val="center"/>
          </w:tcPr>
          <w:p w14:paraId="73BE1E91">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color w:val="000000" w:themeColor="text1"/>
                <w:sz w:val="28"/>
                <w:szCs w:val="28"/>
                <w:highlight w:val="none"/>
                <w:lang w:eastAsia="zh-CN"/>
                <w14:textFill>
                  <w14:solidFill>
                    <w14:schemeClr w14:val="tx1"/>
                  </w14:solidFill>
                </w14:textFill>
              </w:rPr>
            </w:pPr>
            <w:r>
              <w:rPr>
                <w:rFonts w:hint="eastAsia" w:ascii="宋体" w:hAnsi="宋体" w:cs="宋体"/>
                <w:color w:val="000000" w:themeColor="text1"/>
                <w:sz w:val="28"/>
                <w:szCs w:val="28"/>
                <w:highlight w:val="none"/>
                <w:lang w:val="en-US" w:eastAsia="zh-CN"/>
                <w14:textFill>
                  <w14:solidFill>
                    <w14:schemeClr w14:val="tx1"/>
                  </w14:solidFill>
                </w14:textFill>
              </w:rPr>
              <w:t>9</w:t>
            </w:r>
          </w:p>
        </w:tc>
        <w:tc>
          <w:tcPr>
            <w:tcW w:w="2239" w:type="dxa"/>
            <w:tcBorders>
              <w:top w:val="single" w:color="auto" w:sz="4" w:space="0"/>
              <w:left w:val="single" w:color="auto" w:sz="4" w:space="0"/>
              <w:bottom w:val="single" w:color="auto" w:sz="4" w:space="0"/>
              <w:right w:val="single" w:color="auto" w:sz="4" w:space="0"/>
            </w:tcBorders>
            <w:vAlign w:val="center"/>
          </w:tcPr>
          <w:p w14:paraId="04112616">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资格证明文件</w:t>
            </w:r>
          </w:p>
          <w:p w14:paraId="65FF4073">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组成</w:t>
            </w:r>
          </w:p>
        </w:tc>
        <w:tc>
          <w:tcPr>
            <w:tcW w:w="7297" w:type="dxa"/>
            <w:tcBorders>
              <w:top w:val="single" w:color="auto" w:sz="4" w:space="0"/>
              <w:left w:val="single" w:color="auto" w:sz="4" w:space="0"/>
              <w:bottom w:val="single" w:color="auto" w:sz="4" w:space="0"/>
              <w:right w:val="single" w:color="auto" w:sz="4" w:space="0"/>
            </w:tcBorders>
            <w:vAlign w:val="center"/>
          </w:tcPr>
          <w:p w14:paraId="7747C88E">
            <w:pPr>
              <w:keepNext w:val="0"/>
              <w:keepLines w:val="0"/>
              <w:pageBreakBefore w:val="0"/>
              <w:kinsoku/>
              <w:wordWrap/>
              <w:overflowPunct/>
              <w:topLinePunct w:val="0"/>
              <w:bidi w:val="0"/>
              <w:adjustRightInd/>
              <w:snapToGrid/>
              <w:spacing w:line="560" w:lineRule="exact"/>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1、具有独立承担民事责任的能力；（提供合法有效的法人营业执照）</w:t>
            </w:r>
          </w:p>
          <w:p w14:paraId="66E1EC40">
            <w:pPr>
              <w:keepNext w:val="0"/>
              <w:keepLines w:val="0"/>
              <w:pageBreakBefore w:val="0"/>
              <w:kinsoku/>
              <w:wordWrap/>
              <w:overflowPunct/>
              <w:topLinePunct w:val="0"/>
              <w:bidi w:val="0"/>
              <w:adjustRightInd/>
              <w:snapToGrid/>
              <w:spacing w:line="560" w:lineRule="exact"/>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2、具有良好的商业信誉和健全的财务会计制度；（</w:t>
            </w:r>
            <w:r>
              <w:rPr>
                <w:rFonts w:hint="eastAsia" w:ascii="宋体" w:hAnsi="宋体" w:cs="宋体"/>
                <w:color w:val="000000" w:themeColor="text1"/>
                <w:sz w:val="28"/>
                <w:szCs w:val="28"/>
                <w:highlight w:val="none"/>
                <w:lang w:val="en-US" w:eastAsia="zh-CN"/>
                <w14:textFill>
                  <w14:solidFill>
                    <w14:schemeClr w14:val="tx1"/>
                  </w14:solidFill>
                </w14:textFill>
              </w:rPr>
              <w:t>提供</w:t>
            </w:r>
            <w:r>
              <w:rPr>
                <w:rFonts w:hint="eastAsia" w:ascii="宋体" w:hAnsi="宋体" w:eastAsia="宋体"/>
                <w:color w:val="000000" w:themeColor="text1"/>
                <w:sz w:val="28"/>
                <w:szCs w:val="28"/>
                <w:highlight w:val="none"/>
                <w14:textFill>
                  <w14:solidFill>
                    <w14:schemeClr w14:val="tx1"/>
                  </w14:solidFill>
                </w14:textFill>
              </w:rPr>
              <w:t>202</w:t>
            </w:r>
            <w:r>
              <w:rPr>
                <w:rFonts w:hint="eastAsia" w:ascii="宋体" w:hAnsi="宋体"/>
                <w:color w:val="000000" w:themeColor="text1"/>
                <w:sz w:val="28"/>
                <w:szCs w:val="28"/>
                <w:highlight w:val="none"/>
                <w:lang w:val="en-US" w:eastAsia="zh-CN"/>
                <w14:textFill>
                  <w14:solidFill>
                    <w14:schemeClr w14:val="tx1"/>
                  </w14:solidFill>
                </w14:textFill>
              </w:rPr>
              <w:t>2</w:t>
            </w:r>
            <w:r>
              <w:rPr>
                <w:rFonts w:hint="eastAsia" w:ascii="宋体" w:hAnsi="宋体" w:eastAsia="宋体"/>
                <w:color w:val="000000" w:themeColor="text1"/>
                <w:sz w:val="28"/>
                <w:szCs w:val="28"/>
                <w:highlight w:val="none"/>
                <w14:textFill>
                  <w14:solidFill>
                    <w14:schemeClr w14:val="tx1"/>
                  </w14:solidFill>
                </w14:textFill>
              </w:rPr>
              <w:t>-202</w:t>
            </w:r>
            <w:r>
              <w:rPr>
                <w:rFonts w:hint="eastAsia" w:ascii="宋体" w:hAnsi="宋体"/>
                <w:color w:val="000000" w:themeColor="text1"/>
                <w:sz w:val="28"/>
                <w:szCs w:val="28"/>
                <w:highlight w:val="none"/>
                <w:lang w:val="en-US" w:eastAsia="zh-CN"/>
                <w14:textFill>
                  <w14:solidFill>
                    <w14:schemeClr w14:val="tx1"/>
                  </w14:solidFill>
                </w14:textFill>
              </w:rPr>
              <w:t>4</w:t>
            </w:r>
            <w:r>
              <w:rPr>
                <w:rFonts w:hint="eastAsia" w:ascii="宋体" w:hAnsi="宋体" w:eastAsia="宋体" w:cs="宋体"/>
                <w:color w:val="000000" w:themeColor="text1"/>
                <w:sz w:val="28"/>
                <w:szCs w:val="28"/>
                <w:highlight w:val="none"/>
                <w14:textFill>
                  <w14:solidFill>
                    <w14:schemeClr w14:val="tx1"/>
                  </w14:solidFill>
                </w14:textFill>
              </w:rPr>
              <w:t>年任意一年的</w:t>
            </w:r>
            <w:r>
              <w:rPr>
                <w:rFonts w:hint="eastAsia" w:ascii="宋体" w:hAnsi="宋体" w:eastAsia="宋体" w:cs="宋体"/>
                <w:color w:val="000000" w:themeColor="text1"/>
                <w:sz w:val="28"/>
                <w:szCs w:val="28"/>
                <w:highlight w:val="none"/>
                <w:lang w:val="en-US" w:eastAsia="zh-CN"/>
                <w14:textFill>
                  <w14:solidFill>
                    <w14:schemeClr w14:val="tx1"/>
                  </w14:solidFill>
                </w14:textFill>
              </w:rPr>
              <w:t>完整</w:t>
            </w:r>
            <w:r>
              <w:rPr>
                <w:rFonts w:hint="eastAsia" w:ascii="宋体" w:hAnsi="宋体" w:eastAsia="宋体" w:cs="宋体"/>
                <w:color w:val="000000" w:themeColor="text1"/>
                <w:sz w:val="28"/>
                <w:szCs w:val="28"/>
                <w:highlight w:val="none"/>
                <w14:textFill>
                  <w14:solidFill>
                    <w14:schemeClr w14:val="tx1"/>
                  </w14:solidFill>
                </w14:textFill>
              </w:rPr>
              <w:t xml:space="preserve">审计报告或财务报表（应包括资产负债表、现金流量表、利润表），本年度新成立或成立不满一年的无法提供财务审计报告或财务状况报告表的无需提供。） </w:t>
            </w:r>
          </w:p>
          <w:p w14:paraId="309B5167">
            <w:pPr>
              <w:keepNext w:val="0"/>
              <w:keepLines w:val="0"/>
              <w:pageBreakBefore w:val="0"/>
              <w:kinsoku/>
              <w:wordWrap/>
              <w:overflowPunct/>
              <w:topLinePunct w:val="0"/>
              <w:bidi w:val="0"/>
              <w:adjustRightInd/>
              <w:snapToGrid/>
              <w:spacing w:line="560" w:lineRule="exact"/>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3、具有履行合同所必需的设备和专业技术能力；（根据项目需求提供履行合同所必需的设备和专业技术能力的加盖单位公章的书面承诺函）</w:t>
            </w:r>
          </w:p>
          <w:p w14:paraId="3642FE98">
            <w:pPr>
              <w:keepNext w:val="0"/>
              <w:keepLines w:val="0"/>
              <w:pageBreakBefore w:val="0"/>
              <w:kinsoku/>
              <w:wordWrap/>
              <w:overflowPunct/>
              <w:topLinePunct w:val="0"/>
              <w:bidi w:val="0"/>
              <w:adjustRightInd/>
              <w:snapToGrid/>
              <w:spacing w:line="560" w:lineRule="exact"/>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4、有依法缴纳税收和社会保障资金的良好记录；（提供参加本次政府采购活动前近半年任意一个月的依法缴纳税收和社会保障资金的相关材料） </w:t>
            </w:r>
          </w:p>
          <w:p w14:paraId="5133CF67">
            <w:pPr>
              <w:keepNext w:val="0"/>
              <w:keepLines w:val="0"/>
              <w:pageBreakBefore w:val="0"/>
              <w:kinsoku/>
              <w:wordWrap/>
              <w:overflowPunct/>
              <w:topLinePunct w:val="0"/>
              <w:bidi w:val="0"/>
              <w:adjustRightInd/>
              <w:snapToGrid/>
              <w:spacing w:line="560" w:lineRule="exact"/>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5、参加政府采购活动前三年内，在经营活动中没有重大违法记录；（提供参加本次政府采购活动前3年内在经营活动中没有重大违法记录的书面承诺函并加盖单位公章）</w:t>
            </w:r>
          </w:p>
          <w:p w14:paraId="41FE9C88">
            <w:pPr>
              <w:keepNext w:val="0"/>
              <w:keepLines w:val="0"/>
              <w:pageBreakBefore w:val="0"/>
              <w:kinsoku/>
              <w:wordWrap/>
              <w:overflowPunct/>
              <w:topLinePunct w:val="0"/>
              <w:bidi w:val="0"/>
              <w:adjustRightInd/>
              <w:snapToGrid/>
              <w:spacing w:line="560" w:lineRule="exact"/>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6、法律、行政法规规定的其他条件</w:t>
            </w:r>
            <w:r>
              <w:rPr>
                <w:rFonts w:hint="eastAsia" w:ascii="宋体" w:hAnsi="宋体" w:cs="宋体"/>
                <w:color w:val="000000" w:themeColor="text1"/>
                <w:sz w:val="28"/>
                <w:szCs w:val="28"/>
                <w:highlight w:val="none"/>
                <w:lang w:eastAsia="zh-CN"/>
                <w14:textFill>
                  <w14:solidFill>
                    <w14:schemeClr w14:val="tx1"/>
                  </w14:solidFill>
                </w14:textFill>
              </w:rPr>
              <w:t>（提供信用信誉承诺函）</w:t>
            </w:r>
            <w:r>
              <w:rPr>
                <w:rFonts w:hint="eastAsia" w:ascii="宋体" w:hAnsi="宋体" w:eastAsia="宋体" w:cs="宋体"/>
                <w:color w:val="000000" w:themeColor="text1"/>
                <w:sz w:val="28"/>
                <w:szCs w:val="28"/>
                <w:highlight w:val="none"/>
                <w14:textFill>
                  <w14:solidFill>
                    <w14:schemeClr w14:val="tx1"/>
                  </w14:solidFill>
                </w14:textFill>
              </w:rPr>
              <w:t>；</w:t>
            </w:r>
          </w:p>
          <w:p w14:paraId="39806940">
            <w:pPr>
              <w:keepNext w:val="0"/>
              <w:keepLines w:val="0"/>
              <w:pageBreakBefore w:val="0"/>
              <w:numPr>
                <w:ilvl w:val="0"/>
                <w:numId w:val="0"/>
              </w:numPr>
              <w:kinsoku/>
              <w:wordWrap/>
              <w:overflowPunct/>
              <w:topLinePunct w:val="0"/>
              <w:bidi w:val="0"/>
              <w:adjustRightInd/>
              <w:snapToGrid/>
              <w:spacing w:line="560" w:lineRule="exact"/>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kern w:val="2"/>
                <w:sz w:val="28"/>
                <w:szCs w:val="28"/>
                <w:highlight w:val="none"/>
                <w:lang w:val="en-US" w:eastAsia="zh-CN" w:bidi="ar-SA"/>
                <w14:textFill>
                  <w14:solidFill>
                    <w14:schemeClr w14:val="tx1"/>
                  </w14:solidFill>
                </w14:textFill>
              </w:rPr>
              <w:t>7、</w:t>
            </w:r>
            <w:r>
              <w:rPr>
                <w:rFonts w:hint="eastAsia" w:ascii="宋体" w:hAnsi="宋体" w:eastAsia="宋体" w:cs="宋体"/>
                <w:color w:val="000000" w:themeColor="text1"/>
                <w:sz w:val="28"/>
                <w:szCs w:val="28"/>
                <w:highlight w:val="none"/>
                <w14:textFill>
                  <w14:solidFill>
                    <w14:schemeClr w14:val="tx1"/>
                  </w14:solidFill>
                </w14:textFill>
              </w:rPr>
              <w:t>投标保证金凭证；</w:t>
            </w:r>
          </w:p>
          <w:p w14:paraId="796684B1">
            <w:pPr>
              <w:keepNext w:val="0"/>
              <w:keepLines w:val="0"/>
              <w:pageBreakBefore w:val="0"/>
              <w:numPr>
                <w:ilvl w:val="0"/>
                <w:numId w:val="0"/>
              </w:numPr>
              <w:kinsoku/>
              <w:wordWrap/>
              <w:overflowPunct/>
              <w:topLinePunct w:val="0"/>
              <w:bidi w:val="0"/>
              <w:adjustRightInd/>
              <w:snapToGrid/>
              <w:spacing w:line="560" w:lineRule="exact"/>
              <w:jc w:val="both"/>
              <w:rPr>
                <w:rFonts w:hint="eastAsia" w:ascii="宋体" w:hAnsi="宋体" w:eastAsia="宋体" w:cs="宋体"/>
                <w:color w:val="000000" w:themeColor="text1"/>
                <w:sz w:val="28"/>
                <w:szCs w:val="28"/>
                <w:highlight w:val="none"/>
                <w:lang w:eastAsia="zh-CN"/>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8、</w:t>
            </w:r>
            <w:r>
              <w:rPr>
                <w:rFonts w:hint="eastAsia" w:ascii="宋体" w:hAnsi="宋体" w:eastAsia="宋体" w:cs="宋体"/>
                <w:color w:val="000000" w:themeColor="text1"/>
                <w:sz w:val="28"/>
                <w:szCs w:val="28"/>
                <w:highlight w:val="none"/>
                <w:lang w:eastAsia="zh-CN"/>
                <w14:textFill>
                  <w14:solidFill>
                    <w14:schemeClr w14:val="tx1"/>
                  </w14:solidFill>
                </w14:textFill>
              </w:rPr>
              <w:t>特定资格要求：</w:t>
            </w:r>
            <w:r>
              <w:rPr>
                <w:rFonts w:hint="eastAsia" w:ascii="宋体" w:hAnsi="宋体" w:cs="宋体"/>
                <w:color w:val="000000" w:themeColor="text1"/>
                <w:sz w:val="28"/>
                <w:szCs w:val="28"/>
                <w:highlight w:val="none"/>
                <w:lang w:eastAsia="zh-CN"/>
                <w14:textFill>
                  <w14:solidFill>
                    <w14:schemeClr w14:val="tx1"/>
                  </w14:solidFill>
                </w14:textFill>
              </w:rPr>
              <w:t>（1）供应商为制造商需提供《医疗器械生产许可证》；</w:t>
            </w:r>
            <w:r>
              <w:rPr>
                <w:rFonts w:hint="eastAsia" w:ascii="宋体" w:hAnsi="宋体" w:cs="宋体"/>
                <w:b w:val="0"/>
                <w:bCs/>
                <w:color w:val="000000" w:themeColor="text1"/>
                <w:sz w:val="28"/>
                <w:szCs w:val="28"/>
                <w:highlight w:val="none"/>
                <w:lang w:eastAsia="zh-CN"/>
                <w14:textFill>
                  <w14:solidFill>
                    <w14:schemeClr w14:val="tx1"/>
                  </w14:solidFill>
                </w14:textFill>
              </w:rPr>
              <w:t>（2）供应商为代理商需提供有效的行政主管部门颁发的《医疗器械经营备案证》</w:t>
            </w:r>
            <w:r>
              <w:rPr>
                <w:rFonts w:hint="eastAsia" w:ascii="宋体" w:hAnsi="宋体" w:cs="宋体"/>
                <w:b w:val="0"/>
                <w:bCs/>
                <w:color w:val="000000" w:themeColor="text1"/>
                <w:sz w:val="28"/>
                <w:szCs w:val="28"/>
                <w:highlight w:val="none"/>
                <w:lang w:val="en-US" w:eastAsia="zh-CN"/>
                <w14:textFill>
                  <w14:solidFill>
                    <w14:schemeClr w14:val="tx1"/>
                  </w14:solidFill>
                </w14:textFill>
              </w:rPr>
              <w:t>和</w:t>
            </w:r>
            <w:r>
              <w:rPr>
                <w:rFonts w:hint="eastAsia" w:ascii="宋体" w:hAnsi="宋体" w:cs="宋体"/>
                <w:b w:val="0"/>
                <w:bCs/>
                <w:color w:val="000000" w:themeColor="text1"/>
                <w:sz w:val="28"/>
                <w:szCs w:val="28"/>
                <w:highlight w:val="none"/>
                <w:lang w:eastAsia="zh-CN"/>
                <w14:textFill>
                  <w14:solidFill>
                    <w14:schemeClr w14:val="tx1"/>
                  </w14:solidFill>
                </w14:textFill>
              </w:rPr>
              <w:t>《医疗器械经营许可证》及制造商的《医疗器械生产许可证》；</w:t>
            </w:r>
          </w:p>
        </w:tc>
      </w:tr>
      <w:tr w14:paraId="257059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3" w:type="dxa"/>
            <w:tcBorders>
              <w:top w:val="nil"/>
              <w:left w:val="single" w:color="auto" w:sz="4" w:space="0"/>
              <w:bottom w:val="nil"/>
              <w:right w:val="single" w:color="auto" w:sz="4" w:space="0"/>
            </w:tcBorders>
            <w:vAlign w:val="center"/>
          </w:tcPr>
          <w:p w14:paraId="5A902335">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2239" w:type="dxa"/>
            <w:tcBorders>
              <w:top w:val="single" w:color="auto" w:sz="4" w:space="0"/>
              <w:left w:val="single" w:color="auto" w:sz="4" w:space="0"/>
              <w:bottom w:val="single" w:color="auto" w:sz="4" w:space="0"/>
              <w:right w:val="single" w:color="auto" w:sz="4" w:space="0"/>
            </w:tcBorders>
            <w:vAlign w:val="center"/>
          </w:tcPr>
          <w:p w14:paraId="72EBB842">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商务文件组成</w:t>
            </w:r>
          </w:p>
          <w:p w14:paraId="401AB128">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7297" w:type="dxa"/>
            <w:tcBorders>
              <w:top w:val="single" w:color="auto" w:sz="4" w:space="0"/>
              <w:left w:val="single" w:color="auto" w:sz="4" w:space="0"/>
              <w:bottom w:val="single" w:color="auto" w:sz="4" w:space="0"/>
              <w:right w:val="single" w:color="auto" w:sz="4" w:space="0"/>
            </w:tcBorders>
            <w:vAlign w:val="center"/>
          </w:tcPr>
          <w:p w14:paraId="055270A6">
            <w:pPr>
              <w:keepNext w:val="0"/>
              <w:keepLines w:val="0"/>
              <w:pageBreakBefore w:val="0"/>
              <w:kinsoku/>
              <w:wordWrap/>
              <w:overflowPunct/>
              <w:topLinePunct w:val="0"/>
              <w:bidi w:val="0"/>
              <w:adjustRightInd/>
              <w:snapToGrid/>
              <w:spacing w:line="56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1、无串通投标行为的承诺函； </w:t>
            </w:r>
          </w:p>
          <w:p w14:paraId="303EFD93">
            <w:pPr>
              <w:keepNext w:val="0"/>
              <w:keepLines w:val="0"/>
              <w:pageBreakBefore w:val="0"/>
              <w:kinsoku/>
              <w:wordWrap/>
              <w:overflowPunct/>
              <w:topLinePunct w:val="0"/>
              <w:bidi w:val="0"/>
              <w:adjustRightInd/>
              <w:snapToGrid/>
              <w:spacing w:line="56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2、法定代表人身份证明；</w:t>
            </w:r>
          </w:p>
          <w:p w14:paraId="55255596">
            <w:pPr>
              <w:keepNext w:val="0"/>
              <w:keepLines w:val="0"/>
              <w:pageBreakBefore w:val="0"/>
              <w:kinsoku/>
              <w:wordWrap/>
              <w:overflowPunct/>
              <w:topLinePunct w:val="0"/>
              <w:bidi w:val="0"/>
              <w:adjustRightInd/>
              <w:snapToGrid/>
              <w:spacing w:line="56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3、法定代表人授权委托书（如有委托时）；</w:t>
            </w:r>
          </w:p>
          <w:p w14:paraId="2A2C6B6F">
            <w:pPr>
              <w:keepNext w:val="0"/>
              <w:keepLines w:val="0"/>
              <w:pageBreakBefore w:val="0"/>
              <w:kinsoku/>
              <w:wordWrap/>
              <w:overflowPunct/>
              <w:topLinePunct w:val="0"/>
              <w:bidi w:val="0"/>
              <w:adjustRightInd/>
              <w:snapToGrid/>
              <w:spacing w:line="56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4、商务条款偏离表；</w:t>
            </w:r>
          </w:p>
          <w:p w14:paraId="4184C17C">
            <w:pPr>
              <w:keepNext w:val="0"/>
              <w:keepLines w:val="0"/>
              <w:pageBreakBefore w:val="0"/>
              <w:kinsoku/>
              <w:wordWrap/>
              <w:overflowPunct/>
              <w:topLinePunct w:val="0"/>
              <w:bidi w:val="0"/>
              <w:adjustRightInd/>
              <w:snapToGrid/>
              <w:spacing w:line="56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5、</w:t>
            </w:r>
            <w:r>
              <w:rPr>
                <w:rFonts w:hint="eastAsia" w:ascii="宋体" w:hAnsi="宋体" w:cs="宋体"/>
                <w:color w:val="000000" w:themeColor="text1"/>
                <w:sz w:val="28"/>
                <w:szCs w:val="28"/>
                <w:highlight w:val="none"/>
                <w:lang w:eastAsia="zh-CN"/>
                <w14:textFill>
                  <w14:solidFill>
                    <w14:schemeClr w14:val="tx1"/>
                  </w14:solidFill>
                </w14:textFill>
              </w:rPr>
              <w:t>供应商</w:t>
            </w:r>
            <w:r>
              <w:rPr>
                <w:rFonts w:hint="eastAsia" w:ascii="宋体" w:hAnsi="宋体" w:eastAsia="宋体" w:cs="宋体"/>
                <w:color w:val="000000" w:themeColor="text1"/>
                <w:sz w:val="28"/>
                <w:szCs w:val="28"/>
                <w:highlight w:val="none"/>
                <w14:textFill>
                  <w14:solidFill>
                    <w14:schemeClr w14:val="tx1"/>
                  </w14:solidFill>
                </w14:textFill>
              </w:rPr>
              <w:t>情况介绍；</w:t>
            </w:r>
          </w:p>
          <w:p w14:paraId="76E8992E">
            <w:pPr>
              <w:keepNext w:val="0"/>
              <w:keepLines w:val="0"/>
              <w:pageBreakBefore w:val="0"/>
              <w:kinsoku/>
              <w:wordWrap/>
              <w:overflowPunct/>
              <w:topLinePunct w:val="0"/>
              <w:bidi w:val="0"/>
              <w:adjustRightInd/>
              <w:snapToGrid/>
              <w:spacing w:line="56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6、供应商类似业绩的证明文件；</w:t>
            </w:r>
          </w:p>
          <w:p w14:paraId="79AF1585">
            <w:pPr>
              <w:keepNext w:val="0"/>
              <w:keepLines w:val="0"/>
              <w:pageBreakBefore w:val="0"/>
              <w:kinsoku/>
              <w:wordWrap/>
              <w:overflowPunct/>
              <w:topLinePunct w:val="0"/>
              <w:bidi w:val="0"/>
              <w:adjustRightInd/>
              <w:snapToGrid/>
              <w:spacing w:line="560" w:lineRule="exact"/>
              <w:jc w:val="left"/>
              <w:rPr>
                <w:rFonts w:hint="eastAsia" w:ascii="宋体" w:hAnsi="宋体" w:eastAsia="宋体" w:cs="宋体"/>
                <w:color w:val="000000" w:themeColor="text1"/>
                <w:sz w:val="28"/>
                <w:szCs w:val="28"/>
                <w:highlight w:val="none"/>
                <w:lang w:eastAsia="zh-CN"/>
                <w14:textFill>
                  <w14:solidFill>
                    <w14:schemeClr w14:val="tx1"/>
                  </w14:solidFill>
                </w14:textFill>
              </w:rPr>
            </w:pPr>
            <w:r>
              <w:rPr>
                <w:rFonts w:hint="eastAsia" w:ascii="宋体" w:hAnsi="宋体" w:cs="宋体"/>
                <w:color w:val="000000" w:themeColor="text1"/>
                <w:sz w:val="28"/>
                <w:szCs w:val="28"/>
                <w:highlight w:val="none"/>
                <w:lang w:val="en-US" w:eastAsia="zh-CN"/>
                <w14:textFill>
                  <w14:solidFill>
                    <w14:schemeClr w14:val="tx1"/>
                  </w14:solidFill>
                </w14:textFill>
              </w:rPr>
              <w:t>7</w:t>
            </w:r>
            <w:r>
              <w:rPr>
                <w:rFonts w:hint="eastAsia" w:ascii="宋体" w:hAnsi="宋体" w:eastAsia="宋体" w:cs="宋体"/>
                <w:color w:val="000000" w:themeColor="text1"/>
                <w:sz w:val="28"/>
                <w:szCs w:val="28"/>
                <w:highlight w:val="none"/>
                <w14:textFill>
                  <w14:solidFill>
                    <w14:schemeClr w14:val="tx1"/>
                  </w14:solidFill>
                </w14:textFill>
              </w:rPr>
              <w:t>、项目</w:t>
            </w:r>
            <w:r>
              <w:rPr>
                <w:rFonts w:hint="eastAsia" w:ascii="宋体" w:hAnsi="宋体" w:cs="宋体"/>
                <w:color w:val="000000" w:themeColor="text1"/>
                <w:sz w:val="28"/>
                <w:szCs w:val="28"/>
                <w:highlight w:val="none"/>
                <w:lang w:eastAsia="zh-CN"/>
                <w14:textFill>
                  <w14:solidFill>
                    <w14:schemeClr w14:val="tx1"/>
                  </w14:solidFill>
                </w14:textFill>
              </w:rPr>
              <w:t>负责人简历表</w:t>
            </w:r>
            <w:r>
              <w:rPr>
                <w:rFonts w:hint="eastAsia" w:ascii="宋体" w:hAnsi="宋体" w:eastAsia="宋体" w:cs="宋体"/>
                <w:color w:val="000000" w:themeColor="text1"/>
                <w:sz w:val="28"/>
                <w:szCs w:val="28"/>
                <w:highlight w:val="none"/>
                <w:lang w:eastAsia="zh-CN"/>
                <w14:textFill>
                  <w14:solidFill>
                    <w14:schemeClr w14:val="tx1"/>
                  </w14:solidFill>
                </w14:textFill>
              </w:rPr>
              <w:t>；</w:t>
            </w:r>
          </w:p>
          <w:p w14:paraId="444F220D">
            <w:pPr>
              <w:keepNext w:val="0"/>
              <w:keepLines w:val="0"/>
              <w:pageBreakBefore w:val="0"/>
              <w:kinsoku/>
              <w:wordWrap/>
              <w:overflowPunct/>
              <w:topLinePunct w:val="0"/>
              <w:bidi w:val="0"/>
              <w:adjustRightInd/>
              <w:snapToGrid/>
              <w:spacing w:line="56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lang w:val="en-US" w:eastAsia="zh-CN"/>
                <w14:textFill>
                  <w14:solidFill>
                    <w14:schemeClr w14:val="tx1"/>
                  </w14:solidFill>
                </w14:textFill>
              </w:rPr>
              <w:t>8</w:t>
            </w:r>
            <w:r>
              <w:rPr>
                <w:rFonts w:hint="eastAsia" w:ascii="宋体" w:hAnsi="宋体" w:eastAsia="宋体" w:cs="宋体"/>
                <w:color w:val="000000" w:themeColor="text1"/>
                <w:sz w:val="28"/>
                <w:szCs w:val="28"/>
                <w:highlight w:val="none"/>
                <w14:textFill>
                  <w14:solidFill>
                    <w14:schemeClr w14:val="tx1"/>
                  </w14:solidFill>
                </w14:textFill>
              </w:rPr>
              <w:t>、</w:t>
            </w:r>
            <w:r>
              <w:rPr>
                <w:rFonts w:hint="eastAsia" w:ascii="宋体" w:hAnsi="宋体" w:cs="宋体"/>
                <w:color w:val="000000" w:themeColor="text1"/>
                <w:sz w:val="28"/>
                <w:szCs w:val="28"/>
                <w:highlight w:val="none"/>
                <w:lang w:eastAsia="zh-CN"/>
                <w14:textFill>
                  <w14:solidFill>
                    <w14:schemeClr w14:val="tx1"/>
                  </w14:solidFill>
                </w14:textFill>
              </w:rPr>
              <w:t>供应商</w:t>
            </w:r>
            <w:r>
              <w:rPr>
                <w:rFonts w:hint="eastAsia" w:ascii="宋体" w:hAnsi="宋体" w:eastAsia="宋体" w:cs="宋体"/>
                <w:color w:val="000000" w:themeColor="text1"/>
                <w:sz w:val="28"/>
                <w:szCs w:val="28"/>
                <w:highlight w:val="none"/>
                <w14:textFill>
                  <w14:solidFill>
                    <w14:schemeClr w14:val="tx1"/>
                  </w14:solidFill>
                </w14:textFill>
              </w:rPr>
              <w:t>认为需要提供的其他</w:t>
            </w:r>
            <w:r>
              <w:rPr>
                <w:rFonts w:hint="eastAsia" w:ascii="宋体" w:hAnsi="宋体" w:cs="宋体"/>
                <w:color w:val="000000" w:themeColor="text1"/>
                <w:sz w:val="28"/>
                <w:szCs w:val="28"/>
                <w:highlight w:val="none"/>
                <w:lang w:eastAsia="zh-CN"/>
                <w14:textFill>
                  <w14:solidFill>
                    <w14:schemeClr w14:val="tx1"/>
                  </w14:solidFill>
                </w14:textFill>
              </w:rPr>
              <w:t>商务文件</w:t>
            </w:r>
            <w:r>
              <w:rPr>
                <w:rFonts w:hint="eastAsia" w:ascii="宋体" w:hAnsi="宋体" w:eastAsia="宋体" w:cs="宋体"/>
                <w:color w:val="000000" w:themeColor="text1"/>
                <w:sz w:val="28"/>
                <w:szCs w:val="28"/>
                <w:highlight w:val="none"/>
                <w14:textFill>
                  <w14:solidFill>
                    <w14:schemeClr w14:val="tx1"/>
                  </w14:solidFill>
                </w14:textFill>
              </w:rPr>
              <w:t>材料。</w:t>
            </w:r>
          </w:p>
        </w:tc>
      </w:tr>
      <w:tr w14:paraId="2DECBA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3" w:type="dxa"/>
            <w:vMerge w:val="restart"/>
            <w:tcBorders>
              <w:top w:val="nil"/>
              <w:left w:val="single" w:color="auto" w:sz="4" w:space="0"/>
              <w:bottom w:val="single" w:color="auto" w:sz="4" w:space="0"/>
              <w:right w:val="single" w:color="auto" w:sz="4" w:space="0"/>
            </w:tcBorders>
            <w:vAlign w:val="center"/>
          </w:tcPr>
          <w:p w14:paraId="197F814B">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2239" w:type="dxa"/>
            <w:tcBorders>
              <w:top w:val="single" w:color="auto" w:sz="4" w:space="0"/>
              <w:left w:val="single" w:color="auto" w:sz="4" w:space="0"/>
              <w:bottom w:val="single" w:color="auto" w:sz="4" w:space="0"/>
              <w:right w:val="single" w:color="auto" w:sz="4" w:space="0"/>
            </w:tcBorders>
            <w:vAlign w:val="center"/>
          </w:tcPr>
          <w:p w14:paraId="2A2CC247">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技术文件组成</w:t>
            </w:r>
          </w:p>
          <w:p w14:paraId="2FC2E30A">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7297" w:type="dxa"/>
            <w:tcBorders>
              <w:top w:val="single" w:color="auto" w:sz="4" w:space="0"/>
              <w:left w:val="single" w:color="auto" w:sz="4" w:space="0"/>
              <w:bottom w:val="single" w:color="auto" w:sz="4" w:space="0"/>
              <w:right w:val="single" w:color="auto" w:sz="4" w:space="0"/>
            </w:tcBorders>
            <w:vAlign w:val="center"/>
          </w:tcPr>
          <w:p w14:paraId="4E3E86C0">
            <w:pPr>
              <w:keepNext w:val="0"/>
              <w:keepLines w:val="0"/>
              <w:pageBreakBefore w:val="0"/>
              <w:kinsoku/>
              <w:wordWrap/>
              <w:overflowPunct/>
              <w:topLinePunct w:val="0"/>
              <w:bidi w:val="0"/>
              <w:adjustRightInd/>
              <w:snapToGrid/>
              <w:spacing w:line="560" w:lineRule="exact"/>
              <w:rPr>
                <w:rFonts w:hint="eastAsia" w:ascii="宋体" w:hAnsi="宋体" w:eastAsia="宋体" w:cs="宋体"/>
                <w:color w:val="000000" w:themeColor="text1"/>
                <w:sz w:val="28"/>
                <w:szCs w:val="28"/>
                <w:highlight w:val="none"/>
                <w:lang w:eastAsia="zh-CN"/>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1、技术需求偏离表</w:t>
            </w:r>
            <w:r>
              <w:rPr>
                <w:rFonts w:hint="eastAsia" w:ascii="宋体" w:hAnsi="宋体" w:cs="宋体"/>
                <w:color w:val="000000" w:themeColor="text1"/>
                <w:sz w:val="28"/>
                <w:szCs w:val="28"/>
                <w:highlight w:val="none"/>
                <w:lang w:eastAsia="zh-CN"/>
                <w14:textFill>
                  <w14:solidFill>
                    <w14:schemeClr w14:val="tx1"/>
                  </w14:solidFill>
                </w14:textFill>
              </w:rPr>
              <w:t>；</w:t>
            </w:r>
          </w:p>
          <w:p w14:paraId="7F8A4182">
            <w:pPr>
              <w:keepNext w:val="0"/>
              <w:keepLines w:val="0"/>
              <w:pageBreakBefore w:val="0"/>
              <w:kinsoku/>
              <w:wordWrap/>
              <w:overflowPunct/>
              <w:topLinePunct w:val="0"/>
              <w:bidi w:val="0"/>
              <w:adjustRightInd/>
              <w:snapToGrid/>
              <w:spacing w:line="560" w:lineRule="exact"/>
              <w:rPr>
                <w:rFonts w:hint="eastAsia" w:ascii="宋体" w:hAnsi="宋体" w:eastAsia="宋体" w:cs="宋体"/>
                <w:color w:val="000000" w:themeColor="text1"/>
                <w:sz w:val="28"/>
                <w:szCs w:val="28"/>
                <w:highlight w:val="none"/>
                <w:lang w:eastAsia="zh-CN"/>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2、采购清单</w:t>
            </w:r>
            <w:r>
              <w:rPr>
                <w:rFonts w:hint="eastAsia" w:ascii="宋体" w:hAnsi="宋体" w:cs="宋体"/>
                <w:color w:val="000000" w:themeColor="text1"/>
                <w:sz w:val="28"/>
                <w:szCs w:val="28"/>
                <w:highlight w:val="none"/>
                <w:lang w:eastAsia="zh-CN"/>
                <w14:textFill>
                  <w14:solidFill>
                    <w14:schemeClr w14:val="tx1"/>
                  </w14:solidFill>
                </w14:textFill>
              </w:rPr>
              <w:t>；</w:t>
            </w:r>
          </w:p>
          <w:p w14:paraId="12234BD7">
            <w:pPr>
              <w:keepNext w:val="0"/>
              <w:keepLines w:val="0"/>
              <w:pageBreakBefore w:val="0"/>
              <w:kinsoku/>
              <w:wordWrap/>
              <w:overflowPunct/>
              <w:topLinePunct w:val="0"/>
              <w:bidi w:val="0"/>
              <w:adjustRightInd/>
              <w:snapToGrid/>
              <w:spacing w:line="560" w:lineRule="exact"/>
              <w:rPr>
                <w:rFonts w:hint="eastAsia" w:ascii="宋体" w:hAnsi="宋体" w:eastAsia="宋体" w:cs="宋体"/>
                <w:color w:val="000000" w:themeColor="text1"/>
                <w:sz w:val="28"/>
                <w:szCs w:val="28"/>
                <w:highlight w:val="none"/>
                <w:lang w:eastAsia="zh-CN"/>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3、产品及性能</w:t>
            </w:r>
            <w:r>
              <w:rPr>
                <w:rFonts w:hint="eastAsia" w:ascii="宋体" w:hAnsi="宋体" w:cs="宋体"/>
                <w:color w:val="000000" w:themeColor="text1"/>
                <w:sz w:val="28"/>
                <w:szCs w:val="28"/>
                <w:highlight w:val="none"/>
                <w:lang w:eastAsia="zh-CN"/>
                <w14:textFill>
                  <w14:solidFill>
                    <w14:schemeClr w14:val="tx1"/>
                  </w14:solidFill>
                </w14:textFill>
              </w:rPr>
              <w:t>；</w:t>
            </w:r>
          </w:p>
          <w:p w14:paraId="5337AA27">
            <w:pPr>
              <w:keepNext w:val="0"/>
              <w:keepLines w:val="0"/>
              <w:pageBreakBefore w:val="0"/>
              <w:kinsoku/>
              <w:wordWrap/>
              <w:overflowPunct/>
              <w:topLinePunct w:val="0"/>
              <w:bidi w:val="0"/>
              <w:adjustRightInd/>
              <w:snapToGrid/>
              <w:spacing w:line="560" w:lineRule="exact"/>
              <w:rPr>
                <w:rFonts w:hint="eastAsia" w:ascii="宋体" w:hAnsi="宋体" w:eastAsia="宋体" w:cs="宋体"/>
                <w:color w:val="000000" w:themeColor="text1"/>
                <w:sz w:val="28"/>
                <w:szCs w:val="28"/>
                <w:highlight w:val="none"/>
                <w:lang w:eastAsia="zh-CN"/>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4、</w:t>
            </w:r>
            <w:r>
              <w:rPr>
                <w:rFonts w:hint="eastAsia" w:ascii="宋体" w:hAnsi="宋体" w:cs="宋体"/>
                <w:color w:val="000000" w:themeColor="text1"/>
                <w:sz w:val="28"/>
                <w:szCs w:val="28"/>
                <w:highlight w:val="none"/>
                <w:lang w:eastAsia="zh-CN"/>
                <w14:textFill>
                  <w14:solidFill>
                    <w14:schemeClr w14:val="tx1"/>
                  </w14:solidFill>
                </w14:textFill>
              </w:rPr>
              <w:t>技术</w:t>
            </w:r>
            <w:r>
              <w:rPr>
                <w:rFonts w:hint="eastAsia" w:ascii="宋体" w:hAnsi="宋体" w:eastAsia="宋体" w:cs="宋体"/>
                <w:color w:val="000000" w:themeColor="text1"/>
                <w:sz w:val="28"/>
                <w:szCs w:val="28"/>
                <w:highlight w:val="none"/>
                <w14:textFill>
                  <w14:solidFill>
                    <w14:schemeClr w14:val="tx1"/>
                  </w14:solidFill>
                </w14:textFill>
              </w:rPr>
              <w:t>方案</w:t>
            </w:r>
            <w:r>
              <w:rPr>
                <w:rFonts w:hint="eastAsia" w:ascii="宋体" w:hAnsi="宋体" w:cs="宋体"/>
                <w:color w:val="000000" w:themeColor="text1"/>
                <w:sz w:val="28"/>
                <w:szCs w:val="28"/>
                <w:highlight w:val="none"/>
                <w:lang w:eastAsia="zh-CN"/>
                <w14:textFill>
                  <w14:solidFill>
                    <w14:schemeClr w14:val="tx1"/>
                  </w14:solidFill>
                </w14:textFill>
              </w:rPr>
              <w:t>；</w:t>
            </w:r>
          </w:p>
          <w:p w14:paraId="3CDDF429">
            <w:pPr>
              <w:keepNext w:val="0"/>
              <w:keepLines w:val="0"/>
              <w:pageBreakBefore w:val="0"/>
              <w:kinsoku/>
              <w:wordWrap/>
              <w:overflowPunct/>
              <w:topLinePunct w:val="0"/>
              <w:bidi w:val="0"/>
              <w:adjustRightInd/>
              <w:snapToGrid/>
              <w:spacing w:line="560" w:lineRule="exact"/>
              <w:rPr>
                <w:rFonts w:hint="eastAsia" w:ascii="宋体" w:hAnsi="宋体" w:eastAsia="宋体" w:cs="宋体"/>
                <w:color w:val="000000" w:themeColor="text1"/>
                <w:sz w:val="28"/>
                <w:szCs w:val="28"/>
                <w:highlight w:val="none"/>
                <w:lang w:eastAsia="zh-CN"/>
                <w14:textFill>
                  <w14:solidFill>
                    <w14:schemeClr w14:val="tx1"/>
                  </w14:solidFill>
                </w14:textFill>
              </w:rPr>
            </w:pPr>
            <w:r>
              <w:rPr>
                <w:rFonts w:hint="eastAsia" w:ascii="宋体" w:hAnsi="宋体" w:cs="宋体"/>
                <w:color w:val="000000" w:themeColor="text1"/>
                <w:sz w:val="28"/>
                <w:szCs w:val="28"/>
                <w:highlight w:val="none"/>
                <w:lang w:val="en-US" w:eastAsia="zh-CN"/>
                <w14:textFill>
                  <w14:solidFill>
                    <w14:schemeClr w14:val="tx1"/>
                  </w14:solidFill>
                </w14:textFill>
              </w:rPr>
              <w:t>5</w:t>
            </w:r>
            <w:r>
              <w:rPr>
                <w:rFonts w:hint="eastAsia" w:ascii="宋体" w:hAnsi="宋体" w:eastAsia="宋体" w:cs="宋体"/>
                <w:color w:val="000000" w:themeColor="text1"/>
                <w:sz w:val="28"/>
                <w:szCs w:val="28"/>
                <w:highlight w:val="none"/>
                <w14:textFill>
                  <w14:solidFill>
                    <w14:schemeClr w14:val="tx1"/>
                  </w14:solidFill>
                </w14:textFill>
              </w:rPr>
              <w:t>、</w:t>
            </w:r>
            <w:r>
              <w:rPr>
                <w:rFonts w:hint="eastAsia" w:ascii="宋体" w:hAnsi="宋体" w:cs="宋体"/>
                <w:color w:val="000000" w:themeColor="text1"/>
                <w:sz w:val="28"/>
                <w:szCs w:val="28"/>
                <w:highlight w:val="none"/>
                <w:lang w:eastAsia="zh-CN"/>
                <w14:textFill>
                  <w14:solidFill>
                    <w14:schemeClr w14:val="tx1"/>
                  </w14:solidFill>
                </w14:textFill>
              </w:rPr>
              <w:t>供应商</w:t>
            </w:r>
            <w:r>
              <w:rPr>
                <w:rFonts w:hint="eastAsia" w:ascii="宋体" w:hAnsi="宋体" w:eastAsia="宋体" w:cs="宋体"/>
                <w:color w:val="000000" w:themeColor="text1"/>
                <w:sz w:val="28"/>
                <w:szCs w:val="28"/>
                <w:highlight w:val="none"/>
                <w14:textFill>
                  <w14:solidFill>
                    <w14:schemeClr w14:val="tx1"/>
                  </w14:solidFill>
                </w14:textFill>
              </w:rPr>
              <w:t>认为需要的其他技术文件或说明</w:t>
            </w:r>
            <w:r>
              <w:rPr>
                <w:rFonts w:hint="eastAsia" w:ascii="宋体" w:hAnsi="宋体" w:cs="宋体"/>
                <w:color w:val="000000" w:themeColor="text1"/>
                <w:sz w:val="28"/>
                <w:szCs w:val="28"/>
                <w:highlight w:val="none"/>
                <w:lang w:eastAsia="zh-CN"/>
                <w14:textFill>
                  <w14:solidFill>
                    <w14:schemeClr w14:val="tx1"/>
                  </w14:solidFill>
                </w14:textFill>
              </w:rPr>
              <w:t>；</w:t>
            </w:r>
          </w:p>
        </w:tc>
      </w:tr>
      <w:tr w14:paraId="2B7BAB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3" w:type="dxa"/>
            <w:vMerge w:val="continue"/>
            <w:tcBorders>
              <w:top w:val="nil"/>
              <w:left w:val="single" w:color="auto" w:sz="4" w:space="0"/>
              <w:bottom w:val="single" w:color="auto" w:sz="4" w:space="0"/>
              <w:right w:val="single" w:color="auto" w:sz="4" w:space="0"/>
            </w:tcBorders>
            <w:vAlign w:val="center"/>
          </w:tcPr>
          <w:p w14:paraId="49091D5C">
            <w:pPr>
              <w:keepNext w:val="0"/>
              <w:keepLines w:val="0"/>
              <w:pageBreakBefore w:val="0"/>
              <w:widowControl/>
              <w:kinsoku/>
              <w:wordWrap/>
              <w:overflowPunct/>
              <w:topLinePunct w:val="0"/>
              <w:bidi w:val="0"/>
              <w:adjustRightInd/>
              <w:snapToGrid/>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2239" w:type="dxa"/>
            <w:tcBorders>
              <w:top w:val="single" w:color="auto" w:sz="4" w:space="0"/>
              <w:left w:val="single" w:color="auto" w:sz="4" w:space="0"/>
              <w:bottom w:val="single" w:color="auto" w:sz="4" w:space="0"/>
              <w:right w:val="single" w:color="auto" w:sz="4" w:space="0"/>
            </w:tcBorders>
            <w:vAlign w:val="center"/>
          </w:tcPr>
          <w:p w14:paraId="0C94DEE6">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报价文件组成</w:t>
            </w:r>
          </w:p>
        </w:tc>
        <w:tc>
          <w:tcPr>
            <w:tcW w:w="7297" w:type="dxa"/>
            <w:tcBorders>
              <w:top w:val="single" w:color="auto" w:sz="4" w:space="0"/>
              <w:left w:val="single" w:color="auto" w:sz="4" w:space="0"/>
              <w:bottom w:val="single" w:color="auto" w:sz="4" w:space="0"/>
              <w:right w:val="single" w:color="auto" w:sz="4" w:space="0"/>
            </w:tcBorders>
            <w:vAlign w:val="center"/>
          </w:tcPr>
          <w:p w14:paraId="78410CF3">
            <w:pPr>
              <w:keepNext w:val="0"/>
              <w:keepLines w:val="0"/>
              <w:pageBreakBefore w:val="0"/>
              <w:tabs>
                <w:tab w:val="left" w:pos="459"/>
              </w:tabs>
              <w:kinsoku/>
              <w:wordWrap/>
              <w:overflowPunct/>
              <w:topLinePunct w:val="0"/>
              <w:bidi w:val="0"/>
              <w:adjustRightInd/>
              <w:snapToGrid/>
              <w:spacing w:line="56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1、投标函； </w:t>
            </w:r>
          </w:p>
          <w:p w14:paraId="53645944">
            <w:pPr>
              <w:keepNext w:val="0"/>
              <w:keepLines w:val="0"/>
              <w:pageBreakBefore w:val="0"/>
              <w:tabs>
                <w:tab w:val="left" w:pos="459"/>
              </w:tabs>
              <w:kinsoku/>
              <w:wordWrap/>
              <w:overflowPunct/>
              <w:topLinePunct w:val="0"/>
              <w:bidi w:val="0"/>
              <w:adjustRightInd/>
              <w:snapToGrid/>
              <w:spacing w:line="56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2、开标一览表；</w:t>
            </w:r>
          </w:p>
          <w:p w14:paraId="54A53519">
            <w:pPr>
              <w:keepNext w:val="0"/>
              <w:keepLines w:val="0"/>
              <w:pageBreakBefore w:val="0"/>
              <w:tabs>
                <w:tab w:val="left" w:pos="459"/>
              </w:tabs>
              <w:kinsoku/>
              <w:wordWrap/>
              <w:overflowPunct/>
              <w:topLinePunct w:val="0"/>
              <w:bidi w:val="0"/>
              <w:adjustRightInd/>
              <w:snapToGrid/>
              <w:spacing w:line="560" w:lineRule="exact"/>
              <w:jc w:val="left"/>
              <w:rPr>
                <w:rFonts w:hint="eastAsia" w:ascii="宋体" w:hAnsi="宋体" w:eastAsia="宋体" w:cs="宋体"/>
                <w:color w:val="000000" w:themeColor="text1"/>
                <w:sz w:val="28"/>
                <w:szCs w:val="28"/>
                <w:highlight w:val="none"/>
                <w:lang w:eastAsia="zh-CN"/>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3、分项报价表</w:t>
            </w:r>
            <w:r>
              <w:rPr>
                <w:rFonts w:hint="eastAsia" w:ascii="宋体" w:hAnsi="宋体" w:cs="宋体"/>
                <w:color w:val="000000" w:themeColor="text1"/>
                <w:sz w:val="28"/>
                <w:szCs w:val="28"/>
                <w:highlight w:val="none"/>
                <w:lang w:eastAsia="zh-CN"/>
                <w14:textFill>
                  <w14:solidFill>
                    <w14:schemeClr w14:val="tx1"/>
                  </w14:solidFill>
                </w14:textFill>
              </w:rPr>
              <w:t>；</w:t>
            </w:r>
          </w:p>
          <w:p w14:paraId="3B6AFDA0">
            <w:pPr>
              <w:keepNext w:val="0"/>
              <w:keepLines w:val="0"/>
              <w:pageBreakBefore w:val="0"/>
              <w:tabs>
                <w:tab w:val="left" w:pos="459"/>
              </w:tabs>
              <w:kinsoku/>
              <w:wordWrap/>
              <w:overflowPunct/>
              <w:topLinePunct w:val="0"/>
              <w:bidi w:val="0"/>
              <w:adjustRightInd/>
              <w:snapToGrid/>
              <w:spacing w:line="560" w:lineRule="exact"/>
              <w:jc w:val="left"/>
              <w:rPr>
                <w:rFonts w:hint="eastAsia" w:ascii="宋体" w:hAnsi="宋体" w:eastAsia="宋体" w:cs="宋体"/>
                <w:color w:val="000000" w:themeColor="text1"/>
                <w:sz w:val="28"/>
                <w:szCs w:val="28"/>
                <w:highlight w:val="none"/>
                <w:lang w:eastAsia="zh-CN"/>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4、中小企业声明函</w:t>
            </w:r>
            <w:r>
              <w:rPr>
                <w:rFonts w:hint="eastAsia" w:ascii="宋体" w:hAnsi="宋体" w:cs="宋体"/>
                <w:color w:val="000000" w:themeColor="text1"/>
                <w:sz w:val="28"/>
                <w:szCs w:val="28"/>
                <w:highlight w:val="none"/>
                <w:lang w:eastAsia="zh-CN"/>
                <w14:textFill>
                  <w14:solidFill>
                    <w14:schemeClr w14:val="tx1"/>
                  </w14:solidFill>
                </w14:textFill>
              </w:rPr>
              <w:t>；</w:t>
            </w:r>
          </w:p>
        </w:tc>
      </w:tr>
      <w:tr w14:paraId="4FAD26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14:paraId="51E7EE65">
            <w:pPr>
              <w:keepNext w:val="0"/>
              <w:keepLines w:val="0"/>
              <w:pageBreakBefore w:val="0"/>
              <w:kinsoku/>
              <w:wordWrap/>
              <w:overflowPunct/>
              <w:topLinePunct w:val="0"/>
              <w:bidi w:val="0"/>
              <w:adjustRightInd/>
              <w:snapToGrid/>
              <w:spacing w:line="560" w:lineRule="exact"/>
              <w:jc w:val="center"/>
              <w:rPr>
                <w:rFonts w:hint="default"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cs="宋体"/>
                <w:color w:val="000000" w:themeColor="text1"/>
                <w:sz w:val="28"/>
                <w:szCs w:val="28"/>
                <w:highlight w:val="none"/>
                <w:lang w:val="en-US" w:eastAsia="zh-CN"/>
                <w14:textFill>
                  <w14:solidFill>
                    <w14:schemeClr w14:val="tx1"/>
                  </w14:solidFill>
                </w14:textFill>
              </w:rPr>
              <w:t>10</w:t>
            </w:r>
          </w:p>
        </w:tc>
        <w:tc>
          <w:tcPr>
            <w:tcW w:w="2239" w:type="dxa"/>
            <w:tcBorders>
              <w:top w:val="single" w:color="auto" w:sz="4" w:space="0"/>
              <w:left w:val="single" w:color="auto" w:sz="4" w:space="0"/>
              <w:bottom w:val="single" w:color="auto" w:sz="4" w:space="0"/>
              <w:right w:val="single" w:color="auto" w:sz="4" w:space="0"/>
            </w:tcBorders>
            <w:vAlign w:val="center"/>
          </w:tcPr>
          <w:p w14:paraId="24641232">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投标报价要求</w:t>
            </w:r>
          </w:p>
        </w:tc>
        <w:tc>
          <w:tcPr>
            <w:tcW w:w="7297" w:type="dxa"/>
            <w:tcBorders>
              <w:top w:val="single" w:color="auto" w:sz="4" w:space="0"/>
              <w:left w:val="single" w:color="auto" w:sz="4" w:space="0"/>
              <w:bottom w:val="single" w:color="auto" w:sz="4" w:space="0"/>
              <w:right w:val="single" w:color="auto" w:sz="4" w:space="0"/>
            </w:tcBorders>
            <w:vAlign w:val="center"/>
          </w:tcPr>
          <w:p w14:paraId="15E39788">
            <w:pPr>
              <w:keepNext w:val="0"/>
              <w:keepLines w:val="0"/>
              <w:pageBreakBefore w:val="0"/>
              <w:kinsoku/>
              <w:wordWrap/>
              <w:overflowPunct/>
              <w:topLinePunct w:val="0"/>
              <w:bidi w:val="0"/>
              <w:adjustRightInd/>
              <w:snapToGrid/>
              <w:spacing w:line="560" w:lineRule="exact"/>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t>最高限价：</w:t>
            </w:r>
            <w:r>
              <w:rPr>
                <w:rFonts w:hint="eastAsia" w:ascii="宋体" w:hAnsi="宋体" w:cs="宋体"/>
                <w:b/>
                <w:bCs/>
                <w:color w:val="000000" w:themeColor="text1"/>
                <w:sz w:val="28"/>
                <w:szCs w:val="28"/>
                <w:highlight w:val="none"/>
                <w:lang w:val="en-US" w:eastAsia="zh-CN"/>
                <w14:textFill>
                  <w14:solidFill>
                    <w14:schemeClr w14:val="tx1"/>
                  </w14:solidFill>
                </w14:textFill>
              </w:rPr>
              <w:t>28000</w:t>
            </w:r>
            <w:r>
              <w:rPr>
                <w:rFonts w:hint="eastAsia" w:ascii="宋体" w:hAnsi="宋体" w:eastAsia="宋体" w:cs="宋体"/>
                <w:b/>
                <w:bCs/>
                <w:color w:val="000000" w:themeColor="text1"/>
                <w:sz w:val="28"/>
                <w:szCs w:val="28"/>
                <w:highlight w:val="none"/>
                <w14:textFill>
                  <w14:solidFill>
                    <w14:schemeClr w14:val="tx1"/>
                  </w14:solidFill>
                </w14:textFill>
              </w:rPr>
              <w:t>元</w:t>
            </w:r>
          </w:p>
          <w:p w14:paraId="5CC6BE97">
            <w:pPr>
              <w:keepNext w:val="0"/>
              <w:keepLines w:val="0"/>
              <w:pageBreakBefore w:val="0"/>
              <w:kinsoku/>
              <w:wordWrap/>
              <w:overflowPunct/>
              <w:topLinePunct w:val="0"/>
              <w:bidi w:val="0"/>
              <w:adjustRightInd/>
              <w:snapToGrid/>
              <w:spacing w:line="560" w:lineRule="exac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总</w:t>
            </w:r>
            <w:r>
              <w:rPr>
                <w:rFonts w:hint="eastAsia" w:ascii="宋体" w:hAnsi="宋体" w:cs="宋体"/>
                <w:color w:val="000000" w:themeColor="text1"/>
                <w:sz w:val="28"/>
                <w:szCs w:val="28"/>
                <w:highlight w:val="none"/>
                <w:lang w:eastAsia="zh-CN"/>
                <w14:textFill>
                  <w14:solidFill>
                    <w14:schemeClr w14:val="tx1"/>
                  </w14:solidFill>
                </w14:textFill>
              </w:rPr>
              <w:t>价</w:t>
            </w:r>
            <w:r>
              <w:rPr>
                <w:rFonts w:hint="eastAsia" w:ascii="宋体" w:hAnsi="宋体" w:eastAsia="宋体" w:cs="宋体"/>
                <w:color w:val="000000" w:themeColor="text1"/>
                <w:sz w:val="28"/>
                <w:szCs w:val="28"/>
                <w:highlight w:val="none"/>
                <w14:textFill>
                  <w14:solidFill>
                    <w14:schemeClr w14:val="tx1"/>
                  </w14:solidFill>
                </w14:textFill>
              </w:rPr>
              <w:t>报价且不得超过最高限价。</w:t>
            </w:r>
          </w:p>
          <w:p w14:paraId="59E11C7B">
            <w:pPr>
              <w:keepNext w:val="0"/>
              <w:keepLines w:val="0"/>
              <w:pageBreakBefore w:val="0"/>
              <w:kinsoku/>
              <w:wordWrap/>
              <w:overflowPunct/>
              <w:topLinePunct w:val="0"/>
              <w:bidi w:val="0"/>
              <w:adjustRightInd/>
              <w:snapToGrid/>
              <w:spacing w:line="560" w:lineRule="exact"/>
              <w:rPr>
                <w:rFonts w:hint="default"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注：本项目报价需包含完成本项目所需的全部费用（包括但不限于各设备运费、吊装、安装、调试、备件、耗材、税金等）</w:t>
            </w:r>
          </w:p>
        </w:tc>
      </w:tr>
      <w:tr w14:paraId="5B23B8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14:paraId="68D7379C">
            <w:pPr>
              <w:keepNext w:val="0"/>
              <w:keepLines w:val="0"/>
              <w:pageBreakBefore w:val="0"/>
              <w:kinsoku/>
              <w:wordWrap/>
              <w:overflowPunct/>
              <w:topLinePunct w:val="0"/>
              <w:bidi w:val="0"/>
              <w:adjustRightInd/>
              <w:snapToGrid/>
              <w:spacing w:line="560" w:lineRule="exact"/>
              <w:jc w:val="center"/>
              <w:rPr>
                <w:rFonts w:hint="default"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cs="宋体"/>
                <w:color w:val="000000" w:themeColor="text1"/>
                <w:sz w:val="28"/>
                <w:szCs w:val="28"/>
                <w:highlight w:val="none"/>
                <w:lang w:val="en-US" w:eastAsia="zh-CN"/>
                <w14:textFill>
                  <w14:solidFill>
                    <w14:schemeClr w14:val="tx1"/>
                  </w14:solidFill>
                </w14:textFill>
              </w:rPr>
              <w:t>11</w:t>
            </w:r>
          </w:p>
        </w:tc>
        <w:tc>
          <w:tcPr>
            <w:tcW w:w="2239" w:type="dxa"/>
            <w:tcBorders>
              <w:top w:val="single" w:color="auto" w:sz="4" w:space="0"/>
              <w:left w:val="single" w:color="auto" w:sz="4" w:space="0"/>
              <w:bottom w:val="single" w:color="auto" w:sz="4" w:space="0"/>
              <w:right w:val="single" w:color="auto" w:sz="4" w:space="0"/>
            </w:tcBorders>
            <w:vAlign w:val="center"/>
          </w:tcPr>
          <w:p w14:paraId="2AB6C41F">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投标有效期</w:t>
            </w:r>
          </w:p>
        </w:tc>
        <w:tc>
          <w:tcPr>
            <w:tcW w:w="7297" w:type="dxa"/>
            <w:tcBorders>
              <w:top w:val="single" w:color="auto" w:sz="4" w:space="0"/>
              <w:left w:val="single" w:color="auto" w:sz="4" w:space="0"/>
              <w:bottom w:val="single" w:color="auto" w:sz="4" w:space="0"/>
              <w:right w:val="single" w:color="auto" w:sz="4" w:space="0"/>
            </w:tcBorders>
            <w:vAlign w:val="center"/>
          </w:tcPr>
          <w:p w14:paraId="07A7B7B2">
            <w:pPr>
              <w:keepNext w:val="0"/>
              <w:keepLines w:val="0"/>
              <w:pageBreakBefore w:val="0"/>
              <w:kinsoku/>
              <w:wordWrap/>
              <w:overflowPunct/>
              <w:topLinePunct w:val="0"/>
              <w:bidi w:val="0"/>
              <w:adjustRightInd/>
              <w:snapToGrid/>
              <w:spacing w:line="560" w:lineRule="exac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自投标截止之日起</w:t>
            </w:r>
            <w:r>
              <w:rPr>
                <w:rFonts w:hint="eastAsia" w:ascii="宋体" w:hAnsi="宋体" w:eastAsia="宋体" w:cs="宋体"/>
                <w:color w:val="000000" w:themeColor="text1"/>
                <w:sz w:val="28"/>
                <w:szCs w:val="28"/>
                <w:highlight w:val="none"/>
                <w:u w:val="single"/>
                <w14:textFill>
                  <w14:solidFill>
                    <w14:schemeClr w14:val="tx1"/>
                  </w14:solidFill>
                </w14:textFill>
              </w:rPr>
              <w:t xml:space="preserve">90日历天 </w:t>
            </w:r>
            <w:r>
              <w:rPr>
                <w:rFonts w:hint="eastAsia" w:ascii="宋体" w:hAnsi="宋体" w:eastAsia="宋体" w:cs="宋体"/>
                <w:color w:val="000000" w:themeColor="text1"/>
                <w:sz w:val="28"/>
                <w:szCs w:val="28"/>
                <w:highlight w:val="none"/>
                <w14:textFill>
                  <w14:solidFill>
                    <w14:schemeClr w14:val="tx1"/>
                  </w14:solidFill>
                </w14:textFill>
              </w:rPr>
              <w:t>。</w:t>
            </w:r>
          </w:p>
        </w:tc>
      </w:tr>
      <w:tr w14:paraId="276D4F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14:paraId="0D18DEE2">
            <w:pPr>
              <w:keepNext w:val="0"/>
              <w:keepLines w:val="0"/>
              <w:pageBreakBefore w:val="0"/>
              <w:kinsoku/>
              <w:wordWrap/>
              <w:overflowPunct/>
              <w:topLinePunct w:val="0"/>
              <w:bidi w:val="0"/>
              <w:adjustRightInd/>
              <w:snapToGrid/>
              <w:spacing w:line="560" w:lineRule="exact"/>
              <w:jc w:val="center"/>
              <w:rPr>
                <w:rFonts w:hint="default"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cs="宋体"/>
                <w:color w:val="000000" w:themeColor="text1"/>
                <w:sz w:val="28"/>
                <w:szCs w:val="28"/>
                <w:highlight w:val="none"/>
                <w:lang w:val="en-US" w:eastAsia="zh-CN"/>
                <w14:textFill>
                  <w14:solidFill>
                    <w14:schemeClr w14:val="tx1"/>
                  </w14:solidFill>
                </w14:textFill>
              </w:rPr>
              <w:t>12</w:t>
            </w:r>
          </w:p>
        </w:tc>
        <w:tc>
          <w:tcPr>
            <w:tcW w:w="2239" w:type="dxa"/>
            <w:tcBorders>
              <w:top w:val="single" w:color="auto" w:sz="4" w:space="0"/>
              <w:left w:val="single" w:color="auto" w:sz="4" w:space="0"/>
              <w:bottom w:val="single" w:color="auto" w:sz="4" w:space="0"/>
              <w:right w:val="single" w:color="auto" w:sz="4" w:space="0"/>
            </w:tcBorders>
            <w:vAlign w:val="center"/>
          </w:tcPr>
          <w:p w14:paraId="5836A4E8">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投标保证金金额</w:t>
            </w:r>
          </w:p>
        </w:tc>
        <w:tc>
          <w:tcPr>
            <w:tcW w:w="7297" w:type="dxa"/>
            <w:tcBorders>
              <w:top w:val="single" w:color="auto" w:sz="4" w:space="0"/>
              <w:left w:val="single" w:color="auto" w:sz="4" w:space="0"/>
              <w:bottom w:val="single" w:color="auto" w:sz="4" w:space="0"/>
              <w:right w:val="single" w:color="auto" w:sz="4" w:space="0"/>
            </w:tcBorders>
            <w:vAlign w:val="center"/>
          </w:tcPr>
          <w:p w14:paraId="4AB20114">
            <w:pPr>
              <w:keepNext w:val="0"/>
              <w:keepLines w:val="0"/>
              <w:pageBreakBefore w:val="0"/>
              <w:kinsoku/>
              <w:wordWrap/>
              <w:overflowPunct/>
              <w:topLinePunct w:val="0"/>
              <w:autoSpaceDE w:val="0"/>
              <w:autoSpaceDN w:val="0"/>
              <w:bidi w:val="0"/>
              <w:adjustRightInd/>
              <w:snapToGrid/>
              <w:spacing w:line="560" w:lineRule="exact"/>
              <w:textAlignment w:val="bottom"/>
              <w:rPr>
                <w:rFonts w:hint="default" w:ascii="宋体" w:hAnsi="宋体" w:eastAsia="宋体" w:cs="宋体"/>
                <w:b/>
                <w:bCs/>
                <w:color w:val="000000" w:themeColor="text1"/>
                <w:sz w:val="28"/>
                <w:szCs w:val="28"/>
                <w:highlight w:val="none"/>
                <w:lang w:val="en-US" w:eastAsia="zh-CN"/>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t>投标保证金</w:t>
            </w:r>
            <w:r>
              <w:rPr>
                <w:rFonts w:hint="eastAsia" w:ascii="宋体" w:hAnsi="宋体" w:cs="宋体"/>
                <w:b/>
                <w:bCs/>
                <w:color w:val="000000" w:themeColor="text1"/>
                <w:sz w:val="28"/>
                <w:szCs w:val="28"/>
                <w:highlight w:val="none"/>
                <w:lang w:val="en-US" w:eastAsia="zh-CN"/>
                <w14:textFill>
                  <w14:solidFill>
                    <w14:schemeClr w14:val="tx1"/>
                  </w14:solidFill>
                </w14:textFill>
              </w:rPr>
              <w:t>缴纳方式：电汇、网银转账、保函等非现金形式缴纳</w:t>
            </w:r>
          </w:p>
          <w:p w14:paraId="6D2AC58C">
            <w:pPr>
              <w:keepNext w:val="0"/>
              <w:keepLines w:val="0"/>
              <w:pageBreakBefore w:val="0"/>
              <w:kinsoku/>
              <w:wordWrap/>
              <w:overflowPunct/>
              <w:topLinePunct w:val="0"/>
              <w:autoSpaceDE w:val="0"/>
              <w:autoSpaceDN w:val="0"/>
              <w:bidi w:val="0"/>
              <w:adjustRightInd/>
              <w:snapToGrid/>
              <w:spacing w:line="560" w:lineRule="exact"/>
              <w:textAlignment w:val="bottom"/>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t>投标保证金金额：</w:t>
            </w:r>
            <w:r>
              <w:rPr>
                <w:rFonts w:hint="eastAsia" w:ascii="宋体" w:hAnsi="宋体" w:cs="宋体"/>
                <w:b/>
                <w:bCs/>
                <w:color w:val="000000" w:themeColor="text1"/>
                <w:sz w:val="28"/>
                <w:szCs w:val="28"/>
                <w:highlight w:val="none"/>
                <w:lang w:val="en-US" w:eastAsia="zh-CN"/>
                <w14:textFill>
                  <w14:solidFill>
                    <w14:schemeClr w14:val="tx1"/>
                  </w14:solidFill>
                </w14:textFill>
              </w:rPr>
              <w:t>560</w:t>
            </w:r>
            <w:r>
              <w:rPr>
                <w:rFonts w:hint="eastAsia" w:ascii="宋体" w:hAnsi="宋体" w:eastAsia="宋体" w:cs="宋体"/>
                <w:b/>
                <w:bCs/>
                <w:color w:val="000000" w:themeColor="text1"/>
                <w:sz w:val="28"/>
                <w:szCs w:val="28"/>
                <w:highlight w:val="none"/>
                <w14:textFill>
                  <w14:solidFill>
                    <w14:schemeClr w14:val="tx1"/>
                  </w14:solidFill>
                </w14:textFill>
              </w:rPr>
              <w:t>元(人民币</w:t>
            </w:r>
            <w:r>
              <w:rPr>
                <w:rFonts w:hint="eastAsia" w:ascii="宋体" w:hAnsi="宋体" w:cs="宋体"/>
                <w:b/>
                <w:bCs/>
                <w:color w:val="000000" w:themeColor="text1"/>
                <w:sz w:val="28"/>
                <w:szCs w:val="28"/>
                <w:highlight w:val="none"/>
                <w:lang w:val="en-US" w:eastAsia="zh-CN"/>
                <w14:textFill>
                  <w14:solidFill>
                    <w14:schemeClr w14:val="tx1"/>
                  </w14:solidFill>
                </w14:textFill>
              </w:rPr>
              <w:t>伍佰陆拾</w:t>
            </w:r>
            <w:r>
              <w:rPr>
                <w:rFonts w:hint="eastAsia" w:ascii="宋体" w:hAnsi="宋体" w:eastAsia="宋体" w:cs="宋体"/>
                <w:b/>
                <w:bCs/>
                <w:color w:val="000000" w:themeColor="text1"/>
                <w:sz w:val="28"/>
                <w:szCs w:val="28"/>
                <w:highlight w:val="none"/>
                <w14:textFill>
                  <w14:solidFill>
                    <w14:schemeClr w14:val="tx1"/>
                  </w14:solidFill>
                </w14:textFill>
              </w:rPr>
              <w:t>元整)</w:t>
            </w:r>
          </w:p>
          <w:p w14:paraId="5EB1E00C">
            <w:pPr>
              <w:keepNext w:val="0"/>
              <w:keepLines w:val="0"/>
              <w:pageBreakBefore w:val="0"/>
              <w:kinsoku/>
              <w:wordWrap/>
              <w:overflowPunct/>
              <w:topLinePunct w:val="0"/>
              <w:autoSpaceDE w:val="0"/>
              <w:autoSpaceDN w:val="0"/>
              <w:bidi w:val="0"/>
              <w:adjustRightInd/>
              <w:snapToGrid/>
              <w:spacing w:line="560" w:lineRule="exact"/>
              <w:textAlignment w:val="bottom"/>
              <w:rPr>
                <w:rFonts w:hint="eastAsia" w:ascii="宋体" w:hAnsi="宋体" w:eastAsia="宋体" w:cs="宋体"/>
                <w:color w:val="000000" w:themeColor="text1"/>
                <w:sz w:val="28"/>
                <w:szCs w:val="28"/>
                <w:highlight w:val="none"/>
                <w:lang w:eastAsia="zh-CN"/>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单位名称：新疆诚誉工程项目管理有限公司哈密分公司</w:t>
            </w:r>
          </w:p>
          <w:p w14:paraId="3D65A43B">
            <w:pPr>
              <w:keepNext w:val="0"/>
              <w:keepLines w:val="0"/>
              <w:pageBreakBefore w:val="0"/>
              <w:kinsoku/>
              <w:wordWrap/>
              <w:overflowPunct/>
              <w:topLinePunct w:val="0"/>
              <w:autoSpaceDE w:val="0"/>
              <w:autoSpaceDN w:val="0"/>
              <w:bidi w:val="0"/>
              <w:adjustRightInd/>
              <w:snapToGrid/>
              <w:spacing w:line="560" w:lineRule="exact"/>
              <w:textAlignment w:val="bottom"/>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开户行：</w:t>
            </w:r>
            <w:r>
              <w:rPr>
                <w:rFonts w:hint="eastAsia" w:ascii="宋体" w:hAnsi="宋体" w:cs="宋体"/>
                <w:color w:val="000000" w:themeColor="text1"/>
                <w:sz w:val="28"/>
                <w:szCs w:val="28"/>
                <w:highlight w:val="none"/>
                <w:lang w:eastAsia="zh-CN"/>
                <w14:textFill>
                  <w14:solidFill>
                    <w14:schemeClr w14:val="tx1"/>
                  </w14:solidFill>
                </w14:textFill>
              </w:rPr>
              <w:t>中国银行股份有限公司哈密市分行</w:t>
            </w:r>
          </w:p>
          <w:p w14:paraId="0AA7D4BF">
            <w:pPr>
              <w:keepNext w:val="0"/>
              <w:keepLines w:val="0"/>
              <w:pageBreakBefore w:val="0"/>
              <w:kinsoku/>
              <w:wordWrap/>
              <w:overflowPunct/>
              <w:topLinePunct w:val="0"/>
              <w:autoSpaceDE w:val="0"/>
              <w:autoSpaceDN w:val="0"/>
              <w:bidi w:val="0"/>
              <w:adjustRightInd/>
              <w:snapToGrid/>
              <w:spacing w:line="560" w:lineRule="exact"/>
              <w:textAlignment w:val="bottom"/>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账号：</w:t>
            </w:r>
            <w:r>
              <w:rPr>
                <w:rFonts w:hint="eastAsia" w:ascii="宋体" w:hAnsi="宋体" w:cs="宋体"/>
                <w:color w:val="000000" w:themeColor="text1"/>
                <w:sz w:val="28"/>
                <w:szCs w:val="28"/>
                <w:highlight w:val="none"/>
                <w:lang w:eastAsia="zh-CN"/>
                <w14:textFill>
                  <w14:solidFill>
                    <w14:schemeClr w14:val="tx1"/>
                  </w14:solidFill>
                </w14:textFill>
              </w:rPr>
              <w:t>107682200924</w:t>
            </w:r>
          </w:p>
          <w:p w14:paraId="56AC9BA1">
            <w:pPr>
              <w:keepNext w:val="0"/>
              <w:keepLines w:val="0"/>
              <w:pageBreakBefore w:val="0"/>
              <w:kinsoku/>
              <w:wordWrap/>
              <w:overflowPunct/>
              <w:topLinePunct w:val="0"/>
              <w:autoSpaceDE w:val="0"/>
              <w:autoSpaceDN w:val="0"/>
              <w:bidi w:val="0"/>
              <w:adjustRightInd/>
              <w:snapToGrid/>
              <w:spacing w:line="560" w:lineRule="exact"/>
              <w:textAlignment w:val="bottom"/>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注：1、保证金必须从企业基本帐户缴纳至采购代理机构给定的基本账户。以个人、企业的办事处、分公司、子公司名义或从他人帐户、供应商企业的其他账户缴纳的保证金无效。注：。注：</w:t>
            </w:r>
            <w:r>
              <w:rPr>
                <w:rFonts w:hint="eastAsia" w:ascii="宋体" w:hAnsi="宋体" w:cs="宋体"/>
                <w:color w:val="000000" w:themeColor="text1"/>
                <w:sz w:val="28"/>
                <w:szCs w:val="28"/>
                <w:highlight w:val="none"/>
                <w:lang w:eastAsia="zh-CN"/>
                <w14:textFill>
                  <w14:solidFill>
                    <w14:schemeClr w14:val="tx1"/>
                  </w14:solidFill>
                </w14:textFill>
              </w:rPr>
              <w:t>打款时须注明项目名称、标项名称或标项号（可简写）。</w:t>
            </w:r>
            <w:r>
              <w:rPr>
                <w:rFonts w:hint="eastAsia" w:ascii="宋体" w:hAnsi="宋体" w:eastAsia="宋体" w:cs="宋体"/>
                <w:color w:val="000000" w:themeColor="text1"/>
                <w:sz w:val="28"/>
                <w:szCs w:val="28"/>
                <w:highlight w:val="none"/>
                <w14:textFill>
                  <w14:solidFill>
                    <w14:schemeClr w14:val="tx1"/>
                  </w14:solidFill>
                </w14:textFill>
              </w:rPr>
              <w:t>2、保证金必须在投标截止时间（开标时间）前缴纳至招标代理公司账户。供应商需自行评估因异地、跨行、公休日等因素造成的保证金到账延迟风险，并承担相应责任。</w:t>
            </w:r>
          </w:p>
          <w:p w14:paraId="22303109">
            <w:pPr>
              <w:keepNext w:val="0"/>
              <w:keepLines w:val="0"/>
              <w:pageBreakBefore w:val="0"/>
              <w:kinsoku/>
              <w:wordWrap/>
              <w:overflowPunct/>
              <w:topLinePunct w:val="0"/>
              <w:autoSpaceDE w:val="0"/>
              <w:autoSpaceDN w:val="0"/>
              <w:bidi w:val="0"/>
              <w:adjustRightInd/>
              <w:snapToGrid/>
              <w:spacing w:line="560" w:lineRule="exact"/>
              <w:textAlignment w:val="bottom"/>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3、到账截止时间：</w:t>
            </w:r>
            <w:r>
              <w:rPr>
                <w:rFonts w:hint="eastAsia" w:ascii="宋体" w:hAnsi="宋体" w:eastAsia="宋体" w:cs="宋体"/>
                <w:b/>
                <w:bCs/>
                <w:color w:val="000000" w:themeColor="text1"/>
                <w:sz w:val="28"/>
                <w:szCs w:val="28"/>
                <w:highlight w:val="none"/>
                <w:u w:val="single"/>
                <w14:textFill>
                  <w14:solidFill>
                    <w14:schemeClr w14:val="tx1"/>
                  </w14:solidFill>
                </w14:textFill>
              </w:rPr>
              <w:t>202</w:t>
            </w:r>
            <w:r>
              <w:rPr>
                <w:rFonts w:hint="eastAsia" w:ascii="宋体" w:hAnsi="宋体" w:cs="宋体"/>
                <w:b/>
                <w:bCs/>
                <w:color w:val="000000" w:themeColor="text1"/>
                <w:sz w:val="28"/>
                <w:szCs w:val="28"/>
                <w:highlight w:val="none"/>
                <w:u w:val="single"/>
                <w:lang w:val="en-US" w:eastAsia="zh-CN"/>
                <w14:textFill>
                  <w14:solidFill>
                    <w14:schemeClr w14:val="tx1"/>
                  </w14:solidFill>
                </w14:textFill>
              </w:rPr>
              <w:t>5</w:t>
            </w:r>
            <w:r>
              <w:rPr>
                <w:rFonts w:hint="eastAsia" w:ascii="宋体" w:hAnsi="宋体" w:eastAsia="宋体" w:cs="宋体"/>
                <w:b/>
                <w:bCs/>
                <w:color w:val="000000" w:themeColor="text1"/>
                <w:sz w:val="28"/>
                <w:szCs w:val="28"/>
                <w:highlight w:val="none"/>
                <w:u w:val="single"/>
                <w14:textFill>
                  <w14:solidFill>
                    <w14:schemeClr w14:val="tx1"/>
                  </w14:solidFill>
                </w14:textFill>
              </w:rPr>
              <w:t>年</w:t>
            </w:r>
            <w:r>
              <w:rPr>
                <w:rFonts w:hint="eastAsia" w:ascii="宋体" w:hAnsi="宋体" w:cs="宋体"/>
                <w:b/>
                <w:bCs/>
                <w:color w:val="000000" w:themeColor="text1"/>
                <w:sz w:val="28"/>
                <w:szCs w:val="28"/>
                <w:highlight w:val="none"/>
                <w:u w:val="single"/>
                <w:lang w:val="en-US" w:eastAsia="zh-CN"/>
                <w14:textFill>
                  <w14:solidFill>
                    <w14:schemeClr w14:val="tx1"/>
                  </w14:solidFill>
                </w14:textFill>
              </w:rPr>
              <w:t>07</w:t>
            </w:r>
            <w:r>
              <w:rPr>
                <w:rFonts w:hint="eastAsia" w:ascii="宋体" w:hAnsi="宋体" w:eastAsia="宋体" w:cs="宋体"/>
                <w:b/>
                <w:bCs/>
                <w:color w:val="000000" w:themeColor="text1"/>
                <w:sz w:val="28"/>
                <w:szCs w:val="28"/>
                <w:highlight w:val="none"/>
                <w:u w:val="single"/>
                <w14:textFill>
                  <w14:solidFill>
                    <w14:schemeClr w14:val="tx1"/>
                  </w14:solidFill>
                </w14:textFill>
              </w:rPr>
              <w:t>月</w:t>
            </w:r>
            <w:r>
              <w:rPr>
                <w:rFonts w:hint="eastAsia" w:ascii="宋体" w:hAnsi="宋体" w:cs="宋体"/>
                <w:b/>
                <w:bCs/>
                <w:color w:val="000000" w:themeColor="text1"/>
                <w:sz w:val="28"/>
                <w:szCs w:val="28"/>
                <w:highlight w:val="none"/>
                <w:u w:val="single"/>
                <w:lang w:val="en-US" w:eastAsia="zh-CN"/>
                <w14:textFill>
                  <w14:solidFill>
                    <w14:schemeClr w14:val="tx1"/>
                  </w14:solidFill>
                </w14:textFill>
              </w:rPr>
              <w:t>17</w:t>
            </w:r>
            <w:r>
              <w:rPr>
                <w:rFonts w:hint="eastAsia" w:ascii="宋体" w:hAnsi="宋体" w:eastAsia="宋体" w:cs="宋体"/>
                <w:b/>
                <w:bCs/>
                <w:color w:val="000000" w:themeColor="text1"/>
                <w:sz w:val="28"/>
                <w:szCs w:val="28"/>
                <w:highlight w:val="none"/>
                <w:u w:val="single"/>
                <w14:textFill>
                  <w14:solidFill>
                    <w14:schemeClr w14:val="tx1"/>
                  </w14:solidFill>
                </w14:textFill>
              </w:rPr>
              <w:t>日1</w:t>
            </w:r>
            <w:r>
              <w:rPr>
                <w:rFonts w:hint="eastAsia" w:ascii="宋体" w:hAnsi="宋体" w:cs="宋体"/>
                <w:b/>
                <w:bCs/>
                <w:color w:val="000000" w:themeColor="text1"/>
                <w:sz w:val="28"/>
                <w:szCs w:val="28"/>
                <w:highlight w:val="none"/>
                <w:u w:val="single"/>
                <w:lang w:val="en-US" w:eastAsia="zh-CN"/>
                <w14:textFill>
                  <w14:solidFill>
                    <w14:schemeClr w14:val="tx1"/>
                  </w14:solidFill>
                </w14:textFill>
              </w:rPr>
              <w:t>1</w:t>
            </w:r>
            <w:r>
              <w:rPr>
                <w:rFonts w:hint="eastAsia" w:ascii="宋体" w:hAnsi="宋体" w:eastAsia="宋体" w:cs="宋体"/>
                <w:b/>
                <w:bCs/>
                <w:color w:val="000000" w:themeColor="text1"/>
                <w:sz w:val="28"/>
                <w:szCs w:val="28"/>
                <w:highlight w:val="none"/>
                <w:u w:val="single"/>
                <w14:textFill>
                  <w14:solidFill>
                    <w14:schemeClr w14:val="tx1"/>
                  </w14:solidFill>
                </w14:textFill>
              </w:rPr>
              <w:t>点00分</w:t>
            </w:r>
            <w:r>
              <w:rPr>
                <w:rFonts w:hint="eastAsia" w:ascii="宋体" w:hAnsi="宋体" w:eastAsia="宋体" w:cs="宋体"/>
                <w:color w:val="000000" w:themeColor="text1"/>
                <w:sz w:val="28"/>
                <w:szCs w:val="28"/>
                <w:highlight w:val="none"/>
                <w14:textFill>
                  <w14:solidFill>
                    <w14:schemeClr w14:val="tx1"/>
                  </w14:solidFill>
                </w14:textFill>
              </w:rPr>
              <w:t>（北京时间）（以银行记录确认到账为准）。</w:t>
            </w:r>
          </w:p>
          <w:p w14:paraId="30039D4D">
            <w:pPr>
              <w:keepNext w:val="0"/>
              <w:keepLines w:val="0"/>
              <w:pageBreakBefore w:val="0"/>
              <w:kinsoku/>
              <w:wordWrap/>
              <w:overflowPunct/>
              <w:topLinePunct w:val="0"/>
              <w:autoSpaceDE w:val="0"/>
              <w:autoSpaceDN w:val="0"/>
              <w:bidi w:val="0"/>
              <w:adjustRightInd/>
              <w:snapToGrid/>
              <w:spacing w:line="560" w:lineRule="exact"/>
              <w:textAlignment w:val="bottom"/>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4、为简化手续，优化流程，采用电子支付方式提交保证金的，在退还时，按原路退回，收取时不开具收据，退还时也不要求提交收据。</w:t>
            </w:r>
          </w:p>
          <w:p w14:paraId="57246A7E">
            <w:pPr>
              <w:keepNext w:val="0"/>
              <w:keepLines w:val="0"/>
              <w:pageBreakBefore w:val="0"/>
              <w:kinsoku/>
              <w:wordWrap/>
              <w:overflowPunct/>
              <w:topLinePunct w:val="0"/>
              <w:autoSpaceDE w:val="0"/>
              <w:autoSpaceDN w:val="0"/>
              <w:bidi w:val="0"/>
              <w:adjustRightInd/>
              <w:snapToGrid/>
              <w:spacing w:line="560" w:lineRule="exact"/>
              <w:textAlignment w:val="bottom"/>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5、采用电子保函形式应按以下要求办理：</w:t>
            </w:r>
          </w:p>
          <w:p w14:paraId="55531D6D">
            <w:pPr>
              <w:keepNext w:val="0"/>
              <w:keepLines w:val="0"/>
              <w:pageBreakBefore w:val="0"/>
              <w:kinsoku/>
              <w:wordWrap/>
              <w:overflowPunct/>
              <w:topLinePunct w:val="0"/>
              <w:autoSpaceDE w:val="0"/>
              <w:autoSpaceDN w:val="0"/>
              <w:bidi w:val="0"/>
              <w:adjustRightInd/>
              <w:snapToGrid/>
              <w:spacing w:line="560" w:lineRule="exact"/>
              <w:textAlignment w:val="bottom"/>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（1）电子保函按照“一标段一保函”的原则。</w:t>
            </w:r>
          </w:p>
          <w:p w14:paraId="569C856B">
            <w:pPr>
              <w:keepNext w:val="0"/>
              <w:keepLines w:val="0"/>
              <w:pageBreakBefore w:val="0"/>
              <w:kinsoku/>
              <w:wordWrap/>
              <w:overflowPunct/>
              <w:topLinePunct w:val="0"/>
              <w:autoSpaceDE w:val="0"/>
              <w:autoSpaceDN w:val="0"/>
              <w:bidi w:val="0"/>
              <w:adjustRightInd/>
              <w:snapToGrid/>
              <w:spacing w:line="560" w:lineRule="exact"/>
              <w:textAlignment w:val="bottom"/>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（2）电子保函须在招标文件规定的投标截止时间前办理完成。</w:t>
            </w:r>
          </w:p>
          <w:p w14:paraId="24F2EE96">
            <w:pPr>
              <w:keepNext w:val="0"/>
              <w:keepLines w:val="0"/>
              <w:pageBreakBefore w:val="0"/>
              <w:kinsoku/>
              <w:wordWrap/>
              <w:overflowPunct/>
              <w:topLinePunct w:val="0"/>
              <w:autoSpaceDE w:val="0"/>
              <w:autoSpaceDN w:val="0"/>
              <w:bidi w:val="0"/>
              <w:adjustRightInd/>
              <w:snapToGrid/>
              <w:spacing w:line="560" w:lineRule="exact"/>
              <w:textAlignment w:val="bottom"/>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（3）具体办理流程详见新疆政府采购网《新疆政府采购电子保函操作流程》。</w:t>
            </w:r>
          </w:p>
          <w:p w14:paraId="2E6EDE32">
            <w:pPr>
              <w:keepNext w:val="0"/>
              <w:keepLines w:val="0"/>
              <w:pageBreakBefore w:val="0"/>
              <w:kinsoku/>
              <w:wordWrap/>
              <w:overflowPunct/>
              <w:topLinePunct w:val="0"/>
              <w:autoSpaceDE w:val="0"/>
              <w:autoSpaceDN w:val="0"/>
              <w:bidi w:val="0"/>
              <w:adjustRightInd/>
              <w:snapToGrid/>
              <w:spacing w:line="560" w:lineRule="exact"/>
              <w:textAlignment w:val="bottom"/>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（4）供应商以保函形式缴纳投标保证金的，将电子投标保单作为电子响应文件组成部分在投标时一并提交。</w:t>
            </w:r>
          </w:p>
          <w:p w14:paraId="14C18D19">
            <w:pPr>
              <w:pageBreakBefore w:val="0"/>
              <w:wordWrap/>
              <w:topLinePunct w:val="0"/>
              <w:bidi w:val="0"/>
              <w:spacing w:line="560" w:lineRule="exac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（备注：如采用电子保函形式缴纳的，在投标截止日之前须从新疆电子保函服务管理平台中确认是否生效。电子保函服务管理平台技术人员联系方式：95763。）</w:t>
            </w:r>
          </w:p>
        </w:tc>
      </w:tr>
      <w:tr w14:paraId="286ED4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14:paraId="75EF34B8">
            <w:pPr>
              <w:keepNext w:val="0"/>
              <w:keepLines w:val="0"/>
              <w:pageBreakBefore w:val="0"/>
              <w:kinsoku/>
              <w:wordWrap/>
              <w:overflowPunct/>
              <w:topLinePunct w:val="0"/>
              <w:bidi w:val="0"/>
              <w:adjustRightInd/>
              <w:snapToGrid/>
              <w:spacing w:line="560" w:lineRule="exact"/>
              <w:jc w:val="center"/>
              <w:rPr>
                <w:rFonts w:hint="default"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cs="宋体"/>
                <w:color w:val="000000" w:themeColor="text1"/>
                <w:sz w:val="28"/>
                <w:szCs w:val="28"/>
                <w:highlight w:val="none"/>
                <w:lang w:val="en-US" w:eastAsia="zh-CN"/>
                <w14:textFill>
                  <w14:solidFill>
                    <w14:schemeClr w14:val="tx1"/>
                  </w14:solidFill>
                </w14:textFill>
              </w:rPr>
              <w:t>13</w:t>
            </w:r>
          </w:p>
        </w:tc>
        <w:tc>
          <w:tcPr>
            <w:tcW w:w="2239" w:type="dxa"/>
            <w:tcBorders>
              <w:top w:val="single" w:color="auto" w:sz="4" w:space="0"/>
              <w:left w:val="single" w:color="auto" w:sz="4" w:space="0"/>
              <w:bottom w:val="single" w:color="auto" w:sz="4" w:space="0"/>
              <w:right w:val="single" w:color="auto" w:sz="4" w:space="0"/>
            </w:tcBorders>
            <w:vAlign w:val="center"/>
          </w:tcPr>
          <w:p w14:paraId="70D2FF48">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投标文件编制</w:t>
            </w:r>
          </w:p>
          <w:p w14:paraId="3E54AD59">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要求</w:t>
            </w:r>
          </w:p>
        </w:tc>
        <w:tc>
          <w:tcPr>
            <w:tcW w:w="7297" w:type="dxa"/>
            <w:tcBorders>
              <w:top w:val="single" w:color="auto" w:sz="4" w:space="0"/>
              <w:left w:val="single" w:color="auto" w:sz="4" w:space="0"/>
              <w:bottom w:val="single" w:color="auto" w:sz="4" w:space="0"/>
              <w:right w:val="single" w:color="auto" w:sz="4" w:space="0"/>
            </w:tcBorders>
            <w:vAlign w:val="center"/>
          </w:tcPr>
          <w:p w14:paraId="68B1CEA6">
            <w:pPr>
              <w:keepNext w:val="0"/>
              <w:keepLines w:val="0"/>
              <w:pageBreakBefore w:val="0"/>
              <w:kinsoku/>
              <w:wordWrap/>
              <w:overflowPunct/>
              <w:topLinePunct w:val="0"/>
              <w:bidi w:val="0"/>
              <w:adjustRightInd/>
              <w:snapToGrid/>
              <w:spacing w:line="560" w:lineRule="exact"/>
              <w:rPr>
                <w:rFonts w:hint="eastAsia" w:ascii="宋体" w:hAnsi="宋体" w:eastAsia="宋体" w:cs="宋体"/>
                <w:b w:val="0"/>
                <w:bCs/>
                <w:color w:val="000000" w:themeColor="text1"/>
                <w:sz w:val="28"/>
                <w:szCs w:val="28"/>
                <w:highlight w:val="none"/>
                <w:u w:val="none"/>
                <w14:textFill>
                  <w14:solidFill>
                    <w14:schemeClr w14:val="tx1"/>
                  </w14:solidFill>
                </w14:textFill>
              </w:rPr>
            </w:pPr>
            <w:r>
              <w:rPr>
                <w:rFonts w:hint="eastAsia" w:ascii="宋体" w:hAnsi="宋体" w:eastAsia="宋体" w:cs="宋体"/>
                <w:b w:val="0"/>
                <w:bCs/>
                <w:color w:val="000000" w:themeColor="text1"/>
                <w:sz w:val="28"/>
                <w:szCs w:val="28"/>
                <w:highlight w:val="none"/>
                <w:u w:val="none"/>
                <w14:textFill>
                  <w14:solidFill>
                    <w14:schemeClr w14:val="tx1"/>
                  </w14:solidFill>
                </w14:textFill>
              </w:rPr>
              <w:t>投标文件应按报价文件、资格证明文件、商务</w:t>
            </w:r>
            <w:r>
              <w:rPr>
                <w:rFonts w:hint="eastAsia" w:ascii="宋体" w:hAnsi="宋体" w:eastAsia="宋体" w:cs="宋体"/>
                <w:b w:val="0"/>
                <w:bCs/>
                <w:color w:val="000000" w:themeColor="text1"/>
                <w:sz w:val="28"/>
                <w:szCs w:val="28"/>
                <w:highlight w:val="none"/>
                <w:u w:val="none"/>
                <w:lang w:eastAsia="zh-CN"/>
                <w14:textFill>
                  <w14:solidFill>
                    <w14:schemeClr w14:val="tx1"/>
                  </w14:solidFill>
                </w14:textFill>
              </w:rPr>
              <w:t>文件</w:t>
            </w:r>
            <w:r>
              <w:rPr>
                <w:rFonts w:hint="eastAsia" w:ascii="宋体" w:hAnsi="宋体" w:eastAsia="宋体" w:cs="宋体"/>
                <w:b w:val="0"/>
                <w:bCs/>
                <w:color w:val="000000" w:themeColor="text1"/>
                <w:sz w:val="28"/>
                <w:szCs w:val="28"/>
                <w:highlight w:val="none"/>
                <w:u w:val="none"/>
                <w14:textFill>
                  <w14:solidFill>
                    <w14:schemeClr w14:val="tx1"/>
                  </w14:solidFill>
                </w14:textFill>
              </w:rPr>
              <w:t>、技术文件分别编制，报价文件、资格证明文件分别生成电子文件，商务</w:t>
            </w:r>
            <w:r>
              <w:rPr>
                <w:rFonts w:hint="eastAsia" w:ascii="宋体" w:hAnsi="宋体" w:eastAsia="宋体" w:cs="宋体"/>
                <w:b w:val="0"/>
                <w:bCs/>
                <w:color w:val="000000" w:themeColor="text1"/>
                <w:sz w:val="28"/>
                <w:szCs w:val="28"/>
                <w:highlight w:val="none"/>
                <w:u w:val="none"/>
                <w:lang w:eastAsia="zh-CN"/>
                <w14:textFill>
                  <w14:solidFill>
                    <w14:schemeClr w14:val="tx1"/>
                  </w14:solidFill>
                </w14:textFill>
              </w:rPr>
              <w:t>文件</w:t>
            </w:r>
            <w:r>
              <w:rPr>
                <w:rFonts w:hint="eastAsia" w:ascii="宋体" w:hAnsi="宋体" w:eastAsia="宋体" w:cs="宋体"/>
                <w:b w:val="0"/>
                <w:bCs/>
                <w:color w:val="000000" w:themeColor="text1"/>
                <w:sz w:val="28"/>
                <w:szCs w:val="28"/>
                <w:highlight w:val="none"/>
                <w:u w:val="none"/>
                <w14:textFill>
                  <w14:solidFill>
                    <w14:schemeClr w14:val="tx1"/>
                  </w14:solidFill>
                </w14:textFill>
              </w:rPr>
              <w:t>、技术文件按顺序合并生成电子文件。电子版投标文件制作方式见招标公告。</w:t>
            </w:r>
          </w:p>
          <w:p w14:paraId="6B12E747">
            <w:pPr>
              <w:keepNext w:val="0"/>
              <w:keepLines w:val="0"/>
              <w:pageBreakBefore w:val="0"/>
              <w:kinsoku/>
              <w:wordWrap/>
              <w:overflowPunct/>
              <w:topLinePunct w:val="0"/>
              <w:bidi w:val="0"/>
              <w:adjustRightInd/>
              <w:snapToGrid/>
              <w:spacing w:line="560" w:lineRule="exact"/>
              <w:rPr>
                <w:rFonts w:hint="eastAsia" w:ascii="宋体" w:hAnsi="宋体" w:eastAsia="宋体" w:cs="宋体"/>
                <w:b/>
                <w:color w:val="000000" w:themeColor="text1"/>
                <w:sz w:val="28"/>
                <w:szCs w:val="28"/>
                <w:highlight w:val="none"/>
                <w:u w:val="single"/>
                <w14:textFill>
                  <w14:solidFill>
                    <w14:schemeClr w14:val="tx1"/>
                  </w14:solidFill>
                </w14:textFill>
              </w:rPr>
            </w:pPr>
            <w:r>
              <w:rPr>
                <w:rFonts w:hint="eastAsia" w:ascii="宋体" w:hAnsi="宋体" w:eastAsia="宋体" w:cs="宋体"/>
                <w:b/>
                <w:bCs w:val="0"/>
                <w:color w:val="000000" w:themeColor="text1"/>
                <w:sz w:val="28"/>
                <w:szCs w:val="28"/>
                <w:highlight w:val="none"/>
                <w:u w:val="none"/>
                <w14:textFill>
                  <w14:solidFill>
                    <w14:schemeClr w14:val="tx1"/>
                  </w14:solidFill>
                </w14:textFill>
              </w:rPr>
              <w:t>在开标结束后中标单位须向采购代理机构递交纸质响应文件</w:t>
            </w:r>
            <w:r>
              <w:rPr>
                <w:rFonts w:hint="eastAsia" w:ascii="宋体" w:hAnsi="宋体" w:cs="宋体"/>
                <w:b/>
                <w:bCs w:val="0"/>
                <w:color w:val="000000" w:themeColor="text1"/>
                <w:sz w:val="28"/>
                <w:szCs w:val="28"/>
                <w:highlight w:val="none"/>
                <w:u w:val="none"/>
                <w:lang w:eastAsia="zh-CN"/>
                <w14:textFill>
                  <w14:solidFill>
                    <w14:schemeClr w14:val="tx1"/>
                  </w14:solidFill>
                </w14:textFill>
              </w:rPr>
              <w:t>一</w:t>
            </w:r>
            <w:r>
              <w:rPr>
                <w:rFonts w:hint="eastAsia" w:ascii="宋体" w:hAnsi="宋体" w:eastAsia="宋体" w:cs="宋体"/>
                <w:b/>
                <w:bCs w:val="0"/>
                <w:color w:val="000000" w:themeColor="text1"/>
                <w:sz w:val="28"/>
                <w:szCs w:val="28"/>
                <w:highlight w:val="none"/>
                <w:u w:val="none"/>
                <w14:textFill>
                  <w14:solidFill>
                    <w14:schemeClr w14:val="tx1"/>
                  </w14:solidFill>
                </w14:textFill>
              </w:rPr>
              <w:t>份，印章齐全。</w:t>
            </w:r>
          </w:p>
        </w:tc>
      </w:tr>
      <w:tr w14:paraId="079087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14:paraId="034D1975">
            <w:pPr>
              <w:keepNext w:val="0"/>
              <w:keepLines w:val="0"/>
              <w:pageBreakBefore w:val="0"/>
              <w:kinsoku/>
              <w:wordWrap/>
              <w:overflowPunct/>
              <w:topLinePunct w:val="0"/>
              <w:bidi w:val="0"/>
              <w:adjustRightInd/>
              <w:snapToGrid/>
              <w:spacing w:line="560" w:lineRule="exact"/>
              <w:jc w:val="center"/>
              <w:rPr>
                <w:rFonts w:hint="default"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cs="宋体"/>
                <w:color w:val="000000" w:themeColor="text1"/>
                <w:sz w:val="28"/>
                <w:szCs w:val="28"/>
                <w:highlight w:val="none"/>
                <w:lang w:val="en-US" w:eastAsia="zh-CN"/>
                <w14:textFill>
                  <w14:solidFill>
                    <w14:schemeClr w14:val="tx1"/>
                  </w14:solidFill>
                </w14:textFill>
              </w:rPr>
              <w:t>14</w:t>
            </w:r>
          </w:p>
        </w:tc>
        <w:tc>
          <w:tcPr>
            <w:tcW w:w="2239" w:type="dxa"/>
            <w:tcBorders>
              <w:top w:val="single" w:color="auto" w:sz="4" w:space="0"/>
              <w:left w:val="single" w:color="auto" w:sz="4" w:space="0"/>
              <w:bottom w:val="single" w:color="auto" w:sz="4" w:space="0"/>
              <w:right w:val="single" w:color="auto" w:sz="4" w:space="0"/>
            </w:tcBorders>
            <w:vAlign w:val="center"/>
          </w:tcPr>
          <w:p w14:paraId="4B8944B4">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备份投标文件</w:t>
            </w:r>
          </w:p>
        </w:tc>
        <w:tc>
          <w:tcPr>
            <w:tcW w:w="7297" w:type="dxa"/>
            <w:tcBorders>
              <w:top w:val="single" w:color="auto" w:sz="4" w:space="0"/>
              <w:left w:val="single" w:color="auto" w:sz="4" w:space="0"/>
              <w:bottom w:val="single" w:color="auto" w:sz="4" w:space="0"/>
              <w:right w:val="single" w:color="auto" w:sz="4" w:space="0"/>
            </w:tcBorders>
            <w:vAlign w:val="center"/>
          </w:tcPr>
          <w:p w14:paraId="03CEE5F8">
            <w:pPr>
              <w:keepNext w:val="0"/>
              <w:keepLines w:val="0"/>
              <w:pageBreakBefore w:val="0"/>
              <w:kinsoku/>
              <w:wordWrap/>
              <w:overflowPunct/>
              <w:topLinePunct w:val="0"/>
              <w:autoSpaceDE w:val="0"/>
              <w:autoSpaceDN w:val="0"/>
              <w:bidi w:val="0"/>
              <w:adjustRightInd/>
              <w:snapToGrid/>
              <w:spacing w:line="560" w:lineRule="exact"/>
              <w:textAlignment w:val="bottom"/>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本项目不接受备份投标文件。</w:t>
            </w:r>
          </w:p>
        </w:tc>
      </w:tr>
      <w:tr w14:paraId="3666B4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993" w:type="dxa"/>
            <w:vMerge w:val="restart"/>
            <w:tcBorders>
              <w:top w:val="single" w:color="auto" w:sz="4" w:space="0"/>
              <w:left w:val="single" w:color="auto" w:sz="4" w:space="0"/>
              <w:bottom w:val="nil"/>
              <w:right w:val="single" w:color="auto" w:sz="4" w:space="0"/>
            </w:tcBorders>
            <w:vAlign w:val="center"/>
          </w:tcPr>
          <w:p w14:paraId="55B0A770">
            <w:pPr>
              <w:keepNext w:val="0"/>
              <w:keepLines w:val="0"/>
              <w:pageBreakBefore w:val="0"/>
              <w:kinsoku/>
              <w:wordWrap/>
              <w:overflowPunct/>
              <w:topLinePunct w:val="0"/>
              <w:bidi w:val="0"/>
              <w:adjustRightInd/>
              <w:snapToGrid/>
              <w:spacing w:line="560" w:lineRule="exact"/>
              <w:jc w:val="center"/>
              <w:rPr>
                <w:rFonts w:hint="default"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cs="宋体"/>
                <w:color w:val="000000" w:themeColor="text1"/>
                <w:sz w:val="28"/>
                <w:szCs w:val="28"/>
                <w:highlight w:val="none"/>
                <w:lang w:val="en-US" w:eastAsia="zh-CN"/>
                <w14:textFill>
                  <w14:solidFill>
                    <w14:schemeClr w14:val="tx1"/>
                  </w14:solidFill>
                </w14:textFill>
              </w:rPr>
              <w:t>15</w:t>
            </w:r>
          </w:p>
        </w:tc>
        <w:tc>
          <w:tcPr>
            <w:tcW w:w="2239" w:type="dxa"/>
            <w:tcBorders>
              <w:top w:val="single" w:color="auto" w:sz="4" w:space="0"/>
              <w:left w:val="single" w:color="auto" w:sz="4" w:space="0"/>
              <w:bottom w:val="single" w:color="auto" w:sz="4" w:space="0"/>
              <w:right w:val="single" w:color="auto" w:sz="4" w:space="0"/>
            </w:tcBorders>
            <w:vAlign w:val="center"/>
          </w:tcPr>
          <w:p w14:paraId="307536AE">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投标截止时间</w:t>
            </w:r>
          </w:p>
        </w:tc>
        <w:tc>
          <w:tcPr>
            <w:tcW w:w="7297" w:type="dxa"/>
            <w:tcBorders>
              <w:top w:val="single" w:color="auto" w:sz="4" w:space="0"/>
              <w:left w:val="single" w:color="auto" w:sz="4" w:space="0"/>
              <w:bottom w:val="single" w:color="auto" w:sz="4" w:space="0"/>
              <w:right w:val="single" w:color="auto" w:sz="4" w:space="0"/>
            </w:tcBorders>
            <w:vAlign w:val="center"/>
          </w:tcPr>
          <w:p w14:paraId="52289330">
            <w:pPr>
              <w:keepNext w:val="0"/>
              <w:keepLines w:val="0"/>
              <w:pageBreakBefore w:val="0"/>
              <w:kinsoku/>
              <w:wordWrap/>
              <w:overflowPunct/>
              <w:topLinePunct w:val="0"/>
              <w:bidi w:val="0"/>
              <w:adjustRightInd/>
              <w:snapToGrid/>
              <w:spacing w:line="560" w:lineRule="exact"/>
              <w:rPr>
                <w:rFonts w:hint="eastAsia" w:ascii="宋体" w:hAnsi="宋体" w:eastAsia="宋体" w:cs="宋体"/>
                <w:color w:val="000000" w:themeColor="text1"/>
                <w:sz w:val="28"/>
                <w:szCs w:val="28"/>
                <w:highlight w:val="none"/>
                <w:u w:val="singl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详见招标公告</w:t>
            </w:r>
          </w:p>
        </w:tc>
      </w:tr>
      <w:tr w14:paraId="2DCCCD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993" w:type="dxa"/>
            <w:vMerge w:val="continue"/>
            <w:tcBorders>
              <w:top w:val="single" w:color="auto" w:sz="4" w:space="0"/>
              <w:left w:val="single" w:color="auto" w:sz="4" w:space="0"/>
              <w:bottom w:val="nil"/>
              <w:right w:val="single" w:color="auto" w:sz="4" w:space="0"/>
            </w:tcBorders>
            <w:vAlign w:val="center"/>
          </w:tcPr>
          <w:p w14:paraId="0677C04C">
            <w:pPr>
              <w:keepNext w:val="0"/>
              <w:keepLines w:val="0"/>
              <w:pageBreakBefore w:val="0"/>
              <w:widowControl/>
              <w:kinsoku/>
              <w:wordWrap/>
              <w:overflowPunct/>
              <w:topLinePunct w:val="0"/>
              <w:bidi w:val="0"/>
              <w:adjustRightInd/>
              <w:snapToGrid/>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2239" w:type="dxa"/>
            <w:tcBorders>
              <w:top w:val="single" w:color="auto" w:sz="4" w:space="0"/>
              <w:left w:val="single" w:color="auto" w:sz="4" w:space="0"/>
              <w:bottom w:val="single" w:color="auto" w:sz="4" w:space="0"/>
              <w:right w:val="single" w:color="auto" w:sz="4" w:space="0"/>
            </w:tcBorders>
            <w:vAlign w:val="center"/>
          </w:tcPr>
          <w:p w14:paraId="0174E8F1">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投标文件提交起止时间</w:t>
            </w:r>
          </w:p>
        </w:tc>
        <w:tc>
          <w:tcPr>
            <w:tcW w:w="7297" w:type="dxa"/>
            <w:tcBorders>
              <w:top w:val="single" w:color="auto" w:sz="4" w:space="0"/>
              <w:left w:val="single" w:color="auto" w:sz="4" w:space="0"/>
              <w:bottom w:val="single" w:color="auto" w:sz="4" w:space="0"/>
              <w:right w:val="single" w:color="auto" w:sz="4" w:space="0"/>
            </w:tcBorders>
            <w:vAlign w:val="center"/>
          </w:tcPr>
          <w:p w14:paraId="0B28F922">
            <w:pPr>
              <w:keepNext w:val="0"/>
              <w:keepLines w:val="0"/>
              <w:pageBreakBefore w:val="0"/>
              <w:kinsoku/>
              <w:wordWrap/>
              <w:overflowPunct/>
              <w:topLinePunct w:val="0"/>
              <w:bidi w:val="0"/>
              <w:adjustRightInd/>
              <w:snapToGrid/>
              <w:spacing w:line="560" w:lineRule="exac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详见招标公告</w:t>
            </w:r>
          </w:p>
        </w:tc>
      </w:tr>
      <w:tr w14:paraId="08EA34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993" w:type="dxa"/>
            <w:vMerge w:val="continue"/>
            <w:tcBorders>
              <w:top w:val="single" w:color="auto" w:sz="4" w:space="0"/>
              <w:left w:val="single" w:color="auto" w:sz="4" w:space="0"/>
              <w:bottom w:val="nil"/>
              <w:right w:val="single" w:color="auto" w:sz="4" w:space="0"/>
            </w:tcBorders>
            <w:vAlign w:val="center"/>
          </w:tcPr>
          <w:p w14:paraId="4795F65A">
            <w:pPr>
              <w:keepNext w:val="0"/>
              <w:keepLines w:val="0"/>
              <w:pageBreakBefore w:val="0"/>
              <w:widowControl/>
              <w:kinsoku/>
              <w:wordWrap/>
              <w:overflowPunct/>
              <w:topLinePunct w:val="0"/>
              <w:bidi w:val="0"/>
              <w:adjustRightInd/>
              <w:snapToGrid/>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2239" w:type="dxa"/>
            <w:tcBorders>
              <w:top w:val="single" w:color="auto" w:sz="4" w:space="0"/>
              <w:left w:val="single" w:color="auto" w:sz="4" w:space="0"/>
              <w:bottom w:val="single" w:color="auto" w:sz="4" w:space="0"/>
              <w:right w:val="single" w:color="auto" w:sz="4" w:space="0"/>
            </w:tcBorders>
            <w:vAlign w:val="center"/>
          </w:tcPr>
          <w:p w14:paraId="4EADD681">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投标地点</w:t>
            </w:r>
          </w:p>
        </w:tc>
        <w:tc>
          <w:tcPr>
            <w:tcW w:w="7297" w:type="dxa"/>
            <w:tcBorders>
              <w:top w:val="single" w:color="auto" w:sz="4" w:space="0"/>
              <w:left w:val="single" w:color="auto" w:sz="4" w:space="0"/>
              <w:bottom w:val="single" w:color="auto" w:sz="4" w:space="0"/>
              <w:right w:val="single" w:color="auto" w:sz="4" w:space="0"/>
            </w:tcBorders>
            <w:vAlign w:val="center"/>
          </w:tcPr>
          <w:p w14:paraId="10C3A64B">
            <w:pPr>
              <w:keepNext w:val="0"/>
              <w:keepLines w:val="0"/>
              <w:pageBreakBefore w:val="0"/>
              <w:kinsoku/>
              <w:wordWrap/>
              <w:overflowPunct/>
              <w:topLinePunct w:val="0"/>
              <w:bidi w:val="0"/>
              <w:adjustRightInd/>
              <w:snapToGrid/>
              <w:spacing w:line="560" w:lineRule="exac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新疆政府采购网（http://www.ccgp-xinjiang.gov.cn）政采云投标客户端投标</w:t>
            </w:r>
          </w:p>
        </w:tc>
      </w:tr>
      <w:tr w14:paraId="21B409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993" w:type="dxa"/>
            <w:vMerge w:val="continue"/>
            <w:tcBorders>
              <w:top w:val="single" w:color="auto" w:sz="4" w:space="0"/>
              <w:left w:val="single" w:color="auto" w:sz="4" w:space="0"/>
              <w:bottom w:val="nil"/>
              <w:right w:val="single" w:color="auto" w:sz="4" w:space="0"/>
            </w:tcBorders>
            <w:vAlign w:val="center"/>
          </w:tcPr>
          <w:p w14:paraId="03284FEB">
            <w:pPr>
              <w:keepNext w:val="0"/>
              <w:keepLines w:val="0"/>
              <w:pageBreakBefore w:val="0"/>
              <w:widowControl/>
              <w:kinsoku/>
              <w:wordWrap/>
              <w:overflowPunct/>
              <w:topLinePunct w:val="0"/>
              <w:bidi w:val="0"/>
              <w:adjustRightInd/>
              <w:snapToGrid/>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2239" w:type="dxa"/>
            <w:tcBorders>
              <w:top w:val="single" w:color="auto" w:sz="4" w:space="0"/>
              <w:left w:val="single" w:color="auto" w:sz="4" w:space="0"/>
              <w:bottom w:val="single" w:color="auto" w:sz="4" w:space="0"/>
              <w:right w:val="single" w:color="auto" w:sz="4" w:space="0"/>
            </w:tcBorders>
            <w:vAlign w:val="center"/>
          </w:tcPr>
          <w:p w14:paraId="3E3500E1">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lang w:eastAsia="zh-CN"/>
                <w14:textFill>
                  <w14:solidFill>
                    <w14:schemeClr w14:val="tx1"/>
                  </w14:solidFill>
                </w14:textFill>
              </w:rPr>
              <w:t>供应商</w:t>
            </w:r>
            <w:r>
              <w:rPr>
                <w:rFonts w:hint="eastAsia" w:ascii="宋体" w:hAnsi="宋体" w:eastAsia="宋体" w:cs="宋体"/>
                <w:color w:val="000000" w:themeColor="text1"/>
                <w:sz w:val="28"/>
                <w:szCs w:val="28"/>
                <w:highlight w:val="none"/>
                <w14:textFill>
                  <w14:solidFill>
                    <w14:schemeClr w14:val="tx1"/>
                  </w14:solidFill>
                </w14:textFill>
              </w:rPr>
              <w:t>递交投标样品截止时间及地点</w:t>
            </w:r>
          </w:p>
        </w:tc>
        <w:tc>
          <w:tcPr>
            <w:tcW w:w="7297" w:type="dxa"/>
            <w:tcBorders>
              <w:top w:val="single" w:color="auto" w:sz="4" w:space="0"/>
              <w:left w:val="single" w:color="auto" w:sz="4" w:space="0"/>
              <w:bottom w:val="single" w:color="auto" w:sz="4" w:space="0"/>
              <w:right w:val="single" w:color="auto" w:sz="4" w:space="0"/>
            </w:tcBorders>
            <w:vAlign w:val="center"/>
          </w:tcPr>
          <w:p w14:paraId="6ABF8880">
            <w:pPr>
              <w:keepNext w:val="0"/>
              <w:keepLines w:val="0"/>
              <w:pageBreakBefore w:val="0"/>
              <w:kinsoku/>
              <w:wordWrap/>
              <w:overflowPunct/>
              <w:topLinePunct w:val="0"/>
              <w:bidi w:val="0"/>
              <w:adjustRightInd/>
              <w:snapToGrid/>
              <w:spacing w:line="560" w:lineRule="exac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无</w:t>
            </w:r>
          </w:p>
        </w:tc>
      </w:tr>
      <w:tr w14:paraId="333800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81" w:hRule="atLeast"/>
        </w:trPr>
        <w:tc>
          <w:tcPr>
            <w:tcW w:w="993" w:type="dxa"/>
            <w:tcBorders>
              <w:top w:val="single" w:color="auto" w:sz="4" w:space="0"/>
              <w:left w:val="single" w:color="auto" w:sz="4" w:space="0"/>
              <w:bottom w:val="single" w:color="auto" w:sz="4" w:space="0"/>
              <w:right w:val="single" w:color="auto" w:sz="4" w:space="0"/>
            </w:tcBorders>
            <w:vAlign w:val="center"/>
          </w:tcPr>
          <w:p w14:paraId="67C654D3">
            <w:pPr>
              <w:keepNext w:val="0"/>
              <w:keepLines w:val="0"/>
              <w:pageBreakBefore w:val="0"/>
              <w:kinsoku/>
              <w:wordWrap/>
              <w:overflowPunct/>
              <w:topLinePunct w:val="0"/>
              <w:bidi w:val="0"/>
              <w:adjustRightInd/>
              <w:snapToGrid/>
              <w:spacing w:line="560" w:lineRule="exact"/>
              <w:jc w:val="center"/>
              <w:rPr>
                <w:rFonts w:hint="default"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cs="宋体"/>
                <w:color w:val="000000" w:themeColor="text1"/>
                <w:sz w:val="28"/>
                <w:szCs w:val="28"/>
                <w:highlight w:val="none"/>
                <w:lang w:val="en-US" w:eastAsia="zh-CN"/>
                <w14:textFill>
                  <w14:solidFill>
                    <w14:schemeClr w14:val="tx1"/>
                  </w14:solidFill>
                </w14:textFill>
              </w:rPr>
              <w:t>16</w:t>
            </w:r>
          </w:p>
        </w:tc>
        <w:tc>
          <w:tcPr>
            <w:tcW w:w="2239" w:type="dxa"/>
            <w:tcBorders>
              <w:top w:val="single" w:color="auto" w:sz="4" w:space="0"/>
              <w:left w:val="single" w:color="auto" w:sz="4" w:space="0"/>
              <w:bottom w:val="single" w:color="auto" w:sz="4" w:space="0"/>
              <w:right w:val="single" w:color="auto" w:sz="4" w:space="0"/>
            </w:tcBorders>
            <w:vAlign w:val="center"/>
          </w:tcPr>
          <w:p w14:paraId="5DD111FE">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开标时间、地点</w:t>
            </w:r>
          </w:p>
        </w:tc>
        <w:tc>
          <w:tcPr>
            <w:tcW w:w="7297" w:type="dxa"/>
            <w:tcBorders>
              <w:top w:val="single" w:color="auto" w:sz="4" w:space="0"/>
              <w:left w:val="single" w:color="auto" w:sz="4" w:space="0"/>
              <w:bottom w:val="single" w:color="auto" w:sz="4" w:space="0"/>
              <w:right w:val="single" w:color="auto" w:sz="4" w:space="0"/>
            </w:tcBorders>
            <w:vAlign w:val="center"/>
          </w:tcPr>
          <w:p w14:paraId="79FC90CE">
            <w:pPr>
              <w:keepNext w:val="0"/>
              <w:keepLines w:val="0"/>
              <w:pageBreakBefore w:val="0"/>
              <w:kinsoku/>
              <w:wordWrap/>
              <w:overflowPunct/>
              <w:topLinePunct w:val="0"/>
              <w:bidi w:val="0"/>
              <w:adjustRightInd/>
              <w:snapToGrid/>
              <w:spacing w:line="560" w:lineRule="exac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u w:val="single"/>
                <w14:textFill>
                  <w14:solidFill>
                    <w14:schemeClr w14:val="tx1"/>
                  </w14:solidFill>
                </w14:textFill>
              </w:rPr>
              <w:t>202</w:t>
            </w:r>
            <w:r>
              <w:rPr>
                <w:rFonts w:hint="eastAsia" w:ascii="宋体" w:hAnsi="宋体" w:cs="宋体"/>
                <w:b/>
                <w:bCs/>
                <w:color w:val="000000" w:themeColor="text1"/>
                <w:sz w:val="28"/>
                <w:szCs w:val="28"/>
                <w:highlight w:val="none"/>
                <w:u w:val="single"/>
                <w:lang w:val="en-US" w:eastAsia="zh-CN"/>
                <w14:textFill>
                  <w14:solidFill>
                    <w14:schemeClr w14:val="tx1"/>
                  </w14:solidFill>
                </w14:textFill>
              </w:rPr>
              <w:t>5</w:t>
            </w:r>
            <w:r>
              <w:rPr>
                <w:rFonts w:hint="eastAsia" w:ascii="宋体" w:hAnsi="宋体" w:eastAsia="宋体" w:cs="宋体"/>
                <w:b/>
                <w:bCs/>
                <w:color w:val="000000" w:themeColor="text1"/>
                <w:sz w:val="28"/>
                <w:szCs w:val="28"/>
                <w:highlight w:val="none"/>
                <w:u w:val="single"/>
                <w14:textFill>
                  <w14:solidFill>
                    <w14:schemeClr w14:val="tx1"/>
                  </w14:solidFill>
                </w14:textFill>
              </w:rPr>
              <w:t>年</w:t>
            </w:r>
            <w:r>
              <w:rPr>
                <w:rFonts w:hint="eastAsia" w:ascii="宋体" w:hAnsi="宋体" w:cs="宋体"/>
                <w:b/>
                <w:bCs/>
                <w:color w:val="000000" w:themeColor="text1"/>
                <w:sz w:val="28"/>
                <w:szCs w:val="28"/>
                <w:highlight w:val="none"/>
                <w:u w:val="single"/>
                <w:lang w:val="en-US" w:eastAsia="zh-CN"/>
                <w14:textFill>
                  <w14:solidFill>
                    <w14:schemeClr w14:val="tx1"/>
                  </w14:solidFill>
                </w14:textFill>
              </w:rPr>
              <w:t>07</w:t>
            </w:r>
            <w:r>
              <w:rPr>
                <w:rFonts w:hint="eastAsia" w:ascii="宋体" w:hAnsi="宋体" w:eastAsia="宋体" w:cs="宋体"/>
                <w:b/>
                <w:bCs/>
                <w:color w:val="000000" w:themeColor="text1"/>
                <w:sz w:val="28"/>
                <w:szCs w:val="28"/>
                <w:highlight w:val="none"/>
                <w:u w:val="single"/>
                <w14:textFill>
                  <w14:solidFill>
                    <w14:schemeClr w14:val="tx1"/>
                  </w14:solidFill>
                </w14:textFill>
              </w:rPr>
              <w:t>月</w:t>
            </w:r>
            <w:r>
              <w:rPr>
                <w:rFonts w:hint="eastAsia" w:ascii="宋体" w:hAnsi="宋体" w:cs="宋体"/>
                <w:b/>
                <w:bCs/>
                <w:color w:val="000000" w:themeColor="text1"/>
                <w:sz w:val="28"/>
                <w:szCs w:val="28"/>
                <w:highlight w:val="none"/>
                <w:u w:val="single"/>
                <w:lang w:val="en-US" w:eastAsia="zh-CN"/>
                <w14:textFill>
                  <w14:solidFill>
                    <w14:schemeClr w14:val="tx1"/>
                  </w14:solidFill>
                </w14:textFill>
              </w:rPr>
              <w:t>17</w:t>
            </w:r>
            <w:r>
              <w:rPr>
                <w:rFonts w:hint="eastAsia" w:ascii="宋体" w:hAnsi="宋体" w:eastAsia="宋体" w:cs="宋体"/>
                <w:b/>
                <w:bCs/>
                <w:color w:val="000000" w:themeColor="text1"/>
                <w:sz w:val="28"/>
                <w:szCs w:val="28"/>
                <w:highlight w:val="none"/>
                <w:u w:val="single"/>
                <w14:textFill>
                  <w14:solidFill>
                    <w14:schemeClr w14:val="tx1"/>
                  </w14:solidFill>
                </w14:textFill>
              </w:rPr>
              <w:t>日1</w:t>
            </w:r>
            <w:r>
              <w:rPr>
                <w:rFonts w:hint="eastAsia" w:ascii="宋体" w:hAnsi="宋体" w:cs="宋体"/>
                <w:b/>
                <w:bCs/>
                <w:color w:val="000000" w:themeColor="text1"/>
                <w:sz w:val="28"/>
                <w:szCs w:val="28"/>
                <w:highlight w:val="none"/>
                <w:u w:val="single"/>
                <w:lang w:val="en-US" w:eastAsia="zh-CN"/>
                <w14:textFill>
                  <w14:solidFill>
                    <w14:schemeClr w14:val="tx1"/>
                  </w14:solidFill>
                </w14:textFill>
              </w:rPr>
              <w:t>1</w:t>
            </w:r>
            <w:r>
              <w:rPr>
                <w:rFonts w:hint="eastAsia" w:ascii="宋体" w:hAnsi="宋体" w:eastAsia="宋体" w:cs="宋体"/>
                <w:b/>
                <w:bCs/>
                <w:color w:val="000000" w:themeColor="text1"/>
                <w:sz w:val="28"/>
                <w:szCs w:val="28"/>
                <w:highlight w:val="none"/>
                <w:u w:val="single"/>
                <w14:textFill>
                  <w14:solidFill>
                    <w14:schemeClr w14:val="tx1"/>
                  </w14:solidFill>
                </w14:textFill>
              </w:rPr>
              <w:t>点00分</w:t>
            </w:r>
            <w:r>
              <w:rPr>
                <w:rFonts w:hint="eastAsia" w:ascii="宋体" w:hAnsi="宋体" w:eastAsia="宋体" w:cs="宋体"/>
                <w:color w:val="000000" w:themeColor="text1"/>
                <w:sz w:val="28"/>
                <w:szCs w:val="28"/>
                <w:highlight w:val="none"/>
                <w14:textFill>
                  <w14:solidFill>
                    <w14:schemeClr w14:val="tx1"/>
                  </w14:solidFill>
                </w14:textFill>
              </w:rPr>
              <w:t>（北京时间）</w:t>
            </w:r>
          </w:p>
          <w:p w14:paraId="116FB73D">
            <w:pPr>
              <w:keepNext w:val="0"/>
              <w:keepLines w:val="0"/>
              <w:pageBreakBefore w:val="0"/>
              <w:kinsoku/>
              <w:wordWrap/>
              <w:overflowPunct/>
              <w:topLinePunct w:val="0"/>
              <w:bidi w:val="0"/>
              <w:adjustRightInd/>
              <w:snapToGrid/>
              <w:spacing w:line="560" w:lineRule="exac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新疆政府采购网（http://www.ccgp-xinjiang.gov.cn）政采云平台</w:t>
            </w:r>
          </w:p>
        </w:tc>
      </w:tr>
      <w:tr w14:paraId="63CBAC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8" w:hRule="atLeast"/>
        </w:trPr>
        <w:tc>
          <w:tcPr>
            <w:tcW w:w="993" w:type="dxa"/>
            <w:vMerge w:val="restart"/>
            <w:tcBorders>
              <w:top w:val="single" w:color="auto" w:sz="4" w:space="0"/>
              <w:left w:val="single" w:color="auto" w:sz="4" w:space="0"/>
              <w:bottom w:val="single" w:color="auto" w:sz="4" w:space="0"/>
              <w:right w:val="single" w:color="auto" w:sz="4" w:space="0"/>
            </w:tcBorders>
            <w:vAlign w:val="center"/>
          </w:tcPr>
          <w:p w14:paraId="38490E51">
            <w:pPr>
              <w:keepNext w:val="0"/>
              <w:keepLines w:val="0"/>
              <w:pageBreakBefore w:val="0"/>
              <w:kinsoku/>
              <w:wordWrap/>
              <w:overflowPunct/>
              <w:topLinePunct w:val="0"/>
              <w:bidi w:val="0"/>
              <w:adjustRightInd/>
              <w:snapToGrid/>
              <w:spacing w:line="560" w:lineRule="exact"/>
              <w:jc w:val="center"/>
              <w:rPr>
                <w:rFonts w:hint="default"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cs="宋体"/>
                <w:color w:val="000000" w:themeColor="text1"/>
                <w:sz w:val="28"/>
                <w:szCs w:val="28"/>
                <w:highlight w:val="none"/>
                <w:lang w:val="en-US" w:eastAsia="zh-CN"/>
                <w14:textFill>
                  <w14:solidFill>
                    <w14:schemeClr w14:val="tx1"/>
                  </w14:solidFill>
                </w14:textFill>
              </w:rPr>
              <w:t>17</w:t>
            </w:r>
          </w:p>
        </w:tc>
        <w:tc>
          <w:tcPr>
            <w:tcW w:w="2239" w:type="dxa"/>
            <w:tcBorders>
              <w:top w:val="single" w:color="auto" w:sz="4" w:space="0"/>
              <w:left w:val="single" w:color="auto" w:sz="4" w:space="0"/>
              <w:bottom w:val="single" w:color="auto" w:sz="4" w:space="0"/>
              <w:right w:val="single" w:color="auto" w:sz="4" w:space="0"/>
            </w:tcBorders>
            <w:vAlign w:val="center"/>
          </w:tcPr>
          <w:p w14:paraId="678AB262">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lang w:eastAsia="zh-CN"/>
                <w14:textFill>
                  <w14:solidFill>
                    <w14:schemeClr w14:val="tx1"/>
                  </w14:solidFill>
                </w14:textFill>
              </w:rPr>
              <w:t>供应商</w:t>
            </w:r>
            <w:r>
              <w:rPr>
                <w:rFonts w:hint="eastAsia" w:ascii="宋体" w:hAnsi="宋体" w:eastAsia="宋体" w:cs="宋体"/>
                <w:color w:val="000000" w:themeColor="text1"/>
                <w:sz w:val="28"/>
                <w:szCs w:val="28"/>
                <w:highlight w:val="none"/>
                <w14:textFill>
                  <w14:solidFill>
                    <w14:schemeClr w14:val="tx1"/>
                  </w14:solidFill>
                </w14:textFill>
              </w:rPr>
              <w:t>信用查询渠道</w:t>
            </w:r>
          </w:p>
        </w:tc>
        <w:tc>
          <w:tcPr>
            <w:tcW w:w="7297" w:type="dxa"/>
            <w:tcBorders>
              <w:top w:val="single" w:color="auto" w:sz="4" w:space="0"/>
              <w:left w:val="single" w:color="auto" w:sz="4" w:space="0"/>
              <w:bottom w:val="single" w:color="auto" w:sz="4" w:space="0"/>
              <w:right w:val="single" w:color="auto" w:sz="4" w:space="0"/>
            </w:tcBorders>
            <w:vAlign w:val="center"/>
          </w:tcPr>
          <w:p w14:paraId="2B19D6C6">
            <w:pPr>
              <w:keepNext w:val="0"/>
              <w:keepLines w:val="0"/>
              <w:pageBreakBefore w:val="0"/>
              <w:kinsoku/>
              <w:wordWrap/>
              <w:overflowPunct/>
              <w:topLinePunct w:val="0"/>
              <w:bidi w:val="0"/>
              <w:adjustRightInd/>
              <w:snapToGrid/>
              <w:spacing w:line="560" w:lineRule="exac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查询渠道：“信用中国”网站(www.creditchina.gov.cn) 、中国政府采购网(www.ccgp.gov.cn)。</w:t>
            </w:r>
          </w:p>
        </w:tc>
      </w:tr>
      <w:tr w14:paraId="4844BA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993" w:type="dxa"/>
            <w:vMerge w:val="continue"/>
            <w:tcBorders>
              <w:top w:val="single" w:color="auto" w:sz="4" w:space="0"/>
              <w:left w:val="single" w:color="auto" w:sz="4" w:space="0"/>
              <w:bottom w:val="single" w:color="auto" w:sz="4" w:space="0"/>
              <w:right w:val="single" w:color="auto" w:sz="4" w:space="0"/>
            </w:tcBorders>
            <w:vAlign w:val="center"/>
          </w:tcPr>
          <w:p w14:paraId="617B3AB3">
            <w:pPr>
              <w:keepNext w:val="0"/>
              <w:keepLines w:val="0"/>
              <w:pageBreakBefore w:val="0"/>
              <w:widowControl/>
              <w:kinsoku/>
              <w:wordWrap/>
              <w:overflowPunct/>
              <w:topLinePunct w:val="0"/>
              <w:bidi w:val="0"/>
              <w:adjustRightInd/>
              <w:snapToGrid/>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2239" w:type="dxa"/>
            <w:tcBorders>
              <w:top w:val="single" w:color="auto" w:sz="4" w:space="0"/>
              <w:left w:val="single" w:color="auto" w:sz="4" w:space="0"/>
              <w:bottom w:val="single" w:color="auto" w:sz="4" w:space="0"/>
              <w:right w:val="single" w:color="auto" w:sz="4" w:space="0"/>
            </w:tcBorders>
            <w:vAlign w:val="center"/>
          </w:tcPr>
          <w:p w14:paraId="4ED82F51">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信用信息</w:t>
            </w:r>
          </w:p>
          <w:p w14:paraId="7848736A">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使用规则</w:t>
            </w:r>
          </w:p>
        </w:tc>
        <w:tc>
          <w:tcPr>
            <w:tcW w:w="7297" w:type="dxa"/>
            <w:tcBorders>
              <w:top w:val="single" w:color="auto" w:sz="4" w:space="0"/>
              <w:left w:val="single" w:color="auto" w:sz="4" w:space="0"/>
              <w:bottom w:val="single" w:color="auto" w:sz="4" w:space="0"/>
              <w:right w:val="single" w:color="auto" w:sz="4" w:space="0"/>
            </w:tcBorders>
            <w:vAlign w:val="center"/>
          </w:tcPr>
          <w:p w14:paraId="4E5014C7">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lang w:val="en-US" w:eastAsia="zh-CN"/>
                <w14:textFill>
                  <w14:solidFill>
                    <w14:schemeClr w14:val="tx1"/>
                  </w14:solidFill>
                </w14:textFill>
              </w:rPr>
              <w:t>1</w:t>
            </w:r>
            <w:r>
              <w:rPr>
                <w:rFonts w:hint="eastAsia" w:ascii="宋体" w:hAnsi="宋体" w:eastAsia="宋体" w:cs="宋体"/>
                <w:color w:val="000000" w:themeColor="text1"/>
                <w:sz w:val="28"/>
                <w:szCs w:val="28"/>
                <w:highlight w:val="none"/>
                <w14:textFill>
                  <w14:solidFill>
                    <w14:schemeClr w14:val="tx1"/>
                  </w14:solidFill>
                </w14:textFill>
              </w:rPr>
              <w:t>、根据《关于在政府采购活动中查询及使用信用记录有关问题的通知》(财库(2016)125号)的规定，对被列入“失信被执行人”“重大税收违法失信主体”的供应商，拒绝参与本项目政府采购活动。</w:t>
            </w:r>
          </w:p>
          <w:p w14:paraId="6365FEF4">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lang w:val="en-US" w:eastAsia="zh-CN"/>
                <w14:textFill>
                  <w14:solidFill>
                    <w14:schemeClr w14:val="tx1"/>
                  </w14:solidFill>
                </w14:textFill>
              </w:rPr>
              <w:t>2</w:t>
            </w:r>
            <w:r>
              <w:rPr>
                <w:rFonts w:hint="eastAsia" w:ascii="宋体" w:hAnsi="宋体" w:eastAsia="宋体" w:cs="宋体"/>
                <w:color w:val="000000" w:themeColor="text1"/>
                <w:sz w:val="28"/>
                <w:szCs w:val="28"/>
                <w:highlight w:val="none"/>
                <w14:textFill>
                  <w14:solidFill>
                    <w14:schemeClr w14:val="tx1"/>
                  </w14:solidFill>
                </w14:textFill>
              </w:rPr>
              <w:t>、两个以上的自然人、法人或者其他组织组成一个联合体，以一个供应商的身份共同参加政府采购活动的，将对所有联合体成员进行信用记录查询，联合体成员存在不良信用记录的，视同联合体存在不良信用记录</w:t>
            </w:r>
          </w:p>
          <w:p w14:paraId="3488783E">
            <w:pPr>
              <w:keepNext w:val="0"/>
              <w:keepLines w:val="0"/>
              <w:pageBreakBefore w:val="0"/>
              <w:kinsoku/>
              <w:wordWrap/>
              <w:overflowPunct/>
              <w:topLinePunct w:val="0"/>
              <w:bidi w:val="0"/>
              <w:adjustRightInd/>
              <w:snapToGrid/>
              <w:spacing w:line="560" w:lineRule="exac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lang w:val="en-US" w:eastAsia="zh-CN"/>
                <w14:textFill>
                  <w14:solidFill>
                    <w14:schemeClr w14:val="tx1"/>
                  </w14:solidFill>
                </w14:textFill>
              </w:rPr>
              <w:t>3</w:t>
            </w:r>
            <w:r>
              <w:rPr>
                <w:rFonts w:hint="eastAsia" w:ascii="宋体" w:hAnsi="宋体" w:eastAsia="宋体" w:cs="宋体"/>
                <w:color w:val="000000" w:themeColor="text1"/>
                <w:sz w:val="28"/>
                <w:szCs w:val="28"/>
                <w:highlight w:val="none"/>
                <w14:textFill>
                  <w14:solidFill>
                    <w14:schemeClr w14:val="tx1"/>
                  </w14:solidFill>
                </w14:textFill>
              </w:rPr>
              <w:t>、供应商存在不良信用记录的，其响应将按无效处理</w:t>
            </w:r>
            <w:r>
              <w:rPr>
                <w:rFonts w:hint="eastAsia" w:ascii="宋体" w:hAnsi="宋体" w:cs="宋体"/>
                <w:color w:val="000000" w:themeColor="text1"/>
                <w:sz w:val="28"/>
                <w:szCs w:val="28"/>
                <w:highlight w:val="none"/>
                <w:lang w:eastAsia="zh-CN"/>
                <w14:textFill>
                  <w14:solidFill>
                    <w14:schemeClr w14:val="tx1"/>
                  </w14:solidFill>
                </w14:textFill>
              </w:rPr>
              <w:t>。</w:t>
            </w:r>
          </w:p>
        </w:tc>
      </w:tr>
      <w:tr w14:paraId="1D4AAC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14:paraId="49C41765">
            <w:pPr>
              <w:keepNext w:val="0"/>
              <w:keepLines w:val="0"/>
              <w:pageBreakBefore w:val="0"/>
              <w:kinsoku/>
              <w:wordWrap/>
              <w:overflowPunct/>
              <w:topLinePunct w:val="0"/>
              <w:bidi w:val="0"/>
              <w:adjustRightInd/>
              <w:snapToGrid/>
              <w:spacing w:line="560" w:lineRule="exact"/>
              <w:jc w:val="center"/>
              <w:rPr>
                <w:rFonts w:hint="default"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cs="宋体"/>
                <w:color w:val="000000" w:themeColor="text1"/>
                <w:sz w:val="28"/>
                <w:szCs w:val="28"/>
                <w:highlight w:val="none"/>
                <w:lang w:val="en-US" w:eastAsia="zh-CN"/>
                <w14:textFill>
                  <w14:solidFill>
                    <w14:schemeClr w14:val="tx1"/>
                  </w14:solidFill>
                </w14:textFill>
              </w:rPr>
              <w:t>18</w:t>
            </w:r>
          </w:p>
        </w:tc>
        <w:tc>
          <w:tcPr>
            <w:tcW w:w="2239" w:type="dxa"/>
            <w:tcBorders>
              <w:top w:val="single" w:color="auto" w:sz="4" w:space="0"/>
              <w:left w:val="single" w:color="auto" w:sz="4" w:space="0"/>
              <w:bottom w:val="single" w:color="auto" w:sz="4" w:space="0"/>
              <w:right w:val="single" w:color="auto" w:sz="4" w:space="0"/>
            </w:tcBorders>
            <w:vAlign w:val="center"/>
          </w:tcPr>
          <w:p w14:paraId="624F95B4">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评标方法</w:t>
            </w:r>
          </w:p>
        </w:tc>
        <w:tc>
          <w:tcPr>
            <w:tcW w:w="7297" w:type="dxa"/>
            <w:tcBorders>
              <w:top w:val="single" w:color="auto" w:sz="4" w:space="0"/>
              <w:left w:val="single" w:color="auto" w:sz="4" w:space="0"/>
              <w:bottom w:val="single" w:color="auto" w:sz="4" w:space="0"/>
              <w:right w:val="single" w:color="auto" w:sz="4" w:space="0"/>
            </w:tcBorders>
            <w:vAlign w:val="center"/>
          </w:tcPr>
          <w:p w14:paraId="250B1631">
            <w:pPr>
              <w:keepNext w:val="0"/>
              <w:keepLines w:val="0"/>
              <w:pageBreakBefore w:val="0"/>
              <w:kinsoku/>
              <w:wordWrap/>
              <w:overflowPunct/>
              <w:topLinePunct w:val="0"/>
              <w:autoSpaceDE w:val="0"/>
              <w:autoSpaceDN w:val="0"/>
              <w:bidi w:val="0"/>
              <w:adjustRightInd/>
              <w:snapToGrid/>
              <w:spacing w:line="560" w:lineRule="exact"/>
              <w:textAlignment w:val="bottom"/>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综合评分法</w:t>
            </w:r>
          </w:p>
        </w:tc>
      </w:tr>
      <w:tr w14:paraId="494DEF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993" w:type="dxa"/>
            <w:tcBorders>
              <w:top w:val="single" w:color="auto" w:sz="4" w:space="0"/>
              <w:left w:val="single" w:color="auto" w:sz="4" w:space="0"/>
              <w:bottom w:val="single" w:color="auto" w:sz="4" w:space="0"/>
              <w:right w:val="single" w:color="auto" w:sz="4" w:space="0"/>
            </w:tcBorders>
            <w:vAlign w:val="center"/>
          </w:tcPr>
          <w:p w14:paraId="40D27D48">
            <w:pPr>
              <w:keepNext w:val="0"/>
              <w:keepLines w:val="0"/>
              <w:pageBreakBefore w:val="0"/>
              <w:kinsoku/>
              <w:wordWrap/>
              <w:overflowPunct/>
              <w:topLinePunct w:val="0"/>
              <w:bidi w:val="0"/>
              <w:adjustRightInd/>
              <w:snapToGrid/>
              <w:spacing w:line="560" w:lineRule="exact"/>
              <w:jc w:val="center"/>
              <w:rPr>
                <w:rFonts w:hint="default"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cs="宋体"/>
                <w:color w:val="000000" w:themeColor="text1"/>
                <w:sz w:val="28"/>
                <w:szCs w:val="28"/>
                <w:highlight w:val="none"/>
                <w:lang w:val="en-US" w:eastAsia="zh-CN"/>
                <w14:textFill>
                  <w14:solidFill>
                    <w14:schemeClr w14:val="tx1"/>
                  </w14:solidFill>
                </w14:textFill>
              </w:rPr>
              <w:t>19</w:t>
            </w:r>
          </w:p>
        </w:tc>
        <w:tc>
          <w:tcPr>
            <w:tcW w:w="2239" w:type="dxa"/>
            <w:tcBorders>
              <w:top w:val="single" w:color="auto" w:sz="4" w:space="0"/>
              <w:left w:val="single" w:color="auto" w:sz="4" w:space="0"/>
              <w:bottom w:val="single" w:color="auto" w:sz="4" w:space="0"/>
              <w:right w:val="single" w:color="auto" w:sz="4" w:space="0"/>
            </w:tcBorders>
            <w:vAlign w:val="center"/>
          </w:tcPr>
          <w:p w14:paraId="34129532">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t>允许负偏离项</w:t>
            </w:r>
          </w:p>
        </w:tc>
        <w:tc>
          <w:tcPr>
            <w:tcW w:w="7297" w:type="dxa"/>
            <w:tcBorders>
              <w:top w:val="single" w:color="auto" w:sz="4" w:space="0"/>
              <w:left w:val="single" w:color="auto" w:sz="4" w:space="0"/>
              <w:bottom w:val="single" w:color="auto" w:sz="4" w:space="0"/>
              <w:right w:val="single" w:color="auto" w:sz="4" w:space="0"/>
            </w:tcBorders>
            <w:vAlign w:val="center"/>
          </w:tcPr>
          <w:p w14:paraId="202E7D14">
            <w:pPr>
              <w:keepNext w:val="0"/>
              <w:keepLines w:val="0"/>
              <w:pageBreakBefore w:val="0"/>
              <w:kinsoku/>
              <w:wordWrap/>
              <w:overflowPunct/>
              <w:topLinePunct w:val="0"/>
              <w:bidi w:val="0"/>
              <w:adjustRightInd/>
              <w:snapToGrid/>
              <w:spacing w:line="560" w:lineRule="exact"/>
              <w:rPr>
                <w:rFonts w:hint="default" w:ascii="宋体" w:hAnsi="宋体" w:eastAsia="宋体" w:cs="宋体"/>
                <w:b/>
                <w:bCs/>
                <w:color w:val="000000" w:themeColor="text1"/>
                <w:sz w:val="28"/>
                <w:szCs w:val="28"/>
                <w:highlight w:val="none"/>
                <w:lang w:val="en-US" w:eastAsia="zh-CN"/>
                <w14:textFill>
                  <w14:solidFill>
                    <w14:schemeClr w14:val="tx1"/>
                  </w14:solidFill>
                </w14:textFill>
              </w:rPr>
            </w:pPr>
            <w:r>
              <w:rPr>
                <w:rFonts w:hint="eastAsia" w:ascii="宋体" w:hAnsi="宋体" w:cs="宋体"/>
                <w:b/>
                <w:bCs/>
                <w:color w:val="000000" w:themeColor="text1"/>
                <w:sz w:val="28"/>
                <w:szCs w:val="28"/>
                <w:highlight w:val="none"/>
                <w:shd w:val="clear"/>
                <w:lang w:eastAsia="zh-CN"/>
                <w14:textFill>
                  <w14:solidFill>
                    <w14:schemeClr w14:val="tx1"/>
                  </w14:solidFill>
                </w14:textFill>
              </w:rPr>
              <w:t>本项目技术参数允许偏离，商务条款不允许偏离</w:t>
            </w:r>
          </w:p>
        </w:tc>
      </w:tr>
      <w:tr w14:paraId="625594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14:paraId="5412EE58">
            <w:pPr>
              <w:keepNext w:val="0"/>
              <w:keepLines w:val="0"/>
              <w:pageBreakBefore w:val="0"/>
              <w:kinsoku/>
              <w:wordWrap/>
              <w:overflowPunct/>
              <w:topLinePunct w:val="0"/>
              <w:bidi w:val="0"/>
              <w:adjustRightInd/>
              <w:snapToGrid/>
              <w:spacing w:line="560" w:lineRule="exact"/>
              <w:jc w:val="center"/>
              <w:rPr>
                <w:rFonts w:hint="default"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cs="宋体"/>
                <w:color w:val="000000" w:themeColor="text1"/>
                <w:sz w:val="28"/>
                <w:szCs w:val="28"/>
                <w:highlight w:val="none"/>
                <w:lang w:val="en-US" w:eastAsia="zh-CN"/>
                <w14:textFill>
                  <w14:solidFill>
                    <w14:schemeClr w14:val="tx1"/>
                  </w14:solidFill>
                </w14:textFill>
              </w:rPr>
              <w:t>20</w:t>
            </w:r>
          </w:p>
        </w:tc>
        <w:tc>
          <w:tcPr>
            <w:tcW w:w="2239" w:type="dxa"/>
            <w:tcBorders>
              <w:top w:val="single" w:color="auto" w:sz="4" w:space="0"/>
              <w:left w:val="single" w:color="auto" w:sz="4" w:space="0"/>
              <w:bottom w:val="single" w:color="auto" w:sz="4" w:space="0"/>
              <w:right w:val="single" w:color="auto" w:sz="4" w:space="0"/>
            </w:tcBorders>
            <w:vAlign w:val="center"/>
          </w:tcPr>
          <w:p w14:paraId="3B1B72C6">
            <w:pPr>
              <w:keepNext w:val="0"/>
              <w:keepLines w:val="0"/>
              <w:pageBreakBefore w:val="0"/>
              <w:kinsoku/>
              <w:wordWrap/>
              <w:overflowPunct/>
              <w:topLinePunct w:val="0"/>
              <w:autoSpaceDE w:val="0"/>
              <w:autoSpaceDN w:val="0"/>
              <w:bidi w:val="0"/>
              <w:adjustRightInd/>
              <w:snapToGrid/>
              <w:spacing w:line="560" w:lineRule="exact"/>
              <w:jc w:val="center"/>
              <w:textAlignment w:val="bottom"/>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确定中标人时，出现中标候选人分数并列的情形，确定中标人方式</w:t>
            </w:r>
          </w:p>
        </w:tc>
        <w:tc>
          <w:tcPr>
            <w:tcW w:w="7297" w:type="dxa"/>
            <w:tcBorders>
              <w:top w:val="single" w:color="auto" w:sz="4" w:space="0"/>
              <w:left w:val="single" w:color="auto" w:sz="4" w:space="0"/>
              <w:bottom w:val="single" w:color="auto" w:sz="4" w:space="0"/>
              <w:right w:val="single" w:color="auto" w:sz="4" w:space="0"/>
            </w:tcBorders>
            <w:vAlign w:val="center"/>
          </w:tcPr>
          <w:p w14:paraId="1E207DDD">
            <w:pPr>
              <w:keepNext w:val="0"/>
              <w:keepLines w:val="0"/>
              <w:pageBreakBefore w:val="0"/>
              <w:kinsoku/>
              <w:wordWrap/>
              <w:overflowPunct/>
              <w:topLinePunct w:val="0"/>
              <w:autoSpaceDE w:val="0"/>
              <w:autoSpaceDN w:val="0"/>
              <w:bidi w:val="0"/>
              <w:adjustRightInd/>
              <w:snapToGrid/>
              <w:spacing w:line="560" w:lineRule="exact"/>
              <w:textAlignment w:val="bottom"/>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采用综合评分法的，按综合得分由高到低顺序排列。若综合得分相同的，按投标报价由低到高顺序排列。若综合得分且投标报价相同的，货物类采购项目以技术性能得分较高者为先。 </w:t>
            </w:r>
          </w:p>
        </w:tc>
      </w:tr>
      <w:tr w14:paraId="7DCE41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93" w:type="dxa"/>
            <w:tcBorders>
              <w:top w:val="single" w:color="auto" w:sz="4" w:space="0"/>
              <w:left w:val="single" w:color="auto" w:sz="4" w:space="0"/>
              <w:bottom w:val="single" w:color="auto" w:sz="4" w:space="0"/>
              <w:right w:val="single" w:color="auto" w:sz="4" w:space="0"/>
            </w:tcBorders>
            <w:vAlign w:val="center"/>
          </w:tcPr>
          <w:p w14:paraId="73DB03B0">
            <w:pPr>
              <w:keepNext w:val="0"/>
              <w:keepLines w:val="0"/>
              <w:pageBreakBefore w:val="0"/>
              <w:kinsoku/>
              <w:wordWrap/>
              <w:overflowPunct/>
              <w:topLinePunct w:val="0"/>
              <w:bidi w:val="0"/>
              <w:adjustRightInd/>
              <w:snapToGrid/>
              <w:spacing w:line="560" w:lineRule="exact"/>
              <w:jc w:val="center"/>
              <w:rPr>
                <w:rFonts w:hint="default"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cs="宋体"/>
                <w:color w:val="000000" w:themeColor="text1"/>
                <w:sz w:val="28"/>
                <w:szCs w:val="28"/>
                <w:highlight w:val="none"/>
                <w:lang w:val="en-US" w:eastAsia="zh-CN"/>
                <w14:textFill>
                  <w14:solidFill>
                    <w14:schemeClr w14:val="tx1"/>
                  </w14:solidFill>
                </w14:textFill>
              </w:rPr>
              <w:t>21</w:t>
            </w:r>
          </w:p>
        </w:tc>
        <w:tc>
          <w:tcPr>
            <w:tcW w:w="2239" w:type="dxa"/>
            <w:tcBorders>
              <w:top w:val="single" w:color="auto" w:sz="4" w:space="0"/>
              <w:left w:val="single" w:color="auto" w:sz="4" w:space="0"/>
              <w:bottom w:val="single" w:color="auto" w:sz="4" w:space="0"/>
              <w:right w:val="single" w:color="auto" w:sz="4" w:space="0"/>
            </w:tcBorders>
            <w:vAlign w:val="center"/>
          </w:tcPr>
          <w:p w14:paraId="54FAE904">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履约保证金金额</w:t>
            </w:r>
          </w:p>
        </w:tc>
        <w:tc>
          <w:tcPr>
            <w:tcW w:w="7297" w:type="dxa"/>
            <w:tcBorders>
              <w:top w:val="single" w:color="auto" w:sz="4" w:space="0"/>
              <w:left w:val="single" w:color="auto" w:sz="4" w:space="0"/>
              <w:bottom w:val="single" w:color="auto" w:sz="4" w:space="0"/>
              <w:right w:val="single" w:color="auto" w:sz="4" w:space="0"/>
            </w:tcBorders>
            <w:vAlign w:val="bottom"/>
          </w:tcPr>
          <w:p w14:paraId="3B3BCB83">
            <w:pPr>
              <w:keepNext w:val="0"/>
              <w:keepLines w:val="0"/>
              <w:pageBreakBefore w:val="0"/>
              <w:kinsoku/>
              <w:wordWrap/>
              <w:overflowPunct/>
              <w:topLinePunct w:val="0"/>
              <w:autoSpaceDE w:val="0"/>
              <w:autoSpaceDN w:val="0"/>
              <w:bidi w:val="0"/>
              <w:adjustRightInd/>
              <w:snapToGrid/>
              <w:spacing w:line="560" w:lineRule="exact"/>
              <w:jc w:val="left"/>
              <w:textAlignment w:val="bottom"/>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w:t>
            </w:r>
          </w:p>
        </w:tc>
      </w:tr>
      <w:tr w14:paraId="430A1D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14:paraId="12DF4FD5">
            <w:pPr>
              <w:keepNext w:val="0"/>
              <w:keepLines w:val="0"/>
              <w:pageBreakBefore w:val="0"/>
              <w:kinsoku/>
              <w:wordWrap/>
              <w:overflowPunct/>
              <w:topLinePunct w:val="0"/>
              <w:bidi w:val="0"/>
              <w:adjustRightInd/>
              <w:snapToGrid/>
              <w:spacing w:line="560" w:lineRule="exact"/>
              <w:jc w:val="center"/>
              <w:rPr>
                <w:rFonts w:hint="default"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cs="宋体"/>
                <w:color w:val="000000" w:themeColor="text1"/>
                <w:sz w:val="28"/>
                <w:szCs w:val="28"/>
                <w:highlight w:val="none"/>
                <w:lang w:val="en-US" w:eastAsia="zh-CN"/>
                <w14:textFill>
                  <w14:solidFill>
                    <w14:schemeClr w14:val="tx1"/>
                  </w14:solidFill>
                </w14:textFill>
              </w:rPr>
              <w:t>22</w:t>
            </w:r>
          </w:p>
        </w:tc>
        <w:tc>
          <w:tcPr>
            <w:tcW w:w="2239" w:type="dxa"/>
            <w:tcBorders>
              <w:top w:val="single" w:color="auto" w:sz="4" w:space="0"/>
              <w:left w:val="single" w:color="auto" w:sz="4" w:space="0"/>
              <w:bottom w:val="single" w:color="auto" w:sz="4" w:space="0"/>
              <w:right w:val="single" w:color="auto" w:sz="4" w:space="0"/>
            </w:tcBorders>
            <w:vAlign w:val="center"/>
          </w:tcPr>
          <w:p w14:paraId="28F35016">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签订电子合同携带的材料</w:t>
            </w:r>
          </w:p>
        </w:tc>
        <w:tc>
          <w:tcPr>
            <w:tcW w:w="7297" w:type="dxa"/>
            <w:tcBorders>
              <w:top w:val="single" w:color="auto" w:sz="4" w:space="0"/>
              <w:left w:val="single" w:color="auto" w:sz="4" w:space="0"/>
              <w:bottom w:val="single" w:color="auto" w:sz="4" w:space="0"/>
              <w:right w:val="single" w:color="auto" w:sz="4" w:space="0"/>
            </w:tcBorders>
            <w:vAlign w:val="center"/>
          </w:tcPr>
          <w:p w14:paraId="1CB305BD">
            <w:pPr>
              <w:keepNext w:val="0"/>
              <w:keepLines w:val="0"/>
              <w:pageBreakBefore w:val="0"/>
              <w:kinsoku/>
              <w:wordWrap/>
              <w:overflowPunct/>
              <w:topLinePunct w:val="0"/>
              <w:autoSpaceDE w:val="0"/>
              <w:autoSpaceDN w:val="0"/>
              <w:bidi w:val="0"/>
              <w:adjustRightInd/>
              <w:snapToGrid/>
              <w:spacing w:line="560" w:lineRule="exact"/>
              <w:textAlignment w:val="bottom"/>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电子采购合同需要供应商通过有效CA证书进行电子签名与签章</w:t>
            </w:r>
          </w:p>
        </w:tc>
      </w:tr>
      <w:tr w14:paraId="35883A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993" w:type="dxa"/>
            <w:vMerge w:val="restart"/>
            <w:tcBorders>
              <w:top w:val="single" w:color="auto" w:sz="4" w:space="0"/>
              <w:left w:val="single" w:color="auto" w:sz="4" w:space="0"/>
              <w:bottom w:val="single" w:color="auto" w:sz="4" w:space="0"/>
              <w:right w:val="single" w:color="auto" w:sz="4" w:space="0"/>
            </w:tcBorders>
            <w:vAlign w:val="center"/>
          </w:tcPr>
          <w:p w14:paraId="6D1A4A8A">
            <w:pPr>
              <w:keepNext w:val="0"/>
              <w:keepLines w:val="0"/>
              <w:pageBreakBefore w:val="0"/>
              <w:kinsoku/>
              <w:wordWrap/>
              <w:overflowPunct/>
              <w:topLinePunct w:val="0"/>
              <w:bidi w:val="0"/>
              <w:adjustRightInd/>
              <w:snapToGrid/>
              <w:spacing w:line="560" w:lineRule="exact"/>
              <w:jc w:val="center"/>
              <w:rPr>
                <w:rFonts w:hint="default"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cs="宋体"/>
                <w:color w:val="000000" w:themeColor="text1"/>
                <w:sz w:val="28"/>
                <w:szCs w:val="28"/>
                <w:highlight w:val="none"/>
                <w:lang w:val="en-US" w:eastAsia="zh-CN"/>
                <w14:textFill>
                  <w14:solidFill>
                    <w14:schemeClr w14:val="tx1"/>
                  </w14:solidFill>
                </w14:textFill>
              </w:rPr>
              <w:t>23</w:t>
            </w:r>
          </w:p>
        </w:tc>
        <w:tc>
          <w:tcPr>
            <w:tcW w:w="2239" w:type="dxa"/>
            <w:tcBorders>
              <w:top w:val="single" w:color="auto" w:sz="4" w:space="0"/>
              <w:left w:val="single" w:color="auto" w:sz="4" w:space="0"/>
              <w:bottom w:val="single" w:color="auto" w:sz="4" w:space="0"/>
              <w:right w:val="single" w:color="auto" w:sz="4" w:space="0"/>
            </w:tcBorders>
            <w:vAlign w:val="center"/>
          </w:tcPr>
          <w:p w14:paraId="619E717C">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接收质疑函方式</w:t>
            </w:r>
          </w:p>
        </w:tc>
        <w:tc>
          <w:tcPr>
            <w:tcW w:w="7297" w:type="dxa"/>
            <w:tcBorders>
              <w:top w:val="single" w:color="auto" w:sz="4" w:space="0"/>
              <w:left w:val="single" w:color="auto" w:sz="4" w:space="0"/>
              <w:bottom w:val="single" w:color="auto" w:sz="4" w:space="0"/>
              <w:right w:val="single" w:color="auto" w:sz="4" w:space="0"/>
            </w:tcBorders>
            <w:vAlign w:val="center"/>
          </w:tcPr>
          <w:p w14:paraId="53B4CCB6">
            <w:pPr>
              <w:keepNext w:val="0"/>
              <w:keepLines w:val="0"/>
              <w:pageBreakBefore w:val="0"/>
              <w:kinsoku/>
              <w:wordWrap/>
              <w:overflowPunct/>
              <w:topLinePunct w:val="0"/>
              <w:bidi w:val="0"/>
              <w:adjustRightInd/>
              <w:snapToGrid/>
              <w:spacing w:line="560" w:lineRule="exac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以书面形式提交</w:t>
            </w:r>
            <w:r>
              <w:rPr>
                <w:rFonts w:hint="eastAsia" w:ascii="宋体" w:hAnsi="宋体" w:cs="宋体"/>
                <w:color w:val="000000" w:themeColor="text1"/>
                <w:sz w:val="28"/>
                <w:szCs w:val="28"/>
                <w:highlight w:val="none"/>
                <w:lang w:eastAsia="zh-CN"/>
                <w14:textFill>
                  <w14:solidFill>
                    <w14:schemeClr w14:val="tx1"/>
                  </w14:solidFill>
                </w14:textFill>
              </w:rPr>
              <w:t>，</w:t>
            </w:r>
            <w:r>
              <w:rPr>
                <w:rFonts w:hint="eastAsia" w:ascii="宋体" w:hAnsi="宋体" w:eastAsia="宋体" w:cs="宋体"/>
                <w:color w:val="000000" w:themeColor="text1"/>
                <w:sz w:val="28"/>
                <w:szCs w:val="28"/>
                <w:highlight w:val="none"/>
                <w14:textFill>
                  <w14:solidFill>
                    <w14:schemeClr w14:val="tx1"/>
                  </w14:solidFill>
                </w14:textFill>
              </w:rPr>
              <w:t>供应商应在法定质疑期内一次性提出所有质疑内容。</w:t>
            </w:r>
          </w:p>
        </w:tc>
      </w:tr>
      <w:tr w14:paraId="738C39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993" w:type="dxa"/>
            <w:vMerge w:val="continue"/>
            <w:tcBorders>
              <w:top w:val="single" w:color="auto" w:sz="4" w:space="0"/>
              <w:left w:val="single" w:color="auto" w:sz="4" w:space="0"/>
              <w:bottom w:val="single" w:color="auto" w:sz="4" w:space="0"/>
              <w:right w:val="single" w:color="auto" w:sz="4" w:space="0"/>
            </w:tcBorders>
            <w:vAlign w:val="center"/>
          </w:tcPr>
          <w:p w14:paraId="14567855">
            <w:pPr>
              <w:keepNext w:val="0"/>
              <w:keepLines w:val="0"/>
              <w:pageBreakBefore w:val="0"/>
              <w:widowControl/>
              <w:kinsoku/>
              <w:wordWrap/>
              <w:overflowPunct/>
              <w:topLinePunct w:val="0"/>
              <w:bidi w:val="0"/>
              <w:adjustRightInd/>
              <w:snapToGrid/>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2239" w:type="dxa"/>
            <w:tcBorders>
              <w:top w:val="single" w:color="auto" w:sz="4" w:space="0"/>
              <w:left w:val="single" w:color="auto" w:sz="4" w:space="0"/>
              <w:bottom w:val="single" w:color="auto" w:sz="4" w:space="0"/>
              <w:right w:val="single" w:color="auto" w:sz="4" w:space="0"/>
            </w:tcBorders>
            <w:vAlign w:val="center"/>
          </w:tcPr>
          <w:p w14:paraId="0A2442AA">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质疑联系部门及联系方式</w:t>
            </w:r>
          </w:p>
        </w:tc>
        <w:tc>
          <w:tcPr>
            <w:tcW w:w="7297" w:type="dxa"/>
            <w:tcBorders>
              <w:top w:val="single" w:color="auto" w:sz="4" w:space="0"/>
              <w:left w:val="single" w:color="auto" w:sz="4" w:space="0"/>
              <w:bottom w:val="single" w:color="auto" w:sz="4" w:space="0"/>
              <w:right w:val="single" w:color="auto" w:sz="4" w:space="0"/>
            </w:tcBorders>
            <w:vAlign w:val="center"/>
          </w:tcPr>
          <w:p w14:paraId="0AB489C0">
            <w:pPr>
              <w:keepNext w:val="0"/>
              <w:keepLines w:val="0"/>
              <w:pageBreakBefore w:val="0"/>
              <w:kinsoku/>
              <w:wordWrap/>
              <w:overflowPunct/>
              <w:topLinePunct w:val="0"/>
              <w:bidi w:val="0"/>
              <w:adjustRightInd/>
              <w:snapToGrid/>
              <w:spacing w:line="560" w:lineRule="exac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u w:val="single"/>
                <w14:textFill>
                  <w14:solidFill>
                    <w14:schemeClr w14:val="tx1"/>
                  </w14:solidFill>
                </w14:textFill>
              </w:rPr>
              <w:t>（1）</w:t>
            </w:r>
            <w:r>
              <w:rPr>
                <w:rFonts w:hint="eastAsia" w:ascii="宋体" w:hAnsi="宋体" w:cs="宋体"/>
                <w:color w:val="000000" w:themeColor="text1"/>
                <w:sz w:val="28"/>
                <w:szCs w:val="28"/>
                <w:highlight w:val="none"/>
                <w:u w:val="single"/>
                <w:lang w:eastAsia="zh-CN"/>
                <w14:textFill>
                  <w14:solidFill>
                    <w14:schemeClr w14:val="tx1"/>
                  </w14:solidFill>
                </w14:textFill>
              </w:rPr>
              <w:t>新疆诚誉工程项目管理有限公司</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w:t>
            </w:r>
          </w:p>
          <w:p w14:paraId="6BEAA595">
            <w:pPr>
              <w:keepNext w:val="0"/>
              <w:keepLines w:val="0"/>
              <w:pageBreakBefore w:val="0"/>
              <w:kinsoku/>
              <w:wordWrap/>
              <w:overflowPunct/>
              <w:topLinePunct w:val="0"/>
              <w:bidi w:val="0"/>
              <w:adjustRightInd/>
              <w:snapToGrid/>
              <w:spacing w:line="560" w:lineRule="exact"/>
              <w:rPr>
                <w:rFonts w:hint="default" w:ascii="宋体" w:hAnsi="宋体" w:cs="宋体"/>
                <w:color w:val="000000" w:themeColor="text1"/>
                <w:sz w:val="28"/>
                <w:szCs w:val="28"/>
                <w:highlight w:val="none"/>
                <w:u w:val="single"/>
                <w:lang w:val="en-US" w:eastAsia="zh-CN"/>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联系电话：</w:t>
            </w:r>
            <w:r>
              <w:rPr>
                <w:rFonts w:hint="eastAsia" w:ascii="宋体" w:hAnsi="宋体" w:cs="宋体"/>
                <w:color w:val="000000" w:themeColor="text1"/>
                <w:sz w:val="28"/>
                <w:szCs w:val="28"/>
                <w:highlight w:val="none"/>
                <w:u w:val="single"/>
                <w:lang w:val="en-US" w:eastAsia="zh-CN"/>
                <w14:textFill>
                  <w14:solidFill>
                    <w14:schemeClr w14:val="tx1"/>
                  </w14:solidFill>
                </w14:textFill>
              </w:rPr>
              <w:t>0902-2307055</w:t>
            </w:r>
          </w:p>
          <w:p w14:paraId="199CFB65">
            <w:pPr>
              <w:keepNext w:val="0"/>
              <w:keepLines w:val="0"/>
              <w:pageBreakBefore w:val="0"/>
              <w:kinsoku/>
              <w:wordWrap/>
              <w:overflowPunct/>
              <w:topLinePunct w:val="0"/>
              <w:bidi w:val="0"/>
              <w:adjustRightInd/>
              <w:snapToGrid/>
              <w:spacing w:line="560" w:lineRule="exact"/>
              <w:rPr>
                <w:rFonts w:hint="eastAsia" w:ascii="宋体" w:hAnsi="宋体" w:eastAsia="宋体" w:cs="宋体"/>
                <w:color w:val="000000" w:themeColor="text1"/>
                <w:sz w:val="18"/>
                <w:szCs w:val="18"/>
                <w:highlight w:val="none"/>
                <w:lang w:eastAsia="zh-CN"/>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通讯地址：</w:t>
            </w:r>
            <w:r>
              <w:rPr>
                <w:rFonts w:hint="eastAsia" w:ascii="宋体" w:hAnsi="宋体" w:cs="宋体"/>
                <w:color w:val="000000" w:themeColor="text1"/>
                <w:sz w:val="28"/>
                <w:szCs w:val="28"/>
                <w:highlight w:val="none"/>
                <w:u w:val="single"/>
                <w:lang w:eastAsia="zh-CN"/>
                <w14:textFill>
                  <w14:solidFill>
                    <w14:schemeClr w14:val="tx1"/>
                  </w14:solidFill>
                </w14:textFill>
              </w:rPr>
              <w:t>乌鲁木齐市会展大道599号新疆财富中心C座6楼601室</w:t>
            </w:r>
          </w:p>
          <w:p w14:paraId="73F9FC26">
            <w:pPr>
              <w:keepNext w:val="0"/>
              <w:keepLines w:val="0"/>
              <w:pageBreakBefore w:val="0"/>
              <w:kinsoku/>
              <w:wordWrap/>
              <w:overflowPunct/>
              <w:topLinePunct w:val="0"/>
              <w:bidi w:val="0"/>
              <w:adjustRightInd/>
              <w:snapToGrid/>
              <w:spacing w:line="560" w:lineRule="exac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u w:val="single"/>
                <w14:textFill>
                  <w14:solidFill>
                    <w14:schemeClr w14:val="tx1"/>
                  </w14:solidFill>
                </w14:textFill>
              </w:rPr>
              <w:t>（2）</w:t>
            </w:r>
            <w:r>
              <w:rPr>
                <w:rFonts w:hint="eastAsia" w:ascii="宋体" w:hAnsi="宋体" w:cs="宋体"/>
                <w:color w:val="000000" w:themeColor="text1"/>
                <w:sz w:val="28"/>
                <w:szCs w:val="28"/>
                <w:highlight w:val="none"/>
                <w:u w:val="single"/>
                <w:lang w:eastAsia="zh-CN"/>
                <w14:textFill>
                  <w14:solidFill>
                    <w14:schemeClr w14:val="tx1"/>
                  </w14:solidFill>
                </w14:textFill>
              </w:rPr>
              <w:t xml:space="preserve">哈密市中心医院  </w:t>
            </w:r>
            <w:r>
              <w:rPr>
                <w:rFonts w:hint="eastAsia" w:ascii="宋体" w:hAnsi="宋体" w:eastAsia="宋体" w:cs="宋体"/>
                <w:color w:val="000000" w:themeColor="text1"/>
                <w:sz w:val="28"/>
                <w:szCs w:val="28"/>
                <w:highlight w:val="none"/>
                <w:u w:val="single"/>
                <w:lang w:eastAsia="zh-CN"/>
                <w14:textFill>
                  <w14:solidFill>
                    <w14:schemeClr w14:val="tx1"/>
                  </w14:solidFill>
                </w14:textFill>
              </w:rPr>
              <w:t xml:space="preserve"> </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w:t>
            </w:r>
          </w:p>
          <w:p w14:paraId="4264606E">
            <w:pPr>
              <w:keepNext w:val="0"/>
              <w:keepLines w:val="0"/>
              <w:pageBreakBefore w:val="0"/>
              <w:kinsoku/>
              <w:wordWrap/>
              <w:overflowPunct/>
              <w:topLinePunct w:val="0"/>
              <w:bidi w:val="0"/>
              <w:adjustRightInd/>
              <w:snapToGrid/>
              <w:spacing w:line="560" w:lineRule="exact"/>
              <w:rPr>
                <w:rFonts w:hint="eastAsia" w:ascii="宋体" w:hAnsi="宋体" w:eastAsia="宋体" w:cs="宋体"/>
                <w:color w:val="000000" w:themeColor="text1"/>
                <w:sz w:val="28"/>
                <w:szCs w:val="28"/>
                <w:highlight w:val="none"/>
                <w:lang w:eastAsia="zh-CN"/>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联系电话：</w:t>
            </w:r>
            <w:r>
              <w:rPr>
                <w:rFonts w:hint="eastAsia" w:ascii="宋体" w:hAnsi="宋体" w:eastAsia="宋体" w:cs="宋体"/>
                <w:color w:val="000000" w:themeColor="text1"/>
                <w:sz w:val="28"/>
                <w:szCs w:val="28"/>
                <w:highlight w:val="none"/>
                <w:u w:val="single"/>
                <w14:textFill>
                  <w14:solidFill>
                    <w14:schemeClr w14:val="tx1"/>
                  </w14:solidFill>
                </w14:textFill>
              </w:rPr>
              <w:t>0902-2260357</w:t>
            </w:r>
          </w:p>
          <w:p w14:paraId="60BA1F82">
            <w:pPr>
              <w:keepNext w:val="0"/>
              <w:keepLines w:val="0"/>
              <w:pageBreakBefore w:val="0"/>
              <w:kinsoku/>
              <w:wordWrap/>
              <w:overflowPunct/>
              <w:topLinePunct w:val="0"/>
              <w:bidi w:val="0"/>
              <w:adjustRightInd/>
              <w:snapToGrid/>
              <w:spacing w:line="560" w:lineRule="exact"/>
              <w:rPr>
                <w:rFonts w:hint="eastAsia" w:ascii="宋体" w:hAnsi="宋体" w:eastAsia="宋体" w:cs="宋体"/>
                <w:color w:val="000000" w:themeColor="text1"/>
                <w:sz w:val="28"/>
                <w:szCs w:val="28"/>
                <w:highlight w:val="none"/>
                <w:lang w:eastAsia="zh-CN"/>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通讯地址：</w:t>
            </w:r>
            <w:r>
              <w:rPr>
                <w:rFonts w:hint="eastAsia" w:ascii="宋体" w:hAnsi="宋体" w:cs="宋体"/>
                <w:color w:val="000000" w:themeColor="text1"/>
                <w:sz w:val="28"/>
                <w:szCs w:val="28"/>
                <w:highlight w:val="none"/>
                <w:u w:val="single"/>
                <w:lang w:eastAsia="zh-CN"/>
                <w14:textFill>
                  <w14:solidFill>
                    <w14:schemeClr w14:val="tx1"/>
                  </w14:solidFill>
                </w14:textFill>
              </w:rPr>
              <w:t>哈密市伊州区广场北路18号</w:t>
            </w:r>
          </w:p>
        </w:tc>
      </w:tr>
      <w:tr w14:paraId="265BB2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993" w:type="dxa"/>
            <w:vMerge w:val="continue"/>
            <w:tcBorders>
              <w:top w:val="single" w:color="auto" w:sz="4" w:space="0"/>
              <w:left w:val="single" w:color="auto" w:sz="4" w:space="0"/>
              <w:bottom w:val="single" w:color="auto" w:sz="4" w:space="0"/>
              <w:right w:val="single" w:color="auto" w:sz="4" w:space="0"/>
            </w:tcBorders>
            <w:vAlign w:val="center"/>
          </w:tcPr>
          <w:p w14:paraId="66B807F9">
            <w:pPr>
              <w:keepNext w:val="0"/>
              <w:keepLines w:val="0"/>
              <w:pageBreakBefore w:val="0"/>
              <w:widowControl/>
              <w:kinsoku/>
              <w:wordWrap/>
              <w:overflowPunct/>
              <w:topLinePunct w:val="0"/>
              <w:bidi w:val="0"/>
              <w:adjustRightInd/>
              <w:snapToGrid/>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2239" w:type="dxa"/>
            <w:tcBorders>
              <w:top w:val="single" w:color="auto" w:sz="4" w:space="0"/>
              <w:left w:val="single" w:color="auto" w:sz="4" w:space="0"/>
              <w:bottom w:val="single" w:color="auto" w:sz="4" w:space="0"/>
              <w:right w:val="single" w:color="auto" w:sz="4" w:space="0"/>
            </w:tcBorders>
            <w:vAlign w:val="center"/>
          </w:tcPr>
          <w:p w14:paraId="2530219F">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现场提交质疑办理业务时间</w:t>
            </w:r>
          </w:p>
        </w:tc>
        <w:tc>
          <w:tcPr>
            <w:tcW w:w="7297" w:type="dxa"/>
            <w:tcBorders>
              <w:top w:val="single" w:color="auto" w:sz="4" w:space="0"/>
              <w:left w:val="single" w:color="auto" w:sz="4" w:space="0"/>
              <w:bottom w:val="single" w:color="auto" w:sz="4" w:space="0"/>
              <w:right w:val="single" w:color="auto" w:sz="4" w:space="0"/>
            </w:tcBorders>
            <w:vAlign w:val="center"/>
          </w:tcPr>
          <w:p w14:paraId="140BA9CC">
            <w:pPr>
              <w:keepNext w:val="0"/>
              <w:keepLines w:val="0"/>
              <w:pageBreakBefore w:val="0"/>
              <w:kinsoku/>
              <w:wordWrap/>
              <w:overflowPunct/>
              <w:topLinePunct w:val="0"/>
              <w:bidi w:val="0"/>
              <w:adjustRightInd/>
              <w:snapToGrid/>
              <w:spacing w:line="560" w:lineRule="exac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质疑期内每个工作日</w:t>
            </w:r>
            <w:r>
              <w:rPr>
                <w:rFonts w:hint="eastAsia" w:ascii="宋体" w:hAnsi="宋体" w:eastAsia="宋体" w:cs="宋体"/>
                <w:color w:val="000000" w:themeColor="text1"/>
                <w:sz w:val="28"/>
                <w:szCs w:val="28"/>
                <w:highlight w:val="none"/>
                <w:u w:val="single"/>
                <w14:textFill>
                  <w14:solidFill>
                    <w14:schemeClr w14:val="tx1"/>
                  </w14:solidFill>
                </w14:textFill>
              </w:rPr>
              <w:t>09</w:t>
            </w:r>
            <w:r>
              <w:rPr>
                <w:rFonts w:hint="eastAsia" w:ascii="宋体" w:hAnsi="宋体" w:eastAsia="宋体" w:cs="宋体"/>
                <w:color w:val="000000" w:themeColor="text1"/>
                <w:sz w:val="28"/>
                <w:szCs w:val="28"/>
                <w:highlight w:val="none"/>
                <w14:textFill>
                  <w14:solidFill>
                    <w14:schemeClr w14:val="tx1"/>
                  </w14:solidFill>
                </w14:textFill>
              </w:rPr>
              <w:t>时</w:t>
            </w:r>
            <w:r>
              <w:rPr>
                <w:rFonts w:hint="eastAsia" w:ascii="宋体" w:hAnsi="宋体" w:eastAsia="宋体" w:cs="宋体"/>
                <w:color w:val="000000" w:themeColor="text1"/>
                <w:sz w:val="28"/>
                <w:szCs w:val="28"/>
                <w:highlight w:val="none"/>
                <w:u w:val="single"/>
                <w14:textFill>
                  <w14:solidFill>
                    <w14:schemeClr w14:val="tx1"/>
                  </w14:solidFill>
                </w14:textFill>
              </w:rPr>
              <w:t xml:space="preserve"> 30 </w:t>
            </w:r>
            <w:r>
              <w:rPr>
                <w:rFonts w:hint="eastAsia" w:ascii="宋体" w:hAnsi="宋体" w:eastAsia="宋体" w:cs="宋体"/>
                <w:color w:val="000000" w:themeColor="text1"/>
                <w:sz w:val="28"/>
                <w:szCs w:val="28"/>
                <w:highlight w:val="none"/>
                <w14:textFill>
                  <w14:solidFill>
                    <w14:schemeClr w14:val="tx1"/>
                  </w14:solidFill>
                </w14:textFill>
              </w:rPr>
              <w:t>分到</w:t>
            </w:r>
            <w:r>
              <w:rPr>
                <w:rFonts w:hint="eastAsia" w:ascii="宋体" w:hAnsi="宋体" w:eastAsia="宋体" w:cs="宋体"/>
                <w:color w:val="000000" w:themeColor="text1"/>
                <w:sz w:val="28"/>
                <w:szCs w:val="28"/>
                <w:highlight w:val="none"/>
                <w:u w:val="single"/>
                <w14:textFill>
                  <w14:solidFill>
                    <w14:schemeClr w14:val="tx1"/>
                  </w14:solidFill>
                </w14:textFill>
              </w:rPr>
              <w:t xml:space="preserve"> 13  </w:t>
            </w:r>
            <w:r>
              <w:rPr>
                <w:rFonts w:hint="eastAsia" w:ascii="宋体" w:hAnsi="宋体" w:eastAsia="宋体" w:cs="宋体"/>
                <w:color w:val="000000" w:themeColor="text1"/>
                <w:sz w:val="28"/>
                <w:szCs w:val="28"/>
                <w:highlight w:val="none"/>
                <w14:textFill>
                  <w14:solidFill>
                    <w14:schemeClr w14:val="tx1"/>
                  </w14:solidFill>
                </w14:textFill>
              </w:rPr>
              <w:t>时</w:t>
            </w:r>
            <w:r>
              <w:rPr>
                <w:rFonts w:hint="eastAsia" w:ascii="宋体" w:hAnsi="宋体" w:eastAsia="宋体" w:cs="宋体"/>
                <w:color w:val="000000" w:themeColor="text1"/>
                <w:sz w:val="28"/>
                <w:szCs w:val="28"/>
                <w:highlight w:val="none"/>
                <w:u w:val="single"/>
                <w14:textFill>
                  <w14:solidFill>
                    <w14:schemeClr w14:val="tx1"/>
                  </w14:solidFill>
                </w14:textFill>
              </w:rPr>
              <w:t xml:space="preserve">  30 </w:t>
            </w:r>
            <w:r>
              <w:rPr>
                <w:rFonts w:hint="eastAsia" w:ascii="宋体" w:hAnsi="宋体" w:eastAsia="宋体" w:cs="宋体"/>
                <w:color w:val="000000" w:themeColor="text1"/>
                <w:sz w:val="28"/>
                <w:szCs w:val="28"/>
                <w:highlight w:val="none"/>
                <w14:textFill>
                  <w14:solidFill>
                    <w14:schemeClr w14:val="tx1"/>
                  </w14:solidFill>
                </w14:textFill>
              </w:rPr>
              <w:t>分，</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r>
              <w:rPr>
                <w:rFonts w:hint="eastAsia" w:ascii="宋体" w:hAnsi="宋体" w:cs="宋体"/>
                <w:color w:val="000000" w:themeColor="text1"/>
                <w:sz w:val="28"/>
                <w:szCs w:val="28"/>
                <w:highlight w:val="none"/>
                <w:u w:val="single"/>
                <w:lang w:val="en-US" w:eastAsia="zh-CN"/>
                <w14:textFill>
                  <w14:solidFill>
                    <w14:schemeClr w14:val="tx1"/>
                  </w14:solidFill>
                </w14:textFill>
              </w:rPr>
              <w:t>16</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时</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r>
              <w:rPr>
                <w:rFonts w:hint="eastAsia" w:ascii="宋体" w:hAnsi="宋体" w:cs="宋体"/>
                <w:color w:val="000000" w:themeColor="text1"/>
                <w:sz w:val="28"/>
                <w:szCs w:val="28"/>
                <w:highlight w:val="none"/>
                <w:u w:val="single"/>
                <w:lang w:val="en-US" w:eastAsia="zh-CN"/>
                <w14:textFill>
                  <w14:solidFill>
                    <w14:schemeClr w14:val="tx1"/>
                  </w14:solidFill>
                </w14:textFill>
              </w:rPr>
              <w:t>00</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分到</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r>
              <w:rPr>
                <w:rFonts w:hint="eastAsia" w:ascii="宋体" w:hAnsi="宋体" w:cs="宋体"/>
                <w:color w:val="000000" w:themeColor="text1"/>
                <w:sz w:val="28"/>
                <w:szCs w:val="28"/>
                <w:highlight w:val="none"/>
                <w:u w:val="single"/>
                <w:lang w:val="en-US" w:eastAsia="zh-CN"/>
                <w14:textFill>
                  <w14:solidFill>
                    <w14:schemeClr w14:val="tx1"/>
                  </w14:solidFill>
                </w14:textFill>
              </w:rPr>
              <w:t>20</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时</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r>
              <w:rPr>
                <w:rFonts w:hint="eastAsia" w:ascii="宋体" w:hAnsi="宋体" w:cs="宋体"/>
                <w:color w:val="000000" w:themeColor="text1"/>
                <w:sz w:val="28"/>
                <w:szCs w:val="28"/>
                <w:highlight w:val="none"/>
                <w:u w:val="single"/>
                <w:lang w:val="en-US" w:eastAsia="zh-CN"/>
                <w14:textFill>
                  <w14:solidFill>
                    <w14:schemeClr w14:val="tx1"/>
                  </w14:solidFill>
                </w14:textFill>
              </w:rPr>
              <w:t>00</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分</w:t>
            </w:r>
          </w:p>
        </w:tc>
      </w:tr>
      <w:tr w14:paraId="31B25F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993" w:type="dxa"/>
            <w:tcBorders>
              <w:top w:val="nil"/>
              <w:left w:val="single" w:color="auto" w:sz="4" w:space="0"/>
              <w:bottom w:val="single" w:color="auto" w:sz="4" w:space="0"/>
              <w:right w:val="single" w:color="auto" w:sz="4" w:space="0"/>
            </w:tcBorders>
            <w:vAlign w:val="center"/>
          </w:tcPr>
          <w:p w14:paraId="1D2439CB">
            <w:pPr>
              <w:keepNext w:val="0"/>
              <w:keepLines w:val="0"/>
              <w:pageBreakBefore w:val="0"/>
              <w:kinsoku/>
              <w:wordWrap/>
              <w:overflowPunct/>
              <w:topLinePunct w:val="0"/>
              <w:bidi w:val="0"/>
              <w:adjustRightInd/>
              <w:snapToGrid/>
              <w:spacing w:line="560" w:lineRule="exact"/>
              <w:jc w:val="center"/>
              <w:rPr>
                <w:rFonts w:hint="default"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cs="宋体"/>
                <w:color w:val="000000" w:themeColor="text1"/>
                <w:sz w:val="28"/>
                <w:szCs w:val="28"/>
                <w:highlight w:val="none"/>
                <w:lang w:val="en-US" w:eastAsia="zh-CN"/>
                <w14:textFill>
                  <w14:solidFill>
                    <w14:schemeClr w14:val="tx1"/>
                  </w14:solidFill>
                </w14:textFill>
              </w:rPr>
              <w:t>24</w:t>
            </w:r>
          </w:p>
        </w:tc>
        <w:tc>
          <w:tcPr>
            <w:tcW w:w="2239" w:type="dxa"/>
            <w:tcBorders>
              <w:top w:val="single" w:color="auto" w:sz="4" w:space="0"/>
              <w:left w:val="single" w:color="auto" w:sz="4" w:space="0"/>
              <w:bottom w:val="single" w:color="auto" w:sz="4" w:space="0"/>
              <w:right w:val="single" w:color="auto" w:sz="4" w:space="0"/>
            </w:tcBorders>
            <w:vAlign w:val="center"/>
          </w:tcPr>
          <w:p w14:paraId="357F1484">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投诉受理方式</w:t>
            </w:r>
          </w:p>
        </w:tc>
        <w:tc>
          <w:tcPr>
            <w:tcW w:w="7297" w:type="dxa"/>
            <w:tcBorders>
              <w:top w:val="single" w:color="auto" w:sz="4" w:space="0"/>
              <w:left w:val="single" w:color="auto" w:sz="4" w:space="0"/>
              <w:bottom w:val="single" w:color="auto" w:sz="4" w:space="0"/>
              <w:right w:val="single" w:color="auto" w:sz="4" w:space="0"/>
            </w:tcBorders>
            <w:vAlign w:val="center"/>
          </w:tcPr>
          <w:p w14:paraId="6252085F">
            <w:pPr>
              <w:keepNext w:val="0"/>
              <w:keepLines w:val="0"/>
              <w:pageBreakBefore w:val="0"/>
              <w:kinsoku/>
              <w:wordWrap/>
              <w:overflowPunct/>
              <w:topLinePunct w:val="0"/>
              <w:bidi w:val="0"/>
              <w:adjustRightInd/>
              <w:snapToGrid/>
              <w:spacing w:line="560" w:lineRule="exac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受理方式：纸质方式受理，投诉书正、副本（经过质疑的事项才可投诉）。 </w:t>
            </w:r>
          </w:p>
        </w:tc>
      </w:tr>
      <w:tr w14:paraId="7A8633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42" w:hRule="atLeast"/>
        </w:trPr>
        <w:tc>
          <w:tcPr>
            <w:tcW w:w="993" w:type="dxa"/>
            <w:vMerge w:val="restart"/>
            <w:tcBorders>
              <w:top w:val="single" w:color="auto" w:sz="4" w:space="0"/>
              <w:left w:val="single" w:color="auto" w:sz="4" w:space="0"/>
              <w:bottom w:val="single" w:color="auto" w:sz="4" w:space="0"/>
              <w:right w:val="single" w:color="auto" w:sz="4" w:space="0"/>
            </w:tcBorders>
            <w:vAlign w:val="center"/>
          </w:tcPr>
          <w:p w14:paraId="39831132">
            <w:pPr>
              <w:keepNext w:val="0"/>
              <w:keepLines w:val="0"/>
              <w:pageBreakBefore w:val="0"/>
              <w:kinsoku/>
              <w:wordWrap/>
              <w:overflowPunct/>
              <w:topLinePunct w:val="0"/>
              <w:bidi w:val="0"/>
              <w:adjustRightInd/>
              <w:snapToGrid/>
              <w:spacing w:line="560" w:lineRule="exact"/>
              <w:jc w:val="center"/>
              <w:rPr>
                <w:rFonts w:hint="default"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cs="宋体"/>
                <w:color w:val="000000" w:themeColor="text1"/>
                <w:sz w:val="28"/>
                <w:szCs w:val="28"/>
                <w:highlight w:val="none"/>
                <w:lang w:val="en-US" w:eastAsia="zh-CN"/>
                <w14:textFill>
                  <w14:solidFill>
                    <w14:schemeClr w14:val="tx1"/>
                  </w14:solidFill>
                </w14:textFill>
              </w:rPr>
              <w:t>25</w:t>
            </w:r>
          </w:p>
        </w:tc>
        <w:tc>
          <w:tcPr>
            <w:tcW w:w="2239" w:type="dxa"/>
            <w:tcBorders>
              <w:top w:val="single" w:color="auto" w:sz="4" w:space="0"/>
              <w:left w:val="single" w:color="auto" w:sz="4" w:space="0"/>
              <w:bottom w:val="single" w:color="auto" w:sz="4" w:space="0"/>
              <w:right w:val="single" w:color="auto" w:sz="4" w:space="0"/>
            </w:tcBorders>
            <w:vAlign w:val="center"/>
          </w:tcPr>
          <w:p w14:paraId="7DF63214">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采购代理费支付方式</w:t>
            </w:r>
          </w:p>
        </w:tc>
        <w:tc>
          <w:tcPr>
            <w:tcW w:w="7297" w:type="dxa"/>
            <w:tcBorders>
              <w:top w:val="single" w:color="auto" w:sz="4" w:space="0"/>
              <w:left w:val="single" w:color="auto" w:sz="4" w:space="0"/>
              <w:bottom w:val="single" w:color="auto" w:sz="4" w:space="0"/>
              <w:right w:val="single" w:color="auto" w:sz="4" w:space="0"/>
            </w:tcBorders>
            <w:vAlign w:val="center"/>
          </w:tcPr>
          <w:p w14:paraId="0BD7D66D">
            <w:pPr>
              <w:keepNext w:val="0"/>
              <w:keepLines w:val="0"/>
              <w:pageBreakBefore w:val="0"/>
              <w:kinsoku/>
              <w:wordWrap/>
              <w:overflowPunct/>
              <w:topLinePunct w:val="0"/>
              <w:bidi w:val="0"/>
              <w:adjustRightInd/>
              <w:snapToGrid/>
              <w:spacing w:line="560" w:lineRule="exac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本项目代理费由中标人在领取中标通知书前，一次性向采购代理机构支付。</w:t>
            </w:r>
          </w:p>
        </w:tc>
      </w:tr>
      <w:tr w14:paraId="4DB06A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5" w:hRule="atLeast"/>
        </w:trPr>
        <w:tc>
          <w:tcPr>
            <w:tcW w:w="993" w:type="dxa"/>
            <w:vMerge w:val="continue"/>
            <w:tcBorders>
              <w:top w:val="single" w:color="auto" w:sz="4" w:space="0"/>
              <w:left w:val="single" w:color="auto" w:sz="4" w:space="0"/>
              <w:bottom w:val="single" w:color="auto" w:sz="4" w:space="0"/>
              <w:right w:val="single" w:color="auto" w:sz="4" w:space="0"/>
            </w:tcBorders>
            <w:vAlign w:val="center"/>
          </w:tcPr>
          <w:p w14:paraId="7588CD31">
            <w:pPr>
              <w:keepNext w:val="0"/>
              <w:keepLines w:val="0"/>
              <w:pageBreakBefore w:val="0"/>
              <w:widowControl/>
              <w:kinsoku/>
              <w:wordWrap/>
              <w:overflowPunct/>
              <w:topLinePunct w:val="0"/>
              <w:bidi w:val="0"/>
              <w:adjustRightInd/>
              <w:snapToGrid/>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2239" w:type="dxa"/>
            <w:tcBorders>
              <w:top w:val="single" w:color="auto" w:sz="4" w:space="0"/>
              <w:left w:val="single" w:color="auto" w:sz="4" w:space="0"/>
              <w:bottom w:val="single" w:color="auto" w:sz="4" w:space="0"/>
              <w:right w:val="single" w:color="auto" w:sz="4" w:space="0"/>
            </w:tcBorders>
            <w:vAlign w:val="center"/>
          </w:tcPr>
          <w:p w14:paraId="6E01C7FE">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采购代理费收取</w:t>
            </w:r>
          </w:p>
        </w:tc>
        <w:tc>
          <w:tcPr>
            <w:tcW w:w="7297" w:type="dxa"/>
            <w:tcBorders>
              <w:top w:val="single" w:color="auto" w:sz="4" w:space="0"/>
              <w:left w:val="single" w:color="auto" w:sz="4" w:space="0"/>
              <w:bottom w:val="single" w:color="auto" w:sz="4" w:space="0"/>
              <w:right w:val="single" w:color="auto" w:sz="4" w:space="0"/>
            </w:tcBorders>
            <w:vAlign w:val="center"/>
          </w:tcPr>
          <w:p w14:paraId="2A43BC04">
            <w:pPr>
              <w:keepNext w:val="0"/>
              <w:keepLines w:val="0"/>
              <w:pageBreakBefore w:val="0"/>
              <w:kinsoku/>
              <w:wordWrap/>
              <w:overflowPunct/>
              <w:topLinePunct w:val="0"/>
              <w:bidi w:val="0"/>
              <w:adjustRightInd/>
              <w:snapToGrid/>
              <w:spacing w:line="560" w:lineRule="exact"/>
              <w:rPr>
                <w:rFonts w:hint="eastAsia" w:ascii="宋体" w:hAnsi="宋体" w:eastAsia="宋体" w:cs="宋体"/>
                <w:color w:val="000000" w:themeColor="text1"/>
                <w:sz w:val="28"/>
                <w:szCs w:val="28"/>
                <w:highlight w:val="none"/>
                <w14:textFill>
                  <w14:solidFill>
                    <w14:schemeClr w14:val="tx1"/>
                  </w14:solidFill>
                </w14:textFill>
              </w:rPr>
            </w:pPr>
            <w:r>
              <w:rPr>
                <w:rFonts w:hint="eastAsia"/>
                <w:color w:val="000000" w:themeColor="text1"/>
                <w:kern w:val="2"/>
                <w:sz w:val="28"/>
                <w:szCs w:val="21"/>
                <w:highlight w:val="none"/>
                <w:lang w:val="en-US" w:eastAsia="zh-CN"/>
                <w14:textFill>
                  <w14:solidFill>
                    <w14:schemeClr w14:val="tx1"/>
                  </w14:solidFill>
                </w14:textFill>
              </w:rPr>
              <w:t>参照国家发展改革委员会发改价格〔2015〕299号）文件及《招标代理服务收费管理暂行办法》（计价格〔2002〕1980号）标准</w:t>
            </w:r>
            <w:r>
              <w:rPr>
                <w:rFonts w:hint="eastAsia"/>
                <w:b/>
                <w:color w:val="000000" w:themeColor="text1"/>
                <w:kern w:val="2"/>
                <w:sz w:val="28"/>
                <w:szCs w:val="21"/>
                <w:highlight w:val="none"/>
                <w:u w:val="single"/>
                <w:lang w:val="en-US" w:eastAsia="zh-CN"/>
                <w14:textFill>
                  <w14:solidFill>
                    <w14:schemeClr w14:val="tx1"/>
                  </w14:solidFill>
                </w14:textFill>
              </w:rPr>
              <w:t xml:space="preserve">  下浮55%  </w:t>
            </w:r>
            <w:r>
              <w:rPr>
                <w:rFonts w:hint="eastAsia"/>
                <w:color w:val="000000" w:themeColor="text1"/>
                <w:kern w:val="2"/>
                <w:sz w:val="28"/>
                <w:szCs w:val="21"/>
                <w:highlight w:val="none"/>
                <w:lang w:val="en-US" w:eastAsia="zh-CN"/>
                <w14:textFill>
                  <w14:solidFill>
                    <w14:schemeClr w14:val="tx1"/>
                  </w14:solidFill>
                </w14:textFill>
              </w:rPr>
              <w:t>计取</w:t>
            </w:r>
          </w:p>
        </w:tc>
      </w:tr>
      <w:tr w14:paraId="694CB1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993" w:type="dxa"/>
            <w:vMerge w:val="continue"/>
            <w:tcBorders>
              <w:top w:val="single" w:color="auto" w:sz="4" w:space="0"/>
              <w:left w:val="single" w:color="auto" w:sz="4" w:space="0"/>
              <w:bottom w:val="single" w:color="auto" w:sz="4" w:space="0"/>
              <w:right w:val="single" w:color="auto" w:sz="4" w:space="0"/>
            </w:tcBorders>
            <w:vAlign w:val="center"/>
          </w:tcPr>
          <w:p w14:paraId="57537E16">
            <w:pPr>
              <w:keepNext w:val="0"/>
              <w:keepLines w:val="0"/>
              <w:pageBreakBefore w:val="0"/>
              <w:widowControl/>
              <w:kinsoku/>
              <w:wordWrap/>
              <w:overflowPunct/>
              <w:topLinePunct w:val="0"/>
              <w:bidi w:val="0"/>
              <w:adjustRightInd/>
              <w:snapToGrid/>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2239" w:type="dxa"/>
            <w:tcBorders>
              <w:top w:val="single" w:color="auto" w:sz="4" w:space="0"/>
              <w:left w:val="single" w:color="auto" w:sz="4" w:space="0"/>
              <w:bottom w:val="single" w:color="auto" w:sz="4" w:space="0"/>
              <w:right w:val="single" w:color="auto" w:sz="4" w:space="0"/>
            </w:tcBorders>
            <w:vAlign w:val="center"/>
          </w:tcPr>
          <w:p w14:paraId="2B3B5342">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代理服务费收款账户信息</w:t>
            </w:r>
          </w:p>
        </w:tc>
        <w:tc>
          <w:tcPr>
            <w:tcW w:w="7297" w:type="dxa"/>
            <w:tcBorders>
              <w:top w:val="single" w:color="auto" w:sz="4" w:space="0"/>
              <w:left w:val="single" w:color="auto" w:sz="4" w:space="0"/>
              <w:bottom w:val="single" w:color="auto" w:sz="4" w:space="0"/>
              <w:right w:val="single" w:color="auto" w:sz="4" w:space="0"/>
            </w:tcBorders>
            <w:vAlign w:val="center"/>
          </w:tcPr>
          <w:p w14:paraId="3ADAB38C">
            <w:pPr>
              <w:keepNext w:val="0"/>
              <w:keepLines w:val="0"/>
              <w:pageBreakBefore w:val="0"/>
              <w:kinsoku/>
              <w:wordWrap/>
              <w:overflowPunct/>
              <w:topLinePunct w:val="0"/>
              <w:bidi w:val="0"/>
              <w:adjustRightInd/>
              <w:snapToGrid/>
              <w:spacing w:line="560" w:lineRule="exact"/>
              <w:rPr>
                <w:rFonts w:hint="eastAsia" w:ascii="宋体" w:hAnsi="宋体" w:eastAsia="宋体" w:cs="宋体"/>
                <w:color w:val="000000" w:themeColor="text1"/>
                <w:sz w:val="28"/>
                <w:szCs w:val="28"/>
                <w:highlight w:val="none"/>
                <w:lang w:eastAsia="zh-CN"/>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开户名称：新疆诚誉工程项目管理有限公司哈密分公司</w:t>
            </w:r>
          </w:p>
          <w:p w14:paraId="29F1E7A7">
            <w:pPr>
              <w:keepNext w:val="0"/>
              <w:keepLines w:val="0"/>
              <w:pageBreakBefore w:val="0"/>
              <w:kinsoku/>
              <w:wordWrap/>
              <w:overflowPunct/>
              <w:topLinePunct w:val="0"/>
              <w:bidi w:val="0"/>
              <w:adjustRightInd/>
              <w:snapToGrid/>
              <w:spacing w:line="560" w:lineRule="exac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开户银行：</w:t>
            </w:r>
            <w:r>
              <w:rPr>
                <w:rFonts w:hint="eastAsia" w:ascii="宋体" w:hAnsi="宋体" w:cs="宋体"/>
                <w:color w:val="000000" w:themeColor="text1"/>
                <w:sz w:val="28"/>
                <w:szCs w:val="28"/>
                <w:highlight w:val="none"/>
                <w:lang w:eastAsia="zh-CN"/>
                <w14:textFill>
                  <w14:solidFill>
                    <w14:schemeClr w14:val="tx1"/>
                  </w14:solidFill>
                </w14:textFill>
              </w:rPr>
              <w:t>中国银行股份有限公司哈密市分行</w:t>
            </w:r>
          </w:p>
          <w:p w14:paraId="412EAA73">
            <w:pPr>
              <w:keepNext w:val="0"/>
              <w:keepLines w:val="0"/>
              <w:pageBreakBefore w:val="0"/>
              <w:kinsoku/>
              <w:wordWrap/>
              <w:overflowPunct/>
              <w:topLinePunct w:val="0"/>
              <w:bidi w:val="0"/>
              <w:adjustRightInd/>
              <w:snapToGrid/>
              <w:spacing w:line="560" w:lineRule="exac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银行账号：</w:t>
            </w:r>
            <w:r>
              <w:rPr>
                <w:rFonts w:hint="eastAsia" w:ascii="宋体" w:hAnsi="宋体" w:cs="宋体"/>
                <w:color w:val="000000" w:themeColor="text1"/>
                <w:sz w:val="28"/>
                <w:szCs w:val="28"/>
                <w:highlight w:val="none"/>
                <w:lang w:eastAsia="zh-CN"/>
                <w14:textFill>
                  <w14:solidFill>
                    <w14:schemeClr w14:val="tx1"/>
                  </w14:solidFill>
                </w14:textFill>
              </w:rPr>
              <w:t>107682200924</w:t>
            </w:r>
          </w:p>
        </w:tc>
      </w:tr>
      <w:tr w14:paraId="760DF7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14:paraId="1A787458">
            <w:pPr>
              <w:keepNext w:val="0"/>
              <w:keepLines w:val="0"/>
              <w:pageBreakBefore w:val="0"/>
              <w:kinsoku/>
              <w:wordWrap/>
              <w:overflowPunct/>
              <w:topLinePunct w:val="0"/>
              <w:bidi w:val="0"/>
              <w:adjustRightInd/>
              <w:snapToGrid/>
              <w:spacing w:line="560" w:lineRule="exact"/>
              <w:jc w:val="center"/>
              <w:rPr>
                <w:rFonts w:hint="default"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cs="宋体"/>
                <w:color w:val="000000" w:themeColor="text1"/>
                <w:sz w:val="28"/>
                <w:szCs w:val="28"/>
                <w:highlight w:val="none"/>
                <w:lang w:val="en-US" w:eastAsia="zh-CN"/>
                <w14:textFill>
                  <w14:solidFill>
                    <w14:schemeClr w14:val="tx1"/>
                  </w14:solidFill>
                </w14:textFill>
              </w:rPr>
              <w:t>26</w:t>
            </w:r>
          </w:p>
        </w:tc>
        <w:tc>
          <w:tcPr>
            <w:tcW w:w="2239" w:type="dxa"/>
            <w:tcBorders>
              <w:top w:val="single" w:color="auto" w:sz="4" w:space="0"/>
              <w:left w:val="single" w:color="auto" w:sz="4" w:space="0"/>
              <w:bottom w:val="single" w:color="auto" w:sz="4" w:space="0"/>
              <w:right w:val="single" w:color="auto" w:sz="4" w:space="0"/>
            </w:tcBorders>
            <w:vAlign w:val="center"/>
          </w:tcPr>
          <w:p w14:paraId="418F089E">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t>供货期</w:t>
            </w:r>
          </w:p>
        </w:tc>
        <w:tc>
          <w:tcPr>
            <w:tcW w:w="7297" w:type="dxa"/>
            <w:tcBorders>
              <w:top w:val="single" w:color="auto" w:sz="4" w:space="0"/>
              <w:left w:val="single" w:color="auto" w:sz="4" w:space="0"/>
              <w:bottom w:val="single" w:color="auto" w:sz="4" w:space="0"/>
              <w:right w:val="single" w:color="auto" w:sz="4" w:space="0"/>
            </w:tcBorders>
            <w:vAlign w:val="center"/>
          </w:tcPr>
          <w:p w14:paraId="2CF27301">
            <w:pPr>
              <w:keepNext w:val="0"/>
              <w:keepLines w:val="0"/>
              <w:pageBreakBefore w:val="0"/>
              <w:kinsoku/>
              <w:wordWrap/>
              <w:overflowPunct/>
              <w:topLinePunct w:val="0"/>
              <w:bidi w:val="0"/>
              <w:adjustRightInd/>
              <w:snapToGrid/>
              <w:spacing w:line="560" w:lineRule="exact"/>
              <w:rPr>
                <w:rFonts w:hint="default" w:ascii="宋体" w:hAnsi="宋体" w:eastAsia="宋体" w:cs="宋体"/>
                <w:b/>
                <w:bCs/>
                <w:color w:val="000000" w:themeColor="text1"/>
                <w:sz w:val="28"/>
                <w:szCs w:val="28"/>
                <w:highlight w:val="none"/>
                <w:lang w:val="en-US" w:eastAsia="zh-CN"/>
                <w14:textFill>
                  <w14:solidFill>
                    <w14:schemeClr w14:val="tx1"/>
                  </w14:solidFill>
                </w14:textFill>
              </w:rPr>
            </w:pPr>
            <w:r>
              <w:rPr>
                <w:rFonts w:hint="eastAsia" w:ascii="宋体" w:hAnsi="宋体" w:cs="宋体"/>
                <w:b/>
                <w:bCs/>
                <w:color w:val="000000" w:themeColor="text1"/>
                <w:sz w:val="28"/>
                <w:szCs w:val="28"/>
                <w:highlight w:val="none"/>
                <w:lang w:val="en-US" w:eastAsia="zh-CN"/>
                <w14:textFill>
                  <w14:solidFill>
                    <w14:schemeClr w14:val="tx1"/>
                  </w14:solidFill>
                </w14:textFill>
              </w:rPr>
              <w:t>自中标结果公示发布之日起30天。</w:t>
            </w:r>
          </w:p>
        </w:tc>
      </w:tr>
      <w:tr w14:paraId="7CC097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14:paraId="1502B520">
            <w:pPr>
              <w:keepNext w:val="0"/>
              <w:keepLines w:val="0"/>
              <w:pageBreakBefore w:val="0"/>
              <w:kinsoku/>
              <w:wordWrap/>
              <w:overflowPunct/>
              <w:topLinePunct w:val="0"/>
              <w:bidi w:val="0"/>
              <w:adjustRightInd/>
              <w:snapToGrid/>
              <w:spacing w:line="560" w:lineRule="exact"/>
              <w:jc w:val="center"/>
              <w:rPr>
                <w:rFonts w:hint="default"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cs="宋体"/>
                <w:color w:val="000000" w:themeColor="text1"/>
                <w:sz w:val="28"/>
                <w:szCs w:val="28"/>
                <w:highlight w:val="none"/>
                <w:lang w:val="en-US" w:eastAsia="zh-CN"/>
                <w14:textFill>
                  <w14:solidFill>
                    <w14:schemeClr w14:val="tx1"/>
                  </w14:solidFill>
                </w14:textFill>
              </w:rPr>
              <w:t>27</w:t>
            </w:r>
          </w:p>
        </w:tc>
        <w:tc>
          <w:tcPr>
            <w:tcW w:w="2239" w:type="dxa"/>
            <w:tcBorders>
              <w:top w:val="single" w:color="auto" w:sz="4" w:space="0"/>
              <w:left w:val="single" w:color="auto" w:sz="4" w:space="0"/>
              <w:bottom w:val="single" w:color="auto" w:sz="4" w:space="0"/>
              <w:right w:val="single" w:color="auto" w:sz="4" w:space="0"/>
            </w:tcBorders>
            <w:vAlign w:val="center"/>
          </w:tcPr>
          <w:p w14:paraId="69C82C8A">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付款方式</w:t>
            </w:r>
          </w:p>
        </w:tc>
        <w:tc>
          <w:tcPr>
            <w:tcW w:w="7297" w:type="dxa"/>
            <w:tcBorders>
              <w:top w:val="single" w:color="auto" w:sz="4" w:space="0"/>
              <w:left w:val="single" w:color="auto" w:sz="4" w:space="0"/>
              <w:bottom w:val="single" w:color="auto" w:sz="4" w:space="0"/>
              <w:right w:val="single" w:color="auto" w:sz="4" w:space="0"/>
            </w:tcBorders>
            <w:vAlign w:val="center"/>
          </w:tcPr>
          <w:p w14:paraId="22E406B8">
            <w:pPr>
              <w:keepNext w:val="0"/>
              <w:keepLines w:val="0"/>
              <w:pageBreakBefore w:val="0"/>
              <w:kinsoku/>
              <w:wordWrap/>
              <w:overflowPunct/>
              <w:topLinePunct w:val="0"/>
              <w:bidi w:val="0"/>
              <w:adjustRightInd/>
              <w:snapToGrid/>
              <w:spacing w:line="560" w:lineRule="exact"/>
              <w:rPr>
                <w:rFonts w:hint="eastAsia" w:ascii="宋体" w:hAnsi="宋体" w:eastAsia="宋体" w:cs="宋体"/>
                <w:color w:val="000000" w:themeColor="text1"/>
                <w:sz w:val="28"/>
                <w:szCs w:val="28"/>
                <w:highlight w:val="none"/>
                <w:lang w:eastAsia="zh-CN"/>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设备安装验收完成，培训结束后使用满2个月无任何问题支付合同总金额的80%，自验收合格之日起设备使用满1年后无任何问题支付合同总金额的10%，合同内容全部履约完成后支付合同总金额的10%</w:t>
            </w:r>
            <w:r>
              <w:rPr>
                <w:rFonts w:hint="eastAsia" w:ascii="宋体" w:hAnsi="宋体" w:cs="宋体"/>
                <w:color w:val="000000" w:themeColor="text1"/>
                <w:sz w:val="28"/>
                <w:szCs w:val="28"/>
                <w:highlight w:val="none"/>
                <w:lang w:eastAsia="zh-CN"/>
                <w14:textFill>
                  <w14:solidFill>
                    <w14:schemeClr w14:val="tx1"/>
                  </w14:solidFill>
                </w14:textFill>
              </w:rPr>
              <w:t>。</w:t>
            </w:r>
          </w:p>
        </w:tc>
      </w:tr>
      <w:tr w14:paraId="38A4A6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14:paraId="7D29556C">
            <w:pPr>
              <w:keepNext w:val="0"/>
              <w:keepLines w:val="0"/>
              <w:pageBreakBefore w:val="0"/>
              <w:kinsoku/>
              <w:wordWrap/>
              <w:overflowPunct/>
              <w:topLinePunct w:val="0"/>
              <w:bidi w:val="0"/>
              <w:adjustRightInd/>
              <w:snapToGrid/>
              <w:spacing w:line="560" w:lineRule="exact"/>
              <w:jc w:val="center"/>
              <w:rPr>
                <w:rFonts w:hint="default"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cs="宋体"/>
                <w:color w:val="000000" w:themeColor="text1"/>
                <w:sz w:val="28"/>
                <w:szCs w:val="28"/>
                <w:highlight w:val="none"/>
                <w:lang w:val="en-US" w:eastAsia="zh-CN"/>
                <w14:textFill>
                  <w14:solidFill>
                    <w14:schemeClr w14:val="tx1"/>
                  </w14:solidFill>
                </w14:textFill>
              </w:rPr>
              <w:t>28</w:t>
            </w:r>
          </w:p>
        </w:tc>
        <w:tc>
          <w:tcPr>
            <w:tcW w:w="2239" w:type="dxa"/>
            <w:tcBorders>
              <w:top w:val="single" w:color="auto" w:sz="4" w:space="0"/>
              <w:left w:val="single" w:color="auto" w:sz="4" w:space="0"/>
              <w:bottom w:val="single" w:color="auto" w:sz="4" w:space="0"/>
              <w:right w:val="single" w:color="auto" w:sz="4" w:space="0"/>
            </w:tcBorders>
            <w:vAlign w:val="center"/>
          </w:tcPr>
          <w:p w14:paraId="6779A5A8">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t>质保期</w:t>
            </w:r>
          </w:p>
        </w:tc>
        <w:tc>
          <w:tcPr>
            <w:tcW w:w="7297" w:type="dxa"/>
            <w:tcBorders>
              <w:top w:val="single" w:color="auto" w:sz="4" w:space="0"/>
              <w:left w:val="single" w:color="auto" w:sz="4" w:space="0"/>
              <w:bottom w:val="single" w:color="auto" w:sz="4" w:space="0"/>
              <w:right w:val="single" w:color="auto" w:sz="4" w:space="0"/>
            </w:tcBorders>
            <w:vAlign w:val="center"/>
          </w:tcPr>
          <w:p w14:paraId="47BDA421">
            <w:pPr>
              <w:keepNext w:val="0"/>
              <w:keepLines w:val="0"/>
              <w:pageBreakBefore w:val="0"/>
              <w:kinsoku/>
              <w:wordWrap/>
              <w:overflowPunct/>
              <w:topLinePunct w:val="0"/>
              <w:bidi w:val="0"/>
              <w:adjustRightInd/>
              <w:snapToGrid/>
              <w:spacing w:line="560" w:lineRule="exact"/>
              <w:rPr>
                <w:rFonts w:hint="eastAsia" w:ascii="宋体" w:hAnsi="宋体" w:eastAsia="宋体" w:cs="宋体"/>
                <w:b/>
                <w:bCs/>
                <w:color w:val="000000" w:themeColor="text1"/>
                <w:sz w:val="28"/>
                <w:szCs w:val="28"/>
                <w:highlight w:val="none"/>
                <w:lang w:val="en-US" w:eastAsia="zh-CN"/>
                <w14:textFill>
                  <w14:solidFill>
                    <w14:schemeClr w14:val="tx1"/>
                  </w14:solidFill>
                </w14:textFill>
              </w:rPr>
            </w:pPr>
            <w:r>
              <w:rPr>
                <w:rFonts w:hint="eastAsia" w:ascii="宋体" w:hAnsi="宋体" w:eastAsia="宋体" w:cs="宋体"/>
                <w:b/>
                <w:bCs/>
                <w:color w:val="000000" w:themeColor="text1"/>
                <w:sz w:val="28"/>
                <w:szCs w:val="28"/>
                <w:highlight w:val="none"/>
                <w:lang w:val="en-US" w:eastAsia="zh-CN"/>
                <w14:textFill>
                  <w14:solidFill>
                    <w14:schemeClr w14:val="tx1"/>
                  </w14:solidFill>
                </w14:textFill>
              </w:rPr>
              <w:t>自验收合格之日起两年</w:t>
            </w:r>
          </w:p>
        </w:tc>
      </w:tr>
      <w:tr w14:paraId="322629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14:paraId="2AFE6692">
            <w:pPr>
              <w:keepNext w:val="0"/>
              <w:keepLines w:val="0"/>
              <w:pageBreakBefore w:val="0"/>
              <w:kinsoku/>
              <w:wordWrap/>
              <w:overflowPunct/>
              <w:topLinePunct w:val="0"/>
              <w:bidi w:val="0"/>
              <w:adjustRightInd/>
              <w:snapToGrid/>
              <w:spacing w:line="560" w:lineRule="exact"/>
              <w:jc w:val="center"/>
              <w:rPr>
                <w:rFonts w:hint="default"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cs="宋体"/>
                <w:color w:val="000000" w:themeColor="text1"/>
                <w:sz w:val="28"/>
                <w:szCs w:val="28"/>
                <w:highlight w:val="none"/>
                <w:lang w:val="en-US" w:eastAsia="zh-CN"/>
                <w14:textFill>
                  <w14:solidFill>
                    <w14:schemeClr w14:val="tx1"/>
                  </w14:solidFill>
                </w14:textFill>
              </w:rPr>
              <w:t>29</w:t>
            </w:r>
          </w:p>
        </w:tc>
        <w:tc>
          <w:tcPr>
            <w:tcW w:w="2239" w:type="dxa"/>
            <w:tcBorders>
              <w:top w:val="single" w:color="auto" w:sz="4" w:space="0"/>
              <w:left w:val="single" w:color="auto" w:sz="4" w:space="0"/>
              <w:bottom w:val="single" w:color="auto" w:sz="4" w:space="0"/>
              <w:right w:val="single" w:color="auto" w:sz="4" w:space="0"/>
            </w:tcBorders>
            <w:vAlign w:val="center"/>
          </w:tcPr>
          <w:p w14:paraId="332ABBCB">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中小微型企业</w:t>
            </w:r>
          </w:p>
          <w:p w14:paraId="3AEDDF84">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有关政策</w:t>
            </w:r>
          </w:p>
        </w:tc>
        <w:tc>
          <w:tcPr>
            <w:tcW w:w="7297" w:type="dxa"/>
            <w:tcBorders>
              <w:top w:val="single" w:color="auto" w:sz="4" w:space="0"/>
              <w:left w:val="single" w:color="auto" w:sz="4" w:space="0"/>
              <w:bottom w:val="single" w:color="auto" w:sz="4" w:space="0"/>
              <w:right w:val="single" w:color="auto" w:sz="4" w:space="0"/>
            </w:tcBorders>
            <w:vAlign w:val="center"/>
          </w:tcPr>
          <w:p w14:paraId="3489F4AE">
            <w:pPr>
              <w:pStyle w:val="144"/>
              <w:keepNext w:val="0"/>
              <w:keepLines w:val="0"/>
              <w:pageBreakBefore w:val="0"/>
              <w:kinsoku/>
              <w:wordWrap/>
              <w:overflowPunct/>
              <w:topLinePunct w:val="0"/>
              <w:bidi w:val="0"/>
              <w:adjustRightInd/>
              <w:snapToGrid/>
              <w:spacing w:line="560" w:lineRule="exac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kern w:val="0"/>
                <w:sz w:val="28"/>
                <w:szCs w:val="28"/>
                <w:highlight w:val="none"/>
                <w14:textFill>
                  <w14:solidFill>
                    <w14:schemeClr w14:val="tx1"/>
                  </w14:solidFill>
                </w14:textFill>
              </w:rPr>
              <w:t>(1)根据财政部、工业和信息化部发布的关于印发《政府采</w:t>
            </w:r>
            <w:r>
              <w:rPr>
                <w:rFonts w:hint="eastAsia" w:ascii="宋体" w:hAnsi="宋体" w:eastAsia="宋体" w:cs="宋体"/>
                <w:color w:val="000000" w:themeColor="text1"/>
                <w:sz w:val="28"/>
                <w:szCs w:val="28"/>
                <w:highlight w:val="none"/>
                <w14:textFill>
                  <w14:solidFill>
                    <w14:schemeClr w14:val="tx1"/>
                  </w14:solidFill>
                </w14:textFill>
              </w:rPr>
              <w:t>购促进中小企业发展管理办法》的通知，财库[2020]46号）规定执行；本次采购标的所属行业为</w:t>
            </w:r>
            <w:r>
              <w:rPr>
                <w:rFonts w:hint="eastAsia" w:ascii="宋体" w:hAnsi="宋体" w:eastAsia="宋体" w:cs="宋体"/>
                <w:b/>
                <w:bCs/>
                <w:color w:val="000000" w:themeColor="text1"/>
                <w:sz w:val="28"/>
                <w:szCs w:val="28"/>
                <w:highlight w:val="none"/>
                <w:u w:val="single"/>
                <w14:textFill>
                  <w14:solidFill>
                    <w14:schemeClr w14:val="tx1"/>
                  </w14:solidFill>
                </w14:textFill>
              </w:rPr>
              <w:t>工业</w:t>
            </w:r>
            <w:r>
              <w:rPr>
                <w:rFonts w:hint="eastAsia" w:ascii="宋体" w:hAnsi="宋体" w:eastAsia="宋体" w:cs="宋体"/>
                <w:color w:val="000000" w:themeColor="text1"/>
                <w:sz w:val="28"/>
                <w:szCs w:val="28"/>
                <w:highlight w:val="none"/>
                <w14:textFill>
                  <w14:solidFill>
                    <w14:schemeClr w14:val="tx1"/>
                  </w14:solidFill>
                </w14:textFill>
              </w:rPr>
              <w:t>，中小微型企业需按照招标文件格式要求提供《中小企业声明函》，符合要求的小微型企业可享受相应政策。</w:t>
            </w:r>
          </w:p>
          <w:p w14:paraId="02106278">
            <w:pPr>
              <w:keepNext w:val="0"/>
              <w:keepLines w:val="0"/>
              <w:pageBreakBefore w:val="0"/>
              <w:kinsoku/>
              <w:wordWrap/>
              <w:overflowPunct/>
              <w:topLinePunct w:val="0"/>
              <w:bidi w:val="0"/>
              <w:adjustRightInd/>
              <w:snapToGrid/>
              <w:spacing w:line="560" w:lineRule="exac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(2)价格扣除幅度：价格给予</w:t>
            </w:r>
            <w:r>
              <w:rPr>
                <w:rFonts w:hint="eastAsia" w:ascii="宋体" w:hAnsi="宋体" w:eastAsia="宋体" w:cs="宋体"/>
                <w:color w:val="000000" w:themeColor="text1"/>
                <w:sz w:val="28"/>
                <w:szCs w:val="28"/>
                <w:highlight w:val="none"/>
                <w:u w:val="single"/>
                <w14:textFill>
                  <w14:solidFill>
                    <w14:schemeClr w14:val="tx1"/>
                  </w14:solidFill>
                </w14:textFill>
              </w:rPr>
              <w:t>10%</w:t>
            </w:r>
            <w:r>
              <w:rPr>
                <w:rFonts w:hint="eastAsia" w:ascii="宋体" w:hAnsi="宋体" w:eastAsia="宋体" w:cs="宋体"/>
                <w:color w:val="000000" w:themeColor="text1"/>
                <w:sz w:val="28"/>
                <w:szCs w:val="28"/>
                <w:highlight w:val="none"/>
                <w14:textFill>
                  <w14:solidFill>
                    <w14:schemeClr w14:val="tx1"/>
                  </w14:solidFill>
                </w14:textFill>
              </w:rPr>
              <w:t>的扣除，计算投标报价分时，用扣除后的价格参与评审。</w:t>
            </w:r>
          </w:p>
        </w:tc>
      </w:tr>
      <w:tr w14:paraId="6A378A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14:paraId="3DAF7400">
            <w:pPr>
              <w:keepNext w:val="0"/>
              <w:keepLines w:val="0"/>
              <w:pageBreakBefore w:val="0"/>
              <w:kinsoku/>
              <w:wordWrap/>
              <w:overflowPunct/>
              <w:topLinePunct w:val="0"/>
              <w:bidi w:val="0"/>
              <w:adjustRightInd/>
              <w:snapToGrid/>
              <w:spacing w:line="560" w:lineRule="exact"/>
              <w:jc w:val="center"/>
              <w:rPr>
                <w:rFonts w:hint="default" w:ascii="宋体" w:hAnsi="宋体" w:cs="宋体"/>
                <w:color w:val="000000" w:themeColor="text1"/>
                <w:sz w:val="28"/>
                <w:szCs w:val="28"/>
                <w:highlight w:val="none"/>
                <w:lang w:val="en-US" w:eastAsia="zh-CN"/>
                <w14:textFill>
                  <w14:solidFill>
                    <w14:schemeClr w14:val="tx1"/>
                  </w14:solidFill>
                </w14:textFill>
              </w:rPr>
            </w:pPr>
            <w:r>
              <w:rPr>
                <w:rFonts w:hint="eastAsia" w:ascii="宋体" w:hAnsi="宋体" w:cs="宋体"/>
                <w:color w:val="000000" w:themeColor="text1"/>
                <w:sz w:val="28"/>
                <w:szCs w:val="28"/>
                <w:highlight w:val="none"/>
                <w:lang w:val="en-US" w:eastAsia="zh-CN"/>
                <w14:textFill>
                  <w14:solidFill>
                    <w14:schemeClr w14:val="tx1"/>
                  </w14:solidFill>
                </w14:textFill>
              </w:rPr>
              <w:t>30</w:t>
            </w:r>
          </w:p>
        </w:tc>
        <w:tc>
          <w:tcPr>
            <w:tcW w:w="2239" w:type="dxa"/>
            <w:tcBorders>
              <w:top w:val="single" w:color="auto" w:sz="4" w:space="0"/>
              <w:left w:val="single" w:color="auto" w:sz="4" w:space="0"/>
              <w:bottom w:val="single" w:color="auto" w:sz="4" w:space="0"/>
              <w:right w:val="single" w:color="auto" w:sz="4" w:space="0"/>
            </w:tcBorders>
            <w:vAlign w:val="center"/>
          </w:tcPr>
          <w:p w14:paraId="0AC445DD">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推荐成交候选供应商的数量</w:t>
            </w:r>
          </w:p>
        </w:tc>
        <w:tc>
          <w:tcPr>
            <w:tcW w:w="7297" w:type="dxa"/>
            <w:tcBorders>
              <w:top w:val="single" w:color="auto" w:sz="4" w:space="0"/>
              <w:left w:val="single" w:color="auto" w:sz="4" w:space="0"/>
              <w:bottom w:val="single" w:color="auto" w:sz="4" w:space="0"/>
              <w:right w:val="single" w:color="auto" w:sz="4" w:space="0"/>
            </w:tcBorders>
            <w:vAlign w:val="center"/>
          </w:tcPr>
          <w:p w14:paraId="3F7F5C92">
            <w:pPr>
              <w:keepNext w:val="0"/>
              <w:keepLines w:val="0"/>
              <w:pageBreakBefore w:val="0"/>
              <w:kinsoku/>
              <w:wordWrap/>
              <w:overflowPunct/>
              <w:topLinePunct w:val="0"/>
              <w:bidi w:val="0"/>
              <w:adjustRightInd/>
              <w:snapToGrid/>
              <w:spacing w:line="560" w:lineRule="exac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 3 家</w:t>
            </w:r>
          </w:p>
        </w:tc>
      </w:tr>
      <w:tr w14:paraId="4985FC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14:paraId="119E8CF4">
            <w:pPr>
              <w:keepNext w:val="0"/>
              <w:keepLines w:val="0"/>
              <w:pageBreakBefore w:val="0"/>
              <w:kinsoku/>
              <w:wordWrap/>
              <w:overflowPunct/>
              <w:topLinePunct w:val="0"/>
              <w:bidi w:val="0"/>
              <w:adjustRightInd/>
              <w:snapToGrid/>
              <w:spacing w:line="560" w:lineRule="exact"/>
              <w:jc w:val="center"/>
              <w:rPr>
                <w:rFonts w:hint="default"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cs="宋体"/>
                <w:color w:val="000000" w:themeColor="text1"/>
                <w:sz w:val="28"/>
                <w:szCs w:val="28"/>
                <w:highlight w:val="none"/>
                <w:lang w:val="en-US" w:eastAsia="zh-CN"/>
                <w14:textFill>
                  <w14:solidFill>
                    <w14:schemeClr w14:val="tx1"/>
                  </w14:solidFill>
                </w14:textFill>
              </w:rPr>
              <w:t>31</w:t>
            </w:r>
          </w:p>
        </w:tc>
        <w:tc>
          <w:tcPr>
            <w:tcW w:w="2239" w:type="dxa"/>
            <w:tcBorders>
              <w:top w:val="single" w:color="auto" w:sz="4" w:space="0"/>
              <w:left w:val="single" w:color="auto" w:sz="4" w:space="0"/>
              <w:bottom w:val="single" w:color="auto" w:sz="4" w:space="0"/>
              <w:right w:val="single" w:color="auto" w:sz="4" w:space="0"/>
            </w:tcBorders>
            <w:vAlign w:val="center"/>
          </w:tcPr>
          <w:p w14:paraId="19AEB448">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解释</w:t>
            </w:r>
          </w:p>
        </w:tc>
        <w:tc>
          <w:tcPr>
            <w:tcW w:w="7297" w:type="dxa"/>
            <w:tcBorders>
              <w:top w:val="single" w:color="auto" w:sz="4" w:space="0"/>
              <w:left w:val="single" w:color="auto" w:sz="4" w:space="0"/>
              <w:bottom w:val="single" w:color="auto" w:sz="4" w:space="0"/>
              <w:right w:val="single" w:color="auto" w:sz="4" w:space="0"/>
            </w:tcBorders>
            <w:vAlign w:val="center"/>
          </w:tcPr>
          <w:p w14:paraId="3722C0BB">
            <w:pPr>
              <w:keepNext w:val="0"/>
              <w:keepLines w:val="0"/>
              <w:pageBreakBefore w:val="0"/>
              <w:kinsoku/>
              <w:wordWrap/>
              <w:overflowPunct/>
              <w:topLinePunct w:val="0"/>
              <w:bidi w:val="0"/>
              <w:adjustRightInd/>
              <w:snapToGrid/>
              <w:spacing w:line="560" w:lineRule="exact"/>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解释权：</w:t>
            </w:r>
            <w:r>
              <w:rPr>
                <w:rFonts w:hint="eastAsia" w:ascii="宋体" w:hAnsi="宋体" w:eastAsia="宋体" w:cs="宋体"/>
                <w:color w:val="000000" w:themeColor="text1"/>
                <w:sz w:val="28"/>
                <w:szCs w:val="28"/>
                <w:highlight w:val="none"/>
                <w14:textFill>
                  <w14:solidFill>
                    <w14:schemeClr w14:val="tx1"/>
                  </w14:solidFill>
                </w14:textFill>
              </w:rPr>
              <w:t>构成本招标文件的各个组成文件应互为解释，互为说明；除招标文件中有特别规定外，仅适用于招标投标阶段的规定，按更正公告（澄清公告）、招标公告、采购需求、</w:t>
            </w:r>
            <w:r>
              <w:rPr>
                <w:rFonts w:hint="eastAsia" w:ascii="宋体" w:hAnsi="宋体" w:cs="宋体"/>
                <w:color w:val="000000" w:themeColor="text1"/>
                <w:sz w:val="28"/>
                <w:szCs w:val="28"/>
                <w:highlight w:val="none"/>
                <w:lang w:eastAsia="zh-CN"/>
                <w14:textFill>
                  <w14:solidFill>
                    <w14:schemeClr w14:val="tx1"/>
                  </w14:solidFill>
                </w14:textFill>
              </w:rPr>
              <w:t>供应商</w:t>
            </w:r>
            <w:r>
              <w:rPr>
                <w:rFonts w:hint="eastAsia" w:ascii="宋体" w:hAnsi="宋体" w:eastAsia="宋体" w:cs="宋体"/>
                <w:color w:val="000000" w:themeColor="text1"/>
                <w:sz w:val="28"/>
                <w:szCs w:val="28"/>
                <w:highlight w:val="none"/>
                <w14:textFill>
                  <w14:solidFill>
                    <w14:schemeClr w14:val="tx1"/>
                  </w14:solidFill>
                </w14:textFill>
              </w:rPr>
              <w:t>须知、评标方法及评标标准、拟签订的合同文本、投标文件格式的先后顺序解释；同一组成文件中就同一事项的规定或者约定不一致的，以编排顺序在后者为准；同一组成文件不同版本之间有不一致的，以形成时间在后者为准；更正公告（澄清公告）与同步更新的招标文件不一致时以更正公告（澄清公告）为准。按本款前述规定仍不能形成结论的</w:t>
            </w:r>
            <w:r>
              <w:rPr>
                <w:rFonts w:hint="eastAsia" w:ascii="宋体" w:hAnsi="宋体" w:eastAsia="宋体" w:cs="宋体"/>
                <w:b/>
                <w:color w:val="000000" w:themeColor="text1"/>
                <w:sz w:val="28"/>
                <w:szCs w:val="28"/>
                <w:highlight w:val="none"/>
                <w14:textFill>
                  <w14:solidFill>
                    <w14:schemeClr w14:val="tx1"/>
                  </w14:solidFill>
                </w14:textFill>
              </w:rPr>
              <w:t>，由采购人或者采购代理机构负责解释。</w:t>
            </w:r>
          </w:p>
          <w:p w14:paraId="66B54E03">
            <w:pPr>
              <w:keepNext w:val="0"/>
              <w:keepLines w:val="0"/>
              <w:pageBreakBefore w:val="0"/>
              <w:kinsoku/>
              <w:wordWrap/>
              <w:overflowPunct/>
              <w:topLinePunct w:val="0"/>
              <w:bidi w:val="0"/>
              <w:adjustRightInd/>
              <w:snapToGrid/>
              <w:spacing w:line="560" w:lineRule="exact"/>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法律责任：</w:t>
            </w:r>
          </w:p>
          <w:p w14:paraId="6C457328">
            <w:pPr>
              <w:keepNext w:val="0"/>
              <w:keepLines w:val="0"/>
              <w:pageBreakBefore w:val="0"/>
              <w:kinsoku/>
              <w:wordWrap/>
              <w:overflowPunct/>
              <w:topLinePunct w:val="0"/>
              <w:bidi w:val="0"/>
              <w:adjustRightInd/>
              <w:snapToGrid/>
              <w:spacing w:line="560" w:lineRule="exac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本采购文件根据《中华人民共和国政府采购法》、《中华人民共和国民法典》；《中华人民共和国政府采购法实施条例》、《政府采购非招标采购方式管理办法》等有关法律、法规编制，参与本项目的各政府采购当事人依法享有上述法律法规所赋予的权利与义务。</w:t>
            </w:r>
          </w:p>
        </w:tc>
      </w:tr>
      <w:tr w14:paraId="511A23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14:paraId="76125BEE">
            <w:pPr>
              <w:keepNext w:val="0"/>
              <w:keepLines w:val="0"/>
              <w:pageBreakBefore w:val="0"/>
              <w:kinsoku/>
              <w:wordWrap/>
              <w:overflowPunct/>
              <w:topLinePunct w:val="0"/>
              <w:bidi w:val="0"/>
              <w:adjustRightInd/>
              <w:snapToGrid/>
              <w:spacing w:line="560" w:lineRule="exact"/>
              <w:jc w:val="center"/>
              <w:rPr>
                <w:rFonts w:hint="default"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cs="宋体"/>
                <w:color w:val="000000" w:themeColor="text1"/>
                <w:sz w:val="28"/>
                <w:szCs w:val="28"/>
                <w:highlight w:val="none"/>
                <w:lang w:val="en-US" w:eastAsia="zh-CN"/>
                <w14:textFill>
                  <w14:solidFill>
                    <w14:schemeClr w14:val="tx1"/>
                  </w14:solidFill>
                </w14:textFill>
              </w:rPr>
              <w:t>32</w:t>
            </w:r>
          </w:p>
        </w:tc>
        <w:tc>
          <w:tcPr>
            <w:tcW w:w="2239" w:type="dxa"/>
            <w:tcBorders>
              <w:top w:val="single" w:color="auto" w:sz="4" w:space="0"/>
              <w:left w:val="single" w:color="auto" w:sz="4" w:space="0"/>
              <w:bottom w:val="single" w:color="auto" w:sz="4" w:space="0"/>
              <w:right w:val="single" w:color="auto" w:sz="4" w:space="0"/>
            </w:tcBorders>
            <w:vAlign w:val="center"/>
          </w:tcPr>
          <w:p w14:paraId="43FE7D43">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其他释义</w:t>
            </w:r>
          </w:p>
        </w:tc>
        <w:tc>
          <w:tcPr>
            <w:tcW w:w="7297" w:type="dxa"/>
            <w:tcBorders>
              <w:top w:val="single" w:color="auto" w:sz="4" w:space="0"/>
              <w:left w:val="single" w:color="auto" w:sz="4" w:space="0"/>
              <w:bottom w:val="single" w:color="auto" w:sz="4" w:space="0"/>
              <w:right w:val="single" w:color="auto" w:sz="4" w:space="0"/>
            </w:tcBorders>
            <w:vAlign w:val="center"/>
          </w:tcPr>
          <w:p w14:paraId="11D39491">
            <w:pPr>
              <w:keepNext w:val="0"/>
              <w:keepLines w:val="0"/>
              <w:pageBreakBefore w:val="0"/>
              <w:kinsoku/>
              <w:wordWrap/>
              <w:overflowPunct/>
              <w:topLinePunct w:val="0"/>
              <w:bidi w:val="0"/>
              <w:adjustRightInd/>
              <w:snapToGrid/>
              <w:spacing w:line="560" w:lineRule="exac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1.本招标文件中描述</w:t>
            </w:r>
            <w:r>
              <w:rPr>
                <w:rFonts w:hint="eastAsia" w:ascii="宋体" w:hAnsi="宋体" w:cs="宋体"/>
                <w:color w:val="000000" w:themeColor="text1"/>
                <w:sz w:val="28"/>
                <w:szCs w:val="28"/>
                <w:highlight w:val="none"/>
                <w:lang w:eastAsia="zh-CN"/>
                <w14:textFill>
                  <w14:solidFill>
                    <w14:schemeClr w14:val="tx1"/>
                  </w14:solidFill>
                </w14:textFill>
              </w:rPr>
              <w:t>供应商</w:t>
            </w:r>
            <w:r>
              <w:rPr>
                <w:rFonts w:hint="eastAsia" w:ascii="宋体" w:hAnsi="宋体" w:eastAsia="宋体" w:cs="宋体"/>
                <w:color w:val="000000" w:themeColor="text1"/>
                <w:sz w:val="28"/>
                <w:szCs w:val="28"/>
                <w:highlight w:val="none"/>
                <w14:textFill>
                  <w14:solidFill>
                    <w14:schemeClr w14:val="tx1"/>
                  </w14:solidFill>
                </w14:textFill>
              </w:rPr>
              <w:t>的“公章”是指根据我国对公章的管理规定，用</w:t>
            </w:r>
            <w:r>
              <w:rPr>
                <w:rFonts w:hint="eastAsia" w:ascii="宋体" w:hAnsi="宋体" w:cs="宋体"/>
                <w:color w:val="000000" w:themeColor="text1"/>
                <w:sz w:val="28"/>
                <w:szCs w:val="28"/>
                <w:highlight w:val="none"/>
                <w:lang w:eastAsia="zh-CN"/>
                <w14:textFill>
                  <w14:solidFill>
                    <w14:schemeClr w14:val="tx1"/>
                  </w14:solidFill>
                </w14:textFill>
              </w:rPr>
              <w:t>供应商</w:t>
            </w:r>
            <w:r>
              <w:rPr>
                <w:rFonts w:hint="eastAsia" w:ascii="宋体" w:hAnsi="宋体" w:eastAsia="宋体" w:cs="宋体"/>
                <w:color w:val="000000" w:themeColor="text1"/>
                <w:sz w:val="28"/>
                <w:szCs w:val="28"/>
                <w:highlight w:val="none"/>
                <w14:textFill>
                  <w14:solidFill>
                    <w14:schemeClr w14:val="tx1"/>
                  </w14:solidFill>
                </w14:textFill>
              </w:rPr>
              <w:t>法定主体行为名称制作的印章，除本招标文件有特殊规定外，</w:t>
            </w:r>
            <w:r>
              <w:rPr>
                <w:rFonts w:hint="eastAsia" w:ascii="宋体" w:hAnsi="宋体" w:cs="宋体"/>
                <w:color w:val="000000" w:themeColor="text1"/>
                <w:sz w:val="28"/>
                <w:szCs w:val="28"/>
                <w:highlight w:val="none"/>
                <w:lang w:eastAsia="zh-CN"/>
                <w14:textFill>
                  <w14:solidFill>
                    <w14:schemeClr w14:val="tx1"/>
                  </w14:solidFill>
                </w14:textFill>
              </w:rPr>
              <w:t>供应商</w:t>
            </w:r>
            <w:r>
              <w:rPr>
                <w:rFonts w:hint="eastAsia" w:ascii="宋体" w:hAnsi="宋体" w:eastAsia="宋体" w:cs="宋体"/>
                <w:color w:val="000000" w:themeColor="text1"/>
                <w:sz w:val="28"/>
                <w:szCs w:val="28"/>
                <w:highlight w:val="none"/>
                <w14:textFill>
                  <w14:solidFill>
                    <w14:schemeClr w14:val="tx1"/>
                  </w14:solidFill>
                </w14:textFill>
              </w:rPr>
              <w:t>的财务章、部门章、分公司章、工会章、合同章、投标专用章、业务专用章及银行的转账章、现金收讫章、现金付讫章等其他形式印章均不能代替公章。</w:t>
            </w:r>
          </w:p>
          <w:p w14:paraId="7F954840">
            <w:pPr>
              <w:keepNext w:val="0"/>
              <w:keepLines w:val="0"/>
              <w:pageBreakBefore w:val="0"/>
              <w:kinsoku/>
              <w:wordWrap/>
              <w:overflowPunct/>
              <w:topLinePunct w:val="0"/>
              <w:bidi w:val="0"/>
              <w:adjustRightInd/>
              <w:snapToGrid/>
              <w:spacing w:line="560" w:lineRule="exac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2.</w:t>
            </w:r>
            <w:r>
              <w:rPr>
                <w:rFonts w:hint="eastAsia" w:ascii="宋体" w:hAnsi="宋体" w:cs="宋体"/>
                <w:color w:val="000000" w:themeColor="text1"/>
                <w:sz w:val="28"/>
                <w:szCs w:val="28"/>
                <w:highlight w:val="none"/>
                <w:lang w:eastAsia="zh-CN"/>
                <w14:textFill>
                  <w14:solidFill>
                    <w14:schemeClr w14:val="tx1"/>
                  </w14:solidFill>
                </w14:textFill>
              </w:rPr>
              <w:t>供应商</w:t>
            </w:r>
            <w:r>
              <w:rPr>
                <w:rFonts w:hint="eastAsia" w:ascii="宋体" w:hAnsi="宋体" w:eastAsia="宋体" w:cs="宋体"/>
                <w:color w:val="000000" w:themeColor="text1"/>
                <w:sz w:val="28"/>
                <w:szCs w:val="28"/>
                <w:highlight w:val="none"/>
                <w14:textFill>
                  <w14:solidFill>
                    <w14:schemeClr w14:val="tx1"/>
                  </w14:solidFill>
                </w14:textFill>
              </w:rPr>
              <w:t>为其他组织或者自然人时，本招标文件规定的法定代表人指负责人或者自然人。本招标文件所称负责人是指参加投标的其他组织营业执照上的负责人，本招标文件所称自然人指参与投标的自然人本人。</w:t>
            </w:r>
          </w:p>
          <w:p w14:paraId="165137E9">
            <w:pPr>
              <w:keepNext w:val="0"/>
              <w:keepLines w:val="0"/>
              <w:pageBreakBefore w:val="0"/>
              <w:kinsoku/>
              <w:wordWrap/>
              <w:overflowPunct/>
              <w:topLinePunct w:val="0"/>
              <w:bidi w:val="0"/>
              <w:adjustRightInd/>
              <w:snapToGrid/>
              <w:spacing w:line="560" w:lineRule="exac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3.本招标文件中描述</w:t>
            </w:r>
            <w:r>
              <w:rPr>
                <w:rFonts w:hint="eastAsia" w:ascii="宋体" w:hAnsi="宋体" w:cs="宋体"/>
                <w:color w:val="000000" w:themeColor="text1"/>
                <w:sz w:val="28"/>
                <w:szCs w:val="28"/>
                <w:highlight w:val="none"/>
                <w:lang w:eastAsia="zh-CN"/>
                <w14:textFill>
                  <w14:solidFill>
                    <w14:schemeClr w14:val="tx1"/>
                  </w14:solidFill>
                </w14:textFill>
              </w:rPr>
              <w:t>供应商</w:t>
            </w:r>
            <w:r>
              <w:rPr>
                <w:rFonts w:hint="eastAsia" w:ascii="宋体" w:hAnsi="宋体" w:eastAsia="宋体" w:cs="宋体"/>
                <w:color w:val="000000" w:themeColor="text1"/>
                <w:sz w:val="28"/>
                <w:szCs w:val="28"/>
                <w:highlight w:val="none"/>
                <w14:textFill>
                  <w14:solidFill>
                    <w14:schemeClr w14:val="tx1"/>
                  </w14:solidFill>
                </w14:textFill>
              </w:rPr>
              <w:t>的“签字”是指</w:t>
            </w:r>
            <w:r>
              <w:rPr>
                <w:rFonts w:hint="eastAsia" w:ascii="宋体" w:hAnsi="宋体" w:cs="宋体"/>
                <w:color w:val="000000" w:themeColor="text1"/>
                <w:sz w:val="28"/>
                <w:szCs w:val="28"/>
                <w:highlight w:val="none"/>
                <w:lang w:eastAsia="zh-CN"/>
                <w14:textFill>
                  <w14:solidFill>
                    <w14:schemeClr w14:val="tx1"/>
                  </w14:solidFill>
                </w14:textFill>
              </w:rPr>
              <w:t>供应商</w:t>
            </w:r>
            <w:r>
              <w:rPr>
                <w:rFonts w:hint="eastAsia" w:ascii="宋体" w:hAnsi="宋体" w:eastAsia="宋体" w:cs="宋体"/>
                <w:color w:val="000000" w:themeColor="text1"/>
                <w:sz w:val="28"/>
                <w:szCs w:val="28"/>
                <w:highlight w:val="none"/>
                <w14:textFill>
                  <w14:solidFill>
                    <w14:schemeClr w14:val="tx1"/>
                  </w14:solidFill>
                </w14:textFill>
              </w:rPr>
              <w:t>的法定代表人或者委托代理人亲自在文件规定签署处亲笔写上个人的名字的行为，签字章、印鉴、影印等其他形式均不能代替亲笔签字。</w:t>
            </w:r>
          </w:p>
          <w:p w14:paraId="4DD449EE">
            <w:pPr>
              <w:keepNext w:val="0"/>
              <w:keepLines w:val="0"/>
              <w:pageBreakBefore w:val="0"/>
              <w:kinsoku/>
              <w:wordWrap/>
              <w:overflowPunct/>
              <w:topLinePunct w:val="0"/>
              <w:bidi w:val="0"/>
              <w:adjustRightInd/>
              <w:snapToGrid/>
              <w:spacing w:line="560" w:lineRule="exac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4.自然人投标的，招标文件规定盖公章处由自然人摁手指指印。</w:t>
            </w:r>
          </w:p>
          <w:p w14:paraId="7BB9F3F0">
            <w:pPr>
              <w:keepNext w:val="0"/>
              <w:keepLines w:val="0"/>
              <w:pageBreakBefore w:val="0"/>
              <w:kinsoku/>
              <w:wordWrap/>
              <w:overflowPunct/>
              <w:topLinePunct w:val="0"/>
              <w:bidi w:val="0"/>
              <w:adjustRightInd/>
              <w:snapToGrid/>
              <w:spacing w:line="560" w:lineRule="exact"/>
              <w:jc w:val="left"/>
              <w:rPr>
                <w:rFonts w:hint="eastAsia" w:ascii="宋体" w:hAnsi="宋体" w:eastAsia="宋体" w:cs="宋体"/>
                <w:b w:val="0"/>
                <w:bCs w:val="0"/>
                <w:color w:val="000000" w:themeColor="text1"/>
                <w:sz w:val="28"/>
                <w:szCs w:val="28"/>
                <w:highlight w:val="none"/>
                <w14:textFill>
                  <w14:solidFill>
                    <w14:schemeClr w14:val="tx1"/>
                  </w14:solidFill>
                </w14:textFill>
              </w:rPr>
            </w:pPr>
            <w:r>
              <w:rPr>
                <w:rFonts w:hint="eastAsia" w:ascii="宋体" w:hAnsi="宋体" w:eastAsia="宋体" w:cs="宋体"/>
                <w:b w:val="0"/>
                <w:bCs w:val="0"/>
                <w:color w:val="000000" w:themeColor="text1"/>
                <w:sz w:val="28"/>
                <w:szCs w:val="28"/>
                <w:highlight w:val="none"/>
                <w14:textFill>
                  <w14:solidFill>
                    <w14:schemeClr w14:val="tx1"/>
                  </w14:solidFill>
                </w14:textFill>
              </w:rPr>
              <w:t>5.本招标文件所称的“以上”“以下”“以内”“届满”，包括本数；所称的“不满”“超过”“以外”，不包括本数。</w:t>
            </w:r>
          </w:p>
          <w:p w14:paraId="1DDF2430">
            <w:pPr>
              <w:keepNext w:val="0"/>
              <w:keepLines w:val="0"/>
              <w:pageBreakBefore w:val="0"/>
              <w:kinsoku/>
              <w:wordWrap/>
              <w:overflowPunct/>
              <w:topLinePunct w:val="0"/>
              <w:bidi w:val="0"/>
              <w:adjustRightInd/>
              <w:snapToGrid/>
              <w:spacing w:line="560" w:lineRule="exact"/>
              <w:jc w:val="left"/>
              <w:rPr>
                <w:rFonts w:hint="eastAsia" w:ascii="宋体" w:hAnsi="宋体" w:eastAsia="宋体" w:cs="宋体"/>
                <w:b w:val="0"/>
                <w:bCs w:val="0"/>
                <w:color w:val="000000" w:themeColor="text1"/>
                <w:sz w:val="28"/>
                <w:szCs w:val="28"/>
                <w:highlight w:val="none"/>
                <w14:textFill>
                  <w14:solidFill>
                    <w14:schemeClr w14:val="tx1"/>
                  </w14:solidFill>
                </w14:textFill>
              </w:rPr>
            </w:pPr>
            <w:r>
              <w:rPr>
                <w:rFonts w:hint="eastAsia" w:ascii="宋体" w:hAnsi="宋体" w:eastAsia="宋体" w:cs="宋体"/>
                <w:b w:val="0"/>
                <w:bCs w:val="0"/>
                <w:color w:val="000000" w:themeColor="text1"/>
                <w:sz w:val="28"/>
                <w:szCs w:val="28"/>
                <w:highlight w:val="none"/>
                <w14:textFill>
                  <w14:solidFill>
                    <w14:schemeClr w14:val="tx1"/>
                  </w14:solidFill>
                </w14:textFill>
              </w:rPr>
              <w:t>6. 本项目为全流程电子化开评标，</w:t>
            </w:r>
            <w:r>
              <w:rPr>
                <w:rFonts w:hint="eastAsia" w:ascii="宋体" w:hAnsi="宋体" w:cs="宋体"/>
                <w:b w:val="0"/>
                <w:bCs w:val="0"/>
                <w:color w:val="000000" w:themeColor="text1"/>
                <w:sz w:val="28"/>
                <w:szCs w:val="28"/>
                <w:highlight w:val="none"/>
                <w:lang w:eastAsia="zh-CN"/>
                <w14:textFill>
                  <w14:solidFill>
                    <w14:schemeClr w14:val="tx1"/>
                  </w14:solidFill>
                </w14:textFill>
              </w:rPr>
              <w:t>供应商</w:t>
            </w:r>
            <w:r>
              <w:rPr>
                <w:rFonts w:hint="eastAsia" w:ascii="宋体" w:hAnsi="宋体" w:eastAsia="宋体" w:cs="宋体"/>
                <w:b w:val="0"/>
                <w:bCs w:val="0"/>
                <w:color w:val="000000" w:themeColor="text1"/>
                <w:sz w:val="28"/>
                <w:szCs w:val="28"/>
                <w:highlight w:val="none"/>
                <w14:textFill>
                  <w14:solidFill>
                    <w14:schemeClr w14:val="tx1"/>
                  </w14:solidFill>
                </w14:textFill>
              </w:rPr>
              <w:t>须自备具备视频及语音通话功能的设备</w:t>
            </w:r>
          </w:p>
          <w:p w14:paraId="310A2278">
            <w:pPr>
              <w:keepNext w:val="0"/>
              <w:keepLines w:val="0"/>
              <w:pageBreakBefore w:val="0"/>
              <w:kinsoku/>
              <w:wordWrap/>
              <w:overflowPunct/>
              <w:topLinePunct w:val="0"/>
              <w:bidi w:val="0"/>
              <w:adjustRightInd/>
              <w:snapToGrid/>
              <w:spacing w:line="560" w:lineRule="exact"/>
              <w:jc w:val="left"/>
              <w:rPr>
                <w:rFonts w:hint="eastAsia" w:ascii="宋体" w:hAnsi="宋体" w:eastAsia="宋体" w:cs="宋体"/>
                <w:b w:val="0"/>
                <w:bCs w:val="0"/>
                <w:color w:val="000000" w:themeColor="text1"/>
                <w:sz w:val="28"/>
                <w:szCs w:val="28"/>
                <w:highlight w:val="none"/>
                <w14:textFill>
                  <w14:solidFill>
                    <w14:schemeClr w14:val="tx1"/>
                  </w14:solidFill>
                </w14:textFill>
              </w:rPr>
            </w:pPr>
            <w:r>
              <w:rPr>
                <w:rFonts w:hint="eastAsia" w:ascii="宋体" w:hAnsi="宋体" w:eastAsia="宋体" w:cs="宋体"/>
                <w:b w:val="0"/>
                <w:bCs w:val="0"/>
                <w:color w:val="000000" w:themeColor="text1"/>
                <w:sz w:val="28"/>
                <w:szCs w:val="28"/>
                <w:highlight w:val="none"/>
                <w:lang w:val="en-US" w:eastAsia="zh-CN"/>
                <w14:textFill>
                  <w14:solidFill>
                    <w14:schemeClr w14:val="tx1"/>
                  </w14:solidFill>
                </w14:textFill>
              </w:rPr>
              <w:t>7、</w:t>
            </w:r>
            <w:r>
              <w:rPr>
                <w:rFonts w:hint="eastAsia" w:ascii="宋体" w:hAnsi="宋体" w:eastAsia="宋体" w:cs="宋体"/>
                <w:b w:val="0"/>
                <w:bCs w:val="0"/>
                <w:color w:val="000000" w:themeColor="text1"/>
                <w:sz w:val="28"/>
                <w:szCs w:val="28"/>
                <w:highlight w:val="none"/>
                <w:lang w:eastAsia="zh-CN"/>
                <w14:textFill>
                  <w14:solidFill>
                    <w14:schemeClr w14:val="tx1"/>
                  </w14:solidFill>
                </w14:textFill>
              </w:rPr>
              <w:t>招标</w:t>
            </w:r>
            <w:r>
              <w:rPr>
                <w:rFonts w:hint="eastAsia" w:ascii="宋体" w:hAnsi="宋体" w:eastAsia="宋体" w:cs="宋体"/>
                <w:b w:val="0"/>
                <w:bCs w:val="0"/>
                <w:color w:val="000000" w:themeColor="text1"/>
                <w:sz w:val="28"/>
                <w:szCs w:val="28"/>
                <w:highlight w:val="none"/>
                <w14:textFill>
                  <w14:solidFill>
                    <w14:schemeClr w14:val="tx1"/>
                  </w14:solidFill>
                </w14:textFill>
              </w:rPr>
              <w:t>文件</w:t>
            </w:r>
            <w:r>
              <w:rPr>
                <w:rFonts w:hint="eastAsia" w:ascii="宋体" w:hAnsi="宋体" w:eastAsia="宋体" w:cs="宋体"/>
                <w:b w:val="0"/>
                <w:bCs w:val="0"/>
                <w:color w:val="000000" w:themeColor="text1"/>
                <w:sz w:val="28"/>
                <w:szCs w:val="28"/>
                <w:highlight w:val="none"/>
                <w:lang w:eastAsia="zh-CN"/>
                <w14:textFill>
                  <w14:solidFill>
                    <w14:schemeClr w14:val="tx1"/>
                  </w14:solidFill>
                </w14:textFill>
              </w:rPr>
              <w:t>第六章投标</w:t>
            </w:r>
            <w:r>
              <w:rPr>
                <w:rFonts w:hint="eastAsia" w:ascii="宋体" w:hAnsi="宋体" w:eastAsia="宋体" w:cs="宋体"/>
                <w:b w:val="0"/>
                <w:bCs w:val="0"/>
                <w:color w:val="000000" w:themeColor="text1"/>
                <w:sz w:val="28"/>
                <w:szCs w:val="28"/>
                <w:highlight w:val="none"/>
                <w14:textFill>
                  <w14:solidFill>
                    <w14:schemeClr w14:val="tx1"/>
                  </w14:solidFill>
                </w14:textFill>
              </w:rPr>
              <w:t>文件</w:t>
            </w:r>
            <w:r>
              <w:rPr>
                <w:rFonts w:hint="eastAsia" w:ascii="宋体" w:hAnsi="宋体" w:eastAsia="宋体" w:cs="宋体"/>
                <w:b w:val="0"/>
                <w:bCs w:val="0"/>
                <w:color w:val="000000" w:themeColor="text1"/>
                <w:sz w:val="28"/>
                <w:szCs w:val="28"/>
                <w:highlight w:val="none"/>
                <w:lang w:eastAsia="zh-CN"/>
                <w14:textFill>
                  <w14:solidFill>
                    <w14:schemeClr w14:val="tx1"/>
                  </w14:solidFill>
                </w14:textFill>
              </w:rPr>
              <w:t>格式</w:t>
            </w:r>
            <w:r>
              <w:rPr>
                <w:rFonts w:hint="eastAsia" w:ascii="宋体" w:hAnsi="宋体" w:eastAsia="宋体" w:cs="宋体"/>
                <w:b w:val="0"/>
                <w:bCs w:val="0"/>
                <w:color w:val="000000" w:themeColor="text1"/>
                <w:sz w:val="28"/>
                <w:szCs w:val="28"/>
                <w:highlight w:val="none"/>
                <w14:textFill>
                  <w14:solidFill>
                    <w14:schemeClr w14:val="tx1"/>
                  </w14:solidFill>
                </w14:textFill>
              </w:rPr>
              <w:t>要求盖单位章和签字的地方，</w:t>
            </w:r>
            <w:r>
              <w:rPr>
                <w:rFonts w:hint="eastAsia" w:ascii="宋体" w:hAnsi="宋体" w:eastAsia="宋体" w:cs="宋体"/>
                <w:b w:val="0"/>
                <w:bCs w:val="0"/>
                <w:color w:val="000000" w:themeColor="text1"/>
                <w:sz w:val="28"/>
                <w:szCs w:val="28"/>
                <w:highlight w:val="none"/>
                <w:lang w:eastAsia="zh-CN"/>
                <w14:textFill>
                  <w14:solidFill>
                    <w14:schemeClr w14:val="tx1"/>
                  </w14:solidFill>
                </w14:textFill>
              </w:rPr>
              <w:t>供应商</w:t>
            </w:r>
            <w:r>
              <w:rPr>
                <w:rFonts w:hint="eastAsia" w:ascii="宋体" w:hAnsi="宋体" w:eastAsia="宋体" w:cs="宋体"/>
                <w:b w:val="0"/>
                <w:bCs w:val="0"/>
                <w:color w:val="000000" w:themeColor="text1"/>
                <w:sz w:val="28"/>
                <w:szCs w:val="28"/>
                <w:highlight w:val="none"/>
                <w14:textFill>
                  <w14:solidFill>
                    <w14:schemeClr w14:val="tx1"/>
                  </w14:solidFill>
                </w14:textFill>
              </w:rPr>
              <w:t>均应使用CA数字证书加盖企业</w:t>
            </w:r>
            <w:r>
              <w:rPr>
                <w:rFonts w:hint="eastAsia" w:ascii="宋体" w:hAnsi="宋体" w:eastAsia="宋体" w:cs="宋体"/>
                <w:b w:val="0"/>
                <w:bCs w:val="0"/>
                <w:color w:val="000000" w:themeColor="text1"/>
                <w:sz w:val="28"/>
                <w:szCs w:val="28"/>
                <w:highlight w:val="none"/>
                <w:lang w:eastAsia="zh-CN"/>
                <w14:textFill>
                  <w14:solidFill>
                    <w14:schemeClr w14:val="tx1"/>
                  </w14:solidFill>
                </w14:textFill>
              </w:rPr>
              <w:t>电子公章</w:t>
            </w:r>
            <w:r>
              <w:rPr>
                <w:rFonts w:hint="eastAsia" w:ascii="宋体" w:hAnsi="宋体" w:eastAsia="宋体" w:cs="宋体"/>
                <w:b w:val="0"/>
                <w:bCs w:val="0"/>
                <w:color w:val="000000" w:themeColor="text1"/>
                <w:sz w:val="28"/>
                <w:szCs w:val="28"/>
                <w:highlight w:val="none"/>
                <w14:textFill>
                  <w14:solidFill>
                    <w14:schemeClr w14:val="tx1"/>
                  </w14:solidFill>
                </w14:textFill>
              </w:rPr>
              <w:t>和法定代表人章或签名（按格式要求）。</w:t>
            </w:r>
          </w:p>
          <w:p w14:paraId="030A5FF7">
            <w:pPr>
              <w:keepNext w:val="0"/>
              <w:keepLines w:val="0"/>
              <w:pageBreakBefore w:val="0"/>
              <w:widowControl/>
              <w:suppressLineNumbers w:val="0"/>
              <w:wordWrap/>
              <w:topLinePunct w:val="0"/>
              <w:bidi w:val="0"/>
              <w:spacing w:line="560" w:lineRule="exact"/>
              <w:jc w:val="left"/>
              <w:rPr>
                <w:color w:val="000000" w:themeColor="text1"/>
                <w:highlight w:val="none"/>
                <w14:textFill>
                  <w14:solidFill>
                    <w14:schemeClr w14:val="tx1"/>
                  </w14:solidFill>
                </w14:textFill>
              </w:rPr>
            </w:pPr>
            <w:r>
              <w:rPr>
                <w:rFonts w:hint="eastAsia" w:ascii="宋体" w:hAnsi="宋体" w:eastAsia="宋体" w:cs="宋体"/>
                <w:color w:val="000000" w:themeColor="text1"/>
                <w:kern w:val="0"/>
                <w:sz w:val="28"/>
                <w:szCs w:val="28"/>
                <w:highlight w:val="none"/>
                <w:lang w:val="en-US" w:eastAsia="zh-CN" w:bidi="ar"/>
                <w14:textFill>
                  <w14:solidFill>
                    <w14:schemeClr w14:val="tx1"/>
                  </w14:solidFill>
                </w14:textFill>
              </w:rPr>
              <w:t xml:space="preserve">8、分公司参加投标时，文件法定代表人签字或签章的， </w:t>
            </w:r>
          </w:p>
          <w:p w14:paraId="465619C1">
            <w:pPr>
              <w:keepNext w:val="0"/>
              <w:keepLines w:val="0"/>
              <w:pageBreakBefore w:val="0"/>
              <w:widowControl/>
              <w:suppressLineNumbers w:val="0"/>
              <w:wordWrap/>
              <w:topLinePunct w:val="0"/>
              <w:bidi w:val="0"/>
              <w:spacing w:line="560" w:lineRule="exact"/>
              <w:jc w:val="left"/>
              <w:rPr>
                <w:rFonts w:hint="eastAsia" w:ascii="宋体" w:hAnsi="宋体" w:eastAsia="宋体" w:cs="宋体"/>
                <w:color w:val="000000" w:themeColor="text1"/>
                <w:kern w:val="0"/>
                <w:sz w:val="28"/>
                <w:szCs w:val="28"/>
                <w:highlight w:val="none"/>
                <w:lang w:val="en-US" w:eastAsia="zh-CN" w:bidi="ar"/>
                <w14:textFill>
                  <w14:solidFill>
                    <w14:schemeClr w14:val="tx1"/>
                  </w14:solidFill>
                </w14:textFill>
              </w:rPr>
            </w:pPr>
            <w:r>
              <w:rPr>
                <w:rFonts w:hint="eastAsia" w:ascii="宋体" w:hAnsi="宋体" w:eastAsia="宋体" w:cs="宋体"/>
                <w:color w:val="000000" w:themeColor="text1"/>
                <w:kern w:val="0"/>
                <w:sz w:val="28"/>
                <w:szCs w:val="28"/>
                <w:highlight w:val="none"/>
                <w:lang w:val="en-US" w:eastAsia="zh-CN" w:bidi="ar"/>
                <w14:textFill>
                  <w14:solidFill>
                    <w14:schemeClr w14:val="tx1"/>
                  </w14:solidFill>
                </w14:textFill>
              </w:rPr>
              <w:t>负责人签字或签章也予以认可。</w:t>
            </w:r>
          </w:p>
          <w:p w14:paraId="6AC855CE">
            <w:pPr>
              <w:keepNext w:val="0"/>
              <w:keepLines w:val="0"/>
              <w:pageBreakBefore w:val="0"/>
              <w:widowControl/>
              <w:numPr>
                <w:ilvl w:val="0"/>
                <w:numId w:val="0"/>
              </w:numPr>
              <w:suppressLineNumbers w:val="0"/>
              <w:wordWrap/>
              <w:topLinePunct w:val="0"/>
              <w:bidi w:val="0"/>
              <w:spacing w:line="560" w:lineRule="exact"/>
              <w:ind w:leftChars="0"/>
              <w:jc w:val="left"/>
              <w:rPr>
                <w:rFonts w:hint="default" w:ascii="宋体" w:hAnsi="宋体" w:cs="宋体"/>
                <w:color w:val="000000" w:themeColor="text1"/>
                <w:kern w:val="0"/>
                <w:sz w:val="28"/>
                <w:szCs w:val="28"/>
                <w:highlight w:val="none"/>
                <w:lang w:val="en-US" w:eastAsia="zh-CN" w:bidi="ar"/>
                <w14:textFill>
                  <w14:solidFill>
                    <w14:schemeClr w14:val="tx1"/>
                  </w14:solidFill>
                </w14:textFill>
              </w:rPr>
            </w:pPr>
            <w:r>
              <w:rPr>
                <w:rFonts w:hint="eastAsia" w:ascii="宋体" w:hAnsi="宋体" w:cs="宋体"/>
                <w:color w:val="000000" w:themeColor="text1"/>
                <w:kern w:val="0"/>
                <w:sz w:val="28"/>
                <w:szCs w:val="28"/>
                <w:highlight w:val="none"/>
                <w:lang w:val="en-US" w:eastAsia="zh-CN" w:bidi="ar"/>
                <w14:textFill>
                  <w14:solidFill>
                    <w14:schemeClr w14:val="tx1"/>
                  </w14:solidFill>
                </w14:textFill>
              </w:rPr>
              <w:t>9、相同品牌产品且通过资格审查、符合性审查的不同投标人参加同一标项下投标的，按一家投标人计算，评审后得分最高的同品牌投标人获得中标人推荐资格,评审得分相同的，按照投标报价由低到高顺序排列,得分且投标报价相同的，按技术指标优劣顺序排列，其他同品牌投标人不作为中标候选人。</w:t>
            </w:r>
          </w:p>
        </w:tc>
      </w:tr>
      <w:tr w14:paraId="701F57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14:paraId="06DBEEEC">
            <w:pPr>
              <w:keepNext w:val="0"/>
              <w:keepLines w:val="0"/>
              <w:pageBreakBefore w:val="0"/>
              <w:kinsoku/>
              <w:wordWrap/>
              <w:overflowPunct/>
              <w:topLinePunct w:val="0"/>
              <w:bidi w:val="0"/>
              <w:adjustRightInd/>
              <w:snapToGrid/>
              <w:spacing w:line="560" w:lineRule="exact"/>
              <w:jc w:val="center"/>
              <w:rPr>
                <w:rFonts w:hint="default"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cs="宋体"/>
                <w:color w:val="000000" w:themeColor="text1"/>
                <w:sz w:val="28"/>
                <w:szCs w:val="28"/>
                <w:highlight w:val="none"/>
                <w:lang w:val="en-US" w:eastAsia="zh-CN"/>
                <w14:textFill>
                  <w14:solidFill>
                    <w14:schemeClr w14:val="tx1"/>
                  </w14:solidFill>
                </w14:textFill>
              </w:rPr>
              <w:t>33</w:t>
            </w:r>
          </w:p>
        </w:tc>
        <w:tc>
          <w:tcPr>
            <w:tcW w:w="2239" w:type="dxa"/>
            <w:tcBorders>
              <w:top w:val="single" w:color="auto" w:sz="4" w:space="0"/>
              <w:left w:val="single" w:color="auto" w:sz="4" w:space="0"/>
              <w:bottom w:val="single" w:color="auto" w:sz="4" w:space="0"/>
              <w:right w:val="single" w:color="auto" w:sz="4" w:space="0"/>
            </w:tcBorders>
            <w:vAlign w:val="center"/>
          </w:tcPr>
          <w:p w14:paraId="32C6CDFE">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b/>
                <w:bCs w:val="0"/>
                <w:color w:val="000000" w:themeColor="text1"/>
                <w:sz w:val="28"/>
                <w:szCs w:val="28"/>
                <w:highlight w:val="none"/>
                <w14:textFill>
                  <w14:solidFill>
                    <w14:schemeClr w14:val="tx1"/>
                  </w14:solidFill>
                </w14:textFill>
              </w:rPr>
              <w:t>低于成本价不正当竞争预防措施</w:t>
            </w:r>
          </w:p>
        </w:tc>
        <w:tc>
          <w:tcPr>
            <w:tcW w:w="7297" w:type="dxa"/>
            <w:tcBorders>
              <w:top w:val="single" w:color="auto" w:sz="4" w:space="0"/>
              <w:left w:val="single" w:color="auto" w:sz="4" w:space="0"/>
              <w:bottom w:val="single" w:color="auto" w:sz="4" w:space="0"/>
              <w:right w:val="single" w:color="auto" w:sz="4" w:space="0"/>
            </w:tcBorders>
            <w:vAlign w:val="center"/>
          </w:tcPr>
          <w:p w14:paraId="362A8FBE">
            <w:pPr>
              <w:pStyle w:val="166"/>
              <w:keepNext w:val="0"/>
              <w:keepLines w:val="0"/>
              <w:pageBreakBefore w:val="0"/>
              <w:kinsoku/>
              <w:wordWrap/>
              <w:overflowPunct/>
              <w:topLinePunct w:val="0"/>
              <w:bidi w:val="0"/>
              <w:spacing w:line="560" w:lineRule="exact"/>
              <w:ind w:leftChars="0" w:firstLine="0" w:firstLineChars="0"/>
              <w:rPr>
                <w:rFonts w:hint="eastAsia" w:ascii="宋体" w:hAnsi="宋体" w:eastAsia="宋体" w:cs="宋体"/>
                <w:bCs/>
                <w:color w:val="000000" w:themeColor="text1"/>
                <w:kern w:val="0"/>
                <w:sz w:val="28"/>
                <w:szCs w:val="28"/>
                <w:highlight w:val="none"/>
                <w14:textFill>
                  <w14:solidFill>
                    <w14:schemeClr w14:val="tx1"/>
                  </w14:solidFill>
                </w14:textFill>
              </w:rPr>
            </w:pPr>
            <w:r>
              <w:rPr>
                <w:rFonts w:hint="eastAsia" w:ascii="宋体" w:hAnsi="宋体" w:eastAsia="宋体" w:cs="宋体"/>
                <w:bCs/>
                <w:color w:val="000000" w:themeColor="text1"/>
                <w:kern w:val="0"/>
                <w:sz w:val="28"/>
                <w:szCs w:val="28"/>
                <w:highlight w:val="none"/>
                <w14:textFill>
                  <w14:solidFill>
                    <w14:schemeClr w14:val="tx1"/>
                  </w14:solidFill>
                </w14:textFill>
              </w:rPr>
              <w:t>在评标过程中，评标小组认为</w:t>
            </w:r>
            <w:r>
              <w:rPr>
                <w:rFonts w:hint="eastAsia" w:ascii="宋体" w:hAnsi="宋体" w:cs="宋体"/>
                <w:bCs/>
                <w:color w:val="000000" w:themeColor="text1"/>
                <w:kern w:val="0"/>
                <w:sz w:val="28"/>
                <w:szCs w:val="28"/>
                <w:highlight w:val="none"/>
                <w:lang w:eastAsia="zh-CN"/>
                <w14:textFill>
                  <w14:solidFill>
                    <w14:schemeClr w14:val="tx1"/>
                  </w14:solidFill>
                </w14:textFill>
              </w:rPr>
              <w:t>供应商</w:t>
            </w:r>
            <w:r>
              <w:rPr>
                <w:rFonts w:hint="eastAsia" w:ascii="宋体" w:hAnsi="宋体" w:eastAsia="宋体" w:cs="宋体"/>
                <w:bCs/>
                <w:color w:val="000000" w:themeColor="text1"/>
                <w:kern w:val="0"/>
                <w:sz w:val="28"/>
                <w:szCs w:val="28"/>
                <w:highlight w:val="none"/>
                <w14:textFill>
                  <w14:solidFill>
                    <w14:schemeClr w14:val="tx1"/>
                  </w14:solidFill>
                </w14:textFill>
              </w:rPr>
              <w:t>的报价明显低于其他通过符合性审查</w:t>
            </w:r>
            <w:r>
              <w:rPr>
                <w:rFonts w:hint="eastAsia" w:ascii="宋体" w:hAnsi="宋体" w:cs="宋体"/>
                <w:bCs/>
                <w:color w:val="000000" w:themeColor="text1"/>
                <w:kern w:val="0"/>
                <w:sz w:val="28"/>
                <w:szCs w:val="28"/>
                <w:highlight w:val="none"/>
                <w:lang w:eastAsia="zh-CN"/>
                <w14:textFill>
                  <w14:solidFill>
                    <w14:schemeClr w14:val="tx1"/>
                  </w14:solidFill>
                </w14:textFill>
              </w:rPr>
              <w:t>供应商</w:t>
            </w:r>
            <w:r>
              <w:rPr>
                <w:rFonts w:hint="eastAsia" w:ascii="宋体" w:hAnsi="宋体" w:eastAsia="宋体" w:cs="宋体"/>
                <w:bCs/>
                <w:color w:val="000000" w:themeColor="text1"/>
                <w:kern w:val="0"/>
                <w:sz w:val="28"/>
                <w:szCs w:val="28"/>
                <w:highlight w:val="none"/>
                <w14:textFill>
                  <w14:solidFill>
                    <w14:schemeClr w14:val="tx1"/>
                  </w14:solidFill>
                </w14:textFill>
              </w:rPr>
              <w:t>的报价，有可能影响产品质量或者不能诚信履约的，评标小组应当要求其在评标现场合理的时间内提供成本构成书面说明，并提交相关证明材料。</w:t>
            </w:r>
            <w:r>
              <w:rPr>
                <w:rFonts w:hint="eastAsia" w:ascii="宋体" w:hAnsi="宋体" w:cs="宋体"/>
                <w:bCs/>
                <w:color w:val="000000" w:themeColor="text1"/>
                <w:kern w:val="0"/>
                <w:sz w:val="28"/>
                <w:szCs w:val="28"/>
                <w:highlight w:val="none"/>
                <w:lang w:eastAsia="zh-CN"/>
                <w14:textFill>
                  <w14:solidFill>
                    <w14:schemeClr w14:val="tx1"/>
                  </w14:solidFill>
                </w14:textFill>
              </w:rPr>
              <w:t>供应商</w:t>
            </w:r>
            <w:r>
              <w:rPr>
                <w:rFonts w:hint="eastAsia" w:ascii="宋体" w:hAnsi="宋体" w:eastAsia="宋体" w:cs="宋体"/>
                <w:bCs/>
                <w:color w:val="000000" w:themeColor="text1"/>
                <w:kern w:val="0"/>
                <w:sz w:val="28"/>
                <w:szCs w:val="28"/>
                <w:highlight w:val="none"/>
                <w14:textFill>
                  <w14:solidFill>
                    <w14:schemeClr w14:val="tx1"/>
                  </w14:solidFill>
                </w14:textFill>
              </w:rPr>
              <w:t>书面说明应当按照国家财务会计制度的规定要求，逐项就</w:t>
            </w:r>
            <w:r>
              <w:rPr>
                <w:rFonts w:hint="eastAsia" w:ascii="宋体" w:hAnsi="宋体" w:cs="宋体"/>
                <w:bCs/>
                <w:color w:val="000000" w:themeColor="text1"/>
                <w:kern w:val="0"/>
                <w:sz w:val="28"/>
                <w:szCs w:val="28"/>
                <w:highlight w:val="none"/>
                <w:lang w:eastAsia="zh-CN"/>
                <w14:textFill>
                  <w14:solidFill>
                    <w14:schemeClr w14:val="tx1"/>
                  </w14:solidFill>
                </w14:textFill>
              </w:rPr>
              <w:t>供应商</w:t>
            </w:r>
            <w:r>
              <w:rPr>
                <w:rFonts w:hint="eastAsia" w:ascii="宋体" w:hAnsi="宋体" w:eastAsia="宋体" w:cs="宋体"/>
                <w:bCs/>
                <w:color w:val="000000" w:themeColor="text1"/>
                <w:kern w:val="0"/>
                <w:sz w:val="28"/>
                <w:szCs w:val="28"/>
                <w:highlight w:val="none"/>
                <w14:textFill>
                  <w14:solidFill>
                    <w14:schemeClr w14:val="tx1"/>
                  </w14:solidFill>
                </w14:textFill>
              </w:rPr>
              <w:t>提供的货物、工程和服务的主营业务成本（应根据</w:t>
            </w:r>
            <w:r>
              <w:rPr>
                <w:rFonts w:hint="eastAsia" w:ascii="宋体" w:hAnsi="宋体" w:cs="宋体"/>
                <w:bCs/>
                <w:color w:val="000000" w:themeColor="text1"/>
                <w:kern w:val="0"/>
                <w:sz w:val="28"/>
                <w:szCs w:val="28"/>
                <w:highlight w:val="none"/>
                <w:lang w:eastAsia="zh-CN"/>
                <w14:textFill>
                  <w14:solidFill>
                    <w14:schemeClr w14:val="tx1"/>
                  </w14:solidFill>
                </w14:textFill>
              </w:rPr>
              <w:t>供应商</w:t>
            </w:r>
            <w:r>
              <w:rPr>
                <w:rFonts w:hint="eastAsia" w:ascii="宋体" w:hAnsi="宋体" w:eastAsia="宋体" w:cs="宋体"/>
                <w:bCs/>
                <w:color w:val="000000" w:themeColor="text1"/>
                <w:kern w:val="0"/>
                <w:sz w:val="28"/>
                <w:szCs w:val="28"/>
                <w:highlight w:val="none"/>
                <w14:textFill>
                  <w14:solidFill>
                    <w14:schemeClr w14:val="tx1"/>
                  </w14:solidFill>
                </w14:textFill>
              </w:rPr>
              <w:t>企业类型予以区别）、税金及附加、销售费用、管理费用、财务费用等成本构成事项详细陈述。</w:t>
            </w:r>
          </w:p>
          <w:p w14:paraId="36283D45">
            <w:pPr>
              <w:pStyle w:val="166"/>
              <w:keepNext w:val="0"/>
              <w:keepLines w:val="0"/>
              <w:pageBreakBefore w:val="0"/>
              <w:kinsoku/>
              <w:wordWrap/>
              <w:overflowPunct/>
              <w:topLinePunct w:val="0"/>
              <w:bidi w:val="0"/>
              <w:spacing w:line="560" w:lineRule="exact"/>
              <w:ind w:leftChars="0" w:firstLine="0" w:firstLineChars="0"/>
              <w:rPr>
                <w:rFonts w:hint="eastAsia" w:ascii="宋体" w:hAnsi="宋体" w:eastAsia="宋体" w:cs="宋体"/>
                <w:bCs/>
                <w:color w:val="000000" w:themeColor="text1"/>
                <w:kern w:val="0"/>
                <w:sz w:val="28"/>
                <w:szCs w:val="28"/>
                <w:highlight w:val="none"/>
                <w14:textFill>
                  <w14:solidFill>
                    <w14:schemeClr w14:val="tx1"/>
                  </w14:solidFill>
                </w14:textFill>
              </w:rPr>
            </w:pPr>
            <w:r>
              <w:rPr>
                <w:rFonts w:hint="eastAsia" w:ascii="宋体" w:hAnsi="宋体" w:cs="宋体"/>
                <w:bCs/>
                <w:color w:val="000000" w:themeColor="text1"/>
                <w:kern w:val="0"/>
                <w:sz w:val="28"/>
                <w:szCs w:val="28"/>
                <w:highlight w:val="none"/>
                <w:lang w:eastAsia="zh-CN"/>
                <w14:textFill>
                  <w14:solidFill>
                    <w14:schemeClr w14:val="tx1"/>
                  </w14:solidFill>
                </w14:textFill>
              </w:rPr>
              <w:t>供应商</w:t>
            </w:r>
            <w:r>
              <w:rPr>
                <w:rFonts w:hint="eastAsia" w:ascii="宋体" w:hAnsi="宋体" w:eastAsia="宋体" w:cs="宋体"/>
                <w:bCs/>
                <w:color w:val="000000" w:themeColor="text1"/>
                <w:kern w:val="0"/>
                <w:sz w:val="28"/>
                <w:szCs w:val="28"/>
                <w:highlight w:val="none"/>
                <w14:textFill>
                  <w14:solidFill>
                    <w14:schemeClr w14:val="tx1"/>
                  </w14:solidFill>
                </w14:textFill>
              </w:rPr>
              <w:t>书面说明应当签字确认或者加盖公章，否则无效。书面说明的签字确认，</w:t>
            </w:r>
            <w:r>
              <w:rPr>
                <w:rFonts w:hint="eastAsia" w:ascii="宋体" w:hAnsi="宋体" w:cs="宋体"/>
                <w:bCs/>
                <w:color w:val="000000" w:themeColor="text1"/>
                <w:kern w:val="0"/>
                <w:sz w:val="28"/>
                <w:szCs w:val="28"/>
                <w:highlight w:val="none"/>
                <w:lang w:eastAsia="zh-CN"/>
                <w14:textFill>
                  <w14:solidFill>
                    <w14:schemeClr w14:val="tx1"/>
                  </w14:solidFill>
                </w14:textFill>
              </w:rPr>
              <w:t>供应商</w:t>
            </w:r>
            <w:r>
              <w:rPr>
                <w:rFonts w:hint="eastAsia" w:ascii="宋体" w:hAnsi="宋体" w:eastAsia="宋体" w:cs="宋体"/>
                <w:bCs/>
                <w:color w:val="000000" w:themeColor="text1"/>
                <w:kern w:val="0"/>
                <w:sz w:val="28"/>
                <w:szCs w:val="28"/>
                <w:highlight w:val="none"/>
                <w14:textFill>
                  <w14:solidFill>
                    <w14:schemeClr w14:val="tx1"/>
                  </w14:solidFill>
                </w14:textFill>
              </w:rPr>
              <w:t>为法人的，由其法定代表人或者代理人签字确认；</w:t>
            </w:r>
            <w:r>
              <w:rPr>
                <w:rFonts w:hint="eastAsia" w:ascii="宋体" w:hAnsi="宋体" w:cs="宋体"/>
                <w:bCs/>
                <w:color w:val="000000" w:themeColor="text1"/>
                <w:kern w:val="0"/>
                <w:sz w:val="28"/>
                <w:szCs w:val="28"/>
                <w:highlight w:val="none"/>
                <w:lang w:eastAsia="zh-CN"/>
                <w14:textFill>
                  <w14:solidFill>
                    <w14:schemeClr w14:val="tx1"/>
                  </w14:solidFill>
                </w14:textFill>
              </w:rPr>
              <w:t>供应商</w:t>
            </w:r>
            <w:r>
              <w:rPr>
                <w:rFonts w:hint="eastAsia" w:ascii="宋体" w:hAnsi="宋体" w:eastAsia="宋体" w:cs="宋体"/>
                <w:bCs/>
                <w:color w:val="000000" w:themeColor="text1"/>
                <w:kern w:val="0"/>
                <w:sz w:val="28"/>
                <w:szCs w:val="28"/>
                <w:highlight w:val="none"/>
                <w14:textFill>
                  <w14:solidFill>
                    <w14:schemeClr w14:val="tx1"/>
                  </w14:solidFill>
                </w14:textFill>
              </w:rPr>
              <w:t>为其他组织的，由其主要负责人或者代理人签字确认；</w:t>
            </w:r>
            <w:r>
              <w:rPr>
                <w:rFonts w:hint="eastAsia" w:ascii="宋体" w:hAnsi="宋体" w:cs="宋体"/>
                <w:bCs/>
                <w:color w:val="000000" w:themeColor="text1"/>
                <w:kern w:val="0"/>
                <w:sz w:val="28"/>
                <w:szCs w:val="28"/>
                <w:highlight w:val="none"/>
                <w:lang w:eastAsia="zh-CN"/>
                <w14:textFill>
                  <w14:solidFill>
                    <w14:schemeClr w14:val="tx1"/>
                  </w14:solidFill>
                </w14:textFill>
              </w:rPr>
              <w:t>供应商</w:t>
            </w:r>
            <w:r>
              <w:rPr>
                <w:rFonts w:hint="eastAsia" w:ascii="宋体" w:hAnsi="宋体" w:eastAsia="宋体" w:cs="宋体"/>
                <w:bCs/>
                <w:color w:val="000000" w:themeColor="text1"/>
                <w:kern w:val="0"/>
                <w:sz w:val="28"/>
                <w:szCs w:val="28"/>
                <w:highlight w:val="none"/>
                <w14:textFill>
                  <w14:solidFill>
                    <w14:schemeClr w14:val="tx1"/>
                  </w14:solidFill>
                </w14:textFill>
              </w:rPr>
              <w:t>为自然人的，由其本人或者代理人签字确认。</w:t>
            </w:r>
          </w:p>
          <w:p w14:paraId="25D28BD2">
            <w:pPr>
              <w:keepNext w:val="0"/>
              <w:keepLines w:val="0"/>
              <w:pageBreakBefore w:val="0"/>
              <w:kinsoku/>
              <w:wordWrap/>
              <w:overflowPunct/>
              <w:topLinePunct w:val="0"/>
              <w:bidi w:val="0"/>
              <w:adjustRightInd/>
              <w:snapToGrid/>
              <w:spacing w:line="560" w:lineRule="exact"/>
              <w:jc w:val="left"/>
              <w:rPr>
                <w:rFonts w:hint="eastAsia" w:ascii="宋体" w:hAnsi="宋体" w:eastAsia="宋体" w:cs="宋体"/>
                <w:b/>
                <w:bCs/>
                <w:color w:val="000000" w:themeColor="text1"/>
                <w:sz w:val="28"/>
                <w:szCs w:val="28"/>
                <w:highlight w:val="none"/>
                <w:lang w:val="en-US" w:eastAsia="zh-CN"/>
                <w14:textFill>
                  <w14:solidFill>
                    <w14:schemeClr w14:val="tx1"/>
                  </w14:solidFill>
                </w14:textFill>
              </w:rPr>
            </w:pPr>
            <w:r>
              <w:rPr>
                <w:rFonts w:hint="eastAsia" w:ascii="宋体" w:hAnsi="宋体" w:cs="宋体"/>
                <w:bCs/>
                <w:color w:val="000000" w:themeColor="text1"/>
                <w:kern w:val="0"/>
                <w:sz w:val="28"/>
                <w:szCs w:val="28"/>
                <w:highlight w:val="none"/>
                <w:lang w:eastAsia="zh-CN"/>
                <w14:textFill>
                  <w14:solidFill>
                    <w14:schemeClr w14:val="tx1"/>
                  </w14:solidFill>
                </w14:textFill>
              </w:rPr>
              <w:t>供应商</w:t>
            </w:r>
            <w:r>
              <w:rPr>
                <w:rFonts w:hint="eastAsia" w:ascii="宋体" w:hAnsi="宋体" w:eastAsia="宋体" w:cs="宋体"/>
                <w:bCs/>
                <w:color w:val="000000" w:themeColor="text1"/>
                <w:kern w:val="0"/>
                <w:sz w:val="28"/>
                <w:szCs w:val="28"/>
                <w:highlight w:val="none"/>
                <w14:textFill>
                  <w14:solidFill>
                    <w14:schemeClr w14:val="tx1"/>
                  </w14:solidFill>
                </w14:textFill>
              </w:rPr>
              <w:t>提供书面说明后，评标小组应当结合采购项目采购需求、专业实际情况、</w:t>
            </w:r>
            <w:r>
              <w:rPr>
                <w:rFonts w:hint="eastAsia" w:ascii="宋体" w:hAnsi="宋体" w:cs="宋体"/>
                <w:bCs/>
                <w:color w:val="000000" w:themeColor="text1"/>
                <w:kern w:val="0"/>
                <w:sz w:val="28"/>
                <w:szCs w:val="28"/>
                <w:highlight w:val="none"/>
                <w:lang w:eastAsia="zh-CN"/>
                <w14:textFill>
                  <w14:solidFill>
                    <w14:schemeClr w14:val="tx1"/>
                  </w14:solidFill>
                </w14:textFill>
              </w:rPr>
              <w:t>供应商</w:t>
            </w:r>
            <w:r>
              <w:rPr>
                <w:rFonts w:hint="eastAsia" w:ascii="宋体" w:hAnsi="宋体" w:eastAsia="宋体" w:cs="宋体"/>
                <w:bCs/>
                <w:color w:val="000000" w:themeColor="text1"/>
                <w:kern w:val="0"/>
                <w:sz w:val="28"/>
                <w:szCs w:val="28"/>
                <w:highlight w:val="none"/>
                <w14:textFill>
                  <w14:solidFill>
                    <w14:schemeClr w14:val="tx1"/>
                  </w14:solidFill>
                </w14:textFill>
              </w:rPr>
              <w:t>财务状况报告、与其他</w:t>
            </w:r>
            <w:r>
              <w:rPr>
                <w:rFonts w:hint="eastAsia" w:ascii="宋体" w:hAnsi="宋体" w:cs="宋体"/>
                <w:bCs/>
                <w:color w:val="000000" w:themeColor="text1"/>
                <w:kern w:val="0"/>
                <w:sz w:val="28"/>
                <w:szCs w:val="28"/>
                <w:highlight w:val="none"/>
                <w:lang w:eastAsia="zh-CN"/>
                <w14:textFill>
                  <w14:solidFill>
                    <w14:schemeClr w14:val="tx1"/>
                  </w14:solidFill>
                </w14:textFill>
              </w:rPr>
              <w:t>供应商</w:t>
            </w:r>
            <w:r>
              <w:rPr>
                <w:rFonts w:hint="eastAsia" w:ascii="宋体" w:hAnsi="宋体" w:eastAsia="宋体" w:cs="宋体"/>
                <w:bCs/>
                <w:color w:val="000000" w:themeColor="text1"/>
                <w:kern w:val="0"/>
                <w:sz w:val="28"/>
                <w:szCs w:val="28"/>
                <w:highlight w:val="none"/>
                <w14:textFill>
                  <w14:solidFill>
                    <w14:schemeClr w14:val="tx1"/>
                  </w14:solidFill>
                </w14:textFill>
              </w:rPr>
              <w:t>比较情况等就</w:t>
            </w:r>
            <w:r>
              <w:rPr>
                <w:rFonts w:hint="eastAsia" w:ascii="宋体" w:hAnsi="宋体" w:cs="宋体"/>
                <w:bCs/>
                <w:color w:val="000000" w:themeColor="text1"/>
                <w:kern w:val="0"/>
                <w:sz w:val="28"/>
                <w:szCs w:val="28"/>
                <w:highlight w:val="none"/>
                <w:lang w:eastAsia="zh-CN"/>
                <w14:textFill>
                  <w14:solidFill>
                    <w14:schemeClr w14:val="tx1"/>
                  </w14:solidFill>
                </w14:textFill>
              </w:rPr>
              <w:t>供应商</w:t>
            </w:r>
            <w:r>
              <w:rPr>
                <w:rFonts w:hint="eastAsia" w:ascii="宋体" w:hAnsi="宋体" w:eastAsia="宋体" w:cs="宋体"/>
                <w:bCs/>
                <w:color w:val="000000" w:themeColor="text1"/>
                <w:kern w:val="0"/>
                <w:sz w:val="28"/>
                <w:szCs w:val="28"/>
                <w:highlight w:val="none"/>
                <w14:textFill>
                  <w14:solidFill>
                    <w14:schemeClr w14:val="tx1"/>
                  </w14:solidFill>
                </w14:textFill>
              </w:rPr>
              <w:t>书面说明进行审查评价。</w:t>
            </w:r>
            <w:r>
              <w:rPr>
                <w:rFonts w:hint="eastAsia" w:ascii="宋体" w:hAnsi="宋体" w:cs="宋体"/>
                <w:bCs/>
                <w:color w:val="000000" w:themeColor="text1"/>
                <w:kern w:val="0"/>
                <w:sz w:val="28"/>
                <w:szCs w:val="28"/>
                <w:highlight w:val="none"/>
                <w:lang w:eastAsia="zh-CN"/>
                <w14:textFill>
                  <w14:solidFill>
                    <w14:schemeClr w14:val="tx1"/>
                  </w14:solidFill>
                </w14:textFill>
              </w:rPr>
              <w:t>供应商</w:t>
            </w:r>
            <w:r>
              <w:rPr>
                <w:rFonts w:hint="eastAsia" w:ascii="宋体" w:hAnsi="宋体" w:eastAsia="宋体" w:cs="宋体"/>
                <w:bCs/>
                <w:color w:val="000000" w:themeColor="text1"/>
                <w:kern w:val="0"/>
                <w:sz w:val="28"/>
                <w:szCs w:val="28"/>
                <w:highlight w:val="none"/>
                <w14:textFill>
                  <w14:solidFill>
                    <w14:schemeClr w14:val="tx1"/>
                  </w14:solidFill>
                </w14:textFill>
              </w:rPr>
              <w:t>拒绝或者变相拒绝提供有效书面说明或者书面说明不能证明其报价合理性的，评标小组应当将其投标文件作为无效处理。</w:t>
            </w:r>
          </w:p>
        </w:tc>
      </w:tr>
      <w:tr w14:paraId="105A27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14:paraId="01B9A4FC">
            <w:pPr>
              <w:keepNext w:val="0"/>
              <w:keepLines w:val="0"/>
              <w:pageBreakBefore w:val="0"/>
              <w:kinsoku/>
              <w:wordWrap/>
              <w:overflowPunct/>
              <w:topLinePunct w:val="0"/>
              <w:bidi w:val="0"/>
              <w:adjustRightInd/>
              <w:snapToGrid/>
              <w:spacing w:line="560" w:lineRule="exact"/>
              <w:jc w:val="center"/>
              <w:rPr>
                <w:rFonts w:hint="eastAsia" w:ascii="宋体" w:hAnsi="宋体" w:cs="宋体"/>
                <w:color w:val="000000" w:themeColor="text1"/>
                <w:sz w:val="28"/>
                <w:szCs w:val="28"/>
                <w:highlight w:val="none"/>
                <w:lang w:val="en-US" w:eastAsia="zh-CN"/>
                <w14:textFill>
                  <w14:solidFill>
                    <w14:schemeClr w14:val="tx1"/>
                  </w14:solidFill>
                </w14:textFill>
              </w:rPr>
            </w:pPr>
            <w:r>
              <w:rPr>
                <w:rFonts w:hint="eastAsia" w:ascii="宋体" w:hAnsi="宋体" w:cs="宋体"/>
                <w:color w:val="000000" w:themeColor="text1"/>
                <w:sz w:val="28"/>
                <w:szCs w:val="28"/>
                <w:highlight w:val="none"/>
                <w:lang w:val="en-US" w:eastAsia="zh-CN"/>
                <w14:textFill>
                  <w14:solidFill>
                    <w14:schemeClr w14:val="tx1"/>
                  </w14:solidFill>
                </w14:textFill>
              </w:rPr>
              <w:t>34</w:t>
            </w:r>
          </w:p>
        </w:tc>
        <w:tc>
          <w:tcPr>
            <w:tcW w:w="2239" w:type="dxa"/>
            <w:tcBorders>
              <w:top w:val="single" w:color="auto" w:sz="4" w:space="0"/>
              <w:left w:val="single" w:color="auto" w:sz="4" w:space="0"/>
              <w:bottom w:val="single" w:color="auto" w:sz="4" w:space="0"/>
              <w:right w:val="single" w:color="auto" w:sz="4" w:space="0"/>
            </w:tcBorders>
            <w:vAlign w:val="center"/>
          </w:tcPr>
          <w:p w14:paraId="4BF6C012">
            <w:pPr>
              <w:pStyle w:val="159"/>
              <w:keepLines w:val="0"/>
              <w:pageBreakBefore w:val="0"/>
              <w:widowControl w:val="0"/>
              <w:shd w:val="clear" w:color="auto" w:fill="auto"/>
              <w:kinsoku/>
              <w:wordWrap/>
              <w:overflowPunct/>
              <w:topLinePunct w:val="0"/>
              <w:bidi w:val="0"/>
              <w:adjustRightInd/>
              <w:snapToGrid/>
              <w:spacing w:line="360" w:lineRule="auto"/>
              <w:ind w:left="0" w:leftChars="0" w:firstLine="0" w:firstLineChars="0"/>
              <w:jc w:val="center"/>
              <w:textAlignment w:val="auto"/>
              <w:rPr>
                <w:rFonts w:hint="eastAsia" w:ascii="宋体" w:hAnsi="宋体" w:eastAsia="宋体" w:cs="宋体"/>
                <w:b/>
                <w:bCs w:val="0"/>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lang w:eastAsia="zh-CN"/>
                <w14:textFill>
                  <w14:solidFill>
                    <w14:schemeClr w14:val="tx1"/>
                  </w14:solidFill>
                </w14:textFill>
              </w:rPr>
              <w:t>评审</w:t>
            </w:r>
            <w:r>
              <w:rPr>
                <w:rFonts w:hint="eastAsia" w:ascii="宋体" w:hAnsi="宋体" w:eastAsia="宋体" w:cs="宋体"/>
                <w:b/>
                <w:bCs/>
                <w:color w:val="000000" w:themeColor="text1"/>
                <w:sz w:val="28"/>
                <w:szCs w:val="28"/>
                <w:highlight w:val="none"/>
                <w14:textFill>
                  <w14:solidFill>
                    <w14:schemeClr w14:val="tx1"/>
                  </w14:solidFill>
                </w14:textFill>
              </w:rPr>
              <w:t>小组的组建及确定方式</w:t>
            </w:r>
          </w:p>
        </w:tc>
        <w:tc>
          <w:tcPr>
            <w:tcW w:w="7297" w:type="dxa"/>
            <w:tcBorders>
              <w:top w:val="single" w:color="auto" w:sz="4" w:space="0"/>
              <w:left w:val="single" w:color="auto" w:sz="4" w:space="0"/>
              <w:bottom w:val="single" w:color="auto" w:sz="4" w:space="0"/>
              <w:right w:val="single" w:color="auto" w:sz="4" w:space="0"/>
            </w:tcBorders>
            <w:vAlign w:val="center"/>
          </w:tcPr>
          <w:p w14:paraId="48850C42">
            <w:pPr>
              <w:pStyle w:val="159"/>
              <w:keepLines w:val="0"/>
              <w:pageBreakBefore w:val="0"/>
              <w:widowControl w:val="0"/>
              <w:shd w:val="clear" w:color="auto" w:fill="auto"/>
              <w:kinsoku/>
              <w:wordWrap/>
              <w:overflowPunct/>
              <w:topLinePunct w:val="0"/>
              <w:bidi w:val="0"/>
              <w:adjustRightInd/>
              <w:snapToGrid/>
              <w:spacing w:line="360" w:lineRule="auto"/>
              <w:ind w:left="0" w:leftChars="0" w:firstLine="0" w:firstLineChars="0"/>
              <w:textAlignment w:val="auto"/>
              <w:rPr>
                <w:rFonts w:hint="eastAsia" w:ascii="宋体" w:hAnsi="宋体" w:cs="宋体"/>
                <w:bCs/>
                <w:color w:val="000000" w:themeColor="text1"/>
                <w:kern w:val="0"/>
                <w:sz w:val="28"/>
                <w:szCs w:val="28"/>
                <w:highlight w:val="none"/>
                <w:lang w:eastAsia="zh-CN"/>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采购人依法组建</w:t>
            </w:r>
            <w:r>
              <w:rPr>
                <w:rFonts w:hint="eastAsia" w:ascii="宋体" w:hAnsi="宋体" w:eastAsia="宋体" w:cs="宋体"/>
                <w:color w:val="000000" w:themeColor="text1"/>
                <w:sz w:val="28"/>
                <w:szCs w:val="28"/>
                <w:highlight w:val="none"/>
                <w:lang w:eastAsia="zh-CN"/>
                <w14:textFill>
                  <w14:solidFill>
                    <w14:schemeClr w14:val="tx1"/>
                  </w14:solidFill>
                </w14:textFill>
              </w:rPr>
              <w:t>评审</w:t>
            </w:r>
            <w:r>
              <w:rPr>
                <w:rFonts w:hint="eastAsia" w:ascii="宋体" w:hAnsi="宋体" w:eastAsia="宋体" w:cs="宋体"/>
                <w:color w:val="000000" w:themeColor="text1"/>
                <w:sz w:val="28"/>
                <w:szCs w:val="28"/>
                <w:highlight w:val="none"/>
                <w14:textFill>
                  <w14:solidFill>
                    <w14:schemeClr w14:val="tx1"/>
                  </w14:solidFill>
                </w14:textFill>
              </w:rPr>
              <w:t>小组共</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sz w:val="28"/>
                <w:szCs w:val="28"/>
                <w:highlight w:val="none"/>
                <w:u w:val="single"/>
                <w:lang w:val="en-US" w:eastAsia="zh-CN"/>
                <w14:textFill>
                  <w14:solidFill>
                    <w14:schemeClr w14:val="tx1"/>
                  </w14:solidFill>
                </w14:textFill>
              </w:rPr>
              <w:t>5</w:t>
            </w:r>
            <w:r>
              <w:rPr>
                <w:rFonts w:hint="eastAsia" w:ascii="宋体" w:hAnsi="宋体" w:eastAsia="宋体" w:cs="宋体"/>
                <w:color w:val="000000" w:themeColor="text1"/>
                <w:sz w:val="28"/>
                <w:szCs w:val="28"/>
                <w:highlight w:val="none"/>
                <w14:textFill>
                  <w14:solidFill>
                    <w14:schemeClr w14:val="tx1"/>
                  </w14:solidFill>
                </w14:textFill>
              </w:rPr>
              <w:t>人，</w:t>
            </w:r>
            <w:r>
              <w:rPr>
                <w:rFonts w:hint="eastAsia" w:ascii="宋体" w:hAnsi="宋体" w:eastAsia="宋体" w:cs="宋体"/>
                <w:color w:val="000000" w:themeColor="text1"/>
                <w:sz w:val="28"/>
                <w:szCs w:val="28"/>
                <w:highlight w:val="none"/>
                <w:lang w:val="en-US" w:eastAsia="zh-CN"/>
                <w14:textFill>
                  <w14:solidFill>
                    <w14:schemeClr w14:val="tx1"/>
                  </w14:solidFill>
                </w14:textFill>
              </w:rPr>
              <w:t>由</w:t>
            </w:r>
            <w:r>
              <w:rPr>
                <w:rFonts w:hint="eastAsia" w:ascii="宋体" w:hAnsi="宋体" w:eastAsia="宋体" w:cs="宋体"/>
                <w:color w:val="000000" w:themeColor="text1"/>
                <w:sz w:val="28"/>
                <w:szCs w:val="28"/>
                <w:highlight w:val="none"/>
                <w14:textFill>
                  <w14:solidFill>
                    <w14:schemeClr w14:val="tx1"/>
                  </w14:solidFill>
                </w14:textFill>
              </w:rPr>
              <w:t>采购人代表</w:t>
            </w:r>
            <w:r>
              <w:rPr>
                <w:rFonts w:hint="eastAsia" w:ascii="宋体" w:hAnsi="宋体" w:eastAsia="宋体" w:cs="宋体"/>
                <w:color w:val="000000" w:themeColor="text1"/>
                <w:sz w:val="28"/>
                <w:szCs w:val="28"/>
                <w:highlight w:val="none"/>
                <w:u w:val="none"/>
                <w:lang w:eastAsia="zh-CN"/>
                <w14:textFill>
                  <w14:solidFill>
                    <w14:schemeClr w14:val="tx1"/>
                  </w14:solidFill>
                </w14:textFill>
              </w:rPr>
              <w:t>（</w:t>
            </w:r>
            <w:r>
              <w:rPr>
                <w:rFonts w:hint="eastAsia" w:ascii="宋体" w:hAnsi="宋体" w:eastAsia="宋体" w:cs="宋体"/>
                <w:color w:val="000000" w:themeColor="text1"/>
                <w:sz w:val="28"/>
                <w:szCs w:val="28"/>
                <w:highlight w:val="none"/>
                <w:u w:val="none"/>
                <w:lang w:val="en-US" w:eastAsia="zh-CN"/>
                <w14:textFill>
                  <w14:solidFill>
                    <w14:schemeClr w14:val="tx1"/>
                  </w14:solidFill>
                </w14:textFill>
              </w:rPr>
              <w:t>如有</w:t>
            </w:r>
            <w:r>
              <w:rPr>
                <w:rFonts w:hint="eastAsia" w:ascii="宋体" w:hAnsi="宋体" w:eastAsia="宋体" w:cs="宋体"/>
                <w:color w:val="000000" w:themeColor="text1"/>
                <w:sz w:val="28"/>
                <w:szCs w:val="28"/>
                <w:highlight w:val="none"/>
                <w:u w:val="none"/>
                <w:lang w:eastAsia="zh-CN"/>
                <w14:textFill>
                  <w14:solidFill>
                    <w14:schemeClr w14:val="tx1"/>
                  </w14:solidFill>
                </w14:textFill>
              </w:rPr>
              <w:t>）</w:t>
            </w:r>
            <w:r>
              <w:rPr>
                <w:rFonts w:hint="eastAsia" w:ascii="宋体" w:hAnsi="宋体" w:eastAsia="宋体" w:cs="宋体"/>
                <w:color w:val="000000" w:themeColor="text1"/>
                <w:sz w:val="28"/>
                <w:szCs w:val="28"/>
                <w:highlight w:val="none"/>
                <w14:textFill>
                  <w14:solidFill>
                    <w14:schemeClr w14:val="tx1"/>
                  </w14:solidFill>
                </w14:textFill>
              </w:rPr>
              <w:t>和专家评委组成</w:t>
            </w:r>
            <w:r>
              <w:rPr>
                <w:rFonts w:hint="eastAsia" w:ascii="宋体" w:hAnsi="宋体" w:eastAsia="宋体" w:cs="宋体"/>
                <w:color w:val="000000" w:themeColor="text1"/>
                <w:sz w:val="28"/>
                <w:szCs w:val="28"/>
                <w:highlight w:val="none"/>
                <w:u w:val="none"/>
                <w:lang w:eastAsia="zh-CN"/>
                <w14:textFill>
                  <w14:solidFill>
                    <w14:schemeClr w14:val="tx1"/>
                  </w14:solidFill>
                </w14:textFill>
              </w:rPr>
              <w:t>。</w:t>
            </w:r>
            <w:r>
              <w:rPr>
                <w:rFonts w:hint="eastAsia" w:ascii="宋体" w:hAnsi="宋体" w:eastAsia="宋体" w:cs="宋体"/>
                <w:color w:val="000000" w:themeColor="text1"/>
                <w:sz w:val="28"/>
                <w:szCs w:val="28"/>
                <w:highlight w:val="none"/>
                <w14:textFill>
                  <w14:solidFill>
                    <w14:schemeClr w14:val="tx1"/>
                  </w14:solidFill>
                </w14:textFill>
              </w:rPr>
              <w:t>谈判小组确定方式：</w:t>
            </w:r>
            <w:r>
              <w:rPr>
                <w:rFonts w:hint="eastAsia" w:ascii="宋体" w:hAnsi="宋体" w:eastAsia="宋体" w:cs="宋体"/>
                <w:color w:val="000000" w:themeColor="text1"/>
                <w:sz w:val="28"/>
                <w:szCs w:val="28"/>
                <w:highlight w:val="none"/>
                <w:u w:val="single"/>
                <w:lang w:eastAsia="zh-CN"/>
                <w14:textFill>
                  <w14:solidFill>
                    <w14:schemeClr w14:val="tx1"/>
                  </w14:solidFill>
                </w14:textFill>
              </w:rPr>
              <w:t>新疆政府采购网</w:t>
            </w:r>
            <w:r>
              <w:rPr>
                <w:rFonts w:hint="eastAsia" w:ascii="宋体" w:hAnsi="宋体" w:eastAsia="宋体" w:cs="宋体"/>
                <w:color w:val="000000" w:themeColor="text1"/>
                <w:sz w:val="28"/>
                <w:szCs w:val="28"/>
                <w:highlight w:val="none"/>
                <w:u w:val="single"/>
                <w14:textFill>
                  <w14:solidFill>
                    <w14:schemeClr w14:val="tx1"/>
                  </w14:solidFill>
                </w14:textFill>
              </w:rPr>
              <w:t>专家库中随机抽取确定</w:t>
            </w:r>
            <w:r>
              <w:rPr>
                <w:rFonts w:hint="eastAsia" w:ascii="宋体" w:hAnsi="宋体" w:eastAsia="宋体" w:cs="宋体"/>
                <w:color w:val="000000" w:themeColor="text1"/>
                <w:sz w:val="28"/>
                <w:szCs w:val="28"/>
                <w:highlight w:val="none"/>
                <w:u w:val="single"/>
                <w:lang w:val="en-US" w:eastAsia="zh-CN"/>
                <w14:textFill>
                  <w14:solidFill>
                    <w14:schemeClr w14:val="tx1"/>
                  </w14:solidFill>
                </w14:textFill>
              </w:rPr>
              <w:t xml:space="preserve"> </w:t>
            </w:r>
          </w:p>
        </w:tc>
      </w:tr>
    </w:tbl>
    <w:p w14:paraId="21CE7360">
      <w:pPr>
        <w:pStyle w:val="143"/>
        <w:pageBreakBefore w:val="0"/>
        <w:wordWrap/>
        <w:topLinePunct w:val="0"/>
        <w:bidi w:val="0"/>
        <w:spacing w:line="560" w:lineRule="exact"/>
        <w:rPr>
          <w:rFonts w:ascii="宋体" w:hAnsi="宋体" w:cs="宋体"/>
          <w:color w:val="000000" w:themeColor="text1"/>
          <w:kern w:val="0"/>
          <w:sz w:val="28"/>
          <w:szCs w:val="28"/>
          <w:highlight w:val="none"/>
          <w14:textFill>
            <w14:solidFill>
              <w14:schemeClr w14:val="tx1"/>
            </w14:solidFill>
          </w14:textFill>
        </w:rPr>
        <w:sectPr>
          <w:footerReference r:id="rId39" w:type="default"/>
          <w:pgSz w:w="11906" w:h="16838"/>
          <w:pgMar w:top="1134" w:right="1134" w:bottom="1134" w:left="1134" w:header="720" w:footer="720" w:gutter="0"/>
          <w:pgNumType w:fmt="decimal" w:start="1"/>
          <w:cols w:space="720" w:num="1"/>
          <w:docGrid w:type="lines" w:linePitch="331" w:charSpace="0"/>
        </w:sectPr>
      </w:pPr>
      <w:r>
        <w:rPr>
          <w:b/>
          <w:bCs w:val="0"/>
          <w:color w:val="000000" w:themeColor="text1"/>
          <w:kern w:val="0"/>
          <w:sz w:val="28"/>
          <w:szCs w:val="28"/>
          <w:highlight w:val="none"/>
          <w14:textFill>
            <w14:solidFill>
              <w14:schemeClr w14:val="tx1"/>
            </w14:solidFill>
          </w14:textFill>
        </w:rPr>
        <w:t>注：</w:t>
      </w:r>
      <w:r>
        <w:rPr>
          <w:rFonts w:hint="eastAsia" w:ascii="宋体" w:hAnsi="宋体" w:cs="宋体"/>
          <w:b/>
          <w:bCs w:val="0"/>
          <w:color w:val="000000" w:themeColor="text1"/>
          <w:kern w:val="0"/>
          <w:sz w:val="28"/>
          <w:szCs w:val="28"/>
          <w:highlight w:val="none"/>
          <w14:textFill>
            <w14:solidFill>
              <w14:schemeClr w14:val="tx1"/>
            </w14:solidFill>
          </w14:textFill>
        </w:rPr>
        <w:t>本表内容与招标文件其它内容不一致的，应当以本表内容为准。</w:t>
      </w:r>
    </w:p>
    <w:p w14:paraId="71F70E25">
      <w:pPr>
        <w:pStyle w:val="4"/>
        <w:keepNext w:val="0"/>
        <w:keepLines w:val="0"/>
        <w:pageBreakBefore w:val="0"/>
        <w:kinsoku/>
        <w:wordWrap/>
        <w:overflowPunct/>
        <w:topLinePunct w:val="0"/>
        <w:bidi w:val="0"/>
        <w:adjustRightInd/>
        <w:snapToGrid/>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一、</w:t>
      </w:r>
      <w:r>
        <w:rPr>
          <w:rFonts w:hint="eastAsia" w:ascii="宋体" w:hAnsi="宋体" w:eastAsia="宋体" w:cs="宋体"/>
          <w:color w:val="000000" w:themeColor="text1"/>
          <w:sz w:val="28"/>
          <w:szCs w:val="28"/>
          <w:highlight w:val="none"/>
          <w:lang w:eastAsia="zh-CN"/>
          <w14:textFill>
            <w14:solidFill>
              <w14:schemeClr w14:val="tx1"/>
            </w14:solidFill>
          </w14:textFill>
        </w:rPr>
        <w:t>供应商</w:t>
      </w:r>
      <w:r>
        <w:rPr>
          <w:rFonts w:hint="eastAsia" w:ascii="宋体" w:hAnsi="宋体" w:eastAsia="宋体" w:cs="宋体"/>
          <w:color w:val="000000" w:themeColor="text1"/>
          <w:sz w:val="28"/>
          <w:szCs w:val="28"/>
          <w:highlight w:val="none"/>
          <w14:textFill>
            <w14:solidFill>
              <w14:schemeClr w14:val="tx1"/>
            </w14:solidFill>
          </w14:textFill>
        </w:rPr>
        <w:t>须知正文</w:t>
      </w:r>
    </w:p>
    <w:p w14:paraId="5ADE8D5F">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1.适用范围</w:t>
      </w:r>
    </w:p>
    <w:p w14:paraId="76A46788">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1.1适用法律：本项目采购人、采购代理机构、</w:t>
      </w:r>
      <w:r>
        <w:rPr>
          <w:rFonts w:hint="eastAsia" w:ascii="宋体" w:hAnsi="宋体" w:cs="宋体"/>
          <w:color w:val="000000" w:themeColor="text1"/>
          <w:sz w:val="28"/>
          <w:szCs w:val="28"/>
          <w:highlight w:val="none"/>
          <w:lang w:eastAsia="zh-CN"/>
          <w14:textFill>
            <w14:solidFill>
              <w14:schemeClr w14:val="tx1"/>
            </w14:solidFill>
          </w14:textFill>
        </w:rPr>
        <w:t>供应商</w:t>
      </w:r>
      <w:r>
        <w:rPr>
          <w:rFonts w:hint="eastAsia" w:ascii="宋体" w:hAnsi="宋体" w:eastAsia="宋体" w:cs="宋体"/>
          <w:color w:val="000000" w:themeColor="text1"/>
          <w:sz w:val="28"/>
          <w:szCs w:val="28"/>
          <w:highlight w:val="none"/>
          <w14:textFill>
            <w14:solidFill>
              <w14:schemeClr w14:val="tx1"/>
            </w14:solidFill>
          </w14:textFill>
        </w:rPr>
        <w:t>、评标委员会的相关行为均受《中华人民共和国政府采购法》、《中华人民共和国政府采购法实施条例》、《政府采购货物和货物招标投标管理办法》及本项目本级和上级财政部门政府采购有关规定的约束和保护。</w:t>
      </w:r>
    </w:p>
    <w:p w14:paraId="0A0F1E11">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1.2本招标文件</w:t>
      </w:r>
      <w:r>
        <w:rPr>
          <w:rFonts w:hint="eastAsia" w:ascii="宋体" w:hAnsi="宋体" w:eastAsia="宋体" w:cs="宋体"/>
          <w:color w:val="000000" w:themeColor="text1"/>
          <w:spacing w:val="-6"/>
          <w:sz w:val="28"/>
          <w:szCs w:val="28"/>
          <w:highlight w:val="none"/>
          <w14:textFill>
            <w14:solidFill>
              <w14:schemeClr w14:val="tx1"/>
            </w14:solidFill>
          </w14:textFill>
        </w:rPr>
        <w:t>适用于本项目的所有采购程序和环节（法律、法规另有规定的，从其规定）。</w:t>
      </w:r>
    </w:p>
    <w:p w14:paraId="374D5F82">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2.定义</w:t>
      </w:r>
    </w:p>
    <w:p w14:paraId="43D8D1E8">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b w:val="0"/>
          <w:bCs/>
          <w:color w:val="000000" w:themeColor="text1"/>
          <w:sz w:val="28"/>
          <w:szCs w:val="28"/>
          <w:highlight w:val="none"/>
          <w14:textFill>
            <w14:solidFill>
              <w14:schemeClr w14:val="tx1"/>
            </w14:solidFill>
          </w14:textFill>
        </w:rPr>
      </w:pPr>
      <w:r>
        <w:rPr>
          <w:rFonts w:hint="eastAsia" w:ascii="宋体" w:hAnsi="宋体" w:eastAsia="宋体" w:cs="宋体"/>
          <w:b w:val="0"/>
          <w:bCs/>
          <w:color w:val="000000" w:themeColor="text1"/>
          <w:sz w:val="28"/>
          <w:szCs w:val="28"/>
          <w:highlight w:val="none"/>
          <w14:textFill>
            <w14:solidFill>
              <w14:schemeClr w14:val="tx1"/>
            </w14:solidFill>
          </w14:textFill>
        </w:rPr>
        <w:t>2.1“采购人”是指依法进行政府采购的国家机关、事业单位、团体组织。</w:t>
      </w:r>
    </w:p>
    <w:p w14:paraId="0C4E6BED">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b w:val="0"/>
          <w:bCs/>
          <w:color w:val="000000" w:themeColor="text1"/>
          <w:sz w:val="28"/>
          <w:szCs w:val="28"/>
          <w:highlight w:val="none"/>
          <w14:textFill>
            <w14:solidFill>
              <w14:schemeClr w14:val="tx1"/>
            </w14:solidFill>
          </w14:textFill>
        </w:rPr>
      </w:pPr>
      <w:r>
        <w:rPr>
          <w:rFonts w:hint="eastAsia" w:ascii="宋体" w:hAnsi="宋体" w:eastAsia="宋体" w:cs="宋体"/>
          <w:b w:val="0"/>
          <w:bCs/>
          <w:color w:val="000000" w:themeColor="text1"/>
          <w:sz w:val="28"/>
          <w:szCs w:val="28"/>
          <w:highlight w:val="none"/>
          <w14:textFill>
            <w14:solidFill>
              <w14:schemeClr w14:val="tx1"/>
            </w14:solidFill>
          </w14:textFill>
        </w:rPr>
        <w:t>2.2“采购代理机构” 指政府采购集中采购机构和集中采购机构以外的采购代理机构。</w:t>
      </w:r>
    </w:p>
    <w:p w14:paraId="2910DA41">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b w:val="0"/>
          <w:bCs/>
          <w:color w:val="000000" w:themeColor="text1"/>
          <w:sz w:val="28"/>
          <w:szCs w:val="28"/>
          <w:highlight w:val="none"/>
          <w14:textFill>
            <w14:solidFill>
              <w14:schemeClr w14:val="tx1"/>
            </w14:solidFill>
          </w14:textFill>
        </w:rPr>
      </w:pPr>
      <w:r>
        <w:rPr>
          <w:rFonts w:hint="eastAsia" w:ascii="宋体" w:hAnsi="宋体" w:eastAsia="宋体" w:cs="宋体"/>
          <w:b w:val="0"/>
          <w:bCs/>
          <w:color w:val="000000" w:themeColor="text1"/>
          <w:sz w:val="28"/>
          <w:szCs w:val="28"/>
          <w:highlight w:val="none"/>
          <w14:textFill>
            <w14:solidFill>
              <w14:schemeClr w14:val="tx1"/>
            </w14:solidFill>
          </w14:textFill>
        </w:rPr>
        <w:t>2.3“供应商”是指向采购人提供货物、工程或者服务的法人、其他组织或者自然人。</w:t>
      </w:r>
    </w:p>
    <w:p w14:paraId="508D6BAA">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2.4“</w:t>
      </w:r>
      <w:r>
        <w:rPr>
          <w:rFonts w:hint="eastAsia" w:ascii="宋体" w:hAnsi="宋体" w:cs="宋体"/>
          <w:color w:val="000000" w:themeColor="text1"/>
          <w:sz w:val="28"/>
          <w:szCs w:val="28"/>
          <w:highlight w:val="none"/>
          <w:lang w:eastAsia="zh-CN"/>
          <w14:textFill>
            <w14:solidFill>
              <w14:schemeClr w14:val="tx1"/>
            </w14:solidFill>
          </w14:textFill>
        </w:rPr>
        <w:t>供应商</w:t>
      </w:r>
      <w:r>
        <w:rPr>
          <w:rFonts w:hint="eastAsia" w:ascii="宋体" w:hAnsi="宋体" w:eastAsia="宋体" w:cs="宋体"/>
          <w:color w:val="000000" w:themeColor="text1"/>
          <w:sz w:val="28"/>
          <w:szCs w:val="28"/>
          <w:highlight w:val="none"/>
          <w14:textFill>
            <w14:solidFill>
              <w14:schemeClr w14:val="tx1"/>
            </w14:solidFill>
          </w14:textFill>
        </w:rPr>
        <w:t>”是指响应招标、参加投标竞争的法人、非法人组织或者自然人。</w:t>
      </w:r>
    </w:p>
    <w:p w14:paraId="30CAADDA">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b w:val="0"/>
          <w:bCs/>
          <w:color w:val="000000" w:themeColor="text1"/>
          <w:sz w:val="28"/>
          <w:szCs w:val="28"/>
          <w:highlight w:val="none"/>
          <w14:textFill>
            <w14:solidFill>
              <w14:schemeClr w14:val="tx1"/>
            </w14:solidFill>
          </w14:textFill>
        </w:rPr>
      </w:pPr>
      <w:r>
        <w:rPr>
          <w:rFonts w:hint="eastAsia" w:ascii="宋体" w:hAnsi="宋体" w:eastAsia="宋体" w:cs="宋体"/>
          <w:b w:val="0"/>
          <w:bCs/>
          <w:color w:val="000000" w:themeColor="text1"/>
          <w:sz w:val="28"/>
          <w:szCs w:val="28"/>
          <w:highlight w:val="none"/>
          <w14:textFill>
            <w14:solidFill>
              <w14:schemeClr w14:val="tx1"/>
            </w14:solidFill>
          </w14:textFill>
        </w:rPr>
        <w:t>2.5“货物”是指各种形态和种类的物品，包括原材料、燃料、设备、产品等。</w:t>
      </w:r>
    </w:p>
    <w:p w14:paraId="1136B850">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2.6“售后服务” 是指商品出售以后所提供的各种服务，包含但不限于</w:t>
      </w:r>
      <w:r>
        <w:rPr>
          <w:rFonts w:hint="eastAsia" w:ascii="宋体" w:hAnsi="宋体" w:cs="宋体"/>
          <w:color w:val="000000" w:themeColor="text1"/>
          <w:sz w:val="28"/>
          <w:szCs w:val="28"/>
          <w:highlight w:val="none"/>
          <w:lang w:eastAsia="zh-CN"/>
          <w14:textFill>
            <w14:solidFill>
              <w14:schemeClr w14:val="tx1"/>
            </w14:solidFill>
          </w14:textFill>
        </w:rPr>
        <w:t>供应商</w:t>
      </w:r>
      <w:r>
        <w:rPr>
          <w:rFonts w:hint="eastAsia" w:ascii="宋体" w:hAnsi="宋体" w:eastAsia="宋体" w:cs="宋体"/>
          <w:color w:val="000000" w:themeColor="text1"/>
          <w:sz w:val="28"/>
          <w:szCs w:val="28"/>
          <w:highlight w:val="none"/>
          <w14:textFill>
            <w14:solidFill>
              <w14:schemeClr w14:val="tx1"/>
            </w14:solidFill>
          </w14:textFill>
        </w:rPr>
        <w:t>须承担的备品备件、包装、运输、装卸、保险、货到就位以及安装、调试、培训、保修以及其他各种服务。</w:t>
      </w:r>
    </w:p>
    <w:p w14:paraId="249BAAB0">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2.7“书面形式”是指合同书、信件和数据电文（包括电报、电传、传真、电子数据交换和电子邮件）等可以有形地表现所载内容的形式。</w:t>
      </w:r>
    </w:p>
    <w:p w14:paraId="351455EA">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2.8“实质性要求”是指招标文件中已经指明不满足则投标无效的条款，或者不能负偏离的条款，或者采购需求中带“★”的条款。</w:t>
      </w:r>
    </w:p>
    <w:p w14:paraId="2B2C8084">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2.9 “正偏离”，是指投标文件对招标文件“采购需求”中有关条款作出的响应优于条款要求并有利于采购人的情形。</w:t>
      </w:r>
    </w:p>
    <w:p w14:paraId="50676AF3">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2.10“负偏离”，是指投标文件对招标文件“采购需求”中有关条款作出的响应不满足条款要求，导致采购人要求不能得到满足的情形。</w:t>
      </w:r>
    </w:p>
    <w:p w14:paraId="5D36F075">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2.11“允许负偏离的条款”是指采购需求中的不属于“实质性要求”的条款。</w:t>
      </w:r>
    </w:p>
    <w:p w14:paraId="38149017">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3.</w:t>
      </w:r>
      <w:r>
        <w:rPr>
          <w:rFonts w:hint="eastAsia" w:ascii="宋体" w:hAnsi="宋体" w:cs="宋体"/>
          <w:color w:val="000000" w:themeColor="text1"/>
          <w:sz w:val="28"/>
          <w:szCs w:val="28"/>
          <w:highlight w:val="none"/>
          <w:lang w:eastAsia="zh-CN"/>
          <w14:textFill>
            <w14:solidFill>
              <w14:schemeClr w14:val="tx1"/>
            </w14:solidFill>
          </w14:textFill>
        </w:rPr>
        <w:t>供应商</w:t>
      </w:r>
      <w:r>
        <w:rPr>
          <w:rFonts w:hint="eastAsia" w:ascii="宋体" w:hAnsi="宋体" w:eastAsia="宋体" w:cs="宋体"/>
          <w:color w:val="000000" w:themeColor="text1"/>
          <w:sz w:val="28"/>
          <w:szCs w:val="28"/>
          <w:highlight w:val="none"/>
          <w14:textFill>
            <w14:solidFill>
              <w14:schemeClr w14:val="tx1"/>
            </w14:solidFill>
          </w14:textFill>
        </w:rPr>
        <w:t>的资格要求</w:t>
      </w:r>
    </w:p>
    <w:p w14:paraId="562EDB5B">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lang w:eastAsia="zh-CN"/>
          <w14:textFill>
            <w14:solidFill>
              <w14:schemeClr w14:val="tx1"/>
            </w14:solidFill>
          </w14:textFill>
        </w:rPr>
        <w:t>供应商</w:t>
      </w:r>
      <w:r>
        <w:rPr>
          <w:rFonts w:hint="eastAsia" w:ascii="宋体" w:hAnsi="宋体" w:eastAsia="宋体" w:cs="宋体"/>
          <w:color w:val="000000" w:themeColor="text1"/>
          <w:sz w:val="28"/>
          <w:szCs w:val="28"/>
          <w:highlight w:val="none"/>
          <w14:textFill>
            <w14:solidFill>
              <w14:schemeClr w14:val="tx1"/>
            </w14:solidFill>
          </w14:textFill>
        </w:rPr>
        <w:t>的资格要求详见“招标公告”。</w:t>
      </w:r>
    </w:p>
    <w:p w14:paraId="38ABA736">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4.投标委托</w:t>
      </w:r>
    </w:p>
    <w:p w14:paraId="60FFEB49">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lang w:eastAsia="zh-CN"/>
          <w14:textFill>
            <w14:solidFill>
              <w14:schemeClr w14:val="tx1"/>
            </w14:solidFill>
          </w14:textFill>
        </w:rPr>
        <w:t>供应商</w:t>
      </w:r>
      <w:r>
        <w:rPr>
          <w:rFonts w:hint="eastAsia" w:ascii="宋体" w:hAnsi="宋体" w:eastAsia="宋体" w:cs="宋体"/>
          <w:color w:val="000000" w:themeColor="text1"/>
          <w:sz w:val="28"/>
          <w:szCs w:val="28"/>
          <w:highlight w:val="none"/>
          <w14:textFill>
            <w14:solidFill>
              <w14:schemeClr w14:val="tx1"/>
            </w14:solidFill>
          </w14:textFill>
        </w:rPr>
        <w:t>代表参加投标活动过程中必须携带个人有效身份证件。如</w:t>
      </w:r>
      <w:r>
        <w:rPr>
          <w:rFonts w:hint="eastAsia" w:ascii="宋体" w:hAnsi="宋体" w:cs="宋体"/>
          <w:color w:val="000000" w:themeColor="text1"/>
          <w:sz w:val="28"/>
          <w:szCs w:val="28"/>
          <w:highlight w:val="none"/>
          <w:lang w:eastAsia="zh-CN"/>
          <w14:textFill>
            <w14:solidFill>
              <w14:schemeClr w14:val="tx1"/>
            </w14:solidFill>
          </w14:textFill>
        </w:rPr>
        <w:t>供应商</w:t>
      </w:r>
      <w:r>
        <w:rPr>
          <w:rFonts w:hint="eastAsia" w:ascii="宋体" w:hAnsi="宋体" w:eastAsia="宋体" w:cs="宋体"/>
          <w:color w:val="000000" w:themeColor="text1"/>
          <w:sz w:val="28"/>
          <w:szCs w:val="28"/>
          <w:highlight w:val="none"/>
          <w14:textFill>
            <w14:solidFill>
              <w14:schemeClr w14:val="tx1"/>
            </w14:solidFill>
          </w14:textFill>
        </w:rPr>
        <w:t>代表不是法定代表人，须持有法定代表人授权委托书（正本用原件，副本用复印件，按第六章要求格式填写）。</w:t>
      </w:r>
    </w:p>
    <w:p w14:paraId="4176A3C1">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5.投标费用</w:t>
      </w:r>
    </w:p>
    <w:p w14:paraId="4B7CCA34">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投标费用：</w:t>
      </w:r>
      <w:r>
        <w:rPr>
          <w:rFonts w:hint="eastAsia" w:ascii="宋体" w:hAnsi="宋体" w:cs="宋体"/>
          <w:color w:val="000000" w:themeColor="text1"/>
          <w:sz w:val="28"/>
          <w:szCs w:val="28"/>
          <w:highlight w:val="none"/>
          <w:lang w:eastAsia="zh-CN"/>
          <w14:textFill>
            <w14:solidFill>
              <w14:schemeClr w14:val="tx1"/>
            </w14:solidFill>
          </w14:textFill>
        </w:rPr>
        <w:t>供应商</w:t>
      </w:r>
      <w:r>
        <w:rPr>
          <w:rFonts w:hint="eastAsia" w:ascii="宋体" w:hAnsi="宋体" w:eastAsia="宋体" w:cs="宋体"/>
          <w:color w:val="000000" w:themeColor="text1"/>
          <w:sz w:val="28"/>
          <w:szCs w:val="28"/>
          <w:highlight w:val="none"/>
          <w14:textFill>
            <w14:solidFill>
              <w14:schemeClr w14:val="tx1"/>
            </w14:solidFill>
          </w14:textFill>
        </w:rPr>
        <w:t>应承担参与本次采购活动有关的所有费用，包括但不限于勘查现场、编制投标文件、参加澄清说明、签订合同等，不论投标结果如何，均应自行承担。</w:t>
      </w:r>
    </w:p>
    <w:p w14:paraId="1BFF48DB">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6.联合体投标</w:t>
      </w:r>
    </w:p>
    <w:p w14:paraId="29E85B5A">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6.1本项目是否接受联合体投标，详见“</w:t>
      </w:r>
      <w:r>
        <w:rPr>
          <w:rFonts w:hint="eastAsia" w:ascii="宋体" w:hAnsi="宋体" w:cs="宋体"/>
          <w:color w:val="000000" w:themeColor="text1"/>
          <w:sz w:val="28"/>
          <w:szCs w:val="28"/>
          <w:highlight w:val="none"/>
          <w:lang w:eastAsia="zh-CN"/>
          <w14:textFill>
            <w14:solidFill>
              <w14:schemeClr w14:val="tx1"/>
            </w14:solidFill>
          </w14:textFill>
        </w:rPr>
        <w:t>供应商</w:t>
      </w:r>
      <w:r>
        <w:rPr>
          <w:rFonts w:hint="eastAsia" w:ascii="宋体" w:hAnsi="宋体" w:eastAsia="宋体" w:cs="宋体"/>
          <w:color w:val="000000" w:themeColor="text1"/>
          <w:sz w:val="28"/>
          <w:szCs w:val="28"/>
          <w:highlight w:val="none"/>
          <w14:textFill>
            <w14:solidFill>
              <w14:schemeClr w14:val="tx1"/>
            </w14:solidFill>
          </w14:textFill>
        </w:rPr>
        <w:t>须知前附表”。</w:t>
      </w:r>
    </w:p>
    <w:p w14:paraId="2E69C9C5">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6.2如接受联合体投标，联合体投标要求详见“</w:t>
      </w:r>
      <w:r>
        <w:rPr>
          <w:rFonts w:hint="eastAsia" w:ascii="宋体" w:hAnsi="宋体" w:cs="宋体"/>
          <w:bCs/>
          <w:color w:val="000000" w:themeColor="text1"/>
          <w:sz w:val="28"/>
          <w:szCs w:val="28"/>
          <w:highlight w:val="none"/>
          <w:lang w:eastAsia="zh-CN"/>
          <w14:textFill>
            <w14:solidFill>
              <w14:schemeClr w14:val="tx1"/>
            </w14:solidFill>
          </w14:textFill>
        </w:rPr>
        <w:t>供应商</w:t>
      </w:r>
      <w:r>
        <w:rPr>
          <w:rFonts w:hint="eastAsia" w:ascii="宋体" w:hAnsi="宋体" w:eastAsia="宋体" w:cs="宋体"/>
          <w:bCs/>
          <w:color w:val="000000" w:themeColor="text1"/>
          <w:sz w:val="28"/>
          <w:szCs w:val="28"/>
          <w:highlight w:val="none"/>
          <w14:textFill>
            <w14:solidFill>
              <w14:schemeClr w14:val="tx1"/>
            </w14:solidFill>
          </w14:textFill>
        </w:rPr>
        <w:t>须知前附表”。</w:t>
      </w:r>
    </w:p>
    <w:p w14:paraId="570ACEBF">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shd w:val="clear" w:color="auto" w:fill="FFFFFF"/>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6.3根据《政府采购促进中小企业发展管理办法》（财库[2020]46号）第九条规定，接受大中型企业与小微企业组成联合体的采购项目，对于联合协议约定小微企业的合同份额占到合同总金额 30%以上的，采购人、采购代理机构应当对联合体的报价给予 4%-6%（工程项目为 1%—2%）的扣除，用扣除后的价格参加评审。组成联合体的小微企业与联合体内其他企业、分包企业之间存在直接控股、管理关系的，不享受价格扣除优惠政策。</w:t>
      </w:r>
    </w:p>
    <w:p w14:paraId="6A15EEB9">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7.转包与分包             </w:t>
      </w:r>
    </w:p>
    <w:p w14:paraId="53FF8438">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b w:val="0"/>
          <w:bCs/>
          <w:color w:val="000000" w:themeColor="text1"/>
          <w:sz w:val="28"/>
          <w:szCs w:val="28"/>
          <w:highlight w:val="none"/>
          <w14:textFill>
            <w14:solidFill>
              <w14:schemeClr w14:val="tx1"/>
            </w14:solidFill>
          </w14:textFill>
        </w:rPr>
      </w:pPr>
      <w:r>
        <w:rPr>
          <w:rFonts w:hint="eastAsia" w:ascii="宋体" w:hAnsi="宋体" w:eastAsia="宋体" w:cs="宋体"/>
          <w:b w:val="0"/>
          <w:bCs/>
          <w:color w:val="000000" w:themeColor="text1"/>
          <w:sz w:val="28"/>
          <w:szCs w:val="28"/>
          <w:highlight w:val="none"/>
          <w14:textFill>
            <w14:solidFill>
              <w14:schemeClr w14:val="tx1"/>
            </w14:solidFill>
          </w14:textFill>
        </w:rPr>
        <w:t>7.1本项目是否允许分包详见“</w:t>
      </w:r>
      <w:r>
        <w:rPr>
          <w:rFonts w:hint="eastAsia" w:ascii="宋体" w:hAnsi="宋体" w:cs="宋体"/>
          <w:b w:val="0"/>
          <w:bCs/>
          <w:color w:val="000000" w:themeColor="text1"/>
          <w:sz w:val="28"/>
          <w:szCs w:val="28"/>
          <w:highlight w:val="none"/>
          <w:lang w:eastAsia="zh-CN"/>
          <w14:textFill>
            <w14:solidFill>
              <w14:schemeClr w14:val="tx1"/>
            </w14:solidFill>
          </w14:textFill>
        </w:rPr>
        <w:t>供应商</w:t>
      </w:r>
      <w:r>
        <w:rPr>
          <w:rFonts w:hint="eastAsia" w:ascii="宋体" w:hAnsi="宋体" w:eastAsia="宋体" w:cs="宋体"/>
          <w:b w:val="0"/>
          <w:bCs/>
          <w:color w:val="000000" w:themeColor="text1"/>
          <w:sz w:val="28"/>
          <w:szCs w:val="28"/>
          <w:highlight w:val="none"/>
          <w14:textFill>
            <w14:solidFill>
              <w14:schemeClr w14:val="tx1"/>
            </w14:solidFill>
          </w14:textFill>
        </w:rPr>
        <w:t>须知前附表”，本项目不允许违法分包。</w:t>
      </w:r>
      <w:r>
        <w:rPr>
          <w:rFonts w:hint="eastAsia" w:ascii="宋体" w:hAnsi="宋体" w:cs="宋体"/>
          <w:b w:val="0"/>
          <w:bCs/>
          <w:color w:val="000000" w:themeColor="text1"/>
          <w:sz w:val="28"/>
          <w:szCs w:val="28"/>
          <w:highlight w:val="none"/>
          <w:lang w:eastAsia="zh-CN"/>
          <w14:textFill>
            <w14:solidFill>
              <w14:schemeClr w14:val="tx1"/>
            </w14:solidFill>
          </w14:textFill>
        </w:rPr>
        <w:t>供应商</w:t>
      </w:r>
      <w:r>
        <w:rPr>
          <w:rFonts w:hint="eastAsia" w:ascii="宋体" w:hAnsi="宋体" w:eastAsia="宋体" w:cs="宋体"/>
          <w:b w:val="0"/>
          <w:bCs/>
          <w:color w:val="000000" w:themeColor="text1"/>
          <w:sz w:val="28"/>
          <w:szCs w:val="28"/>
          <w:highlight w:val="none"/>
          <w14:textFill>
            <w14:solidFill>
              <w14:schemeClr w14:val="tx1"/>
            </w14:solidFill>
          </w14:textFill>
        </w:rPr>
        <w:t>根据招标文件的规定和采购项目的实际情况，拟在中标后将中标项目的非主体、非关键性工作分包的，应当在投标文件中载明分包承担主体，分包承担主体应当具备相应资质条件且不得再次分包。</w:t>
      </w:r>
    </w:p>
    <w:p w14:paraId="3D852369">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7.2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4C900872">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8.特别说明：</w:t>
      </w:r>
    </w:p>
    <w:p w14:paraId="0E76F3A3">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b w:val="0"/>
          <w:bCs/>
          <w:color w:val="000000" w:themeColor="text1"/>
          <w:sz w:val="28"/>
          <w:szCs w:val="28"/>
          <w:highlight w:val="none"/>
          <w14:textFill>
            <w14:solidFill>
              <w14:schemeClr w14:val="tx1"/>
            </w14:solidFill>
          </w14:textFill>
        </w:rPr>
      </w:pPr>
      <w:r>
        <w:rPr>
          <w:rFonts w:hint="eastAsia" w:ascii="宋体" w:hAnsi="宋体" w:eastAsia="宋体" w:cs="宋体"/>
          <w:b w:val="0"/>
          <w:bCs/>
          <w:color w:val="000000" w:themeColor="text1"/>
          <w:sz w:val="28"/>
          <w:szCs w:val="28"/>
          <w:highlight w:val="none"/>
          <w14:textFill>
            <w14:solidFill>
              <w14:schemeClr w14:val="tx1"/>
            </w14:solidFill>
          </w14:textFill>
        </w:rPr>
        <w:t>8.1如果本招标文件要求</w:t>
      </w:r>
      <w:r>
        <w:rPr>
          <w:rFonts w:hint="eastAsia" w:ascii="宋体" w:hAnsi="宋体" w:cs="宋体"/>
          <w:b w:val="0"/>
          <w:bCs/>
          <w:color w:val="000000" w:themeColor="text1"/>
          <w:sz w:val="28"/>
          <w:szCs w:val="28"/>
          <w:highlight w:val="none"/>
          <w:lang w:eastAsia="zh-CN"/>
          <w14:textFill>
            <w14:solidFill>
              <w14:schemeClr w14:val="tx1"/>
            </w14:solidFill>
          </w14:textFill>
        </w:rPr>
        <w:t>供应商</w:t>
      </w:r>
      <w:r>
        <w:rPr>
          <w:rFonts w:hint="eastAsia" w:ascii="宋体" w:hAnsi="宋体" w:eastAsia="宋体" w:cs="宋体"/>
          <w:b w:val="0"/>
          <w:bCs/>
          <w:color w:val="000000" w:themeColor="text1"/>
          <w:sz w:val="28"/>
          <w:szCs w:val="28"/>
          <w:highlight w:val="none"/>
          <w14:textFill>
            <w14:solidFill>
              <w14:schemeClr w14:val="tx1"/>
            </w14:solidFill>
          </w14:textFill>
        </w:rPr>
        <w:t>提供资格、信誉、荣誉、业绩与企业认证等材料的，则</w:t>
      </w:r>
      <w:r>
        <w:rPr>
          <w:rFonts w:hint="eastAsia" w:ascii="宋体" w:hAnsi="宋体" w:cs="宋体"/>
          <w:b w:val="0"/>
          <w:bCs/>
          <w:color w:val="000000" w:themeColor="text1"/>
          <w:sz w:val="28"/>
          <w:szCs w:val="28"/>
          <w:highlight w:val="none"/>
          <w:lang w:eastAsia="zh-CN"/>
          <w14:textFill>
            <w14:solidFill>
              <w14:schemeClr w14:val="tx1"/>
            </w14:solidFill>
          </w14:textFill>
        </w:rPr>
        <w:t>供应商</w:t>
      </w:r>
      <w:r>
        <w:rPr>
          <w:rFonts w:hint="eastAsia" w:ascii="宋体" w:hAnsi="宋体" w:eastAsia="宋体" w:cs="宋体"/>
          <w:b w:val="0"/>
          <w:bCs/>
          <w:color w:val="000000" w:themeColor="text1"/>
          <w:sz w:val="28"/>
          <w:szCs w:val="28"/>
          <w:highlight w:val="none"/>
          <w14:textFill>
            <w14:solidFill>
              <w14:schemeClr w14:val="tx1"/>
            </w14:solidFill>
          </w14:textFill>
        </w:rPr>
        <w:t>所提供的以上材料必须为</w:t>
      </w:r>
      <w:r>
        <w:rPr>
          <w:rFonts w:hint="eastAsia" w:ascii="宋体" w:hAnsi="宋体" w:cs="宋体"/>
          <w:b w:val="0"/>
          <w:bCs/>
          <w:color w:val="000000" w:themeColor="text1"/>
          <w:sz w:val="28"/>
          <w:szCs w:val="28"/>
          <w:highlight w:val="none"/>
          <w:lang w:eastAsia="zh-CN"/>
          <w14:textFill>
            <w14:solidFill>
              <w14:schemeClr w14:val="tx1"/>
            </w14:solidFill>
          </w14:textFill>
        </w:rPr>
        <w:t>供应商</w:t>
      </w:r>
      <w:r>
        <w:rPr>
          <w:rFonts w:hint="eastAsia" w:ascii="宋体" w:hAnsi="宋体" w:eastAsia="宋体" w:cs="宋体"/>
          <w:b w:val="0"/>
          <w:bCs/>
          <w:color w:val="000000" w:themeColor="text1"/>
          <w:sz w:val="28"/>
          <w:szCs w:val="28"/>
          <w:highlight w:val="none"/>
          <w14:textFill>
            <w14:solidFill>
              <w14:schemeClr w14:val="tx1"/>
            </w14:solidFill>
          </w14:textFill>
        </w:rPr>
        <w:t>所拥有。</w:t>
      </w:r>
    </w:p>
    <w:p w14:paraId="5E1872CF">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b w:val="0"/>
          <w:bCs/>
          <w:color w:val="000000" w:themeColor="text1"/>
          <w:sz w:val="28"/>
          <w:szCs w:val="28"/>
          <w:highlight w:val="none"/>
          <w14:textFill>
            <w14:solidFill>
              <w14:schemeClr w14:val="tx1"/>
            </w14:solidFill>
          </w14:textFill>
        </w:rPr>
      </w:pPr>
      <w:r>
        <w:rPr>
          <w:rFonts w:hint="eastAsia" w:ascii="宋体" w:hAnsi="宋体" w:eastAsia="宋体" w:cs="宋体"/>
          <w:b w:val="0"/>
          <w:bCs/>
          <w:color w:val="000000" w:themeColor="text1"/>
          <w:sz w:val="28"/>
          <w:szCs w:val="28"/>
          <w:highlight w:val="none"/>
          <w14:textFill>
            <w14:solidFill>
              <w14:schemeClr w14:val="tx1"/>
            </w14:solidFill>
          </w14:textFill>
        </w:rPr>
        <w:t>8.2</w:t>
      </w:r>
      <w:r>
        <w:rPr>
          <w:rFonts w:hint="eastAsia" w:ascii="宋体" w:hAnsi="宋体" w:cs="宋体"/>
          <w:b w:val="0"/>
          <w:bCs/>
          <w:color w:val="000000" w:themeColor="text1"/>
          <w:sz w:val="28"/>
          <w:szCs w:val="28"/>
          <w:highlight w:val="none"/>
          <w:lang w:eastAsia="zh-CN"/>
          <w14:textFill>
            <w14:solidFill>
              <w14:schemeClr w14:val="tx1"/>
            </w14:solidFill>
          </w14:textFill>
        </w:rPr>
        <w:t>供应商</w:t>
      </w:r>
      <w:r>
        <w:rPr>
          <w:rFonts w:hint="eastAsia" w:ascii="宋体" w:hAnsi="宋体" w:eastAsia="宋体" w:cs="宋体"/>
          <w:b w:val="0"/>
          <w:bCs/>
          <w:color w:val="000000" w:themeColor="text1"/>
          <w:sz w:val="28"/>
          <w:szCs w:val="28"/>
          <w:highlight w:val="none"/>
          <w14:textFill>
            <w14:solidFill>
              <w14:schemeClr w14:val="tx1"/>
            </w14:solidFill>
          </w14:textFill>
        </w:rPr>
        <w:t>应仔细阅读招标文件的所有内容，按照招标文件的要求提交投标文件，并对所提供的全部资料的真实性承担法律责任。</w:t>
      </w:r>
    </w:p>
    <w:p w14:paraId="3A30BAFE">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b w:val="0"/>
          <w:bCs/>
          <w:color w:val="000000" w:themeColor="text1"/>
          <w:sz w:val="28"/>
          <w:szCs w:val="28"/>
          <w:highlight w:val="none"/>
          <w14:textFill>
            <w14:solidFill>
              <w14:schemeClr w14:val="tx1"/>
            </w14:solidFill>
          </w14:textFill>
        </w:rPr>
      </w:pPr>
      <w:r>
        <w:rPr>
          <w:rFonts w:hint="eastAsia" w:ascii="宋体" w:hAnsi="宋体" w:eastAsia="宋体" w:cs="宋体"/>
          <w:b w:val="0"/>
          <w:bCs/>
          <w:color w:val="000000" w:themeColor="text1"/>
          <w:sz w:val="28"/>
          <w:szCs w:val="28"/>
          <w:highlight w:val="none"/>
          <w14:textFill>
            <w14:solidFill>
              <w14:schemeClr w14:val="tx1"/>
            </w14:solidFill>
          </w14:textFill>
        </w:rPr>
        <w:t>8.3</w:t>
      </w:r>
      <w:r>
        <w:rPr>
          <w:rFonts w:hint="eastAsia" w:ascii="宋体" w:hAnsi="宋体" w:cs="宋体"/>
          <w:b w:val="0"/>
          <w:bCs/>
          <w:color w:val="000000" w:themeColor="text1"/>
          <w:sz w:val="28"/>
          <w:szCs w:val="28"/>
          <w:highlight w:val="none"/>
          <w:lang w:eastAsia="zh-CN"/>
          <w14:textFill>
            <w14:solidFill>
              <w14:schemeClr w14:val="tx1"/>
            </w14:solidFill>
          </w14:textFill>
        </w:rPr>
        <w:t>供应商</w:t>
      </w:r>
      <w:r>
        <w:rPr>
          <w:rFonts w:hint="eastAsia" w:ascii="宋体" w:hAnsi="宋体" w:eastAsia="宋体" w:cs="宋体"/>
          <w:b w:val="0"/>
          <w:bCs/>
          <w:color w:val="000000" w:themeColor="text1"/>
          <w:sz w:val="28"/>
          <w:szCs w:val="28"/>
          <w:highlight w:val="none"/>
          <w14:textFill>
            <w14:solidFill>
              <w14:schemeClr w14:val="tx1"/>
            </w14:solidFill>
          </w14:textFill>
        </w:rPr>
        <w:t>在投标活动中提供任何虚假材料，将报监管部门查处；中标后发现的，中标人须依照《中华人民共和国消费者权益保护法》规定赔偿采购人，且民事赔偿并不免除违法</w:t>
      </w:r>
      <w:r>
        <w:rPr>
          <w:rFonts w:hint="eastAsia" w:ascii="宋体" w:hAnsi="宋体" w:cs="宋体"/>
          <w:b w:val="0"/>
          <w:bCs/>
          <w:color w:val="000000" w:themeColor="text1"/>
          <w:sz w:val="28"/>
          <w:szCs w:val="28"/>
          <w:highlight w:val="none"/>
          <w:lang w:eastAsia="zh-CN"/>
          <w14:textFill>
            <w14:solidFill>
              <w14:schemeClr w14:val="tx1"/>
            </w14:solidFill>
          </w14:textFill>
        </w:rPr>
        <w:t>供应商</w:t>
      </w:r>
      <w:r>
        <w:rPr>
          <w:rFonts w:hint="eastAsia" w:ascii="宋体" w:hAnsi="宋体" w:eastAsia="宋体" w:cs="宋体"/>
          <w:b w:val="0"/>
          <w:bCs/>
          <w:color w:val="000000" w:themeColor="text1"/>
          <w:sz w:val="28"/>
          <w:szCs w:val="28"/>
          <w:highlight w:val="none"/>
          <w14:textFill>
            <w14:solidFill>
              <w14:schemeClr w14:val="tx1"/>
            </w14:solidFill>
          </w14:textFill>
        </w:rPr>
        <w:t>的行政与刑事责任。</w:t>
      </w:r>
    </w:p>
    <w:p w14:paraId="025C6D15">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9.回避与串通投标</w:t>
      </w:r>
    </w:p>
    <w:p w14:paraId="6FFE4F20">
      <w:pPr>
        <w:keepNext w:val="0"/>
        <w:keepLines w:val="0"/>
        <w:pageBreakBefore w:val="0"/>
        <w:kinsoku/>
        <w:wordWrap/>
        <w:overflowPunct/>
        <w:topLinePunct w:val="0"/>
        <w:bidi w:val="0"/>
        <w:adjustRightInd/>
        <w:snapToGrid/>
        <w:spacing w:line="560" w:lineRule="exact"/>
        <w:ind w:firstLine="562" w:firstLineChars="200"/>
        <w:jc w:val="both"/>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9.1在政府采购活动中，采购人员及相关人员与供应商有下列利害关系之一的，应当回避：</w:t>
      </w:r>
    </w:p>
    <w:p w14:paraId="3F00B5C1">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（1）参加采购活动前3年内与供应商存在劳动关系；</w:t>
      </w:r>
    </w:p>
    <w:p w14:paraId="7299CDEC">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（2）参加采购活动前3年内担任供应商的董事、监事；</w:t>
      </w:r>
    </w:p>
    <w:p w14:paraId="59D430AE">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（3）参加采购活动前3年内是供应商的控股股东或者实际控制人；</w:t>
      </w:r>
    </w:p>
    <w:p w14:paraId="6F315479">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（4）与供应商的法定代表人或者负责人有夫妻、直系血亲、三代以内旁系血亲或者近姻亲关系；</w:t>
      </w:r>
    </w:p>
    <w:p w14:paraId="0BF881BD">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（5）与供应商有其他可能影响政府采购活动公平、公正进行的关系。</w:t>
      </w:r>
    </w:p>
    <w:p w14:paraId="74B6FDC1">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460630A8">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9.2有下列情形之一的视为</w:t>
      </w:r>
      <w:r>
        <w:rPr>
          <w:rFonts w:hint="eastAsia" w:ascii="宋体" w:hAnsi="宋体" w:cs="宋体"/>
          <w:color w:val="000000" w:themeColor="text1"/>
          <w:sz w:val="28"/>
          <w:szCs w:val="28"/>
          <w:highlight w:val="none"/>
          <w:lang w:eastAsia="zh-CN"/>
          <w14:textFill>
            <w14:solidFill>
              <w14:schemeClr w14:val="tx1"/>
            </w14:solidFill>
          </w14:textFill>
        </w:rPr>
        <w:t>供应商</w:t>
      </w:r>
      <w:r>
        <w:rPr>
          <w:rFonts w:hint="eastAsia" w:ascii="宋体" w:hAnsi="宋体" w:eastAsia="宋体" w:cs="宋体"/>
          <w:color w:val="000000" w:themeColor="text1"/>
          <w:sz w:val="28"/>
          <w:szCs w:val="28"/>
          <w:highlight w:val="none"/>
          <w14:textFill>
            <w14:solidFill>
              <w14:schemeClr w14:val="tx1"/>
            </w14:solidFill>
          </w14:textFill>
        </w:rPr>
        <w:t>相互串通投标，投标文件将被视为无效：</w:t>
      </w:r>
    </w:p>
    <w:p w14:paraId="06523862">
      <w:pPr>
        <w:keepNext w:val="0"/>
        <w:keepLines w:val="0"/>
        <w:pageBreakBefore w:val="0"/>
        <w:kinsoku/>
        <w:wordWrap/>
        <w:overflowPunct/>
        <w:topLinePunct w:val="0"/>
        <w:bidi w:val="0"/>
        <w:adjustRightInd/>
        <w:snapToGrid/>
        <w:spacing w:line="560" w:lineRule="exact"/>
        <w:ind w:firstLine="562" w:firstLineChars="200"/>
        <w:jc w:val="both"/>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（1）不同</w:t>
      </w:r>
      <w:r>
        <w:rPr>
          <w:rFonts w:hint="eastAsia" w:ascii="宋体" w:hAnsi="宋体" w:cs="宋体"/>
          <w:b/>
          <w:color w:val="000000" w:themeColor="text1"/>
          <w:sz w:val="28"/>
          <w:szCs w:val="28"/>
          <w:highlight w:val="none"/>
          <w:lang w:eastAsia="zh-CN"/>
          <w14:textFill>
            <w14:solidFill>
              <w14:schemeClr w14:val="tx1"/>
            </w14:solidFill>
          </w14:textFill>
        </w:rPr>
        <w:t>供应商</w:t>
      </w:r>
      <w:r>
        <w:rPr>
          <w:rFonts w:hint="eastAsia" w:ascii="宋体" w:hAnsi="宋体" w:eastAsia="宋体" w:cs="宋体"/>
          <w:b/>
          <w:color w:val="000000" w:themeColor="text1"/>
          <w:sz w:val="28"/>
          <w:szCs w:val="28"/>
          <w:highlight w:val="none"/>
          <w14:textFill>
            <w14:solidFill>
              <w14:schemeClr w14:val="tx1"/>
            </w14:solidFill>
          </w14:textFill>
        </w:rPr>
        <w:t>的投标文件由同一单位或者个人编制；或者不同</w:t>
      </w:r>
      <w:r>
        <w:rPr>
          <w:rFonts w:hint="eastAsia" w:ascii="宋体" w:hAnsi="宋体" w:cs="宋体"/>
          <w:b/>
          <w:color w:val="000000" w:themeColor="text1"/>
          <w:sz w:val="28"/>
          <w:szCs w:val="28"/>
          <w:highlight w:val="none"/>
          <w:lang w:eastAsia="zh-CN"/>
          <w14:textFill>
            <w14:solidFill>
              <w14:schemeClr w14:val="tx1"/>
            </w14:solidFill>
          </w14:textFill>
        </w:rPr>
        <w:t>供应商</w:t>
      </w:r>
      <w:r>
        <w:rPr>
          <w:rFonts w:hint="eastAsia" w:ascii="宋体" w:hAnsi="宋体" w:eastAsia="宋体" w:cs="宋体"/>
          <w:b/>
          <w:color w:val="000000" w:themeColor="text1"/>
          <w:sz w:val="28"/>
          <w:szCs w:val="28"/>
          <w:highlight w:val="none"/>
          <w14:textFill>
            <w14:solidFill>
              <w14:schemeClr w14:val="tx1"/>
            </w14:solidFill>
          </w14:textFill>
        </w:rPr>
        <w:t>报名的IP地址一致的；或者编制标书硬件设备CPU编号、硬盘编号、网卡地址一致的情况。</w:t>
      </w:r>
    </w:p>
    <w:p w14:paraId="6A204CD8">
      <w:pPr>
        <w:keepNext w:val="0"/>
        <w:keepLines w:val="0"/>
        <w:pageBreakBefore w:val="0"/>
        <w:kinsoku/>
        <w:wordWrap/>
        <w:overflowPunct/>
        <w:topLinePunct w:val="0"/>
        <w:bidi w:val="0"/>
        <w:adjustRightInd/>
        <w:snapToGrid/>
        <w:spacing w:line="560" w:lineRule="exact"/>
        <w:ind w:firstLine="562" w:firstLineChars="200"/>
        <w:jc w:val="both"/>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（2）不同</w:t>
      </w:r>
      <w:r>
        <w:rPr>
          <w:rFonts w:hint="eastAsia" w:ascii="宋体" w:hAnsi="宋体" w:cs="宋体"/>
          <w:b/>
          <w:color w:val="000000" w:themeColor="text1"/>
          <w:sz w:val="28"/>
          <w:szCs w:val="28"/>
          <w:highlight w:val="none"/>
          <w:lang w:eastAsia="zh-CN"/>
          <w14:textFill>
            <w14:solidFill>
              <w14:schemeClr w14:val="tx1"/>
            </w14:solidFill>
          </w14:textFill>
        </w:rPr>
        <w:t>供应商</w:t>
      </w:r>
      <w:r>
        <w:rPr>
          <w:rFonts w:hint="eastAsia" w:ascii="宋体" w:hAnsi="宋体" w:eastAsia="宋体" w:cs="宋体"/>
          <w:b/>
          <w:color w:val="000000" w:themeColor="text1"/>
          <w:sz w:val="28"/>
          <w:szCs w:val="28"/>
          <w:highlight w:val="none"/>
          <w14:textFill>
            <w14:solidFill>
              <w14:schemeClr w14:val="tx1"/>
            </w14:solidFill>
          </w14:textFill>
        </w:rPr>
        <w:t>委托同一单位或者个人办理投标事宜；</w:t>
      </w:r>
    </w:p>
    <w:p w14:paraId="05617508">
      <w:pPr>
        <w:keepNext w:val="0"/>
        <w:keepLines w:val="0"/>
        <w:pageBreakBefore w:val="0"/>
        <w:kinsoku/>
        <w:wordWrap/>
        <w:overflowPunct/>
        <w:topLinePunct w:val="0"/>
        <w:bidi w:val="0"/>
        <w:adjustRightInd/>
        <w:snapToGrid/>
        <w:spacing w:line="560" w:lineRule="exact"/>
        <w:ind w:firstLine="562" w:firstLineChars="200"/>
        <w:jc w:val="both"/>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（3）不同的</w:t>
      </w:r>
      <w:r>
        <w:rPr>
          <w:rFonts w:hint="eastAsia" w:ascii="宋体" w:hAnsi="宋体" w:cs="宋体"/>
          <w:b/>
          <w:color w:val="000000" w:themeColor="text1"/>
          <w:sz w:val="28"/>
          <w:szCs w:val="28"/>
          <w:highlight w:val="none"/>
          <w:lang w:eastAsia="zh-CN"/>
          <w14:textFill>
            <w14:solidFill>
              <w14:schemeClr w14:val="tx1"/>
            </w14:solidFill>
          </w14:textFill>
        </w:rPr>
        <w:t>供应商</w:t>
      </w:r>
      <w:r>
        <w:rPr>
          <w:rFonts w:hint="eastAsia" w:ascii="宋体" w:hAnsi="宋体" w:eastAsia="宋体" w:cs="宋体"/>
          <w:b/>
          <w:color w:val="000000" w:themeColor="text1"/>
          <w:sz w:val="28"/>
          <w:szCs w:val="28"/>
          <w:highlight w:val="none"/>
          <w14:textFill>
            <w14:solidFill>
              <w14:schemeClr w14:val="tx1"/>
            </w14:solidFill>
          </w14:textFill>
        </w:rPr>
        <w:t>的投标文件载明的项目管理员为同一个人；</w:t>
      </w:r>
    </w:p>
    <w:p w14:paraId="0B9644DF">
      <w:pPr>
        <w:keepNext w:val="0"/>
        <w:keepLines w:val="0"/>
        <w:pageBreakBefore w:val="0"/>
        <w:kinsoku/>
        <w:wordWrap/>
        <w:overflowPunct/>
        <w:topLinePunct w:val="0"/>
        <w:bidi w:val="0"/>
        <w:adjustRightInd/>
        <w:snapToGrid/>
        <w:spacing w:line="560" w:lineRule="exact"/>
        <w:ind w:firstLine="562" w:firstLineChars="200"/>
        <w:jc w:val="both"/>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（4）不同</w:t>
      </w:r>
      <w:r>
        <w:rPr>
          <w:rFonts w:hint="eastAsia" w:ascii="宋体" w:hAnsi="宋体" w:cs="宋体"/>
          <w:b/>
          <w:color w:val="000000" w:themeColor="text1"/>
          <w:sz w:val="28"/>
          <w:szCs w:val="28"/>
          <w:highlight w:val="none"/>
          <w:lang w:eastAsia="zh-CN"/>
          <w14:textFill>
            <w14:solidFill>
              <w14:schemeClr w14:val="tx1"/>
            </w14:solidFill>
          </w14:textFill>
        </w:rPr>
        <w:t>供应商</w:t>
      </w:r>
      <w:r>
        <w:rPr>
          <w:rFonts w:hint="eastAsia" w:ascii="宋体" w:hAnsi="宋体" w:eastAsia="宋体" w:cs="宋体"/>
          <w:b/>
          <w:color w:val="000000" w:themeColor="text1"/>
          <w:sz w:val="28"/>
          <w:szCs w:val="28"/>
          <w:highlight w:val="none"/>
          <w14:textFill>
            <w14:solidFill>
              <w14:schemeClr w14:val="tx1"/>
            </w14:solidFill>
          </w14:textFill>
        </w:rPr>
        <w:t>的电子或纸质投标文件异常一致或者投标报价呈规律性差异；</w:t>
      </w:r>
    </w:p>
    <w:p w14:paraId="519FCFC9">
      <w:pPr>
        <w:keepNext w:val="0"/>
        <w:keepLines w:val="0"/>
        <w:pageBreakBefore w:val="0"/>
        <w:kinsoku/>
        <w:wordWrap/>
        <w:overflowPunct/>
        <w:topLinePunct w:val="0"/>
        <w:bidi w:val="0"/>
        <w:adjustRightInd/>
        <w:snapToGrid/>
        <w:spacing w:line="560" w:lineRule="exact"/>
        <w:ind w:firstLine="562" w:firstLineChars="200"/>
        <w:jc w:val="both"/>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（5）不同</w:t>
      </w:r>
      <w:r>
        <w:rPr>
          <w:rFonts w:hint="eastAsia" w:ascii="宋体" w:hAnsi="宋体" w:cs="宋体"/>
          <w:b/>
          <w:color w:val="000000" w:themeColor="text1"/>
          <w:sz w:val="28"/>
          <w:szCs w:val="28"/>
          <w:highlight w:val="none"/>
          <w:lang w:eastAsia="zh-CN"/>
          <w14:textFill>
            <w14:solidFill>
              <w14:schemeClr w14:val="tx1"/>
            </w14:solidFill>
          </w14:textFill>
        </w:rPr>
        <w:t>供应商</w:t>
      </w:r>
      <w:r>
        <w:rPr>
          <w:rFonts w:hint="eastAsia" w:ascii="宋体" w:hAnsi="宋体" w:eastAsia="宋体" w:cs="宋体"/>
          <w:b/>
          <w:color w:val="000000" w:themeColor="text1"/>
          <w:sz w:val="28"/>
          <w:szCs w:val="28"/>
          <w:highlight w:val="none"/>
          <w14:textFill>
            <w14:solidFill>
              <w14:schemeClr w14:val="tx1"/>
            </w14:solidFill>
          </w14:textFill>
        </w:rPr>
        <w:t>的纸质投标文件相互混装；</w:t>
      </w:r>
    </w:p>
    <w:p w14:paraId="25A679B0">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9.3供应商有下列情形之一的，属于恶意串通行为，将报同级监督管理部门：</w:t>
      </w:r>
    </w:p>
    <w:p w14:paraId="195C2761">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（1）供应商直接或者间接从采购人或者采购代理机构处获得其他供应商的相关信息并修改其投标文件或者投标文件；</w:t>
      </w:r>
    </w:p>
    <w:p w14:paraId="436CEAE2">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（2）供应商按照采购人或者采购代理机构的授意撤换、修改投标文件或者投标文件；</w:t>
      </w:r>
    </w:p>
    <w:p w14:paraId="51308DD4">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（3）供应商之间协商报价、技术方案等投标文件或者投标文件的实质性内容；</w:t>
      </w:r>
    </w:p>
    <w:p w14:paraId="477C7639">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（4）属于同一集团、协会、商会等组织成员的供应商按照该组织要求协同参加政府采购活动；</w:t>
      </w:r>
    </w:p>
    <w:p w14:paraId="46CC5E0B">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（5）供应商之间事先约定一致抬高或者压低投标报价，或者在招标项目中事先约定轮流以高价位或者低价位中标，或者事先约定由某一特定供应商中标，然后再参加投标；</w:t>
      </w:r>
    </w:p>
    <w:p w14:paraId="78E80316">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（6）供应商之间商定部分供应商放弃参加政府采购活动或者放弃中标；</w:t>
      </w:r>
    </w:p>
    <w:p w14:paraId="61A0273C">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（7）供应商与采购人或者采购代理机构之间、供应商相互之间，为谋求特定供应商中标或者排斥其他供应商的其他串通行为。</w:t>
      </w:r>
    </w:p>
    <w:p w14:paraId="740DA08D">
      <w:pPr>
        <w:pStyle w:val="4"/>
        <w:keepNext w:val="0"/>
        <w:keepLines w:val="0"/>
        <w:pageBreakBefore w:val="0"/>
        <w:kinsoku/>
        <w:wordWrap/>
        <w:overflowPunct/>
        <w:topLinePunct w:val="0"/>
        <w:bidi w:val="0"/>
        <w:adjustRightInd/>
        <w:snapToGrid/>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二、招标文件</w:t>
      </w:r>
    </w:p>
    <w:p w14:paraId="07A69ED4">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10.招标文件的组成</w:t>
      </w:r>
    </w:p>
    <w:p w14:paraId="1B81937B">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第一章 招标公告；</w:t>
      </w:r>
    </w:p>
    <w:p w14:paraId="3F1B40A3">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第二章 </w:t>
      </w:r>
      <w:r>
        <w:rPr>
          <w:rFonts w:hint="eastAsia" w:ascii="宋体" w:hAnsi="宋体" w:cs="宋体"/>
          <w:color w:val="000000" w:themeColor="text1"/>
          <w:sz w:val="28"/>
          <w:szCs w:val="28"/>
          <w:highlight w:val="none"/>
          <w:lang w:eastAsia="zh-CN"/>
          <w14:textFill>
            <w14:solidFill>
              <w14:schemeClr w14:val="tx1"/>
            </w14:solidFill>
          </w14:textFill>
        </w:rPr>
        <w:t>供应商</w:t>
      </w:r>
      <w:r>
        <w:rPr>
          <w:rFonts w:hint="eastAsia" w:ascii="宋体" w:hAnsi="宋体" w:eastAsia="宋体" w:cs="宋体"/>
          <w:color w:val="000000" w:themeColor="text1"/>
          <w:sz w:val="28"/>
          <w:szCs w:val="28"/>
          <w:highlight w:val="none"/>
          <w14:textFill>
            <w14:solidFill>
              <w14:schemeClr w14:val="tx1"/>
            </w14:solidFill>
          </w14:textFill>
        </w:rPr>
        <w:t>须知</w:t>
      </w:r>
      <w:r>
        <w:rPr>
          <w:rFonts w:hint="eastAsia" w:ascii="宋体" w:hAnsi="宋体" w:cs="宋体"/>
          <w:color w:val="000000" w:themeColor="text1"/>
          <w:sz w:val="28"/>
          <w:szCs w:val="28"/>
          <w:highlight w:val="none"/>
          <w:lang w:val="en-US" w:eastAsia="zh-CN"/>
          <w14:textFill>
            <w14:solidFill>
              <w14:schemeClr w14:val="tx1"/>
            </w14:solidFill>
          </w14:textFill>
        </w:rPr>
        <w:t>表</w:t>
      </w:r>
      <w:r>
        <w:rPr>
          <w:rFonts w:hint="eastAsia" w:ascii="宋体" w:hAnsi="宋体" w:eastAsia="宋体" w:cs="宋体"/>
          <w:color w:val="000000" w:themeColor="text1"/>
          <w:sz w:val="28"/>
          <w:szCs w:val="28"/>
          <w:highlight w:val="none"/>
          <w14:textFill>
            <w14:solidFill>
              <w14:schemeClr w14:val="tx1"/>
            </w14:solidFill>
          </w14:textFill>
        </w:rPr>
        <w:t xml:space="preserve">； </w:t>
      </w:r>
    </w:p>
    <w:p w14:paraId="48FB7E5B">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第三章 采购需求；</w:t>
      </w:r>
    </w:p>
    <w:p w14:paraId="23227561">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第四章 评标方法及评标标准；</w:t>
      </w:r>
    </w:p>
    <w:p w14:paraId="3607BC25">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第五章 拟签订的合同文本；</w:t>
      </w:r>
    </w:p>
    <w:p w14:paraId="0B8A73EB">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第六章 投标文件格式；</w:t>
      </w:r>
    </w:p>
    <w:p w14:paraId="65AF7214">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第七章 质疑、投诉材料格式</w:t>
      </w:r>
    </w:p>
    <w:p w14:paraId="693F7BF1">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根据本章第11.1项的规定对公开招标文件所做的澄清、修改，构成招标文件的组成部分。当公开招标文件与招标文件的澄清和修改就同一内容的表述不一致时，以最后澄清或修改公告为准。</w:t>
      </w:r>
    </w:p>
    <w:p w14:paraId="265742C7">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11.招标文件的澄清、修改 、现场考察和答疑会</w:t>
      </w:r>
    </w:p>
    <w:p w14:paraId="3BBD02FB">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b w:val="0"/>
          <w:bCs/>
          <w:color w:val="000000" w:themeColor="text1"/>
          <w:sz w:val="28"/>
          <w:szCs w:val="28"/>
          <w:highlight w:val="none"/>
          <w14:textFill>
            <w14:solidFill>
              <w14:schemeClr w14:val="tx1"/>
            </w14:solidFill>
          </w14:textFill>
        </w:rPr>
      </w:pPr>
      <w:r>
        <w:rPr>
          <w:rFonts w:hint="eastAsia" w:ascii="宋体" w:hAnsi="宋体" w:eastAsia="宋体" w:cs="宋体"/>
          <w:b w:val="0"/>
          <w:bCs/>
          <w:color w:val="000000" w:themeColor="text1"/>
          <w:sz w:val="28"/>
          <w:szCs w:val="28"/>
          <w:highlight w:val="none"/>
          <w14:textFill>
            <w14:solidFill>
              <w14:schemeClr w14:val="tx1"/>
            </w14:solidFill>
          </w14:textFill>
        </w:rPr>
        <w:t xml:space="preserve"> 11.1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14:paraId="3793F3EF">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11.2 </w:t>
      </w:r>
      <w:r>
        <w:rPr>
          <w:rFonts w:hint="eastAsia" w:ascii="宋体" w:hAnsi="宋体" w:cs="宋体"/>
          <w:color w:val="000000" w:themeColor="text1"/>
          <w:sz w:val="28"/>
          <w:szCs w:val="28"/>
          <w:highlight w:val="none"/>
          <w:lang w:eastAsia="zh-CN"/>
          <w14:textFill>
            <w14:solidFill>
              <w14:schemeClr w14:val="tx1"/>
            </w14:solidFill>
          </w14:textFill>
        </w:rPr>
        <w:t>供应商</w:t>
      </w:r>
      <w:r>
        <w:rPr>
          <w:rFonts w:hint="eastAsia" w:ascii="宋体" w:hAnsi="宋体" w:eastAsia="宋体" w:cs="宋体"/>
          <w:color w:val="000000" w:themeColor="text1"/>
          <w:sz w:val="28"/>
          <w:szCs w:val="28"/>
          <w:highlight w:val="none"/>
          <w14:textFill>
            <w14:solidFill>
              <w14:schemeClr w14:val="tx1"/>
            </w14:solidFill>
          </w14:textFill>
        </w:rPr>
        <w:t>应认真审阅本公开招标文件，如有疑问，或发现其中有误或有要求不合理的，应在</w:t>
      </w:r>
      <w:r>
        <w:rPr>
          <w:rFonts w:hint="eastAsia" w:ascii="宋体" w:hAnsi="宋体" w:cs="宋体"/>
          <w:color w:val="000000" w:themeColor="text1"/>
          <w:sz w:val="28"/>
          <w:szCs w:val="28"/>
          <w:highlight w:val="none"/>
          <w:lang w:eastAsia="zh-CN"/>
          <w14:textFill>
            <w14:solidFill>
              <w14:schemeClr w14:val="tx1"/>
            </w14:solidFill>
          </w14:textFill>
        </w:rPr>
        <w:t>供应商</w:t>
      </w:r>
      <w:r>
        <w:rPr>
          <w:rFonts w:hint="eastAsia" w:ascii="宋体" w:hAnsi="宋体" w:eastAsia="宋体" w:cs="宋体"/>
          <w:color w:val="000000" w:themeColor="text1"/>
          <w:sz w:val="28"/>
          <w:szCs w:val="28"/>
          <w:highlight w:val="none"/>
          <w14:textFill>
            <w14:solidFill>
              <w14:schemeClr w14:val="tx1"/>
            </w14:solidFill>
          </w14:textFill>
        </w:rPr>
        <w:t>须知前附表规定的</w:t>
      </w:r>
      <w:r>
        <w:rPr>
          <w:rFonts w:hint="eastAsia" w:ascii="宋体" w:hAnsi="宋体" w:eastAsia="宋体" w:cs="宋体"/>
          <w:color w:val="000000" w:themeColor="text1"/>
          <w:kern w:val="0"/>
          <w:sz w:val="28"/>
          <w:szCs w:val="28"/>
          <w:highlight w:val="none"/>
          <w14:textFill>
            <w14:solidFill>
              <w14:schemeClr w14:val="tx1"/>
            </w14:solidFill>
          </w14:textFill>
        </w:rPr>
        <w:t>投标截止时间</w:t>
      </w:r>
      <w:r>
        <w:rPr>
          <w:rFonts w:hint="eastAsia" w:ascii="宋体" w:hAnsi="宋体" w:eastAsia="宋体" w:cs="宋体"/>
          <w:color w:val="000000" w:themeColor="text1"/>
          <w:sz w:val="28"/>
          <w:szCs w:val="28"/>
          <w:highlight w:val="none"/>
          <w14:textFill>
            <w14:solidFill>
              <w14:schemeClr w14:val="tx1"/>
            </w14:solidFill>
          </w14:textFill>
        </w:rPr>
        <w:t>前以书面形式要求采购人或采购代理机构对招标文件予以澄清；否则，由此产生的后果由</w:t>
      </w:r>
      <w:r>
        <w:rPr>
          <w:rFonts w:hint="eastAsia" w:ascii="宋体" w:hAnsi="宋体" w:cs="宋体"/>
          <w:color w:val="000000" w:themeColor="text1"/>
          <w:sz w:val="28"/>
          <w:szCs w:val="28"/>
          <w:highlight w:val="none"/>
          <w:lang w:eastAsia="zh-CN"/>
          <w14:textFill>
            <w14:solidFill>
              <w14:schemeClr w14:val="tx1"/>
            </w14:solidFill>
          </w14:textFill>
        </w:rPr>
        <w:t>供应商</w:t>
      </w:r>
      <w:r>
        <w:rPr>
          <w:rFonts w:hint="eastAsia" w:ascii="宋体" w:hAnsi="宋体" w:eastAsia="宋体" w:cs="宋体"/>
          <w:color w:val="000000" w:themeColor="text1"/>
          <w:sz w:val="28"/>
          <w:szCs w:val="28"/>
          <w:highlight w:val="none"/>
          <w14:textFill>
            <w14:solidFill>
              <w14:schemeClr w14:val="tx1"/>
            </w14:solidFill>
          </w14:textFill>
        </w:rPr>
        <w:t>自行负责。</w:t>
      </w:r>
    </w:p>
    <w:p w14:paraId="5EBA36D5">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11.3 采购人或者采购代理机构可以对已发出的招标文件进行必要的澄清或者修改。澄清或者修改的内容可能影响投标文件编制的，采购人或者采购代理机构应当在投标截止时间至少15日前，以书面形式通知(在“</w:t>
      </w:r>
      <w:r>
        <w:rPr>
          <w:rFonts w:hint="eastAsia" w:ascii="宋体" w:hAnsi="宋体" w:cs="宋体"/>
          <w:color w:val="000000" w:themeColor="text1"/>
          <w:sz w:val="28"/>
          <w:szCs w:val="28"/>
          <w:highlight w:val="none"/>
          <w:lang w:eastAsia="zh-CN"/>
          <w14:textFill>
            <w14:solidFill>
              <w14:schemeClr w14:val="tx1"/>
            </w14:solidFill>
          </w14:textFill>
        </w:rPr>
        <w:t>供应商</w:t>
      </w:r>
      <w:r>
        <w:rPr>
          <w:rFonts w:hint="eastAsia" w:ascii="宋体" w:hAnsi="宋体" w:eastAsia="宋体" w:cs="宋体"/>
          <w:color w:val="000000" w:themeColor="text1"/>
          <w:sz w:val="28"/>
          <w:szCs w:val="28"/>
          <w:highlight w:val="none"/>
          <w14:textFill>
            <w14:solidFill>
              <w14:schemeClr w14:val="tx1"/>
            </w14:solidFill>
          </w14:textFill>
        </w:rPr>
        <w:t>须知前附表”规定的政府采购信息发布媒体上发布更正公告及平台短信通知)所有获取招标文件的潜在</w:t>
      </w:r>
      <w:r>
        <w:rPr>
          <w:rFonts w:hint="eastAsia" w:ascii="宋体" w:hAnsi="宋体" w:cs="宋体"/>
          <w:color w:val="000000" w:themeColor="text1"/>
          <w:sz w:val="28"/>
          <w:szCs w:val="28"/>
          <w:highlight w:val="none"/>
          <w:lang w:eastAsia="zh-CN"/>
          <w14:textFill>
            <w14:solidFill>
              <w14:schemeClr w14:val="tx1"/>
            </w14:solidFill>
          </w14:textFill>
        </w:rPr>
        <w:t>供应商</w:t>
      </w:r>
      <w:r>
        <w:rPr>
          <w:rFonts w:hint="eastAsia" w:ascii="宋体" w:hAnsi="宋体" w:eastAsia="宋体" w:cs="宋体"/>
          <w:color w:val="000000" w:themeColor="text1"/>
          <w:sz w:val="28"/>
          <w:szCs w:val="28"/>
          <w:highlight w:val="none"/>
          <w14:textFill>
            <w14:solidFill>
              <w14:schemeClr w14:val="tx1"/>
            </w14:solidFill>
          </w14:textFill>
        </w:rPr>
        <w:t>；不足15日的，采购人或者采购代理机构应当顺延提交投标文件的截止时间。发出的澄清或者修改不影响投标文件编制的也应在截标前3日发出。</w:t>
      </w:r>
    </w:p>
    <w:p w14:paraId="46E491C7">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11.4 采购人和采购代理机构可以视采购具体情况，变更投标截止时间和开标时间，将变更时间将在“</w:t>
      </w:r>
      <w:r>
        <w:rPr>
          <w:rFonts w:hint="eastAsia" w:ascii="宋体" w:hAnsi="宋体" w:cs="宋体"/>
          <w:color w:val="000000" w:themeColor="text1"/>
          <w:sz w:val="28"/>
          <w:szCs w:val="28"/>
          <w:highlight w:val="none"/>
          <w:lang w:eastAsia="zh-CN"/>
          <w14:textFill>
            <w14:solidFill>
              <w14:schemeClr w14:val="tx1"/>
            </w14:solidFill>
          </w14:textFill>
        </w:rPr>
        <w:t>供应商</w:t>
      </w:r>
      <w:r>
        <w:rPr>
          <w:rFonts w:hint="eastAsia" w:ascii="宋体" w:hAnsi="宋体" w:eastAsia="宋体" w:cs="宋体"/>
          <w:color w:val="000000" w:themeColor="text1"/>
          <w:sz w:val="28"/>
          <w:szCs w:val="28"/>
          <w:highlight w:val="none"/>
          <w14:textFill>
            <w14:solidFill>
              <w14:schemeClr w14:val="tx1"/>
            </w14:solidFill>
          </w14:textFill>
        </w:rPr>
        <w:t>须知前附表”</w:t>
      </w:r>
      <w:r>
        <w:rPr>
          <w:rFonts w:hint="eastAsia" w:ascii="宋体" w:hAnsi="宋体" w:eastAsia="宋体" w:cs="宋体"/>
          <w:color w:val="000000" w:themeColor="text1"/>
          <w:kern w:val="0"/>
          <w:sz w:val="28"/>
          <w:szCs w:val="28"/>
          <w:highlight w:val="none"/>
          <w14:textFill>
            <w14:solidFill>
              <w14:schemeClr w14:val="tx1"/>
            </w14:solidFill>
          </w14:textFill>
        </w:rPr>
        <w:t>规定的政府采购信息发布媒体上</w:t>
      </w:r>
      <w:r>
        <w:rPr>
          <w:rFonts w:hint="eastAsia" w:ascii="宋体" w:hAnsi="宋体" w:eastAsia="宋体" w:cs="宋体"/>
          <w:color w:val="000000" w:themeColor="text1"/>
          <w:sz w:val="28"/>
          <w:szCs w:val="28"/>
          <w:highlight w:val="none"/>
          <w14:textFill>
            <w14:solidFill>
              <w14:schemeClr w14:val="tx1"/>
            </w14:solidFill>
          </w14:textFill>
        </w:rPr>
        <w:t>发布更正公告。</w:t>
      </w:r>
    </w:p>
    <w:p w14:paraId="5AA0230B">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11.5采购人或者采购代理机构可以在招标文件提供期限截止后，组织已获取招标文件的潜在</w:t>
      </w:r>
      <w:r>
        <w:rPr>
          <w:rFonts w:hint="eastAsia" w:ascii="宋体" w:hAnsi="宋体" w:cs="宋体"/>
          <w:color w:val="000000" w:themeColor="text1"/>
          <w:sz w:val="28"/>
          <w:szCs w:val="28"/>
          <w:highlight w:val="none"/>
          <w:lang w:eastAsia="zh-CN"/>
          <w14:textFill>
            <w14:solidFill>
              <w14:schemeClr w14:val="tx1"/>
            </w14:solidFill>
          </w14:textFill>
        </w:rPr>
        <w:t>供应商</w:t>
      </w:r>
      <w:r>
        <w:rPr>
          <w:rFonts w:hint="eastAsia" w:ascii="宋体" w:hAnsi="宋体" w:eastAsia="宋体" w:cs="宋体"/>
          <w:color w:val="000000" w:themeColor="text1"/>
          <w:sz w:val="28"/>
          <w:szCs w:val="28"/>
          <w:highlight w:val="none"/>
          <w14:textFill>
            <w14:solidFill>
              <w14:schemeClr w14:val="tx1"/>
            </w14:solidFill>
          </w14:textFill>
        </w:rPr>
        <w:t>现场考察或者召开开标前答疑会，具体详见“</w:t>
      </w:r>
      <w:r>
        <w:rPr>
          <w:rFonts w:hint="eastAsia" w:ascii="宋体" w:hAnsi="宋体" w:cs="宋体"/>
          <w:color w:val="000000" w:themeColor="text1"/>
          <w:sz w:val="28"/>
          <w:szCs w:val="28"/>
          <w:highlight w:val="none"/>
          <w:lang w:eastAsia="zh-CN"/>
          <w14:textFill>
            <w14:solidFill>
              <w14:schemeClr w14:val="tx1"/>
            </w14:solidFill>
          </w14:textFill>
        </w:rPr>
        <w:t>供应商</w:t>
      </w:r>
      <w:r>
        <w:rPr>
          <w:rFonts w:hint="eastAsia" w:ascii="宋体" w:hAnsi="宋体" w:eastAsia="宋体" w:cs="宋体"/>
          <w:color w:val="000000" w:themeColor="text1"/>
          <w:sz w:val="28"/>
          <w:szCs w:val="28"/>
          <w:highlight w:val="none"/>
          <w14:textFill>
            <w14:solidFill>
              <w14:schemeClr w14:val="tx1"/>
            </w14:solidFill>
          </w14:textFill>
        </w:rPr>
        <w:t>须知前附表”。</w:t>
      </w:r>
    </w:p>
    <w:p w14:paraId="6538F658">
      <w:pPr>
        <w:pStyle w:val="4"/>
        <w:keepNext w:val="0"/>
        <w:keepLines w:val="0"/>
        <w:pageBreakBefore w:val="0"/>
        <w:kinsoku/>
        <w:wordWrap/>
        <w:overflowPunct/>
        <w:topLinePunct w:val="0"/>
        <w:bidi w:val="0"/>
        <w:adjustRightInd/>
        <w:snapToGrid/>
        <w:spacing w:line="560" w:lineRule="exact"/>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三、投标文件的编制</w:t>
      </w:r>
    </w:p>
    <w:p w14:paraId="61F991FB">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12.投标文件的编制原则</w:t>
      </w:r>
    </w:p>
    <w:p w14:paraId="1A164F45">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12.1</w:t>
      </w:r>
      <w:r>
        <w:rPr>
          <w:rFonts w:hint="eastAsia" w:ascii="宋体" w:hAnsi="宋体" w:cs="宋体"/>
          <w:color w:val="000000" w:themeColor="text1"/>
          <w:sz w:val="28"/>
          <w:szCs w:val="28"/>
          <w:highlight w:val="none"/>
          <w:lang w:eastAsia="zh-CN"/>
          <w14:textFill>
            <w14:solidFill>
              <w14:schemeClr w14:val="tx1"/>
            </w14:solidFill>
          </w14:textFill>
        </w:rPr>
        <w:t>供应商</w:t>
      </w:r>
      <w:r>
        <w:rPr>
          <w:rFonts w:hint="eastAsia" w:ascii="宋体" w:hAnsi="宋体" w:eastAsia="宋体" w:cs="宋体"/>
          <w:color w:val="000000" w:themeColor="text1"/>
          <w:sz w:val="28"/>
          <w:szCs w:val="28"/>
          <w:highlight w:val="none"/>
          <w14:textFill>
            <w14:solidFill>
              <w14:schemeClr w14:val="tx1"/>
            </w14:solidFill>
          </w14:textFill>
        </w:rPr>
        <w:t>必须按照招标文件的要求编制投标文件。投标文件必须对招标文件提出的要求和条件作出明确响应。</w:t>
      </w:r>
    </w:p>
    <w:p w14:paraId="2F3CDB08">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12.2</w:t>
      </w:r>
      <w:r>
        <w:rPr>
          <w:rFonts w:hint="eastAsia" w:ascii="宋体" w:hAnsi="宋体" w:cs="宋体"/>
          <w:color w:val="000000" w:themeColor="text1"/>
          <w:sz w:val="28"/>
          <w:szCs w:val="28"/>
          <w:highlight w:val="none"/>
          <w:lang w:eastAsia="zh-CN"/>
          <w14:textFill>
            <w14:solidFill>
              <w14:schemeClr w14:val="tx1"/>
            </w14:solidFill>
          </w14:textFill>
        </w:rPr>
        <w:t>供应商</w:t>
      </w:r>
      <w:r>
        <w:rPr>
          <w:rFonts w:hint="eastAsia" w:ascii="宋体" w:hAnsi="宋体" w:eastAsia="宋体" w:cs="宋体"/>
          <w:color w:val="000000" w:themeColor="text1"/>
          <w:sz w:val="28"/>
          <w:szCs w:val="28"/>
          <w:highlight w:val="none"/>
          <w14:textFill>
            <w14:solidFill>
              <w14:schemeClr w14:val="tx1"/>
            </w14:solidFill>
          </w14:textFill>
        </w:rPr>
        <w:t>应根据自身实际情况如实响应招标文件，不得仅将招标文件内容简单复制粘贴作为投标响应，还应当提供相关证明材料，否则将作无效响应处理（定制采购项目不适用本条款）。对于重要技术条款或技术参数应当在投标文件中提供技术支持资料，技术支持资料以招标文件中规定的形式为准，否则将视为无效技术支持资料。</w:t>
      </w:r>
    </w:p>
    <w:p w14:paraId="3D1DEA74">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13.投标文件的组成</w:t>
      </w:r>
    </w:p>
    <w:p w14:paraId="09A7F05A">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13.1投标文件由报价文件、资格证明文件、商务文件、技术文件四部分组成。</w:t>
      </w:r>
    </w:p>
    <w:p w14:paraId="53E535FA">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（1）资格证明文件：具体材料见“</w:t>
      </w:r>
      <w:r>
        <w:rPr>
          <w:rFonts w:hint="eastAsia" w:ascii="宋体" w:hAnsi="宋体" w:cs="宋体"/>
          <w:bCs/>
          <w:color w:val="000000" w:themeColor="text1"/>
          <w:sz w:val="28"/>
          <w:szCs w:val="28"/>
          <w:highlight w:val="none"/>
          <w:lang w:eastAsia="zh-CN"/>
          <w14:textFill>
            <w14:solidFill>
              <w14:schemeClr w14:val="tx1"/>
            </w14:solidFill>
          </w14:textFill>
        </w:rPr>
        <w:t>供应商</w:t>
      </w:r>
      <w:r>
        <w:rPr>
          <w:rFonts w:hint="eastAsia" w:ascii="宋体" w:hAnsi="宋体" w:eastAsia="宋体" w:cs="宋体"/>
          <w:bCs/>
          <w:color w:val="000000" w:themeColor="text1"/>
          <w:sz w:val="28"/>
          <w:szCs w:val="28"/>
          <w:highlight w:val="none"/>
          <w14:textFill>
            <w14:solidFill>
              <w14:schemeClr w14:val="tx1"/>
            </w14:solidFill>
          </w14:textFill>
        </w:rPr>
        <w:t>须知前附表”。</w:t>
      </w:r>
    </w:p>
    <w:p w14:paraId="1CC34160">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（2）商务文件：具体材料见“</w:t>
      </w:r>
      <w:r>
        <w:rPr>
          <w:rFonts w:hint="eastAsia" w:ascii="宋体" w:hAnsi="宋体" w:cs="宋体"/>
          <w:bCs/>
          <w:color w:val="000000" w:themeColor="text1"/>
          <w:sz w:val="28"/>
          <w:szCs w:val="28"/>
          <w:highlight w:val="none"/>
          <w:lang w:eastAsia="zh-CN"/>
          <w14:textFill>
            <w14:solidFill>
              <w14:schemeClr w14:val="tx1"/>
            </w14:solidFill>
          </w14:textFill>
        </w:rPr>
        <w:t>供应商</w:t>
      </w:r>
      <w:r>
        <w:rPr>
          <w:rFonts w:hint="eastAsia" w:ascii="宋体" w:hAnsi="宋体" w:eastAsia="宋体" w:cs="宋体"/>
          <w:bCs/>
          <w:color w:val="000000" w:themeColor="text1"/>
          <w:sz w:val="28"/>
          <w:szCs w:val="28"/>
          <w:highlight w:val="none"/>
          <w14:textFill>
            <w14:solidFill>
              <w14:schemeClr w14:val="tx1"/>
            </w14:solidFill>
          </w14:textFill>
        </w:rPr>
        <w:t>须知前附表”。</w:t>
      </w:r>
    </w:p>
    <w:p w14:paraId="0622BBBF">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（3）技术文件：具体材料见“</w:t>
      </w:r>
      <w:r>
        <w:rPr>
          <w:rFonts w:hint="eastAsia" w:ascii="宋体" w:hAnsi="宋体" w:cs="宋体"/>
          <w:bCs/>
          <w:color w:val="000000" w:themeColor="text1"/>
          <w:sz w:val="28"/>
          <w:szCs w:val="28"/>
          <w:highlight w:val="none"/>
          <w:lang w:eastAsia="zh-CN"/>
          <w14:textFill>
            <w14:solidFill>
              <w14:schemeClr w14:val="tx1"/>
            </w14:solidFill>
          </w14:textFill>
        </w:rPr>
        <w:t>供应商</w:t>
      </w:r>
      <w:r>
        <w:rPr>
          <w:rFonts w:hint="eastAsia" w:ascii="宋体" w:hAnsi="宋体" w:eastAsia="宋体" w:cs="宋体"/>
          <w:bCs/>
          <w:color w:val="000000" w:themeColor="text1"/>
          <w:sz w:val="28"/>
          <w:szCs w:val="28"/>
          <w:highlight w:val="none"/>
          <w14:textFill>
            <w14:solidFill>
              <w14:schemeClr w14:val="tx1"/>
            </w14:solidFill>
          </w14:textFill>
        </w:rPr>
        <w:t xml:space="preserve">须知前附表”。 </w:t>
      </w:r>
    </w:p>
    <w:p w14:paraId="4E648F4F">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（4）报价文件： 具体材料见“</w:t>
      </w:r>
      <w:r>
        <w:rPr>
          <w:rFonts w:hint="eastAsia" w:ascii="宋体" w:hAnsi="宋体" w:cs="宋体"/>
          <w:bCs/>
          <w:color w:val="000000" w:themeColor="text1"/>
          <w:sz w:val="28"/>
          <w:szCs w:val="28"/>
          <w:highlight w:val="none"/>
          <w:lang w:eastAsia="zh-CN"/>
          <w14:textFill>
            <w14:solidFill>
              <w14:schemeClr w14:val="tx1"/>
            </w14:solidFill>
          </w14:textFill>
        </w:rPr>
        <w:t>供应商</w:t>
      </w:r>
      <w:r>
        <w:rPr>
          <w:rFonts w:hint="eastAsia" w:ascii="宋体" w:hAnsi="宋体" w:eastAsia="宋体" w:cs="宋体"/>
          <w:bCs/>
          <w:color w:val="000000" w:themeColor="text1"/>
          <w:sz w:val="28"/>
          <w:szCs w:val="28"/>
          <w:highlight w:val="none"/>
          <w14:textFill>
            <w14:solidFill>
              <w14:schemeClr w14:val="tx1"/>
            </w14:solidFill>
          </w14:textFill>
        </w:rPr>
        <w:t>须知前附表”。</w:t>
      </w:r>
    </w:p>
    <w:p w14:paraId="787B72B5">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13.2投标文件电子版：具体要求见本节19.投标文件编制。</w:t>
      </w:r>
    </w:p>
    <w:p w14:paraId="5D44F2F5">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14.投标文件的语言及计量</w:t>
      </w:r>
    </w:p>
    <w:p w14:paraId="7C177882">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14.1语言文字</w:t>
      </w:r>
    </w:p>
    <w:p w14:paraId="012F03CF">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投标文件以及</w:t>
      </w:r>
      <w:r>
        <w:rPr>
          <w:rFonts w:hint="eastAsia" w:ascii="宋体" w:hAnsi="宋体" w:cs="宋体"/>
          <w:bCs/>
          <w:color w:val="000000" w:themeColor="text1"/>
          <w:sz w:val="28"/>
          <w:szCs w:val="28"/>
          <w:highlight w:val="none"/>
          <w:lang w:eastAsia="zh-CN"/>
          <w14:textFill>
            <w14:solidFill>
              <w14:schemeClr w14:val="tx1"/>
            </w14:solidFill>
          </w14:textFill>
        </w:rPr>
        <w:t>供应商</w:t>
      </w:r>
      <w:r>
        <w:rPr>
          <w:rFonts w:hint="eastAsia" w:ascii="宋体" w:hAnsi="宋体" w:eastAsia="宋体" w:cs="宋体"/>
          <w:bCs/>
          <w:color w:val="000000" w:themeColor="text1"/>
          <w:sz w:val="28"/>
          <w:szCs w:val="28"/>
          <w:highlight w:val="none"/>
          <w14:textFill>
            <w14:solidFill>
              <w14:schemeClr w14:val="tx1"/>
            </w14:solidFill>
          </w14:textFill>
        </w:rPr>
        <w:t>与采购人就有关投标事宜的所有来往函电，均应以中文书写（除专用术语外，与招标投标有关的语言均使用中文。必要时专用术语应附有中文注释）。</w:t>
      </w:r>
      <w:r>
        <w:rPr>
          <w:rFonts w:hint="eastAsia" w:ascii="宋体" w:hAnsi="宋体" w:cs="宋体"/>
          <w:bCs/>
          <w:color w:val="000000" w:themeColor="text1"/>
          <w:sz w:val="28"/>
          <w:szCs w:val="28"/>
          <w:highlight w:val="none"/>
          <w:lang w:eastAsia="zh-CN"/>
          <w14:textFill>
            <w14:solidFill>
              <w14:schemeClr w14:val="tx1"/>
            </w14:solidFill>
          </w14:textFill>
        </w:rPr>
        <w:t>供应商</w:t>
      </w:r>
      <w:r>
        <w:rPr>
          <w:rFonts w:hint="eastAsia" w:ascii="宋体" w:hAnsi="宋体" w:eastAsia="宋体" w:cs="宋体"/>
          <w:bCs/>
          <w:color w:val="000000" w:themeColor="text1"/>
          <w:sz w:val="28"/>
          <w:szCs w:val="28"/>
          <w:highlight w:val="none"/>
          <w14:textFill>
            <w14:solidFill>
              <w14:schemeClr w14:val="tx1"/>
            </w14:solidFill>
          </w14:textFill>
        </w:rPr>
        <w:t>提交的支持文件和印刷的文献可以使用别的语言，但其相应内容应同时附中文翻译文本，在解释投标文件时以中文翻译文本为主。对不同文字文本投标文件的解释发生异议的，以中文文本为准。</w:t>
      </w:r>
    </w:p>
    <w:p w14:paraId="48264006">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14.2投标计量单位</w:t>
      </w:r>
    </w:p>
    <w:p w14:paraId="2C6241E2">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招标文件已有明确规定的，使用招标文件规定的计量单位；招标文件没有规定的，应采用中华人民共和国法定计量单位，货币种类为人民币，否则视同未响应。</w:t>
      </w:r>
    </w:p>
    <w:p w14:paraId="0AEBF097">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15.投标的风险</w:t>
      </w:r>
    </w:p>
    <w:p w14:paraId="6A4F56F9">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b w:val="0"/>
          <w:bCs w:val="0"/>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投标文件分为资格文件、商务文件、技术文件、报价文件四部分（其中：商务文件与技术文件合并编辑成一个电子文档）。各</w:t>
      </w:r>
      <w:r>
        <w:rPr>
          <w:rFonts w:hint="eastAsia" w:ascii="宋体" w:hAnsi="宋体" w:cs="宋体"/>
          <w:color w:val="000000" w:themeColor="text1"/>
          <w:sz w:val="28"/>
          <w:szCs w:val="28"/>
          <w:highlight w:val="none"/>
          <w:lang w:eastAsia="zh-CN"/>
          <w14:textFill>
            <w14:solidFill>
              <w14:schemeClr w14:val="tx1"/>
            </w14:solidFill>
          </w14:textFill>
        </w:rPr>
        <w:t>供应商</w:t>
      </w:r>
      <w:r>
        <w:rPr>
          <w:rFonts w:hint="eastAsia" w:ascii="宋体" w:hAnsi="宋体" w:eastAsia="宋体" w:cs="宋体"/>
          <w:color w:val="000000" w:themeColor="text1"/>
          <w:sz w:val="28"/>
          <w:szCs w:val="28"/>
          <w:highlight w:val="none"/>
          <w14:textFill>
            <w14:solidFill>
              <w14:schemeClr w14:val="tx1"/>
            </w14:solidFill>
          </w14:textFill>
        </w:rPr>
        <w:t>在编制投标文件时请按照招标文件规定的格式进行，混乱的编排导致投标文件被误读或评标委员会查找不到有效文件是</w:t>
      </w:r>
      <w:r>
        <w:rPr>
          <w:rFonts w:hint="eastAsia" w:ascii="宋体" w:hAnsi="宋体" w:cs="宋体"/>
          <w:color w:val="000000" w:themeColor="text1"/>
          <w:sz w:val="28"/>
          <w:szCs w:val="28"/>
          <w:highlight w:val="none"/>
          <w:lang w:eastAsia="zh-CN"/>
          <w14:textFill>
            <w14:solidFill>
              <w14:schemeClr w14:val="tx1"/>
            </w14:solidFill>
          </w14:textFill>
        </w:rPr>
        <w:t>供应商</w:t>
      </w:r>
      <w:r>
        <w:rPr>
          <w:rFonts w:hint="eastAsia" w:ascii="宋体" w:hAnsi="宋体" w:eastAsia="宋体" w:cs="宋体"/>
          <w:color w:val="000000" w:themeColor="text1"/>
          <w:sz w:val="28"/>
          <w:szCs w:val="28"/>
          <w:highlight w:val="none"/>
          <w14:textFill>
            <w14:solidFill>
              <w14:schemeClr w14:val="tx1"/>
            </w14:solidFill>
          </w14:textFill>
        </w:rPr>
        <w:t>的风险</w:t>
      </w:r>
      <w:r>
        <w:rPr>
          <w:rFonts w:hint="eastAsia" w:ascii="宋体" w:hAnsi="宋体" w:eastAsia="宋体" w:cs="宋体"/>
          <w:b w:val="0"/>
          <w:bCs w:val="0"/>
          <w:color w:val="000000" w:themeColor="text1"/>
          <w:sz w:val="28"/>
          <w:szCs w:val="28"/>
          <w:highlight w:val="none"/>
          <w14:textFill>
            <w14:solidFill>
              <w14:schemeClr w14:val="tx1"/>
            </w14:solidFill>
          </w14:textFill>
        </w:rPr>
        <w:t>。</w:t>
      </w:r>
      <w:r>
        <w:rPr>
          <w:rFonts w:hint="eastAsia" w:ascii="宋体" w:hAnsi="宋体" w:eastAsia="宋体" w:cs="宋体"/>
          <w:color w:val="000000" w:themeColor="text1"/>
          <w:sz w:val="28"/>
          <w:szCs w:val="28"/>
          <w:highlight w:val="none"/>
          <w14:textFill>
            <w14:solidFill>
              <w14:schemeClr w14:val="tx1"/>
            </w14:solidFill>
          </w14:textFill>
        </w:rPr>
        <w:t>★</w:t>
      </w:r>
      <w:r>
        <w:rPr>
          <w:rFonts w:hint="eastAsia" w:ascii="宋体" w:hAnsi="宋体" w:eastAsia="宋体" w:cs="宋体"/>
          <w:b w:val="0"/>
          <w:bCs w:val="0"/>
          <w:color w:val="000000" w:themeColor="text1"/>
          <w:sz w:val="28"/>
          <w:szCs w:val="28"/>
          <w:highlight w:val="none"/>
          <w14:textFill>
            <w14:solidFill>
              <w14:schemeClr w14:val="tx1"/>
            </w14:solidFill>
          </w14:textFill>
        </w:rPr>
        <w:t>投标文件未按规定的格式编制的、没有按照招标文件要求提供全部资料、没有对招标文件作出实质性响应，投标无效；</w:t>
      </w:r>
    </w:p>
    <w:p w14:paraId="092F9F2A">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16.投标报价</w:t>
      </w:r>
    </w:p>
    <w:p w14:paraId="3205BC56">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16.1投标报价应按“第六章　投标文件格式”中“开标一览表”格式填写。</w:t>
      </w:r>
    </w:p>
    <w:p w14:paraId="1505B826">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16.2投标报价具体包括内容详见“</w:t>
      </w:r>
      <w:r>
        <w:rPr>
          <w:rFonts w:hint="eastAsia" w:ascii="宋体" w:hAnsi="宋体" w:cs="宋体"/>
          <w:bCs/>
          <w:color w:val="000000" w:themeColor="text1"/>
          <w:sz w:val="28"/>
          <w:szCs w:val="28"/>
          <w:highlight w:val="none"/>
          <w:lang w:eastAsia="zh-CN"/>
          <w14:textFill>
            <w14:solidFill>
              <w14:schemeClr w14:val="tx1"/>
            </w14:solidFill>
          </w14:textFill>
        </w:rPr>
        <w:t>供应商</w:t>
      </w:r>
      <w:r>
        <w:rPr>
          <w:rFonts w:hint="eastAsia" w:ascii="宋体" w:hAnsi="宋体" w:eastAsia="宋体" w:cs="宋体"/>
          <w:bCs/>
          <w:color w:val="000000" w:themeColor="text1"/>
          <w:sz w:val="28"/>
          <w:szCs w:val="28"/>
          <w:highlight w:val="none"/>
          <w14:textFill>
            <w14:solidFill>
              <w14:schemeClr w14:val="tx1"/>
            </w14:solidFill>
          </w14:textFill>
        </w:rPr>
        <w:t>须知前附表”。</w:t>
      </w:r>
    </w:p>
    <w:p w14:paraId="1D9186F6">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16.3</w:t>
      </w:r>
      <w:r>
        <w:rPr>
          <w:rFonts w:hint="eastAsia" w:ascii="宋体" w:hAnsi="宋体" w:cs="宋体"/>
          <w:bCs/>
          <w:color w:val="000000" w:themeColor="text1"/>
          <w:sz w:val="28"/>
          <w:szCs w:val="28"/>
          <w:highlight w:val="none"/>
          <w:lang w:eastAsia="zh-CN"/>
          <w14:textFill>
            <w14:solidFill>
              <w14:schemeClr w14:val="tx1"/>
            </w14:solidFill>
          </w14:textFill>
        </w:rPr>
        <w:t>供应商</w:t>
      </w:r>
      <w:r>
        <w:rPr>
          <w:rFonts w:hint="eastAsia" w:ascii="宋体" w:hAnsi="宋体" w:eastAsia="宋体" w:cs="宋体"/>
          <w:bCs/>
          <w:color w:val="000000" w:themeColor="text1"/>
          <w:sz w:val="28"/>
          <w:szCs w:val="28"/>
          <w:highlight w:val="none"/>
          <w14:textFill>
            <w14:solidFill>
              <w14:schemeClr w14:val="tx1"/>
            </w14:solidFill>
          </w14:textFill>
        </w:rPr>
        <w:t>必须就所投每个分标的全部内容分别作完整唯一总价报价，不得存在漏项报价；</w:t>
      </w:r>
      <w:r>
        <w:rPr>
          <w:rFonts w:hint="eastAsia" w:ascii="宋体" w:hAnsi="宋体" w:cs="宋体"/>
          <w:bCs/>
          <w:color w:val="000000" w:themeColor="text1"/>
          <w:sz w:val="28"/>
          <w:szCs w:val="28"/>
          <w:highlight w:val="none"/>
          <w:lang w:eastAsia="zh-CN"/>
          <w14:textFill>
            <w14:solidFill>
              <w14:schemeClr w14:val="tx1"/>
            </w14:solidFill>
          </w14:textFill>
        </w:rPr>
        <w:t>供应商</w:t>
      </w:r>
      <w:r>
        <w:rPr>
          <w:rFonts w:hint="eastAsia" w:ascii="宋体" w:hAnsi="宋体" w:eastAsia="宋体" w:cs="宋体"/>
          <w:bCs/>
          <w:color w:val="000000" w:themeColor="text1"/>
          <w:sz w:val="28"/>
          <w:szCs w:val="28"/>
          <w:highlight w:val="none"/>
          <w14:textFill>
            <w14:solidFill>
              <w14:schemeClr w14:val="tx1"/>
            </w14:solidFill>
          </w14:textFill>
        </w:rPr>
        <w:t>必须就所投的单项内容作唯一报价。</w:t>
      </w:r>
    </w:p>
    <w:p w14:paraId="1A874735">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17.投标有效期</w:t>
      </w:r>
    </w:p>
    <w:p w14:paraId="432725DC">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17.1投标有效期是指为保证采购人有足够的时间在开标后完成评标、定标、合同签订等工作而要求</w:t>
      </w:r>
      <w:r>
        <w:rPr>
          <w:rFonts w:hint="eastAsia" w:ascii="宋体" w:hAnsi="宋体" w:cs="宋体"/>
          <w:bCs/>
          <w:color w:val="000000" w:themeColor="text1"/>
          <w:sz w:val="28"/>
          <w:szCs w:val="28"/>
          <w:highlight w:val="none"/>
          <w:lang w:eastAsia="zh-CN"/>
          <w14:textFill>
            <w14:solidFill>
              <w14:schemeClr w14:val="tx1"/>
            </w14:solidFill>
          </w14:textFill>
        </w:rPr>
        <w:t>供应商</w:t>
      </w:r>
      <w:r>
        <w:rPr>
          <w:rFonts w:hint="eastAsia" w:ascii="宋体" w:hAnsi="宋体" w:eastAsia="宋体" w:cs="宋体"/>
          <w:bCs/>
          <w:color w:val="000000" w:themeColor="text1"/>
          <w:sz w:val="28"/>
          <w:szCs w:val="28"/>
          <w:highlight w:val="none"/>
          <w14:textFill>
            <w14:solidFill>
              <w14:schemeClr w14:val="tx1"/>
            </w14:solidFill>
          </w14:textFill>
        </w:rPr>
        <w:t>提交的投标文件在一定时间内保持有效的期限。</w:t>
      </w:r>
    </w:p>
    <w:p w14:paraId="27B1C1AC">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17.2 投标有效期应按规定的期限作出承诺，具体详见“</w:t>
      </w:r>
      <w:r>
        <w:rPr>
          <w:rFonts w:hint="eastAsia" w:ascii="宋体" w:hAnsi="宋体" w:cs="宋体"/>
          <w:bCs/>
          <w:color w:val="000000" w:themeColor="text1"/>
          <w:sz w:val="28"/>
          <w:szCs w:val="28"/>
          <w:highlight w:val="none"/>
          <w:lang w:eastAsia="zh-CN"/>
          <w14:textFill>
            <w14:solidFill>
              <w14:schemeClr w14:val="tx1"/>
            </w14:solidFill>
          </w14:textFill>
        </w:rPr>
        <w:t>供应商</w:t>
      </w:r>
      <w:r>
        <w:rPr>
          <w:rFonts w:hint="eastAsia" w:ascii="宋体" w:hAnsi="宋体" w:eastAsia="宋体" w:cs="宋体"/>
          <w:bCs/>
          <w:color w:val="000000" w:themeColor="text1"/>
          <w:sz w:val="28"/>
          <w:szCs w:val="28"/>
          <w:highlight w:val="none"/>
          <w14:textFill>
            <w14:solidFill>
              <w14:schemeClr w14:val="tx1"/>
            </w14:solidFill>
          </w14:textFill>
        </w:rPr>
        <w:t>须知前附表”。</w:t>
      </w:r>
    </w:p>
    <w:p w14:paraId="1B3E1440">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17.3</w:t>
      </w:r>
      <w:r>
        <w:rPr>
          <w:rFonts w:hint="eastAsia" w:ascii="宋体" w:hAnsi="宋体" w:cs="宋体"/>
          <w:bCs/>
          <w:color w:val="000000" w:themeColor="text1"/>
          <w:sz w:val="28"/>
          <w:szCs w:val="28"/>
          <w:highlight w:val="none"/>
          <w:lang w:eastAsia="zh-CN"/>
          <w14:textFill>
            <w14:solidFill>
              <w14:schemeClr w14:val="tx1"/>
            </w14:solidFill>
          </w14:textFill>
        </w:rPr>
        <w:t>供应商</w:t>
      </w:r>
      <w:r>
        <w:rPr>
          <w:rFonts w:hint="eastAsia" w:ascii="宋体" w:hAnsi="宋体" w:eastAsia="宋体" w:cs="宋体"/>
          <w:bCs/>
          <w:color w:val="000000" w:themeColor="text1"/>
          <w:sz w:val="28"/>
          <w:szCs w:val="28"/>
          <w:highlight w:val="none"/>
          <w14:textFill>
            <w14:solidFill>
              <w14:schemeClr w14:val="tx1"/>
            </w14:solidFill>
          </w14:textFill>
        </w:rPr>
        <w:t>的投标文件在投标有效期内均保持有效。</w:t>
      </w:r>
    </w:p>
    <w:p w14:paraId="140471CD">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18.投标保证金</w:t>
      </w:r>
    </w:p>
    <w:p w14:paraId="6CC7EAEA">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见“</w:t>
      </w:r>
      <w:r>
        <w:rPr>
          <w:rFonts w:hint="eastAsia" w:ascii="宋体" w:hAnsi="宋体" w:cs="宋体"/>
          <w:bCs/>
          <w:color w:val="000000" w:themeColor="text1"/>
          <w:sz w:val="28"/>
          <w:szCs w:val="28"/>
          <w:highlight w:val="none"/>
          <w:lang w:eastAsia="zh-CN"/>
          <w14:textFill>
            <w14:solidFill>
              <w14:schemeClr w14:val="tx1"/>
            </w14:solidFill>
          </w14:textFill>
        </w:rPr>
        <w:t>供应商</w:t>
      </w:r>
      <w:r>
        <w:rPr>
          <w:rFonts w:hint="eastAsia" w:ascii="宋体" w:hAnsi="宋体" w:eastAsia="宋体" w:cs="宋体"/>
          <w:bCs/>
          <w:color w:val="000000" w:themeColor="text1"/>
          <w:sz w:val="28"/>
          <w:szCs w:val="28"/>
          <w:highlight w:val="none"/>
          <w14:textFill>
            <w14:solidFill>
              <w14:schemeClr w14:val="tx1"/>
            </w14:solidFill>
          </w14:textFill>
        </w:rPr>
        <w:t>须知前附表”。</w:t>
      </w:r>
    </w:p>
    <w:p w14:paraId="26E2FBFD">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19.投标文件的编制</w:t>
      </w:r>
    </w:p>
    <w:p w14:paraId="03CDF5C8">
      <w:pPr>
        <w:keepNext w:val="0"/>
        <w:keepLines w:val="0"/>
        <w:pageBreakBefore w:val="0"/>
        <w:kinsoku/>
        <w:wordWrap/>
        <w:overflowPunct/>
        <w:topLinePunct w:val="0"/>
        <w:bidi w:val="0"/>
        <w:adjustRightInd/>
        <w:snapToGrid/>
        <w:spacing w:line="560" w:lineRule="exact"/>
        <w:ind w:firstLine="562"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19.1投标文件编制要求详见“</w:t>
      </w:r>
      <w:r>
        <w:rPr>
          <w:rFonts w:hint="eastAsia" w:ascii="宋体" w:hAnsi="宋体" w:cs="宋体"/>
          <w:color w:val="000000" w:themeColor="text1"/>
          <w:sz w:val="28"/>
          <w:szCs w:val="28"/>
          <w:highlight w:val="none"/>
          <w:lang w:eastAsia="zh-CN"/>
          <w14:textFill>
            <w14:solidFill>
              <w14:schemeClr w14:val="tx1"/>
            </w14:solidFill>
          </w14:textFill>
        </w:rPr>
        <w:t>供应商</w:t>
      </w:r>
      <w:r>
        <w:rPr>
          <w:rFonts w:hint="eastAsia" w:ascii="宋体" w:hAnsi="宋体" w:eastAsia="宋体" w:cs="宋体"/>
          <w:color w:val="000000" w:themeColor="text1"/>
          <w:sz w:val="28"/>
          <w:szCs w:val="28"/>
          <w:highlight w:val="none"/>
          <w14:textFill>
            <w14:solidFill>
              <w14:schemeClr w14:val="tx1"/>
            </w14:solidFill>
          </w14:textFill>
        </w:rPr>
        <w:t>须知前附表”。</w:t>
      </w:r>
      <w:r>
        <w:rPr>
          <w:rFonts w:hint="eastAsia" w:ascii="宋体" w:hAnsi="宋体" w:cs="宋体"/>
          <w:color w:val="000000" w:themeColor="text1"/>
          <w:sz w:val="28"/>
          <w:szCs w:val="28"/>
          <w:highlight w:val="none"/>
          <w:lang w:eastAsia="zh-CN"/>
          <w14:textFill>
            <w14:solidFill>
              <w14:schemeClr w14:val="tx1"/>
            </w14:solidFill>
          </w14:textFill>
        </w:rPr>
        <w:t>供应商</w:t>
      </w:r>
      <w:r>
        <w:rPr>
          <w:rFonts w:hint="eastAsia" w:ascii="宋体" w:hAnsi="宋体" w:eastAsia="宋体" w:cs="宋体"/>
          <w:color w:val="000000" w:themeColor="text1"/>
          <w:sz w:val="28"/>
          <w:szCs w:val="28"/>
          <w:highlight w:val="none"/>
          <w14:textFill>
            <w14:solidFill>
              <w14:schemeClr w14:val="tx1"/>
            </w14:solidFill>
          </w14:textFill>
        </w:rPr>
        <w:t>应按本招标文件规定的格式和顺序编制、装订投标文件并标注页码，投标文件内容不完整、编排混乱导致投标文件被误读、漏读或者查找不到相关内容的，由此引发的后果由</w:t>
      </w:r>
      <w:r>
        <w:rPr>
          <w:rFonts w:hint="eastAsia" w:ascii="宋体" w:hAnsi="宋体" w:cs="宋体"/>
          <w:color w:val="000000" w:themeColor="text1"/>
          <w:sz w:val="28"/>
          <w:szCs w:val="28"/>
          <w:highlight w:val="none"/>
          <w:lang w:eastAsia="zh-CN"/>
          <w14:textFill>
            <w14:solidFill>
              <w14:schemeClr w14:val="tx1"/>
            </w14:solidFill>
          </w14:textFill>
        </w:rPr>
        <w:t>供应商</w:t>
      </w:r>
      <w:r>
        <w:rPr>
          <w:rFonts w:hint="eastAsia" w:ascii="宋体" w:hAnsi="宋体" w:eastAsia="宋体" w:cs="宋体"/>
          <w:color w:val="000000" w:themeColor="text1"/>
          <w:sz w:val="28"/>
          <w:szCs w:val="28"/>
          <w:highlight w:val="none"/>
          <w14:textFill>
            <w14:solidFill>
              <w14:schemeClr w14:val="tx1"/>
            </w14:solidFill>
          </w14:textFill>
        </w:rPr>
        <w:t xml:space="preserve">承担。 </w:t>
      </w:r>
    </w:p>
    <w:p w14:paraId="5E5D6147">
      <w:pPr>
        <w:pStyle w:val="108"/>
        <w:keepNext w:val="0"/>
        <w:keepLines w:val="0"/>
        <w:pageBreakBefore w:val="0"/>
        <w:kinsoku/>
        <w:wordWrap/>
        <w:overflowPunct/>
        <w:topLinePunct w:val="0"/>
        <w:bidi w:val="0"/>
        <w:adjustRightInd/>
        <w:snapToGrid/>
        <w:spacing w:before="0" w:line="560" w:lineRule="exact"/>
        <w:ind w:firstLine="56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19.2投标文件按照招标文件第六章格式要求在规定位置进行签署、盖章。</w:t>
      </w:r>
      <w:r>
        <w:rPr>
          <w:rFonts w:hint="eastAsia" w:ascii="宋体" w:hAnsi="宋体" w:eastAsia="宋体" w:cs="宋体"/>
          <w:color w:val="000000" w:themeColor="text1"/>
          <w:sz w:val="28"/>
          <w:szCs w:val="28"/>
          <w:highlight w:val="none"/>
          <w:lang w:eastAsia="zh-CN"/>
          <w14:textFill>
            <w14:solidFill>
              <w14:schemeClr w14:val="tx1"/>
            </w14:solidFill>
          </w14:textFill>
        </w:rPr>
        <w:t>供应商</w:t>
      </w:r>
      <w:r>
        <w:rPr>
          <w:rFonts w:hint="eastAsia" w:ascii="宋体" w:hAnsi="宋体" w:eastAsia="宋体" w:cs="宋体"/>
          <w:color w:val="000000" w:themeColor="text1"/>
          <w:sz w:val="28"/>
          <w:szCs w:val="28"/>
          <w:highlight w:val="none"/>
          <w14:textFill>
            <w14:solidFill>
              <w14:schemeClr w14:val="tx1"/>
            </w14:solidFill>
          </w14:textFill>
        </w:rPr>
        <w:t>的投标文件未按照招标文件要求签署、盖章的，</w:t>
      </w:r>
      <w:r>
        <w:rPr>
          <w:rFonts w:hint="eastAsia" w:ascii="宋体" w:hAnsi="宋体" w:eastAsia="宋体" w:cs="宋体"/>
          <w:b/>
          <w:color w:val="000000" w:themeColor="text1"/>
          <w:sz w:val="28"/>
          <w:szCs w:val="28"/>
          <w:highlight w:val="none"/>
          <w14:textFill>
            <w14:solidFill>
              <w14:schemeClr w14:val="tx1"/>
            </w14:solidFill>
          </w14:textFill>
        </w:rPr>
        <w:t>其投标无效。</w:t>
      </w:r>
      <w:r>
        <w:rPr>
          <w:rFonts w:hint="eastAsia" w:ascii="宋体" w:hAnsi="宋体" w:eastAsia="宋体" w:cs="宋体"/>
          <w:color w:val="000000" w:themeColor="text1"/>
          <w:sz w:val="28"/>
          <w:szCs w:val="28"/>
          <w:highlight w:val="none"/>
          <w14:textFill>
            <w14:solidFill>
              <w14:schemeClr w14:val="tx1"/>
            </w14:solidFill>
          </w14:textFill>
        </w:rPr>
        <w:t>骑缝盖公章不视为在规定位置盖章。</w:t>
      </w:r>
    </w:p>
    <w:p w14:paraId="5D469A6D">
      <w:pPr>
        <w:pStyle w:val="108"/>
        <w:keepNext w:val="0"/>
        <w:keepLines w:val="0"/>
        <w:pageBreakBefore w:val="0"/>
        <w:kinsoku/>
        <w:wordWrap/>
        <w:overflowPunct/>
        <w:topLinePunct w:val="0"/>
        <w:bidi w:val="0"/>
        <w:adjustRightInd/>
        <w:snapToGrid/>
        <w:spacing w:before="0" w:line="560" w:lineRule="exact"/>
        <w:ind w:firstLine="56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19.3为确保网上操作合法、有效和安全，</w:t>
      </w:r>
      <w:r>
        <w:rPr>
          <w:rFonts w:hint="eastAsia" w:ascii="宋体" w:hAnsi="宋体" w:eastAsia="宋体" w:cs="宋体"/>
          <w:color w:val="000000" w:themeColor="text1"/>
          <w:sz w:val="28"/>
          <w:szCs w:val="28"/>
          <w:highlight w:val="none"/>
          <w:lang w:eastAsia="zh-CN"/>
          <w14:textFill>
            <w14:solidFill>
              <w14:schemeClr w14:val="tx1"/>
            </w14:solidFill>
          </w14:textFill>
        </w:rPr>
        <w:t>供应商</w:t>
      </w:r>
      <w:r>
        <w:rPr>
          <w:rFonts w:hint="eastAsia" w:ascii="宋体" w:hAnsi="宋体" w:eastAsia="宋体" w:cs="宋体"/>
          <w:color w:val="000000" w:themeColor="text1"/>
          <w:sz w:val="28"/>
          <w:szCs w:val="28"/>
          <w:highlight w:val="none"/>
          <w14:textFill>
            <w14:solidFill>
              <w14:schemeClr w14:val="tx1"/>
            </w14:solidFill>
          </w14:textFill>
        </w:rPr>
        <w:t>应当在投标截止时间前完成在“政采云”平台的身份认证，确保在电子投标过程中能够对相关数据电文进行加密和使用电子签名。</w:t>
      </w:r>
    </w:p>
    <w:p w14:paraId="74942F0F">
      <w:pPr>
        <w:keepNext w:val="0"/>
        <w:keepLines w:val="0"/>
        <w:pageBreakBefore w:val="0"/>
        <w:kinsoku/>
        <w:wordWrap/>
        <w:overflowPunct/>
        <w:topLinePunct w:val="0"/>
        <w:bidi w:val="0"/>
        <w:adjustRightInd/>
        <w:snapToGrid/>
        <w:spacing w:line="560" w:lineRule="exact"/>
        <w:ind w:firstLine="562" w:firstLineChars="200"/>
        <w:jc w:val="both"/>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19.4投标文件中标注的</w:t>
      </w:r>
      <w:r>
        <w:rPr>
          <w:rFonts w:hint="eastAsia" w:ascii="宋体" w:hAnsi="宋体" w:cs="宋体"/>
          <w:b/>
          <w:color w:val="000000" w:themeColor="text1"/>
          <w:sz w:val="28"/>
          <w:szCs w:val="28"/>
          <w:highlight w:val="none"/>
          <w:lang w:eastAsia="zh-CN"/>
          <w14:textFill>
            <w14:solidFill>
              <w14:schemeClr w14:val="tx1"/>
            </w14:solidFill>
          </w14:textFill>
        </w:rPr>
        <w:t>供应商</w:t>
      </w:r>
      <w:r>
        <w:rPr>
          <w:rFonts w:hint="eastAsia" w:ascii="宋体" w:hAnsi="宋体" w:eastAsia="宋体" w:cs="宋体"/>
          <w:b/>
          <w:color w:val="000000" w:themeColor="text1"/>
          <w:sz w:val="28"/>
          <w:szCs w:val="28"/>
          <w:highlight w:val="none"/>
          <w14:textFill>
            <w14:solidFill>
              <w14:schemeClr w14:val="tx1"/>
            </w14:solidFill>
          </w14:textFill>
        </w:rPr>
        <w:t>名称应与主体资格证明（如营业执照、事业单位法人证书、执业许可证、自然人身份证等）及公章一致，</w:t>
      </w:r>
      <w:r>
        <w:rPr>
          <w:rFonts w:hint="eastAsia" w:ascii="宋体" w:hAnsi="宋体" w:eastAsia="宋体" w:cs="宋体"/>
          <w:color w:val="000000" w:themeColor="text1"/>
          <w:sz w:val="28"/>
          <w:szCs w:val="28"/>
          <w:highlight w:val="none"/>
          <w14:textFill>
            <w14:solidFill>
              <w14:schemeClr w14:val="tx1"/>
            </w14:solidFill>
          </w14:textFill>
        </w:rPr>
        <w:t>否则作无效投标处理</w:t>
      </w:r>
      <w:r>
        <w:rPr>
          <w:rFonts w:hint="eastAsia" w:ascii="宋体" w:hAnsi="宋体" w:eastAsia="宋体" w:cs="宋体"/>
          <w:b/>
          <w:color w:val="000000" w:themeColor="text1"/>
          <w:sz w:val="28"/>
          <w:szCs w:val="28"/>
          <w:highlight w:val="none"/>
          <w14:textFill>
            <w14:solidFill>
              <w14:schemeClr w14:val="tx1"/>
            </w14:solidFill>
          </w14:textFill>
        </w:rPr>
        <w:t>。</w:t>
      </w:r>
    </w:p>
    <w:p w14:paraId="3170F465">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 19.5投标文件应避免涂改、行间插字或者删除，</w:t>
      </w:r>
      <w:r>
        <w:rPr>
          <w:rFonts w:hint="eastAsia" w:ascii="宋体" w:hAnsi="宋体" w:eastAsia="宋体" w:cs="宋体"/>
          <w:b/>
          <w:color w:val="000000" w:themeColor="text1"/>
          <w:sz w:val="28"/>
          <w:szCs w:val="28"/>
          <w:highlight w:val="none"/>
          <w14:textFill>
            <w14:solidFill>
              <w14:schemeClr w14:val="tx1"/>
            </w14:solidFill>
          </w14:textFill>
        </w:rPr>
        <w:t>否则其投标无效。</w:t>
      </w:r>
    </w:p>
    <w:p w14:paraId="741573E3">
      <w:pPr>
        <w:keepNext w:val="0"/>
        <w:keepLines w:val="0"/>
        <w:pageBreakBefore w:val="0"/>
        <w:kinsoku/>
        <w:wordWrap/>
        <w:overflowPunct/>
        <w:topLinePunct w:val="0"/>
        <w:bidi w:val="0"/>
        <w:adjustRightInd/>
        <w:snapToGrid/>
        <w:spacing w:line="560" w:lineRule="exact"/>
        <w:ind w:firstLine="694" w:firstLineChars="248"/>
        <w:jc w:val="both"/>
        <w:rPr>
          <w:rFonts w:hint="eastAsia" w:ascii="宋体" w:hAnsi="宋体" w:eastAsia="宋体" w:cs="宋体"/>
          <w:b w:val="0"/>
          <w:bCs/>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19.6 对招标文件的实质性要求和条件作出响应是指</w:t>
      </w:r>
      <w:r>
        <w:rPr>
          <w:rFonts w:hint="eastAsia" w:ascii="宋体" w:hAnsi="宋体" w:cs="宋体"/>
          <w:color w:val="000000" w:themeColor="text1"/>
          <w:sz w:val="28"/>
          <w:szCs w:val="28"/>
          <w:highlight w:val="none"/>
          <w:lang w:eastAsia="zh-CN"/>
          <w14:textFill>
            <w14:solidFill>
              <w14:schemeClr w14:val="tx1"/>
            </w14:solidFill>
          </w14:textFill>
        </w:rPr>
        <w:t>供应商</w:t>
      </w:r>
      <w:r>
        <w:rPr>
          <w:rFonts w:hint="eastAsia" w:ascii="宋体" w:hAnsi="宋体" w:eastAsia="宋体" w:cs="宋体"/>
          <w:color w:val="000000" w:themeColor="text1"/>
          <w:sz w:val="28"/>
          <w:szCs w:val="28"/>
          <w:highlight w:val="none"/>
          <w14:textFill>
            <w14:solidFill>
              <w14:schemeClr w14:val="tx1"/>
            </w14:solidFill>
          </w14:textFill>
        </w:rPr>
        <w:t>必须对招标文件中标注为实质性要求和条件的货物内容及要求、商务条款及其它内容</w:t>
      </w:r>
      <w:r>
        <w:rPr>
          <w:rFonts w:hint="eastAsia" w:ascii="宋体" w:hAnsi="宋体" w:eastAsia="宋体" w:cs="宋体"/>
          <w:b w:val="0"/>
          <w:bCs/>
          <w:color w:val="000000" w:themeColor="text1"/>
          <w:sz w:val="28"/>
          <w:szCs w:val="28"/>
          <w:highlight w:val="none"/>
          <w14:textFill>
            <w14:solidFill>
              <w14:schemeClr w14:val="tx1"/>
            </w14:solidFill>
          </w14:textFill>
        </w:rPr>
        <w:t>作出满足或者优于原要求和条件的承诺。</w:t>
      </w:r>
    </w:p>
    <w:p w14:paraId="7B87ED61">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b w:val="0"/>
          <w:bCs/>
          <w:color w:val="000000" w:themeColor="text1"/>
          <w:sz w:val="28"/>
          <w:szCs w:val="28"/>
          <w:highlight w:val="none"/>
          <w:u w:val="single"/>
          <w14:textFill>
            <w14:solidFill>
              <w14:schemeClr w14:val="tx1"/>
            </w14:solidFill>
          </w14:textFill>
        </w:rPr>
      </w:pPr>
      <w:r>
        <w:rPr>
          <w:rFonts w:hint="eastAsia" w:ascii="宋体" w:hAnsi="宋体" w:eastAsia="宋体" w:cs="宋体"/>
          <w:b w:val="0"/>
          <w:bCs/>
          <w:color w:val="000000" w:themeColor="text1"/>
          <w:sz w:val="28"/>
          <w:szCs w:val="28"/>
          <w:highlight w:val="none"/>
          <w:u w:val="single"/>
          <w14:textFill>
            <w14:solidFill>
              <w14:schemeClr w14:val="tx1"/>
            </w14:solidFill>
          </w14:textFill>
        </w:rPr>
        <w:t xml:space="preserve">19.7本项目为全流程电子化项目，异常情况见“第二节 </w:t>
      </w:r>
      <w:r>
        <w:rPr>
          <w:rFonts w:hint="eastAsia" w:ascii="宋体" w:hAnsi="宋体" w:cs="宋体"/>
          <w:b w:val="0"/>
          <w:bCs/>
          <w:color w:val="000000" w:themeColor="text1"/>
          <w:sz w:val="28"/>
          <w:szCs w:val="28"/>
          <w:highlight w:val="none"/>
          <w:u w:val="single"/>
          <w:lang w:eastAsia="zh-CN"/>
          <w14:textFill>
            <w14:solidFill>
              <w14:schemeClr w14:val="tx1"/>
            </w14:solidFill>
          </w14:textFill>
        </w:rPr>
        <w:t>供应商</w:t>
      </w:r>
      <w:r>
        <w:rPr>
          <w:rFonts w:hint="eastAsia" w:ascii="宋体" w:hAnsi="宋体" w:eastAsia="宋体" w:cs="宋体"/>
          <w:b w:val="0"/>
          <w:bCs/>
          <w:color w:val="000000" w:themeColor="text1"/>
          <w:sz w:val="28"/>
          <w:szCs w:val="28"/>
          <w:highlight w:val="none"/>
          <w:u w:val="single"/>
          <w14:textFill>
            <w14:solidFill>
              <w14:schemeClr w14:val="tx1"/>
            </w14:solidFill>
          </w14:textFill>
        </w:rPr>
        <w:t>须知正文”中“四、24.2开标程序。</w:t>
      </w:r>
    </w:p>
    <w:p w14:paraId="10E20D11">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20.备份投标文件</w:t>
      </w:r>
    </w:p>
    <w:p w14:paraId="67CA9A9E">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详见在“</w:t>
      </w:r>
      <w:r>
        <w:rPr>
          <w:rFonts w:hint="eastAsia" w:ascii="宋体" w:hAnsi="宋体" w:cs="宋体"/>
          <w:bCs/>
          <w:color w:val="000000" w:themeColor="text1"/>
          <w:sz w:val="28"/>
          <w:szCs w:val="28"/>
          <w:highlight w:val="none"/>
          <w:lang w:eastAsia="zh-CN"/>
          <w14:textFill>
            <w14:solidFill>
              <w14:schemeClr w14:val="tx1"/>
            </w14:solidFill>
          </w14:textFill>
        </w:rPr>
        <w:t>供应商</w:t>
      </w:r>
      <w:r>
        <w:rPr>
          <w:rFonts w:hint="eastAsia" w:ascii="宋体" w:hAnsi="宋体" w:eastAsia="宋体" w:cs="宋体"/>
          <w:bCs/>
          <w:color w:val="000000" w:themeColor="text1"/>
          <w:sz w:val="28"/>
          <w:szCs w:val="28"/>
          <w:highlight w:val="none"/>
          <w14:textFill>
            <w14:solidFill>
              <w14:schemeClr w14:val="tx1"/>
            </w14:solidFill>
          </w14:textFill>
        </w:rPr>
        <w:t>须知前附表”。</w:t>
      </w:r>
    </w:p>
    <w:p w14:paraId="565D1553">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21.投标文件的提交</w:t>
      </w:r>
    </w:p>
    <w:p w14:paraId="7F65331D">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21.1</w:t>
      </w:r>
      <w:r>
        <w:rPr>
          <w:rFonts w:hint="eastAsia" w:ascii="宋体" w:hAnsi="宋体" w:cs="宋体"/>
          <w:bCs/>
          <w:color w:val="000000" w:themeColor="text1"/>
          <w:sz w:val="28"/>
          <w:szCs w:val="28"/>
          <w:highlight w:val="none"/>
          <w:lang w:eastAsia="zh-CN"/>
          <w14:textFill>
            <w14:solidFill>
              <w14:schemeClr w14:val="tx1"/>
            </w14:solidFill>
          </w14:textFill>
        </w:rPr>
        <w:t>供应商</w:t>
      </w:r>
      <w:r>
        <w:rPr>
          <w:rFonts w:hint="eastAsia" w:ascii="宋体" w:hAnsi="宋体" w:eastAsia="宋体" w:cs="宋体"/>
          <w:bCs/>
          <w:color w:val="000000" w:themeColor="text1"/>
          <w:sz w:val="28"/>
          <w:szCs w:val="28"/>
          <w:highlight w:val="none"/>
          <w14:textFill>
            <w14:solidFill>
              <w14:schemeClr w14:val="tx1"/>
            </w14:solidFill>
          </w14:textFill>
        </w:rPr>
        <w:t>必须在“</w:t>
      </w:r>
      <w:r>
        <w:rPr>
          <w:rFonts w:hint="eastAsia" w:ascii="宋体" w:hAnsi="宋体" w:cs="宋体"/>
          <w:bCs/>
          <w:color w:val="000000" w:themeColor="text1"/>
          <w:sz w:val="28"/>
          <w:szCs w:val="28"/>
          <w:highlight w:val="none"/>
          <w:lang w:eastAsia="zh-CN"/>
          <w14:textFill>
            <w14:solidFill>
              <w14:schemeClr w14:val="tx1"/>
            </w14:solidFill>
          </w14:textFill>
        </w:rPr>
        <w:t>供应商</w:t>
      </w:r>
      <w:r>
        <w:rPr>
          <w:rFonts w:hint="eastAsia" w:ascii="宋体" w:hAnsi="宋体" w:eastAsia="宋体" w:cs="宋体"/>
          <w:bCs/>
          <w:color w:val="000000" w:themeColor="text1"/>
          <w:sz w:val="28"/>
          <w:szCs w:val="28"/>
          <w:highlight w:val="none"/>
          <w14:textFill>
            <w14:solidFill>
              <w14:schemeClr w14:val="tx1"/>
            </w14:solidFill>
          </w14:textFill>
        </w:rPr>
        <w:t xml:space="preserve">须知前附表”规定的投标文件接收时间和投标地点提交电子版投标文件。电子投标文件应在制作完成后，在投标截止时间前通过有效数字证书（CA认证锁）进行电子签章、加密，然后通过网络将加密的电子投标文件递交至“新疆政采云平台”。 </w:t>
      </w:r>
      <w:r>
        <w:rPr>
          <w:rFonts w:hint="eastAsia" w:ascii="宋体" w:hAnsi="宋体" w:eastAsia="宋体" w:cs="宋体"/>
          <w:b/>
          <w:color w:val="000000" w:themeColor="text1"/>
          <w:sz w:val="28"/>
          <w:szCs w:val="28"/>
          <w:highlight w:val="none"/>
          <w14:textFill>
            <w14:solidFill>
              <w14:schemeClr w14:val="tx1"/>
            </w14:solidFill>
          </w14:textFill>
        </w:rPr>
        <w:t xml:space="preserve"> </w:t>
      </w:r>
    </w:p>
    <w:p w14:paraId="5D175BC4">
      <w:pPr>
        <w:keepNext w:val="0"/>
        <w:keepLines w:val="0"/>
        <w:pageBreakBefore w:val="0"/>
        <w:kinsoku/>
        <w:wordWrap/>
        <w:overflowPunct/>
        <w:topLinePunct w:val="0"/>
        <w:bidi w:val="0"/>
        <w:adjustRightInd/>
        <w:snapToGrid/>
        <w:spacing w:line="560" w:lineRule="exact"/>
        <w:ind w:firstLine="562" w:firstLineChars="200"/>
        <w:jc w:val="both"/>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21.2未在规定时间内提交或者未按照招标文件要求密封或者标记的电子投标文件，“政采云”平台将拒收。</w:t>
      </w:r>
    </w:p>
    <w:p w14:paraId="3156E2B4">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21.3电子版投标文件提交方式见“招标公告”中“提交投标文件截止时间、开标时间和地点”</w:t>
      </w:r>
      <w:r>
        <w:rPr>
          <w:rFonts w:hint="eastAsia" w:ascii="宋体" w:hAnsi="宋体" w:eastAsia="宋体" w:cs="宋体"/>
          <w:b/>
          <w:color w:val="000000" w:themeColor="text1"/>
          <w:sz w:val="28"/>
          <w:szCs w:val="28"/>
          <w:highlight w:val="none"/>
          <w14:textFill>
            <w14:solidFill>
              <w14:schemeClr w14:val="tx1"/>
            </w14:solidFill>
          </w14:textFill>
        </w:rPr>
        <w:t xml:space="preserve"> 。</w:t>
      </w:r>
    </w:p>
    <w:p w14:paraId="4FE2D305">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22. 投标文件的补充、修改、撤回与退回</w:t>
      </w:r>
    </w:p>
    <w:p w14:paraId="2E800E0A">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22.1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政采云”平台将拒收。（补充、修改或者撤回方式见公告附件“电子投标文件制作与投送教程”）</w:t>
      </w:r>
    </w:p>
    <w:p w14:paraId="2B67C80F">
      <w:pPr>
        <w:pStyle w:val="108"/>
        <w:keepNext w:val="0"/>
        <w:keepLines w:val="0"/>
        <w:pageBreakBefore w:val="0"/>
        <w:kinsoku/>
        <w:wordWrap/>
        <w:overflowPunct/>
        <w:topLinePunct w:val="0"/>
        <w:bidi w:val="0"/>
        <w:adjustRightInd/>
        <w:snapToGrid/>
        <w:spacing w:before="0" w:line="560" w:lineRule="exact"/>
        <w:ind w:firstLine="56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22.2“政采云”平台收到投标文件，将妥善保存并即时向供应商发出确认回执通知。在投标截止时间前，除供应商补充、修改或者撤回投标文件外，任何单位和个人不得解密或提取投标文件。</w:t>
      </w:r>
    </w:p>
    <w:p w14:paraId="051641EB">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22.3在投标截止时间止提交电子版投标文件的</w:t>
      </w:r>
      <w:r>
        <w:rPr>
          <w:rFonts w:hint="eastAsia" w:ascii="宋体" w:hAnsi="宋体" w:cs="宋体"/>
          <w:color w:val="000000" w:themeColor="text1"/>
          <w:sz w:val="28"/>
          <w:szCs w:val="28"/>
          <w:highlight w:val="none"/>
          <w:lang w:eastAsia="zh-CN"/>
          <w14:textFill>
            <w14:solidFill>
              <w14:schemeClr w14:val="tx1"/>
            </w14:solidFill>
          </w14:textFill>
        </w:rPr>
        <w:t>供应商</w:t>
      </w:r>
      <w:r>
        <w:rPr>
          <w:rFonts w:hint="eastAsia" w:ascii="宋体" w:hAnsi="宋体" w:eastAsia="宋体" w:cs="宋体"/>
          <w:color w:val="000000" w:themeColor="text1"/>
          <w:sz w:val="28"/>
          <w:szCs w:val="28"/>
          <w:highlight w:val="none"/>
          <w14:textFill>
            <w14:solidFill>
              <w14:schemeClr w14:val="tx1"/>
            </w14:solidFill>
          </w14:textFill>
        </w:rPr>
        <w:t>不足3家时，电子版投标文件由代理机构在“政采云”平台操作退回，除此之外采购人和采购代理机构对已提交的投标文件概不退回。</w:t>
      </w:r>
    </w:p>
    <w:p w14:paraId="58CA89E9">
      <w:pPr>
        <w:pStyle w:val="4"/>
        <w:keepNext w:val="0"/>
        <w:keepLines w:val="0"/>
        <w:pageBreakBefore w:val="0"/>
        <w:kinsoku/>
        <w:wordWrap/>
        <w:overflowPunct/>
        <w:topLinePunct w:val="0"/>
        <w:bidi w:val="0"/>
        <w:adjustRightInd/>
        <w:snapToGrid/>
        <w:spacing w:line="560" w:lineRule="exact"/>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四、开    标</w:t>
      </w:r>
    </w:p>
    <w:p w14:paraId="431C82CB">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23.开标时间和地点</w:t>
      </w:r>
    </w:p>
    <w:p w14:paraId="4B4A54FB">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23.1开标时间及地点详见“</w:t>
      </w:r>
      <w:r>
        <w:rPr>
          <w:rFonts w:hint="eastAsia" w:ascii="宋体" w:hAnsi="宋体" w:cs="宋体"/>
          <w:bCs/>
          <w:color w:val="000000" w:themeColor="text1"/>
          <w:sz w:val="28"/>
          <w:szCs w:val="28"/>
          <w:highlight w:val="none"/>
          <w:lang w:eastAsia="zh-CN"/>
          <w14:textFill>
            <w14:solidFill>
              <w14:schemeClr w14:val="tx1"/>
            </w14:solidFill>
          </w14:textFill>
        </w:rPr>
        <w:t>供应商</w:t>
      </w:r>
      <w:r>
        <w:rPr>
          <w:rFonts w:hint="eastAsia" w:ascii="宋体" w:hAnsi="宋体" w:eastAsia="宋体" w:cs="宋体"/>
          <w:bCs/>
          <w:color w:val="000000" w:themeColor="text1"/>
          <w:sz w:val="28"/>
          <w:szCs w:val="28"/>
          <w:highlight w:val="none"/>
          <w14:textFill>
            <w14:solidFill>
              <w14:schemeClr w14:val="tx1"/>
            </w14:solidFill>
          </w14:textFill>
        </w:rPr>
        <w:t>须知前附表”</w:t>
      </w:r>
    </w:p>
    <w:p w14:paraId="274C3B9C">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23.2如</w:t>
      </w:r>
      <w:r>
        <w:rPr>
          <w:rFonts w:hint="eastAsia" w:ascii="宋体" w:hAnsi="宋体" w:cs="宋体"/>
          <w:bCs/>
          <w:color w:val="000000" w:themeColor="text1"/>
          <w:sz w:val="28"/>
          <w:szCs w:val="28"/>
          <w:highlight w:val="none"/>
          <w:lang w:eastAsia="zh-CN"/>
          <w14:textFill>
            <w14:solidFill>
              <w14:schemeClr w14:val="tx1"/>
            </w14:solidFill>
          </w14:textFill>
        </w:rPr>
        <w:t>供应商</w:t>
      </w:r>
      <w:r>
        <w:rPr>
          <w:rFonts w:hint="eastAsia" w:ascii="宋体" w:hAnsi="宋体" w:eastAsia="宋体" w:cs="宋体"/>
          <w:bCs/>
          <w:color w:val="000000" w:themeColor="text1"/>
          <w:sz w:val="28"/>
          <w:szCs w:val="28"/>
          <w:highlight w:val="none"/>
          <w14:textFill>
            <w14:solidFill>
              <w14:schemeClr w14:val="tx1"/>
            </w14:solidFill>
          </w14:textFill>
        </w:rPr>
        <w:t>成功解密投标文件，但未在“政采云”电子开标大厅参加开标的，视同认可开标过程和结果，</w:t>
      </w:r>
      <w:r>
        <w:rPr>
          <w:rFonts w:hint="eastAsia" w:ascii="宋体" w:hAnsi="宋体" w:eastAsia="宋体" w:cs="宋体"/>
          <w:color w:val="000000" w:themeColor="text1"/>
          <w:sz w:val="28"/>
          <w:szCs w:val="28"/>
          <w:highlight w:val="none"/>
          <w14:textFill>
            <w14:solidFill>
              <w14:schemeClr w14:val="tx1"/>
            </w14:solidFill>
          </w14:textFill>
        </w:rPr>
        <w:t>由此产生的后果由</w:t>
      </w:r>
      <w:r>
        <w:rPr>
          <w:rFonts w:hint="eastAsia" w:ascii="宋体" w:hAnsi="宋体" w:cs="宋体"/>
          <w:color w:val="000000" w:themeColor="text1"/>
          <w:sz w:val="28"/>
          <w:szCs w:val="28"/>
          <w:highlight w:val="none"/>
          <w:lang w:eastAsia="zh-CN"/>
          <w14:textFill>
            <w14:solidFill>
              <w14:schemeClr w14:val="tx1"/>
            </w14:solidFill>
          </w14:textFill>
        </w:rPr>
        <w:t>供应商</w:t>
      </w:r>
      <w:r>
        <w:rPr>
          <w:rFonts w:hint="eastAsia" w:ascii="宋体" w:hAnsi="宋体" w:eastAsia="宋体" w:cs="宋体"/>
          <w:color w:val="000000" w:themeColor="text1"/>
          <w:sz w:val="28"/>
          <w:szCs w:val="28"/>
          <w:highlight w:val="none"/>
          <w14:textFill>
            <w14:solidFill>
              <w14:schemeClr w14:val="tx1"/>
            </w14:solidFill>
          </w14:textFill>
        </w:rPr>
        <w:t xml:space="preserve">自行负责。 </w:t>
      </w:r>
      <w:r>
        <w:rPr>
          <w:rFonts w:hint="eastAsia" w:ascii="宋体" w:hAnsi="宋体" w:cs="宋体"/>
          <w:color w:val="000000" w:themeColor="text1"/>
          <w:sz w:val="28"/>
          <w:szCs w:val="28"/>
          <w:highlight w:val="none"/>
          <w:lang w:eastAsia="zh-CN"/>
          <w14:textFill>
            <w14:solidFill>
              <w14:schemeClr w14:val="tx1"/>
            </w14:solidFill>
          </w14:textFill>
        </w:rPr>
        <w:t>供应商</w:t>
      </w:r>
      <w:r>
        <w:rPr>
          <w:rFonts w:hint="eastAsia" w:ascii="宋体" w:hAnsi="宋体" w:eastAsia="宋体" w:cs="宋体"/>
          <w:color w:val="000000" w:themeColor="text1"/>
          <w:sz w:val="28"/>
          <w:szCs w:val="28"/>
          <w:highlight w:val="none"/>
          <w14:textFill>
            <w14:solidFill>
              <w14:schemeClr w14:val="tx1"/>
            </w14:solidFill>
          </w14:textFill>
        </w:rPr>
        <w:t>不足3家的，不得开标。</w:t>
      </w:r>
    </w:p>
    <w:p w14:paraId="1D16C820">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24.开标程序</w:t>
      </w:r>
    </w:p>
    <w:p w14:paraId="092AFC2A">
      <w:pPr>
        <w:keepNext w:val="0"/>
        <w:keepLines w:val="0"/>
        <w:pageBreakBefore w:val="0"/>
        <w:kinsoku/>
        <w:wordWrap/>
        <w:overflowPunct/>
        <w:topLinePunct w:val="0"/>
        <w:autoSpaceDE w:val="0"/>
        <w:autoSpaceDN w:val="0"/>
        <w:bidi w:val="0"/>
        <w:adjustRightInd/>
        <w:snapToGrid/>
        <w:spacing w:line="560" w:lineRule="exact"/>
        <w:ind w:firstLine="560" w:firstLineChars="200"/>
        <w:jc w:val="both"/>
        <w:rPr>
          <w:rFonts w:hint="eastAsia" w:ascii="宋体" w:hAnsi="宋体" w:eastAsia="宋体" w:cs="宋体"/>
          <w:color w:val="000000" w:themeColor="text1"/>
          <w:kern w:val="0"/>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24.1</w:t>
      </w:r>
      <w:r>
        <w:rPr>
          <w:rFonts w:hint="eastAsia" w:ascii="宋体" w:hAnsi="宋体" w:eastAsia="宋体" w:cs="宋体"/>
          <w:color w:val="000000" w:themeColor="text1"/>
          <w:kern w:val="0"/>
          <w:sz w:val="28"/>
          <w:szCs w:val="28"/>
          <w:highlight w:val="none"/>
          <w14:textFill>
            <w14:solidFill>
              <w14:schemeClr w14:val="tx1"/>
            </w14:solidFill>
          </w14:textFill>
        </w:rPr>
        <w:t>开标形式：</w:t>
      </w:r>
    </w:p>
    <w:p w14:paraId="17892941">
      <w:pPr>
        <w:keepNext w:val="0"/>
        <w:keepLines w:val="0"/>
        <w:pageBreakBefore w:val="0"/>
        <w:kinsoku/>
        <w:wordWrap/>
        <w:overflowPunct/>
        <w:topLinePunct w:val="0"/>
        <w:autoSpaceDE w:val="0"/>
        <w:autoSpaceDN w:val="0"/>
        <w:bidi w:val="0"/>
        <w:adjustRightInd/>
        <w:snapToGrid/>
        <w:spacing w:line="560" w:lineRule="exact"/>
        <w:ind w:firstLine="560" w:firstLineChars="200"/>
        <w:jc w:val="both"/>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w:t>
      </w:r>
      <w:r>
        <w:rPr>
          <w:rFonts w:hint="eastAsia" w:ascii="宋体" w:hAnsi="宋体" w:eastAsia="宋体" w:cs="宋体"/>
          <w:bCs/>
          <w:color w:val="000000" w:themeColor="text1"/>
          <w:sz w:val="28"/>
          <w:szCs w:val="28"/>
          <w:highlight w:val="none"/>
          <w14:textFill>
            <w14:solidFill>
              <w14:schemeClr w14:val="tx1"/>
            </w14:solidFill>
          </w14:textFill>
        </w:rPr>
        <w:t>开标的准备工作由采购代理机构负责落实，采购代理机构必须基于“政采云”平台选取评审专家，如采购代理机构未按规定选取专家的，视为本次开评标无效，应当重新采购；</w:t>
      </w:r>
    </w:p>
    <w:p w14:paraId="5AFD5D35">
      <w:pPr>
        <w:keepNext w:val="0"/>
        <w:keepLines w:val="0"/>
        <w:pageBreakBefore w:val="0"/>
        <w:kinsoku/>
        <w:wordWrap/>
        <w:overflowPunct/>
        <w:topLinePunct w:val="0"/>
        <w:autoSpaceDE w:val="0"/>
        <w:autoSpaceDN w:val="0"/>
        <w:bidi w:val="0"/>
        <w:adjustRightInd/>
        <w:snapToGrid/>
        <w:spacing w:line="560" w:lineRule="exact"/>
        <w:ind w:firstLine="560" w:firstLineChars="200"/>
        <w:jc w:val="both"/>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（2）采购代理机构将按照招标文件规定的时间通过“政采云”平台组织线上开标活动、开启投标文件，所有供应商均应当准时在线参加。</w:t>
      </w:r>
      <w:r>
        <w:rPr>
          <w:rFonts w:hint="eastAsia" w:ascii="宋体" w:hAnsi="宋体" w:cs="宋体"/>
          <w:bCs/>
          <w:color w:val="000000" w:themeColor="text1"/>
          <w:sz w:val="28"/>
          <w:szCs w:val="28"/>
          <w:highlight w:val="none"/>
          <w:lang w:eastAsia="zh-CN"/>
          <w14:textFill>
            <w14:solidFill>
              <w14:schemeClr w14:val="tx1"/>
            </w14:solidFill>
          </w14:textFill>
        </w:rPr>
        <w:t>供应商</w:t>
      </w:r>
      <w:r>
        <w:rPr>
          <w:rFonts w:hint="eastAsia" w:ascii="宋体" w:hAnsi="宋体" w:eastAsia="宋体" w:cs="宋体"/>
          <w:bCs/>
          <w:color w:val="000000" w:themeColor="text1"/>
          <w:sz w:val="28"/>
          <w:szCs w:val="28"/>
          <w:highlight w:val="none"/>
          <w14:textFill>
            <w14:solidFill>
              <w14:schemeClr w14:val="tx1"/>
            </w14:solidFill>
          </w14:textFill>
        </w:rPr>
        <w:t>如不参加开标大会的，视同认可开标结果，事后不得对采购相关人员、开标过程和开标结果提出异议，同时</w:t>
      </w:r>
      <w:r>
        <w:rPr>
          <w:rFonts w:hint="eastAsia" w:ascii="宋体" w:hAnsi="宋体" w:cs="宋体"/>
          <w:bCs/>
          <w:color w:val="000000" w:themeColor="text1"/>
          <w:sz w:val="28"/>
          <w:szCs w:val="28"/>
          <w:highlight w:val="none"/>
          <w:lang w:eastAsia="zh-CN"/>
          <w14:textFill>
            <w14:solidFill>
              <w14:schemeClr w14:val="tx1"/>
            </w14:solidFill>
          </w14:textFill>
        </w:rPr>
        <w:t>供应商</w:t>
      </w:r>
      <w:r>
        <w:rPr>
          <w:rFonts w:hint="eastAsia" w:ascii="宋体" w:hAnsi="宋体" w:eastAsia="宋体" w:cs="宋体"/>
          <w:bCs/>
          <w:color w:val="000000" w:themeColor="text1"/>
          <w:sz w:val="28"/>
          <w:szCs w:val="28"/>
          <w:highlight w:val="none"/>
          <w14:textFill>
            <w14:solidFill>
              <w14:schemeClr w14:val="tx1"/>
            </w14:solidFill>
          </w14:textFill>
        </w:rPr>
        <w:t>因未在线参加开标而导致投标文件无法按时解密等一切后果由</w:t>
      </w:r>
      <w:r>
        <w:rPr>
          <w:rFonts w:hint="eastAsia" w:ascii="宋体" w:hAnsi="宋体" w:cs="宋体"/>
          <w:bCs/>
          <w:color w:val="000000" w:themeColor="text1"/>
          <w:sz w:val="28"/>
          <w:szCs w:val="28"/>
          <w:highlight w:val="none"/>
          <w:lang w:eastAsia="zh-CN"/>
          <w14:textFill>
            <w14:solidFill>
              <w14:schemeClr w14:val="tx1"/>
            </w14:solidFill>
          </w14:textFill>
        </w:rPr>
        <w:t>供应商</w:t>
      </w:r>
      <w:r>
        <w:rPr>
          <w:rFonts w:hint="eastAsia" w:ascii="宋体" w:hAnsi="宋体" w:eastAsia="宋体" w:cs="宋体"/>
          <w:bCs/>
          <w:color w:val="000000" w:themeColor="text1"/>
          <w:sz w:val="28"/>
          <w:szCs w:val="28"/>
          <w:highlight w:val="none"/>
          <w14:textFill>
            <w14:solidFill>
              <w14:schemeClr w14:val="tx1"/>
            </w14:solidFill>
          </w14:textFill>
        </w:rPr>
        <w:t>自己承担。</w:t>
      </w:r>
    </w:p>
    <w:p w14:paraId="53506D41">
      <w:pPr>
        <w:keepNext w:val="0"/>
        <w:keepLines w:val="0"/>
        <w:pageBreakBefore w:val="0"/>
        <w:kinsoku/>
        <w:wordWrap/>
        <w:overflowPunct/>
        <w:topLinePunct w:val="0"/>
        <w:autoSpaceDE w:val="0"/>
        <w:autoSpaceDN w:val="0"/>
        <w:bidi w:val="0"/>
        <w:adjustRightInd/>
        <w:snapToGrid/>
        <w:spacing w:line="560" w:lineRule="exact"/>
        <w:ind w:firstLine="560" w:firstLineChars="200"/>
        <w:jc w:val="both"/>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24.2开标程序：</w:t>
      </w:r>
    </w:p>
    <w:p w14:paraId="324553DF">
      <w:pPr>
        <w:keepNext w:val="0"/>
        <w:keepLines w:val="0"/>
        <w:pageBreakBefore w:val="0"/>
        <w:kinsoku/>
        <w:wordWrap/>
        <w:overflowPunct/>
        <w:topLinePunct w:val="0"/>
        <w:bidi w:val="0"/>
        <w:adjustRightInd/>
        <w:snapToGrid/>
        <w:spacing w:line="560" w:lineRule="exact"/>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（1）解密电子投标文件。“政采云”平台按开标时间自动提取所有投标文件。采购代理机构依托“政采云”平台向各</w:t>
      </w:r>
      <w:r>
        <w:rPr>
          <w:rFonts w:hint="eastAsia" w:ascii="宋体" w:hAnsi="宋体" w:cs="宋体"/>
          <w:color w:val="000000" w:themeColor="text1"/>
          <w:sz w:val="28"/>
          <w:szCs w:val="28"/>
          <w:highlight w:val="none"/>
          <w:lang w:eastAsia="zh-CN"/>
          <w14:textFill>
            <w14:solidFill>
              <w14:schemeClr w14:val="tx1"/>
            </w14:solidFill>
          </w14:textFill>
        </w:rPr>
        <w:t>供应商</w:t>
      </w:r>
      <w:r>
        <w:rPr>
          <w:rFonts w:hint="eastAsia" w:ascii="宋体" w:hAnsi="宋体" w:eastAsia="宋体" w:cs="宋体"/>
          <w:color w:val="000000" w:themeColor="text1"/>
          <w:sz w:val="28"/>
          <w:szCs w:val="28"/>
          <w:highlight w:val="none"/>
          <w14:textFill>
            <w14:solidFill>
              <w14:schemeClr w14:val="tx1"/>
            </w14:solidFill>
          </w14:textFill>
        </w:rPr>
        <w:t>发出电子加密投标文件【开始解密】通知，由</w:t>
      </w:r>
      <w:r>
        <w:rPr>
          <w:rFonts w:hint="eastAsia" w:ascii="宋体" w:hAnsi="宋体" w:cs="宋体"/>
          <w:color w:val="000000" w:themeColor="text1"/>
          <w:sz w:val="28"/>
          <w:szCs w:val="28"/>
          <w:highlight w:val="none"/>
          <w:lang w:eastAsia="zh-CN"/>
          <w14:textFill>
            <w14:solidFill>
              <w14:schemeClr w14:val="tx1"/>
            </w14:solidFill>
          </w14:textFill>
        </w:rPr>
        <w:t>供应商</w:t>
      </w:r>
      <w:r>
        <w:rPr>
          <w:rFonts w:hint="eastAsia" w:ascii="宋体" w:hAnsi="宋体" w:eastAsia="宋体" w:cs="宋体"/>
          <w:color w:val="000000" w:themeColor="text1"/>
          <w:sz w:val="28"/>
          <w:szCs w:val="28"/>
          <w:highlight w:val="none"/>
          <w14:textFill>
            <w14:solidFill>
              <w14:schemeClr w14:val="tx1"/>
            </w14:solidFill>
          </w14:textFill>
        </w:rPr>
        <w:t>按招标文件规定的时间内自行进行投标文件解密。</w:t>
      </w:r>
      <w:r>
        <w:rPr>
          <w:rFonts w:hint="eastAsia" w:ascii="宋体" w:hAnsi="宋体" w:cs="宋体"/>
          <w:color w:val="000000" w:themeColor="text1"/>
          <w:sz w:val="28"/>
          <w:szCs w:val="28"/>
          <w:highlight w:val="none"/>
          <w:lang w:eastAsia="zh-CN"/>
          <w14:textFill>
            <w14:solidFill>
              <w14:schemeClr w14:val="tx1"/>
            </w14:solidFill>
          </w14:textFill>
        </w:rPr>
        <w:t>供应商</w:t>
      </w:r>
      <w:r>
        <w:rPr>
          <w:rFonts w:hint="eastAsia" w:ascii="宋体" w:hAnsi="宋体" w:eastAsia="宋体" w:cs="宋体"/>
          <w:color w:val="000000" w:themeColor="text1"/>
          <w:sz w:val="28"/>
          <w:szCs w:val="28"/>
          <w:highlight w:val="none"/>
          <w14:textFill>
            <w14:solidFill>
              <w14:schemeClr w14:val="tx1"/>
            </w14:solidFill>
          </w14:textFill>
        </w:rPr>
        <w:t>的法定代表人或其委托代理人须携带加密时所用的CA锁准时登录到“政采云”平台电子开标大厅签到并对电子投标文件解密。开标后5分钟</w:t>
      </w:r>
      <w:r>
        <w:rPr>
          <w:rFonts w:hint="eastAsia" w:ascii="宋体" w:hAnsi="宋体" w:cs="宋体"/>
          <w:color w:val="000000" w:themeColor="text1"/>
          <w:sz w:val="28"/>
          <w:szCs w:val="28"/>
          <w:highlight w:val="none"/>
          <w:lang w:eastAsia="zh-CN"/>
          <w14:textFill>
            <w14:solidFill>
              <w14:schemeClr w14:val="tx1"/>
            </w14:solidFill>
          </w14:textFill>
        </w:rPr>
        <w:t>供应商</w:t>
      </w:r>
      <w:r>
        <w:rPr>
          <w:rFonts w:hint="eastAsia" w:ascii="宋体" w:hAnsi="宋体" w:eastAsia="宋体" w:cs="宋体"/>
          <w:color w:val="000000" w:themeColor="text1"/>
          <w:sz w:val="28"/>
          <w:szCs w:val="28"/>
          <w:highlight w:val="none"/>
          <w14:textFill>
            <w14:solidFill>
              <w14:schemeClr w14:val="tx1"/>
            </w14:solidFill>
          </w14:textFill>
        </w:rPr>
        <w:t>还未进行解密的，代理机构要通知</w:t>
      </w:r>
      <w:r>
        <w:rPr>
          <w:rFonts w:hint="eastAsia" w:ascii="宋体" w:hAnsi="宋体" w:cs="宋体"/>
          <w:color w:val="000000" w:themeColor="text1"/>
          <w:sz w:val="28"/>
          <w:szCs w:val="28"/>
          <w:highlight w:val="none"/>
          <w:lang w:eastAsia="zh-CN"/>
          <w14:textFill>
            <w14:solidFill>
              <w14:schemeClr w14:val="tx1"/>
            </w14:solidFill>
          </w14:textFill>
        </w:rPr>
        <w:t>供应商</w:t>
      </w:r>
      <w:r>
        <w:rPr>
          <w:rFonts w:hint="eastAsia" w:ascii="宋体" w:hAnsi="宋体" w:eastAsia="宋体" w:cs="宋体"/>
          <w:color w:val="000000" w:themeColor="text1"/>
          <w:sz w:val="28"/>
          <w:szCs w:val="28"/>
          <w:highlight w:val="none"/>
          <w14:textFill>
            <w14:solidFill>
              <w14:schemeClr w14:val="tx1"/>
            </w14:solidFill>
          </w14:textFill>
        </w:rPr>
        <w:t>。通知后，投标文件仍未按时解密，或者</w:t>
      </w:r>
      <w:r>
        <w:rPr>
          <w:rFonts w:hint="eastAsia" w:ascii="宋体" w:hAnsi="宋体" w:cs="宋体"/>
          <w:color w:val="000000" w:themeColor="text1"/>
          <w:sz w:val="28"/>
          <w:szCs w:val="28"/>
          <w:highlight w:val="none"/>
          <w:lang w:eastAsia="zh-CN"/>
          <w14:textFill>
            <w14:solidFill>
              <w14:schemeClr w14:val="tx1"/>
            </w14:solidFill>
          </w14:textFill>
        </w:rPr>
        <w:t>供应商</w:t>
      </w:r>
      <w:r>
        <w:rPr>
          <w:rFonts w:hint="eastAsia" w:ascii="宋体" w:hAnsi="宋体" w:eastAsia="宋体" w:cs="宋体"/>
          <w:color w:val="000000" w:themeColor="text1"/>
          <w:sz w:val="28"/>
          <w:szCs w:val="28"/>
          <w:highlight w:val="none"/>
          <w14:textFill>
            <w14:solidFill>
              <w14:schemeClr w14:val="tx1"/>
            </w14:solidFill>
          </w14:textFill>
        </w:rPr>
        <w:t>没预留联系方式或预留联系方式无效，导致代理机构无法联系到</w:t>
      </w:r>
      <w:r>
        <w:rPr>
          <w:rFonts w:hint="eastAsia" w:ascii="宋体" w:hAnsi="宋体" w:cs="宋体"/>
          <w:color w:val="000000" w:themeColor="text1"/>
          <w:sz w:val="28"/>
          <w:szCs w:val="28"/>
          <w:highlight w:val="none"/>
          <w:lang w:eastAsia="zh-CN"/>
          <w14:textFill>
            <w14:solidFill>
              <w14:schemeClr w14:val="tx1"/>
            </w14:solidFill>
          </w14:textFill>
        </w:rPr>
        <w:t>供应商</w:t>
      </w:r>
      <w:r>
        <w:rPr>
          <w:rFonts w:hint="eastAsia" w:ascii="宋体" w:hAnsi="宋体" w:eastAsia="宋体" w:cs="宋体"/>
          <w:color w:val="000000" w:themeColor="text1"/>
          <w:sz w:val="28"/>
          <w:szCs w:val="28"/>
          <w:highlight w:val="none"/>
          <w14:textFill>
            <w14:solidFill>
              <w14:schemeClr w14:val="tx1"/>
            </w14:solidFill>
          </w14:textFill>
        </w:rPr>
        <w:t>进行解密的，均视为无效投标。</w:t>
      </w:r>
    </w:p>
    <w:p w14:paraId="4FAC5238">
      <w:pPr>
        <w:keepNext w:val="0"/>
        <w:keepLines w:val="0"/>
        <w:pageBreakBefore w:val="0"/>
        <w:kinsoku/>
        <w:wordWrap/>
        <w:overflowPunct/>
        <w:topLinePunct w:val="0"/>
        <w:bidi w:val="0"/>
        <w:adjustRightInd/>
        <w:snapToGrid/>
        <w:spacing w:line="560" w:lineRule="exact"/>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（解密异常情况处理：详见本章29.3 电子交易活动的中止。）</w:t>
      </w:r>
    </w:p>
    <w:p w14:paraId="46C4CD2B">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（2）</w:t>
      </w:r>
      <w:r>
        <w:rPr>
          <w:rFonts w:hint="eastAsia" w:ascii="宋体" w:hAnsi="宋体" w:eastAsia="宋体" w:cs="宋体"/>
          <w:b w:val="0"/>
          <w:bCs/>
          <w:color w:val="000000" w:themeColor="text1"/>
          <w:sz w:val="28"/>
          <w:szCs w:val="28"/>
          <w:highlight w:val="none"/>
          <w14:textFill>
            <w14:solidFill>
              <w14:schemeClr w14:val="tx1"/>
            </w14:solidFill>
          </w14:textFill>
        </w:rPr>
        <w:t>电子唱标。</w:t>
      </w:r>
      <w:r>
        <w:rPr>
          <w:rFonts w:hint="eastAsia" w:ascii="宋体" w:hAnsi="宋体" w:eastAsia="宋体" w:cs="宋体"/>
          <w:color w:val="000000" w:themeColor="text1"/>
          <w:sz w:val="28"/>
          <w:szCs w:val="28"/>
          <w:highlight w:val="none"/>
          <w14:textFill>
            <w14:solidFill>
              <w14:schemeClr w14:val="tx1"/>
            </w14:solidFill>
          </w14:textFill>
        </w:rPr>
        <w:t>投标文件解密结束，各投标供应商报价均在“政采云”平台远程不见面开标大厅展示；</w:t>
      </w:r>
    </w:p>
    <w:p w14:paraId="3BCB29BA">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（3）</w:t>
      </w:r>
      <w:r>
        <w:rPr>
          <w:rFonts w:hint="eastAsia" w:ascii="宋体" w:hAnsi="宋体" w:eastAsia="宋体" w:cs="宋体"/>
          <w:b w:val="0"/>
          <w:bCs/>
          <w:color w:val="000000" w:themeColor="text1"/>
          <w:sz w:val="28"/>
          <w:szCs w:val="28"/>
          <w:highlight w:val="none"/>
          <w14:textFill>
            <w14:solidFill>
              <w14:schemeClr w14:val="tx1"/>
            </w14:solidFill>
          </w14:textFill>
        </w:rPr>
        <w:t>签署电子《政府采购活动现场确认声明书》。</w:t>
      </w:r>
      <w:r>
        <w:rPr>
          <w:rFonts w:hint="eastAsia" w:ascii="宋体" w:hAnsi="宋体" w:eastAsia="宋体" w:cs="宋体"/>
          <w:color w:val="000000" w:themeColor="text1"/>
          <w:sz w:val="28"/>
          <w:szCs w:val="28"/>
          <w:highlight w:val="none"/>
          <w14:textFill>
            <w14:solidFill>
              <w14:schemeClr w14:val="tx1"/>
            </w14:solidFill>
          </w14:textFill>
        </w:rPr>
        <w:t>通过邮件形式在远程不见面开标大厅发送各</w:t>
      </w:r>
      <w:r>
        <w:rPr>
          <w:rFonts w:hint="eastAsia" w:ascii="宋体" w:hAnsi="宋体" w:cs="宋体"/>
          <w:color w:val="000000" w:themeColor="text1"/>
          <w:sz w:val="28"/>
          <w:szCs w:val="28"/>
          <w:highlight w:val="none"/>
          <w:lang w:eastAsia="zh-CN"/>
          <w14:textFill>
            <w14:solidFill>
              <w14:schemeClr w14:val="tx1"/>
            </w14:solidFill>
          </w14:textFill>
        </w:rPr>
        <w:t>供应商</w:t>
      </w:r>
      <w:r>
        <w:rPr>
          <w:rFonts w:hint="eastAsia" w:ascii="宋体" w:hAnsi="宋体" w:eastAsia="宋体" w:cs="宋体"/>
          <w:color w:val="000000" w:themeColor="text1"/>
          <w:sz w:val="28"/>
          <w:szCs w:val="28"/>
          <w:highlight w:val="none"/>
          <w14:textFill>
            <w14:solidFill>
              <w14:schemeClr w14:val="tx1"/>
            </w14:solidFill>
          </w14:textFill>
        </w:rPr>
        <w:t>签署电子《政府采购活动现场确认声明书》。</w:t>
      </w:r>
    </w:p>
    <w:p w14:paraId="603EC8E3">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（4）开标过程由采购代理机构如实记录，并电子留痕，由参加电子开标的各</w:t>
      </w:r>
      <w:r>
        <w:rPr>
          <w:rFonts w:hint="eastAsia" w:ascii="宋体" w:hAnsi="宋体" w:cs="宋体"/>
          <w:bCs/>
          <w:color w:val="000000" w:themeColor="text1"/>
          <w:sz w:val="28"/>
          <w:szCs w:val="28"/>
          <w:highlight w:val="none"/>
          <w:lang w:eastAsia="zh-CN"/>
          <w14:textFill>
            <w14:solidFill>
              <w14:schemeClr w14:val="tx1"/>
            </w14:solidFill>
          </w14:textFill>
        </w:rPr>
        <w:t>供应商</w:t>
      </w:r>
      <w:r>
        <w:rPr>
          <w:rFonts w:hint="eastAsia" w:ascii="宋体" w:hAnsi="宋体" w:eastAsia="宋体" w:cs="宋体"/>
          <w:bCs/>
          <w:color w:val="000000" w:themeColor="text1"/>
          <w:sz w:val="28"/>
          <w:szCs w:val="28"/>
          <w:highlight w:val="none"/>
          <w14:textFill>
            <w14:solidFill>
              <w14:schemeClr w14:val="tx1"/>
            </w14:solidFill>
          </w14:textFill>
        </w:rPr>
        <w:t>代表对电子开标记录在开标记录公布后15分钟内进行当场校核及勘误，并线上确认，未确认的视同认可开标结果。</w:t>
      </w:r>
    </w:p>
    <w:p w14:paraId="3242C522">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（5）</w:t>
      </w:r>
      <w:r>
        <w:rPr>
          <w:rFonts w:hint="eastAsia" w:ascii="宋体" w:hAnsi="宋体" w:cs="宋体"/>
          <w:bCs/>
          <w:color w:val="000000" w:themeColor="text1"/>
          <w:sz w:val="28"/>
          <w:szCs w:val="28"/>
          <w:highlight w:val="none"/>
          <w:lang w:eastAsia="zh-CN"/>
          <w14:textFill>
            <w14:solidFill>
              <w14:schemeClr w14:val="tx1"/>
            </w14:solidFill>
          </w14:textFill>
        </w:rPr>
        <w:t>供应商</w:t>
      </w:r>
      <w:r>
        <w:rPr>
          <w:rFonts w:hint="eastAsia" w:ascii="宋体" w:hAnsi="宋体" w:eastAsia="宋体" w:cs="宋体"/>
          <w:bCs/>
          <w:color w:val="000000" w:themeColor="text1"/>
          <w:sz w:val="28"/>
          <w:szCs w:val="28"/>
          <w:highlight w:val="none"/>
          <w14:textFill>
            <w14:solidFill>
              <w14:schemeClr w14:val="tx1"/>
            </w14:solidFill>
          </w14:textFill>
        </w:rPr>
        <w:t>代表对开标过程和开标记录有疑义，以及认为采购人、采购代理机构相关工作人员有需要回避的情形的，应当场提出在线询问或者回避申请。采购人、采购代理机构对</w:t>
      </w:r>
      <w:r>
        <w:rPr>
          <w:rFonts w:hint="eastAsia" w:ascii="宋体" w:hAnsi="宋体" w:cs="宋体"/>
          <w:bCs/>
          <w:color w:val="000000" w:themeColor="text1"/>
          <w:sz w:val="28"/>
          <w:szCs w:val="28"/>
          <w:highlight w:val="none"/>
          <w:lang w:eastAsia="zh-CN"/>
          <w14:textFill>
            <w14:solidFill>
              <w14:schemeClr w14:val="tx1"/>
            </w14:solidFill>
          </w14:textFill>
        </w:rPr>
        <w:t>供应商</w:t>
      </w:r>
      <w:r>
        <w:rPr>
          <w:rFonts w:hint="eastAsia" w:ascii="宋体" w:hAnsi="宋体" w:eastAsia="宋体" w:cs="宋体"/>
          <w:bCs/>
          <w:color w:val="000000" w:themeColor="text1"/>
          <w:sz w:val="28"/>
          <w:szCs w:val="28"/>
          <w:highlight w:val="none"/>
          <w14:textFill>
            <w14:solidFill>
              <w14:schemeClr w14:val="tx1"/>
            </w14:solidFill>
          </w14:textFill>
        </w:rPr>
        <w:t>代表提出的询问或者回避申请应当及时处理。</w:t>
      </w:r>
    </w:p>
    <w:p w14:paraId="15666CC5">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（6）开标结束。</w:t>
      </w:r>
    </w:p>
    <w:p w14:paraId="51F5B1D9">
      <w:pPr>
        <w:pStyle w:val="17"/>
        <w:keepNext w:val="0"/>
        <w:keepLines w:val="0"/>
        <w:pageBreakBefore w:val="0"/>
        <w:kinsoku/>
        <w:wordWrap/>
        <w:overflowPunct/>
        <w:topLinePunct w:val="0"/>
        <w:bidi w:val="0"/>
        <w:adjustRightInd/>
        <w:snapToGrid/>
        <w:spacing w:line="560" w:lineRule="exact"/>
        <w:jc w:val="both"/>
        <w:rPr>
          <w:rFonts w:hint="eastAsia" w:ascii="宋体" w:hAnsi="宋体" w:eastAsia="宋体" w:cs="宋体"/>
          <w:b w:val="0"/>
          <w:bCs w:val="0"/>
          <w:color w:val="000000" w:themeColor="text1"/>
          <w:sz w:val="28"/>
          <w:szCs w:val="28"/>
          <w:highlight w:val="none"/>
          <w14:textFill>
            <w14:solidFill>
              <w14:schemeClr w14:val="tx1"/>
            </w14:solidFill>
          </w14:textFill>
        </w:rPr>
      </w:pPr>
      <w:r>
        <w:rPr>
          <w:rFonts w:hint="eastAsia" w:ascii="宋体" w:hAnsi="宋体" w:eastAsia="宋体" w:cs="宋体"/>
          <w:b w:val="0"/>
          <w:bCs w:val="0"/>
          <w:color w:val="000000" w:themeColor="text1"/>
          <w:sz w:val="28"/>
          <w:szCs w:val="28"/>
          <w:highlight w:val="none"/>
          <w14:textFill>
            <w14:solidFill>
              <w14:schemeClr w14:val="tx1"/>
            </w14:solidFill>
          </w14:textFill>
        </w:rPr>
        <w:t>特别说明：如遇“政采云”平台电子化开标或评审程序调整的，按调整后执行。</w:t>
      </w:r>
    </w:p>
    <w:p w14:paraId="29B74C46">
      <w:pPr>
        <w:pStyle w:val="4"/>
        <w:keepNext w:val="0"/>
        <w:keepLines w:val="0"/>
        <w:pageBreakBefore w:val="0"/>
        <w:kinsoku/>
        <w:wordWrap/>
        <w:overflowPunct/>
        <w:topLinePunct w:val="0"/>
        <w:bidi w:val="0"/>
        <w:adjustRightInd/>
        <w:snapToGrid/>
        <w:spacing w:line="560" w:lineRule="exact"/>
        <w:jc w:val="both"/>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t>五、资格审查</w:t>
      </w:r>
    </w:p>
    <w:p w14:paraId="63E3F47D">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b w:val="0"/>
          <w:bCs w:val="0"/>
          <w:color w:val="000000" w:themeColor="text1"/>
          <w:sz w:val="28"/>
          <w:szCs w:val="28"/>
          <w:highlight w:val="none"/>
          <w14:textFill>
            <w14:solidFill>
              <w14:schemeClr w14:val="tx1"/>
            </w14:solidFill>
          </w14:textFill>
        </w:rPr>
      </w:pPr>
      <w:r>
        <w:rPr>
          <w:rFonts w:hint="eastAsia" w:ascii="宋体" w:hAnsi="宋体" w:eastAsia="宋体" w:cs="宋体"/>
          <w:b w:val="0"/>
          <w:bCs w:val="0"/>
          <w:color w:val="000000" w:themeColor="text1"/>
          <w:sz w:val="28"/>
          <w:szCs w:val="28"/>
          <w:highlight w:val="none"/>
          <w14:textFill>
            <w14:solidFill>
              <w14:schemeClr w14:val="tx1"/>
            </w14:solidFill>
          </w14:textFill>
        </w:rPr>
        <w:t>25.资格审查</w:t>
      </w:r>
    </w:p>
    <w:p w14:paraId="4C88C8E1">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宋体" w:hAnsi="宋体" w:eastAsia="宋体" w:cs="宋体"/>
          <w:b w:val="0"/>
          <w:bCs w:val="0"/>
          <w:color w:val="000000" w:themeColor="text1"/>
          <w:sz w:val="28"/>
          <w:szCs w:val="28"/>
          <w:highlight w:val="none"/>
          <w14:textFill>
            <w14:solidFill>
              <w14:schemeClr w14:val="tx1"/>
            </w14:solidFill>
          </w14:textFill>
        </w:rPr>
      </w:pPr>
      <w:r>
        <w:rPr>
          <w:rFonts w:hint="eastAsia" w:ascii="宋体" w:hAnsi="宋体" w:eastAsia="宋体" w:cs="宋体"/>
          <w:b w:val="0"/>
          <w:bCs w:val="0"/>
          <w:color w:val="000000" w:themeColor="text1"/>
          <w:sz w:val="28"/>
          <w:szCs w:val="28"/>
          <w:highlight w:val="none"/>
          <w14:textFill>
            <w14:solidFill>
              <w14:schemeClr w14:val="tx1"/>
            </w14:solidFill>
          </w14:textFill>
        </w:rPr>
        <w:t xml:space="preserve"> 25.1开标结束后，采购人或评标委员会依法通过电子投标文件对</w:t>
      </w:r>
      <w:r>
        <w:rPr>
          <w:rFonts w:hint="eastAsia" w:ascii="宋体" w:hAnsi="宋体" w:cs="宋体"/>
          <w:b w:val="0"/>
          <w:bCs w:val="0"/>
          <w:color w:val="000000" w:themeColor="text1"/>
          <w:sz w:val="28"/>
          <w:szCs w:val="28"/>
          <w:highlight w:val="none"/>
          <w:lang w:eastAsia="zh-CN"/>
          <w14:textFill>
            <w14:solidFill>
              <w14:schemeClr w14:val="tx1"/>
            </w14:solidFill>
          </w14:textFill>
        </w:rPr>
        <w:t>供应商</w:t>
      </w:r>
      <w:r>
        <w:rPr>
          <w:rFonts w:hint="eastAsia" w:ascii="宋体" w:hAnsi="宋体" w:eastAsia="宋体" w:cs="宋体"/>
          <w:b w:val="0"/>
          <w:bCs w:val="0"/>
          <w:color w:val="000000" w:themeColor="text1"/>
          <w:sz w:val="28"/>
          <w:szCs w:val="28"/>
          <w:highlight w:val="none"/>
          <w14:textFill>
            <w14:solidFill>
              <w14:schemeClr w14:val="tx1"/>
            </w14:solidFill>
          </w14:textFill>
        </w:rPr>
        <w:t>的资格进行线上审查。</w:t>
      </w:r>
    </w:p>
    <w:p w14:paraId="26C79E9A">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宋体" w:hAnsi="宋体" w:eastAsia="宋体" w:cs="宋体"/>
          <w:b w:val="0"/>
          <w:bCs w:val="0"/>
          <w:color w:val="000000" w:themeColor="text1"/>
          <w:sz w:val="28"/>
          <w:szCs w:val="28"/>
          <w:highlight w:val="none"/>
          <w14:textFill>
            <w14:solidFill>
              <w14:schemeClr w14:val="tx1"/>
            </w14:solidFill>
          </w14:textFill>
        </w:rPr>
      </w:pPr>
      <w:r>
        <w:rPr>
          <w:rFonts w:hint="eastAsia" w:ascii="宋体" w:hAnsi="宋体" w:eastAsia="宋体" w:cs="宋体"/>
          <w:b w:val="0"/>
          <w:bCs w:val="0"/>
          <w:color w:val="000000" w:themeColor="text1"/>
          <w:sz w:val="28"/>
          <w:szCs w:val="28"/>
          <w:highlight w:val="none"/>
          <w14:textFill>
            <w14:solidFill>
              <w14:schemeClr w14:val="tx1"/>
            </w14:solidFill>
          </w14:textFill>
        </w:rPr>
        <w:t xml:space="preserve"> 25.2采购人或评标委员会依据法律法规和招标文件的规定，对</w:t>
      </w:r>
      <w:r>
        <w:rPr>
          <w:rFonts w:hint="eastAsia" w:ascii="宋体" w:hAnsi="宋体" w:cs="宋体"/>
          <w:b w:val="0"/>
          <w:bCs w:val="0"/>
          <w:color w:val="000000" w:themeColor="text1"/>
          <w:sz w:val="28"/>
          <w:szCs w:val="28"/>
          <w:highlight w:val="none"/>
          <w:lang w:eastAsia="zh-CN"/>
          <w14:textFill>
            <w14:solidFill>
              <w14:schemeClr w14:val="tx1"/>
            </w14:solidFill>
          </w14:textFill>
        </w:rPr>
        <w:t>供应商</w:t>
      </w:r>
      <w:r>
        <w:rPr>
          <w:rFonts w:hint="eastAsia" w:ascii="宋体" w:hAnsi="宋体" w:eastAsia="宋体" w:cs="宋体"/>
          <w:b w:val="0"/>
          <w:bCs w:val="0"/>
          <w:color w:val="000000" w:themeColor="text1"/>
          <w:sz w:val="28"/>
          <w:szCs w:val="28"/>
          <w:highlight w:val="none"/>
          <w14:textFill>
            <w14:solidFill>
              <w14:schemeClr w14:val="tx1"/>
            </w14:solidFill>
          </w14:textFill>
        </w:rPr>
        <w:t>的基本资格条件、特定资格条件进行审查。</w:t>
      </w:r>
    </w:p>
    <w:p w14:paraId="27A632E5">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25.3资格审查标准为本“招标文件”中“</w:t>
      </w:r>
      <w:r>
        <w:rPr>
          <w:rFonts w:hint="eastAsia" w:ascii="宋体" w:hAnsi="宋体" w:cs="宋体"/>
          <w:color w:val="000000" w:themeColor="text1"/>
          <w:sz w:val="28"/>
          <w:szCs w:val="28"/>
          <w:highlight w:val="none"/>
          <w:lang w:eastAsia="zh-CN"/>
          <w14:textFill>
            <w14:solidFill>
              <w14:schemeClr w14:val="tx1"/>
            </w14:solidFill>
          </w14:textFill>
        </w:rPr>
        <w:t>供应商</w:t>
      </w:r>
      <w:r>
        <w:rPr>
          <w:rFonts w:hint="eastAsia" w:ascii="宋体" w:hAnsi="宋体" w:eastAsia="宋体" w:cs="宋体"/>
          <w:color w:val="000000" w:themeColor="text1"/>
          <w:sz w:val="28"/>
          <w:szCs w:val="28"/>
          <w:highlight w:val="none"/>
          <w14:textFill>
            <w14:solidFill>
              <w14:schemeClr w14:val="tx1"/>
            </w14:solidFill>
          </w14:textFill>
        </w:rPr>
        <w:t>须知前附表”13.1点载明对</w:t>
      </w:r>
      <w:r>
        <w:rPr>
          <w:rFonts w:hint="eastAsia" w:ascii="宋体" w:hAnsi="宋体" w:cs="宋体"/>
          <w:color w:val="000000" w:themeColor="text1"/>
          <w:sz w:val="28"/>
          <w:szCs w:val="28"/>
          <w:highlight w:val="none"/>
          <w:lang w:eastAsia="zh-CN"/>
          <w14:textFill>
            <w14:solidFill>
              <w14:schemeClr w14:val="tx1"/>
            </w14:solidFill>
          </w14:textFill>
        </w:rPr>
        <w:t>供应商</w:t>
      </w:r>
      <w:r>
        <w:rPr>
          <w:rFonts w:hint="eastAsia" w:ascii="宋体" w:hAnsi="宋体" w:eastAsia="宋体" w:cs="宋体"/>
          <w:color w:val="000000" w:themeColor="text1"/>
          <w:sz w:val="28"/>
          <w:szCs w:val="28"/>
          <w:highlight w:val="none"/>
          <w14:textFill>
            <w14:solidFill>
              <w14:schemeClr w14:val="tx1"/>
            </w14:solidFill>
          </w14:textFill>
        </w:rPr>
        <w:t>资格要求的条件。本项目资格审查采用合格制，凡符合招标文件规定的</w:t>
      </w:r>
      <w:r>
        <w:rPr>
          <w:rFonts w:hint="eastAsia" w:ascii="宋体" w:hAnsi="宋体" w:cs="宋体"/>
          <w:color w:val="000000" w:themeColor="text1"/>
          <w:sz w:val="28"/>
          <w:szCs w:val="28"/>
          <w:highlight w:val="none"/>
          <w:lang w:eastAsia="zh-CN"/>
          <w14:textFill>
            <w14:solidFill>
              <w14:schemeClr w14:val="tx1"/>
            </w14:solidFill>
          </w14:textFill>
        </w:rPr>
        <w:t>供应商</w:t>
      </w:r>
      <w:r>
        <w:rPr>
          <w:rFonts w:hint="eastAsia" w:ascii="宋体" w:hAnsi="宋体" w:eastAsia="宋体" w:cs="宋体"/>
          <w:color w:val="000000" w:themeColor="text1"/>
          <w:sz w:val="28"/>
          <w:szCs w:val="28"/>
          <w:highlight w:val="none"/>
          <w14:textFill>
            <w14:solidFill>
              <w14:schemeClr w14:val="tx1"/>
            </w14:solidFill>
          </w14:textFill>
        </w:rPr>
        <w:t>资格要求的</w:t>
      </w:r>
      <w:r>
        <w:rPr>
          <w:rFonts w:hint="eastAsia" w:ascii="宋体" w:hAnsi="宋体" w:cs="宋体"/>
          <w:color w:val="000000" w:themeColor="text1"/>
          <w:sz w:val="28"/>
          <w:szCs w:val="28"/>
          <w:highlight w:val="none"/>
          <w:lang w:eastAsia="zh-CN"/>
          <w14:textFill>
            <w14:solidFill>
              <w14:schemeClr w14:val="tx1"/>
            </w14:solidFill>
          </w14:textFill>
        </w:rPr>
        <w:t>供应商</w:t>
      </w:r>
      <w:r>
        <w:rPr>
          <w:rFonts w:hint="eastAsia" w:ascii="宋体" w:hAnsi="宋体" w:eastAsia="宋体" w:cs="宋体"/>
          <w:color w:val="000000" w:themeColor="text1"/>
          <w:sz w:val="28"/>
          <w:szCs w:val="28"/>
          <w:highlight w:val="none"/>
          <w14:textFill>
            <w14:solidFill>
              <w14:schemeClr w14:val="tx1"/>
            </w14:solidFill>
          </w14:textFill>
        </w:rPr>
        <w:t>均通过资格审查。</w:t>
      </w:r>
    </w:p>
    <w:p w14:paraId="0B4D97D9">
      <w:pPr>
        <w:keepNext w:val="0"/>
        <w:keepLines w:val="0"/>
        <w:pageBreakBefore w:val="0"/>
        <w:kinsoku/>
        <w:wordWrap/>
        <w:overflowPunct/>
        <w:topLinePunct w:val="0"/>
        <w:bidi w:val="0"/>
        <w:adjustRightInd/>
        <w:snapToGrid/>
        <w:spacing w:line="560" w:lineRule="exact"/>
        <w:ind w:firstLine="562" w:firstLineChars="200"/>
        <w:jc w:val="both"/>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t>25.4</w:t>
      </w:r>
      <w:r>
        <w:rPr>
          <w:rFonts w:hint="eastAsia" w:ascii="宋体" w:hAnsi="宋体" w:cs="宋体"/>
          <w:b/>
          <w:bCs/>
          <w:color w:val="000000" w:themeColor="text1"/>
          <w:sz w:val="28"/>
          <w:szCs w:val="28"/>
          <w:highlight w:val="none"/>
          <w:lang w:eastAsia="zh-CN"/>
          <w14:textFill>
            <w14:solidFill>
              <w14:schemeClr w14:val="tx1"/>
            </w14:solidFill>
          </w14:textFill>
        </w:rPr>
        <w:t>供应商</w:t>
      </w:r>
      <w:r>
        <w:rPr>
          <w:rFonts w:hint="eastAsia" w:ascii="宋体" w:hAnsi="宋体" w:eastAsia="宋体" w:cs="宋体"/>
          <w:b/>
          <w:bCs/>
          <w:color w:val="000000" w:themeColor="text1"/>
          <w:sz w:val="28"/>
          <w:szCs w:val="28"/>
          <w:highlight w:val="none"/>
          <w14:textFill>
            <w14:solidFill>
              <w14:schemeClr w14:val="tx1"/>
            </w14:solidFill>
          </w14:textFill>
        </w:rPr>
        <w:t>有下列情形之一的，资格审查不通过，作无效投标处理：</w:t>
      </w:r>
    </w:p>
    <w:p w14:paraId="461DE714">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（1）不具备招标文件中规定的资格要求的；（注：其中信用查询规则见“</w:t>
      </w:r>
      <w:r>
        <w:rPr>
          <w:rFonts w:hint="eastAsia" w:ascii="宋体" w:hAnsi="宋体" w:cs="宋体"/>
          <w:color w:val="000000" w:themeColor="text1"/>
          <w:sz w:val="28"/>
          <w:szCs w:val="28"/>
          <w:highlight w:val="none"/>
          <w:lang w:eastAsia="zh-CN"/>
          <w14:textFill>
            <w14:solidFill>
              <w14:schemeClr w14:val="tx1"/>
            </w14:solidFill>
          </w14:textFill>
        </w:rPr>
        <w:t>供应商</w:t>
      </w:r>
      <w:r>
        <w:rPr>
          <w:rFonts w:hint="eastAsia" w:ascii="宋体" w:hAnsi="宋体" w:eastAsia="宋体" w:cs="宋体"/>
          <w:color w:val="000000" w:themeColor="text1"/>
          <w:sz w:val="28"/>
          <w:szCs w:val="28"/>
          <w:highlight w:val="none"/>
          <w14:textFill>
            <w14:solidFill>
              <w14:schemeClr w14:val="tx1"/>
            </w14:solidFill>
          </w14:textFill>
        </w:rPr>
        <w:t>须知前附表”，“政采云”平台已与“信用中国”平台做接口，审查专家可直接在线查询）</w:t>
      </w:r>
    </w:p>
    <w:p w14:paraId="4D1DEAF4">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（2）投标文件未提供任一项“</w:t>
      </w:r>
      <w:r>
        <w:rPr>
          <w:rFonts w:hint="eastAsia" w:ascii="宋体" w:hAnsi="宋体" w:cs="宋体"/>
          <w:color w:val="000000" w:themeColor="text1"/>
          <w:sz w:val="28"/>
          <w:szCs w:val="28"/>
          <w:highlight w:val="none"/>
          <w:lang w:eastAsia="zh-CN"/>
          <w14:textFill>
            <w14:solidFill>
              <w14:schemeClr w14:val="tx1"/>
            </w14:solidFill>
          </w14:textFill>
        </w:rPr>
        <w:t>供应商</w:t>
      </w:r>
      <w:r>
        <w:rPr>
          <w:rFonts w:hint="eastAsia" w:ascii="宋体" w:hAnsi="宋体" w:eastAsia="宋体" w:cs="宋体"/>
          <w:color w:val="000000" w:themeColor="text1"/>
          <w:sz w:val="28"/>
          <w:szCs w:val="28"/>
          <w:highlight w:val="none"/>
          <w14:textFill>
            <w14:solidFill>
              <w14:schemeClr w14:val="tx1"/>
            </w14:solidFill>
          </w14:textFill>
        </w:rPr>
        <w:t>须知前附表”资格证明文件规定的“必须提供”的文件资料的；</w:t>
      </w:r>
    </w:p>
    <w:p w14:paraId="47B9D1C2">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（3）投标文件提供的资格证明文件出现任一项不符合“</w:t>
      </w:r>
      <w:r>
        <w:rPr>
          <w:rFonts w:hint="eastAsia" w:ascii="宋体" w:hAnsi="宋体" w:cs="宋体"/>
          <w:color w:val="000000" w:themeColor="text1"/>
          <w:sz w:val="28"/>
          <w:szCs w:val="28"/>
          <w:highlight w:val="none"/>
          <w:lang w:eastAsia="zh-CN"/>
          <w14:textFill>
            <w14:solidFill>
              <w14:schemeClr w14:val="tx1"/>
            </w14:solidFill>
          </w14:textFill>
        </w:rPr>
        <w:t>供应商</w:t>
      </w:r>
      <w:r>
        <w:rPr>
          <w:rFonts w:hint="eastAsia" w:ascii="宋体" w:hAnsi="宋体" w:eastAsia="宋体" w:cs="宋体"/>
          <w:color w:val="000000" w:themeColor="text1"/>
          <w:sz w:val="28"/>
          <w:szCs w:val="28"/>
          <w:highlight w:val="none"/>
          <w14:textFill>
            <w14:solidFill>
              <w14:schemeClr w14:val="tx1"/>
            </w14:solidFill>
          </w14:textFill>
        </w:rPr>
        <w:t>须知前附表”资格证明文件规定的“必须提供”的文件资料要求或者无效的。</w:t>
      </w:r>
    </w:p>
    <w:p w14:paraId="6926D8AA">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25.5资格审查的合格</w:t>
      </w:r>
      <w:r>
        <w:rPr>
          <w:rFonts w:hint="eastAsia" w:ascii="宋体" w:hAnsi="宋体" w:eastAsia="宋体" w:cs="宋体"/>
          <w:color w:val="000000" w:themeColor="text1"/>
          <w:sz w:val="28"/>
          <w:szCs w:val="28"/>
          <w:highlight w:val="none"/>
          <w:lang w:eastAsia="zh-CN"/>
          <w14:textFill>
            <w14:solidFill>
              <w14:schemeClr w14:val="tx1"/>
            </w14:solidFill>
          </w14:textFill>
        </w:rPr>
        <w:t>供应商</w:t>
      </w:r>
      <w:r>
        <w:rPr>
          <w:rFonts w:hint="eastAsia" w:ascii="宋体" w:hAnsi="宋体" w:eastAsia="宋体" w:cs="宋体"/>
          <w:color w:val="000000" w:themeColor="text1"/>
          <w:sz w:val="28"/>
          <w:szCs w:val="28"/>
          <w:highlight w:val="none"/>
          <w14:textFill>
            <w14:solidFill>
              <w14:schemeClr w14:val="tx1"/>
            </w14:solidFill>
          </w14:textFill>
        </w:rPr>
        <w:t>不足3家的，不得进行下一步工作。</w:t>
      </w:r>
    </w:p>
    <w:p w14:paraId="1922AA6F">
      <w:pPr>
        <w:pStyle w:val="4"/>
        <w:keepNext w:val="0"/>
        <w:keepLines w:val="0"/>
        <w:pageBreakBefore w:val="0"/>
        <w:kinsoku/>
        <w:wordWrap/>
        <w:overflowPunct/>
        <w:topLinePunct w:val="0"/>
        <w:bidi w:val="0"/>
        <w:adjustRightInd/>
        <w:snapToGrid/>
        <w:spacing w:line="560" w:lineRule="exact"/>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六、评   标</w:t>
      </w:r>
    </w:p>
    <w:p w14:paraId="25777A3C">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26.组建评标委员会</w:t>
      </w:r>
    </w:p>
    <w:p w14:paraId="6F954B90">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评标委员会由采购人代表和评审专家组成，人数为5人以上单数，其中评审专家不得少于成员总数的三分之二。</w:t>
      </w:r>
    </w:p>
    <w:p w14:paraId="4D578F77">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参加过采购项目前期咨询论证的专家，不得参加该采购项目的评审活动。</w:t>
      </w:r>
    </w:p>
    <w:p w14:paraId="0C46DC54">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27.评标的依据</w:t>
      </w:r>
    </w:p>
    <w:p w14:paraId="1E508602">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评标委员会以招标文件为依据对投标文件进行评审，“第四章 评标方法和评标标准”没有规定的方法、评审因素和标准，不作为评标依据。</w:t>
      </w:r>
    </w:p>
    <w:p w14:paraId="42DBF6BC">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28.评标原则</w:t>
      </w:r>
    </w:p>
    <w:p w14:paraId="3C43E0BF">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28.1评标原则。评标委员会评标时必须公平、公正、客观，不带任何倾向性和启发性；不得向外界透露任何与评标有关的内容；任何单位和个人不得干扰、影响评标的正常进行；评标委员会及有关工作人员不得私下与</w:t>
      </w:r>
      <w:r>
        <w:rPr>
          <w:rFonts w:hint="eastAsia" w:ascii="宋体" w:hAnsi="宋体" w:cs="宋体"/>
          <w:color w:val="000000" w:themeColor="text1"/>
          <w:sz w:val="28"/>
          <w:szCs w:val="28"/>
          <w:highlight w:val="none"/>
          <w:lang w:eastAsia="zh-CN"/>
          <w14:textFill>
            <w14:solidFill>
              <w14:schemeClr w14:val="tx1"/>
            </w14:solidFill>
          </w14:textFill>
        </w:rPr>
        <w:t>供应商</w:t>
      </w:r>
      <w:r>
        <w:rPr>
          <w:rFonts w:hint="eastAsia" w:ascii="宋体" w:hAnsi="宋体" w:eastAsia="宋体" w:cs="宋体"/>
          <w:color w:val="000000" w:themeColor="text1"/>
          <w:sz w:val="28"/>
          <w:szCs w:val="28"/>
          <w:highlight w:val="none"/>
          <w14:textFill>
            <w14:solidFill>
              <w14:schemeClr w14:val="tx1"/>
            </w14:solidFill>
          </w14:textFill>
        </w:rPr>
        <w:t>接触，不得收受利害关系人的财物或者其他好处。</w:t>
      </w:r>
    </w:p>
    <w:p w14:paraId="59D77AB3">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28.2评委表决。在评标过程中出现法律法规和招标文件均没有明确规定的情形时，由评标委员会现场协商解决，协商不一致的，由全体评委投票表决，以得票率二分之一以上专家的意见为准并由采购代理机构作记录。</w:t>
      </w:r>
    </w:p>
    <w:p w14:paraId="6031EE6D">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28.3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14:paraId="195D7F26">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28.4评标过程的监控。本项目电子评标过程实行网上留痕、全程录音、录像监控，</w:t>
      </w:r>
      <w:r>
        <w:rPr>
          <w:rFonts w:hint="eastAsia" w:ascii="宋体" w:hAnsi="宋体" w:cs="宋体"/>
          <w:color w:val="000000" w:themeColor="text1"/>
          <w:sz w:val="28"/>
          <w:szCs w:val="28"/>
          <w:highlight w:val="none"/>
          <w:lang w:eastAsia="zh-CN"/>
          <w14:textFill>
            <w14:solidFill>
              <w14:schemeClr w14:val="tx1"/>
            </w14:solidFill>
          </w14:textFill>
        </w:rPr>
        <w:t>供应商</w:t>
      </w:r>
      <w:r>
        <w:rPr>
          <w:rFonts w:hint="eastAsia" w:ascii="宋体" w:hAnsi="宋体" w:eastAsia="宋体" w:cs="宋体"/>
          <w:color w:val="000000" w:themeColor="text1"/>
          <w:sz w:val="28"/>
          <w:szCs w:val="28"/>
          <w:highlight w:val="none"/>
          <w14:textFill>
            <w14:solidFill>
              <w14:schemeClr w14:val="tx1"/>
            </w14:solidFill>
          </w14:textFill>
        </w:rPr>
        <w:t>在评标过程中所进行的试图影响评标结果的不公正活动，可能导致其投标按无效处理。</w:t>
      </w:r>
    </w:p>
    <w:p w14:paraId="6D67ABEA">
      <w:pPr>
        <w:keepNext w:val="0"/>
        <w:keepLines w:val="0"/>
        <w:pageBreakBefore w:val="0"/>
        <w:widowControl/>
        <w:kinsoku/>
        <w:wordWrap/>
        <w:overflowPunct/>
        <w:topLinePunct w:val="0"/>
        <w:bidi w:val="0"/>
        <w:adjustRightInd/>
        <w:snapToGrid/>
        <w:spacing w:line="560" w:lineRule="exact"/>
        <w:ind w:firstLine="560" w:firstLineChars="200"/>
        <w:jc w:val="both"/>
        <w:textAlignment w:val="baseline"/>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28.5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579275F5">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29.评标方法及评标标准</w:t>
      </w:r>
    </w:p>
    <w:p w14:paraId="2E8B30DC">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29.1本项目的评标方法详见“</w:t>
      </w:r>
      <w:r>
        <w:rPr>
          <w:rFonts w:hint="eastAsia" w:ascii="宋体" w:hAnsi="宋体" w:cs="宋体"/>
          <w:color w:val="000000" w:themeColor="text1"/>
          <w:sz w:val="28"/>
          <w:szCs w:val="28"/>
          <w:highlight w:val="none"/>
          <w:lang w:eastAsia="zh-CN"/>
          <w14:textFill>
            <w14:solidFill>
              <w14:schemeClr w14:val="tx1"/>
            </w14:solidFill>
          </w14:textFill>
        </w:rPr>
        <w:t>供应商</w:t>
      </w:r>
      <w:r>
        <w:rPr>
          <w:rFonts w:hint="eastAsia" w:ascii="宋体" w:hAnsi="宋体" w:eastAsia="宋体" w:cs="宋体"/>
          <w:color w:val="000000" w:themeColor="text1"/>
          <w:sz w:val="28"/>
          <w:szCs w:val="28"/>
          <w:highlight w:val="none"/>
          <w14:textFill>
            <w14:solidFill>
              <w14:schemeClr w14:val="tx1"/>
            </w14:solidFill>
          </w14:textFill>
        </w:rPr>
        <w:t>须知前附表”。</w:t>
      </w:r>
    </w:p>
    <w:p w14:paraId="4F4BDDE1">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29.2 评标委员会按照</w:t>
      </w:r>
      <w:r>
        <w:rPr>
          <w:rFonts w:hint="eastAsia" w:ascii="宋体" w:hAnsi="宋体" w:eastAsia="宋体" w:cs="宋体"/>
          <w:b/>
          <w:color w:val="000000" w:themeColor="text1"/>
          <w:sz w:val="28"/>
          <w:szCs w:val="28"/>
          <w:highlight w:val="none"/>
          <w14:textFill>
            <w14:solidFill>
              <w14:schemeClr w14:val="tx1"/>
            </w14:solidFill>
          </w14:textFill>
        </w:rPr>
        <w:t>“第四章 评标方法和评标标准”</w:t>
      </w:r>
      <w:r>
        <w:rPr>
          <w:rFonts w:hint="eastAsia" w:ascii="宋体" w:hAnsi="宋体" w:eastAsia="宋体" w:cs="宋体"/>
          <w:color w:val="000000" w:themeColor="text1"/>
          <w:sz w:val="28"/>
          <w:szCs w:val="28"/>
          <w:highlight w:val="none"/>
          <w14:textFill>
            <w14:solidFill>
              <w14:schemeClr w14:val="tx1"/>
            </w14:solidFill>
          </w14:textFill>
        </w:rPr>
        <w:t>规定的方法、评审因素、标准和程序对投标文件进行评审。</w:t>
      </w:r>
    </w:p>
    <w:p w14:paraId="6CD68782">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29.3 电子交易活动的中止。采购过程中出现以下情形，导致电子交易平台无法正常运行，或者无法保证电子交易的公平、公正和安全时，采购机构可中止电子交易活动：</w:t>
      </w:r>
    </w:p>
    <w:p w14:paraId="49E798E4">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（1）电子交易平台发生故障而无法登录访问的； </w:t>
      </w:r>
    </w:p>
    <w:p w14:paraId="7E0AC53F">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（2）电子交易平台应用或数据库出现错误，不能进行正常操作的；</w:t>
      </w:r>
    </w:p>
    <w:p w14:paraId="5B1F04A2">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（3）电子交易平台发现严重安全漏洞，有潜在泄密危险的；</w:t>
      </w:r>
    </w:p>
    <w:p w14:paraId="5945CA5A">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（4）病毒发作导致不能进行正常操作的； </w:t>
      </w:r>
    </w:p>
    <w:p w14:paraId="60CED0D8">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（4）其他无法保证电子交易的公平、公正和安全的情况。</w:t>
      </w:r>
    </w:p>
    <w:p w14:paraId="4192CFC7">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29.4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15ED16D6">
      <w:pPr>
        <w:pStyle w:val="4"/>
        <w:keepNext w:val="0"/>
        <w:keepLines w:val="0"/>
        <w:pageBreakBefore w:val="0"/>
        <w:kinsoku/>
        <w:wordWrap/>
        <w:overflowPunct/>
        <w:topLinePunct w:val="0"/>
        <w:bidi w:val="0"/>
        <w:adjustRightInd/>
        <w:snapToGrid/>
        <w:spacing w:line="560" w:lineRule="exact"/>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七、中标和合同</w:t>
      </w:r>
    </w:p>
    <w:p w14:paraId="49E32100">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30.确定中标人</w:t>
      </w:r>
    </w:p>
    <w:p w14:paraId="1640BA4D">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b w:val="0"/>
          <w:bCs w:val="0"/>
          <w:color w:val="000000" w:themeColor="text1"/>
          <w:sz w:val="28"/>
          <w:szCs w:val="28"/>
          <w:highlight w:val="none"/>
          <w14:textFill>
            <w14:solidFill>
              <w14:schemeClr w14:val="tx1"/>
            </w14:solidFill>
          </w14:textFill>
        </w:rPr>
      </w:pPr>
      <w:r>
        <w:rPr>
          <w:rFonts w:hint="eastAsia" w:ascii="宋体" w:hAnsi="宋体" w:eastAsia="宋体" w:cs="宋体"/>
          <w:b w:val="0"/>
          <w:bCs w:val="0"/>
          <w:color w:val="000000" w:themeColor="text1"/>
          <w:sz w:val="28"/>
          <w:szCs w:val="28"/>
          <w:highlight w:val="none"/>
          <w14:textFill>
            <w14:solidFill>
              <w14:schemeClr w14:val="tx1"/>
            </w14:solidFill>
          </w14:textFill>
        </w:rPr>
        <w:t>30.1本项目授权评标委员会直接按第四章“评标方法及标准”的规定排列中标候选人顺序，并依照次序确定中标人。</w:t>
      </w:r>
    </w:p>
    <w:p w14:paraId="3EE121F1">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b w:val="0"/>
          <w:bCs w:val="0"/>
          <w:color w:val="000000" w:themeColor="text1"/>
          <w:sz w:val="28"/>
          <w:szCs w:val="28"/>
          <w:highlight w:val="none"/>
          <w14:textFill>
            <w14:solidFill>
              <w14:schemeClr w14:val="tx1"/>
            </w14:solidFill>
          </w14:textFill>
        </w:rPr>
      </w:pPr>
      <w:r>
        <w:rPr>
          <w:rFonts w:hint="eastAsia" w:ascii="宋体" w:hAnsi="宋体" w:eastAsia="宋体" w:cs="宋体"/>
          <w:b w:val="0"/>
          <w:bCs w:val="0"/>
          <w:color w:val="000000" w:themeColor="text1"/>
          <w:sz w:val="28"/>
          <w:szCs w:val="28"/>
          <w:highlight w:val="none"/>
          <w14:textFill>
            <w14:solidFill>
              <w14:schemeClr w14:val="tx1"/>
            </w14:solidFill>
          </w14:textFill>
        </w:rPr>
        <w:t>30.2提供相同品牌产品且通过资格审查、符合性审查的不同</w:t>
      </w:r>
      <w:r>
        <w:rPr>
          <w:rFonts w:hint="eastAsia" w:ascii="宋体" w:hAnsi="宋体" w:cs="宋体"/>
          <w:b w:val="0"/>
          <w:bCs w:val="0"/>
          <w:color w:val="000000" w:themeColor="text1"/>
          <w:sz w:val="28"/>
          <w:szCs w:val="28"/>
          <w:highlight w:val="none"/>
          <w:lang w:eastAsia="zh-CN"/>
          <w14:textFill>
            <w14:solidFill>
              <w14:schemeClr w14:val="tx1"/>
            </w14:solidFill>
          </w14:textFill>
        </w:rPr>
        <w:t>供应商</w:t>
      </w:r>
      <w:r>
        <w:rPr>
          <w:rFonts w:hint="eastAsia" w:ascii="宋体" w:hAnsi="宋体" w:eastAsia="宋体" w:cs="宋体"/>
          <w:b w:val="0"/>
          <w:bCs w:val="0"/>
          <w:color w:val="000000" w:themeColor="text1"/>
          <w:sz w:val="28"/>
          <w:szCs w:val="28"/>
          <w:highlight w:val="none"/>
          <w14:textFill>
            <w14:solidFill>
              <w14:schemeClr w14:val="tx1"/>
            </w14:solidFill>
          </w14:textFill>
        </w:rPr>
        <w:t>参加同一合同项下投标的，按一家</w:t>
      </w:r>
      <w:r>
        <w:rPr>
          <w:rFonts w:hint="eastAsia" w:ascii="宋体" w:hAnsi="宋体" w:cs="宋体"/>
          <w:b w:val="0"/>
          <w:bCs w:val="0"/>
          <w:color w:val="000000" w:themeColor="text1"/>
          <w:sz w:val="28"/>
          <w:szCs w:val="28"/>
          <w:highlight w:val="none"/>
          <w:lang w:eastAsia="zh-CN"/>
          <w14:textFill>
            <w14:solidFill>
              <w14:schemeClr w14:val="tx1"/>
            </w14:solidFill>
          </w14:textFill>
        </w:rPr>
        <w:t>供应商</w:t>
      </w:r>
      <w:r>
        <w:rPr>
          <w:rFonts w:hint="eastAsia" w:ascii="宋体" w:hAnsi="宋体" w:eastAsia="宋体" w:cs="宋体"/>
          <w:b w:val="0"/>
          <w:bCs w:val="0"/>
          <w:color w:val="000000" w:themeColor="text1"/>
          <w:sz w:val="28"/>
          <w:szCs w:val="28"/>
          <w:highlight w:val="none"/>
          <w14:textFill>
            <w14:solidFill>
              <w14:schemeClr w14:val="tx1"/>
            </w14:solidFill>
          </w14:textFill>
        </w:rPr>
        <w:t>计算，采用综合评分法则以评审得分最高者获得中标人推荐资格，采用综合评分法评审得分相同的，按“</w:t>
      </w:r>
      <w:r>
        <w:rPr>
          <w:rFonts w:hint="eastAsia" w:ascii="宋体" w:hAnsi="宋体" w:cs="宋体"/>
          <w:b w:val="0"/>
          <w:bCs w:val="0"/>
          <w:color w:val="000000" w:themeColor="text1"/>
          <w:sz w:val="28"/>
          <w:szCs w:val="28"/>
          <w:highlight w:val="none"/>
          <w:lang w:eastAsia="zh-CN"/>
          <w14:textFill>
            <w14:solidFill>
              <w14:schemeClr w14:val="tx1"/>
            </w14:solidFill>
          </w14:textFill>
        </w:rPr>
        <w:t>供应商</w:t>
      </w:r>
      <w:r>
        <w:rPr>
          <w:rFonts w:hint="eastAsia" w:ascii="宋体" w:hAnsi="宋体" w:eastAsia="宋体" w:cs="宋体"/>
          <w:b w:val="0"/>
          <w:bCs w:val="0"/>
          <w:color w:val="000000" w:themeColor="text1"/>
          <w:sz w:val="28"/>
          <w:szCs w:val="28"/>
          <w:highlight w:val="none"/>
          <w14:textFill>
            <w14:solidFill>
              <w14:schemeClr w14:val="tx1"/>
            </w14:solidFill>
          </w14:textFill>
        </w:rPr>
        <w:t>须知前附表”规定方式确定，确定后其他同品牌</w:t>
      </w:r>
      <w:r>
        <w:rPr>
          <w:rFonts w:hint="eastAsia" w:ascii="宋体" w:hAnsi="宋体" w:cs="宋体"/>
          <w:b w:val="0"/>
          <w:bCs w:val="0"/>
          <w:color w:val="000000" w:themeColor="text1"/>
          <w:sz w:val="28"/>
          <w:szCs w:val="28"/>
          <w:highlight w:val="none"/>
          <w:lang w:eastAsia="zh-CN"/>
          <w14:textFill>
            <w14:solidFill>
              <w14:schemeClr w14:val="tx1"/>
            </w14:solidFill>
          </w14:textFill>
        </w:rPr>
        <w:t>供应商</w:t>
      </w:r>
      <w:r>
        <w:rPr>
          <w:rFonts w:hint="eastAsia" w:ascii="宋体" w:hAnsi="宋体" w:eastAsia="宋体" w:cs="宋体"/>
          <w:b w:val="0"/>
          <w:bCs w:val="0"/>
          <w:color w:val="000000" w:themeColor="text1"/>
          <w:sz w:val="28"/>
          <w:szCs w:val="28"/>
          <w:highlight w:val="none"/>
          <w14:textFill>
            <w14:solidFill>
              <w14:schemeClr w14:val="tx1"/>
            </w14:solidFill>
          </w14:textFill>
        </w:rPr>
        <w:t>投标无效或不作为中标候选人。</w:t>
      </w:r>
    </w:p>
    <w:p w14:paraId="5F82D8D6">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30.3采购人、采购代理机构认为供应商对采购过程、中标结果提出的质疑成立且影响或者可能影响中标结果的，合格供应商符合法定数量时，可以从合格的中标候选人中另行确定中标人的，应当依法另行确定中标人；否则应当重新开展采购活动。</w:t>
      </w:r>
    </w:p>
    <w:p w14:paraId="15696CE7">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30.4中标供应商无正当理由拒签合同的，根据《中华人民共和国政府采购法》第七十七条第一款规定处理。</w:t>
      </w:r>
    </w:p>
    <w:p w14:paraId="7F3B5CC3">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30.5根据《中华人民共和国民法典》第五百六十三条，因不可抗力致使不能实现合同目的的，当事人可以解除合同。</w:t>
      </w:r>
    </w:p>
    <w:p w14:paraId="097A6A3C">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31. 结果公告</w:t>
      </w:r>
    </w:p>
    <w:p w14:paraId="4ABA0634">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31.1在中标供应商确定之日起2个工作日内，由采购代理机构</w:t>
      </w:r>
      <w:r>
        <w:rPr>
          <w:rFonts w:hint="eastAsia" w:ascii="宋体" w:hAnsi="宋体" w:eastAsia="宋体" w:cs="宋体"/>
          <w:b/>
          <w:color w:val="000000" w:themeColor="text1"/>
          <w:sz w:val="28"/>
          <w:szCs w:val="28"/>
          <w:highlight w:val="none"/>
          <w14:textFill>
            <w14:solidFill>
              <w14:schemeClr w14:val="tx1"/>
            </w14:solidFill>
          </w14:textFill>
        </w:rPr>
        <w:t>在招标公告发布媒体上</w:t>
      </w:r>
      <w:r>
        <w:rPr>
          <w:rFonts w:hint="eastAsia" w:ascii="宋体" w:hAnsi="宋体" w:eastAsia="宋体" w:cs="宋体"/>
          <w:color w:val="000000" w:themeColor="text1"/>
          <w:sz w:val="28"/>
          <w:szCs w:val="28"/>
          <w:highlight w:val="none"/>
          <w14:textFill>
            <w14:solidFill>
              <w14:schemeClr w14:val="tx1"/>
            </w14:solidFill>
          </w14:textFill>
        </w:rPr>
        <w:t>发布中标结果公告，中标结果公告期限为1个工作日，发布中标结果公告的同时向中标供应商发出中标通知书。</w:t>
      </w:r>
      <w:r>
        <w:rPr>
          <w:rFonts w:hint="eastAsia" w:ascii="宋体" w:hAnsi="宋体" w:eastAsia="宋体" w:cs="宋体"/>
          <w:b/>
          <w:color w:val="000000" w:themeColor="text1"/>
          <w:sz w:val="28"/>
          <w:szCs w:val="28"/>
          <w:highlight w:val="none"/>
          <w14:textFill>
            <w14:solidFill>
              <w14:schemeClr w14:val="tx1"/>
            </w14:solidFill>
          </w14:textFill>
        </w:rPr>
        <w:t>采购代理机构发出中标通知书前，应当对中标人信用进行核实，对列入失信被执行人、重大税收违法失信主体、政府采购严重违法失信行为记录名单及其他不符合《中华人民共和国政府采购法》第二十二条规定条件的</w:t>
      </w:r>
      <w:r>
        <w:rPr>
          <w:rFonts w:hint="eastAsia" w:ascii="宋体" w:hAnsi="宋体" w:cs="宋体"/>
          <w:b/>
          <w:color w:val="000000" w:themeColor="text1"/>
          <w:sz w:val="28"/>
          <w:szCs w:val="28"/>
          <w:highlight w:val="none"/>
          <w:lang w:eastAsia="zh-CN"/>
          <w14:textFill>
            <w14:solidFill>
              <w14:schemeClr w14:val="tx1"/>
            </w14:solidFill>
          </w14:textFill>
        </w:rPr>
        <w:t>供应商</w:t>
      </w:r>
      <w:r>
        <w:rPr>
          <w:rFonts w:hint="eastAsia" w:ascii="宋体" w:hAnsi="宋体" w:eastAsia="宋体" w:cs="宋体"/>
          <w:b/>
          <w:color w:val="000000" w:themeColor="text1"/>
          <w:sz w:val="28"/>
          <w:szCs w:val="28"/>
          <w:highlight w:val="none"/>
          <w14:textFill>
            <w14:solidFill>
              <w14:schemeClr w14:val="tx1"/>
            </w14:solidFill>
          </w14:textFill>
        </w:rPr>
        <w:t>，取消其中标资格，并确定排名第二的中标候选人为中标人。</w:t>
      </w:r>
      <w:r>
        <w:rPr>
          <w:rFonts w:hint="eastAsia" w:ascii="宋体" w:hAnsi="宋体" w:eastAsia="宋体" w:cs="宋体"/>
          <w:color w:val="000000" w:themeColor="text1"/>
          <w:sz w:val="28"/>
          <w:szCs w:val="28"/>
          <w:highlight w:val="none"/>
          <w14:textFill>
            <w14:solidFill>
              <w14:schemeClr w14:val="tx1"/>
            </w14:solidFill>
          </w14:textFill>
        </w:rPr>
        <w:t>排名第二的中标候选人因前款规定的同样原因被取消中标资格的，授权的评标委员会可以确定排名第三的中标候选人为中标人，以此类推。</w:t>
      </w:r>
    </w:p>
    <w:p w14:paraId="1EBB8CC3">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以上信息查询记录及相关证据与采购文件一并保存。</w:t>
      </w:r>
    </w:p>
    <w:p w14:paraId="20C2C749">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31.2中小企业在政府采购活动过程中，请根据企业的真实情况出具《中小企业声明函》。依法享受中小企业优惠政策的，采购人或者采购代理机构在公告中标结果时，同时公告其《中小企业声明函》，接受社会监督。</w:t>
      </w:r>
    </w:p>
    <w:p w14:paraId="63EAE42A">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32.发出中标通知书</w:t>
      </w:r>
    </w:p>
    <w:p w14:paraId="10112088">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b w:val="0"/>
          <w:bCs/>
          <w:color w:val="000000" w:themeColor="text1"/>
          <w:sz w:val="28"/>
          <w:szCs w:val="28"/>
          <w:highlight w:val="none"/>
          <w14:textFill>
            <w14:solidFill>
              <w14:schemeClr w14:val="tx1"/>
            </w14:solidFill>
          </w14:textFill>
        </w:rPr>
      </w:pPr>
      <w:r>
        <w:rPr>
          <w:rFonts w:hint="eastAsia" w:ascii="宋体" w:hAnsi="宋体" w:eastAsia="宋体" w:cs="宋体"/>
          <w:b w:val="0"/>
          <w:bCs/>
          <w:color w:val="000000" w:themeColor="text1"/>
          <w:sz w:val="28"/>
          <w:szCs w:val="28"/>
          <w:highlight w:val="none"/>
          <w14:textFill>
            <w14:solidFill>
              <w14:schemeClr w14:val="tx1"/>
            </w14:solidFill>
          </w14:textFill>
        </w:rPr>
        <w:t>32.1对未通过资格审查的</w:t>
      </w:r>
      <w:r>
        <w:rPr>
          <w:rFonts w:hint="eastAsia" w:ascii="宋体" w:hAnsi="宋体" w:cs="宋体"/>
          <w:b w:val="0"/>
          <w:bCs/>
          <w:color w:val="000000" w:themeColor="text1"/>
          <w:sz w:val="28"/>
          <w:szCs w:val="28"/>
          <w:highlight w:val="none"/>
          <w:lang w:eastAsia="zh-CN"/>
          <w14:textFill>
            <w14:solidFill>
              <w14:schemeClr w14:val="tx1"/>
            </w14:solidFill>
          </w14:textFill>
        </w:rPr>
        <w:t>供应商</w:t>
      </w:r>
      <w:r>
        <w:rPr>
          <w:rFonts w:hint="eastAsia" w:ascii="宋体" w:hAnsi="宋体" w:eastAsia="宋体" w:cs="宋体"/>
          <w:b w:val="0"/>
          <w:bCs/>
          <w:color w:val="000000" w:themeColor="text1"/>
          <w:sz w:val="28"/>
          <w:szCs w:val="28"/>
          <w:highlight w:val="none"/>
          <w14:textFill>
            <w14:solidFill>
              <w14:schemeClr w14:val="tx1"/>
            </w14:solidFill>
          </w14:textFill>
        </w:rPr>
        <w:t>，采购人或采购机构应当告知其未通过的原因；采用综合评分办法评审的，采购人或采购机构还应当告知未中标人本人的评审得分与排序。</w:t>
      </w:r>
    </w:p>
    <w:p w14:paraId="7CF2BA3C">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b w:val="0"/>
          <w:bCs/>
          <w:color w:val="000000" w:themeColor="text1"/>
          <w:sz w:val="28"/>
          <w:szCs w:val="28"/>
          <w:highlight w:val="none"/>
          <w14:textFill>
            <w14:solidFill>
              <w14:schemeClr w14:val="tx1"/>
            </w14:solidFill>
          </w14:textFill>
        </w:rPr>
      </w:pPr>
      <w:r>
        <w:rPr>
          <w:rFonts w:hint="eastAsia" w:ascii="宋体" w:hAnsi="宋体" w:eastAsia="宋体" w:cs="宋体"/>
          <w:b w:val="0"/>
          <w:bCs/>
          <w:color w:val="000000" w:themeColor="text1"/>
          <w:sz w:val="28"/>
          <w:szCs w:val="28"/>
          <w:highlight w:val="none"/>
          <w14:textFill>
            <w14:solidFill>
              <w14:schemeClr w14:val="tx1"/>
            </w14:solidFill>
          </w14:textFill>
        </w:rPr>
        <w:t>33. 无义务解释未中标原因</w:t>
      </w:r>
    </w:p>
    <w:p w14:paraId="65CA5FBA">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b w:val="0"/>
          <w:bCs/>
          <w:color w:val="000000" w:themeColor="text1"/>
          <w:sz w:val="28"/>
          <w:szCs w:val="28"/>
          <w:highlight w:val="none"/>
          <w14:textFill>
            <w14:solidFill>
              <w14:schemeClr w14:val="tx1"/>
            </w14:solidFill>
          </w14:textFill>
        </w:rPr>
      </w:pPr>
      <w:r>
        <w:rPr>
          <w:rFonts w:hint="eastAsia" w:ascii="宋体" w:hAnsi="宋体" w:eastAsia="宋体" w:cs="宋体"/>
          <w:b w:val="0"/>
          <w:bCs/>
          <w:color w:val="000000" w:themeColor="text1"/>
          <w:sz w:val="28"/>
          <w:szCs w:val="28"/>
          <w:highlight w:val="none"/>
          <w14:textFill>
            <w14:solidFill>
              <w14:schemeClr w14:val="tx1"/>
            </w14:solidFill>
          </w14:textFill>
        </w:rPr>
        <w:t>采购代理机构无义务向未中标的</w:t>
      </w:r>
      <w:r>
        <w:rPr>
          <w:rFonts w:hint="eastAsia" w:ascii="宋体" w:hAnsi="宋体" w:cs="宋体"/>
          <w:b w:val="0"/>
          <w:bCs/>
          <w:color w:val="000000" w:themeColor="text1"/>
          <w:sz w:val="28"/>
          <w:szCs w:val="28"/>
          <w:highlight w:val="none"/>
          <w:lang w:eastAsia="zh-CN"/>
          <w14:textFill>
            <w14:solidFill>
              <w14:schemeClr w14:val="tx1"/>
            </w14:solidFill>
          </w14:textFill>
        </w:rPr>
        <w:t>供应商</w:t>
      </w:r>
      <w:r>
        <w:rPr>
          <w:rFonts w:hint="eastAsia" w:ascii="宋体" w:hAnsi="宋体" w:eastAsia="宋体" w:cs="宋体"/>
          <w:b w:val="0"/>
          <w:bCs/>
          <w:color w:val="000000" w:themeColor="text1"/>
          <w:sz w:val="28"/>
          <w:szCs w:val="28"/>
          <w:highlight w:val="none"/>
          <w14:textFill>
            <w14:solidFill>
              <w14:schemeClr w14:val="tx1"/>
            </w14:solidFill>
          </w14:textFill>
        </w:rPr>
        <w:t>解释未中标原因和退还投标文件。</w:t>
      </w:r>
    </w:p>
    <w:p w14:paraId="6B4C32B3">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34.合同授予标准</w:t>
      </w:r>
    </w:p>
    <w:p w14:paraId="3D7F7094">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合同将授予被确定实质上响应招标文件要求，具备履行合同能力的中标人（招标文件另有约定多名中标人的除外）。</w:t>
      </w:r>
    </w:p>
    <w:p w14:paraId="08BA95B0">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35.履约保证金</w:t>
      </w:r>
    </w:p>
    <w:p w14:paraId="5AE792E8">
      <w:pPr>
        <w:pStyle w:val="108"/>
        <w:keepNext w:val="0"/>
        <w:keepLines w:val="0"/>
        <w:pageBreakBefore w:val="0"/>
        <w:kinsoku/>
        <w:wordWrap/>
        <w:overflowPunct/>
        <w:topLinePunct w:val="0"/>
        <w:bidi w:val="0"/>
        <w:adjustRightInd/>
        <w:snapToGrid/>
        <w:spacing w:before="0" w:line="560" w:lineRule="exact"/>
        <w:ind w:firstLine="560"/>
        <w:jc w:val="both"/>
        <w:rPr>
          <w:rFonts w:hint="eastAsia" w:ascii="宋体" w:hAnsi="宋体" w:eastAsia="宋体" w:cs="宋体"/>
          <w:color w:val="000000" w:themeColor="text1"/>
          <w:kern w:val="0"/>
          <w:sz w:val="28"/>
          <w:szCs w:val="28"/>
          <w:highlight w:val="none"/>
          <w:lang w:val="zh-CN"/>
          <w14:textFill>
            <w14:solidFill>
              <w14:schemeClr w14:val="tx1"/>
            </w14:solidFill>
          </w14:textFill>
        </w:rPr>
      </w:pPr>
      <w:r>
        <w:rPr>
          <w:rFonts w:hint="eastAsia" w:ascii="宋体" w:hAnsi="宋体" w:eastAsia="宋体" w:cs="宋体"/>
          <w:color w:val="000000" w:themeColor="text1"/>
          <w:kern w:val="0"/>
          <w:sz w:val="28"/>
          <w:szCs w:val="28"/>
          <w:highlight w:val="none"/>
          <w:lang w:val="zh-CN"/>
          <w14:textFill>
            <w14:solidFill>
              <w14:schemeClr w14:val="tx1"/>
            </w14:solidFill>
          </w14:textFill>
        </w:rPr>
        <w:t>见“供应商须知前附表”。</w:t>
      </w:r>
    </w:p>
    <w:p w14:paraId="6D8B2D25">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36.签订合同</w:t>
      </w:r>
    </w:p>
    <w:p w14:paraId="4D09EFD7">
      <w:pPr>
        <w:pStyle w:val="108"/>
        <w:keepNext w:val="0"/>
        <w:keepLines w:val="0"/>
        <w:pageBreakBefore w:val="0"/>
        <w:kinsoku/>
        <w:wordWrap/>
        <w:overflowPunct/>
        <w:topLinePunct w:val="0"/>
        <w:bidi w:val="0"/>
        <w:adjustRightInd/>
        <w:snapToGrid/>
        <w:spacing w:before="0" w:line="560" w:lineRule="exact"/>
        <w:ind w:firstLine="562"/>
        <w:jc w:val="both"/>
        <w:rPr>
          <w:rFonts w:hint="eastAsia" w:ascii="宋体" w:hAnsi="宋体" w:eastAsia="宋体" w:cs="宋体"/>
          <w:color w:val="000000" w:themeColor="text1"/>
          <w:kern w:val="0"/>
          <w:sz w:val="28"/>
          <w:szCs w:val="28"/>
          <w:highlight w:val="none"/>
          <w:lang w:val="zh-CN"/>
          <w14:textFill>
            <w14:solidFill>
              <w14:schemeClr w14:val="tx1"/>
            </w14:solidFill>
          </w14:textFill>
        </w:rPr>
      </w:pPr>
      <w:r>
        <w:rPr>
          <w:rFonts w:hint="eastAsia" w:ascii="宋体" w:hAnsi="宋体" w:eastAsia="宋体" w:cs="宋体"/>
          <w:b w:val="0"/>
          <w:bCs/>
          <w:color w:val="000000" w:themeColor="text1"/>
          <w:sz w:val="28"/>
          <w:szCs w:val="28"/>
          <w:highlight w:val="none"/>
          <w14:textFill>
            <w14:solidFill>
              <w14:schemeClr w14:val="tx1"/>
            </w14:solidFill>
          </w14:textFill>
        </w:rPr>
        <w:t xml:space="preserve"> 36.1中标人领取电子中标通知书后，</w:t>
      </w:r>
      <w:r>
        <w:rPr>
          <w:rFonts w:hint="eastAsia" w:ascii="宋体" w:hAnsi="宋体" w:eastAsia="宋体" w:cs="宋体"/>
          <w:color w:val="000000" w:themeColor="text1"/>
          <w:kern w:val="0"/>
          <w:sz w:val="28"/>
          <w:szCs w:val="28"/>
          <w:highlight w:val="none"/>
          <w:lang w:val="zh-CN"/>
          <w14:textFill>
            <w14:solidFill>
              <w14:schemeClr w14:val="tx1"/>
            </w14:solidFill>
          </w14:textFill>
        </w:rPr>
        <w:t>按规定的日期、时间、地点，由法定代表人或其授权代表与采购人代表签订采购合同。如中标人为联合体的，由联合体成员各方法定代表人或其授权代表与采购人代表共同签订合同，签订携带资料详见“供应商须知前附表”。</w:t>
      </w:r>
    </w:p>
    <w:p w14:paraId="25E578A1">
      <w:pPr>
        <w:pStyle w:val="108"/>
        <w:keepNext w:val="0"/>
        <w:keepLines w:val="0"/>
        <w:pageBreakBefore w:val="0"/>
        <w:kinsoku/>
        <w:wordWrap/>
        <w:overflowPunct/>
        <w:topLinePunct w:val="0"/>
        <w:bidi w:val="0"/>
        <w:adjustRightInd/>
        <w:snapToGrid/>
        <w:spacing w:before="0" w:line="560" w:lineRule="exact"/>
        <w:ind w:firstLine="560"/>
        <w:jc w:val="both"/>
        <w:rPr>
          <w:rFonts w:hint="eastAsia" w:ascii="宋体" w:hAnsi="宋体" w:eastAsia="宋体" w:cs="宋体"/>
          <w:color w:val="000000" w:themeColor="text1"/>
          <w:kern w:val="0"/>
          <w:sz w:val="28"/>
          <w:szCs w:val="28"/>
          <w:highlight w:val="none"/>
          <w:lang w:val="zh-CN"/>
          <w14:textFill>
            <w14:solidFill>
              <w14:schemeClr w14:val="tx1"/>
            </w14:solidFill>
          </w14:textFill>
        </w:rPr>
      </w:pPr>
      <w:r>
        <w:rPr>
          <w:rFonts w:hint="eastAsia" w:ascii="宋体" w:hAnsi="宋体" w:eastAsia="宋体" w:cs="宋体"/>
          <w:color w:val="000000" w:themeColor="text1"/>
          <w:kern w:val="0"/>
          <w:sz w:val="28"/>
          <w:szCs w:val="28"/>
          <w:highlight w:val="none"/>
          <w:lang w:val="zh-CN"/>
          <w14:textFill>
            <w14:solidFill>
              <w14:schemeClr w14:val="tx1"/>
            </w14:solidFill>
          </w14:textFill>
        </w:rPr>
        <w:t>36.2</w:t>
      </w:r>
      <w:r>
        <w:rPr>
          <w:rFonts w:hint="eastAsia" w:ascii="宋体" w:hAnsi="宋体" w:eastAsia="宋体" w:cs="宋体"/>
          <w:color w:val="000000" w:themeColor="text1"/>
          <w:sz w:val="28"/>
          <w:szCs w:val="28"/>
          <w:highlight w:val="none"/>
          <w14:textFill>
            <w14:solidFill>
              <w14:schemeClr w14:val="tx1"/>
            </w14:solidFill>
          </w14:textFill>
        </w:rPr>
        <w:t>采购合同由采购人与中标供应商根据招标文件、投标文件等内容通过政府采购电子交易平台在线签订，自动备案。</w:t>
      </w:r>
    </w:p>
    <w:p w14:paraId="5200770D">
      <w:pPr>
        <w:pStyle w:val="108"/>
        <w:keepNext w:val="0"/>
        <w:keepLines w:val="0"/>
        <w:pageBreakBefore w:val="0"/>
        <w:kinsoku/>
        <w:wordWrap/>
        <w:overflowPunct/>
        <w:topLinePunct w:val="0"/>
        <w:bidi w:val="0"/>
        <w:adjustRightInd/>
        <w:snapToGrid/>
        <w:spacing w:before="0" w:line="560" w:lineRule="exact"/>
        <w:ind w:firstLine="56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36.3签订合同时间：按中标通知书规定的时间与采购人签订合同（最长不能超过25日）。</w:t>
      </w:r>
    </w:p>
    <w:p w14:paraId="74D2757C">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36.4中标人拒绝与采购人签订合同的，采购人可以按照评审报告推荐的中标候选人名单排序，确定下一候选人为中标人，也可以重新开展政府采购活动。如采购人无正当理由拒签合同的，给中标供应商造成损失的，中标供应商可追究采购人承担相应的法律责任。</w:t>
      </w:r>
    </w:p>
    <w:p w14:paraId="0A79DD4A">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36.5政府采购合同是政府采购项目验收的依据，中标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79CE5DA8">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36.6采购人或中标供应商不得单方面向合同另一方提出任何招标文件没有约定的条件或不合理的要求，作为签订合同的条件；也不得协商另行订立背离招标文件和合同实质性内容的协议。</w:t>
      </w:r>
    </w:p>
    <w:p w14:paraId="17535355">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36.7如签订合同并生效后，供应商无故拒绝或延期，除按照合同条款处理外，将承担相应的法律责任。</w:t>
      </w:r>
    </w:p>
    <w:p w14:paraId="1B372CA9">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b w:val="0"/>
          <w:bCs/>
          <w:color w:val="000000" w:themeColor="text1"/>
          <w:sz w:val="28"/>
          <w:szCs w:val="28"/>
          <w:highlight w:val="none"/>
          <w14:textFill>
            <w14:solidFill>
              <w14:schemeClr w14:val="tx1"/>
            </w14:solidFill>
          </w14:textFill>
        </w:rPr>
      </w:pPr>
      <w:r>
        <w:rPr>
          <w:rFonts w:hint="eastAsia" w:ascii="宋体" w:hAnsi="宋体" w:eastAsia="宋体" w:cs="宋体"/>
          <w:b w:val="0"/>
          <w:bCs/>
          <w:color w:val="000000" w:themeColor="text1"/>
          <w:sz w:val="28"/>
          <w:szCs w:val="28"/>
          <w:highlight w:val="none"/>
          <w14:textFill>
            <w14:solidFill>
              <w14:schemeClr w14:val="tx1"/>
            </w14:solidFill>
          </w14:textFill>
        </w:rPr>
        <w:t>36.8采购人需追加与合同标的相同的货物或者货物的，在不改变原合同条款且已报财政部门批准落实资金的前提下，可从原中标供应商处添购，所签订的补充添置合同的采购资金总额不超过原采购合同金额的10%。</w:t>
      </w:r>
    </w:p>
    <w:p w14:paraId="413DE34A">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37.政府采购合同公告</w:t>
      </w:r>
    </w:p>
    <w:p w14:paraId="3B0BCC74">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采购人或者受托采购代理机构应当自政府采购合同签订之日起2个工作日内，将政府采购合同</w:t>
      </w:r>
      <w:r>
        <w:rPr>
          <w:rFonts w:hint="eastAsia" w:ascii="宋体" w:hAnsi="宋体" w:eastAsia="宋体" w:cs="宋体"/>
          <w:bCs/>
          <w:color w:val="000000" w:themeColor="text1"/>
          <w:sz w:val="28"/>
          <w:szCs w:val="28"/>
          <w:highlight w:val="none"/>
          <w14:textFill>
            <w14:solidFill>
              <w14:schemeClr w14:val="tx1"/>
            </w14:solidFill>
          </w14:textFill>
        </w:rPr>
        <w:t>在以下媒体上发布</w:t>
      </w:r>
      <w:r>
        <w:rPr>
          <w:rFonts w:hint="eastAsia" w:ascii="宋体" w:hAnsi="宋体" w:eastAsia="宋体" w:cs="宋体"/>
          <w:color w:val="000000" w:themeColor="text1"/>
          <w:kern w:val="0"/>
          <w:sz w:val="28"/>
          <w:szCs w:val="28"/>
          <w:highlight w:val="none"/>
          <w14:textFill>
            <w14:solidFill>
              <w14:schemeClr w14:val="tx1"/>
            </w14:solidFill>
          </w14:textFill>
        </w:rPr>
        <w:t xml:space="preserve"> “新疆政府采购网”（http://www.ccgp-xinjiang.gov.cn）</w:t>
      </w:r>
      <w:r>
        <w:rPr>
          <w:rFonts w:hint="eastAsia" w:ascii="宋体" w:hAnsi="宋体" w:eastAsia="宋体" w:cs="宋体"/>
          <w:color w:val="000000" w:themeColor="text1"/>
          <w:sz w:val="28"/>
          <w:szCs w:val="28"/>
          <w:highlight w:val="none"/>
          <w14:textFill>
            <w14:solidFill>
              <w14:schemeClr w14:val="tx1"/>
            </w14:solidFill>
          </w14:textFill>
        </w:rPr>
        <w:t>上公告，但政府采购合同中涉及国家秘密、商业秘密的内容除外。</w:t>
      </w:r>
    </w:p>
    <w:p w14:paraId="0978A1C9">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38. 询问、质疑和投诉</w:t>
      </w:r>
    </w:p>
    <w:p w14:paraId="5177D0B3">
      <w:pPr>
        <w:keepNext w:val="0"/>
        <w:keepLines w:val="0"/>
        <w:pageBreakBefore w:val="0"/>
        <w:kinsoku/>
        <w:wordWrap/>
        <w:overflowPunct/>
        <w:topLinePunct w:val="0"/>
        <w:bidi w:val="0"/>
        <w:adjustRightInd/>
        <w:snapToGrid/>
        <w:spacing w:line="560" w:lineRule="exact"/>
        <w:ind w:firstLine="562" w:firstLineChars="200"/>
        <w:jc w:val="both"/>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38.1询问</w:t>
      </w:r>
    </w:p>
    <w:p w14:paraId="28D43FCC">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38.1.1供应商在开标前对政府采购活动事项有疑问的，可以向采购人或采购代理机构项目负责人提出询问。</w:t>
      </w:r>
    </w:p>
    <w:p w14:paraId="06DA8596">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38.1.2采购人或采购人委托的采购代理机构自受理询问之日起3个工作日内对供应商依法提出的询问作出答复，</w:t>
      </w:r>
      <w:r>
        <w:rPr>
          <w:rFonts w:hint="eastAsia" w:ascii="宋体" w:hAnsi="宋体" w:eastAsia="宋体" w:cs="宋体"/>
          <w:color w:val="000000" w:themeColor="text1"/>
          <w:sz w:val="28"/>
          <w:szCs w:val="28"/>
          <w:highlight w:val="none"/>
          <w14:textFill>
            <w14:solidFill>
              <w14:schemeClr w14:val="tx1"/>
            </w14:solidFill>
          </w14:textFill>
        </w:rPr>
        <w:t>但答复内容不得涉及商业秘密</w:t>
      </w:r>
      <w:r>
        <w:rPr>
          <w:rFonts w:hint="eastAsia" w:ascii="宋体" w:hAnsi="宋体" w:eastAsia="宋体" w:cs="宋体"/>
          <w:bCs/>
          <w:color w:val="000000" w:themeColor="text1"/>
          <w:sz w:val="28"/>
          <w:szCs w:val="28"/>
          <w:highlight w:val="none"/>
          <w14:textFill>
            <w14:solidFill>
              <w14:schemeClr w14:val="tx1"/>
            </w14:solidFill>
          </w14:textFill>
        </w:rPr>
        <w:t>。</w:t>
      </w:r>
    </w:p>
    <w:p w14:paraId="743568F9">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38.1.3 询问事项可能影响中标、成交结果的，采购人应当暂停签订合同，已经签订合同的，应当中止履行合同。</w:t>
      </w:r>
    </w:p>
    <w:p w14:paraId="6459316F">
      <w:pPr>
        <w:keepNext w:val="0"/>
        <w:keepLines w:val="0"/>
        <w:pageBreakBefore w:val="0"/>
        <w:kinsoku/>
        <w:wordWrap/>
        <w:overflowPunct/>
        <w:topLinePunct w:val="0"/>
        <w:bidi w:val="0"/>
        <w:adjustRightInd/>
        <w:snapToGrid/>
        <w:spacing w:line="560" w:lineRule="exact"/>
        <w:ind w:firstLine="562"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38.2质疑</w:t>
      </w:r>
    </w:p>
    <w:p w14:paraId="2108C6F7">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b w:val="0"/>
          <w:bCs w:val="0"/>
          <w:color w:val="000000" w:themeColor="text1"/>
          <w:sz w:val="28"/>
          <w:szCs w:val="28"/>
          <w:highlight w:val="none"/>
          <w14:textFill>
            <w14:solidFill>
              <w14:schemeClr w14:val="tx1"/>
            </w14:solidFill>
          </w14:textFill>
        </w:rPr>
      </w:pPr>
      <w:r>
        <w:rPr>
          <w:rFonts w:hint="eastAsia" w:ascii="宋体" w:hAnsi="宋体" w:eastAsia="宋体" w:cs="宋体"/>
          <w:b w:val="0"/>
          <w:bCs w:val="0"/>
          <w:color w:val="000000" w:themeColor="text1"/>
          <w:sz w:val="28"/>
          <w:szCs w:val="28"/>
          <w:highlight w:val="none"/>
          <w14:textFill>
            <w14:solidFill>
              <w14:schemeClr w14:val="tx1"/>
            </w14:solidFill>
          </w14:textFill>
        </w:rPr>
        <w:t>38.2.1供应商认为招标文件、采购过程或者中标结果使自己的合法权益受到损害的，必须在知道或者应知其权益受到损害之日起7个工作日内，以书面形式向采购人、采购代理机构提出质疑，质疑有效期结束后，采购人或采购代理机构不再受理该项目质疑。采购人、采购代理机构接收质疑函的方式、联系部门、联系电话和通讯地址等信息详见“</w:t>
      </w:r>
      <w:r>
        <w:rPr>
          <w:rFonts w:hint="eastAsia" w:ascii="宋体" w:hAnsi="宋体" w:cs="宋体"/>
          <w:b w:val="0"/>
          <w:bCs w:val="0"/>
          <w:color w:val="000000" w:themeColor="text1"/>
          <w:sz w:val="28"/>
          <w:szCs w:val="28"/>
          <w:highlight w:val="none"/>
          <w:lang w:eastAsia="zh-CN"/>
          <w14:textFill>
            <w14:solidFill>
              <w14:schemeClr w14:val="tx1"/>
            </w14:solidFill>
          </w14:textFill>
        </w:rPr>
        <w:t>供应商</w:t>
      </w:r>
      <w:r>
        <w:rPr>
          <w:rFonts w:hint="eastAsia" w:ascii="宋体" w:hAnsi="宋体" w:eastAsia="宋体" w:cs="宋体"/>
          <w:b w:val="0"/>
          <w:bCs w:val="0"/>
          <w:color w:val="000000" w:themeColor="text1"/>
          <w:sz w:val="28"/>
          <w:szCs w:val="28"/>
          <w:highlight w:val="none"/>
          <w14:textFill>
            <w14:solidFill>
              <w14:schemeClr w14:val="tx1"/>
            </w14:solidFill>
          </w14:textFill>
        </w:rPr>
        <w:t xml:space="preserve">须知前附表”。具体质疑起算时间及处理方式如下： </w:t>
      </w:r>
    </w:p>
    <w:p w14:paraId="12DE306A">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（1）潜在供应商依法获取公开招标文件后，认为采购文件使自己的权益受到损害的，应当在公开招标文件公告期限届满之日起7个工作日内提出质疑。</w:t>
      </w:r>
      <w:r>
        <w:rPr>
          <w:rFonts w:hint="eastAsia" w:ascii="宋体" w:hAnsi="宋体" w:eastAsia="宋体" w:cs="宋体"/>
          <w:color w:val="000000" w:themeColor="text1"/>
          <w:sz w:val="28"/>
          <w:szCs w:val="28"/>
          <w:highlight w:val="none"/>
          <w14:textFill>
            <w14:solidFill>
              <w14:schemeClr w14:val="tx1"/>
            </w14:solidFill>
          </w14:textFill>
        </w:rPr>
        <w:t>委托代理协议无特殊约定的，</w:t>
      </w:r>
      <w:r>
        <w:rPr>
          <w:rFonts w:hint="eastAsia" w:ascii="宋体" w:hAnsi="宋体" w:eastAsia="宋体" w:cs="宋体"/>
          <w:bCs/>
          <w:color w:val="000000" w:themeColor="text1"/>
          <w:sz w:val="28"/>
          <w:szCs w:val="28"/>
          <w:highlight w:val="none"/>
          <w14:textFill>
            <w14:solidFill>
              <w14:schemeClr w14:val="tx1"/>
            </w14:solidFill>
          </w14:textFill>
        </w:rPr>
        <w:t>对公开招标文件中采购需求（含资格要求、采购预算和评分办法）的质疑由采购人受理并负责答复；对公开招标文件中的采购执行程序的质疑由采购代理机构受理并负责答复。</w:t>
      </w:r>
    </w:p>
    <w:p w14:paraId="42EFCC5D">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2）供应商认为采购过程使自己的权益受到损害的，应当在各采购程序环节结束之日起7个工作日内提出质疑。对采购过程中资格审查、符合性审查等具体评审情况的质疑应向采购人或代理机构提出，由采购人或代理机构受理并负责答复；对采购过程中采购执行程序的质疑由采购代理机构受理并负责答复。</w:t>
      </w:r>
    </w:p>
    <w:p w14:paraId="70BB84D2">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（3）供应商认为中标或者成交结果使自己的权益受到损害的，应当在中标或者成交结果公告期限届满之日起7个工作日内提出质疑，由采购人受理并负责答复。</w:t>
      </w:r>
    </w:p>
    <w:p w14:paraId="33878C4C">
      <w:pPr>
        <w:keepNext w:val="0"/>
        <w:keepLines w:val="0"/>
        <w:pageBreakBefore w:val="0"/>
        <w:kinsoku/>
        <w:wordWrap/>
        <w:overflowPunct/>
        <w:topLinePunct w:val="0"/>
        <w:bidi w:val="0"/>
        <w:adjustRightInd/>
        <w:snapToGrid/>
        <w:spacing w:line="560" w:lineRule="exact"/>
        <w:ind w:firstLine="562" w:firstLineChars="200"/>
        <w:jc w:val="both"/>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t>38.2.2</w:t>
      </w:r>
      <w:r>
        <w:rPr>
          <w:rFonts w:hint="eastAsia" w:ascii="宋体" w:hAnsi="宋体" w:eastAsia="宋体" w:cs="宋体"/>
          <w:bCs/>
          <w:color w:val="000000" w:themeColor="text1"/>
          <w:sz w:val="28"/>
          <w:szCs w:val="28"/>
          <w:highlight w:val="none"/>
          <w14:textFill>
            <w14:solidFill>
              <w14:schemeClr w14:val="tx1"/>
            </w14:solidFill>
          </w14:textFill>
        </w:rPr>
        <w:t>供应商质疑实行实名制，其质疑应当有具体的质疑事项及事实根据，质疑应当坚持依法依规、诚实信用原则，不得进行虚假、恶意质疑。</w:t>
      </w:r>
    </w:p>
    <w:p w14:paraId="5B6A263D">
      <w:pPr>
        <w:keepNext w:val="0"/>
        <w:keepLines w:val="0"/>
        <w:pageBreakBefore w:val="0"/>
        <w:kinsoku/>
        <w:wordWrap/>
        <w:overflowPunct/>
        <w:topLinePunct w:val="0"/>
        <w:bidi w:val="0"/>
        <w:adjustRightInd/>
        <w:snapToGrid/>
        <w:spacing w:line="560" w:lineRule="exact"/>
        <w:ind w:firstLine="562" w:firstLineChars="200"/>
        <w:jc w:val="both"/>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t>38.2.3</w:t>
      </w:r>
      <w:r>
        <w:rPr>
          <w:rFonts w:hint="eastAsia" w:ascii="宋体" w:hAnsi="宋体" w:eastAsia="宋体" w:cs="宋体"/>
          <w:bCs/>
          <w:color w:val="000000" w:themeColor="text1"/>
          <w:sz w:val="28"/>
          <w:szCs w:val="28"/>
          <w:highlight w:val="none"/>
          <w14:textFill>
            <w14:solidFill>
              <w14:schemeClr w14:val="tx1"/>
            </w14:solidFill>
          </w14:textFill>
        </w:rPr>
        <w:t xml:space="preserve"> 质疑供应商可以委托代理人办理质疑事务。委托代理人应熟悉相关业务情况。代理人办理质疑事务时，除提交质疑书外，还应当提交质疑供应商的授权委托书和委托代理人身份证明复印件</w:t>
      </w:r>
      <w:r>
        <w:rPr>
          <w:rFonts w:hint="eastAsia" w:ascii="宋体" w:hAnsi="宋体" w:eastAsia="宋体" w:cs="宋体"/>
          <w:color w:val="000000" w:themeColor="text1"/>
          <w:sz w:val="28"/>
          <w:szCs w:val="28"/>
          <w:highlight w:val="none"/>
          <w14:textFill>
            <w14:solidFill>
              <w14:schemeClr w14:val="tx1"/>
            </w14:solidFill>
          </w14:textFill>
        </w:rPr>
        <w:t>。</w:t>
      </w:r>
    </w:p>
    <w:p w14:paraId="0016C37B">
      <w:pPr>
        <w:keepNext w:val="0"/>
        <w:keepLines w:val="0"/>
        <w:pageBreakBefore w:val="0"/>
        <w:kinsoku/>
        <w:wordWrap/>
        <w:overflowPunct/>
        <w:topLinePunct w:val="0"/>
        <w:bidi w:val="0"/>
        <w:adjustRightInd/>
        <w:snapToGrid/>
        <w:spacing w:line="560" w:lineRule="exact"/>
        <w:ind w:firstLine="562" w:firstLineChars="200"/>
        <w:jc w:val="both"/>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t>38.2.4 质疑供应商提起质疑应当符合下列条件：</w:t>
      </w:r>
    </w:p>
    <w:p w14:paraId="2783BCFF">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（1）质疑供应商是参与所质疑项目采购活动的供应商（潜在供应商已依法获取可之一的采购文件的，可以对该采购文件质疑）；</w:t>
      </w:r>
    </w:p>
    <w:p w14:paraId="1179143A">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（2）质疑函内容符合本章第38.2.5项的规定；</w:t>
      </w:r>
    </w:p>
    <w:p w14:paraId="25C2F832">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（3）在质疑有效期限内提起质疑；</w:t>
      </w:r>
    </w:p>
    <w:p w14:paraId="1B85995C">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（4）属于所质疑的采购人或采购人委托的采购代理机构组织的采购活动；</w:t>
      </w:r>
    </w:p>
    <w:p w14:paraId="33C8C61D">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 xml:space="preserve">（5）同一质疑事项未经采购人或采购人委托的采购代理机构质疑处理； </w:t>
      </w:r>
    </w:p>
    <w:p w14:paraId="4D64DE7B">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（6）供应商对同一采购程序环节的质疑应当在质疑有效期内一次性提出；</w:t>
      </w:r>
    </w:p>
    <w:p w14:paraId="01949F26">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（7）供应商提交质疑应当提交必要的证明材料，证明材料应以合法手段取得；</w:t>
      </w:r>
    </w:p>
    <w:p w14:paraId="179C4AAC">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（8）财政部门规定的其他条件。</w:t>
      </w:r>
    </w:p>
    <w:p w14:paraId="4015426E">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 38.2.5 </w:t>
      </w:r>
      <w:r>
        <w:rPr>
          <w:rFonts w:hint="eastAsia" w:ascii="宋体" w:hAnsi="宋体" w:eastAsia="宋体" w:cs="宋体"/>
          <w:bCs/>
          <w:color w:val="000000" w:themeColor="text1"/>
          <w:sz w:val="28"/>
          <w:szCs w:val="28"/>
          <w:highlight w:val="none"/>
          <w14:textFill>
            <w14:solidFill>
              <w14:schemeClr w14:val="tx1"/>
            </w14:solidFill>
          </w14:textFill>
        </w:rPr>
        <w:t>供应商提出质疑应当提交质疑函和必要的证明材料，针对同一采购程序环节的质疑必须在法定质疑期内一次性提出。质疑函应当包括下列内容（质疑函格式后附）：</w:t>
      </w:r>
    </w:p>
    <w:p w14:paraId="5F94E386">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（1）供应商的姓名或者名称、地址、邮编、联系人及联系电话；</w:t>
      </w:r>
    </w:p>
    <w:p w14:paraId="1B40F9CD">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（2）质疑项目的名称、编号；</w:t>
      </w:r>
    </w:p>
    <w:p w14:paraId="7B3C2A08">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（3）具体、明确的质疑事项和与质疑事项相关的请求；</w:t>
      </w:r>
    </w:p>
    <w:p w14:paraId="7AF395D1">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（4）事实依据（列明权益受到损害的事实和理由）；</w:t>
      </w:r>
    </w:p>
    <w:p w14:paraId="257965C4">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（5）必要的法律依据；</w:t>
      </w:r>
    </w:p>
    <w:p w14:paraId="29E33EDB">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（6）提出质疑的日期。</w:t>
      </w:r>
    </w:p>
    <w:p w14:paraId="7F6DA524">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供应商为自然人的，应当由本人签字；供应商为法人或者其他组织的，应当由法定代表人、主要负责人，或者其委托代理人签字或者盖章，并加盖公章。</w:t>
      </w:r>
    </w:p>
    <w:p w14:paraId="7D20F138">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b w:val="0"/>
          <w:bCs/>
          <w:color w:val="000000" w:themeColor="text1"/>
          <w:sz w:val="28"/>
          <w:szCs w:val="28"/>
          <w:highlight w:val="none"/>
          <w14:textFill>
            <w14:solidFill>
              <w14:schemeClr w14:val="tx1"/>
            </w14:solidFill>
          </w14:textFill>
        </w:rPr>
      </w:pPr>
      <w:r>
        <w:rPr>
          <w:rFonts w:hint="eastAsia" w:ascii="宋体" w:hAnsi="宋体" w:eastAsia="宋体" w:cs="宋体"/>
          <w:b w:val="0"/>
          <w:bCs/>
          <w:color w:val="000000" w:themeColor="text1"/>
          <w:sz w:val="28"/>
          <w:szCs w:val="28"/>
          <w:highlight w:val="none"/>
          <w14:textFill>
            <w14:solidFill>
              <w14:schemeClr w14:val="tx1"/>
            </w14:solidFill>
          </w14:textFill>
        </w:rPr>
        <w:t>38.2.6采购人或采购人委托的采购代理机构在收到质疑函后7个工作日内作出答复，并以书面形式通知质疑供应商及其他有关供应商。对不符合质疑条件的质疑，答复不予受理，并说明理由；对符合质疑条件的质疑，对质疑事项作出答复</w:t>
      </w:r>
    </w:p>
    <w:p w14:paraId="19FDE720">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3</w:t>
      </w:r>
      <w:r>
        <w:rPr>
          <w:rFonts w:hint="eastAsia" w:ascii="宋体" w:hAnsi="宋体" w:eastAsia="宋体" w:cs="宋体"/>
          <w:bCs/>
          <w:color w:val="000000" w:themeColor="text1"/>
          <w:sz w:val="28"/>
          <w:szCs w:val="28"/>
          <w:highlight w:val="none"/>
          <w14:textFill>
            <w14:solidFill>
              <w14:schemeClr w14:val="tx1"/>
            </w14:solidFill>
          </w14:textFill>
        </w:rPr>
        <w:t>8.2.7采购人、采购代理机构认为供应商质疑不成立，或者成立但未对中标结果构成影响的，继续开展采购活动；认为供应商质疑成立且影响或者可能影响中标结果的，按照下列情况处理：</w:t>
      </w:r>
    </w:p>
    <w:p w14:paraId="17C3E6C4">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　　（一）对招标文件提出的质疑，依法通过澄清或者修改可以继续开展采购活动的，澄清或者修改招标文件后继续开展采购活动；否则应当修改招标文件后重新开展采购活动。</w:t>
      </w:r>
    </w:p>
    <w:p w14:paraId="16B7FFD3">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　　（二）对采购过程、中标结果提出的质疑，合格供应商符合法定数量时，可以从合格的中标候选人中另行确定中标供应商的，应当依法另行确定中标供应商；否则应当重新开展采购活动。</w:t>
      </w:r>
    </w:p>
    <w:p w14:paraId="69CA259E">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质疑答复导致中标结果改变的，采购人或者采购代理机构应当将有关情况书面报告本级财政部门。</w:t>
      </w:r>
    </w:p>
    <w:p w14:paraId="32DB8A70">
      <w:pPr>
        <w:keepNext w:val="0"/>
        <w:keepLines w:val="0"/>
        <w:pageBreakBefore w:val="0"/>
        <w:kinsoku/>
        <w:wordWrap/>
        <w:overflowPunct/>
        <w:topLinePunct w:val="0"/>
        <w:bidi w:val="0"/>
        <w:adjustRightInd/>
        <w:snapToGrid/>
        <w:spacing w:line="560" w:lineRule="exact"/>
        <w:ind w:firstLine="562" w:firstLineChars="200"/>
        <w:jc w:val="both"/>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38.3投诉</w:t>
      </w:r>
    </w:p>
    <w:p w14:paraId="27586740">
      <w:pPr>
        <w:keepNext w:val="0"/>
        <w:keepLines w:val="0"/>
        <w:pageBreakBefore w:val="0"/>
        <w:kinsoku/>
        <w:wordWrap/>
        <w:overflowPunct/>
        <w:topLinePunct w:val="0"/>
        <w:bidi w:val="0"/>
        <w:adjustRightInd/>
        <w:snapToGrid/>
        <w:spacing w:line="560" w:lineRule="exact"/>
        <w:ind w:firstLine="562" w:firstLineChars="200"/>
        <w:jc w:val="both"/>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38.3</w:t>
      </w:r>
      <w:r>
        <w:rPr>
          <w:rFonts w:hint="eastAsia" w:ascii="宋体" w:hAnsi="宋体" w:eastAsia="宋体" w:cs="宋体"/>
          <w:bCs/>
          <w:color w:val="000000" w:themeColor="text1"/>
          <w:sz w:val="28"/>
          <w:szCs w:val="28"/>
          <w:highlight w:val="none"/>
          <w14:textFill>
            <w14:solidFill>
              <w14:schemeClr w14:val="tx1"/>
            </w14:solidFill>
          </w14:textFill>
        </w:rPr>
        <w:t>.</w:t>
      </w:r>
      <w:r>
        <w:rPr>
          <w:rFonts w:hint="eastAsia" w:ascii="宋体" w:hAnsi="宋体" w:eastAsia="宋体" w:cs="宋体"/>
          <w:b/>
          <w:bCs/>
          <w:color w:val="000000" w:themeColor="text1"/>
          <w:sz w:val="28"/>
          <w:szCs w:val="28"/>
          <w:highlight w:val="none"/>
          <w14:textFill>
            <w14:solidFill>
              <w14:schemeClr w14:val="tx1"/>
            </w14:solidFill>
          </w14:textFill>
        </w:rPr>
        <w:t xml:space="preserve">1 </w:t>
      </w:r>
      <w:r>
        <w:rPr>
          <w:rFonts w:hint="eastAsia" w:ascii="宋体" w:hAnsi="宋体" w:eastAsia="宋体" w:cs="宋体"/>
          <w:bCs/>
          <w:color w:val="000000" w:themeColor="text1"/>
          <w:sz w:val="28"/>
          <w:szCs w:val="28"/>
          <w:highlight w:val="none"/>
          <w14:textFill>
            <w14:solidFill>
              <w14:schemeClr w14:val="tx1"/>
            </w14:solidFill>
          </w14:textFill>
        </w:rPr>
        <w:t xml:space="preserve"> 供应商认为采购文件、采购过程、中标和成交结果使自己的合法权益受到损害的，应当首先依法向采购人或采购人委托的</w:t>
      </w:r>
      <w:r>
        <w:rPr>
          <w:rFonts w:hint="eastAsia" w:ascii="宋体" w:hAnsi="宋体" w:eastAsia="宋体" w:cs="宋体"/>
          <w:color w:val="000000" w:themeColor="text1"/>
          <w:sz w:val="28"/>
          <w:szCs w:val="28"/>
          <w:highlight w:val="none"/>
          <w14:textFill>
            <w14:solidFill>
              <w14:schemeClr w14:val="tx1"/>
            </w14:solidFill>
          </w14:textFill>
        </w:rPr>
        <w:t>采购代理机构</w:t>
      </w:r>
      <w:r>
        <w:rPr>
          <w:rFonts w:hint="eastAsia" w:ascii="宋体" w:hAnsi="宋体" w:eastAsia="宋体" w:cs="宋体"/>
          <w:bCs/>
          <w:color w:val="000000" w:themeColor="text1"/>
          <w:sz w:val="28"/>
          <w:szCs w:val="28"/>
          <w:highlight w:val="none"/>
          <w14:textFill>
            <w14:solidFill>
              <w14:schemeClr w14:val="tx1"/>
            </w14:solidFill>
          </w14:textFill>
        </w:rPr>
        <w:t>提出质疑。对采购人、</w:t>
      </w:r>
      <w:r>
        <w:rPr>
          <w:rFonts w:hint="eastAsia" w:ascii="宋体" w:hAnsi="宋体" w:eastAsia="宋体" w:cs="宋体"/>
          <w:color w:val="000000" w:themeColor="text1"/>
          <w:sz w:val="28"/>
          <w:szCs w:val="28"/>
          <w:highlight w:val="none"/>
          <w14:textFill>
            <w14:solidFill>
              <w14:schemeClr w14:val="tx1"/>
            </w14:solidFill>
          </w14:textFill>
        </w:rPr>
        <w:t>采购代理机构</w:t>
      </w:r>
      <w:r>
        <w:rPr>
          <w:rFonts w:hint="eastAsia" w:ascii="宋体" w:hAnsi="宋体" w:eastAsia="宋体" w:cs="宋体"/>
          <w:bCs/>
          <w:color w:val="000000" w:themeColor="text1"/>
          <w:sz w:val="28"/>
          <w:szCs w:val="28"/>
          <w:highlight w:val="none"/>
          <w14:textFill>
            <w14:solidFill>
              <w14:schemeClr w14:val="tx1"/>
            </w14:solidFill>
          </w14:textFill>
        </w:rPr>
        <w:t>的答复不满意，或者采购人、</w:t>
      </w:r>
      <w:r>
        <w:rPr>
          <w:rFonts w:hint="eastAsia" w:ascii="宋体" w:hAnsi="宋体" w:eastAsia="宋体" w:cs="宋体"/>
          <w:color w:val="000000" w:themeColor="text1"/>
          <w:sz w:val="28"/>
          <w:szCs w:val="28"/>
          <w:highlight w:val="none"/>
          <w14:textFill>
            <w14:solidFill>
              <w14:schemeClr w14:val="tx1"/>
            </w14:solidFill>
          </w14:textFill>
        </w:rPr>
        <w:t>采购代理机构</w:t>
      </w:r>
      <w:r>
        <w:rPr>
          <w:rFonts w:hint="eastAsia" w:ascii="宋体" w:hAnsi="宋体" w:eastAsia="宋体" w:cs="宋体"/>
          <w:bCs/>
          <w:color w:val="000000" w:themeColor="text1"/>
          <w:sz w:val="28"/>
          <w:szCs w:val="28"/>
          <w:highlight w:val="none"/>
          <w14:textFill>
            <w14:solidFill>
              <w14:schemeClr w14:val="tx1"/>
            </w14:solidFill>
          </w14:textFill>
        </w:rPr>
        <w:t>未在规定期限内做出答复的，供应商可以在答复期满后15个工作日内向哈密市政府采购监督管理部门提起投诉，投诉联系方式见“</w:t>
      </w:r>
      <w:r>
        <w:rPr>
          <w:rFonts w:hint="eastAsia" w:ascii="宋体" w:hAnsi="宋体" w:cs="宋体"/>
          <w:bCs/>
          <w:color w:val="000000" w:themeColor="text1"/>
          <w:sz w:val="28"/>
          <w:szCs w:val="28"/>
          <w:highlight w:val="none"/>
          <w:lang w:eastAsia="zh-CN"/>
          <w14:textFill>
            <w14:solidFill>
              <w14:schemeClr w14:val="tx1"/>
            </w14:solidFill>
          </w14:textFill>
        </w:rPr>
        <w:t>供应商</w:t>
      </w:r>
      <w:r>
        <w:rPr>
          <w:rFonts w:hint="eastAsia" w:ascii="宋体" w:hAnsi="宋体" w:eastAsia="宋体" w:cs="宋体"/>
          <w:bCs/>
          <w:color w:val="000000" w:themeColor="text1"/>
          <w:sz w:val="28"/>
          <w:szCs w:val="28"/>
          <w:highlight w:val="none"/>
          <w14:textFill>
            <w14:solidFill>
              <w14:schemeClr w14:val="tx1"/>
            </w14:solidFill>
          </w14:textFill>
        </w:rPr>
        <w:t>须知前附表”。</w:t>
      </w:r>
    </w:p>
    <w:p w14:paraId="1E7EDB90">
      <w:pPr>
        <w:keepNext w:val="0"/>
        <w:keepLines w:val="0"/>
        <w:pageBreakBefore w:val="0"/>
        <w:kinsoku/>
        <w:wordWrap/>
        <w:overflowPunct/>
        <w:topLinePunct w:val="0"/>
        <w:bidi w:val="0"/>
        <w:adjustRightInd/>
        <w:snapToGrid/>
        <w:spacing w:line="560" w:lineRule="exact"/>
        <w:ind w:firstLine="562" w:firstLineChars="200"/>
        <w:jc w:val="both"/>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 xml:space="preserve">38.3.2 </w:t>
      </w:r>
      <w:r>
        <w:rPr>
          <w:rFonts w:hint="eastAsia" w:ascii="宋体" w:hAnsi="宋体" w:eastAsia="宋体" w:cs="宋体"/>
          <w:color w:val="000000" w:themeColor="text1"/>
          <w:sz w:val="28"/>
          <w:szCs w:val="28"/>
          <w:highlight w:val="none"/>
          <w14:textFill>
            <w14:solidFill>
              <w14:schemeClr w14:val="tx1"/>
            </w14:solidFill>
          </w14:textFill>
        </w:rPr>
        <w:t xml:space="preserve"> 投诉人投诉时，应当提交投诉书，并按照被投诉采购人、采购代理机构和与投诉事项有关的供应商数量提供投诉书的副本。投诉书应当包括下列主要内容（如材料中有外文资料应同时附上对应的中文译本）</w:t>
      </w:r>
      <w:r>
        <w:rPr>
          <w:rFonts w:hint="eastAsia" w:ascii="宋体" w:hAnsi="宋体" w:eastAsia="宋体" w:cs="宋体"/>
          <w:bCs/>
          <w:color w:val="000000" w:themeColor="text1"/>
          <w:sz w:val="28"/>
          <w:szCs w:val="28"/>
          <w:highlight w:val="none"/>
          <w14:textFill>
            <w14:solidFill>
              <w14:schemeClr w14:val="tx1"/>
            </w14:solidFill>
          </w14:textFill>
        </w:rPr>
        <w:t>（投诉书格式后附）</w:t>
      </w:r>
      <w:r>
        <w:rPr>
          <w:rFonts w:hint="eastAsia" w:ascii="宋体" w:hAnsi="宋体" w:eastAsia="宋体" w:cs="宋体"/>
          <w:color w:val="000000" w:themeColor="text1"/>
          <w:sz w:val="28"/>
          <w:szCs w:val="28"/>
          <w:highlight w:val="none"/>
          <w14:textFill>
            <w14:solidFill>
              <w14:schemeClr w14:val="tx1"/>
            </w14:solidFill>
          </w14:textFill>
        </w:rPr>
        <w:t>：</w:t>
      </w:r>
    </w:p>
    <w:p w14:paraId="07594E82">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（1）投诉人和被投诉人的名称、地址、邮编、联系人及联系电话等； </w:t>
      </w:r>
    </w:p>
    <w:p w14:paraId="2AA1E4F2">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（2）质疑和质疑答复情况及相关证明材料； </w:t>
      </w:r>
    </w:p>
    <w:p w14:paraId="33F12261">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（3）具体、明确的投诉事项和与投诉事项相关的投诉请求；</w:t>
      </w:r>
    </w:p>
    <w:p w14:paraId="299A635D">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（4）事实依据；</w:t>
      </w:r>
    </w:p>
    <w:p w14:paraId="726AA17F">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（5）法律依据；</w:t>
      </w:r>
    </w:p>
    <w:p w14:paraId="1095F1A3">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（6）提起投诉的日期。</w:t>
      </w:r>
    </w:p>
    <w:p w14:paraId="5A9A2751">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（7）附件材料：营业执照副本内页复印件（要求证件有效并清晰反映企业法人经营范围；近期连续三个月依法缴纳税收和在职职工社会保障资金证明材料（复印件）。</w:t>
      </w:r>
      <w:r>
        <w:rPr>
          <w:rFonts w:hint="eastAsia" w:ascii="宋体" w:hAnsi="宋体" w:eastAsia="宋体" w:cs="宋体"/>
          <w:color w:val="000000" w:themeColor="text1"/>
          <w:sz w:val="28"/>
          <w:szCs w:val="28"/>
          <w:highlight w:val="none"/>
          <w14:textFill>
            <w14:solidFill>
              <w14:schemeClr w14:val="tx1"/>
            </w14:solidFill>
          </w14:textFill>
        </w:rPr>
        <w:tab/>
      </w:r>
    </w:p>
    <w:p w14:paraId="7829A0CF">
      <w:pPr>
        <w:keepNext w:val="0"/>
        <w:keepLines w:val="0"/>
        <w:pageBreakBefore w:val="0"/>
        <w:kinsoku/>
        <w:wordWrap/>
        <w:overflowPunct/>
        <w:topLinePunct w:val="0"/>
        <w:bidi w:val="0"/>
        <w:adjustRightInd/>
        <w:snapToGrid/>
        <w:spacing w:line="560" w:lineRule="exact"/>
        <w:ind w:firstLine="562" w:firstLineChars="200"/>
        <w:jc w:val="both"/>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 xml:space="preserve">38.3.3  </w:t>
      </w:r>
      <w:r>
        <w:rPr>
          <w:rFonts w:hint="eastAsia" w:ascii="宋体" w:hAnsi="宋体" w:eastAsia="宋体" w:cs="宋体"/>
          <w:color w:val="000000" w:themeColor="text1"/>
          <w:sz w:val="28"/>
          <w:szCs w:val="28"/>
          <w:highlight w:val="none"/>
          <w14:textFill>
            <w14:solidFill>
              <w14:schemeClr w14:val="tx1"/>
            </w14:solidFill>
          </w14:textFill>
        </w:rPr>
        <w:t>投诉人可以委托代理人办理投诉事务。</w:t>
      </w:r>
      <w:r>
        <w:rPr>
          <w:rFonts w:hint="eastAsia" w:ascii="宋体" w:hAnsi="宋体" w:eastAsia="宋体" w:cs="宋体"/>
          <w:bCs/>
          <w:color w:val="000000" w:themeColor="text1"/>
          <w:sz w:val="28"/>
          <w:szCs w:val="28"/>
          <w:highlight w:val="none"/>
          <w14:textFill>
            <w14:solidFill>
              <w14:schemeClr w14:val="tx1"/>
            </w14:solidFill>
          </w14:textFill>
        </w:rPr>
        <w:t>委托代理人应熟悉相关业务情况。</w:t>
      </w:r>
      <w:r>
        <w:rPr>
          <w:rFonts w:hint="eastAsia" w:ascii="宋体" w:hAnsi="宋体" w:eastAsia="宋体" w:cs="宋体"/>
          <w:color w:val="000000" w:themeColor="text1"/>
          <w:sz w:val="28"/>
          <w:szCs w:val="28"/>
          <w:highlight w:val="none"/>
          <w14:textFill>
            <w14:solidFill>
              <w14:schemeClr w14:val="tx1"/>
            </w14:solidFill>
          </w14:textFill>
        </w:rPr>
        <w:t>代理人办理投诉事务时，除提交投诉书外，还应当提交投诉人的授权委托书和委托代理人身份证明复印件。</w:t>
      </w:r>
    </w:p>
    <w:p w14:paraId="2D246902">
      <w:pPr>
        <w:keepNext w:val="0"/>
        <w:keepLines w:val="0"/>
        <w:pageBreakBefore w:val="0"/>
        <w:kinsoku/>
        <w:wordWrap/>
        <w:overflowPunct/>
        <w:topLinePunct w:val="0"/>
        <w:bidi w:val="0"/>
        <w:adjustRightInd/>
        <w:snapToGrid/>
        <w:spacing w:line="560" w:lineRule="exact"/>
        <w:ind w:firstLine="562"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38.3.4</w:t>
      </w:r>
      <w:r>
        <w:rPr>
          <w:rFonts w:hint="eastAsia" w:ascii="宋体" w:hAnsi="宋体" w:eastAsia="宋体" w:cs="宋体"/>
          <w:color w:val="000000" w:themeColor="text1"/>
          <w:sz w:val="28"/>
          <w:szCs w:val="28"/>
          <w:highlight w:val="none"/>
          <w14:textFill>
            <w14:solidFill>
              <w14:schemeClr w14:val="tx1"/>
            </w14:solidFill>
          </w14:textFill>
        </w:rPr>
        <w:t xml:space="preserve">  投诉人提起投诉应当符合下列条件：</w:t>
      </w:r>
    </w:p>
    <w:p w14:paraId="24F3EE09">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（1）投诉人是参与所投诉政府采购活动的供应商；</w:t>
      </w:r>
    </w:p>
    <w:p w14:paraId="7F0806C9">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（2）提起投诉前已依法进行质疑；</w:t>
      </w:r>
    </w:p>
    <w:p w14:paraId="23A7D977">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（3）投诉书内容符合本章第38.3.2项的规定；</w:t>
      </w:r>
    </w:p>
    <w:p w14:paraId="42A55BA4">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（4）在投诉有效期限内提起投诉；</w:t>
      </w:r>
    </w:p>
    <w:p w14:paraId="0CE643C5">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（5）属于哈密市伊州区政府采购监督管理部门管辖；</w:t>
      </w:r>
    </w:p>
    <w:p w14:paraId="672D93BB">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（6）同一投诉事项未经</w:t>
      </w:r>
      <w:r>
        <w:rPr>
          <w:rFonts w:hint="eastAsia" w:ascii="宋体" w:hAnsi="宋体" w:eastAsia="宋体" w:cs="宋体"/>
          <w:bCs/>
          <w:color w:val="000000" w:themeColor="text1"/>
          <w:sz w:val="28"/>
          <w:szCs w:val="28"/>
          <w:highlight w:val="none"/>
          <w14:textFill>
            <w14:solidFill>
              <w14:schemeClr w14:val="tx1"/>
            </w14:solidFill>
          </w14:textFill>
        </w:rPr>
        <w:t>政府采购监督管理部门</w:t>
      </w:r>
      <w:r>
        <w:rPr>
          <w:rFonts w:hint="eastAsia" w:ascii="宋体" w:hAnsi="宋体" w:eastAsia="宋体" w:cs="宋体"/>
          <w:color w:val="000000" w:themeColor="text1"/>
          <w:sz w:val="28"/>
          <w:szCs w:val="28"/>
          <w:highlight w:val="none"/>
          <w14:textFill>
            <w14:solidFill>
              <w14:schemeClr w14:val="tx1"/>
            </w14:solidFill>
          </w14:textFill>
        </w:rPr>
        <w:t>投诉处理；</w:t>
      </w:r>
    </w:p>
    <w:p w14:paraId="69E844C0">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（7）国务院财政部门规定的其他条件。</w:t>
      </w:r>
    </w:p>
    <w:p w14:paraId="71860D47">
      <w:pPr>
        <w:keepNext w:val="0"/>
        <w:keepLines w:val="0"/>
        <w:pageBreakBefore w:val="0"/>
        <w:kinsoku/>
        <w:wordWrap/>
        <w:overflowPunct/>
        <w:topLinePunct w:val="0"/>
        <w:bidi w:val="0"/>
        <w:adjustRightInd/>
        <w:snapToGrid/>
        <w:spacing w:line="560" w:lineRule="exact"/>
        <w:ind w:firstLine="562"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38.3.5</w:t>
      </w:r>
      <w:r>
        <w:rPr>
          <w:rFonts w:hint="eastAsia" w:ascii="宋体" w:hAnsi="宋体" w:eastAsia="宋体" w:cs="宋体"/>
          <w:color w:val="000000" w:themeColor="text1"/>
          <w:sz w:val="28"/>
          <w:szCs w:val="28"/>
          <w:highlight w:val="none"/>
          <w14:textFill>
            <w14:solidFill>
              <w14:schemeClr w14:val="tx1"/>
            </w14:solidFill>
          </w14:textFill>
        </w:rPr>
        <w:t xml:space="preserve">  政府采购监督管理部门自受理投诉之日起30个工作日内，对投诉事项作出处理决定，并以书面形式通知投诉人、被投诉人及其他与投诉处理结果有利害关系的政府采购当事人。并将投诉结果在新疆政府采购网（http://www.ccgp-xinjiang.gov.cn）发布。</w:t>
      </w:r>
    </w:p>
    <w:p w14:paraId="756C3D47">
      <w:pPr>
        <w:keepNext w:val="0"/>
        <w:keepLines w:val="0"/>
        <w:pageBreakBefore w:val="0"/>
        <w:kinsoku/>
        <w:wordWrap/>
        <w:overflowPunct/>
        <w:topLinePunct w:val="0"/>
        <w:bidi w:val="0"/>
        <w:adjustRightInd/>
        <w:snapToGrid/>
        <w:spacing w:line="560" w:lineRule="exact"/>
        <w:ind w:firstLine="562"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38.3.6</w:t>
      </w:r>
      <w:r>
        <w:rPr>
          <w:rFonts w:hint="eastAsia" w:ascii="宋体" w:hAnsi="宋体" w:eastAsia="宋体" w:cs="宋体"/>
          <w:color w:val="000000" w:themeColor="text1"/>
          <w:sz w:val="28"/>
          <w:szCs w:val="28"/>
          <w:highlight w:val="none"/>
          <w14:textFill>
            <w14:solidFill>
              <w14:schemeClr w14:val="tx1"/>
            </w14:solidFill>
          </w14:textFill>
        </w:rPr>
        <w:t xml:space="preserve">  哈密市伊州区政府采购监督管理部门在处理投诉事项期间，可以视具体情况暂停采购活动。</w:t>
      </w:r>
    </w:p>
    <w:p w14:paraId="6F2E1FBB">
      <w:pPr>
        <w:pStyle w:val="4"/>
        <w:keepNext w:val="0"/>
        <w:keepLines w:val="0"/>
        <w:pageBreakBefore w:val="0"/>
        <w:kinsoku/>
        <w:wordWrap/>
        <w:overflowPunct/>
        <w:topLinePunct w:val="0"/>
        <w:bidi w:val="0"/>
        <w:adjustRightInd/>
        <w:snapToGrid/>
        <w:spacing w:line="560" w:lineRule="exact"/>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八、验收</w:t>
      </w:r>
    </w:p>
    <w:p w14:paraId="16E055A6">
      <w:pPr>
        <w:keepNext w:val="0"/>
        <w:keepLines w:val="0"/>
        <w:pageBreakBefore w:val="0"/>
        <w:kinsoku/>
        <w:wordWrap/>
        <w:overflowPunct/>
        <w:topLinePunct w:val="0"/>
        <w:bidi w:val="0"/>
        <w:adjustRightInd/>
        <w:snapToGrid/>
        <w:spacing w:line="560" w:lineRule="exact"/>
        <w:ind w:firstLine="562" w:firstLineChars="200"/>
        <w:jc w:val="both"/>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39.验收</w:t>
      </w:r>
    </w:p>
    <w:p w14:paraId="6D88C284">
      <w:pPr>
        <w:keepNext w:val="0"/>
        <w:keepLines w:val="0"/>
        <w:pageBreakBefore w:val="0"/>
        <w:tabs>
          <w:tab w:val="left" w:pos="0"/>
        </w:tabs>
        <w:kinsoku/>
        <w:wordWrap/>
        <w:overflowPunct/>
        <w:topLinePunct w:val="0"/>
        <w:bidi w:val="0"/>
        <w:adjustRightInd/>
        <w:snapToGrid/>
        <w:spacing w:line="560" w:lineRule="exact"/>
        <w:ind w:firstLine="48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39.1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F5D8418">
      <w:pPr>
        <w:keepNext w:val="0"/>
        <w:keepLines w:val="0"/>
        <w:pageBreakBefore w:val="0"/>
        <w:tabs>
          <w:tab w:val="left" w:pos="0"/>
        </w:tabs>
        <w:kinsoku/>
        <w:wordWrap/>
        <w:overflowPunct/>
        <w:topLinePunct w:val="0"/>
        <w:bidi w:val="0"/>
        <w:adjustRightInd/>
        <w:snapToGrid/>
        <w:spacing w:line="560" w:lineRule="exact"/>
        <w:ind w:firstLine="48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39.2采购人可以邀请参加本项目的其他</w:t>
      </w:r>
      <w:r>
        <w:rPr>
          <w:rFonts w:hint="eastAsia" w:ascii="宋体" w:hAnsi="宋体" w:cs="宋体"/>
          <w:color w:val="000000" w:themeColor="text1"/>
          <w:sz w:val="28"/>
          <w:szCs w:val="28"/>
          <w:highlight w:val="none"/>
          <w:lang w:eastAsia="zh-CN"/>
          <w14:textFill>
            <w14:solidFill>
              <w14:schemeClr w14:val="tx1"/>
            </w14:solidFill>
          </w14:textFill>
        </w:rPr>
        <w:t>供应商</w:t>
      </w:r>
      <w:r>
        <w:rPr>
          <w:rFonts w:hint="eastAsia" w:ascii="宋体" w:hAnsi="宋体" w:eastAsia="宋体" w:cs="宋体"/>
          <w:color w:val="000000" w:themeColor="text1"/>
          <w:sz w:val="28"/>
          <w:szCs w:val="28"/>
          <w:highlight w:val="none"/>
          <w14:textFill>
            <w14:solidFill>
              <w14:schemeClr w14:val="tx1"/>
            </w14:solidFill>
          </w14:textFill>
        </w:rPr>
        <w:t>或者第三方机构参与验收。参与验收的</w:t>
      </w:r>
      <w:r>
        <w:rPr>
          <w:rFonts w:hint="eastAsia" w:ascii="宋体" w:hAnsi="宋体" w:cs="宋体"/>
          <w:color w:val="000000" w:themeColor="text1"/>
          <w:sz w:val="28"/>
          <w:szCs w:val="28"/>
          <w:highlight w:val="none"/>
          <w:lang w:eastAsia="zh-CN"/>
          <w14:textFill>
            <w14:solidFill>
              <w14:schemeClr w14:val="tx1"/>
            </w14:solidFill>
          </w14:textFill>
        </w:rPr>
        <w:t>供应商</w:t>
      </w:r>
      <w:r>
        <w:rPr>
          <w:rFonts w:hint="eastAsia" w:ascii="宋体" w:hAnsi="宋体" w:eastAsia="宋体" w:cs="宋体"/>
          <w:color w:val="000000" w:themeColor="text1"/>
          <w:sz w:val="28"/>
          <w:szCs w:val="28"/>
          <w:highlight w:val="none"/>
          <w14:textFill>
            <w14:solidFill>
              <w14:schemeClr w14:val="tx1"/>
            </w14:solidFill>
          </w14:textFill>
        </w:rPr>
        <w:t>或者第三方机构的意见作为验收书的参考资料一并存档。</w:t>
      </w:r>
    </w:p>
    <w:p w14:paraId="4E5190F4">
      <w:pPr>
        <w:keepNext w:val="0"/>
        <w:keepLines w:val="0"/>
        <w:pageBreakBefore w:val="0"/>
        <w:tabs>
          <w:tab w:val="left" w:pos="0"/>
        </w:tabs>
        <w:kinsoku/>
        <w:wordWrap/>
        <w:overflowPunct/>
        <w:topLinePunct w:val="0"/>
        <w:bidi w:val="0"/>
        <w:adjustRightInd/>
        <w:snapToGrid/>
        <w:spacing w:line="560" w:lineRule="exact"/>
        <w:ind w:firstLine="48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39.3严格按照采购合同开展履约验收。采购人成立验收小组，按照采购合同的约定对供应商履约情况进行验收。验收时，按照采购合同的约定对每一项技术、货物、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1ACBB46">
      <w:pPr>
        <w:keepNext w:val="0"/>
        <w:keepLines w:val="0"/>
        <w:pageBreakBefore w:val="0"/>
        <w:tabs>
          <w:tab w:val="left" w:pos="0"/>
        </w:tabs>
        <w:kinsoku/>
        <w:wordWrap/>
        <w:overflowPunct/>
        <w:topLinePunct w:val="0"/>
        <w:bidi w:val="0"/>
        <w:adjustRightInd/>
        <w:snapToGrid/>
        <w:spacing w:line="560" w:lineRule="exact"/>
        <w:ind w:firstLine="48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39.4验收合格的项目，采购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435C0CEA">
      <w:pPr>
        <w:pStyle w:val="4"/>
        <w:keepNext w:val="0"/>
        <w:keepLines w:val="0"/>
        <w:pageBreakBefore w:val="0"/>
        <w:kinsoku/>
        <w:wordWrap/>
        <w:overflowPunct/>
        <w:topLinePunct w:val="0"/>
        <w:bidi w:val="0"/>
        <w:adjustRightInd/>
        <w:snapToGrid/>
        <w:spacing w:line="560" w:lineRule="exact"/>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九、其他事项</w:t>
      </w:r>
    </w:p>
    <w:p w14:paraId="1C2ADCDA">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40.代理货物费</w:t>
      </w:r>
    </w:p>
    <w:p w14:paraId="53E0F62C">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b w:val="0"/>
          <w:bCs/>
          <w:color w:val="000000" w:themeColor="text1"/>
          <w:sz w:val="28"/>
          <w:szCs w:val="28"/>
          <w:highlight w:val="none"/>
          <w14:textFill>
            <w14:solidFill>
              <w14:schemeClr w14:val="tx1"/>
            </w14:solidFill>
          </w14:textFill>
        </w:rPr>
      </w:pPr>
      <w:r>
        <w:rPr>
          <w:rFonts w:hint="eastAsia" w:ascii="宋体" w:hAnsi="宋体" w:eastAsia="宋体" w:cs="宋体"/>
          <w:b w:val="0"/>
          <w:bCs/>
          <w:color w:val="000000" w:themeColor="text1"/>
          <w:sz w:val="28"/>
          <w:szCs w:val="28"/>
          <w:highlight w:val="none"/>
          <w14:textFill>
            <w14:solidFill>
              <w14:schemeClr w14:val="tx1"/>
            </w14:solidFill>
          </w14:textFill>
        </w:rPr>
        <w:t>代理货物收费标准及缴费账户详见“</w:t>
      </w:r>
      <w:r>
        <w:rPr>
          <w:rFonts w:hint="eastAsia" w:ascii="宋体" w:hAnsi="宋体" w:cs="宋体"/>
          <w:b w:val="0"/>
          <w:bCs/>
          <w:color w:val="000000" w:themeColor="text1"/>
          <w:sz w:val="28"/>
          <w:szCs w:val="28"/>
          <w:highlight w:val="none"/>
          <w:lang w:eastAsia="zh-CN"/>
          <w14:textFill>
            <w14:solidFill>
              <w14:schemeClr w14:val="tx1"/>
            </w14:solidFill>
          </w14:textFill>
        </w:rPr>
        <w:t>供应商</w:t>
      </w:r>
      <w:r>
        <w:rPr>
          <w:rFonts w:hint="eastAsia" w:ascii="宋体" w:hAnsi="宋体" w:eastAsia="宋体" w:cs="宋体"/>
          <w:b w:val="0"/>
          <w:bCs/>
          <w:color w:val="000000" w:themeColor="text1"/>
          <w:sz w:val="28"/>
          <w:szCs w:val="28"/>
          <w:highlight w:val="none"/>
          <w14:textFill>
            <w14:solidFill>
              <w14:schemeClr w14:val="tx1"/>
            </w14:solidFill>
          </w14:textFill>
        </w:rPr>
        <w:t>须知前附表”，</w:t>
      </w:r>
      <w:r>
        <w:rPr>
          <w:rFonts w:hint="eastAsia" w:ascii="宋体" w:hAnsi="宋体" w:cs="宋体"/>
          <w:b w:val="0"/>
          <w:bCs/>
          <w:color w:val="000000" w:themeColor="text1"/>
          <w:sz w:val="28"/>
          <w:szCs w:val="28"/>
          <w:highlight w:val="none"/>
          <w:lang w:eastAsia="zh-CN"/>
          <w14:textFill>
            <w14:solidFill>
              <w14:schemeClr w14:val="tx1"/>
            </w14:solidFill>
          </w14:textFill>
        </w:rPr>
        <w:t>供应商</w:t>
      </w:r>
      <w:r>
        <w:rPr>
          <w:rFonts w:hint="eastAsia" w:ascii="宋体" w:hAnsi="宋体" w:eastAsia="宋体" w:cs="宋体"/>
          <w:b w:val="0"/>
          <w:bCs/>
          <w:color w:val="000000" w:themeColor="text1"/>
          <w:sz w:val="28"/>
          <w:szCs w:val="28"/>
          <w:highlight w:val="none"/>
          <w14:textFill>
            <w14:solidFill>
              <w14:schemeClr w14:val="tx1"/>
            </w14:solidFill>
          </w14:textFill>
        </w:rPr>
        <w:t>为联合体的，可以由联合体中的一方或者多方共同交纳代理货物费。</w:t>
      </w:r>
    </w:p>
    <w:p w14:paraId="7593D2CF">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41. 需要补充的其他内容</w:t>
      </w:r>
    </w:p>
    <w:p w14:paraId="144E3C67">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41.1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由中小企业制造，即货物由中小企业生产且使用该中小企业商号或者注册商标，不对其中涉及的工程承建商和服务的承接商作出要求的，享受本文件规定的中小企业扶持政策。</w:t>
      </w:r>
    </w:p>
    <w:p w14:paraId="565F354E">
      <w:pPr>
        <w:keepNext w:val="0"/>
        <w:keepLines w:val="0"/>
        <w:pageBreakBefore w:val="0"/>
        <w:kinsoku/>
        <w:wordWrap/>
        <w:overflowPunct/>
        <w:topLinePunct w:val="0"/>
        <w:bidi w:val="0"/>
        <w:adjustRightInd/>
        <w:snapToGrid/>
        <w:spacing w:line="560" w:lineRule="exact"/>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在货物采购项目中，供应商提供的货物既有中小企业制造货物，也有大型企业制造货物的，不享受本文件规定的中小企业扶持政策。以联合体形式参加政府采购活动，联合体各方均为中小企业的，联合体视同中小企业。其中，联合体各方均为小微企业的，联合体视同小微企业。</w:t>
      </w:r>
    </w:p>
    <w:p w14:paraId="09B26D80">
      <w:pPr>
        <w:keepNext w:val="0"/>
        <w:keepLines w:val="0"/>
        <w:pageBreakBefore w:val="0"/>
        <w:kinsoku/>
        <w:wordWrap/>
        <w:overflowPunct/>
        <w:topLinePunct w:val="0"/>
        <w:bidi w:val="0"/>
        <w:adjustRightInd/>
        <w:snapToGrid/>
        <w:spacing w:line="560" w:lineRule="exact"/>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依据本文件规定享受扶持政策获得政府采购合同的，小微企业不得将合同分包给大中型企业，中型企业不得将合同分包给大型企业。</w:t>
      </w:r>
    </w:p>
    <w:p w14:paraId="7D659F48">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45.本招标文件解释规则详见“</w:t>
      </w:r>
      <w:r>
        <w:rPr>
          <w:rFonts w:hint="eastAsia" w:ascii="宋体" w:hAnsi="宋体" w:cs="宋体"/>
          <w:color w:val="000000" w:themeColor="text1"/>
          <w:sz w:val="28"/>
          <w:szCs w:val="28"/>
          <w:highlight w:val="none"/>
          <w:lang w:eastAsia="zh-CN"/>
          <w14:textFill>
            <w14:solidFill>
              <w14:schemeClr w14:val="tx1"/>
            </w14:solidFill>
          </w14:textFill>
        </w:rPr>
        <w:t>供应商</w:t>
      </w:r>
      <w:r>
        <w:rPr>
          <w:rFonts w:hint="eastAsia" w:ascii="宋体" w:hAnsi="宋体" w:eastAsia="宋体" w:cs="宋体"/>
          <w:color w:val="000000" w:themeColor="text1"/>
          <w:sz w:val="28"/>
          <w:szCs w:val="28"/>
          <w:highlight w:val="none"/>
          <w14:textFill>
            <w14:solidFill>
              <w14:schemeClr w14:val="tx1"/>
            </w14:solidFill>
          </w14:textFill>
        </w:rPr>
        <w:t>须知前附表”。</w:t>
      </w:r>
    </w:p>
    <w:p w14:paraId="00652D7F">
      <w:pPr>
        <w:keepNext w:val="0"/>
        <w:keepLines w:val="0"/>
        <w:pageBreakBefore w:val="0"/>
        <w:kinsoku/>
        <w:wordWrap/>
        <w:overflowPunct/>
        <w:topLinePunct w:val="0"/>
        <w:bidi w:val="0"/>
        <w:adjustRightInd/>
        <w:snapToGrid/>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46.其他事项详见“</w:t>
      </w:r>
      <w:r>
        <w:rPr>
          <w:rFonts w:hint="eastAsia" w:ascii="宋体" w:hAnsi="宋体" w:cs="宋体"/>
          <w:color w:val="000000" w:themeColor="text1"/>
          <w:sz w:val="28"/>
          <w:szCs w:val="28"/>
          <w:highlight w:val="none"/>
          <w:lang w:eastAsia="zh-CN"/>
          <w14:textFill>
            <w14:solidFill>
              <w14:schemeClr w14:val="tx1"/>
            </w14:solidFill>
          </w14:textFill>
        </w:rPr>
        <w:t>供应商</w:t>
      </w:r>
      <w:r>
        <w:rPr>
          <w:rFonts w:hint="eastAsia" w:ascii="宋体" w:hAnsi="宋体" w:eastAsia="宋体" w:cs="宋体"/>
          <w:color w:val="000000" w:themeColor="text1"/>
          <w:sz w:val="28"/>
          <w:szCs w:val="28"/>
          <w:highlight w:val="none"/>
          <w14:textFill>
            <w14:solidFill>
              <w14:schemeClr w14:val="tx1"/>
            </w14:solidFill>
          </w14:textFill>
        </w:rPr>
        <w:t>须知前附表”。</w:t>
      </w:r>
    </w:p>
    <w:p w14:paraId="41491201">
      <w:pPr>
        <w:pageBreakBefore w:val="0"/>
        <w:widowControl/>
        <w:wordWrap/>
        <w:topLinePunct w:val="0"/>
        <w:bidi w:val="0"/>
        <w:spacing w:line="560" w:lineRule="exact"/>
        <w:jc w:val="left"/>
        <w:rPr>
          <w:b/>
          <w:color w:val="000000" w:themeColor="text1"/>
          <w:sz w:val="36"/>
          <w:szCs w:val="20"/>
          <w:highlight w:val="none"/>
          <w14:textFill>
            <w14:solidFill>
              <w14:schemeClr w14:val="tx1"/>
            </w14:solidFill>
          </w14:textFill>
        </w:rPr>
      </w:pPr>
      <w:r>
        <w:rPr>
          <w:b/>
          <w:color w:val="000000" w:themeColor="text1"/>
          <w:sz w:val="36"/>
          <w:highlight w:val="none"/>
          <w14:textFill>
            <w14:solidFill>
              <w14:schemeClr w14:val="tx1"/>
            </w14:solidFill>
          </w14:textFill>
        </w:rPr>
        <w:br w:type="page"/>
      </w:r>
    </w:p>
    <w:p w14:paraId="18BC2B5F">
      <w:pPr>
        <w:pStyle w:val="31"/>
        <w:pageBreakBefore w:val="0"/>
        <w:wordWrap/>
        <w:topLinePunct w:val="0"/>
        <w:bidi w:val="0"/>
        <w:spacing w:before="0" w:after="0" w:line="560" w:lineRule="exact"/>
        <w:rPr>
          <w:color w:val="000000" w:themeColor="text1"/>
          <w:sz w:val="36"/>
          <w:szCs w:val="36"/>
          <w:highlight w:val="none"/>
          <w14:textFill>
            <w14:solidFill>
              <w14:schemeClr w14:val="tx1"/>
            </w14:solidFill>
          </w14:textFill>
        </w:rPr>
      </w:pPr>
      <w:r>
        <w:rPr>
          <w:rFonts w:hint="eastAsia"/>
          <w:color w:val="000000" w:themeColor="text1"/>
          <w:sz w:val="36"/>
          <w:szCs w:val="36"/>
          <w:highlight w:val="none"/>
          <w14:textFill>
            <w14:solidFill>
              <w14:schemeClr w14:val="tx1"/>
            </w14:solidFill>
          </w14:textFill>
        </w:rPr>
        <w:t>第三章  采购需求</w:t>
      </w:r>
      <w:r>
        <w:rPr>
          <w:rFonts w:hint="eastAsia" w:ascii="宋体" w:hAnsi="宋体" w:eastAsia="宋体" w:cs="宋体"/>
          <w:color w:val="000000" w:themeColor="text1"/>
          <w:sz w:val="36"/>
          <w:szCs w:val="36"/>
          <w:highlight w:val="none"/>
          <w:lang w:eastAsia="zh-CN"/>
          <w14:textFill>
            <w14:solidFill>
              <w14:schemeClr w14:val="tx1"/>
            </w14:solidFill>
          </w14:textFill>
        </w:rPr>
        <w:t>（标项</w:t>
      </w:r>
      <w:r>
        <w:rPr>
          <w:rFonts w:hint="eastAsia" w:ascii="宋体" w:hAnsi="宋体" w:cs="宋体"/>
          <w:color w:val="000000" w:themeColor="text1"/>
          <w:sz w:val="36"/>
          <w:szCs w:val="36"/>
          <w:highlight w:val="none"/>
          <w:lang w:val="en-US" w:eastAsia="zh-CN"/>
          <w14:textFill>
            <w14:solidFill>
              <w14:schemeClr w14:val="tx1"/>
            </w14:solidFill>
          </w14:textFill>
        </w:rPr>
        <w:t>4</w:t>
      </w:r>
      <w:r>
        <w:rPr>
          <w:rFonts w:hint="eastAsia" w:ascii="宋体" w:hAnsi="宋体" w:eastAsia="宋体" w:cs="宋体"/>
          <w:color w:val="000000" w:themeColor="text1"/>
          <w:sz w:val="36"/>
          <w:szCs w:val="36"/>
          <w:highlight w:val="none"/>
          <w:lang w:eastAsia="zh-CN"/>
          <w14:textFill>
            <w14:solidFill>
              <w14:schemeClr w14:val="tx1"/>
            </w14:solidFill>
          </w14:textFill>
        </w:rPr>
        <w:t>）</w:t>
      </w:r>
    </w:p>
    <w:p w14:paraId="0FC68917">
      <w:pPr>
        <w:keepNext w:val="0"/>
        <w:keepLines w:val="0"/>
        <w:pageBreakBefore w:val="0"/>
        <w:widowControl/>
        <w:kinsoku w:val="0"/>
        <w:wordWrap/>
        <w:overflowPunct/>
        <w:topLinePunct w:val="0"/>
        <w:autoSpaceDE w:val="0"/>
        <w:autoSpaceDN w:val="0"/>
        <w:bidi w:val="0"/>
        <w:adjustRightInd/>
        <w:snapToGrid/>
        <w:spacing w:line="560" w:lineRule="exact"/>
        <w:jc w:val="both"/>
        <w:textAlignment w:val="baseline"/>
        <w:rPr>
          <w:rFonts w:hint="eastAsia" w:ascii="宋体" w:hAnsi="宋体" w:eastAsia="宋体" w:cs="宋体"/>
          <w:b/>
          <w:bCs/>
          <w:color w:val="000000" w:themeColor="text1"/>
          <w:sz w:val="28"/>
          <w:szCs w:val="28"/>
          <w:highlight w:val="none"/>
          <w:lang w:eastAsia="zh-CN"/>
          <w14:textFill>
            <w14:solidFill>
              <w14:schemeClr w14:val="tx1"/>
            </w14:solidFill>
          </w14:textFill>
        </w:rPr>
      </w:pPr>
      <w:r>
        <w:rPr>
          <w:rFonts w:hint="eastAsia" w:ascii="宋体" w:hAnsi="宋体" w:eastAsia="宋体" w:cs="宋体"/>
          <w:b/>
          <w:bCs/>
          <w:color w:val="000000" w:themeColor="text1"/>
          <w:sz w:val="28"/>
          <w:szCs w:val="28"/>
          <w:highlight w:val="none"/>
          <w:lang w:eastAsia="zh-CN"/>
          <w14:textFill>
            <w14:solidFill>
              <w14:schemeClr w14:val="tx1"/>
            </w14:solidFill>
          </w14:textFill>
        </w:rPr>
        <w:t>一、设备购置清单</w:t>
      </w:r>
    </w:p>
    <w:tbl>
      <w:tblPr>
        <w:tblStyle w:val="34"/>
        <w:tblW w:w="921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15"/>
        <w:gridCol w:w="3933"/>
        <w:gridCol w:w="2035"/>
        <w:gridCol w:w="2035"/>
      </w:tblGrid>
      <w:tr w14:paraId="001351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1" w:hRule="atLeast"/>
          <w:jc w:val="center"/>
        </w:trPr>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997FA">
            <w:pPr>
              <w:keepNext w:val="0"/>
              <w:keepLines w:val="0"/>
              <w:pageBreakBefore w:val="0"/>
              <w:widowControl/>
              <w:suppressLineNumbers w:val="0"/>
              <w:wordWrap/>
              <w:overflowPunct/>
              <w:topLinePunct w:val="0"/>
              <w:bidi w:val="0"/>
              <w:adjustRightInd/>
              <w:snapToGrid/>
              <w:spacing w:line="560" w:lineRule="exact"/>
              <w:jc w:val="center"/>
              <w:textAlignment w:val="center"/>
              <w:rPr>
                <w:rFonts w:hint="eastAsia" w:ascii="宋体" w:hAnsi="宋体" w:eastAsia="宋体" w:cs="宋体"/>
                <w:b/>
                <w:bCs/>
                <w:i w:val="0"/>
                <w:iCs w:val="0"/>
                <w:color w:val="000000" w:themeColor="text1"/>
                <w:sz w:val="28"/>
                <w:szCs w:val="28"/>
                <w:highlight w:val="none"/>
                <w:u w:val="none"/>
                <w14:textFill>
                  <w14:solidFill>
                    <w14:schemeClr w14:val="tx1"/>
                  </w14:solidFill>
                </w14:textFill>
              </w:rPr>
            </w:pPr>
            <w:r>
              <w:rPr>
                <w:rFonts w:hint="eastAsia" w:ascii="宋体" w:hAnsi="宋体" w:eastAsia="宋体" w:cs="宋体"/>
                <w:b/>
                <w:bCs/>
                <w:i w:val="0"/>
                <w:iCs w:val="0"/>
                <w:snapToGrid w:val="0"/>
                <w:color w:val="000000" w:themeColor="text1"/>
                <w:kern w:val="0"/>
                <w:sz w:val="28"/>
                <w:szCs w:val="28"/>
                <w:highlight w:val="none"/>
                <w:u w:val="none"/>
                <w:lang w:val="en-US" w:eastAsia="zh-CN" w:bidi="ar"/>
                <w14:textFill>
                  <w14:solidFill>
                    <w14:schemeClr w14:val="tx1"/>
                  </w14:solidFill>
                </w14:textFill>
              </w:rPr>
              <w:t>序号</w:t>
            </w:r>
          </w:p>
        </w:tc>
        <w:tc>
          <w:tcPr>
            <w:tcW w:w="3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26D51">
            <w:pPr>
              <w:keepNext w:val="0"/>
              <w:keepLines w:val="0"/>
              <w:pageBreakBefore w:val="0"/>
              <w:widowControl/>
              <w:suppressLineNumbers w:val="0"/>
              <w:wordWrap/>
              <w:overflowPunct/>
              <w:topLinePunct w:val="0"/>
              <w:bidi w:val="0"/>
              <w:adjustRightInd/>
              <w:snapToGrid/>
              <w:spacing w:line="560" w:lineRule="exact"/>
              <w:jc w:val="center"/>
              <w:textAlignment w:val="center"/>
              <w:rPr>
                <w:rFonts w:hint="eastAsia" w:ascii="宋体" w:hAnsi="宋体" w:eastAsia="宋体" w:cs="宋体"/>
                <w:b/>
                <w:bCs/>
                <w:i w:val="0"/>
                <w:iCs w:val="0"/>
                <w:color w:val="000000" w:themeColor="text1"/>
                <w:sz w:val="28"/>
                <w:szCs w:val="28"/>
                <w:highlight w:val="none"/>
                <w:u w:val="none"/>
                <w14:textFill>
                  <w14:solidFill>
                    <w14:schemeClr w14:val="tx1"/>
                  </w14:solidFill>
                </w14:textFill>
              </w:rPr>
            </w:pPr>
            <w:r>
              <w:rPr>
                <w:rFonts w:hint="eastAsia" w:ascii="宋体" w:hAnsi="宋体" w:eastAsia="宋体" w:cs="宋体"/>
                <w:b/>
                <w:bCs/>
                <w:i w:val="0"/>
                <w:iCs w:val="0"/>
                <w:snapToGrid w:val="0"/>
                <w:color w:val="000000" w:themeColor="text1"/>
                <w:kern w:val="0"/>
                <w:sz w:val="28"/>
                <w:szCs w:val="28"/>
                <w:highlight w:val="none"/>
                <w:u w:val="none"/>
                <w:lang w:val="en-US" w:eastAsia="zh-CN" w:bidi="ar"/>
                <w14:textFill>
                  <w14:solidFill>
                    <w14:schemeClr w14:val="tx1"/>
                  </w14:solidFill>
                </w14:textFill>
              </w:rPr>
              <w:t>设备名称</w:t>
            </w:r>
          </w:p>
        </w:tc>
        <w:tc>
          <w:tcPr>
            <w:tcW w:w="2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FA858">
            <w:pPr>
              <w:keepNext w:val="0"/>
              <w:keepLines w:val="0"/>
              <w:pageBreakBefore w:val="0"/>
              <w:widowControl/>
              <w:suppressLineNumbers w:val="0"/>
              <w:wordWrap/>
              <w:overflowPunct/>
              <w:topLinePunct w:val="0"/>
              <w:bidi w:val="0"/>
              <w:adjustRightInd/>
              <w:snapToGrid/>
              <w:spacing w:line="560" w:lineRule="exact"/>
              <w:jc w:val="center"/>
              <w:textAlignment w:val="center"/>
              <w:rPr>
                <w:rFonts w:hint="eastAsia" w:ascii="宋体" w:hAnsi="宋体" w:eastAsia="宋体" w:cs="宋体"/>
                <w:b/>
                <w:bCs/>
                <w:i w:val="0"/>
                <w:iCs w:val="0"/>
                <w:color w:val="000000" w:themeColor="text1"/>
                <w:sz w:val="28"/>
                <w:szCs w:val="28"/>
                <w:highlight w:val="none"/>
                <w:u w:val="none"/>
                <w14:textFill>
                  <w14:solidFill>
                    <w14:schemeClr w14:val="tx1"/>
                  </w14:solidFill>
                </w14:textFill>
              </w:rPr>
            </w:pPr>
            <w:r>
              <w:rPr>
                <w:rFonts w:hint="eastAsia" w:ascii="宋体" w:hAnsi="宋体" w:eastAsia="宋体" w:cs="宋体"/>
                <w:b/>
                <w:bCs/>
                <w:i w:val="0"/>
                <w:iCs w:val="0"/>
                <w:snapToGrid w:val="0"/>
                <w:color w:val="000000" w:themeColor="text1"/>
                <w:kern w:val="0"/>
                <w:sz w:val="28"/>
                <w:szCs w:val="28"/>
                <w:highlight w:val="none"/>
                <w:u w:val="none"/>
                <w:lang w:val="en-US" w:eastAsia="zh-CN" w:bidi="ar"/>
                <w14:textFill>
                  <w14:solidFill>
                    <w14:schemeClr w14:val="tx1"/>
                  </w14:solidFill>
                </w14:textFill>
              </w:rPr>
              <w:t>单位</w:t>
            </w:r>
          </w:p>
        </w:tc>
        <w:tc>
          <w:tcPr>
            <w:tcW w:w="2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84294">
            <w:pPr>
              <w:keepNext w:val="0"/>
              <w:keepLines w:val="0"/>
              <w:pageBreakBefore w:val="0"/>
              <w:widowControl/>
              <w:suppressLineNumbers w:val="0"/>
              <w:wordWrap/>
              <w:overflowPunct/>
              <w:topLinePunct w:val="0"/>
              <w:bidi w:val="0"/>
              <w:adjustRightInd/>
              <w:snapToGrid/>
              <w:spacing w:line="560" w:lineRule="exact"/>
              <w:jc w:val="center"/>
              <w:textAlignment w:val="center"/>
              <w:rPr>
                <w:rFonts w:hint="eastAsia" w:ascii="宋体" w:hAnsi="宋体" w:eastAsia="宋体" w:cs="宋体"/>
                <w:b/>
                <w:bCs/>
                <w:i w:val="0"/>
                <w:iCs w:val="0"/>
                <w:color w:val="000000" w:themeColor="text1"/>
                <w:sz w:val="28"/>
                <w:szCs w:val="28"/>
                <w:highlight w:val="none"/>
                <w:u w:val="none"/>
                <w14:textFill>
                  <w14:solidFill>
                    <w14:schemeClr w14:val="tx1"/>
                  </w14:solidFill>
                </w14:textFill>
              </w:rPr>
            </w:pPr>
            <w:r>
              <w:rPr>
                <w:rFonts w:hint="eastAsia" w:ascii="宋体" w:hAnsi="宋体" w:eastAsia="宋体" w:cs="宋体"/>
                <w:b/>
                <w:bCs/>
                <w:i w:val="0"/>
                <w:iCs w:val="0"/>
                <w:snapToGrid w:val="0"/>
                <w:color w:val="000000" w:themeColor="text1"/>
                <w:kern w:val="0"/>
                <w:sz w:val="28"/>
                <w:szCs w:val="28"/>
                <w:highlight w:val="none"/>
                <w:u w:val="none"/>
                <w:lang w:val="en-US" w:eastAsia="zh-CN" w:bidi="ar"/>
                <w14:textFill>
                  <w14:solidFill>
                    <w14:schemeClr w14:val="tx1"/>
                  </w14:solidFill>
                </w14:textFill>
              </w:rPr>
              <w:t>数量</w:t>
            </w:r>
          </w:p>
        </w:tc>
      </w:tr>
      <w:tr w14:paraId="4EC1A4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2" w:hRule="atLeast"/>
          <w:jc w:val="center"/>
        </w:trPr>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0FC95">
            <w:pPr>
              <w:keepNext w:val="0"/>
              <w:keepLines w:val="0"/>
              <w:pageBreakBefore w:val="0"/>
              <w:widowControl/>
              <w:suppressLineNumbers w:val="0"/>
              <w:wordWrap/>
              <w:overflowPunct/>
              <w:topLinePunct w:val="0"/>
              <w:bidi w:val="0"/>
              <w:adjustRightInd/>
              <w:snapToGrid/>
              <w:spacing w:line="560" w:lineRule="exact"/>
              <w:jc w:val="center"/>
              <w:textAlignment w:val="center"/>
              <w:rPr>
                <w:rFonts w:hint="eastAsia" w:ascii="宋体" w:hAnsi="宋体" w:eastAsia="宋体" w:cs="宋体"/>
                <w:i w:val="0"/>
                <w:iCs w:val="0"/>
                <w:color w:val="000000" w:themeColor="text1"/>
                <w:sz w:val="28"/>
                <w:szCs w:val="28"/>
                <w:highlight w:val="none"/>
                <w:u w:val="none"/>
                <w14:textFill>
                  <w14:solidFill>
                    <w14:schemeClr w14:val="tx1"/>
                  </w14:solidFill>
                </w14:textFill>
              </w:rPr>
            </w:pPr>
            <w:r>
              <w:rPr>
                <w:rFonts w:hint="eastAsia" w:ascii="宋体" w:hAnsi="宋体" w:eastAsia="宋体" w:cs="宋体"/>
                <w:i w:val="0"/>
                <w:iCs w:val="0"/>
                <w:snapToGrid w:val="0"/>
                <w:color w:val="000000" w:themeColor="text1"/>
                <w:kern w:val="0"/>
                <w:sz w:val="28"/>
                <w:szCs w:val="28"/>
                <w:highlight w:val="none"/>
                <w:u w:val="none"/>
                <w:lang w:val="en-US" w:eastAsia="zh-CN" w:bidi="ar"/>
                <w14:textFill>
                  <w14:solidFill>
                    <w14:schemeClr w14:val="tx1"/>
                  </w14:solidFill>
                </w14:textFill>
              </w:rPr>
              <w:t>1</w:t>
            </w:r>
          </w:p>
        </w:tc>
        <w:tc>
          <w:tcPr>
            <w:tcW w:w="3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16FA9">
            <w:pPr>
              <w:keepNext w:val="0"/>
              <w:keepLines w:val="0"/>
              <w:pageBreakBefore w:val="0"/>
              <w:widowControl/>
              <w:suppressLineNumbers w:val="0"/>
              <w:wordWrap/>
              <w:overflowPunct/>
              <w:topLinePunct w:val="0"/>
              <w:bidi w:val="0"/>
              <w:adjustRightInd/>
              <w:snapToGrid/>
              <w:spacing w:line="560" w:lineRule="exact"/>
              <w:jc w:val="center"/>
              <w:textAlignment w:val="center"/>
              <w:rPr>
                <w:rFonts w:hint="default" w:ascii="宋体" w:hAnsi="宋体" w:eastAsia="宋体" w:cs="宋体"/>
                <w:i w:val="0"/>
                <w:iCs w:val="0"/>
                <w:color w:val="000000" w:themeColor="text1"/>
                <w:sz w:val="28"/>
                <w:szCs w:val="28"/>
                <w:highlight w:val="none"/>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8"/>
                <w:szCs w:val="28"/>
                <w:highlight w:val="none"/>
                <w:u w:val="none"/>
                <w:lang w:val="en-US" w:eastAsia="zh-CN" w:bidi="ar"/>
                <w14:textFill>
                  <w14:solidFill>
                    <w14:schemeClr w14:val="tx1"/>
                  </w14:solidFill>
                </w14:textFill>
              </w:rPr>
              <w:t>智能头痛舒眠仪</w:t>
            </w:r>
          </w:p>
        </w:tc>
        <w:tc>
          <w:tcPr>
            <w:tcW w:w="2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AC4BD">
            <w:pPr>
              <w:keepNext w:val="0"/>
              <w:keepLines w:val="0"/>
              <w:pageBreakBefore w:val="0"/>
              <w:widowControl/>
              <w:suppressLineNumbers w:val="0"/>
              <w:wordWrap/>
              <w:overflowPunct/>
              <w:topLinePunct w:val="0"/>
              <w:bidi w:val="0"/>
              <w:adjustRightInd/>
              <w:snapToGrid/>
              <w:spacing w:line="560" w:lineRule="exact"/>
              <w:jc w:val="center"/>
              <w:textAlignment w:val="center"/>
              <w:rPr>
                <w:rFonts w:hint="eastAsia" w:ascii="宋体" w:hAnsi="宋体" w:eastAsia="宋体" w:cs="宋体"/>
                <w:i w:val="0"/>
                <w:iCs w:val="0"/>
                <w:color w:val="000000" w:themeColor="text1"/>
                <w:sz w:val="28"/>
                <w:szCs w:val="28"/>
                <w:highlight w:val="none"/>
                <w:u w:val="none"/>
                <w14:textFill>
                  <w14:solidFill>
                    <w14:schemeClr w14:val="tx1"/>
                  </w14:solidFill>
                </w14:textFill>
              </w:rPr>
            </w:pPr>
            <w:r>
              <w:rPr>
                <w:rFonts w:hint="eastAsia" w:ascii="宋体" w:hAnsi="宋体" w:cs="宋体"/>
                <w:i w:val="0"/>
                <w:iCs w:val="0"/>
                <w:snapToGrid w:val="0"/>
                <w:color w:val="000000" w:themeColor="text1"/>
                <w:kern w:val="0"/>
                <w:sz w:val="28"/>
                <w:szCs w:val="28"/>
                <w:highlight w:val="none"/>
                <w:u w:val="none"/>
                <w:lang w:val="en-US" w:eastAsia="zh-CN" w:bidi="ar"/>
                <w14:textFill>
                  <w14:solidFill>
                    <w14:schemeClr w14:val="tx1"/>
                  </w14:solidFill>
                </w14:textFill>
              </w:rPr>
              <w:t>台</w:t>
            </w:r>
          </w:p>
        </w:tc>
        <w:tc>
          <w:tcPr>
            <w:tcW w:w="2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39E8F">
            <w:pPr>
              <w:keepNext w:val="0"/>
              <w:keepLines w:val="0"/>
              <w:pageBreakBefore w:val="0"/>
              <w:widowControl/>
              <w:suppressLineNumbers w:val="0"/>
              <w:wordWrap/>
              <w:overflowPunct/>
              <w:topLinePunct w:val="0"/>
              <w:bidi w:val="0"/>
              <w:adjustRightInd/>
              <w:snapToGrid/>
              <w:spacing w:line="560" w:lineRule="exact"/>
              <w:jc w:val="center"/>
              <w:textAlignment w:val="center"/>
              <w:rPr>
                <w:rFonts w:hint="eastAsia" w:ascii="宋体" w:hAnsi="宋体" w:eastAsia="宋体" w:cs="宋体"/>
                <w:i w:val="0"/>
                <w:iCs w:val="0"/>
                <w:color w:val="000000" w:themeColor="text1"/>
                <w:sz w:val="28"/>
                <w:szCs w:val="28"/>
                <w:highlight w:val="none"/>
                <w:u w:val="none"/>
                <w:lang w:val="en-US" w:eastAsia="zh-CN"/>
                <w14:textFill>
                  <w14:solidFill>
                    <w14:schemeClr w14:val="tx1"/>
                  </w14:solidFill>
                </w14:textFill>
              </w:rPr>
            </w:pPr>
            <w:r>
              <w:rPr>
                <w:rFonts w:hint="eastAsia" w:ascii="宋体" w:hAnsi="宋体" w:cs="宋体"/>
                <w:i w:val="0"/>
                <w:iCs w:val="0"/>
                <w:color w:val="000000" w:themeColor="text1"/>
                <w:sz w:val="28"/>
                <w:szCs w:val="28"/>
                <w:highlight w:val="none"/>
                <w:u w:val="none"/>
                <w:lang w:val="en-US" w:eastAsia="zh-CN"/>
                <w14:textFill>
                  <w14:solidFill>
                    <w14:schemeClr w14:val="tx1"/>
                  </w14:solidFill>
                </w14:textFill>
              </w:rPr>
              <w:t>10</w:t>
            </w:r>
          </w:p>
        </w:tc>
      </w:tr>
    </w:tbl>
    <w:p w14:paraId="2D7D596F">
      <w:pPr>
        <w:keepNext w:val="0"/>
        <w:keepLines w:val="0"/>
        <w:pageBreakBefore w:val="0"/>
        <w:widowControl/>
        <w:kinsoku w:val="0"/>
        <w:wordWrap/>
        <w:overflowPunct/>
        <w:topLinePunct w:val="0"/>
        <w:autoSpaceDE w:val="0"/>
        <w:autoSpaceDN w:val="0"/>
        <w:bidi w:val="0"/>
        <w:adjustRightInd/>
        <w:snapToGrid/>
        <w:spacing w:line="560" w:lineRule="exact"/>
        <w:jc w:val="both"/>
        <w:textAlignment w:val="baseline"/>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bCs/>
          <w:color w:val="000000" w:themeColor="text1"/>
          <w:sz w:val="28"/>
          <w:szCs w:val="28"/>
          <w:highlight w:val="none"/>
          <w:lang w:eastAsia="zh-CN"/>
          <w14:textFill>
            <w14:solidFill>
              <w14:schemeClr w14:val="tx1"/>
            </w14:solidFill>
          </w14:textFill>
        </w:rPr>
        <w:t>二、技术参数</w:t>
      </w:r>
    </w:p>
    <w:p w14:paraId="587759E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bCs/>
          <w:color w:val="000000" w:themeColor="text1"/>
          <w:sz w:val="28"/>
          <w:szCs w:val="28"/>
          <w:highlight w:val="none"/>
          <w:lang w:val="en-US" w:eastAsia="zh-CN"/>
          <w14:textFill>
            <w14:solidFill>
              <w14:schemeClr w14:val="tx1"/>
            </w14:solidFill>
          </w14:textFill>
        </w:rPr>
      </w:pPr>
      <w:r>
        <w:rPr>
          <w:rFonts w:hint="eastAsia" w:ascii="宋体" w:hAnsi="宋体" w:cs="宋体"/>
          <w:b/>
          <w:bCs/>
          <w:color w:val="000000" w:themeColor="text1"/>
          <w:sz w:val="28"/>
          <w:szCs w:val="28"/>
          <w:highlight w:val="none"/>
          <w:lang w:val="en-US" w:eastAsia="zh-CN"/>
          <w14:textFill>
            <w14:solidFill>
              <w14:schemeClr w14:val="tx1"/>
            </w14:solidFill>
          </w14:textFill>
        </w:rPr>
        <w:t>智能头痛舒眠仪</w:t>
      </w:r>
    </w:p>
    <w:p w14:paraId="1014929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1.适用范围：</w:t>
      </w:r>
      <w:r>
        <w:rPr>
          <w:rFonts w:hint="eastAsia" w:ascii="宋体" w:hAnsi="宋体" w:eastAsia="宋体" w:cs="宋体"/>
          <w:color w:val="000000" w:themeColor="text1"/>
          <w:sz w:val="28"/>
          <w:szCs w:val="28"/>
          <w:highlight w:val="none"/>
          <w14:textFill>
            <w14:solidFill>
              <w14:schemeClr w14:val="tx1"/>
            </w14:solidFill>
          </w14:textFill>
        </w:rPr>
        <w:t>主要用于慢性头痛、复发性头痛预防和治疗，紧张、焦虑、抑郁、失眠的辅助治疗。</w:t>
      </w:r>
    </w:p>
    <w:p w14:paraId="7338F7F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000000" w:themeColor="text1"/>
          <w:sz w:val="28"/>
          <w:szCs w:val="28"/>
          <w:highlight w:val="none"/>
          <w:lang w:eastAsia="zh-CN"/>
          <w14:textFill>
            <w14:solidFill>
              <w14:schemeClr w14:val="tx1"/>
            </w14:solidFill>
          </w14:textFill>
        </w:rPr>
      </w:pPr>
      <w:r>
        <w:rPr>
          <w:rFonts w:hint="eastAsia" w:ascii="宋体" w:hAnsi="宋体" w:cs="宋体"/>
          <w:color w:val="000000" w:themeColor="text1"/>
          <w:sz w:val="28"/>
          <w:szCs w:val="28"/>
          <w:highlight w:val="none"/>
          <w:lang w:val="en-US" w:eastAsia="zh-CN"/>
          <w14:textFill>
            <w14:solidFill>
              <w14:schemeClr w14:val="tx1"/>
            </w14:solidFill>
          </w14:textFill>
        </w:rPr>
        <w:t>2.</w:t>
      </w:r>
      <w:r>
        <w:rPr>
          <w:rFonts w:hint="eastAsia" w:ascii="宋体" w:hAnsi="宋体" w:eastAsia="宋体" w:cs="宋体"/>
          <w:color w:val="000000" w:themeColor="text1"/>
          <w:sz w:val="28"/>
          <w:szCs w:val="28"/>
          <w:highlight w:val="none"/>
          <w14:textFill>
            <w14:solidFill>
              <w14:schemeClr w14:val="tx1"/>
            </w14:solidFill>
          </w14:textFill>
        </w:rPr>
        <w:t>具有医疗器械注册证</w:t>
      </w:r>
      <w:r>
        <w:rPr>
          <w:rFonts w:hint="eastAsia" w:ascii="宋体" w:hAnsi="宋体" w:cs="宋体"/>
          <w:color w:val="000000" w:themeColor="text1"/>
          <w:sz w:val="28"/>
          <w:szCs w:val="28"/>
          <w:highlight w:val="none"/>
          <w:lang w:eastAsia="zh-CN"/>
          <w14:textFill>
            <w14:solidFill>
              <w14:schemeClr w14:val="tx1"/>
            </w14:solidFill>
          </w14:textFill>
        </w:rPr>
        <w:t>。</w:t>
      </w:r>
    </w:p>
    <w:p w14:paraId="5139895A">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cs="宋体"/>
          <w:i w:val="0"/>
          <w:iCs w:val="0"/>
          <w:color w:val="000000" w:themeColor="text1"/>
          <w:kern w:val="0"/>
          <w:sz w:val="28"/>
          <w:szCs w:val="28"/>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8"/>
          <w:szCs w:val="28"/>
          <w:highlight w:val="none"/>
          <w:u w:val="none"/>
          <w:lang w:val="en-US" w:eastAsia="zh-CN" w:bidi="ar"/>
          <w14:textFill>
            <w14:solidFill>
              <w14:schemeClr w14:val="tx1"/>
            </w14:solidFill>
          </w14:textFill>
        </w:rPr>
        <w:t>3.</w:t>
      </w:r>
      <w:r>
        <w:rPr>
          <w:rFonts w:hint="eastAsia" w:ascii="宋体" w:hAnsi="宋体" w:eastAsia="宋体" w:cs="宋体"/>
          <w:i w:val="0"/>
          <w:iCs w:val="0"/>
          <w:color w:val="000000" w:themeColor="text1"/>
          <w:kern w:val="0"/>
          <w:sz w:val="28"/>
          <w:szCs w:val="28"/>
          <w:highlight w:val="none"/>
          <w:u w:val="none"/>
          <w:lang w:val="en-US" w:eastAsia="zh-CN" w:bidi="ar"/>
          <w14:textFill>
            <w14:solidFill>
              <w14:schemeClr w14:val="tx1"/>
            </w14:solidFill>
          </w14:textFill>
        </w:rPr>
        <w:t>脉冲幅度</w:t>
      </w:r>
      <w:r>
        <w:rPr>
          <w:rFonts w:hint="eastAsia" w:ascii="宋体" w:hAnsi="宋体" w:cs="宋体"/>
          <w:i w:val="0"/>
          <w:iCs w:val="0"/>
          <w:color w:val="000000" w:themeColor="text1"/>
          <w:kern w:val="0"/>
          <w:sz w:val="28"/>
          <w:szCs w:val="28"/>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8"/>
          <w:szCs w:val="28"/>
          <w:highlight w:val="none"/>
          <w:u w:val="none"/>
          <w:lang w:val="en-US" w:eastAsia="zh-CN" w:bidi="ar"/>
          <w14:textFill>
            <w14:solidFill>
              <w14:schemeClr w14:val="tx1"/>
            </w14:solidFill>
          </w14:textFill>
        </w:rPr>
        <w:t>OV-15V(500Ω)</w:t>
      </w:r>
      <w:r>
        <w:rPr>
          <w:rFonts w:hint="eastAsia" w:ascii="宋体" w:hAnsi="宋体" w:cs="宋体"/>
          <w:i w:val="0"/>
          <w:iCs w:val="0"/>
          <w:color w:val="000000" w:themeColor="text1"/>
          <w:kern w:val="0"/>
          <w:sz w:val="28"/>
          <w:szCs w:val="28"/>
          <w:highlight w:val="none"/>
          <w:u w:val="none"/>
          <w:lang w:val="en-US" w:eastAsia="zh-CN" w:bidi="ar"/>
          <w14:textFill>
            <w14:solidFill>
              <w14:schemeClr w14:val="tx1"/>
            </w14:solidFill>
          </w14:textFill>
        </w:rPr>
        <w:t>500</w:t>
      </w:r>
    </w:p>
    <w:p w14:paraId="2368384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i w:val="0"/>
          <w:iCs w:val="0"/>
          <w:color w:val="000000" w:themeColor="text1"/>
          <w:kern w:val="0"/>
          <w:sz w:val="28"/>
          <w:szCs w:val="28"/>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8"/>
          <w:szCs w:val="28"/>
          <w:highlight w:val="none"/>
          <w:u w:val="none"/>
          <w:lang w:val="en-US" w:eastAsia="zh-CN" w:bidi="ar"/>
          <w14:textFill>
            <w14:solidFill>
              <w14:schemeClr w14:val="tx1"/>
            </w14:solidFill>
          </w14:textFill>
        </w:rPr>
        <w:t>4.</w:t>
      </w:r>
      <w:r>
        <w:rPr>
          <w:rFonts w:hint="eastAsia" w:ascii="宋体" w:hAnsi="宋体" w:eastAsia="宋体" w:cs="宋体"/>
          <w:i w:val="0"/>
          <w:iCs w:val="0"/>
          <w:color w:val="000000" w:themeColor="text1"/>
          <w:kern w:val="0"/>
          <w:sz w:val="28"/>
          <w:szCs w:val="28"/>
          <w:highlight w:val="none"/>
          <w:u w:val="none"/>
          <w:lang w:val="en-US" w:eastAsia="zh-CN" w:bidi="ar"/>
          <w14:textFill>
            <w14:solidFill>
              <w14:schemeClr w14:val="tx1"/>
            </w14:solidFill>
          </w14:textFill>
        </w:rPr>
        <w:t>脉冲频率</w:t>
      </w:r>
      <w:r>
        <w:rPr>
          <w:rFonts w:hint="eastAsia" w:ascii="宋体" w:hAnsi="宋体" w:cs="宋体"/>
          <w:i w:val="0"/>
          <w:iCs w:val="0"/>
          <w:color w:val="000000" w:themeColor="text1"/>
          <w:kern w:val="0"/>
          <w:sz w:val="28"/>
          <w:szCs w:val="28"/>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8"/>
          <w:szCs w:val="28"/>
          <w:highlight w:val="none"/>
          <w:u w:val="none"/>
          <w:lang w:val="en-US" w:eastAsia="zh-CN" w:bidi="ar"/>
          <w14:textFill>
            <w14:solidFill>
              <w14:schemeClr w14:val="tx1"/>
            </w14:solidFill>
          </w14:textFill>
        </w:rPr>
        <w:t>模式①:100Hz±20%</w:t>
      </w:r>
      <w:r>
        <w:rPr>
          <w:rFonts w:hint="eastAsia" w:ascii="宋体" w:hAnsi="宋体" w:cs="宋体"/>
          <w:i w:val="0"/>
          <w:iCs w:val="0"/>
          <w:color w:val="000000" w:themeColor="text1"/>
          <w:kern w:val="0"/>
          <w:sz w:val="28"/>
          <w:szCs w:val="28"/>
          <w:highlight w:val="none"/>
          <w:u w:val="none"/>
          <w:lang w:val="en-US" w:eastAsia="zh-CN" w:bidi="ar"/>
          <w14:textFill>
            <w14:solidFill>
              <w14:schemeClr w14:val="tx1"/>
            </w14:solidFill>
          </w14:textFill>
        </w:rPr>
        <w:t>；</w:t>
      </w:r>
    </w:p>
    <w:p w14:paraId="34C785D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i w:val="0"/>
          <w:iCs w:val="0"/>
          <w:color w:val="000000" w:themeColor="text1"/>
          <w:kern w:val="0"/>
          <w:sz w:val="28"/>
          <w:szCs w:val="2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8"/>
          <w:szCs w:val="28"/>
          <w:highlight w:val="none"/>
          <w:u w:val="none"/>
          <w:lang w:val="en-US" w:eastAsia="zh-CN" w:bidi="ar"/>
          <w14:textFill>
            <w14:solidFill>
              <w14:schemeClr w14:val="tx1"/>
            </w14:solidFill>
          </w14:textFill>
        </w:rPr>
        <w:t>模式②:60Hz±20%</w:t>
      </w:r>
      <w:r>
        <w:rPr>
          <w:rFonts w:hint="eastAsia" w:ascii="宋体" w:hAnsi="宋体" w:cs="宋体"/>
          <w:i w:val="0"/>
          <w:iCs w:val="0"/>
          <w:color w:val="000000" w:themeColor="text1"/>
          <w:kern w:val="0"/>
          <w:sz w:val="28"/>
          <w:szCs w:val="28"/>
          <w:highlight w:val="none"/>
          <w:u w:val="none"/>
          <w:lang w:val="en-US" w:eastAsia="zh-CN" w:bidi="ar"/>
          <w14:textFill>
            <w14:solidFill>
              <w14:schemeClr w14:val="tx1"/>
            </w14:solidFill>
          </w14:textFill>
        </w:rPr>
        <w:t>；</w:t>
      </w:r>
    </w:p>
    <w:p w14:paraId="2461E51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i w:val="0"/>
          <w:iCs w:val="0"/>
          <w:color w:val="000000" w:themeColor="text1"/>
          <w:kern w:val="0"/>
          <w:sz w:val="28"/>
          <w:szCs w:val="2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8"/>
          <w:szCs w:val="28"/>
          <w:highlight w:val="none"/>
          <w:u w:val="none"/>
          <w:lang w:val="en-US" w:eastAsia="zh-CN" w:bidi="ar"/>
          <w14:textFill>
            <w14:solidFill>
              <w14:schemeClr w14:val="tx1"/>
            </w14:solidFill>
          </w14:textFill>
        </w:rPr>
        <w:t>模式③:120Hz±20%</w:t>
      </w:r>
      <w:r>
        <w:rPr>
          <w:rFonts w:hint="eastAsia" w:ascii="宋体" w:hAnsi="宋体" w:cs="宋体"/>
          <w:i w:val="0"/>
          <w:iCs w:val="0"/>
          <w:color w:val="000000" w:themeColor="text1"/>
          <w:kern w:val="0"/>
          <w:sz w:val="28"/>
          <w:szCs w:val="28"/>
          <w:highlight w:val="none"/>
          <w:u w:val="none"/>
          <w:lang w:val="en-US" w:eastAsia="zh-CN" w:bidi="ar"/>
          <w14:textFill>
            <w14:solidFill>
              <w14:schemeClr w14:val="tx1"/>
            </w14:solidFill>
          </w14:textFill>
        </w:rPr>
        <w:t>；</w:t>
      </w:r>
    </w:p>
    <w:p w14:paraId="3B0E572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i w:val="0"/>
          <w:iCs w:val="0"/>
          <w:color w:val="000000" w:themeColor="text1"/>
          <w:kern w:val="0"/>
          <w:sz w:val="28"/>
          <w:szCs w:val="28"/>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8"/>
          <w:szCs w:val="28"/>
          <w:highlight w:val="none"/>
          <w:u w:val="none"/>
          <w:lang w:val="en-US" w:eastAsia="zh-CN" w:bidi="ar"/>
          <w14:textFill>
            <w14:solidFill>
              <w14:schemeClr w14:val="tx1"/>
            </w14:solidFill>
          </w14:textFill>
        </w:rPr>
        <w:t>5.</w:t>
      </w:r>
      <w:r>
        <w:rPr>
          <w:rFonts w:hint="eastAsia" w:ascii="宋体" w:hAnsi="宋体" w:eastAsia="宋体" w:cs="宋体"/>
          <w:i w:val="0"/>
          <w:iCs w:val="0"/>
          <w:color w:val="000000" w:themeColor="text1"/>
          <w:kern w:val="0"/>
          <w:sz w:val="28"/>
          <w:szCs w:val="28"/>
          <w:highlight w:val="none"/>
          <w:u w:val="none"/>
          <w:lang w:val="en-US" w:eastAsia="zh-CN" w:bidi="ar"/>
          <w14:textFill>
            <w14:solidFill>
              <w14:schemeClr w14:val="tx1"/>
            </w14:solidFill>
          </w14:textFill>
        </w:rPr>
        <w:t>脉冲宽度</w:t>
      </w:r>
      <w:r>
        <w:rPr>
          <w:rFonts w:hint="eastAsia" w:ascii="宋体" w:hAnsi="宋体" w:cs="宋体"/>
          <w:i w:val="0"/>
          <w:iCs w:val="0"/>
          <w:color w:val="000000" w:themeColor="text1"/>
          <w:kern w:val="0"/>
          <w:sz w:val="28"/>
          <w:szCs w:val="28"/>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8"/>
          <w:szCs w:val="28"/>
          <w:highlight w:val="none"/>
          <w:u w:val="none"/>
          <w:lang w:val="en-US" w:eastAsia="zh-CN" w:bidi="ar"/>
          <w14:textFill>
            <w14:solidFill>
              <w14:schemeClr w14:val="tx1"/>
            </w14:solidFill>
          </w14:textFill>
        </w:rPr>
        <w:t>100μs-500μs</w:t>
      </w:r>
    </w:p>
    <w:p w14:paraId="4048CC8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000000" w:themeColor="text1"/>
          <w:sz w:val="28"/>
          <w:szCs w:val="28"/>
          <w:highlight w:val="none"/>
          <w:lang w:eastAsia="zh-CN"/>
          <w14:textFill>
            <w14:solidFill>
              <w14:schemeClr w14:val="tx1"/>
            </w14:solidFill>
          </w14:textFill>
        </w:rPr>
      </w:pPr>
      <w:r>
        <w:rPr>
          <w:rFonts w:hint="eastAsia" w:ascii="宋体" w:hAnsi="宋体" w:cs="宋体"/>
          <w:color w:val="000000" w:themeColor="text1"/>
          <w:sz w:val="28"/>
          <w:szCs w:val="28"/>
          <w:highlight w:val="none"/>
          <w:lang w:val="en-US" w:eastAsia="zh-CN"/>
          <w14:textFill>
            <w14:solidFill>
              <w14:schemeClr w14:val="tx1"/>
            </w14:solidFill>
          </w14:textFill>
        </w:rPr>
        <w:t>6.</w:t>
      </w:r>
      <w:r>
        <w:rPr>
          <w:rFonts w:hint="eastAsia" w:ascii="宋体" w:hAnsi="宋体" w:cs="宋体"/>
          <w:color w:val="000000" w:themeColor="text1"/>
          <w:sz w:val="28"/>
          <w:szCs w:val="28"/>
          <w:highlight w:val="none"/>
          <w:lang w:eastAsia="zh-CN"/>
          <w14:textFill>
            <w14:solidFill>
              <w14:schemeClr w14:val="tx1"/>
            </w14:solidFill>
          </w14:textFill>
        </w:rPr>
        <w:t>电源：</w:t>
      </w:r>
      <w:r>
        <w:rPr>
          <w:rFonts w:hint="eastAsia" w:ascii="宋体" w:hAnsi="宋体" w:cs="宋体"/>
          <w:color w:val="000000" w:themeColor="text1"/>
          <w:sz w:val="28"/>
          <w:szCs w:val="28"/>
          <w:highlight w:val="none"/>
          <w:lang w:val="en-US" w:eastAsia="zh-CN"/>
          <w14:textFill>
            <w14:solidFill>
              <w14:schemeClr w14:val="tx1"/>
            </w14:solidFill>
          </w14:textFill>
        </w:rPr>
        <w:t>内置</w:t>
      </w:r>
      <w:r>
        <w:rPr>
          <w:rFonts w:hint="eastAsia" w:ascii="宋体" w:hAnsi="宋体" w:cs="宋体"/>
          <w:color w:val="000000" w:themeColor="text1"/>
          <w:sz w:val="28"/>
          <w:szCs w:val="28"/>
          <w:highlight w:val="none"/>
          <w:lang w:eastAsia="zh-CN"/>
          <w14:textFill>
            <w14:solidFill>
              <w14:schemeClr w14:val="tx1"/>
            </w14:solidFill>
          </w14:textFill>
        </w:rPr>
        <w:t>充电锂电池，每次完全充电，可以进行</w:t>
      </w:r>
      <w:r>
        <w:rPr>
          <w:rFonts w:hint="eastAsia" w:ascii="宋体" w:hAnsi="宋体" w:cs="宋体"/>
          <w:color w:val="000000" w:themeColor="text1"/>
          <w:sz w:val="28"/>
          <w:szCs w:val="28"/>
          <w:highlight w:val="none"/>
          <w:lang w:val="en-US" w:eastAsia="zh-CN"/>
          <w14:textFill>
            <w14:solidFill>
              <w14:schemeClr w14:val="tx1"/>
            </w14:solidFill>
          </w14:textFill>
        </w:rPr>
        <w:t>≥</w:t>
      </w:r>
      <w:r>
        <w:rPr>
          <w:rFonts w:hint="eastAsia" w:ascii="宋体" w:hAnsi="宋体" w:cs="宋体"/>
          <w:color w:val="000000" w:themeColor="text1"/>
          <w:sz w:val="28"/>
          <w:szCs w:val="28"/>
          <w:highlight w:val="none"/>
          <w:lang w:eastAsia="zh-CN"/>
          <w14:textFill>
            <w14:solidFill>
              <w14:schemeClr w14:val="tx1"/>
            </w14:solidFill>
          </w14:textFill>
        </w:rPr>
        <w:t>15次标准治疗。</w:t>
      </w:r>
    </w:p>
    <w:p w14:paraId="6EA1948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w:t>
      </w:r>
      <w:r>
        <w:rPr>
          <w:rFonts w:hint="eastAsia" w:ascii="宋体" w:hAnsi="宋体" w:cs="宋体"/>
          <w:color w:val="000000" w:themeColor="text1"/>
          <w:sz w:val="28"/>
          <w:szCs w:val="28"/>
          <w:highlight w:val="none"/>
          <w:lang w:val="en-US" w:eastAsia="zh-CN"/>
          <w14:textFill>
            <w14:solidFill>
              <w14:schemeClr w14:val="tx1"/>
            </w14:solidFill>
          </w14:textFill>
        </w:rPr>
        <w:t>7.预置</w:t>
      </w:r>
      <w:r>
        <w:rPr>
          <w:rFonts w:hint="eastAsia" w:ascii="宋体" w:hAnsi="宋体" w:eastAsia="宋体" w:cs="宋体"/>
          <w:color w:val="000000" w:themeColor="text1"/>
          <w:sz w:val="28"/>
          <w:szCs w:val="28"/>
          <w:highlight w:val="none"/>
          <w:lang w:val="en-US" w:eastAsia="zh-CN"/>
          <w14:textFill>
            <w14:solidFill>
              <w14:schemeClr w14:val="tx1"/>
            </w14:solidFill>
          </w14:textFill>
        </w:rPr>
        <w:t>治疗模式</w:t>
      </w:r>
      <w:r>
        <w:rPr>
          <w:rFonts w:hint="eastAsia" w:ascii="宋体" w:hAnsi="宋体" w:cs="宋体"/>
          <w:color w:val="000000" w:themeColor="text1"/>
          <w:sz w:val="28"/>
          <w:szCs w:val="28"/>
          <w:highlight w:val="none"/>
          <w:lang w:val="en-US" w:eastAsia="zh-CN"/>
          <w14:textFill>
            <w14:solidFill>
              <w14:schemeClr w14:val="tx1"/>
            </w14:solidFill>
          </w14:textFill>
        </w:rPr>
        <w:t>≥3种，包括：</w:t>
      </w:r>
      <w:r>
        <w:rPr>
          <w:rFonts w:hint="eastAsia" w:ascii="宋体" w:hAnsi="宋体" w:eastAsia="宋体" w:cs="宋体"/>
          <w:color w:val="000000" w:themeColor="text1"/>
          <w:sz w:val="28"/>
          <w:szCs w:val="28"/>
          <w:highlight w:val="none"/>
          <w:lang w:val="en-US" w:eastAsia="zh-CN"/>
          <w14:textFill>
            <w14:solidFill>
              <w14:schemeClr w14:val="tx1"/>
            </w14:solidFill>
          </w14:textFill>
        </w:rPr>
        <w:t>快速镇痛模式、持续镇痛模式、诱导睡眠模式（burst模式）</w:t>
      </w:r>
      <w:r>
        <w:rPr>
          <w:rFonts w:hint="eastAsia" w:ascii="宋体" w:hAnsi="宋体" w:cs="宋体"/>
          <w:color w:val="000000" w:themeColor="text1"/>
          <w:sz w:val="28"/>
          <w:szCs w:val="28"/>
          <w:highlight w:val="none"/>
          <w:lang w:val="en-US" w:eastAsia="zh-CN"/>
          <w14:textFill>
            <w14:solidFill>
              <w14:schemeClr w14:val="tx1"/>
            </w14:solidFill>
          </w14:textFill>
        </w:rPr>
        <w:t>等。</w:t>
      </w:r>
    </w:p>
    <w:p w14:paraId="5096025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8.传感器能够准确测量和反馈皮肤的阻抗系数以及神经纤维的刺激域，通过智能芯片来准确调节BTECS刺激波的参数。</w:t>
      </w:r>
    </w:p>
    <w:p w14:paraId="10DB1C0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cs="宋体"/>
          <w:color w:val="000000" w:themeColor="text1"/>
          <w:sz w:val="28"/>
          <w:szCs w:val="28"/>
          <w:highlight w:val="none"/>
          <w:lang w:val="en-US" w:eastAsia="zh-CN"/>
          <w14:textFill>
            <w14:solidFill>
              <w14:schemeClr w14:val="tx1"/>
            </w14:solidFill>
          </w14:textFill>
        </w:rPr>
        <w:t>9</w:t>
      </w:r>
      <w:r>
        <w:rPr>
          <w:rFonts w:hint="eastAsia" w:ascii="宋体" w:hAnsi="宋体" w:eastAsia="宋体" w:cs="宋体"/>
          <w:color w:val="000000" w:themeColor="text1"/>
          <w:sz w:val="28"/>
          <w:szCs w:val="28"/>
          <w:highlight w:val="none"/>
          <w:lang w:val="en-US" w:eastAsia="zh-CN"/>
          <w14:textFill>
            <w14:solidFill>
              <w14:schemeClr w14:val="tx1"/>
            </w14:solidFill>
          </w14:textFill>
        </w:rPr>
        <w:t>.主机选用超轻型铝材，人体工学设计，连接处选用高密度聚合物</w:t>
      </w:r>
      <w:r>
        <w:rPr>
          <w:rFonts w:hint="eastAsia" w:ascii="宋体" w:hAnsi="宋体" w:cs="宋体"/>
          <w:color w:val="000000" w:themeColor="text1"/>
          <w:sz w:val="28"/>
          <w:szCs w:val="28"/>
          <w:highlight w:val="none"/>
          <w:lang w:val="en-US" w:eastAsia="zh-CN"/>
          <w14:textFill>
            <w14:solidFill>
              <w14:schemeClr w14:val="tx1"/>
            </w14:solidFill>
          </w14:textFill>
        </w:rPr>
        <w:t>，</w:t>
      </w:r>
      <w:r>
        <w:rPr>
          <w:rFonts w:hint="eastAsia" w:ascii="宋体" w:hAnsi="宋体" w:eastAsia="宋体" w:cs="宋体"/>
          <w:color w:val="000000" w:themeColor="text1"/>
          <w:sz w:val="28"/>
          <w:szCs w:val="28"/>
          <w:highlight w:val="none"/>
          <w:lang w:val="en-US" w:eastAsia="zh-CN"/>
          <w14:textFill>
            <w14:solidFill>
              <w14:schemeClr w14:val="tx1"/>
            </w14:solidFill>
          </w14:textFill>
        </w:rPr>
        <w:t>适合不同头围人使用。</w:t>
      </w:r>
    </w:p>
    <w:p w14:paraId="41457F74">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cs="宋体"/>
          <w:color w:val="000000" w:themeColor="text1"/>
          <w:sz w:val="28"/>
          <w:szCs w:val="28"/>
          <w:highlight w:val="none"/>
          <w:lang w:val="en-US" w:eastAsia="zh-CN"/>
          <w14:textFill>
            <w14:solidFill>
              <w14:schemeClr w14:val="tx1"/>
            </w14:solidFill>
          </w14:textFill>
        </w:rPr>
      </w:pPr>
      <w:r>
        <w:rPr>
          <w:rFonts w:hint="eastAsia" w:ascii="宋体" w:hAnsi="宋体" w:cs="宋体"/>
          <w:color w:val="000000" w:themeColor="text1"/>
          <w:sz w:val="28"/>
          <w:szCs w:val="28"/>
          <w:highlight w:val="none"/>
          <w:lang w:val="en-US" w:eastAsia="zh-CN"/>
          <w14:textFill>
            <w14:solidFill>
              <w14:schemeClr w14:val="tx1"/>
            </w14:solidFill>
          </w14:textFill>
        </w:rPr>
        <w:t>10.使用年限：5年。</w:t>
      </w:r>
    </w:p>
    <w:p w14:paraId="7D5B9C5A">
      <w:pPr>
        <w:pStyle w:val="31"/>
        <w:pageBreakBefore w:val="0"/>
        <w:wordWrap/>
        <w:topLinePunct w:val="0"/>
        <w:bidi w:val="0"/>
        <w:spacing w:before="0" w:after="0" w:line="560" w:lineRule="exact"/>
        <w:rPr>
          <w:rFonts w:hint="eastAsia" w:eastAsia="宋体"/>
          <w:color w:val="000000" w:themeColor="text1"/>
          <w:sz w:val="36"/>
          <w:szCs w:val="36"/>
          <w:highlight w:val="none"/>
          <w:lang w:eastAsia="zh-CN"/>
          <w14:textFill>
            <w14:solidFill>
              <w14:schemeClr w14:val="tx1"/>
            </w14:solidFill>
          </w14:textFill>
        </w:rPr>
      </w:pPr>
      <w:r>
        <w:rPr>
          <w:rFonts w:hint="eastAsia"/>
          <w:color w:val="000000" w:themeColor="text1"/>
          <w:sz w:val="36"/>
          <w:szCs w:val="36"/>
          <w:highlight w:val="none"/>
          <w14:textFill>
            <w14:solidFill>
              <w14:schemeClr w14:val="tx1"/>
            </w14:solidFill>
          </w14:textFill>
        </w:rPr>
        <w:t>第四章</w:t>
      </w:r>
      <w:r>
        <w:rPr>
          <w:color w:val="000000" w:themeColor="text1"/>
          <w:sz w:val="36"/>
          <w:szCs w:val="36"/>
          <w:highlight w:val="none"/>
          <w14:textFill>
            <w14:solidFill>
              <w14:schemeClr w14:val="tx1"/>
            </w14:solidFill>
          </w14:textFill>
        </w:rPr>
        <w:t xml:space="preserve">  </w:t>
      </w:r>
      <w:r>
        <w:rPr>
          <w:rFonts w:hint="eastAsia"/>
          <w:color w:val="000000" w:themeColor="text1"/>
          <w:sz w:val="36"/>
          <w:szCs w:val="36"/>
          <w:highlight w:val="none"/>
          <w14:textFill>
            <w14:solidFill>
              <w14:schemeClr w14:val="tx1"/>
            </w14:solidFill>
          </w14:textFill>
        </w:rPr>
        <w:t>评标方法及评分标准</w:t>
      </w:r>
      <w:r>
        <w:rPr>
          <w:rFonts w:hint="eastAsia" w:ascii="宋体" w:hAnsi="宋体" w:eastAsia="宋体" w:cs="宋体"/>
          <w:color w:val="000000" w:themeColor="text1"/>
          <w:sz w:val="36"/>
          <w:szCs w:val="36"/>
          <w:highlight w:val="none"/>
          <w:lang w:eastAsia="zh-CN"/>
          <w14:textFill>
            <w14:solidFill>
              <w14:schemeClr w14:val="tx1"/>
            </w14:solidFill>
          </w14:textFill>
        </w:rPr>
        <w:t>（标项</w:t>
      </w:r>
      <w:r>
        <w:rPr>
          <w:rFonts w:hint="eastAsia" w:ascii="宋体" w:hAnsi="宋体" w:cs="宋体"/>
          <w:color w:val="000000" w:themeColor="text1"/>
          <w:sz w:val="36"/>
          <w:szCs w:val="36"/>
          <w:highlight w:val="none"/>
          <w:lang w:val="en-US" w:eastAsia="zh-CN"/>
          <w14:textFill>
            <w14:solidFill>
              <w14:schemeClr w14:val="tx1"/>
            </w14:solidFill>
          </w14:textFill>
        </w:rPr>
        <w:t>4</w:t>
      </w:r>
      <w:r>
        <w:rPr>
          <w:rFonts w:hint="eastAsia" w:ascii="宋体" w:hAnsi="宋体" w:eastAsia="宋体" w:cs="宋体"/>
          <w:color w:val="000000" w:themeColor="text1"/>
          <w:sz w:val="36"/>
          <w:szCs w:val="36"/>
          <w:highlight w:val="none"/>
          <w:lang w:eastAsia="zh-CN"/>
          <w14:textFill>
            <w14:solidFill>
              <w14:schemeClr w14:val="tx1"/>
            </w14:solidFill>
          </w14:textFill>
        </w:rPr>
        <w:t>）</w:t>
      </w:r>
    </w:p>
    <w:p w14:paraId="6B402C10">
      <w:pPr>
        <w:pStyle w:val="4"/>
        <w:keepNext w:val="0"/>
        <w:keepLines w:val="0"/>
        <w:pageBreakBefore w:val="0"/>
        <w:wordWrap/>
        <w:topLinePunct w:val="0"/>
        <w:bidi w:val="0"/>
        <w:spacing w:line="560" w:lineRule="exact"/>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第一节</w:t>
      </w:r>
      <w:r>
        <w:rPr>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评标方法</w:t>
      </w:r>
    </w:p>
    <w:p w14:paraId="65E818A8">
      <w:pPr>
        <w:keepNext w:val="0"/>
        <w:keepLines w:val="0"/>
        <w:pageBreakBefore w:val="0"/>
        <w:widowControl w:val="0"/>
        <w:kinsoku/>
        <w:wordWrap/>
        <w:overflowPunct/>
        <w:topLinePunct w:val="0"/>
        <w:bidi w:val="0"/>
        <w:adjustRightInd/>
        <w:snapToGrid w:val="0"/>
        <w:spacing w:line="560" w:lineRule="exact"/>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本项目采用 以下方式进行评审。</w:t>
      </w:r>
    </w:p>
    <w:p w14:paraId="16FAE1E6">
      <w:pPr>
        <w:keepNext w:val="0"/>
        <w:keepLines w:val="0"/>
        <w:pageBreakBefore w:val="0"/>
        <w:widowControl w:val="0"/>
        <w:kinsoku/>
        <w:wordWrap/>
        <w:overflowPunct/>
        <w:topLinePunct w:val="0"/>
        <w:autoSpaceDE w:val="0"/>
        <w:autoSpaceDN w:val="0"/>
        <w:bidi w:val="0"/>
        <w:adjustRightInd/>
        <w:snapToGrid w:val="0"/>
        <w:spacing w:line="560" w:lineRule="exact"/>
        <w:ind w:firstLine="560" w:firstLineChars="200"/>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综合评分法，是指投标文件满足招标文件全部实质性要求，且按照评审因素的量化指标评审得分最高的</w:t>
      </w:r>
      <w:r>
        <w:rPr>
          <w:rFonts w:hint="eastAsia" w:ascii="宋体" w:hAnsi="宋体" w:cs="宋体"/>
          <w:color w:val="000000" w:themeColor="text1"/>
          <w:sz w:val="28"/>
          <w:szCs w:val="28"/>
          <w:highlight w:val="none"/>
          <w:lang w:eastAsia="zh-CN"/>
          <w14:textFill>
            <w14:solidFill>
              <w14:schemeClr w14:val="tx1"/>
            </w14:solidFill>
          </w14:textFill>
        </w:rPr>
        <w:t>供应商</w:t>
      </w:r>
      <w:r>
        <w:rPr>
          <w:rFonts w:hint="eastAsia" w:ascii="宋体" w:hAnsi="宋体" w:eastAsia="宋体" w:cs="宋体"/>
          <w:color w:val="000000" w:themeColor="text1"/>
          <w:sz w:val="28"/>
          <w:szCs w:val="28"/>
          <w:highlight w:val="none"/>
          <w14:textFill>
            <w14:solidFill>
              <w14:schemeClr w14:val="tx1"/>
            </w14:solidFill>
          </w14:textFill>
        </w:rPr>
        <w:t>为中标候选人的评标方法。评标委员会将对各</w:t>
      </w:r>
      <w:r>
        <w:rPr>
          <w:rFonts w:hint="eastAsia" w:ascii="宋体" w:hAnsi="宋体" w:cs="宋体"/>
          <w:color w:val="000000" w:themeColor="text1"/>
          <w:sz w:val="28"/>
          <w:szCs w:val="28"/>
          <w:highlight w:val="none"/>
          <w:lang w:eastAsia="zh-CN"/>
          <w14:textFill>
            <w14:solidFill>
              <w14:schemeClr w14:val="tx1"/>
            </w14:solidFill>
          </w14:textFill>
        </w:rPr>
        <w:t>供应商</w:t>
      </w:r>
      <w:r>
        <w:rPr>
          <w:rFonts w:hint="eastAsia" w:ascii="宋体" w:hAnsi="宋体" w:eastAsia="宋体" w:cs="宋体"/>
          <w:color w:val="000000" w:themeColor="text1"/>
          <w:sz w:val="28"/>
          <w:szCs w:val="28"/>
          <w:highlight w:val="none"/>
          <w14:textFill>
            <w14:solidFill>
              <w14:schemeClr w14:val="tx1"/>
            </w14:solidFill>
          </w14:textFill>
        </w:rPr>
        <w:t>的投标报价、技术和货物方案、</w:t>
      </w:r>
      <w:r>
        <w:rPr>
          <w:rFonts w:hint="eastAsia" w:ascii="宋体" w:hAnsi="宋体" w:cs="宋体"/>
          <w:color w:val="000000" w:themeColor="text1"/>
          <w:sz w:val="28"/>
          <w:szCs w:val="28"/>
          <w:highlight w:val="none"/>
          <w:lang w:eastAsia="zh-CN"/>
          <w14:textFill>
            <w14:solidFill>
              <w14:schemeClr w14:val="tx1"/>
            </w14:solidFill>
          </w14:textFill>
        </w:rPr>
        <w:t>供应商</w:t>
      </w:r>
      <w:r>
        <w:rPr>
          <w:rFonts w:hint="eastAsia" w:ascii="宋体" w:hAnsi="宋体" w:eastAsia="宋体" w:cs="宋体"/>
          <w:color w:val="000000" w:themeColor="text1"/>
          <w:sz w:val="28"/>
          <w:szCs w:val="28"/>
          <w:highlight w:val="none"/>
          <w14:textFill>
            <w14:solidFill>
              <w14:schemeClr w14:val="tx1"/>
            </w14:solidFill>
          </w14:textFill>
        </w:rPr>
        <w:t>的企业实力及资质等方面进行综合评审，对实质上响应招标文件的</w:t>
      </w:r>
      <w:r>
        <w:rPr>
          <w:rFonts w:hint="eastAsia" w:ascii="宋体" w:hAnsi="宋体" w:cs="宋体"/>
          <w:color w:val="000000" w:themeColor="text1"/>
          <w:sz w:val="28"/>
          <w:szCs w:val="28"/>
          <w:highlight w:val="none"/>
          <w:lang w:eastAsia="zh-CN"/>
          <w14:textFill>
            <w14:solidFill>
              <w14:schemeClr w14:val="tx1"/>
            </w14:solidFill>
          </w14:textFill>
        </w:rPr>
        <w:t>供应商</w:t>
      </w:r>
      <w:r>
        <w:rPr>
          <w:rFonts w:hint="eastAsia" w:ascii="宋体" w:hAnsi="宋体" w:eastAsia="宋体" w:cs="宋体"/>
          <w:color w:val="000000" w:themeColor="text1"/>
          <w:sz w:val="28"/>
          <w:szCs w:val="28"/>
          <w:highlight w:val="none"/>
          <w14:textFill>
            <w14:solidFill>
              <w14:schemeClr w14:val="tx1"/>
            </w14:solidFill>
          </w14:textFill>
        </w:rPr>
        <w:t>，由各评委独立记名打分。经统计，得出各</w:t>
      </w:r>
      <w:r>
        <w:rPr>
          <w:rFonts w:hint="eastAsia" w:ascii="宋体" w:hAnsi="宋体" w:cs="宋体"/>
          <w:color w:val="000000" w:themeColor="text1"/>
          <w:sz w:val="28"/>
          <w:szCs w:val="28"/>
          <w:highlight w:val="none"/>
          <w:lang w:eastAsia="zh-CN"/>
          <w14:textFill>
            <w14:solidFill>
              <w14:schemeClr w14:val="tx1"/>
            </w14:solidFill>
          </w14:textFill>
        </w:rPr>
        <w:t>供应商</w:t>
      </w:r>
      <w:r>
        <w:rPr>
          <w:rFonts w:hint="eastAsia" w:ascii="宋体" w:hAnsi="宋体" w:eastAsia="宋体" w:cs="宋体"/>
          <w:color w:val="000000" w:themeColor="text1"/>
          <w:sz w:val="28"/>
          <w:szCs w:val="28"/>
          <w:highlight w:val="none"/>
          <w14:textFill>
            <w14:solidFill>
              <w14:schemeClr w14:val="tx1"/>
            </w14:solidFill>
          </w14:textFill>
        </w:rPr>
        <w:t xml:space="preserve">的综合得分,按综合得分由高到低顺序排列。若综合得分相同的，按投标报价由低到高顺序排列。若综合得分且投标报价相同的，货物类采购项目以技术性能得分较高者为先，货物类采购项目以实力信誉及业绩得分较高者为先。 </w:t>
      </w:r>
    </w:p>
    <w:p w14:paraId="52DB8FDA">
      <w:pPr>
        <w:pStyle w:val="4"/>
        <w:keepNext w:val="0"/>
        <w:keepLines w:val="0"/>
        <w:pageBreakBefore w:val="0"/>
        <w:wordWrap/>
        <w:topLinePunct w:val="0"/>
        <w:bidi w:val="0"/>
        <w:spacing w:line="560" w:lineRule="exact"/>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第二节</w:t>
      </w:r>
      <w:r>
        <w:rPr>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评标程序</w:t>
      </w:r>
    </w:p>
    <w:p w14:paraId="195F8F0E">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asciiTheme="minorEastAsia" w:hAnsiTheme="minorEastAsia" w:eastAsia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b/>
          <w:color w:val="000000" w:themeColor="text1"/>
          <w:sz w:val="28"/>
          <w:szCs w:val="28"/>
          <w:highlight w:val="none"/>
          <w14:textFill>
            <w14:solidFill>
              <w14:schemeClr w14:val="tx1"/>
            </w14:solidFill>
          </w14:textFill>
        </w:rPr>
        <w:t>1.符合性审查</w:t>
      </w:r>
    </w:p>
    <w:p w14:paraId="67AB34F6">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评标委员会应当对符合资格的</w:t>
      </w:r>
      <w:r>
        <w:rPr>
          <w:rFonts w:hint="eastAsia" w:asciiTheme="minorEastAsia" w:hAnsiTheme="minorEastAsia" w:eastAsiaTheme="minorEastAsia"/>
          <w:color w:val="000000" w:themeColor="text1"/>
          <w:sz w:val="28"/>
          <w:szCs w:val="28"/>
          <w:highlight w:val="none"/>
          <w:lang w:eastAsia="zh-CN"/>
          <w14:textFill>
            <w14:solidFill>
              <w14:schemeClr w14:val="tx1"/>
            </w14:solidFill>
          </w14:textFill>
        </w:rPr>
        <w:t>供应商</w:t>
      </w:r>
      <w:r>
        <w:rPr>
          <w:rFonts w:hint="eastAsia" w:asciiTheme="minorEastAsia" w:hAnsiTheme="minorEastAsia" w:eastAsiaTheme="minorEastAsia"/>
          <w:color w:val="000000" w:themeColor="text1"/>
          <w:sz w:val="28"/>
          <w:szCs w:val="28"/>
          <w:highlight w:val="none"/>
          <w14:textFill>
            <w14:solidFill>
              <w14:schemeClr w14:val="tx1"/>
            </w14:solidFill>
          </w14:textFill>
        </w:rPr>
        <w:t>的投标文件进行投标报价、商务、技术等实质性内容符合性审查，以确定其是否满足招标文件的实质性要求。</w:t>
      </w:r>
    </w:p>
    <w:p w14:paraId="4F6F192E">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asciiTheme="minorEastAsia" w:hAnsiTheme="minorEastAsia" w:eastAsia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b/>
          <w:color w:val="000000" w:themeColor="text1"/>
          <w:sz w:val="28"/>
          <w:szCs w:val="28"/>
          <w:highlight w:val="none"/>
          <w14:textFill>
            <w14:solidFill>
              <w14:schemeClr w14:val="tx1"/>
            </w14:solidFill>
          </w14:textFill>
        </w:rPr>
        <w:t>2.符合性审查不通过而导致投标无效的情形</w:t>
      </w:r>
    </w:p>
    <w:p w14:paraId="12866197">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lang w:eastAsia="zh-CN"/>
          <w14:textFill>
            <w14:solidFill>
              <w14:schemeClr w14:val="tx1"/>
            </w14:solidFill>
          </w14:textFill>
        </w:rPr>
        <w:t>供应商</w:t>
      </w:r>
      <w:r>
        <w:rPr>
          <w:rFonts w:hint="eastAsia" w:asciiTheme="minorEastAsia" w:hAnsiTheme="minorEastAsia" w:eastAsiaTheme="minorEastAsia"/>
          <w:color w:val="000000" w:themeColor="text1"/>
          <w:sz w:val="28"/>
          <w:szCs w:val="28"/>
          <w:highlight w:val="none"/>
          <w14:textFill>
            <w14:solidFill>
              <w14:schemeClr w14:val="tx1"/>
            </w14:solidFill>
          </w14:textFill>
        </w:rPr>
        <w:t>的投标文件中存在对招标文件的任何实质性要求和条件的负偏离，将被视为投标无效。</w:t>
      </w:r>
    </w:p>
    <w:p w14:paraId="51E2CA0A">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2.1在报价评审时，如发现下列情形之一的，将被视为投标无效：</w:t>
      </w:r>
    </w:p>
    <w:p w14:paraId="2895FB25">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（1）投标文件未提供“</w:t>
      </w:r>
      <w:r>
        <w:rPr>
          <w:rFonts w:hint="eastAsia" w:asciiTheme="minorEastAsia" w:hAnsiTheme="minorEastAsia" w:eastAsiaTheme="minorEastAsia"/>
          <w:color w:val="000000" w:themeColor="text1"/>
          <w:sz w:val="28"/>
          <w:szCs w:val="28"/>
          <w:highlight w:val="none"/>
          <w:lang w:eastAsia="zh-CN"/>
          <w14:textFill>
            <w14:solidFill>
              <w14:schemeClr w14:val="tx1"/>
            </w14:solidFill>
          </w14:textFill>
        </w:rPr>
        <w:t>供应商</w:t>
      </w:r>
      <w:r>
        <w:rPr>
          <w:rFonts w:hint="eastAsia" w:asciiTheme="minorEastAsia" w:hAnsiTheme="minorEastAsia" w:eastAsiaTheme="minorEastAsia"/>
          <w:color w:val="000000" w:themeColor="text1"/>
          <w:sz w:val="28"/>
          <w:szCs w:val="28"/>
          <w:highlight w:val="none"/>
          <w14:textFill>
            <w14:solidFill>
              <w14:schemeClr w14:val="tx1"/>
            </w14:solidFill>
          </w14:textFill>
        </w:rPr>
        <w:t>须知前附表”第13.1条规定中“必须提供”的文件资料的;</w:t>
      </w:r>
    </w:p>
    <w:p w14:paraId="3CA15C37">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（2）未采用人民币报价或者未按照招标文件标明的币种报价的；</w:t>
      </w:r>
    </w:p>
    <w:p w14:paraId="3B6ED66D">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（3）报价超出招标文件规定最高限价，或者超出采购预算金额（包括分项预算）的；</w:t>
      </w:r>
    </w:p>
    <w:p w14:paraId="7F33C59B">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（4）</w:t>
      </w:r>
      <w:r>
        <w:rPr>
          <w:rFonts w:hint="eastAsia" w:asciiTheme="minorEastAsia" w:hAnsiTheme="minorEastAsia" w:eastAsiaTheme="minorEastAsia"/>
          <w:color w:val="000000" w:themeColor="text1"/>
          <w:sz w:val="28"/>
          <w:szCs w:val="28"/>
          <w:highlight w:val="none"/>
          <w:lang w:eastAsia="zh-CN"/>
          <w14:textFill>
            <w14:solidFill>
              <w14:schemeClr w14:val="tx1"/>
            </w14:solidFill>
          </w14:textFill>
        </w:rPr>
        <w:t>供应商</w:t>
      </w:r>
      <w:r>
        <w:rPr>
          <w:rFonts w:hint="eastAsia" w:asciiTheme="minorEastAsia" w:hAnsiTheme="minorEastAsia" w:eastAsiaTheme="minorEastAsia"/>
          <w:color w:val="000000" w:themeColor="text1"/>
          <w:sz w:val="28"/>
          <w:szCs w:val="28"/>
          <w:highlight w:val="none"/>
          <w14:textFill>
            <w14:solidFill>
              <w14:schemeClr w14:val="tx1"/>
            </w14:solidFill>
          </w14:textFill>
        </w:rPr>
        <w:t>未就所投的进行报价或者存在漏项报价；</w:t>
      </w:r>
      <w:r>
        <w:rPr>
          <w:rFonts w:hint="eastAsia" w:asciiTheme="minorEastAsia" w:hAnsiTheme="minorEastAsia" w:eastAsiaTheme="minorEastAsia"/>
          <w:color w:val="000000" w:themeColor="text1"/>
          <w:sz w:val="28"/>
          <w:szCs w:val="28"/>
          <w:highlight w:val="none"/>
          <w:lang w:eastAsia="zh-CN"/>
          <w14:textFill>
            <w14:solidFill>
              <w14:schemeClr w14:val="tx1"/>
            </w14:solidFill>
          </w14:textFill>
        </w:rPr>
        <w:t>供应商</w:t>
      </w:r>
      <w:r>
        <w:rPr>
          <w:rFonts w:hint="eastAsia" w:asciiTheme="minorEastAsia" w:hAnsiTheme="minorEastAsia" w:eastAsiaTheme="minorEastAsia"/>
          <w:color w:val="000000" w:themeColor="text1"/>
          <w:sz w:val="28"/>
          <w:szCs w:val="28"/>
          <w:highlight w:val="none"/>
          <w14:textFill>
            <w14:solidFill>
              <w14:schemeClr w14:val="tx1"/>
            </w14:solidFill>
          </w14:textFill>
        </w:rPr>
        <w:t>未就所投的单项内容作唯一报价；</w:t>
      </w:r>
      <w:r>
        <w:rPr>
          <w:rFonts w:hint="eastAsia" w:asciiTheme="minorEastAsia" w:hAnsiTheme="minorEastAsia" w:eastAsiaTheme="minorEastAsia"/>
          <w:color w:val="000000" w:themeColor="text1"/>
          <w:sz w:val="28"/>
          <w:szCs w:val="28"/>
          <w:highlight w:val="none"/>
          <w:lang w:eastAsia="zh-CN"/>
          <w14:textFill>
            <w14:solidFill>
              <w14:schemeClr w14:val="tx1"/>
            </w14:solidFill>
          </w14:textFill>
        </w:rPr>
        <w:t>供应商</w:t>
      </w:r>
      <w:r>
        <w:rPr>
          <w:rFonts w:hint="eastAsia" w:asciiTheme="minorEastAsia" w:hAnsiTheme="minorEastAsia" w:eastAsiaTheme="minorEastAsia"/>
          <w:color w:val="000000" w:themeColor="text1"/>
          <w:sz w:val="28"/>
          <w:szCs w:val="28"/>
          <w:highlight w:val="none"/>
          <w14:textFill>
            <w14:solidFill>
              <w14:schemeClr w14:val="tx1"/>
            </w14:solidFill>
          </w14:textFill>
        </w:rPr>
        <w:t>未就所投的全部内容作唯一总价报价；存在有选择、有条件报价的（招标文件允许有备选方案或者其他约定的除外）；</w:t>
      </w:r>
    </w:p>
    <w:p w14:paraId="3561C1E2">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（5）修正后的报价，</w:t>
      </w:r>
      <w:r>
        <w:rPr>
          <w:rFonts w:hint="eastAsia" w:asciiTheme="minorEastAsia" w:hAnsiTheme="minorEastAsia" w:eastAsiaTheme="minorEastAsia"/>
          <w:color w:val="000000" w:themeColor="text1"/>
          <w:sz w:val="28"/>
          <w:szCs w:val="28"/>
          <w:highlight w:val="none"/>
          <w:lang w:eastAsia="zh-CN"/>
          <w14:textFill>
            <w14:solidFill>
              <w14:schemeClr w14:val="tx1"/>
            </w14:solidFill>
          </w14:textFill>
        </w:rPr>
        <w:t>供应商</w:t>
      </w:r>
      <w:r>
        <w:rPr>
          <w:rFonts w:hint="eastAsia" w:asciiTheme="minorEastAsia" w:hAnsiTheme="minorEastAsia" w:eastAsiaTheme="minorEastAsia"/>
          <w:color w:val="000000" w:themeColor="text1"/>
          <w:sz w:val="28"/>
          <w:szCs w:val="28"/>
          <w:highlight w:val="none"/>
          <w14:textFill>
            <w14:solidFill>
              <w14:schemeClr w14:val="tx1"/>
            </w14:solidFill>
          </w14:textFill>
        </w:rPr>
        <w:t>不确认的；</w:t>
      </w:r>
    </w:p>
    <w:p w14:paraId="48196639">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（6）</w:t>
      </w:r>
      <w:r>
        <w:rPr>
          <w:rFonts w:hint="eastAsia" w:asciiTheme="minorEastAsia" w:hAnsiTheme="minorEastAsia" w:eastAsiaTheme="minorEastAsia"/>
          <w:color w:val="000000" w:themeColor="text1"/>
          <w:sz w:val="28"/>
          <w:szCs w:val="28"/>
          <w:highlight w:val="none"/>
          <w:lang w:eastAsia="zh-CN"/>
          <w14:textFill>
            <w14:solidFill>
              <w14:schemeClr w14:val="tx1"/>
            </w14:solidFill>
          </w14:textFill>
        </w:rPr>
        <w:t>供应商</w:t>
      </w:r>
      <w:r>
        <w:rPr>
          <w:rFonts w:hint="eastAsia" w:asciiTheme="minorEastAsia" w:hAnsiTheme="minorEastAsia" w:eastAsiaTheme="minorEastAsia"/>
          <w:color w:val="000000" w:themeColor="text1"/>
          <w:sz w:val="28"/>
          <w:szCs w:val="28"/>
          <w:highlight w:val="none"/>
          <w14:textFill>
            <w14:solidFill>
              <w14:schemeClr w14:val="tx1"/>
            </w14:solidFill>
          </w14:textFill>
        </w:rPr>
        <w:t>属于本章第5条第（2）项情形的。</w:t>
      </w:r>
    </w:p>
    <w:p w14:paraId="16C46915">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2.2在商务评审时，如发现下列情形之一的，将被视为投标无效：</w:t>
      </w:r>
    </w:p>
    <w:p w14:paraId="21675255">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（1）投标文件未按招标文件要求签署、盖章的；</w:t>
      </w:r>
    </w:p>
    <w:p w14:paraId="676526F4">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 xml:space="preserve">（2）委托代理人未能出具有效身份证明或者出具的身份证明与授权委托书中的信息不符的； </w:t>
      </w:r>
    </w:p>
    <w:p w14:paraId="7814848F">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（3）投标文件未提供“</w:t>
      </w:r>
      <w:r>
        <w:rPr>
          <w:rFonts w:hint="eastAsia" w:asciiTheme="minorEastAsia" w:hAnsiTheme="minorEastAsia" w:eastAsiaTheme="minorEastAsia"/>
          <w:color w:val="000000" w:themeColor="text1"/>
          <w:sz w:val="28"/>
          <w:szCs w:val="28"/>
          <w:highlight w:val="none"/>
          <w:lang w:eastAsia="zh-CN"/>
          <w14:textFill>
            <w14:solidFill>
              <w14:schemeClr w14:val="tx1"/>
            </w14:solidFill>
          </w14:textFill>
        </w:rPr>
        <w:t>供应商</w:t>
      </w:r>
      <w:r>
        <w:rPr>
          <w:rFonts w:hint="eastAsia" w:asciiTheme="minorEastAsia" w:hAnsiTheme="minorEastAsia" w:eastAsiaTheme="minorEastAsia"/>
          <w:color w:val="000000" w:themeColor="text1"/>
          <w:sz w:val="28"/>
          <w:szCs w:val="28"/>
          <w:highlight w:val="none"/>
          <w14:textFill>
            <w14:solidFill>
              <w14:schemeClr w14:val="tx1"/>
            </w14:solidFill>
          </w14:textFill>
        </w:rPr>
        <w:t>须知前附表”第13.1条规定中“必须提供”或者“委托时必须提供”的文件资料的;</w:t>
      </w:r>
    </w:p>
    <w:p w14:paraId="0A59296F">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（4）投标有效期、项目完成时间（交货时间、货物完成时间或者货物期等）、质保期、售后货物等招标文件中标“</w:t>
      </w:r>
      <w:r>
        <w:rPr>
          <w:rFonts w:hint="eastAsia" w:ascii="宋体" w:hAnsi="宋体" w:eastAsia="宋体" w:cs="宋体"/>
          <w:color w:val="000000" w:themeColor="text1"/>
          <w:sz w:val="28"/>
          <w:szCs w:val="28"/>
          <w:highlight w:val="none"/>
          <w14:textFill>
            <w14:solidFill>
              <w14:schemeClr w14:val="tx1"/>
            </w14:solidFill>
          </w14:textFill>
        </w:rPr>
        <w:t>★</w:t>
      </w:r>
      <w:r>
        <w:rPr>
          <w:rFonts w:hint="eastAsia" w:asciiTheme="minorEastAsia" w:hAnsiTheme="minorEastAsia" w:eastAsiaTheme="minorEastAsia"/>
          <w:color w:val="000000" w:themeColor="text1"/>
          <w:sz w:val="28"/>
          <w:szCs w:val="28"/>
          <w:highlight w:val="none"/>
          <w14:textFill>
            <w14:solidFill>
              <w14:schemeClr w14:val="tx1"/>
            </w14:solidFill>
          </w14:textFill>
        </w:rPr>
        <w:t>”的商务条款发生负偏离的；</w:t>
      </w:r>
    </w:p>
    <w:p w14:paraId="3D82B9EC">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（5）商务条款评审允许负偏离的条款数超过“</w:t>
      </w:r>
      <w:r>
        <w:rPr>
          <w:rFonts w:hint="eastAsia" w:asciiTheme="minorEastAsia" w:hAnsiTheme="minorEastAsia" w:eastAsiaTheme="minorEastAsia"/>
          <w:color w:val="000000" w:themeColor="text1"/>
          <w:sz w:val="28"/>
          <w:szCs w:val="28"/>
          <w:highlight w:val="none"/>
          <w:lang w:eastAsia="zh-CN"/>
          <w14:textFill>
            <w14:solidFill>
              <w14:schemeClr w14:val="tx1"/>
            </w14:solidFill>
          </w14:textFill>
        </w:rPr>
        <w:t>供应商</w:t>
      </w:r>
      <w:r>
        <w:rPr>
          <w:rFonts w:hint="eastAsia" w:asciiTheme="minorEastAsia" w:hAnsiTheme="minorEastAsia" w:eastAsiaTheme="minorEastAsia"/>
          <w:color w:val="000000" w:themeColor="text1"/>
          <w:sz w:val="28"/>
          <w:szCs w:val="28"/>
          <w:highlight w:val="none"/>
          <w14:textFill>
            <w14:solidFill>
              <w14:schemeClr w14:val="tx1"/>
            </w14:solidFill>
          </w14:textFill>
        </w:rPr>
        <w:t>须知前附表”规定项数的。</w:t>
      </w:r>
    </w:p>
    <w:p w14:paraId="3C9E7F53">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（6）投标文件的实质性内容未使用中文表述、使用计量单位不符合招标文件要求的；</w:t>
      </w:r>
    </w:p>
    <w:p w14:paraId="105CBA5B">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（7）投标文件中的文件资料因填写不齐全或者内容虚假或者出现其他情形而导致被评标委员会认定无效的；</w:t>
      </w:r>
    </w:p>
    <w:p w14:paraId="74348101">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（8）投标文件含有采购人不能接受的附加条件的；</w:t>
      </w:r>
    </w:p>
    <w:p w14:paraId="219D8039">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（9）未响应招标文件实质性要求的；</w:t>
      </w:r>
    </w:p>
    <w:p w14:paraId="4E7DE1B2">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（10）属于</w:t>
      </w:r>
      <w:r>
        <w:rPr>
          <w:rFonts w:hint="eastAsia" w:asciiTheme="minorEastAsia" w:hAnsiTheme="minorEastAsia" w:eastAsiaTheme="minorEastAsia"/>
          <w:color w:val="000000" w:themeColor="text1"/>
          <w:sz w:val="28"/>
          <w:szCs w:val="28"/>
          <w:highlight w:val="none"/>
          <w:lang w:eastAsia="zh-CN"/>
          <w14:textFill>
            <w14:solidFill>
              <w14:schemeClr w14:val="tx1"/>
            </w14:solidFill>
          </w14:textFill>
        </w:rPr>
        <w:t>供应商</w:t>
      </w:r>
      <w:r>
        <w:rPr>
          <w:rFonts w:hint="eastAsia" w:asciiTheme="minorEastAsia" w:hAnsiTheme="minorEastAsia" w:eastAsiaTheme="minorEastAsia"/>
          <w:color w:val="000000" w:themeColor="text1"/>
          <w:sz w:val="28"/>
          <w:szCs w:val="28"/>
          <w:highlight w:val="none"/>
          <w14:textFill>
            <w14:solidFill>
              <w14:schemeClr w14:val="tx1"/>
            </w14:solidFill>
          </w14:textFill>
        </w:rPr>
        <w:t>须知正文第9.2条情形的；</w:t>
      </w:r>
    </w:p>
    <w:p w14:paraId="55330635">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（11）法律、法规和招标文件规定的其他无效情形。</w:t>
      </w:r>
    </w:p>
    <w:p w14:paraId="3B4AD56E">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2.3在技术评审时，如发现下列情形之一的，将被视为投标无效：</w:t>
      </w:r>
    </w:p>
    <w:p w14:paraId="12E46108">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w:t>
      </w:r>
      <w:r>
        <w:rPr>
          <w:rFonts w:asciiTheme="minorEastAsia" w:hAnsiTheme="minorEastAsia" w:eastAsiaTheme="minorEastAsia"/>
          <w:color w:val="000000" w:themeColor="text1"/>
          <w:sz w:val="28"/>
          <w:szCs w:val="28"/>
          <w:highlight w:val="none"/>
          <w14:textFill>
            <w14:solidFill>
              <w14:schemeClr w14:val="tx1"/>
            </w14:solidFill>
          </w14:textFill>
        </w:rPr>
        <w:t>1</w:t>
      </w:r>
      <w:r>
        <w:rPr>
          <w:rFonts w:hint="eastAsia" w:asciiTheme="minorEastAsia" w:hAnsiTheme="minorEastAsia" w:eastAsiaTheme="minorEastAsia"/>
          <w:color w:val="000000" w:themeColor="text1"/>
          <w:sz w:val="28"/>
          <w:szCs w:val="28"/>
          <w:highlight w:val="none"/>
          <w14:textFill>
            <w14:solidFill>
              <w14:schemeClr w14:val="tx1"/>
            </w14:solidFill>
          </w14:textFill>
        </w:rPr>
        <w:t>）不满足招标文件要求的货物内容、技术要求、安全、质量标准，或者与招标文件中标“</w:t>
      </w:r>
      <w:r>
        <w:rPr>
          <w:rFonts w:hint="eastAsia" w:ascii="宋体" w:hAnsi="宋体" w:eastAsia="宋体" w:cs="宋体"/>
          <w:color w:val="000000" w:themeColor="text1"/>
          <w:sz w:val="28"/>
          <w:szCs w:val="28"/>
          <w:highlight w:val="none"/>
          <w14:textFill>
            <w14:solidFill>
              <w14:schemeClr w14:val="tx1"/>
            </w14:solidFill>
          </w14:textFill>
        </w:rPr>
        <w:t>★</w:t>
      </w:r>
      <w:r>
        <w:rPr>
          <w:rFonts w:hint="eastAsia" w:asciiTheme="minorEastAsia" w:hAnsiTheme="minorEastAsia" w:eastAsiaTheme="minorEastAsia"/>
          <w:color w:val="000000" w:themeColor="text1"/>
          <w:sz w:val="28"/>
          <w:szCs w:val="28"/>
          <w:highlight w:val="none"/>
          <w14:textFill>
            <w14:solidFill>
              <w14:schemeClr w14:val="tx1"/>
            </w14:solidFill>
          </w14:textFill>
        </w:rPr>
        <w:t>”的技术需求发生负偏离的；</w:t>
      </w:r>
    </w:p>
    <w:p w14:paraId="2BCD21CF">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w:t>
      </w:r>
      <w:r>
        <w:rPr>
          <w:rFonts w:asciiTheme="minorEastAsia" w:hAnsiTheme="minorEastAsia" w:eastAsiaTheme="minorEastAsia"/>
          <w:color w:val="000000" w:themeColor="text1"/>
          <w:sz w:val="28"/>
          <w:szCs w:val="28"/>
          <w:highlight w:val="none"/>
          <w14:textFill>
            <w14:solidFill>
              <w14:schemeClr w14:val="tx1"/>
            </w14:solidFill>
          </w14:textFill>
        </w:rPr>
        <w:t>2</w:t>
      </w:r>
      <w:r>
        <w:rPr>
          <w:rFonts w:hint="eastAsia" w:asciiTheme="minorEastAsia" w:hAnsiTheme="minorEastAsia" w:eastAsiaTheme="minorEastAsia"/>
          <w:color w:val="000000" w:themeColor="text1"/>
          <w:sz w:val="28"/>
          <w:szCs w:val="28"/>
          <w:highlight w:val="none"/>
          <w14:textFill>
            <w14:solidFill>
              <w14:schemeClr w14:val="tx1"/>
            </w14:solidFill>
          </w14:textFill>
        </w:rPr>
        <w:t>）技术需求评审允许负偏离的条款数超过“</w:t>
      </w:r>
      <w:r>
        <w:rPr>
          <w:rFonts w:hint="eastAsia" w:asciiTheme="minorEastAsia" w:hAnsiTheme="minorEastAsia" w:eastAsiaTheme="minorEastAsia"/>
          <w:color w:val="000000" w:themeColor="text1"/>
          <w:sz w:val="28"/>
          <w:szCs w:val="28"/>
          <w:highlight w:val="none"/>
          <w:lang w:eastAsia="zh-CN"/>
          <w14:textFill>
            <w14:solidFill>
              <w14:schemeClr w14:val="tx1"/>
            </w14:solidFill>
          </w14:textFill>
        </w:rPr>
        <w:t>供应商</w:t>
      </w:r>
      <w:r>
        <w:rPr>
          <w:rFonts w:hint="eastAsia" w:asciiTheme="minorEastAsia" w:hAnsiTheme="minorEastAsia" w:eastAsiaTheme="minorEastAsia"/>
          <w:color w:val="000000" w:themeColor="text1"/>
          <w:sz w:val="28"/>
          <w:szCs w:val="28"/>
          <w:highlight w:val="none"/>
          <w14:textFill>
            <w14:solidFill>
              <w14:schemeClr w14:val="tx1"/>
            </w14:solidFill>
          </w14:textFill>
        </w:rPr>
        <w:t>须知前附表”规定项数的；</w:t>
      </w:r>
    </w:p>
    <w:p w14:paraId="4A171021">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w:t>
      </w:r>
      <w:r>
        <w:rPr>
          <w:rFonts w:asciiTheme="minorEastAsia" w:hAnsiTheme="minorEastAsia" w:eastAsiaTheme="minorEastAsia"/>
          <w:color w:val="000000" w:themeColor="text1"/>
          <w:sz w:val="28"/>
          <w:szCs w:val="28"/>
          <w:highlight w:val="none"/>
          <w14:textFill>
            <w14:solidFill>
              <w14:schemeClr w14:val="tx1"/>
            </w14:solidFill>
          </w14:textFill>
        </w:rPr>
        <w:t>3</w:t>
      </w:r>
      <w:r>
        <w:rPr>
          <w:rFonts w:hint="eastAsia" w:asciiTheme="minorEastAsia" w:hAnsiTheme="minorEastAsia" w:eastAsiaTheme="minorEastAsia"/>
          <w:color w:val="000000" w:themeColor="text1"/>
          <w:sz w:val="28"/>
          <w:szCs w:val="28"/>
          <w:highlight w:val="none"/>
          <w14:textFill>
            <w14:solidFill>
              <w14:schemeClr w14:val="tx1"/>
            </w14:solidFill>
          </w14:textFill>
        </w:rPr>
        <w:t>）投标文件未提供“</w:t>
      </w:r>
      <w:r>
        <w:rPr>
          <w:rFonts w:hint="eastAsia" w:asciiTheme="minorEastAsia" w:hAnsiTheme="minorEastAsia" w:eastAsiaTheme="minorEastAsia"/>
          <w:color w:val="000000" w:themeColor="text1"/>
          <w:sz w:val="28"/>
          <w:szCs w:val="28"/>
          <w:highlight w:val="none"/>
          <w:lang w:eastAsia="zh-CN"/>
          <w14:textFill>
            <w14:solidFill>
              <w14:schemeClr w14:val="tx1"/>
            </w14:solidFill>
          </w14:textFill>
        </w:rPr>
        <w:t>供应商</w:t>
      </w:r>
      <w:r>
        <w:rPr>
          <w:rFonts w:hint="eastAsia" w:asciiTheme="minorEastAsia" w:hAnsiTheme="minorEastAsia" w:eastAsiaTheme="minorEastAsia"/>
          <w:color w:val="000000" w:themeColor="text1"/>
          <w:sz w:val="28"/>
          <w:szCs w:val="28"/>
          <w:highlight w:val="none"/>
          <w14:textFill>
            <w14:solidFill>
              <w14:schemeClr w14:val="tx1"/>
            </w14:solidFill>
          </w14:textFill>
        </w:rPr>
        <w:t>须知前附表”第</w:t>
      </w:r>
      <w:r>
        <w:rPr>
          <w:rFonts w:asciiTheme="minorEastAsia" w:hAnsiTheme="minorEastAsia" w:eastAsiaTheme="minorEastAsia"/>
          <w:color w:val="000000" w:themeColor="text1"/>
          <w:sz w:val="28"/>
          <w:szCs w:val="28"/>
          <w:highlight w:val="none"/>
          <w14:textFill>
            <w14:solidFill>
              <w14:schemeClr w14:val="tx1"/>
            </w14:solidFill>
          </w14:textFill>
        </w:rPr>
        <w:t>13.1</w:t>
      </w:r>
      <w:r>
        <w:rPr>
          <w:rFonts w:hint="eastAsia" w:asciiTheme="minorEastAsia" w:hAnsiTheme="minorEastAsia" w:eastAsiaTheme="minorEastAsia"/>
          <w:color w:val="000000" w:themeColor="text1"/>
          <w:sz w:val="28"/>
          <w:szCs w:val="28"/>
          <w:highlight w:val="none"/>
          <w14:textFill>
            <w14:solidFill>
              <w14:schemeClr w14:val="tx1"/>
            </w14:solidFill>
          </w14:textFill>
        </w:rPr>
        <w:t>条规定中“必须提供”的文件资料的</w:t>
      </w:r>
      <w:r>
        <w:rPr>
          <w:rFonts w:asciiTheme="minorEastAsia" w:hAnsiTheme="minorEastAsia" w:eastAsiaTheme="minorEastAsia"/>
          <w:color w:val="000000" w:themeColor="text1"/>
          <w:sz w:val="28"/>
          <w:szCs w:val="28"/>
          <w:highlight w:val="none"/>
          <w14:textFill>
            <w14:solidFill>
              <w14:schemeClr w14:val="tx1"/>
            </w14:solidFill>
          </w14:textFill>
        </w:rPr>
        <w:t>;</w:t>
      </w:r>
    </w:p>
    <w:p w14:paraId="17604B7C">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w:t>
      </w:r>
      <w:r>
        <w:rPr>
          <w:rFonts w:asciiTheme="minorEastAsia" w:hAnsiTheme="minorEastAsia" w:eastAsiaTheme="minorEastAsia"/>
          <w:color w:val="000000" w:themeColor="text1"/>
          <w:sz w:val="28"/>
          <w:szCs w:val="28"/>
          <w:highlight w:val="none"/>
          <w14:textFill>
            <w14:solidFill>
              <w14:schemeClr w14:val="tx1"/>
            </w14:solidFill>
          </w14:textFill>
        </w:rPr>
        <w:t>4</w:t>
      </w:r>
      <w:r>
        <w:rPr>
          <w:rFonts w:hint="eastAsia" w:asciiTheme="minorEastAsia" w:hAnsiTheme="minorEastAsia" w:eastAsiaTheme="minorEastAsia"/>
          <w:color w:val="000000" w:themeColor="text1"/>
          <w:sz w:val="28"/>
          <w:szCs w:val="28"/>
          <w:highlight w:val="none"/>
          <w14:textFill>
            <w14:solidFill>
              <w14:schemeClr w14:val="tx1"/>
            </w14:solidFill>
          </w14:textFill>
        </w:rPr>
        <w:t>）虚假投标，或者出现其他情形而导致被评标委员会认定无效的；</w:t>
      </w:r>
    </w:p>
    <w:p w14:paraId="45565A73">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w:t>
      </w:r>
      <w:r>
        <w:rPr>
          <w:rFonts w:asciiTheme="minorEastAsia" w:hAnsiTheme="minorEastAsia" w:eastAsiaTheme="minorEastAsia"/>
          <w:color w:val="000000" w:themeColor="text1"/>
          <w:sz w:val="28"/>
          <w:szCs w:val="28"/>
          <w:highlight w:val="none"/>
          <w14:textFill>
            <w14:solidFill>
              <w14:schemeClr w14:val="tx1"/>
            </w14:solidFill>
          </w14:textFill>
        </w:rPr>
        <w:t>5</w:t>
      </w:r>
      <w:r>
        <w:rPr>
          <w:rFonts w:hint="eastAsia" w:asciiTheme="minorEastAsia" w:hAnsiTheme="minorEastAsia" w:eastAsiaTheme="minorEastAsia"/>
          <w:color w:val="000000" w:themeColor="text1"/>
          <w:sz w:val="28"/>
          <w:szCs w:val="28"/>
          <w:highlight w:val="none"/>
          <w14:textFill>
            <w14:solidFill>
              <w14:schemeClr w14:val="tx1"/>
            </w14:solidFill>
          </w14:textFill>
        </w:rPr>
        <w:t>）招标文件要求提供技术方案的，投标技术方案不明确，招标文件未允许但存在一个或者一个以上备选（替代）投标方案的。</w:t>
      </w:r>
    </w:p>
    <w:p w14:paraId="0EFD15A3">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asciiTheme="minorEastAsia" w:hAnsiTheme="minorEastAsia" w:eastAsia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b/>
          <w:color w:val="000000" w:themeColor="text1"/>
          <w:sz w:val="28"/>
          <w:szCs w:val="28"/>
          <w:highlight w:val="none"/>
          <w14:textFill>
            <w14:solidFill>
              <w14:schemeClr w14:val="tx1"/>
            </w14:solidFill>
          </w14:textFill>
        </w:rPr>
        <w:t>3.澄清补正、说明或者补正</w:t>
      </w:r>
    </w:p>
    <w:p w14:paraId="0CAEF235">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cs="Courier New" w:asciiTheme="minorEastAsia" w:hAnsiTheme="minorEastAsia" w:eastAsiaTheme="minorEastAsia"/>
          <w:color w:val="000000" w:themeColor="text1"/>
          <w:sz w:val="28"/>
          <w:szCs w:val="28"/>
          <w:highlight w:val="none"/>
          <w14:textFill>
            <w14:solidFill>
              <w14:schemeClr w14:val="tx1"/>
            </w14:solidFill>
          </w14:textFill>
        </w:rPr>
      </w:pPr>
      <w:r>
        <w:rPr>
          <w:rFonts w:hint="eastAsia" w:cs="Courier New" w:asciiTheme="minorEastAsia" w:hAnsiTheme="minorEastAsia" w:eastAsiaTheme="minorEastAsia"/>
          <w:color w:val="000000" w:themeColor="text1"/>
          <w:sz w:val="28"/>
          <w:szCs w:val="28"/>
          <w:highlight w:val="none"/>
          <w14:textFill>
            <w14:solidFill>
              <w14:schemeClr w14:val="tx1"/>
            </w14:solidFill>
          </w14:textFill>
        </w:rPr>
        <w:t>对投标文件中含义不明确、同类问题表述不一致或者有明显文字和计算错误的内容，评标委员会应在“政采云”平台发布电子澄清函，要求</w:t>
      </w:r>
      <w:r>
        <w:rPr>
          <w:rFonts w:hint="eastAsia" w:cs="Courier New" w:asciiTheme="minorEastAsia" w:hAnsiTheme="minorEastAsia" w:eastAsiaTheme="minorEastAsia"/>
          <w:color w:val="000000" w:themeColor="text1"/>
          <w:sz w:val="28"/>
          <w:szCs w:val="28"/>
          <w:highlight w:val="none"/>
          <w:lang w:eastAsia="zh-CN"/>
          <w14:textFill>
            <w14:solidFill>
              <w14:schemeClr w14:val="tx1"/>
            </w14:solidFill>
          </w14:textFill>
        </w:rPr>
        <w:t>供应商</w:t>
      </w:r>
      <w:r>
        <w:rPr>
          <w:rFonts w:hint="eastAsia" w:cs="Courier New" w:asciiTheme="minorEastAsia" w:hAnsiTheme="minorEastAsia" w:eastAsiaTheme="minorEastAsia"/>
          <w:color w:val="000000" w:themeColor="text1"/>
          <w:sz w:val="28"/>
          <w:szCs w:val="28"/>
          <w:highlight w:val="none"/>
          <w14:textFill>
            <w14:solidFill>
              <w14:schemeClr w14:val="tx1"/>
            </w14:solidFill>
          </w14:textFill>
        </w:rPr>
        <w:t>在规定时间内作出必要的澄清、说明或者补正。</w:t>
      </w:r>
      <w:r>
        <w:rPr>
          <w:rFonts w:hint="eastAsia" w:cs="Courier New" w:asciiTheme="minorEastAsia" w:hAnsiTheme="minorEastAsia" w:eastAsiaTheme="minorEastAsia"/>
          <w:color w:val="000000" w:themeColor="text1"/>
          <w:sz w:val="28"/>
          <w:szCs w:val="28"/>
          <w:highlight w:val="none"/>
          <w:lang w:eastAsia="zh-CN"/>
          <w14:textFill>
            <w14:solidFill>
              <w14:schemeClr w14:val="tx1"/>
            </w14:solidFill>
          </w14:textFill>
        </w:rPr>
        <w:t>供应商</w:t>
      </w:r>
      <w:r>
        <w:rPr>
          <w:rFonts w:hint="eastAsia" w:cs="Courier New" w:asciiTheme="minorEastAsia" w:hAnsiTheme="minorEastAsia" w:eastAsiaTheme="minorEastAsia"/>
          <w:color w:val="000000" w:themeColor="text1"/>
          <w:sz w:val="28"/>
          <w:szCs w:val="28"/>
          <w:highlight w:val="none"/>
          <w14:textFill>
            <w14:solidFill>
              <w14:schemeClr w14:val="tx1"/>
            </w14:solidFill>
          </w14:textFill>
        </w:rPr>
        <w:t>在“政采云”平台接收到电子澄清函后根据澄清函内容上传PDF格式回函，电子澄清答复函使用CA证书加盖单位公章后在线上传至评标委员会。</w:t>
      </w:r>
      <w:r>
        <w:rPr>
          <w:rFonts w:hint="eastAsia" w:cs="Courier New" w:asciiTheme="minorEastAsia" w:hAnsiTheme="minorEastAsia" w:eastAsiaTheme="minorEastAsia"/>
          <w:color w:val="000000" w:themeColor="text1"/>
          <w:sz w:val="28"/>
          <w:szCs w:val="28"/>
          <w:highlight w:val="none"/>
          <w:lang w:eastAsia="zh-CN"/>
          <w14:textFill>
            <w14:solidFill>
              <w14:schemeClr w14:val="tx1"/>
            </w14:solidFill>
          </w14:textFill>
        </w:rPr>
        <w:t>供应商</w:t>
      </w:r>
      <w:r>
        <w:rPr>
          <w:rFonts w:hint="eastAsia" w:cs="Courier New" w:asciiTheme="minorEastAsia" w:hAnsiTheme="minorEastAsia" w:eastAsiaTheme="minorEastAsia"/>
          <w:color w:val="000000" w:themeColor="text1"/>
          <w:sz w:val="28"/>
          <w:szCs w:val="28"/>
          <w:highlight w:val="none"/>
          <w14:textFill>
            <w14:solidFill>
              <w14:schemeClr w14:val="tx1"/>
            </w14:solidFill>
          </w14:textFill>
        </w:rPr>
        <w:t>的澄清、说明或者补正不得超出投标文件的范围或者改变投标文件的实质性内容。</w:t>
      </w:r>
      <w:r>
        <w:rPr>
          <w:rFonts w:hint="eastAsia" w:cs="Courier New" w:asciiTheme="minorEastAsia" w:hAnsiTheme="minorEastAsia" w:eastAsiaTheme="minorEastAsia"/>
          <w:color w:val="000000" w:themeColor="text1"/>
          <w:sz w:val="28"/>
          <w:szCs w:val="28"/>
          <w:highlight w:val="none"/>
          <w:lang w:eastAsia="zh-CN"/>
          <w14:textFill>
            <w14:solidFill>
              <w14:schemeClr w14:val="tx1"/>
            </w14:solidFill>
          </w14:textFill>
        </w:rPr>
        <w:t>供应商</w:t>
      </w:r>
      <w:r>
        <w:rPr>
          <w:rFonts w:hint="eastAsia" w:cs="Courier New" w:asciiTheme="minorEastAsia" w:hAnsiTheme="minorEastAsia" w:eastAsiaTheme="minorEastAsia"/>
          <w:color w:val="000000" w:themeColor="text1"/>
          <w:sz w:val="28"/>
          <w:szCs w:val="28"/>
          <w:highlight w:val="none"/>
          <w14:textFill>
            <w14:solidFill>
              <w14:schemeClr w14:val="tx1"/>
            </w14:solidFill>
          </w14:textFill>
        </w:rPr>
        <w:t>未在规定时间内进行澄清、说明或者补正的，按无效投标处理。</w:t>
      </w:r>
    </w:p>
    <w:p w14:paraId="05DDBAEB">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cs="Courier New" w:asciiTheme="minorEastAsia" w:hAnsiTheme="minorEastAsia" w:eastAsiaTheme="minorEastAsia"/>
          <w:color w:val="000000" w:themeColor="text1"/>
          <w:sz w:val="28"/>
          <w:szCs w:val="28"/>
          <w:highlight w:val="none"/>
          <w14:textFill>
            <w14:solidFill>
              <w14:schemeClr w14:val="tx1"/>
            </w14:solidFill>
          </w14:textFill>
        </w:rPr>
      </w:pPr>
      <w:r>
        <w:rPr>
          <w:rFonts w:hint="eastAsia" w:cs="Courier New" w:asciiTheme="minorEastAsia" w:hAnsiTheme="minorEastAsia" w:eastAsiaTheme="minorEastAsia"/>
          <w:color w:val="000000" w:themeColor="text1"/>
          <w:sz w:val="28"/>
          <w:szCs w:val="28"/>
          <w:highlight w:val="none"/>
          <w14:textFill>
            <w14:solidFill>
              <w14:schemeClr w14:val="tx1"/>
            </w14:solidFill>
          </w14:textFill>
        </w:rPr>
        <w:t>异常情况处理：如遇无法正常使用线上发送澄清函的情况，将启动书面形式办理。启动书面形式办理的情况下，评标委员会以书面形式要求</w:t>
      </w:r>
      <w:r>
        <w:rPr>
          <w:rFonts w:hint="eastAsia" w:cs="Courier New" w:asciiTheme="minorEastAsia" w:hAnsiTheme="minorEastAsia" w:eastAsiaTheme="minorEastAsia"/>
          <w:color w:val="000000" w:themeColor="text1"/>
          <w:sz w:val="28"/>
          <w:szCs w:val="28"/>
          <w:highlight w:val="none"/>
          <w:lang w:eastAsia="zh-CN"/>
          <w14:textFill>
            <w14:solidFill>
              <w14:schemeClr w14:val="tx1"/>
            </w14:solidFill>
          </w14:textFill>
        </w:rPr>
        <w:t>供应商</w:t>
      </w:r>
      <w:r>
        <w:rPr>
          <w:rFonts w:hint="eastAsia" w:cs="Courier New" w:asciiTheme="minorEastAsia" w:hAnsiTheme="minorEastAsia" w:eastAsiaTheme="minorEastAsia"/>
          <w:color w:val="000000" w:themeColor="text1"/>
          <w:sz w:val="28"/>
          <w:szCs w:val="28"/>
          <w:highlight w:val="none"/>
          <w14:textFill>
            <w14:solidFill>
              <w14:schemeClr w14:val="tx1"/>
            </w14:solidFill>
          </w14:textFill>
        </w:rPr>
        <w:t>在规定时间内作出必要的澄清、说明或者补正。</w:t>
      </w:r>
      <w:r>
        <w:rPr>
          <w:rFonts w:hint="eastAsia" w:cs="Courier New" w:asciiTheme="minorEastAsia" w:hAnsiTheme="minorEastAsia" w:eastAsiaTheme="minorEastAsia"/>
          <w:color w:val="000000" w:themeColor="text1"/>
          <w:sz w:val="28"/>
          <w:szCs w:val="28"/>
          <w:highlight w:val="none"/>
          <w:lang w:eastAsia="zh-CN"/>
          <w14:textFill>
            <w14:solidFill>
              <w14:schemeClr w14:val="tx1"/>
            </w14:solidFill>
          </w14:textFill>
        </w:rPr>
        <w:t>供应商</w:t>
      </w:r>
      <w:r>
        <w:rPr>
          <w:rFonts w:hint="eastAsia" w:cs="Courier New" w:asciiTheme="minorEastAsia" w:hAnsiTheme="minorEastAsia" w:eastAsiaTheme="minorEastAsia"/>
          <w:color w:val="000000" w:themeColor="text1"/>
          <w:sz w:val="28"/>
          <w:szCs w:val="28"/>
          <w:highlight w:val="none"/>
          <w14:textFill>
            <w14:solidFill>
              <w14:schemeClr w14:val="tx1"/>
            </w14:solidFill>
          </w14:textFill>
        </w:rPr>
        <w:t>的澄清、说明或者补正必须采用书面形式，并加盖公章，或者由法定代表人或者其授权的代表签字。</w:t>
      </w:r>
    </w:p>
    <w:p w14:paraId="1BE343E6">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asciiTheme="minorEastAsia" w:hAnsiTheme="minorEastAsia" w:eastAsia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b/>
          <w:color w:val="000000" w:themeColor="text1"/>
          <w:sz w:val="28"/>
          <w:szCs w:val="28"/>
          <w:highlight w:val="none"/>
          <w14:textFill>
            <w14:solidFill>
              <w14:schemeClr w14:val="tx1"/>
            </w14:solidFill>
          </w14:textFill>
        </w:rPr>
        <w:t>4.投标文件修正</w:t>
      </w:r>
    </w:p>
    <w:p w14:paraId="34EB6A00">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 xml:space="preserve">4.1投标文件报价出现前后不一致的，按照下列规定修正： </w:t>
      </w:r>
    </w:p>
    <w:p w14:paraId="1423F360">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w:t>
      </w:r>
      <w:r>
        <w:rPr>
          <w:rFonts w:asciiTheme="minorEastAsia" w:hAnsiTheme="minorEastAsia" w:eastAsiaTheme="minorEastAsia"/>
          <w:color w:val="000000" w:themeColor="text1"/>
          <w:sz w:val="28"/>
          <w:szCs w:val="28"/>
          <w:highlight w:val="none"/>
          <w14:textFill>
            <w14:solidFill>
              <w14:schemeClr w14:val="tx1"/>
            </w14:solidFill>
          </w14:textFill>
        </w:rPr>
        <w:t>1</w:t>
      </w:r>
      <w:r>
        <w:rPr>
          <w:rFonts w:hint="eastAsia" w:asciiTheme="minorEastAsia" w:hAnsiTheme="minorEastAsia" w:eastAsiaTheme="minorEastAsia"/>
          <w:color w:val="000000" w:themeColor="text1"/>
          <w:sz w:val="28"/>
          <w:szCs w:val="28"/>
          <w:highlight w:val="none"/>
          <w14:textFill>
            <w14:solidFill>
              <w14:schemeClr w14:val="tx1"/>
            </w14:solidFill>
          </w14:textFill>
        </w:rPr>
        <w:t>）报价文件中“开标一览表”内容与投标文件中相应内容不一致的，以“开标一览表”为准；</w:t>
      </w:r>
    </w:p>
    <w:p w14:paraId="3615DFCA">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w:t>
      </w:r>
      <w:r>
        <w:rPr>
          <w:rFonts w:asciiTheme="minorEastAsia" w:hAnsiTheme="minorEastAsia" w:eastAsiaTheme="minorEastAsia"/>
          <w:color w:val="000000" w:themeColor="text1"/>
          <w:sz w:val="28"/>
          <w:szCs w:val="28"/>
          <w:highlight w:val="none"/>
          <w14:textFill>
            <w14:solidFill>
              <w14:schemeClr w14:val="tx1"/>
            </w14:solidFill>
          </w14:textFill>
        </w:rPr>
        <w:t>2</w:t>
      </w:r>
      <w:r>
        <w:rPr>
          <w:rFonts w:hint="eastAsia" w:asciiTheme="minorEastAsia" w:hAnsiTheme="minorEastAsia" w:eastAsiaTheme="minorEastAsia"/>
          <w:color w:val="000000" w:themeColor="text1"/>
          <w:sz w:val="28"/>
          <w:szCs w:val="28"/>
          <w:highlight w:val="none"/>
          <w14:textFill>
            <w14:solidFill>
              <w14:schemeClr w14:val="tx1"/>
            </w14:solidFill>
          </w14:textFill>
        </w:rPr>
        <w:t>）大写金额和小写金额不一致的，以大写金额为准；</w:t>
      </w:r>
    </w:p>
    <w:p w14:paraId="5905C886">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w:t>
      </w:r>
      <w:r>
        <w:rPr>
          <w:rFonts w:asciiTheme="minorEastAsia" w:hAnsiTheme="minorEastAsia" w:eastAsiaTheme="minorEastAsia"/>
          <w:color w:val="000000" w:themeColor="text1"/>
          <w:sz w:val="28"/>
          <w:szCs w:val="28"/>
          <w:highlight w:val="none"/>
          <w14:textFill>
            <w14:solidFill>
              <w14:schemeClr w14:val="tx1"/>
            </w14:solidFill>
          </w14:textFill>
        </w:rPr>
        <w:t>3</w:t>
      </w:r>
      <w:r>
        <w:rPr>
          <w:rFonts w:hint="eastAsia" w:asciiTheme="minorEastAsia" w:hAnsiTheme="minorEastAsia" w:eastAsiaTheme="minorEastAsia"/>
          <w:color w:val="000000" w:themeColor="text1"/>
          <w:sz w:val="28"/>
          <w:szCs w:val="28"/>
          <w:highlight w:val="none"/>
          <w14:textFill>
            <w14:solidFill>
              <w14:schemeClr w14:val="tx1"/>
            </w14:solidFill>
          </w14:textFill>
        </w:rPr>
        <w:t>）单价金额小数点或者百分比有明显错位的，以开标一览表的总价为准，并修改单价；</w:t>
      </w:r>
    </w:p>
    <w:p w14:paraId="79F9E6E8">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w:t>
      </w:r>
      <w:r>
        <w:rPr>
          <w:rFonts w:asciiTheme="minorEastAsia" w:hAnsiTheme="minorEastAsia" w:eastAsiaTheme="minorEastAsia"/>
          <w:color w:val="000000" w:themeColor="text1"/>
          <w:sz w:val="28"/>
          <w:szCs w:val="28"/>
          <w:highlight w:val="none"/>
          <w14:textFill>
            <w14:solidFill>
              <w14:schemeClr w14:val="tx1"/>
            </w14:solidFill>
          </w14:textFill>
        </w:rPr>
        <w:t>4</w:t>
      </w:r>
      <w:r>
        <w:rPr>
          <w:rFonts w:hint="eastAsia" w:asciiTheme="minorEastAsia" w:hAnsiTheme="minorEastAsia" w:eastAsiaTheme="minorEastAsia"/>
          <w:color w:val="000000" w:themeColor="text1"/>
          <w:sz w:val="28"/>
          <w:szCs w:val="28"/>
          <w:highlight w:val="none"/>
          <w14:textFill>
            <w14:solidFill>
              <w14:schemeClr w14:val="tx1"/>
            </w14:solidFill>
          </w14:textFill>
        </w:rPr>
        <w:t>）总价金额与按单价汇总金额不一致的，以单价金额计算结果为准。</w:t>
      </w:r>
    </w:p>
    <w:p w14:paraId="32A44102">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同时出现两种以上不一致的，按照以上（</w:t>
      </w:r>
      <w:r>
        <w:rPr>
          <w:rFonts w:asciiTheme="minorEastAsia" w:hAnsiTheme="minorEastAsia" w:eastAsiaTheme="minorEastAsia"/>
          <w:color w:val="000000" w:themeColor="text1"/>
          <w:sz w:val="28"/>
          <w:szCs w:val="28"/>
          <w:highlight w:val="none"/>
          <w14:textFill>
            <w14:solidFill>
              <w14:schemeClr w14:val="tx1"/>
            </w14:solidFill>
          </w14:textFill>
        </w:rPr>
        <w:t>1</w:t>
      </w:r>
      <w:r>
        <w:rPr>
          <w:rFonts w:hint="eastAsia" w:asciiTheme="minorEastAsia" w:hAnsiTheme="minorEastAsia" w:eastAsiaTheme="minorEastAsia"/>
          <w:color w:val="000000" w:themeColor="text1"/>
          <w:sz w:val="28"/>
          <w:szCs w:val="28"/>
          <w:highlight w:val="none"/>
          <w14:textFill>
            <w14:solidFill>
              <w14:schemeClr w14:val="tx1"/>
            </w14:solidFill>
          </w14:textFill>
        </w:rPr>
        <w:t>）</w:t>
      </w:r>
      <w:r>
        <w:rPr>
          <w:rFonts w:asciiTheme="minorEastAsia" w:hAnsiTheme="minorEastAsia" w:eastAsiaTheme="minorEastAsia"/>
          <w:color w:val="000000" w:themeColor="text1"/>
          <w:sz w:val="28"/>
          <w:szCs w:val="28"/>
          <w:highlight w:val="none"/>
          <w14:textFill>
            <w14:solidFill>
              <w14:schemeClr w14:val="tx1"/>
            </w14:solidFill>
          </w14:textFill>
        </w:rPr>
        <w:t>-</w:t>
      </w:r>
      <w:r>
        <w:rPr>
          <w:rFonts w:hint="eastAsia" w:asciiTheme="minorEastAsia" w:hAnsiTheme="minorEastAsia" w:eastAsiaTheme="minorEastAsia"/>
          <w:color w:val="000000" w:themeColor="text1"/>
          <w:sz w:val="28"/>
          <w:szCs w:val="28"/>
          <w:highlight w:val="none"/>
          <w14:textFill>
            <w14:solidFill>
              <w14:schemeClr w14:val="tx1"/>
            </w14:solidFill>
          </w14:textFill>
        </w:rPr>
        <w:t>（</w:t>
      </w:r>
      <w:r>
        <w:rPr>
          <w:rFonts w:asciiTheme="minorEastAsia" w:hAnsiTheme="minorEastAsia" w:eastAsiaTheme="minorEastAsia"/>
          <w:color w:val="000000" w:themeColor="text1"/>
          <w:sz w:val="28"/>
          <w:szCs w:val="28"/>
          <w:highlight w:val="none"/>
          <w14:textFill>
            <w14:solidFill>
              <w14:schemeClr w14:val="tx1"/>
            </w14:solidFill>
          </w14:textFill>
        </w:rPr>
        <w:t>4</w:t>
      </w:r>
      <w:r>
        <w:rPr>
          <w:rFonts w:hint="eastAsia" w:asciiTheme="minorEastAsia" w:hAnsiTheme="minorEastAsia" w:eastAsiaTheme="minorEastAsia"/>
          <w:color w:val="000000" w:themeColor="text1"/>
          <w:sz w:val="28"/>
          <w:szCs w:val="28"/>
          <w:highlight w:val="none"/>
          <w14:textFill>
            <w14:solidFill>
              <w14:schemeClr w14:val="tx1"/>
            </w14:solidFill>
          </w14:textFill>
        </w:rPr>
        <w:t>）规定的顺序修正。修正后的报价经</w:t>
      </w:r>
      <w:r>
        <w:rPr>
          <w:rFonts w:hint="eastAsia" w:asciiTheme="minorEastAsia" w:hAnsiTheme="minorEastAsia" w:eastAsiaTheme="minorEastAsia"/>
          <w:color w:val="000000" w:themeColor="text1"/>
          <w:sz w:val="28"/>
          <w:szCs w:val="28"/>
          <w:highlight w:val="none"/>
          <w:lang w:eastAsia="zh-CN"/>
          <w14:textFill>
            <w14:solidFill>
              <w14:schemeClr w14:val="tx1"/>
            </w14:solidFill>
          </w14:textFill>
        </w:rPr>
        <w:t>供应商</w:t>
      </w:r>
      <w:r>
        <w:rPr>
          <w:rFonts w:hint="eastAsia" w:asciiTheme="minorEastAsia" w:hAnsiTheme="minorEastAsia" w:eastAsiaTheme="minorEastAsia"/>
          <w:color w:val="000000" w:themeColor="text1"/>
          <w:sz w:val="28"/>
          <w:szCs w:val="28"/>
          <w:highlight w:val="none"/>
          <w14:textFill>
            <w14:solidFill>
              <w14:schemeClr w14:val="tx1"/>
            </w14:solidFill>
          </w14:textFill>
        </w:rPr>
        <w:t>确认后产生约束力，</w:t>
      </w:r>
      <w:r>
        <w:rPr>
          <w:rFonts w:hint="eastAsia" w:asciiTheme="minorEastAsia" w:hAnsiTheme="minorEastAsia" w:eastAsiaTheme="minorEastAsia"/>
          <w:color w:val="000000" w:themeColor="text1"/>
          <w:sz w:val="28"/>
          <w:szCs w:val="28"/>
          <w:highlight w:val="none"/>
          <w:lang w:eastAsia="zh-CN"/>
          <w14:textFill>
            <w14:solidFill>
              <w14:schemeClr w14:val="tx1"/>
            </w14:solidFill>
          </w14:textFill>
        </w:rPr>
        <w:t>供应商</w:t>
      </w:r>
      <w:r>
        <w:rPr>
          <w:rFonts w:hint="eastAsia" w:asciiTheme="minorEastAsia" w:hAnsiTheme="minorEastAsia" w:eastAsiaTheme="minorEastAsia"/>
          <w:color w:val="000000" w:themeColor="text1"/>
          <w:sz w:val="28"/>
          <w:szCs w:val="28"/>
          <w:highlight w:val="none"/>
          <w14:textFill>
            <w14:solidFill>
              <w14:schemeClr w14:val="tx1"/>
            </w14:solidFill>
          </w14:textFill>
        </w:rPr>
        <w:t>不确认的，其投标无效。</w:t>
      </w:r>
    </w:p>
    <w:p w14:paraId="1238BF0F">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4.2经</w:t>
      </w:r>
      <w:r>
        <w:rPr>
          <w:rFonts w:hint="eastAsia" w:asciiTheme="minorEastAsia" w:hAnsiTheme="minorEastAsia" w:eastAsiaTheme="minorEastAsia"/>
          <w:color w:val="000000" w:themeColor="text1"/>
          <w:sz w:val="28"/>
          <w:szCs w:val="28"/>
          <w:highlight w:val="none"/>
          <w:lang w:eastAsia="zh-CN"/>
          <w14:textFill>
            <w14:solidFill>
              <w14:schemeClr w14:val="tx1"/>
            </w14:solidFill>
          </w14:textFill>
        </w:rPr>
        <w:t>供应商</w:t>
      </w:r>
      <w:r>
        <w:rPr>
          <w:rFonts w:hint="eastAsia" w:asciiTheme="minorEastAsia" w:hAnsiTheme="minorEastAsia" w:eastAsiaTheme="minorEastAsia"/>
          <w:color w:val="000000" w:themeColor="text1"/>
          <w:sz w:val="28"/>
          <w:szCs w:val="28"/>
          <w:highlight w:val="none"/>
          <w14:textFill>
            <w14:solidFill>
              <w14:schemeClr w14:val="tx1"/>
            </w14:solidFill>
          </w14:textFill>
        </w:rPr>
        <w:t>确认修正后的报价若超过采购预算金额或者最高限价，</w:t>
      </w:r>
      <w:r>
        <w:rPr>
          <w:rFonts w:hint="eastAsia" w:asciiTheme="minorEastAsia" w:hAnsiTheme="minorEastAsia" w:eastAsiaTheme="minorEastAsia"/>
          <w:color w:val="000000" w:themeColor="text1"/>
          <w:sz w:val="28"/>
          <w:szCs w:val="28"/>
          <w:highlight w:val="none"/>
          <w:lang w:eastAsia="zh-CN"/>
          <w14:textFill>
            <w14:solidFill>
              <w14:schemeClr w14:val="tx1"/>
            </w14:solidFill>
          </w14:textFill>
        </w:rPr>
        <w:t>供应商</w:t>
      </w:r>
      <w:r>
        <w:rPr>
          <w:rFonts w:hint="eastAsia" w:asciiTheme="minorEastAsia" w:hAnsiTheme="minorEastAsia" w:eastAsiaTheme="minorEastAsia"/>
          <w:color w:val="000000" w:themeColor="text1"/>
          <w:sz w:val="28"/>
          <w:szCs w:val="28"/>
          <w:highlight w:val="none"/>
          <w14:textFill>
            <w14:solidFill>
              <w14:schemeClr w14:val="tx1"/>
            </w14:solidFill>
          </w14:textFill>
        </w:rPr>
        <w:t>的投标文件作无效投标处理。</w:t>
      </w:r>
    </w:p>
    <w:p w14:paraId="38F2DAB6">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4.3经</w:t>
      </w:r>
      <w:r>
        <w:rPr>
          <w:rFonts w:hint="eastAsia" w:asciiTheme="minorEastAsia" w:hAnsiTheme="minorEastAsia" w:eastAsiaTheme="minorEastAsia"/>
          <w:color w:val="000000" w:themeColor="text1"/>
          <w:sz w:val="28"/>
          <w:szCs w:val="28"/>
          <w:highlight w:val="none"/>
          <w:lang w:eastAsia="zh-CN"/>
          <w14:textFill>
            <w14:solidFill>
              <w14:schemeClr w14:val="tx1"/>
            </w14:solidFill>
          </w14:textFill>
        </w:rPr>
        <w:t>供应商</w:t>
      </w:r>
      <w:r>
        <w:rPr>
          <w:rFonts w:hint="eastAsia" w:asciiTheme="minorEastAsia" w:hAnsiTheme="minorEastAsia" w:eastAsiaTheme="minorEastAsia"/>
          <w:color w:val="000000" w:themeColor="text1"/>
          <w:sz w:val="28"/>
          <w:szCs w:val="28"/>
          <w:highlight w:val="none"/>
          <w14:textFill>
            <w14:solidFill>
              <w14:schemeClr w14:val="tx1"/>
            </w14:solidFill>
          </w14:textFill>
        </w:rPr>
        <w:t>确认修正后的报价作为签订合同的依据，并以此报价计算价格分。</w:t>
      </w:r>
    </w:p>
    <w:p w14:paraId="6E6DE4BF">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5.比较与评价</w:t>
      </w:r>
    </w:p>
    <w:p w14:paraId="7FF36B95">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asciiTheme="minorEastAsia" w:hAnsiTheme="minorEastAsia" w:eastAsiaTheme="minorEastAsia"/>
          <w:color w:val="000000" w:themeColor="text1"/>
          <w:sz w:val="28"/>
          <w:szCs w:val="28"/>
          <w:highlight w:val="none"/>
          <w14:textFill>
            <w14:solidFill>
              <w14:schemeClr w14:val="tx1"/>
            </w14:solidFill>
          </w14:textFill>
        </w:rPr>
      </w:pPr>
      <w:r>
        <w:rPr>
          <w:rFonts w:asciiTheme="minorEastAsia" w:hAnsiTheme="minorEastAsia" w:eastAsiaTheme="minorEastAsia"/>
          <w:color w:val="000000" w:themeColor="text1"/>
          <w:sz w:val="28"/>
          <w:szCs w:val="28"/>
          <w:highlight w:val="none"/>
          <w14:textFill>
            <w14:solidFill>
              <w14:schemeClr w14:val="tx1"/>
            </w14:solidFill>
          </w14:textFill>
        </w:rPr>
        <w:t>5.1</w:t>
      </w:r>
      <w:r>
        <w:rPr>
          <w:rFonts w:hint="eastAsia" w:asciiTheme="minorEastAsia" w:hAnsiTheme="minorEastAsia" w:eastAsiaTheme="minorEastAsia"/>
          <w:color w:val="000000" w:themeColor="text1"/>
          <w:sz w:val="28"/>
          <w:szCs w:val="28"/>
          <w:highlight w:val="none"/>
          <w14:textFill>
            <w14:solidFill>
              <w14:schemeClr w14:val="tx1"/>
            </w14:solidFill>
          </w14:textFill>
        </w:rPr>
        <w:t>评标委员会按照招标文件中规定的评标方法和评标标准，对符合性审查合格的投标文件进行商务和技术评估，综合比较与评价。</w:t>
      </w:r>
    </w:p>
    <w:p w14:paraId="6265748D">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asciiTheme="minorEastAsia" w:hAnsiTheme="minorEastAsia" w:eastAsiaTheme="minorEastAsia"/>
          <w:color w:val="000000" w:themeColor="text1"/>
          <w:sz w:val="28"/>
          <w:szCs w:val="28"/>
          <w:highlight w:val="none"/>
          <w14:textFill>
            <w14:solidFill>
              <w14:schemeClr w14:val="tx1"/>
            </w14:solidFill>
          </w14:textFill>
        </w:rPr>
      </w:pPr>
      <w:r>
        <w:rPr>
          <w:rFonts w:asciiTheme="minorEastAsia" w:hAnsiTheme="minorEastAsia" w:eastAsiaTheme="minorEastAsia"/>
          <w:color w:val="000000" w:themeColor="text1"/>
          <w:sz w:val="28"/>
          <w:szCs w:val="28"/>
          <w:highlight w:val="none"/>
          <w14:textFill>
            <w14:solidFill>
              <w14:schemeClr w14:val="tx1"/>
            </w14:solidFill>
          </w14:textFill>
        </w:rPr>
        <w:t>5.2</w:t>
      </w:r>
      <w:r>
        <w:rPr>
          <w:rFonts w:hint="eastAsia" w:asciiTheme="minorEastAsia" w:hAnsiTheme="minorEastAsia" w:eastAsiaTheme="minorEastAsia"/>
          <w:color w:val="000000" w:themeColor="text1"/>
          <w:sz w:val="28"/>
          <w:szCs w:val="28"/>
          <w:highlight w:val="none"/>
          <w14:textFill>
            <w14:solidFill>
              <w14:schemeClr w14:val="tx1"/>
            </w14:solidFill>
          </w14:textFill>
        </w:rPr>
        <w:t>评标委员会独立对每个</w:t>
      </w:r>
      <w:r>
        <w:rPr>
          <w:rFonts w:hint="eastAsia" w:asciiTheme="minorEastAsia" w:hAnsiTheme="minorEastAsia" w:eastAsiaTheme="minorEastAsia"/>
          <w:color w:val="000000" w:themeColor="text1"/>
          <w:sz w:val="28"/>
          <w:szCs w:val="28"/>
          <w:highlight w:val="none"/>
          <w:lang w:eastAsia="zh-CN"/>
          <w14:textFill>
            <w14:solidFill>
              <w14:schemeClr w14:val="tx1"/>
            </w14:solidFill>
          </w14:textFill>
        </w:rPr>
        <w:t>供应商</w:t>
      </w:r>
      <w:r>
        <w:rPr>
          <w:rFonts w:hint="eastAsia" w:asciiTheme="minorEastAsia" w:hAnsiTheme="minorEastAsia" w:eastAsiaTheme="minorEastAsia"/>
          <w:color w:val="000000" w:themeColor="text1"/>
          <w:sz w:val="28"/>
          <w:szCs w:val="28"/>
          <w:highlight w:val="none"/>
          <w14:textFill>
            <w14:solidFill>
              <w14:schemeClr w14:val="tx1"/>
            </w14:solidFill>
          </w14:textFill>
        </w:rPr>
        <w:t>的投标文件进行评价，并汇总每个</w:t>
      </w:r>
      <w:r>
        <w:rPr>
          <w:rFonts w:hint="eastAsia" w:asciiTheme="minorEastAsia" w:hAnsiTheme="minorEastAsia" w:eastAsiaTheme="minorEastAsia"/>
          <w:color w:val="000000" w:themeColor="text1"/>
          <w:sz w:val="28"/>
          <w:szCs w:val="28"/>
          <w:highlight w:val="none"/>
          <w:lang w:eastAsia="zh-CN"/>
          <w14:textFill>
            <w14:solidFill>
              <w14:schemeClr w14:val="tx1"/>
            </w14:solidFill>
          </w14:textFill>
        </w:rPr>
        <w:t>供应商</w:t>
      </w:r>
      <w:r>
        <w:rPr>
          <w:rFonts w:hint="eastAsia" w:asciiTheme="minorEastAsia" w:hAnsiTheme="minorEastAsia" w:eastAsiaTheme="minorEastAsia"/>
          <w:color w:val="000000" w:themeColor="text1"/>
          <w:sz w:val="28"/>
          <w:szCs w:val="28"/>
          <w:highlight w:val="none"/>
          <w14:textFill>
            <w14:solidFill>
              <w14:schemeClr w14:val="tx1"/>
            </w14:solidFill>
          </w14:textFill>
        </w:rPr>
        <w:t>的得分。</w:t>
      </w:r>
    </w:p>
    <w:p w14:paraId="2A16C92C">
      <w:pPr>
        <w:keepNext w:val="0"/>
        <w:keepLines w:val="0"/>
        <w:pageBreakBefore w:val="0"/>
        <w:widowControl/>
        <w:numPr>
          <w:ilvl w:val="0"/>
          <w:numId w:val="22"/>
        </w:numPr>
        <w:kinsoku/>
        <w:wordWrap/>
        <w:overflowPunct/>
        <w:topLinePunct w:val="0"/>
        <w:autoSpaceDE/>
        <w:autoSpaceDN/>
        <w:bidi w:val="0"/>
        <w:adjustRightInd/>
        <w:snapToGrid/>
        <w:spacing w:line="560" w:lineRule="exact"/>
        <w:ind w:firstLine="560" w:firstLineChars="200"/>
        <w:jc w:val="left"/>
        <w:textAlignment w:val="auto"/>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评审委员会成员要根据政府采购法律法规和采购文件所载明的评审方法、标准进行评审。对供应商的价格分等客观评分项的评分应当一致，对其他需要借助专业知识评判的主观评分项，应当严格按照评分细则公正评分。</w:t>
      </w:r>
    </w:p>
    <w:p w14:paraId="3D9CF5B5">
      <w:pPr>
        <w:keepNext w:val="0"/>
        <w:keepLines w:val="0"/>
        <w:pageBreakBefore w:val="0"/>
        <w:widowControl/>
        <w:numPr>
          <w:ilvl w:val="0"/>
          <w:numId w:val="22"/>
        </w:numPr>
        <w:kinsoku/>
        <w:wordWrap/>
        <w:overflowPunct/>
        <w:topLinePunct w:val="0"/>
        <w:autoSpaceDE/>
        <w:autoSpaceDN/>
        <w:bidi w:val="0"/>
        <w:adjustRightInd/>
        <w:snapToGrid/>
        <w:spacing w:line="560" w:lineRule="exact"/>
        <w:ind w:firstLine="560" w:firstLineChars="200"/>
        <w:jc w:val="left"/>
        <w:textAlignment w:val="auto"/>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评标委员会认为</w:t>
      </w:r>
      <w:r>
        <w:rPr>
          <w:rFonts w:hint="eastAsia" w:asciiTheme="minorEastAsia" w:hAnsiTheme="minorEastAsia" w:eastAsiaTheme="minorEastAsia"/>
          <w:color w:val="000000" w:themeColor="text1"/>
          <w:sz w:val="28"/>
          <w:szCs w:val="28"/>
          <w:highlight w:val="none"/>
          <w:lang w:eastAsia="zh-CN"/>
          <w14:textFill>
            <w14:solidFill>
              <w14:schemeClr w14:val="tx1"/>
            </w14:solidFill>
          </w14:textFill>
        </w:rPr>
        <w:t>供应商</w:t>
      </w:r>
      <w:r>
        <w:rPr>
          <w:rFonts w:hint="eastAsia" w:asciiTheme="minorEastAsia" w:hAnsiTheme="minorEastAsia" w:eastAsiaTheme="minorEastAsia"/>
          <w:color w:val="000000" w:themeColor="text1"/>
          <w:sz w:val="28"/>
          <w:szCs w:val="28"/>
          <w:highlight w:val="none"/>
          <w14:textFill>
            <w14:solidFill>
              <w14:schemeClr w14:val="tx1"/>
            </w14:solidFill>
          </w14:textFill>
        </w:rPr>
        <w:t>的报价明显低于其他通过符合性审查</w:t>
      </w:r>
      <w:r>
        <w:rPr>
          <w:rFonts w:hint="eastAsia" w:asciiTheme="minorEastAsia" w:hAnsiTheme="minorEastAsia" w:eastAsiaTheme="minorEastAsia"/>
          <w:color w:val="000000" w:themeColor="text1"/>
          <w:sz w:val="28"/>
          <w:szCs w:val="28"/>
          <w:highlight w:val="none"/>
          <w:lang w:eastAsia="zh-CN"/>
          <w14:textFill>
            <w14:solidFill>
              <w14:schemeClr w14:val="tx1"/>
            </w14:solidFill>
          </w14:textFill>
        </w:rPr>
        <w:t>供应商</w:t>
      </w:r>
      <w:r>
        <w:rPr>
          <w:rFonts w:hint="eastAsia" w:asciiTheme="minorEastAsia" w:hAnsiTheme="minorEastAsia" w:eastAsiaTheme="minorEastAsia"/>
          <w:color w:val="000000" w:themeColor="text1"/>
          <w:sz w:val="28"/>
          <w:szCs w:val="28"/>
          <w:highlight w:val="none"/>
          <w14:textFill>
            <w14:solidFill>
              <w14:schemeClr w14:val="tx1"/>
            </w14:solidFill>
          </w14:textFill>
        </w:rPr>
        <w:t>的报价，有可能影响产品质量或者不能诚信履约的，应当要求其在评标现场合理的时间内提供书面说明，必要时提交相关证明材料；</w:t>
      </w:r>
      <w:r>
        <w:rPr>
          <w:rFonts w:hint="eastAsia" w:asciiTheme="minorEastAsia" w:hAnsiTheme="minorEastAsia" w:eastAsiaTheme="minorEastAsia"/>
          <w:color w:val="000000" w:themeColor="text1"/>
          <w:sz w:val="28"/>
          <w:szCs w:val="28"/>
          <w:highlight w:val="none"/>
          <w:lang w:eastAsia="zh-CN"/>
          <w14:textFill>
            <w14:solidFill>
              <w14:schemeClr w14:val="tx1"/>
            </w14:solidFill>
          </w14:textFill>
        </w:rPr>
        <w:t>供应商</w:t>
      </w:r>
      <w:r>
        <w:rPr>
          <w:rFonts w:hint="eastAsia" w:asciiTheme="minorEastAsia" w:hAnsiTheme="minorEastAsia" w:eastAsiaTheme="minorEastAsia"/>
          <w:color w:val="000000" w:themeColor="text1"/>
          <w:sz w:val="28"/>
          <w:szCs w:val="28"/>
          <w:highlight w:val="none"/>
          <w14:textFill>
            <w14:solidFill>
              <w14:schemeClr w14:val="tx1"/>
            </w14:solidFill>
          </w14:textFill>
        </w:rPr>
        <w:t>不能证明其报价合理性的，评标委员会将其作为无效投标处理。</w:t>
      </w:r>
    </w:p>
    <w:p w14:paraId="20E3F0C7">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asciiTheme="minorEastAsia" w:hAnsiTheme="minorEastAsia" w:eastAsiaTheme="minorEastAsia"/>
          <w:color w:val="000000" w:themeColor="text1"/>
          <w:sz w:val="28"/>
          <w:szCs w:val="28"/>
          <w:highlight w:val="none"/>
          <w14:textFill>
            <w14:solidFill>
              <w14:schemeClr w14:val="tx1"/>
            </w14:solidFill>
          </w14:textFill>
        </w:rPr>
      </w:pPr>
      <w:r>
        <w:rPr>
          <w:rFonts w:asciiTheme="minorEastAsia" w:hAnsiTheme="minorEastAsia" w:eastAsiaTheme="minorEastAsia"/>
          <w:color w:val="000000" w:themeColor="text1"/>
          <w:sz w:val="28"/>
          <w:szCs w:val="28"/>
          <w:highlight w:val="none"/>
          <w14:textFill>
            <w14:solidFill>
              <w14:schemeClr w14:val="tx1"/>
            </w14:solidFill>
          </w14:textFill>
        </w:rPr>
        <w:t>5.3</w:t>
      </w:r>
      <w:r>
        <w:rPr>
          <w:rFonts w:hint="eastAsia" w:asciiTheme="minorEastAsia" w:hAnsiTheme="minorEastAsia" w:eastAsiaTheme="minorEastAsia"/>
          <w:color w:val="000000" w:themeColor="text1"/>
          <w:sz w:val="28"/>
          <w:szCs w:val="28"/>
          <w:highlight w:val="none"/>
          <w14:textFill>
            <w14:solidFill>
              <w14:schemeClr w14:val="tx1"/>
            </w14:solidFill>
          </w14:textFill>
        </w:rPr>
        <w:t>评标委员会按照招标文件中规定的评标方法和标准计算各</w:t>
      </w:r>
      <w:r>
        <w:rPr>
          <w:rFonts w:hint="eastAsia" w:asciiTheme="minorEastAsia" w:hAnsiTheme="minorEastAsia" w:eastAsiaTheme="minorEastAsia"/>
          <w:color w:val="000000" w:themeColor="text1"/>
          <w:sz w:val="28"/>
          <w:szCs w:val="28"/>
          <w:highlight w:val="none"/>
          <w:lang w:eastAsia="zh-CN"/>
          <w14:textFill>
            <w14:solidFill>
              <w14:schemeClr w14:val="tx1"/>
            </w14:solidFill>
          </w14:textFill>
        </w:rPr>
        <w:t>供应商</w:t>
      </w:r>
      <w:r>
        <w:rPr>
          <w:rFonts w:hint="eastAsia" w:asciiTheme="minorEastAsia" w:hAnsiTheme="minorEastAsia" w:eastAsiaTheme="minorEastAsia"/>
          <w:color w:val="000000" w:themeColor="text1"/>
          <w:sz w:val="28"/>
          <w:szCs w:val="28"/>
          <w:highlight w:val="none"/>
          <w14:textFill>
            <w14:solidFill>
              <w14:schemeClr w14:val="tx1"/>
            </w14:solidFill>
          </w14:textFill>
        </w:rPr>
        <w:t>的报价得分。在计算过程中，不得去掉最高报价或者最低报价。</w:t>
      </w:r>
    </w:p>
    <w:p w14:paraId="047589D2">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asciiTheme="minorEastAsia" w:hAnsiTheme="minorEastAsia" w:eastAsiaTheme="minorEastAsia"/>
          <w:color w:val="000000" w:themeColor="text1"/>
          <w:sz w:val="28"/>
          <w:szCs w:val="28"/>
          <w:highlight w:val="none"/>
          <w14:textFill>
            <w14:solidFill>
              <w14:schemeClr w14:val="tx1"/>
            </w14:solidFill>
          </w14:textFill>
        </w:rPr>
      </w:pPr>
      <w:r>
        <w:rPr>
          <w:rFonts w:asciiTheme="minorEastAsia" w:hAnsiTheme="minorEastAsia" w:eastAsiaTheme="minorEastAsia"/>
          <w:color w:val="000000" w:themeColor="text1"/>
          <w:sz w:val="28"/>
          <w:szCs w:val="28"/>
          <w:highlight w:val="none"/>
          <w14:textFill>
            <w14:solidFill>
              <w14:schemeClr w14:val="tx1"/>
            </w14:solidFill>
          </w14:textFill>
        </w:rPr>
        <w:t>5.4</w:t>
      </w:r>
      <w:r>
        <w:rPr>
          <w:rFonts w:hint="eastAsia" w:asciiTheme="minorEastAsia" w:hAnsiTheme="minorEastAsia" w:eastAsiaTheme="minorEastAsia"/>
          <w:color w:val="000000" w:themeColor="text1"/>
          <w:sz w:val="28"/>
          <w:szCs w:val="28"/>
          <w:highlight w:val="none"/>
          <w14:textFill>
            <w14:solidFill>
              <w14:schemeClr w14:val="tx1"/>
            </w14:solidFill>
          </w14:textFill>
        </w:rPr>
        <w:t>各</w:t>
      </w:r>
      <w:r>
        <w:rPr>
          <w:rFonts w:hint="eastAsia" w:asciiTheme="minorEastAsia" w:hAnsiTheme="minorEastAsia" w:eastAsiaTheme="minorEastAsia"/>
          <w:color w:val="000000" w:themeColor="text1"/>
          <w:sz w:val="28"/>
          <w:szCs w:val="28"/>
          <w:highlight w:val="none"/>
          <w:lang w:eastAsia="zh-CN"/>
          <w14:textFill>
            <w14:solidFill>
              <w14:schemeClr w14:val="tx1"/>
            </w14:solidFill>
          </w14:textFill>
        </w:rPr>
        <w:t>供应商</w:t>
      </w:r>
      <w:r>
        <w:rPr>
          <w:rFonts w:hint="eastAsia" w:asciiTheme="minorEastAsia" w:hAnsiTheme="minorEastAsia" w:eastAsiaTheme="minorEastAsia"/>
          <w:color w:val="000000" w:themeColor="text1"/>
          <w:sz w:val="28"/>
          <w:szCs w:val="28"/>
          <w:highlight w:val="none"/>
          <w14:textFill>
            <w14:solidFill>
              <w14:schemeClr w14:val="tx1"/>
            </w14:solidFill>
          </w14:textFill>
        </w:rPr>
        <w:t>的得分为所有评委的有效评分的算术平均数。</w:t>
      </w:r>
    </w:p>
    <w:p w14:paraId="4AC7F258">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asciiTheme="minorEastAsia" w:hAnsiTheme="minorEastAsia" w:eastAsiaTheme="minorEastAsia"/>
          <w:color w:val="000000" w:themeColor="text1"/>
          <w:sz w:val="28"/>
          <w:szCs w:val="28"/>
          <w:highlight w:val="none"/>
          <w14:textFill>
            <w14:solidFill>
              <w14:schemeClr w14:val="tx1"/>
            </w14:solidFill>
          </w14:textFill>
        </w:rPr>
      </w:pPr>
      <w:r>
        <w:rPr>
          <w:rFonts w:asciiTheme="minorEastAsia" w:hAnsiTheme="minorEastAsia" w:eastAsiaTheme="minorEastAsia"/>
          <w:color w:val="000000" w:themeColor="text1"/>
          <w:sz w:val="28"/>
          <w:szCs w:val="28"/>
          <w:highlight w:val="none"/>
          <w14:textFill>
            <w14:solidFill>
              <w14:schemeClr w14:val="tx1"/>
            </w14:solidFill>
          </w14:textFill>
        </w:rPr>
        <w:t>5.5</w:t>
      </w:r>
      <w:r>
        <w:rPr>
          <w:rFonts w:hint="eastAsia" w:asciiTheme="minorEastAsia" w:hAnsiTheme="minorEastAsia" w:eastAsiaTheme="minorEastAsia"/>
          <w:color w:val="000000" w:themeColor="text1"/>
          <w:sz w:val="28"/>
          <w:szCs w:val="28"/>
          <w:highlight w:val="none"/>
          <w14:textFill>
            <w14:solidFill>
              <w14:schemeClr w14:val="tx1"/>
            </w14:solidFill>
          </w14:textFill>
        </w:rPr>
        <w:t>评标委员会按照招标文件中的规定推荐中标候选人。</w:t>
      </w:r>
    </w:p>
    <w:p w14:paraId="692A4D29">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asciiTheme="minorEastAsia" w:hAnsiTheme="minorEastAsia" w:eastAsiaTheme="minorEastAsia"/>
          <w:color w:val="000000" w:themeColor="text1"/>
          <w:sz w:val="28"/>
          <w:szCs w:val="28"/>
          <w:highlight w:val="none"/>
          <w14:textFill>
            <w14:solidFill>
              <w14:schemeClr w14:val="tx1"/>
            </w14:solidFill>
          </w14:textFill>
        </w:rPr>
      </w:pPr>
      <w:r>
        <w:rPr>
          <w:rFonts w:asciiTheme="minorEastAsia" w:hAnsiTheme="minorEastAsia" w:eastAsiaTheme="minorEastAsia"/>
          <w:color w:val="000000" w:themeColor="text1"/>
          <w:sz w:val="28"/>
          <w:szCs w:val="28"/>
          <w:highlight w:val="none"/>
          <w14:textFill>
            <w14:solidFill>
              <w14:schemeClr w14:val="tx1"/>
            </w14:solidFill>
          </w14:textFill>
        </w:rPr>
        <w:t>5.6</w:t>
      </w:r>
      <w:r>
        <w:rPr>
          <w:rFonts w:hint="eastAsia" w:asciiTheme="minorEastAsia" w:hAnsiTheme="minorEastAsia" w:eastAsiaTheme="minorEastAsia"/>
          <w:color w:val="000000" w:themeColor="text1"/>
          <w:sz w:val="28"/>
          <w:szCs w:val="28"/>
          <w:highlight w:val="none"/>
          <w14:textFill>
            <w14:solidFill>
              <w14:schemeClr w14:val="tx1"/>
            </w14:solidFill>
          </w14:textFill>
        </w:rPr>
        <w:t>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应当在评标报告上签署不同意见及理由，否则视为同意评标报告。</w:t>
      </w:r>
    </w:p>
    <w:p w14:paraId="5C17F77C">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asciiTheme="minorEastAsia" w:hAnsiTheme="minorEastAsia" w:eastAsia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b/>
          <w:color w:val="000000" w:themeColor="text1"/>
          <w:sz w:val="28"/>
          <w:szCs w:val="28"/>
          <w:highlight w:val="none"/>
          <w14:textFill>
            <w14:solidFill>
              <w14:schemeClr w14:val="tx1"/>
            </w14:solidFill>
          </w14:textFill>
        </w:rPr>
        <w:t>6.评审复核</w:t>
      </w:r>
    </w:p>
    <w:p w14:paraId="3193900A">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6.1评标报告签署前，评标委员会要对评审结果进行复核，复核意见要体现在评标报告中。</w:t>
      </w:r>
    </w:p>
    <w:p w14:paraId="3303B03D">
      <w:pPr>
        <w:keepNext w:val="0"/>
        <w:keepLines w:val="0"/>
        <w:pageBreakBefore w:val="0"/>
        <w:widowControl/>
        <w:kinsoku/>
        <w:wordWrap/>
        <w:overflowPunct/>
        <w:topLinePunct w:val="0"/>
        <w:autoSpaceDE/>
        <w:autoSpaceDN/>
        <w:bidi w:val="0"/>
        <w:adjustRightInd w:val="0"/>
        <w:snapToGrid w:val="0"/>
        <w:spacing w:line="560" w:lineRule="exact"/>
        <w:ind w:firstLine="560" w:firstLineChars="200"/>
        <w:jc w:val="left"/>
        <w:textAlignment w:val="baseline"/>
        <w:rPr>
          <w:rFonts w:asciiTheme="minorEastAsia" w:hAnsiTheme="minorEastAsia" w:eastAsiaTheme="minorEastAsia"/>
          <w:color w:val="000000" w:themeColor="text1"/>
          <w:sz w:val="28"/>
          <w:szCs w:val="28"/>
          <w:highlight w:val="none"/>
          <w14:textFill>
            <w14:solidFill>
              <w14:schemeClr w14:val="tx1"/>
            </w14:solidFill>
          </w14:textFill>
        </w:rPr>
      </w:pPr>
      <w:r>
        <w:rPr>
          <w:rFonts w:asciiTheme="minorEastAsia" w:hAnsiTheme="minorEastAsia" w:eastAsiaTheme="minorEastAsia"/>
          <w:color w:val="000000" w:themeColor="text1"/>
          <w:sz w:val="28"/>
          <w:szCs w:val="28"/>
          <w:highlight w:val="none"/>
          <w14:textFill>
            <w14:solidFill>
              <w14:schemeClr w14:val="tx1"/>
            </w14:solidFill>
          </w14:textFill>
        </w:rPr>
        <w:t>6.2</w:t>
      </w:r>
      <w:r>
        <w:rPr>
          <w:rFonts w:hint="eastAsia" w:asciiTheme="minorEastAsia" w:hAnsiTheme="minorEastAsia" w:eastAsiaTheme="minorEastAsia"/>
          <w:color w:val="000000" w:themeColor="text1"/>
          <w:sz w:val="28"/>
          <w:szCs w:val="28"/>
          <w:highlight w:val="none"/>
          <w14:textFill>
            <w14:solidFill>
              <w14:schemeClr w14:val="tx1"/>
            </w14:solidFill>
          </w14:textFill>
        </w:rPr>
        <w:t>评标结果汇总完成后，除下列情形外，任何人不得修改评标结果：</w:t>
      </w:r>
    </w:p>
    <w:p w14:paraId="008C33A9">
      <w:pPr>
        <w:keepNext w:val="0"/>
        <w:keepLines w:val="0"/>
        <w:pageBreakBefore w:val="0"/>
        <w:widowControl/>
        <w:kinsoku/>
        <w:wordWrap/>
        <w:overflowPunct/>
        <w:topLinePunct w:val="0"/>
        <w:autoSpaceDE/>
        <w:autoSpaceDN/>
        <w:bidi w:val="0"/>
        <w:adjustRightInd w:val="0"/>
        <w:snapToGrid w:val="0"/>
        <w:spacing w:line="560" w:lineRule="exact"/>
        <w:jc w:val="left"/>
        <w:textAlignment w:val="baseline"/>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　　（一）分值汇总计算错误的；</w:t>
      </w:r>
    </w:p>
    <w:p w14:paraId="11BC2269">
      <w:pPr>
        <w:keepNext w:val="0"/>
        <w:keepLines w:val="0"/>
        <w:pageBreakBefore w:val="0"/>
        <w:widowControl/>
        <w:kinsoku/>
        <w:wordWrap/>
        <w:overflowPunct/>
        <w:topLinePunct w:val="0"/>
        <w:autoSpaceDE/>
        <w:autoSpaceDN/>
        <w:bidi w:val="0"/>
        <w:adjustRightInd w:val="0"/>
        <w:snapToGrid w:val="0"/>
        <w:spacing w:line="560" w:lineRule="exact"/>
        <w:jc w:val="left"/>
        <w:textAlignment w:val="baseline"/>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　　（二）分项评分超出评分标准范围的；</w:t>
      </w:r>
    </w:p>
    <w:p w14:paraId="50DE53C9">
      <w:pPr>
        <w:keepNext w:val="0"/>
        <w:keepLines w:val="0"/>
        <w:pageBreakBefore w:val="0"/>
        <w:widowControl/>
        <w:kinsoku/>
        <w:wordWrap/>
        <w:overflowPunct/>
        <w:topLinePunct w:val="0"/>
        <w:autoSpaceDE/>
        <w:autoSpaceDN/>
        <w:bidi w:val="0"/>
        <w:adjustRightInd w:val="0"/>
        <w:snapToGrid w:val="0"/>
        <w:spacing w:line="560" w:lineRule="exact"/>
        <w:jc w:val="left"/>
        <w:textAlignment w:val="baseline"/>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　　（三）评标委员会成员对客观评审因素评分不一致的；</w:t>
      </w:r>
    </w:p>
    <w:p w14:paraId="438221F7">
      <w:pPr>
        <w:keepNext w:val="0"/>
        <w:keepLines w:val="0"/>
        <w:pageBreakBefore w:val="0"/>
        <w:widowControl/>
        <w:kinsoku/>
        <w:wordWrap/>
        <w:overflowPunct/>
        <w:topLinePunct w:val="0"/>
        <w:autoSpaceDE/>
        <w:autoSpaceDN/>
        <w:bidi w:val="0"/>
        <w:adjustRightInd w:val="0"/>
        <w:snapToGrid w:val="0"/>
        <w:spacing w:line="560" w:lineRule="exact"/>
        <w:jc w:val="left"/>
        <w:textAlignment w:val="baseline"/>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　　（四）经评标委员会认定评分畸高、畸低的。</w:t>
      </w:r>
    </w:p>
    <w:p w14:paraId="2A91399E">
      <w:pPr>
        <w:keepNext w:val="0"/>
        <w:keepLines w:val="0"/>
        <w:pageBreakBefore w:val="0"/>
        <w:kinsoku/>
        <w:wordWrap/>
        <w:overflowPunct/>
        <w:topLinePunct w:val="0"/>
        <w:autoSpaceDE/>
        <w:autoSpaceDN/>
        <w:bidi w:val="0"/>
        <w:adjustRightInd w:val="0"/>
        <w:snapToGrid w:val="0"/>
        <w:spacing w:line="560" w:lineRule="exact"/>
        <w:ind w:firstLine="560" w:firstLineChars="200"/>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702DFC0A">
      <w:pPr>
        <w:pageBreakBefore w:val="0"/>
        <w:widowControl/>
        <w:wordWrap/>
        <w:topLinePunct w:val="0"/>
        <w:bidi w:val="0"/>
        <w:spacing w:line="560" w:lineRule="exact"/>
        <w:jc w:val="left"/>
        <w:rPr>
          <w:rFonts w:asciiTheme="minorEastAsia" w:hAnsiTheme="minorEastAsia" w:eastAsiaTheme="minorEastAsia"/>
          <w:color w:val="000000" w:themeColor="text1"/>
          <w:sz w:val="28"/>
          <w:szCs w:val="28"/>
          <w:highlight w:val="none"/>
          <w14:textFill>
            <w14:solidFill>
              <w14:schemeClr w14:val="tx1"/>
            </w14:solidFill>
          </w14:textFill>
        </w:rPr>
      </w:pPr>
      <w:r>
        <w:rPr>
          <w:rFonts w:asciiTheme="minorEastAsia" w:hAnsiTheme="minorEastAsia" w:eastAsiaTheme="minorEastAsia"/>
          <w:color w:val="000000" w:themeColor="text1"/>
          <w:sz w:val="28"/>
          <w:szCs w:val="28"/>
          <w:highlight w:val="none"/>
          <w14:textFill>
            <w14:solidFill>
              <w14:schemeClr w14:val="tx1"/>
            </w14:solidFill>
          </w14:textFill>
        </w:rPr>
        <w:br w:type="page"/>
      </w:r>
    </w:p>
    <w:tbl>
      <w:tblPr>
        <w:tblStyle w:val="34"/>
        <w:tblpPr w:leftFromText="180" w:rightFromText="180" w:vertAnchor="text" w:horzAnchor="margin" w:tblpY="272"/>
        <w:tblOverlap w:val="never"/>
        <w:tblW w:w="9532" w:type="dxa"/>
        <w:tblInd w:w="0"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75" w:type="dxa"/>
          <w:left w:w="75" w:type="dxa"/>
          <w:bottom w:w="75" w:type="dxa"/>
          <w:right w:w="75" w:type="dxa"/>
        </w:tblCellMar>
      </w:tblPr>
      <w:tblGrid>
        <w:gridCol w:w="430"/>
        <w:gridCol w:w="495"/>
        <w:gridCol w:w="1852"/>
        <w:gridCol w:w="5020"/>
        <w:gridCol w:w="879"/>
        <w:gridCol w:w="856"/>
      </w:tblGrid>
      <w:tr w14:paraId="2D0AE61D">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925" w:type="dxa"/>
            <w:gridSpan w:val="2"/>
            <w:vMerge w:val="restart"/>
            <w:tcBorders>
              <w:top w:val="outset" w:color="auto" w:sz="6" w:space="0"/>
              <w:left w:val="outset" w:color="auto" w:sz="6" w:space="0"/>
              <w:bottom w:val="outset" w:color="auto" w:sz="6" w:space="0"/>
              <w:right w:val="outset" w:color="auto" w:sz="6" w:space="0"/>
            </w:tcBorders>
            <w:vAlign w:val="center"/>
          </w:tcPr>
          <w:p w14:paraId="08EEDFB1">
            <w:pPr>
              <w:pStyle w:val="145"/>
              <w:pageBreakBefore w:val="0"/>
              <w:wordWrap/>
              <w:topLinePunct w:val="0"/>
              <w:bidi w:val="0"/>
              <w:spacing w:line="560" w:lineRule="exact"/>
              <w:jc w:val="center"/>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评分因素</w:t>
            </w:r>
          </w:p>
        </w:tc>
        <w:tc>
          <w:tcPr>
            <w:tcW w:w="1852" w:type="dxa"/>
            <w:vMerge w:val="restart"/>
            <w:tcBorders>
              <w:top w:val="outset" w:color="auto" w:sz="6" w:space="0"/>
              <w:left w:val="outset" w:color="auto" w:sz="6" w:space="0"/>
              <w:bottom w:val="outset" w:color="auto" w:sz="6" w:space="0"/>
              <w:right w:val="outset" w:color="auto" w:sz="6" w:space="0"/>
            </w:tcBorders>
            <w:vAlign w:val="center"/>
          </w:tcPr>
          <w:p w14:paraId="1F7F9483">
            <w:pPr>
              <w:pStyle w:val="145"/>
              <w:pageBreakBefore w:val="0"/>
              <w:wordWrap/>
              <w:topLinePunct w:val="0"/>
              <w:bidi w:val="0"/>
              <w:spacing w:line="560" w:lineRule="exact"/>
              <w:jc w:val="center"/>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评分点</w:t>
            </w:r>
          </w:p>
        </w:tc>
        <w:tc>
          <w:tcPr>
            <w:tcW w:w="5020" w:type="dxa"/>
            <w:vMerge w:val="restart"/>
            <w:tcBorders>
              <w:top w:val="outset" w:color="auto" w:sz="6" w:space="0"/>
              <w:left w:val="outset" w:color="auto" w:sz="6" w:space="0"/>
              <w:bottom w:val="outset" w:color="auto" w:sz="6" w:space="0"/>
              <w:right w:val="outset" w:color="auto" w:sz="6" w:space="0"/>
            </w:tcBorders>
            <w:vAlign w:val="center"/>
          </w:tcPr>
          <w:p w14:paraId="3B09DFC8">
            <w:pPr>
              <w:pStyle w:val="145"/>
              <w:pageBreakBefore w:val="0"/>
              <w:wordWrap/>
              <w:topLinePunct w:val="0"/>
              <w:bidi w:val="0"/>
              <w:spacing w:line="560" w:lineRule="exact"/>
              <w:jc w:val="center"/>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评分标准</w:t>
            </w:r>
          </w:p>
        </w:tc>
        <w:tc>
          <w:tcPr>
            <w:tcW w:w="1735" w:type="dxa"/>
            <w:gridSpan w:val="2"/>
            <w:tcBorders>
              <w:top w:val="outset" w:color="auto" w:sz="6" w:space="0"/>
              <w:left w:val="outset" w:color="auto" w:sz="6" w:space="0"/>
              <w:bottom w:val="outset" w:color="auto" w:sz="6" w:space="0"/>
              <w:right w:val="outset" w:color="auto" w:sz="6" w:space="0"/>
            </w:tcBorders>
            <w:vAlign w:val="center"/>
          </w:tcPr>
          <w:p w14:paraId="683D01DD">
            <w:pPr>
              <w:pStyle w:val="145"/>
              <w:pageBreakBefore w:val="0"/>
              <w:wordWrap/>
              <w:topLinePunct w:val="0"/>
              <w:bidi w:val="0"/>
              <w:spacing w:line="560" w:lineRule="exact"/>
              <w:jc w:val="center"/>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评审意见</w:t>
            </w:r>
          </w:p>
        </w:tc>
      </w:tr>
      <w:tr w14:paraId="6439B32B">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505" w:hRule="atLeast"/>
        </w:trPr>
        <w:tc>
          <w:tcPr>
            <w:tcW w:w="925" w:type="dxa"/>
            <w:gridSpan w:val="2"/>
            <w:vMerge w:val="continue"/>
            <w:tcBorders>
              <w:top w:val="outset" w:color="auto" w:sz="6" w:space="0"/>
              <w:left w:val="outset" w:color="auto" w:sz="6" w:space="0"/>
              <w:bottom w:val="outset" w:color="auto" w:sz="6" w:space="0"/>
              <w:right w:val="outset" w:color="auto" w:sz="6" w:space="0"/>
            </w:tcBorders>
            <w:vAlign w:val="center"/>
          </w:tcPr>
          <w:p w14:paraId="0ACDA4B9">
            <w:pPr>
              <w:pStyle w:val="145"/>
              <w:pageBreakBefore w:val="0"/>
              <w:wordWrap/>
              <w:topLinePunct w:val="0"/>
              <w:bidi w:val="0"/>
              <w:spacing w:line="560" w:lineRule="exact"/>
              <w:jc w:val="center"/>
              <w:rPr>
                <w:rFonts w:cs="宋体" w:asciiTheme="minorEastAsia" w:hAnsiTheme="minorEastAsia" w:eastAsiaTheme="minorEastAsia"/>
                <w:color w:val="000000" w:themeColor="text1"/>
                <w:sz w:val="28"/>
                <w:szCs w:val="28"/>
                <w:highlight w:val="none"/>
                <w14:textFill>
                  <w14:solidFill>
                    <w14:schemeClr w14:val="tx1"/>
                  </w14:solidFill>
                </w14:textFill>
              </w:rPr>
            </w:pPr>
          </w:p>
        </w:tc>
        <w:tc>
          <w:tcPr>
            <w:tcW w:w="1852" w:type="dxa"/>
            <w:vMerge w:val="continue"/>
            <w:tcBorders>
              <w:top w:val="outset" w:color="auto" w:sz="6" w:space="0"/>
              <w:left w:val="outset" w:color="auto" w:sz="6" w:space="0"/>
              <w:bottom w:val="outset" w:color="auto" w:sz="6" w:space="0"/>
              <w:right w:val="outset" w:color="auto" w:sz="6" w:space="0"/>
            </w:tcBorders>
            <w:vAlign w:val="center"/>
          </w:tcPr>
          <w:p w14:paraId="2E37566D">
            <w:pPr>
              <w:pStyle w:val="145"/>
              <w:pageBreakBefore w:val="0"/>
              <w:wordWrap/>
              <w:topLinePunct w:val="0"/>
              <w:bidi w:val="0"/>
              <w:spacing w:line="560" w:lineRule="exact"/>
              <w:jc w:val="center"/>
              <w:rPr>
                <w:rFonts w:cs="宋体" w:asciiTheme="minorEastAsia" w:hAnsiTheme="minorEastAsia" w:eastAsiaTheme="minorEastAsia"/>
                <w:color w:val="000000" w:themeColor="text1"/>
                <w:sz w:val="28"/>
                <w:szCs w:val="28"/>
                <w:highlight w:val="none"/>
                <w14:textFill>
                  <w14:solidFill>
                    <w14:schemeClr w14:val="tx1"/>
                  </w14:solidFill>
                </w14:textFill>
              </w:rPr>
            </w:pPr>
          </w:p>
        </w:tc>
        <w:tc>
          <w:tcPr>
            <w:tcW w:w="5020" w:type="dxa"/>
            <w:vMerge w:val="continue"/>
            <w:tcBorders>
              <w:top w:val="outset" w:color="auto" w:sz="6" w:space="0"/>
              <w:left w:val="outset" w:color="auto" w:sz="6" w:space="0"/>
              <w:bottom w:val="outset" w:color="auto" w:sz="6" w:space="0"/>
              <w:right w:val="outset" w:color="auto" w:sz="6" w:space="0"/>
            </w:tcBorders>
            <w:vAlign w:val="center"/>
          </w:tcPr>
          <w:p w14:paraId="6A708566">
            <w:pPr>
              <w:pStyle w:val="145"/>
              <w:pageBreakBefore w:val="0"/>
              <w:wordWrap/>
              <w:topLinePunct w:val="0"/>
              <w:bidi w:val="0"/>
              <w:spacing w:line="560" w:lineRule="exact"/>
              <w:jc w:val="center"/>
              <w:rPr>
                <w:rFonts w:cs="宋体" w:asciiTheme="minorEastAsia" w:hAnsiTheme="minorEastAsia" w:eastAsiaTheme="minorEastAsia"/>
                <w:color w:val="000000" w:themeColor="text1"/>
                <w:sz w:val="28"/>
                <w:szCs w:val="28"/>
                <w:highlight w:val="none"/>
                <w14:textFill>
                  <w14:solidFill>
                    <w14:schemeClr w14:val="tx1"/>
                  </w14:solidFill>
                </w14:textFill>
              </w:rPr>
            </w:pPr>
          </w:p>
        </w:tc>
        <w:tc>
          <w:tcPr>
            <w:tcW w:w="879" w:type="dxa"/>
            <w:tcBorders>
              <w:top w:val="outset" w:color="auto" w:sz="6" w:space="0"/>
              <w:left w:val="outset" w:color="auto" w:sz="6" w:space="0"/>
              <w:bottom w:val="outset" w:color="auto" w:sz="6" w:space="0"/>
              <w:right w:val="outset" w:color="auto" w:sz="6" w:space="0"/>
            </w:tcBorders>
            <w:vAlign w:val="center"/>
          </w:tcPr>
          <w:p w14:paraId="46BE51B8">
            <w:pPr>
              <w:pStyle w:val="145"/>
              <w:pageBreakBefore w:val="0"/>
              <w:wordWrap/>
              <w:topLinePunct w:val="0"/>
              <w:bidi w:val="0"/>
              <w:spacing w:line="560" w:lineRule="exact"/>
              <w:jc w:val="center"/>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是</w:t>
            </w:r>
          </w:p>
        </w:tc>
        <w:tc>
          <w:tcPr>
            <w:tcW w:w="856" w:type="dxa"/>
            <w:tcBorders>
              <w:top w:val="outset" w:color="auto" w:sz="6" w:space="0"/>
              <w:left w:val="outset" w:color="auto" w:sz="6" w:space="0"/>
              <w:bottom w:val="outset" w:color="auto" w:sz="6" w:space="0"/>
              <w:right w:val="outset" w:color="auto" w:sz="6" w:space="0"/>
            </w:tcBorders>
            <w:vAlign w:val="center"/>
          </w:tcPr>
          <w:p w14:paraId="25ADFFE4">
            <w:pPr>
              <w:pStyle w:val="145"/>
              <w:pageBreakBefore w:val="0"/>
              <w:wordWrap/>
              <w:topLinePunct w:val="0"/>
              <w:bidi w:val="0"/>
              <w:spacing w:line="560" w:lineRule="exact"/>
              <w:jc w:val="center"/>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否</w:t>
            </w:r>
          </w:p>
        </w:tc>
      </w:tr>
      <w:tr w14:paraId="3BA92D9A">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530" w:hRule="atLeast"/>
        </w:trPr>
        <w:tc>
          <w:tcPr>
            <w:tcW w:w="430" w:type="dxa"/>
            <w:vMerge w:val="restart"/>
            <w:tcBorders>
              <w:top w:val="outset" w:color="auto" w:sz="6" w:space="0"/>
              <w:left w:val="outset" w:color="auto" w:sz="6" w:space="0"/>
              <w:right w:val="outset" w:color="auto" w:sz="6" w:space="0"/>
            </w:tcBorders>
            <w:vAlign w:val="center"/>
          </w:tcPr>
          <w:p w14:paraId="516ADB55">
            <w:pPr>
              <w:pStyle w:val="145"/>
              <w:pageBreakBefore w:val="0"/>
              <w:wordWrap/>
              <w:topLinePunct w:val="0"/>
              <w:bidi w:val="0"/>
              <w:spacing w:line="560" w:lineRule="exact"/>
              <w:jc w:val="center"/>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初步评审</w:t>
            </w:r>
          </w:p>
        </w:tc>
        <w:tc>
          <w:tcPr>
            <w:tcW w:w="495" w:type="dxa"/>
            <w:vMerge w:val="restart"/>
            <w:tcBorders>
              <w:top w:val="outset" w:color="auto" w:sz="6" w:space="0"/>
              <w:left w:val="outset" w:color="auto" w:sz="6" w:space="0"/>
              <w:right w:val="outset" w:color="auto" w:sz="6" w:space="0"/>
            </w:tcBorders>
            <w:vAlign w:val="center"/>
          </w:tcPr>
          <w:p w14:paraId="44F7CCD5">
            <w:pPr>
              <w:pStyle w:val="145"/>
              <w:pageBreakBefore w:val="0"/>
              <w:wordWrap/>
              <w:topLinePunct w:val="0"/>
              <w:bidi w:val="0"/>
              <w:spacing w:line="560" w:lineRule="exact"/>
              <w:jc w:val="center"/>
              <w:rPr>
                <w:rFonts w:hint="eastAsia" w:cs="宋体" w:asciiTheme="minorEastAsia" w:hAnsiTheme="minorEastAsia" w:eastAsiaTheme="minorEastAsia"/>
                <w:color w:val="000000" w:themeColor="text1"/>
                <w:sz w:val="28"/>
                <w:szCs w:val="28"/>
                <w:highlight w:val="none"/>
                <w:lang w:eastAsia="zh-CN"/>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资格</w:t>
            </w:r>
            <w:r>
              <w:rPr>
                <w:rFonts w:hint="eastAsia" w:cs="宋体" w:asciiTheme="minorEastAsia" w:hAnsiTheme="minorEastAsia" w:eastAsiaTheme="minorEastAsia"/>
                <w:color w:val="000000" w:themeColor="text1"/>
                <w:sz w:val="28"/>
                <w:szCs w:val="28"/>
                <w:highlight w:val="none"/>
                <w:lang w:eastAsia="zh-CN"/>
                <w14:textFill>
                  <w14:solidFill>
                    <w14:schemeClr w14:val="tx1"/>
                  </w14:solidFill>
                </w14:textFill>
              </w:rPr>
              <w:t>性</w:t>
            </w:r>
          </w:p>
          <w:p w14:paraId="4C36BB93">
            <w:pPr>
              <w:pStyle w:val="145"/>
              <w:pageBreakBefore w:val="0"/>
              <w:wordWrap/>
              <w:topLinePunct w:val="0"/>
              <w:bidi w:val="0"/>
              <w:spacing w:line="560" w:lineRule="exact"/>
              <w:jc w:val="center"/>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检查</w:t>
            </w:r>
          </w:p>
        </w:tc>
        <w:tc>
          <w:tcPr>
            <w:tcW w:w="1852" w:type="dxa"/>
            <w:tcBorders>
              <w:top w:val="outset" w:color="auto" w:sz="6" w:space="0"/>
              <w:left w:val="outset" w:color="auto" w:sz="6" w:space="0"/>
              <w:bottom w:val="outset" w:color="auto" w:sz="6" w:space="0"/>
              <w:right w:val="outset" w:color="auto" w:sz="6" w:space="0"/>
            </w:tcBorders>
            <w:vAlign w:val="center"/>
          </w:tcPr>
          <w:p w14:paraId="7B56EE4B">
            <w:pPr>
              <w:pStyle w:val="145"/>
              <w:pageBreakBefore w:val="0"/>
              <w:wordWrap/>
              <w:topLinePunct w:val="0"/>
              <w:bidi w:val="0"/>
              <w:adjustRightInd w:val="0"/>
              <w:snapToGrid w:val="0"/>
              <w:spacing w:line="560" w:lineRule="exact"/>
              <w:jc w:val="center"/>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营业执照</w:t>
            </w:r>
          </w:p>
        </w:tc>
        <w:tc>
          <w:tcPr>
            <w:tcW w:w="5020" w:type="dxa"/>
            <w:tcBorders>
              <w:top w:val="outset" w:color="auto" w:sz="6" w:space="0"/>
              <w:left w:val="outset" w:color="auto" w:sz="6" w:space="0"/>
              <w:bottom w:val="outset" w:color="auto" w:sz="6" w:space="0"/>
              <w:right w:val="outset" w:color="auto" w:sz="6" w:space="0"/>
            </w:tcBorders>
            <w:vAlign w:val="center"/>
          </w:tcPr>
          <w:p w14:paraId="294A53BF">
            <w:pPr>
              <w:pStyle w:val="145"/>
              <w:pageBreakBefore w:val="0"/>
              <w:wordWrap/>
              <w:topLinePunct w:val="0"/>
              <w:bidi w:val="0"/>
              <w:adjustRightInd w:val="0"/>
              <w:snapToGrid w:val="0"/>
              <w:spacing w:line="560" w:lineRule="exact"/>
              <w:jc w:val="both"/>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lang w:eastAsia="zh-CN"/>
                <w14:textFill>
                  <w14:solidFill>
                    <w14:schemeClr w14:val="tx1"/>
                  </w14:solidFill>
                </w14:textFill>
              </w:rPr>
              <w:t>提供</w:t>
            </w:r>
            <w:r>
              <w:rPr>
                <w:rFonts w:hint="eastAsia" w:ascii="宋体" w:hAnsi="宋体" w:eastAsia="宋体" w:cs="宋体"/>
                <w:color w:val="000000" w:themeColor="text1"/>
                <w:sz w:val="28"/>
                <w:szCs w:val="28"/>
                <w:highlight w:val="none"/>
                <w14:textFill>
                  <w14:solidFill>
                    <w14:schemeClr w14:val="tx1"/>
                  </w14:solidFill>
                </w14:textFill>
              </w:rPr>
              <w:t>具有合法有效的营业执照</w:t>
            </w:r>
          </w:p>
        </w:tc>
        <w:tc>
          <w:tcPr>
            <w:tcW w:w="879" w:type="dxa"/>
            <w:tcBorders>
              <w:top w:val="outset" w:color="auto" w:sz="6" w:space="0"/>
              <w:left w:val="outset" w:color="auto" w:sz="6" w:space="0"/>
              <w:bottom w:val="outset" w:color="auto" w:sz="6" w:space="0"/>
              <w:right w:val="outset" w:color="auto" w:sz="6" w:space="0"/>
            </w:tcBorders>
            <w:vAlign w:val="center"/>
          </w:tcPr>
          <w:p w14:paraId="36EC7A90">
            <w:pPr>
              <w:pStyle w:val="145"/>
              <w:pageBreakBefore w:val="0"/>
              <w:wordWrap/>
              <w:topLinePunct w:val="0"/>
              <w:bidi w:val="0"/>
              <w:spacing w:line="560" w:lineRule="exact"/>
              <w:rPr>
                <w:rFonts w:cs="宋体" w:asciiTheme="minorEastAsia" w:hAnsiTheme="minorEastAsia" w:eastAsiaTheme="minorEastAsia"/>
                <w:color w:val="000000" w:themeColor="text1"/>
                <w:sz w:val="28"/>
                <w:szCs w:val="28"/>
                <w:highlight w:val="none"/>
                <w14:textFill>
                  <w14:solidFill>
                    <w14:schemeClr w14:val="tx1"/>
                  </w14:solidFill>
                </w14:textFill>
              </w:rPr>
            </w:pPr>
          </w:p>
        </w:tc>
        <w:tc>
          <w:tcPr>
            <w:tcW w:w="856" w:type="dxa"/>
            <w:tcBorders>
              <w:top w:val="outset" w:color="auto" w:sz="6" w:space="0"/>
              <w:left w:val="outset" w:color="auto" w:sz="6" w:space="0"/>
              <w:bottom w:val="outset" w:color="auto" w:sz="6" w:space="0"/>
              <w:right w:val="outset" w:color="auto" w:sz="6" w:space="0"/>
            </w:tcBorders>
            <w:vAlign w:val="center"/>
          </w:tcPr>
          <w:p w14:paraId="78C9AE37">
            <w:pPr>
              <w:pStyle w:val="145"/>
              <w:pageBreakBefore w:val="0"/>
              <w:wordWrap/>
              <w:topLinePunct w:val="0"/>
              <w:bidi w:val="0"/>
              <w:spacing w:line="560" w:lineRule="exact"/>
              <w:rPr>
                <w:rFonts w:cs="宋体" w:asciiTheme="minorEastAsia" w:hAnsiTheme="minorEastAsia" w:eastAsiaTheme="minorEastAsia"/>
                <w:color w:val="000000" w:themeColor="text1"/>
                <w:sz w:val="28"/>
                <w:szCs w:val="28"/>
                <w:highlight w:val="none"/>
                <w14:textFill>
                  <w14:solidFill>
                    <w14:schemeClr w14:val="tx1"/>
                  </w14:solidFill>
                </w14:textFill>
              </w:rPr>
            </w:pPr>
          </w:p>
        </w:tc>
      </w:tr>
      <w:tr w14:paraId="50176025">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430" w:type="dxa"/>
            <w:vMerge w:val="continue"/>
            <w:tcBorders>
              <w:left w:val="outset" w:color="auto" w:sz="6" w:space="0"/>
              <w:right w:val="outset" w:color="auto" w:sz="6" w:space="0"/>
            </w:tcBorders>
            <w:vAlign w:val="center"/>
          </w:tcPr>
          <w:p w14:paraId="50F2E080">
            <w:pPr>
              <w:pStyle w:val="145"/>
              <w:pageBreakBefore w:val="0"/>
              <w:wordWrap/>
              <w:topLinePunct w:val="0"/>
              <w:bidi w:val="0"/>
              <w:spacing w:line="560" w:lineRule="exact"/>
              <w:rPr>
                <w:rFonts w:cs="宋体" w:asciiTheme="minorEastAsia" w:hAnsiTheme="minorEastAsia" w:eastAsiaTheme="minorEastAsia"/>
                <w:color w:val="000000" w:themeColor="text1"/>
                <w:sz w:val="28"/>
                <w:szCs w:val="28"/>
                <w:highlight w:val="none"/>
                <w14:textFill>
                  <w14:solidFill>
                    <w14:schemeClr w14:val="tx1"/>
                  </w14:solidFill>
                </w14:textFill>
              </w:rPr>
            </w:pPr>
          </w:p>
        </w:tc>
        <w:tc>
          <w:tcPr>
            <w:tcW w:w="495" w:type="dxa"/>
            <w:vMerge w:val="continue"/>
            <w:tcBorders>
              <w:left w:val="outset" w:color="auto" w:sz="6" w:space="0"/>
              <w:right w:val="outset" w:color="auto" w:sz="6" w:space="0"/>
            </w:tcBorders>
            <w:vAlign w:val="center"/>
          </w:tcPr>
          <w:p w14:paraId="332C3BE4">
            <w:pPr>
              <w:pStyle w:val="145"/>
              <w:pageBreakBefore w:val="0"/>
              <w:wordWrap/>
              <w:topLinePunct w:val="0"/>
              <w:bidi w:val="0"/>
              <w:spacing w:line="560" w:lineRule="exact"/>
              <w:rPr>
                <w:rFonts w:cs="宋体" w:asciiTheme="minorEastAsia" w:hAnsiTheme="minorEastAsia" w:eastAsiaTheme="minorEastAsia"/>
                <w:color w:val="000000" w:themeColor="text1"/>
                <w:sz w:val="28"/>
                <w:szCs w:val="28"/>
                <w:highlight w:val="none"/>
                <w14:textFill>
                  <w14:solidFill>
                    <w14:schemeClr w14:val="tx1"/>
                  </w14:solidFill>
                </w14:textFill>
              </w:rPr>
            </w:pPr>
          </w:p>
        </w:tc>
        <w:tc>
          <w:tcPr>
            <w:tcW w:w="1852" w:type="dxa"/>
            <w:tcBorders>
              <w:top w:val="outset" w:color="auto" w:sz="6" w:space="0"/>
              <w:left w:val="outset" w:color="auto" w:sz="6" w:space="0"/>
              <w:bottom w:val="outset" w:color="auto" w:sz="6" w:space="0"/>
              <w:right w:val="outset" w:color="auto" w:sz="6" w:space="0"/>
            </w:tcBorders>
            <w:vAlign w:val="center"/>
          </w:tcPr>
          <w:p w14:paraId="4D96A2B0">
            <w:pPr>
              <w:pStyle w:val="145"/>
              <w:pageBreakBefore w:val="0"/>
              <w:wordWrap/>
              <w:topLinePunct w:val="0"/>
              <w:bidi w:val="0"/>
              <w:adjustRightInd w:val="0"/>
              <w:snapToGrid w:val="0"/>
              <w:spacing w:line="560" w:lineRule="exact"/>
              <w:jc w:val="center"/>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ascii="宋体" w:hAnsi="宋体" w:eastAsia="宋体" w:cs="宋体"/>
                <w:color w:val="000000" w:themeColor="text1"/>
                <w:sz w:val="28"/>
                <w:szCs w:val="28"/>
                <w:highlight w:val="none"/>
                <w14:textFill>
                  <w14:solidFill>
                    <w14:schemeClr w14:val="tx1"/>
                  </w14:solidFill>
                </w14:textFill>
              </w:rPr>
              <w:t>财务</w:t>
            </w:r>
          </w:p>
        </w:tc>
        <w:tc>
          <w:tcPr>
            <w:tcW w:w="5020" w:type="dxa"/>
            <w:tcBorders>
              <w:top w:val="outset" w:color="auto" w:sz="6" w:space="0"/>
              <w:left w:val="outset" w:color="auto" w:sz="6" w:space="0"/>
              <w:bottom w:val="outset" w:color="auto" w:sz="6" w:space="0"/>
              <w:right w:val="outset" w:color="auto" w:sz="6" w:space="0"/>
            </w:tcBorders>
            <w:vAlign w:val="center"/>
          </w:tcPr>
          <w:p w14:paraId="5C0465A7">
            <w:pPr>
              <w:pStyle w:val="145"/>
              <w:pageBreakBefore w:val="0"/>
              <w:wordWrap/>
              <w:topLinePunct w:val="0"/>
              <w:bidi w:val="0"/>
              <w:adjustRightInd w:val="0"/>
              <w:snapToGrid w:val="0"/>
              <w:spacing w:line="560" w:lineRule="exact"/>
              <w:jc w:val="both"/>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提供</w:t>
            </w:r>
            <w:r>
              <w:rPr>
                <w:rFonts w:hint="eastAsia" w:ascii="宋体" w:hAnsi="宋体" w:eastAsia="宋体"/>
                <w:color w:val="000000" w:themeColor="text1"/>
                <w:sz w:val="28"/>
                <w:szCs w:val="28"/>
                <w:highlight w:val="none"/>
                <w14:textFill>
                  <w14:solidFill>
                    <w14:schemeClr w14:val="tx1"/>
                  </w14:solidFill>
                </w14:textFill>
              </w:rPr>
              <w:t>202</w:t>
            </w:r>
            <w:r>
              <w:rPr>
                <w:rFonts w:hint="eastAsia" w:ascii="宋体" w:hAnsi="宋体" w:eastAsia="宋体"/>
                <w:color w:val="000000" w:themeColor="text1"/>
                <w:sz w:val="28"/>
                <w:szCs w:val="28"/>
                <w:highlight w:val="none"/>
                <w:lang w:val="en-US" w:eastAsia="zh-CN"/>
                <w14:textFill>
                  <w14:solidFill>
                    <w14:schemeClr w14:val="tx1"/>
                  </w14:solidFill>
                </w14:textFill>
              </w:rPr>
              <w:t>2</w:t>
            </w:r>
            <w:r>
              <w:rPr>
                <w:rFonts w:hint="eastAsia" w:ascii="宋体" w:hAnsi="宋体" w:eastAsia="宋体"/>
                <w:color w:val="000000" w:themeColor="text1"/>
                <w:sz w:val="28"/>
                <w:szCs w:val="28"/>
                <w:highlight w:val="none"/>
                <w14:textFill>
                  <w14:solidFill>
                    <w14:schemeClr w14:val="tx1"/>
                  </w14:solidFill>
                </w14:textFill>
              </w:rPr>
              <w:t>-202</w:t>
            </w:r>
            <w:r>
              <w:rPr>
                <w:rFonts w:hint="eastAsia" w:ascii="宋体" w:hAnsi="宋体" w:eastAsia="宋体"/>
                <w:color w:val="000000" w:themeColor="text1"/>
                <w:sz w:val="28"/>
                <w:szCs w:val="28"/>
                <w:highlight w:val="none"/>
                <w:lang w:val="en-US" w:eastAsia="zh-CN"/>
                <w14:textFill>
                  <w14:solidFill>
                    <w14:schemeClr w14:val="tx1"/>
                  </w14:solidFill>
                </w14:textFill>
              </w:rPr>
              <w:t>4</w:t>
            </w:r>
            <w:r>
              <w:rPr>
                <w:rFonts w:hint="eastAsia" w:ascii="宋体" w:hAnsi="宋体" w:eastAsia="宋体" w:cs="宋体"/>
                <w:color w:val="000000" w:themeColor="text1"/>
                <w:sz w:val="28"/>
                <w:szCs w:val="28"/>
                <w:highlight w:val="none"/>
                <w14:textFill>
                  <w14:solidFill>
                    <w14:schemeClr w14:val="tx1"/>
                  </w14:solidFill>
                </w14:textFill>
              </w:rPr>
              <w:t>年任意一年的</w:t>
            </w:r>
            <w:r>
              <w:rPr>
                <w:rFonts w:hint="eastAsia" w:ascii="宋体" w:hAnsi="宋体" w:eastAsia="宋体" w:cs="宋体"/>
                <w:color w:val="000000" w:themeColor="text1"/>
                <w:sz w:val="28"/>
                <w:szCs w:val="28"/>
                <w:highlight w:val="none"/>
                <w:lang w:val="en-US" w:eastAsia="zh-CN"/>
                <w14:textFill>
                  <w14:solidFill>
                    <w14:schemeClr w14:val="tx1"/>
                  </w14:solidFill>
                </w14:textFill>
              </w:rPr>
              <w:t>完整</w:t>
            </w:r>
            <w:r>
              <w:rPr>
                <w:rFonts w:hint="eastAsia" w:ascii="宋体" w:hAnsi="宋体" w:eastAsia="宋体" w:cs="宋体"/>
                <w:color w:val="000000" w:themeColor="text1"/>
                <w:sz w:val="28"/>
                <w:szCs w:val="28"/>
                <w:highlight w:val="none"/>
                <w14:textFill>
                  <w14:solidFill>
                    <w14:schemeClr w14:val="tx1"/>
                  </w14:solidFill>
                </w14:textFill>
              </w:rPr>
              <w:t>审计报告或财务报表（应包括资产负债表、现金流量表、利润表），本年度新成立或成立不满一年的无法提供财务审计报告或财务状况报告表的无需提供。</w:t>
            </w:r>
          </w:p>
        </w:tc>
        <w:tc>
          <w:tcPr>
            <w:tcW w:w="879" w:type="dxa"/>
            <w:tcBorders>
              <w:top w:val="outset" w:color="auto" w:sz="6" w:space="0"/>
              <w:left w:val="outset" w:color="auto" w:sz="6" w:space="0"/>
              <w:bottom w:val="outset" w:color="auto" w:sz="6" w:space="0"/>
              <w:right w:val="outset" w:color="auto" w:sz="6" w:space="0"/>
            </w:tcBorders>
            <w:vAlign w:val="center"/>
          </w:tcPr>
          <w:p w14:paraId="2633195E">
            <w:pPr>
              <w:pStyle w:val="145"/>
              <w:pageBreakBefore w:val="0"/>
              <w:wordWrap/>
              <w:topLinePunct w:val="0"/>
              <w:bidi w:val="0"/>
              <w:spacing w:line="560" w:lineRule="exact"/>
              <w:rPr>
                <w:rFonts w:cs="宋体" w:asciiTheme="minorEastAsia" w:hAnsiTheme="minorEastAsia" w:eastAsiaTheme="minorEastAsia"/>
                <w:color w:val="000000" w:themeColor="text1"/>
                <w:sz w:val="28"/>
                <w:szCs w:val="28"/>
                <w:highlight w:val="none"/>
                <w14:textFill>
                  <w14:solidFill>
                    <w14:schemeClr w14:val="tx1"/>
                  </w14:solidFill>
                </w14:textFill>
              </w:rPr>
            </w:pPr>
          </w:p>
        </w:tc>
        <w:tc>
          <w:tcPr>
            <w:tcW w:w="856" w:type="dxa"/>
            <w:tcBorders>
              <w:top w:val="outset" w:color="auto" w:sz="6" w:space="0"/>
              <w:left w:val="outset" w:color="auto" w:sz="6" w:space="0"/>
              <w:bottom w:val="outset" w:color="auto" w:sz="6" w:space="0"/>
              <w:right w:val="outset" w:color="auto" w:sz="6" w:space="0"/>
            </w:tcBorders>
            <w:vAlign w:val="center"/>
          </w:tcPr>
          <w:p w14:paraId="5A42A05A">
            <w:pPr>
              <w:pStyle w:val="145"/>
              <w:pageBreakBefore w:val="0"/>
              <w:wordWrap/>
              <w:topLinePunct w:val="0"/>
              <w:bidi w:val="0"/>
              <w:spacing w:line="560" w:lineRule="exact"/>
              <w:rPr>
                <w:rFonts w:cs="宋体" w:asciiTheme="minorEastAsia" w:hAnsiTheme="minorEastAsia" w:eastAsiaTheme="minorEastAsia"/>
                <w:color w:val="000000" w:themeColor="text1"/>
                <w:sz w:val="28"/>
                <w:szCs w:val="28"/>
                <w:highlight w:val="none"/>
                <w14:textFill>
                  <w14:solidFill>
                    <w14:schemeClr w14:val="tx1"/>
                  </w14:solidFill>
                </w14:textFill>
              </w:rPr>
            </w:pPr>
          </w:p>
        </w:tc>
      </w:tr>
      <w:tr w14:paraId="311A0DDF">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1181" w:hRule="atLeast"/>
        </w:trPr>
        <w:tc>
          <w:tcPr>
            <w:tcW w:w="430" w:type="dxa"/>
            <w:vMerge w:val="continue"/>
            <w:tcBorders>
              <w:left w:val="outset" w:color="auto" w:sz="6" w:space="0"/>
              <w:right w:val="outset" w:color="auto" w:sz="6" w:space="0"/>
            </w:tcBorders>
            <w:vAlign w:val="center"/>
          </w:tcPr>
          <w:p w14:paraId="528DB84C">
            <w:pPr>
              <w:pStyle w:val="145"/>
              <w:pageBreakBefore w:val="0"/>
              <w:wordWrap/>
              <w:topLinePunct w:val="0"/>
              <w:bidi w:val="0"/>
              <w:spacing w:line="560" w:lineRule="exact"/>
              <w:rPr>
                <w:rFonts w:cs="宋体" w:asciiTheme="minorEastAsia" w:hAnsiTheme="minorEastAsia" w:eastAsiaTheme="minorEastAsia"/>
                <w:color w:val="000000" w:themeColor="text1"/>
                <w:sz w:val="28"/>
                <w:szCs w:val="28"/>
                <w:highlight w:val="none"/>
                <w14:textFill>
                  <w14:solidFill>
                    <w14:schemeClr w14:val="tx1"/>
                  </w14:solidFill>
                </w14:textFill>
              </w:rPr>
            </w:pPr>
          </w:p>
        </w:tc>
        <w:tc>
          <w:tcPr>
            <w:tcW w:w="495" w:type="dxa"/>
            <w:vMerge w:val="continue"/>
            <w:tcBorders>
              <w:left w:val="outset" w:color="auto" w:sz="6" w:space="0"/>
              <w:right w:val="outset" w:color="auto" w:sz="6" w:space="0"/>
            </w:tcBorders>
            <w:vAlign w:val="center"/>
          </w:tcPr>
          <w:p w14:paraId="61EA778D">
            <w:pPr>
              <w:pStyle w:val="145"/>
              <w:pageBreakBefore w:val="0"/>
              <w:wordWrap/>
              <w:topLinePunct w:val="0"/>
              <w:bidi w:val="0"/>
              <w:spacing w:line="560" w:lineRule="exact"/>
              <w:rPr>
                <w:rFonts w:cs="宋体" w:asciiTheme="minorEastAsia" w:hAnsiTheme="minorEastAsia" w:eastAsiaTheme="minorEastAsia"/>
                <w:color w:val="000000" w:themeColor="text1"/>
                <w:sz w:val="28"/>
                <w:szCs w:val="28"/>
                <w:highlight w:val="none"/>
                <w14:textFill>
                  <w14:solidFill>
                    <w14:schemeClr w14:val="tx1"/>
                  </w14:solidFill>
                </w14:textFill>
              </w:rPr>
            </w:pPr>
          </w:p>
        </w:tc>
        <w:tc>
          <w:tcPr>
            <w:tcW w:w="1852" w:type="dxa"/>
            <w:tcBorders>
              <w:top w:val="outset" w:color="auto" w:sz="6" w:space="0"/>
              <w:left w:val="outset" w:color="auto" w:sz="6" w:space="0"/>
              <w:bottom w:val="outset" w:color="auto" w:sz="6" w:space="0"/>
              <w:right w:val="outset" w:color="auto" w:sz="6" w:space="0"/>
            </w:tcBorders>
            <w:vAlign w:val="center"/>
          </w:tcPr>
          <w:p w14:paraId="7B658854">
            <w:pPr>
              <w:pStyle w:val="145"/>
              <w:pageBreakBefore w:val="0"/>
              <w:wordWrap/>
              <w:topLinePunct w:val="0"/>
              <w:bidi w:val="0"/>
              <w:adjustRightInd w:val="0"/>
              <w:snapToGrid w:val="0"/>
              <w:spacing w:line="560" w:lineRule="exact"/>
              <w:jc w:val="center"/>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履行合同所必需的设备和专业技术能力</w:t>
            </w:r>
          </w:p>
        </w:tc>
        <w:tc>
          <w:tcPr>
            <w:tcW w:w="5020" w:type="dxa"/>
            <w:tcBorders>
              <w:top w:val="outset" w:color="auto" w:sz="6" w:space="0"/>
              <w:left w:val="outset" w:color="auto" w:sz="6" w:space="0"/>
              <w:bottom w:val="outset" w:color="auto" w:sz="6" w:space="0"/>
              <w:right w:val="outset" w:color="auto" w:sz="6" w:space="0"/>
            </w:tcBorders>
            <w:vAlign w:val="center"/>
          </w:tcPr>
          <w:p w14:paraId="3EAAC985">
            <w:pPr>
              <w:pStyle w:val="145"/>
              <w:pageBreakBefore w:val="0"/>
              <w:wordWrap/>
              <w:topLinePunct w:val="0"/>
              <w:bidi w:val="0"/>
              <w:adjustRightInd w:val="0"/>
              <w:snapToGrid w:val="0"/>
              <w:spacing w:line="560" w:lineRule="exact"/>
              <w:jc w:val="both"/>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根据项目需求提供履行合同所必需的设备和专业技术能力的加盖单位公章的书面承诺函</w:t>
            </w:r>
          </w:p>
        </w:tc>
        <w:tc>
          <w:tcPr>
            <w:tcW w:w="879" w:type="dxa"/>
            <w:tcBorders>
              <w:top w:val="outset" w:color="auto" w:sz="6" w:space="0"/>
              <w:left w:val="outset" w:color="auto" w:sz="6" w:space="0"/>
              <w:bottom w:val="outset" w:color="auto" w:sz="6" w:space="0"/>
              <w:right w:val="outset" w:color="auto" w:sz="6" w:space="0"/>
            </w:tcBorders>
            <w:vAlign w:val="center"/>
          </w:tcPr>
          <w:p w14:paraId="711A0E10">
            <w:pPr>
              <w:pStyle w:val="145"/>
              <w:pageBreakBefore w:val="0"/>
              <w:wordWrap/>
              <w:topLinePunct w:val="0"/>
              <w:bidi w:val="0"/>
              <w:spacing w:line="560" w:lineRule="exact"/>
              <w:rPr>
                <w:rFonts w:cs="宋体" w:asciiTheme="minorEastAsia" w:hAnsiTheme="minorEastAsia" w:eastAsiaTheme="minorEastAsia"/>
                <w:color w:val="000000" w:themeColor="text1"/>
                <w:sz w:val="28"/>
                <w:szCs w:val="28"/>
                <w:highlight w:val="none"/>
                <w14:textFill>
                  <w14:solidFill>
                    <w14:schemeClr w14:val="tx1"/>
                  </w14:solidFill>
                </w14:textFill>
              </w:rPr>
            </w:pPr>
          </w:p>
        </w:tc>
        <w:tc>
          <w:tcPr>
            <w:tcW w:w="856" w:type="dxa"/>
            <w:tcBorders>
              <w:top w:val="outset" w:color="auto" w:sz="6" w:space="0"/>
              <w:left w:val="outset" w:color="auto" w:sz="6" w:space="0"/>
              <w:bottom w:val="outset" w:color="auto" w:sz="6" w:space="0"/>
              <w:right w:val="outset" w:color="auto" w:sz="6" w:space="0"/>
            </w:tcBorders>
            <w:vAlign w:val="center"/>
          </w:tcPr>
          <w:p w14:paraId="79749EFD">
            <w:pPr>
              <w:pStyle w:val="145"/>
              <w:pageBreakBefore w:val="0"/>
              <w:wordWrap/>
              <w:topLinePunct w:val="0"/>
              <w:bidi w:val="0"/>
              <w:spacing w:line="560" w:lineRule="exact"/>
              <w:rPr>
                <w:rFonts w:cs="宋体" w:asciiTheme="minorEastAsia" w:hAnsiTheme="minorEastAsia" w:eastAsiaTheme="minorEastAsia"/>
                <w:color w:val="000000" w:themeColor="text1"/>
                <w:sz w:val="28"/>
                <w:szCs w:val="28"/>
                <w:highlight w:val="none"/>
                <w14:textFill>
                  <w14:solidFill>
                    <w14:schemeClr w14:val="tx1"/>
                  </w14:solidFill>
                </w14:textFill>
              </w:rPr>
            </w:pPr>
          </w:p>
        </w:tc>
      </w:tr>
      <w:tr w14:paraId="5D96E925">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1615" w:hRule="atLeast"/>
        </w:trPr>
        <w:tc>
          <w:tcPr>
            <w:tcW w:w="430" w:type="dxa"/>
            <w:vMerge w:val="continue"/>
            <w:tcBorders>
              <w:left w:val="outset" w:color="auto" w:sz="6" w:space="0"/>
              <w:right w:val="outset" w:color="auto" w:sz="6" w:space="0"/>
            </w:tcBorders>
            <w:vAlign w:val="center"/>
          </w:tcPr>
          <w:p w14:paraId="78135F6D">
            <w:pPr>
              <w:pStyle w:val="145"/>
              <w:pageBreakBefore w:val="0"/>
              <w:wordWrap/>
              <w:topLinePunct w:val="0"/>
              <w:bidi w:val="0"/>
              <w:spacing w:line="560" w:lineRule="exact"/>
              <w:rPr>
                <w:rFonts w:cs="宋体" w:asciiTheme="minorEastAsia" w:hAnsiTheme="minorEastAsia" w:eastAsiaTheme="minorEastAsia"/>
                <w:color w:val="000000" w:themeColor="text1"/>
                <w:sz w:val="28"/>
                <w:szCs w:val="28"/>
                <w:highlight w:val="none"/>
                <w14:textFill>
                  <w14:solidFill>
                    <w14:schemeClr w14:val="tx1"/>
                  </w14:solidFill>
                </w14:textFill>
              </w:rPr>
            </w:pPr>
          </w:p>
        </w:tc>
        <w:tc>
          <w:tcPr>
            <w:tcW w:w="495" w:type="dxa"/>
            <w:vMerge w:val="continue"/>
            <w:tcBorders>
              <w:left w:val="outset" w:color="auto" w:sz="6" w:space="0"/>
              <w:right w:val="outset" w:color="auto" w:sz="6" w:space="0"/>
            </w:tcBorders>
            <w:vAlign w:val="center"/>
          </w:tcPr>
          <w:p w14:paraId="0076CB08">
            <w:pPr>
              <w:pStyle w:val="145"/>
              <w:pageBreakBefore w:val="0"/>
              <w:wordWrap/>
              <w:topLinePunct w:val="0"/>
              <w:bidi w:val="0"/>
              <w:spacing w:line="560" w:lineRule="exact"/>
              <w:rPr>
                <w:rFonts w:cs="宋体" w:asciiTheme="minorEastAsia" w:hAnsiTheme="minorEastAsia" w:eastAsiaTheme="minorEastAsia"/>
                <w:color w:val="000000" w:themeColor="text1"/>
                <w:sz w:val="28"/>
                <w:szCs w:val="28"/>
                <w:highlight w:val="none"/>
                <w14:textFill>
                  <w14:solidFill>
                    <w14:schemeClr w14:val="tx1"/>
                  </w14:solidFill>
                </w14:textFill>
              </w:rPr>
            </w:pPr>
          </w:p>
        </w:tc>
        <w:tc>
          <w:tcPr>
            <w:tcW w:w="1852" w:type="dxa"/>
            <w:tcBorders>
              <w:top w:val="outset" w:color="auto" w:sz="6" w:space="0"/>
              <w:left w:val="outset" w:color="auto" w:sz="6" w:space="0"/>
              <w:bottom w:val="outset" w:color="auto" w:sz="6" w:space="0"/>
              <w:right w:val="outset" w:color="auto" w:sz="6" w:space="0"/>
            </w:tcBorders>
            <w:vAlign w:val="center"/>
          </w:tcPr>
          <w:p w14:paraId="71CB2258">
            <w:pPr>
              <w:pStyle w:val="145"/>
              <w:pageBreakBefore w:val="0"/>
              <w:wordWrap/>
              <w:topLinePunct w:val="0"/>
              <w:bidi w:val="0"/>
              <w:adjustRightInd w:val="0"/>
              <w:snapToGrid w:val="0"/>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依法缴纳税收和社会保障</w:t>
            </w:r>
          </w:p>
          <w:p w14:paraId="6588F7A0">
            <w:pPr>
              <w:pStyle w:val="145"/>
              <w:pageBreakBefore w:val="0"/>
              <w:wordWrap/>
              <w:topLinePunct w:val="0"/>
              <w:bidi w:val="0"/>
              <w:adjustRightInd w:val="0"/>
              <w:snapToGrid w:val="0"/>
              <w:spacing w:line="560" w:lineRule="exact"/>
              <w:jc w:val="center"/>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资金</w:t>
            </w:r>
          </w:p>
        </w:tc>
        <w:tc>
          <w:tcPr>
            <w:tcW w:w="5020" w:type="dxa"/>
            <w:tcBorders>
              <w:top w:val="outset" w:color="auto" w:sz="6" w:space="0"/>
              <w:left w:val="outset" w:color="auto" w:sz="6" w:space="0"/>
              <w:bottom w:val="outset" w:color="auto" w:sz="6" w:space="0"/>
              <w:right w:val="outset" w:color="auto" w:sz="6" w:space="0"/>
            </w:tcBorders>
            <w:vAlign w:val="center"/>
          </w:tcPr>
          <w:p w14:paraId="506332AE">
            <w:pPr>
              <w:pStyle w:val="145"/>
              <w:pageBreakBefore w:val="0"/>
              <w:wordWrap/>
              <w:topLinePunct w:val="0"/>
              <w:bidi w:val="0"/>
              <w:adjustRightInd w:val="0"/>
              <w:snapToGrid w:val="0"/>
              <w:spacing w:line="560" w:lineRule="exact"/>
              <w:jc w:val="both"/>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提供参加本次政府采购活动前近半年内任意一个月的依法缴纳税收和社会保障资金的相关材料</w:t>
            </w:r>
          </w:p>
        </w:tc>
        <w:tc>
          <w:tcPr>
            <w:tcW w:w="879" w:type="dxa"/>
            <w:tcBorders>
              <w:top w:val="outset" w:color="auto" w:sz="6" w:space="0"/>
              <w:left w:val="outset" w:color="auto" w:sz="6" w:space="0"/>
              <w:bottom w:val="outset" w:color="auto" w:sz="6" w:space="0"/>
              <w:right w:val="outset" w:color="auto" w:sz="6" w:space="0"/>
            </w:tcBorders>
            <w:vAlign w:val="center"/>
          </w:tcPr>
          <w:p w14:paraId="4A1810E7">
            <w:pPr>
              <w:pStyle w:val="145"/>
              <w:pageBreakBefore w:val="0"/>
              <w:wordWrap/>
              <w:topLinePunct w:val="0"/>
              <w:bidi w:val="0"/>
              <w:spacing w:line="560" w:lineRule="exact"/>
              <w:rPr>
                <w:rFonts w:cs="宋体" w:asciiTheme="minorEastAsia" w:hAnsiTheme="minorEastAsia" w:eastAsiaTheme="minorEastAsia"/>
                <w:color w:val="000000" w:themeColor="text1"/>
                <w:sz w:val="28"/>
                <w:szCs w:val="28"/>
                <w:highlight w:val="none"/>
                <w14:textFill>
                  <w14:solidFill>
                    <w14:schemeClr w14:val="tx1"/>
                  </w14:solidFill>
                </w14:textFill>
              </w:rPr>
            </w:pPr>
          </w:p>
        </w:tc>
        <w:tc>
          <w:tcPr>
            <w:tcW w:w="856" w:type="dxa"/>
            <w:tcBorders>
              <w:top w:val="outset" w:color="auto" w:sz="6" w:space="0"/>
              <w:left w:val="outset" w:color="auto" w:sz="6" w:space="0"/>
              <w:bottom w:val="outset" w:color="auto" w:sz="6" w:space="0"/>
              <w:right w:val="outset" w:color="auto" w:sz="6" w:space="0"/>
            </w:tcBorders>
            <w:vAlign w:val="center"/>
          </w:tcPr>
          <w:p w14:paraId="5DB1EB2D">
            <w:pPr>
              <w:pStyle w:val="145"/>
              <w:pageBreakBefore w:val="0"/>
              <w:wordWrap/>
              <w:topLinePunct w:val="0"/>
              <w:bidi w:val="0"/>
              <w:spacing w:line="560" w:lineRule="exact"/>
              <w:rPr>
                <w:rFonts w:cs="宋体" w:asciiTheme="minorEastAsia" w:hAnsiTheme="minorEastAsia" w:eastAsiaTheme="minorEastAsia"/>
                <w:color w:val="000000" w:themeColor="text1"/>
                <w:sz w:val="28"/>
                <w:szCs w:val="28"/>
                <w:highlight w:val="none"/>
                <w14:textFill>
                  <w14:solidFill>
                    <w14:schemeClr w14:val="tx1"/>
                  </w14:solidFill>
                </w14:textFill>
              </w:rPr>
            </w:pPr>
          </w:p>
        </w:tc>
      </w:tr>
      <w:tr w14:paraId="7AF39629">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1526" w:hRule="atLeast"/>
        </w:trPr>
        <w:tc>
          <w:tcPr>
            <w:tcW w:w="430" w:type="dxa"/>
            <w:vMerge w:val="continue"/>
            <w:tcBorders>
              <w:left w:val="outset" w:color="auto" w:sz="6" w:space="0"/>
              <w:right w:val="outset" w:color="auto" w:sz="6" w:space="0"/>
            </w:tcBorders>
            <w:vAlign w:val="center"/>
          </w:tcPr>
          <w:p w14:paraId="45A59EA2">
            <w:pPr>
              <w:pStyle w:val="145"/>
              <w:pageBreakBefore w:val="0"/>
              <w:wordWrap/>
              <w:topLinePunct w:val="0"/>
              <w:bidi w:val="0"/>
              <w:spacing w:line="560" w:lineRule="exact"/>
              <w:rPr>
                <w:rFonts w:cs="宋体" w:asciiTheme="minorEastAsia" w:hAnsiTheme="minorEastAsia" w:eastAsiaTheme="minorEastAsia"/>
                <w:color w:val="000000" w:themeColor="text1"/>
                <w:sz w:val="28"/>
                <w:szCs w:val="28"/>
                <w:highlight w:val="none"/>
                <w14:textFill>
                  <w14:solidFill>
                    <w14:schemeClr w14:val="tx1"/>
                  </w14:solidFill>
                </w14:textFill>
              </w:rPr>
            </w:pPr>
          </w:p>
        </w:tc>
        <w:tc>
          <w:tcPr>
            <w:tcW w:w="495" w:type="dxa"/>
            <w:vMerge w:val="continue"/>
            <w:tcBorders>
              <w:left w:val="outset" w:color="auto" w:sz="6" w:space="0"/>
              <w:right w:val="outset" w:color="auto" w:sz="6" w:space="0"/>
            </w:tcBorders>
            <w:vAlign w:val="center"/>
          </w:tcPr>
          <w:p w14:paraId="44F8923B">
            <w:pPr>
              <w:pStyle w:val="145"/>
              <w:pageBreakBefore w:val="0"/>
              <w:wordWrap/>
              <w:topLinePunct w:val="0"/>
              <w:bidi w:val="0"/>
              <w:spacing w:line="560" w:lineRule="exact"/>
              <w:rPr>
                <w:rFonts w:cs="宋体" w:asciiTheme="minorEastAsia" w:hAnsiTheme="minorEastAsia" w:eastAsiaTheme="minorEastAsia"/>
                <w:color w:val="000000" w:themeColor="text1"/>
                <w:sz w:val="28"/>
                <w:szCs w:val="28"/>
                <w:highlight w:val="none"/>
                <w14:textFill>
                  <w14:solidFill>
                    <w14:schemeClr w14:val="tx1"/>
                  </w14:solidFill>
                </w14:textFill>
              </w:rPr>
            </w:pPr>
          </w:p>
        </w:tc>
        <w:tc>
          <w:tcPr>
            <w:tcW w:w="1852" w:type="dxa"/>
            <w:tcBorders>
              <w:top w:val="outset" w:color="auto" w:sz="6" w:space="0"/>
              <w:left w:val="outset" w:color="auto" w:sz="6" w:space="0"/>
              <w:bottom w:val="outset" w:color="auto" w:sz="6" w:space="0"/>
              <w:right w:val="outset" w:color="auto" w:sz="6" w:space="0"/>
            </w:tcBorders>
            <w:vAlign w:val="center"/>
          </w:tcPr>
          <w:p w14:paraId="6B88DDDE">
            <w:pPr>
              <w:pStyle w:val="145"/>
              <w:pageBreakBefore w:val="0"/>
              <w:wordWrap/>
              <w:topLinePunct w:val="0"/>
              <w:bidi w:val="0"/>
              <w:adjustRightInd w:val="0"/>
              <w:snapToGrid w:val="0"/>
              <w:spacing w:line="560" w:lineRule="exact"/>
              <w:jc w:val="center"/>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前3年内在经营活动中没有重大违法记录</w:t>
            </w:r>
          </w:p>
        </w:tc>
        <w:tc>
          <w:tcPr>
            <w:tcW w:w="5020" w:type="dxa"/>
            <w:tcBorders>
              <w:top w:val="outset" w:color="auto" w:sz="6" w:space="0"/>
              <w:left w:val="outset" w:color="auto" w:sz="6" w:space="0"/>
              <w:bottom w:val="outset" w:color="auto" w:sz="6" w:space="0"/>
              <w:right w:val="outset" w:color="auto" w:sz="6" w:space="0"/>
            </w:tcBorders>
            <w:vAlign w:val="center"/>
          </w:tcPr>
          <w:p w14:paraId="6C40EB81">
            <w:pPr>
              <w:pStyle w:val="145"/>
              <w:pageBreakBefore w:val="0"/>
              <w:wordWrap/>
              <w:topLinePunct w:val="0"/>
              <w:bidi w:val="0"/>
              <w:adjustRightInd w:val="0"/>
              <w:snapToGrid w:val="0"/>
              <w:spacing w:line="560" w:lineRule="exact"/>
              <w:jc w:val="both"/>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提供参加本次政府采购活动前3年内在经营活动中没有重大违法记录的书面承诺函并加盖单位公章</w:t>
            </w:r>
          </w:p>
        </w:tc>
        <w:tc>
          <w:tcPr>
            <w:tcW w:w="879" w:type="dxa"/>
            <w:tcBorders>
              <w:top w:val="outset" w:color="auto" w:sz="6" w:space="0"/>
              <w:left w:val="outset" w:color="auto" w:sz="6" w:space="0"/>
              <w:bottom w:val="outset" w:color="auto" w:sz="6" w:space="0"/>
              <w:right w:val="outset" w:color="auto" w:sz="6" w:space="0"/>
            </w:tcBorders>
            <w:vAlign w:val="center"/>
          </w:tcPr>
          <w:p w14:paraId="056FA230">
            <w:pPr>
              <w:pStyle w:val="145"/>
              <w:pageBreakBefore w:val="0"/>
              <w:wordWrap/>
              <w:topLinePunct w:val="0"/>
              <w:bidi w:val="0"/>
              <w:spacing w:line="560" w:lineRule="exact"/>
              <w:rPr>
                <w:rFonts w:cs="宋体" w:asciiTheme="minorEastAsia" w:hAnsiTheme="minorEastAsia" w:eastAsiaTheme="minorEastAsia"/>
                <w:color w:val="000000" w:themeColor="text1"/>
                <w:sz w:val="28"/>
                <w:szCs w:val="28"/>
                <w:highlight w:val="none"/>
                <w14:textFill>
                  <w14:solidFill>
                    <w14:schemeClr w14:val="tx1"/>
                  </w14:solidFill>
                </w14:textFill>
              </w:rPr>
            </w:pPr>
          </w:p>
        </w:tc>
        <w:tc>
          <w:tcPr>
            <w:tcW w:w="856" w:type="dxa"/>
            <w:tcBorders>
              <w:top w:val="outset" w:color="auto" w:sz="6" w:space="0"/>
              <w:left w:val="outset" w:color="auto" w:sz="6" w:space="0"/>
              <w:bottom w:val="outset" w:color="auto" w:sz="6" w:space="0"/>
              <w:right w:val="outset" w:color="auto" w:sz="6" w:space="0"/>
            </w:tcBorders>
            <w:vAlign w:val="center"/>
          </w:tcPr>
          <w:p w14:paraId="1D36446F">
            <w:pPr>
              <w:pStyle w:val="145"/>
              <w:pageBreakBefore w:val="0"/>
              <w:wordWrap/>
              <w:topLinePunct w:val="0"/>
              <w:bidi w:val="0"/>
              <w:spacing w:line="560" w:lineRule="exact"/>
              <w:rPr>
                <w:rFonts w:cs="宋体" w:asciiTheme="minorEastAsia" w:hAnsiTheme="minorEastAsia" w:eastAsiaTheme="minorEastAsia"/>
                <w:color w:val="000000" w:themeColor="text1"/>
                <w:sz w:val="28"/>
                <w:szCs w:val="28"/>
                <w:highlight w:val="none"/>
                <w14:textFill>
                  <w14:solidFill>
                    <w14:schemeClr w14:val="tx1"/>
                  </w14:solidFill>
                </w14:textFill>
              </w:rPr>
            </w:pPr>
          </w:p>
        </w:tc>
      </w:tr>
      <w:tr w14:paraId="4FC2488F">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1608" w:hRule="atLeast"/>
        </w:trPr>
        <w:tc>
          <w:tcPr>
            <w:tcW w:w="430" w:type="dxa"/>
            <w:vMerge w:val="continue"/>
            <w:tcBorders>
              <w:left w:val="outset" w:color="auto" w:sz="6" w:space="0"/>
              <w:right w:val="outset" w:color="auto" w:sz="6" w:space="0"/>
            </w:tcBorders>
            <w:vAlign w:val="center"/>
          </w:tcPr>
          <w:p w14:paraId="63C867B1">
            <w:pPr>
              <w:pStyle w:val="145"/>
              <w:pageBreakBefore w:val="0"/>
              <w:wordWrap/>
              <w:topLinePunct w:val="0"/>
              <w:bidi w:val="0"/>
              <w:spacing w:line="560" w:lineRule="exact"/>
              <w:rPr>
                <w:rFonts w:cs="宋体" w:asciiTheme="minorEastAsia" w:hAnsiTheme="minorEastAsia" w:eastAsiaTheme="minorEastAsia"/>
                <w:color w:val="000000" w:themeColor="text1"/>
                <w:sz w:val="28"/>
                <w:szCs w:val="28"/>
                <w:highlight w:val="none"/>
                <w14:textFill>
                  <w14:solidFill>
                    <w14:schemeClr w14:val="tx1"/>
                  </w14:solidFill>
                </w14:textFill>
              </w:rPr>
            </w:pPr>
          </w:p>
        </w:tc>
        <w:tc>
          <w:tcPr>
            <w:tcW w:w="495" w:type="dxa"/>
            <w:vMerge w:val="continue"/>
            <w:tcBorders>
              <w:left w:val="outset" w:color="auto" w:sz="6" w:space="0"/>
              <w:right w:val="outset" w:color="auto" w:sz="6" w:space="0"/>
            </w:tcBorders>
            <w:vAlign w:val="center"/>
          </w:tcPr>
          <w:p w14:paraId="5085305E">
            <w:pPr>
              <w:pStyle w:val="145"/>
              <w:pageBreakBefore w:val="0"/>
              <w:wordWrap/>
              <w:topLinePunct w:val="0"/>
              <w:bidi w:val="0"/>
              <w:spacing w:line="560" w:lineRule="exact"/>
              <w:rPr>
                <w:rFonts w:cs="宋体" w:asciiTheme="minorEastAsia" w:hAnsiTheme="minorEastAsia" w:eastAsiaTheme="minorEastAsia"/>
                <w:color w:val="000000" w:themeColor="text1"/>
                <w:sz w:val="28"/>
                <w:szCs w:val="28"/>
                <w:highlight w:val="none"/>
                <w14:textFill>
                  <w14:solidFill>
                    <w14:schemeClr w14:val="tx1"/>
                  </w14:solidFill>
                </w14:textFill>
              </w:rPr>
            </w:pPr>
          </w:p>
        </w:tc>
        <w:tc>
          <w:tcPr>
            <w:tcW w:w="1852" w:type="dxa"/>
            <w:tcBorders>
              <w:top w:val="outset" w:color="auto" w:sz="6" w:space="0"/>
              <w:left w:val="outset" w:color="auto" w:sz="6" w:space="0"/>
              <w:bottom w:val="outset" w:color="auto" w:sz="6" w:space="0"/>
              <w:right w:val="outset" w:color="auto" w:sz="6" w:space="0"/>
            </w:tcBorders>
            <w:vAlign w:val="center"/>
          </w:tcPr>
          <w:p w14:paraId="566B4A71">
            <w:pPr>
              <w:pStyle w:val="145"/>
              <w:pageBreakBefore w:val="0"/>
              <w:kinsoku/>
              <w:wordWrap/>
              <w:topLinePunct w:val="0"/>
              <w:bidi w:val="0"/>
              <w:spacing w:line="560" w:lineRule="exact"/>
              <w:jc w:val="center"/>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法律、行政法规规定的其他条件</w:t>
            </w:r>
          </w:p>
        </w:tc>
        <w:tc>
          <w:tcPr>
            <w:tcW w:w="5020" w:type="dxa"/>
            <w:tcBorders>
              <w:top w:val="outset" w:color="auto" w:sz="6" w:space="0"/>
              <w:left w:val="outset" w:color="auto" w:sz="6" w:space="0"/>
              <w:bottom w:val="outset" w:color="auto" w:sz="6" w:space="0"/>
              <w:right w:val="outset" w:color="auto" w:sz="6" w:space="0"/>
            </w:tcBorders>
            <w:vAlign w:val="center"/>
          </w:tcPr>
          <w:p w14:paraId="51F38604">
            <w:pPr>
              <w:pStyle w:val="145"/>
              <w:pageBreakBefore w:val="0"/>
              <w:kinsoku/>
              <w:wordWrap/>
              <w:topLinePunct w:val="0"/>
              <w:bidi w:val="0"/>
              <w:spacing w:line="560" w:lineRule="exact"/>
              <w:jc w:val="both"/>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提供信用信誉承诺函</w:t>
            </w:r>
          </w:p>
        </w:tc>
        <w:tc>
          <w:tcPr>
            <w:tcW w:w="879" w:type="dxa"/>
            <w:tcBorders>
              <w:top w:val="outset" w:color="auto" w:sz="6" w:space="0"/>
              <w:left w:val="outset" w:color="auto" w:sz="6" w:space="0"/>
              <w:bottom w:val="outset" w:color="auto" w:sz="6" w:space="0"/>
              <w:right w:val="outset" w:color="auto" w:sz="6" w:space="0"/>
            </w:tcBorders>
            <w:vAlign w:val="center"/>
          </w:tcPr>
          <w:p w14:paraId="02904EB4">
            <w:pPr>
              <w:pStyle w:val="145"/>
              <w:pageBreakBefore w:val="0"/>
              <w:wordWrap/>
              <w:topLinePunct w:val="0"/>
              <w:bidi w:val="0"/>
              <w:spacing w:line="560" w:lineRule="exact"/>
              <w:rPr>
                <w:rFonts w:cs="宋体" w:asciiTheme="minorEastAsia" w:hAnsiTheme="minorEastAsia" w:eastAsiaTheme="minorEastAsia"/>
                <w:color w:val="000000" w:themeColor="text1"/>
                <w:sz w:val="28"/>
                <w:szCs w:val="28"/>
                <w:highlight w:val="none"/>
                <w14:textFill>
                  <w14:solidFill>
                    <w14:schemeClr w14:val="tx1"/>
                  </w14:solidFill>
                </w14:textFill>
              </w:rPr>
            </w:pPr>
          </w:p>
        </w:tc>
        <w:tc>
          <w:tcPr>
            <w:tcW w:w="856" w:type="dxa"/>
            <w:tcBorders>
              <w:top w:val="outset" w:color="auto" w:sz="6" w:space="0"/>
              <w:left w:val="outset" w:color="auto" w:sz="6" w:space="0"/>
              <w:bottom w:val="outset" w:color="auto" w:sz="6" w:space="0"/>
              <w:right w:val="outset" w:color="auto" w:sz="6" w:space="0"/>
            </w:tcBorders>
            <w:vAlign w:val="center"/>
          </w:tcPr>
          <w:p w14:paraId="6C1DE5CB">
            <w:pPr>
              <w:pStyle w:val="145"/>
              <w:pageBreakBefore w:val="0"/>
              <w:wordWrap/>
              <w:topLinePunct w:val="0"/>
              <w:bidi w:val="0"/>
              <w:spacing w:line="560" w:lineRule="exact"/>
              <w:rPr>
                <w:rFonts w:cs="宋体" w:asciiTheme="minorEastAsia" w:hAnsiTheme="minorEastAsia" w:eastAsiaTheme="minorEastAsia"/>
                <w:color w:val="000000" w:themeColor="text1"/>
                <w:sz w:val="28"/>
                <w:szCs w:val="28"/>
                <w:highlight w:val="none"/>
                <w14:textFill>
                  <w14:solidFill>
                    <w14:schemeClr w14:val="tx1"/>
                  </w14:solidFill>
                </w14:textFill>
              </w:rPr>
            </w:pPr>
          </w:p>
        </w:tc>
      </w:tr>
      <w:tr w14:paraId="63A48DAD">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430" w:type="dxa"/>
            <w:vMerge w:val="continue"/>
            <w:tcBorders>
              <w:left w:val="outset" w:color="auto" w:sz="6" w:space="0"/>
              <w:right w:val="outset" w:color="auto" w:sz="6" w:space="0"/>
            </w:tcBorders>
            <w:vAlign w:val="center"/>
          </w:tcPr>
          <w:p w14:paraId="129D8041">
            <w:pPr>
              <w:pStyle w:val="145"/>
              <w:pageBreakBefore w:val="0"/>
              <w:wordWrap/>
              <w:topLinePunct w:val="0"/>
              <w:bidi w:val="0"/>
              <w:spacing w:line="560" w:lineRule="exact"/>
              <w:rPr>
                <w:rFonts w:cs="宋体" w:asciiTheme="minorEastAsia" w:hAnsiTheme="minorEastAsia" w:eastAsiaTheme="minorEastAsia"/>
                <w:color w:val="000000" w:themeColor="text1"/>
                <w:sz w:val="28"/>
                <w:szCs w:val="28"/>
                <w:highlight w:val="none"/>
                <w14:textFill>
                  <w14:solidFill>
                    <w14:schemeClr w14:val="tx1"/>
                  </w14:solidFill>
                </w14:textFill>
              </w:rPr>
            </w:pPr>
          </w:p>
        </w:tc>
        <w:tc>
          <w:tcPr>
            <w:tcW w:w="495" w:type="dxa"/>
            <w:vMerge w:val="continue"/>
            <w:tcBorders>
              <w:left w:val="outset" w:color="auto" w:sz="6" w:space="0"/>
              <w:right w:val="outset" w:color="auto" w:sz="6" w:space="0"/>
            </w:tcBorders>
            <w:vAlign w:val="center"/>
          </w:tcPr>
          <w:p w14:paraId="25C8877A">
            <w:pPr>
              <w:pStyle w:val="145"/>
              <w:pageBreakBefore w:val="0"/>
              <w:wordWrap/>
              <w:topLinePunct w:val="0"/>
              <w:bidi w:val="0"/>
              <w:spacing w:line="560" w:lineRule="exact"/>
              <w:rPr>
                <w:rFonts w:cs="宋体" w:asciiTheme="minorEastAsia" w:hAnsiTheme="minorEastAsia" w:eastAsiaTheme="minorEastAsia"/>
                <w:color w:val="000000" w:themeColor="text1"/>
                <w:sz w:val="28"/>
                <w:szCs w:val="28"/>
                <w:highlight w:val="none"/>
                <w14:textFill>
                  <w14:solidFill>
                    <w14:schemeClr w14:val="tx1"/>
                  </w14:solidFill>
                </w14:textFill>
              </w:rPr>
            </w:pPr>
          </w:p>
        </w:tc>
        <w:tc>
          <w:tcPr>
            <w:tcW w:w="1852" w:type="dxa"/>
            <w:tcBorders>
              <w:top w:val="outset" w:color="auto" w:sz="6" w:space="0"/>
              <w:left w:val="outset" w:color="auto" w:sz="6" w:space="0"/>
              <w:bottom w:val="outset" w:color="auto" w:sz="6" w:space="0"/>
              <w:right w:val="outset" w:color="auto" w:sz="6" w:space="0"/>
            </w:tcBorders>
            <w:vAlign w:val="center"/>
          </w:tcPr>
          <w:p w14:paraId="6253D6EC">
            <w:pPr>
              <w:pStyle w:val="145"/>
              <w:pageBreakBefore w:val="0"/>
              <w:wordWrap/>
              <w:topLinePunct w:val="0"/>
              <w:bidi w:val="0"/>
              <w:spacing w:line="560" w:lineRule="exact"/>
              <w:jc w:val="center"/>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投标保证金</w:t>
            </w:r>
          </w:p>
        </w:tc>
        <w:tc>
          <w:tcPr>
            <w:tcW w:w="5020" w:type="dxa"/>
            <w:tcBorders>
              <w:top w:val="outset" w:color="auto" w:sz="6" w:space="0"/>
              <w:left w:val="outset" w:color="auto" w:sz="6" w:space="0"/>
              <w:bottom w:val="outset" w:color="auto" w:sz="6" w:space="0"/>
              <w:right w:val="outset" w:color="auto" w:sz="6" w:space="0"/>
            </w:tcBorders>
            <w:vAlign w:val="center"/>
          </w:tcPr>
          <w:p w14:paraId="3813FF0C">
            <w:pPr>
              <w:pStyle w:val="145"/>
              <w:pageBreakBefore w:val="0"/>
              <w:wordWrap/>
              <w:topLinePunct w:val="0"/>
              <w:bidi w:val="0"/>
              <w:spacing w:line="560" w:lineRule="exact"/>
              <w:jc w:val="both"/>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lang w:eastAsia="zh-CN"/>
                <w14:textFill>
                  <w14:solidFill>
                    <w14:schemeClr w14:val="tx1"/>
                  </w14:solidFill>
                </w14:textFill>
              </w:rPr>
              <w:t>投标保证金凭证</w:t>
            </w:r>
          </w:p>
        </w:tc>
        <w:tc>
          <w:tcPr>
            <w:tcW w:w="879" w:type="dxa"/>
            <w:tcBorders>
              <w:top w:val="outset" w:color="auto" w:sz="6" w:space="0"/>
              <w:left w:val="outset" w:color="auto" w:sz="6" w:space="0"/>
              <w:bottom w:val="outset" w:color="auto" w:sz="6" w:space="0"/>
              <w:right w:val="outset" w:color="auto" w:sz="6" w:space="0"/>
            </w:tcBorders>
            <w:vAlign w:val="center"/>
          </w:tcPr>
          <w:p w14:paraId="64FB1A2B">
            <w:pPr>
              <w:pStyle w:val="145"/>
              <w:pageBreakBefore w:val="0"/>
              <w:wordWrap/>
              <w:topLinePunct w:val="0"/>
              <w:bidi w:val="0"/>
              <w:spacing w:line="560" w:lineRule="exact"/>
              <w:rPr>
                <w:rFonts w:cs="宋体" w:asciiTheme="minorEastAsia" w:hAnsiTheme="minorEastAsia" w:eastAsiaTheme="minorEastAsia"/>
                <w:color w:val="000000" w:themeColor="text1"/>
                <w:sz w:val="28"/>
                <w:szCs w:val="28"/>
                <w:highlight w:val="none"/>
                <w14:textFill>
                  <w14:solidFill>
                    <w14:schemeClr w14:val="tx1"/>
                  </w14:solidFill>
                </w14:textFill>
              </w:rPr>
            </w:pPr>
          </w:p>
        </w:tc>
        <w:tc>
          <w:tcPr>
            <w:tcW w:w="856" w:type="dxa"/>
            <w:tcBorders>
              <w:top w:val="outset" w:color="auto" w:sz="6" w:space="0"/>
              <w:left w:val="outset" w:color="auto" w:sz="6" w:space="0"/>
              <w:bottom w:val="outset" w:color="auto" w:sz="6" w:space="0"/>
              <w:right w:val="outset" w:color="auto" w:sz="6" w:space="0"/>
            </w:tcBorders>
            <w:vAlign w:val="center"/>
          </w:tcPr>
          <w:p w14:paraId="4DCFD9C5">
            <w:pPr>
              <w:pStyle w:val="145"/>
              <w:pageBreakBefore w:val="0"/>
              <w:wordWrap/>
              <w:topLinePunct w:val="0"/>
              <w:bidi w:val="0"/>
              <w:spacing w:line="560" w:lineRule="exact"/>
              <w:rPr>
                <w:rFonts w:cs="宋体" w:asciiTheme="minorEastAsia" w:hAnsiTheme="minorEastAsia" w:eastAsiaTheme="minorEastAsia"/>
                <w:color w:val="000000" w:themeColor="text1"/>
                <w:sz w:val="28"/>
                <w:szCs w:val="28"/>
                <w:highlight w:val="none"/>
                <w14:textFill>
                  <w14:solidFill>
                    <w14:schemeClr w14:val="tx1"/>
                  </w14:solidFill>
                </w14:textFill>
              </w:rPr>
            </w:pPr>
          </w:p>
        </w:tc>
      </w:tr>
      <w:tr w14:paraId="63E62736">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22" w:hRule="atLeast"/>
        </w:trPr>
        <w:tc>
          <w:tcPr>
            <w:tcW w:w="430" w:type="dxa"/>
            <w:vMerge w:val="continue"/>
            <w:tcBorders>
              <w:left w:val="outset" w:color="auto" w:sz="6" w:space="0"/>
              <w:right w:val="outset" w:color="auto" w:sz="6" w:space="0"/>
            </w:tcBorders>
            <w:vAlign w:val="center"/>
          </w:tcPr>
          <w:p w14:paraId="6E2226E3">
            <w:pPr>
              <w:pStyle w:val="145"/>
              <w:pageBreakBefore w:val="0"/>
              <w:wordWrap/>
              <w:topLinePunct w:val="0"/>
              <w:bidi w:val="0"/>
              <w:spacing w:line="560" w:lineRule="exact"/>
              <w:rPr>
                <w:rFonts w:cs="宋体" w:asciiTheme="minorEastAsia" w:hAnsiTheme="minorEastAsia" w:eastAsiaTheme="minorEastAsia"/>
                <w:color w:val="000000" w:themeColor="text1"/>
                <w:sz w:val="28"/>
                <w:szCs w:val="28"/>
                <w:highlight w:val="none"/>
                <w14:textFill>
                  <w14:solidFill>
                    <w14:schemeClr w14:val="tx1"/>
                  </w14:solidFill>
                </w14:textFill>
              </w:rPr>
            </w:pPr>
          </w:p>
        </w:tc>
        <w:tc>
          <w:tcPr>
            <w:tcW w:w="495" w:type="dxa"/>
            <w:vMerge w:val="continue"/>
            <w:tcBorders>
              <w:left w:val="outset" w:color="auto" w:sz="6" w:space="0"/>
              <w:bottom w:val="single" w:color="auto" w:sz="4" w:space="0"/>
              <w:right w:val="outset" w:color="auto" w:sz="6" w:space="0"/>
            </w:tcBorders>
            <w:vAlign w:val="center"/>
          </w:tcPr>
          <w:p w14:paraId="67B1B7E2">
            <w:pPr>
              <w:pStyle w:val="145"/>
              <w:pageBreakBefore w:val="0"/>
              <w:wordWrap/>
              <w:topLinePunct w:val="0"/>
              <w:bidi w:val="0"/>
              <w:spacing w:line="560" w:lineRule="exact"/>
              <w:rPr>
                <w:rFonts w:cs="宋体" w:asciiTheme="minorEastAsia" w:hAnsiTheme="minorEastAsia" w:eastAsiaTheme="minorEastAsia"/>
                <w:color w:val="000000" w:themeColor="text1"/>
                <w:sz w:val="28"/>
                <w:szCs w:val="28"/>
                <w:highlight w:val="none"/>
                <w14:textFill>
                  <w14:solidFill>
                    <w14:schemeClr w14:val="tx1"/>
                  </w14:solidFill>
                </w14:textFill>
              </w:rPr>
            </w:pPr>
          </w:p>
        </w:tc>
        <w:tc>
          <w:tcPr>
            <w:tcW w:w="1852" w:type="dxa"/>
            <w:tcBorders>
              <w:left w:val="outset" w:color="auto" w:sz="6" w:space="0"/>
              <w:bottom w:val="outset" w:color="auto" w:sz="6" w:space="0"/>
              <w:right w:val="outset" w:color="auto" w:sz="6" w:space="0"/>
            </w:tcBorders>
            <w:vAlign w:val="center"/>
          </w:tcPr>
          <w:p w14:paraId="47DB57B6">
            <w:pPr>
              <w:pStyle w:val="145"/>
              <w:pageBreakBefore w:val="0"/>
              <w:wordWrap/>
              <w:topLinePunct w:val="0"/>
              <w:bidi w:val="0"/>
              <w:spacing w:line="560" w:lineRule="exact"/>
              <w:jc w:val="center"/>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特定资质要求</w:t>
            </w:r>
          </w:p>
        </w:tc>
        <w:tc>
          <w:tcPr>
            <w:tcW w:w="5020" w:type="dxa"/>
            <w:tcBorders>
              <w:left w:val="outset" w:color="auto" w:sz="6" w:space="0"/>
              <w:bottom w:val="outset" w:color="auto" w:sz="6" w:space="0"/>
              <w:right w:val="outset" w:color="auto" w:sz="6" w:space="0"/>
            </w:tcBorders>
            <w:vAlign w:val="center"/>
          </w:tcPr>
          <w:p w14:paraId="438B549C">
            <w:pPr>
              <w:pStyle w:val="145"/>
              <w:pageBreakBefore w:val="0"/>
              <w:wordWrap/>
              <w:topLinePunct w:val="0"/>
              <w:bidi w:val="0"/>
              <w:spacing w:line="560" w:lineRule="exact"/>
              <w:jc w:val="both"/>
              <w:rPr>
                <w:rFonts w:hint="eastAsia" w:cs="宋体" w:asciiTheme="minorEastAsia" w:hAnsiTheme="minorEastAsia" w:eastAsiaTheme="minorEastAsia"/>
                <w:color w:val="000000" w:themeColor="text1"/>
                <w:sz w:val="28"/>
                <w:szCs w:val="28"/>
                <w:highlight w:val="none"/>
                <w:lang w:eastAsia="zh-CN"/>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lang w:eastAsia="zh-CN"/>
                <w14:textFill>
                  <w14:solidFill>
                    <w14:schemeClr w14:val="tx1"/>
                  </w14:solidFill>
                </w14:textFill>
              </w:rPr>
              <w:t>（1）供应商为制造商需提供《医疗器械生产许可证》 及投标产品《医疗器械注册证》；</w:t>
            </w:r>
            <w:r>
              <w:rPr>
                <w:rFonts w:hint="eastAsia" w:ascii="宋体" w:hAnsi="宋体" w:cs="宋体"/>
                <w:b w:val="0"/>
                <w:bCs/>
                <w:color w:val="000000" w:themeColor="text1"/>
                <w:sz w:val="28"/>
                <w:szCs w:val="28"/>
                <w:highlight w:val="none"/>
                <w:lang w:eastAsia="zh-CN"/>
                <w14:textFill>
                  <w14:solidFill>
                    <w14:schemeClr w14:val="tx1"/>
                  </w14:solidFill>
                </w14:textFill>
              </w:rPr>
              <w:t>（2）供应商为代理商需提供有效的行政主管部门颁发的《医疗器械经营备案证》</w:t>
            </w:r>
            <w:r>
              <w:rPr>
                <w:rFonts w:hint="eastAsia" w:ascii="宋体" w:hAnsi="宋体" w:cs="宋体"/>
                <w:b w:val="0"/>
                <w:bCs/>
                <w:color w:val="000000" w:themeColor="text1"/>
                <w:sz w:val="28"/>
                <w:szCs w:val="28"/>
                <w:highlight w:val="none"/>
                <w:lang w:val="en-US" w:eastAsia="zh-CN"/>
                <w14:textFill>
                  <w14:solidFill>
                    <w14:schemeClr w14:val="tx1"/>
                  </w14:solidFill>
                </w14:textFill>
              </w:rPr>
              <w:t>和</w:t>
            </w:r>
            <w:r>
              <w:rPr>
                <w:rFonts w:hint="eastAsia" w:ascii="宋体" w:hAnsi="宋体" w:cs="宋体"/>
                <w:b w:val="0"/>
                <w:bCs/>
                <w:color w:val="000000" w:themeColor="text1"/>
                <w:sz w:val="28"/>
                <w:szCs w:val="28"/>
                <w:highlight w:val="none"/>
                <w:lang w:eastAsia="zh-CN"/>
                <w14:textFill>
                  <w14:solidFill>
                    <w14:schemeClr w14:val="tx1"/>
                  </w14:solidFill>
                </w14:textFill>
              </w:rPr>
              <w:t>《医疗器械经营许可证》及制造商的《医疗器械生产许可证》和投标产品《医疗器械注册证》；</w:t>
            </w:r>
          </w:p>
        </w:tc>
        <w:tc>
          <w:tcPr>
            <w:tcW w:w="879" w:type="dxa"/>
            <w:tcBorders>
              <w:left w:val="outset" w:color="auto" w:sz="6" w:space="0"/>
              <w:bottom w:val="outset" w:color="auto" w:sz="6" w:space="0"/>
              <w:right w:val="outset" w:color="auto" w:sz="6" w:space="0"/>
            </w:tcBorders>
            <w:vAlign w:val="center"/>
          </w:tcPr>
          <w:p w14:paraId="7DDAB3DF">
            <w:pPr>
              <w:pStyle w:val="145"/>
              <w:pageBreakBefore w:val="0"/>
              <w:wordWrap/>
              <w:topLinePunct w:val="0"/>
              <w:bidi w:val="0"/>
              <w:spacing w:line="560" w:lineRule="exact"/>
              <w:rPr>
                <w:rFonts w:cs="宋体" w:asciiTheme="minorEastAsia" w:hAnsiTheme="minorEastAsia" w:eastAsiaTheme="minorEastAsia"/>
                <w:color w:val="000000" w:themeColor="text1"/>
                <w:sz w:val="28"/>
                <w:szCs w:val="28"/>
                <w:highlight w:val="none"/>
                <w14:textFill>
                  <w14:solidFill>
                    <w14:schemeClr w14:val="tx1"/>
                  </w14:solidFill>
                </w14:textFill>
              </w:rPr>
            </w:pPr>
          </w:p>
        </w:tc>
        <w:tc>
          <w:tcPr>
            <w:tcW w:w="856" w:type="dxa"/>
            <w:tcBorders>
              <w:left w:val="outset" w:color="auto" w:sz="6" w:space="0"/>
              <w:bottom w:val="outset" w:color="auto" w:sz="6" w:space="0"/>
              <w:right w:val="outset" w:color="auto" w:sz="6" w:space="0"/>
            </w:tcBorders>
            <w:vAlign w:val="center"/>
          </w:tcPr>
          <w:p w14:paraId="21936CC1">
            <w:pPr>
              <w:pStyle w:val="145"/>
              <w:pageBreakBefore w:val="0"/>
              <w:wordWrap/>
              <w:topLinePunct w:val="0"/>
              <w:bidi w:val="0"/>
              <w:spacing w:line="560" w:lineRule="exact"/>
              <w:rPr>
                <w:rFonts w:cs="宋体" w:asciiTheme="minorEastAsia" w:hAnsiTheme="minorEastAsia" w:eastAsiaTheme="minorEastAsia"/>
                <w:color w:val="000000" w:themeColor="text1"/>
                <w:sz w:val="28"/>
                <w:szCs w:val="28"/>
                <w:highlight w:val="none"/>
                <w14:textFill>
                  <w14:solidFill>
                    <w14:schemeClr w14:val="tx1"/>
                  </w14:solidFill>
                </w14:textFill>
              </w:rPr>
            </w:pPr>
          </w:p>
        </w:tc>
      </w:tr>
      <w:tr w14:paraId="0C193F3B">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1504" w:hRule="atLeast"/>
        </w:trPr>
        <w:tc>
          <w:tcPr>
            <w:tcW w:w="430" w:type="dxa"/>
            <w:vMerge w:val="continue"/>
            <w:tcBorders>
              <w:left w:val="outset" w:color="auto" w:sz="6" w:space="0"/>
              <w:right w:val="single" w:color="auto" w:sz="4" w:space="0"/>
            </w:tcBorders>
            <w:vAlign w:val="center"/>
          </w:tcPr>
          <w:p w14:paraId="10F4137D">
            <w:pPr>
              <w:pStyle w:val="145"/>
              <w:pageBreakBefore w:val="0"/>
              <w:wordWrap/>
              <w:topLinePunct w:val="0"/>
              <w:bidi w:val="0"/>
              <w:spacing w:line="560" w:lineRule="exact"/>
              <w:rPr>
                <w:rFonts w:cs="宋体" w:asciiTheme="minorEastAsia" w:hAnsiTheme="minorEastAsia" w:eastAsiaTheme="minorEastAsia"/>
                <w:color w:val="000000" w:themeColor="text1"/>
                <w:sz w:val="28"/>
                <w:szCs w:val="28"/>
                <w:highlight w:val="none"/>
                <w14:textFill>
                  <w14:solidFill>
                    <w14:schemeClr w14:val="tx1"/>
                  </w14:solidFill>
                </w14:textFill>
              </w:rPr>
            </w:pPr>
          </w:p>
        </w:tc>
        <w:tc>
          <w:tcPr>
            <w:tcW w:w="495" w:type="dxa"/>
            <w:vMerge w:val="restart"/>
            <w:tcBorders>
              <w:top w:val="single" w:color="auto" w:sz="4" w:space="0"/>
              <w:left w:val="single" w:color="auto" w:sz="4" w:space="0"/>
              <w:bottom w:val="single" w:color="auto" w:sz="4" w:space="0"/>
              <w:right w:val="single" w:color="auto" w:sz="4" w:space="0"/>
            </w:tcBorders>
            <w:vAlign w:val="center"/>
          </w:tcPr>
          <w:p w14:paraId="7E703FD7">
            <w:pPr>
              <w:pStyle w:val="145"/>
              <w:pageBreakBefore w:val="0"/>
              <w:wordWrap/>
              <w:topLinePunct w:val="0"/>
              <w:bidi w:val="0"/>
              <w:spacing w:line="560" w:lineRule="exact"/>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符合性检查</w:t>
            </w:r>
          </w:p>
        </w:tc>
        <w:tc>
          <w:tcPr>
            <w:tcW w:w="1852" w:type="dxa"/>
            <w:tcBorders>
              <w:top w:val="outset" w:color="auto" w:sz="6" w:space="0"/>
              <w:left w:val="single" w:color="auto" w:sz="4" w:space="0"/>
              <w:right w:val="outset" w:color="auto" w:sz="6" w:space="0"/>
            </w:tcBorders>
            <w:vAlign w:val="center"/>
          </w:tcPr>
          <w:p w14:paraId="11F2DDD7">
            <w:pPr>
              <w:pStyle w:val="145"/>
              <w:pageBreakBefore w:val="0"/>
              <w:wordWrap/>
              <w:topLinePunct w:val="0"/>
              <w:bidi w:val="0"/>
              <w:adjustRightInd w:val="0"/>
              <w:snapToGrid w:val="0"/>
              <w:spacing w:line="560" w:lineRule="exact"/>
              <w:jc w:val="center"/>
              <w:rPr>
                <w:rFonts w:hint="eastAsia"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响应文件的</w:t>
            </w:r>
          </w:p>
          <w:p w14:paraId="09CAA5CC">
            <w:pPr>
              <w:pStyle w:val="145"/>
              <w:pageBreakBefore w:val="0"/>
              <w:wordWrap/>
              <w:topLinePunct w:val="0"/>
              <w:bidi w:val="0"/>
              <w:adjustRightInd w:val="0"/>
              <w:snapToGrid w:val="0"/>
              <w:spacing w:line="560" w:lineRule="exact"/>
              <w:jc w:val="center"/>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签署</w:t>
            </w:r>
          </w:p>
        </w:tc>
        <w:tc>
          <w:tcPr>
            <w:tcW w:w="5020" w:type="dxa"/>
            <w:tcBorders>
              <w:top w:val="outset" w:color="auto" w:sz="6" w:space="0"/>
              <w:left w:val="outset" w:color="auto" w:sz="6" w:space="0"/>
              <w:right w:val="outset" w:color="auto" w:sz="6" w:space="0"/>
            </w:tcBorders>
            <w:vAlign w:val="center"/>
          </w:tcPr>
          <w:p w14:paraId="73178A76">
            <w:pPr>
              <w:pStyle w:val="145"/>
              <w:pageBreakBefore w:val="0"/>
              <w:wordWrap/>
              <w:topLinePunct w:val="0"/>
              <w:bidi w:val="0"/>
              <w:adjustRightInd w:val="0"/>
              <w:snapToGrid w:val="0"/>
              <w:spacing w:line="560" w:lineRule="exact"/>
              <w:jc w:val="center"/>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按招标文件要求在规定区域加盖单位公章和法定代表人章或签字</w:t>
            </w:r>
          </w:p>
        </w:tc>
        <w:tc>
          <w:tcPr>
            <w:tcW w:w="879" w:type="dxa"/>
            <w:tcBorders>
              <w:top w:val="outset" w:color="auto" w:sz="6" w:space="0"/>
              <w:left w:val="outset" w:color="auto" w:sz="6" w:space="0"/>
              <w:right w:val="outset" w:color="auto" w:sz="6" w:space="0"/>
            </w:tcBorders>
            <w:vAlign w:val="center"/>
          </w:tcPr>
          <w:p w14:paraId="5B779706">
            <w:pPr>
              <w:pStyle w:val="145"/>
              <w:pageBreakBefore w:val="0"/>
              <w:wordWrap/>
              <w:topLinePunct w:val="0"/>
              <w:bidi w:val="0"/>
              <w:spacing w:line="560" w:lineRule="exact"/>
              <w:rPr>
                <w:rFonts w:cs="宋体" w:asciiTheme="minorEastAsia" w:hAnsiTheme="minorEastAsia" w:eastAsiaTheme="minorEastAsia"/>
                <w:color w:val="000000" w:themeColor="text1"/>
                <w:sz w:val="28"/>
                <w:szCs w:val="28"/>
                <w:highlight w:val="none"/>
                <w14:textFill>
                  <w14:solidFill>
                    <w14:schemeClr w14:val="tx1"/>
                  </w14:solidFill>
                </w14:textFill>
              </w:rPr>
            </w:pPr>
          </w:p>
        </w:tc>
        <w:tc>
          <w:tcPr>
            <w:tcW w:w="856" w:type="dxa"/>
            <w:tcBorders>
              <w:top w:val="outset" w:color="auto" w:sz="6" w:space="0"/>
              <w:left w:val="outset" w:color="auto" w:sz="6" w:space="0"/>
              <w:right w:val="outset" w:color="auto" w:sz="6" w:space="0"/>
            </w:tcBorders>
            <w:vAlign w:val="center"/>
          </w:tcPr>
          <w:p w14:paraId="55ED2BC2">
            <w:pPr>
              <w:pStyle w:val="145"/>
              <w:pageBreakBefore w:val="0"/>
              <w:wordWrap/>
              <w:topLinePunct w:val="0"/>
              <w:bidi w:val="0"/>
              <w:spacing w:line="560" w:lineRule="exact"/>
              <w:rPr>
                <w:rFonts w:cs="宋体" w:asciiTheme="minorEastAsia" w:hAnsiTheme="minorEastAsia" w:eastAsiaTheme="minorEastAsia"/>
                <w:color w:val="000000" w:themeColor="text1"/>
                <w:sz w:val="28"/>
                <w:szCs w:val="28"/>
                <w:highlight w:val="none"/>
                <w14:textFill>
                  <w14:solidFill>
                    <w14:schemeClr w14:val="tx1"/>
                  </w14:solidFill>
                </w14:textFill>
              </w:rPr>
            </w:pPr>
          </w:p>
        </w:tc>
      </w:tr>
      <w:tr w14:paraId="3E3A406F">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1504" w:hRule="atLeast"/>
        </w:trPr>
        <w:tc>
          <w:tcPr>
            <w:tcW w:w="430" w:type="dxa"/>
            <w:vMerge w:val="continue"/>
            <w:tcBorders>
              <w:left w:val="outset" w:color="auto" w:sz="6" w:space="0"/>
              <w:right w:val="single" w:color="auto" w:sz="4" w:space="0"/>
            </w:tcBorders>
            <w:vAlign w:val="center"/>
          </w:tcPr>
          <w:p w14:paraId="2CAF8E16">
            <w:pPr>
              <w:pStyle w:val="145"/>
              <w:pageBreakBefore w:val="0"/>
              <w:wordWrap/>
              <w:topLinePunct w:val="0"/>
              <w:bidi w:val="0"/>
              <w:spacing w:line="560" w:lineRule="exact"/>
              <w:rPr>
                <w:rFonts w:cs="宋体" w:asciiTheme="minorEastAsia" w:hAnsiTheme="minorEastAsia" w:eastAsiaTheme="minorEastAsia"/>
                <w:color w:val="000000" w:themeColor="text1"/>
                <w:sz w:val="28"/>
                <w:szCs w:val="28"/>
                <w:highlight w:val="none"/>
                <w14:textFill>
                  <w14:solidFill>
                    <w14:schemeClr w14:val="tx1"/>
                  </w14:solidFill>
                </w14:textFill>
              </w:rPr>
            </w:pPr>
          </w:p>
        </w:tc>
        <w:tc>
          <w:tcPr>
            <w:tcW w:w="495" w:type="dxa"/>
            <w:vMerge w:val="continue"/>
            <w:tcBorders>
              <w:top w:val="single" w:color="auto" w:sz="4" w:space="0"/>
              <w:left w:val="single" w:color="auto" w:sz="4" w:space="0"/>
              <w:bottom w:val="single" w:color="auto" w:sz="4" w:space="0"/>
              <w:right w:val="single" w:color="auto" w:sz="4" w:space="0"/>
            </w:tcBorders>
            <w:vAlign w:val="center"/>
          </w:tcPr>
          <w:p w14:paraId="04D9C990">
            <w:pPr>
              <w:pStyle w:val="145"/>
              <w:pageBreakBefore w:val="0"/>
              <w:wordWrap/>
              <w:topLinePunct w:val="0"/>
              <w:bidi w:val="0"/>
              <w:spacing w:line="560" w:lineRule="exact"/>
              <w:rPr>
                <w:rFonts w:cs="宋体" w:asciiTheme="minorEastAsia" w:hAnsiTheme="minorEastAsia" w:eastAsiaTheme="minorEastAsia"/>
                <w:color w:val="000000" w:themeColor="text1"/>
                <w:sz w:val="28"/>
                <w:szCs w:val="28"/>
                <w:highlight w:val="none"/>
                <w14:textFill>
                  <w14:solidFill>
                    <w14:schemeClr w14:val="tx1"/>
                  </w14:solidFill>
                </w14:textFill>
              </w:rPr>
            </w:pPr>
          </w:p>
        </w:tc>
        <w:tc>
          <w:tcPr>
            <w:tcW w:w="1852" w:type="dxa"/>
            <w:tcBorders>
              <w:top w:val="outset" w:color="auto" w:sz="6" w:space="0"/>
              <w:left w:val="single" w:color="auto" w:sz="4" w:space="0"/>
              <w:right w:val="outset" w:color="auto" w:sz="6" w:space="0"/>
            </w:tcBorders>
            <w:vAlign w:val="center"/>
          </w:tcPr>
          <w:p w14:paraId="12E64661">
            <w:pPr>
              <w:pStyle w:val="145"/>
              <w:pageBreakBefore w:val="0"/>
              <w:wordWrap/>
              <w:topLinePunct w:val="0"/>
              <w:bidi w:val="0"/>
              <w:adjustRightInd w:val="0"/>
              <w:snapToGrid w:val="0"/>
              <w:spacing w:line="560" w:lineRule="exact"/>
              <w:jc w:val="center"/>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报价唯一</w:t>
            </w:r>
          </w:p>
        </w:tc>
        <w:tc>
          <w:tcPr>
            <w:tcW w:w="5020" w:type="dxa"/>
            <w:tcBorders>
              <w:top w:val="outset" w:color="auto" w:sz="6" w:space="0"/>
              <w:left w:val="outset" w:color="auto" w:sz="6" w:space="0"/>
              <w:right w:val="outset" w:color="auto" w:sz="6" w:space="0"/>
            </w:tcBorders>
            <w:vAlign w:val="center"/>
          </w:tcPr>
          <w:p w14:paraId="05207CBD">
            <w:pPr>
              <w:pStyle w:val="145"/>
              <w:pageBreakBefore w:val="0"/>
              <w:wordWrap/>
              <w:topLinePunct w:val="0"/>
              <w:bidi w:val="0"/>
              <w:adjustRightInd w:val="0"/>
              <w:snapToGrid w:val="0"/>
              <w:spacing w:line="560" w:lineRule="exact"/>
              <w:jc w:val="center"/>
              <w:rPr>
                <w:rFonts w:hint="eastAsia" w:cs="宋体" w:asciiTheme="minorEastAsia" w:hAnsiTheme="minorEastAsia" w:eastAsiaTheme="minorEastAsia"/>
                <w:color w:val="000000" w:themeColor="text1"/>
                <w:sz w:val="28"/>
                <w:szCs w:val="28"/>
                <w:highlight w:val="none"/>
                <w:lang w:eastAsia="zh-CN"/>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只有一个有效报价且未超过</w:t>
            </w:r>
            <w:r>
              <w:rPr>
                <w:rFonts w:hint="eastAsia" w:cs="宋体" w:asciiTheme="minorEastAsia" w:hAnsiTheme="minorEastAsia" w:eastAsiaTheme="minorEastAsia"/>
                <w:color w:val="000000" w:themeColor="text1"/>
                <w:sz w:val="28"/>
                <w:szCs w:val="28"/>
                <w:highlight w:val="none"/>
                <w:lang w:eastAsia="zh-CN"/>
                <w14:textFill>
                  <w14:solidFill>
                    <w14:schemeClr w14:val="tx1"/>
                  </w14:solidFill>
                </w14:textFill>
              </w:rPr>
              <w:t>最高限价</w:t>
            </w:r>
          </w:p>
        </w:tc>
        <w:tc>
          <w:tcPr>
            <w:tcW w:w="879" w:type="dxa"/>
            <w:tcBorders>
              <w:top w:val="outset" w:color="auto" w:sz="6" w:space="0"/>
              <w:left w:val="outset" w:color="auto" w:sz="6" w:space="0"/>
              <w:right w:val="outset" w:color="auto" w:sz="6" w:space="0"/>
            </w:tcBorders>
            <w:vAlign w:val="center"/>
          </w:tcPr>
          <w:p w14:paraId="798DFAF0">
            <w:pPr>
              <w:pStyle w:val="145"/>
              <w:pageBreakBefore w:val="0"/>
              <w:wordWrap/>
              <w:topLinePunct w:val="0"/>
              <w:bidi w:val="0"/>
              <w:spacing w:line="560" w:lineRule="exact"/>
              <w:rPr>
                <w:rFonts w:cs="宋体" w:asciiTheme="minorEastAsia" w:hAnsiTheme="minorEastAsia" w:eastAsiaTheme="minorEastAsia"/>
                <w:color w:val="000000" w:themeColor="text1"/>
                <w:sz w:val="28"/>
                <w:szCs w:val="28"/>
                <w:highlight w:val="none"/>
                <w14:textFill>
                  <w14:solidFill>
                    <w14:schemeClr w14:val="tx1"/>
                  </w14:solidFill>
                </w14:textFill>
              </w:rPr>
            </w:pPr>
          </w:p>
        </w:tc>
        <w:tc>
          <w:tcPr>
            <w:tcW w:w="856" w:type="dxa"/>
            <w:tcBorders>
              <w:top w:val="outset" w:color="auto" w:sz="6" w:space="0"/>
              <w:left w:val="outset" w:color="auto" w:sz="6" w:space="0"/>
              <w:right w:val="outset" w:color="auto" w:sz="6" w:space="0"/>
            </w:tcBorders>
            <w:vAlign w:val="center"/>
          </w:tcPr>
          <w:p w14:paraId="7871C2E4">
            <w:pPr>
              <w:pStyle w:val="145"/>
              <w:pageBreakBefore w:val="0"/>
              <w:wordWrap/>
              <w:topLinePunct w:val="0"/>
              <w:bidi w:val="0"/>
              <w:spacing w:line="560" w:lineRule="exact"/>
              <w:rPr>
                <w:rFonts w:cs="宋体" w:asciiTheme="minorEastAsia" w:hAnsiTheme="minorEastAsia" w:eastAsiaTheme="minorEastAsia"/>
                <w:color w:val="000000" w:themeColor="text1"/>
                <w:sz w:val="28"/>
                <w:szCs w:val="28"/>
                <w:highlight w:val="none"/>
                <w14:textFill>
                  <w14:solidFill>
                    <w14:schemeClr w14:val="tx1"/>
                  </w14:solidFill>
                </w14:textFill>
              </w:rPr>
            </w:pPr>
          </w:p>
        </w:tc>
      </w:tr>
      <w:tr w14:paraId="61787747">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430" w:type="dxa"/>
            <w:vMerge w:val="continue"/>
            <w:tcBorders>
              <w:left w:val="outset" w:color="auto" w:sz="6" w:space="0"/>
              <w:right w:val="single" w:color="auto" w:sz="4" w:space="0"/>
            </w:tcBorders>
            <w:vAlign w:val="center"/>
          </w:tcPr>
          <w:p w14:paraId="3F214C77">
            <w:pPr>
              <w:pStyle w:val="145"/>
              <w:pageBreakBefore w:val="0"/>
              <w:wordWrap/>
              <w:topLinePunct w:val="0"/>
              <w:bidi w:val="0"/>
              <w:spacing w:line="560" w:lineRule="exact"/>
              <w:rPr>
                <w:rFonts w:cs="宋体" w:asciiTheme="minorEastAsia" w:hAnsiTheme="minorEastAsia" w:eastAsiaTheme="minorEastAsia"/>
                <w:color w:val="000000" w:themeColor="text1"/>
                <w:sz w:val="28"/>
                <w:szCs w:val="28"/>
                <w:highlight w:val="none"/>
                <w14:textFill>
                  <w14:solidFill>
                    <w14:schemeClr w14:val="tx1"/>
                  </w14:solidFill>
                </w14:textFill>
              </w:rPr>
            </w:pPr>
          </w:p>
        </w:tc>
        <w:tc>
          <w:tcPr>
            <w:tcW w:w="495" w:type="dxa"/>
            <w:vMerge w:val="continue"/>
            <w:tcBorders>
              <w:top w:val="single" w:color="auto" w:sz="4" w:space="0"/>
              <w:left w:val="single" w:color="auto" w:sz="4" w:space="0"/>
              <w:bottom w:val="single" w:color="auto" w:sz="4" w:space="0"/>
              <w:right w:val="single" w:color="auto" w:sz="4" w:space="0"/>
            </w:tcBorders>
            <w:vAlign w:val="center"/>
          </w:tcPr>
          <w:p w14:paraId="0514B6EB">
            <w:pPr>
              <w:pStyle w:val="145"/>
              <w:pageBreakBefore w:val="0"/>
              <w:wordWrap/>
              <w:topLinePunct w:val="0"/>
              <w:bidi w:val="0"/>
              <w:spacing w:line="560" w:lineRule="exact"/>
              <w:rPr>
                <w:rFonts w:cs="宋体" w:asciiTheme="minorEastAsia" w:hAnsiTheme="minorEastAsia" w:eastAsiaTheme="minorEastAsia"/>
                <w:color w:val="000000" w:themeColor="text1"/>
                <w:sz w:val="28"/>
                <w:szCs w:val="28"/>
                <w:highlight w:val="none"/>
                <w14:textFill>
                  <w14:solidFill>
                    <w14:schemeClr w14:val="tx1"/>
                  </w14:solidFill>
                </w14:textFill>
              </w:rPr>
            </w:pPr>
          </w:p>
        </w:tc>
        <w:tc>
          <w:tcPr>
            <w:tcW w:w="1852" w:type="dxa"/>
            <w:tcBorders>
              <w:top w:val="outset" w:color="auto" w:sz="6" w:space="0"/>
              <w:left w:val="single" w:color="auto" w:sz="4" w:space="0"/>
              <w:bottom w:val="outset" w:color="auto" w:sz="6" w:space="0"/>
              <w:right w:val="outset" w:color="auto" w:sz="6" w:space="0"/>
            </w:tcBorders>
            <w:vAlign w:val="center"/>
          </w:tcPr>
          <w:p w14:paraId="57FEA959">
            <w:pPr>
              <w:pStyle w:val="145"/>
              <w:pageBreakBefore w:val="0"/>
              <w:wordWrap/>
              <w:topLinePunct w:val="0"/>
              <w:bidi w:val="0"/>
              <w:adjustRightInd w:val="0"/>
              <w:snapToGrid w:val="0"/>
              <w:spacing w:line="560" w:lineRule="exact"/>
              <w:jc w:val="center"/>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商务要求</w:t>
            </w:r>
          </w:p>
        </w:tc>
        <w:tc>
          <w:tcPr>
            <w:tcW w:w="5020" w:type="dxa"/>
            <w:tcBorders>
              <w:top w:val="outset" w:color="auto" w:sz="6" w:space="0"/>
              <w:left w:val="outset" w:color="auto" w:sz="6" w:space="0"/>
              <w:bottom w:val="outset" w:color="auto" w:sz="6" w:space="0"/>
              <w:right w:val="outset" w:color="auto" w:sz="6" w:space="0"/>
            </w:tcBorders>
            <w:vAlign w:val="center"/>
          </w:tcPr>
          <w:p w14:paraId="4171B240">
            <w:pPr>
              <w:pStyle w:val="145"/>
              <w:pageBreakBefore w:val="0"/>
              <w:wordWrap/>
              <w:topLinePunct w:val="0"/>
              <w:bidi w:val="0"/>
              <w:adjustRightInd w:val="0"/>
              <w:snapToGrid w:val="0"/>
              <w:spacing w:line="560" w:lineRule="exact"/>
              <w:jc w:val="center"/>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响应文件未附有采购人不能接受或不符合招标文件的商务要求</w:t>
            </w:r>
          </w:p>
        </w:tc>
        <w:tc>
          <w:tcPr>
            <w:tcW w:w="879" w:type="dxa"/>
            <w:tcBorders>
              <w:top w:val="outset" w:color="auto" w:sz="6" w:space="0"/>
              <w:left w:val="outset" w:color="auto" w:sz="6" w:space="0"/>
              <w:bottom w:val="outset" w:color="auto" w:sz="6" w:space="0"/>
              <w:right w:val="outset" w:color="auto" w:sz="6" w:space="0"/>
            </w:tcBorders>
            <w:vAlign w:val="center"/>
          </w:tcPr>
          <w:p w14:paraId="3976AED0">
            <w:pPr>
              <w:pStyle w:val="145"/>
              <w:pageBreakBefore w:val="0"/>
              <w:wordWrap/>
              <w:topLinePunct w:val="0"/>
              <w:bidi w:val="0"/>
              <w:spacing w:line="560" w:lineRule="exact"/>
              <w:rPr>
                <w:rFonts w:cs="宋体" w:asciiTheme="minorEastAsia" w:hAnsiTheme="minorEastAsia" w:eastAsiaTheme="minorEastAsia"/>
                <w:color w:val="000000" w:themeColor="text1"/>
                <w:sz w:val="28"/>
                <w:szCs w:val="28"/>
                <w:highlight w:val="none"/>
                <w14:textFill>
                  <w14:solidFill>
                    <w14:schemeClr w14:val="tx1"/>
                  </w14:solidFill>
                </w14:textFill>
              </w:rPr>
            </w:pPr>
          </w:p>
        </w:tc>
        <w:tc>
          <w:tcPr>
            <w:tcW w:w="856" w:type="dxa"/>
            <w:tcBorders>
              <w:top w:val="outset" w:color="auto" w:sz="6" w:space="0"/>
              <w:left w:val="outset" w:color="auto" w:sz="6" w:space="0"/>
              <w:bottom w:val="outset" w:color="auto" w:sz="6" w:space="0"/>
              <w:right w:val="outset" w:color="auto" w:sz="6" w:space="0"/>
            </w:tcBorders>
            <w:vAlign w:val="center"/>
          </w:tcPr>
          <w:p w14:paraId="317D4357">
            <w:pPr>
              <w:pStyle w:val="145"/>
              <w:pageBreakBefore w:val="0"/>
              <w:wordWrap/>
              <w:topLinePunct w:val="0"/>
              <w:bidi w:val="0"/>
              <w:spacing w:line="560" w:lineRule="exact"/>
              <w:rPr>
                <w:rFonts w:cs="宋体" w:asciiTheme="minorEastAsia" w:hAnsiTheme="minorEastAsia" w:eastAsiaTheme="minorEastAsia"/>
                <w:color w:val="000000" w:themeColor="text1"/>
                <w:sz w:val="28"/>
                <w:szCs w:val="28"/>
                <w:highlight w:val="none"/>
                <w14:textFill>
                  <w14:solidFill>
                    <w14:schemeClr w14:val="tx1"/>
                  </w14:solidFill>
                </w14:textFill>
              </w:rPr>
            </w:pPr>
          </w:p>
        </w:tc>
      </w:tr>
      <w:tr w14:paraId="055C29BA">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430" w:type="dxa"/>
            <w:vMerge w:val="continue"/>
            <w:tcBorders>
              <w:left w:val="outset" w:color="auto" w:sz="6" w:space="0"/>
              <w:bottom w:val="outset" w:color="auto" w:sz="6" w:space="0"/>
              <w:right w:val="single" w:color="auto" w:sz="4" w:space="0"/>
            </w:tcBorders>
            <w:vAlign w:val="center"/>
          </w:tcPr>
          <w:p w14:paraId="25DDF714">
            <w:pPr>
              <w:pStyle w:val="145"/>
              <w:pageBreakBefore w:val="0"/>
              <w:wordWrap/>
              <w:topLinePunct w:val="0"/>
              <w:bidi w:val="0"/>
              <w:spacing w:line="560" w:lineRule="exact"/>
              <w:rPr>
                <w:rFonts w:cs="宋体" w:asciiTheme="minorEastAsia" w:hAnsiTheme="minorEastAsia" w:eastAsiaTheme="minorEastAsia"/>
                <w:color w:val="000000" w:themeColor="text1"/>
                <w:sz w:val="28"/>
                <w:szCs w:val="28"/>
                <w:highlight w:val="none"/>
                <w14:textFill>
                  <w14:solidFill>
                    <w14:schemeClr w14:val="tx1"/>
                  </w14:solidFill>
                </w14:textFill>
              </w:rPr>
            </w:pPr>
          </w:p>
        </w:tc>
        <w:tc>
          <w:tcPr>
            <w:tcW w:w="495" w:type="dxa"/>
            <w:vMerge w:val="continue"/>
            <w:tcBorders>
              <w:top w:val="single" w:color="auto" w:sz="4" w:space="0"/>
              <w:left w:val="single" w:color="auto" w:sz="4" w:space="0"/>
              <w:bottom w:val="single" w:color="auto" w:sz="4" w:space="0"/>
              <w:right w:val="single" w:color="auto" w:sz="4" w:space="0"/>
            </w:tcBorders>
            <w:vAlign w:val="center"/>
          </w:tcPr>
          <w:p w14:paraId="1FC1FD24">
            <w:pPr>
              <w:pStyle w:val="145"/>
              <w:pageBreakBefore w:val="0"/>
              <w:wordWrap/>
              <w:topLinePunct w:val="0"/>
              <w:bidi w:val="0"/>
              <w:spacing w:line="560" w:lineRule="exact"/>
              <w:rPr>
                <w:rFonts w:cs="宋体" w:asciiTheme="minorEastAsia" w:hAnsiTheme="minorEastAsia" w:eastAsiaTheme="minorEastAsia"/>
                <w:color w:val="000000" w:themeColor="text1"/>
                <w:sz w:val="28"/>
                <w:szCs w:val="28"/>
                <w:highlight w:val="none"/>
                <w14:textFill>
                  <w14:solidFill>
                    <w14:schemeClr w14:val="tx1"/>
                  </w14:solidFill>
                </w14:textFill>
              </w:rPr>
            </w:pPr>
          </w:p>
        </w:tc>
        <w:tc>
          <w:tcPr>
            <w:tcW w:w="1852" w:type="dxa"/>
            <w:tcBorders>
              <w:top w:val="outset" w:color="auto" w:sz="6" w:space="0"/>
              <w:left w:val="single" w:color="auto" w:sz="4" w:space="0"/>
              <w:bottom w:val="outset" w:color="auto" w:sz="6" w:space="0"/>
              <w:right w:val="outset" w:color="auto" w:sz="6" w:space="0"/>
            </w:tcBorders>
            <w:vAlign w:val="center"/>
          </w:tcPr>
          <w:p w14:paraId="2ECBA6F8">
            <w:pPr>
              <w:pStyle w:val="145"/>
              <w:pageBreakBefore w:val="0"/>
              <w:wordWrap/>
              <w:topLinePunct w:val="0"/>
              <w:bidi w:val="0"/>
              <w:adjustRightInd w:val="0"/>
              <w:snapToGrid w:val="0"/>
              <w:spacing w:line="560" w:lineRule="exact"/>
              <w:jc w:val="center"/>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lang w:val="en-US" w:eastAsia="zh-CN"/>
                <w14:textFill>
                  <w14:solidFill>
                    <w14:schemeClr w14:val="tx1"/>
                  </w14:solidFill>
                </w14:textFill>
              </w:rPr>
              <w:t>技术</w:t>
            </w:r>
            <w:r>
              <w:rPr>
                <w:rFonts w:hint="eastAsia" w:cs="宋体" w:asciiTheme="minorEastAsia" w:hAnsiTheme="minorEastAsia" w:eastAsiaTheme="minorEastAsia"/>
                <w:color w:val="000000" w:themeColor="text1"/>
                <w:sz w:val="28"/>
                <w:szCs w:val="28"/>
                <w:highlight w:val="none"/>
                <w14:textFill>
                  <w14:solidFill>
                    <w14:schemeClr w14:val="tx1"/>
                  </w14:solidFill>
                </w14:textFill>
              </w:rPr>
              <w:t>要求</w:t>
            </w:r>
          </w:p>
        </w:tc>
        <w:tc>
          <w:tcPr>
            <w:tcW w:w="5020" w:type="dxa"/>
            <w:tcBorders>
              <w:top w:val="outset" w:color="auto" w:sz="6" w:space="0"/>
              <w:left w:val="outset" w:color="auto" w:sz="6" w:space="0"/>
              <w:bottom w:val="outset" w:color="auto" w:sz="6" w:space="0"/>
              <w:right w:val="outset" w:color="auto" w:sz="6" w:space="0"/>
            </w:tcBorders>
            <w:vAlign w:val="center"/>
          </w:tcPr>
          <w:p w14:paraId="729E855C">
            <w:pPr>
              <w:pStyle w:val="145"/>
              <w:pageBreakBefore w:val="0"/>
              <w:wordWrap/>
              <w:topLinePunct w:val="0"/>
              <w:bidi w:val="0"/>
              <w:adjustRightInd w:val="0"/>
              <w:snapToGrid w:val="0"/>
              <w:spacing w:line="560" w:lineRule="exact"/>
              <w:jc w:val="center"/>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响应文件未附有采购人不能接受或不符合招标文件的</w:t>
            </w:r>
            <w:r>
              <w:rPr>
                <w:rFonts w:hint="eastAsia" w:cs="宋体" w:asciiTheme="minorEastAsia" w:hAnsiTheme="minorEastAsia" w:eastAsiaTheme="minorEastAsia"/>
                <w:color w:val="000000" w:themeColor="text1"/>
                <w:sz w:val="28"/>
                <w:szCs w:val="28"/>
                <w:highlight w:val="none"/>
                <w:lang w:val="en-US" w:eastAsia="zh-CN"/>
                <w14:textFill>
                  <w14:solidFill>
                    <w14:schemeClr w14:val="tx1"/>
                  </w14:solidFill>
                </w14:textFill>
              </w:rPr>
              <w:t>技术</w:t>
            </w:r>
            <w:r>
              <w:rPr>
                <w:rFonts w:hint="eastAsia" w:cs="宋体" w:asciiTheme="minorEastAsia" w:hAnsiTheme="minorEastAsia" w:eastAsiaTheme="minorEastAsia"/>
                <w:color w:val="000000" w:themeColor="text1"/>
                <w:sz w:val="28"/>
                <w:szCs w:val="28"/>
                <w:highlight w:val="none"/>
                <w14:textFill>
                  <w14:solidFill>
                    <w14:schemeClr w14:val="tx1"/>
                  </w14:solidFill>
                </w14:textFill>
              </w:rPr>
              <w:t>要求</w:t>
            </w:r>
          </w:p>
        </w:tc>
        <w:tc>
          <w:tcPr>
            <w:tcW w:w="879" w:type="dxa"/>
            <w:tcBorders>
              <w:top w:val="outset" w:color="auto" w:sz="6" w:space="0"/>
              <w:left w:val="outset" w:color="auto" w:sz="6" w:space="0"/>
              <w:bottom w:val="outset" w:color="auto" w:sz="6" w:space="0"/>
              <w:right w:val="outset" w:color="auto" w:sz="6" w:space="0"/>
            </w:tcBorders>
            <w:vAlign w:val="center"/>
          </w:tcPr>
          <w:p w14:paraId="50C7A87D">
            <w:pPr>
              <w:pStyle w:val="145"/>
              <w:pageBreakBefore w:val="0"/>
              <w:wordWrap/>
              <w:topLinePunct w:val="0"/>
              <w:bidi w:val="0"/>
              <w:spacing w:line="560" w:lineRule="exact"/>
              <w:rPr>
                <w:rFonts w:cs="宋体" w:asciiTheme="minorEastAsia" w:hAnsiTheme="minorEastAsia" w:eastAsiaTheme="minorEastAsia"/>
                <w:color w:val="000000" w:themeColor="text1"/>
                <w:sz w:val="28"/>
                <w:szCs w:val="28"/>
                <w:highlight w:val="none"/>
                <w14:textFill>
                  <w14:solidFill>
                    <w14:schemeClr w14:val="tx1"/>
                  </w14:solidFill>
                </w14:textFill>
              </w:rPr>
            </w:pPr>
          </w:p>
        </w:tc>
        <w:tc>
          <w:tcPr>
            <w:tcW w:w="856" w:type="dxa"/>
            <w:tcBorders>
              <w:top w:val="outset" w:color="auto" w:sz="6" w:space="0"/>
              <w:left w:val="outset" w:color="auto" w:sz="6" w:space="0"/>
              <w:bottom w:val="outset" w:color="auto" w:sz="6" w:space="0"/>
              <w:right w:val="outset" w:color="auto" w:sz="6" w:space="0"/>
            </w:tcBorders>
            <w:vAlign w:val="center"/>
          </w:tcPr>
          <w:p w14:paraId="11B978B3">
            <w:pPr>
              <w:pStyle w:val="145"/>
              <w:pageBreakBefore w:val="0"/>
              <w:wordWrap/>
              <w:topLinePunct w:val="0"/>
              <w:bidi w:val="0"/>
              <w:spacing w:line="560" w:lineRule="exact"/>
              <w:rPr>
                <w:rFonts w:cs="宋体" w:asciiTheme="minorEastAsia" w:hAnsiTheme="minorEastAsia" w:eastAsiaTheme="minorEastAsia"/>
                <w:color w:val="000000" w:themeColor="text1"/>
                <w:sz w:val="28"/>
                <w:szCs w:val="28"/>
                <w:highlight w:val="none"/>
                <w14:textFill>
                  <w14:solidFill>
                    <w14:schemeClr w14:val="tx1"/>
                  </w14:solidFill>
                </w14:textFill>
              </w:rPr>
            </w:pPr>
          </w:p>
        </w:tc>
      </w:tr>
    </w:tbl>
    <w:p w14:paraId="7AA93776">
      <w:pPr>
        <w:pageBreakBefore w:val="0"/>
        <w:widowControl/>
        <w:wordWrap/>
        <w:topLinePunct w:val="0"/>
        <w:bidi w:val="0"/>
        <w:spacing w:line="560" w:lineRule="exact"/>
        <w:jc w:val="left"/>
        <w:rPr>
          <w:rFonts w:hAnsi="宋体"/>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br w:type="page"/>
      </w:r>
    </w:p>
    <w:p w14:paraId="14CD27E8">
      <w:pPr>
        <w:pStyle w:val="4"/>
        <w:keepNext w:val="0"/>
        <w:keepLines w:val="0"/>
        <w:pageBreakBefore w:val="0"/>
        <w:kinsoku/>
        <w:wordWrap/>
        <w:overflowPunct/>
        <w:topLinePunct w:val="0"/>
        <w:autoSpaceDE/>
        <w:autoSpaceDN/>
        <w:bidi w:val="0"/>
        <w:adjustRightInd/>
        <w:snapToGrid/>
        <w:spacing w:line="560" w:lineRule="exact"/>
        <w:jc w:val="center"/>
        <w:textAlignment w:val="auto"/>
        <w:rPr>
          <w:rFonts w:hint="default"/>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第三节</w:t>
      </w:r>
      <w:r>
        <w:rPr>
          <w:color w:val="000000" w:themeColor="text1"/>
          <w:sz w:val="28"/>
          <w:szCs w:val="28"/>
          <w:highlight w:val="none"/>
          <w14:textFill>
            <w14:solidFill>
              <w14:schemeClr w14:val="tx1"/>
            </w14:solidFill>
          </w14:textFill>
        </w:rPr>
        <w:t xml:space="preserve"> </w:t>
      </w:r>
      <w:r>
        <w:rPr>
          <w:rFonts w:hint="eastAsia"/>
          <w:color w:val="000000" w:themeColor="text1"/>
          <w:sz w:val="28"/>
          <w:szCs w:val="28"/>
          <w:highlight w:val="none"/>
          <w14:textFill>
            <w14:solidFill>
              <w14:schemeClr w14:val="tx1"/>
            </w14:solidFill>
          </w14:textFill>
        </w:rPr>
        <w:t>评分标准</w:t>
      </w:r>
      <w:r>
        <w:rPr>
          <w:rFonts w:hint="default"/>
          <w:color w:val="000000" w:themeColor="text1"/>
          <w:sz w:val="28"/>
          <w:szCs w:val="28"/>
          <w:highlight w:val="none"/>
          <w14:textFill>
            <w14:solidFill>
              <w14:schemeClr w14:val="tx1"/>
            </w14:solidFill>
          </w14:textFill>
        </w:rPr>
        <w:t>（标项</w:t>
      </w:r>
      <w:r>
        <w:rPr>
          <w:rFonts w:hint="eastAsia"/>
          <w:color w:val="000000" w:themeColor="text1"/>
          <w:sz w:val="28"/>
          <w:szCs w:val="28"/>
          <w:highlight w:val="none"/>
          <w:lang w:val="en-US" w:eastAsia="zh-CN"/>
          <w14:textFill>
            <w14:solidFill>
              <w14:schemeClr w14:val="tx1"/>
            </w14:solidFill>
          </w14:textFill>
        </w:rPr>
        <w:t>4</w:t>
      </w:r>
      <w:r>
        <w:rPr>
          <w:rFonts w:hint="default"/>
          <w:color w:val="000000" w:themeColor="text1"/>
          <w:sz w:val="28"/>
          <w:szCs w:val="28"/>
          <w:highlight w:val="none"/>
          <w14:textFill>
            <w14:solidFill>
              <w14:schemeClr w14:val="tx1"/>
            </w14:solidFill>
          </w14:textFill>
        </w:rPr>
        <w:t>）</w:t>
      </w:r>
    </w:p>
    <w:p w14:paraId="1FBC2DF0">
      <w:pPr>
        <w:pStyle w:val="17"/>
        <w:keepNext w:val="0"/>
        <w:keepLines w:val="0"/>
        <w:pageBreakBefore w:val="0"/>
        <w:kinsoku/>
        <w:wordWrap/>
        <w:overflowPunct/>
        <w:topLinePunct w:val="0"/>
        <w:autoSpaceDE/>
        <w:autoSpaceDN/>
        <w:bidi w:val="0"/>
        <w:adjustRightInd/>
        <w:snapToGrid/>
        <w:spacing w:line="560" w:lineRule="exact"/>
        <w:textAlignment w:val="auto"/>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一、综合评分法</w:t>
      </w:r>
    </w:p>
    <w:p w14:paraId="21BAD1C5">
      <w:pPr>
        <w:keepNext w:val="0"/>
        <w:keepLines w:val="0"/>
        <w:pageBreakBefore w:val="0"/>
        <w:kinsoku/>
        <w:wordWrap/>
        <w:overflowPunct/>
        <w:topLinePunct w:val="0"/>
        <w:autoSpaceDE/>
        <w:autoSpaceDN/>
        <w:bidi w:val="0"/>
        <w:adjustRightInd/>
        <w:snapToGrid/>
        <w:spacing w:line="560" w:lineRule="exact"/>
        <w:textAlignment w:val="auto"/>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注：1、计分方法按四舍五入取至百分位。</w:t>
      </w:r>
    </w:p>
    <w:p w14:paraId="732A57B4">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asciiTheme="minorEastAsia" w:hAnsiTheme="minorEastAsia" w:eastAsiaTheme="minorEastAsia"/>
          <w:bCs/>
          <w:color w:val="000000" w:themeColor="text1"/>
          <w:sz w:val="28"/>
          <w:szCs w:val="28"/>
          <w:highlight w:val="none"/>
          <w:u w:val="single"/>
          <w14:textFill>
            <w14:solidFill>
              <w14:schemeClr w14:val="tx1"/>
            </w14:solidFill>
          </w14:textFill>
        </w:rPr>
      </w:pPr>
      <w:r>
        <w:rPr>
          <w:rFonts w:hint="eastAsia" w:asciiTheme="minorEastAsia" w:hAnsiTheme="minorEastAsia" w:eastAsiaTheme="minorEastAsia"/>
          <w:bCs/>
          <w:color w:val="000000" w:themeColor="text1"/>
          <w:sz w:val="28"/>
          <w:szCs w:val="28"/>
          <w:highlight w:val="none"/>
          <w14:textFill>
            <w14:solidFill>
              <w14:schemeClr w14:val="tx1"/>
            </w14:solidFill>
          </w14:textFill>
        </w:rPr>
        <w:t>总得分=</w:t>
      </w:r>
      <w:r>
        <w:rPr>
          <w:rFonts w:hint="eastAsia" w:asciiTheme="minorEastAsia" w:hAnsiTheme="minorEastAsia" w:eastAsiaTheme="minorEastAsia"/>
          <w:bCs/>
          <w:color w:val="000000" w:themeColor="text1"/>
          <w:sz w:val="28"/>
          <w:szCs w:val="28"/>
          <w:highlight w:val="none"/>
          <w:u w:val="single"/>
          <w14:textFill>
            <w14:solidFill>
              <w14:schemeClr w14:val="tx1"/>
            </w14:solidFill>
          </w14:textFill>
        </w:rPr>
        <w:t xml:space="preserve"> 报价得分+ 商务得分+技术得分                                                           </w:t>
      </w:r>
    </w:p>
    <w:p w14:paraId="278950BE">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asciiTheme="minorEastAsia" w:hAnsiTheme="minorEastAsia" w:eastAsiaTheme="minorEastAsia"/>
          <w:bCs/>
          <w:color w:val="000000" w:themeColor="text1"/>
          <w:sz w:val="28"/>
          <w:szCs w:val="28"/>
          <w:highlight w:val="none"/>
          <w14:textFill>
            <w14:solidFill>
              <w14:schemeClr w14:val="tx1"/>
            </w14:solidFill>
          </w14:textFill>
        </w:rPr>
      </w:pPr>
      <w:r>
        <w:rPr>
          <w:rFonts w:asciiTheme="minorEastAsia" w:hAnsiTheme="minorEastAsia" w:eastAsiaTheme="minorEastAsia"/>
          <w:bCs/>
          <w:color w:val="000000" w:themeColor="text1"/>
          <w:sz w:val="28"/>
          <w:szCs w:val="28"/>
          <w:highlight w:val="none"/>
          <w14:textFill>
            <w14:solidFill>
              <w14:schemeClr w14:val="tx1"/>
            </w14:solidFill>
          </w14:textFill>
        </w:rPr>
        <w:t xml:space="preserve"> </w:t>
      </w:r>
      <w:r>
        <w:rPr>
          <w:rFonts w:hint="eastAsia" w:asciiTheme="minorEastAsia" w:hAnsiTheme="minorEastAsia" w:eastAsiaTheme="minorEastAsia"/>
          <w:bCs/>
          <w:color w:val="000000" w:themeColor="text1"/>
          <w:sz w:val="28"/>
          <w:szCs w:val="28"/>
          <w:highlight w:val="none"/>
          <w14:textFill>
            <w14:solidFill>
              <w14:schemeClr w14:val="tx1"/>
            </w14:solidFill>
          </w14:textFill>
        </w:rPr>
        <w:t>标项</w:t>
      </w:r>
      <w:r>
        <w:rPr>
          <w:rFonts w:hint="eastAsia" w:asciiTheme="minorEastAsia" w:hAnsiTheme="minorEastAsia" w:eastAsiaTheme="minorEastAsia"/>
          <w:bCs/>
          <w:color w:val="000000" w:themeColor="text1"/>
          <w:sz w:val="28"/>
          <w:szCs w:val="28"/>
          <w:highlight w:val="none"/>
          <w:lang w:val="en-US" w:eastAsia="zh-CN"/>
          <w14:textFill>
            <w14:solidFill>
              <w14:schemeClr w14:val="tx1"/>
            </w14:solidFill>
          </w14:textFill>
        </w:rPr>
        <w:t>4</w:t>
      </w:r>
      <w:bookmarkStart w:id="250" w:name="_GoBack"/>
      <w:bookmarkEnd w:id="250"/>
      <w:r>
        <w:rPr>
          <w:rFonts w:asciiTheme="minorEastAsia" w:hAnsiTheme="minorEastAsia" w:eastAsiaTheme="minorEastAsia"/>
          <w:bCs/>
          <w:color w:val="000000" w:themeColor="text1"/>
          <w:sz w:val="28"/>
          <w:szCs w:val="28"/>
          <w:highlight w:val="none"/>
          <w14:textFill>
            <w14:solidFill>
              <w14:schemeClr w14:val="tx1"/>
            </w14:solidFill>
          </w14:textFill>
        </w:rPr>
        <w:t xml:space="preserve">的评分方法 </w:t>
      </w:r>
    </w:p>
    <w:tbl>
      <w:tblPr>
        <w:tblStyle w:val="35"/>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3"/>
        <w:gridCol w:w="1500"/>
        <w:gridCol w:w="6283"/>
        <w:gridCol w:w="1088"/>
      </w:tblGrid>
      <w:tr w14:paraId="3E448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 w:type="dxa"/>
            <w:vAlign w:val="center"/>
          </w:tcPr>
          <w:p w14:paraId="27DD0D36">
            <w:pPr>
              <w:keepNext w:val="0"/>
              <w:keepLines w:val="0"/>
              <w:pageBreakBefore w:val="0"/>
              <w:kinsoku/>
              <w:wordWrap/>
              <w:overflowPunct/>
              <w:topLinePunct w:val="0"/>
              <w:autoSpaceDE/>
              <w:autoSpaceDN/>
              <w:bidi w:val="0"/>
              <w:adjustRightInd/>
              <w:snapToGrid/>
              <w:spacing w:line="560" w:lineRule="exact"/>
              <w:jc w:val="center"/>
              <w:textAlignment w:val="auto"/>
              <w:rPr>
                <w:rFonts w:asciiTheme="minorEastAsia" w:hAnsiTheme="minorEastAsia" w:eastAsiaTheme="minorEastAsia"/>
                <w:bCs/>
                <w:color w:val="000000" w:themeColor="text1"/>
                <w:kern w:val="0"/>
                <w:sz w:val="28"/>
                <w:szCs w:val="28"/>
                <w:highlight w:val="none"/>
                <w14:textFill>
                  <w14:solidFill>
                    <w14:schemeClr w14:val="tx1"/>
                  </w14:solidFill>
                </w14:textFill>
              </w:rPr>
            </w:pPr>
            <w:r>
              <w:rPr>
                <w:rFonts w:hint="eastAsia" w:asciiTheme="minorEastAsia" w:hAnsiTheme="minorEastAsia" w:eastAsiaTheme="minorEastAsia"/>
                <w:bCs/>
                <w:color w:val="000000" w:themeColor="text1"/>
                <w:kern w:val="0"/>
                <w:sz w:val="28"/>
                <w:szCs w:val="28"/>
                <w:highlight w:val="none"/>
                <w14:textFill>
                  <w14:solidFill>
                    <w14:schemeClr w14:val="tx1"/>
                  </w14:solidFill>
                </w14:textFill>
              </w:rPr>
              <w:t>序号</w:t>
            </w:r>
          </w:p>
        </w:tc>
        <w:tc>
          <w:tcPr>
            <w:tcW w:w="1500" w:type="dxa"/>
            <w:vAlign w:val="center"/>
          </w:tcPr>
          <w:p w14:paraId="21320FF2">
            <w:pPr>
              <w:keepNext w:val="0"/>
              <w:keepLines w:val="0"/>
              <w:pageBreakBefore w:val="0"/>
              <w:kinsoku/>
              <w:wordWrap/>
              <w:overflowPunct/>
              <w:topLinePunct w:val="0"/>
              <w:autoSpaceDE/>
              <w:autoSpaceDN/>
              <w:bidi w:val="0"/>
              <w:adjustRightInd/>
              <w:snapToGrid/>
              <w:spacing w:line="560" w:lineRule="exact"/>
              <w:jc w:val="center"/>
              <w:textAlignment w:val="auto"/>
              <w:rPr>
                <w:rFonts w:asciiTheme="minorEastAsia" w:hAnsiTheme="minorEastAsia" w:eastAsiaTheme="minorEastAsia"/>
                <w:bCs/>
                <w:color w:val="000000" w:themeColor="text1"/>
                <w:kern w:val="0"/>
                <w:sz w:val="28"/>
                <w:szCs w:val="28"/>
                <w:highlight w:val="none"/>
                <w14:textFill>
                  <w14:solidFill>
                    <w14:schemeClr w14:val="tx1"/>
                  </w14:solidFill>
                </w14:textFill>
              </w:rPr>
            </w:pPr>
            <w:r>
              <w:rPr>
                <w:rFonts w:hint="eastAsia" w:asciiTheme="minorEastAsia" w:hAnsiTheme="minorEastAsia" w:eastAsiaTheme="minorEastAsia"/>
                <w:bCs/>
                <w:color w:val="000000" w:themeColor="text1"/>
                <w:kern w:val="0"/>
                <w:sz w:val="28"/>
                <w:szCs w:val="28"/>
                <w:highlight w:val="none"/>
                <w14:textFill>
                  <w14:solidFill>
                    <w14:schemeClr w14:val="tx1"/>
                  </w14:solidFill>
                </w14:textFill>
              </w:rPr>
              <w:t>评分类型</w:t>
            </w:r>
          </w:p>
        </w:tc>
        <w:tc>
          <w:tcPr>
            <w:tcW w:w="6283" w:type="dxa"/>
            <w:vAlign w:val="center"/>
          </w:tcPr>
          <w:p w14:paraId="370C4EFE">
            <w:pPr>
              <w:keepNext w:val="0"/>
              <w:keepLines w:val="0"/>
              <w:pageBreakBefore w:val="0"/>
              <w:kinsoku/>
              <w:wordWrap/>
              <w:overflowPunct/>
              <w:topLinePunct w:val="0"/>
              <w:autoSpaceDE/>
              <w:autoSpaceDN/>
              <w:bidi w:val="0"/>
              <w:adjustRightInd/>
              <w:snapToGrid/>
              <w:spacing w:line="560" w:lineRule="exact"/>
              <w:jc w:val="center"/>
              <w:textAlignment w:val="auto"/>
              <w:rPr>
                <w:rFonts w:asciiTheme="minorEastAsia" w:hAnsiTheme="minorEastAsia" w:eastAsiaTheme="minorEastAsia"/>
                <w:bCs/>
                <w:color w:val="000000" w:themeColor="text1"/>
                <w:kern w:val="0"/>
                <w:sz w:val="28"/>
                <w:szCs w:val="28"/>
                <w:highlight w:val="none"/>
                <w14:textFill>
                  <w14:solidFill>
                    <w14:schemeClr w14:val="tx1"/>
                  </w14:solidFill>
                </w14:textFill>
              </w:rPr>
            </w:pPr>
            <w:r>
              <w:rPr>
                <w:rFonts w:hint="eastAsia" w:asciiTheme="minorEastAsia" w:hAnsiTheme="minorEastAsia" w:eastAsiaTheme="minorEastAsia"/>
                <w:bCs/>
                <w:color w:val="000000" w:themeColor="text1"/>
                <w:kern w:val="0"/>
                <w:sz w:val="28"/>
                <w:szCs w:val="28"/>
                <w:highlight w:val="none"/>
                <w14:textFill>
                  <w14:solidFill>
                    <w14:schemeClr w14:val="tx1"/>
                  </w14:solidFill>
                </w14:textFill>
              </w:rPr>
              <w:t>评分标准</w:t>
            </w:r>
          </w:p>
        </w:tc>
        <w:tc>
          <w:tcPr>
            <w:tcW w:w="1088" w:type="dxa"/>
            <w:vAlign w:val="center"/>
          </w:tcPr>
          <w:p w14:paraId="7C5C71B4">
            <w:pPr>
              <w:keepNext w:val="0"/>
              <w:keepLines w:val="0"/>
              <w:pageBreakBefore w:val="0"/>
              <w:kinsoku/>
              <w:wordWrap/>
              <w:overflowPunct/>
              <w:topLinePunct w:val="0"/>
              <w:autoSpaceDE/>
              <w:autoSpaceDN/>
              <w:bidi w:val="0"/>
              <w:adjustRightInd/>
              <w:snapToGrid/>
              <w:spacing w:line="560" w:lineRule="exact"/>
              <w:jc w:val="center"/>
              <w:textAlignment w:val="auto"/>
              <w:rPr>
                <w:rFonts w:asciiTheme="minorEastAsia" w:hAnsiTheme="minorEastAsia" w:eastAsiaTheme="minorEastAsia"/>
                <w:bCs/>
                <w:color w:val="000000" w:themeColor="text1"/>
                <w:kern w:val="0"/>
                <w:sz w:val="28"/>
                <w:szCs w:val="28"/>
                <w:highlight w:val="none"/>
                <w14:textFill>
                  <w14:solidFill>
                    <w14:schemeClr w14:val="tx1"/>
                  </w14:solidFill>
                </w14:textFill>
              </w:rPr>
            </w:pPr>
            <w:r>
              <w:rPr>
                <w:rFonts w:hint="eastAsia" w:asciiTheme="minorEastAsia" w:hAnsiTheme="minorEastAsia" w:eastAsiaTheme="minorEastAsia"/>
                <w:bCs/>
                <w:color w:val="000000" w:themeColor="text1"/>
                <w:kern w:val="0"/>
                <w:sz w:val="28"/>
                <w:szCs w:val="28"/>
                <w:highlight w:val="none"/>
                <w14:textFill>
                  <w14:solidFill>
                    <w14:schemeClr w14:val="tx1"/>
                  </w14:solidFill>
                </w14:textFill>
              </w:rPr>
              <w:t>分值</w:t>
            </w:r>
          </w:p>
        </w:tc>
      </w:tr>
      <w:tr w14:paraId="5AF78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 w:type="dxa"/>
            <w:vAlign w:val="center"/>
          </w:tcPr>
          <w:p w14:paraId="7BC74E69">
            <w:pPr>
              <w:keepNext w:val="0"/>
              <w:keepLines w:val="0"/>
              <w:pageBreakBefore w:val="0"/>
              <w:kinsoku/>
              <w:wordWrap/>
              <w:overflowPunct/>
              <w:topLinePunct w:val="0"/>
              <w:autoSpaceDE/>
              <w:autoSpaceDN/>
              <w:bidi w:val="0"/>
              <w:adjustRightInd/>
              <w:snapToGrid/>
              <w:spacing w:line="560" w:lineRule="exact"/>
              <w:jc w:val="center"/>
              <w:textAlignment w:val="auto"/>
              <w:rPr>
                <w:rFonts w:asciiTheme="minorEastAsia" w:hAnsiTheme="minorEastAsia" w:eastAsiaTheme="minorEastAsia"/>
                <w:bCs/>
                <w:color w:val="000000" w:themeColor="text1"/>
                <w:kern w:val="0"/>
                <w:sz w:val="28"/>
                <w:szCs w:val="28"/>
                <w:highlight w:val="none"/>
                <w14:textFill>
                  <w14:solidFill>
                    <w14:schemeClr w14:val="tx1"/>
                  </w14:solidFill>
                </w14:textFill>
              </w:rPr>
            </w:pPr>
            <w:r>
              <w:rPr>
                <w:rFonts w:asciiTheme="minorEastAsia" w:hAnsiTheme="minorEastAsia" w:eastAsiaTheme="minorEastAsia"/>
                <w:bCs/>
                <w:color w:val="000000" w:themeColor="text1"/>
                <w:kern w:val="0"/>
                <w:sz w:val="28"/>
                <w:szCs w:val="28"/>
                <w:highlight w:val="none"/>
                <w14:textFill>
                  <w14:solidFill>
                    <w14:schemeClr w14:val="tx1"/>
                  </w14:solidFill>
                </w14:textFill>
              </w:rPr>
              <w:t>1</w:t>
            </w:r>
          </w:p>
        </w:tc>
        <w:tc>
          <w:tcPr>
            <w:tcW w:w="1500" w:type="dxa"/>
            <w:vAlign w:val="center"/>
          </w:tcPr>
          <w:p w14:paraId="10D2C2D0">
            <w:pPr>
              <w:keepNext w:val="0"/>
              <w:keepLines w:val="0"/>
              <w:pageBreakBefore w:val="0"/>
              <w:kinsoku/>
              <w:wordWrap/>
              <w:overflowPunct/>
              <w:topLinePunct w:val="0"/>
              <w:autoSpaceDE/>
              <w:autoSpaceDN/>
              <w:bidi w:val="0"/>
              <w:adjustRightInd/>
              <w:snapToGrid/>
              <w:spacing w:line="560" w:lineRule="exact"/>
              <w:jc w:val="center"/>
              <w:textAlignment w:val="auto"/>
              <w:rPr>
                <w:rFonts w:asciiTheme="minorEastAsia" w:hAnsiTheme="minorEastAsia" w:eastAsiaTheme="minorEastAsia"/>
                <w:bCs/>
                <w:color w:val="000000" w:themeColor="text1"/>
                <w:kern w:val="0"/>
                <w:sz w:val="28"/>
                <w:szCs w:val="28"/>
                <w:highlight w:val="none"/>
                <w14:textFill>
                  <w14:solidFill>
                    <w14:schemeClr w14:val="tx1"/>
                  </w14:solidFill>
                </w14:textFill>
              </w:rPr>
            </w:pPr>
            <w:r>
              <w:rPr>
                <w:rFonts w:hint="eastAsia" w:asciiTheme="minorEastAsia" w:hAnsiTheme="minorEastAsia" w:eastAsiaTheme="minorEastAsia"/>
                <w:bCs/>
                <w:color w:val="000000" w:themeColor="text1"/>
                <w:kern w:val="0"/>
                <w:sz w:val="28"/>
                <w:szCs w:val="28"/>
                <w:highlight w:val="none"/>
                <w14:textFill>
                  <w14:solidFill>
                    <w14:schemeClr w14:val="tx1"/>
                  </w14:solidFill>
                </w14:textFill>
              </w:rPr>
              <w:t>报价</w:t>
            </w:r>
          </w:p>
        </w:tc>
        <w:tc>
          <w:tcPr>
            <w:tcW w:w="6283" w:type="dxa"/>
          </w:tcPr>
          <w:p w14:paraId="6448A41F">
            <w:pPr>
              <w:keepNext w:val="0"/>
              <w:keepLines w:val="0"/>
              <w:pageBreakBefore w:val="0"/>
              <w:kinsoku/>
              <w:wordWrap/>
              <w:overflowPunct/>
              <w:topLinePunct w:val="0"/>
              <w:autoSpaceDE/>
              <w:autoSpaceDN/>
              <w:bidi w:val="0"/>
              <w:adjustRightInd/>
              <w:snapToGrid/>
              <w:spacing w:line="560" w:lineRule="exact"/>
              <w:textAlignment w:val="auto"/>
              <w:rPr>
                <w:rFonts w:asciiTheme="minorEastAsia" w:hAnsiTheme="minorEastAsia" w:eastAsiaTheme="minorEastAsia"/>
                <w:bCs/>
                <w:color w:val="000000" w:themeColor="text1"/>
                <w:kern w:val="0"/>
                <w:sz w:val="28"/>
                <w:szCs w:val="28"/>
                <w:highlight w:val="none"/>
                <w14:textFill>
                  <w14:solidFill>
                    <w14:schemeClr w14:val="tx1"/>
                  </w14:solidFill>
                </w14:textFill>
              </w:rPr>
            </w:pPr>
            <w:r>
              <w:rPr>
                <w:rFonts w:hint="eastAsia" w:asciiTheme="minorEastAsia" w:hAnsiTheme="minorEastAsia" w:eastAsiaTheme="minorEastAsia"/>
                <w:bCs/>
                <w:color w:val="000000" w:themeColor="text1"/>
                <w:kern w:val="0"/>
                <w:sz w:val="28"/>
                <w:szCs w:val="28"/>
                <w:highlight w:val="none"/>
                <w14:textFill>
                  <w14:solidFill>
                    <w14:schemeClr w14:val="tx1"/>
                  </w14:solidFill>
                </w14:textFill>
              </w:rPr>
              <w:t>(评标基准价/投标报价)*最大分值</w:t>
            </w:r>
          </w:p>
          <w:p w14:paraId="61CC2370">
            <w:pPr>
              <w:keepNext w:val="0"/>
              <w:keepLines w:val="0"/>
              <w:pageBreakBefore w:val="0"/>
              <w:kinsoku/>
              <w:wordWrap/>
              <w:overflowPunct/>
              <w:topLinePunct w:val="0"/>
              <w:autoSpaceDE/>
              <w:autoSpaceDN/>
              <w:bidi w:val="0"/>
              <w:adjustRightInd/>
              <w:snapToGrid/>
              <w:spacing w:line="560" w:lineRule="exact"/>
              <w:textAlignment w:val="auto"/>
              <w:rPr>
                <w:rFonts w:asciiTheme="minorEastAsia" w:hAnsiTheme="minorEastAsia" w:eastAsiaTheme="minorEastAsia"/>
                <w:bCs/>
                <w:color w:val="000000" w:themeColor="text1"/>
                <w:kern w:val="0"/>
                <w:sz w:val="28"/>
                <w:szCs w:val="28"/>
                <w:highlight w:val="none"/>
                <w14:textFill>
                  <w14:solidFill>
                    <w14:schemeClr w14:val="tx1"/>
                  </w14:solidFill>
                </w14:textFill>
              </w:rPr>
            </w:pPr>
            <w:r>
              <w:rPr>
                <w:rFonts w:hint="eastAsia" w:asciiTheme="minorEastAsia" w:hAnsiTheme="minorEastAsia" w:eastAsiaTheme="minorEastAsia"/>
                <w:bCs/>
                <w:color w:val="000000" w:themeColor="text1"/>
                <w:kern w:val="0"/>
                <w:sz w:val="28"/>
                <w:szCs w:val="28"/>
                <w:highlight w:val="none"/>
                <w14:textFill>
                  <w14:solidFill>
                    <w14:schemeClr w14:val="tx1"/>
                  </w14:solidFill>
                </w14:textFill>
              </w:rPr>
              <w:t>1.评标基准价：满足招标文件要求且经算术修正，依据政府采购政策进行价格扣除后的最低投标报价为评标基准价；</w:t>
            </w:r>
          </w:p>
          <w:p w14:paraId="6E384FEA">
            <w:pPr>
              <w:keepNext w:val="0"/>
              <w:keepLines w:val="0"/>
              <w:pageBreakBefore w:val="0"/>
              <w:kinsoku/>
              <w:wordWrap/>
              <w:overflowPunct/>
              <w:topLinePunct w:val="0"/>
              <w:autoSpaceDE/>
              <w:autoSpaceDN/>
              <w:bidi w:val="0"/>
              <w:adjustRightInd/>
              <w:snapToGrid/>
              <w:spacing w:line="560" w:lineRule="exact"/>
              <w:textAlignment w:val="auto"/>
              <w:rPr>
                <w:rFonts w:asciiTheme="minorEastAsia" w:hAnsiTheme="minorEastAsia" w:eastAsiaTheme="minorEastAsia"/>
                <w:bCs/>
                <w:color w:val="000000" w:themeColor="text1"/>
                <w:kern w:val="0"/>
                <w:sz w:val="28"/>
                <w:szCs w:val="28"/>
                <w:highlight w:val="none"/>
                <w14:textFill>
                  <w14:solidFill>
                    <w14:schemeClr w14:val="tx1"/>
                  </w14:solidFill>
                </w14:textFill>
              </w:rPr>
            </w:pPr>
            <w:r>
              <w:rPr>
                <w:rFonts w:hint="eastAsia" w:asciiTheme="minorEastAsia" w:hAnsiTheme="minorEastAsia" w:eastAsiaTheme="minorEastAsia"/>
                <w:bCs/>
                <w:color w:val="000000" w:themeColor="text1"/>
                <w:kern w:val="0"/>
                <w:sz w:val="28"/>
                <w:szCs w:val="28"/>
                <w:highlight w:val="none"/>
                <w14:textFill>
                  <w14:solidFill>
                    <w14:schemeClr w14:val="tx1"/>
                  </w14:solidFill>
                </w14:textFill>
              </w:rPr>
              <w:t>2.投标报价：评标委员会以开标一览表中报价为基础，对其进行算术修正，依据政府采购政策进行价格扣除后，作为投标报价得分计算的依据。</w:t>
            </w:r>
          </w:p>
        </w:tc>
        <w:tc>
          <w:tcPr>
            <w:tcW w:w="1088" w:type="dxa"/>
            <w:vAlign w:val="center"/>
          </w:tcPr>
          <w:p w14:paraId="277D12B9">
            <w:pPr>
              <w:keepNext w:val="0"/>
              <w:keepLines w:val="0"/>
              <w:pageBreakBefore w:val="0"/>
              <w:kinsoku/>
              <w:wordWrap/>
              <w:overflowPunct/>
              <w:topLinePunct w:val="0"/>
              <w:autoSpaceDE/>
              <w:autoSpaceDN/>
              <w:bidi w:val="0"/>
              <w:adjustRightInd/>
              <w:snapToGrid/>
              <w:spacing w:line="560" w:lineRule="exact"/>
              <w:jc w:val="center"/>
              <w:textAlignment w:val="auto"/>
              <w:rPr>
                <w:rFonts w:asciiTheme="minorEastAsia" w:hAnsiTheme="minorEastAsia" w:eastAsiaTheme="minorEastAsia"/>
                <w:bCs/>
                <w:color w:val="000000" w:themeColor="text1"/>
                <w:kern w:val="0"/>
                <w:sz w:val="28"/>
                <w:szCs w:val="28"/>
                <w:highlight w:val="none"/>
                <w14:textFill>
                  <w14:solidFill>
                    <w14:schemeClr w14:val="tx1"/>
                  </w14:solidFill>
                </w14:textFill>
              </w:rPr>
            </w:pPr>
            <w:r>
              <w:rPr>
                <w:rFonts w:asciiTheme="minorEastAsia" w:hAnsiTheme="minorEastAsia" w:eastAsiaTheme="minorEastAsia"/>
                <w:bCs/>
                <w:color w:val="000000" w:themeColor="text1"/>
                <w:kern w:val="0"/>
                <w:sz w:val="28"/>
                <w:szCs w:val="28"/>
                <w:highlight w:val="none"/>
                <w14:textFill>
                  <w14:solidFill>
                    <w14:schemeClr w14:val="tx1"/>
                  </w14:solidFill>
                </w14:textFill>
              </w:rPr>
              <w:t>30</w:t>
            </w:r>
          </w:p>
        </w:tc>
      </w:tr>
      <w:tr w14:paraId="2E5CF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gridSpan w:val="4"/>
            <w:vAlign w:val="center"/>
          </w:tcPr>
          <w:p w14:paraId="695980A0">
            <w:pPr>
              <w:keepNext w:val="0"/>
              <w:keepLines w:val="0"/>
              <w:pageBreakBefore w:val="0"/>
              <w:kinsoku/>
              <w:wordWrap/>
              <w:overflowPunct/>
              <w:topLinePunct w:val="0"/>
              <w:autoSpaceDE/>
              <w:autoSpaceDN/>
              <w:bidi w:val="0"/>
              <w:adjustRightInd/>
              <w:snapToGrid/>
              <w:spacing w:line="560" w:lineRule="exact"/>
              <w:jc w:val="left"/>
              <w:textAlignment w:val="auto"/>
              <w:rPr>
                <w:rFonts w:asciiTheme="minorEastAsia" w:hAnsiTheme="minorEastAsia" w:eastAsiaTheme="minorEastAsia"/>
                <w:bCs/>
                <w:color w:val="000000" w:themeColor="text1"/>
                <w:kern w:val="0"/>
                <w:sz w:val="28"/>
                <w:szCs w:val="28"/>
                <w:highlight w:val="none"/>
                <w14:textFill>
                  <w14:solidFill>
                    <w14:schemeClr w14:val="tx1"/>
                  </w14:solidFill>
                </w14:textFill>
              </w:rPr>
            </w:pPr>
            <w:r>
              <w:rPr>
                <w:rFonts w:hint="eastAsia" w:asciiTheme="minorEastAsia" w:hAnsiTheme="minorEastAsia" w:eastAsiaTheme="minorEastAsia"/>
                <w:bCs/>
                <w:color w:val="000000" w:themeColor="text1"/>
                <w:kern w:val="0"/>
                <w:sz w:val="28"/>
                <w:szCs w:val="28"/>
                <w:highlight w:val="none"/>
                <w14:textFill>
                  <w14:solidFill>
                    <w14:schemeClr w14:val="tx1"/>
                  </w14:solidFill>
                </w14:textFill>
              </w:rPr>
              <w:t>商务部分（</w:t>
            </w:r>
            <w:r>
              <w:rPr>
                <w:rFonts w:hint="eastAsia" w:asciiTheme="minorEastAsia" w:hAnsiTheme="minorEastAsia" w:eastAsiaTheme="minorEastAsia"/>
                <w:bCs/>
                <w:color w:val="000000" w:themeColor="text1"/>
                <w:kern w:val="0"/>
                <w:sz w:val="28"/>
                <w:szCs w:val="28"/>
                <w:highlight w:val="none"/>
                <w:lang w:val="en-US" w:eastAsia="zh-CN"/>
                <w14:textFill>
                  <w14:solidFill>
                    <w14:schemeClr w14:val="tx1"/>
                  </w14:solidFill>
                </w14:textFill>
              </w:rPr>
              <w:t>6</w:t>
            </w:r>
            <w:r>
              <w:rPr>
                <w:rFonts w:hint="eastAsia" w:asciiTheme="minorEastAsia" w:hAnsiTheme="minorEastAsia" w:eastAsiaTheme="minorEastAsia"/>
                <w:bCs/>
                <w:color w:val="000000" w:themeColor="text1"/>
                <w:kern w:val="0"/>
                <w:sz w:val="28"/>
                <w:szCs w:val="28"/>
                <w:highlight w:val="none"/>
                <w14:textFill>
                  <w14:solidFill>
                    <w14:schemeClr w14:val="tx1"/>
                  </w14:solidFill>
                </w14:textFill>
              </w:rPr>
              <w:t>分）</w:t>
            </w:r>
          </w:p>
        </w:tc>
      </w:tr>
      <w:tr w14:paraId="6ECB6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 w:type="dxa"/>
            <w:vAlign w:val="center"/>
          </w:tcPr>
          <w:p w14:paraId="640B75DE">
            <w:pPr>
              <w:keepNext w:val="0"/>
              <w:keepLines w:val="0"/>
              <w:pageBreakBefore w:val="0"/>
              <w:kinsoku/>
              <w:wordWrap/>
              <w:overflowPunct/>
              <w:topLinePunct w:val="0"/>
              <w:autoSpaceDE/>
              <w:autoSpaceDN/>
              <w:bidi w:val="0"/>
              <w:adjustRightInd/>
              <w:snapToGrid/>
              <w:spacing w:line="560" w:lineRule="exact"/>
              <w:jc w:val="center"/>
              <w:textAlignment w:val="auto"/>
              <w:rPr>
                <w:rFonts w:asciiTheme="minorEastAsia" w:hAnsiTheme="minorEastAsia" w:eastAsiaTheme="minorEastAsia"/>
                <w:bCs/>
                <w:color w:val="000000" w:themeColor="text1"/>
                <w:kern w:val="0"/>
                <w:sz w:val="28"/>
                <w:szCs w:val="28"/>
                <w:highlight w:val="none"/>
                <w14:textFill>
                  <w14:solidFill>
                    <w14:schemeClr w14:val="tx1"/>
                  </w14:solidFill>
                </w14:textFill>
              </w:rPr>
            </w:pPr>
            <w:r>
              <w:rPr>
                <w:rFonts w:hint="eastAsia" w:asciiTheme="minorEastAsia" w:hAnsiTheme="minorEastAsia" w:eastAsiaTheme="minorEastAsia"/>
                <w:bCs/>
                <w:color w:val="000000" w:themeColor="text1"/>
                <w:kern w:val="0"/>
                <w:sz w:val="28"/>
                <w:szCs w:val="28"/>
                <w:highlight w:val="none"/>
                <w14:textFill>
                  <w14:solidFill>
                    <w14:schemeClr w14:val="tx1"/>
                  </w14:solidFill>
                </w14:textFill>
              </w:rPr>
              <w:t>1</w:t>
            </w:r>
          </w:p>
        </w:tc>
        <w:tc>
          <w:tcPr>
            <w:tcW w:w="1500" w:type="dxa"/>
            <w:vAlign w:val="center"/>
          </w:tcPr>
          <w:p w14:paraId="26D4C833">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bCs/>
                <w:color w:val="000000" w:themeColor="text1"/>
                <w:kern w:val="0"/>
                <w:sz w:val="28"/>
                <w:szCs w:val="28"/>
                <w:highlight w:val="none"/>
                <w14:textFill>
                  <w14:solidFill>
                    <w14:schemeClr w14:val="tx1"/>
                  </w14:solidFill>
                </w14:textFill>
              </w:rPr>
            </w:pPr>
            <w:r>
              <w:rPr>
                <w:rFonts w:hint="eastAsia" w:asciiTheme="minorEastAsia" w:hAnsiTheme="minorEastAsia" w:eastAsiaTheme="minorEastAsia"/>
                <w:bCs/>
                <w:color w:val="000000" w:themeColor="text1"/>
                <w:kern w:val="0"/>
                <w:sz w:val="28"/>
                <w:szCs w:val="28"/>
                <w:highlight w:val="none"/>
                <w14:textFill>
                  <w14:solidFill>
                    <w14:schemeClr w14:val="tx1"/>
                  </w14:solidFill>
                </w14:textFill>
              </w:rPr>
              <w:t>业绩</w:t>
            </w:r>
          </w:p>
          <w:p w14:paraId="36234C44">
            <w:pPr>
              <w:keepNext w:val="0"/>
              <w:keepLines w:val="0"/>
              <w:pageBreakBefore w:val="0"/>
              <w:kinsoku/>
              <w:wordWrap/>
              <w:overflowPunct/>
              <w:topLinePunct w:val="0"/>
              <w:autoSpaceDE/>
              <w:autoSpaceDN/>
              <w:bidi w:val="0"/>
              <w:adjustRightInd/>
              <w:snapToGrid/>
              <w:spacing w:line="560" w:lineRule="exact"/>
              <w:jc w:val="center"/>
              <w:textAlignment w:val="auto"/>
              <w:rPr>
                <w:rFonts w:asciiTheme="minorEastAsia" w:hAnsiTheme="minorEastAsia" w:eastAsiaTheme="minorEastAsia"/>
                <w:bCs/>
                <w:color w:val="000000" w:themeColor="text1"/>
                <w:kern w:val="0"/>
                <w:sz w:val="28"/>
                <w:szCs w:val="28"/>
                <w:highlight w:val="none"/>
                <w14:textFill>
                  <w14:solidFill>
                    <w14:schemeClr w14:val="tx1"/>
                  </w14:solidFill>
                </w14:textFill>
              </w:rPr>
            </w:pPr>
            <w:r>
              <w:rPr>
                <w:rFonts w:hint="eastAsia" w:asciiTheme="minorEastAsia" w:hAnsiTheme="minorEastAsia" w:eastAsiaTheme="minorEastAsia"/>
                <w:bCs/>
                <w:color w:val="000000" w:themeColor="text1"/>
                <w:kern w:val="0"/>
                <w:sz w:val="28"/>
                <w:szCs w:val="28"/>
                <w:highlight w:val="none"/>
                <w14:textFill>
                  <w14:solidFill>
                    <w14:schemeClr w14:val="tx1"/>
                  </w14:solidFill>
                </w14:textFill>
              </w:rPr>
              <w:t>情况</w:t>
            </w:r>
          </w:p>
        </w:tc>
        <w:tc>
          <w:tcPr>
            <w:tcW w:w="6283" w:type="dxa"/>
          </w:tcPr>
          <w:p w14:paraId="1AB30342">
            <w:pPr>
              <w:keepNext w:val="0"/>
              <w:keepLines w:val="0"/>
              <w:pageBreakBefore w:val="0"/>
              <w:kinsoku/>
              <w:wordWrap/>
              <w:overflowPunct/>
              <w:topLinePunct w:val="0"/>
              <w:autoSpaceDE/>
              <w:autoSpaceDN/>
              <w:bidi w:val="0"/>
              <w:adjustRightInd/>
              <w:snapToGrid/>
              <w:spacing w:line="560" w:lineRule="exact"/>
              <w:textAlignment w:val="auto"/>
              <w:rPr>
                <w:rFonts w:asciiTheme="minorEastAsia" w:hAnsiTheme="minorEastAsia" w:eastAsiaTheme="minorEastAsia"/>
                <w:bCs/>
                <w:color w:val="000000" w:themeColor="text1"/>
                <w:kern w:val="0"/>
                <w:sz w:val="28"/>
                <w:szCs w:val="28"/>
                <w:highlight w:val="none"/>
                <w14:textFill>
                  <w14:solidFill>
                    <w14:schemeClr w14:val="tx1"/>
                  </w14:solidFill>
                </w14:textFill>
              </w:rPr>
            </w:pPr>
            <w:r>
              <w:rPr>
                <w:rFonts w:hint="eastAsia" w:asciiTheme="minorEastAsia" w:hAnsiTheme="minorEastAsia" w:eastAsiaTheme="minorEastAsia"/>
                <w:bCs/>
                <w:color w:val="000000" w:themeColor="text1"/>
                <w:kern w:val="0"/>
                <w:sz w:val="28"/>
                <w:szCs w:val="28"/>
                <w:highlight w:val="none"/>
                <w:shd w:val="clear"/>
                <w14:textFill>
                  <w14:solidFill>
                    <w14:schemeClr w14:val="tx1"/>
                  </w14:solidFill>
                </w14:textFill>
              </w:rPr>
              <w:t>近三年（202</w:t>
            </w:r>
            <w:r>
              <w:rPr>
                <w:rFonts w:hint="eastAsia" w:asciiTheme="minorEastAsia" w:hAnsiTheme="minorEastAsia" w:eastAsiaTheme="minorEastAsia"/>
                <w:bCs/>
                <w:color w:val="000000" w:themeColor="text1"/>
                <w:kern w:val="0"/>
                <w:sz w:val="28"/>
                <w:szCs w:val="28"/>
                <w:highlight w:val="none"/>
                <w:shd w:val="clear"/>
                <w:lang w:val="en-US" w:eastAsia="zh-CN"/>
                <w14:textFill>
                  <w14:solidFill>
                    <w14:schemeClr w14:val="tx1"/>
                  </w14:solidFill>
                </w14:textFill>
              </w:rPr>
              <w:t>2</w:t>
            </w:r>
            <w:r>
              <w:rPr>
                <w:rFonts w:hint="eastAsia" w:asciiTheme="minorEastAsia" w:hAnsiTheme="minorEastAsia" w:eastAsiaTheme="minorEastAsia"/>
                <w:bCs/>
                <w:color w:val="000000" w:themeColor="text1"/>
                <w:kern w:val="0"/>
                <w:sz w:val="28"/>
                <w:szCs w:val="28"/>
                <w:highlight w:val="none"/>
                <w:shd w:val="clear"/>
                <w14:textFill>
                  <w14:solidFill>
                    <w14:schemeClr w14:val="tx1"/>
                  </w14:solidFill>
                </w14:textFill>
              </w:rPr>
              <w:t>年</w:t>
            </w:r>
            <w:r>
              <w:rPr>
                <w:rFonts w:hint="eastAsia" w:asciiTheme="minorEastAsia" w:hAnsiTheme="minorEastAsia" w:eastAsiaTheme="minorEastAsia"/>
                <w:bCs/>
                <w:color w:val="000000" w:themeColor="text1"/>
                <w:kern w:val="0"/>
                <w:sz w:val="28"/>
                <w:szCs w:val="28"/>
                <w:highlight w:val="none"/>
                <w:shd w:val="clear"/>
                <w:lang w:val="en-US" w:eastAsia="zh-CN"/>
                <w14:textFill>
                  <w14:solidFill>
                    <w14:schemeClr w14:val="tx1"/>
                  </w14:solidFill>
                </w14:textFill>
              </w:rPr>
              <w:t>1月1日</w:t>
            </w:r>
            <w:r>
              <w:rPr>
                <w:rFonts w:hint="eastAsia" w:asciiTheme="minorEastAsia" w:hAnsiTheme="minorEastAsia" w:eastAsiaTheme="minorEastAsia"/>
                <w:bCs/>
                <w:color w:val="000000" w:themeColor="text1"/>
                <w:kern w:val="0"/>
                <w:sz w:val="28"/>
                <w:szCs w:val="28"/>
                <w:highlight w:val="none"/>
                <w:shd w:val="clear"/>
                <w14:textFill>
                  <w14:solidFill>
                    <w14:schemeClr w14:val="tx1"/>
                  </w14:solidFill>
                </w14:textFill>
              </w:rPr>
              <w:t>-至今）</w:t>
            </w:r>
            <w:r>
              <w:rPr>
                <w:rFonts w:hint="eastAsia" w:asciiTheme="minorEastAsia" w:hAnsiTheme="minorEastAsia" w:eastAsiaTheme="minorEastAsia"/>
                <w:bCs/>
                <w:color w:val="000000" w:themeColor="text1"/>
                <w:kern w:val="0"/>
                <w:sz w:val="28"/>
                <w:szCs w:val="28"/>
                <w:highlight w:val="none"/>
                <w14:textFill>
                  <w14:solidFill>
                    <w14:schemeClr w14:val="tx1"/>
                  </w14:solidFill>
                </w14:textFill>
              </w:rPr>
              <w:t>内具有良好的类似业绩，并提供证明材料（中标通知书或合同），每提供一项业绩得2分，最高得4分。</w:t>
            </w:r>
          </w:p>
        </w:tc>
        <w:tc>
          <w:tcPr>
            <w:tcW w:w="1088" w:type="dxa"/>
            <w:vAlign w:val="center"/>
          </w:tcPr>
          <w:p w14:paraId="772042D2">
            <w:pPr>
              <w:keepNext w:val="0"/>
              <w:keepLines w:val="0"/>
              <w:pageBreakBefore w:val="0"/>
              <w:kinsoku/>
              <w:wordWrap/>
              <w:overflowPunct/>
              <w:topLinePunct w:val="0"/>
              <w:autoSpaceDE/>
              <w:autoSpaceDN/>
              <w:bidi w:val="0"/>
              <w:adjustRightInd/>
              <w:snapToGrid/>
              <w:spacing w:line="560" w:lineRule="exact"/>
              <w:jc w:val="center"/>
              <w:textAlignment w:val="auto"/>
              <w:rPr>
                <w:rFonts w:asciiTheme="minorEastAsia" w:hAnsiTheme="minorEastAsia" w:eastAsiaTheme="minorEastAsia"/>
                <w:bCs/>
                <w:color w:val="000000" w:themeColor="text1"/>
                <w:kern w:val="0"/>
                <w:sz w:val="28"/>
                <w:szCs w:val="28"/>
                <w:highlight w:val="none"/>
                <w14:textFill>
                  <w14:solidFill>
                    <w14:schemeClr w14:val="tx1"/>
                  </w14:solidFill>
                </w14:textFill>
              </w:rPr>
            </w:pPr>
            <w:r>
              <w:rPr>
                <w:rFonts w:hint="eastAsia" w:asciiTheme="minorEastAsia" w:hAnsiTheme="minorEastAsia" w:eastAsiaTheme="minorEastAsia"/>
                <w:bCs/>
                <w:color w:val="000000" w:themeColor="text1"/>
                <w:kern w:val="0"/>
                <w:sz w:val="28"/>
                <w:szCs w:val="28"/>
                <w:highlight w:val="none"/>
                <w14:textFill>
                  <w14:solidFill>
                    <w14:schemeClr w14:val="tx1"/>
                  </w14:solidFill>
                </w14:textFill>
              </w:rPr>
              <w:t>4</w:t>
            </w:r>
          </w:p>
        </w:tc>
      </w:tr>
      <w:tr w14:paraId="60AD3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 w:type="dxa"/>
            <w:vAlign w:val="center"/>
          </w:tcPr>
          <w:p w14:paraId="5DFD30F6">
            <w:pPr>
              <w:keepNext w:val="0"/>
              <w:keepLines w:val="0"/>
              <w:pageBreakBefore w:val="0"/>
              <w:kinsoku/>
              <w:wordWrap/>
              <w:overflowPunct/>
              <w:topLinePunct w:val="0"/>
              <w:autoSpaceDE/>
              <w:autoSpaceDN/>
              <w:bidi w:val="0"/>
              <w:adjustRightInd/>
              <w:snapToGrid/>
              <w:spacing w:line="560" w:lineRule="exact"/>
              <w:jc w:val="center"/>
              <w:textAlignment w:val="auto"/>
              <w:rPr>
                <w:rFonts w:asciiTheme="minorEastAsia" w:hAnsiTheme="minorEastAsia" w:eastAsiaTheme="minorEastAsia"/>
                <w:bCs/>
                <w:color w:val="000000" w:themeColor="text1"/>
                <w:kern w:val="0"/>
                <w:sz w:val="28"/>
                <w:szCs w:val="28"/>
                <w:highlight w:val="none"/>
                <w14:textFill>
                  <w14:solidFill>
                    <w14:schemeClr w14:val="tx1"/>
                  </w14:solidFill>
                </w14:textFill>
              </w:rPr>
            </w:pPr>
            <w:r>
              <w:rPr>
                <w:rFonts w:hint="eastAsia" w:asciiTheme="minorEastAsia" w:hAnsiTheme="minorEastAsia" w:eastAsiaTheme="minorEastAsia"/>
                <w:bCs/>
                <w:color w:val="000000" w:themeColor="text1"/>
                <w:kern w:val="0"/>
                <w:sz w:val="28"/>
                <w:szCs w:val="28"/>
                <w:highlight w:val="none"/>
                <w14:textFill>
                  <w14:solidFill>
                    <w14:schemeClr w14:val="tx1"/>
                  </w14:solidFill>
                </w14:textFill>
              </w:rPr>
              <w:t>2</w:t>
            </w:r>
          </w:p>
        </w:tc>
        <w:tc>
          <w:tcPr>
            <w:tcW w:w="1500" w:type="dxa"/>
            <w:vAlign w:val="center"/>
          </w:tcPr>
          <w:p w14:paraId="1DDE95EF">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cs="Times New Roman" w:asciiTheme="minorEastAsia" w:hAnsiTheme="minorEastAsia" w:eastAsiaTheme="minorEastAsia"/>
                <w:bCs/>
                <w:color w:val="000000" w:themeColor="text1"/>
                <w:kern w:val="0"/>
                <w:sz w:val="28"/>
                <w:szCs w:val="28"/>
                <w:highlight w:val="none"/>
                <w14:textFill>
                  <w14:solidFill>
                    <w14:schemeClr w14:val="tx1"/>
                  </w14:solidFill>
                </w14:textFill>
              </w:rPr>
            </w:pPr>
            <w:r>
              <w:rPr>
                <w:rFonts w:hint="eastAsia" w:cs="Times New Roman" w:asciiTheme="minorEastAsia" w:hAnsiTheme="minorEastAsia" w:eastAsiaTheme="minorEastAsia"/>
                <w:bCs/>
                <w:color w:val="000000" w:themeColor="text1"/>
                <w:kern w:val="0"/>
                <w:sz w:val="28"/>
                <w:szCs w:val="28"/>
                <w:highlight w:val="none"/>
                <w:lang w:val="en-US" w:eastAsia="zh-CN"/>
                <w14:textFill>
                  <w14:solidFill>
                    <w14:schemeClr w14:val="tx1"/>
                  </w14:solidFill>
                </w14:textFill>
              </w:rPr>
              <w:t>项目负责人要求</w:t>
            </w:r>
          </w:p>
        </w:tc>
        <w:tc>
          <w:tcPr>
            <w:tcW w:w="6283" w:type="dxa"/>
            <w:vAlign w:val="center"/>
          </w:tcPr>
          <w:p w14:paraId="67298973">
            <w:pPr>
              <w:keepNext w:val="0"/>
              <w:keepLines w:val="0"/>
              <w:pageBreakBefore w:val="0"/>
              <w:kinsoku/>
              <w:wordWrap/>
              <w:overflowPunct/>
              <w:topLinePunct w:val="0"/>
              <w:autoSpaceDE/>
              <w:autoSpaceDN/>
              <w:bidi w:val="0"/>
              <w:adjustRightInd/>
              <w:snapToGrid/>
              <w:spacing w:line="560" w:lineRule="exact"/>
              <w:jc w:val="both"/>
              <w:textAlignment w:val="auto"/>
              <w:rPr>
                <w:rFonts w:hint="default" w:cs="Times New Roman" w:asciiTheme="minorEastAsia" w:hAnsiTheme="minorEastAsia" w:eastAsiaTheme="minorEastAsia"/>
                <w:bCs/>
                <w:color w:val="000000" w:themeColor="text1"/>
                <w:kern w:val="0"/>
                <w:sz w:val="28"/>
                <w:szCs w:val="28"/>
                <w:highlight w:val="none"/>
                <w:lang w:val="en-US" w:eastAsia="zh-CN"/>
                <w14:textFill>
                  <w14:solidFill>
                    <w14:schemeClr w14:val="tx1"/>
                  </w14:solidFill>
                </w14:textFill>
              </w:rPr>
            </w:pPr>
            <w:r>
              <w:rPr>
                <w:rFonts w:hint="eastAsia" w:cs="Times New Roman" w:asciiTheme="minorEastAsia" w:hAnsiTheme="minorEastAsia" w:eastAsiaTheme="minorEastAsia"/>
                <w:bCs/>
                <w:color w:val="000000" w:themeColor="text1"/>
                <w:kern w:val="0"/>
                <w:sz w:val="28"/>
                <w:szCs w:val="28"/>
                <w:highlight w:val="none"/>
                <w14:textFill>
                  <w14:solidFill>
                    <w14:schemeClr w14:val="tx1"/>
                  </w14:solidFill>
                </w14:textFill>
              </w:rPr>
              <w:t>针对本项目指派一名项目负责人，与采购人保持经常性联系，负责安排及全面督导项目的供货、安装、验收及移交工作，以减少交流的中间环节，得</w:t>
            </w:r>
            <w:r>
              <w:rPr>
                <w:rFonts w:hint="eastAsia" w:cs="Times New Roman" w:asciiTheme="minorEastAsia" w:hAnsiTheme="minorEastAsia" w:eastAsiaTheme="minorEastAsia"/>
                <w:bCs/>
                <w:color w:val="000000" w:themeColor="text1"/>
                <w:kern w:val="0"/>
                <w:sz w:val="28"/>
                <w:szCs w:val="28"/>
                <w:highlight w:val="none"/>
                <w:lang w:val="en-US" w:eastAsia="zh-CN"/>
                <w14:textFill>
                  <w14:solidFill>
                    <w14:schemeClr w14:val="tx1"/>
                  </w14:solidFill>
                </w14:textFill>
              </w:rPr>
              <w:t>3</w:t>
            </w:r>
            <w:r>
              <w:rPr>
                <w:rFonts w:hint="eastAsia" w:cs="Times New Roman" w:asciiTheme="minorEastAsia" w:hAnsiTheme="minorEastAsia" w:eastAsiaTheme="minorEastAsia"/>
                <w:bCs/>
                <w:color w:val="000000" w:themeColor="text1"/>
                <w:kern w:val="0"/>
                <w:sz w:val="28"/>
                <w:szCs w:val="28"/>
                <w:highlight w:val="none"/>
                <w14:textFill>
                  <w14:solidFill>
                    <w14:schemeClr w14:val="tx1"/>
                  </w14:solidFill>
                </w14:textFill>
              </w:rPr>
              <w:t>分；否则不得分。</w:t>
            </w:r>
            <w:r>
              <w:rPr>
                <w:rFonts w:hint="eastAsia" w:cs="Times New Roman" w:asciiTheme="minorEastAsia" w:hAnsiTheme="minorEastAsia" w:eastAsiaTheme="minorEastAsia"/>
                <w:bCs/>
                <w:color w:val="000000" w:themeColor="text1"/>
                <w:kern w:val="0"/>
                <w:sz w:val="28"/>
                <w:szCs w:val="28"/>
                <w:highlight w:val="none"/>
                <w:lang w:val="en-US" w:eastAsia="zh-CN"/>
                <w14:textFill>
                  <w14:solidFill>
                    <w14:schemeClr w14:val="tx1"/>
                  </w14:solidFill>
                </w14:textFill>
              </w:rPr>
              <w:t>注：需提供项目负责人由本单位缴纳的近半年任意一个月的社保证明材料，不提供不得分。</w:t>
            </w:r>
          </w:p>
        </w:tc>
        <w:tc>
          <w:tcPr>
            <w:tcW w:w="1088" w:type="dxa"/>
            <w:vAlign w:val="center"/>
          </w:tcPr>
          <w:p w14:paraId="5D12D84A">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bCs/>
                <w:color w:val="000000" w:themeColor="text1"/>
                <w:kern w:val="0"/>
                <w:sz w:val="28"/>
                <w:szCs w:val="28"/>
                <w:highlight w:val="none"/>
                <w:lang w:eastAsia="zh-CN"/>
                <w14:textFill>
                  <w14:solidFill>
                    <w14:schemeClr w14:val="tx1"/>
                  </w14:solidFill>
                </w14:textFill>
              </w:rPr>
            </w:pPr>
            <w:r>
              <w:rPr>
                <w:rFonts w:hint="eastAsia" w:asciiTheme="minorEastAsia" w:hAnsiTheme="minorEastAsia" w:eastAsiaTheme="minorEastAsia"/>
                <w:bCs/>
                <w:color w:val="000000" w:themeColor="text1"/>
                <w:kern w:val="0"/>
                <w:sz w:val="28"/>
                <w:szCs w:val="28"/>
                <w:highlight w:val="none"/>
                <w:lang w:val="en-US" w:eastAsia="zh-CN"/>
                <w14:textFill>
                  <w14:solidFill>
                    <w14:schemeClr w14:val="tx1"/>
                  </w14:solidFill>
                </w14:textFill>
              </w:rPr>
              <w:t>3</w:t>
            </w:r>
          </w:p>
        </w:tc>
      </w:tr>
      <w:tr w14:paraId="50293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gridSpan w:val="4"/>
            <w:vAlign w:val="center"/>
          </w:tcPr>
          <w:p w14:paraId="0364EB6D">
            <w:pPr>
              <w:keepNext w:val="0"/>
              <w:keepLines w:val="0"/>
              <w:pageBreakBefore w:val="0"/>
              <w:kinsoku/>
              <w:wordWrap/>
              <w:overflowPunct/>
              <w:topLinePunct w:val="0"/>
              <w:autoSpaceDE/>
              <w:autoSpaceDN/>
              <w:bidi w:val="0"/>
              <w:adjustRightInd/>
              <w:snapToGrid/>
              <w:spacing w:line="560" w:lineRule="exact"/>
              <w:jc w:val="left"/>
              <w:textAlignment w:val="auto"/>
              <w:rPr>
                <w:rFonts w:asciiTheme="minorEastAsia" w:hAnsiTheme="minorEastAsia" w:eastAsiaTheme="minorEastAsia"/>
                <w:bCs/>
                <w:color w:val="000000" w:themeColor="text1"/>
                <w:kern w:val="0"/>
                <w:sz w:val="28"/>
                <w:szCs w:val="28"/>
                <w:highlight w:val="none"/>
                <w14:textFill>
                  <w14:solidFill>
                    <w14:schemeClr w14:val="tx1"/>
                  </w14:solidFill>
                </w14:textFill>
              </w:rPr>
            </w:pPr>
            <w:r>
              <w:rPr>
                <w:rFonts w:hint="eastAsia" w:asciiTheme="minorEastAsia" w:hAnsiTheme="minorEastAsia" w:eastAsiaTheme="minorEastAsia"/>
                <w:bCs/>
                <w:color w:val="000000" w:themeColor="text1"/>
                <w:kern w:val="0"/>
                <w:sz w:val="28"/>
                <w:szCs w:val="28"/>
                <w:highlight w:val="none"/>
                <w14:textFill>
                  <w14:solidFill>
                    <w14:schemeClr w14:val="tx1"/>
                  </w14:solidFill>
                </w14:textFill>
              </w:rPr>
              <w:t>技术部分（</w:t>
            </w:r>
            <w:r>
              <w:rPr>
                <w:rFonts w:hint="eastAsia" w:asciiTheme="minorEastAsia" w:hAnsiTheme="minorEastAsia" w:eastAsiaTheme="minorEastAsia"/>
                <w:bCs/>
                <w:color w:val="000000" w:themeColor="text1"/>
                <w:kern w:val="0"/>
                <w:sz w:val="28"/>
                <w:szCs w:val="28"/>
                <w:highlight w:val="none"/>
                <w:lang w:val="en-US" w:eastAsia="zh-CN"/>
                <w14:textFill>
                  <w14:solidFill>
                    <w14:schemeClr w14:val="tx1"/>
                  </w14:solidFill>
                </w14:textFill>
              </w:rPr>
              <w:t>64</w:t>
            </w:r>
            <w:r>
              <w:rPr>
                <w:rFonts w:hint="eastAsia" w:asciiTheme="minorEastAsia" w:hAnsiTheme="minorEastAsia" w:eastAsiaTheme="minorEastAsia"/>
                <w:bCs/>
                <w:color w:val="000000" w:themeColor="text1"/>
                <w:kern w:val="0"/>
                <w:sz w:val="28"/>
                <w:szCs w:val="28"/>
                <w:highlight w:val="none"/>
                <w14:textFill>
                  <w14:solidFill>
                    <w14:schemeClr w14:val="tx1"/>
                  </w14:solidFill>
                </w14:textFill>
              </w:rPr>
              <w:t>分）</w:t>
            </w:r>
          </w:p>
        </w:tc>
      </w:tr>
      <w:tr w14:paraId="0D7DB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 w:type="dxa"/>
            <w:vAlign w:val="center"/>
          </w:tcPr>
          <w:p w14:paraId="243EE566">
            <w:pPr>
              <w:keepNext w:val="0"/>
              <w:keepLines w:val="0"/>
              <w:pageBreakBefore w:val="0"/>
              <w:kinsoku/>
              <w:wordWrap/>
              <w:overflowPunct/>
              <w:topLinePunct w:val="0"/>
              <w:autoSpaceDE/>
              <w:autoSpaceDN/>
              <w:bidi w:val="0"/>
              <w:adjustRightInd/>
              <w:snapToGrid/>
              <w:spacing w:line="560" w:lineRule="exact"/>
              <w:jc w:val="center"/>
              <w:textAlignment w:val="auto"/>
              <w:rPr>
                <w:rFonts w:asciiTheme="minorEastAsia" w:hAnsiTheme="minorEastAsia" w:eastAsiaTheme="minorEastAsia"/>
                <w:bCs/>
                <w:color w:val="000000" w:themeColor="text1"/>
                <w:kern w:val="0"/>
                <w:sz w:val="28"/>
                <w:szCs w:val="28"/>
                <w:highlight w:val="none"/>
                <w14:textFill>
                  <w14:solidFill>
                    <w14:schemeClr w14:val="tx1"/>
                  </w14:solidFill>
                </w14:textFill>
              </w:rPr>
            </w:pPr>
            <w:r>
              <w:rPr>
                <w:rFonts w:hint="eastAsia" w:asciiTheme="minorEastAsia" w:hAnsiTheme="minorEastAsia" w:eastAsiaTheme="minorEastAsia"/>
                <w:bCs/>
                <w:color w:val="000000" w:themeColor="text1"/>
                <w:kern w:val="0"/>
                <w:sz w:val="28"/>
                <w:szCs w:val="28"/>
                <w:highlight w:val="none"/>
                <w14:textFill>
                  <w14:solidFill>
                    <w14:schemeClr w14:val="tx1"/>
                  </w14:solidFill>
                </w14:textFill>
              </w:rPr>
              <w:t>1</w:t>
            </w:r>
          </w:p>
        </w:tc>
        <w:tc>
          <w:tcPr>
            <w:tcW w:w="1500" w:type="dxa"/>
            <w:vAlign w:val="center"/>
          </w:tcPr>
          <w:p w14:paraId="0B78A751">
            <w:pPr>
              <w:pageBreakBefore w:val="0"/>
              <w:kinsoku/>
              <w:wordWrap/>
              <w:overflowPunct/>
              <w:topLinePunct w:val="0"/>
              <w:autoSpaceDE/>
              <w:autoSpaceDN/>
              <w:bidi w:val="0"/>
              <w:spacing w:line="560" w:lineRule="exact"/>
              <w:jc w:val="center"/>
              <w:textAlignment w:val="auto"/>
              <w:rPr>
                <w:rFonts w:asciiTheme="minorEastAsia" w:hAnsiTheme="minorEastAsia" w:eastAsiaTheme="minorEastAsia"/>
                <w:bCs/>
                <w:color w:val="000000" w:themeColor="text1"/>
                <w:kern w:val="0"/>
                <w:sz w:val="28"/>
                <w:szCs w:val="28"/>
                <w:highlight w:val="none"/>
                <w14:textFill>
                  <w14:solidFill>
                    <w14:schemeClr w14:val="tx1"/>
                  </w14:solidFill>
                </w14:textFill>
              </w:rPr>
            </w:pPr>
            <w:r>
              <w:rPr>
                <w:rFonts w:hint="eastAsia" w:ascii="宋体" w:hAnsi="宋体" w:eastAsia="宋体" w:cs="宋体"/>
                <w:color w:val="000000" w:themeColor="text1"/>
                <w:kern w:val="0"/>
                <w:sz w:val="28"/>
                <w:szCs w:val="28"/>
                <w:highlight w:val="none"/>
                <w14:textFill>
                  <w14:solidFill>
                    <w14:schemeClr w14:val="tx1"/>
                  </w14:solidFill>
                </w14:textFill>
              </w:rPr>
              <w:t>功能指标及技术参数要求</w:t>
            </w:r>
          </w:p>
        </w:tc>
        <w:tc>
          <w:tcPr>
            <w:tcW w:w="6283" w:type="dxa"/>
            <w:vAlign w:val="center"/>
          </w:tcPr>
          <w:p w14:paraId="0946FEAE">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000000" w:themeColor="text1"/>
                <w:kern w:val="0"/>
                <w:sz w:val="28"/>
                <w:szCs w:val="28"/>
                <w:highlight w:val="none"/>
                <w14:textFill>
                  <w14:solidFill>
                    <w14:schemeClr w14:val="tx1"/>
                  </w14:solidFill>
                </w14:textFill>
              </w:rPr>
            </w:pPr>
            <w:r>
              <w:rPr>
                <w:rFonts w:hint="eastAsia" w:ascii="宋体" w:hAnsi="宋体" w:eastAsia="宋体" w:cs="宋体"/>
                <w:color w:val="000000" w:themeColor="text1"/>
                <w:kern w:val="0"/>
                <w:sz w:val="28"/>
                <w:szCs w:val="28"/>
                <w:highlight w:val="none"/>
                <w14:textFill>
                  <w14:solidFill>
                    <w14:schemeClr w14:val="tx1"/>
                  </w14:solidFill>
                </w14:textFill>
              </w:rPr>
              <w:t>对照第</w:t>
            </w:r>
            <w:r>
              <w:rPr>
                <w:rFonts w:hint="eastAsia" w:ascii="宋体" w:hAnsi="宋体" w:eastAsia="宋体" w:cs="宋体"/>
                <w:color w:val="000000" w:themeColor="text1"/>
                <w:kern w:val="0"/>
                <w:sz w:val="28"/>
                <w:szCs w:val="28"/>
                <w:highlight w:val="none"/>
                <w:lang w:val="en-US" w:eastAsia="zh-CN"/>
                <w14:textFill>
                  <w14:solidFill>
                    <w14:schemeClr w14:val="tx1"/>
                  </w14:solidFill>
                </w14:textFill>
              </w:rPr>
              <w:t>三</w:t>
            </w:r>
            <w:r>
              <w:rPr>
                <w:rFonts w:hint="eastAsia" w:ascii="宋体" w:hAnsi="宋体" w:eastAsia="宋体" w:cs="宋体"/>
                <w:color w:val="000000" w:themeColor="text1"/>
                <w:kern w:val="0"/>
                <w:sz w:val="28"/>
                <w:szCs w:val="28"/>
                <w:highlight w:val="none"/>
                <w14:textFill>
                  <w14:solidFill>
                    <w14:schemeClr w14:val="tx1"/>
                  </w14:solidFill>
                </w14:textFill>
              </w:rPr>
              <w:t>章“</w:t>
            </w:r>
            <w:r>
              <w:rPr>
                <w:rFonts w:hint="eastAsia" w:ascii="宋体" w:hAnsi="宋体" w:eastAsia="宋体" w:cs="宋体"/>
                <w:color w:val="000000" w:themeColor="text1"/>
                <w:kern w:val="0"/>
                <w:sz w:val="28"/>
                <w:szCs w:val="28"/>
                <w:highlight w:val="none"/>
                <w:lang w:val="en-US" w:eastAsia="zh-CN"/>
                <w14:textFill>
                  <w14:solidFill>
                    <w14:schemeClr w14:val="tx1"/>
                  </w14:solidFill>
                </w14:textFill>
              </w:rPr>
              <w:t>采购</w:t>
            </w:r>
            <w:r>
              <w:rPr>
                <w:rFonts w:hint="eastAsia" w:ascii="宋体" w:hAnsi="宋体" w:eastAsia="宋体" w:cs="宋体"/>
                <w:color w:val="000000" w:themeColor="text1"/>
                <w:kern w:val="0"/>
                <w:sz w:val="28"/>
                <w:szCs w:val="28"/>
                <w:highlight w:val="none"/>
                <w14:textFill>
                  <w14:solidFill>
                    <w14:schemeClr w14:val="tx1"/>
                  </w14:solidFill>
                </w14:textFill>
              </w:rPr>
              <w:t>需求”的技术参数（每条技术参数前标注“★”的为核心技术参数，未标注的为一般参数），根据投标人提供的产品配置及技术性能指标的响应情况进行评审。</w:t>
            </w:r>
          </w:p>
          <w:p w14:paraId="09F0EF11">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宋体" w:hAnsi="宋体" w:eastAsia="宋体" w:cs="宋体"/>
                <w:color w:val="000000" w:themeColor="text1"/>
                <w:kern w:val="0"/>
                <w:sz w:val="28"/>
                <w:szCs w:val="28"/>
                <w:highlight w:val="none"/>
                <w:lang w:val="en-US" w:eastAsia="zh-CN"/>
                <w14:textFill>
                  <w14:solidFill>
                    <w14:schemeClr w14:val="tx1"/>
                  </w14:solidFill>
                </w14:textFill>
              </w:rPr>
            </w:pPr>
            <w:r>
              <w:rPr>
                <w:rFonts w:hint="eastAsia" w:ascii="宋体" w:hAnsi="宋体" w:eastAsia="宋体" w:cs="宋体"/>
                <w:color w:val="000000" w:themeColor="text1"/>
                <w:kern w:val="0"/>
                <w:sz w:val="28"/>
                <w:szCs w:val="28"/>
                <w:highlight w:val="none"/>
                <w:lang w:val="en-US" w:eastAsia="zh-CN"/>
                <w14:textFill>
                  <w14:solidFill>
                    <w14:schemeClr w14:val="tx1"/>
                  </w14:solidFill>
                </w14:textFill>
              </w:rPr>
              <w:t xml:space="preserve">   </w:t>
            </w:r>
            <w:r>
              <w:rPr>
                <w:rFonts w:hint="eastAsia" w:ascii="宋体" w:hAnsi="宋体" w:eastAsia="宋体" w:cs="宋体"/>
                <w:color w:val="000000" w:themeColor="text1"/>
                <w:kern w:val="0"/>
                <w:sz w:val="28"/>
                <w:szCs w:val="28"/>
                <w:highlight w:val="none"/>
                <w14:textFill>
                  <w14:solidFill>
                    <w14:schemeClr w14:val="tx1"/>
                  </w14:solidFill>
                </w14:textFill>
              </w:rPr>
              <w:t>1.本标</w:t>
            </w:r>
            <w:r>
              <w:rPr>
                <w:rFonts w:hint="eastAsia" w:ascii="宋体" w:hAnsi="宋体" w:cs="宋体"/>
                <w:color w:val="000000" w:themeColor="text1"/>
                <w:kern w:val="0"/>
                <w:sz w:val="28"/>
                <w:szCs w:val="28"/>
                <w:highlight w:val="none"/>
                <w:lang w:eastAsia="zh-CN"/>
                <w14:textFill>
                  <w14:solidFill>
                    <w14:schemeClr w14:val="tx1"/>
                  </w14:solidFill>
                </w14:textFill>
              </w:rPr>
              <w:t>项</w:t>
            </w:r>
            <w:r>
              <w:rPr>
                <w:rFonts w:hint="eastAsia" w:ascii="宋体" w:hAnsi="宋体" w:cs="宋体"/>
                <w:color w:val="000000" w:themeColor="text1"/>
                <w:kern w:val="0"/>
                <w:sz w:val="28"/>
                <w:szCs w:val="28"/>
                <w:highlight w:val="none"/>
                <w:lang w:val="en-US" w:eastAsia="zh-CN"/>
                <w14:textFill>
                  <w14:solidFill>
                    <w14:schemeClr w14:val="tx1"/>
                  </w14:solidFill>
                </w14:textFill>
              </w:rPr>
              <w:t>1</w:t>
            </w:r>
            <w:r>
              <w:rPr>
                <w:rFonts w:hint="eastAsia" w:ascii="宋体" w:hAnsi="宋体" w:eastAsia="宋体" w:cs="宋体"/>
                <w:color w:val="000000" w:themeColor="text1"/>
                <w:kern w:val="0"/>
                <w:sz w:val="28"/>
                <w:szCs w:val="28"/>
                <w:highlight w:val="none"/>
                <w14:textFill>
                  <w14:solidFill>
                    <w14:schemeClr w14:val="tx1"/>
                  </w14:solidFill>
                </w14:textFill>
              </w:rPr>
              <w:t>种产品，投标人投产品技术参数完全响应招标文件要求的，得</w:t>
            </w:r>
            <w:r>
              <w:rPr>
                <w:rFonts w:hint="eastAsia" w:ascii="宋体" w:hAnsi="宋体" w:cs="宋体"/>
                <w:color w:val="000000" w:themeColor="text1"/>
                <w:kern w:val="0"/>
                <w:sz w:val="28"/>
                <w:szCs w:val="28"/>
                <w:highlight w:val="none"/>
                <w:lang w:val="en-US" w:eastAsia="zh-CN"/>
                <w14:textFill>
                  <w14:solidFill>
                    <w14:schemeClr w14:val="tx1"/>
                  </w14:solidFill>
                </w14:textFill>
              </w:rPr>
              <w:t>36</w:t>
            </w:r>
            <w:r>
              <w:rPr>
                <w:rFonts w:hint="eastAsia" w:ascii="宋体" w:hAnsi="宋体" w:eastAsia="宋体" w:cs="宋体"/>
                <w:color w:val="000000" w:themeColor="text1"/>
                <w:kern w:val="0"/>
                <w:sz w:val="28"/>
                <w:szCs w:val="28"/>
                <w:highlight w:val="none"/>
                <w14:textFill>
                  <w14:solidFill>
                    <w14:schemeClr w14:val="tx1"/>
                  </w14:solidFill>
                </w14:textFill>
              </w:rPr>
              <w:t>分；</w:t>
            </w:r>
          </w:p>
          <w:p w14:paraId="63D09620">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default" w:ascii="宋体" w:hAnsi="宋体" w:eastAsia="宋体" w:cs="宋体"/>
                <w:color w:val="000000" w:themeColor="text1"/>
                <w:kern w:val="0"/>
                <w:sz w:val="28"/>
                <w:szCs w:val="28"/>
                <w:highlight w:val="none"/>
                <w:lang w:val="en-US" w:eastAsia="zh-CN"/>
                <w14:textFill>
                  <w14:solidFill>
                    <w14:schemeClr w14:val="tx1"/>
                  </w14:solidFill>
                </w14:textFill>
              </w:rPr>
            </w:pPr>
            <w:r>
              <w:rPr>
                <w:rFonts w:hint="eastAsia" w:ascii="宋体" w:hAnsi="宋体" w:eastAsia="宋体" w:cs="宋体"/>
                <w:color w:val="000000" w:themeColor="text1"/>
                <w:kern w:val="0"/>
                <w:sz w:val="28"/>
                <w:szCs w:val="28"/>
                <w:highlight w:val="none"/>
                <w:lang w:val="en-US" w:eastAsia="zh-CN"/>
                <w14:textFill>
                  <w14:solidFill>
                    <w14:schemeClr w14:val="tx1"/>
                  </w14:solidFill>
                </w14:textFill>
              </w:rPr>
              <w:t>2.</w:t>
            </w:r>
            <w:r>
              <w:rPr>
                <w:rFonts w:hint="eastAsia" w:ascii="宋体" w:hAnsi="宋体" w:cs="宋体"/>
                <w:color w:val="000000" w:themeColor="text1"/>
                <w:kern w:val="0"/>
                <w:sz w:val="28"/>
                <w:szCs w:val="28"/>
                <w:highlight w:val="none"/>
                <w:lang w:val="en-US" w:eastAsia="zh-CN"/>
                <w14:textFill>
                  <w14:solidFill>
                    <w14:schemeClr w14:val="tx1"/>
                  </w14:solidFill>
                </w14:textFill>
              </w:rPr>
              <w:t>所投</w:t>
            </w:r>
            <w:r>
              <w:rPr>
                <w:rFonts w:hint="eastAsia" w:ascii="宋体" w:hAnsi="宋体" w:eastAsia="宋体" w:cs="宋体"/>
                <w:color w:val="000000" w:themeColor="text1"/>
                <w:kern w:val="0"/>
                <w:sz w:val="28"/>
                <w:szCs w:val="28"/>
                <w:highlight w:val="none"/>
                <w:lang w:val="en-US" w:eastAsia="zh-CN"/>
                <w14:textFill>
                  <w14:solidFill>
                    <w14:schemeClr w14:val="tx1"/>
                  </w14:solidFill>
                </w14:textFill>
              </w:rPr>
              <w:t>产品核心技术参数存在负偏离的,</w:t>
            </w:r>
            <w:r>
              <w:rPr>
                <w:rFonts w:hint="eastAsia" w:ascii="宋体" w:hAnsi="宋体" w:cs="宋体"/>
                <w:color w:val="000000" w:themeColor="text1"/>
                <w:kern w:val="0"/>
                <w:sz w:val="28"/>
                <w:szCs w:val="28"/>
                <w:highlight w:val="none"/>
                <w:lang w:val="en-US" w:eastAsia="zh-CN"/>
                <w14:textFill>
                  <w14:solidFill>
                    <w14:schemeClr w14:val="tx1"/>
                  </w14:solidFill>
                </w14:textFill>
              </w:rPr>
              <w:t>每有一项扣36分。</w:t>
            </w:r>
          </w:p>
          <w:p w14:paraId="38161520">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宋体" w:hAnsi="宋体" w:eastAsia="宋体" w:cs="宋体"/>
                <w:color w:val="000000" w:themeColor="text1"/>
                <w:kern w:val="0"/>
                <w:sz w:val="28"/>
                <w:szCs w:val="28"/>
                <w:highlight w:val="none"/>
                <w:lang w:val="en-US" w:eastAsia="zh-CN"/>
                <w14:textFill>
                  <w14:solidFill>
                    <w14:schemeClr w14:val="tx1"/>
                  </w14:solidFill>
                </w14:textFill>
              </w:rPr>
            </w:pPr>
            <w:r>
              <w:rPr>
                <w:rFonts w:hint="eastAsia" w:ascii="宋体" w:hAnsi="宋体" w:eastAsia="宋体" w:cs="宋体"/>
                <w:color w:val="000000" w:themeColor="text1"/>
                <w:kern w:val="0"/>
                <w:sz w:val="28"/>
                <w:szCs w:val="28"/>
                <w:highlight w:val="none"/>
                <w:lang w:val="en-US" w:eastAsia="zh-CN"/>
                <w14:textFill>
                  <w14:solidFill>
                    <w14:schemeClr w14:val="tx1"/>
                  </w14:solidFill>
                </w14:textFill>
              </w:rPr>
              <w:t>3.</w:t>
            </w:r>
            <w:r>
              <w:rPr>
                <w:rFonts w:hint="eastAsia" w:ascii="宋体" w:hAnsi="宋体" w:cs="宋体"/>
                <w:color w:val="000000" w:themeColor="text1"/>
                <w:kern w:val="0"/>
                <w:sz w:val="28"/>
                <w:szCs w:val="28"/>
                <w:highlight w:val="none"/>
                <w:lang w:val="en-US" w:eastAsia="zh-CN"/>
                <w14:textFill>
                  <w14:solidFill>
                    <w14:schemeClr w14:val="tx1"/>
                  </w14:solidFill>
                </w14:textFill>
              </w:rPr>
              <w:t>所投</w:t>
            </w:r>
            <w:r>
              <w:rPr>
                <w:rFonts w:hint="eastAsia" w:ascii="宋体" w:hAnsi="宋体" w:eastAsia="宋体" w:cs="宋体"/>
                <w:color w:val="000000" w:themeColor="text1"/>
                <w:kern w:val="0"/>
                <w:sz w:val="28"/>
                <w:szCs w:val="28"/>
                <w:highlight w:val="none"/>
                <w:lang w:val="en-US" w:eastAsia="zh-CN"/>
                <w14:textFill>
                  <w14:solidFill>
                    <w14:schemeClr w14:val="tx1"/>
                  </w14:solidFill>
                </w14:textFill>
              </w:rPr>
              <w:t>产品一般技术参数存在负偏离的，每一条扣</w:t>
            </w:r>
            <w:r>
              <w:rPr>
                <w:rFonts w:hint="eastAsia" w:ascii="宋体" w:hAnsi="宋体" w:cs="宋体"/>
                <w:color w:val="000000" w:themeColor="text1"/>
                <w:kern w:val="0"/>
                <w:sz w:val="28"/>
                <w:szCs w:val="28"/>
                <w:highlight w:val="none"/>
                <w:lang w:val="en-US" w:eastAsia="zh-CN"/>
                <w14:textFill>
                  <w14:solidFill>
                    <w14:schemeClr w14:val="tx1"/>
                  </w14:solidFill>
                </w14:textFill>
              </w:rPr>
              <w:t>10</w:t>
            </w:r>
            <w:r>
              <w:rPr>
                <w:rFonts w:hint="eastAsia" w:ascii="宋体" w:hAnsi="宋体" w:eastAsia="宋体" w:cs="宋体"/>
                <w:color w:val="000000" w:themeColor="text1"/>
                <w:kern w:val="0"/>
                <w:sz w:val="28"/>
                <w:szCs w:val="28"/>
                <w:highlight w:val="none"/>
                <w:lang w:val="en-US" w:eastAsia="zh-CN"/>
                <w14:textFill>
                  <w14:solidFill>
                    <w14:schemeClr w14:val="tx1"/>
                  </w14:solidFill>
                </w14:textFill>
              </w:rPr>
              <w:t>分，</w:t>
            </w:r>
            <w:r>
              <w:rPr>
                <w:rFonts w:hint="eastAsia" w:ascii="宋体" w:hAnsi="宋体" w:cs="宋体"/>
                <w:color w:val="000000" w:themeColor="text1"/>
                <w:kern w:val="0"/>
                <w:sz w:val="28"/>
                <w:szCs w:val="28"/>
                <w:highlight w:val="none"/>
                <w:lang w:val="en-US" w:eastAsia="zh-CN"/>
                <w14:textFill>
                  <w14:solidFill>
                    <w14:schemeClr w14:val="tx1"/>
                  </w14:solidFill>
                </w14:textFill>
              </w:rPr>
              <w:t>扣完为止</w:t>
            </w:r>
            <w:r>
              <w:rPr>
                <w:rFonts w:hint="eastAsia" w:ascii="宋体" w:hAnsi="宋体" w:eastAsia="宋体" w:cs="宋体"/>
                <w:color w:val="000000" w:themeColor="text1"/>
                <w:kern w:val="0"/>
                <w:sz w:val="28"/>
                <w:szCs w:val="28"/>
                <w:highlight w:val="none"/>
                <w:lang w:val="en-US" w:eastAsia="zh-CN"/>
                <w14:textFill>
                  <w14:solidFill>
                    <w14:schemeClr w14:val="tx1"/>
                  </w14:solidFill>
                </w14:textFill>
              </w:rPr>
              <w:t>。</w:t>
            </w:r>
          </w:p>
          <w:p w14:paraId="37759837">
            <w:pPr>
              <w:pageBreakBefore w:val="0"/>
              <w:numPr>
                <w:ilvl w:val="0"/>
                <w:numId w:val="0"/>
              </w:numPr>
              <w:kinsoku/>
              <w:wordWrap/>
              <w:overflowPunct/>
              <w:topLinePunct w:val="0"/>
              <w:autoSpaceDE/>
              <w:autoSpaceDN/>
              <w:bidi w:val="0"/>
              <w:spacing w:line="560" w:lineRule="exact"/>
              <w:jc w:val="left"/>
              <w:textAlignment w:val="auto"/>
              <w:rPr>
                <w:rFonts w:hint="default" w:ascii="宋体" w:hAnsi="宋体" w:eastAsia="宋体" w:cs="宋体"/>
                <w:color w:val="000000" w:themeColor="text1"/>
                <w:kern w:val="0"/>
                <w:sz w:val="28"/>
                <w:szCs w:val="28"/>
                <w:highlight w:val="none"/>
                <w:lang w:val="en-US" w:eastAsia="zh-CN"/>
                <w14:textFill>
                  <w14:solidFill>
                    <w14:schemeClr w14:val="tx1"/>
                  </w14:solidFill>
                </w14:textFill>
              </w:rPr>
            </w:pPr>
            <w:r>
              <w:rPr>
                <w:b/>
                <w:bCs/>
                <w:color w:val="000000" w:themeColor="text1"/>
                <w:sz w:val="28"/>
                <w:szCs w:val="28"/>
                <w:highlight w:val="none"/>
                <w14:textFill>
                  <w14:solidFill>
                    <w14:schemeClr w14:val="tx1"/>
                  </w14:solidFill>
                </w14:textFill>
              </w:rPr>
              <w:t>注：负偏离评审依据：</w:t>
            </w:r>
            <w:r>
              <w:rPr>
                <w:rFonts w:hint="eastAsia"/>
                <w:b/>
                <w:bCs/>
                <w:color w:val="000000" w:themeColor="text1"/>
                <w:sz w:val="28"/>
                <w:szCs w:val="28"/>
                <w:highlight w:val="none"/>
                <w14:textFill>
                  <w14:solidFill>
                    <w14:schemeClr w14:val="tx1"/>
                  </w14:solidFill>
                </w14:textFill>
              </w:rPr>
              <w:t>①</w:t>
            </w:r>
            <w:r>
              <w:rPr>
                <w:b/>
                <w:bCs/>
                <w:color w:val="000000" w:themeColor="text1"/>
                <w:sz w:val="28"/>
                <w:szCs w:val="28"/>
                <w:highlight w:val="none"/>
                <w14:textFill>
                  <w14:solidFill>
                    <w14:schemeClr w14:val="tx1"/>
                  </w14:solidFill>
                </w14:textFill>
              </w:rPr>
              <w:t>所</w:t>
            </w:r>
            <w:r>
              <w:rPr>
                <w:rFonts w:hint="eastAsia"/>
                <w:b/>
                <w:bCs/>
                <w:color w:val="000000" w:themeColor="text1"/>
                <w:sz w:val="28"/>
                <w:szCs w:val="28"/>
                <w:highlight w:val="none"/>
                <w14:textFill>
                  <w14:solidFill>
                    <w14:schemeClr w14:val="tx1"/>
                  </w14:solidFill>
                </w14:textFill>
              </w:rPr>
              <w:t>提供</w:t>
            </w:r>
            <w:r>
              <w:rPr>
                <w:b/>
                <w:bCs/>
                <w:color w:val="000000" w:themeColor="text1"/>
                <w:sz w:val="28"/>
                <w:szCs w:val="28"/>
                <w:highlight w:val="none"/>
                <w14:textFill>
                  <w14:solidFill>
                    <w14:schemeClr w14:val="tx1"/>
                  </w14:solidFill>
                </w14:textFill>
              </w:rPr>
              <w:t>产品技术参数低于</w:t>
            </w:r>
            <w:r>
              <w:rPr>
                <w:rFonts w:hint="eastAsia"/>
                <w:b/>
                <w:bCs/>
                <w:color w:val="000000" w:themeColor="text1"/>
                <w:sz w:val="28"/>
                <w:szCs w:val="28"/>
                <w:highlight w:val="none"/>
                <w14:textFill>
                  <w14:solidFill>
                    <w14:schemeClr w14:val="tx1"/>
                  </w14:solidFill>
                </w14:textFill>
              </w:rPr>
              <w:t>招标</w:t>
            </w:r>
            <w:r>
              <w:rPr>
                <w:b/>
                <w:bCs/>
                <w:color w:val="000000" w:themeColor="text1"/>
                <w:sz w:val="28"/>
                <w:szCs w:val="28"/>
                <w:highlight w:val="none"/>
                <w14:textFill>
                  <w14:solidFill>
                    <w14:schemeClr w14:val="tx1"/>
                  </w14:solidFill>
                </w14:textFill>
              </w:rPr>
              <w:t>文件要求的，视为负偏离；</w:t>
            </w:r>
            <w:r>
              <w:rPr>
                <w:rFonts w:hint="eastAsia"/>
                <w:b/>
                <w:bCs/>
                <w:color w:val="000000" w:themeColor="text1"/>
                <w:sz w:val="28"/>
                <w:szCs w:val="28"/>
                <w:highlight w:val="none"/>
                <w14:textFill>
                  <w14:solidFill>
                    <w14:schemeClr w14:val="tx1"/>
                  </w14:solidFill>
                </w14:textFill>
              </w:rPr>
              <w:t>②</w:t>
            </w:r>
            <w:r>
              <w:rPr>
                <w:b/>
                <w:bCs/>
                <w:color w:val="000000" w:themeColor="text1"/>
                <w:sz w:val="28"/>
                <w:szCs w:val="28"/>
                <w:highlight w:val="none"/>
                <w14:textFill>
                  <w14:solidFill>
                    <w14:schemeClr w14:val="tx1"/>
                  </w14:solidFill>
                </w14:textFill>
              </w:rPr>
              <w:t>技术参数响应条款</w:t>
            </w:r>
            <w:r>
              <w:rPr>
                <w:rFonts w:hint="eastAsia"/>
                <w:b/>
                <w:bCs/>
                <w:color w:val="000000" w:themeColor="text1"/>
                <w:sz w:val="28"/>
                <w:szCs w:val="28"/>
                <w:highlight w:val="none"/>
                <w14:textFill>
                  <w14:solidFill>
                    <w14:schemeClr w14:val="tx1"/>
                  </w14:solidFill>
                </w14:textFill>
              </w:rPr>
              <w:t>（以投标文件内技术偏离表为准）</w:t>
            </w:r>
            <w:r>
              <w:rPr>
                <w:b/>
                <w:bCs/>
                <w:color w:val="000000" w:themeColor="text1"/>
                <w:sz w:val="28"/>
                <w:szCs w:val="28"/>
                <w:highlight w:val="none"/>
                <w14:textFill>
                  <w14:solidFill>
                    <w14:schemeClr w14:val="tx1"/>
                  </w14:solidFill>
                </w14:textFill>
              </w:rPr>
              <w:t>与</w:t>
            </w:r>
            <w:r>
              <w:rPr>
                <w:rFonts w:hint="eastAsia"/>
                <w:b/>
                <w:bCs/>
                <w:color w:val="000000" w:themeColor="text1"/>
                <w:sz w:val="28"/>
                <w:szCs w:val="28"/>
                <w:highlight w:val="none"/>
                <w14:textFill>
                  <w14:solidFill>
                    <w14:schemeClr w14:val="tx1"/>
                  </w14:solidFill>
                </w14:textFill>
              </w:rPr>
              <w:t>招标</w:t>
            </w:r>
            <w:r>
              <w:rPr>
                <w:b/>
                <w:bCs/>
                <w:color w:val="000000" w:themeColor="text1"/>
                <w:sz w:val="28"/>
                <w:szCs w:val="28"/>
                <w:highlight w:val="none"/>
                <w14:textFill>
                  <w14:solidFill>
                    <w14:schemeClr w14:val="tx1"/>
                  </w14:solidFill>
                </w14:textFill>
              </w:rPr>
              <w:t>文件对比有缺项、漏项的，视为负偏离；</w:t>
            </w:r>
            <w:r>
              <w:rPr>
                <w:rFonts w:hint="eastAsia"/>
                <w:b/>
                <w:bCs/>
                <w:color w:val="000000" w:themeColor="text1"/>
                <w:sz w:val="28"/>
                <w:szCs w:val="28"/>
                <w:highlight w:val="none"/>
                <w14:textFill>
                  <w14:solidFill>
                    <w14:schemeClr w14:val="tx1"/>
                  </w14:solidFill>
                </w14:textFill>
              </w:rPr>
              <w:t>③投标文件内技术偏离表完全复制招标文件技术参数的（不涉及具体参数指标的描述性技术要求除外），视为负偏离；</w:t>
            </w:r>
          </w:p>
        </w:tc>
        <w:tc>
          <w:tcPr>
            <w:tcW w:w="1088" w:type="dxa"/>
            <w:vAlign w:val="center"/>
          </w:tcPr>
          <w:p w14:paraId="081C83BB">
            <w:pPr>
              <w:pageBreakBefore w:val="0"/>
              <w:kinsoku/>
              <w:wordWrap/>
              <w:overflowPunct/>
              <w:topLinePunct w:val="0"/>
              <w:autoSpaceDE/>
              <w:autoSpaceDN/>
              <w:bidi w:val="0"/>
              <w:spacing w:line="560" w:lineRule="exact"/>
              <w:jc w:val="center"/>
              <w:textAlignment w:val="auto"/>
              <w:rPr>
                <w:rFonts w:hint="default" w:asciiTheme="minorEastAsia" w:hAnsiTheme="minorEastAsia" w:eastAsiaTheme="minorEastAsia"/>
                <w:bCs/>
                <w:color w:val="000000" w:themeColor="text1"/>
                <w:kern w:val="0"/>
                <w:sz w:val="28"/>
                <w:szCs w:val="28"/>
                <w:highlight w:val="none"/>
                <w:lang w:val="en-US"/>
                <w14:textFill>
                  <w14:solidFill>
                    <w14:schemeClr w14:val="tx1"/>
                  </w14:solidFill>
                </w14:textFill>
              </w:rPr>
            </w:pPr>
            <w:r>
              <w:rPr>
                <w:rFonts w:hint="eastAsia" w:ascii="宋体" w:hAnsi="宋体" w:cs="宋体"/>
                <w:color w:val="000000" w:themeColor="text1"/>
                <w:kern w:val="0"/>
                <w:sz w:val="28"/>
                <w:szCs w:val="28"/>
                <w:highlight w:val="none"/>
                <w:lang w:val="en-US" w:eastAsia="zh-CN"/>
                <w14:textFill>
                  <w14:solidFill>
                    <w14:schemeClr w14:val="tx1"/>
                  </w14:solidFill>
                </w14:textFill>
              </w:rPr>
              <w:t>36</w:t>
            </w:r>
          </w:p>
        </w:tc>
      </w:tr>
      <w:tr w14:paraId="6DDAE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 w:type="dxa"/>
            <w:vAlign w:val="center"/>
          </w:tcPr>
          <w:p w14:paraId="6A3A234E">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bCs/>
                <w:color w:val="000000" w:themeColor="text1"/>
                <w:kern w:val="0"/>
                <w:sz w:val="28"/>
                <w:szCs w:val="28"/>
                <w:highlight w:val="none"/>
                <w:lang w:val="en-US" w:eastAsia="zh-CN"/>
                <w14:textFill>
                  <w14:solidFill>
                    <w14:schemeClr w14:val="tx1"/>
                  </w14:solidFill>
                </w14:textFill>
              </w:rPr>
            </w:pPr>
            <w:r>
              <w:rPr>
                <w:rFonts w:hint="eastAsia" w:asciiTheme="minorEastAsia" w:hAnsiTheme="minorEastAsia" w:eastAsiaTheme="minorEastAsia"/>
                <w:bCs/>
                <w:color w:val="000000" w:themeColor="text1"/>
                <w:kern w:val="0"/>
                <w:sz w:val="28"/>
                <w:szCs w:val="28"/>
                <w:highlight w:val="none"/>
                <w:lang w:val="en-US" w:eastAsia="zh-CN"/>
                <w14:textFill>
                  <w14:solidFill>
                    <w14:schemeClr w14:val="tx1"/>
                  </w14:solidFill>
                </w14:textFill>
              </w:rPr>
              <w:t>2</w:t>
            </w:r>
          </w:p>
        </w:tc>
        <w:tc>
          <w:tcPr>
            <w:tcW w:w="1500" w:type="dxa"/>
            <w:vAlign w:val="center"/>
          </w:tcPr>
          <w:p w14:paraId="04F54890">
            <w:pPr>
              <w:pageBreakBefore w:val="0"/>
              <w:kinsoku/>
              <w:wordWrap/>
              <w:overflowPunct/>
              <w:topLinePunct w:val="0"/>
              <w:autoSpaceDE/>
              <w:autoSpaceDN/>
              <w:bidi w:val="0"/>
              <w:spacing w:line="560" w:lineRule="exact"/>
              <w:jc w:val="center"/>
              <w:textAlignment w:val="auto"/>
              <w:rPr>
                <w:rFonts w:hint="eastAsia" w:ascii="宋体" w:hAnsi="宋体" w:eastAsia="宋体" w:cs="宋体"/>
                <w:color w:val="000000" w:themeColor="text1"/>
                <w:kern w:val="0"/>
                <w:sz w:val="28"/>
                <w:szCs w:val="28"/>
                <w:highlight w:val="none"/>
                <w:lang w:eastAsia="zh-CN"/>
                <w14:textFill>
                  <w14:solidFill>
                    <w14:schemeClr w14:val="tx1"/>
                  </w14:solidFill>
                </w14:textFill>
              </w:rPr>
            </w:pPr>
            <w:r>
              <w:rPr>
                <w:rFonts w:hint="eastAsia" w:ascii="宋体" w:hAnsi="宋体" w:eastAsia="宋体" w:cs="宋体"/>
                <w:color w:val="000000" w:themeColor="text1"/>
                <w:kern w:val="0"/>
                <w:sz w:val="28"/>
                <w:szCs w:val="28"/>
                <w:highlight w:val="none"/>
                <w14:textFill>
                  <w14:solidFill>
                    <w14:schemeClr w14:val="tx1"/>
                  </w14:solidFill>
                </w14:textFill>
              </w:rPr>
              <w:t>项目实施总体方案</w:t>
            </w:r>
          </w:p>
        </w:tc>
        <w:tc>
          <w:tcPr>
            <w:tcW w:w="6283" w:type="dxa"/>
            <w:vAlign w:val="center"/>
          </w:tcPr>
          <w:p w14:paraId="1ED6698A">
            <w:pPr>
              <w:pageBreakBefore w:val="0"/>
              <w:kinsoku/>
              <w:wordWrap/>
              <w:overflowPunct/>
              <w:topLinePunct w:val="0"/>
              <w:autoSpaceDE/>
              <w:autoSpaceDN/>
              <w:bidi w:val="0"/>
              <w:spacing w:line="560" w:lineRule="exact"/>
              <w:jc w:val="left"/>
              <w:textAlignment w:val="auto"/>
              <w:rPr>
                <w:rFonts w:hint="eastAsia" w:ascii="宋体" w:hAnsi="宋体" w:eastAsia="宋体" w:cs="宋体"/>
                <w:color w:val="000000" w:themeColor="text1"/>
                <w:kern w:val="0"/>
                <w:sz w:val="28"/>
                <w:szCs w:val="28"/>
                <w:highlight w:val="none"/>
                <w14:textFill>
                  <w14:solidFill>
                    <w14:schemeClr w14:val="tx1"/>
                  </w14:solidFill>
                </w14:textFill>
              </w:rPr>
            </w:pPr>
            <w:r>
              <w:rPr>
                <w:rFonts w:hint="eastAsia" w:ascii="宋体" w:hAnsi="宋体" w:eastAsia="宋体" w:cs="宋体"/>
                <w:color w:val="000000" w:themeColor="text1"/>
                <w:kern w:val="0"/>
                <w:sz w:val="28"/>
                <w:szCs w:val="28"/>
                <w:highlight w:val="none"/>
                <w14:textFill>
                  <w14:solidFill>
                    <w14:schemeClr w14:val="tx1"/>
                  </w14:solidFill>
                </w14:textFill>
              </w:rPr>
              <w:t>项目实施总体方案：1、针对本项目有供货安装调试</w:t>
            </w:r>
            <w:r>
              <w:rPr>
                <w:rFonts w:hint="eastAsia" w:ascii="宋体" w:hAnsi="宋体" w:eastAsia="宋体" w:cs="宋体"/>
                <w:color w:val="000000" w:themeColor="text1"/>
                <w:kern w:val="0"/>
                <w:sz w:val="28"/>
                <w:szCs w:val="28"/>
                <w:highlight w:val="none"/>
                <w:lang w:eastAsia="zh-CN"/>
                <w14:textFill>
                  <w14:solidFill>
                    <w14:schemeClr w14:val="tx1"/>
                  </w14:solidFill>
                </w14:textFill>
              </w:rPr>
              <w:t>方案</w:t>
            </w:r>
            <w:r>
              <w:rPr>
                <w:rFonts w:hint="eastAsia" w:ascii="宋体" w:hAnsi="宋体" w:cs="宋体"/>
                <w:color w:val="000000" w:themeColor="text1"/>
                <w:kern w:val="0"/>
                <w:sz w:val="28"/>
                <w:szCs w:val="28"/>
                <w:highlight w:val="none"/>
                <w:lang w:eastAsia="zh-CN"/>
                <w14:textFill>
                  <w14:solidFill>
                    <w14:schemeClr w14:val="tx1"/>
                  </w14:solidFill>
                </w14:textFill>
              </w:rPr>
              <w:t>、</w:t>
            </w:r>
            <w:r>
              <w:rPr>
                <w:rFonts w:hint="eastAsia" w:ascii="宋体" w:hAnsi="宋体" w:eastAsia="宋体" w:cs="宋体"/>
                <w:color w:val="000000" w:themeColor="text1"/>
                <w:kern w:val="0"/>
                <w:sz w:val="28"/>
                <w:szCs w:val="28"/>
                <w:highlight w:val="none"/>
                <w14:textFill>
                  <w14:solidFill>
                    <w14:schemeClr w14:val="tx1"/>
                  </w14:solidFill>
                </w14:textFill>
              </w:rPr>
              <w:t>人员安排方案，每有一项得</w:t>
            </w:r>
            <w:r>
              <w:rPr>
                <w:rFonts w:hint="eastAsia" w:ascii="宋体" w:hAnsi="宋体" w:cs="宋体"/>
                <w:color w:val="000000" w:themeColor="text1"/>
                <w:kern w:val="0"/>
                <w:sz w:val="28"/>
                <w:szCs w:val="28"/>
                <w:highlight w:val="none"/>
                <w:lang w:val="en-US" w:eastAsia="zh-CN"/>
                <w14:textFill>
                  <w14:solidFill>
                    <w14:schemeClr w14:val="tx1"/>
                  </w14:solidFill>
                </w14:textFill>
              </w:rPr>
              <w:t>1</w:t>
            </w:r>
            <w:r>
              <w:rPr>
                <w:rFonts w:hint="eastAsia" w:ascii="宋体" w:hAnsi="宋体" w:eastAsia="宋体" w:cs="宋体"/>
                <w:color w:val="000000" w:themeColor="text1"/>
                <w:kern w:val="0"/>
                <w:sz w:val="28"/>
                <w:szCs w:val="28"/>
                <w:highlight w:val="none"/>
                <w14:textFill>
                  <w14:solidFill>
                    <w14:schemeClr w14:val="tx1"/>
                  </w14:solidFill>
                </w14:textFill>
              </w:rPr>
              <w:t>分，满</w:t>
            </w:r>
            <w:r>
              <w:rPr>
                <w:rFonts w:hint="eastAsia" w:ascii="宋体" w:hAnsi="宋体" w:cs="宋体"/>
                <w:color w:val="000000" w:themeColor="text1"/>
                <w:kern w:val="0"/>
                <w:sz w:val="28"/>
                <w:szCs w:val="28"/>
                <w:highlight w:val="none"/>
                <w:lang w:val="en-US" w:eastAsia="zh-CN"/>
                <w14:textFill>
                  <w14:solidFill>
                    <w14:schemeClr w14:val="tx1"/>
                  </w14:solidFill>
                </w14:textFill>
              </w:rPr>
              <w:t>2</w:t>
            </w:r>
            <w:r>
              <w:rPr>
                <w:rFonts w:hint="eastAsia" w:ascii="宋体" w:hAnsi="宋体" w:eastAsia="宋体" w:cs="宋体"/>
                <w:color w:val="000000" w:themeColor="text1"/>
                <w:kern w:val="0"/>
                <w:sz w:val="28"/>
                <w:szCs w:val="28"/>
                <w:highlight w:val="none"/>
                <w14:textFill>
                  <w14:solidFill>
                    <w14:schemeClr w14:val="tx1"/>
                  </w14:solidFill>
                </w14:textFill>
              </w:rPr>
              <w:t>分，未提供不得分；2、有安全保证措施、成品保护措施每有一项得</w:t>
            </w:r>
            <w:r>
              <w:rPr>
                <w:rFonts w:hint="eastAsia" w:ascii="宋体" w:hAnsi="宋体" w:cs="宋体"/>
                <w:color w:val="000000" w:themeColor="text1"/>
                <w:kern w:val="0"/>
                <w:sz w:val="28"/>
                <w:szCs w:val="28"/>
                <w:highlight w:val="none"/>
                <w:lang w:val="en-US" w:eastAsia="zh-CN"/>
                <w14:textFill>
                  <w14:solidFill>
                    <w14:schemeClr w14:val="tx1"/>
                  </w14:solidFill>
                </w14:textFill>
              </w:rPr>
              <w:t>1</w:t>
            </w:r>
            <w:r>
              <w:rPr>
                <w:rFonts w:hint="eastAsia" w:ascii="宋体" w:hAnsi="宋体" w:eastAsia="宋体" w:cs="宋体"/>
                <w:color w:val="000000" w:themeColor="text1"/>
                <w:kern w:val="0"/>
                <w:sz w:val="28"/>
                <w:szCs w:val="28"/>
                <w:highlight w:val="none"/>
                <w14:textFill>
                  <w14:solidFill>
                    <w14:schemeClr w14:val="tx1"/>
                  </w14:solidFill>
                </w14:textFill>
              </w:rPr>
              <w:t>分，满分</w:t>
            </w:r>
            <w:r>
              <w:rPr>
                <w:rFonts w:hint="eastAsia" w:ascii="宋体" w:hAnsi="宋体" w:cs="宋体"/>
                <w:color w:val="000000" w:themeColor="text1"/>
                <w:kern w:val="0"/>
                <w:sz w:val="28"/>
                <w:szCs w:val="28"/>
                <w:highlight w:val="none"/>
                <w:lang w:val="en-US" w:eastAsia="zh-CN"/>
                <w14:textFill>
                  <w14:solidFill>
                    <w14:schemeClr w14:val="tx1"/>
                  </w14:solidFill>
                </w14:textFill>
              </w:rPr>
              <w:t>2</w:t>
            </w:r>
            <w:r>
              <w:rPr>
                <w:rFonts w:hint="eastAsia" w:ascii="宋体" w:hAnsi="宋体" w:eastAsia="宋体" w:cs="宋体"/>
                <w:color w:val="000000" w:themeColor="text1"/>
                <w:kern w:val="0"/>
                <w:sz w:val="28"/>
                <w:szCs w:val="28"/>
                <w:highlight w:val="none"/>
                <w14:textFill>
                  <w14:solidFill>
                    <w14:schemeClr w14:val="tx1"/>
                  </w14:solidFill>
                </w14:textFill>
              </w:rPr>
              <w:t>分，未提供不得分；</w:t>
            </w:r>
            <w:r>
              <w:rPr>
                <w:rFonts w:hint="eastAsia" w:ascii="宋体" w:hAnsi="宋体" w:eastAsia="宋体" w:cs="宋体"/>
                <w:color w:val="000000" w:themeColor="text1"/>
                <w:kern w:val="0"/>
                <w:sz w:val="28"/>
                <w:szCs w:val="28"/>
                <w:highlight w:val="none"/>
                <w:lang w:val="en-US" w:eastAsia="zh-CN" w:bidi="ar-SA"/>
                <w14:textFill>
                  <w14:solidFill>
                    <w14:schemeClr w14:val="tx1"/>
                  </w14:solidFill>
                </w14:textFill>
              </w:rPr>
              <w:t>3、</w:t>
            </w:r>
            <w:r>
              <w:rPr>
                <w:rFonts w:hint="eastAsia" w:ascii="宋体" w:hAnsi="宋体" w:eastAsia="宋体" w:cs="宋体"/>
                <w:color w:val="000000" w:themeColor="text1"/>
                <w:kern w:val="0"/>
                <w:sz w:val="28"/>
                <w:szCs w:val="28"/>
                <w:highlight w:val="none"/>
                <w14:textFill>
                  <w14:solidFill>
                    <w14:schemeClr w14:val="tx1"/>
                  </w14:solidFill>
                </w14:textFill>
              </w:rPr>
              <w:t>有</w:t>
            </w:r>
            <w:r>
              <w:rPr>
                <w:rFonts w:hint="eastAsia" w:ascii="宋体" w:hAnsi="宋体" w:cs="宋体"/>
                <w:color w:val="000000" w:themeColor="text1"/>
                <w:kern w:val="0"/>
                <w:sz w:val="28"/>
                <w:szCs w:val="28"/>
                <w:highlight w:val="none"/>
                <w:lang w:eastAsia="zh-CN"/>
                <w14:textFill>
                  <w14:solidFill>
                    <w14:schemeClr w14:val="tx1"/>
                  </w14:solidFill>
                </w14:textFill>
              </w:rPr>
              <w:t>运输保障措施、</w:t>
            </w:r>
            <w:r>
              <w:rPr>
                <w:rFonts w:hint="eastAsia" w:ascii="宋体" w:hAnsi="宋体" w:eastAsia="宋体" w:cs="宋体"/>
                <w:color w:val="000000" w:themeColor="text1"/>
                <w:kern w:val="0"/>
                <w:sz w:val="28"/>
                <w:szCs w:val="28"/>
                <w:highlight w:val="none"/>
                <w14:textFill>
                  <w14:solidFill>
                    <w14:schemeClr w14:val="tx1"/>
                  </w14:solidFill>
                </w14:textFill>
              </w:rPr>
              <w:t>供货应急处理措施</w:t>
            </w:r>
            <w:r>
              <w:rPr>
                <w:rFonts w:hint="eastAsia" w:ascii="宋体" w:hAnsi="宋体" w:cs="宋体"/>
                <w:color w:val="000000" w:themeColor="text1"/>
                <w:kern w:val="0"/>
                <w:sz w:val="28"/>
                <w:szCs w:val="28"/>
                <w:highlight w:val="none"/>
                <w:lang w:eastAsia="zh-CN"/>
                <w14:textFill>
                  <w14:solidFill>
                    <w14:schemeClr w14:val="tx1"/>
                  </w14:solidFill>
                </w14:textFill>
              </w:rPr>
              <w:t>，每有一项得</w:t>
            </w:r>
            <w:r>
              <w:rPr>
                <w:rFonts w:hint="eastAsia" w:ascii="宋体" w:hAnsi="宋体" w:cs="宋体"/>
                <w:color w:val="000000" w:themeColor="text1"/>
                <w:kern w:val="0"/>
                <w:sz w:val="28"/>
                <w:szCs w:val="28"/>
                <w:highlight w:val="none"/>
                <w:lang w:val="en-US" w:eastAsia="zh-CN"/>
                <w14:textFill>
                  <w14:solidFill>
                    <w14:schemeClr w14:val="tx1"/>
                  </w14:solidFill>
                </w14:textFill>
              </w:rPr>
              <w:t>1</w:t>
            </w:r>
            <w:r>
              <w:rPr>
                <w:rFonts w:hint="eastAsia" w:ascii="宋体" w:hAnsi="宋体" w:eastAsia="宋体" w:cs="宋体"/>
                <w:color w:val="000000" w:themeColor="text1"/>
                <w:kern w:val="0"/>
                <w:sz w:val="28"/>
                <w:szCs w:val="28"/>
                <w:highlight w:val="none"/>
                <w14:textFill>
                  <w14:solidFill>
                    <w14:schemeClr w14:val="tx1"/>
                  </w14:solidFill>
                </w14:textFill>
              </w:rPr>
              <w:t>分，</w:t>
            </w:r>
            <w:r>
              <w:rPr>
                <w:rFonts w:hint="eastAsia" w:ascii="宋体" w:hAnsi="宋体" w:cs="宋体"/>
                <w:color w:val="000000" w:themeColor="text1"/>
                <w:kern w:val="0"/>
                <w:sz w:val="28"/>
                <w:szCs w:val="28"/>
                <w:highlight w:val="none"/>
                <w:lang w:eastAsia="zh-CN"/>
                <w14:textFill>
                  <w14:solidFill>
                    <w14:schemeClr w14:val="tx1"/>
                  </w14:solidFill>
                </w14:textFill>
              </w:rPr>
              <w:t>满分</w:t>
            </w:r>
            <w:r>
              <w:rPr>
                <w:rFonts w:hint="eastAsia" w:ascii="宋体" w:hAnsi="宋体" w:cs="宋体"/>
                <w:color w:val="000000" w:themeColor="text1"/>
                <w:kern w:val="0"/>
                <w:sz w:val="28"/>
                <w:szCs w:val="28"/>
                <w:highlight w:val="none"/>
                <w:lang w:val="en-US" w:eastAsia="zh-CN"/>
                <w14:textFill>
                  <w14:solidFill>
                    <w14:schemeClr w14:val="tx1"/>
                  </w14:solidFill>
                </w14:textFill>
              </w:rPr>
              <w:t>2分；</w:t>
            </w:r>
            <w:r>
              <w:rPr>
                <w:rFonts w:hint="eastAsia" w:ascii="宋体" w:hAnsi="宋体" w:eastAsia="宋体" w:cs="宋体"/>
                <w:color w:val="000000" w:themeColor="text1"/>
                <w:kern w:val="0"/>
                <w:sz w:val="28"/>
                <w:szCs w:val="28"/>
                <w:highlight w:val="none"/>
                <w14:textFill>
                  <w14:solidFill>
                    <w14:schemeClr w14:val="tx1"/>
                  </w14:solidFill>
                </w14:textFill>
              </w:rPr>
              <w:t>未提供不得分。</w:t>
            </w:r>
          </w:p>
          <w:p w14:paraId="66D4F19E">
            <w:pPr>
              <w:pageBreakBefore w:val="0"/>
              <w:kinsoku/>
              <w:wordWrap/>
              <w:overflowPunct/>
              <w:topLinePunct w:val="0"/>
              <w:autoSpaceDE/>
              <w:autoSpaceDN/>
              <w:bidi w:val="0"/>
              <w:spacing w:line="560" w:lineRule="exact"/>
              <w:jc w:val="left"/>
              <w:textAlignment w:val="auto"/>
              <w:rPr>
                <w:rFonts w:hint="default"/>
                <w:b w:val="0"/>
                <w:bCs w:val="0"/>
                <w:color w:val="000000" w:themeColor="text1"/>
                <w:sz w:val="28"/>
                <w:szCs w:val="28"/>
                <w:highlight w:val="none"/>
                <w:lang w:val="en-US" w:eastAsia="zh-CN"/>
                <w14:textFill>
                  <w14:solidFill>
                    <w14:schemeClr w14:val="tx1"/>
                  </w14:solidFill>
                </w14:textFill>
              </w:rPr>
            </w:pPr>
            <w:r>
              <w:rPr>
                <w:rFonts w:hint="eastAsia" w:ascii="宋体" w:hAnsi="宋体" w:cs="宋体"/>
                <w:color w:val="000000" w:themeColor="text1"/>
                <w:kern w:val="0"/>
                <w:sz w:val="28"/>
                <w:szCs w:val="28"/>
                <w:highlight w:val="none"/>
                <w:lang w:eastAsia="zh-CN"/>
                <w14:textFill>
                  <w14:solidFill>
                    <w14:schemeClr w14:val="tx1"/>
                  </w14:solidFill>
                </w14:textFill>
              </w:rPr>
              <w:t>注</w:t>
            </w:r>
            <w:r>
              <w:rPr>
                <w:rFonts w:hint="eastAsia" w:ascii="宋体" w:hAnsi="宋体" w:cs="宋体"/>
                <w:color w:val="000000" w:themeColor="text1"/>
                <w:kern w:val="0"/>
                <w:sz w:val="28"/>
                <w:szCs w:val="28"/>
                <w:highlight w:val="none"/>
                <w:lang w:val="en-US" w:eastAsia="zh-CN"/>
                <w14:textFill>
                  <w14:solidFill>
                    <w14:schemeClr w14:val="tx1"/>
                  </w14:solidFill>
                </w14:textFill>
              </w:rPr>
              <w:t>:</w:t>
            </w:r>
            <w:r>
              <w:rPr>
                <w:rFonts w:hint="eastAsia" w:ascii="宋体" w:hAnsi="宋体" w:eastAsia="宋体" w:cs="宋体"/>
                <w:color w:val="000000" w:themeColor="text1"/>
                <w:kern w:val="0"/>
                <w:sz w:val="28"/>
                <w:szCs w:val="28"/>
                <w:highlight w:val="none"/>
                <w:lang w:eastAsia="zh-CN"/>
                <w14:textFill>
                  <w14:solidFill>
                    <w14:schemeClr w14:val="tx1"/>
                  </w14:solidFill>
                </w14:textFill>
              </w:rPr>
              <w:t>以上</w:t>
            </w:r>
            <w:r>
              <w:rPr>
                <w:rFonts w:hint="eastAsia" w:ascii="宋体" w:hAnsi="宋体" w:cs="宋体"/>
                <w:color w:val="000000" w:themeColor="text1"/>
                <w:kern w:val="0"/>
                <w:sz w:val="28"/>
                <w:szCs w:val="28"/>
                <w:highlight w:val="none"/>
                <w:lang w:eastAsia="zh-CN"/>
                <w14:textFill>
                  <w14:solidFill>
                    <w14:schemeClr w14:val="tx1"/>
                  </w14:solidFill>
                </w14:textFill>
              </w:rPr>
              <w:t>内容</w:t>
            </w:r>
            <w:r>
              <w:rPr>
                <w:rFonts w:hint="eastAsia" w:ascii="宋体" w:hAnsi="宋体" w:eastAsia="宋体" w:cs="宋体"/>
                <w:color w:val="000000" w:themeColor="text1"/>
                <w:kern w:val="0"/>
                <w:sz w:val="28"/>
                <w:szCs w:val="28"/>
                <w:highlight w:val="none"/>
                <w:lang w:eastAsia="zh-CN"/>
                <w14:textFill>
                  <w14:solidFill>
                    <w14:schemeClr w14:val="tx1"/>
                  </w14:solidFill>
                </w14:textFill>
              </w:rPr>
              <w:t xml:space="preserve">每有一处存在不足（存在不足是指逻辑不严谨、内容不完整、表述不清晰、实操性不强或不符合项目实际情况）扣 </w:t>
            </w:r>
            <w:r>
              <w:rPr>
                <w:rFonts w:hint="eastAsia" w:ascii="宋体" w:hAnsi="宋体" w:cs="宋体"/>
                <w:color w:val="000000" w:themeColor="text1"/>
                <w:kern w:val="0"/>
                <w:sz w:val="28"/>
                <w:szCs w:val="28"/>
                <w:highlight w:val="none"/>
                <w:lang w:val="en-US" w:eastAsia="zh-CN"/>
                <w14:textFill>
                  <w14:solidFill>
                    <w14:schemeClr w14:val="tx1"/>
                  </w14:solidFill>
                </w14:textFill>
              </w:rPr>
              <w:t>0.5</w:t>
            </w:r>
            <w:r>
              <w:rPr>
                <w:rFonts w:hint="eastAsia" w:ascii="宋体" w:hAnsi="宋体" w:eastAsia="宋体" w:cs="宋体"/>
                <w:color w:val="000000" w:themeColor="text1"/>
                <w:kern w:val="0"/>
                <w:sz w:val="28"/>
                <w:szCs w:val="28"/>
                <w:highlight w:val="none"/>
                <w:lang w:eastAsia="zh-CN"/>
                <w14:textFill>
                  <w14:solidFill>
                    <w14:schemeClr w14:val="tx1"/>
                  </w14:solidFill>
                </w14:textFill>
              </w:rPr>
              <w:t>分，直至扣完为止，未提供不得分。</w:t>
            </w:r>
          </w:p>
        </w:tc>
        <w:tc>
          <w:tcPr>
            <w:tcW w:w="1088" w:type="dxa"/>
            <w:vAlign w:val="center"/>
          </w:tcPr>
          <w:p w14:paraId="56AC1BCE">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宋体" w:hAnsi="宋体" w:cs="宋体"/>
                <w:color w:val="000000" w:themeColor="text1"/>
                <w:kern w:val="0"/>
                <w:sz w:val="28"/>
                <w:szCs w:val="28"/>
                <w:highlight w:val="none"/>
                <w:lang w:val="en-US" w:eastAsia="zh-CN"/>
                <w14:textFill>
                  <w14:solidFill>
                    <w14:schemeClr w14:val="tx1"/>
                  </w14:solidFill>
                </w14:textFill>
              </w:rPr>
            </w:pPr>
            <w:r>
              <w:rPr>
                <w:rFonts w:hint="eastAsia" w:asciiTheme="minorEastAsia" w:hAnsiTheme="minorEastAsia" w:eastAsiaTheme="minorEastAsia"/>
                <w:bCs/>
                <w:color w:val="000000" w:themeColor="text1"/>
                <w:kern w:val="0"/>
                <w:sz w:val="28"/>
                <w:szCs w:val="28"/>
                <w:highlight w:val="none"/>
                <w:lang w:val="en-US" w:eastAsia="zh-CN"/>
                <w14:textFill>
                  <w14:solidFill>
                    <w14:schemeClr w14:val="tx1"/>
                  </w14:solidFill>
                </w14:textFill>
              </w:rPr>
              <w:t>6</w:t>
            </w:r>
          </w:p>
        </w:tc>
      </w:tr>
      <w:tr w14:paraId="748F9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 w:type="dxa"/>
            <w:vAlign w:val="center"/>
          </w:tcPr>
          <w:p w14:paraId="3308E97D">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bCs/>
                <w:color w:val="000000" w:themeColor="text1"/>
                <w:kern w:val="0"/>
                <w:sz w:val="28"/>
                <w:szCs w:val="28"/>
                <w:highlight w:val="none"/>
                <w:lang w:eastAsia="zh-CN"/>
                <w14:textFill>
                  <w14:solidFill>
                    <w14:schemeClr w14:val="tx1"/>
                  </w14:solidFill>
                </w14:textFill>
              </w:rPr>
            </w:pPr>
            <w:r>
              <w:rPr>
                <w:rFonts w:hint="eastAsia" w:asciiTheme="minorEastAsia" w:hAnsiTheme="minorEastAsia" w:eastAsiaTheme="minorEastAsia"/>
                <w:bCs/>
                <w:color w:val="000000" w:themeColor="text1"/>
                <w:kern w:val="0"/>
                <w:sz w:val="28"/>
                <w:szCs w:val="28"/>
                <w:highlight w:val="none"/>
                <w:lang w:val="en-US" w:eastAsia="zh-CN"/>
                <w14:textFill>
                  <w14:solidFill>
                    <w14:schemeClr w14:val="tx1"/>
                  </w14:solidFill>
                </w14:textFill>
              </w:rPr>
              <w:t>3</w:t>
            </w:r>
          </w:p>
        </w:tc>
        <w:tc>
          <w:tcPr>
            <w:tcW w:w="1500" w:type="dxa"/>
            <w:vAlign w:val="center"/>
          </w:tcPr>
          <w:p w14:paraId="5D50AFAF">
            <w:pPr>
              <w:pageBreakBefore w:val="0"/>
              <w:kinsoku/>
              <w:wordWrap/>
              <w:overflowPunct/>
              <w:topLinePunct w:val="0"/>
              <w:autoSpaceDE/>
              <w:autoSpaceDN/>
              <w:bidi w:val="0"/>
              <w:spacing w:line="360" w:lineRule="auto"/>
              <w:jc w:val="center"/>
              <w:textAlignment w:val="auto"/>
              <w:rPr>
                <w:rFonts w:asciiTheme="minorEastAsia" w:hAnsiTheme="minorEastAsia" w:eastAsiaTheme="minorEastAsia"/>
                <w:bCs/>
                <w:color w:val="000000" w:themeColor="text1"/>
                <w:kern w:val="0"/>
                <w:sz w:val="28"/>
                <w:szCs w:val="28"/>
                <w:highlight w:val="none"/>
                <w14:textFill>
                  <w14:solidFill>
                    <w14:schemeClr w14:val="tx1"/>
                  </w14:solidFill>
                </w14:textFill>
              </w:rPr>
            </w:pPr>
            <w:r>
              <w:rPr>
                <w:rFonts w:hint="eastAsia" w:ascii="宋体" w:hAnsi="宋体" w:eastAsia="宋体" w:cs="宋体"/>
                <w:color w:val="000000" w:themeColor="text1"/>
                <w:kern w:val="0"/>
                <w:sz w:val="28"/>
                <w:szCs w:val="28"/>
                <w:highlight w:val="none"/>
                <w14:textFill>
                  <w14:solidFill>
                    <w14:schemeClr w14:val="tx1"/>
                  </w14:solidFill>
                </w14:textFill>
              </w:rPr>
              <w:t>进度计划与质量保证</w:t>
            </w:r>
          </w:p>
        </w:tc>
        <w:tc>
          <w:tcPr>
            <w:tcW w:w="6283" w:type="dxa"/>
            <w:vAlign w:val="center"/>
          </w:tcPr>
          <w:p w14:paraId="3850BD71">
            <w:pPr>
              <w:pageBreakBefore w:val="0"/>
              <w:kinsoku/>
              <w:wordWrap/>
              <w:overflowPunct/>
              <w:topLinePunct w:val="0"/>
              <w:autoSpaceDE/>
              <w:autoSpaceDN/>
              <w:bidi w:val="0"/>
              <w:spacing w:line="360" w:lineRule="auto"/>
              <w:jc w:val="left"/>
              <w:textAlignment w:val="auto"/>
              <w:rPr>
                <w:rFonts w:asciiTheme="minorEastAsia" w:hAnsiTheme="minorEastAsia" w:eastAsiaTheme="minorEastAsia"/>
                <w:bCs/>
                <w:color w:val="000000" w:themeColor="text1"/>
                <w:kern w:val="0"/>
                <w:sz w:val="28"/>
                <w:szCs w:val="28"/>
                <w:highlight w:val="none"/>
                <w14:textFill>
                  <w14:solidFill>
                    <w14:schemeClr w14:val="tx1"/>
                  </w14:solidFill>
                </w14:textFill>
              </w:rPr>
            </w:pPr>
            <w:r>
              <w:rPr>
                <w:rFonts w:hint="eastAsia" w:ascii="宋体" w:hAnsi="宋体" w:eastAsia="宋体" w:cs="宋体"/>
                <w:color w:val="000000" w:themeColor="text1"/>
                <w:kern w:val="0"/>
                <w:sz w:val="28"/>
                <w:szCs w:val="28"/>
                <w:highlight w:val="none"/>
                <w14:textFill>
                  <w14:solidFill>
                    <w14:schemeClr w14:val="tx1"/>
                  </w14:solidFill>
                </w14:textFill>
              </w:rPr>
              <w:t>评委根据提供对进度计划、质量保证措施方案实施要点进行评分。进度计划、质量保证措施解决方案</w:t>
            </w:r>
            <w:r>
              <w:rPr>
                <w:rFonts w:hint="eastAsia" w:ascii="宋体" w:hAnsi="宋体" w:eastAsia="宋体" w:cs="宋体"/>
                <w:color w:val="000000" w:themeColor="text1"/>
                <w:kern w:val="0"/>
                <w:sz w:val="28"/>
                <w:szCs w:val="28"/>
                <w:highlight w:val="none"/>
                <w:lang w:val="en-US" w:eastAsia="zh-CN"/>
                <w14:textFill>
                  <w14:solidFill>
                    <w14:schemeClr w14:val="tx1"/>
                  </w14:solidFill>
                </w14:textFill>
              </w:rPr>
              <w:t>内容</w:t>
            </w:r>
            <w:r>
              <w:rPr>
                <w:rFonts w:hint="eastAsia" w:ascii="宋体" w:hAnsi="宋体" w:eastAsia="宋体" w:cs="宋体"/>
                <w:color w:val="000000" w:themeColor="text1"/>
                <w:kern w:val="0"/>
                <w:sz w:val="28"/>
                <w:szCs w:val="28"/>
                <w:highlight w:val="none"/>
                <w14:textFill>
                  <w14:solidFill>
                    <w14:schemeClr w14:val="tx1"/>
                  </w14:solidFill>
                </w14:textFill>
              </w:rPr>
              <w:t>完整</w:t>
            </w:r>
            <w:r>
              <w:rPr>
                <w:rFonts w:hint="eastAsia" w:ascii="宋体" w:hAnsi="宋体" w:eastAsia="宋体" w:cs="宋体"/>
                <w:color w:val="000000" w:themeColor="text1"/>
                <w:kern w:val="0"/>
                <w:sz w:val="28"/>
                <w:szCs w:val="28"/>
                <w:highlight w:val="none"/>
                <w:lang w:eastAsia="zh-CN"/>
                <w14:textFill>
                  <w14:solidFill>
                    <w14:schemeClr w14:val="tx1"/>
                  </w14:solidFill>
                </w14:textFill>
              </w:rPr>
              <w:t>、</w:t>
            </w:r>
            <w:r>
              <w:rPr>
                <w:rFonts w:hint="eastAsia" w:ascii="宋体" w:hAnsi="宋体" w:eastAsia="宋体" w:cs="宋体"/>
                <w:color w:val="000000" w:themeColor="text1"/>
                <w:kern w:val="0"/>
                <w:sz w:val="28"/>
                <w:szCs w:val="28"/>
                <w:highlight w:val="none"/>
                <w:lang w:val="en-US" w:eastAsia="zh-CN"/>
                <w14:textFill>
                  <w14:solidFill>
                    <w14:schemeClr w14:val="tx1"/>
                  </w14:solidFill>
                </w14:textFill>
              </w:rPr>
              <w:t>合理</w:t>
            </w:r>
            <w:r>
              <w:rPr>
                <w:rFonts w:hint="eastAsia" w:ascii="宋体" w:hAnsi="宋体" w:eastAsia="宋体" w:cs="宋体"/>
                <w:color w:val="000000" w:themeColor="text1"/>
                <w:kern w:val="0"/>
                <w:sz w:val="28"/>
                <w:szCs w:val="28"/>
                <w:highlight w:val="none"/>
                <w14:textFill>
                  <w14:solidFill>
                    <w14:schemeClr w14:val="tx1"/>
                  </w14:solidFill>
                </w14:textFill>
              </w:rPr>
              <w:t>的得</w:t>
            </w:r>
            <w:r>
              <w:rPr>
                <w:rFonts w:hint="eastAsia" w:ascii="宋体" w:hAnsi="宋体" w:cs="宋体"/>
                <w:color w:val="000000" w:themeColor="text1"/>
                <w:kern w:val="0"/>
                <w:sz w:val="28"/>
                <w:szCs w:val="28"/>
                <w:highlight w:val="none"/>
                <w:lang w:val="en-US" w:eastAsia="zh-CN"/>
                <w14:textFill>
                  <w14:solidFill>
                    <w14:schemeClr w14:val="tx1"/>
                  </w14:solidFill>
                </w14:textFill>
              </w:rPr>
              <w:t>6</w:t>
            </w:r>
            <w:r>
              <w:rPr>
                <w:rFonts w:hint="eastAsia" w:ascii="宋体" w:hAnsi="宋体" w:eastAsia="宋体" w:cs="宋体"/>
                <w:color w:val="000000" w:themeColor="text1"/>
                <w:kern w:val="0"/>
                <w:sz w:val="28"/>
                <w:szCs w:val="28"/>
                <w:highlight w:val="none"/>
                <w14:textFill>
                  <w14:solidFill>
                    <w14:schemeClr w14:val="tx1"/>
                  </w14:solidFill>
                </w14:textFill>
              </w:rPr>
              <w:t>分；进度计划、质量保证措施解决方案</w:t>
            </w:r>
            <w:r>
              <w:rPr>
                <w:rFonts w:hint="eastAsia" w:ascii="宋体" w:hAnsi="宋体" w:eastAsia="宋体" w:cs="宋体"/>
                <w:color w:val="000000" w:themeColor="text1"/>
                <w:kern w:val="0"/>
                <w:sz w:val="28"/>
                <w:szCs w:val="28"/>
                <w:highlight w:val="none"/>
                <w:lang w:val="en-US" w:eastAsia="zh-CN"/>
                <w14:textFill>
                  <w14:solidFill>
                    <w14:schemeClr w14:val="tx1"/>
                  </w14:solidFill>
                </w14:textFill>
              </w:rPr>
              <w:t>内容</w:t>
            </w:r>
            <w:r>
              <w:rPr>
                <w:rFonts w:hint="eastAsia" w:ascii="宋体" w:hAnsi="宋体" w:eastAsia="宋体" w:cs="宋体"/>
                <w:color w:val="000000" w:themeColor="text1"/>
                <w:kern w:val="0"/>
                <w:sz w:val="28"/>
                <w:szCs w:val="28"/>
                <w:highlight w:val="none"/>
                <w14:textFill>
                  <w14:solidFill>
                    <w14:schemeClr w14:val="tx1"/>
                  </w14:solidFill>
                </w14:textFill>
              </w:rPr>
              <w:t>简略</w:t>
            </w:r>
            <w:r>
              <w:rPr>
                <w:rFonts w:hint="eastAsia" w:ascii="宋体" w:hAnsi="宋体" w:eastAsia="宋体" w:cs="宋体"/>
                <w:color w:val="000000" w:themeColor="text1"/>
                <w:kern w:val="0"/>
                <w:sz w:val="28"/>
                <w:szCs w:val="28"/>
                <w:highlight w:val="none"/>
                <w:lang w:eastAsia="zh-CN"/>
                <w14:textFill>
                  <w14:solidFill>
                    <w14:schemeClr w14:val="tx1"/>
                  </w14:solidFill>
                </w14:textFill>
              </w:rPr>
              <w:t>、</w:t>
            </w:r>
            <w:r>
              <w:rPr>
                <w:rFonts w:hint="eastAsia" w:ascii="宋体" w:hAnsi="宋体" w:eastAsia="宋体" w:cs="宋体"/>
                <w:color w:val="000000" w:themeColor="text1"/>
                <w:kern w:val="0"/>
                <w:sz w:val="28"/>
                <w:szCs w:val="28"/>
                <w:highlight w:val="none"/>
                <w:lang w:val="en-US" w:eastAsia="zh-CN"/>
                <w14:textFill>
                  <w14:solidFill>
                    <w14:schemeClr w14:val="tx1"/>
                  </w14:solidFill>
                </w14:textFill>
              </w:rPr>
              <w:t>较为合理</w:t>
            </w:r>
            <w:r>
              <w:rPr>
                <w:rFonts w:hint="eastAsia" w:ascii="宋体" w:hAnsi="宋体" w:eastAsia="宋体" w:cs="宋体"/>
                <w:color w:val="000000" w:themeColor="text1"/>
                <w:kern w:val="0"/>
                <w:sz w:val="28"/>
                <w:szCs w:val="28"/>
                <w:highlight w:val="none"/>
                <w14:textFill>
                  <w14:solidFill>
                    <w14:schemeClr w14:val="tx1"/>
                  </w14:solidFill>
                </w14:textFill>
              </w:rPr>
              <w:t>的得</w:t>
            </w:r>
            <w:r>
              <w:rPr>
                <w:rFonts w:hint="eastAsia" w:ascii="宋体" w:hAnsi="宋体" w:cs="宋体"/>
                <w:color w:val="000000" w:themeColor="text1"/>
                <w:kern w:val="0"/>
                <w:sz w:val="28"/>
                <w:szCs w:val="28"/>
                <w:highlight w:val="none"/>
                <w:lang w:val="en-US" w:eastAsia="zh-CN"/>
                <w14:textFill>
                  <w14:solidFill>
                    <w14:schemeClr w14:val="tx1"/>
                  </w14:solidFill>
                </w14:textFill>
              </w:rPr>
              <w:t>4</w:t>
            </w:r>
            <w:r>
              <w:rPr>
                <w:rFonts w:hint="eastAsia" w:ascii="宋体" w:hAnsi="宋体" w:eastAsia="宋体" w:cs="宋体"/>
                <w:color w:val="000000" w:themeColor="text1"/>
                <w:kern w:val="0"/>
                <w:sz w:val="28"/>
                <w:szCs w:val="28"/>
                <w:highlight w:val="none"/>
                <w14:textFill>
                  <w14:solidFill>
                    <w14:schemeClr w14:val="tx1"/>
                  </w14:solidFill>
                </w14:textFill>
              </w:rPr>
              <w:t>分；未提供或进度计划、质量保证措施解决方案不合理的得</w:t>
            </w:r>
            <w:r>
              <w:rPr>
                <w:rFonts w:hint="eastAsia" w:ascii="宋体" w:hAnsi="宋体" w:cs="宋体"/>
                <w:color w:val="000000" w:themeColor="text1"/>
                <w:kern w:val="0"/>
                <w:sz w:val="28"/>
                <w:szCs w:val="28"/>
                <w:highlight w:val="none"/>
                <w:lang w:val="en-US" w:eastAsia="zh-CN"/>
                <w14:textFill>
                  <w14:solidFill>
                    <w14:schemeClr w14:val="tx1"/>
                  </w14:solidFill>
                </w14:textFill>
              </w:rPr>
              <w:t>2</w:t>
            </w:r>
            <w:r>
              <w:rPr>
                <w:rFonts w:hint="eastAsia" w:ascii="宋体" w:hAnsi="宋体" w:eastAsia="宋体" w:cs="宋体"/>
                <w:color w:val="000000" w:themeColor="text1"/>
                <w:kern w:val="0"/>
                <w:sz w:val="28"/>
                <w:szCs w:val="28"/>
                <w:highlight w:val="none"/>
                <w14:textFill>
                  <w14:solidFill>
                    <w14:schemeClr w14:val="tx1"/>
                  </w14:solidFill>
                </w14:textFill>
              </w:rPr>
              <w:t>分。</w:t>
            </w:r>
          </w:p>
        </w:tc>
        <w:tc>
          <w:tcPr>
            <w:tcW w:w="1088" w:type="dxa"/>
            <w:vAlign w:val="center"/>
          </w:tcPr>
          <w:p w14:paraId="3EE1CCBA">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bCs/>
                <w:color w:val="000000" w:themeColor="text1"/>
                <w:kern w:val="0"/>
                <w:sz w:val="28"/>
                <w:szCs w:val="28"/>
                <w:highlight w:val="none"/>
                <w:lang w:val="en-US" w:eastAsia="zh-CN"/>
                <w14:textFill>
                  <w14:solidFill>
                    <w14:schemeClr w14:val="tx1"/>
                  </w14:solidFill>
                </w14:textFill>
              </w:rPr>
            </w:pPr>
            <w:r>
              <w:rPr>
                <w:rFonts w:hint="eastAsia" w:asciiTheme="minorEastAsia" w:hAnsiTheme="minorEastAsia" w:eastAsiaTheme="minorEastAsia"/>
                <w:bCs/>
                <w:color w:val="000000" w:themeColor="text1"/>
                <w:kern w:val="0"/>
                <w:sz w:val="28"/>
                <w:szCs w:val="28"/>
                <w:highlight w:val="none"/>
                <w:lang w:val="en-US" w:eastAsia="zh-CN"/>
                <w14:textFill>
                  <w14:solidFill>
                    <w14:schemeClr w14:val="tx1"/>
                  </w14:solidFill>
                </w14:textFill>
              </w:rPr>
              <w:t>6</w:t>
            </w:r>
          </w:p>
        </w:tc>
      </w:tr>
      <w:tr w14:paraId="478F4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 w:type="dxa"/>
            <w:vAlign w:val="center"/>
          </w:tcPr>
          <w:p w14:paraId="0F3D7F21">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bCs/>
                <w:color w:val="000000" w:themeColor="text1"/>
                <w:kern w:val="0"/>
                <w:sz w:val="28"/>
                <w:szCs w:val="28"/>
                <w:highlight w:val="none"/>
                <w:lang w:eastAsia="zh-CN"/>
                <w14:textFill>
                  <w14:solidFill>
                    <w14:schemeClr w14:val="tx1"/>
                  </w14:solidFill>
                </w14:textFill>
              </w:rPr>
            </w:pPr>
            <w:r>
              <w:rPr>
                <w:rFonts w:hint="eastAsia" w:asciiTheme="minorEastAsia" w:hAnsiTheme="minorEastAsia" w:eastAsiaTheme="minorEastAsia"/>
                <w:bCs/>
                <w:color w:val="000000" w:themeColor="text1"/>
                <w:kern w:val="0"/>
                <w:sz w:val="28"/>
                <w:szCs w:val="28"/>
                <w:highlight w:val="none"/>
                <w:lang w:val="en-US" w:eastAsia="zh-CN"/>
                <w14:textFill>
                  <w14:solidFill>
                    <w14:schemeClr w14:val="tx1"/>
                  </w14:solidFill>
                </w14:textFill>
              </w:rPr>
              <w:t>4</w:t>
            </w:r>
          </w:p>
        </w:tc>
        <w:tc>
          <w:tcPr>
            <w:tcW w:w="1500" w:type="dxa"/>
            <w:vAlign w:val="center"/>
          </w:tcPr>
          <w:p w14:paraId="77039451">
            <w:pPr>
              <w:pageBreakBefore w:val="0"/>
              <w:kinsoku/>
              <w:wordWrap/>
              <w:overflowPunct/>
              <w:topLinePunct w:val="0"/>
              <w:autoSpaceDE/>
              <w:autoSpaceDN/>
              <w:bidi w:val="0"/>
              <w:spacing w:line="560" w:lineRule="exact"/>
              <w:jc w:val="center"/>
              <w:textAlignment w:val="auto"/>
              <w:rPr>
                <w:rFonts w:asciiTheme="minorEastAsia" w:hAnsiTheme="minorEastAsia" w:eastAsiaTheme="minorEastAsia"/>
                <w:bCs/>
                <w:color w:val="000000" w:themeColor="text1"/>
                <w:kern w:val="0"/>
                <w:sz w:val="28"/>
                <w:szCs w:val="28"/>
                <w:highlight w:val="none"/>
                <w14:textFill>
                  <w14:solidFill>
                    <w14:schemeClr w14:val="tx1"/>
                  </w14:solidFill>
                </w14:textFill>
              </w:rPr>
            </w:pPr>
            <w:r>
              <w:rPr>
                <w:rFonts w:hint="eastAsia" w:ascii="宋体" w:hAnsi="宋体" w:eastAsia="宋体" w:cs="宋体"/>
                <w:color w:val="000000" w:themeColor="text1"/>
                <w:kern w:val="0"/>
                <w:sz w:val="28"/>
                <w:szCs w:val="28"/>
                <w:highlight w:val="none"/>
                <w14:textFill>
                  <w14:solidFill>
                    <w14:schemeClr w14:val="tx1"/>
                  </w14:solidFill>
                </w14:textFill>
              </w:rPr>
              <w:t>验收方案和措施</w:t>
            </w:r>
          </w:p>
        </w:tc>
        <w:tc>
          <w:tcPr>
            <w:tcW w:w="6283" w:type="dxa"/>
            <w:vAlign w:val="center"/>
          </w:tcPr>
          <w:p w14:paraId="534765FE">
            <w:pPr>
              <w:pageBreakBefore w:val="0"/>
              <w:kinsoku/>
              <w:wordWrap/>
              <w:overflowPunct/>
              <w:topLinePunct w:val="0"/>
              <w:autoSpaceDE/>
              <w:autoSpaceDN/>
              <w:bidi w:val="0"/>
              <w:spacing w:line="560" w:lineRule="exact"/>
              <w:jc w:val="left"/>
              <w:textAlignment w:val="auto"/>
              <w:rPr>
                <w:rFonts w:asciiTheme="minorEastAsia" w:hAnsiTheme="minorEastAsia" w:eastAsiaTheme="minorEastAsia"/>
                <w:bCs/>
                <w:color w:val="000000" w:themeColor="text1"/>
                <w:kern w:val="0"/>
                <w:sz w:val="28"/>
                <w:szCs w:val="28"/>
                <w:highlight w:val="none"/>
                <w14:textFill>
                  <w14:solidFill>
                    <w14:schemeClr w14:val="tx1"/>
                  </w14:solidFill>
                </w14:textFill>
              </w:rPr>
            </w:pPr>
            <w:r>
              <w:rPr>
                <w:rFonts w:hint="eastAsia" w:ascii="宋体" w:hAnsi="宋体" w:eastAsia="宋体" w:cs="宋体"/>
                <w:color w:val="000000" w:themeColor="text1"/>
                <w:kern w:val="0"/>
                <w:sz w:val="28"/>
                <w:szCs w:val="28"/>
                <w:highlight w:val="none"/>
                <w14:textFill>
                  <w14:solidFill>
                    <w14:schemeClr w14:val="tx1"/>
                  </w14:solidFill>
                </w14:textFill>
              </w:rPr>
              <w:t>根据本项目的实际情况，自行编制验收方案和措施；验收方案和措施优质完整符合项目实际需要</w:t>
            </w:r>
            <w:r>
              <w:rPr>
                <w:rFonts w:hint="eastAsia" w:ascii="宋体" w:hAnsi="宋体" w:cs="宋体"/>
                <w:color w:val="000000" w:themeColor="text1"/>
                <w:kern w:val="0"/>
                <w:sz w:val="28"/>
                <w:szCs w:val="28"/>
                <w:highlight w:val="none"/>
                <w:lang w:eastAsia="zh-CN"/>
                <w14:textFill>
                  <w14:solidFill>
                    <w14:schemeClr w14:val="tx1"/>
                  </w14:solidFill>
                </w14:textFill>
              </w:rPr>
              <w:t>的</w:t>
            </w:r>
            <w:r>
              <w:rPr>
                <w:rFonts w:hint="eastAsia" w:ascii="宋体" w:hAnsi="宋体" w:eastAsia="宋体" w:cs="宋体"/>
                <w:color w:val="000000" w:themeColor="text1"/>
                <w:kern w:val="0"/>
                <w:sz w:val="28"/>
                <w:szCs w:val="28"/>
                <w:highlight w:val="none"/>
                <w14:textFill>
                  <w14:solidFill>
                    <w14:schemeClr w14:val="tx1"/>
                  </w14:solidFill>
                </w14:textFill>
              </w:rPr>
              <w:t>得</w:t>
            </w:r>
            <w:r>
              <w:rPr>
                <w:rFonts w:hint="eastAsia" w:ascii="宋体" w:hAnsi="宋体" w:cs="宋体"/>
                <w:color w:val="000000" w:themeColor="text1"/>
                <w:kern w:val="0"/>
                <w:sz w:val="28"/>
                <w:szCs w:val="28"/>
                <w:highlight w:val="none"/>
                <w:lang w:val="en-US" w:eastAsia="zh-CN"/>
                <w14:textFill>
                  <w14:solidFill>
                    <w14:schemeClr w14:val="tx1"/>
                  </w14:solidFill>
                </w14:textFill>
              </w:rPr>
              <w:t>5</w:t>
            </w:r>
            <w:r>
              <w:rPr>
                <w:rFonts w:hint="eastAsia" w:ascii="宋体" w:hAnsi="宋体" w:eastAsia="宋体" w:cs="宋体"/>
                <w:color w:val="000000" w:themeColor="text1"/>
                <w:kern w:val="0"/>
                <w:sz w:val="28"/>
                <w:szCs w:val="28"/>
                <w:highlight w:val="none"/>
                <w14:textFill>
                  <w14:solidFill>
                    <w14:schemeClr w14:val="tx1"/>
                  </w14:solidFill>
                </w14:textFill>
              </w:rPr>
              <w:t>分</w:t>
            </w:r>
            <w:r>
              <w:rPr>
                <w:rFonts w:hint="eastAsia" w:ascii="宋体" w:hAnsi="宋体" w:cs="宋体"/>
                <w:color w:val="000000" w:themeColor="text1"/>
                <w:kern w:val="0"/>
                <w:sz w:val="28"/>
                <w:szCs w:val="28"/>
                <w:highlight w:val="none"/>
                <w:lang w:eastAsia="zh-CN"/>
                <w14:textFill>
                  <w14:solidFill>
                    <w14:schemeClr w14:val="tx1"/>
                  </w14:solidFill>
                </w14:textFill>
              </w:rPr>
              <w:t>；</w:t>
            </w:r>
            <w:r>
              <w:rPr>
                <w:rFonts w:hint="eastAsia" w:ascii="宋体" w:hAnsi="宋体" w:eastAsia="宋体" w:cs="宋体"/>
                <w:color w:val="000000" w:themeColor="text1"/>
                <w:kern w:val="0"/>
                <w:sz w:val="28"/>
                <w:szCs w:val="28"/>
                <w:highlight w:val="none"/>
                <w14:textFill>
                  <w14:solidFill>
                    <w14:schemeClr w14:val="tx1"/>
                  </w14:solidFill>
                </w14:textFill>
              </w:rPr>
              <w:t>验收方案和措施基本满足</w:t>
            </w:r>
            <w:r>
              <w:rPr>
                <w:rFonts w:hint="eastAsia" w:ascii="宋体" w:hAnsi="宋体" w:cs="宋体"/>
                <w:color w:val="000000" w:themeColor="text1"/>
                <w:kern w:val="0"/>
                <w:sz w:val="28"/>
                <w:szCs w:val="28"/>
                <w:highlight w:val="none"/>
                <w:lang w:eastAsia="zh-CN"/>
                <w14:textFill>
                  <w14:solidFill>
                    <w14:schemeClr w14:val="tx1"/>
                  </w14:solidFill>
                </w14:textFill>
              </w:rPr>
              <w:t>采购人实际</w:t>
            </w:r>
            <w:r>
              <w:rPr>
                <w:rFonts w:hint="eastAsia" w:ascii="宋体" w:hAnsi="宋体" w:eastAsia="宋体" w:cs="宋体"/>
                <w:color w:val="000000" w:themeColor="text1"/>
                <w:kern w:val="0"/>
                <w:sz w:val="28"/>
                <w:szCs w:val="28"/>
                <w:highlight w:val="none"/>
                <w14:textFill>
                  <w14:solidFill>
                    <w14:schemeClr w14:val="tx1"/>
                  </w14:solidFill>
                </w14:textFill>
              </w:rPr>
              <w:t>需要</w:t>
            </w:r>
            <w:r>
              <w:rPr>
                <w:rFonts w:hint="eastAsia" w:ascii="宋体" w:hAnsi="宋体" w:cs="宋体"/>
                <w:color w:val="000000" w:themeColor="text1"/>
                <w:kern w:val="0"/>
                <w:sz w:val="28"/>
                <w:szCs w:val="28"/>
                <w:highlight w:val="none"/>
                <w:lang w:eastAsia="zh-CN"/>
                <w14:textFill>
                  <w14:solidFill>
                    <w14:schemeClr w14:val="tx1"/>
                  </w14:solidFill>
                </w14:textFill>
              </w:rPr>
              <w:t>的</w:t>
            </w:r>
            <w:r>
              <w:rPr>
                <w:rFonts w:hint="eastAsia" w:ascii="宋体" w:hAnsi="宋体" w:eastAsia="宋体" w:cs="宋体"/>
                <w:color w:val="000000" w:themeColor="text1"/>
                <w:kern w:val="0"/>
                <w:sz w:val="28"/>
                <w:szCs w:val="28"/>
                <w:highlight w:val="none"/>
                <w14:textFill>
                  <w14:solidFill>
                    <w14:schemeClr w14:val="tx1"/>
                  </w14:solidFill>
                </w14:textFill>
              </w:rPr>
              <w:t>得</w:t>
            </w:r>
            <w:r>
              <w:rPr>
                <w:rFonts w:hint="eastAsia" w:ascii="宋体" w:hAnsi="宋体" w:cs="宋体"/>
                <w:color w:val="000000" w:themeColor="text1"/>
                <w:kern w:val="0"/>
                <w:sz w:val="28"/>
                <w:szCs w:val="28"/>
                <w:highlight w:val="none"/>
                <w:lang w:val="en-US" w:eastAsia="zh-CN"/>
                <w14:textFill>
                  <w14:solidFill>
                    <w14:schemeClr w14:val="tx1"/>
                  </w14:solidFill>
                </w14:textFill>
              </w:rPr>
              <w:t>3</w:t>
            </w:r>
            <w:r>
              <w:rPr>
                <w:rFonts w:hint="eastAsia" w:ascii="宋体" w:hAnsi="宋体" w:eastAsia="宋体" w:cs="宋体"/>
                <w:color w:val="000000" w:themeColor="text1"/>
                <w:kern w:val="0"/>
                <w:sz w:val="28"/>
                <w:szCs w:val="28"/>
                <w:highlight w:val="none"/>
                <w14:textFill>
                  <w14:solidFill>
                    <w14:schemeClr w14:val="tx1"/>
                  </w14:solidFill>
                </w14:textFill>
              </w:rPr>
              <w:t>分</w:t>
            </w:r>
            <w:r>
              <w:rPr>
                <w:rFonts w:hint="eastAsia" w:ascii="宋体" w:hAnsi="宋体" w:cs="宋体"/>
                <w:color w:val="000000" w:themeColor="text1"/>
                <w:kern w:val="0"/>
                <w:sz w:val="28"/>
                <w:szCs w:val="28"/>
                <w:highlight w:val="none"/>
                <w:lang w:eastAsia="zh-CN"/>
                <w14:textFill>
                  <w14:solidFill>
                    <w14:schemeClr w14:val="tx1"/>
                  </w14:solidFill>
                </w14:textFill>
              </w:rPr>
              <w:t>；</w:t>
            </w:r>
            <w:r>
              <w:rPr>
                <w:rFonts w:hint="eastAsia" w:ascii="宋体" w:hAnsi="宋体" w:eastAsia="宋体" w:cs="宋体"/>
                <w:color w:val="000000" w:themeColor="text1"/>
                <w:kern w:val="0"/>
                <w:sz w:val="28"/>
                <w:szCs w:val="28"/>
                <w:highlight w:val="none"/>
                <w:lang w:eastAsia="zh-CN"/>
                <w14:textFill>
                  <w14:solidFill>
                    <w14:schemeClr w14:val="tx1"/>
                  </w14:solidFill>
                </w14:textFill>
              </w:rPr>
              <w:t>不提供不得分。</w:t>
            </w:r>
          </w:p>
        </w:tc>
        <w:tc>
          <w:tcPr>
            <w:tcW w:w="1088" w:type="dxa"/>
            <w:vAlign w:val="center"/>
          </w:tcPr>
          <w:p w14:paraId="13C1A18C">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bCs/>
                <w:color w:val="000000" w:themeColor="text1"/>
                <w:kern w:val="0"/>
                <w:sz w:val="28"/>
                <w:szCs w:val="28"/>
                <w:highlight w:val="none"/>
                <w:lang w:eastAsia="zh-CN"/>
                <w14:textFill>
                  <w14:solidFill>
                    <w14:schemeClr w14:val="tx1"/>
                  </w14:solidFill>
                </w14:textFill>
              </w:rPr>
            </w:pPr>
            <w:r>
              <w:rPr>
                <w:rFonts w:hint="eastAsia" w:asciiTheme="minorEastAsia" w:hAnsiTheme="minorEastAsia" w:eastAsiaTheme="minorEastAsia"/>
                <w:bCs/>
                <w:color w:val="000000" w:themeColor="text1"/>
                <w:kern w:val="0"/>
                <w:sz w:val="28"/>
                <w:szCs w:val="28"/>
                <w:highlight w:val="none"/>
                <w:lang w:val="en-US" w:eastAsia="zh-CN"/>
                <w14:textFill>
                  <w14:solidFill>
                    <w14:schemeClr w14:val="tx1"/>
                  </w14:solidFill>
                </w14:textFill>
              </w:rPr>
              <w:t>5</w:t>
            </w:r>
          </w:p>
        </w:tc>
      </w:tr>
      <w:tr w14:paraId="54693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 w:type="dxa"/>
            <w:vAlign w:val="center"/>
          </w:tcPr>
          <w:p w14:paraId="6D37331D">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bCs/>
                <w:color w:val="000000" w:themeColor="text1"/>
                <w:kern w:val="0"/>
                <w:sz w:val="28"/>
                <w:szCs w:val="28"/>
                <w:highlight w:val="none"/>
                <w:lang w:eastAsia="zh-CN"/>
                <w14:textFill>
                  <w14:solidFill>
                    <w14:schemeClr w14:val="tx1"/>
                  </w14:solidFill>
                </w14:textFill>
              </w:rPr>
            </w:pPr>
            <w:r>
              <w:rPr>
                <w:rFonts w:hint="eastAsia" w:asciiTheme="minorEastAsia" w:hAnsiTheme="minorEastAsia" w:eastAsiaTheme="minorEastAsia"/>
                <w:bCs/>
                <w:color w:val="000000" w:themeColor="text1"/>
                <w:kern w:val="0"/>
                <w:sz w:val="28"/>
                <w:szCs w:val="28"/>
                <w:highlight w:val="none"/>
                <w:lang w:val="en-US" w:eastAsia="zh-CN"/>
                <w14:textFill>
                  <w14:solidFill>
                    <w14:schemeClr w14:val="tx1"/>
                  </w14:solidFill>
                </w14:textFill>
              </w:rPr>
              <w:t>5</w:t>
            </w:r>
          </w:p>
        </w:tc>
        <w:tc>
          <w:tcPr>
            <w:tcW w:w="1500" w:type="dxa"/>
            <w:vAlign w:val="center"/>
          </w:tcPr>
          <w:p w14:paraId="5B563E7F">
            <w:pPr>
              <w:pageBreakBefore w:val="0"/>
              <w:kinsoku/>
              <w:wordWrap/>
              <w:overflowPunct/>
              <w:topLinePunct w:val="0"/>
              <w:autoSpaceDE/>
              <w:autoSpaceDN/>
              <w:bidi w:val="0"/>
              <w:spacing w:line="560" w:lineRule="exact"/>
              <w:jc w:val="center"/>
              <w:textAlignment w:val="auto"/>
              <w:rPr>
                <w:rFonts w:asciiTheme="minorEastAsia" w:hAnsiTheme="minorEastAsia" w:eastAsiaTheme="minorEastAsia"/>
                <w:bCs/>
                <w:color w:val="000000" w:themeColor="text1"/>
                <w:kern w:val="0"/>
                <w:sz w:val="28"/>
                <w:szCs w:val="28"/>
                <w:highlight w:val="none"/>
                <w14:textFill>
                  <w14:solidFill>
                    <w14:schemeClr w14:val="tx1"/>
                  </w14:solidFill>
                </w14:textFill>
              </w:rPr>
            </w:pPr>
            <w:r>
              <w:rPr>
                <w:rFonts w:hint="eastAsia" w:ascii="宋体" w:hAnsi="宋体" w:eastAsia="宋体" w:cs="宋体"/>
                <w:color w:val="000000" w:themeColor="text1"/>
                <w:kern w:val="0"/>
                <w:sz w:val="28"/>
                <w:szCs w:val="28"/>
                <w:highlight w:val="none"/>
                <w:lang w:eastAsia="zh-CN"/>
                <w14:textFill>
                  <w14:solidFill>
                    <w14:schemeClr w14:val="tx1"/>
                  </w14:solidFill>
                </w14:textFill>
              </w:rPr>
              <w:t>培训方案</w:t>
            </w:r>
          </w:p>
        </w:tc>
        <w:tc>
          <w:tcPr>
            <w:tcW w:w="6283" w:type="dxa"/>
            <w:vAlign w:val="center"/>
          </w:tcPr>
          <w:p w14:paraId="67021825">
            <w:pPr>
              <w:pageBreakBefore w:val="0"/>
              <w:kinsoku/>
              <w:wordWrap/>
              <w:overflowPunct/>
              <w:topLinePunct w:val="0"/>
              <w:autoSpaceDE/>
              <w:autoSpaceDN/>
              <w:bidi w:val="0"/>
              <w:spacing w:line="560" w:lineRule="exact"/>
              <w:jc w:val="left"/>
              <w:textAlignment w:val="auto"/>
              <w:rPr>
                <w:rFonts w:asciiTheme="minorEastAsia" w:hAnsiTheme="minorEastAsia" w:eastAsiaTheme="minorEastAsia"/>
                <w:bCs/>
                <w:color w:val="000000" w:themeColor="text1"/>
                <w:kern w:val="0"/>
                <w:sz w:val="28"/>
                <w:szCs w:val="28"/>
                <w:highlight w:val="none"/>
                <w14:textFill>
                  <w14:solidFill>
                    <w14:schemeClr w14:val="tx1"/>
                  </w14:solidFill>
                </w14:textFill>
              </w:rPr>
            </w:pPr>
            <w:r>
              <w:rPr>
                <w:rFonts w:hint="eastAsia" w:ascii="宋体" w:hAnsi="宋体" w:eastAsia="宋体" w:cs="宋体"/>
                <w:color w:val="000000" w:themeColor="text1"/>
                <w:kern w:val="0"/>
                <w:sz w:val="28"/>
                <w:szCs w:val="28"/>
                <w:highlight w:val="none"/>
                <w:lang w:eastAsia="zh-CN"/>
                <w14:textFill>
                  <w14:solidFill>
                    <w14:schemeClr w14:val="tx1"/>
                  </w14:solidFill>
                </w14:textFill>
              </w:rPr>
              <w:t>针对本项目制定</w:t>
            </w:r>
            <w:r>
              <w:rPr>
                <w:rFonts w:hint="eastAsia" w:ascii="宋体" w:hAnsi="宋体" w:cs="宋体"/>
                <w:color w:val="000000" w:themeColor="text1"/>
                <w:kern w:val="0"/>
                <w:sz w:val="28"/>
                <w:szCs w:val="28"/>
                <w:highlight w:val="none"/>
                <w:lang w:eastAsia="zh-CN"/>
                <w14:textFill>
                  <w14:solidFill>
                    <w14:schemeClr w14:val="tx1"/>
                  </w14:solidFill>
                </w14:textFill>
              </w:rPr>
              <w:t>符合项目情况的</w:t>
            </w:r>
            <w:r>
              <w:rPr>
                <w:rFonts w:hint="eastAsia" w:ascii="宋体" w:hAnsi="宋体" w:eastAsia="宋体" w:cs="宋体"/>
                <w:color w:val="000000" w:themeColor="text1"/>
                <w:kern w:val="0"/>
                <w:sz w:val="28"/>
                <w:szCs w:val="28"/>
                <w:highlight w:val="none"/>
                <w:lang w:eastAsia="zh-CN"/>
                <w14:textFill>
                  <w14:solidFill>
                    <w14:schemeClr w14:val="tx1"/>
                  </w14:solidFill>
                </w14:textFill>
              </w:rPr>
              <w:t>培训方案；</w:t>
            </w:r>
            <w:r>
              <w:rPr>
                <w:rFonts w:hint="eastAsia" w:ascii="宋体" w:hAnsi="宋体" w:cs="宋体"/>
                <w:color w:val="000000" w:themeColor="text1"/>
                <w:kern w:val="0"/>
                <w:sz w:val="28"/>
                <w:szCs w:val="28"/>
                <w:highlight w:val="none"/>
                <w:lang w:eastAsia="zh-CN"/>
                <w14:textFill>
                  <w14:solidFill>
                    <w14:schemeClr w14:val="tx1"/>
                  </w14:solidFill>
                </w14:textFill>
              </w:rPr>
              <w:t>包括但不限于</w:t>
            </w:r>
            <w:r>
              <w:rPr>
                <w:rFonts w:hint="eastAsia" w:ascii="宋体" w:hAnsi="宋体" w:eastAsia="宋体" w:cs="宋体"/>
                <w:color w:val="000000" w:themeColor="text1"/>
                <w:kern w:val="0"/>
                <w:sz w:val="28"/>
                <w:szCs w:val="28"/>
                <w:highlight w:val="none"/>
                <w:lang w:eastAsia="zh-CN"/>
                <w14:textFill>
                  <w14:solidFill>
                    <w14:schemeClr w14:val="tx1"/>
                  </w14:solidFill>
                </w14:textFill>
              </w:rPr>
              <w:t>培训</w:t>
            </w:r>
            <w:r>
              <w:rPr>
                <w:rFonts w:hint="eastAsia" w:ascii="宋体" w:hAnsi="宋体" w:cs="宋体"/>
                <w:color w:val="000000" w:themeColor="text1"/>
                <w:kern w:val="0"/>
                <w:sz w:val="28"/>
                <w:szCs w:val="28"/>
                <w:highlight w:val="none"/>
                <w:lang w:eastAsia="zh-CN"/>
                <w14:textFill>
                  <w14:solidFill>
                    <w14:schemeClr w14:val="tx1"/>
                  </w14:solidFill>
                </w14:textFill>
              </w:rPr>
              <w:t>时间、培训</w:t>
            </w:r>
            <w:r>
              <w:rPr>
                <w:rFonts w:hint="eastAsia" w:ascii="宋体" w:hAnsi="宋体" w:eastAsia="宋体" w:cs="宋体"/>
                <w:color w:val="000000" w:themeColor="text1"/>
                <w:kern w:val="0"/>
                <w:sz w:val="28"/>
                <w:szCs w:val="28"/>
                <w:highlight w:val="none"/>
                <w:lang w:eastAsia="zh-CN"/>
                <w14:textFill>
                  <w14:solidFill>
                    <w14:schemeClr w14:val="tx1"/>
                  </w14:solidFill>
                </w14:textFill>
              </w:rPr>
              <w:t>团队</w:t>
            </w:r>
            <w:r>
              <w:rPr>
                <w:rFonts w:hint="eastAsia" w:ascii="宋体" w:hAnsi="宋体" w:cs="宋体"/>
                <w:color w:val="000000" w:themeColor="text1"/>
                <w:kern w:val="0"/>
                <w:sz w:val="28"/>
                <w:szCs w:val="28"/>
                <w:highlight w:val="none"/>
                <w:lang w:eastAsia="zh-CN"/>
                <w14:textFill>
                  <w14:solidFill>
                    <w14:schemeClr w14:val="tx1"/>
                  </w14:solidFill>
                </w14:textFill>
              </w:rPr>
              <w:t>、</w:t>
            </w:r>
            <w:r>
              <w:rPr>
                <w:rFonts w:hint="eastAsia" w:ascii="宋体" w:hAnsi="宋体" w:eastAsia="宋体" w:cs="宋体"/>
                <w:color w:val="000000" w:themeColor="text1"/>
                <w:kern w:val="0"/>
                <w:sz w:val="28"/>
                <w:szCs w:val="28"/>
                <w:highlight w:val="none"/>
                <w:lang w:eastAsia="zh-CN"/>
                <w14:textFill>
                  <w14:solidFill>
                    <w14:schemeClr w14:val="tx1"/>
                  </w14:solidFill>
                </w14:textFill>
              </w:rPr>
              <w:t>培训</w:t>
            </w:r>
            <w:r>
              <w:rPr>
                <w:rFonts w:hint="eastAsia" w:ascii="宋体" w:hAnsi="宋体" w:cs="宋体"/>
                <w:color w:val="000000" w:themeColor="text1"/>
                <w:kern w:val="0"/>
                <w:sz w:val="28"/>
                <w:szCs w:val="28"/>
                <w:highlight w:val="none"/>
                <w:lang w:eastAsia="zh-CN"/>
                <w14:textFill>
                  <w14:solidFill>
                    <w14:schemeClr w14:val="tx1"/>
                  </w14:solidFill>
                </w14:textFill>
              </w:rPr>
              <w:t>内容等方面</w:t>
            </w:r>
            <w:r>
              <w:rPr>
                <w:rFonts w:hint="eastAsia" w:ascii="宋体" w:hAnsi="宋体" w:eastAsia="宋体" w:cs="宋体"/>
                <w:color w:val="000000" w:themeColor="text1"/>
                <w:kern w:val="0"/>
                <w:sz w:val="28"/>
                <w:szCs w:val="28"/>
                <w:highlight w:val="none"/>
                <w:lang w:eastAsia="zh-CN"/>
                <w14:textFill>
                  <w14:solidFill>
                    <w14:schemeClr w14:val="tx1"/>
                  </w14:solidFill>
                </w14:textFill>
              </w:rPr>
              <w:t>。对</w:t>
            </w:r>
            <w:r>
              <w:rPr>
                <w:rFonts w:hint="eastAsia" w:ascii="宋体" w:hAnsi="宋体" w:cs="宋体"/>
                <w:color w:val="000000" w:themeColor="text1"/>
                <w:kern w:val="0"/>
                <w:sz w:val="28"/>
                <w:szCs w:val="28"/>
                <w:highlight w:val="none"/>
                <w:lang w:eastAsia="zh-CN"/>
                <w14:textFill>
                  <w14:solidFill>
                    <w14:schemeClr w14:val="tx1"/>
                  </w14:solidFill>
                </w14:textFill>
              </w:rPr>
              <w:t>方案</w:t>
            </w:r>
            <w:r>
              <w:rPr>
                <w:rFonts w:hint="eastAsia" w:ascii="宋体" w:hAnsi="宋体" w:eastAsia="宋体" w:cs="宋体"/>
                <w:color w:val="000000" w:themeColor="text1"/>
                <w:kern w:val="0"/>
                <w:sz w:val="28"/>
                <w:szCs w:val="28"/>
                <w:highlight w:val="none"/>
                <w:lang w:eastAsia="zh-CN"/>
                <w14:textFill>
                  <w14:solidFill>
                    <w14:schemeClr w14:val="tx1"/>
                  </w14:solidFill>
                </w14:textFill>
              </w:rPr>
              <w:t>进行综合评比</w:t>
            </w:r>
            <w:r>
              <w:rPr>
                <w:rFonts w:hint="eastAsia" w:ascii="宋体" w:hAnsi="宋体" w:cs="宋体"/>
                <w:color w:val="000000" w:themeColor="text1"/>
                <w:kern w:val="0"/>
                <w:sz w:val="28"/>
                <w:szCs w:val="28"/>
                <w:highlight w:val="none"/>
                <w:lang w:eastAsia="zh-CN"/>
                <w14:textFill>
                  <w14:solidFill>
                    <w14:schemeClr w14:val="tx1"/>
                  </w14:solidFill>
                </w14:textFill>
              </w:rPr>
              <w:t>，</w:t>
            </w:r>
            <w:r>
              <w:rPr>
                <w:rFonts w:hint="eastAsia" w:ascii="宋体" w:hAnsi="宋体" w:eastAsia="宋体" w:cs="宋体"/>
                <w:color w:val="000000" w:themeColor="text1"/>
                <w:kern w:val="0"/>
                <w:sz w:val="28"/>
                <w:szCs w:val="28"/>
                <w:highlight w:val="none"/>
                <w:lang w:eastAsia="zh-CN"/>
                <w14:textFill>
                  <w14:solidFill>
                    <w14:schemeClr w14:val="tx1"/>
                  </w14:solidFill>
                </w14:textFill>
              </w:rPr>
              <w:t>提供优质完整符合项目实际情况的</w:t>
            </w:r>
            <w:r>
              <w:rPr>
                <w:rFonts w:hint="eastAsia" w:ascii="宋体" w:hAnsi="宋体" w:cs="宋体"/>
                <w:color w:val="000000" w:themeColor="text1"/>
                <w:kern w:val="0"/>
                <w:sz w:val="28"/>
                <w:szCs w:val="28"/>
                <w:highlight w:val="none"/>
                <w:lang w:eastAsia="zh-CN"/>
                <w14:textFill>
                  <w14:solidFill>
                    <w14:schemeClr w14:val="tx1"/>
                  </w14:solidFill>
                </w14:textFill>
              </w:rPr>
              <w:t>方案</w:t>
            </w:r>
            <w:r>
              <w:rPr>
                <w:rFonts w:hint="eastAsia" w:ascii="宋体" w:hAnsi="宋体" w:eastAsia="宋体" w:cs="宋体"/>
                <w:color w:val="000000" w:themeColor="text1"/>
                <w:kern w:val="0"/>
                <w:sz w:val="28"/>
                <w:szCs w:val="28"/>
                <w:highlight w:val="none"/>
                <w:lang w:eastAsia="zh-CN"/>
                <w14:textFill>
                  <w14:solidFill>
                    <w14:schemeClr w14:val="tx1"/>
                  </w14:solidFill>
                </w14:textFill>
              </w:rPr>
              <w:t>得</w:t>
            </w:r>
            <w:r>
              <w:rPr>
                <w:rFonts w:hint="eastAsia" w:ascii="宋体" w:hAnsi="宋体" w:cs="宋体"/>
                <w:color w:val="000000" w:themeColor="text1"/>
                <w:kern w:val="0"/>
                <w:sz w:val="28"/>
                <w:szCs w:val="28"/>
                <w:highlight w:val="none"/>
                <w:lang w:val="en-US" w:eastAsia="zh-CN"/>
                <w14:textFill>
                  <w14:solidFill>
                    <w14:schemeClr w14:val="tx1"/>
                  </w14:solidFill>
                </w14:textFill>
              </w:rPr>
              <w:t>5</w:t>
            </w:r>
            <w:r>
              <w:rPr>
                <w:rFonts w:hint="eastAsia" w:ascii="宋体" w:hAnsi="宋体" w:eastAsia="宋体" w:cs="宋体"/>
                <w:color w:val="000000" w:themeColor="text1"/>
                <w:kern w:val="0"/>
                <w:sz w:val="28"/>
                <w:szCs w:val="28"/>
                <w:highlight w:val="none"/>
                <w:lang w:eastAsia="zh-CN"/>
                <w14:textFill>
                  <w14:solidFill>
                    <w14:schemeClr w14:val="tx1"/>
                  </w14:solidFill>
                </w14:textFill>
              </w:rPr>
              <w:t>分</w:t>
            </w:r>
            <w:r>
              <w:rPr>
                <w:rFonts w:hint="eastAsia" w:ascii="宋体" w:hAnsi="宋体" w:cs="宋体"/>
                <w:color w:val="000000" w:themeColor="text1"/>
                <w:kern w:val="0"/>
                <w:sz w:val="28"/>
                <w:szCs w:val="28"/>
                <w:highlight w:val="none"/>
                <w:lang w:eastAsia="zh-CN"/>
                <w14:textFill>
                  <w14:solidFill>
                    <w14:schemeClr w14:val="tx1"/>
                  </w14:solidFill>
                </w14:textFill>
              </w:rPr>
              <w:t>；</w:t>
            </w:r>
            <w:r>
              <w:rPr>
                <w:rFonts w:hint="eastAsia" w:ascii="宋体" w:hAnsi="宋体" w:eastAsia="宋体" w:cs="宋体"/>
                <w:color w:val="000000" w:themeColor="text1"/>
                <w:kern w:val="0"/>
                <w:sz w:val="28"/>
                <w:szCs w:val="28"/>
                <w:highlight w:val="none"/>
                <w:lang w:eastAsia="zh-CN"/>
                <w14:textFill>
                  <w14:solidFill>
                    <w14:schemeClr w14:val="tx1"/>
                  </w14:solidFill>
                </w14:textFill>
              </w:rPr>
              <w:t>能基本满足采购人需求的</w:t>
            </w:r>
            <w:r>
              <w:rPr>
                <w:rFonts w:hint="eastAsia" w:ascii="宋体" w:hAnsi="宋体" w:cs="宋体"/>
                <w:color w:val="000000" w:themeColor="text1"/>
                <w:kern w:val="0"/>
                <w:sz w:val="28"/>
                <w:szCs w:val="28"/>
                <w:highlight w:val="none"/>
                <w:lang w:eastAsia="zh-CN"/>
                <w14:textFill>
                  <w14:solidFill>
                    <w14:schemeClr w14:val="tx1"/>
                  </w14:solidFill>
                </w14:textFill>
              </w:rPr>
              <w:t>得</w:t>
            </w:r>
            <w:r>
              <w:rPr>
                <w:rFonts w:hint="eastAsia" w:ascii="宋体" w:hAnsi="宋体" w:cs="宋体"/>
                <w:color w:val="000000" w:themeColor="text1"/>
                <w:kern w:val="0"/>
                <w:sz w:val="28"/>
                <w:szCs w:val="28"/>
                <w:highlight w:val="none"/>
                <w:lang w:val="en-US" w:eastAsia="zh-CN"/>
                <w14:textFill>
                  <w14:solidFill>
                    <w14:schemeClr w14:val="tx1"/>
                  </w14:solidFill>
                </w14:textFill>
              </w:rPr>
              <w:t>3</w:t>
            </w:r>
            <w:r>
              <w:rPr>
                <w:rFonts w:hint="eastAsia" w:ascii="宋体" w:hAnsi="宋体" w:eastAsia="宋体" w:cs="宋体"/>
                <w:color w:val="000000" w:themeColor="text1"/>
                <w:kern w:val="0"/>
                <w:sz w:val="28"/>
                <w:szCs w:val="28"/>
                <w:highlight w:val="none"/>
                <w:lang w:eastAsia="zh-CN"/>
                <w14:textFill>
                  <w14:solidFill>
                    <w14:schemeClr w14:val="tx1"/>
                  </w14:solidFill>
                </w14:textFill>
              </w:rPr>
              <w:t>分；未提供不得分。</w:t>
            </w:r>
          </w:p>
        </w:tc>
        <w:tc>
          <w:tcPr>
            <w:tcW w:w="1088" w:type="dxa"/>
            <w:vAlign w:val="center"/>
          </w:tcPr>
          <w:p w14:paraId="1E411570">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bCs/>
                <w:color w:val="000000" w:themeColor="text1"/>
                <w:kern w:val="0"/>
                <w:sz w:val="28"/>
                <w:szCs w:val="28"/>
                <w:highlight w:val="none"/>
                <w:lang w:eastAsia="zh-CN"/>
                <w14:textFill>
                  <w14:solidFill>
                    <w14:schemeClr w14:val="tx1"/>
                  </w14:solidFill>
                </w14:textFill>
              </w:rPr>
            </w:pPr>
            <w:r>
              <w:rPr>
                <w:rFonts w:hint="eastAsia" w:asciiTheme="minorEastAsia" w:hAnsiTheme="minorEastAsia" w:eastAsiaTheme="minorEastAsia"/>
                <w:bCs/>
                <w:color w:val="000000" w:themeColor="text1"/>
                <w:kern w:val="0"/>
                <w:sz w:val="28"/>
                <w:szCs w:val="28"/>
                <w:highlight w:val="none"/>
                <w:lang w:val="en-US" w:eastAsia="zh-CN"/>
                <w14:textFill>
                  <w14:solidFill>
                    <w14:schemeClr w14:val="tx1"/>
                  </w14:solidFill>
                </w14:textFill>
              </w:rPr>
              <w:t>5</w:t>
            </w:r>
          </w:p>
        </w:tc>
      </w:tr>
      <w:tr w14:paraId="394C2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 w:type="dxa"/>
            <w:vAlign w:val="center"/>
          </w:tcPr>
          <w:p w14:paraId="78288475">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heme="minorEastAsia" w:hAnsiTheme="minorEastAsia" w:eastAsiaTheme="minorEastAsia"/>
                <w:bCs/>
                <w:color w:val="000000" w:themeColor="text1"/>
                <w:kern w:val="0"/>
                <w:sz w:val="28"/>
                <w:szCs w:val="28"/>
                <w:highlight w:val="none"/>
                <w:lang w:val="en-US" w:eastAsia="zh-CN"/>
                <w14:textFill>
                  <w14:solidFill>
                    <w14:schemeClr w14:val="tx1"/>
                  </w14:solidFill>
                </w14:textFill>
              </w:rPr>
            </w:pPr>
            <w:r>
              <w:rPr>
                <w:rFonts w:hint="eastAsia" w:asciiTheme="minorEastAsia" w:hAnsiTheme="minorEastAsia" w:eastAsiaTheme="minorEastAsia"/>
                <w:bCs/>
                <w:color w:val="000000" w:themeColor="text1"/>
                <w:kern w:val="0"/>
                <w:sz w:val="28"/>
                <w:szCs w:val="28"/>
                <w:highlight w:val="none"/>
                <w:lang w:val="en-US" w:eastAsia="zh-CN"/>
                <w14:textFill>
                  <w14:solidFill>
                    <w14:schemeClr w14:val="tx1"/>
                  </w14:solidFill>
                </w14:textFill>
              </w:rPr>
              <w:t>6</w:t>
            </w:r>
          </w:p>
        </w:tc>
        <w:tc>
          <w:tcPr>
            <w:tcW w:w="1500" w:type="dxa"/>
            <w:vAlign w:val="center"/>
          </w:tcPr>
          <w:p w14:paraId="19EC7A1A">
            <w:pPr>
              <w:pageBreakBefore w:val="0"/>
              <w:kinsoku/>
              <w:wordWrap/>
              <w:overflowPunct/>
              <w:topLinePunct w:val="0"/>
              <w:autoSpaceDE/>
              <w:autoSpaceDN/>
              <w:bidi w:val="0"/>
              <w:spacing w:line="560" w:lineRule="exact"/>
              <w:jc w:val="center"/>
              <w:textAlignment w:val="auto"/>
              <w:rPr>
                <w:rFonts w:hint="eastAsia" w:ascii="宋体" w:hAnsi="宋体" w:eastAsia="宋体" w:cs="宋体"/>
                <w:color w:val="000000" w:themeColor="text1"/>
                <w:kern w:val="0"/>
                <w:sz w:val="28"/>
                <w:szCs w:val="28"/>
                <w:highlight w:val="none"/>
                <w:lang w:eastAsia="zh-CN"/>
                <w14:textFill>
                  <w14:solidFill>
                    <w14:schemeClr w14:val="tx1"/>
                  </w14:solidFill>
                </w14:textFill>
              </w:rPr>
            </w:pPr>
            <w:r>
              <w:rPr>
                <w:rFonts w:hint="eastAsia" w:ascii="宋体" w:hAnsi="宋体" w:eastAsia="宋体" w:cs="宋体"/>
                <w:color w:val="000000" w:themeColor="text1"/>
                <w:kern w:val="0"/>
                <w:sz w:val="28"/>
                <w:szCs w:val="28"/>
                <w:highlight w:val="none"/>
                <w14:textFill>
                  <w14:solidFill>
                    <w14:schemeClr w14:val="tx1"/>
                  </w14:solidFill>
                </w14:textFill>
              </w:rPr>
              <w:t>售后服务</w:t>
            </w:r>
          </w:p>
        </w:tc>
        <w:tc>
          <w:tcPr>
            <w:tcW w:w="6283" w:type="dxa"/>
            <w:vAlign w:val="center"/>
          </w:tcPr>
          <w:p w14:paraId="05BC6BF5">
            <w:pPr>
              <w:pageBreakBefore w:val="0"/>
              <w:kinsoku/>
              <w:wordWrap/>
              <w:overflowPunct/>
              <w:topLinePunct w:val="0"/>
              <w:autoSpaceDE/>
              <w:autoSpaceDN/>
              <w:bidi w:val="0"/>
              <w:spacing w:line="560" w:lineRule="exact"/>
              <w:jc w:val="left"/>
              <w:textAlignment w:val="auto"/>
              <w:rPr>
                <w:rFonts w:hint="eastAsia" w:ascii="宋体" w:hAnsi="宋体" w:eastAsia="宋体" w:cs="宋体"/>
                <w:color w:val="000000" w:themeColor="text1"/>
                <w:kern w:val="0"/>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lang w:eastAsia="zh-CN"/>
                <w14:textFill>
                  <w14:solidFill>
                    <w14:schemeClr w14:val="tx1"/>
                  </w14:solidFill>
                </w14:textFill>
              </w:rPr>
              <w:t>（</w:t>
            </w:r>
            <w:r>
              <w:rPr>
                <w:rFonts w:hint="eastAsia" w:ascii="宋体" w:hAnsi="宋体" w:cs="宋体"/>
                <w:color w:val="000000" w:themeColor="text1"/>
                <w:kern w:val="0"/>
                <w:sz w:val="28"/>
                <w:szCs w:val="28"/>
                <w:highlight w:val="none"/>
                <w:lang w:val="en-US" w:eastAsia="zh-CN"/>
                <w14:textFill>
                  <w14:solidFill>
                    <w14:schemeClr w14:val="tx1"/>
                  </w14:solidFill>
                </w14:textFill>
              </w:rPr>
              <w:t>1</w:t>
            </w:r>
            <w:r>
              <w:rPr>
                <w:rFonts w:hint="eastAsia" w:ascii="宋体" w:hAnsi="宋体" w:cs="宋体"/>
                <w:color w:val="000000" w:themeColor="text1"/>
                <w:kern w:val="0"/>
                <w:sz w:val="28"/>
                <w:szCs w:val="28"/>
                <w:highlight w:val="none"/>
                <w:lang w:eastAsia="zh-CN"/>
                <w14:textFill>
                  <w14:solidFill>
                    <w14:schemeClr w14:val="tx1"/>
                  </w14:solidFill>
                </w14:textFill>
              </w:rPr>
              <w:t>）</w:t>
            </w:r>
            <w:r>
              <w:rPr>
                <w:rFonts w:hint="eastAsia" w:ascii="宋体" w:hAnsi="宋体" w:eastAsia="宋体" w:cs="宋体"/>
                <w:color w:val="000000" w:themeColor="text1"/>
                <w:kern w:val="0"/>
                <w:sz w:val="28"/>
                <w:szCs w:val="28"/>
                <w:highlight w:val="none"/>
                <w14:textFill>
                  <w14:solidFill>
                    <w14:schemeClr w14:val="tx1"/>
                  </w14:solidFill>
                </w14:textFill>
              </w:rPr>
              <w:t>需具备完整的售后服务体系；</w:t>
            </w:r>
          </w:p>
          <w:p w14:paraId="3DAD57A3">
            <w:pPr>
              <w:pageBreakBefore w:val="0"/>
              <w:kinsoku/>
              <w:wordWrap/>
              <w:overflowPunct/>
              <w:topLinePunct w:val="0"/>
              <w:autoSpaceDE/>
              <w:autoSpaceDN/>
              <w:bidi w:val="0"/>
              <w:spacing w:line="560" w:lineRule="exact"/>
              <w:jc w:val="left"/>
              <w:textAlignment w:val="auto"/>
              <w:rPr>
                <w:rFonts w:hint="eastAsia" w:ascii="宋体" w:hAnsi="宋体" w:eastAsia="宋体" w:cs="宋体"/>
                <w:color w:val="000000" w:themeColor="text1"/>
                <w:kern w:val="0"/>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lang w:eastAsia="zh-CN"/>
                <w14:textFill>
                  <w14:solidFill>
                    <w14:schemeClr w14:val="tx1"/>
                  </w14:solidFill>
                </w14:textFill>
              </w:rPr>
              <w:t>（</w:t>
            </w:r>
            <w:r>
              <w:rPr>
                <w:rFonts w:hint="eastAsia" w:ascii="宋体" w:hAnsi="宋体" w:cs="宋体"/>
                <w:color w:val="000000" w:themeColor="text1"/>
                <w:kern w:val="0"/>
                <w:sz w:val="28"/>
                <w:szCs w:val="28"/>
                <w:highlight w:val="none"/>
                <w:lang w:val="en-US" w:eastAsia="zh-CN"/>
                <w14:textFill>
                  <w14:solidFill>
                    <w14:schemeClr w14:val="tx1"/>
                  </w14:solidFill>
                </w14:textFill>
              </w:rPr>
              <w:t>2</w:t>
            </w:r>
            <w:r>
              <w:rPr>
                <w:rFonts w:hint="eastAsia" w:ascii="宋体" w:hAnsi="宋体" w:cs="宋体"/>
                <w:color w:val="000000" w:themeColor="text1"/>
                <w:kern w:val="0"/>
                <w:sz w:val="28"/>
                <w:szCs w:val="28"/>
                <w:highlight w:val="none"/>
                <w:lang w:eastAsia="zh-CN"/>
                <w14:textFill>
                  <w14:solidFill>
                    <w14:schemeClr w14:val="tx1"/>
                  </w14:solidFill>
                </w14:textFill>
              </w:rPr>
              <w:t>）</w:t>
            </w:r>
            <w:r>
              <w:rPr>
                <w:rFonts w:hint="eastAsia" w:ascii="宋体" w:hAnsi="宋体" w:eastAsia="宋体" w:cs="宋体"/>
                <w:color w:val="000000" w:themeColor="text1"/>
                <w:kern w:val="0"/>
                <w:sz w:val="28"/>
                <w:szCs w:val="28"/>
                <w:highlight w:val="none"/>
                <w14:textFill>
                  <w14:solidFill>
                    <w14:schemeClr w14:val="tx1"/>
                  </w14:solidFill>
                </w14:textFill>
              </w:rPr>
              <w:t>服务响应时间、修复时间、应急处理等售后计划措施合理售后服务说明是否合理 ；</w:t>
            </w:r>
          </w:p>
          <w:p w14:paraId="7FACF1EE">
            <w:pPr>
              <w:pageBreakBefore w:val="0"/>
              <w:kinsoku/>
              <w:wordWrap/>
              <w:overflowPunct/>
              <w:topLinePunct w:val="0"/>
              <w:autoSpaceDE/>
              <w:autoSpaceDN/>
              <w:bidi w:val="0"/>
              <w:spacing w:line="560" w:lineRule="exact"/>
              <w:jc w:val="left"/>
              <w:textAlignment w:val="auto"/>
              <w:rPr>
                <w:rFonts w:hint="eastAsia" w:ascii="宋体" w:hAnsi="宋体" w:eastAsia="宋体" w:cs="宋体"/>
                <w:color w:val="000000" w:themeColor="text1"/>
                <w:kern w:val="0"/>
                <w:sz w:val="28"/>
                <w:szCs w:val="28"/>
                <w:highlight w:val="none"/>
                <w14:textFill>
                  <w14:solidFill>
                    <w14:schemeClr w14:val="tx1"/>
                  </w14:solidFill>
                </w14:textFill>
              </w:rPr>
            </w:pPr>
            <w:r>
              <w:rPr>
                <w:rFonts w:hint="eastAsia" w:ascii="宋体" w:hAnsi="宋体" w:eastAsia="宋体" w:cs="宋体"/>
                <w:color w:val="000000" w:themeColor="text1"/>
                <w:kern w:val="0"/>
                <w:sz w:val="28"/>
                <w:szCs w:val="28"/>
                <w:highlight w:val="none"/>
                <w14:textFill>
                  <w14:solidFill>
                    <w14:schemeClr w14:val="tx1"/>
                  </w14:solidFill>
                </w14:textFill>
              </w:rPr>
              <w:t>（3）需提供针对本项目的售后服务方案，方案优质完整，具有较强的针对性和可行性；</w:t>
            </w:r>
          </w:p>
          <w:p w14:paraId="15237EE8">
            <w:pPr>
              <w:pageBreakBefore w:val="0"/>
              <w:kinsoku/>
              <w:wordWrap/>
              <w:overflowPunct/>
              <w:topLinePunct w:val="0"/>
              <w:autoSpaceDE/>
              <w:autoSpaceDN/>
              <w:bidi w:val="0"/>
              <w:spacing w:line="560" w:lineRule="exact"/>
              <w:jc w:val="left"/>
              <w:textAlignment w:val="auto"/>
              <w:rPr>
                <w:rFonts w:hint="eastAsia" w:ascii="宋体" w:hAnsi="宋体" w:eastAsia="宋体" w:cs="宋体"/>
                <w:color w:val="000000" w:themeColor="text1"/>
                <w:kern w:val="0"/>
                <w:sz w:val="28"/>
                <w:szCs w:val="28"/>
                <w:highlight w:val="none"/>
                <w14:textFill>
                  <w14:solidFill>
                    <w14:schemeClr w14:val="tx1"/>
                  </w14:solidFill>
                </w14:textFill>
              </w:rPr>
            </w:pPr>
            <w:r>
              <w:rPr>
                <w:rFonts w:hint="eastAsia" w:ascii="宋体" w:hAnsi="宋体" w:eastAsia="宋体" w:cs="宋体"/>
                <w:color w:val="000000" w:themeColor="text1"/>
                <w:kern w:val="0"/>
                <w:sz w:val="28"/>
                <w:szCs w:val="28"/>
                <w:highlight w:val="none"/>
                <w14:textFill>
                  <w14:solidFill>
                    <w14:schemeClr w14:val="tx1"/>
                  </w14:solidFill>
                </w14:textFill>
              </w:rPr>
              <w:t>对以上三项内容进行综合评比，提供优质完整</w:t>
            </w:r>
            <w:r>
              <w:rPr>
                <w:rFonts w:hint="eastAsia" w:ascii="宋体" w:hAnsi="宋体" w:eastAsia="宋体" w:cs="宋体"/>
                <w:color w:val="000000" w:themeColor="text1"/>
                <w:kern w:val="0"/>
                <w:sz w:val="28"/>
                <w:szCs w:val="28"/>
                <w:highlight w:val="none"/>
                <w:lang w:eastAsia="zh-CN"/>
                <w14:textFill>
                  <w14:solidFill>
                    <w14:schemeClr w14:val="tx1"/>
                  </w14:solidFill>
                </w14:textFill>
              </w:rPr>
              <w:t>符合项目实际情况的</w:t>
            </w:r>
            <w:r>
              <w:rPr>
                <w:rFonts w:hint="eastAsia" w:ascii="宋体" w:hAnsi="宋体" w:eastAsia="宋体" w:cs="宋体"/>
                <w:color w:val="000000" w:themeColor="text1"/>
                <w:kern w:val="0"/>
                <w:sz w:val="28"/>
                <w:szCs w:val="28"/>
                <w:highlight w:val="none"/>
                <w14:textFill>
                  <w14:solidFill>
                    <w14:schemeClr w14:val="tx1"/>
                  </w14:solidFill>
                </w14:textFill>
              </w:rPr>
              <w:t>得</w:t>
            </w:r>
            <w:r>
              <w:rPr>
                <w:rFonts w:hint="eastAsia" w:ascii="宋体" w:hAnsi="宋体" w:cs="宋体"/>
                <w:color w:val="000000" w:themeColor="text1"/>
                <w:kern w:val="0"/>
                <w:sz w:val="28"/>
                <w:szCs w:val="28"/>
                <w:highlight w:val="none"/>
                <w:lang w:val="en-US" w:eastAsia="zh-CN"/>
                <w14:textFill>
                  <w14:solidFill>
                    <w14:schemeClr w14:val="tx1"/>
                  </w14:solidFill>
                </w14:textFill>
              </w:rPr>
              <w:t>5</w:t>
            </w:r>
            <w:r>
              <w:rPr>
                <w:rFonts w:hint="eastAsia" w:ascii="宋体" w:hAnsi="宋体" w:eastAsia="宋体" w:cs="宋体"/>
                <w:color w:val="000000" w:themeColor="text1"/>
                <w:kern w:val="0"/>
                <w:sz w:val="28"/>
                <w:szCs w:val="28"/>
                <w:highlight w:val="none"/>
                <w14:textFill>
                  <w14:solidFill>
                    <w14:schemeClr w14:val="tx1"/>
                  </w14:solidFill>
                </w14:textFill>
              </w:rPr>
              <w:t xml:space="preserve">分、能基本满足采购人需求的 </w:t>
            </w:r>
            <w:r>
              <w:rPr>
                <w:rFonts w:hint="eastAsia" w:ascii="宋体" w:hAnsi="宋体" w:cs="宋体"/>
                <w:color w:val="000000" w:themeColor="text1"/>
                <w:kern w:val="0"/>
                <w:sz w:val="28"/>
                <w:szCs w:val="28"/>
                <w:highlight w:val="none"/>
                <w:lang w:eastAsia="zh-CN"/>
                <w14:textFill>
                  <w14:solidFill>
                    <w14:schemeClr w14:val="tx1"/>
                  </w14:solidFill>
                </w14:textFill>
              </w:rPr>
              <w:t>得</w:t>
            </w:r>
            <w:r>
              <w:rPr>
                <w:rFonts w:hint="eastAsia" w:ascii="宋体" w:hAnsi="宋体" w:cs="宋体"/>
                <w:color w:val="000000" w:themeColor="text1"/>
                <w:kern w:val="0"/>
                <w:sz w:val="28"/>
                <w:szCs w:val="28"/>
                <w:highlight w:val="none"/>
                <w:lang w:val="en-US" w:eastAsia="zh-CN"/>
                <w14:textFill>
                  <w14:solidFill>
                    <w14:schemeClr w14:val="tx1"/>
                  </w14:solidFill>
                </w14:textFill>
              </w:rPr>
              <w:t>3</w:t>
            </w:r>
            <w:r>
              <w:rPr>
                <w:rFonts w:hint="eastAsia" w:ascii="宋体" w:hAnsi="宋体" w:eastAsia="宋体" w:cs="宋体"/>
                <w:color w:val="000000" w:themeColor="text1"/>
                <w:kern w:val="0"/>
                <w:sz w:val="28"/>
                <w:szCs w:val="28"/>
                <w:highlight w:val="none"/>
                <w14:textFill>
                  <w14:solidFill>
                    <w14:schemeClr w14:val="tx1"/>
                  </w14:solidFill>
                </w14:textFill>
              </w:rPr>
              <w:t>分</w:t>
            </w:r>
            <w:r>
              <w:rPr>
                <w:rFonts w:hint="eastAsia" w:ascii="宋体" w:hAnsi="宋体" w:eastAsia="宋体" w:cs="宋体"/>
                <w:color w:val="000000" w:themeColor="text1"/>
                <w:kern w:val="0"/>
                <w:sz w:val="28"/>
                <w:szCs w:val="28"/>
                <w:highlight w:val="none"/>
                <w:lang w:eastAsia="zh-CN"/>
                <w14:textFill>
                  <w14:solidFill>
                    <w14:schemeClr w14:val="tx1"/>
                  </w14:solidFill>
                </w14:textFill>
              </w:rPr>
              <w:t>；</w:t>
            </w:r>
            <w:r>
              <w:rPr>
                <w:rFonts w:hint="eastAsia" w:ascii="宋体" w:hAnsi="宋体" w:eastAsia="宋体" w:cs="宋体"/>
                <w:color w:val="000000" w:themeColor="text1"/>
                <w:kern w:val="0"/>
                <w:sz w:val="28"/>
                <w:szCs w:val="28"/>
                <w:highlight w:val="none"/>
                <w14:textFill>
                  <w14:solidFill>
                    <w14:schemeClr w14:val="tx1"/>
                  </w14:solidFill>
                </w14:textFill>
              </w:rPr>
              <w:t>未提供不得分。</w:t>
            </w:r>
          </w:p>
        </w:tc>
        <w:tc>
          <w:tcPr>
            <w:tcW w:w="1088" w:type="dxa"/>
            <w:vAlign w:val="center"/>
          </w:tcPr>
          <w:p w14:paraId="3E308067">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heme="minorEastAsia" w:hAnsiTheme="minorEastAsia" w:eastAsiaTheme="minorEastAsia"/>
                <w:bCs/>
                <w:color w:val="000000" w:themeColor="text1"/>
                <w:kern w:val="0"/>
                <w:sz w:val="28"/>
                <w:szCs w:val="28"/>
                <w:highlight w:val="none"/>
                <w:lang w:val="en-US" w:eastAsia="zh-CN"/>
                <w14:textFill>
                  <w14:solidFill>
                    <w14:schemeClr w14:val="tx1"/>
                  </w14:solidFill>
                </w14:textFill>
              </w:rPr>
            </w:pPr>
            <w:r>
              <w:rPr>
                <w:rFonts w:hint="eastAsia" w:asciiTheme="minorEastAsia" w:hAnsiTheme="minorEastAsia" w:eastAsiaTheme="minorEastAsia"/>
                <w:bCs/>
                <w:color w:val="000000" w:themeColor="text1"/>
                <w:kern w:val="0"/>
                <w:sz w:val="28"/>
                <w:szCs w:val="28"/>
                <w:highlight w:val="none"/>
                <w:lang w:val="en-US" w:eastAsia="zh-CN"/>
                <w14:textFill>
                  <w14:solidFill>
                    <w14:schemeClr w14:val="tx1"/>
                  </w14:solidFill>
                </w14:textFill>
              </w:rPr>
              <w:t>5</w:t>
            </w:r>
          </w:p>
        </w:tc>
      </w:tr>
    </w:tbl>
    <w:p w14:paraId="2A9054AD">
      <w:pPr>
        <w:pageBreakBefore w:val="0"/>
        <w:wordWrap/>
        <w:topLinePunct w:val="0"/>
        <w:bidi w:val="0"/>
        <w:spacing w:line="560" w:lineRule="exact"/>
        <w:rPr>
          <w:rFonts w:hint="eastAsia"/>
          <w:color w:val="000000" w:themeColor="text1"/>
          <w:highlight w:val="none"/>
          <w14:textFill>
            <w14:solidFill>
              <w14:schemeClr w14:val="tx1"/>
            </w14:solidFill>
          </w14:textFill>
        </w:rPr>
      </w:pPr>
    </w:p>
    <w:p w14:paraId="6D5D74E5">
      <w:pPr>
        <w:pStyle w:val="4"/>
        <w:keepNext w:val="0"/>
        <w:keepLines w:val="0"/>
        <w:pageBreakBefore w:val="0"/>
        <w:kinsoku/>
        <w:wordWrap/>
        <w:overflowPunct/>
        <w:topLinePunct w:val="0"/>
        <w:autoSpaceDE/>
        <w:autoSpaceDN/>
        <w:bidi w:val="0"/>
        <w:adjustRightInd/>
        <w:snapToGrid/>
        <w:spacing w:line="560" w:lineRule="exact"/>
        <w:jc w:val="center"/>
        <w:textAlignment w:val="auto"/>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第四节</w:t>
      </w:r>
      <w:r>
        <w:rPr>
          <w:color w:val="000000" w:themeColor="text1"/>
          <w:sz w:val="28"/>
          <w:szCs w:val="28"/>
          <w:highlight w:val="none"/>
          <w14:textFill>
            <w14:solidFill>
              <w14:schemeClr w14:val="tx1"/>
            </w14:solidFill>
          </w14:textFill>
        </w:rPr>
        <w:t xml:space="preserve"> </w:t>
      </w:r>
      <w:r>
        <w:rPr>
          <w:rFonts w:hint="eastAsia"/>
          <w:color w:val="000000" w:themeColor="text1"/>
          <w:sz w:val="28"/>
          <w:szCs w:val="28"/>
          <w:highlight w:val="none"/>
          <w14:textFill>
            <w14:solidFill>
              <w14:schemeClr w14:val="tx1"/>
            </w14:solidFill>
          </w14:textFill>
        </w:rPr>
        <w:t>中标候选人推荐原则</w:t>
      </w:r>
    </w:p>
    <w:p w14:paraId="15444A62">
      <w:pPr>
        <w:pStyle w:val="17"/>
        <w:keepNext w:val="0"/>
        <w:keepLines w:val="0"/>
        <w:pageBreakBefore w:val="0"/>
        <w:kinsoku/>
        <w:wordWrap/>
        <w:overflowPunct/>
        <w:topLinePunct w:val="0"/>
        <w:autoSpaceDE/>
        <w:autoSpaceDN/>
        <w:bidi w:val="0"/>
        <w:adjustRightInd/>
        <w:snapToGrid/>
        <w:spacing w:line="560" w:lineRule="exact"/>
        <w:textAlignment w:val="auto"/>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一、综合评分法</w:t>
      </w:r>
    </w:p>
    <w:p w14:paraId="79A0C750">
      <w:pPr>
        <w:pStyle w:val="17"/>
        <w:keepNext w:val="0"/>
        <w:keepLines w:val="0"/>
        <w:pageBreakBefore w:val="0"/>
        <w:kinsoku/>
        <w:wordWrap/>
        <w:overflowPunct/>
        <w:topLinePunct w:val="0"/>
        <w:autoSpaceDE/>
        <w:autoSpaceDN/>
        <w:bidi w:val="0"/>
        <w:adjustRightInd/>
        <w:snapToGrid/>
        <w:spacing w:line="560" w:lineRule="exact"/>
        <w:ind w:firstLine="560" w:firstLineChars="200"/>
        <w:jc w:val="both"/>
        <w:textAlignment w:val="auto"/>
        <w:rPr>
          <w:b w:val="0"/>
          <w:bCs w:val="0"/>
          <w:color w:val="000000" w:themeColor="text1"/>
          <w:sz w:val="28"/>
          <w:szCs w:val="28"/>
          <w:highlight w:val="none"/>
          <w14:textFill>
            <w14:solidFill>
              <w14:schemeClr w14:val="tx1"/>
            </w14:solidFill>
          </w14:textFill>
        </w:rPr>
      </w:pPr>
      <w:r>
        <w:rPr>
          <w:rFonts w:hint="eastAsia"/>
          <w:b w:val="0"/>
          <w:bCs w:val="0"/>
          <w:color w:val="000000" w:themeColor="text1"/>
          <w:sz w:val="28"/>
          <w:szCs w:val="28"/>
          <w:highlight w:val="none"/>
          <w14:textFill>
            <w14:solidFill>
              <w14:schemeClr w14:val="tx1"/>
            </w14:solidFill>
          </w14:textFill>
        </w:rPr>
        <w:t>1.评标委员会将根据总得分由高到低排列次序并推荐中标候选人。总得分相同的，以投标报价由低到高顺序排列。得分相同且投标报价相同的并列，投标文件满足招标文件全部实质性要求，且按照评审因素的量化指标评审得分最高的</w:t>
      </w:r>
      <w:r>
        <w:rPr>
          <w:rFonts w:hint="eastAsia"/>
          <w:b w:val="0"/>
          <w:bCs w:val="0"/>
          <w:color w:val="000000" w:themeColor="text1"/>
          <w:sz w:val="28"/>
          <w:szCs w:val="28"/>
          <w:highlight w:val="none"/>
          <w:lang w:eastAsia="zh-CN"/>
          <w14:textFill>
            <w14:solidFill>
              <w14:schemeClr w14:val="tx1"/>
            </w14:solidFill>
          </w14:textFill>
        </w:rPr>
        <w:t>供应商</w:t>
      </w:r>
      <w:r>
        <w:rPr>
          <w:rFonts w:hint="eastAsia"/>
          <w:b w:val="0"/>
          <w:bCs w:val="0"/>
          <w:color w:val="000000" w:themeColor="text1"/>
          <w:sz w:val="28"/>
          <w:szCs w:val="28"/>
          <w:highlight w:val="none"/>
          <w14:textFill>
            <w14:solidFill>
              <w14:schemeClr w14:val="tx1"/>
            </w14:solidFill>
          </w14:textFill>
        </w:rPr>
        <w:t>为排名第一的中标候选人。</w:t>
      </w:r>
    </w:p>
    <w:p w14:paraId="1D000598">
      <w:pPr>
        <w:pStyle w:val="17"/>
        <w:keepNext w:val="0"/>
        <w:keepLines w:val="0"/>
        <w:pageBreakBefore w:val="0"/>
        <w:kinsoku/>
        <w:wordWrap/>
        <w:overflowPunct/>
        <w:topLinePunct w:val="0"/>
        <w:autoSpaceDE/>
        <w:autoSpaceDN/>
        <w:bidi w:val="0"/>
        <w:adjustRightInd/>
        <w:snapToGrid/>
        <w:spacing w:line="560" w:lineRule="exact"/>
        <w:ind w:firstLine="560" w:firstLineChars="200"/>
        <w:jc w:val="both"/>
        <w:textAlignment w:val="auto"/>
        <w:rPr>
          <w:b w:val="0"/>
          <w:bCs w:val="0"/>
          <w:color w:val="000000" w:themeColor="text1"/>
          <w:sz w:val="28"/>
          <w:szCs w:val="28"/>
          <w:highlight w:val="none"/>
          <w14:textFill>
            <w14:solidFill>
              <w14:schemeClr w14:val="tx1"/>
            </w14:solidFill>
          </w14:textFill>
        </w:rPr>
      </w:pPr>
      <w:r>
        <w:rPr>
          <w:rFonts w:hint="eastAsia"/>
          <w:b w:val="0"/>
          <w:bCs w:val="0"/>
          <w:color w:val="000000" w:themeColor="text1"/>
          <w:sz w:val="28"/>
          <w:szCs w:val="28"/>
          <w:highlight w:val="none"/>
          <w14:textFill>
            <w14:solidFill>
              <w14:schemeClr w14:val="tx1"/>
            </w14:solidFill>
          </w14:textFill>
        </w:rPr>
        <w:t>2.根据《政府采购货物和服务招标投标管理办法》（财政部令第87号）第三十一条第二款规定，采用综合评分法的采购项目，提供相同品牌产品且通过资格审查、符合性审查的不同</w:t>
      </w:r>
      <w:r>
        <w:rPr>
          <w:rFonts w:hint="eastAsia"/>
          <w:b w:val="0"/>
          <w:bCs w:val="0"/>
          <w:color w:val="000000" w:themeColor="text1"/>
          <w:sz w:val="28"/>
          <w:szCs w:val="28"/>
          <w:highlight w:val="none"/>
          <w:lang w:eastAsia="zh-CN"/>
          <w14:textFill>
            <w14:solidFill>
              <w14:schemeClr w14:val="tx1"/>
            </w14:solidFill>
          </w14:textFill>
        </w:rPr>
        <w:t>供应商</w:t>
      </w:r>
      <w:r>
        <w:rPr>
          <w:rFonts w:hint="eastAsia"/>
          <w:b w:val="0"/>
          <w:bCs w:val="0"/>
          <w:color w:val="000000" w:themeColor="text1"/>
          <w:sz w:val="28"/>
          <w:szCs w:val="28"/>
          <w:highlight w:val="none"/>
          <w14:textFill>
            <w14:solidFill>
              <w14:schemeClr w14:val="tx1"/>
            </w14:solidFill>
          </w14:textFill>
        </w:rPr>
        <w:t>参加同一合同项下投标的，按一家</w:t>
      </w:r>
      <w:r>
        <w:rPr>
          <w:rFonts w:hint="eastAsia"/>
          <w:b w:val="0"/>
          <w:bCs w:val="0"/>
          <w:color w:val="000000" w:themeColor="text1"/>
          <w:sz w:val="28"/>
          <w:szCs w:val="28"/>
          <w:highlight w:val="none"/>
          <w:lang w:eastAsia="zh-CN"/>
          <w14:textFill>
            <w14:solidFill>
              <w14:schemeClr w14:val="tx1"/>
            </w14:solidFill>
          </w14:textFill>
        </w:rPr>
        <w:t>供应商</w:t>
      </w:r>
      <w:r>
        <w:rPr>
          <w:rFonts w:hint="eastAsia"/>
          <w:b w:val="0"/>
          <w:bCs w:val="0"/>
          <w:color w:val="000000" w:themeColor="text1"/>
          <w:sz w:val="28"/>
          <w:szCs w:val="28"/>
          <w:highlight w:val="none"/>
          <w14:textFill>
            <w14:solidFill>
              <w14:schemeClr w14:val="tx1"/>
            </w14:solidFill>
          </w14:textFill>
        </w:rPr>
        <w:t>计算，评审后得分最高的同品牌</w:t>
      </w:r>
      <w:r>
        <w:rPr>
          <w:rFonts w:hint="eastAsia"/>
          <w:b w:val="0"/>
          <w:bCs w:val="0"/>
          <w:color w:val="000000" w:themeColor="text1"/>
          <w:sz w:val="28"/>
          <w:szCs w:val="28"/>
          <w:highlight w:val="none"/>
          <w:lang w:eastAsia="zh-CN"/>
          <w14:textFill>
            <w14:solidFill>
              <w14:schemeClr w14:val="tx1"/>
            </w14:solidFill>
          </w14:textFill>
        </w:rPr>
        <w:t>供应商</w:t>
      </w:r>
      <w:r>
        <w:rPr>
          <w:rFonts w:hint="eastAsia"/>
          <w:b w:val="0"/>
          <w:bCs w:val="0"/>
          <w:color w:val="000000" w:themeColor="text1"/>
          <w:sz w:val="28"/>
          <w:szCs w:val="28"/>
          <w:highlight w:val="none"/>
          <w14:textFill>
            <w14:solidFill>
              <w14:schemeClr w14:val="tx1"/>
            </w14:solidFill>
          </w14:textFill>
        </w:rPr>
        <w:t>获得中标人推荐资格；评审得分相同的，按照“</w:t>
      </w:r>
      <w:r>
        <w:rPr>
          <w:rFonts w:hint="eastAsia"/>
          <w:b w:val="0"/>
          <w:bCs w:val="0"/>
          <w:color w:val="000000" w:themeColor="text1"/>
          <w:sz w:val="28"/>
          <w:szCs w:val="28"/>
          <w:highlight w:val="none"/>
          <w:lang w:eastAsia="zh-CN"/>
          <w14:textFill>
            <w14:solidFill>
              <w14:schemeClr w14:val="tx1"/>
            </w14:solidFill>
          </w14:textFill>
        </w:rPr>
        <w:t>供应商</w:t>
      </w:r>
      <w:r>
        <w:rPr>
          <w:rFonts w:hint="eastAsia"/>
          <w:b w:val="0"/>
          <w:bCs w:val="0"/>
          <w:color w:val="000000" w:themeColor="text1"/>
          <w:sz w:val="28"/>
          <w:szCs w:val="28"/>
          <w:highlight w:val="none"/>
          <w14:textFill>
            <w14:solidFill>
              <w14:schemeClr w14:val="tx1"/>
            </w14:solidFill>
          </w14:textFill>
        </w:rPr>
        <w:t>须知前附表”及“</w:t>
      </w:r>
      <w:r>
        <w:rPr>
          <w:rFonts w:hint="eastAsia"/>
          <w:b w:val="0"/>
          <w:bCs w:val="0"/>
          <w:color w:val="000000" w:themeColor="text1"/>
          <w:sz w:val="28"/>
          <w:szCs w:val="28"/>
          <w:highlight w:val="none"/>
          <w:lang w:eastAsia="zh-CN"/>
          <w14:textFill>
            <w14:solidFill>
              <w14:schemeClr w14:val="tx1"/>
            </w14:solidFill>
          </w14:textFill>
        </w:rPr>
        <w:t>供应商</w:t>
      </w:r>
      <w:r>
        <w:rPr>
          <w:rFonts w:hint="eastAsia"/>
          <w:b w:val="0"/>
          <w:bCs w:val="0"/>
          <w:color w:val="000000" w:themeColor="text1"/>
          <w:sz w:val="28"/>
          <w:szCs w:val="28"/>
          <w:highlight w:val="none"/>
          <w14:textFill>
            <w14:solidFill>
              <w14:schemeClr w14:val="tx1"/>
            </w14:solidFill>
          </w14:textFill>
        </w:rPr>
        <w:t>须知正文”推荐。</w:t>
      </w:r>
    </w:p>
    <w:p w14:paraId="19E34487">
      <w:pPr>
        <w:pStyle w:val="4"/>
        <w:keepNext w:val="0"/>
        <w:keepLines w:val="0"/>
        <w:pageBreakBefore w:val="0"/>
        <w:kinsoku/>
        <w:wordWrap/>
        <w:overflowPunct/>
        <w:topLinePunct w:val="0"/>
        <w:autoSpaceDE/>
        <w:autoSpaceDN/>
        <w:bidi w:val="0"/>
        <w:adjustRightInd/>
        <w:snapToGrid/>
        <w:spacing w:line="560" w:lineRule="exact"/>
        <w:jc w:val="center"/>
        <w:textAlignment w:val="auto"/>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第五节</w:t>
      </w:r>
      <w:r>
        <w:rPr>
          <w:color w:val="000000" w:themeColor="text1"/>
          <w:sz w:val="28"/>
          <w:szCs w:val="28"/>
          <w:highlight w:val="none"/>
          <w14:textFill>
            <w14:solidFill>
              <w14:schemeClr w14:val="tx1"/>
            </w14:solidFill>
          </w14:textFill>
        </w:rPr>
        <w:t xml:space="preserve"> </w:t>
      </w:r>
      <w:r>
        <w:rPr>
          <w:rFonts w:hint="eastAsia"/>
          <w:color w:val="000000" w:themeColor="text1"/>
          <w:sz w:val="28"/>
          <w:szCs w:val="28"/>
          <w:highlight w:val="none"/>
          <w14:textFill>
            <w14:solidFill>
              <w14:schemeClr w14:val="tx1"/>
            </w14:solidFill>
          </w14:textFill>
        </w:rPr>
        <w:t>评标报告</w:t>
      </w:r>
    </w:p>
    <w:p w14:paraId="670732BD">
      <w:pPr>
        <w:pStyle w:val="108"/>
        <w:keepNext w:val="0"/>
        <w:keepLines w:val="0"/>
        <w:pageBreakBefore w:val="0"/>
        <w:kinsoku/>
        <w:wordWrap/>
        <w:overflowPunct/>
        <w:topLinePunct w:val="0"/>
        <w:autoSpaceDE/>
        <w:autoSpaceDN/>
        <w:bidi w:val="0"/>
        <w:adjustRightInd/>
        <w:snapToGrid/>
        <w:spacing w:before="0" w:line="560" w:lineRule="exact"/>
        <w:ind w:firstLine="560"/>
        <w:textAlignment w:val="auto"/>
        <w:rPr>
          <w:rFonts w:asciiTheme="minorEastAsia" w:hAnsiTheme="minorEastAsia"/>
          <w:color w:val="000000" w:themeColor="text1"/>
          <w:sz w:val="28"/>
          <w:szCs w:val="28"/>
          <w:highlight w:val="none"/>
          <w14:textFill>
            <w14:solidFill>
              <w14:schemeClr w14:val="tx1"/>
            </w14:solidFill>
          </w14:textFill>
        </w:rPr>
      </w:pPr>
      <w:r>
        <w:rPr>
          <w:rFonts w:hint="eastAsia" w:asciiTheme="minorEastAsia" w:hAnsiTheme="minorEastAsia"/>
          <w:color w:val="000000" w:themeColor="text1"/>
          <w:sz w:val="28"/>
          <w:szCs w:val="28"/>
          <w:highlight w:val="none"/>
          <w14:textFill>
            <w14:solidFill>
              <w14:schemeClr w14:val="tx1"/>
            </w14:solidFill>
          </w14:textFill>
        </w:rPr>
        <w:t>（一）评标报告与推荐中标候选人</w:t>
      </w:r>
    </w:p>
    <w:p w14:paraId="4EC5E578">
      <w:pPr>
        <w:pStyle w:val="17"/>
        <w:keepNext w:val="0"/>
        <w:keepLines w:val="0"/>
        <w:pageBreakBefore w:val="0"/>
        <w:kinsoku/>
        <w:wordWrap/>
        <w:overflowPunct/>
        <w:topLinePunct w:val="0"/>
        <w:autoSpaceDE/>
        <w:autoSpaceDN/>
        <w:bidi w:val="0"/>
        <w:adjustRightInd/>
        <w:snapToGrid/>
        <w:spacing w:line="560" w:lineRule="exact"/>
        <w:jc w:val="both"/>
        <w:textAlignment w:val="auto"/>
        <w:rPr>
          <w:b w:val="0"/>
          <w:bCs w:val="0"/>
          <w:color w:val="000000" w:themeColor="text1"/>
          <w:sz w:val="28"/>
          <w:szCs w:val="28"/>
          <w:highlight w:val="none"/>
          <w14:textFill>
            <w14:solidFill>
              <w14:schemeClr w14:val="tx1"/>
            </w14:solidFill>
          </w14:textFill>
        </w:rPr>
      </w:pPr>
      <w:r>
        <w:rPr>
          <w:rFonts w:hint="eastAsia"/>
          <w:b w:val="0"/>
          <w:bCs w:val="0"/>
          <w:color w:val="000000" w:themeColor="text1"/>
          <w:sz w:val="28"/>
          <w:szCs w:val="28"/>
          <w:highlight w:val="none"/>
          <w14:textFill>
            <w14:solidFill>
              <w14:schemeClr w14:val="tx1"/>
            </w14:solidFill>
          </w14:textFill>
        </w:rPr>
        <w:t>评标委员会根据原始评标记录和评标结果编写评标报告，并通过电子交易平台向采购人、采购代理机构提交。</w:t>
      </w:r>
    </w:p>
    <w:p w14:paraId="0E47AD5A">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（二）评标争议事项处理</w:t>
      </w:r>
    </w:p>
    <w:p w14:paraId="4428FF1E">
      <w:pPr>
        <w:pStyle w:val="17"/>
        <w:keepNext w:val="0"/>
        <w:keepLines w:val="0"/>
        <w:pageBreakBefore w:val="0"/>
        <w:kinsoku/>
        <w:wordWrap/>
        <w:overflowPunct/>
        <w:topLinePunct w:val="0"/>
        <w:autoSpaceDE/>
        <w:autoSpaceDN/>
        <w:bidi w:val="0"/>
        <w:adjustRightInd/>
        <w:snapToGrid/>
        <w:spacing w:line="560" w:lineRule="exact"/>
        <w:jc w:val="both"/>
        <w:textAlignment w:val="auto"/>
        <w:rPr>
          <w:color w:val="000000" w:themeColor="text1"/>
          <w:sz w:val="28"/>
          <w:szCs w:val="28"/>
          <w:highlight w:val="none"/>
          <w14:textFill>
            <w14:solidFill>
              <w14:schemeClr w14:val="tx1"/>
            </w14:solidFill>
          </w14:textFill>
        </w:rPr>
        <w:sectPr>
          <w:pgSz w:w="11906" w:h="16838"/>
          <w:pgMar w:top="1134" w:right="1134" w:bottom="1134" w:left="1134" w:header="720" w:footer="720" w:gutter="0"/>
          <w:pgNumType w:fmt="decimal"/>
          <w:cols w:space="720" w:num="1"/>
          <w:docGrid w:type="lines" w:linePitch="331" w:charSpace="0"/>
        </w:sectPr>
      </w:pPr>
      <w:r>
        <w:rPr>
          <w:rFonts w:hint="eastAsia"/>
          <w:b w:val="0"/>
          <w:bCs w:val="0"/>
          <w:color w:val="000000" w:themeColor="text1"/>
          <w:sz w:val="28"/>
          <w:szCs w:val="28"/>
          <w:highlight w:val="none"/>
          <w14:textFill>
            <w14:solidFill>
              <w14:schemeClr w14:val="tx1"/>
            </w14:solidFill>
          </w14:textFill>
        </w:rPr>
        <w:t>评标委员会成员对需要共同认定的事项存在争议的，应当按照少数服从多数的原则作出结论。持不同意见的评标委员会成员应当在评标报告上签署不同意见及理由，否则视为同意评标报告。</w:t>
      </w:r>
    </w:p>
    <w:p w14:paraId="7D13F830">
      <w:pPr>
        <w:pStyle w:val="31"/>
        <w:pageBreakBefore w:val="0"/>
        <w:numPr>
          <w:ilvl w:val="0"/>
          <w:numId w:val="3"/>
        </w:numPr>
        <w:wordWrap/>
        <w:topLinePunct w:val="0"/>
        <w:bidi w:val="0"/>
        <w:spacing w:before="0" w:after="0" w:line="560" w:lineRule="exact"/>
        <w:rPr>
          <w:rFonts w:hint="eastAsia"/>
          <w:color w:val="000000" w:themeColor="text1"/>
          <w:sz w:val="28"/>
          <w:szCs w:val="28"/>
          <w:highlight w:val="none"/>
          <w14:textFill>
            <w14:solidFill>
              <w14:schemeClr w14:val="tx1"/>
            </w14:solidFill>
          </w14:textFill>
        </w:rPr>
      </w:pPr>
      <w:r>
        <w:rPr>
          <w:rFonts w:hint="eastAsia"/>
          <w:color w:val="000000" w:themeColor="text1"/>
          <w:sz w:val="28"/>
          <w:szCs w:val="28"/>
          <w:highlight w:val="none"/>
          <w:lang w:val="en-US" w:eastAsia="zh-CN"/>
          <w14:textFill>
            <w14:solidFill>
              <w14:schemeClr w14:val="tx1"/>
            </w14:solidFill>
          </w14:textFill>
        </w:rPr>
        <w:t xml:space="preserve">  </w:t>
      </w:r>
      <w:r>
        <w:rPr>
          <w:rFonts w:hint="eastAsia"/>
          <w:color w:val="000000" w:themeColor="text1"/>
          <w:sz w:val="28"/>
          <w:szCs w:val="28"/>
          <w:highlight w:val="none"/>
          <w14:textFill>
            <w14:solidFill>
              <w14:schemeClr w14:val="tx1"/>
            </w14:solidFill>
          </w14:textFill>
        </w:rPr>
        <w:t>拟签订的合同文本</w:t>
      </w:r>
    </w:p>
    <w:p w14:paraId="521D87EC">
      <w:pPr>
        <w:pageBreakBefore w:val="0"/>
        <w:widowControl w:val="0"/>
        <w:numPr>
          <w:ilvl w:val="0"/>
          <w:numId w:val="0"/>
        </w:numPr>
        <w:wordWrap/>
        <w:topLinePunct w:val="0"/>
        <w:bidi w:val="0"/>
        <w:spacing w:line="560" w:lineRule="exact"/>
        <w:jc w:val="both"/>
        <w:rPr>
          <w:color w:val="000000" w:themeColor="text1"/>
          <w:sz w:val="28"/>
          <w:szCs w:val="28"/>
          <w:highlight w:val="none"/>
          <w14:textFill>
            <w14:solidFill>
              <w14:schemeClr w14:val="tx1"/>
            </w14:solidFill>
          </w14:textFill>
        </w:rPr>
      </w:pPr>
    </w:p>
    <w:p w14:paraId="101347C3">
      <w:pPr>
        <w:pStyle w:val="13"/>
        <w:spacing w:after="0"/>
        <w:jc w:val="center"/>
        <w:rPr>
          <w:rFonts w:ascii="宋体" w:hAnsi="宋体" w:cs="宋体"/>
          <w:b/>
          <w:bCs/>
          <w:color w:val="000000" w:themeColor="text1"/>
          <w:spacing w:val="-20"/>
          <w:kern w:val="44"/>
          <w:sz w:val="28"/>
          <w:szCs w:val="28"/>
          <w:highlight w:val="none"/>
          <w14:textFill>
            <w14:solidFill>
              <w14:schemeClr w14:val="tx1"/>
            </w14:solidFill>
          </w14:textFill>
        </w:rPr>
      </w:pPr>
    </w:p>
    <w:p w14:paraId="6201BCF6">
      <w:pPr>
        <w:pStyle w:val="13"/>
        <w:pageBreakBefore w:val="0"/>
        <w:kinsoku/>
        <w:wordWrap/>
        <w:overflowPunct/>
        <w:topLinePunct w:val="0"/>
        <w:bidi w:val="0"/>
        <w:spacing w:after="0" w:afterAutospacing="0" w:line="560" w:lineRule="exact"/>
        <w:jc w:val="center"/>
        <w:textAlignment w:val="auto"/>
        <w:rPr>
          <w:rFonts w:hint="eastAsia" w:asciiTheme="minorEastAsia" w:hAnsiTheme="minorEastAsia" w:eastAsiaTheme="minorEastAsia" w:cstheme="minorEastAsia"/>
          <w:b/>
          <w:bCs/>
          <w:color w:val="000000" w:themeColor="text1"/>
          <w:spacing w:val="-20"/>
          <w:kern w:val="44"/>
          <w:sz w:val="28"/>
          <w:szCs w:val="28"/>
          <w:highlight w:val="none"/>
          <w14:textFill>
            <w14:solidFill>
              <w14:schemeClr w14:val="tx1"/>
            </w14:solidFill>
          </w14:textFill>
        </w:rPr>
      </w:pPr>
    </w:p>
    <w:p w14:paraId="2E34F591">
      <w:pPr>
        <w:pStyle w:val="13"/>
        <w:pageBreakBefore w:val="0"/>
        <w:kinsoku/>
        <w:wordWrap/>
        <w:overflowPunct/>
        <w:topLinePunct w:val="0"/>
        <w:bidi w:val="0"/>
        <w:spacing w:after="0" w:afterAutospacing="0" w:line="560" w:lineRule="exact"/>
        <w:jc w:val="center"/>
        <w:textAlignment w:val="auto"/>
        <w:rPr>
          <w:rFonts w:hint="eastAsia" w:asciiTheme="minorEastAsia" w:hAnsiTheme="minorEastAsia" w:eastAsiaTheme="minorEastAsia" w:cstheme="minorEastAsia"/>
          <w:b/>
          <w:bCs/>
          <w:color w:val="000000" w:themeColor="text1"/>
          <w:spacing w:val="-20"/>
          <w:kern w:val="44"/>
          <w:sz w:val="28"/>
          <w:szCs w:val="28"/>
          <w:highlight w:val="none"/>
          <w14:textFill>
            <w14:solidFill>
              <w14:schemeClr w14:val="tx1"/>
            </w14:solidFill>
          </w14:textFill>
        </w:rPr>
      </w:pPr>
    </w:p>
    <w:p w14:paraId="6A0E5D77">
      <w:pPr>
        <w:pStyle w:val="13"/>
        <w:pageBreakBefore w:val="0"/>
        <w:kinsoku/>
        <w:wordWrap/>
        <w:overflowPunct/>
        <w:topLinePunct w:val="0"/>
        <w:bidi w:val="0"/>
        <w:spacing w:after="0" w:afterAutospacing="0" w:line="560" w:lineRule="exact"/>
        <w:jc w:val="center"/>
        <w:textAlignment w:val="auto"/>
        <w:rPr>
          <w:rFonts w:hint="eastAsia" w:asciiTheme="minorEastAsia" w:hAnsiTheme="minorEastAsia" w:eastAsiaTheme="minorEastAsia" w:cstheme="minorEastAsia"/>
          <w:b/>
          <w:bCs/>
          <w:color w:val="000000" w:themeColor="text1"/>
          <w:spacing w:val="-20"/>
          <w:kern w:val="44"/>
          <w:sz w:val="28"/>
          <w:szCs w:val="28"/>
          <w:highlight w:val="none"/>
          <w14:textFill>
            <w14:solidFill>
              <w14:schemeClr w14:val="tx1"/>
            </w14:solidFill>
          </w14:textFill>
        </w:rPr>
      </w:pPr>
    </w:p>
    <w:p w14:paraId="3068C338">
      <w:pPr>
        <w:pStyle w:val="13"/>
        <w:pageBreakBefore w:val="0"/>
        <w:kinsoku/>
        <w:wordWrap/>
        <w:overflowPunct/>
        <w:topLinePunct w:val="0"/>
        <w:bidi w:val="0"/>
        <w:spacing w:after="0" w:afterAutospacing="0" w:line="560" w:lineRule="exact"/>
        <w:jc w:val="center"/>
        <w:textAlignment w:val="auto"/>
        <w:rPr>
          <w:rFonts w:hint="eastAsia" w:asciiTheme="minorEastAsia" w:hAnsiTheme="minorEastAsia" w:eastAsiaTheme="minorEastAsia" w:cstheme="minorEastAsia"/>
          <w:b/>
          <w:bCs/>
          <w:color w:val="000000" w:themeColor="text1"/>
          <w:spacing w:val="-20"/>
          <w:kern w:val="44"/>
          <w:sz w:val="28"/>
          <w:szCs w:val="28"/>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pacing w:val="-20"/>
          <w:kern w:val="44"/>
          <w:sz w:val="28"/>
          <w:szCs w:val="28"/>
          <w:highlight w:val="none"/>
          <w:lang w:eastAsia="zh-CN"/>
          <w14:textFill>
            <w14:solidFill>
              <w14:schemeClr w14:val="tx1"/>
            </w14:solidFill>
          </w14:textFill>
        </w:rPr>
        <w:t>哈密市中心医院</w:t>
      </w:r>
    </w:p>
    <w:p w14:paraId="6BC195E1">
      <w:pPr>
        <w:pStyle w:val="13"/>
        <w:pageBreakBefore w:val="0"/>
        <w:kinsoku/>
        <w:wordWrap/>
        <w:overflowPunct/>
        <w:topLinePunct w:val="0"/>
        <w:bidi w:val="0"/>
        <w:spacing w:after="0" w:afterAutospacing="0" w:line="560" w:lineRule="exact"/>
        <w:jc w:val="center"/>
        <w:textAlignment w:val="auto"/>
        <w:rPr>
          <w:rFonts w:hint="eastAsia" w:asciiTheme="minorEastAsia" w:hAnsiTheme="minorEastAsia" w:eastAsiaTheme="minorEastAsia" w:cstheme="minorEastAsia"/>
          <w:b/>
          <w:bCs/>
          <w:color w:val="000000" w:themeColor="text1"/>
          <w:spacing w:val="-20"/>
          <w:kern w:val="44"/>
          <w:sz w:val="28"/>
          <w:szCs w:val="28"/>
          <w:highlight w:val="none"/>
          <w14:textFill>
            <w14:solidFill>
              <w14:schemeClr w14:val="tx1"/>
            </w14:solidFill>
          </w14:textFill>
        </w:rPr>
      </w:pPr>
      <w:r>
        <w:rPr>
          <w:rFonts w:hint="eastAsia" w:asciiTheme="minorEastAsia" w:hAnsiTheme="minorEastAsia" w:eastAsiaTheme="minorEastAsia" w:cstheme="minorEastAsia"/>
          <w:b/>
          <w:bCs/>
          <w:color w:val="000000" w:themeColor="text1"/>
          <w:spacing w:val="-20"/>
          <w:kern w:val="44"/>
          <w:sz w:val="28"/>
          <w:szCs w:val="28"/>
          <w:highlight w:val="none"/>
          <w:lang w:eastAsia="zh-CN"/>
          <w14:textFill>
            <w14:solidFill>
              <w14:schemeClr w14:val="tx1"/>
            </w14:solidFill>
          </w14:textFill>
        </w:rPr>
        <w:t>货物买卖</w:t>
      </w:r>
      <w:r>
        <w:rPr>
          <w:rFonts w:hint="eastAsia" w:asciiTheme="minorEastAsia" w:hAnsiTheme="minorEastAsia" w:eastAsiaTheme="minorEastAsia" w:cstheme="minorEastAsia"/>
          <w:b/>
          <w:bCs/>
          <w:color w:val="000000" w:themeColor="text1"/>
          <w:spacing w:val="-20"/>
          <w:kern w:val="44"/>
          <w:sz w:val="28"/>
          <w:szCs w:val="28"/>
          <w:highlight w:val="none"/>
          <w14:textFill>
            <w14:solidFill>
              <w14:schemeClr w14:val="tx1"/>
            </w14:solidFill>
          </w14:textFill>
        </w:rPr>
        <w:t>合同</w:t>
      </w:r>
    </w:p>
    <w:p w14:paraId="7315D59A">
      <w:pPr>
        <w:pageBreakBefore w:val="0"/>
        <w:kinsoku/>
        <w:wordWrap/>
        <w:overflowPunct/>
        <w:topLinePunct w:val="0"/>
        <w:bidi w:val="0"/>
        <w:spacing w:afterAutospacing="0" w:line="560" w:lineRule="exact"/>
        <w:textAlignment w:val="auto"/>
        <w:rPr>
          <w:rFonts w:hint="eastAsia" w:asciiTheme="minorEastAsia" w:hAnsiTheme="minorEastAsia" w:eastAsiaTheme="minorEastAsia" w:cstheme="minorEastAsia"/>
          <w:b/>
          <w:bCs/>
          <w:color w:val="000000" w:themeColor="text1"/>
          <w:spacing w:val="-20"/>
          <w:kern w:val="44"/>
          <w:sz w:val="28"/>
          <w:szCs w:val="28"/>
          <w:highlight w:val="none"/>
          <w14:textFill>
            <w14:solidFill>
              <w14:schemeClr w14:val="tx1"/>
            </w14:solidFill>
          </w14:textFill>
        </w:rPr>
      </w:pPr>
    </w:p>
    <w:p w14:paraId="40B009A8">
      <w:pPr>
        <w:pStyle w:val="171"/>
        <w:pageBreakBefore w:val="0"/>
        <w:kinsoku/>
        <w:wordWrap/>
        <w:overflowPunct/>
        <w:topLinePunct w:val="0"/>
        <w:bidi w:val="0"/>
        <w:spacing w:afterAutospacing="0" w:line="560" w:lineRule="exact"/>
        <w:textAlignment w:val="auto"/>
        <w:rPr>
          <w:rFonts w:hint="eastAsia" w:asciiTheme="minorEastAsia" w:hAnsiTheme="minorEastAsia" w:eastAsiaTheme="minorEastAsia" w:cstheme="minorEastAsia"/>
          <w:b/>
          <w:bCs/>
          <w:color w:val="000000" w:themeColor="text1"/>
          <w:spacing w:val="-20"/>
          <w:kern w:val="44"/>
          <w:sz w:val="28"/>
          <w:szCs w:val="28"/>
          <w:highlight w:val="none"/>
          <w14:textFill>
            <w14:solidFill>
              <w14:schemeClr w14:val="tx1"/>
            </w14:solidFill>
          </w14:textFill>
        </w:rPr>
      </w:pPr>
    </w:p>
    <w:p w14:paraId="24CA9D53">
      <w:pPr>
        <w:pStyle w:val="171"/>
        <w:pageBreakBefore w:val="0"/>
        <w:kinsoku/>
        <w:wordWrap/>
        <w:overflowPunct/>
        <w:topLinePunct w:val="0"/>
        <w:bidi w:val="0"/>
        <w:spacing w:afterAutospacing="0" w:line="560" w:lineRule="exact"/>
        <w:textAlignment w:val="auto"/>
        <w:rPr>
          <w:rFonts w:hint="eastAsia" w:asciiTheme="minorEastAsia" w:hAnsiTheme="minorEastAsia" w:eastAsiaTheme="minorEastAsia" w:cstheme="minorEastAsia"/>
          <w:b/>
          <w:bCs/>
          <w:color w:val="000000" w:themeColor="text1"/>
          <w:spacing w:val="-20"/>
          <w:kern w:val="44"/>
          <w:sz w:val="28"/>
          <w:szCs w:val="28"/>
          <w:highlight w:val="none"/>
          <w14:textFill>
            <w14:solidFill>
              <w14:schemeClr w14:val="tx1"/>
            </w14:solidFill>
          </w14:textFill>
        </w:rPr>
      </w:pPr>
    </w:p>
    <w:p w14:paraId="1192E3D3">
      <w:pPr>
        <w:pStyle w:val="171"/>
        <w:pageBreakBefore w:val="0"/>
        <w:kinsoku/>
        <w:wordWrap/>
        <w:overflowPunct/>
        <w:topLinePunct w:val="0"/>
        <w:bidi w:val="0"/>
        <w:spacing w:afterAutospacing="0" w:line="560" w:lineRule="exact"/>
        <w:textAlignment w:val="auto"/>
        <w:rPr>
          <w:rFonts w:hint="eastAsia" w:asciiTheme="minorEastAsia" w:hAnsiTheme="minorEastAsia" w:eastAsiaTheme="minorEastAsia" w:cstheme="minorEastAsia"/>
          <w:b/>
          <w:bCs/>
          <w:color w:val="000000" w:themeColor="text1"/>
          <w:spacing w:val="-20"/>
          <w:kern w:val="44"/>
          <w:sz w:val="28"/>
          <w:szCs w:val="28"/>
          <w:highlight w:val="none"/>
          <w14:textFill>
            <w14:solidFill>
              <w14:schemeClr w14:val="tx1"/>
            </w14:solidFill>
          </w14:textFill>
        </w:rPr>
      </w:pPr>
    </w:p>
    <w:p w14:paraId="1FB19D8F">
      <w:pPr>
        <w:pStyle w:val="171"/>
        <w:pageBreakBefore w:val="0"/>
        <w:kinsoku/>
        <w:wordWrap/>
        <w:overflowPunct/>
        <w:topLinePunct w:val="0"/>
        <w:bidi w:val="0"/>
        <w:spacing w:afterAutospacing="0" w:line="560" w:lineRule="exact"/>
        <w:textAlignment w:val="auto"/>
        <w:rPr>
          <w:rFonts w:hint="eastAsia" w:asciiTheme="minorEastAsia" w:hAnsiTheme="minorEastAsia" w:eastAsiaTheme="minorEastAsia" w:cstheme="minorEastAsia"/>
          <w:b/>
          <w:bCs/>
          <w:color w:val="000000" w:themeColor="text1"/>
          <w:spacing w:val="-20"/>
          <w:kern w:val="44"/>
          <w:sz w:val="28"/>
          <w:szCs w:val="28"/>
          <w:highlight w:val="none"/>
          <w14:textFill>
            <w14:solidFill>
              <w14:schemeClr w14:val="tx1"/>
            </w14:solidFill>
          </w14:textFill>
        </w:rPr>
      </w:pPr>
    </w:p>
    <w:p w14:paraId="2B707A6F">
      <w:pPr>
        <w:pStyle w:val="171"/>
        <w:pageBreakBefore w:val="0"/>
        <w:kinsoku/>
        <w:wordWrap/>
        <w:overflowPunct/>
        <w:topLinePunct w:val="0"/>
        <w:bidi w:val="0"/>
        <w:spacing w:afterAutospacing="0" w:line="560" w:lineRule="exact"/>
        <w:textAlignment w:val="auto"/>
        <w:rPr>
          <w:rFonts w:hint="eastAsia" w:asciiTheme="minorEastAsia" w:hAnsiTheme="minorEastAsia" w:eastAsiaTheme="minorEastAsia" w:cstheme="minorEastAsia"/>
          <w:b/>
          <w:bCs/>
          <w:color w:val="000000" w:themeColor="text1"/>
          <w:spacing w:val="-20"/>
          <w:kern w:val="44"/>
          <w:sz w:val="28"/>
          <w:szCs w:val="28"/>
          <w:highlight w:val="none"/>
          <w14:textFill>
            <w14:solidFill>
              <w14:schemeClr w14:val="tx1"/>
            </w14:solidFill>
          </w14:textFill>
        </w:rPr>
      </w:pPr>
    </w:p>
    <w:p w14:paraId="22447F5E">
      <w:pPr>
        <w:pageBreakBefore w:val="0"/>
        <w:kinsoku/>
        <w:wordWrap/>
        <w:overflowPunct/>
        <w:topLinePunct w:val="0"/>
        <w:bidi w:val="0"/>
        <w:spacing w:afterAutospacing="0" w:line="560" w:lineRule="exact"/>
        <w:textAlignment w:val="auto"/>
        <w:rPr>
          <w:rFonts w:hint="eastAsia" w:asciiTheme="minorEastAsia" w:hAnsiTheme="minorEastAsia" w:eastAsiaTheme="minorEastAsia" w:cstheme="minorEastAsia"/>
          <w:b/>
          <w:bCs/>
          <w:color w:val="000000" w:themeColor="text1"/>
          <w:spacing w:val="-20"/>
          <w:kern w:val="44"/>
          <w:sz w:val="28"/>
          <w:szCs w:val="28"/>
          <w:highlight w:val="none"/>
          <w14:textFill>
            <w14:solidFill>
              <w14:schemeClr w14:val="tx1"/>
            </w14:solidFill>
          </w14:textFill>
        </w:rPr>
      </w:pPr>
    </w:p>
    <w:p w14:paraId="7F67FE66">
      <w:pPr>
        <w:pageBreakBefore w:val="0"/>
        <w:kinsoku/>
        <w:wordWrap/>
        <w:overflowPunct/>
        <w:topLinePunct w:val="0"/>
        <w:bidi w:val="0"/>
        <w:spacing w:afterAutospacing="0" w:line="560" w:lineRule="exact"/>
        <w:textAlignment w:val="auto"/>
        <w:rPr>
          <w:rFonts w:hint="eastAsia" w:asciiTheme="minorEastAsia" w:hAnsiTheme="minorEastAsia" w:eastAsiaTheme="minorEastAsia" w:cstheme="minorEastAsia"/>
          <w:b/>
          <w:bCs/>
          <w:color w:val="000000" w:themeColor="text1"/>
          <w:spacing w:val="-20"/>
          <w:kern w:val="44"/>
          <w:sz w:val="28"/>
          <w:szCs w:val="28"/>
          <w:highlight w:val="none"/>
          <w14:textFill>
            <w14:solidFill>
              <w14:schemeClr w14:val="tx1"/>
            </w14:solidFill>
          </w14:textFill>
        </w:rPr>
      </w:pPr>
    </w:p>
    <w:p w14:paraId="51F7B2C1">
      <w:pPr>
        <w:pageBreakBefore w:val="0"/>
        <w:kinsoku/>
        <w:wordWrap/>
        <w:overflowPunct/>
        <w:topLinePunct w:val="0"/>
        <w:bidi w:val="0"/>
        <w:spacing w:afterAutospacing="0" w:line="560" w:lineRule="exact"/>
        <w:ind w:left="420" w:leftChars="200"/>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8"/>
          <w:szCs w:val="28"/>
          <w:highlight w:val="none"/>
          <w14:textFill>
            <w14:solidFill>
              <w14:schemeClr w14:val="tx1"/>
            </w14:solidFill>
          </w14:textFill>
        </w:rPr>
        <w:t>项目名称：</w:t>
      </w:r>
      <w:r>
        <w:rPr>
          <w:rFonts w:hint="eastAsia" w:asciiTheme="minorEastAsia" w:hAnsiTheme="minorEastAsia" w:eastAsiaTheme="minorEastAsia" w:cstheme="minorEastAsia"/>
          <w:color w:val="000000" w:themeColor="text1"/>
          <w:sz w:val="28"/>
          <w:szCs w:val="28"/>
          <w:highlight w:val="none"/>
          <w:u w:val="single"/>
          <w:lang w:eastAsia="zh-CN"/>
          <w14:textFill>
            <w14:solidFill>
              <w14:schemeClr w14:val="tx1"/>
            </w14:solidFill>
          </w14:textFill>
        </w:rPr>
        <w:t>按哈密市中心医院中标通知书项目名称填写</w:t>
      </w:r>
    </w:p>
    <w:p w14:paraId="12C22696">
      <w:pPr>
        <w:pageBreakBefore w:val="0"/>
        <w:kinsoku/>
        <w:wordWrap/>
        <w:overflowPunct/>
        <w:topLinePunct w:val="0"/>
        <w:bidi w:val="0"/>
        <w:spacing w:afterAutospacing="0" w:line="560" w:lineRule="exact"/>
        <w:ind w:left="420" w:leftChars="200"/>
        <w:textAlignment w:val="auto"/>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合同编号：</w:t>
      </w:r>
      <w: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t xml:space="preserve">                             </w:t>
      </w:r>
    </w:p>
    <w:p w14:paraId="305955FE">
      <w:pPr>
        <w:pageBreakBefore w:val="0"/>
        <w:kinsoku/>
        <w:wordWrap/>
        <w:overflowPunct/>
        <w:topLinePunct w:val="0"/>
        <w:bidi w:val="0"/>
        <w:spacing w:afterAutospacing="0" w:line="560" w:lineRule="exact"/>
        <w:ind w:left="420" w:leftChars="200"/>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甲    方：</w:t>
      </w:r>
      <w: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highlight w:val="none"/>
          <w:u w:val="single"/>
          <w:lang w:eastAsia="zh-CN"/>
          <w14:textFill>
            <w14:solidFill>
              <w14:schemeClr w14:val="tx1"/>
            </w14:solidFill>
          </w14:textFill>
        </w:rPr>
        <w:t>哈密市中心医院</w:t>
      </w:r>
      <w: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t xml:space="preserve">  </w:t>
      </w:r>
    </w:p>
    <w:p w14:paraId="68A91A5C">
      <w:pPr>
        <w:pageBreakBefore w:val="0"/>
        <w:kinsoku/>
        <w:wordWrap/>
        <w:overflowPunct/>
        <w:topLinePunct w:val="0"/>
        <w:bidi w:val="0"/>
        <w:spacing w:afterAutospacing="0" w:line="560" w:lineRule="exact"/>
        <w:ind w:left="420" w:leftChars="200"/>
        <w:textAlignment w:val="auto"/>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乙    方：</w:t>
      </w:r>
      <w: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t xml:space="preserve">                             </w:t>
      </w:r>
    </w:p>
    <w:p w14:paraId="1564295B">
      <w:pPr>
        <w:pageBreakBefore w:val="0"/>
        <w:kinsoku/>
        <w:wordWrap/>
        <w:overflowPunct/>
        <w:topLinePunct w:val="0"/>
        <w:bidi w:val="0"/>
        <w:spacing w:afterAutospacing="0" w:line="560" w:lineRule="exact"/>
        <w:ind w:left="420" w:leftChars="200"/>
        <w:textAlignment w:val="auto"/>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签订日期</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highlight w:val="none"/>
          <w:u w:val="single"/>
          <w:lang w:eastAsia="zh-CN"/>
          <w14:textFill>
            <w14:solidFill>
              <w14:schemeClr w14:val="tx1"/>
            </w14:solidFill>
          </w14:textFill>
        </w:rPr>
        <w:t>年</w:t>
      </w:r>
      <w: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highlight w:val="none"/>
          <w:u w:val="single"/>
          <w:lang w:eastAsia="zh-CN"/>
          <w14:textFill>
            <w14:solidFill>
              <w14:schemeClr w14:val="tx1"/>
            </w14:solidFill>
          </w14:textFill>
        </w:rPr>
        <w:t>月</w:t>
      </w:r>
      <w: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highlight w:val="none"/>
          <w:u w:val="single"/>
          <w:lang w:eastAsia="zh-CN"/>
          <w14:textFill>
            <w14:solidFill>
              <w14:schemeClr w14:val="tx1"/>
            </w14:solidFill>
          </w14:textFill>
        </w:rPr>
        <w:t>日</w:t>
      </w:r>
      <w: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t xml:space="preserve">        </w:t>
      </w:r>
    </w:p>
    <w:p w14:paraId="47FE6739">
      <w:pPr>
        <w:bidi w:val="0"/>
        <w:rPr>
          <w:rFonts w:hint="eastAsia"/>
          <w:color w:val="000000" w:themeColor="text1"/>
          <w:highlight w:val="none"/>
          <w14:textFill>
            <w14:solidFill>
              <w14:schemeClr w14:val="tx1"/>
            </w14:solidFill>
          </w14:textFill>
        </w:rPr>
      </w:pPr>
    </w:p>
    <w:p w14:paraId="1A0ECF25">
      <w:pPr>
        <w:pageBreakBefore w:val="0"/>
        <w:kinsoku/>
        <w:wordWrap/>
        <w:overflowPunct/>
        <w:topLinePunct w:val="0"/>
        <w:bidi w:val="0"/>
        <w:spacing w:afterAutospacing="0" w:line="560" w:lineRule="exac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br w:type="page"/>
      </w:r>
    </w:p>
    <w:p w14:paraId="09830096">
      <w:pPr>
        <w:pageBreakBefore w:val="0"/>
        <w:kinsoku/>
        <w:wordWrap/>
        <w:overflowPunct/>
        <w:topLinePunct w:val="0"/>
        <w:bidi w:val="0"/>
        <w:spacing w:afterAutospacing="0" w:line="560" w:lineRule="exact"/>
        <w:jc w:val="center"/>
        <w:textAlignment w:val="auto"/>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使</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用</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说</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明</w:t>
      </w:r>
    </w:p>
    <w:p w14:paraId="337A4E80">
      <w:pPr>
        <w:pageBreakBefore w:val="0"/>
        <w:kinsoku/>
        <w:wordWrap/>
        <w:overflowPunct/>
        <w:topLinePunct w:val="0"/>
        <w:bidi w:val="0"/>
        <w:spacing w:afterAutospacing="0" w:line="560" w:lineRule="exact"/>
        <w:ind w:firstLine="560" w:firstLineChars="200"/>
        <w:textAlignment w:val="auto"/>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pPr>
    </w:p>
    <w:p w14:paraId="6A52953B">
      <w:pPr>
        <w:pageBreakBefore w:val="0"/>
        <w:kinsoku/>
        <w:wordWrap/>
        <w:overflowPunct/>
        <w:topLinePunct w:val="0"/>
        <w:bidi w:val="0"/>
        <w:spacing w:afterAutospacing="0" w:line="560" w:lineRule="exact"/>
        <w:ind w:firstLine="560" w:firstLineChars="200"/>
        <w:textAlignment w:val="auto"/>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1.本合同标准文本适用于购买现成货物的采购项目，不包括需要供应商定制开发、创新研发的货物采购项目。</w:t>
      </w:r>
    </w:p>
    <w:p w14:paraId="4AD3E115">
      <w:pPr>
        <w:pageBreakBefore w:val="0"/>
        <w:kinsoku/>
        <w:wordWrap/>
        <w:overflowPunct/>
        <w:topLinePunct w:val="0"/>
        <w:bidi w:val="0"/>
        <w:spacing w:afterAutospacing="0" w:line="560" w:lineRule="exact"/>
        <w:ind w:firstLine="0" w:firstLineChars="0"/>
        <w:textAlignment w:val="auto"/>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 xml:space="preserve">   2.本合同标准文本为货物买卖合同编制提供参考，可以结合采购项目具体情况，对文本作必要的调整修订后使用。</w:t>
      </w:r>
    </w:p>
    <w:p w14:paraId="0EDBAFA3">
      <w:pPr>
        <w:pageBreakBefore w:val="0"/>
        <w:kinsoku/>
        <w:wordWrap/>
        <w:overflowPunct/>
        <w:topLinePunct w:val="0"/>
        <w:bidi w:val="0"/>
        <w:spacing w:afterAutospacing="0" w:line="560" w:lineRule="exact"/>
        <w:ind w:firstLine="560" w:firstLineChars="200"/>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sectPr>
          <w:headerReference r:id="rId40" w:type="default"/>
          <w:footerReference r:id="rId41"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3.本合同标准文本各条款中，如涉及填写多家供应商、制造商，多种采购标的、分包主要内容等信息的，可根据采购项目具体情况添加信息项。</w:t>
      </w:r>
    </w:p>
    <w:p w14:paraId="5353A6DB">
      <w:pPr>
        <w:pStyle w:val="3"/>
        <w:pageBreakBefore w:val="0"/>
        <w:kinsoku/>
        <w:wordWrap/>
        <w:overflowPunct/>
        <w:topLinePunct w:val="0"/>
        <w:bidi w:val="0"/>
        <w:adjustRightInd w:val="0"/>
        <w:snapToGrid w:val="0"/>
        <w:spacing w:beforeLines="0" w:afterAutospacing="0" w:line="560" w:lineRule="exact"/>
        <w:jc w:val="center"/>
        <w:textAlignment w:val="auto"/>
        <w:rPr>
          <w:rFonts w:hint="eastAsia" w:asciiTheme="minorEastAsia" w:hAnsiTheme="minorEastAsia" w:eastAsiaTheme="minorEastAsia" w:cstheme="minorEastAsia"/>
          <w:b w:val="0"/>
          <w:bCs w:val="0"/>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8"/>
          <w:szCs w:val="28"/>
          <w:highlight w:val="none"/>
          <w14:textFill>
            <w14:solidFill>
              <w14:schemeClr w14:val="tx1"/>
            </w14:solidFill>
          </w14:textFill>
        </w:rPr>
        <w:t>第一节 合同协议书</w:t>
      </w:r>
    </w:p>
    <w:p w14:paraId="065E871B">
      <w:pPr>
        <w:pageBreakBefore w:val="0"/>
        <w:kinsoku/>
        <w:wordWrap/>
        <w:overflowPunct/>
        <w:topLinePunct w:val="0"/>
        <w:bidi w:val="0"/>
        <w:adjustRightInd w:val="0"/>
        <w:snapToGrid w:val="0"/>
        <w:spacing w:before="0" w:beforeLines="0" w:afterAutospacing="0" w:line="560" w:lineRule="exac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甲方（全称）：</w:t>
      </w:r>
      <w: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highlight w:val="none"/>
          <w:u w:val="single"/>
          <w:lang w:eastAsia="zh-CN"/>
          <w14:textFill>
            <w14:solidFill>
              <w14:schemeClr w14:val="tx1"/>
            </w14:solidFill>
          </w14:textFill>
        </w:rPr>
        <w:t>哈密市中心医院</w:t>
      </w:r>
      <w: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t xml:space="preserve">       </w:t>
      </w:r>
    </w:p>
    <w:p w14:paraId="0F080C3B">
      <w:pPr>
        <w:pageBreakBefore w:val="0"/>
        <w:kinsoku/>
        <w:wordWrap/>
        <w:overflowPunct/>
        <w:topLinePunct w:val="0"/>
        <w:bidi w:val="0"/>
        <w:adjustRightInd w:val="0"/>
        <w:snapToGrid w:val="0"/>
        <w:spacing w:before="0" w:beforeLines="0" w:afterAutospacing="0" w:line="560" w:lineRule="exact"/>
        <w:textAlignment w:val="auto"/>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乙方（全称）：</w:t>
      </w:r>
      <w: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t xml:space="preserve">                       </w:t>
      </w:r>
    </w:p>
    <w:p w14:paraId="4E891682">
      <w:pPr>
        <w:pStyle w:val="14"/>
        <w:pageBreakBefore w:val="0"/>
        <w:kinsoku/>
        <w:wordWrap/>
        <w:overflowPunct/>
        <w:topLinePunct w:val="0"/>
        <w:bidi w:val="0"/>
        <w:adjustRightInd w:val="0"/>
        <w:snapToGrid w:val="0"/>
        <w:spacing w:before="0" w:beforeLines="0" w:after="0" w:afterAutospacing="0" w:line="560" w:lineRule="exact"/>
        <w:ind w:left="0" w:leftChars="0" w:firstLine="544" w:firstLineChars="200"/>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依据《中华人民共和国民法典》</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《中华人民共和国政府采购法》等有关的法律法规，以及</w:t>
      </w:r>
      <w:r>
        <w:rPr>
          <w:rFonts w:hint="eastAsia" w:asciiTheme="minorEastAsia" w:hAnsiTheme="minorEastAsia" w:eastAsiaTheme="minorEastAsia" w:cstheme="minorEastAsia"/>
          <w:i w:val="0"/>
          <w:iCs w:val="0"/>
          <w:color w:val="000000" w:themeColor="text1"/>
          <w:sz w:val="28"/>
          <w:szCs w:val="28"/>
          <w:highlight w:val="none"/>
          <w:u w:val="none"/>
          <w:lang w:eastAsia="zh-CN"/>
          <w14:textFill>
            <w14:solidFill>
              <w14:schemeClr w14:val="tx1"/>
            </w14:solidFill>
          </w14:textFill>
        </w:rPr>
        <w:t>本采购项目</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的</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招标</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/谈判</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文件等</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采购文件</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 xml:space="preserve">乙方的《投标（响应）文件》及《中标（成交）通知书》，甲乙双方同意签订本合同。具体情况及要求如下：     </w:t>
      </w:r>
    </w:p>
    <w:p w14:paraId="4B495849">
      <w:pPr>
        <w:pageBreakBefore w:val="0"/>
        <w:numPr>
          <w:ilvl w:val="0"/>
          <w:numId w:val="4"/>
        </w:numPr>
        <w:kinsoku/>
        <w:wordWrap/>
        <w:overflowPunct/>
        <w:topLinePunct w:val="0"/>
        <w:bidi w:val="0"/>
        <w:adjustRightInd w:val="0"/>
        <w:snapToGrid w:val="0"/>
        <w:spacing w:before="0" w:beforeLines="0" w:afterAutospacing="0" w:line="560" w:lineRule="exact"/>
        <w:ind w:firstLine="562" w:firstLineChars="200"/>
        <w:textAlignment w:val="auto"/>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项目信息</w:t>
      </w:r>
    </w:p>
    <w:p w14:paraId="54B16E1C">
      <w:pPr>
        <w:pStyle w:val="14"/>
        <w:pageBreakBefore w:val="0"/>
        <w:numPr>
          <w:ilvl w:val="0"/>
          <w:numId w:val="5"/>
        </w:numPr>
        <w:kinsoku/>
        <w:wordWrap/>
        <w:overflowPunct/>
        <w:topLinePunct w:val="0"/>
        <w:bidi w:val="0"/>
        <w:adjustRightInd w:val="0"/>
        <w:snapToGrid w:val="0"/>
        <w:spacing w:before="0" w:beforeLines="0" w:after="0" w:afterAutospacing="0" w:line="560" w:lineRule="exact"/>
        <w:ind w:left="0" w:leftChars="0" w:firstLine="544" w:firstLineChars="200"/>
        <w:textAlignment w:val="auto"/>
        <w:rPr>
          <w:rFonts w:hint="eastAsia" w:asciiTheme="minorEastAsia" w:hAnsiTheme="minorEastAsia" w:eastAsiaTheme="minorEastAsia" w:cstheme="minorEastAsia"/>
          <w:color w:val="000000" w:themeColor="text1"/>
          <w:sz w:val="28"/>
          <w:szCs w:val="28"/>
          <w:highlight w:val="none"/>
          <w:u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采购项目名称：</w:t>
      </w:r>
      <w: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highlight w:val="none"/>
          <w:u w:val="single"/>
          <w:lang w:eastAsia="zh-CN"/>
          <w14:textFill>
            <w14:solidFill>
              <w14:schemeClr w14:val="tx1"/>
            </w14:solidFill>
          </w14:textFill>
        </w:rPr>
        <w:t>同中标通知书一致</w:t>
      </w:r>
      <w: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t xml:space="preserve">                 </w:t>
      </w:r>
    </w:p>
    <w:p w14:paraId="1688F974">
      <w:pPr>
        <w:pageBreakBefore w:val="0"/>
        <w:kinsoku/>
        <w:wordWrap/>
        <w:overflowPunct/>
        <w:topLinePunct w:val="0"/>
        <w:bidi w:val="0"/>
        <w:adjustRightInd w:val="0"/>
        <w:snapToGrid w:val="0"/>
        <w:spacing w:before="0" w:beforeLines="0" w:afterAutospacing="0" w:line="560" w:lineRule="exact"/>
        <w:ind w:firstLine="560" w:firstLineChars="200"/>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）项目内容：</w:t>
      </w:r>
    </w:p>
    <w:p w14:paraId="13B5A2A2">
      <w:pPr>
        <w:pageBreakBefore w:val="0"/>
        <w:numPr>
          <w:ilvl w:val="-1"/>
          <w:numId w:val="0"/>
        </w:numPr>
        <w:kinsoku/>
        <w:wordWrap/>
        <w:overflowPunct/>
        <w:topLinePunct w:val="0"/>
        <w:bidi w:val="0"/>
        <w:adjustRightInd w:val="0"/>
        <w:snapToGrid w:val="0"/>
        <w:spacing w:before="0" w:beforeLines="0" w:afterAutospacing="0" w:line="560" w:lineRule="exact"/>
        <w:ind w:firstLine="560" w:firstLineChars="200"/>
        <w:textAlignment w:val="auto"/>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采购标的及数量</w:t>
      </w:r>
    </w:p>
    <w:tbl>
      <w:tblPr>
        <w:tblStyle w:val="3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1217"/>
        <w:gridCol w:w="1217"/>
        <w:gridCol w:w="1217"/>
        <w:gridCol w:w="1218"/>
        <w:gridCol w:w="1218"/>
        <w:gridCol w:w="1218"/>
      </w:tblGrid>
      <w:tr w14:paraId="41E53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Align w:val="center"/>
          </w:tcPr>
          <w:p w14:paraId="08DC8A97">
            <w:pPr>
              <w:pageBreakBefore w:val="0"/>
              <w:numPr>
                <w:ilvl w:val="-1"/>
                <w:numId w:val="0"/>
              </w:numPr>
              <w:kinsoku/>
              <w:wordWrap/>
              <w:overflowPunct/>
              <w:topLinePunct w:val="0"/>
              <w:bidi w:val="0"/>
              <w:adjustRightInd w:val="0"/>
              <w:snapToGrid w:val="0"/>
              <w:spacing w:before="0" w:beforeLines="0" w:afterAutospacing="0" w:line="560" w:lineRule="exact"/>
              <w:ind w:left="0" w:leftChars="0" w:firstLine="0" w:firstLineChars="0"/>
              <w:jc w:val="center"/>
              <w:textAlignment w:val="auto"/>
              <w:rPr>
                <w:rFonts w:hint="eastAsia" w:asciiTheme="minorEastAsia" w:hAnsiTheme="minorEastAsia" w:eastAsiaTheme="minorEastAsia" w:cstheme="minorEastAsia"/>
                <w:color w:val="000000" w:themeColor="text1"/>
                <w:kern w:val="2"/>
                <w:sz w:val="28"/>
                <w:szCs w:val="28"/>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产品名称</w:t>
            </w:r>
          </w:p>
        </w:tc>
        <w:tc>
          <w:tcPr>
            <w:tcW w:w="1217" w:type="dxa"/>
            <w:vAlign w:val="center"/>
          </w:tcPr>
          <w:p w14:paraId="1C48621B">
            <w:pPr>
              <w:pageBreakBefore w:val="0"/>
              <w:numPr>
                <w:ilvl w:val="-1"/>
                <w:numId w:val="0"/>
              </w:numPr>
              <w:kinsoku/>
              <w:wordWrap/>
              <w:overflowPunct/>
              <w:topLinePunct w:val="0"/>
              <w:bidi w:val="0"/>
              <w:adjustRightInd w:val="0"/>
              <w:snapToGrid w:val="0"/>
              <w:spacing w:before="0" w:beforeLines="0" w:afterAutospacing="0" w:line="560" w:lineRule="exact"/>
              <w:ind w:left="0" w:leftChars="0" w:firstLine="560" w:firstLineChars="200"/>
              <w:jc w:val="center"/>
              <w:textAlignment w:val="auto"/>
              <w:rPr>
                <w:rFonts w:hint="eastAsia" w:asciiTheme="minorEastAsia" w:hAnsiTheme="minorEastAsia" w:eastAsiaTheme="minorEastAsia" w:cstheme="minorEastAsia"/>
                <w:color w:val="000000" w:themeColor="text1"/>
                <w:kern w:val="2"/>
                <w:sz w:val="28"/>
                <w:szCs w:val="28"/>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型号</w:t>
            </w:r>
          </w:p>
        </w:tc>
        <w:tc>
          <w:tcPr>
            <w:tcW w:w="1217" w:type="dxa"/>
            <w:vAlign w:val="center"/>
          </w:tcPr>
          <w:p w14:paraId="19CFE941">
            <w:pPr>
              <w:pageBreakBefore w:val="0"/>
              <w:numPr>
                <w:ilvl w:val="-1"/>
                <w:numId w:val="0"/>
              </w:numPr>
              <w:kinsoku/>
              <w:wordWrap/>
              <w:overflowPunct/>
              <w:topLinePunct w:val="0"/>
              <w:bidi w:val="0"/>
              <w:adjustRightInd w:val="0"/>
              <w:snapToGrid w:val="0"/>
              <w:spacing w:before="0" w:beforeLines="0" w:afterAutospacing="0" w:line="560" w:lineRule="exact"/>
              <w:ind w:left="0" w:leftChars="0" w:firstLine="0" w:firstLineChars="0"/>
              <w:jc w:val="center"/>
              <w:textAlignment w:val="auto"/>
              <w:rPr>
                <w:rFonts w:hint="eastAsia" w:asciiTheme="minorEastAsia" w:hAnsiTheme="minorEastAsia" w:eastAsiaTheme="minorEastAsia" w:cstheme="minorEastAsia"/>
                <w:color w:val="000000" w:themeColor="text1"/>
                <w:kern w:val="2"/>
                <w:sz w:val="28"/>
                <w:szCs w:val="28"/>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生产厂家</w:t>
            </w:r>
          </w:p>
        </w:tc>
        <w:tc>
          <w:tcPr>
            <w:tcW w:w="1217" w:type="dxa"/>
            <w:vAlign w:val="center"/>
          </w:tcPr>
          <w:p w14:paraId="75ECBF8E">
            <w:pPr>
              <w:pageBreakBefore w:val="0"/>
              <w:numPr>
                <w:ilvl w:val="-1"/>
                <w:numId w:val="0"/>
              </w:numPr>
              <w:kinsoku/>
              <w:wordWrap/>
              <w:overflowPunct/>
              <w:topLinePunct w:val="0"/>
              <w:bidi w:val="0"/>
              <w:adjustRightInd w:val="0"/>
              <w:snapToGrid w:val="0"/>
              <w:spacing w:before="0" w:beforeLines="0" w:afterAutospacing="0" w:line="560" w:lineRule="exact"/>
              <w:ind w:left="0" w:leftChars="0" w:firstLine="0" w:firstLineChars="0"/>
              <w:jc w:val="center"/>
              <w:textAlignment w:val="auto"/>
              <w:rPr>
                <w:rFonts w:hint="eastAsia" w:asciiTheme="minorEastAsia" w:hAnsiTheme="minorEastAsia" w:eastAsiaTheme="minorEastAsia" w:cstheme="minorEastAsia"/>
                <w:color w:val="000000" w:themeColor="text1"/>
                <w:kern w:val="2"/>
                <w:sz w:val="28"/>
                <w:szCs w:val="28"/>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注册证号</w:t>
            </w:r>
          </w:p>
        </w:tc>
        <w:tc>
          <w:tcPr>
            <w:tcW w:w="1218" w:type="dxa"/>
            <w:vAlign w:val="center"/>
          </w:tcPr>
          <w:p w14:paraId="332FF3A4">
            <w:pPr>
              <w:pageBreakBefore w:val="0"/>
              <w:numPr>
                <w:ilvl w:val="-1"/>
                <w:numId w:val="0"/>
              </w:numPr>
              <w:kinsoku/>
              <w:wordWrap/>
              <w:overflowPunct/>
              <w:topLinePunct w:val="0"/>
              <w:bidi w:val="0"/>
              <w:adjustRightInd w:val="0"/>
              <w:snapToGrid w:val="0"/>
              <w:spacing w:before="0" w:beforeLines="0" w:afterAutospacing="0" w:line="560" w:lineRule="exact"/>
              <w:ind w:left="0" w:leftChars="0" w:firstLine="0" w:firstLineChars="0"/>
              <w:jc w:val="center"/>
              <w:textAlignment w:val="auto"/>
              <w:rPr>
                <w:rFonts w:hint="eastAsia" w:asciiTheme="minorEastAsia" w:hAnsiTheme="minorEastAsia" w:eastAsiaTheme="minorEastAsia" w:cstheme="minorEastAsia"/>
                <w:color w:val="000000" w:themeColor="text1"/>
                <w:kern w:val="2"/>
                <w:sz w:val="28"/>
                <w:szCs w:val="28"/>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数量</w:t>
            </w:r>
          </w:p>
        </w:tc>
        <w:tc>
          <w:tcPr>
            <w:tcW w:w="1218" w:type="dxa"/>
            <w:vAlign w:val="center"/>
          </w:tcPr>
          <w:p w14:paraId="79D8EF97">
            <w:pPr>
              <w:pageBreakBefore w:val="0"/>
              <w:numPr>
                <w:ilvl w:val="-1"/>
                <w:numId w:val="0"/>
              </w:numPr>
              <w:kinsoku/>
              <w:wordWrap/>
              <w:overflowPunct/>
              <w:topLinePunct w:val="0"/>
              <w:bidi w:val="0"/>
              <w:adjustRightInd w:val="0"/>
              <w:snapToGrid w:val="0"/>
              <w:spacing w:before="0" w:beforeLines="0" w:afterAutospacing="0" w:line="560" w:lineRule="exact"/>
              <w:ind w:left="0" w:leftChars="0" w:firstLine="0" w:firstLineChars="0"/>
              <w:jc w:val="center"/>
              <w:textAlignment w:val="auto"/>
              <w:rPr>
                <w:rFonts w:hint="eastAsia" w:asciiTheme="minorEastAsia" w:hAnsiTheme="minorEastAsia" w:eastAsiaTheme="minorEastAsia" w:cstheme="minorEastAsia"/>
                <w:color w:val="000000" w:themeColor="text1"/>
                <w:kern w:val="2"/>
                <w:sz w:val="28"/>
                <w:szCs w:val="28"/>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单价</w:t>
            </w:r>
          </w:p>
        </w:tc>
        <w:tc>
          <w:tcPr>
            <w:tcW w:w="1218" w:type="dxa"/>
            <w:vAlign w:val="center"/>
          </w:tcPr>
          <w:p w14:paraId="42DBF20C">
            <w:pPr>
              <w:pageBreakBefore w:val="0"/>
              <w:numPr>
                <w:ilvl w:val="-1"/>
                <w:numId w:val="0"/>
              </w:numPr>
              <w:kinsoku/>
              <w:wordWrap/>
              <w:overflowPunct/>
              <w:topLinePunct w:val="0"/>
              <w:bidi w:val="0"/>
              <w:adjustRightInd w:val="0"/>
              <w:snapToGrid w:val="0"/>
              <w:spacing w:before="0" w:beforeLines="0" w:afterAutospacing="0" w:line="560" w:lineRule="exact"/>
              <w:ind w:left="0" w:leftChars="0" w:firstLine="0" w:firstLineChars="0"/>
              <w:jc w:val="center"/>
              <w:textAlignment w:val="auto"/>
              <w:rPr>
                <w:rFonts w:hint="eastAsia" w:asciiTheme="minorEastAsia" w:hAnsiTheme="minorEastAsia" w:eastAsiaTheme="minorEastAsia" w:cstheme="minorEastAsia"/>
                <w:color w:val="000000" w:themeColor="text1"/>
                <w:kern w:val="2"/>
                <w:sz w:val="28"/>
                <w:szCs w:val="28"/>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合计</w:t>
            </w:r>
          </w:p>
        </w:tc>
      </w:tr>
      <w:tr w14:paraId="16289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Align w:val="center"/>
          </w:tcPr>
          <w:p w14:paraId="17C063F9">
            <w:pPr>
              <w:pStyle w:val="171"/>
              <w:pageBreakBefore w:val="0"/>
              <w:widowControl w:val="0"/>
              <w:kinsoku/>
              <w:wordWrap/>
              <w:overflowPunct/>
              <w:topLinePunct w:val="0"/>
              <w:bidi w:val="0"/>
              <w:spacing w:afterAutospacing="0" w:line="560" w:lineRule="exact"/>
              <w:ind w:firstLine="560" w:firstLineChars="200"/>
              <w:jc w:val="center"/>
              <w:textAlignment w:val="auto"/>
              <w:rPr>
                <w:rFonts w:hint="eastAsia" w:asciiTheme="minorEastAsia" w:hAnsiTheme="minorEastAsia" w:eastAsiaTheme="minorEastAsia" w:cstheme="minorEastAsia"/>
                <w:color w:val="000000" w:themeColor="text1"/>
                <w:sz w:val="28"/>
                <w:szCs w:val="28"/>
                <w:highlight w:val="none"/>
                <w:vertAlign w:val="baseline"/>
                <w:lang w:val="en-US" w:eastAsia="zh-CN" w:bidi="ar-SA"/>
                <w14:textFill>
                  <w14:solidFill>
                    <w14:schemeClr w14:val="tx1"/>
                  </w14:solidFill>
                </w14:textFill>
              </w:rPr>
            </w:pPr>
          </w:p>
        </w:tc>
        <w:tc>
          <w:tcPr>
            <w:tcW w:w="1217" w:type="dxa"/>
            <w:vAlign w:val="center"/>
          </w:tcPr>
          <w:p w14:paraId="612ABFB4">
            <w:pPr>
              <w:pStyle w:val="171"/>
              <w:pageBreakBefore w:val="0"/>
              <w:widowControl w:val="0"/>
              <w:kinsoku/>
              <w:wordWrap/>
              <w:overflowPunct/>
              <w:topLinePunct w:val="0"/>
              <w:bidi w:val="0"/>
              <w:spacing w:afterAutospacing="0" w:line="560" w:lineRule="exact"/>
              <w:ind w:firstLine="560" w:firstLineChars="200"/>
              <w:jc w:val="center"/>
              <w:textAlignment w:val="auto"/>
              <w:rPr>
                <w:rFonts w:hint="eastAsia" w:asciiTheme="minorEastAsia" w:hAnsiTheme="minorEastAsia" w:eastAsiaTheme="minorEastAsia" w:cstheme="minorEastAsia"/>
                <w:color w:val="000000" w:themeColor="text1"/>
                <w:sz w:val="28"/>
                <w:szCs w:val="28"/>
                <w:highlight w:val="none"/>
                <w:vertAlign w:val="baseline"/>
                <w:lang w:val="en-US" w:eastAsia="zh-CN" w:bidi="ar-SA"/>
                <w14:textFill>
                  <w14:solidFill>
                    <w14:schemeClr w14:val="tx1"/>
                  </w14:solidFill>
                </w14:textFill>
              </w:rPr>
            </w:pPr>
          </w:p>
        </w:tc>
        <w:tc>
          <w:tcPr>
            <w:tcW w:w="1217" w:type="dxa"/>
            <w:vAlign w:val="center"/>
          </w:tcPr>
          <w:p w14:paraId="0D6BF7BC">
            <w:pPr>
              <w:pStyle w:val="171"/>
              <w:pageBreakBefore w:val="0"/>
              <w:widowControl w:val="0"/>
              <w:kinsoku/>
              <w:wordWrap/>
              <w:overflowPunct/>
              <w:topLinePunct w:val="0"/>
              <w:bidi w:val="0"/>
              <w:spacing w:afterAutospacing="0" w:line="560" w:lineRule="exact"/>
              <w:ind w:firstLine="560" w:firstLineChars="200"/>
              <w:jc w:val="center"/>
              <w:textAlignment w:val="auto"/>
              <w:rPr>
                <w:rFonts w:hint="eastAsia" w:asciiTheme="minorEastAsia" w:hAnsiTheme="minorEastAsia" w:eastAsiaTheme="minorEastAsia" w:cstheme="minorEastAsia"/>
                <w:color w:val="000000" w:themeColor="text1"/>
                <w:sz w:val="28"/>
                <w:szCs w:val="28"/>
                <w:highlight w:val="none"/>
                <w:vertAlign w:val="baseline"/>
                <w:lang w:val="en-US" w:eastAsia="zh-CN" w:bidi="ar-SA"/>
                <w14:textFill>
                  <w14:solidFill>
                    <w14:schemeClr w14:val="tx1"/>
                  </w14:solidFill>
                </w14:textFill>
              </w:rPr>
            </w:pPr>
          </w:p>
        </w:tc>
        <w:tc>
          <w:tcPr>
            <w:tcW w:w="1217" w:type="dxa"/>
            <w:vAlign w:val="center"/>
          </w:tcPr>
          <w:p w14:paraId="3AE63C5D">
            <w:pPr>
              <w:pStyle w:val="171"/>
              <w:pageBreakBefore w:val="0"/>
              <w:widowControl w:val="0"/>
              <w:kinsoku/>
              <w:wordWrap/>
              <w:overflowPunct/>
              <w:topLinePunct w:val="0"/>
              <w:bidi w:val="0"/>
              <w:spacing w:afterAutospacing="0" w:line="560" w:lineRule="exact"/>
              <w:ind w:firstLine="560" w:firstLineChars="200"/>
              <w:jc w:val="center"/>
              <w:textAlignment w:val="auto"/>
              <w:rPr>
                <w:rFonts w:hint="eastAsia" w:asciiTheme="minorEastAsia" w:hAnsiTheme="minorEastAsia" w:eastAsiaTheme="minorEastAsia" w:cstheme="minorEastAsia"/>
                <w:color w:val="000000" w:themeColor="text1"/>
                <w:sz w:val="28"/>
                <w:szCs w:val="28"/>
                <w:highlight w:val="none"/>
                <w:vertAlign w:val="baseline"/>
                <w:lang w:val="en-US" w:eastAsia="zh-CN" w:bidi="ar-SA"/>
                <w14:textFill>
                  <w14:solidFill>
                    <w14:schemeClr w14:val="tx1"/>
                  </w14:solidFill>
                </w14:textFill>
              </w:rPr>
            </w:pPr>
          </w:p>
        </w:tc>
        <w:tc>
          <w:tcPr>
            <w:tcW w:w="1218" w:type="dxa"/>
            <w:vAlign w:val="center"/>
          </w:tcPr>
          <w:p w14:paraId="5120DE65">
            <w:pPr>
              <w:pStyle w:val="171"/>
              <w:pageBreakBefore w:val="0"/>
              <w:widowControl w:val="0"/>
              <w:kinsoku/>
              <w:wordWrap/>
              <w:overflowPunct/>
              <w:topLinePunct w:val="0"/>
              <w:bidi w:val="0"/>
              <w:spacing w:afterAutospacing="0" w:line="560" w:lineRule="exact"/>
              <w:ind w:firstLine="560" w:firstLineChars="200"/>
              <w:jc w:val="center"/>
              <w:textAlignment w:val="auto"/>
              <w:rPr>
                <w:rFonts w:hint="eastAsia" w:asciiTheme="minorEastAsia" w:hAnsiTheme="minorEastAsia" w:eastAsiaTheme="minorEastAsia" w:cstheme="minorEastAsia"/>
                <w:color w:val="000000" w:themeColor="text1"/>
                <w:sz w:val="28"/>
                <w:szCs w:val="28"/>
                <w:highlight w:val="none"/>
                <w:vertAlign w:val="baseline"/>
                <w:lang w:val="en-US" w:eastAsia="zh-CN" w:bidi="ar-SA"/>
                <w14:textFill>
                  <w14:solidFill>
                    <w14:schemeClr w14:val="tx1"/>
                  </w14:solidFill>
                </w14:textFill>
              </w:rPr>
            </w:pPr>
          </w:p>
        </w:tc>
        <w:tc>
          <w:tcPr>
            <w:tcW w:w="1218" w:type="dxa"/>
            <w:vAlign w:val="center"/>
          </w:tcPr>
          <w:p w14:paraId="59502582">
            <w:pPr>
              <w:pStyle w:val="171"/>
              <w:pageBreakBefore w:val="0"/>
              <w:widowControl w:val="0"/>
              <w:kinsoku/>
              <w:wordWrap/>
              <w:overflowPunct/>
              <w:topLinePunct w:val="0"/>
              <w:bidi w:val="0"/>
              <w:spacing w:afterAutospacing="0" w:line="560" w:lineRule="exact"/>
              <w:ind w:firstLine="560" w:firstLineChars="200"/>
              <w:jc w:val="center"/>
              <w:textAlignment w:val="auto"/>
              <w:rPr>
                <w:rFonts w:hint="eastAsia" w:asciiTheme="minorEastAsia" w:hAnsiTheme="minorEastAsia" w:eastAsiaTheme="minorEastAsia" w:cstheme="minorEastAsia"/>
                <w:color w:val="000000" w:themeColor="text1"/>
                <w:sz w:val="28"/>
                <w:szCs w:val="28"/>
                <w:highlight w:val="none"/>
                <w:vertAlign w:val="baseline"/>
                <w:lang w:val="en-US" w:eastAsia="zh-CN" w:bidi="ar-SA"/>
                <w14:textFill>
                  <w14:solidFill>
                    <w14:schemeClr w14:val="tx1"/>
                  </w14:solidFill>
                </w14:textFill>
              </w:rPr>
            </w:pPr>
          </w:p>
        </w:tc>
        <w:tc>
          <w:tcPr>
            <w:tcW w:w="1218" w:type="dxa"/>
            <w:vAlign w:val="center"/>
          </w:tcPr>
          <w:p w14:paraId="04FE0DAB">
            <w:pPr>
              <w:pStyle w:val="171"/>
              <w:pageBreakBefore w:val="0"/>
              <w:widowControl w:val="0"/>
              <w:kinsoku/>
              <w:wordWrap/>
              <w:overflowPunct/>
              <w:topLinePunct w:val="0"/>
              <w:bidi w:val="0"/>
              <w:spacing w:afterAutospacing="0" w:line="560" w:lineRule="exact"/>
              <w:ind w:firstLine="560" w:firstLineChars="200"/>
              <w:jc w:val="center"/>
              <w:textAlignment w:val="auto"/>
              <w:rPr>
                <w:rFonts w:hint="eastAsia" w:asciiTheme="minorEastAsia" w:hAnsiTheme="minorEastAsia" w:eastAsiaTheme="minorEastAsia" w:cstheme="minorEastAsia"/>
                <w:color w:val="000000" w:themeColor="text1"/>
                <w:sz w:val="28"/>
                <w:szCs w:val="28"/>
                <w:highlight w:val="none"/>
                <w:vertAlign w:val="baseline"/>
                <w:lang w:val="en-US" w:eastAsia="zh-CN" w:bidi="ar-SA"/>
                <w14:textFill>
                  <w14:solidFill>
                    <w14:schemeClr w14:val="tx1"/>
                  </w14:solidFill>
                </w14:textFill>
              </w:rPr>
            </w:pPr>
          </w:p>
        </w:tc>
      </w:tr>
    </w:tbl>
    <w:p w14:paraId="09B67CA0">
      <w:pPr>
        <w:pStyle w:val="171"/>
        <w:pageBreakBefore w:val="0"/>
        <w:numPr>
          <w:ilvl w:val="-1"/>
          <w:numId w:val="0"/>
        </w:numPr>
        <w:kinsoku/>
        <w:wordWrap/>
        <w:overflowPunct/>
        <w:topLinePunct w:val="0"/>
        <w:bidi w:val="0"/>
        <w:adjustRightInd w:val="0"/>
        <w:snapToGrid w:val="0"/>
        <w:spacing w:before="0" w:beforeLines="0" w:afterAutospacing="0" w:line="560" w:lineRule="exact"/>
        <w:ind w:left="0" w:firstLine="420" w:firstLineChars="0"/>
        <w:textAlignment w:val="auto"/>
        <w:rPr>
          <w:rFonts w:hint="eastAsia" w:asciiTheme="minorEastAsia" w:hAnsiTheme="minorEastAsia" w:eastAsiaTheme="minorEastAsia" w:cstheme="minorEastAsia"/>
          <w:iCs w:val="0"/>
          <w:color w:val="000000" w:themeColor="text1"/>
          <w:sz w:val="28"/>
          <w:szCs w:val="28"/>
          <w:highlight w:val="none"/>
          <w:lang w:eastAsia="zh-CN"/>
          <w14:textFill>
            <w14:solidFill>
              <w14:schemeClr w14:val="tx1"/>
            </w14:solidFill>
          </w14:textFill>
        </w:rPr>
      </w:pPr>
      <w:r>
        <w:rPr>
          <w:rFonts w:hint="eastAsia" w:asciiTheme="minorEastAsia" w:hAnsiTheme="minorEastAsia" w:eastAsiaTheme="minorEastAsia" w:cstheme="minorEastAsia"/>
          <w:iCs w:val="0"/>
          <w:color w:val="000000" w:themeColor="text1"/>
          <w:sz w:val="28"/>
          <w:szCs w:val="28"/>
          <w:highlight w:val="none"/>
          <w:lang w:val="en-US" w:eastAsia="zh-CN"/>
          <w14:textFill>
            <w14:solidFill>
              <w14:schemeClr w14:val="tx1"/>
            </w14:solidFill>
          </w14:textFill>
        </w:rPr>
        <w:t>（3）采购方式：</w:t>
      </w:r>
      <w:r>
        <w:rPr>
          <w:rFonts w:hint="eastAsia" w:asciiTheme="minorEastAsia" w:hAnsiTheme="minorEastAsia" w:eastAsiaTheme="minorEastAsia" w:cstheme="minorEastAsia"/>
          <w:iCs w:val="0"/>
          <w:color w:val="000000" w:themeColor="text1"/>
          <w:sz w:val="28"/>
          <w:szCs w:val="28"/>
          <w:highlight w:val="none"/>
          <w14:textFill>
            <w14:solidFill>
              <w14:schemeClr w14:val="tx1"/>
            </w14:solidFill>
          </w14:textFill>
        </w:rPr>
        <w:sym w:font="Wingdings" w:char="00FE"/>
      </w:r>
      <w:r>
        <w:rPr>
          <w:rFonts w:hint="eastAsia" w:asciiTheme="minorEastAsia" w:hAnsiTheme="minorEastAsia" w:eastAsiaTheme="minorEastAsia" w:cstheme="minorEastAsia"/>
          <w:iCs w:val="0"/>
          <w:color w:val="000000" w:themeColor="text1"/>
          <w:sz w:val="28"/>
          <w:szCs w:val="28"/>
          <w:highlight w:val="none"/>
          <w:lang w:eastAsia="zh-CN"/>
          <w14:textFill>
            <w14:solidFill>
              <w14:schemeClr w14:val="tx1"/>
            </w14:solidFill>
          </w14:textFill>
        </w:rPr>
        <w:t>公开招标</w:t>
      </w:r>
      <w:r>
        <w:rPr>
          <w:rFonts w:hint="eastAsia" w:asciiTheme="minorEastAsia" w:hAnsiTheme="minorEastAsia" w:eastAsiaTheme="minorEastAsia" w:cstheme="minorEastAsia"/>
          <w:iCs w:val="0"/>
          <w:color w:val="000000" w:themeColor="text1"/>
          <w:sz w:val="28"/>
          <w:szCs w:val="28"/>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iCs w:val="0"/>
          <w:color w:val="000000" w:themeColor="text1"/>
          <w:sz w:val="28"/>
          <w:szCs w:val="28"/>
          <w:highlight w:val="none"/>
          <w14:textFill>
            <w14:solidFill>
              <w14:schemeClr w14:val="tx1"/>
            </w14:solidFill>
          </w14:textFill>
        </w:rPr>
        <w:sym w:font="Wingdings" w:char="00A8"/>
      </w:r>
      <w:r>
        <w:rPr>
          <w:rFonts w:hint="eastAsia" w:asciiTheme="minorEastAsia" w:hAnsiTheme="minorEastAsia" w:eastAsiaTheme="minorEastAsia" w:cstheme="minorEastAsia"/>
          <w:iCs w:val="0"/>
          <w:color w:val="000000" w:themeColor="text1"/>
          <w:sz w:val="28"/>
          <w:szCs w:val="28"/>
          <w:highlight w:val="none"/>
          <w:lang w:eastAsia="zh-CN"/>
          <w14:textFill>
            <w14:solidFill>
              <w14:schemeClr w14:val="tx1"/>
            </w14:solidFill>
          </w14:textFill>
        </w:rPr>
        <w:t>邀请招标</w:t>
      </w:r>
      <w:r>
        <w:rPr>
          <w:rFonts w:hint="eastAsia" w:asciiTheme="minorEastAsia" w:hAnsiTheme="minorEastAsia" w:eastAsiaTheme="minorEastAsia" w:cstheme="minorEastAsia"/>
          <w:iCs w:val="0"/>
          <w:color w:val="000000" w:themeColor="text1"/>
          <w:sz w:val="28"/>
          <w:szCs w:val="28"/>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iCs w:val="0"/>
          <w:color w:val="000000" w:themeColor="text1"/>
          <w:sz w:val="28"/>
          <w:szCs w:val="28"/>
          <w:highlight w:val="none"/>
          <w14:textFill>
            <w14:solidFill>
              <w14:schemeClr w14:val="tx1"/>
            </w14:solidFill>
          </w14:textFill>
        </w:rPr>
        <w:sym w:font="Wingdings" w:char="00A8"/>
      </w:r>
      <w:r>
        <w:rPr>
          <w:rFonts w:hint="eastAsia" w:asciiTheme="minorEastAsia" w:hAnsiTheme="minorEastAsia" w:eastAsiaTheme="minorEastAsia" w:cstheme="minorEastAsia"/>
          <w:iCs w:val="0"/>
          <w:color w:val="000000" w:themeColor="text1"/>
          <w:sz w:val="28"/>
          <w:szCs w:val="28"/>
          <w:highlight w:val="none"/>
          <w:lang w:eastAsia="zh-CN"/>
          <w14:textFill>
            <w14:solidFill>
              <w14:schemeClr w14:val="tx1"/>
            </w14:solidFill>
          </w14:textFill>
        </w:rPr>
        <w:t>竞争性谈判</w:t>
      </w:r>
      <w:r>
        <w:rPr>
          <w:rFonts w:hint="eastAsia" w:asciiTheme="minorEastAsia" w:hAnsiTheme="minorEastAsia" w:eastAsiaTheme="minorEastAsia" w:cstheme="minorEastAsia"/>
          <w:iCs w:val="0"/>
          <w:color w:val="000000" w:themeColor="text1"/>
          <w:sz w:val="28"/>
          <w:szCs w:val="28"/>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iCs w:val="0"/>
          <w:color w:val="000000" w:themeColor="text1"/>
          <w:sz w:val="28"/>
          <w:szCs w:val="28"/>
          <w:highlight w:val="none"/>
          <w14:textFill>
            <w14:solidFill>
              <w14:schemeClr w14:val="tx1"/>
            </w14:solidFill>
          </w14:textFill>
        </w:rPr>
        <w:sym w:font="Wingdings" w:char="00A8"/>
      </w:r>
      <w:r>
        <w:rPr>
          <w:rFonts w:hint="eastAsia" w:asciiTheme="minorEastAsia" w:hAnsiTheme="minorEastAsia" w:eastAsiaTheme="minorEastAsia" w:cstheme="minorEastAsia"/>
          <w:iCs w:val="0"/>
          <w:color w:val="000000" w:themeColor="text1"/>
          <w:sz w:val="28"/>
          <w:szCs w:val="28"/>
          <w:highlight w:val="none"/>
          <w:lang w:eastAsia="zh-CN"/>
          <w14:textFill>
            <w14:solidFill>
              <w14:schemeClr w14:val="tx1"/>
            </w14:solidFill>
          </w14:textFill>
        </w:rPr>
        <w:t>竞争性磋商</w:t>
      </w:r>
    </w:p>
    <w:p w14:paraId="40FAD351">
      <w:pPr>
        <w:pStyle w:val="171"/>
        <w:pageBreakBefore w:val="0"/>
        <w:numPr>
          <w:ilvl w:val="-1"/>
          <w:numId w:val="0"/>
        </w:numPr>
        <w:kinsoku/>
        <w:wordWrap/>
        <w:overflowPunct/>
        <w:topLinePunct w:val="0"/>
        <w:bidi w:val="0"/>
        <w:adjustRightInd w:val="0"/>
        <w:snapToGrid w:val="0"/>
        <w:spacing w:before="0" w:beforeLines="0" w:afterAutospacing="0" w:line="560" w:lineRule="exact"/>
        <w:ind w:left="0" w:firstLine="420" w:firstLineChars="0"/>
        <w:textAlignment w:val="auto"/>
        <w:rPr>
          <w:rFonts w:hint="eastAsia" w:asciiTheme="minorEastAsia" w:hAnsiTheme="minorEastAsia" w:eastAsiaTheme="minorEastAsia" w:cstheme="minorEastAsia"/>
          <w:iCs w:val="0"/>
          <w:color w:val="000000" w:themeColor="text1"/>
          <w:sz w:val="28"/>
          <w:szCs w:val="28"/>
          <w:highlight w:val="none"/>
          <w:u w:val="singl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u w:val="none"/>
          <w:lang w:val="en-US" w:eastAsia="zh-CN"/>
          <w14:textFill>
            <w14:solidFill>
              <w14:schemeClr w14:val="tx1"/>
            </w14:solidFill>
          </w14:textFill>
        </w:rPr>
        <w:t xml:space="preserve">                  </w:t>
      </w:r>
      <w:r>
        <w:rPr>
          <w:rFonts w:hint="eastAsia" w:asciiTheme="minorEastAsia" w:hAnsiTheme="minorEastAsia" w:eastAsiaTheme="minorEastAsia" w:cstheme="minorEastAsia"/>
          <w:iCs w:val="0"/>
          <w:color w:val="000000" w:themeColor="text1"/>
          <w:sz w:val="28"/>
          <w:szCs w:val="28"/>
          <w:highlight w:val="none"/>
          <w14:textFill>
            <w14:solidFill>
              <w14:schemeClr w14:val="tx1"/>
            </w14:solidFill>
          </w14:textFill>
        </w:rPr>
        <w:sym w:font="Wingdings" w:char="00A8"/>
      </w:r>
      <w:r>
        <w:rPr>
          <w:rFonts w:hint="eastAsia" w:asciiTheme="minorEastAsia" w:hAnsiTheme="minorEastAsia" w:eastAsiaTheme="minorEastAsia" w:cstheme="minorEastAsia"/>
          <w:iCs w:val="0"/>
          <w:color w:val="000000" w:themeColor="text1"/>
          <w:sz w:val="28"/>
          <w:szCs w:val="28"/>
          <w:highlight w:val="none"/>
          <w:lang w:eastAsia="zh-CN"/>
          <w14:textFill>
            <w14:solidFill>
              <w14:schemeClr w14:val="tx1"/>
            </w14:solidFill>
          </w14:textFill>
        </w:rPr>
        <w:t>询价</w:t>
      </w:r>
      <w:r>
        <w:rPr>
          <w:rFonts w:hint="eastAsia" w:asciiTheme="minorEastAsia" w:hAnsiTheme="minorEastAsia" w:eastAsiaTheme="minorEastAsia" w:cstheme="minorEastAsia"/>
          <w:iCs w:val="0"/>
          <w:color w:val="000000" w:themeColor="text1"/>
          <w:sz w:val="28"/>
          <w:szCs w:val="28"/>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iCs w:val="0"/>
          <w:color w:val="000000" w:themeColor="text1"/>
          <w:sz w:val="28"/>
          <w:szCs w:val="28"/>
          <w:highlight w:val="none"/>
          <w14:textFill>
            <w14:solidFill>
              <w14:schemeClr w14:val="tx1"/>
            </w14:solidFill>
          </w14:textFill>
        </w:rPr>
        <w:sym w:font="Wingdings" w:char="00A8"/>
      </w:r>
      <w:r>
        <w:rPr>
          <w:rFonts w:hint="eastAsia" w:asciiTheme="minorEastAsia" w:hAnsiTheme="minorEastAsia" w:eastAsiaTheme="minorEastAsia" w:cstheme="minorEastAsia"/>
          <w:iCs w:val="0"/>
          <w:color w:val="000000" w:themeColor="text1"/>
          <w:sz w:val="28"/>
          <w:szCs w:val="28"/>
          <w:highlight w:val="none"/>
          <w:lang w:eastAsia="zh-CN"/>
          <w14:textFill>
            <w14:solidFill>
              <w14:schemeClr w14:val="tx1"/>
            </w14:solidFill>
          </w14:textFill>
        </w:rPr>
        <w:t>单一来源</w:t>
      </w:r>
      <w:r>
        <w:rPr>
          <w:rFonts w:hint="eastAsia" w:asciiTheme="minorEastAsia" w:hAnsiTheme="minorEastAsia" w:eastAsiaTheme="minorEastAsia" w:cstheme="minorEastAsia"/>
          <w:iCs w:val="0"/>
          <w:color w:val="000000" w:themeColor="text1"/>
          <w:sz w:val="28"/>
          <w:szCs w:val="28"/>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iCs w:val="0"/>
          <w:color w:val="000000" w:themeColor="text1"/>
          <w:sz w:val="28"/>
          <w:szCs w:val="28"/>
          <w:highlight w:val="none"/>
          <w14:textFill>
            <w14:solidFill>
              <w14:schemeClr w14:val="tx1"/>
            </w14:solidFill>
          </w14:textFill>
        </w:rPr>
        <w:sym w:font="Wingdings" w:char="00A8"/>
      </w:r>
      <w:r>
        <w:rPr>
          <w:rFonts w:hint="eastAsia" w:asciiTheme="minorEastAsia" w:hAnsiTheme="minorEastAsia" w:eastAsiaTheme="minorEastAsia" w:cstheme="minorEastAsia"/>
          <w:iCs w:val="0"/>
          <w:color w:val="000000" w:themeColor="text1"/>
          <w:sz w:val="28"/>
          <w:szCs w:val="28"/>
          <w:highlight w:val="none"/>
          <w:lang w:eastAsia="zh-CN"/>
          <w14:textFill>
            <w14:solidFill>
              <w14:schemeClr w14:val="tx1"/>
            </w14:solidFill>
          </w14:textFill>
        </w:rPr>
        <w:t>框架协议</w:t>
      </w:r>
      <w:r>
        <w:rPr>
          <w:rFonts w:hint="eastAsia" w:asciiTheme="minorEastAsia" w:hAnsiTheme="minorEastAsia" w:eastAsiaTheme="minorEastAsia" w:cstheme="minorEastAsia"/>
          <w:iCs w:val="0"/>
          <w:color w:val="000000" w:themeColor="text1"/>
          <w:sz w:val="28"/>
          <w:szCs w:val="28"/>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iCs w:val="0"/>
          <w:color w:val="000000" w:themeColor="text1"/>
          <w:sz w:val="28"/>
          <w:szCs w:val="28"/>
          <w:highlight w:val="none"/>
          <w14:textFill>
            <w14:solidFill>
              <w14:schemeClr w14:val="tx1"/>
            </w14:solidFill>
          </w14:textFill>
        </w:rPr>
        <w:sym w:font="Wingdings" w:char="00A8"/>
      </w:r>
      <w:r>
        <w:rPr>
          <w:rFonts w:hint="eastAsia" w:asciiTheme="minorEastAsia" w:hAnsiTheme="minorEastAsia" w:eastAsiaTheme="minorEastAsia" w:cstheme="minorEastAsia"/>
          <w:iCs w:val="0"/>
          <w:color w:val="000000" w:themeColor="text1"/>
          <w:sz w:val="28"/>
          <w:szCs w:val="28"/>
          <w:highlight w:val="none"/>
          <w:lang w:eastAsia="zh-CN"/>
          <w14:textFill>
            <w14:solidFill>
              <w14:schemeClr w14:val="tx1"/>
            </w14:solidFill>
          </w14:textFill>
        </w:rPr>
        <w:t>其他：</w:t>
      </w:r>
      <w:r>
        <w:rPr>
          <w:rFonts w:hint="eastAsia" w:asciiTheme="minorEastAsia" w:hAnsiTheme="minorEastAsia" w:eastAsiaTheme="minorEastAsia" w:cstheme="minorEastAsia"/>
          <w:iCs w:val="0"/>
          <w:color w:val="000000" w:themeColor="text1"/>
          <w:sz w:val="28"/>
          <w:szCs w:val="28"/>
          <w:highlight w:val="none"/>
          <w:u w:val="single"/>
          <w:lang w:val="en-US" w:eastAsia="zh-CN"/>
          <w14:textFill>
            <w14:solidFill>
              <w14:schemeClr w14:val="tx1"/>
            </w14:solidFill>
          </w14:textFill>
        </w:rPr>
        <w:t xml:space="preserve">          </w:t>
      </w:r>
    </w:p>
    <w:p w14:paraId="06585040">
      <w:pPr>
        <w:pStyle w:val="171"/>
        <w:pageBreakBefore w:val="0"/>
        <w:numPr>
          <w:ilvl w:val="-1"/>
          <w:numId w:val="0"/>
        </w:numPr>
        <w:kinsoku/>
        <w:wordWrap/>
        <w:overflowPunct/>
        <w:topLinePunct w:val="0"/>
        <w:bidi w:val="0"/>
        <w:adjustRightInd w:val="0"/>
        <w:snapToGrid w:val="0"/>
        <w:spacing w:before="0" w:beforeLines="0" w:afterAutospacing="0" w:line="560" w:lineRule="exact"/>
        <w:ind w:firstLine="560" w:firstLineChars="200"/>
        <w:textAlignment w:val="auto"/>
        <w:rPr>
          <w:rFonts w:hint="eastAsia" w:asciiTheme="minorEastAsia" w:hAnsiTheme="minorEastAsia" w:eastAsiaTheme="minorEastAsia" w:cstheme="minorEastAsia"/>
          <w:iCs w:val="0"/>
          <w:color w:val="000000" w:themeColor="text1"/>
          <w:sz w:val="28"/>
          <w:szCs w:val="28"/>
          <w:highlight w:val="none"/>
          <w:u w:val="single"/>
          <w:lang w:val="en-US" w:eastAsia="zh-CN"/>
          <w14:textFill>
            <w14:solidFill>
              <w14:schemeClr w14:val="tx1"/>
            </w14:solidFill>
          </w14:textFill>
        </w:rPr>
      </w:pPr>
      <w:r>
        <w:rPr>
          <w:rFonts w:hint="eastAsia" w:asciiTheme="minorEastAsia" w:hAnsiTheme="minorEastAsia" w:eastAsiaTheme="minorEastAsia" w:cstheme="minorEastAsia"/>
          <w:iCs w:val="0"/>
          <w:color w:val="000000" w:themeColor="text1"/>
          <w:sz w:val="28"/>
          <w:szCs w:val="28"/>
          <w:highlight w:val="none"/>
          <w:u w:val="none"/>
          <w:lang w:val="en-US" w:eastAsia="zh-CN"/>
          <w14:textFill>
            <w14:solidFill>
              <w14:schemeClr w14:val="tx1"/>
            </w14:solidFill>
          </w14:textFill>
        </w:rPr>
        <w:t>（4）交货期：</w:t>
      </w:r>
      <w:r>
        <w:rPr>
          <w:rFonts w:hint="eastAsia" w:asciiTheme="minorEastAsia" w:hAnsiTheme="minorEastAsia" w:eastAsiaTheme="minorEastAsia" w:cstheme="minorEastAsia"/>
          <w:iCs w:val="0"/>
          <w:color w:val="000000" w:themeColor="text1"/>
          <w:sz w:val="28"/>
          <w:szCs w:val="28"/>
          <w:highlight w:val="none"/>
          <w:u w:val="single"/>
          <w:lang w:val="en-US" w:eastAsia="zh-CN"/>
          <w14:textFill>
            <w14:solidFill>
              <w14:schemeClr w14:val="tx1"/>
            </w14:solidFill>
          </w14:textFill>
        </w:rPr>
        <w:t>自合同签订（成交通知书下发）之日起   日内完成项目最终验收。</w:t>
      </w:r>
    </w:p>
    <w:p w14:paraId="0EB663CB">
      <w:pPr>
        <w:pageBreakBefore w:val="0"/>
        <w:numPr>
          <w:ilvl w:val="0"/>
          <w:numId w:val="4"/>
        </w:numPr>
        <w:kinsoku/>
        <w:wordWrap/>
        <w:overflowPunct/>
        <w:topLinePunct w:val="0"/>
        <w:bidi w:val="0"/>
        <w:adjustRightInd w:val="0"/>
        <w:snapToGrid w:val="0"/>
        <w:spacing w:before="0" w:beforeLines="0" w:afterAutospacing="0" w:line="560" w:lineRule="exact"/>
        <w:ind w:firstLine="562" w:firstLineChars="200"/>
        <w:textAlignment w:val="auto"/>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合同金额</w:t>
      </w:r>
    </w:p>
    <w:p w14:paraId="746DF06F">
      <w:pPr>
        <w:pageBreakBefore w:val="0"/>
        <w:kinsoku/>
        <w:wordWrap/>
        <w:overflowPunct/>
        <w:topLinePunct w:val="0"/>
        <w:bidi w:val="0"/>
        <w:adjustRightInd w:val="0"/>
        <w:snapToGrid w:val="0"/>
        <w:spacing w:before="0" w:beforeLines="0" w:afterAutospacing="0" w:line="560" w:lineRule="exact"/>
        <w:ind w:firstLine="560" w:firstLineChars="200"/>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（1）合同金额小写：</w:t>
      </w:r>
      <w: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t xml:space="preserve">      </w:t>
      </w:r>
    </w:p>
    <w:p w14:paraId="2E068F5A">
      <w:pPr>
        <w:pageBreakBefore w:val="0"/>
        <w:kinsoku/>
        <w:wordWrap/>
        <w:overflowPunct/>
        <w:topLinePunct w:val="0"/>
        <w:bidi w:val="0"/>
        <w:adjustRightInd w:val="0"/>
        <w:snapToGrid w:val="0"/>
        <w:spacing w:before="0" w:beforeLines="0" w:afterAutospacing="0" w:line="560" w:lineRule="exact"/>
        <w:ind w:left="0" w:firstLine="0" w:firstLineChars="0"/>
        <w:textAlignment w:val="auto"/>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大写：</w:t>
      </w:r>
      <w: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t xml:space="preserve">      </w:t>
      </w:r>
    </w:p>
    <w:p w14:paraId="6E287845">
      <w:pPr>
        <w:pageBreakBefore w:val="0"/>
        <w:kinsoku/>
        <w:wordWrap/>
        <w:overflowPunct/>
        <w:topLinePunct w:val="0"/>
        <w:bidi w:val="0"/>
        <w:adjustRightInd w:val="0"/>
        <w:snapToGrid w:val="0"/>
        <w:spacing w:before="0" w:beforeLines="0" w:afterAutospacing="0" w:line="560" w:lineRule="exact"/>
        <w:ind w:firstLine="0" w:firstLineChars="0"/>
        <w:textAlignment w:val="auto"/>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highlight w:val="none"/>
          <w:lang w:val="zh-CN" w:eastAsia="zh-CN"/>
          <w14:textFill>
            <w14:solidFill>
              <w14:schemeClr w14:val="tx1"/>
            </w14:solidFill>
          </w14:textFill>
        </w:rPr>
        <w:t>本合同总金额为含税价格，乙方因本合同而须支付的各项税费由乙方自行承担，不再向甲方收取。</w:t>
      </w:r>
    </w:p>
    <w:p w14:paraId="6E18ED15">
      <w:pPr>
        <w:pageBreakBefore w:val="0"/>
        <w:numPr>
          <w:ilvl w:val="-1"/>
          <w:numId w:val="0"/>
        </w:numPr>
        <w:kinsoku/>
        <w:wordWrap/>
        <w:overflowPunct/>
        <w:topLinePunct w:val="0"/>
        <w:bidi w:val="0"/>
        <w:adjustRightInd w:val="0"/>
        <w:snapToGrid w:val="0"/>
        <w:spacing w:before="0" w:beforeLines="0" w:afterAutospacing="0" w:line="560" w:lineRule="exact"/>
        <w:ind w:firstLine="0" w:firstLineChars="0"/>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合同定价方式</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（采用组合定价方式的，可以勾选多项）</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w:t>
      </w:r>
    </w:p>
    <w:p w14:paraId="0F1A0A0E">
      <w:pPr>
        <w:pageBreakBefore w:val="0"/>
        <w:kinsoku/>
        <w:wordWrap/>
        <w:overflowPunct/>
        <w:topLinePunct w:val="0"/>
        <w:bidi w:val="0"/>
        <w:adjustRightInd w:val="0"/>
        <w:snapToGrid w:val="0"/>
        <w:spacing w:before="0" w:beforeLines="0" w:afterAutospacing="0" w:line="560" w:lineRule="exact"/>
        <w:ind w:firstLine="560" w:firstLineChars="200"/>
        <w:textAlignment w:val="auto"/>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pPr>
      <w:r>
        <w:rPr>
          <w:rFonts w:hint="eastAsia" w:asciiTheme="minorEastAsia" w:hAnsiTheme="minorEastAsia" w:eastAsiaTheme="minorEastAsia" w:cstheme="minorEastAsia"/>
          <w:iCs/>
          <w:color w:val="000000" w:themeColor="text1"/>
          <w:sz w:val="28"/>
          <w:szCs w:val="28"/>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iCs/>
          <w:color w:val="000000" w:themeColor="text1"/>
          <w:sz w:val="28"/>
          <w:szCs w:val="28"/>
          <w:highlight w:val="none"/>
          <w14:textFill>
            <w14:solidFill>
              <w14:schemeClr w14:val="tx1"/>
            </w14:solidFill>
          </w14:textFill>
        </w:rPr>
        <w:sym w:font="Wingdings" w:char="00A8"/>
      </w:r>
      <w:r>
        <w:rPr>
          <w:rFonts w:hint="eastAsia" w:asciiTheme="minorEastAsia" w:hAnsiTheme="minorEastAsia" w:eastAsiaTheme="minorEastAsia" w:cstheme="minorEastAsia"/>
          <w:iCs/>
          <w:color w:val="000000" w:themeColor="text1"/>
          <w:sz w:val="28"/>
          <w:szCs w:val="28"/>
          <w:highlight w:val="none"/>
          <w14:textFill>
            <w14:solidFill>
              <w14:schemeClr w14:val="tx1"/>
            </w14:solidFill>
          </w14:textFill>
        </w:rPr>
        <w:t xml:space="preserve">固定总价 </w:t>
      </w:r>
      <w:r>
        <w:rPr>
          <w:rFonts w:hint="eastAsia" w:asciiTheme="minorEastAsia" w:hAnsiTheme="minorEastAsia" w:eastAsiaTheme="minorEastAsia" w:cstheme="minorEastAsia"/>
          <w:iCs/>
          <w:color w:val="000000" w:themeColor="text1"/>
          <w:sz w:val="28"/>
          <w:szCs w:val="28"/>
          <w:highlight w:val="none"/>
          <w14:textFill>
            <w14:solidFill>
              <w14:schemeClr w14:val="tx1"/>
            </w14:solidFill>
          </w14:textFill>
        </w:rPr>
        <w:sym w:font="Wingdings" w:char="00A8"/>
      </w:r>
      <w:r>
        <w:rPr>
          <w:rFonts w:hint="eastAsia" w:asciiTheme="minorEastAsia" w:hAnsiTheme="minorEastAsia" w:eastAsiaTheme="minorEastAsia" w:cstheme="minorEastAsia"/>
          <w:iCs/>
          <w:color w:val="000000" w:themeColor="text1"/>
          <w:sz w:val="28"/>
          <w:szCs w:val="28"/>
          <w:highlight w:val="none"/>
          <w14:textFill>
            <w14:solidFill>
              <w14:schemeClr w14:val="tx1"/>
            </w14:solidFill>
          </w14:textFill>
        </w:rPr>
        <w:t>固定单价</w:t>
      </w:r>
      <w:r>
        <w:rPr>
          <w:rFonts w:hint="eastAsia" w:asciiTheme="minorEastAsia" w:hAnsiTheme="minorEastAsia" w:eastAsiaTheme="minorEastAsia" w:cstheme="minorEastAsia"/>
          <w:iCs/>
          <w:color w:val="000000" w:themeColor="text1"/>
          <w:sz w:val="28"/>
          <w:szCs w:val="28"/>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iCs/>
          <w:color w:val="000000" w:themeColor="text1"/>
          <w:sz w:val="28"/>
          <w:szCs w:val="28"/>
          <w:highlight w:val="none"/>
          <w14:textFill>
            <w14:solidFill>
              <w14:schemeClr w14:val="tx1"/>
            </w14:solidFill>
          </w14:textFill>
        </w:rPr>
        <w:sym w:font="Wingdings" w:char="00A8"/>
      </w:r>
      <w:r>
        <w:rPr>
          <w:rFonts w:hint="eastAsia" w:asciiTheme="minorEastAsia" w:hAnsiTheme="minorEastAsia" w:eastAsiaTheme="minorEastAsia" w:cstheme="minorEastAsia"/>
          <w:iCs/>
          <w:color w:val="000000" w:themeColor="text1"/>
          <w:sz w:val="28"/>
          <w:szCs w:val="28"/>
          <w:highlight w:val="none"/>
          <w:lang w:eastAsia="zh-CN"/>
          <w14:textFill>
            <w14:solidFill>
              <w14:schemeClr w14:val="tx1"/>
            </w14:solidFill>
          </w14:textFill>
        </w:rPr>
        <w:t>固定费率</w:t>
      </w:r>
      <w:r>
        <w:rPr>
          <w:rFonts w:hint="eastAsia" w:asciiTheme="minorEastAsia" w:hAnsiTheme="minorEastAsia" w:eastAsiaTheme="minorEastAsia" w:cstheme="minorEastAsia"/>
          <w:iCs/>
          <w:color w:val="000000" w:themeColor="text1"/>
          <w:sz w:val="28"/>
          <w:szCs w:val="28"/>
          <w:highlight w:val="none"/>
          <w14:textFill>
            <w14:solidFill>
              <w14:schemeClr w14:val="tx1"/>
            </w14:solidFill>
          </w14:textFill>
        </w:rPr>
        <w:t xml:space="preserve"> </w:t>
      </w:r>
      <w:r>
        <w:rPr>
          <w:rFonts w:hint="eastAsia" w:asciiTheme="minorEastAsia" w:hAnsiTheme="minorEastAsia" w:eastAsiaTheme="minorEastAsia" w:cstheme="minorEastAsia"/>
          <w:iCs/>
          <w:color w:val="000000" w:themeColor="text1"/>
          <w:sz w:val="28"/>
          <w:szCs w:val="28"/>
          <w:highlight w:val="none"/>
          <w14:textFill>
            <w14:solidFill>
              <w14:schemeClr w14:val="tx1"/>
            </w14:solidFill>
          </w14:textFill>
        </w:rPr>
        <w:sym w:font="Wingdings" w:char="00A8"/>
      </w:r>
      <w:r>
        <w:rPr>
          <w:rFonts w:hint="eastAsia" w:asciiTheme="minorEastAsia" w:hAnsiTheme="minorEastAsia" w:eastAsiaTheme="minorEastAsia" w:cstheme="minorEastAsia"/>
          <w:iCs/>
          <w:color w:val="000000" w:themeColor="text1"/>
          <w:sz w:val="28"/>
          <w:szCs w:val="28"/>
          <w:highlight w:val="none"/>
          <w14:textFill>
            <w14:solidFill>
              <w14:schemeClr w14:val="tx1"/>
            </w14:solidFill>
          </w14:textFill>
        </w:rPr>
        <w:t xml:space="preserve">成本补偿 </w:t>
      </w:r>
      <w:r>
        <w:rPr>
          <w:rFonts w:hint="eastAsia" w:asciiTheme="minorEastAsia" w:hAnsiTheme="minorEastAsia" w:eastAsiaTheme="minorEastAsia" w:cstheme="minorEastAsia"/>
          <w:iCs/>
          <w:color w:val="000000" w:themeColor="text1"/>
          <w:sz w:val="28"/>
          <w:szCs w:val="28"/>
          <w:highlight w:val="none"/>
          <w14:textFill>
            <w14:solidFill>
              <w14:schemeClr w14:val="tx1"/>
            </w14:solidFill>
          </w14:textFill>
        </w:rPr>
        <w:sym w:font="Wingdings" w:char="00A8"/>
      </w:r>
      <w:r>
        <w:rPr>
          <w:rFonts w:hint="eastAsia" w:asciiTheme="minorEastAsia" w:hAnsiTheme="minorEastAsia" w:eastAsiaTheme="minorEastAsia" w:cstheme="minorEastAsia"/>
          <w:iCs/>
          <w:color w:val="000000" w:themeColor="text1"/>
          <w:sz w:val="28"/>
          <w:szCs w:val="28"/>
          <w:highlight w:val="none"/>
          <w14:textFill>
            <w14:solidFill>
              <w14:schemeClr w14:val="tx1"/>
            </w14:solidFill>
          </w14:textFill>
        </w:rPr>
        <w:t>绩效激励</w:t>
      </w:r>
      <w:r>
        <w:rPr>
          <w:rFonts w:hint="eastAsia" w:asciiTheme="minorEastAsia" w:hAnsiTheme="minorEastAsia" w:eastAsiaTheme="minorEastAsia" w:cstheme="minorEastAsia"/>
          <w:iCs/>
          <w:color w:val="000000" w:themeColor="text1"/>
          <w:sz w:val="28"/>
          <w:szCs w:val="28"/>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iCs/>
          <w:color w:val="000000" w:themeColor="text1"/>
          <w:sz w:val="28"/>
          <w:szCs w:val="28"/>
          <w:highlight w:val="none"/>
          <w14:textFill>
            <w14:solidFill>
              <w14:schemeClr w14:val="tx1"/>
            </w14:solidFill>
          </w14:textFill>
        </w:rPr>
        <w:sym w:font="Wingdings" w:char="00A8"/>
      </w:r>
      <w:r>
        <w:rPr>
          <w:rFonts w:hint="eastAsia" w:asciiTheme="minorEastAsia" w:hAnsiTheme="minorEastAsia" w:eastAsiaTheme="minorEastAsia" w:cstheme="minorEastAsia"/>
          <w:iCs/>
          <w:color w:val="000000" w:themeColor="text1"/>
          <w:sz w:val="28"/>
          <w:szCs w:val="28"/>
          <w:highlight w:val="none"/>
          <w:lang w:eastAsia="zh-CN"/>
          <w14:textFill>
            <w14:solidFill>
              <w14:schemeClr w14:val="tx1"/>
            </w14:solidFill>
          </w14:textFill>
        </w:rPr>
        <w:t>其他</w:t>
      </w:r>
      <w: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t xml:space="preserve">       </w:t>
      </w:r>
    </w:p>
    <w:p w14:paraId="7C7F35DB">
      <w:pPr>
        <w:pStyle w:val="105"/>
        <w:pageBreakBefore w:val="0"/>
        <w:kinsoku/>
        <w:wordWrap/>
        <w:overflowPunct/>
        <w:topLinePunct w:val="0"/>
        <w:bidi w:val="0"/>
        <w:spacing w:beforeLines="0" w:afterAutospacing="0" w:line="560" w:lineRule="exac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）付款方式（按项目实际勾选填写）：</w:t>
      </w:r>
    </w:p>
    <w:p w14:paraId="57ED7AC0">
      <w:pPr>
        <w:pageBreakBefore w:val="0"/>
        <w:kinsoku/>
        <w:wordWrap/>
        <w:overflowPunct/>
        <w:topLinePunct w:val="0"/>
        <w:bidi w:val="0"/>
        <w:adjustRightInd w:val="0"/>
        <w:snapToGrid w:val="0"/>
        <w:spacing w:before="0" w:beforeLines="0" w:afterAutospacing="0" w:line="560" w:lineRule="exact"/>
        <w:ind w:firstLine="840" w:firstLineChars="300"/>
        <w:textAlignment w:val="auto"/>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sym w:font="Wingdings" w:char="00A8"/>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全额付款：</w:t>
      </w:r>
      <w:r>
        <w:rPr>
          <w:rFonts w:hint="eastAsia" w:asciiTheme="minorEastAsia" w:hAnsiTheme="minorEastAsia" w:eastAsiaTheme="minorEastAsia" w:cstheme="minorEastAsia"/>
          <w:color w:val="000000" w:themeColor="text1"/>
          <w:sz w:val="28"/>
          <w:szCs w:val="28"/>
          <w:highlight w:val="none"/>
          <w:u w:val="single"/>
          <w:lang w:eastAsia="zh-CN"/>
          <w14:textFill>
            <w14:solidFill>
              <w14:schemeClr w14:val="tx1"/>
            </w14:solidFill>
          </w14:textFill>
        </w:rPr>
        <w:t>待</w:t>
      </w:r>
      <w:r>
        <w:rPr>
          <w:rFonts w:hint="eastAsia" w:asciiTheme="minorEastAsia" w:hAnsiTheme="minorEastAsia" w:eastAsiaTheme="minorEastAsia" w:cstheme="minorEastAsia"/>
          <w:color w:val="000000" w:themeColor="text1"/>
          <w:sz w:val="28"/>
          <w:szCs w:val="28"/>
          <w:highlight w:val="none"/>
          <w:u w:val="single"/>
          <w:lang w:val="en-US" w:eastAsia="zh-CN"/>
          <w14:textFill>
            <w14:solidFill>
              <w14:schemeClr w14:val="tx1"/>
            </w14:solidFill>
          </w14:textFill>
        </w:rPr>
        <w:t xml:space="preserve">     最终验收合格后，甲方一次性支付货款。                           </w:t>
      </w:r>
      <w: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t xml:space="preserve">                  </w:t>
      </w:r>
    </w:p>
    <w:p w14:paraId="7D284603">
      <w:pPr>
        <w:pageBreakBefore w:val="0"/>
        <w:kinsoku/>
        <w:wordWrap/>
        <w:overflowPunct/>
        <w:topLinePunct w:val="0"/>
        <w:bidi w:val="0"/>
        <w:snapToGrid w:val="0"/>
        <w:spacing w:beforeLines="0" w:afterAutospacing="0" w:line="560" w:lineRule="exact"/>
        <w:ind w:firstLine="840" w:firstLineChars="300"/>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sym w:font="Wingdings" w:char="00FE"/>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分期付款：</w:t>
      </w:r>
      <w:r>
        <w:rPr>
          <w:rFonts w:hint="eastAsia" w:asciiTheme="minorEastAsia" w:hAnsiTheme="minorEastAsia" w:eastAsiaTheme="minorEastAsia" w:cstheme="minorEastAsia"/>
          <w:color w:val="000000" w:themeColor="text1"/>
          <w:sz w:val="28"/>
          <w:szCs w:val="28"/>
          <w:highlight w:val="none"/>
          <w:u w:val="single"/>
          <w:lang w:eastAsia="zh-CN"/>
          <w14:textFill>
            <w14:solidFill>
              <w14:schemeClr w14:val="tx1"/>
            </w14:solidFill>
          </w14:textFill>
        </w:rPr>
        <w:t>货物抵达交货地点安装、调试、验收合格，设备使用满贰个月后甲方向供应商支付合同总金额的</w:t>
      </w:r>
      <w:r>
        <w:rPr>
          <w:rFonts w:hint="eastAsia" w:asciiTheme="minorEastAsia" w:hAnsiTheme="minorEastAsia" w:eastAsiaTheme="minorEastAsia" w:cstheme="minorEastAsia"/>
          <w:color w:val="000000" w:themeColor="text1"/>
          <w:sz w:val="28"/>
          <w:szCs w:val="28"/>
          <w:highlight w:val="none"/>
          <w:u w:val="single"/>
          <w:lang w:val="en-US" w:eastAsia="zh-CN"/>
          <w14:textFill>
            <w14:solidFill>
              <w14:schemeClr w14:val="tx1"/>
            </w14:solidFill>
          </w14:textFill>
        </w:rPr>
        <w:t>80%，设备使用满壹年后甲方向供应商制度合同总金额的10%，合同全部内容履约完成后，无任何质量问题后支付合同金额的剩余10%。</w:t>
      </w:r>
    </w:p>
    <w:p w14:paraId="71C6315E">
      <w:pPr>
        <w:pageBreakBefore w:val="0"/>
        <w:numPr>
          <w:ilvl w:val="0"/>
          <w:numId w:val="4"/>
        </w:numPr>
        <w:kinsoku/>
        <w:wordWrap/>
        <w:overflowPunct/>
        <w:topLinePunct w:val="0"/>
        <w:bidi w:val="0"/>
        <w:adjustRightInd w:val="0"/>
        <w:snapToGrid w:val="0"/>
        <w:spacing w:before="0" w:beforeLines="0" w:afterAutospacing="0" w:line="560" w:lineRule="exact"/>
        <w:ind w:firstLine="562" w:firstLineChars="200"/>
        <w:textAlignment w:val="auto"/>
        <w:rPr>
          <w:rFonts w:hint="eastAsia" w:asciiTheme="minorEastAsia" w:hAnsiTheme="minorEastAsia" w:eastAsiaTheme="minorEastAsia" w:cstheme="minorEastAsia"/>
          <w:b/>
          <w:bCs w:val="0"/>
          <w:color w:val="000000" w:themeColor="text1"/>
          <w:sz w:val="28"/>
          <w:szCs w:val="28"/>
          <w:highlight w:val="none"/>
          <w:u w:val="single"/>
          <w14:textFill>
            <w14:solidFill>
              <w14:schemeClr w14:val="tx1"/>
            </w14:solidFill>
          </w14:textFill>
        </w:rPr>
      </w:pPr>
      <w:r>
        <w:rPr>
          <w:rFonts w:hint="eastAsia" w:asciiTheme="minorEastAsia" w:hAnsiTheme="minorEastAsia" w:eastAsiaTheme="minorEastAsia" w:cstheme="minorEastAsia"/>
          <w:b/>
          <w:bCs w:val="0"/>
          <w:color w:val="000000" w:themeColor="text1"/>
          <w:sz w:val="28"/>
          <w:szCs w:val="28"/>
          <w:highlight w:val="none"/>
          <w14:textFill>
            <w14:solidFill>
              <w14:schemeClr w14:val="tx1"/>
            </w14:solidFill>
          </w14:textFill>
        </w:rPr>
        <w:t>合同履行</w:t>
      </w:r>
    </w:p>
    <w:p w14:paraId="5317E21D">
      <w:pPr>
        <w:pageBreakBefore w:val="0"/>
        <w:kinsoku/>
        <w:wordWrap/>
        <w:overflowPunct/>
        <w:topLinePunct w:val="0"/>
        <w:bidi w:val="0"/>
        <w:adjustRightInd w:val="0"/>
        <w:snapToGrid w:val="0"/>
        <w:spacing w:before="0" w:beforeLines="0" w:afterAutospacing="0" w:line="560" w:lineRule="exact"/>
        <w:ind w:firstLine="560" w:firstLineChars="200"/>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（1）起始日期：</w:t>
      </w:r>
      <w:r>
        <w:rPr>
          <w:rFonts w:hint="eastAsia" w:asciiTheme="minorEastAsia" w:hAnsiTheme="minorEastAsia" w:eastAsiaTheme="minorEastAsia" w:cstheme="minorEastAsia"/>
          <w:color w:val="000000" w:themeColor="text1"/>
          <w:sz w:val="28"/>
          <w:szCs w:val="28"/>
          <w:highlight w:val="none"/>
          <w:u w:val="single"/>
          <w:lang w:eastAsia="zh-CN"/>
          <w14:textFill>
            <w14:solidFill>
              <w14:schemeClr w14:val="tx1"/>
            </w14:solidFill>
          </w14:textFill>
        </w:rPr>
        <w:t>自成交通知书下发之日起至质保期结束且货物无任何质量问题止</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w:t>
      </w:r>
    </w:p>
    <w:p w14:paraId="38440722">
      <w:pPr>
        <w:pageBreakBefore w:val="0"/>
        <w:kinsoku/>
        <w:wordWrap/>
        <w:overflowPunct/>
        <w:topLinePunct w:val="0"/>
        <w:bidi w:val="0"/>
        <w:adjustRightInd w:val="0"/>
        <w:snapToGrid w:val="0"/>
        <w:spacing w:before="0" w:beforeLines="0" w:afterAutospacing="0" w:line="560" w:lineRule="exact"/>
        <w:ind w:firstLine="560" w:firstLineChars="200"/>
        <w:textAlignment w:val="auto"/>
        <w:rPr>
          <w:rFonts w:hint="eastAsia" w:asciiTheme="minorEastAsia" w:hAnsiTheme="minorEastAsia" w:eastAsiaTheme="minorEastAsia" w:cstheme="minorEastAsia"/>
          <w:color w:val="000000" w:themeColor="text1"/>
          <w:sz w:val="28"/>
          <w:szCs w:val="28"/>
          <w:highlight w:val="none"/>
          <w:u w:val="single"/>
          <w:lang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（2）</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履约</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地点</w:t>
      </w:r>
      <w:r>
        <w:rPr>
          <w:rFonts w:hint="eastAsia" w:asciiTheme="minorEastAsia" w:hAnsiTheme="minorEastAsia" w:eastAsiaTheme="minorEastAsia" w:cstheme="minorEastAsia"/>
          <w:b w:val="0"/>
          <w:bCs/>
          <w:color w:val="000000" w:themeColor="text1"/>
          <w:sz w:val="28"/>
          <w:szCs w:val="28"/>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8"/>
          <w:szCs w:val="28"/>
          <w:highlight w:val="none"/>
          <w:u w:val="single"/>
          <w:lang w:eastAsia="zh-CN"/>
          <w14:textFill>
            <w14:solidFill>
              <w14:schemeClr w14:val="tx1"/>
            </w14:solidFill>
          </w14:textFill>
        </w:rPr>
        <w:t>哈密市中心医院</w:t>
      </w:r>
    </w:p>
    <w:p w14:paraId="0F3F30D5">
      <w:pPr>
        <w:pageBreakBefore w:val="0"/>
        <w:kinsoku/>
        <w:wordWrap/>
        <w:overflowPunct/>
        <w:topLinePunct w:val="0"/>
        <w:bidi w:val="0"/>
        <w:adjustRightInd w:val="0"/>
        <w:snapToGrid w:val="0"/>
        <w:spacing w:before="0" w:beforeLines="0" w:afterAutospacing="0" w:line="560" w:lineRule="exact"/>
        <w:ind w:firstLine="560" w:firstLineChars="200"/>
        <w:textAlignment w:val="auto"/>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pP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（3）履约担保：</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是否收取履约保证金：</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sym w:font="Wingdings" w:char="00A8"/>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是</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sym w:font="Wingdings" w:char="00A8"/>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否</w:t>
      </w:r>
    </w:p>
    <w:p w14:paraId="7A1A8796">
      <w:pPr>
        <w:pStyle w:val="171"/>
        <w:pageBreakBefore w:val="0"/>
        <w:kinsoku/>
        <w:wordWrap/>
        <w:overflowPunct/>
        <w:topLinePunct w:val="0"/>
        <w:bidi w:val="0"/>
        <w:spacing w:beforeLines="0" w:afterAutospacing="0" w:line="560" w:lineRule="exact"/>
        <w:textAlignment w:val="auto"/>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8"/>
          <w:szCs w:val="28"/>
          <w:highlight w:val="none"/>
          <w:u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 xml:space="preserve">  收取履约保证金形式：</w:t>
      </w:r>
      <w:r>
        <w:rPr>
          <w:rFonts w:hint="eastAsia" w:asciiTheme="minorEastAsia" w:hAnsiTheme="minorEastAsia" w:eastAsiaTheme="minorEastAsia" w:cstheme="minorEastAsia"/>
          <w:bCs/>
          <w:color w:val="000000" w:themeColor="text1"/>
          <w:sz w:val="28"/>
          <w:szCs w:val="28"/>
          <w:highlight w:val="none"/>
          <w:u w:val="single"/>
          <w:lang w:eastAsia="zh-CN"/>
          <w14:textFill>
            <w14:solidFill>
              <w14:schemeClr w14:val="tx1"/>
            </w14:solidFill>
          </w14:textFill>
        </w:rPr>
        <w:t>转账</w:t>
      </w:r>
      <w:r>
        <w:rPr>
          <w:rFonts w:hint="eastAsia" w:asciiTheme="minorEastAsia" w:hAnsiTheme="minorEastAsia" w:eastAsiaTheme="minorEastAsia" w:cstheme="minorEastAsia"/>
          <w:bCs/>
          <w:color w:val="000000" w:themeColor="text1"/>
          <w:sz w:val="28"/>
          <w:szCs w:val="28"/>
          <w:highlight w:val="none"/>
          <w:u w:val="single"/>
          <w14:textFill>
            <w14:solidFill>
              <w14:schemeClr w14:val="tx1"/>
            </w14:solidFill>
          </w14:textFill>
        </w:rPr>
        <w:t xml:space="preserve"> </w:t>
      </w:r>
    </w:p>
    <w:p w14:paraId="19ABF32A">
      <w:pPr>
        <w:pStyle w:val="171"/>
        <w:pageBreakBefore w:val="0"/>
        <w:kinsoku/>
        <w:wordWrap/>
        <w:overflowPunct/>
        <w:topLinePunct w:val="0"/>
        <w:bidi w:val="0"/>
        <w:spacing w:beforeLines="0" w:afterAutospacing="0" w:line="560" w:lineRule="exact"/>
        <w:textAlignment w:val="auto"/>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 xml:space="preserve">    收取履约保证金金额：</w:t>
      </w:r>
      <w:r>
        <w:rPr>
          <w:rFonts w:hint="eastAsia" w:asciiTheme="minorEastAsia" w:hAnsiTheme="minorEastAsia" w:eastAsiaTheme="minorEastAsia" w:cstheme="minorEastAsia"/>
          <w:bCs/>
          <w:color w:val="000000" w:themeColor="text1"/>
          <w:sz w:val="28"/>
          <w:szCs w:val="28"/>
          <w:highlight w:val="none"/>
          <w:u w:val="single"/>
          <w14:textFill>
            <w14:solidFill>
              <w14:schemeClr w14:val="tx1"/>
            </w14:solidFill>
          </w14:textFill>
        </w:rPr>
        <w:t xml:space="preserve">                            </w:t>
      </w:r>
    </w:p>
    <w:p w14:paraId="0A598A74">
      <w:pPr>
        <w:pageBreakBefore w:val="0"/>
        <w:kinsoku/>
        <w:wordWrap/>
        <w:overflowPunct/>
        <w:topLinePunct w:val="0"/>
        <w:bidi w:val="0"/>
        <w:snapToGrid w:val="0"/>
        <w:spacing w:beforeLines="0" w:afterAutospacing="0" w:line="560" w:lineRule="exact"/>
        <w:ind w:firstLine="560" w:firstLineChars="200"/>
        <w:textAlignment w:val="auto"/>
        <w:rPr>
          <w:rFonts w:hint="eastAsia" w:asciiTheme="minorEastAsia" w:hAnsiTheme="minorEastAsia" w:eastAsiaTheme="minorEastAsia" w:cstheme="minorEastAsia"/>
          <w:bCs/>
          <w:color w:val="000000" w:themeColor="text1"/>
          <w:kern w:val="2"/>
          <w:sz w:val="28"/>
          <w:szCs w:val="28"/>
          <w:highlight w:val="none"/>
          <w:u w:val="none"/>
          <w:lang w:val="en-US" w:eastAsia="zh-CN" w:bidi="ar-SA"/>
          <w14:textFill>
            <w14:solidFill>
              <w14:schemeClr w14:val="tx1"/>
            </w14:solidFill>
          </w14:textFill>
        </w:rPr>
      </w:pPr>
      <w:r>
        <w:rPr>
          <w:rFonts w:hint="eastAsia" w:asciiTheme="minorEastAsia" w:hAnsiTheme="minorEastAsia" w:eastAsiaTheme="minorEastAsia" w:cstheme="minorEastAsia"/>
          <w:bCs/>
          <w:color w:val="000000" w:themeColor="text1"/>
          <w:sz w:val="28"/>
          <w:szCs w:val="28"/>
          <w:highlight w:val="none"/>
          <w:u w:val="none"/>
          <w:lang w:val="en-US" w:eastAsia="zh-CN"/>
          <w14:textFill>
            <w14:solidFill>
              <w14:schemeClr w14:val="tx1"/>
            </w14:solidFill>
          </w14:textFill>
        </w:rPr>
        <w:t xml:space="preserve">    履约担保期限</w:t>
      </w:r>
      <w:r>
        <w:rPr>
          <w:rFonts w:hint="eastAsia" w:asciiTheme="minorEastAsia" w:hAnsiTheme="minorEastAsia" w:eastAsiaTheme="minorEastAsia" w:cstheme="minorEastAsia"/>
          <w:bCs/>
          <w:color w:val="000000" w:themeColor="text1"/>
          <w:sz w:val="28"/>
          <w:szCs w:val="28"/>
          <w:highlight w:val="none"/>
          <w:u w:val="none"/>
          <w:lang w:eastAsia="zh-CN"/>
          <w14:textFill>
            <w14:solidFill>
              <w14:schemeClr w14:val="tx1"/>
            </w14:solidFill>
          </w14:textFill>
        </w:rPr>
        <w:t>：</w:t>
      </w:r>
      <w:r>
        <w:rPr>
          <w:rFonts w:hint="eastAsia" w:asciiTheme="minorEastAsia" w:hAnsiTheme="minorEastAsia" w:eastAsiaTheme="minorEastAsia" w:cstheme="minorEastAsia"/>
          <w:bCs/>
          <w:color w:val="000000" w:themeColor="text1"/>
          <w:sz w:val="28"/>
          <w:szCs w:val="28"/>
          <w:highlight w:val="none"/>
          <w:u w:val="single"/>
          <w:lang w:eastAsia="zh-CN"/>
          <w14:textFill>
            <w14:solidFill>
              <w14:schemeClr w14:val="tx1"/>
            </w14:solidFill>
          </w14:textFill>
        </w:rPr>
        <w:t>中标之日起至乙方完成合同约定的所有责任、义务。</w:t>
      </w:r>
      <w:r>
        <w:rPr>
          <w:rFonts w:hint="eastAsia" w:asciiTheme="minorEastAsia" w:hAnsiTheme="minorEastAsia" w:eastAsiaTheme="minorEastAsia" w:cstheme="minorEastAsia"/>
          <w:bCs/>
          <w:color w:val="000000" w:themeColor="text1"/>
          <w:kern w:val="2"/>
          <w:sz w:val="28"/>
          <w:szCs w:val="28"/>
          <w:highlight w:val="none"/>
          <w:u w:val="none"/>
          <w:lang w:val="en-US" w:eastAsia="zh-CN" w:bidi="ar-SA"/>
          <w14:textFill>
            <w14:solidFill>
              <w14:schemeClr w14:val="tx1"/>
            </w14:solidFill>
          </w14:textFill>
        </w:rPr>
        <w:t xml:space="preserve">  </w:t>
      </w:r>
    </w:p>
    <w:p w14:paraId="5B7A37F8">
      <w:pPr>
        <w:pStyle w:val="171"/>
        <w:pageBreakBefore w:val="0"/>
        <w:kinsoku/>
        <w:wordWrap/>
        <w:overflowPunct/>
        <w:topLinePunct w:val="0"/>
        <w:bidi w:val="0"/>
        <w:spacing w:afterAutospacing="0" w:line="560" w:lineRule="exact"/>
        <w:textAlignment w:val="auto"/>
        <w:rPr>
          <w:rFonts w:hint="eastAsia" w:asciiTheme="minorEastAsia" w:hAnsiTheme="minorEastAsia" w:eastAsiaTheme="minorEastAsia" w:cstheme="minorEastAsia"/>
          <w:bCs/>
          <w:color w:val="000000" w:themeColor="text1"/>
          <w:kern w:val="2"/>
          <w:sz w:val="28"/>
          <w:szCs w:val="28"/>
          <w:highlight w:val="none"/>
          <w:u w:val="none"/>
          <w:lang w:val="en-US" w:eastAsia="zh-CN" w:bidi="ar-SA"/>
          <w14:textFill>
            <w14:solidFill>
              <w14:schemeClr w14:val="tx1"/>
            </w14:solidFill>
          </w14:textFill>
        </w:rPr>
      </w:pPr>
      <w:r>
        <w:rPr>
          <w:rFonts w:hint="eastAsia" w:asciiTheme="minorEastAsia" w:hAnsiTheme="minorEastAsia" w:eastAsiaTheme="minorEastAsia" w:cstheme="minorEastAsia"/>
          <w:bCs/>
          <w:color w:val="000000" w:themeColor="text1"/>
          <w:kern w:val="2"/>
          <w:sz w:val="28"/>
          <w:szCs w:val="28"/>
          <w:highlight w:val="none"/>
          <w:u w:val="none"/>
          <w:lang w:val="en-US" w:eastAsia="zh-CN" w:bidi="ar-SA"/>
          <w14:textFill>
            <w14:solidFill>
              <w14:schemeClr w14:val="tx1"/>
            </w14:solidFill>
          </w14:textFill>
        </w:rPr>
        <w:t>汇款信息</w:t>
      </w:r>
    </w:p>
    <w:p w14:paraId="1BD1C768">
      <w:pPr>
        <w:pStyle w:val="171"/>
        <w:pageBreakBefore w:val="0"/>
        <w:kinsoku/>
        <w:wordWrap/>
        <w:overflowPunct/>
        <w:topLinePunct w:val="0"/>
        <w:bidi w:val="0"/>
        <w:spacing w:afterAutospacing="0" w:line="560" w:lineRule="exact"/>
        <w:textAlignment w:val="auto"/>
        <w:rPr>
          <w:rFonts w:hint="eastAsia" w:asciiTheme="minorEastAsia" w:hAnsiTheme="minorEastAsia" w:eastAsiaTheme="minorEastAsia" w:cstheme="minorEastAsia"/>
          <w:bCs/>
          <w:color w:val="000000" w:themeColor="text1"/>
          <w:kern w:val="2"/>
          <w:sz w:val="28"/>
          <w:szCs w:val="28"/>
          <w:highlight w:val="none"/>
          <w:u w:val="none"/>
          <w:lang w:val="en-US" w:eastAsia="zh-CN" w:bidi="ar-SA"/>
          <w14:textFill>
            <w14:solidFill>
              <w14:schemeClr w14:val="tx1"/>
            </w14:solidFill>
          </w14:textFill>
        </w:rPr>
      </w:pPr>
      <w:r>
        <w:rPr>
          <w:rFonts w:hint="eastAsia" w:asciiTheme="minorEastAsia" w:hAnsiTheme="minorEastAsia" w:eastAsiaTheme="minorEastAsia" w:cstheme="minorEastAsia"/>
          <w:bCs/>
          <w:color w:val="000000" w:themeColor="text1"/>
          <w:kern w:val="2"/>
          <w:sz w:val="28"/>
          <w:szCs w:val="28"/>
          <w:highlight w:val="none"/>
          <w:u w:val="none"/>
          <w:lang w:val="en-US" w:eastAsia="zh-CN" w:bidi="ar-SA"/>
          <w14:textFill>
            <w14:solidFill>
              <w14:schemeClr w14:val="tx1"/>
            </w14:solidFill>
          </w14:textFill>
        </w:rPr>
        <w:t>户名：哈密市中心医院</w:t>
      </w:r>
    </w:p>
    <w:p w14:paraId="77E869EA">
      <w:pPr>
        <w:pStyle w:val="171"/>
        <w:pageBreakBefore w:val="0"/>
        <w:kinsoku/>
        <w:wordWrap/>
        <w:overflowPunct/>
        <w:topLinePunct w:val="0"/>
        <w:bidi w:val="0"/>
        <w:spacing w:afterAutospacing="0" w:line="560" w:lineRule="exact"/>
        <w:textAlignment w:val="auto"/>
        <w:rPr>
          <w:rFonts w:hint="eastAsia" w:asciiTheme="minorEastAsia" w:hAnsiTheme="minorEastAsia" w:eastAsiaTheme="minorEastAsia" w:cstheme="minorEastAsia"/>
          <w:bCs/>
          <w:color w:val="000000" w:themeColor="text1"/>
          <w:kern w:val="2"/>
          <w:sz w:val="28"/>
          <w:szCs w:val="28"/>
          <w:highlight w:val="none"/>
          <w:u w:val="none"/>
          <w:lang w:val="en-US" w:eastAsia="zh-CN" w:bidi="ar-SA"/>
          <w14:textFill>
            <w14:solidFill>
              <w14:schemeClr w14:val="tx1"/>
            </w14:solidFill>
          </w14:textFill>
        </w:rPr>
      </w:pPr>
      <w:r>
        <w:rPr>
          <w:rFonts w:hint="eastAsia" w:asciiTheme="minorEastAsia" w:hAnsiTheme="minorEastAsia" w:eastAsiaTheme="minorEastAsia" w:cstheme="minorEastAsia"/>
          <w:bCs/>
          <w:color w:val="000000" w:themeColor="text1"/>
          <w:kern w:val="2"/>
          <w:sz w:val="28"/>
          <w:szCs w:val="28"/>
          <w:highlight w:val="none"/>
          <w:u w:val="none"/>
          <w:lang w:val="en-US" w:eastAsia="zh-CN" w:bidi="ar-SA"/>
          <w14:textFill>
            <w14:solidFill>
              <w14:schemeClr w14:val="tx1"/>
            </w14:solidFill>
          </w14:textFill>
        </w:rPr>
        <w:t>账号：30285901040000148</w:t>
      </w:r>
    </w:p>
    <w:p w14:paraId="5ED90EFE">
      <w:pPr>
        <w:pStyle w:val="171"/>
        <w:pageBreakBefore w:val="0"/>
        <w:kinsoku/>
        <w:wordWrap/>
        <w:overflowPunct/>
        <w:topLinePunct w:val="0"/>
        <w:bidi w:val="0"/>
        <w:spacing w:afterAutospacing="0" w:line="560" w:lineRule="exact"/>
        <w:textAlignment w:val="auto"/>
        <w:rPr>
          <w:rFonts w:hint="eastAsia" w:asciiTheme="minorEastAsia" w:hAnsiTheme="minorEastAsia" w:eastAsiaTheme="minorEastAsia" w:cstheme="minorEastAsia"/>
          <w:bCs/>
          <w:color w:val="000000" w:themeColor="text1"/>
          <w:kern w:val="2"/>
          <w:sz w:val="28"/>
          <w:szCs w:val="28"/>
          <w:highlight w:val="none"/>
          <w:u w:val="none"/>
          <w:lang w:val="en-US" w:eastAsia="zh-CN" w:bidi="ar-SA"/>
          <w14:textFill>
            <w14:solidFill>
              <w14:schemeClr w14:val="tx1"/>
            </w14:solidFill>
          </w14:textFill>
        </w:rPr>
      </w:pPr>
      <w:r>
        <w:rPr>
          <w:rFonts w:hint="eastAsia" w:asciiTheme="minorEastAsia" w:hAnsiTheme="minorEastAsia" w:eastAsiaTheme="minorEastAsia" w:cstheme="minorEastAsia"/>
          <w:bCs/>
          <w:color w:val="000000" w:themeColor="text1"/>
          <w:kern w:val="2"/>
          <w:sz w:val="28"/>
          <w:szCs w:val="28"/>
          <w:highlight w:val="none"/>
          <w:u w:val="none"/>
          <w:lang w:val="en-US" w:eastAsia="zh-CN" w:bidi="ar-SA"/>
          <w14:textFill>
            <w14:solidFill>
              <w14:schemeClr w14:val="tx1"/>
            </w14:solidFill>
          </w14:textFill>
        </w:rPr>
        <w:t>开户行：中国农业银行股份有限公司哈密胜利路支行</w:t>
      </w:r>
    </w:p>
    <w:p w14:paraId="6C51C139">
      <w:pPr>
        <w:pageBreakBefore w:val="0"/>
        <w:numPr>
          <w:ilvl w:val="0"/>
          <w:numId w:val="4"/>
        </w:numPr>
        <w:kinsoku/>
        <w:wordWrap/>
        <w:overflowPunct/>
        <w:topLinePunct w:val="0"/>
        <w:bidi w:val="0"/>
        <w:adjustRightInd w:val="0"/>
        <w:snapToGrid w:val="0"/>
        <w:spacing w:before="0" w:beforeLines="0" w:afterAutospacing="0" w:line="560" w:lineRule="exact"/>
        <w:ind w:firstLine="562" w:firstLineChars="200"/>
        <w:textAlignment w:val="auto"/>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合同验收</w:t>
      </w:r>
    </w:p>
    <w:p w14:paraId="33EBC087">
      <w:pPr>
        <w:pageBreakBefore w:val="0"/>
        <w:numPr>
          <w:ilvl w:val="0"/>
          <w:numId w:val="6"/>
        </w:numPr>
        <w:kinsoku/>
        <w:wordWrap/>
        <w:overflowPunct/>
        <w:topLinePunct w:val="0"/>
        <w:bidi w:val="0"/>
        <w:adjustRightInd w:val="0"/>
        <w:snapToGrid w:val="0"/>
        <w:spacing w:before="0" w:beforeLines="0" w:afterAutospacing="0" w:line="560" w:lineRule="exact"/>
        <w:ind w:firstLine="560" w:firstLineChars="200"/>
        <w:textAlignment w:val="auto"/>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验收组织方式：</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sym w:font="Wingdings" w:char="00FE"/>
      </w: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 xml:space="preserve">自行组织 </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sym w:font="Wingdings" w:char="00A8"/>
      </w: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委托第三方组织</w:t>
      </w:r>
    </w:p>
    <w:p w14:paraId="5043C92A">
      <w:pPr>
        <w:pageBreakBefore w:val="0"/>
        <w:numPr>
          <w:ilvl w:val="0"/>
          <w:numId w:val="0"/>
        </w:numPr>
        <w:kinsoku/>
        <w:wordWrap/>
        <w:overflowPunct/>
        <w:topLinePunct w:val="0"/>
        <w:bidi w:val="0"/>
        <w:adjustRightInd w:val="0"/>
        <w:snapToGrid w:val="0"/>
        <w:spacing w:before="0" w:beforeLines="0" w:afterAutospacing="0" w:line="560" w:lineRule="exact"/>
        <w:textAlignment w:val="auto"/>
        <w:rPr>
          <w:rFonts w:hint="eastAsia" w:asciiTheme="minorEastAsia" w:hAnsiTheme="minorEastAsia" w:eastAsiaTheme="minorEastAsia" w:cstheme="minorEastAsia"/>
          <w:bCs/>
          <w:color w:val="000000" w:themeColor="text1"/>
          <w:sz w:val="28"/>
          <w:szCs w:val="28"/>
          <w:highlight w:val="none"/>
          <w:u w:val="single"/>
          <w14:textFill>
            <w14:solidFill>
              <w14:schemeClr w14:val="tx1"/>
            </w14:solidFill>
          </w14:textFill>
        </w:rPr>
      </w:pPr>
      <w:r>
        <w:rPr>
          <w:rFonts w:hint="eastAsia" w:asciiTheme="minorEastAsia" w:hAnsiTheme="minorEastAsia" w:eastAsiaTheme="minorEastAsia" w:cstheme="minorEastAsia"/>
          <w:bCs/>
          <w:color w:val="000000" w:themeColor="text1"/>
          <w:sz w:val="28"/>
          <w:szCs w:val="28"/>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验收主体：</w:t>
      </w:r>
      <w:r>
        <w:rPr>
          <w:rFonts w:hint="eastAsia" w:asciiTheme="minorEastAsia" w:hAnsiTheme="minorEastAsia" w:eastAsiaTheme="minorEastAsia" w:cstheme="minorEastAsia"/>
          <w:bCs/>
          <w:color w:val="000000" w:themeColor="text1"/>
          <w:sz w:val="28"/>
          <w:szCs w:val="28"/>
          <w:highlight w:val="none"/>
          <w:u w:val="single"/>
          <w:lang w:eastAsia="zh-CN"/>
          <w14:textFill>
            <w14:solidFill>
              <w14:schemeClr w14:val="tx1"/>
            </w14:solidFill>
          </w14:textFill>
        </w:rPr>
        <w:t>甲方、乙方</w:t>
      </w:r>
    </w:p>
    <w:p w14:paraId="7674AFB8">
      <w:pPr>
        <w:pageBreakBefore w:val="0"/>
        <w:numPr>
          <w:ilvl w:val="0"/>
          <w:numId w:val="6"/>
        </w:numPr>
        <w:kinsoku/>
        <w:wordWrap/>
        <w:overflowPunct/>
        <w:topLinePunct w:val="0"/>
        <w:bidi w:val="0"/>
        <w:adjustRightInd w:val="0"/>
        <w:snapToGrid w:val="0"/>
        <w:spacing w:before="0" w:beforeLines="0" w:afterAutospacing="0" w:line="560" w:lineRule="exact"/>
        <w:ind w:left="0" w:leftChars="0" w:firstLine="560" w:firstLineChars="200"/>
        <w:textAlignment w:val="auto"/>
        <w:rPr>
          <w:rFonts w:hint="eastAsia" w:asciiTheme="minorEastAsia" w:hAnsiTheme="minorEastAsia" w:eastAsiaTheme="minorEastAsia" w:cstheme="minorEastAsia"/>
          <w:bCs/>
          <w:color w:val="000000" w:themeColor="text1"/>
          <w:sz w:val="28"/>
          <w:szCs w:val="28"/>
          <w:highlight w:val="none"/>
          <w:u w:val="singl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履约验收时间：</w:t>
      </w:r>
      <w:r>
        <w:rPr>
          <w:rFonts w:hint="eastAsia" w:asciiTheme="minorEastAsia" w:hAnsiTheme="minorEastAsia" w:eastAsiaTheme="minorEastAsia" w:cstheme="minorEastAsia"/>
          <w:bCs/>
          <w:color w:val="000000" w:themeColor="text1"/>
          <w:sz w:val="28"/>
          <w:szCs w:val="28"/>
          <w:highlight w:val="none"/>
          <w:u w:val="single"/>
          <w:lang w:eastAsia="zh-CN"/>
          <w14:textFill>
            <w14:solidFill>
              <w14:schemeClr w14:val="tx1"/>
            </w14:solidFill>
          </w14:textFill>
        </w:rPr>
        <w:t>货到安装完成</w:t>
      </w:r>
      <w:r>
        <w:rPr>
          <w:rFonts w:hint="eastAsia" w:asciiTheme="minorEastAsia" w:hAnsiTheme="minorEastAsia" w:eastAsiaTheme="minorEastAsia" w:cstheme="minorEastAsia"/>
          <w:bCs/>
          <w:color w:val="000000" w:themeColor="text1"/>
          <w:sz w:val="28"/>
          <w:szCs w:val="28"/>
          <w:highlight w:val="none"/>
          <w:u w:val="single"/>
          <w:lang w:val="en-US" w:eastAsia="zh-CN"/>
          <w14:textFill>
            <w14:solidFill>
              <w14:schemeClr w14:val="tx1"/>
            </w14:solidFill>
          </w14:textFill>
        </w:rPr>
        <w:t>后3日内 。</w:t>
      </w:r>
    </w:p>
    <w:p w14:paraId="1A20B12F">
      <w:pPr>
        <w:pageBreakBefore w:val="0"/>
        <w:numPr>
          <w:ilvl w:val="0"/>
          <w:numId w:val="0"/>
        </w:numPr>
        <w:kinsoku/>
        <w:wordWrap/>
        <w:overflowPunct/>
        <w:topLinePunct w:val="0"/>
        <w:bidi w:val="0"/>
        <w:adjustRightInd w:val="0"/>
        <w:snapToGrid w:val="0"/>
        <w:spacing w:before="0" w:beforeLines="0" w:afterAutospacing="0" w:line="560" w:lineRule="exact"/>
        <w:ind w:leftChars="200"/>
        <w:textAlignment w:val="auto"/>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（3）履约验收方式：</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sym w:font="Wingdings" w:char="00FE"/>
      </w: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 xml:space="preserve">一次性验收         </w:t>
      </w:r>
    </w:p>
    <w:p w14:paraId="1F8A4EF5">
      <w:pPr>
        <w:pageBreakBefore w:val="0"/>
        <w:kinsoku/>
        <w:wordWrap/>
        <w:overflowPunct/>
        <w:topLinePunct w:val="0"/>
        <w:bidi w:val="0"/>
        <w:adjustRightInd w:val="0"/>
        <w:snapToGrid w:val="0"/>
        <w:spacing w:before="0" w:beforeLines="0" w:afterAutospacing="0" w:line="560" w:lineRule="exact"/>
        <w:ind w:firstLine="0" w:firstLineChars="0"/>
        <w:textAlignment w:val="auto"/>
        <w:rPr>
          <w:rFonts w:hint="eastAsia" w:asciiTheme="minorEastAsia" w:hAnsiTheme="minorEastAsia" w:eastAsiaTheme="minorEastAsia" w:cstheme="minorEastAsia"/>
          <w:bCs/>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8"/>
          <w:szCs w:val="28"/>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sym w:font="Wingdings" w:char="00A8"/>
      </w: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分期/分项验收</w:t>
      </w:r>
      <w:r>
        <w:rPr>
          <w:rFonts w:hint="eastAsia" w:asciiTheme="minorEastAsia" w:hAnsiTheme="minorEastAsia" w:eastAsiaTheme="minorEastAsia" w:cstheme="minorEastAsia"/>
          <w:bCs/>
          <w:color w:val="000000" w:themeColor="text1"/>
          <w:sz w:val="28"/>
          <w:szCs w:val="28"/>
          <w:highlight w:val="none"/>
          <w:lang w:eastAsia="zh-CN"/>
          <w14:textFill>
            <w14:solidFill>
              <w14:schemeClr w14:val="tx1"/>
            </w14:solidFill>
          </w14:textFill>
        </w:rPr>
        <w:t>：</w:t>
      </w:r>
      <w:r>
        <w:rPr>
          <w:rFonts w:hint="eastAsia" w:asciiTheme="minorEastAsia" w:hAnsiTheme="minorEastAsia" w:eastAsiaTheme="minorEastAsia" w:cstheme="minorEastAsia"/>
          <w:bCs/>
          <w:color w:val="000000" w:themeColor="text1"/>
          <w:sz w:val="28"/>
          <w:szCs w:val="28"/>
          <w:highlight w:val="none"/>
          <w:u w:val="single"/>
          <w14:textFill>
            <w14:solidFill>
              <w14:schemeClr w14:val="tx1"/>
            </w14:solidFill>
          </w14:textFill>
        </w:rPr>
        <w:t xml:space="preserve"> </w:t>
      </w:r>
      <w:r>
        <w:rPr>
          <w:rFonts w:hint="eastAsia" w:asciiTheme="minorEastAsia" w:hAnsiTheme="minorEastAsia" w:eastAsiaTheme="minorEastAsia" w:cstheme="minorEastAsia"/>
          <w:bCs/>
          <w:color w:val="000000" w:themeColor="text1"/>
          <w:sz w:val="28"/>
          <w:szCs w:val="28"/>
          <w:highlight w:val="none"/>
          <w:u w:val="single"/>
          <w:lang w:eastAsia="zh-CN"/>
          <w14:textFill>
            <w14:solidFill>
              <w14:schemeClr w14:val="tx1"/>
            </w14:solidFill>
          </w14:textFill>
        </w:rPr>
        <w:t>（应明确分期</w:t>
      </w:r>
      <w:r>
        <w:rPr>
          <w:rFonts w:hint="eastAsia" w:asciiTheme="minorEastAsia" w:hAnsiTheme="minorEastAsia" w:eastAsiaTheme="minorEastAsia" w:cstheme="minorEastAsia"/>
          <w:bCs/>
          <w:color w:val="000000" w:themeColor="text1"/>
          <w:sz w:val="28"/>
          <w:szCs w:val="28"/>
          <w:highlight w:val="none"/>
          <w:u w:val="single"/>
          <w:lang w:val="en" w:eastAsia="zh-CN"/>
          <w14:textFill>
            <w14:solidFill>
              <w14:schemeClr w14:val="tx1"/>
            </w14:solidFill>
          </w14:textFill>
        </w:rPr>
        <w:t>/分项验收的工作安排</w:t>
      </w:r>
      <w:r>
        <w:rPr>
          <w:rFonts w:hint="eastAsia" w:asciiTheme="minorEastAsia" w:hAnsiTheme="minorEastAsia" w:eastAsiaTheme="minorEastAsia" w:cstheme="minorEastAsia"/>
          <w:bCs/>
          <w:color w:val="000000" w:themeColor="text1"/>
          <w:sz w:val="28"/>
          <w:szCs w:val="28"/>
          <w:highlight w:val="none"/>
          <w:u w:val="single"/>
          <w:lang w:eastAsia="zh-CN"/>
          <w14:textFill>
            <w14:solidFill>
              <w14:schemeClr w14:val="tx1"/>
            </w14:solidFill>
          </w14:textFill>
        </w:rPr>
        <w:t>）</w:t>
      </w:r>
      <w:r>
        <w:rPr>
          <w:rFonts w:hint="eastAsia" w:asciiTheme="minorEastAsia" w:hAnsiTheme="minorEastAsia" w:eastAsiaTheme="minorEastAsia" w:cstheme="minorEastAsia"/>
          <w:bCs/>
          <w:color w:val="000000" w:themeColor="text1"/>
          <w:sz w:val="28"/>
          <w:szCs w:val="28"/>
          <w:highlight w:val="none"/>
          <w:u w:val="single"/>
          <w14:textFill>
            <w14:solidFill>
              <w14:schemeClr w14:val="tx1"/>
            </w14:solidFill>
          </w14:textFill>
        </w:rPr>
        <w:t xml:space="preserve"> </w:t>
      </w:r>
      <w:r>
        <w:rPr>
          <w:rFonts w:hint="eastAsia" w:asciiTheme="minorEastAsia" w:hAnsiTheme="minorEastAsia" w:eastAsiaTheme="minorEastAsia" w:cstheme="minorEastAsia"/>
          <w:bCs/>
          <w:color w:val="000000" w:themeColor="text1"/>
          <w:sz w:val="28"/>
          <w:szCs w:val="28"/>
          <w:highlight w:val="none"/>
          <w:u w:val="single"/>
          <w:lang w:val="en-US" w:eastAsia="zh-CN"/>
          <w14:textFill>
            <w14:solidFill>
              <w14:schemeClr w14:val="tx1"/>
            </w14:solidFill>
          </w14:textFill>
        </w:rPr>
        <w:t xml:space="preserve"> </w:t>
      </w:r>
    </w:p>
    <w:p w14:paraId="24623F4E">
      <w:pPr>
        <w:pageBreakBefore w:val="0"/>
        <w:kinsoku/>
        <w:wordWrap/>
        <w:overflowPunct/>
        <w:topLinePunct w:val="0"/>
        <w:bidi w:val="0"/>
        <w:adjustRightInd w:val="0"/>
        <w:snapToGrid w:val="0"/>
        <w:spacing w:before="0" w:beforeLines="0" w:afterAutospacing="0" w:line="560" w:lineRule="exact"/>
        <w:ind w:firstLine="560" w:firstLineChars="200"/>
        <w:textAlignment w:val="auto"/>
        <w:rPr>
          <w:rFonts w:hint="eastAsia" w:asciiTheme="minorEastAsia" w:hAnsiTheme="minorEastAsia" w:eastAsiaTheme="minorEastAsia" w:cstheme="minorEastAsia"/>
          <w:bCs/>
          <w:color w:val="000000" w:themeColor="text1"/>
          <w:sz w:val="28"/>
          <w:szCs w:val="28"/>
          <w:highlight w:val="none"/>
          <w:lang w:eastAsia="zh-CN"/>
          <w14:textFill>
            <w14:solidFill>
              <w14:schemeClr w14:val="tx1"/>
            </w14:solidFill>
          </w14:textFill>
        </w:rPr>
      </w:pP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（4）履约验收程序：</w:t>
      </w:r>
      <w:r>
        <w:rPr>
          <w:rFonts w:hint="eastAsia" w:asciiTheme="minorEastAsia" w:hAnsiTheme="minorEastAsia" w:eastAsiaTheme="minorEastAsia" w:cstheme="minorEastAsia"/>
          <w:bCs/>
          <w:color w:val="000000" w:themeColor="text1"/>
          <w:sz w:val="28"/>
          <w:szCs w:val="28"/>
          <w:highlight w:val="none"/>
          <w:u w:val="single"/>
          <w:lang w:eastAsia="zh-CN"/>
          <w14:textFill>
            <w14:solidFill>
              <w14:schemeClr w14:val="tx1"/>
            </w14:solidFill>
          </w14:textFill>
        </w:rPr>
        <w:t>乙方提出验收申请，甲乙双方按照合同要求及清单明细逐一进行验收，验收合格后，双方共同在验收单上签字确认。</w:t>
      </w:r>
    </w:p>
    <w:p w14:paraId="0638E277">
      <w:pPr>
        <w:pageBreakBefore w:val="0"/>
        <w:kinsoku/>
        <w:wordWrap/>
        <w:overflowPunct/>
        <w:topLinePunct w:val="0"/>
        <w:bidi w:val="0"/>
        <w:adjustRightInd w:val="0"/>
        <w:snapToGrid w:val="0"/>
        <w:spacing w:before="0" w:beforeLines="0" w:afterAutospacing="0" w:line="560" w:lineRule="exact"/>
        <w:ind w:firstLine="560" w:firstLineChars="200"/>
        <w:textAlignment w:val="auto"/>
        <w:rPr>
          <w:rFonts w:hint="eastAsia" w:asciiTheme="minorEastAsia" w:hAnsiTheme="minorEastAsia" w:eastAsiaTheme="minorEastAsia" w:cstheme="minorEastAsia"/>
          <w:bCs/>
          <w:color w:val="000000" w:themeColor="text1"/>
          <w:sz w:val="28"/>
          <w:szCs w:val="28"/>
          <w:highlight w:val="none"/>
          <w:u w:val="single"/>
          <w:lang w:eastAsia="zh-CN"/>
          <w14:textFill>
            <w14:solidFill>
              <w14:schemeClr w14:val="tx1"/>
            </w14:solidFill>
          </w14:textFill>
        </w:rPr>
      </w:pP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（5）履约验收的内容：</w:t>
      </w:r>
      <w:r>
        <w:rPr>
          <w:rFonts w:hint="eastAsia" w:asciiTheme="minorEastAsia" w:hAnsiTheme="minorEastAsia" w:eastAsiaTheme="minorEastAsia" w:cstheme="minorEastAsia"/>
          <w:bCs/>
          <w:color w:val="000000" w:themeColor="text1"/>
          <w:sz w:val="28"/>
          <w:szCs w:val="28"/>
          <w:highlight w:val="none"/>
          <w:u w:val="single"/>
          <w:lang w:eastAsia="zh-CN"/>
          <w14:textFill>
            <w14:solidFill>
              <w14:schemeClr w14:val="tx1"/>
            </w14:solidFill>
          </w14:textFill>
        </w:rPr>
        <w:t>包括合同及采购文件、乙方响应文件中的每一项技术和商务要求的履约情况。</w:t>
      </w:r>
    </w:p>
    <w:p w14:paraId="478469B5">
      <w:pPr>
        <w:pageBreakBefore w:val="0"/>
        <w:kinsoku/>
        <w:wordWrap/>
        <w:overflowPunct/>
        <w:topLinePunct w:val="0"/>
        <w:bidi w:val="0"/>
        <w:adjustRightInd w:val="0"/>
        <w:snapToGrid w:val="0"/>
        <w:spacing w:before="0" w:beforeLines="0" w:afterAutospacing="0" w:line="560" w:lineRule="exact"/>
        <w:ind w:firstLine="560" w:firstLineChars="200"/>
        <w:textAlignment w:val="auto"/>
        <w:rPr>
          <w:rFonts w:hint="eastAsia" w:asciiTheme="minorEastAsia" w:hAnsiTheme="minorEastAsia" w:eastAsiaTheme="minorEastAsia" w:cstheme="minorEastAsia"/>
          <w:bCs/>
          <w:color w:val="000000" w:themeColor="text1"/>
          <w:sz w:val="28"/>
          <w:szCs w:val="28"/>
          <w:highlight w:val="none"/>
          <w:u w:val="single"/>
          <w14:textFill>
            <w14:solidFill>
              <w14:schemeClr w14:val="tx1"/>
            </w14:solidFill>
          </w14:textFill>
        </w:rPr>
      </w:pP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（6）履约验收标准：</w:t>
      </w:r>
      <w:r>
        <w:rPr>
          <w:rFonts w:hint="eastAsia" w:asciiTheme="minorEastAsia" w:hAnsiTheme="minorEastAsia" w:eastAsiaTheme="minorEastAsia" w:cstheme="minorEastAsia"/>
          <w:bCs/>
          <w:color w:val="000000" w:themeColor="text1"/>
          <w:sz w:val="28"/>
          <w:szCs w:val="28"/>
          <w:highlight w:val="none"/>
          <w:u w:val="single"/>
          <w14:textFill>
            <w14:solidFill>
              <w14:schemeClr w14:val="tx1"/>
            </w14:solidFill>
          </w14:textFill>
        </w:rPr>
        <w:t xml:space="preserve">  </w:t>
      </w:r>
      <w:r>
        <w:rPr>
          <w:rFonts w:hint="eastAsia" w:asciiTheme="minorEastAsia" w:hAnsiTheme="minorEastAsia" w:eastAsiaTheme="minorEastAsia" w:cstheme="minorEastAsia"/>
          <w:bCs/>
          <w:color w:val="000000" w:themeColor="text1"/>
          <w:sz w:val="28"/>
          <w:szCs w:val="28"/>
          <w:highlight w:val="none"/>
          <w:u w:val="single"/>
          <w:lang w:eastAsia="zh-CN"/>
          <w14:textFill>
            <w14:solidFill>
              <w14:schemeClr w14:val="tx1"/>
            </w14:solidFill>
          </w14:textFill>
        </w:rPr>
        <w:t>设备完全符合甲方要求</w:t>
      </w:r>
      <w:r>
        <w:rPr>
          <w:rFonts w:hint="eastAsia" w:asciiTheme="minorEastAsia" w:hAnsiTheme="minorEastAsia" w:eastAsiaTheme="minorEastAsia" w:cstheme="minorEastAsia"/>
          <w:bCs/>
          <w:color w:val="000000" w:themeColor="text1"/>
          <w:sz w:val="28"/>
          <w:szCs w:val="28"/>
          <w:highlight w:val="none"/>
          <w:u w:val="single"/>
          <w14:textFill>
            <w14:solidFill>
              <w14:schemeClr w14:val="tx1"/>
            </w14:solidFill>
          </w14:textFill>
        </w:rPr>
        <w:t xml:space="preserve">   </w:t>
      </w:r>
    </w:p>
    <w:p w14:paraId="3C9CEFE9">
      <w:pPr>
        <w:pStyle w:val="171"/>
        <w:pageBreakBefore w:val="0"/>
        <w:kinsoku/>
        <w:wordWrap/>
        <w:overflowPunct/>
        <w:topLinePunct w:val="0"/>
        <w:bidi w:val="0"/>
        <w:spacing w:beforeLines="0" w:afterAutospacing="0" w:line="560" w:lineRule="exact"/>
        <w:textAlignment w:val="auto"/>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pPr>
      <w:r>
        <w:rPr>
          <w:rFonts w:hint="eastAsia" w:asciiTheme="minorEastAsia" w:hAnsiTheme="minorEastAsia" w:eastAsiaTheme="minorEastAsia" w:cstheme="minorEastAsia"/>
          <w:bCs/>
          <w:color w:val="000000" w:themeColor="text1"/>
          <w:sz w:val="28"/>
          <w:szCs w:val="28"/>
          <w:highlight w:val="none"/>
          <w:u w:val="none"/>
          <w:lang w:eastAsia="zh-CN"/>
          <w14:textFill>
            <w14:solidFill>
              <w14:schemeClr w14:val="tx1"/>
            </w14:solidFill>
          </w14:textFill>
        </w:rPr>
        <w:t>（</w:t>
      </w:r>
      <w:r>
        <w:rPr>
          <w:rFonts w:hint="eastAsia" w:asciiTheme="minorEastAsia" w:hAnsiTheme="minorEastAsia" w:eastAsiaTheme="minorEastAsia" w:cstheme="minorEastAsia"/>
          <w:bCs/>
          <w:color w:val="000000" w:themeColor="text1"/>
          <w:sz w:val="28"/>
          <w:szCs w:val="28"/>
          <w:highlight w:val="none"/>
          <w:u w:val="none"/>
          <w:lang w:val="en-US" w:eastAsia="zh-CN"/>
          <w14:textFill>
            <w14:solidFill>
              <w14:schemeClr w14:val="tx1"/>
            </w14:solidFill>
          </w14:textFill>
        </w:rPr>
        <w:t>7</w:t>
      </w:r>
      <w:r>
        <w:rPr>
          <w:rFonts w:hint="eastAsia" w:asciiTheme="minorEastAsia" w:hAnsiTheme="minorEastAsia" w:eastAsiaTheme="minorEastAsia" w:cstheme="minorEastAsia"/>
          <w:bCs/>
          <w:color w:val="000000" w:themeColor="text1"/>
          <w:sz w:val="28"/>
          <w:szCs w:val="28"/>
          <w:highlight w:val="none"/>
          <w:u w:val="none"/>
          <w:lang w:eastAsia="zh-CN"/>
          <w14:textFill>
            <w14:solidFill>
              <w14:schemeClr w14:val="tx1"/>
            </w14:solidFill>
          </w14:textFill>
        </w:rPr>
        <w:t>）是否以采购活动中供应商提供的样品作为参考：</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sym w:font="Wingdings" w:char="00FE"/>
      </w: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 xml:space="preserve">是  </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sym w:font="Wingdings" w:char="00A8"/>
      </w: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否</w:t>
      </w:r>
    </w:p>
    <w:p w14:paraId="0771DD5A">
      <w:pPr>
        <w:pageBreakBefore w:val="0"/>
        <w:kinsoku/>
        <w:wordWrap/>
        <w:overflowPunct/>
        <w:topLinePunct w:val="0"/>
        <w:bidi w:val="0"/>
        <w:adjustRightInd w:val="0"/>
        <w:snapToGrid w:val="0"/>
        <w:spacing w:before="0" w:beforeLines="0" w:afterAutospacing="0" w:line="560" w:lineRule="exact"/>
        <w:ind w:firstLine="560" w:firstLineChars="200"/>
        <w:textAlignment w:val="auto"/>
        <w:rPr>
          <w:rFonts w:hint="eastAsia" w:asciiTheme="minorEastAsia" w:hAnsiTheme="minorEastAsia" w:eastAsiaTheme="minorEastAsia" w:cstheme="minorEastAsia"/>
          <w:bCs/>
          <w:color w:val="000000" w:themeColor="text1"/>
          <w:sz w:val="28"/>
          <w:szCs w:val="28"/>
          <w:highlight w:val="none"/>
          <w:u w:val="single"/>
          <w14:textFill>
            <w14:solidFill>
              <w14:schemeClr w14:val="tx1"/>
            </w14:solidFill>
          </w14:textFill>
        </w:rPr>
      </w:pP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（8）履约验收其他事项：</w:t>
      </w:r>
      <w:r>
        <w:rPr>
          <w:rFonts w:hint="eastAsia" w:asciiTheme="minorEastAsia" w:hAnsiTheme="minorEastAsia" w:eastAsiaTheme="minorEastAsia" w:cstheme="minorEastAsia"/>
          <w:bCs/>
          <w:color w:val="000000" w:themeColor="text1"/>
          <w:sz w:val="28"/>
          <w:szCs w:val="28"/>
          <w:highlight w:val="none"/>
          <w:u w:val="single"/>
          <w14:textFill>
            <w14:solidFill>
              <w14:schemeClr w14:val="tx1"/>
            </w14:solidFill>
          </w14:textFill>
        </w:rPr>
        <w:t xml:space="preserve">      </w:t>
      </w:r>
      <w:r>
        <w:rPr>
          <w:rFonts w:hint="eastAsia" w:asciiTheme="minorEastAsia" w:hAnsiTheme="minorEastAsia" w:eastAsiaTheme="minorEastAsia" w:cstheme="minorEastAsia"/>
          <w:bCs/>
          <w:color w:val="000000" w:themeColor="text1"/>
          <w:sz w:val="28"/>
          <w:szCs w:val="28"/>
          <w:highlight w:val="none"/>
          <w:u w:val="single"/>
          <w:lang w:eastAsia="zh-CN"/>
          <w14:textFill>
            <w14:solidFill>
              <w14:schemeClr w14:val="tx1"/>
            </w14:solidFill>
          </w14:textFill>
        </w:rPr>
        <w:t>无</w:t>
      </w:r>
      <w:r>
        <w:rPr>
          <w:rFonts w:hint="eastAsia" w:asciiTheme="minorEastAsia" w:hAnsiTheme="minorEastAsia" w:eastAsiaTheme="minorEastAsia" w:cstheme="minorEastAsia"/>
          <w:bCs/>
          <w:color w:val="000000" w:themeColor="text1"/>
          <w:sz w:val="28"/>
          <w:szCs w:val="28"/>
          <w:highlight w:val="none"/>
          <w:u w:val="single"/>
          <w14:textFill>
            <w14:solidFill>
              <w14:schemeClr w14:val="tx1"/>
            </w14:solidFill>
          </w14:textFill>
        </w:rPr>
        <w:t xml:space="preserve">         </w:t>
      </w:r>
    </w:p>
    <w:p w14:paraId="1989E210">
      <w:pPr>
        <w:pageBreakBefore w:val="0"/>
        <w:numPr>
          <w:ilvl w:val="0"/>
          <w:numId w:val="4"/>
        </w:numPr>
        <w:kinsoku/>
        <w:wordWrap/>
        <w:overflowPunct/>
        <w:topLinePunct w:val="0"/>
        <w:bidi w:val="0"/>
        <w:adjustRightInd w:val="0"/>
        <w:snapToGrid w:val="0"/>
        <w:spacing w:before="0" w:beforeLines="0" w:afterAutospacing="0" w:line="560" w:lineRule="exact"/>
        <w:ind w:firstLine="562" w:firstLineChars="200"/>
        <w:textAlignment w:val="auto"/>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组成合同的文件</w:t>
      </w:r>
    </w:p>
    <w:p w14:paraId="1ED5B2A5">
      <w:pPr>
        <w:pageBreakBefore w:val="0"/>
        <w:kinsoku/>
        <w:wordWrap/>
        <w:overflowPunct/>
        <w:topLinePunct w:val="0"/>
        <w:bidi w:val="0"/>
        <w:adjustRightInd w:val="0"/>
        <w:snapToGrid w:val="0"/>
        <w:spacing w:before="0" w:beforeLines="0" w:afterAutospacing="0" w:line="560" w:lineRule="exact"/>
        <w:ind w:firstLine="560" w:firstLineChars="200"/>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本协议书与下列文件一起构成合同文件，如下述文件之间有任何抵触、矛盾或歧义，应按以下顺序解释：</w:t>
      </w:r>
    </w:p>
    <w:p w14:paraId="55FC8BBA">
      <w:pPr>
        <w:pageBreakBefore w:val="0"/>
        <w:kinsoku/>
        <w:wordWrap/>
        <w:overflowPunct/>
        <w:topLinePunct w:val="0"/>
        <w:bidi w:val="0"/>
        <w:adjustRightInd w:val="0"/>
        <w:snapToGrid w:val="0"/>
        <w:spacing w:before="0" w:beforeLines="0" w:afterAutospacing="0" w:line="560" w:lineRule="exact"/>
        <w:ind w:firstLine="560" w:firstLineChars="200"/>
        <w:textAlignment w:val="auto"/>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（1）合同协议书及其变更、补充</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协议</w:t>
      </w:r>
    </w:p>
    <w:p w14:paraId="3862C635">
      <w:pPr>
        <w:pageBreakBefore w:val="0"/>
        <w:kinsoku/>
        <w:wordWrap/>
        <w:overflowPunct/>
        <w:topLinePunct w:val="0"/>
        <w:bidi w:val="0"/>
        <w:adjustRightInd w:val="0"/>
        <w:snapToGrid w:val="0"/>
        <w:spacing w:before="0" w:beforeLines="0" w:afterAutospacing="0" w:line="560" w:lineRule="exact"/>
        <w:ind w:firstLine="560" w:firstLineChars="200"/>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）合同专用条款</w:t>
      </w:r>
    </w:p>
    <w:p w14:paraId="57D40DC1">
      <w:pPr>
        <w:pageBreakBefore w:val="0"/>
        <w:kinsoku/>
        <w:wordWrap/>
        <w:overflowPunct/>
        <w:topLinePunct w:val="0"/>
        <w:bidi w:val="0"/>
        <w:adjustRightInd w:val="0"/>
        <w:snapToGrid w:val="0"/>
        <w:spacing w:before="0" w:beforeLines="0" w:afterAutospacing="0" w:line="560" w:lineRule="exact"/>
        <w:ind w:firstLine="560" w:firstLineChars="200"/>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）合同通用条款</w:t>
      </w:r>
    </w:p>
    <w:p w14:paraId="0823572F">
      <w:pPr>
        <w:pageBreakBefore w:val="0"/>
        <w:kinsoku/>
        <w:wordWrap/>
        <w:overflowPunct/>
        <w:topLinePunct w:val="0"/>
        <w:bidi w:val="0"/>
        <w:adjustRightInd w:val="0"/>
        <w:snapToGrid w:val="0"/>
        <w:spacing w:before="0" w:beforeLines="0" w:afterAutospacing="0" w:line="560" w:lineRule="exact"/>
        <w:ind w:firstLine="560" w:firstLineChars="200"/>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）中标</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（成交）</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通知书</w:t>
      </w:r>
    </w:p>
    <w:p w14:paraId="078F9EDF">
      <w:pPr>
        <w:pageBreakBefore w:val="0"/>
        <w:kinsoku/>
        <w:wordWrap/>
        <w:overflowPunct/>
        <w:topLinePunct w:val="0"/>
        <w:bidi w:val="0"/>
        <w:adjustRightInd w:val="0"/>
        <w:snapToGrid w:val="0"/>
        <w:spacing w:before="0" w:beforeLines="0" w:afterAutospacing="0" w:line="560" w:lineRule="exact"/>
        <w:ind w:firstLine="560" w:firstLineChars="200"/>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）投标（响应）文件</w:t>
      </w:r>
    </w:p>
    <w:p w14:paraId="73DEBFD8">
      <w:pPr>
        <w:pageBreakBefore w:val="0"/>
        <w:kinsoku/>
        <w:wordWrap/>
        <w:overflowPunct/>
        <w:topLinePunct w:val="0"/>
        <w:bidi w:val="0"/>
        <w:adjustRightInd w:val="0"/>
        <w:snapToGrid w:val="0"/>
        <w:spacing w:before="0" w:beforeLines="0" w:afterAutospacing="0" w:line="560" w:lineRule="exact"/>
        <w:ind w:firstLine="560" w:firstLineChars="200"/>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（6）采购文件</w:t>
      </w:r>
    </w:p>
    <w:p w14:paraId="74F91816">
      <w:pPr>
        <w:pageBreakBefore w:val="0"/>
        <w:kinsoku/>
        <w:wordWrap/>
        <w:overflowPunct/>
        <w:topLinePunct w:val="0"/>
        <w:bidi w:val="0"/>
        <w:adjustRightInd w:val="0"/>
        <w:snapToGrid w:val="0"/>
        <w:spacing w:before="0" w:beforeLines="0" w:afterAutospacing="0" w:line="560" w:lineRule="exact"/>
        <w:ind w:firstLine="560" w:firstLineChars="200"/>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（7）有关技术文件，图纸</w:t>
      </w:r>
    </w:p>
    <w:p w14:paraId="2C3AF232">
      <w:pPr>
        <w:pStyle w:val="171"/>
        <w:pageBreakBefore w:val="0"/>
        <w:kinsoku/>
        <w:wordWrap/>
        <w:overflowPunct/>
        <w:topLinePunct w:val="0"/>
        <w:bidi w:val="0"/>
        <w:spacing w:beforeLines="0" w:afterAutospacing="0" w:line="560" w:lineRule="exact"/>
        <w:textAlignment w:val="auto"/>
        <w:rPr>
          <w:rFonts w:hint="eastAsia" w:asciiTheme="minorEastAsia" w:hAnsiTheme="minorEastAsia" w:eastAsiaTheme="minorEastAsia" w:cstheme="minorEastAsia"/>
          <w:color w:val="000000" w:themeColor="text1"/>
          <w:kern w:val="2"/>
          <w:sz w:val="28"/>
          <w:szCs w:val="28"/>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w:t>
      </w:r>
      <w:r>
        <w:rPr>
          <w:rFonts w:hint="eastAsia" w:asciiTheme="minorEastAsia" w:hAnsiTheme="minorEastAsia" w:eastAsiaTheme="minorEastAsia" w:cstheme="minorEastAsia"/>
          <w:bCs w:val="0"/>
          <w:color w:val="000000" w:themeColor="text1"/>
          <w:kern w:val="2"/>
          <w:sz w:val="28"/>
          <w:szCs w:val="28"/>
          <w:highlight w:val="none"/>
          <w:lang w:eastAsia="zh-CN"/>
          <w14:textFill>
            <w14:solidFill>
              <w14:schemeClr w14:val="tx1"/>
            </w14:solidFill>
          </w14:textFill>
        </w:rPr>
        <w:t>国家法律、行政法规和规章制度规定或合同约定的作为合同组成部分的其他文件</w:t>
      </w:r>
    </w:p>
    <w:p w14:paraId="4873CB83">
      <w:pPr>
        <w:pageBreakBefore w:val="0"/>
        <w:numPr>
          <w:ilvl w:val="0"/>
          <w:numId w:val="4"/>
        </w:numPr>
        <w:kinsoku/>
        <w:wordWrap/>
        <w:overflowPunct/>
        <w:topLinePunct w:val="0"/>
        <w:bidi w:val="0"/>
        <w:adjustRightInd w:val="0"/>
        <w:snapToGrid w:val="0"/>
        <w:spacing w:before="0" w:beforeLines="0" w:afterAutospacing="0" w:line="560" w:lineRule="exact"/>
        <w:ind w:firstLine="562" w:firstLineChars="200"/>
        <w:textAlignment w:val="auto"/>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合同生效</w:t>
      </w:r>
    </w:p>
    <w:p w14:paraId="16EA47EB">
      <w:pPr>
        <w:pageBreakBefore w:val="0"/>
        <w:kinsoku/>
        <w:wordWrap/>
        <w:overflowPunct/>
        <w:topLinePunct w:val="0"/>
        <w:bidi w:val="0"/>
        <w:adjustRightInd w:val="0"/>
        <w:snapToGrid w:val="0"/>
        <w:spacing w:before="0" w:beforeLines="0" w:afterAutospacing="0" w:line="560" w:lineRule="exact"/>
        <w:ind w:firstLine="560" w:firstLineChars="200"/>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本合同</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自成交通知书下发之日起</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生效。</w:t>
      </w:r>
    </w:p>
    <w:p w14:paraId="2A11C335">
      <w:pPr>
        <w:pageBreakBefore w:val="0"/>
        <w:numPr>
          <w:ilvl w:val="0"/>
          <w:numId w:val="4"/>
        </w:numPr>
        <w:kinsoku/>
        <w:wordWrap/>
        <w:overflowPunct/>
        <w:topLinePunct w:val="0"/>
        <w:bidi w:val="0"/>
        <w:adjustRightInd w:val="0"/>
        <w:snapToGrid w:val="0"/>
        <w:spacing w:before="0" w:beforeLines="0" w:afterAutospacing="0" w:line="560" w:lineRule="exact"/>
        <w:ind w:firstLine="562" w:firstLineChars="200"/>
        <w:textAlignment w:val="auto"/>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合同份数</w:t>
      </w:r>
    </w:p>
    <w:p w14:paraId="308F709C">
      <w:pPr>
        <w:pageBreakBefore w:val="0"/>
        <w:kinsoku/>
        <w:wordWrap/>
        <w:overflowPunct/>
        <w:topLinePunct w:val="0"/>
        <w:bidi w:val="0"/>
        <w:adjustRightInd w:val="0"/>
        <w:snapToGrid w:val="0"/>
        <w:spacing w:before="0" w:beforeLines="0" w:afterAutospacing="0" w:line="560" w:lineRule="exact"/>
        <w:ind w:firstLine="560" w:firstLineChars="200"/>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本合同一式</w:t>
      </w:r>
      <w:r>
        <w:rPr>
          <w:rFonts w:hint="eastAsia" w:asciiTheme="minorEastAsia" w:hAnsiTheme="minorEastAsia" w:eastAsiaTheme="minorEastAsia" w:cstheme="minorEastAsia"/>
          <w:color w:val="000000" w:themeColor="text1"/>
          <w:sz w:val="28"/>
          <w:szCs w:val="28"/>
          <w:highlight w:val="none"/>
          <w:u w:val="single"/>
          <w:lang w:eastAsia="zh-CN"/>
          <w14:textFill>
            <w14:solidFill>
              <w14:schemeClr w14:val="tx1"/>
            </w14:solidFill>
          </w14:textFill>
        </w:rPr>
        <w:t>六</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份，</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甲方</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执</w:t>
      </w:r>
      <w:r>
        <w:rPr>
          <w:rFonts w:hint="eastAsia" w:asciiTheme="minorEastAsia" w:hAnsiTheme="minorEastAsia" w:eastAsiaTheme="minorEastAsia" w:cstheme="minorEastAsia"/>
          <w:color w:val="000000" w:themeColor="text1"/>
          <w:sz w:val="28"/>
          <w:szCs w:val="28"/>
          <w:highlight w:val="none"/>
          <w:u w:val="single"/>
          <w:lang w:eastAsia="zh-CN"/>
          <w14:textFill>
            <w14:solidFill>
              <w14:schemeClr w14:val="tx1"/>
            </w14:solidFill>
          </w14:textFill>
        </w:rPr>
        <w:t>五</w:t>
      </w:r>
      <w: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t>份</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乙方</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执</w:t>
      </w:r>
      <w:r>
        <w:rPr>
          <w:rFonts w:hint="eastAsia" w:asciiTheme="minorEastAsia" w:hAnsiTheme="minorEastAsia" w:eastAsiaTheme="minorEastAsia" w:cstheme="minorEastAsia"/>
          <w:color w:val="000000" w:themeColor="text1"/>
          <w:sz w:val="28"/>
          <w:szCs w:val="28"/>
          <w:highlight w:val="none"/>
          <w:u w:val="single"/>
          <w:lang w:eastAsia="zh-CN"/>
          <w14:textFill>
            <w14:solidFill>
              <w14:schemeClr w14:val="tx1"/>
            </w14:solidFill>
          </w14:textFill>
        </w:rPr>
        <w:t>一</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份，均具有同等法律效力。</w:t>
      </w:r>
    </w:p>
    <w:p w14:paraId="76AE4721">
      <w:pPr>
        <w:pageBreakBefore w:val="0"/>
        <w:kinsoku/>
        <w:wordWrap/>
        <w:overflowPunct/>
        <w:topLinePunct w:val="0"/>
        <w:bidi w:val="0"/>
        <w:adjustRightInd w:val="0"/>
        <w:snapToGrid w:val="0"/>
        <w:spacing w:before="0" w:beforeLines="0" w:afterAutospacing="0" w:line="560" w:lineRule="exact"/>
        <w:ind w:firstLine="560" w:firstLineChars="200"/>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合同订立时间：</w:t>
      </w:r>
      <w: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年</w:t>
      </w:r>
      <w: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月</w:t>
      </w:r>
      <w: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日</w:t>
      </w:r>
    </w:p>
    <w:p w14:paraId="4385AB9D">
      <w:pPr>
        <w:pageBreakBefore w:val="0"/>
        <w:kinsoku/>
        <w:wordWrap/>
        <w:overflowPunct/>
        <w:topLinePunct w:val="0"/>
        <w:bidi w:val="0"/>
        <w:adjustRightInd w:val="0"/>
        <w:snapToGrid w:val="0"/>
        <w:spacing w:before="0" w:beforeLines="0" w:afterAutospacing="0" w:line="560" w:lineRule="exact"/>
        <w:ind w:firstLine="560" w:firstLineChars="200"/>
        <w:textAlignment w:val="auto"/>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合同订立地点：</w:t>
      </w:r>
      <w:r>
        <w:rPr>
          <w:rFonts w:hint="eastAsia" w:asciiTheme="minorEastAsia" w:hAnsiTheme="minorEastAsia" w:eastAsiaTheme="minorEastAsia" w:cstheme="minorEastAsia"/>
          <w:color w:val="000000" w:themeColor="text1"/>
          <w:sz w:val="28"/>
          <w:szCs w:val="28"/>
          <w:highlight w:val="none"/>
          <w:u w:val="single"/>
          <w:lang w:eastAsia="zh-CN"/>
          <w14:textFill>
            <w14:solidFill>
              <w14:schemeClr w14:val="tx1"/>
            </w14:solidFill>
          </w14:textFill>
        </w:rPr>
        <w:t>哈密市中心医院</w:t>
      </w:r>
    </w:p>
    <w:p w14:paraId="12DDDD1B">
      <w:pP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br w:type="page"/>
      </w:r>
    </w:p>
    <w:p w14:paraId="2D30C7D9">
      <w:pPr>
        <w:pStyle w:val="105"/>
        <w:pageBreakBefore w:val="0"/>
        <w:kinsoku/>
        <w:wordWrap/>
        <w:overflowPunct/>
        <w:topLinePunct w:val="0"/>
        <w:bidi w:val="0"/>
        <w:spacing w:afterAutospacing="0" w:line="560" w:lineRule="exac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p>
    <w:tbl>
      <w:tblPr>
        <w:tblStyle w:val="34"/>
        <w:tblW w:w="9710" w:type="dxa"/>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2180"/>
        <w:gridCol w:w="2789"/>
        <w:gridCol w:w="2288"/>
        <w:gridCol w:w="2453"/>
      </w:tblGrid>
      <w:tr w14:paraId="03C3545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4969" w:type="dxa"/>
            <w:gridSpan w:val="2"/>
            <w:tcBorders>
              <w:bottom w:val="single" w:color="auto" w:sz="2" w:space="0"/>
              <w:right w:val="single" w:color="auto" w:sz="2" w:space="0"/>
            </w:tcBorders>
            <w:vAlign w:val="center"/>
          </w:tcPr>
          <w:p w14:paraId="1B357A7F">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甲方</w:t>
            </w:r>
          </w:p>
        </w:tc>
        <w:tc>
          <w:tcPr>
            <w:tcW w:w="4741" w:type="dxa"/>
            <w:gridSpan w:val="2"/>
            <w:tcBorders>
              <w:left w:val="single" w:color="auto" w:sz="2" w:space="0"/>
              <w:bottom w:val="single" w:color="auto" w:sz="2" w:space="0"/>
            </w:tcBorders>
            <w:vAlign w:val="center"/>
          </w:tcPr>
          <w:p w14:paraId="0FE00770">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乙方（供应商）</w:t>
            </w:r>
          </w:p>
        </w:tc>
      </w:tr>
      <w:tr w14:paraId="0E33493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864" w:hRule="atLeast"/>
        </w:trPr>
        <w:tc>
          <w:tcPr>
            <w:tcW w:w="2180" w:type="dxa"/>
            <w:tcBorders>
              <w:top w:val="single" w:color="auto" w:sz="2" w:space="0"/>
              <w:bottom w:val="single" w:color="auto" w:sz="2" w:space="0"/>
              <w:right w:val="single" w:color="auto" w:sz="2" w:space="0"/>
            </w:tcBorders>
            <w:vAlign w:val="center"/>
          </w:tcPr>
          <w:p w14:paraId="21B4A9EE">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单位名称（</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合同章</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w:t>
            </w:r>
          </w:p>
        </w:tc>
        <w:tc>
          <w:tcPr>
            <w:tcW w:w="2789" w:type="dxa"/>
            <w:tcBorders>
              <w:top w:val="single" w:color="auto" w:sz="2" w:space="0"/>
              <w:left w:val="single" w:color="auto" w:sz="2" w:space="0"/>
              <w:bottom w:val="single" w:color="auto" w:sz="2" w:space="0"/>
              <w:right w:val="single" w:color="auto" w:sz="2" w:space="0"/>
            </w:tcBorders>
            <w:vAlign w:val="center"/>
          </w:tcPr>
          <w:p w14:paraId="59967B91">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p>
        </w:tc>
        <w:tc>
          <w:tcPr>
            <w:tcW w:w="2288" w:type="dxa"/>
            <w:tcBorders>
              <w:top w:val="single" w:color="auto" w:sz="2" w:space="0"/>
              <w:left w:val="single" w:color="auto" w:sz="2" w:space="0"/>
              <w:bottom w:val="single" w:color="auto" w:sz="2" w:space="0"/>
              <w:right w:val="single" w:color="auto" w:sz="2" w:space="0"/>
            </w:tcBorders>
            <w:vAlign w:val="center"/>
          </w:tcPr>
          <w:p w14:paraId="3F1BC9FA">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单位名称（公章</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或合同章</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w:t>
            </w:r>
          </w:p>
        </w:tc>
        <w:tc>
          <w:tcPr>
            <w:tcW w:w="2453" w:type="dxa"/>
            <w:tcBorders>
              <w:top w:val="single" w:color="auto" w:sz="2" w:space="0"/>
              <w:left w:val="single" w:color="auto" w:sz="2" w:space="0"/>
              <w:bottom w:val="single" w:color="auto" w:sz="2" w:space="0"/>
            </w:tcBorders>
            <w:vAlign w:val="center"/>
          </w:tcPr>
          <w:p w14:paraId="5FA3A904">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pacing w:val="20"/>
                <w:sz w:val="28"/>
                <w:szCs w:val="28"/>
                <w:highlight w:val="none"/>
                <w14:textFill>
                  <w14:solidFill>
                    <w14:schemeClr w14:val="tx1"/>
                  </w14:solidFill>
                </w14:textFill>
              </w:rPr>
            </w:pPr>
          </w:p>
        </w:tc>
      </w:tr>
      <w:tr w14:paraId="7391F59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447" w:hRule="atLeast"/>
        </w:trPr>
        <w:tc>
          <w:tcPr>
            <w:tcW w:w="2180" w:type="dxa"/>
            <w:tcBorders>
              <w:top w:val="single" w:color="auto" w:sz="2" w:space="0"/>
              <w:right w:val="single" w:color="auto" w:sz="2" w:space="0"/>
            </w:tcBorders>
            <w:vAlign w:val="center"/>
          </w:tcPr>
          <w:p w14:paraId="40ADA559">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法定代表人</w:t>
            </w:r>
          </w:p>
          <w:p w14:paraId="4C05FCB6">
            <w:pPr>
              <w:pageBreakBefore w:val="0"/>
              <w:kinsoku/>
              <w:wordWrap/>
              <w:overflowPunct/>
              <w:topLinePunct w:val="0"/>
              <w:bidi w:val="0"/>
              <w:adjustRightInd w:val="0"/>
              <w:snapToGrid w:val="0"/>
              <w:spacing w:afterAutospacing="0" w:line="560" w:lineRule="exact"/>
              <w:ind w:firstLine="414" w:firstLineChars="148"/>
              <w:jc w:val="both"/>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（签章）</w:t>
            </w:r>
          </w:p>
        </w:tc>
        <w:tc>
          <w:tcPr>
            <w:tcW w:w="2789" w:type="dxa"/>
            <w:tcBorders>
              <w:top w:val="single" w:color="auto" w:sz="2" w:space="0"/>
              <w:left w:val="single" w:color="auto" w:sz="2" w:space="0"/>
              <w:right w:val="single" w:color="auto" w:sz="2" w:space="0"/>
            </w:tcBorders>
            <w:vAlign w:val="center"/>
          </w:tcPr>
          <w:p w14:paraId="78705343">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p>
        </w:tc>
        <w:tc>
          <w:tcPr>
            <w:tcW w:w="2288" w:type="dxa"/>
            <w:tcBorders>
              <w:top w:val="single" w:color="auto" w:sz="2" w:space="0"/>
              <w:left w:val="single" w:color="auto" w:sz="2" w:space="0"/>
              <w:right w:val="single" w:color="auto" w:sz="2" w:space="0"/>
            </w:tcBorders>
            <w:vAlign w:val="center"/>
          </w:tcPr>
          <w:p w14:paraId="49E324E2">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法定代表人</w:t>
            </w:r>
          </w:p>
          <w:p w14:paraId="59C8C178">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或其委托代理人（签章）</w:t>
            </w:r>
          </w:p>
        </w:tc>
        <w:tc>
          <w:tcPr>
            <w:tcW w:w="2453" w:type="dxa"/>
            <w:tcBorders>
              <w:top w:val="single" w:color="auto" w:sz="2" w:space="0"/>
              <w:left w:val="single" w:color="auto" w:sz="2" w:space="0"/>
              <w:bottom w:val="single" w:color="auto" w:sz="2" w:space="0"/>
            </w:tcBorders>
            <w:vAlign w:val="center"/>
          </w:tcPr>
          <w:p w14:paraId="05076905">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p>
        </w:tc>
      </w:tr>
      <w:tr w14:paraId="7060B5F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180" w:type="dxa"/>
            <w:tcBorders>
              <w:top w:val="single" w:color="auto" w:sz="2" w:space="0"/>
              <w:bottom w:val="single" w:color="auto" w:sz="2" w:space="0"/>
              <w:right w:val="single" w:color="auto" w:sz="2" w:space="0"/>
            </w:tcBorders>
            <w:vAlign w:val="center"/>
          </w:tcPr>
          <w:p w14:paraId="7325031F">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副院长：</w:t>
            </w:r>
          </w:p>
        </w:tc>
        <w:tc>
          <w:tcPr>
            <w:tcW w:w="2789" w:type="dxa"/>
            <w:tcBorders>
              <w:top w:val="single" w:color="auto" w:sz="2" w:space="0"/>
              <w:left w:val="single" w:color="auto" w:sz="2" w:space="0"/>
              <w:bottom w:val="single" w:color="auto" w:sz="2" w:space="0"/>
              <w:right w:val="single" w:color="auto" w:sz="2" w:space="0"/>
            </w:tcBorders>
            <w:vAlign w:val="center"/>
          </w:tcPr>
          <w:p w14:paraId="34B66887">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p>
        </w:tc>
        <w:tc>
          <w:tcPr>
            <w:tcW w:w="2288" w:type="dxa"/>
            <w:tcBorders>
              <w:top w:val="single" w:color="auto" w:sz="2" w:space="0"/>
              <w:left w:val="single" w:color="auto" w:sz="2" w:space="0"/>
              <w:bottom w:val="single" w:color="auto" w:sz="2" w:space="0"/>
              <w:right w:val="single" w:color="auto" w:sz="2" w:space="0"/>
            </w:tcBorders>
            <w:vAlign w:val="center"/>
          </w:tcPr>
          <w:p w14:paraId="1D789931">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pPr>
          </w:p>
        </w:tc>
        <w:tc>
          <w:tcPr>
            <w:tcW w:w="2453" w:type="dxa"/>
            <w:tcBorders>
              <w:top w:val="single" w:color="auto" w:sz="2" w:space="0"/>
              <w:left w:val="single" w:color="auto" w:sz="2" w:space="0"/>
              <w:bottom w:val="single" w:color="auto" w:sz="2" w:space="0"/>
            </w:tcBorders>
            <w:vAlign w:val="center"/>
          </w:tcPr>
          <w:p w14:paraId="7782A159">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pacing w:val="20"/>
                <w:sz w:val="28"/>
                <w:szCs w:val="28"/>
                <w:highlight w:val="none"/>
                <w14:textFill>
                  <w14:solidFill>
                    <w14:schemeClr w14:val="tx1"/>
                  </w14:solidFill>
                </w14:textFill>
              </w:rPr>
            </w:pPr>
          </w:p>
        </w:tc>
      </w:tr>
      <w:tr w14:paraId="227CCAB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180" w:type="dxa"/>
            <w:tcBorders>
              <w:top w:val="single" w:color="auto" w:sz="2" w:space="0"/>
              <w:bottom w:val="single" w:color="auto" w:sz="2" w:space="0"/>
              <w:right w:val="single" w:color="auto" w:sz="2" w:space="0"/>
            </w:tcBorders>
            <w:vAlign w:val="center"/>
          </w:tcPr>
          <w:p w14:paraId="10355D15">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kern w:val="2"/>
                <w:sz w:val="28"/>
                <w:szCs w:val="28"/>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住</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所</w:t>
            </w:r>
          </w:p>
        </w:tc>
        <w:tc>
          <w:tcPr>
            <w:tcW w:w="2789" w:type="dxa"/>
            <w:tcBorders>
              <w:top w:val="single" w:color="auto" w:sz="2" w:space="0"/>
              <w:left w:val="single" w:color="auto" w:sz="2" w:space="0"/>
              <w:bottom w:val="single" w:color="auto" w:sz="2" w:space="0"/>
              <w:right w:val="single" w:color="auto" w:sz="2" w:space="0"/>
            </w:tcBorders>
            <w:vAlign w:val="center"/>
          </w:tcPr>
          <w:p w14:paraId="78179738">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kern w:val="2"/>
                <w:sz w:val="28"/>
                <w:szCs w:val="28"/>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8"/>
                <w:szCs w:val="28"/>
                <w:highlight w:val="none"/>
                <w:lang w:val="en-US" w:eastAsia="zh-CN" w:bidi="ar-SA"/>
                <w14:textFill>
                  <w14:solidFill>
                    <w14:schemeClr w14:val="tx1"/>
                  </w14:solidFill>
                </w14:textFill>
              </w:rPr>
              <w:t>哈密市广场北路18号</w:t>
            </w:r>
          </w:p>
        </w:tc>
        <w:tc>
          <w:tcPr>
            <w:tcW w:w="2288" w:type="dxa"/>
            <w:tcBorders>
              <w:top w:val="single" w:color="auto" w:sz="2" w:space="0"/>
              <w:left w:val="single" w:color="auto" w:sz="2" w:space="0"/>
              <w:bottom w:val="single" w:color="auto" w:sz="2" w:space="0"/>
              <w:right w:val="single" w:color="auto" w:sz="2" w:space="0"/>
            </w:tcBorders>
            <w:vAlign w:val="center"/>
          </w:tcPr>
          <w:p w14:paraId="4C170E54">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kern w:val="2"/>
                <w:sz w:val="28"/>
                <w:szCs w:val="28"/>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住</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所</w:t>
            </w:r>
          </w:p>
        </w:tc>
        <w:tc>
          <w:tcPr>
            <w:tcW w:w="2453" w:type="dxa"/>
            <w:tcBorders>
              <w:top w:val="single" w:color="auto" w:sz="2" w:space="0"/>
              <w:left w:val="single" w:color="auto" w:sz="2" w:space="0"/>
              <w:bottom w:val="single" w:color="auto" w:sz="2" w:space="0"/>
            </w:tcBorders>
            <w:vAlign w:val="center"/>
          </w:tcPr>
          <w:p w14:paraId="7B5696E9">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pacing w:val="20"/>
                <w:kern w:val="2"/>
                <w:sz w:val="28"/>
                <w:szCs w:val="28"/>
                <w:highlight w:val="none"/>
                <w:lang w:val="en-US" w:eastAsia="zh-CN" w:bidi="ar-SA"/>
                <w14:textFill>
                  <w14:solidFill>
                    <w14:schemeClr w14:val="tx1"/>
                  </w14:solidFill>
                </w14:textFill>
              </w:rPr>
            </w:pPr>
          </w:p>
        </w:tc>
      </w:tr>
      <w:tr w14:paraId="44E5336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180" w:type="dxa"/>
            <w:tcBorders>
              <w:top w:val="single" w:color="auto" w:sz="2" w:space="0"/>
              <w:bottom w:val="single" w:color="auto" w:sz="2" w:space="0"/>
              <w:right w:val="single" w:color="auto" w:sz="2" w:space="0"/>
            </w:tcBorders>
            <w:vAlign w:val="center"/>
          </w:tcPr>
          <w:p w14:paraId="1D6EF886">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联 系 人</w:t>
            </w:r>
          </w:p>
        </w:tc>
        <w:tc>
          <w:tcPr>
            <w:tcW w:w="2789" w:type="dxa"/>
            <w:tcBorders>
              <w:top w:val="single" w:color="auto" w:sz="2" w:space="0"/>
              <w:left w:val="single" w:color="auto" w:sz="2" w:space="0"/>
              <w:bottom w:val="single" w:color="auto" w:sz="2" w:space="0"/>
              <w:right w:val="single" w:color="auto" w:sz="2" w:space="0"/>
            </w:tcBorders>
            <w:vAlign w:val="center"/>
          </w:tcPr>
          <w:p w14:paraId="70525250">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p>
        </w:tc>
        <w:tc>
          <w:tcPr>
            <w:tcW w:w="2288" w:type="dxa"/>
            <w:tcBorders>
              <w:top w:val="single" w:color="auto" w:sz="2" w:space="0"/>
              <w:left w:val="single" w:color="auto" w:sz="2" w:space="0"/>
              <w:bottom w:val="single" w:color="auto" w:sz="2" w:space="0"/>
              <w:right w:val="single" w:color="auto" w:sz="2" w:space="0"/>
            </w:tcBorders>
            <w:vAlign w:val="center"/>
          </w:tcPr>
          <w:p w14:paraId="7FDC95F1">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联 系 人</w:t>
            </w:r>
          </w:p>
        </w:tc>
        <w:tc>
          <w:tcPr>
            <w:tcW w:w="2453" w:type="dxa"/>
            <w:tcBorders>
              <w:top w:val="single" w:color="auto" w:sz="2" w:space="0"/>
              <w:left w:val="single" w:color="auto" w:sz="2" w:space="0"/>
              <w:bottom w:val="single" w:color="auto" w:sz="2" w:space="0"/>
            </w:tcBorders>
            <w:vAlign w:val="center"/>
          </w:tcPr>
          <w:p w14:paraId="120FF7AD">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pacing w:val="20"/>
                <w:sz w:val="28"/>
                <w:szCs w:val="28"/>
                <w:highlight w:val="none"/>
                <w14:textFill>
                  <w14:solidFill>
                    <w14:schemeClr w14:val="tx1"/>
                  </w14:solidFill>
                </w14:textFill>
              </w:rPr>
            </w:pPr>
          </w:p>
        </w:tc>
      </w:tr>
      <w:tr w14:paraId="0D3C034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180" w:type="dxa"/>
            <w:tcBorders>
              <w:top w:val="single" w:color="auto" w:sz="2" w:space="0"/>
              <w:bottom w:val="single" w:color="auto" w:sz="2" w:space="0"/>
              <w:right w:val="single" w:color="auto" w:sz="2" w:space="0"/>
            </w:tcBorders>
            <w:vAlign w:val="center"/>
          </w:tcPr>
          <w:p w14:paraId="031F1B6B">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联系电话</w:t>
            </w:r>
          </w:p>
        </w:tc>
        <w:tc>
          <w:tcPr>
            <w:tcW w:w="2789" w:type="dxa"/>
            <w:tcBorders>
              <w:top w:val="single" w:color="auto" w:sz="2" w:space="0"/>
              <w:left w:val="single" w:color="auto" w:sz="2" w:space="0"/>
              <w:bottom w:val="single" w:color="auto" w:sz="2" w:space="0"/>
              <w:right w:val="single" w:color="auto" w:sz="2" w:space="0"/>
            </w:tcBorders>
            <w:vAlign w:val="center"/>
          </w:tcPr>
          <w:p w14:paraId="4594F7CE">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p>
        </w:tc>
        <w:tc>
          <w:tcPr>
            <w:tcW w:w="2288" w:type="dxa"/>
            <w:tcBorders>
              <w:top w:val="single" w:color="auto" w:sz="2" w:space="0"/>
              <w:left w:val="single" w:color="auto" w:sz="2" w:space="0"/>
              <w:bottom w:val="single" w:color="auto" w:sz="2" w:space="0"/>
              <w:right w:val="single" w:color="auto" w:sz="2" w:space="0"/>
            </w:tcBorders>
            <w:vAlign w:val="center"/>
          </w:tcPr>
          <w:p w14:paraId="116F3C29">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联系电话</w:t>
            </w:r>
          </w:p>
        </w:tc>
        <w:tc>
          <w:tcPr>
            <w:tcW w:w="2453" w:type="dxa"/>
            <w:tcBorders>
              <w:top w:val="single" w:color="auto" w:sz="2" w:space="0"/>
              <w:left w:val="single" w:color="auto" w:sz="2" w:space="0"/>
              <w:bottom w:val="single" w:color="auto" w:sz="2" w:space="0"/>
            </w:tcBorders>
            <w:vAlign w:val="center"/>
          </w:tcPr>
          <w:p w14:paraId="03718DEF">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pacing w:val="20"/>
                <w:sz w:val="28"/>
                <w:szCs w:val="28"/>
                <w:highlight w:val="none"/>
                <w14:textFill>
                  <w14:solidFill>
                    <w14:schemeClr w14:val="tx1"/>
                  </w14:solidFill>
                </w14:textFill>
              </w:rPr>
            </w:pPr>
          </w:p>
        </w:tc>
      </w:tr>
      <w:tr w14:paraId="3EF78E8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180" w:type="dxa"/>
            <w:tcBorders>
              <w:top w:val="single" w:color="auto" w:sz="2" w:space="0"/>
              <w:bottom w:val="single" w:color="auto" w:sz="2" w:space="0"/>
              <w:right w:val="single" w:color="auto" w:sz="2" w:space="0"/>
            </w:tcBorders>
            <w:vAlign w:val="center"/>
          </w:tcPr>
          <w:p w14:paraId="79325E35">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通信地址</w:t>
            </w:r>
          </w:p>
        </w:tc>
        <w:tc>
          <w:tcPr>
            <w:tcW w:w="2789" w:type="dxa"/>
            <w:tcBorders>
              <w:top w:val="single" w:color="auto" w:sz="2" w:space="0"/>
              <w:left w:val="single" w:color="auto" w:sz="2" w:space="0"/>
              <w:bottom w:val="single" w:color="auto" w:sz="2" w:space="0"/>
              <w:right w:val="single" w:color="auto" w:sz="2" w:space="0"/>
            </w:tcBorders>
            <w:vAlign w:val="center"/>
          </w:tcPr>
          <w:p w14:paraId="4F7E733B">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2"/>
                <w:sz w:val="28"/>
                <w:szCs w:val="28"/>
                <w:highlight w:val="none"/>
                <w:lang w:val="en-US" w:eastAsia="zh-CN" w:bidi="ar-SA"/>
                <w14:textFill>
                  <w14:solidFill>
                    <w14:schemeClr w14:val="tx1"/>
                  </w14:solidFill>
                </w14:textFill>
              </w:rPr>
              <w:t>哈密市广场北路18号</w:t>
            </w:r>
          </w:p>
        </w:tc>
        <w:tc>
          <w:tcPr>
            <w:tcW w:w="2288" w:type="dxa"/>
            <w:tcBorders>
              <w:top w:val="single" w:color="auto" w:sz="2" w:space="0"/>
              <w:left w:val="single" w:color="auto" w:sz="2" w:space="0"/>
              <w:bottom w:val="single" w:color="auto" w:sz="2" w:space="0"/>
              <w:right w:val="single" w:color="auto" w:sz="2" w:space="0"/>
            </w:tcBorders>
            <w:vAlign w:val="center"/>
          </w:tcPr>
          <w:p w14:paraId="5B6D230E">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通信地址</w:t>
            </w:r>
          </w:p>
        </w:tc>
        <w:tc>
          <w:tcPr>
            <w:tcW w:w="2453" w:type="dxa"/>
            <w:tcBorders>
              <w:top w:val="single" w:color="auto" w:sz="2" w:space="0"/>
              <w:left w:val="single" w:color="auto" w:sz="2" w:space="0"/>
              <w:bottom w:val="single" w:color="auto" w:sz="2" w:space="0"/>
            </w:tcBorders>
            <w:vAlign w:val="center"/>
          </w:tcPr>
          <w:p w14:paraId="3A89615A">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pacing w:val="20"/>
                <w:sz w:val="28"/>
                <w:szCs w:val="28"/>
                <w:highlight w:val="none"/>
                <w14:textFill>
                  <w14:solidFill>
                    <w14:schemeClr w14:val="tx1"/>
                  </w14:solidFill>
                </w14:textFill>
              </w:rPr>
            </w:pPr>
          </w:p>
        </w:tc>
      </w:tr>
      <w:tr w14:paraId="6094D19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180" w:type="dxa"/>
            <w:tcBorders>
              <w:top w:val="single" w:color="auto" w:sz="2" w:space="0"/>
              <w:bottom w:val="single" w:color="auto" w:sz="2" w:space="0"/>
              <w:right w:val="single" w:color="auto" w:sz="2" w:space="0"/>
            </w:tcBorders>
            <w:vAlign w:val="center"/>
          </w:tcPr>
          <w:p w14:paraId="39384280">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邮政编码</w:t>
            </w:r>
          </w:p>
        </w:tc>
        <w:tc>
          <w:tcPr>
            <w:tcW w:w="2789" w:type="dxa"/>
            <w:tcBorders>
              <w:top w:val="single" w:color="auto" w:sz="2" w:space="0"/>
              <w:left w:val="single" w:color="auto" w:sz="2" w:space="0"/>
              <w:bottom w:val="single" w:color="auto" w:sz="2" w:space="0"/>
              <w:right w:val="single" w:color="auto" w:sz="2" w:space="0"/>
            </w:tcBorders>
            <w:vAlign w:val="center"/>
          </w:tcPr>
          <w:p w14:paraId="24313E9D">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p>
        </w:tc>
        <w:tc>
          <w:tcPr>
            <w:tcW w:w="2288" w:type="dxa"/>
            <w:tcBorders>
              <w:top w:val="single" w:color="auto" w:sz="2" w:space="0"/>
              <w:left w:val="single" w:color="auto" w:sz="2" w:space="0"/>
              <w:bottom w:val="single" w:color="auto" w:sz="2" w:space="0"/>
              <w:right w:val="single" w:color="auto" w:sz="2" w:space="0"/>
            </w:tcBorders>
            <w:vAlign w:val="center"/>
          </w:tcPr>
          <w:p w14:paraId="1292DD69">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邮政编码</w:t>
            </w:r>
          </w:p>
        </w:tc>
        <w:tc>
          <w:tcPr>
            <w:tcW w:w="2453" w:type="dxa"/>
            <w:tcBorders>
              <w:top w:val="single" w:color="auto" w:sz="2" w:space="0"/>
              <w:left w:val="single" w:color="auto" w:sz="2" w:space="0"/>
              <w:bottom w:val="single" w:color="auto" w:sz="2" w:space="0"/>
            </w:tcBorders>
            <w:vAlign w:val="center"/>
          </w:tcPr>
          <w:p w14:paraId="69E0FC2F">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pacing w:val="20"/>
                <w:sz w:val="28"/>
                <w:szCs w:val="28"/>
                <w:highlight w:val="none"/>
                <w14:textFill>
                  <w14:solidFill>
                    <w14:schemeClr w14:val="tx1"/>
                  </w14:solidFill>
                </w14:textFill>
              </w:rPr>
            </w:pPr>
          </w:p>
        </w:tc>
      </w:tr>
      <w:tr w14:paraId="3CCF55A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180" w:type="dxa"/>
            <w:tcBorders>
              <w:top w:val="single" w:color="auto" w:sz="2" w:space="0"/>
              <w:bottom w:val="single" w:color="auto" w:sz="2" w:space="0"/>
              <w:right w:val="single" w:color="auto" w:sz="2" w:space="0"/>
            </w:tcBorders>
            <w:vAlign w:val="center"/>
          </w:tcPr>
          <w:p w14:paraId="09901234">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电子邮箱</w:t>
            </w:r>
          </w:p>
        </w:tc>
        <w:tc>
          <w:tcPr>
            <w:tcW w:w="2789" w:type="dxa"/>
            <w:tcBorders>
              <w:top w:val="single" w:color="auto" w:sz="2" w:space="0"/>
              <w:left w:val="single" w:color="auto" w:sz="2" w:space="0"/>
              <w:bottom w:val="single" w:color="auto" w:sz="2" w:space="0"/>
              <w:right w:val="single" w:color="auto" w:sz="2" w:space="0"/>
            </w:tcBorders>
            <w:vAlign w:val="center"/>
          </w:tcPr>
          <w:p w14:paraId="3698FF06">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p>
        </w:tc>
        <w:tc>
          <w:tcPr>
            <w:tcW w:w="2288" w:type="dxa"/>
            <w:tcBorders>
              <w:top w:val="single" w:color="auto" w:sz="2" w:space="0"/>
              <w:left w:val="single" w:color="auto" w:sz="2" w:space="0"/>
              <w:bottom w:val="single" w:color="auto" w:sz="2" w:space="0"/>
              <w:right w:val="single" w:color="auto" w:sz="2" w:space="0"/>
            </w:tcBorders>
            <w:vAlign w:val="center"/>
          </w:tcPr>
          <w:p w14:paraId="68191213">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电子邮箱</w:t>
            </w:r>
          </w:p>
        </w:tc>
        <w:tc>
          <w:tcPr>
            <w:tcW w:w="2453" w:type="dxa"/>
            <w:tcBorders>
              <w:top w:val="single" w:color="auto" w:sz="2" w:space="0"/>
              <w:left w:val="single" w:color="auto" w:sz="2" w:space="0"/>
              <w:bottom w:val="single" w:color="auto" w:sz="2" w:space="0"/>
            </w:tcBorders>
            <w:vAlign w:val="center"/>
          </w:tcPr>
          <w:p w14:paraId="2F36666D">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pacing w:val="20"/>
                <w:sz w:val="28"/>
                <w:szCs w:val="28"/>
                <w:highlight w:val="none"/>
                <w14:textFill>
                  <w14:solidFill>
                    <w14:schemeClr w14:val="tx1"/>
                  </w14:solidFill>
                </w14:textFill>
              </w:rPr>
            </w:pPr>
          </w:p>
        </w:tc>
      </w:tr>
      <w:tr w14:paraId="5E54E09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180" w:type="dxa"/>
            <w:tcBorders>
              <w:top w:val="single" w:color="auto" w:sz="2" w:space="0"/>
              <w:bottom w:val="single" w:color="auto" w:sz="2" w:space="0"/>
              <w:right w:val="single" w:color="auto" w:sz="2" w:space="0"/>
            </w:tcBorders>
            <w:vAlign w:val="center"/>
          </w:tcPr>
          <w:p w14:paraId="29DA54BA">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统一社会信用代码</w:t>
            </w:r>
          </w:p>
        </w:tc>
        <w:tc>
          <w:tcPr>
            <w:tcW w:w="2789" w:type="dxa"/>
            <w:tcBorders>
              <w:top w:val="single" w:color="auto" w:sz="2" w:space="0"/>
              <w:left w:val="single" w:color="auto" w:sz="2" w:space="0"/>
              <w:bottom w:val="single" w:color="auto" w:sz="2" w:space="0"/>
              <w:right w:val="single" w:color="auto" w:sz="2" w:space="0"/>
            </w:tcBorders>
            <w:vAlign w:val="center"/>
          </w:tcPr>
          <w:p w14:paraId="7D9CF995">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p>
        </w:tc>
        <w:tc>
          <w:tcPr>
            <w:tcW w:w="2288" w:type="dxa"/>
            <w:tcBorders>
              <w:top w:val="single" w:color="auto" w:sz="2" w:space="0"/>
              <w:left w:val="single" w:color="auto" w:sz="2" w:space="0"/>
              <w:bottom w:val="single" w:color="auto" w:sz="2" w:space="0"/>
              <w:right w:val="single" w:color="auto" w:sz="2" w:space="0"/>
            </w:tcBorders>
            <w:vAlign w:val="center"/>
          </w:tcPr>
          <w:p w14:paraId="6B95DED4">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统一社会信用代码</w:t>
            </w:r>
          </w:p>
        </w:tc>
        <w:tc>
          <w:tcPr>
            <w:tcW w:w="2453" w:type="dxa"/>
            <w:tcBorders>
              <w:top w:val="single" w:color="auto" w:sz="2" w:space="0"/>
              <w:left w:val="single" w:color="auto" w:sz="2" w:space="0"/>
              <w:bottom w:val="single" w:color="auto" w:sz="2" w:space="0"/>
            </w:tcBorders>
            <w:vAlign w:val="center"/>
          </w:tcPr>
          <w:p w14:paraId="0F441287">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pacing w:val="20"/>
                <w:sz w:val="28"/>
                <w:szCs w:val="28"/>
                <w:highlight w:val="none"/>
                <w14:textFill>
                  <w14:solidFill>
                    <w14:schemeClr w14:val="tx1"/>
                  </w14:solidFill>
                </w14:textFill>
              </w:rPr>
            </w:pPr>
          </w:p>
        </w:tc>
      </w:tr>
      <w:tr w14:paraId="2DAFCD7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180" w:type="dxa"/>
            <w:tcBorders>
              <w:top w:val="single" w:color="auto" w:sz="2" w:space="0"/>
              <w:bottom w:val="single" w:color="auto" w:sz="2" w:space="0"/>
              <w:right w:val="single" w:color="auto" w:sz="2" w:space="0"/>
            </w:tcBorders>
            <w:vAlign w:val="center"/>
          </w:tcPr>
          <w:p w14:paraId="32C2C4D4">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p>
        </w:tc>
        <w:tc>
          <w:tcPr>
            <w:tcW w:w="2789" w:type="dxa"/>
            <w:tcBorders>
              <w:top w:val="single" w:color="auto" w:sz="2" w:space="0"/>
              <w:left w:val="single" w:color="auto" w:sz="2" w:space="0"/>
              <w:bottom w:val="single" w:color="auto" w:sz="2" w:space="0"/>
              <w:right w:val="single" w:color="auto" w:sz="2" w:space="0"/>
            </w:tcBorders>
            <w:vAlign w:val="center"/>
          </w:tcPr>
          <w:p w14:paraId="1AE90EF3">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p>
        </w:tc>
        <w:tc>
          <w:tcPr>
            <w:tcW w:w="2288" w:type="dxa"/>
            <w:tcBorders>
              <w:top w:val="single" w:color="auto" w:sz="2" w:space="0"/>
              <w:left w:val="single" w:color="auto" w:sz="2" w:space="0"/>
              <w:bottom w:val="single" w:color="auto" w:sz="2" w:space="0"/>
              <w:right w:val="single" w:color="auto" w:sz="2" w:space="0"/>
            </w:tcBorders>
            <w:vAlign w:val="center"/>
          </w:tcPr>
          <w:p w14:paraId="1DA22254">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开户名称</w:t>
            </w:r>
          </w:p>
        </w:tc>
        <w:tc>
          <w:tcPr>
            <w:tcW w:w="2453" w:type="dxa"/>
            <w:tcBorders>
              <w:top w:val="single" w:color="auto" w:sz="2" w:space="0"/>
              <w:left w:val="single" w:color="auto" w:sz="2" w:space="0"/>
              <w:bottom w:val="single" w:color="auto" w:sz="2" w:space="0"/>
            </w:tcBorders>
            <w:vAlign w:val="center"/>
          </w:tcPr>
          <w:p w14:paraId="24B6BBC4">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pacing w:val="20"/>
                <w:sz w:val="28"/>
                <w:szCs w:val="28"/>
                <w:highlight w:val="none"/>
                <w14:textFill>
                  <w14:solidFill>
                    <w14:schemeClr w14:val="tx1"/>
                  </w14:solidFill>
                </w14:textFill>
              </w:rPr>
            </w:pPr>
          </w:p>
        </w:tc>
      </w:tr>
      <w:tr w14:paraId="102B8A8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180" w:type="dxa"/>
            <w:tcBorders>
              <w:top w:val="single" w:color="auto" w:sz="2" w:space="0"/>
              <w:bottom w:val="single" w:color="auto" w:sz="2" w:space="0"/>
              <w:right w:val="single" w:color="auto" w:sz="2" w:space="0"/>
            </w:tcBorders>
            <w:vAlign w:val="center"/>
          </w:tcPr>
          <w:p w14:paraId="52F5B5D7">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p>
        </w:tc>
        <w:tc>
          <w:tcPr>
            <w:tcW w:w="2789" w:type="dxa"/>
            <w:tcBorders>
              <w:top w:val="single" w:color="auto" w:sz="2" w:space="0"/>
              <w:left w:val="single" w:color="auto" w:sz="2" w:space="0"/>
              <w:bottom w:val="single" w:color="auto" w:sz="2" w:space="0"/>
              <w:right w:val="single" w:color="auto" w:sz="2" w:space="0"/>
            </w:tcBorders>
            <w:vAlign w:val="center"/>
          </w:tcPr>
          <w:p w14:paraId="5B3B8FD7">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p>
        </w:tc>
        <w:tc>
          <w:tcPr>
            <w:tcW w:w="2288" w:type="dxa"/>
            <w:tcBorders>
              <w:top w:val="single" w:color="auto" w:sz="2" w:space="0"/>
              <w:left w:val="single" w:color="auto" w:sz="2" w:space="0"/>
              <w:bottom w:val="single" w:color="auto" w:sz="2" w:space="0"/>
              <w:right w:val="single" w:color="auto" w:sz="2" w:space="0"/>
            </w:tcBorders>
            <w:vAlign w:val="center"/>
          </w:tcPr>
          <w:p w14:paraId="1A196F5C">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开户银行</w:t>
            </w:r>
          </w:p>
        </w:tc>
        <w:tc>
          <w:tcPr>
            <w:tcW w:w="2453" w:type="dxa"/>
            <w:tcBorders>
              <w:top w:val="single" w:color="auto" w:sz="2" w:space="0"/>
              <w:left w:val="single" w:color="auto" w:sz="2" w:space="0"/>
              <w:bottom w:val="single" w:color="auto" w:sz="2" w:space="0"/>
            </w:tcBorders>
            <w:vAlign w:val="center"/>
          </w:tcPr>
          <w:p w14:paraId="6D9E3AD0">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pacing w:val="20"/>
                <w:sz w:val="28"/>
                <w:szCs w:val="28"/>
                <w:highlight w:val="none"/>
                <w14:textFill>
                  <w14:solidFill>
                    <w14:schemeClr w14:val="tx1"/>
                  </w14:solidFill>
                </w14:textFill>
              </w:rPr>
            </w:pPr>
          </w:p>
        </w:tc>
      </w:tr>
      <w:tr w14:paraId="1539C48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180" w:type="dxa"/>
            <w:tcBorders>
              <w:top w:val="single" w:color="auto" w:sz="2" w:space="0"/>
              <w:bottom w:val="single" w:color="auto" w:sz="2" w:space="0"/>
              <w:right w:val="single" w:color="auto" w:sz="2" w:space="0"/>
            </w:tcBorders>
            <w:vAlign w:val="center"/>
          </w:tcPr>
          <w:p w14:paraId="5AEFA9AA">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p>
        </w:tc>
        <w:tc>
          <w:tcPr>
            <w:tcW w:w="2789" w:type="dxa"/>
            <w:tcBorders>
              <w:top w:val="single" w:color="auto" w:sz="2" w:space="0"/>
              <w:left w:val="single" w:color="auto" w:sz="2" w:space="0"/>
              <w:bottom w:val="single" w:color="auto" w:sz="2" w:space="0"/>
              <w:right w:val="single" w:color="auto" w:sz="2" w:space="0"/>
            </w:tcBorders>
            <w:vAlign w:val="center"/>
          </w:tcPr>
          <w:p w14:paraId="0AD890B1">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p>
        </w:tc>
        <w:tc>
          <w:tcPr>
            <w:tcW w:w="2288" w:type="dxa"/>
            <w:tcBorders>
              <w:top w:val="single" w:color="auto" w:sz="2" w:space="0"/>
              <w:left w:val="single" w:color="auto" w:sz="2" w:space="0"/>
              <w:bottom w:val="single" w:color="auto" w:sz="2" w:space="0"/>
              <w:right w:val="single" w:color="auto" w:sz="2" w:space="0"/>
            </w:tcBorders>
            <w:vAlign w:val="center"/>
          </w:tcPr>
          <w:p w14:paraId="7E1B84DC">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银行账号</w:t>
            </w:r>
          </w:p>
        </w:tc>
        <w:tc>
          <w:tcPr>
            <w:tcW w:w="2453" w:type="dxa"/>
            <w:tcBorders>
              <w:top w:val="single" w:color="auto" w:sz="2" w:space="0"/>
              <w:left w:val="single" w:color="auto" w:sz="2" w:space="0"/>
              <w:bottom w:val="single" w:color="auto" w:sz="2" w:space="0"/>
            </w:tcBorders>
            <w:vAlign w:val="center"/>
          </w:tcPr>
          <w:p w14:paraId="70B2BFB3">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pacing w:val="20"/>
                <w:sz w:val="28"/>
                <w:szCs w:val="28"/>
                <w:highlight w:val="none"/>
                <w14:textFill>
                  <w14:solidFill>
                    <w14:schemeClr w14:val="tx1"/>
                  </w14:solidFill>
                </w14:textFill>
              </w:rPr>
            </w:pPr>
          </w:p>
        </w:tc>
      </w:tr>
      <w:tr w14:paraId="47E20AB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9710" w:type="dxa"/>
            <w:gridSpan w:val="4"/>
            <w:tcBorders>
              <w:top w:val="single" w:color="auto" w:sz="2" w:space="0"/>
            </w:tcBorders>
            <w:vAlign w:val="center"/>
          </w:tcPr>
          <w:p w14:paraId="30E5E4EE">
            <w:pPr>
              <w:pStyle w:val="14"/>
              <w:pageBreakBefore w:val="0"/>
              <w:kinsoku/>
              <w:wordWrap/>
              <w:overflowPunct/>
              <w:topLinePunct w:val="0"/>
              <w:bidi w:val="0"/>
              <w:adjustRightInd w:val="0"/>
              <w:snapToGrid w:val="0"/>
              <w:spacing w:before="156" w:beforeLines="50" w:after="0" w:afterAutospacing="0" w:line="560" w:lineRule="exact"/>
              <w:ind w:left="0" w:leftChars="0"/>
              <w:jc w:val="left"/>
              <w:textAlignment w:val="auto"/>
              <w:rPr>
                <w:rFonts w:hint="eastAsia" w:asciiTheme="minorEastAsia" w:hAnsiTheme="minorEastAsia" w:eastAsiaTheme="minorEastAsia" w:cstheme="minorEastAsia"/>
                <w:color w:val="000000" w:themeColor="text1"/>
                <w:spacing w:val="20"/>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注：涉及联合体或其他合同主体的信息应按上表格式加列。</w:t>
            </w:r>
          </w:p>
        </w:tc>
      </w:tr>
    </w:tbl>
    <w:p w14:paraId="0E8CB47C">
      <w:pPr>
        <w:pStyle w:val="3"/>
        <w:pageBreakBefore w:val="0"/>
        <w:kinsoku/>
        <w:wordWrap/>
        <w:overflowPunct/>
        <w:topLinePunct w:val="0"/>
        <w:bidi w:val="0"/>
        <w:adjustRightInd w:val="0"/>
        <w:snapToGrid w:val="0"/>
        <w:spacing w:before="156" w:beforeLines="50" w:afterAutospacing="0" w:line="560" w:lineRule="exact"/>
        <w:jc w:val="center"/>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br w:type="page"/>
      </w:r>
      <w:r>
        <w:rPr>
          <w:rFonts w:hint="eastAsia" w:asciiTheme="minorEastAsia" w:hAnsiTheme="minorEastAsia" w:eastAsiaTheme="minorEastAsia" w:cstheme="minorEastAsia"/>
          <w:b w:val="0"/>
          <w:bCs w:val="0"/>
          <w:color w:val="000000" w:themeColor="text1"/>
          <w:sz w:val="28"/>
          <w:szCs w:val="28"/>
          <w:highlight w:val="none"/>
          <w14:textFill>
            <w14:solidFill>
              <w14:schemeClr w14:val="tx1"/>
            </w14:solidFill>
          </w14:textFill>
        </w:rPr>
        <w:t>第二节 合同通用条款</w:t>
      </w:r>
    </w:p>
    <w:p w14:paraId="6A2CF1A9">
      <w:pPr>
        <w:pageBreakBefore w:val="0"/>
        <w:tabs>
          <w:tab w:val="left" w:pos="8820"/>
          <w:tab w:val="left" w:pos="9345"/>
          <w:tab w:val="left" w:pos="9765"/>
        </w:tabs>
        <w:kinsoku/>
        <w:wordWrap/>
        <w:overflowPunct/>
        <w:topLinePunct w:val="0"/>
        <w:bidi w:val="0"/>
        <w:adjustRightInd w:val="0"/>
        <w:snapToGrid w:val="0"/>
        <w:spacing w:before="0" w:afterAutospacing="0" w:line="560" w:lineRule="exact"/>
        <w:jc w:val="left"/>
        <w:textAlignment w:val="auto"/>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1.</w:t>
      </w:r>
      <w:r>
        <w:rPr>
          <w:rFonts w:hint="eastAsia" w:asciiTheme="minorEastAsia" w:hAnsiTheme="minorEastAsia" w:eastAsiaTheme="minorEastAsia" w:cstheme="minorEastAsia"/>
          <w:b/>
          <w:color w:val="000000" w:themeColor="text1"/>
          <w:sz w:val="28"/>
          <w:szCs w:val="28"/>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定义</w:t>
      </w:r>
    </w:p>
    <w:p w14:paraId="56EF1BE3">
      <w:pPr>
        <w:pageBreakBefore w:val="0"/>
        <w:kinsoku/>
        <w:wordWrap/>
        <w:overflowPunct/>
        <w:topLinePunct w:val="0"/>
        <w:autoSpaceDE w:val="0"/>
        <w:autoSpaceDN w:val="0"/>
        <w:bidi w:val="0"/>
        <w:adjustRightInd w:val="0"/>
        <w:snapToGrid w:val="0"/>
        <w:spacing w:before="0" w:afterAutospacing="0" w:line="560" w:lineRule="exact"/>
        <w:ind w:firstLine="560" w:firstLineChars="200"/>
        <w:jc w:val="lef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1.1合同当事人</w:t>
      </w:r>
    </w:p>
    <w:p w14:paraId="6BC3D5AE">
      <w:pPr>
        <w:pageBreakBefore w:val="0"/>
        <w:kinsoku/>
        <w:wordWrap/>
        <w:overflowPunct/>
        <w:topLinePunct w:val="0"/>
        <w:autoSpaceDE w:val="0"/>
        <w:autoSpaceDN w:val="0"/>
        <w:bidi w:val="0"/>
        <w:adjustRightInd w:val="0"/>
        <w:snapToGrid w:val="0"/>
        <w:spacing w:before="0" w:afterAutospacing="0" w:line="560" w:lineRule="exact"/>
        <w:ind w:firstLine="560" w:firstLineChars="200"/>
        <w:jc w:val="lef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（1）采购人（以下称甲方）是指使用财政性资金向供应商购买货物</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及其相关服务的</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国家机关、事业单位、团体组织。</w:t>
      </w:r>
    </w:p>
    <w:p w14:paraId="77CCBC48">
      <w:pPr>
        <w:pageBreakBefore w:val="0"/>
        <w:kinsoku/>
        <w:wordWrap/>
        <w:overflowPunct/>
        <w:topLinePunct w:val="0"/>
        <w:autoSpaceDE w:val="0"/>
        <w:autoSpaceDN w:val="0"/>
        <w:bidi w:val="0"/>
        <w:adjustRightInd w:val="0"/>
        <w:snapToGrid w:val="0"/>
        <w:spacing w:before="0" w:afterAutospacing="0" w:line="560" w:lineRule="exact"/>
        <w:ind w:firstLine="560" w:firstLineChars="200"/>
        <w:jc w:val="lef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（2）供应商（以下称</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乙</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方）是指参加采购活动并且中标（成交），向采购人提供</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合同约定的货物及其相关服务的法人、非法人组织或者自然人</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w:t>
      </w:r>
    </w:p>
    <w:p w14:paraId="49BC767D">
      <w:pPr>
        <w:pageBreakBefore w:val="0"/>
        <w:kinsoku/>
        <w:wordWrap/>
        <w:overflowPunct/>
        <w:topLinePunct w:val="0"/>
        <w:autoSpaceDE w:val="0"/>
        <w:autoSpaceDN w:val="0"/>
        <w:bidi w:val="0"/>
        <w:adjustRightInd w:val="0"/>
        <w:snapToGrid w:val="0"/>
        <w:spacing w:before="0" w:afterAutospacing="0" w:line="560" w:lineRule="exact"/>
        <w:ind w:firstLine="560" w:firstLineChars="200"/>
        <w:jc w:val="lef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（3）其他合同主体是指除采购人和供应商以外，</w:t>
      </w: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依法参与合同缔结或履行，享有权利、承担义务的合同当事人</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w:t>
      </w:r>
    </w:p>
    <w:p w14:paraId="5EB45469">
      <w:pPr>
        <w:pageBreakBefore w:val="0"/>
        <w:tabs>
          <w:tab w:val="left" w:pos="570"/>
          <w:tab w:val="left" w:pos="9240"/>
          <w:tab w:val="left" w:pos="9555"/>
        </w:tabs>
        <w:kinsoku/>
        <w:wordWrap/>
        <w:overflowPunct/>
        <w:topLinePunct w:val="0"/>
        <w:bidi w:val="0"/>
        <w:adjustRightInd w:val="0"/>
        <w:snapToGrid w:val="0"/>
        <w:spacing w:before="0" w:afterAutospacing="0" w:line="560" w:lineRule="exact"/>
        <w:ind w:firstLine="560" w:firstLineChars="200"/>
        <w:jc w:val="lef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1.2本合同下列术语应解释为：</w:t>
      </w:r>
    </w:p>
    <w:p w14:paraId="2C2EA24C">
      <w:pPr>
        <w:pageBreakBefore w:val="0"/>
        <w:kinsoku/>
        <w:wordWrap/>
        <w:overflowPunct/>
        <w:topLinePunct w:val="0"/>
        <w:bidi w:val="0"/>
        <w:adjustRightInd w:val="0"/>
        <w:snapToGrid w:val="0"/>
        <w:spacing w:before="0" w:beforeLines="0" w:afterAutospacing="0" w:line="560" w:lineRule="exact"/>
        <w:ind w:firstLine="560" w:firstLineChars="200"/>
        <w:jc w:val="lef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（1）“合同”系指</w:t>
      </w: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合同当事人意思表示达成一致的任何协议，包括签署的</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合同协议书及其变更、补充</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协议，</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合同专用条款</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合同通用条款</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中标</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（成交）</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通知书</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投标（响应）文件</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采购文件</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有关技术文件</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和</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图纸</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，以及</w:t>
      </w:r>
      <w:r>
        <w:rPr>
          <w:rFonts w:hint="eastAsia" w:asciiTheme="minorEastAsia" w:hAnsiTheme="minorEastAsia" w:eastAsiaTheme="minorEastAsia" w:cstheme="minorEastAsia"/>
          <w:bCs w:val="0"/>
          <w:color w:val="000000" w:themeColor="text1"/>
          <w:kern w:val="2"/>
          <w:sz w:val="28"/>
          <w:szCs w:val="28"/>
          <w:highlight w:val="none"/>
          <w:lang w:eastAsia="zh-CN"/>
          <w14:textFill>
            <w14:solidFill>
              <w14:schemeClr w14:val="tx1"/>
            </w14:solidFill>
          </w14:textFill>
        </w:rPr>
        <w:t>国家法律、行政法规和规章制度规定或合同约定的作为合同组成部分的其他文件</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w:t>
      </w:r>
    </w:p>
    <w:p w14:paraId="18E54607">
      <w:pPr>
        <w:pageBreakBefore w:val="0"/>
        <w:tabs>
          <w:tab w:val="left" w:pos="570"/>
          <w:tab w:val="left" w:pos="9240"/>
          <w:tab w:val="left" w:pos="9555"/>
        </w:tabs>
        <w:kinsoku/>
        <w:wordWrap/>
        <w:overflowPunct/>
        <w:topLinePunct w:val="0"/>
        <w:bidi w:val="0"/>
        <w:adjustRightInd w:val="0"/>
        <w:snapToGrid w:val="0"/>
        <w:spacing w:before="0" w:afterAutospacing="0" w:line="560" w:lineRule="exact"/>
        <w:ind w:firstLine="560" w:firstLineChars="200"/>
        <w:jc w:val="lef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）“合同价</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款</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”系指根据本合同规定乙方在全面履行合同义务后甲方应支付给乙方的价款。</w:t>
      </w:r>
    </w:p>
    <w:p w14:paraId="376C3F2F">
      <w:pPr>
        <w:pageBreakBefore w:val="0"/>
        <w:tabs>
          <w:tab w:val="left" w:pos="570"/>
          <w:tab w:val="left" w:pos="9240"/>
          <w:tab w:val="left" w:pos="9555"/>
        </w:tabs>
        <w:kinsoku/>
        <w:wordWrap/>
        <w:overflowPunct/>
        <w:topLinePunct w:val="0"/>
        <w:bidi w:val="0"/>
        <w:adjustRightInd w:val="0"/>
        <w:snapToGrid w:val="0"/>
        <w:spacing w:before="0" w:afterAutospacing="0" w:line="560" w:lineRule="exact"/>
        <w:ind w:firstLine="560" w:firstLineChars="200"/>
        <w:jc w:val="left"/>
        <w:textAlignment w:val="auto"/>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）“货物”系指乙方根据本合同规定须向甲方提供的各种形态和种类的物品，包括原材料、设备、产品（包括软件）及相关的其备品备件、工具、手册及</w:t>
      </w:r>
      <w:r>
        <w:rPr>
          <w:rFonts w:hint="eastAsia" w:asciiTheme="minorEastAsia" w:hAnsiTheme="minorEastAsia" w:eastAsiaTheme="minorEastAsia" w:cstheme="minorEastAsia"/>
          <w:color w:val="000000" w:themeColor="text1"/>
          <w:sz w:val="28"/>
          <w:szCs w:val="28"/>
          <w:highlight w:val="none"/>
          <w:lang w:val="en"/>
          <w14:textFill>
            <w14:solidFill>
              <w14:schemeClr w14:val="tx1"/>
            </w14:solidFill>
          </w14:textFill>
        </w:rPr>
        <w:t>其他</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技术资料和材料</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等</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w:t>
      </w:r>
    </w:p>
    <w:p w14:paraId="28CB8731">
      <w:pPr>
        <w:pageBreakBefore w:val="0"/>
        <w:kinsoku/>
        <w:wordWrap/>
        <w:overflowPunct/>
        <w:topLinePunct w:val="0"/>
        <w:bidi w:val="0"/>
        <w:adjustRightInd w:val="0"/>
        <w:snapToGrid w:val="0"/>
        <w:spacing w:before="0" w:afterAutospacing="0" w:line="560" w:lineRule="exact"/>
        <w:ind w:firstLine="560" w:firstLineChars="200"/>
        <w:jc w:val="left"/>
        <w:textAlignment w:val="auto"/>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相关</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服务”系指根据合同规定，乙方应提供的</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与货物有关的</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技术、管理和</w:t>
      </w:r>
      <w:r>
        <w:rPr>
          <w:rFonts w:hint="eastAsia" w:asciiTheme="minorEastAsia" w:hAnsiTheme="minorEastAsia" w:eastAsiaTheme="minorEastAsia" w:cstheme="minorEastAsia"/>
          <w:color w:val="000000" w:themeColor="text1"/>
          <w:sz w:val="28"/>
          <w:szCs w:val="28"/>
          <w:highlight w:val="none"/>
          <w:lang w:val="en"/>
          <w14:textFill>
            <w14:solidFill>
              <w14:schemeClr w14:val="tx1"/>
            </w14:solidFill>
          </w14:textFill>
        </w:rPr>
        <w:t>其他</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服务，包括但不限于：管理和质量保证、运输、保险、检验、现场准备、安装、集成、调试、培训、维修、</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废弃处置、</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技术支持等以及合同中规定乙方应承担的</w:t>
      </w:r>
      <w:r>
        <w:rPr>
          <w:rFonts w:hint="eastAsia" w:asciiTheme="minorEastAsia" w:hAnsiTheme="minorEastAsia" w:eastAsiaTheme="minorEastAsia" w:cstheme="minorEastAsia"/>
          <w:color w:val="000000" w:themeColor="text1"/>
          <w:sz w:val="28"/>
          <w:szCs w:val="28"/>
          <w:highlight w:val="none"/>
          <w:lang w:val="en"/>
          <w14:textFill>
            <w14:solidFill>
              <w14:schemeClr w14:val="tx1"/>
            </w14:solidFill>
          </w14:textFill>
        </w:rPr>
        <w:t>其他</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义务。</w:t>
      </w:r>
    </w:p>
    <w:p w14:paraId="0ACBB35D">
      <w:pPr>
        <w:pageBreakBefore w:val="0"/>
        <w:kinsoku/>
        <w:wordWrap/>
        <w:overflowPunct/>
        <w:topLinePunct w:val="0"/>
        <w:bidi w:val="0"/>
        <w:adjustRightInd w:val="0"/>
        <w:snapToGrid w:val="0"/>
        <w:spacing w:before="0" w:afterAutospacing="0" w:line="560" w:lineRule="exact"/>
        <w:ind w:firstLine="560" w:firstLineChars="200"/>
        <w:jc w:val="left"/>
        <w:textAlignment w:val="auto"/>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）“分包”系指中标</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成交</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供应商按采购文件、投标（响应）文件的规定，根据分包意向协议，将中标</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成交</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项目中的部分履约内容，分给具有相应资质条件的供应商履行合同的行为。</w:t>
      </w:r>
    </w:p>
    <w:p w14:paraId="6F441D64">
      <w:pPr>
        <w:pageBreakBefore w:val="0"/>
        <w:tabs>
          <w:tab w:val="left" w:pos="570"/>
          <w:tab w:val="left" w:pos="9240"/>
          <w:tab w:val="left" w:pos="9555"/>
        </w:tabs>
        <w:kinsoku/>
        <w:wordWrap/>
        <w:overflowPunct/>
        <w:topLinePunct w:val="0"/>
        <w:bidi w:val="0"/>
        <w:adjustRightInd w:val="0"/>
        <w:snapToGrid w:val="0"/>
        <w:spacing w:before="0" w:afterAutospacing="0" w:line="560" w:lineRule="exact"/>
        <w:ind w:firstLine="560" w:firstLineChars="200"/>
        <w:jc w:val="lef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）“联合体”系指</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由</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两个以上的自然人、法人或者</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非法人</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组织组成，</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以一个供应商的身份共同参加政府采购的主体。</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联合体各方应在签订合同协议书前向甲方提交联合协议，且明确牵头人及各成员单位的工作分工、权利、义务、责任，联合体各方应共同与甲方签订合同，就合同约定的事项对</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甲方</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承担连带责任。联合体具体要求见【</w:t>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合同专用条款</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w:t>
      </w:r>
    </w:p>
    <w:p w14:paraId="502FEA40">
      <w:pPr>
        <w:pageBreakBefore w:val="0"/>
        <w:tabs>
          <w:tab w:val="left" w:pos="570"/>
          <w:tab w:val="left" w:pos="9240"/>
          <w:tab w:val="left" w:pos="9555"/>
        </w:tabs>
        <w:kinsoku/>
        <w:wordWrap/>
        <w:overflowPunct/>
        <w:topLinePunct w:val="0"/>
        <w:bidi w:val="0"/>
        <w:adjustRightInd w:val="0"/>
        <w:snapToGrid w:val="0"/>
        <w:spacing w:before="0" w:afterAutospacing="0" w:line="560" w:lineRule="exact"/>
        <w:ind w:firstLine="560" w:firstLineChars="200"/>
        <w:jc w:val="lef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）其他术语解释，见【</w:t>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合同专用条款</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w:t>
      </w:r>
    </w:p>
    <w:p w14:paraId="1446E80B">
      <w:pPr>
        <w:pageBreakBefore w:val="0"/>
        <w:numPr>
          <w:ilvl w:val="0"/>
          <w:numId w:val="7"/>
        </w:numPr>
        <w:kinsoku/>
        <w:wordWrap/>
        <w:overflowPunct/>
        <w:topLinePunct w:val="0"/>
        <w:autoSpaceDE w:val="0"/>
        <w:autoSpaceDN w:val="0"/>
        <w:bidi w:val="0"/>
        <w:adjustRightInd w:val="0"/>
        <w:snapToGrid w:val="0"/>
        <w:spacing w:before="0" w:afterAutospacing="0" w:line="560" w:lineRule="exact"/>
        <w:jc w:val="left"/>
        <w:textAlignment w:val="auto"/>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合同标的及金额</w:t>
      </w:r>
    </w:p>
    <w:p w14:paraId="669E020C">
      <w:pPr>
        <w:pageBreakBefore w:val="0"/>
        <w:kinsoku/>
        <w:wordWrap/>
        <w:overflowPunct/>
        <w:topLinePunct w:val="0"/>
        <w:autoSpaceDE w:val="0"/>
        <w:autoSpaceDN w:val="0"/>
        <w:bidi w:val="0"/>
        <w:adjustRightInd w:val="0"/>
        <w:snapToGrid w:val="0"/>
        <w:spacing w:before="0" w:afterAutospacing="0" w:line="560" w:lineRule="exact"/>
        <w:ind w:firstLine="560" w:firstLineChars="200"/>
        <w:jc w:val="left"/>
        <w:textAlignment w:val="auto"/>
        <w:rPr>
          <w:rFonts w:hint="eastAsia" w:asciiTheme="minorEastAsia" w:hAnsiTheme="minorEastAsia" w:eastAsiaTheme="minorEastAsia" w:cstheme="minorEastAsia"/>
          <w:b/>
          <w:bCs/>
          <w:i/>
          <w:i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2</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.1 合同标的及金额应与中标（成交）结果一致。乙方为履行本合同而发生的所有费用均应包含在合同</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价款</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中，甲方不再另行支付</w:t>
      </w:r>
      <w:r>
        <w:rPr>
          <w:rFonts w:hint="eastAsia" w:asciiTheme="minorEastAsia" w:hAnsiTheme="minorEastAsia" w:eastAsiaTheme="minorEastAsia" w:cstheme="minorEastAsia"/>
          <w:color w:val="000000" w:themeColor="text1"/>
          <w:sz w:val="28"/>
          <w:szCs w:val="28"/>
          <w:highlight w:val="none"/>
          <w:lang w:val="en"/>
          <w14:textFill>
            <w14:solidFill>
              <w14:schemeClr w14:val="tx1"/>
            </w14:solidFill>
          </w14:textFill>
        </w:rPr>
        <w:t>其他</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任何费用。</w:t>
      </w:r>
    </w:p>
    <w:p w14:paraId="639AF448">
      <w:pPr>
        <w:pageBreakBefore w:val="0"/>
        <w:kinsoku/>
        <w:wordWrap/>
        <w:overflowPunct/>
        <w:topLinePunct w:val="0"/>
        <w:bidi w:val="0"/>
        <w:adjustRightInd w:val="0"/>
        <w:snapToGrid w:val="0"/>
        <w:spacing w:before="0" w:afterAutospacing="0" w:line="560" w:lineRule="exact"/>
        <w:jc w:val="left"/>
        <w:textAlignment w:val="auto"/>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lang w:eastAsia="zh-CN"/>
          <w14:textFill>
            <w14:solidFill>
              <w14:schemeClr w14:val="tx1"/>
            </w14:solidFill>
          </w14:textFill>
        </w:rPr>
        <w:t>3</w:t>
      </w:r>
      <w:r>
        <w:rPr>
          <w:rFonts w:hint="eastAsia" w:asciiTheme="minorEastAsia" w:hAnsiTheme="minorEastAsia" w:eastAsiaTheme="minorEastAsia" w:cstheme="minorEastAsia"/>
          <w:b/>
          <w:color w:val="000000" w:themeColor="text1"/>
          <w:sz w:val="28"/>
          <w:szCs w:val="28"/>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履行合同的时间、地点和方式</w:t>
      </w:r>
    </w:p>
    <w:p w14:paraId="5ECAF02F">
      <w:pPr>
        <w:pageBreakBefore w:val="0"/>
        <w:kinsoku/>
        <w:wordWrap/>
        <w:overflowPunct/>
        <w:topLinePunct w:val="0"/>
        <w:autoSpaceDE w:val="0"/>
        <w:autoSpaceDN w:val="0"/>
        <w:bidi w:val="0"/>
        <w:adjustRightInd w:val="0"/>
        <w:snapToGrid w:val="0"/>
        <w:spacing w:before="0" w:afterAutospacing="0" w:line="560" w:lineRule="exact"/>
        <w:ind w:firstLine="560" w:firstLineChars="200"/>
        <w:jc w:val="lef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3</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.1 乙方应当在约定的时间、地点</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，按照约定</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方式履行合同。</w:t>
      </w:r>
    </w:p>
    <w:p w14:paraId="2292FA02">
      <w:pPr>
        <w:pageBreakBefore w:val="0"/>
        <w:kinsoku/>
        <w:wordWrap/>
        <w:overflowPunct/>
        <w:topLinePunct w:val="0"/>
        <w:autoSpaceDE w:val="0"/>
        <w:autoSpaceDN w:val="0"/>
        <w:bidi w:val="0"/>
        <w:adjustRightInd w:val="0"/>
        <w:snapToGrid w:val="0"/>
        <w:spacing w:before="0" w:afterAutospacing="0" w:line="560" w:lineRule="exact"/>
        <w:jc w:val="left"/>
        <w:textAlignment w:val="auto"/>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eastAsia="zh-CN"/>
          <w14:textFill>
            <w14:solidFill>
              <w14:schemeClr w14:val="tx1"/>
            </w14:solidFill>
          </w14:textFill>
        </w:rPr>
        <w:t>4</w:t>
      </w: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甲方的权利和义务</w:t>
      </w:r>
    </w:p>
    <w:p w14:paraId="2DEAAD60">
      <w:pPr>
        <w:pageBreakBefore w:val="0"/>
        <w:kinsoku/>
        <w:wordWrap/>
        <w:overflowPunct/>
        <w:topLinePunct w:val="0"/>
        <w:autoSpaceDE w:val="0"/>
        <w:autoSpaceDN w:val="0"/>
        <w:bidi w:val="0"/>
        <w:adjustRightInd w:val="0"/>
        <w:snapToGrid w:val="0"/>
        <w:spacing w:before="0" w:afterAutospacing="0" w:line="560" w:lineRule="exact"/>
        <w:ind w:firstLine="560" w:firstLineChars="200"/>
        <w:jc w:val="lef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4</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.1 签署合同后，甲方</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应</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确定</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项目负责人（或项目联系人）</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，负责与本合同有关的事务。甲方有权对乙方的履约行为进行检查，并及时确认乙方提交的事项。甲方应当配合乙方完成相关项目实施工作。</w:t>
      </w:r>
    </w:p>
    <w:p w14:paraId="54D2A518">
      <w:pPr>
        <w:pageBreakBefore w:val="0"/>
        <w:kinsoku/>
        <w:wordWrap/>
        <w:overflowPunct/>
        <w:topLinePunct w:val="0"/>
        <w:autoSpaceDE w:val="0"/>
        <w:autoSpaceDN w:val="0"/>
        <w:bidi w:val="0"/>
        <w:adjustRightInd w:val="0"/>
        <w:snapToGrid w:val="0"/>
        <w:spacing w:before="0" w:afterAutospacing="0" w:line="560" w:lineRule="exact"/>
        <w:ind w:firstLine="560" w:firstLineChars="200"/>
        <w:jc w:val="lef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4</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.2 甲方有权要求乙方按时提交各阶段有关安排计划，并有权定期核对乙方提供货物数量、规格、质量等内容。甲方有权督促乙方工作并要求乙方更换不符合要求的货物。</w:t>
      </w:r>
    </w:p>
    <w:p w14:paraId="68F19931">
      <w:pPr>
        <w:pageBreakBefore w:val="0"/>
        <w:kinsoku/>
        <w:wordWrap/>
        <w:overflowPunct/>
        <w:topLinePunct w:val="0"/>
        <w:autoSpaceDE w:val="0"/>
        <w:autoSpaceDN w:val="0"/>
        <w:bidi w:val="0"/>
        <w:adjustRightInd w:val="0"/>
        <w:snapToGrid w:val="0"/>
        <w:spacing w:before="0" w:afterAutospacing="0" w:line="560" w:lineRule="exact"/>
        <w:ind w:firstLine="560" w:firstLineChars="200"/>
        <w:jc w:val="lef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4</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.3 甲方有权要求乙方对缺陷部分予以修复，并按合同约定享有货物保修及其他合同约定的权利。</w:t>
      </w:r>
    </w:p>
    <w:p w14:paraId="629F440D">
      <w:pPr>
        <w:pageBreakBefore w:val="0"/>
        <w:kinsoku/>
        <w:wordWrap/>
        <w:overflowPunct/>
        <w:topLinePunct w:val="0"/>
        <w:bidi w:val="0"/>
        <w:snapToGrid w:val="0"/>
        <w:spacing w:afterAutospacing="0" w:line="560" w:lineRule="exact"/>
        <w:ind w:firstLine="560" w:firstLineChars="200"/>
        <w:textAlignment w:val="auto"/>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4.4 甲方应当按照合同约定及时对交付的货物进行验收，</w:t>
      </w:r>
      <w:r>
        <w:rPr>
          <w:rFonts w:hint="eastAsia" w:asciiTheme="minorEastAsia" w:hAnsiTheme="minorEastAsia" w:eastAsiaTheme="minorEastAsia" w:cstheme="minorEastAsia"/>
          <w:b w:val="0"/>
          <w:bCs w:val="0"/>
          <w:color w:val="000000" w:themeColor="text1"/>
          <w:sz w:val="28"/>
          <w:szCs w:val="28"/>
          <w:highlight w:val="none"/>
          <w:lang w:eastAsia="zh-CN"/>
          <w14:textFill>
            <w14:solidFill>
              <w14:schemeClr w14:val="tx1"/>
            </w14:solidFill>
          </w14:textFill>
        </w:rPr>
        <w:t>未</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在</w:t>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【合同专用条款】</w:t>
      </w:r>
      <w:r>
        <w:rPr>
          <w:rFonts w:hint="eastAsia" w:asciiTheme="minorEastAsia" w:hAnsiTheme="minorEastAsia" w:eastAsiaTheme="minorEastAsia" w:cstheme="minorEastAsia"/>
          <w:b w:val="0"/>
          <w:bCs w:val="0"/>
          <w:color w:val="000000" w:themeColor="text1"/>
          <w:sz w:val="28"/>
          <w:szCs w:val="28"/>
          <w:highlight w:val="none"/>
          <w:lang w:eastAsia="zh-CN"/>
          <w14:textFill>
            <w14:solidFill>
              <w14:schemeClr w14:val="tx1"/>
            </w14:solidFill>
          </w14:textFill>
        </w:rPr>
        <w:t>约定的期限内对乙方履约提出任何异议或者向乙方作出任何说明的，</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视为验收通过。</w:t>
      </w:r>
    </w:p>
    <w:p w14:paraId="1AF1ACC4">
      <w:pPr>
        <w:pageBreakBefore w:val="0"/>
        <w:kinsoku/>
        <w:wordWrap/>
        <w:overflowPunct/>
        <w:topLinePunct w:val="0"/>
        <w:autoSpaceDE w:val="0"/>
        <w:autoSpaceDN w:val="0"/>
        <w:bidi w:val="0"/>
        <w:adjustRightInd w:val="0"/>
        <w:snapToGrid w:val="0"/>
        <w:spacing w:afterAutospacing="0" w:line="560" w:lineRule="exact"/>
        <w:ind w:firstLine="560" w:firstLineChars="200"/>
        <w:jc w:val="lef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4</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 xml:space="preserve"> 甲方应当根据合同约定</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及</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时向乙方支付</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合同价款，不得以内部人员变更、履行内部付款流程等为由，拒绝或迟延支付。</w:t>
      </w:r>
    </w:p>
    <w:p w14:paraId="31C2CDE6">
      <w:pPr>
        <w:pageBreakBefore w:val="0"/>
        <w:kinsoku/>
        <w:wordWrap/>
        <w:overflowPunct/>
        <w:topLinePunct w:val="0"/>
        <w:autoSpaceDE w:val="0"/>
        <w:autoSpaceDN w:val="0"/>
        <w:bidi w:val="0"/>
        <w:adjustRightInd w:val="0"/>
        <w:snapToGrid w:val="0"/>
        <w:spacing w:before="0" w:afterAutospacing="0" w:line="560" w:lineRule="exact"/>
        <w:ind w:firstLine="560" w:firstLineChars="200"/>
        <w:jc w:val="lef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4</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 xml:space="preserve"> 国家法律法规规定</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及</w:t>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【合同专用条款】</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约定应</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由甲方承担的其他义务和责任。</w:t>
      </w:r>
    </w:p>
    <w:p w14:paraId="036F71A0">
      <w:pPr>
        <w:pageBreakBefore w:val="0"/>
        <w:kinsoku/>
        <w:wordWrap/>
        <w:overflowPunct/>
        <w:topLinePunct w:val="0"/>
        <w:autoSpaceDE w:val="0"/>
        <w:autoSpaceDN w:val="0"/>
        <w:bidi w:val="0"/>
        <w:adjustRightInd w:val="0"/>
        <w:snapToGrid w:val="0"/>
        <w:spacing w:before="0" w:afterAutospacing="0" w:line="560" w:lineRule="exact"/>
        <w:jc w:val="left"/>
        <w:textAlignment w:val="auto"/>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eastAsia="zh-CN"/>
          <w14:textFill>
            <w14:solidFill>
              <w14:schemeClr w14:val="tx1"/>
            </w14:solidFill>
          </w14:textFill>
        </w:rPr>
        <w:t>5</w:t>
      </w: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乙方的权利和义务</w:t>
      </w:r>
    </w:p>
    <w:p w14:paraId="3D786973">
      <w:pPr>
        <w:pageBreakBefore w:val="0"/>
        <w:kinsoku/>
        <w:wordWrap/>
        <w:overflowPunct/>
        <w:topLinePunct w:val="0"/>
        <w:autoSpaceDE w:val="0"/>
        <w:autoSpaceDN w:val="0"/>
        <w:bidi w:val="0"/>
        <w:adjustRightInd w:val="0"/>
        <w:snapToGrid w:val="0"/>
        <w:spacing w:before="0" w:afterAutospacing="0" w:line="560" w:lineRule="exact"/>
        <w:ind w:firstLine="560" w:firstLineChars="200"/>
        <w:jc w:val="lef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5</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.1 签署合同后，乙方</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应</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确定</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项目负责人（或项目联系人）</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，负责与本合同有关的事务。</w:t>
      </w:r>
    </w:p>
    <w:p w14:paraId="253ADDB2">
      <w:pPr>
        <w:pageBreakBefore w:val="0"/>
        <w:kinsoku/>
        <w:wordWrap/>
        <w:overflowPunct/>
        <w:topLinePunct w:val="0"/>
        <w:autoSpaceDE w:val="0"/>
        <w:autoSpaceDN w:val="0"/>
        <w:bidi w:val="0"/>
        <w:adjustRightInd w:val="0"/>
        <w:snapToGrid w:val="0"/>
        <w:spacing w:before="0" w:afterAutospacing="0" w:line="560" w:lineRule="exact"/>
        <w:ind w:firstLine="560" w:firstLineChars="200"/>
        <w:jc w:val="lef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5</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.2 乙方应按照合同要求履约，充分合理安排，确保提供的货物</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及相关</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服务符合合同</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有关</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要求。接受项目行业管理部门及政府有关部门的指导，配合甲方的履约检查</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及验收</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，并负责项目实施过程中的所有协调工作。</w:t>
      </w:r>
    </w:p>
    <w:p w14:paraId="6B9D69BC">
      <w:pPr>
        <w:pStyle w:val="13"/>
        <w:pageBreakBefore w:val="0"/>
        <w:kinsoku/>
        <w:wordWrap/>
        <w:overflowPunct/>
        <w:topLinePunct w:val="0"/>
        <w:bidi w:val="0"/>
        <w:spacing w:after="0" w:afterAutospacing="0" w:line="560" w:lineRule="exact"/>
        <w:ind w:firstLine="492" w:firstLineChars="176"/>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5</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.3乙方有权根据合同约定向甲方收取</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合同价款</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w:t>
      </w:r>
    </w:p>
    <w:p w14:paraId="065E6685">
      <w:pPr>
        <w:pStyle w:val="13"/>
        <w:pageBreakBefore w:val="0"/>
        <w:kinsoku/>
        <w:wordWrap/>
        <w:overflowPunct/>
        <w:topLinePunct w:val="0"/>
        <w:bidi w:val="0"/>
        <w:spacing w:after="0" w:afterAutospacing="0" w:line="560" w:lineRule="exact"/>
        <w:ind w:firstLine="492" w:firstLineChars="176"/>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5</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.4国家法律法规规定</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及</w:t>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【合同专用条款】</w:t>
      </w:r>
      <w:r>
        <w:rPr>
          <w:rFonts w:hint="eastAsia" w:asciiTheme="minorEastAsia" w:hAnsiTheme="minorEastAsia" w:eastAsiaTheme="minorEastAsia" w:cstheme="minorEastAsia"/>
          <w:b w:val="0"/>
          <w:bCs w:val="0"/>
          <w:color w:val="000000" w:themeColor="text1"/>
          <w:sz w:val="28"/>
          <w:szCs w:val="28"/>
          <w:highlight w:val="none"/>
          <w:lang w:eastAsia="zh-CN"/>
          <w14:textFill>
            <w14:solidFill>
              <w14:schemeClr w14:val="tx1"/>
            </w14:solidFill>
          </w14:textFill>
        </w:rPr>
        <w:t>约定应</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由乙方承担的其他义务和责任。</w:t>
      </w:r>
    </w:p>
    <w:p w14:paraId="03BA4DA2">
      <w:pPr>
        <w:pageBreakBefore w:val="0"/>
        <w:numPr>
          <w:ilvl w:val="0"/>
          <w:numId w:val="8"/>
        </w:numPr>
        <w:kinsoku/>
        <w:wordWrap/>
        <w:overflowPunct/>
        <w:topLinePunct w:val="0"/>
        <w:autoSpaceDE w:val="0"/>
        <w:autoSpaceDN w:val="0"/>
        <w:bidi w:val="0"/>
        <w:adjustRightInd w:val="0"/>
        <w:snapToGrid w:val="0"/>
        <w:spacing w:before="0" w:afterAutospacing="0" w:line="560" w:lineRule="exact"/>
        <w:jc w:val="left"/>
        <w:textAlignment w:val="auto"/>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合同履</w:t>
      </w: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行</w:t>
      </w:r>
    </w:p>
    <w:p w14:paraId="2459B5B2">
      <w:pPr>
        <w:pageBreakBefore w:val="0"/>
        <w:kinsoku/>
        <w:wordWrap/>
        <w:overflowPunct/>
        <w:topLinePunct w:val="0"/>
        <w:autoSpaceDE w:val="0"/>
        <w:autoSpaceDN w:val="0"/>
        <w:bidi w:val="0"/>
        <w:adjustRightInd w:val="0"/>
        <w:snapToGrid w:val="0"/>
        <w:spacing w:before="0" w:afterAutospacing="0" w:line="560" w:lineRule="exact"/>
        <w:ind w:firstLine="560" w:firstLineChars="200"/>
        <w:jc w:val="lef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6</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.1 甲乙双方应当按照</w:t>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【合同专用条款】</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约定顺序履行合同义务；如果没有先后顺序的，应当同时履行。</w:t>
      </w:r>
    </w:p>
    <w:p w14:paraId="6852551D">
      <w:pPr>
        <w:pageBreakBefore w:val="0"/>
        <w:kinsoku/>
        <w:wordWrap/>
        <w:overflowPunct/>
        <w:topLinePunct w:val="0"/>
        <w:autoSpaceDE w:val="0"/>
        <w:autoSpaceDN w:val="0"/>
        <w:bidi w:val="0"/>
        <w:adjustRightInd w:val="0"/>
        <w:snapToGrid w:val="0"/>
        <w:spacing w:before="0" w:afterAutospacing="0" w:line="560" w:lineRule="exact"/>
        <w:ind w:firstLine="560" w:firstLineChars="200"/>
        <w:jc w:val="lef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6</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.2 甲乙双方按照合同约定顺序履行合同义务时，应当先履行一方未履行的，后履行一方有权拒绝其履行请求。先履行一方履行不符合约定的，后履行一方有权拒绝其相应的履行请求。</w:t>
      </w:r>
    </w:p>
    <w:p w14:paraId="795F6657">
      <w:pPr>
        <w:pageBreakBefore w:val="0"/>
        <w:kinsoku/>
        <w:wordWrap/>
        <w:overflowPunct/>
        <w:topLinePunct w:val="0"/>
        <w:bidi w:val="0"/>
        <w:adjustRightInd w:val="0"/>
        <w:snapToGrid w:val="0"/>
        <w:spacing w:before="0" w:afterAutospacing="0" w:line="560" w:lineRule="exact"/>
        <w:jc w:val="left"/>
        <w:textAlignment w:val="auto"/>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eastAsia="zh-CN"/>
          <w14:textFill>
            <w14:solidFill>
              <w14:schemeClr w14:val="tx1"/>
            </w14:solidFill>
          </w14:textFill>
        </w:rPr>
        <w:t>7</w:t>
      </w: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货物包装、运输</w:t>
      </w:r>
      <w:r>
        <w:rPr>
          <w:rFonts w:hint="eastAsia" w:asciiTheme="minorEastAsia" w:hAnsiTheme="minorEastAsia" w:eastAsiaTheme="minorEastAsia" w:cstheme="minorEastAsia"/>
          <w:b/>
          <w:bCs/>
          <w:color w:val="000000" w:themeColor="text1"/>
          <w:sz w:val="28"/>
          <w:szCs w:val="28"/>
          <w:highlight w:val="none"/>
          <w:lang w:eastAsia="zh-CN"/>
          <w14:textFill>
            <w14:solidFill>
              <w14:schemeClr w14:val="tx1"/>
            </w14:solidFill>
          </w14:textFill>
        </w:rPr>
        <w:t>、</w:t>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保险</w:t>
      </w:r>
      <w:r>
        <w:rPr>
          <w:rFonts w:hint="eastAsia" w:asciiTheme="minorEastAsia" w:hAnsiTheme="minorEastAsia" w:eastAsiaTheme="minorEastAsia" w:cstheme="minorEastAsia"/>
          <w:b/>
          <w:bCs/>
          <w:color w:val="000000" w:themeColor="text1"/>
          <w:sz w:val="28"/>
          <w:szCs w:val="28"/>
          <w:highlight w:val="none"/>
          <w:lang w:eastAsia="zh-CN"/>
          <w14:textFill>
            <w14:solidFill>
              <w14:schemeClr w14:val="tx1"/>
            </w14:solidFill>
          </w14:textFill>
        </w:rPr>
        <w:t>和交付</w:t>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要求</w:t>
      </w:r>
    </w:p>
    <w:p w14:paraId="1AF90EE6">
      <w:pPr>
        <w:pageBreakBefore w:val="0"/>
        <w:kinsoku/>
        <w:wordWrap/>
        <w:overflowPunct/>
        <w:topLinePunct w:val="0"/>
        <w:autoSpaceDE w:val="0"/>
        <w:autoSpaceDN w:val="0"/>
        <w:bidi w:val="0"/>
        <w:adjustRightInd w:val="0"/>
        <w:snapToGrid w:val="0"/>
        <w:spacing w:before="0" w:afterAutospacing="0" w:line="560" w:lineRule="exact"/>
        <w:ind w:firstLine="560" w:firstLineChars="200"/>
        <w:jc w:val="lef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7</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.1 本合同</w:t>
      </w: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涉及商品包装</w:t>
      </w:r>
      <w:r>
        <w:rPr>
          <w:rFonts w:hint="eastAsia" w:asciiTheme="minorEastAsia" w:hAnsiTheme="minorEastAsia" w:eastAsiaTheme="minorEastAsia" w:cstheme="minorEastAsia"/>
          <w:bCs/>
          <w:color w:val="000000" w:themeColor="text1"/>
          <w:sz w:val="28"/>
          <w:szCs w:val="28"/>
          <w:highlight w:val="none"/>
          <w:lang w:eastAsia="zh-CN"/>
          <w14:textFill>
            <w14:solidFill>
              <w14:schemeClr w14:val="tx1"/>
            </w14:solidFill>
          </w14:textFill>
        </w:rPr>
        <w:t>、</w:t>
      </w: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快递包装的，</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除</w:t>
      </w: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【合同专用条款】</w:t>
      </w: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另有</w:t>
      </w:r>
      <w:r>
        <w:rPr>
          <w:rFonts w:hint="eastAsia" w:asciiTheme="minorEastAsia" w:hAnsiTheme="minorEastAsia" w:eastAsiaTheme="minorEastAsia" w:cstheme="minorEastAsia"/>
          <w:bCs/>
          <w:color w:val="000000" w:themeColor="text1"/>
          <w:sz w:val="28"/>
          <w:szCs w:val="28"/>
          <w:highlight w:val="none"/>
          <w:lang w:eastAsia="zh-CN"/>
          <w14:textFill>
            <w14:solidFill>
              <w14:schemeClr w14:val="tx1"/>
            </w14:solidFill>
          </w14:textFill>
        </w:rPr>
        <w:t>约</w:t>
      </w: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定</w:t>
      </w:r>
      <w:r>
        <w:rPr>
          <w:rFonts w:hint="eastAsia" w:asciiTheme="minorEastAsia" w:hAnsiTheme="minorEastAsia" w:eastAsiaTheme="minorEastAsia" w:cstheme="minorEastAsia"/>
          <w:bCs/>
          <w:color w:val="000000" w:themeColor="text1"/>
          <w:sz w:val="28"/>
          <w:szCs w:val="28"/>
          <w:highlight w:val="none"/>
          <w:lang w:eastAsia="zh-CN"/>
          <w14:textFill>
            <w14:solidFill>
              <w14:schemeClr w14:val="tx1"/>
            </w14:solidFill>
          </w14:textFill>
        </w:rPr>
        <w:t>外</w:t>
      </w: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包装应适应远距离运输、防潮、防震、防锈和防野蛮装卸等要求，确保货物安全无损地运抵</w:t>
      </w: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【合同专用条款】</w:t>
      </w:r>
      <w:r>
        <w:rPr>
          <w:rFonts w:hint="eastAsia" w:asciiTheme="minorEastAsia" w:hAnsiTheme="minorEastAsia" w:eastAsiaTheme="minorEastAsia" w:cstheme="minorEastAsia"/>
          <w:b w:val="0"/>
          <w:bCs/>
          <w:color w:val="000000" w:themeColor="text1"/>
          <w:sz w:val="28"/>
          <w:szCs w:val="28"/>
          <w:highlight w:val="none"/>
          <w:lang w:eastAsia="zh-CN"/>
          <w14:textFill>
            <w14:solidFill>
              <w14:schemeClr w14:val="tx1"/>
            </w14:solidFill>
          </w14:textFill>
        </w:rPr>
        <w:t>约定的</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指定现场。</w:t>
      </w:r>
    </w:p>
    <w:p w14:paraId="4FC0C2E9">
      <w:pPr>
        <w:pageBreakBefore w:val="0"/>
        <w:kinsoku/>
        <w:wordWrap/>
        <w:overflowPunct/>
        <w:topLinePunct w:val="0"/>
        <w:bidi w:val="0"/>
        <w:adjustRightInd w:val="0"/>
        <w:snapToGrid w:val="0"/>
        <w:spacing w:before="0" w:afterAutospacing="0" w:line="560" w:lineRule="exact"/>
        <w:ind w:firstLine="560" w:firstLineChars="200"/>
        <w:jc w:val="lef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7</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.2 除</w:t>
      </w: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【合同专用条款】</w:t>
      </w: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另有</w:t>
      </w:r>
      <w:r>
        <w:rPr>
          <w:rFonts w:hint="eastAsia" w:asciiTheme="minorEastAsia" w:hAnsiTheme="minorEastAsia" w:eastAsiaTheme="minorEastAsia" w:cstheme="minorEastAsia"/>
          <w:bCs/>
          <w:color w:val="000000" w:themeColor="text1"/>
          <w:sz w:val="28"/>
          <w:szCs w:val="28"/>
          <w:highlight w:val="none"/>
          <w:lang w:eastAsia="zh-CN"/>
          <w14:textFill>
            <w14:solidFill>
              <w14:schemeClr w14:val="tx1"/>
            </w14:solidFill>
          </w14:textFill>
        </w:rPr>
        <w:t>约</w:t>
      </w: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定</w:t>
      </w:r>
      <w:r>
        <w:rPr>
          <w:rFonts w:hint="eastAsia" w:asciiTheme="minorEastAsia" w:hAnsiTheme="minorEastAsia" w:eastAsiaTheme="minorEastAsia" w:cstheme="minorEastAsia"/>
          <w:bCs/>
          <w:color w:val="000000" w:themeColor="text1"/>
          <w:sz w:val="28"/>
          <w:szCs w:val="28"/>
          <w:highlight w:val="none"/>
          <w:lang w:eastAsia="zh-CN"/>
          <w14:textFill>
            <w14:solidFill>
              <w14:schemeClr w14:val="tx1"/>
            </w14:solidFill>
          </w14:textFill>
        </w:rPr>
        <w:t>外</w:t>
      </w: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乙方负责办理将货物运抵本合同规定的交货地点</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，并装卸、交付至甲方</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的一切运输事项，相关费用应</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包含</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在合同</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价款</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中。</w:t>
      </w:r>
    </w:p>
    <w:p w14:paraId="006FC141">
      <w:pPr>
        <w:pageBreakBefore w:val="0"/>
        <w:kinsoku/>
        <w:wordWrap/>
        <w:overflowPunct/>
        <w:topLinePunct w:val="0"/>
        <w:bidi w:val="0"/>
        <w:adjustRightInd w:val="0"/>
        <w:snapToGrid w:val="0"/>
        <w:spacing w:before="0" w:afterAutospacing="0" w:line="560" w:lineRule="exact"/>
        <w:ind w:firstLine="560" w:firstLineChars="200"/>
        <w:jc w:val="lef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7</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.3 货物保险要求按</w:t>
      </w: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【合同专用条款】</w:t>
      </w: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规定执行</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w:t>
      </w:r>
    </w:p>
    <w:p w14:paraId="0C649A52">
      <w:pPr>
        <w:pageBreakBefore w:val="0"/>
        <w:kinsoku/>
        <w:wordWrap/>
        <w:overflowPunct/>
        <w:topLinePunct w:val="0"/>
        <w:autoSpaceDE w:val="0"/>
        <w:autoSpaceDN w:val="0"/>
        <w:bidi w:val="0"/>
        <w:adjustRightInd w:val="0"/>
        <w:snapToGrid w:val="0"/>
        <w:spacing w:before="0" w:afterAutospacing="0" w:line="560" w:lineRule="exact"/>
        <w:ind w:firstLine="560" w:firstLineChars="200"/>
        <w:jc w:val="lef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7</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 xml:space="preserve">.4 </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除采购活动</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对商品包装</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快递包装</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达成具体约定外</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，乙方提供产品及相关快递服务</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涉及到</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具体包装要求</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的，</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应</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不低于</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《商品包装政府采购需求标准（试行）</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快递包装政府采购需求标准（试行）》</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标准</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，并作为履约验收的内容，必要时甲方可以要求乙方在履约验收环节出具检测报告。</w:t>
      </w:r>
    </w:p>
    <w:p w14:paraId="1D8DA793">
      <w:pPr>
        <w:pageBreakBefore w:val="0"/>
        <w:kinsoku/>
        <w:wordWrap/>
        <w:overflowPunct/>
        <w:topLinePunct w:val="0"/>
        <w:autoSpaceDE w:val="0"/>
        <w:autoSpaceDN w:val="0"/>
        <w:bidi w:val="0"/>
        <w:adjustRightInd w:val="0"/>
        <w:snapToGrid w:val="0"/>
        <w:spacing w:before="0" w:afterAutospacing="0" w:line="560" w:lineRule="exact"/>
        <w:ind w:firstLine="560" w:firstLineChars="200"/>
        <w:jc w:val="lef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 xml:space="preserve">7.5 </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乙方在运输到达之前</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应</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提前通知</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甲方</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，并提示货物运输装卸的注意事项</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，甲方配合乙方做好货物的接收工作。</w:t>
      </w:r>
    </w:p>
    <w:p w14:paraId="167F43C5">
      <w:pPr>
        <w:pStyle w:val="171"/>
        <w:pageBreakBefore w:val="0"/>
        <w:kinsoku/>
        <w:wordWrap/>
        <w:overflowPunct/>
        <w:topLinePunct w:val="0"/>
        <w:bidi w:val="0"/>
        <w:spacing w:afterAutospacing="0" w:line="560" w:lineRule="exact"/>
        <w:textAlignment w:val="auto"/>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8"/>
          <w:szCs w:val="28"/>
          <w:highlight w:val="none"/>
          <w:lang w:val="en-US" w:eastAsia="zh-CN"/>
          <w14:textFill>
            <w14:solidFill>
              <w14:schemeClr w14:val="tx1"/>
            </w14:solidFill>
          </w14:textFill>
        </w:rPr>
        <w:t xml:space="preserve">7.6 </w:t>
      </w:r>
      <w:r>
        <w:rPr>
          <w:rFonts w:hint="eastAsia" w:asciiTheme="minorEastAsia" w:hAnsiTheme="minorEastAsia" w:eastAsiaTheme="minorEastAsia" w:cstheme="minorEastAsia"/>
          <w:color w:val="000000" w:themeColor="text1"/>
          <w:kern w:val="2"/>
          <w:sz w:val="28"/>
          <w:szCs w:val="28"/>
          <w:highlight w:val="none"/>
          <w14:textFill>
            <w14:solidFill>
              <w14:schemeClr w14:val="tx1"/>
            </w14:solidFill>
          </w14:textFill>
        </w:rPr>
        <w:t>如因包装</w:t>
      </w:r>
      <w:r>
        <w:rPr>
          <w:rFonts w:hint="eastAsia" w:asciiTheme="minorEastAsia" w:hAnsiTheme="minorEastAsia" w:eastAsiaTheme="minorEastAsia" w:cstheme="minorEastAsia"/>
          <w:color w:val="000000" w:themeColor="text1"/>
          <w:kern w:val="2"/>
          <w:sz w:val="28"/>
          <w:szCs w:val="28"/>
          <w:highlight w:val="none"/>
          <w:lang w:eastAsia="zh-CN"/>
          <w14:textFill>
            <w14:solidFill>
              <w14:schemeClr w14:val="tx1"/>
            </w14:solidFill>
          </w14:textFill>
        </w:rPr>
        <w:t>、运输</w:t>
      </w:r>
      <w:r>
        <w:rPr>
          <w:rFonts w:hint="eastAsia" w:asciiTheme="minorEastAsia" w:hAnsiTheme="minorEastAsia" w:eastAsiaTheme="minorEastAsia" w:cstheme="minorEastAsia"/>
          <w:color w:val="000000" w:themeColor="text1"/>
          <w:kern w:val="2"/>
          <w:sz w:val="28"/>
          <w:szCs w:val="28"/>
          <w:highlight w:val="none"/>
          <w14:textFill>
            <w14:solidFill>
              <w14:schemeClr w14:val="tx1"/>
            </w14:solidFill>
          </w14:textFill>
        </w:rPr>
        <w:t>问题导致货物</w:t>
      </w:r>
      <w:r>
        <w:rPr>
          <w:rFonts w:hint="eastAsia" w:asciiTheme="minorEastAsia" w:hAnsiTheme="minorEastAsia" w:eastAsiaTheme="minorEastAsia" w:cstheme="minorEastAsia"/>
          <w:color w:val="000000" w:themeColor="text1"/>
          <w:kern w:val="2"/>
          <w:sz w:val="28"/>
          <w:szCs w:val="28"/>
          <w:highlight w:val="none"/>
          <w:lang w:eastAsia="zh-CN"/>
          <w14:textFill>
            <w14:solidFill>
              <w14:schemeClr w14:val="tx1"/>
            </w14:solidFill>
          </w14:textFill>
        </w:rPr>
        <w:t>损毁、丢失</w:t>
      </w:r>
      <w:r>
        <w:rPr>
          <w:rFonts w:hint="eastAsia" w:asciiTheme="minorEastAsia" w:hAnsiTheme="minorEastAsia" w:eastAsiaTheme="minorEastAsia" w:cstheme="minorEastAsia"/>
          <w:color w:val="000000" w:themeColor="text1"/>
          <w:kern w:val="2"/>
          <w:sz w:val="28"/>
          <w:szCs w:val="28"/>
          <w:highlight w:val="none"/>
          <w14:textFill>
            <w14:solidFill>
              <w14:schemeClr w14:val="tx1"/>
            </w14:solidFill>
          </w14:textFill>
        </w:rPr>
        <w:t>或者品质下降，</w:t>
      </w:r>
      <w:r>
        <w:rPr>
          <w:rFonts w:hint="eastAsia" w:asciiTheme="minorEastAsia" w:hAnsiTheme="minorEastAsia" w:eastAsiaTheme="minorEastAsia" w:cstheme="minorEastAsia"/>
          <w:color w:val="000000" w:themeColor="text1"/>
          <w:kern w:val="2"/>
          <w:sz w:val="28"/>
          <w:szCs w:val="28"/>
          <w:highlight w:val="none"/>
          <w:lang w:eastAsia="zh-CN"/>
          <w14:textFill>
            <w14:solidFill>
              <w14:schemeClr w14:val="tx1"/>
            </w14:solidFill>
          </w14:textFill>
        </w:rPr>
        <w:t>甲方</w:t>
      </w:r>
      <w:r>
        <w:rPr>
          <w:rFonts w:hint="eastAsia" w:asciiTheme="minorEastAsia" w:hAnsiTheme="minorEastAsia" w:eastAsiaTheme="minorEastAsia" w:cstheme="minorEastAsia"/>
          <w:color w:val="000000" w:themeColor="text1"/>
          <w:kern w:val="2"/>
          <w:sz w:val="28"/>
          <w:szCs w:val="28"/>
          <w:highlight w:val="none"/>
          <w14:textFill>
            <w14:solidFill>
              <w14:schemeClr w14:val="tx1"/>
            </w14:solidFill>
          </w14:textFill>
        </w:rPr>
        <w:t>有权要求降价、换货、拒收部分或整批货物，由此</w:t>
      </w:r>
      <w:r>
        <w:rPr>
          <w:rFonts w:hint="eastAsia" w:asciiTheme="minorEastAsia" w:hAnsiTheme="minorEastAsia" w:eastAsiaTheme="minorEastAsia" w:cstheme="minorEastAsia"/>
          <w:color w:val="000000" w:themeColor="text1"/>
          <w:kern w:val="2"/>
          <w:sz w:val="28"/>
          <w:szCs w:val="28"/>
          <w:highlight w:val="none"/>
          <w:lang w:eastAsia="zh-CN"/>
          <w14:textFill>
            <w14:solidFill>
              <w14:schemeClr w14:val="tx1"/>
            </w14:solidFill>
          </w14:textFill>
        </w:rPr>
        <w:t>产生</w:t>
      </w:r>
      <w:r>
        <w:rPr>
          <w:rFonts w:hint="eastAsia" w:asciiTheme="minorEastAsia" w:hAnsiTheme="minorEastAsia" w:eastAsiaTheme="minorEastAsia" w:cstheme="minorEastAsia"/>
          <w:color w:val="000000" w:themeColor="text1"/>
          <w:kern w:val="2"/>
          <w:sz w:val="28"/>
          <w:szCs w:val="28"/>
          <w:highlight w:val="none"/>
          <w14:textFill>
            <w14:solidFill>
              <w14:schemeClr w14:val="tx1"/>
            </w14:solidFill>
          </w14:textFill>
        </w:rPr>
        <w:t>的费用和损失，均由</w:t>
      </w:r>
      <w:r>
        <w:rPr>
          <w:rFonts w:hint="eastAsia" w:asciiTheme="minorEastAsia" w:hAnsiTheme="minorEastAsia" w:eastAsiaTheme="minorEastAsia" w:cstheme="minorEastAsia"/>
          <w:color w:val="000000" w:themeColor="text1"/>
          <w:kern w:val="2"/>
          <w:sz w:val="28"/>
          <w:szCs w:val="28"/>
          <w:highlight w:val="none"/>
          <w:lang w:eastAsia="zh-CN"/>
          <w14:textFill>
            <w14:solidFill>
              <w14:schemeClr w14:val="tx1"/>
            </w14:solidFill>
          </w14:textFill>
        </w:rPr>
        <w:t>乙方</w:t>
      </w:r>
      <w:r>
        <w:rPr>
          <w:rFonts w:hint="eastAsia" w:asciiTheme="minorEastAsia" w:hAnsiTheme="minorEastAsia" w:eastAsiaTheme="minorEastAsia" w:cstheme="minorEastAsia"/>
          <w:color w:val="000000" w:themeColor="text1"/>
          <w:kern w:val="2"/>
          <w:sz w:val="28"/>
          <w:szCs w:val="28"/>
          <w:highlight w:val="none"/>
          <w14:textFill>
            <w14:solidFill>
              <w14:schemeClr w14:val="tx1"/>
            </w14:solidFill>
          </w14:textFill>
        </w:rPr>
        <w:t>承担。</w:t>
      </w:r>
    </w:p>
    <w:p w14:paraId="15242132">
      <w:pPr>
        <w:pageBreakBefore w:val="0"/>
        <w:kinsoku/>
        <w:wordWrap/>
        <w:overflowPunct/>
        <w:topLinePunct w:val="0"/>
        <w:bidi w:val="0"/>
        <w:adjustRightInd w:val="0"/>
        <w:snapToGrid w:val="0"/>
        <w:spacing w:before="0" w:afterAutospacing="0" w:line="560" w:lineRule="exact"/>
        <w:jc w:val="left"/>
        <w:textAlignment w:val="auto"/>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lang w:eastAsia="zh-CN"/>
          <w14:textFill>
            <w14:solidFill>
              <w14:schemeClr w14:val="tx1"/>
            </w14:solidFill>
          </w14:textFill>
        </w:rPr>
        <w:t>8</w:t>
      </w:r>
      <w:r>
        <w:rPr>
          <w:rFonts w:hint="eastAsia" w:asciiTheme="minorEastAsia" w:hAnsiTheme="minorEastAsia" w:eastAsiaTheme="minorEastAsia" w:cstheme="minorEastAsia"/>
          <w:b/>
          <w:color w:val="000000" w:themeColor="text1"/>
          <w:sz w:val="28"/>
          <w:szCs w:val="28"/>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质量标准和保证</w:t>
      </w:r>
    </w:p>
    <w:p w14:paraId="09D7DC00">
      <w:pPr>
        <w:pStyle w:val="17"/>
        <w:pageBreakBefore w:val="0"/>
        <w:kinsoku/>
        <w:wordWrap/>
        <w:overflowPunct/>
        <w:topLinePunct w:val="0"/>
        <w:bidi w:val="0"/>
        <w:adjustRightInd w:val="0"/>
        <w:snapToGrid w:val="0"/>
        <w:spacing w:before="0" w:afterAutospacing="0" w:line="560" w:lineRule="exact"/>
        <w:ind w:firstLine="562" w:firstLineChars="200"/>
        <w:jc w:val="left"/>
        <w:textAlignment w:val="auto"/>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8</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.1 质量标准</w:t>
      </w:r>
    </w:p>
    <w:p w14:paraId="5B3D11D7">
      <w:pPr>
        <w:pageBreakBefore w:val="0"/>
        <w:kinsoku/>
        <w:wordWrap/>
        <w:overflowPunct/>
        <w:topLinePunct w:val="0"/>
        <w:autoSpaceDE w:val="0"/>
        <w:autoSpaceDN w:val="0"/>
        <w:bidi w:val="0"/>
        <w:adjustRightInd w:val="0"/>
        <w:snapToGrid w:val="0"/>
        <w:spacing w:before="0" w:afterAutospacing="0" w:line="560" w:lineRule="exact"/>
        <w:ind w:firstLine="560" w:firstLineChars="200"/>
        <w:jc w:val="lef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（1）本合同下</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提供</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的货物应符合</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合同约</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定的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w:t>
      </w:r>
    </w:p>
    <w:p w14:paraId="2EEB170F">
      <w:pPr>
        <w:pStyle w:val="17"/>
        <w:pageBreakBefore w:val="0"/>
        <w:kinsoku/>
        <w:wordWrap/>
        <w:overflowPunct/>
        <w:topLinePunct w:val="0"/>
        <w:bidi w:val="0"/>
        <w:adjustRightInd w:val="0"/>
        <w:snapToGrid w:val="0"/>
        <w:spacing w:before="0" w:afterAutospacing="0" w:line="560" w:lineRule="exact"/>
        <w:ind w:firstLine="562" w:firstLineChars="200"/>
        <w:jc w:val="lef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（2）采用中华人民共和国法定计量单位。</w:t>
      </w:r>
    </w:p>
    <w:p w14:paraId="71940B91">
      <w:pPr>
        <w:pageBreakBefore w:val="0"/>
        <w:kinsoku/>
        <w:wordWrap/>
        <w:overflowPunct/>
        <w:topLinePunct w:val="0"/>
        <w:autoSpaceDE w:val="0"/>
        <w:autoSpaceDN w:val="0"/>
        <w:bidi w:val="0"/>
        <w:adjustRightInd w:val="0"/>
        <w:snapToGrid w:val="0"/>
        <w:spacing w:before="0" w:afterAutospacing="0" w:line="560" w:lineRule="exact"/>
        <w:ind w:firstLine="560" w:firstLineChars="200"/>
        <w:jc w:val="lef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（3）乙方所</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提供</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的货物应符合国家有关安全、环保、卫生</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的</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规定。</w:t>
      </w:r>
    </w:p>
    <w:p w14:paraId="6C4F0896">
      <w:pPr>
        <w:pageBreakBefore w:val="0"/>
        <w:kinsoku/>
        <w:wordWrap/>
        <w:overflowPunct/>
        <w:topLinePunct w:val="0"/>
        <w:autoSpaceDE w:val="0"/>
        <w:autoSpaceDN w:val="0"/>
        <w:bidi w:val="0"/>
        <w:adjustRightInd w:val="0"/>
        <w:snapToGrid w:val="0"/>
        <w:spacing w:before="0" w:afterAutospacing="0" w:line="560" w:lineRule="exact"/>
        <w:ind w:firstLine="560" w:firstLineChars="200"/>
        <w:jc w:val="lef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（4）乙方应向甲方提交所</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提供</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货物的技术文件，包括相应的中文技术文件，如：产品目录、图纸、操作手册、使用说明、维护手册或服务指南</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等</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上述</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文件应包装好随货物一同发运。</w:t>
      </w:r>
    </w:p>
    <w:p w14:paraId="35415C7B">
      <w:pPr>
        <w:pageBreakBefore w:val="0"/>
        <w:kinsoku/>
        <w:wordWrap/>
        <w:overflowPunct/>
        <w:topLinePunct w:val="0"/>
        <w:autoSpaceDE w:val="0"/>
        <w:autoSpaceDN w:val="0"/>
        <w:bidi w:val="0"/>
        <w:adjustRightInd w:val="0"/>
        <w:snapToGrid w:val="0"/>
        <w:spacing w:before="0" w:afterAutospacing="0" w:line="560" w:lineRule="exact"/>
        <w:ind w:firstLine="560" w:firstLineChars="200"/>
        <w:jc w:val="lef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8</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.2 保证</w:t>
      </w:r>
    </w:p>
    <w:p w14:paraId="7408BBAC">
      <w:pPr>
        <w:pageBreakBefore w:val="0"/>
        <w:kinsoku/>
        <w:wordWrap/>
        <w:overflowPunct/>
        <w:topLinePunct w:val="0"/>
        <w:autoSpaceDE w:val="0"/>
        <w:autoSpaceDN w:val="0"/>
        <w:bidi w:val="0"/>
        <w:adjustRightInd w:val="0"/>
        <w:snapToGrid w:val="0"/>
        <w:spacing w:before="0" w:afterAutospacing="0" w:line="560" w:lineRule="exact"/>
        <w:ind w:firstLine="560" w:firstLineChars="200"/>
        <w:jc w:val="lef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（1）乙方应保证</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提供的货物</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完全符合合同规定的质量、规格和性能要求。乙方应保证货物在正确安装、正常使用和保养条件下，在其使用寿命期内具</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备合同约定</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的性能。</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存在</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质量保证期的，货物最终交付验收</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合格</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后</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在</w:t>
      </w: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【合同专用条款】</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规定或乙方</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书面</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承诺（两者以较长的为准）的质量保证期内，本保证保持有效。</w:t>
      </w:r>
    </w:p>
    <w:p w14:paraId="5C1EEEEB">
      <w:pPr>
        <w:pageBreakBefore w:val="0"/>
        <w:kinsoku/>
        <w:wordWrap/>
        <w:overflowPunct/>
        <w:topLinePunct w:val="0"/>
        <w:autoSpaceDE w:val="0"/>
        <w:autoSpaceDN w:val="0"/>
        <w:bidi w:val="0"/>
        <w:adjustRightInd w:val="0"/>
        <w:snapToGrid w:val="0"/>
        <w:spacing w:before="0" w:afterAutospacing="0" w:line="560" w:lineRule="exact"/>
        <w:ind w:firstLine="560" w:firstLineChars="200"/>
        <w:jc w:val="lef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（2）在质量保证期内所发现的缺陷，甲方应尽快以书面形式通知乙方。</w:t>
      </w:r>
    </w:p>
    <w:p w14:paraId="5134B118">
      <w:pPr>
        <w:pageBreakBefore w:val="0"/>
        <w:kinsoku/>
        <w:wordWrap/>
        <w:overflowPunct/>
        <w:topLinePunct w:val="0"/>
        <w:autoSpaceDE w:val="0"/>
        <w:autoSpaceDN w:val="0"/>
        <w:bidi w:val="0"/>
        <w:adjustRightInd w:val="0"/>
        <w:snapToGrid w:val="0"/>
        <w:spacing w:before="0" w:afterAutospacing="0" w:line="560" w:lineRule="exact"/>
        <w:ind w:firstLine="560" w:firstLineChars="200"/>
        <w:jc w:val="lef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（3）乙方收到通知后</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应在</w:t>
      </w: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【合同专用条款】</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规定的响应时间内以合理的速度免费维修或更换有缺陷的货物或部件。</w:t>
      </w:r>
    </w:p>
    <w:p w14:paraId="6C0FC1CD">
      <w:pPr>
        <w:pageBreakBefore w:val="0"/>
        <w:kinsoku/>
        <w:wordWrap/>
        <w:overflowPunct/>
        <w:topLinePunct w:val="0"/>
        <w:autoSpaceDE w:val="0"/>
        <w:autoSpaceDN w:val="0"/>
        <w:bidi w:val="0"/>
        <w:adjustRightInd w:val="0"/>
        <w:snapToGrid w:val="0"/>
        <w:spacing w:before="0" w:afterAutospacing="0" w:line="560" w:lineRule="exact"/>
        <w:ind w:firstLine="560" w:firstLineChars="200"/>
        <w:jc w:val="lef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（4）在质量保证期内，如果货物的质量或规格与合同不符，或证实货物是有缺陷的，包括潜在的缺陷或使用不符合要求的材料等，甲方可以根据本合同第1</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.1条规定以书面形式</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追究</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乙方</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的违约责任</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w:t>
      </w:r>
    </w:p>
    <w:p w14:paraId="10879B63">
      <w:pPr>
        <w:pageBreakBefore w:val="0"/>
        <w:kinsoku/>
        <w:wordWrap/>
        <w:overflowPunct/>
        <w:topLinePunct w:val="0"/>
        <w:bidi w:val="0"/>
        <w:adjustRightInd w:val="0"/>
        <w:snapToGrid w:val="0"/>
        <w:spacing w:before="0" w:afterAutospacing="0" w:line="560" w:lineRule="exact"/>
        <w:ind w:firstLine="560" w:firstLineChars="200"/>
        <w:jc w:val="lef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（5）乙方在约定的时间内未能弥补缺陷，甲方可采取必要的补救措施，但其风险和费用将由乙方承担，甲方根据合同</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约定</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对乙方行使的其他权利不受影响。</w:t>
      </w:r>
    </w:p>
    <w:p w14:paraId="52DA3954">
      <w:pPr>
        <w:pageBreakBefore w:val="0"/>
        <w:kinsoku/>
        <w:wordWrap/>
        <w:overflowPunct/>
        <w:topLinePunct w:val="0"/>
        <w:bidi w:val="0"/>
        <w:adjustRightInd w:val="0"/>
        <w:snapToGrid w:val="0"/>
        <w:spacing w:before="0" w:afterAutospacing="0" w:line="560" w:lineRule="exact"/>
        <w:jc w:val="left"/>
        <w:textAlignment w:val="auto"/>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eastAsia="zh-CN"/>
          <w14:textFill>
            <w14:solidFill>
              <w14:schemeClr w14:val="tx1"/>
            </w14:solidFill>
          </w14:textFill>
        </w:rPr>
        <w:t>9</w:t>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w:t>
      </w: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权利瑕疵担保</w:t>
      </w:r>
    </w:p>
    <w:p w14:paraId="511F9437">
      <w:pPr>
        <w:pageBreakBefore w:val="0"/>
        <w:kinsoku/>
        <w:wordWrap/>
        <w:overflowPunct/>
        <w:topLinePunct w:val="0"/>
        <w:autoSpaceDE w:val="0"/>
        <w:autoSpaceDN w:val="0"/>
        <w:bidi w:val="0"/>
        <w:adjustRightInd w:val="0"/>
        <w:snapToGrid w:val="0"/>
        <w:spacing w:before="0" w:afterAutospacing="0" w:line="560" w:lineRule="exact"/>
        <w:ind w:firstLine="560" w:firstLineChars="200"/>
        <w:jc w:val="lef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9</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.1 乙方保证对其出售的货物享有合法的权利。</w:t>
      </w:r>
    </w:p>
    <w:p w14:paraId="64C9B82D">
      <w:pPr>
        <w:pageBreakBefore w:val="0"/>
        <w:kinsoku/>
        <w:wordWrap/>
        <w:overflowPunct/>
        <w:topLinePunct w:val="0"/>
        <w:autoSpaceDE w:val="0"/>
        <w:autoSpaceDN w:val="0"/>
        <w:bidi w:val="0"/>
        <w:adjustRightInd w:val="0"/>
        <w:snapToGrid w:val="0"/>
        <w:spacing w:before="0" w:afterAutospacing="0" w:line="560" w:lineRule="exact"/>
        <w:ind w:firstLine="560" w:firstLineChars="200"/>
        <w:jc w:val="lef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9</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.2 乙方保证在交付的货物上不存在抵押权等担保物权。</w:t>
      </w:r>
    </w:p>
    <w:p w14:paraId="4CB7DE16">
      <w:pPr>
        <w:pageBreakBefore w:val="0"/>
        <w:kinsoku/>
        <w:wordWrap/>
        <w:overflowPunct/>
        <w:topLinePunct w:val="0"/>
        <w:autoSpaceDE w:val="0"/>
        <w:autoSpaceDN w:val="0"/>
        <w:bidi w:val="0"/>
        <w:adjustRightInd w:val="0"/>
        <w:snapToGrid w:val="0"/>
        <w:spacing w:before="0" w:afterAutospacing="0" w:line="560" w:lineRule="exact"/>
        <w:ind w:firstLine="560" w:firstLineChars="200"/>
        <w:jc w:val="lef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9</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.3 如甲方使用</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上述</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货物构成</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对第三人</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侵权的，则由乙方承担全部责任。</w:t>
      </w:r>
    </w:p>
    <w:p w14:paraId="4B030D1D">
      <w:pPr>
        <w:pageBreakBefore w:val="0"/>
        <w:kinsoku/>
        <w:wordWrap/>
        <w:overflowPunct/>
        <w:topLinePunct w:val="0"/>
        <w:autoSpaceDE w:val="0"/>
        <w:autoSpaceDN w:val="0"/>
        <w:bidi w:val="0"/>
        <w:adjustRightInd w:val="0"/>
        <w:snapToGrid w:val="0"/>
        <w:spacing w:before="0" w:afterAutospacing="0" w:line="560" w:lineRule="exact"/>
        <w:jc w:val="left"/>
        <w:textAlignment w:val="auto"/>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1</w:t>
      </w:r>
      <w:r>
        <w:rPr>
          <w:rFonts w:hint="eastAsia" w:asciiTheme="minorEastAsia" w:hAnsiTheme="minorEastAsia" w:eastAsiaTheme="minorEastAsia" w:cstheme="minorEastAsia"/>
          <w:b/>
          <w:bCs/>
          <w:color w:val="000000" w:themeColor="text1"/>
          <w:sz w:val="28"/>
          <w:szCs w:val="28"/>
          <w:highlight w:val="none"/>
          <w:lang w:eastAsia="zh-CN"/>
          <w14:textFill>
            <w14:solidFill>
              <w14:schemeClr w14:val="tx1"/>
            </w14:solidFill>
          </w14:textFill>
        </w:rPr>
        <w:t>0</w:t>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w:t>
      </w: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知识产权保护</w:t>
      </w:r>
    </w:p>
    <w:p w14:paraId="2C40A768">
      <w:pPr>
        <w:pageBreakBefore w:val="0"/>
        <w:kinsoku/>
        <w:wordWrap/>
        <w:overflowPunct/>
        <w:topLinePunct w:val="0"/>
        <w:autoSpaceDE w:val="0"/>
        <w:autoSpaceDN w:val="0"/>
        <w:bidi w:val="0"/>
        <w:adjustRightInd w:val="0"/>
        <w:snapToGrid w:val="0"/>
        <w:spacing w:before="0" w:afterAutospacing="0" w:line="560" w:lineRule="exact"/>
        <w:ind w:firstLine="560" w:firstLineChars="200"/>
        <w:jc w:val="lef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1</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0</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.1 乙方对其所销售的货物应当享有知识产权或经权利人合法授权，保证没有侵犯任何第三人的知识产权等权利。因违反前述约定对第三人构成侵权的，应当由乙方向第三人承担法律责任；甲方依法向第三人赔偿后，有权向乙方追偿。甲方有其他损失的，乙方应当赔偿。</w:t>
      </w:r>
    </w:p>
    <w:p w14:paraId="7C05C936">
      <w:pPr>
        <w:pageBreakBefore w:val="0"/>
        <w:kinsoku/>
        <w:wordWrap/>
        <w:overflowPunct/>
        <w:topLinePunct w:val="0"/>
        <w:autoSpaceDE w:val="0"/>
        <w:autoSpaceDN w:val="0"/>
        <w:bidi w:val="0"/>
        <w:adjustRightInd w:val="0"/>
        <w:snapToGrid w:val="0"/>
        <w:spacing w:before="0" w:afterAutospacing="0" w:line="560" w:lineRule="exact"/>
        <w:jc w:val="left"/>
        <w:textAlignment w:val="auto"/>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1</w:t>
      </w:r>
      <w:r>
        <w:rPr>
          <w:rFonts w:hint="eastAsia" w:asciiTheme="minorEastAsia" w:hAnsiTheme="minorEastAsia" w:eastAsiaTheme="minorEastAsia" w:cstheme="minorEastAsia"/>
          <w:b/>
          <w:bCs/>
          <w:color w:val="000000" w:themeColor="text1"/>
          <w:sz w:val="28"/>
          <w:szCs w:val="28"/>
          <w:highlight w:val="none"/>
          <w:lang w:eastAsia="zh-CN"/>
          <w14:textFill>
            <w14:solidFill>
              <w14:schemeClr w14:val="tx1"/>
            </w14:solidFill>
          </w14:textFill>
        </w:rPr>
        <w:t>1</w:t>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w:t>
      </w: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保密义务</w:t>
      </w:r>
    </w:p>
    <w:p w14:paraId="30602DE4">
      <w:pPr>
        <w:pageBreakBefore w:val="0"/>
        <w:kinsoku/>
        <w:wordWrap/>
        <w:overflowPunct/>
        <w:topLinePunct w:val="0"/>
        <w:autoSpaceDE w:val="0"/>
        <w:autoSpaceDN w:val="0"/>
        <w:bidi w:val="0"/>
        <w:adjustRightInd w:val="0"/>
        <w:snapToGrid w:val="0"/>
        <w:spacing w:before="0" w:afterAutospacing="0" w:line="560" w:lineRule="exact"/>
        <w:ind w:firstLine="560" w:firstLineChars="200"/>
        <w:jc w:val="lef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 xml:space="preserve">11.1 </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甲、乙双方</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对</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采购和合同履行过程中所获悉的</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国家秘密、工作秘密、</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商业秘密或者其他应当保密的信息，均有保密义务</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且不受合同有效期所限，直至该信息成为公开信息</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。泄露、不正当地使用</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国家秘密、工作秘密、</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商业秘密或者</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其他应当保密的</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信息，应当承担</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相应</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责任。其他应当保密的信息由双方在</w:t>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【合同专用条款】</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中约定。</w:t>
      </w:r>
    </w:p>
    <w:p w14:paraId="4260D3F0">
      <w:pPr>
        <w:pageBreakBefore w:val="0"/>
        <w:kinsoku/>
        <w:wordWrap/>
        <w:overflowPunct/>
        <w:topLinePunct w:val="0"/>
        <w:autoSpaceDE w:val="0"/>
        <w:autoSpaceDN w:val="0"/>
        <w:bidi w:val="0"/>
        <w:adjustRightInd w:val="0"/>
        <w:snapToGrid w:val="0"/>
        <w:spacing w:before="0" w:afterAutospacing="0" w:line="560" w:lineRule="exact"/>
        <w:jc w:val="left"/>
        <w:textAlignment w:val="auto"/>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1</w:t>
      </w:r>
      <w:r>
        <w:rPr>
          <w:rFonts w:hint="eastAsia" w:asciiTheme="minorEastAsia" w:hAnsiTheme="minorEastAsia" w:eastAsiaTheme="minorEastAsia" w:cstheme="minorEastAsia"/>
          <w:b/>
          <w:bCs/>
          <w:color w:val="000000" w:themeColor="text1"/>
          <w:sz w:val="28"/>
          <w:szCs w:val="28"/>
          <w:highlight w:val="none"/>
          <w:lang w:eastAsia="zh-CN"/>
          <w14:textFill>
            <w14:solidFill>
              <w14:schemeClr w14:val="tx1"/>
            </w14:solidFill>
          </w14:textFill>
        </w:rPr>
        <w:t>2</w:t>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w:t>
      </w: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合同价款支付</w:t>
      </w:r>
    </w:p>
    <w:p w14:paraId="51B3C55F">
      <w:pPr>
        <w:pageBreakBefore w:val="0"/>
        <w:kinsoku/>
        <w:wordWrap/>
        <w:overflowPunct/>
        <w:topLinePunct w:val="0"/>
        <w:autoSpaceDE/>
        <w:autoSpaceDN/>
        <w:bidi w:val="0"/>
        <w:adjustRightInd w:val="0"/>
        <w:snapToGrid w:val="0"/>
        <w:spacing w:before="0" w:afterAutospacing="0" w:line="560" w:lineRule="exact"/>
        <w:ind w:firstLine="560" w:firstLineChars="200"/>
        <w:jc w:val="left"/>
        <w:textAlignment w:val="auto"/>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1</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2</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 xml:space="preserve">.1 </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合同价款支付</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按照国库集中支付</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制度及财政管理相关</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规定执行。</w:t>
      </w:r>
    </w:p>
    <w:p w14:paraId="59A86B34">
      <w:pPr>
        <w:pStyle w:val="3"/>
        <w:pageBreakBefore w:val="0"/>
        <w:kinsoku/>
        <w:wordWrap/>
        <w:overflowPunct/>
        <w:topLinePunct w:val="0"/>
        <w:bidi w:val="0"/>
        <w:spacing w:afterAutospacing="0" w:line="560" w:lineRule="exact"/>
        <w:ind w:firstLine="560" w:firstLineChars="200"/>
        <w:textAlignment w:val="auto"/>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8"/>
          <w:szCs w:val="28"/>
          <w:highlight w:val="none"/>
          <w:lang w:val="en-US" w:eastAsia="zh-CN"/>
          <w14:textFill>
            <w14:solidFill>
              <w14:schemeClr w14:val="tx1"/>
            </w14:solidFill>
          </w14:textFill>
        </w:rPr>
        <w:t xml:space="preserve">12.2 </w:t>
      </w:r>
      <w:r>
        <w:rPr>
          <w:rFonts w:hint="eastAsia" w:asciiTheme="minorEastAsia" w:hAnsiTheme="minorEastAsia" w:eastAsiaTheme="minorEastAsia" w:cstheme="minorEastAsia"/>
          <w:b w:val="0"/>
          <w:bCs w:val="0"/>
          <w:color w:val="000000" w:themeColor="text1"/>
          <w:kern w:val="2"/>
          <w:sz w:val="28"/>
          <w:szCs w:val="28"/>
          <w:highlight w:val="none"/>
          <w14:textFill>
            <w14:solidFill>
              <w14:schemeClr w14:val="tx1"/>
            </w14:solidFill>
          </w14:textFill>
        </w:rPr>
        <w:t>对于满足合同约定支付条件的，</w:t>
      </w:r>
      <w:r>
        <w:rPr>
          <w:rFonts w:hint="eastAsia" w:asciiTheme="minorEastAsia" w:hAnsiTheme="minorEastAsia" w:eastAsiaTheme="minorEastAsia" w:cstheme="minorEastAsia"/>
          <w:b w:val="0"/>
          <w:bCs w:val="0"/>
          <w:color w:val="000000" w:themeColor="text1"/>
          <w:kern w:val="2"/>
          <w:sz w:val="28"/>
          <w:szCs w:val="28"/>
          <w:highlight w:val="none"/>
          <w:lang w:val="en-US" w:eastAsia="zh-CN"/>
          <w14:textFill>
            <w14:solidFill>
              <w14:schemeClr w14:val="tx1"/>
            </w14:solidFill>
          </w14:textFill>
        </w:rPr>
        <w:t>甲方</w:t>
      </w:r>
      <w:r>
        <w:rPr>
          <w:rFonts w:hint="eastAsia" w:asciiTheme="minorEastAsia" w:hAnsiTheme="minorEastAsia" w:eastAsiaTheme="minorEastAsia" w:cstheme="minorEastAsia"/>
          <w:b w:val="0"/>
          <w:bCs w:val="0"/>
          <w:i w:val="0"/>
          <w:iCs w:val="0"/>
          <w:caps w:val="0"/>
          <w:color w:val="000000" w:themeColor="text1"/>
          <w:spacing w:val="0"/>
          <w:sz w:val="28"/>
          <w:szCs w:val="28"/>
          <w:highlight w:val="none"/>
          <w:shd w:val="clear"/>
          <w:vertAlign w:val="baseline"/>
          <w14:textFill>
            <w14:solidFill>
              <w14:schemeClr w14:val="tx1"/>
            </w14:solidFill>
          </w14:textFill>
        </w:rPr>
        <w:t>原则上应当自收到发票后10个工作日内</w:t>
      </w:r>
      <w:r>
        <w:rPr>
          <w:rFonts w:hint="eastAsia" w:asciiTheme="minorEastAsia" w:hAnsiTheme="minorEastAsia" w:eastAsiaTheme="minorEastAsia" w:cstheme="minorEastAsia"/>
          <w:b w:val="0"/>
          <w:bCs w:val="0"/>
          <w:color w:val="000000" w:themeColor="text1"/>
          <w:kern w:val="2"/>
          <w:sz w:val="28"/>
          <w:szCs w:val="28"/>
          <w:highlight w:val="none"/>
          <w14:textFill>
            <w14:solidFill>
              <w14:schemeClr w14:val="tx1"/>
            </w14:solidFill>
          </w14:textFill>
        </w:rPr>
        <w:t>将资金支付到合同约定的</w:t>
      </w:r>
      <w:r>
        <w:rPr>
          <w:rFonts w:hint="eastAsia" w:asciiTheme="minorEastAsia" w:hAnsiTheme="minorEastAsia" w:eastAsiaTheme="minorEastAsia" w:cstheme="minorEastAsia"/>
          <w:b w:val="0"/>
          <w:bCs w:val="0"/>
          <w:color w:val="000000" w:themeColor="text1"/>
          <w:kern w:val="2"/>
          <w:sz w:val="28"/>
          <w:szCs w:val="28"/>
          <w:highlight w:val="none"/>
          <w:lang w:eastAsia="zh-CN"/>
          <w14:textFill>
            <w14:solidFill>
              <w14:schemeClr w14:val="tx1"/>
            </w14:solidFill>
          </w14:textFill>
        </w:rPr>
        <w:t>乙方</w:t>
      </w:r>
      <w:r>
        <w:rPr>
          <w:rFonts w:hint="eastAsia" w:asciiTheme="minorEastAsia" w:hAnsiTheme="minorEastAsia" w:eastAsiaTheme="minorEastAsia" w:cstheme="minorEastAsia"/>
          <w:b w:val="0"/>
          <w:bCs w:val="0"/>
          <w:color w:val="000000" w:themeColor="text1"/>
          <w:kern w:val="2"/>
          <w:sz w:val="28"/>
          <w:szCs w:val="28"/>
          <w:highlight w:val="none"/>
          <w14:textFill>
            <w14:solidFill>
              <w14:schemeClr w14:val="tx1"/>
            </w14:solidFill>
          </w14:textFill>
        </w:rPr>
        <w:t>账户，不得以机构变动、人员更替、政策调整等为由迟延付款，不得将采购文件和合同中未规定的义务作为向</w:t>
      </w:r>
      <w:r>
        <w:rPr>
          <w:rFonts w:hint="eastAsia" w:asciiTheme="minorEastAsia" w:hAnsiTheme="minorEastAsia" w:eastAsiaTheme="minorEastAsia" w:cstheme="minorEastAsia"/>
          <w:b w:val="0"/>
          <w:bCs w:val="0"/>
          <w:color w:val="000000" w:themeColor="text1"/>
          <w:kern w:val="2"/>
          <w:sz w:val="28"/>
          <w:szCs w:val="28"/>
          <w:highlight w:val="none"/>
          <w:lang w:val="en-US" w:eastAsia="zh-CN"/>
          <w14:textFill>
            <w14:solidFill>
              <w14:schemeClr w14:val="tx1"/>
            </w14:solidFill>
          </w14:textFill>
        </w:rPr>
        <w:t>乙方</w:t>
      </w:r>
      <w:r>
        <w:rPr>
          <w:rFonts w:hint="eastAsia" w:asciiTheme="minorEastAsia" w:hAnsiTheme="minorEastAsia" w:eastAsiaTheme="minorEastAsia" w:cstheme="minorEastAsia"/>
          <w:b w:val="0"/>
          <w:bCs w:val="0"/>
          <w:color w:val="000000" w:themeColor="text1"/>
          <w:kern w:val="2"/>
          <w:sz w:val="28"/>
          <w:szCs w:val="28"/>
          <w:highlight w:val="none"/>
          <w14:textFill>
            <w14:solidFill>
              <w14:schemeClr w14:val="tx1"/>
            </w14:solidFill>
          </w14:textFill>
        </w:rPr>
        <w:t>付款的条件。具体合同价款支付时间在【</w:t>
      </w:r>
      <w:r>
        <w:rPr>
          <w:rFonts w:hint="eastAsia" w:asciiTheme="minorEastAsia" w:hAnsiTheme="minorEastAsia" w:eastAsiaTheme="minorEastAsia" w:cstheme="minorEastAsia"/>
          <w:b/>
          <w:bCs/>
          <w:color w:val="000000" w:themeColor="text1"/>
          <w:kern w:val="2"/>
          <w:sz w:val="28"/>
          <w:szCs w:val="28"/>
          <w:highlight w:val="none"/>
          <w14:textFill>
            <w14:solidFill>
              <w14:schemeClr w14:val="tx1"/>
            </w14:solidFill>
          </w14:textFill>
        </w:rPr>
        <w:t>合同专用条款</w:t>
      </w:r>
      <w:r>
        <w:rPr>
          <w:rFonts w:hint="eastAsia" w:asciiTheme="minorEastAsia" w:hAnsiTheme="minorEastAsia" w:eastAsiaTheme="minorEastAsia" w:cstheme="minorEastAsia"/>
          <w:b w:val="0"/>
          <w:bCs w:val="0"/>
          <w:color w:val="000000" w:themeColor="text1"/>
          <w:kern w:val="2"/>
          <w:sz w:val="28"/>
          <w:szCs w:val="28"/>
          <w:highlight w:val="none"/>
          <w14:textFill>
            <w14:solidFill>
              <w14:schemeClr w14:val="tx1"/>
            </w14:solidFill>
          </w14:textFill>
        </w:rPr>
        <w:t>】中</w:t>
      </w:r>
      <w:r>
        <w:rPr>
          <w:rFonts w:hint="eastAsia" w:asciiTheme="minorEastAsia" w:hAnsiTheme="minorEastAsia" w:eastAsiaTheme="minorEastAsia" w:cstheme="minorEastAsia"/>
          <w:b w:val="0"/>
          <w:bCs w:val="0"/>
          <w:color w:val="000000" w:themeColor="text1"/>
          <w:kern w:val="2"/>
          <w:sz w:val="28"/>
          <w:szCs w:val="28"/>
          <w:highlight w:val="none"/>
          <w:lang w:eastAsia="zh-CN"/>
          <w14:textFill>
            <w14:solidFill>
              <w14:schemeClr w14:val="tx1"/>
            </w14:solidFill>
          </w14:textFill>
        </w:rPr>
        <w:t>约</w:t>
      </w:r>
      <w:r>
        <w:rPr>
          <w:rFonts w:hint="eastAsia" w:asciiTheme="minorEastAsia" w:hAnsiTheme="minorEastAsia" w:eastAsiaTheme="minorEastAsia" w:cstheme="minorEastAsia"/>
          <w:b w:val="0"/>
          <w:bCs w:val="0"/>
          <w:color w:val="000000" w:themeColor="text1"/>
          <w:kern w:val="2"/>
          <w:sz w:val="28"/>
          <w:szCs w:val="28"/>
          <w:highlight w:val="none"/>
          <w14:textFill>
            <w14:solidFill>
              <w14:schemeClr w14:val="tx1"/>
            </w14:solidFill>
          </w14:textFill>
        </w:rPr>
        <w:t>定。</w:t>
      </w:r>
    </w:p>
    <w:p w14:paraId="02DB1135">
      <w:pPr>
        <w:pStyle w:val="13"/>
        <w:pageBreakBefore w:val="0"/>
        <w:kinsoku/>
        <w:wordWrap/>
        <w:overflowPunct/>
        <w:topLinePunct w:val="0"/>
        <w:bidi w:val="0"/>
        <w:spacing w:after="0" w:afterAutospacing="0" w:line="560" w:lineRule="exact"/>
        <w:textAlignment w:val="auto"/>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1</w:t>
      </w:r>
      <w:r>
        <w:rPr>
          <w:rFonts w:hint="eastAsia" w:asciiTheme="minorEastAsia" w:hAnsiTheme="minorEastAsia" w:eastAsiaTheme="minorEastAsia" w:cstheme="minorEastAsia"/>
          <w:b/>
          <w:bCs/>
          <w:color w:val="000000" w:themeColor="text1"/>
          <w:sz w:val="28"/>
          <w:szCs w:val="28"/>
          <w:highlight w:val="none"/>
          <w:lang w:eastAsia="zh-CN"/>
          <w14:textFill>
            <w14:solidFill>
              <w14:schemeClr w14:val="tx1"/>
            </w14:solidFill>
          </w14:textFill>
        </w:rPr>
        <w:t>3</w:t>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w:t>
      </w: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履约保证金</w:t>
      </w:r>
    </w:p>
    <w:p w14:paraId="5A088845">
      <w:pPr>
        <w:pageBreakBefore w:val="0"/>
        <w:kinsoku/>
        <w:wordWrap/>
        <w:overflowPunct/>
        <w:topLinePunct w:val="0"/>
        <w:bidi w:val="0"/>
        <w:adjustRightInd w:val="0"/>
        <w:snapToGrid w:val="0"/>
        <w:spacing w:before="0" w:afterAutospacing="0" w:line="560" w:lineRule="exact"/>
        <w:ind w:firstLine="560" w:firstLineChars="200"/>
        <w:jc w:val="lef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1</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3</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.1 乙方应当以支票、汇票、本票或者金融机构、担保机构出具的保函等非现金形式提交。</w:t>
      </w:r>
    </w:p>
    <w:p w14:paraId="256EEB65">
      <w:pPr>
        <w:pageBreakBefore w:val="0"/>
        <w:kinsoku/>
        <w:wordWrap/>
        <w:overflowPunct/>
        <w:topLinePunct w:val="0"/>
        <w:bidi w:val="0"/>
        <w:adjustRightInd w:val="0"/>
        <w:snapToGrid w:val="0"/>
        <w:spacing w:before="0" w:afterAutospacing="0" w:line="560" w:lineRule="exact"/>
        <w:ind w:firstLine="560" w:firstLineChars="200"/>
        <w:jc w:val="lef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1</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3</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.2 如果乙方</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出现</w:t>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【合同专用条款】</w:t>
      </w:r>
      <w:r>
        <w:rPr>
          <w:rFonts w:hint="eastAsia" w:asciiTheme="minorEastAsia" w:hAnsiTheme="minorEastAsia" w:eastAsiaTheme="minorEastAsia" w:cstheme="minorEastAsia"/>
          <w:b w:val="0"/>
          <w:bCs w:val="0"/>
          <w:color w:val="000000" w:themeColor="text1"/>
          <w:sz w:val="28"/>
          <w:szCs w:val="28"/>
          <w:highlight w:val="none"/>
          <w:lang w:eastAsia="zh-CN"/>
          <w14:textFill>
            <w14:solidFill>
              <w14:schemeClr w14:val="tx1"/>
            </w14:solidFill>
          </w14:textFill>
        </w:rPr>
        <w:t>约定情形的</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，履约保证金不予退还；如果乙方未能按合同约定全面履行义务，甲方有权从履约保证金中取得补偿或赔偿，</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且</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不影响甲方要求乙方承担合同约定的超过履约保证金的违约责任的权利。</w:t>
      </w:r>
    </w:p>
    <w:p w14:paraId="7B263E8B">
      <w:pPr>
        <w:pageBreakBefore w:val="0"/>
        <w:kinsoku/>
        <w:wordWrap/>
        <w:overflowPunct/>
        <w:topLinePunct w:val="0"/>
        <w:bidi w:val="0"/>
        <w:spacing w:afterAutospacing="0" w:line="560" w:lineRule="exact"/>
        <w:ind w:firstLine="420"/>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1</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3</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.3 甲方在项目通过验收后按照</w:t>
      </w: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【合同专用条款】</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规定的时间内将履约保证金退还乙方；逾期退还的，乙方可要求甲方支付违约金，违约金按照</w:t>
      </w: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【合同专用条款】</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规定支付。</w:t>
      </w:r>
    </w:p>
    <w:p w14:paraId="7EDEEB0F">
      <w:pPr>
        <w:pageBreakBefore w:val="0"/>
        <w:kinsoku/>
        <w:wordWrap/>
        <w:overflowPunct/>
        <w:topLinePunct w:val="0"/>
        <w:autoSpaceDE w:val="0"/>
        <w:autoSpaceDN w:val="0"/>
        <w:bidi w:val="0"/>
        <w:adjustRightInd w:val="0"/>
        <w:snapToGrid w:val="0"/>
        <w:spacing w:before="0" w:afterAutospacing="0" w:line="560" w:lineRule="exact"/>
        <w:jc w:val="left"/>
        <w:textAlignment w:val="auto"/>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1</w:t>
      </w:r>
      <w:r>
        <w:rPr>
          <w:rFonts w:hint="eastAsia" w:asciiTheme="minorEastAsia" w:hAnsiTheme="minorEastAsia" w:eastAsiaTheme="minorEastAsia" w:cstheme="minorEastAsia"/>
          <w:b/>
          <w:bCs/>
          <w:color w:val="000000" w:themeColor="text1"/>
          <w:sz w:val="28"/>
          <w:szCs w:val="28"/>
          <w:highlight w:val="none"/>
          <w:lang w:eastAsia="zh-CN"/>
          <w14:textFill>
            <w14:solidFill>
              <w14:schemeClr w14:val="tx1"/>
            </w14:solidFill>
          </w14:textFill>
        </w:rPr>
        <w:t>4</w:t>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w:t>
      </w: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售后服务</w:t>
      </w:r>
    </w:p>
    <w:p w14:paraId="726D2FB1">
      <w:pPr>
        <w:pageBreakBefore w:val="0"/>
        <w:kinsoku/>
        <w:wordWrap/>
        <w:overflowPunct/>
        <w:topLinePunct w:val="0"/>
        <w:autoSpaceDE w:val="0"/>
        <w:autoSpaceDN w:val="0"/>
        <w:bidi w:val="0"/>
        <w:adjustRightInd w:val="0"/>
        <w:snapToGrid w:val="0"/>
        <w:spacing w:before="0" w:afterAutospacing="0" w:line="560" w:lineRule="exact"/>
        <w:ind w:firstLine="560" w:firstLineChars="200"/>
        <w:jc w:val="lef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1</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4</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.1 除项目不涉及或采购活动中明确约定无须承担外，乙方还应提供下列服务：</w:t>
      </w:r>
    </w:p>
    <w:p w14:paraId="2A09E1E9">
      <w:pPr>
        <w:pageBreakBefore w:val="0"/>
        <w:kinsoku/>
        <w:wordWrap/>
        <w:overflowPunct/>
        <w:topLinePunct w:val="0"/>
        <w:autoSpaceDE w:val="0"/>
        <w:autoSpaceDN w:val="0"/>
        <w:bidi w:val="0"/>
        <w:adjustRightInd w:val="0"/>
        <w:snapToGrid w:val="0"/>
        <w:spacing w:before="0" w:afterAutospacing="0" w:line="560" w:lineRule="exact"/>
        <w:ind w:firstLine="560" w:firstLineChars="200"/>
        <w:jc w:val="lef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（1）货物的现场移动、安装、调试、启动监督及技术支持；</w:t>
      </w:r>
    </w:p>
    <w:p w14:paraId="3A42F721">
      <w:pPr>
        <w:pageBreakBefore w:val="0"/>
        <w:kinsoku/>
        <w:wordWrap/>
        <w:overflowPunct/>
        <w:topLinePunct w:val="0"/>
        <w:autoSpaceDE w:val="0"/>
        <w:autoSpaceDN w:val="0"/>
        <w:bidi w:val="0"/>
        <w:adjustRightInd w:val="0"/>
        <w:snapToGrid w:val="0"/>
        <w:spacing w:before="0" w:afterAutospacing="0" w:line="560" w:lineRule="exact"/>
        <w:ind w:firstLine="560" w:firstLineChars="200"/>
        <w:jc w:val="lef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（2）提供货物组装和维修所需的专用工具和辅助材料；</w:t>
      </w:r>
    </w:p>
    <w:p w14:paraId="486420C5">
      <w:pPr>
        <w:pageBreakBefore w:val="0"/>
        <w:kinsoku/>
        <w:wordWrap/>
        <w:overflowPunct/>
        <w:topLinePunct w:val="0"/>
        <w:autoSpaceDE w:val="0"/>
        <w:autoSpaceDN w:val="0"/>
        <w:bidi w:val="0"/>
        <w:adjustRightInd w:val="0"/>
        <w:snapToGrid w:val="0"/>
        <w:spacing w:before="0" w:afterAutospacing="0" w:line="560" w:lineRule="exact"/>
        <w:ind w:firstLine="560" w:firstLineChars="200"/>
        <w:jc w:val="lef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（3）在</w:t>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【合同专用条款】</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约定</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的期限内对所有的货物实施运行监督、维修，但前提条件是该服务并不能免除乙方在质量保证期内所承担的义务；</w:t>
      </w:r>
    </w:p>
    <w:p w14:paraId="5A57B924">
      <w:pPr>
        <w:pageBreakBefore w:val="0"/>
        <w:kinsoku/>
        <w:wordWrap/>
        <w:overflowPunct/>
        <w:topLinePunct w:val="0"/>
        <w:autoSpaceDE w:val="0"/>
        <w:autoSpaceDN w:val="0"/>
        <w:bidi w:val="0"/>
        <w:adjustRightInd w:val="0"/>
        <w:snapToGrid w:val="0"/>
        <w:spacing w:before="0" w:afterAutospacing="0" w:line="560" w:lineRule="exact"/>
        <w:ind w:firstLine="560" w:firstLineChars="200"/>
        <w:jc w:val="lef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（4）在制造商</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所在地</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或</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指定</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现场就货物的安装、启动、运营、维护</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、废弃处置等</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对甲方操作人员进行培训</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w:t>
      </w:r>
    </w:p>
    <w:p w14:paraId="54CAD226">
      <w:pPr>
        <w:pStyle w:val="171"/>
        <w:pageBreakBefore w:val="0"/>
        <w:kinsoku/>
        <w:wordWrap/>
        <w:overflowPunct/>
        <w:topLinePunct w:val="0"/>
        <w:bidi w:val="0"/>
        <w:spacing w:afterAutospacing="0" w:line="560" w:lineRule="exac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（5）依照法律、行政法规的规定或者按照</w:t>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【合同专用条款】</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约定，货物在有效使用年限届满后应予回收的，乙方负有自行或者委托第三人对货物予以回收的义务；</w:t>
      </w:r>
    </w:p>
    <w:p w14:paraId="045D4F57">
      <w:pPr>
        <w:pageBreakBefore w:val="0"/>
        <w:kinsoku/>
        <w:wordWrap/>
        <w:overflowPunct/>
        <w:topLinePunct w:val="0"/>
        <w:autoSpaceDE w:val="0"/>
        <w:autoSpaceDN w:val="0"/>
        <w:bidi w:val="0"/>
        <w:adjustRightInd w:val="0"/>
        <w:snapToGrid w:val="0"/>
        <w:spacing w:before="0" w:afterAutospacing="0" w:line="560" w:lineRule="exact"/>
        <w:ind w:firstLine="560" w:firstLineChars="200"/>
        <w:jc w:val="lef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w:t>
      </w: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【合同专用条款】</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规定由乙方提供的其他服务。</w:t>
      </w:r>
    </w:p>
    <w:p w14:paraId="0DD4B387">
      <w:pPr>
        <w:pageBreakBefore w:val="0"/>
        <w:kinsoku/>
        <w:wordWrap/>
        <w:overflowPunct/>
        <w:topLinePunct w:val="0"/>
        <w:autoSpaceDE w:val="0"/>
        <w:autoSpaceDN w:val="0"/>
        <w:bidi w:val="0"/>
        <w:adjustRightInd w:val="0"/>
        <w:snapToGrid w:val="0"/>
        <w:spacing w:before="0" w:afterAutospacing="0" w:line="560" w:lineRule="exact"/>
        <w:ind w:firstLine="560" w:firstLineChars="200"/>
        <w:jc w:val="lef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1</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.2 乙方提供的</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售后</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服务的费用</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已</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包含在合同价款中，甲方不再另行支付。</w:t>
      </w:r>
    </w:p>
    <w:p w14:paraId="5C3633D6">
      <w:pPr>
        <w:pageBreakBefore w:val="0"/>
        <w:kinsoku/>
        <w:wordWrap/>
        <w:overflowPunct/>
        <w:topLinePunct w:val="0"/>
        <w:bidi w:val="0"/>
        <w:adjustRightInd w:val="0"/>
        <w:snapToGrid w:val="0"/>
        <w:spacing w:before="0" w:afterAutospacing="0" w:line="560" w:lineRule="exact"/>
        <w:jc w:val="left"/>
        <w:textAlignment w:val="auto"/>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1</w:t>
      </w:r>
      <w:r>
        <w:rPr>
          <w:rFonts w:hint="eastAsia" w:asciiTheme="minorEastAsia" w:hAnsiTheme="minorEastAsia" w:eastAsiaTheme="minorEastAsia" w:cstheme="minorEastAsia"/>
          <w:b/>
          <w:bCs/>
          <w:color w:val="000000" w:themeColor="text1"/>
          <w:sz w:val="28"/>
          <w:szCs w:val="28"/>
          <w:highlight w:val="none"/>
          <w:lang w:eastAsia="zh-CN"/>
          <w14:textFill>
            <w14:solidFill>
              <w14:schemeClr w14:val="tx1"/>
            </w14:solidFill>
          </w14:textFill>
        </w:rPr>
        <w:t>5</w:t>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w:t>
      </w: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违约责任</w:t>
      </w:r>
    </w:p>
    <w:p w14:paraId="34CB4635">
      <w:pPr>
        <w:pageBreakBefore w:val="0"/>
        <w:kinsoku/>
        <w:wordWrap/>
        <w:overflowPunct/>
        <w:topLinePunct w:val="0"/>
        <w:bidi w:val="0"/>
        <w:adjustRightInd w:val="0"/>
        <w:snapToGrid w:val="0"/>
        <w:spacing w:before="0" w:afterAutospacing="0" w:line="560" w:lineRule="exact"/>
        <w:ind w:firstLine="560" w:firstLineChars="200"/>
        <w:jc w:val="left"/>
        <w:textAlignment w:val="auto"/>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1</w:t>
      </w:r>
      <w:r>
        <w:rPr>
          <w:rFonts w:hint="eastAsia" w:asciiTheme="minorEastAsia" w:hAnsiTheme="minorEastAsia" w:eastAsiaTheme="minorEastAsia" w:cstheme="minorEastAsia"/>
          <w:bCs/>
          <w:color w:val="000000" w:themeColor="text1"/>
          <w:sz w:val="28"/>
          <w:szCs w:val="28"/>
          <w:highlight w:val="none"/>
          <w:lang w:eastAsia="zh-CN"/>
          <w14:textFill>
            <w14:solidFill>
              <w14:schemeClr w14:val="tx1"/>
            </w14:solidFill>
          </w14:textFill>
        </w:rPr>
        <w:t>5</w:t>
      </w: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.1质量瑕疵的</w:t>
      </w:r>
      <w:r>
        <w:rPr>
          <w:rFonts w:hint="eastAsia" w:asciiTheme="minorEastAsia" w:hAnsiTheme="minorEastAsia" w:eastAsiaTheme="minorEastAsia" w:cstheme="minorEastAsia"/>
          <w:bCs/>
          <w:color w:val="000000" w:themeColor="text1"/>
          <w:sz w:val="28"/>
          <w:szCs w:val="28"/>
          <w:highlight w:val="none"/>
          <w:lang w:eastAsia="zh-CN"/>
          <w14:textFill>
            <w14:solidFill>
              <w14:schemeClr w14:val="tx1"/>
            </w14:solidFill>
          </w14:textFill>
        </w:rPr>
        <w:t>违约责任</w:t>
      </w:r>
    </w:p>
    <w:p w14:paraId="360ED956">
      <w:pPr>
        <w:pageBreakBefore w:val="0"/>
        <w:kinsoku/>
        <w:wordWrap/>
        <w:overflowPunct/>
        <w:topLinePunct w:val="0"/>
        <w:autoSpaceDE w:val="0"/>
        <w:autoSpaceDN w:val="0"/>
        <w:bidi w:val="0"/>
        <w:adjustRightInd w:val="0"/>
        <w:snapToGrid w:val="0"/>
        <w:spacing w:before="0" w:afterAutospacing="0" w:line="560" w:lineRule="exact"/>
        <w:ind w:firstLine="560" w:firstLineChars="200"/>
        <w:jc w:val="lef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乙方</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提供</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的产品不符合</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合同约定的</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质量标准或存在产品质量缺陷，</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甲方有权要求乙方根据</w:t>
      </w: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【合同专用条款】</w:t>
      </w:r>
      <w:r>
        <w:rPr>
          <w:rFonts w:hint="eastAsia" w:asciiTheme="minorEastAsia" w:hAnsiTheme="minorEastAsia" w:eastAsiaTheme="minorEastAsia" w:cstheme="minorEastAsia"/>
          <w:b w:val="0"/>
          <w:bCs/>
          <w:color w:val="000000" w:themeColor="text1"/>
          <w:sz w:val="28"/>
          <w:szCs w:val="28"/>
          <w:highlight w:val="none"/>
          <w:lang w:eastAsia="zh-CN"/>
          <w14:textFill>
            <w14:solidFill>
              <w14:schemeClr w14:val="tx1"/>
            </w14:solidFill>
          </w14:textFill>
        </w:rPr>
        <w:t>要求</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及时修理、重作、更换，并承担由此给甲</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方</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造成的损失</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w:t>
      </w:r>
    </w:p>
    <w:p w14:paraId="1298E557">
      <w:pPr>
        <w:pageBreakBefore w:val="0"/>
        <w:kinsoku/>
        <w:wordWrap/>
        <w:overflowPunct/>
        <w:topLinePunct w:val="0"/>
        <w:autoSpaceDE w:val="0"/>
        <w:autoSpaceDN w:val="0"/>
        <w:bidi w:val="0"/>
        <w:adjustRightInd w:val="0"/>
        <w:snapToGrid w:val="0"/>
        <w:spacing w:before="0" w:afterAutospacing="0" w:line="560" w:lineRule="exact"/>
        <w:ind w:firstLine="560" w:firstLineChars="200"/>
        <w:jc w:val="left"/>
        <w:textAlignment w:val="auto"/>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1</w:t>
      </w:r>
      <w:r>
        <w:rPr>
          <w:rFonts w:hint="eastAsia" w:asciiTheme="minorEastAsia" w:hAnsiTheme="minorEastAsia" w:eastAsiaTheme="minorEastAsia" w:cstheme="minorEastAsia"/>
          <w:bCs/>
          <w:color w:val="000000" w:themeColor="text1"/>
          <w:sz w:val="28"/>
          <w:szCs w:val="28"/>
          <w:highlight w:val="none"/>
          <w:lang w:eastAsia="zh-CN"/>
          <w14:textFill>
            <w14:solidFill>
              <w14:schemeClr w14:val="tx1"/>
            </w14:solidFill>
          </w14:textFill>
        </w:rPr>
        <w:t>5</w:t>
      </w: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.2 迟延交货的违约责任</w:t>
      </w:r>
    </w:p>
    <w:p w14:paraId="6A098C0D">
      <w:pPr>
        <w:pageBreakBefore w:val="0"/>
        <w:kinsoku/>
        <w:wordWrap/>
        <w:overflowPunct/>
        <w:topLinePunct w:val="0"/>
        <w:autoSpaceDE w:val="0"/>
        <w:autoSpaceDN w:val="0"/>
        <w:bidi w:val="0"/>
        <w:adjustRightInd w:val="0"/>
        <w:snapToGrid w:val="0"/>
        <w:spacing w:before="0" w:afterAutospacing="0" w:line="560" w:lineRule="exact"/>
        <w:ind w:firstLine="560" w:firstLineChars="200"/>
        <w:jc w:val="lef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（1）乙方应按照本合同规定的时间、地点交货和提供</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相关</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服务。在履行合同过程中，如果乙方遇到可能</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影响</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按时交货和提供服务的情形时，应及时以书面形式将迟延的事实、可能迟延的期限和理由通知甲方。甲方在收到乙方通知后，应尽快对情况进行评价，并确定是否同意延</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长</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交货时间或延期提供服务。</w:t>
      </w:r>
    </w:p>
    <w:p w14:paraId="5305D412">
      <w:pPr>
        <w:pageBreakBefore w:val="0"/>
        <w:kinsoku/>
        <w:wordWrap/>
        <w:overflowPunct/>
        <w:topLinePunct w:val="0"/>
        <w:autoSpaceDE w:val="0"/>
        <w:autoSpaceDN w:val="0"/>
        <w:bidi w:val="0"/>
        <w:adjustRightInd w:val="0"/>
        <w:snapToGrid w:val="0"/>
        <w:spacing w:before="0" w:afterAutospacing="0" w:line="560" w:lineRule="exact"/>
        <w:ind w:firstLine="560" w:firstLineChars="200"/>
        <w:jc w:val="left"/>
        <w:textAlignment w:val="auto"/>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（2）如果乙方没有按照合同规定的时间交货和提供</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相关</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服务，甲方有权从货款中扣除误期赔偿费而不影响合同项下的其他补救方法，赔偿费按</w:t>
      </w: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【合同专用条款】</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规定执行。如果涉及公共利益，且赔偿金额无法弥补公共利益损失，</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甲方</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可要求继续履行或者</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采取其他补救措施</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w:t>
      </w:r>
    </w:p>
    <w:p w14:paraId="0347522A">
      <w:pPr>
        <w:pageBreakBefore w:val="0"/>
        <w:kinsoku/>
        <w:wordWrap/>
        <w:overflowPunct/>
        <w:topLinePunct w:val="0"/>
        <w:autoSpaceDE w:val="0"/>
        <w:autoSpaceDN w:val="0"/>
        <w:bidi w:val="0"/>
        <w:adjustRightInd w:val="0"/>
        <w:snapToGrid w:val="0"/>
        <w:spacing w:before="0" w:afterAutospacing="0" w:line="560" w:lineRule="exact"/>
        <w:ind w:firstLine="560" w:firstLineChars="200"/>
        <w:jc w:val="lef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1</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5</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.3 迟延支付的违约责任</w:t>
      </w:r>
    </w:p>
    <w:p w14:paraId="723B66DF">
      <w:pPr>
        <w:pageBreakBefore w:val="0"/>
        <w:kinsoku/>
        <w:wordWrap/>
        <w:overflowPunct/>
        <w:topLinePunct w:val="0"/>
        <w:autoSpaceDE w:val="0"/>
        <w:autoSpaceDN w:val="0"/>
        <w:bidi w:val="0"/>
        <w:adjustRightInd w:val="0"/>
        <w:snapToGrid w:val="0"/>
        <w:spacing w:before="0" w:afterAutospacing="0" w:line="560" w:lineRule="exact"/>
        <w:ind w:firstLine="560" w:firstLineChars="200"/>
        <w:jc w:val="lef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甲方存在迟延支付乙方合同款项的，应当承担</w:t>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【合同专用条款】</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规定的逾期付款利息。</w:t>
      </w:r>
    </w:p>
    <w:p w14:paraId="77170ED9">
      <w:pPr>
        <w:pageBreakBefore w:val="0"/>
        <w:kinsoku/>
        <w:wordWrap/>
        <w:overflowPunct/>
        <w:topLinePunct w:val="0"/>
        <w:bidi w:val="0"/>
        <w:adjustRightInd w:val="0"/>
        <w:snapToGrid w:val="0"/>
        <w:spacing w:before="0" w:afterAutospacing="0" w:line="560" w:lineRule="exact"/>
        <w:ind w:firstLine="560" w:firstLineChars="200"/>
        <w:jc w:val="lef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1</w:t>
      </w:r>
      <w:r>
        <w:rPr>
          <w:rFonts w:hint="eastAsia" w:asciiTheme="minorEastAsia" w:hAnsiTheme="minorEastAsia" w:eastAsiaTheme="minorEastAsia" w:cstheme="minorEastAsia"/>
          <w:bCs/>
          <w:color w:val="000000" w:themeColor="text1"/>
          <w:sz w:val="28"/>
          <w:szCs w:val="28"/>
          <w:highlight w:val="none"/>
          <w:lang w:eastAsia="zh-CN"/>
          <w14:textFill>
            <w14:solidFill>
              <w14:schemeClr w14:val="tx1"/>
            </w14:solidFill>
          </w14:textFill>
        </w:rPr>
        <w:t>5</w:t>
      </w: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.4其他违约责任根据项目实际需要按</w:t>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【合同专用条款】</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规定执行。</w:t>
      </w:r>
    </w:p>
    <w:p w14:paraId="34E35E39">
      <w:pPr>
        <w:pageBreakBefore w:val="0"/>
        <w:numPr>
          <w:ilvl w:val="0"/>
          <w:numId w:val="9"/>
        </w:numPr>
        <w:kinsoku/>
        <w:wordWrap/>
        <w:overflowPunct/>
        <w:topLinePunct w:val="0"/>
        <w:autoSpaceDE w:val="0"/>
        <w:autoSpaceDN w:val="0"/>
        <w:bidi w:val="0"/>
        <w:adjustRightInd w:val="0"/>
        <w:snapToGrid w:val="0"/>
        <w:spacing w:before="0" w:afterAutospacing="0" w:line="560" w:lineRule="exact"/>
        <w:jc w:val="left"/>
        <w:textAlignment w:val="auto"/>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合同变更</w:t>
      </w:r>
      <w:r>
        <w:rPr>
          <w:rFonts w:hint="eastAsia" w:asciiTheme="minorEastAsia" w:hAnsiTheme="minorEastAsia" w:eastAsiaTheme="minorEastAsia" w:cstheme="minorEastAsia"/>
          <w:b/>
          <w:color w:val="000000" w:themeColor="text1"/>
          <w:sz w:val="28"/>
          <w:szCs w:val="28"/>
          <w:highlight w:val="none"/>
          <w:lang w:eastAsia="zh-CN"/>
          <w14:textFill>
            <w14:solidFill>
              <w14:schemeClr w14:val="tx1"/>
            </w14:solidFill>
          </w14:textFill>
        </w:rPr>
        <w:t>、中止与终止</w:t>
      </w:r>
    </w:p>
    <w:p w14:paraId="28F62262">
      <w:pPr>
        <w:pageBreakBefore w:val="0"/>
        <w:kinsoku/>
        <w:wordWrap/>
        <w:overflowPunct/>
        <w:topLinePunct w:val="0"/>
        <w:autoSpaceDE/>
        <w:autoSpaceDN/>
        <w:bidi w:val="0"/>
        <w:adjustRightInd w:val="0"/>
        <w:snapToGrid w:val="0"/>
        <w:spacing w:before="0" w:afterAutospacing="0" w:line="560" w:lineRule="exact"/>
        <w:ind w:firstLine="0" w:firstLineChars="0"/>
        <w:jc w:val="lef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1</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.1合同的</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变更</w:t>
      </w:r>
    </w:p>
    <w:p w14:paraId="594EF671">
      <w:pPr>
        <w:pageBreakBefore w:val="0"/>
        <w:kinsoku/>
        <w:wordWrap/>
        <w:overflowPunct/>
        <w:topLinePunct w:val="0"/>
        <w:autoSpaceDE w:val="0"/>
        <w:autoSpaceDN w:val="0"/>
        <w:bidi w:val="0"/>
        <w:adjustRightInd w:val="0"/>
        <w:snapToGrid w:val="0"/>
        <w:spacing w:before="0" w:afterAutospacing="0" w:line="560" w:lineRule="exact"/>
        <w:ind w:firstLine="560" w:firstLineChars="200"/>
        <w:jc w:val="lef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合同履行中，</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在不改变合同其他条款的前提下，甲方可以在合同价款10%的范围内追加与合同标的相同的货物，并就此与乙方协商</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一致后</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签订补充协议。</w:t>
      </w:r>
    </w:p>
    <w:p w14:paraId="68A7D1B0">
      <w:pPr>
        <w:pageBreakBefore w:val="0"/>
        <w:kinsoku/>
        <w:wordWrap/>
        <w:overflowPunct/>
        <w:topLinePunct w:val="0"/>
        <w:bidi w:val="0"/>
        <w:adjustRightInd w:val="0"/>
        <w:snapToGrid w:val="0"/>
        <w:spacing w:before="0" w:afterAutospacing="0" w:line="560" w:lineRule="exact"/>
        <w:ind w:firstLine="560" w:firstLineChars="200"/>
        <w:jc w:val="lef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1</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合同的中止</w:t>
      </w:r>
    </w:p>
    <w:p w14:paraId="5AD95C10">
      <w:pPr>
        <w:pageBreakBefore w:val="0"/>
        <w:kinsoku/>
        <w:wordWrap/>
        <w:overflowPunct/>
        <w:topLinePunct w:val="0"/>
        <w:autoSpaceDE w:val="0"/>
        <w:autoSpaceDN w:val="0"/>
        <w:bidi w:val="0"/>
        <w:adjustRightInd w:val="0"/>
        <w:snapToGrid w:val="0"/>
        <w:spacing w:before="0" w:afterAutospacing="0" w:line="560" w:lineRule="exact"/>
        <w:ind w:firstLine="560" w:firstLineChars="200"/>
        <w:jc w:val="lef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（1）合同履行过程中因供应商就采购文件、采购过程或结果提起投诉的，甲方认为有必要的，</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可以</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中止合同的履行。</w:t>
      </w:r>
    </w:p>
    <w:p w14:paraId="00364DAD">
      <w:pPr>
        <w:pageBreakBefore w:val="0"/>
        <w:kinsoku/>
        <w:wordWrap/>
        <w:overflowPunct/>
        <w:topLinePunct w:val="0"/>
        <w:autoSpaceDE w:val="0"/>
        <w:autoSpaceDN w:val="0"/>
        <w:bidi w:val="0"/>
        <w:adjustRightInd w:val="0"/>
        <w:snapToGrid w:val="0"/>
        <w:spacing w:before="0" w:afterAutospacing="0" w:line="560" w:lineRule="exact"/>
        <w:ind w:firstLine="560" w:firstLineChars="200"/>
        <w:jc w:val="lef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（2）</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合同履行过程中，</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如果乙方出现以下情形之一的：1．经营状况严重恶化；2．转移财产、抽逃资金，以逃避债务；3．丧失商业信誉；4．有丧失或者可能丧失履约能力的其他情形</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，乙方有义务及时告知甲方</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。甲方</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有权</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以书面形式通知乙方中止合同</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并要求乙方在合理期限内消除相关情形或者提供适当担保。</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乙方提供适当担保的，</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合同继续</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履行</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；乙</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方在合理期限内未恢复履约能力且未提供适当担保的，视为拒绝</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继续</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履约，甲方</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有权</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解除合同并要求乙方承担</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由此给甲方造成的损失</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w:t>
      </w:r>
    </w:p>
    <w:p w14:paraId="30F18272">
      <w:pPr>
        <w:pStyle w:val="171"/>
        <w:pageBreakBefore w:val="0"/>
        <w:kinsoku/>
        <w:wordWrap/>
        <w:overflowPunct/>
        <w:topLinePunct w:val="0"/>
        <w:bidi w:val="0"/>
        <w:spacing w:afterAutospacing="0" w:line="560" w:lineRule="exact"/>
        <w:jc w:val="both"/>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（3）乙方分立、合并或者变更住所的，应当及时以书面形式告知甲方。乙方没有</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及时告知</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甲方，致使</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合同</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履行发生困难的，甲方可以中止合同履行并要求乙方承担由此给甲方造成的损失。</w:t>
      </w:r>
    </w:p>
    <w:p w14:paraId="2B437FDC">
      <w:pPr>
        <w:pageBreakBefore w:val="0"/>
        <w:kinsoku/>
        <w:wordWrap/>
        <w:overflowPunct/>
        <w:topLinePunct w:val="0"/>
        <w:bidi w:val="0"/>
        <w:snapToGrid w:val="0"/>
        <w:spacing w:afterAutospacing="0" w:line="560" w:lineRule="exact"/>
        <w:ind w:firstLine="560" w:firstLineChars="200"/>
        <w:jc w:val="lef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）甲方不得以行政区划调整、政府换届、机构或者职能调整以及相关责任人更替为由中止合同。</w:t>
      </w:r>
    </w:p>
    <w:p w14:paraId="06B7E768">
      <w:pPr>
        <w:pageBreakBefore w:val="0"/>
        <w:kinsoku/>
        <w:wordWrap/>
        <w:overflowPunct/>
        <w:topLinePunct w:val="0"/>
        <w:bidi w:val="0"/>
        <w:adjustRightInd w:val="0"/>
        <w:snapToGrid w:val="0"/>
        <w:spacing w:before="0" w:afterAutospacing="0" w:line="560" w:lineRule="exact"/>
        <w:ind w:firstLine="560" w:firstLineChars="200"/>
        <w:jc w:val="lef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1</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合同的终止</w:t>
      </w:r>
    </w:p>
    <w:p w14:paraId="3EFFB098">
      <w:pPr>
        <w:pageBreakBefore w:val="0"/>
        <w:kinsoku/>
        <w:wordWrap/>
        <w:overflowPunct/>
        <w:topLinePunct w:val="0"/>
        <w:autoSpaceDE w:val="0"/>
        <w:autoSpaceDN w:val="0"/>
        <w:bidi w:val="0"/>
        <w:adjustRightInd w:val="0"/>
        <w:snapToGrid w:val="0"/>
        <w:spacing w:before="0" w:afterAutospacing="0" w:line="560" w:lineRule="exact"/>
        <w:ind w:firstLine="560" w:firstLineChars="200"/>
        <w:jc w:val="lef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（1）合同因有效期限届满而终止；</w:t>
      </w:r>
    </w:p>
    <w:p w14:paraId="6732FEC7">
      <w:pPr>
        <w:pageBreakBefore w:val="0"/>
        <w:kinsoku/>
        <w:wordWrap/>
        <w:overflowPunct/>
        <w:topLinePunct w:val="0"/>
        <w:bidi w:val="0"/>
        <w:snapToGrid w:val="0"/>
        <w:spacing w:afterAutospacing="0" w:line="560" w:lineRule="exact"/>
        <w:ind w:firstLine="560" w:firstLineChars="200"/>
        <w:textAlignment w:val="auto"/>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（2）乙方未</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按</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合同约定履行，构成根本性违约的，甲方有权终止合同</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并追究乙方的违约责</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任</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w:t>
      </w:r>
    </w:p>
    <w:p w14:paraId="32D74CBD">
      <w:pPr>
        <w:pStyle w:val="171"/>
        <w:pageBreakBefore w:val="0"/>
        <w:kinsoku/>
        <w:wordWrap/>
        <w:overflowPunct/>
        <w:topLinePunct w:val="0"/>
        <w:bidi w:val="0"/>
        <w:spacing w:afterAutospacing="0" w:line="560" w:lineRule="exact"/>
        <w:textAlignment w:val="auto"/>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 xml:space="preserve">16.4 </w:t>
      </w:r>
      <w:r>
        <w:rPr>
          <w:rFonts w:hint="eastAsia" w:asciiTheme="minorEastAsia" w:hAnsiTheme="minorEastAsia" w:eastAsiaTheme="minorEastAsia" w:cstheme="minorEastAsia"/>
          <w:color w:val="000000" w:themeColor="text1"/>
          <w:kern w:val="2"/>
          <w:sz w:val="28"/>
          <w:szCs w:val="28"/>
          <w:highlight w:val="none"/>
          <w:lang w:val="en-US" w:eastAsia="zh-CN"/>
          <w14:textFill>
            <w14:solidFill>
              <w14:schemeClr w14:val="tx1"/>
            </w14:solidFill>
          </w14:textFill>
        </w:rPr>
        <w:t>涉及国家利益、社会公共利益的情形</w:t>
      </w:r>
    </w:p>
    <w:p w14:paraId="186798CA">
      <w:pPr>
        <w:pStyle w:val="171"/>
        <w:pageBreakBefore w:val="0"/>
        <w:kinsoku/>
        <w:wordWrap/>
        <w:overflowPunct/>
        <w:topLinePunct w:val="0"/>
        <w:bidi w:val="0"/>
        <w:spacing w:afterAutospacing="0" w:line="560" w:lineRule="exact"/>
        <w:jc w:val="both"/>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合同继续履行将损害国家利益和社会公共利益的，双方当事人</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应当变更、</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中止</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或者终止</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合同。有过错的一方应当承担赔偿责任，双方都有过错的，各自承担相应的责任。</w:t>
      </w:r>
    </w:p>
    <w:p w14:paraId="6CB9876B">
      <w:pPr>
        <w:pageBreakBefore w:val="0"/>
        <w:kinsoku/>
        <w:wordWrap/>
        <w:overflowPunct/>
        <w:topLinePunct w:val="0"/>
        <w:autoSpaceDE w:val="0"/>
        <w:autoSpaceDN w:val="0"/>
        <w:bidi w:val="0"/>
        <w:adjustRightInd w:val="0"/>
        <w:snapToGrid w:val="0"/>
        <w:spacing w:before="0" w:afterAutospacing="0" w:line="560" w:lineRule="exact"/>
        <w:jc w:val="left"/>
        <w:textAlignment w:val="auto"/>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1</w:t>
      </w: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7</w:t>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w:t>
      </w: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合同分包</w:t>
      </w:r>
    </w:p>
    <w:p w14:paraId="43564947">
      <w:pPr>
        <w:pageBreakBefore w:val="0"/>
        <w:kinsoku/>
        <w:wordWrap/>
        <w:overflowPunct/>
        <w:topLinePunct w:val="0"/>
        <w:autoSpaceDE w:val="0"/>
        <w:autoSpaceDN w:val="0"/>
        <w:bidi w:val="0"/>
        <w:adjustRightInd w:val="0"/>
        <w:snapToGrid w:val="0"/>
        <w:spacing w:before="0" w:afterAutospacing="0" w:line="560" w:lineRule="exact"/>
        <w:ind w:firstLine="560" w:firstLineChars="200"/>
        <w:jc w:val="lef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1</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.1 乙方不得</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将合同转包给其他供应商。涉及合同分包的，乙方</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应</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根据采购文件和投标（响应）文件规定进行</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合同分包。</w:t>
      </w:r>
    </w:p>
    <w:p w14:paraId="382AEFA1">
      <w:pPr>
        <w:pageBreakBefore w:val="0"/>
        <w:kinsoku/>
        <w:wordWrap/>
        <w:overflowPunct/>
        <w:topLinePunct w:val="0"/>
        <w:autoSpaceDE w:val="0"/>
        <w:autoSpaceDN w:val="0"/>
        <w:bidi w:val="0"/>
        <w:adjustRightInd w:val="0"/>
        <w:snapToGrid w:val="0"/>
        <w:spacing w:before="0" w:afterAutospacing="0" w:line="560" w:lineRule="exact"/>
        <w:ind w:firstLine="560" w:firstLineChars="200"/>
        <w:jc w:val="lef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1</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.2 乙方执行政府采购政策向中小企业依法分包的</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乙方应当按采购文件</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和</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投标（响应）文件签订分包</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意向</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协议，分包</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意向</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协议属于本合同组成部分。</w:t>
      </w:r>
    </w:p>
    <w:p w14:paraId="2F5595F9">
      <w:pPr>
        <w:pageBreakBefore w:val="0"/>
        <w:kinsoku/>
        <w:wordWrap/>
        <w:overflowPunct/>
        <w:topLinePunct w:val="0"/>
        <w:autoSpaceDE w:val="0"/>
        <w:autoSpaceDN w:val="0"/>
        <w:bidi w:val="0"/>
        <w:adjustRightInd w:val="0"/>
        <w:snapToGrid w:val="0"/>
        <w:spacing w:before="0" w:afterAutospacing="0" w:line="560" w:lineRule="exact"/>
        <w:jc w:val="left"/>
        <w:textAlignment w:val="auto"/>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eastAsia="zh-CN"/>
          <w14:textFill>
            <w14:solidFill>
              <w14:schemeClr w14:val="tx1"/>
            </w14:solidFill>
          </w14:textFill>
        </w:rPr>
        <w:t>1</w:t>
      </w: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8</w:t>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w:t>
      </w: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不可抗力</w:t>
      </w:r>
    </w:p>
    <w:p w14:paraId="559A7A2C">
      <w:pPr>
        <w:pageBreakBefore w:val="0"/>
        <w:kinsoku/>
        <w:wordWrap/>
        <w:overflowPunct/>
        <w:topLinePunct w:val="0"/>
        <w:autoSpaceDE w:val="0"/>
        <w:autoSpaceDN w:val="0"/>
        <w:bidi w:val="0"/>
        <w:adjustRightInd w:val="0"/>
        <w:snapToGrid w:val="0"/>
        <w:spacing w:before="0" w:afterAutospacing="0" w:line="560" w:lineRule="exact"/>
        <w:ind w:firstLine="560" w:firstLineChars="200"/>
        <w:jc w:val="lef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1</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.1 不可抗力是指合同双方不能预见、不能避免且不能克服的客观情况。</w:t>
      </w:r>
    </w:p>
    <w:p w14:paraId="17ACCE60">
      <w:pPr>
        <w:pageBreakBefore w:val="0"/>
        <w:kinsoku/>
        <w:wordWrap/>
        <w:overflowPunct/>
        <w:topLinePunct w:val="0"/>
        <w:autoSpaceDE w:val="0"/>
        <w:autoSpaceDN w:val="0"/>
        <w:bidi w:val="0"/>
        <w:adjustRightInd w:val="0"/>
        <w:snapToGrid w:val="0"/>
        <w:spacing w:before="0" w:afterAutospacing="0" w:line="560" w:lineRule="exact"/>
        <w:ind w:firstLine="560" w:firstLineChars="200"/>
        <w:jc w:val="lef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1</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.2 任何一方对由于不可抗力造成的部分或全部不能履行合同不承担违约责任。但迟延履行后发生不可抗力的，不能免除责任。</w:t>
      </w:r>
    </w:p>
    <w:p w14:paraId="2D0C8243">
      <w:pPr>
        <w:pageBreakBefore w:val="0"/>
        <w:kinsoku/>
        <w:wordWrap/>
        <w:overflowPunct/>
        <w:topLinePunct w:val="0"/>
        <w:autoSpaceDE w:val="0"/>
        <w:autoSpaceDN w:val="0"/>
        <w:bidi w:val="0"/>
        <w:adjustRightInd w:val="0"/>
        <w:snapToGrid w:val="0"/>
        <w:spacing w:before="0" w:afterAutospacing="0" w:line="560" w:lineRule="exact"/>
        <w:ind w:firstLine="560" w:firstLineChars="200"/>
        <w:jc w:val="lef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1</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.3 遇有不可抗力的一方，应及时将事件情况以书面形式</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告</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知另一方，并在事件发生后及时向另一方提交合同不能履行或部分不能履行或需要延期履行</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的详细</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报告</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，以</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及证明不可抗力发生及其持续时间的证据</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w:t>
      </w:r>
    </w:p>
    <w:p w14:paraId="07B8831B">
      <w:pPr>
        <w:pageBreakBefore w:val="0"/>
        <w:kinsoku/>
        <w:wordWrap/>
        <w:overflowPunct/>
        <w:topLinePunct w:val="0"/>
        <w:autoSpaceDE w:val="0"/>
        <w:autoSpaceDN w:val="0"/>
        <w:bidi w:val="0"/>
        <w:adjustRightInd w:val="0"/>
        <w:snapToGrid w:val="0"/>
        <w:spacing w:before="0" w:afterAutospacing="0" w:line="560" w:lineRule="exact"/>
        <w:jc w:val="left"/>
        <w:textAlignment w:val="auto"/>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19</w:t>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w:t>
      </w: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解决争议的方法</w:t>
      </w:r>
    </w:p>
    <w:p w14:paraId="5A55BC92">
      <w:pPr>
        <w:pStyle w:val="171"/>
        <w:pageBreakBefore w:val="0"/>
        <w:kinsoku/>
        <w:wordWrap/>
        <w:overflowPunct/>
        <w:topLinePunct w:val="0"/>
        <w:bidi w:val="0"/>
        <w:spacing w:afterAutospacing="0" w:line="560" w:lineRule="exact"/>
        <w:jc w:val="both"/>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19</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.1 因本合同及合同有关事项发生的争议，由</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甲乙双</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方友好协商解决。协商不成时，可以</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向有关组织申请</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调解。合同一方或</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双</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方不愿调解或调解不成的，可以通过仲裁或诉讼的方式解决争议。</w:t>
      </w:r>
    </w:p>
    <w:p w14:paraId="3E5FB09D">
      <w:pPr>
        <w:pStyle w:val="171"/>
        <w:pageBreakBefore w:val="0"/>
        <w:kinsoku/>
        <w:wordWrap/>
        <w:overflowPunct/>
        <w:topLinePunct w:val="0"/>
        <w:bidi w:val="0"/>
        <w:spacing w:afterAutospacing="0" w:line="560" w:lineRule="exact"/>
        <w:jc w:val="both"/>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19</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.2 选择仲裁的，应在</w:t>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【合同专用条款】</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中明确仲裁机构及仲裁地；通过诉讼方式解决的，可以在</w:t>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【合同专用条款】</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中进一步约定选择与争议有实际联系的地点的人民法院管辖，但管辖法院的约定不得违反级别管辖和专属管辖的规定。</w:t>
      </w:r>
    </w:p>
    <w:p w14:paraId="3885EC83">
      <w:pPr>
        <w:pStyle w:val="171"/>
        <w:pageBreakBefore w:val="0"/>
        <w:kinsoku/>
        <w:wordWrap/>
        <w:overflowPunct/>
        <w:topLinePunct w:val="0"/>
        <w:bidi w:val="0"/>
        <w:spacing w:afterAutospacing="0" w:line="560" w:lineRule="exact"/>
        <w:jc w:val="both"/>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19</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.3 如</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甲乙双方</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有争议的事项不影响合同其他部分的履行，在争议解决期间，合同其他部分应</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当</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继续履行。</w:t>
      </w:r>
    </w:p>
    <w:p w14:paraId="19813277">
      <w:pPr>
        <w:pageBreakBefore w:val="0"/>
        <w:kinsoku/>
        <w:wordWrap/>
        <w:overflowPunct/>
        <w:topLinePunct w:val="0"/>
        <w:autoSpaceDE w:val="0"/>
        <w:autoSpaceDN w:val="0"/>
        <w:bidi w:val="0"/>
        <w:adjustRightInd w:val="0"/>
        <w:snapToGrid w:val="0"/>
        <w:spacing w:before="0" w:afterAutospacing="0" w:line="560" w:lineRule="exact"/>
        <w:jc w:val="lef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lang w:val="en-US" w:eastAsia="zh-CN"/>
          <w14:textFill>
            <w14:solidFill>
              <w14:schemeClr w14:val="tx1"/>
            </w14:solidFill>
          </w14:textFill>
        </w:rPr>
        <w:t>20</w:t>
      </w: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w:t>
      </w:r>
      <w:r>
        <w:rPr>
          <w:rFonts w:hint="eastAsia" w:asciiTheme="minorEastAsia" w:hAnsiTheme="minorEastAsia" w:eastAsiaTheme="minorEastAsia" w:cstheme="minorEastAsia"/>
          <w:b/>
          <w:color w:val="000000" w:themeColor="text1"/>
          <w:sz w:val="28"/>
          <w:szCs w:val="28"/>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采购政策</w:t>
      </w:r>
    </w:p>
    <w:p w14:paraId="78AACC97">
      <w:pPr>
        <w:pageBreakBefore w:val="0"/>
        <w:kinsoku/>
        <w:wordWrap/>
        <w:overflowPunct/>
        <w:topLinePunct w:val="0"/>
        <w:autoSpaceDE w:val="0"/>
        <w:autoSpaceDN w:val="0"/>
        <w:bidi w:val="0"/>
        <w:adjustRightInd w:val="0"/>
        <w:snapToGrid w:val="0"/>
        <w:spacing w:before="0" w:afterAutospacing="0" w:line="560" w:lineRule="exact"/>
        <w:ind w:firstLine="560" w:firstLineChars="200"/>
        <w:jc w:val="left"/>
        <w:textAlignment w:val="auto"/>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 xml:space="preserve">20.1 </w:t>
      </w:r>
      <w:r>
        <w:rPr>
          <w:rFonts w:hint="eastAsia" w:asciiTheme="minorEastAsia" w:hAnsiTheme="minorEastAsia" w:eastAsiaTheme="minorEastAsia" w:cstheme="minorEastAsia"/>
          <w:color w:val="000000" w:themeColor="text1"/>
          <w:sz w:val="28"/>
          <w:szCs w:val="28"/>
          <w:highlight w:val="none"/>
          <w:lang w:val="en-GB"/>
          <w14:textFill>
            <w14:solidFill>
              <w14:schemeClr w14:val="tx1"/>
            </w14:solidFill>
          </w14:textFill>
        </w:rPr>
        <w:t>本合同应当按照规定执行政府采购政策。</w:t>
      </w:r>
    </w:p>
    <w:p w14:paraId="7AFA5E14">
      <w:pPr>
        <w:pageBreakBefore w:val="0"/>
        <w:kinsoku/>
        <w:wordWrap/>
        <w:overflowPunct/>
        <w:topLinePunct w:val="0"/>
        <w:autoSpaceDE w:val="0"/>
        <w:autoSpaceDN w:val="0"/>
        <w:bidi w:val="0"/>
        <w:adjustRightInd w:val="0"/>
        <w:snapToGrid w:val="0"/>
        <w:spacing w:before="0" w:afterAutospacing="0" w:line="560" w:lineRule="exact"/>
        <w:ind w:firstLine="560" w:firstLineChars="200"/>
        <w:jc w:val="lef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2</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0</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 xml:space="preserve"> 本合同依法执行政府采购政策的方式和内容，属于合同履约验收的范围。</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甲乙双方</w:t>
      </w:r>
      <w:r>
        <w:rPr>
          <w:rFonts w:hint="eastAsia" w:asciiTheme="minorEastAsia" w:hAnsiTheme="minorEastAsia" w:eastAsiaTheme="minorEastAsia" w:cstheme="minorEastAsia"/>
          <w:color w:val="000000" w:themeColor="text1"/>
          <w:sz w:val="28"/>
          <w:szCs w:val="28"/>
          <w:highlight w:val="none"/>
          <w:lang w:val="en-GB"/>
          <w14:textFill>
            <w14:solidFill>
              <w14:schemeClr w14:val="tx1"/>
            </w14:solidFill>
          </w14:textFill>
        </w:rPr>
        <w:t>未按规定要求执行政府采购政策造成损失的</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，有过错的一方应当承担赔偿责任，双方都有过错的，各自承担相应的责任。</w:t>
      </w:r>
    </w:p>
    <w:p w14:paraId="5D06E72C">
      <w:pPr>
        <w:pStyle w:val="13"/>
        <w:pageBreakBefore w:val="0"/>
        <w:kinsoku/>
        <w:wordWrap/>
        <w:overflowPunct/>
        <w:topLinePunct w:val="0"/>
        <w:bidi w:val="0"/>
        <w:spacing w:after="0" w:afterAutospacing="0" w:line="560" w:lineRule="exact"/>
        <w:ind w:firstLine="560" w:firstLineChars="200"/>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2</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0</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 xml:space="preserve"> 对于</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为落实中小企业支持政策，</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通过采购项目</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整体</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预留、</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设置</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61273DC1">
      <w:pPr>
        <w:pageBreakBefore w:val="0"/>
        <w:kinsoku/>
        <w:wordWrap/>
        <w:overflowPunct/>
        <w:topLinePunct w:val="0"/>
        <w:autoSpaceDE w:val="0"/>
        <w:autoSpaceDN w:val="0"/>
        <w:bidi w:val="0"/>
        <w:adjustRightInd w:val="0"/>
        <w:snapToGrid w:val="0"/>
        <w:spacing w:before="0" w:afterAutospacing="0" w:line="560" w:lineRule="exact"/>
        <w:jc w:val="left"/>
        <w:textAlignment w:val="auto"/>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2</w:t>
      </w:r>
      <w:r>
        <w:rPr>
          <w:rFonts w:hint="eastAsia" w:asciiTheme="minorEastAsia" w:hAnsiTheme="minorEastAsia" w:eastAsiaTheme="minorEastAsia" w:cstheme="minorEastAsia"/>
          <w:b/>
          <w:color w:val="000000" w:themeColor="text1"/>
          <w:sz w:val="28"/>
          <w:szCs w:val="28"/>
          <w:highlight w:val="none"/>
          <w:lang w:val="en-US" w:eastAsia="zh-CN"/>
          <w14:textFill>
            <w14:solidFill>
              <w14:schemeClr w14:val="tx1"/>
            </w14:solidFill>
          </w14:textFill>
        </w:rPr>
        <w:t>1</w:t>
      </w: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w:t>
      </w:r>
      <w:r>
        <w:rPr>
          <w:rFonts w:hint="eastAsia" w:asciiTheme="minorEastAsia" w:hAnsiTheme="minorEastAsia" w:eastAsiaTheme="minorEastAsia" w:cstheme="minorEastAsia"/>
          <w:b/>
          <w:color w:val="000000" w:themeColor="text1"/>
          <w:sz w:val="28"/>
          <w:szCs w:val="28"/>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法律适用</w:t>
      </w:r>
    </w:p>
    <w:p w14:paraId="61EB305C">
      <w:pPr>
        <w:pStyle w:val="171"/>
        <w:pageBreakBefore w:val="0"/>
        <w:kinsoku/>
        <w:wordWrap/>
        <w:overflowPunct/>
        <w:topLinePunct w:val="0"/>
        <w:bidi w:val="0"/>
        <w:spacing w:afterAutospacing="0" w:line="560" w:lineRule="exact"/>
        <w:jc w:val="both"/>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2</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.1 本合同的订立、生效、解释、履行及与本合同有关的争议解决，均适用法律、行政法规。</w:t>
      </w:r>
    </w:p>
    <w:p w14:paraId="5BE1C063">
      <w:pPr>
        <w:pStyle w:val="171"/>
        <w:pageBreakBefore w:val="0"/>
        <w:kinsoku/>
        <w:wordWrap/>
        <w:overflowPunct/>
        <w:topLinePunct w:val="0"/>
        <w:bidi w:val="0"/>
        <w:spacing w:afterAutospacing="0" w:line="560" w:lineRule="exact"/>
        <w:jc w:val="both"/>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2</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.2 本合同条款与法律、行政法规的强制性规定不一致的，双方当事人应按照法律、行政法规的强制性规定修改本合同的相关条款。</w:t>
      </w:r>
    </w:p>
    <w:p w14:paraId="525F24C4">
      <w:pPr>
        <w:pageBreakBefore w:val="0"/>
        <w:numPr>
          <w:ilvl w:val="-1"/>
          <w:numId w:val="0"/>
        </w:numPr>
        <w:kinsoku/>
        <w:wordWrap/>
        <w:overflowPunct/>
        <w:topLinePunct w:val="0"/>
        <w:autoSpaceDE w:val="0"/>
        <w:autoSpaceDN w:val="0"/>
        <w:bidi w:val="0"/>
        <w:adjustRightInd w:val="0"/>
        <w:snapToGrid w:val="0"/>
        <w:spacing w:before="0" w:afterAutospacing="0" w:line="560" w:lineRule="exact"/>
        <w:jc w:val="left"/>
        <w:textAlignment w:val="auto"/>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lang w:val="en-US" w:eastAsia="zh-CN"/>
          <w14:textFill>
            <w14:solidFill>
              <w14:schemeClr w14:val="tx1"/>
            </w14:solidFill>
          </w14:textFill>
        </w:rPr>
        <w:t xml:space="preserve">22. </w:t>
      </w: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通知</w:t>
      </w:r>
    </w:p>
    <w:p w14:paraId="51D80671">
      <w:pPr>
        <w:pStyle w:val="171"/>
        <w:pageBreakBefore w:val="0"/>
        <w:kinsoku/>
        <w:wordWrap/>
        <w:overflowPunct/>
        <w:topLinePunct w:val="0"/>
        <w:bidi w:val="0"/>
        <w:spacing w:afterAutospacing="0" w:line="560" w:lineRule="exact"/>
        <w:jc w:val="both"/>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2</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.1</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本合同任何一方向对方发出的通知、信件、数据电文等，应当发送至本合同第一部分《合同协议书》所约定的通讯地址、联系人、联系电话或电子邮箱。</w:t>
      </w:r>
    </w:p>
    <w:p w14:paraId="361034D0">
      <w:pPr>
        <w:pStyle w:val="171"/>
        <w:pageBreakBefore w:val="0"/>
        <w:kinsoku/>
        <w:wordWrap/>
        <w:overflowPunct/>
        <w:topLinePunct w:val="0"/>
        <w:bidi w:val="0"/>
        <w:spacing w:afterAutospacing="0" w:line="560" w:lineRule="exact"/>
        <w:ind w:firstLine="0" w:firstLineChars="0"/>
        <w:jc w:val="both"/>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2</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.2</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一方当事人变更名称、</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住所</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、联系人、联系电话或电子邮箱</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等信息</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的，应当在变更后3日内及时书面通知对方，对方实际收到变更通知前的送达仍为有效送达。</w:t>
      </w:r>
    </w:p>
    <w:p w14:paraId="7787F0A0">
      <w:pPr>
        <w:pageBreakBefore w:val="0"/>
        <w:kinsoku/>
        <w:wordWrap/>
        <w:overflowPunct/>
        <w:topLinePunct w:val="0"/>
        <w:bidi w:val="0"/>
        <w:adjustRightInd w:val="0"/>
        <w:snapToGrid w:val="0"/>
        <w:spacing w:before="0" w:afterAutospacing="0" w:line="560" w:lineRule="exact"/>
        <w:ind w:firstLine="560" w:firstLineChars="200"/>
        <w:jc w:val="lef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2</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本合同一方给另一方的通知均应采用书面形式，传真或快递送到本合同中规定的对方的地址和办理签收手续。</w:t>
      </w:r>
    </w:p>
    <w:p w14:paraId="3E38BA33">
      <w:pPr>
        <w:pageBreakBefore w:val="0"/>
        <w:kinsoku/>
        <w:wordWrap/>
        <w:overflowPunct/>
        <w:topLinePunct w:val="0"/>
        <w:bidi w:val="0"/>
        <w:adjustRightInd w:val="0"/>
        <w:snapToGrid w:val="0"/>
        <w:spacing w:before="0" w:afterAutospacing="0" w:line="560" w:lineRule="exact"/>
        <w:ind w:firstLine="560" w:firstLineChars="200"/>
        <w:jc w:val="lef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2</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通知以送达之日或通知书中规定的生效之日起生效，两者中以较迟之日为准。</w:t>
      </w:r>
    </w:p>
    <w:p w14:paraId="6CE4E0F8">
      <w:pPr>
        <w:pageBreakBefore w:val="0"/>
        <w:numPr>
          <w:ilvl w:val="0"/>
          <w:numId w:val="10"/>
        </w:numPr>
        <w:kinsoku/>
        <w:wordWrap/>
        <w:overflowPunct/>
        <w:topLinePunct w:val="0"/>
        <w:bidi w:val="0"/>
        <w:adjustRightInd w:val="0"/>
        <w:snapToGrid w:val="0"/>
        <w:spacing w:before="0" w:afterAutospacing="0" w:line="560" w:lineRule="exact"/>
        <w:jc w:val="left"/>
        <w:textAlignment w:val="auto"/>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合同未尽事项</w:t>
      </w:r>
    </w:p>
    <w:p w14:paraId="5BD72DC4">
      <w:pPr>
        <w:pageBreakBefore w:val="0"/>
        <w:kinsoku/>
        <w:wordWrap/>
        <w:overflowPunct/>
        <w:topLinePunct w:val="0"/>
        <w:bidi w:val="0"/>
        <w:adjustRightInd w:val="0"/>
        <w:snapToGrid w:val="0"/>
        <w:spacing w:before="0" w:afterAutospacing="0" w:line="560" w:lineRule="exact"/>
        <w:ind w:firstLine="560" w:firstLineChars="200"/>
        <w:jc w:val="left"/>
        <w:textAlignment w:val="auto"/>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2</w:t>
      </w:r>
      <w:r>
        <w:rPr>
          <w:rFonts w:hint="eastAsia" w:asciiTheme="minorEastAsia" w:hAnsiTheme="minorEastAsia" w:eastAsiaTheme="minorEastAsia" w:cstheme="minorEastAsia"/>
          <w:bCs/>
          <w:color w:val="000000" w:themeColor="text1"/>
          <w:sz w:val="28"/>
          <w:szCs w:val="28"/>
          <w:highlight w:val="none"/>
          <w:lang w:val="en-US" w:eastAsia="zh-CN"/>
          <w14:textFill>
            <w14:solidFill>
              <w14:schemeClr w14:val="tx1"/>
            </w14:solidFill>
          </w14:textFill>
        </w:rPr>
        <w:t>3</w:t>
      </w: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.1合同未尽事项见</w:t>
      </w: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【合同专用条款】</w:t>
      </w: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w:t>
      </w:r>
    </w:p>
    <w:p w14:paraId="4E056EE1">
      <w:pPr>
        <w:pageBreakBefore w:val="0"/>
        <w:kinsoku/>
        <w:wordWrap/>
        <w:overflowPunct/>
        <w:topLinePunct w:val="0"/>
        <w:bidi w:val="0"/>
        <w:adjustRightInd w:val="0"/>
        <w:snapToGrid w:val="0"/>
        <w:spacing w:afterAutospacing="0" w:line="560" w:lineRule="exact"/>
        <w:ind w:firstLine="0" w:firstLineChars="0"/>
        <w:jc w:val="lef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8"/>
          <w:szCs w:val="28"/>
          <w:highlight w:val="none"/>
          <w:lang w:val="en-US" w:eastAsia="zh-CN"/>
          <w14:textFill>
            <w14:solidFill>
              <w14:schemeClr w14:val="tx1"/>
            </w14:solidFill>
          </w14:textFill>
        </w:rPr>
        <w:t xml:space="preserve">    23.2 合同附件与合同正文具有同等的法律效力。</w:t>
      </w:r>
    </w:p>
    <w:p w14:paraId="468F1C06">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b w:val="0"/>
          <w:bCs w:val="0"/>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8"/>
          <w:szCs w:val="28"/>
          <w:highlight w:val="none"/>
          <w14:textFill>
            <w14:solidFill>
              <w14:schemeClr w14:val="tx1"/>
            </w14:solidFill>
          </w14:textFill>
        </w:rPr>
        <w:br w:type="page"/>
      </w:r>
    </w:p>
    <w:p w14:paraId="7480ED4C">
      <w:pPr>
        <w:pStyle w:val="3"/>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b w:val="0"/>
          <w:bCs w:val="0"/>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8"/>
          <w:szCs w:val="28"/>
          <w:highlight w:val="none"/>
          <w14:textFill>
            <w14:solidFill>
              <w14:schemeClr w14:val="tx1"/>
            </w14:solidFill>
          </w14:textFill>
        </w:rPr>
        <w:t>第三节 合同专用条款</w:t>
      </w:r>
    </w:p>
    <w:tbl>
      <w:tblPr>
        <w:tblStyle w:val="34"/>
        <w:tblW w:w="9278"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750"/>
        <w:gridCol w:w="1897"/>
        <w:gridCol w:w="5631"/>
      </w:tblGrid>
      <w:tr w14:paraId="08545AE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750" w:type="dxa"/>
            <w:vAlign w:val="center"/>
          </w:tcPr>
          <w:p w14:paraId="57B60DAC">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第二节</w:t>
            </w:r>
          </w:p>
          <w:p w14:paraId="298B10F0">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第</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4.6款</w:t>
            </w:r>
          </w:p>
        </w:tc>
        <w:tc>
          <w:tcPr>
            <w:tcW w:w="1897" w:type="dxa"/>
            <w:vAlign w:val="center"/>
          </w:tcPr>
          <w:p w14:paraId="40C0CB8D">
            <w:pPr>
              <w:pageBreakBefore w:val="0"/>
              <w:kinsoku/>
              <w:wordWrap/>
              <w:overflowPunct/>
              <w:topLinePunct w:val="0"/>
              <w:bidi w:val="0"/>
              <w:adjustRightInd w:val="0"/>
              <w:snapToGrid w:val="0"/>
              <w:spacing w:afterAutospacing="0" w:line="560" w:lineRule="exact"/>
              <w:jc w:val="left"/>
              <w:textAlignment w:val="auto"/>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约定甲方承担的其他义务和责任</w:t>
            </w:r>
          </w:p>
        </w:tc>
        <w:tc>
          <w:tcPr>
            <w:tcW w:w="5631" w:type="dxa"/>
            <w:vAlign w:val="center"/>
          </w:tcPr>
          <w:p w14:paraId="47C8F262">
            <w:pPr>
              <w:pageBreakBefore w:val="0"/>
              <w:kinsoku/>
              <w:wordWrap/>
              <w:overflowPunct/>
              <w:topLinePunct w:val="0"/>
              <w:bidi w:val="0"/>
              <w:adjustRightInd w:val="0"/>
              <w:snapToGrid w:val="0"/>
              <w:spacing w:afterAutospacing="0" w:line="560" w:lineRule="exact"/>
              <w:jc w:val="left"/>
              <w:textAlignment w:val="auto"/>
              <w:rPr>
                <w:rFonts w:hint="eastAsia" w:asciiTheme="minorEastAsia" w:hAnsiTheme="minorEastAsia" w:eastAsiaTheme="minorEastAsia" w:cstheme="minorEastAsia"/>
                <w:color w:val="000000" w:themeColor="text1"/>
                <w:kern w:val="2"/>
                <w:sz w:val="28"/>
                <w:szCs w:val="28"/>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8"/>
                <w:szCs w:val="28"/>
                <w:highlight w:val="none"/>
                <w:lang w:val="en-US" w:eastAsia="zh-CN" w:bidi="ar-SA"/>
                <w14:textFill>
                  <w14:solidFill>
                    <w14:schemeClr w14:val="tx1"/>
                  </w14:solidFill>
                </w14:textFill>
              </w:rPr>
              <w:t>/</w:t>
            </w:r>
          </w:p>
        </w:tc>
      </w:tr>
      <w:tr w14:paraId="0E88B47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750" w:type="dxa"/>
            <w:vAlign w:val="center"/>
          </w:tcPr>
          <w:p w14:paraId="2322EF97">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第二节</w:t>
            </w:r>
          </w:p>
          <w:p w14:paraId="273D423B">
            <w:pPr>
              <w:pageBreakBefore w:val="0"/>
              <w:kinsoku/>
              <w:wordWrap/>
              <w:overflowPunct/>
              <w:topLinePunct w:val="0"/>
              <w:bidi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第</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5.4款</w:t>
            </w:r>
          </w:p>
        </w:tc>
        <w:tc>
          <w:tcPr>
            <w:tcW w:w="1897" w:type="dxa"/>
            <w:vAlign w:val="center"/>
          </w:tcPr>
          <w:p w14:paraId="3558982C">
            <w:pPr>
              <w:pageBreakBefore w:val="0"/>
              <w:kinsoku/>
              <w:wordWrap/>
              <w:overflowPunct/>
              <w:topLinePunct w:val="0"/>
              <w:bidi w:val="0"/>
              <w:adjustRightInd w:val="0"/>
              <w:snapToGrid w:val="0"/>
              <w:spacing w:afterAutospacing="0" w:line="560" w:lineRule="exact"/>
              <w:jc w:val="left"/>
              <w:textAlignment w:val="auto"/>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约定乙方承担的其他义务和责任</w:t>
            </w:r>
          </w:p>
        </w:tc>
        <w:tc>
          <w:tcPr>
            <w:tcW w:w="5631" w:type="dxa"/>
            <w:vAlign w:val="center"/>
          </w:tcPr>
          <w:p w14:paraId="314B47E3">
            <w:pPr>
              <w:pageBreakBefore w:val="0"/>
              <w:kinsoku/>
              <w:wordWrap/>
              <w:overflowPunct/>
              <w:topLinePunct w:val="0"/>
              <w:bidi w:val="0"/>
              <w:adjustRightInd w:val="0"/>
              <w:snapToGrid w:val="0"/>
              <w:spacing w:afterAutospacing="0" w:line="560" w:lineRule="exact"/>
              <w:jc w:val="left"/>
              <w:textAlignment w:val="auto"/>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1、在质保期内，乙方需提供免费的维修及零配件更换，乙方有义务向甲方提供合同项下设备的终生技术支持，包括技术咨询及技术人员的支持和零配件在设备使用寿命内的供应保证，更换配件的质保期应从更换之日起另行计算。</w:t>
            </w:r>
          </w:p>
          <w:p w14:paraId="7CED4CB4">
            <w:pPr>
              <w:pageBreakBefore w:val="0"/>
              <w:kinsoku/>
              <w:wordWrap/>
              <w:overflowPunct/>
              <w:topLinePunct w:val="0"/>
              <w:bidi w:val="0"/>
              <w:adjustRightInd w:val="0"/>
              <w:snapToGrid w:val="0"/>
              <w:spacing w:afterAutospacing="0" w:line="560" w:lineRule="exact"/>
              <w:jc w:val="left"/>
              <w:textAlignment w:val="auto"/>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2、在甲方发出要求服务通知的24小时内，乙方指派的服务人员必须到达用户方现场，对设备出现的较大的问题，解决时间不超过2个日历日。</w:t>
            </w:r>
          </w:p>
          <w:p w14:paraId="20B84868">
            <w:pPr>
              <w:pageBreakBefore w:val="0"/>
              <w:kinsoku/>
              <w:wordWrap/>
              <w:overflowPunct/>
              <w:topLinePunct w:val="0"/>
              <w:bidi w:val="0"/>
              <w:adjustRightInd w:val="0"/>
              <w:snapToGrid w:val="0"/>
              <w:spacing w:afterAutospacing="0" w:line="560" w:lineRule="exact"/>
              <w:jc w:val="left"/>
              <w:textAlignment w:val="auto"/>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3、如设备维修调试后达不到合同规定的质量或技术指标要求，甲方有权提出退货，并要求乙方退回货款。</w:t>
            </w:r>
          </w:p>
          <w:p w14:paraId="24E953E1">
            <w:pPr>
              <w:pageBreakBefore w:val="0"/>
              <w:kinsoku/>
              <w:wordWrap/>
              <w:overflowPunct/>
              <w:topLinePunct w:val="0"/>
              <w:bidi w:val="0"/>
              <w:adjustRightInd w:val="0"/>
              <w:snapToGrid w:val="0"/>
              <w:spacing w:afterAutospacing="0" w:line="560" w:lineRule="exact"/>
              <w:jc w:val="left"/>
              <w:textAlignment w:val="auto"/>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4、对于隐蔽性的、合理的检查和试验都不能发觉的缺陷，即使质量保证期已过，由于其产品本身的设计缺陷、制造缺陷、安装缺陷造成的故障，仍由乙方免费负责维修、更换。</w:t>
            </w:r>
          </w:p>
          <w:p w14:paraId="54037DB4">
            <w:pPr>
              <w:pStyle w:val="171"/>
              <w:pageBreakBefore w:val="0"/>
              <w:kinsoku/>
              <w:wordWrap/>
              <w:overflowPunct/>
              <w:topLinePunct w:val="0"/>
              <w:bidi w:val="0"/>
              <w:spacing w:afterAutospacing="0" w:line="560" w:lineRule="exact"/>
              <w:ind w:left="0" w:leftChars="0" w:firstLine="0" w:firstLineChars="0"/>
              <w:textAlignment w:val="auto"/>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8"/>
                <w:szCs w:val="28"/>
                <w:highlight w:val="none"/>
                <w:lang w:val="en-US" w:eastAsia="zh-CN" w:bidi="ar-SA"/>
                <w14:textFill>
                  <w14:solidFill>
                    <w14:schemeClr w14:val="tx1"/>
                  </w14:solidFill>
                </w14:textFill>
              </w:rPr>
              <w:t>5、质保期外，终身维修，定期保养，最优惠提供零配件、易损件和耗材。</w:t>
            </w:r>
          </w:p>
        </w:tc>
      </w:tr>
      <w:tr w14:paraId="5788457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750" w:type="dxa"/>
            <w:vAlign w:val="center"/>
          </w:tcPr>
          <w:p w14:paraId="7DE7F08D">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第二节</w:t>
            </w:r>
          </w:p>
          <w:p w14:paraId="126088CA">
            <w:pPr>
              <w:pageBreakBefore w:val="0"/>
              <w:kinsoku/>
              <w:wordWrap/>
              <w:overflowPunct/>
              <w:topLinePunct w:val="0"/>
              <w:bidi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第</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6.1款</w:t>
            </w:r>
          </w:p>
        </w:tc>
        <w:tc>
          <w:tcPr>
            <w:tcW w:w="1897" w:type="dxa"/>
            <w:vAlign w:val="center"/>
          </w:tcPr>
          <w:p w14:paraId="2DD5648B">
            <w:pPr>
              <w:pageBreakBefore w:val="0"/>
              <w:kinsoku/>
              <w:wordWrap/>
              <w:overflowPunct/>
              <w:topLinePunct w:val="0"/>
              <w:bidi w:val="0"/>
              <w:adjustRightInd w:val="0"/>
              <w:snapToGrid w:val="0"/>
              <w:spacing w:afterAutospacing="0" w:line="560" w:lineRule="exact"/>
              <w:jc w:val="left"/>
              <w:textAlignment w:val="auto"/>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履行合同义务的顺序</w:t>
            </w:r>
          </w:p>
        </w:tc>
        <w:tc>
          <w:tcPr>
            <w:tcW w:w="5631" w:type="dxa"/>
            <w:vAlign w:val="center"/>
          </w:tcPr>
          <w:p w14:paraId="534F7D8C">
            <w:pPr>
              <w:pageBreakBefore w:val="0"/>
              <w:kinsoku/>
              <w:wordWrap/>
              <w:overflowPunct/>
              <w:topLinePunct w:val="0"/>
              <w:bidi w:val="0"/>
              <w:adjustRightInd w:val="0"/>
              <w:snapToGrid w:val="0"/>
              <w:spacing w:afterAutospacing="0" w:line="560" w:lineRule="exact"/>
              <w:jc w:val="left"/>
              <w:textAlignment w:val="auto"/>
              <w:rPr>
                <w:rFonts w:hint="eastAsia" w:asciiTheme="minorEastAsia" w:hAnsiTheme="minorEastAsia" w:eastAsiaTheme="minorEastAsia" w:cstheme="minorEastAsia"/>
                <w:color w:val="000000" w:themeColor="text1"/>
                <w:kern w:val="2"/>
                <w:sz w:val="28"/>
                <w:szCs w:val="28"/>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8"/>
                <w:szCs w:val="28"/>
                <w:highlight w:val="none"/>
                <w:lang w:val="en-US" w:eastAsia="zh-CN" w:bidi="ar-SA"/>
                <w14:textFill>
                  <w14:solidFill>
                    <w14:schemeClr w14:val="tx1"/>
                  </w14:solidFill>
                </w14:textFill>
              </w:rPr>
              <w:t>/</w:t>
            </w:r>
          </w:p>
        </w:tc>
      </w:tr>
      <w:tr w14:paraId="520687A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750" w:type="dxa"/>
            <w:vMerge w:val="restart"/>
            <w:vAlign w:val="center"/>
          </w:tcPr>
          <w:p w14:paraId="62370390">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第二节</w:t>
            </w:r>
          </w:p>
          <w:p w14:paraId="6AA28B80">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第</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.1</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款</w:t>
            </w:r>
          </w:p>
        </w:tc>
        <w:tc>
          <w:tcPr>
            <w:tcW w:w="1897" w:type="dxa"/>
            <w:vAlign w:val="center"/>
          </w:tcPr>
          <w:p w14:paraId="66CADA09">
            <w:pPr>
              <w:pageBreakBefore w:val="0"/>
              <w:kinsoku/>
              <w:wordWrap/>
              <w:overflowPunct/>
              <w:topLinePunct w:val="0"/>
              <w:bidi w:val="0"/>
              <w:adjustRightInd w:val="0"/>
              <w:snapToGrid w:val="0"/>
              <w:spacing w:afterAutospacing="0" w:line="560" w:lineRule="exact"/>
              <w:jc w:val="lef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包装</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特殊要求</w:t>
            </w:r>
          </w:p>
        </w:tc>
        <w:tc>
          <w:tcPr>
            <w:tcW w:w="5631" w:type="dxa"/>
            <w:vAlign w:val="center"/>
          </w:tcPr>
          <w:p w14:paraId="4EE3A169">
            <w:pPr>
              <w:pageBreakBefore w:val="0"/>
              <w:kinsoku/>
              <w:wordWrap/>
              <w:overflowPunct/>
              <w:topLinePunct w:val="0"/>
              <w:bidi w:val="0"/>
              <w:spacing w:afterAutospacing="0" w:line="560" w:lineRule="exac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乙方必须提供未经使用的全新产品，采用厂家原装包装。由于包装不善所发生的一切费用和损失，由乙方负担。</w:t>
            </w:r>
          </w:p>
        </w:tc>
      </w:tr>
      <w:tr w14:paraId="6414E86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750" w:type="dxa"/>
            <w:vMerge w:val="continue"/>
            <w:vAlign w:val="center"/>
          </w:tcPr>
          <w:p w14:paraId="538039C4">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p>
        </w:tc>
        <w:tc>
          <w:tcPr>
            <w:tcW w:w="1897" w:type="dxa"/>
            <w:vAlign w:val="center"/>
          </w:tcPr>
          <w:p w14:paraId="2F02C7BF">
            <w:pPr>
              <w:pageBreakBefore w:val="0"/>
              <w:kinsoku/>
              <w:wordWrap/>
              <w:overflowPunct/>
              <w:topLinePunct w:val="0"/>
              <w:bidi w:val="0"/>
              <w:adjustRightInd w:val="0"/>
              <w:snapToGrid w:val="0"/>
              <w:spacing w:afterAutospacing="0" w:line="560" w:lineRule="exact"/>
              <w:jc w:val="left"/>
              <w:textAlignment w:val="auto"/>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指定现场</w:t>
            </w:r>
          </w:p>
        </w:tc>
        <w:tc>
          <w:tcPr>
            <w:tcW w:w="5631" w:type="dxa"/>
            <w:vAlign w:val="center"/>
          </w:tcPr>
          <w:p w14:paraId="05594314">
            <w:pPr>
              <w:pageBreakBefore w:val="0"/>
              <w:kinsoku/>
              <w:wordWrap/>
              <w:overflowPunct/>
              <w:topLinePunct w:val="0"/>
              <w:bidi w:val="0"/>
              <w:spacing w:afterAutospacing="0" w:line="560" w:lineRule="exact"/>
              <w:textAlignment w:val="auto"/>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甲方指定地点</w:t>
            </w:r>
          </w:p>
        </w:tc>
      </w:tr>
      <w:tr w14:paraId="56E1A70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750" w:type="dxa"/>
            <w:vAlign w:val="center"/>
          </w:tcPr>
          <w:p w14:paraId="5BBF07F7">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第二节</w:t>
            </w:r>
          </w:p>
          <w:p w14:paraId="1A7639F7">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第</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.2</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款</w:t>
            </w:r>
          </w:p>
        </w:tc>
        <w:tc>
          <w:tcPr>
            <w:tcW w:w="1897" w:type="dxa"/>
            <w:vAlign w:val="center"/>
          </w:tcPr>
          <w:p w14:paraId="00632425">
            <w:pPr>
              <w:pageBreakBefore w:val="0"/>
              <w:kinsoku/>
              <w:wordWrap/>
              <w:overflowPunct/>
              <w:topLinePunct w:val="0"/>
              <w:bidi w:val="0"/>
              <w:adjustRightInd w:val="0"/>
              <w:snapToGrid w:val="0"/>
              <w:spacing w:afterAutospacing="0" w:line="560" w:lineRule="exact"/>
              <w:jc w:val="left"/>
              <w:textAlignment w:val="auto"/>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运输特殊要求</w:t>
            </w:r>
          </w:p>
        </w:tc>
        <w:tc>
          <w:tcPr>
            <w:tcW w:w="5631" w:type="dxa"/>
            <w:vAlign w:val="center"/>
          </w:tcPr>
          <w:p w14:paraId="56A65FDF">
            <w:pPr>
              <w:pageBreakBefore w:val="0"/>
              <w:kinsoku/>
              <w:wordWrap/>
              <w:overflowPunct/>
              <w:topLinePunct w:val="0"/>
              <w:bidi w:val="0"/>
              <w:spacing w:afterAutospacing="0" w:line="560" w:lineRule="exact"/>
              <w:textAlignment w:val="auto"/>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w:t>
            </w:r>
          </w:p>
        </w:tc>
      </w:tr>
      <w:tr w14:paraId="7BFE05F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750" w:type="dxa"/>
            <w:vAlign w:val="center"/>
          </w:tcPr>
          <w:p w14:paraId="45ACFCD0">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第二节</w:t>
            </w:r>
          </w:p>
          <w:p w14:paraId="77BB3D39">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第</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.3</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款</w:t>
            </w:r>
          </w:p>
        </w:tc>
        <w:tc>
          <w:tcPr>
            <w:tcW w:w="1897" w:type="dxa"/>
            <w:vAlign w:val="center"/>
          </w:tcPr>
          <w:p w14:paraId="7D7C7129">
            <w:pPr>
              <w:pageBreakBefore w:val="0"/>
              <w:kinsoku/>
              <w:wordWrap/>
              <w:overflowPunct/>
              <w:topLinePunct w:val="0"/>
              <w:bidi w:val="0"/>
              <w:adjustRightInd w:val="0"/>
              <w:snapToGrid w:val="0"/>
              <w:spacing w:afterAutospacing="0" w:line="560" w:lineRule="exact"/>
              <w:jc w:val="left"/>
              <w:textAlignment w:val="auto"/>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保险要求</w:t>
            </w:r>
          </w:p>
        </w:tc>
        <w:tc>
          <w:tcPr>
            <w:tcW w:w="5631" w:type="dxa"/>
            <w:vAlign w:val="center"/>
          </w:tcPr>
          <w:p w14:paraId="1C11539C">
            <w:pPr>
              <w:pageBreakBefore w:val="0"/>
              <w:kinsoku/>
              <w:wordWrap/>
              <w:overflowPunct/>
              <w:topLinePunct w:val="0"/>
              <w:bidi w:val="0"/>
              <w:spacing w:afterAutospacing="0" w:line="560" w:lineRule="exact"/>
              <w:textAlignment w:val="auto"/>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w:t>
            </w:r>
          </w:p>
        </w:tc>
      </w:tr>
      <w:tr w14:paraId="1CE328C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750" w:type="dxa"/>
            <w:vAlign w:val="center"/>
          </w:tcPr>
          <w:p w14:paraId="511C4A50">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第二节</w:t>
            </w:r>
          </w:p>
          <w:p w14:paraId="7044B5E7">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第</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.2（1）项</w:t>
            </w:r>
          </w:p>
        </w:tc>
        <w:tc>
          <w:tcPr>
            <w:tcW w:w="1897" w:type="dxa"/>
            <w:vAlign w:val="center"/>
          </w:tcPr>
          <w:p w14:paraId="02719082">
            <w:pPr>
              <w:pageBreakBefore w:val="0"/>
              <w:kinsoku/>
              <w:wordWrap/>
              <w:overflowPunct/>
              <w:topLinePunct w:val="0"/>
              <w:bidi w:val="0"/>
              <w:adjustRightInd w:val="0"/>
              <w:snapToGrid w:val="0"/>
              <w:spacing w:afterAutospacing="0" w:line="560" w:lineRule="exact"/>
              <w:jc w:val="lef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质量保证期</w:t>
            </w:r>
          </w:p>
        </w:tc>
        <w:tc>
          <w:tcPr>
            <w:tcW w:w="5631" w:type="dxa"/>
            <w:vAlign w:val="center"/>
          </w:tcPr>
          <w:p w14:paraId="77FD6D8D">
            <w:pPr>
              <w:pageBreakBefore w:val="0"/>
              <w:kinsoku/>
              <w:wordWrap/>
              <w:overflowPunct/>
              <w:topLinePunct w:val="0"/>
              <w:autoSpaceDE w:val="0"/>
              <w:autoSpaceDN w:val="0"/>
              <w:bidi w:val="0"/>
              <w:adjustRightInd w:val="0"/>
              <w:snapToGrid w:val="0"/>
              <w:spacing w:afterAutospacing="0" w:line="560" w:lineRule="exact"/>
              <w:jc w:val="left"/>
              <w:textAlignment w:val="auto"/>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自货物验收合格之日起   年。</w:t>
            </w:r>
          </w:p>
        </w:tc>
      </w:tr>
      <w:tr w14:paraId="0FFDA3A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750" w:type="dxa"/>
            <w:vAlign w:val="center"/>
          </w:tcPr>
          <w:p w14:paraId="5FC9DC9F">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第二节</w:t>
            </w:r>
          </w:p>
          <w:p w14:paraId="0FF46754">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第</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.2（3）项</w:t>
            </w:r>
          </w:p>
        </w:tc>
        <w:tc>
          <w:tcPr>
            <w:tcW w:w="1897" w:type="dxa"/>
            <w:vAlign w:val="center"/>
          </w:tcPr>
          <w:p w14:paraId="26DE32B6">
            <w:pPr>
              <w:pageBreakBefore w:val="0"/>
              <w:kinsoku/>
              <w:wordWrap/>
              <w:overflowPunct/>
              <w:topLinePunct w:val="0"/>
              <w:bidi w:val="0"/>
              <w:adjustRightInd w:val="0"/>
              <w:snapToGrid w:val="0"/>
              <w:spacing w:afterAutospacing="0" w:line="560" w:lineRule="exact"/>
              <w:jc w:val="left"/>
              <w:textAlignment w:val="auto"/>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货物质量缺陷</w:t>
            </w:r>
          </w:p>
          <w:p w14:paraId="39CA9FC9">
            <w:pPr>
              <w:pageBreakBefore w:val="0"/>
              <w:kinsoku/>
              <w:wordWrap/>
              <w:overflowPunct/>
              <w:topLinePunct w:val="0"/>
              <w:bidi w:val="0"/>
              <w:adjustRightInd w:val="0"/>
              <w:snapToGrid w:val="0"/>
              <w:spacing w:afterAutospacing="0" w:line="560" w:lineRule="exact"/>
              <w:jc w:val="lef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响应时间</w:t>
            </w:r>
          </w:p>
        </w:tc>
        <w:tc>
          <w:tcPr>
            <w:tcW w:w="5631" w:type="dxa"/>
            <w:vAlign w:val="center"/>
          </w:tcPr>
          <w:p w14:paraId="35B17849">
            <w:pPr>
              <w:pageBreakBefore w:val="0"/>
              <w:kinsoku/>
              <w:wordWrap/>
              <w:overflowPunct/>
              <w:topLinePunct w:val="0"/>
              <w:bidi w:val="0"/>
              <w:adjustRightInd w:val="0"/>
              <w:snapToGrid w:val="0"/>
              <w:spacing w:afterAutospacing="0" w:line="560" w:lineRule="exact"/>
              <w:jc w:val="both"/>
              <w:textAlignment w:val="auto"/>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收到甲方通知起一日内。</w:t>
            </w:r>
          </w:p>
        </w:tc>
      </w:tr>
      <w:tr w14:paraId="503E500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750" w:type="dxa"/>
            <w:vAlign w:val="center"/>
          </w:tcPr>
          <w:p w14:paraId="525A55A7">
            <w:pPr>
              <w:pageBreakBefore w:val="0"/>
              <w:kinsoku/>
              <w:wordWrap/>
              <w:overflowPunct/>
              <w:topLinePunct w:val="0"/>
              <w:bidi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第二节</w:t>
            </w:r>
          </w:p>
          <w:p w14:paraId="772B31D5">
            <w:pPr>
              <w:pStyle w:val="171"/>
              <w:pageBreakBefore w:val="0"/>
              <w:kinsoku/>
              <w:wordWrap/>
              <w:overflowPunct/>
              <w:topLinePunct w:val="0"/>
              <w:bidi w:val="0"/>
              <w:spacing w:afterAutospacing="0" w:line="560" w:lineRule="exact"/>
              <w:ind w:firstLine="0" w:firstLineChars="0"/>
              <w:jc w:val="center"/>
              <w:textAlignment w:val="auto"/>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第11.1款</w:t>
            </w:r>
          </w:p>
        </w:tc>
        <w:tc>
          <w:tcPr>
            <w:tcW w:w="1897" w:type="dxa"/>
            <w:vAlign w:val="center"/>
          </w:tcPr>
          <w:p w14:paraId="618D4755">
            <w:pPr>
              <w:pageBreakBefore w:val="0"/>
              <w:kinsoku/>
              <w:wordWrap/>
              <w:overflowPunct/>
              <w:topLinePunct w:val="0"/>
              <w:bidi w:val="0"/>
              <w:adjustRightInd w:val="0"/>
              <w:snapToGrid w:val="0"/>
              <w:spacing w:afterAutospacing="0" w:line="560" w:lineRule="exact"/>
              <w:jc w:val="both"/>
              <w:textAlignment w:val="auto"/>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其他应当保密的信息</w:t>
            </w:r>
          </w:p>
        </w:tc>
        <w:tc>
          <w:tcPr>
            <w:tcW w:w="5631" w:type="dxa"/>
            <w:vAlign w:val="center"/>
          </w:tcPr>
          <w:p w14:paraId="491014A5">
            <w:pPr>
              <w:pageBreakBefore w:val="0"/>
              <w:kinsoku/>
              <w:wordWrap/>
              <w:overflowPunct/>
              <w:topLinePunct w:val="0"/>
              <w:bidi w:val="0"/>
              <w:adjustRightInd w:val="0"/>
              <w:snapToGrid w:val="0"/>
              <w:spacing w:afterAutospacing="0" w:line="560" w:lineRule="exact"/>
              <w:jc w:val="left"/>
              <w:textAlignment w:val="auto"/>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w:t>
            </w:r>
          </w:p>
        </w:tc>
      </w:tr>
      <w:tr w14:paraId="659E0B7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750" w:type="dxa"/>
            <w:vAlign w:val="center"/>
          </w:tcPr>
          <w:p w14:paraId="58CC7D2C">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第二节</w:t>
            </w:r>
          </w:p>
          <w:p w14:paraId="70F01B62">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第1</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.2款</w:t>
            </w:r>
          </w:p>
        </w:tc>
        <w:tc>
          <w:tcPr>
            <w:tcW w:w="1897" w:type="dxa"/>
            <w:vAlign w:val="center"/>
          </w:tcPr>
          <w:p w14:paraId="1BE1AFBD">
            <w:pPr>
              <w:pageBreakBefore w:val="0"/>
              <w:kinsoku/>
              <w:wordWrap/>
              <w:overflowPunct/>
              <w:topLinePunct w:val="0"/>
              <w:bidi w:val="0"/>
              <w:adjustRightInd w:val="0"/>
              <w:snapToGrid w:val="0"/>
              <w:spacing w:afterAutospacing="0" w:line="560" w:lineRule="exact"/>
              <w:jc w:val="left"/>
              <w:textAlignment w:val="auto"/>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合同价款支付</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时间</w:t>
            </w:r>
          </w:p>
        </w:tc>
        <w:tc>
          <w:tcPr>
            <w:tcW w:w="5631" w:type="dxa"/>
            <w:vAlign w:val="center"/>
          </w:tcPr>
          <w:p w14:paraId="0A68E9BE">
            <w:pPr>
              <w:pageBreakBefore w:val="0"/>
              <w:kinsoku/>
              <w:wordWrap/>
              <w:overflowPunct/>
              <w:topLinePunct w:val="0"/>
              <w:bidi w:val="0"/>
              <w:adjustRightInd w:val="0"/>
              <w:snapToGrid w:val="0"/>
              <w:spacing w:afterAutospacing="0" w:line="560" w:lineRule="exact"/>
              <w:jc w:val="left"/>
              <w:textAlignment w:val="auto"/>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符合合同价款支付条件，乙方开具合法有效的发票后30日内支付。</w:t>
            </w:r>
          </w:p>
        </w:tc>
      </w:tr>
      <w:tr w14:paraId="6402C41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750" w:type="dxa"/>
            <w:vAlign w:val="center"/>
          </w:tcPr>
          <w:p w14:paraId="31EC1B71">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第二节</w:t>
            </w:r>
          </w:p>
          <w:p w14:paraId="37A43AFE">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第</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13.2</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款</w:t>
            </w:r>
          </w:p>
        </w:tc>
        <w:tc>
          <w:tcPr>
            <w:tcW w:w="1897" w:type="dxa"/>
            <w:vAlign w:val="center"/>
          </w:tcPr>
          <w:p w14:paraId="0AA5C9B4">
            <w:pPr>
              <w:pageBreakBefore w:val="0"/>
              <w:kinsoku/>
              <w:wordWrap/>
              <w:overflowPunct/>
              <w:topLinePunct w:val="0"/>
              <w:bidi w:val="0"/>
              <w:adjustRightInd w:val="0"/>
              <w:snapToGrid w:val="0"/>
              <w:spacing w:afterAutospacing="0" w:line="560" w:lineRule="exact"/>
              <w:jc w:val="left"/>
              <w:textAlignment w:val="auto"/>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履约保证金不予退还的情形</w:t>
            </w:r>
          </w:p>
        </w:tc>
        <w:tc>
          <w:tcPr>
            <w:tcW w:w="5631" w:type="dxa"/>
            <w:vAlign w:val="center"/>
          </w:tcPr>
          <w:p w14:paraId="55CBB397">
            <w:pPr>
              <w:pageBreakBefore w:val="0"/>
              <w:kinsoku/>
              <w:wordWrap/>
              <w:overflowPunct/>
              <w:topLinePunct w:val="0"/>
              <w:bidi w:val="0"/>
              <w:adjustRightInd w:val="0"/>
              <w:snapToGrid w:val="0"/>
              <w:spacing w:afterAutospacing="0" w:line="560" w:lineRule="exact"/>
              <w:jc w:val="left"/>
              <w:textAlignment w:val="auto"/>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因乙方原因，造成货物在质保期内不能正常使用，且乙方未在规定时间进行维修、更换。</w:t>
            </w:r>
          </w:p>
        </w:tc>
      </w:tr>
      <w:tr w14:paraId="08F22BF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750" w:type="dxa"/>
            <w:vAlign w:val="center"/>
          </w:tcPr>
          <w:p w14:paraId="1C9720D9">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第二节</w:t>
            </w:r>
          </w:p>
          <w:p w14:paraId="52E1BBD5">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第</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13.3</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款</w:t>
            </w:r>
          </w:p>
        </w:tc>
        <w:tc>
          <w:tcPr>
            <w:tcW w:w="1897" w:type="dxa"/>
            <w:vAlign w:val="center"/>
          </w:tcPr>
          <w:p w14:paraId="7A3FECC2">
            <w:pPr>
              <w:pageBreakBefore w:val="0"/>
              <w:kinsoku/>
              <w:wordWrap/>
              <w:overflowPunct/>
              <w:topLinePunct w:val="0"/>
              <w:bidi w:val="0"/>
              <w:adjustRightInd w:val="0"/>
              <w:snapToGrid w:val="0"/>
              <w:spacing w:afterAutospacing="0" w:line="560" w:lineRule="exact"/>
              <w:jc w:val="lef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履约保证金退还时间及</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逾期退还的</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违约金</w:t>
            </w:r>
          </w:p>
        </w:tc>
        <w:tc>
          <w:tcPr>
            <w:tcW w:w="5631" w:type="dxa"/>
            <w:vAlign w:val="center"/>
          </w:tcPr>
          <w:p w14:paraId="7803CF44">
            <w:pPr>
              <w:pageBreakBefore w:val="0"/>
              <w:kinsoku/>
              <w:wordWrap/>
              <w:overflowPunct/>
              <w:topLinePunct w:val="0"/>
              <w:bidi w:val="0"/>
              <w:adjustRightInd w:val="0"/>
              <w:snapToGrid w:val="0"/>
              <w:spacing w:afterAutospacing="0" w:line="560" w:lineRule="exact"/>
              <w:jc w:val="left"/>
              <w:textAlignment w:val="auto"/>
              <w:rPr>
                <w:rFonts w:hint="eastAsia" w:asciiTheme="minorEastAsia" w:hAnsiTheme="minorEastAsia" w:eastAsiaTheme="minorEastAsia" w:cstheme="minorEastAsia"/>
                <w:color w:val="000000" w:themeColor="text1"/>
                <w:sz w:val="28"/>
                <w:szCs w:val="28"/>
                <w:highlight w:val="none"/>
                <w:lang w:val="en-US"/>
                <w14:textFill>
                  <w14:solidFill>
                    <w14:schemeClr w14:val="tx1"/>
                  </w14:solidFill>
                </w14:textFill>
              </w:rPr>
            </w:pPr>
            <w:r>
              <w:rPr>
                <w:rFonts w:hint="eastAsia" w:asciiTheme="minorEastAsia" w:hAnsiTheme="minorEastAsia" w:eastAsiaTheme="minorEastAsia" w:cstheme="minorEastAsia"/>
                <w:bCs/>
                <w:color w:val="000000" w:themeColor="text1"/>
                <w:sz w:val="28"/>
                <w:szCs w:val="28"/>
                <w:highlight w:val="none"/>
                <w:u w:val="none"/>
                <w:lang w:eastAsia="zh-CN"/>
                <w14:textFill>
                  <w14:solidFill>
                    <w14:schemeClr w14:val="tx1"/>
                  </w14:solidFill>
                </w14:textFill>
              </w:rPr>
              <w:t>乙方完成合同约定的所有责任、义务后无息支付</w:t>
            </w:r>
            <w:r>
              <w:rPr>
                <w:rFonts w:hint="eastAsia" w:asciiTheme="minorEastAsia" w:hAnsiTheme="minorEastAsia" w:eastAsiaTheme="minorEastAsia" w:cstheme="minorEastAsia"/>
                <w:bCs/>
                <w:color w:val="000000" w:themeColor="text1"/>
                <w:sz w:val="28"/>
                <w:szCs w:val="28"/>
                <w:highlight w:val="none"/>
                <w:u w:val="none"/>
                <w:lang w:val="en-US" w:eastAsia="zh-CN"/>
                <w14:textFill>
                  <w14:solidFill>
                    <w14:schemeClr w14:val="tx1"/>
                  </w14:solidFill>
                </w14:textFill>
              </w:rPr>
              <w:t>。</w:t>
            </w:r>
          </w:p>
        </w:tc>
      </w:tr>
      <w:tr w14:paraId="0DC20A0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750" w:type="dxa"/>
            <w:vAlign w:val="center"/>
          </w:tcPr>
          <w:p w14:paraId="301D4C96">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第二节</w:t>
            </w:r>
          </w:p>
          <w:p w14:paraId="0DDE26D7">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第1</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.1（</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）项</w:t>
            </w:r>
          </w:p>
        </w:tc>
        <w:tc>
          <w:tcPr>
            <w:tcW w:w="1897" w:type="dxa"/>
            <w:vAlign w:val="center"/>
          </w:tcPr>
          <w:p w14:paraId="17B7BB4A">
            <w:pPr>
              <w:pageBreakBefore w:val="0"/>
              <w:kinsoku/>
              <w:wordWrap/>
              <w:overflowPunct/>
              <w:topLinePunct w:val="0"/>
              <w:bidi w:val="0"/>
              <w:adjustRightInd w:val="0"/>
              <w:snapToGrid w:val="0"/>
              <w:spacing w:afterAutospacing="0" w:line="560" w:lineRule="exact"/>
              <w:jc w:val="left"/>
              <w:textAlignment w:val="auto"/>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运行监督、维修期限</w:t>
            </w:r>
          </w:p>
        </w:tc>
        <w:tc>
          <w:tcPr>
            <w:tcW w:w="5631" w:type="dxa"/>
            <w:vAlign w:val="center"/>
          </w:tcPr>
          <w:p w14:paraId="373E2B7B">
            <w:pPr>
              <w:pageBreakBefore w:val="0"/>
              <w:kinsoku/>
              <w:wordWrap/>
              <w:overflowPunct/>
              <w:topLinePunct w:val="0"/>
              <w:bidi w:val="0"/>
              <w:adjustRightInd w:val="0"/>
              <w:snapToGrid w:val="0"/>
              <w:spacing w:afterAutospacing="0" w:line="560" w:lineRule="exact"/>
              <w:jc w:val="left"/>
              <w:textAlignment w:val="auto"/>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乙方应在货物验收合格后，每</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 xml:space="preserve">   月对货物进行运行监督，并留存书面资料。</w:t>
            </w:r>
          </w:p>
        </w:tc>
      </w:tr>
      <w:tr w14:paraId="6D442F6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750" w:type="dxa"/>
            <w:vAlign w:val="center"/>
          </w:tcPr>
          <w:p w14:paraId="23CEC3A2">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第二节</w:t>
            </w:r>
          </w:p>
          <w:p w14:paraId="280C5647">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第1</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.1（</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）项</w:t>
            </w:r>
          </w:p>
        </w:tc>
        <w:tc>
          <w:tcPr>
            <w:tcW w:w="1897" w:type="dxa"/>
            <w:vAlign w:val="center"/>
          </w:tcPr>
          <w:p w14:paraId="31808E64">
            <w:pPr>
              <w:pageBreakBefore w:val="0"/>
              <w:kinsoku/>
              <w:wordWrap/>
              <w:overflowPunct/>
              <w:topLinePunct w:val="0"/>
              <w:bidi w:val="0"/>
              <w:adjustRightInd w:val="0"/>
              <w:snapToGrid w:val="0"/>
              <w:spacing w:afterAutospacing="0" w:line="560" w:lineRule="exact"/>
              <w:jc w:val="left"/>
              <w:textAlignment w:val="auto"/>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货物回收的约定</w:t>
            </w:r>
          </w:p>
        </w:tc>
        <w:tc>
          <w:tcPr>
            <w:tcW w:w="5631" w:type="dxa"/>
            <w:vAlign w:val="center"/>
          </w:tcPr>
          <w:p w14:paraId="162AD52A">
            <w:pPr>
              <w:pageBreakBefore w:val="0"/>
              <w:kinsoku/>
              <w:wordWrap/>
              <w:overflowPunct/>
              <w:topLinePunct w:val="0"/>
              <w:bidi w:val="0"/>
              <w:adjustRightInd w:val="0"/>
              <w:snapToGrid w:val="0"/>
              <w:spacing w:afterAutospacing="0" w:line="560" w:lineRule="exact"/>
              <w:jc w:val="left"/>
              <w:textAlignment w:val="auto"/>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w:t>
            </w:r>
          </w:p>
        </w:tc>
      </w:tr>
      <w:tr w14:paraId="240CF18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750" w:type="dxa"/>
            <w:vAlign w:val="center"/>
          </w:tcPr>
          <w:p w14:paraId="44BB75DA">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第二节</w:t>
            </w:r>
          </w:p>
          <w:p w14:paraId="6CEE7788">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第1</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.1（</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）项</w:t>
            </w:r>
          </w:p>
        </w:tc>
        <w:tc>
          <w:tcPr>
            <w:tcW w:w="1897" w:type="dxa"/>
            <w:vAlign w:val="center"/>
          </w:tcPr>
          <w:p w14:paraId="1B31CE98">
            <w:pPr>
              <w:pageBreakBefore w:val="0"/>
              <w:kinsoku/>
              <w:wordWrap/>
              <w:overflowPunct/>
              <w:topLinePunct w:val="0"/>
              <w:bidi w:val="0"/>
              <w:adjustRightInd w:val="0"/>
              <w:snapToGrid w:val="0"/>
              <w:spacing w:afterAutospacing="0" w:line="560" w:lineRule="exact"/>
              <w:jc w:val="lef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乙方提供的其他服务</w:t>
            </w:r>
          </w:p>
        </w:tc>
        <w:tc>
          <w:tcPr>
            <w:tcW w:w="5631" w:type="dxa"/>
            <w:vAlign w:val="center"/>
          </w:tcPr>
          <w:p w14:paraId="34F65E73">
            <w:pPr>
              <w:pageBreakBefore w:val="0"/>
              <w:kinsoku/>
              <w:wordWrap/>
              <w:overflowPunct/>
              <w:topLinePunct w:val="0"/>
              <w:bidi w:val="0"/>
              <w:adjustRightInd w:val="0"/>
              <w:snapToGrid w:val="0"/>
              <w:spacing w:afterAutospacing="0" w:line="560" w:lineRule="exact"/>
              <w:jc w:val="left"/>
              <w:textAlignment w:val="auto"/>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乙方须保障甲方在使用其设备、服务及其任何部分不受到第三方关于侵犯专利权、商标权或工业设计权的指控。任何第三方如果提供侵权指控，乙方须与第三方交涉并承担由此而引起的一切法律责任和费用。</w:t>
            </w:r>
          </w:p>
        </w:tc>
      </w:tr>
      <w:tr w14:paraId="28B2565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750" w:type="dxa"/>
            <w:vAlign w:val="center"/>
          </w:tcPr>
          <w:p w14:paraId="1420729F">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第二节</w:t>
            </w:r>
          </w:p>
          <w:p w14:paraId="638A957E">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第1</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1款</w:t>
            </w:r>
          </w:p>
        </w:tc>
        <w:tc>
          <w:tcPr>
            <w:tcW w:w="1897" w:type="dxa"/>
            <w:vAlign w:val="center"/>
          </w:tcPr>
          <w:p w14:paraId="635656C2">
            <w:pPr>
              <w:pageBreakBefore w:val="0"/>
              <w:kinsoku/>
              <w:wordWrap/>
              <w:overflowPunct/>
              <w:topLinePunct w:val="0"/>
              <w:bidi w:val="0"/>
              <w:adjustRightInd w:val="0"/>
              <w:snapToGrid w:val="0"/>
              <w:spacing w:afterAutospacing="0" w:line="560" w:lineRule="exact"/>
              <w:jc w:val="lef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修理、重作、更换相关具体规定</w:t>
            </w:r>
          </w:p>
        </w:tc>
        <w:tc>
          <w:tcPr>
            <w:tcW w:w="5631" w:type="dxa"/>
            <w:vAlign w:val="center"/>
          </w:tcPr>
          <w:p w14:paraId="261A9DE6">
            <w:pPr>
              <w:pageBreakBefore w:val="0"/>
              <w:kinsoku/>
              <w:wordWrap/>
              <w:overflowPunct/>
              <w:topLinePunct w:val="0"/>
              <w:bidi w:val="0"/>
              <w:adjustRightInd w:val="0"/>
              <w:snapToGrid w:val="0"/>
              <w:spacing w:afterAutospacing="0" w:line="560" w:lineRule="exact"/>
              <w:jc w:val="left"/>
              <w:textAlignment w:val="auto"/>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乙方</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提供</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的产品不符合</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合同约定的</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质量标准或存在产品质量缺陷</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w:t>
            </w:r>
          </w:p>
        </w:tc>
      </w:tr>
      <w:tr w14:paraId="2F622C7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750" w:type="dxa"/>
            <w:vAlign w:val="center"/>
          </w:tcPr>
          <w:p w14:paraId="0082BB61">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第二节</w:t>
            </w:r>
          </w:p>
          <w:p w14:paraId="3DC618E8">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第1</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.2（2）项</w:t>
            </w:r>
          </w:p>
        </w:tc>
        <w:tc>
          <w:tcPr>
            <w:tcW w:w="1897" w:type="dxa"/>
            <w:vAlign w:val="center"/>
          </w:tcPr>
          <w:p w14:paraId="117DEF9E">
            <w:pPr>
              <w:pageBreakBefore w:val="0"/>
              <w:kinsoku/>
              <w:wordWrap/>
              <w:overflowPunct/>
              <w:topLinePunct w:val="0"/>
              <w:bidi w:val="0"/>
              <w:adjustRightInd w:val="0"/>
              <w:snapToGrid w:val="0"/>
              <w:spacing w:afterAutospacing="0" w:line="560" w:lineRule="exact"/>
              <w:jc w:val="lef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迟延交货赔偿费</w:t>
            </w:r>
          </w:p>
        </w:tc>
        <w:tc>
          <w:tcPr>
            <w:tcW w:w="5631" w:type="dxa"/>
            <w:vAlign w:val="center"/>
          </w:tcPr>
          <w:p w14:paraId="5C20AF7E">
            <w:pPr>
              <w:pageBreakBefore w:val="0"/>
              <w:kinsoku/>
              <w:wordWrap/>
              <w:overflowPunct/>
              <w:topLinePunct w:val="0"/>
              <w:bidi w:val="0"/>
              <w:adjustRightInd w:val="0"/>
              <w:snapToGrid w:val="0"/>
              <w:spacing w:afterAutospacing="0" w:line="560" w:lineRule="exact"/>
              <w:jc w:val="left"/>
              <w:textAlignment w:val="auto"/>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1.乙方应按合同约定的时间及地点向甲方提供符合验收条件的货物，因乙方原因造成项目未在约定期限内完成验收，每逾期一日，按合同金额的0.5%向甲方支付违约金，对甲方造成相应损失的，还应据实赔偿。逾期超过7天的，视为乙方不能交货，甲方有权要求乙方继续交货并按照前述标准支付违约金。此种情形下，甲方也有权解除本合同并追究乙方的不能交货的违约责任。</w:t>
            </w:r>
          </w:p>
        </w:tc>
      </w:tr>
      <w:tr w14:paraId="7BF0D8B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750" w:type="dxa"/>
            <w:vAlign w:val="center"/>
          </w:tcPr>
          <w:p w14:paraId="3B0AE8C5">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第二节</w:t>
            </w:r>
          </w:p>
          <w:p w14:paraId="4A58D72C">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第1</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3款</w:t>
            </w:r>
          </w:p>
        </w:tc>
        <w:tc>
          <w:tcPr>
            <w:tcW w:w="1897" w:type="dxa"/>
            <w:vAlign w:val="center"/>
          </w:tcPr>
          <w:p w14:paraId="1B404B1D">
            <w:pPr>
              <w:pageBreakBefore w:val="0"/>
              <w:kinsoku/>
              <w:wordWrap/>
              <w:overflowPunct/>
              <w:topLinePunct w:val="0"/>
              <w:bidi w:val="0"/>
              <w:adjustRightInd w:val="0"/>
              <w:snapToGrid w:val="0"/>
              <w:spacing w:afterAutospacing="0" w:line="560" w:lineRule="exact"/>
              <w:jc w:val="lef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逾期付款利息</w:t>
            </w:r>
          </w:p>
        </w:tc>
        <w:tc>
          <w:tcPr>
            <w:tcW w:w="5631" w:type="dxa"/>
            <w:vAlign w:val="center"/>
          </w:tcPr>
          <w:p w14:paraId="19213B68">
            <w:pPr>
              <w:pageBreakBefore w:val="0"/>
              <w:kinsoku/>
              <w:wordWrap/>
              <w:overflowPunct/>
              <w:topLinePunct w:val="0"/>
              <w:bidi w:val="0"/>
              <w:adjustRightInd w:val="0"/>
              <w:snapToGrid w:val="0"/>
              <w:spacing w:afterAutospacing="0" w:line="560" w:lineRule="exact"/>
              <w:jc w:val="left"/>
              <w:textAlignment w:val="auto"/>
              <w:rPr>
                <w:rFonts w:hint="eastAsia" w:asciiTheme="minorEastAsia" w:hAnsiTheme="minorEastAsia" w:eastAsiaTheme="minorEastAsia" w:cstheme="minorEastAsia"/>
                <w:color w:val="000000" w:themeColor="text1"/>
                <w:sz w:val="28"/>
                <w:szCs w:val="28"/>
                <w:highlight w:val="none"/>
                <w:u w:val="singl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u w:val="single"/>
                <w:lang w:val="en-US" w:eastAsia="zh-CN"/>
                <w14:textFill>
                  <w14:solidFill>
                    <w14:schemeClr w14:val="tx1"/>
                  </w14:solidFill>
                </w14:textFill>
              </w:rPr>
              <w:t>/</w:t>
            </w:r>
          </w:p>
        </w:tc>
      </w:tr>
      <w:tr w14:paraId="6CC29C8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750" w:type="dxa"/>
            <w:tcBorders>
              <w:bottom w:val="single" w:color="auto" w:sz="2" w:space="0"/>
              <w:right w:val="single" w:color="auto" w:sz="2" w:space="0"/>
            </w:tcBorders>
            <w:vAlign w:val="center"/>
          </w:tcPr>
          <w:p w14:paraId="16256799">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第二节</w:t>
            </w:r>
          </w:p>
          <w:p w14:paraId="779E04C9">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第1</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.4</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款</w:t>
            </w:r>
          </w:p>
        </w:tc>
        <w:tc>
          <w:tcPr>
            <w:tcW w:w="1897" w:type="dxa"/>
            <w:tcBorders>
              <w:left w:val="single" w:color="auto" w:sz="2" w:space="0"/>
              <w:bottom w:val="single" w:color="auto" w:sz="2" w:space="0"/>
              <w:right w:val="single" w:color="auto" w:sz="2" w:space="0"/>
            </w:tcBorders>
            <w:vAlign w:val="center"/>
          </w:tcPr>
          <w:p w14:paraId="6BED0F8C">
            <w:pPr>
              <w:pageBreakBefore w:val="0"/>
              <w:kinsoku/>
              <w:wordWrap/>
              <w:overflowPunct/>
              <w:topLinePunct w:val="0"/>
              <w:bidi w:val="0"/>
              <w:adjustRightInd w:val="0"/>
              <w:snapToGrid w:val="0"/>
              <w:spacing w:afterAutospacing="0" w:line="560" w:lineRule="exact"/>
              <w:jc w:val="lef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其他违约责任</w:t>
            </w:r>
          </w:p>
        </w:tc>
        <w:tc>
          <w:tcPr>
            <w:tcW w:w="5631" w:type="dxa"/>
            <w:tcBorders>
              <w:left w:val="single" w:color="auto" w:sz="2" w:space="0"/>
              <w:bottom w:val="single" w:color="auto" w:sz="2" w:space="0"/>
            </w:tcBorders>
            <w:vAlign w:val="center"/>
          </w:tcPr>
          <w:p w14:paraId="5A02FDB2">
            <w:pPr>
              <w:pageBreakBefore w:val="0"/>
              <w:kinsoku/>
              <w:wordWrap/>
              <w:overflowPunct/>
              <w:topLinePunct w:val="0"/>
              <w:bidi w:val="0"/>
              <w:adjustRightInd w:val="0"/>
              <w:snapToGrid w:val="0"/>
              <w:spacing w:afterAutospacing="0" w:line="560" w:lineRule="exact"/>
              <w:jc w:val="left"/>
              <w:textAlignment w:val="auto"/>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1质保期内，乙方未按合同约定在约定时间内完成货物维修或更换，每逾期一日，按合同金额的0.5%向甲方支付违约金，对甲方造成相应损失的，还应据实赔偿。</w:t>
            </w:r>
          </w:p>
          <w:p w14:paraId="09508255">
            <w:pPr>
              <w:pageBreakBefore w:val="0"/>
              <w:numPr>
                <w:ilvl w:val="0"/>
                <w:numId w:val="0"/>
              </w:numPr>
              <w:kinsoku/>
              <w:wordWrap/>
              <w:overflowPunct/>
              <w:topLinePunct w:val="0"/>
              <w:bidi w:val="0"/>
              <w:adjustRightInd w:val="0"/>
              <w:snapToGrid w:val="0"/>
              <w:spacing w:afterAutospacing="0" w:line="560" w:lineRule="exact"/>
              <w:ind w:leftChars="0"/>
              <w:jc w:val="left"/>
              <w:textAlignment w:val="auto"/>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2.乙方拒不交货或不能交货的，买方有权单方解除本合同，并按照合同总额的10%要求乙方支付违约金。</w:t>
            </w:r>
          </w:p>
        </w:tc>
      </w:tr>
      <w:tr w14:paraId="7F042DF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750" w:type="dxa"/>
            <w:tcBorders>
              <w:top w:val="single" w:color="auto" w:sz="2" w:space="0"/>
              <w:right w:val="single" w:color="auto" w:sz="2" w:space="0"/>
            </w:tcBorders>
            <w:vAlign w:val="center"/>
          </w:tcPr>
          <w:p w14:paraId="437162AE">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第二节</w:t>
            </w:r>
          </w:p>
          <w:p w14:paraId="090BD424">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第</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19</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.2</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款</w:t>
            </w:r>
          </w:p>
        </w:tc>
        <w:tc>
          <w:tcPr>
            <w:tcW w:w="1897" w:type="dxa"/>
            <w:tcBorders>
              <w:top w:val="single" w:color="auto" w:sz="2" w:space="0"/>
              <w:left w:val="single" w:color="auto" w:sz="2" w:space="0"/>
              <w:right w:val="single" w:color="auto" w:sz="2" w:space="0"/>
            </w:tcBorders>
            <w:vAlign w:val="center"/>
          </w:tcPr>
          <w:p w14:paraId="16B53B8F">
            <w:pPr>
              <w:pageBreakBefore w:val="0"/>
              <w:kinsoku/>
              <w:wordWrap/>
              <w:overflowPunct/>
              <w:topLinePunct w:val="0"/>
              <w:bidi w:val="0"/>
              <w:adjustRightInd w:val="0"/>
              <w:snapToGrid w:val="0"/>
              <w:spacing w:afterAutospacing="0" w:line="560" w:lineRule="exact"/>
              <w:jc w:val="lef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解决争议的方法</w:t>
            </w:r>
          </w:p>
        </w:tc>
        <w:tc>
          <w:tcPr>
            <w:tcW w:w="5631" w:type="dxa"/>
            <w:tcBorders>
              <w:top w:val="single" w:color="auto" w:sz="2" w:space="0"/>
              <w:left w:val="single" w:color="auto" w:sz="2" w:space="0"/>
            </w:tcBorders>
            <w:vAlign w:val="center"/>
          </w:tcPr>
          <w:p w14:paraId="228E8B80">
            <w:pPr>
              <w:pageBreakBefore w:val="0"/>
              <w:kinsoku/>
              <w:wordWrap/>
              <w:overflowPunct/>
              <w:topLinePunct w:val="0"/>
              <w:autoSpaceDE w:val="0"/>
              <w:autoSpaceDN w:val="0"/>
              <w:bidi w:val="0"/>
              <w:adjustRightInd w:val="0"/>
              <w:snapToGrid w:val="0"/>
              <w:spacing w:afterAutospacing="0" w:line="560" w:lineRule="exact"/>
              <w:jc w:val="left"/>
              <w:textAlignment w:val="auto"/>
              <w:rPr>
                <w:rFonts w:hint="eastAsia" w:asciiTheme="minorEastAsia" w:hAnsiTheme="minorEastAsia" w:eastAsiaTheme="minorEastAsia" w:cstheme="minorEastAsia"/>
                <w:b w:val="0"/>
                <w:bCs w:val="0"/>
                <w:i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val="0"/>
                <w:bCs w:val="0"/>
                <w:iCs/>
                <w:color w:val="000000" w:themeColor="text1"/>
                <w:sz w:val="28"/>
                <w:szCs w:val="28"/>
                <w:highlight w:val="none"/>
                <w14:textFill>
                  <w14:solidFill>
                    <w14:schemeClr w14:val="tx1"/>
                  </w14:solidFill>
                </w14:textFill>
              </w:rPr>
              <w:t>因本合同及合同有关事项发生的争议，按下列第</w:t>
            </w:r>
            <w:r>
              <w:rPr>
                <w:rFonts w:hint="eastAsia" w:asciiTheme="minorEastAsia" w:hAnsiTheme="minorEastAsia" w:eastAsiaTheme="minorEastAsia" w:cstheme="minorEastAsia"/>
                <w:b w:val="0"/>
                <w:bCs w:val="0"/>
                <w:iCs/>
                <w:color w:val="000000" w:themeColor="text1"/>
                <w:sz w:val="28"/>
                <w:szCs w:val="28"/>
                <w:highlight w:val="none"/>
                <w:u w:val="single"/>
                <w:lang w:val="en-US" w:eastAsia="zh-CN"/>
                <w14:textFill>
                  <w14:solidFill>
                    <w14:schemeClr w14:val="tx1"/>
                  </w14:solidFill>
                </w14:textFill>
              </w:rPr>
              <w:t>2</w:t>
            </w:r>
            <w:r>
              <w:rPr>
                <w:rFonts w:hint="eastAsia" w:asciiTheme="minorEastAsia" w:hAnsiTheme="minorEastAsia" w:eastAsiaTheme="minorEastAsia" w:cstheme="minorEastAsia"/>
                <w:b w:val="0"/>
                <w:bCs w:val="0"/>
                <w:iCs/>
                <w:color w:val="000000" w:themeColor="text1"/>
                <w:sz w:val="28"/>
                <w:szCs w:val="28"/>
                <w:highlight w:val="none"/>
                <w14:textFill>
                  <w14:solidFill>
                    <w14:schemeClr w14:val="tx1"/>
                  </w14:solidFill>
                </w14:textFill>
              </w:rPr>
              <w:t>种方式解决：</w:t>
            </w:r>
          </w:p>
          <w:p w14:paraId="0E626AD7">
            <w:pPr>
              <w:pageBreakBefore w:val="0"/>
              <w:kinsoku/>
              <w:wordWrap/>
              <w:overflowPunct/>
              <w:topLinePunct w:val="0"/>
              <w:autoSpaceDE w:val="0"/>
              <w:autoSpaceDN w:val="0"/>
              <w:bidi w:val="0"/>
              <w:adjustRightInd w:val="0"/>
              <w:snapToGrid w:val="0"/>
              <w:spacing w:afterAutospacing="0" w:line="560" w:lineRule="exact"/>
              <w:jc w:val="left"/>
              <w:textAlignment w:val="auto"/>
              <w:rPr>
                <w:rFonts w:hint="eastAsia" w:asciiTheme="minorEastAsia" w:hAnsiTheme="minorEastAsia" w:eastAsiaTheme="minorEastAsia" w:cstheme="minorEastAsia"/>
                <w:b w:val="0"/>
                <w:bCs w:val="0"/>
                <w:i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val="0"/>
                <w:bCs w:val="0"/>
                <w:iCs/>
                <w:color w:val="000000" w:themeColor="text1"/>
                <w:sz w:val="28"/>
                <w:szCs w:val="28"/>
                <w:highlight w:val="none"/>
                <w14:textFill>
                  <w14:solidFill>
                    <w14:schemeClr w14:val="tx1"/>
                  </w14:solidFill>
                </w14:textFill>
              </w:rPr>
              <w:t>（1）向</w:t>
            </w:r>
            <w:r>
              <w:rPr>
                <w:rFonts w:hint="eastAsia" w:asciiTheme="minorEastAsia" w:hAnsiTheme="minorEastAsia" w:eastAsiaTheme="minorEastAsia" w:cstheme="minorEastAsia"/>
                <w:b w:val="0"/>
                <w:bCs w:val="0"/>
                <w:iCs/>
                <w:color w:val="000000" w:themeColor="text1"/>
                <w:sz w:val="28"/>
                <w:szCs w:val="28"/>
                <w:highlight w:val="none"/>
                <w:u w:val="single"/>
                <w:lang w:val="en-US" w:eastAsia="zh-CN"/>
                <w14:textFill>
                  <w14:solidFill>
                    <w14:schemeClr w14:val="tx1"/>
                  </w14:solidFill>
                </w14:textFill>
              </w:rPr>
              <w:t>/</w:t>
            </w:r>
            <w:r>
              <w:rPr>
                <w:rFonts w:hint="eastAsia" w:asciiTheme="minorEastAsia" w:hAnsiTheme="minorEastAsia" w:eastAsiaTheme="minorEastAsia" w:cstheme="minorEastAsia"/>
                <w:b w:val="0"/>
                <w:bCs w:val="0"/>
                <w:iCs/>
                <w:color w:val="000000" w:themeColor="text1"/>
                <w:sz w:val="28"/>
                <w:szCs w:val="28"/>
                <w:highlight w:val="none"/>
                <w14:textFill>
                  <w14:solidFill>
                    <w14:schemeClr w14:val="tx1"/>
                  </w14:solidFill>
                </w14:textFill>
              </w:rPr>
              <w:t>仲裁委员会申请仲裁，仲裁地点为</w:t>
            </w:r>
            <w:r>
              <w:rPr>
                <w:rFonts w:hint="eastAsia" w:asciiTheme="minorEastAsia" w:hAnsiTheme="minorEastAsia" w:eastAsiaTheme="minorEastAsia" w:cstheme="minorEastAsia"/>
                <w:b w:val="0"/>
                <w:bCs w:val="0"/>
                <w:iCs/>
                <w:color w:val="000000" w:themeColor="text1"/>
                <w:sz w:val="28"/>
                <w:szCs w:val="28"/>
                <w:highlight w:val="none"/>
                <w:u w:val="single"/>
                <w:lang w:val="en-US" w:eastAsia="zh-CN"/>
                <w14:textFill>
                  <w14:solidFill>
                    <w14:schemeClr w14:val="tx1"/>
                  </w14:solidFill>
                </w14:textFill>
              </w:rPr>
              <w:t>/</w:t>
            </w:r>
            <w:r>
              <w:rPr>
                <w:rFonts w:hint="eastAsia" w:asciiTheme="minorEastAsia" w:hAnsiTheme="minorEastAsia" w:eastAsiaTheme="minorEastAsia" w:cstheme="minorEastAsia"/>
                <w:b w:val="0"/>
                <w:bCs w:val="0"/>
                <w:iCs/>
                <w:color w:val="000000" w:themeColor="text1"/>
                <w:sz w:val="28"/>
                <w:szCs w:val="28"/>
                <w:highlight w:val="none"/>
                <w14:textFill>
                  <w14:solidFill>
                    <w14:schemeClr w14:val="tx1"/>
                  </w14:solidFill>
                </w14:textFill>
              </w:rPr>
              <w:t>；</w:t>
            </w:r>
          </w:p>
          <w:p w14:paraId="4384B9D7">
            <w:pPr>
              <w:pageBreakBefore w:val="0"/>
              <w:kinsoku/>
              <w:wordWrap/>
              <w:overflowPunct/>
              <w:topLinePunct w:val="0"/>
              <w:bidi w:val="0"/>
              <w:adjustRightInd w:val="0"/>
              <w:snapToGrid w:val="0"/>
              <w:spacing w:afterAutospacing="0" w:line="560" w:lineRule="exact"/>
              <w:ind w:firstLine="0" w:firstLineChars="0"/>
              <w:jc w:val="left"/>
              <w:textAlignment w:val="auto"/>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pPr>
            <w:r>
              <w:rPr>
                <w:rFonts w:hint="eastAsia" w:asciiTheme="minorEastAsia" w:hAnsiTheme="minorEastAsia" w:eastAsiaTheme="minorEastAsia" w:cstheme="minorEastAsia"/>
                <w:b w:val="0"/>
                <w:bCs w:val="0"/>
                <w:iCs/>
                <w:color w:val="000000" w:themeColor="text1"/>
                <w:sz w:val="28"/>
                <w:szCs w:val="28"/>
                <w:highlight w:val="none"/>
                <w14:textFill>
                  <w14:solidFill>
                    <w14:schemeClr w14:val="tx1"/>
                  </w14:solidFill>
                </w14:textFill>
              </w:rPr>
              <w:t>（2）向</w:t>
            </w:r>
            <w:r>
              <w:rPr>
                <w:rFonts w:hint="eastAsia" w:asciiTheme="minorEastAsia" w:hAnsiTheme="minorEastAsia" w:eastAsiaTheme="minorEastAsia" w:cstheme="minorEastAsia"/>
                <w:b w:val="0"/>
                <w:bCs w:val="0"/>
                <w:iCs/>
                <w:color w:val="000000" w:themeColor="text1"/>
                <w:sz w:val="28"/>
                <w:szCs w:val="28"/>
                <w:highlight w:val="none"/>
                <w:u w:val="single"/>
                <w:lang w:eastAsia="zh-CN"/>
                <w14:textFill>
                  <w14:solidFill>
                    <w14:schemeClr w14:val="tx1"/>
                  </w14:solidFill>
                </w14:textFill>
              </w:rPr>
              <w:t>伊州区</w:t>
            </w:r>
            <w:r>
              <w:rPr>
                <w:rFonts w:hint="eastAsia" w:asciiTheme="minorEastAsia" w:hAnsiTheme="minorEastAsia" w:eastAsiaTheme="minorEastAsia" w:cstheme="minorEastAsia"/>
                <w:b w:val="0"/>
                <w:bCs w:val="0"/>
                <w:iCs/>
                <w:color w:val="000000" w:themeColor="text1"/>
                <w:sz w:val="28"/>
                <w:szCs w:val="28"/>
                <w:highlight w:val="none"/>
                <w14:textFill>
                  <w14:solidFill>
                    <w14:schemeClr w14:val="tx1"/>
                  </w14:solidFill>
                </w14:textFill>
              </w:rPr>
              <w:t>人民法院起诉</w:t>
            </w:r>
            <w:r>
              <w:rPr>
                <w:rFonts w:hint="eastAsia" w:asciiTheme="minorEastAsia" w:hAnsiTheme="minorEastAsia" w:eastAsiaTheme="minorEastAsia" w:cstheme="minorEastAsia"/>
                <w:b w:val="0"/>
                <w:bCs w:val="0"/>
                <w:iCs/>
                <w:color w:val="000000" w:themeColor="text1"/>
                <w:sz w:val="28"/>
                <w:szCs w:val="28"/>
                <w:highlight w:val="none"/>
                <w:lang w:eastAsia="zh-CN"/>
                <w14:textFill>
                  <w14:solidFill>
                    <w14:schemeClr w14:val="tx1"/>
                  </w14:solidFill>
                </w14:textFill>
              </w:rPr>
              <w:t>，因诉讼产生的诉讼费、律师费、保全费、保全保险费等为实现债权产生的一切费用由违约方承担</w:t>
            </w:r>
            <w:r>
              <w:rPr>
                <w:rFonts w:hint="eastAsia" w:asciiTheme="minorEastAsia" w:hAnsiTheme="minorEastAsia" w:eastAsiaTheme="minorEastAsia" w:cstheme="minorEastAsia"/>
                <w:b w:val="0"/>
                <w:bCs w:val="0"/>
                <w:iCs/>
                <w:color w:val="000000" w:themeColor="text1"/>
                <w:sz w:val="28"/>
                <w:szCs w:val="28"/>
                <w:highlight w:val="none"/>
                <w14:textFill>
                  <w14:solidFill>
                    <w14:schemeClr w14:val="tx1"/>
                  </w14:solidFill>
                </w14:textFill>
              </w:rPr>
              <w:t>。</w:t>
            </w:r>
          </w:p>
        </w:tc>
      </w:tr>
      <w:tr w14:paraId="33EDCA2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750" w:type="dxa"/>
            <w:vAlign w:val="center"/>
          </w:tcPr>
          <w:p w14:paraId="213903C6">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第二节</w:t>
            </w:r>
          </w:p>
          <w:p w14:paraId="68B4DEB3">
            <w:pPr>
              <w:pageBreakBefore w:val="0"/>
              <w:kinsoku/>
              <w:wordWrap/>
              <w:overflowPunct/>
              <w:topLinePunct w:val="0"/>
              <w:bidi w:val="0"/>
              <w:adjustRightInd w:val="0"/>
              <w:snapToGrid w:val="0"/>
              <w:spacing w:afterAutospacing="0" w:line="560" w:lineRule="exact"/>
              <w:jc w:val="center"/>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第2</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3.1</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款</w:t>
            </w:r>
          </w:p>
        </w:tc>
        <w:tc>
          <w:tcPr>
            <w:tcW w:w="1897" w:type="dxa"/>
            <w:vAlign w:val="center"/>
          </w:tcPr>
          <w:p w14:paraId="716DE3DB">
            <w:pPr>
              <w:pageBreakBefore w:val="0"/>
              <w:kinsoku/>
              <w:wordWrap/>
              <w:overflowPunct/>
              <w:topLinePunct w:val="0"/>
              <w:bidi w:val="0"/>
              <w:adjustRightInd w:val="0"/>
              <w:snapToGrid w:val="0"/>
              <w:spacing w:afterAutospacing="0" w:line="560" w:lineRule="exact"/>
              <w:jc w:val="lef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8"/>
                <w:szCs w:val="28"/>
                <w:highlight w:val="none"/>
                <w:lang w:eastAsia="zh-CN"/>
                <w14:textFill>
                  <w14:solidFill>
                    <w14:schemeClr w14:val="tx1"/>
                  </w14:solidFill>
                </w14:textFill>
              </w:rPr>
              <w:t>其他专用条款</w:t>
            </w:r>
          </w:p>
        </w:tc>
        <w:tc>
          <w:tcPr>
            <w:tcW w:w="5631" w:type="dxa"/>
            <w:vAlign w:val="center"/>
          </w:tcPr>
          <w:p w14:paraId="3409EE86">
            <w:pPr>
              <w:pageBreakBefore w:val="0"/>
              <w:kinsoku/>
              <w:wordWrap/>
              <w:overflowPunct/>
              <w:topLinePunct w:val="0"/>
              <w:bidi w:val="0"/>
              <w:adjustRightInd w:val="0"/>
              <w:snapToGrid w:val="0"/>
              <w:spacing w:afterAutospacing="0" w:line="560" w:lineRule="exact"/>
              <w:jc w:val="left"/>
              <w:textAlignment w:val="auto"/>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val="0"/>
                <w:bCs w:val="0"/>
                <w:iCs/>
                <w:color w:val="000000" w:themeColor="text1"/>
                <w:sz w:val="28"/>
                <w:szCs w:val="28"/>
                <w:highlight w:val="none"/>
                <w:lang w:val="en-US" w:eastAsia="zh-CN"/>
                <w14:textFill>
                  <w14:solidFill>
                    <w14:schemeClr w14:val="tx1"/>
                  </w14:solidFill>
                </w14:textFill>
              </w:rPr>
              <w:t>本合同后附《哈密市中心医院供应商廉洁承诺书》，乙方签字、盖章后作为本合同一部分。</w:t>
            </w:r>
          </w:p>
        </w:tc>
      </w:tr>
    </w:tbl>
    <w:p w14:paraId="28AD9CF7">
      <w:pPr>
        <w:pageBreakBefore w:val="0"/>
        <w:kinsoku/>
        <w:wordWrap/>
        <w:overflowPunct/>
        <w:topLinePunct w:val="0"/>
        <w:bidi w:val="0"/>
        <w:spacing w:afterAutospacing="0" w:line="560" w:lineRule="exac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p>
    <w:p w14:paraId="4C94B0B5">
      <w:pPr>
        <w:pageBreakBefore w:val="0"/>
        <w:kinsoku/>
        <w:wordWrap/>
        <w:overflowPunct/>
        <w:topLinePunct w:val="0"/>
        <w:bidi w:val="0"/>
        <w:spacing w:afterAutospacing="0" w:line="560" w:lineRule="exac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br w:type="page"/>
      </w:r>
    </w:p>
    <w:p w14:paraId="216C7661">
      <w:pPr>
        <w:pageBreakBefore w:val="0"/>
        <w:kinsoku/>
        <w:wordWrap/>
        <w:overflowPunct/>
        <w:topLinePunct w:val="0"/>
        <w:bidi w:val="0"/>
        <w:spacing w:afterAutospacing="0" w:line="560" w:lineRule="exact"/>
        <w:jc w:val="center"/>
        <w:textAlignment w:val="auto"/>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哈密市中心医院供应商廉洁承诺书</w:t>
      </w:r>
    </w:p>
    <w:p w14:paraId="4649936C">
      <w:pPr>
        <w:pageBreakBefore w:val="0"/>
        <w:numPr>
          <w:ilvl w:val="0"/>
          <w:numId w:val="11"/>
        </w:numPr>
        <w:kinsoku/>
        <w:wordWrap/>
        <w:overflowPunct/>
        <w:topLinePunct w:val="0"/>
        <w:bidi w:val="0"/>
        <w:spacing w:afterAutospacing="0" w:line="560" w:lineRule="exact"/>
        <w:ind w:firstLine="560" w:firstLineChars="200"/>
        <w:jc w:val="both"/>
        <w:textAlignment w:val="auto"/>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严格遵守国家相关法律法规、医院相关规章制度规定，做到诚实守信、廉洁购销、合规经营。</w:t>
      </w:r>
    </w:p>
    <w:p w14:paraId="0CF62078">
      <w:pPr>
        <w:pageBreakBefore w:val="0"/>
        <w:numPr>
          <w:ilvl w:val="0"/>
          <w:numId w:val="11"/>
        </w:numPr>
        <w:kinsoku/>
        <w:wordWrap/>
        <w:overflowPunct/>
        <w:topLinePunct w:val="0"/>
        <w:bidi w:val="0"/>
        <w:spacing w:afterAutospacing="0" w:line="560" w:lineRule="exact"/>
        <w:ind w:firstLine="560" w:firstLineChars="200"/>
        <w:jc w:val="both"/>
        <w:textAlignment w:val="auto"/>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不将任何生产或者代理的产品在医院采购未完成前交科室进行临床试用或者使用。</w:t>
      </w:r>
    </w:p>
    <w:p w14:paraId="19D43747">
      <w:pPr>
        <w:pageBreakBefore w:val="0"/>
        <w:numPr>
          <w:ilvl w:val="0"/>
          <w:numId w:val="11"/>
        </w:numPr>
        <w:kinsoku/>
        <w:wordWrap/>
        <w:overflowPunct/>
        <w:topLinePunct w:val="0"/>
        <w:bidi w:val="0"/>
        <w:spacing w:afterAutospacing="0" w:line="560" w:lineRule="exact"/>
        <w:ind w:firstLine="560" w:firstLineChars="200"/>
        <w:jc w:val="both"/>
        <w:textAlignment w:val="auto"/>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不通过打招呼或者暗中授意等不正当手段竞标采购项目，不哄抬物价，牟取暴利，扰乱医院正常工作秩序。</w:t>
      </w:r>
    </w:p>
    <w:p w14:paraId="0520AB88">
      <w:pPr>
        <w:pageBreakBefore w:val="0"/>
        <w:numPr>
          <w:ilvl w:val="0"/>
          <w:numId w:val="11"/>
        </w:numPr>
        <w:kinsoku/>
        <w:wordWrap/>
        <w:overflowPunct/>
        <w:topLinePunct w:val="0"/>
        <w:bidi w:val="0"/>
        <w:spacing w:afterAutospacing="0" w:line="560" w:lineRule="exact"/>
        <w:ind w:firstLine="560" w:firstLineChars="200"/>
        <w:jc w:val="both"/>
        <w:textAlignment w:val="auto"/>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严格管理好公司销售人员，不在采购、销售、使用等环节中进行商业贿赂。</w:t>
      </w:r>
    </w:p>
    <w:p w14:paraId="07975362">
      <w:pPr>
        <w:pageBreakBefore w:val="0"/>
        <w:numPr>
          <w:ilvl w:val="0"/>
          <w:numId w:val="11"/>
        </w:numPr>
        <w:kinsoku/>
        <w:wordWrap/>
        <w:overflowPunct/>
        <w:topLinePunct w:val="0"/>
        <w:bidi w:val="0"/>
        <w:spacing w:afterAutospacing="0" w:line="560" w:lineRule="exact"/>
        <w:ind w:firstLine="560" w:firstLineChars="200"/>
        <w:jc w:val="both"/>
        <w:textAlignment w:val="auto"/>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不进入诊室、病区和库房，不向医院工作人员打听医疗用品进、销、存量和使用情况。</w:t>
      </w:r>
    </w:p>
    <w:p w14:paraId="28289881">
      <w:pPr>
        <w:pageBreakBefore w:val="0"/>
        <w:numPr>
          <w:ilvl w:val="0"/>
          <w:numId w:val="11"/>
        </w:numPr>
        <w:kinsoku/>
        <w:wordWrap/>
        <w:overflowPunct/>
        <w:topLinePunct w:val="0"/>
        <w:bidi w:val="0"/>
        <w:spacing w:afterAutospacing="0" w:line="560" w:lineRule="exact"/>
        <w:ind w:firstLine="560" w:firstLineChars="200"/>
        <w:jc w:val="both"/>
        <w:textAlignment w:val="auto"/>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不向医院工作人员及其亲属赠送“红包”“回扣”及礼品、钱款、购物卡、有价证券和贵重礼品等，或给予其他不正当利益。</w:t>
      </w:r>
    </w:p>
    <w:p w14:paraId="2F38B2B9">
      <w:pPr>
        <w:pageBreakBefore w:val="0"/>
        <w:numPr>
          <w:ilvl w:val="0"/>
          <w:numId w:val="11"/>
        </w:numPr>
        <w:kinsoku/>
        <w:wordWrap/>
        <w:overflowPunct/>
        <w:topLinePunct w:val="0"/>
        <w:bidi w:val="0"/>
        <w:spacing w:afterAutospacing="0" w:line="560" w:lineRule="exact"/>
        <w:ind w:firstLine="560" w:firstLineChars="200"/>
        <w:jc w:val="both"/>
        <w:textAlignment w:val="auto"/>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不得以回扣、宴请等方式影响医院工作人员采购或使用医药产品的选择权，不得在学术活动中提供旅游、超标准支付食宿费用。</w:t>
      </w:r>
    </w:p>
    <w:p w14:paraId="7C09C70D">
      <w:pPr>
        <w:pageBreakBefore w:val="0"/>
        <w:numPr>
          <w:ilvl w:val="0"/>
          <w:numId w:val="0"/>
        </w:numPr>
        <w:kinsoku/>
        <w:wordWrap/>
        <w:overflowPunct/>
        <w:topLinePunct w:val="0"/>
        <w:bidi w:val="0"/>
        <w:spacing w:afterAutospacing="0" w:line="560" w:lineRule="exact"/>
        <w:ind w:firstLine="560" w:firstLineChars="200"/>
        <w:jc w:val="both"/>
        <w:textAlignment w:val="auto"/>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以上承诺本公司将严格履行，如有违背以上承诺的行为，本公司自愿承担相应责任。</w:t>
      </w:r>
    </w:p>
    <w:p w14:paraId="45C73EC6">
      <w:pPr>
        <w:bidi w:val="0"/>
        <w:rPr>
          <w:rFonts w:hint="eastAsia"/>
          <w:color w:val="000000" w:themeColor="text1"/>
          <w:highlight w:val="none"/>
          <w:lang w:val="en-US" w:eastAsia="zh-CN"/>
          <w14:textFill>
            <w14:solidFill>
              <w14:schemeClr w14:val="tx1"/>
            </w14:solidFill>
          </w14:textFill>
        </w:rPr>
      </w:pPr>
    </w:p>
    <w:p w14:paraId="339127E8">
      <w:pPr>
        <w:pageBreakBefore w:val="0"/>
        <w:widowControl/>
        <w:kinsoku/>
        <w:wordWrap/>
        <w:overflowPunct/>
        <w:topLinePunct w:val="0"/>
        <w:bidi w:val="0"/>
        <w:spacing w:beforeAutospacing="1" w:afterAutospacing="0" w:line="560" w:lineRule="exact"/>
        <w:jc w:val="lef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sectPr>
          <w:pgSz w:w="11906" w:h="16838"/>
          <w:pgMar w:top="1134" w:right="1134" w:bottom="1134" w:left="1134" w:header="720" w:footer="720" w:gutter="0"/>
          <w:pgNumType w:fmt="decimal"/>
          <w:cols w:space="720" w:num="1"/>
          <w:docGrid w:type="lines" w:linePitch="331" w:charSpace="0"/>
        </w:sectPr>
      </w:pP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 xml:space="preserve">承诺企业代表签字：                         承诺企业盖章    </w:t>
      </w:r>
    </w:p>
    <w:p w14:paraId="29BA5007">
      <w:pPr>
        <w:pStyle w:val="31"/>
        <w:pageBreakBefore w:val="0"/>
        <w:wordWrap/>
        <w:topLinePunct w:val="0"/>
        <w:bidi w:val="0"/>
        <w:spacing w:before="0" w:after="0" w:line="560" w:lineRule="exact"/>
        <w:rPr>
          <w:rFonts w:hint="eastAsia" w:eastAsia="宋体"/>
          <w:color w:val="000000" w:themeColor="text1"/>
          <w:sz w:val="36"/>
          <w:szCs w:val="36"/>
          <w:highlight w:val="none"/>
          <w:lang w:eastAsia="zh-CN"/>
          <w14:textFill>
            <w14:solidFill>
              <w14:schemeClr w14:val="tx1"/>
            </w14:solidFill>
          </w14:textFill>
        </w:rPr>
      </w:pPr>
      <w:r>
        <w:rPr>
          <w:rFonts w:hint="eastAsia"/>
          <w:color w:val="000000" w:themeColor="text1"/>
          <w:sz w:val="36"/>
          <w:szCs w:val="36"/>
          <w:highlight w:val="none"/>
          <w14:textFill>
            <w14:solidFill>
              <w14:schemeClr w14:val="tx1"/>
            </w14:solidFill>
          </w14:textFill>
        </w:rPr>
        <w:t xml:space="preserve">第六章 </w:t>
      </w:r>
      <w:r>
        <w:rPr>
          <w:rFonts w:hint="eastAsia"/>
          <w:color w:val="000000" w:themeColor="text1"/>
          <w:sz w:val="36"/>
          <w:szCs w:val="36"/>
          <w:highlight w:val="none"/>
          <w:lang w:val="en-US" w:eastAsia="zh-CN"/>
          <w14:textFill>
            <w14:solidFill>
              <w14:schemeClr w14:val="tx1"/>
            </w14:solidFill>
          </w14:textFill>
        </w:rPr>
        <w:t xml:space="preserve"> </w:t>
      </w:r>
      <w:r>
        <w:rPr>
          <w:rFonts w:hint="eastAsia"/>
          <w:color w:val="000000" w:themeColor="text1"/>
          <w:sz w:val="36"/>
          <w:szCs w:val="36"/>
          <w:highlight w:val="none"/>
          <w14:textFill>
            <w14:solidFill>
              <w14:schemeClr w14:val="tx1"/>
            </w14:solidFill>
          </w14:textFill>
        </w:rPr>
        <w:t>投标文件格式</w:t>
      </w:r>
      <w:r>
        <w:rPr>
          <w:rFonts w:hint="eastAsia" w:ascii="宋体" w:hAnsi="宋体" w:eastAsia="宋体" w:cs="宋体"/>
          <w:color w:val="000000" w:themeColor="text1"/>
          <w:sz w:val="36"/>
          <w:szCs w:val="36"/>
          <w:highlight w:val="none"/>
          <w:lang w:eastAsia="zh-CN"/>
          <w14:textFill>
            <w14:solidFill>
              <w14:schemeClr w14:val="tx1"/>
            </w14:solidFill>
          </w14:textFill>
        </w:rPr>
        <w:t>（标项</w:t>
      </w:r>
      <w:r>
        <w:rPr>
          <w:rFonts w:hint="eastAsia" w:ascii="宋体" w:hAnsi="宋体" w:cs="宋体"/>
          <w:color w:val="000000" w:themeColor="text1"/>
          <w:sz w:val="36"/>
          <w:szCs w:val="36"/>
          <w:highlight w:val="none"/>
          <w:lang w:val="en-US" w:eastAsia="zh-CN"/>
          <w14:textFill>
            <w14:solidFill>
              <w14:schemeClr w14:val="tx1"/>
            </w14:solidFill>
          </w14:textFill>
        </w:rPr>
        <w:t>4</w:t>
      </w:r>
      <w:r>
        <w:rPr>
          <w:rFonts w:hint="eastAsia" w:ascii="宋体" w:hAnsi="宋体" w:eastAsia="宋体" w:cs="宋体"/>
          <w:color w:val="000000" w:themeColor="text1"/>
          <w:sz w:val="36"/>
          <w:szCs w:val="36"/>
          <w:highlight w:val="none"/>
          <w:lang w:eastAsia="zh-CN"/>
          <w14:textFill>
            <w14:solidFill>
              <w14:schemeClr w14:val="tx1"/>
            </w14:solidFill>
          </w14:textFill>
        </w:rPr>
        <w:t>）</w:t>
      </w:r>
    </w:p>
    <w:p w14:paraId="4CA98B45">
      <w:pPr>
        <w:pageBreakBefore w:val="0"/>
        <w:wordWrap/>
        <w:topLinePunct w:val="0"/>
        <w:bidi w:val="0"/>
        <w:spacing w:before="120" w:beforeLines="50" w:after="120" w:afterLines="50" w:line="560" w:lineRule="exact"/>
        <w:jc w:val="center"/>
        <w:rPr>
          <w:rFonts w:hint="eastAsia" w:ascii="宋体" w:hAnsi="宋体" w:cs="宋体"/>
          <w:b/>
          <w:color w:val="000000" w:themeColor="text1"/>
          <w:spacing w:val="20"/>
          <w:sz w:val="44"/>
          <w:szCs w:val="44"/>
          <w:highlight w:val="none"/>
          <w:lang w:eastAsia="zh-CN"/>
          <w14:textFill>
            <w14:solidFill>
              <w14:schemeClr w14:val="tx1"/>
            </w14:solidFill>
          </w14:textFill>
        </w:rPr>
      </w:pPr>
    </w:p>
    <w:p w14:paraId="496C83EF">
      <w:pPr>
        <w:pageBreakBefore w:val="0"/>
        <w:wordWrap/>
        <w:topLinePunct w:val="0"/>
        <w:bidi w:val="0"/>
        <w:spacing w:before="120" w:beforeLines="50" w:after="120" w:afterLines="50" w:line="560" w:lineRule="exact"/>
        <w:jc w:val="center"/>
        <w:rPr>
          <w:rFonts w:hint="eastAsia" w:ascii="宋体" w:hAnsi="宋体" w:cs="宋体"/>
          <w:b/>
          <w:color w:val="000000" w:themeColor="text1"/>
          <w:spacing w:val="20"/>
          <w:sz w:val="44"/>
          <w:szCs w:val="44"/>
          <w:highlight w:val="none"/>
          <w:lang w:eastAsia="zh-CN"/>
          <w14:textFill>
            <w14:solidFill>
              <w14:schemeClr w14:val="tx1"/>
            </w14:solidFill>
          </w14:textFill>
        </w:rPr>
      </w:pPr>
    </w:p>
    <w:p w14:paraId="1F81C7B8">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color w:val="000000" w:themeColor="text1"/>
          <w:sz w:val="32"/>
          <w:szCs w:val="20"/>
          <w:highlight w:val="none"/>
          <w14:textFill>
            <w14:solidFill>
              <w14:schemeClr w14:val="tx1"/>
            </w14:solidFill>
          </w14:textFill>
        </w:rPr>
      </w:pPr>
      <w:r>
        <w:rPr>
          <w:rFonts w:hint="eastAsia" w:ascii="宋体" w:hAnsi="宋体" w:eastAsia="宋体" w:cs="宋体"/>
          <w:color w:val="000000" w:themeColor="text1"/>
          <w:sz w:val="32"/>
          <w:szCs w:val="20"/>
          <w:highlight w:val="none"/>
          <w14:textFill>
            <w14:solidFill>
              <w14:schemeClr w14:val="tx1"/>
            </w14:solidFill>
          </w14:textFill>
        </w:rPr>
        <w:t>（项目名称）</w:t>
      </w:r>
    </w:p>
    <w:p w14:paraId="7CCB837C">
      <w:pPr>
        <w:pStyle w:val="156"/>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color w:val="000000" w:themeColor="text1"/>
          <w:sz w:val="32"/>
          <w:szCs w:val="32"/>
          <w:highlight w:val="none"/>
          <w:lang w:eastAsia="zh-CN"/>
          <w14:textFill>
            <w14:solidFill>
              <w14:schemeClr w14:val="tx1"/>
            </w14:solidFill>
          </w14:textFill>
        </w:rPr>
      </w:pPr>
      <w:r>
        <w:rPr>
          <w:rFonts w:hint="eastAsia" w:ascii="宋体" w:hAnsi="宋体" w:eastAsia="宋体" w:cs="宋体"/>
          <w:color w:val="000000" w:themeColor="text1"/>
          <w:sz w:val="32"/>
          <w:szCs w:val="32"/>
          <w:highlight w:val="none"/>
          <w:lang w:eastAsia="zh-CN"/>
          <w14:textFill>
            <w14:solidFill>
              <w14:schemeClr w14:val="tx1"/>
            </w14:solidFill>
          </w14:textFill>
        </w:rPr>
        <w:t>（项目编号</w:t>
      </w:r>
      <w:r>
        <w:rPr>
          <w:rFonts w:hint="eastAsia" w:ascii="宋体" w:hAnsi="宋体" w:cs="宋体"/>
          <w:color w:val="000000" w:themeColor="text1"/>
          <w:sz w:val="32"/>
          <w:szCs w:val="32"/>
          <w:highlight w:val="none"/>
          <w:lang w:eastAsia="zh-CN"/>
          <w14:textFill>
            <w14:solidFill>
              <w14:schemeClr w14:val="tx1"/>
            </w14:solidFill>
          </w14:textFill>
        </w:rPr>
        <w:t>、标项名称</w:t>
      </w:r>
      <w:r>
        <w:rPr>
          <w:rFonts w:hint="eastAsia" w:ascii="宋体" w:hAnsi="宋体" w:eastAsia="宋体" w:cs="宋体"/>
          <w:color w:val="000000" w:themeColor="text1"/>
          <w:sz w:val="32"/>
          <w:szCs w:val="32"/>
          <w:highlight w:val="none"/>
          <w:lang w:eastAsia="zh-CN"/>
          <w14:textFill>
            <w14:solidFill>
              <w14:schemeClr w14:val="tx1"/>
            </w14:solidFill>
          </w14:textFill>
        </w:rPr>
        <w:t>）</w:t>
      </w:r>
    </w:p>
    <w:p w14:paraId="746F3D0D">
      <w:pPr>
        <w:pStyle w:val="156"/>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 xml:space="preserve">  </w:t>
      </w:r>
    </w:p>
    <w:p w14:paraId="38C9660B">
      <w:pPr>
        <w:pStyle w:val="156"/>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cs="宋体"/>
          <w:color w:val="000000" w:themeColor="text1"/>
          <w:sz w:val="24"/>
          <w:highlight w:val="none"/>
          <w14:textFill>
            <w14:solidFill>
              <w14:schemeClr w14:val="tx1"/>
            </w14:solidFill>
          </w14:textFill>
        </w:rPr>
      </w:pPr>
    </w:p>
    <w:p w14:paraId="3A6F4461">
      <w:pPr>
        <w:pStyle w:val="156"/>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cs="宋体"/>
          <w:color w:val="000000" w:themeColor="text1"/>
          <w:sz w:val="24"/>
          <w:highlight w:val="none"/>
          <w14:textFill>
            <w14:solidFill>
              <w14:schemeClr w14:val="tx1"/>
            </w14:solidFill>
          </w14:textFill>
        </w:rPr>
      </w:pPr>
    </w:p>
    <w:p w14:paraId="495C9FA7">
      <w:pPr>
        <w:pStyle w:val="156"/>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cs="宋体"/>
          <w:b/>
          <w:color w:val="000000" w:themeColor="text1"/>
          <w:sz w:val="48"/>
          <w:szCs w:val="48"/>
          <w:highlight w:val="none"/>
          <w14:textFill>
            <w14:solidFill>
              <w14:schemeClr w14:val="tx1"/>
            </w14:solidFill>
          </w14:textFill>
        </w:rPr>
      </w:pPr>
      <w:r>
        <w:rPr>
          <w:rFonts w:hint="eastAsia" w:ascii="宋体" w:hAnsi="宋体" w:cs="宋体"/>
          <w:b/>
          <w:color w:val="000000" w:themeColor="text1"/>
          <w:sz w:val="48"/>
          <w:szCs w:val="48"/>
          <w:highlight w:val="none"/>
          <w14:textFill>
            <w14:solidFill>
              <w14:schemeClr w14:val="tx1"/>
            </w14:solidFill>
          </w14:textFill>
        </w:rPr>
        <w:t>响应文件</w:t>
      </w:r>
    </w:p>
    <w:p w14:paraId="3BF6A6D9">
      <w:pPr>
        <w:pStyle w:val="156"/>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cs="宋体"/>
          <w:color w:val="000000" w:themeColor="text1"/>
          <w:sz w:val="24"/>
          <w:highlight w:val="none"/>
          <w14:textFill>
            <w14:solidFill>
              <w14:schemeClr w14:val="tx1"/>
            </w14:solidFill>
          </w14:textFill>
        </w:rPr>
      </w:pPr>
    </w:p>
    <w:p w14:paraId="44D0F165">
      <w:pPr>
        <w:pStyle w:val="156"/>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cs="宋体"/>
          <w:color w:val="000000" w:themeColor="text1"/>
          <w:sz w:val="24"/>
          <w:highlight w:val="none"/>
          <w14:textFill>
            <w14:solidFill>
              <w14:schemeClr w14:val="tx1"/>
            </w14:solidFill>
          </w14:textFill>
        </w:rPr>
      </w:pPr>
    </w:p>
    <w:p w14:paraId="634CB287">
      <w:pPr>
        <w:pStyle w:val="156"/>
        <w:pageBreakBefore w:val="0"/>
        <w:wordWrap/>
        <w:topLinePunct w:val="0"/>
        <w:bidi w:val="0"/>
        <w:spacing w:line="560" w:lineRule="exact"/>
        <w:jc w:val="center"/>
        <w:rPr>
          <w:rFonts w:hint="eastAsia" w:ascii="宋体" w:hAnsi="宋体" w:cs="宋体"/>
          <w:b/>
          <w:color w:val="000000" w:themeColor="text1"/>
          <w:sz w:val="24"/>
          <w:highlight w:val="none"/>
          <w14:textFill>
            <w14:solidFill>
              <w14:schemeClr w14:val="tx1"/>
            </w14:solidFill>
          </w14:textFill>
        </w:rPr>
      </w:pPr>
    </w:p>
    <w:p w14:paraId="3E2EFF92">
      <w:pPr>
        <w:pStyle w:val="156"/>
        <w:pageBreakBefore w:val="0"/>
        <w:wordWrap/>
        <w:topLinePunct w:val="0"/>
        <w:bidi w:val="0"/>
        <w:spacing w:line="560" w:lineRule="exact"/>
        <w:jc w:val="center"/>
        <w:rPr>
          <w:rFonts w:hint="eastAsia" w:ascii="宋体" w:hAnsi="宋体" w:cs="宋体"/>
          <w:b/>
          <w:color w:val="000000" w:themeColor="text1"/>
          <w:sz w:val="24"/>
          <w:highlight w:val="none"/>
          <w14:textFill>
            <w14:solidFill>
              <w14:schemeClr w14:val="tx1"/>
            </w14:solidFill>
          </w14:textFill>
        </w:rPr>
      </w:pPr>
    </w:p>
    <w:p w14:paraId="702FAE7F">
      <w:pPr>
        <w:pStyle w:val="158"/>
        <w:pageBreakBefore w:val="0"/>
        <w:wordWrap/>
        <w:topLinePunct w:val="0"/>
        <w:bidi w:val="0"/>
        <w:spacing w:line="560" w:lineRule="exact"/>
        <w:rPr>
          <w:rFonts w:hint="eastAsia" w:ascii="宋体" w:hAnsi="宋体" w:cs="宋体"/>
          <w:b/>
          <w:color w:val="000000" w:themeColor="text1"/>
          <w:sz w:val="24"/>
          <w:highlight w:val="none"/>
          <w:lang w:eastAsia="zh-CN"/>
          <w14:textFill>
            <w14:solidFill>
              <w14:schemeClr w14:val="tx1"/>
            </w14:solidFill>
          </w14:textFill>
        </w:rPr>
      </w:pPr>
    </w:p>
    <w:p w14:paraId="037F3D52">
      <w:pPr>
        <w:pStyle w:val="158"/>
        <w:pageBreakBefore w:val="0"/>
        <w:wordWrap/>
        <w:topLinePunct w:val="0"/>
        <w:bidi w:val="0"/>
        <w:spacing w:line="560" w:lineRule="exact"/>
        <w:rPr>
          <w:rFonts w:hint="eastAsia" w:ascii="宋体" w:hAnsi="宋体" w:cs="宋体"/>
          <w:b/>
          <w:color w:val="000000" w:themeColor="text1"/>
          <w:sz w:val="24"/>
          <w:highlight w:val="none"/>
          <w:lang w:eastAsia="zh-CN"/>
          <w14:textFill>
            <w14:solidFill>
              <w14:schemeClr w14:val="tx1"/>
            </w14:solidFill>
          </w14:textFill>
        </w:rPr>
      </w:pPr>
    </w:p>
    <w:p w14:paraId="41C0446D">
      <w:pPr>
        <w:pStyle w:val="156"/>
        <w:pageBreakBefore w:val="0"/>
        <w:wordWrap/>
        <w:topLinePunct w:val="0"/>
        <w:bidi w:val="0"/>
        <w:spacing w:line="560" w:lineRule="exact"/>
        <w:jc w:val="center"/>
        <w:rPr>
          <w:rFonts w:hint="eastAsia" w:ascii="宋体" w:hAnsi="宋体" w:cs="宋体"/>
          <w:b/>
          <w:color w:val="000000" w:themeColor="text1"/>
          <w:sz w:val="24"/>
          <w:highlight w:val="none"/>
          <w14:textFill>
            <w14:solidFill>
              <w14:schemeClr w14:val="tx1"/>
            </w14:solidFill>
          </w14:textFill>
        </w:rPr>
      </w:pPr>
    </w:p>
    <w:p w14:paraId="114D63EA">
      <w:pPr>
        <w:pStyle w:val="156"/>
        <w:keepNext w:val="0"/>
        <w:keepLines w:val="0"/>
        <w:pageBreakBefore w:val="0"/>
        <w:widowControl w:val="0"/>
        <w:kinsoku/>
        <w:wordWrap/>
        <w:overflowPunct/>
        <w:topLinePunct w:val="0"/>
        <w:autoSpaceDE/>
        <w:autoSpaceDN/>
        <w:bidi w:val="0"/>
        <w:adjustRightInd/>
        <w:snapToGrid/>
        <w:spacing w:line="560" w:lineRule="exact"/>
        <w:ind w:firstLine="1400" w:firstLineChars="500"/>
        <w:textAlignment w:val="auto"/>
        <w:rPr>
          <w:rFonts w:hint="eastAsia" w:ascii="宋体" w:hAnsi="宋体" w:cs="宋体"/>
          <w:color w:val="000000" w:themeColor="text1"/>
          <w:sz w:val="28"/>
          <w:szCs w:val="28"/>
          <w:highlight w:val="none"/>
          <w:u w:val="singl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供 应 商：</w:t>
      </w:r>
      <w:r>
        <w:rPr>
          <w:rFonts w:hint="eastAsia" w:ascii="宋体" w:hAnsi="宋体" w:cs="宋体"/>
          <w:color w:val="000000" w:themeColor="text1"/>
          <w:sz w:val="28"/>
          <w:szCs w:val="28"/>
          <w:highlight w:val="none"/>
          <w:u w:val="single"/>
          <w14:textFill>
            <w14:solidFill>
              <w14:schemeClr w14:val="tx1"/>
            </w14:solidFill>
          </w14:textFill>
        </w:rPr>
        <w:t xml:space="preserve">                            </w:t>
      </w:r>
      <w:r>
        <w:rPr>
          <w:rFonts w:hint="eastAsia" w:ascii="宋体" w:hAnsi="宋体" w:cs="宋体"/>
          <w:color w:val="000000" w:themeColor="text1"/>
          <w:sz w:val="28"/>
          <w:szCs w:val="28"/>
          <w:highlight w:val="none"/>
          <w14:textFill>
            <w14:solidFill>
              <w14:schemeClr w14:val="tx1"/>
            </w14:solidFill>
          </w14:textFill>
        </w:rPr>
        <w:t>（电子</w:t>
      </w:r>
      <w:r>
        <w:rPr>
          <w:rFonts w:hint="eastAsia" w:ascii="宋体" w:hAnsi="宋体" w:cs="宋体"/>
          <w:color w:val="000000" w:themeColor="text1"/>
          <w:sz w:val="28"/>
          <w:szCs w:val="28"/>
          <w:highlight w:val="none"/>
          <w:lang w:eastAsia="zh-CN"/>
          <w14:textFill>
            <w14:solidFill>
              <w14:schemeClr w14:val="tx1"/>
            </w14:solidFill>
          </w14:textFill>
        </w:rPr>
        <w:t>公</w:t>
      </w:r>
      <w:r>
        <w:rPr>
          <w:rFonts w:hint="eastAsia" w:ascii="宋体" w:hAnsi="宋体" w:cs="宋体"/>
          <w:color w:val="000000" w:themeColor="text1"/>
          <w:sz w:val="28"/>
          <w:szCs w:val="28"/>
          <w:highlight w:val="none"/>
          <w14:textFill>
            <w14:solidFill>
              <w14:schemeClr w14:val="tx1"/>
            </w14:solidFill>
          </w14:textFill>
        </w:rPr>
        <w:t>章）</w:t>
      </w:r>
    </w:p>
    <w:p w14:paraId="7B35A97B">
      <w:pPr>
        <w:keepNext w:val="0"/>
        <w:keepLines w:val="0"/>
        <w:pageBreakBefore w:val="0"/>
        <w:widowControl w:val="0"/>
        <w:kinsoku/>
        <w:wordWrap/>
        <w:overflowPunct/>
        <w:topLinePunct w:val="0"/>
        <w:autoSpaceDE/>
        <w:autoSpaceDN/>
        <w:bidi w:val="0"/>
        <w:adjustRightInd/>
        <w:snapToGrid/>
        <w:spacing w:line="560" w:lineRule="exact"/>
        <w:ind w:firstLine="1400" w:firstLineChars="500"/>
        <w:textAlignment w:val="auto"/>
        <w:rPr>
          <w:rFonts w:hint="eastAsia"/>
          <w:color w:val="000000" w:themeColor="text1"/>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法定代表人：</w:t>
      </w:r>
      <w:r>
        <w:rPr>
          <w:rFonts w:hint="eastAsia" w:ascii="宋体" w:hAnsi="宋体" w:eastAsia="宋体" w:cs="宋体"/>
          <w:color w:val="000000" w:themeColor="text1"/>
          <w:kern w:val="2"/>
          <w:sz w:val="28"/>
          <w:szCs w:val="28"/>
          <w:highlight w:val="none"/>
          <w:u w:val="single"/>
          <w:lang w:val="en-US" w:eastAsia="zh-CN" w:bidi="ar-SA"/>
          <w14:textFill>
            <w14:solidFill>
              <w14:schemeClr w14:val="tx1"/>
            </w14:solidFill>
          </w14:textFill>
        </w:rPr>
        <w:t xml:space="preserve">                          </w:t>
      </w:r>
      <w:r>
        <w:rPr>
          <w:rFonts w:hint="eastAsia" w:ascii="宋体" w:hAnsi="宋体" w:cs="宋体"/>
          <w:color w:val="000000" w:themeColor="text1"/>
          <w:sz w:val="28"/>
          <w:szCs w:val="28"/>
          <w:highlight w:val="none"/>
          <w14:textFill>
            <w14:solidFill>
              <w14:schemeClr w14:val="tx1"/>
            </w14:solidFill>
          </w14:textFill>
        </w:rPr>
        <w:t>（</w:t>
      </w:r>
      <w:r>
        <w:rPr>
          <w:rFonts w:hint="eastAsia" w:ascii="宋体" w:hAnsi="宋体" w:cs="宋体"/>
          <w:color w:val="000000" w:themeColor="text1"/>
          <w:sz w:val="28"/>
          <w:szCs w:val="28"/>
          <w:highlight w:val="none"/>
          <w:lang w:eastAsia="zh-CN"/>
          <w14:textFill>
            <w14:solidFill>
              <w14:schemeClr w14:val="tx1"/>
            </w14:solidFill>
          </w14:textFill>
        </w:rPr>
        <w:t>签字或盖章</w:t>
      </w:r>
      <w:r>
        <w:rPr>
          <w:rFonts w:hint="eastAsia" w:ascii="宋体" w:hAnsi="宋体" w:cs="宋体"/>
          <w:color w:val="000000" w:themeColor="text1"/>
          <w:sz w:val="28"/>
          <w:szCs w:val="28"/>
          <w:highlight w:val="none"/>
          <w14:textFill>
            <w14:solidFill>
              <w14:schemeClr w14:val="tx1"/>
            </w14:solidFill>
          </w14:textFill>
        </w:rPr>
        <w:t>）</w:t>
      </w:r>
    </w:p>
    <w:p w14:paraId="7B1F17F4">
      <w:pPr>
        <w:pStyle w:val="158"/>
        <w:keepNext w:val="0"/>
        <w:keepLines w:val="0"/>
        <w:pageBreakBefore w:val="0"/>
        <w:widowControl w:val="0"/>
        <w:kinsoku/>
        <w:wordWrap/>
        <w:overflowPunct/>
        <w:topLinePunct w:val="0"/>
        <w:autoSpaceDE/>
        <w:autoSpaceDN/>
        <w:bidi w:val="0"/>
        <w:adjustRightInd/>
        <w:snapToGrid/>
        <w:spacing w:line="560" w:lineRule="exact"/>
        <w:ind w:firstLine="1400" w:firstLineChars="500"/>
        <w:textAlignment w:val="auto"/>
        <w:rPr>
          <w:rFonts w:ascii="宋体" w:hAnsi="宋体" w:cs="宋体"/>
          <w:color w:val="000000" w:themeColor="text1"/>
          <w:sz w:val="28"/>
          <w:szCs w:val="28"/>
          <w:highlight w:val="none"/>
          <w:u w:val="singl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联 系 人：</w:t>
      </w:r>
      <w:r>
        <w:rPr>
          <w:rFonts w:hint="eastAsia" w:ascii="宋体" w:hAnsi="宋体" w:cs="宋体"/>
          <w:color w:val="000000" w:themeColor="text1"/>
          <w:sz w:val="28"/>
          <w:szCs w:val="28"/>
          <w:highlight w:val="none"/>
          <w:u w:val="single"/>
          <w14:textFill>
            <w14:solidFill>
              <w14:schemeClr w14:val="tx1"/>
            </w14:solidFill>
          </w14:textFill>
        </w:rPr>
        <w:t xml:space="preserve">                            </w:t>
      </w:r>
    </w:p>
    <w:p w14:paraId="01CD56F4">
      <w:pPr>
        <w:pStyle w:val="158"/>
        <w:keepNext w:val="0"/>
        <w:keepLines w:val="0"/>
        <w:pageBreakBefore w:val="0"/>
        <w:widowControl w:val="0"/>
        <w:kinsoku/>
        <w:wordWrap/>
        <w:overflowPunct/>
        <w:topLinePunct w:val="0"/>
        <w:autoSpaceDE/>
        <w:autoSpaceDN/>
        <w:bidi w:val="0"/>
        <w:adjustRightInd/>
        <w:snapToGrid/>
        <w:spacing w:line="560" w:lineRule="exact"/>
        <w:ind w:firstLine="1400" w:firstLineChars="500"/>
        <w:textAlignment w:val="auto"/>
        <w:rPr>
          <w:rFonts w:hint="eastAsia" w:ascii="宋体" w:hAnsi="宋体" w:cs="宋体"/>
          <w:color w:val="000000" w:themeColor="text1"/>
          <w:sz w:val="28"/>
          <w:szCs w:val="28"/>
          <w:highlight w:val="none"/>
          <w:u w:val="singl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联系电话：</w:t>
      </w:r>
      <w:r>
        <w:rPr>
          <w:rFonts w:hint="eastAsia" w:ascii="宋体" w:hAnsi="宋体" w:cs="宋体"/>
          <w:color w:val="000000" w:themeColor="text1"/>
          <w:sz w:val="28"/>
          <w:szCs w:val="28"/>
          <w:highlight w:val="none"/>
          <w:u w:val="single"/>
          <w14:textFill>
            <w14:solidFill>
              <w14:schemeClr w14:val="tx1"/>
            </w14:solidFill>
          </w14:textFill>
        </w:rPr>
        <w:t xml:space="preserve">                            </w:t>
      </w:r>
    </w:p>
    <w:p w14:paraId="2B40BD18">
      <w:pPr>
        <w:pStyle w:val="156"/>
        <w:keepNext w:val="0"/>
        <w:keepLines w:val="0"/>
        <w:pageBreakBefore w:val="0"/>
        <w:widowControl w:val="0"/>
        <w:kinsoku/>
        <w:wordWrap/>
        <w:overflowPunct/>
        <w:topLinePunct w:val="0"/>
        <w:autoSpaceDE/>
        <w:autoSpaceDN/>
        <w:bidi w:val="0"/>
        <w:adjustRightInd/>
        <w:snapToGrid/>
        <w:spacing w:line="560" w:lineRule="exact"/>
        <w:ind w:firstLine="1400" w:firstLineChars="500"/>
        <w:textAlignment w:val="auto"/>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日    期：</w:t>
      </w:r>
      <w:r>
        <w:rPr>
          <w:rFonts w:hint="eastAsia" w:ascii="宋体" w:hAnsi="宋体" w:cs="宋体"/>
          <w:color w:val="000000" w:themeColor="text1"/>
          <w:sz w:val="28"/>
          <w:szCs w:val="28"/>
          <w:highlight w:val="none"/>
          <w:u w:val="single"/>
          <w14:textFill>
            <w14:solidFill>
              <w14:schemeClr w14:val="tx1"/>
            </w14:solidFill>
          </w14:textFill>
        </w:rPr>
        <w:t xml:space="preserve">                            </w:t>
      </w:r>
      <w:r>
        <w:rPr>
          <w:rFonts w:hint="eastAsia" w:ascii="宋体" w:hAnsi="宋体" w:cs="宋体"/>
          <w:color w:val="000000" w:themeColor="text1"/>
          <w:sz w:val="28"/>
          <w:szCs w:val="28"/>
          <w:highlight w:val="none"/>
          <w14:textFill>
            <w14:solidFill>
              <w14:schemeClr w14:val="tx1"/>
            </w14:solidFill>
          </w14:textFill>
        </w:rPr>
        <w:t>（年/月/日）</w:t>
      </w:r>
    </w:p>
    <w:p w14:paraId="21E12F5C">
      <w:pPr>
        <w:pageBreakBefore w:val="0"/>
        <w:wordWrap/>
        <w:topLinePunct w:val="0"/>
        <w:bidi w:val="0"/>
        <w:spacing w:line="560" w:lineRule="exact"/>
        <w:rPr>
          <w:rFonts w:hint="eastAsia"/>
          <w:color w:val="000000" w:themeColor="text1"/>
          <w:highlight w:val="none"/>
          <w14:textFill>
            <w14:solidFill>
              <w14:schemeClr w14:val="tx1"/>
            </w14:solidFill>
          </w14:textFill>
        </w:rPr>
      </w:pPr>
    </w:p>
    <w:p w14:paraId="7DF735A1">
      <w:pPr>
        <w:pageBreakBefore w:val="0"/>
        <w:wordWrap/>
        <w:topLinePunct w:val="0"/>
        <w:bidi w:val="0"/>
        <w:spacing w:line="560" w:lineRule="exact"/>
        <w:rPr>
          <w:rFonts w:hint="eastAsia"/>
          <w:color w:val="000000" w:themeColor="text1"/>
          <w:highlight w:val="none"/>
          <w14:textFill>
            <w14:solidFill>
              <w14:schemeClr w14:val="tx1"/>
            </w14:solidFill>
          </w14:textFill>
        </w:rPr>
      </w:pPr>
    </w:p>
    <w:p w14:paraId="21815561">
      <w:pPr>
        <w:pageBreakBefore w:val="0"/>
        <w:wordWrap/>
        <w:topLinePunct w:val="0"/>
        <w:bidi w:val="0"/>
        <w:spacing w:line="560" w:lineRule="exact"/>
        <w:rPr>
          <w:rFonts w:hint="eastAsia"/>
          <w:color w:val="000000" w:themeColor="text1"/>
          <w:highlight w:val="none"/>
          <w14:textFill>
            <w14:solidFill>
              <w14:schemeClr w14:val="tx1"/>
            </w14:solidFill>
          </w14:textFill>
        </w:rPr>
      </w:pPr>
    </w:p>
    <w:p w14:paraId="52B68827">
      <w:pPr>
        <w:pageBreakBefore w:val="0"/>
        <w:wordWrap/>
        <w:topLinePunct w:val="0"/>
        <w:bidi w:val="0"/>
        <w:spacing w:line="560" w:lineRule="exact"/>
        <w:rPr>
          <w:rFonts w:hint="eastAsia"/>
          <w:color w:val="000000" w:themeColor="text1"/>
          <w:highlight w:val="none"/>
          <w14:textFill>
            <w14:solidFill>
              <w14:schemeClr w14:val="tx1"/>
            </w14:solidFill>
          </w14:textFill>
        </w:rPr>
      </w:pPr>
    </w:p>
    <w:p w14:paraId="2D0BB217">
      <w:pPr>
        <w:pageBreakBefore w:val="0"/>
        <w:wordWrap/>
        <w:topLinePunct w:val="0"/>
        <w:bidi w:val="0"/>
        <w:spacing w:line="560" w:lineRule="exact"/>
        <w:jc w:val="center"/>
        <w:rPr>
          <w:rFonts w:cs="仿宋_GB2312" w:asciiTheme="minorEastAsia" w:hAnsiTheme="minorEastAsia" w:eastAsiaTheme="minorEastAsia"/>
          <w:color w:val="000000" w:themeColor="text1"/>
          <w:kern w:val="0"/>
          <w:sz w:val="28"/>
          <w:szCs w:val="28"/>
          <w:highlight w:val="none"/>
          <w14:textFill>
            <w14:solidFill>
              <w14:schemeClr w14:val="tx1"/>
            </w14:solidFill>
          </w14:textFill>
        </w:rPr>
      </w:pPr>
      <w:r>
        <w:rPr>
          <w:rFonts w:hint="eastAsia" w:cs="仿宋_GB2312" w:asciiTheme="minorEastAsia" w:hAnsiTheme="minorEastAsia" w:eastAsiaTheme="minorEastAsia"/>
          <w:b/>
          <w:color w:val="000000" w:themeColor="text1"/>
          <w:kern w:val="0"/>
          <w:sz w:val="28"/>
          <w:szCs w:val="28"/>
          <w:highlight w:val="none"/>
          <w14:textFill>
            <w14:solidFill>
              <w14:schemeClr w14:val="tx1"/>
            </w14:solidFill>
          </w14:textFill>
        </w:rPr>
        <w:t>资格证明文件目录</w:t>
      </w:r>
    </w:p>
    <w:p w14:paraId="661F2D9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cs="仿宋_GB2312" w:asciiTheme="minorEastAsia" w:hAnsiTheme="minorEastAsia" w:eastAsiaTheme="minorEastAsia"/>
          <w:color w:val="000000" w:themeColor="text1"/>
          <w:kern w:val="0"/>
          <w:sz w:val="28"/>
          <w:szCs w:val="28"/>
          <w:highlight w:val="none"/>
          <w14:textFill>
            <w14:solidFill>
              <w14:schemeClr w14:val="tx1"/>
            </w14:solidFill>
          </w14:textFill>
        </w:rPr>
      </w:pPr>
      <w:r>
        <w:rPr>
          <w:rFonts w:hint="eastAsia" w:cs="仿宋_GB2312" w:asciiTheme="minorEastAsia" w:hAnsiTheme="minorEastAsia" w:eastAsiaTheme="minorEastAsia"/>
          <w:color w:val="000000" w:themeColor="text1"/>
          <w:kern w:val="0"/>
          <w:sz w:val="28"/>
          <w:szCs w:val="28"/>
          <w:highlight w:val="none"/>
          <w14:textFill>
            <w14:solidFill>
              <w14:schemeClr w14:val="tx1"/>
            </w14:solidFill>
          </w14:textFill>
        </w:rPr>
        <w:t>一、合法有效的法人营业执照………………………………………………（页码）</w:t>
      </w:r>
    </w:p>
    <w:p w14:paraId="01158AA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cs="仿宋_GB2312" w:asciiTheme="minorEastAsia" w:hAnsiTheme="minorEastAsia" w:eastAsiaTheme="minorEastAsia"/>
          <w:color w:val="000000" w:themeColor="text1"/>
          <w:kern w:val="0"/>
          <w:sz w:val="28"/>
          <w:szCs w:val="28"/>
          <w:highlight w:val="none"/>
          <w14:textFill>
            <w14:solidFill>
              <w14:schemeClr w14:val="tx1"/>
            </w14:solidFill>
          </w14:textFill>
        </w:rPr>
      </w:pPr>
      <w:r>
        <w:rPr>
          <w:rFonts w:hint="eastAsia" w:cs="仿宋_GB2312" w:asciiTheme="minorEastAsia" w:hAnsiTheme="minorEastAsia" w:eastAsiaTheme="minorEastAsia"/>
          <w:color w:val="000000" w:themeColor="text1"/>
          <w:kern w:val="0"/>
          <w:sz w:val="28"/>
          <w:szCs w:val="28"/>
          <w:highlight w:val="none"/>
          <w14:textFill>
            <w14:solidFill>
              <w14:schemeClr w14:val="tx1"/>
            </w14:solidFill>
          </w14:textFill>
        </w:rPr>
        <w:t>二、202</w:t>
      </w:r>
      <w:r>
        <w:rPr>
          <w:rFonts w:hint="eastAsia" w:cs="仿宋_GB2312" w:asciiTheme="minorEastAsia" w:hAnsiTheme="minorEastAsia" w:eastAsiaTheme="minorEastAsia"/>
          <w:color w:val="000000" w:themeColor="text1"/>
          <w:kern w:val="0"/>
          <w:sz w:val="28"/>
          <w:szCs w:val="28"/>
          <w:highlight w:val="none"/>
          <w:lang w:val="en-US" w:eastAsia="zh-CN"/>
          <w14:textFill>
            <w14:solidFill>
              <w14:schemeClr w14:val="tx1"/>
            </w14:solidFill>
          </w14:textFill>
        </w:rPr>
        <w:t>2</w:t>
      </w:r>
      <w:r>
        <w:rPr>
          <w:rFonts w:hint="eastAsia" w:cs="仿宋_GB2312" w:asciiTheme="minorEastAsia" w:hAnsiTheme="minorEastAsia" w:eastAsiaTheme="minorEastAsia"/>
          <w:color w:val="000000" w:themeColor="text1"/>
          <w:kern w:val="0"/>
          <w:sz w:val="28"/>
          <w:szCs w:val="28"/>
          <w:highlight w:val="none"/>
          <w14:textFill>
            <w14:solidFill>
              <w14:schemeClr w14:val="tx1"/>
            </w14:solidFill>
          </w14:textFill>
        </w:rPr>
        <w:t>-202</w:t>
      </w:r>
      <w:r>
        <w:rPr>
          <w:rFonts w:hint="eastAsia" w:cs="仿宋_GB2312" w:asciiTheme="minorEastAsia" w:hAnsiTheme="minorEastAsia" w:eastAsiaTheme="minorEastAsia"/>
          <w:color w:val="000000" w:themeColor="text1"/>
          <w:kern w:val="0"/>
          <w:sz w:val="28"/>
          <w:szCs w:val="28"/>
          <w:highlight w:val="none"/>
          <w:lang w:val="en-US" w:eastAsia="zh-CN"/>
          <w14:textFill>
            <w14:solidFill>
              <w14:schemeClr w14:val="tx1"/>
            </w14:solidFill>
          </w14:textFill>
        </w:rPr>
        <w:t>4</w:t>
      </w:r>
      <w:r>
        <w:rPr>
          <w:rFonts w:hint="eastAsia" w:cs="仿宋_GB2312" w:asciiTheme="minorEastAsia" w:hAnsiTheme="minorEastAsia" w:eastAsiaTheme="minorEastAsia"/>
          <w:color w:val="000000" w:themeColor="text1"/>
          <w:kern w:val="0"/>
          <w:sz w:val="28"/>
          <w:szCs w:val="28"/>
          <w:highlight w:val="none"/>
          <w14:textFill>
            <w14:solidFill>
              <w14:schemeClr w14:val="tx1"/>
            </w14:solidFill>
          </w14:textFill>
        </w:rPr>
        <w:t xml:space="preserve">年任意一年的财务报表或审计报告………………………（页码） </w:t>
      </w:r>
    </w:p>
    <w:p w14:paraId="7856375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cs="仿宋_GB2312" w:asciiTheme="minorEastAsia" w:hAnsiTheme="minorEastAsia" w:eastAsiaTheme="minorEastAsia"/>
          <w:color w:val="000000" w:themeColor="text1"/>
          <w:kern w:val="0"/>
          <w:sz w:val="28"/>
          <w:szCs w:val="28"/>
          <w:highlight w:val="none"/>
          <w14:textFill>
            <w14:solidFill>
              <w14:schemeClr w14:val="tx1"/>
            </w14:solidFill>
          </w14:textFill>
        </w:rPr>
      </w:pPr>
      <w:r>
        <w:rPr>
          <w:rFonts w:hint="eastAsia" w:cs="仿宋_GB2312" w:asciiTheme="minorEastAsia" w:hAnsiTheme="minorEastAsia" w:eastAsiaTheme="minorEastAsia"/>
          <w:color w:val="000000" w:themeColor="text1"/>
          <w:kern w:val="0"/>
          <w:sz w:val="28"/>
          <w:szCs w:val="28"/>
          <w:highlight w:val="none"/>
          <w14:textFill>
            <w14:solidFill>
              <w14:schemeClr w14:val="tx1"/>
            </w14:solidFill>
          </w14:textFill>
        </w:rPr>
        <w:t>三、根据项目需求提供履行合同所必需的设备和专业技术能力的加盖单位公章的书面承诺函…………………………………………………………………（页码）</w:t>
      </w:r>
    </w:p>
    <w:p w14:paraId="0A9B73D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cs="仿宋_GB2312" w:asciiTheme="minorEastAsia" w:hAnsiTheme="minorEastAsia" w:eastAsiaTheme="minorEastAsia"/>
          <w:color w:val="000000" w:themeColor="text1"/>
          <w:kern w:val="0"/>
          <w:sz w:val="28"/>
          <w:szCs w:val="28"/>
          <w:highlight w:val="none"/>
          <w14:textFill>
            <w14:solidFill>
              <w14:schemeClr w14:val="tx1"/>
            </w14:solidFill>
          </w14:textFill>
        </w:rPr>
      </w:pPr>
      <w:r>
        <w:rPr>
          <w:rFonts w:hint="eastAsia" w:cs="仿宋_GB2312" w:asciiTheme="minorEastAsia" w:hAnsiTheme="minorEastAsia" w:eastAsiaTheme="minorEastAsia"/>
          <w:color w:val="000000" w:themeColor="text1"/>
          <w:kern w:val="0"/>
          <w:sz w:val="28"/>
          <w:szCs w:val="28"/>
          <w:highlight w:val="none"/>
          <w14:textFill>
            <w14:solidFill>
              <w14:schemeClr w14:val="tx1"/>
            </w14:solidFill>
          </w14:textFill>
        </w:rPr>
        <w:t>四、提供参加本次政府采购活动前近半年任意一个月的依法缴纳税收和社会保障资金的相关材料……………………………………………………………（页码）</w:t>
      </w:r>
    </w:p>
    <w:p w14:paraId="5E78E4F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cs="仿宋_GB2312" w:asciiTheme="minorEastAsia" w:hAnsiTheme="minorEastAsia" w:eastAsiaTheme="minorEastAsia"/>
          <w:color w:val="000000" w:themeColor="text1"/>
          <w:kern w:val="0"/>
          <w:sz w:val="28"/>
          <w:szCs w:val="28"/>
          <w:highlight w:val="none"/>
          <w14:textFill>
            <w14:solidFill>
              <w14:schemeClr w14:val="tx1"/>
            </w14:solidFill>
          </w14:textFill>
        </w:rPr>
      </w:pPr>
      <w:r>
        <w:rPr>
          <w:rFonts w:hint="eastAsia" w:cs="仿宋_GB2312" w:asciiTheme="minorEastAsia" w:hAnsiTheme="minorEastAsia" w:eastAsiaTheme="minorEastAsia"/>
          <w:color w:val="000000" w:themeColor="text1"/>
          <w:kern w:val="0"/>
          <w:sz w:val="28"/>
          <w:szCs w:val="28"/>
          <w:highlight w:val="none"/>
          <w14:textFill>
            <w14:solidFill>
              <w14:schemeClr w14:val="tx1"/>
            </w14:solidFill>
          </w14:textFill>
        </w:rPr>
        <w:t>五、提供参加本次政府采购活动前3年内在经营活动中没有重大违法记录的书面承诺函并加盖单位公章……………………………………………………（页码）</w:t>
      </w:r>
    </w:p>
    <w:p w14:paraId="52E4DDE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cs="仿宋_GB2312" w:asciiTheme="minorEastAsia" w:hAnsiTheme="minorEastAsia" w:eastAsiaTheme="minorEastAsia"/>
          <w:color w:val="000000" w:themeColor="text1"/>
          <w:kern w:val="0"/>
          <w:sz w:val="28"/>
          <w:szCs w:val="28"/>
          <w:highlight w:val="none"/>
          <w14:textFill>
            <w14:solidFill>
              <w14:schemeClr w14:val="tx1"/>
            </w14:solidFill>
          </w14:textFill>
        </w:rPr>
      </w:pPr>
      <w:r>
        <w:rPr>
          <w:rFonts w:hint="eastAsia" w:cs="仿宋_GB2312" w:asciiTheme="minorEastAsia" w:hAnsiTheme="minorEastAsia" w:eastAsiaTheme="minorEastAsia"/>
          <w:color w:val="000000" w:themeColor="text1"/>
          <w:kern w:val="0"/>
          <w:sz w:val="28"/>
          <w:szCs w:val="28"/>
          <w:highlight w:val="none"/>
          <w14:textFill>
            <w14:solidFill>
              <w14:schemeClr w14:val="tx1"/>
            </w14:solidFill>
          </w14:textFill>
        </w:rPr>
        <w:t>六、</w:t>
      </w:r>
      <w:r>
        <w:rPr>
          <w:rFonts w:hint="eastAsia" w:asciiTheme="minorEastAsia" w:hAnsiTheme="minorEastAsia" w:eastAsiaTheme="minorEastAsia" w:cstheme="minorEastAsia"/>
          <w:color w:val="000000" w:themeColor="text1"/>
          <w:kern w:val="0"/>
          <w:sz w:val="28"/>
          <w:szCs w:val="28"/>
          <w:highlight w:val="none"/>
          <w14:textFill>
            <w14:solidFill>
              <w14:schemeClr w14:val="tx1"/>
            </w14:solidFill>
          </w14:textFill>
        </w:rPr>
        <w:t>法律、行政法规规定的其他条件</w:t>
      </w:r>
      <w:r>
        <w:rPr>
          <w:rFonts w:hint="eastAsia" w:cs="仿宋_GB2312" w:asciiTheme="minorEastAsia" w:hAnsiTheme="minorEastAsia" w:eastAsiaTheme="minorEastAsia"/>
          <w:color w:val="000000" w:themeColor="text1"/>
          <w:kern w:val="0"/>
          <w:sz w:val="28"/>
          <w:szCs w:val="28"/>
          <w:highlight w:val="none"/>
          <w14:textFill>
            <w14:solidFill>
              <w14:schemeClr w14:val="tx1"/>
            </w14:solidFill>
          </w14:textFill>
        </w:rPr>
        <w:t>………………………………………（页码）</w:t>
      </w:r>
    </w:p>
    <w:p w14:paraId="304500E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cs="仿宋_GB2312" w:asciiTheme="minorEastAsia" w:hAnsiTheme="minorEastAsia" w:eastAsiaTheme="minorEastAsia"/>
          <w:color w:val="000000" w:themeColor="text1"/>
          <w:kern w:val="0"/>
          <w:sz w:val="28"/>
          <w:szCs w:val="28"/>
          <w:highlight w:val="none"/>
          <w14:textFill>
            <w14:solidFill>
              <w14:schemeClr w14:val="tx1"/>
            </w14:solidFill>
          </w14:textFill>
        </w:rPr>
      </w:pPr>
      <w:r>
        <w:rPr>
          <w:rFonts w:hint="eastAsia" w:cs="仿宋_GB2312" w:asciiTheme="minorEastAsia" w:hAnsiTheme="minorEastAsia" w:eastAsiaTheme="minorEastAsia"/>
          <w:color w:val="000000" w:themeColor="text1"/>
          <w:kern w:val="0"/>
          <w:sz w:val="28"/>
          <w:szCs w:val="28"/>
          <w:highlight w:val="none"/>
          <w14:textFill>
            <w14:solidFill>
              <w14:schemeClr w14:val="tx1"/>
            </w14:solidFill>
          </w14:textFill>
        </w:rPr>
        <w:t>七、投标保证金凭证…………………………………………………………（页码）</w:t>
      </w:r>
    </w:p>
    <w:p w14:paraId="5D9F308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cs="仿宋_GB2312" w:asciiTheme="minorEastAsia" w:hAnsiTheme="minorEastAsia" w:eastAsiaTheme="minorEastAsia"/>
          <w:color w:val="000000" w:themeColor="text1"/>
          <w:kern w:val="0"/>
          <w:sz w:val="28"/>
          <w:szCs w:val="28"/>
          <w:highlight w:val="none"/>
          <w14:textFill>
            <w14:solidFill>
              <w14:schemeClr w14:val="tx1"/>
            </w14:solidFill>
          </w14:textFill>
        </w:rPr>
      </w:pPr>
      <w:r>
        <w:rPr>
          <w:rFonts w:hint="eastAsia" w:cs="仿宋_GB2312" w:asciiTheme="minorEastAsia" w:hAnsiTheme="minorEastAsia" w:eastAsiaTheme="minorEastAsia"/>
          <w:color w:val="000000" w:themeColor="text1"/>
          <w:kern w:val="0"/>
          <w:sz w:val="28"/>
          <w:szCs w:val="28"/>
          <w:highlight w:val="none"/>
          <w14:textFill>
            <w14:solidFill>
              <w14:schemeClr w14:val="tx1"/>
            </w14:solidFill>
          </w14:textFill>
        </w:rPr>
        <w:t>八、特定资格要求……………………………………………………………（页码）</w:t>
      </w:r>
    </w:p>
    <w:p w14:paraId="42D95B47">
      <w:pPr>
        <w:pageBreakBefore w:val="0"/>
        <w:wordWrap/>
        <w:topLinePunct w:val="0"/>
        <w:bidi w:val="0"/>
        <w:spacing w:line="560" w:lineRule="exact"/>
        <w:jc w:val="center"/>
        <w:rPr>
          <w:rFonts w:ascii="宋体" w:hAnsi="宋体" w:cs="宋体"/>
          <w:color w:val="000000" w:themeColor="text1"/>
          <w:highlight w:val="none"/>
          <w14:textFill>
            <w14:solidFill>
              <w14:schemeClr w14:val="tx1"/>
            </w14:solidFill>
          </w14:textFill>
        </w:rPr>
      </w:pPr>
      <w:r>
        <w:rPr>
          <w:rFonts w:hint="eastAsia" w:cs="仿宋_GB2312" w:asciiTheme="minorEastAsia" w:hAnsiTheme="minorEastAsia" w:eastAsiaTheme="minorEastAsia"/>
          <w:b/>
          <w:color w:val="000000" w:themeColor="text1"/>
          <w:kern w:val="0"/>
          <w:sz w:val="28"/>
          <w:szCs w:val="28"/>
          <w:highlight w:val="none"/>
          <w14:textFill>
            <w14:solidFill>
              <w14:schemeClr w14:val="tx1"/>
            </w14:solidFill>
          </w14:textFill>
        </w:rPr>
        <w:t>报价文件目录</w:t>
      </w:r>
    </w:p>
    <w:p w14:paraId="0550B1F5">
      <w:pPr>
        <w:pageBreakBefore w:val="0"/>
        <w:wordWrap/>
        <w:topLinePunct w:val="0"/>
        <w:bidi w:val="0"/>
        <w:spacing w:line="560" w:lineRule="exact"/>
        <w:rPr>
          <w:rFonts w:cs="仿宋_GB2312" w:asciiTheme="minorEastAsia" w:hAnsiTheme="minorEastAsia" w:eastAsiaTheme="minorEastAsia"/>
          <w:color w:val="000000" w:themeColor="text1"/>
          <w:kern w:val="0"/>
          <w:sz w:val="28"/>
          <w:szCs w:val="28"/>
          <w:highlight w:val="none"/>
          <w14:textFill>
            <w14:solidFill>
              <w14:schemeClr w14:val="tx1"/>
            </w14:solidFill>
          </w14:textFill>
        </w:rPr>
      </w:pPr>
      <w:r>
        <w:rPr>
          <w:rFonts w:hint="eastAsia" w:cs="仿宋_GB2312" w:asciiTheme="minorEastAsia" w:hAnsiTheme="minorEastAsia" w:eastAsiaTheme="minorEastAsia"/>
          <w:color w:val="000000" w:themeColor="text1"/>
          <w:kern w:val="0"/>
          <w:sz w:val="28"/>
          <w:szCs w:val="28"/>
          <w:highlight w:val="none"/>
          <w14:textFill>
            <w14:solidFill>
              <w14:schemeClr w14:val="tx1"/>
            </w14:solidFill>
          </w14:textFill>
        </w:rPr>
        <w:t>一、投标函……………………………………………………………………（页码）</w:t>
      </w:r>
    </w:p>
    <w:p w14:paraId="31830A26">
      <w:pPr>
        <w:pageBreakBefore w:val="0"/>
        <w:wordWrap/>
        <w:topLinePunct w:val="0"/>
        <w:bidi w:val="0"/>
        <w:spacing w:line="560" w:lineRule="exact"/>
        <w:rPr>
          <w:rFonts w:cs="仿宋_GB2312" w:asciiTheme="minorEastAsia" w:hAnsiTheme="minorEastAsia" w:eastAsiaTheme="minorEastAsia"/>
          <w:color w:val="000000" w:themeColor="text1"/>
          <w:kern w:val="0"/>
          <w:sz w:val="28"/>
          <w:szCs w:val="28"/>
          <w:highlight w:val="none"/>
          <w14:textFill>
            <w14:solidFill>
              <w14:schemeClr w14:val="tx1"/>
            </w14:solidFill>
          </w14:textFill>
        </w:rPr>
      </w:pPr>
      <w:r>
        <w:rPr>
          <w:rFonts w:hint="eastAsia" w:cs="仿宋_GB2312" w:asciiTheme="minorEastAsia" w:hAnsiTheme="minorEastAsia" w:eastAsiaTheme="minorEastAsia"/>
          <w:color w:val="000000" w:themeColor="text1"/>
          <w:kern w:val="0"/>
          <w:sz w:val="28"/>
          <w:szCs w:val="28"/>
          <w:highlight w:val="none"/>
          <w14:textFill>
            <w14:solidFill>
              <w14:schemeClr w14:val="tx1"/>
            </w14:solidFill>
          </w14:textFill>
        </w:rPr>
        <w:t>二、开标一览表………………………………………………………………（页码）</w:t>
      </w:r>
    </w:p>
    <w:p w14:paraId="64266E7D">
      <w:pPr>
        <w:pageBreakBefore w:val="0"/>
        <w:wordWrap/>
        <w:topLinePunct w:val="0"/>
        <w:bidi w:val="0"/>
        <w:spacing w:line="560" w:lineRule="exact"/>
        <w:rPr>
          <w:rFonts w:cs="仿宋_GB2312" w:asciiTheme="minorEastAsia" w:hAnsiTheme="minorEastAsia" w:eastAsiaTheme="minorEastAsia"/>
          <w:color w:val="000000" w:themeColor="text1"/>
          <w:sz w:val="28"/>
          <w:szCs w:val="28"/>
          <w:highlight w:val="none"/>
          <w14:textFill>
            <w14:solidFill>
              <w14:schemeClr w14:val="tx1"/>
            </w14:solidFill>
          </w14:textFill>
        </w:rPr>
      </w:pPr>
      <w:r>
        <w:rPr>
          <w:rFonts w:hint="eastAsia" w:cs="仿宋_GB2312" w:asciiTheme="minorEastAsia" w:hAnsiTheme="minorEastAsia" w:eastAsiaTheme="minorEastAsia"/>
          <w:color w:val="000000" w:themeColor="text1"/>
          <w:kern w:val="0"/>
          <w:sz w:val="28"/>
          <w:szCs w:val="28"/>
          <w:highlight w:val="none"/>
          <w14:textFill>
            <w14:solidFill>
              <w14:schemeClr w14:val="tx1"/>
            </w14:solidFill>
          </w14:textFill>
        </w:rPr>
        <w:t>三、分项报价表………………………………………………………………（页码）</w:t>
      </w:r>
    </w:p>
    <w:p w14:paraId="1EDE0146">
      <w:pPr>
        <w:pageBreakBefore w:val="0"/>
        <w:widowControl/>
        <w:wordWrap/>
        <w:topLinePunct w:val="0"/>
        <w:bidi w:val="0"/>
        <w:spacing w:line="560" w:lineRule="exact"/>
        <w:jc w:val="left"/>
        <w:rPr>
          <w:rFonts w:hint="eastAsia" w:cs="仿宋_GB2312" w:asciiTheme="minorEastAsia" w:hAnsiTheme="minorEastAsia" w:eastAsiaTheme="minorEastAsia"/>
          <w:b/>
          <w:color w:val="000000" w:themeColor="text1"/>
          <w:kern w:val="0"/>
          <w:sz w:val="28"/>
          <w:szCs w:val="28"/>
          <w:highlight w:val="none"/>
          <w14:textFill>
            <w14:solidFill>
              <w14:schemeClr w14:val="tx1"/>
            </w14:solidFill>
          </w14:textFill>
        </w:rPr>
      </w:pPr>
      <w:r>
        <w:rPr>
          <w:rFonts w:hint="eastAsia" w:cs="仿宋_GB2312" w:asciiTheme="minorEastAsia" w:hAnsiTheme="minorEastAsia" w:eastAsiaTheme="minorEastAsia"/>
          <w:color w:val="000000" w:themeColor="text1"/>
          <w:kern w:val="0"/>
          <w:sz w:val="28"/>
          <w:szCs w:val="28"/>
          <w:highlight w:val="none"/>
          <w14:textFill>
            <w14:solidFill>
              <w14:schemeClr w14:val="tx1"/>
            </w14:solidFill>
          </w14:textFill>
        </w:rPr>
        <w:t>四、中小企业</w:t>
      </w:r>
      <w:r>
        <w:rPr>
          <w:rFonts w:hint="eastAsia" w:cs="仿宋_GB2312" w:asciiTheme="minorEastAsia" w:hAnsiTheme="minorEastAsia" w:eastAsiaTheme="minorEastAsia"/>
          <w:color w:val="000000" w:themeColor="text1"/>
          <w:kern w:val="0"/>
          <w:sz w:val="28"/>
          <w:szCs w:val="28"/>
          <w:highlight w:val="none"/>
          <w:lang w:eastAsia="zh-CN"/>
          <w14:textFill>
            <w14:solidFill>
              <w14:schemeClr w14:val="tx1"/>
            </w14:solidFill>
          </w14:textFill>
        </w:rPr>
        <w:t>声</w:t>
      </w:r>
      <w:r>
        <w:rPr>
          <w:rFonts w:hint="eastAsia" w:cs="仿宋_GB2312" w:asciiTheme="minorEastAsia" w:hAnsiTheme="minorEastAsia" w:eastAsiaTheme="minorEastAsia"/>
          <w:color w:val="000000" w:themeColor="text1"/>
          <w:kern w:val="0"/>
          <w:sz w:val="28"/>
          <w:szCs w:val="28"/>
          <w:highlight w:val="none"/>
          <w14:textFill>
            <w14:solidFill>
              <w14:schemeClr w14:val="tx1"/>
            </w14:solidFill>
          </w14:textFill>
        </w:rPr>
        <w:t>明函…………………………………………………………（页码）</w:t>
      </w:r>
    </w:p>
    <w:p w14:paraId="110C9A95">
      <w:pPr>
        <w:pageBreakBefore w:val="0"/>
        <w:wordWrap/>
        <w:topLinePunct w:val="0"/>
        <w:bidi w:val="0"/>
        <w:spacing w:line="560" w:lineRule="exact"/>
        <w:jc w:val="center"/>
        <w:rPr>
          <w:rFonts w:cs="仿宋_GB2312" w:asciiTheme="minorEastAsia" w:hAnsiTheme="minorEastAsia" w:eastAsiaTheme="minorEastAsia"/>
          <w:b/>
          <w:color w:val="000000" w:themeColor="text1"/>
          <w:kern w:val="0"/>
          <w:sz w:val="28"/>
          <w:szCs w:val="28"/>
          <w:highlight w:val="none"/>
          <w14:textFill>
            <w14:solidFill>
              <w14:schemeClr w14:val="tx1"/>
            </w14:solidFill>
          </w14:textFill>
        </w:rPr>
      </w:pPr>
      <w:r>
        <w:rPr>
          <w:rFonts w:hint="eastAsia" w:cs="仿宋_GB2312" w:asciiTheme="minorEastAsia" w:hAnsiTheme="minorEastAsia" w:eastAsiaTheme="minorEastAsia"/>
          <w:b/>
          <w:color w:val="000000" w:themeColor="text1"/>
          <w:kern w:val="0"/>
          <w:sz w:val="28"/>
          <w:szCs w:val="28"/>
          <w:highlight w:val="none"/>
          <w14:textFill>
            <w14:solidFill>
              <w14:schemeClr w14:val="tx1"/>
            </w14:solidFill>
          </w14:textFill>
        </w:rPr>
        <w:t>商务文件目录</w:t>
      </w:r>
    </w:p>
    <w:p w14:paraId="3581A393">
      <w:pPr>
        <w:keepNext w:val="0"/>
        <w:keepLines w:val="0"/>
        <w:pageBreakBefore w:val="0"/>
        <w:widowControl w:val="0"/>
        <w:kinsoku/>
        <w:wordWrap/>
        <w:overflowPunct/>
        <w:topLinePunct w:val="0"/>
        <w:autoSpaceDE/>
        <w:autoSpaceDN/>
        <w:bidi w:val="0"/>
        <w:adjustRightInd/>
        <w:snapToGrid/>
        <w:spacing w:line="560" w:lineRule="exact"/>
        <w:textAlignment w:val="auto"/>
        <w:rPr>
          <w:rFonts w:cs="仿宋_GB2312" w:asciiTheme="minorEastAsia" w:hAnsiTheme="minorEastAsia" w:eastAsiaTheme="minorEastAsia"/>
          <w:color w:val="000000" w:themeColor="text1"/>
          <w:sz w:val="28"/>
          <w:szCs w:val="28"/>
          <w:highlight w:val="none"/>
          <w14:textFill>
            <w14:solidFill>
              <w14:schemeClr w14:val="tx1"/>
            </w14:solidFill>
          </w14:textFill>
        </w:rPr>
      </w:pPr>
      <w:r>
        <w:rPr>
          <w:rFonts w:hint="eastAsia" w:cs="仿宋_GB2312" w:asciiTheme="minorEastAsia" w:hAnsiTheme="minorEastAsia" w:eastAsiaTheme="minorEastAsia"/>
          <w:color w:val="000000" w:themeColor="text1"/>
          <w:kern w:val="0"/>
          <w:sz w:val="28"/>
          <w:szCs w:val="28"/>
          <w:highlight w:val="none"/>
          <w14:textFill>
            <w14:solidFill>
              <w14:schemeClr w14:val="tx1"/>
            </w14:solidFill>
          </w14:textFill>
        </w:rPr>
        <w:t>一、</w:t>
      </w:r>
      <w:r>
        <w:rPr>
          <w:rFonts w:hint="eastAsia" w:cs="仿宋_GB2312" w:asciiTheme="minorEastAsia" w:hAnsiTheme="minorEastAsia" w:eastAsiaTheme="minorEastAsia"/>
          <w:color w:val="000000" w:themeColor="text1"/>
          <w:sz w:val="28"/>
          <w:szCs w:val="28"/>
          <w:highlight w:val="none"/>
          <w14:textFill>
            <w14:solidFill>
              <w14:schemeClr w14:val="tx1"/>
            </w14:solidFill>
          </w14:textFill>
        </w:rPr>
        <w:t>无串通投标行为的承诺函</w:t>
      </w:r>
      <w:r>
        <w:rPr>
          <w:rFonts w:hint="eastAsia" w:cs="仿宋_GB2312" w:asciiTheme="minorEastAsia" w:hAnsiTheme="minorEastAsia" w:eastAsiaTheme="minorEastAsia"/>
          <w:color w:val="000000" w:themeColor="text1"/>
          <w:kern w:val="0"/>
          <w:sz w:val="28"/>
          <w:szCs w:val="28"/>
          <w:highlight w:val="none"/>
          <w14:textFill>
            <w14:solidFill>
              <w14:schemeClr w14:val="tx1"/>
            </w14:solidFill>
          </w14:textFill>
        </w:rPr>
        <w:t>………………………………………………（页码）</w:t>
      </w:r>
      <w:r>
        <w:rPr>
          <w:rFonts w:hint="eastAsia" w:cs="仿宋_GB2312" w:asciiTheme="minorEastAsia" w:hAnsiTheme="minorEastAsia" w:eastAsiaTheme="minorEastAsia"/>
          <w:color w:val="000000" w:themeColor="text1"/>
          <w:sz w:val="28"/>
          <w:szCs w:val="28"/>
          <w:highlight w:val="none"/>
          <w14:textFill>
            <w14:solidFill>
              <w14:schemeClr w14:val="tx1"/>
            </w14:solidFill>
          </w14:textFill>
        </w:rPr>
        <w:t xml:space="preserve"> </w:t>
      </w:r>
    </w:p>
    <w:p w14:paraId="1CCB1A92">
      <w:pPr>
        <w:keepNext w:val="0"/>
        <w:keepLines w:val="0"/>
        <w:pageBreakBefore w:val="0"/>
        <w:widowControl w:val="0"/>
        <w:kinsoku/>
        <w:wordWrap/>
        <w:overflowPunct/>
        <w:topLinePunct w:val="0"/>
        <w:autoSpaceDE/>
        <w:autoSpaceDN/>
        <w:bidi w:val="0"/>
        <w:adjustRightInd/>
        <w:snapToGrid/>
        <w:spacing w:line="560" w:lineRule="exact"/>
        <w:textAlignment w:val="auto"/>
        <w:rPr>
          <w:rFonts w:cs="仿宋_GB2312" w:asciiTheme="minorEastAsia" w:hAnsiTheme="minorEastAsia" w:eastAsiaTheme="minorEastAsia"/>
          <w:color w:val="000000" w:themeColor="text1"/>
          <w:sz w:val="28"/>
          <w:szCs w:val="28"/>
          <w:highlight w:val="none"/>
          <w14:textFill>
            <w14:solidFill>
              <w14:schemeClr w14:val="tx1"/>
            </w14:solidFill>
          </w14:textFill>
        </w:rPr>
      </w:pPr>
      <w:r>
        <w:rPr>
          <w:rFonts w:hint="eastAsia" w:cs="仿宋_GB2312" w:asciiTheme="minorEastAsia" w:hAnsiTheme="minorEastAsia" w:eastAsiaTheme="minorEastAsia"/>
          <w:color w:val="000000" w:themeColor="text1"/>
          <w:sz w:val="28"/>
          <w:szCs w:val="28"/>
          <w:highlight w:val="none"/>
          <w:lang w:val="en-US" w:eastAsia="zh-CN"/>
          <w14:textFill>
            <w14:solidFill>
              <w14:schemeClr w14:val="tx1"/>
            </w14:solidFill>
          </w14:textFill>
        </w:rPr>
        <w:t>二、</w:t>
      </w:r>
      <w:r>
        <w:rPr>
          <w:rFonts w:hint="eastAsia" w:cs="仿宋_GB2312" w:asciiTheme="minorEastAsia" w:hAnsiTheme="minorEastAsia" w:eastAsiaTheme="minorEastAsia"/>
          <w:color w:val="000000" w:themeColor="text1"/>
          <w:sz w:val="28"/>
          <w:szCs w:val="28"/>
          <w:highlight w:val="none"/>
          <w14:textFill>
            <w14:solidFill>
              <w14:schemeClr w14:val="tx1"/>
            </w14:solidFill>
          </w14:textFill>
        </w:rPr>
        <w:t>法定代表人身份证明</w:t>
      </w:r>
      <w:r>
        <w:rPr>
          <w:rFonts w:hint="eastAsia" w:cs="仿宋_GB2312" w:asciiTheme="minorEastAsia" w:hAnsiTheme="minorEastAsia" w:eastAsiaTheme="minorEastAsia"/>
          <w:color w:val="000000" w:themeColor="text1"/>
          <w:kern w:val="0"/>
          <w:sz w:val="28"/>
          <w:szCs w:val="28"/>
          <w:highlight w:val="none"/>
          <w14:textFill>
            <w14:solidFill>
              <w14:schemeClr w14:val="tx1"/>
            </w14:solidFill>
          </w14:textFill>
        </w:rPr>
        <w:t>……………………………………………………（页码）</w:t>
      </w:r>
    </w:p>
    <w:p w14:paraId="3C85B9D6">
      <w:pPr>
        <w:keepNext w:val="0"/>
        <w:keepLines w:val="0"/>
        <w:pageBreakBefore w:val="0"/>
        <w:widowControl w:val="0"/>
        <w:kinsoku/>
        <w:wordWrap/>
        <w:overflowPunct/>
        <w:topLinePunct w:val="0"/>
        <w:autoSpaceDE/>
        <w:autoSpaceDN/>
        <w:bidi w:val="0"/>
        <w:adjustRightInd/>
        <w:snapToGrid/>
        <w:spacing w:line="560" w:lineRule="exact"/>
        <w:textAlignment w:val="auto"/>
        <w:rPr>
          <w:rFonts w:cs="仿宋_GB2312" w:asciiTheme="minorEastAsia" w:hAnsiTheme="minorEastAsia" w:eastAsiaTheme="minorEastAsia"/>
          <w:color w:val="000000" w:themeColor="text1"/>
          <w:sz w:val="28"/>
          <w:szCs w:val="28"/>
          <w:highlight w:val="none"/>
          <w14:textFill>
            <w14:solidFill>
              <w14:schemeClr w14:val="tx1"/>
            </w14:solidFill>
          </w14:textFill>
        </w:rPr>
      </w:pPr>
      <w:r>
        <w:rPr>
          <w:rFonts w:hint="eastAsia" w:cs="仿宋_GB2312" w:asciiTheme="minorEastAsia" w:hAnsiTheme="minorEastAsia" w:eastAsiaTheme="minorEastAsia"/>
          <w:color w:val="000000" w:themeColor="text1"/>
          <w:kern w:val="0"/>
          <w:sz w:val="28"/>
          <w:szCs w:val="28"/>
          <w:highlight w:val="none"/>
          <w14:textFill>
            <w14:solidFill>
              <w14:schemeClr w14:val="tx1"/>
            </w14:solidFill>
          </w14:textFill>
        </w:rPr>
        <w:t>三、</w:t>
      </w:r>
      <w:r>
        <w:rPr>
          <w:rFonts w:hint="eastAsia" w:cs="仿宋_GB2312" w:asciiTheme="minorEastAsia" w:hAnsiTheme="minorEastAsia" w:eastAsiaTheme="minorEastAsia"/>
          <w:color w:val="000000" w:themeColor="text1"/>
          <w:sz w:val="28"/>
          <w:szCs w:val="28"/>
          <w:highlight w:val="none"/>
          <w14:textFill>
            <w14:solidFill>
              <w14:schemeClr w14:val="tx1"/>
            </w14:solidFill>
          </w14:textFill>
        </w:rPr>
        <w:t>法定代表人授权委托书</w:t>
      </w:r>
      <w:r>
        <w:rPr>
          <w:rFonts w:hint="eastAsia" w:cs="仿宋_GB2312" w:asciiTheme="minorEastAsia" w:hAnsiTheme="minorEastAsia" w:eastAsiaTheme="minorEastAsia"/>
          <w:color w:val="000000" w:themeColor="text1"/>
          <w:sz w:val="28"/>
          <w:szCs w:val="28"/>
          <w:highlight w:val="none"/>
          <w:lang w:eastAsia="zh-CN"/>
          <w14:textFill>
            <w14:solidFill>
              <w14:schemeClr w14:val="tx1"/>
            </w14:solidFill>
          </w14:textFill>
        </w:rPr>
        <w:t>（（如有委托时））</w:t>
      </w:r>
      <w:r>
        <w:rPr>
          <w:rFonts w:hint="eastAsia" w:cs="仿宋_GB2312" w:asciiTheme="minorEastAsia" w:hAnsiTheme="minorEastAsia" w:eastAsiaTheme="minorEastAsia"/>
          <w:color w:val="000000" w:themeColor="text1"/>
          <w:kern w:val="0"/>
          <w:sz w:val="28"/>
          <w:szCs w:val="28"/>
          <w:highlight w:val="none"/>
          <w14:textFill>
            <w14:solidFill>
              <w14:schemeClr w14:val="tx1"/>
            </w14:solidFill>
          </w14:textFill>
        </w:rPr>
        <w:t>…………………………（页码）</w:t>
      </w:r>
    </w:p>
    <w:p w14:paraId="3D37BE9A">
      <w:pPr>
        <w:keepNext w:val="0"/>
        <w:keepLines w:val="0"/>
        <w:pageBreakBefore w:val="0"/>
        <w:widowControl w:val="0"/>
        <w:kinsoku/>
        <w:wordWrap/>
        <w:overflowPunct/>
        <w:topLinePunct w:val="0"/>
        <w:autoSpaceDE/>
        <w:autoSpaceDN/>
        <w:bidi w:val="0"/>
        <w:adjustRightInd/>
        <w:snapToGrid/>
        <w:spacing w:line="560" w:lineRule="exact"/>
        <w:textAlignment w:val="auto"/>
        <w:rPr>
          <w:rFonts w:cs="仿宋_GB2312" w:asciiTheme="minorEastAsia" w:hAnsiTheme="minorEastAsia" w:eastAsiaTheme="minorEastAsia"/>
          <w:color w:val="000000" w:themeColor="text1"/>
          <w:sz w:val="28"/>
          <w:szCs w:val="28"/>
          <w:highlight w:val="none"/>
          <w14:textFill>
            <w14:solidFill>
              <w14:schemeClr w14:val="tx1"/>
            </w14:solidFill>
          </w14:textFill>
        </w:rPr>
      </w:pPr>
      <w:r>
        <w:rPr>
          <w:rFonts w:hint="eastAsia" w:cs="仿宋_GB2312" w:asciiTheme="minorEastAsia" w:hAnsiTheme="minorEastAsia" w:eastAsiaTheme="minorEastAsia"/>
          <w:color w:val="000000" w:themeColor="text1"/>
          <w:kern w:val="0"/>
          <w:sz w:val="28"/>
          <w:szCs w:val="28"/>
          <w:highlight w:val="none"/>
          <w14:textFill>
            <w14:solidFill>
              <w14:schemeClr w14:val="tx1"/>
            </w14:solidFill>
          </w14:textFill>
        </w:rPr>
        <w:t>四、</w:t>
      </w:r>
      <w:r>
        <w:rPr>
          <w:rFonts w:hint="eastAsia" w:cs="仿宋_GB2312" w:asciiTheme="minorEastAsia" w:hAnsiTheme="minorEastAsia" w:eastAsiaTheme="minorEastAsia"/>
          <w:color w:val="000000" w:themeColor="text1"/>
          <w:sz w:val="28"/>
          <w:szCs w:val="28"/>
          <w:highlight w:val="none"/>
          <w14:textFill>
            <w14:solidFill>
              <w14:schemeClr w14:val="tx1"/>
            </w14:solidFill>
          </w14:textFill>
        </w:rPr>
        <w:t>商务条款偏离表</w:t>
      </w:r>
      <w:r>
        <w:rPr>
          <w:rFonts w:hint="eastAsia" w:cs="仿宋_GB2312" w:asciiTheme="minorEastAsia" w:hAnsiTheme="minorEastAsia" w:eastAsiaTheme="minorEastAsia"/>
          <w:color w:val="000000" w:themeColor="text1"/>
          <w:kern w:val="0"/>
          <w:sz w:val="28"/>
          <w:szCs w:val="28"/>
          <w:highlight w:val="none"/>
          <w14:textFill>
            <w14:solidFill>
              <w14:schemeClr w14:val="tx1"/>
            </w14:solidFill>
          </w14:textFill>
        </w:rPr>
        <w:t>…………………………………………………………（页码）</w:t>
      </w:r>
    </w:p>
    <w:p w14:paraId="655C2CF2">
      <w:pPr>
        <w:keepNext w:val="0"/>
        <w:keepLines w:val="0"/>
        <w:pageBreakBefore w:val="0"/>
        <w:widowControl w:val="0"/>
        <w:kinsoku/>
        <w:wordWrap/>
        <w:overflowPunct/>
        <w:topLinePunct w:val="0"/>
        <w:autoSpaceDE/>
        <w:autoSpaceDN/>
        <w:bidi w:val="0"/>
        <w:adjustRightInd/>
        <w:snapToGrid/>
        <w:spacing w:line="560" w:lineRule="exact"/>
        <w:textAlignment w:val="auto"/>
        <w:rPr>
          <w:rFonts w:cs="仿宋_GB2312" w:asciiTheme="minorEastAsia" w:hAnsiTheme="minorEastAsia" w:eastAsiaTheme="minorEastAsia"/>
          <w:color w:val="000000" w:themeColor="text1"/>
          <w:sz w:val="28"/>
          <w:szCs w:val="28"/>
          <w:highlight w:val="none"/>
          <w14:textFill>
            <w14:solidFill>
              <w14:schemeClr w14:val="tx1"/>
            </w14:solidFill>
          </w14:textFill>
        </w:rPr>
      </w:pPr>
      <w:r>
        <w:rPr>
          <w:rFonts w:hint="eastAsia" w:cs="仿宋_GB2312" w:asciiTheme="minorEastAsia" w:hAnsiTheme="minorEastAsia" w:eastAsiaTheme="minorEastAsia"/>
          <w:color w:val="000000" w:themeColor="text1"/>
          <w:kern w:val="0"/>
          <w:sz w:val="28"/>
          <w:szCs w:val="28"/>
          <w:highlight w:val="none"/>
          <w14:textFill>
            <w14:solidFill>
              <w14:schemeClr w14:val="tx1"/>
            </w14:solidFill>
          </w14:textFill>
        </w:rPr>
        <w:t>五、</w:t>
      </w:r>
      <w:r>
        <w:rPr>
          <w:rFonts w:hint="eastAsia" w:cs="仿宋_GB2312" w:asciiTheme="minorEastAsia" w:hAnsiTheme="minorEastAsia" w:eastAsiaTheme="minorEastAsia"/>
          <w:color w:val="000000" w:themeColor="text1"/>
          <w:sz w:val="28"/>
          <w:szCs w:val="28"/>
          <w:highlight w:val="none"/>
          <w:lang w:eastAsia="zh-CN"/>
          <w14:textFill>
            <w14:solidFill>
              <w14:schemeClr w14:val="tx1"/>
            </w14:solidFill>
          </w14:textFill>
        </w:rPr>
        <w:t>供应商</w:t>
      </w:r>
      <w:r>
        <w:rPr>
          <w:rFonts w:hint="eastAsia" w:cs="仿宋_GB2312" w:asciiTheme="minorEastAsia" w:hAnsiTheme="minorEastAsia" w:eastAsiaTheme="minorEastAsia"/>
          <w:color w:val="000000" w:themeColor="text1"/>
          <w:sz w:val="28"/>
          <w:szCs w:val="28"/>
          <w:highlight w:val="none"/>
          <w14:textFill>
            <w14:solidFill>
              <w14:schemeClr w14:val="tx1"/>
            </w14:solidFill>
          </w14:textFill>
        </w:rPr>
        <w:t>情况介绍</w:t>
      </w:r>
      <w:r>
        <w:rPr>
          <w:rFonts w:hint="eastAsia" w:cs="仿宋_GB2312" w:asciiTheme="minorEastAsia" w:hAnsiTheme="minorEastAsia" w:eastAsiaTheme="minorEastAsia"/>
          <w:color w:val="000000" w:themeColor="text1"/>
          <w:kern w:val="0"/>
          <w:sz w:val="28"/>
          <w:szCs w:val="28"/>
          <w:highlight w:val="none"/>
          <w14:textFill>
            <w14:solidFill>
              <w14:schemeClr w14:val="tx1"/>
            </w14:solidFill>
          </w14:textFill>
        </w:rPr>
        <w:t>…………………………………………………………（页码）</w:t>
      </w:r>
    </w:p>
    <w:p w14:paraId="49DF1F65">
      <w:pPr>
        <w:keepNext w:val="0"/>
        <w:keepLines w:val="0"/>
        <w:pageBreakBefore w:val="0"/>
        <w:widowControl w:val="0"/>
        <w:kinsoku/>
        <w:wordWrap/>
        <w:overflowPunct/>
        <w:topLinePunct w:val="0"/>
        <w:autoSpaceDE/>
        <w:autoSpaceDN/>
        <w:bidi w:val="0"/>
        <w:adjustRightInd/>
        <w:snapToGrid/>
        <w:spacing w:line="560" w:lineRule="exact"/>
        <w:textAlignment w:val="auto"/>
        <w:rPr>
          <w:rFonts w:cs="仿宋_GB2312" w:asciiTheme="minorEastAsia" w:hAnsiTheme="minorEastAsia" w:eastAsiaTheme="minorEastAsia"/>
          <w:color w:val="000000" w:themeColor="text1"/>
          <w:sz w:val="28"/>
          <w:szCs w:val="28"/>
          <w:highlight w:val="none"/>
          <w14:textFill>
            <w14:solidFill>
              <w14:schemeClr w14:val="tx1"/>
            </w14:solidFill>
          </w14:textFill>
        </w:rPr>
      </w:pPr>
      <w:r>
        <w:rPr>
          <w:rFonts w:hint="eastAsia" w:cs="仿宋_GB2312" w:asciiTheme="minorEastAsia" w:hAnsiTheme="minorEastAsia" w:eastAsiaTheme="minorEastAsia"/>
          <w:color w:val="000000" w:themeColor="text1"/>
          <w:kern w:val="0"/>
          <w:sz w:val="28"/>
          <w:szCs w:val="28"/>
          <w:highlight w:val="none"/>
          <w14:textFill>
            <w14:solidFill>
              <w14:schemeClr w14:val="tx1"/>
            </w14:solidFill>
          </w14:textFill>
        </w:rPr>
        <w:t>六、</w:t>
      </w:r>
      <w:r>
        <w:rPr>
          <w:rFonts w:hint="eastAsia" w:cs="仿宋_GB2312" w:asciiTheme="minorEastAsia" w:hAnsiTheme="minorEastAsia" w:eastAsiaTheme="minorEastAsia"/>
          <w:color w:val="000000" w:themeColor="text1"/>
          <w:sz w:val="28"/>
          <w:szCs w:val="28"/>
          <w:highlight w:val="none"/>
          <w14:textFill>
            <w14:solidFill>
              <w14:schemeClr w14:val="tx1"/>
            </w14:solidFill>
          </w14:textFill>
        </w:rPr>
        <w:t>供应商类似业绩的证明文件</w:t>
      </w:r>
      <w:r>
        <w:rPr>
          <w:rFonts w:hint="eastAsia" w:cs="仿宋_GB2312" w:asciiTheme="minorEastAsia" w:hAnsiTheme="minorEastAsia" w:eastAsiaTheme="minorEastAsia"/>
          <w:color w:val="000000" w:themeColor="text1"/>
          <w:kern w:val="0"/>
          <w:sz w:val="28"/>
          <w:szCs w:val="28"/>
          <w:highlight w:val="none"/>
          <w14:textFill>
            <w14:solidFill>
              <w14:schemeClr w14:val="tx1"/>
            </w14:solidFill>
          </w14:textFill>
        </w:rPr>
        <w:t>……………………………………………（页码）</w:t>
      </w:r>
    </w:p>
    <w:p w14:paraId="35117AAA">
      <w:pPr>
        <w:keepNext w:val="0"/>
        <w:keepLines w:val="0"/>
        <w:pageBreakBefore w:val="0"/>
        <w:widowControl w:val="0"/>
        <w:kinsoku/>
        <w:wordWrap/>
        <w:overflowPunct/>
        <w:topLinePunct w:val="0"/>
        <w:autoSpaceDE/>
        <w:autoSpaceDN/>
        <w:bidi w:val="0"/>
        <w:adjustRightInd/>
        <w:snapToGrid/>
        <w:spacing w:line="560" w:lineRule="exact"/>
        <w:textAlignment w:val="auto"/>
        <w:rPr>
          <w:rFonts w:cs="仿宋_GB2312" w:asciiTheme="minorEastAsia" w:hAnsiTheme="minorEastAsia" w:eastAsiaTheme="minorEastAsia"/>
          <w:color w:val="000000" w:themeColor="text1"/>
          <w:sz w:val="28"/>
          <w:szCs w:val="28"/>
          <w:highlight w:val="none"/>
          <w14:textFill>
            <w14:solidFill>
              <w14:schemeClr w14:val="tx1"/>
            </w14:solidFill>
          </w14:textFill>
        </w:rPr>
      </w:pPr>
      <w:r>
        <w:rPr>
          <w:rFonts w:hint="eastAsia" w:cs="仿宋_GB2312" w:asciiTheme="minorEastAsia" w:hAnsiTheme="minorEastAsia" w:eastAsiaTheme="minorEastAsia"/>
          <w:color w:val="000000" w:themeColor="text1"/>
          <w:kern w:val="0"/>
          <w:sz w:val="28"/>
          <w:szCs w:val="28"/>
          <w:highlight w:val="none"/>
          <w14:textFill>
            <w14:solidFill>
              <w14:schemeClr w14:val="tx1"/>
            </w14:solidFill>
          </w14:textFill>
        </w:rPr>
        <w:t>七、</w:t>
      </w:r>
      <w:r>
        <w:rPr>
          <w:rFonts w:hint="eastAsia" w:cs="仿宋_GB2312" w:asciiTheme="minorEastAsia" w:hAnsiTheme="minorEastAsia" w:eastAsiaTheme="minorEastAsia"/>
          <w:color w:val="000000" w:themeColor="text1"/>
          <w:sz w:val="28"/>
          <w:szCs w:val="28"/>
          <w:highlight w:val="none"/>
          <w14:textFill>
            <w14:solidFill>
              <w14:schemeClr w14:val="tx1"/>
            </w14:solidFill>
          </w14:textFill>
        </w:rPr>
        <w:t>项目</w:t>
      </w:r>
      <w:r>
        <w:rPr>
          <w:rFonts w:hint="eastAsia" w:cs="仿宋_GB2312" w:asciiTheme="minorEastAsia" w:hAnsiTheme="minorEastAsia" w:eastAsiaTheme="minorEastAsia"/>
          <w:color w:val="000000" w:themeColor="text1"/>
          <w:sz w:val="28"/>
          <w:szCs w:val="28"/>
          <w:highlight w:val="none"/>
          <w:lang w:eastAsia="zh-CN"/>
          <w14:textFill>
            <w14:solidFill>
              <w14:schemeClr w14:val="tx1"/>
            </w14:solidFill>
          </w14:textFill>
        </w:rPr>
        <w:t>负责人简历表</w:t>
      </w:r>
      <w:r>
        <w:rPr>
          <w:rFonts w:hint="eastAsia" w:cs="仿宋_GB2312" w:asciiTheme="minorEastAsia" w:hAnsiTheme="minorEastAsia" w:eastAsiaTheme="minorEastAsia"/>
          <w:color w:val="000000" w:themeColor="text1"/>
          <w:kern w:val="0"/>
          <w:sz w:val="28"/>
          <w:szCs w:val="28"/>
          <w:highlight w:val="none"/>
          <w14:textFill>
            <w14:solidFill>
              <w14:schemeClr w14:val="tx1"/>
            </w14:solidFill>
          </w14:textFill>
        </w:rPr>
        <w:t>………………………………………………………（页码）</w:t>
      </w:r>
    </w:p>
    <w:p w14:paraId="03D3557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cs="仿宋_GB2312" w:asciiTheme="minorEastAsia" w:hAnsiTheme="minorEastAsia" w:eastAsiaTheme="minorEastAsia"/>
          <w:b/>
          <w:color w:val="000000" w:themeColor="text1"/>
          <w:kern w:val="0"/>
          <w:sz w:val="28"/>
          <w:szCs w:val="28"/>
          <w:highlight w:val="none"/>
          <w14:textFill>
            <w14:solidFill>
              <w14:schemeClr w14:val="tx1"/>
            </w14:solidFill>
          </w14:textFill>
        </w:rPr>
      </w:pPr>
      <w:r>
        <w:rPr>
          <w:rFonts w:hint="eastAsia" w:cs="仿宋_GB2312" w:asciiTheme="minorEastAsia" w:hAnsiTheme="minorEastAsia" w:eastAsiaTheme="minorEastAsia"/>
          <w:color w:val="000000" w:themeColor="text1"/>
          <w:kern w:val="0"/>
          <w:sz w:val="28"/>
          <w:szCs w:val="28"/>
          <w:highlight w:val="none"/>
          <w14:textFill>
            <w14:solidFill>
              <w14:schemeClr w14:val="tx1"/>
            </w14:solidFill>
          </w14:textFill>
        </w:rPr>
        <w:t>八、</w:t>
      </w:r>
      <w:r>
        <w:rPr>
          <w:rFonts w:hint="eastAsia" w:cs="仿宋_GB2312" w:asciiTheme="minorEastAsia" w:hAnsiTheme="minorEastAsia" w:eastAsiaTheme="minorEastAsia"/>
          <w:color w:val="000000" w:themeColor="text1"/>
          <w:sz w:val="28"/>
          <w:szCs w:val="28"/>
          <w:highlight w:val="none"/>
          <w:lang w:eastAsia="zh-CN"/>
          <w14:textFill>
            <w14:solidFill>
              <w14:schemeClr w14:val="tx1"/>
            </w14:solidFill>
          </w14:textFill>
        </w:rPr>
        <w:t>供应商</w:t>
      </w:r>
      <w:r>
        <w:rPr>
          <w:rFonts w:hint="eastAsia" w:cs="仿宋_GB2312" w:asciiTheme="minorEastAsia" w:hAnsiTheme="minorEastAsia" w:eastAsiaTheme="minorEastAsia"/>
          <w:color w:val="000000" w:themeColor="text1"/>
          <w:sz w:val="28"/>
          <w:szCs w:val="28"/>
          <w:highlight w:val="none"/>
          <w14:textFill>
            <w14:solidFill>
              <w14:schemeClr w14:val="tx1"/>
            </w14:solidFill>
          </w14:textFill>
        </w:rPr>
        <w:t>认为需要提供的其他</w:t>
      </w:r>
      <w:r>
        <w:rPr>
          <w:rFonts w:hint="eastAsia" w:cs="仿宋_GB2312" w:asciiTheme="minorEastAsia" w:hAnsiTheme="minorEastAsia" w:eastAsiaTheme="minorEastAsia"/>
          <w:color w:val="000000" w:themeColor="text1"/>
          <w:sz w:val="28"/>
          <w:szCs w:val="28"/>
          <w:highlight w:val="none"/>
          <w:lang w:eastAsia="zh-CN"/>
          <w14:textFill>
            <w14:solidFill>
              <w14:schemeClr w14:val="tx1"/>
            </w14:solidFill>
          </w14:textFill>
        </w:rPr>
        <w:t>商务文件</w:t>
      </w:r>
      <w:r>
        <w:rPr>
          <w:rFonts w:hint="eastAsia" w:cs="仿宋_GB2312" w:asciiTheme="minorEastAsia" w:hAnsiTheme="minorEastAsia" w:eastAsiaTheme="minorEastAsia"/>
          <w:color w:val="000000" w:themeColor="text1"/>
          <w:sz w:val="28"/>
          <w:szCs w:val="28"/>
          <w:highlight w:val="none"/>
          <w14:textFill>
            <w14:solidFill>
              <w14:schemeClr w14:val="tx1"/>
            </w14:solidFill>
          </w14:textFill>
        </w:rPr>
        <w:t>材料</w:t>
      </w:r>
      <w:r>
        <w:rPr>
          <w:rFonts w:hint="eastAsia" w:cs="仿宋_GB2312" w:asciiTheme="minorEastAsia" w:hAnsiTheme="minorEastAsia" w:eastAsiaTheme="minorEastAsia"/>
          <w:color w:val="000000" w:themeColor="text1"/>
          <w:kern w:val="0"/>
          <w:sz w:val="28"/>
          <w:szCs w:val="28"/>
          <w:highlight w:val="none"/>
          <w14:textFill>
            <w14:solidFill>
              <w14:schemeClr w14:val="tx1"/>
            </w14:solidFill>
          </w14:textFill>
        </w:rPr>
        <w:t>……………………………（页码）</w:t>
      </w:r>
    </w:p>
    <w:p w14:paraId="1209ECB2">
      <w:pPr>
        <w:pageBreakBefore w:val="0"/>
        <w:wordWrap/>
        <w:topLinePunct w:val="0"/>
        <w:bidi w:val="0"/>
        <w:spacing w:line="560" w:lineRule="exact"/>
        <w:jc w:val="center"/>
        <w:rPr>
          <w:rFonts w:cs="仿宋_GB2312" w:asciiTheme="minorEastAsia" w:hAnsiTheme="minorEastAsia" w:eastAsiaTheme="minorEastAsia"/>
          <w:b/>
          <w:color w:val="000000" w:themeColor="text1"/>
          <w:kern w:val="0"/>
          <w:sz w:val="28"/>
          <w:szCs w:val="28"/>
          <w:highlight w:val="none"/>
          <w14:textFill>
            <w14:solidFill>
              <w14:schemeClr w14:val="tx1"/>
            </w14:solidFill>
          </w14:textFill>
        </w:rPr>
      </w:pPr>
      <w:r>
        <w:rPr>
          <w:rFonts w:hint="eastAsia" w:cs="仿宋_GB2312" w:asciiTheme="minorEastAsia" w:hAnsiTheme="minorEastAsia" w:eastAsiaTheme="minorEastAsia"/>
          <w:b/>
          <w:color w:val="000000" w:themeColor="text1"/>
          <w:kern w:val="0"/>
          <w:sz w:val="28"/>
          <w:szCs w:val="28"/>
          <w:highlight w:val="none"/>
          <w14:textFill>
            <w14:solidFill>
              <w14:schemeClr w14:val="tx1"/>
            </w14:solidFill>
          </w14:textFill>
        </w:rPr>
        <w:t>技术文件目录</w:t>
      </w:r>
    </w:p>
    <w:p w14:paraId="0C93C785">
      <w:pPr>
        <w:pStyle w:val="112"/>
        <w:keepNext w:val="0"/>
        <w:keepLines w:val="0"/>
        <w:pageBreakBefore w:val="0"/>
        <w:widowControl w:val="0"/>
        <w:kinsoku/>
        <w:wordWrap/>
        <w:overflowPunct/>
        <w:topLinePunct w:val="0"/>
        <w:autoSpaceDE/>
        <w:autoSpaceDN/>
        <w:bidi w:val="0"/>
        <w:adjustRightInd w:val="0"/>
        <w:snapToGrid/>
        <w:spacing w:line="560" w:lineRule="exact"/>
        <w:ind w:left="0" w:firstLine="0" w:firstLineChars="0"/>
        <w:textAlignment w:val="auto"/>
        <w:rPr>
          <w:rFonts w:cs="仿宋_GB2312" w:asciiTheme="minorEastAsia" w:hAnsiTheme="minorEastAsia" w:eastAsiaTheme="minorEastAsia"/>
          <w:color w:val="000000" w:themeColor="text1"/>
          <w:sz w:val="28"/>
          <w:szCs w:val="28"/>
          <w:highlight w:val="none"/>
          <w14:textFill>
            <w14:solidFill>
              <w14:schemeClr w14:val="tx1"/>
            </w14:solidFill>
          </w14:textFill>
        </w:rPr>
      </w:pPr>
      <w:r>
        <w:rPr>
          <w:rFonts w:hint="eastAsia" w:cs="仿宋_GB2312" w:asciiTheme="minorEastAsia" w:hAnsiTheme="minorEastAsia" w:eastAsiaTheme="minorEastAsia"/>
          <w:color w:val="000000" w:themeColor="text1"/>
          <w:sz w:val="28"/>
          <w:szCs w:val="28"/>
          <w:highlight w:val="none"/>
          <w14:textFill>
            <w14:solidFill>
              <w14:schemeClr w14:val="tx1"/>
            </w14:solidFill>
          </w14:textFill>
        </w:rPr>
        <w:t>一、技术需求偏离表……………………………………………………</w:t>
      </w:r>
      <w:r>
        <w:rPr>
          <w:rFonts w:hint="eastAsia" w:cs="仿宋_GB2312" w:asciiTheme="minorEastAsia" w:hAnsiTheme="minorEastAsia" w:eastAsiaTheme="minorEastAsia"/>
          <w:color w:val="000000" w:themeColor="text1"/>
          <w:kern w:val="0"/>
          <w:sz w:val="28"/>
          <w:szCs w:val="28"/>
          <w:highlight w:val="none"/>
          <w14:textFill>
            <w14:solidFill>
              <w14:schemeClr w14:val="tx1"/>
            </w14:solidFill>
          </w14:textFill>
        </w:rPr>
        <w:t>……</w:t>
      </w:r>
      <w:r>
        <w:rPr>
          <w:rFonts w:hint="eastAsia" w:cs="仿宋_GB2312" w:asciiTheme="minorEastAsia" w:hAnsiTheme="minorEastAsia" w:eastAsiaTheme="minorEastAsia"/>
          <w:color w:val="000000" w:themeColor="text1"/>
          <w:sz w:val="28"/>
          <w:szCs w:val="28"/>
          <w:highlight w:val="none"/>
          <w14:textFill>
            <w14:solidFill>
              <w14:schemeClr w14:val="tx1"/>
            </w14:solidFill>
          </w14:textFill>
        </w:rPr>
        <w:t>（页码）</w:t>
      </w:r>
    </w:p>
    <w:p w14:paraId="04C4DEDF">
      <w:pPr>
        <w:pStyle w:val="112"/>
        <w:keepNext w:val="0"/>
        <w:keepLines w:val="0"/>
        <w:pageBreakBefore w:val="0"/>
        <w:widowControl w:val="0"/>
        <w:kinsoku/>
        <w:wordWrap/>
        <w:overflowPunct/>
        <w:topLinePunct w:val="0"/>
        <w:autoSpaceDE/>
        <w:autoSpaceDN/>
        <w:bidi w:val="0"/>
        <w:adjustRightInd w:val="0"/>
        <w:snapToGrid/>
        <w:spacing w:line="560" w:lineRule="exact"/>
        <w:ind w:left="0" w:firstLine="0" w:firstLineChars="0"/>
        <w:textAlignment w:val="auto"/>
        <w:rPr>
          <w:rFonts w:cs="仿宋_GB2312" w:asciiTheme="minorEastAsia" w:hAnsiTheme="minorEastAsia" w:eastAsiaTheme="minorEastAsia"/>
          <w:color w:val="000000" w:themeColor="text1"/>
          <w:sz w:val="28"/>
          <w:szCs w:val="28"/>
          <w:highlight w:val="none"/>
          <w14:textFill>
            <w14:solidFill>
              <w14:schemeClr w14:val="tx1"/>
            </w14:solidFill>
          </w14:textFill>
        </w:rPr>
      </w:pPr>
      <w:r>
        <w:rPr>
          <w:rFonts w:hint="eastAsia" w:cs="仿宋_GB2312" w:asciiTheme="minorEastAsia" w:hAnsiTheme="minorEastAsia" w:eastAsiaTheme="minorEastAsia"/>
          <w:color w:val="000000" w:themeColor="text1"/>
          <w:sz w:val="28"/>
          <w:szCs w:val="28"/>
          <w:highlight w:val="none"/>
          <w14:textFill>
            <w14:solidFill>
              <w14:schemeClr w14:val="tx1"/>
            </w14:solidFill>
          </w14:textFill>
        </w:rPr>
        <w:t>二、采购清单……………………………………………………………</w:t>
      </w:r>
      <w:r>
        <w:rPr>
          <w:rFonts w:hint="eastAsia" w:cs="仿宋_GB2312" w:asciiTheme="minorEastAsia" w:hAnsiTheme="minorEastAsia" w:eastAsiaTheme="minorEastAsia"/>
          <w:color w:val="000000" w:themeColor="text1"/>
          <w:kern w:val="0"/>
          <w:sz w:val="28"/>
          <w:szCs w:val="28"/>
          <w:highlight w:val="none"/>
          <w14:textFill>
            <w14:solidFill>
              <w14:schemeClr w14:val="tx1"/>
            </w14:solidFill>
          </w14:textFill>
        </w:rPr>
        <w:t>……</w:t>
      </w:r>
      <w:r>
        <w:rPr>
          <w:rFonts w:hint="eastAsia" w:cs="仿宋_GB2312" w:asciiTheme="minorEastAsia" w:hAnsiTheme="minorEastAsia" w:eastAsiaTheme="minorEastAsia"/>
          <w:color w:val="000000" w:themeColor="text1"/>
          <w:sz w:val="28"/>
          <w:szCs w:val="28"/>
          <w:highlight w:val="none"/>
          <w14:textFill>
            <w14:solidFill>
              <w14:schemeClr w14:val="tx1"/>
            </w14:solidFill>
          </w14:textFill>
        </w:rPr>
        <w:t>（页码）</w:t>
      </w:r>
    </w:p>
    <w:p w14:paraId="23988843">
      <w:pPr>
        <w:pStyle w:val="112"/>
        <w:keepNext w:val="0"/>
        <w:keepLines w:val="0"/>
        <w:pageBreakBefore w:val="0"/>
        <w:widowControl w:val="0"/>
        <w:kinsoku/>
        <w:wordWrap/>
        <w:overflowPunct/>
        <w:topLinePunct w:val="0"/>
        <w:autoSpaceDE/>
        <w:autoSpaceDN/>
        <w:bidi w:val="0"/>
        <w:adjustRightInd w:val="0"/>
        <w:snapToGrid/>
        <w:spacing w:line="560" w:lineRule="exact"/>
        <w:ind w:left="0" w:firstLine="0" w:firstLineChars="0"/>
        <w:textAlignment w:val="auto"/>
        <w:rPr>
          <w:rFonts w:cs="仿宋_GB2312" w:asciiTheme="minorEastAsia" w:hAnsiTheme="minorEastAsia" w:eastAsiaTheme="minorEastAsia"/>
          <w:color w:val="000000" w:themeColor="text1"/>
          <w:sz w:val="28"/>
          <w:szCs w:val="28"/>
          <w:highlight w:val="none"/>
          <w14:textFill>
            <w14:solidFill>
              <w14:schemeClr w14:val="tx1"/>
            </w14:solidFill>
          </w14:textFill>
        </w:rPr>
      </w:pPr>
      <w:r>
        <w:rPr>
          <w:rFonts w:hint="eastAsia" w:cs="仿宋_GB2312" w:asciiTheme="minorEastAsia" w:hAnsiTheme="minorEastAsia" w:eastAsiaTheme="minorEastAsia"/>
          <w:color w:val="000000" w:themeColor="text1"/>
          <w:sz w:val="28"/>
          <w:szCs w:val="28"/>
          <w:highlight w:val="none"/>
          <w14:textFill>
            <w14:solidFill>
              <w14:schemeClr w14:val="tx1"/>
            </w14:solidFill>
          </w14:textFill>
        </w:rPr>
        <w:t>三、产品及性能…………………………………………………………</w:t>
      </w:r>
      <w:r>
        <w:rPr>
          <w:rFonts w:hint="eastAsia" w:cs="仿宋_GB2312" w:asciiTheme="minorEastAsia" w:hAnsiTheme="minorEastAsia" w:eastAsiaTheme="minorEastAsia"/>
          <w:color w:val="000000" w:themeColor="text1"/>
          <w:kern w:val="0"/>
          <w:sz w:val="28"/>
          <w:szCs w:val="28"/>
          <w:highlight w:val="none"/>
          <w14:textFill>
            <w14:solidFill>
              <w14:schemeClr w14:val="tx1"/>
            </w14:solidFill>
          </w14:textFill>
        </w:rPr>
        <w:t>……</w:t>
      </w:r>
      <w:r>
        <w:rPr>
          <w:rFonts w:hint="eastAsia" w:cs="仿宋_GB2312" w:asciiTheme="minorEastAsia" w:hAnsiTheme="minorEastAsia" w:eastAsiaTheme="minorEastAsia"/>
          <w:color w:val="000000" w:themeColor="text1"/>
          <w:sz w:val="28"/>
          <w:szCs w:val="28"/>
          <w:highlight w:val="none"/>
          <w14:textFill>
            <w14:solidFill>
              <w14:schemeClr w14:val="tx1"/>
            </w14:solidFill>
          </w14:textFill>
        </w:rPr>
        <w:t>（页码）</w:t>
      </w:r>
    </w:p>
    <w:p w14:paraId="78D6870E">
      <w:pPr>
        <w:pStyle w:val="112"/>
        <w:keepNext w:val="0"/>
        <w:keepLines w:val="0"/>
        <w:pageBreakBefore w:val="0"/>
        <w:widowControl w:val="0"/>
        <w:kinsoku/>
        <w:wordWrap/>
        <w:overflowPunct/>
        <w:topLinePunct w:val="0"/>
        <w:autoSpaceDE/>
        <w:autoSpaceDN/>
        <w:bidi w:val="0"/>
        <w:adjustRightInd w:val="0"/>
        <w:snapToGrid/>
        <w:spacing w:line="560" w:lineRule="exact"/>
        <w:ind w:left="0" w:firstLine="0" w:firstLineChars="0"/>
        <w:textAlignment w:val="auto"/>
        <w:rPr>
          <w:rFonts w:cs="仿宋_GB2312" w:asciiTheme="minorEastAsia" w:hAnsiTheme="minorEastAsia" w:eastAsiaTheme="minorEastAsia"/>
          <w:color w:val="000000" w:themeColor="text1"/>
          <w:sz w:val="28"/>
          <w:szCs w:val="28"/>
          <w:highlight w:val="none"/>
          <w14:textFill>
            <w14:solidFill>
              <w14:schemeClr w14:val="tx1"/>
            </w14:solidFill>
          </w14:textFill>
        </w:rPr>
      </w:pPr>
      <w:r>
        <w:rPr>
          <w:rFonts w:hint="eastAsia" w:cs="仿宋_GB2312" w:asciiTheme="minorEastAsia" w:hAnsiTheme="minorEastAsia" w:eastAsiaTheme="minorEastAsia"/>
          <w:color w:val="000000" w:themeColor="text1"/>
          <w:sz w:val="28"/>
          <w:szCs w:val="28"/>
          <w:highlight w:val="none"/>
          <w14:textFill>
            <w14:solidFill>
              <w14:schemeClr w14:val="tx1"/>
            </w14:solidFill>
          </w14:textFill>
        </w:rPr>
        <w:t>四、</w:t>
      </w:r>
      <w:r>
        <w:rPr>
          <w:rFonts w:hint="eastAsia" w:cs="仿宋_GB2312" w:asciiTheme="minorEastAsia" w:hAnsiTheme="minorEastAsia" w:eastAsiaTheme="minorEastAsia"/>
          <w:color w:val="000000" w:themeColor="text1"/>
          <w:sz w:val="28"/>
          <w:szCs w:val="28"/>
          <w:highlight w:val="none"/>
          <w:lang w:eastAsia="zh-CN"/>
          <w14:textFill>
            <w14:solidFill>
              <w14:schemeClr w14:val="tx1"/>
            </w14:solidFill>
          </w14:textFill>
        </w:rPr>
        <w:t>技术方案</w:t>
      </w:r>
      <w:r>
        <w:rPr>
          <w:rFonts w:hint="eastAsia" w:cs="仿宋_GB2312" w:asciiTheme="minorEastAsia" w:hAnsiTheme="minorEastAsia" w:eastAsiaTheme="minorEastAsia"/>
          <w:color w:val="000000" w:themeColor="text1"/>
          <w:sz w:val="28"/>
          <w:szCs w:val="28"/>
          <w:highlight w:val="none"/>
          <w14:textFill>
            <w14:solidFill>
              <w14:schemeClr w14:val="tx1"/>
            </w14:solidFill>
          </w14:textFill>
        </w:rPr>
        <w:t>……………………………………………………………</w:t>
      </w:r>
      <w:r>
        <w:rPr>
          <w:rFonts w:hint="eastAsia" w:cs="仿宋_GB2312" w:asciiTheme="minorEastAsia" w:hAnsiTheme="minorEastAsia" w:eastAsiaTheme="minorEastAsia"/>
          <w:color w:val="000000" w:themeColor="text1"/>
          <w:kern w:val="0"/>
          <w:sz w:val="28"/>
          <w:szCs w:val="28"/>
          <w:highlight w:val="none"/>
          <w14:textFill>
            <w14:solidFill>
              <w14:schemeClr w14:val="tx1"/>
            </w14:solidFill>
          </w14:textFill>
        </w:rPr>
        <w:t>……</w:t>
      </w:r>
      <w:r>
        <w:rPr>
          <w:rFonts w:hint="eastAsia" w:cs="仿宋_GB2312" w:asciiTheme="minorEastAsia" w:hAnsiTheme="minorEastAsia" w:eastAsiaTheme="minorEastAsia"/>
          <w:color w:val="000000" w:themeColor="text1"/>
          <w:sz w:val="28"/>
          <w:szCs w:val="28"/>
          <w:highlight w:val="none"/>
          <w14:textFill>
            <w14:solidFill>
              <w14:schemeClr w14:val="tx1"/>
            </w14:solidFill>
          </w14:textFill>
        </w:rPr>
        <w:t>（页码）</w:t>
      </w:r>
    </w:p>
    <w:p w14:paraId="51F54B8A">
      <w:pPr>
        <w:pStyle w:val="112"/>
        <w:keepNext w:val="0"/>
        <w:keepLines w:val="0"/>
        <w:pageBreakBefore w:val="0"/>
        <w:widowControl w:val="0"/>
        <w:kinsoku/>
        <w:wordWrap/>
        <w:overflowPunct/>
        <w:topLinePunct w:val="0"/>
        <w:autoSpaceDE/>
        <w:autoSpaceDN/>
        <w:bidi w:val="0"/>
        <w:adjustRightInd w:val="0"/>
        <w:snapToGrid/>
        <w:spacing w:line="560" w:lineRule="exact"/>
        <w:ind w:left="0" w:firstLine="0" w:firstLineChars="0"/>
        <w:textAlignment w:val="auto"/>
        <w:rPr>
          <w:rFonts w:cs="仿宋_GB2312" w:asciiTheme="minorEastAsia" w:hAnsiTheme="minorEastAsia" w:eastAsiaTheme="minorEastAsia"/>
          <w:color w:val="000000" w:themeColor="text1"/>
          <w:sz w:val="28"/>
          <w:szCs w:val="28"/>
          <w:highlight w:val="none"/>
          <w14:textFill>
            <w14:solidFill>
              <w14:schemeClr w14:val="tx1"/>
            </w14:solidFill>
          </w14:textFill>
        </w:rPr>
      </w:pPr>
      <w:r>
        <w:rPr>
          <w:rFonts w:hint="eastAsia" w:cs="仿宋_GB2312" w:asciiTheme="minorEastAsia" w:hAnsiTheme="minorEastAsia" w:eastAsiaTheme="minorEastAsia"/>
          <w:color w:val="000000" w:themeColor="text1"/>
          <w:sz w:val="28"/>
          <w:szCs w:val="28"/>
          <w:highlight w:val="none"/>
          <w:lang w:eastAsia="zh-CN"/>
          <w14:textFill>
            <w14:solidFill>
              <w14:schemeClr w14:val="tx1"/>
            </w14:solidFill>
          </w14:textFill>
        </w:rPr>
        <w:t>五</w:t>
      </w:r>
      <w:r>
        <w:rPr>
          <w:rFonts w:hint="eastAsia" w:cs="仿宋_GB2312" w:asciiTheme="minorEastAsia" w:hAnsiTheme="minorEastAsia" w:eastAsiaTheme="minorEastAsia"/>
          <w:color w:val="000000" w:themeColor="text1"/>
          <w:sz w:val="28"/>
          <w:szCs w:val="28"/>
          <w:highlight w:val="none"/>
          <w14:textFill>
            <w14:solidFill>
              <w14:schemeClr w14:val="tx1"/>
            </w14:solidFill>
          </w14:textFill>
        </w:rPr>
        <w:t>、</w:t>
      </w:r>
      <w:r>
        <w:rPr>
          <w:rFonts w:hint="eastAsia" w:cs="仿宋_GB2312" w:asciiTheme="minorEastAsia" w:hAnsiTheme="minorEastAsia" w:eastAsiaTheme="minorEastAsia"/>
          <w:color w:val="000000" w:themeColor="text1"/>
          <w:sz w:val="28"/>
          <w:szCs w:val="28"/>
          <w:highlight w:val="none"/>
          <w:lang w:eastAsia="zh-CN"/>
          <w14:textFill>
            <w14:solidFill>
              <w14:schemeClr w14:val="tx1"/>
            </w14:solidFill>
          </w14:textFill>
        </w:rPr>
        <w:t>供应商</w:t>
      </w:r>
      <w:r>
        <w:rPr>
          <w:rFonts w:hint="eastAsia" w:cs="仿宋_GB2312" w:asciiTheme="minorEastAsia" w:hAnsiTheme="minorEastAsia" w:eastAsiaTheme="minorEastAsia"/>
          <w:color w:val="000000" w:themeColor="text1"/>
          <w:sz w:val="28"/>
          <w:szCs w:val="28"/>
          <w:highlight w:val="none"/>
          <w14:textFill>
            <w14:solidFill>
              <w14:schemeClr w14:val="tx1"/>
            </w14:solidFill>
          </w14:textFill>
        </w:rPr>
        <w:t>认为需要的其他技术文件或说明（如有）</w:t>
      </w:r>
      <w:r>
        <w:rPr>
          <w:rFonts w:hint="eastAsia" w:cs="仿宋_GB2312" w:asciiTheme="minorEastAsia" w:hAnsiTheme="minorEastAsia" w:eastAsiaTheme="minorEastAsia"/>
          <w:color w:val="000000" w:themeColor="text1"/>
          <w:sz w:val="28"/>
          <w:szCs w:val="28"/>
          <w:highlight w:val="none"/>
          <w:lang w:val="zh-CN"/>
          <w14:textFill>
            <w14:solidFill>
              <w14:schemeClr w14:val="tx1"/>
            </w14:solidFill>
          </w14:textFill>
        </w:rPr>
        <w:t>………………</w:t>
      </w:r>
      <w:r>
        <w:rPr>
          <w:rFonts w:hint="eastAsia" w:cs="仿宋_GB2312" w:asciiTheme="minorEastAsia" w:hAnsiTheme="minorEastAsia" w:eastAsiaTheme="minorEastAsia"/>
          <w:color w:val="000000" w:themeColor="text1"/>
          <w:kern w:val="0"/>
          <w:sz w:val="28"/>
          <w:szCs w:val="28"/>
          <w:highlight w:val="none"/>
          <w14:textFill>
            <w14:solidFill>
              <w14:schemeClr w14:val="tx1"/>
            </w14:solidFill>
          </w14:textFill>
        </w:rPr>
        <w:t>……</w:t>
      </w:r>
      <w:r>
        <w:rPr>
          <w:rFonts w:hint="eastAsia" w:cs="仿宋_GB2312" w:asciiTheme="minorEastAsia" w:hAnsiTheme="minorEastAsia" w:eastAsiaTheme="minorEastAsia"/>
          <w:color w:val="000000" w:themeColor="text1"/>
          <w:sz w:val="28"/>
          <w:szCs w:val="28"/>
          <w:highlight w:val="none"/>
          <w14:textFill>
            <w14:solidFill>
              <w14:schemeClr w14:val="tx1"/>
            </w14:solidFill>
          </w14:textFill>
        </w:rPr>
        <w:t>（页码）</w:t>
      </w:r>
    </w:p>
    <w:p w14:paraId="5D4F23B3">
      <w:pPr>
        <w:pageBreakBefore w:val="0"/>
        <w:wordWrap/>
        <w:topLinePunct w:val="0"/>
        <w:bidi w:val="0"/>
        <w:spacing w:line="560" w:lineRule="exact"/>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p>
    <w:p w14:paraId="67C58EC9">
      <w:pPr>
        <w:keepNext w:val="0"/>
        <w:keepLines w:val="0"/>
        <w:pageBreakBefore w:val="0"/>
        <w:widowControl w:val="0"/>
        <w:kinsoku/>
        <w:wordWrap/>
        <w:overflowPunct/>
        <w:topLinePunct w:val="0"/>
        <w:autoSpaceDE/>
        <w:autoSpaceDN/>
        <w:bidi w:val="0"/>
        <w:adjustRightInd/>
        <w:snapToGrid/>
        <w:spacing w:line="440" w:lineRule="exact"/>
        <w:textAlignment w:val="auto"/>
        <w:rPr>
          <w:rFonts w:cs="仿宋_GB2312" w:asciiTheme="minorEastAsia" w:hAnsiTheme="minorEastAsia" w:eastAsiaTheme="minorEastAsia"/>
          <w:b/>
          <w:bCs/>
          <w:color w:val="000000" w:themeColor="text1"/>
          <w:sz w:val="28"/>
          <w:szCs w:val="28"/>
          <w:highlight w:val="none"/>
          <w14:textFill>
            <w14:solidFill>
              <w14:schemeClr w14:val="tx1"/>
            </w14:solidFill>
          </w14:textFill>
        </w:rPr>
      </w:pPr>
      <w:r>
        <w:rPr>
          <w:rFonts w:hint="eastAsia" w:cs="仿宋_GB2312" w:asciiTheme="minorEastAsia" w:hAnsiTheme="minorEastAsia" w:eastAsiaTheme="minorEastAsia"/>
          <w:b/>
          <w:bCs/>
          <w:color w:val="000000" w:themeColor="text1"/>
          <w:sz w:val="28"/>
          <w:szCs w:val="28"/>
          <w:highlight w:val="none"/>
          <w14:textFill>
            <w14:solidFill>
              <w14:schemeClr w14:val="tx1"/>
            </w14:solidFill>
          </w14:textFill>
        </w:rPr>
        <w:t>注：以上目录是基本格式要求，各</w:t>
      </w:r>
      <w:r>
        <w:rPr>
          <w:rFonts w:hint="eastAsia" w:cs="仿宋_GB2312" w:asciiTheme="minorEastAsia" w:hAnsiTheme="minorEastAsia" w:eastAsiaTheme="minorEastAsia"/>
          <w:b/>
          <w:bCs/>
          <w:color w:val="000000" w:themeColor="text1"/>
          <w:sz w:val="28"/>
          <w:szCs w:val="28"/>
          <w:highlight w:val="none"/>
          <w:lang w:eastAsia="zh-CN"/>
          <w14:textFill>
            <w14:solidFill>
              <w14:schemeClr w14:val="tx1"/>
            </w14:solidFill>
          </w14:textFill>
        </w:rPr>
        <w:t>供应商</w:t>
      </w:r>
      <w:r>
        <w:rPr>
          <w:rFonts w:hint="eastAsia" w:cs="仿宋_GB2312" w:asciiTheme="minorEastAsia" w:hAnsiTheme="minorEastAsia" w:eastAsiaTheme="minorEastAsia"/>
          <w:b/>
          <w:bCs/>
          <w:color w:val="000000" w:themeColor="text1"/>
          <w:sz w:val="28"/>
          <w:szCs w:val="28"/>
          <w:highlight w:val="none"/>
          <w14:textFill>
            <w14:solidFill>
              <w14:schemeClr w14:val="tx1"/>
            </w14:solidFill>
          </w14:textFill>
        </w:rPr>
        <w:t>可根据自身情况进一步向下增加内容或细化。</w:t>
      </w:r>
    </w:p>
    <w:p w14:paraId="0016B7DD">
      <w:pPr>
        <w:pageBreakBefore w:val="0"/>
        <w:widowControl/>
        <w:wordWrap/>
        <w:topLinePunct w:val="0"/>
        <w:bidi w:val="0"/>
        <w:spacing w:line="560" w:lineRule="exact"/>
        <w:jc w:val="left"/>
        <w:rPr>
          <w:rFonts w:asciiTheme="minorEastAsia" w:hAnsiTheme="minorEastAsia" w:eastAsiaTheme="minorEastAsia"/>
          <w:color w:val="000000" w:themeColor="text1"/>
          <w:sz w:val="30"/>
          <w:szCs w:val="20"/>
          <w:highlight w:val="none"/>
          <w14:textFill>
            <w14:solidFill>
              <w14:schemeClr w14:val="tx1"/>
            </w14:solidFill>
          </w14:textFill>
        </w:rPr>
        <w:sectPr>
          <w:pgSz w:w="11906" w:h="16838"/>
          <w:pgMar w:top="1134" w:right="1134" w:bottom="1134" w:left="1134" w:header="720" w:footer="720" w:gutter="0"/>
          <w:pgNumType w:fmt="decimal"/>
          <w:cols w:space="720" w:num="1"/>
          <w:docGrid w:type="lines" w:linePitch="331" w:charSpace="0"/>
        </w:sectPr>
      </w:pPr>
    </w:p>
    <w:p w14:paraId="7C9B659B">
      <w:pPr>
        <w:pStyle w:val="4"/>
        <w:keepNext w:val="0"/>
        <w:keepLines w:val="0"/>
        <w:pageBreakBefore w:val="0"/>
        <w:wordWrap/>
        <w:topLinePunct w:val="0"/>
        <w:bidi w:val="0"/>
        <w:spacing w:line="560" w:lineRule="exact"/>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第</w:t>
      </w:r>
      <w:r>
        <w:rPr>
          <w:rFonts w:hint="eastAsia"/>
          <w:color w:val="000000" w:themeColor="text1"/>
          <w:highlight w:val="none"/>
          <w:lang w:eastAsia="zh-CN"/>
          <w14:textFill>
            <w14:solidFill>
              <w14:schemeClr w14:val="tx1"/>
            </w14:solidFill>
          </w14:textFill>
        </w:rPr>
        <w:t>一</w:t>
      </w:r>
      <w:r>
        <w:rPr>
          <w:rFonts w:hint="eastAsia"/>
          <w:color w:val="000000" w:themeColor="text1"/>
          <w:highlight w:val="none"/>
          <w14:textFill>
            <w14:solidFill>
              <w14:schemeClr w14:val="tx1"/>
            </w14:solidFill>
          </w14:textFill>
        </w:rPr>
        <w:t>节 资格证明文件格式</w:t>
      </w:r>
    </w:p>
    <w:p w14:paraId="1A0D1AC1">
      <w:pPr>
        <w:pStyle w:val="17"/>
        <w:pageBreakBefore w:val="0"/>
        <w:wordWrap/>
        <w:topLinePunct w:val="0"/>
        <w:bidi w:val="0"/>
        <w:spacing w:line="560" w:lineRule="exact"/>
        <w:rPr>
          <w:rFonts w:hint="eastAsia"/>
          <w:color w:val="000000" w:themeColor="text1"/>
          <w:highlight w:val="none"/>
          <w14:textFill>
            <w14:solidFill>
              <w14:schemeClr w14:val="tx1"/>
            </w14:solidFill>
          </w14:textFill>
        </w:rPr>
      </w:pPr>
    </w:p>
    <w:p w14:paraId="50C0A8CA">
      <w:pPr>
        <w:pStyle w:val="17"/>
        <w:keepNext w:val="0"/>
        <w:keepLines w:val="0"/>
        <w:pageBreakBefore w:val="0"/>
        <w:kinsoku/>
        <w:wordWrap/>
        <w:overflowPunct/>
        <w:topLinePunct w:val="0"/>
        <w:autoSpaceDE/>
        <w:autoSpaceDN/>
        <w:bidi w:val="0"/>
        <w:adjustRightInd/>
        <w:snapToGrid/>
        <w:spacing w:line="560" w:lineRule="exact"/>
        <w:ind w:right="0" w:firstLine="0" w:firstLineChars="0"/>
        <w:jc w:val="both"/>
        <w:textAlignment w:val="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一、合法有效的法人营业执照</w:t>
      </w:r>
    </w:p>
    <w:p w14:paraId="43CBD19F">
      <w:pPr>
        <w:keepNext w:val="0"/>
        <w:keepLines w:val="0"/>
        <w:pageBreakBefore w:val="0"/>
        <w:kinsoku/>
        <w:wordWrap/>
        <w:overflowPunct/>
        <w:topLinePunct w:val="0"/>
        <w:bidi w:val="0"/>
        <w:adjustRightInd/>
        <w:snapToGrid/>
        <w:spacing w:line="560" w:lineRule="exact"/>
        <w:ind w:left="0" w:leftChars="0" w:firstLine="0" w:firstLineChars="0"/>
        <w:textAlignment w:val="auto"/>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附：企业营业执照</w:t>
      </w:r>
    </w:p>
    <w:p w14:paraId="63645795">
      <w:pPr>
        <w:pStyle w:val="17"/>
        <w:keepNext w:val="0"/>
        <w:keepLines w:val="0"/>
        <w:pageBreakBefore w:val="0"/>
        <w:kinsoku/>
        <w:wordWrap/>
        <w:overflowPunct/>
        <w:topLinePunct w:val="0"/>
        <w:autoSpaceDE/>
        <w:autoSpaceDN/>
        <w:bidi w:val="0"/>
        <w:adjustRightInd/>
        <w:snapToGrid/>
        <w:spacing w:line="560" w:lineRule="exact"/>
        <w:ind w:right="0" w:firstLine="0" w:firstLineChars="0"/>
        <w:jc w:val="both"/>
        <w:textAlignment w:val="auto"/>
        <w:rPr>
          <w:color w:val="000000" w:themeColor="text1"/>
          <w:highlight w:val="none"/>
          <w14:textFill>
            <w14:solidFill>
              <w14:schemeClr w14:val="tx1"/>
            </w14:solidFill>
          </w14:textFill>
        </w:rPr>
      </w:pPr>
    </w:p>
    <w:p w14:paraId="3885C3AC">
      <w:pPr>
        <w:pStyle w:val="17"/>
        <w:keepNext w:val="0"/>
        <w:keepLines w:val="0"/>
        <w:pageBreakBefore w:val="0"/>
        <w:kinsoku/>
        <w:wordWrap/>
        <w:overflowPunct/>
        <w:topLinePunct w:val="0"/>
        <w:autoSpaceDE/>
        <w:autoSpaceDN/>
        <w:bidi w:val="0"/>
        <w:adjustRightInd/>
        <w:snapToGrid/>
        <w:spacing w:line="560" w:lineRule="exact"/>
        <w:ind w:right="0" w:firstLine="0" w:firstLineChars="0"/>
        <w:jc w:val="both"/>
        <w:textAlignment w:val="auto"/>
        <w:rPr>
          <w:color w:val="000000" w:themeColor="text1"/>
          <w:highlight w:val="none"/>
          <w14:textFill>
            <w14:solidFill>
              <w14:schemeClr w14:val="tx1"/>
            </w14:solidFill>
          </w14:textFill>
        </w:rPr>
      </w:pPr>
    </w:p>
    <w:p w14:paraId="4505EB92">
      <w:pPr>
        <w:pStyle w:val="17"/>
        <w:keepNext w:val="0"/>
        <w:keepLines w:val="0"/>
        <w:pageBreakBefore w:val="0"/>
        <w:kinsoku/>
        <w:wordWrap/>
        <w:overflowPunct/>
        <w:topLinePunct w:val="0"/>
        <w:autoSpaceDE/>
        <w:autoSpaceDN/>
        <w:bidi w:val="0"/>
        <w:adjustRightInd/>
        <w:snapToGrid/>
        <w:spacing w:line="560" w:lineRule="exact"/>
        <w:ind w:right="0" w:firstLine="0" w:firstLineChars="0"/>
        <w:jc w:val="both"/>
        <w:textAlignment w:val="auto"/>
        <w:rPr>
          <w:color w:val="000000" w:themeColor="text1"/>
          <w:highlight w:val="none"/>
          <w14:textFill>
            <w14:solidFill>
              <w14:schemeClr w14:val="tx1"/>
            </w14:solidFill>
          </w14:textFill>
        </w:rPr>
      </w:pPr>
    </w:p>
    <w:p w14:paraId="2CDA33FE">
      <w:pPr>
        <w:pStyle w:val="17"/>
        <w:keepNext w:val="0"/>
        <w:keepLines w:val="0"/>
        <w:pageBreakBefore w:val="0"/>
        <w:kinsoku/>
        <w:wordWrap/>
        <w:overflowPunct/>
        <w:topLinePunct w:val="0"/>
        <w:autoSpaceDE/>
        <w:autoSpaceDN/>
        <w:bidi w:val="0"/>
        <w:adjustRightInd/>
        <w:snapToGrid/>
        <w:spacing w:line="560" w:lineRule="exact"/>
        <w:ind w:right="0" w:firstLine="0" w:firstLineChars="0"/>
        <w:jc w:val="both"/>
        <w:textAlignment w:val="auto"/>
        <w:rPr>
          <w:color w:val="000000" w:themeColor="text1"/>
          <w:highlight w:val="none"/>
          <w14:textFill>
            <w14:solidFill>
              <w14:schemeClr w14:val="tx1"/>
            </w14:solidFill>
          </w14:textFill>
        </w:rPr>
      </w:pPr>
    </w:p>
    <w:p w14:paraId="2890B662">
      <w:pPr>
        <w:pStyle w:val="17"/>
        <w:keepNext w:val="0"/>
        <w:keepLines w:val="0"/>
        <w:pageBreakBefore w:val="0"/>
        <w:kinsoku/>
        <w:wordWrap/>
        <w:overflowPunct/>
        <w:topLinePunct w:val="0"/>
        <w:autoSpaceDE/>
        <w:autoSpaceDN/>
        <w:bidi w:val="0"/>
        <w:adjustRightInd/>
        <w:snapToGrid/>
        <w:spacing w:line="560" w:lineRule="exact"/>
        <w:ind w:right="0" w:firstLine="0" w:firstLineChars="0"/>
        <w:jc w:val="both"/>
        <w:textAlignment w:val="auto"/>
        <w:rPr>
          <w:color w:val="000000" w:themeColor="text1"/>
          <w:highlight w:val="none"/>
          <w14:textFill>
            <w14:solidFill>
              <w14:schemeClr w14:val="tx1"/>
            </w14:solidFill>
          </w14:textFill>
        </w:rPr>
      </w:pPr>
    </w:p>
    <w:p w14:paraId="32BD7E93">
      <w:pPr>
        <w:pStyle w:val="17"/>
        <w:keepNext w:val="0"/>
        <w:keepLines w:val="0"/>
        <w:pageBreakBefore w:val="0"/>
        <w:kinsoku/>
        <w:wordWrap/>
        <w:overflowPunct/>
        <w:topLinePunct w:val="0"/>
        <w:autoSpaceDE/>
        <w:autoSpaceDN/>
        <w:bidi w:val="0"/>
        <w:adjustRightInd/>
        <w:snapToGrid/>
        <w:spacing w:line="560" w:lineRule="exact"/>
        <w:ind w:right="0" w:firstLine="0" w:firstLineChars="0"/>
        <w:jc w:val="both"/>
        <w:textAlignment w:val="auto"/>
        <w:rPr>
          <w:color w:val="000000" w:themeColor="text1"/>
          <w:highlight w:val="none"/>
          <w14:textFill>
            <w14:solidFill>
              <w14:schemeClr w14:val="tx1"/>
            </w14:solidFill>
          </w14:textFill>
        </w:rPr>
      </w:pPr>
    </w:p>
    <w:p w14:paraId="3130E530">
      <w:pPr>
        <w:pStyle w:val="17"/>
        <w:keepNext w:val="0"/>
        <w:keepLines w:val="0"/>
        <w:pageBreakBefore w:val="0"/>
        <w:kinsoku/>
        <w:wordWrap/>
        <w:overflowPunct/>
        <w:topLinePunct w:val="0"/>
        <w:autoSpaceDE/>
        <w:autoSpaceDN/>
        <w:bidi w:val="0"/>
        <w:adjustRightInd/>
        <w:snapToGrid/>
        <w:spacing w:line="560" w:lineRule="exact"/>
        <w:ind w:right="0" w:firstLine="0" w:firstLineChars="0"/>
        <w:jc w:val="both"/>
        <w:textAlignment w:val="auto"/>
        <w:rPr>
          <w:color w:val="000000" w:themeColor="text1"/>
          <w:highlight w:val="none"/>
          <w14:textFill>
            <w14:solidFill>
              <w14:schemeClr w14:val="tx1"/>
            </w14:solidFill>
          </w14:textFill>
        </w:rPr>
      </w:pPr>
    </w:p>
    <w:p w14:paraId="5C47B33E">
      <w:pPr>
        <w:pStyle w:val="17"/>
        <w:keepNext w:val="0"/>
        <w:keepLines w:val="0"/>
        <w:pageBreakBefore w:val="0"/>
        <w:kinsoku/>
        <w:wordWrap/>
        <w:overflowPunct/>
        <w:topLinePunct w:val="0"/>
        <w:autoSpaceDE/>
        <w:autoSpaceDN/>
        <w:bidi w:val="0"/>
        <w:adjustRightInd/>
        <w:snapToGrid/>
        <w:spacing w:line="560" w:lineRule="exact"/>
        <w:ind w:right="0" w:firstLine="0" w:firstLineChars="0"/>
        <w:jc w:val="both"/>
        <w:textAlignment w:val="auto"/>
        <w:rPr>
          <w:color w:val="000000" w:themeColor="text1"/>
          <w:highlight w:val="none"/>
          <w14:textFill>
            <w14:solidFill>
              <w14:schemeClr w14:val="tx1"/>
            </w14:solidFill>
          </w14:textFill>
        </w:rPr>
      </w:pPr>
    </w:p>
    <w:p w14:paraId="2E2707E2">
      <w:pPr>
        <w:pStyle w:val="17"/>
        <w:keepNext w:val="0"/>
        <w:keepLines w:val="0"/>
        <w:pageBreakBefore w:val="0"/>
        <w:kinsoku/>
        <w:wordWrap/>
        <w:overflowPunct/>
        <w:topLinePunct w:val="0"/>
        <w:autoSpaceDE/>
        <w:autoSpaceDN/>
        <w:bidi w:val="0"/>
        <w:adjustRightInd/>
        <w:snapToGrid/>
        <w:spacing w:line="560" w:lineRule="exact"/>
        <w:ind w:right="0" w:firstLine="0" w:firstLineChars="0"/>
        <w:jc w:val="both"/>
        <w:textAlignment w:val="auto"/>
        <w:rPr>
          <w:color w:val="000000" w:themeColor="text1"/>
          <w:highlight w:val="none"/>
          <w14:textFill>
            <w14:solidFill>
              <w14:schemeClr w14:val="tx1"/>
            </w14:solidFill>
          </w14:textFill>
        </w:rPr>
      </w:pPr>
    </w:p>
    <w:p w14:paraId="12242874">
      <w:pPr>
        <w:pStyle w:val="17"/>
        <w:keepNext w:val="0"/>
        <w:keepLines w:val="0"/>
        <w:pageBreakBefore w:val="0"/>
        <w:kinsoku/>
        <w:wordWrap/>
        <w:overflowPunct/>
        <w:topLinePunct w:val="0"/>
        <w:autoSpaceDE/>
        <w:autoSpaceDN/>
        <w:bidi w:val="0"/>
        <w:adjustRightInd/>
        <w:snapToGrid/>
        <w:spacing w:line="560" w:lineRule="exact"/>
        <w:ind w:right="0" w:firstLine="0" w:firstLineChars="0"/>
        <w:jc w:val="both"/>
        <w:textAlignment w:val="auto"/>
        <w:rPr>
          <w:color w:val="000000" w:themeColor="text1"/>
          <w:highlight w:val="none"/>
          <w14:textFill>
            <w14:solidFill>
              <w14:schemeClr w14:val="tx1"/>
            </w14:solidFill>
          </w14:textFill>
        </w:rPr>
      </w:pPr>
    </w:p>
    <w:p w14:paraId="5CA7D31B">
      <w:pPr>
        <w:pStyle w:val="17"/>
        <w:keepNext w:val="0"/>
        <w:keepLines w:val="0"/>
        <w:pageBreakBefore w:val="0"/>
        <w:kinsoku/>
        <w:wordWrap/>
        <w:overflowPunct/>
        <w:topLinePunct w:val="0"/>
        <w:autoSpaceDE/>
        <w:autoSpaceDN/>
        <w:bidi w:val="0"/>
        <w:adjustRightInd/>
        <w:snapToGrid/>
        <w:spacing w:line="560" w:lineRule="exact"/>
        <w:ind w:right="0" w:firstLine="0" w:firstLineChars="0"/>
        <w:jc w:val="both"/>
        <w:textAlignment w:val="auto"/>
        <w:rPr>
          <w:color w:val="000000" w:themeColor="text1"/>
          <w:highlight w:val="none"/>
          <w14:textFill>
            <w14:solidFill>
              <w14:schemeClr w14:val="tx1"/>
            </w14:solidFill>
          </w14:textFill>
        </w:rPr>
      </w:pPr>
    </w:p>
    <w:p w14:paraId="27227C4A">
      <w:pPr>
        <w:pStyle w:val="17"/>
        <w:keepNext w:val="0"/>
        <w:keepLines w:val="0"/>
        <w:pageBreakBefore w:val="0"/>
        <w:kinsoku/>
        <w:wordWrap/>
        <w:overflowPunct/>
        <w:topLinePunct w:val="0"/>
        <w:autoSpaceDE/>
        <w:autoSpaceDN/>
        <w:bidi w:val="0"/>
        <w:adjustRightInd/>
        <w:snapToGrid/>
        <w:spacing w:line="560" w:lineRule="exact"/>
        <w:ind w:right="0" w:firstLine="0" w:firstLineChars="0"/>
        <w:jc w:val="both"/>
        <w:textAlignment w:val="auto"/>
        <w:rPr>
          <w:color w:val="000000" w:themeColor="text1"/>
          <w:highlight w:val="none"/>
          <w14:textFill>
            <w14:solidFill>
              <w14:schemeClr w14:val="tx1"/>
            </w14:solidFill>
          </w14:textFill>
        </w:rPr>
      </w:pPr>
    </w:p>
    <w:p w14:paraId="7C2DA84D">
      <w:pPr>
        <w:pStyle w:val="17"/>
        <w:keepNext w:val="0"/>
        <w:keepLines w:val="0"/>
        <w:pageBreakBefore w:val="0"/>
        <w:kinsoku/>
        <w:wordWrap/>
        <w:overflowPunct/>
        <w:topLinePunct w:val="0"/>
        <w:autoSpaceDE/>
        <w:autoSpaceDN/>
        <w:bidi w:val="0"/>
        <w:adjustRightInd/>
        <w:snapToGrid/>
        <w:spacing w:line="560" w:lineRule="exact"/>
        <w:ind w:right="0" w:firstLine="0" w:firstLineChars="0"/>
        <w:jc w:val="both"/>
        <w:textAlignment w:val="auto"/>
        <w:rPr>
          <w:color w:val="000000" w:themeColor="text1"/>
          <w:highlight w:val="none"/>
          <w14:textFill>
            <w14:solidFill>
              <w14:schemeClr w14:val="tx1"/>
            </w14:solidFill>
          </w14:textFill>
        </w:rPr>
      </w:pPr>
    </w:p>
    <w:p w14:paraId="59265720">
      <w:pPr>
        <w:pStyle w:val="17"/>
        <w:keepNext w:val="0"/>
        <w:keepLines w:val="0"/>
        <w:pageBreakBefore w:val="0"/>
        <w:kinsoku/>
        <w:wordWrap/>
        <w:overflowPunct/>
        <w:topLinePunct w:val="0"/>
        <w:autoSpaceDE/>
        <w:autoSpaceDN/>
        <w:bidi w:val="0"/>
        <w:adjustRightInd/>
        <w:snapToGrid/>
        <w:spacing w:line="560" w:lineRule="exact"/>
        <w:ind w:right="0" w:firstLine="0" w:firstLineChars="0"/>
        <w:jc w:val="both"/>
        <w:textAlignment w:val="auto"/>
        <w:rPr>
          <w:color w:val="000000" w:themeColor="text1"/>
          <w:highlight w:val="none"/>
          <w14:textFill>
            <w14:solidFill>
              <w14:schemeClr w14:val="tx1"/>
            </w14:solidFill>
          </w14:textFill>
        </w:rPr>
      </w:pPr>
    </w:p>
    <w:p w14:paraId="469252ED">
      <w:pPr>
        <w:pStyle w:val="17"/>
        <w:keepNext w:val="0"/>
        <w:keepLines w:val="0"/>
        <w:pageBreakBefore w:val="0"/>
        <w:kinsoku/>
        <w:wordWrap/>
        <w:overflowPunct/>
        <w:topLinePunct w:val="0"/>
        <w:autoSpaceDE/>
        <w:autoSpaceDN/>
        <w:bidi w:val="0"/>
        <w:adjustRightInd/>
        <w:snapToGrid/>
        <w:spacing w:line="560" w:lineRule="exact"/>
        <w:ind w:right="0" w:firstLine="0" w:firstLineChars="0"/>
        <w:jc w:val="both"/>
        <w:textAlignment w:val="auto"/>
        <w:rPr>
          <w:color w:val="000000" w:themeColor="text1"/>
          <w:highlight w:val="none"/>
          <w14:textFill>
            <w14:solidFill>
              <w14:schemeClr w14:val="tx1"/>
            </w14:solidFill>
          </w14:textFill>
        </w:rPr>
      </w:pPr>
    </w:p>
    <w:p w14:paraId="3E9F19BE">
      <w:pPr>
        <w:pStyle w:val="17"/>
        <w:keepNext w:val="0"/>
        <w:keepLines w:val="0"/>
        <w:pageBreakBefore w:val="0"/>
        <w:kinsoku/>
        <w:wordWrap/>
        <w:overflowPunct/>
        <w:topLinePunct w:val="0"/>
        <w:autoSpaceDE/>
        <w:autoSpaceDN/>
        <w:bidi w:val="0"/>
        <w:adjustRightInd/>
        <w:snapToGrid/>
        <w:spacing w:line="560" w:lineRule="exact"/>
        <w:ind w:right="0" w:firstLine="0" w:firstLineChars="0"/>
        <w:jc w:val="both"/>
        <w:textAlignment w:val="auto"/>
        <w:rPr>
          <w:color w:val="000000" w:themeColor="text1"/>
          <w:highlight w:val="none"/>
          <w14:textFill>
            <w14:solidFill>
              <w14:schemeClr w14:val="tx1"/>
            </w14:solidFill>
          </w14:textFill>
        </w:rPr>
      </w:pPr>
    </w:p>
    <w:p w14:paraId="222F7893">
      <w:pPr>
        <w:pStyle w:val="17"/>
        <w:keepNext w:val="0"/>
        <w:keepLines w:val="0"/>
        <w:pageBreakBefore w:val="0"/>
        <w:kinsoku/>
        <w:wordWrap/>
        <w:overflowPunct/>
        <w:topLinePunct w:val="0"/>
        <w:autoSpaceDE/>
        <w:autoSpaceDN/>
        <w:bidi w:val="0"/>
        <w:adjustRightInd/>
        <w:snapToGrid/>
        <w:spacing w:line="560" w:lineRule="exact"/>
        <w:ind w:right="0" w:firstLine="0" w:firstLineChars="0"/>
        <w:jc w:val="both"/>
        <w:textAlignment w:val="auto"/>
        <w:rPr>
          <w:color w:val="000000" w:themeColor="text1"/>
          <w:highlight w:val="none"/>
          <w14:textFill>
            <w14:solidFill>
              <w14:schemeClr w14:val="tx1"/>
            </w14:solidFill>
          </w14:textFill>
        </w:rPr>
      </w:pPr>
    </w:p>
    <w:p w14:paraId="656A184E">
      <w:pPr>
        <w:pStyle w:val="17"/>
        <w:keepNext w:val="0"/>
        <w:keepLines w:val="0"/>
        <w:pageBreakBefore w:val="0"/>
        <w:kinsoku/>
        <w:wordWrap/>
        <w:overflowPunct/>
        <w:topLinePunct w:val="0"/>
        <w:autoSpaceDE/>
        <w:autoSpaceDN/>
        <w:bidi w:val="0"/>
        <w:adjustRightInd/>
        <w:snapToGrid/>
        <w:spacing w:line="560" w:lineRule="exact"/>
        <w:ind w:right="0" w:firstLine="0" w:firstLineChars="0"/>
        <w:jc w:val="both"/>
        <w:textAlignment w:val="auto"/>
        <w:rPr>
          <w:color w:val="000000" w:themeColor="text1"/>
          <w:highlight w:val="none"/>
          <w14:textFill>
            <w14:solidFill>
              <w14:schemeClr w14:val="tx1"/>
            </w14:solidFill>
          </w14:textFill>
        </w:rPr>
      </w:pPr>
    </w:p>
    <w:p w14:paraId="44CAD970">
      <w:pPr>
        <w:pStyle w:val="17"/>
        <w:keepNext w:val="0"/>
        <w:keepLines w:val="0"/>
        <w:pageBreakBefore w:val="0"/>
        <w:kinsoku/>
        <w:wordWrap/>
        <w:overflowPunct/>
        <w:topLinePunct w:val="0"/>
        <w:autoSpaceDE/>
        <w:autoSpaceDN/>
        <w:bidi w:val="0"/>
        <w:adjustRightInd/>
        <w:snapToGrid/>
        <w:spacing w:line="560" w:lineRule="exact"/>
        <w:ind w:right="0" w:firstLine="0" w:firstLineChars="0"/>
        <w:jc w:val="both"/>
        <w:textAlignment w:val="auto"/>
        <w:rPr>
          <w:color w:val="000000" w:themeColor="text1"/>
          <w:highlight w:val="none"/>
          <w14:textFill>
            <w14:solidFill>
              <w14:schemeClr w14:val="tx1"/>
            </w14:solidFill>
          </w14:textFill>
        </w:rPr>
      </w:pPr>
    </w:p>
    <w:p w14:paraId="181E7B1B">
      <w:pPr>
        <w:pStyle w:val="17"/>
        <w:keepNext w:val="0"/>
        <w:keepLines w:val="0"/>
        <w:pageBreakBefore w:val="0"/>
        <w:kinsoku/>
        <w:wordWrap/>
        <w:overflowPunct/>
        <w:topLinePunct w:val="0"/>
        <w:autoSpaceDE/>
        <w:autoSpaceDN/>
        <w:bidi w:val="0"/>
        <w:adjustRightInd/>
        <w:snapToGrid/>
        <w:spacing w:line="560" w:lineRule="exact"/>
        <w:ind w:right="0" w:firstLine="0" w:firstLineChars="0"/>
        <w:jc w:val="both"/>
        <w:textAlignment w:val="auto"/>
        <w:rPr>
          <w:color w:val="000000" w:themeColor="text1"/>
          <w:highlight w:val="none"/>
          <w14:textFill>
            <w14:solidFill>
              <w14:schemeClr w14:val="tx1"/>
            </w14:solidFill>
          </w14:textFill>
        </w:rPr>
      </w:pPr>
    </w:p>
    <w:p w14:paraId="04A997A3">
      <w:pPr>
        <w:pStyle w:val="17"/>
        <w:keepNext w:val="0"/>
        <w:keepLines w:val="0"/>
        <w:pageBreakBefore w:val="0"/>
        <w:kinsoku/>
        <w:wordWrap/>
        <w:overflowPunct/>
        <w:topLinePunct w:val="0"/>
        <w:autoSpaceDE/>
        <w:autoSpaceDN/>
        <w:bidi w:val="0"/>
        <w:adjustRightInd/>
        <w:snapToGrid/>
        <w:spacing w:line="560" w:lineRule="exact"/>
        <w:ind w:right="0" w:firstLine="0" w:firstLineChars="0"/>
        <w:jc w:val="both"/>
        <w:textAlignment w:val="auto"/>
        <w:rPr>
          <w:color w:val="000000" w:themeColor="text1"/>
          <w:highlight w:val="none"/>
          <w14:textFill>
            <w14:solidFill>
              <w14:schemeClr w14:val="tx1"/>
            </w14:solidFill>
          </w14:textFill>
        </w:rPr>
      </w:pPr>
    </w:p>
    <w:p w14:paraId="7D5146AF">
      <w:pPr>
        <w:pStyle w:val="17"/>
        <w:keepNext w:val="0"/>
        <w:keepLines w:val="0"/>
        <w:pageBreakBefore w:val="0"/>
        <w:kinsoku/>
        <w:wordWrap/>
        <w:overflowPunct/>
        <w:topLinePunct w:val="0"/>
        <w:autoSpaceDE/>
        <w:autoSpaceDN/>
        <w:bidi w:val="0"/>
        <w:adjustRightInd/>
        <w:snapToGrid/>
        <w:spacing w:line="560" w:lineRule="exact"/>
        <w:ind w:right="0" w:firstLine="0" w:firstLineChars="0"/>
        <w:jc w:val="both"/>
        <w:textAlignment w:val="auto"/>
        <w:rPr>
          <w:color w:val="000000" w:themeColor="text1"/>
          <w:highlight w:val="none"/>
          <w14:textFill>
            <w14:solidFill>
              <w14:schemeClr w14:val="tx1"/>
            </w14:solidFill>
          </w14:textFill>
        </w:rPr>
      </w:pPr>
    </w:p>
    <w:p w14:paraId="369135C8">
      <w:pPr>
        <w:pStyle w:val="17"/>
        <w:keepNext w:val="0"/>
        <w:keepLines w:val="0"/>
        <w:pageBreakBefore w:val="0"/>
        <w:kinsoku/>
        <w:wordWrap/>
        <w:overflowPunct/>
        <w:topLinePunct w:val="0"/>
        <w:autoSpaceDE/>
        <w:autoSpaceDN/>
        <w:bidi w:val="0"/>
        <w:adjustRightInd/>
        <w:snapToGrid/>
        <w:spacing w:line="560" w:lineRule="exact"/>
        <w:ind w:right="0" w:firstLine="0" w:firstLineChars="0"/>
        <w:jc w:val="both"/>
        <w:textAlignment w:val="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二、提供（202</w:t>
      </w:r>
      <w:r>
        <w:rPr>
          <w:rFonts w:hint="eastAsia"/>
          <w:color w:val="000000" w:themeColor="text1"/>
          <w:highlight w:val="none"/>
          <w:lang w:val="en-US" w:eastAsia="zh-CN"/>
          <w14:textFill>
            <w14:solidFill>
              <w14:schemeClr w14:val="tx1"/>
            </w14:solidFill>
          </w14:textFill>
        </w:rPr>
        <w:t>2</w:t>
      </w:r>
      <w:r>
        <w:rPr>
          <w:rFonts w:hint="eastAsia"/>
          <w:color w:val="000000" w:themeColor="text1"/>
          <w:highlight w:val="none"/>
          <w14:textFill>
            <w14:solidFill>
              <w14:schemeClr w14:val="tx1"/>
            </w14:solidFill>
          </w14:textFill>
        </w:rPr>
        <w:t>年-202</w:t>
      </w:r>
      <w:r>
        <w:rPr>
          <w:rFonts w:hint="eastAsia"/>
          <w:color w:val="000000" w:themeColor="text1"/>
          <w:highlight w:val="none"/>
          <w:lang w:val="en-US" w:eastAsia="zh-CN"/>
          <w14:textFill>
            <w14:solidFill>
              <w14:schemeClr w14:val="tx1"/>
            </w14:solidFill>
          </w14:textFill>
        </w:rPr>
        <w:t>4</w:t>
      </w:r>
      <w:r>
        <w:rPr>
          <w:rFonts w:hint="eastAsia"/>
          <w:color w:val="000000" w:themeColor="text1"/>
          <w:highlight w:val="none"/>
          <w14:textFill>
            <w14:solidFill>
              <w14:schemeClr w14:val="tx1"/>
            </w14:solidFill>
          </w14:textFill>
        </w:rPr>
        <w:t>年）任意一年的财务报表或审计报告，成立不足一年的无需提供</w:t>
      </w:r>
    </w:p>
    <w:p w14:paraId="1B78C652">
      <w:pPr>
        <w:keepNext w:val="0"/>
        <w:keepLines w:val="0"/>
        <w:pageBreakBefore w:val="0"/>
        <w:kinsoku/>
        <w:wordWrap/>
        <w:overflowPunct/>
        <w:topLinePunct w:val="0"/>
        <w:bidi w:val="0"/>
        <w:adjustRightInd/>
        <w:snapToGrid/>
        <w:spacing w:line="560" w:lineRule="exact"/>
        <w:jc w:val="left"/>
        <w:rPr>
          <w:rFonts w:hint="eastAsia" w:ascii="宋体" w:hAnsi="宋体" w:eastAsia="宋体" w:cs="宋体"/>
          <w:color w:val="000000" w:themeColor="text1"/>
          <w:sz w:val="28"/>
          <w:szCs w:val="28"/>
          <w:highlight w:val="none"/>
          <w:lang w:eastAsia="zh-CN"/>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附：提供</w:t>
      </w:r>
      <w:r>
        <w:rPr>
          <w:rFonts w:hint="eastAsia" w:ascii="宋体" w:hAnsi="宋体" w:eastAsia="宋体"/>
          <w:color w:val="000000" w:themeColor="text1"/>
          <w:sz w:val="28"/>
          <w:szCs w:val="28"/>
          <w:highlight w:val="none"/>
          <w14:textFill>
            <w14:solidFill>
              <w14:schemeClr w14:val="tx1"/>
            </w14:solidFill>
          </w14:textFill>
        </w:rPr>
        <w:t>202</w:t>
      </w:r>
      <w:r>
        <w:rPr>
          <w:rFonts w:hint="eastAsia" w:ascii="宋体" w:hAnsi="宋体"/>
          <w:color w:val="000000" w:themeColor="text1"/>
          <w:sz w:val="28"/>
          <w:szCs w:val="28"/>
          <w:highlight w:val="none"/>
          <w:lang w:val="en-US" w:eastAsia="zh-CN"/>
          <w14:textFill>
            <w14:solidFill>
              <w14:schemeClr w14:val="tx1"/>
            </w14:solidFill>
          </w14:textFill>
        </w:rPr>
        <w:t>2</w:t>
      </w:r>
      <w:r>
        <w:rPr>
          <w:rFonts w:hint="eastAsia" w:ascii="宋体" w:hAnsi="宋体" w:eastAsia="宋体"/>
          <w:color w:val="000000" w:themeColor="text1"/>
          <w:sz w:val="28"/>
          <w:szCs w:val="28"/>
          <w:highlight w:val="none"/>
          <w14:textFill>
            <w14:solidFill>
              <w14:schemeClr w14:val="tx1"/>
            </w14:solidFill>
          </w14:textFill>
        </w:rPr>
        <w:t>-202</w:t>
      </w:r>
      <w:r>
        <w:rPr>
          <w:rFonts w:hint="eastAsia" w:ascii="宋体" w:hAnsi="宋体"/>
          <w:color w:val="000000" w:themeColor="text1"/>
          <w:sz w:val="28"/>
          <w:szCs w:val="28"/>
          <w:highlight w:val="none"/>
          <w:lang w:val="en-US" w:eastAsia="zh-CN"/>
          <w14:textFill>
            <w14:solidFill>
              <w14:schemeClr w14:val="tx1"/>
            </w14:solidFill>
          </w14:textFill>
        </w:rPr>
        <w:t>4</w:t>
      </w:r>
      <w:r>
        <w:rPr>
          <w:rFonts w:hint="eastAsia" w:ascii="宋体" w:hAnsi="宋体" w:eastAsia="宋体" w:cs="宋体"/>
          <w:color w:val="000000" w:themeColor="text1"/>
          <w:sz w:val="28"/>
          <w:szCs w:val="28"/>
          <w:highlight w:val="none"/>
          <w14:textFill>
            <w14:solidFill>
              <w14:schemeClr w14:val="tx1"/>
            </w14:solidFill>
          </w14:textFill>
        </w:rPr>
        <w:t>年任意一年的</w:t>
      </w:r>
      <w:r>
        <w:rPr>
          <w:rFonts w:hint="eastAsia" w:ascii="宋体" w:hAnsi="宋体" w:eastAsia="宋体" w:cs="宋体"/>
          <w:color w:val="000000" w:themeColor="text1"/>
          <w:sz w:val="28"/>
          <w:szCs w:val="28"/>
          <w:highlight w:val="none"/>
          <w:lang w:val="en-US" w:eastAsia="zh-CN"/>
          <w14:textFill>
            <w14:solidFill>
              <w14:schemeClr w14:val="tx1"/>
            </w14:solidFill>
          </w14:textFill>
        </w:rPr>
        <w:t>完整</w:t>
      </w:r>
      <w:r>
        <w:rPr>
          <w:rFonts w:hint="eastAsia" w:ascii="宋体" w:hAnsi="宋体" w:eastAsia="宋体" w:cs="宋体"/>
          <w:color w:val="000000" w:themeColor="text1"/>
          <w:sz w:val="28"/>
          <w:szCs w:val="28"/>
          <w:highlight w:val="none"/>
          <w14:textFill>
            <w14:solidFill>
              <w14:schemeClr w14:val="tx1"/>
            </w14:solidFill>
          </w14:textFill>
        </w:rPr>
        <w:t>审计报告或财务报表（应包括资产负债表、现金流量表、利润表），本年度新成立或成立不满一年的无法提供财务审计报告或财务状况报告表的无需提供。</w:t>
      </w:r>
    </w:p>
    <w:p w14:paraId="5556F6DC">
      <w:pPr>
        <w:keepNext w:val="0"/>
        <w:keepLines w:val="0"/>
        <w:pageBreakBefore w:val="0"/>
        <w:kinsoku/>
        <w:wordWrap/>
        <w:overflowPunct/>
        <w:topLinePunct w:val="0"/>
        <w:bidi w:val="0"/>
        <w:adjustRightInd/>
        <w:snapToGrid/>
        <w:spacing w:line="560" w:lineRule="exact"/>
        <w:ind w:left="0" w:leftChars="0" w:firstLine="0" w:firstLineChars="0"/>
        <w:textAlignment w:val="auto"/>
        <w:rPr>
          <w:rFonts w:hint="eastAsia" w:ascii="宋体" w:hAnsi="宋体" w:eastAsia="宋体" w:cs="宋体"/>
          <w:color w:val="000000" w:themeColor="text1"/>
          <w:sz w:val="28"/>
          <w:szCs w:val="28"/>
          <w:highlight w:val="none"/>
          <w:lang w:eastAsia="zh-CN"/>
          <w14:textFill>
            <w14:solidFill>
              <w14:schemeClr w14:val="tx1"/>
            </w14:solidFill>
          </w14:textFill>
        </w:rPr>
      </w:pPr>
    </w:p>
    <w:p w14:paraId="58199829">
      <w:pPr>
        <w:keepNext w:val="0"/>
        <w:keepLines w:val="0"/>
        <w:pageBreakBefore w:val="0"/>
        <w:kinsoku/>
        <w:wordWrap/>
        <w:overflowPunct/>
        <w:topLinePunct w:val="0"/>
        <w:autoSpaceDE/>
        <w:autoSpaceDN/>
        <w:bidi w:val="0"/>
        <w:adjustRightInd/>
        <w:snapToGrid/>
        <w:spacing w:line="560" w:lineRule="exact"/>
        <w:ind w:right="0" w:firstLine="0" w:firstLineChars="0"/>
        <w:jc w:val="both"/>
        <w:textAlignment w:val="auto"/>
        <w:rPr>
          <w:rFonts w:asciiTheme="minorEastAsia" w:hAnsiTheme="minorEastAsia" w:eastAsiaTheme="minorEastAsia"/>
          <w:color w:val="000000" w:themeColor="text1"/>
          <w:sz w:val="28"/>
          <w:szCs w:val="28"/>
          <w:highlight w:val="none"/>
          <w14:textFill>
            <w14:solidFill>
              <w14:schemeClr w14:val="tx1"/>
            </w14:solidFill>
          </w14:textFill>
        </w:rPr>
      </w:pPr>
    </w:p>
    <w:p w14:paraId="4750157A">
      <w:pPr>
        <w:keepNext w:val="0"/>
        <w:keepLines w:val="0"/>
        <w:pageBreakBefore w:val="0"/>
        <w:kinsoku/>
        <w:wordWrap/>
        <w:overflowPunct/>
        <w:topLinePunct w:val="0"/>
        <w:autoSpaceDE/>
        <w:autoSpaceDN/>
        <w:bidi w:val="0"/>
        <w:adjustRightInd/>
        <w:snapToGrid/>
        <w:spacing w:line="560" w:lineRule="exact"/>
        <w:ind w:right="0" w:firstLine="0" w:firstLineChars="0"/>
        <w:jc w:val="both"/>
        <w:textAlignment w:val="auto"/>
        <w:rPr>
          <w:rFonts w:asciiTheme="minorEastAsia" w:hAnsiTheme="minorEastAsia" w:eastAsiaTheme="minorEastAsia"/>
          <w:color w:val="000000" w:themeColor="text1"/>
          <w:sz w:val="28"/>
          <w:szCs w:val="28"/>
          <w:highlight w:val="none"/>
          <w14:textFill>
            <w14:solidFill>
              <w14:schemeClr w14:val="tx1"/>
            </w14:solidFill>
          </w14:textFill>
        </w:rPr>
      </w:pPr>
    </w:p>
    <w:p w14:paraId="3B4C45C3">
      <w:pPr>
        <w:keepNext w:val="0"/>
        <w:keepLines w:val="0"/>
        <w:pageBreakBefore w:val="0"/>
        <w:kinsoku/>
        <w:wordWrap/>
        <w:overflowPunct/>
        <w:topLinePunct w:val="0"/>
        <w:autoSpaceDE/>
        <w:autoSpaceDN/>
        <w:bidi w:val="0"/>
        <w:adjustRightInd/>
        <w:snapToGrid/>
        <w:spacing w:line="560" w:lineRule="exact"/>
        <w:ind w:right="0" w:firstLine="0" w:firstLineChars="0"/>
        <w:jc w:val="both"/>
        <w:textAlignment w:val="auto"/>
        <w:rPr>
          <w:rFonts w:asciiTheme="minorEastAsia" w:hAnsiTheme="minorEastAsia" w:eastAsiaTheme="minorEastAsia"/>
          <w:color w:val="000000" w:themeColor="text1"/>
          <w:sz w:val="28"/>
          <w:szCs w:val="28"/>
          <w:highlight w:val="none"/>
          <w14:textFill>
            <w14:solidFill>
              <w14:schemeClr w14:val="tx1"/>
            </w14:solidFill>
          </w14:textFill>
        </w:rPr>
      </w:pPr>
    </w:p>
    <w:p w14:paraId="30125663">
      <w:pPr>
        <w:keepNext w:val="0"/>
        <w:keepLines w:val="0"/>
        <w:pageBreakBefore w:val="0"/>
        <w:kinsoku/>
        <w:wordWrap/>
        <w:overflowPunct/>
        <w:topLinePunct w:val="0"/>
        <w:autoSpaceDE/>
        <w:autoSpaceDN/>
        <w:bidi w:val="0"/>
        <w:adjustRightInd/>
        <w:snapToGrid/>
        <w:spacing w:line="560" w:lineRule="exact"/>
        <w:ind w:right="0" w:firstLine="0" w:firstLineChars="0"/>
        <w:jc w:val="both"/>
        <w:textAlignment w:val="auto"/>
        <w:rPr>
          <w:rFonts w:asciiTheme="minorEastAsia" w:hAnsiTheme="minorEastAsia" w:eastAsiaTheme="minorEastAsia"/>
          <w:color w:val="000000" w:themeColor="text1"/>
          <w:sz w:val="28"/>
          <w:szCs w:val="28"/>
          <w:highlight w:val="none"/>
          <w14:textFill>
            <w14:solidFill>
              <w14:schemeClr w14:val="tx1"/>
            </w14:solidFill>
          </w14:textFill>
        </w:rPr>
      </w:pPr>
    </w:p>
    <w:p w14:paraId="21F74AB2">
      <w:pPr>
        <w:keepNext w:val="0"/>
        <w:keepLines w:val="0"/>
        <w:pageBreakBefore w:val="0"/>
        <w:kinsoku/>
        <w:wordWrap/>
        <w:overflowPunct/>
        <w:topLinePunct w:val="0"/>
        <w:autoSpaceDE/>
        <w:autoSpaceDN/>
        <w:bidi w:val="0"/>
        <w:adjustRightInd/>
        <w:snapToGrid/>
        <w:spacing w:line="560" w:lineRule="exact"/>
        <w:ind w:right="0" w:firstLine="0" w:firstLineChars="0"/>
        <w:jc w:val="both"/>
        <w:textAlignment w:val="auto"/>
        <w:rPr>
          <w:rFonts w:asciiTheme="minorEastAsia" w:hAnsiTheme="minorEastAsia" w:eastAsiaTheme="minorEastAsia"/>
          <w:color w:val="000000" w:themeColor="text1"/>
          <w:sz w:val="28"/>
          <w:szCs w:val="28"/>
          <w:highlight w:val="none"/>
          <w14:textFill>
            <w14:solidFill>
              <w14:schemeClr w14:val="tx1"/>
            </w14:solidFill>
          </w14:textFill>
        </w:rPr>
      </w:pPr>
    </w:p>
    <w:p w14:paraId="41EED0C4">
      <w:pPr>
        <w:keepNext w:val="0"/>
        <w:keepLines w:val="0"/>
        <w:pageBreakBefore w:val="0"/>
        <w:kinsoku/>
        <w:wordWrap/>
        <w:overflowPunct/>
        <w:topLinePunct w:val="0"/>
        <w:autoSpaceDE/>
        <w:autoSpaceDN/>
        <w:bidi w:val="0"/>
        <w:adjustRightInd/>
        <w:snapToGrid/>
        <w:spacing w:line="560" w:lineRule="exact"/>
        <w:ind w:right="0" w:firstLine="0" w:firstLineChars="0"/>
        <w:jc w:val="both"/>
        <w:textAlignment w:val="auto"/>
        <w:rPr>
          <w:rFonts w:asciiTheme="minorEastAsia" w:hAnsiTheme="minorEastAsia" w:eastAsiaTheme="minorEastAsia"/>
          <w:color w:val="000000" w:themeColor="text1"/>
          <w:sz w:val="28"/>
          <w:szCs w:val="28"/>
          <w:highlight w:val="none"/>
          <w14:textFill>
            <w14:solidFill>
              <w14:schemeClr w14:val="tx1"/>
            </w14:solidFill>
          </w14:textFill>
        </w:rPr>
      </w:pPr>
    </w:p>
    <w:p w14:paraId="59FDC3B3">
      <w:pPr>
        <w:keepNext w:val="0"/>
        <w:keepLines w:val="0"/>
        <w:pageBreakBefore w:val="0"/>
        <w:kinsoku/>
        <w:wordWrap/>
        <w:overflowPunct/>
        <w:topLinePunct w:val="0"/>
        <w:autoSpaceDE/>
        <w:autoSpaceDN/>
        <w:bidi w:val="0"/>
        <w:adjustRightInd/>
        <w:snapToGrid/>
        <w:spacing w:line="560" w:lineRule="exact"/>
        <w:ind w:right="0" w:firstLine="0" w:firstLineChars="0"/>
        <w:jc w:val="both"/>
        <w:textAlignment w:val="auto"/>
        <w:rPr>
          <w:rFonts w:asciiTheme="minorEastAsia" w:hAnsiTheme="minorEastAsia" w:eastAsiaTheme="minorEastAsia"/>
          <w:color w:val="000000" w:themeColor="text1"/>
          <w:sz w:val="28"/>
          <w:szCs w:val="28"/>
          <w:highlight w:val="none"/>
          <w14:textFill>
            <w14:solidFill>
              <w14:schemeClr w14:val="tx1"/>
            </w14:solidFill>
          </w14:textFill>
        </w:rPr>
      </w:pPr>
    </w:p>
    <w:p w14:paraId="3DEE1FC2">
      <w:pPr>
        <w:keepNext w:val="0"/>
        <w:keepLines w:val="0"/>
        <w:pageBreakBefore w:val="0"/>
        <w:kinsoku/>
        <w:wordWrap/>
        <w:overflowPunct/>
        <w:topLinePunct w:val="0"/>
        <w:autoSpaceDE/>
        <w:autoSpaceDN/>
        <w:bidi w:val="0"/>
        <w:adjustRightInd/>
        <w:snapToGrid/>
        <w:spacing w:line="560" w:lineRule="exact"/>
        <w:ind w:right="0" w:firstLine="0" w:firstLineChars="0"/>
        <w:jc w:val="both"/>
        <w:textAlignment w:val="auto"/>
        <w:rPr>
          <w:rFonts w:asciiTheme="minorEastAsia" w:hAnsiTheme="minorEastAsia" w:eastAsiaTheme="minorEastAsia"/>
          <w:color w:val="000000" w:themeColor="text1"/>
          <w:sz w:val="28"/>
          <w:szCs w:val="28"/>
          <w:highlight w:val="none"/>
          <w14:textFill>
            <w14:solidFill>
              <w14:schemeClr w14:val="tx1"/>
            </w14:solidFill>
          </w14:textFill>
        </w:rPr>
      </w:pPr>
    </w:p>
    <w:p w14:paraId="41973DA2">
      <w:pPr>
        <w:keepNext w:val="0"/>
        <w:keepLines w:val="0"/>
        <w:pageBreakBefore w:val="0"/>
        <w:kinsoku/>
        <w:wordWrap/>
        <w:overflowPunct/>
        <w:topLinePunct w:val="0"/>
        <w:autoSpaceDE/>
        <w:autoSpaceDN/>
        <w:bidi w:val="0"/>
        <w:adjustRightInd/>
        <w:snapToGrid/>
        <w:spacing w:line="560" w:lineRule="exact"/>
        <w:ind w:right="0" w:firstLine="0" w:firstLineChars="0"/>
        <w:jc w:val="both"/>
        <w:textAlignment w:val="auto"/>
        <w:rPr>
          <w:rFonts w:asciiTheme="minorEastAsia" w:hAnsiTheme="minorEastAsia" w:eastAsiaTheme="minorEastAsia"/>
          <w:color w:val="000000" w:themeColor="text1"/>
          <w:sz w:val="28"/>
          <w:szCs w:val="28"/>
          <w:highlight w:val="none"/>
          <w14:textFill>
            <w14:solidFill>
              <w14:schemeClr w14:val="tx1"/>
            </w14:solidFill>
          </w14:textFill>
        </w:rPr>
      </w:pPr>
    </w:p>
    <w:p w14:paraId="5F85D353">
      <w:pPr>
        <w:keepNext w:val="0"/>
        <w:keepLines w:val="0"/>
        <w:pageBreakBefore w:val="0"/>
        <w:kinsoku/>
        <w:wordWrap/>
        <w:overflowPunct/>
        <w:topLinePunct w:val="0"/>
        <w:autoSpaceDE/>
        <w:autoSpaceDN/>
        <w:bidi w:val="0"/>
        <w:adjustRightInd/>
        <w:snapToGrid/>
        <w:spacing w:line="560" w:lineRule="exact"/>
        <w:ind w:right="0" w:firstLine="0" w:firstLineChars="0"/>
        <w:jc w:val="both"/>
        <w:textAlignment w:val="auto"/>
        <w:rPr>
          <w:rFonts w:asciiTheme="minorEastAsia" w:hAnsiTheme="minorEastAsia" w:eastAsiaTheme="minorEastAsia"/>
          <w:color w:val="000000" w:themeColor="text1"/>
          <w:sz w:val="28"/>
          <w:szCs w:val="28"/>
          <w:highlight w:val="none"/>
          <w14:textFill>
            <w14:solidFill>
              <w14:schemeClr w14:val="tx1"/>
            </w14:solidFill>
          </w14:textFill>
        </w:rPr>
      </w:pPr>
    </w:p>
    <w:p w14:paraId="407A30BE">
      <w:pPr>
        <w:keepNext w:val="0"/>
        <w:keepLines w:val="0"/>
        <w:pageBreakBefore w:val="0"/>
        <w:kinsoku/>
        <w:wordWrap/>
        <w:overflowPunct/>
        <w:topLinePunct w:val="0"/>
        <w:autoSpaceDE/>
        <w:autoSpaceDN/>
        <w:bidi w:val="0"/>
        <w:adjustRightInd/>
        <w:snapToGrid/>
        <w:spacing w:line="560" w:lineRule="exact"/>
        <w:ind w:right="0" w:firstLine="0" w:firstLineChars="0"/>
        <w:jc w:val="both"/>
        <w:textAlignment w:val="auto"/>
        <w:rPr>
          <w:rFonts w:asciiTheme="minorEastAsia" w:hAnsiTheme="minorEastAsia" w:eastAsiaTheme="minorEastAsia"/>
          <w:color w:val="000000" w:themeColor="text1"/>
          <w:sz w:val="28"/>
          <w:szCs w:val="28"/>
          <w:highlight w:val="none"/>
          <w14:textFill>
            <w14:solidFill>
              <w14:schemeClr w14:val="tx1"/>
            </w14:solidFill>
          </w14:textFill>
        </w:rPr>
      </w:pPr>
    </w:p>
    <w:p w14:paraId="0449C3B5">
      <w:pPr>
        <w:keepNext w:val="0"/>
        <w:keepLines w:val="0"/>
        <w:pageBreakBefore w:val="0"/>
        <w:kinsoku/>
        <w:wordWrap/>
        <w:overflowPunct/>
        <w:topLinePunct w:val="0"/>
        <w:autoSpaceDE/>
        <w:autoSpaceDN/>
        <w:bidi w:val="0"/>
        <w:adjustRightInd/>
        <w:snapToGrid/>
        <w:spacing w:line="560" w:lineRule="exact"/>
        <w:ind w:right="0" w:firstLine="0" w:firstLineChars="0"/>
        <w:jc w:val="both"/>
        <w:textAlignment w:val="auto"/>
        <w:rPr>
          <w:rFonts w:asciiTheme="minorEastAsia" w:hAnsiTheme="minorEastAsia" w:eastAsiaTheme="minorEastAsia"/>
          <w:color w:val="000000" w:themeColor="text1"/>
          <w:sz w:val="28"/>
          <w:szCs w:val="28"/>
          <w:highlight w:val="none"/>
          <w14:textFill>
            <w14:solidFill>
              <w14:schemeClr w14:val="tx1"/>
            </w14:solidFill>
          </w14:textFill>
        </w:rPr>
      </w:pPr>
    </w:p>
    <w:p w14:paraId="4F3232D3">
      <w:pPr>
        <w:keepNext w:val="0"/>
        <w:keepLines w:val="0"/>
        <w:pageBreakBefore w:val="0"/>
        <w:kinsoku/>
        <w:wordWrap/>
        <w:overflowPunct/>
        <w:topLinePunct w:val="0"/>
        <w:autoSpaceDE/>
        <w:autoSpaceDN/>
        <w:bidi w:val="0"/>
        <w:adjustRightInd/>
        <w:snapToGrid/>
        <w:spacing w:line="560" w:lineRule="exact"/>
        <w:ind w:right="0" w:firstLine="0" w:firstLineChars="0"/>
        <w:jc w:val="both"/>
        <w:textAlignment w:val="auto"/>
        <w:rPr>
          <w:rFonts w:asciiTheme="minorEastAsia" w:hAnsiTheme="minorEastAsia" w:eastAsiaTheme="minorEastAsia"/>
          <w:color w:val="000000" w:themeColor="text1"/>
          <w:sz w:val="28"/>
          <w:szCs w:val="28"/>
          <w:highlight w:val="none"/>
          <w14:textFill>
            <w14:solidFill>
              <w14:schemeClr w14:val="tx1"/>
            </w14:solidFill>
          </w14:textFill>
        </w:rPr>
      </w:pPr>
    </w:p>
    <w:p w14:paraId="774D3303">
      <w:pPr>
        <w:keepNext w:val="0"/>
        <w:keepLines w:val="0"/>
        <w:pageBreakBefore w:val="0"/>
        <w:kinsoku/>
        <w:wordWrap/>
        <w:overflowPunct/>
        <w:topLinePunct w:val="0"/>
        <w:autoSpaceDE/>
        <w:autoSpaceDN/>
        <w:bidi w:val="0"/>
        <w:adjustRightInd/>
        <w:snapToGrid/>
        <w:spacing w:line="560" w:lineRule="exact"/>
        <w:ind w:right="0" w:firstLine="0" w:firstLineChars="0"/>
        <w:jc w:val="both"/>
        <w:textAlignment w:val="auto"/>
        <w:rPr>
          <w:rFonts w:asciiTheme="minorEastAsia" w:hAnsiTheme="minorEastAsia" w:eastAsiaTheme="minorEastAsia"/>
          <w:color w:val="000000" w:themeColor="text1"/>
          <w:sz w:val="28"/>
          <w:szCs w:val="28"/>
          <w:highlight w:val="none"/>
          <w14:textFill>
            <w14:solidFill>
              <w14:schemeClr w14:val="tx1"/>
            </w14:solidFill>
          </w14:textFill>
        </w:rPr>
      </w:pPr>
    </w:p>
    <w:p w14:paraId="614E7884">
      <w:pPr>
        <w:keepNext w:val="0"/>
        <w:keepLines w:val="0"/>
        <w:pageBreakBefore w:val="0"/>
        <w:kinsoku/>
        <w:wordWrap/>
        <w:overflowPunct/>
        <w:topLinePunct w:val="0"/>
        <w:autoSpaceDE/>
        <w:autoSpaceDN/>
        <w:bidi w:val="0"/>
        <w:adjustRightInd/>
        <w:snapToGrid/>
        <w:spacing w:line="560" w:lineRule="exact"/>
        <w:ind w:right="0" w:firstLine="0" w:firstLineChars="0"/>
        <w:jc w:val="both"/>
        <w:textAlignment w:val="auto"/>
        <w:rPr>
          <w:rFonts w:asciiTheme="minorEastAsia" w:hAnsiTheme="minorEastAsia" w:eastAsiaTheme="minorEastAsia"/>
          <w:color w:val="000000" w:themeColor="text1"/>
          <w:sz w:val="28"/>
          <w:szCs w:val="28"/>
          <w:highlight w:val="none"/>
          <w14:textFill>
            <w14:solidFill>
              <w14:schemeClr w14:val="tx1"/>
            </w14:solidFill>
          </w14:textFill>
        </w:rPr>
      </w:pPr>
    </w:p>
    <w:p w14:paraId="7E0A9A4B">
      <w:pPr>
        <w:keepNext w:val="0"/>
        <w:keepLines w:val="0"/>
        <w:pageBreakBefore w:val="0"/>
        <w:kinsoku/>
        <w:wordWrap/>
        <w:overflowPunct/>
        <w:topLinePunct w:val="0"/>
        <w:autoSpaceDE/>
        <w:autoSpaceDN/>
        <w:bidi w:val="0"/>
        <w:adjustRightInd/>
        <w:snapToGrid/>
        <w:spacing w:line="560" w:lineRule="exact"/>
        <w:ind w:right="0" w:firstLine="0" w:firstLineChars="0"/>
        <w:jc w:val="both"/>
        <w:textAlignment w:val="auto"/>
        <w:rPr>
          <w:rFonts w:asciiTheme="minorEastAsia" w:hAnsiTheme="minorEastAsia" w:eastAsiaTheme="minorEastAsia"/>
          <w:color w:val="000000" w:themeColor="text1"/>
          <w:sz w:val="28"/>
          <w:szCs w:val="28"/>
          <w:highlight w:val="none"/>
          <w14:textFill>
            <w14:solidFill>
              <w14:schemeClr w14:val="tx1"/>
            </w14:solidFill>
          </w14:textFill>
        </w:rPr>
      </w:pPr>
    </w:p>
    <w:p w14:paraId="48F677C7">
      <w:pPr>
        <w:keepNext w:val="0"/>
        <w:keepLines w:val="0"/>
        <w:pageBreakBefore w:val="0"/>
        <w:kinsoku/>
        <w:wordWrap/>
        <w:overflowPunct/>
        <w:topLinePunct w:val="0"/>
        <w:autoSpaceDE/>
        <w:autoSpaceDN/>
        <w:bidi w:val="0"/>
        <w:adjustRightInd/>
        <w:snapToGrid/>
        <w:spacing w:line="560" w:lineRule="exact"/>
        <w:ind w:right="0" w:firstLine="0" w:firstLineChars="0"/>
        <w:jc w:val="both"/>
        <w:textAlignment w:val="auto"/>
        <w:rPr>
          <w:rFonts w:hint="eastAsia" w:cs="仿宋_GB2312" w:asciiTheme="minorEastAsia" w:hAnsiTheme="minorEastAsia" w:eastAsiaTheme="minorEastAsia"/>
          <w:b/>
          <w:color w:val="000000" w:themeColor="text1"/>
          <w:kern w:val="0"/>
          <w:sz w:val="28"/>
          <w:szCs w:val="28"/>
          <w:highlight w:val="none"/>
          <w14:textFill>
            <w14:solidFill>
              <w14:schemeClr w14:val="tx1"/>
            </w14:solidFill>
          </w14:textFill>
        </w:rPr>
      </w:pPr>
    </w:p>
    <w:p w14:paraId="08FBE7AE">
      <w:pPr>
        <w:keepNext w:val="0"/>
        <w:keepLines w:val="0"/>
        <w:pageBreakBefore w:val="0"/>
        <w:kinsoku/>
        <w:wordWrap/>
        <w:overflowPunct/>
        <w:topLinePunct w:val="0"/>
        <w:autoSpaceDE/>
        <w:autoSpaceDN/>
        <w:bidi w:val="0"/>
        <w:adjustRightInd/>
        <w:snapToGrid/>
        <w:spacing w:line="560" w:lineRule="exact"/>
        <w:ind w:right="0" w:firstLine="0" w:firstLineChars="0"/>
        <w:jc w:val="both"/>
        <w:textAlignment w:val="auto"/>
        <w:rPr>
          <w:rFonts w:hint="eastAsia" w:cs="仿宋_GB2312" w:asciiTheme="minorEastAsia" w:hAnsiTheme="minorEastAsia" w:eastAsiaTheme="minorEastAsia"/>
          <w:b/>
          <w:color w:val="000000" w:themeColor="text1"/>
          <w:kern w:val="0"/>
          <w:sz w:val="28"/>
          <w:szCs w:val="28"/>
          <w:highlight w:val="none"/>
          <w14:textFill>
            <w14:solidFill>
              <w14:schemeClr w14:val="tx1"/>
            </w14:solidFill>
          </w14:textFill>
        </w:rPr>
      </w:pPr>
    </w:p>
    <w:p w14:paraId="1EC95E60">
      <w:pPr>
        <w:keepNext w:val="0"/>
        <w:keepLines w:val="0"/>
        <w:pageBreakBefore w:val="0"/>
        <w:kinsoku/>
        <w:wordWrap/>
        <w:overflowPunct/>
        <w:topLinePunct w:val="0"/>
        <w:autoSpaceDE/>
        <w:autoSpaceDN/>
        <w:bidi w:val="0"/>
        <w:adjustRightInd/>
        <w:snapToGrid/>
        <w:spacing w:line="560" w:lineRule="exact"/>
        <w:ind w:right="0" w:firstLine="0" w:firstLineChars="0"/>
        <w:jc w:val="both"/>
        <w:textAlignment w:val="auto"/>
        <w:rPr>
          <w:rFonts w:hint="eastAsia" w:cs="仿宋_GB2312" w:asciiTheme="minorEastAsia" w:hAnsiTheme="minorEastAsia" w:eastAsiaTheme="minorEastAsia"/>
          <w:b/>
          <w:color w:val="000000" w:themeColor="text1"/>
          <w:kern w:val="0"/>
          <w:sz w:val="28"/>
          <w:szCs w:val="28"/>
          <w:highlight w:val="none"/>
          <w14:textFill>
            <w14:solidFill>
              <w14:schemeClr w14:val="tx1"/>
            </w14:solidFill>
          </w14:textFill>
        </w:rPr>
      </w:pPr>
    </w:p>
    <w:p w14:paraId="78ABA934">
      <w:pPr>
        <w:keepNext w:val="0"/>
        <w:keepLines w:val="0"/>
        <w:pageBreakBefore w:val="0"/>
        <w:kinsoku/>
        <w:wordWrap/>
        <w:overflowPunct/>
        <w:topLinePunct w:val="0"/>
        <w:autoSpaceDE/>
        <w:autoSpaceDN/>
        <w:bidi w:val="0"/>
        <w:adjustRightInd/>
        <w:snapToGrid/>
        <w:spacing w:line="560" w:lineRule="exact"/>
        <w:ind w:right="0" w:firstLine="0" w:firstLineChars="0"/>
        <w:jc w:val="both"/>
        <w:textAlignment w:val="auto"/>
        <w:rPr>
          <w:rFonts w:hint="eastAsia" w:cs="仿宋_GB2312" w:asciiTheme="minorEastAsia" w:hAnsiTheme="minorEastAsia" w:eastAsiaTheme="minorEastAsia"/>
          <w:b/>
          <w:color w:val="000000" w:themeColor="text1"/>
          <w:kern w:val="0"/>
          <w:sz w:val="28"/>
          <w:szCs w:val="28"/>
          <w:highlight w:val="none"/>
          <w14:textFill>
            <w14:solidFill>
              <w14:schemeClr w14:val="tx1"/>
            </w14:solidFill>
          </w14:textFill>
        </w:rPr>
      </w:pPr>
    </w:p>
    <w:p w14:paraId="4B41F298">
      <w:pPr>
        <w:keepNext w:val="0"/>
        <w:keepLines w:val="0"/>
        <w:pageBreakBefore w:val="0"/>
        <w:kinsoku/>
        <w:wordWrap/>
        <w:overflowPunct/>
        <w:topLinePunct w:val="0"/>
        <w:autoSpaceDE/>
        <w:autoSpaceDN/>
        <w:bidi w:val="0"/>
        <w:adjustRightInd/>
        <w:snapToGrid/>
        <w:spacing w:line="560" w:lineRule="exact"/>
        <w:ind w:right="0" w:firstLine="0" w:firstLineChars="0"/>
        <w:jc w:val="both"/>
        <w:textAlignment w:val="auto"/>
        <w:rPr>
          <w:rFonts w:cs="仿宋_GB2312" w:asciiTheme="minorEastAsia" w:hAnsiTheme="minorEastAsia" w:eastAsiaTheme="minorEastAsia"/>
          <w:b/>
          <w:color w:val="000000" w:themeColor="text1"/>
          <w:kern w:val="0"/>
          <w:sz w:val="28"/>
          <w:szCs w:val="28"/>
          <w:highlight w:val="none"/>
          <w14:textFill>
            <w14:solidFill>
              <w14:schemeClr w14:val="tx1"/>
            </w14:solidFill>
          </w14:textFill>
        </w:rPr>
      </w:pPr>
      <w:r>
        <w:rPr>
          <w:rFonts w:hint="eastAsia" w:cs="仿宋_GB2312" w:asciiTheme="minorEastAsia" w:hAnsiTheme="minorEastAsia" w:eastAsiaTheme="minorEastAsia"/>
          <w:b/>
          <w:color w:val="000000" w:themeColor="text1"/>
          <w:kern w:val="0"/>
          <w:sz w:val="28"/>
          <w:szCs w:val="28"/>
          <w:highlight w:val="none"/>
          <w14:textFill>
            <w14:solidFill>
              <w14:schemeClr w14:val="tx1"/>
            </w14:solidFill>
          </w14:textFill>
        </w:rPr>
        <w:t>三、根据项目需求提供履行合同所必需的设备和专业技术能力的加盖单位公章的书面承诺函</w:t>
      </w:r>
    </w:p>
    <w:p w14:paraId="54F199EA">
      <w:pPr>
        <w:pStyle w:val="13"/>
        <w:keepNext w:val="0"/>
        <w:keepLines w:val="0"/>
        <w:pageBreakBefore w:val="0"/>
        <w:widowControl w:val="0"/>
        <w:kinsoku/>
        <w:wordWrap/>
        <w:overflowPunct/>
        <w:topLinePunct w:val="0"/>
        <w:bidi w:val="0"/>
        <w:adjustRightInd/>
        <w:snapToGrid/>
        <w:spacing w:after="0" w:line="560" w:lineRule="exact"/>
        <w:textAlignment w:val="auto"/>
        <w:rPr>
          <w:rFonts w:hint="eastAsia" w:ascii="宋体" w:hAnsi="宋体" w:eastAsia="宋体" w:cs="宋体"/>
          <w:color w:val="000000" w:themeColor="text1"/>
          <w:kern w:val="0"/>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致：</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sz w:val="28"/>
          <w:szCs w:val="28"/>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8"/>
          <w:szCs w:val="28"/>
          <w:highlight w:val="none"/>
          <w:u w:val="single"/>
          <w14:textFill>
            <w14:solidFill>
              <w14:schemeClr w14:val="tx1"/>
            </w14:solidFill>
          </w14:textFill>
        </w:rPr>
        <w:t xml:space="preserve">（采购人名称） </w:t>
      </w:r>
    </w:p>
    <w:p w14:paraId="6F97A812">
      <w:pPr>
        <w:keepNext w:val="0"/>
        <w:keepLines w:val="0"/>
        <w:pageBreakBefore w:val="0"/>
        <w:widowControl w:val="0"/>
        <w:kinsoku/>
        <w:wordWrap/>
        <w:overflowPunct/>
        <w:topLinePunct w:val="0"/>
        <w:bidi w:val="0"/>
        <w:adjustRightInd/>
        <w:snapToGrid/>
        <w:spacing w:line="560" w:lineRule="exact"/>
        <w:ind w:left="0" w:leftChars="0" w:firstLine="560" w:firstLineChars="200"/>
        <w:textAlignment w:val="auto"/>
        <w:rPr>
          <w:rFonts w:hint="eastAsia" w:ascii="宋体" w:hAnsi="宋体" w:eastAsia="宋体" w:cs="宋体"/>
          <w:color w:val="000000" w:themeColor="text1"/>
          <w:kern w:val="0"/>
          <w:sz w:val="28"/>
          <w:szCs w:val="28"/>
          <w:highlight w:val="none"/>
          <w14:textFill>
            <w14:solidFill>
              <w14:schemeClr w14:val="tx1"/>
            </w14:solidFill>
          </w14:textFill>
        </w:rPr>
      </w:pPr>
      <w:r>
        <w:rPr>
          <w:rFonts w:hint="eastAsia" w:ascii="宋体" w:hAnsi="宋体" w:eastAsia="宋体" w:cs="宋体"/>
          <w:color w:val="000000" w:themeColor="text1"/>
          <w:kern w:val="0"/>
          <w:sz w:val="28"/>
          <w:szCs w:val="28"/>
          <w:highlight w:val="none"/>
          <w14:textFill>
            <w14:solidFill>
              <w14:schemeClr w14:val="tx1"/>
            </w14:solidFill>
          </w14:textFill>
        </w:rPr>
        <w:t>在</w:t>
      </w:r>
      <w:r>
        <w:rPr>
          <w:rFonts w:hint="eastAsia" w:ascii="宋体" w:hAnsi="宋体" w:eastAsia="宋体" w:cs="宋体"/>
          <w:color w:val="000000" w:themeColor="text1"/>
          <w:kern w:val="0"/>
          <w:sz w:val="28"/>
          <w:szCs w:val="28"/>
          <w:highlight w:val="none"/>
          <w:u w:val="single"/>
          <w:lang w:val="en-US" w:eastAsia="zh-CN"/>
          <w14:textFill>
            <w14:solidFill>
              <w14:schemeClr w14:val="tx1"/>
            </w14:solidFill>
          </w14:textFill>
        </w:rPr>
        <w:t xml:space="preserve">            </w:t>
      </w:r>
      <w:r>
        <w:rPr>
          <w:rFonts w:hint="eastAsia" w:ascii="宋体" w:hAnsi="宋体" w:cs="宋体"/>
          <w:color w:val="000000" w:themeColor="text1"/>
          <w:kern w:val="0"/>
          <w:sz w:val="28"/>
          <w:szCs w:val="28"/>
          <w:highlight w:val="none"/>
          <w:u w:val="single"/>
          <w:lang w:val="en-US" w:eastAsia="zh-CN"/>
          <w14:textFill>
            <w14:solidFill>
              <w14:schemeClr w14:val="tx1"/>
            </w14:solidFill>
          </w14:textFill>
        </w:rPr>
        <w:t>（</w:t>
      </w:r>
      <w:r>
        <w:rPr>
          <w:rFonts w:hint="eastAsia" w:ascii="宋体" w:hAnsi="宋体" w:eastAsia="宋体" w:cs="宋体"/>
          <w:color w:val="000000" w:themeColor="text1"/>
          <w:kern w:val="0"/>
          <w:sz w:val="28"/>
          <w:szCs w:val="28"/>
          <w:highlight w:val="none"/>
          <w:u w:val="single"/>
          <w14:textFill>
            <w14:solidFill>
              <w14:schemeClr w14:val="tx1"/>
            </w14:solidFill>
          </w14:textFill>
        </w:rPr>
        <w:t>项目名称</w:t>
      </w:r>
      <w:r>
        <w:rPr>
          <w:rFonts w:hint="eastAsia" w:ascii="宋体" w:hAnsi="宋体" w:cs="宋体"/>
          <w:color w:val="000000" w:themeColor="text1"/>
          <w:kern w:val="0"/>
          <w:sz w:val="28"/>
          <w:szCs w:val="28"/>
          <w:highlight w:val="none"/>
          <w:u w:val="single"/>
          <w:lang w:eastAsia="zh-CN"/>
          <w14:textFill>
            <w14:solidFill>
              <w14:schemeClr w14:val="tx1"/>
            </w14:solidFill>
          </w14:textFill>
        </w:rPr>
        <w:t>、</w:t>
      </w:r>
      <w:r>
        <w:rPr>
          <w:rFonts w:hint="eastAsia" w:ascii="宋体" w:hAnsi="宋体" w:cs="宋体"/>
          <w:color w:val="000000" w:themeColor="text1"/>
          <w:kern w:val="0"/>
          <w:sz w:val="28"/>
          <w:szCs w:val="28"/>
          <w:highlight w:val="none"/>
          <w:u w:val="single"/>
          <w:lang w:val="en-US" w:eastAsia="zh-CN"/>
          <w14:textFill>
            <w14:solidFill>
              <w14:schemeClr w14:val="tx1"/>
            </w14:solidFill>
          </w14:textFill>
        </w:rPr>
        <w:t>项目编号、标项名称）</w:t>
      </w:r>
      <w:r>
        <w:rPr>
          <w:rFonts w:hint="eastAsia" w:ascii="宋体" w:hAnsi="宋体" w:eastAsia="宋体" w:cs="宋体"/>
          <w:color w:val="000000" w:themeColor="text1"/>
          <w:kern w:val="0"/>
          <w:sz w:val="28"/>
          <w:szCs w:val="28"/>
          <w:highlight w:val="none"/>
          <w14:textFill>
            <w14:solidFill>
              <w14:schemeClr w14:val="tx1"/>
            </w14:solidFill>
          </w14:textFill>
        </w:rPr>
        <w:t>，我公司在完全理解本项目招标的技术要求、商务条款及其他内容后，决定参与该项目的投标活动。并承诺，如中标，我公司将提供足够的设备和专业技术能力保证本合同履行。</w:t>
      </w:r>
    </w:p>
    <w:p w14:paraId="092D80D1">
      <w:pPr>
        <w:keepNext w:val="0"/>
        <w:keepLines w:val="0"/>
        <w:pageBreakBefore w:val="0"/>
        <w:widowControl w:val="0"/>
        <w:kinsoku/>
        <w:wordWrap/>
        <w:overflowPunct/>
        <w:topLinePunct w:val="0"/>
        <w:bidi w:val="0"/>
        <w:adjustRightInd/>
        <w:snapToGrid/>
        <w:spacing w:line="560" w:lineRule="exact"/>
        <w:ind w:left="0" w:leftChars="0" w:firstLine="560" w:firstLineChars="200"/>
        <w:textAlignment w:val="auto"/>
        <w:rPr>
          <w:rFonts w:hint="eastAsia" w:ascii="宋体" w:hAnsi="宋体" w:eastAsia="宋体" w:cs="宋体"/>
          <w:color w:val="000000" w:themeColor="text1"/>
          <w:kern w:val="0"/>
          <w:sz w:val="28"/>
          <w:szCs w:val="28"/>
          <w:highlight w:val="none"/>
          <w14:textFill>
            <w14:solidFill>
              <w14:schemeClr w14:val="tx1"/>
            </w14:solidFill>
          </w14:textFill>
        </w:rPr>
      </w:pPr>
      <w:r>
        <w:rPr>
          <w:rFonts w:hint="eastAsia" w:ascii="宋体" w:hAnsi="宋体" w:eastAsia="宋体" w:cs="宋体"/>
          <w:color w:val="000000" w:themeColor="text1"/>
          <w:kern w:val="0"/>
          <w:sz w:val="28"/>
          <w:szCs w:val="28"/>
          <w:highlight w:val="none"/>
          <w14:textFill>
            <w14:solidFill>
              <w14:schemeClr w14:val="tx1"/>
            </w14:solidFill>
          </w14:textFill>
        </w:rPr>
        <w:t>本公司对上述承诺的真实性负责。如有虚假，我公司同意按我方合同违约处理并依法承担相应法律责任。</w:t>
      </w:r>
    </w:p>
    <w:p w14:paraId="5DD75437">
      <w:pPr>
        <w:keepNext w:val="0"/>
        <w:keepLines w:val="0"/>
        <w:pageBreakBefore w:val="0"/>
        <w:widowControl w:val="0"/>
        <w:kinsoku/>
        <w:wordWrap/>
        <w:overflowPunct/>
        <w:topLinePunct w:val="0"/>
        <w:bidi w:val="0"/>
        <w:adjustRightInd/>
        <w:snapToGrid/>
        <w:spacing w:line="560" w:lineRule="exact"/>
        <w:ind w:left="0" w:leftChars="0" w:firstLine="560" w:firstLineChars="200"/>
        <w:textAlignment w:val="auto"/>
        <w:rPr>
          <w:rFonts w:hint="eastAsia" w:ascii="宋体" w:hAnsi="宋体" w:eastAsia="宋体" w:cs="宋体"/>
          <w:color w:val="000000" w:themeColor="text1"/>
          <w:sz w:val="28"/>
          <w:szCs w:val="28"/>
          <w:highlight w:val="none"/>
          <w14:textFill>
            <w14:solidFill>
              <w14:schemeClr w14:val="tx1"/>
            </w14:solidFill>
          </w14:textFill>
        </w:rPr>
      </w:pPr>
    </w:p>
    <w:p w14:paraId="1D856B21">
      <w:pPr>
        <w:keepNext w:val="0"/>
        <w:keepLines w:val="0"/>
        <w:pageBreakBefore w:val="0"/>
        <w:widowControl w:val="0"/>
        <w:kinsoku/>
        <w:wordWrap/>
        <w:overflowPunct/>
        <w:topLinePunct w:val="0"/>
        <w:bidi w:val="0"/>
        <w:adjustRightInd/>
        <w:snapToGrid/>
        <w:spacing w:line="560" w:lineRule="exact"/>
        <w:ind w:left="0" w:leftChars="0" w:firstLine="560" w:firstLineChars="200"/>
        <w:textAlignment w:val="auto"/>
        <w:rPr>
          <w:rFonts w:hint="eastAsia" w:ascii="宋体" w:hAnsi="宋体" w:eastAsia="宋体" w:cs="宋体"/>
          <w:color w:val="000000" w:themeColor="text1"/>
          <w:sz w:val="28"/>
          <w:szCs w:val="28"/>
          <w:highlight w:val="none"/>
          <w14:textFill>
            <w14:solidFill>
              <w14:schemeClr w14:val="tx1"/>
            </w14:solidFill>
          </w14:textFill>
        </w:rPr>
      </w:pPr>
    </w:p>
    <w:p w14:paraId="250E9486">
      <w:pPr>
        <w:keepNext w:val="0"/>
        <w:keepLines w:val="0"/>
        <w:pageBreakBefore w:val="0"/>
        <w:widowControl w:val="0"/>
        <w:kinsoku/>
        <w:wordWrap/>
        <w:overflowPunct/>
        <w:topLinePunct w:val="0"/>
        <w:autoSpaceDE w:val="0"/>
        <w:autoSpaceDN w:val="0"/>
        <w:bidi w:val="0"/>
        <w:adjustRightInd/>
        <w:snapToGrid/>
        <w:spacing w:line="560" w:lineRule="exact"/>
        <w:ind w:left="0" w:leftChars="0" w:firstLine="560" w:firstLineChars="200"/>
        <w:jc w:val="center"/>
        <w:textAlignment w:val="auto"/>
        <w:rPr>
          <w:rFonts w:hint="default" w:ascii="宋体" w:hAnsi="宋体" w:eastAsia="宋体" w:cs="宋体"/>
          <w:color w:val="000000" w:themeColor="text1"/>
          <w:kern w:val="0"/>
          <w:sz w:val="28"/>
          <w:szCs w:val="28"/>
          <w:highlight w:val="none"/>
          <w:u w:val="single"/>
          <w:lang w:val="en-US" w:eastAsia="zh-CN"/>
          <w14:textFill>
            <w14:solidFill>
              <w14:schemeClr w14:val="tx1"/>
            </w14:solidFill>
          </w14:textFill>
        </w:rPr>
      </w:pPr>
      <w:r>
        <w:rPr>
          <w:rFonts w:hint="eastAsia" w:ascii="宋体" w:hAnsi="宋体" w:eastAsia="宋体" w:cs="宋体"/>
          <w:color w:val="000000" w:themeColor="text1"/>
          <w:kern w:val="0"/>
          <w:sz w:val="28"/>
          <w:szCs w:val="28"/>
          <w:highlight w:val="none"/>
          <w:lang w:val="en-US" w:eastAsia="zh-CN"/>
          <w14:textFill>
            <w14:solidFill>
              <w14:schemeClr w14:val="tx1"/>
            </w14:solidFill>
          </w14:textFill>
        </w:rPr>
        <w:t xml:space="preserve">                  </w:t>
      </w:r>
      <w:r>
        <w:rPr>
          <w:rFonts w:hint="eastAsia" w:ascii="宋体" w:hAnsi="宋体" w:eastAsia="宋体" w:cs="宋体"/>
          <w:color w:val="000000" w:themeColor="text1"/>
          <w:kern w:val="0"/>
          <w:sz w:val="28"/>
          <w:szCs w:val="28"/>
          <w:highlight w:val="none"/>
          <w14:textFill>
            <w14:solidFill>
              <w14:schemeClr w14:val="tx1"/>
            </w14:solidFill>
          </w14:textFill>
        </w:rPr>
        <w:t>供应商名称（电子公章）：</w:t>
      </w:r>
      <w:r>
        <w:rPr>
          <w:rFonts w:hint="eastAsia" w:ascii="宋体" w:hAnsi="宋体" w:cs="宋体"/>
          <w:color w:val="000000" w:themeColor="text1"/>
          <w:kern w:val="0"/>
          <w:sz w:val="28"/>
          <w:szCs w:val="28"/>
          <w:highlight w:val="none"/>
          <w:lang w:val="en-US" w:eastAsia="zh-CN"/>
          <w14:textFill>
            <w14:solidFill>
              <w14:schemeClr w14:val="tx1"/>
            </w14:solidFill>
          </w14:textFill>
        </w:rPr>
        <w:t xml:space="preserve"> </w:t>
      </w:r>
      <w:r>
        <w:rPr>
          <w:rFonts w:hint="eastAsia" w:ascii="宋体" w:hAnsi="宋体" w:cs="宋体"/>
          <w:color w:val="000000" w:themeColor="text1"/>
          <w:kern w:val="0"/>
          <w:sz w:val="28"/>
          <w:szCs w:val="28"/>
          <w:highlight w:val="none"/>
          <w:u w:val="single"/>
          <w:lang w:val="en-US" w:eastAsia="zh-CN"/>
          <w14:textFill>
            <w14:solidFill>
              <w14:schemeClr w14:val="tx1"/>
            </w14:solidFill>
          </w14:textFill>
        </w:rPr>
        <w:t xml:space="preserve">        </w:t>
      </w:r>
    </w:p>
    <w:p w14:paraId="5C3A4AC4">
      <w:pPr>
        <w:pStyle w:val="163"/>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宋体" w:hAnsi="宋体" w:eastAsia="宋体" w:cs="宋体"/>
          <w:color w:val="000000" w:themeColor="text1"/>
          <w:kern w:val="0"/>
          <w:sz w:val="28"/>
          <w:szCs w:val="28"/>
          <w:highlight w:val="none"/>
          <w:lang w:val="en-US" w:eastAsia="zh-CN"/>
          <w14:textFill>
            <w14:solidFill>
              <w14:schemeClr w14:val="tx1"/>
            </w14:solidFill>
          </w14:textFill>
        </w:rPr>
      </w:pPr>
      <w:r>
        <w:rPr>
          <w:rFonts w:hint="eastAsia" w:ascii="宋体" w:hAnsi="宋体" w:eastAsia="宋体" w:cs="宋体"/>
          <w:color w:val="000000" w:themeColor="text1"/>
          <w:kern w:val="0"/>
          <w:sz w:val="28"/>
          <w:szCs w:val="28"/>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法定代表人或其委托代理人（签字</w:t>
      </w:r>
      <w:r>
        <w:rPr>
          <w:rFonts w:hint="eastAsia" w:ascii="宋体" w:hAnsi="宋体" w:cs="宋体"/>
          <w:color w:val="000000" w:themeColor="text1"/>
          <w:sz w:val="28"/>
          <w:szCs w:val="28"/>
          <w:highlight w:val="none"/>
          <w:lang w:eastAsia="zh-CN"/>
          <w14:textFill>
            <w14:solidFill>
              <w14:schemeClr w14:val="tx1"/>
            </w14:solidFill>
          </w14:textFill>
        </w:rPr>
        <w:t>或</w:t>
      </w:r>
      <w:r>
        <w:rPr>
          <w:rFonts w:hint="eastAsia" w:ascii="宋体" w:hAnsi="宋体" w:eastAsia="宋体" w:cs="宋体"/>
          <w:color w:val="000000" w:themeColor="text1"/>
          <w:sz w:val="28"/>
          <w:szCs w:val="28"/>
          <w:highlight w:val="none"/>
          <w14:textFill>
            <w14:solidFill>
              <w14:schemeClr w14:val="tx1"/>
            </w14:solidFill>
          </w14:textFill>
        </w:rPr>
        <w:t>盖章）：</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r>
        <w:rPr>
          <w:rFonts w:hint="eastAsia" w:ascii="宋体" w:hAnsi="宋体" w:cs="宋体"/>
          <w:color w:val="000000" w:themeColor="text1"/>
          <w:sz w:val="28"/>
          <w:szCs w:val="28"/>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kern w:val="0"/>
          <w:sz w:val="28"/>
          <w:szCs w:val="28"/>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8"/>
          <w:szCs w:val="28"/>
          <w:highlight w:val="none"/>
          <w:lang w:val="en-US" w:eastAsia="zh-CN"/>
          <w14:textFill>
            <w14:solidFill>
              <w14:schemeClr w14:val="tx1"/>
            </w14:solidFill>
          </w14:textFill>
        </w:rPr>
        <w:t xml:space="preserve">                       </w:t>
      </w:r>
    </w:p>
    <w:p w14:paraId="708AB351">
      <w:pPr>
        <w:keepNext w:val="0"/>
        <w:keepLines w:val="0"/>
        <w:pageBreakBefore w:val="0"/>
        <w:widowControl w:val="0"/>
        <w:kinsoku/>
        <w:wordWrap/>
        <w:overflowPunct/>
        <w:topLinePunct w:val="0"/>
        <w:autoSpaceDE w:val="0"/>
        <w:autoSpaceDN w:val="0"/>
        <w:bidi w:val="0"/>
        <w:adjustRightInd/>
        <w:snapToGrid/>
        <w:spacing w:line="560" w:lineRule="exact"/>
        <w:ind w:left="0" w:leftChars="0" w:firstLine="560" w:firstLineChars="200"/>
        <w:jc w:val="center"/>
        <w:textAlignment w:val="auto"/>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lang w:val="en-US" w:eastAsia="zh-CN"/>
          <w14:textFill>
            <w14:solidFill>
              <w14:schemeClr w14:val="tx1"/>
            </w14:solidFill>
          </w14:textFill>
        </w:rPr>
        <w:t xml:space="preserve">            </w:t>
      </w:r>
      <w:r>
        <w:rPr>
          <w:rFonts w:hint="eastAsia" w:ascii="宋体" w:hAnsi="宋体" w:eastAsia="宋体" w:cs="宋体"/>
          <w:color w:val="000000" w:themeColor="text1"/>
          <w:kern w:val="0"/>
          <w:sz w:val="28"/>
          <w:szCs w:val="28"/>
          <w:highlight w:val="none"/>
          <w:lang w:val="zh-CN"/>
          <w14:textFill>
            <w14:solidFill>
              <w14:schemeClr w14:val="tx1"/>
            </w14:solidFill>
          </w14:textFill>
        </w:rPr>
        <w:t xml:space="preserve">日期： </w:t>
      </w:r>
      <w:r>
        <w:rPr>
          <w:rFonts w:hint="eastAsia" w:ascii="宋体" w:hAnsi="宋体" w:eastAsia="宋体" w:cs="宋体"/>
          <w:color w:val="000000" w:themeColor="text1"/>
          <w:kern w:val="0"/>
          <w:sz w:val="28"/>
          <w:szCs w:val="28"/>
          <w:highlight w:val="none"/>
          <w:u w:val="single"/>
          <w:lang w:val="zh-CN"/>
          <w14:textFill>
            <w14:solidFill>
              <w14:schemeClr w14:val="tx1"/>
            </w14:solidFill>
          </w14:textFill>
        </w:rPr>
        <w:t xml:space="preserve"> </w:t>
      </w:r>
      <w:r>
        <w:rPr>
          <w:rFonts w:hint="eastAsia" w:ascii="宋体" w:hAnsi="宋体" w:cs="宋体"/>
          <w:color w:val="000000" w:themeColor="text1"/>
          <w:kern w:val="0"/>
          <w:sz w:val="28"/>
          <w:szCs w:val="28"/>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8"/>
          <w:szCs w:val="28"/>
          <w:highlight w:val="none"/>
          <w:lang w:val="zh-CN"/>
          <w14:textFill>
            <w14:solidFill>
              <w14:schemeClr w14:val="tx1"/>
            </w14:solidFill>
          </w14:textFill>
        </w:rPr>
        <w:t>年</w:t>
      </w:r>
      <w:r>
        <w:rPr>
          <w:rFonts w:hint="eastAsia" w:ascii="宋体" w:hAnsi="宋体" w:cs="宋体"/>
          <w:color w:val="000000" w:themeColor="text1"/>
          <w:kern w:val="0"/>
          <w:sz w:val="28"/>
          <w:szCs w:val="28"/>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8"/>
          <w:szCs w:val="28"/>
          <w:highlight w:val="none"/>
          <w:u w:val="single"/>
          <w:lang w:val="zh-CN"/>
          <w14:textFill>
            <w14:solidFill>
              <w14:schemeClr w14:val="tx1"/>
            </w14:solidFill>
          </w14:textFill>
        </w:rPr>
        <w:t xml:space="preserve"> </w:t>
      </w:r>
      <w:r>
        <w:rPr>
          <w:rFonts w:hint="eastAsia" w:ascii="宋体" w:hAnsi="宋体" w:cs="宋体"/>
          <w:color w:val="000000" w:themeColor="text1"/>
          <w:kern w:val="0"/>
          <w:sz w:val="28"/>
          <w:szCs w:val="28"/>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8"/>
          <w:szCs w:val="28"/>
          <w:highlight w:val="none"/>
          <w:u w:val="single"/>
          <w:lang w:val="zh-CN"/>
          <w14:textFill>
            <w14:solidFill>
              <w14:schemeClr w14:val="tx1"/>
            </w14:solidFill>
          </w14:textFill>
        </w:rPr>
        <w:t xml:space="preserve"> </w:t>
      </w:r>
      <w:r>
        <w:rPr>
          <w:rFonts w:hint="eastAsia" w:ascii="宋体" w:hAnsi="宋体" w:eastAsia="宋体" w:cs="宋体"/>
          <w:color w:val="000000" w:themeColor="text1"/>
          <w:kern w:val="0"/>
          <w:sz w:val="28"/>
          <w:szCs w:val="28"/>
          <w:highlight w:val="none"/>
          <w:lang w:val="zh-CN"/>
          <w14:textFill>
            <w14:solidFill>
              <w14:schemeClr w14:val="tx1"/>
            </w14:solidFill>
          </w14:textFill>
        </w:rPr>
        <w:t>月</w:t>
      </w:r>
      <w:r>
        <w:rPr>
          <w:rFonts w:hint="eastAsia" w:ascii="宋体" w:hAnsi="宋体" w:eastAsia="宋体" w:cs="宋体"/>
          <w:color w:val="000000" w:themeColor="text1"/>
          <w:kern w:val="0"/>
          <w:sz w:val="28"/>
          <w:szCs w:val="28"/>
          <w:highlight w:val="none"/>
          <w:u w:val="single"/>
          <w:lang w:val="zh-CN"/>
          <w14:textFill>
            <w14:solidFill>
              <w14:schemeClr w14:val="tx1"/>
            </w14:solidFill>
          </w14:textFill>
        </w:rPr>
        <w:t xml:space="preserve">   </w:t>
      </w:r>
      <w:r>
        <w:rPr>
          <w:rFonts w:hint="eastAsia" w:ascii="宋体" w:hAnsi="宋体" w:cs="宋体"/>
          <w:color w:val="000000" w:themeColor="text1"/>
          <w:kern w:val="0"/>
          <w:sz w:val="28"/>
          <w:szCs w:val="28"/>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8"/>
          <w:szCs w:val="28"/>
          <w:highlight w:val="none"/>
          <w:lang w:val="zh-CN"/>
          <w14:textFill>
            <w14:solidFill>
              <w14:schemeClr w14:val="tx1"/>
            </w14:solidFill>
          </w14:textFill>
        </w:rPr>
        <w:t>日</w:t>
      </w:r>
    </w:p>
    <w:p w14:paraId="50D2CCE0">
      <w:pPr>
        <w:keepNext w:val="0"/>
        <w:keepLines w:val="0"/>
        <w:pageBreakBefore w:val="0"/>
        <w:kinsoku/>
        <w:wordWrap/>
        <w:overflowPunct/>
        <w:topLinePunct w:val="0"/>
        <w:autoSpaceDE/>
        <w:autoSpaceDN/>
        <w:bidi w:val="0"/>
        <w:adjustRightInd/>
        <w:snapToGrid/>
        <w:spacing w:before="165" w:beforeLines="50" w:after="50" w:line="560" w:lineRule="exact"/>
        <w:ind w:right="0" w:firstLine="0" w:firstLineChars="0"/>
        <w:jc w:val="both"/>
        <w:textAlignment w:val="auto"/>
        <w:rPr>
          <w:rFonts w:asciiTheme="minorEastAsia" w:hAnsiTheme="minorEastAsia" w:eastAsiaTheme="minorEastAsia"/>
          <w:b/>
          <w:color w:val="000000" w:themeColor="text1"/>
          <w:sz w:val="28"/>
          <w:szCs w:val="28"/>
          <w:highlight w:val="none"/>
          <w14:textFill>
            <w14:solidFill>
              <w14:schemeClr w14:val="tx1"/>
            </w14:solidFill>
          </w14:textFill>
        </w:rPr>
      </w:pPr>
    </w:p>
    <w:p w14:paraId="4E97D75A">
      <w:pPr>
        <w:keepNext w:val="0"/>
        <w:keepLines w:val="0"/>
        <w:pageBreakBefore w:val="0"/>
        <w:kinsoku/>
        <w:wordWrap/>
        <w:overflowPunct/>
        <w:topLinePunct w:val="0"/>
        <w:autoSpaceDE/>
        <w:autoSpaceDN/>
        <w:bidi w:val="0"/>
        <w:adjustRightInd/>
        <w:snapToGrid/>
        <w:spacing w:before="165" w:beforeLines="50" w:after="50" w:line="560" w:lineRule="exact"/>
        <w:ind w:right="0" w:firstLine="0" w:firstLineChars="0"/>
        <w:jc w:val="both"/>
        <w:textAlignment w:val="auto"/>
        <w:rPr>
          <w:rFonts w:asciiTheme="minorEastAsia" w:hAnsiTheme="minorEastAsia" w:eastAsiaTheme="minorEastAsia"/>
          <w:b/>
          <w:color w:val="000000" w:themeColor="text1"/>
          <w:sz w:val="28"/>
          <w:szCs w:val="28"/>
          <w:highlight w:val="none"/>
          <w14:textFill>
            <w14:solidFill>
              <w14:schemeClr w14:val="tx1"/>
            </w14:solidFill>
          </w14:textFill>
        </w:rPr>
      </w:pPr>
    </w:p>
    <w:p w14:paraId="378A8BFF">
      <w:pPr>
        <w:keepNext w:val="0"/>
        <w:keepLines w:val="0"/>
        <w:pageBreakBefore w:val="0"/>
        <w:kinsoku/>
        <w:wordWrap/>
        <w:overflowPunct/>
        <w:topLinePunct w:val="0"/>
        <w:autoSpaceDE/>
        <w:autoSpaceDN/>
        <w:bidi w:val="0"/>
        <w:adjustRightInd/>
        <w:snapToGrid/>
        <w:spacing w:before="165" w:beforeLines="50" w:after="50" w:line="560" w:lineRule="exact"/>
        <w:ind w:right="0" w:firstLine="0" w:firstLineChars="0"/>
        <w:jc w:val="both"/>
        <w:textAlignment w:val="auto"/>
        <w:rPr>
          <w:rFonts w:asciiTheme="minorEastAsia" w:hAnsiTheme="minorEastAsia" w:eastAsiaTheme="minorEastAsia"/>
          <w:b/>
          <w:color w:val="000000" w:themeColor="text1"/>
          <w:sz w:val="28"/>
          <w:szCs w:val="28"/>
          <w:highlight w:val="none"/>
          <w14:textFill>
            <w14:solidFill>
              <w14:schemeClr w14:val="tx1"/>
            </w14:solidFill>
          </w14:textFill>
        </w:rPr>
      </w:pPr>
    </w:p>
    <w:p w14:paraId="2EA1E523">
      <w:pPr>
        <w:keepNext w:val="0"/>
        <w:keepLines w:val="0"/>
        <w:pageBreakBefore w:val="0"/>
        <w:kinsoku/>
        <w:wordWrap/>
        <w:overflowPunct/>
        <w:topLinePunct w:val="0"/>
        <w:autoSpaceDE/>
        <w:autoSpaceDN/>
        <w:bidi w:val="0"/>
        <w:adjustRightInd/>
        <w:snapToGrid/>
        <w:spacing w:before="165" w:beforeLines="50" w:after="50" w:line="560" w:lineRule="exact"/>
        <w:ind w:right="0" w:firstLine="0" w:firstLineChars="0"/>
        <w:jc w:val="both"/>
        <w:textAlignment w:val="auto"/>
        <w:rPr>
          <w:rFonts w:asciiTheme="minorEastAsia" w:hAnsiTheme="minorEastAsia" w:eastAsiaTheme="minorEastAsia"/>
          <w:b/>
          <w:color w:val="000000" w:themeColor="text1"/>
          <w:sz w:val="28"/>
          <w:szCs w:val="28"/>
          <w:highlight w:val="none"/>
          <w14:textFill>
            <w14:solidFill>
              <w14:schemeClr w14:val="tx1"/>
            </w14:solidFill>
          </w14:textFill>
        </w:rPr>
      </w:pPr>
    </w:p>
    <w:p w14:paraId="755CDDD3">
      <w:pPr>
        <w:keepNext w:val="0"/>
        <w:keepLines w:val="0"/>
        <w:pageBreakBefore w:val="0"/>
        <w:kinsoku/>
        <w:wordWrap/>
        <w:overflowPunct/>
        <w:topLinePunct w:val="0"/>
        <w:autoSpaceDE/>
        <w:autoSpaceDN/>
        <w:bidi w:val="0"/>
        <w:adjustRightInd/>
        <w:snapToGrid/>
        <w:spacing w:before="165" w:beforeLines="50" w:after="50" w:line="560" w:lineRule="exact"/>
        <w:ind w:right="0" w:firstLine="0" w:firstLineChars="0"/>
        <w:jc w:val="both"/>
        <w:textAlignment w:val="auto"/>
        <w:rPr>
          <w:rFonts w:asciiTheme="minorEastAsia" w:hAnsiTheme="minorEastAsia" w:eastAsiaTheme="minorEastAsia"/>
          <w:b/>
          <w:color w:val="000000" w:themeColor="text1"/>
          <w:sz w:val="28"/>
          <w:szCs w:val="28"/>
          <w:highlight w:val="none"/>
          <w14:textFill>
            <w14:solidFill>
              <w14:schemeClr w14:val="tx1"/>
            </w14:solidFill>
          </w14:textFill>
        </w:rPr>
      </w:pPr>
    </w:p>
    <w:p w14:paraId="7C1F120F">
      <w:pPr>
        <w:keepNext w:val="0"/>
        <w:keepLines w:val="0"/>
        <w:pageBreakBefore w:val="0"/>
        <w:kinsoku/>
        <w:wordWrap/>
        <w:overflowPunct/>
        <w:topLinePunct w:val="0"/>
        <w:autoSpaceDE/>
        <w:autoSpaceDN/>
        <w:bidi w:val="0"/>
        <w:adjustRightInd/>
        <w:snapToGrid/>
        <w:spacing w:before="165" w:beforeLines="50" w:after="50" w:line="560" w:lineRule="exact"/>
        <w:ind w:right="0" w:firstLine="0" w:firstLineChars="0"/>
        <w:jc w:val="both"/>
        <w:textAlignment w:val="auto"/>
        <w:rPr>
          <w:rFonts w:asciiTheme="minorEastAsia" w:hAnsiTheme="minorEastAsia" w:eastAsiaTheme="minorEastAsia"/>
          <w:b/>
          <w:color w:val="000000" w:themeColor="text1"/>
          <w:sz w:val="28"/>
          <w:szCs w:val="28"/>
          <w:highlight w:val="none"/>
          <w14:textFill>
            <w14:solidFill>
              <w14:schemeClr w14:val="tx1"/>
            </w14:solidFill>
          </w14:textFill>
        </w:rPr>
      </w:pPr>
    </w:p>
    <w:p w14:paraId="46E9D8F2">
      <w:pPr>
        <w:keepNext w:val="0"/>
        <w:keepLines w:val="0"/>
        <w:pageBreakBefore w:val="0"/>
        <w:kinsoku/>
        <w:wordWrap/>
        <w:overflowPunct/>
        <w:topLinePunct w:val="0"/>
        <w:autoSpaceDE/>
        <w:autoSpaceDN/>
        <w:bidi w:val="0"/>
        <w:adjustRightInd/>
        <w:snapToGrid/>
        <w:spacing w:before="165" w:beforeLines="50" w:after="50" w:line="560" w:lineRule="exact"/>
        <w:ind w:right="0" w:firstLine="0" w:firstLineChars="0"/>
        <w:jc w:val="both"/>
        <w:textAlignment w:val="auto"/>
        <w:rPr>
          <w:rFonts w:asciiTheme="minorEastAsia" w:hAnsiTheme="minorEastAsia" w:eastAsiaTheme="minorEastAsia"/>
          <w:b/>
          <w:color w:val="000000" w:themeColor="text1"/>
          <w:sz w:val="28"/>
          <w:szCs w:val="28"/>
          <w:highlight w:val="none"/>
          <w14:textFill>
            <w14:solidFill>
              <w14:schemeClr w14:val="tx1"/>
            </w14:solidFill>
          </w14:textFill>
        </w:rPr>
      </w:pPr>
    </w:p>
    <w:p w14:paraId="18762BFC">
      <w:pPr>
        <w:keepNext w:val="0"/>
        <w:keepLines w:val="0"/>
        <w:pageBreakBefore w:val="0"/>
        <w:kinsoku/>
        <w:wordWrap/>
        <w:overflowPunct/>
        <w:topLinePunct w:val="0"/>
        <w:autoSpaceDE/>
        <w:autoSpaceDN/>
        <w:bidi w:val="0"/>
        <w:adjustRightInd/>
        <w:snapToGrid/>
        <w:spacing w:line="560" w:lineRule="exact"/>
        <w:ind w:right="0" w:firstLine="0" w:firstLineChars="0"/>
        <w:jc w:val="both"/>
        <w:textAlignment w:val="auto"/>
        <w:rPr>
          <w:rFonts w:hint="eastAsia" w:cs="仿宋_GB2312" w:asciiTheme="minorEastAsia" w:hAnsiTheme="minorEastAsia" w:eastAsiaTheme="minorEastAsia"/>
          <w:b/>
          <w:color w:val="000000" w:themeColor="text1"/>
          <w:kern w:val="0"/>
          <w:sz w:val="28"/>
          <w:szCs w:val="28"/>
          <w:highlight w:val="none"/>
          <w14:textFill>
            <w14:solidFill>
              <w14:schemeClr w14:val="tx1"/>
            </w14:solidFill>
          </w14:textFill>
        </w:rPr>
      </w:pPr>
    </w:p>
    <w:p w14:paraId="4A5A2AB6">
      <w:pPr>
        <w:keepNext w:val="0"/>
        <w:keepLines w:val="0"/>
        <w:pageBreakBefore w:val="0"/>
        <w:kinsoku/>
        <w:wordWrap/>
        <w:overflowPunct/>
        <w:topLinePunct w:val="0"/>
        <w:autoSpaceDE/>
        <w:autoSpaceDN/>
        <w:bidi w:val="0"/>
        <w:adjustRightInd/>
        <w:snapToGrid/>
        <w:spacing w:line="560" w:lineRule="exact"/>
        <w:ind w:right="0" w:firstLine="0" w:firstLineChars="0"/>
        <w:jc w:val="both"/>
        <w:textAlignment w:val="auto"/>
        <w:rPr>
          <w:rFonts w:hint="eastAsia" w:cs="仿宋_GB2312" w:asciiTheme="minorEastAsia" w:hAnsiTheme="minorEastAsia" w:eastAsiaTheme="minorEastAsia"/>
          <w:b/>
          <w:color w:val="000000" w:themeColor="text1"/>
          <w:kern w:val="0"/>
          <w:sz w:val="28"/>
          <w:szCs w:val="28"/>
          <w:highlight w:val="none"/>
          <w14:textFill>
            <w14:solidFill>
              <w14:schemeClr w14:val="tx1"/>
            </w14:solidFill>
          </w14:textFill>
        </w:rPr>
      </w:pPr>
    </w:p>
    <w:p w14:paraId="76AEFAE4">
      <w:pPr>
        <w:keepNext w:val="0"/>
        <w:keepLines w:val="0"/>
        <w:pageBreakBefore w:val="0"/>
        <w:kinsoku/>
        <w:wordWrap/>
        <w:overflowPunct/>
        <w:topLinePunct w:val="0"/>
        <w:autoSpaceDE/>
        <w:autoSpaceDN/>
        <w:bidi w:val="0"/>
        <w:adjustRightInd/>
        <w:snapToGrid/>
        <w:spacing w:line="560" w:lineRule="exact"/>
        <w:ind w:right="0" w:firstLine="0" w:firstLineChars="0"/>
        <w:jc w:val="both"/>
        <w:textAlignment w:val="auto"/>
        <w:rPr>
          <w:rFonts w:hint="eastAsia" w:cs="仿宋_GB2312" w:asciiTheme="minorEastAsia" w:hAnsiTheme="minorEastAsia" w:eastAsiaTheme="minorEastAsia"/>
          <w:b/>
          <w:color w:val="000000" w:themeColor="text1"/>
          <w:kern w:val="0"/>
          <w:sz w:val="28"/>
          <w:szCs w:val="28"/>
          <w:highlight w:val="none"/>
          <w14:textFill>
            <w14:solidFill>
              <w14:schemeClr w14:val="tx1"/>
            </w14:solidFill>
          </w14:textFill>
        </w:rPr>
      </w:pPr>
    </w:p>
    <w:p w14:paraId="6CA97522">
      <w:pPr>
        <w:keepNext w:val="0"/>
        <w:keepLines w:val="0"/>
        <w:pageBreakBefore w:val="0"/>
        <w:kinsoku/>
        <w:wordWrap/>
        <w:overflowPunct/>
        <w:topLinePunct w:val="0"/>
        <w:autoSpaceDE/>
        <w:autoSpaceDN/>
        <w:bidi w:val="0"/>
        <w:adjustRightInd/>
        <w:snapToGrid/>
        <w:spacing w:line="560" w:lineRule="exact"/>
        <w:ind w:right="0" w:firstLine="0" w:firstLineChars="0"/>
        <w:jc w:val="both"/>
        <w:textAlignment w:val="auto"/>
        <w:rPr>
          <w:rFonts w:asciiTheme="minorEastAsia" w:hAnsiTheme="minorEastAsia" w:eastAsiaTheme="minorEastAsia"/>
          <w:b/>
          <w:color w:val="000000" w:themeColor="text1"/>
          <w:sz w:val="28"/>
          <w:szCs w:val="28"/>
          <w:highlight w:val="none"/>
          <w14:textFill>
            <w14:solidFill>
              <w14:schemeClr w14:val="tx1"/>
            </w14:solidFill>
          </w14:textFill>
        </w:rPr>
      </w:pPr>
      <w:r>
        <w:rPr>
          <w:rFonts w:hint="eastAsia" w:cs="仿宋_GB2312" w:asciiTheme="minorEastAsia" w:hAnsiTheme="minorEastAsia" w:eastAsiaTheme="minorEastAsia"/>
          <w:b/>
          <w:color w:val="000000" w:themeColor="text1"/>
          <w:kern w:val="0"/>
          <w:sz w:val="28"/>
          <w:szCs w:val="28"/>
          <w:highlight w:val="none"/>
          <w14:textFill>
            <w14:solidFill>
              <w14:schemeClr w14:val="tx1"/>
            </w14:solidFill>
          </w14:textFill>
        </w:rPr>
        <w:t>四、提供参加本次政府采购活动前近半年任意一个月的依法缴纳税收和社会保障资金的相关材料</w:t>
      </w:r>
    </w:p>
    <w:p w14:paraId="0B1214DA">
      <w:pPr>
        <w:keepNext w:val="0"/>
        <w:keepLines w:val="0"/>
        <w:pageBreakBefore w:val="0"/>
        <w:kinsoku/>
        <w:wordWrap/>
        <w:overflowPunct/>
        <w:topLinePunct w:val="0"/>
        <w:bidi w:val="0"/>
        <w:adjustRightInd/>
        <w:snapToGrid/>
        <w:spacing w:line="560" w:lineRule="exact"/>
        <w:ind w:left="0" w:leftChars="0" w:firstLine="0" w:firstLineChars="0"/>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附：企业近半年任意一个月</w:t>
      </w:r>
      <w:r>
        <w:rPr>
          <w:rFonts w:hint="eastAsia" w:ascii="宋体" w:hAnsi="宋体" w:cs="宋体"/>
          <w:color w:val="000000" w:themeColor="text1"/>
          <w:sz w:val="28"/>
          <w:szCs w:val="28"/>
          <w:highlight w:val="none"/>
          <w:lang w:val="en-US" w:eastAsia="zh-CN"/>
          <w14:textFill>
            <w14:solidFill>
              <w14:schemeClr w14:val="tx1"/>
            </w14:solidFill>
          </w14:textFill>
        </w:rPr>
        <w:t>的</w:t>
      </w:r>
      <w:r>
        <w:rPr>
          <w:rFonts w:hint="eastAsia" w:ascii="宋体" w:hAnsi="宋体" w:eastAsia="宋体" w:cs="宋体"/>
          <w:color w:val="000000" w:themeColor="text1"/>
          <w:sz w:val="28"/>
          <w:szCs w:val="28"/>
          <w:highlight w:val="none"/>
          <w14:textFill>
            <w14:solidFill>
              <w14:schemeClr w14:val="tx1"/>
            </w14:solidFill>
          </w14:textFill>
        </w:rPr>
        <w:t>依法缴纳税收证明和社会保障资金缴纳凭证</w:t>
      </w:r>
    </w:p>
    <w:p w14:paraId="03805EFF">
      <w:pPr>
        <w:keepNext w:val="0"/>
        <w:keepLines w:val="0"/>
        <w:pageBreakBefore w:val="0"/>
        <w:kinsoku/>
        <w:wordWrap/>
        <w:overflowPunct/>
        <w:topLinePunct w:val="0"/>
        <w:autoSpaceDE/>
        <w:autoSpaceDN/>
        <w:bidi w:val="0"/>
        <w:adjustRightInd/>
        <w:snapToGrid/>
        <w:spacing w:line="560" w:lineRule="exact"/>
        <w:ind w:right="0" w:firstLine="0" w:firstLineChars="0"/>
        <w:jc w:val="both"/>
        <w:textAlignment w:val="auto"/>
        <w:rPr>
          <w:rFonts w:cs="仿宋_GB2312" w:asciiTheme="minorEastAsia" w:hAnsiTheme="minorEastAsia" w:eastAsiaTheme="minorEastAsia"/>
          <w:b/>
          <w:color w:val="000000" w:themeColor="text1"/>
          <w:kern w:val="0"/>
          <w:sz w:val="28"/>
          <w:szCs w:val="28"/>
          <w:highlight w:val="none"/>
          <w14:textFill>
            <w14:solidFill>
              <w14:schemeClr w14:val="tx1"/>
            </w14:solidFill>
          </w14:textFill>
        </w:rPr>
      </w:pPr>
    </w:p>
    <w:p w14:paraId="349C3662">
      <w:pPr>
        <w:keepNext w:val="0"/>
        <w:keepLines w:val="0"/>
        <w:pageBreakBefore w:val="0"/>
        <w:kinsoku/>
        <w:wordWrap/>
        <w:overflowPunct/>
        <w:topLinePunct w:val="0"/>
        <w:autoSpaceDE/>
        <w:autoSpaceDN/>
        <w:bidi w:val="0"/>
        <w:adjustRightInd/>
        <w:snapToGrid/>
        <w:spacing w:line="560" w:lineRule="exact"/>
        <w:ind w:right="0" w:firstLine="0" w:firstLineChars="0"/>
        <w:jc w:val="both"/>
        <w:textAlignment w:val="auto"/>
        <w:rPr>
          <w:rFonts w:cs="仿宋_GB2312" w:asciiTheme="minorEastAsia" w:hAnsiTheme="minorEastAsia" w:eastAsiaTheme="minorEastAsia"/>
          <w:b/>
          <w:color w:val="000000" w:themeColor="text1"/>
          <w:kern w:val="0"/>
          <w:sz w:val="28"/>
          <w:szCs w:val="28"/>
          <w:highlight w:val="none"/>
          <w14:textFill>
            <w14:solidFill>
              <w14:schemeClr w14:val="tx1"/>
            </w14:solidFill>
          </w14:textFill>
        </w:rPr>
      </w:pPr>
    </w:p>
    <w:p w14:paraId="15B17C76">
      <w:pPr>
        <w:keepNext w:val="0"/>
        <w:keepLines w:val="0"/>
        <w:pageBreakBefore w:val="0"/>
        <w:kinsoku/>
        <w:wordWrap/>
        <w:overflowPunct/>
        <w:topLinePunct w:val="0"/>
        <w:autoSpaceDE/>
        <w:autoSpaceDN/>
        <w:bidi w:val="0"/>
        <w:adjustRightInd/>
        <w:snapToGrid/>
        <w:spacing w:line="560" w:lineRule="exact"/>
        <w:ind w:right="0" w:firstLine="0" w:firstLineChars="0"/>
        <w:jc w:val="both"/>
        <w:textAlignment w:val="auto"/>
        <w:rPr>
          <w:rFonts w:cs="仿宋_GB2312" w:asciiTheme="minorEastAsia" w:hAnsiTheme="minorEastAsia" w:eastAsiaTheme="minorEastAsia"/>
          <w:b/>
          <w:color w:val="000000" w:themeColor="text1"/>
          <w:kern w:val="0"/>
          <w:sz w:val="28"/>
          <w:szCs w:val="28"/>
          <w:highlight w:val="none"/>
          <w14:textFill>
            <w14:solidFill>
              <w14:schemeClr w14:val="tx1"/>
            </w14:solidFill>
          </w14:textFill>
        </w:rPr>
      </w:pPr>
    </w:p>
    <w:p w14:paraId="4288B097">
      <w:pPr>
        <w:keepNext w:val="0"/>
        <w:keepLines w:val="0"/>
        <w:pageBreakBefore w:val="0"/>
        <w:kinsoku/>
        <w:wordWrap/>
        <w:overflowPunct/>
        <w:topLinePunct w:val="0"/>
        <w:autoSpaceDE/>
        <w:autoSpaceDN/>
        <w:bidi w:val="0"/>
        <w:adjustRightInd/>
        <w:snapToGrid/>
        <w:spacing w:line="560" w:lineRule="exact"/>
        <w:ind w:right="0" w:firstLine="0" w:firstLineChars="0"/>
        <w:jc w:val="both"/>
        <w:textAlignment w:val="auto"/>
        <w:rPr>
          <w:rFonts w:cs="仿宋_GB2312" w:asciiTheme="minorEastAsia" w:hAnsiTheme="minorEastAsia" w:eastAsiaTheme="minorEastAsia"/>
          <w:b/>
          <w:color w:val="000000" w:themeColor="text1"/>
          <w:kern w:val="0"/>
          <w:sz w:val="28"/>
          <w:szCs w:val="28"/>
          <w:highlight w:val="none"/>
          <w14:textFill>
            <w14:solidFill>
              <w14:schemeClr w14:val="tx1"/>
            </w14:solidFill>
          </w14:textFill>
        </w:rPr>
      </w:pPr>
    </w:p>
    <w:p w14:paraId="2614FDAA">
      <w:pPr>
        <w:keepNext w:val="0"/>
        <w:keepLines w:val="0"/>
        <w:pageBreakBefore w:val="0"/>
        <w:kinsoku/>
        <w:wordWrap/>
        <w:overflowPunct/>
        <w:topLinePunct w:val="0"/>
        <w:autoSpaceDE/>
        <w:autoSpaceDN/>
        <w:bidi w:val="0"/>
        <w:adjustRightInd/>
        <w:snapToGrid/>
        <w:spacing w:line="560" w:lineRule="exact"/>
        <w:ind w:right="0" w:firstLine="0" w:firstLineChars="0"/>
        <w:jc w:val="both"/>
        <w:textAlignment w:val="auto"/>
        <w:rPr>
          <w:rFonts w:cs="仿宋_GB2312" w:asciiTheme="minorEastAsia" w:hAnsiTheme="minorEastAsia" w:eastAsiaTheme="minorEastAsia"/>
          <w:b/>
          <w:color w:val="000000" w:themeColor="text1"/>
          <w:kern w:val="0"/>
          <w:sz w:val="28"/>
          <w:szCs w:val="28"/>
          <w:highlight w:val="none"/>
          <w14:textFill>
            <w14:solidFill>
              <w14:schemeClr w14:val="tx1"/>
            </w14:solidFill>
          </w14:textFill>
        </w:rPr>
      </w:pPr>
    </w:p>
    <w:p w14:paraId="37798335">
      <w:pPr>
        <w:keepNext w:val="0"/>
        <w:keepLines w:val="0"/>
        <w:pageBreakBefore w:val="0"/>
        <w:kinsoku/>
        <w:wordWrap/>
        <w:overflowPunct/>
        <w:topLinePunct w:val="0"/>
        <w:autoSpaceDE/>
        <w:autoSpaceDN/>
        <w:bidi w:val="0"/>
        <w:adjustRightInd/>
        <w:snapToGrid/>
        <w:spacing w:line="560" w:lineRule="exact"/>
        <w:ind w:right="0" w:firstLine="0" w:firstLineChars="0"/>
        <w:jc w:val="both"/>
        <w:textAlignment w:val="auto"/>
        <w:rPr>
          <w:rFonts w:cs="仿宋_GB2312" w:asciiTheme="minorEastAsia" w:hAnsiTheme="minorEastAsia" w:eastAsiaTheme="minorEastAsia"/>
          <w:b/>
          <w:color w:val="000000" w:themeColor="text1"/>
          <w:kern w:val="0"/>
          <w:sz w:val="28"/>
          <w:szCs w:val="28"/>
          <w:highlight w:val="none"/>
          <w14:textFill>
            <w14:solidFill>
              <w14:schemeClr w14:val="tx1"/>
            </w14:solidFill>
          </w14:textFill>
        </w:rPr>
      </w:pPr>
    </w:p>
    <w:p w14:paraId="54DFBAF8">
      <w:pPr>
        <w:keepNext w:val="0"/>
        <w:keepLines w:val="0"/>
        <w:pageBreakBefore w:val="0"/>
        <w:kinsoku/>
        <w:wordWrap/>
        <w:overflowPunct/>
        <w:topLinePunct w:val="0"/>
        <w:autoSpaceDE/>
        <w:autoSpaceDN/>
        <w:bidi w:val="0"/>
        <w:adjustRightInd/>
        <w:snapToGrid/>
        <w:spacing w:line="560" w:lineRule="exact"/>
        <w:ind w:right="0" w:firstLine="0" w:firstLineChars="0"/>
        <w:jc w:val="both"/>
        <w:textAlignment w:val="auto"/>
        <w:rPr>
          <w:rFonts w:cs="仿宋_GB2312" w:asciiTheme="minorEastAsia" w:hAnsiTheme="minorEastAsia" w:eastAsiaTheme="minorEastAsia"/>
          <w:b/>
          <w:color w:val="000000" w:themeColor="text1"/>
          <w:kern w:val="0"/>
          <w:sz w:val="28"/>
          <w:szCs w:val="28"/>
          <w:highlight w:val="none"/>
          <w14:textFill>
            <w14:solidFill>
              <w14:schemeClr w14:val="tx1"/>
            </w14:solidFill>
          </w14:textFill>
        </w:rPr>
      </w:pPr>
    </w:p>
    <w:p w14:paraId="5DD6CC22">
      <w:pPr>
        <w:keepNext w:val="0"/>
        <w:keepLines w:val="0"/>
        <w:pageBreakBefore w:val="0"/>
        <w:kinsoku/>
        <w:wordWrap/>
        <w:overflowPunct/>
        <w:topLinePunct w:val="0"/>
        <w:autoSpaceDE/>
        <w:autoSpaceDN/>
        <w:bidi w:val="0"/>
        <w:adjustRightInd/>
        <w:snapToGrid/>
        <w:spacing w:line="560" w:lineRule="exact"/>
        <w:ind w:right="0" w:firstLine="0" w:firstLineChars="0"/>
        <w:jc w:val="both"/>
        <w:textAlignment w:val="auto"/>
        <w:rPr>
          <w:rFonts w:cs="仿宋_GB2312" w:asciiTheme="minorEastAsia" w:hAnsiTheme="minorEastAsia" w:eastAsiaTheme="minorEastAsia"/>
          <w:b/>
          <w:color w:val="000000" w:themeColor="text1"/>
          <w:kern w:val="0"/>
          <w:sz w:val="28"/>
          <w:szCs w:val="28"/>
          <w:highlight w:val="none"/>
          <w14:textFill>
            <w14:solidFill>
              <w14:schemeClr w14:val="tx1"/>
            </w14:solidFill>
          </w14:textFill>
        </w:rPr>
      </w:pPr>
    </w:p>
    <w:p w14:paraId="7BFAE35B">
      <w:pPr>
        <w:keepNext w:val="0"/>
        <w:keepLines w:val="0"/>
        <w:pageBreakBefore w:val="0"/>
        <w:kinsoku/>
        <w:wordWrap/>
        <w:overflowPunct/>
        <w:topLinePunct w:val="0"/>
        <w:autoSpaceDE/>
        <w:autoSpaceDN/>
        <w:bidi w:val="0"/>
        <w:adjustRightInd/>
        <w:snapToGrid/>
        <w:spacing w:line="560" w:lineRule="exact"/>
        <w:ind w:right="0" w:firstLine="0" w:firstLineChars="0"/>
        <w:jc w:val="both"/>
        <w:textAlignment w:val="auto"/>
        <w:rPr>
          <w:rFonts w:cs="仿宋_GB2312" w:asciiTheme="minorEastAsia" w:hAnsiTheme="minorEastAsia" w:eastAsiaTheme="minorEastAsia"/>
          <w:b/>
          <w:color w:val="000000" w:themeColor="text1"/>
          <w:kern w:val="0"/>
          <w:sz w:val="28"/>
          <w:szCs w:val="28"/>
          <w:highlight w:val="none"/>
          <w14:textFill>
            <w14:solidFill>
              <w14:schemeClr w14:val="tx1"/>
            </w14:solidFill>
          </w14:textFill>
        </w:rPr>
      </w:pPr>
    </w:p>
    <w:p w14:paraId="0F5D2B8D">
      <w:pPr>
        <w:keepNext w:val="0"/>
        <w:keepLines w:val="0"/>
        <w:pageBreakBefore w:val="0"/>
        <w:kinsoku/>
        <w:wordWrap/>
        <w:overflowPunct/>
        <w:topLinePunct w:val="0"/>
        <w:autoSpaceDE/>
        <w:autoSpaceDN/>
        <w:bidi w:val="0"/>
        <w:adjustRightInd/>
        <w:snapToGrid/>
        <w:spacing w:line="560" w:lineRule="exact"/>
        <w:ind w:right="0" w:firstLine="0" w:firstLineChars="0"/>
        <w:jc w:val="both"/>
        <w:textAlignment w:val="auto"/>
        <w:rPr>
          <w:rFonts w:cs="仿宋_GB2312" w:asciiTheme="minorEastAsia" w:hAnsiTheme="minorEastAsia" w:eastAsiaTheme="minorEastAsia"/>
          <w:b/>
          <w:color w:val="000000" w:themeColor="text1"/>
          <w:kern w:val="0"/>
          <w:sz w:val="28"/>
          <w:szCs w:val="28"/>
          <w:highlight w:val="none"/>
          <w14:textFill>
            <w14:solidFill>
              <w14:schemeClr w14:val="tx1"/>
            </w14:solidFill>
          </w14:textFill>
        </w:rPr>
      </w:pPr>
    </w:p>
    <w:p w14:paraId="4E4F952B">
      <w:pPr>
        <w:keepNext w:val="0"/>
        <w:keepLines w:val="0"/>
        <w:pageBreakBefore w:val="0"/>
        <w:kinsoku/>
        <w:wordWrap/>
        <w:overflowPunct/>
        <w:topLinePunct w:val="0"/>
        <w:autoSpaceDE/>
        <w:autoSpaceDN/>
        <w:bidi w:val="0"/>
        <w:adjustRightInd/>
        <w:snapToGrid/>
        <w:spacing w:line="560" w:lineRule="exact"/>
        <w:ind w:right="0" w:firstLine="0" w:firstLineChars="0"/>
        <w:jc w:val="both"/>
        <w:textAlignment w:val="auto"/>
        <w:rPr>
          <w:rFonts w:cs="仿宋_GB2312" w:asciiTheme="minorEastAsia" w:hAnsiTheme="minorEastAsia" w:eastAsiaTheme="minorEastAsia"/>
          <w:b/>
          <w:color w:val="000000" w:themeColor="text1"/>
          <w:kern w:val="0"/>
          <w:sz w:val="28"/>
          <w:szCs w:val="28"/>
          <w:highlight w:val="none"/>
          <w14:textFill>
            <w14:solidFill>
              <w14:schemeClr w14:val="tx1"/>
            </w14:solidFill>
          </w14:textFill>
        </w:rPr>
      </w:pPr>
    </w:p>
    <w:p w14:paraId="653C18AD">
      <w:pPr>
        <w:keepNext w:val="0"/>
        <w:keepLines w:val="0"/>
        <w:pageBreakBefore w:val="0"/>
        <w:kinsoku/>
        <w:wordWrap/>
        <w:overflowPunct/>
        <w:topLinePunct w:val="0"/>
        <w:autoSpaceDE/>
        <w:autoSpaceDN/>
        <w:bidi w:val="0"/>
        <w:adjustRightInd/>
        <w:snapToGrid/>
        <w:spacing w:line="560" w:lineRule="exact"/>
        <w:ind w:right="0" w:firstLine="0" w:firstLineChars="0"/>
        <w:jc w:val="both"/>
        <w:textAlignment w:val="auto"/>
        <w:rPr>
          <w:rFonts w:cs="仿宋_GB2312" w:asciiTheme="minorEastAsia" w:hAnsiTheme="minorEastAsia" w:eastAsiaTheme="minorEastAsia"/>
          <w:b/>
          <w:color w:val="000000" w:themeColor="text1"/>
          <w:kern w:val="0"/>
          <w:sz w:val="28"/>
          <w:szCs w:val="28"/>
          <w:highlight w:val="none"/>
          <w14:textFill>
            <w14:solidFill>
              <w14:schemeClr w14:val="tx1"/>
            </w14:solidFill>
          </w14:textFill>
        </w:rPr>
      </w:pPr>
    </w:p>
    <w:p w14:paraId="7E559304">
      <w:pPr>
        <w:keepNext w:val="0"/>
        <w:keepLines w:val="0"/>
        <w:pageBreakBefore w:val="0"/>
        <w:kinsoku/>
        <w:wordWrap/>
        <w:overflowPunct/>
        <w:topLinePunct w:val="0"/>
        <w:autoSpaceDE/>
        <w:autoSpaceDN/>
        <w:bidi w:val="0"/>
        <w:adjustRightInd/>
        <w:snapToGrid/>
        <w:spacing w:line="560" w:lineRule="exact"/>
        <w:ind w:right="0" w:firstLine="0" w:firstLineChars="0"/>
        <w:jc w:val="both"/>
        <w:textAlignment w:val="auto"/>
        <w:rPr>
          <w:rFonts w:cs="仿宋_GB2312" w:asciiTheme="minorEastAsia" w:hAnsiTheme="minorEastAsia" w:eastAsiaTheme="minorEastAsia"/>
          <w:b/>
          <w:color w:val="000000" w:themeColor="text1"/>
          <w:kern w:val="0"/>
          <w:sz w:val="28"/>
          <w:szCs w:val="28"/>
          <w:highlight w:val="none"/>
          <w14:textFill>
            <w14:solidFill>
              <w14:schemeClr w14:val="tx1"/>
            </w14:solidFill>
          </w14:textFill>
        </w:rPr>
      </w:pPr>
    </w:p>
    <w:p w14:paraId="29BB75C8">
      <w:pPr>
        <w:keepNext w:val="0"/>
        <w:keepLines w:val="0"/>
        <w:pageBreakBefore w:val="0"/>
        <w:kinsoku/>
        <w:wordWrap/>
        <w:overflowPunct/>
        <w:topLinePunct w:val="0"/>
        <w:autoSpaceDE/>
        <w:autoSpaceDN/>
        <w:bidi w:val="0"/>
        <w:adjustRightInd/>
        <w:snapToGrid/>
        <w:spacing w:line="560" w:lineRule="exact"/>
        <w:ind w:right="0" w:firstLine="0" w:firstLineChars="0"/>
        <w:jc w:val="both"/>
        <w:textAlignment w:val="auto"/>
        <w:rPr>
          <w:rFonts w:cs="仿宋_GB2312" w:asciiTheme="minorEastAsia" w:hAnsiTheme="minorEastAsia" w:eastAsiaTheme="minorEastAsia"/>
          <w:b/>
          <w:color w:val="000000" w:themeColor="text1"/>
          <w:kern w:val="0"/>
          <w:sz w:val="28"/>
          <w:szCs w:val="28"/>
          <w:highlight w:val="none"/>
          <w14:textFill>
            <w14:solidFill>
              <w14:schemeClr w14:val="tx1"/>
            </w14:solidFill>
          </w14:textFill>
        </w:rPr>
      </w:pPr>
    </w:p>
    <w:p w14:paraId="4F899D82">
      <w:pPr>
        <w:keepNext w:val="0"/>
        <w:keepLines w:val="0"/>
        <w:pageBreakBefore w:val="0"/>
        <w:kinsoku/>
        <w:wordWrap/>
        <w:overflowPunct/>
        <w:topLinePunct w:val="0"/>
        <w:autoSpaceDE/>
        <w:autoSpaceDN/>
        <w:bidi w:val="0"/>
        <w:adjustRightInd/>
        <w:snapToGrid/>
        <w:spacing w:line="560" w:lineRule="exact"/>
        <w:ind w:right="0" w:firstLine="0" w:firstLineChars="0"/>
        <w:jc w:val="both"/>
        <w:textAlignment w:val="auto"/>
        <w:rPr>
          <w:rFonts w:cs="仿宋_GB2312" w:asciiTheme="minorEastAsia" w:hAnsiTheme="minorEastAsia" w:eastAsiaTheme="minorEastAsia"/>
          <w:b/>
          <w:color w:val="000000" w:themeColor="text1"/>
          <w:kern w:val="0"/>
          <w:sz w:val="28"/>
          <w:szCs w:val="28"/>
          <w:highlight w:val="none"/>
          <w14:textFill>
            <w14:solidFill>
              <w14:schemeClr w14:val="tx1"/>
            </w14:solidFill>
          </w14:textFill>
        </w:rPr>
      </w:pPr>
    </w:p>
    <w:p w14:paraId="67E4EFFE">
      <w:pPr>
        <w:keepNext w:val="0"/>
        <w:keepLines w:val="0"/>
        <w:pageBreakBefore w:val="0"/>
        <w:kinsoku/>
        <w:wordWrap/>
        <w:overflowPunct/>
        <w:topLinePunct w:val="0"/>
        <w:autoSpaceDE/>
        <w:autoSpaceDN/>
        <w:bidi w:val="0"/>
        <w:adjustRightInd/>
        <w:snapToGrid/>
        <w:spacing w:line="560" w:lineRule="exact"/>
        <w:ind w:right="0" w:firstLine="0" w:firstLineChars="0"/>
        <w:jc w:val="both"/>
        <w:textAlignment w:val="auto"/>
        <w:rPr>
          <w:rFonts w:cs="仿宋_GB2312" w:asciiTheme="minorEastAsia" w:hAnsiTheme="minorEastAsia" w:eastAsiaTheme="minorEastAsia"/>
          <w:b/>
          <w:color w:val="000000" w:themeColor="text1"/>
          <w:kern w:val="0"/>
          <w:sz w:val="28"/>
          <w:szCs w:val="28"/>
          <w:highlight w:val="none"/>
          <w14:textFill>
            <w14:solidFill>
              <w14:schemeClr w14:val="tx1"/>
            </w14:solidFill>
          </w14:textFill>
        </w:rPr>
      </w:pPr>
    </w:p>
    <w:p w14:paraId="59946503">
      <w:pPr>
        <w:keepNext w:val="0"/>
        <w:keepLines w:val="0"/>
        <w:pageBreakBefore w:val="0"/>
        <w:kinsoku/>
        <w:wordWrap/>
        <w:overflowPunct/>
        <w:topLinePunct w:val="0"/>
        <w:autoSpaceDE/>
        <w:autoSpaceDN/>
        <w:bidi w:val="0"/>
        <w:adjustRightInd/>
        <w:snapToGrid/>
        <w:spacing w:line="560" w:lineRule="exact"/>
        <w:ind w:right="0" w:firstLine="0" w:firstLineChars="0"/>
        <w:jc w:val="both"/>
        <w:textAlignment w:val="auto"/>
        <w:rPr>
          <w:rFonts w:cs="仿宋_GB2312" w:asciiTheme="minorEastAsia" w:hAnsiTheme="minorEastAsia" w:eastAsiaTheme="minorEastAsia"/>
          <w:b/>
          <w:color w:val="000000" w:themeColor="text1"/>
          <w:kern w:val="0"/>
          <w:sz w:val="28"/>
          <w:szCs w:val="28"/>
          <w:highlight w:val="none"/>
          <w14:textFill>
            <w14:solidFill>
              <w14:schemeClr w14:val="tx1"/>
            </w14:solidFill>
          </w14:textFill>
        </w:rPr>
      </w:pPr>
    </w:p>
    <w:p w14:paraId="3F985D87">
      <w:pPr>
        <w:keepNext w:val="0"/>
        <w:keepLines w:val="0"/>
        <w:pageBreakBefore w:val="0"/>
        <w:kinsoku/>
        <w:wordWrap/>
        <w:overflowPunct/>
        <w:topLinePunct w:val="0"/>
        <w:autoSpaceDE/>
        <w:autoSpaceDN/>
        <w:bidi w:val="0"/>
        <w:adjustRightInd/>
        <w:snapToGrid/>
        <w:spacing w:line="560" w:lineRule="exact"/>
        <w:ind w:right="0" w:firstLine="0" w:firstLineChars="0"/>
        <w:jc w:val="both"/>
        <w:textAlignment w:val="auto"/>
        <w:rPr>
          <w:rFonts w:cs="仿宋_GB2312" w:asciiTheme="minorEastAsia" w:hAnsiTheme="minorEastAsia" w:eastAsiaTheme="minorEastAsia"/>
          <w:b/>
          <w:color w:val="000000" w:themeColor="text1"/>
          <w:kern w:val="0"/>
          <w:sz w:val="28"/>
          <w:szCs w:val="28"/>
          <w:highlight w:val="none"/>
          <w14:textFill>
            <w14:solidFill>
              <w14:schemeClr w14:val="tx1"/>
            </w14:solidFill>
          </w14:textFill>
        </w:rPr>
      </w:pPr>
    </w:p>
    <w:p w14:paraId="384FAC53">
      <w:pPr>
        <w:keepNext w:val="0"/>
        <w:keepLines w:val="0"/>
        <w:pageBreakBefore w:val="0"/>
        <w:kinsoku/>
        <w:wordWrap/>
        <w:overflowPunct/>
        <w:topLinePunct w:val="0"/>
        <w:autoSpaceDE/>
        <w:autoSpaceDN/>
        <w:bidi w:val="0"/>
        <w:adjustRightInd/>
        <w:snapToGrid/>
        <w:spacing w:line="560" w:lineRule="exact"/>
        <w:ind w:right="0" w:firstLine="0" w:firstLineChars="0"/>
        <w:jc w:val="both"/>
        <w:textAlignment w:val="auto"/>
        <w:rPr>
          <w:rFonts w:cs="仿宋_GB2312" w:asciiTheme="minorEastAsia" w:hAnsiTheme="minorEastAsia" w:eastAsiaTheme="minorEastAsia"/>
          <w:b/>
          <w:color w:val="000000" w:themeColor="text1"/>
          <w:kern w:val="0"/>
          <w:sz w:val="28"/>
          <w:szCs w:val="28"/>
          <w:highlight w:val="none"/>
          <w14:textFill>
            <w14:solidFill>
              <w14:schemeClr w14:val="tx1"/>
            </w14:solidFill>
          </w14:textFill>
        </w:rPr>
      </w:pPr>
    </w:p>
    <w:p w14:paraId="58DB5791">
      <w:pPr>
        <w:keepNext w:val="0"/>
        <w:keepLines w:val="0"/>
        <w:pageBreakBefore w:val="0"/>
        <w:kinsoku/>
        <w:wordWrap/>
        <w:overflowPunct/>
        <w:topLinePunct w:val="0"/>
        <w:autoSpaceDE/>
        <w:autoSpaceDN/>
        <w:bidi w:val="0"/>
        <w:adjustRightInd/>
        <w:snapToGrid/>
        <w:spacing w:line="560" w:lineRule="exact"/>
        <w:ind w:right="0" w:firstLine="0" w:firstLineChars="0"/>
        <w:jc w:val="both"/>
        <w:textAlignment w:val="auto"/>
        <w:rPr>
          <w:rFonts w:hint="eastAsia" w:cs="仿宋_GB2312" w:asciiTheme="minorEastAsia" w:hAnsiTheme="minorEastAsia" w:eastAsiaTheme="minorEastAsia"/>
          <w:b/>
          <w:color w:val="000000" w:themeColor="text1"/>
          <w:kern w:val="0"/>
          <w:sz w:val="28"/>
          <w:szCs w:val="28"/>
          <w:highlight w:val="none"/>
          <w14:textFill>
            <w14:solidFill>
              <w14:schemeClr w14:val="tx1"/>
            </w14:solidFill>
          </w14:textFill>
        </w:rPr>
      </w:pPr>
    </w:p>
    <w:p w14:paraId="635D0683">
      <w:pPr>
        <w:keepNext w:val="0"/>
        <w:keepLines w:val="0"/>
        <w:pageBreakBefore w:val="0"/>
        <w:kinsoku/>
        <w:wordWrap/>
        <w:overflowPunct/>
        <w:topLinePunct w:val="0"/>
        <w:autoSpaceDE/>
        <w:autoSpaceDN/>
        <w:bidi w:val="0"/>
        <w:adjustRightInd/>
        <w:snapToGrid/>
        <w:spacing w:line="560" w:lineRule="exact"/>
        <w:ind w:right="0" w:firstLine="0" w:firstLineChars="0"/>
        <w:jc w:val="both"/>
        <w:textAlignment w:val="auto"/>
        <w:rPr>
          <w:rFonts w:hint="eastAsia" w:cs="仿宋_GB2312" w:asciiTheme="minorEastAsia" w:hAnsiTheme="minorEastAsia" w:eastAsiaTheme="minorEastAsia"/>
          <w:b/>
          <w:color w:val="000000" w:themeColor="text1"/>
          <w:kern w:val="0"/>
          <w:sz w:val="28"/>
          <w:szCs w:val="28"/>
          <w:highlight w:val="none"/>
          <w14:textFill>
            <w14:solidFill>
              <w14:schemeClr w14:val="tx1"/>
            </w14:solidFill>
          </w14:textFill>
        </w:rPr>
      </w:pPr>
    </w:p>
    <w:p w14:paraId="54AAEB17">
      <w:pPr>
        <w:keepNext w:val="0"/>
        <w:keepLines w:val="0"/>
        <w:pageBreakBefore w:val="0"/>
        <w:kinsoku/>
        <w:wordWrap/>
        <w:overflowPunct/>
        <w:topLinePunct w:val="0"/>
        <w:autoSpaceDE/>
        <w:autoSpaceDN/>
        <w:bidi w:val="0"/>
        <w:adjustRightInd/>
        <w:snapToGrid/>
        <w:spacing w:line="560" w:lineRule="exact"/>
        <w:ind w:right="0" w:firstLine="0" w:firstLineChars="0"/>
        <w:jc w:val="both"/>
        <w:textAlignment w:val="auto"/>
        <w:rPr>
          <w:rFonts w:hint="eastAsia" w:cs="仿宋_GB2312" w:asciiTheme="minorEastAsia" w:hAnsiTheme="minorEastAsia" w:eastAsiaTheme="minorEastAsia"/>
          <w:b/>
          <w:color w:val="000000" w:themeColor="text1"/>
          <w:kern w:val="0"/>
          <w:sz w:val="28"/>
          <w:szCs w:val="28"/>
          <w:highlight w:val="none"/>
          <w14:textFill>
            <w14:solidFill>
              <w14:schemeClr w14:val="tx1"/>
            </w14:solidFill>
          </w14:textFill>
        </w:rPr>
      </w:pPr>
    </w:p>
    <w:p w14:paraId="1B5D0382">
      <w:pPr>
        <w:keepNext w:val="0"/>
        <w:keepLines w:val="0"/>
        <w:pageBreakBefore w:val="0"/>
        <w:kinsoku/>
        <w:wordWrap/>
        <w:overflowPunct/>
        <w:topLinePunct w:val="0"/>
        <w:autoSpaceDE/>
        <w:autoSpaceDN/>
        <w:bidi w:val="0"/>
        <w:adjustRightInd/>
        <w:snapToGrid/>
        <w:spacing w:line="560" w:lineRule="exact"/>
        <w:ind w:right="0" w:firstLine="0" w:firstLineChars="0"/>
        <w:jc w:val="both"/>
        <w:textAlignment w:val="auto"/>
        <w:rPr>
          <w:rFonts w:hint="eastAsia" w:cs="仿宋_GB2312" w:asciiTheme="minorEastAsia" w:hAnsiTheme="minorEastAsia" w:eastAsiaTheme="minorEastAsia"/>
          <w:b/>
          <w:color w:val="000000" w:themeColor="text1"/>
          <w:kern w:val="0"/>
          <w:sz w:val="28"/>
          <w:szCs w:val="28"/>
          <w:highlight w:val="none"/>
          <w14:textFill>
            <w14:solidFill>
              <w14:schemeClr w14:val="tx1"/>
            </w14:solidFill>
          </w14:textFill>
        </w:rPr>
      </w:pPr>
    </w:p>
    <w:p w14:paraId="3FFB3F78">
      <w:pPr>
        <w:keepNext w:val="0"/>
        <w:keepLines w:val="0"/>
        <w:pageBreakBefore w:val="0"/>
        <w:kinsoku/>
        <w:wordWrap/>
        <w:overflowPunct/>
        <w:topLinePunct w:val="0"/>
        <w:autoSpaceDE/>
        <w:autoSpaceDN/>
        <w:bidi w:val="0"/>
        <w:adjustRightInd/>
        <w:snapToGrid/>
        <w:spacing w:line="560" w:lineRule="exact"/>
        <w:ind w:right="0" w:firstLine="0" w:firstLineChars="0"/>
        <w:jc w:val="both"/>
        <w:textAlignment w:val="auto"/>
        <w:rPr>
          <w:rFonts w:asciiTheme="minorEastAsia" w:hAnsiTheme="minorEastAsia" w:eastAsiaTheme="minorEastAsia"/>
          <w:b/>
          <w:color w:val="000000" w:themeColor="text1"/>
          <w:sz w:val="28"/>
          <w:szCs w:val="28"/>
          <w:highlight w:val="none"/>
          <w14:textFill>
            <w14:solidFill>
              <w14:schemeClr w14:val="tx1"/>
            </w14:solidFill>
          </w14:textFill>
        </w:rPr>
      </w:pPr>
      <w:r>
        <w:rPr>
          <w:rFonts w:hint="eastAsia" w:cs="仿宋_GB2312" w:asciiTheme="minorEastAsia" w:hAnsiTheme="minorEastAsia" w:eastAsiaTheme="minorEastAsia"/>
          <w:b/>
          <w:color w:val="000000" w:themeColor="text1"/>
          <w:kern w:val="0"/>
          <w:sz w:val="28"/>
          <w:szCs w:val="28"/>
          <w:highlight w:val="none"/>
          <w14:textFill>
            <w14:solidFill>
              <w14:schemeClr w14:val="tx1"/>
            </w14:solidFill>
          </w14:textFill>
        </w:rPr>
        <w:t>五、提供参加本次政府采购活动前3年内在经营活动中没有重大违法记录的书面承诺函并加盖单位公章</w:t>
      </w:r>
    </w:p>
    <w:p w14:paraId="65547554">
      <w:pPr>
        <w:pStyle w:val="163"/>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无重大违法记录声明书</w:t>
      </w:r>
    </w:p>
    <w:p w14:paraId="5B2CEAB0">
      <w:pPr>
        <w:pStyle w:val="13"/>
        <w:keepNext w:val="0"/>
        <w:keepLines w:val="0"/>
        <w:pageBreakBefore w:val="0"/>
        <w:widowControl w:val="0"/>
        <w:kinsoku/>
        <w:wordWrap/>
        <w:overflowPunct/>
        <w:topLinePunct w:val="0"/>
        <w:bidi w:val="0"/>
        <w:adjustRightInd/>
        <w:snapToGrid/>
        <w:spacing w:after="0" w:line="560" w:lineRule="exact"/>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致：</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sz w:val="28"/>
          <w:szCs w:val="28"/>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8"/>
          <w:szCs w:val="28"/>
          <w:highlight w:val="none"/>
          <w:u w:val="single"/>
          <w14:textFill>
            <w14:solidFill>
              <w14:schemeClr w14:val="tx1"/>
            </w14:solidFill>
          </w14:textFill>
        </w:rPr>
        <w:t xml:space="preserve">（采购人名称） </w:t>
      </w:r>
      <w:r>
        <w:rPr>
          <w:rFonts w:hint="eastAsia" w:ascii="宋体" w:hAnsi="宋体" w:eastAsia="宋体" w:cs="宋体"/>
          <w:color w:val="000000" w:themeColor="text1"/>
          <w:sz w:val="28"/>
          <w:szCs w:val="28"/>
          <w:highlight w:val="none"/>
          <w14:textFill>
            <w14:solidFill>
              <w14:schemeClr w14:val="tx1"/>
            </w14:solidFill>
          </w14:textFill>
        </w:rPr>
        <w:t>：</w:t>
      </w:r>
    </w:p>
    <w:p w14:paraId="17C2ACD9">
      <w:pPr>
        <w:pStyle w:val="163"/>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我公司参与</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项目名称、</w:t>
      </w:r>
      <w:r>
        <w:rPr>
          <w:rFonts w:hint="eastAsia" w:ascii="宋体" w:hAnsi="宋体" w:cs="宋体"/>
          <w:color w:val="000000" w:themeColor="text1"/>
          <w:sz w:val="28"/>
          <w:szCs w:val="28"/>
          <w:highlight w:val="none"/>
          <w:lang w:eastAsia="zh-CN"/>
          <w14:textFill>
            <w14:solidFill>
              <w14:schemeClr w14:val="tx1"/>
            </w14:solidFill>
          </w14:textFill>
        </w:rPr>
        <w:t>项目</w:t>
      </w:r>
      <w:r>
        <w:rPr>
          <w:rFonts w:hint="eastAsia" w:ascii="宋体" w:hAnsi="宋体" w:eastAsia="宋体" w:cs="宋体"/>
          <w:color w:val="000000" w:themeColor="text1"/>
          <w:sz w:val="28"/>
          <w:szCs w:val="28"/>
          <w:highlight w:val="none"/>
          <w14:textFill>
            <w14:solidFill>
              <w14:schemeClr w14:val="tx1"/>
            </w14:solidFill>
          </w14:textFill>
        </w:rPr>
        <w:t>编号</w:t>
      </w:r>
      <w:r>
        <w:rPr>
          <w:rFonts w:hint="eastAsia" w:ascii="宋体" w:hAnsi="宋体" w:cs="宋体"/>
          <w:color w:val="000000" w:themeColor="text1"/>
          <w:sz w:val="28"/>
          <w:szCs w:val="28"/>
          <w:highlight w:val="none"/>
          <w:lang w:eastAsia="zh-CN"/>
          <w14:textFill>
            <w14:solidFill>
              <w14:schemeClr w14:val="tx1"/>
            </w14:solidFill>
          </w14:textFill>
        </w:rPr>
        <w:t>、标项名称</w:t>
      </w:r>
      <w:r>
        <w:rPr>
          <w:rFonts w:hint="eastAsia" w:ascii="宋体" w:hAnsi="宋体" w:eastAsia="宋体" w:cs="宋体"/>
          <w:color w:val="000000" w:themeColor="text1"/>
          <w:sz w:val="28"/>
          <w:szCs w:val="28"/>
          <w:highlight w:val="none"/>
          <w14:textFill>
            <w14:solidFill>
              <w14:schemeClr w14:val="tx1"/>
            </w14:solidFill>
          </w14:textFill>
        </w:rPr>
        <w:t>）投标，本公司郑重声明，我方参加本项目政府采购活动前三年内无重大违法记录，符合《政府采购法》规定的</w:t>
      </w:r>
      <w:r>
        <w:rPr>
          <w:rFonts w:hint="eastAsia" w:ascii="宋体" w:hAnsi="宋体" w:cs="宋体"/>
          <w:color w:val="000000" w:themeColor="text1"/>
          <w:sz w:val="28"/>
          <w:szCs w:val="28"/>
          <w:highlight w:val="none"/>
          <w:lang w:eastAsia="zh-CN"/>
          <w14:textFill>
            <w14:solidFill>
              <w14:schemeClr w14:val="tx1"/>
            </w14:solidFill>
          </w14:textFill>
        </w:rPr>
        <w:t>供应商</w:t>
      </w:r>
      <w:r>
        <w:rPr>
          <w:rFonts w:hint="eastAsia" w:ascii="宋体" w:hAnsi="宋体" w:eastAsia="宋体" w:cs="宋体"/>
          <w:color w:val="000000" w:themeColor="text1"/>
          <w:sz w:val="28"/>
          <w:szCs w:val="28"/>
          <w:highlight w:val="none"/>
          <w14:textFill>
            <w14:solidFill>
              <w14:schemeClr w14:val="tx1"/>
            </w14:solidFill>
          </w14:textFill>
        </w:rPr>
        <w:t>条件。若贵方在本项目采购过程中发现我方政府采购活动前三年内有重大违法记录，我公司将无条件退出本项目的投标，并承担因此引起的一切后果。我方对此声明负全部法律责任。</w:t>
      </w:r>
    </w:p>
    <w:p w14:paraId="050E70B2">
      <w:pPr>
        <w:pStyle w:val="163"/>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特此声明。  </w:t>
      </w:r>
    </w:p>
    <w:p w14:paraId="29414097">
      <w:pPr>
        <w:pStyle w:val="163"/>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color w:val="000000" w:themeColor="text1"/>
          <w:sz w:val="28"/>
          <w:szCs w:val="28"/>
          <w:highlight w:val="none"/>
          <w14:textFill>
            <w14:solidFill>
              <w14:schemeClr w14:val="tx1"/>
            </w14:solidFill>
          </w14:textFill>
        </w:rPr>
      </w:pPr>
    </w:p>
    <w:p w14:paraId="2DDD8BB3">
      <w:pPr>
        <w:pStyle w:val="163"/>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color w:val="000000" w:themeColor="text1"/>
          <w:sz w:val="28"/>
          <w:szCs w:val="28"/>
          <w:highlight w:val="none"/>
          <w14:textFill>
            <w14:solidFill>
              <w14:schemeClr w14:val="tx1"/>
            </w14:solidFill>
          </w14:textFill>
        </w:rPr>
      </w:pPr>
    </w:p>
    <w:p w14:paraId="02EB6812">
      <w:pPr>
        <w:pStyle w:val="163"/>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color w:val="000000" w:themeColor="text1"/>
          <w:sz w:val="28"/>
          <w:szCs w:val="28"/>
          <w:highlight w:val="none"/>
          <w14:textFill>
            <w14:solidFill>
              <w14:schemeClr w14:val="tx1"/>
            </w14:solidFill>
          </w14:textFill>
        </w:rPr>
      </w:pPr>
    </w:p>
    <w:p w14:paraId="2A0DE725">
      <w:pPr>
        <w:pStyle w:val="163"/>
        <w:keepNext w:val="0"/>
        <w:keepLines w:val="0"/>
        <w:pageBreakBefore w:val="0"/>
        <w:widowControl w:val="0"/>
        <w:kinsoku/>
        <w:wordWrap/>
        <w:overflowPunct/>
        <w:topLinePunct w:val="0"/>
        <w:autoSpaceDE/>
        <w:autoSpaceDN/>
        <w:bidi w:val="0"/>
        <w:adjustRightInd/>
        <w:snapToGrid/>
        <w:spacing w:line="560" w:lineRule="exact"/>
        <w:ind w:firstLine="2800" w:firstLineChars="1000"/>
        <w:jc w:val="both"/>
        <w:textAlignment w:val="auto"/>
        <w:rPr>
          <w:rFonts w:hint="default"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4"/>
          <w:highlight w:val="none"/>
          <w14:textFill>
            <w14:solidFill>
              <w14:schemeClr w14:val="tx1"/>
            </w14:solidFill>
          </w14:textFill>
        </w:rPr>
        <w:t>供应商名称</w:t>
      </w:r>
      <w:r>
        <w:rPr>
          <w:rFonts w:hint="eastAsia" w:ascii="宋体" w:hAnsi="宋体" w:eastAsia="宋体" w:cs="宋体"/>
          <w:color w:val="000000" w:themeColor="text1"/>
          <w:sz w:val="28"/>
          <w:szCs w:val="28"/>
          <w:highlight w:val="none"/>
          <w14:textFill>
            <w14:solidFill>
              <w14:schemeClr w14:val="tx1"/>
            </w14:solidFill>
          </w14:textFill>
        </w:rPr>
        <w:t>（电子公章）：</w:t>
      </w:r>
      <w:r>
        <w:rPr>
          <w:rFonts w:hint="eastAsia" w:ascii="宋体" w:hAnsi="宋体" w:cs="宋体"/>
          <w:color w:val="000000" w:themeColor="text1"/>
          <w:sz w:val="28"/>
          <w:szCs w:val="28"/>
          <w:highlight w:val="none"/>
          <w:u w:val="single"/>
          <w:lang w:val="en-US" w:eastAsia="zh-CN"/>
          <w14:textFill>
            <w14:solidFill>
              <w14:schemeClr w14:val="tx1"/>
            </w14:solidFill>
          </w14:textFill>
        </w:rPr>
        <w:t xml:space="preserve">             </w:t>
      </w:r>
      <w:r>
        <w:rPr>
          <w:rFonts w:hint="eastAsia" w:ascii="宋体" w:hAnsi="宋体" w:cs="宋体"/>
          <w:color w:val="000000" w:themeColor="text1"/>
          <w:sz w:val="28"/>
          <w:szCs w:val="28"/>
          <w:highlight w:val="none"/>
          <w:lang w:val="en-US" w:eastAsia="zh-CN"/>
          <w14:textFill>
            <w14:solidFill>
              <w14:schemeClr w14:val="tx1"/>
            </w14:solidFill>
          </w14:textFill>
        </w:rPr>
        <w:t xml:space="preserve">  </w:t>
      </w:r>
    </w:p>
    <w:p w14:paraId="0C19F74D">
      <w:pPr>
        <w:pStyle w:val="163"/>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法定代表人或其委托代理人（签字或盖章）：</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p>
    <w:p w14:paraId="480A8709">
      <w:pPr>
        <w:pStyle w:val="163"/>
        <w:keepNext w:val="0"/>
        <w:keepLines w:val="0"/>
        <w:pageBreakBefore w:val="0"/>
        <w:widowControl w:val="0"/>
        <w:kinsoku/>
        <w:wordWrap/>
        <w:overflowPunct/>
        <w:topLinePunct w:val="0"/>
        <w:autoSpaceDE/>
        <w:autoSpaceDN/>
        <w:bidi w:val="0"/>
        <w:adjustRightInd/>
        <w:snapToGrid/>
        <w:spacing w:line="560" w:lineRule="exact"/>
        <w:ind w:firstLine="2800" w:firstLineChars="1000"/>
        <w:jc w:val="both"/>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日期：</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年</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月</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日</w:t>
      </w:r>
    </w:p>
    <w:p w14:paraId="2C293069">
      <w:pPr>
        <w:keepNext w:val="0"/>
        <w:keepLines w:val="0"/>
        <w:pageBreakBefore w:val="0"/>
        <w:kinsoku/>
        <w:wordWrap/>
        <w:overflowPunct/>
        <w:topLinePunct w:val="0"/>
        <w:autoSpaceDE/>
        <w:autoSpaceDN/>
        <w:bidi w:val="0"/>
        <w:adjustRightInd/>
        <w:snapToGrid/>
        <w:spacing w:line="560" w:lineRule="exact"/>
        <w:ind w:right="0" w:firstLine="0" w:firstLineChars="0"/>
        <w:contextualSpacing/>
        <w:jc w:val="both"/>
        <w:textAlignment w:val="auto"/>
        <w:rPr>
          <w:rFonts w:asciiTheme="minorEastAsia" w:hAnsiTheme="minorEastAsia" w:eastAsiaTheme="minorEastAsia"/>
          <w:color w:val="000000" w:themeColor="text1"/>
          <w:sz w:val="28"/>
          <w:szCs w:val="28"/>
          <w:highlight w:val="none"/>
          <w14:textFill>
            <w14:solidFill>
              <w14:schemeClr w14:val="tx1"/>
            </w14:solidFill>
          </w14:textFill>
        </w:rPr>
      </w:pPr>
    </w:p>
    <w:p w14:paraId="1ABF3F11">
      <w:pPr>
        <w:keepNext w:val="0"/>
        <w:keepLines w:val="0"/>
        <w:pageBreakBefore w:val="0"/>
        <w:kinsoku/>
        <w:wordWrap/>
        <w:overflowPunct/>
        <w:topLinePunct w:val="0"/>
        <w:autoSpaceDE/>
        <w:autoSpaceDN/>
        <w:bidi w:val="0"/>
        <w:adjustRightInd/>
        <w:snapToGrid/>
        <w:spacing w:line="560" w:lineRule="exact"/>
        <w:ind w:right="0" w:firstLine="0" w:firstLineChars="0"/>
        <w:contextualSpacing/>
        <w:jc w:val="both"/>
        <w:textAlignment w:val="auto"/>
        <w:rPr>
          <w:rFonts w:asciiTheme="minorEastAsia" w:hAnsiTheme="minorEastAsia" w:eastAsiaTheme="minorEastAsia"/>
          <w:color w:val="000000" w:themeColor="text1"/>
          <w:sz w:val="28"/>
          <w:szCs w:val="28"/>
          <w:highlight w:val="none"/>
          <w14:textFill>
            <w14:solidFill>
              <w14:schemeClr w14:val="tx1"/>
            </w14:solidFill>
          </w14:textFill>
        </w:rPr>
      </w:pPr>
    </w:p>
    <w:p w14:paraId="37D7B61D">
      <w:pPr>
        <w:keepNext w:val="0"/>
        <w:keepLines w:val="0"/>
        <w:pageBreakBefore w:val="0"/>
        <w:kinsoku/>
        <w:wordWrap/>
        <w:overflowPunct/>
        <w:topLinePunct w:val="0"/>
        <w:autoSpaceDE/>
        <w:autoSpaceDN/>
        <w:bidi w:val="0"/>
        <w:adjustRightInd/>
        <w:snapToGrid/>
        <w:spacing w:line="560" w:lineRule="exact"/>
        <w:ind w:right="0" w:firstLine="0" w:firstLineChars="0"/>
        <w:contextualSpacing/>
        <w:jc w:val="both"/>
        <w:textAlignment w:val="auto"/>
        <w:rPr>
          <w:rFonts w:asciiTheme="minorEastAsia" w:hAnsiTheme="minorEastAsia" w:eastAsiaTheme="minorEastAsia"/>
          <w:color w:val="000000" w:themeColor="text1"/>
          <w:sz w:val="28"/>
          <w:szCs w:val="28"/>
          <w:highlight w:val="none"/>
          <w14:textFill>
            <w14:solidFill>
              <w14:schemeClr w14:val="tx1"/>
            </w14:solidFill>
          </w14:textFill>
        </w:rPr>
      </w:pPr>
    </w:p>
    <w:p w14:paraId="476C8307">
      <w:pPr>
        <w:keepNext w:val="0"/>
        <w:keepLines w:val="0"/>
        <w:pageBreakBefore w:val="0"/>
        <w:kinsoku/>
        <w:wordWrap/>
        <w:overflowPunct/>
        <w:topLinePunct w:val="0"/>
        <w:autoSpaceDE/>
        <w:autoSpaceDN/>
        <w:bidi w:val="0"/>
        <w:adjustRightInd/>
        <w:snapToGrid/>
        <w:spacing w:line="560" w:lineRule="exact"/>
        <w:ind w:right="0" w:firstLine="0" w:firstLineChars="0"/>
        <w:contextualSpacing/>
        <w:jc w:val="both"/>
        <w:textAlignment w:val="auto"/>
        <w:rPr>
          <w:rFonts w:asciiTheme="minorEastAsia" w:hAnsiTheme="minorEastAsia" w:eastAsiaTheme="minorEastAsia"/>
          <w:color w:val="000000" w:themeColor="text1"/>
          <w:sz w:val="28"/>
          <w:szCs w:val="28"/>
          <w:highlight w:val="none"/>
          <w14:textFill>
            <w14:solidFill>
              <w14:schemeClr w14:val="tx1"/>
            </w14:solidFill>
          </w14:textFill>
        </w:rPr>
      </w:pPr>
    </w:p>
    <w:p w14:paraId="3C3CE594">
      <w:pPr>
        <w:keepNext w:val="0"/>
        <w:keepLines w:val="0"/>
        <w:pageBreakBefore w:val="0"/>
        <w:kinsoku/>
        <w:wordWrap/>
        <w:overflowPunct/>
        <w:topLinePunct w:val="0"/>
        <w:autoSpaceDE/>
        <w:autoSpaceDN/>
        <w:bidi w:val="0"/>
        <w:adjustRightInd/>
        <w:snapToGrid/>
        <w:spacing w:line="560" w:lineRule="exact"/>
        <w:ind w:right="0" w:firstLine="0" w:firstLineChars="0"/>
        <w:contextualSpacing/>
        <w:jc w:val="both"/>
        <w:textAlignment w:val="auto"/>
        <w:rPr>
          <w:rFonts w:asciiTheme="minorEastAsia" w:hAnsiTheme="minorEastAsia" w:eastAsiaTheme="minorEastAsia"/>
          <w:color w:val="000000" w:themeColor="text1"/>
          <w:sz w:val="28"/>
          <w:szCs w:val="28"/>
          <w:highlight w:val="none"/>
          <w14:textFill>
            <w14:solidFill>
              <w14:schemeClr w14:val="tx1"/>
            </w14:solidFill>
          </w14:textFill>
        </w:rPr>
      </w:pPr>
    </w:p>
    <w:p w14:paraId="75878244">
      <w:pPr>
        <w:keepNext w:val="0"/>
        <w:keepLines w:val="0"/>
        <w:pageBreakBefore w:val="0"/>
        <w:kinsoku/>
        <w:wordWrap/>
        <w:overflowPunct/>
        <w:topLinePunct w:val="0"/>
        <w:autoSpaceDE/>
        <w:autoSpaceDN/>
        <w:bidi w:val="0"/>
        <w:adjustRightInd/>
        <w:snapToGrid/>
        <w:spacing w:line="560" w:lineRule="exact"/>
        <w:ind w:right="0" w:firstLine="0" w:firstLineChars="0"/>
        <w:contextualSpacing/>
        <w:jc w:val="both"/>
        <w:textAlignment w:val="auto"/>
        <w:rPr>
          <w:rFonts w:asciiTheme="minorEastAsia" w:hAnsiTheme="minorEastAsia" w:eastAsiaTheme="minorEastAsia"/>
          <w:color w:val="000000" w:themeColor="text1"/>
          <w:sz w:val="28"/>
          <w:szCs w:val="28"/>
          <w:highlight w:val="none"/>
          <w14:textFill>
            <w14:solidFill>
              <w14:schemeClr w14:val="tx1"/>
            </w14:solidFill>
          </w14:textFill>
        </w:rPr>
      </w:pPr>
    </w:p>
    <w:p w14:paraId="658E262E">
      <w:pPr>
        <w:keepNext w:val="0"/>
        <w:keepLines w:val="0"/>
        <w:pageBreakBefore w:val="0"/>
        <w:kinsoku/>
        <w:wordWrap/>
        <w:overflowPunct/>
        <w:topLinePunct w:val="0"/>
        <w:autoSpaceDE/>
        <w:autoSpaceDN/>
        <w:bidi w:val="0"/>
        <w:adjustRightInd/>
        <w:snapToGrid/>
        <w:spacing w:line="560" w:lineRule="exact"/>
        <w:ind w:right="0" w:firstLine="0" w:firstLineChars="0"/>
        <w:jc w:val="both"/>
        <w:textAlignment w:val="auto"/>
        <w:rPr>
          <w:rFonts w:hint="eastAsia" w:cs="仿宋_GB2312" w:asciiTheme="minorEastAsia" w:hAnsiTheme="minorEastAsia" w:eastAsiaTheme="minorEastAsia"/>
          <w:b/>
          <w:color w:val="000000" w:themeColor="text1"/>
          <w:kern w:val="0"/>
          <w:sz w:val="28"/>
          <w:szCs w:val="28"/>
          <w:highlight w:val="none"/>
          <w14:textFill>
            <w14:solidFill>
              <w14:schemeClr w14:val="tx1"/>
            </w14:solidFill>
          </w14:textFill>
        </w:rPr>
      </w:pPr>
    </w:p>
    <w:p w14:paraId="5B84F8B8">
      <w:pPr>
        <w:keepNext w:val="0"/>
        <w:keepLines w:val="0"/>
        <w:pageBreakBefore w:val="0"/>
        <w:kinsoku/>
        <w:wordWrap/>
        <w:overflowPunct/>
        <w:topLinePunct w:val="0"/>
        <w:autoSpaceDE/>
        <w:autoSpaceDN/>
        <w:bidi w:val="0"/>
        <w:adjustRightInd/>
        <w:snapToGrid/>
        <w:spacing w:line="560" w:lineRule="exact"/>
        <w:ind w:right="0" w:firstLine="0" w:firstLineChars="0"/>
        <w:jc w:val="both"/>
        <w:textAlignment w:val="auto"/>
        <w:rPr>
          <w:rFonts w:hint="eastAsia" w:cs="仿宋_GB2312" w:asciiTheme="minorEastAsia" w:hAnsiTheme="minorEastAsia" w:eastAsiaTheme="minorEastAsia"/>
          <w:b/>
          <w:color w:val="000000" w:themeColor="text1"/>
          <w:kern w:val="0"/>
          <w:sz w:val="28"/>
          <w:szCs w:val="28"/>
          <w:highlight w:val="none"/>
          <w14:textFill>
            <w14:solidFill>
              <w14:schemeClr w14:val="tx1"/>
            </w14:solidFill>
          </w14:textFill>
        </w:rPr>
      </w:pPr>
    </w:p>
    <w:p w14:paraId="3C75A4B1">
      <w:pPr>
        <w:keepNext w:val="0"/>
        <w:keepLines w:val="0"/>
        <w:pageBreakBefore w:val="0"/>
        <w:kinsoku/>
        <w:wordWrap/>
        <w:overflowPunct/>
        <w:topLinePunct w:val="0"/>
        <w:autoSpaceDE/>
        <w:autoSpaceDN/>
        <w:bidi w:val="0"/>
        <w:adjustRightInd/>
        <w:snapToGrid/>
        <w:spacing w:line="560" w:lineRule="exact"/>
        <w:ind w:right="0" w:firstLine="0" w:firstLineChars="0"/>
        <w:jc w:val="both"/>
        <w:textAlignment w:val="auto"/>
        <w:rPr>
          <w:rFonts w:hint="eastAsia" w:cs="仿宋_GB2312" w:asciiTheme="minorEastAsia" w:hAnsiTheme="minorEastAsia" w:eastAsiaTheme="minorEastAsia"/>
          <w:b/>
          <w:color w:val="000000" w:themeColor="text1"/>
          <w:kern w:val="0"/>
          <w:sz w:val="28"/>
          <w:szCs w:val="28"/>
          <w:highlight w:val="none"/>
          <w14:textFill>
            <w14:solidFill>
              <w14:schemeClr w14:val="tx1"/>
            </w14:solidFill>
          </w14:textFill>
        </w:rPr>
      </w:pPr>
    </w:p>
    <w:p w14:paraId="34CE52B6">
      <w:pPr>
        <w:keepNext w:val="0"/>
        <w:keepLines w:val="0"/>
        <w:pageBreakBefore w:val="0"/>
        <w:kinsoku/>
        <w:wordWrap/>
        <w:overflowPunct/>
        <w:topLinePunct w:val="0"/>
        <w:autoSpaceDE/>
        <w:autoSpaceDN/>
        <w:bidi w:val="0"/>
        <w:adjustRightInd/>
        <w:snapToGrid/>
        <w:spacing w:line="560" w:lineRule="exact"/>
        <w:ind w:right="0" w:firstLine="0" w:firstLineChars="0"/>
        <w:jc w:val="both"/>
        <w:textAlignment w:val="auto"/>
        <w:rPr>
          <w:rFonts w:hint="eastAsia" w:cs="仿宋_GB2312" w:asciiTheme="minorEastAsia" w:hAnsiTheme="minorEastAsia" w:eastAsiaTheme="minorEastAsia"/>
          <w:b/>
          <w:color w:val="000000" w:themeColor="text1"/>
          <w:kern w:val="0"/>
          <w:sz w:val="28"/>
          <w:szCs w:val="28"/>
          <w:highlight w:val="none"/>
          <w14:textFill>
            <w14:solidFill>
              <w14:schemeClr w14:val="tx1"/>
            </w14:solidFill>
          </w14:textFill>
        </w:rPr>
      </w:pPr>
    </w:p>
    <w:p w14:paraId="3C6157B2">
      <w:pPr>
        <w:keepNext w:val="0"/>
        <w:keepLines w:val="0"/>
        <w:pageBreakBefore w:val="0"/>
        <w:kinsoku/>
        <w:wordWrap/>
        <w:overflowPunct/>
        <w:topLinePunct w:val="0"/>
        <w:autoSpaceDE/>
        <w:autoSpaceDN/>
        <w:bidi w:val="0"/>
        <w:adjustRightInd/>
        <w:snapToGrid/>
        <w:spacing w:line="560" w:lineRule="exact"/>
        <w:ind w:right="0" w:firstLine="0" w:firstLineChars="0"/>
        <w:jc w:val="both"/>
        <w:textAlignment w:val="auto"/>
        <w:rPr>
          <w:rFonts w:cs="仿宋_GB2312" w:asciiTheme="minorEastAsia" w:hAnsiTheme="minorEastAsia" w:eastAsiaTheme="minorEastAsia"/>
          <w:b/>
          <w:color w:val="000000" w:themeColor="text1"/>
          <w:kern w:val="0"/>
          <w:sz w:val="28"/>
          <w:szCs w:val="28"/>
          <w:highlight w:val="none"/>
          <w14:textFill>
            <w14:solidFill>
              <w14:schemeClr w14:val="tx1"/>
            </w14:solidFill>
          </w14:textFill>
        </w:rPr>
      </w:pPr>
      <w:r>
        <w:rPr>
          <w:rFonts w:hint="eastAsia" w:cs="仿宋_GB2312" w:asciiTheme="minorEastAsia" w:hAnsiTheme="minorEastAsia" w:eastAsiaTheme="minorEastAsia"/>
          <w:b/>
          <w:color w:val="000000" w:themeColor="text1"/>
          <w:kern w:val="0"/>
          <w:sz w:val="28"/>
          <w:szCs w:val="28"/>
          <w:highlight w:val="none"/>
          <w14:textFill>
            <w14:solidFill>
              <w14:schemeClr w14:val="tx1"/>
            </w14:solidFill>
          </w14:textFill>
        </w:rPr>
        <w:t>六、</w:t>
      </w:r>
      <w:r>
        <w:rPr>
          <w:rFonts w:hint="eastAsia" w:ascii="宋体" w:hAnsi="宋体" w:eastAsia="宋体" w:cs="宋体"/>
          <w:b/>
          <w:bCs/>
          <w:i w:val="0"/>
          <w:caps w:val="0"/>
          <w:color w:val="000000" w:themeColor="text1"/>
          <w:spacing w:val="0"/>
          <w:kern w:val="2"/>
          <w:sz w:val="28"/>
          <w:szCs w:val="28"/>
          <w:highlight w:val="none"/>
          <w:lang w:val="en-US" w:eastAsia="zh-CN" w:bidi="ar-SA"/>
          <w14:textFill>
            <w14:solidFill>
              <w14:schemeClr w14:val="tx1"/>
            </w14:solidFill>
          </w14:textFill>
        </w:rPr>
        <w:t>法律、行政法规规定的其他条件。</w:t>
      </w:r>
    </w:p>
    <w:p w14:paraId="323E48E2">
      <w:pPr>
        <w:pStyle w:val="13"/>
        <w:keepNext w:val="0"/>
        <w:keepLines w:val="0"/>
        <w:pageBreakBefore w:val="0"/>
        <w:widowControl w:val="0"/>
        <w:kinsoku/>
        <w:wordWrap/>
        <w:overflowPunct/>
        <w:topLinePunct w:val="0"/>
        <w:bidi w:val="0"/>
        <w:adjustRightInd/>
        <w:snapToGrid/>
        <w:spacing w:after="0" w:line="560" w:lineRule="exact"/>
        <w:jc w:val="center"/>
        <w:textAlignment w:val="auto"/>
        <w:rPr>
          <w:rFonts w:hint="eastAsia" w:ascii="宋体" w:hAnsi="宋体" w:eastAsia="宋体" w:cs="宋体"/>
          <w:color w:val="000000" w:themeColor="text1"/>
          <w:sz w:val="28"/>
          <w:szCs w:val="28"/>
          <w:highlight w:val="none"/>
          <w:lang w:eastAsia="zh-CN"/>
          <w14:textFill>
            <w14:solidFill>
              <w14:schemeClr w14:val="tx1"/>
            </w14:solidFill>
          </w14:textFill>
        </w:rPr>
      </w:pPr>
    </w:p>
    <w:p w14:paraId="6023B300">
      <w:pPr>
        <w:pStyle w:val="13"/>
        <w:keepNext w:val="0"/>
        <w:keepLines w:val="0"/>
        <w:pageBreakBefore w:val="0"/>
        <w:widowControl w:val="0"/>
        <w:kinsoku/>
        <w:wordWrap/>
        <w:overflowPunct/>
        <w:topLinePunct w:val="0"/>
        <w:bidi w:val="0"/>
        <w:adjustRightInd/>
        <w:snapToGrid/>
        <w:spacing w:after="0" w:line="560" w:lineRule="exact"/>
        <w:jc w:val="center"/>
        <w:textAlignment w:val="auto"/>
        <w:rPr>
          <w:rFonts w:hint="eastAsia" w:ascii="宋体" w:hAnsi="宋体" w:eastAsia="宋体" w:cs="宋体"/>
          <w:color w:val="000000" w:themeColor="text1"/>
          <w:sz w:val="28"/>
          <w:szCs w:val="28"/>
          <w:highlight w:val="none"/>
          <w:lang w:eastAsia="zh-CN"/>
          <w14:textFill>
            <w14:solidFill>
              <w14:schemeClr w14:val="tx1"/>
            </w14:solidFill>
          </w14:textFill>
        </w:rPr>
      </w:pPr>
      <w:r>
        <w:rPr>
          <w:rFonts w:hint="eastAsia" w:ascii="宋体" w:hAnsi="宋体" w:eastAsia="宋体" w:cs="宋体"/>
          <w:color w:val="000000" w:themeColor="text1"/>
          <w:sz w:val="28"/>
          <w:szCs w:val="28"/>
          <w:highlight w:val="none"/>
          <w:lang w:eastAsia="zh-CN"/>
          <w14:textFill>
            <w14:solidFill>
              <w14:schemeClr w14:val="tx1"/>
            </w14:solidFill>
          </w14:textFill>
        </w:rPr>
        <w:t>信用信誉承诺函</w:t>
      </w:r>
    </w:p>
    <w:p w14:paraId="47FBF9A1">
      <w:pPr>
        <w:pStyle w:val="13"/>
        <w:keepNext w:val="0"/>
        <w:keepLines w:val="0"/>
        <w:pageBreakBefore w:val="0"/>
        <w:widowControl w:val="0"/>
        <w:kinsoku/>
        <w:wordWrap/>
        <w:overflowPunct/>
        <w:topLinePunct w:val="0"/>
        <w:bidi w:val="0"/>
        <w:adjustRightInd/>
        <w:snapToGrid/>
        <w:spacing w:after="0" w:line="560" w:lineRule="exact"/>
        <w:textAlignment w:val="auto"/>
        <w:rPr>
          <w:rFonts w:hint="eastAsia" w:ascii="宋体" w:hAnsi="宋体" w:eastAsia="宋体" w:cs="宋体"/>
          <w:color w:val="000000" w:themeColor="text1"/>
          <w:kern w:val="0"/>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致：</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sz w:val="28"/>
          <w:szCs w:val="28"/>
          <w:highlight w:val="none"/>
          <w:u w:val="single"/>
          <w:lang w:val="en-US" w:eastAsia="zh-CN"/>
          <w14:textFill>
            <w14:solidFill>
              <w14:schemeClr w14:val="tx1"/>
            </w14:solidFill>
          </w14:textFill>
        </w:rPr>
        <w:t xml:space="preserve">    </w:t>
      </w:r>
      <w:r>
        <w:rPr>
          <w:rFonts w:hint="eastAsia" w:ascii="宋体" w:hAnsi="宋体" w:cs="宋体"/>
          <w:color w:val="000000" w:themeColor="text1"/>
          <w:sz w:val="28"/>
          <w:szCs w:val="28"/>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8"/>
          <w:szCs w:val="28"/>
          <w:highlight w:val="none"/>
          <w:u w:val="single"/>
          <w14:textFill>
            <w14:solidFill>
              <w14:schemeClr w14:val="tx1"/>
            </w14:solidFill>
          </w14:textFill>
        </w:rPr>
        <w:t xml:space="preserve">（采购人名称） </w:t>
      </w:r>
    </w:p>
    <w:p w14:paraId="5F2CCEEF">
      <w:pPr>
        <w:keepNext w:val="0"/>
        <w:keepLines w:val="0"/>
        <w:pageBreakBefore w:val="0"/>
        <w:widowControl w:val="0"/>
        <w:kinsoku/>
        <w:wordWrap/>
        <w:overflowPunct/>
        <w:topLinePunct w:val="0"/>
        <w:bidi w:val="0"/>
        <w:adjustRightInd/>
        <w:snapToGrid/>
        <w:spacing w:line="560" w:lineRule="exact"/>
        <w:ind w:left="0" w:leftChars="0" w:firstLine="560" w:firstLineChars="200"/>
        <w:textAlignment w:val="auto"/>
        <w:rPr>
          <w:rFonts w:hint="eastAsia" w:ascii="宋体" w:hAnsi="宋体" w:eastAsia="宋体" w:cs="宋体"/>
          <w:color w:val="000000" w:themeColor="text1"/>
          <w:kern w:val="0"/>
          <w:sz w:val="28"/>
          <w:szCs w:val="28"/>
          <w:highlight w:val="none"/>
          <w:lang w:eastAsia="zh-CN"/>
          <w14:textFill>
            <w14:solidFill>
              <w14:schemeClr w14:val="tx1"/>
            </w14:solidFill>
          </w14:textFill>
        </w:rPr>
      </w:pPr>
      <w:r>
        <w:rPr>
          <w:rFonts w:hint="eastAsia" w:ascii="宋体" w:hAnsi="宋体" w:eastAsia="宋体" w:cs="宋体"/>
          <w:color w:val="000000" w:themeColor="text1"/>
          <w:kern w:val="0"/>
          <w:sz w:val="28"/>
          <w:szCs w:val="28"/>
          <w:highlight w:val="none"/>
          <w14:textFill>
            <w14:solidFill>
              <w14:schemeClr w14:val="tx1"/>
            </w14:solidFill>
          </w14:textFill>
        </w:rPr>
        <w:t>在</w:t>
      </w:r>
      <w:r>
        <w:rPr>
          <w:rFonts w:hint="eastAsia" w:ascii="宋体" w:hAnsi="宋体" w:eastAsia="宋体" w:cs="宋体"/>
          <w:color w:val="000000" w:themeColor="text1"/>
          <w:kern w:val="0"/>
          <w:sz w:val="28"/>
          <w:szCs w:val="28"/>
          <w:highlight w:val="none"/>
          <w:u w:val="single"/>
          <w:lang w:val="en-US" w:eastAsia="zh-CN"/>
          <w14:textFill>
            <w14:solidFill>
              <w14:schemeClr w14:val="tx1"/>
            </w14:solidFill>
          </w14:textFill>
        </w:rPr>
        <w:t xml:space="preserve">            </w:t>
      </w:r>
      <w:r>
        <w:rPr>
          <w:rFonts w:hint="eastAsia" w:ascii="宋体" w:hAnsi="宋体" w:cs="宋体"/>
          <w:color w:val="000000" w:themeColor="text1"/>
          <w:kern w:val="0"/>
          <w:sz w:val="28"/>
          <w:szCs w:val="28"/>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8"/>
          <w:szCs w:val="28"/>
          <w:highlight w:val="none"/>
          <w:u w:val="single"/>
          <w14:textFill>
            <w14:solidFill>
              <w14:schemeClr w14:val="tx1"/>
            </w14:solidFill>
          </w14:textFill>
        </w:rPr>
        <w:t>项目名称</w:t>
      </w:r>
      <w:r>
        <w:rPr>
          <w:rFonts w:hint="eastAsia" w:ascii="宋体" w:hAnsi="宋体" w:eastAsia="宋体" w:cs="宋体"/>
          <w:color w:val="000000" w:themeColor="text1"/>
          <w:kern w:val="0"/>
          <w:sz w:val="28"/>
          <w:szCs w:val="28"/>
          <w:highlight w:val="none"/>
          <w:u w:val="single"/>
          <w:lang w:eastAsia="zh-CN"/>
          <w14:textFill>
            <w14:solidFill>
              <w14:schemeClr w14:val="tx1"/>
            </w14:solidFill>
          </w14:textFill>
        </w:rPr>
        <w:t>、项目编号</w:t>
      </w:r>
      <w:r>
        <w:rPr>
          <w:rFonts w:hint="eastAsia" w:ascii="宋体" w:hAnsi="宋体" w:cs="宋体"/>
          <w:color w:val="000000" w:themeColor="text1"/>
          <w:kern w:val="0"/>
          <w:sz w:val="28"/>
          <w:szCs w:val="28"/>
          <w:highlight w:val="none"/>
          <w:u w:val="single"/>
          <w:lang w:eastAsia="zh-CN"/>
          <w14:textFill>
            <w14:solidFill>
              <w14:schemeClr w14:val="tx1"/>
            </w14:solidFill>
          </w14:textFill>
        </w:rPr>
        <w:t>、标项名称</w:t>
      </w:r>
      <w:r>
        <w:rPr>
          <w:rFonts w:hint="eastAsia" w:ascii="宋体" w:hAnsi="宋体" w:eastAsia="宋体" w:cs="宋体"/>
          <w:color w:val="000000" w:themeColor="text1"/>
          <w:kern w:val="0"/>
          <w:sz w:val="28"/>
          <w:szCs w:val="28"/>
          <w:highlight w:val="none"/>
          <w14:textFill>
            <w14:solidFill>
              <w14:schemeClr w14:val="tx1"/>
            </w14:solidFill>
          </w14:textFill>
        </w:rPr>
        <w:t>，我公司</w:t>
      </w:r>
      <w:r>
        <w:rPr>
          <w:rFonts w:hint="eastAsia" w:ascii="宋体" w:hAnsi="宋体" w:eastAsia="宋体" w:cs="宋体"/>
          <w:color w:val="000000" w:themeColor="text1"/>
          <w:kern w:val="0"/>
          <w:sz w:val="28"/>
          <w:szCs w:val="28"/>
          <w:highlight w:val="none"/>
          <w:lang w:eastAsia="zh-CN"/>
          <w14:textFill>
            <w14:solidFill>
              <w14:schemeClr w14:val="tx1"/>
            </w14:solidFill>
          </w14:textFill>
        </w:rPr>
        <w:t>承诺，</w:t>
      </w:r>
      <w:r>
        <w:rPr>
          <w:rFonts w:hint="eastAsia" w:ascii="宋体" w:hAnsi="宋体" w:eastAsia="宋体" w:cs="宋体"/>
          <w:color w:val="000000" w:themeColor="text1"/>
          <w:kern w:val="0"/>
          <w:sz w:val="28"/>
          <w:szCs w:val="28"/>
          <w:highlight w:val="none"/>
          <w14:textFill>
            <w14:solidFill>
              <w14:schemeClr w14:val="tx1"/>
            </w14:solidFill>
          </w14:textFill>
        </w:rPr>
        <w:t>在“信用中国”网站</w:t>
      </w:r>
      <w:r>
        <w:rPr>
          <w:rFonts w:hint="eastAsia" w:ascii="宋体" w:hAnsi="宋体" w:eastAsia="宋体" w:cs="宋体"/>
          <w:color w:val="000000" w:themeColor="text1"/>
          <w:kern w:val="0"/>
          <w:sz w:val="28"/>
          <w:szCs w:val="28"/>
          <w:highlight w:val="none"/>
          <w:lang w:eastAsia="zh-CN"/>
          <w14:textFill>
            <w14:solidFill>
              <w14:schemeClr w14:val="tx1"/>
            </w14:solidFill>
          </w14:textFill>
        </w:rPr>
        <w:t>未</w:t>
      </w:r>
      <w:r>
        <w:rPr>
          <w:rFonts w:hint="eastAsia" w:ascii="宋体" w:hAnsi="宋体" w:eastAsia="宋体" w:cs="宋体"/>
          <w:color w:val="000000" w:themeColor="text1"/>
          <w:kern w:val="0"/>
          <w:sz w:val="28"/>
          <w:szCs w:val="28"/>
          <w:highlight w:val="none"/>
          <w14:textFill>
            <w14:solidFill>
              <w14:schemeClr w14:val="tx1"/>
            </w14:solidFill>
          </w14:textFill>
        </w:rPr>
        <w:t>被列入失信被执行人</w:t>
      </w:r>
      <w:r>
        <w:rPr>
          <w:rFonts w:hint="eastAsia" w:ascii="宋体" w:hAnsi="宋体" w:eastAsia="宋体" w:cs="宋体"/>
          <w:color w:val="000000" w:themeColor="text1"/>
          <w:kern w:val="0"/>
          <w:sz w:val="28"/>
          <w:szCs w:val="28"/>
          <w:highlight w:val="none"/>
          <w:lang w:eastAsia="zh-CN"/>
          <w14:textFill>
            <w14:solidFill>
              <w14:schemeClr w14:val="tx1"/>
            </w14:solidFill>
          </w14:textFill>
        </w:rPr>
        <w:t>和</w:t>
      </w:r>
      <w:r>
        <w:rPr>
          <w:rFonts w:hint="eastAsia" w:ascii="宋体" w:hAnsi="宋体" w:eastAsia="宋体" w:cs="宋体"/>
          <w:color w:val="000000" w:themeColor="text1"/>
          <w:kern w:val="0"/>
          <w:sz w:val="28"/>
          <w:szCs w:val="28"/>
          <w:highlight w:val="none"/>
          <w14:textFill>
            <w14:solidFill>
              <w14:schemeClr w14:val="tx1"/>
            </w14:solidFill>
          </w14:textFill>
        </w:rPr>
        <w:t>重大税收违法失信主体、</w:t>
      </w:r>
      <w:r>
        <w:rPr>
          <w:rFonts w:hint="eastAsia" w:ascii="宋体" w:hAnsi="宋体" w:eastAsia="宋体" w:cs="宋体"/>
          <w:color w:val="000000" w:themeColor="text1"/>
          <w:kern w:val="0"/>
          <w:sz w:val="28"/>
          <w:szCs w:val="28"/>
          <w:highlight w:val="none"/>
          <w:lang w:eastAsia="zh-CN"/>
          <w14:textFill>
            <w14:solidFill>
              <w14:schemeClr w14:val="tx1"/>
            </w14:solidFill>
          </w14:textFill>
        </w:rPr>
        <w:t>在</w:t>
      </w:r>
      <w:r>
        <w:rPr>
          <w:rFonts w:hint="eastAsia" w:ascii="宋体" w:hAnsi="宋体" w:eastAsia="宋体" w:cs="宋体"/>
          <w:color w:val="000000" w:themeColor="text1"/>
          <w:kern w:val="0"/>
          <w:sz w:val="28"/>
          <w:szCs w:val="28"/>
          <w:highlight w:val="none"/>
          <w14:textFill>
            <w14:solidFill>
              <w14:schemeClr w14:val="tx1"/>
            </w14:solidFill>
          </w14:textFill>
        </w:rPr>
        <w:t>中国政府采购网</w:t>
      </w:r>
      <w:r>
        <w:rPr>
          <w:rFonts w:hint="eastAsia" w:ascii="宋体" w:hAnsi="宋体" w:eastAsia="宋体" w:cs="宋体"/>
          <w:color w:val="000000" w:themeColor="text1"/>
          <w:kern w:val="0"/>
          <w:sz w:val="28"/>
          <w:szCs w:val="28"/>
          <w:highlight w:val="none"/>
          <w:lang w:eastAsia="zh-CN"/>
          <w14:textFill>
            <w14:solidFill>
              <w14:schemeClr w14:val="tx1"/>
            </w14:solidFill>
          </w14:textFill>
        </w:rPr>
        <w:t>中未被列入</w:t>
      </w:r>
      <w:r>
        <w:rPr>
          <w:rFonts w:hint="eastAsia" w:ascii="宋体" w:hAnsi="宋体" w:eastAsia="宋体" w:cs="宋体"/>
          <w:color w:val="000000" w:themeColor="text1"/>
          <w:kern w:val="0"/>
          <w:sz w:val="28"/>
          <w:szCs w:val="28"/>
          <w:highlight w:val="none"/>
          <w14:textFill>
            <w14:solidFill>
              <w14:schemeClr w14:val="tx1"/>
            </w14:solidFill>
          </w14:textFill>
        </w:rPr>
        <w:t>严重违法失信行为记录名单的（尚在处罚期内的）</w:t>
      </w:r>
      <w:r>
        <w:rPr>
          <w:rFonts w:hint="eastAsia" w:ascii="宋体" w:hAnsi="宋体" w:eastAsia="宋体" w:cs="宋体"/>
          <w:color w:val="000000" w:themeColor="text1"/>
          <w:kern w:val="0"/>
          <w:sz w:val="28"/>
          <w:szCs w:val="28"/>
          <w:highlight w:val="none"/>
          <w:lang w:eastAsia="zh-CN"/>
          <w14:textFill>
            <w14:solidFill>
              <w14:schemeClr w14:val="tx1"/>
            </w14:solidFill>
          </w14:textFill>
        </w:rPr>
        <w:t>。</w:t>
      </w:r>
    </w:p>
    <w:p w14:paraId="4B084BF0">
      <w:pPr>
        <w:keepNext w:val="0"/>
        <w:keepLines w:val="0"/>
        <w:pageBreakBefore w:val="0"/>
        <w:widowControl w:val="0"/>
        <w:kinsoku/>
        <w:wordWrap/>
        <w:overflowPunct/>
        <w:topLinePunct w:val="0"/>
        <w:bidi w:val="0"/>
        <w:adjustRightInd/>
        <w:snapToGrid/>
        <w:spacing w:line="560" w:lineRule="exact"/>
        <w:ind w:left="0" w:leftChars="0" w:firstLine="560" w:firstLineChars="200"/>
        <w:textAlignment w:val="auto"/>
        <w:rPr>
          <w:rFonts w:hint="eastAsia" w:ascii="宋体" w:hAnsi="宋体" w:eastAsia="宋体" w:cs="宋体"/>
          <w:color w:val="000000" w:themeColor="text1"/>
          <w:kern w:val="0"/>
          <w:sz w:val="28"/>
          <w:szCs w:val="28"/>
          <w:highlight w:val="none"/>
          <w14:textFill>
            <w14:solidFill>
              <w14:schemeClr w14:val="tx1"/>
            </w14:solidFill>
          </w14:textFill>
        </w:rPr>
      </w:pPr>
      <w:r>
        <w:rPr>
          <w:rFonts w:hint="eastAsia" w:ascii="宋体" w:hAnsi="宋体" w:eastAsia="宋体" w:cs="宋体"/>
          <w:color w:val="000000" w:themeColor="text1"/>
          <w:kern w:val="0"/>
          <w:sz w:val="28"/>
          <w:szCs w:val="28"/>
          <w:highlight w:val="none"/>
          <w14:textFill>
            <w14:solidFill>
              <w14:schemeClr w14:val="tx1"/>
            </w14:solidFill>
          </w14:textFill>
        </w:rPr>
        <w:t>本公司对上述承诺的真实性负责。如有虚假，我公司同意</w:t>
      </w:r>
      <w:r>
        <w:rPr>
          <w:rFonts w:hint="eastAsia" w:ascii="宋体" w:hAnsi="宋体" w:eastAsia="宋体" w:cs="宋体"/>
          <w:color w:val="000000" w:themeColor="text1"/>
          <w:kern w:val="0"/>
          <w:sz w:val="28"/>
          <w:szCs w:val="28"/>
          <w:highlight w:val="none"/>
          <w:lang w:val="en-US" w:eastAsia="zh-CN"/>
          <w14:textFill>
            <w14:solidFill>
              <w14:schemeClr w14:val="tx1"/>
            </w14:solidFill>
          </w14:textFill>
        </w:rPr>
        <w:t>承担一切相关的后果，并</w:t>
      </w:r>
      <w:r>
        <w:rPr>
          <w:rFonts w:hint="eastAsia" w:ascii="宋体" w:hAnsi="宋体" w:eastAsia="宋体" w:cs="宋体"/>
          <w:color w:val="000000" w:themeColor="text1"/>
          <w:kern w:val="0"/>
          <w:sz w:val="28"/>
          <w:szCs w:val="28"/>
          <w:highlight w:val="none"/>
          <w14:textFill>
            <w14:solidFill>
              <w14:schemeClr w14:val="tx1"/>
            </w14:solidFill>
          </w14:textFill>
        </w:rPr>
        <w:t>依法承担相应法律责任。</w:t>
      </w:r>
    </w:p>
    <w:p w14:paraId="641DF227">
      <w:pPr>
        <w:keepNext w:val="0"/>
        <w:keepLines w:val="0"/>
        <w:pageBreakBefore w:val="0"/>
        <w:widowControl w:val="0"/>
        <w:kinsoku/>
        <w:wordWrap/>
        <w:overflowPunct/>
        <w:topLinePunct w:val="0"/>
        <w:bidi w:val="0"/>
        <w:adjustRightInd/>
        <w:snapToGrid/>
        <w:spacing w:line="560" w:lineRule="exact"/>
        <w:ind w:left="0" w:leftChars="0" w:firstLine="560" w:firstLineChars="200"/>
        <w:textAlignment w:val="auto"/>
        <w:rPr>
          <w:rFonts w:hint="eastAsia" w:ascii="宋体" w:hAnsi="宋体" w:eastAsia="宋体" w:cs="宋体"/>
          <w:color w:val="000000" w:themeColor="text1"/>
          <w:sz w:val="28"/>
          <w:szCs w:val="28"/>
          <w:highlight w:val="none"/>
          <w14:textFill>
            <w14:solidFill>
              <w14:schemeClr w14:val="tx1"/>
            </w14:solidFill>
          </w14:textFill>
        </w:rPr>
      </w:pPr>
    </w:p>
    <w:p w14:paraId="7C0B9CA7">
      <w:pPr>
        <w:keepNext w:val="0"/>
        <w:keepLines w:val="0"/>
        <w:pageBreakBefore w:val="0"/>
        <w:widowControl w:val="0"/>
        <w:kinsoku/>
        <w:wordWrap/>
        <w:overflowPunct/>
        <w:topLinePunct w:val="0"/>
        <w:bidi w:val="0"/>
        <w:adjustRightInd/>
        <w:snapToGrid/>
        <w:spacing w:line="560" w:lineRule="exact"/>
        <w:ind w:left="0" w:leftChars="0" w:firstLine="560" w:firstLineChars="200"/>
        <w:textAlignment w:val="auto"/>
        <w:rPr>
          <w:rFonts w:hint="eastAsia" w:ascii="宋体" w:hAnsi="宋体" w:eastAsia="宋体" w:cs="宋体"/>
          <w:color w:val="000000" w:themeColor="text1"/>
          <w:sz w:val="28"/>
          <w:szCs w:val="28"/>
          <w:highlight w:val="none"/>
          <w14:textFill>
            <w14:solidFill>
              <w14:schemeClr w14:val="tx1"/>
            </w14:solidFill>
          </w14:textFill>
        </w:rPr>
      </w:pPr>
    </w:p>
    <w:p w14:paraId="041D671D">
      <w:pPr>
        <w:keepNext w:val="0"/>
        <w:keepLines w:val="0"/>
        <w:pageBreakBefore w:val="0"/>
        <w:widowControl w:val="0"/>
        <w:kinsoku/>
        <w:wordWrap/>
        <w:overflowPunct/>
        <w:topLinePunct w:val="0"/>
        <w:autoSpaceDE w:val="0"/>
        <w:autoSpaceDN w:val="0"/>
        <w:bidi w:val="0"/>
        <w:adjustRightInd/>
        <w:snapToGrid/>
        <w:spacing w:line="560" w:lineRule="exact"/>
        <w:ind w:firstLine="2800" w:firstLineChars="1000"/>
        <w:jc w:val="both"/>
        <w:textAlignment w:val="auto"/>
        <w:rPr>
          <w:rFonts w:hint="eastAsia" w:ascii="宋体" w:hAnsi="宋体" w:eastAsia="宋体" w:cs="宋体"/>
          <w:color w:val="000000" w:themeColor="text1"/>
          <w:kern w:val="0"/>
          <w:sz w:val="28"/>
          <w:szCs w:val="28"/>
          <w:highlight w:val="none"/>
          <w:lang w:val="en-US" w:eastAsia="zh-CN"/>
          <w14:textFill>
            <w14:solidFill>
              <w14:schemeClr w14:val="tx1"/>
            </w14:solidFill>
          </w14:textFill>
        </w:rPr>
      </w:pPr>
      <w:r>
        <w:rPr>
          <w:rFonts w:hint="eastAsia" w:ascii="宋体" w:hAnsi="宋体" w:eastAsia="宋体" w:cs="宋体"/>
          <w:color w:val="000000" w:themeColor="text1"/>
          <w:kern w:val="0"/>
          <w:sz w:val="28"/>
          <w:szCs w:val="28"/>
          <w:highlight w:val="none"/>
          <w14:textFill>
            <w14:solidFill>
              <w14:schemeClr w14:val="tx1"/>
            </w14:solidFill>
          </w14:textFill>
        </w:rPr>
        <w:t>供应商名称（电子公章）：</w:t>
      </w:r>
      <w:r>
        <w:rPr>
          <w:rFonts w:hint="eastAsia" w:ascii="宋体" w:hAnsi="宋体" w:eastAsia="宋体" w:cs="宋体"/>
          <w:color w:val="000000" w:themeColor="text1"/>
          <w:kern w:val="0"/>
          <w:sz w:val="28"/>
          <w:szCs w:val="28"/>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8"/>
          <w:szCs w:val="28"/>
          <w:highlight w:val="none"/>
          <w:lang w:val="en-US" w:eastAsia="zh-CN"/>
          <w14:textFill>
            <w14:solidFill>
              <w14:schemeClr w14:val="tx1"/>
            </w14:solidFill>
          </w14:textFill>
        </w:rPr>
        <w:t xml:space="preserve">                               </w:t>
      </w:r>
    </w:p>
    <w:p w14:paraId="47EE71F7">
      <w:pPr>
        <w:keepNext w:val="0"/>
        <w:keepLines w:val="0"/>
        <w:pageBreakBefore w:val="0"/>
        <w:widowControl/>
        <w:kinsoku/>
        <w:wordWrap/>
        <w:overflowPunct/>
        <w:topLinePunct w:val="0"/>
        <w:autoSpaceDE/>
        <w:autoSpaceDN/>
        <w:bidi w:val="0"/>
        <w:adjustRightInd/>
        <w:snapToGrid/>
        <w:spacing w:line="560" w:lineRule="exact"/>
        <w:ind w:right="0" w:firstLine="0" w:firstLineChars="0"/>
        <w:jc w:val="right"/>
        <w:textAlignment w:val="auto"/>
        <w:rPr>
          <w:rFonts w:cs="仿宋_GB2312" w:asciiTheme="minorEastAsia" w:hAnsiTheme="minorEastAsia" w:eastAsiaTheme="minorEastAsia"/>
          <w:color w:val="000000" w:themeColor="text1"/>
          <w:kern w:val="0"/>
          <w:sz w:val="28"/>
          <w:szCs w:val="28"/>
          <w:highlight w:val="none"/>
          <w14:textFill>
            <w14:solidFill>
              <w14:schemeClr w14:val="tx1"/>
            </w14:solidFill>
          </w14:textFill>
        </w:rPr>
      </w:pPr>
      <w:r>
        <w:rPr>
          <w:rFonts w:hint="eastAsia" w:ascii="宋体" w:hAnsi="宋体" w:eastAsia="宋体" w:cs="宋体"/>
          <w:color w:val="000000" w:themeColor="text1"/>
          <w:kern w:val="0"/>
          <w:sz w:val="28"/>
          <w:szCs w:val="28"/>
          <w:highlight w:val="none"/>
          <w:lang w:val="en-US" w:eastAsia="zh-CN"/>
          <w14:textFill>
            <w14:solidFill>
              <w14:schemeClr w14:val="tx1"/>
            </w14:solidFill>
          </w14:textFill>
        </w:rPr>
        <w:t xml:space="preserve">    </w:t>
      </w:r>
      <w:r>
        <w:rPr>
          <w:rFonts w:hint="eastAsia" w:ascii="宋体" w:hAnsi="宋体" w:eastAsia="宋体" w:cs="宋体"/>
          <w:color w:val="000000" w:themeColor="text1"/>
          <w:kern w:val="0"/>
          <w:sz w:val="28"/>
          <w:szCs w:val="28"/>
          <w:highlight w:val="none"/>
          <w:lang w:val="zh-CN"/>
          <w14:textFill>
            <w14:solidFill>
              <w14:schemeClr w14:val="tx1"/>
            </w14:solidFill>
          </w14:textFill>
        </w:rPr>
        <w:t>日</w:t>
      </w:r>
      <w:r>
        <w:rPr>
          <w:rFonts w:hint="eastAsia" w:ascii="宋体" w:hAnsi="宋体" w:eastAsia="宋体" w:cs="宋体"/>
          <w:color w:val="000000" w:themeColor="text1"/>
          <w:kern w:val="0"/>
          <w:sz w:val="28"/>
          <w:szCs w:val="28"/>
          <w:highlight w:val="none"/>
          <w:lang w:val="en-US" w:eastAsia="zh-CN"/>
          <w14:textFill>
            <w14:solidFill>
              <w14:schemeClr w14:val="tx1"/>
            </w14:solidFill>
          </w14:textFill>
        </w:rPr>
        <w:t xml:space="preserve">     </w:t>
      </w:r>
      <w:r>
        <w:rPr>
          <w:rFonts w:hint="eastAsia" w:ascii="宋体" w:hAnsi="宋体" w:eastAsia="宋体" w:cs="宋体"/>
          <w:color w:val="000000" w:themeColor="text1"/>
          <w:kern w:val="0"/>
          <w:sz w:val="28"/>
          <w:szCs w:val="28"/>
          <w:highlight w:val="none"/>
          <w:lang w:val="zh-CN"/>
          <w14:textFill>
            <w14:solidFill>
              <w14:schemeClr w14:val="tx1"/>
            </w14:solidFill>
          </w14:textFill>
        </w:rPr>
        <w:t>期：</w:t>
      </w:r>
      <w:r>
        <w:rPr>
          <w:rFonts w:hint="eastAsia" w:ascii="宋体" w:hAnsi="宋体" w:eastAsia="宋体" w:cs="宋体"/>
          <w:color w:val="000000" w:themeColor="text1"/>
          <w:kern w:val="0"/>
          <w:sz w:val="28"/>
          <w:szCs w:val="28"/>
          <w:highlight w:val="none"/>
          <w:u w:val="single"/>
          <w:lang w:val="zh-CN"/>
          <w14:textFill>
            <w14:solidFill>
              <w14:schemeClr w14:val="tx1"/>
            </w14:solidFill>
          </w14:textFill>
        </w:rPr>
        <w:t xml:space="preserve">  </w:t>
      </w:r>
      <w:r>
        <w:rPr>
          <w:rFonts w:hint="eastAsia" w:ascii="宋体" w:hAnsi="宋体" w:eastAsia="宋体" w:cs="宋体"/>
          <w:color w:val="000000" w:themeColor="text1"/>
          <w:kern w:val="0"/>
          <w:sz w:val="28"/>
          <w:szCs w:val="28"/>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8"/>
          <w:szCs w:val="28"/>
          <w:highlight w:val="none"/>
          <w:lang w:val="zh-CN"/>
          <w14:textFill>
            <w14:solidFill>
              <w14:schemeClr w14:val="tx1"/>
            </w14:solidFill>
          </w14:textFill>
        </w:rPr>
        <w:t>年</w:t>
      </w:r>
      <w:r>
        <w:rPr>
          <w:rFonts w:hint="eastAsia" w:ascii="宋体" w:hAnsi="宋体" w:eastAsia="宋体" w:cs="宋体"/>
          <w:color w:val="000000" w:themeColor="text1"/>
          <w:kern w:val="0"/>
          <w:sz w:val="28"/>
          <w:szCs w:val="28"/>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8"/>
          <w:szCs w:val="28"/>
          <w:highlight w:val="none"/>
          <w:u w:val="single"/>
          <w:lang w:val="zh-CN"/>
          <w14:textFill>
            <w14:solidFill>
              <w14:schemeClr w14:val="tx1"/>
            </w14:solidFill>
          </w14:textFill>
        </w:rPr>
        <w:t xml:space="preserve"> </w:t>
      </w:r>
      <w:r>
        <w:rPr>
          <w:rFonts w:hint="eastAsia" w:ascii="宋体" w:hAnsi="宋体" w:eastAsia="宋体" w:cs="宋体"/>
          <w:color w:val="000000" w:themeColor="text1"/>
          <w:kern w:val="0"/>
          <w:sz w:val="28"/>
          <w:szCs w:val="28"/>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8"/>
          <w:szCs w:val="28"/>
          <w:highlight w:val="none"/>
          <w:u w:val="single"/>
          <w:lang w:val="zh-CN"/>
          <w14:textFill>
            <w14:solidFill>
              <w14:schemeClr w14:val="tx1"/>
            </w14:solidFill>
          </w14:textFill>
        </w:rPr>
        <w:t xml:space="preserve"> </w:t>
      </w:r>
      <w:r>
        <w:rPr>
          <w:rFonts w:hint="eastAsia" w:ascii="宋体" w:hAnsi="宋体" w:eastAsia="宋体" w:cs="宋体"/>
          <w:color w:val="000000" w:themeColor="text1"/>
          <w:kern w:val="0"/>
          <w:sz w:val="28"/>
          <w:szCs w:val="28"/>
          <w:highlight w:val="none"/>
          <w:lang w:val="zh-CN"/>
          <w14:textFill>
            <w14:solidFill>
              <w14:schemeClr w14:val="tx1"/>
            </w14:solidFill>
          </w14:textFill>
        </w:rPr>
        <w:t>月</w:t>
      </w:r>
      <w:r>
        <w:rPr>
          <w:rFonts w:hint="eastAsia" w:ascii="宋体" w:hAnsi="宋体" w:eastAsia="宋体" w:cs="宋体"/>
          <w:color w:val="000000" w:themeColor="text1"/>
          <w:kern w:val="0"/>
          <w:sz w:val="28"/>
          <w:szCs w:val="28"/>
          <w:highlight w:val="none"/>
          <w:u w:val="single"/>
          <w:lang w:val="zh-CN"/>
          <w14:textFill>
            <w14:solidFill>
              <w14:schemeClr w14:val="tx1"/>
            </w14:solidFill>
          </w14:textFill>
        </w:rPr>
        <w:t xml:space="preserve"> </w:t>
      </w:r>
      <w:r>
        <w:rPr>
          <w:rFonts w:hint="eastAsia" w:ascii="宋体" w:hAnsi="宋体" w:eastAsia="宋体" w:cs="宋体"/>
          <w:color w:val="000000" w:themeColor="text1"/>
          <w:kern w:val="0"/>
          <w:sz w:val="28"/>
          <w:szCs w:val="28"/>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8"/>
          <w:szCs w:val="28"/>
          <w:highlight w:val="none"/>
          <w:u w:val="single"/>
          <w:lang w:val="zh-CN"/>
          <w14:textFill>
            <w14:solidFill>
              <w14:schemeClr w14:val="tx1"/>
            </w14:solidFill>
          </w14:textFill>
        </w:rPr>
        <w:t xml:space="preserve">  </w:t>
      </w:r>
      <w:r>
        <w:rPr>
          <w:rFonts w:hint="eastAsia" w:ascii="宋体" w:hAnsi="宋体" w:eastAsia="宋体" w:cs="宋体"/>
          <w:color w:val="000000" w:themeColor="text1"/>
          <w:kern w:val="0"/>
          <w:sz w:val="28"/>
          <w:szCs w:val="28"/>
          <w:highlight w:val="none"/>
          <w:lang w:val="zh-CN"/>
          <w14:textFill>
            <w14:solidFill>
              <w14:schemeClr w14:val="tx1"/>
            </w14:solidFill>
          </w14:textFill>
        </w:rPr>
        <w:t>日</w:t>
      </w:r>
    </w:p>
    <w:p w14:paraId="063F323B">
      <w:pPr>
        <w:keepNext w:val="0"/>
        <w:keepLines w:val="0"/>
        <w:pageBreakBefore w:val="0"/>
        <w:widowControl/>
        <w:kinsoku/>
        <w:wordWrap/>
        <w:overflowPunct/>
        <w:topLinePunct w:val="0"/>
        <w:autoSpaceDE/>
        <w:autoSpaceDN/>
        <w:bidi w:val="0"/>
        <w:adjustRightInd/>
        <w:snapToGrid/>
        <w:spacing w:line="560" w:lineRule="exact"/>
        <w:ind w:right="0" w:firstLine="0" w:firstLineChars="0"/>
        <w:jc w:val="both"/>
        <w:textAlignment w:val="auto"/>
        <w:rPr>
          <w:rFonts w:cs="仿宋_GB2312" w:asciiTheme="minorEastAsia" w:hAnsiTheme="minorEastAsia" w:eastAsiaTheme="minorEastAsia"/>
          <w:color w:val="000000" w:themeColor="text1"/>
          <w:kern w:val="0"/>
          <w:sz w:val="28"/>
          <w:szCs w:val="28"/>
          <w:highlight w:val="none"/>
          <w14:textFill>
            <w14:solidFill>
              <w14:schemeClr w14:val="tx1"/>
            </w14:solidFill>
          </w14:textFill>
        </w:rPr>
      </w:pPr>
    </w:p>
    <w:p w14:paraId="7D1744D9">
      <w:pPr>
        <w:keepNext w:val="0"/>
        <w:keepLines w:val="0"/>
        <w:pageBreakBefore w:val="0"/>
        <w:widowControl/>
        <w:kinsoku/>
        <w:wordWrap/>
        <w:overflowPunct/>
        <w:topLinePunct w:val="0"/>
        <w:autoSpaceDE/>
        <w:autoSpaceDN/>
        <w:bidi w:val="0"/>
        <w:adjustRightInd/>
        <w:snapToGrid/>
        <w:spacing w:line="560" w:lineRule="exact"/>
        <w:ind w:right="0" w:firstLine="0" w:firstLineChars="0"/>
        <w:jc w:val="both"/>
        <w:textAlignment w:val="auto"/>
        <w:rPr>
          <w:rFonts w:cs="仿宋_GB2312" w:asciiTheme="minorEastAsia" w:hAnsiTheme="minorEastAsia" w:eastAsiaTheme="minorEastAsia"/>
          <w:color w:val="000000" w:themeColor="text1"/>
          <w:kern w:val="0"/>
          <w:sz w:val="28"/>
          <w:szCs w:val="28"/>
          <w:highlight w:val="none"/>
          <w14:textFill>
            <w14:solidFill>
              <w14:schemeClr w14:val="tx1"/>
            </w14:solidFill>
          </w14:textFill>
        </w:rPr>
      </w:pPr>
    </w:p>
    <w:p w14:paraId="64BD6CFD">
      <w:pPr>
        <w:keepNext w:val="0"/>
        <w:keepLines w:val="0"/>
        <w:pageBreakBefore w:val="0"/>
        <w:widowControl/>
        <w:kinsoku/>
        <w:wordWrap/>
        <w:overflowPunct/>
        <w:topLinePunct w:val="0"/>
        <w:autoSpaceDE/>
        <w:autoSpaceDN/>
        <w:bidi w:val="0"/>
        <w:adjustRightInd/>
        <w:snapToGrid/>
        <w:spacing w:line="560" w:lineRule="exact"/>
        <w:ind w:right="0" w:firstLine="0" w:firstLineChars="0"/>
        <w:jc w:val="both"/>
        <w:textAlignment w:val="auto"/>
        <w:rPr>
          <w:rFonts w:cs="仿宋_GB2312" w:asciiTheme="minorEastAsia" w:hAnsiTheme="minorEastAsia" w:eastAsiaTheme="minorEastAsia"/>
          <w:color w:val="000000" w:themeColor="text1"/>
          <w:kern w:val="0"/>
          <w:sz w:val="28"/>
          <w:szCs w:val="28"/>
          <w:highlight w:val="none"/>
          <w14:textFill>
            <w14:solidFill>
              <w14:schemeClr w14:val="tx1"/>
            </w14:solidFill>
          </w14:textFill>
        </w:rPr>
      </w:pPr>
    </w:p>
    <w:p w14:paraId="56BE761B">
      <w:pPr>
        <w:keepNext w:val="0"/>
        <w:keepLines w:val="0"/>
        <w:pageBreakBefore w:val="0"/>
        <w:widowControl/>
        <w:kinsoku/>
        <w:wordWrap/>
        <w:overflowPunct/>
        <w:topLinePunct w:val="0"/>
        <w:autoSpaceDE/>
        <w:autoSpaceDN/>
        <w:bidi w:val="0"/>
        <w:adjustRightInd/>
        <w:snapToGrid/>
        <w:spacing w:line="560" w:lineRule="exact"/>
        <w:ind w:right="0" w:firstLine="0" w:firstLineChars="0"/>
        <w:jc w:val="both"/>
        <w:textAlignment w:val="auto"/>
        <w:rPr>
          <w:rFonts w:cs="仿宋_GB2312" w:asciiTheme="minorEastAsia" w:hAnsiTheme="minorEastAsia" w:eastAsiaTheme="minorEastAsia"/>
          <w:color w:val="000000" w:themeColor="text1"/>
          <w:kern w:val="0"/>
          <w:sz w:val="28"/>
          <w:szCs w:val="28"/>
          <w:highlight w:val="none"/>
          <w14:textFill>
            <w14:solidFill>
              <w14:schemeClr w14:val="tx1"/>
            </w14:solidFill>
          </w14:textFill>
        </w:rPr>
      </w:pPr>
    </w:p>
    <w:p w14:paraId="7C059577">
      <w:pPr>
        <w:keepNext w:val="0"/>
        <w:keepLines w:val="0"/>
        <w:pageBreakBefore w:val="0"/>
        <w:widowControl/>
        <w:kinsoku/>
        <w:wordWrap/>
        <w:overflowPunct/>
        <w:topLinePunct w:val="0"/>
        <w:autoSpaceDE/>
        <w:autoSpaceDN/>
        <w:bidi w:val="0"/>
        <w:adjustRightInd/>
        <w:snapToGrid/>
        <w:spacing w:line="560" w:lineRule="exact"/>
        <w:ind w:right="0" w:firstLine="0" w:firstLineChars="0"/>
        <w:jc w:val="both"/>
        <w:textAlignment w:val="auto"/>
        <w:rPr>
          <w:rFonts w:cs="仿宋_GB2312" w:asciiTheme="minorEastAsia" w:hAnsiTheme="minorEastAsia" w:eastAsiaTheme="minorEastAsia"/>
          <w:color w:val="000000" w:themeColor="text1"/>
          <w:kern w:val="0"/>
          <w:sz w:val="28"/>
          <w:szCs w:val="28"/>
          <w:highlight w:val="none"/>
          <w14:textFill>
            <w14:solidFill>
              <w14:schemeClr w14:val="tx1"/>
            </w14:solidFill>
          </w14:textFill>
        </w:rPr>
      </w:pPr>
    </w:p>
    <w:p w14:paraId="11D5D7F5">
      <w:pPr>
        <w:keepNext w:val="0"/>
        <w:keepLines w:val="0"/>
        <w:pageBreakBefore w:val="0"/>
        <w:widowControl/>
        <w:kinsoku/>
        <w:wordWrap/>
        <w:overflowPunct/>
        <w:topLinePunct w:val="0"/>
        <w:autoSpaceDE/>
        <w:autoSpaceDN/>
        <w:bidi w:val="0"/>
        <w:adjustRightInd/>
        <w:snapToGrid/>
        <w:spacing w:line="560" w:lineRule="exact"/>
        <w:ind w:right="0" w:firstLine="0" w:firstLineChars="0"/>
        <w:jc w:val="both"/>
        <w:textAlignment w:val="auto"/>
        <w:rPr>
          <w:rFonts w:cs="仿宋_GB2312" w:asciiTheme="minorEastAsia" w:hAnsiTheme="minorEastAsia" w:eastAsiaTheme="minorEastAsia"/>
          <w:color w:val="000000" w:themeColor="text1"/>
          <w:kern w:val="0"/>
          <w:sz w:val="28"/>
          <w:szCs w:val="28"/>
          <w:highlight w:val="none"/>
          <w14:textFill>
            <w14:solidFill>
              <w14:schemeClr w14:val="tx1"/>
            </w14:solidFill>
          </w14:textFill>
        </w:rPr>
      </w:pPr>
    </w:p>
    <w:p w14:paraId="0745ECC8">
      <w:pPr>
        <w:keepNext w:val="0"/>
        <w:keepLines w:val="0"/>
        <w:pageBreakBefore w:val="0"/>
        <w:widowControl/>
        <w:kinsoku/>
        <w:wordWrap/>
        <w:overflowPunct/>
        <w:topLinePunct w:val="0"/>
        <w:autoSpaceDE/>
        <w:autoSpaceDN/>
        <w:bidi w:val="0"/>
        <w:adjustRightInd/>
        <w:snapToGrid/>
        <w:spacing w:line="560" w:lineRule="exact"/>
        <w:ind w:right="0" w:firstLine="0" w:firstLineChars="0"/>
        <w:jc w:val="both"/>
        <w:textAlignment w:val="auto"/>
        <w:rPr>
          <w:rFonts w:cs="仿宋_GB2312" w:asciiTheme="minorEastAsia" w:hAnsiTheme="minorEastAsia" w:eastAsiaTheme="minorEastAsia"/>
          <w:color w:val="000000" w:themeColor="text1"/>
          <w:kern w:val="0"/>
          <w:sz w:val="28"/>
          <w:szCs w:val="28"/>
          <w:highlight w:val="none"/>
          <w14:textFill>
            <w14:solidFill>
              <w14:schemeClr w14:val="tx1"/>
            </w14:solidFill>
          </w14:textFill>
        </w:rPr>
      </w:pPr>
    </w:p>
    <w:p w14:paraId="22EB5781">
      <w:pPr>
        <w:keepNext w:val="0"/>
        <w:keepLines w:val="0"/>
        <w:pageBreakBefore w:val="0"/>
        <w:widowControl/>
        <w:kinsoku/>
        <w:wordWrap/>
        <w:overflowPunct/>
        <w:topLinePunct w:val="0"/>
        <w:autoSpaceDE/>
        <w:autoSpaceDN/>
        <w:bidi w:val="0"/>
        <w:adjustRightInd/>
        <w:snapToGrid/>
        <w:spacing w:line="560" w:lineRule="exact"/>
        <w:ind w:right="0" w:firstLine="0" w:firstLineChars="0"/>
        <w:jc w:val="both"/>
        <w:textAlignment w:val="auto"/>
        <w:rPr>
          <w:rFonts w:cs="仿宋_GB2312" w:asciiTheme="minorEastAsia" w:hAnsiTheme="minorEastAsia" w:eastAsiaTheme="minorEastAsia"/>
          <w:color w:val="000000" w:themeColor="text1"/>
          <w:kern w:val="0"/>
          <w:sz w:val="28"/>
          <w:szCs w:val="28"/>
          <w:highlight w:val="none"/>
          <w14:textFill>
            <w14:solidFill>
              <w14:schemeClr w14:val="tx1"/>
            </w14:solidFill>
          </w14:textFill>
        </w:rPr>
      </w:pPr>
    </w:p>
    <w:p w14:paraId="17053B00">
      <w:pPr>
        <w:keepNext w:val="0"/>
        <w:keepLines w:val="0"/>
        <w:pageBreakBefore w:val="0"/>
        <w:widowControl/>
        <w:kinsoku/>
        <w:wordWrap/>
        <w:overflowPunct/>
        <w:topLinePunct w:val="0"/>
        <w:autoSpaceDE/>
        <w:autoSpaceDN/>
        <w:bidi w:val="0"/>
        <w:adjustRightInd/>
        <w:snapToGrid/>
        <w:spacing w:line="560" w:lineRule="exact"/>
        <w:ind w:right="0" w:firstLine="0" w:firstLineChars="0"/>
        <w:jc w:val="both"/>
        <w:textAlignment w:val="auto"/>
        <w:rPr>
          <w:rFonts w:cs="仿宋_GB2312" w:asciiTheme="minorEastAsia" w:hAnsiTheme="minorEastAsia" w:eastAsiaTheme="minorEastAsia"/>
          <w:color w:val="000000" w:themeColor="text1"/>
          <w:kern w:val="0"/>
          <w:sz w:val="28"/>
          <w:szCs w:val="28"/>
          <w:highlight w:val="none"/>
          <w14:textFill>
            <w14:solidFill>
              <w14:schemeClr w14:val="tx1"/>
            </w14:solidFill>
          </w14:textFill>
        </w:rPr>
      </w:pPr>
    </w:p>
    <w:p w14:paraId="5E76F4E1">
      <w:pPr>
        <w:keepNext w:val="0"/>
        <w:keepLines w:val="0"/>
        <w:pageBreakBefore w:val="0"/>
        <w:widowControl/>
        <w:kinsoku/>
        <w:wordWrap/>
        <w:overflowPunct/>
        <w:topLinePunct w:val="0"/>
        <w:autoSpaceDE/>
        <w:autoSpaceDN/>
        <w:bidi w:val="0"/>
        <w:adjustRightInd/>
        <w:snapToGrid/>
        <w:spacing w:line="560" w:lineRule="exact"/>
        <w:ind w:right="0" w:firstLine="0" w:firstLineChars="0"/>
        <w:jc w:val="both"/>
        <w:textAlignment w:val="auto"/>
        <w:rPr>
          <w:rFonts w:cs="仿宋_GB2312" w:asciiTheme="minorEastAsia" w:hAnsiTheme="minorEastAsia" w:eastAsiaTheme="minorEastAsia"/>
          <w:color w:val="000000" w:themeColor="text1"/>
          <w:kern w:val="0"/>
          <w:sz w:val="28"/>
          <w:szCs w:val="28"/>
          <w:highlight w:val="none"/>
          <w14:textFill>
            <w14:solidFill>
              <w14:schemeClr w14:val="tx1"/>
            </w14:solidFill>
          </w14:textFill>
        </w:rPr>
      </w:pPr>
    </w:p>
    <w:p w14:paraId="55DA44AD">
      <w:pPr>
        <w:keepNext w:val="0"/>
        <w:keepLines w:val="0"/>
        <w:pageBreakBefore w:val="0"/>
        <w:widowControl/>
        <w:kinsoku/>
        <w:wordWrap/>
        <w:overflowPunct/>
        <w:topLinePunct w:val="0"/>
        <w:autoSpaceDE/>
        <w:autoSpaceDN/>
        <w:bidi w:val="0"/>
        <w:adjustRightInd/>
        <w:snapToGrid/>
        <w:spacing w:line="560" w:lineRule="exact"/>
        <w:ind w:right="0" w:firstLine="0" w:firstLineChars="0"/>
        <w:jc w:val="both"/>
        <w:textAlignment w:val="auto"/>
        <w:rPr>
          <w:rFonts w:cs="仿宋_GB2312" w:asciiTheme="minorEastAsia" w:hAnsiTheme="minorEastAsia" w:eastAsiaTheme="minorEastAsia"/>
          <w:color w:val="000000" w:themeColor="text1"/>
          <w:kern w:val="0"/>
          <w:sz w:val="28"/>
          <w:szCs w:val="28"/>
          <w:highlight w:val="none"/>
          <w14:textFill>
            <w14:solidFill>
              <w14:schemeClr w14:val="tx1"/>
            </w14:solidFill>
          </w14:textFill>
        </w:rPr>
      </w:pPr>
    </w:p>
    <w:p w14:paraId="32D3A0F6">
      <w:pPr>
        <w:keepNext w:val="0"/>
        <w:keepLines w:val="0"/>
        <w:pageBreakBefore w:val="0"/>
        <w:widowControl/>
        <w:kinsoku/>
        <w:wordWrap/>
        <w:overflowPunct/>
        <w:topLinePunct w:val="0"/>
        <w:autoSpaceDE/>
        <w:autoSpaceDN/>
        <w:bidi w:val="0"/>
        <w:adjustRightInd/>
        <w:snapToGrid/>
        <w:spacing w:line="560" w:lineRule="exact"/>
        <w:ind w:right="0" w:firstLine="0" w:firstLineChars="0"/>
        <w:jc w:val="both"/>
        <w:textAlignment w:val="auto"/>
        <w:rPr>
          <w:rFonts w:cs="仿宋_GB2312" w:asciiTheme="minorEastAsia" w:hAnsiTheme="minorEastAsia" w:eastAsiaTheme="minorEastAsia"/>
          <w:color w:val="000000" w:themeColor="text1"/>
          <w:kern w:val="0"/>
          <w:sz w:val="28"/>
          <w:szCs w:val="28"/>
          <w:highlight w:val="none"/>
          <w14:textFill>
            <w14:solidFill>
              <w14:schemeClr w14:val="tx1"/>
            </w14:solidFill>
          </w14:textFill>
        </w:rPr>
      </w:pPr>
    </w:p>
    <w:p w14:paraId="3C6985BA">
      <w:pPr>
        <w:keepNext w:val="0"/>
        <w:keepLines w:val="0"/>
        <w:pageBreakBefore w:val="0"/>
        <w:widowControl/>
        <w:kinsoku/>
        <w:wordWrap/>
        <w:overflowPunct/>
        <w:topLinePunct w:val="0"/>
        <w:autoSpaceDE/>
        <w:autoSpaceDN/>
        <w:bidi w:val="0"/>
        <w:adjustRightInd/>
        <w:snapToGrid/>
        <w:spacing w:line="560" w:lineRule="exact"/>
        <w:ind w:right="0" w:firstLine="0" w:firstLineChars="0"/>
        <w:jc w:val="both"/>
        <w:textAlignment w:val="auto"/>
        <w:rPr>
          <w:rFonts w:cs="仿宋_GB2312" w:asciiTheme="minorEastAsia" w:hAnsiTheme="minorEastAsia" w:eastAsiaTheme="minorEastAsia"/>
          <w:color w:val="000000" w:themeColor="text1"/>
          <w:kern w:val="0"/>
          <w:sz w:val="28"/>
          <w:szCs w:val="28"/>
          <w:highlight w:val="none"/>
          <w14:textFill>
            <w14:solidFill>
              <w14:schemeClr w14:val="tx1"/>
            </w14:solidFill>
          </w14:textFill>
        </w:rPr>
      </w:pPr>
    </w:p>
    <w:p w14:paraId="23F361C4">
      <w:pPr>
        <w:keepNext w:val="0"/>
        <w:keepLines w:val="0"/>
        <w:pageBreakBefore w:val="0"/>
        <w:kinsoku/>
        <w:wordWrap/>
        <w:overflowPunct/>
        <w:topLinePunct w:val="0"/>
        <w:autoSpaceDE/>
        <w:autoSpaceDN/>
        <w:bidi w:val="0"/>
        <w:adjustRightInd/>
        <w:snapToGrid/>
        <w:spacing w:line="560" w:lineRule="exact"/>
        <w:ind w:right="0" w:firstLine="0" w:firstLineChars="0"/>
        <w:jc w:val="both"/>
        <w:textAlignment w:val="auto"/>
        <w:rPr>
          <w:rFonts w:cs="仿宋_GB2312" w:asciiTheme="minorEastAsia" w:hAnsiTheme="minorEastAsia" w:eastAsiaTheme="minorEastAsia"/>
          <w:b/>
          <w:color w:val="000000" w:themeColor="text1"/>
          <w:sz w:val="28"/>
          <w:szCs w:val="28"/>
          <w:highlight w:val="none"/>
          <w14:textFill>
            <w14:solidFill>
              <w14:schemeClr w14:val="tx1"/>
            </w14:solidFill>
          </w14:textFill>
        </w:rPr>
      </w:pPr>
      <w:r>
        <w:rPr>
          <w:rFonts w:hint="eastAsia" w:cs="仿宋_GB2312" w:asciiTheme="minorEastAsia" w:hAnsiTheme="minorEastAsia" w:eastAsiaTheme="minorEastAsia"/>
          <w:b/>
          <w:color w:val="000000" w:themeColor="text1"/>
          <w:sz w:val="28"/>
          <w:szCs w:val="28"/>
          <w:highlight w:val="none"/>
          <w14:textFill>
            <w14:solidFill>
              <w14:schemeClr w14:val="tx1"/>
            </w14:solidFill>
          </w14:textFill>
        </w:rPr>
        <w:t>七、保证金凭证</w:t>
      </w:r>
    </w:p>
    <w:p w14:paraId="52C82919">
      <w:pPr>
        <w:pStyle w:val="145"/>
        <w:pageBreakBefore w:val="0"/>
        <w:tabs>
          <w:tab w:val="left" w:pos="1429"/>
        </w:tabs>
        <w:wordWrap/>
        <w:topLinePunct w:val="0"/>
        <w:bidi w:val="0"/>
        <w:spacing w:line="560" w:lineRule="exact"/>
        <w:rPr>
          <w:rFonts w:asciiTheme="minorEastAsia" w:hAnsiTheme="minorEastAsia" w:eastAsiaTheme="minorEastAsia"/>
          <w:bCs/>
          <w:color w:val="000000" w:themeColor="text1"/>
          <w:sz w:val="28"/>
          <w:szCs w:val="28"/>
          <w:highlight w:val="none"/>
          <w14:textFill>
            <w14:solidFill>
              <w14:schemeClr w14:val="tx1"/>
            </w14:solidFill>
          </w14:textFill>
        </w:rPr>
      </w:pPr>
      <w:r>
        <w:rPr>
          <w:rFonts w:asciiTheme="minorEastAsia" w:hAnsiTheme="minorEastAsia" w:eastAsiaTheme="minorEastAsia"/>
          <w:bCs/>
          <w:color w:val="000000" w:themeColor="text1"/>
          <w:sz w:val="28"/>
          <w:szCs w:val="28"/>
          <w:highlight w:val="none"/>
          <w14:textFill>
            <w14:solidFill>
              <w14:schemeClr w14:val="tx1"/>
            </w14:solidFill>
          </w14:textFill>
        </w:rPr>
        <w:t>说明：此处上传</w:t>
      </w:r>
      <w:r>
        <w:rPr>
          <w:rFonts w:hint="eastAsia" w:asciiTheme="minorEastAsia" w:hAnsiTheme="minorEastAsia" w:eastAsiaTheme="minorEastAsia"/>
          <w:bCs/>
          <w:color w:val="000000" w:themeColor="text1"/>
          <w:sz w:val="28"/>
          <w:szCs w:val="28"/>
          <w:highlight w:val="none"/>
          <w14:textFill>
            <w14:solidFill>
              <w14:schemeClr w14:val="tx1"/>
            </w14:solidFill>
          </w14:textFill>
        </w:rPr>
        <w:t>投标</w:t>
      </w:r>
      <w:r>
        <w:rPr>
          <w:rFonts w:asciiTheme="minorEastAsia" w:hAnsiTheme="minorEastAsia" w:eastAsiaTheme="minorEastAsia"/>
          <w:bCs/>
          <w:color w:val="000000" w:themeColor="text1"/>
          <w:sz w:val="28"/>
          <w:szCs w:val="28"/>
          <w:highlight w:val="none"/>
          <w14:textFill>
            <w14:solidFill>
              <w14:schemeClr w14:val="tx1"/>
            </w14:solidFill>
          </w14:textFill>
        </w:rPr>
        <w:t>保证金缴纳证明文件</w:t>
      </w:r>
    </w:p>
    <w:p w14:paraId="552E7988">
      <w:pPr>
        <w:pStyle w:val="145"/>
        <w:pageBreakBefore w:val="0"/>
        <w:tabs>
          <w:tab w:val="left" w:pos="1429"/>
        </w:tabs>
        <w:wordWrap/>
        <w:topLinePunct w:val="0"/>
        <w:bidi w:val="0"/>
        <w:spacing w:line="560" w:lineRule="exact"/>
        <w:rPr>
          <w:rFonts w:asciiTheme="minorEastAsia" w:hAnsiTheme="minorEastAsia" w:eastAsiaTheme="minorEastAsia"/>
          <w:bCs/>
          <w:color w:val="000000" w:themeColor="text1"/>
          <w:sz w:val="28"/>
          <w:szCs w:val="28"/>
          <w:highlight w:val="none"/>
          <w14:textFill>
            <w14:solidFill>
              <w14:schemeClr w14:val="tx1"/>
            </w14:solidFill>
          </w14:textFill>
        </w:rPr>
      </w:pPr>
    </w:p>
    <w:p w14:paraId="7307CA82">
      <w:pPr>
        <w:pStyle w:val="145"/>
        <w:pageBreakBefore w:val="0"/>
        <w:tabs>
          <w:tab w:val="left" w:pos="1429"/>
        </w:tabs>
        <w:wordWrap/>
        <w:topLinePunct w:val="0"/>
        <w:bidi w:val="0"/>
        <w:spacing w:line="560" w:lineRule="exact"/>
        <w:rPr>
          <w:rFonts w:asciiTheme="minorEastAsia" w:hAnsiTheme="minorEastAsia" w:eastAsiaTheme="minorEastAsia"/>
          <w:bCs/>
          <w:color w:val="000000" w:themeColor="text1"/>
          <w:sz w:val="28"/>
          <w:szCs w:val="28"/>
          <w:highlight w:val="none"/>
          <w14:textFill>
            <w14:solidFill>
              <w14:schemeClr w14:val="tx1"/>
            </w14:solidFill>
          </w14:textFill>
        </w:rPr>
      </w:pPr>
    </w:p>
    <w:p w14:paraId="3D78C310">
      <w:pPr>
        <w:pStyle w:val="145"/>
        <w:pageBreakBefore w:val="0"/>
        <w:tabs>
          <w:tab w:val="left" w:pos="1429"/>
        </w:tabs>
        <w:wordWrap/>
        <w:topLinePunct w:val="0"/>
        <w:bidi w:val="0"/>
        <w:spacing w:line="560" w:lineRule="exact"/>
        <w:rPr>
          <w:rFonts w:asciiTheme="minorEastAsia" w:hAnsiTheme="minorEastAsia" w:eastAsiaTheme="minorEastAsia"/>
          <w:bCs/>
          <w:color w:val="000000" w:themeColor="text1"/>
          <w:sz w:val="28"/>
          <w:szCs w:val="28"/>
          <w:highlight w:val="none"/>
          <w14:textFill>
            <w14:solidFill>
              <w14:schemeClr w14:val="tx1"/>
            </w14:solidFill>
          </w14:textFill>
        </w:rPr>
      </w:pPr>
    </w:p>
    <w:p w14:paraId="57AAD580">
      <w:pPr>
        <w:pStyle w:val="145"/>
        <w:pageBreakBefore w:val="0"/>
        <w:tabs>
          <w:tab w:val="left" w:pos="1429"/>
        </w:tabs>
        <w:wordWrap/>
        <w:topLinePunct w:val="0"/>
        <w:bidi w:val="0"/>
        <w:spacing w:line="560" w:lineRule="exact"/>
        <w:rPr>
          <w:rFonts w:asciiTheme="minorEastAsia" w:hAnsiTheme="minorEastAsia" w:eastAsiaTheme="minorEastAsia"/>
          <w:bCs/>
          <w:color w:val="000000" w:themeColor="text1"/>
          <w:sz w:val="28"/>
          <w:szCs w:val="28"/>
          <w:highlight w:val="none"/>
          <w14:textFill>
            <w14:solidFill>
              <w14:schemeClr w14:val="tx1"/>
            </w14:solidFill>
          </w14:textFill>
        </w:rPr>
      </w:pPr>
    </w:p>
    <w:p w14:paraId="48A43E90">
      <w:pPr>
        <w:pStyle w:val="145"/>
        <w:pageBreakBefore w:val="0"/>
        <w:tabs>
          <w:tab w:val="left" w:pos="1429"/>
        </w:tabs>
        <w:wordWrap/>
        <w:topLinePunct w:val="0"/>
        <w:bidi w:val="0"/>
        <w:spacing w:line="560" w:lineRule="exact"/>
        <w:rPr>
          <w:rFonts w:asciiTheme="minorEastAsia" w:hAnsiTheme="minorEastAsia" w:eastAsiaTheme="minorEastAsia"/>
          <w:bCs/>
          <w:color w:val="000000" w:themeColor="text1"/>
          <w:sz w:val="28"/>
          <w:szCs w:val="28"/>
          <w:highlight w:val="none"/>
          <w14:textFill>
            <w14:solidFill>
              <w14:schemeClr w14:val="tx1"/>
            </w14:solidFill>
          </w14:textFill>
        </w:rPr>
      </w:pPr>
    </w:p>
    <w:p w14:paraId="1C6BF7AF">
      <w:pPr>
        <w:pStyle w:val="145"/>
        <w:pageBreakBefore w:val="0"/>
        <w:tabs>
          <w:tab w:val="left" w:pos="1429"/>
        </w:tabs>
        <w:wordWrap/>
        <w:topLinePunct w:val="0"/>
        <w:bidi w:val="0"/>
        <w:spacing w:line="560" w:lineRule="exact"/>
        <w:rPr>
          <w:rFonts w:asciiTheme="minorEastAsia" w:hAnsiTheme="minorEastAsia" w:eastAsiaTheme="minorEastAsia"/>
          <w:bCs/>
          <w:color w:val="000000" w:themeColor="text1"/>
          <w:sz w:val="28"/>
          <w:szCs w:val="28"/>
          <w:highlight w:val="none"/>
          <w14:textFill>
            <w14:solidFill>
              <w14:schemeClr w14:val="tx1"/>
            </w14:solidFill>
          </w14:textFill>
        </w:rPr>
      </w:pPr>
    </w:p>
    <w:p w14:paraId="30A727DC">
      <w:pPr>
        <w:pStyle w:val="145"/>
        <w:pageBreakBefore w:val="0"/>
        <w:tabs>
          <w:tab w:val="left" w:pos="1429"/>
        </w:tabs>
        <w:wordWrap/>
        <w:topLinePunct w:val="0"/>
        <w:bidi w:val="0"/>
        <w:spacing w:line="560" w:lineRule="exact"/>
        <w:rPr>
          <w:rFonts w:asciiTheme="minorEastAsia" w:hAnsiTheme="minorEastAsia" w:eastAsiaTheme="minorEastAsia"/>
          <w:bCs/>
          <w:color w:val="000000" w:themeColor="text1"/>
          <w:sz w:val="28"/>
          <w:szCs w:val="28"/>
          <w:highlight w:val="none"/>
          <w14:textFill>
            <w14:solidFill>
              <w14:schemeClr w14:val="tx1"/>
            </w14:solidFill>
          </w14:textFill>
        </w:rPr>
      </w:pPr>
    </w:p>
    <w:p w14:paraId="70F45D23">
      <w:pPr>
        <w:pStyle w:val="145"/>
        <w:pageBreakBefore w:val="0"/>
        <w:tabs>
          <w:tab w:val="left" w:pos="1429"/>
        </w:tabs>
        <w:wordWrap/>
        <w:topLinePunct w:val="0"/>
        <w:bidi w:val="0"/>
        <w:spacing w:line="560" w:lineRule="exact"/>
        <w:rPr>
          <w:rFonts w:asciiTheme="minorEastAsia" w:hAnsiTheme="minorEastAsia" w:eastAsiaTheme="minorEastAsia"/>
          <w:bCs/>
          <w:color w:val="000000" w:themeColor="text1"/>
          <w:sz w:val="28"/>
          <w:szCs w:val="28"/>
          <w:highlight w:val="none"/>
          <w14:textFill>
            <w14:solidFill>
              <w14:schemeClr w14:val="tx1"/>
            </w14:solidFill>
          </w14:textFill>
        </w:rPr>
      </w:pPr>
    </w:p>
    <w:p w14:paraId="117496D8">
      <w:pPr>
        <w:pStyle w:val="145"/>
        <w:pageBreakBefore w:val="0"/>
        <w:tabs>
          <w:tab w:val="left" w:pos="1429"/>
        </w:tabs>
        <w:wordWrap/>
        <w:topLinePunct w:val="0"/>
        <w:bidi w:val="0"/>
        <w:spacing w:line="560" w:lineRule="exact"/>
        <w:rPr>
          <w:rFonts w:asciiTheme="minorEastAsia" w:hAnsiTheme="minorEastAsia" w:eastAsiaTheme="minorEastAsia"/>
          <w:bCs/>
          <w:color w:val="000000" w:themeColor="text1"/>
          <w:sz w:val="28"/>
          <w:szCs w:val="28"/>
          <w:highlight w:val="none"/>
          <w14:textFill>
            <w14:solidFill>
              <w14:schemeClr w14:val="tx1"/>
            </w14:solidFill>
          </w14:textFill>
        </w:rPr>
      </w:pPr>
    </w:p>
    <w:p w14:paraId="7BFF272C">
      <w:pPr>
        <w:pStyle w:val="145"/>
        <w:pageBreakBefore w:val="0"/>
        <w:tabs>
          <w:tab w:val="left" w:pos="1429"/>
        </w:tabs>
        <w:wordWrap/>
        <w:topLinePunct w:val="0"/>
        <w:bidi w:val="0"/>
        <w:spacing w:line="560" w:lineRule="exact"/>
        <w:rPr>
          <w:rFonts w:asciiTheme="minorEastAsia" w:hAnsiTheme="minorEastAsia" w:eastAsiaTheme="minorEastAsia"/>
          <w:bCs/>
          <w:color w:val="000000" w:themeColor="text1"/>
          <w:sz w:val="28"/>
          <w:szCs w:val="28"/>
          <w:highlight w:val="none"/>
          <w14:textFill>
            <w14:solidFill>
              <w14:schemeClr w14:val="tx1"/>
            </w14:solidFill>
          </w14:textFill>
        </w:rPr>
      </w:pPr>
    </w:p>
    <w:p w14:paraId="5900006C">
      <w:pPr>
        <w:pStyle w:val="145"/>
        <w:pageBreakBefore w:val="0"/>
        <w:tabs>
          <w:tab w:val="left" w:pos="1429"/>
        </w:tabs>
        <w:wordWrap/>
        <w:topLinePunct w:val="0"/>
        <w:bidi w:val="0"/>
        <w:spacing w:line="560" w:lineRule="exact"/>
        <w:rPr>
          <w:rFonts w:asciiTheme="minorEastAsia" w:hAnsiTheme="minorEastAsia" w:eastAsiaTheme="minorEastAsia"/>
          <w:bCs/>
          <w:color w:val="000000" w:themeColor="text1"/>
          <w:sz w:val="28"/>
          <w:szCs w:val="28"/>
          <w:highlight w:val="none"/>
          <w14:textFill>
            <w14:solidFill>
              <w14:schemeClr w14:val="tx1"/>
            </w14:solidFill>
          </w14:textFill>
        </w:rPr>
      </w:pPr>
    </w:p>
    <w:p w14:paraId="42FBB876">
      <w:pPr>
        <w:pStyle w:val="145"/>
        <w:pageBreakBefore w:val="0"/>
        <w:tabs>
          <w:tab w:val="left" w:pos="1429"/>
        </w:tabs>
        <w:wordWrap/>
        <w:topLinePunct w:val="0"/>
        <w:bidi w:val="0"/>
        <w:spacing w:line="560" w:lineRule="exact"/>
        <w:rPr>
          <w:rFonts w:asciiTheme="minorEastAsia" w:hAnsiTheme="minorEastAsia" w:eastAsiaTheme="minorEastAsia"/>
          <w:bCs/>
          <w:color w:val="000000" w:themeColor="text1"/>
          <w:sz w:val="28"/>
          <w:szCs w:val="28"/>
          <w:highlight w:val="none"/>
          <w14:textFill>
            <w14:solidFill>
              <w14:schemeClr w14:val="tx1"/>
            </w14:solidFill>
          </w14:textFill>
        </w:rPr>
      </w:pPr>
    </w:p>
    <w:p w14:paraId="3AB7B8A0">
      <w:pPr>
        <w:pStyle w:val="145"/>
        <w:pageBreakBefore w:val="0"/>
        <w:tabs>
          <w:tab w:val="left" w:pos="1429"/>
        </w:tabs>
        <w:wordWrap/>
        <w:topLinePunct w:val="0"/>
        <w:bidi w:val="0"/>
        <w:spacing w:line="560" w:lineRule="exact"/>
        <w:rPr>
          <w:rFonts w:asciiTheme="minorEastAsia" w:hAnsiTheme="minorEastAsia" w:eastAsiaTheme="minorEastAsia"/>
          <w:bCs/>
          <w:color w:val="000000" w:themeColor="text1"/>
          <w:sz w:val="28"/>
          <w:szCs w:val="28"/>
          <w:highlight w:val="none"/>
          <w14:textFill>
            <w14:solidFill>
              <w14:schemeClr w14:val="tx1"/>
            </w14:solidFill>
          </w14:textFill>
        </w:rPr>
      </w:pPr>
    </w:p>
    <w:p w14:paraId="308A79DD">
      <w:pPr>
        <w:pStyle w:val="145"/>
        <w:pageBreakBefore w:val="0"/>
        <w:tabs>
          <w:tab w:val="left" w:pos="1429"/>
        </w:tabs>
        <w:wordWrap/>
        <w:topLinePunct w:val="0"/>
        <w:bidi w:val="0"/>
        <w:spacing w:line="560" w:lineRule="exact"/>
        <w:rPr>
          <w:rFonts w:asciiTheme="minorEastAsia" w:hAnsiTheme="minorEastAsia" w:eastAsiaTheme="minorEastAsia"/>
          <w:bCs/>
          <w:color w:val="000000" w:themeColor="text1"/>
          <w:sz w:val="28"/>
          <w:szCs w:val="28"/>
          <w:highlight w:val="none"/>
          <w14:textFill>
            <w14:solidFill>
              <w14:schemeClr w14:val="tx1"/>
            </w14:solidFill>
          </w14:textFill>
        </w:rPr>
      </w:pPr>
    </w:p>
    <w:p w14:paraId="2B55B66C">
      <w:pPr>
        <w:pStyle w:val="145"/>
        <w:pageBreakBefore w:val="0"/>
        <w:tabs>
          <w:tab w:val="left" w:pos="1429"/>
        </w:tabs>
        <w:wordWrap/>
        <w:topLinePunct w:val="0"/>
        <w:bidi w:val="0"/>
        <w:spacing w:line="560" w:lineRule="exact"/>
        <w:rPr>
          <w:rFonts w:asciiTheme="minorEastAsia" w:hAnsiTheme="minorEastAsia" w:eastAsiaTheme="minorEastAsia"/>
          <w:bCs/>
          <w:color w:val="000000" w:themeColor="text1"/>
          <w:sz w:val="28"/>
          <w:szCs w:val="28"/>
          <w:highlight w:val="none"/>
          <w14:textFill>
            <w14:solidFill>
              <w14:schemeClr w14:val="tx1"/>
            </w14:solidFill>
          </w14:textFill>
        </w:rPr>
      </w:pPr>
    </w:p>
    <w:p w14:paraId="7DB22E95">
      <w:pPr>
        <w:pStyle w:val="145"/>
        <w:pageBreakBefore w:val="0"/>
        <w:tabs>
          <w:tab w:val="left" w:pos="1429"/>
        </w:tabs>
        <w:wordWrap/>
        <w:topLinePunct w:val="0"/>
        <w:bidi w:val="0"/>
        <w:spacing w:line="560" w:lineRule="exact"/>
        <w:rPr>
          <w:rFonts w:asciiTheme="minorEastAsia" w:hAnsiTheme="minorEastAsia" w:eastAsiaTheme="minorEastAsia"/>
          <w:bCs/>
          <w:color w:val="000000" w:themeColor="text1"/>
          <w:sz w:val="28"/>
          <w:szCs w:val="28"/>
          <w:highlight w:val="none"/>
          <w14:textFill>
            <w14:solidFill>
              <w14:schemeClr w14:val="tx1"/>
            </w14:solidFill>
          </w14:textFill>
        </w:rPr>
      </w:pPr>
    </w:p>
    <w:p w14:paraId="5AB2F457">
      <w:pPr>
        <w:pStyle w:val="145"/>
        <w:pageBreakBefore w:val="0"/>
        <w:tabs>
          <w:tab w:val="left" w:pos="1429"/>
        </w:tabs>
        <w:wordWrap/>
        <w:topLinePunct w:val="0"/>
        <w:bidi w:val="0"/>
        <w:spacing w:line="560" w:lineRule="exact"/>
        <w:rPr>
          <w:rFonts w:asciiTheme="minorEastAsia" w:hAnsiTheme="minorEastAsia" w:eastAsiaTheme="minorEastAsia"/>
          <w:bCs/>
          <w:color w:val="000000" w:themeColor="text1"/>
          <w:sz w:val="28"/>
          <w:szCs w:val="28"/>
          <w:highlight w:val="none"/>
          <w14:textFill>
            <w14:solidFill>
              <w14:schemeClr w14:val="tx1"/>
            </w14:solidFill>
          </w14:textFill>
        </w:rPr>
      </w:pPr>
    </w:p>
    <w:p w14:paraId="01DE8442">
      <w:pPr>
        <w:pStyle w:val="145"/>
        <w:pageBreakBefore w:val="0"/>
        <w:tabs>
          <w:tab w:val="left" w:pos="1429"/>
        </w:tabs>
        <w:wordWrap/>
        <w:topLinePunct w:val="0"/>
        <w:bidi w:val="0"/>
        <w:spacing w:line="560" w:lineRule="exact"/>
        <w:rPr>
          <w:rFonts w:asciiTheme="minorEastAsia" w:hAnsiTheme="minorEastAsia" w:eastAsiaTheme="minorEastAsia"/>
          <w:bCs/>
          <w:color w:val="000000" w:themeColor="text1"/>
          <w:sz w:val="28"/>
          <w:szCs w:val="28"/>
          <w:highlight w:val="none"/>
          <w14:textFill>
            <w14:solidFill>
              <w14:schemeClr w14:val="tx1"/>
            </w14:solidFill>
          </w14:textFill>
        </w:rPr>
      </w:pPr>
    </w:p>
    <w:p w14:paraId="693A4F13">
      <w:pPr>
        <w:pStyle w:val="145"/>
        <w:pageBreakBefore w:val="0"/>
        <w:tabs>
          <w:tab w:val="left" w:pos="1429"/>
        </w:tabs>
        <w:wordWrap/>
        <w:topLinePunct w:val="0"/>
        <w:bidi w:val="0"/>
        <w:spacing w:line="560" w:lineRule="exact"/>
        <w:rPr>
          <w:rFonts w:asciiTheme="minorEastAsia" w:hAnsiTheme="minorEastAsia" w:eastAsiaTheme="minorEastAsia"/>
          <w:bCs/>
          <w:color w:val="000000" w:themeColor="text1"/>
          <w:sz w:val="28"/>
          <w:szCs w:val="28"/>
          <w:highlight w:val="none"/>
          <w14:textFill>
            <w14:solidFill>
              <w14:schemeClr w14:val="tx1"/>
            </w14:solidFill>
          </w14:textFill>
        </w:rPr>
      </w:pPr>
    </w:p>
    <w:p w14:paraId="033C3E73">
      <w:pPr>
        <w:pageBreakBefore w:val="0"/>
        <w:wordWrap/>
        <w:topLinePunct w:val="0"/>
        <w:bidi w:val="0"/>
        <w:spacing w:line="560" w:lineRule="exact"/>
        <w:rPr>
          <w:color w:val="000000" w:themeColor="text1"/>
          <w:highlight w:val="none"/>
          <w14:textFill>
            <w14:solidFill>
              <w14:schemeClr w14:val="tx1"/>
            </w14:solidFill>
          </w14:textFill>
        </w:rPr>
      </w:pPr>
    </w:p>
    <w:p w14:paraId="4936E659">
      <w:pPr>
        <w:keepNext w:val="0"/>
        <w:keepLines w:val="0"/>
        <w:pageBreakBefore w:val="0"/>
        <w:kinsoku/>
        <w:wordWrap/>
        <w:overflowPunct/>
        <w:topLinePunct w:val="0"/>
        <w:autoSpaceDE/>
        <w:autoSpaceDN/>
        <w:bidi w:val="0"/>
        <w:adjustRightInd/>
        <w:snapToGrid/>
        <w:spacing w:line="560" w:lineRule="exact"/>
        <w:ind w:right="0" w:firstLine="0" w:firstLineChars="0"/>
        <w:jc w:val="both"/>
        <w:textAlignment w:val="auto"/>
        <w:rPr>
          <w:rFonts w:hint="eastAsia" w:cs="仿宋_GB2312" w:asciiTheme="minorEastAsia" w:hAnsiTheme="minorEastAsia" w:eastAsiaTheme="minorEastAsia"/>
          <w:b/>
          <w:color w:val="000000" w:themeColor="text1"/>
          <w:sz w:val="28"/>
          <w:szCs w:val="28"/>
          <w:highlight w:val="none"/>
          <w:lang w:eastAsia="zh-CN"/>
          <w14:textFill>
            <w14:solidFill>
              <w14:schemeClr w14:val="tx1"/>
            </w14:solidFill>
          </w14:textFill>
        </w:rPr>
      </w:pPr>
    </w:p>
    <w:p w14:paraId="388B713E">
      <w:pPr>
        <w:keepNext w:val="0"/>
        <w:keepLines w:val="0"/>
        <w:pageBreakBefore w:val="0"/>
        <w:kinsoku/>
        <w:wordWrap/>
        <w:overflowPunct/>
        <w:topLinePunct w:val="0"/>
        <w:autoSpaceDE/>
        <w:autoSpaceDN/>
        <w:bidi w:val="0"/>
        <w:adjustRightInd/>
        <w:snapToGrid/>
        <w:spacing w:line="560" w:lineRule="exact"/>
        <w:ind w:right="0" w:firstLine="0" w:firstLineChars="0"/>
        <w:jc w:val="both"/>
        <w:textAlignment w:val="auto"/>
        <w:rPr>
          <w:rFonts w:hint="eastAsia" w:cs="仿宋_GB2312" w:asciiTheme="minorEastAsia" w:hAnsiTheme="minorEastAsia" w:eastAsiaTheme="minorEastAsia"/>
          <w:b/>
          <w:color w:val="000000" w:themeColor="text1"/>
          <w:sz w:val="28"/>
          <w:szCs w:val="28"/>
          <w:highlight w:val="none"/>
          <w:lang w:eastAsia="zh-CN"/>
          <w14:textFill>
            <w14:solidFill>
              <w14:schemeClr w14:val="tx1"/>
            </w14:solidFill>
          </w14:textFill>
        </w:rPr>
      </w:pPr>
    </w:p>
    <w:p w14:paraId="224548B0">
      <w:pPr>
        <w:keepNext w:val="0"/>
        <w:keepLines w:val="0"/>
        <w:pageBreakBefore w:val="0"/>
        <w:kinsoku/>
        <w:wordWrap/>
        <w:overflowPunct/>
        <w:topLinePunct w:val="0"/>
        <w:autoSpaceDE/>
        <w:autoSpaceDN/>
        <w:bidi w:val="0"/>
        <w:adjustRightInd/>
        <w:snapToGrid/>
        <w:spacing w:line="560" w:lineRule="exact"/>
        <w:ind w:right="0" w:firstLine="0" w:firstLineChars="0"/>
        <w:jc w:val="both"/>
        <w:textAlignment w:val="auto"/>
        <w:rPr>
          <w:rFonts w:hint="eastAsia" w:cs="仿宋_GB2312" w:asciiTheme="minorEastAsia" w:hAnsiTheme="minorEastAsia" w:eastAsiaTheme="minorEastAsia"/>
          <w:b/>
          <w:color w:val="000000" w:themeColor="text1"/>
          <w:sz w:val="28"/>
          <w:szCs w:val="28"/>
          <w:highlight w:val="none"/>
          <w:lang w:eastAsia="zh-CN"/>
          <w14:textFill>
            <w14:solidFill>
              <w14:schemeClr w14:val="tx1"/>
            </w14:solidFill>
          </w14:textFill>
        </w:rPr>
      </w:pPr>
    </w:p>
    <w:p w14:paraId="5F572CD3">
      <w:pPr>
        <w:keepNext w:val="0"/>
        <w:keepLines w:val="0"/>
        <w:pageBreakBefore w:val="0"/>
        <w:kinsoku/>
        <w:wordWrap/>
        <w:overflowPunct/>
        <w:topLinePunct w:val="0"/>
        <w:autoSpaceDE/>
        <w:autoSpaceDN/>
        <w:bidi w:val="0"/>
        <w:adjustRightInd/>
        <w:snapToGrid/>
        <w:spacing w:line="560" w:lineRule="exact"/>
        <w:ind w:right="0" w:firstLine="0" w:firstLineChars="0"/>
        <w:jc w:val="both"/>
        <w:textAlignment w:val="auto"/>
        <w:rPr>
          <w:rFonts w:hint="eastAsia" w:cs="仿宋_GB2312" w:asciiTheme="minorEastAsia" w:hAnsiTheme="minorEastAsia" w:eastAsiaTheme="minorEastAsia"/>
          <w:b/>
          <w:color w:val="000000" w:themeColor="text1"/>
          <w:sz w:val="28"/>
          <w:szCs w:val="28"/>
          <w:highlight w:val="none"/>
          <w:lang w:eastAsia="zh-CN"/>
          <w14:textFill>
            <w14:solidFill>
              <w14:schemeClr w14:val="tx1"/>
            </w14:solidFill>
          </w14:textFill>
        </w:rPr>
      </w:pPr>
    </w:p>
    <w:p w14:paraId="4C92AEA0">
      <w:pPr>
        <w:keepNext w:val="0"/>
        <w:keepLines w:val="0"/>
        <w:pageBreakBefore w:val="0"/>
        <w:kinsoku/>
        <w:wordWrap/>
        <w:overflowPunct/>
        <w:topLinePunct w:val="0"/>
        <w:autoSpaceDE/>
        <w:autoSpaceDN/>
        <w:bidi w:val="0"/>
        <w:adjustRightInd/>
        <w:snapToGrid/>
        <w:spacing w:line="560" w:lineRule="exact"/>
        <w:ind w:right="0" w:firstLine="0" w:firstLineChars="0"/>
        <w:jc w:val="both"/>
        <w:textAlignment w:val="auto"/>
        <w:rPr>
          <w:rFonts w:hint="eastAsia" w:cs="仿宋_GB2312" w:asciiTheme="minorEastAsia" w:hAnsiTheme="minorEastAsia" w:eastAsiaTheme="minorEastAsia"/>
          <w:b/>
          <w:color w:val="000000" w:themeColor="text1"/>
          <w:sz w:val="28"/>
          <w:szCs w:val="28"/>
          <w:highlight w:val="none"/>
          <w:lang w:eastAsia="zh-CN"/>
          <w14:textFill>
            <w14:solidFill>
              <w14:schemeClr w14:val="tx1"/>
            </w14:solidFill>
          </w14:textFill>
        </w:rPr>
      </w:pPr>
      <w:r>
        <w:rPr>
          <w:rFonts w:hint="eastAsia" w:cs="仿宋_GB2312" w:asciiTheme="minorEastAsia" w:hAnsiTheme="minorEastAsia" w:eastAsiaTheme="minorEastAsia"/>
          <w:b/>
          <w:color w:val="000000" w:themeColor="text1"/>
          <w:sz w:val="28"/>
          <w:szCs w:val="28"/>
          <w:highlight w:val="none"/>
          <w:lang w:eastAsia="zh-CN"/>
          <w14:textFill>
            <w14:solidFill>
              <w14:schemeClr w14:val="tx1"/>
            </w14:solidFill>
          </w14:textFill>
        </w:rPr>
        <w:t>八、特定资格要求</w:t>
      </w:r>
    </w:p>
    <w:p w14:paraId="108CEF4F">
      <w:pPr>
        <w:pStyle w:val="145"/>
        <w:pageBreakBefore w:val="0"/>
        <w:tabs>
          <w:tab w:val="left" w:pos="1429"/>
        </w:tabs>
        <w:wordWrap/>
        <w:topLinePunct w:val="0"/>
        <w:bidi w:val="0"/>
        <w:spacing w:line="560" w:lineRule="exact"/>
        <w:rPr>
          <w:rFonts w:asciiTheme="minorEastAsia" w:hAnsiTheme="minorEastAsia" w:eastAsiaTheme="minorEastAsia"/>
          <w:bCs/>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lang w:eastAsia="zh-CN"/>
          <w14:textFill>
            <w14:solidFill>
              <w14:schemeClr w14:val="tx1"/>
            </w14:solidFill>
          </w14:textFill>
        </w:rPr>
        <w:t>附：（1）供应商为制造商需提供《医疗器械生产许可证》 及投标产品《医疗器械注册证》；</w:t>
      </w:r>
      <w:r>
        <w:rPr>
          <w:rFonts w:hint="eastAsia" w:ascii="宋体" w:hAnsi="宋体" w:cs="宋体"/>
          <w:b w:val="0"/>
          <w:bCs/>
          <w:color w:val="000000" w:themeColor="text1"/>
          <w:sz w:val="28"/>
          <w:szCs w:val="28"/>
          <w:highlight w:val="none"/>
          <w:lang w:eastAsia="zh-CN"/>
          <w14:textFill>
            <w14:solidFill>
              <w14:schemeClr w14:val="tx1"/>
            </w14:solidFill>
          </w14:textFill>
        </w:rPr>
        <w:t>（2）供应商为代理商需提供有效的行政主管部门颁发的《医疗器械经营备案证》</w:t>
      </w:r>
      <w:r>
        <w:rPr>
          <w:rFonts w:hint="eastAsia" w:ascii="宋体" w:hAnsi="宋体" w:cs="宋体"/>
          <w:b w:val="0"/>
          <w:bCs/>
          <w:color w:val="000000" w:themeColor="text1"/>
          <w:sz w:val="28"/>
          <w:szCs w:val="28"/>
          <w:highlight w:val="none"/>
          <w:lang w:val="en-US" w:eastAsia="zh-CN"/>
          <w14:textFill>
            <w14:solidFill>
              <w14:schemeClr w14:val="tx1"/>
            </w14:solidFill>
          </w14:textFill>
        </w:rPr>
        <w:t>和</w:t>
      </w:r>
      <w:r>
        <w:rPr>
          <w:rFonts w:hint="eastAsia" w:ascii="宋体" w:hAnsi="宋体" w:cs="宋体"/>
          <w:b w:val="0"/>
          <w:bCs/>
          <w:color w:val="000000" w:themeColor="text1"/>
          <w:sz w:val="28"/>
          <w:szCs w:val="28"/>
          <w:highlight w:val="none"/>
          <w:lang w:eastAsia="zh-CN"/>
          <w14:textFill>
            <w14:solidFill>
              <w14:schemeClr w14:val="tx1"/>
            </w14:solidFill>
          </w14:textFill>
        </w:rPr>
        <w:t>《医疗器械经营许可证》及制造商的《医疗器械生产许可证》和投标产品《医疗器械注册证》；</w:t>
      </w:r>
    </w:p>
    <w:p w14:paraId="357439AF">
      <w:pPr>
        <w:pStyle w:val="145"/>
        <w:pageBreakBefore w:val="0"/>
        <w:tabs>
          <w:tab w:val="left" w:pos="1429"/>
        </w:tabs>
        <w:wordWrap/>
        <w:topLinePunct w:val="0"/>
        <w:bidi w:val="0"/>
        <w:spacing w:line="560" w:lineRule="exact"/>
        <w:rPr>
          <w:rFonts w:asciiTheme="minorEastAsia" w:hAnsiTheme="minorEastAsia" w:eastAsiaTheme="minorEastAsia"/>
          <w:bCs/>
          <w:color w:val="000000" w:themeColor="text1"/>
          <w:sz w:val="28"/>
          <w:szCs w:val="28"/>
          <w:highlight w:val="none"/>
          <w14:textFill>
            <w14:solidFill>
              <w14:schemeClr w14:val="tx1"/>
            </w14:solidFill>
          </w14:textFill>
        </w:rPr>
      </w:pPr>
    </w:p>
    <w:p w14:paraId="7AFF9236">
      <w:pPr>
        <w:pStyle w:val="145"/>
        <w:pageBreakBefore w:val="0"/>
        <w:tabs>
          <w:tab w:val="left" w:pos="1429"/>
        </w:tabs>
        <w:wordWrap/>
        <w:topLinePunct w:val="0"/>
        <w:bidi w:val="0"/>
        <w:spacing w:line="560" w:lineRule="exact"/>
        <w:rPr>
          <w:rFonts w:asciiTheme="minorEastAsia" w:hAnsiTheme="minorEastAsia" w:eastAsiaTheme="minorEastAsia"/>
          <w:bCs/>
          <w:color w:val="000000" w:themeColor="text1"/>
          <w:sz w:val="28"/>
          <w:szCs w:val="28"/>
          <w:highlight w:val="none"/>
          <w14:textFill>
            <w14:solidFill>
              <w14:schemeClr w14:val="tx1"/>
            </w14:solidFill>
          </w14:textFill>
        </w:rPr>
      </w:pPr>
    </w:p>
    <w:p w14:paraId="55A68B50">
      <w:pPr>
        <w:pStyle w:val="145"/>
        <w:pageBreakBefore w:val="0"/>
        <w:tabs>
          <w:tab w:val="left" w:pos="1429"/>
        </w:tabs>
        <w:wordWrap/>
        <w:topLinePunct w:val="0"/>
        <w:bidi w:val="0"/>
        <w:spacing w:line="560" w:lineRule="exact"/>
        <w:rPr>
          <w:rFonts w:asciiTheme="minorEastAsia" w:hAnsiTheme="minorEastAsia" w:eastAsiaTheme="minorEastAsia"/>
          <w:bCs/>
          <w:color w:val="000000" w:themeColor="text1"/>
          <w:sz w:val="28"/>
          <w:szCs w:val="28"/>
          <w:highlight w:val="none"/>
          <w14:textFill>
            <w14:solidFill>
              <w14:schemeClr w14:val="tx1"/>
            </w14:solidFill>
          </w14:textFill>
        </w:rPr>
      </w:pPr>
    </w:p>
    <w:p w14:paraId="767C6E7D">
      <w:pPr>
        <w:pStyle w:val="145"/>
        <w:pageBreakBefore w:val="0"/>
        <w:tabs>
          <w:tab w:val="left" w:pos="1429"/>
        </w:tabs>
        <w:wordWrap/>
        <w:topLinePunct w:val="0"/>
        <w:bidi w:val="0"/>
        <w:spacing w:line="560" w:lineRule="exact"/>
        <w:rPr>
          <w:rFonts w:asciiTheme="minorEastAsia" w:hAnsiTheme="minorEastAsia" w:eastAsiaTheme="minorEastAsia"/>
          <w:bCs/>
          <w:color w:val="000000" w:themeColor="text1"/>
          <w:sz w:val="28"/>
          <w:szCs w:val="28"/>
          <w:highlight w:val="none"/>
          <w14:textFill>
            <w14:solidFill>
              <w14:schemeClr w14:val="tx1"/>
            </w14:solidFill>
          </w14:textFill>
        </w:rPr>
      </w:pPr>
    </w:p>
    <w:p w14:paraId="5C343135">
      <w:pPr>
        <w:pStyle w:val="145"/>
        <w:pageBreakBefore w:val="0"/>
        <w:tabs>
          <w:tab w:val="left" w:pos="1429"/>
        </w:tabs>
        <w:wordWrap/>
        <w:topLinePunct w:val="0"/>
        <w:bidi w:val="0"/>
        <w:spacing w:line="560" w:lineRule="exact"/>
        <w:rPr>
          <w:rFonts w:asciiTheme="minorEastAsia" w:hAnsiTheme="minorEastAsia" w:eastAsiaTheme="minorEastAsia"/>
          <w:bCs/>
          <w:color w:val="000000" w:themeColor="text1"/>
          <w:sz w:val="28"/>
          <w:szCs w:val="28"/>
          <w:highlight w:val="none"/>
          <w14:textFill>
            <w14:solidFill>
              <w14:schemeClr w14:val="tx1"/>
            </w14:solidFill>
          </w14:textFill>
        </w:rPr>
      </w:pPr>
    </w:p>
    <w:p w14:paraId="22D366B5">
      <w:pPr>
        <w:pStyle w:val="145"/>
        <w:pageBreakBefore w:val="0"/>
        <w:tabs>
          <w:tab w:val="left" w:pos="1429"/>
        </w:tabs>
        <w:wordWrap/>
        <w:topLinePunct w:val="0"/>
        <w:bidi w:val="0"/>
        <w:spacing w:line="560" w:lineRule="exact"/>
        <w:rPr>
          <w:rFonts w:asciiTheme="minorEastAsia" w:hAnsiTheme="minorEastAsia" w:eastAsiaTheme="minorEastAsia"/>
          <w:bCs/>
          <w:color w:val="000000" w:themeColor="text1"/>
          <w:sz w:val="28"/>
          <w:szCs w:val="28"/>
          <w:highlight w:val="none"/>
          <w14:textFill>
            <w14:solidFill>
              <w14:schemeClr w14:val="tx1"/>
            </w14:solidFill>
          </w14:textFill>
        </w:rPr>
      </w:pPr>
    </w:p>
    <w:p w14:paraId="45E43897">
      <w:pPr>
        <w:pStyle w:val="145"/>
        <w:pageBreakBefore w:val="0"/>
        <w:tabs>
          <w:tab w:val="left" w:pos="1429"/>
        </w:tabs>
        <w:wordWrap/>
        <w:topLinePunct w:val="0"/>
        <w:bidi w:val="0"/>
        <w:spacing w:line="560" w:lineRule="exact"/>
        <w:rPr>
          <w:rFonts w:asciiTheme="minorEastAsia" w:hAnsiTheme="minorEastAsia" w:eastAsiaTheme="minorEastAsia"/>
          <w:bCs/>
          <w:color w:val="000000" w:themeColor="text1"/>
          <w:sz w:val="28"/>
          <w:szCs w:val="28"/>
          <w:highlight w:val="none"/>
          <w14:textFill>
            <w14:solidFill>
              <w14:schemeClr w14:val="tx1"/>
            </w14:solidFill>
          </w14:textFill>
        </w:rPr>
      </w:pPr>
    </w:p>
    <w:p w14:paraId="14F29503">
      <w:pPr>
        <w:pStyle w:val="145"/>
        <w:pageBreakBefore w:val="0"/>
        <w:tabs>
          <w:tab w:val="left" w:pos="1429"/>
        </w:tabs>
        <w:wordWrap/>
        <w:topLinePunct w:val="0"/>
        <w:bidi w:val="0"/>
        <w:spacing w:line="560" w:lineRule="exact"/>
        <w:rPr>
          <w:rFonts w:asciiTheme="minorEastAsia" w:hAnsiTheme="minorEastAsia" w:eastAsiaTheme="minorEastAsia"/>
          <w:bCs/>
          <w:color w:val="000000" w:themeColor="text1"/>
          <w:sz w:val="28"/>
          <w:szCs w:val="28"/>
          <w:highlight w:val="none"/>
          <w14:textFill>
            <w14:solidFill>
              <w14:schemeClr w14:val="tx1"/>
            </w14:solidFill>
          </w14:textFill>
        </w:rPr>
      </w:pPr>
    </w:p>
    <w:p w14:paraId="5A31F853">
      <w:pPr>
        <w:pStyle w:val="145"/>
        <w:pageBreakBefore w:val="0"/>
        <w:tabs>
          <w:tab w:val="left" w:pos="1429"/>
        </w:tabs>
        <w:wordWrap/>
        <w:topLinePunct w:val="0"/>
        <w:bidi w:val="0"/>
        <w:spacing w:line="560" w:lineRule="exact"/>
        <w:rPr>
          <w:rFonts w:asciiTheme="minorEastAsia" w:hAnsiTheme="minorEastAsia" w:eastAsiaTheme="minorEastAsia"/>
          <w:bCs/>
          <w:color w:val="000000" w:themeColor="text1"/>
          <w:sz w:val="28"/>
          <w:szCs w:val="28"/>
          <w:highlight w:val="none"/>
          <w14:textFill>
            <w14:solidFill>
              <w14:schemeClr w14:val="tx1"/>
            </w14:solidFill>
          </w14:textFill>
        </w:rPr>
      </w:pPr>
    </w:p>
    <w:p w14:paraId="724F4A29">
      <w:pPr>
        <w:pStyle w:val="145"/>
        <w:pageBreakBefore w:val="0"/>
        <w:tabs>
          <w:tab w:val="left" w:pos="1429"/>
        </w:tabs>
        <w:wordWrap/>
        <w:topLinePunct w:val="0"/>
        <w:bidi w:val="0"/>
        <w:spacing w:line="560" w:lineRule="exact"/>
        <w:rPr>
          <w:rFonts w:asciiTheme="minorEastAsia" w:hAnsiTheme="minorEastAsia" w:eastAsiaTheme="minorEastAsia"/>
          <w:bCs/>
          <w:color w:val="000000" w:themeColor="text1"/>
          <w:sz w:val="28"/>
          <w:szCs w:val="28"/>
          <w:highlight w:val="none"/>
          <w14:textFill>
            <w14:solidFill>
              <w14:schemeClr w14:val="tx1"/>
            </w14:solidFill>
          </w14:textFill>
        </w:rPr>
      </w:pPr>
    </w:p>
    <w:p w14:paraId="5B55ADE0">
      <w:pPr>
        <w:pStyle w:val="145"/>
        <w:pageBreakBefore w:val="0"/>
        <w:tabs>
          <w:tab w:val="left" w:pos="1429"/>
        </w:tabs>
        <w:wordWrap/>
        <w:topLinePunct w:val="0"/>
        <w:bidi w:val="0"/>
        <w:spacing w:line="560" w:lineRule="exact"/>
        <w:rPr>
          <w:rFonts w:asciiTheme="minorEastAsia" w:hAnsiTheme="minorEastAsia" w:eastAsiaTheme="minorEastAsia"/>
          <w:bCs/>
          <w:color w:val="000000" w:themeColor="text1"/>
          <w:sz w:val="28"/>
          <w:szCs w:val="28"/>
          <w:highlight w:val="none"/>
          <w14:textFill>
            <w14:solidFill>
              <w14:schemeClr w14:val="tx1"/>
            </w14:solidFill>
          </w14:textFill>
        </w:rPr>
      </w:pPr>
    </w:p>
    <w:p w14:paraId="0938FC0F">
      <w:pPr>
        <w:pStyle w:val="145"/>
        <w:pageBreakBefore w:val="0"/>
        <w:tabs>
          <w:tab w:val="left" w:pos="1429"/>
        </w:tabs>
        <w:wordWrap/>
        <w:topLinePunct w:val="0"/>
        <w:bidi w:val="0"/>
        <w:spacing w:line="560" w:lineRule="exact"/>
        <w:rPr>
          <w:rFonts w:asciiTheme="minorEastAsia" w:hAnsiTheme="minorEastAsia" w:eastAsiaTheme="minorEastAsia"/>
          <w:bCs/>
          <w:color w:val="000000" w:themeColor="text1"/>
          <w:sz w:val="28"/>
          <w:szCs w:val="28"/>
          <w:highlight w:val="none"/>
          <w14:textFill>
            <w14:solidFill>
              <w14:schemeClr w14:val="tx1"/>
            </w14:solidFill>
          </w14:textFill>
        </w:rPr>
      </w:pPr>
    </w:p>
    <w:p w14:paraId="3AD842D6">
      <w:pPr>
        <w:pStyle w:val="145"/>
        <w:pageBreakBefore w:val="0"/>
        <w:tabs>
          <w:tab w:val="left" w:pos="1429"/>
        </w:tabs>
        <w:wordWrap/>
        <w:topLinePunct w:val="0"/>
        <w:bidi w:val="0"/>
        <w:spacing w:line="560" w:lineRule="exact"/>
        <w:rPr>
          <w:rFonts w:asciiTheme="minorEastAsia" w:hAnsiTheme="minorEastAsia" w:eastAsiaTheme="minorEastAsia"/>
          <w:bCs/>
          <w:color w:val="000000" w:themeColor="text1"/>
          <w:sz w:val="28"/>
          <w:szCs w:val="28"/>
          <w:highlight w:val="none"/>
          <w14:textFill>
            <w14:solidFill>
              <w14:schemeClr w14:val="tx1"/>
            </w14:solidFill>
          </w14:textFill>
        </w:rPr>
      </w:pPr>
    </w:p>
    <w:p w14:paraId="7ED3CC17">
      <w:pPr>
        <w:pStyle w:val="145"/>
        <w:pageBreakBefore w:val="0"/>
        <w:tabs>
          <w:tab w:val="left" w:pos="1429"/>
        </w:tabs>
        <w:wordWrap/>
        <w:topLinePunct w:val="0"/>
        <w:bidi w:val="0"/>
        <w:spacing w:line="560" w:lineRule="exact"/>
        <w:rPr>
          <w:rFonts w:asciiTheme="minorEastAsia" w:hAnsiTheme="minorEastAsia" w:eastAsiaTheme="minorEastAsia"/>
          <w:bCs/>
          <w:color w:val="000000" w:themeColor="text1"/>
          <w:sz w:val="28"/>
          <w:szCs w:val="28"/>
          <w:highlight w:val="none"/>
          <w14:textFill>
            <w14:solidFill>
              <w14:schemeClr w14:val="tx1"/>
            </w14:solidFill>
          </w14:textFill>
        </w:rPr>
      </w:pPr>
    </w:p>
    <w:p w14:paraId="6D7CD0E1">
      <w:pPr>
        <w:pStyle w:val="145"/>
        <w:pageBreakBefore w:val="0"/>
        <w:tabs>
          <w:tab w:val="left" w:pos="1429"/>
        </w:tabs>
        <w:wordWrap/>
        <w:topLinePunct w:val="0"/>
        <w:bidi w:val="0"/>
        <w:spacing w:line="560" w:lineRule="exact"/>
        <w:rPr>
          <w:rFonts w:asciiTheme="minorEastAsia" w:hAnsiTheme="minorEastAsia" w:eastAsiaTheme="minorEastAsia"/>
          <w:bCs/>
          <w:color w:val="000000" w:themeColor="text1"/>
          <w:sz w:val="28"/>
          <w:szCs w:val="28"/>
          <w:highlight w:val="none"/>
          <w14:textFill>
            <w14:solidFill>
              <w14:schemeClr w14:val="tx1"/>
            </w14:solidFill>
          </w14:textFill>
        </w:rPr>
      </w:pPr>
    </w:p>
    <w:p w14:paraId="3A585DA8">
      <w:pPr>
        <w:pStyle w:val="145"/>
        <w:pageBreakBefore w:val="0"/>
        <w:tabs>
          <w:tab w:val="left" w:pos="1429"/>
        </w:tabs>
        <w:wordWrap/>
        <w:topLinePunct w:val="0"/>
        <w:bidi w:val="0"/>
        <w:spacing w:line="560" w:lineRule="exact"/>
        <w:rPr>
          <w:rFonts w:asciiTheme="minorEastAsia" w:hAnsiTheme="minorEastAsia" w:eastAsiaTheme="minorEastAsia"/>
          <w:bCs/>
          <w:color w:val="000000" w:themeColor="text1"/>
          <w:sz w:val="28"/>
          <w:szCs w:val="28"/>
          <w:highlight w:val="none"/>
          <w14:textFill>
            <w14:solidFill>
              <w14:schemeClr w14:val="tx1"/>
            </w14:solidFill>
          </w14:textFill>
        </w:rPr>
      </w:pPr>
    </w:p>
    <w:p w14:paraId="545E4D2F">
      <w:pPr>
        <w:pStyle w:val="145"/>
        <w:pageBreakBefore w:val="0"/>
        <w:tabs>
          <w:tab w:val="left" w:pos="1429"/>
        </w:tabs>
        <w:wordWrap/>
        <w:topLinePunct w:val="0"/>
        <w:bidi w:val="0"/>
        <w:spacing w:line="560" w:lineRule="exact"/>
        <w:rPr>
          <w:rFonts w:asciiTheme="minorEastAsia" w:hAnsiTheme="minorEastAsia" w:eastAsiaTheme="minorEastAsia"/>
          <w:bCs/>
          <w:color w:val="000000" w:themeColor="text1"/>
          <w:sz w:val="28"/>
          <w:szCs w:val="28"/>
          <w:highlight w:val="none"/>
          <w14:textFill>
            <w14:solidFill>
              <w14:schemeClr w14:val="tx1"/>
            </w14:solidFill>
          </w14:textFill>
        </w:rPr>
      </w:pPr>
    </w:p>
    <w:p w14:paraId="7B4E67BD">
      <w:pPr>
        <w:bidi w:val="0"/>
        <w:rPr>
          <w:rFonts w:hint="eastAsia"/>
          <w:color w:val="000000" w:themeColor="text1"/>
          <w:highlight w:val="none"/>
          <w14:textFill>
            <w14:solidFill>
              <w14:schemeClr w14:val="tx1"/>
            </w14:solidFill>
          </w14:textFill>
        </w:rPr>
      </w:pPr>
    </w:p>
    <w:p w14:paraId="697AB724">
      <w:pPr>
        <w:bidi w:val="0"/>
        <w:rPr>
          <w:rFonts w:hint="eastAsia"/>
          <w:color w:val="000000" w:themeColor="text1"/>
          <w:highlight w:val="none"/>
          <w14:textFill>
            <w14:solidFill>
              <w14:schemeClr w14:val="tx1"/>
            </w14:solidFill>
          </w14:textFill>
        </w:rPr>
      </w:pPr>
    </w:p>
    <w:p w14:paraId="7EB1DA37">
      <w:pPr>
        <w:bidi w:val="0"/>
        <w:rPr>
          <w:rFonts w:hint="eastAsia"/>
          <w:color w:val="000000" w:themeColor="text1"/>
          <w:highlight w:val="none"/>
          <w14:textFill>
            <w14:solidFill>
              <w14:schemeClr w14:val="tx1"/>
            </w14:solidFill>
          </w14:textFill>
        </w:rPr>
      </w:pPr>
    </w:p>
    <w:p w14:paraId="71D048A6">
      <w:pPr>
        <w:bidi w:val="0"/>
        <w:rPr>
          <w:rFonts w:hint="eastAsia"/>
          <w:color w:val="000000" w:themeColor="text1"/>
          <w:highlight w:val="none"/>
          <w14:textFill>
            <w14:solidFill>
              <w14:schemeClr w14:val="tx1"/>
            </w14:solidFill>
          </w14:textFill>
        </w:rPr>
      </w:pPr>
    </w:p>
    <w:p w14:paraId="0828D730">
      <w:pPr>
        <w:bidi w:val="0"/>
        <w:rPr>
          <w:rFonts w:hint="eastAsia"/>
          <w:color w:val="000000" w:themeColor="text1"/>
          <w:highlight w:val="none"/>
          <w14:textFill>
            <w14:solidFill>
              <w14:schemeClr w14:val="tx1"/>
            </w14:solidFill>
          </w14:textFill>
        </w:rPr>
      </w:pPr>
    </w:p>
    <w:p w14:paraId="57ACD6E0">
      <w:pPr>
        <w:bidi w:val="0"/>
        <w:rPr>
          <w:rFonts w:hint="eastAsia"/>
          <w:color w:val="000000" w:themeColor="text1"/>
          <w:highlight w:val="none"/>
          <w14:textFill>
            <w14:solidFill>
              <w14:schemeClr w14:val="tx1"/>
            </w14:solidFill>
          </w14:textFill>
        </w:rPr>
      </w:pPr>
    </w:p>
    <w:p w14:paraId="273DEE83">
      <w:pPr>
        <w:pStyle w:val="4"/>
        <w:keepNext w:val="0"/>
        <w:keepLines w:val="0"/>
        <w:pageBreakBefore w:val="0"/>
        <w:wordWrap/>
        <w:topLinePunct w:val="0"/>
        <w:bidi w:val="0"/>
        <w:spacing w:line="560" w:lineRule="exact"/>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第</w:t>
      </w:r>
      <w:r>
        <w:rPr>
          <w:rFonts w:hint="eastAsia"/>
          <w:color w:val="000000" w:themeColor="text1"/>
          <w:highlight w:val="none"/>
          <w:lang w:eastAsia="zh-CN"/>
          <w14:textFill>
            <w14:solidFill>
              <w14:schemeClr w14:val="tx1"/>
            </w14:solidFill>
          </w14:textFill>
        </w:rPr>
        <w:t>二</w:t>
      </w:r>
      <w:r>
        <w:rPr>
          <w:rFonts w:hint="eastAsia"/>
          <w:color w:val="000000" w:themeColor="text1"/>
          <w:highlight w:val="none"/>
          <w14:textFill>
            <w14:solidFill>
              <w14:schemeClr w14:val="tx1"/>
            </w14:solidFill>
          </w14:textFill>
        </w:rPr>
        <w:t>节 报价文件格式</w:t>
      </w:r>
    </w:p>
    <w:p w14:paraId="077E6CF8">
      <w:pPr>
        <w:pStyle w:val="17"/>
        <w:keepNext w:val="0"/>
        <w:keepLines w:val="0"/>
        <w:pageBreakBefore w:val="0"/>
        <w:kinsoku/>
        <w:wordWrap/>
        <w:overflowPunct/>
        <w:topLinePunct w:val="0"/>
        <w:autoSpaceDE/>
        <w:autoSpaceDN/>
        <w:bidi w:val="0"/>
        <w:spacing w:line="520" w:lineRule="exact"/>
        <w:textAlignment w:val="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一、投标函</w:t>
      </w:r>
    </w:p>
    <w:p w14:paraId="785C04A2">
      <w:pPr>
        <w:pStyle w:val="17"/>
        <w:keepNext w:val="0"/>
        <w:keepLines w:val="0"/>
        <w:pageBreakBefore w:val="0"/>
        <w:kinsoku/>
        <w:wordWrap/>
        <w:overflowPunct/>
        <w:topLinePunct w:val="0"/>
        <w:autoSpaceDE/>
        <w:autoSpaceDN/>
        <w:bidi w:val="0"/>
        <w:spacing w:line="520" w:lineRule="exact"/>
        <w:jc w:val="both"/>
        <w:textAlignment w:val="auto"/>
        <w:rPr>
          <w:b w:val="0"/>
          <w:color w:val="000000" w:themeColor="text1"/>
          <w:highlight w:val="none"/>
          <w14:textFill>
            <w14:solidFill>
              <w14:schemeClr w14:val="tx1"/>
            </w14:solidFill>
          </w14:textFill>
        </w:rPr>
      </w:pPr>
      <w:r>
        <w:rPr>
          <w:rFonts w:hint="eastAsia"/>
          <w:b w:val="0"/>
          <w:color w:val="000000" w:themeColor="text1"/>
          <w:highlight w:val="none"/>
          <w14:textFill>
            <w14:solidFill>
              <w14:schemeClr w14:val="tx1"/>
            </w14:solidFill>
          </w14:textFill>
        </w:rPr>
        <w:t>致：</w:t>
      </w:r>
      <w:r>
        <w:rPr>
          <w:rFonts w:hint="eastAsia"/>
          <w:b w:val="0"/>
          <w:color w:val="000000" w:themeColor="text1"/>
          <w:highlight w:val="none"/>
          <w:lang w:eastAsia="zh-CN"/>
          <w14:textFill>
            <w14:solidFill>
              <w14:schemeClr w14:val="tx1"/>
            </w14:solidFill>
          </w14:textFill>
        </w:rPr>
        <w:t>（</w:t>
      </w:r>
      <w:r>
        <w:rPr>
          <w:rFonts w:hint="eastAsia"/>
          <w:b w:val="0"/>
          <w:color w:val="000000" w:themeColor="text1"/>
          <w:highlight w:val="none"/>
          <w:u w:val="single"/>
          <w:lang w:eastAsia="zh-CN"/>
          <w14:textFill>
            <w14:solidFill>
              <w14:schemeClr w14:val="tx1"/>
            </w14:solidFill>
          </w14:textFill>
        </w:rPr>
        <w:t>采购人名称）</w:t>
      </w:r>
      <w:r>
        <w:rPr>
          <w:rFonts w:hint="eastAsia"/>
          <w:b w:val="0"/>
          <w:color w:val="000000" w:themeColor="text1"/>
          <w:highlight w:val="none"/>
          <w:u w:val="single"/>
          <w:lang w:val="en-US" w:eastAsia="zh-CN"/>
          <w14:textFill>
            <w14:solidFill>
              <w14:schemeClr w14:val="tx1"/>
            </w14:solidFill>
          </w14:textFill>
        </w:rPr>
        <w:t xml:space="preserve">              </w:t>
      </w:r>
      <w:r>
        <w:rPr>
          <w:b w:val="0"/>
          <w:color w:val="000000" w:themeColor="text1"/>
          <w:highlight w:val="none"/>
          <w:u w:val="single"/>
          <w14:textFill>
            <w14:solidFill>
              <w14:schemeClr w14:val="tx1"/>
            </w14:solidFill>
          </w14:textFill>
        </w:rPr>
        <w:t xml:space="preserve"> </w:t>
      </w:r>
    </w:p>
    <w:p w14:paraId="2B953FDE">
      <w:pPr>
        <w:pStyle w:val="17"/>
        <w:keepNext w:val="0"/>
        <w:keepLines w:val="0"/>
        <w:pageBreakBefore w:val="0"/>
        <w:kinsoku/>
        <w:wordWrap/>
        <w:overflowPunct/>
        <w:topLinePunct w:val="0"/>
        <w:autoSpaceDE/>
        <w:autoSpaceDN/>
        <w:bidi w:val="0"/>
        <w:spacing w:line="520" w:lineRule="exact"/>
        <w:ind w:firstLine="560" w:firstLineChars="200"/>
        <w:jc w:val="both"/>
        <w:textAlignment w:val="auto"/>
        <w:rPr>
          <w:b w:val="0"/>
          <w:color w:val="000000" w:themeColor="text1"/>
          <w:highlight w:val="none"/>
          <w14:textFill>
            <w14:solidFill>
              <w14:schemeClr w14:val="tx1"/>
            </w14:solidFill>
          </w14:textFill>
        </w:rPr>
      </w:pPr>
      <w:r>
        <w:rPr>
          <w:rFonts w:hint="eastAsia"/>
          <w:b w:val="0"/>
          <w:color w:val="000000" w:themeColor="text1"/>
          <w:highlight w:val="none"/>
          <w14:textFill>
            <w14:solidFill>
              <w14:schemeClr w14:val="tx1"/>
            </w14:solidFill>
          </w14:textFill>
        </w:rPr>
        <w:t>我方已仔细阅读了贵方组织的</w:t>
      </w:r>
      <w:r>
        <w:rPr>
          <w:b w:val="0"/>
          <w:color w:val="000000" w:themeColor="text1"/>
          <w:highlight w:val="none"/>
          <w:u w:val="single"/>
          <w14:textFill>
            <w14:solidFill>
              <w14:schemeClr w14:val="tx1"/>
            </w14:solidFill>
          </w14:textFill>
        </w:rPr>
        <w:t xml:space="preserve">  </w:t>
      </w:r>
      <w:r>
        <w:rPr>
          <w:rFonts w:hint="eastAsia"/>
          <w:b w:val="0"/>
          <w:color w:val="000000" w:themeColor="text1"/>
          <w:highlight w:val="none"/>
          <w:u w:val="single"/>
          <w:lang w:val="en-US" w:eastAsia="zh-CN"/>
          <w14:textFill>
            <w14:solidFill>
              <w14:schemeClr w14:val="tx1"/>
            </w14:solidFill>
          </w14:textFill>
        </w:rPr>
        <w:t xml:space="preserve">           （项目名称、</w:t>
      </w:r>
      <w:r>
        <w:rPr>
          <w:rFonts w:hint="eastAsia"/>
          <w:b w:val="0"/>
          <w:color w:val="000000" w:themeColor="text1"/>
          <w:highlight w:val="none"/>
          <w:u w:val="single"/>
          <w14:textFill>
            <w14:solidFill>
              <w14:schemeClr w14:val="tx1"/>
            </w14:solidFill>
          </w14:textFill>
        </w:rPr>
        <w:t>项目编号</w:t>
      </w:r>
      <w:r>
        <w:rPr>
          <w:rFonts w:hint="eastAsia"/>
          <w:b w:val="0"/>
          <w:color w:val="000000" w:themeColor="text1"/>
          <w:highlight w:val="none"/>
          <w:u w:val="single"/>
          <w:lang w:eastAsia="zh-CN"/>
          <w14:textFill>
            <w14:solidFill>
              <w14:schemeClr w14:val="tx1"/>
            </w14:solidFill>
          </w14:textFill>
        </w:rPr>
        <w:t>、标项名称</w:t>
      </w:r>
      <w:r>
        <w:rPr>
          <w:rFonts w:hint="eastAsia"/>
          <w:b w:val="0"/>
          <w:color w:val="000000" w:themeColor="text1"/>
          <w:highlight w:val="none"/>
          <w:u w:val="single"/>
          <w:lang w:val="en-US" w:eastAsia="zh-CN"/>
          <w14:textFill>
            <w14:solidFill>
              <w14:schemeClr w14:val="tx1"/>
            </w14:solidFill>
          </w14:textFill>
        </w:rPr>
        <w:t xml:space="preserve">） </w:t>
      </w:r>
      <w:r>
        <w:rPr>
          <w:rFonts w:hint="eastAsia"/>
          <w:b w:val="0"/>
          <w:color w:val="000000" w:themeColor="text1"/>
          <w:highlight w:val="none"/>
          <w14:textFill>
            <w14:solidFill>
              <w14:schemeClr w14:val="tx1"/>
            </w14:solidFill>
          </w14:textFill>
        </w:rPr>
        <w:t>的招标文件的全部内容，授权</w:t>
      </w:r>
      <w:r>
        <w:rPr>
          <w:b w:val="0"/>
          <w:color w:val="000000" w:themeColor="text1"/>
          <w:highlight w:val="none"/>
          <w:u w:val="single"/>
          <w14:textFill>
            <w14:solidFill>
              <w14:schemeClr w14:val="tx1"/>
            </w14:solidFill>
          </w14:textFill>
        </w:rPr>
        <w:t xml:space="preserve">                      </w:t>
      </w:r>
      <w:r>
        <w:rPr>
          <w:rFonts w:hint="eastAsia"/>
          <w:b w:val="0"/>
          <w:color w:val="000000" w:themeColor="text1"/>
          <w:highlight w:val="none"/>
          <w14:textFill>
            <w14:solidFill>
              <w14:schemeClr w14:val="tx1"/>
            </w14:solidFill>
          </w14:textFill>
        </w:rPr>
        <w:t>(全权代表姓名)</w:t>
      </w:r>
      <w:r>
        <w:rPr>
          <w:b w:val="0"/>
          <w:color w:val="000000" w:themeColor="text1"/>
          <w:highlight w:val="none"/>
          <w:u w:val="single"/>
          <w14:textFill>
            <w14:solidFill>
              <w14:schemeClr w14:val="tx1"/>
            </w14:solidFill>
          </w14:textFill>
        </w:rPr>
        <w:t xml:space="preserve">          </w:t>
      </w:r>
      <w:r>
        <w:rPr>
          <w:rFonts w:hint="eastAsia"/>
          <w:b w:val="0"/>
          <w:color w:val="000000" w:themeColor="text1"/>
          <w:highlight w:val="none"/>
          <w14:textFill>
            <w14:solidFill>
              <w14:schemeClr w14:val="tx1"/>
            </w14:solidFill>
          </w14:textFill>
        </w:rPr>
        <w:t xml:space="preserve"> (职务、职称)为全权代表，现正式递交下述文件参加贵方组织的本次政府采购活动： </w:t>
      </w:r>
    </w:p>
    <w:p w14:paraId="4FFE37F7">
      <w:pPr>
        <w:pStyle w:val="17"/>
        <w:keepNext w:val="0"/>
        <w:keepLines w:val="0"/>
        <w:pageBreakBefore w:val="0"/>
        <w:kinsoku/>
        <w:wordWrap/>
        <w:overflowPunct/>
        <w:topLinePunct w:val="0"/>
        <w:autoSpaceDE/>
        <w:autoSpaceDN/>
        <w:bidi w:val="0"/>
        <w:spacing w:line="520" w:lineRule="exact"/>
        <w:jc w:val="both"/>
        <w:textAlignment w:val="auto"/>
        <w:rPr>
          <w:b w:val="0"/>
          <w:color w:val="000000" w:themeColor="text1"/>
          <w:highlight w:val="none"/>
          <w14:textFill>
            <w14:solidFill>
              <w14:schemeClr w14:val="tx1"/>
            </w14:solidFill>
          </w14:textFill>
        </w:rPr>
      </w:pPr>
      <w:r>
        <w:rPr>
          <w:rFonts w:hint="eastAsia"/>
          <w:b w:val="0"/>
          <w:color w:val="000000" w:themeColor="text1"/>
          <w:highlight w:val="none"/>
          <w14:textFill>
            <w14:solidFill>
              <w14:schemeClr w14:val="tx1"/>
            </w14:solidFill>
          </w14:textFill>
        </w:rPr>
        <w:t>一、报价文件电子版一份（包含按</w:t>
      </w:r>
      <w:r>
        <w:rPr>
          <w:rFonts w:hint="eastAsia"/>
          <w:b w:val="0"/>
          <w:color w:val="000000" w:themeColor="text1"/>
          <w:highlight w:val="none"/>
          <w:lang w:eastAsia="zh-CN"/>
          <w14:textFill>
            <w14:solidFill>
              <w14:schemeClr w14:val="tx1"/>
            </w14:solidFill>
          </w14:textFill>
        </w:rPr>
        <w:t>供应商</w:t>
      </w:r>
      <w:r>
        <w:rPr>
          <w:rFonts w:hint="eastAsia"/>
          <w:b w:val="0"/>
          <w:color w:val="000000" w:themeColor="text1"/>
          <w:highlight w:val="none"/>
          <w14:textFill>
            <w14:solidFill>
              <w14:schemeClr w14:val="tx1"/>
            </w14:solidFill>
          </w14:textFill>
        </w:rPr>
        <w:t>须知前附表要求提交的全部文件）；</w:t>
      </w:r>
    </w:p>
    <w:p w14:paraId="25120448">
      <w:pPr>
        <w:pStyle w:val="17"/>
        <w:keepNext w:val="0"/>
        <w:keepLines w:val="0"/>
        <w:pageBreakBefore w:val="0"/>
        <w:kinsoku/>
        <w:wordWrap/>
        <w:overflowPunct/>
        <w:topLinePunct w:val="0"/>
        <w:autoSpaceDE/>
        <w:autoSpaceDN/>
        <w:bidi w:val="0"/>
        <w:spacing w:line="520" w:lineRule="exact"/>
        <w:jc w:val="both"/>
        <w:textAlignment w:val="auto"/>
        <w:rPr>
          <w:b w:val="0"/>
          <w:color w:val="000000" w:themeColor="text1"/>
          <w:highlight w:val="none"/>
          <w14:textFill>
            <w14:solidFill>
              <w14:schemeClr w14:val="tx1"/>
            </w14:solidFill>
          </w14:textFill>
        </w:rPr>
      </w:pPr>
      <w:r>
        <w:rPr>
          <w:rFonts w:hint="eastAsia"/>
          <w:b w:val="0"/>
          <w:color w:val="000000" w:themeColor="text1"/>
          <w:highlight w:val="none"/>
          <w14:textFill>
            <w14:solidFill>
              <w14:schemeClr w14:val="tx1"/>
            </w14:solidFill>
          </w14:textFill>
        </w:rPr>
        <w:t>二、资格文件电子版一份（包含按</w:t>
      </w:r>
      <w:r>
        <w:rPr>
          <w:rFonts w:hint="eastAsia"/>
          <w:b w:val="0"/>
          <w:color w:val="000000" w:themeColor="text1"/>
          <w:highlight w:val="none"/>
          <w:lang w:eastAsia="zh-CN"/>
          <w14:textFill>
            <w14:solidFill>
              <w14:schemeClr w14:val="tx1"/>
            </w14:solidFill>
          </w14:textFill>
        </w:rPr>
        <w:t>供应商</w:t>
      </w:r>
      <w:r>
        <w:rPr>
          <w:rFonts w:hint="eastAsia"/>
          <w:b w:val="0"/>
          <w:color w:val="000000" w:themeColor="text1"/>
          <w:highlight w:val="none"/>
          <w14:textFill>
            <w14:solidFill>
              <w14:schemeClr w14:val="tx1"/>
            </w14:solidFill>
          </w14:textFill>
        </w:rPr>
        <w:t>须知前附表要求提交的全部文件）；</w:t>
      </w:r>
    </w:p>
    <w:p w14:paraId="7ADE27E3">
      <w:pPr>
        <w:pStyle w:val="17"/>
        <w:keepNext w:val="0"/>
        <w:keepLines w:val="0"/>
        <w:pageBreakBefore w:val="0"/>
        <w:kinsoku/>
        <w:wordWrap/>
        <w:overflowPunct/>
        <w:topLinePunct w:val="0"/>
        <w:autoSpaceDE/>
        <w:autoSpaceDN/>
        <w:bidi w:val="0"/>
        <w:spacing w:line="520" w:lineRule="exact"/>
        <w:jc w:val="both"/>
        <w:textAlignment w:val="auto"/>
        <w:rPr>
          <w:b w:val="0"/>
          <w:color w:val="000000" w:themeColor="text1"/>
          <w:highlight w:val="none"/>
          <w14:textFill>
            <w14:solidFill>
              <w14:schemeClr w14:val="tx1"/>
            </w14:solidFill>
          </w14:textFill>
        </w:rPr>
      </w:pPr>
      <w:r>
        <w:rPr>
          <w:rFonts w:hint="eastAsia"/>
          <w:b w:val="0"/>
          <w:color w:val="000000" w:themeColor="text1"/>
          <w:highlight w:val="none"/>
          <w14:textFill>
            <w14:solidFill>
              <w14:schemeClr w14:val="tx1"/>
            </w14:solidFill>
          </w14:textFill>
        </w:rPr>
        <w:t>三、技术文件电子版一份（包含按</w:t>
      </w:r>
      <w:r>
        <w:rPr>
          <w:rFonts w:hint="eastAsia"/>
          <w:b w:val="0"/>
          <w:color w:val="000000" w:themeColor="text1"/>
          <w:highlight w:val="none"/>
          <w:lang w:eastAsia="zh-CN"/>
          <w14:textFill>
            <w14:solidFill>
              <w14:schemeClr w14:val="tx1"/>
            </w14:solidFill>
          </w14:textFill>
        </w:rPr>
        <w:t>供应商</w:t>
      </w:r>
      <w:r>
        <w:rPr>
          <w:rFonts w:hint="eastAsia"/>
          <w:b w:val="0"/>
          <w:color w:val="000000" w:themeColor="text1"/>
          <w:highlight w:val="none"/>
          <w14:textFill>
            <w14:solidFill>
              <w14:schemeClr w14:val="tx1"/>
            </w14:solidFill>
          </w14:textFill>
        </w:rPr>
        <w:t>须知前附表要求提交的全部文件）；</w:t>
      </w:r>
    </w:p>
    <w:p w14:paraId="5DEBBA06">
      <w:pPr>
        <w:pStyle w:val="17"/>
        <w:keepNext w:val="0"/>
        <w:keepLines w:val="0"/>
        <w:pageBreakBefore w:val="0"/>
        <w:kinsoku/>
        <w:wordWrap/>
        <w:overflowPunct/>
        <w:topLinePunct w:val="0"/>
        <w:autoSpaceDE/>
        <w:autoSpaceDN/>
        <w:bidi w:val="0"/>
        <w:spacing w:line="520" w:lineRule="exact"/>
        <w:jc w:val="both"/>
        <w:textAlignment w:val="auto"/>
        <w:rPr>
          <w:b w:val="0"/>
          <w:color w:val="000000" w:themeColor="text1"/>
          <w:highlight w:val="none"/>
          <w14:textFill>
            <w14:solidFill>
              <w14:schemeClr w14:val="tx1"/>
            </w14:solidFill>
          </w14:textFill>
        </w:rPr>
      </w:pPr>
      <w:r>
        <w:rPr>
          <w:rFonts w:hint="eastAsia"/>
          <w:b w:val="0"/>
          <w:color w:val="000000" w:themeColor="text1"/>
          <w:highlight w:val="none"/>
          <w14:textFill>
            <w14:solidFill>
              <w14:schemeClr w14:val="tx1"/>
            </w14:solidFill>
          </w14:textFill>
        </w:rPr>
        <w:t>四、商务文件电子版一份（包含按</w:t>
      </w:r>
      <w:r>
        <w:rPr>
          <w:rFonts w:hint="eastAsia"/>
          <w:b w:val="0"/>
          <w:color w:val="000000" w:themeColor="text1"/>
          <w:highlight w:val="none"/>
          <w:lang w:eastAsia="zh-CN"/>
          <w14:textFill>
            <w14:solidFill>
              <w14:schemeClr w14:val="tx1"/>
            </w14:solidFill>
          </w14:textFill>
        </w:rPr>
        <w:t>供应商</w:t>
      </w:r>
      <w:r>
        <w:rPr>
          <w:rFonts w:hint="eastAsia"/>
          <w:b w:val="0"/>
          <w:color w:val="000000" w:themeColor="text1"/>
          <w:highlight w:val="none"/>
          <w14:textFill>
            <w14:solidFill>
              <w14:schemeClr w14:val="tx1"/>
            </w14:solidFill>
          </w14:textFill>
        </w:rPr>
        <w:t>须知前附表要求提交的全部文件）；</w:t>
      </w:r>
    </w:p>
    <w:p w14:paraId="0238DF21">
      <w:pPr>
        <w:pStyle w:val="17"/>
        <w:keepNext w:val="0"/>
        <w:keepLines w:val="0"/>
        <w:pageBreakBefore w:val="0"/>
        <w:kinsoku/>
        <w:wordWrap/>
        <w:overflowPunct/>
        <w:topLinePunct w:val="0"/>
        <w:autoSpaceDE/>
        <w:autoSpaceDN/>
        <w:bidi w:val="0"/>
        <w:spacing w:line="520" w:lineRule="exact"/>
        <w:jc w:val="both"/>
        <w:textAlignment w:val="auto"/>
        <w:rPr>
          <w:b w:val="0"/>
          <w:color w:val="000000" w:themeColor="text1"/>
          <w:highlight w:val="none"/>
          <w14:textFill>
            <w14:solidFill>
              <w14:schemeClr w14:val="tx1"/>
            </w14:solidFill>
          </w14:textFill>
        </w:rPr>
      </w:pPr>
      <w:r>
        <w:rPr>
          <w:rFonts w:hint="eastAsia"/>
          <w:b w:val="0"/>
          <w:color w:val="000000" w:themeColor="text1"/>
          <w:highlight w:val="none"/>
          <w14:textFill>
            <w14:solidFill>
              <w14:schemeClr w14:val="tx1"/>
            </w14:solidFill>
          </w14:textFill>
        </w:rPr>
        <w:t>据此函，签字人兹宣布：</w:t>
      </w:r>
    </w:p>
    <w:p w14:paraId="7A5948FB">
      <w:pPr>
        <w:pStyle w:val="17"/>
        <w:keepNext w:val="0"/>
        <w:keepLines w:val="0"/>
        <w:pageBreakBefore w:val="0"/>
        <w:kinsoku/>
        <w:wordWrap/>
        <w:overflowPunct/>
        <w:topLinePunct w:val="0"/>
        <w:autoSpaceDE/>
        <w:autoSpaceDN/>
        <w:bidi w:val="0"/>
        <w:spacing w:line="520" w:lineRule="exact"/>
        <w:jc w:val="both"/>
        <w:textAlignment w:val="auto"/>
        <w:rPr>
          <w:b w:val="0"/>
          <w:color w:val="000000" w:themeColor="text1"/>
          <w:highlight w:val="none"/>
          <w:u w:val="single"/>
          <w14:textFill>
            <w14:solidFill>
              <w14:schemeClr w14:val="tx1"/>
            </w14:solidFill>
          </w14:textFill>
        </w:rPr>
      </w:pPr>
      <w:r>
        <w:rPr>
          <w:rFonts w:hint="eastAsia"/>
          <w:b w:val="0"/>
          <w:color w:val="000000" w:themeColor="text1"/>
          <w:highlight w:val="none"/>
          <w14:textFill>
            <w14:solidFill>
              <w14:schemeClr w14:val="tx1"/>
            </w14:solidFill>
          </w14:textFill>
        </w:rPr>
        <w:t>1、我方愿意以</w:t>
      </w:r>
      <w:r>
        <w:rPr>
          <w:rFonts w:hint="eastAsia"/>
          <w:b w:val="0"/>
          <w:color w:val="000000" w:themeColor="text1"/>
          <w:highlight w:val="none"/>
          <w:u w:val="single"/>
          <w14:textFill>
            <w14:solidFill>
              <w14:schemeClr w14:val="tx1"/>
            </w14:solidFill>
          </w14:textFill>
        </w:rPr>
        <w:t xml:space="preserve">          </w:t>
      </w:r>
      <w:r>
        <w:rPr>
          <w:rFonts w:hint="eastAsia"/>
          <w:b w:val="0"/>
          <w:color w:val="000000" w:themeColor="text1"/>
          <w:highlight w:val="none"/>
          <w14:textFill>
            <w14:solidFill>
              <w14:schemeClr w14:val="tx1"/>
            </w14:solidFill>
          </w14:textFill>
        </w:rPr>
        <w:t>元（大写：        ），供货期</w:t>
      </w:r>
      <w:r>
        <w:rPr>
          <w:rFonts w:hint="eastAsia"/>
          <w:b w:val="0"/>
          <w:color w:val="000000" w:themeColor="text1"/>
          <w:highlight w:val="none"/>
          <w:u w:val="single"/>
          <w14:textFill>
            <w14:solidFill>
              <w14:schemeClr w14:val="tx1"/>
            </w14:solidFill>
          </w14:textFill>
        </w:rPr>
        <w:t xml:space="preserve">             </w:t>
      </w:r>
      <w:r>
        <w:rPr>
          <w:rFonts w:hint="eastAsia"/>
          <w:b w:val="0"/>
          <w:color w:val="000000" w:themeColor="text1"/>
          <w:highlight w:val="none"/>
          <w14:textFill>
            <w14:solidFill>
              <w14:schemeClr w14:val="tx1"/>
            </w14:solidFill>
          </w14:textFill>
        </w:rPr>
        <w:t>，提供本项目招标文件第三章“采购需求”中的相应的采购内容。</w:t>
      </w:r>
    </w:p>
    <w:p w14:paraId="4ADC84B2">
      <w:pPr>
        <w:pStyle w:val="17"/>
        <w:keepNext w:val="0"/>
        <w:keepLines w:val="0"/>
        <w:pageBreakBefore w:val="0"/>
        <w:kinsoku/>
        <w:wordWrap/>
        <w:overflowPunct/>
        <w:topLinePunct w:val="0"/>
        <w:autoSpaceDE/>
        <w:autoSpaceDN/>
        <w:bidi w:val="0"/>
        <w:spacing w:line="520" w:lineRule="exact"/>
        <w:jc w:val="both"/>
        <w:textAlignment w:val="auto"/>
        <w:rPr>
          <w:b w:val="0"/>
          <w:color w:val="000000" w:themeColor="text1"/>
          <w:highlight w:val="none"/>
          <w:u w:val="single"/>
          <w14:textFill>
            <w14:solidFill>
              <w14:schemeClr w14:val="tx1"/>
            </w14:solidFill>
          </w14:textFill>
        </w:rPr>
      </w:pPr>
      <w:r>
        <w:rPr>
          <w:rFonts w:hint="eastAsia"/>
          <w:b w:val="0"/>
          <w:color w:val="000000" w:themeColor="text1"/>
          <w:highlight w:val="none"/>
          <w14:textFill>
            <w14:solidFill>
              <w14:schemeClr w14:val="tx1"/>
            </w14:solidFill>
          </w14:textFill>
        </w:rPr>
        <w:t xml:space="preserve">2、我方同意自本项目招标文件“第二章 </w:t>
      </w:r>
      <w:r>
        <w:rPr>
          <w:rFonts w:hint="eastAsia"/>
          <w:b w:val="0"/>
          <w:color w:val="000000" w:themeColor="text1"/>
          <w:highlight w:val="none"/>
          <w:lang w:eastAsia="zh-CN"/>
          <w14:textFill>
            <w14:solidFill>
              <w14:schemeClr w14:val="tx1"/>
            </w14:solidFill>
          </w14:textFill>
        </w:rPr>
        <w:t>供应商</w:t>
      </w:r>
      <w:r>
        <w:rPr>
          <w:rFonts w:hint="eastAsia"/>
          <w:b w:val="0"/>
          <w:color w:val="000000" w:themeColor="text1"/>
          <w:highlight w:val="none"/>
          <w14:textFill>
            <w14:solidFill>
              <w14:schemeClr w14:val="tx1"/>
            </w14:solidFill>
          </w14:textFill>
        </w:rPr>
        <w:t xml:space="preserve">须知”第一节 </w:t>
      </w:r>
      <w:r>
        <w:rPr>
          <w:rFonts w:hint="eastAsia"/>
          <w:b w:val="0"/>
          <w:color w:val="000000" w:themeColor="text1"/>
          <w:highlight w:val="none"/>
          <w:lang w:eastAsia="zh-CN"/>
          <w14:textFill>
            <w14:solidFill>
              <w14:schemeClr w14:val="tx1"/>
            </w14:solidFill>
          </w14:textFill>
        </w:rPr>
        <w:t>供应商</w:t>
      </w:r>
      <w:r>
        <w:rPr>
          <w:rFonts w:hint="eastAsia"/>
          <w:b w:val="0"/>
          <w:color w:val="000000" w:themeColor="text1"/>
          <w:highlight w:val="none"/>
          <w14:textFill>
            <w14:solidFill>
              <w14:schemeClr w14:val="tx1"/>
            </w14:solidFill>
          </w14:textFill>
        </w:rPr>
        <w:t>须知前附表的投标截止时间（开标时间）起遵循本投标函，并承诺在“</w:t>
      </w:r>
      <w:r>
        <w:rPr>
          <w:rFonts w:hint="eastAsia"/>
          <w:b w:val="0"/>
          <w:color w:val="000000" w:themeColor="text1"/>
          <w:highlight w:val="none"/>
          <w:lang w:eastAsia="zh-CN"/>
          <w14:textFill>
            <w14:solidFill>
              <w14:schemeClr w14:val="tx1"/>
            </w14:solidFill>
          </w14:textFill>
        </w:rPr>
        <w:t>供应商</w:t>
      </w:r>
      <w:r>
        <w:rPr>
          <w:rFonts w:hint="eastAsia"/>
          <w:b w:val="0"/>
          <w:color w:val="000000" w:themeColor="text1"/>
          <w:highlight w:val="none"/>
          <w14:textFill>
            <w14:solidFill>
              <w14:schemeClr w14:val="tx1"/>
            </w14:solidFill>
          </w14:textFill>
        </w:rPr>
        <w:t>须知前附表”的投标有效期内不修改、撤销投标文件。</w:t>
      </w:r>
    </w:p>
    <w:p w14:paraId="1DE2C6BB">
      <w:pPr>
        <w:pStyle w:val="17"/>
        <w:keepNext w:val="0"/>
        <w:keepLines w:val="0"/>
        <w:pageBreakBefore w:val="0"/>
        <w:kinsoku/>
        <w:wordWrap/>
        <w:overflowPunct/>
        <w:topLinePunct w:val="0"/>
        <w:autoSpaceDE/>
        <w:autoSpaceDN/>
        <w:bidi w:val="0"/>
        <w:spacing w:line="520" w:lineRule="exact"/>
        <w:jc w:val="both"/>
        <w:textAlignment w:val="auto"/>
        <w:rPr>
          <w:b w:val="0"/>
          <w:color w:val="000000" w:themeColor="text1"/>
          <w:highlight w:val="none"/>
          <w:u w:val="single"/>
          <w14:textFill>
            <w14:solidFill>
              <w14:schemeClr w14:val="tx1"/>
            </w14:solidFill>
          </w14:textFill>
        </w:rPr>
      </w:pPr>
      <w:r>
        <w:rPr>
          <w:rFonts w:hint="eastAsia"/>
          <w:b w:val="0"/>
          <w:color w:val="000000" w:themeColor="text1"/>
          <w:highlight w:val="none"/>
          <w14:textFill>
            <w14:solidFill>
              <w14:schemeClr w14:val="tx1"/>
            </w14:solidFill>
          </w14:textFill>
        </w:rPr>
        <w:t>3、我方所递交的投标文件及有关资料都是内容完整、真实和准确的。</w:t>
      </w:r>
    </w:p>
    <w:p w14:paraId="5E816788">
      <w:pPr>
        <w:pStyle w:val="17"/>
        <w:keepNext w:val="0"/>
        <w:keepLines w:val="0"/>
        <w:pageBreakBefore w:val="0"/>
        <w:kinsoku/>
        <w:wordWrap/>
        <w:overflowPunct/>
        <w:topLinePunct w:val="0"/>
        <w:autoSpaceDE/>
        <w:autoSpaceDN/>
        <w:bidi w:val="0"/>
        <w:spacing w:line="520" w:lineRule="exact"/>
        <w:jc w:val="both"/>
        <w:textAlignment w:val="auto"/>
        <w:rPr>
          <w:b w:val="0"/>
          <w:color w:val="000000" w:themeColor="text1"/>
          <w:highlight w:val="none"/>
          <w14:textFill>
            <w14:solidFill>
              <w14:schemeClr w14:val="tx1"/>
            </w14:solidFill>
          </w14:textFill>
        </w:rPr>
      </w:pPr>
      <w:r>
        <w:rPr>
          <w:rFonts w:hint="eastAsia"/>
          <w:b w:val="0"/>
          <w:color w:val="000000" w:themeColor="text1"/>
          <w:highlight w:val="none"/>
          <w14:textFill>
            <w14:solidFill>
              <w14:schemeClr w14:val="tx1"/>
            </w14:solidFill>
          </w14:textFill>
        </w:rPr>
        <w:t>4、如本项目采购内容涉及须符合国家强制规定的，我方承诺我方本次投标（包括资格条件和所投产品）均符合国家有关强制规定。</w:t>
      </w:r>
    </w:p>
    <w:p w14:paraId="664D5F5D">
      <w:pPr>
        <w:pStyle w:val="17"/>
        <w:keepNext w:val="0"/>
        <w:keepLines w:val="0"/>
        <w:pageBreakBefore w:val="0"/>
        <w:kinsoku/>
        <w:wordWrap/>
        <w:overflowPunct/>
        <w:topLinePunct w:val="0"/>
        <w:autoSpaceDE/>
        <w:autoSpaceDN/>
        <w:bidi w:val="0"/>
        <w:spacing w:line="520" w:lineRule="exact"/>
        <w:jc w:val="both"/>
        <w:textAlignment w:val="auto"/>
        <w:rPr>
          <w:b w:val="0"/>
          <w:color w:val="000000" w:themeColor="text1"/>
          <w:highlight w:val="none"/>
          <w14:textFill>
            <w14:solidFill>
              <w14:schemeClr w14:val="tx1"/>
            </w14:solidFill>
          </w14:textFill>
        </w:rPr>
      </w:pPr>
      <w:r>
        <w:rPr>
          <w:rFonts w:hint="eastAsia"/>
          <w:b w:val="0"/>
          <w:color w:val="000000" w:themeColor="text1"/>
          <w:highlight w:val="none"/>
          <w14:textFill>
            <w14:solidFill>
              <w14:schemeClr w14:val="tx1"/>
            </w14:solidFill>
          </w14:textFill>
        </w:rPr>
        <w:t>5、如我方中标，我方承诺在收到中标通知书后，在中标通知书规定的期限内，根据招标文件、我方的投标文件及有关澄清承诺书的要求按第五章“拟签订的合同文本”与采购人订立书面合同，并按照合同约定承担完成合同的责任和义务。</w:t>
      </w:r>
    </w:p>
    <w:p w14:paraId="2B40602B">
      <w:pPr>
        <w:pStyle w:val="17"/>
        <w:keepNext w:val="0"/>
        <w:keepLines w:val="0"/>
        <w:pageBreakBefore w:val="0"/>
        <w:kinsoku/>
        <w:wordWrap/>
        <w:overflowPunct/>
        <w:topLinePunct w:val="0"/>
        <w:autoSpaceDE/>
        <w:autoSpaceDN/>
        <w:bidi w:val="0"/>
        <w:spacing w:line="520" w:lineRule="exact"/>
        <w:jc w:val="both"/>
        <w:textAlignment w:val="auto"/>
        <w:rPr>
          <w:b w:val="0"/>
          <w:color w:val="000000" w:themeColor="text1"/>
          <w:highlight w:val="none"/>
          <w14:textFill>
            <w14:solidFill>
              <w14:schemeClr w14:val="tx1"/>
            </w14:solidFill>
          </w14:textFill>
        </w:rPr>
      </w:pPr>
      <w:r>
        <w:rPr>
          <w:rFonts w:hint="eastAsia"/>
          <w:b w:val="0"/>
          <w:color w:val="000000" w:themeColor="text1"/>
          <w:highlight w:val="none"/>
          <w14:textFill>
            <w14:solidFill>
              <w14:schemeClr w14:val="tx1"/>
            </w14:solidFill>
          </w14:textFill>
        </w:rPr>
        <w:t>6、我方已详细审核招标文件，我方知道必须放弃提出含糊不清或误解问题的权利。</w:t>
      </w:r>
    </w:p>
    <w:p w14:paraId="3B7137AF">
      <w:pPr>
        <w:pStyle w:val="17"/>
        <w:keepNext w:val="0"/>
        <w:keepLines w:val="0"/>
        <w:pageBreakBefore w:val="0"/>
        <w:kinsoku/>
        <w:wordWrap/>
        <w:overflowPunct/>
        <w:topLinePunct w:val="0"/>
        <w:autoSpaceDE/>
        <w:autoSpaceDN/>
        <w:bidi w:val="0"/>
        <w:spacing w:line="520" w:lineRule="exact"/>
        <w:jc w:val="both"/>
        <w:textAlignment w:val="auto"/>
        <w:rPr>
          <w:b w:val="0"/>
          <w:color w:val="000000" w:themeColor="text1"/>
          <w:highlight w:val="none"/>
          <w14:textFill>
            <w14:solidFill>
              <w14:schemeClr w14:val="tx1"/>
            </w14:solidFill>
          </w14:textFill>
        </w:rPr>
      </w:pPr>
      <w:r>
        <w:rPr>
          <w:rFonts w:hint="eastAsia"/>
          <w:b w:val="0"/>
          <w:color w:val="000000" w:themeColor="text1"/>
          <w:highlight w:val="none"/>
          <w14:textFill>
            <w14:solidFill>
              <w14:schemeClr w14:val="tx1"/>
            </w14:solidFill>
          </w14:textFill>
        </w:rPr>
        <w:t>7、我方同意应贵方要求提供与本投标有关的任何数据或资料。若贵方需要，我方愿意提供我方作出的一切承诺的证明材料。</w:t>
      </w:r>
    </w:p>
    <w:p w14:paraId="6EAD9C5E">
      <w:pPr>
        <w:pStyle w:val="17"/>
        <w:keepNext w:val="0"/>
        <w:keepLines w:val="0"/>
        <w:pageBreakBefore w:val="0"/>
        <w:kinsoku/>
        <w:wordWrap/>
        <w:overflowPunct/>
        <w:topLinePunct w:val="0"/>
        <w:autoSpaceDE/>
        <w:autoSpaceDN/>
        <w:bidi w:val="0"/>
        <w:spacing w:line="520" w:lineRule="exact"/>
        <w:jc w:val="both"/>
        <w:textAlignment w:val="auto"/>
        <w:rPr>
          <w:b w:val="0"/>
          <w:color w:val="000000" w:themeColor="text1"/>
          <w:highlight w:val="none"/>
          <w14:textFill>
            <w14:solidFill>
              <w14:schemeClr w14:val="tx1"/>
            </w14:solidFill>
          </w14:textFill>
        </w:rPr>
      </w:pPr>
      <w:r>
        <w:rPr>
          <w:rFonts w:hint="eastAsia"/>
          <w:b w:val="0"/>
          <w:color w:val="000000" w:themeColor="text1"/>
          <w:highlight w:val="none"/>
          <w14:textFill>
            <w14:solidFill>
              <w14:schemeClr w14:val="tx1"/>
            </w14:solidFill>
          </w14:textFill>
        </w:rPr>
        <w:t>8、我方完全理解贵方不一定接受投标报价最低的</w:t>
      </w:r>
      <w:r>
        <w:rPr>
          <w:rFonts w:hint="eastAsia"/>
          <w:b w:val="0"/>
          <w:color w:val="000000" w:themeColor="text1"/>
          <w:highlight w:val="none"/>
          <w:lang w:eastAsia="zh-CN"/>
          <w14:textFill>
            <w14:solidFill>
              <w14:schemeClr w14:val="tx1"/>
            </w14:solidFill>
          </w14:textFill>
        </w:rPr>
        <w:t>供应商</w:t>
      </w:r>
      <w:r>
        <w:rPr>
          <w:rFonts w:hint="eastAsia"/>
          <w:b w:val="0"/>
          <w:color w:val="000000" w:themeColor="text1"/>
          <w:highlight w:val="none"/>
          <w14:textFill>
            <w14:solidFill>
              <w14:schemeClr w14:val="tx1"/>
            </w14:solidFill>
          </w14:textFill>
        </w:rPr>
        <w:t>为中标供应商的行为。</w:t>
      </w:r>
    </w:p>
    <w:p w14:paraId="6FD06955">
      <w:pPr>
        <w:pStyle w:val="17"/>
        <w:keepNext w:val="0"/>
        <w:keepLines w:val="0"/>
        <w:pageBreakBefore w:val="0"/>
        <w:kinsoku/>
        <w:wordWrap/>
        <w:overflowPunct/>
        <w:topLinePunct w:val="0"/>
        <w:autoSpaceDE/>
        <w:autoSpaceDN/>
        <w:bidi w:val="0"/>
        <w:spacing w:line="520" w:lineRule="exact"/>
        <w:jc w:val="both"/>
        <w:textAlignment w:val="auto"/>
        <w:rPr>
          <w:b w:val="0"/>
          <w:color w:val="000000" w:themeColor="text1"/>
          <w:highlight w:val="none"/>
          <w14:textFill>
            <w14:solidFill>
              <w14:schemeClr w14:val="tx1"/>
            </w14:solidFill>
          </w14:textFill>
        </w:rPr>
      </w:pPr>
      <w:r>
        <w:rPr>
          <w:rFonts w:hint="eastAsia"/>
          <w:b w:val="0"/>
          <w:color w:val="000000" w:themeColor="text1"/>
          <w:highlight w:val="none"/>
          <w14:textFill>
            <w14:solidFill>
              <w14:schemeClr w14:val="tx1"/>
            </w14:solidFill>
          </w14:textFill>
        </w:rPr>
        <w:t>9、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04A9EEA5">
      <w:pPr>
        <w:pStyle w:val="17"/>
        <w:keepNext w:val="0"/>
        <w:keepLines w:val="0"/>
        <w:pageBreakBefore w:val="0"/>
        <w:numPr>
          <w:ilvl w:val="0"/>
          <w:numId w:val="23"/>
        </w:numPr>
        <w:tabs>
          <w:tab w:val="left" w:pos="1140"/>
        </w:tabs>
        <w:kinsoku/>
        <w:wordWrap/>
        <w:overflowPunct/>
        <w:topLinePunct w:val="0"/>
        <w:autoSpaceDE/>
        <w:autoSpaceDN/>
        <w:bidi w:val="0"/>
        <w:spacing w:line="520" w:lineRule="exact"/>
        <w:jc w:val="both"/>
        <w:textAlignment w:val="auto"/>
        <w:rPr>
          <w:b w:val="0"/>
          <w:color w:val="000000" w:themeColor="text1"/>
          <w:highlight w:val="none"/>
          <w14:textFill>
            <w14:solidFill>
              <w14:schemeClr w14:val="tx1"/>
            </w14:solidFill>
          </w14:textFill>
        </w:rPr>
      </w:pPr>
      <w:r>
        <w:rPr>
          <w:rFonts w:hint="eastAsia"/>
          <w:b w:val="0"/>
          <w:color w:val="000000" w:themeColor="text1"/>
          <w:highlight w:val="none"/>
          <w14:textFill>
            <w14:solidFill>
              <w14:schemeClr w14:val="tx1"/>
            </w14:solidFill>
          </w14:textFill>
        </w:rPr>
        <w:t>提供虚假材料谋取中标、成交的；</w:t>
      </w:r>
    </w:p>
    <w:p w14:paraId="2220FF71">
      <w:pPr>
        <w:pStyle w:val="17"/>
        <w:keepNext w:val="0"/>
        <w:keepLines w:val="0"/>
        <w:pageBreakBefore w:val="0"/>
        <w:numPr>
          <w:ilvl w:val="0"/>
          <w:numId w:val="23"/>
        </w:numPr>
        <w:tabs>
          <w:tab w:val="left" w:pos="1140"/>
        </w:tabs>
        <w:kinsoku/>
        <w:wordWrap/>
        <w:overflowPunct/>
        <w:topLinePunct w:val="0"/>
        <w:autoSpaceDE/>
        <w:autoSpaceDN/>
        <w:bidi w:val="0"/>
        <w:spacing w:line="520" w:lineRule="exact"/>
        <w:jc w:val="both"/>
        <w:textAlignment w:val="auto"/>
        <w:rPr>
          <w:b w:val="0"/>
          <w:color w:val="000000" w:themeColor="text1"/>
          <w:highlight w:val="none"/>
          <w14:textFill>
            <w14:solidFill>
              <w14:schemeClr w14:val="tx1"/>
            </w14:solidFill>
          </w14:textFill>
        </w:rPr>
      </w:pPr>
      <w:r>
        <w:rPr>
          <w:rFonts w:hint="eastAsia"/>
          <w:b w:val="0"/>
          <w:color w:val="000000" w:themeColor="text1"/>
          <w:highlight w:val="none"/>
          <w14:textFill>
            <w14:solidFill>
              <w14:schemeClr w14:val="tx1"/>
            </w14:solidFill>
          </w14:textFill>
        </w:rPr>
        <w:t>采取不正当手段诋毁、排挤其他供应商的；</w:t>
      </w:r>
    </w:p>
    <w:p w14:paraId="23DFFDC9">
      <w:pPr>
        <w:pStyle w:val="17"/>
        <w:keepNext w:val="0"/>
        <w:keepLines w:val="0"/>
        <w:pageBreakBefore w:val="0"/>
        <w:numPr>
          <w:ilvl w:val="0"/>
          <w:numId w:val="23"/>
        </w:numPr>
        <w:tabs>
          <w:tab w:val="left" w:pos="1140"/>
        </w:tabs>
        <w:kinsoku/>
        <w:wordWrap/>
        <w:overflowPunct/>
        <w:topLinePunct w:val="0"/>
        <w:autoSpaceDE/>
        <w:autoSpaceDN/>
        <w:bidi w:val="0"/>
        <w:spacing w:line="520" w:lineRule="exact"/>
        <w:jc w:val="both"/>
        <w:textAlignment w:val="auto"/>
        <w:rPr>
          <w:b w:val="0"/>
          <w:color w:val="000000" w:themeColor="text1"/>
          <w:highlight w:val="none"/>
          <w14:textFill>
            <w14:solidFill>
              <w14:schemeClr w14:val="tx1"/>
            </w14:solidFill>
          </w14:textFill>
        </w:rPr>
      </w:pPr>
      <w:r>
        <w:rPr>
          <w:rFonts w:hint="eastAsia"/>
          <w:b w:val="0"/>
          <w:color w:val="000000" w:themeColor="text1"/>
          <w:highlight w:val="none"/>
          <w14:textFill>
            <w14:solidFill>
              <w14:schemeClr w14:val="tx1"/>
            </w14:solidFill>
          </w14:textFill>
        </w:rPr>
        <w:t>与采购人、其他供应商或者采购代理机构恶意串通的；</w:t>
      </w:r>
    </w:p>
    <w:p w14:paraId="3EC81102">
      <w:pPr>
        <w:pStyle w:val="17"/>
        <w:keepNext w:val="0"/>
        <w:keepLines w:val="0"/>
        <w:pageBreakBefore w:val="0"/>
        <w:numPr>
          <w:ilvl w:val="0"/>
          <w:numId w:val="23"/>
        </w:numPr>
        <w:tabs>
          <w:tab w:val="left" w:pos="1140"/>
        </w:tabs>
        <w:kinsoku/>
        <w:wordWrap/>
        <w:overflowPunct/>
        <w:topLinePunct w:val="0"/>
        <w:autoSpaceDE/>
        <w:autoSpaceDN/>
        <w:bidi w:val="0"/>
        <w:spacing w:line="520" w:lineRule="exact"/>
        <w:jc w:val="both"/>
        <w:textAlignment w:val="auto"/>
        <w:rPr>
          <w:b w:val="0"/>
          <w:color w:val="000000" w:themeColor="text1"/>
          <w:highlight w:val="none"/>
          <w14:textFill>
            <w14:solidFill>
              <w14:schemeClr w14:val="tx1"/>
            </w14:solidFill>
          </w14:textFill>
        </w:rPr>
      </w:pPr>
      <w:r>
        <w:rPr>
          <w:rFonts w:hint="eastAsia"/>
          <w:b w:val="0"/>
          <w:color w:val="000000" w:themeColor="text1"/>
          <w:highlight w:val="none"/>
          <w14:textFill>
            <w14:solidFill>
              <w14:schemeClr w14:val="tx1"/>
            </w14:solidFill>
          </w14:textFill>
        </w:rPr>
        <w:t>向采购人、采购代理机构行贿或者提供其他不正当利益的；</w:t>
      </w:r>
    </w:p>
    <w:p w14:paraId="75032502">
      <w:pPr>
        <w:pStyle w:val="17"/>
        <w:keepNext w:val="0"/>
        <w:keepLines w:val="0"/>
        <w:pageBreakBefore w:val="0"/>
        <w:numPr>
          <w:ilvl w:val="0"/>
          <w:numId w:val="23"/>
        </w:numPr>
        <w:tabs>
          <w:tab w:val="left" w:pos="1140"/>
        </w:tabs>
        <w:kinsoku/>
        <w:wordWrap/>
        <w:overflowPunct/>
        <w:topLinePunct w:val="0"/>
        <w:autoSpaceDE/>
        <w:autoSpaceDN/>
        <w:bidi w:val="0"/>
        <w:spacing w:line="520" w:lineRule="exact"/>
        <w:jc w:val="both"/>
        <w:textAlignment w:val="auto"/>
        <w:rPr>
          <w:b w:val="0"/>
          <w:color w:val="000000" w:themeColor="text1"/>
          <w:highlight w:val="none"/>
          <w14:textFill>
            <w14:solidFill>
              <w14:schemeClr w14:val="tx1"/>
            </w14:solidFill>
          </w14:textFill>
        </w:rPr>
      </w:pPr>
      <w:r>
        <w:rPr>
          <w:rFonts w:hint="eastAsia"/>
          <w:b w:val="0"/>
          <w:color w:val="000000" w:themeColor="text1"/>
          <w:highlight w:val="none"/>
          <w14:textFill>
            <w14:solidFill>
              <w14:schemeClr w14:val="tx1"/>
            </w14:solidFill>
          </w14:textFill>
        </w:rPr>
        <w:t>在招标采购过程中与采购人进行协商谈判的；</w:t>
      </w:r>
    </w:p>
    <w:p w14:paraId="43A91ECF">
      <w:pPr>
        <w:pStyle w:val="17"/>
        <w:keepNext w:val="0"/>
        <w:keepLines w:val="0"/>
        <w:pageBreakBefore w:val="0"/>
        <w:numPr>
          <w:ilvl w:val="0"/>
          <w:numId w:val="23"/>
        </w:numPr>
        <w:tabs>
          <w:tab w:val="left" w:pos="1140"/>
        </w:tabs>
        <w:kinsoku/>
        <w:wordWrap/>
        <w:overflowPunct/>
        <w:topLinePunct w:val="0"/>
        <w:autoSpaceDE/>
        <w:autoSpaceDN/>
        <w:bidi w:val="0"/>
        <w:spacing w:line="520" w:lineRule="exact"/>
        <w:jc w:val="both"/>
        <w:textAlignment w:val="auto"/>
        <w:rPr>
          <w:b w:val="0"/>
          <w:color w:val="000000" w:themeColor="text1"/>
          <w:highlight w:val="none"/>
          <w14:textFill>
            <w14:solidFill>
              <w14:schemeClr w14:val="tx1"/>
            </w14:solidFill>
          </w14:textFill>
        </w:rPr>
      </w:pPr>
      <w:r>
        <w:rPr>
          <w:rFonts w:hint="eastAsia"/>
          <w:b w:val="0"/>
          <w:color w:val="000000" w:themeColor="text1"/>
          <w:highlight w:val="none"/>
          <w14:textFill>
            <w14:solidFill>
              <w14:schemeClr w14:val="tx1"/>
            </w14:solidFill>
          </w14:textFill>
        </w:rPr>
        <w:t>拒绝有关部门监督检查或提供虚假情况的。</w:t>
      </w:r>
    </w:p>
    <w:p w14:paraId="2C79DC94">
      <w:pPr>
        <w:pStyle w:val="17"/>
        <w:keepNext w:val="0"/>
        <w:keepLines w:val="0"/>
        <w:pageBreakBefore w:val="0"/>
        <w:kinsoku/>
        <w:wordWrap/>
        <w:overflowPunct/>
        <w:topLinePunct w:val="0"/>
        <w:autoSpaceDE/>
        <w:autoSpaceDN/>
        <w:bidi w:val="0"/>
        <w:spacing w:line="520" w:lineRule="exact"/>
        <w:jc w:val="both"/>
        <w:textAlignment w:val="auto"/>
        <w:rPr>
          <w:b w:val="0"/>
          <w:color w:val="000000" w:themeColor="text1"/>
          <w:highlight w:val="none"/>
          <w14:textFill>
            <w14:solidFill>
              <w14:schemeClr w14:val="tx1"/>
            </w14:solidFill>
          </w14:textFill>
        </w:rPr>
      </w:pPr>
      <w:r>
        <w:rPr>
          <w:rFonts w:hint="eastAsia"/>
          <w:b w:val="0"/>
          <w:color w:val="000000" w:themeColor="text1"/>
          <w:highlight w:val="none"/>
          <w14:textFill>
            <w14:solidFill>
              <w14:schemeClr w14:val="tx1"/>
            </w14:solidFill>
          </w14:textFill>
        </w:rPr>
        <w:t xml:space="preserve">10、我方及由本人担任法定代表人的其他机构最近三年内被处罚的违法行为有：                                                                                                                                                              </w:t>
      </w:r>
    </w:p>
    <w:p w14:paraId="25170A0A">
      <w:pPr>
        <w:pStyle w:val="17"/>
        <w:keepNext w:val="0"/>
        <w:keepLines w:val="0"/>
        <w:pageBreakBefore w:val="0"/>
        <w:kinsoku/>
        <w:wordWrap/>
        <w:overflowPunct/>
        <w:topLinePunct w:val="0"/>
        <w:autoSpaceDE/>
        <w:autoSpaceDN/>
        <w:bidi w:val="0"/>
        <w:spacing w:line="520" w:lineRule="exact"/>
        <w:jc w:val="both"/>
        <w:textAlignment w:val="auto"/>
        <w:rPr>
          <w:b w:val="0"/>
          <w:color w:val="000000" w:themeColor="text1"/>
          <w:highlight w:val="none"/>
          <w14:textFill>
            <w14:solidFill>
              <w14:schemeClr w14:val="tx1"/>
            </w14:solidFill>
          </w14:textFill>
        </w:rPr>
      </w:pPr>
      <w:r>
        <w:rPr>
          <w:rFonts w:hint="eastAsia"/>
          <w:b w:val="0"/>
          <w:color w:val="000000" w:themeColor="text1"/>
          <w:highlight w:val="none"/>
          <w14:textFill>
            <w14:solidFill>
              <w14:schemeClr w14:val="tx1"/>
            </w14:solidFill>
          </w14:textFill>
        </w:rPr>
        <w:t>11、以上事项如有虚假或隐瞒，我方愿意承担一切后果，并不再寻求任何旨在减轻或免除法律责任的辩解。</w:t>
      </w:r>
    </w:p>
    <w:p w14:paraId="708705FE">
      <w:pPr>
        <w:pStyle w:val="17"/>
        <w:keepNext w:val="0"/>
        <w:keepLines w:val="0"/>
        <w:pageBreakBefore w:val="0"/>
        <w:kinsoku/>
        <w:wordWrap/>
        <w:overflowPunct/>
        <w:topLinePunct w:val="0"/>
        <w:autoSpaceDE/>
        <w:autoSpaceDN/>
        <w:bidi w:val="0"/>
        <w:spacing w:line="520" w:lineRule="exact"/>
        <w:jc w:val="both"/>
        <w:textAlignment w:val="auto"/>
        <w:rPr>
          <w:b w:val="0"/>
          <w:color w:val="000000" w:themeColor="text1"/>
          <w:highlight w:val="none"/>
          <w14:textFill>
            <w14:solidFill>
              <w14:schemeClr w14:val="tx1"/>
            </w14:solidFill>
          </w14:textFill>
        </w:rPr>
      </w:pPr>
      <w:r>
        <w:rPr>
          <w:rFonts w:hint="eastAsia"/>
          <w:b w:val="0"/>
          <w:color w:val="000000" w:themeColor="text1"/>
          <w:highlight w:val="none"/>
          <w14:textFill>
            <w14:solidFill>
              <w14:schemeClr w14:val="tx1"/>
            </w14:solidFill>
          </w14:textFill>
        </w:rPr>
        <w:t>12、与本投标有关的一切正式往来信函请寄：</w:t>
      </w:r>
      <w:r>
        <w:rPr>
          <w:rFonts w:hint="eastAsia"/>
          <w:b w:val="0"/>
          <w:color w:val="000000" w:themeColor="text1"/>
          <w:highlight w:val="none"/>
          <w:u w:val="single"/>
          <w14:textFill>
            <w14:solidFill>
              <w14:schemeClr w14:val="tx1"/>
            </w14:solidFill>
          </w14:textFill>
        </w:rPr>
        <w:t xml:space="preserve"> </w:t>
      </w:r>
    </w:p>
    <w:p w14:paraId="58650E44">
      <w:pPr>
        <w:pStyle w:val="17"/>
        <w:keepNext w:val="0"/>
        <w:keepLines w:val="0"/>
        <w:pageBreakBefore w:val="0"/>
        <w:kinsoku/>
        <w:wordWrap/>
        <w:overflowPunct/>
        <w:topLinePunct w:val="0"/>
        <w:autoSpaceDE/>
        <w:autoSpaceDN/>
        <w:bidi w:val="0"/>
        <w:spacing w:line="520" w:lineRule="exact"/>
        <w:jc w:val="left"/>
        <w:textAlignment w:val="auto"/>
        <w:rPr>
          <w:b w:val="0"/>
          <w:color w:val="000000" w:themeColor="text1"/>
          <w:highlight w:val="none"/>
          <w14:textFill>
            <w14:solidFill>
              <w14:schemeClr w14:val="tx1"/>
            </w14:solidFill>
          </w14:textFill>
        </w:rPr>
      </w:pPr>
      <w:r>
        <w:rPr>
          <w:rFonts w:hint="eastAsia"/>
          <w:b w:val="0"/>
          <w:color w:val="000000" w:themeColor="text1"/>
          <w:highlight w:val="none"/>
          <w14:textFill>
            <w14:solidFill>
              <w14:schemeClr w14:val="tx1"/>
            </w14:solidFill>
          </w14:textFill>
        </w:rPr>
        <w:t>地址：</w:t>
      </w:r>
      <w:r>
        <w:rPr>
          <w:rFonts w:hint="eastAsia"/>
          <w:b w:val="0"/>
          <w:color w:val="000000" w:themeColor="text1"/>
          <w:highlight w:val="none"/>
          <w:u w:val="single"/>
          <w14:textFill>
            <w14:solidFill>
              <w14:schemeClr w14:val="tx1"/>
            </w14:solidFill>
          </w14:textFill>
        </w:rPr>
        <w:t xml:space="preserve">                                                     </w:t>
      </w:r>
      <w:r>
        <w:rPr>
          <w:rFonts w:hint="eastAsia"/>
          <w:b w:val="0"/>
          <w:color w:val="000000" w:themeColor="text1"/>
          <w:highlight w:val="none"/>
          <w14:textFill>
            <w14:solidFill>
              <w14:schemeClr w14:val="tx1"/>
            </w14:solidFill>
          </w14:textFill>
        </w:rPr>
        <w:t xml:space="preserve">    </w:t>
      </w:r>
    </w:p>
    <w:p w14:paraId="7D243EB1">
      <w:pPr>
        <w:pStyle w:val="17"/>
        <w:keepNext w:val="0"/>
        <w:keepLines w:val="0"/>
        <w:pageBreakBefore w:val="0"/>
        <w:kinsoku/>
        <w:wordWrap/>
        <w:overflowPunct/>
        <w:topLinePunct w:val="0"/>
        <w:autoSpaceDE/>
        <w:autoSpaceDN/>
        <w:bidi w:val="0"/>
        <w:spacing w:line="520" w:lineRule="exact"/>
        <w:jc w:val="left"/>
        <w:textAlignment w:val="auto"/>
        <w:rPr>
          <w:b w:val="0"/>
          <w:color w:val="000000" w:themeColor="text1"/>
          <w:highlight w:val="none"/>
          <w14:textFill>
            <w14:solidFill>
              <w14:schemeClr w14:val="tx1"/>
            </w14:solidFill>
          </w14:textFill>
        </w:rPr>
      </w:pPr>
      <w:r>
        <w:rPr>
          <w:rFonts w:hint="eastAsia"/>
          <w:b w:val="0"/>
          <w:color w:val="000000" w:themeColor="text1"/>
          <w:highlight w:val="none"/>
          <w14:textFill>
            <w14:solidFill>
              <w14:schemeClr w14:val="tx1"/>
            </w14:solidFill>
          </w14:textFill>
        </w:rPr>
        <w:t>电话：</w:t>
      </w:r>
      <w:r>
        <w:rPr>
          <w:rFonts w:hint="eastAsia"/>
          <w:b w:val="0"/>
          <w:color w:val="000000" w:themeColor="text1"/>
          <w:highlight w:val="none"/>
          <w:u w:val="single"/>
          <w14:textFill>
            <w14:solidFill>
              <w14:schemeClr w14:val="tx1"/>
            </w14:solidFill>
          </w14:textFill>
        </w:rPr>
        <w:t xml:space="preserve">                                      　　　　　　　　　</w:t>
      </w:r>
    </w:p>
    <w:p w14:paraId="35E81550">
      <w:pPr>
        <w:pStyle w:val="17"/>
        <w:keepNext w:val="0"/>
        <w:keepLines w:val="0"/>
        <w:pageBreakBefore w:val="0"/>
        <w:kinsoku/>
        <w:wordWrap/>
        <w:overflowPunct/>
        <w:topLinePunct w:val="0"/>
        <w:autoSpaceDE/>
        <w:autoSpaceDN/>
        <w:bidi w:val="0"/>
        <w:spacing w:line="520" w:lineRule="exact"/>
        <w:jc w:val="left"/>
        <w:textAlignment w:val="auto"/>
        <w:rPr>
          <w:b w:val="0"/>
          <w:color w:val="000000" w:themeColor="text1"/>
          <w:highlight w:val="none"/>
          <w14:textFill>
            <w14:solidFill>
              <w14:schemeClr w14:val="tx1"/>
            </w14:solidFill>
          </w14:textFill>
        </w:rPr>
      </w:pPr>
      <w:r>
        <w:rPr>
          <w:rFonts w:hint="eastAsia"/>
          <w:b w:val="0"/>
          <w:color w:val="000000" w:themeColor="text1"/>
          <w:highlight w:val="none"/>
          <w14:textFill>
            <w14:solidFill>
              <w14:schemeClr w14:val="tx1"/>
            </w14:solidFill>
          </w14:textFill>
        </w:rPr>
        <w:t>传真：</w:t>
      </w:r>
      <w:r>
        <w:rPr>
          <w:rFonts w:hint="eastAsia"/>
          <w:b w:val="0"/>
          <w:color w:val="000000" w:themeColor="text1"/>
          <w:highlight w:val="none"/>
          <w:u w:val="single"/>
          <w14:textFill>
            <w14:solidFill>
              <w14:schemeClr w14:val="tx1"/>
            </w14:solidFill>
          </w14:textFill>
        </w:rPr>
        <w:t>　　　　　　　　　　　　　　　　　　　　　　　　　　　　</w:t>
      </w:r>
    </w:p>
    <w:p w14:paraId="176EF554">
      <w:pPr>
        <w:pStyle w:val="17"/>
        <w:keepNext w:val="0"/>
        <w:keepLines w:val="0"/>
        <w:pageBreakBefore w:val="0"/>
        <w:kinsoku/>
        <w:wordWrap/>
        <w:overflowPunct/>
        <w:topLinePunct w:val="0"/>
        <w:autoSpaceDE/>
        <w:autoSpaceDN/>
        <w:bidi w:val="0"/>
        <w:spacing w:line="520" w:lineRule="exact"/>
        <w:jc w:val="left"/>
        <w:textAlignment w:val="auto"/>
        <w:rPr>
          <w:b w:val="0"/>
          <w:color w:val="000000" w:themeColor="text1"/>
          <w:highlight w:val="none"/>
          <w14:textFill>
            <w14:solidFill>
              <w14:schemeClr w14:val="tx1"/>
            </w14:solidFill>
          </w14:textFill>
        </w:rPr>
      </w:pPr>
      <w:r>
        <w:rPr>
          <w:rFonts w:hint="eastAsia"/>
          <w:b w:val="0"/>
          <w:color w:val="000000" w:themeColor="text1"/>
          <w:highlight w:val="none"/>
          <w14:textFill>
            <w14:solidFill>
              <w14:schemeClr w14:val="tx1"/>
            </w14:solidFill>
          </w14:textFill>
        </w:rPr>
        <w:t>邮政编码：</w:t>
      </w:r>
      <w:r>
        <w:rPr>
          <w:rFonts w:hint="eastAsia"/>
          <w:b w:val="0"/>
          <w:color w:val="000000" w:themeColor="text1"/>
          <w:highlight w:val="none"/>
          <w:u w:val="single"/>
          <w14:textFill>
            <w14:solidFill>
              <w14:schemeClr w14:val="tx1"/>
            </w14:solidFill>
          </w14:textFill>
        </w:rPr>
        <w:t xml:space="preserve">                                                    </w:t>
      </w:r>
    </w:p>
    <w:p w14:paraId="10F9ACF3">
      <w:pPr>
        <w:pStyle w:val="17"/>
        <w:keepNext w:val="0"/>
        <w:keepLines w:val="0"/>
        <w:pageBreakBefore w:val="0"/>
        <w:kinsoku/>
        <w:wordWrap/>
        <w:overflowPunct/>
        <w:topLinePunct w:val="0"/>
        <w:autoSpaceDE/>
        <w:autoSpaceDN/>
        <w:bidi w:val="0"/>
        <w:spacing w:line="520" w:lineRule="exact"/>
        <w:jc w:val="left"/>
        <w:textAlignment w:val="auto"/>
        <w:rPr>
          <w:b w:val="0"/>
          <w:color w:val="000000" w:themeColor="text1"/>
          <w:highlight w:val="none"/>
          <w:u w:val="single"/>
          <w14:textFill>
            <w14:solidFill>
              <w14:schemeClr w14:val="tx1"/>
            </w14:solidFill>
          </w14:textFill>
        </w:rPr>
      </w:pPr>
      <w:r>
        <w:rPr>
          <w:rFonts w:hint="eastAsia"/>
          <w:b w:val="0"/>
          <w:color w:val="000000" w:themeColor="text1"/>
          <w:highlight w:val="none"/>
          <w14:textFill>
            <w14:solidFill>
              <w14:schemeClr w14:val="tx1"/>
            </w14:solidFill>
          </w14:textFill>
        </w:rPr>
        <w:t>开户名称：</w:t>
      </w:r>
      <w:r>
        <w:rPr>
          <w:rFonts w:hint="eastAsia"/>
          <w:b w:val="0"/>
          <w:color w:val="000000" w:themeColor="text1"/>
          <w:highlight w:val="none"/>
          <w:u w:val="single"/>
          <w14:textFill>
            <w14:solidFill>
              <w14:schemeClr w14:val="tx1"/>
            </w14:solidFill>
          </w14:textFill>
        </w:rPr>
        <w:t xml:space="preserve">                                                    </w:t>
      </w:r>
    </w:p>
    <w:p w14:paraId="6FF3765B">
      <w:pPr>
        <w:pStyle w:val="17"/>
        <w:keepNext w:val="0"/>
        <w:keepLines w:val="0"/>
        <w:pageBreakBefore w:val="0"/>
        <w:kinsoku/>
        <w:wordWrap/>
        <w:overflowPunct/>
        <w:topLinePunct w:val="0"/>
        <w:autoSpaceDE/>
        <w:autoSpaceDN/>
        <w:bidi w:val="0"/>
        <w:spacing w:line="520" w:lineRule="exact"/>
        <w:jc w:val="left"/>
        <w:textAlignment w:val="auto"/>
        <w:rPr>
          <w:b w:val="0"/>
          <w:color w:val="000000" w:themeColor="text1"/>
          <w:highlight w:val="none"/>
          <w14:textFill>
            <w14:solidFill>
              <w14:schemeClr w14:val="tx1"/>
            </w14:solidFill>
          </w14:textFill>
        </w:rPr>
      </w:pPr>
      <w:r>
        <w:rPr>
          <w:rFonts w:hint="eastAsia"/>
          <w:b w:val="0"/>
          <w:color w:val="000000" w:themeColor="text1"/>
          <w:highlight w:val="none"/>
          <w14:textFill>
            <w14:solidFill>
              <w14:schemeClr w14:val="tx1"/>
            </w14:solidFill>
          </w14:textFill>
        </w:rPr>
        <w:t>开户银行：</w:t>
      </w:r>
      <w:r>
        <w:rPr>
          <w:rFonts w:hint="eastAsia"/>
          <w:b w:val="0"/>
          <w:color w:val="000000" w:themeColor="text1"/>
          <w:highlight w:val="none"/>
          <w:u w:val="single"/>
          <w14:textFill>
            <w14:solidFill>
              <w14:schemeClr w14:val="tx1"/>
            </w14:solidFill>
          </w14:textFill>
        </w:rPr>
        <w:t xml:space="preserve">                                                    </w:t>
      </w:r>
    </w:p>
    <w:p w14:paraId="30FB6774">
      <w:pPr>
        <w:pStyle w:val="17"/>
        <w:keepNext w:val="0"/>
        <w:keepLines w:val="0"/>
        <w:pageBreakBefore w:val="0"/>
        <w:kinsoku/>
        <w:wordWrap/>
        <w:overflowPunct/>
        <w:topLinePunct w:val="0"/>
        <w:autoSpaceDE/>
        <w:autoSpaceDN/>
        <w:bidi w:val="0"/>
        <w:spacing w:line="520" w:lineRule="exact"/>
        <w:jc w:val="left"/>
        <w:textAlignment w:val="auto"/>
        <w:rPr>
          <w:b w:val="0"/>
          <w:color w:val="000000" w:themeColor="text1"/>
          <w:highlight w:val="none"/>
          <w14:textFill>
            <w14:solidFill>
              <w14:schemeClr w14:val="tx1"/>
            </w14:solidFill>
          </w14:textFill>
        </w:rPr>
      </w:pPr>
      <w:r>
        <w:rPr>
          <w:rFonts w:hint="eastAsia"/>
          <w:b w:val="0"/>
          <w:color w:val="000000" w:themeColor="text1"/>
          <w:highlight w:val="none"/>
          <w14:textFill>
            <w14:solidFill>
              <w14:schemeClr w14:val="tx1"/>
            </w14:solidFill>
          </w14:textFill>
        </w:rPr>
        <w:t>银行账号：</w:t>
      </w:r>
      <w:r>
        <w:rPr>
          <w:rFonts w:hint="eastAsia"/>
          <w:b w:val="0"/>
          <w:color w:val="000000" w:themeColor="text1"/>
          <w:highlight w:val="none"/>
          <w:u w:val="single"/>
          <w14:textFill>
            <w14:solidFill>
              <w14:schemeClr w14:val="tx1"/>
            </w14:solidFill>
          </w14:textFill>
        </w:rPr>
        <w:t xml:space="preserve">                                                    </w:t>
      </w:r>
    </w:p>
    <w:p w14:paraId="5F125AA9">
      <w:pPr>
        <w:keepNext w:val="0"/>
        <w:keepLines w:val="0"/>
        <w:pageBreakBefore w:val="0"/>
        <w:kinsoku/>
        <w:wordWrap/>
        <w:overflowPunct/>
        <w:topLinePunct w:val="0"/>
        <w:autoSpaceDE/>
        <w:autoSpaceDN/>
        <w:bidi w:val="0"/>
        <w:snapToGrid w:val="0"/>
        <w:spacing w:line="520" w:lineRule="exact"/>
        <w:textAlignment w:val="auto"/>
        <w:rPr>
          <w:rFonts w:hint="eastAsia" w:cs="仿宋_GB2312" w:asciiTheme="minorEastAsia" w:hAnsiTheme="minorEastAsia" w:eastAsiaTheme="minorEastAsia"/>
          <w:color w:val="000000" w:themeColor="text1"/>
          <w:kern w:val="0"/>
          <w:sz w:val="28"/>
          <w:szCs w:val="28"/>
          <w:highlight w:val="none"/>
          <w:lang w:val="zh-CN"/>
          <w14:textFill>
            <w14:solidFill>
              <w14:schemeClr w14:val="tx1"/>
            </w14:solidFill>
          </w14:textFill>
        </w:rPr>
      </w:pPr>
    </w:p>
    <w:p w14:paraId="6CF6B2A6">
      <w:pPr>
        <w:keepNext w:val="0"/>
        <w:keepLines w:val="0"/>
        <w:pageBreakBefore w:val="0"/>
        <w:kinsoku/>
        <w:wordWrap/>
        <w:overflowPunct/>
        <w:topLinePunct w:val="0"/>
        <w:autoSpaceDE/>
        <w:autoSpaceDN/>
        <w:bidi w:val="0"/>
        <w:snapToGrid w:val="0"/>
        <w:spacing w:line="520" w:lineRule="exact"/>
        <w:ind w:firstLine="5880" w:firstLineChars="2100"/>
        <w:textAlignment w:val="auto"/>
        <w:rPr>
          <w:rFonts w:cs="仿宋_GB2312" w:asciiTheme="minorEastAsia" w:hAnsiTheme="minorEastAsia" w:eastAsiaTheme="minorEastAsia"/>
          <w:color w:val="000000" w:themeColor="text1"/>
          <w:kern w:val="0"/>
          <w:sz w:val="28"/>
          <w:szCs w:val="28"/>
          <w:highlight w:val="none"/>
          <w14:textFill>
            <w14:solidFill>
              <w14:schemeClr w14:val="tx1"/>
            </w14:solidFill>
          </w14:textFill>
        </w:rPr>
      </w:pPr>
      <w:r>
        <w:rPr>
          <w:rFonts w:hint="eastAsia" w:cs="仿宋_GB2312" w:asciiTheme="minorEastAsia" w:hAnsiTheme="minorEastAsia" w:eastAsiaTheme="minorEastAsia"/>
          <w:color w:val="000000" w:themeColor="text1"/>
          <w:kern w:val="0"/>
          <w:sz w:val="28"/>
          <w:szCs w:val="28"/>
          <w:highlight w:val="none"/>
          <w:lang w:val="zh-CN"/>
          <w14:textFill>
            <w14:solidFill>
              <w14:schemeClr w14:val="tx1"/>
            </w14:solidFill>
          </w14:textFill>
        </w:rPr>
        <w:t>供应商名称(电子公章)：</w:t>
      </w:r>
    </w:p>
    <w:p w14:paraId="6EB347BD">
      <w:pPr>
        <w:keepNext w:val="0"/>
        <w:keepLines w:val="0"/>
        <w:pageBreakBefore w:val="0"/>
        <w:kinsoku/>
        <w:wordWrap/>
        <w:overflowPunct/>
        <w:topLinePunct w:val="0"/>
        <w:autoSpaceDE/>
        <w:autoSpaceDN/>
        <w:bidi w:val="0"/>
        <w:snapToGrid w:val="0"/>
        <w:spacing w:line="520" w:lineRule="exact"/>
        <w:jc w:val="right"/>
        <w:textAlignment w:val="auto"/>
        <w:rPr>
          <w:rFonts w:hint="eastAsia" w:cs="仿宋_GB2312" w:asciiTheme="minorEastAsia" w:hAnsiTheme="minorEastAsia" w:eastAsiaTheme="minorEastAsia"/>
          <w:color w:val="000000" w:themeColor="text1"/>
          <w:kern w:val="0"/>
          <w:sz w:val="28"/>
          <w:szCs w:val="28"/>
          <w:highlight w:val="none"/>
          <w:lang w:val="zh-CN"/>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法定代表人或其委托代理人（签字</w:t>
      </w:r>
      <w:r>
        <w:rPr>
          <w:rFonts w:hint="eastAsia" w:ascii="宋体" w:hAnsi="宋体" w:cs="宋体"/>
          <w:color w:val="000000" w:themeColor="text1"/>
          <w:sz w:val="28"/>
          <w:szCs w:val="28"/>
          <w:highlight w:val="none"/>
          <w:lang w:eastAsia="zh-CN"/>
          <w14:textFill>
            <w14:solidFill>
              <w14:schemeClr w14:val="tx1"/>
            </w14:solidFill>
          </w14:textFill>
        </w:rPr>
        <w:t>或</w:t>
      </w:r>
      <w:r>
        <w:rPr>
          <w:rFonts w:hint="eastAsia" w:ascii="宋体" w:hAnsi="宋体" w:eastAsia="宋体" w:cs="宋体"/>
          <w:color w:val="000000" w:themeColor="text1"/>
          <w:sz w:val="28"/>
          <w:szCs w:val="28"/>
          <w:highlight w:val="none"/>
          <w14:textFill>
            <w14:solidFill>
              <w14:schemeClr w14:val="tx1"/>
            </w14:solidFill>
          </w14:textFill>
        </w:rPr>
        <w:t>盖章）：</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r>
        <w:rPr>
          <w:rFonts w:hint="eastAsia" w:ascii="宋体" w:hAnsi="宋体" w:cs="宋体"/>
          <w:color w:val="000000" w:themeColor="text1"/>
          <w:sz w:val="28"/>
          <w:szCs w:val="28"/>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kern w:val="0"/>
          <w:sz w:val="28"/>
          <w:szCs w:val="28"/>
          <w:highlight w:val="none"/>
          <w:u w:val="single"/>
          <w:lang w:val="en-US" w:eastAsia="zh-CN"/>
          <w14:textFill>
            <w14:solidFill>
              <w14:schemeClr w14:val="tx1"/>
            </w14:solidFill>
          </w14:textFill>
        </w:rPr>
        <w:t xml:space="preserve"> </w:t>
      </w:r>
    </w:p>
    <w:p w14:paraId="791CBF17">
      <w:pPr>
        <w:keepNext w:val="0"/>
        <w:keepLines w:val="0"/>
        <w:pageBreakBefore w:val="0"/>
        <w:kinsoku/>
        <w:wordWrap/>
        <w:overflowPunct/>
        <w:topLinePunct w:val="0"/>
        <w:autoSpaceDE/>
        <w:autoSpaceDN/>
        <w:bidi w:val="0"/>
        <w:snapToGrid w:val="0"/>
        <w:spacing w:line="520" w:lineRule="exact"/>
        <w:ind w:firstLine="6020" w:firstLineChars="2150"/>
        <w:textAlignment w:val="auto"/>
        <w:rPr>
          <w:rFonts w:cs="仿宋_GB2312" w:asciiTheme="minorEastAsia" w:hAnsiTheme="minorEastAsia" w:eastAsiaTheme="minorEastAsia"/>
          <w:color w:val="000000" w:themeColor="text1"/>
          <w:kern w:val="0"/>
          <w:sz w:val="28"/>
          <w:szCs w:val="28"/>
          <w:highlight w:val="none"/>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8"/>
          <w:szCs w:val="28"/>
          <w:highlight w:val="none"/>
          <w:lang w:val="zh-CN"/>
          <w14:textFill>
            <w14:solidFill>
              <w14:schemeClr w14:val="tx1"/>
            </w14:solidFill>
          </w14:textFill>
        </w:rPr>
        <w:t>日期</w:t>
      </w:r>
      <w:r>
        <w:rPr>
          <w:rFonts w:hint="eastAsia" w:cs="仿宋_GB2312" w:asciiTheme="minorEastAsia" w:hAnsiTheme="minorEastAsia" w:eastAsiaTheme="minorEastAsia"/>
          <w:color w:val="000000" w:themeColor="text1"/>
          <w:kern w:val="0"/>
          <w:sz w:val="28"/>
          <w:szCs w:val="28"/>
          <w:highlight w:val="none"/>
          <w14:textFill>
            <w14:solidFill>
              <w14:schemeClr w14:val="tx1"/>
            </w14:solidFill>
          </w14:textFill>
        </w:rPr>
        <w:t xml:space="preserve">：  年  </w:t>
      </w:r>
      <w:r>
        <w:rPr>
          <w:rFonts w:hint="eastAsia" w:cs="仿宋_GB2312" w:asciiTheme="minorEastAsia" w:hAnsiTheme="minorEastAsia" w:eastAsiaTheme="minorEastAsia"/>
          <w:color w:val="000000" w:themeColor="text1"/>
          <w:kern w:val="0"/>
          <w:sz w:val="28"/>
          <w:szCs w:val="28"/>
          <w:highlight w:val="none"/>
          <w:lang w:val="zh-CN"/>
          <w14:textFill>
            <w14:solidFill>
              <w14:schemeClr w14:val="tx1"/>
            </w14:solidFill>
          </w14:textFill>
        </w:rPr>
        <w:t>月</w:t>
      </w:r>
      <w:r>
        <w:rPr>
          <w:rFonts w:hint="eastAsia" w:cs="仿宋_GB2312" w:asciiTheme="minorEastAsia" w:hAnsiTheme="minorEastAsia" w:eastAsiaTheme="minorEastAsia"/>
          <w:color w:val="000000" w:themeColor="text1"/>
          <w:kern w:val="0"/>
          <w:sz w:val="28"/>
          <w:szCs w:val="28"/>
          <w:highlight w:val="none"/>
          <w14:textFill>
            <w14:solidFill>
              <w14:schemeClr w14:val="tx1"/>
            </w14:solidFill>
          </w14:textFill>
        </w:rPr>
        <w:t xml:space="preserve">   </w:t>
      </w:r>
      <w:r>
        <w:rPr>
          <w:rFonts w:hint="eastAsia" w:cs="仿宋_GB2312" w:asciiTheme="minorEastAsia" w:hAnsiTheme="minorEastAsia" w:eastAsiaTheme="minorEastAsia"/>
          <w:color w:val="000000" w:themeColor="text1"/>
          <w:kern w:val="0"/>
          <w:sz w:val="28"/>
          <w:szCs w:val="28"/>
          <w:highlight w:val="none"/>
          <w:lang w:val="zh-CN"/>
          <w14:textFill>
            <w14:solidFill>
              <w14:schemeClr w14:val="tx1"/>
            </w14:solidFill>
          </w14:textFill>
        </w:rPr>
        <w:t>日</w:t>
      </w:r>
    </w:p>
    <w:p w14:paraId="14943CA8">
      <w:pPr>
        <w:keepNext w:val="0"/>
        <w:keepLines w:val="0"/>
        <w:pageBreakBefore w:val="0"/>
        <w:widowControl/>
        <w:kinsoku/>
        <w:wordWrap/>
        <w:overflowPunct/>
        <w:topLinePunct w:val="0"/>
        <w:autoSpaceDE/>
        <w:autoSpaceDN/>
        <w:bidi w:val="0"/>
        <w:spacing w:line="520" w:lineRule="exact"/>
        <w:jc w:val="left"/>
        <w:textAlignment w:val="auto"/>
        <w:rPr>
          <w:rFonts w:ascii="仿宋_GB2312" w:hAnsi="仿宋" w:eastAsia="仿宋_GB2312" w:cs="仿宋_GB2312"/>
          <w:color w:val="000000" w:themeColor="text1"/>
          <w:kern w:val="0"/>
          <w:sz w:val="24"/>
          <w:highlight w:val="none"/>
          <w:lang w:val="zh-CN"/>
          <w14:textFill>
            <w14:solidFill>
              <w14:schemeClr w14:val="tx1"/>
            </w14:solidFill>
          </w14:textFill>
        </w:rPr>
        <w:sectPr>
          <w:pgSz w:w="11906" w:h="16838"/>
          <w:pgMar w:top="1134" w:right="1134" w:bottom="1134" w:left="1134" w:header="720" w:footer="720" w:gutter="0"/>
          <w:pgNumType w:fmt="decimal"/>
          <w:cols w:space="720" w:num="1"/>
          <w:docGrid w:type="lines" w:linePitch="331" w:charSpace="0"/>
        </w:sectPr>
      </w:pPr>
    </w:p>
    <w:p w14:paraId="52BF63D8">
      <w:pPr>
        <w:pStyle w:val="17"/>
        <w:pageBreakBefore w:val="0"/>
        <w:wordWrap/>
        <w:topLinePunct w:val="0"/>
        <w:bidi w:val="0"/>
        <w:spacing w:line="560" w:lineRule="exact"/>
        <w:rPr>
          <w:color w:val="000000" w:themeColor="text1"/>
          <w:sz w:val="30"/>
          <w:szCs w:val="30"/>
          <w:highlight w:val="none"/>
          <w14:textFill>
            <w14:solidFill>
              <w14:schemeClr w14:val="tx1"/>
            </w14:solidFill>
          </w14:textFill>
        </w:rPr>
      </w:pPr>
      <w:r>
        <w:rPr>
          <w:rFonts w:hint="eastAsia" w:hAnsi="宋体"/>
          <w:color w:val="000000" w:themeColor="text1"/>
          <w:sz w:val="30"/>
          <w:highlight w:val="none"/>
          <w14:textFill>
            <w14:solidFill>
              <w14:schemeClr w14:val="tx1"/>
            </w14:solidFill>
          </w14:textFill>
        </w:rPr>
        <w:t>二、</w:t>
      </w:r>
      <w:r>
        <w:rPr>
          <w:rFonts w:hint="eastAsia"/>
          <w:color w:val="000000" w:themeColor="text1"/>
          <w:sz w:val="30"/>
          <w:szCs w:val="30"/>
          <w:highlight w:val="none"/>
          <w14:textFill>
            <w14:solidFill>
              <w14:schemeClr w14:val="tx1"/>
            </w14:solidFill>
          </w14:textFill>
        </w:rPr>
        <w:t>开标一览表</w:t>
      </w:r>
      <w:r>
        <w:rPr>
          <w:rFonts w:hint="eastAsia"/>
          <w:color w:val="000000" w:themeColor="text1"/>
          <w:highlight w:val="none"/>
          <w:lang w:val="zh-CN"/>
          <w14:textFill>
            <w14:solidFill>
              <w14:schemeClr w14:val="tx1"/>
            </w14:solidFill>
          </w14:textFill>
        </w:rPr>
        <w:t>(单位均为人民币元)</w:t>
      </w:r>
    </w:p>
    <w:p w14:paraId="3943D728">
      <w:pPr>
        <w:pStyle w:val="17"/>
        <w:pageBreakBefore w:val="0"/>
        <w:wordWrap/>
        <w:topLinePunct w:val="0"/>
        <w:bidi w:val="0"/>
        <w:spacing w:line="560" w:lineRule="exac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                     </w:t>
      </w:r>
    </w:p>
    <w:tbl>
      <w:tblPr>
        <w:tblStyle w:val="34"/>
        <w:tblW w:w="958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0"/>
      </w:tblGrid>
      <w:tr w14:paraId="52E76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8" w:hRule="atLeast"/>
        </w:trPr>
        <w:tc>
          <w:tcPr>
            <w:tcW w:w="9580" w:type="dxa"/>
            <w:tcBorders>
              <w:top w:val="single" w:color="auto" w:sz="4" w:space="0"/>
              <w:left w:val="single" w:color="auto" w:sz="4" w:space="0"/>
              <w:bottom w:val="single" w:color="auto" w:sz="4" w:space="0"/>
              <w:right w:val="single" w:color="auto" w:sz="4" w:space="0"/>
            </w:tcBorders>
          </w:tcPr>
          <w:p w14:paraId="260A12F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olor w:val="000000" w:themeColor="text1"/>
                <w:sz w:val="28"/>
                <w:szCs w:val="28"/>
                <w:highlight w:val="none"/>
                <w:lang w:eastAsia="zh-CN"/>
                <w14:textFill>
                  <w14:solidFill>
                    <w14:schemeClr w14:val="tx1"/>
                  </w14:solidFill>
                </w14:textFill>
              </w:rPr>
            </w:pPr>
            <w:r>
              <w:rPr>
                <w:rFonts w:hint="eastAsia" w:asciiTheme="minorEastAsia" w:hAnsiTheme="minorEastAsia" w:eastAsiaTheme="minorEastAsia"/>
                <w:color w:val="000000" w:themeColor="text1"/>
                <w:sz w:val="28"/>
                <w:szCs w:val="28"/>
                <w:highlight w:val="none"/>
                <w:lang w:eastAsia="zh-CN"/>
                <w14:textFill>
                  <w14:solidFill>
                    <w14:schemeClr w14:val="tx1"/>
                  </w14:solidFill>
                </w14:textFill>
              </w:rPr>
              <w:t>标项名称：</w:t>
            </w:r>
          </w:p>
        </w:tc>
      </w:tr>
      <w:tr w14:paraId="30E95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3" w:hRule="atLeast"/>
        </w:trPr>
        <w:tc>
          <w:tcPr>
            <w:tcW w:w="9580" w:type="dxa"/>
            <w:tcBorders>
              <w:top w:val="single" w:color="auto" w:sz="4" w:space="0"/>
              <w:left w:val="single" w:color="auto" w:sz="4" w:space="0"/>
              <w:bottom w:val="single" w:color="auto" w:sz="4" w:space="0"/>
              <w:right w:val="single" w:color="auto" w:sz="4" w:space="0"/>
            </w:tcBorders>
          </w:tcPr>
          <w:p w14:paraId="47D20196">
            <w:pPr>
              <w:keepNext w:val="0"/>
              <w:keepLines w:val="0"/>
              <w:pageBreakBefore w:val="0"/>
              <w:widowControl w:val="0"/>
              <w:kinsoku/>
              <w:wordWrap/>
              <w:overflowPunct/>
              <w:topLinePunct w:val="0"/>
              <w:autoSpaceDE/>
              <w:autoSpaceDN/>
              <w:bidi w:val="0"/>
              <w:adjustRightInd/>
              <w:snapToGrid/>
              <w:spacing w:line="560" w:lineRule="exact"/>
              <w:textAlignment w:val="auto"/>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报价（总报价）：大写：</w:t>
            </w:r>
          </w:p>
          <w:p w14:paraId="1BBC7891">
            <w:pPr>
              <w:keepNext w:val="0"/>
              <w:keepLines w:val="0"/>
              <w:pageBreakBefore w:val="0"/>
              <w:widowControl w:val="0"/>
              <w:kinsoku/>
              <w:wordWrap/>
              <w:overflowPunct/>
              <w:topLinePunct w:val="0"/>
              <w:autoSpaceDE/>
              <w:autoSpaceDN/>
              <w:bidi w:val="0"/>
              <w:adjustRightInd/>
              <w:snapToGrid/>
              <w:spacing w:line="560" w:lineRule="exact"/>
              <w:textAlignment w:val="auto"/>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 xml:space="preserve">               小写：</w:t>
            </w:r>
          </w:p>
        </w:tc>
      </w:tr>
      <w:tr w14:paraId="70B93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9" w:hRule="atLeast"/>
        </w:trPr>
        <w:tc>
          <w:tcPr>
            <w:tcW w:w="9580" w:type="dxa"/>
            <w:tcBorders>
              <w:top w:val="single" w:color="auto" w:sz="4" w:space="0"/>
              <w:left w:val="single" w:color="auto" w:sz="4" w:space="0"/>
              <w:bottom w:val="single" w:color="auto" w:sz="4" w:space="0"/>
              <w:right w:val="single" w:color="auto" w:sz="4" w:space="0"/>
            </w:tcBorders>
          </w:tcPr>
          <w:p w14:paraId="41937D4C">
            <w:pPr>
              <w:keepNext w:val="0"/>
              <w:keepLines w:val="0"/>
              <w:pageBreakBefore w:val="0"/>
              <w:widowControl w:val="0"/>
              <w:kinsoku/>
              <w:wordWrap/>
              <w:overflowPunct/>
              <w:topLinePunct w:val="0"/>
              <w:autoSpaceDE/>
              <w:autoSpaceDN/>
              <w:bidi w:val="0"/>
              <w:adjustRightInd/>
              <w:snapToGrid/>
              <w:spacing w:line="560" w:lineRule="exact"/>
              <w:textAlignment w:val="auto"/>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供货期：</w:t>
            </w:r>
          </w:p>
        </w:tc>
      </w:tr>
      <w:tr w14:paraId="6565B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9" w:hRule="atLeast"/>
        </w:trPr>
        <w:tc>
          <w:tcPr>
            <w:tcW w:w="9580" w:type="dxa"/>
            <w:tcBorders>
              <w:top w:val="single" w:color="auto" w:sz="4" w:space="0"/>
              <w:left w:val="single" w:color="auto" w:sz="4" w:space="0"/>
              <w:bottom w:val="single" w:color="auto" w:sz="4" w:space="0"/>
              <w:right w:val="single" w:color="auto" w:sz="4" w:space="0"/>
            </w:tcBorders>
          </w:tcPr>
          <w:p w14:paraId="7182990B">
            <w:pPr>
              <w:keepNext w:val="0"/>
              <w:keepLines w:val="0"/>
              <w:pageBreakBefore w:val="0"/>
              <w:widowControl w:val="0"/>
              <w:kinsoku/>
              <w:wordWrap/>
              <w:overflowPunct/>
              <w:topLinePunct w:val="0"/>
              <w:autoSpaceDE/>
              <w:autoSpaceDN/>
              <w:bidi w:val="0"/>
              <w:adjustRightInd/>
              <w:snapToGrid/>
              <w:spacing w:line="560" w:lineRule="exact"/>
              <w:textAlignment w:val="auto"/>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质保期：</w:t>
            </w:r>
          </w:p>
        </w:tc>
      </w:tr>
      <w:tr w14:paraId="108DF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4" w:hRule="atLeast"/>
        </w:trPr>
        <w:tc>
          <w:tcPr>
            <w:tcW w:w="9580" w:type="dxa"/>
            <w:tcBorders>
              <w:top w:val="single" w:color="auto" w:sz="4" w:space="0"/>
              <w:left w:val="single" w:color="auto" w:sz="4" w:space="0"/>
              <w:bottom w:val="single" w:color="auto" w:sz="4" w:space="0"/>
              <w:right w:val="single" w:color="auto" w:sz="4" w:space="0"/>
            </w:tcBorders>
          </w:tcPr>
          <w:p w14:paraId="32A5C89C">
            <w:pPr>
              <w:keepNext w:val="0"/>
              <w:keepLines w:val="0"/>
              <w:pageBreakBefore w:val="0"/>
              <w:widowControl w:val="0"/>
              <w:kinsoku/>
              <w:wordWrap/>
              <w:overflowPunct/>
              <w:topLinePunct w:val="0"/>
              <w:autoSpaceDE/>
              <w:autoSpaceDN/>
              <w:bidi w:val="0"/>
              <w:adjustRightInd/>
              <w:snapToGrid/>
              <w:spacing w:line="560" w:lineRule="exact"/>
              <w:textAlignment w:val="auto"/>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备注：</w:t>
            </w:r>
            <w:r>
              <w:rPr>
                <w:rFonts w:asciiTheme="minorEastAsia" w:hAnsiTheme="minorEastAsia" w:eastAsiaTheme="minorEastAsia"/>
                <w:color w:val="000000" w:themeColor="text1"/>
                <w:sz w:val="28"/>
                <w:szCs w:val="28"/>
                <w:highlight w:val="none"/>
                <w14:textFill>
                  <w14:solidFill>
                    <w14:schemeClr w14:val="tx1"/>
                  </w14:solidFill>
                </w14:textFill>
              </w:rPr>
              <w:t xml:space="preserve"> </w:t>
            </w:r>
          </w:p>
        </w:tc>
      </w:tr>
    </w:tbl>
    <w:p w14:paraId="624C4D05">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cs="仿宋_GB2312" w:asciiTheme="minorEastAsia" w:hAnsiTheme="minorEastAsia" w:eastAsiaTheme="minorEastAsia"/>
          <w:color w:val="000000" w:themeColor="text1"/>
          <w:kern w:val="0"/>
          <w:sz w:val="28"/>
          <w:szCs w:val="28"/>
          <w:highlight w:val="none"/>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8"/>
          <w:szCs w:val="28"/>
          <w:highlight w:val="none"/>
          <w:lang w:val="zh-CN"/>
          <w14:textFill>
            <w14:solidFill>
              <w14:schemeClr w14:val="tx1"/>
            </w14:solidFill>
          </w14:textFill>
        </w:rPr>
        <w:t xml:space="preserve">注： </w:t>
      </w:r>
    </w:p>
    <w:p w14:paraId="5163D533">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cs="仿宋_GB2312" w:asciiTheme="minorEastAsia" w:hAnsiTheme="minorEastAsia" w:eastAsiaTheme="minorEastAsia"/>
          <w:b w:val="0"/>
          <w:bCs/>
          <w:color w:val="000000" w:themeColor="text1"/>
          <w:kern w:val="0"/>
          <w:sz w:val="28"/>
          <w:szCs w:val="28"/>
          <w:highlight w:val="none"/>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8"/>
          <w:szCs w:val="28"/>
          <w:highlight w:val="none"/>
          <w:lang w:val="zh-CN"/>
          <w14:textFill>
            <w14:solidFill>
              <w14:schemeClr w14:val="tx1"/>
            </w14:solidFill>
          </w14:textFill>
        </w:rPr>
        <w:t>1、 供应商需按本表格式填写，不得自行更改，也不得留空, 如有多分标，按分标分别提供开标一览表，必须加盖供应商有效电子公章，</w:t>
      </w:r>
      <w:r>
        <w:rPr>
          <w:rFonts w:hint="eastAsia" w:cs="仿宋_GB2312" w:asciiTheme="minorEastAsia" w:hAnsiTheme="minorEastAsia" w:eastAsiaTheme="minorEastAsia"/>
          <w:b w:val="0"/>
          <w:bCs/>
          <w:color w:val="000000" w:themeColor="text1"/>
          <w:kern w:val="0"/>
          <w:sz w:val="28"/>
          <w:szCs w:val="28"/>
          <w:highlight w:val="none"/>
          <w:lang w:val="zh-CN"/>
          <w14:textFill>
            <w14:solidFill>
              <w14:schemeClr w14:val="tx1"/>
            </w14:solidFill>
          </w14:textFill>
        </w:rPr>
        <w:t>否则其投标作无效标处理。</w:t>
      </w:r>
    </w:p>
    <w:p w14:paraId="4EE607E9">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cs="仿宋_GB2312" w:asciiTheme="minorEastAsia" w:hAnsiTheme="minorEastAsia" w:eastAsiaTheme="minorEastAsia"/>
          <w:color w:val="000000" w:themeColor="text1"/>
          <w:kern w:val="0"/>
          <w:sz w:val="28"/>
          <w:szCs w:val="28"/>
          <w:highlight w:val="none"/>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8"/>
          <w:szCs w:val="28"/>
          <w:highlight w:val="none"/>
          <w:lang w:val="zh-CN"/>
          <w14:textFill>
            <w14:solidFill>
              <w14:schemeClr w14:val="tx1"/>
            </w14:solidFill>
          </w14:textFill>
        </w:rPr>
        <w:t>2、符合招标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1A6FC3A3">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8"/>
          <w:szCs w:val="28"/>
          <w:highlight w:val="none"/>
          <w:lang w:val="zh-CN"/>
          <w14:textFill>
            <w14:solidFill>
              <w14:schemeClr w14:val="tx1"/>
            </w14:solidFill>
          </w14:textFill>
        </w:rPr>
        <w:t>3、本项目报价需包含完成本项目所需的全部费用（包括但不限于各设备运费、吊装、安装、调试、备件、耗材、税金等）。</w:t>
      </w:r>
    </w:p>
    <w:p w14:paraId="306C1DDB">
      <w:pPr>
        <w:pageBreakBefore w:val="0"/>
        <w:wordWrap/>
        <w:topLinePunct w:val="0"/>
        <w:bidi w:val="0"/>
        <w:snapToGrid w:val="0"/>
        <w:spacing w:line="560" w:lineRule="exact"/>
        <w:ind w:firstLine="5880" w:firstLineChars="2100"/>
        <w:rPr>
          <w:rFonts w:hint="eastAsia" w:cs="仿宋_GB2312" w:asciiTheme="minorEastAsia" w:hAnsiTheme="minorEastAsia" w:eastAsiaTheme="minorEastAsia"/>
          <w:color w:val="000000" w:themeColor="text1"/>
          <w:kern w:val="0"/>
          <w:sz w:val="28"/>
          <w:szCs w:val="28"/>
          <w:highlight w:val="none"/>
          <w:lang w:val="zh-CN"/>
          <w14:textFill>
            <w14:solidFill>
              <w14:schemeClr w14:val="tx1"/>
            </w14:solidFill>
          </w14:textFill>
        </w:rPr>
      </w:pPr>
    </w:p>
    <w:p w14:paraId="277253BD">
      <w:pPr>
        <w:pageBreakBefore w:val="0"/>
        <w:wordWrap/>
        <w:topLinePunct w:val="0"/>
        <w:bidi w:val="0"/>
        <w:snapToGrid w:val="0"/>
        <w:spacing w:line="560" w:lineRule="exact"/>
        <w:ind w:firstLine="5880" w:firstLineChars="2100"/>
        <w:rPr>
          <w:rFonts w:cs="仿宋_GB2312" w:asciiTheme="minorEastAsia" w:hAnsiTheme="minorEastAsia" w:eastAsiaTheme="minorEastAsia"/>
          <w:color w:val="000000" w:themeColor="text1"/>
          <w:kern w:val="0"/>
          <w:sz w:val="28"/>
          <w:szCs w:val="28"/>
          <w:highlight w:val="none"/>
          <w14:textFill>
            <w14:solidFill>
              <w14:schemeClr w14:val="tx1"/>
            </w14:solidFill>
          </w14:textFill>
        </w:rPr>
      </w:pPr>
      <w:r>
        <w:rPr>
          <w:rFonts w:hint="eastAsia" w:cs="仿宋_GB2312" w:asciiTheme="minorEastAsia" w:hAnsiTheme="minorEastAsia" w:eastAsiaTheme="minorEastAsia"/>
          <w:color w:val="000000" w:themeColor="text1"/>
          <w:kern w:val="0"/>
          <w:sz w:val="28"/>
          <w:szCs w:val="28"/>
          <w:highlight w:val="none"/>
          <w:lang w:val="zh-CN"/>
          <w14:textFill>
            <w14:solidFill>
              <w14:schemeClr w14:val="tx1"/>
            </w14:solidFill>
          </w14:textFill>
        </w:rPr>
        <w:t>供应商名称(电子公章)：</w:t>
      </w:r>
    </w:p>
    <w:p w14:paraId="6AF34A4C">
      <w:pPr>
        <w:pageBreakBefore w:val="0"/>
        <w:wordWrap/>
        <w:topLinePunct w:val="0"/>
        <w:bidi w:val="0"/>
        <w:snapToGrid w:val="0"/>
        <w:spacing w:line="560" w:lineRule="exact"/>
        <w:jc w:val="right"/>
        <w:rPr>
          <w:rFonts w:hint="eastAsia" w:cs="仿宋_GB2312" w:asciiTheme="minorEastAsia" w:hAnsiTheme="minorEastAsia" w:eastAsiaTheme="minorEastAsia"/>
          <w:color w:val="000000" w:themeColor="text1"/>
          <w:kern w:val="0"/>
          <w:sz w:val="28"/>
          <w:szCs w:val="28"/>
          <w:highlight w:val="none"/>
          <w:lang w:val="zh-CN"/>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法定代表人或其委托代理人（签字</w:t>
      </w:r>
      <w:r>
        <w:rPr>
          <w:rFonts w:hint="eastAsia" w:ascii="宋体" w:hAnsi="宋体" w:cs="宋体"/>
          <w:color w:val="000000" w:themeColor="text1"/>
          <w:sz w:val="28"/>
          <w:szCs w:val="28"/>
          <w:highlight w:val="none"/>
          <w:lang w:eastAsia="zh-CN"/>
          <w14:textFill>
            <w14:solidFill>
              <w14:schemeClr w14:val="tx1"/>
            </w14:solidFill>
          </w14:textFill>
        </w:rPr>
        <w:t>或</w:t>
      </w:r>
      <w:r>
        <w:rPr>
          <w:rFonts w:hint="eastAsia" w:ascii="宋体" w:hAnsi="宋体" w:eastAsia="宋体" w:cs="宋体"/>
          <w:color w:val="000000" w:themeColor="text1"/>
          <w:sz w:val="28"/>
          <w:szCs w:val="28"/>
          <w:highlight w:val="none"/>
          <w14:textFill>
            <w14:solidFill>
              <w14:schemeClr w14:val="tx1"/>
            </w14:solidFill>
          </w14:textFill>
        </w:rPr>
        <w:t>盖章）：</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r>
        <w:rPr>
          <w:rFonts w:hint="eastAsia" w:ascii="宋体" w:hAnsi="宋体" w:cs="宋体"/>
          <w:color w:val="000000" w:themeColor="text1"/>
          <w:sz w:val="28"/>
          <w:szCs w:val="28"/>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kern w:val="0"/>
          <w:sz w:val="28"/>
          <w:szCs w:val="28"/>
          <w:highlight w:val="none"/>
          <w:u w:val="single"/>
          <w:lang w:val="en-US" w:eastAsia="zh-CN"/>
          <w14:textFill>
            <w14:solidFill>
              <w14:schemeClr w14:val="tx1"/>
            </w14:solidFill>
          </w14:textFill>
        </w:rPr>
        <w:t xml:space="preserve"> </w:t>
      </w:r>
    </w:p>
    <w:p w14:paraId="559249E8">
      <w:pPr>
        <w:pageBreakBefore w:val="0"/>
        <w:wordWrap/>
        <w:topLinePunct w:val="0"/>
        <w:bidi w:val="0"/>
        <w:snapToGrid w:val="0"/>
        <w:spacing w:line="560" w:lineRule="exact"/>
        <w:ind w:firstLine="6020" w:firstLineChars="2150"/>
        <w:rPr>
          <w:rFonts w:cs="仿宋_GB2312" w:asciiTheme="minorEastAsia" w:hAnsiTheme="minorEastAsia" w:eastAsiaTheme="minorEastAsia"/>
          <w:color w:val="000000" w:themeColor="text1"/>
          <w:kern w:val="0"/>
          <w:sz w:val="28"/>
          <w:szCs w:val="28"/>
          <w:highlight w:val="none"/>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8"/>
          <w:szCs w:val="28"/>
          <w:highlight w:val="none"/>
          <w:lang w:val="zh-CN"/>
          <w14:textFill>
            <w14:solidFill>
              <w14:schemeClr w14:val="tx1"/>
            </w14:solidFill>
          </w14:textFill>
        </w:rPr>
        <w:t>日期</w:t>
      </w:r>
      <w:r>
        <w:rPr>
          <w:rFonts w:hint="eastAsia" w:cs="仿宋_GB2312" w:asciiTheme="minorEastAsia" w:hAnsiTheme="minorEastAsia" w:eastAsiaTheme="minorEastAsia"/>
          <w:color w:val="000000" w:themeColor="text1"/>
          <w:kern w:val="0"/>
          <w:sz w:val="28"/>
          <w:szCs w:val="28"/>
          <w:highlight w:val="none"/>
          <w14:textFill>
            <w14:solidFill>
              <w14:schemeClr w14:val="tx1"/>
            </w14:solidFill>
          </w14:textFill>
        </w:rPr>
        <w:t xml:space="preserve">：  年  </w:t>
      </w:r>
      <w:r>
        <w:rPr>
          <w:rFonts w:hint="eastAsia" w:cs="仿宋_GB2312" w:asciiTheme="minorEastAsia" w:hAnsiTheme="minorEastAsia" w:eastAsiaTheme="minorEastAsia"/>
          <w:color w:val="000000" w:themeColor="text1"/>
          <w:kern w:val="0"/>
          <w:sz w:val="28"/>
          <w:szCs w:val="28"/>
          <w:highlight w:val="none"/>
          <w:lang w:val="zh-CN"/>
          <w14:textFill>
            <w14:solidFill>
              <w14:schemeClr w14:val="tx1"/>
            </w14:solidFill>
          </w14:textFill>
        </w:rPr>
        <w:t>月</w:t>
      </w:r>
      <w:r>
        <w:rPr>
          <w:rFonts w:hint="eastAsia" w:cs="仿宋_GB2312" w:asciiTheme="minorEastAsia" w:hAnsiTheme="minorEastAsia" w:eastAsiaTheme="minorEastAsia"/>
          <w:color w:val="000000" w:themeColor="text1"/>
          <w:kern w:val="0"/>
          <w:sz w:val="28"/>
          <w:szCs w:val="28"/>
          <w:highlight w:val="none"/>
          <w14:textFill>
            <w14:solidFill>
              <w14:schemeClr w14:val="tx1"/>
            </w14:solidFill>
          </w14:textFill>
        </w:rPr>
        <w:t xml:space="preserve">   </w:t>
      </w:r>
      <w:r>
        <w:rPr>
          <w:rFonts w:hint="eastAsia" w:cs="仿宋_GB2312" w:asciiTheme="minorEastAsia" w:hAnsiTheme="minorEastAsia" w:eastAsiaTheme="minorEastAsia"/>
          <w:color w:val="000000" w:themeColor="text1"/>
          <w:kern w:val="0"/>
          <w:sz w:val="28"/>
          <w:szCs w:val="28"/>
          <w:highlight w:val="none"/>
          <w:lang w:val="zh-CN"/>
          <w14:textFill>
            <w14:solidFill>
              <w14:schemeClr w14:val="tx1"/>
            </w14:solidFill>
          </w14:textFill>
        </w:rPr>
        <w:t>日</w:t>
      </w:r>
    </w:p>
    <w:p w14:paraId="39DD7AF5">
      <w:pPr>
        <w:pStyle w:val="17"/>
        <w:pageBreakBefore w:val="0"/>
        <w:numPr>
          <w:ilvl w:val="0"/>
          <w:numId w:val="13"/>
        </w:numPr>
        <w:wordWrap/>
        <w:topLinePunct w:val="0"/>
        <w:bidi w:val="0"/>
        <w:spacing w:line="560" w:lineRule="exact"/>
        <w:rPr>
          <w:color w:val="000000" w:themeColor="text1"/>
          <w:highlight w:val="none"/>
          <w14:textFill>
            <w14:solidFill>
              <w14:schemeClr w14:val="tx1"/>
            </w14:solidFill>
          </w14:textFill>
        </w:rPr>
      </w:pPr>
      <w:r>
        <w:rPr>
          <w:rFonts w:ascii="仿宋_GB2312" w:hAnsi="仿宋" w:eastAsia="仿宋_GB2312" w:cs="仿宋_GB2312"/>
          <w:color w:val="000000" w:themeColor="text1"/>
          <w:kern w:val="0"/>
          <w:sz w:val="24"/>
          <w:highlight w:val="none"/>
          <w:lang w:val="zh-CN"/>
          <w14:textFill>
            <w14:solidFill>
              <w14:schemeClr w14:val="tx1"/>
            </w14:solidFill>
          </w14:textFill>
        </w:rPr>
        <w:br w:type="page"/>
      </w:r>
      <w:r>
        <w:rPr>
          <w:color w:val="000000" w:themeColor="text1"/>
          <w:highlight w:val="none"/>
          <w14:textFill>
            <w14:solidFill>
              <w14:schemeClr w14:val="tx1"/>
            </w14:solidFill>
          </w14:textFill>
        </w:rPr>
        <w:t>分项报价表</w:t>
      </w:r>
    </w:p>
    <w:p w14:paraId="74E9B6FA">
      <w:pPr>
        <w:pStyle w:val="17"/>
        <w:pageBreakBefore w:val="0"/>
        <w:numPr>
          <w:ilvl w:val="0"/>
          <w:numId w:val="0"/>
        </w:numPr>
        <w:wordWrap/>
        <w:topLinePunct w:val="0"/>
        <w:bidi w:val="0"/>
        <w:spacing w:line="560" w:lineRule="exact"/>
        <w:jc w:val="both"/>
        <w:rPr>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标项名称：</w:t>
      </w:r>
    </w:p>
    <w:tbl>
      <w:tblPr>
        <w:tblStyle w:val="34"/>
        <w:tblW w:w="104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2"/>
        <w:gridCol w:w="2441"/>
        <w:gridCol w:w="955"/>
        <w:gridCol w:w="2463"/>
        <w:gridCol w:w="955"/>
        <w:gridCol w:w="1106"/>
        <w:gridCol w:w="1134"/>
        <w:gridCol w:w="816"/>
      </w:tblGrid>
      <w:tr w14:paraId="009E5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atLeast"/>
          <w:jc w:val="center"/>
        </w:trPr>
        <w:tc>
          <w:tcPr>
            <w:tcW w:w="552" w:type="dxa"/>
            <w:tcBorders>
              <w:top w:val="single" w:color="auto" w:sz="12" w:space="0"/>
              <w:left w:val="single" w:color="auto" w:sz="12" w:space="0"/>
              <w:bottom w:val="single" w:color="auto" w:sz="4" w:space="0"/>
            </w:tcBorders>
            <w:vAlign w:val="center"/>
          </w:tcPr>
          <w:p w14:paraId="4FFE38D4">
            <w:pPr>
              <w:pStyle w:val="169"/>
              <w:pageBreakBefore w:val="0"/>
              <w:tabs>
                <w:tab w:val="left" w:pos="1337"/>
              </w:tabs>
              <w:wordWrap/>
              <w:topLinePunct w:val="0"/>
              <w:bidi w:val="0"/>
              <w:spacing w:line="560" w:lineRule="exact"/>
              <w:ind w:left="-42" w:right="-42"/>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项</w:t>
            </w:r>
          </w:p>
        </w:tc>
        <w:tc>
          <w:tcPr>
            <w:tcW w:w="2441" w:type="dxa"/>
            <w:tcBorders>
              <w:top w:val="single" w:color="auto" w:sz="12" w:space="0"/>
              <w:bottom w:val="single" w:color="auto" w:sz="4" w:space="0"/>
            </w:tcBorders>
            <w:vAlign w:val="center"/>
          </w:tcPr>
          <w:p w14:paraId="08D65C48">
            <w:pPr>
              <w:pStyle w:val="169"/>
              <w:pageBreakBefore w:val="0"/>
              <w:tabs>
                <w:tab w:val="left" w:pos="1337"/>
              </w:tabs>
              <w:wordWrap/>
              <w:topLinePunct w:val="0"/>
              <w:bidi w:val="0"/>
              <w:spacing w:line="560" w:lineRule="exact"/>
              <w:ind w:left="-42" w:right="-42"/>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w:t>
            </w:r>
          </w:p>
        </w:tc>
        <w:tc>
          <w:tcPr>
            <w:tcW w:w="3418" w:type="dxa"/>
            <w:gridSpan w:val="2"/>
            <w:tcBorders>
              <w:top w:val="single" w:color="auto" w:sz="12" w:space="0"/>
              <w:bottom w:val="single" w:color="auto" w:sz="4" w:space="0"/>
            </w:tcBorders>
            <w:vAlign w:val="center"/>
          </w:tcPr>
          <w:p w14:paraId="040C4514">
            <w:pPr>
              <w:pStyle w:val="169"/>
              <w:pageBreakBefore w:val="0"/>
              <w:tabs>
                <w:tab w:val="left" w:pos="1337"/>
              </w:tabs>
              <w:wordWrap/>
              <w:topLinePunct w:val="0"/>
              <w:bidi w:val="0"/>
              <w:spacing w:line="560" w:lineRule="exact"/>
              <w:ind w:right="-42"/>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2</w:t>
            </w:r>
          </w:p>
        </w:tc>
        <w:tc>
          <w:tcPr>
            <w:tcW w:w="4011" w:type="dxa"/>
            <w:gridSpan w:val="4"/>
            <w:tcBorders>
              <w:top w:val="single" w:color="auto" w:sz="12" w:space="0"/>
              <w:bottom w:val="single" w:color="auto" w:sz="4" w:space="0"/>
              <w:right w:val="single" w:color="auto" w:sz="12" w:space="0"/>
            </w:tcBorders>
          </w:tcPr>
          <w:p w14:paraId="2785454A">
            <w:pPr>
              <w:pStyle w:val="169"/>
              <w:pageBreakBefore w:val="0"/>
              <w:tabs>
                <w:tab w:val="left" w:pos="1337"/>
              </w:tabs>
              <w:wordWrap/>
              <w:topLinePunct w:val="0"/>
              <w:bidi w:val="0"/>
              <w:spacing w:line="560" w:lineRule="exact"/>
              <w:ind w:left="-42" w:right="-42"/>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3</w:t>
            </w:r>
          </w:p>
        </w:tc>
      </w:tr>
      <w:tr w14:paraId="65FC1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52" w:type="dxa"/>
            <w:vMerge w:val="restart"/>
            <w:tcBorders>
              <w:left w:val="single" w:color="auto" w:sz="12" w:space="0"/>
            </w:tcBorders>
            <w:vAlign w:val="center"/>
          </w:tcPr>
          <w:p w14:paraId="520B6CD8">
            <w:pPr>
              <w:pStyle w:val="169"/>
              <w:pageBreakBefore w:val="0"/>
              <w:tabs>
                <w:tab w:val="left" w:pos="1337"/>
              </w:tabs>
              <w:wordWrap/>
              <w:topLinePunct w:val="0"/>
              <w:bidi w:val="0"/>
              <w:spacing w:line="560" w:lineRule="exact"/>
              <w:ind w:left="-42" w:right="-42"/>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序</w:t>
            </w:r>
          </w:p>
          <w:p w14:paraId="2C6F08CA">
            <w:pPr>
              <w:pStyle w:val="169"/>
              <w:pageBreakBefore w:val="0"/>
              <w:tabs>
                <w:tab w:val="left" w:pos="1337"/>
              </w:tabs>
              <w:wordWrap/>
              <w:topLinePunct w:val="0"/>
              <w:bidi w:val="0"/>
              <w:spacing w:line="560" w:lineRule="exact"/>
              <w:ind w:left="-42" w:right="-42"/>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号</w:t>
            </w:r>
          </w:p>
        </w:tc>
        <w:tc>
          <w:tcPr>
            <w:tcW w:w="2441" w:type="dxa"/>
            <w:vMerge w:val="restart"/>
            <w:vAlign w:val="center"/>
          </w:tcPr>
          <w:p w14:paraId="714237E6">
            <w:pPr>
              <w:pStyle w:val="169"/>
              <w:pageBreakBefore w:val="0"/>
              <w:tabs>
                <w:tab w:val="left" w:pos="1337"/>
              </w:tabs>
              <w:wordWrap/>
              <w:topLinePunct w:val="0"/>
              <w:bidi w:val="0"/>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产品名称</w:t>
            </w:r>
          </w:p>
        </w:tc>
        <w:tc>
          <w:tcPr>
            <w:tcW w:w="3418" w:type="dxa"/>
            <w:gridSpan w:val="2"/>
            <w:vMerge w:val="restart"/>
            <w:vAlign w:val="center"/>
          </w:tcPr>
          <w:p w14:paraId="7D40D1D1">
            <w:pPr>
              <w:pStyle w:val="169"/>
              <w:pageBreakBefore w:val="0"/>
              <w:tabs>
                <w:tab w:val="left" w:pos="1337"/>
              </w:tabs>
              <w:wordWrap/>
              <w:topLinePunct w:val="0"/>
              <w:bidi w:val="0"/>
              <w:spacing w:line="560" w:lineRule="exact"/>
              <w:ind w:left="-42" w:right="-42"/>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品牌、型号</w:t>
            </w:r>
          </w:p>
        </w:tc>
        <w:tc>
          <w:tcPr>
            <w:tcW w:w="4011" w:type="dxa"/>
            <w:gridSpan w:val="4"/>
            <w:tcBorders>
              <w:right w:val="single" w:color="auto" w:sz="12" w:space="0"/>
            </w:tcBorders>
          </w:tcPr>
          <w:p w14:paraId="74AE8325">
            <w:pPr>
              <w:pStyle w:val="169"/>
              <w:pageBreakBefore w:val="0"/>
              <w:wordWrap/>
              <w:topLinePunct w:val="0"/>
              <w:bidi w:val="0"/>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价格（元）</w:t>
            </w:r>
          </w:p>
        </w:tc>
      </w:tr>
      <w:tr w14:paraId="21CF1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52" w:type="dxa"/>
            <w:vMerge w:val="continue"/>
            <w:tcBorders>
              <w:left w:val="single" w:color="auto" w:sz="12" w:space="0"/>
            </w:tcBorders>
            <w:vAlign w:val="center"/>
          </w:tcPr>
          <w:p w14:paraId="7DDD3D25">
            <w:pPr>
              <w:pStyle w:val="169"/>
              <w:pageBreakBefore w:val="0"/>
              <w:tabs>
                <w:tab w:val="left" w:pos="1337"/>
              </w:tabs>
              <w:wordWrap/>
              <w:topLinePunct w:val="0"/>
              <w:bidi w:val="0"/>
              <w:spacing w:line="560" w:lineRule="exact"/>
              <w:ind w:left="-42" w:right="-42"/>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2441" w:type="dxa"/>
            <w:vMerge w:val="continue"/>
            <w:vAlign w:val="center"/>
          </w:tcPr>
          <w:p w14:paraId="79576A97">
            <w:pPr>
              <w:pStyle w:val="169"/>
              <w:pageBreakBefore w:val="0"/>
              <w:tabs>
                <w:tab w:val="left" w:pos="1337"/>
              </w:tabs>
              <w:wordWrap/>
              <w:topLinePunct w:val="0"/>
              <w:bidi w:val="0"/>
              <w:spacing w:line="560" w:lineRule="exact"/>
              <w:ind w:left="-42" w:right="-42"/>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3418" w:type="dxa"/>
            <w:gridSpan w:val="2"/>
            <w:vMerge w:val="continue"/>
            <w:vAlign w:val="center"/>
          </w:tcPr>
          <w:p w14:paraId="3A4932D0">
            <w:pPr>
              <w:pStyle w:val="169"/>
              <w:pageBreakBefore w:val="0"/>
              <w:tabs>
                <w:tab w:val="left" w:pos="1337"/>
              </w:tabs>
              <w:wordWrap/>
              <w:topLinePunct w:val="0"/>
              <w:bidi w:val="0"/>
              <w:spacing w:line="560" w:lineRule="exact"/>
              <w:ind w:left="-42" w:right="-42"/>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955" w:type="dxa"/>
            <w:vAlign w:val="center"/>
          </w:tcPr>
          <w:p w14:paraId="3E75037D">
            <w:pPr>
              <w:pStyle w:val="169"/>
              <w:pageBreakBefore w:val="0"/>
              <w:tabs>
                <w:tab w:val="left" w:pos="1337"/>
              </w:tabs>
              <w:wordWrap/>
              <w:topLinePunct w:val="0"/>
              <w:bidi w:val="0"/>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数量</w:t>
            </w:r>
          </w:p>
        </w:tc>
        <w:tc>
          <w:tcPr>
            <w:tcW w:w="1106" w:type="dxa"/>
          </w:tcPr>
          <w:p w14:paraId="028A3910">
            <w:pPr>
              <w:pStyle w:val="169"/>
              <w:pageBreakBefore w:val="0"/>
              <w:widowControl/>
              <w:wordWrap/>
              <w:topLinePunct w:val="0"/>
              <w:bidi w:val="0"/>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单位</w:t>
            </w:r>
          </w:p>
        </w:tc>
        <w:tc>
          <w:tcPr>
            <w:tcW w:w="1134" w:type="dxa"/>
            <w:vAlign w:val="center"/>
          </w:tcPr>
          <w:p w14:paraId="492C9B20">
            <w:pPr>
              <w:pStyle w:val="169"/>
              <w:pageBreakBefore w:val="0"/>
              <w:widowControl/>
              <w:wordWrap/>
              <w:topLinePunct w:val="0"/>
              <w:bidi w:val="0"/>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单价</w:t>
            </w:r>
          </w:p>
        </w:tc>
        <w:tc>
          <w:tcPr>
            <w:tcW w:w="816" w:type="dxa"/>
            <w:tcBorders>
              <w:right w:val="single" w:color="auto" w:sz="12" w:space="0"/>
            </w:tcBorders>
            <w:vAlign w:val="center"/>
          </w:tcPr>
          <w:p w14:paraId="4D54255B">
            <w:pPr>
              <w:pStyle w:val="169"/>
              <w:pageBreakBefore w:val="0"/>
              <w:widowControl/>
              <w:wordWrap/>
              <w:topLinePunct w:val="0"/>
              <w:bidi w:val="0"/>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小计</w:t>
            </w:r>
          </w:p>
        </w:tc>
      </w:tr>
      <w:tr w14:paraId="7E526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52" w:type="dxa"/>
            <w:tcBorders>
              <w:left w:val="single" w:color="auto" w:sz="12" w:space="0"/>
            </w:tcBorders>
            <w:vAlign w:val="center"/>
          </w:tcPr>
          <w:p w14:paraId="3ED7456F">
            <w:pPr>
              <w:pStyle w:val="169"/>
              <w:pageBreakBefore w:val="0"/>
              <w:tabs>
                <w:tab w:val="left" w:pos="1337"/>
              </w:tabs>
              <w:wordWrap/>
              <w:topLinePunct w:val="0"/>
              <w:bidi w:val="0"/>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w:t>
            </w:r>
          </w:p>
        </w:tc>
        <w:tc>
          <w:tcPr>
            <w:tcW w:w="2441" w:type="dxa"/>
            <w:vAlign w:val="center"/>
          </w:tcPr>
          <w:p w14:paraId="51622C66">
            <w:pPr>
              <w:pStyle w:val="169"/>
              <w:pageBreakBefore w:val="0"/>
              <w:tabs>
                <w:tab w:val="left" w:pos="1337"/>
              </w:tabs>
              <w:wordWrap/>
              <w:topLinePunct w:val="0"/>
              <w:bidi w:val="0"/>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3418" w:type="dxa"/>
            <w:gridSpan w:val="2"/>
            <w:vAlign w:val="center"/>
          </w:tcPr>
          <w:p w14:paraId="20C053F1">
            <w:pPr>
              <w:pStyle w:val="169"/>
              <w:pageBreakBefore w:val="0"/>
              <w:tabs>
                <w:tab w:val="left" w:pos="1337"/>
              </w:tabs>
              <w:wordWrap/>
              <w:topLinePunct w:val="0"/>
              <w:bidi w:val="0"/>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955" w:type="dxa"/>
            <w:vAlign w:val="center"/>
          </w:tcPr>
          <w:p w14:paraId="238736D7">
            <w:pPr>
              <w:pStyle w:val="169"/>
              <w:pageBreakBefore w:val="0"/>
              <w:tabs>
                <w:tab w:val="left" w:pos="1337"/>
              </w:tabs>
              <w:wordWrap/>
              <w:topLinePunct w:val="0"/>
              <w:bidi w:val="0"/>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106" w:type="dxa"/>
          </w:tcPr>
          <w:p w14:paraId="3650A258">
            <w:pPr>
              <w:pStyle w:val="169"/>
              <w:pageBreakBefore w:val="0"/>
              <w:tabs>
                <w:tab w:val="left" w:pos="1337"/>
              </w:tabs>
              <w:wordWrap/>
              <w:topLinePunct w:val="0"/>
              <w:bidi w:val="0"/>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134" w:type="dxa"/>
            <w:vAlign w:val="center"/>
          </w:tcPr>
          <w:p w14:paraId="08201B28">
            <w:pPr>
              <w:pStyle w:val="169"/>
              <w:pageBreakBefore w:val="0"/>
              <w:tabs>
                <w:tab w:val="left" w:pos="1337"/>
              </w:tabs>
              <w:wordWrap/>
              <w:topLinePunct w:val="0"/>
              <w:bidi w:val="0"/>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816" w:type="dxa"/>
            <w:tcBorders>
              <w:right w:val="single" w:color="auto" w:sz="12" w:space="0"/>
            </w:tcBorders>
            <w:vAlign w:val="center"/>
          </w:tcPr>
          <w:p w14:paraId="4237B07E">
            <w:pPr>
              <w:pStyle w:val="169"/>
              <w:pageBreakBefore w:val="0"/>
              <w:tabs>
                <w:tab w:val="left" w:pos="1337"/>
              </w:tabs>
              <w:wordWrap/>
              <w:topLinePunct w:val="0"/>
              <w:bidi w:val="0"/>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r>
      <w:tr w14:paraId="7201D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52" w:type="dxa"/>
            <w:tcBorders>
              <w:left w:val="single" w:color="auto" w:sz="12" w:space="0"/>
            </w:tcBorders>
            <w:vAlign w:val="center"/>
          </w:tcPr>
          <w:p w14:paraId="4C16D811">
            <w:pPr>
              <w:pStyle w:val="169"/>
              <w:pageBreakBefore w:val="0"/>
              <w:tabs>
                <w:tab w:val="left" w:pos="1337"/>
              </w:tabs>
              <w:wordWrap/>
              <w:topLinePunct w:val="0"/>
              <w:bidi w:val="0"/>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2</w:t>
            </w:r>
          </w:p>
        </w:tc>
        <w:tc>
          <w:tcPr>
            <w:tcW w:w="2441" w:type="dxa"/>
            <w:vAlign w:val="center"/>
          </w:tcPr>
          <w:p w14:paraId="010FC224">
            <w:pPr>
              <w:pStyle w:val="169"/>
              <w:pageBreakBefore w:val="0"/>
              <w:tabs>
                <w:tab w:val="left" w:pos="1337"/>
              </w:tabs>
              <w:wordWrap/>
              <w:topLinePunct w:val="0"/>
              <w:bidi w:val="0"/>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3418" w:type="dxa"/>
            <w:gridSpan w:val="2"/>
          </w:tcPr>
          <w:p w14:paraId="3B23B0B5">
            <w:pPr>
              <w:pStyle w:val="169"/>
              <w:pageBreakBefore w:val="0"/>
              <w:tabs>
                <w:tab w:val="left" w:pos="1337"/>
              </w:tabs>
              <w:wordWrap/>
              <w:topLinePunct w:val="0"/>
              <w:bidi w:val="0"/>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955" w:type="dxa"/>
          </w:tcPr>
          <w:p w14:paraId="5E0EE7DA">
            <w:pPr>
              <w:pStyle w:val="169"/>
              <w:pageBreakBefore w:val="0"/>
              <w:tabs>
                <w:tab w:val="left" w:pos="1337"/>
              </w:tabs>
              <w:wordWrap/>
              <w:topLinePunct w:val="0"/>
              <w:bidi w:val="0"/>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106" w:type="dxa"/>
          </w:tcPr>
          <w:p w14:paraId="01D7CF35">
            <w:pPr>
              <w:pStyle w:val="169"/>
              <w:pageBreakBefore w:val="0"/>
              <w:tabs>
                <w:tab w:val="left" w:pos="1337"/>
              </w:tabs>
              <w:wordWrap/>
              <w:topLinePunct w:val="0"/>
              <w:bidi w:val="0"/>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134" w:type="dxa"/>
          </w:tcPr>
          <w:p w14:paraId="643120BE">
            <w:pPr>
              <w:pStyle w:val="169"/>
              <w:pageBreakBefore w:val="0"/>
              <w:tabs>
                <w:tab w:val="left" w:pos="1337"/>
              </w:tabs>
              <w:wordWrap/>
              <w:topLinePunct w:val="0"/>
              <w:bidi w:val="0"/>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816" w:type="dxa"/>
            <w:tcBorders>
              <w:right w:val="single" w:color="auto" w:sz="12" w:space="0"/>
            </w:tcBorders>
            <w:vAlign w:val="center"/>
          </w:tcPr>
          <w:p w14:paraId="2171DF48">
            <w:pPr>
              <w:pStyle w:val="169"/>
              <w:pageBreakBefore w:val="0"/>
              <w:tabs>
                <w:tab w:val="left" w:pos="1337"/>
              </w:tabs>
              <w:wordWrap/>
              <w:topLinePunct w:val="0"/>
              <w:bidi w:val="0"/>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r>
      <w:tr w14:paraId="03DB8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52" w:type="dxa"/>
            <w:tcBorders>
              <w:left w:val="single" w:color="auto" w:sz="12" w:space="0"/>
            </w:tcBorders>
            <w:vAlign w:val="center"/>
          </w:tcPr>
          <w:p w14:paraId="54D33327">
            <w:pPr>
              <w:pStyle w:val="169"/>
              <w:pageBreakBefore w:val="0"/>
              <w:tabs>
                <w:tab w:val="left" w:pos="1337"/>
              </w:tabs>
              <w:wordWrap/>
              <w:topLinePunct w:val="0"/>
              <w:bidi w:val="0"/>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3</w:t>
            </w:r>
          </w:p>
        </w:tc>
        <w:tc>
          <w:tcPr>
            <w:tcW w:w="2441" w:type="dxa"/>
            <w:vAlign w:val="center"/>
          </w:tcPr>
          <w:p w14:paraId="4B62354B">
            <w:pPr>
              <w:pStyle w:val="169"/>
              <w:pageBreakBefore w:val="0"/>
              <w:tabs>
                <w:tab w:val="left" w:pos="1337"/>
              </w:tabs>
              <w:wordWrap/>
              <w:topLinePunct w:val="0"/>
              <w:bidi w:val="0"/>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3418" w:type="dxa"/>
            <w:gridSpan w:val="2"/>
          </w:tcPr>
          <w:p w14:paraId="7C3619E7">
            <w:pPr>
              <w:pStyle w:val="169"/>
              <w:pageBreakBefore w:val="0"/>
              <w:tabs>
                <w:tab w:val="left" w:pos="1337"/>
              </w:tabs>
              <w:wordWrap/>
              <w:topLinePunct w:val="0"/>
              <w:bidi w:val="0"/>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955" w:type="dxa"/>
          </w:tcPr>
          <w:p w14:paraId="65F6A899">
            <w:pPr>
              <w:pStyle w:val="169"/>
              <w:pageBreakBefore w:val="0"/>
              <w:tabs>
                <w:tab w:val="left" w:pos="1337"/>
              </w:tabs>
              <w:wordWrap/>
              <w:topLinePunct w:val="0"/>
              <w:bidi w:val="0"/>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106" w:type="dxa"/>
          </w:tcPr>
          <w:p w14:paraId="4006A7E4">
            <w:pPr>
              <w:pStyle w:val="169"/>
              <w:pageBreakBefore w:val="0"/>
              <w:tabs>
                <w:tab w:val="left" w:pos="1337"/>
              </w:tabs>
              <w:wordWrap/>
              <w:topLinePunct w:val="0"/>
              <w:bidi w:val="0"/>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134" w:type="dxa"/>
          </w:tcPr>
          <w:p w14:paraId="5422A4F9">
            <w:pPr>
              <w:pStyle w:val="169"/>
              <w:pageBreakBefore w:val="0"/>
              <w:tabs>
                <w:tab w:val="left" w:pos="1337"/>
              </w:tabs>
              <w:wordWrap/>
              <w:topLinePunct w:val="0"/>
              <w:bidi w:val="0"/>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816" w:type="dxa"/>
            <w:tcBorders>
              <w:right w:val="single" w:color="auto" w:sz="12" w:space="0"/>
            </w:tcBorders>
            <w:vAlign w:val="center"/>
          </w:tcPr>
          <w:p w14:paraId="414A7C5D">
            <w:pPr>
              <w:pStyle w:val="169"/>
              <w:pageBreakBefore w:val="0"/>
              <w:tabs>
                <w:tab w:val="left" w:pos="1337"/>
              </w:tabs>
              <w:wordWrap/>
              <w:topLinePunct w:val="0"/>
              <w:bidi w:val="0"/>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r>
      <w:tr w14:paraId="58C9E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52" w:type="dxa"/>
            <w:tcBorders>
              <w:left w:val="single" w:color="auto" w:sz="12" w:space="0"/>
            </w:tcBorders>
            <w:vAlign w:val="center"/>
          </w:tcPr>
          <w:p w14:paraId="09114C37">
            <w:pPr>
              <w:pStyle w:val="169"/>
              <w:pageBreakBefore w:val="0"/>
              <w:tabs>
                <w:tab w:val="left" w:pos="1337"/>
              </w:tabs>
              <w:wordWrap/>
              <w:topLinePunct w:val="0"/>
              <w:bidi w:val="0"/>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4</w:t>
            </w:r>
          </w:p>
        </w:tc>
        <w:tc>
          <w:tcPr>
            <w:tcW w:w="2441" w:type="dxa"/>
            <w:vAlign w:val="center"/>
          </w:tcPr>
          <w:p w14:paraId="1A4B2E77">
            <w:pPr>
              <w:pStyle w:val="169"/>
              <w:pageBreakBefore w:val="0"/>
              <w:tabs>
                <w:tab w:val="left" w:pos="1337"/>
              </w:tabs>
              <w:wordWrap/>
              <w:topLinePunct w:val="0"/>
              <w:bidi w:val="0"/>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3418" w:type="dxa"/>
            <w:gridSpan w:val="2"/>
          </w:tcPr>
          <w:p w14:paraId="6873E7F0">
            <w:pPr>
              <w:pStyle w:val="169"/>
              <w:pageBreakBefore w:val="0"/>
              <w:tabs>
                <w:tab w:val="left" w:pos="1337"/>
              </w:tabs>
              <w:wordWrap/>
              <w:topLinePunct w:val="0"/>
              <w:bidi w:val="0"/>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955" w:type="dxa"/>
          </w:tcPr>
          <w:p w14:paraId="4965CD7E">
            <w:pPr>
              <w:pStyle w:val="169"/>
              <w:pageBreakBefore w:val="0"/>
              <w:tabs>
                <w:tab w:val="left" w:pos="1337"/>
              </w:tabs>
              <w:wordWrap/>
              <w:topLinePunct w:val="0"/>
              <w:bidi w:val="0"/>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106" w:type="dxa"/>
          </w:tcPr>
          <w:p w14:paraId="60DB3EFA">
            <w:pPr>
              <w:pStyle w:val="169"/>
              <w:pageBreakBefore w:val="0"/>
              <w:tabs>
                <w:tab w:val="left" w:pos="1337"/>
              </w:tabs>
              <w:wordWrap/>
              <w:topLinePunct w:val="0"/>
              <w:bidi w:val="0"/>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134" w:type="dxa"/>
          </w:tcPr>
          <w:p w14:paraId="68183542">
            <w:pPr>
              <w:pStyle w:val="169"/>
              <w:pageBreakBefore w:val="0"/>
              <w:tabs>
                <w:tab w:val="left" w:pos="1337"/>
              </w:tabs>
              <w:wordWrap/>
              <w:topLinePunct w:val="0"/>
              <w:bidi w:val="0"/>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816" w:type="dxa"/>
            <w:tcBorders>
              <w:right w:val="single" w:color="auto" w:sz="12" w:space="0"/>
            </w:tcBorders>
            <w:vAlign w:val="center"/>
          </w:tcPr>
          <w:p w14:paraId="775566A8">
            <w:pPr>
              <w:pStyle w:val="169"/>
              <w:pageBreakBefore w:val="0"/>
              <w:tabs>
                <w:tab w:val="left" w:pos="1337"/>
              </w:tabs>
              <w:wordWrap/>
              <w:topLinePunct w:val="0"/>
              <w:bidi w:val="0"/>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r>
      <w:tr w14:paraId="254D1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52" w:type="dxa"/>
            <w:tcBorders>
              <w:left w:val="single" w:color="auto" w:sz="12" w:space="0"/>
            </w:tcBorders>
            <w:vAlign w:val="center"/>
          </w:tcPr>
          <w:p w14:paraId="701039C4">
            <w:pPr>
              <w:pStyle w:val="169"/>
              <w:pageBreakBefore w:val="0"/>
              <w:tabs>
                <w:tab w:val="left" w:pos="1337"/>
              </w:tabs>
              <w:wordWrap/>
              <w:topLinePunct w:val="0"/>
              <w:bidi w:val="0"/>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5</w:t>
            </w:r>
          </w:p>
        </w:tc>
        <w:tc>
          <w:tcPr>
            <w:tcW w:w="2441" w:type="dxa"/>
            <w:vAlign w:val="center"/>
          </w:tcPr>
          <w:p w14:paraId="33ABD9E4">
            <w:pPr>
              <w:pStyle w:val="169"/>
              <w:pageBreakBefore w:val="0"/>
              <w:tabs>
                <w:tab w:val="left" w:pos="1337"/>
              </w:tabs>
              <w:wordWrap/>
              <w:topLinePunct w:val="0"/>
              <w:bidi w:val="0"/>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w:t>
            </w:r>
          </w:p>
        </w:tc>
        <w:tc>
          <w:tcPr>
            <w:tcW w:w="3418" w:type="dxa"/>
            <w:gridSpan w:val="2"/>
          </w:tcPr>
          <w:p w14:paraId="1C475B9E">
            <w:pPr>
              <w:pStyle w:val="169"/>
              <w:pageBreakBefore w:val="0"/>
              <w:tabs>
                <w:tab w:val="left" w:pos="1337"/>
              </w:tabs>
              <w:wordWrap/>
              <w:topLinePunct w:val="0"/>
              <w:bidi w:val="0"/>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955" w:type="dxa"/>
          </w:tcPr>
          <w:p w14:paraId="03453EF0">
            <w:pPr>
              <w:pStyle w:val="169"/>
              <w:pageBreakBefore w:val="0"/>
              <w:tabs>
                <w:tab w:val="left" w:pos="1337"/>
              </w:tabs>
              <w:wordWrap/>
              <w:topLinePunct w:val="0"/>
              <w:bidi w:val="0"/>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106" w:type="dxa"/>
          </w:tcPr>
          <w:p w14:paraId="5950C407">
            <w:pPr>
              <w:pStyle w:val="169"/>
              <w:pageBreakBefore w:val="0"/>
              <w:tabs>
                <w:tab w:val="left" w:pos="1337"/>
              </w:tabs>
              <w:wordWrap/>
              <w:topLinePunct w:val="0"/>
              <w:bidi w:val="0"/>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134" w:type="dxa"/>
            <w:vAlign w:val="center"/>
          </w:tcPr>
          <w:p w14:paraId="736A8C43">
            <w:pPr>
              <w:pStyle w:val="169"/>
              <w:pageBreakBefore w:val="0"/>
              <w:tabs>
                <w:tab w:val="left" w:pos="1337"/>
              </w:tabs>
              <w:wordWrap/>
              <w:topLinePunct w:val="0"/>
              <w:bidi w:val="0"/>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816" w:type="dxa"/>
            <w:tcBorders>
              <w:right w:val="single" w:color="auto" w:sz="12" w:space="0"/>
            </w:tcBorders>
            <w:vAlign w:val="center"/>
          </w:tcPr>
          <w:p w14:paraId="3B952A1D">
            <w:pPr>
              <w:pStyle w:val="169"/>
              <w:pageBreakBefore w:val="0"/>
              <w:tabs>
                <w:tab w:val="left" w:pos="1337"/>
              </w:tabs>
              <w:wordWrap/>
              <w:topLinePunct w:val="0"/>
              <w:bidi w:val="0"/>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r>
      <w:tr w14:paraId="75D0C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52" w:type="dxa"/>
            <w:tcBorders>
              <w:left w:val="single" w:color="auto" w:sz="12" w:space="0"/>
              <w:bottom w:val="single" w:color="auto" w:sz="12" w:space="0"/>
            </w:tcBorders>
            <w:vAlign w:val="center"/>
          </w:tcPr>
          <w:p w14:paraId="2EAF0AAD">
            <w:pPr>
              <w:pStyle w:val="169"/>
              <w:pageBreakBefore w:val="0"/>
              <w:tabs>
                <w:tab w:val="left" w:pos="1337"/>
              </w:tabs>
              <w:wordWrap/>
              <w:topLinePunct w:val="0"/>
              <w:bidi w:val="0"/>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2441" w:type="dxa"/>
            <w:tcBorders>
              <w:bottom w:val="single" w:color="auto" w:sz="12" w:space="0"/>
            </w:tcBorders>
            <w:vAlign w:val="center"/>
          </w:tcPr>
          <w:p w14:paraId="7A50921D">
            <w:pPr>
              <w:pStyle w:val="169"/>
              <w:pageBreakBefore w:val="0"/>
              <w:tabs>
                <w:tab w:val="left" w:pos="1337"/>
              </w:tabs>
              <w:wordWrap/>
              <w:topLinePunct w:val="0"/>
              <w:bidi w:val="0"/>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合计</w:t>
            </w:r>
          </w:p>
        </w:tc>
        <w:tc>
          <w:tcPr>
            <w:tcW w:w="955" w:type="dxa"/>
            <w:tcBorders>
              <w:bottom w:val="single" w:color="auto" w:sz="12" w:space="0"/>
            </w:tcBorders>
          </w:tcPr>
          <w:p w14:paraId="591B296A">
            <w:pPr>
              <w:pStyle w:val="169"/>
              <w:pageBreakBefore w:val="0"/>
              <w:tabs>
                <w:tab w:val="left" w:pos="1337"/>
              </w:tabs>
              <w:wordWrap/>
              <w:topLinePunct w:val="0"/>
              <w:bidi w:val="0"/>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6474" w:type="dxa"/>
            <w:gridSpan w:val="5"/>
            <w:tcBorders>
              <w:bottom w:val="single" w:color="auto" w:sz="12" w:space="0"/>
              <w:right w:val="single" w:color="auto" w:sz="12" w:space="0"/>
            </w:tcBorders>
          </w:tcPr>
          <w:p w14:paraId="7D963974">
            <w:pPr>
              <w:pStyle w:val="169"/>
              <w:pageBreakBefore w:val="0"/>
              <w:tabs>
                <w:tab w:val="left" w:pos="1337"/>
              </w:tabs>
              <w:wordWrap/>
              <w:topLinePunct w:val="0"/>
              <w:bidi w:val="0"/>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r>
    </w:tbl>
    <w:p w14:paraId="73F629D5">
      <w:pPr>
        <w:pageBreakBefore w:val="0"/>
        <w:widowControl/>
        <w:wordWrap/>
        <w:topLinePunct w:val="0"/>
        <w:bidi w:val="0"/>
        <w:spacing w:line="560" w:lineRule="exact"/>
        <w:jc w:val="left"/>
        <w:rPr>
          <w:rFonts w:ascii="仿宋_GB2312" w:hAnsi="仿宋" w:eastAsia="仿宋_GB2312" w:cs="仿宋_GB2312"/>
          <w:color w:val="000000" w:themeColor="text1"/>
          <w:kern w:val="0"/>
          <w:sz w:val="24"/>
          <w:highlight w:val="none"/>
          <w:lang w:val="zh-CN"/>
          <w14:textFill>
            <w14:solidFill>
              <w14:schemeClr w14:val="tx1"/>
            </w14:solidFill>
          </w14:textFill>
        </w:rPr>
      </w:pPr>
    </w:p>
    <w:p w14:paraId="2B8B3501">
      <w:pPr>
        <w:pageBreakBefore w:val="0"/>
        <w:wordWrap/>
        <w:topLinePunct w:val="0"/>
        <w:bidi w:val="0"/>
        <w:snapToGrid w:val="0"/>
        <w:spacing w:line="560" w:lineRule="exact"/>
        <w:rPr>
          <w:rFonts w:ascii="仿宋_GB2312" w:hAnsi="仿宋" w:eastAsia="仿宋_GB2312" w:cs="仿宋_GB2312"/>
          <w:color w:val="000000" w:themeColor="text1"/>
          <w:kern w:val="0"/>
          <w:sz w:val="24"/>
          <w:szCs w:val="21"/>
          <w:highlight w:val="none"/>
          <w14:textFill>
            <w14:solidFill>
              <w14:schemeClr w14:val="tx1"/>
            </w14:solidFill>
          </w14:textFill>
        </w:rPr>
      </w:pPr>
    </w:p>
    <w:p w14:paraId="623FC1DB">
      <w:pPr>
        <w:pageBreakBefore w:val="0"/>
        <w:wordWrap/>
        <w:topLinePunct w:val="0"/>
        <w:bidi w:val="0"/>
        <w:snapToGrid w:val="0"/>
        <w:spacing w:line="560" w:lineRule="exact"/>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t>说明： 1、</w:t>
      </w:r>
      <w:r>
        <w:rPr>
          <w:rFonts w:hint="eastAsia" w:ascii="宋体" w:hAnsi="宋体" w:cs="宋体"/>
          <w:b/>
          <w:bCs/>
          <w:color w:val="000000" w:themeColor="text1"/>
          <w:sz w:val="28"/>
          <w:szCs w:val="28"/>
          <w:highlight w:val="none"/>
          <w:lang w:eastAsia="zh-CN"/>
          <w14:textFill>
            <w14:solidFill>
              <w14:schemeClr w14:val="tx1"/>
            </w14:solidFill>
          </w14:textFill>
        </w:rPr>
        <w:t>供应商</w:t>
      </w:r>
      <w:r>
        <w:rPr>
          <w:rFonts w:hint="eastAsia" w:ascii="宋体" w:hAnsi="宋体" w:eastAsia="宋体" w:cs="宋体"/>
          <w:b/>
          <w:bCs/>
          <w:color w:val="000000" w:themeColor="text1"/>
          <w:sz w:val="28"/>
          <w:szCs w:val="28"/>
          <w:highlight w:val="none"/>
          <w14:textFill>
            <w14:solidFill>
              <w14:schemeClr w14:val="tx1"/>
            </w14:solidFill>
          </w14:textFill>
        </w:rPr>
        <w:t>必须填写分项报价表，否则将导致投标被拒绝。</w:t>
      </w:r>
    </w:p>
    <w:p w14:paraId="07D6A325">
      <w:pPr>
        <w:pageBreakBefore w:val="0"/>
        <w:wordWrap/>
        <w:topLinePunct w:val="0"/>
        <w:bidi w:val="0"/>
        <w:snapToGrid w:val="0"/>
        <w:spacing w:line="560" w:lineRule="exact"/>
        <w:ind w:firstLine="843" w:firstLineChars="300"/>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t xml:space="preserve"> 2、供应商可根据自身需求自行</w:t>
      </w:r>
      <w:r>
        <w:rPr>
          <w:rFonts w:hint="eastAsia" w:ascii="宋体" w:hAnsi="宋体" w:cs="宋体"/>
          <w:b/>
          <w:bCs/>
          <w:color w:val="000000" w:themeColor="text1"/>
          <w:sz w:val="28"/>
          <w:szCs w:val="28"/>
          <w:highlight w:val="none"/>
          <w:lang w:eastAsia="zh-CN"/>
          <w14:textFill>
            <w14:solidFill>
              <w14:schemeClr w14:val="tx1"/>
            </w14:solidFill>
          </w14:textFill>
        </w:rPr>
        <w:t>加</w:t>
      </w:r>
      <w:r>
        <w:rPr>
          <w:rFonts w:hint="eastAsia" w:ascii="宋体" w:hAnsi="宋体" w:eastAsia="宋体" w:cs="宋体"/>
          <w:b/>
          <w:bCs/>
          <w:color w:val="000000" w:themeColor="text1"/>
          <w:sz w:val="28"/>
          <w:szCs w:val="28"/>
          <w:highlight w:val="none"/>
          <w14:textFill>
            <w14:solidFill>
              <w14:schemeClr w14:val="tx1"/>
            </w14:solidFill>
          </w14:textFill>
        </w:rPr>
        <w:t>减行数。</w:t>
      </w:r>
    </w:p>
    <w:p w14:paraId="1C16D688">
      <w:pPr>
        <w:pageBreakBefore w:val="0"/>
        <w:wordWrap/>
        <w:topLinePunct w:val="0"/>
        <w:bidi w:val="0"/>
        <w:snapToGrid w:val="0"/>
        <w:spacing w:line="560" w:lineRule="exact"/>
        <w:rPr>
          <w:rFonts w:ascii="仿宋_GB2312" w:hAnsi="仿宋" w:eastAsia="仿宋_GB2312" w:cs="仿宋_GB2312"/>
          <w:color w:val="000000" w:themeColor="text1"/>
          <w:kern w:val="0"/>
          <w:sz w:val="24"/>
          <w:szCs w:val="21"/>
          <w:highlight w:val="none"/>
          <w14:textFill>
            <w14:solidFill>
              <w14:schemeClr w14:val="tx1"/>
            </w14:solidFill>
          </w14:textFill>
        </w:rPr>
      </w:pPr>
    </w:p>
    <w:p w14:paraId="12A1855A">
      <w:pPr>
        <w:pageBreakBefore w:val="0"/>
        <w:wordWrap/>
        <w:topLinePunct w:val="0"/>
        <w:bidi w:val="0"/>
        <w:snapToGrid w:val="0"/>
        <w:spacing w:line="560" w:lineRule="exact"/>
        <w:ind w:firstLine="480" w:firstLineChars="200"/>
        <w:jc w:val="center"/>
        <w:rPr>
          <w:rFonts w:ascii="仿宋_GB2312" w:hAnsi="仿宋" w:eastAsia="仿宋_GB2312" w:cs="仿宋_GB2312"/>
          <w:color w:val="000000" w:themeColor="text1"/>
          <w:kern w:val="0"/>
          <w:sz w:val="24"/>
          <w:szCs w:val="21"/>
          <w:highlight w:val="none"/>
          <w14:textFill>
            <w14:solidFill>
              <w14:schemeClr w14:val="tx1"/>
            </w14:solidFill>
          </w14:textFill>
        </w:rPr>
      </w:pPr>
    </w:p>
    <w:p w14:paraId="60E27021">
      <w:pPr>
        <w:pageBreakBefore w:val="0"/>
        <w:wordWrap/>
        <w:topLinePunct w:val="0"/>
        <w:bidi w:val="0"/>
        <w:snapToGrid w:val="0"/>
        <w:spacing w:line="560" w:lineRule="exact"/>
        <w:ind w:firstLine="480" w:firstLineChars="200"/>
        <w:jc w:val="center"/>
        <w:rPr>
          <w:rFonts w:ascii="仿宋_GB2312" w:hAnsi="仿宋" w:eastAsia="仿宋_GB2312" w:cs="仿宋_GB2312"/>
          <w:color w:val="000000" w:themeColor="text1"/>
          <w:kern w:val="0"/>
          <w:sz w:val="24"/>
          <w:szCs w:val="21"/>
          <w:highlight w:val="none"/>
          <w14:textFill>
            <w14:solidFill>
              <w14:schemeClr w14:val="tx1"/>
            </w14:solidFill>
          </w14:textFill>
        </w:rPr>
      </w:pPr>
    </w:p>
    <w:p w14:paraId="7FC18105">
      <w:pPr>
        <w:pageBreakBefore w:val="0"/>
        <w:wordWrap/>
        <w:topLinePunct w:val="0"/>
        <w:autoSpaceDE w:val="0"/>
        <w:autoSpaceDN w:val="0"/>
        <w:bidi w:val="0"/>
        <w:spacing w:line="560" w:lineRule="exact"/>
        <w:ind w:left="4375" w:leftChars="1950" w:hanging="280" w:hangingChars="100"/>
        <w:rPr>
          <w:rFonts w:cs="仿宋_GB2312" w:asciiTheme="minorEastAsia" w:hAnsiTheme="minorEastAsia" w:eastAsiaTheme="minorEastAsia"/>
          <w:color w:val="000000" w:themeColor="text1"/>
          <w:kern w:val="0"/>
          <w:sz w:val="28"/>
          <w:szCs w:val="28"/>
          <w:highlight w:val="none"/>
          <w14:textFill>
            <w14:solidFill>
              <w14:schemeClr w14:val="tx1"/>
            </w14:solidFill>
          </w14:textFill>
        </w:rPr>
      </w:pPr>
      <w:r>
        <w:rPr>
          <w:rFonts w:hint="eastAsia" w:cs="仿宋_GB2312" w:asciiTheme="minorEastAsia" w:hAnsiTheme="minorEastAsia" w:eastAsiaTheme="minorEastAsia"/>
          <w:color w:val="000000" w:themeColor="text1"/>
          <w:kern w:val="0"/>
          <w:sz w:val="28"/>
          <w:szCs w:val="28"/>
          <w:highlight w:val="none"/>
          <w14:textFill>
            <w14:solidFill>
              <w14:schemeClr w14:val="tx1"/>
            </w14:solidFill>
          </w14:textFill>
        </w:rPr>
        <w:t>供应商名称（</w:t>
      </w:r>
      <w:r>
        <w:rPr>
          <w:rFonts w:hint="eastAsia" w:cs="仿宋_GB2312" w:asciiTheme="minorEastAsia" w:hAnsiTheme="minorEastAsia" w:eastAsiaTheme="minorEastAsia"/>
          <w:color w:val="000000" w:themeColor="text1"/>
          <w:kern w:val="0"/>
          <w:sz w:val="28"/>
          <w:szCs w:val="28"/>
          <w:highlight w:val="none"/>
          <w:lang w:eastAsia="zh-CN"/>
          <w14:textFill>
            <w14:solidFill>
              <w14:schemeClr w14:val="tx1"/>
            </w14:solidFill>
          </w14:textFill>
        </w:rPr>
        <w:t>电子公章</w:t>
      </w:r>
      <w:r>
        <w:rPr>
          <w:rFonts w:hint="eastAsia" w:cs="仿宋_GB2312" w:asciiTheme="minorEastAsia" w:hAnsiTheme="minorEastAsia" w:eastAsiaTheme="minorEastAsia"/>
          <w:color w:val="000000" w:themeColor="text1"/>
          <w:kern w:val="0"/>
          <w:sz w:val="28"/>
          <w:szCs w:val="28"/>
          <w:highlight w:val="none"/>
          <w14:textFill>
            <w14:solidFill>
              <w14:schemeClr w14:val="tx1"/>
            </w14:solidFill>
          </w14:textFill>
        </w:rPr>
        <w:t>）：</w:t>
      </w:r>
    </w:p>
    <w:p w14:paraId="585EA2A8">
      <w:pPr>
        <w:pageBreakBefore w:val="0"/>
        <w:wordWrap/>
        <w:topLinePunct w:val="0"/>
        <w:autoSpaceDE w:val="0"/>
        <w:autoSpaceDN w:val="0"/>
        <w:bidi w:val="0"/>
        <w:spacing w:line="560" w:lineRule="exact"/>
        <w:ind w:firstLine="4200" w:firstLineChars="1500"/>
        <w:rPr>
          <w:rFonts w:hint="eastAsia" w:cs="仿宋_GB2312" w:asciiTheme="minorEastAsia" w:hAnsiTheme="minorEastAsia" w:eastAsiaTheme="minorEastAsia"/>
          <w:color w:val="000000" w:themeColor="text1"/>
          <w:kern w:val="0"/>
          <w:sz w:val="28"/>
          <w:szCs w:val="28"/>
          <w:highlight w:val="none"/>
          <w:lang w:val="zh-CN"/>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法定代表人或其委托代理人（签字</w:t>
      </w:r>
      <w:r>
        <w:rPr>
          <w:rFonts w:hint="eastAsia" w:ascii="宋体" w:hAnsi="宋体" w:cs="宋体"/>
          <w:color w:val="000000" w:themeColor="text1"/>
          <w:sz w:val="28"/>
          <w:szCs w:val="28"/>
          <w:highlight w:val="none"/>
          <w:lang w:eastAsia="zh-CN"/>
          <w14:textFill>
            <w14:solidFill>
              <w14:schemeClr w14:val="tx1"/>
            </w14:solidFill>
          </w14:textFill>
        </w:rPr>
        <w:t>或</w:t>
      </w:r>
      <w:r>
        <w:rPr>
          <w:rFonts w:hint="eastAsia" w:ascii="宋体" w:hAnsi="宋体" w:eastAsia="宋体" w:cs="宋体"/>
          <w:color w:val="000000" w:themeColor="text1"/>
          <w:sz w:val="28"/>
          <w:szCs w:val="28"/>
          <w:highlight w:val="none"/>
          <w14:textFill>
            <w14:solidFill>
              <w14:schemeClr w14:val="tx1"/>
            </w14:solidFill>
          </w14:textFill>
        </w:rPr>
        <w:t>盖章）：</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r>
        <w:rPr>
          <w:rFonts w:hint="eastAsia" w:ascii="宋体" w:hAnsi="宋体" w:cs="宋体"/>
          <w:color w:val="000000" w:themeColor="text1"/>
          <w:sz w:val="28"/>
          <w:szCs w:val="28"/>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kern w:val="0"/>
          <w:sz w:val="28"/>
          <w:szCs w:val="28"/>
          <w:highlight w:val="none"/>
          <w:u w:val="single"/>
          <w:lang w:val="en-US" w:eastAsia="zh-CN"/>
          <w14:textFill>
            <w14:solidFill>
              <w14:schemeClr w14:val="tx1"/>
            </w14:solidFill>
          </w14:textFill>
        </w:rPr>
        <w:t xml:space="preserve"> </w:t>
      </w:r>
    </w:p>
    <w:p w14:paraId="637757A2">
      <w:pPr>
        <w:pageBreakBefore w:val="0"/>
        <w:wordWrap/>
        <w:topLinePunct w:val="0"/>
        <w:autoSpaceDE w:val="0"/>
        <w:autoSpaceDN w:val="0"/>
        <w:bidi w:val="0"/>
        <w:spacing w:line="560" w:lineRule="exact"/>
        <w:ind w:firstLine="4200" w:firstLineChars="1500"/>
        <w:rPr>
          <w:rFonts w:cs="仿宋_GB2312" w:asciiTheme="minorEastAsia" w:hAnsiTheme="minorEastAsia" w:eastAsiaTheme="minorEastAsia"/>
          <w:color w:val="000000" w:themeColor="text1"/>
          <w:kern w:val="0"/>
          <w:sz w:val="28"/>
          <w:szCs w:val="28"/>
          <w:highlight w:val="none"/>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8"/>
          <w:szCs w:val="28"/>
          <w:highlight w:val="none"/>
          <w:lang w:val="zh-CN"/>
          <w14:textFill>
            <w14:solidFill>
              <w14:schemeClr w14:val="tx1"/>
            </w14:solidFill>
          </w14:textFill>
        </w:rPr>
        <w:t>日  期</w:t>
      </w:r>
      <w:r>
        <w:rPr>
          <w:rFonts w:hint="eastAsia" w:cs="仿宋_GB2312" w:asciiTheme="minorEastAsia" w:hAnsiTheme="minorEastAsia" w:eastAsiaTheme="minorEastAsia"/>
          <w:color w:val="000000" w:themeColor="text1"/>
          <w:kern w:val="0"/>
          <w:sz w:val="28"/>
          <w:szCs w:val="28"/>
          <w:highlight w:val="none"/>
          <w14:textFill>
            <w14:solidFill>
              <w14:schemeClr w14:val="tx1"/>
            </w14:solidFill>
          </w14:textFill>
        </w:rPr>
        <w:t xml:space="preserve">：  </w:t>
      </w:r>
      <w:r>
        <w:rPr>
          <w:rFonts w:hint="eastAsia" w:cs="仿宋_GB2312" w:asciiTheme="minorEastAsia" w:hAnsiTheme="minorEastAsia" w:eastAsiaTheme="minorEastAsia"/>
          <w:color w:val="000000" w:themeColor="text1"/>
          <w:kern w:val="0"/>
          <w:sz w:val="28"/>
          <w:szCs w:val="28"/>
          <w:highlight w:val="none"/>
          <w:lang w:val="zh-CN"/>
          <w14:textFill>
            <w14:solidFill>
              <w14:schemeClr w14:val="tx1"/>
            </w14:solidFill>
          </w14:textFill>
        </w:rPr>
        <w:t>年</w:t>
      </w:r>
      <w:r>
        <w:rPr>
          <w:rFonts w:hint="eastAsia" w:cs="仿宋_GB2312" w:asciiTheme="minorEastAsia" w:hAnsiTheme="minorEastAsia" w:eastAsiaTheme="minorEastAsia"/>
          <w:color w:val="000000" w:themeColor="text1"/>
          <w:kern w:val="0"/>
          <w:sz w:val="28"/>
          <w:szCs w:val="28"/>
          <w:highlight w:val="none"/>
          <w14:textFill>
            <w14:solidFill>
              <w14:schemeClr w14:val="tx1"/>
            </w14:solidFill>
          </w14:textFill>
        </w:rPr>
        <w:t xml:space="preserve">  </w:t>
      </w:r>
      <w:r>
        <w:rPr>
          <w:rFonts w:hint="eastAsia" w:cs="仿宋_GB2312" w:asciiTheme="minorEastAsia" w:hAnsiTheme="minorEastAsia" w:eastAsiaTheme="minorEastAsia"/>
          <w:color w:val="000000" w:themeColor="text1"/>
          <w:kern w:val="0"/>
          <w:sz w:val="28"/>
          <w:szCs w:val="28"/>
          <w:highlight w:val="none"/>
          <w:lang w:val="zh-CN"/>
          <w14:textFill>
            <w14:solidFill>
              <w14:schemeClr w14:val="tx1"/>
            </w14:solidFill>
          </w14:textFill>
        </w:rPr>
        <w:t>月</w:t>
      </w:r>
      <w:r>
        <w:rPr>
          <w:rFonts w:hint="eastAsia" w:cs="仿宋_GB2312" w:asciiTheme="minorEastAsia" w:hAnsiTheme="minorEastAsia" w:eastAsiaTheme="minorEastAsia"/>
          <w:color w:val="000000" w:themeColor="text1"/>
          <w:kern w:val="0"/>
          <w:sz w:val="28"/>
          <w:szCs w:val="28"/>
          <w:highlight w:val="none"/>
          <w14:textFill>
            <w14:solidFill>
              <w14:schemeClr w14:val="tx1"/>
            </w14:solidFill>
          </w14:textFill>
        </w:rPr>
        <w:t xml:space="preserve">   </w:t>
      </w:r>
      <w:r>
        <w:rPr>
          <w:rFonts w:hint="eastAsia" w:cs="仿宋_GB2312" w:asciiTheme="minorEastAsia" w:hAnsiTheme="minorEastAsia" w:eastAsiaTheme="minorEastAsia"/>
          <w:color w:val="000000" w:themeColor="text1"/>
          <w:kern w:val="0"/>
          <w:sz w:val="28"/>
          <w:szCs w:val="28"/>
          <w:highlight w:val="none"/>
          <w:lang w:val="zh-CN"/>
          <w14:textFill>
            <w14:solidFill>
              <w14:schemeClr w14:val="tx1"/>
            </w14:solidFill>
          </w14:textFill>
        </w:rPr>
        <w:t>日</w:t>
      </w:r>
    </w:p>
    <w:p w14:paraId="5C85BE12">
      <w:pPr>
        <w:pageBreakBefore w:val="0"/>
        <w:widowControl/>
        <w:wordWrap/>
        <w:topLinePunct w:val="0"/>
        <w:bidi w:val="0"/>
        <w:spacing w:line="560" w:lineRule="exact"/>
        <w:jc w:val="left"/>
        <w:rPr>
          <w:rFonts w:ascii="宋体" w:hAnsi="宋体"/>
          <w:color w:val="000000" w:themeColor="text1"/>
          <w:szCs w:val="20"/>
          <w:highlight w:val="none"/>
          <w14:textFill>
            <w14:solidFill>
              <w14:schemeClr w14:val="tx1"/>
            </w14:solidFill>
          </w14:textFill>
        </w:rPr>
      </w:pPr>
      <w:r>
        <w:rPr>
          <w:rFonts w:ascii="宋体" w:hAnsi="宋体"/>
          <w:color w:val="000000" w:themeColor="text1"/>
          <w:szCs w:val="20"/>
          <w:highlight w:val="none"/>
          <w14:textFill>
            <w14:solidFill>
              <w14:schemeClr w14:val="tx1"/>
            </w14:solidFill>
          </w14:textFill>
        </w:rPr>
        <w:br w:type="page"/>
      </w:r>
    </w:p>
    <w:p w14:paraId="71BF2256">
      <w:pPr>
        <w:pStyle w:val="17"/>
        <w:pageBreakBefore w:val="0"/>
        <w:wordWrap/>
        <w:topLinePunct w:val="0"/>
        <w:bidi w:val="0"/>
        <w:spacing w:line="560" w:lineRule="exact"/>
        <w:rPr>
          <w:rFonts w:hint="eastAsia" w:eastAsiaTheme="minorEastAsia"/>
          <w:color w:val="000000" w:themeColor="text1"/>
          <w:highlight w:val="none"/>
          <w:lang w:eastAsia="zh-CN"/>
          <w14:textFill>
            <w14:solidFill>
              <w14:schemeClr w14:val="tx1"/>
            </w14:solidFill>
          </w14:textFill>
        </w:rPr>
      </w:pPr>
      <w:r>
        <w:rPr>
          <w:rFonts w:hint="eastAsia"/>
          <w:color w:val="000000" w:themeColor="text1"/>
          <w:highlight w:val="none"/>
          <w14:textFill>
            <w14:solidFill>
              <w14:schemeClr w14:val="tx1"/>
            </w14:solidFill>
          </w14:textFill>
        </w:rPr>
        <w:t>四</w:t>
      </w:r>
      <w:r>
        <w:rPr>
          <w:color w:val="000000" w:themeColor="text1"/>
          <w:highlight w:val="none"/>
          <w14:textFill>
            <w14:solidFill>
              <w14:schemeClr w14:val="tx1"/>
            </w14:solidFill>
          </w14:textFill>
        </w:rPr>
        <w:t>、中小企业声明函</w:t>
      </w:r>
      <w:r>
        <w:rPr>
          <w:rFonts w:hint="eastAsia"/>
          <w:color w:val="000000" w:themeColor="text1"/>
          <w:highlight w:val="none"/>
          <w:lang w:eastAsia="zh-CN"/>
          <w14:textFill>
            <w14:solidFill>
              <w14:schemeClr w14:val="tx1"/>
            </w14:solidFill>
          </w14:textFill>
        </w:rPr>
        <w:t>（如有）</w:t>
      </w:r>
    </w:p>
    <w:p w14:paraId="3747AEA9">
      <w:pPr>
        <w:pStyle w:val="13"/>
        <w:pageBreakBefore w:val="0"/>
        <w:wordWrap/>
        <w:topLinePunct w:val="0"/>
        <w:bidi w:val="0"/>
        <w:adjustRightInd w:val="0"/>
        <w:snapToGrid w:val="0"/>
        <w:spacing w:line="560" w:lineRule="exact"/>
        <w:ind w:left="-426" w:leftChars="-203" w:right="142" w:firstLine="560" w:firstLineChars="200"/>
        <w:rPr>
          <w:rFonts w:asciiTheme="minorEastAsia" w:hAnsiTheme="minorEastAsia" w:eastAsiaTheme="minorEastAsia"/>
          <w:color w:val="000000" w:themeColor="text1"/>
          <w:kern w:val="24"/>
          <w:sz w:val="28"/>
          <w:szCs w:val="28"/>
          <w:highlight w:val="none"/>
          <w14:textFill>
            <w14:solidFill>
              <w14:schemeClr w14:val="tx1"/>
            </w14:solidFill>
          </w14:textFill>
        </w:rPr>
      </w:pPr>
      <w:r>
        <w:rPr>
          <w:rFonts w:hint="eastAsia" w:asciiTheme="minorEastAsia" w:hAnsiTheme="minorEastAsia" w:eastAsiaTheme="minorEastAsia"/>
          <w:color w:val="000000" w:themeColor="text1"/>
          <w:kern w:val="24"/>
          <w:sz w:val="28"/>
          <w:szCs w:val="28"/>
          <w:highlight w:val="none"/>
          <w14:textFill>
            <w14:solidFill>
              <w14:schemeClr w14:val="tx1"/>
            </w14:solidFill>
          </w14:textFill>
        </w:rPr>
        <w:t>本公司（联合体）郑重声明，根据《政府采购促进中小企业发展管理办法》（财库﹝2020﹞46号）的规定，本公司（联合体）参加</w:t>
      </w:r>
      <w:r>
        <w:rPr>
          <w:rFonts w:hint="eastAsia" w:asciiTheme="minorEastAsia" w:hAnsiTheme="minorEastAsia" w:eastAsiaTheme="minorEastAsia"/>
          <w:color w:val="000000" w:themeColor="text1"/>
          <w:kern w:val="24"/>
          <w:sz w:val="28"/>
          <w:szCs w:val="28"/>
          <w:highlight w:val="none"/>
          <w:u w:val="single"/>
          <w14:textFill>
            <w14:solidFill>
              <w14:schemeClr w14:val="tx1"/>
            </w14:solidFill>
          </w14:textFill>
        </w:rPr>
        <w:t xml:space="preserve">           （单位名称）的           （项目名称）     </w:t>
      </w:r>
      <w:r>
        <w:rPr>
          <w:rFonts w:hint="eastAsia" w:asciiTheme="minorEastAsia" w:hAnsiTheme="minorEastAsia" w:eastAsiaTheme="minorEastAsia"/>
          <w:color w:val="000000" w:themeColor="text1"/>
          <w:kern w:val="24"/>
          <w:sz w:val="28"/>
          <w:szCs w:val="28"/>
          <w:highlight w:val="none"/>
          <w14:textFill>
            <w14:solidFill>
              <w14:schemeClr w14:val="tx1"/>
            </w14:solidFill>
          </w14:textFill>
        </w:rPr>
        <w:t>采购活动，提供的货物全部由符合政策要求的中小企业制造。相关企业（含联合体中的中小企业、签订分包意向协议的中小企业）的具体情况如下：</w:t>
      </w:r>
    </w:p>
    <w:p w14:paraId="25785FC0">
      <w:pPr>
        <w:pageBreakBefore w:val="0"/>
        <w:tabs>
          <w:tab w:val="left" w:pos="1384"/>
          <w:tab w:val="left" w:pos="4562"/>
          <w:tab w:val="left" w:pos="6803"/>
        </w:tabs>
        <w:wordWrap/>
        <w:topLinePunct w:val="0"/>
        <w:bidi w:val="0"/>
        <w:adjustRightInd w:val="0"/>
        <w:snapToGrid w:val="0"/>
        <w:spacing w:line="560" w:lineRule="exact"/>
        <w:ind w:left="-426" w:right="-58" w:firstLine="655"/>
        <w:rPr>
          <w:rFonts w:asciiTheme="minorEastAsia" w:hAnsiTheme="minorEastAsia" w:eastAsiaTheme="minorEastAsia"/>
          <w:color w:val="000000" w:themeColor="text1"/>
          <w:kern w:val="24"/>
          <w:sz w:val="28"/>
          <w:szCs w:val="28"/>
          <w:highlight w:val="none"/>
          <w14:textFill>
            <w14:solidFill>
              <w14:schemeClr w14:val="tx1"/>
            </w14:solidFill>
          </w14:textFill>
        </w:rPr>
      </w:pPr>
      <w:r>
        <w:rPr>
          <w:rFonts w:hint="eastAsia" w:asciiTheme="minorEastAsia" w:hAnsiTheme="minorEastAsia" w:eastAsiaTheme="minorEastAsia"/>
          <w:color w:val="000000" w:themeColor="text1"/>
          <w:kern w:val="24"/>
          <w:sz w:val="28"/>
          <w:szCs w:val="28"/>
          <w:highlight w:val="none"/>
          <w14:textFill>
            <w14:solidFill>
              <w14:schemeClr w14:val="tx1"/>
            </w14:solidFill>
          </w14:textFill>
        </w:rPr>
        <w:t>1.</w:t>
      </w:r>
      <w:r>
        <w:rPr>
          <w:rFonts w:hint="eastAsia" w:asciiTheme="minorEastAsia" w:hAnsiTheme="minorEastAsia" w:eastAsiaTheme="minorEastAsia"/>
          <w:color w:val="000000" w:themeColor="text1"/>
          <w:kern w:val="24"/>
          <w:sz w:val="28"/>
          <w:szCs w:val="28"/>
          <w:highlight w:val="none"/>
          <w:u w:val="single"/>
          <w14:textFill>
            <w14:solidFill>
              <w14:schemeClr w14:val="tx1"/>
            </w14:solidFill>
          </w14:textFill>
        </w:rPr>
        <w:t xml:space="preserve">     （标的名称）</w:t>
      </w:r>
      <w:r>
        <w:rPr>
          <w:rFonts w:hint="eastAsia" w:asciiTheme="minorEastAsia" w:hAnsiTheme="minorEastAsia" w:eastAsiaTheme="minorEastAsia"/>
          <w:color w:val="000000" w:themeColor="text1"/>
          <w:kern w:val="24"/>
          <w:sz w:val="28"/>
          <w:szCs w:val="28"/>
          <w:highlight w:val="none"/>
          <w14:textFill>
            <w14:solidFill>
              <w14:schemeClr w14:val="tx1"/>
            </w14:solidFill>
          </w14:textFill>
        </w:rPr>
        <w:t>，属于</w:t>
      </w:r>
      <w:r>
        <w:rPr>
          <w:rFonts w:hint="eastAsia" w:asciiTheme="minorEastAsia" w:hAnsiTheme="minorEastAsia" w:eastAsiaTheme="minorEastAsia"/>
          <w:color w:val="000000" w:themeColor="text1"/>
          <w:kern w:val="24"/>
          <w:sz w:val="28"/>
          <w:szCs w:val="28"/>
          <w:highlight w:val="none"/>
          <w:u w:val="single"/>
          <w14:textFill>
            <w14:solidFill>
              <w14:schemeClr w14:val="tx1"/>
            </w14:solidFill>
          </w14:textFill>
        </w:rPr>
        <w:t>（采购文件所属行业）</w:t>
      </w:r>
      <w:r>
        <w:rPr>
          <w:rFonts w:hint="eastAsia" w:asciiTheme="minorEastAsia" w:hAnsiTheme="minorEastAsia" w:eastAsiaTheme="minorEastAsia"/>
          <w:color w:val="000000" w:themeColor="text1"/>
          <w:kern w:val="24"/>
          <w:sz w:val="28"/>
          <w:szCs w:val="28"/>
          <w:highlight w:val="none"/>
          <w14:textFill>
            <w14:solidFill>
              <w14:schemeClr w14:val="tx1"/>
            </w14:solidFill>
          </w14:textFill>
        </w:rPr>
        <w:t>行业；制造商为</w:t>
      </w:r>
      <w:r>
        <w:rPr>
          <w:rFonts w:hint="eastAsia" w:asciiTheme="minorEastAsia" w:hAnsiTheme="minorEastAsia" w:eastAsiaTheme="minorEastAsia"/>
          <w:color w:val="000000" w:themeColor="text1"/>
          <w:kern w:val="24"/>
          <w:sz w:val="28"/>
          <w:szCs w:val="28"/>
          <w:highlight w:val="none"/>
          <w:u w:val="single"/>
          <w14:textFill>
            <w14:solidFill>
              <w14:schemeClr w14:val="tx1"/>
            </w14:solidFill>
          </w14:textFill>
        </w:rPr>
        <w:t xml:space="preserve">          （企业名称）</w:t>
      </w:r>
      <w:r>
        <w:rPr>
          <w:rFonts w:hint="eastAsia" w:asciiTheme="minorEastAsia" w:hAnsiTheme="minorEastAsia" w:eastAsiaTheme="minorEastAsia"/>
          <w:color w:val="000000" w:themeColor="text1"/>
          <w:kern w:val="24"/>
          <w:sz w:val="28"/>
          <w:szCs w:val="28"/>
          <w:highlight w:val="none"/>
          <w14:textFill>
            <w14:solidFill>
              <w14:schemeClr w14:val="tx1"/>
            </w14:solidFill>
          </w14:textFill>
        </w:rPr>
        <w:t>，从业人员</w:t>
      </w:r>
      <w:r>
        <w:rPr>
          <w:rFonts w:hint="eastAsia" w:asciiTheme="minorEastAsia" w:hAnsiTheme="minorEastAsia" w:eastAsiaTheme="minorEastAsia"/>
          <w:color w:val="000000" w:themeColor="text1"/>
          <w:kern w:val="24"/>
          <w:sz w:val="28"/>
          <w:szCs w:val="28"/>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kern w:val="24"/>
          <w:sz w:val="28"/>
          <w:szCs w:val="28"/>
          <w:highlight w:val="none"/>
          <w14:textFill>
            <w14:solidFill>
              <w14:schemeClr w14:val="tx1"/>
            </w14:solidFill>
          </w14:textFill>
        </w:rPr>
        <w:t>人，营业收入为</w:t>
      </w:r>
      <w:r>
        <w:rPr>
          <w:rFonts w:hint="eastAsia" w:asciiTheme="minorEastAsia" w:hAnsiTheme="minorEastAsia" w:eastAsiaTheme="minorEastAsia"/>
          <w:color w:val="000000" w:themeColor="text1"/>
          <w:kern w:val="24"/>
          <w:sz w:val="28"/>
          <w:szCs w:val="28"/>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kern w:val="24"/>
          <w:sz w:val="28"/>
          <w:szCs w:val="28"/>
          <w:highlight w:val="none"/>
          <w14:textFill>
            <w14:solidFill>
              <w14:schemeClr w14:val="tx1"/>
            </w14:solidFill>
          </w14:textFill>
        </w:rPr>
        <w:t>万元，资产总额为</w:t>
      </w:r>
      <w:r>
        <w:rPr>
          <w:rFonts w:hint="eastAsia" w:asciiTheme="minorEastAsia" w:hAnsiTheme="minorEastAsia" w:eastAsiaTheme="minorEastAsia"/>
          <w:color w:val="000000" w:themeColor="text1"/>
          <w:kern w:val="24"/>
          <w:sz w:val="28"/>
          <w:szCs w:val="28"/>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kern w:val="24"/>
          <w:sz w:val="28"/>
          <w:szCs w:val="28"/>
          <w:highlight w:val="none"/>
          <w14:textFill>
            <w14:solidFill>
              <w14:schemeClr w14:val="tx1"/>
            </w14:solidFill>
          </w14:textFill>
        </w:rPr>
        <w:t>万元，属于</w:t>
      </w:r>
      <w:r>
        <w:rPr>
          <w:rFonts w:hint="eastAsia" w:asciiTheme="minorEastAsia" w:hAnsiTheme="minorEastAsia" w:eastAsiaTheme="minorEastAsia"/>
          <w:color w:val="000000" w:themeColor="text1"/>
          <w:kern w:val="24"/>
          <w:sz w:val="28"/>
          <w:szCs w:val="28"/>
          <w:highlight w:val="none"/>
          <w:u w:val="single"/>
          <w14:textFill>
            <w14:solidFill>
              <w14:schemeClr w14:val="tx1"/>
            </w14:solidFill>
          </w14:textFill>
        </w:rPr>
        <w:t xml:space="preserve">     （中型企业、小型企业、微型企业）</w:t>
      </w:r>
      <w:r>
        <w:rPr>
          <w:rFonts w:hint="eastAsia" w:asciiTheme="minorEastAsia" w:hAnsiTheme="minorEastAsia" w:eastAsiaTheme="minorEastAsia"/>
          <w:color w:val="000000" w:themeColor="text1"/>
          <w:kern w:val="24"/>
          <w:sz w:val="28"/>
          <w:szCs w:val="28"/>
          <w:highlight w:val="none"/>
          <w14:textFill>
            <w14:solidFill>
              <w14:schemeClr w14:val="tx1"/>
            </w14:solidFill>
          </w14:textFill>
        </w:rPr>
        <w:t>；</w:t>
      </w:r>
    </w:p>
    <w:p w14:paraId="6EA683E4">
      <w:pPr>
        <w:pageBreakBefore w:val="0"/>
        <w:tabs>
          <w:tab w:val="left" w:pos="1384"/>
          <w:tab w:val="left" w:pos="4562"/>
          <w:tab w:val="left" w:pos="6803"/>
        </w:tabs>
        <w:wordWrap/>
        <w:topLinePunct w:val="0"/>
        <w:bidi w:val="0"/>
        <w:adjustRightInd w:val="0"/>
        <w:snapToGrid w:val="0"/>
        <w:spacing w:line="560" w:lineRule="exact"/>
        <w:ind w:left="-426" w:right="-58" w:firstLine="655"/>
        <w:rPr>
          <w:rFonts w:asciiTheme="minorEastAsia" w:hAnsiTheme="minorEastAsia" w:eastAsiaTheme="minorEastAsia"/>
          <w:color w:val="000000" w:themeColor="text1"/>
          <w:kern w:val="24"/>
          <w:sz w:val="28"/>
          <w:szCs w:val="28"/>
          <w:highlight w:val="none"/>
          <w14:textFill>
            <w14:solidFill>
              <w14:schemeClr w14:val="tx1"/>
            </w14:solidFill>
          </w14:textFill>
        </w:rPr>
      </w:pPr>
      <w:r>
        <w:rPr>
          <w:rFonts w:hint="eastAsia" w:asciiTheme="minorEastAsia" w:hAnsiTheme="minorEastAsia" w:eastAsiaTheme="minorEastAsia"/>
          <w:color w:val="000000" w:themeColor="text1"/>
          <w:kern w:val="24"/>
          <w:sz w:val="28"/>
          <w:szCs w:val="28"/>
          <w:highlight w:val="none"/>
          <w14:textFill>
            <w14:solidFill>
              <w14:schemeClr w14:val="tx1"/>
            </w14:solidFill>
          </w14:textFill>
        </w:rPr>
        <w:t>2.</w:t>
      </w:r>
      <w:r>
        <w:rPr>
          <w:rFonts w:hint="eastAsia" w:asciiTheme="minorEastAsia" w:hAnsiTheme="minorEastAsia" w:eastAsiaTheme="minorEastAsia"/>
          <w:color w:val="000000" w:themeColor="text1"/>
          <w:kern w:val="24"/>
          <w:sz w:val="28"/>
          <w:szCs w:val="28"/>
          <w:highlight w:val="none"/>
          <w:u w:val="single"/>
          <w14:textFill>
            <w14:solidFill>
              <w14:schemeClr w14:val="tx1"/>
            </w14:solidFill>
          </w14:textFill>
        </w:rPr>
        <w:t xml:space="preserve">     （标的名称）</w:t>
      </w:r>
      <w:r>
        <w:rPr>
          <w:rFonts w:hint="eastAsia" w:asciiTheme="minorEastAsia" w:hAnsiTheme="minorEastAsia" w:eastAsiaTheme="minorEastAsia"/>
          <w:color w:val="000000" w:themeColor="text1"/>
          <w:kern w:val="24"/>
          <w:sz w:val="28"/>
          <w:szCs w:val="28"/>
          <w:highlight w:val="none"/>
          <w14:textFill>
            <w14:solidFill>
              <w14:schemeClr w14:val="tx1"/>
            </w14:solidFill>
          </w14:textFill>
        </w:rPr>
        <w:t>，属于</w:t>
      </w:r>
      <w:r>
        <w:rPr>
          <w:rFonts w:hint="eastAsia" w:asciiTheme="minorEastAsia" w:hAnsiTheme="minorEastAsia" w:eastAsiaTheme="minorEastAsia"/>
          <w:color w:val="000000" w:themeColor="text1"/>
          <w:kern w:val="24"/>
          <w:sz w:val="28"/>
          <w:szCs w:val="28"/>
          <w:highlight w:val="none"/>
          <w:u w:val="single"/>
          <w14:textFill>
            <w14:solidFill>
              <w14:schemeClr w14:val="tx1"/>
            </w14:solidFill>
          </w14:textFill>
        </w:rPr>
        <w:t>（采购文件所属行业）</w:t>
      </w:r>
      <w:r>
        <w:rPr>
          <w:rFonts w:hint="eastAsia" w:asciiTheme="minorEastAsia" w:hAnsiTheme="minorEastAsia" w:eastAsiaTheme="minorEastAsia"/>
          <w:color w:val="000000" w:themeColor="text1"/>
          <w:kern w:val="24"/>
          <w:sz w:val="28"/>
          <w:szCs w:val="28"/>
          <w:highlight w:val="none"/>
          <w14:textFill>
            <w14:solidFill>
              <w14:schemeClr w14:val="tx1"/>
            </w14:solidFill>
          </w14:textFill>
        </w:rPr>
        <w:t>行业；制造商为</w:t>
      </w:r>
      <w:r>
        <w:rPr>
          <w:rFonts w:hint="eastAsia" w:asciiTheme="minorEastAsia" w:hAnsiTheme="minorEastAsia" w:eastAsiaTheme="minorEastAsia"/>
          <w:color w:val="000000" w:themeColor="text1"/>
          <w:kern w:val="24"/>
          <w:sz w:val="28"/>
          <w:szCs w:val="28"/>
          <w:highlight w:val="none"/>
          <w:u w:val="single"/>
          <w14:textFill>
            <w14:solidFill>
              <w14:schemeClr w14:val="tx1"/>
            </w14:solidFill>
          </w14:textFill>
        </w:rPr>
        <w:t xml:space="preserve">          （企业名称）</w:t>
      </w:r>
      <w:r>
        <w:rPr>
          <w:rFonts w:hint="eastAsia" w:asciiTheme="minorEastAsia" w:hAnsiTheme="minorEastAsia" w:eastAsiaTheme="minorEastAsia"/>
          <w:color w:val="000000" w:themeColor="text1"/>
          <w:kern w:val="24"/>
          <w:sz w:val="28"/>
          <w:szCs w:val="28"/>
          <w:highlight w:val="none"/>
          <w14:textFill>
            <w14:solidFill>
              <w14:schemeClr w14:val="tx1"/>
            </w14:solidFill>
          </w14:textFill>
        </w:rPr>
        <w:t>，从业人员</w:t>
      </w:r>
      <w:r>
        <w:rPr>
          <w:rFonts w:hint="eastAsia" w:asciiTheme="minorEastAsia" w:hAnsiTheme="minorEastAsia" w:eastAsiaTheme="minorEastAsia"/>
          <w:color w:val="000000" w:themeColor="text1"/>
          <w:kern w:val="24"/>
          <w:sz w:val="28"/>
          <w:szCs w:val="28"/>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kern w:val="24"/>
          <w:sz w:val="28"/>
          <w:szCs w:val="28"/>
          <w:highlight w:val="none"/>
          <w14:textFill>
            <w14:solidFill>
              <w14:schemeClr w14:val="tx1"/>
            </w14:solidFill>
          </w14:textFill>
        </w:rPr>
        <w:t>人，营业收入为</w:t>
      </w:r>
      <w:r>
        <w:rPr>
          <w:rFonts w:hint="eastAsia" w:asciiTheme="minorEastAsia" w:hAnsiTheme="minorEastAsia" w:eastAsiaTheme="minorEastAsia"/>
          <w:color w:val="000000" w:themeColor="text1"/>
          <w:kern w:val="24"/>
          <w:sz w:val="28"/>
          <w:szCs w:val="28"/>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kern w:val="24"/>
          <w:sz w:val="28"/>
          <w:szCs w:val="28"/>
          <w:highlight w:val="none"/>
          <w14:textFill>
            <w14:solidFill>
              <w14:schemeClr w14:val="tx1"/>
            </w14:solidFill>
          </w14:textFill>
        </w:rPr>
        <w:t>万元，资产总额为</w:t>
      </w:r>
      <w:r>
        <w:rPr>
          <w:rFonts w:hint="eastAsia" w:asciiTheme="minorEastAsia" w:hAnsiTheme="minorEastAsia" w:eastAsiaTheme="minorEastAsia"/>
          <w:color w:val="000000" w:themeColor="text1"/>
          <w:kern w:val="24"/>
          <w:sz w:val="28"/>
          <w:szCs w:val="28"/>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kern w:val="24"/>
          <w:sz w:val="28"/>
          <w:szCs w:val="28"/>
          <w:highlight w:val="none"/>
          <w14:textFill>
            <w14:solidFill>
              <w14:schemeClr w14:val="tx1"/>
            </w14:solidFill>
          </w14:textFill>
        </w:rPr>
        <w:t>万元，属于</w:t>
      </w:r>
      <w:r>
        <w:rPr>
          <w:rFonts w:hint="eastAsia" w:asciiTheme="minorEastAsia" w:hAnsiTheme="minorEastAsia" w:eastAsiaTheme="minorEastAsia"/>
          <w:color w:val="000000" w:themeColor="text1"/>
          <w:kern w:val="24"/>
          <w:sz w:val="28"/>
          <w:szCs w:val="28"/>
          <w:highlight w:val="none"/>
          <w:u w:val="single"/>
          <w14:textFill>
            <w14:solidFill>
              <w14:schemeClr w14:val="tx1"/>
            </w14:solidFill>
          </w14:textFill>
        </w:rPr>
        <w:t xml:space="preserve">     （中型企业、小型企业、微型企业）</w:t>
      </w:r>
      <w:r>
        <w:rPr>
          <w:rFonts w:hint="eastAsia" w:asciiTheme="minorEastAsia" w:hAnsiTheme="minorEastAsia" w:eastAsiaTheme="minorEastAsia"/>
          <w:color w:val="000000" w:themeColor="text1"/>
          <w:kern w:val="24"/>
          <w:sz w:val="28"/>
          <w:szCs w:val="28"/>
          <w:highlight w:val="none"/>
          <w14:textFill>
            <w14:solidFill>
              <w14:schemeClr w14:val="tx1"/>
            </w14:solidFill>
          </w14:textFill>
        </w:rPr>
        <w:t>；</w:t>
      </w:r>
    </w:p>
    <w:p w14:paraId="17BED2E7">
      <w:pPr>
        <w:pStyle w:val="13"/>
        <w:pageBreakBefore w:val="0"/>
        <w:wordWrap/>
        <w:topLinePunct w:val="0"/>
        <w:bidi w:val="0"/>
        <w:adjustRightInd w:val="0"/>
        <w:snapToGrid w:val="0"/>
        <w:spacing w:line="560" w:lineRule="exact"/>
        <w:ind w:left="142" w:right="142"/>
        <w:rPr>
          <w:rFonts w:asciiTheme="minorEastAsia" w:hAnsiTheme="minorEastAsia" w:eastAsiaTheme="minorEastAsia"/>
          <w:color w:val="000000" w:themeColor="text1"/>
          <w:kern w:val="24"/>
          <w:sz w:val="28"/>
          <w:szCs w:val="28"/>
          <w:highlight w:val="none"/>
          <w14:textFill>
            <w14:solidFill>
              <w14:schemeClr w14:val="tx1"/>
            </w14:solidFill>
          </w14:textFill>
        </w:rPr>
      </w:pPr>
      <w:r>
        <w:rPr>
          <w:rFonts w:hint="eastAsia" w:asciiTheme="minorEastAsia" w:hAnsiTheme="minorEastAsia" w:eastAsiaTheme="minorEastAsia"/>
          <w:color w:val="000000" w:themeColor="text1"/>
          <w:kern w:val="24"/>
          <w:sz w:val="28"/>
          <w:szCs w:val="28"/>
          <w:highlight w:val="none"/>
          <w14:textFill>
            <w14:solidFill>
              <w14:schemeClr w14:val="tx1"/>
            </w14:solidFill>
          </w14:textFill>
        </w:rPr>
        <w:t xml:space="preserve">…… </w:t>
      </w:r>
    </w:p>
    <w:p w14:paraId="23478A7E">
      <w:pPr>
        <w:pStyle w:val="13"/>
        <w:pageBreakBefore w:val="0"/>
        <w:wordWrap/>
        <w:topLinePunct w:val="0"/>
        <w:bidi w:val="0"/>
        <w:adjustRightInd w:val="0"/>
        <w:snapToGrid w:val="0"/>
        <w:spacing w:line="560" w:lineRule="exact"/>
        <w:ind w:left="-405" w:leftChars="-193" w:right="142" w:firstLine="529" w:firstLineChars="189"/>
        <w:rPr>
          <w:rFonts w:asciiTheme="minorEastAsia" w:hAnsiTheme="minorEastAsia" w:eastAsiaTheme="minorEastAsia"/>
          <w:color w:val="000000" w:themeColor="text1"/>
          <w:kern w:val="24"/>
          <w:sz w:val="28"/>
          <w:szCs w:val="28"/>
          <w:highlight w:val="none"/>
          <w14:textFill>
            <w14:solidFill>
              <w14:schemeClr w14:val="tx1"/>
            </w14:solidFill>
          </w14:textFill>
        </w:rPr>
      </w:pPr>
      <w:r>
        <w:rPr>
          <w:rFonts w:hint="eastAsia" w:asciiTheme="minorEastAsia" w:hAnsiTheme="minorEastAsia" w:eastAsiaTheme="minorEastAsia"/>
          <w:color w:val="000000" w:themeColor="text1"/>
          <w:kern w:val="24"/>
          <w:sz w:val="28"/>
          <w:szCs w:val="28"/>
          <w:highlight w:val="none"/>
          <w14:textFill>
            <w14:solidFill>
              <w14:schemeClr w14:val="tx1"/>
            </w14:solidFill>
          </w14:textFill>
        </w:rPr>
        <w:t>以上企业，不属于大企业的分支机构，不存在控股股东为大企业的情形，也不存在与大企业的负责人为同一人的情形。</w:t>
      </w:r>
    </w:p>
    <w:p w14:paraId="5779995C">
      <w:pPr>
        <w:pStyle w:val="13"/>
        <w:pageBreakBefore w:val="0"/>
        <w:wordWrap/>
        <w:topLinePunct w:val="0"/>
        <w:bidi w:val="0"/>
        <w:adjustRightInd w:val="0"/>
        <w:snapToGrid w:val="0"/>
        <w:spacing w:line="560" w:lineRule="exact"/>
        <w:ind w:left="-426" w:right="142" w:firstLine="567"/>
        <w:rPr>
          <w:rFonts w:asciiTheme="minorEastAsia" w:hAnsiTheme="minorEastAsia" w:eastAsiaTheme="minorEastAsia"/>
          <w:color w:val="000000" w:themeColor="text1"/>
          <w:kern w:val="24"/>
          <w:sz w:val="28"/>
          <w:szCs w:val="28"/>
          <w:highlight w:val="none"/>
          <w14:textFill>
            <w14:solidFill>
              <w14:schemeClr w14:val="tx1"/>
            </w14:solidFill>
          </w14:textFill>
        </w:rPr>
      </w:pPr>
      <w:r>
        <w:rPr>
          <w:rFonts w:hint="eastAsia" w:asciiTheme="minorEastAsia" w:hAnsiTheme="minorEastAsia" w:eastAsiaTheme="minorEastAsia"/>
          <w:color w:val="000000" w:themeColor="text1"/>
          <w:kern w:val="24"/>
          <w:sz w:val="28"/>
          <w:szCs w:val="28"/>
          <w:highlight w:val="none"/>
          <w14:textFill>
            <w14:solidFill>
              <w14:schemeClr w14:val="tx1"/>
            </w14:solidFill>
          </w14:textFill>
        </w:rPr>
        <w:t>本企业对上述声明内容的真实性负责。如有虚假，将依法承担相应责任。</w:t>
      </w:r>
    </w:p>
    <w:p w14:paraId="4F364934">
      <w:pPr>
        <w:pageBreakBefore w:val="0"/>
        <w:wordWrap/>
        <w:topLinePunct w:val="0"/>
        <w:autoSpaceDE w:val="0"/>
        <w:autoSpaceDN w:val="0"/>
        <w:bidi w:val="0"/>
        <w:adjustRightInd w:val="0"/>
        <w:snapToGrid w:val="0"/>
        <w:spacing w:line="560" w:lineRule="exact"/>
        <w:rPr>
          <w:rFonts w:cs="仿宋_GB2312" w:asciiTheme="minorEastAsia" w:hAnsiTheme="minorEastAsia" w:eastAsiaTheme="minorEastAsia"/>
          <w:color w:val="000000" w:themeColor="text1"/>
          <w:kern w:val="0"/>
          <w:sz w:val="28"/>
          <w:szCs w:val="28"/>
          <w:highlight w:val="none"/>
          <w14:textFill>
            <w14:solidFill>
              <w14:schemeClr w14:val="tx1"/>
            </w14:solidFill>
          </w14:textFill>
        </w:rPr>
      </w:pPr>
    </w:p>
    <w:p w14:paraId="2D778B1D">
      <w:pPr>
        <w:pageBreakBefore w:val="0"/>
        <w:wordWrap/>
        <w:topLinePunct w:val="0"/>
        <w:autoSpaceDE w:val="0"/>
        <w:autoSpaceDN w:val="0"/>
        <w:bidi w:val="0"/>
        <w:adjustRightInd w:val="0"/>
        <w:snapToGrid w:val="0"/>
        <w:spacing w:line="560" w:lineRule="exact"/>
        <w:ind w:left="4375" w:leftChars="1950" w:hanging="280" w:hangingChars="100"/>
        <w:rPr>
          <w:rFonts w:cs="仿宋_GB2312" w:asciiTheme="minorEastAsia" w:hAnsiTheme="minorEastAsia" w:eastAsiaTheme="minorEastAsia"/>
          <w:color w:val="000000" w:themeColor="text1"/>
          <w:kern w:val="0"/>
          <w:sz w:val="28"/>
          <w:szCs w:val="28"/>
          <w:highlight w:val="none"/>
          <w14:textFill>
            <w14:solidFill>
              <w14:schemeClr w14:val="tx1"/>
            </w14:solidFill>
          </w14:textFill>
        </w:rPr>
      </w:pPr>
      <w:r>
        <w:rPr>
          <w:rFonts w:hint="eastAsia" w:cs="仿宋_GB2312" w:asciiTheme="minorEastAsia" w:hAnsiTheme="minorEastAsia" w:eastAsiaTheme="minorEastAsia"/>
          <w:color w:val="000000" w:themeColor="text1"/>
          <w:kern w:val="0"/>
          <w:sz w:val="28"/>
          <w:szCs w:val="28"/>
          <w:highlight w:val="none"/>
          <w:lang w:eastAsia="zh-CN"/>
          <w14:textFill>
            <w14:solidFill>
              <w14:schemeClr w14:val="tx1"/>
            </w14:solidFill>
          </w14:textFill>
        </w:rPr>
        <w:t>企业</w:t>
      </w:r>
      <w:r>
        <w:rPr>
          <w:rFonts w:hint="eastAsia" w:cs="仿宋_GB2312" w:asciiTheme="minorEastAsia" w:hAnsiTheme="minorEastAsia" w:eastAsiaTheme="minorEastAsia"/>
          <w:color w:val="000000" w:themeColor="text1"/>
          <w:kern w:val="0"/>
          <w:sz w:val="28"/>
          <w:szCs w:val="28"/>
          <w:highlight w:val="none"/>
          <w14:textFill>
            <w14:solidFill>
              <w14:schemeClr w14:val="tx1"/>
            </w14:solidFill>
          </w14:textFill>
        </w:rPr>
        <w:t>名称（</w:t>
      </w:r>
      <w:r>
        <w:rPr>
          <w:rFonts w:hint="eastAsia" w:cs="仿宋_GB2312" w:asciiTheme="minorEastAsia" w:hAnsiTheme="minorEastAsia" w:eastAsiaTheme="minorEastAsia"/>
          <w:color w:val="000000" w:themeColor="text1"/>
          <w:kern w:val="0"/>
          <w:sz w:val="28"/>
          <w:szCs w:val="28"/>
          <w:highlight w:val="none"/>
          <w:lang w:eastAsia="zh-CN"/>
          <w14:textFill>
            <w14:solidFill>
              <w14:schemeClr w14:val="tx1"/>
            </w14:solidFill>
          </w14:textFill>
        </w:rPr>
        <w:t>电子公章</w:t>
      </w:r>
      <w:r>
        <w:rPr>
          <w:rFonts w:hint="eastAsia" w:cs="仿宋_GB2312" w:asciiTheme="minorEastAsia" w:hAnsiTheme="minorEastAsia" w:eastAsiaTheme="minorEastAsia"/>
          <w:color w:val="000000" w:themeColor="text1"/>
          <w:kern w:val="0"/>
          <w:sz w:val="28"/>
          <w:szCs w:val="28"/>
          <w:highlight w:val="none"/>
          <w14:textFill>
            <w14:solidFill>
              <w14:schemeClr w14:val="tx1"/>
            </w14:solidFill>
          </w14:textFill>
        </w:rPr>
        <w:t>）：</w:t>
      </w:r>
    </w:p>
    <w:p w14:paraId="2CE3C8F7">
      <w:pPr>
        <w:pageBreakBefore w:val="0"/>
        <w:wordWrap/>
        <w:topLinePunct w:val="0"/>
        <w:autoSpaceDE w:val="0"/>
        <w:autoSpaceDN w:val="0"/>
        <w:bidi w:val="0"/>
        <w:adjustRightInd w:val="0"/>
        <w:snapToGrid w:val="0"/>
        <w:spacing w:line="560" w:lineRule="exact"/>
        <w:ind w:firstLine="4200" w:firstLineChars="1500"/>
        <w:rPr>
          <w:color w:val="000000" w:themeColor="text1"/>
          <w:highlight w:val="none"/>
          <w14:textFill>
            <w14:solidFill>
              <w14:schemeClr w14:val="tx1"/>
            </w14:solidFill>
          </w14:textFill>
        </w:rPr>
      </w:pPr>
      <w:r>
        <w:rPr>
          <w:rFonts w:hint="eastAsia" w:cs="仿宋_GB2312" w:asciiTheme="minorEastAsia" w:hAnsiTheme="minorEastAsia" w:eastAsiaTheme="minorEastAsia"/>
          <w:color w:val="000000" w:themeColor="text1"/>
          <w:kern w:val="0"/>
          <w:sz w:val="28"/>
          <w:szCs w:val="28"/>
          <w:highlight w:val="none"/>
          <w:lang w:val="zh-CN"/>
          <w14:textFill>
            <w14:solidFill>
              <w14:schemeClr w14:val="tx1"/>
            </w14:solidFill>
          </w14:textFill>
        </w:rPr>
        <w:t>日期：  年  月   日</w:t>
      </w:r>
    </w:p>
    <w:p w14:paraId="30F2463B">
      <w:pPr>
        <w:keepNext w:val="0"/>
        <w:keepLines w:val="0"/>
        <w:pageBreakBefore w:val="0"/>
        <w:widowControl w:val="0"/>
        <w:kinsoku/>
        <w:wordWrap/>
        <w:overflowPunct/>
        <w:topLinePunct w:val="0"/>
        <w:autoSpaceDE/>
        <w:autoSpaceDN/>
        <w:bidi w:val="0"/>
        <w:adjustRightInd/>
        <w:snapToGrid w:val="0"/>
        <w:spacing w:before="50" w:after="165" w:afterLines="50" w:line="400" w:lineRule="exact"/>
        <w:jc w:val="left"/>
        <w:textAlignment w:val="auto"/>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注：</w:t>
      </w:r>
    </w:p>
    <w:p w14:paraId="2BDE125D">
      <w:pPr>
        <w:keepNext w:val="0"/>
        <w:keepLines w:val="0"/>
        <w:pageBreakBefore w:val="0"/>
        <w:widowControl w:val="0"/>
        <w:numPr>
          <w:ilvl w:val="0"/>
          <w:numId w:val="24"/>
        </w:numPr>
        <w:kinsoku/>
        <w:wordWrap/>
        <w:overflowPunct/>
        <w:topLinePunct w:val="0"/>
        <w:autoSpaceDE/>
        <w:autoSpaceDN/>
        <w:bidi w:val="0"/>
        <w:adjustRightInd/>
        <w:snapToGrid w:val="0"/>
        <w:spacing w:before="50" w:after="165" w:afterLines="50" w:line="400" w:lineRule="exact"/>
        <w:jc w:val="left"/>
        <w:textAlignment w:val="auto"/>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从业人员、营业收入、资产总额填报上一年度数据，无上一年度数据的新成立企业可不填报。</w:t>
      </w:r>
    </w:p>
    <w:p w14:paraId="748097D0">
      <w:pPr>
        <w:pStyle w:val="101"/>
        <w:keepNext w:val="0"/>
        <w:keepLines w:val="0"/>
        <w:pageBreakBefore w:val="0"/>
        <w:widowControl w:val="0"/>
        <w:numPr>
          <w:ilvl w:val="0"/>
          <w:numId w:val="24"/>
        </w:numPr>
        <w:kinsoku/>
        <w:wordWrap/>
        <w:overflowPunct/>
        <w:topLinePunct w:val="0"/>
        <w:autoSpaceDE/>
        <w:autoSpaceDN/>
        <w:bidi w:val="0"/>
        <w:adjustRightInd/>
        <w:snapToGrid w:val="0"/>
        <w:spacing w:before="50" w:after="165" w:afterLines="50" w:line="400" w:lineRule="exact"/>
        <w:ind w:firstLineChars="0"/>
        <w:jc w:val="left"/>
        <w:textAlignment w:val="auto"/>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请根据自己的真实情况出具《中小企业声明函》。依法享受中小企业优惠政策的，采购人或者采购代理机构在公告中标结果时，同时公告其《中小企业声明函》，接受社会监督。</w:t>
      </w:r>
    </w:p>
    <w:p w14:paraId="21A0AFBE">
      <w:pPr>
        <w:pStyle w:val="101"/>
        <w:keepNext w:val="0"/>
        <w:keepLines w:val="0"/>
        <w:pageBreakBefore w:val="0"/>
        <w:widowControl w:val="0"/>
        <w:numPr>
          <w:ilvl w:val="0"/>
          <w:numId w:val="24"/>
        </w:numPr>
        <w:kinsoku/>
        <w:wordWrap/>
        <w:overflowPunct/>
        <w:topLinePunct w:val="0"/>
        <w:autoSpaceDE/>
        <w:autoSpaceDN/>
        <w:bidi w:val="0"/>
        <w:adjustRightInd/>
        <w:snapToGrid w:val="0"/>
        <w:spacing w:before="50" w:after="165" w:afterLines="50" w:line="400" w:lineRule="exact"/>
        <w:ind w:firstLineChars="0"/>
        <w:jc w:val="left"/>
        <w:textAlignment w:val="auto"/>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小型、微型企业提供中型企业提供的货物的，视同为中型企业。</w:t>
      </w:r>
    </w:p>
    <w:p w14:paraId="4C06285C">
      <w:pPr>
        <w:pageBreakBefore w:val="0"/>
        <w:widowControl/>
        <w:wordWrap/>
        <w:topLinePunct w:val="0"/>
        <w:bidi w:val="0"/>
        <w:spacing w:line="560" w:lineRule="exact"/>
        <w:jc w:val="left"/>
        <w:rPr>
          <w:rFonts w:ascii="仿宋" w:hAnsi="仿宋" w:eastAsia="仿宋" w:cs="仿宋_GB2312"/>
          <w:b/>
          <w:color w:val="000000" w:themeColor="text1"/>
          <w:sz w:val="30"/>
          <w:szCs w:val="30"/>
          <w:highlight w:val="none"/>
          <w14:textFill>
            <w14:solidFill>
              <w14:schemeClr w14:val="tx1"/>
            </w14:solidFill>
          </w14:textFill>
        </w:rPr>
      </w:pPr>
      <w:r>
        <w:rPr>
          <w:rFonts w:ascii="仿宋" w:hAnsi="仿宋" w:eastAsia="仿宋" w:cs="仿宋_GB2312"/>
          <w:b/>
          <w:color w:val="000000" w:themeColor="text1"/>
          <w:sz w:val="30"/>
          <w:szCs w:val="30"/>
          <w:highlight w:val="none"/>
          <w14:textFill>
            <w14:solidFill>
              <w14:schemeClr w14:val="tx1"/>
            </w14:solidFill>
          </w14:textFill>
        </w:rPr>
        <w:br w:type="page"/>
      </w:r>
      <w:r>
        <w:rPr>
          <w:rFonts w:hint="eastAsia" w:ascii="微软雅黑" w:hAnsi="微软雅黑" w:eastAsia="微软雅黑" w:cs="微软雅黑"/>
          <w:color w:val="000000" w:themeColor="text1"/>
          <w:sz w:val="32"/>
          <w:szCs w:val="32"/>
          <w:highlight w:val="none"/>
          <w14:textFill>
            <w14:solidFill>
              <w14:schemeClr w14:val="tx1"/>
            </w14:solidFill>
          </w14:textFill>
        </w:rPr>
        <w:t>附件</w:t>
      </w:r>
      <w:r>
        <w:rPr>
          <w:rFonts w:hint="eastAsia" w:ascii="Arial Unicode MS" w:hAnsi="Arial Unicode MS" w:eastAsia="Arial Unicode MS" w:cs="Arial Unicode MS"/>
          <w:color w:val="000000" w:themeColor="text1"/>
          <w:sz w:val="32"/>
          <w:szCs w:val="32"/>
          <w:highlight w:val="none"/>
          <w14:textFill>
            <w14:solidFill>
              <w14:schemeClr w14:val="tx1"/>
            </w14:solidFill>
          </w14:textFill>
        </w:rPr>
        <w:t>1</w:t>
      </w:r>
      <w:r>
        <w:rPr>
          <w:rFonts w:hint="eastAsia" w:ascii="微软雅黑" w:hAnsi="微软雅黑" w:eastAsia="微软雅黑" w:cs="微软雅黑"/>
          <w:color w:val="000000" w:themeColor="text1"/>
          <w:sz w:val="32"/>
          <w:szCs w:val="32"/>
          <w:highlight w:val="none"/>
          <w14:textFill>
            <w14:solidFill>
              <w14:schemeClr w14:val="tx1"/>
            </w14:solidFill>
          </w14:textFill>
        </w:rPr>
        <w:t>：</w:t>
      </w:r>
    </w:p>
    <w:p w14:paraId="1D10C5B5">
      <w:pPr>
        <w:pageBreakBefore w:val="0"/>
        <w:wordWrap/>
        <w:topLinePunct w:val="0"/>
        <w:bidi w:val="0"/>
        <w:spacing w:line="560" w:lineRule="exact"/>
        <w:jc w:val="center"/>
        <w:rPr>
          <w:rFonts w:ascii="Arial Unicode MS" w:hAnsi="Arial Unicode MS" w:eastAsia="Arial Unicode MS" w:cs="Arial Unicode MS"/>
          <w:color w:val="000000" w:themeColor="text1"/>
          <w:sz w:val="40"/>
          <w:szCs w:val="40"/>
          <w:highlight w:val="none"/>
          <w14:textFill>
            <w14:solidFill>
              <w14:schemeClr w14:val="tx1"/>
            </w14:solidFill>
          </w14:textFill>
        </w:rPr>
      </w:pPr>
      <w:r>
        <w:rPr>
          <w:rFonts w:hint="eastAsia" w:ascii="微软雅黑" w:hAnsi="微软雅黑" w:eastAsia="微软雅黑" w:cs="微软雅黑"/>
          <w:color w:val="000000" w:themeColor="text1"/>
          <w:sz w:val="40"/>
          <w:szCs w:val="40"/>
          <w:highlight w:val="none"/>
          <w14:textFill>
            <w14:solidFill>
              <w14:schemeClr w14:val="tx1"/>
            </w14:solidFill>
          </w14:textFill>
        </w:rPr>
        <w:t>中小微企业划型标准</w:t>
      </w:r>
    </w:p>
    <w:tbl>
      <w:tblPr>
        <w:tblStyle w:val="34"/>
        <w:tblW w:w="9198" w:type="dxa"/>
        <w:tblInd w:w="250" w:type="dxa"/>
        <w:tblLayout w:type="fixed"/>
        <w:tblCellMar>
          <w:top w:w="0" w:type="dxa"/>
          <w:left w:w="108" w:type="dxa"/>
          <w:bottom w:w="0" w:type="dxa"/>
          <w:right w:w="108" w:type="dxa"/>
        </w:tblCellMar>
      </w:tblPr>
      <w:tblGrid>
        <w:gridCol w:w="1960"/>
        <w:gridCol w:w="1797"/>
        <w:gridCol w:w="849"/>
        <w:gridCol w:w="1867"/>
        <w:gridCol w:w="1659"/>
        <w:gridCol w:w="1066"/>
      </w:tblGrid>
      <w:tr w14:paraId="78F62644">
        <w:tblPrEx>
          <w:tblCellMar>
            <w:top w:w="0" w:type="dxa"/>
            <w:left w:w="108" w:type="dxa"/>
            <w:bottom w:w="0" w:type="dxa"/>
            <w:right w:w="108" w:type="dxa"/>
          </w:tblCellMar>
        </w:tblPrEx>
        <w:trPr>
          <w:trHeight w:val="702" w:hRule="atLeast"/>
        </w:trPr>
        <w:tc>
          <w:tcPr>
            <w:tcW w:w="1960" w:type="dxa"/>
            <w:tcBorders>
              <w:top w:val="single" w:color="auto" w:sz="4" w:space="0"/>
              <w:left w:val="single" w:color="auto" w:sz="4" w:space="0"/>
              <w:bottom w:val="single" w:color="auto" w:sz="4" w:space="0"/>
              <w:right w:val="single" w:color="auto" w:sz="4" w:space="0"/>
            </w:tcBorders>
            <w:vAlign w:val="center"/>
          </w:tcPr>
          <w:p w14:paraId="547870E9">
            <w:pPr>
              <w:pageBreakBefore w:val="0"/>
              <w:widowControl/>
              <w:wordWrap/>
              <w:topLinePunct w:val="0"/>
              <w:bidi w:val="0"/>
              <w:spacing w:line="560" w:lineRule="exact"/>
              <w:jc w:val="left"/>
              <w:rPr>
                <w:rFonts w:ascii="仿宋_GB2312" w:hAnsi="仿宋" w:eastAsia="仿宋_GB2312" w:cs="宋体"/>
                <w:b/>
                <w:color w:val="000000" w:themeColor="text1"/>
                <w:kern w:val="0"/>
                <w:sz w:val="24"/>
                <w:highlight w:val="none"/>
                <w14:textFill>
                  <w14:solidFill>
                    <w14:schemeClr w14:val="tx1"/>
                  </w14:solidFill>
                </w14:textFill>
              </w:rPr>
            </w:pPr>
            <w:r>
              <w:rPr>
                <w:rFonts w:hint="eastAsia" w:ascii="仿宋_GB2312" w:hAnsi="仿宋" w:eastAsia="仿宋_GB2312" w:cs="宋体"/>
                <w:b/>
                <w:color w:val="000000" w:themeColor="text1"/>
                <w:kern w:val="0"/>
                <w:sz w:val="24"/>
                <w:highlight w:val="none"/>
                <w14:textFill>
                  <w14:solidFill>
                    <w14:schemeClr w14:val="tx1"/>
                  </w14:solidFill>
                </w14:textFill>
              </w:rPr>
              <w:t>行业名称</w:t>
            </w:r>
          </w:p>
        </w:tc>
        <w:tc>
          <w:tcPr>
            <w:tcW w:w="1797" w:type="dxa"/>
            <w:tcBorders>
              <w:top w:val="single" w:color="auto" w:sz="4" w:space="0"/>
              <w:left w:val="nil"/>
              <w:bottom w:val="single" w:color="auto" w:sz="4" w:space="0"/>
              <w:right w:val="single" w:color="auto" w:sz="4" w:space="0"/>
            </w:tcBorders>
            <w:vAlign w:val="center"/>
          </w:tcPr>
          <w:p w14:paraId="03DBD2E3">
            <w:pPr>
              <w:pageBreakBefore w:val="0"/>
              <w:widowControl/>
              <w:wordWrap/>
              <w:topLinePunct w:val="0"/>
              <w:bidi w:val="0"/>
              <w:spacing w:line="560" w:lineRule="exact"/>
              <w:jc w:val="left"/>
              <w:rPr>
                <w:rFonts w:ascii="仿宋_GB2312" w:hAnsi="仿宋" w:eastAsia="仿宋_GB2312" w:cs="宋体"/>
                <w:b/>
                <w:color w:val="000000" w:themeColor="text1"/>
                <w:kern w:val="0"/>
                <w:sz w:val="24"/>
                <w:highlight w:val="none"/>
                <w14:textFill>
                  <w14:solidFill>
                    <w14:schemeClr w14:val="tx1"/>
                  </w14:solidFill>
                </w14:textFill>
              </w:rPr>
            </w:pPr>
            <w:r>
              <w:rPr>
                <w:rFonts w:hint="eastAsia" w:ascii="仿宋_GB2312" w:hAnsi="仿宋" w:eastAsia="仿宋_GB2312" w:cs="宋体"/>
                <w:b/>
                <w:color w:val="000000" w:themeColor="text1"/>
                <w:kern w:val="0"/>
                <w:sz w:val="24"/>
                <w:highlight w:val="none"/>
                <w14:textFill>
                  <w14:solidFill>
                    <w14:schemeClr w14:val="tx1"/>
                  </w14:solidFill>
                </w14:textFill>
              </w:rPr>
              <w:t>指标名称</w:t>
            </w:r>
          </w:p>
        </w:tc>
        <w:tc>
          <w:tcPr>
            <w:tcW w:w="849" w:type="dxa"/>
            <w:tcBorders>
              <w:top w:val="single" w:color="auto" w:sz="4" w:space="0"/>
              <w:left w:val="nil"/>
              <w:bottom w:val="single" w:color="auto" w:sz="4" w:space="0"/>
              <w:right w:val="single" w:color="auto" w:sz="4" w:space="0"/>
            </w:tcBorders>
            <w:vAlign w:val="center"/>
          </w:tcPr>
          <w:p w14:paraId="596B5A15">
            <w:pPr>
              <w:pageBreakBefore w:val="0"/>
              <w:widowControl/>
              <w:wordWrap/>
              <w:topLinePunct w:val="0"/>
              <w:bidi w:val="0"/>
              <w:spacing w:line="560" w:lineRule="exact"/>
              <w:jc w:val="left"/>
              <w:rPr>
                <w:rFonts w:ascii="仿宋_GB2312" w:hAnsi="仿宋" w:eastAsia="仿宋_GB2312" w:cs="宋体"/>
                <w:b/>
                <w:color w:val="000000" w:themeColor="text1"/>
                <w:kern w:val="0"/>
                <w:sz w:val="24"/>
                <w:highlight w:val="none"/>
                <w14:textFill>
                  <w14:solidFill>
                    <w14:schemeClr w14:val="tx1"/>
                  </w14:solidFill>
                </w14:textFill>
              </w:rPr>
            </w:pPr>
            <w:r>
              <w:rPr>
                <w:rFonts w:hint="eastAsia" w:ascii="仿宋_GB2312" w:hAnsi="仿宋" w:eastAsia="仿宋_GB2312" w:cs="宋体"/>
                <w:b/>
                <w:color w:val="000000" w:themeColor="text1"/>
                <w:kern w:val="0"/>
                <w:sz w:val="24"/>
                <w:highlight w:val="none"/>
                <w14:textFill>
                  <w14:solidFill>
                    <w14:schemeClr w14:val="tx1"/>
                  </w14:solidFill>
                </w14:textFill>
              </w:rPr>
              <w:t>计量单位</w:t>
            </w:r>
          </w:p>
        </w:tc>
        <w:tc>
          <w:tcPr>
            <w:tcW w:w="1867" w:type="dxa"/>
            <w:tcBorders>
              <w:top w:val="single" w:color="auto" w:sz="4" w:space="0"/>
              <w:left w:val="nil"/>
              <w:bottom w:val="single" w:color="auto" w:sz="4" w:space="0"/>
              <w:right w:val="single" w:color="auto" w:sz="4" w:space="0"/>
            </w:tcBorders>
            <w:vAlign w:val="center"/>
          </w:tcPr>
          <w:p w14:paraId="22155704">
            <w:pPr>
              <w:pageBreakBefore w:val="0"/>
              <w:widowControl/>
              <w:wordWrap/>
              <w:topLinePunct w:val="0"/>
              <w:bidi w:val="0"/>
              <w:spacing w:line="560" w:lineRule="exact"/>
              <w:jc w:val="left"/>
              <w:rPr>
                <w:rFonts w:ascii="仿宋_GB2312" w:hAnsi="仿宋" w:eastAsia="仿宋_GB2312" w:cs="宋体"/>
                <w:b/>
                <w:color w:val="000000" w:themeColor="text1"/>
                <w:kern w:val="0"/>
                <w:sz w:val="24"/>
                <w:highlight w:val="none"/>
                <w14:textFill>
                  <w14:solidFill>
                    <w14:schemeClr w14:val="tx1"/>
                  </w14:solidFill>
                </w14:textFill>
              </w:rPr>
            </w:pPr>
            <w:r>
              <w:rPr>
                <w:rFonts w:hint="eastAsia" w:ascii="仿宋_GB2312" w:hAnsi="仿宋" w:eastAsia="仿宋_GB2312" w:cs="宋体"/>
                <w:b/>
                <w:color w:val="000000" w:themeColor="text1"/>
                <w:kern w:val="0"/>
                <w:sz w:val="24"/>
                <w:highlight w:val="none"/>
                <w14:textFill>
                  <w14:solidFill>
                    <w14:schemeClr w14:val="tx1"/>
                  </w14:solidFill>
                </w14:textFill>
              </w:rPr>
              <w:t>中型</w:t>
            </w:r>
          </w:p>
        </w:tc>
        <w:tc>
          <w:tcPr>
            <w:tcW w:w="1659" w:type="dxa"/>
            <w:tcBorders>
              <w:top w:val="single" w:color="auto" w:sz="4" w:space="0"/>
              <w:left w:val="nil"/>
              <w:bottom w:val="single" w:color="auto" w:sz="4" w:space="0"/>
              <w:right w:val="single" w:color="auto" w:sz="4" w:space="0"/>
            </w:tcBorders>
            <w:vAlign w:val="center"/>
          </w:tcPr>
          <w:p w14:paraId="6A0E8FE7">
            <w:pPr>
              <w:pageBreakBefore w:val="0"/>
              <w:widowControl/>
              <w:wordWrap/>
              <w:topLinePunct w:val="0"/>
              <w:bidi w:val="0"/>
              <w:spacing w:line="560" w:lineRule="exact"/>
              <w:jc w:val="left"/>
              <w:rPr>
                <w:rFonts w:ascii="仿宋_GB2312" w:hAnsi="仿宋" w:eastAsia="仿宋_GB2312" w:cs="宋体"/>
                <w:b/>
                <w:color w:val="000000" w:themeColor="text1"/>
                <w:kern w:val="0"/>
                <w:sz w:val="24"/>
                <w:highlight w:val="none"/>
                <w14:textFill>
                  <w14:solidFill>
                    <w14:schemeClr w14:val="tx1"/>
                  </w14:solidFill>
                </w14:textFill>
              </w:rPr>
            </w:pPr>
            <w:r>
              <w:rPr>
                <w:rFonts w:hint="eastAsia" w:ascii="仿宋_GB2312" w:hAnsi="仿宋" w:eastAsia="仿宋_GB2312" w:cs="宋体"/>
                <w:b/>
                <w:color w:val="000000" w:themeColor="text1"/>
                <w:kern w:val="0"/>
                <w:sz w:val="24"/>
                <w:highlight w:val="none"/>
                <w14:textFill>
                  <w14:solidFill>
                    <w14:schemeClr w14:val="tx1"/>
                  </w14:solidFill>
                </w14:textFill>
              </w:rPr>
              <w:t>小型</w:t>
            </w:r>
          </w:p>
        </w:tc>
        <w:tc>
          <w:tcPr>
            <w:tcW w:w="1066" w:type="dxa"/>
            <w:tcBorders>
              <w:top w:val="single" w:color="auto" w:sz="4" w:space="0"/>
              <w:left w:val="nil"/>
              <w:bottom w:val="single" w:color="auto" w:sz="4" w:space="0"/>
              <w:right w:val="single" w:color="auto" w:sz="4" w:space="0"/>
            </w:tcBorders>
            <w:vAlign w:val="center"/>
          </w:tcPr>
          <w:p w14:paraId="1275CE99">
            <w:pPr>
              <w:pageBreakBefore w:val="0"/>
              <w:widowControl/>
              <w:wordWrap/>
              <w:topLinePunct w:val="0"/>
              <w:bidi w:val="0"/>
              <w:spacing w:line="560" w:lineRule="exact"/>
              <w:jc w:val="left"/>
              <w:rPr>
                <w:rFonts w:ascii="仿宋_GB2312" w:hAnsi="仿宋" w:eastAsia="仿宋_GB2312" w:cs="宋体"/>
                <w:b/>
                <w:color w:val="000000" w:themeColor="text1"/>
                <w:kern w:val="0"/>
                <w:sz w:val="24"/>
                <w:highlight w:val="none"/>
                <w14:textFill>
                  <w14:solidFill>
                    <w14:schemeClr w14:val="tx1"/>
                  </w14:solidFill>
                </w14:textFill>
              </w:rPr>
            </w:pPr>
            <w:r>
              <w:rPr>
                <w:rFonts w:hint="eastAsia" w:ascii="仿宋_GB2312" w:hAnsi="仿宋" w:eastAsia="仿宋_GB2312" w:cs="宋体"/>
                <w:b/>
                <w:color w:val="000000" w:themeColor="text1"/>
                <w:kern w:val="0"/>
                <w:sz w:val="24"/>
                <w:highlight w:val="none"/>
                <w14:textFill>
                  <w14:solidFill>
                    <w14:schemeClr w14:val="tx1"/>
                  </w14:solidFill>
                </w14:textFill>
              </w:rPr>
              <w:t>微型</w:t>
            </w:r>
          </w:p>
        </w:tc>
      </w:tr>
      <w:tr w14:paraId="3BABE3C9">
        <w:tblPrEx>
          <w:tblCellMar>
            <w:top w:w="0" w:type="dxa"/>
            <w:left w:w="108" w:type="dxa"/>
            <w:bottom w:w="0" w:type="dxa"/>
            <w:right w:w="108" w:type="dxa"/>
          </w:tblCellMar>
        </w:tblPrEx>
        <w:trPr>
          <w:trHeight w:val="356" w:hRule="atLeast"/>
        </w:trPr>
        <w:tc>
          <w:tcPr>
            <w:tcW w:w="1960" w:type="dxa"/>
            <w:tcBorders>
              <w:top w:val="nil"/>
              <w:left w:val="single" w:color="auto" w:sz="4" w:space="0"/>
              <w:bottom w:val="single" w:color="auto" w:sz="4" w:space="0"/>
              <w:right w:val="single" w:color="auto" w:sz="4" w:space="0"/>
            </w:tcBorders>
            <w:vAlign w:val="bottom"/>
          </w:tcPr>
          <w:p w14:paraId="76DCCD01">
            <w:pPr>
              <w:pageBreakBefore w:val="0"/>
              <w:widowControl/>
              <w:wordWrap/>
              <w:topLinePunct w:val="0"/>
              <w:bidi w:val="0"/>
              <w:spacing w:line="560" w:lineRule="exact"/>
              <w:jc w:val="center"/>
              <w:rPr>
                <w:rFonts w:ascii="仿宋_GB2312" w:hAnsi="仿宋" w:eastAsia="仿宋_GB2312" w:cs="宋体"/>
                <w:b/>
                <w:bCs/>
                <w:color w:val="000000" w:themeColor="text1"/>
                <w:kern w:val="0"/>
                <w:sz w:val="20"/>
                <w:szCs w:val="20"/>
                <w:highlight w:val="none"/>
                <w14:textFill>
                  <w14:solidFill>
                    <w14:schemeClr w14:val="tx1"/>
                  </w14:solidFill>
                </w14:textFill>
              </w:rPr>
            </w:pPr>
            <w:r>
              <w:rPr>
                <w:rFonts w:hint="eastAsia" w:ascii="仿宋_GB2312" w:hAnsi="仿宋" w:eastAsia="仿宋_GB2312" w:cs="宋体"/>
                <w:b/>
                <w:bCs/>
                <w:color w:val="000000" w:themeColor="text1"/>
                <w:kern w:val="0"/>
                <w:sz w:val="20"/>
                <w:szCs w:val="20"/>
                <w:highlight w:val="none"/>
                <w14:textFill>
                  <w14:solidFill>
                    <w14:schemeClr w14:val="tx1"/>
                  </w14:solidFill>
                </w14:textFill>
              </w:rPr>
              <w:t>农、林、牧、渔</w:t>
            </w:r>
          </w:p>
        </w:tc>
        <w:tc>
          <w:tcPr>
            <w:tcW w:w="1797" w:type="dxa"/>
            <w:tcBorders>
              <w:top w:val="nil"/>
              <w:left w:val="nil"/>
              <w:bottom w:val="single" w:color="auto" w:sz="4" w:space="0"/>
              <w:right w:val="single" w:color="auto" w:sz="4" w:space="0"/>
            </w:tcBorders>
            <w:vAlign w:val="center"/>
          </w:tcPr>
          <w:p w14:paraId="7DDA739E">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营业收入（Y）</w:t>
            </w:r>
          </w:p>
        </w:tc>
        <w:tc>
          <w:tcPr>
            <w:tcW w:w="849" w:type="dxa"/>
            <w:tcBorders>
              <w:top w:val="nil"/>
              <w:left w:val="nil"/>
              <w:bottom w:val="single" w:color="auto" w:sz="4" w:space="0"/>
              <w:right w:val="single" w:color="auto" w:sz="4" w:space="0"/>
            </w:tcBorders>
            <w:vAlign w:val="center"/>
          </w:tcPr>
          <w:p w14:paraId="14EB0395">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万元</w:t>
            </w:r>
          </w:p>
        </w:tc>
        <w:tc>
          <w:tcPr>
            <w:tcW w:w="1867" w:type="dxa"/>
            <w:tcBorders>
              <w:top w:val="nil"/>
              <w:left w:val="nil"/>
              <w:bottom w:val="single" w:color="auto" w:sz="4" w:space="0"/>
              <w:right w:val="single" w:color="auto" w:sz="4" w:space="0"/>
            </w:tcBorders>
            <w:vAlign w:val="center"/>
          </w:tcPr>
          <w:p w14:paraId="2E6B3CFC">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500≤Y＜20000</w:t>
            </w:r>
          </w:p>
        </w:tc>
        <w:tc>
          <w:tcPr>
            <w:tcW w:w="1659" w:type="dxa"/>
            <w:tcBorders>
              <w:top w:val="nil"/>
              <w:left w:val="nil"/>
              <w:bottom w:val="single" w:color="auto" w:sz="4" w:space="0"/>
              <w:right w:val="single" w:color="auto" w:sz="4" w:space="0"/>
            </w:tcBorders>
            <w:vAlign w:val="center"/>
          </w:tcPr>
          <w:p w14:paraId="1E900129">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50≤Y＜500</w:t>
            </w:r>
          </w:p>
        </w:tc>
        <w:tc>
          <w:tcPr>
            <w:tcW w:w="1066" w:type="dxa"/>
            <w:tcBorders>
              <w:top w:val="nil"/>
              <w:left w:val="nil"/>
              <w:bottom w:val="single" w:color="auto" w:sz="4" w:space="0"/>
              <w:right w:val="single" w:color="auto" w:sz="4" w:space="0"/>
            </w:tcBorders>
            <w:vAlign w:val="center"/>
          </w:tcPr>
          <w:p w14:paraId="39591212">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Y＜50</w:t>
            </w:r>
          </w:p>
        </w:tc>
      </w:tr>
      <w:tr w14:paraId="2A1B9F24">
        <w:tblPrEx>
          <w:tblCellMar>
            <w:top w:w="0" w:type="dxa"/>
            <w:left w:w="108" w:type="dxa"/>
            <w:bottom w:w="0" w:type="dxa"/>
            <w:right w:w="108" w:type="dxa"/>
          </w:tblCellMar>
        </w:tblPrEx>
        <w:trPr>
          <w:trHeight w:val="356" w:hRule="atLeast"/>
        </w:trPr>
        <w:tc>
          <w:tcPr>
            <w:tcW w:w="1960" w:type="dxa"/>
            <w:vMerge w:val="restart"/>
            <w:tcBorders>
              <w:top w:val="nil"/>
              <w:left w:val="single" w:color="auto" w:sz="4" w:space="0"/>
              <w:bottom w:val="single" w:color="auto" w:sz="4" w:space="0"/>
              <w:right w:val="single" w:color="auto" w:sz="4" w:space="0"/>
            </w:tcBorders>
            <w:vAlign w:val="bottom"/>
          </w:tcPr>
          <w:p w14:paraId="6257D35D">
            <w:pPr>
              <w:pageBreakBefore w:val="0"/>
              <w:widowControl/>
              <w:wordWrap/>
              <w:topLinePunct w:val="0"/>
              <w:bidi w:val="0"/>
              <w:spacing w:line="560" w:lineRule="exact"/>
              <w:jc w:val="center"/>
              <w:rPr>
                <w:rFonts w:ascii="仿宋_GB2312" w:hAnsi="仿宋" w:eastAsia="仿宋_GB2312" w:cs="宋体"/>
                <w:b/>
                <w:bCs/>
                <w:color w:val="000000" w:themeColor="text1"/>
                <w:kern w:val="0"/>
                <w:sz w:val="20"/>
                <w:szCs w:val="20"/>
                <w:highlight w:val="none"/>
                <w14:textFill>
                  <w14:solidFill>
                    <w14:schemeClr w14:val="tx1"/>
                  </w14:solidFill>
                </w14:textFill>
              </w:rPr>
            </w:pPr>
            <w:r>
              <w:rPr>
                <w:rFonts w:hint="eastAsia" w:ascii="仿宋_GB2312" w:hAnsi="仿宋" w:eastAsia="仿宋_GB2312" w:cs="宋体"/>
                <w:b/>
                <w:bCs/>
                <w:color w:val="000000" w:themeColor="text1"/>
                <w:kern w:val="0"/>
                <w:sz w:val="20"/>
                <w:szCs w:val="20"/>
                <w:highlight w:val="none"/>
                <w14:textFill>
                  <w14:solidFill>
                    <w14:schemeClr w14:val="tx1"/>
                  </w14:solidFill>
                </w14:textFill>
              </w:rPr>
              <w:t>工业</w:t>
            </w:r>
          </w:p>
        </w:tc>
        <w:tc>
          <w:tcPr>
            <w:tcW w:w="1797" w:type="dxa"/>
            <w:tcBorders>
              <w:top w:val="nil"/>
              <w:left w:val="nil"/>
              <w:bottom w:val="single" w:color="auto" w:sz="4" w:space="0"/>
              <w:right w:val="single" w:color="auto" w:sz="4" w:space="0"/>
            </w:tcBorders>
            <w:vAlign w:val="center"/>
          </w:tcPr>
          <w:p w14:paraId="443E3216">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从业人员（X）</w:t>
            </w:r>
          </w:p>
        </w:tc>
        <w:tc>
          <w:tcPr>
            <w:tcW w:w="849" w:type="dxa"/>
            <w:tcBorders>
              <w:top w:val="nil"/>
              <w:left w:val="nil"/>
              <w:bottom w:val="single" w:color="auto" w:sz="4" w:space="0"/>
              <w:right w:val="single" w:color="auto" w:sz="4" w:space="0"/>
            </w:tcBorders>
            <w:vAlign w:val="center"/>
          </w:tcPr>
          <w:p w14:paraId="4C2D3AFA">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人</w:t>
            </w:r>
          </w:p>
        </w:tc>
        <w:tc>
          <w:tcPr>
            <w:tcW w:w="1867" w:type="dxa"/>
            <w:tcBorders>
              <w:top w:val="nil"/>
              <w:left w:val="nil"/>
              <w:bottom w:val="single" w:color="auto" w:sz="4" w:space="0"/>
              <w:right w:val="single" w:color="auto" w:sz="4" w:space="0"/>
            </w:tcBorders>
            <w:vAlign w:val="center"/>
          </w:tcPr>
          <w:p w14:paraId="773C13AE">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300≤X＜1000</w:t>
            </w:r>
          </w:p>
        </w:tc>
        <w:tc>
          <w:tcPr>
            <w:tcW w:w="1659" w:type="dxa"/>
            <w:tcBorders>
              <w:top w:val="nil"/>
              <w:left w:val="nil"/>
              <w:bottom w:val="single" w:color="auto" w:sz="4" w:space="0"/>
              <w:right w:val="single" w:color="auto" w:sz="4" w:space="0"/>
            </w:tcBorders>
            <w:vAlign w:val="center"/>
          </w:tcPr>
          <w:p w14:paraId="1F1FD602">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20≤X＜300</w:t>
            </w:r>
          </w:p>
        </w:tc>
        <w:tc>
          <w:tcPr>
            <w:tcW w:w="1066" w:type="dxa"/>
            <w:tcBorders>
              <w:top w:val="nil"/>
              <w:left w:val="nil"/>
              <w:bottom w:val="single" w:color="auto" w:sz="4" w:space="0"/>
              <w:right w:val="single" w:color="auto" w:sz="4" w:space="0"/>
            </w:tcBorders>
            <w:vAlign w:val="center"/>
          </w:tcPr>
          <w:p w14:paraId="2A6B68D0">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X＜20</w:t>
            </w:r>
          </w:p>
        </w:tc>
      </w:tr>
      <w:tr w14:paraId="37FD7AC5">
        <w:tblPrEx>
          <w:tblCellMar>
            <w:top w:w="0" w:type="dxa"/>
            <w:left w:w="108" w:type="dxa"/>
            <w:bottom w:w="0" w:type="dxa"/>
            <w:right w:w="108" w:type="dxa"/>
          </w:tblCellMar>
        </w:tblPrEx>
        <w:trPr>
          <w:trHeight w:val="356" w:hRule="atLeast"/>
        </w:trPr>
        <w:tc>
          <w:tcPr>
            <w:tcW w:w="1960" w:type="dxa"/>
            <w:vMerge w:val="continue"/>
            <w:tcBorders>
              <w:top w:val="nil"/>
              <w:left w:val="single" w:color="auto" w:sz="4" w:space="0"/>
              <w:bottom w:val="single" w:color="auto" w:sz="4" w:space="0"/>
              <w:right w:val="single" w:color="auto" w:sz="4" w:space="0"/>
            </w:tcBorders>
            <w:vAlign w:val="center"/>
          </w:tcPr>
          <w:p w14:paraId="49F3A349">
            <w:pPr>
              <w:pageBreakBefore w:val="0"/>
              <w:widowControl/>
              <w:wordWrap/>
              <w:topLinePunct w:val="0"/>
              <w:bidi w:val="0"/>
              <w:spacing w:line="560" w:lineRule="exact"/>
              <w:jc w:val="left"/>
              <w:rPr>
                <w:rFonts w:ascii="仿宋_GB2312" w:hAnsi="仿宋" w:eastAsia="仿宋_GB2312" w:cs="宋体"/>
                <w:b/>
                <w:bCs/>
                <w:color w:val="000000" w:themeColor="text1"/>
                <w:kern w:val="0"/>
                <w:sz w:val="20"/>
                <w:szCs w:val="20"/>
                <w:highlight w:val="none"/>
                <w14:textFill>
                  <w14:solidFill>
                    <w14:schemeClr w14:val="tx1"/>
                  </w14:solidFill>
                </w14:textFill>
              </w:rPr>
            </w:pPr>
          </w:p>
        </w:tc>
        <w:tc>
          <w:tcPr>
            <w:tcW w:w="1797" w:type="dxa"/>
            <w:tcBorders>
              <w:top w:val="nil"/>
              <w:left w:val="nil"/>
              <w:bottom w:val="single" w:color="auto" w:sz="4" w:space="0"/>
              <w:right w:val="single" w:color="auto" w:sz="4" w:space="0"/>
            </w:tcBorders>
            <w:vAlign w:val="center"/>
          </w:tcPr>
          <w:p w14:paraId="6D8B9EC1">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营业收入（Y）</w:t>
            </w:r>
          </w:p>
        </w:tc>
        <w:tc>
          <w:tcPr>
            <w:tcW w:w="849" w:type="dxa"/>
            <w:tcBorders>
              <w:top w:val="nil"/>
              <w:left w:val="nil"/>
              <w:bottom w:val="single" w:color="auto" w:sz="4" w:space="0"/>
              <w:right w:val="single" w:color="auto" w:sz="4" w:space="0"/>
            </w:tcBorders>
            <w:vAlign w:val="center"/>
          </w:tcPr>
          <w:p w14:paraId="4F63E139">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万元</w:t>
            </w:r>
          </w:p>
        </w:tc>
        <w:tc>
          <w:tcPr>
            <w:tcW w:w="1867" w:type="dxa"/>
            <w:tcBorders>
              <w:top w:val="nil"/>
              <w:left w:val="nil"/>
              <w:bottom w:val="single" w:color="auto" w:sz="4" w:space="0"/>
              <w:right w:val="single" w:color="auto" w:sz="4" w:space="0"/>
            </w:tcBorders>
            <w:vAlign w:val="center"/>
          </w:tcPr>
          <w:p w14:paraId="392E1EA5">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2000≤Y＜40000</w:t>
            </w:r>
          </w:p>
        </w:tc>
        <w:tc>
          <w:tcPr>
            <w:tcW w:w="1659" w:type="dxa"/>
            <w:tcBorders>
              <w:top w:val="nil"/>
              <w:left w:val="nil"/>
              <w:bottom w:val="single" w:color="auto" w:sz="4" w:space="0"/>
              <w:right w:val="single" w:color="auto" w:sz="4" w:space="0"/>
            </w:tcBorders>
            <w:vAlign w:val="center"/>
          </w:tcPr>
          <w:p w14:paraId="1904492B">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300≤Y＜2000</w:t>
            </w:r>
          </w:p>
        </w:tc>
        <w:tc>
          <w:tcPr>
            <w:tcW w:w="1066" w:type="dxa"/>
            <w:tcBorders>
              <w:top w:val="nil"/>
              <w:left w:val="nil"/>
              <w:bottom w:val="single" w:color="auto" w:sz="4" w:space="0"/>
              <w:right w:val="single" w:color="auto" w:sz="4" w:space="0"/>
            </w:tcBorders>
            <w:vAlign w:val="center"/>
          </w:tcPr>
          <w:p w14:paraId="1EC9B7B2">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Y＜300</w:t>
            </w:r>
          </w:p>
        </w:tc>
      </w:tr>
      <w:tr w14:paraId="48E5DCF9">
        <w:tblPrEx>
          <w:tblCellMar>
            <w:top w:w="0" w:type="dxa"/>
            <w:left w:w="108" w:type="dxa"/>
            <w:bottom w:w="0" w:type="dxa"/>
            <w:right w:w="108" w:type="dxa"/>
          </w:tblCellMar>
        </w:tblPrEx>
        <w:trPr>
          <w:trHeight w:val="356" w:hRule="atLeast"/>
        </w:trPr>
        <w:tc>
          <w:tcPr>
            <w:tcW w:w="1960" w:type="dxa"/>
            <w:vMerge w:val="restart"/>
            <w:tcBorders>
              <w:top w:val="nil"/>
              <w:left w:val="single" w:color="auto" w:sz="4" w:space="0"/>
              <w:bottom w:val="single" w:color="auto" w:sz="4" w:space="0"/>
              <w:right w:val="single" w:color="auto" w:sz="4" w:space="0"/>
            </w:tcBorders>
            <w:vAlign w:val="bottom"/>
          </w:tcPr>
          <w:p w14:paraId="3DF636D5">
            <w:pPr>
              <w:pageBreakBefore w:val="0"/>
              <w:widowControl/>
              <w:wordWrap/>
              <w:topLinePunct w:val="0"/>
              <w:bidi w:val="0"/>
              <w:spacing w:line="560" w:lineRule="exact"/>
              <w:jc w:val="center"/>
              <w:rPr>
                <w:rFonts w:ascii="仿宋_GB2312" w:hAnsi="仿宋" w:eastAsia="仿宋_GB2312" w:cs="宋体"/>
                <w:b/>
                <w:bCs/>
                <w:color w:val="000000" w:themeColor="text1"/>
                <w:kern w:val="0"/>
                <w:sz w:val="20"/>
                <w:szCs w:val="20"/>
                <w:highlight w:val="none"/>
                <w14:textFill>
                  <w14:solidFill>
                    <w14:schemeClr w14:val="tx1"/>
                  </w14:solidFill>
                </w14:textFill>
              </w:rPr>
            </w:pPr>
            <w:r>
              <w:rPr>
                <w:rFonts w:hint="eastAsia" w:ascii="仿宋_GB2312" w:hAnsi="仿宋" w:eastAsia="仿宋_GB2312" w:cs="宋体"/>
                <w:b/>
                <w:bCs/>
                <w:color w:val="000000" w:themeColor="text1"/>
                <w:kern w:val="0"/>
                <w:sz w:val="20"/>
                <w:szCs w:val="20"/>
                <w:highlight w:val="none"/>
                <w14:textFill>
                  <w14:solidFill>
                    <w14:schemeClr w14:val="tx1"/>
                  </w14:solidFill>
                </w14:textFill>
              </w:rPr>
              <w:t>建筑业</w:t>
            </w:r>
          </w:p>
        </w:tc>
        <w:tc>
          <w:tcPr>
            <w:tcW w:w="1797" w:type="dxa"/>
            <w:tcBorders>
              <w:top w:val="nil"/>
              <w:left w:val="nil"/>
              <w:bottom w:val="single" w:color="auto" w:sz="4" w:space="0"/>
              <w:right w:val="single" w:color="auto" w:sz="4" w:space="0"/>
            </w:tcBorders>
            <w:vAlign w:val="center"/>
          </w:tcPr>
          <w:p w14:paraId="5EB226A2">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营业收入（Y）</w:t>
            </w:r>
          </w:p>
        </w:tc>
        <w:tc>
          <w:tcPr>
            <w:tcW w:w="849" w:type="dxa"/>
            <w:tcBorders>
              <w:top w:val="nil"/>
              <w:left w:val="nil"/>
              <w:bottom w:val="single" w:color="auto" w:sz="4" w:space="0"/>
              <w:right w:val="single" w:color="auto" w:sz="4" w:space="0"/>
            </w:tcBorders>
            <w:vAlign w:val="center"/>
          </w:tcPr>
          <w:p w14:paraId="6A2D4975">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万元</w:t>
            </w:r>
          </w:p>
        </w:tc>
        <w:tc>
          <w:tcPr>
            <w:tcW w:w="1867" w:type="dxa"/>
            <w:tcBorders>
              <w:top w:val="nil"/>
              <w:left w:val="nil"/>
              <w:bottom w:val="single" w:color="auto" w:sz="4" w:space="0"/>
              <w:right w:val="single" w:color="auto" w:sz="4" w:space="0"/>
            </w:tcBorders>
            <w:vAlign w:val="center"/>
          </w:tcPr>
          <w:p w14:paraId="6EB9635F">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6000≤Y＜80000</w:t>
            </w:r>
          </w:p>
        </w:tc>
        <w:tc>
          <w:tcPr>
            <w:tcW w:w="1659" w:type="dxa"/>
            <w:tcBorders>
              <w:top w:val="nil"/>
              <w:left w:val="nil"/>
              <w:bottom w:val="single" w:color="auto" w:sz="4" w:space="0"/>
              <w:right w:val="single" w:color="auto" w:sz="4" w:space="0"/>
            </w:tcBorders>
            <w:vAlign w:val="center"/>
          </w:tcPr>
          <w:p w14:paraId="05B26748">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300≤Y＜6000</w:t>
            </w:r>
          </w:p>
        </w:tc>
        <w:tc>
          <w:tcPr>
            <w:tcW w:w="1066" w:type="dxa"/>
            <w:tcBorders>
              <w:top w:val="nil"/>
              <w:left w:val="nil"/>
              <w:bottom w:val="single" w:color="auto" w:sz="4" w:space="0"/>
              <w:right w:val="single" w:color="auto" w:sz="4" w:space="0"/>
            </w:tcBorders>
            <w:vAlign w:val="center"/>
          </w:tcPr>
          <w:p w14:paraId="78DE8A5F">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Y＜300</w:t>
            </w:r>
          </w:p>
        </w:tc>
      </w:tr>
      <w:tr w14:paraId="19EB392D">
        <w:tblPrEx>
          <w:tblCellMar>
            <w:top w:w="0" w:type="dxa"/>
            <w:left w:w="108" w:type="dxa"/>
            <w:bottom w:w="0" w:type="dxa"/>
            <w:right w:w="108" w:type="dxa"/>
          </w:tblCellMar>
        </w:tblPrEx>
        <w:trPr>
          <w:trHeight w:val="356" w:hRule="atLeast"/>
        </w:trPr>
        <w:tc>
          <w:tcPr>
            <w:tcW w:w="1960" w:type="dxa"/>
            <w:vMerge w:val="continue"/>
            <w:tcBorders>
              <w:top w:val="nil"/>
              <w:left w:val="single" w:color="auto" w:sz="4" w:space="0"/>
              <w:bottom w:val="single" w:color="auto" w:sz="4" w:space="0"/>
              <w:right w:val="single" w:color="auto" w:sz="4" w:space="0"/>
            </w:tcBorders>
            <w:vAlign w:val="center"/>
          </w:tcPr>
          <w:p w14:paraId="0C76E02C">
            <w:pPr>
              <w:pageBreakBefore w:val="0"/>
              <w:widowControl/>
              <w:wordWrap/>
              <w:topLinePunct w:val="0"/>
              <w:bidi w:val="0"/>
              <w:spacing w:line="560" w:lineRule="exact"/>
              <w:jc w:val="left"/>
              <w:rPr>
                <w:rFonts w:ascii="仿宋_GB2312" w:hAnsi="仿宋" w:eastAsia="仿宋_GB2312" w:cs="宋体"/>
                <w:b/>
                <w:bCs/>
                <w:color w:val="000000" w:themeColor="text1"/>
                <w:kern w:val="0"/>
                <w:sz w:val="20"/>
                <w:szCs w:val="20"/>
                <w:highlight w:val="none"/>
                <w14:textFill>
                  <w14:solidFill>
                    <w14:schemeClr w14:val="tx1"/>
                  </w14:solidFill>
                </w14:textFill>
              </w:rPr>
            </w:pPr>
          </w:p>
        </w:tc>
        <w:tc>
          <w:tcPr>
            <w:tcW w:w="1797" w:type="dxa"/>
            <w:tcBorders>
              <w:top w:val="nil"/>
              <w:left w:val="nil"/>
              <w:bottom w:val="single" w:color="auto" w:sz="4" w:space="0"/>
              <w:right w:val="single" w:color="auto" w:sz="4" w:space="0"/>
            </w:tcBorders>
            <w:vAlign w:val="center"/>
          </w:tcPr>
          <w:p w14:paraId="693564E8">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资产总额（Z）</w:t>
            </w:r>
          </w:p>
        </w:tc>
        <w:tc>
          <w:tcPr>
            <w:tcW w:w="849" w:type="dxa"/>
            <w:tcBorders>
              <w:top w:val="nil"/>
              <w:left w:val="nil"/>
              <w:bottom w:val="single" w:color="auto" w:sz="4" w:space="0"/>
              <w:right w:val="single" w:color="auto" w:sz="4" w:space="0"/>
            </w:tcBorders>
            <w:vAlign w:val="center"/>
          </w:tcPr>
          <w:p w14:paraId="239D513F">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万元</w:t>
            </w:r>
          </w:p>
        </w:tc>
        <w:tc>
          <w:tcPr>
            <w:tcW w:w="1867" w:type="dxa"/>
            <w:tcBorders>
              <w:top w:val="nil"/>
              <w:left w:val="nil"/>
              <w:bottom w:val="single" w:color="auto" w:sz="4" w:space="0"/>
              <w:right w:val="single" w:color="auto" w:sz="4" w:space="0"/>
            </w:tcBorders>
            <w:vAlign w:val="center"/>
          </w:tcPr>
          <w:p w14:paraId="24D0F350">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5000≤Z＜80000</w:t>
            </w:r>
          </w:p>
        </w:tc>
        <w:tc>
          <w:tcPr>
            <w:tcW w:w="1659" w:type="dxa"/>
            <w:tcBorders>
              <w:top w:val="nil"/>
              <w:left w:val="nil"/>
              <w:bottom w:val="single" w:color="auto" w:sz="4" w:space="0"/>
              <w:right w:val="single" w:color="auto" w:sz="4" w:space="0"/>
            </w:tcBorders>
            <w:vAlign w:val="center"/>
          </w:tcPr>
          <w:p w14:paraId="130BFB99">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300≤Z＜5000</w:t>
            </w:r>
          </w:p>
        </w:tc>
        <w:tc>
          <w:tcPr>
            <w:tcW w:w="1066" w:type="dxa"/>
            <w:tcBorders>
              <w:top w:val="nil"/>
              <w:left w:val="nil"/>
              <w:bottom w:val="single" w:color="auto" w:sz="4" w:space="0"/>
              <w:right w:val="single" w:color="auto" w:sz="4" w:space="0"/>
            </w:tcBorders>
            <w:vAlign w:val="center"/>
          </w:tcPr>
          <w:p w14:paraId="5FA796CC">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Z＜300</w:t>
            </w:r>
          </w:p>
        </w:tc>
      </w:tr>
      <w:tr w14:paraId="0A14FB36">
        <w:tblPrEx>
          <w:tblCellMar>
            <w:top w:w="0" w:type="dxa"/>
            <w:left w:w="108" w:type="dxa"/>
            <w:bottom w:w="0" w:type="dxa"/>
            <w:right w:w="108" w:type="dxa"/>
          </w:tblCellMar>
        </w:tblPrEx>
        <w:trPr>
          <w:trHeight w:val="356" w:hRule="atLeast"/>
        </w:trPr>
        <w:tc>
          <w:tcPr>
            <w:tcW w:w="1960" w:type="dxa"/>
            <w:vMerge w:val="restart"/>
            <w:tcBorders>
              <w:top w:val="nil"/>
              <w:left w:val="single" w:color="auto" w:sz="4" w:space="0"/>
              <w:bottom w:val="single" w:color="auto" w:sz="4" w:space="0"/>
              <w:right w:val="single" w:color="auto" w:sz="4" w:space="0"/>
            </w:tcBorders>
            <w:vAlign w:val="bottom"/>
          </w:tcPr>
          <w:p w14:paraId="168809B3">
            <w:pPr>
              <w:pageBreakBefore w:val="0"/>
              <w:widowControl/>
              <w:wordWrap/>
              <w:topLinePunct w:val="0"/>
              <w:bidi w:val="0"/>
              <w:spacing w:line="560" w:lineRule="exact"/>
              <w:jc w:val="center"/>
              <w:rPr>
                <w:rFonts w:ascii="仿宋_GB2312" w:hAnsi="仿宋" w:eastAsia="仿宋_GB2312" w:cs="宋体"/>
                <w:b/>
                <w:bCs/>
                <w:color w:val="000000" w:themeColor="text1"/>
                <w:kern w:val="0"/>
                <w:sz w:val="20"/>
                <w:szCs w:val="20"/>
                <w:highlight w:val="none"/>
                <w14:textFill>
                  <w14:solidFill>
                    <w14:schemeClr w14:val="tx1"/>
                  </w14:solidFill>
                </w14:textFill>
              </w:rPr>
            </w:pPr>
            <w:r>
              <w:rPr>
                <w:rFonts w:hint="eastAsia" w:ascii="仿宋_GB2312" w:hAnsi="仿宋" w:eastAsia="仿宋_GB2312" w:cs="宋体"/>
                <w:b/>
                <w:bCs/>
                <w:color w:val="000000" w:themeColor="text1"/>
                <w:kern w:val="0"/>
                <w:sz w:val="20"/>
                <w:szCs w:val="20"/>
                <w:highlight w:val="none"/>
                <w14:textFill>
                  <w14:solidFill>
                    <w14:schemeClr w14:val="tx1"/>
                  </w14:solidFill>
                </w14:textFill>
              </w:rPr>
              <w:t>批发业</w:t>
            </w:r>
          </w:p>
        </w:tc>
        <w:tc>
          <w:tcPr>
            <w:tcW w:w="1797" w:type="dxa"/>
            <w:tcBorders>
              <w:top w:val="nil"/>
              <w:left w:val="nil"/>
              <w:bottom w:val="single" w:color="auto" w:sz="4" w:space="0"/>
              <w:right w:val="single" w:color="auto" w:sz="4" w:space="0"/>
            </w:tcBorders>
            <w:vAlign w:val="center"/>
          </w:tcPr>
          <w:p w14:paraId="20528973">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从业人员（X）</w:t>
            </w:r>
          </w:p>
        </w:tc>
        <w:tc>
          <w:tcPr>
            <w:tcW w:w="849" w:type="dxa"/>
            <w:tcBorders>
              <w:top w:val="nil"/>
              <w:left w:val="nil"/>
              <w:bottom w:val="single" w:color="auto" w:sz="4" w:space="0"/>
              <w:right w:val="single" w:color="auto" w:sz="4" w:space="0"/>
            </w:tcBorders>
            <w:vAlign w:val="center"/>
          </w:tcPr>
          <w:p w14:paraId="02110BF8">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人</w:t>
            </w:r>
          </w:p>
        </w:tc>
        <w:tc>
          <w:tcPr>
            <w:tcW w:w="1867" w:type="dxa"/>
            <w:tcBorders>
              <w:top w:val="nil"/>
              <w:left w:val="nil"/>
              <w:bottom w:val="single" w:color="auto" w:sz="4" w:space="0"/>
              <w:right w:val="single" w:color="auto" w:sz="4" w:space="0"/>
            </w:tcBorders>
            <w:vAlign w:val="center"/>
          </w:tcPr>
          <w:p w14:paraId="71ECB166">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20≤X＜200</w:t>
            </w:r>
          </w:p>
        </w:tc>
        <w:tc>
          <w:tcPr>
            <w:tcW w:w="1659" w:type="dxa"/>
            <w:tcBorders>
              <w:top w:val="nil"/>
              <w:left w:val="nil"/>
              <w:bottom w:val="single" w:color="auto" w:sz="4" w:space="0"/>
              <w:right w:val="single" w:color="auto" w:sz="4" w:space="0"/>
            </w:tcBorders>
            <w:vAlign w:val="center"/>
          </w:tcPr>
          <w:p w14:paraId="6E3EF60C">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5≤X＜20</w:t>
            </w:r>
          </w:p>
        </w:tc>
        <w:tc>
          <w:tcPr>
            <w:tcW w:w="1066" w:type="dxa"/>
            <w:tcBorders>
              <w:top w:val="nil"/>
              <w:left w:val="nil"/>
              <w:bottom w:val="single" w:color="auto" w:sz="4" w:space="0"/>
              <w:right w:val="single" w:color="auto" w:sz="4" w:space="0"/>
            </w:tcBorders>
            <w:vAlign w:val="center"/>
          </w:tcPr>
          <w:p w14:paraId="6642CBAA">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X＜5</w:t>
            </w:r>
          </w:p>
        </w:tc>
      </w:tr>
      <w:tr w14:paraId="415582A5">
        <w:tblPrEx>
          <w:tblCellMar>
            <w:top w:w="0" w:type="dxa"/>
            <w:left w:w="108" w:type="dxa"/>
            <w:bottom w:w="0" w:type="dxa"/>
            <w:right w:w="108" w:type="dxa"/>
          </w:tblCellMar>
        </w:tblPrEx>
        <w:trPr>
          <w:trHeight w:val="356" w:hRule="atLeast"/>
        </w:trPr>
        <w:tc>
          <w:tcPr>
            <w:tcW w:w="1960" w:type="dxa"/>
            <w:vMerge w:val="continue"/>
            <w:tcBorders>
              <w:top w:val="nil"/>
              <w:left w:val="single" w:color="auto" w:sz="4" w:space="0"/>
              <w:bottom w:val="single" w:color="auto" w:sz="4" w:space="0"/>
              <w:right w:val="single" w:color="auto" w:sz="4" w:space="0"/>
            </w:tcBorders>
            <w:vAlign w:val="center"/>
          </w:tcPr>
          <w:p w14:paraId="442D1462">
            <w:pPr>
              <w:pageBreakBefore w:val="0"/>
              <w:widowControl/>
              <w:wordWrap/>
              <w:topLinePunct w:val="0"/>
              <w:bidi w:val="0"/>
              <w:spacing w:line="560" w:lineRule="exact"/>
              <w:jc w:val="left"/>
              <w:rPr>
                <w:rFonts w:ascii="仿宋_GB2312" w:hAnsi="仿宋" w:eastAsia="仿宋_GB2312" w:cs="宋体"/>
                <w:b/>
                <w:bCs/>
                <w:color w:val="000000" w:themeColor="text1"/>
                <w:kern w:val="0"/>
                <w:sz w:val="20"/>
                <w:szCs w:val="20"/>
                <w:highlight w:val="none"/>
                <w14:textFill>
                  <w14:solidFill>
                    <w14:schemeClr w14:val="tx1"/>
                  </w14:solidFill>
                </w14:textFill>
              </w:rPr>
            </w:pPr>
          </w:p>
        </w:tc>
        <w:tc>
          <w:tcPr>
            <w:tcW w:w="1797" w:type="dxa"/>
            <w:tcBorders>
              <w:top w:val="nil"/>
              <w:left w:val="nil"/>
              <w:bottom w:val="single" w:color="auto" w:sz="4" w:space="0"/>
              <w:right w:val="single" w:color="auto" w:sz="4" w:space="0"/>
            </w:tcBorders>
            <w:vAlign w:val="center"/>
          </w:tcPr>
          <w:p w14:paraId="3160B216">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营业收入（Y）</w:t>
            </w:r>
          </w:p>
        </w:tc>
        <w:tc>
          <w:tcPr>
            <w:tcW w:w="849" w:type="dxa"/>
            <w:tcBorders>
              <w:top w:val="nil"/>
              <w:left w:val="nil"/>
              <w:bottom w:val="single" w:color="auto" w:sz="4" w:space="0"/>
              <w:right w:val="single" w:color="auto" w:sz="4" w:space="0"/>
            </w:tcBorders>
            <w:vAlign w:val="center"/>
          </w:tcPr>
          <w:p w14:paraId="780698DF">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万元</w:t>
            </w:r>
          </w:p>
        </w:tc>
        <w:tc>
          <w:tcPr>
            <w:tcW w:w="1867" w:type="dxa"/>
            <w:tcBorders>
              <w:top w:val="nil"/>
              <w:left w:val="nil"/>
              <w:bottom w:val="single" w:color="auto" w:sz="4" w:space="0"/>
              <w:right w:val="single" w:color="auto" w:sz="4" w:space="0"/>
            </w:tcBorders>
            <w:vAlign w:val="center"/>
          </w:tcPr>
          <w:p w14:paraId="04E5BE85">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5000≤Y＜40000</w:t>
            </w:r>
          </w:p>
        </w:tc>
        <w:tc>
          <w:tcPr>
            <w:tcW w:w="1659" w:type="dxa"/>
            <w:tcBorders>
              <w:top w:val="nil"/>
              <w:left w:val="nil"/>
              <w:bottom w:val="single" w:color="auto" w:sz="4" w:space="0"/>
              <w:right w:val="single" w:color="auto" w:sz="4" w:space="0"/>
            </w:tcBorders>
            <w:vAlign w:val="center"/>
          </w:tcPr>
          <w:p w14:paraId="09A9CBE5">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1000≤Y＜5000</w:t>
            </w:r>
          </w:p>
        </w:tc>
        <w:tc>
          <w:tcPr>
            <w:tcW w:w="1066" w:type="dxa"/>
            <w:tcBorders>
              <w:top w:val="nil"/>
              <w:left w:val="nil"/>
              <w:bottom w:val="single" w:color="auto" w:sz="4" w:space="0"/>
              <w:right w:val="single" w:color="auto" w:sz="4" w:space="0"/>
            </w:tcBorders>
            <w:vAlign w:val="center"/>
          </w:tcPr>
          <w:p w14:paraId="4EAC5823">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Y＜1000</w:t>
            </w:r>
          </w:p>
        </w:tc>
      </w:tr>
      <w:tr w14:paraId="1717BDC9">
        <w:tblPrEx>
          <w:tblCellMar>
            <w:top w:w="0" w:type="dxa"/>
            <w:left w:w="108" w:type="dxa"/>
            <w:bottom w:w="0" w:type="dxa"/>
            <w:right w:w="108" w:type="dxa"/>
          </w:tblCellMar>
        </w:tblPrEx>
        <w:trPr>
          <w:trHeight w:val="356" w:hRule="atLeast"/>
        </w:trPr>
        <w:tc>
          <w:tcPr>
            <w:tcW w:w="1960" w:type="dxa"/>
            <w:vMerge w:val="restart"/>
            <w:tcBorders>
              <w:top w:val="nil"/>
              <w:left w:val="single" w:color="auto" w:sz="4" w:space="0"/>
              <w:bottom w:val="single" w:color="auto" w:sz="4" w:space="0"/>
              <w:right w:val="single" w:color="auto" w:sz="4" w:space="0"/>
            </w:tcBorders>
            <w:vAlign w:val="bottom"/>
          </w:tcPr>
          <w:p w14:paraId="2620178E">
            <w:pPr>
              <w:pageBreakBefore w:val="0"/>
              <w:widowControl/>
              <w:wordWrap/>
              <w:topLinePunct w:val="0"/>
              <w:bidi w:val="0"/>
              <w:spacing w:line="560" w:lineRule="exact"/>
              <w:jc w:val="center"/>
              <w:rPr>
                <w:rFonts w:ascii="仿宋_GB2312" w:hAnsi="仿宋" w:eastAsia="仿宋_GB2312" w:cs="宋体"/>
                <w:b/>
                <w:bCs/>
                <w:color w:val="000000" w:themeColor="text1"/>
                <w:kern w:val="0"/>
                <w:sz w:val="20"/>
                <w:szCs w:val="20"/>
                <w:highlight w:val="none"/>
                <w14:textFill>
                  <w14:solidFill>
                    <w14:schemeClr w14:val="tx1"/>
                  </w14:solidFill>
                </w14:textFill>
              </w:rPr>
            </w:pPr>
            <w:r>
              <w:rPr>
                <w:rFonts w:hint="eastAsia" w:ascii="仿宋_GB2312" w:hAnsi="仿宋" w:eastAsia="仿宋_GB2312" w:cs="宋体"/>
                <w:b/>
                <w:bCs/>
                <w:color w:val="000000" w:themeColor="text1"/>
                <w:kern w:val="0"/>
                <w:sz w:val="20"/>
                <w:szCs w:val="20"/>
                <w:highlight w:val="none"/>
                <w14:textFill>
                  <w14:solidFill>
                    <w14:schemeClr w14:val="tx1"/>
                  </w14:solidFill>
                </w14:textFill>
              </w:rPr>
              <w:t>零售业</w:t>
            </w:r>
          </w:p>
        </w:tc>
        <w:tc>
          <w:tcPr>
            <w:tcW w:w="1797" w:type="dxa"/>
            <w:tcBorders>
              <w:top w:val="nil"/>
              <w:left w:val="nil"/>
              <w:bottom w:val="single" w:color="auto" w:sz="4" w:space="0"/>
              <w:right w:val="single" w:color="auto" w:sz="4" w:space="0"/>
            </w:tcBorders>
            <w:vAlign w:val="center"/>
          </w:tcPr>
          <w:p w14:paraId="1C25F93B">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从业人员（X）</w:t>
            </w:r>
          </w:p>
        </w:tc>
        <w:tc>
          <w:tcPr>
            <w:tcW w:w="849" w:type="dxa"/>
            <w:tcBorders>
              <w:top w:val="nil"/>
              <w:left w:val="nil"/>
              <w:bottom w:val="single" w:color="auto" w:sz="4" w:space="0"/>
              <w:right w:val="single" w:color="auto" w:sz="4" w:space="0"/>
            </w:tcBorders>
            <w:vAlign w:val="center"/>
          </w:tcPr>
          <w:p w14:paraId="66CA7456">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人</w:t>
            </w:r>
          </w:p>
        </w:tc>
        <w:tc>
          <w:tcPr>
            <w:tcW w:w="1867" w:type="dxa"/>
            <w:tcBorders>
              <w:top w:val="nil"/>
              <w:left w:val="nil"/>
              <w:bottom w:val="single" w:color="auto" w:sz="4" w:space="0"/>
              <w:right w:val="single" w:color="auto" w:sz="4" w:space="0"/>
            </w:tcBorders>
            <w:vAlign w:val="center"/>
          </w:tcPr>
          <w:p w14:paraId="71DF1975">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50≤X＜300</w:t>
            </w:r>
          </w:p>
        </w:tc>
        <w:tc>
          <w:tcPr>
            <w:tcW w:w="1659" w:type="dxa"/>
            <w:tcBorders>
              <w:top w:val="nil"/>
              <w:left w:val="nil"/>
              <w:bottom w:val="single" w:color="auto" w:sz="4" w:space="0"/>
              <w:right w:val="single" w:color="auto" w:sz="4" w:space="0"/>
            </w:tcBorders>
            <w:vAlign w:val="center"/>
          </w:tcPr>
          <w:p w14:paraId="6E560FF2">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10≤X＜50</w:t>
            </w:r>
          </w:p>
        </w:tc>
        <w:tc>
          <w:tcPr>
            <w:tcW w:w="1066" w:type="dxa"/>
            <w:tcBorders>
              <w:top w:val="nil"/>
              <w:left w:val="nil"/>
              <w:bottom w:val="single" w:color="auto" w:sz="4" w:space="0"/>
              <w:right w:val="single" w:color="auto" w:sz="4" w:space="0"/>
            </w:tcBorders>
            <w:vAlign w:val="center"/>
          </w:tcPr>
          <w:p w14:paraId="0BF6D221">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X＜10</w:t>
            </w:r>
          </w:p>
        </w:tc>
      </w:tr>
      <w:tr w14:paraId="2A6CD056">
        <w:tblPrEx>
          <w:tblCellMar>
            <w:top w:w="0" w:type="dxa"/>
            <w:left w:w="108" w:type="dxa"/>
            <w:bottom w:w="0" w:type="dxa"/>
            <w:right w:w="108" w:type="dxa"/>
          </w:tblCellMar>
        </w:tblPrEx>
        <w:trPr>
          <w:trHeight w:val="356" w:hRule="atLeast"/>
        </w:trPr>
        <w:tc>
          <w:tcPr>
            <w:tcW w:w="1960" w:type="dxa"/>
            <w:vMerge w:val="continue"/>
            <w:tcBorders>
              <w:top w:val="nil"/>
              <w:left w:val="single" w:color="auto" w:sz="4" w:space="0"/>
              <w:bottom w:val="single" w:color="auto" w:sz="4" w:space="0"/>
              <w:right w:val="single" w:color="auto" w:sz="4" w:space="0"/>
            </w:tcBorders>
            <w:vAlign w:val="center"/>
          </w:tcPr>
          <w:p w14:paraId="0BA566BA">
            <w:pPr>
              <w:pageBreakBefore w:val="0"/>
              <w:widowControl/>
              <w:wordWrap/>
              <w:topLinePunct w:val="0"/>
              <w:bidi w:val="0"/>
              <w:spacing w:line="560" w:lineRule="exact"/>
              <w:jc w:val="left"/>
              <w:rPr>
                <w:rFonts w:ascii="仿宋_GB2312" w:hAnsi="仿宋" w:eastAsia="仿宋_GB2312" w:cs="宋体"/>
                <w:b/>
                <w:bCs/>
                <w:color w:val="000000" w:themeColor="text1"/>
                <w:kern w:val="0"/>
                <w:sz w:val="20"/>
                <w:szCs w:val="20"/>
                <w:highlight w:val="none"/>
                <w14:textFill>
                  <w14:solidFill>
                    <w14:schemeClr w14:val="tx1"/>
                  </w14:solidFill>
                </w14:textFill>
              </w:rPr>
            </w:pPr>
          </w:p>
        </w:tc>
        <w:tc>
          <w:tcPr>
            <w:tcW w:w="1797" w:type="dxa"/>
            <w:tcBorders>
              <w:top w:val="nil"/>
              <w:left w:val="nil"/>
              <w:bottom w:val="single" w:color="auto" w:sz="4" w:space="0"/>
              <w:right w:val="single" w:color="auto" w:sz="4" w:space="0"/>
            </w:tcBorders>
            <w:vAlign w:val="center"/>
          </w:tcPr>
          <w:p w14:paraId="6A8BB615">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营业收入（Y）</w:t>
            </w:r>
          </w:p>
        </w:tc>
        <w:tc>
          <w:tcPr>
            <w:tcW w:w="849" w:type="dxa"/>
            <w:tcBorders>
              <w:top w:val="nil"/>
              <w:left w:val="nil"/>
              <w:bottom w:val="single" w:color="auto" w:sz="4" w:space="0"/>
              <w:right w:val="single" w:color="auto" w:sz="4" w:space="0"/>
            </w:tcBorders>
            <w:vAlign w:val="center"/>
          </w:tcPr>
          <w:p w14:paraId="4CFD0491">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万元</w:t>
            </w:r>
          </w:p>
        </w:tc>
        <w:tc>
          <w:tcPr>
            <w:tcW w:w="1867" w:type="dxa"/>
            <w:tcBorders>
              <w:top w:val="nil"/>
              <w:left w:val="nil"/>
              <w:bottom w:val="single" w:color="auto" w:sz="4" w:space="0"/>
              <w:right w:val="single" w:color="auto" w:sz="4" w:space="0"/>
            </w:tcBorders>
            <w:vAlign w:val="center"/>
          </w:tcPr>
          <w:p w14:paraId="15B1BB65">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500≤Y＜20000</w:t>
            </w:r>
          </w:p>
        </w:tc>
        <w:tc>
          <w:tcPr>
            <w:tcW w:w="1659" w:type="dxa"/>
            <w:tcBorders>
              <w:top w:val="nil"/>
              <w:left w:val="nil"/>
              <w:bottom w:val="single" w:color="auto" w:sz="4" w:space="0"/>
              <w:right w:val="single" w:color="auto" w:sz="4" w:space="0"/>
            </w:tcBorders>
            <w:vAlign w:val="center"/>
          </w:tcPr>
          <w:p w14:paraId="44C0796E">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100≤Y＜500</w:t>
            </w:r>
          </w:p>
        </w:tc>
        <w:tc>
          <w:tcPr>
            <w:tcW w:w="1066" w:type="dxa"/>
            <w:tcBorders>
              <w:top w:val="nil"/>
              <w:left w:val="nil"/>
              <w:bottom w:val="single" w:color="auto" w:sz="4" w:space="0"/>
              <w:right w:val="single" w:color="auto" w:sz="4" w:space="0"/>
            </w:tcBorders>
            <w:vAlign w:val="center"/>
          </w:tcPr>
          <w:p w14:paraId="5D05907F">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Y＜100</w:t>
            </w:r>
          </w:p>
        </w:tc>
      </w:tr>
      <w:tr w14:paraId="3DF53A28">
        <w:tblPrEx>
          <w:tblCellMar>
            <w:top w:w="0" w:type="dxa"/>
            <w:left w:w="108" w:type="dxa"/>
            <w:bottom w:w="0" w:type="dxa"/>
            <w:right w:w="108" w:type="dxa"/>
          </w:tblCellMar>
        </w:tblPrEx>
        <w:trPr>
          <w:trHeight w:val="356" w:hRule="atLeast"/>
        </w:trPr>
        <w:tc>
          <w:tcPr>
            <w:tcW w:w="1960" w:type="dxa"/>
            <w:vMerge w:val="restart"/>
            <w:tcBorders>
              <w:top w:val="nil"/>
              <w:left w:val="single" w:color="auto" w:sz="4" w:space="0"/>
              <w:bottom w:val="single" w:color="auto" w:sz="4" w:space="0"/>
              <w:right w:val="single" w:color="auto" w:sz="4" w:space="0"/>
            </w:tcBorders>
            <w:vAlign w:val="bottom"/>
          </w:tcPr>
          <w:p w14:paraId="2F803E44">
            <w:pPr>
              <w:pageBreakBefore w:val="0"/>
              <w:widowControl/>
              <w:wordWrap/>
              <w:topLinePunct w:val="0"/>
              <w:bidi w:val="0"/>
              <w:spacing w:line="560" w:lineRule="exact"/>
              <w:jc w:val="center"/>
              <w:rPr>
                <w:rFonts w:ascii="仿宋_GB2312" w:hAnsi="仿宋" w:eastAsia="仿宋_GB2312" w:cs="宋体"/>
                <w:b/>
                <w:bCs/>
                <w:color w:val="000000" w:themeColor="text1"/>
                <w:kern w:val="0"/>
                <w:sz w:val="20"/>
                <w:szCs w:val="20"/>
                <w:highlight w:val="none"/>
                <w14:textFill>
                  <w14:solidFill>
                    <w14:schemeClr w14:val="tx1"/>
                  </w14:solidFill>
                </w14:textFill>
              </w:rPr>
            </w:pPr>
            <w:r>
              <w:rPr>
                <w:rFonts w:hint="eastAsia" w:ascii="仿宋_GB2312" w:hAnsi="仿宋" w:eastAsia="仿宋_GB2312" w:cs="宋体"/>
                <w:b/>
                <w:bCs/>
                <w:color w:val="000000" w:themeColor="text1"/>
                <w:kern w:val="0"/>
                <w:sz w:val="20"/>
                <w:szCs w:val="20"/>
                <w:highlight w:val="none"/>
                <w14:textFill>
                  <w14:solidFill>
                    <w14:schemeClr w14:val="tx1"/>
                  </w14:solidFill>
                </w14:textFill>
              </w:rPr>
              <w:t>交通运输业</w:t>
            </w:r>
          </w:p>
        </w:tc>
        <w:tc>
          <w:tcPr>
            <w:tcW w:w="1797" w:type="dxa"/>
            <w:tcBorders>
              <w:top w:val="nil"/>
              <w:left w:val="nil"/>
              <w:bottom w:val="single" w:color="auto" w:sz="4" w:space="0"/>
              <w:right w:val="single" w:color="auto" w:sz="4" w:space="0"/>
            </w:tcBorders>
            <w:vAlign w:val="center"/>
          </w:tcPr>
          <w:p w14:paraId="4E0BCF78">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从业人员（X）</w:t>
            </w:r>
          </w:p>
        </w:tc>
        <w:tc>
          <w:tcPr>
            <w:tcW w:w="849" w:type="dxa"/>
            <w:tcBorders>
              <w:top w:val="nil"/>
              <w:left w:val="nil"/>
              <w:bottom w:val="single" w:color="auto" w:sz="4" w:space="0"/>
              <w:right w:val="single" w:color="auto" w:sz="4" w:space="0"/>
            </w:tcBorders>
            <w:vAlign w:val="center"/>
          </w:tcPr>
          <w:p w14:paraId="5FF8EC0E">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人</w:t>
            </w:r>
          </w:p>
        </w:tc>
        <w:tc>
          <w:tcPr>
            <w:tcW w:w="1867" w:type="dxa"/>
            <w:tcBorders>
              <w:top w:val="nil"/>
              <w:left w:val="nil"/>
              <w:bottom w:val="single" w:color="auto" w:sz="4" w:space="0"/>
              <w:right w:val="single" w:color="auto" w:sz="4" w:space="0"/>
            </w:tcBorders>
            <w:vAlign w:val="center"/>
          </w:tcPr>
          <w:p w14:paraId="5A9D2B95">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300≤X＜1000</w:t>
            </w:r>
          </w:p>
        </w:tc>
        <w:tc>
          <w:tcPr>
            <w:tcW w:w="1659" w:type="dxa"/>
            <w:tcBorders>
              <w:top w:val="nil"/>
              <w:left w:val="nil"/>
              <w:bottom w:val="single" w:color="auto" w:sz="4" w:space="0"/>
              <w:right w:val="single" w:color="auto" w:sz="4" w:space="0"/>
            </w:tcBorders>
            <w:vAlign w:val="center"/>
          </w:tcPr>
          <w:p w14:paraId="33D473F5">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20≤X＜300</w:t>
            </w:r>
          </w:p>
        </w:tc>
        <w:tc>
          <w:tcPr>
            <w:tcW w:w="1066" w:type="dxa"/>
            <w:tcBorders>
              <w:top w:val="nil"/>
              <w:left w:val="nil"/>
              <w:bottom w:val="single" w:color="auto" w:sz="4" w:space="0"/>
              <w:right w:val="single" w:color="auto" w:sz="4" w:space="0"/>
            </w:tcBorders>
            <w:vAlign w:val="center"/>
          </w:tcPr>
          <w:p w14:paraId="3A193B19">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X＜20</w:t>
            </w:r>
          </w:p>
        </w:tc>
      </w:tr>
      <w:tr w14:paraId="19DBEB8F">
        <w:tblPrEx>
          <w:tblCellMar>
            <w:top w:w="0" w:type="dxa"/>
            <w:left w:w="108" w:type="dxa"/>
            <w:bottom w:w="0" w:type="dxa"/>
            <w:right w:w="108" w:type="dxa"/>
          </w:tblCellMar>
        </w:tblPrEx>
        <w:trPr>
          <w:trHeight w:val="356" w:hRule="atLeast"/>
        </w:trPr>
        <w:tc>
          <w:tcPr>
            <w:tcW w:w="1960" w:type="dxa"/>
            <w:vMerge w:val="continue"/>
            <w:tcBorders>
              <w:top w:val="nil"/>
              <w:left w:val="single" w:color="auto" w:sz="4" w:space="0"/>
              <w:bottom w:val="single" w:color="auto" w:sz="4" w:space="0"/>
              <w:right w:val="single" w:color="auto" w:sz="4" w:space="0"/>
            </w:tcBorders>
            <w:vAlign w:val="center"/>
          </w:tcPr>
          <w:p w14:paraId="77509CAF">
            <w:pPr>
              <w:pageBreakBefore w:val="0"/>
              <w:widowControl/>
              <w:wordWrap/>
              <w:topLinePunct w:val="0"/>
              <w:bidi w:val="0"/>
              <w:spacing w:line="560" w:lineRule="exact"/>
              <w:jc w:val="left"/>
              <w:rPr>
                <w:rFonts w:ascii="仿宋_GB2312" w:hAnsi="仿宋" w:eastAsia="仿宋_GB2312" w:cs="宋体"/>
                <w:b/>
                <w:bCs/>
                <w:color w:val="000000" w:themeColor="text1"/>
                <w:kern w:val="0"/>
                <w:sz w:val="20"/>
                <w:szCs w:val="20"/>
                <w:highlight w:val="none"/>
                <w14:textFill>
                  <w14:solidFill>
                    <w14:schemeClr w14:val="tx1"/>
                  </w14:solidFill>
                </w14:textFill>
              </w:rPr>
            </w:pPr>
          </w:p>
        </w:tc>
        <w:tc>
          <w:tcPr>
            <w:tcW w:w="1797" w:type="dxa"/>
            <w:tcBorders>
              <w:top w:val="nil"/>
              <w:left w:val="nil"/>
              <w:bottom w:val="single" w:color="auto" w:sz="4" w:space="0"/>
              <w:right w:val="single" w:color="auto" w:sz="4" w:space="0"/>
            </w:tcBorders>
            <w:vAlign w:val="center"/>
          </w:tcPr>
          <w:p w14:paraId="64E4B958">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营业收入（Y）</w:t>
            </w:r>
          </w:p>
        </w:tc>
        <w:tc>
          <w:tcPr>
            <w:tcW w:w="849" w:type="dxa"/>
            <w:tcBorders>
              <w:top w:val="nil"/>
              <w:left w:val="nil"/>
              <w:bottom w:val="single" w:color="auto" w:sz="4" w:space="0"/>
              <w:right w:val="single" w:color="auto" w:sz="4" w:space="0"/>
            </w:tcBorders>
            <w:vAlign w:val="center"/>
          </w:tcPr>
          <w:p w14:paraId="707862CD">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万元</w:t>
            </w:r>
          </w:p>
        </w:tc>
        <w:tc>
          <w:tcPr>
            <w:tcW w:w="1867" w:type="dxa"/>
            <w:tcBorders>
              <w:top w:val="nil"/>
              <w:left w:val="nil"/>
              <w:bottom w:val="single" w:color="auto" w:sz="4" w:space="0"/>
              <w:right w:val="single" w:color="auto" w:sz="4" w:space="0"/>
            </w:tcBorders>
            <w:vAlign w:val="center"/>
          </w:tcPr>
          <w:p w14:paraId="741AAFCD">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3000≤Y＜30000</w:t>
            </w:r>
          </w:p>
        </w:tc>
        <w:tc>
          <w:tcPr>
            <w:tcW w:w="1659" w:type="dxa"/>
            <w:tcBorders>
              <w:top w:val="nil"/>
              <w:left w:val="nil"/>
              <w:bottom w:val="single" w:color="auto" w:sz="4" w:space="0"/>
              <w:right w:val="single" w:color="auto" w:sz="4" w:space="0"/>
            </w:tcBorders>
            <w:vAlign w:val="center"/>
          </w:tcPr>
          <w:p w14:paraId="69A50B46">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200≤Y＜3000</w:t>
            </w:r>
          </w:p>
        </w:tc>
        <w:tc>
          <w:tcPr>
            <w:tcW w:w="1066" w:type="dxa"/>
            <w:tcBorders>
              <w:top w:val="nil"/>
              <w:left w:val="nil"/>
              <w:bottom w:val="single" w:color="auto" w:sz="4" w:space="0"/>
              <w:right w:val="single" w:color="auto" w:sz="4" w:space="0"/>
            </w:tcBorders>
            <w:vAlign w:val="center"/>
          </w:tcPr>
          <w:p w14:paraId="2B45E100">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Y＜200</w:t>
            </w:r>
          </w:p>
        </w:tc>
      </w:tr>
      <w:tr w14:paraId="3C111A74">
        <w:tblPrEx>
          <w:tblCellMar>
            <w:top w:w="0" w:type="dxa"/>
            <w:left w:w="108" w:type="dxa"/>
            <w:bottom w:w="0" w:type="dxa"/>
            <w:right w:w="108" w:type="dxa"/>
          </w:tblCellMar>
        </w:tblPrEx>
        <w:trPr>
          <w:trHeight w:val="356" w:hRule="atLeast"/>
        </w:trPr>
        <w:tc>
          <w:tcPr>
            <w:tcW w:w="1960" w:type="dxa"/>
            <w:vMerge w:val="restart"/>
            <w:tcBorders>
              <w:top w:val="nil"/>
              <w:left w:val="single" w:color="auto" w:sz="4" w:space="0"/>
              <w:bottom w:val="single" w:color="auto" w:sz="4" w:space="0"/>
              <w:right w:val="single" w:color="auto" w:sz="4" w:space="0"/>
            </w:tcBorders>
            <w:vAlign w:val="bottom"/>
          </w:tcPr>
          <w:p w14:paraId="748470E4">
            <w:pPr>
              <w:pageBreakBefore w:val="0"/>
              <w:widowControl/>
              <w:wordWrap/>
              <w:topLinePunct w:val="0"/>
              <w:bidi w:val="0"/>
              <w:spacing w:line="560" w:lineRule="exact"/>
              <w:jc w:val="center"/>
              <w:rPr>
                <w:rFonts w:ascii="仿宋_GB2312" w:hAnsi="仿宋" w:eastAsia="仿宋_GB2312" w:cs="宋体"/>
                <w:b/>
                <w:bCs/>
                <w:color w:val="000000" w:themeColor="text1"/>
                <w:kern w:val="0"/>
                <w:sz w:val="20"/>
                <w:szCs w:val="20"/>
                <w:highlight w:val="none"/>
                <w14:textFill>
                  <w14:solidFill>
                    <w14:schemeClr w14:val="tx1"/>
                  </w14:solidFill>
                </w14:textFill>
              </w:rPr>
            </w:pPr>
            <w:r>
              <w:rPr>
                <w:rFonts w:hint="eastAsia" w:ascii="仿宋_GB2312" w:hAnsi="仿宋" w:eastAsia="仿宋_GB2312" w:cs="宋体"/>
                <w:b/>
                <w:bCs/>
                <w:color w:val="000000" w:themeColor="text1"/>
                <w:kern w:val="0"/>
                <w:sz w:val="20"/>
                <w:szCs w:val="20"/>
                <w:highlight w:val="none"/>
                <w14:textFill>
                  <w14:solidFill>
                    <w14:schemeClr w14:val="tx1"/>
                  </w14:solidFill>
                </w14:textFill>
              </w:rPr>
              <w:t>仓储业</w:t>
            </w:r>
          </w:p>
        </w:tc>
        <w:tc>
          <w:tcPr>
            <w:tcW w:w="1797" w:type="dxa"/>
            <w:tcBorders>
              <w:top w:val="nil"/>
              <w:left w:val="nil"/>
              <w:bottom w:val="single" w:color="auto" w:sz="4" w:space="0"/>
              <w:right w:val="single" w:color="auto" w:sz="4" w:space="0"/>
            </w:tcBorders>
            <w:vAlign w:val="center"/>
          </w:tcPr>
          <w:p w14:paraId="5C7A0EFE">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从业人员（X）</w:t>
            </w:r>
          </w:p>
        </w:tc>
        <w:tc>
          <w:tcPr>
            <w:tcW w:w="849" w:type="dxa"/>
            <w:tcBorders>
              <w:top w:val="nil"/>
              <w:left w:val="nil"/>
              <w:bottom w:val="single" w:color="auto" w:sz="4" w:space="0"/>
              <w:right w:val="single" w:color="auto" w:sz="4" w:space="0"/>
            </w:tcBorders>
            <w:vAlign w:val="center"/>
          </w:tcPr>
          <w:p w14:paraId="204EA856">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人</w:t>
            </w:r>
          </w:p>
        </w:tc>
        <w:tc>
          <w:tcPr>
            <w:tcW w:w="1867" w:type="dxa"/>
            <w:tcBorders>
              <w:top w:val="nil"/>
              <w:left w:val="nil"/>
              <w:bottom w:val="single" w:color="auto" w:sz="4" w:space="0"/>
              <w:right w:val="single" w:color="auto" w:sz="4" w:space="0"/>
            </w:tcBorders>
            <w:vAlign w:val="center"/>
          </w:tcPr>
          <w:p w14:paraId="18090011">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100≤X＜200</w:t>
            </w:r>
          </w:p>
        </w:tc>
        <w:tc>
          <w:tcPr>
            <w:tcW w:w="1659" w:type="dxa"/>
            <w:tcBorders>
              <w:top w:val="nil"/>
              <w:left w:val="nil"/>
              <w:bottom w:val="single" w:color="auto" w:sz="4" w:space="0"/>
              <w:right w:val="single" w:color="auto" w:sz="4" w:space="0"/>
            </w:tcBorders>
            <w:vAlign w:val="center"/>
          </w:tcPr>
          <w:p w14:paraId="2A025CEA">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20≤X＜100</w:t>
            </w:r>
          </w:p>
        </w:tc>
        <w:tc>
          <w:tcPr>
            <w:tcW w:w="1066" w:type="dxa"/>
            <w:tcBorders>
              <w:top w:val="nil"/>
              <w:left w:val="nil"/>
              <w:bottom w:val="single" w:color="auto" w:sz="4" w:space="0"/>
              <w:right w:val="single" w:color="auto" w:sz="4" w:space="0"/>
            </w:tcBorders>
            <w:vAlign w:val="center"/>
          </w:tcPr>
          <w:p w14:paraId="39421E59">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X＜20</w:t>
            </w:r>
          </w:p>
        </w:tc>
      </w:tr>
      <w:tr w14:paraId="31E7331E">
        <w:tblPrEx>
          <w:tblCellMar>
            <w:top w:w="0" w:type="dxa"/>
            <w:left w:w="108" w:type="dxa"/>
            <w:bottom w:w="0" w:type="dxa"/>
            <w:right w:w="108" w:type="dxa"/>
          </w:tblCellMar>
        </w:tblPrEx>
        <w:trPr>
          <w:trHeight w:val="356" w:hRule="atLeast"/>
        </w:trPr>
        <w:tc>
          <w:tcPr>
            <w:tcW w:w="1960" w:type="dxa"/>
            <w:vMerge w:val="continue"/>
            <w:tcBorders>
              <w:top w:val="nil"/>
              <w:left w:val="single" w:color="auto" w:sz="4" w:space="0"/>
              <w:bottom w:val="single" w:color="auto" w:sz="4" w:space="0"/>
              <w:right w:val="single" w:color="auto" w:sz="4" w:space="0"/>
            </w:tcBorders>
            <w:vAlign w:val="center"/>
          </w:tcPr>
          <w:p w14:paraId="2C69CE67">
            <w:pPr>
              <w:pageBreakBefore w:val="0"/>
              <w:widowControl/>
              <w:wordWrap/>
              <w:topLinePunct w:val="0"/>
              <w:bidi w:val="0"/>
              <w:spacing w:line="560" w:lineRule="exact"/>
              <w:jc w:val="left"/>
              <w:rPr>
                <w:rFonts w:ascii="仿宋_GB2312" w:hAnsi="仿宋" w:eastAsia="仿宋_GB2312" w:cs="宋体"/>
                <w:b/>
                <w:bCs/>
                <w:color w:val="000000" w:themeColor="text1"/>
                <w:kern w:val="0"/>
                <w:sz w:val="20"/>
                <w:szCs w:val="20"/>
                <w:highlight w:val="none"/>
                <w14:textFill>
                  <w14:solidFill>
                    <w14:schemeClr w14:val="tx1"/>
                  </w14:solidFill>
                </w14:textFill>
              </w:rPr>
            </w:pPr>
          </w:p>
        </w:tc>
        <w:tc>
          <w:tcPr>
            <w:tcW w:w="1797" w:type="dxa"/>
            <w:tcBorders>
              <w:top w:val="nil"/>
              <w:left w:val="nil"/>
              <w:bottom w:val="single" w:color="auto" w:sz="4" w:space="0"/>
              <w:right w:val="single" w:color="auto" w:sz="4" w:space="0"/>
            </w:tcBorders>
            <w:vAlign w:val="center"/>
          </w:tcPr>
          <w:p w14:paraId="212939AE">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营业收入（Y）</w:t>
            </w:r>
          </w:p>
        </w:tc>
        <w:tc>
          <w:tcPr>
            <w:tcW w:w="849" w:type="dxa"/>
            <w:tcBorders>
              <w:top w:val="nil"/>
              <w:left w:val="nil"/>
              <w:bottom w:val="single" w:color="auto" w:sz="4" w:space="0"/>
              <w:right w:val="single" w:color="auto" w:sz="4" w:space="0"/>
            </w:tcBorders>
            <w:vAlign w:val="center"/>
          </w:tcPr>
          <w:p w14:paraId="010C1712">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万元</w:t>
            </w:r>
          </w:p>
        </w:tc>
        <w:tc>
          <w:tcPr>
            <w:tcW w:w="1867" w:type="dxa"/>
            <w:tcBorders>
              <w:top w:val="nil"/>
              <w:left w:val="nil"/>
              <w:bottom w:val="single" w:color="auto" w:sz="4" w:space="0"/>
              <w:right w:val="single" w:color="auto" w:sz="4" w:space="0"/>
            </w:tcBorders>
            <w:vAlign w:val="center"/>
          </w:tcPr>
          <w:p w14:paraId="49105E3E">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1000≤Y＜30000</w:t>
            </w:r>
          </w:p>
        </w:tc>
        <w:tc>
          <w:tcPr>
            <w:tcW w:w="1659" w:type="dxa"/>
            <w:tcBorders>
              <w:top w:val="nil"/>
              <w:left w:val="nil"/>
              <w:bottom w:val="single" w:color="auto" w:sz="4" w:space="0"/>
              <w:right w:val="single" w:color="auto" w:sz="4" w:space="0"/>
            </w:tcBorders>
            <w:vAlign w:val="center"/>
          </w:tcPr>
          <w:p w14:paraId="06A48013">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100≤Y＜1000</w:t>
            </w:r>
          </w:p>
        </w:tc>
        <w:tc>
          <w:tcPr>
            <w:tcW w:w="1066" w:type="dxa"/>
            <w:tcBorders>
              <w:top w:val="nil"/>
              <w:left w:val="nil"/>
              <w:bottom w:val="single" w:color="auto" w:sz="4" w:space="0"/>
              <w:right w:val="single" w:color="auto" w:sz="4" w:space="0"/>
            </w:tcBorders>
            <w:vAlign w:val="center"/>
          </w:tcPr>
          <w:p w14:paraId="234BA5BF">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Y＜100</w:t>
            </w:r>
          </w:p>
        </w:tc>
      </w:tr>
      <w:tr w14:paraId="54FF6EF7">
        <w:tblPrEx>
          <w:tblCellMar>
            <w:top w:w="0" w:type="dxa"/>
            <w:left w:w="108" w:type="dxa"/>
            <w:bottom w:w="0" w:type="dxa"/>
            <w:right w:w="108" w:type="dxa"/>
          </w:tblCellMar>
        </w:tblPrEx>
        <w:trPr>
          <w:trHeight w:val="356" w:hRule="atLeast"/>
        </w:trPr>
        <w:tc>
          <w:tcPr>
            <w:tcW w:w="1960" w:type="dxa"/>
            <w:vMerge w:val="restart"/>
            <w:tcBorders>
              <w:top w:val="nil"/>
              <w:left w:val="single" w:color="auto" w:sz="4" w:space="0"/>
              <w:bottom w:val="single" w:color="auto" w:sz="4" w:space="0"/>
              <w:right w:val="single" w:color="auto" w:sz="4" w:space="0"/>
            </w:tcBorders>
            <w:vAlign w:val="bottom"/>
          </w:tcPr>
          <w:p w14:paraId="68678869">
            <w:pPr>
              <w:pageBreakBefore w:val="0"/>
              <w:widowControl/>
              <w:wordWrap/>
              <w:topLinePunct w:val="0"/>
              <w:bidi w:val="0"/>
              <w:spacing w:line="560" w:lineRule="exact"/>
              <w:jc w:val="center"/>
              <w:rPr>
                <w:rFonts w:ascii="仿宋_GB2312" w:hAnsi="仿宋" w:eastAsia="仿宋_GB2312" w:cs="宋体"/>
                <w:b/>
                <w:bCs/>
                <w:color w:val="000000" w:themeColor="text1"/>
                <w:kern w:val="0"/>
                <w:sz w:val="20"/>
                <w:szCs w:val="20"/>
                <w:highlight w:val="none"/>
                <w14:textFill>
                  <w14:solidFill>
                    <w14:schemeClr w14:val="tx1"/>
                  </w14:solidFill>
                </w14:textFill>
              </w:rPr>
            </w:pPr>
            <w:r>
              <w:rPr>
                <w:rFonts w:hint="eastAsia" w:ascii="仿宋_GB2312" w:hAnsi="仿宋" w:eastAsia="仿宋_GB2312" w:cs="宋体"/>
                <w:b/>
                <w:bCs/>
                <w:color w:val="000000" w:themeColor="text1"/>
                <w:kern w:val="0"/>
                <w:sz w:val="20"/>
                <w:szCs w:val="20"/>
                <w:highlight w:val="none"/>
                <w14:textFill>
                  <w14:solidFill>
                    <w14:schemeClr w14:val="tx1"/>
                  </w14:solidFill>
                </w14:textFill>
              </w:rPr>
              <w:t>邮政业</w:t>
            </w:r>
          </w:p>
        </w:tc>
        <w:tc>
          <w:tcPr>
            <w:tcW w:w="1797" w:type="dxa"/>
            <w:tcBorders>
              <w:top w:val="nil"/>
              <w:left w:val="nil"/>
              <w:bottom w:val="single" w:color="auto" w:sz="4" w:space="0"/>
              <w:right w:val="single" w:color="auto" w:sz="4" w:space="0"/>
            </w:tcBorders>
            <w:vAlign w:val="center"/>
          </w:tcPr>
          <w:p w14:paraId="6DBC6443">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从业人员（X）</w:t>
            </w:r>
          </w:p>
        </w:tc>
        <w:tc>
          <w:tcPr>
            <w:tcW w:w="849" w:type="dxa"/>
            <w:tcBorders>
              <w:top w:val="nil"/>
              <w:left w:val="nil"/>
              <w:bottom w:val="single" w:color="auto" w:sz="4" w:space="0"/>
              <w:right w:val="single" w:color="auto" w:sz="4" w:space="0"/>
            </w:tcBorders>
            <w:vAlign w:val="center"/>
          </w:tcPr>
          <w:p w14:paraId="60C98679">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人</w:t>
            </w:r>
          </w:p>
        </w:tc>
        <w:tc>
          <w:tcPr>
            <w:tcW w:w="1867" w:type="dxa"/>
            <w:tcBorders>
              <w:top w:val="nil"/>
              <w:left w:val="nil"/>
              <w:bottom w:val="single" w:color="auto" w:sz="4" w:space="0"/>
              <w:right w:val="single" w:color="auto" w:sz="4" w:space="0"/>
            </w:tcBorders>
            <w:vAlign w:val="center"/>
          </w:tcPr>
          <w:p w14:paraId="7F3F1981">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300≤X＜1000</w:t>
            </w:r>
          </w:p>
        </w:tc>
        <w:tc>
          <w:tcPr>
            <w:tcW w:w="1659" w:type="dxa"/>
            <w:tcBorders>
              <w:top w:val="nil"/>
              <w:left w:val="nil"/>
              <w:bottom w:val="single" w:color="auto" w:sz="4" w:space="0"/>
              <w:right w:val="single" w:color="auto" w:sz="4" w:space="0"/>
            </w:tcBorders>
            <w:vAlign w:val="center"/>
          </w:tcPr>
          <w:p w14:paraId="519DE2C3">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20≤X＜300</w:t>
            </w:r>
          </w:p>
        </w:tc>
        <w:tc>
          <w:tcPr>
            <w:tcW w:w="1066" w:type="dxa"/>
            <w:tcBorders>
              <w:top w:val="nil"/>
              <w:left w:val="nil"/>
              <w:bottom w:val="single" w:color="auto" w:sz="4" w:space="0"/>
              <w:right w:val="single" w:color="auto" w:sz="4" w:space="0"/>
            </w:tcBorders>
            <w:vAlign w:val="center"/>
          </w:tcPr>
          <w:p w14:paraId="5C06E921">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X＜20</w:t>
            </w:r>
          </w:p>
        </w:tc>
      </w:tr>
      <w:tr w14:paraId="4122EFFA">
        <w:tblPrEx>
          <w:tblCellMar>
            <w:top w:w="0" w:type="dxa"/>
            <w:left w:w="108" w:type="dxa"/>
            <w:bottom w:w="0" w:type="dxa"/>
            <w:right w:w="108" w:type="dxa"/>
          </w:tblCellMar>
        </w:tblPrEx>
        <w:trPr>
          <w:trHeight w:val="356" w:hRule="atLeast"/>
        </w:trPr>
        <w:tc>
          <w:tcPr>
            <w:tcW w:w="1960" w:type="dxa"/>
            <w:vMerge w:val="continue"/>
            <w:tcBorders>
              <w:top w:val="nil"/>
              <w:left w:val="single" w:color="auto" w:sz="4" w:space="0"/>
              <w:bottom w:val="single" w:color="auto" w:sz="4" w:space="0"/>
              <w:right w:val="single" w:color="auto" w:sz="4" w:space="0"/>
            </w:tcBorders>
            <w:vAlign w:val="center"/>
          </w:tcPr>
          <w:p w14:paraId="6A29B170">
            <w:pPr>
              <w:pageBreakBefore w:val="0"/>
              <w:widowControl/>
              <w:wordWrap/>
              <w:topLinePunct w:val="0"/>
              <w:bidi w:val="0"/>
              <w:spacing w:line="560" w:lineRule="exact"/>
              <w:jc w:val="left"/>
              <w:rPr>
                <w:rFonts w:ascii="仿宋_GB2312" w:hAnsi="仿宋" w:eastAsia="仿宋_GB2312" w:cs="宋体"/>
                <w:b/>
                <w:bCs/>
                <w:color w:val="000000" w:themeColor="text1"/>
                <w:kern w:val="0"/>
                <w:sz w:val="20"/>
                <w:szCs w:val="20"/>
                <w:highlight w:val="none"/>
                <w14:textFill>
                  <w14:solidFill>
                    <w14:schemeClr w14:val="tx1"/>
                  </w14:solidFill>
                </w14:textFill>
              </w:rPr>
            </w:pPr>
          </w:p>
        </w:tc>
        <w:tc>
          <w:tcPr>
            <w:tcW w:w="1797" w:type="dxa"/>
            <w:tcBorders>
              <w:top w:val="nil"/>
              <w:left w:val="nil"/>
              <w:bottom w:val="single" w:color="auto" w:sz="4" w:space="0"/>
              <w:right w:val="single" w:color="auto" w:sz="4" w:space="0"/>
            </w:tcBorders>
            <w:vAlign w:val="center"/>
          </w:tcPr>
          <w:p w14:paraId="2B50A558">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营业收入（Y）</w:t>
            </w:r>
          </w:p>
        </w:tc>
        <w:tc>
          <w:tcPr>
            <w:tcW w:w="849" w:type="dxa"/>
            <w:tcBorders>
              <w:top w:val="nil"/>
              <w:left w:val="nil"/>
              <w:bottom w:val="single" w:color="auto" w:sz="4" w:space="0"/>
              <w:right w:val="single" w:color="auto" w:sz="4" w:space="0"/>
            </w:tcBorders>
            <w:vAlign w:val="center"/>
          </w:tcPr>
          <w:p w14:paraId="4D120F41">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万元</w:t>
            </w:r>
          </w:p>
        </w:tc>
        <w:tc>
          <w:tcPr>
            <w:tcW w:w="1867" w:type="dxa"/>
            <w:tcBorders>
              <w:top w:val="nil"/>
              <w:left w:val="nil"/>
              <w:bottom w:val="single" w:color="auto" w:sz="4" w:space="0"/>
              <w:right w:val="single" w:color="auto" w:sz="4" w:space="0"/>
            </w:tcBorders>
            <w:vAlign w:val="center"/>
          </w:tcPr>
          <w:p w14:paraId="0C4C14AB">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2000≤Y＜30000</w:t>
            </w:r>
          </w:p>
        </w:tc>
        <w:tc>
          <w:tcPr>
            <w:tcW w:w="1659" w:type="dxa"/>
            <w:tcBorders>
              <w:top w:val="nil"/>
              <w:left w:val="nil"/>
              <w:bottom w:val="single" w:color="auto" w:sz="4" w:space="0"/>
              <w:right w:val="single" w:color="auto" w:sz="4" w:space="0"/>
            </w:tcBorders>
            <w:vAlign w:val="center"/>
          </w:tcPr>
          <w:p w14:paraId="512AB1F6">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100≤Y＜2000</w:t>
            </w:r>
          </w:p>
        </w:tc>
        <w:tc>
          <w:tcPr>
            <w:tcW w:w="1066" w:type="dxa"/>
            <w:tcBorders>
              <w:top w:val="nil"/>
              <w:left w:val="nil"/>
              <w:bottom w:val="single" w:color="auto" w:sz="4" w:space="0"/>
              <w:right w:val="single" w:color="auto" w:sz="4" w:space="0"/>
            </w:tcBorders>
            <w:vAlign w:val="center"/>
          </w:tcPr>
          <w:p w14:paraId="1A199EAA">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Y＜100</w:t>
            </w:r>
          </w:p>
        </w:tc>
      </w:tr>
      <w:tr w14:paraId="2077B195">
        <w:tblPrEx>
          <w:tblCellMar>
            <w:top w:w="0" w:type="dxa"/>
            <w:left w:w="108" w:type="dxa"/>
            <w:bottom w:w="0" w:type="dxa"/>
            <w:right w:w="108" w:type="dxa"/>
          </w:tblCellMar>
        </w:tblPrEx>
        <w:trPr>
          <w:trHeight w:val="356" w:hRule="atLeast"/>
        </w:trPr>
        <w:tc>
          <w:tcPr>
            <w:tcW w:w="1960" w:type="dxa"/>
            <w:vMerge w:val="restart"/>
            <w:tcBorders>
              <w:top w:val="nil"/>
              <w:left w:val="single" w:color="auto" w:sz="4" w:space="0"/>
              <w:bottom w:val="single" w:color="auto" w:sz="4" w:space="0"/>
              <w:right w:val="single" w:color="auto" w:sz="4" w:space="0"/>
            </w:tcBorders>
            <w:vAlign w:val="bottom"/>
          </w:tcPr>
          <w:p w14:paraId="1D88E1D0">
            <w:pPr>
              <w:pageBreakBefore w:val="0"/>
              <w:widowControl/>
              <w:wordWrap/>
              <w:topLinePunct w:val="0"/>
              <w:bidi w:val="0"/>
              <w:spacing w:line="560" w:lineRule="exact"/>
              <w:jc w:val="center"/>
              <w:rPr>
                <w:rFonts w:ascii="仿宋_GB2312" w:hAnsi="仿宋" w:eastAsia="仿宋_GB2312" w:cs="宋体"/>
                <w:b/>
                <w:bCs/>
                <w:color w:val="000000" w:themeColor="text1"/>
                <w:kern w:val="0"/>
                <w:sz w:val="20"/>
                <w:szCs w:val="20"/>
                <w:highlight w:val="none"/>
                <w14:textFill>
                  <w14:solidFill>
                    <w14:schemeClr w14:val="tx1"/>
                  </w14:solidFill>
                </w14:textFill>
              </w:rPr>
            </w:pPr>
            <w:r>
              <w:rPr>
                <w:rFonts w:hint="eastAsia" w:ascii="仿宋_GB2312" w:hAnsi="仿宋" w:eastAsia="仿宋_GB2312" w:cs="宋体"/>
                <w:b/>
                <w:bCs/>
                <w:color w:val="000000" w:themeColor="text1"/>
                <w:kern w:val="0"/>
                <w:sz w:val="20"/>
                <w:szCs w:val="20"/>
                <w:highlight w:val="none"/>
                <w14:textFill>
                  <w14:solidFill>
                    <w14:schemeClr w14:val="tx1"/>
                  </w14:solidFill>
                </w14:textFill>
              </w:rPr>
              <w:t>住宿业</w:t>
            </w:r>
          </w:p>
        </w:tc>
        <w:tc>
          <w:tcPr>
            <w:tcW w:w="1797" w:type="dxa"/>
            <w:tcBorders>
              <w:top w:val="nil"/>
              <w:left w:val="nil"/>
              <w:bottom w:val="single" w:color="auto" w:sz="4" w:space="0"/>
              <w:right w:val="single" w:color="auto" w:sz="4" w:space="0"/>
            </w:tcBorders>
            <w:vAlign w:val="center"/>
          </w:tcPr>
          <w:p w14:paraId="6F9E70B3">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从业人员（X）</w:t>
            </w:r>
          </w:p>
        </w:tc>
        <w:tc>
          <w:tcPr>
            <w:tcW w:w="849" w:type="dxa"/>
            <w:tcBorders>
              <w:top w:val="nil"/>
              <w:left w:val="nil"/>
              <w:bottom w:val="single" w:color="auto" w:sz="4" w:space="0"/>
              <w:right w:val="single" w:color="auto" w:sz="4" w:space="0"/>
            </w:tcBorders>
            <w:vAlign w:val="center"/>
          </w:tcPr>
          <w:p w14:paraId="7933E3FC">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人</w:t>
            </w:r>
          </w:p>
        </w:tc>
        <w:tc>
          <w:tcPr>
            <w:tcW w:w="1867" w:type="dxa"/>
            <w:tcBorders>
              <w:top w:val="nil"/>
              <w:left w:val="nil"/>
              <w:bottom w:val="single" w:color="auto" w:sz="4" w:space="0"/>
              <w:right w:val="single" w:color="auto" w:sz="4" w:space="0"/>
            </w:tcBorders>
            <w:vAlign w:val="center"/>
          </w:tcPr>
          <w:p w14:paraId="48F2C052">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100≤X＜300</w:t>
            </w:r>
          </w:p>
        </w:tc>
        <w:tc>
          <w:tcPr>
            <w:tcW w:w="1659" w:type="dxa"/>
            <w:tcBorders>
              <w:top w:val="nil"/>
              <w:left w:val="nil"/>
              <w:bottom w:val="single" w:color="auto" w:sz="4" w:space="0"/>
              <w:right w:val="single" w:color="auto" w:sz="4" w:space="0"/>
            </w:tcBorders>
            <w:vAlign w:val="center"/>
          </w:tcPr>
          <w:p w14:paraId="52818925">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10≤X＜100</w:t>
            </w:r>
          </w:p>
        </w:tc>
        <w:tc>
          <w:tcPr>
            <w:tcW w:w="1066" w:type="dxa"/>
            <w:tcBorders>
              <w:top w:val="nil"/>
              <w:left w:val="nil"/>
              <w:bottom w:val="single" w:color="auto" w:sz="4" w:space="0"/>
              <w:right w:val="single" w:color="auto" w:sz="4" w:space="0"/>
            </w:tcBorders>
            <w:vAlign w:val="center"/>
          </w:tcPr>
          <w:p w14:paraId="53299D6C">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X＜10</w:t>
            </w:r>
          </w:p>
        </w:tc>
      </w:tr>
      <w:tr w14:paraId="51B5D007">
        <w:tblPrEx>
          <w:tblCellMar>
            <w:top w:w="0" w:type="dxa"/>
            <w:left w:w="108" w:type="dxa"/>
            <w:bottom w:w="0" w:type="dxa"/>
            <w:right w:w="108" w:type="dxa"/>
          </w:tblCellMar>
        </w:tblPrEx>
        <w:trPr>
          <w:trHeight w:val="356" w:hRule="atLeast"/>
        </w:trPr>
        <w:tc>
          <w:tcPr>
            <w:tcW w:w="1960" w:type="dxa"/>
            <w:vMerge w:val="continue"/>
            <w:tcBorders>
              <w:top w:val="nil"/>
              <w:left w:val="single" w:color="auto" w:sz="4" w:space="0"/>
              <w:bottom w:val="single" w:color="auto" w:sz="4" w:space="0"/>
              <w:right w:val="single" w:color="auto" w:sz="4" w:space="0"/>
            </w:tcBorders>
            <w:vAlign w:val="center"/>
          </w:tcPr>
          <w:p w14:paraId="755D638B">
            <w:pPr>
              <w:pageBreakBefore w:val="0"/>
              <w:widowControl/>
              <w:wordWrap/>
              <w:topLinePunct w:val="0"/>
              <w:bidi w:val="0"/>
              <w:spacing w:line="560" w:lineRule="exact"/>
              <w:jc w:val="left"/>
              <w:rPr>
                <w:rFonts w:ascii="仿宋_GB2312" w:hAnsi="仿宋" w:eastAsia="仿宋_GB2312" w:cs="宋体"/>
                <w:b/>
                <w:bCs/>
                <w:color w:val="000000" w:themeColor="text1"/>
                <w:kern w:val="0"/>
                <w:sz w:val="20"/>
                <w:szCs w:val="20"/>
                <w:highlight w:val="none"/>
                <w14:textFill>
                  <w14:solidFill>
                    <w14:schemeClr w14:val="tx1"/>
                  </w14:solidFill>
                </w14:textFill>
              </w:rPr>
            </w:pPr>
          </w:p>
        </w:tc>
        <w:tc>
          <w:tcPr>
            <w:tcW w:w="1797" w:type="dxa"/>
            <w:tcBorders>
              <w:top w:val="nil"/>
              <w:left w:val="nil"/>
              <w:bottom w:val="single" w:color="auto" w:sz="4" w:space="0"/>
              <w:right w:val="single" w:color="auto" w:sz="4" w:space="0"/>
            </w:tcBorders>
            <w:vAlign w:val="center"/>
          </w:tcPr>
          <w:p w14:paraId="3A66EF1D">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营业收入（Y）</w:t>
            </w:r>
          </w:p>
        </w:tc>
        <w:tc>
          <w:tcPr>
            <w:tcW w:w="849" w:type="dxa"/>
            <w:tcBorders>
              <w:top w:val="nil"/>
              <w:left w:val="nil"/>
              <w:bottom w:val="single" w:color="auto" w:sz="4" w:space="0"/>
              <w:right w:val="single" w:color="auto" w:sz="4" w:space="0"/>
            </w:tcBorders>
            <w:vAlign w:val="center"/>
          </w:tcPr>
          <w:p w14:paraId="122ED6E2">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万元</w:t>
            </w:r>
          </w:p>
        </w:tc>
        <w:tc>
          <w:tcPr>
            <w:tcW w:w="1867" w:type="dxa"/>
            <w:tcBorders>
              <w:top w:val="nil"/>
              <w:left w:val="nil"/>
              <w:bottom w:val="single" w:color="auto" w:sz="4" w:space="0"/>
              <w:right w:val="single" w:color="auto" w:sz="4" w:space="0"/>
            </w:tcBorders>
            <w:vAlign w:val="center"/>
          </w:tcPr>
          <w:p w14:paraId="4E85B1F8">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2000≤Y＜10000</w:t>
            </w:r>
          </w:p>
        </w:tc>
        <w:tc>
          <w:tcPr>
            <w:tcW w:w="1659" w:type="dxa"/>
            <w:tcBorders>
              <w:top w:val="nil"/>
              <w:left w:val="nil"/>
              <w:bottom w:val="single" w:color="auto" w:sz="4" w:space="0"/>
              <w:right w:val="single" w:color="auto" w:sz="4" w:space="0"/>
            </w:tcBorders>
            <w:vAlign w:val="center"/>
          </w:tcPr>
          <w:p w14:paraId="5D4561F9">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100≤Y＜2000</w:t>
            </w:r>
          </w:p>
        </w:tc>
        <w:tc>
          <w:tcPr>
            <w:tcW w:w="1066" w:type="dxa"/>
            <w:tcBorders>
              <w:top w:val="nil"/>
              <w:left w:val="nil"/>
              <w:bottom w:val="single" w:color="auto" w:sz="4" w:space="0"/>
              <w:right w:val="single" w:color="auto" w:sz="4" w:space="0"/>
            </w:tcBorders>
            <w:vAlign w:val="center"/>
          </w:tcPr>
          <w:p w14:paraId="01CFD2FC">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Y＜100</w:t>
            </w:r>
          </w:p>
        </w:tc>
      </w:tr>
      <w:tr w14:paraId="47792A28">
        <w:tblPrEx>
          <w:tblCellMar>
            <w:top w:w="0" w:type="dxa"/>
            <w:left w:w="108" w:type="dxa"/>
            <w:bottom w:w="0" w:type="dxa"/>
            <w:right w:w="108" w:type="dxa"/>
          </w:tblCellMar>
        </w:tblPrEx>
        <w:trPr>
          <w:trHeight w:val="356" w:hRule="atLeast"/>
        </w:trPr>
        <w:tc>
          <w:tcPr>
            <w:tcW w:w="1960" w:type="dxa"/>
            <w:vMerge w:val="restart"/>
            <w:tcBorders>
              <w:top w:val="nil"/>
              <w:left w:val="single" w:color="auto" w:sz="4" w:space="0"/>
              <w:bottom w:val="single" w:color="auto" w:sz="4" w:space="0"/>
              <w:right w:val="single" w:color="auto" w:sz="4" w:space="0"/>
            </w:tcBorders>
            <w:vAlign w:val="bottom"/>
          </w:tcPr>
          <w:p w14:paraId="59060B62">
            <w:pPr>
              <w:pageBreakBefore w:val="0"/>
              <w:widowControl/>
              <w:wordWrap/>
              <w:topLinePunct w:val="0"/>
              <w:bidi w:val="0"/>
              <w:spacing w:line="560" w:lineRule="exact"/>
              <w:jc w:val="center"/>
              <w:rPr>
                <w:rFonts w:ascii="仿宋_GB2312" w:hAnsi="仿宋" w:eastAsia="仿宋_GB2312" w:cs="宋体"/>
                <w:b/>
                <w:bCs/>
                <w:color w:val="000000" w:themeColor="text1"/>
                <w:kern w:val="0"/>
                <w:sz w:val="20"/>
                <w:szCs w:val="20"/>
                <w:highlight w:val="none"/>
                <w14:textFill>
                  <w14:solidFill>
                    <w14:schemeClr w14:val="tx1"/>
                  </w14:solidFill>
                </w14:textFill>
              </w:rPr>
            </w:pPr>
            <w:r>
              <w:rPr>
                <w:rFonts w:hint="eastAsia" w:ascii="仿宋_GB2312" w:hAnsi="仿宋" w:eastAsia="仿宋_GB2312" w:cs="宋体"/>
                <w:b/>
                <w:bCs/>
                <w:color w:val="000000" w:themeColor="text1"/>
                <w:kern w:val="0"/>
                <w:sz w:val="20"/>
                <w:szCs w:val="20"/>
                <w:highlight w:val="none"/>
                <w14:textFill>
                  <w14:solidFill>
                    <w14:schemeClr w14:val="tx1"/>
                  </w14:solidFill>
                </w14:textFill>
              </w:rPr>
              <w:t>餐饮业</w:t>
            </w:r>
          </w:p>
        </w:tc>
        <w:tc>
          <w:tcPr>
            <w:tcW w:w="1797" w:type="dxa"/>
            <w:tcBorders>
              <w:top w:val="nil"/>
              <w:left w:val="nil"/>
              <w:bottom w:val="single" w:color="auto" w:sz="4" w:space="0"/>
              <w:right w:val="single" w:color="auto" w:sz="4" w:space="0"/>
            </w:tcBorders>
            <w:vAlign w:val="center"/>
          </w:tcPr>
          <w:p w14:paraId="7EDACC0E">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从业人员（X）</w:t>
            </w:r>
          </w:p>
        </w:tc>
        <w:tc>
          <w:tcPr>
            <w:tcW w:w="849" w:type="dxa"/>
            <w:tcBorders>
              <w:top w:val="nil"/>
              <w:left w:val="nil"/>
              <w:bottom w:val="single" w:color="auto" w:sz="4" w:space="0"/>
              <w:right w:val="single" w:color="auto" w:sz="4" w:space="0"/>
            </w:tcBorders>
            <w:vAlign w:val="center"/>
          </w:tcPr>
          <w:p w14:paraId="349E6634">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人</w:t>
            </w:r>
          </w:p>
        </w:tc>
        <w:tc>
          <w:tcPr>
            <w:tcW w:w="1867" w:type="dxa"/>
            <w:tcBorders>
              <w:top w:val="nil"/>
              <w:left w:val="nil"/>
              <w:bottom w:val="single" w:color="auto" w:sz="4" w:space="0"/>
              <w:right w:val="single" w:color="auto" w:sz="4" w:space="0"/>
            </w:tcBorders>
            <w:vAlign w:val="center"/>
          </w:tcPr>
          <w:p w14:paraId="179356E3">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100≤X＜300</w:t>
            </w:r>
          </w:p>
        </w:tc>
        <w:tc>
          <w:tcPr>
            <w:tcW w:w="1659" w:type="dxa"/>
            <w:tcBorders>
              <w:top w:val="nil"/>
              <w:left w:val="nil"/>
              <w:bottom w:val="single" w:color="auto" w:sz="4" w:space="0"/>
              <w:right w:val="single" w:color="auto" w:sz="4" w:space="0"/>
            </w:tcBorders>
            <w:vAlign w:val="center"/>
          </w:tcPr>
          <w:p w14:paraId="5D61799F">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10≤X＜100</w:t>
            </w:r>
          </w:p>
        </w:tc>
        <w:tc>
          <w:tcPr>
            <w:tcW w:w="1066" w:type="dxa"/>
            <w:tcBorders>
              <w:top w:val="nil"/>
              <w:left w:val="nil"/>
              <w:bottom w:val="single" w:color="auto" w:sz="4" w:space="0"/>
              <w:right w:val="single" w:color="auto" w:sz="4" w:space="0"/>
            </w:tcBorders>
            <w:vAlign w:val="center"/>
          </w:tcPr>
          <w:p w14:paraId="551910D6">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X＜10</w:t>
            </w:r>
          </w:p>
        </w:tc>
      </w:tr>
      <w:tr w14:paraId="259509C6">
        <w:tblPrEx>
          <w:tblCellMar>
            <w:top w:w="0" w:type="dxa"/>
            <w:left w:w="108" w:type="dxa"/>
            <w:bottom w:w="0" w:type="dxa"/>
            <w:right w:w="108" w:type="dxa"/>
          </w:tblCellMar>
        </w:tblPrEx>
        <w:trPr>
          <w:trHeight w:val="356" w:hRule="atLeast"/>
        </w:trPr>
        <w:tc>
          <w:tcPr>
            <w:tcW w:w="1960" w:type="dxa"/>
            <w:vMerge w:val="continue"/>
            <w:tcBorders>
              <w:top w:val="nil"/>
              <w:left w:val="single" w:color="auto" w:sz="4" w:space="0"/>
              <w:bottom w:val="single" w:color="auto" w:sz="4" w:space="0"/>
              <w:right w:val="single" w:color="auto" w:sz="4" w:space="0"/>
            </w:tcBorders>
            <w:vAlign w:val="center"/>
          </w:tcPr>
          <w:p w14:paraId="789412B8">
            <w:pPr>
              <w:pageBreakBefore w:val="0"/>
              <w:widowControl/>
              <w:wordWrap/>
              <w:topLinePunct w:val="0"/>
              <w:bidi w:val="0"/>
              <w:spacing w:line="560" w:lineRule="exact"/>
              <w:jc w:val="left"/>
              <w:rPr>
                <w:rFonts w:ascii="仿宋_GB2312" w:hAnsi="仿宋" w:eastAsia="仿宋_GB2312" w:cs="宋体"/>
                <w:b/>
                <w:bCs/>
                <w:color w:val="000000" w:themeColor="text1"/>
                <w:kern w:val="0"/>
                <w:sz w:val="20"/>
                <w:szCs w:val="20"/>
                <w:highlight w:val="none"/>
                <w14:textFill>
                  <w14:solidFill>
                    <w14:schemeClr w14:val="tx1"/>
                  </w14:solidFill>
                </w14:textFill>
              </w:rPr>
            </w:pPr>
          </w:p>
        </w:tc>
        <w:tc>
          <w:tcPr>
            <w:tcW w:w="1797" w:type="dxa"/>
            <w:tcBorders>
              <w:top w:val="nil"/>
              <w:left w:val="nil"/>
              <w:bottom w:val="single" w:color="auto" w:sz="4" w:space="0"/>
              <w:right w:val="single" w:color="auto" w:sz="4" w:space="0"/>
            </w:tcBorders>
            <w:vAlign w:val="center"/>
          </w:tcPr>
          <w:p w14:paraId="73F0F5E7">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营业收入（Y）</w:t>
            </w:r>
          </w:p>
        </w:tc>
        <w:tc>
          <w:tcPr>
            <w:tcW w:w="849" w:type="dxa"/>
            <w:tcBorders>
              <w:top w:val="nil"/>
              <w:left w:val="nil"/>
              <w:bottom w:val="single" w:color="auto" w:sz="4" w:space="0"/>
              <w:right w:val="single" w:color="auto" w:sz="4" w:space="0"/>
            </w:tcBorders>
            <w:vAlign w:val="center"/>
          </w:tcPr>
          <w:p w14:paraId="6CFD4159">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万元</w:t>
            </w:r>
          </w:p>
        </w:tc>
        <w:tc>
          <w:tcPr>
            <w:tcW w:w="1867" w:type="dxa"/>
            <w:tcBorders>
              <w:top w:val="nil"/>
              <w:left w:val="nil"/>
              <w:bottom w:val="single" w:color="auto" w:sz="4" w:space="0"/>
              <w:right w:val="single" w:color="auto" w:sz="4" w:space="0"/>
            </w:tcBorders>
            <w:vAlign w:val="center"/>
          </w:tcPr>
          <w:p w14:paraId="0B047B21">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2000≤Y＜10000</w:t>
            </w:r>
          </w:p>
        </w:tc>
        <w:tc>
          <w:tcPr>
            <w:tcW w:w="1659" w:type="dxa"/>
            <w:tcBorders>
              <w:top w:val="nil"/>
              <w:left w:val="nil"/>
              <w:bottom w:val="single" w:color="auto" w:sz="4" w:space="0"/>
              <w:right w:val="single" w:color="auto" w:sz="4" w:space="0"/>
            </w:tcBorders>
            <w:vAlign w:val="center"/>
          </w:tcPr>
          <w:p w14:paraId="30B76A32">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100≤Y＜2000</w:t>
            </w:r>
          </w:p>
        </w:tc>
        <w:tc>
          <w:tcPr>
            <w:tcW w:w="1066" w:type="dxa"/>
            <w:tcBorders>
              <w:top w:val="nil"/>
              <w:left w:val="nil"/>
              <w:bottom w:val="single" w:color="auto" w:sz="4" w:space="0"/>
              <w:right w:val="single" w:color="auto" w:sz="4" w:space="0"/>
            </w:tcBorders>
            <w:vAlign w:val="center"/>
          </w:tcPr>
          <w:p w14:paraId="1D3EE9FE">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Y＜100</w:t>
            </w:r>
          </w:p>
        </w:tc>
      </w:tr>
      <w:tr w14:paraId="1FD744FD">
        <w:tblPrEx>
          <w:tblCellMar>
            <w:top w:w="0" w:type="dxa"/>
            <w:left w:w="108" w:type="dxa"/>
            <w:bottom w:w="0" w:type="dxa"/>
            <w:right w:w="108" w:type="dxa"/>
          </w:tblCellMar>
        </w:tblPrEx>
        <w:trPr>
          <w:trHeight w:val="356" w:hRule="atLeast"/>
        </w:trPr>
        <w:tc>
          <w:tcPr>
            <w:tcW w:w="1960" w:type="dxa"/>
            <w:vMerge w:val="restart"/>
            <w:tcBorders>
              <w:top w:val="nil"/>
              <w:left w:val="single" w:color="auto" w:sz="4" w:space="0"/>
              <w:bottom w:val="single" w:color="auto" w:sz="4" w:space="0"/>
              <w:right w:val="single" w:color="auto" w:sz="4" w:space="0"/>
            </w:tcBorders>
            <w:vAlign w:val="bottom"/>
          </w:tcPr>
          <w:p w14:paraId="73ADD376">
            <w:pPr>
              <w:pageBreakBefore w:val="0"/>
              <w:widowControl/>
              <w:wordWrap/>
              <w:topLinePunct w:val="0"/>
              <w:bidi w:val="0"/>
              <w:spacing w:line="560" w:lineRule="exact"/>
              <w:jc w:val="center"/>
              <w:rPr>
                <w:rFonts w:ascii="仿宋_GB2312" w:hAnsi="仿宋" w:eastAsia="仿宋_GB2312" w:cs="宋体"/>
                <w:b/>
                <w:bCs/>
                <w:color w:val="000000" w:themeColor="text1"/>
                <w:kern w:val="0"/>
                <w:sz w:val="20"/>
                <w:szCs w:val="20"/>
                <w:highlight w:val="none"/>
                <w14:textFill>
                  <w14:solidFill>
                    <w14:schemeClr w14:val="tx1"/>
                  </w14:solidFill>
                </w14:textFill>
              </w:rPr>
            </w:pPr>
            <w:r>
              <w:rPr>
                <w:rFonts w:hint="eastAsia" w:ascii="仿宋_GB2312" w:hAnsi="仿宋" w:eastAsia="仿宋_GB2312" w:cs="宋体"/>
                <w:b/>
                <w:bCs/>
                <w:color w:val="000000" w:themeColor="text1"/>
                <w:kern w:val="0"/>
                <w:sz w:val="20"/>
                <w:szCs w:val="20"/>
                <w:highlight w:val="none"/>
                <w14:textFill>
                  <w14:solidFill>
                    <w14:schemeClr w14:val="tx1"/>
                  </w14:solidFill>
                </w14:textFill>
              </w:rPr>
              <w:t>信息传输业</w:t>
            </w:r>
          </w:p>
        </w:tc>
        <w:tc>
          <w:tcPr>
            <w:tcW w:w="1797" w:type="dxa"/>
            <w:tcBorders>
              <w:top w:val="nil"/>
              <w:left w:val="nil"/>
              <w:bottom w:val="single" w:color="auto" w:sz="4" w:space="0"/>
              <w:right w:val="single" w:color="auto" w:sz="4" w:space="0"/>
            </w:tcBorders>
            <w:vAlign w:val="center"/>
          </w:tcPr>
          <w:p w14:paraId="7E31F466">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从业人员（X）</w:t>
            </w:r>
          </w:p>
        </w:tc>
        <w:tc>
          <w:tcPr>
            <w:tcW w:w="849" w:type="dxa"/>
            <w:tcBorders>
              <w:top w:val="nil"/>
              <w:left w:val="nil"/>
              <w:bottom w:val="single" w:color="auto" w:sz="4" w:space="0"/>
              <w:right w:val="single" w:color="auto" w:sz="4" w:space="0"/>
            </w:tcBorders>
            <w:vAlign w:val="center"/>
          </w:tcPr>
          <w:p w14:paraId="0D44A9C6">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人</w:t>
            </w:r>
          </w:p>
        </w:tc>
        <w:tc>
          <w:tcPr>
            <w:tcW w:w="1867" w:type="dxa"/>
            <w:tcBorders>
              <w:top w:val="nil"/>
              <w:left w:val="nil"/>
              <w:bottom w:val="single" w:color="auto" w:sz="4" w:space="0"/>
              <w:right w:val="single" w:color="auto" w:sz="4" w:space="0"/>
            </w:tcBorders>
            <w:vAlign w:val="center"/>
          </w:tcPr>
          <w:p w14:paraId="132B7C3E">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100≤X＜2000</w:t>
            </w:r>
          </w:p>
        </w:tc>
        <w:tc>
          <w:tcPr>
            <w:tcW w:w="1659" w:type="dxa"/>
            <w:tcBorders>
              <w:top w:val="nil"/>
              <w:left w:val="nil"/>
              <w:bottom w:val="single" w:color="auto" w:sz="4" w:space="0"/>
              <w:right w:val="single" w:color="auto" w:sz="4" w:space="0"/>
            </w:tcBorders>
            <w:vAlign w:val="center"/>
          </w:tcPr>
          <w:p w14:paraId="0192981C">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10≤X＜100</w:t>
            </w:r>
          </w:p>
        </w:tc>
        <w:tc>
          <w:tcPr>
            <w:tcW w:w="1066" w:type="dxa"/>
            <w:tcBorders>
              <w:top w:val="nil"/>
              <w:left w:val="nil"/>
              <w:bottom w:val="single" w:color="auto" w:sz="4" w:space="0"/>
              <w:right w:val="single" w:color="auto" w:sz="4" w:space="0"/>
            </w:tcBorders>
            <w:vAlign w:val="center"/>
          </w:tcPr>
          <w:p w14:paraId="04EE03DB">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X＜10</w:t>
            </w:r>
          </w:p>
        </w:tc>
      </w:tr>
      <w:tr w14:paraId="76906889">
        <w:tblPrEx>
          <w:tblCellMar>
            <w:top w:w="0" w:type="dxa"/>
            <w:left w:w="108" w:type="dxa"/>
            <w:bottom w:w="0" w:type="dxa"/>
            <w:right w:w="108" w:type="dxa"/>
          </w:tblCellMar>
        </w:tblPrEx>
        <w:trPr>
          <w:trHeight w:val="356" w:hRule="atLeast"/>
        </w:trPr>
        <w:tc>
          <w:tcPr>
            <w:tcW w:w="1960" w:type="dxa"/>
            <w:vMerge w:val="continue"/>
            <w:tcBorders>
              <w:top w:val="nil"/>
              <w:left w:val="single" w:color="auto" w:sz="4" w:space="0"/>
              <w:bottom w:val="single" w:color="auto" w:sz="4" w:space="0"/>
              <w:right w:val="single" w:color="auto" w:sz="4" w:space="0"/>
            </w:tcBorders>
            <w:vAlign w:val="center"/>
          </w:tcPr>
          <w:p w14:paraId="05A661FA">
            <w:pPr>
              <w:pageBreakBefore w:val="0"/>
              <w:widowControl/>
              <w:wordWrap/>
              <w:topLinePunct w:val="0"/>
              <w:bidi w:val="0"/>
              <w:spacing w:line="560" w:lineRule="exact"/>
              <w:jc w:val="left"/>
              <w:rPr>
                <w:rFonts w:ascii="仿宋_GB2312" w:hAnsi="仿宋" w:eastAsia="仿宋_GB2312" w:cs="宋体"/>
                <w:b/>
                <w:bCs/>
                <w:color w:val="000000" w:themeColor="text1"/>
                <w:kern w:val="0"/>
                <w:sz w:val="20"/>
                <w:szCs w:val="20"/>
                <w:highlight w:val="none"/>
                <w14:textFill>
                  <w14:solidFill>
                    <w14:schemeClr w14:val="tx1"/>
                  </w14:solidFill>
                </w14:textFill>
              </w:rPr>
            </w:pPr>
          </w:p>
        </w:tc>
        <w:tc>
          <w:tcPr>
            <w:tcW w:w="1797" w:type="dxa"/>
            <w:tcBorders>
              <w:top w:val="nil"/>
              <w:left w:val="nil"/>
              <w:bottom w:val="single" w:color="auto" w:sz="4" w:space="0"/>
              <w:right w:val="single" w:color="auto" w:sz="4" w:space="0"/>
            </w:tcBorders>
            <w:vAlign w:val="center"/>
          </w:tcPr>
          <w:p w14:paraId="78F51C64">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营业收入（Y）</w:t>
            </w:r>
          </w:p>
        </w:tc>
        <w:tc>
          <w:tcPr>
            <w:tcW w:w="849" w:type="dxa"/>
            <w:tcBorders>
              <w:top w:val="nil"/>
              <w:left w:val="nil"/>
              <w:bottom w:val="single" w:color="auto" w:sz="4" w:space="0"/>
              <w:right w:val="single" w:color="auto" w:sz="4" w:space="0"/>
            </w:tcBorders>
            <w:vAlign w:val="center"/>
          </w:tcPr>
          <w:p w14:paraId="3DB215F4">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万元</w:t>
            </w:r>
          </w:p>
        </w:tc>
        <w:tc>
          <w:tcPr>
            <w:tcW w:w="1867" w:type="dxa"/>
            <w:tcBorders>
              <w:top w:val="nil"/>
              <w:left w:val="nil"/>
              <w:bottom w:val="single" w:color="auto" w:sz="4" w:space="0"/>
              <w:right w:val="single" w:color="auto" w:sz="4" w:space="0"/>
            </w:tcBorders>
            <w:vAlign w:val="center"/>
          </w:tcPr>
          <w:p w14:paraId="3445EE59">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1000≤Y＜100000</w:t>
            </w:r>
          </w:p>
        </w:tc>
        <w:tc>
          <w:tcPr>
            <w:tcW w:w="1659" w:type="dxa"/>
            <w:tcBorders>
              <w:top w:val="nil"/>
              <w:left w:val="nil"/>
              <w:bottom w:val="single" w:color="auto" w:sz="4" w:space="0"/>
              <w:right w:val="single" w:color="auto" w:sz="4" w:space="0"/>
            </w:tcBorders>
            <w:vAlign w:val="center"/>
          </w:tcPr>
          <w:p w14:paraId="145A6BDE">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100≤Y＜1000</w:t>
            </w:r>
          </w:p>
        </w:tc>
        <w:tc>
          <w:tcPr>
            <w:tcW w:w="1066" w:type="dxa"/>
            <w:tcBorders>
              <w:top w:val="nil"/>
              <w:left w:val="nil"/>
              <w:bottom w:val="single" w:color="auto" w:sz="4" w:space="0"/>
              <w:right w:val="single" w:color="auto" w:sz="4" w:space="0"/>
            </w:tcBorders>
            <w:vAlign w:val="center"/>
          </w:tcPr>
          <w:p w14:paraId="47EF3430">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Y＜100</w:t>
            </w:r>
          </w:p>
        </w:tc>
      </w:tr>
      <w:tr w14:paraId="4726E108">
        <w:tblPrEx>
          <w:tblCellMar>
            <w:top w:w="0" w:type="dxa"/>
            <w:left w:w="108" w:type="dxa"/>
            <w:bottom w:w="0" w:type="dxa"/>
            <w:right w:w="108" w:type="dxa"/>
          </w:tblCellMar>
        </w:tblPrEx>
        <w:trPr>
          <w:trHeight w:val="356" w:hRule="atLeast"/>
        </w:trPr>
        <w:tc>
          <w:tcPr>
            <w:tcW w:w="1960" w:type="dxa"/>
            <w:vMerge w:val="restart"/>
            <w:tcBorders>
              <w:top w:val="nil"/>
              <w:left w:val="single" w:color="auto" w:sz="4" w:space="0"/>
              <w:bottom w:val="single" w:color="auto" w:sz="4" w:space="0"/>
              <w:right w:val="single" w:color="auto" w:sz="4" w:space="0"/>
            </w:tcBorders>
            <w:vAlign w:val="bottom"/>
          </w:tcPr>
          <w:p w14:paraId="5C9E7CA1">
            <w:pPr>
              <w:pageBreakBefore w:val="0"/>
              <w:widowControl/>
              <w:wordWrap/>
              <w:topLinePunct w:val="0"/>
              <w:bidi w:val="0"/>
              <w:spacing w:line="560" w:lineRule="exact"/>
              <w:jc w:val="center"/>
              <w:rPr>
                <w:rFonts w:ascii="仿宋_GB2312" w:hAnsi="仿宋" w:eastAsia="仿宋_GB2312" w:cs="宋体"/>
                <w:b/>
                <w:bCs/>
                <w:color w:val="000000" w:themeColor="text1"/>
                <w:kern w:val="0"/>
                <w:sz w:val="20"/>
                <w:szCs w:val="20"/>
                <w:highlight w:val="none"/>
                <w14:textFill>
                  <w14:solidFill>
                    <w14:schemeClr w14:val="tx1"/>
                  </w14:solidFill>
                </w14:textFill>
              </w:rPr>
            </w:pPr>
            <w:r>
              <w:rPr>
                <w:rFonts w:hint="eastAsia" w:ascii="仿宋_GB2312" w:hAnsi="仿宋" w:eastAsia="仿宋_GB2312" w:cs="宋体"/>
                <w:b/>
                <w:bCs/>
                <w:color w:val="000000" w:themeColor="text1"/>
                <w:kern w:val="0"/>
                <w:sz w:val="20"/>
                <w:szCs w:val="20"/>
                <w:highlight w:val="none"/>
                <w14:textFill>
                  <w14:solidFill>
                    <w14:schemeClr w14:val="tx1"/>
                  </w14:solidFill>
                </w14:textFill>
              </w:rPr>
              <w:t>软件和信息技术服务业</w:t>
            </w:r>
          </w:p>
        </w:tc>
        <w:tc>
          <w:tcPr>
            <w:tcW w:w="1797" w:type="dxa"/>
            <w:tcBorders>
              <w:top w:val="nil"/>
              <w:left w:val="nil"/>
              <w:bottom w:val="single" w:color="auto" w:sz="4" w:space="0"/>
              <w:right w:val="single" w:color="auto" w:sz="4" w:space="0"/>
            </w:tcBorders>
            <w:vAlign w:val="center"/>
          </w:tcPr>
          <w:p w14:paraId="4317B509">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从业人员（X）</w:t>
            </w:r>
          </w:p>
        </w:tc>
        <w:tc>
          <w:tcPr>
            <w:tcW w:w="849" w:type="dxa"/>
            <w:tcBorders>
              <w:top w:val="nil"/>
              <w:left w:val="nil"/>
              <w:bottom w:val="single" w:color="auto" w:sz="4" w:space="0"/>
              <w:right w:val="single" w:color="auto" w:sz="4" w:space="0"/>
            </w:tcBorders>
            <w:vAlign w:val="center"/>
          </w:tcPr>
          <w:p w14:paraId="6BD782EC">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人</w:t>
            </w:r>
          </w:p>
        </w:tc>
        <w:tc>
          <w:tcPr>
            <w:tcW w:w="1867" w:type="dxa"/>
            <w:tcBorders>
              <w:top w:val="nil"/>
              <w:left w:val="nil"/>
              <w:bottom w:val="single" w:color="auto" w:sz="4" w:space="0"/>
              <w:right w:val="single" w:color="auto" w:sz="4" w:space="0"/>
            </w:tcBorders>
            <w:vAlign w:val="center"/>
          </w:tcPr>
          <w:p w14:paraId="5A5619E9">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100≤X＜300</w:t>
            </w:r>
          </w:p>
        </w:tc>
        <w:tc>
          <w:tcPr>
            <w:tcW w:w="1659" w:type="dxa"/>
            <w:tcBorders>
              <w:top w:val="nil"/>
              <w:left w:val="nil"/>
              <w:bottom w:val="single" w:color="auto" w:sz="4" w:space="0"/>
              <w:right w:val="single" w:color="auto" w:sz="4" w:space="0"/>
            </w:tcBorders>
            <w:vAlign w:val="center"/>
          </w:tcPr>
          <w:p w14:paraId="3CFDC029">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10≤X＜100</w:t>
            </w:r>
          </w:p>
        </w:tc>
        <w:tc>
          <w:tcPr>
            <w:tcW w:w="1066" w:type="dxa"/>
            <w:tcBorders>
              <w:top w:val="nil"/>
              <w:left w:val="nil"/>
              <w:bottom w:val="single" w:color="auto" w:sz="4" w:space="0"/>
              <w:right w:val="single" w:color="auto" w:sz="4" w:space="0"/>
            </w:tcBorders>
            <w:vAlign w:val="center"/>
          </w:tcPr>
          <w:p w14:paraId="15DF90E8">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X＜10</w:t>
            </w:r>
          </w:p>
        </w:tc>
      </w:tr>
      <w:tr w14:paraId="61DD9489">
        <w:tblPrEx>
          <w:tblCellMar>
            <w:top w:w="0" w:type="dxa"/>
            <w:left w:w="108" w:type="dxa"/>
            <w:bottom w:w="0" w:type="dxa"/>
            <w:right w:w="108" w:type="dxa"/>
          </w:tblCellMar>
        </w:tblPrEx>
        <w:trPr>
          <w:trHeight w:val="356" w:hRule="atLeast"/>
        </w:trPr>
        <w:tc>
          <w:tcPr>
            <w:tcW w:w="1960" w:type="dxa"/>
            <w:vMerge w:val="continue"/>
            <w:tcBorders>
              <w:top w:val="nil"/>
              <w:left w:val="single" w:color="auto" w:sz="4" w:space="0"/>
              <w:bottom w:val="single" w:color="auto" w:sz="4" w:space="0"/>
              <w:right w:val="single" w:color="auto" w:sz="4" w:space="0"/>
            </w:tcBorders>
            <w:vAlign w:val="center"/>
          </w:tcPr>
          <w:p w14:paraId="14C7D54C">
            <w:pPr>
              <w:pageBreakBefore w:val="0"/>
              <w:widowControl/>
              <w:wordWrap/>
              <w:topLinePunct w:val="0"/>
              <w:bidi w:val="0"/>
              <w:spacing w:line="560" w:lineRule="exact"/>
              <w:jc w:val="left"/>
              <w:rPr>
                <w:rFonts w:ascii="仿宋_GB2312" w:hAnsi="仿宋" w:eastAsia="仿宋_GB2312" w:cs="宋体"/>
                <w:b/>
                <w:bCs/>
                <w:color w:val="000000" w:themeColor="text1"/>
                <w:kern w:val="0"/>
                <w:sz w:val="20"/>
                <w:szCs w:val="20"/>
                <w:highlight w:val="none"/>
                <w14:textFill>
                  <w14:solidFill>
                    <w14:schemeClr w14:val="tx1"/>
                  </w14:solidFill>
                </w14:textFill>
              </w:rPr>
            </w:pPr>
          </w:p>
        </w:tc>
        <w:tc>
          <w:tcPr>
            <w:tcW w:w="1797" w:type="dxa"/>
            <w:tcBorders>
              <w:top w:val="nil"/>
              <w:left w:val="nil"/>
              <w:bottom w:val="single" w:color="auto" w:sz="4" w:space="0"/>
              <w:right w:val="single" w:color="auto" w:sz="4" w:space="0"/>
            </w:tcBorders>
            <w:vAlign w:val="center"/>
          </w:tcPr>
          <w:p w14:paraId="32DDD273">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营业收入（Y）</w:t>
            </w:r>
          </w:p>
        </w:tc>
        <w:tc>
          <w:tcPr>
            <w:tcW w:w="849" w:type="dxa"/>
            <w:tcBorders>
              <w:top w:val="nil"/>
              <w:left w:val="nil"/>
              <w:bottom w:val="single" w:color="auto" w:sz="4" w:space="0"/>
              <w:right w:val="single" w:color="auto" w:sz="4" w:space="0"/>
            </w:tcBorders>
            <w:vAlign w:val="center"/>
          </w:tcPr>
          <w:p w14:paraId="57BA22D2">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万元</w:t>
            </w:r>
          </w:p>
        </w:tc>
        <w:tc>
          <w:tcPr>
            <w:tcW w:w="1867" w:type="dxa"/>
            <w:tcBorders>
              <w:top w:val="nil"/>
              <w:left w:val="nil"/>
              <w:bottom w:val="single" w:color="auto" w:sz="4" w:space="0"/>
              <w:right w:val="single" w:color="auto" w:sz="4" w:space="0"/>
            </w:tcBorders>
            <w:vAlign w:val="center"/>
          </w:tcPr>
          <w:p w14:paraId="459A94DC">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1000≤Y＜10000</w:t>
            </w:r>
          </w:p>
        </w:tc>
        <w:tc>
          <w:tcPr>
            <w:tcW w:w="1659" w:type="dxa"/>
            <w:tcBorders>
              <w:top w:val="nil"/>
              <w:left w:val="nil"/>
              <w:bottom w:val="single" w:color="auto" w:sz="4" w:space="0"/>
              <w:right w:val="single" w:color="auto" w:sz="4" w:space="0"/>
            </w:tcBorders>
            <w:vAlign w:val="center"/>
          </w:tcPr>
          <w:p w14:paraId="460BB7F5">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50≤Y＜1000</w:t>
            </w:r>
          </w:p>
        </w:tc>
        <w:tc>
          <w:tcPr>
            <w:tcW w:w="1066" w:type="dxa"/>
            <w:tcBorders>
              <w:top w:val="nil"/>
              <w:left w:val="nil"/>
              <w:bottom w:val="single" w:color="auto" w:sz="4" w:space="0"/>
              <w:right w:val="single" w:color="auto" w:sz="4" w:space="0"/>
            </w:tcBorders>
            <w:vAlign w:val="center"/>
          </w:tcPr>
          <w:p w14:paraId="20F1229E">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Y＜50</w:t>
            </w:r>
          </w:p>
        </w:tc>
      </w:tr>
      <w:tr w14:paraId="43739782">
        <w:tblPrEx>
          <w:tblCellMar>
            <w:top w:w="0" w:type="dxa"/>
            <w:left w:w="108" w:type="dxa"/>
            <w:bottom w:w="0" w:type="dxa"/>
            <w:right w:w="108" w:type="dxa"/>
          </w:tblCellMar>
        </w:tblPrEx>
        <w:trPr>
          <w:trHeight w:val="356" w:hRule="atLeast"/>
        </w:trPr>
        <w:tc>
          <w:tcPr>
            <w:tcW w:w="1960" w:type="dxa"/>
            <w:vMerge w:val="restart"/>
            <w:tcBorders>
              <w:top w:val="nil"/>
              <w:left w:val="single" w:color="auto" w:sz="4" w:space="0"/>
              <w:bottom w:val="single" w:color="auto" w:sz="4" w:space="0"/>
              <w:right w:val="single" w:color="auto" w:sz="4" w:space="0"/>
            </w:tcBorders>
            <w:vAlign w:val="bottom"/>
          </w:tcPr>
          <w:p w14:paraId="65BCA46F">
            <w:pPr>
              <w:pageBreakBefore w:val="0"/>
              <w:widowControl/>
              <w:wordWrap/>
              <w:topLinePunct w:val="0"/>
              <w:bidi w:val="0"/>
              <w:spacing w:line="560" w:lineRule="exact"/>
              <w:jc w:val="center"/>
              <w:rPr>
                <w:rFonts w:ascii="仿宋_GB2312" w:hAnsi="仿宋" w:eastAsia="仿宋_GB2312" w:cs="宋体"/>
                <w:b/>
                <w:bCs/>
                <w:color w:val="000000" w:themeColor="text1"/>
                <w:kern w:val="0"/>
                <w:sz w:val="20"/>
                <w:szCs w:val="20"/>
                <w:highlight w:val="none"/>
                <w14:textFill>
                  <w14:solidFill>
                    <w14:schemeClr w14:val="tx1"/>
                  </w14:solidFill>
                </w14:textFill>
              </w:rPr>
            </w:pPr>
            <w:r>
              <w:rPr>
                <w:rFonts w:hint="eastAsia" w:ascii="仿宋_GB2312" w:hAnsi="仿宋" w:eastAsia="仿宋_GB2312" w:cs="宋体"/>
                <w:b/>
                <w:bCs/>
                <w:color w:val="000000" w:themeColor="text1"/>
                <w:kern w:val="0"/>
                <w:sz w:val="20"/>
                <w:szCs w:val="20"/>
                <w:highlight w:val="none"/>
                <w14:textFill>
                  <w14:solidFill>
                    <w14:schemeClr w14:val="tx1"/>
                  </w14:solidFill>
                </w14:textFill>
              </w:rPr>
              <w:t>房地产开发经营</w:t>
            </w:r>
          </w:p>
        </w:tc>
        <w:tc>
          <w:tcPr>
            <w:tcW w:w="1797" w:type="dxa"/>
            <w:tcBorders>
              <w:top w:val="nil"/>
              <w:left w:val="nil"/>
              <w:bottom w:val="single" w:color="auto" w:sz="4" w:space="0"/>
              <w:right w:val="single" w:color="auto" w:sz="4" w:space="0"/>
            </w:tcBorders>
            <w:vAlign w:val="center"/>
          </w:tcPr>
          <w:p w14:paraId="100DAC6A">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营业收入（Y）</w:t>
            </w:r>
          </w:p>
        </w:tc>
        <w:tc>
          <w:tcPr>
            <w:tcW w:w="849" w:type="dxa"/>
            <w:tcBorders>
              <w:top w:val="nil"/>
              <w:left w:val="nil"/>
              <w:bottom w:val="single" w:color="auto" w:sz="4" w:space="0"/>
              <w:right w:val="single" w:color="auto" w:sz="4" w:space="0"/>
            </w:tcBorders>
            <w:vAlign w:val="center"/>
          </w:tcPr>
          <w:p w14:paraId="0EC0F376">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万元</w:t>
            </w:r>
          </w:p>
        </w:tc>
        <w:tc>
          <w:tcPr>
            <w:tcW w:w="1867" w:type="dxa"/>
            <w:tcBorders>
              <w:top w:val="nil"/>
              <w:left w:val="nil"/>
              <w:bottom w:val="single" w:color="auto" w:sz="4" w:space="0"/>
              <w:right w:val="single" w:color="auto" w:sz="4" w:space="0"/>
            </w:tcBorders>
            <w:vAlign w:val="center"/>
          </w:tcPr>
          <w:p w14:paraId="105A75F3">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1000≤Y＜200000</w:t>
            </w:r>
          </w:p>
        </w:tc>
        <w:tc>
          <w:tcPr>
            <w:tcW w:w="1659" w:type="dxa"/>
            <w:tcBorders>
              <w:top w:val="nil"/>
              <w:left w:val="nil"/>
              <w:bottom w:val="single" w:color="auto" w:sz="4" w:space="0"/>
              <w:right w:val="single" w:color="auto" w:sz="4" w:space="0"/>
            </w:tcBorders>
            <w:vAlign w:val="center"/>
          </w:tcPr>
          <w:p w14:paraId="1AB0D116">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100≤X＜1000</w:t>
            </w:r>
          </w:p>
        </w:tc>
        <w:tc>
          <w:tcPr>
            <w:tcW w:w="1066" w:type="dxa"/>
            <w:tcBorders>
              <w:top w:val="nil"/>
              <w:left w:val="nil"/>
              <w:bottom w:val="single" w:color="auto" w:sz="4" w:space="0"/>
              <w:right w:val="single" w:color="auto" w:sz="4" w:space="0"/>
            </w:tcBorders>
            <w:vAlign w:val="center"/>
          </w:tcPr>
          <w:p w14:paraId="5F8602E1">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X＜100</w:t>
            </w:r>
          </w:p>
        </w:tc>
      </w:tr>
      <w:tr w14:paraId="18DBD7B0">
        <w:tblPrEx>
          <w:tblCellMar>
            <w:top w:w="0" w:type="dxa"/>
            <w:left w:w="108" w:type="dxa"/>
            <w:bottom w:w="0" w:type="dxa"/>
            <w:right w:w="108" w:type="dxa"/>
          </w:tblCellMar>
        </w:tblPrEx>
        <w:trPr>
          <w:trHeight w:val="356" w:hRule="atLeast"/>
        </w:trPr>
        <w:tc>
          <w:tcPr>
            <w:tcW w:w="1960" w:type="dxa"/>
            <w:vMerge w:val="continue"/>
            <w:tcBorders>
              <w:top w:val="nil"/>
              <w:left w:val="single" w:color="auto" w:sz="4" w:space="0"/>
              <w:bottom w:val="single" w:color="auto" w:sz="4" w:space="0"/>
              <w:right w:val="single" w:color="auto" w:sz="4" w:space="0"/>
            </w:tcBorders>
            <w:vAlign w:val="center"/>
          </w:tcPr>
          <w:p w14:paraId="54426B6A">
            <w:pPr>
              <w:pageBreakBefore w:val="0"/>
              <w:widowControl/>
              <w:wordWrap/>
              <w:topLinePunct w:val="0"/>
              <w:bidi w:val="0"/>
              <w:spacing w:line="560" w:lineRule="exact"/>
              <w:jc w:val="left"/>
              <w:rPr>
                <w:rFonts w:ascii="仿宋_GB2312" w:hAnsi="仿宋" w:eastAsia="仿宋_GB2312" w:cs="宋体"/>
                <w:b/>
                <w:bCs/>
                <w:color w:val="000000" w:themeColor="text1"/>
                <w:kern w:val="0"/>
                <w:sz w:val="20"/>
                <w:szCs w:val="20"/>
                <w:highlight w:val="none"/>
                <w14:textFill>
                  <w14:solidFill>
                    <w14:schemeClr w14:val="tx1"/>
                  </w14:solidFill>
                </w14:textFill>
              </w:rPr>
            </w:pPr>
          </w:p>
        </w:tc>
        <w:tc>
          <w:tcPr>
            <w:tcW w:w="1797" w:type="dxa"/>
            <w:tcBorders>
              <w:top w:val="nil"/>
              <w:left w:val="nil"/>
              <w:bottom w:val="single" w:color="auto" w:sz="4" w:space="0"/>
              <w:right w:val="single" w:color="auto" w:sz="4" w:space="0"/>
            </w:tcBorders>
            <w:vAlign w:val="center"/>
          </w:tcPr>
          <w:p w14:paraId="0C7727AF">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资产总额（Z）</w:t>
            </w:r>
          </w:p>
        </w:tc>
        <w:tc>
          <w:tcPr>
            <w:tcW w:w="849" w:type="dxa"/>
            <w:tcBorders>
              <w:top w:val="nil"/>
              <w:left w:val="nil"/>
              <w:bottom w:val="single" w:color="auto" w:sz="4" w:space="0"/>
              <w:right w:val="single" w:color="auto" w:sz="4" w:space="0"/>
            </w:tcBorders>
            <w:vAlign w:val="center"/>
          </w:tcPr>
          <w:p w14:paraId="6EF2BD72">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万元</w:t>
            </w:r>
          </w:p>
        </w:tc>
        <w:tc>
          <w:tcPr>
            <w:tcW w:w="1867" w:type="dxa"/>
            <w:tcBorders>
              <w:top w:val="nil"/>
              <w:left w:val="nil"/>
              <w:bottom w:val="single" w:color="auto" w:sz="4" w:space="0"/>
              <w:right w:val="single" w:color="auto" w:sz="4" w:space="0"/>
            </w:tcBorders>
            <w:vAlign w:val="center"/>
          </w:tcPr>
          <w:p w14:paraId="6AE9670E">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5000≤Z＜10000</w:t>
            </w:r>
          </w:p>
        </w:tc>
        <w:tc>
          <w:tcPr>
            <w:tcW w:w="1659" w:type="dxa"/>
            <w:tcBorders>
              <w:top w:val="nil"/>
              <w:left w:val="nil"/>
              <w:bottom w:val="single" w:color="auto" w:sz="4" w:space="0"/>
              <w:right w:val="single" w:color="auto" w:sz="4" w:space="0"/>
            </w:tcBorders>
            <w:vAlign w:val="center"/>
          </w:tcPr>
          <w:p w14:paraId="58B8FD4C">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2000≤Y＜5000</w:t>
            </w:r>
          </w:p>
        </w:tc>
        <w:tc>
          <w:tcPr>
            <w:tcW w:w="1066" w:type="dxa"/>
            <w:tcBorders>
              <w:top w:val="nil"/>
              <w:left w:val="nil"/>
              <w:bottom w:val="single" w:color="auto" w:sz="4" w:space="0"/>
              <w:right w:val="single" w:color="auto" w:sz="4" w:space="0"/>
            </w:tcBorders>
            <w:vAlign w:val="center"/>
          </w:tcPr>
          <w:p w14:paraId="708C4A0B">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Y＜2000</w:t>
            </w:r>
          </w:p>
        </w:tc>
      </w:tr>
      <w:tr w14:paraId="667B6559">
        <w:tblPrEx>
          <w:tblCellMar>
            <w:top w:w="0" w:type="dxa"/>
            <w:left w:w="108" w:type="dxa"/>
            <w:bottom w:w="0" w:type="dxa"/>
            <w:right w:w="108" w:type="dxa"/>
          </w:tblCellMar>
        </w:tblPrEx>
        <w:trPr>
          <w:trHeight w:val="356" w:hRule="atLeast"/>
        </w:trPr>
        <w:tc>
          <w:tcPr>
            <w:tcW w:w="1960" w:type="dxa"/>
            <w:vMerge w:val="restart"/>
            <w:tcBorders>
              <w:top w:val="nil"/>
              <w:left w:val="single" w:color="auto" w:sz="4" w:space="0"/>
              <w:bottom w:val="single" w:color="auto" w:sz="4" w:space="0"/>
              <w:right w:val="single" w:color="auto" w:sz="4" w:space="0"/>
            </w:tcBorders>
            <w:vAlign w:val="bottom"/>
          </w:tcPr>
          <w:p w14:paraId="7D95E2FB">
            <w:pPr>
              <w:pageBreakBefore w:val="0"/>
              <w:widowControl/>
              <w:wordWrap/>
              <w:topLinePunct w:val="0"/>
              <w:bidi w:val="0"/>
              <w:spacing w:line="560" w:lineRule="exact"/>
              <w:jc w:val="center"/>
              <w:rPr>
                <w:rFonts w:ascii="仿宋_GB2312" w:hAnsi="仿宋" w:eastAsia="仿宋_GB2312" w:cs="宋体"/>
                <w:b/>
                <w:bCs/>
                <w:color w:val="000000" w:themeColor="text1"/>
                <w:kern w:val="0"/>
                <w:sz w:val="20"/>
                <w:szCs w:val="20"/>
                <w:highlight w:val="none"/>
                <w14:textFill>
                  <w14:solidFill>
                    <w14:schemeClr w14:val="tx1"/>
                  </w14:solidFill>
                </w14:textFill>
              </w:rPr>
            </w:pPr>
            <w:r>
              <w:rPr>
                <w:rFonts w:hint="eastAsia" w:ascii="仿宋_GB2312" w:hAnsi="仿宋" w:eastAsia="仿宋_GB2312" w:cs="宋体"/>
                <w:b/>
                <w:bCs/>
                <w:color w:val="000000" w:themeColor="text1"/>
                <w:kern w:val="0"/>
                <w:sz w:val="20"/>
                <w:szCs w:val="20"/>
                <w:highlight w:val="none"/>
                <w14:textFill>
                  <w14:solidFill>
                    <w14:schemeClr w14:val="tx1"/>
                  </w14:solidFill>
                </w14:textFill>
              </w:rPr>
              <w:t>物业管理</w:t>
            </w:r>
          </w:p>
        </w:tc>
        <w:tc>
          <w:tcPr>
            <w:tcW w:w="1797" w:type="dxa"/>
            <w:tcBorders>
              <w:top w:val="nil"/>
              <w:left w:val="nil"/>
              <w:bottom w:val="single" w:color="auto" w:sz="4" w:space="0"/>
              <w:right w:val="single" w:color="auto" w:sz="4" w:space="0"/>
            </w:tcBorders>
            <w:vAlign w:val="center"/>
          </w:tcPr>
          <w:p w14:paraId="7AB52DC6">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从业人员（X）</w:t>
            </w:r>
          </w:p>
        </w:tc>
        <w:tc>
          <w:tcPr>
            <w:tcW w:w="849" w:type="dxa"/>
            <w:tcBorders>
              <w:top w:val="nil"/>
              <w:left w:val="nil"/>
              <w:bottom w:val="single" w:color="auto" w:sz="4" w:space="0"/>
              <w:right w:val="single" w:color="auto" w:sz="4" w:space="0"/>
            </w:tcBorders>
            <w:vAlign w:val="center"/>
          </w:tcPr>
          <w:p w14:paraId="5EAA4715">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人</w:t>
            </w:r>
          </w:p>
        </w:tc>
        <w:tc>
          <w:tcPr>
            <w:tcW w:w="1867" w:type="dxa"/>
            <w:tcBorders>
              <w:top w:val="nil"/>
              <w:left w:val="nil"/>
              <w:bottom w:val="single" w:color="auto" w:sz="4" w:space="0"/>
              <w:right w:val="single" w:color="auto" w:sz="4" w:space="0"/>
            </w:tcBorders>
            <w:vAlign w:val="center"/>
          </w:tcPr>
          <w:p w14:paraId="21BB0268">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300≤X＜1000</w:t>
            </w:r>
          </w:p>
        </w:tc>
        <w:tc>
          <w:tcPr>
            <w:tcW w:w="1659" w:type="dxa"/>
            <w:tcBorders>
              <w:top w:val="nil"/>
              <w:left w:val="nil"/>
              <w:bottom w:val="single" w:color="auto" w:sz="4" w:space="0"/>
              <w:right w:val="single" w:color="auto" w:sz="4" w:space="0"/>
            </w:tcBorders>
            <w:vAlign w:val="center"/>
          </w:tcPr>
          <w:p w14:paraId="6B105264">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100≤X＜300</w:t>
            </w:r>
          </w:p>
        </w:tc>
        <w:tc>
          <w:tcPr>
            <w:tcW w:w="1066" w:type="dxa"/>
            <w:tcBorders>
              <w:top w:val="nil"/>
              <w:left w:val="nil"/>
              <w:bottom w:val="single" w:color="auto" w:sz="4" w:space="0"/>
              <w:right w:val="single" w:color="auto" w:sz="4" w:space="0"/>
            </w:tcBorders>
            <w:vAlign w:val="center"/>
          </w:tcPr>
          <w:p w14:paraId="2BEF47B4">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X＜100</w:t>
            </w:r>
          </w:p>
        </w:tc>
      </w:tr>
      <w:tr w14:paraId="5FE7C108">
        <w:tblPrEx>
          <w:tblCellMar>
            <w:top w:w="0" w:type="dxa"/>
            <w:left w:w="108" w:type="dxa"/>
            <w:bottom w:w="0" w:type="dxa"/>
            <w:right w:w="108" w:type="dxa"/>
          </w:tblCellMar>
        </w:tblPrEx>
        <w:trPr>
          <w:trHeight w:val="356" w:hRule="atLeast"/>
        </w:trPr>
        <w:tc>
          <w:tcPr>
            <w:tcW w:w="1960" w:type="dxa"/>
            <w:vMerge w:val="continue"/>
            <w:tcBorders>
              <w:top w:val="nil"/>
              <w:left w:val="single" w:color="auto" w:sz="4" w:space="0"/>
              <w:bottom w:val="single" w:color="auto" w:sz="4" w:space="0"/>
              <w:right w:val="single" w:color="auto" w:sz="4" w:space="0"/>
            </w:tcBorders>
            <w:vAlign w:val="center"/>
          </w:tcPr>
          <w:p w14:paraId="266EB416">
            <w:pPr>
              <w:pageBreakBefore w:val="0"/>
              <w:widowControl/>
              <w:wordWrap/>
              <w:topLinePunct w:val="0"/>
              <w:bidi w:val="0"/>
              <w:spacing w:line="560" w:lineRule="exact"/>
              <w:jc w:val="left"/>
              <w:rPr>
                <w:rFonts w:ascii="仿宋_GB2312" w:hAnsi="仿宋" w:eastAsia="仿宋_GB2312" w:cs="宋体"/>
                <w:b/>
                <w:bCs/>
                <w:color w:val="000000" w:themeColor="text1"/>
                <w:kern w:val="0"/>
                <w:sz w:val="20"/>
                <w:szCs w:val="20"/>
                <w:highlight w:val="none"/>
                <w14:textFill>
                  <w14:solidFill>
                    <w14:schemeClr w14:val="tx1"/>
                  </w14:solidFill>
                </w14:textFill>
              </w:rPr>
            </w:pPr>
          </w:p>
        </w:tc>
        <w:tc>
          <w:tcPr>
            <w:tcW w:w="1797" w:type="dxa"/>
            <w:tcBorders>
              <w:top w:val="nil"/>
              <w:left w:val="nil"/>
              <w:bottom w:val="single" w:color="auto" w:sz="4" w:space="0"/>
              <w:right w:val="single" w:color="auto" w:sz="4" w:space="0"/>
            </w:tcBorders>
            <w:vAlign w:val="center"/>
          </w:tcPr>
          <w:p w14:paraId="49531E99">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营业收入（Y）</w:t>
            </w:r>
          </w:p>
        </w:tc>
        <w:tc>
          <w:tcPr>
            <w:tcW w:w="849" w:type="dxa"/>
            <w:tcBorders>
              <w:top w:val="nil"/>
              <w:left w:val="nil"/>
              <w:bottom w:val="single" w:color="auto" w:sz="4" w:space="0"/>
              <w:right w:val="single" w:color="auto" w:sz="4" w:space="0"/>
            </w:tcBorders>
            <w:vAlign w:val="center"/>
          </w:tcPr>
          <w:p w14:paraId="2E5A96B1">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万元</w:t>
            </w:r>
          </w:p>
        </w:tc>
        <w:tc>
          <w:tcPr>
            <w:tcW w:w="1867" w:type="dxa"/>
            <w:tcBorders>
              <w:top w:val="nil"/>
              <w:left w:val="nil"/>
              <w:bottom w:val="single" w:color="auto" w:sz="4" w:space="0"/>
              <w:right w:val="single" w:color="auto" w:sz="4" w:space="0"/>
            </w:tcBorders>
            <w:vAlign w:val="center"/>
          </w:tcPr>
          <w:p w14:paraId="0BD85400">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1000≤Y＜5000</w:t>
            </w:r>
          </w:p>
        </w:tc>
        <w:tc>
          <w:tcPr>
            <w:tcW w:w="1659" w:type="dxa"/>
            <w:tcBorders>
              <w:top w:val="nil"/>
              <w:left w:val="nil"/>
              <w:bottom w:val="single" w:color="auto" w:sz="4" w:space="0"/>
              <w:right w:val="single" w:color="auto" w:sz="4" w:space="0"/>
            </w:tcBorders>
            <w:vAlign w:val="center"/>
          </w:tcPr>
          <w:p w14:paraId="7A94275F">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500≤Y＜1000</w:t>
            </w:r>
          </w:p>
        </w:tc>
        <w:tc>
          <w:tcPr>
            <w:tcW w:w="1066" w:type="dxa"/>
            <w:tcBorders>
              <w:top w:val="nil"/>
              <w:left w:val="nil"/>
              <w:bottom w:val="single" w:color="auto" w:sz="4" w:space="0"/>
              <w:right w:val="single" w:color="auto" w:sz="4" w:space="0"/>
            </w:tcBorders>
            <w:vAlign w:val="center"/>
          </w:tcPr>
          <w:p w14:paraId="12659EF1">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Y＜500</w:t>
            </w:r>
          </w:p>
        </w:tc>
      </w:tr>
      <w:tr w14:paraId="12B1F133">
        <w:tblPrEx>
          <w:tblCellMar>
            <w:top w:w="0" w:type="dxa"/>
            <w:left w:w="108" w:type="dxa"/>
            <w:bottom w:w="0" w:type="dxa"/>
            <w:right w:w="108" w:type="dxa"/>
          </w:tblCellMar>
        </w:tblPrEx>
        <w:trPr>
          <w:trHeight w:val="356" w:hRule="atLeast"/>
        </w:trPr>
        <w:tc>
          <w:tcPr>
            <w:tcW w:w="1960" w:type="dxa"/>
            <w:vMerge w:val="restart"/>
            <w:tcBorders>
              <w:top w:val="nil"/>
              <w:left w:val="single" w:color="auto" w:sz="4" w:space="0"/>
              <w:bottom w:val="single" w:color="auto" w:sz="4" w:space="0"/>
              <w:right w:val="single" w:color="auto" w:sz="4" w:space="0"/>
            </w:tcBorders>
            <w:vAlign w:val="bottom"/>
          </w:tcPr>
          <w:p w14:paraId="2F367EB3">
            <w:pPr>
              <w:pageBreakBefore w:val="0"/>
              <w:widowControl/>
              <w:wordWrap/>
              <w:topLinePunct w:val="0"/>
              <w:bidi w:val="0"/>
              <w:spacing w:line="560" w:lineRule="exact"/>
              <w:jc w:val="center"/>
              <w:rPr>
                <w:rFonts w:ascii="仿宋_GB2312" w:hAnsi="仿宋" w:eastAsia="仿宋_GB2312" w:cs="宋体"/>
                <w:b/>
                <w:bCs/>
                <w:color w:val="000000" w:themeColor="text1"/>
                <w:kern w:val="0"/>
                <w:sz w:val="20"/>
                <w:szCs w:val="20"/>
                <w:highlight w:val="none"/>
                <w14:textFill>
                  <w14:solidFill>
                    <w14:schemeClr w14:val="tx1"/>
                  </w14:solidFill>
                </w14:textFill>
              </w:rPr>
            </w:pPr>
            <w:r>
              <w:rPr>
                <w:rFonts w:hint="eastAsia" w:ascii="仿宋_GB2312" w:hAnsi="仿宋" w:eastAsia="仿宋_GB2312" w:cs="宋体"/>
                <w:b/>
                <w:bCs/>
                <w:color w:val="000000" w:themeColor="text1"/>
                <w:kern w:val="0"/>
                <w:sz w:val="20"/>
                <w:szCs w:val="20"/>
                <w:highlight w:val="none"/>
                <w14:textFill>
                  <w14:solidFill>
                    <w14:schemeClr w14:val="tx1"/>
                  </w14:solidFill>
                </w14:textFill>
              </w:rPr>
              <w:t>租赁和商务服务业</w:t>
            </w:r>
          </w:p>
        </w:tc>
        <w:tc>
          <w:tcPr>
            <w:tcW w:w="1797" w:type="dxa"/>
            <w:tcBorders>
              <w:top w:val="nil"/>
              <w:left w:val="nil"/>
              <w:bottom w:val="single" w:color="auto" w:sz="4" w:space="0"/>
              <w:right w:val="single" w:color="auto" w:sz="4" w:space="0"/>
            </w:tcBorders>
            <w:vAlign w:val="center"/>
          </w:tcPr>
          <w:p w14:paraId="214FAB02">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从业人员（X）</w:t>
            </w:r>
          </w:p>
        </w:tc>
        <w:tc>
          <w:tcPr>
            <w:tcW w:w="849" w:type="dxa"/>
            <w:tcBorders>
              <w:top w:val="nil"/>
              <w:left w:val="nil"/>
              <w:bottom w:val="single" w:color="auto" w:sz="4" w:space="0"/>
              <w:right w:val="single" w:color="auto" w:sz="4" w:space="0"/>
            </w:tcBorders>
            <w:vAlign w:val="center"/>
          </w:tcPr>
          <w:p w14:paraId="0D85604A">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人</w:t>
            </w:r>
          </w:p>
        </w:tc>
        <w:tc>
          <w:tcPr>
            <w:tcW w:w="1867" w:type="dxa"/>
            <w:tcBorders>
              <w:top w:val="nil"/>
              <w:left w:val="nil"/>
              <w:bottom w:val="single" w:color="auto" w:sz="4" w:space="0"/>
              <w:right w:val="single" w:color="auto" w:sz="4" w:space="0"/>
            </w:tcBorders>
            <w:vAlign w:val="center"/>
          </w:tcPr>
          <w:p w14:paraId="7139D22A">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100≤X＜300</w:t>
            </w:r>
          </w:p>
        </w:tc>
        <w:tc>
          <w:tcPr>
            <w:tcW w:w="1659" w:type="dxa"/>
            <w:tcBorders>
              <w:top w:val="nil"/>
              <w:left w:val="nil"/>
              <w:bottom w:val="single" w:color="auto" w:sz="4" w:space="0"/>
              <w:right w:val="single" w:color="auto" w:sz="4" w:space="0"/>
            </w:tcBorders>
            <w:vAlign w:val="center"/>
          </w:tcPr>
          <w:p w14:paraId="31D0EB0E">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10≤X＜100</w:t>
            </w:r>
          </w:p>
        </w:tc>
        <w:tc>
          <w:tcPr>
            <w:tcW w:w="1066" w:type="dxa"/>
            <w:tcBorders>
              <w:top w:val="nil"/>
              <w:left w:val="nil"/>
              <w:bottom w:val="single" w:color="auto" w:sz="4" w:space="0"/>
              <w:right w:val="single" w:color="auto" w:sz="4" w:space="0"/>
            </w:tcBorders>
            <w:vAlign w:val="center"/>
          </w:tcPr>
          <w:p w14:paraId="2B30F189">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X＜10</w:t>
            </w:r>
          </w:p>
        </w:tc>
      </w:tr>
      <w:tr w14:paraId="1312DF30">
        <w:tblPrEx>
          <w:tblCellMar>
            <w:top w:w="0" w:type="dxa"/>
            <w:left w:w="108" w:type="dxa"/>
            <w:bottom w:w="0" w:type="dxa"/>
            <w:right w:w="108" w:type="dxa"/>
          </w:tblCellMar>
        </w:tblPrEx>
        <w:trPr>
          <w:trHeight w:val="356" w:hRule="atLeast"/>
        </w:trPr>
        <w:tc>
          <w:tcPr>
            <w:tcW w:w="1960" w:type="dxa"/>
            <w:vMerge w:val="continue"/>
            <w:tcBorders>
              <w:top w:val="nil"/>
              <w:left w:val="single" w:color="auto" w:sz="4" w:space="0"/>
              <w:bottom w:val="single" w:color="auto" w:sz="4" w:space="0"/>
              <w:right w:val="single" w:color="auto" w:sz="4" w:space="0"/>
            </w:tcBorders>
            <w:vAlign w:val="center"/>
          </w:tcPr>
          <w:p w14:paraId="69287E6E">
            <w:pPr>
              <w:pageBreakBefore w:val="0"/>
              <w:widowControl/>
              <w:wordWrap/>
              <w:topLinePunct w:val="0"/>
              <w:bidi w:val="0"/>
              <w:spacing w:line="560" w:lineRule="exact"/>
              <w:jc w:val="left"/>
              <w:rPr>
                <w:rFonts w:ascii="仿宋_GB2312" w:hAnsi="仿宋" w:eastAsia="仿宋_GB2312" w:cs="宋体"/>
                <w:b/>
                <w:bCs/>
                <w:color w:val="000000" w:themeColor="text1"/>
                <w:kern w:val="0"/>
                <w:sz w:val="20"/>
                <w:szCs w:val="20"/>
                <w:highlight w:val="none"/>
                <w14:textFill>
                  <w14:solidFill>
                    <w14:schemeClr w14:val="tx1"/>
                  </w14:solidFill>
                </w14:textFill>
              </w:rPr>
            </w:pPr>
          </w:p>
        </w:tc>
        <w:tc>
          <w:tcPr>
            <w:tcW w:w="1797" w:type="dxa"/>
            <w:tcBorders>
              <w:top w:val="nil"/>
              <w:left w:val="nil"/>
              <w:bottom w:val="single" w:color="auto" w:sz="4" w:space="0"/>
              <w:right w:val="single" w:color="auto" w:sz="4" w:space="0"/>
            </w:tcBorders>
            <w:vAlign w:val="center"/>
          </w:tcPr>
          <w:p w14:paraId="502AE14F">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资产总额（Z）</w:t>
            </w:r>
          </w:p>
        </w:tc>
        <w:tc>
          <w:tcPr>
            <w:tcW w:w="849" w:type="dxa"/>
            <w:tcBorders>
              <w:top w:val="nil"/>
              <w:left w:val="nil"/>
              <w:bottom w:val="single" w:color="auto" w:sz="4" w:space="0"/>
              <w:right w:val="single" w:color="auto" w:sz="4" w:space="0"/>
            </w:tcBorders>
            <w:vAlign w:val="center"/>
          </w:tcPr>
          <w:p w14:paraId="398282A7">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万元</w:t>
            </w:r>
          </w:p>
        </w:tc>
        <w:tc>
          <w:tcPr>
            <w:tcW w:w="1867" w:type="dxa"/>
            <w:tcBorders>
              <w:top w:val="nil"/>
              <w:left w:val="nil"/>
              <w:bottom w:val="single" w:color="auto" w:sz="4" w:space="0"/>
              <w:right w:val="single" w:color="auto" w:sz="4" w:space="0"/>
            </w:tcBorders>
            <w:vAlign w:val="center"/>
          </w:tcPr>
          <w:p w14:paraId="27A75583">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8000≤Z＜120000</w:t>
            </w:r>
          </w:p>
        </w:tc>
        <w:tc>
          <w:tcPr>
            <w:tcW w:w="1659" w:type="dxa"/>
            <w:tcBorders>
              <w:top w:val="nil"/>
              <w:left w:val="nil"/>
              <w:bottom w:val="single" w:color="auto" w:sz="4" w:space="0"/>
              <w:right w:val="single" w:color="auto" w:sz="4" w:space="0"/>
            </w:tcBorders>
            <w:vAlign w:val="center"/>
          </w:tcPr>
          <w:p w14:paraId="01EB4D76">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100≤Z＜8000</w:t>
            </w:r>
          </w:p>
        </w:tc>
        <w:tc>
          <w:tcPr>
            <w:tcW w:w="1066" w:type="dxa"/>
            <w:tcBorders>
              <w:top w:val="nil"/>
              <w:left w:val="nil"/>
              <w:bottom w:val="single" w:color="auto" w:sz="4" w:space="0"/>
              <w:right w:val="single" w:color="auto" w:sz="4" w:space="0"/>
            </w:tcBorders>
            <w:vAlign w:val="center"/>
          </w:tcPr>
          <w:p w14:paraId="1C60FDEF">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Y＜100</w:t>
            </w:r>
          </w:p>
        </w:tc>
      </w:tr>
      <w:tr w14:paraId="439946FC">
        <w:tblPrEx>
          <w:tblCellMar>
            <w:top w:w="0" w:type="dxa"/>
            <w:left w:w="108" w:type="dxa"/>
            <w:bottom w:w="0" w:type="dxa"/>
            <w:right w:w="108" w:type="dxa"/>
          </w:tblCellMar>
        </w:tblPrEx>
        <w:trPr>
          <w:trHeight w:val="367" w:hRule="atLeast"/>
        </w:trPr>
        <w:tc>
          <w:tcPr>
            <w:tcW w:w="1960" w:type="dxa"/>
            <w:tcBorders>
              <w:top w:val="nil"/>
              <w:left w:val="single" w:color="auto" w:sz="4" w:space="0"/>
              <w:bottom w:val="single" w:color="auto" w:sz="4" w:space="0"/>
              <w:right w:val="single" w:color="auto" w:sz="4" w:space="0"/>
            </w:tcBorders>
            <w:vAlign w:val="bottom"/>
          </w:tcPr>
          <w:p w14:paraId="05610385">
            <w:pPr>
              <w:pageBreakBefore w:val="0"/>
              <w:widowControl/>
              <w:wordWrap/>
              <w:topLinePunct w:val="0"/>
              <w:bidi w:val="0"/>
              <w:spacing w:line="560" w:lineRule="exact"/>
              <w:jc w:val="center"/>
              <w:rPr>
                <w:rFonts w:ascii="仿宋_GB2312" w:hAnsi="仿宋" w:eastAsia="仿宋_GB2312" w:cs="宋体"/>
                <w:b/>
                <w:bCs/>
                <w:color w:val="000000" w:themeColor="text1"/>
                <w:kern w:val="0"/>
                <w:sz w:val="20"/>
                <w:szCs w:val="20"/>
                <w:highlight w:val="none"/>
                <w14:textFill>
                  <w14:solidFill>
                    <w14:schemeClr w14:val="tx1"/>
                  </w14:solidFill>
                </w14:textFill>
              </w:rPr>
            </w:pPr>
            <w:r>
              <w:rPr>
                <w:rFonts w:hint="eastAsia" w:ascii="仿宋_GB2312" w:hAnsi="仿宋" w:eastAsia="仿宋_GB2312" w:cs="宋体"/>
                <w:b/>
                <w:bCs/>
                <w:color w:val="000000" w:themeColor="text1"/>
                <w:kern w:val="0"/>
                <w:sz w:val="20"/>
                <w:szCs w:val="20"/>
                <w:highlight w:val="none"/>
                <w14:textFill>
                  <w14:solidFill>
                    <w14:schemeClr w14:val="tx1"/>
                  </w14:solidFill>
                </w14:textFill>
              </w:rPr>
              <w:t>其他未列明行业</w:t>
            </w:r>
          </w:p>
        </w:tc>
        <w:tc>
          <w:tcPr>
            <w:tcW w:w="1797" w:type="dxa"/>
            <w:tcBorders>
              <w:top w:val="nil"/>
              <w:left w:val="nil"/>
              <w:bottom w:val="single" w:color="auto" w:sz="4" w:space="0"/>
              <w:right w:val="single" w:color="auto" w:sz="4" w:space="0"/>
            </w:tcBorders>
            <w:vAlign w:val="center"/>
          </w:tcPr>
          <w:p w14:paraId="3A8B33A3">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从业人员（X）</w:t>
            </w:r>
          </w:p>
        </w:tc>
        <w:tc>
          <w:tcPr>
            <w:tcW w:w="849" w:type="dxa"/>
            <w:tcBorders>
              <w:top w:val="nil"/>
              <w:left w:val="nil"/>
              <w:bottom w:val="single" w:color="auto" w:sz="4" w:space="0"/>
              <w:right w:val="single" w:color="auto" w:sz="4" w:space="0"/>
            </w:tcBorders>
            <w:vAlign w:val="center"/>
          </w:tcPr>
          <w:p w14:paraId="6B435EB2">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人</w:t>
            </w:r>
          </w:p>
        </w:tc>
        <w:tc>
          <w:tcPr>
            <w:tcW w:w="1867" w:type="dxa"/>
            <w:tcBorders>
              <w:top w:val="nil"/>
              <w:left w:val="nil"/>
              <w:bottom w:val="single" w:color="auto" w:sz="4" w:space="0"/>
              <w:right w:val="single" w:color="auto" w:sz="4" w:space="0"/>
            </w:tcBorders>
            <w:vAlign w:val="center"/>
          </w:tcPr>
          <w:p w14:paraId="71AE7BA3">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100≤X＜300</w:t>
            </w:r>
          </w:p>
        </w:tc>
        <w:tc>
          <w:tcPr>
            <w:tcW w:w="1659" w:type="dxa"/>
            <w:tcBorders>
              <w:top w:val="nil"/>
              <w:left w:val="nil"/>
              <w:bottom w:val="single" w:color="auto" w:sz="4" w:space="0"/>
              <w:right w:val="single" w:color="auto" w:sz="4" w:space="0"/>
            </w:tcBorders>
            <w:vAlign w:val="center"/>
          </w:tcPr>
          <w:p w14:paraId="33B5A9A9">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10≤X＜100</w:t>
            </w:r>
          </w:p>
        </w:tc>
        <w:tc>
          <w:tcPr>
            <w:tcW w:w="1066" w:type="dxa"/>
            <w:tcBorders>
              <w:top w:val="nil"/>
              <w:left w:val="nil"/>
              <w:bottom w:val="single" w:color="auto" w:sz="4" w:space="0"/>
              <w:right w:val="single" w:color="auto" w:sz="4" w:space="0"/>
            </w:tcBorders>
            <w:vAlign w:val="center"/>
          </w:tcPr>
          <w:p w14:paraId="14AC6403">
            <w:pPr>
              <w:pageBreakBefore w:val="0"/>
              <w:widowControl/>
              <w:wordWrap/>
              <w:topLinePunct w:val="0"/>
              <w:bidi w:val="0"/>
              <w:spacing w:line="560" w:lineRule="exact"/>
              <w:jc w:val="left"/>
              <w:rPr>
                <w:rFonts w:ascii="仿宋_GB2312" w:hAnsi="仿宋" w:eastAsia="仿宋_GB2312" w:cs="宋体"/>
                <w:color w:val="000000" w:themeColor="text1"/>
                <w:kern w:val="0"/>
                <w:sz w:val="20"/>
                <w:szCs w:val="20"/>
                <w:highlight w:val="none"/>
                <w14:textFill>
                  <w14:solidFill>
                    <w14:schemeClr w14:val="tx1"/>
                  </w14:solidFill>
                </w14:textFill>
              </w:rPr>
            </w:pPr>
            <w:r>
              <w:rPr>
                <w:rFonts w:hint="eastAsia" w:ascii="仿宋_GB2312" w:hAnsi="仿宋" w:eastAsia="仿宋_GB2312" w:cs="宋体"/>
                <w:color w:val="000000" w:themeColor="text1"/>
                <w:kern w:val="0"/>
                <w:sz w:val="20"/>
                <w:szCs w:val="20"/>
                <w:highlight w:val="none"/>
                <w14:textFill>
                  <w14:solidFill>
                    <w14:schemeClr w14:val="tx1"/>
                  </w14:solidFill>
                </w14:textFill>
              </w:rPr>
              <w:t>X＜10</w:t>
            </w:r>
          </w:p>
        </w:tc>
      </w:tr>
    </w:tbl>
    <w:p w14:paraId="5F5A42EA">
      <w:pPr>
        <w:pageBreakBefore w:val="0"/>
        <w:wordWrap/>
        <w:topLinePunct w:val="0"/>
        <w:bidi w:val="0"/>
        <w:spacing w:line="560" w:lineRule="exact"/>
        <w:ind w:firstLine="550" w:firstLineChars="250"/>
        <w:rPr>
          <w:rFonts w:ascii="仿宋_GB2312" w:hAnsi="仿宋" w:eastAsia="仿宋_GB2312"/>
          <w:color w:val="000000" w:themeColor="text1"/>
          <w:szCs w:val="21"/>
          <w:highlight w:val="none"/>
          <w14:textFill>
            <w14:solidFill>
              <w14:schemeClr w14:val="tx1"/>
            </w14:solidFill>
          </w14:textFill>
        </w:rPr>
      </w:pPr>
      <w:r>
        <w:rPr>
          <w:rFonts w:hint="eastAsia" w:ascii="仿宋_GB2312" w:hAnsi="仿宋" w:eastAsia="仿宋_GB2312"/>
          <w:color w:val="000000" w:themeColor="text1"/>
          <w:sz w:val="22"/>
          <w:szCs w:val="22"/>
          <w:highlight w:val="none"/>
          <w14:textFill>
            <w14:solidFill>
              <w14:schemeClr w14:val="tx1"/>
            </w14:solidFill>
          </w14:textFill>
        </w:rPr>
        <w:t>说明：上述标准参照《关于印发中小企业划型标准规定的通知》（工信部联企业[2011]300号），大型、中型和小型企业须同时满足所列指标的下限，否则下划一档；微型企业只须满足所列指标中的一项即可。</w:t>
      </w:r>
    </w:p>
    <w:p w14:paraId="22B846CD">
      <w:pPr>
        <w:bidi w:val="0"/>
        <w:rPr>
          <w:rFonts w:hint="eastAsia"/>
          <w:color w:val="000000" w:themeColor="text1"/>
          <w:highlight w:val="none"/>
          <w14:textFill>
            <w14:solidFill>
              <w14:schemeClr w14:val="tx1"/>
            </w14:solidFill>
          </w14:textFill>
        </w:rPr>
      </w:pPr>
    </w:p>
    <w:p w14:paraId="6A0DB43C">
      <w:pPr>
        <w:bidi w:val="0"/>
        <w:rPr>
          <w:rFonts w:hint="eastAsia"/>
          <w:color w:val="000000" w:themeColor="text1"/>
          <w:highlight w:val="none"/>
          <w14:textFill>
            <w14:solidFill>
              <w14:schemeClr w14:val="tx1"/>
            </w14:solidFill>
          </w14:textFill>
        </w:rPr>
      </w:pPr>
    </w:p>
    <w:p w14:paraId="57FB8D0B">
      <w:pPr>
        <w:bidi w:val="0"/>
        <w:rPr>
          <w:rFonts w:hint="eastAsia"/>
          <w:color w:val="000000" w:themeColor="text1"/>
          <w:highlight w:val="none"/>
          <w14:textFill>
            <w14:solidFill>
              <w14:schemeClr w14:val="tx1"/>
            </w14:solidFill>
          </w14:textFill>
        </w:rPr>
      </w:pPr>
    </w:p>
    <w:p w14:paraId="41379ED2">
      <w:pPr>
        <w:bidi w:val="0"/>
        <w:rPr>
          <w:rFonts w:hint="eastAsia"/>
          <w:color w:val="000000" w:themeColor="text1"/>
          <w:highlight w:val="none"/>
          <w14:textFill>
            <w14:solidFill>
              <w14:schemeClr w14:val="tx1"/>
            </w14:solidFill>
          </w14:textFill>
        </w:rPr>
      </w:pPr>
    </w:p>
    <w:p w14:paraId="59691E0F">
      <w:pPr>
        <w:bidi w:val="0"/>
        <w:rPr>
          <w:rFonts w:hint="eastAsia"/>
          <w:color w:val="000000" w:themeColor="text1"/>
          <w:highlight w:val="none"/>
          <w14:textFill>
            <w14:solidFill>
              <w14:schemeClr w14:val="tx1"/>
            </w14:solidFill>
          </w14:textFill>
        </w:rPr>
      </w:pPr>
    </w:p>
    <w:p w14:paraId="0E23D6B8">
      <w:pPr>
        <w:bidi w:val="0"/>
        <w:rPr>
          <w:rFonts w:hint="eastAsia"/>
          <w:color w:val="000000" w:themeColor="text1"/>
          <w:highlight w:val="none"/>
          <w14:textFill>
            <w14:solidFill>
              <w14:schemeClr w14:val="tx1"/>
            </w14:solidFill>
          </w14:textFill>
        </w:rPr>
      </w:pPr>
    </w:p>
    <w:p w14:paraId="2B35F77E">
      <w:pPr>
        <w:bidi w:val="0"/>
        <w:rPr>
          <w:rFonts w:hint="eastAsia"/>
          <w:color w:val="000000" w:themeColor="text1"/>
          <w:highlight w:val="none"/>
          <w14:textFill>
            <w14:solidFill>
              <w14:schemeClr w14:val="tx1"/>
            </w14:solidFill>
          </w14:textFill>
        </w:rPr>
      </w:pPr>
    </w:p>
    <w:p w14:paraId="6F51801B">
      <w:pPr>
        <w:bidi w:val="0"/>
        <w:rPr>
          <w:rFonts w:hint="eastAsia"/>
          <w:color w:val="000000" w:themeColor="text1"/>
          <w:highlight w:val="none"/>
          <w14:textFill>
            <w14:solidFill>
              <w14:schemeClr w14:val="tx1"/>
            </w14:solidFill>
          </w14:textFill>
        </w:rPr>
      </w:pPr>
    </w:p>
    <w:p w14:paraId="1ABD2F61">
      <w:pPr>
        <w:bidi w:val="0"/>
        <w:rPr>
          <w:rFonts w:hint="eastAsia"/>
          <w:color w:val="000000" w:themeColor="text1"/>
          <w:highlight w:val="none"/>
          <w14:textFill>
            <w14:solidFill>
              <w14:schemeClr w14:val="tx1"/>
            </w14:solidFill>
          </w14:textFill>
        </w:rPr>
      </w:pPr>
    </w:p>
    <w:p w14:paraId="08A66850">
      <w:pPr>
        <w:bidi w:val="0"/>
        <w:rPr>
          <w:rFonts w:hint="eastAsia"/>
          <w:color w:val="000000" w:themeColor="text1"/>
          <w:highlight w:val="none"/>
          <w14:textFill>
            <w14:solidFill>
              <w14:schemeClr w14:val="tx1"/>
            </w14:solidFill>
          </w14:textFill>
        </w:rPr>
      </w:pPr>
    </w:p>
    <w:p w14:paraId="21A52617">
      <w:pPr>
        <w:bidi w:val="0"/>
        <w:rPr>
          <w:rFonts w:hint="eastAsia"/>
          <w:color w:val="000000" w:themeColor="text1"/>
          <w:highlight w:val="none"/>
          <w14:textFill>
            <w14:solidFill>
              <w14:schemeClr w14:val="tx1"/>
            </w14:solidFill>
          </w14:textFill>
        </w:rPr>
      </w:pPr>
    </w:p>
    <w:p w14:paraId="3B68FCA7">
      <w:pPr>
        <w:bidi w:val="0"/>
        <w:rPr>
          <w:rFonts w:hint="eastAsia"/>
          <w:color w:val="000000" w:themeColor="text1"/>
          <w:highlight w:val="none"/>
          <w14:textFill>
            <w14:solidFill>
              <w14:schemeClr w14:val="tx1"/>
            </w14:solidFill>
          </w14:textFill>
        </w:rPr>
      </w:pPr>
    </w:p>
    <w:p w14:paraId="0A07898C">
      <w:pPr>
        <w:bidi w:val="0"/>
        <w:rPr>
          <w:rFonts w:hint="eastAsia"/>
          <w:color w:val="000000" w:themeColor="text1"/>
          <w:highlight w:val="none"/>
          <w14:textFill>
            <w14:solidFill>
              <w14:schemeClr w14:val="tx1"/>
            </w14:solidFill>
          </w14:textFill>
        </w:rPr>
      </w:pPr>
    </w:p>
    <w:p w14:paraId="77CFAB1D">
      <w:pPr>
        <w:bidi w:val="0"/>
        <w:rPr>
          <w:rFonts w:hint="eastAsia"/>
          <w:color w:val="000000" w:themeColor="text1"/>
          <w:highlight w:val="none"/>
          <w14:textFill>
            <w14:solidFill>
              <w14:schemeClr w14:val="tx1"/>
            </w14:solidFill>
          </w14:textFill>
        </w:rPr>
      </w:pPr>
    </w:p>
    <w:p w14:paraId="3B398BBF">
      <w:pPr>
        <w:bidi w:val="0"/>
        <w:rPr>
          <w:rFonts w:hint="eastAsia"/>
          <w:color w:val="000000" w:themeColor="text1"/>
          <w:highlight w:val="none"/>
          <w14:textFill>
            <w14:solidFill>
              <w14:schemeClr w14:val="tx1"/>
            </w14:solidFill>
          </w14:textFill>
        </w:rPr>
      </w:pPr>
    </w:p>
    <w:p w14:paraId="0FE69AD8">
      <w:pPr>
        <w:bidi w:val="0"/>
        <w:rPr>
          <w:rFonts w:hint="eastAsia"/>
          <w:color w:val="000000" w:themeColor="text1"/>
          <w:highlight w:val="none"/>
          <w14:textFill>
            <w14:solidFill>
              <w14:schemeClr w14:val="tx1"/>
            </w14:solidFill>
          </w14:textFill>
        </w:rPr>
      </w:pPr>
    </w:p>
    <w:p w14:paraId="78B52FA2">
      <w:pPr>
        <w:bidi w:val="0"/>
        <w:rPr>
          <w:rFonts w:hint="eastAsia"/>
          <w:color w:val="000000" w:themeColor="text1"/>
          <w:highlight w:val="none"/>
          <w14:textFill>
            <w14:solidFill>
              <w14:schemeClr w14:val="tx1"/>
            </w14:solidFill>
          </w14:textFill>
        </w:rPr>
      </w:pPr>
    </w:p>
    <w:p w14:paraId="3216A703">
      <w:pPr>
        <w:bidi w:val="0"/>
        <w:rPr>
          <w:rFonts w:hint="eastAsia"/>
          <w:color w:val="000000" w:themeColor="text1"/>
          <w:highlight w:val="none"/>
          <w14:textFill>
            <w14:solidFill>
              <w14:schemeClr w14:val="tx1"/>
            </w14:solidFill>
          </w14:textFill>
        </w:rPr>
      </w:pPr>
    </w:p>
    <w:p w14:paraId="2462EB4F">
      <w:pPr>
        <w:bidi w:val="0"/>
        <w:rPr>
          <w:rFonts w:hint="eastAsia"/>
          <w:color w:val="000000" w:themeColor="text1"/>
          <w:highlight w:val="none"/>
          <w14:textFill>
            <w14:solidFill>
              <w14:schemeClr w14:val="tx1"/>
            </w14:solidFill>
          </w14:textFill>
        </w:rPr>
      </w:pPr>
    </w:p>
    <w:p w14:paraId="1A36CF4A">
      <w:pPr>
        <w:bidi w:val="0"/>
        <w:rPr>
          <w:rFonts w:hint="eastAsia"/>
          <w:color w:val="000000" w:themeColor="text1"/>
          <w:highlight w:val="none"/>
          <w14:textFill>
            <w14:solidFill>
              <w14:schemeClr w14:val="tx1"/>
            </w14:solidFill>
          </w14:textFill>
        </w:rPr>
      </w:pPr>
    </w:p>
    <w:p w14:paraId="5E7B458F">
      <w:pPr>
        <w:bidi w:val="0"/>
        <w:rPr>
          <w:rFonts w:hint="eastAsia"/>
          <w:color w:val="000000" w:themeColor="text1"/>
          <w:highlight w:val="none"/>
          <w14:textFill>
            <w14:solidFill>
              <w14:schemeClr w14:val="tx1"/>
            </w14:solidFill>
          </w14:textFill>
        </w:rPr>
      </w:pPr>
    </w:p>
    <w:p w14:paraId="1FD20339">
      <w:pPr>
        <w:bidi w:val="0"/>
        <w:rPr>
          <w:rFonts w:hint="eastAsia"/>
          <w:color w:val="000000" w:themeColor="text1"/>
          <w:highlight w:val="none"/>
          <w14:textFill>
            <w14:solidFill>
              <w14:schemeClr w14:val="tx1"/>
            </w14:solidFill>
          </w14:textFill>
        </w:rPr>
      </w:pPr>
    </w:p>
    <w:p w14:paraId="74BB001C">
      <w:pPr>
        <w:bidi w:val="0"/>
        <w:rPr>
          <w:rFonts w:hint="eastAsia"/>
          <w:color w:val="000000" w:themeColor="text1"/>
          <w:highlight w:val="none"/>
          <w14:textFill>
            <w14:solidFill>
              <w14:schemeClr w14:val="tx1"/>
            </w14:solidFill>
          </w14:textFill>
        </w:rPr>
      </w:pPr>
    </w:p>
    <w:p w14:paraId="26B952AB">
      <w:pPr>
        <w:pStyle w:val="4"/>
        <w:keepNext w:val="0"/>
        <w:keepLines w:val="0"/>
        <w:pageBreakBefore w:val="0"/>
        <w:wordWrap/>
        <w:topLinePunct w:val="0"/>
        <w:bidi w:val="0"/>
        <w:spacing w:line="560" w:lineRule="exact"/>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第</w:t>
      </w:r>
      <w:r>
        <w:rPr>
          <w:rFonts w:hint="eastAsia"/>
          <w:color w:val="000000" w:themeColor="text1"/>
          <w:highlight w:val="none"/>
          <w:lang w:eastAsia="zh-CN"/>
          <w14:textFill>
            <w14:solidFill>
              <w14:schemeClr w14:val="tx1"/>
            </w14:solidFill>
          </w14:textFill>
        </w:rPr>
        <w:t>三</w:t>
      </w:r>
      <w:r>
        <w:rPr>
          <w:rFonts w:hint="eastAsia"/>
          <w:color w:val="000000" w:themeColor="text1"/>
          <w:highlight w:val="none"/>
          <w14:textFill>
            <w14:solidFill>
              <w14:schemeClr w14:val="tx1"/>
            </w14:solidFill>
          </w14:textFill>
        </w:rPr>
        <w:t>节 商务文件格式</w:t>
      </w:r>
    </w:p>
    <w:p w14:paraId="007E4D90">
      <w:pPr>
        <w:pageBreakBefore w:val="0"/>
        <w:wordWrap/>
        <w:topLinePunct w:val="0"/>
        <w:bidi w:val="0"/>
        <w:snapToGrid w:val="0"/>
        <w:spacing w:before="120" w:beforeLines="50" w:after="50" w:line="560" w:lineRule="exact"/>
        <w:ind w:left="420"/>
        <w:jc w:val="center"/>
        <w:rPr>
          <w:rFonts w:ascii="宋体" w:hAnsi="宋体"/>
          <w:b/>
          <w:color w:val="000000" w:themeColor="text1"/>
          <w:szCs w:val="21"/>
          <w:highlight w:val="none"/>
          <w14:textFill>
            <w14:solidFill>
              <w14:schemeClr w14:val="tx1"/>
            </w14:solidFill>
          </w14:textFill>
        </w:rPr>
      </w:pPr>
      <w:r>
        <w:rPr>
          <w:rFonts w:hint="eastAsia" w:asciiTheme="minorEastAsia" w:hAnsiTheme="minorEastAsia" w:eastAsiaTheme="minorEastAsia"/>
          <w:b/>
          <w:bCs/>
          <w:color w:val="000000" w:themeColor="text1"/>
          <w:sz w:val="30"/>
          <w:szCs w:val="30"/>
          <w:highlight w:val="none"/>
          <w14:textFill>
            <w14:solidFill>
              <w14:schemeClr w14:val="tx1"/>
            </w14:solidFill>
          </w14:textFill>
        </w:rPr>
        <w:t>一、无串标行为承诺函</w:t>
      </w:r>
    </w:p>
    <w:p w14:paraId="79623C18">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asciiTheme="minorEastAsia" w:hAnsiTheme="minorEastAsia" w:eastAsia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b/>
          <w:color w:val="000000" w:themeColor="text1"/>
          <w:sz w:val="28"/>
          <w:szCs w:val="28"/>
          <w:highlight w:val="none"/>
          <w14:textFill>
            <w14:solidFill>
              <w14:schemeClr w14:val="tx1"/>
            </w14:solidFill>
          </w14:textFill>
        </w:rPr>
        <w:t>一、我方承诺无下列相互串通投标的情形：</w:t>
      </w:r>
    </w:p>
    <w:p w14:paraId="34CF58C0">
      <w:pPr>
        <w:keepNext w:val="0"/>
        <w:keepLines w:val="0"/>
        <w:pageBreakBefore w:val="0"/>
        <w:widowControl w:val="0"/>
        <w:kinsoku/>
        <w:wordWrap/>
        <w:overflowPunct/>
        <w:topLinePunct w:val="0"/>
        <w:autoSpaceDE/>
        <w:autoSpaceDN/>
        <w:bidi w:val="0"/>
        <w:adjustRightInd w:val="0"/>
        <w:snapToGrid w:val="0"/>
        <w:spacing w:line="560" w:lineRule="exact"/>
        <w:ind w:firstLine="548" w:firstLineChars="196"/>
        <w:jc w:val="both"/>
        <w:textAlignment w:val="auto"/>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1.不同</w:t>
      </w:r>
      <w:r>
        <w:rPr>
          <w:rFonts w:hint="eastAsia" w:asciiTheme="minorEastAsia" w:hAnsiTheme="minorEastAsia" w:eastAsiaTheme="minorEastAsia"/>
          <w:color w:val="000000" w:themeColor="text1"/>
          <w:sz w:val="28"/>
          <w:szCs w:val="28"/>
          <w:highlight w:val="none"/>
          <w:lang w:eastAsia="zh-CN"/>
          <w14:textFill>
            <w14:solidFill>
              <w14:schemeClr w14:val="tx1"/>
            </w14:solidFill>
          </w14:textFill>
        </w:rPr>
        <w:t>供应商</w:t>
      </w:r>
      <w:r>
        <w:rPr>
          <w:rFonts w:hint="eastAsia" w:asciiTheme="minorEastAsia" w:hAnsiTheme="minorEastAsia" w:eastAsiaTheme="minorEastAsia"/>
          <w:color w:val="000000" w:themeColor="text1"/>
          <w:sz w:val="28"/>
          <w:szCs w:val="28"/>
          <w:highlight w:val="none"/>
          <w14:textFill>
            <w14:solidFill>
              <w14:schemeClr w14:val="tx1"/>
            </w14:solidFill>
          </w14:textFill>
        </w:rPr>
        <w:t>的投标文件由同一单位或者个人编制；或者不同</w:t>
      </w:r>
      <w:r>
        <w:rPr>
          <w:rFonts w:hint="eastAsia" w:asciiTheme="minorEastAsia" w:hAnsiTheme="minorEastAsia" w:eastAsiaTheme="minorEastAsia"/>
          <w:color w:val="000000" w:themeColor="text1"/>
          <w:sz w:val="28"/>
          <w:szCs w:val="28"/>
          <w:highlight w:val="none"/>
          <w:lang w:eastAsia="zh-CN"/>
          <w14:textFill>
            <w14:solidFill>
              <w14:schemeClr w14:val="tx1"/>
            </w14:solidFill>
          </w14:textFill>
        </w:rPr>
        <w:t>供应商</w:t>
      </w:r>
      <w:r>
        <w:rPr>
          <w:rFonts w:hint="eastAsia" w:asciiTheme="minorEastAsia" w:hAnsiTheme="minorEastAsia" w:eastAsiaTheme="minorEastAsia"/>
          <w:color w:val="000000" w:themeColor="text1"/>
          <w:sz w:val="28"/>
          <w:szCs w:val="28"/>
          <w:highlight w:val="none"/>
          <w14:textFill>
            <w14:solidFill>
              <w14:schemeClr w14:val="tx1"/>
            </w14:solidFill>
          </w14:textFill>
        </w:rPr>
        <w:t>报名的IP地址一致的；或者编制标书硬件设备CPU编号、硬盘编号、网卡地址一致的情况。</w:t>
      </w:r>
    </w:p>
    <w:p w14:paraId="14DDFD6E">
      <w:pPr>
        <w:keepNext w:val="0"/>
        <w:keepLines w:val="0"/>
        <w:pageBreakBefore w:val="0"/>
        <w:widowControl w:val="0"/>
        <w:kinsoku/>
        <w:wordWrap/>
        <w:overflowPunct/>
        <w:topLinePunct w:val="0"/>
        <w:autoSpaceDE/>
        <w:autoSpaceDN/>
        <w:bidi w:val="0"/>
        <w:adjustRightInd w:val="0"/>
        <w:snapToGrid w:val="0"/>
        <w:spacing w:line="560" w:lineRule="exact"/>
        <w:ind w:firstLine="548" w:firstLineChars="196"/>
        <w:jc w:val="both"/>
        <w:textAlignment w:val="auto"/>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2.不同</w:t>
      </w:r>
      <w:r>
        <w:rPr>
          <w:rFonts w:hint="eastAsia" w:asciiTheme="minorEastAsia" w:hAnsiTheme="minorEastAsia" w:eastAsiaTheme="minorEastAsia"/>
          <w:color w:val="000000" w:themeColor="text1"/>
          <w:sz w:val="28"/>
          <w:szCs w:val="28"/>
          <w:highlight w:val="none"/>
          <w:lang w:eastAsia="zh-CN"/>
          <w14:textFill>
            <w14:solidFill>
              <w14:schemeClr w14:val="tx1"/>
            </w14:solidFill>
          </w14:textFill>
        </w:rPr>
        <w:t>供应商</w:t>
      </w:r>
      <w:r>
        <w:rPr>
          <w:rFonts w:hint="eastAsia" w:asciiTheme="minorEastAsia" w:hAnsiTheme="minorEastAsia" w:eastAsiaTheme="minorEastAsia"/>
          <w:color w:val="000000" w:themeColor="text1"/>
          <w:sz w:val="28"/>
          <w:szCs w:val="28"/>
          <w:highlight w:val="none"/>
          <w14:textFill>
            <w14:solidFill>
              <w14:schemeClr w14:val="tx1"/>
            </w14:solidFill>
          </w14:textFill>
        </w:rPr>
        <w:t>委托同一单位或者个人办理投标事宜；</w:t>
      </w:r>
    </w:p>
    <w:p w14:paraId="60AFCBE7">
      <w:pPr>
        <w:keepNext w:val="0"/>
        <w:keepLines w:val="0"/>
        <w:pageBreakBefore w:val="0"/>
        <w:widowControl w:val="0"/>
        <w:kinsoku/>
        <w:wordWrap/>
        <w:overflowPunct/>
        <w:topLinePunct w:val="0"/>
        <w:autoSpaceDE/>
        <w:autoSpaceDN/>
        <w:bidi w:val="0"/>
        <w:adjustRightInd w:val="0"/>
        <w:snapToGrid w:val="0"/>
        <w:spacing w:line="560" w:lineRule="exact"/>
        <w:ind w:firstLine="548" w:firstLineChars="196"/>
        <w:jc w:val="both"/>
        <w:textAlignment w:val="auto"/>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3.不同的</w:t>
      </w:r>
      <w:r>
        <w:rPr>
          <w:rFonts w:hint="eastAsia" w:asciiTheme="minorEastAsia" w:hAnsiTheme="minorEastAsia" w:eastAsiaTheme="minorEastAsia"/>
          <w:color w:val="000000" w:themeColor="text1"/>
          <w:sz w:val="28"/>
          <w:szCs w:val="28"/>
          <w:highlight w:val="none"/>
          <w:lang w:eastAsia="zh-CN"/>
          <w14:textFill>
            <w14:solidFill>
              <w14:schemeClr w14:val="tx1"/>
            </w14:solidFill>
          </w14:textFill>
        </w:rPr>
        <w:t>供应商</w:t>
      </w:r>
      <w:r>
        <w:rPr>
          <w:rFonts w:hint="eastAsia" w:asciiTheme="minorEastAsia" w:hAnsiTheme="minorEastAsia" w:eastAsiaTheme="minorEastAsia"/>
          <w:color w:val="000000" w:themeColor="text1"/>
          <w:sz w:val="28"/>
          <w:szCs w:val="28"/>
          <w:highlight w:val="none"/>
          <w14:textFill>
            <w14:solidFill>
              <w14:schemeClr w14:val="tx1"/>
            </w14:solidFill>
          </w14:textFill>
        </w:rPr>
        <w:t>的投标文件载明的项目管理员为同一个人；</w:t>
      </w:r>
    </w:p>
    <w:p w14:paraId="154D647D">
      <w:pPr>
        <w:keepNext w:val="0"/>
        <w:keepLines w:val="0"/>
        <w:pageBreakBefore w:val="0"/>
        <w:widowControl w:val="0"/>
        <w:kinsoku/>
        <w:wordWrap/>
        <w:overflowPunct/>
        <w:topLinePunct w:val="0"/>
        <w:autoSpaceDE/>
        <w:autoSpaceDN/>
        <w:bidi w:val="0"/>
        <w:adjustRightInd w:val="0"/>
        <w:snapToGrid w:val="0"/>
        <w:spacing w:line="560" w:lineRule="exact"/>
        <w:ind w:firstLine="548" w:firstLineChars="196"/>
        <w:jc w:val="both"/>
        <w:textAlignment w:val="auto"/>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4.不同</w:t>
      </w:r>
      <w:r>
        <w:rPr>
          <w:rFonts w:hint="eastAsia" w:asciiTheme="minorEastAsia" w:hAnsiTheme="minorEastAsia" w:eastAsiaTheme="minorEastAsia"/>
          <w:color w:val="000000" w:themeColor="text1"/>
          <w:sz w:val="28"/>
          <w:szCs w:val="28"/>
          <w:highlight w:val="none"/>
          <w:lang w:eastAsia="zh-CN"/>
          <w14:textFill>
            <w14:solidFill>
              <w14:schemeClr w14:val="tx1"/>
            </w14:solidFill>
          </w14:textFill>
        </w:rPr>
        <w:t>供应商</w:t>
      </w:r>
      <w:r>
        <w:rPr>
          <w:rFonts w:hint="eastAsia" w:asciiTheme="minorEastAsia" w:hAnsiTheme="minorEastAsia" w:eastAsiaTheme="minorEastAsia"/>
          <w:color w:val="000000" w:themeColor="text1"/>
          <w:sz w:val="28"/>
          <w:szCs w:val="28"/>
          <w:highlight w:val="none"/>
          <w14:textFill>
            <w14:solidFill>
              <w14:schemeClr w14:val="tx1"/>
            </w14:solidFill>
          </w14:textFill>
        </w:rPr>
        <w:t>的投标文件异常一致或者投标报价呈规律性差异；</w:t>
      </w:r>
    </w:p>
    <w:p w14:paraId="12BE5D30">
      <w:pPr>
        <w:keepNext w:val="0"/>
        <w:keepLines w:val="0"/>
        <w:pageBreakBefore w:val="0"/>
        <w:widowControl w:val="0"/>
        <w:kinsoku/>
        <w:wordWrap/>
        <w:overflowPunct/>
        <w:topLinePunct w:val="0"/>
        <w:autoSpaceDE/>
        <w:autoSpaceDN/>
        <w:bidi w:val="0"/>
        <w:adjustRightInd w:val="0"/>
        <w:snapToGrid w:val="0"/>
        <w:spacing w:line="560" w:lineRule="exact"/>
        <w:ind w:firstLine="548" w:firstLineChars="196"/>
        <w:jc w:val="both"/>
        <w:textAlignment w:val="auto"/>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5.不同</w:t>
      </w:r>
      <w:r>
        <w:rPr>
          <w:rFonts w:hint="eastAsia" w:asciiTheme="minorEastAsia" w:hAnsiTheme="minorEastAsia" w:eastAsiaTheme="minorEastAsia"/>
          <w:color w:val="000000" w:themeColor="text1"/>
          <w:sz w:val="28"/>
          <w:szCs w:val="28"/>
          <w:highlight w:val="none"/>
          <w:lang w:eastAsia="zh-CN"/>
          <w14:textFill>
            <w14:solidFill>
              <w14:schemeClr w14:val="tx1"/>
            </w14:solidFill>
          </w14:textFill>
        </w:rPr>
        <w:t>供应商</w:t>
      </w:r>
      <w:r>
        <w:rPr>
          <w:rFonts w:hint="eastAsia" w:asciiTheme="minorEastAsia" w:hAnsiTheme="minorEastAsia" w:eastAsiaTheme="minorEastAsia"/>
          <w:color w:val="000000" w:themeColor="text1"/>
          <w:sz w:val="28"/>
          <w:szCs w:val="28"/>
          <w:highlight w:val="none"/>
          <w14:textFill>
            <w14:solidFill>
              <w14:schemeClr w14:val="tx1"/>
            </w14:solidFill>
          </w14:textFill>
        </w:rPr>
        <w:t>的投标文件相互混装；</w:t>
      </w:r>
    </w:p>
    <w:p w14:paraId="0B0563ED">
      <w:pPr>
        <w:keepNext w:val="0"/>
        <w:keepLines w:val="0"/>
        <w:pageBreakBefore w:val="0"/>
        <w:widowControl w:val="0"/>
        <w:kinsoku/>
        <w:wordWrap/>
        <w:overflowPunct/>
        <w:topLinePunct w:val="0"/>
        <w:autoSpaceDE/>
        <w:autoSpaceDN/>
        <w:bidi w:val="0"/>
        <w:adjustRightInd w:val="0"/>
        <w:snapToGrid w:val="0"/>
        <w:spacing w:line="560" w:lineRule="exact"/>
        <w:ind w:firstLine="548" w:firstLineChars="196"/>
        <w:jc w:val="both"/>
        <w:textAlignment w:val="auto"/>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6.不同</w:t>
      </w:r>
      <w:r>
        <w:rPr>
          <w:rFonts w:hint="eastAsia" w:asciiTheme="minorEastAsia" w:hAnsiTheme="minorEastAsia" w:eastAsiaTheme="minorEastAsia"/>
          <w:color w:val="000000" w:themeColor="text1"/>
          <w:sz w:val="28"/>
          <w:szCs w:val="28"/>
          <w:highlight w:val="none"/>
          <w:lang w:eastAsia="zh-CN"/>
          <w14:textFill>
            <w14:solidFill>
              <w14:schemeClr w14:val="tx1"/>
            </w14:solidFill>
          </w14:textFill>
        </w:rPr>
        <w:t>供应商</w:t>
      </w:r>
      <w:r>
        <w:rPr>
          <w:rFonts w:hint="eastAsia" w:asciiTheme="minorEastAsia" w:hAnsiTheme="minorEastAsia" w:eastAsiaTheme="minorEastAsia"/>
          <w:color w:val="000000" w:themeColor="text1"/>
          <w:sz w:val="28"/>
          <w:szCs w:val="28"/>
          <w:highlight w:val="none"/>
          <w14:textFill>
            <w14:solidFill>
              <w14:schemeClr w14:val="tx1"/>
            </w14:solidFill>
          </w14:textFill>
        </w:rPr>
        <w:t>的投标保证金从同一单位或者个人账户转出。</w:t>
      </w:r>
    </w:p>
    <w:p w14:paraId="67B35D16">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b/>
          <w:color w:val="000000" w:themeColor="text1"/>
          <w:sz w:val="28"/>
          <w:szCs w:val="28"/>
          <w:highlight w:val="none"/>
          <w14:textFill>
            <w14:solidFill>
              <w14:schemeClr w14:val="tx1"/>
            </w14:solidFill>
          </w14:textFill>
        </w:rPr>
        <w:t>二、我方承诺无下列恶意串通的情形：</w:t>
      </w:r>
    </w:p>
    <w:p w14:paraId="419175CA">
      <w:pPr>
        <w:keepNext w:val="0"/>
        <w:keepLines w:val="0"/>
        <w:pageBreakBefore w:val="0"/>
        <w:widowControl w:val="0"/>
        <w:kinsoku/>
        <w:wordWrap/>
        <w:overflowPunct/>
        <w:topLinePunct w:val="0"/>
        <w:autoSpaceDE/>
        <w:autoSpaceDN/>
        <w:bidi w:val="0"/>
        <w:adjustRightInd w:val="0"/>
        <w:snapToGrid w:val="0"/>
        <w:spacing w:line="560" w:lineRule="exact"/>
        <w:ind w:firstLine="548" w:firstLineChars="196"/>
        <w:jc w:val="both"/>
        <w:textAlignment w:val="auto"/>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1.</w:t>
      </w:r>
      <w:r>
        <w:rPr>
          <w:rFonts w:hint="eastAsia" w:asciiTheme="minorEastAsia" w:hAnsiTheme="minorEastAsia" w:eastAsiaTheme="minorEastAsia"/>
          <w:color w:val="000000" w:themeColor="text1"/>
          <w:sz w:val="28"/>
          <w:szCs w:val="28"/>
          <w:highlight w:val="none"/>
          <w:lang w:eastAsia="zh-CN"/>
          <w14:textFill>
            <w14:solidFill>
              <w14:schemeClr w14:val="tx1"/>
            </w14:solidFill>
          </w14:textFill>
        </w:rPr>
        <w:t>供应商</w:t>
      </w:r>
      <w:r>
        <w:rPr>
          <w:rFonts w:hint="eastAsia" w:asciiTheme="minorEastAsia" w:hAnsiTheme="minorEastAsia" w:eastAsiaTheme="minorEastAsia"/>
          <w:color w:val="000000" w:themeColor="text1"/>
          <w:sz w:val="28"/>
          <w:szCs w:val="28"/>
          <w:highlight w:val="none"/>
          <w14:textFill>
            <w14:solidFill>
              <w14:schemeClr w14:val="tx1"/>
            </w14:solidFill>
          </w14:textFill>
        </w:rPr>
        <w:t>直接或者间接从采购人或者采购代理机构处获得其他</w:t>
      </w:r>
      <w:r>
        <w:rPr>
          <w:rFonts w:hint="eastAsia" w:asciiTheme="minorEastAsia" w:hAnsiTheme="minorEastAsia" w:eastAsiaTheme="minorEastAsia"/>
          <w:color w:val="000000" w:themeColor="text1"/>
          <w:sz w:val="28"/>
          <w:szCs w:val="28"/>
          <w:highlight w:val="none"/>
          <w:lang w:eastAsia="zh-CN"/>
          <w14:textFill>
            <w14:solidFill>
              <w14:schemeClr w14:val="tx1"/>
            </w14:solidFill>
          </w14:textFill>
        </w:rPr>
        <w:t>供应商</w:t>
      </w:r>
      <w:r>
        <w:rPr>
          <w:rFonts w:hint="eastAsia" w:asciiTheme="minorEastAsia" w:hAnsiTheme="minorEastAsia" w:eastAsiaTheme="minorEastAsia"/>
          <w:color w:val="000000" w:themeColor="text1"/>
          <w:sz w:val="28"/>
          <w:szCs w:val="28"/>
          <w:highlight w:val="none"/>
          <w14:textFill>
            <w14:solidFill>
              <w14:schemeClr w14:val="tx1"/>
            </w14:solidFill>
          </w14:textFill>
        </w:rPr>
        <w:t>的相关信息并修改其投标文件或者投标文件；</w:t>
      </w:r>
    </w:p>
    <w:p w14:paraId="240DC6EE">
      <w:pPr>
        <w:keepNext w:val="0"/>
        <w:keepLines w:val="0"/>
        <w:pageBreakBefore w:val="0"/>
        <w:widowControl w:val="0"/>
        <w:kinsoku/>
        <w:wordWrap/>
        <w:overflowPunct/>
        <w:topLinePunct w:val="0"/>
        <w:autoSpaceDE/>
        <w:autoSpaceDN/>
        <w:bidi w:val="0"/>
        <w:adjustRightInd w:val="0"/>
        <w:snapToGrid w:val="0"/>
        <w:spacing w:line="560" w:lineRule="exact"/>
        <w:ind w:firstLine="548" w:firstLineChars="196"/>
        <w:jc w:val="both"/>
        <w:textAlignment w:val="auto"/>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2.</w:t>
      </w:r>
      <w:r>
        <w:rPr>
          <w:rFonts w:hint="eastAsia" w:asciiTheme="minorEastAsia" w:hAnsiTheme="minorEastAsia" w:eastAsiaTheme="minorEastAsia"/>
          <w:color w:val="000000" w:themeColor="text1"/>
          <w:sz w:val="28"/>
          <w:szCs w:val="28"/>
          <w:highlight w:val="none"/>
          <w:lang w:eastAsia="zh-CN"/>
          <w14:textFill>
            <w14:solidFill>
              <w14:schemeClr w14:val="tx1"/>
            </w14:solidFill>
          </w14:textFill>
        </w:rPr>
        <w:t>供应商</w:t>
      </w:r>
      <w:r>
        <w:rPr>
          <w:rFonts w:hint="eastAsia" w:asciiTheme="minorEastAsia" w:hAnsiTheme="minorEastAsia" w:eastAsiaTheme="minorEastAsia"/>
          <w:color w:val="000000" w:themeColor="text1"/>
          <w:sz w:val="28"/>
          <w:szCs w:val="28"/>
          <w:highlight w:val="none"/>
          <w14:textFill>
            <w14:solidFill>
              <w14:schemeClr w14:val="tx1"/>
            </w14:solidFill>
          </w14:textFill>
        </w:rPr>
        <w:t>按照采购人或者采购代理机构的授意撤换、修改投标文件或者投标文件；</w:t>
      </w:r>
    </w:p>
    <w:p w14:paraId="4A47215F">
      <w:pPr>
        <w:keepNext w:val="0"/>
        <w:keepLines w:val="0"/>
        <w:pageBreakBefore w:val="0"/>
        <w:widowControl w:val="0"/>
        <w:kinsoku/>
        <w:wordWrap/>
        <w:overflowPunct/>
        <w:topLinePunct w:val="0"/>
        <w:autoSpaceDE/>
        <w:autoSpaceDN/>
        <w:bidi w:val="0"/>
        <w:adjustRightInd w:val="0"/>
        <w:snapToGrid w:val="0"/>
        <w:spacing w:line="560" w:lineRule="exact"/>
        <w:ind w:firstLine="548" w:firstLineChars="196"/>
        <w:jc w:val="both"/>
        <w:textAlignment w:val="auto"/>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3.</w:t>
      </w:r>
      <w:r>
        <w:rPr>
          <w:rFonts w:hint="eastAsia" w:asciiTheme="minorEastAsia" w:hAnsiTheme="minorEastAsia" w:eastAsiaTheme="minorEastAsia"/>
          <w:color w:val="000000" w:themeColor="text1"/>
          <w:sz w:val="28"/>
          <w:szCs w:val="28"/>
          <w:highlight w:val="none"/>
          <w:lang w:eastAsia="zh-CN"/>
          <w14:textFill>
            <w14:solidFill>
              <w14:schemeClr w14:val="tx1"/>
            </w14:solidFill>
          </w14:textFill>
        </w:rPr>
        <w:t>供应商</w:t>
      </w:r>
      <w:r>
        <w:rPr>
          <w:rFonts w:hint="eastAsia" w:asciiTheme="minorEastAsia" w:hAnsiTheme="minorEastAsia" w:eastAsiaTheme="minorEastAsia"/>
          <w:color w:val="000000" w:themeColor="text1"/>
          <w:sz w:val="28"/>
          <w:szCs w:val="28"/>
          <w:highlight w:val="none"/>
          <w14:textFill>
            <w14:solidFill>
              <w14:schemeClr w14:val="tx1"/>
            </w14:solidFill>
          </w14:textFill>
        </w:rPr>
        <w:t>之间协商报价、技术方案等投标文件或者投标文件的实质性内容；</w:t>
      </w:r>
    </w:p>
    <w:p w14:paraId="4B97EFF0">
      <w:pPr>
        <w:keepNext w:val="0"/>
        <w:keepLines w:val="0"/>
        <w:pageBreakBefore w:val="0"/>
        <w:widowControl w:val="0"/>
        <w:kinsoku/>
        <w:wordWrap/>
        <w:overflowPunct/>
        <w:topLinePunct w:val="0"/>
        <w:autoSpaceDE/>
        <w:autoSpaceDN/>
        <w:bidi w:val="0"/>
        <w:adjustRightInd w:val="0"/>
        <w:snapToGrid w:val="0"/>
        <w:spacing w:line="560" w:lineRule="exact"/>
        <w:ind w:firstLine="548" w:firstLineChars="196"/>
        <w:jc w:val="both"/>
        <w:textAlignment w:val="auto"/>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4.属于同一集团、协会、商会等组织成员的</w:t>
      </w:r>
      <w:r>
        <w:rPr>
          <w:rFonts w:hint="eastAsia" w:asciiTheme="minorEastAsia" w:hAnsiTheme="minorEastAsia" w:eastAsiaTheme="minorEastAsia"/>
          <w:color w:val="000000" w:themeColor="text1"/>
          <w:sz w:val="28"/>
          <w:szCs w:val="28"/>
          <w:highlight w:val="none"/>
          <w:lang w:eastAsia="zh-CN"/>
          <w14:textFill>
            <w14:solidFill>
              <w14:schemeClr w14:val="tx1"/>
            </w14:solidFill>
          </w14:textFill>
        </w:rPr>
        <w:t>供应商</w:t>
      </w:r>
      <w:r>
        <w:rPr>
          <w:rFonts w:hint="eastAsia" w:asciiTheme="minorEastAsia" w:hAnsiTheme="minorEastAsia" w:eastAsiaTheme="minorEastAsia"/>
          <w:color w:val="000000" w:themeColor="text1"/>
          <w:sz w:val="28"/>
          <w:szCs w:val="28"/>
          <w:highlight w:val="none"/>
          <w14:textFill>
            <w14:solidFill>
              <w14:schemeClr w14:val="tx1"/>
            </w14:solidFill>
          </w14:textFill>
        </w:rPr>
        <w:t>按照该组织要求协同参加政府采购活动；</w:t>
      </w:r>
    </w:p>
    <w:p w14:paraId="64715740">
      <w:pPr>
        <w:keepNext w:val="0"/>
        <w:keepLines w:val="0"/>
        <w:pageBreakBefore w:val="0"/>
        <w:widowControl w:val="0"/>
        <w:kinsoku/>
        <w:wordWrap/>
        <w:overflowPunct/>
        <w:topLinePunct w:val="0"/>
        <w:autoSpaceDE/>
        <w:autoSpaceDN/>
        <w:bidi w:val="0"/>
        <w:adjustRightInd w:val="0"/>
        <w:snapToGrid w:val="0"/>
        <w:spacing w:line="560" w:lineRule="exact"/>
        <w:ind w:firstLine="548" w:firstLineChars="196"/>
        <w:jc w:val="both"/>
        <w:textAlignment w:val="auto"/>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5.</w:t>
      </w:r>
      <w:r>
        <w:rPr>
          <w:rFonts w:hint="eastAsia" w:asciiTheme="minorEastAsia" w:hAnsiTheme="minorEastAsia" w:eastAsiaTheme="minorEastAsia"/>
          <w:color w:val="000000" w:themeColor="text1"/>
          <w:sz w:val="28"/>
          <w:szCs w:val="28"/>
          <w:highlight w:val="none"/>
          <w:lang w:eastAsia="zh-CN"/>
          <w14:textFill>
            <w14:solidFill>
              <w14:schemeClr w14:val="tx1"/>
            </w14:solidFill>
          </w14:textFill>
        </w:rPr>
        <w:t>供应商</w:t>
      </w:r>
      <w:r>
        <w:rPr>
          <w:rFonts w:hint="eastAsia" w:asciiTheme="minorEastAsia" w:hAnsiTheme="minorEastAsia" w:eastAsiaTheme="minorEastAsia"/>
          <w:color w:val="000000" w:themeColor="text1"/>
          <w:sz w:val="28"/>
          <w:szCs w:val="28"/>
          <w:highlight w:val="none"/>
          <w14:textFill>
            <w14:solidFill>
              <w14:schemeClr w14:val="tx1"/>
            </w14:solidFill>
          </w14:textFill>
        </w:rPr>
        <w:t>之间事先约定一致抬高或者压低投标报价，或者在招标项目中事先约定轮流以高价位或者低价位中标，或者事先约定由某一特定</w:t>
      </w:r>
      <w:r>
        <w:rPr>
          <w:rFonts w:hint="eastAsia" w:asciiTheme="minorEastAsia" w:hAnsiTheme="minorEastAsia" w:eastAsiaTheme="minorEastAsia"/>
          <w:color w:val="000000" w:themeColor="text1"/>
          <w:sz w:val="28"/>
          <w:szCs w:val="28"/>
          <w:highlight w:val="none"/>
          <w:lang w:eastAsia="zh-CN"/>
          <w14:textFill>
            <w14:solidFill>
              <w14:schemeClr w14:val="tx1"/>
            </w14:solidFill>
          </w14:textFill>
        </w:rPr>
        <w:t>供应商</w:t>
      </w:r>
      <w:r>
        <w:rPr>
          <w:rFonts w:hint="eastAsia" w:asciiTheme="minorEastAsia" w:hAnsiTheme="minorEastAsia" w:eastAsiaTheme="minorEastAsia"/>
          <w:color w:val="000000" w:themeColor="text1"/>
          <w:sz w:val="28"/>
          <w:szCs w:val="28"/>
          <w:highlight w:val="none"/>
          <w14:textFill>
            <w14:solidFill>
              <w14:schemeClr w14:val="tx1"/>
            </w14:solidFill>
          </w14:textFill>
        </w:rPr>
        <w:t>中标，然后再参加投标；</w:t>
      </w:r>
    </w:p>
    <w:p w14:paraId="4ED98DCD">
      <w:pPr>
        <w:keepNext w:val="0"/>
        <w:keepLines w:val="0"/>
        <w:pageBreakBefore w:val="0"/>
        <w:widowControl w:val="0"/>
        <w:kinsoku/>
        <w:wordWrap/>
        <w:overflowPunct/>
        <w:topLinePunct w:val="0"/>
        <w:autoSpaceDE/>
        <w:autoSpaceDN/>
        <w:bidi w:val="0"/>
        <w:adjustRightInd w:val="0"/>
        <w:snapToGrid w:val="0"/>
        <w:spacing w:line="560" w:lineRule="exact"/>
        <w:ind w:firstLine="548" w:firstLineChars="196"/>
        <w:jc w:val="both"/>
        <w:textAlignment w:val="auto"/>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6.</w:t>
      </w:r>
      <w:r>
        <w:rPr>
          <w:rFonts w:hint="eastAsia" w:asciiTheme="minorEastAsia" w:hAnsiTheme="minorEastAsia" w:eastAsiaTheme="minorEastAsia"/>
          <w:color w:val="000000" w:themeColor="text1"/>
          <w:sz w:val="28"/>
          <w:szCs w:val="28"/>
          <w:highlight w:val="none"/>
          <w:lang w:eastAsia="zh-CN"/>
          <w14:textFill>
            <w14:solidFill>
              <w14:schemeClr w14:val="tx1"/>
            </w14:solidFill>
          </w14:textFill>
        </w:rPr>
        <w:t>供应商</w:t>
      </w:r>
      <w:r>
        <w:rPr>
          <w:rFonts w:hint="eastAsia" w:asciiTheme="minorEastAsia" w:hAnsiTheme="minorEastAsia" w:eastAsiaTheme="minorEastAsia"/>
          <w:color w:val="000000" w:themeColor="text1"/>
          <w:sz w:val="28"/>
          <w:szCs w:val="28"/>
          <w:highlight w:val="none"/>
          <w14:textFill>
            <w14:solidFill>
              <w14:schemeClr w14:val="tx1"/>
            </w14:solidFill>
          </w14:textFill>
        </w:rPr>
        <w:t>之间商定部分</w:t>
      </w:r>
      <w:r>
        <w:rPr>
          <w:rFonts w:hint="eastAsia" w:asciiTheme="minorEastAsia" w:hAnsiTheme="minorEastAsia" w:eastAsiaTheme="minorEastAsia"/>
          <w:color w:val="000000" w:themeColor="text1"/>
          <w:sz w:val="28"/>
          <w:szCs w:val="28"/>
          <w:highlight w:val="none"/>
          <w:lang w:eastAsia="zh-CN"/>
          <w14:textFill>
            <w14:solidFill>
              <w14:schemeClr w14:val="tx1"/>
            </w14:solidFill>
          </w14:textFill>
        </w:rPr>
        <w:t>供应商</w:t>
      </w:r>
      <w:r>
        <w:rPr>
          <w:rFonts w:hint="eastAsia" w:asciiTheme="minorEastAsia" w:hAnsiTheme="minorEastAsia" w:eastAsiaTheme="minorEastAsia"/>
          <w:color w:val="000000" w:themeColor="text1"/>
          <w:sz w:val="28"/>
          <w:szCs w:val="28"/>
          <w:highlight w:val="none"/>
          <w14:textFill>
            <w14:solidFill>
              <w14:schemeClr w14:val="tx1"/>
            </w14:solidFill>
          </w14:textFill>
        </w:rPr>
        <w:t>放弃参加政府采购活动或者放弃中标；</w:t>
      </w:r>
    </w:p>
    <w:p w14:paraId="2607D967">
      <w:pPr>
        <w:keepNext w:val="0"/>
        <w:keepLines w:val="0"/>
        <w:pageBreakBefore w:val="0"/>
        <w:widowControl w:val="0"/>
        <w:kinsoku/>
        <w:wordWrap/>
        <w:overflowPunct/>
        <w:topLinePunct w:val="0"/>
        <w:autoSpaceDE/>
        <w:autoSpaceDN/>
        <w:bidi w:val="0"/>
        <w:adjustRightInd w:val="0"/>
        <w:snapToGrid w:val="0"/>
        <w:spacing w:line="560" w:lineRule="exact"/>
        <w:ind w:firstLine="548" w:firstLineChars="196"/>
        <w:jc w:val="both"/>
        <w:textAlignment w:val="auto"/>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7.</w:t>
      </w:r>
      <w:r>
        <w:rPr>
          <w:rFonts w:hint="eastAsia" w:asciiTheme="minorEastAsia" w:hAnsiTheme="minorEastAsia" w:eastAsiaTheme="minorEastAsia"/>
          <w:color w:val="000000" w:themeColor="text1"/>
          <w:sz w:val="28"/>
          <w:szCs w:val="28"/>
          <w:highlight w:val="none"/>
          <w:lang w:eastAsia="zh-CN"/>
          <w14:textFill>
            <w14:solidFill>
              <w14:schemeClr w14:val="tx1"/>
            </w14:solidFill>
          </w14:textFill>
        </w:rPr>
        <w:t>供应商</w:t>
      </w:r>
      <w:r>
        <w:rPr>
          <w:rFonts w:hint="eastAsia" w:asciiTheme="minorEastAsia" w:hAnsiTheme="minorEastAsia" w:eastAsiaTheme="minorEastAsia"/>
          <w:color w:val="000000" w:themeColor="text1"/>
          <w:sz w:val="28"/>
          <w:szCs w:val="28"/>
          <w:highlight w:val="none"/>
          <w14:textFill>
            <w14:solidFill>
              <w14:schemeClr w14:val="tx1"/>
            </w14:solidFill>
          </w14:textFill>
        </w:rPr>
        <w:t>与采购人或者采购代理机构之间、</w:t>
      </w:r>
      <w:r>
        <w:rPr>
          <w:rFonts w:hint="eastAsia" w:asciiTheme="minorEastAsia" w:hAnsiTheme="minorEastAsia" w:eastAsiaTheme="minorEastAsia"/>
          <w:color w:val="000000" w:themeColor="text1"/>
          <w:sz w:val="28"/>
          <w:szCs w:val="28"/>
          <w:highlight w:val="none"/>
          <w:lang w:eastAsia="zh-CN"/>
          <w14:textFill>
            <w14:solidFill>
              <w14:schemeClr w14:val="tx1"/>
            </w14:solidFill>
          </w14:textFill>
        </w:rPr>
        <w:t>供应商</w:t>
      </w:r>
      <w:r>
        <w:rPr>
          <w:rFonts w:hint="eastAsia" w:asciiTheme="minorEastAsia" w:hAnsiTheme="minorEastAsia" w:eastAsiaTheme="minorEastAsia"/>
          <w:color w:val="000000" w:themeColor="text1"/>
          <w:sz w:val="28"/>
          <w:szCs w:val="28"/>
          <w:highlight w:val="none"/>
          <w14:textFill>
            <w14:solidFill>
              <w14:schemeClr w14:val="tx1"/>
            </w14:solidFill>
          </w14:textFill>
        </w:rPr>
        <w:t>相互之间，为谋求特定</w:t>
      </w:r>
      <w:r>
        <w:rPr>
          <w:rFonts w:hint="eastAsia" w:asciiTheme="minorEastAsia" w:hAnsiTheme="minorEastAsia" w:eastAsiaTheme="minorEastAsia"/>
          <w:color w:val="000000" w:themeColor="text1"/>
          <w:sz w:val="28"/>
          <w:szCs w:val="28"/>
          <w:highlight w:val="none"/>
          <w:lang w:eastAsia="zh-CN"/>
          <w14:textFill>
            <w14:solidFill>
              <w14:schemeClr w14:val="tx1"/>
            </w14:solidFill>
          </w14:textFill>
        </w:rPr>
        <w:t>供应商</w:t>
      </w:r>
      <w:r>
        <w:rPr>
          <w:rFonts w:hint="eastAsia" w:asciiTheme="minorEastAsia" w:hAnsiTheme="minorEastAsia" w:eastAsiaTheme="minorEastAsia"/>
          <w:color w:val="000000" w:themeColor="text1"/>
          <w:sz w:val="28"/>
          <w:szCs w:val="28"/>
          <w:highlight w:val="none"/>
          <w14:textFill>
            <w14:solidFill>
              <w14:schemeClr w14:val="tx1"/>
            </w14:solidFill>
          </w14:textFill>
        </w:rPr>
        <w:t>中标或者排斥其他</w:t>
      </w:r>
      <w:r>
        <w:rPr>
          <w:rFonts w:hint="eastAsia" w:asciiTheme="minorEastAsia" w:hAnsiTheme="minorEastAsia" w:eastAsiaTheme="minorEastAsia"/>
          <w:color w:val="000000" w:themeColor="text1"/>
          <w:sz w:val="28"/>
          <w:szCs w:val="28"/>
          <w:highlight w:val="none"/>
          <w:lang w:eastAsia="zh-CN"/>
          <w14:textFill>
            <w14:solidFill>
              <w14:schemeClr w14:val="tx1"/>
            </w14:solidFill>
          </w14:textFill>
        </w:rPr>
        <w:t>供应商</w:t>
      </w:r>
      <w:r>
        <w:rPr>
          <w:rFonts w:hint="eastAsia" w:asciiTheme="minorEastAsia" w:hAnsiTheme="minorEastAsia" w:eastAsiaTheme="minorEastAsia"/>
          <w:color w:val="000000" w:themeColor="text1"/>
          <w:sz w:val="28"/>
          <w:szCs w:val="28"/>
          <w:highlight w:val="none"/>
          <w14:textFill>
            <w14:solidFill>
              <w14:schemeClr w14:val="tx1"/>
            </w14:solidFill>
          </w14:textFill>
        </w:rPr>
        <w:t>的其他串通行为。</w:t>
      </w:r>
    </w:p>
    <w:p w14:paraId="02F250E3">
      <w:pPr>
        <w:keepNext w:val="0"/>
        <w:keepLines w:val="0"/>
        <w:pageBreakBefore w:val="0"/>
        <w:widowControl w:val="0"/>
        <w:kinsoku/>
        <w:wordWrap/>
        <w:overflowPunct/>
        <w:topLinePunct w:val="0"/>
        <w:autoSpaceDE/>
        <w:autoSpaceDN/>
        <w:bidi w:val="0"/>
        <w:adjustRightInd w:val="0"/>
        <w:snapToGrid w:val="0"/>
        <w:spacing w:line="560" w:lineRule="exact"/>
        <w:ind w:firstLine="551" w:firstLineChars="196"/>
        <w:jc w:val="both"/>
        <w:textAlignment w:val="auto"/>
        <w:rPr>
          <w:rFonts w:asciiTheme="minorEastAsia" w:hAnsiTheme="minorEastAsia" w:eastAsia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b/>
          <w:color w:val="000000" w:themeColor="text1"/>
          <w:sz w:val="28"/>
          <w:szCs w:val="28"/>
          <w:highlight w:val="none"/>
          <w14:textFill>
            <w14:solidFill>
              <w14:schemeClr w14:val="tx1"/>
            </w14:solidFill>
          </w14:textFill>
        </w:rPr>
        <w:t>以上情形一经核查属实，接受政府采购监管部门对我方认定存在围标串标行为，我方愿意承担一切后果，并不再寻求任何旨在减轻或者免除法律责任的辩解。</w:t>
      </w:r>
    </w:p>
    <w:p w14:paraId="061D1E07">
      <w:pPr>
        <w:pageBreakBefore w:val="0"/>
        <w:wordWrap/>
        <w:topLinePunct w:val="0"/>
        <w:bidi w:val="0"/>
        <w:adjustRightInd w:val="0"/>
        <w:snapToGrid w:val="0"/>
        <w:spacing w:line="560" w:lineRule="exact"/>
        <w:ind w:firstLine="4200" w:firstLineChars="1500"/>
        <w:rPr>
          <w:rFonts w:cs="仿宋_GB2312" w:asciiTheme="minorEastAsia" w:hAnsiTheme="minorEastAsia" w:eastAsiaTheme="minorEastAsia"/>
          <w:color w:val="000000" w:themeColor="text1"/>
          <w:kern w:val="0"/>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lang w:eastAsia="zh-CN"/>
          <w14:textFill>
            <w14:solidFill>
              <w14:schemeClr w14:val="tx1"/>
            </w14:solidFill>
          </w14:textFill>
        </w:rPr>
        <w:t>供应商</w:t>
      </w:r>
      <w:r>
        <w:rPr>
          <w:rFonts w:hint="eastAsia" w:cs="仿宋_GB2312" w:asciiTheme="minorEastAsia" w:hAnsiTheme="minorEastAsia" w:eastAsiaTheme="minorEastAsia"/>
          <w:color w:val="000000" w:themeColor="text1"/>
          <w:kern w:val="0"/>
          <w:sz w:val="28"/>
          <w:szCs w:val="28"/>
          <w:highlight w:val="none"/>
          <w:lang w:val="zh-CN"/>
          <w14:textFill>
            <w14:solidFill>
              <w14:schemeClr w14:val="tx1"/>
            </w14:solidFill>
          </w14:textFill>
        </w:rPr>
        <w:t>名称(电子公章)：</w:t>
      </w:r>
    </w:p>
    <w:p w14:paraId="39C80A7C">
      <w:pPr>
        <w:pageBreakBefore w:val="0"/>
        <w:wordWrap/>
        <w:topLinePunct w:val="0"/>
        <w:bidi w:val="0"/>
        <w:adjustRightInd w:val="0"/>
        <w:snapToGrid w:val="0"/>
        <w:spacing w:line="560" w:lineRule="exact"/>
        <w:ind w:firstLine="4200" w:firstLineChars="1500"/>
        <w:rPr>
          <w:rFonts w:hint="eastAsia" w:cs="仿宋_GB2312" w:asciiTheme="minorEastAsia" w:hAnsiTheme="minorEastAsia" w:eastAsiaTheme="minorEastAsia"/>
          <w:color w:val="000000" w:themeColor="text1"/>
          <w:kern w:val="0"/>
          <w:sz w:val="28"/>
          <w:szCs w:val="28"/>
          <w:highlight w:val="none"/>
          <w:lang w:val="zh-CN"/>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法定代表人或其委托代理人（签字</w:t>
      </w:r>
      <w:r>
        <w:rPr>
          <w:rFonts w:hint="eastAsia" w:ascii="宋体" w:hAnsi="宋体" w:cs="宋体"/>
          <w:color w:val="000000" w:themeColor="text1"/>
          <w:sz w:val="28"/>
          <w:szCs w:val="28"/>
          <w:highlight w:val="none"/>
          <w:lang w:eastAsia="zh-CN"/>
          <w14:textFill>
            <w14:solidFill>
              <w14:schemeClr w14:val="tx1"/>
            </w14:solidFill>
          </w14:textFill>
        </w:rPr>
        <w:t>或</w:t>
      </w:r>
      <w:r>
        <w:rPr>
          <w:rFonts w:hint="eastAsia" w:ascii="宋体" w:hAnsi="宋体" w:eastAsia="宋体" w:cs="宋体"/>
          <w:color w:val="000000" w:themeColor="text1"/>
          <w:sz w:val="28"/>
          <w:szCs w:val="28"/>
          <w:highlight w:val="none"/>
          <w14:textFill>
            <w14:solidFill>
              <w14:schemeClr w14:val="tx1"/>
            </w14:solidFill>
          </w14:textFill>
        </w:rPr>
        <w:t>盖章）：</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r>
        <w:rPr>
          <w:rFonts w:hint="eastAsia" w:ascii="宋体" w:hAnsi="宋体" w:cs="宋体"/>
          <w:color w:val="000000" w:themeColor="text1"/>
          <w:sz w:val="28"/>
          <w:szCs w:val="28"/>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kern w:val="0"/>
          <w:sz w:val="28"/>
          <w:szCs w:val="28"/>
          <w:highlight w:val="none"/>
          <w:u w:val="single"/>
          <w:lang w:val="en-US" w:eastAsia="zh-CN"/>
          <w14:textFill>
            <w14:solidFill>
              <w14:schemeClr w14:val="tx1"/>
            </w14:solidFill>
          </w14:textFill>
        </w:rPr>
        <w:t xml:space="preserve"> </w:t>
      </w:r>
    </w:p>
    <w:p w14:paraId="0D183A0C">
      <w:pPr>
        <w:pageBreakBefore w:val="0"/>
        <w:wordWrap/>
        <w:topLinePunct w:val="0"/>
        <w:bidi w:val="0"/>
        <w:adjustRightInd w:val="0"/>
        <w:snapToGrid w:val="0"/>
        <w:spacing w:line="560" w:lineRule="exact"/>
        <w:ind w:firstLine="4200" w:firstLineChars="1500"/>
        <w:rPr>
          <w:rFonts w:cs="仿宋_GB2312" w:asciiTheme="minorEastAsia" w:hAnsiTheme="minorEastAsia" w:eastAsiaTheme="minorEastAsia"/>
          <w:color w:val="000000" w:themeColor="text1"/>
          <w:kern w:val="0"/>
          <w:sz w:val="28"/>
          <w:szCs w:val="28"/>
          <w:highlight w:val="none"/>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8"/>
          <w:szCs w:val="28"/>
          <w:highlight w:val="none"/>
          <w:lang w:val="zh-CN"/>
          <w14:textFill>
            <w14:solidFill>
              <w14:schemeClr w14:val="tx1"/>
            </w14:solidFill>
          </w14:textFill>
        </w:rPr>
        <w:t>日  期</w:t>
      </w:r>
      <w:r>
        <w:rPr>
          <w:rFonts w:hint="eastAsia" w:cs="仿宋_GB2312" w:asciiTheme="minorEastAsia" w:hAnsiTheme="minorEastAsia" w:eastAsiaTheme="minorEastAsia"/>
          <w:color w:val="000000" w:themeColor="text1"/>
          <w:kern w:val="0"/>
          <w:sz w:val="28"/>
          <w:szCs w:val="28"/>
          <w:highlight w:val="none"/>
          <w14:textFill>
            <w14:solidFill>
              <w14:schemeClr w14:val="tx1"/>
            </w14:solidFill>
          </w14:textFill>
        </w:rPr>
        <w:t xml:space="preserve">：  年  </w:t>
      </w:r>
      <w:r>
        <w:rPr>
          <w:rFonts w:hint="eastAsia" w:cs="仿宋_GB2312" w:asciiTheme="minorEastAsia" w:hAnsiTheme="minorEastAsia" w:eastAsiaTheme="minorEastAsia"/>
          <w:color w:val="000000" w:themeColor="text1"/>
          <w:kern w:val="0"/>
          <w:sz w:val="28"/>
          <w:szCs w:val="28"/>
          <w:highlight w:val="none"/>
          <w:lang w:val="zh-CN"/>
          <w14:textFill>
            <w14:solidFill>
              <w14:schemeClr w14:val="tx1"/>
            </w14:solidFill>
          </w14:textFill>
        </w:rPr>
        <w:t>月</w:t>
      </w:r>
      <w:r>
        <w:rPr>
          <w:rFonts w:hint="eastAsia" w:cs="仿宋_GB2312" w:asciiTheme="minorEastAsia" w:hAnsiTheme="minorEastAsia" w:eastAsiaTheme="minorEastAsia"/>
          <w:color w:val="000000" w:themeColor="text1"/>
          <w:kern w:val="0"/>
          <w:sz w:val="28"/>
          <w:szCs w:val="28"/>
          <w:highlight w:val="none"/>
          <w14:textFill>
            <w14:solidFill>
              <w14:schemeClr w14:val="tx1"/>
            </w14:solidFill>
          </w14:textFill>
        </w:rPr>
        <w:t xml:space="preserve">   </w:t>
      </w:r>
      <w:r>
        <w:rPr>
          <w:rFonts w:hint="eastAsia" w:cs="仿宋_GB2312" w:asciiTheme="minorEastAsia" w:hAnsiTheme="minorEastAsia" w:eastAsiaTheme="minorEastAsia"/>
          <w:color w:val="000000" w:themeColor="text1"/>
          <w:kern w:val="0"/>
          <w:sz w:val="28"/>
          <w:szCs w:val="28"/>
          <w:highlight w:val="none"/>
          <w:lang w:val="zh-CN"/>
          <w14:textFill>
            <w14:solidFill>
              <w14:schemeClr w14:val="tx1"/>
            </w14:solidFill>
          </w14:textFill>
        </w:rPr>
        <w:t>日</w:t>
      </w:r>
    </w:p>
    <w:p w14:paraId="345F05F4">
      <w:pPr>
        <w:pStyle w:val="17"/>
        <w:pageBreakBefore w:val="0"/>
        <w:wordWrap/>
        <w:topLinePunct w:val="0"/>
        <w:bidi w:val="0"/>
        <w:spacing w:line="560" w:lineRule="exact"/>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br w:type="page"/>
      </w:r>
      <w:r>
        <w:rPr>
          <w:rFonts w:hint="eastAsia"/>
          <w:color w:val="000000" w:themeColor="text1"/>
          <w:highlight w:val="none"/>
          <w14:textFill>
            <w14:solidFill>
              <w14:schemeClr w14:val="tx1"/>
            </w14:solidFill>
          </w14:textFill>
        </w:rPr>
        <w:t>二、法定代表人身份证明</w:t>
      </w:r>
    </w:p>
    <w:p w14:paraId="275BDB76">
      <w:pPr>
        <w:pageBreakBefore w:val="0"/>
        <w:wordWrap/>
        <w:topLinePunct w:val="0"/>
        <w:bidi w:val="0"/>
        <w:spacing w:before="240" w:beforeLines="100" w:after="120" w:afterLines="50" w:line="560" w:lineRule="exact"/>
        <w:rPr>
          <w:rFonts w:ascii="黑体" w:hAnsi="宋体" w:eastAsia="黑体"/>
          <w:color w:val="000000" w:themeColor="text1"/>
          <w:sz w:val="32"/>
          <w:szCs w:val="32"/>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lang w:eastAsia="zh-CN"/>
          <w14:textFill>
            <w14:solidFill>
              <w14:schemeClr w14:val="tx1"/>
            </w14:solidFill>
          </w14:textFill>
        </w:rPr>
        <w:t>供</w:t>
      </w:r>
      <w:r>
        <w:rPr>
          <w:rFonts w:hint="eastAsia" w:asciiTheme="minorEastAsia" w:hAnsiTheme="minorEastAsia" w:eastAsiaTheme="minorEastAsia"/>
          <w:color w:val="000000" w:themeColor="text1"/>
          <w:sz w:val="28"/>
          <w:szCs w:val="28"/>
          <w:highlight w:val="none"/>
          <w:lang w:val="en-US" w:eastAsia="zh-CN"/>
          <w14:textFill>
            <w14:solidFill>
              <w14:schemeClr w14:val="tx1"/>
            </w14:solidFill>
          </w14:textFill>
        </w:rPr>
        <w:t xml:space="preserve"> </w:t>
      </w:r>
      <w:r>
        <w:rPr>
          <w:rFonts w:hint="eastAsia" w:asciiTheme="minorEastAsia" w:hAnsiTheme="minorEastAsia" w:eastAsiaTheme="minorEastAsia"/>
          <w:color w:val="000000" w:themeColor="text1"/>
          <w:sz w:val="28"/>
          <w:szCs w:val="28"/>
          <w:highlight w:val="none"/>
          <w:lang w:eastAsia="zh-CN"/>
          <w14:textFill>
            <w14:solidFill>
              <w14:schemeClr w14:val="tx1"/>
            </w14:solidFill>
          </w14:textFill>
        </w:rPr>
        <w:t>应</w:t>
      </w:r>
      <w:r>
        <w:rPr>
          <w:rFonts w:hint="eastAsia" w:asciiTheme="minorEastAsia" w:hAnsiTheme="minorEastAsia" w:eastAsiaTheme="minorEastAsia"/>
          <w:color w:val="000000" w:themeColor="text1"/>
          <w:sz w:val="28"/>
          <w:szCs w:val="28"/>
          <w:highlight w:val="none"/>
          <w:lang w:val="en-US" w:eastAsia="zh-CN"/>
          <w14:textFill>
            <w14:solidFill>
              <w14:schemeClr w14:val="tx1"/>
            </w14:solidFill>
          </w14:textFill>
        </w:rPr>
        <w:t xml:space="preserve"> </w:t>
      </w:r>
      <w:r>
        <w:rPr>
          <w:rFonts w:hint="eastAsia" w:asciiTheme="minorEastAsia" w:hAnsiTheme="minorEastAsia" w:eastAsiaTheme="minorEastAsia"/>
          <w:color w:val="000000" w:themeColor="text1"/>
          <w:sz w:val="28"/>
          <w:szCs w:val="28"/>
          <w:highlight w:val="none"/>
          <w:lang w:eastAsia="zh-CN"/>
          <w14:textFill>
            <w14:solidFill>
              <w14:schemeClr w14:val="tx1"/>
            </w14:solidFill>
          </w14:textFill>
        </w:rPr>
        <w:t>商</w:t>
      </w:r>
      <w:r>
        <w:rPr>
          <w:rFonts w:hint="eastAsia" w:asciiTheme="minorEastAsia" w:hAnsiTheme="minorEastAsia" w:eastAsiaTheme="minorEastAsia"/>
          <w:color w:val="000000" w:themeColor="text1"/>
          <w:sz w:val="28"/>
          <w:szCs w:val="28"/>
          <w:highlight w:val="none"/>
          <w14:textFill>
            <w14:solidFill>
              <w14:schemeClr w14:val="tx1"/>
            </w14:solidFill>
          </w14:textFill>
        </w:rPr>
        <w:t>：</w:t>
      </w:r>
      <w:r>
        <w:rPr>
          <w:rFonts w:hint="eastAsia" w:asciiTheme="minorEastAsia" w:hAnsiTheme="minorEastAsia" w:eastAsiaTheme="minorEastAsia"/>
          <w:color w:val="000000" w:themeColor="text1"/>
          <w:sz w:val="28"/>
          <w:szCs w:val="28"/>
          <w:highlight w:val="none"/>
          <w:u w:val="single"/>
          <w14:textFill>
            <w14:solidFill>
              <w14:schemeClr w14:val="tx1"/>
            </w14:solidFill>
          </w14:textFill>
        </w:rPr>
        <w:t xml:space="preserve">                                                        </w:t>
      </w:r>
    </w:p>
    <w:p w14:paraId="12A38BB4">
      <w:pPr>
        <w:pageBreakBefore w:val="0"/>
        <w:wordWrap/>
        <w:topLinePunct w:val="0"/>
        <w:bidi w:val="0"/>
        <w:spacing w:line="560" w:lineRule="exact"/>
        <w:jc w:val="left"/>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地    址：</w:t>
      </w:r>
      <w:r>
        <w:rPr>
          <w:rFonts w:hint="eastAsia" w:asciiTheme="minorEastAsia" w:hAnsiTheme="minorEastAsia" w:eastAsiaTheme="minorEastAsia"/>
          <w:color w:val="000000" w:themeColor="text1"/>
          <w:sz w:val="28"/>
          <w:szCs w:val="28"/>
          <w:highlight w:val="none"/>
          <w:u w:val="single"/>
          <w14:textFill>
            <w14:solidFill>
              <w14:schemeClr w14:val="tx1"/>
            </w14:solidFill>
          </w14:textFill>
        </w:rPr>
        <w:t xml:space="preserve">                                                        </w:t>
      </w:r>
    </w:p>
    <w:p w14:paraId="1726195B">
      <w:pPr>
        <w:pageBreakBefore w:val="0"/>
        <w:wordWrap/>
        <w:topLinePunct w:val="0"/>
        <w:bidi w:val="0"/>
        <w:spacing w:line="560" w:lineRule="exact"/>
        <w:jc w:val="left"/>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姓    名：</w:t>
      </w:r>
      <w:r>
        <w:rPr>
          <w:rFonts w:hint="eastAsia" w:asciiTheme="minorEastAsia" w:hAnsiTheme="minorEastAsia" w:eastAsiaTheme="minorEastAsia"/>
          <w:color w:val="000000" w:themeColor="text1"/>
          <w:sz w:val="28"/>
          <w:szCs w:val="28"/>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z w:val="28"/>
          <w:szCs w:val="28"/>
          <w:highlight w:val="none"/>
          <w14:textFill>
            <w14:solidFill>
              <w14:schemeClr w14:val="tx1"/>
            </w14:solidFill>
          </w14:textFill>
        </w:rPr>
        <w:t>性      别：</w:t>
      </w:r>
      <w:r>
        <w:rPr>
          <w:rFonts w:hint="eastAsia" w:asciiTheme="minorEastAsia" w:hAnsiTheme="minorEastAsia" w:eastAsiaTheme="minorEastAsia"/>
          <w:color w:val="000000" w:themeColor="text1"/>
          <w:sz w:val="28"/>
          <w:szCs w:val="28"/>
          <w:highlight w:val="none"/>
          <w:u w:val="single"/>
          <w14:textFill>
            <w14:solidFill>
              <w14:schemeClr w14:val="tx1"/>
            </w14:solidFill>
          </w14:textFill>
        </w:rPr>
        <w:t xml:space="preserve">                </w:t>
      </w:r>
    </w:p>
    <w:p w14:paraId="3ADA81B2">
      <w:pPr>
        <w:pageBreakBefore w:val="0"/>
        <w:wordWrap/>
        <w:topLinePunct w:val="0"/>
        <w:bidi w:val="0"/>
        <w:spacing w:line="560" w:lineRule="exact"/>
        <w:jc w:val="left"/>
        <w:rPr>
          <w:rFonts w:asciiTheme="minorEastAsia" w:hAnsiTheme="minorEastAsia" w:eastAsiaTheme="minorEastAsia"/>
          <w:color w:val="000000" w:themeColor="text1"/>
          <w:sz w:val="28"/>
          <w:szCs w:val="28"/>
          <w:highlight w:val="none"/>
          <w:u w:val="singl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年    龄：</w:t>
      </w:r>
      <w:r>
        <w:rPr>
          <w:rFonts w:hint="eastAsia" w:asciiTheme="minorEastAsia" w:hAnsiTheme="minorEastAsia" w:eastAsiaTheme="minorEastAsia"/>
          <w:color w:val="000000" w:themeColor="text1"/>
          <w:sz w:val="28"/>
          <w:szCs w:val="28"/>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z w:val="28"/>
          <w:szCs w:val="28"/>
          <w:highlight w:val="none"/>
          <w14:textFill>
            <w14:solidFill>
              <w14:schemeClr w14:val="tx1"/>
            </w14:solidFill>
          </w14:textFill>
        </w:rPr>
        <w:t>职      务：</w:t>
      </w:r>
      <w:r>
        <w:rPr>
          <w:rFonts w:hint="eastAsia" w:asciiTheme="minorEastAsia" w:hAnsiTheme="minorEastAsia" w:eastAsiaTheme="minorEastAsia"/>
          <w:color w:val="000000" w:themeColor="text1"/>
          <w:sz w:val="28"/>
          <w:szCs w:val="28"/>
          <w:highlight w:val="none"/>
          <w:u w:val="single"/>
          <w14:textFill>
            <w14:solidFill>
              <w14:schemeClr w14:val="tx1"/>
            </w14:solidFill>
          </w14:textFill>
        </w:rPr>
        <w:t xml:space="preserve">                </w:t>
      </w:r>
    </w:p>
    <w:p w14:paraId="2CBD243F">
      <w:pPr>
        <w:pageBreakBefore w:val="0"/>
        <w:wordWrap/>
        <w:topLinePunct w:val="0"/>
        <w:bidi w:val="0"/>
        <w:spacing w:line="560" w:lineRule="exact"/>
        <w:jc w:val="left"/>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身份证号码：</w:t>
      </w:r>
      <w:r>
        <w:rPr>
          <w:rFonts w:asciiTheme="minorEastAsia" w:hAnsiTheme="minorEastAsia" w:eastAsiaTheme="minorEastAsia"/>
          <w:color w:val="000000" w:themeColor="text1"/>
          <w:sz w:val="28"/>
          <w:szCs w:val="28"/>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z w:val="28"/>
          <w:szCs w:val="28"/>
          <w:highlight w:val="none"/>
          <w14:textFill>
            <w14:solidFill>
              <w14:schemeClr w14:val="tx1"/>
            </w14:solidFill>
          </w14:textFill>
        </w:rPr>
        <w:t>系</w:t>
      </w:r>
      <w:r>
        <w:rPr>
          <w:rFonts w:hint="eastAsia" w:asciiTheme="minorEastAsia" w:hAnsiTheme="minorEastAsia" w:eastAsiaTheme="minorEastAsia"/>
          <w:color w:val="000000" w:themeColor="text1"/>
          <w:sz w:val="28"/>
          <w:szCs w:val="28"/>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z w:val="28"/>
          <w:szCs w:val="28"/>
          <w:highlight w:val="none"/>
          <w:u w:val="single"/>
          <w:lang w:eastAsia="zh-CN"/>
          <w14:textFill>
            <w14:solidFill>
              <w14:schemeClr w14:val="tx1"/>
            </w14:solidFill>
          </w14:textFill>
        </w:rPr>
        <w:t>供应商</w:t>
      </w:r>
      <w:r>
        <w:rPr>
          <w:rFonts w:hint="eastAsia" w:asciiTheme="minorEastAsia" w:hAnsiTheme="minorEastAsia" w:eastAsiaTheme="minorEastAsia"/>
          <w:color w:val="000000" w:themeColor="text1"/>
          <w:sz w:val="28"/>
          <w:szCs w:val="28"/>
          <w:highlight w:val="none"/>
          <w:u w:val="single"/>
          <w14:textFill>
            <w14:solidFill>
              <w14:schemeClr w14:val="tx1"/>
            </w14:solidFill>
          </w14:textFill>
        </w:rPr>
        <w:t xml:space="preserve">名称）              </w:t>
      </w:r>
      <w:r>
        <w:rPr>
          <w:rFonts w:hint="eastAsia" w:asciiTheme="minorEastAsia" w:hAnsiTheme="minorEastAsia" w:eastAsiaTheme="minorEastAsia"/>
          <w:color w:val="000000" w:themeColor="text1"/>
          <w:sz w:val="28"/>
          <w:szCs w:val="28"/>
          <w:highlight w:val="none"/>
          <w14:textFill>
            <w14:solidFill>
              <w14:schemeClr w14:val="tx1"/>
            </w14:solidFill>
          </w14:textFill>
        </w:rPr>
        <w:t>的法定代表人。</w:t>
      </w:r>
    </w:p>
    <w:p w14:paraId="3424FED4">
      <w:pPr>
        <w:pageBreakBefore w:val="0"/>
        <w:wordWrap/>
        <w:topLinePunct w:val="0"/>
        <w:bidi w:val="0"/>
        <w:spacing w:line="560" w:lineRule="exact"/>
        <w:ind w:left="540"/>
        <w:jc w:val="left"/>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特此证明。</w:t>
      </w:r>
    </w:p>
    <w:p w14:paraId="3D7D1205">
      <w:pPr>
        <w:pageBreakBefore w:val="0"/>
        <w:wordWrap/>
        <w:topLinePunct w:val="0"/>
        <w:bidi w:val="0"/>
        <w:spacing w:line="560" w:lineRule="exact"/>
        <w:ind w:left="540"/>
        <w:jc w:val="left"/>
        <w:rPr>
          <w:rFonts w:asciiTheme="minorEastAsia" w:hAnsiTheme="minorEastAsia" w:eastAsiaTheme="minorEastAsia"/>
          <w:color w:val="000000" w:themeColor="text1"/>
          <w:sz w:val="28"/>
          <w:szCs w:val="28"/>
          <w:highlight w:val="none"/>
          <w14:textFill>
            <w14:solidFill>
              <w14:schemeClr w14:val="tx1"/>
            </w14:solidFill>
          </w14:textFill>
        </w:rPr>
      </w:pPr>
    </w:p>
    <w:p w14:paraId="38E24C12">
      <w:pPr>
        <w:pageBreakBefore w:val="0"/>
        <w:wordWrap/>
        <w:topLinePunct w:val="0"/>
        <w:bidi w:val="0"/>
        <w:spacing w:line="560" w:lineRule="exact"/>
        <w:ind w:left="540"/>
        <w:jc w:val="left"/>
        <w:rPr>
          <w:rFonts w:asciiTheme="minorEastAsia" w:hAnsiTheme="minorEastAsia" w:eastAsiaTheme="minorEastAsia"/>
          <w:color w:val="000000" w:themeColor="text1"/>
          <w:sz w:val="28"/>
          <w:szCs w:val="28"/>
          <w:highlight w:val="none"/>
          <w14:textFill>
            <w14:solidFill>
              <w14:schemeClr w14:val="tx1"/>
            </w14:solidFill>
          </w14:textFill>
        </w:rPr>
      </w:pPr>
    </w:p>
    <w:p w14:paraId="1DCA88F2">
      <w:pPr>
        <w:pageBreakBefore w:val="0"/>
        <w:wordWrap/>
        <w:topLinePunct w:val="0"/>
        <w:bidi w:val="0"/>
        <w:spacing w:line="560" w:lineRule="exact"/>
        <w:ind w:left="540"/>
        <w:jc w:val="left"/>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附件：法定代表人有效身份证正、反面复印件</w:t>
      </w:r>
    </w:p>
    <w:p w14:paraId="227BC7B8">
      <w:pPr>
        <w:pageBreakBefore w:val="0"/>
        <w:wordWrap/>
        <w:topLinePunct w:val="0"/>
        <w:bidi w:val="0"/>
        <w:spacing w:line="560" w:lineRule="exact"/>
        <w:ind w:left="540"/>
        <w:jc w:val="left"/>
        <w:rPr>
          <w:rFonts w:asciiTheme="minorEastAsia" w:hAnsiTheme="minorEastAsia" w:eastAsiaTheme="minorEastAsia"/>
          <w:color w:val="000000" w:themeColor="text1"/>
          <w:sz w:val="28"/>
          <w:szCs w:val="28"/>
          <w:highlight w:val="none"/>
          <w14:textFill>
            <w14:solidFill>
              <w14:schemeClr w14:val="tx1"/>
            </w14:solidFill>
          </w14:textFill>
        </w:rPr>
      </w:pPr>
    </w:p>
    <w:p w14:paraId="551431B6">
      <w:pPr>
        <w:pageBreakBefore w:val="0"/>
        <w:wordWrap/>
        <w:topLinePunct w:val="0"/>
        <w:bidi w:val="0"/>
        <w:spacing w:line="560" w:lineRule="exact"/>
        <w:ind w:left="540"/>
        <w:jc w:val="left"/>
        <w:rPr>
          <w:rFonts w:asciiTheme="minorEastAsia" w:hAnsiTheme="minorEastAsia" w:eastAsiaTheme="minorEastAsia"/>
          <w:color w:val="000000" w:themeColor="text1"/>
          <w:sz w:val="28"/>
          <w:szCs w:val="28"/>
          <w:highlight w:val="none"/>
          <w14:textFill>
            <w14:solidFill>
              <w14:schemeClr w14:val="tx1"/>
            </w14:solidFill>
          </w14:textFill>
        </w:rPr>
      </w:pPr>
    </w:p>
    <w:p w14:paraId="505B86F8">
      <w:pPr>
        <w:pageBreakBefore w:val="0"/>
        <w:wordWrap/>
        <w:topLinePunct w:val="0"/>
        <w:bidi w:val="0"/>
        <w:spacing w:line="560" w:lineRule="exact"/>
        <w:ind w:left="540"/>
        <w:jc w:val="left"/>
        <w:rPr>
          <w:rFonts w:asciiTheme="minorEastAsia" w:hAnsiTheme="minorEastAsia" w:eastAsiaTheme="minorEastAsia"/>
          <w:color w:val="000000" w:themeColor="text1"/>
          <w:sz w:val="28"/>
          <w:szCs w:val="28"/>
          <w:highlight w:val="none"/>
          <w14:textFill>
            <w14:solidFill>
              <w14:schemeClr w14:val="tx1"/>
            </w14:solidFill>
          </w14:textFill>
        </w:rPr>
      </w:pPr>
    </w:p>
    <w:p w14:paraId="63E307BE">
      <w:pPr>
        <w:pageBreakBefore w:val="0"/>
        <w:wordWrap/>
        <w:topLinePunct w:val="0"/>
        <w:bidi w:val="0"/>
        <w:spacing w:line="560" w:lineRule="exact"/>
        <w:ind w:left="540"/>
        <w:jc w:val="left"/>
        <w:rPr>
          <w:rFonts w:asciiTheme="minorEastAsia" w:hAnsiTheme="minorEastAsia" w:eastAsiaTheme="minorEastAsia"/>
          <w:color w:val="000000" w:themeColor="text1"/>
          <w:sz w:val="28"/>
          <w:szCs w:val="28"/>
          <w:highlight w:val="none"/>
          <w14:textFill>
            <w14:solidFill>
              <w14:schemeClr w14:val="tx1"/>
            </w14:solidFill>
          </w14:textFill>
        </w:rPr>
      </w:pPr>
    </w:p>
    <w:p w14:paraId="56070455">
      <w:pPr>
        <w:pageBreakBefore w:val="0"/>
        <w:wordWrap/>
        <w:topLinePunct w:val="0"/>
        <w:bidi w:val="0"/>
        <w:spacing w:line="560" w:lineRule="exact"/>
        <w:ind w:left="540"/>
        <w:jc w:val="left"/>
        <w:rPr>
          <w:rFonts w:asciiTheme="minorEastAsia" w:hAnsiTheme="minorEastAsia" w:eastAsiaTheme="minorEastAsia"/>
          <w:color w:val="000000" w:themeColor="text1"/>
          <w:sz w:val="28"/>
          <w:szCs w:val="28"/>
          <w:highlight w:val="none"/>
          <w14:textFill>
            <w14:solidFill>
              <w14:schemeClr w14:val="tx1"/>
            </w14:solidFill>
          </w14:textFill>
        </w:rPr>
      </w:pPr>
    </w:p>
    <w:p w14:paraId="482853ED">
      <w:pPr>
        <w:pageBreakBefore w:val="0"/>
        <w:wordWrap/>
        <w:topLinePunct w:val="0"/>
        <w:bidi w:val="0"/>
        <w:spacing w:line="560" w:lineRule="exact"/>
        <w:ind w:left="540"/>
        <w:jc w:val="left"/>
        <w:rPr>
          <w:rFonts w:asciiTheme="minorEastAsia" w:hAnsiTheme="minorEastAsia" w:eastAsiaTheme="minorEastAsia"/>
          <w:color w:val="000000" w:themeColor="text1"/>
          <w:sz w:val="28"/>
          <w:szCs w:val="28"/>
          <w:highlight w:val="none"/>
          <w14:textFill>
            <w14:solidFill>
              <w14:schemeClr w14:val="tx1"/>
            </w14:solidFill>
          </w14:textFill>
        </w:rPr>
      </w:pPr>
    </w:p>
    <w:p w14:paraId="47A775E4">
      <w:pPr>
        <w:pageBreakBefore w:val="0"/>
        <w:wordWrap/>
        <w:topLinePunct w:val="0"/>
        <w:bidi w:val="0"/>
        <w:snapToGrid w:val="0"/>
        <w:spacing w:line="560" w:lineRule="exact"/>
        <w:ind w:firstLine="4480" w:firstLineChars="1600"/>
        <w:jc w:val="left"/>
        <w:rPr>
          <w:rFonts w:cs="仿宋_GB2312" w:asciiTheme="minorEastAsia" w:hAnsiTheme="minorEastAsia" w:eastAsiaTheme="minorEastAsia"/>
          <w:color w:val="000000" w:themeColor="text1"/>
          <w:kern w:val="0"/>
          <w:sz w:val="28"/>
          <w:szCs w:val="28"/>
          <w:highlight w:val="none"/>
          <w14:textFill>
            <w14:solidFill>
              <w14:schemeClr w14:val="tx1"/>
            </w14:solidFill>
          </w14:textFill>
        </w:rPr>
      </w:pPr>
      <w:r>
        <w:rPr>
          <w:rFonts w:hint="eastAsia" w:cs="仿宋_GB2312" w:asciiTheme="minorEastAsia" w:hAnsiTheme="minorEastAsia" w:eastAsiaTheme="minorEastAsia"/>
          <w:color w:val="000000" w:themeColor="text1"/>
          <w:kern w:val="0"/>
          <w:sz w:val="28"/>
          <w:szCs w:val="28"/>
          <w:highlight w:val="none"/>
          <w:lang w:val="zh-CN"/>
          <w14:textFill>
            <w14:solidFill>
              <w14:schemeClr w14:val="tx1"/>
            </w14:solidFill>
          </w14:textFill>
        </w:rPr>
        <w:t>供应商名称(电子公章)：</w:t>
      </w:r>
    </w:p>
    <w:p w14:paraId="72B55BBC">
      <w:pPr>
        <w:pageBreakBefore w:val="0"/>
        <w:wordWrap/>
        <w:topLinePunct w:val="0"/>
        <w:bidi w:val="0"/>
        <w:snapToGrid w:val="0"/>
        <w:spacing w:line="560" w:lineRule="exact"/>
        <w:ind w:firstLine="4480" w:firstLineChars="1600"/>
        <w:jc w:val="left"/>
        <w:rPr>
          <w:rFonts w:cs="仿宋_GB2312" w:asciiTheme="minorEastAsia" w:hAnsiTheme="minorEastAsia" w:eastAsiaTheme="minorEastAsia"/>
          <w:color w:val="000000" w:themeColor="text1"/>
          <w:kern w:val="0"/>
          <w:sz w:val="28"/>
          <w:szCs w:val="28"/>
          <w:highlight w:val="none"/>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8"/>
          <w:szCs w:val="28"/>
          <w:highlight w:val="none"/>
          <w:lang w:val="zh-CN"/>
          <w14:textFill>
            <w14:solidFill>
              <w14:schemeClr w14:val="tx1"/>
            </w14:solidFill>
          </w14:textFill>
        </w:rPr>
        <w:t>日  期</w:t>
      </w:r>
      <w:r>
        <w:rPr>
          <w:rFonts w:hint="eastAsia" w:cs="仿宋_GB2312" w:asciiTheme="minorEastAsia" w:hAnsiTheme="minorEastAsia" w:eastAsiaTheme="minorEastAsia"/>
          <w:color w:val="000000" w:themeColor="text1"/>
          <w:kern w:val="0"/>
          <w:sz w:val="28"/>
          <w:szCs w:val="28"/>
          <w:highlight w:val="none"/>
          <w14:textFill>
            <w14:solidFill>
              <w14:schemeClr w14:val="tx1"/>
            </w14:solidFill>
          </w14:textFill>
        </w:rPr>
        <w:t xml:space="preserve">：  年  </w:t>
      </w:r>
      <w:r>
        <w:rPr>
          <w:rFonts w:hint="eastAsia" w:cs="仿宋_GB2312" w:asciiTheme="minorEastAsia" w:hAnsiTheme="minorEastAsia" w:eastAsiaTheme="minorEastAsia"/>
          <w:color w:val="000000" w:themeColor="text1"/>
          <w:kern w:val="0"/>
          <w:sz w:val="28"/>
          <w:szCs w:val="28"/>
          <w:highlight w:val="none"/>
          <w:lang w:val="zh-CN"/>
          <w14:textFill>
            <w14:solidFill>
              <w14:schemeClr w14:val="tx1"/>
            </w14:solidFill>
          </w14:textFill>
        </w:rPr>
        <w:t>月</w:t>
      </w:r>
      <w:r>
        <w:rPr>
          <w:rFonts w:hint="eastAsia" w:cs="仿宋_GB2312" w:asciiTheme="minorEastAsia" w:hAnsiTheme="minorEastAsia" w:eastAsiaTheme="minorEastAsia"/>
          <w:color w:val="000000" w:themeColor="text1"/>
          <w:kern w:val="0"/>
          <w:sz w:val="28"/>
          <w:szCs w:val="28"/>
          <w:highlight w:val="none"/>
          <w14:textFill>
            <w14:solidFill>
              <w14:schemeClr w14:val="tx1"/>
            </w14:solidFill>
          </w14:textFill>
        </w:rPr>
        <w:t xml:space="preserve">   </w:t>
      </w:r>
      <w:r>
        <w:rPr>
          <w:rFonts w:hint="eastAsia" w:cs="仿宋_GB2312" w:asciiTheme="minorEastAsia" w:hAnsiTheme="minorEastAsia" w:eastAsiaTheme="minorEastAsia"/>
          <w:color w:val="000000" w:themeColor="text1"/>
          <w:kern w:val="0"/>
          <w:sz w:val="28"/>
          <w:szCs w:val="28"/>
          <w:highlight w:val="none"/>
          <w:lang w:val="zh-CN"/>
          <w14:textFill>
            <w14:solidFill>
              <w14:schemeClr w14:val="tx1"/>
            </w14:solidFill>
          </w14:textFill>
        </w:rPr>
        <w:t>日</w:t>
      </w:r>
    </w:p>
    <w:p w14:paraId="0F2A48A1">
      <w:pPr>
        <w:pageBreakBefore w:val="0"/>
        <w:wordWrap/>
        <w:topLinePunct w:val="0"/>
        <w:bidi w:val="0"/>
        <w:snapToGrid w:val="0"/>
        <w:spacing w:before="120" w:beforeLines="50" w:after="50" w:line="560" w:lineRule="exact"/>
        <w:jc w:val="left"/>
        <w:rPr>
          <w:rFonts w:ascii="宋体" w:hAnsi="宋体"/>
          <w:color w:val="000000" w:themeColor="text1"/>
          <w:sz w:val="24"/>
          <w:highlight w:val="none"/>
          <w14:textFill>
            <w14:solidFill>
              <w14:schemeClr w14:val="tx1"/>
            </w14:solidFill>
          </w14:textFill>
        </w:rPr>
      </w:pPr>
    </w:p>
    <w:p w14:paraId="1C45E487">
      <w:pPr>
        <w:pageBreakBefore w:val="0"/>
        <w:wordWrap/>
        <w:topLinePunct w:val="0"/>
        <w:bidi w:val="0"/>
        <w:snapToGrid w:val="0"/>
        <w:spacing w:before="120" w:beforeLines="50" w:after="50" w:line="560" w:lineRule="exact"/>
        <w:ind w:firstLine="602" w:firstLineChars="250"/>
        <w:jc w:val="left"/>
        <w:rPr>
          <w:rFonts w:ascii="宋体" w:hAnsi="宋体"/>
          <w:b/>
          <w:color w:val="000000" w:themeColor="text1"/>
          <w:sz w:val="24"/>
          <w:szCs w:val="20"/>
          <w:highlight w:val="none"/>
          <w14:textFill>
            <w14:solidFill>
              <w14:schemeClr w14:val="tx1"/>
            </w14:solidFill>
          </w14:textFill>
        </w:rPr>
      </w:pPr>
    </w:p>
    <w:tbl>
      <w:tblPr>
        <w:tblStyle w:val="34"/>
        <w:tblpPr w:leftFromText="180" w:rightFromText="180" w:vertAnchor="text" w:horzAnchor="margin" w:tblpXSpec="center" w:tblpY="1169"/>
        <w:tblW w:w="84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0"/>
      </w:tblGrid>
      <w:tr w14:paraId="14DAC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5" w:hRule="atLeast"/>
          <w:jc w:val="center"/>
        </w:trPr>
        <w:tc>
          <w:tcPr>
            <w:tcW w:w="8460" w:type="dxa"/>
            <w:tcBorders>
              <w:top w:val="single" w:color="auto" w:sz="4" w:space="0"/>
              <w:left w:val="single" w:color="auto" w:sz="4" w:space="0"/>
              <w:bottom w:val="single" w:color="auto" w:sz="4" w:space="0"/>
              <w:right w:val="single" w:color="auto" w:sz="4" w:space="0"/>
            </w:tcBorders>
          </w:tcPr>
          <w:p w14:paraId="455E3899">
            <w:pPr>
              <w:pageBreakBefore w:val="0"/>
              <w:wordWrap/>
              <w:topLinePunct w:val="0"/>
              <w:bidi w:val="0"/>
              <w:spacing w:line="560" w:lineRule="exact"/>
              <w:rPr>
                <w:rFonts w:ascii="宋体"/>
                <w:b/>
                <w:color w:val="000000" w:themeColor="text1"/>
                <w:sz w:val="24"/>
                <w:highlight w:val="none"/>
                <w14:textFill>
                  <w14:solidFill>
                    <w14:schemeClr w14:val="tx1"/>
                  </w14:solidFill>
                </w14:textFill>
              </w:rPr>
            </w:pPr>
          </w:p>
          <w:p w14:paraId="7F8CC336">
            <w:pPr>
              <w:pageBreakBefore w:val="0"/>
              <w:wordWrap/>
              <w:topLinePunct w:val="0"/>
              <w:bidi w:val="0"/>
              <w:spacing w:line="560" w:lineRule="exact"/>
              <w:rPr>
                <w:rFonts w:ascii="宋体"/>
                <w:b/>
                <w:color w:val="000000" w:themeColor="text1"/>
                <w:sz w:val="24"/>
                <w:highlight w:val="none"/>
                <w14:textFill>
                  <w14:solidFill>
                    <w14:schemeClr w14:val="tx1"/>
                  </w14:solidFill>
                </w14:textFill>
              </w:rPr>
            </w:pPr>
            <w:r>
              <w:rPr>
                <w:rFonts w:hint="eastAsia" w:ascii="宋体"/>
                <w:b/>
                <w:color w:val="000000" w:themeColor="text1"/>
                <w:sz w:val="24"/>
                <w:highlight w:val="none"/>
                <w14:textFill>
                  <w14:solidFill>
                    <w14:schemeClr w14:val="tx1"/>
                  </w14:solidFill>
                </w14:textFill>
              </w:rPr>
              <w:t>法定代表身份证复印件粘帖处（正、反面）</w:t>
            </w:r>
          </w:p>
        </w:tc>
      </w:tr>
    </w:tbl>
    <w:p w14:paraId="75A764CA">
      <w:pPr>
        <w:pStyle w:val="17"/>
        <w:pageBreakBefore w:val="0"/>
        <w:wordWrap/>
        <w:topLinePunct w:val="0"/>
        <w:bidi w:val="0"/>
        <w:spacing w:line="560" w:lineRule="exact"/>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附件：</w:t>
      </w:r>
    </w:p>
    <w:p w14:paraId="4DE7D349">
      <w:pPr>
        <w:pStyle w:val="17"/>
        <w:pageBreakBefore w:val="0"/>
        <w:wordWrap/>
        <w:topLinePunct w:val="0"/>
        <w:bidi w:val="0"/>
        <w:spacing w:line="560" w:lineRule="exact"/>
        <w:rPr>
          <w:color w:val="000000" w:themeColor="text1"/>
          <w:highlight w:val="none"/>
          <w14:textFill>
            <w14:solidFill>
              <w14:schemeClr w14:val="tx1"/>
            </w14:solidFill>
          </w14:textFill>
        </w:rPr>
      </w:pPr>
    </w:p>
    <w:p w14:paraId="67FCCB29">
      <w:pPr>
        <w:pageBreakBefore w:val="0"/>
        <w:widowControl/>
        <w:wordWrap/>
        <w:topLinePunct w:val="0"/>
        <w:bidi w:val="0"/>
        <w:spacing w:line="560" w:lineRule="exact"/>
        <w:jc w:val="left"/>
        <w:rPr>
          <w:rFonts w:ascii="宋体" w:hAnsi="宋体"/>
          <w:b/>
          <w:color w:val="000000" w:themeColor="text1"/>
          <w:sz w:val="24"/>
          <w:szCs w:val="20"/>
          <w:highlight w:val="none"/>
          <w14:textFill>
            <w14:solidFill>
              <w14:schemeClr w14:val="tx1"/>
            </w14:solidFill>
          </w14:textFill>
        </w:rPr>
      </w:pPr>
      <w:r>
        <w:rPr>
          <w:rFonts w:hAnsi="宋体"/>
          <w:b/>
          <w:color w:val="000000" w:themeColor="text1"/>
          <w:sz w:val="24"/>
          <w:highlight w:val="none"/>
          <w14:textFill>
            <w14:solidFill>
              <w14:schemeClr w14:val="tx1"/>
            </w14:solidFill>
          </w14:textFill>
        </w:rPr>
        <w:br w:type="page"/>
      </w:r>
    </w:p>
    <w:p w14:paraId="2C66BF1E">
      <w:pPr>
        <w:pageBreakBefore w:val="0"/>
        <w:wordWrap/>
        <w:topLinePunct w:val="0"/>
        <w:bidi w:val="0"/>
        <w:spacing w:line="560" w:lineRule="exact"/>
        <w:jc w:val="center"/>
        <w:rPr>
          <w:b/>
          <w:color w:val="000000" w:themeColor="text1"/>
          <w:sz w:val="28"/>
          <w:szCs w:val="28"/>
          <w:highlight w:val="none"/>
          <w14:textFill>
            <w14:solidFill>
              <w14:schemeClr w14:val="tx1"/>
            </w14:solidFill>
          </w14:textFill>
        </w:rPr>
      </w:pPr>
      <w:r>
        <w:rPr>
          <w:rFonts w:hint="eastAsia"/>
          <w:b/>
          <w:color w:val="000000" w:themeColor="text1"/>
          <w:sz w:val="28"/>
          <w:szCs w:val="28"/>
          <w:highlight w:val="none"/>
          <w14:textFill>
            <w14:solidFill>
              <w14:schemeClr w14:val="tx1"/>
            </w14:solidFill>
          </w14:textFill>
        </w:rPr>
        <w:t>三、法定代表人授权委托书（如有委托时）</w:t>
      </w:r>
    </w:p>
    <w:p w14:paraId="5BCEA0E9">
      <w:pPr>
        <w:pageBreakBefore w:val="0"/>
        <w:wordWrap/>
        <w:topLinePunct w:val="0"/>
        <w:bidi w:val="0"/>
        <w:spacing w:line="560" w:lineRule="exact"/>
        <w:rPr>
          <w:color w:val="000000" w:themeColor="text1"/>
          <w:sz w:val="28"/>
          <w:szCs w:val="28"/>
          <w:highlight w:val="none"/>
          <w14:textFill>
            <w14:solidFill>
              <w14:schemeClr w14:val="tx1"/>
            </w14:solidFill>
          </w14:textFill>
        </w:rPr>
      </w:pPr>
    </w:p>
    <w:p w14:paraId="07A0A8E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color w:val="000000" w:themeColor="text1"/>
          <w:sz w:val="28"/>
          <w:szCs w:val="28"/>
          <w:highlight w:val="none"/>
          <w:u w:val="single"/>
          <w:lang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t>致：</w:t>
      </w:r>
      <w:r>
        <w:rPr>
          <w:rFonts w:hint="eastAsia" w:asciiTheme="minorEastAsia" w:hAnsiTheme="minorEastAsia" w:eastAsiaTheme="minorEastAsia" w:cstheme="minorEastAsia"/>
          <w:color w:val="000000" w:themeColor="text1"/>
          <w:sz w:val="28"/>
          <w:szCs w:val="28"/>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highlight w:val="none"/>
          <w:u w:val="single"/>
          <w:lang w:eastAsia="zh-CN"/>
          <w14:textFill>
            <w14:solidFill>
              <w14:schemeClr w14:val="tx1"/>
            </w14:solidFill>
          </w14:textFill>
        </w:rPr>
        <w:t>采购人名称）</w:t>
      </w:r>
    </w:p>
    <w:p w14:paraId="000BF1E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 xml:space="preserve">本人 </w:t>
      </w:r>
      <w: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（姓名）系</w:t>
      </w:r>
      <w: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名称）的法定代表人，现授权我单位在职正式员工</w:t>
      </w:r>
      <w: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（姓名和职务）为我方代理人。代理人根据授权，以我方名义签署、澄清、说明、补正、递交、撤回、修改贵方组织的</w:t>
      </w:r>
      <w: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highlight w:val="none"/>
          <w:u w:val="single"/>
          <w:lang w:val="en-US" w:eastAsia="zh-CN"/>
          <w14:textFill>
            <w14:solidFill>
              <w14:schemeClr w14:val="tx1"/>
            </w14:solidFill>
          </w14:textFill>
        </w:rPr>
        <w:t xml:space="preserve">         （项目名称、标项名称）   </w:t>
      </w:r>
      <w: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（项目编号：</w:t>
      </w:r>
      <w:r>
        <w:rPr>
          <w:rFonts w:hint="eastAsia" w:asciiTheme="minorEastAsia" w:hAnsiTheme="minorEastAsia" w:eastAsiaTheme="minorEastAsia" w:cstheme="minorEastAsia"/>
          <w:color w:val="000000" w:themeColor="text1"/>
          <w:sz w:val="28"/>
          <w:szCs w:val="28"/>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）的投标文件、签订合同和处理一切有关事宜，其法律后果由我方承担。</w:t>
      </w:r>
    </w:p>
    <w:p w14:paraId="29CCBC8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本授权书于</w:t>
      </w:r>
      <w: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年</w:t>
      </w:r>
      <w: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月</w:t>
      </w:r>
      <w: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日签字生效，委托期限：</w:t>
      </w:r>
      <w: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w:t>
      </w:r>
    </w:p>
    <w:p w14:paraId="26F8327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代理人无转委托权。</w:t>
      </w:r>
    </w:p>
    <w:p w14:paraId="2EB025D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p>
    <w:p w14:paraId="0E76297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p>
    <w:p w14:paraId="724BFAF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p>
    <w:p w14:paraId="1E993FD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 xml:space="preserve">       供应商名称</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电子公章</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 xml:space="preserve">）：                                    </w:t>
      </w:r>
    </w:p>
    <w:p w14:paraId="3964AFF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法定代表人（</w:t>
      </w:r>
      <w:r>
        <w:rPr>
          <w:rFonts w:hint="eastAsia" w:ascii="宋体" w:hAnsi="宋体" w:eastAsia="宋体" w:cs="宋体"/>
          <w:color w:val="000000" w:themeColor="text1"/>
          <w:sz w:val="28"/>
          <w:szCs w:val="28"/>
          <w:highlight w:val="none"/>
          <w14:textFill>
            <w14:solidFill>
              <w14:schemeClr w14:val="tx1"/>
            </w14:solidFill>
          </w14:textFill>
        </w:rPr>
        <w:t>签字或盖章</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 xml:space="preserve">）：    </w:t>
      </w:r>
      <w:r>
        <w:rPr>
          <w:color w:val="000000" w:themeColor="text1"/>
          <w:highlight w:val="none"/>
          <w14:textFill>
            <w14:solidFill>
              <w14:schemeClr w14:val="tx1"/>
            </w14:solidFill>
          </w14:textFill>
        </w:rPr>
        <w:t xml:space="preserve">                            </w:t>
      </w:r>
    </w:p>
    <w:p w14:paraId="4889E209">
      <w:pPr>
        <w:pStyle w:val="17"/>
        <w:pageBreakBefore w:val="0"/>
        <w:wordWrap/>
        <w:topLinePunct w:val="0"/>
        <w:bidi w:val="0"/>
        <w:spacing w:before="120" w:after="120" w:line="560" w:lineRule="exact"/>
        <w:outlineLvl w:val="9"/>
        <w:rPr>
          <w:color w:val="000000" w:themeColor="text1"/>
          <w:highlight w:val="none"/>
          <w14:textFill>
            <w14:solidFill>
              <w14:schemeClr w14:val="tx1"/>
            </w14:solidFill>
          </w14:textFill>
        </w:rPr>
      </w:pPr>
    </w:p>
    <w:p w14:paraId="101892D7">
      <w:pPr>
        <w:pageBreakBefore w:val="0"/>
        <w:wordWrap/>
        <w:topLinePunct w:val="0"/>
        <w:autoSpaceDE w:val="0"/>
        <w:autoSpaceDN w:val="0"/>
        <w:bidi w:val="0"/>
        <w:adjustRightInd w:val="0"/>
        <w:spacing w:line="560" w:lineRule="exact"/>
        <w:ind w:firstLine="420" w:firstLineChars="200"/>
        <w:jc w:val="left"/>
        <w:rPr>
          <w:rFonts w:ascii="宋体" w:cs="宋体"/>
          <w:color w:val="000000" w:themeColor="text1"/>
          <w:kern w:val="0"/>
          <w:szCs w:val="21"/>
          <w:highlight w:val="none"/>
          <w14:textFill>
            <w14:solidFill>
              <w14:schemeClr w14:val="tx1"/>
            </w14:solidFill>
          </w14:textFill>
        </w:rPr>
      </w:pPr>
      <w:r>
        <w:rPr>
          <w:rFonts w:hint="eastAsia" w:ascii="宋体" w:cs="宋体"/>
          <w:color w:val="000000" w:themeColor="text1"/>
          <w:kern w:val="0"/>
          <w:szCs w:val="21"/>
          <w:highlight w:val="none"/>
          <w14:textFill>
            <w14:solidFill>
              <w14:schemeClr w14:val="tx1"/>
            </w14:solidFill>
          </w14:textFill>
        </w:rPr>
        <w:t xml:space="preserve"> </w:t>
      </w:r>
    </w:p>
    <w:p w14:paraId="6C4A0CC6">
      <w:pPr>
        <w:pageBreakBefore w:val="0"/>
        <w:wordWrap/>
        <w:topLinePunct w:val="0"/>
        <w:autoSpaceDE w:val="0"/>
        <w:autoSpaceDN w:val="0"/>
        <w:bidi w:val="0"/>
        <w:adjustRightInd w:val="0"/>
        <w:spacing w:line="560" w:lineRule="exact"/>
        <w:ind w:firstLine="420" w:firstLineChars="200"/>
        <w:jc w:val="left"/>
        <w:rPr>
          <w:rFonts w:ascii="宋体" w:cs="宋体"/>
          <w:color w:val="000000" w:themeColor="text1"/>
          <w:kern w:val="0"/>
          <w:szCs w:val="21"/>
          <w:highlight w:val="none"/>
          <w14:textFill>
            <w14:solidFill>
              <w14:schemeClr w14:val="tx1"/>
            </w14:solidFill>
          </w14:textFill>
        </w:rPr>
      </w:pPr>
    </w:p>
    <w:p w14:paraId="55BEB469">
      <w:pPr>
        <w:pageBreakBefore w:val="0"/>
        <w:wordWrap/>
        <w:topLinePunct w:val="0"/>
        <w:autoSpaceDE w:val="0"/>
        <w:autoSpaceDN w:val="0"/>
        <w:bidi w:val="0"/>
        <w:adjustRightInd w:val="0"/>
        <w:spacing w:line="560" w:lineRule="exact"/>
        <w:ind w:firstLine="420" w:firstLineChars="200"/>
        <w:jc w:val="left"/>
        <w:rPr>
          <w:rFonts w:ascii="宋体" w:cs="宋体"/>
          <w:color w:val="000000" w:themeColor="text1"/>
          <w:kern w:val="0"/>
          <w:szCs w:val="21"/>
          <w:highlight w:val="none"/>
          <w14:textFill>
            <w14:solidFill>
              <w14:schemeClr w14:val="tx1"/>
            </w14:solidFill>
          </w14:textFill>
        </w:rPr>
      </w:pPr>
    </w:p>
    <w:p w14:paraId="2454C5C7">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注：</w:t>
      </w:r>
    </w:p>
    <w:p w14:paraId="02AEBBC5">
      <w:pPr>
        <w:keepNext w:val="0"/>
        <w:keepLines w:val="0"/>
        <w:pageBreakBefore w:val="0"/>
        <w:widowControl w:val="0"/>
        <w:kinsoku/>
        <w:wordWrap/>
        <w:overflowPunct/>
        <w:topLinePunct w:val="0"/>
        <w:autoSpaceDE/>
        <w:autoSpaceDN/>
        <w:bidi w:val="0"/>
        <w:adjustRightInd/>
        <w:snapToGrid w:val="0"/>
        <w:spacing w:line="560" w:lineRule="exact"/>
        <w:jc w:val="lef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1. 供应商为其他组织或者自然人时，本招标文件规定的法定代表人指负责人或者自然人。本招标文件所称负责人是指参加投标的其他组织营业执照上的负责人，本招标文件所称自然人指参与投标的自然人本人。</w:t>
      </w:r>
    </w:p>
    <w:p w14:paraId="4CB61AF5">
      <w:pPr>
        <w:pageBreakBefore w:val="0"/>
        <w:widowControl/>
        <w:wordWrap/>
        <w:topLinePunct w:val="0"/>
        <w:bidi w:val="0"/>
        <w:spacing w:line="560" w:lineRule="exact"/>
        <w:jc w:val="left"/>
        <w:rPr>
          <w:rFonts w:ascii="宋体"/>
          <w:b/>
          <w:color w:val="000000" w:themeColor="text1"/>
          <w:sz w:val="24"/>
          <w:highlight w:val="none"/>
          <w14:textFill>
            <w14:solidFill>
              <w14:schemeClr w14:val="tx1"/>
            </w14:solidFill>
          </w14:textFill>
        </w:rPr>
      </w:pPr>
    </w:p>
    <w:p w14:paraId="146BFD2A">
      <w:pPr>
        <w:pageBreakBefore w:val="0"/>
        <w:wordWrap/>
        <w:topLinePunct w:val="0"/>
        <w:bidi w:val="0"/>
        <w:spacing w:line="560" w:lineRule="exact"/>
        <w:rPr>
          <w:rFonts w:hint="eastAsia" w:ascii="宋体"/>
          <w:b/>
          <w:color w:val="000000" w:themeColor="text1"/>
          <w:sz w:val="24"/>
          <w:highlight w:val="none"/>
          <w14:textFill>
            <w14:solidFill>
              <w14:schemeClr w14:val="tx1"/>
            </w14:solidFill>
          </w14:textFill>
        </w:rPr>
      </w:pPr>
    </w:p>
    <w:p w14:paraId="135A81C9">
      <w:pPr>
        <w:pageBreakBefore w:val="0"/>
        <w:wordWrap/>
        <w:topLinePunct w:val="0"/>
        <w:bidi w:val="0"/>
        <w:spacing w:line="560" w:lineRule="exact"/>
        <w:rPr>
          <w:b/>
          <w:color w:val="000000" w:themeColor="text1"/>
          <w:sz w:val="24"/>
          <w:highlight w:val="none"/>
          <w14:textFill>
            <w14:solidFill>
              <w14:schemeClr w14:val="tx1"/>
            </w14:solidFill>
          </w14:textFill>
        </w:rPr>
      </w:pPr>
      <w:r>
        <w:rPr>
          <w:rFonts w:hint="eastAsia" w:ascii="宋体"/>
          <w:b/>
          <w:color w:val="000000" w:themeColor="text1"/>
          <w:sz w:val="24"/>
          <w:highlight w:val="none"/>
          <w14:textFill>
            <w14:solidFill>
              <w14:schemeClr w14:val="tx1"/>
            </w14:solidFill>
          </w14:textFill>
        </w:rPr>
        <w:t>附件：</w:t>
      </w:r>
    </w:p>
    <w:tbl>
      <w:tblPr>
        <w:tblStyle w:val="34"/>
        <w:tblpPr w:leftFromText="180" w:rightFromText="180" w:vertAnchor="text" w:horzAnchor="margin" w:tblpXSpec="center" w:tblpY="263"/>
        <w:tblW w:w="79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0"/>
      </w:tblGrid>
      <w:tr w14:paraId="2B04F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0" w:hRule="atLeast"/>
          <w:jc w:val="center"/>
        </w:trPr>
        <w:tc>
          <w:tcPr>
            <w:tcW w:w="7990" w:type="dxa"/>
            <w:tcBorders>
              <w:top w:val="single" w:color="auto" w:sz="4" w:space="0"/>
              <w:left w:val="single" w:color="auto" w:sz="4" w:space="0"/>
              <w:bottom w:val="single" w:color="auto" w:sz="4" w:space="0"/>
              <w:right w:val="single" w:color="auto" w:sz="4" w:space="0"/>
            </w:tcBorders>
          </w:tcPr>
          <w:p w14:paraId="56A08E23">
            <w:pPr>
              <w:pageBreakBefore w:val="0"/>
              <w:wordWrap/>
              <w:topLinePunct w:val="0"/>
              <w:bidi w:val="0"/>
              <w:spacing w:line="560" w:lineRule="exact"/>
              <w:rPr>
                <w:rFonts w:ascii="宋体"/>
                <w:b/>
                <w:color w:val="000000" w:themeColor="text1"/>
                <w:sz w:val="24"/>
                <w:highlight w:val="none"/>
                <w14:textFill>
                  <w14:solidFill>
                    <w14:schemeClr w14:val="tx1"/>
                  </w14:solidFill>
                </w14:textFill>
              </w:rPr>
            </w:pPr>
          </w:p>
          <w:p w14:paraId="044E4957">
            <w:pPr>
              <w:pageBreakBefore w:val="0"/>
              <w:wordWrap/>
              <w:topLinePunct w:val="0"/>
              <w:bidi w:val="0"/>
              <w:spacing w:line="560" w:lineRule="exact"/>
              <w:rPr>
                <w:rFonts w:ascii="宋体"/>
                <w:b/>
                <w:color w:val="000000" w:themeColor="text1"/>
                <w:sz w:val="24"/>
                <w:highlight w:val="none"/>
                <w14:textFill>
                  <w14:solidFill>
                    <w14:schemeClr w14:val="tx1"/>
                  </w14:solidFill>
                </w14:textFill>
              </w:rPr>
            </w:pPr>
            <w:r>
              <w:rPr>
                <w:rFonts w:hint="eastAsia" w:ascii="宋体"/>
                <w:b/>
                <w:color w:val="000000" w:themeColor="text1"/>
                <w:sz w:val="24"/>
                <w:highlight w:val="none"/>
                <w14:textFill>
                  <w14:solidFill>
                    <w14:schemeClr w14:val="tx1"/>
                  </w14:solidFill>
                </w14:textFill>
              </w:rPr>
              <w:t>全权代表身份证复印件粘帖处（正、反面）</w:t>
            </w:r>
          </w:p>
        </w:tc>
      </w:tr>
    </w:tbl>
    <w:p w14:paraId="66DBF22B">
      <w:pPr>
        <w:pageBreakBefore w:val="0"/>
        <w:wordWrap/>
        <w:topLinePunct w:val="0"/>
        <w:bidi w:val="0"/>
        <w:snapToGrid w:val="0"/>
        <w:spacing w:before="50" w:after="120" w:afterLines="50" w:line="560" w:lineRule="exact"/>
        <w:jc w:val="left"/>
        <w:rPr>
          <w:rFonts w:ascii="仿宋_GB2312" w:hAnsi="仿宋_GB2312" w:eastAsia="仿宋_GB2312" w:cs="仿宋_GB2312"/>
          <w:color w:val="000000" w:themeColor="text1"/>
          <w:szCs w:val="21"/>
          <w:highlight w:val="none"/>
          <w14:textFill>
            <w14:solidFill>
              <w14:schemeClr w14:val="tx1"/>
            </w14:solidFill>
          </w14:textFill>
        </w:rPr>
      </w:pPr>
    </w:p>
    <w:p w14:paraId="1F0A8D68">
      <w:pPr>
        <w:pageBreakBefore w:val="0"/>
        <w:wordWrap/>
        <w:topLinePunct w:val="0"/>
        <w:bidi w:val="0"/>
        <w:snapToGrid w:val="0"/>
        <w:spacing w:before="120" w:beforeLines="50" w:after="50" w:line="560" w:lineRule="exact"/>
        <w:ind w:firstLine="566" w:firstLineChars="236"/>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br w:type="page"/>
      </w:r>
    </w:p>
    <w:p w14:paraId="58805D4A">
      <w:pPr>
        <w:pageBreakBefore w:val="0"/>
        <w:wordWrap/>
        <w:topLinePunct w:val="0"/>
        <w:bidi w:val="0"/>
        <w:spacing w:line="560" w:lineRule="exact"/>
        <w:jc w:val="center"/>
        <w:rPr>
          <w:rFonts w:ascii="宋体" w:hAnsi="宋体"/>
          <w:color w:val="000000" w:themeColor="text1"/>
          <w:sz w:val="24"/>
          <w:highlight w:val="none"/>
          <w14:textFill>
            <w14:solidFill>
              <w14:schemeClr w14:val="tx1"/>
            </w14:solidFill>
          </w14:textFill>
        </w:rPr>
      </w:pPr>
      <w:r>
        <w:rPr>
          <w:rFonts w:hint="eastAsia"/>
          <w:b/>
          <w:bCs/>
          <w:color w:val="000000" w:themeColor="text1"/>
          <w:sz w:val="30"/>
          <w:szCs w:val="30"/>
          <w:highlight w:val="none"/>
          <w14:textFill>
            <w14:solidFill>
              <w14:schemeClr w14:val="tx1"/>
            </w14:solidFill>
          </w14:textFill>
        </w:rPr>
        <w:t>四、商务条款偏离表</w:t>
      </w:r>
    </w:p>
    <w:p w14:paraId="1A736319">
      <w:pPr>
        <w:pStyle w:val="17"/>
        <w:pageBreakBefore w:val="0"/>
        <w:wordWrap/>
        <w:topLinePunct w:val="0"/>
        <w:bidi w:val="0"/>
        <w:spacing w:line="560" w:lineRule="exact"/>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供应商根据本项目招标文件，详细填写相应的具体内容。“偏离说明”一栏应当选择“正偏离”、“负偏离”或“无偏离”进行填写。</w:t>
      </w:r>
    </w:p>
    <w:tbl>
      <w:tblPr>
        <w:tblStyle w:val="34"/>
        <w:tblpPr w:leftFromText="180" w:rightFromText="180" w:vertAnchor="text" w:horzAnchor="margin" w:tblpXSpec="center" w:tblpY="94"/>
        <w:tblW w:w="9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800"/>
        <w:gridCol w:w="3429"/>
        <w:gridCol w:w="1434"/>
      </w:tblGrid>
      <w:tr w14:paraId="31039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817" w:type="dxa"/>
            <w:tcBorders>
              <w:top w:val="single" w:color="auto" w:sz="4" w:space="0"/>
              <w:left w:val="single" w:color="auto" w:sz="4" w:space="0"/>
              <w:bottom w:val="single" w:color="auto" w:sz="4" w:space="0"/>
              <w:right w:val="single" w:color="auto" w:sz="4" w:space="0"/>
            </w:tcBorders>
            <w:vAlign w:val="center"/>
          </w:tcPr>
          <w:p w14:paraId="4967BE27">
            <w:pPr>
              <w:pageBreakBefore w:val="0"/>
              <w:wordWrap/>
              <w:topLinePunct w:val="0"/>
              <w:bidi w:val="0"/>
              <w:spacing w:line="560" w:lineRule="exact"/>
              <w:jc w:val="center"/>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项号</w:t>
            </w:r>
          </w:p>
        </w:tc>
        <w:tc>
          <w:tcPr>
            <w:tcW w:w="3800" w:type="dxa"/>
            <w:tcBorders>
              <w:top w:val="single" w:color="auto" w:sz="4" w:space="0"/>
              <w:left w:val="single" w:color="auto" w:sz="4" w:space="0"/>
              <w:bottom w:val="single" w:color="auto" w:sz="4" w:space="0"/>
              <w:right w:val="single" w:color="auto" w:sz="4" w:space="0"/>
            </w:tcBorders>
            <w:vAlign w:val="center"/>
          </w:tcPr>
          <w:p w14:paraId="15796E3F">
            <w:pPr>
              <w:pageBreakBefore w:val="0"/>
              <w:wordWrap/>
              <w:topLinePunct w:val="0"/>
              <w:bidi w:val="0"/>
              <w:spacing w:line="560" w:lineRule="exact"/>
              <w:jc w:val="center"/>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招标文件的商务需求</w:t>
            </w:r>
          </w:p>
        </w:tc>
        <w:tc>
          <w:tcPr>
            <w:tcW w:w="3429" w:type="dxa"/>
            <w:tcBorders>
              <w:top w:val="single" w:color="auto" w:sz="4" w:space="0"/>
              <w:left w:val="single" w:color="auto" w:sz="4" w:space="0"/>
              <w:bottom w:val="single" w:color="auto" w:sz="4" w:space="0"/>
              <w:right w:val="single" w:color="auto" w:sz="4" w:space="0"/>
            </w:tcBorders>
            <w:vAlign w:val="center"/>
          </w:tcPr>
          <w:p w14:paraId="08E760F2">
            <w:pPr>
              <w:pageBreakBefore w:val="0"/>
              <w:wordWrap/>
              <w:topLinePunct w:val="0"/>
              <w:bidi w:val="0"/>
              <w:spacing w:line="560" w:lineRule="exact"/>
              <w:jc w:val="center"/>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投标文件承诺的商务条款</w:t>
            </w:r>
          </w:p>
        </w:tc>
        <w:tc>
          <w:tcPr>
            <w:tcW w:w="1434" w:type="dxa"/>
            <w:tcBorders>
              <w:top w:val="single" w:color="auto" w:sz="4" w:space="0"/>
              <w:left w:val="single" w:color="auto" w:sz="4" w:space="0"/>
              <w:bottom w:val="single" w:color="auto" w:sz="4" w:space="0"/>
              <w:right w:val="single" w:color="auto" w:sz="4" w:space="0"/>
            </w:tcBorders>
            <w:vAlign w:val="center"/>
          </w:tcPr>
          <w:p w14:paraId="3F84996F">
            <w:pPr>
              <w:pageBreakBefore w:val="0"/>
              <w:wordWrap/>
              <w:topLinePunct w:val="0"/>
              <w:bidi w:val="0"/>
              <w:spacing w:line="560" w:lineRule="exact"/>
              <w:jc w:val="center"/>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偏离说明</w:t>
            </w:r>
          </w:p>
        </w:tc>
      </w:tr>
      <w:tr w14:paraId="445F6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7" w:hRule="atLeast"/>
        </w:trPr>
        <w:tc>
          <w:tcPr>
            <w:tcW w:w="817" w:type="dxa"/>
            <w:tcBorders>
              <w:top w:val="single" w:color="auto" w:sz="4" w:space="0"/>
              <w:left w:val="single" w:color="auto" w:sz="4" w:space="0"/>
              <w:bottom w:val="single" w:color="auto" w:sz="4" w:space="0"/>
              <w:right w:val="single" w:color="auto" w:sz="4" w:space="0"/>
            </w:tcBorders>
          </w:tcPr>
          <w:p w14:paraId="14E43501">
            <w:pPr>
              <w:pageBreakBefore w:val="0"/>
              <w:wordWrap/>
              <w:topLinePunct w:val="0"/>
              <w:bidi w:val="0"/>
              <w:spacing w:line="560" w:lineRule="exact"/>
              <w:rPr>
                <w:rFonts w:asciiTheme="minorEastAsia" w:hAnsiTheme="minorEastAsia" w:eastAsiaTheme="minorEastAsia"/>
                <w:color w:val="000000" w:themeColor="text1"/>
                <w:sz w:val="28"/>
                <w:szCs w:val="28"/>
                <w:highlight w:val="none"/>
                <w14:textFill>
                  <w14:solidFill>
                    <w14:schemeClr w14:val="tx1"/>
                  </w14:solidFill>
                </w14:textFill>
              </w:rPr>
            </w:pPr>
          </w:p>
        </w:tc>
        <w:tc>
          <w:tcPr>
            <w:tcW w:w="3800" w:type="dxa"/>
            <w:tcBorders>
              <w:top w:val="single" w:color="auto" w:sz="4" w:space="0"/>
              <w:left w:val="single" w:color="auto" w:sz="4" w:space="0"/>
              <w:bottom w:val="single" w:color="auto" w:sz="4" w:space="0"/>
              <w:right w:val="single" w:color="auto" w:sz="4" w:space="0"/>
            </w:tcBorders>
          </w:tcPr>
          <w:p w14:paraId="7666802F">
            <w:pPr>
              <w:pageBreakBefore w:val="0"/>
              <w:wordWrap/>
              <w:topLinePunct w:val="0"/>
              <w:bidi w:val="0"/>
              <w:spacing w:line="560" w:lineRule="exact"/>
              <w:rPr>
                <w:rFonts w:asciiTheme="minorEastAsia" w:hAnsiTheme="minorEastAsia" w:eastAsiaTheme="minorEastAsia"/>
                <w:color w:val="000000" w:themeColor="text1"/>
                <w:sz w:val="28"/>
                <w:szCs w:val="28"/>
                <w:highlight w:val="none"/>
                <w14:textFill>
                  <w14:solidFill>
                    <w14:schemeClr w14:val="tx1"/>
                  </w14:solidFill>
                </w14:textFill>
              </w:rPr>
            </w:pPr>
          </w:p>
        </w:tc>
        <w:tc>
          <w:tcPr>
            <w:tcW w:w="3429" w:type="dxa"/>
            <w:tcBorders>
              <w:top w:val="single" w:color="auto" w:sz="4" w:space="0"/>
              <w:left w:val="single" w:color="auto" w:sz="4" w:space="0"/>
              <w:bottom w:val="single" w:color="auto" w:sz="4" w:space="0"/>
              <w:right w:val="single" w:color="auto" w:sz="4" w:space="0"/>
            </w:tcBorders>
          </w:tcPr>
          <w:p w14:paraId="1DB9EB43">
            <w:pPr>
              <w:pageBreakBefore w:val="0"/>
              <w:wordWrap/>
              <w:topLinePunct w:val="0"/>
              <w:bidi w:val="0"/>
              <w:spacing w:line="560" w:lineRule="exact"/>
              <w:rPr>
                <w:rFonts w:asciiTheme="minorEastAsia" w:hAnsiTheme="minorEastAsia" w:eastAsiaTheme="minorEastAsia"/>
                <w:color w:val="000000" w:themeColor="text1"/>
                <w:sz w:val="28"/>
                <w:szCs w:val="28"/>
                <w:highlight w:val="none"/>
                <w14:textFill>
                  <w14:solidFill>
                    <w14:schemeClr w14:val="tx1"/>
                  </w14:solidFill>
                </w14:textFill>
              </w:rPr>
            </w:pPr>
          </w:p>
        </w:tc>
        <w:tc>
          <w:tcPr>
            <w:tcW w:w="1434" w:type="dxa"/>
            <w:tcBorders>
              <w:top w:val="single" w:color="auto" w:sz="4" w:space="0"/>
              <w:left w:val="single" w:color="auto" w:sz="4" w:space="0"/>
              <w:bottom w:val="single" w:color="auto" w:sz="4" w:space="0"/>
              <w:right w:val="single" w:color="auto" w:sz="4" w:space="0"/>
            </w:tcBorders>
            <w:vAlign w:val="center"/>
          </w:tcPr>
          <w:p w14:paraId="5A4F0AD2">
            <w:pPr>
              <w:pageBreakBefore w:val="0"/>
              <w:wordWrap/>
              <w:topLinePunct w:val="0"/>
              <w:bidi w:val="0"/>
              <w:spacing w:line="560" w:lineRule="exact"/>
              <w:jc w:val="center"/>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正偏离（负偏离或无偏离）</w:t>
            </w:r>
          </w:p>
        </w:tc>
      </w:tr>
      <w:tr w14:paraId="2EEF5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817" w:type="dxa"/>
            <w:tcBorders>
              <w:top w:val="single" w:color="auto" w:sz="4" w:space="0"/>
              <w:left w:val="single" w:color="auto" w:sz="4" w:space="0"/>
              <w:bottom w:val="single" w:color="auto" w:sz="4" w:space="0"/>
              <w:right w:val="single" w:color="auto" w:sz="4" w:space="0"/>
            </w:tcBorders>
          </w:tcPr>
          <w:p w14:paraId="2E034A5D">
            <w:pPr>
              <w:pageBreakBefore w:val="0"/>
              <w:wordWrap/>
              <w:topLinePunct w:val="0"/>
              <w:bidi w:val="0"/>
              <w:spacing w:line="560" w:lineRule="exact"/>
              <w:rPr>
                <w:rFonts w:asciiTheme="minorEastAsia" w:hAnsiTheme="minorEastAsia" w:eastAsiaTheme="minorEastAsia"/>
                <w:color w:val="000000" w:themeColor="text1"/>
                <w:sz w:val="28"/>
                <w:szCs w:val="28"/>
                <w:highlight w:val="none"/>
                <w14:textFill>
                  <w14:solidFill>
                    <w14:schemeClr w14:val="tx1"/>
                  </w14:solidFill>
                </w14:textFill>
              </w:rPr>
            </w:pPr>
          </w:p>
        </w:tc>
        <w:tc>
          <w:tcPr>
            <w:tcW w:w="3800" w:type="dxa"/>
            <w:tcBorders>
              <w:top w:val="single" w:color="auto" w:sz="4" w:space="0"/>
              <w:left w:val="single" w:color="auto" w:sz="4" w:space="0"/>
              <w:bottom w:val="single" w:color="auto" w:sz="4" w:space="0"/>
              <w:right w:val="single" w:color="auto" w:sz="4" w:space="0"/>
            </w:tcBorders>
          </w:tcPr>
          <w:p w14:paraId="6608B0E9">
            <w:pPr>
              <w:pageBreakBefore w:val="0"/>
              <w:wordWrap/>
              <w:topLinePunct w:val="0"/>
              <w:bidi w:val="0"/>
              <w:spacing w:line="560" w:lineRule="exact"/>
              <w:rPr>
                <w:rFonts w:asciiTheme="minorEastAsia" w:hAnsiTheme="minorEastAsia" w:eastAsiaTheme="minorEastAsia"/>
                <w:color w:val="000000" w:themeColor="text1"/>
                <w:sz w:val="28"/>
                <w:szCs w:val="28"/>
                <w:highlight w:val="none"/>
                <w14:textFill>
                  <w14:solidFill>
                    <w14:schemeClr w14:val="tx1"/>
                  </w14:solidFill>
                </w14:textFill>
              </w:rPr>
            </w:pPr>
          </w:p>
        </w:tc>
        <w:tc>
          <w:tcPr>
            <w:tcW w:w="3429" w:type="dxa"/>
            <w:tcBorders>
              <w:top w:val="single" w:color="auto" w:sz="4" w:space="0"/>
              <w:left w:val="single" w:color="auto" w:sz="4" w:space="0"/>
              <w:bottom w:val="single" w:color="auto" w:sz="4" w:space="0"/>
              <w:right w:val="single" w:color="auto" w:sz="4" w:space="0"/>
            </w:tcBorders>
          </w:tcPr>
          <w:p w14:paraId="6307BF87">
            <w:pPr>
              <w:pageBreakBefore w:val="0"/>
              <w:wordWrap/>
              <w:topLinePunct w:val="0"/>
              <w:bidi w:val="0"/>
              <w:spacing w:line="560" w:lineRule="exact"/>
              <w:rPr>
                <w:rFonts w:asciiTheme="minorEastAsia" w:hAnsiTheme="minorEastAsia" w:eastAsiaTheme="minorEastAsia"/>
                <w:color w:val="000000" w:themeColor="text1"/>
                <w:sz w:val="28"/>
                <w:szCs w:val="28"/>
                <w:highlight w:val="none"/>
                <w14:textFill>
                  <w14:solidFill>
                    <w14:schemeClr w14:val="tx1"/>
                  </w14:solidFill>
                </w14:textFill>
              </w:rPr>
            </w:pPr>
          </w:p>
        </w:tc>
        <w:tc>
          <w:tcPr>
            <w:tcW w:w="1434" w:type="dxa"/>
            <w:tcBorders>
              <w:top w:val="single" w:color="auto" w:sz="4" w:space="0"/>
              <w:left w:val="single" w:color="auto" w:sz="4" w:space="0"/>
              <w:bottom w:val="single" w:color="auto" w:sz="4" w:space="0"/>
              <w:right w:val="single" w:color="auto" w:sz="4" w:space="0"/>
            </w:tcBorders>
            <w:vAlign w:val="center"/>
          </w:tcPr>
          <w:p w14:paraId="2B918809">
            <w:pPr>
              <w:pageBreakBefore w:val="0"/>
              <w:wordWrap/>
              <w:topLinePunct w:val="0"/>
              <w:bidi w:val="0"/>
              <w:spacing w:line="560" w:lineRule="exact"/>
              <w:jc w:val="center"/>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正偏离（负偏离或无偏离）</w:t>
            </w:r>
          </w:p>
        </w:tc>
      </w:tr>
      <w:tr w14:paraId="4541D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817" w:type="dxa"/>
            <w:tcBorders>
              <w:top w:val="single" w:color="auto" w:sz="4" w:space="0"/>
              <w:left w:val="single" w:color="auto" w:sz="4" w:space="0"/>
              <w:bottom w:val="single" w:color="auto" w:sz="4" w:space="0"/>
              <w:right w:val="single" w:color="auto" w:sz="4" w:space="0"/>
            </w:tcBorders>
          </w:tcPr>
          <w:p w14:paraId="7D7CA998">
            <w:pPr>
              <w:pageBreakBefore w:val="0"/>
              <w:wordWrap/>
              <w:topLinePunct w:val="0"/>
              <w:bidi w:val="0"/>
              <w:spacing w:line="560" w:lineRule="exact"/>
              <w:rPr>
                <w:rFonts w:asciiTheme="minorEastAsia" w:hAnsiTheme="minorEastAsia" w:eastAsiaTheme="minorEastAsia"/>
                <w:color w:val="000000" w:themeColor="text1"/>
                <w:sz w:val="28"/>
                <w:szCs w:val="28"/>
                <w:highlight w:val="none"/>
                <w14:textFill>
                  <w14:solidFill>
                    <w14:schemeClr w14:val="tx1"/>
                  </w14:solidFill>
                </w14:textFill>
              </w:rPr>
            </w:pPr>
          </w:p>
        </w:tc>
        <w:tc>
          <w:tcPr>
            <w:tcW w:w="3800" w:type="dxa"/>
            <w:tcBorders>
              <w:top w:val="single" w:color="auto" w:sz="4" w:space="0"/>
              <w:left w:val="single" w:color="auto" w:sz="4" w:space="0"/>
              <w:bottom w:val="single" w:color="auto" w:sz="4" w:space="0"/>
              <w:right w:val="single" w:color="auto" w:sz="4" w:space="0"/>
            </w:tcBorders>
          </w:tcPr>
          <w:p w14:paraId="38B89F81">
            <w:pPr>
              <w:pageBreakBefore w:val="0"/>
              <w:wordWrap/>
              <w:topLinePunct w:val="0"/>
              <w:bidi w:val="0"/>
              <w:spacing w:line="560" w:lineRule="exact"/>
              <w:rPr>
                <w:rFonts w:asciiTheme="minorEastAsia" w:hAnsiTheme="minorEastAsia" w:eastAsiaTheme="minorEastAsia"/>
                <w:color w:val="000000" w:themeColor="text1"/>
                <w:sz w:val="28"/>
                <w:szCs w:val="28"/>
                <w:highlight w:val="none"/>
                <w14:textFill>
                  <w14:solidFill>
                    <w14:schemeClr w14:val="tx1"/>
                  </w14:solidFill>
                </w14:textFill>
              </w:rPr>
            </w:pPr>
          </w:p>
        </w:tc>
        <w:tc>
          <w:tcPr>
            <w:tcW w:w="3429" w:type="dxa"/>
            <w:tcBorders>
              <w:top w:val="single" w:color="auto" w:sz="4" w:space="0"/>
              <w:left w:val="single" w:color="auto" w:sz="4" w:space="0"/>
              <w:bottom w:val="single" w:color="auto" w:sz="4" w:space="0"/>
              <w:right w:val="single" w:color="auto" w:sz="4" w:space="0"/>
            </w:tcBorders>
          </w:tcPr>
          <w:p w14:paraId="3EBCB845">
            <w:pPr>
              <w:pageBreakBefore w:val="0"/>
              <w:wordWrap/>
              <w:topLinePunct w:val="0"/>
              <w:bidi w:val="0"/>
              <w:spacing w:line="560" w:lineRule="exact"/>
              <w:rPr>
                <w:rFonts w:asciiTheme="minorEastAsia" w:hAnsiTheme="minorEastAsia" w:eastAsiaTheme="minorEastAsia"/>
                <w:color w:val="000000" w:themeColor="text1"/>
                <w:sz w:val="28"/>
                <w:szCs w:val="28"/>
                <w:highlight w:val="none"/>
                <w14:textFill>
                  <w14:solidFill>
                    <w14:schemeClr w14:val="tx1"/>
                  </w14:solidFill>
                </w14:textFill>
              </w:rPr>
            </w:pPr>
          </w:p>
        </w:tc>
        <w:tc>
          <w:tcPr>
            <w:tcW w:w="1434" w:type="dxa"/>
            <w:tcBorders>
              <w:top w:val="single" w:color="auto" w:sz="4" w:space="0"/>
              <w:left w:val="single" w:color="auto" w:sz="4" w:space="0"/>
              <w:bottom w:val="single" w:color="auto" w:sz="4" w:space="0"/>
              <w:right w:val="single" w:color="auto" w:sz="4" w:space="0"/>
            </w:tcBorders>
            <w:vAlign w:val="center"/>
          </w:tcPr>
          <w:p w14:paraId="01285498">
            <w:pPr>
              <w:pageBreakBefore w:val="0"/>
              <w:wordWrap/>
              <w:topLinePunct w:val="0"/>
              <w:bidi w:val="0"/>
              <w:spacing w:line="560" w:lineRule="exact"/>
              <w:jc w:val="center"/>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正偏离（负偏离或无偏离）</w:t>
            </w:r>
          </w:p>
        </w:tc>
      </w:tr>
      <w:tr w14:paraId="022B8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9480" w:type="dxa"/>
            <w:gridSpan w:val="4"/>
            <w:tcBorders>
              <w:top w:val="single" w:color="auto" w:sz="4" w:space="0"/>
              <w:left w:val="single" w:color="auto" w:sz="4" w:space="0"/>
              <w:bottom w:val="single" w:color="auto" w:sz="4" w:space="0"/>
              <w:right w:val="single" w:color="auto" w:sz="4" w:space="0"/>
            </w:tcBorders>
          </w:tcPr>
          <w:p w14:paraId="248072CE">
            <w:pPr>
              <w:pageBreakBefore w:val="0"/>
              <w:wordWrap/>
              <w:topLinePunct w:val="0"/>
              <w:bidi w:val="0"/>
              <w:spacing w:line="560" w:lineRule="exact"/>
              <w:rPr>
                <w:rFonts w:ascii="宋体" w:hAnsi="宋体"/>
                <w:color w:val="000000" w:themeColor="text1"/>
                <w:szCs w:val="21"/>
                <w:highlight w:val="none"/>
                <w14:textFill>
                  <w14:solidFill>
                    <w14:schemeClr w14:val="tx1"/>
                  </w14:solidFill>
                </w14:textFill>
              </w:rPr>
            </w:pPr>
          </w:p>
        </w:tc>
      </w:tr>
    </w:tbl>
    <w:p w14:paraId="6D088A27">
      <w:pPr>
        <w:pStyle w:val="17"/>
        <w:pageBreakBefore w:val="0"/>
        <w:wordWrap/>
        <w:topLinePunct w:val="0"/>
        <w:bidi w:val="0"/>
        <w:spacing w:line="560" w:lineRule="exact"/>
        <w:rPr>
          <w:color w:val="000000" w:themeColor="text1"/>
          <w:highlight w:val="none"/>
          <w14:textFill>
            <w14:solidFill>
              <w14:schemeClr w14:val="tx1"/>
            </w14:solidFill>
          </w14:textFill>
        </w:rPr>
      </w:pPr>
    </w:p>
    <w:p w14:paraId="6C73FB6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注：</w:t>
      </w:r>
    </w:p>
    <w:p w14:paraId="0D44AC1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1.商务偏离表按本招标文件自行填写。表格内容不得留空。</w:t>
      </w:r>
    </w:p>
    <w:p w14:paraId="322EEB1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2.当投标文件的商务内容低于招标文件要求时，供应商应当如实写明“负偏离”，否则视为虚假应标。</w:t>
      </w:r>
    </w:p>
    <w:p w14:paraId="551A961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olor w:val="000000" w:themeColor="text1"/>
          <w:sz w:val="28"/>
          <w:szCs w:val="28"/>
          <w:highlight w:val="none"/>
          <w14:textFill>
            <w14:solidFill>
              <w14:schemeClr w14:val="tx1"/>
            </w14:solidFill>
          </w14:textFill>
        </w:rPr>
      </w:pPr>
    </w:p>
    <w:p w14:paraId="7180C9D5">
      <w:pPr>
        <w:pageBreakBefore w:val="0"/>
        <w:wordWrap/>
        <w:topLinePunct w:val="0"/>
        <w:bidi w:val="0"/>
        <w:snapToGrid w:val="0"/>
        <w:spacing w:before="165" w:beforeLines="50" w:after="50" w:line="560" w:lineRule="exact"/>
        <w:jc w:val="both"/>
        <w:rPr>
          <w:rFonts w:hint="eastAsia"/>
          <w:b/>
          <w:bCs/>
          <w:color w:val="000000" w:themeColor="text1"/>
          <w:sz w:val="30"/>
          <w:szCs w:val="30"/>
          <w:highlight w:val="none"/>
          <w14:textFill>
            <w14:solidFill>
              <w14:schemeClr w14:val="tx1"/>
            </w14:solidFill>
          </w14:textFill>
        </w:rPr>
      </w:pPr>
    </w:p>
    <w:p w14:paraId="25AA1211">
      <w:pPr>
        <w:pageBreakBefore w:val="0"/>
        <w:wordWrap/>
        <w:topLinePunct w:val="0"/>
        <w:bidi w:val="0"/>
        <w:snapToGrid w:val="0"/>
        <w:spacing w:before="165" w:beforeLines="50" w:after="50" w:line="560" w:lineRule="exact"/>
        <w:jc w:val="center"/>
        <w:rPr>
          <w:b/>
          <w:bCs/>
          <w:color w:val="000000" w:themeColor="text1"/>
          <w:sz w:val="30"/>
          <w:szCs w:val="30"/>
          <w:highlight w:val="none"/>
          <w14:textFill>
            <w14:solidFill>
              <w14:schemeClr w14:val="tx1"/>
            </w14:solidFill>
          </w14:textFill>
        </w:rPr>
      </w:pPr>
      <w:r>
        <w:rPr>
          <w:rFonts w:hint="eastAsia"/>
          <w:b/>
          <w:bCs/>
          <w:color w:val="000000" w:themeColor="text1"/>
          <w:sz w:val="30"/>
          <w:szCs w:val="30"/>
          <w:highlight w:val="none"/>
          <w14:textFill>
            <w14:solidFill>
              <w14:schemeClr w14:val="tx1"/>
            </w14:solidFill>
          </w14:textFill>
        </w:rPr>
        <w:t>五、</w:t>
      </w:r>
      <w:r>
        <w:rPr>
          <w:rFonts w:hint="eastAsia"/>
          <w:b/>
          <w:bCs/>
          <w:color w:val="000000" w:themeColor="text1"/>
          <w:sz w:val="30"/>
          <w:szCs w:val="30"/>
          <w:highlight w:val="none"/>
          <w:lang w:eastAsia="zh-CN"/>
          <w14:textFill>
            <w14:solidFill>
              <w14:schemeClr w14:val="tx1"/>
            </w14:solidFill>
          </w14:textFill>
        </w:rPr>
        <w:t>供应商</w:t>
      </w:r>
      <w:r>
        <w:rPr>
          <w:rFonts w:hint="eastAsia"/>
          <w:b/>
          <w:bCs/>
          <w:color w:val="000000" w:themeColor="text1"/>
          <w:sz w:val="30"/>
          <w:szCs w:val="30"/>
          <w:highlight w:val="none"/>
          <w14:textFill>
            <w14:solidFill>
              <w14:schemeClr w14:val="tx1"/>
            </w14:solidFill>
          </w14:textFill>
        </w:rPr>
        <w:t>情况介绍</w:t>
      </w:r>
    </w:p>
    <w:tbl>
      <w:tblPr>
        <w:tblStyle w:val="34"/>
        <w:tblW w:w="87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936"/>
        <w:gridCol w:w="1214"/>
        <w:gridCol w:w="1007"/>
        <w:gridCol w:w="1100"/>
        <w:gridCol w:w="1318"/>
        <w:gridCol w:w="43"/>
        <w:gridCol w:w="779"/>
        <w:gridCol w:w="1303"/>
      </w:tblGrid>
      <w:tr w14:paraId="262AE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32" w:hRule="atLeast"/>
          <w:jc w:val="center"/>
        </w:trPr>
        <w:tc>
          <w:tcPr>
            <w:tcW w:w="1936" w:type="dxa"/>
            <w:vAlign w:val="center"/>
          </w:tcPr>
          <w:p w14:paraId="2F4592E3">
            <w:pPr>
              <w:pageBreakBefore w:val="0"/>
              <w:wordWrap/>
              <w:topLinePunct w:val="0"/>
              <w:bidi w:val="0"/>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投标人名称</w:t>
            </w:r>
          </w:p>
        </w:tc>
        <w:tc>
          <w:tcPr>
            <w:tcW w:w="6764" w:type="dxa"/>
            <w:gridSpan w:val="7"/>
            <w:vAlign w:val="center"/>
          </w:tcPr>
          <w:p w14:paraId="44839F9C">
            <w:pPr>
              <w:pageBreakBefore w:val="0"/>
              <w:wordWrap/>
              <w:topLinePunct w:val="0"/>
              <w:bidi w:val="0"/>
              <w:spacing w:line="560" w:lineRule="exact"/>
              <w:ind w:firstLine="255"/>
              <w:jc w:val="center"/>
              <w:rPr>
                <w:rFonts w:hint="eastAsia" w:ascii="宋体" w:hAnsi="宋体" w:eastAsia="宋体" w:cs="宋体"/>
                <w:color w:val="000000" w:themeColor="text1"/>
                <w:sz w:val="28"/>
                <w:szCs w:val="28"/>
                <w:highlight w:val="none"/>
                <w14:textFill>
                  <w14:solidFill>
                    <w14:schemeClr w14:val="tx1"/>
                  </w14:solidFill>
                </w14:textFill>
              </w:rPr>
            </w:pPr>
          </w:p>
        </w:tc>
      </w:tr>
      <w:tr w14:paraId="1EAD7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32" w:hRule="atLeast"/>
          <w:jc w:val="center"/>
        </w:trPr>
        <w:tc>
          <w:tcPr>
            <w:tcW w:w="1936" w:type="dxa"/>
            <w:vAlign w:val="center"/>
          </w:tcPr>
          <w:p w14:paraId="04C166BF">
            <w:pPr>
              <w:pageBreakBefore w:val="0"/>
              <w:wordWrap/>
              <w:topLinePunct w:val="0"/>
              <w:bidi w:val="0"/>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注册地址</w:t>
            </w:r>
          </w:p>
        </w:tc>
        <w:tc>
          <w:tcPr>
            <w:tcW w:w="3321" w:type="dxa"/>
            <w:gridSpan w:val="3"/>
            <w:vAlign w:val="center"/>
          </w:tcPr>
          <w:p w14:paraId="4C2A2CDB">
            <w:pPr>
              <w:pageBreakBefore w:val="0"/>
              <w:wordWrap/>
              <w:topLinePunct w:val="0"/>
              <w:bidi w:val="0"/>
              <w:spacing w:line="560" w:lineRule="exact"/>
              <w:ind w:firstLine="255"/>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318" w:type="dxa"/>
            <w:vAlign w:val="center"/>
          </w:tcPr>
          <w:p w14:paraId="56C76F90">
            <w:pPr>
              <w:pageBreakBefore w:val="0"/>
              <w:wordWrap/>
              <w:topLinePunct w:val="0"/>
              <w:bidi w:val="0"/>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邮政编码</w:t>
            </w:r>
          </w:p>
        </w:tc>
        <w:tc>
          <w:tcPr>
            <w:tcW w:w="2125" w:type="dxa"/>
            <w:gridSpan w:val="3"/>
            <w:vAlign w:val="center"/>
          </w:tcPr>
          <w:p w14:paraId="771C40B3">
            <w:pPr>
              <w:pageBreakBefore w:val="0"/>
              <w:wordWrap/>
              <w:topLinePunct w:val="0"/>
              <w:bidi w:val="0"/>
              <w:spacing w:line="560" w:lineRule="exact"/>
              <w:ind w:firstLine="255"/>
              <w:jc w:val="center"/>
              <w:rPr>
                <w:rFonts w:hint="eastAsia" w:ascii="宋体" w:hAnsi="宋体" w:eastAsia="宋体" w:cs="宋体"/>
                <w:color w:val="000000" w:themeColor="text1"/>
                <w:sz w:val="28"/>
                <w:szCs w:val="28"/>
                <w:highlight w:val="none"/>
                <w14:textFill>
                  <w14:solidFill>
                    <w14:schemeClr w14:val="tx1"/>
                  </w14:solidFill>
                </w14:textFill>
              </w:rPr>
            </w:pPr>
          </w:p>
        </w:tc>
      </w:tr>
      <w:tr w14:paraId="3549D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32" w:hRule="atLeast"/>
          <w:jc w:val="center"/>
        </w:trPr>
        <w:tc>
          <w:tcPr>
            <w:tcW w:w="1936" w:type="dxa"/>
            <w:vMerge w:val="restart"/>
            <w:vAlign w:val="center"/>
          </w:tcPr>
          <w:p w14:paraId="0390164E">
            <w:pPr>
              <w:pageBreakBefore w:val="0"/>
              <w:wordWrap/>
              <w:topLinePunct w:val="0"/>
              <w:bidi w:val="0"/>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联系方式</w:t>
            </w:r>
          </w:p>
        </w:tc>
        <w:tc>
          <w:tcPr>
            <w:tcW w:w="1214" w:type="dxa"/>
            <w:vAlign w:val="center"/>
          </w:tcPr>
          <w:p w14:paraId="4F29A55B">
            <w:pPr>
              <w:pageBreakBefore w:val="0"/>
              <w:wordWrap/>
              <w:topLinePunct w:val="0"/>
              <w:bidi w:val="0"/>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联系人</w:t>
            </w:r>
          </w:p>
        </w:tc>
        <w:tc>
          <w:tcPr>
            <w:tcW w:w="2107" w:type="dxa"/>
            <w:gridSpan w:val="2"/>
            <w:vAlign w:val="center"/>
          </w:tcPr>
          <w:p w14:paraId="5441C9C3">
            <w:pPr>
              <w:pageBreakBefore w:val="0"/>
              <w:wordWrap/>
              <w:topLinePunct w:val="0"/>
              <w:bidi w:val="0"/>
              <w:spacing w:line="560" w:lineRule="exact"/>
              <w:ind w:firstLine="255"/>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318" w:type="dxa"/>
            <w:vAlign w:val="center"/>
          </w:tcPr>
          <w:p w14:paraId="1F07498C">
            <w:pPr>
              <w:pageBreakBefore w:val="0"/>
              <w:wordWrap/>
              <w:topLinePunct w:val="0"/>
              <w:bidi w:val="0"/>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电话</w:t>
            </w:r>
          </w:p>
        </w:tc>
        <w:tc>
          <w:tcPr>
            <w:tcW w:w="2125" w:type="dxa"/>
            <w:gridSpan w:val="3"/>
            <w:vAlign w:val="center"/>
          </w:tcPr>
          <w:p w14:paraId="7FA15063">
            <w:pPr>
              <w:pageBreakBefore w:val="0"/>
              <w:wordWrap/>
              <w:topLinePunct w:val="0"/>
              <w:bidi w:val="0"/>
              <w:spacing w:line="560" w:lineRule="exact"/>
              <w:ind w:firstLine="255"/>
              <w:jc w:val="center"/>
              <w:rPr>
                <w:rFonts w:hint="eastAsia" w:ascii="宋体" w:hAnsi="宋体" w:eastAsia="宋体" w:cs="宋体"/>
                <w:color w:val="000000" w:themeColor="text1"/>
                <w:sz w:val="28"/>
                <w:szCs w:val="28"/>
                <w:highlight w:val="none"/>
                <w14:textFill>
                  <w14:solidFill>
                    <w14:schemeClr w14:val="tx1"/>
                  </w14:solidFill>
                </w14:textFill>
              </w:rPr>
            </w:pPr>
          </w:p>
        </w:tc>
      </w:tr>
      <w:tr w14:paraId="63E74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32" w:hRule="atLeast"/>
          <w:jc w:val="center"/>
        </w:trPr>
        <w:tc>
          <w:tcPr>
            <w:tcW w:w="1936" w:type="dxa"/>
            <w:vMerge w:val="continue"/>
            <w:vAlign w:val="center"/>
          </w:tcPr>
          <w:p w14:paraId="3098C8D6">
            <w:pPr>
              <w:pageBreakBefore w:val="0"/>
              <w:wordWrap/>
              <w:topLinePunct w:val="0"/>
              <w:bidi w:val="0"/>
              <w:spacing w:line="560" w:lineRule="exact"/>
              <w:ind w:firstLine="255"/>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214" w:type="dxa"/>
            <w:vAlign w:val="center"/>
          </w:tcPr>
          <w:p w14:paraId="1233FBC4">
            <w:pPr>
              <w:pageBreakBefore w:val="0"/>
              <w:wordWrap/>
              <w:topLinePunct w:val="0"/>
              <w:bidi w:val="0"/>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传真</w:t>
            </w:r>
          </w:p>
        </w:tc>
        <w:tc>
          <w:tcPr>
            <w:tcW w:w="2107" w:type="dxa"/>
            <w:gridSpan w:val="2"/>
            <w:vAlign w:val="center"/>
          </w:tcPr>
          <w:p w14:paraId="217DCFB3">
            <w:pPr>
              <w:pageBreakBefore w:val="0"/>
              <w:wordWrap/>
              <w:topLinePunct w:val="0"/>
              <w:bidi w:val="0"/>
              <w:spacing w:line="560" w:lineRule="exact"/>
              <w:ind w:firstLine="255"/>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318" w:type="dxa"/>
            <w:vAlign w:val="center"/>
          </w:tcPr>
          <w:p w14:paraId="224C7821">
            <w:pPr>
              <w:pageBreakBefore w:val="0"/>
              <w:wordWrap/>
              <w:topLinePunct w:val="0"/>
              <w:bidi w:val="0"/>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网址</w:t>
            </w:r>
          </w:p>
        </w:tc>
        <w:tc>
          <w:tcPr>
            <w:tcW w:w="2125" w:type="dxa"/>
            <w:gridSpan w:val="3"/>
            <w:vAlign w:val="center"/>
          </w:tcPr>
          <w:p w14:paraId="1C87D9A7">
            <w:pPr>
              <w:pageBreakBefore w:val="0"/>
              <w:wordWrap/>
              <w:topLinePunct w:val="0"/>
              <w:bidi w:val="0"/>
              <w:spacing w:line="560" w:lineRule="exact"/>
              <w:ind w:firstLine="255"/>
              <w:jc w:val="center"/>
              <w:rPr>
                <w:rFonts w:hint="eastAsia" w:ascii="宋体" w:hAnsi="宋体" w:eastAsia="宋体" w:cs="宋体"/>
                <w:color w:val="000000" w:themeColor="text1"/>
                <w:sz w:val="28"/>
                <w:szCs w:val="28"/>
                <w:highlight w:val="none"/>
                <w14:textFill>
                  <w14:solidFill>
                    <w14:schemeClr w14:val="tx1"/>
                  </w14:solidFill>
                </w14:textFill>
              </w:rPr>
            </w:pPr>
          </w:p>
        </w:tc>
      </w:tr>
      <w:tr w14:paraId="3EF46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27" w:hRule="atLeast"/>
          <w:jc w:val="center"/>
        </w:trPr>
        <w:tc>
          <w:tcPr>
            <w:tcW w:w="1936" w:type="dxa"/>
            <w:vAlign w:val="center"/>
          </w:tcPr>
          <w:p w14:paraId="5BF6ABD6">
            <w:pPr>
              <w:pageBreakBefore w:val="0"/>
              <w:wordWrap/>
              <w:topLinePunct w:val="0"/>
              <w:bidi w:val="0"/>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营业执照注册号</w:t>
            </w:r>
          </w:p>
        </w:tc>
        <w:tc>
          <w:tcPr>
            <w:tcW w:w="6764" w:type="dxa"/>
            <w:gridSpan w:val="7"/>
            <w:vAlign w:val="center"/>
          </w:tcPr>
          <w:p w14:paraId="07E865A0">
            <w:pPr>
              <w:pageBreakBefore w:val="0"/>
              <w:wordWrap/>
              <w:topLinePunct w:val="0"/>
              <w:bidi w:val="0"/>
              <w:spacing w:line="560" w:lineRule="exact"/>
              <w:ind w:firstLine="255"/>
              <w:jc w:val="center"/>
              <w:rPr>
                <w:rFonts w:hint="eastAsia" w:ascii="宋体" w:hAnsi="宋体" w:eastAsia="宋体" w:cs="宋体"/>
                <w:color w:val="000000" w:themeColor="text1"/>
                <w:sz w:val="28"/>
                <w:szCs w:val="28"/>
                <w:highlight w:val="none"/>
                <w14:textFill>
                  <w14:solidFill>
                    <w14:schemeClr w14:val="tx1"/>
                  </w14:solidFill>
                </w14:textFill>
              </w:rPr>
            </w:pPr>
          </w:p>
        </w:tc>
      </w:tr>
      <w:tr w14:paraId="793C2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32" w:hRule="atLeast"/>
          <w:jc w:val="center"/>
        </w:trPr>
        <w:tc>
          <w:tcPr>
            <w:tcW w:w="1936" w:type="dxa"/>
            <w:vAlign w:val="center"/>
          </w:tcPr>
          <w:p w14:paraId="7F5F3232">
            <w:pPr>
              <w:pageBreakBefore w:val="0"/>
              <w:wordWrap/>
              <w:topLinePunct w:val="0"/>
              <w:bidi w:val="0"/>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法定代表人</w:t>
            </w:r>
          </w:p>
        </w:tc>
        <w:tc>
          <w:tcPr>
            <w:tcW w:w="1214" w:type="dxa"/>
            <w:vAlign w:val="center"/>
          </w:tcPr>
          <w:p w14:paraId="56BEEEAC">
            <w:pPr>
              <w:pageBreakBefore w:val="0"/>
              <w:wordWrap/>
              <w:topLinePunct w:val="0"/>
              <w:bidi w:val="0"/>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姓名</w:t>
            </w:r>
          </w:p>
        </w:tc>
        <w:tc>
          <w:tcPr>
            <w:tcW w:w="1007" w:type="dxa"/>
            <w:vAlign w:val="center"/>
          </w:tcPr>
          <w:p w14:paraId="391BCD3A">
            <w:pPr>
              <w:pageBreakBefore w:val="0"/>
              <w:wordWrap/>
              <w:topLinePunct w:val="0"/>
              <w:bidi w:val="0"/>
              <w:spacing w:line="560" w:lineRule="exact"/>
              <w:ind w:firstLine="255"/>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100" w:type="dxa"/>
            <w:vAlign w:val="center"/>
          </w:tcPr>
          <w:p w14:paraId="00F8D4F2">
            <w:pPr>
              <w:pageBreakBefore w:val="0"/>
              <w:wordWrap/>
              <w:topLinePunct w:val="0"/>
              <w:bidi w:val="0"/>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技术</w:t>
            </w:r>
          </w:p>
          <w:p w14:paraId="45B2EFB6">
            <w:pPr>
              <w:pageBreakBefore w:val="0"/>
              <w:wordWrap/>
              <w:topLinePunct w:val="0"/>
              <w:bidi w:val="0"/>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职称</w:t>
            </w:r>
          </w:p>
        </w:tc>
        <w:tc>
          <w:tcPr>
            <w:tcW w:w="1361" w:type="dxa"/>
            <w:gridSpan w:val="2"/>
            <w:vAlign w:val="center"/>
          </w:tcPr>
          <w:p w14:paraId="5F1830F4">
            <w:pPr>
              <w:pageBreakBefore w:val="0"/>
              <w:wordWrap/>
              <w:topLinePunct w:val="0"/>
              <w:bidi w:val="0"/>
              <w:spacing w:line="560" w:lineRule="exact"/>
              <w:ind w:firstLine="255"/>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779" w:type="dxa"/>
            <w:vAlign w:val="center"/>
          </w:tcPr>
          <w:p w14:paraId="4AD29978">
            <w:pPr>
              <w:pageBreakBefore w:val="0"/>
              <w:wordWrap/>
              <w:topLinePunct w:val="0"/>
              <w:bidi w:val="0"/>
              <w:spacing w:line="560" w:lineRule="exact"/>
              <w:ind w:firstLine="140" w:firstLineChars="50"/>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电话</w:t>
            </w:r>
          </w:p>
        </w:tc>
        <w:tc>
          <w:tcPr>
            <w:tcW w:w="1303" w:type="dxa"/>
            <w:vAlign w:val="center"/>
          </w:tcPr>
          <w:p w14:paraId="52D40155">
            <w:pPr>
              <w:pageBreakBefore w:val="0"/>
              <w:wordWrap/>
              <w:topLinePunct w:val="0"/>
              <w:bidi w:val="0"/>
              <w:spacing w:line="560" w:lineRule="exact"/>
              <w:ind w:firstLine="255"/>
              <w:jc w:val="center"/>
              <w:rPr>
                <w:rFonts w:hint="eastAsia" w:ascii="宋体" w:hAnsi="宋体" w:eastAsia="宋体" w:cs="宋体"/>
                <w:color w:val="000000" w:themeColor="text1"/>
                <w:sz w:val="28"/>
                <w:szCs w:val="28"/>
                <w:highlight w:val="none"/>
                <w14:textFill>
                  <w14:solidFill>
                    <w14:schemeClr w14:val="tx1"/>
                  </w14:solidFill>
                </w14:textFill>
              </w:rPr>
            </w:pPr>
          </w:p>
        </w:tc>
      </w:tr>
      <w:tr w14:paraId="3EB63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32" w:hRule="atLeast"/>
          <w:jc w:val="center"/>
        </w:trPr>
        <w:tc>
          <w:tcPr>
            <w:tcW w:w="1936" w:type="dxa"/>
            <w:vAlign w:val="center"/>
          </w:tcPr>
          <w:p w14:paraId="52D52C8B">
            <w:pPr>
              <w:pageBreakBefore w:val="0"/>
              <w:wordWrap/>
              <w:topLinePunct w:val="0"/>
              <w:bidi w:val="0"/>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技术负责人</w:t>
            </w:r>
          </w:p>
        </w:tc>
        <w:tc>
          <w:tcPr>
            <w:tcW w:w="1214" w:type="dxa"/>
            <w:vAlign w:val="center"/>
          </w:tcPr>
          <w:p w14:paraId="2FD96905">
            <w:pPr>
              <w:pageBreakBefore w:val="0"/>
              <w:wordWrap/>
              <w:topLinePunct w:val="0"/>
              <w:bidi w:val="0"/>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姓名</w:t>
            </w:r>
          </w:p>
        </w:tc>
        <w:tc>
          <w:tcPr>
            <w:tcW w:w="1007" w:type="dxa"/>
            <w:vAlign w:val="center"/>
          </w:tcPr>
          <w:p w14:paraId="346348B3">
            <w:pPr>
              <w:pageBreakBefore w:val="0"/>
              <w:wordWrap/>
              <w:topLinePunct w:val="0"/>
              <w:bidi w:val="0"/>
              <w:spacing w:line="560" w:lineRule="exact"/>
              <w:ind w:firstLine="255"/>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100" w:type="dxa"/>
            <w:vAlign w:val="center"/>
          </w:tcPr>
          <w:p w14:paraId="477077D5">
            <w:pPr>
              <w:pageBreakBefore w:val="0"/>
              <w:wordWrap/>
              <w:topLinePunct w:val="0"/>
              <w:bidi w:val="0"/>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技术</w:t>
            </w:r>
          </w:p>
          <w:p w14:paraId="44343933">
            <w:pPr>
              <w:pageBreakBefore w:val="0"/>
              <w:wordWrap/>
              <w:topLinePunct w:val="0"/>
              <w:bidi w:val="0"/>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职称</w:t>
            </w:r>
          </w:p>
        </w:tc>
        <w:tc>
          <w:tcPr>
            <w:tcW w:w="1361" w:type="dxa"/>
            <w:gridSpan w:val="2"/>
            <w:vAlign w:val="center"/>
          </w:tcPr>
          <w:p w14:paraId="43DD61C6">
            <w:pPr>
              <w:pageBreakBefore w:val="0"/>
              <w:wordWrap/>
              <w:topLinePunct w:val="0"/>
              <w:bidi w:val="0"/>
              <w:spacing w:line="560" w:lineRule="exact"/>
              <w:ind w:firstLine="255"/>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779" w:type="dxa"/>
            <w:vAlign w:val="center"/>
          </w:tcPr>
          <w:p w14:paraId="1CA05109">
            <w:pPr>
              <w:pageBreakBefore w:val="0"/>
              <w:wordWrap/>
              <w:topLinePunct w:val="0"/>
              <w:bidi w:val="0"/>
              <w:spacing w:line="560" w:lineRule="exact"/>
              <w:ind w:firstLine="140" w:firstLineChars="50"/>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电话</w:t>
            </w:r>
          </w:p>
        </w:tc>
        <w:tc>
          <w:tcPr>
            <w:tcW w:w="1303" w:type="dxa"/>
            <w:vAlign w:val="center"/>
          </w:tcPr>
          <w:p w14:paraId="05A83769">
            <w:pPr>
              <w:pageBreakBefore w:val="0"/>
              <w:wordWrap/>
              <w:topLinePunct w:val="0"/>
              <w:bidi w:val="0"/>
              <w:spacing w:line="560" w:lineRule="exact"/>
              <w:ind w:firstLine="255"/>
              <w:jc w:val="center"/>
              <w:rPr>
                <w:rFonts w:hint="eastAsia" w:ascii="宋体" w:hAnsi="宋体" w:eastAsia="宋体" w:cs="宋体"/>
                <w:color w:val="000000" w:themeColor="text1"/>
                <w:sz w:val="28"/>
                <w:szCs w:val="28"/>
                <w:highlight w:val="none"/>
                <w14:textFill>
                  <w14:solidFill>
                    <w14:schemeClr w14:val="tx1"/>
                  </w14:solidFill>
                </w14:textFill>
              </w:rPr>
            </w:pPr>
          </w:p>
        </w:tc>
      </w:tr>
      <w:tr w14:paraId="752EE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32" w:hRule="atLeast"/>
          <w:jc w:val="center"/>
        </w:trPr>
        <w:tc>
          <w:tcPr>
            <w:tcW w:w="1936" w:type="dxa"/>
            <w:vAlign w:val="center"/>
          </w:tcPr>
          <w:p w14:paraId="584532F3">
            <w:pPr>
              <w:pageBreakBefore w:val="0"/>
              <w:wordWrap/>
              <w:topLinePunct w:val="0"/>
              <w:bidi w:val="0"/>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成立时间</w:t>
            </w:r>
          </w:p>
        </w:tc>
        <w:tc>
          <w:tcPr>
            <w:tcW w:w="2221" w:type="dxa"/>
            <w:gridSpan w:val="2"/>
            <w:vAlign w:val="center"/>
          </w:tcPr>
          <w:p w14:paraId="458121E2">
            <w:pPr>
              <w:pageBreakBefore w:val="0"/>
              <w:wordWrap/>
              <w:topLinePunct w:val="0"/>
              <w:bidi w:val="0"/>
              <w:spacing w:line="560" w:lineRule="exact"/>
              <w:ind w:firstLine="255"/>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4543" w:type="dxa"/>
            <w:gridSpan w:val="5"/>
            <w:vAlign w:val="center"/>
          </w:tcPr>
          <w:p w14:paraId="059B8047">
            <w:pPr>
              <w:pageBreakBefore w:val="0"/>
              <w:wordWrap/>
              <w:topLinePunct w:val="0"/>
              <w:bidi w:val="0"/>
              <w:spacing w:line="560" w:lineRule="exact"/>
              <w:ind w:firstLine="255"/>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员工总人数：</w:t>
            </w:r>
          </w:p>
        </w:tc>
      </w:tr>
      <w:tr w14:paraId="5756A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32" w:hRule="atLeast"/>
          <w:jc w:val="center"/>
        </w:trPr>
        <w:tc>
          <w:tcPr>
            <w:tcW w:w="1936" w:type="dxa"/>
            <w:vAlign w:val="center"/>
          </w:tcPr>
          <w:p w14:paraId="7790D56C">
            <w:pPr>
              <w:pageBreakBefore w:val="0"/>
              <w:wordWrap/>
              <w:topLinePunct w:val="0"/>
              <w:bidi w:val="0"/>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注册资金</w:t>
            </w:r>
          </w:p>
        </w:tc>
        <w:tc>
          <w:tcPr>
            <w:tcW w:w="6764" w:type="dxa"/>
            <w:gridSpan w:val="7"/>
            <w:vAlign w:val="center"/>
          </w:tcPr>
          <w:p w14:paraId="72390CF2">
            <w:pPr>
              <w:pageBreakBefore w:val="0"/>
              <w:wordWrap/>
              <w:topLinePunct w:val="0"/>
              <w:bidi w:val="0"/>
              <w:spacing w:line="560" w:lineRule="exact"/>
              <w:ind w:firstLine="255"/>
              <w:jc w:val="center"/>
              <w:rPr>
                <w:rFonts w:hint="eastAsia" w:ascii="宋体" w:hAnsi="宋体" w:eastAsia="宋体" w:cs="宋体"/>
                <w:color w:val="000000" w:themeColor="text1"/>
                <w:sz w:val="28"/>
                <w:szCs w:val="28"/>
                <w:highlight w:val="none"/>
                <w14:textFill>
                  <w14:solidFill>
                    <w14:schemeClr w14:val="tx1"/>
                  </w14:solidFill>
                </w14:textFill>
              </w:rPr>
            </w:pPr>
          </w:p>
        </w:tc>
      </w:tr>
      <w:tr w14:paraId="6B48A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32" w:hRule="atLeast"/>
          <w:jc w:val="center"/>
        </w:trPr>
        <w:tc>
          <w:tcPr>
            <w:tcW w:w="1936" w:type="dxa"/>
            <w:vAlign w:val="center"/>
          </w:tcPr>
          <w:p w14:paraId="29A7009D">
            <w:pPr>
              <w:pageBreakBefore w:val="0"/>
              <w:wordWrap/>
              <w:topLinePunct w:val="0"/>
              <w:bidi w:val="0"/>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开户银行</w:t>
            </w:r>
          </w:p>
        </w:tc>
        <w:tc>
          <w:tcPr>
            <w:tcW w:w="6764" w:type="dxa"/>
            <w:gridSpan w:val="7"/>
            <w:vAlign w:val="center"/>
          </w:tcPr>
          <w:p w14:paraId="463E73EC">
            <w:pPr>
              <w:pageBreakBefore w:val="0"/>
              <w:wordWrap/>
              <w:topLinePunct w:val="0"/>
              <w:bidi w:val="0"/>
              <w:spacing w:line="560" w:lineRule="exact"/>
              <w:ind w:firstLine="255"/>
              <w:jc w:val="center"/>
              <w:rPr>
                <w:rFonts w:hint="eastAsia" w:ascii="宋体" w:hAnsi="宋体" w:eastAsia="宋体" w:cs="宋体"/>
                <w:color w:val="000000" w:themeColor="text1"/>
                <w:sz w:val="28"/>
                <w:szCs w:val="28"/>
                <w:highlight w:val="none"/>
                <w14:textFill>
                  <w14:solidFill>
                    <w14:schemeClr w14:val="tx1"/>
                  </w14:solidFill>
                </w14:textFill>
              </w:rPr>
            </w:pPr>
          </w:p>
        </w:tc>
      </w:tr>
      <w:tr w14:paraId="496F4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2" w:hRule="atLeast"/>
          <w:jc w:val="center"/>
        </w:trPr>
        <w:tc>
          <w:tcPr>
            <w:tcW w:w="1936" w:type="dxa"/>
            <w:vAlign w:val="center"/>
          </w:tcPr>
          <w:p w14:paraId="06E1928A">
            <w:pPr>
              <w:pageBreakBefore w:val="0"/>
              <w:wordWrap/>
              <w:topLinePunct w:val="0"/>
              <w:bidi w:val="0"/>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账号</w:t>
            </w:r>
          </w:p>
        </w:tc>
        <w:tc>
          <w:tcPr>
            <w:tcW w:w="6764" w:type="dxa"/>
            <w:gridSpan w:val="7"/>
            <w:vAlign w:val="center"/>
          </w:tcPr>
          <w:p w14:paraId="33A9054B">
            <w:pPr>
              <w:pageBreakBefore w:val="0"/>
              <w:wordWrap/>
              <w:topLinePunct w:val="0"/>
              <w:bidi w:val="0"/>
              <w:spacing w:line="560" w:lineRule="exact"/>
              <w:ind w:firstLine="255"/>
              <w:jc w:val="center"/>
              <w:rPr>
                <w:rFonts w:hint="eastAsia" w:ascii="宋体" w:hAnsi="宋体" w:eastAsia="宋体" w:cs="宋体"/>
                <w:color w:val="000000" w:themeColor="text1"/>
                <w:sz w:val="28"/>
                <w:szCs w:val="28"/>
                <w:highlight w:val="none"/>
                <w14:textFill>
                  <w14:solidFill>
                    <w14:schemeClr w14:val="tx1"/>
                  </w14:solidFill>
                </w14:textFill>
              </w:rPr>
            </w:pPr>
          </w:p>
        </w:tc>
      </w:tr>
      <w:tr w14:paraId="6F1E6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2" w:hRule="atLeast"/>
          <w:jc w:val="center"/>
        </w:trPr>
        <w:tc>
          <w:tcPr>
            <w:tcW w:w="1936" w:type="dxa"/>
            <w:vMerge w:val="restart"/>
            <w:vAlign w:val="center"/>
          </w:tcPr>
          <w:p w14:paraId="75C41AF9">
            <w:pPr>
              <w:pStyle w:val="164"/>
              <w:pageBreakBefore w:val="0"/>
              <w:wordWrap/>
              <w:topLinePunct w:val="0"/>
              <w:bidi w:val="0"/>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企业关联情况</w:t>
            </w:r>
          </w:p>
        </w:tc>
        <w:tc>
          <w:tcPr>
            <w:tcW w:w="6764" w:type="dxa"/>
            <w:gridSpan w:val="7"/>
            <w:vAlign w:val="center"/>
          </w:tcPr>
          <w:p w14:paraId="3E5A2FDC">
            <w:pPr>
              <w:pStyle w:val="164"/>
              <w:keepNext w:val="0"/>
              <w:keepLines w:val="0"/>
              <w:pageBreakBefore w:val="0"/>
              <w:widowControl w:val="0"/>
              <w:kinsoku/>
              <w:wordWrap/>
              <w:overflowPunct/>
              <w:topLinePunct w:val="0"/>
              <w:autoSpaceDE/>
              <w:autoSpaceDN/>
              <w:bidi w:val="0"/>
              <w:adjustRightInd/>
              <w:snapToGrid/>
              <w:spacing w:line="560" w:lineRule="exact"/>
              <w:ind w:left="0"/>
              <w:jc w:val="both"/>
              <w:textAlignment w:val="auto"/>
              <w:rPr>
                <w:rFonts w:hint="eastAsia" w:ascii="宋体" w:hAnsi="宋体" w:eastAsia="宋体" w:cs="宋体"/>
                <w:color w:val="000000" w:themeColor="text1"/>
                <w:sz w:val="28"/>
                <w:szCs w:val="28"/>
                <w:highlight w:val="none"/>
                <w:lang w:eastAsia="zh-CN"/>
                <w14:textFill>
                  <w14:solidFill>
                    <w14:schemeClr w14:val="tx1"/>
                  </w14:solidFill>
                </w14:textFill>
              </w:rPr>
            </w:pPr>
            <w:r>
              <w:rPr>
                <w:rFonts w:hint="eastAsia" w:ascii="宋体" w:hAnsi="宋体" w:eastAsia="宋体" w:cs="宋体"/>
                <w:color w:val="000000" w:themeColor="text1"/>
                <w:sz w:val="28"/>
                <w:szCs w:val="28"/>
                <w:highlight w:val="none"/>
                <w:lang w:eastAsia="zh-CN"/>
                <w14:textFill>
                  <w14:solidFill>
                    <w14:schemeClr w14:val="tx1"/>
                  </w14:solidFill>
                </w14:textFill>
              </w:rPr>
              <w:t>1：与我公司单位负责人为同一人的其他单位名称：</w:t>
            </w:r>
          </w:p>
        </w:tc>
      </w:tr>
      <w:tr w14:paraId="5DCE0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28" w:hRule="atLeast"/>
          <w:jc w:val="center"/>
        </w:trPr>
        <w:tc>
          <w:tcPr>
            <w:tcW w:w="1936" w:type="dxa"/>
            <w:vMerge w:val="continue"/>
            <w:vAlign w:val="center"/>
          </w:tcPr>
          <w:p w14:paraId="47A1A0B7">
            <w:pPr>
              <w:pStyle w:val="160"/>
              <w:pageBreakBefore w:val="0"/>
              <w:widowControl/>
              <w:wordWrap/>
              <w:topLinePunct w:val="0"/>
              <w:bidi w:val="0"/>
              <w:spacing w:line="560" w:lineRule="exact"/>
              <w:jc w:val="left"/>
              <w:rPr>
                <w:rFonts w:hint="eastAsia" w:ascii="宋体" w:hAnsi="宋体" w:eastAsia="宋体" w:cs="宋体"/>
                <w:color w:val="000000" w:themeColor="text1"/>
                <w:sz w:val="28"/>
                <w:szCs w:val="28"/>
                <w:highlight w:val="none"/>
                <w14:textFill>
                  <w14:solidFill>
                    <w14:schemeClr w14:val="tx1"/>
                  </w14:solidFill>
                </w14:textFill>
              </w:rPr>
            </w:pPr>
          </w:p>
        </w:tc>
        <w:tc>
          <w:tcPr>
            <w:tcW w:w="6764" w:type="dxa"/>
            <w:gridSpan w:val="7"/>
            <w:vAlign w:val="center"/>
          </w:tcPr>
          <w:p w14:paraId="3B2CFF0B">
            <w:pPr>
              <w:pStyle w:val="164"/>
              <w:keepNext w:val="0"/>
              <w:keepLines w:val="0"/>
              <w:pageBreakBefore w:val="0"/>
              <w:widowControl w:val="0"/>
              <w:kinsoku/>
              <w:wordWrap/>
              <w:overflowPunct/>
              <w:topLinePunct w:val="0"/>
              <w:autoSpaceDE/>
              <w:autoSpaceDN/>
              <w:bidi w:val="0"/>
              <w:adjustRightInd/>
              <w:snapToGrid/>
              <w:spacing w:line="560" w:lineRule="exact"/>
              <w:ind w:left="0"/>
              <w:jc w:val="both"/>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□无；</w:t>
            </w:r>
            <w:r>
              <w:rPr>
                <w:rFonts w:hint="eastAsia" w:ascii="宋体" w:hAnsi="宋体" w:eastAsia="宋体" w:cs="宋体"/>
                <w:color w:val="000000" w:themeColor="text1"/>
                <w:sz w:val="28"/>
                <w:szCs w:val="28"/>
                <w:highlight w:val="none"/>
                <w:lang w:eastAsia="zh-CN"/>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 xml:space="preserve"> □有：</w:t>
            </w:r>
          </w:p>
        </w:tc>
      </w:tr>
      <w:tr w14:paraId="492EC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2" w:hRule="atLeast"/>
          <w:jc w:val="center"/>
        </w:trPr>
        <w:tc>
          <w:tcPr>
            <w:tcW w:w="1936" w:type="dxa"/>
            <w:vMerge w:val="continue"/>
            <w:vAlign w:val="center"/>
          </w:tcPr>
          <w:p w14:paraId="2D3BBC90">
            <w:pPr>
              <w:pStyle w:val="160"/>
              <w:pageBreakBefore w:val="0"/>
              <w:widowControl/>
              <w:wordWrap/>
              <w:topLinePunct w:val="0"/>
              <w:bidi w:val="0"/>
              <w:spacing w:line="560" w:lineRule="exact"/>
              <w:jc w:val="left"/>
              <w:rPr>
                <w:rFonts w:hint="eastAsia" w:ascii="宋体" w:hAnsi="宋体" w:eastAsia="宋体" w:cs="宋体"/>
                <w:color w:val="000000" w:themeColor="text1"/>
                <w:sz w:val="28"/>
                <w:szCs w:val="28"/>
                <w:highlight w:val="none"/>
                <w14:textFill>
                  <w14:solidFill>
                    <w14:schemeClr w14:val="tx1"/>
                  </w14:solidFill>
                </w14:textFill>
              </w:rPr>
            </w:pPr>
          </w:p>
        </w:tc>
        <w:tc>
          <w:tcPr>
            <w:tcW w:w="6764" w:type="dxa"/>
            <w:gridSpan w:val="7"/>
            <w:vAlign w:val="center"/>
          </w:tcPr>
          <w:p w14:paraId="02E50535">
            <w:pPr>
              <w:pStyle w:val="164"/>
              <w:keepNext w:val="0"/>
              <w:keepLines w:val="0"/>
              <w:pageBreakBefore w:val="0"/>
              <w:widowControl w:val="0"/>
              <w:kinsoku/>
              <w:wordWrap/>
              <w:overflowPunct/>
              <w:topLinePunct w:val="0"/>
              <w:autoSpaceDE/>
              <w:autoSpaceDN/>
              <w:bidi w:val="0"/>
              <w:adjustRightInd/>
              <w:snapToGrid/>
              <w:spacing w:line="560" w:lineRule="exact"/>
              <w:ind w:left="0"/>
              <w:jc w:val="both"/>
              <w:textAlignment w:val="auto"/>
              <w:rPr>
                <w:rFonts w:hint="eastAsia" w:ascii="宋体" w:hAnsi="宋体" w:eastAsia="宋体" w:cs="宋体"/>
                <w:color w:val="000000" w:themeColor="text1"/>
                <w:sz w:val="28"/>
                <w:szCs w:val="28"/>
                <w:highlight w:val="none"/>
                <w:lang w:eastAsia="zh-CN"/>
                <w14:textFill>
                  <w14:solidFill>
                    <w14:schemeClr w14:val="tx1"/>
                  </w14:solidFill>
                </w14:textFill>
              </w:rPr>
            </w:pPr>
            <w:r>
              <w:rPr>
                <w:rFonts w:hint="eastAsia" w:ascii="宋体" w:hAnsi="宋体" w:eastAsia="宋体" w:cs="宋体"/>
                <w:color w:val="000000" w:themeColor="text1"/>
                <w:sz w:val="28"/>
                <w:szCs w:val="28"/>
                <w:highlight w:val="none"/>
                <w:lang w:eastAsia="zh-CN"/>
                <w14:textFill>
                  <w14:solidFill>
                    <w14:schemeClr w14:val="tx1"/>
                  </w14:solidFill>
                </w14:textFill>
              </w:rPr>
              <w:t xml:space="preserve">2、与我公司存在控股、管理关系的其他单位的名称： </w:t>
            </w:r>
          </w:p>
        </w:tc>
      </w:tr>
      <w:tr w14:paraId="0056C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04" w:hRule="atLeast"/>
          <w:jc w:val="center"/>
        </w:trPr>
        <w:tc>
          <w:tcPr>
            <w:tcW w:w="1936" w:type="dxa"/>
            <w:vMerge w:val="continue"/>
            <w:vAlign w:val="center"/>
          </w:tcPr>
          <w:p w14:paraId="549B7C1C">
            <w:pPr>
              <w:pStyle w:val="160"/>
              <w:pageBreakBefore w:val="0"/>
              <w:widowControl/>
              <w:wordWrap/>
              <w:topLinePunct w:val="0"/>
              <w:bidi w:val="0"/>
              <w:spacing w:line="560" w:lineRule="exact"/>
              <w:jc w:val="left"/>
              <w:rPr>
                <w:rFonts w:hint="eastAsia" w:ascii="宋体" w:hAnsi="宋体" w:eastAsia="宋体" w:cs="宋体"/>
                <w:color w:val="000000" w:themeColor="text1"/>
                <w:sz w:val="28"/>
                <w:szCs w:val="28"/>
                <w:highlight w:val="none"/>
                <w14:textFill>
                  <w14:solidFill>
                    <w14:schemeClr w14:val="tx1"/>
                  </w14:solidFill>
                </w14:textFill>
              </w:rPr>
            </w:pPr>
          </w:p>
        </w:tc>
        <w:tc>
          <w:tcPr>
            <w:tcW w:w="6764" w:type="dxa"/>
            <w:gridSpan w:val="7"/>
            <w:vAlign w:val="center"/>
          </w:tcPr>
          <w:p w14:paraId="139965DF">
            <w:pPr>
              <w:pStyle w:val="164"/>
              <w:keepNext w:val="0"/>
              <w:keepLines w:val="0"/>
              <w:pageBreakBefore w:val="0"/>
              <w:widowControl w:val="0"/>
              <w:kinsoku/>
              <w:wordWrap/>
              <w:overflowPunct/>
              <w:topLinePunct w:val="0"/>
              <w:autoSpaceDE/>
              <w:autoSpaceDN/>
              <w:bidi w:val="0"/>
              <w:adjustRightInd/>
              <w:snapToGrid/>
              <w:spacing w:line="560" w:lineRule="exact"/>
              <w:ind w:left="0"/>
              <w:jc w:val="both"/>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□无；</w:t>
            </w:r>
            <w:r>
              <w:rPr>
                <w:rFonts w:hint="eastAsia" w:ascii="宋体" w:hAnsi="宋体" w:eastAsia="宋体" w:cs="宋体"/>
                <w:color w:val="000000" w:themeColor="text1"/>
                <w:sz w:val="28"/>
                <w:szCs w:val="28"/>
                <w:highlight w:val="none"/>
                <w:lang w:eastAsia="zh-CN"/>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 xml:space="preserve"> □有：</w:t>
            </w:r>
          </w:p>
        </w:tc>
      </w:tr>
      <w:tr w14:paraId="625AA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13" w:hRule="atLeast"/>
          <w:jc w:val="center"/>
        </w:trPr>
        <w:tc>
          <w:tcPr>
            <w:tcW w:w="1936" w:type="dxa"/>
            <w:vMerge w:val="continue"/>
            <w:vAlign w:val="center"/>
          </w:tcPr>
          <w:p w14:paraId="5E89D325">
            <w:pPr>
              <w:pStyle w:val="160"/>
              <w:pageBreakBefore w:val="0"/>
              <w:widowControl/>
              <w:wordWrap/>
              <w:topLinePunct w:val="0"/>
              <w:bidi w:val="0"/>
              <w:spacing w:line="560" w:lineRule="exact"/>
              <w:jc w:val="left"/>
              <w:rPr>
                <w:rFonts w:hint="eastAsia" w:ascii="宋体" w:hAnsi="宋体" w:eastAsia="宋体" w:cs="宋体"/>
                <w:color w:val="000000" w:themeColor="text1"/>
                <w:sz w:val="28"/>
                <w:szCs w:val="28"/>
                <w:highlight w:val="none"/>
                <w14:textFill>
                  <w14:solidFill>
                    <w14:schemeClr w14:val="tx1"/>
                  </w14:solidFill>
                </w14:textFill>
              </w:rPr>
            </w:pPr>
          </w:p>
        </w:tc>
        <w:tc>
          <w:tcPr>
            <w:tcW w:w="6764" w:type="dxa"/>
            <w:gridSpan w:val="7"/>
            <w:vAlign w:val="center"/>
          </w:tcPr>
          <w:p w14:paraId="4D0DF3C1">
            <w:pPr>
              <w:pStyle w:val="164"/>
              <w:keepNext w:val="0"/>
              <w:keepLines w:val="0"/>
              <w:pageBreakBefore w:val="0"/>
              <w:widowControl w:val="0"/>
              <w:kinsoku/>
              <w:wordWrap/>
              <w:overflowPunct/>
              <w:topLinePunct w:val="0"/>
              <w:autoSpaceDE/>
              <w:autoSpaceDN/>
              <w:bidi w:val="0"/>
              <w:adjustRightInd/>
              <w:snapToGrid/>
              <w:spacing w:line="560" w:lineRule="exact"/>
              <w:ind w:left="0"/>
              <w:jc w:val="both"/>
              <w:textAlignment w:val="auto"/>
              <w:rPr>
                <w:rFonts w:hint="eastAsia" w:ascii="宋体" w:hAnsi="宋体" w:eastAsia="宋体" w:cs="宋体"/>
                <w:color w:val="000000" w:themeColor="text1"/>
                <w:sz w:val="28"/>
                <w:szCs w:val="28"/>
                <w:highlight w:val="none"/>
                <w:lang w:eastAsia="zh-CN"/>
                <w14:textFill>
                  <w14:solidFill>
                    <w14:schemeClr w14:val="tx1"/>
                  </w14:solidFill>
                </w14:textFill>
              </w:rPr>
            </w:pPr>
            <w:r>
              <w:rPr>
                <w:rFonts w:hint="eastAsia" w:ascii="宋体" w:hAnsi="宋体" w:eastAsia="宋体" w:cs="宋体"/>
                <w:color w:val="000000" w:themeColor="text1"/>
                <w:sz w:val="28"/>
                <w:szCs w:val="28"/>
                <w:highlight w:val="none"/>
                <w:lang w:eastAsia="zh-CN"/>
                <w14:textFill>
                  <w14:solidFill>
                    <w14:schemeClr w14:val="tx1"/>
                  </w14:solidFill>
                </w14:textFill>
              </w:rPr>
              <w:t>备注：1、“单位负责人”是指单位法定代表人或者法律、行政法规规定代表单位行使职权的主要负责人。</w:t>
            </w:r>
          </w:p>
          <w:p w14:paraId="218D4D46">
            <w:pPr>
              <w:pStyle w:val="164"/>
              <w:keepNext w:val="0"/>
              <w:keepLines w:val="0"/>
              <w:pageBreakBefore w:val="0"/>
              <w:widowControl w:val="0"/>
              <w:kinsoku/>
              <w:wordWrap/>
              <w:overflowPunct/>
              <w:topLinePunct w:val="0"/>
              <w:autoSpaceDE/>
              <w:autoSpaceDN/>
              <w:bidi w:val="0"/>
              <w:adjustRightInd/>
              <w:snapToGrid/>
              <w:spacing w:line="560" w:lineRule="exact"/>
              <w:ind w:left="0"/>
              <w:jc w:val="both"/>
              <w:textAlignment w:val="auto"/>
              <w:rPr>
                <w:rFonts w:hint="eastAsia" w:ascii="宋体" w:hAnsi="宋体" w:eastAsia="宋体" w:cs="宋体"/>
                <w:color w:val="000000" w:themeColor="text1"/>
                <w:sz w:val="28"/>
                <w:szCs w:val="28"/>
                <w:highlight w:val="none"/>
                <w:lang w:eastAsia="zh-CN"/>
                <w14:textFill>
                  <w14:solidFill>
                    <w14:schemeClr w14:val="tx1"/>
                  </w14:solidFill>
                </w14:textFill>
              </w:rPr>
            </w:pPr>
            <w:r>
              <w:rPr>
                <w:rFonts w:hint="eastAsia" w:ascii="宋体" w:hAnsi="宋体" w:eastAsia="宋体" w:cs="宋体"/>
                <w:color w:val="000000" w:themeColor="text1"/>
                <w:sz w:val="28"/>
                <w:szCs w:val="28"/>
                <w:highlight w:val="none"/>
                <w:lang w:eastAsia="zh-CN"/>
                <w14:textFill>
                  <w14:solidFill>
                    <w14:schemeClr w14:val="tx1"/>
                  </w14:solidFill>
                </w14:textFill>
              </w:rPr>
              <w:t>2、本条所规定的控股、管理关系仅限于直接控股、直接管理关系，不包括间接的控股或管理关系。</w:t>
            </w:r>
          </w:p>
        </w:tc>
      </w:tr>
    </w:tbl>
    <w:p w14:paraId="0F08BF10">
      <w:pPr>
        <w:pageBreakBefore w:val="0"/>
        <w:wordWrap/>
        <w:topLinePunct w:val="0"/>
        <w:bidi w:val="0"/>
        <w:snapToGrid w:val="0"/>
        <w:spacing w:line="560" w:lineRule="exact"/>
        <w:ind w:firstLine="4935" w:firstLineChars="2350"/>
        <w:rPr>
          <w:rFonts w:hAnsi="宋体"/>
          <w:color w:val="000000" w:themeColor="text1"/>
          <w:szCs w:val="21"/>
          <w:highlight w:val="none"/>
          <w14:textFill>
            <w14:solidFill>
              <w14:schemeClr w14:val="tx1"/>
            </w14:solidFill>
          </w14:textFill>
        </w:rPr>
      </w:pPr>
      <w:r>
        <w:rPr>
          <w:rFonts w:hAnsi="宋体"/>
          <w:color w:val="000000" w:themeColor="text1"/>
          <w:szCs w:val="21"/>
          <w:highlight w:val="none"/>
          <w14:textFill>
            <w14:solidFill>
              <w14:schemeClr w14:val="tx1"/>
            </w14:solidFill>
          </w14:textFill>
        </w:rPr>
        <w:t xml:space="preserve"> </w:t>
      </w:r>
    </w:p>
    <w:p w14:paraId="67510031">
      <w:pPr>
        <w:pageBreakBefore w:val="0"/>
        <w:wordWrap/>
        <w:topLinePunct w:val="0"/>
        <w:bidi w:val="0"/>
        <w:snapToGrid w:val="0"/>
        <w:spacing w:line="560" w:lineRule="exact"/>
        <w:jc w:val="center"/>
        <w:rPr>
          <w:b/>
          <w:bCs/>
          <w:color w:val="000000" w:themeColor="text1"/>
          <w:sz w:val="30"/>
          <w:szCs w:val="30"/>
          <w:highlight w:val="none"/>
          <w14:textFill>
            <w14:solidFill>
              <w14:schemeClr w14:val="tx1"/>
            </w14:solidFill>
          </w14:textFill>
        </w:rPr>
      </w:pPr>
      <w:r>
        <w:rPr>
          <w:rFonts w:hint="eastAsia"/>
          <w:b/>
          <w:bCs/>
          <w:color w:val="000000" w:themeColor="text1"/>
          <w:sz w:val="30"/>
          <w:szCs w:val="30"/>
          <w:highlight w:val="none"/>
          <w14:textFill>
            <w14:solidFill>
              <w14:schemeClr w14:val="tx1"/>
            </w14:solidFill>
          </w14:textFill>
        </w:rPr>
        <w:t>六、</w:t>
      </w:r>
      <w:r>
        <w:rPr>
          <w:rFonts w:hint="eastAsia"/>
          <w:b/>
          <w:bCs/>
          <w:color w:val="000000" w:themeColor="text1"/>
          <w:sz w:val="30"/>
          <w:szCs w:val="30"/>
          <w:highlight w:val="none"/>
          <w:lang w:eastAsia="zh-CN"/>
          <w14:textFill>
            <w14:solidFill>
              <w14:schemeClr w14:val="tx1"/>
            </w14:solidFill>
          </w14:textFill>
        </w:rPr>
        <w:t>供应商</w:t>
      </w:r>
      <w:r>
        <w:rPr>
          <w:rFonts w:hint="eastAsia"/>
          <w:b/>
          <w:bCs/>
          <w:color w:val="000000" w:themeColor="text1"/>
          <w:sz w:val="30"/>
          <w:szCs w:val="30"/>
          <w:highlight w:val="none"/>
          <w14:textFill>
            <w14:solidFill>
              <w14:schemeClr w14:val="tx1"/>
            </w14:solidFill>
          </w14:textFill>
        </w:rPr>
        <w:t>类似的业绩证明文件</w:t>
      </w:r>
    </w:p>
    <w:tbl>
      <w:tblPr>
        <w:tblStyle w:val="34"/>
        <w:tblW w:w="8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7"/>
        <w:gridCol w:w="6106"/>
      </w:tblGrid>
      <w:tr w14:paraId="32D2E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2417" w:type="dxa"/>
            <w:noWrap w:val="0"/>
            <w:vAlign w:val="center"/>
          </w:tcPr>
          <w:p w14:paraId="382C051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cs="仿宋_GB2312"/>
                <w:color w:val="000000" w:themeColor="text1"/>
                <w:sz w:val="28"/>
                <w:szCs w:val="28"/>
                <w:highlight w:val="none"/>
                <w14:textFill>
                  <w14:solidFill>
                    <w14:schemeClr w14:val="tx1"/>
                  </w14:solidFill>
                </w14:textFill>
              </w:rPr>
            </w:pPr>
            <w:r>
              <w:rPr>
                <w:rFonts w:hint="eastAsia" w:cs="仿宋_GB2312"/>
                <w:color w:val="000000" w:themeColor="text1"/>
                <w:sz w:val="28"/>
                <w:szCs w:val="28"/>
                <w:highlight w:val="none"/>
                <w14:textFill>
                  <w14:solidFill>
                    <w14:schemeClr w14:val="tx1"/>
                  </w14:solidFill>
                </w14:textFill>
              </w:rPr>
              <w:t>序号</w:t>
            </w:r>
          </w:p>
        </w:tc>
        <w:tc>
          <w:tcPr>
            <w:tcW w:w="6106" w:type="dxa"/>
            <w:noWrap w:val="0"/>
            <w:vAlign w:val="center"/>
          </w:tcPr>
          <w:p w14:paraId="1E7E696B">
            <w:pPr>
              <w:pageBreakBefore w:val="0"/>
              <w:wordWrap/>
              <w:topLinePunct w:val="0"/>
              <w:bidi w:val="0"/>
              <w:spacing w:line="560" w:lineRule="exact"/>
              <w:jc w:val="center"/>
              <w:rPr>
                <w:rFonts w:hint="eastAsia" w:cs="仿宋_GB2312"/>
                <w:color w:val="000000" w:themeColor="text1"/>
                <w:highlight w:val="none"/>
                <w14:textFill>
                  <w14:solidFill>
                    <w14:schemeClr w14:val="tx1"/>
                  </w14:solidFill>
                </w14:textFill>
              </w:rPr>
            </w:pPr>
          </w:p>
        </w:tc>
      </w:tr>
      <w:tr w14:paraId="66396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2417" w:type="dxa"/>
            <w:noWrap w:val="0"/>
            <w:vAlign w:val="center"/>
          </w:tcPr>
          <w:p w14:paraId="4CE280C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cs="仿宋_GB2312"/>
                <w:color w:val="000000" w:themeColor="text1"/>
                <w:sz w:val="28"/>
                <w:szCs w:val="28"/>
                <w:highlight w:val="none"/>
                <w14:textFill>
                  <w14:solidFill>
                    <w14:schemeClr w14:val="tx1"/>
                  </w14:solidFill>
                </w14:textFill>
              </w:rPr>
            </w:pPr>
            <w:r>
              <w:rPr>
                <w:rFonts w:hint="eastAsia" w:cs="仿宋_GB2312"/>
                <w:color w:val="000000" w:themeColor="text1"/>
                <w:sz w:val="28"/>
                <w:szCs w:val="28"/>
                <w:highlight w:val="none"/>
                <w14:textFill>
                  <w14:solidFill>
                    <w14:schemeClr w14:val="tx1"/>
                  </w14:solidFill>
                </w14:textFill>
              </w:rPr>
              <w:t>项目名称</w:t>
            </w:r>
          </w:p>
        </w:tc>
        <w:tc>
          <w:tcPr>
            <w:tcW w:w="6106" w:type="dxa"/>
            <w:noWrap w:val="0"/>
            <w:vAlign w:val="center"/>
          </w:tcPr>
          <w:p w14:paraId="6AAEB582">
            <w:pPr>
              <w:pageBreakBefore w:val="0"/>
              <w:wordWrap/>
              <w:topLinePunct w:val="0"/>
              <w:bidi w:val="0"/>
              <w:spacing w:line="560" w:lineRule="exact"/>
              <w:jc w:val="center"/>
              <w:rPr>
                <w:rFonts w:hint="eastAsia" w:cs="仿宋_GB2312"/>
                <w:color w:val="000000" w:themeColor="text1"/>
                <w:highlight w:val="none"/>
                <w14:textFill>
                  <w14:solidFill>
                    <w14:schemeClr w14:val="tx1"/>
                  </w14:solidFill>
                </w14:textFill>
              </w:rPr>
            </w:pPr>
          </w:p>
        </w:tc>
      </w:tr>
      <w:tr w14:paraId="55CA2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2417" w:type="dxa"/>
            <w:noWrap w:val="0"/>
            <w:vAlign w:val="center"/>
          </w:tcPr>
          <w:p w14:paraId="11134F36">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cs="仿宋_GB2312"/>
                <w:color w:val="000000" w:themeColor="text1"/>
                <w:sz w:val="28"/>
                <w:szCs w:val="28"/>
                <w:highlight w:val="none"/>
                <w14:textFill>
                  <w14:solidFill>
                    <w14:schemeClr w14:val="tx1"/>
                  </w14:solidFill>
                </w14:textFill>
              </w:rPr>
            </w:pPr>
            <w:r>
              <w:rPr>
                <w:rFonts w:hint="eastAsia" w:cs="仿宋_GB2312"/>
                <w:color w:val="000000" w:themeColor="text1"/>
                <w:sz w:val="28"/>
                <w:szCs w:val="28"/>
                <w:highlight w:val="none"/>
                <w14:textFill>
                  <w14:solidFill>
                    <w14:schemeClr w14:val="tx1"/>
                  </w14:solidFill>
                </w14:textFill>
              </w:rPr>
              <w:t>项目所在地</w:t>
            </w:r>
          </w:p>
        </w:tc>
        <w:tc>
          <w:tcPr>
            <w:tcW w:w="6106" w:type="dxa"/>
            <w:noWrap w:val="0"/>
            <w:vAlign w:val="center"/>
          </w:tcPr>
          <w:p w14:paraId="65BF1DB6">
            <w:pPr>
              <w:pageBreakBefore w:val="0"/>
              <w:wordWrap/>
              <w:topLinePunct w:val="0"/>
              <w:bidi w:val="0"/>
              <w:spacing w:line="560" w:lineRule="exact"/>
              <w:jc w:val="center"/>
              <w:rPr>
                <w:rFonts w:hint="eastAsia" w:cs="仿宋_GB2312"/>
                <w:color w:val="000000" w:themeColor="text1"/>
                <w:highlight w:val="none"/>
                <w14:textFill>
                  <w14:solidFill>
                    <w14:schemeClr w14:val="tx1"/>
                  </w14:solidFill>
                </w14:textFill>
              </w:rPr>
            </w:pPr>
          </w:p>
        </w:tc>
      </w:tr>
      <w:tr w14:paraId="5DCBD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2417" w:type="dxa"/>
            <w:noWrap w:val="0"/>
            <w:vAlign w:val="center"/>
          </w:tcPr>
          <w:p w14:paraId="7A3B7F1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cs="仿宋_GB2312"/>
                <w:color w:val="000000" w:themeColor="text1"/>
                <w:sz w:val="28"/>
                <w:szCs w:val="28"/>
                <w:highlight w:val="none"/>
                <w14:textFill>
                  <w14:solidFill>
                    <w14:schemeClr w14:val="tx1"/>
                  </w14:solidFill>
                </w14:textFill>
              </w:rPr>
            </w:pPr>
            <w:r>
              <w:rPr>
                <w:rFonts w:hint="eastAsia" w:cs="仿宋_GB2312"/>
                <w:color w:val="000000" w:themeColor="text1"/>
                <w:sz w:val="28"/>
                <w:szCs w:val="28"/>
                <w:highlight w:val="none"/>
                <w14:textFill>
                  <w14:solidFill>
                    <w14:schemeClr w14:val="tx1"/>
                  </w14:solidFill>
                </w14:textFill>
              </w:rPr>
              <w:t>发包人名称</w:t>
            </w:r>
          </w:p>
        </w:tc>
        <w:tc>
          <w:tcPr>
            <w:tcW w:w="6106" w:type="dxa"/>
            <w:noWrap w:val="0"/>
            <w:vAlign w:val="center"/>
          </w:tcPr>
          <w:p w14:paraId="4917A6AB">
            <w:pPr>
              <w:pageBreakBefore w:val="0"/>
              <w:wordWrap/>
              <w:topLinePunct w:val="0"/>
              <w:bidi w:val="0"/>
              <w:spacing w:line="560" w:lineRule="exact"/>
              <w:jc w:val="center"/>
              <w:rPr>
                <w:rFonts w:hint="eastAsia" w:cs="仿宋_GB2312"/>
                <w:color w:val="000000" w:themeColor="text1"/>
                <w:highlight w:val="none"/>
                <w14:textFill>
                  <w14:solidFill>
                    <w14:schemeClr w14:val="tx1"/>
                  </w14:solidFill>
                </w14:textFill>
              </w:rPr>
            </w:pPr>
          </w:p>
        </w:tc>
      </w:tr>
      <w:tr w14:paraId="6DB02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2417" w:type="dxa"/>
            <w:noWrap w:val="0"/>
            <w:vAlign w:val="center"/>
          </w:tcPr>
          <w:p w14:paraId="22BDF3C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cs="仿宋_GB2312"/>
                <w:color w:val="000000" w:themeColor="text1"/>
                <w:sz w:val="28"/>
                <w:szCs w:val="28"/>
                <w:highlight w:val="none"/>
                <w14:textFill>
                  <w14:solidFill>
                    <w14:schemeClr w14:val="tx1"/>
                  </w14:solidFill>
                </w14:textFill>
              </w:rPr>
            </w:pPr>
            <w:r>
              <w:rPr>
                <w:rFonts w:hint="eastAsia" w:cs="仿宋_GB2312"/>
                <w:color w:val="000000" w:themeColor="text1"/>
                <w:sz w:val="28"/>
                <w:szCs w:val="28"/>
                <w:highlight w:val="none"/>
                <w14:textFill>
                  <w14:solidFill>
                    <w14:schemeClr w14:val="tx1"/>
                  </w14:solidFill>
                </w14:textFill>
              </w:rPr>
              <w:t>合同价格</w:t>
            </w:r>
          </w:p>
        </w:tc>
        <w:tc>
          <w:tcPr>
            <w:tcW w:w="6106" w:type="dxa"/>
            <w:noWrap w:val="0"/>
            <w:vAlign w:val="center"/>
          </w:tcPr>
          <w:p w14:paraId="6FED9DE7">
            <w:pPr>
              <w:pageBreakBefore w:val="0"/>
              <w:wordWrap/>
              <w:topLinePunct w:val="0"/>
              <w:bidi w:val="0"/>
              <w:spacing w:line="560" w:lineRule="exact"/>
              <w:jc w:val="center"/>
              <w:rPr>
                <w:rFonts w:hint="eastAsia" w:cs="仿宋_GB2312"/>
                <w:color w:val="000000" w:themeColor="text1"/>
                <w:highlight w:val="none"/>
                <w14:textFill>
                  <w14:solidFill>
                    <w14:schemeClr w14:val="tx1"/>
                  </w14:solidFill>
                </w14:textFill>
              </w:rPr>
            </w:pPr>
          </w:p>
        </w:tc>
      </w:tr>
      <w:tr w14:paraId="6EB1C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2417" w:type="dxa"/>
            <w:noWrap w:val="0"/>
            <w:vAlign w:val="center"/>
          </w:tcPr>
          <w:p w14:paraId="6F03C64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cs="仿宋_GB2312"/>
                <w:color w:val="000000" w:themeColor="text1"/>
                <w:sz w:val="28"/>
                <w:szCs w:val="28"/>
                <w:highlight w:val="none"/>
                <w14:textFill>
                  <w14:solidFill>
                    <w14:schemeClr w14:val="tx1"/>
                  </w14:solidFill>
                </w14:textFill>
              </w:rPr>
            </w:pPr>
            <w:r>
              <w:rPr>
                <w:rFonts w:hint="eastAsia" w:cs="仿宋_GB2312"/>
                <w:color w:val="000000" w:themeColor="text1"/>
                <w:sz w:val="28"/>
                <w:szCs w:val="28"/>
                <w:highlight w:val="none"/>
                <w14:textFill>
                  <w14:solidFill>
                    <w14:schemeClr w14:val="tx1"/>
                  </w14:solidFill>
                </w14:textFill>
              </w:rPr>
              <w:t>服务期限</w:t>
            </w:r>
          </w:p>
        </w:tc>
        <w:tc>
          <w:tcPr>
            <w:tcW w:w="6106" w:type="dxa"/>
            <w:noWrap w:val="0"/>
            <w:vAlign w:val="center"/>
          </w:tcPr>
          <w:p w14:paraId="297FD4A1">
            <w:pPr>
              <w:pageBreakBefore w:val="0"/>
              <w:wordWrap/>
              <w:topLinePunct w:val="0"/>
              <w:bidi w:val="0"/>
              <w:spacing w:line="560" w:lineRule="exact"/>
              <w:jc w:val="center"/>
              <w:rPr>
                <w:rFonts w:hint="eastAsia" w:cs="仿宋_GB2312"/>
                <w:color w:val="000000" w:themeColor="text1"/>
                <w:highlight w:val="none"/>
                <w14:textFill>
                  <w14:solidFill>
                    <w14:schemeClr w14:val="tx1"/>
                  </w14:solidFill>
                </w14:textFill>
              </w:rPr>
            </w:pPr>
          </w:p>
        </w:tc>
      </w:tr>
      <w:tr w14:paraId="0877D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2417" w:type="dxa"/>
            <w:noWrap w:val="0"/>
            <w:vAlign w:val="center"/>
          </w:tcPr>
          <w:p w14:paraId="7FEB4B4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cs="仿宋_GB2312"/>
                <w:color w:val="000000" w:themeColor="text1"/>
                <w:sz w:val="28"/>
                <w:szCs w:val="28"/>
                <w:highlight w:val="none"/>
                <w14:textFill>
                  <w14:solidFill>
                    <w14:schemeClr w14:val="tx1"/>
                  </w14:solidFill>
                </w14:textFill>
              </w:rPr>
            </w:pPr>
            <w:r>
              <w:rPr>
                <w:rFonts w:hint="eastAsia" w:cs="仿宋_GB2312"/>
                <w:color w:val="000000" w:themeColor="text1"/>
                <w:sz w:val="28"/>
                <w:szCs w:val="28"/>
                <w:highlight w:val="none"/>
                <w14:textFill>
                  <w14:solidFill>
                    <w14:schemeClr w14:val="tx1"/>
                  </w14:solidFill>
                </w14:textFill>
              </w:rPr>
              <w:t>承担的工作</w:t>
            </w:r>
          </w:p>
        </w:tc>
        <w:tc>
          <w:tcPr>
            <w:tcW w:w="6106" w:type="dxa"/>
            <w:noWrap w:val="0"/>
            <w:vAlign w:val="center"/>
          </w:tcPr>
          <w:p w14:paraId="4A8B56D4">
            <w:pPr>
              <w:pageBreakBefore w:val="0"/>
              <w:wordWrap/>
              <w:topLinePunct w:val="0"/>
              <w:bidi w:val="0"/>
              <w:spacing w:line="560" w:lineRule="exact"/>
              <w:jc w:val="center"/>
              <w:rPr>
                <w:rFonts w:hint="eastAsia" w:cs="仿宋_GB2312"/>
                <w:color w:val="000000" w:themeColor="text1"/>
                <w:highlight w:val="none"/>
                <w14:textFill>
                  <w14:solidFill>
                    <w14:schemeClr w14:val="tx1"/>
                  </w14:solidFill>
                </w14:textFill>
              </w:rPr>
            </w:pPr>
          </w:p>
        </w:tc>
      </w:tr>
      <w:tr w14:paraId="57F31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2417" w:type="dxa"/>
            <w:noWrap w:val="0"/>
            <w:vAlign w:val="center"/>
          </w:tcPr>
          <w:p w14:paraId="32E7314F">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cs="仿宋_GB2312"/>
                <w:color w:val="000000" w:themeColor="text1"/>
                <w:sz w:val="28"/>
                <w:szCs w:val="28"/>
                <w:highlight w:val="none"/>
                <w14:textFill>
                  <w14:solidFill>
                    <w14:schemeClr w14:val="tx1"/>
                  </w14:solidFill>
                </w14:textFill>
              </w:rPr>
            </w:pPr>
            <w:r>
              <w:rPr>
                <w:rFonts w:hint="eastAsia" w:cs="仿宋_GB2312"/>
                <w:color w:val="000000" w:themeColor="text1"/>
                <w:sz w:val="28"/>
                <w:szCs w:val="28"/>
                <w:highlight w:val="none"/>
                <w14:textFill>
                  <w14:solidFill>
                    <w14:schemeClr w14:val="tx1"/>
                  </w14:solidFill>
                </w14:textFill>
              </w:rPr>
              <w:t>服务质量</w:t>
            </w:r>
          </w:p>
        </w:tc>
        <w:tc>
          <w:tcPr>
            <w:tcW w:w="6106" w:type="dxa"/>
            <w:noWrap w:val="0"/>
            <w:vAlign w:val="center"/>
          </w:tcPr>
          <w:p w14:paraId="549F8335">
            <w:pPr>
              <w:pageBreakBefore w:val="0"/>
              <w:wordWrap/>
              <w:topLinePunct w:val="0"/>
              <w:bidi w:val="0"/>
              <w:spacing w:line="560" w:lineRule="exact"/>
              <w:jc w:val="center"/>
              <w:rPr>
                <w:rFonts w:hint="eastAsia" w:cs="仿宋_GB2312"/>
                <w:color w:val="000000" w:themeColor="text1"/>
                <w:highlight w:val="none"/>
                <w14:textFill>
                  <w14:solidFill>
                    <w14:schemeClr w14:val="tx1"/>
                  </w14:solidFill>
                </w14:textFill>
              </w:rPr>
            </w:pPr>
          </w:p>
        </w:tc>
      </w:tr>
      <w:tr w14:paraId="7C4D2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2417" w:type="dxa"/>
            <w:noWrap w:val="0"/>
            <w:vAlign w:val="center"/>
          </w:tcPr>
          <w:p w14:paraId="31BDF57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cs="仿宋_GB2312"/>
                <w:color w:val="000000" w:themeColor="text1"/>
                <w:sz w:val="28"/>
                <w:szCs w:val="28"/>
                <w:highlight w:val="none"/>
                <w14:textFill>
                  <w14:solidFill>
                    <w14:schemeClr w14:val="tx1"/>
                  </w14:solidFill>
                </w14:textFill>
              </w:rPr>
            </w:pPr>
            <w:r>
              <w:rPr>
                <w:rFonts w:hint="eastAsia" w:cs="仿宋_GB2312"/>
                <w:color w:val="000000" w:themeColor="text1"/>
                <w:sz w:val="28"/>
                <w:szCs w:val="28"/>
                <w:highlight w:val="none"/>
                <w14:textFill>
                  <w14:solidFill>
                    <w14:schemeClr w14:val="tx1"/>
                  </w14:solidFill>
                </w14:textFill>
              </w:rPr>
              <w:t>项目负责人</w:t>
            </w:r>
          </w:p>
        </w:tc>
        <w:tc>
          <w:tcPr>
            <w:tcW w:w="6106" w:type="dxa"/>
            <w:noWrap w:val="0"/>
            <w:vAlign w:val="center"/>
          </w:tcPr>
          <w:p w14:paraId="3B0A9080">
            <w:pPr>
              <w:pageBreakBefore w:val="0"/>
              <w:wordWrap/>
              <w:topLinePunct w:val="0"/>
              <w:bidi w:val="0"/>
              <w:spacing w:line="560" w:lineRule="exact"/>
              <w:jc w:val="center"/>
              <w:rPr>
                <w:rFonts w:hint="eastAsia" w:cs="仿宋_GB2312"/>
                <w:color w:val="000000" w:themeColor="text1"/>
                <w:highlight w:val="none"/>
                <w14:textFill>
                  <w14:solidFill>
                    <w14:schemeClr w14:val="tx1"/>
                  </w14:solidFill>
                </w14:textFill>
              </w:rPr>
            </w:pPr>
          </w:p>
        </w:tc>
      </w:tr>
      <w:tr w14:paraId="4237F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2417" w:type="dxa"/>
            <w:noWrap w:val="0"/>
            <w:vAlign w:val="center"/>
          </w:tcPr>
          <w:p w14:paraId="24C88FCE">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cs="仿宋_GB2312"/>
                <w:color w:val="000000" w:themeColor="text1"/>
                <w:sz w:val="28"/>
                <w:szCs w:val="28"/>
                <w:highlight w:val="none"/>
                <w14:textFill>
                  <w14:solidFill>
                    <w14:schemeClr w14:val="tx1"/>
                  </w14:solidFill>
                </w14:textFill>
              </w:rPr>
            </w:pPr>
            <w:r>
              <w:rPr>
                <w:rFonts w:hint="eastAsia" w:cs="仿宋_GB2312"/>
                <w:color w:val="000000" w:themeColor="text1"/>
                <w:sz w:val="28"/>
                <w:szCs w:val="28"/>
                <w:highlight w:val="none"/>
                <w14:textFill>
                  <w14:solidFill>
                    <w14:schemeClr w14:val="tx1"/>
                  </w14:solidFill>
                </w14:textFill>
              </w:rPr>
              <w:t>项目描述</w:t>
            </w:r>
          </w:p>
        </w:tc>
        <w:tc>
          <w:tcPr>
            <w:tcW w:w="6106" w:type="dxa"/>
            <w:noWrap w:val="0"/>
            <w:vAlign w:val="center"/>
          </w:tcPr>
          <w:p w14:paraId="20D28D69">
            <w:pPr>
              <w:pageBreakBefore w:val="0"/>
              <w:wordWrap/>
              <w:topLinePunct w:val="0"/>
              <w:bidi w:val="0"/>
              <w:spacing w:line="560" w:lineRule="exact"/>
              <w:jc w:val="center"/>
              <w:rPr>
                <w:rFonts w:hint="eastAsia" w:cs="仿宋_GB2312"/>
                <w:color w:val="000000" w:themeColor="text1"/>
                <w:highlight w:val="none"/>
                <w14:textFill>
                  <w14:solidFill>
                    <w14:schemeClr w14:val="tx1"/>
                  </w14:solidFill>
                </w14:textFill>
              </w:rPr>
            </w:pPr>
          </w:p>
        </w:tc>
      </w:tr>
      <w:tr w14:paraId="343C7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2417" w:type="dxa"/>
            <w:noWrap w:val="0"/>
            <w:vAlign w:val="center"/>
          </w:tcPr>
          <w:p w14:paraId="19F0CFC2">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cs="仿宋_GB2312"/>
                <w:color w:val="000000" w:themeColor="text1"/>
                <w:sz w:val="28"/>
                <w:szCs w:val="28"/>
                <w:highlight w:val="none"/>
                <w14:textFill>
                  <w14:solidFill>
                    <w14:schemeClr w14:val="tx1"/>
                  </w14:solidFill>
                </w14:textFill>
              </w:rPr>
            </w:pPr>
            <w:r>
              <w:rPr>
                <w:rFonts w:hint="eastAsia" w:cs="仿宋_GB2312"/>
                <w:color w:val="000000" w:themeColor="text1"/>
                <w:sz w:val="28"/>
                <w:szCs w:val="28"/>
                <w:highlight w:val="none"/>
                <w14:textFill>
                  <w14:solidFill>
                    <w14:schemeClr w14:val="tx1"/>
                  </w14:solidFill>
                </w14:textFill>
              </w:rPr>
              <w:t>备注</w:t>
            </w:r>
          </w:p>
        </w:tc>
        <w:tc>
          <w:tcPr>
            <w:tcW w:w="6106" w:type="dxa"/>
            <w:noWrap w:val="0"/>
            <w:vAlign w:val="center"/>
          </w:tcPr>
          <w:p w14:paraId="16286D03">
            <w:pPr>
              <w:pageBreakBefore w:val="0"/>
              <w:wordWrap/>
              <w:topLinePunct w:val="0"/>
              <w:bidi w:val="0"/>
              <w:spacing w:line="560" w:lineRule="exact"/>
              <w:jc w:val="center"/>
              <w:rPr>
                <w:rFonts w:hint="eastAsia" w:cs="仿宋_GB2312"/>
                <w:color w:val="000000" w:themeColor="text1"/>
                <w:highlight w:val="none"/>
                <w14:textFill>
                  <w14:solidFill>
                    <w14:schemeClr w14:val="tx1"/>
                  </w14:solidFill>
                </w14:textFill>
              </w:rPr>
            </w:pPr>
          </w:p>
        </w:tc>
      </w:tr>
    </w:tbl>
    <w:p w14:paraId="07387544">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Theme="minorEastAsia" w:hAnsiTheme="minorEastAsia" w:eastAsiaTheme="minorEastAsia" w:cstheme="minorEastAsia"/>
          <w:color w:val="000000" w:themeColor="text1"/>
          <w:kern w:val="0"/>
          <w:sz w:val="28"/>
          <w:szCs w:val="28"/>
          <w:highlight w:val="none"/>
          <w:lang w:val="zh-CN"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注：</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可按上述的格式自行编制，须随表提交相应的合同</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或</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中标通知书。</w:t>
      </w:r>
      <w:r>
        <w:rPr>
          <w:rFonts w:hint="eastAsia" w:asciiTheme="minorEastAsia" w:hAnsiTheme="minorEastAsia" w:eastAsiaTheme="minorEastAsia"/>
          <w:bCs/>
          <w:color w:val="000000" w:themeColor="text1"/>
          <w:kern w:val="0"/>
          <w:sz w:val="28"/>
          <w:szCs w:val="28"/>
          <w:highlight w:val="none"/>
          <w:lang w:eastAsia="zh-CN"/>
          <w14:textFill>
            <w14:solidFill>
              <w14:schemeClr w14:val="tx1"/>
            </w14:solidFill>
          </w14:textFill>
        </w:rPr>
        <w:t>类似业绩：</w:t>
      </w:r>
      <w:r>
        <w:rPr>
          <w:rFonts w:hint="eastAsia" w:asciiTheme="minorEastAsia" w:hAnsiTheme="minorEastAsia" w:eastAsiaTheme="minorEastAsia"/>
          <w:bCs/>
          <w:color w:val="000000" w:themeColor="text1"/>
          <w:kern w:val="0"/>
          <w:sz w:val="28"/>
          <w:szCs w:val="28"/>
          <w:highlight w:val="none"/>
          <w14:textFill>
            <w14:solidFill>
              <w14:schemeClr w14:val="tx1"/>
            </w14:solidFill>
          </w14:textFill>
        </w:rPr>
        <w:t>近三年（202</w:t>
      </w:r>
      <w:r>
        <w:rPr>
          <w:rFonts w:hint="eastAsia" w:asciiTheme="minorEastAsia" w:hAnsiTheme="minorEastAsia" w:eastAsiaTheme="minorEastAsia"/>
          <w:bCs/>
          <w:color w:val="000000" w:themeColor="text1"/>
          <w:kern w:val="0"/>
          <w:sz w:val="28"/>
          <w:szCs w:val="28"/>
          <w:highlight w:val="none"/>
          <w:lang w:val="en-US" w:eastAsia="zh-CN"/>
          <w14:textFill>
            <w14:solidFill>
              <w14:schemeClr w14:val="tx1"/>
            </w14:solidFill>
          </w14:textFill>
        </w:rPr>
        <w:t>2</w:t>
      </w:r>
      <w:r>
        <w:rPr>
          <w:rFonts w:hint="eastAsia" w:asciiTheme="minorEastAsia" w:hAnsiTheme="minorEastAsia" w:eastAsiaTheme="minorEastAsia"/>
          <w:bCs/>
          <w:color w:val="000000" w:themeColor="text1"/>
          <w:kern w:val="0"/>
          <w:sz w:val="28"/>
          <w:szCs w:val="28"/>
          <w:highlight w:val="none"/>
          <w14:textFill>
            <w14:solidFill>
              <w14:schemeClr w14:val="tx1"/>
            </w14:solidFill>
          </w14:textFill>
        </w:rPr>
        <w:t>年</w:t>
      </w:r>
      <w:r>
        <w:rPr>
          <w:rFonts w:hint="eastAsia" w:asciiTheme="minorEastAsia" w:hAnsiTheme="minorEastAsia" w:eastAsiaTheme="minorEastAsia"/>
          <w:bCs/>
          <w:color w:val="000000" w:themeColor="text1"/>
          <w:kern w:val="0"/>
          <w:sz w:val="28"/>
          <w:szCs w:val="28"/>
          <w:highlight w:val="none"/>
          <w:lang w:val="en-US" w:eastAsia="zh-CN"/>
          <w14:textFill>
            <w14:solidFill>
              <w14:schemeClr w14:val="tx1"/>
            </w14:solidFill>
          </w14:textFill>
        </w:rPr>
        <w:t>1月1日</w:t>
      </w:r>
      <w:r>
        <w:rPr>
          <w:rFonts w:hint="eastAsia" w:asciiTheme="minorEastAsia" w:hAnsiTheme="minorEastAsia" w:eastAsiaTheme="minorEastAsia"/>
          <w:bCs/>
          <w:color w:val="000000" w:themeColor="text1"/>
          <w:kern w:val="0"/>
          <w:sz w:val="28"/>
          <w:szCs w:val="28"/>
          <w:highlight w:val="none"/>
          <w14:textFill>
            <w14:solidFill>
              <w14:schemeClr w14:val="tx1"/>
            </w14:solidFill>
          </w14:textFill>
        </w:rPr>
        <w:t>-至今）</w:t>
      </w:r>
      <w:r>
        <w:rPr>
          <w:rFonts w:hint="eastAsia" w:asciiTheme="minorEastAsia" w:hAnsiTheme="minorEastAsia" w:eastAsiaTheme="minorEastAsia"/>
          <w:bCs/>
          <w:color w:val="000000" w:themeColor="text1"/>
          <w:kern w:val="0"/>
          <w:sz w:val="28"/>
          <w:szCs w:val="28"/>
          <w:highlight w:val="none"/>
          <w:lang w:eastAsia="zh-CN"/>
          <w14:textFill>
            <w14:solidFill>
              <w14:schemeClr w14:val="tx1"/>
            </w14:solidFill>
          </w14:textFill>
        </w:rPr>
        <w:t>。</w:t>
      </w:r>
    </w:p>
    <w:p w14:paraId="4A2F443F">
      <w:pPr>
        <w:keepNext w:val="0"/>
        <w:keepLines w:val="0"/>
        <w:pageBreakBefore w:val="0"/>
        <w:widowControl w:val="0"/>
        <w:kinsoku/>
        <w:wordWrap/>
        <w:overflowPunct/>
        <w:topLinePunct w:val="0"/>
        <w:autoSpaceDE/>
        <w:autoSpaceDN/>
        <w:bidi w:val="0"/>
        <w:adjustRightInd/>
        <w:snapToGrid w:val="0"/>
        <w:spacing w:line="560" w:lineRule="exact"/>
        <w:ind w:left="0" w:leftChars="0"/>
        <w:jc w:val="center"/>
        <w:textAlignment w:val="auto"/>
        <w:rPr>
          <w:rFonts w:hint="eastAsia" w:asciiTheme="minorEastAsia" w:hAnsiTheme="minorEastAsia" w:eastAsiaTheme="minorEastAsia" w:cstheme="minorEastAsia"/>
          <w:color w:val="000000" w:themeColor="text1"/>
          <w:kern w:val="0"/>
          <w:sz w:val="28"/>
          <w:szCs w:val="28"/>
          <w:highlight w:val="none"/>
          <w:lang w:val="zh-CN"/>
          <w14:textFill>
            <w14:solidFill>
              <w14:schemeClr w14:val="tx1"/>
            </w14:solidFill>
          </w14:textFill>
        </w:rPr>
      </w:pPr>
    </w:p>
    <w:p w14:paraId="74745182">
      <w:pPr>
        <w:pageBreakBefore w:val="0"/>
        <w:widowControl/>
        <w:wordWrap/>
        <w:topLinePunct w:val="0"/>
        <w:bidi w:val="0"/>
        <w:spacing w:line="560" w:lineRule="exact"/>
        <w:jc w:val="left"/>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ascii="仿宋_GB2312" w:hAnsi="仿宋" w:eastAsia="仿宋_GB2312" w:cs="仿宋_GB2312"/>
          <w:color w:val="000000" w:themeColor="text1"/>
          <w:kern w:val="0"/>
          <w:sz w:val="24"/>
          <w:highlight w:val="none"/>
          <w:lang w:val="zh-CN"/>
          <w14:textFill>
            <w14:solidFill>
              <w14:schemeClr w14:val="tx1"/>
            </w14:solidFill>
          </w14:textFill>
        </w:rPr>
        <w:br w:type="page"/>
      </w:r>
    </w:p>
    <w:p w14:paraId="26A0B6E1">
      <w:pPr>
        <w:pageBreakBefore w:val="0"/>
        <w:wordWrap/>
        <w:topLinePunct w:val="0"/>
        <w:bidi w:val="0"/>
        <w:snapToGrid w:val="0"/>
        <w:spacing w:before="165" w:beforeLines="50" w:after="50" w:line="560" w:lineRule="exact"/>
        <w:ind w:firstLine="602" w:firstLineChars="200"/>
        <w:jc w:val="center"/>
        <w:rPr>
          <w:b/>
          <w:bCs/>
          <w:color w:val="000000" w:themeColor="text1"/>
          <w:sz w:val="30"/>
          <w:szCs w:val="30"/>
          <w:highlight w:val="none"/>
          <w14:textFill>
            <w14:solidFill>
              <w14:schemeClr w14:val="tx1"/>
            </w14:solidFill>
          </w14:textFill>
        </w:rPr>
      </w:pPr>
      <w:r>
        <w:rPr>
          <w:rFonts w:hint="eastAsia"/>
          <w:b/>
          <w:bCs/>
          <w:color w:val="000000" w:themeColor="text1"/>
          <w:sz w:val="30"/>
          <w:szCs w:val="30"/>
          <w:highlight w:val="none"/>
          <w:lang w:eastAsia="zh-CN"/>
          <w14:textFill>
            <w14:solidFill>
              <w14:schemeClr w14:val="tx1"/>
            </w14:solidFill>
          </w14:textFill>
        </w:rPr>
        <w:t>七</w:t>
      </w:r>
      <w:r>
        <w:rPr>
          <w:rFonts w:hint="eastAsia"/>
          <w:b/>
          <w:bCs/>
          <w:color w:val="000000" w:themeColor="text1"/>
          <w:sz w:val="30"/>
          <w:szCs w:val="30"/>
          <w:highlight w:val="none"/>
          <w14:textFill>
            <w14:solidFill>
              <w14:schemeClr w14:val="tx1"/>
            </w14:solidFill>
          </w14:textFill>
        </w:rPr>
        <w:t>、项目负责人简历表</w:t>
      </w:r>
    </w:p>
    <w:tbl>
      <w:tblPr>
        <w:tblStyle w:val="34"/>
        <w:tblW w:w="10095" w:type="dxa"/>
        <w:jc w:val="center"/>
        <w:tblLayout w:type="fixed"/>
        <w:tblCellMar>
          <w:top w:w="0" w:type="dxa"/>
          <w:left w:w="108" w:type="dxa"/>
          <w:bottom w:w="0" w:type="dxa"/>
          <w:right w:w="108" w:type="dxa"/>
        </w:tblCellMar>
      </w:tblPr>
      <w:tblGrid>
        <w:gridCol w:w="1096"/>
        <w:gridCol w:w="730"/>
        <w:gridCol w:w="890"/>
        <w:gridCol w:w="915"/>
        <w:gridCol w:w="1412"/>
        <w:gridCol w:w="836"/>
        <w:gridCol w:w="1495"/>
        <w:gridCol w:w="474"/>
        <w:gridCol w:w="2247"/>
      </w:tblGrid>
      <w:tr w14:paraId="5A27261A">
        <w:tblPrEx>
          <w:tblCellMar>
            <w:top w:w="0" w:type="dxa"/>
            <w:left w:w="108" w:type="dxa"/>
            <w:bottom w:w="0" w:type="dxa"/>
            <w:right w:w="108" w:type="dxa"/>
          </w:tblCellMar>
        </w:tblPrEx>
        <w:trPr>
          <w:trHeight w:val="1174" w:hRule="exact"/>
          <w:jc w:val="center"/>
        </w:trPr>
        <w:tc>
          <w:tcPr>
            <w:tcW w:w="1096" w:type="dxa"/>
            <w:tcBorders>
              <w:top w:val="single" w:color="000000" w:sz="4" w:space="0"/>
              <w:left w:val="single" w:color="000000" w:sz="4" w:space="0"/>
              <w:bottom w:val="single" w:color="000000" w:sz="4" w:space="0"/>
              <w:right w:val="single" w:color="000000" w:sz="4" w:space="0"/>
            </w:tcBorders>
            <w:vAlign w:val="center"/>
          </w:tcPr>
          <w:p w14:paraId="192630EB">
            <w:pPr>
              <w:pStyle w:val="93"/>
              <w:keepNext w:val="0"/>
              <w:keepLines w:val="0"/>
              <w:pageBreakBefore w:val="0"/>
              <w:widowControl w:val="0"/>
              <w:tabs>
                <w:tab w:val="left" w:pos="692"/>
              </w:tabs>
              <w:kinsoku/>
              <w:wordWrap/>
              <w:overflowPunct w:val="0"/>
              <w:topLinePunct w:val="0"/>
              <w:autoSpaceDE/>
              <w:autoSpaceDN/>
              <w:bidi w:val="0"/>
              <w:adjustRightInd/>
              <w:snapToGrid/>
              <w:spacing w:line="560" w:lineRule="exact"/>
              <w:ind w:left="0" w:right="0" w:firstLine="0"/>
              <w:jc w:val="center"/>
              <w:textAlignment w:val="auto"/>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姓名</w:t>
            </w:r>
          </w:p>
        </w:tc>
        <w:tc>
          <w:tcPr>
            <w:tcW w:w="1620" w:type="dxa"/>
            <w:gridSpan w:val="2"/>
            <w:tcBorders>
              <w:top w:val="single" w:color="000000" w:sz="4" w:space="0"/>
              <w:left w:val="single" w:color="000000" w:sz="4" w:space="0"/>
              <w:bottom w:val="single" w:color="000000" w:sz="4" w:space="0"/>
              <w:right w:val="single" w:color="000000" w:sz="4" w:space="0"/>
            </w:tcBorders>
            <w:vAlign w:val="center"/>
          </w:tcPr>
          <w:p w14:paraId="2CC3F61E">
            <w:pPr>
              <w:keepNext w:val="0"/>
              <w:keepLines w:val="0"/>
              <w:pageBreakBefore w:val="0"/>
              <w:widowControl w:val="0"/>
              <w:kinsoku/>
              <w:wordWrap/>
              <w:topLinePunct w:val="0"/>
              <w:autoSpaceDE/>
              <w:autoSpaceDN/>
              <w:bidi w:val="0"/>
              <w:adjustRightInd/>
              <w:snapToGrid/>
              <w:spacing w:line="560" w:lineRule="exact"/>
              <w:ind w:left="0" w:right="0" w:firstLine="0"/>
              <w:jc w:val="center"/>
              <w:textAlignment w:val="auto"/>
              <w:rPr>
                <w:rFonts w:ascii="宋体" w:hAnsi="宋体" w:cs="宋体"/>
                <w:color w:val="000000" w:themeColor="text1"/>
                <w:sz w:val="28"/>
                <w:szCs w:val="28"/>
                <w:highlight w:val="none"/>
                <w14:textFill>
                  <w14:solidFill>
                    <w14:schemeClr w14:val="tx1"/>
                  </w14:solidFill>
                </w14:textFill>
              </w:rPr>
            </w:pPr>
          </w:p>
        </w:tc>
        <w:tc>
          <w:tcPr>
            <w:tcW w:w="915" w:type="dxa"/>
            <w:tcBorders>
              <w:top w:val="single" w:color="000000" w:sz="4" w:space="0"/>
              <w:left w:val="single" w:color="000000" w:sz="4" w:space="0"/>
              <w:bottom w:val="single" w:color="000000" w:sz="4" w:space="0"/>
              <w:right w:val="single" w:color="000000" w:sz="4" w:space="0"/>
            </w:tcBorders>
            <w:vAlign w:val="center"/>
          </w:tcPr>
          <w:p w14:paraId="7D2C8574">
            <w:pPr>
              <w:pStyle w:val="93"/>
              <w:keepNext w:val="0"/>
              <w:keepLines w:val="0"/>
              <w:pageBreakBefore w:val="0"/>
              <w:widowControl w:val="0"/>
              <w:kinsoku/>
              <w:wordWrap/>
              <w:overflowPunct w:val="0"/>
              <w:topLinePunct w:val="0"/>
              <w:autoSpaceDE/>
              <w:autoSpaceDN/>
              <w:bidi w:val="0"/>
              <w:adjustRightInd/>
              <w:snapToGrid/>
              <w:spacing w:line="560" w:lineRule="exact"/>
              <w:ind w:left="0" w:right="0" w:firstLine="0"/>
              <w:jc w:val="center"/>
              <w:textAlignment w:val="auto"/>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年龄</w:t>
            </w:r>
          </w:p>
        </w:tc>
        <w:tc>
          <w:tcPr>
            <w:tcW w:w="1412" w:type="dxa"/>
            <w:tcBorders>
              <w:top w:val="single" w:color="000000" w:sz="4" w:space="0"/>
              <w:left w:val="single" w:color="000000" w:sz="4" w:space="0"/>
              <w:bottom w:val="single" w:color="000000" w:sz="4" w:space="0"/>
              <w:right w:val="single" w:color="000000" w:sz="4" w:space="0"/>
            </w:tcBorders>
            <w:vAlign w:val="center"/>
          </w:tcPr>
          <w:p w14:paraId="41AA9198">
            <w:pPr>
              <w:keepNext w:val="0"/>
              <w:keepLines w:val="0"/>
              <w:pageBreakBefore w:val="0"/>
              <w:widowControl w:val="0"/>
              <w:kinsoku/>
              <w:wordWrap/>
              <w:topLinePunct w:val="0"/>
              <w:autoSpaceDE/>
              <w:autoSpaceDN/>
              <w:bidi w:val="0"/>
              <w:adjustRightInd/>
              <w:snapToGrid/>
              <w:spacing w:line="560" w:lineRule="exact"/>
              <w:ind w:left="0" w:right="0" w:firstLine="0"/>
              <w:jc w:val="center"/>
              <w:textAlignment w:val="auto"/>
              <w:rPr>
                <w:rFonts w:ascii="宋体" w:hAnsi="宋体" w:cs="宋体"/>
                <w:color w:val="000000" w:themeColor="text1"/>
                <w:sz w:val="28"/>
                <w:szCs w:val="28"/>
                <w:highlight w:val="none"/>
                <w14:textFill>
                  <w14:solidFill>
                    <w14:schemeClr w14:val="tx1"/>
                  </w14:solidFill>
                </w14:textFill>
              </w:rPr>
            </w:pPr>
          </w:p>
        </w:tc>
        <w:tc>
          <w:tcPr>
            <w:tcW w:w="2805" w:type="dxa"/>
            <w:gridSpan w:val="3"/>
            <w:tcBorders>
              <w:top w:val="single" w:color="000000" w:sz="4" w:space="0"/>
              <w:left w:val="single" w:color="000000" w:sz="4" w:space="0"/>
              <w:bottom w:val="single" w:color="000000" w:sz="4" w:space="0"/>
              <w:right w:val="single" w:color="000000" w:sz="4" w:space="0"/>
            </w:tcBorders>
            <w:vAlign w:val="center"/>
          </w:tcPr>
          <w:p w14:paraId="194D3D74">
            <w:pPr>
              <w:pStyle w:val="93"/>
              <w:keepNext w:val="0"/>
              <w:keepLines w:val="0"/>
              <w:pageBreakBefore w:val="0"/>
              <w:widowControl w:val="0"/>
              <w:kinsoku/>
              <w:wordWrap/>
              <w:overflowPunct w:val="0"/>
              <w:topLinePunct w:val="0"/>
              <w:autoSpaceDE/>
              <w:autoSpaceDN/>
              <w:bidi w:val="0"/>
              <w:adjustRightInd/>
              <w:snapToGrid/>
              <w:spacing w:line="560" w:lineRule="exact"/>
              <w:ind w:left="0" w:right="0" w:firstLine="0"/>
              <w:jc w:val="center"/>
              <w:textAlignment w:val="auto"/>
              <w:rPr>
                <w:rFonts w:hAnsi="宋体" w:cs="宋体"/>
                <w:color w:val="000000" w:themeColor="text1"/>
                <w:sz w:val="28"/>
                <w:szCs w:val="28"/>
                <w:highlight w:val="none"/>
                <w:lang w:eastAsia="zh-CN"/>
                <w14:textFill>
                  <w14:solidFill>
                    <w14:schemeClr w14:val="tx1"/>
                  </w14:solidFill>
                </w14:textFill>
              </w:rPr>
            </w:pPr>
            <w:r>
              <w:rPr>
                <w:rFonts w:hint="eastAsia" w:hAnsi="宋体" w:cs="宋体"/>
                <w:color w:val="000000" w:themeColor="text1"/>
                <w:sz w:val="28"/>
                <w:szCs w:val="28"/>
                <w:highlight w:val="none"/>
                <w:lang w:eastAsia="zh-CN"/>
                <w14:textFill>
                  <w14:solidFill>
                    <w14:schemeClr w14:val="tx1"/>
                  </w14:solidFill>
                </w14:textFill>
              </w:rPr>
              <w:t>执业资格证书（或上岗证书）名称（如有）</w:t>
            </w:r>
          </w:p>
        </w:tc>
        <w:tc>
          <w:tcPr>
            <w:tcW w:w="2247" w:type="dxa"/>
            <w:tcBorders>
              <w:top w:val="single" w:color="000000" w:sz="4" w:space="0"/>
              <w:left w:val="single" w:color="000000" w:sz="4" w:space="0"/>
              <w:bottom w:val="single" w:color="000000" w:sz="4" w:space="0"/>
              <w:right w:val="single" w:color="000000" w:sz="4" w:space="0"/>
            </w:tcBorders>
            <w:vAlign w:val="center"/>
          </w:tcPr>
          <w:p w14:paraId="1965D763">
            <w:pPr>
              <w:keepNext w:val="0"/>
              <w:keepLines w:val="0"/>
              <w:pageBreakBefore w:val="0"/>
              <w:widowControl w:val="0"/>
              <w:kinsoku/>
              <w:wordWrap/>
              <w:topLinePunct w:val="0"/>
              <w:autoSpaceDE/>
              <w:autoSpaceDN/>
              <w:bidi w:val="0"/>
              <w:adjustRightInd/>
              <w:snapToGrid/>
              <w:spacing w:line="560" w:lineRule="exact"/>
              <w:ind w:left="0" w:right="0" w:firstLine="0"/>
              <w:jc w:val="center"/>
              <w:textAlignment w:val="auto"/>
              <w:rPr>
                <w:rFonts w:ascii="宋体" w:hAnsi="宋体" w:cs="宋体"/>
                <w:color w:val="000000" w:themeColor="text1"/>
                <w:sz w:val="28"/>
                <w:szCs w:val="28"/>
                <w:highlight w:val="none"/>
                <w14:textFill>
                  <w14:solidFill>
                    <w14:schemeClr w14:val="tx1"/>
                  </w14:solidFill>
                </w14:textFill>
              </w:rPr>
            </w:pPr>
          </w:p>
        </w:tc>
      </w:tr>
      <w:tr w14:paraId="26B232C2">
        <w:tblPrEx>
          <w:tblCellMar>
            <w:top w:w="0" w:type="dxa"/>
            <w:left w:w="108" w:type="dxa"/>
            <w:bottom w:w="0" w:type="dxa"/>
            <w:right w:w="108" w:type="dxa"/>
          </w:tblCellMar>
        </w:tblPrEx>
        <w:trPr>
          <w:trHeight w:val="950" w:hRule="exact"/>
          <w:jc w:val="center"/>
        </w:trPr>
        <w:tc>
          <w:tcPr>
            <w:tcW w:w="1096" w:type="dxa"/>
            <w:tcBorders>
              <w:top w:val="single" w:color="000000" w:sz="4" w:space="0"/>
              <w:left w:val="single" w:color="000000" w:sz="4" w:space="0"/>
              <w:bottom w:val="single" w:color="000000" w:sz="4" w:space="0"/>
              <w:right w:val="single" w:color="000000" w:sz="4" w:space="0"/>
            </w:tcBorders>
            <w:vAlign w:val="center"/>
          </w:tcPr>
          <w:p w14:paraId="44F80EBE">
            <w:pPr>
              <w:pStyle w:val="93"/>
              <w:keepNext w:val="0"/>
              <w:keepLines w:val="0"/>
              <w:pageBreakBefore w:val="0"/>
              <w:widowControl w:val="0"/>
              <w:tabs>
                <w:tab w:val="left" w:pos="692"/>
              </w:tabs>
              <w:kinsoku/>
              <w:wordWrap/>
              <w:overflowPunct w:val="0"/>
              <w:topLinePunct w:val="0"/>
              <w:autoSpaceDE/>
              <w:autoSpaceDN/>
              <w:bidi w:val="0"/>
              <w:adjustRightInd/>
              <w:snapToGrid/>
              <w:spacing w:line="560" w:lineRule="exact"/>
              <w:ind w:left="0" w:right="0" w:firstLine="0"/>
              <w:jc w:val="center"/>
              <w:textAlignment w:val="auto"/>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职称</w:t>
            </w:r>
          </w:p>
        </w:tc>
        <w:tc>
          <w:tcPr>
            <w:tcW w:w="1620" w:type="dxa"/>
            <w:gridSpan w:val="2"/>
            <w:tcBorders>
              <w:top w:val="single" w:color="000000" w:sz="4" w:space="0"/>
              <w:left w:val="single" w:color="000000" w:sz="4" w:space="0"/>
              <w:bottom w:val="single" w:color="000000" w:sz="4" w:space="0"/>
              <w:right w:val="single" w:color="000000" w:sz="4" w:space="0"/>
            </w:tcBorders>
            <w:vAlign w:val="center"/>
          </w:tcPr>
          <w:p w14:paraId="032AF081">
            <w:pPr>
              <w:keepNext w:val="0"/>
              <w:keepLines w:val="0"/>
              <w:pageBreakBefore w:val="0"/>
              <w:widowControl w:val="0"/>
              <w:kinsoku/>
              <w:wordWrap/>
              <w:topLinePunct w:val="0"/>
              <w:autoSpaceDE/>
              <w:autoSpaceDN/>
              <w:bidi w:val="0"/>
              <w:adjustRightInd/>
              <w:snapToGrid/>
              <w:spacing w:line="560" w:lineRule="exact"/>
              <w:ind w:left="0" w:right="0" w:firstLine="0"/>
              <w:jc w:val="center"/>
              <w:textAlignment w:val="auto"/>
              <w:rPr>
                <w:rFonts w:ascii="宋体" w:hAnsi="宋体" w:cs="宋体"/>
                <w:color w:val="000000" w:themeColor="text1"/>
                <w:sz w:val="28"/>
                <w:szCs w:val="28"/>
                <w:highlight w:val="none"/>
                <w14:textFill>
                  <w14:solidFill>
                    <w14:schemeClr w14:val="tx1"/>
                  </w14:solidFill>
                </w14:textFill>
              </w:rPr>
            </w:pPr>
          </w:p>
        </w:tc>
        <w:tc>
          <w:tcPr>
            <w:tcW w:w="915" w:type="dxa"/>
            <w:tcBorders>
              <w:top w:val="single" w:color="000000" w:sz="4" w:space="0"/>
              <w:left w:val="single" w:color="000000" w:sz="4" w:space="0"/>
              <w:bottom w:val="single" w:color="000000" w:sz="4" w:space="0"/>
              <w:right w:val="single" w:color="000000" w:sz="4" w:space="0"/>
            </w:tcBorders>
            <w:vAlign w:val="center"/>
          </w:tcPr>
          <w:p w14:paraId="42493531">
            <w:pPr>
              <w:pStyle w:val="93"/>
              <w:keepNext w:val="0"/>
              <w:keepLines w:val="0"/>
              <w:pageBreakBefore w:val="0"/>
              <w:widowControl w:val="0"/>
              <w:kinsoku/>
              <w:wordWrap/>
              <w:overflowPunct w:val="0"/>
              <w:topLinePunct w:val="0"/>
              <w:autoSpaceDE/>
              <w:autoSpaceDN/>
              <w:bidi w:val="0"/>
              <w:adjustRightInd/>
              <w:snapToGrid/>
              <w:spacing w:line="560" w:lineRule="exact"/>
              <w:ind w:left="0" w:right="0" w:firstLine="0"/>
              <w:jc w:val="center"/>
              <w:textAlignment w:val="auto"/>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学历</w:t>
            </w:r>
          </w:p>
        </w:tc>
        <w:tc>
          <w:tcPr>
            <w:tcW w:w="1412" w:type="dxa"/>
            <w:tcBorders>
              <w:top w:val="single" w:color="000000" w:sz="4" w:space="0"/>
              <w:left w:val="single" w:color="000000" w:sz="4" w:space="0"/>
              <w:bottom w:val="single" w:color="000000" w:sz="4" w:space="0"/>
              <w:right w:val="single" w:color="000000" w:sz="4" w:space="0"/>
            </w:tcBorders>
            <w:vAlign w:val="center"/>
          </w:tcPr>
          <w:p w14:paraId="1245C948">
            <w:pPr>
              <w:keepNext w:val="0"/>
              <w:keepLines w:val="0"/>
              <w:pageBreakBefore w:val="0"/>
              <w:widowControl w:val="0"/>
              <w:kinsoku/>
              <w:wordWrap/>
              <w:topLinePunct w:val="0"/>
              <w:autoSpaceDE/>
              <w:autoSpaceDN/>
              <w:bidi w:val="0"/>
              <w:adjustRightInd/>
              <w:snapToGrid/>
              <w:spacing w:line="560" w:lineRule="exact"/>
              <w:ind w:left="0" w:right="0" w:firstLine="0"/>
              <w:jc w:val="center"/>
              <w:textAlignment w:val="auto"/>
              <w:rPr>
                <w:rFonts w:ascii="宋体" w:hAnsi="宋体" w:cs="宋体"/>
                <w:color w:val="000000" w:themeColor="text1"/>
                <w:sz w:val="28"/>
                <w:szCs w:val="28"/>
                <w:highlight w:val="none"/>
                <w14:textFill>
                  <w14:solidFill>
                    <w14:schemeClr w14:val="tx1"/>
                  </w14:solidFill>
                </w14:textFill>
              </w:rPr>
            </w:pPr>
          </w:p>
        </w:tc>
        <w:tc>
          <w:tcPr>
            <w:tcW w:w="2805" w:type="dxa"/>
            <w:gridSpan w:val="3"/>
            <w:tcBorders>
              <w:top w:val="single" w:color="000000" w:sz="4" w:space="0"/>
              <w:left w:val="single" w:color="000000" w:sz="4" w:space="0"/>
              <w:bottom w:val="single" w:color="000000" w:sz="4" w:space="0"/>
              <w:right w:val="single" w:color="000000" w:sz="4" w:space="0"/>
            </w:tcBorders>
            <w:vAlign w:val="center"/>
          </w:tcPr>
          <w:p w14:paraId="0AA4A8C1">
            <w:pPr>
              <w:pStyle w:val="93"/>
              <w:keepNext w:val="0"/>
              <w:keepLines w:val="0"/>
              <w:pageBreakBefore w:val="0"/>
              <w:widowControl w:val="0"/>
              <w:kinsoku/>
              <w:wordWrap/>
              <w:overflowPunct w:val="0"/>
              <w:topLinePunct w:val="0"/>
              <w:autoSpaceDE/>
              <w:autoSpaceDN/>
              <w:bidi w:val="0"/>
              <w:adjustRightInd/>
              <w:snapToGrid/>
              <w:spacing w:line="560" w:lineRule="exact"/>
              <w:ind w:left="0" w:right="0" w:firstLine="0"/>
              <w:jc w:val="center"/>
              <w:textAlignment w:val="auto"/>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拟在本项目任职</w:t>
            </w:r>
          </w:p>
        </w:tc>
        <w:tc>
          <w:tcPr>
            <w:tcW w:w="2247" w:type="dxa"/>
            <w:tcBorders>
              <w:top w:val="single" w:color="000000" w:sz="4" w:space="0"/>
              <w:left w:val="single" w:color="000000" w:sz="4" w:space="0"/>
              <w:bottom w:val="single" w:color="000000" w:sz="4" w:space="0"/>
              <w:right w:val="single" w:color="000000" w:sz="4" w:space="0"/>
            </w:tcBorders>
            <w:vAlign w:val="center"/>
          </w:tcPr>
          <w:p w14:paraId="22F325CE">
            <w:pPr>
              <w:keepNext w:val="0"/>
              <w:keepLines w:val="0"/>
              <w:pageBreakBefore w:val="0"/>
              <w:widowControl w:val="0"/>
              <w:kinsoku/>
              <w:wordWrap/>
              <w:topLinePunct w:val="0"/>
              <w:autoSpaceDE/>
              <w:autoSpaceDN/>
              <w:bidi w:val="0"/>
              <w:adjustRightInd/>
              <w:snapToGrid/>
              <w:spacing w:line="560" w:lineRule="exact"/>
              <w:ind w:left="0" w:right="0" w:firstLine="0"/>
              <w:jc w:val="center"/>
              <w:textAlignment w:val="auto"/>
              <w:rPr>
                <w:rFonts w:ascii="宋体" w:hAnsi="宋体" w:cs="宋体"/>
                <w:color w:val="000000" w:themeColor="text1"/>
                <w:sz w:val="28"/>
                <w:szCs w:val="28"/>
                <w:highlight w:val="none"/>
                <w14:textFill>
                  <w14:solidFill>
                    <w14:schemeClr w14:val="tx1"/>
                  </w14:solidFill>
                </w14:textFill>
              </w:rPr>
            </w:pPr>
          </w:p>
        </w:tc>
      </w:tr>
      <w:tr w14:paraId="1CD17DAC">
        <w:tblPrEx>
          <w:tblCellMar>
            <w:top w:w="0" w:type="dxa"/>
            <w:left w:w="108" w:type="dxa"/>
            <w:bottom w:w="0" w:type="dxa"/>
            <w:right w:w="108" w:type="dxa"/>
          </w:tblCellMar>
        </w:tblPrEx>
        <w:trPr>
          <w:trHeight w:val="1002" w:hRule="exact"/>
          <w:jc w:val="center"/>
        </w:trPr>
        <w:tc>
          <w:tcPr>
            <w:tcW w:w="1096" w:type="dxa"/>
            <w:tcBorders>
              <w:top w:val="single" w:color="000000" w:sz="4" w:space="0"/>
              <w:left w:val="single" w:color="000000" w:sz="4" w:space="0"/>
              <w:bottom w:val="single" w:color="000000" w:sz="4" w:space="0"/>
              <w:right w:val="single" w:color="000000" w:sz="4" w:space="0"/>
            </w:tcBorders>
            <w:vAlign w:val="center"/>
          </w:tcPr>
          <w:p w14:paraId="0CA0551A">
            <w:pPr>
              <w:pStyle w:val="93"/>
              <w:keepNext w:val="0"/>
              <w:keepLines w:val="0"/>
              <w:pageBreakBefore w:val="0"/>
              <w:widowControl w:val="0"/>
              <w:kinsoku/>
              <w:wordWrap/>
              <w:overflowPunct w:val="0"/>
              <w:topLinePunct w:val="0"/>
              <w:autoSpaceDE/>
              <w:autoSpaceDN/>
              <w:bidi w:val="0"/>
              <w:adjustRightInd/>
              <w:snapToGrid/>
              <w:spacing w:line="560" w:lineRule="exact"/>
              <w:ind w:left="0" w:right="0" w:firstLine="0"/>
              <w:jc w:val="center"/>
              <w:textAlignment w:val="auto"/>
              <w:rPr>
                <w:rFonts w:hint="eastAsia"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工作</w:t>
            </w:r>
          </w:p>
          <w:p w14:paraId="4E679F5C">
            <w:pPr>
              <w:pStyle w:val="93"/>
              <w:keepNext w:val="0"/>
              <w:keepLines w:val="0"/>
              <w:pageBreakBefore w:val="0"/>
              <w:widowControl w:val="0"/>
              <w:kinsoku/>
              <w:wordWrap/>
              <w:overflowPunct w:val="0"/>
              <w:topLinePunct w:val="0"/>
              <w:autoSpaceDE/>
              <w:autoSpaceDN/>
              <w:bidi w:val="0"/>
              <w:adjustRightInd/>
              <w:snapToGrid/>
              <w:spacing w:line="560" w:lineRule="exact"/>
              <w:ind w:left="0" w:right="0" w:firstLine="0"/>
              <w:jc w:val="center"/>
              <w:textAlignment w:val="auto"/>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年限</w:t>
            </w:r>
          </w:p>
        </w:tc>
        <w:tc>
          <w:tcPr>
            <w:tcW w:w="3947" w:type="dxa"/>
            <w:gridSpan w:val="4"/>
            <w:tcBorders>
              <w:top w:val="single" w:color="000000" w:sz="4" w:space="0"/>
              <w:left w:val="single" w:color="000000" w:sz="4" w:space="0"/>
              <w:bottom w:val="single" w:color="000000" w:sz="4" w:space="0"/>
              <w:right w:val="single" w:color="000000" w:sz="4" w:space="0"/>
            </w:tcBorders>
            <w:vAlign w:val="center"/>
          </w:tcPr>
          <w:p w14:paraId="56CB42BE">
            <w:pPr>
              <w:keepNext w:val="0"/>
              <w:keepLines w:val="0"/>
              <w:pageBreakBefore w:val="0"/>
              <w:widowControl w:val="0"/>
              <w:kinsoku/>
              <w:wordWrap/>
              <w:topLinePunct w:val="0"/>
              <w:autoSpaceDE/>
              <w:autoSpaceDN/>
              <w:bidi w:val="0"/>
              <w:adjustRightInd/>
              <w:snapToGrid/>
              <w:spacing w:line="560" w:lineRule="exact"/>
              <w:ind w:left="0" w:right="0" w:firstLine="0"/>
              <w:jc w:val="center"/>
              <w:textAlignment w:val="auto"/>
              <w:rPr>
                <w:rFonts w:ascii="宋体" w:hAnsi="宋体" w:cs="宋体"/>
                <w:color w:val="000000" w:themeColor="text1"/>
                <w:sz w:val="28"/>
                <w:szCs w:val="28"/>
                <w:highlight w:val="none"/>
                <w14:textFill>
                  <w14:solidFill>
                    <w14:schemeClr w14:val="tx1"/>
                  </w14:solidFill>
                </w14:textFill>
              </w:rPr>
            </w:pPr>
          </w:p>
        </w:tc>
        <w:tc>
          <w:tcPr>
            <w:tcW w:w="2805" w:type="dxa"/>
            <w:gridSpan w:val="3"/>
            <w:tcBorders>
              <w:top w:val="single" w:color="000000" w:sz="4" w:space="0"/>
              <w:left w:val="single" w:color="000000" w:sz="4" w:space="0"/>
              <w:bottom w:val="single" w:color="000000" w:sz="4" w:space="0"/>
              <w:right w:val="single" w:color="000000" w:sz="4" w:space="0"/>
            </w:tcBorders>
            <w:vAlign w:val="center"/>
          </w:tcPr>
          <w:p w14:paraId="722041A1">
            <w:pPr>
              <w:pStyle w:val="93"/>
              <w:keepNext w:val="0"/>
              <w:keepLines w:val="0"/>
              <w:pageBreakBefore w:val="0"/>
              <w:widowControl w:val="0"/>
              <w:kinsoku/>
              <w:wordWrap/>
              <w:overflowPunct w:val="0"/>
              <w:topLinePunct w:val="0"/>
              <w:autoSpaceDE/>
              <w:autoSpaceDN/>
              <w:bidi w:val="0"/>
              <w:adjustRightInd/>
              <w:snapToGrid/>
              <w:spacing w:line="560" w:lineRule="exact"/>
              <w:ind w:left="0" w:right="0" w:firstLine="0"/>
              <w:jc w:val="center"/>
              <w:textAlignment w:val="auto"/>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从事该岗位工作年限</w:t>
            </w:r>
          </w:p>
        </w:tc>
        <w:tc>
          <w:tcPr>
            <w:tcW w:w="2247" w:type="dxa"/>
            <w:tcBorders>
              <w:top w:val="single" w:color="000000" w:sz="4" w:space="0"/>
              <w:left w:val="single" w:color="000000" w:sz="4" w:space="0"/>
              <w:bottom w:val="single" w:color="000000" w:sz="4" w:space="0"/>
              <w:right w:val="single" w:color="000000" w:sz="4" w:space="0"/>
            </w:tcBorders>
            <w:vAlign w:val="center"/>
          </w:tcPr>
          <w:p w14:paraId="637D2A20">
            <w:pPr>
              <w:keepNext w:val="0"/>
              <w:keepLines w:val="0"/>
              <w:pageBreakBefore w:val="0"/>
              <w:widowControl w:val="0"/>
              <w:kinsoku/>
              <w:wordWrap/>
              <w:topLinePunct w:val="0"/>
              <w:autoSpaceDE/>
              <w:autoSpaceDN/>
              <w:bidi w:val="0"/>
              <w:adjustRightInd/>
              <w:snapToGrid/>
              <w:spacing w:line="560" w:lineRule="exact"/>
              <w:ind w:left="0" w:right="0" w:firstLine="0"/>
              <w:jc w:val="center"/>
              <w:textAlignment w:val="auto"/>
              <w:rPr>
                <w:rFonts w:ascii="宋体" w:hAnsi="宋体" w:cs="宋体"/>
                <w:color w:val="000000" w:themeColor="text1"/>
                <w:sz w:val="28"/>
                <w:szCs w:val="28"/>
                <w:highlight w:val="none"/>
                <w14:textFill>
                  <w14:solidFill>
                    <w14:schemeClr w14:val="tx1"/>
                  </w14:solidFill>
                </w14:textFill>
              </w:rPr>
            </w:pPr>
          </w:p>
        </w:tc>
      </w:tr>
      <w:tr w14:paraId="6416F2A6">
        <w:tblPrEx>
          <w:tblCellMar>
            <w:top w:w="0" w:type="dxa"/>
            <w:left w:w="108" w:type="dxa"/>
            <w:bottom w:w="0" w:type="dxa"/>
            <w:right w:w="108" w:type="dxa"/>
          </w:tblCellMar>
        </w:tblPrEx>
        <w:trPr>
          <w:trHeight w:val="1146" w:hRule="exact"/>
          <w:jc w:val="center"/>
        </w:trPr>
        <w:tc>
          <w:tcPr>
            <w:tcW w:w="1096" w:type="dxa"/>
            <w:tcBorders>
              <w:top w:val="single" w:color="000000" w:sz="4" w:space="0"/>
              <w:left w:val="single" w:color="000000" w:sz="4" w:space="0"/>
              <w:bottom w:val="single" w:color="000000" w:sz="4" w:space="0"/>
              <w:right w:val="single" w:color="000000" w:sz="4" w:space="0"/>
            </w:tcBorders>
            <w:vAlign w:val="center"/>
          </w:tcPr>
          <w:p w14:paraId="4F9456D4">
            <w:pPr>
              <w:pStyle w:val="93"/>
              <w:keepNext w:val="0"/>
              <w:keepLines w:val="0"/>
              <w:pageBreakBefore w:val="0"/>
              <w:widowControl w:val="0"/>
              <w:kinsoku/>
              <w:wordWrap/>
              <w:overflowPunct w:val="0"/>
              <w:topLinePunct w:val="0"/>
              <w:autoSpaceDE/>
              <w:autoSpaceDN/>
              <w:bidi w:val="0"/>
              <w:adjustRightInd/>
              <w:snapToGrid/>
              <w:spacing w:line="560" w:lineRule="exact"/>
              <w:ind w:left="0" w:right="0" w:firstLine="0"/>
              <w:jc w:val="center"/>
              <w:textAlignment w:val="auto"/>
              <w:rPr>
                <w:rFonts w:hint="eastAsia"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毕业</w:t>
            </w:r>
          </w:p>
          <w:p w14:paraId="5490D1E9">
            <w:pPr>
              <w:pStyle w:val="93"/>
              <w:keepNext w:val="0"/>
              <w:keepLines w:val="0"/>
              <w:pageBreakBefore w:val="0"/>
              <w:widowControl w:val="0"/>
              <w:kinsoku/>
              <w:wordWrap/>
              <w:overflowPunct w:val="0"/>
              <w:topLinePunct w:val="0"/>
              <w:autoSpaceDE/>
              <w:autoSpaceDN/>
              <w:bidi w:val="0"/>
              <w:adjustRightInd/>
              <w:snapToGrid/>
              <w:spacing w:line="560" w:lineRule="exact"/>
              <w:ind w:left="0" w:right="0" w:firstLine="0"/>
              <w:jc w:val="center"/>
              <w:textAlignment w:val="auto"/>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学校</w:t>
            </w:r>
          </w:p>
        </w:tc>
        <w:tc>
          <w:tcPr>
            <w:tcW w:w="8999" w:type="dxa"/>
            <w:gridSpan w:val="8"/>
            <w:tcBorders>
              <w:top w:val="single" w:color="000000" w:sz="4" w:space="0"/>
              <w:left w:val="single" w:color="000000" w:sz="4" w:space="0"/>
              <w:bottom w:val="single" w:color="000000" w:sz="4" w:space="0"/>
              <w:right w:val="single" w:color="000000" w:sz="4" w:space="0"/>
            </w:tcBorders>
            <w:vAlign w:val="center"/>
          </w:tcPr>
          <w:p w14:paraId="140933CF">
            <w:pPr>
              <w:pStyle w:val="93"/>
              <w:keepNext w:val="0"/>
              <w:keepLines w:val="0"/>
              <w:pageBreakBefore w:val="0"/>
              <w:widowControl w:val="0"/>
              <w:tabs>
                <w:tab w:val="left" w:pos="3357"/>
                <w:tab w:val="left" w:pos="4617"/>
              </w:tabs>
              <w:kinsoku/>
              <w:wordWrap/>
              <w:overflowPunct w:val="0"/>
              <w:topLinePunct w:val="0"/>
              <w:autoSpaceDE/>
              <w:autoSpaceDN/>
              <w:bidi w:val="0"/>
              <w:adjustRightInd/>
              <w:snapToGrid/>
              <w:spacing w:line="560" w:lineRule="exact"/>
              <w:ind w:left="0" w:right="0" w:firstLine="0"/>
              <w:jc w:val="center"/>
              <w:textAlignment w:val="auto"/>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年毕业于</w:t>
            </w:r>
            <w:r>
              <w:rPr>
                <w:rFonts w:hint="eastAsia" w:hAnsi="宋体" w:cs="宋体"/>
                <w:color w:val="000000" w:themeColor="text1"/>
                <w:sz w:val="28"/>
                <w:szCs w:val="28"/>
                <w:highlight w:val="none"/>
                <w14:textFill>
                  <w14:solidFill>
                    <w14:schemeClr w14:val="tx1"/>
                  </w14:solidFill>
                </w14:textFill>
              </w:rPr>
              <w:tab/>
            </w:r>
            <w:r>
              <w:rPr>
                <w:rFonts w:hint="eastAsia" w:hAnsi="宋体" w:cs="宋体"/>
                <w:color w:val="000000" w:themeColor="text1"/>
                <w:sz w:val="28"/>
                <w:szCs w:val="28"/>
                <w:highlight w:val="none"/>
                <w14:textFill>
                  <w14:solidFill>
                    <w14:schemeClr w14:val="tx1"/>
                  </w14:solidFill>
                </w14:textFill>
              </w:rPr>
              <w:t>学校</w:t>
            </w:r>
            <w:r>
              <w:rPr>
                <w:rFonts w:hint="eastAsia" w:hAnsi="宋体" w:cs="宋体"/>
                <w:color w:val="000000" w:themeColor="text1"/>
                <w:sz w:val="28"/>
                <w:szCs w:val="28"/>
                <w:highlight w:val="none"/>
                <w14:textFill>
                  <w14:solidFill>
                    <w14:schemeClr w14:val="tx1"/>
                  </w14:solidFill>
                </w14:textFill>
              </w:rPr>
              <w:tab/>
            </w:r>
            <w:r>
              <w:rPr>
                <w:rFonts w:hint="eastAsia" w:hAnsi="宋体" w:cs="宋体"/>
                <w:color w:val="000000" w:themeColor="text1"/>
                <w:sz w:val="28"/>
                <w:szCs w:val="28"/>
                <w:highlight w:val="none"/>
                <w:lang w:val="en-US" w:eastAsia="zh-CN"/>
                <w14:textFill>
                  <w14:solidFill>
                    <w14:schemeClr w14:val="tx1"/>
                  </w14:solidFill>
                </w14:textFill>
              </w:rPr>
              <w:t xml:space="preserve">   </w:t>
            </w:r>
            <w:r>
              <w:rPr>
                <w:rFonts w:hint="eastAsia" w:hAnsi="宋体" w:cs="宋体"/>
                <w:color w:val="000000" w:themeColor="text1"/>
                <w:sz w:val="28"/>
                <w:szCs w:val="28"/>
                <w:highlight w:val="none"/>
                <w14:textFill>
                  <w14:solidFill>
                    <w14:schemeClr w14:val="tx1"/>
                  </w14:solidFill>
                </w14:textFill>
              </w:rPr>
              <w:t>专业</w:t>
            </w:r>
          </w:p>
        </w:tc>
      </w:tr>
      <w:tr w14:paraId="288E4577">
        <w:tblPrEx>
          <w:tblCellMar>
            <w:top w:w="0" w:type="dxa"/>
            <w:left w:w="108" w:type="dxa"/>
            <w:bottom w:w="0" w:type="dxa"/>
            <w:right w:w="108" w:type="dxa"/>
          </w:tblCellMar>
        </w:tblPrEx>
        <w:trPr>
          <w:trHeight w:val="642" w:hRule="atLeast"/>
          <w:jc w:val="center"/>
        </w:trPr>
        <w:tc>
          <w:tcPr>
            <w:tcW w:w="10095" w:type="dxa"/>
            <w:gridSpan w:val="9"/>
            <w:tcBorders>
              <w:top w:val="single" w:color="000000" w:sz="4" w:space="0"/>
              <w:left w:val="single" w:color="000000" w:sz="4" w:space="0"/>
              <w:bottom w:val="single" w:color="000000" w:sz="4" w:space="0"/>
              <w:right w:val="single" w:color="000000" w:sz="4" w:space="0"/>
            </w:tcBorders>
            <w:vAlign w:val="center"/>
          </w:tcPr>
          <w:p w14:paraId="5EF4DB61">
            <w:pPr>
              <w:pStyle w:val="93"/>
              <w:keepNext w:val="0"/>
              <w:keepLines w:val="0"/>
              <w:pageBreakBefore w:val="0"/>
              <w:widowControl w:val="0"/>
              <w:kinsoku/>
              <w:wordWrap/>
              <w:overflowPunct w:val="0"/>
              <w:topLinePunct w:val="0"/>
              <w:autoSpaceDE/>
              <w:autoSpaceDN/>
              <w:bidi w:val="0"/>
              <w:adjustRightInd/>
              <w:snapToGrid/>
              <w:spacing w:line="560" w:lineRule="exact"/>
              <w:ind w:left="0" w:right="0" w:firstLine="0"/>
              <w:jc w:val="center"/>
              <w:textAlignment w:val="auto"/>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主要工作经历</w:t>
            </w:r>
          </w:p>
        </w:tc>
      </w:tr>
      <w:tr w14:paraId="05DECF31">
        <w:tblPrEx>
          <w:tblCellMar>
            <w:top w:w="0" w:type="dxa"/>
            <w:left w:w="108" w:type="dxa"/>
            <w:bottom w:w="0" w:type="dxa"/>
            <w:right w:w="108" w:type="dxa"/>
          </w:tblCellMar>
        </w:tblPrEx>
        <w:trPr>
          <w:trHeight w:val="662" w:hRule="exact"/>
          <w:jc w:val="center"/>
        </w:trPr>
        <w:tc>
          <w:tcPr>
            <w:tcW w:w="1826" w:type="dxa"/>
            <w:gridSpan w:val="2"/>
            <w:tcBorders>
              <w:top w:val="single" w:color="000000" w:sz="4" w:space="0"/>
              <w:left w:val="single" w:color="000000" w:sz="4" w:space="0"/>
              <w:bottom w:val="single" w:color="000000" w:sz="4" w:space="0"/>
              <w:right w:val="single" w:color="000000" w:sz="4" w:space="0"/>
            </w:tcBorders>
            <w:vAlign w:val="center"/>
          </w:tcPr>
          <w:p w14:paraId="6DC0F188">
            <w:pPr>
              <w:pStyle w:val="93"/>
              <w:keepNext w:val="0"/>
              <w:keepLines w:val="0"/>
              <w:pageBreakBefore w:val="0"/>
              <w:widowControl w:val="0"/>
              <w:tabs>
                <w:tab w:val="left" w:pos="871"/>
              </w:tabs>
              <w:kinsoku/>
              <w:wordWrap/>
              <w:overflowPunct w:val="0"/>
              <w:topLinePunct w:val="0"/>
              <w:autoSpaceDE/>
              <w:autoSpaceDN/>
              <w:bidi w:val="0"/>
              <w:adjustRightInd/>
              <w:snapToGrid/>
              <w:spacing w:line="560" w:lineRule="exact"/>
              <w:ind w:left="0" w:right="0" w:firstLine="0"/>
              <w:jc w:val="center"/>
              <w:textAlignment w:val="auto"/>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时</w:t>
            </w:r>
            <w:r>
              <w:rPr>
                <w:rFonts w:hint="eastAsia" w:hAnsi="宋体" w:cs="宋体"/>
                <w:color w:val="000000" w:themeColor="text1"/>
                <w:sz w:val="28"/>
                <w:szCs w:val="28"/>
                <w:highlight w:val="none"/>
                <w14:textFill>
                  <w14:solidFill>
                    <w14:schemeClr w14:val="tx1"/>
                  </w14:solidFill>
                </w14:textFill>
              </w:rPr>
              <w:tab/>
            </w:r>
            <w:r>
              <w:rPr>
                <w:rFonts w:hint="eastAsia" w:hAnsi="宋体" w:cs="宋体"/>
                <w:color w:val="000000" w:themeColor="text1"/>
                <w:sz w:val="28"/>
                <w:szCs w:val="28"/>
                <w:highlight w:val="none"/>
                <w14:textFill>
                  <w14:solidFill>
                    <w14:schemeClr w14:val="tx1"/>
                  </w14:solidFill>
                </w14:textFill>
              </w:rPr>
              <w:t>间</w:t>
            </w:r>
          </w:p>
        </w:tc>
        <w:tc>
          <w:tcPr>
            <w:tcW w:w="4053" w:type="dxa"/>
            <w:gridSpan w:val="4"/>
            <w:tcBorders>
              <w:top w:val="single" w:color="000000" w:sz="4" w:space="0"/>
              <w:left w:val="single" w:color="000000" w:sz="4" w:space="0"/>
              <w:bottom w:val="single" w:color="000000" w:sz="4" w:space="0"/>
              <w:right w:val="single" w:color="000000" w:sz="4" w:space="0"/>
            </w:tcBorders>
            <w:vAlign w:val="center"/>
          </w:tcPr>
          <w:p w14:paraId="4F286B3C">
            <w:pPr>
              <w:pStyle w:val="93"/>
              <w:keepNext w:val="0"/>
              <w:keepLines w:val="0"/>
              <w:pageBreakBefore w:val="0"/>
              <w:widowControl w:val="0"/>
              <w:kinsoku/>
              <w:wordWrap/>
              <w:overflowPunct w:val="0"/>
              <w:topLinePunct w:val="0"/>
              <w:autoSpaceDE/>
              <w:autoSpaceDN/>
              <w:bidi w:val="0"/>
              <w:adjustRightInd/>
              <w:snapToGrid/>
              <w:spacing w:line="560" w:lineRule="exact"/>
              <w:ind w:left="0" w:right="0" w:firstLine="0"/>
              <w:jc w:val="center"/>
              <w:textAlignment w:val="auto"/>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参加过的类似项目</w:t>
            </w:r>
          </w:p>
        </w:tc>
        <w:tc>
          <w:tcPr>
            <w:tcW w:w="1495" w:type="dxa"/>
            <w:tcBorders>
              <w:top w:val="single" w:color="000000" w:sz="4" w:space="0"/>
              <w:left w:val="single" w:color="000000" w:sz="4" w:space="0"/>
              <w:bottom w:val="single" w:color="000000" w:sz="4" w:space="0"/>
              <w:right w:val="single" w:color="000000" w:sz="4" w:space="0"/>
            </w:tcBorders>
            <w:vAlign w:val="center"/>
          </w:tcPr>
          <w:p w14:paraId="7C472653">
            <w:pPr>
              <w:pStyle w:val="93"/>
              <w:keepNext w:val="0"/>
              <w:keepLines w:val="0"/>
              <w:pageBreakBefore w:val="0"/>
              <w:widowControl w:val="0"/>
              <w:kinsoku/>
              <w:wordWrap/>
              <w:overflowPunct w:val="0"/>
              <w:topLinePunct w:val="0"/>
              <w:autoSpaceDE/>
              <w:autoSpaceDN/>
              <w:bidi w:val="0"/>
              <w:adjustRightInd/>
              <w:snapToGrid/>
              <w:spacing w:line="560" w:lineRule="exact"/>
              <w:ind w:left="0" w:right="0" w:firstLine="0"/>
              <w:jc w:val="center"/>
              <w:textAlignment w:val="auto"/>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担任职务</w:t>
            </w:r>
          </w:p>
        </w:tc>
        <w:tc>
          <w:tcPr>
            <w:tcW w:w="2721" w:type="dxa"/>
            <w:gridSpan w:val="2"/>
            <w:tcBorders>
              <w:top w:val="single" w:color="000000" w:sz="4" w:space="0"/>
              <w:left w:val="single" w:color="000000" w:sz="4" w:space="0"/>
              <w:bottom w:val="single" w:color="000000" w:sz="4" w:space="0"/>
              <w:right w:val="single" w:color="000000" w:sz="4" w:space="0"/>
            </w:tcBorders>
            <w:vAlign w:val="center"/>
          </w:tcPr>
          <w:p w14:paraId="37FD398A">
            <w:pPr>
              <w:pStyle w:val="93"/>
              <w:keepNext w:val="0"/>
              <w:keepLines w:val="0"/>
              <w:pageBreakBefore w:val="0"/>
              <w:widowControl w:val="0"/>
              <w:kinsoku/>
              <w:wordWrap/>
              <w:overflowPunct w:val="0"/>
              <w:topLinePunct w:val="0"/>
              <w:autoSpaceDE/>
              <w:autoSpaceDN/>
              <w:bidi w:val="0"/>
              <w:adjustRightInd/>
              <w:snapToGrid/>
              <w:spacing w:line="560" w:lineRule="exact"/>
              <w:ind w:left="0" w:right="0" w:firstLine="0"/>
              <w:jc w:val="center"/>
              <w:textAlignment w:val="auto"/>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lang w:eastAsia="zh-CN"/>
                <w14:textFill>
                  <w14:solidFill>
                    <w14:schemeClr w14:val="tx1"/>
                  </w14:solidFill>
                </w14:textFill>
              </w:rPr>
              <w:t>采购</w:t>
            </w:r>
            <w:r>
              <w:rPr>
                <w:rFonts w:hint="eastAsia" w:hAnsi="宋体" w:cs="宋体"/>
                <w:color w:val="000000" w:themeColor="text1"/>
                <w:sz w:val="28"/>
                <w:szCs w:val="28"/>
                <w:highlight w:val="none"/>
                <w14:textFill>
                  <w14:solidFill>
                    <w14:schemeClr w14:val="tx1"/>
                  </w14:solidFill>
                </w14:textFill>
              </w:rPr>
              <w:t>人</w:t>
            </w:r>
          </w:p>
        </w:tc>
      </w:tr>
      <w:tr w14:paraId="1FF21807">
        <w:tblPrEx>
          <w:tblCellMar>
            <w:top w:w="0" w:type="dxa"/>
            <w:left w:w="108" w:type="dxa"/>
            <w:bottom w:w="0" w:type="dxa"/>
            <w:right w:w="108" w:type="dxa"/>
          </w:tblCellMar>
        </w:tblPrEx>
        <w:trPr>
          <w:trHeight w:val="648" w:hRule="exact"/>
          <w:jc w:val="center"/>
        </w:trPr>
        <w:tc>
          <w:tcPr>
            <w:tcW w:w="1826" w:type="dxa"/>
            <w:gridSpan w:val="2"/>
            <w:tcBorders>
              <w:top w:val="single" w:color="000000" w:sz="4" w:space="0"/>
              <w:left w:val="single" w:color="000000" w:sz="4" w:space="0"/>
              <w:bottom w:val="single" w:color="000000" w:sz="4" w:space="0"/>
              <w:right w:val="single" w:color="000000" w:sz="4" w:space="0"/>
            </w:tcBorders>
            <w:vAlign w:val="center"/>
          </w:tcPr>
          <w:p w14:paraId="03040E93">
            <w:pPr>
              <w:keepNext w:val="0"/>
              <w:keepLines w:val="0"/>
              <w:pageBreakBefore w:val="0"/>
              <w:widowControl w:val="0"/>
              <w:kinsoku/>
              <w:wordWrap/>
              <w:topLinePunct w:val="0"/>
              <w:autoSpaceDE/>
              <w:autoSpaceDN/>
              <w:bidi w:val="0"/>
              <w:adjustRightInd/>
              <w:snapToGrid/>
              <w:spacing w:line="560" w:lineRule="exact"/>
              <w:ind w:left="0" w:right="0" w:firstLine="0"/>
              <w:jc w:val="center"/>
              <w:textAlignment w:val="auto"/>
              <w:rPr>
                <w:rFonts w:ascii="宋体" w:hAnsi="宋体" w:cs="宋体"/>
                <w:color w:val="000000" w:themeColor="text1"/>
                <w:sz w:val="28"/>
                <w:szCs w:val="28"/>
                <w:highlight w:val="none"/>
                <w14:textFill>
                  <w14:solidFill>
                    <w14:schemeClr w14:val="tx1"/>
                  </w14:solidFill>
                </w14:textFill>
              </w:rPr>
            </w:pPr>
          </w:p>
        </w:tc>
        <w:tc>
          <w:tcPr>
            <w:tcW w:w="4053" w:type="dxa"/>
            <w:gridSpan w:val="4"/>
            <w:tcBorders>
              <w:top w:val="single" w:color="000000" w:sz="4" w:space="0"/>
              <w:left w:val="single" w:color="000000" w:sz="4" w:space="0"/>
              <w:bottom w:val="single" w:color="000000" w:sz="4" w:space="0"/>
              <w:right w:val="single" w:color="000000" w:sz="4" w:space="0"/>
            </w:tcBorders>
            <w:vAlign w:val="center"/>
          </w:tcPr>
          <w:p w14:paraId="339A837F">
            <w:pPr>
              <w:keepNext w:val="0"/>
              <w:keepLines w:val="0"/>
              <w:pageBreakBefore w:val="0"/>
              <w:widowControl w:val="0"/>
              <w:kinsoku/>
              <w:wordWrap/>
              <w:topLinePunct w:val="0"/>
              <w:autoSpaceDE/>
              <w:autoSpaceDN/>
              <w:bidi w:val="0"/>
              <w:adjustRightInd/>
              <w:snapToGrid/>
              <w:spacing w:line="560" w:lineRule="exact"/>
              <w:ind w:left="0" w:right="0" w:firstLine="0"/>
              <w:jc w:val="center"/>
              <w:textAlignment w:val="auto"/>
              <w:rPr>
                <w:rFonts w:ascii="宋体" w:hAnsi="宋体" w:cs="宋体"/>
                <w:color w:val="000000" w:themeColor="text1"/>
                <w:sz w:val="28"/>
                <w:szCs w:val="28"/>
                <w:highlight w:val="none"/>
                <w14:textFill>
                  <w14:solidFill>
                    <w14:schemeClr w14:val="tx1"/>
                  </w14:solidFill>
                </w14:textFill>
              </w:rPr>
            </w:pPr>
          </w:p>
        </w:tc>
        <w:tc>
          <w:tcPr>
            <w:tcW w:w="1495" w:type="dxa"/>
            <w:tcBorders>
              <w:top w:val="single" w:color="000000" w:sz="4" w:space="0"/>
              <w:left w:val="single" w:color="000000" w:sz="4" w:space="0"/>
              <w:bottom w:val="single" w:color="000000" w:sz="4" w:space="0"/>
              <w:right w:val="single" w:color="000000" w:sz="4" w:space="0"/>
            </w:tcBorders>
            <w:vAlign w:val="center"/>
          </w:tcPr>
          <w:p w14:paraId="12A195F1">
            <w:pPr>
              <w:keepNext w:val="0"/>
              <w:keepLines w:val="0"/>
              <w:pageBreakBefore w:val="0"/>
              <w:widowControl w:val="0"/>
              <w:kinsoku/>
              <w:wordWrap/>
              <w:topLinePunct w:val="0"/>
              <w:autoSpaceDE/>
              <w:autoSpaceDN/>
              <w:bidi w:val="0"/>
              <w:adjustRightInd/>
              <w:snapToGrid/>
              <w:spacing w:line="560" w:lineRule="exact"/>
              <w:ind w:left="0" w:right="0" w:firstLine="0"/>
              <w:jc w:val="center"/>
              <w:textAlignment w:val="auto"/>
              <w:rPr>
                <w:rFonts w:ascii="宋体" w:hAnsi="宋体" w:cs="宋体"/>
                <w:color w:val="000000" w:themeColor="text1"/>
                <w:sz w:val="28"/>
                <w:szCs w:val="28"/>
                <w:highlight w:val="none"/>
                <w14:textFill>
                  <w14:solidFill>
                    <w14:schemeClr w14:val="tx1"/>
                  </w14:solidFill>
                </w14:textFill>
              </w:rPr>
            </w:pPr>
          </w:p>
        </w:tc>
        <w:tc>
          <w:tcPr>
            <w:tcW w:w="2721" w:type="dxa"/>
            <w:gridSpan w:val="2"/>
            <w:tcBorders>
              <w:top w:val="single" w:color="000000" w:sz="4" w:space="0"/>
              <w:left w:val="single" w:color="000000" w:sz="4" w:space="0"/>
              <w:bottom w:val="single" w:color="000000" w:sz="4" w:space="0"/>
              <w:right w:val="single" w:color="000000" w:sz="4" w:space="0"/>
            </w:tcBorders>
            <w:vAlign w:val="center"/>
          </w:tcPr>
          <w:p w14:paraId="50FD5F4A">
            <w:pPr>
              <w:keepNext w:val="0"/>
              <w:keepLines w:val="0"/>
              <w:pageBreakBefore w:val="0"/>
              <w:widowControl w:val="0"/>
              <w:kinsoku/>
              <w:wordWrap/>
              <w:topLinePunct w:val="0"/>
              <w:autoSpaceDE/>
              <w:autoSpaceDN/>
              <w:bidi w:val="0"/>
              <w:adjustRightInd/>
              <w:snapToGrid/>
              <w:spacing w:line="560" w:lineRule="exact"/>
              <w:ind w:left="0" w:right="0" w:firstLine="0"/>
              <w:jc w:val="center"/>
              <w:textAlignment w:val="auto"/>
              <w:rPr>
                <w:rFonts w:ascii="宋体" w:hAnsi="宋体" w:cs="宋体"/>
                <w:color w:val="000000" w:themeColor="text1"/>
                <w:sz w:val="28"/>
                <w:szCs w:val="28"/>
                <w:highlight w:val="none"/>
                <w14:textFill>
                  <w14:solidFill>
                    <w14:schemeClr w14:val="tx1"/>
                  </w14:solidFill>
                </w14:textFill>
              </w:rPr>
            </w:pPr>
          </w:p>
        </w:tc>
      </w:tr>
      <w:tr w14:paraId="148DCD5C">
        <w:tblPrEx>
          <w:tblCellMar>
            <w:top w:w="0" w:type="dxa"/>
            <w:left w:w="108" w:type="dxa"/>
            <w:bottom w:w="0" w:type="dxa"/>
            <w:right w:w="108" w:type="dxa"/>
          </w:tblCellMar>
        </w:tblPrEx>
        <w:trPr>
          <w:trHeight w:val="647" w:hRule="exact"/>
          <w:jc w:val="center"/>
        </w:trPr>
        <w:tc>
          <w:tcPr>
            <w:tcW w:w="1826" w:type="dxa"/>
            <w:gridSpan w:val="2"/>
            <w:tcBorders>
              <w:top w:val="single" w:color="000000" w:sz="4" w:space="0"/>
              <w:left w:val="single" w:color="000000" w:sz="4" w:space="0"/>
              <w:bottom w:val="single" w:color="000000" w:sz="4" w:space="0"/>
              <w:right w:val="single" w:color="000000" w:sz="4" w:space="0"/>
            </w:tcBorders>
            <w:vAlign w:val="center"/>
          </w:tcPr>
          <w:p w14:paraId="4CFD7B2E">
            <w:pPr>
              <w:keepNext w:val="0"/>
              <w:keepLines w:val="0"/>
              <w:pageBreakBefore w:val="0"/>
              <w:widowControl w:val="0"/>
              <w:kinsoku/>
              <w:wordWrap/>
              <w:topLinePunct w:val="0"/>
              <w:autoSpaceDE/>
              <w:autoSpaceDN/>
              <w:bidi w:val="0"/>
              <w:adjustRightInd/>
              <w:snapToGrid/>
              <w:spacing w:line="560" w:lineRule="exact"/>
              <w:ind w:left="0" w:right="0" w:firstLine="0"/>
              <w:jc w:val="center"/>
              <w:textAlignment w:val="auto"/>
              <w:rPr>
                <w:rFonts w:ascii="宋体" w:hAnsi="宋体" w:cs="宋体"/>
                <w:color w:val="000000" w:themeColor="text1"/>
                <w:sz w:val="28"/>
                <w:szCs w:val="28"/>
                <w:highlight w:val="none"/>
                <w14:textFill>
                  <w14:solidFill>
                    <w14:schemeClr w14:val="tx1"/>
                  </w14:solidFill>
                </w14:textFill>
              </w:rPr>
            </w:pPr>
          </w:p>
        </w:tc>
        <w:tc>
          <w:tcPr>
            <w:tcW w:w="4053" w:type="dxa"/>
            <w:gridSpan w:val="4"/>
            <w:tcBorders>
              <w:top w:val="single" w:color="000000" w:sz="4" w:space="0"/>
              <w:left w:val="single" w:color="000000" w:sz="4" w:space="0"/>
              <w:bottom w:val="single" w:color="000000" w:sz="4" w:space="0"/>
              <w:right w:val="single" w:color="000000" w:sz="4" w:space="0"/>
            </w:tcBorders>
            <w:vAlign w:val="center"/>
          </w:tcPr>
          <w:p w14:paraId="7B9C2A3F">
            <w:pPr>
              <w:keepNext w:val="0"/>
              <w:keepLines w:val="0"/>
              <w:pageBreakBefore w:val="0"/>
              <w:widowControl w:val="0"/>
              <w:kinsoku/>
              <w:wordWrap/>
              <w:topLinePunct w:val="0"/>
              <w:autoSpaceDE/>
              <w:autoSpaceDN/>
              <w:bidi w:val="0"/>
              <w:adjustRightInd/>
              <w:snapToGrid/>
              <w:spacing w:line="560" w:lineRule="exact"/>
              <w:ind w:left="0" w:right="0" w:firstLine="0"/>
              <w:jc w:val="center"/>
              <w:textAlignment w:val="auto"/>
              <w:rPr>
                <w:rFonts w:ascii="宋体" w:hAnsi="宋体" w:cs="宋体"/>
                <w:color w:val="000000" w:themeColor="text1"/>
                <w:sz w:val="28"/>
                <w:szCs w:val="28"/>
                <w:highlight w:val="none"/>
                <w14:textFill>
                  <w14:solidFill>
                    <w14:schemeClr w14:val="tx1"/>
                  </w14:solidFill>
                </w14:textFill>
              </w:rPr>
            </w:pPr>
          </w:p>
        </w:tc>
        <w:tc>
          <w:tcPr>
            <w:tcW w:w="1495" w:type="dxa"/>
            <w:tcBorders>
              <w:top w:val="single" w:color="000000" w:sz="4" w:space="0"/>
              <w:left w:val="single" w:color="000000" w:sz="4" w:space="0"/>
              <w:bottom w:val="single" w:color="000000" w:sz="4" w:space="0"/>
              <w:right w:val="single" w:color="000000" w:sz="4" w:space="0"/>
            </w:tcBorders>
            <w:vAlign w:val="center"/>
          </w:tcPr>
          <w:p w14:paraId="42B2C02C">
            <w:pPr>
              <w:keepNext w:val="0"/>
              <w:keepLines w:val="0"/>
              <w:pageBreakBefore w:val="0"/>
              <w:widowControl w:val="0"/>
              <w:kinsoku/>
              <w:wordWrap/>
              <w:topLinePunct w:val="0"/>
              <w:autoSpaceDE/>
              <w:autoSpaceDN/>
              <w:bidi w:val="0"/>
              <w:adjustRightInd/>
              <w:snapToGrid/>
              <w:spacing w:line="560" w:lineRule="exact"/>
              <w:ind w:left="0" w:right="0" w:firstLine="0"/>
              <w:jc w:val="center"/>
              <w:textAlignment w:val="auto"/>
              <w:rPr>
                <w:rFonts w:ascii="宋体" w:hAnsi="宋体" w:cs="宋体"/>
                <w:color w:val="000000" w:themeColor="text1"/>
                <w:sz w:val="28"/>
                <w:szCs w:val="28"/>
                <w:highlight w:val="none"/>
                <w14:textFill>
                  <w14:solidFill>
                    <w14:schemeClr w14:val="tx1"/>
                  </w14:solidFill>
                </w14:textFill>
              </w:rPr>
            </w:pPr>
          </w:p>
        </w:tc>
        <w:tc>
          <w:tcPr>
            <w:tcW w:w="2721" w:type="dxa"/>
            <w:gridSpan w:val="2"/>
            <w:tcBorders>
              <w:top w:val="single" w:color="000000" w:sz="4" w:space="0"/>
              <w:left w:val="single" w:color="000000" w:sz="4" w:space="0"/>
              <w:bottom w:val="single" w:color="000000" w:sz="4" w:space="0"/>
              <w:right w:val="single" w:color="000000" w:sz="4" w:space="0"/>
            </w:tcBorders>
            <w:vAlign w:val="center"/>
          </w:tcPr>
          <w:p w14:paraId="1879B840">
            <w:pPr>
              <w:keepNext w:val="0"/>
              <w:keepLines w:val="0"/>
              <w:pageBreakBefore w:val="0"/>
              <w:widowControl w:val="0"/>
              <w:kinsoku/>
              <w:wordWrap/>
              <w:topLinePunct w:val="0"/>
              <w:autoSpaceDE/>
              <w:autoSpaceDN/>
              <w:bidi w:val="0"/>
              <w:adjustRightInd/>
              <w:snapToGrid/>
              <w:spacing w:line="560" w:lineRule="exact"/>
              <w:ind w:left="0" w:right="0" w:firstLine="0"/>
              <w:jc w:val="center"/>
              <w:textAlignment w:val="auto"/>
              <w:rPr>
                <w:rFonts w:ascii="宋体" w:hAnsi="宋体" w:cs="宋体"/>
                <w:color w:val="000000" w:themeColor="text1"/>
                <w:sz w:val="28"/>
                <w:szCs w:val="28"/>
                <w:highlight w:val="none"/>
                <w14:textFill>
                  <w14:solidFill>
                    <w14:schemeClr w14:val="tx1"/>
                  </w14:solidFill>
                </w14:textFill>
              </w:rPr>
            </w:pPr>
          </w:p>
        </w:tc>
      </w:tr>
      <w:tr w14:paraId="68D71430">
        <w:tblPrEx>
          <w:tblCellMar>
            <w:top w:w="0" w:type="dxa"/>
            <w:left w:w="108" w:type="dxa"/>
            <w:bottom w:w="0" w:type="dxa"/>
            <w:right w:w="108" w:type="dxa"/>
          </w:tblCellMar>
        </w:tblPrEx>
        <w:trPr>
          <w:trHeight w:val="647" w:hRule="exact"/>
          <w:jc w:val="center"/>
        </w:trPr>
        <w:tc>
          <w:tcPr>
            <w:tcW w:w="1826" w:type="dxa"/>
            <w:gridSpan w:val="2"/>
            <w:tcBorders>
              <w:top w:val="single" w:color="000000" w:sz="4" w:space="0"/>
              <w:left w:val="single" w:color="000000" w:sz="4" w:space="0"/>
              <w:bottom w:val="single" w:color="000000" w:sz="4" w:space="0"/>
              <w:right w:val="single" w:color="000000" w:sz="4" w:space="0"/>
            </w:tcBorders>
            <w:vAlign w:val="center"/>
          </w:tcPr>
          <w:p w14:paraId="33A0A49E">
            <w:pPr>
              <w:keepNext w:val="0"/>
              <w:keepLines w:val="0"/>
              <w:pageBreakBefore w:val="0"/>
              <w:widowControl w:val="0"/>
              <w:kinsoku/>
              <w:wordWrap/>
              <w:topLinePunct w:val="0"/>
              <w:autoSpaceDE/>
              <w:autoSpaceDN/>
              <w:bidi w:val="0"/>
              <w:adjustRightInd/>
              <w:snapToGrid/>
              <w:spacing w:line="560" w:lineRule="exact"/>
              <w:ind w:left="0" w:right="0" w:firstLine="0"/>
              <w:jc w:val="center"/>
              <w:textAlignment w:val="auto"/>
              <w:rPr>
                <w:rFonts w:ascii="宋体" w:hAnsi="宋体" w:cs="宋体"/>
                <w:color w:val="000000" w:themeColor="text1"/>
                <w:sz w:val="28"/>
                <w:szCs w:val="28"/>
                <w:highlight w:val="none"/>
                <w14:textFill>
                  <w14:solidFill>
                    <w14:schemeClr w14:val="tx1"/>
                  </w14:solidFill>
                </w14:textFill>
              </w:rPr>
            </w:pPr>
          </w:p>
        </w:tc>
        <w:tc>
          <w:tcPr>
            <w:tcW w:w="4053" w:type="dxa"/>
            <w:gridSpan w:val="4"/>
            <w:tcBorders>
              <w:top w:val="single" w:color="000000" w:sz="4" w:space="0"/>
              <w:left w:val="single" w:color="000000" w:sz="4" w:space="0"/>
              <w:bottom w:val="single" w:color="000000" w:sz="4" w:space="0"/>
              <w:right w:val="single" w:color="000000" w:sz="4" w:space="0"/>
            </w:tcBorders>
            <w:vAlign w:val="center"/>
          </w:tcPr>
          <w:p w14:paraId="1466EE57">
            <w:pPr>
              <w:keepNext w:val="0"/>
              <w:keepLines w:val="0"/>
              <w:pageBreakBefore w:val="0"/>
              <w:widowControl w:val="0"/>
              <w:kinsoku/>
              <w:wordWrap/>
              <w:topLinePunct w:val="0"/>
              <w:autoSpaceDE/>
              <w:autoSpaceDN/>
              <w:bidi w:val="0"/>
              <w:adjustRightInd/>
              <w:snapToGrid/>
              <w:spacing w:line="560" w:lineRule="exact"/>
              <w:ind w:left="0" w:right="0" w:firstLine="0"/>
              <w:jc w:val="center"/>
              <w:textAlignment w:val="auto"/>
              <w:rPr>
                <w:rFonts w:ascii="宋体" w:hAnsi="宋体" w:cs="宋体"/>
                <w:color w:val="000000" w:themeColor="text1"/>
                <w:sz w:val="28"/>
                <w:szCs w:val="28"/>
                <w:highlight w:val="none"/>
                <w14:textFill>
                  <w14:solidFill>
                    <w14:schemeClr w14:val="tx1"/>
                  </w14:solidFill>
                </w14:textFill>
              </w:rPr>
            </w:pPr>
          </w:p>
        </w:tc>
        <w:tc>
          <w:tcPr>
            <w:tcW w:w="1495" w:type="dxa"/>
            <w:tcBorders>
              <w:top w:val="single" w:color="000000" w:sz="4" w:space="0"/>
              <w:left w:val="single" w:color="000000" w:sz="4" w:space="0"/>
              <w:bottom w:val="single" w:color="000000" w:sz="4" w:space="0"/>
              <w:right w:val="single" w:color="000000" w:sz="4" w:space="0"/>
            </w:tcBorders>
            <w:vAlign w:val="center"/>
          </w:tcPr>
          <w:p w14:paraId="3F5D291C">
            <w:pPr>
              <w:keepNext w:val="0"/>
              <w:keepLines w:val="0"/>
              <w:pageBreakBefore w:val="0"/>
              <w:widowControl w:val="0"/>
              <w:kinsoku/>
              <w:wordWrap/>
              <w:topLinePunct w:val="0"/>
              <w:autoSpaceDE/>
              <w:autoSpaceDN/>
              <w:bidi w:val="0"/>
              <w:adjustRightInd/>
              <w:snapToGrid/>
              <w:spacing w:line="560" w:lineRule="exact"/>
              <w:ind w:left="0" w:right="0" w:firstLine="0"/>
              <w:jc w:val="center"/>
              <w:textAlignment w:val="auto"/>
              <w:rPr>
                <w:rFonts w:ascii="宋体" w:hAnsi="宋体" w:cs="宋体"/>
                <w:color w:val="000000" w:themeColor="text1"/>
                <w:sz w:val="28"/>
                <w:szCs w:val="28"/>
                <w:highlight w:val="none"/>
                <w14:textFill>
                  <w14:solidFill>
                    <w14:schemeClr w14:val="tx1"/>
                  </w14:solidFill>
                </w14:textFill>
              </w:rPr>
            </w:pPr>
          </w:p>
        </w:tc>
        <w:tc>
          <w:tcPr>
            <w:tcW w:w="2721" w:type="dxa"/>
            <w:gridSpan w:val="2"/>
            <w:tcBorders>
              <w:top w:val="single" w:color="000000" w:sz="4" w:space="0"/>
              <w:left w:val="single" w:color="000000" w:sz="4" w:space="0"/>
              <w:bottom w:val="single" w:color="000000" w:sz="4" w:space="0"/>
              <w:right w:val="single" w:color="000000" w:sz="4" w:space="0"/>
            </w:tcBorders>
            <w:vAlign w:val="center"/>
          </w:tcPr>
          <w:p w14:paraId="615B88E7">
            <w:pPr>
              <w:keepNext w:val="0"/>
              <w:keepLines w:val="0"/>
              <w:pageBreakBefore w:val="0"/>
              <w:widowControl w:val="0"/>
              <w:kinsoku/>
              <w:wordWrap/>
              <w:topLinePunct w:val="0"/>
              <w:autoSpaceDE/>
              <w:autoSpaceDN/>
              <w:bidi w:val="0"/>
              <w:adjustRightInd/>
              <w:snapToGrid/>
              <w:spacing w:line="560" w:lineRule="exact"/>
              <w:ind w:left="0" w:right="0" w:firstLine="0"/>
              <w:jc w:val="center"/>
              <w:textAlignment w:val="auto"/>
              <w:rPr>
                <w:rFonts w:ascii="宋体" w:hAnsi="宋体" w:cs="宋体"/>
                <w:color w:val="000000" w:themeColor="text1"/>
                <w:sz w:val="28"/>
                <w:szCs w:val="28"/>
                <w:highlight w:val="none"/>
                <w14:textFill>
                  <w14:solidFill>
                    <w14:schemeClr w14:val="tx1"/>
                  </w14:solidFill>
                </w14:textFill>
              </w:rPr>
            </w:pPr>
          </w:p>
        </w:tc>
      </w:tr>
      <w:tr w14:paraId="1C2031BE">
        <w:tblPrEx>
          <w:tblCellMar>
            <w:top w:w="0" w:type="dxa"/>
            <w:left w:w="108" w:type="dxa"/>
            <w:bottom w:w="0" w:type="dxa"/>
            <w:right w:w="108" w:type="dxa"/>
          </w:tblCellMar>
        </w:tblPrEx>
        <w:trPr>
          <w:trHeight w:val="648" w:hRule="exact"/>
          <w:jc w:val="center"/>
        </w:trPr>
        <w:tc>
          <w:tcPr>
            <w:tcW w:w="1826" w:type="dxa"/>
            <w:gridSpan w:val="2"/>
            <w:tcBorders>
              <w:top w:val="single" w:color="000000" w:sz="4" w:space="0"/>
              <w:left w:val="single" w:color="000000" w:sz="4" w:space="0"/>
              <w:bottom w:val="single" w:color="000000" w:sz="4" w:space="0"/>
              <w:right w:val="single" w:color="000000" w:sz="4" w:space="0"/>
            </w:tcBorders>
            <w:vAlign w:val="center"/>
          </w:tcPr>
          <w:p w14:paraId="543249DD">
            <w:pPr>
              <w:keepNext w:val="0"/>
              <w:keepLines w:val="0"/>
              <w:pageBreakBefore w:val="0"/>
              <w:widowControl w:val="0"/>
              <w:kinsoku/>
              <w:wordWrap/>
              <w:topLinePunct w:val="0"/>
              <w:autoSpaceDE/>
              <w:autoSpaceDN/>
              <w:bidi w:val="0"/>
              <w:adjustRightInd/>
              <w:snapToGrid/>
              <w:spacing w:line="560" w:lineRule="exact"/>
              <w:ind w:left="0" w:right="0" w:firstLine="0"/>
              <w:jc w:val="center"/>
              <w:textAlignment w:val="auto"/>
              <w:rPr>
                <w:rFonts w:ascii="宋体" w:hAnsi="宋体" w:cs="宋体"/>
                <w:color w:val="000000" w:themeColor="text1"/>
                <w:sz w:val="28"/>
                <w:szCs w:val="28"/>
                <w:highlight w:val="none"/>
                <w14:textFill>
                  <w14:solidFill>
                    <w14:schemeClr w14:val="tx1"/>
                  </w14:solidFill>
                </w14:textFill>
              </w:rPr>
            </w:pPr>
          </w:p>
        </w:tc>
        <w:tc>
          <w:tcPr>
            <w:tcW w:w="4053" w:type="dxa"/>
            <w:gridSpan w:val="4"/>
            <w:tcBorders>
              <w:top w:val="single" w:color="000000" w:sz="4" w:space="0"/>
              <w:left w:val="single" w:color="000000" w:sz="4" w:space="0"/>
              <w:bottom w:val="single" w:color="000000" w:sz="4" w:space="0"/>
              <w:right w:val="single" w:color="000000" w:sz="4" w:space="0"/>
            </w:tcBorders>
            <w:vAlign w:val="center"/>
          </w:tcPr>
          <w:p w14:paraId="18FC83C5">
            <w:pPr>
              <w:keepNext w:val="0"/>
              <w:keepLines w:val="0"/>
              <w:pageBreakBefore w:val="0"/>
              <w:widowControl w:val="0"/>
              <w:kinsoku/>
              <w:wordWrap/>
              <w:topLinePunct w:val="0"/>
              <w:autoSpaceDE/>
              <w:autoSpaceDN/>
              <w:bidi w:val="0"/>
              <w:adjustRightInd/>
              <w:snapToGrid/>
              <w:spacing w:line="560" w:lineRule="exact"/>
              <w:ind w:left="0" w:right="0" w:firstLine="0"/>
              <w:jc w:val="center"/>
              <w:textAlignment w:val="auto"/>
              <w:rPr>
                <w:rFonts w:ascii="宋体" w:hAnsi="宋体" w:cs="宋体"/>
                <w:color w:val="000000" w:themeColor="text1"/>
                <w:sz w:val="28"/>
                <w:szCs w:val="28"/>
                <w:highlight w:val="none"/>
                <w14:textFill>
                  <w14:solidFill>
                    <w14:schemeClr w14:val="tx1"/>
                  </w14:solidFill>
                </w14:textFill>
              </w:rPr>
            </w:pPr>
          </w:p>
        </w:tc>
        <w:tc>
          <w:tcPr>
            <w:tcW w:w="1495" w:type="dxa"/>
            <w:tcBorders>
              <w:top w:val="single" w:color="000000" w:sz="4" w:space="0"/>
              <w:left w:val="single" w:color="000000" w:sz="4" w:space="0"/>
              <w:bottom w:val="single" w:color="000000" w:sz="4" w:space="0"/>
              <w:right w:val="single" w:color="000000" w:sz="4" w:space="0"/>
            </w:tcBorders>
            <w:vAlign w:val="center"/>
          </w:tcPr>
          <w:p w14:paraId="08BCC2F8">
            <w:pPr>
              <w:keepNext w:val="0"/>
              <w:keepLines w:val="0"/>
              <w:pageBreakBefore w:val="0"/>
              <w:widowControl w:val="0"/>
              <w:kinsoku/>
              <w:wordWrap/>
              <w:topLinePunct w:val="0"/>
              <w:autoSpaceDE/>
              <w:autoSpaceDN/>
              <w:bidi w:val="0"/>
              <w:adjustRightInd/>
              <w:snapToGrid/>
              <w:spacing w:line="560" w:lineRule="exact"/>
              <w:ind w:left="0" w:right="0" w:firstLine="0"/>
              <w:jc w:val="center"/>
              <w:textAlignment w:val="auto"/>
              <w:rPr>
                <w:rFonts w:ascii="宋体" w:hAnsi="宋体" w:cs="宋体"/>
                <w:color w:val="000000" w:themeColor="text1"/>
                <w:sz w:val="28"/>
                <w:szCs w:val="28"/>
                <w:highlight w:val="none"/>
                <w14:textFill>
                  <w14:solidFill>
                    <w14:schemeClr w14:val="tx1"/>
                  </w14:solidFill>
                </w14:textFill>
              </w:rPr>
            </w:pPr>
          </w:p>
        </w:tc>
        <w:tc>
          <w:tcPr>
            <w:tcW w:w="2721" w:type="dxa"/>
            <w:gridSpan w:val="2"/>
            <w:tcBorders>
              <w:top w:val="single" w:color="000000" w:sz="4" w:space="0"/>
              <w:left w:val="single" w:color="000000" w:sz="4" w:space="0"/>
              <w:bottom w:val="single" w:color="000000" w:sz="4" w:space="0"/>
              <w:right w:val="single" w:color="000000" w:sz="4" w:space="0"/>
            </w:tcBorders>
            <w:vAlign w:val="center"/>
          </w:tcPr>
          <w:p w14:paraId="72FAE893">
            <w:pPr>
              <w:keepNext w:val="0"/>
              <w:keepLines w:val="0"/>
              <w:pageBreakBefore w:val="0"/>
              <w:widowControl w:val="0"/>
              <w:kinsoku/>
              <w:wordWrap/>
              <w:topLinePunct w:val="0"/>
              <w:autoSpaceDE/>
              <w:autoSpaceDN/>
              <w:bidi w:val="0"/>
              <w:adjustRightInd/>
              <w:snapToGrid/>
              <w:spacing w:line="560" w:lineRule="exact"/>
              <w:ind w:left="0" w:right="0" w:firstLine="0"/>
              <w:jc w:val="center"/>
              <w:textAlignment w:val="auto"/>
              <w:rPr>
                <w:rFonts w:ascii="宋体" w:hAnsi="宋体" w:cs="宋体"/>
                <w:color w:val="000000" w:themeColor="text1"/>
                <w:sz w:val="28"/>
                <w:szCs w:val="28"/>
                <w:highlight w:val="none"/>
                <w14:textFill>
                  <w14:solidFill>
                    <w14:schemeClr w14:val="tx1"/>
                  </w14:solidFill>
                </w14:textFill>
              </w:rPr>
            </w:pPr>
          </w:p>
        </w:tc>
      </w:tr>
      <w:tr w14:paraId="05A4EB5D">
        <w:tblPrEx>
          <w:tblCellMar>
            <w:top w:w="0" w:type="dxa"/>
            <w:left w:w="108" w:type="dxa"/>
            <w:bottom w:w="0" w:type="dxa"/>
            <w:right w:w="108" w:type="dxa"/>
          </w:tblCellMar>
        </w:tblPrEx>
        <w:trPr>
          <w:trHeight w:val="647" w:hRule="exact"/>
          <w:jc w:val="center"/>
        </w:trPr>
        <w:tc>
          <w:tcPr>
            <w:tcW w:w="1826" w:type="dxa"/>
            <w:gridSpan w:val="2"/>
            <w:tcBorders>
              <w:top w:val="single" w:color="000000" w:sz="4" w:space="0"/>
              <w:left w:val="single" w:color="000000" w:sz="4" w:space="0"/>
              <w:bottom w:val="single" w:color="000000" w:sz="4" w:space="0"/>
              <w:right w:val="single" w:color="000000" w:sz="4" w:space="0"/>
            </w:tcBorders>
            <w:vAlign w:val="center"/>
          </w:tcPr>
          <w:p w14:paraId="0E7BB62C">
            <w:pPr>
              <w:keepNext w:val="0"/>
              <w:keepLines w:val="0"/>
              <w:pageBreakBefore w:val="0"/>
              <w:widowControl w:val="0"/>
              <w:kinsoku/>
              <w:wordWrap/>
              <w:topLinePunct w:val="0"/>
              <w:autoSpaceDE/>
              <w:autoSpaceDN/>
              <w:bidi w:val="0"/>
              <w:adjustRightInd/>
              <w:snapToGrid/>
              <w:spacing w:line="560" w:lineRule="exact"/>
              <w:ind w:left="0" w:right="0" w:firstLine="0"/>
              <w:jc w:val="center"/>
              <w:textAlignment w:val="auto"/>
              <w:rPr>
                <w:rFonts w:ascii="宋体" w:hAnsi="宋体" w:cs="宋体"/>
                <w:color w:val="000000" w:themeColor="text1"/>
                <w:sz w:val="28"/>
                <w:szCs w:val="28"/>
                <w:highlight w:val="none"/>
                <w14:textFill>
                  <w14:solidFill>
                    <w14:schemeClr w14:val="tx1"/>
                  </w14:solidFill>
                </w14:textFill>
              </w:rPr>
            </w:pPr>
          </w:p>
        </w:tc>
        <w:tc>
          <w:tcPr>
            <w:tcW w:w="4053" w:type="dxa"/>
            <w:gridSpan w:val="4"/>
            <w:tcBorders>
              <w:top w:val="single" w:color="000000" w:sz="4" w:space="0"/>
              <w:left w:val="single" w:color="000000" w:sz="4" w:space="0"/>
              <w:bottom w:val="single" w:color="000000" w:sz="4" w:space="0"/>
              <w:right w:val="single" w:color="000000" w:sz="4" w:space="0"/>
            </w:tcBorders>
            <w:vAlign w:val="center"/>
          </w:tcPr>
          <w:p w14:paraId="2F2DFDAC">
            <w:pPr>
              <w:keepNext w:val="0"/>
              <w:keepLines w:val="0"/>
              <w:pageBreakBefore w:val="0"/>
              <w:widowControl w:val="0"/>
              <w:kinsoku/>
              <w:wordWrap/>
              <w:topLinePunct w:val="0"/>
              <w:autoSpaceDE/>
              <w:autoSpaceDN/>
              <w:bidi w:val="0"/>
              <w:adjustRightInd/>
              <w:snapToGrid/>
              <w:spacing w:line="560" w:lineRule="exact"/>
              <w:ind w:left="0" w:right="0" w:firstLine="0"/>
              <w:jc w:val="center"/>
              <w:textAlignment w:val="auto"/>
              <w:rPr>
                <w:rFonts w:ascii="宋体" w:hAnsi="宋体" w:cs="宋体"/>
                <w:color w:val="000000" w:themeColor="text1"/>
                <w:sz w:val="28"/>
                <w:szCs w:val="28"/>
                <w:highlight w:val="none"/>
                <w14:textFill>
                  <w14:solidFill>
                    <w14:schemeClr w14:val="tx1"/>
                  </w14:solidFill>
                </w14:textFill>
              </w:rPr>
            </w:pPr>
          </w:p>
        </w:tc>
        <w:tc>
          <w:tcPr>
            <w:tcW w:w="1495" w:type="dxa"/>
            <w:tcBorders>
              <w:top w:val="single" w:color="000000" w:sz="4" w:space="0"/>
              <w:left w:val="single" w:color="000000" w:sz="4" w:space="0"/>
              <w:bottom w:val="single" w:color="000000" w:sz="4" w:space="0"/>
              <w:right w:val="single" w:color="000000" w:sz="4" w:space="0"/>
            </w:tcBorders>
            <w:vAlign w:val="center"/>
          </w:tcPr>
          <w:p w14:paraId="232F6CC7">
            <w:pPr>
              <w:keepNext w:val="0"/>
              <w:keepLines w:val="0"/>
              <w:pageBreakBefore w:val="0"/>
              <w:widowControl w:val="0"/>
              <w:kinsoku/>
              <w:wordWrap/>
              <w:topLinePunct w:val="0"/>
              <w:autoSpaceDE/>
              <w:autoSpaceDN/>
              <w:bidi w:val="0"/>
              <w:adjustRightInd/>
              <w:snapToGrid/>
              <w:spacing w:line="560" w:lineRule="exact"/>
              <w:ind w:left="0" w:right="0" w:firstLine="0"/>
              <w:jc w:val="center"/>
              <w:textAlignment w:val="auto"/>
              <w:rPr>
                <w:rFonts w:ascii="宋体" w:hAnsi="宋体" w:cs="宋体"/>
                <w:color w:val="000000" w:themeColor="text1"/>
                <w:sz w:val="28"/>
                <w:szCs w:val="28"/>
                <w:highlight w:val="none"/>
                <w14:textFill>
                  <w14:solidFill>
                    <w14:schemeClr w14:val="tx1"/>
                  </w14:solidFill>
                </w14:textFill>
              </w:rPr>
            </w:pPr>
          </w:p>
        </w:tc>
        <w:tc>
          <w:tcPr>
            <w:tcW w:w="2721" w:type="dxa"/>
            <w:gridSpan w:val="2"/>
            <w:tcBorders>
              <w:top w:val="single" w:color="000000" w:sz="4" w:space="0"/>
              <w:left w:val="single" w:color="000000" w:sz="4" w:space="0"/>
              <w:bottom w:val="single" w:color="000000" w:sz="4" w:space="0"/>
              <w:right w:val="single" w:color="000000" w:sz="4" w:space="0"/>
            </w:tcBorders>
            <w:vAlign w:val="center"/>
          </w:tcPr>
          <w:p w14:paraId="44CF6909">
            <w:pPr>
              <w:keepNext w:val="0"/>
              <w:keepLines w:val="0"/>
              <w:pageBreakBefore w:val="0"/>
              <w:widowControl w:val="0"/>
              <w:kinsoku/>
              <w:wordWrap/>
              <w:topLinePunct w:val="0"/>
              <w:autoSpaceDE/>
              <w:autoSpaceDN/>
              <w:bidi w:val="0"/>
              <w:adjustRightInd/>
              <w:snapToGrid/>
              <w:spacing w:line="560" w:lineRule="exact"/>
              <w:ind w:left="0" w:right="0" w:firstLine="0"/>
              <w:jc w:val="center"/>
              <w:textAlignment w:val="auto"/>
              <w:rPr>
                <w:rFonts w:ascii="宋体" w:hAnsi="宋体" w:cs="宋体"/>
                <w:color w:val="000000" w:themeColor="text1"/>
                <w:sz w:val="28"/>
                <w:szCs w:val="28"/>
                <w:highlight w:val="none"/>
                <w14:textFill>
                  <w14:solidFill>
                    <w14:schemeClr w14:val="tx1"/>
                  </w14:solidFill>
                </w14:textFill>
              </w:rPr>
            </w:pPr>
          </w:p>
        </w:tc>
      </w:tr>
      <w:tr w14:paraId="5BB8B55C">
        <w:tblPrEx>
          <w:tblCellMar>
            <w:top w:w="0" w:type="dxa"/>
            <w:left w:w="108" w:type="dxa"/>
            <w:bottom w:w="0" w:type="dxa"/>
            <w:right w:w="108" w:type="dxa"/>
          </w:tblCellMar>
        </w:tblPrEx>
        <w:trPr>
          <w:trHeight w:val="647" w:hRule="exact"/>
          <w:jc w:val="center"/>
        </w:trPr>
        <w:tc>
          <w:tcPr>
            <w:tcW w:w="1826" w:type="dxa"/>
            <w:gridSpan w:val="2"/>
            <w:tcBorders>
              <w:top w:val="single" w:color="000000" w:sz="4" w:space="0"/>
              <w:left w:val="single" w:color="000000" w:sz="4" w:space="0"/>
              <w:bottom w:val="single" w:color="000000" w:sz="4" w:space="0"/>
              <w:right w:val="single" w:color="000000" w:sz="4" w:space="0"/>
            </w:tcBorders>
            <w:vAlign w:val="center"/>
          </w:tcPr>
          <w:p w14:paraId="7D0E87E7">
            <w:pPr>
              <w:keepNext w:val="0"/>
              <w:keepLines w:val="0"/>
              <w:pageBreakBefore w:val="0"/>
              <w:widowControl w:val="0"/>
              <w:kinsoku/>
              <w:wordWrap/>
              <w:topLinePunct w:val="0"/>
              <w:autoSpaceDE/>
              <w:autoSpaceDN/>
              <w:bidi w:val="0"/>
              <w:adjustRightInd/>
              <w:snapToGrid/>
              <w:spacing w:line="560" w:lineRule="exact"/>
              <w:ind w:left="0" w:right="0" w:firstLine="0"/>
              <w:jc w:val="center"/>
              <w:textAlignment w:val="auto"/>
              <w:rPr>
                <w:rFonts w:ascii="宋体" w:hAnsi="宋体" w:cs="宋体"/>
                <w:color w:val="000000" w:themeColor="text1"/>
                <w:sz w:val="28"/>
                <w:szCs w:val="28"/>
                <w:highlight w:val="none"/>
                <w14:textFill>
                  <w14:solidFill>
                    <w14:schemeClr w14:val="tx1"/>
                  </w14:solidFill>
                </w14:textFill>
              </w:rPr>
            </w:pPr>
          </w:p>
        </w:tc>
        <w:tc>
          <w:tcPr>
            <w:tcW w:w="4053" w:type="dxa"/>
            <w:gridSpan w:val="4"/>
            <w:tcBorders>
              <w:top w:val="single" w:color="000000" w:sz="4" w:space="0"/>
              <w:left w:val="single" w:color="000000" w:sz="4" w:space="0"/>
              <w:bottom w:val="single" w:color="000000" w:sz="4" w:space="0"/>
              <w:right w:val="single" w:color="000000" w:sz="4" w:space="0"/>
            </w:tcBorders>
            <w:vAlign w:val="center"/>
          </w:tcPr>
          <w:p w14:paraId="1E037439">
            <w:pPr>
              <w:keepNext w:val="0"/>
              <w:keepLines w:val="0"/>
              <w:pageBreakBefore w:val="0"/>
              <w:widowControl w:val="0"/>
              <w:kinsoku/>
              <w:wordWrap/>
              <w:topLinePunct w:val="0"/>
              <w:autoSpaceDE/>
              <w:autoSpaceDN/>
              <w:bidi w:val="0"/>
              <w:adjustRightInd/>
              <w:snapToGrid/>
              <w:spacing w:line="560" w:lineRule="exact"/>
              <w:ind w:left="0" w:right="0" w:firstLine="0"/>
              <w:jc w:val="center"/>
              <w:textAlignment w:val="auto"/>
              <w:rPr>
                <w:rFonts w:ascii="宋体" w:hAnsi="宋体" w:cs="宋体"/>
                <w:color w:val="000000" w:themeColor="text1"/>
                <w:sz w:val="28"/>
                <w:szCs w:val="28"/>
                <w:highlight w:val="none"/>
                <w14:textFill>
                  <w14:solidFill>
                    <w14:schemeClr w14:val="tx1"/>
                  </w14:solidFill>
                </w14:textFill>
              </w:rPr>
            </w:pPr>
          </w:p>
        </w:tc>
        <w:tc>
          <w:tcPr>
            <w:tcW w:w="1495" w:type="dxa"/>
            <w:tcBorders>
              <w:top w:val="single" w:color="000000" w:sz="4" w:space="0"/>
              <w:left w:val="single" w:color="000000" w:sz="4" w:space="0"/>
              <w:bottom w:val="single" w:color="000000" w:sz="4" w:space="0"/>
              <w:right w:val="single" w:color="000000" w:sz="4" w:space="0"/>
            </w:tcBorders>
            <w:vAlign w:val="center"/>
          </w:tcPr>
          <w:p w14:paraId="3BCF3670">
            <w:pPr>
              <w:keepNext w:val="0"/>
              <w:keepLines w:val="0"/>
              <w:pageBreakBefore w:val="0"/>
              <w:widowControl w:val="0"/>
              <w:kinsoku/>
              <w:wordWrap/>
              <w:topLinePunct w:val="0"/>
              <w:autoSpaceDE/>
              <w:autoSpaceDN/>
              <w:bidi w:val="0"/>
              <w:adjustRightInd/>
              <w:snapToGrid/>
              <w:spacing w:line="560" w:lineRule="exact"/>
              <w:ind w:left="0" w:right="0" w:firstLine="0"/>
              <w:jc w:val="center"/>
              <w:textAlignment w:val="auto"/>
              <w:rPr>
                <w:rFonts w:ascii="宋体" w:hAnsi="宋体" w:cs="宋体"/>
                <w:color w:val="000000" w:themeColor="text1"/>
                <w:sz w:val="28"/>
                <w:szCs w:val="28"/>
                <w:highlight w:val="none"/>
                <w14:textFill>
                  <w14:solidFill>
                    <w14:schemeClr w14:val="tx1"/>
                  </w14:solidFill>
                </w14:textFill>
              </w:rPr>
            </w:pPr>
          </w:p>
        </w:tc>
        <w:tc>
          <w:tcPr>
            <w:tcW w:w="2721" w:type="dxa"/>
            <w:gridSpan w:val="2"/>
            <w:tcBorders>
              <w:top w:val="single" w:color="000000" w:sz="4" w:space="0"/>
              <w:left w:val="single" w:color="000000" w:sz="4" w:space="0"/>
              <w:bottom w:val="single" w:color="000000" w:sz="4" w:space="0"/>
              <w:right w:val="single" w:color="000000" w:sz="4" w:space="0"/>
            </w:tcBorders>
            <w:vAlign w:val="center"/>
          </w:tcPr>
          <w:p w14:paraId="09C742B4">
            <w:pPr>
              <w:keepNext w:val="0"/>
              <w:keepLines w:val="0"/>
              <w:pageBreakBefore w:val="0"/>
              <w:widowControl w:val="0"/>
              <w:kinsoku/>
              <w:wordWrap/>
              <w:topLinePunct w:val="0"/>
              <w:autoSpaceDE/>
              <w:autoSpaceDN/>
              <w:bidi w:val="0"/>
              <w:adjustRightInd/>
              <w:snapToGrid/>
              <w:spacing w:line="560" w:lineRule="exact"/>
              <w:ind w:left="0" w:right="0" w:firstLine="0"/>
              <w:jc w:val="center"/>
              <w:textAlignment w:val="auto"/>
              <w:rPr>
                <w:rFonts w:ascii="宋体" w:hAnsi="宋体" w:cs="宋体"/>
                <w:color w:val="000000" w:themeColor="text1"/>
                <w:sz w:val="28"/>
                <w:szCs w:val="28"/>
                <w:highlight w:val="none"/>
                <w14:textFill>
                  <w14:solidFill>
                    <w14:schemeClr w14:val="tx1"/>
                  </w14:solidFill>
                </w14:textFill>
              </w:rPr>
            </w:pPr>
          </w:p>
        </w:tc>
      </w:tr>
      <w:tr w14:paraId="7F5ECDE0">
        <w:tblPrEx>
          <w:tblCellMar>
            <w:top w:w="0" w:type="dxa"/>
            <w:left w:w="108" w:type="dxa"/>
            <w:bottom w:w="0" w:type="dxa"/>
            <w:right w:w="108" w:type="dxa"/>
          </w:tblCellMar>
        </w:tblPrEx>
        <w:trPr>
          <w:trHeight w:val="657" w:hRule="exact"/>
          <w:jc w:val="center"/>
        </w:trPr>
        <w:tc>
          <w:tcPr>
            <w:tcW w:w="1826" w:type="dxa"/>
            <w:gridSpan w:val="2"/>
            <w:tcBorders>
              <w:top w:val="single" w:color="000000" w:sz="4" w:space="0"/>
              <w:left w:val="single" w:color="000000" w:sz="4" w:space="0"/>
              <w:bottom w:val="single" w:color="000000" w:sz="4" w:space="0"/>
              <w:right w:val="single" w:color="000000" w:sz="4" w:space="0"/>
            </w:tcBorders>
            <w:vAlign w:val="center"/>
          </w:tcPr>
          <w:p w14:paraId="12B52841">
            <w:pPr>
              <w:keepNext w:val="0"/>
              <w:keepLines w:val="0"/>
              <w:pageBreakBefore w:val="0"/>
              <w:widowControl w:val="0"/>
              <w:kinsoku/>
              <w:wordWrap/>
              <w:topLinePunct w:val="0"/>
              <w:autoSpaceDE/>
              <w:autoSpaceDN/>
              <w:bidi w:val="0"/>
              <w:adjustRightInd/>
              <w:snapToGrid/>
              <w:spacing w:line="560" w:lineRule="exact"/>
              <w:ind w:left="0" w:right="0" w:firstLine="0"/>
              <w:jc w:val="center"/>
              <w:textAlignment w:val="auto"/>
              <w:rPr>
                <w:rFonts w:ascii="宋体" w:hAnsi="宋体" w:cs="宋体"/>
                <w:color w:val="000000" w:themeColor="text1"/>
                <w:sz w:val="28"/>
                <w:szCs w:val="28"/>
                <w:highlight w:val="none"/>
                <w14:textFill>
                  <w14:solidFill>
                    <w14:schemeClr w14:val="tx1"/>
                  </w14:solidFill>
                </w14:textFill>
              </w:rPr>
            </w:pPr>
          </w:p>
        </w:tc>
        <w:tc>
          <w:tcPr>
            <w:tcW w:w="4053" w:type="dxa"/>
            <w:gridSpan w:val="4"/>
            <w:tcBorders>
              <w:top w:val="single" w:color="000000" w:sz="4" w:space="0"/>
              <w:left w:val="single" w:color="000000" w:sz="4" w:space="0"/>
              <w:bottom w:val="single" w:color="000000" w:sz="4" w:space="0"/>
              <w:right w:val="single" w:color="000000" w:sz="4" w:space="0"/>
            </w:tcBorders>
            <w:vAlign w:val="center"/>
          </w:tcPr>
          <w:p w14:paraId="0F6260E8">
            <w:pPr>
              <w:keepNext w:val="0"/>
              <w:keepLines w:val="0"/>
              <w:pageBreakBefore w:val="0"/>
              <w:widowControl w:val="0"/>
              <w:kinsoku/>
              <w:wordWrap/>
              <w:topLinePunct w:val="0"/>
              <w:autoSpaceDE/>
              <w:autoSpaceDN/>
              <w:bidi w:val="0"/>
              <w:adjustRightInd/>
              <w:snapToGrid/>
              <w:spacing w:line="560" w:lineRule="exact"/>
              <w:ind w:left="0" w:right="0" w:firstLine="0"/>
              <w:jc w:val="center"/>
              <w:textAlignment w:val="auto"/>
              <w:rPr>
                <w:rFonts w:ascii="宋体" w:hAnsi="宋体" w:cs="宋体"/>
                <w:color w:val="000000" w:themeColor="text1"/>
                <w:sz w:val="28"/>
                <w:szCs w:val="28"/>
                <w:highlight w:val="none"/>
                <w14:textFill>
                  <w14:solidFill>
                    <w14:schemeClr w14:val="tx1"/>
                  </w14:solidFill>
                </w14:textFill>
              </w:rPr>
            </w:pPr>
          </w:p>
        </w:tc>
        <w:tc>
          <w:tcPr>
            <w:tcW w:w="1495" w:type="dxa"/>
            <w:tcBorders>
              <w:top w:val="single" w:color="000000" w:sz="4" w:space="0"/>
              <w:left w:val="single" w:color="000000" w:sz="4" w:space="0"/>
              <w:bottom w:val="single" w:color="000000" w:sz="4" w:space="0"/>
              <w:right w:val="single" w:color="000000" w:sz="4" w:space="0"/>
            </w:tcBorders>
            <w:vAlign w:val="center"/>
          </w:tcPr>
          <w:p w14:paraId="5A9AAA8A">
            <w:pPr>
              <w:keepNext w:val="0"/>
              <w:keepLines w:val="0"/>
              <w:pageBreakBefore w:val="0"/>
              <w:widowControl w:val="0"/>
              <w:kinsoku/>
              <w:wordWrap/>
              <w:topLinePunct w:val="0"/>
              <w:autoSpaceDE/>
              <w:autoSpaceDN/>
              <w:bidi w:val="0"/>
              <w:adjustRightInd/>
              <w:snapToGrid/>
              <w:spacing w:line="560" w:lineRule="exact"/>
              <w:ind w:left="0" w:right="0" w:firstLine="0"/>
              <w:jc w:val="center"/>
              <w:textAlignment w:val="auto"/>
              <w:rPr>
                <w:rFonts w:ascii="宋体" w:hAnsi="宋体" w:cs="宋体"/>
                <w:color w:val="000000" w:themeColor="text1"/>
                <w:sz w:val="28"/>
                <w:szCs w:val="28"/>
                <w:highlight w:val="none"/>
                <w14:textFill>
                  <w14:solidFill>
                    <w14:schemeClr w14:val="tx1"/>
                  </w14:solidFill>
                </w14:textFill>
              </w:rPr>
            </w:pPr>
          </w:p>
        </w:tc>
        <w:tc>
          <w:tcPr>
            <w:tcW w:w="2721" w:type="dxa"/>
            <w:gridSpan w:val="2"/>
            <w:tcBorders>
              <w:top w:val="single" w:color="000000" w:sz="4" w:space="0"/>
              <w:left w:val="single" w:color="000000" w:sz="4" w:space="0"/>
              <w:bottom w:val="single" w:color="000000" w:sz="4" w:space="0"/>
              <w:right w:val="single" w:color="000000" w:sz="4" w:space="0"/>
            </w:tcBorders>
            <w:vAlign w:val="center"/>
          </w:tcPr>
          <w:p w14:paraId="1620A0CB">
            <w:pPr>
              <w:keepNext w:val="0"/>
              <w:keepLines w:val="0"/>
              <w:pageBreakBefore w:val="0"/>
              <w:widowControl w:val="0"/>
              <w:kinsoku/>
              <w:wordWrap/>
              <w:topLinePunct w:val="0"/>
              <w:autoSpaceDE/>
              <w:autoSpaceDN/>
              <w:bidi w:val="0"/>
              <w:adjustRightInd/>
              <w:snapToGrid/>
              <w:spacing w:line="560" w:lineRule="exact"/>
              <w:ind w:left="0" w:right="0" w:firstLine="0"/>
              <w:jc w:val="center"/>
              <w:textAlignment w:val="auto"/>
              <w:rPr>
                <w:rFonts w:ascii="宋体" w:hAnsi="宋体" w:cs="宋体"/>
                <w:color w:val="000000" w:themeColor="text1"/>
                <w:sz w:val="28"/>
                <w:szCs w:val="28"/>
                <w:highlight w:val="none"/>
                <w14:textFill>
                  <w14:solidFill>
                    <w14:schemeClr w14:val="tx1"/>
                  </w14:solidFill>
                </w14:textFill>
              </w:rPr>
            </w:pPr>
          </w:p>
        </w:tc>
      </w:tr>
    </w:tbl>
    <w:p w14:paraId="0A81CB9F">
      <w:pPr>
        <w:pageBreakBefore w:val="0"/>
        <w:wordWrap/>
        <w:topLinePunct w:val="0"/>
        <w:bidi w:val="0"/>
        <w:snapToGrid w:val="0"/>
        <w:spacing w:before="165" w:beforeLines="50" w:after="50" w:line="560" w:lineRule="exact"/>
        <w:jc w:val="both"/>
        <w:rPr>
          <w:rFonts w:hint="eastAsia" w:asciiTheme="minorEastAsia" w:hAnsiTheme="minorEastAsia" w:eastAsiaTheme="minorEastAsia"/>
          <w:b/>
          <w:bCs/>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b/>
          <w:bCs/>
          <w:color w:val="000000" w:themeColor="text1"/>
          <w:sz w:val="28"/>
          <w:szCs w:val="28"/>
          <w:highlight w:val="none"/>
          <w:lang w:val="en-US" w:eastAsia="zh-CN"/>
          <w14:textFill>
            <w14:solidFill>
              <w14:schemeClr w14:val="tx1"/>
            </w14:solidFill>
          </w14:textFill>
        </w:rPr>
        <w:t>附：项目负责人提供由本单位缴纳的近半年任意一个月的社保证明材料。</w:t>
      </w:r>
    </w:p>
    <w:p w14:paraId="64C2214A">
      <w:pPr>
        <w:pageBreakBefore w:val="0"/>
        <w:wordWrap/>
        <w:topLinePunct w:val="0"/>
        <w:bidi w:val="0"/>
        <w:snapToGrid w:val="0"/>
        <w:spacing w:before="165" w:beforeLines="50" w:after="50" w:line="560" w:lineRule="exact"/>
        <w:ind w:firstLine="602" w:firstLineChars="200"/>
        <w:jc w:val="center"/>
        <w:rPr>
          <w:b/>
          <w:bCs/>
          <w:color w:val="000000" w:themeColor="text1"/>
          <w:sz w:val="30"/>
          <w:szCs w:val="30"/>
          <w:highlight w:val="none"/>
          <w14:textFill>
            <w14:solidFill>
              <w14:schemeClr w14:val="tx1"/>
            </w14:solidFill>
          </w14:textFill>
        </w:rPr>
      </w:pPr>
    </w:p>
    <w:p w14:paraId="2B388739">
      <w:pPr>
        <w:pageBreakBefore w:val="0"/>
        <w:widowControl/>
        <w:wordWrap/>
        <w:topLinePunct w:val="0"/>
        <w:bidi w:val="0"/>
        <w:spacing w:line="560" w:lineRule="exact"/>
        <w:jc w:val="left"/>
        <w:rPr>
          <w:b/>
          <w:bCs/>
          <w:color w:val="000000" w:themeColor="text1"/>
          <w:sz w:val="30"/>
          <w:szCs w:val="30"/>
          <w:highlight w:val="none"/>
          <w14:textFill>
            <w14:solidFill>
              <w14:schemeClr w14:val="tx1"/>
            </w14:solidFill>
          </w14:textFill>
        </w:rPr>
      </w:pPr>
      <w:r>
        <w:rPr>
          <w:b/>
          <w:bCs/>
          <w:color w:val="000000" w:themeColor="text1"/>
          <w:sz w:val="30"/>
          <w:szCs w:val="30"/>
          <w:highlight w:val="none"/>
          <w14:textFill>
            <w14:solidFill>
              <w14:schemeClr w14:val="tx1"/>
            </w14:solidFill>
          </w14:textFill>
        </w:rPr>
        <w:br w:type="page"/>
      </w:r>
    </w:p>
    <w:p w14:paraId="79ED972F">
      <w:pPr>
        <w:pageBreakBefore w:val="0"/>
        <w:numPr>
          <w:ilvl w:val="0"/>
          <w:numId w:val="0"/>
        </w:numPr>
        <w:wordWrap/>
        <w:topLinePunct w:val="0"/>
        <w:bidi w:val="0"/>
        <w:snapToGrid w:val="0"/>
        <w:spacing w:before="165" w:beforeLines="50" w:after="50" w:line="560" w:lineRule="exact"/>
        <w:ind w:firstLine="602" w:firstLineChars="200"/>
        <w:jc w:val="center"/>
        <w:rPr>
          <w:rFonts w:hint="eastAsia"/>
          <w:b/>
          <w:bCs/>
          <w:color w:val="000000" w:themeColor="text1"/>
          <w:sz w:val="30"/>
          <w:szCs w:val="30"/>
          <w:highlight w:val="none"/>
          <w14:textFill>
            <w14:solidFill>
              <w14:schemeClr w14:val="tx1"/>
            </w14:solidFill>
          </w14:textFill>
        </w:rPr>
      </w:pPr>
      <w:r>
        <w:rPr>
          <w:rFonts w:hint="eastAsia" w:ascii="Times New Roman" w:hAnsi="Times New Roman" w:eastAsia="宋体" w:cs="Times New Roman"/>
          <w:b/>
          <w:bCs/>
          <w:color w:val="000000" w:themeColor="text1"/>
          <w:kern w:val="2"/>
          <w:sz w:val="30"/>
          <w:szCs w:val="30"/>
          <w:highlight w:val="none"/>
          <w:lang w:val="en-US" w:eastAsia="zh-CN" w:bidi="ar-SA"/>
          <w14:textFill>
            <w14:solidFill>
              <w14:schemeClr w14:val="tx1"/>
            </w14:solidFill>
          </w14:textFill>
        </w:rPr>
        <w:t>八、</w:t>
      </w:r>
      <w:r>
        <w:rPr>
          <w:rFonts w:hint="eastAsia"/>
          <w:b/>
          <w:bCs/>
          <w:color w:val="000000" w:themeColor="text1"/>
          <w:sz w:val="30"/>
          <w:szCs w:val="30"/>
          <w:highlight w:val="none"/>
          <w:lang w:eastAsia="zh-CN"/>
          <w14:textFill>
            <w14:solidFill>
              <w14:schemeClr w14:val="tx1"/>
            </w14:solidFill>
          </w14:textFill>
        </w:rPr>
        <w:t>供应商</w:t>
      </w:r>
      <w:r>
        <w:rPr>
          <w:rFonts w:hint="eastAsia"/>
          <w:b/>
          <w:bCs/>
          <w:color w:val="000000" w:themeColor="text1"/>
          <w:sz w:val="30"/>
          <w:szCs w:val="30"/>
          <w:highlight w:val="none"/>
          <w14:textFill>
            <w14:solidFill>
              <w14:schemeClr w14:val="tx1"/>
            </w14:solidFill>
          </w14:textFill>
        </w:rPr>
        <w:t>认为需要提供的其他</w:t>
      </w:r>
      <w:r>
        <w:rPr>
          <w:rFonts w:hint="eastAsia"/>
          <w:b/>
          <w:bCs/>
          <w:color w:val="000000" w:themeColor="text1"/>
          <w:sz w:val="30"/>
          <w:szCs w:val="30"/>
          <w:highlight w:val="none"/>
          <w:lang w:eastAsia="zh-CN"/>
          <w14:textFill>
            <w14:solidFill>
              <w14:schemeClr w14:val="tx1"/>
            </w14:solidFill>
          </w14:textFill>
        </w:rPr>
        <w:t>商务文件</w:t>
      </w:r>
      <w:r>
        <w:rPr>
          <w:rFonts w:hint="eastAsia"/>
          <w:b/>
          <w:bCs/>
          <w:color w:val="000000" w:themeColor="text1"/>
          <w:sz w:val="30"/>
          <w:szCs w:val="30"/>
          <w:highlight w:val="none"/>
          <w14:textFill>
            <w14:solidFill>
              <w14:schemeClr w14:val="tx1"/>
            </w14:solidFill>
          </w14:textFill>
        </w:rPr>
        <w:t>材料（如有）</w:t>
      </w:r>
    </w:p>
    <w:p w14:paraId="3C6D52E4">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default"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sectPr>
          <w:headerReference r:id="rId42" w:type="default"/>
          <w:pgSz w:w="11906" w:h="16838"/>
          <w:pgMar w:top="1134" w:right="1134" w:bottom="1134" w:left="1134" w:header="720" w:footer="720" w:gutter="0"/>
          <w:cols w:space="720" w:num="1"/>
          <w:docGrid w:type="lines" w:linePitch="331" w:charSpace="0"/>
        </w:sectPr>
      </w:pP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1、供应商提供信用中国网站（https://www.creditchina.gov.cn）查询截图（共需“失信被执行人”、“重大税收违法失信主体”(进入信用中国网站-信用服务-失信被执行人、重大税收违法失信主体-查询、截图)和中国政府采购网网站（http://www.ccgp.gov.cn）查询截图（</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instrText xml:space="preserve"> HYPERLINK "http://www.ccgp.gov.cn/search/cr/" \o "政府采购严重违法失信行为记录名单" </w:instrTex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政府采购严重违法失信行为记录名单</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），此项仅作为资料留存使用。</w:t>
      </w:r>
    </w:p>
    <w:p w14:paraId="126C7BBB">
      <w:pPr>
        <w:pStyle w:val="4"/>
        <w:keepNext w:val="0"/>
        <w:keepLines w:val="0"/>
        <w:pageBreakBefore w:val="0"/>
        <w:wordWrap/>
        <w:topLinePunct w:val="0"/>
        <w:bidi w:val="0"/>
        <w:spacing w:line="560" w:lineRule="exact"/>
        <w:ind w:left="0" w:leftChars="0" w:firstLine="0" w:firstLineChars="0"/>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第</w:t>
      </w:r>
      <w:r>
        <w:rPr>
          <w:rFonts w:hint="eastAsia"/>
          <w:color w:val="000000" w:themeColor="text1"/>
          <w:highlight w:val="none"/>
          <w:lang w:eastAsia="zh-CN"/>
          <w14:textFill>
            <w14:solidFill>
              <w14:schemeClr w14:val="tx1"/>
            </w14:solidFill>
          </w14:textFill>
        </w:rPr>
        <w:t>四</w:t>
      </w:r>
      <w:r>
        <w:rPr>
          <w:rFonts w:hint="eastAsia"/>
          <w:color w:val="000000" w:themeColor="text1"/>
          <w:highlight w:val="none"/>
          <w14:textFill>
            <w14:solidFill>
              <w14:schemeClr w14:val="tx1"/>
            </w14:solidFill>
          </w14:textFill>
        </w:rPr>
        <w:t>节 技术文件格式</w:t>
      </w:r>
    </w:p>
    <w:p w14:paraId="0919FBDC">
      <w:pPr>
        <w:pStyle w:val="17"/>
        <w:pageBreakBefore w:val="0"/>
        <w:wordWrap/>
        <w:topLinePunct w:val="0"/>
        <w:bidi w:val="0"/>
        <w:spacing w:line="560" w:lineRule="exac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一、技术需求偏离表</w:t>
      </w:r>
    </w:p>
    <w:p w14:paraId="78E48350">
      <w:pPr>
        <w:pStyle w:val="17"/>
        <w:pageBreakBefore w:val="0"/>
        <w:wordWrap/>
        <w:topLinePunct w:val="0"/>
        <w:bidi w:val="0"/>
        <w:spacing w:line="560" w:lineRule="exact"/>
        <w:jc w:val="both"/>
        <w:rPr>
          <w:rFonts w:hint="eastAsia" w:eastAsiaTheme="minor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标项名称：</w:t>
      </w:r>
    </w:p>
    <w:tbl>
      <w:tblPr>
        <w:tblStyle w:val="34"/>
        <w:tblW w:w="96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2128"/>
        <w:gridCol w:w="2410"/>
        <w:gridCol w:w="2378"/>
        <w:gridCol w:w="1732"/>
      </w:tblGrid>
      <w:tr w14:paraId="6E5D4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trPr>
        <w:tc>
          <w:tcPr>
            <w:tcW w:w="957" w:type="dxa"/>
            <w:vAlign w:val="center"/>
          </w:tcPr>
          <w:p w14:paraId="7A37513D">
            <w:pPr>
              <w:pageBreakBefore w:val="0"/>
              <w:wordWrap/>
              <w:topLinePunct w:val="0"/>
              <w:bidi w:val="0"/>
              <w:spacing w:line="56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序号</w:t>
            </w:r>
          </w:p>
        </w:tc>
        <w:tc>
          <w:tcPr>
            <w:tcW w:w="2128" w:type="dxa"/>
            <w:vAlign w:val="center"/>
          </w:tcPr>
          <w:p w14:paraId="539E5604">
            <w:pPr>
              <w:pageBreakBefore w:val="0"/>
              <w:wordWrap/>
              <w:topLinePunct w:val="0"/>
              <w:bidi w:val="0"/>
              <w:spacing w:line="56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产品名称</w:t>
            </w:r>
          </w:p>
        </w:tc>
        <w:tc>
          <w:tcPr>
            <w:tcW w:w="2410" w:type="dxa"/>
            <w:vAlign w:val="center"/>
          </w:tcPr>
          <w:p w14:paraId="740BB4F7">
            <w:pPr>
              <w:pageBreakBefore w:val="0"/>
              <w:wordWrap/>
              <w:topLinePunct w:val="0"/>
              <w:bidi w:val="0"/>
              <w:spacing w:line="56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招标产品参数</w:t>
            </w:r>
          </w:p>
        </w:tc>
        <w:tc>
          <w:tcPr>
            <w:tcW w:w="2378" w:type="dxa"/>
            <w:vAlign w:val="center"/>
          </w:tcPr>
          <w:p w14:paraId="34C31B36">
            <w:pPr>
              <w:pageBreakBefore w:val="0"/>
              <w:wordWrap/>
              <w:topLinePunct w:val="0"/>
              <w:bidi w:val="0"/>
              <w:spacing w:line="56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投标产品参数</w:t>
            </w:r>
          </w:p>
        </w:tc>
        <w:tc>
          <w:tcPr>
            <w:tcW w:w="1732" w:type="dxa"/>
            <w:vAlign w:val="center"/>
          </w:tcPr>
          <w:p w14:paraId="7C03313F">
            <w:pPr>
              <w:pageBreakBefore w:val="0"/>
              <w:wordWrap/>
              <w:topLinePunct w:val="0"/>
              <w:bidi w:val="0"/>
              <w:spacing w:line="56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偏离说明</w:t>
            </w:r>
          </w:p>
        </w:tc>
      </w:tr>
      <w:tr w14:paraId="15ABD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957" w:type="dxa"/>
            <w:vAlign w:val="center"/>
          </w:tcPr>
          <w:p w14:paraId="0425CC8D">
            <w:pPr>
              <w:pageBreakBefore w:val="0"/>
              <w:wordWrap/>
              <w:topLinePunct w:val="0"/>
              <w:bidi w:val="0"/>
              <w:spacing w:line="56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c>
          <w:tcPr>
            <w:tcW w:w="2128" w:type="dxa"/>
          </w:tcPr>
          <w:p w14:paraId="0445ADDB">
            <w:pPr>
              <w:pageBreakBefore w:val="0"/>
              <w:wordWrap/>
              <w:topLinePunct w:val="0"/>
              <w:bidi w:val="0"/>
              <w:spacing w:line="560" w:lineRule="exact"/>
              <w:rPr>
                <w:rFonts w:hint="eastAsia" w:ascii="宋体" w:hAnsi="宋体" w:eastAsia="宋体" w:cs="宋体"/>
                <w:color w:val="000000" w:themeColor="text1"/>
                <w:sz w:val="24"/>
                <w:szCs w:val="24"/>
                <w:highlight w:val="none"/>
                <w14:textFill>
                  <w14:solidFill>
                    <w14:schemeClr w14:val="tx1"/>
                  </w14:solidFill>
                </w14:textFill>
              </w:rPr>
            </w:pPr>
          </w:p>
        </w:tc>
        <w:tc>
          <w:tcPr>
            <w:tcW w:w="2410" w:type="dxa"/>
          </w:tcPr>
          <w:p w14:paraId="572593B1">
            <w:pPr>
              <w:pageBreakBefore w:val="0"/>
              <w:wordWrap/>
              <w:topLinePunct w:val="0"/>
              <w:bidi w:val="0"/>
              <w:spacing w:line="560" w:lineRule="exact"/>
              <w:rPr>
                <w:rFonts w:hint="eastAsia" w:ascii="宋体" w:hAnsi="宋体" w:eastAsia="宋体" w:cs="宋体"/>
                <w:color w:val="000000" w:themeColor="text1"/>
                <w:sz w:val="24"/>
                <w:szCs w:val="24"/>
                <w:highlight w:val="none"/>
                <w14:textFill>
                  <w14:solidFill>
                    <w14:schemeClr w14:val="tx1"/>
                  </w14:solidFill>
                </w14:textFill>
              </w:rPr>
            </w:pPr>
          </w:p>
        </w:tc>
        <w:tc>
          <w:tcPr>
            <w:tcW w:w="2378" w:type="dxa"/>
          </w:tcPr>
          <w:p w14:paraId="4DD76E19">
            <w:pPr>
              <w:pageBreakBefore w:val="0"/>
              <w:wordWrap/>
              <w:topLinePunct w:val="0"/>
              <w:bidi w:val="0"/>
              <w:spacing w:line="560" w:lineRule="exact"/>
              <w:rPr>
                <w:rFonts w:hint="eastAsia" w:ascii="宋体" w:hAnsi="宋体" w:eastAsia="宋体" w:cs="宋体"/>
                <w:color w:val="000000" w:themeColor="text1"/>
                <w:sz w:val="24"/>
                <w:szCs w:val="24"/>
                <w:highlight w:val="none"/>
                <w14:textFill>
                  <w14:solidFill>
                    <w14:schemeClr w14:val="tx1"/>
                  </w14:solidFill>
                </w14:textFill>
              </w:rPr>
            </w:pPr>
          </w:p>
        </w:tc>
        <w:tc>
          <w:tcPr>
            <w:tcW w:w="1732" w:type="dxa"/>
          </w:tcPr>
          <w:p w14:paraId="68380D7B">
            <w:pPr>
              <w:pageBreakBefore w:val="0"/>
              <w:wordWrap/>
              <w:topLinePunct w:val="0"/>
              <w:bidi w:val="0"/>
              <w:spacing w:line="560" w:lineRule="exact"/>
              <w:rPr>
                <w:rFonts w:hint="eastAsia" w:ascii="宋体" w:hAnsi="宋体" w:eastAsia="宋体" w:cs="宋体"/>
                <w:color w:val="000000" w:themeColor="text1"/>
                <w:sz w:val="24"/>
                <w:szCs w:val="24"/>
                <w:highlight w:val="none"/>
                <w14:textFill>
                  <w14:solidFill>
                    <w14:schemeClr w14:val="tx1"/>
                  </w14:solidFill>
                </w14:textFill>
              </w:rPr>
            </w:pPr>
          </w:p>
        </w:tc>
      </w:tr>
      <w:tr w14:paraId="5AF47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957" w:type="dxa"/>
            <w:vAlign w:val="center"/>
          </w:tcPr>
          <w:p w14:paraId="4FE05D83">
            <w:pPr>
              <w:pageBreakBefore w:val="0"/>
              <w:wordWrap/>
              <w:topLinePunct w:val="0"/>
              <w:bidi w:val="0"/>
              <w:spacing w:line="56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p>
        </w:tc>
        <w:tc>
          <w:tcPr>
            <w:tcW w:w="2128" w:type="dxa"/>
          </w:tcPr>
          <w:p w14:paraId="1449827B">
            <w:pPr>
              <w:pageBreakBefore w:val="0"/>
              <w:wordWrap/>
              <w:topLinePunct w:val="0"/>
              <w:bidi w:val="0"/>
              <w:spacing w:line="560" w:lineRule="exact"/>
              <w:rPr>
                <w:rFonts w:hint="eastAsia" w:ascii="宋体" w:hAnsi="宋体" w:eastAsia="宋体" w:cs="宋体"/>
                <w:color w:val="000000" w:themeColor="text1"/>
                <w:sz w:val="24"/>
                <w:szCs w:val="24"/>
                <w:highlight w:val="none"/>
                <w14:textFill>
                  <w14:solidFill>
                    <w14:schemeClr w14:val="tx1"/>
                  </w14:solidFill>
                </w14:textFill>
              </w:rPr>
            </w:pPr>
          </w:p>
        </w:tc>
        <w:tc>
          <w:tcPr>
            <w:tcW w:w="2410" w:type="dxa"/>
          </w:tcPr>
          <w:p w14:paraId="243B304F">
            <w:pPr>
              <w:pageBreakBefore w:val="0"/>
              <w:wordWrap/>
              <w:topLinePunct w:val="0"/>
              <w:bidi w:val="0"/>
              <w:spacing w:line="560" w:lineRule="exact"/>
              <w:rPr>
                <w:rFonts w:hint="eastAsia" w:ascii="宋体" w:hAnsi="宋体" w:eastAsia="宋体" w:cs="宋体"/>
                <w:color w:val="000000" w:themeColor="text1"/>
                <w:sz w:val="24"/>
                <w:szCs w:val="24"/>
                <w:highlight w:val="none"/>
                <w14:textFill>
                  <w14:solidFill>
                    <w14:schemeClr w14:val="tx1"/>
                  </w14:solidFill>
                </w14:textFill>
              </w:rPr>
            </w:pPr>
          </w:p>
        </w:tc>
        <w:tc>
          <w:tcPr>
            <w:tcW w:w="2378" w:type="dxa"/>
          </w:tcPr>
          <w:p w14:paraId="26F664BD">
            <w:pPr>
              <w:pageBreakBefore w:val="0"/>
              <w:wordWrap/>
              <w:topLinePunct w:val="0"/>
              <w:bidi w:val="0"/>
              <w:spacing w:line="560" w:lineRule="exact"/>
              <w:rPr>
                <w:rFonts w:hint="eastAsia" w:ascii="宋体" w:hAnsi="宋体" w:eastAsia="宋体" w:cs="宋体"/>
                <w:color w:val="000000" w:themeColor="text1"/>
                <w:sz w:val="24"/>
                <w:szCs w:val="24"/>
                <w:highlight w:val="none"/>
                <w14:textFill>
                  <w14:solidFill>
                    <w14:schemeClr w14:val="tx1"/>
                  </w14:solidFill>
                </w14:textFill>
              </w:rPr>
            </w:pPr>
          </w:p>
        </w:tc>
        <w:tc>
          <w:tcPr>
            <w:tcW w:w="1732" w:type="dxa"/>
          </w:tcPr>
          <w:p w14:paraId="669729C8">
            <w:pPr>
              <w:pageBreakBefore w:val="0"/>
              <w:wordWrap/>
              <w:topLinePunct w:val="0"/>
              <w:bidi w:val="0"/>
              <w:spacing w:line="560" w:lineRule="exact"/>
              <w:rPr>
                <w:rFonts w:hint="eastAsia" w:ascii="宋体" w:hAnsi="宋体" w:eastAsia="宋体" w:cs="宋体"/>
                <w:color w:val="000000" w:themeColor="text1"/>
                <w:sz w:val="24"/>
                <w:szCs w:val="24"/>
                <w:highlight w:val="none"/>
                <w14:textFill>
                  <w14:solidFill>
                    <w14:schemeClr w14:val="tx1"/>
                  </w14:solidFill>
                </w14:textFill>
              </w:rPr>
            </w:pPr>
          </w:p>
        </w:tc>
      </w:tr>
      <w:tr w14:paraId="2CB08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957" w:type="dxa"/>
            <w:vAlign w:val="center"/>
          </w:tcPr>
          <w:p w14:paraId="5BE0868B">
            <w:pPr>
              <w:pageBreakBefore w:val="0"/>
              <w:wordWrap/>
              <w:topLinePunct w:val="0"/>
              <w:bidi w:val="0"/>
              <w:spacing w:line="56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w:t>
            </w:r>
          </w:p>
        </w:tc>
        <w:tc>
          <w:tcPr>
            <w:tcW w:w="2128" w:type="dxa"/>
          </w:tcPr>
          <w:p w14:paraId="0F2B6570">
            <w:pPr>
              <w:pageBreakBefore w:val="0"/>
              <w:wordWrap/>
              <w:topLinePunct w:val="0"/>
              <w:bidi w:val="0"/>
              <w:spacing w:line="560" w:lineRule="exact"/>
              <w:rPr>
                <w:rFonts w:hint="eastAsia" w:ascii="宋体" w:hAnsi="宋体" w:eastAsia="宋体" w:cs="宋体"/>
                <w:color w:val="000000" w:themeColor="text1"/>
                <w:sz w:val="24"/>
                <w:szCs w:val="24"/>
                <w:highlight w:val="none"/>
                <w14:textFill>
                  <w14:solidFill>
                    <w14:schemeClr w14:val="tx1"/>
                  </w14:solidFill>
                </w14:textFill>
              </w:rPr>
            </w:pPr>
          </w:p>
        </w:tc>
        <w:tc>
          <w:tcPr>
            <w:tcW w:w="2410" w:type="dxa"/>
          </w:tcPr>
          <w:p w14:paraId="27F7010B">
            <w:pPr>
              <w:pageBreakBefore w:val="0"/>
              <w:wordWrap/>
              <w:topLinePunct w:val="0"/>
              <w:bidi w:val="0"/>
              <w:spacing w:line="560" w:lineRule="exact"/>
              <w:rPr>
                <w:rFonts w:hint="eastAsia" w:ascii="宋体" w:hAnsi="宋体" w:eastAsia="宋体" w:cs="宋体"/>
                <w:color w:val="000000" w:themeColor="text1"/>
                <w:sz w:val="24"/>
                <w:szCs w:val="24"/>
                <w:highlight w:val="none"/>
                <w14:textFill>
                  <w14:solidFill>
                    <w14:schemeClr w14:val="tx1"/>
                  </w14:solidFill>
                </w14:textFill>
              </w:rPr>
            </w:pPr>
          </w:p>
        </w:tc>
        <w:tc>
          <w:tcPr>
            <w:tcW w:w="2378" w:type="dxa"/>
          </w:tcPr>
          <w:p w14:paraId="1A5C88F7">
            <w:pPr>
              <w:pageBreakBefore w:val="0"/>
              <w:wordWrap/>
              <w:topLinePunct w:val="0"/>
              <w:bidi w:val="0"/>
              <w:spacing w:line="560" w:lineRule="exact"/>
              <w:rPr>
                <w:rFonts w:hint="eastAsia" w:ascii="宋体" w:hAnsi="宋体" w:eastAsia="宋体" w:cs="宋体"/>
                <w:color w:val="000000" w:themeColor="text1"/>
                <w:sz w:val="24"/>
                <w:szCs w:val="24"/>
                <w:highlight w:val="none"/>
                <w14:textFill>
                  <w14:solidFill>
                    <w14:schemeClr w14:val="tx1"/>
                  </w14:solidFill>
                </w14:textFill>
              </w:rPr>
            </w:pPr>
          </w:p>
        </w:tc>
        <w:tc>
          <w:tcPr>
            <w:tcW w:w="1732" w:type="dxa"/>
          </w:tcPr>
          <w:p w14:paraId="25990898">
            <w:pPr>
              <w:pageBreakBefore w:val="0"/>
              <w:wordWrap/>
              <w:topLinePunct w:val="0"/>
              <w:bidi w:val="0"/>
              <w:spacing w:line="560" w:lineRule="exact"/>
              <w:rPr>
                <w:rFonts w:hint="eastAsia" w:ascii="宋体" w:hAnsi="宋体" w:eastAsia="宋体" w:cs="宋体"/>
                <w:color w:val="000000" w:themeColor="text1"/>
                <w:sz w:val="24"/>
                <w:szCs w:val="24"/>
                <w:highlight w:val="none"/>
                <w14:textFill>
                  <w14:solidFill>
                    <w14:schemeClr w14:val="tx1"/>
                  </w14:solidFill>
                </w14:textFill>
              </w:rPr>
            </w:pPr>
          </w:p>
        </w:tc>
      </w:tr>
      <w:tr w14:paraId="263E6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957" w:type="dxa"/>
            <w:vAlign w:val="center"/>
          </w:tcPr>
          <w:p w14:paraId="33368781">
            <w:pPr>
              <w:pageBreakBefore w:val="0"/>
              <w:wordWrap/>
              <w:topLinePunct w:val="0"/>
              <w:bidi w:val="0"/>
              <w:spacing w:line="56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w:t>
            </w:r>
          </w:p>
        </w:tc>
        <w:tc>
          <w:tcPr>
            <w:tcW w:w="2128" w:type="dxa"/>
          </w:tcPr>
          <w:p w14:paraId="0E13FBB8">
            <w:pPr>
              <w:pageBreakBefore w:val="0"/>
              <w:wordWrap/>
              <w:topLinePunct w:val="0"/>
              <w:bidi w:val="0"/>
              <w:spacing w:line="560" w:lineRule="exact"/>
              <w:rPr>
                <w:rFonts w:hint="eastAsia" w:ascii="宋体" w:hAnsi="宋体" w:eastAsia="宋体" w:cs="宋体"/>
                <w:color w:val="000000" w:themeColor="text1"/>
                <w:sz w:val="24"/>
                <w:szCs w:val="24"/>
                <w:highlight w:val="none"/>
                <w14:textFill>
                  <w14:solidFill>
                    <w14:schemeClr w14:val="tx1"/>
                  </w14:solidFill>
                </w14:textFill>
              </w:rPr>
            </w:pPr>
          </w:p>
        </w:tc>
        <w:tc>
          <w:tcPr>
            <w:tcW w:w="2410" w:type="dxa"/>
          </w:tcPr>
          <w:p w14:paraId="3DE2B73C">
            <w:pPr>
              <w:pageBreakBefore w:val="0"/>
              <w:wordWrap/>
              <w:topLinePunct w:val="0"/>
              <w:bidi w:val="0"/>
              <w:spacing w:line="560" w:lineRule="exact"/>
              <w:rPr>
                <w:rFonts w:hint="eastAsia" w:ascii="宋体" w:hAnsi="宋体" w:eastAsia="宋体" w:cs="宋体"/>
                <w:color w:val="000000" w:themeColor="text1"/>
                <w:sz w:val="24"/>
                <w:szCs w:val="24"/>
                <w:highlight w:val="none"/>
                <w14:textFill>
                  <w14:solidFill>
                    <w14:schemeClr w14:val="tx1"/>
                  </w14:solidFill>
                </w14:textFill>
              </w:rPr>
            </w:pPr>
          </w:p>
        </w:tc>
        <w:tc>
          <w:tcPr>
            <w:tcW w:w="2378" w:type="dxa"/>
          </w:tcPr>
          <w:p w14:paraId="76ED1881">
            <w:pPr>
              <w:pageBreakBefore w:val="0"/>
              <w:wordWrap/>
              <w:topLinePunct w:val="0"/>
              <w:bidi w:val="0"/>
              <w:spacing w:line="560" w:lineRule="exact"/>
              <w:rPr>
                <w:rFonts w:hint="eastAsia" w:ascii="宋体" w:hAnsi="宋体" w:eastAsia="宋体" w:cs="宋体"/>
                <w:color w:val="000000" w:themeColor="text1"/>
                <w:sz w:val="24"/>
                <w:szCs w:val="24"/>
                <w:highlight w:val="none"/>
                <w14:textFill>
                  <w14:solidFill>
                    <w14:schemeClr w14:val="tx1"/>
                  </w14:solidFill>
                </w14:textFill>
              </w:rPr>
            </w:pPr>
          </w:p>
        </w:tc>
        <w:tc>
          <w:tcPr>
            <w:tcW w:w="1732" w:type="dxa"/>
          </w:tcPr>
          <w:p w14:paraId="449A950D">
            <w:pPr>
              <w:pageBreakBefore w:val="0"/>
              <w:wordWrap/>
              <w:topLinePunct w:val="0"/>
              <w:bidi w:val="0"/>
              <w:spacing w:line="560" w:lineRule="exact"/>
              <w:rPr>
                <w:rFonts w:hint="eastAsia" w:ascii="宋体" w:hAnsi="宋体" w:eastAsia="宋体" w:cs="宋体"/>
                <w:color w:val="000000" w:themeColor="text1"/>
                <w:sz w:val="24"/>
                <w:szCs w:val="24"/>
                <w:highlight w:val="none"/>
                <w14:textFill>
                  <w14:solidFill>
                    <w14:schemeClr w14:val="tx1"/>
                  </w14:solidFill>
                </w14:textFill>
              </w:rPr>
            </w:pPr>
          </w:p>
        </w:tc>
      </w:tr>
      <w:tr w14:paraId="7805E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957" w:type="dxa"/>
            <w:vAlign w:val="center"/>
          </w:tcPr>
          <w:p w14:paraId="6F9A2717">
            <w:pPr>
              <w:pageBreakBefore w:val="0"/>
              <w:wordWrap/>
              <w:topLinePunct w:val="0"/>
              <w:bidi w:val="0"/>
              <w:spacing w:line="56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w:t>
            </w:r>
          </w:p>
        </w:tc>
        <w:tc>
          <w:tcPr>
            <w:tcW w:w="2128" w:type="dxa"/>
          </w:tcPr>
          <w:p w14:paraId="5DEFC3D5">
            <w:pPr>
              <w:pageBreakBefore w:val="0"/>
              <w:wordWrap/>
              <w:topLinePunct w:val="0"/>
              <w:bidi w:val="0"/>
              <w:spacing w:line="560" w:lineRule="exact"/>
              <w:rPr>
                <w:rFonts w:hint="eastAsia" w:ascii="宋体" w:hAnsi="宋体" w:eastAsia="宋体" w:cs="宋体"/>
                <w:color w:val="000000" w:themeColor="text1"/>
                <w:sz w:val="24"/>
                <w:szCs w:val="24"/>
                <w:highlight w:val="none"/>
                <w14:textFill>
                  <w14:solidFill>
                    <w14:schemeClr w14:val="tx1"/>
                  </w14:solidFill>
                </w14:textFill>
              </w:rPr>
            </w:pPr>
          </w:p>
        </w:tc>
        <w:tc>
          <w:tcPr>
            <w:tcW w:w="2410" w:type="dxa"/>
          </w:tcPr>
          <w:p w14:paraId="0FE456DF">
            <w:pPr>
              <w:pageBreakBefore w:val="0"/>
              <w:wordWrap/>
              <w:topLinePunct w:val="0"/>
              <w:bidi w:val="0"/>
              <w:spacing w:line="560" w:lineRule="exact"/>
              <w:rPr>
                <w:rFonts w:hint="eastAsia" w:ascii="宋体" w:hAnsi="宋体" w:eastAsia="宋体" w:cs="宋体"/>
                <w:color w:val="000000" w:themeColor="text1"/>
                <w:sz w:val="24"/>
                <w:szCs w:val="24"/>
                <w:highlight w:val="none"/>
                <w14:textFill>
                  <w14:solidFill>
                    <w14:schemeClr w14:val="tx1"/>
                  </w14:solidFill>
                </w14:textFill>
              </w:rPr>
            </w:pPr>
          </w:p>
        </w:tc>
        <w:tc>
          <w:tcPr>
            <w:tcW w:w="2378" w:type="dxa"/>
          </w:tcPr>
          <w:p w14:paraId="7B77E0EB">
            <w:pPr>
              <w:pageBreakBefore w:val="0"/>
              <w:wordWrap/>
              <w:topLinePunct w:val="0"/>
              <w:bidi w:val="0"/>
              <w:spacing w:line="560" w:lineRule="exact"/>
              <w:rPr>
                <w:rFonts w:hint="eastAsia" w:ascii="宋体" w:hAnsi="宋体" w:eastAsia="宋体" w:cs="宋体"/>
                <w:color w:val="000000" w:themeColor="text1"/>
                <w:sz w:val="24"/>
                <w:szCs w:val="24"/>
                <w:highlight w:val="none"/>
                <w14:textFill>
                  <w14:solidFill>
                    <w14:schemeClr w14:val="tx1"/>
                  </w14:solidFill>
                </w14:textFill>
              </w:rPr>
            </w:pPr>
          </w:p>
        </w:tc>
        <w:tc>
          <w:tcPr>
            <w:tcW w:w="1732" w:type="dxa"/>
          </w:tcPr>
          <w:p w14:paraId="4280F1DE">
            <w:pPr>
              <w:pageBreakBefore w:val="0"/>
              <w:wordWrap/>
              <w:topLinePunct w:val="0"/>
              <w:bidi w:val="0"/>
              <w:spacing w:line="560" w:lineRule="exact"/>
              <w:rPr>
                <w:rFonts w:hint="eastAsia" w:ascii="宋体" w:hAnsi="宋体" w:eastAsia="宋体" w:cs="宋体"/>
                <w:color w:val="000000" w:themeColor="text1"/>
                <w:sz w:val="24"/>
                <w:szCs w:val="24"/>
                <w:highlight w:val="none"/>
                <w14:textFill>
                  <w14:solidFill>
                    <w14:schemeClr w14:val="tx1"/>
                  </w14:solidFill>
                </w14:textFill>
              </w:rPr>
            </w:pPr>
          </w:p>
        </w:tc>
      </w:tr>
      <w:tr w14:paraId="2C66A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957" w:type="dxa"/>
            <w:vAlign w:val="center"/>
          </w:tcPr>
          <w:p w14:paraId="2245C0FB">
            <w:pPr>
              <w:pageBreakBefore w:val="0"/>
              <w:wordWrap/>
              <w:topLinePunct w:val="0"/>
              <w:bidi w:val="0"/>
              <w:spacing w:line="56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w:t>
            </w:r>
          </w:p>
        </w:tc>
        <w:tc>
          <w:tcPr>
            <w:tcW w:w="2128" w:type="dxa"/>
          </w:tcPr>
          <w:p w14:paraId="385CB2D3">
            <w:pPr>
              <w:pageBreakBefore w:val="0"/>
              <w:wordWrap/>
              <w:topLinePunct w:val="0"/>
              <w:bidi w:val="0"/>
              <w:spacing w:line="560" w:lineRule="exact"/>
              <w:rPr>
                <w:rFonts w:hint="eastAsia" w:ascii="宋体" w:hAnsi="宋体" w:eastAsia="宋体" w:cs="宋体"/>
                <w:color w:val="000000" w:themeColor="text1"/>
                <w:sz w:val="24"/>
                <w:szCs w:val="24"/>
                <w:highlight w:val="none"/>
                <w14:textFill>
                  <w14:solidFill>
                    <w14:schemeClr w14:val="tx1"/>
                  </w14:solidFill>
                </w14:textFill>
              </w:rPr>
            </w:pPr>
          </w:p>
        </w:tc>
        <w:tc>
          <w:tcPr>
            <w:tcW w:w="2410" w:type="dxa"/>
          </w:tcPr>
          <w:p w14:paraId="45A7EAC6">
            <w:pPr>
              <w:pageBreakBefore w:val="0"/>
              <w:wordWrap/>
              <w:topLinePunct w:val="0"/>
              <w:bidi w:val="0"/>
              <w:spacing w:line="560" w:lineRule="exact"/>
              <w:rPr>
                <w:rFonts w:hint="eastAsia" w:ascii="宋体" w:hAnsi="宋体" w:eastAsia="宋体" w:cs="宋体"/>
                <w:color w:val="000000" w:themeColor="text1"/>
                <w:sz w:val="24"/>
                <w:szCs w:val="24"/>
                <w:highlight w:val="none"/>
                <w14:textFill>
                  <w14:solidFill>
                    <w14:schemeClr w14:val="tx1"/>
                  </w14:solidFill>
                </w14:textFill>
              </w:rPr>
            </w:pPr>
          </w:p>
        </w:tc>
        <w:tc>
          <w:tcPr>
            <w:tcW w:w="2378" w:type="dxa"/>
          </w:tcPr>
          <w:p w14:paraId="4BF106C4">
            <w:pPr>
              <w:pageBreakBefore w:val="0"/>
              <w:wordWrap/>
              <w:topLinePunct w:val="0"/>
              <w:bidi w:val="0"/>
              <w:spacing w:line="560" w:lineRule="exact"/>
              <w:rPr>
                <w:rFonts w:hint="eastAsia" w:ascii="宋体" w:hAnsi="宋体" w:eastAsia="宋体" w:cs="宋体"/>
                <w:color w:val="000000" w:themeColor="text1"/>
                <w:sz w:val="24"/>
                <w:szCs w:val="24"/>
                <w:highlight w:val="none"/>
                <w14:textFill>
                  <w14:solidFill>
                    <w14:schemeClr w14:val="tx1"/>
                  </w14:solidFill>
                </w14:textFill>
              </w:rPr>
            </w:pPr>
          </w:p>
        </w:tc>
        <w:tc>
          <w:tcPr>
            <w:tcW w:w="1732" w:type="dxa"/>
          </w:tcPr>
          <w:p w14:paraId="41584F74">
            <w:pPr>
              <w:pageBreakBefore w:val="0"/>
              <w:wordWrap/>
              <w:topLinePunct w:val="0"/>
              <w:bidi w:val="0"/>
              <w:spacing w:line="560" w:lineRule="exact"/>
              <w:rPr>
                <w:rFonts w:hint="eastAsia" w:ascii="宋体" w:hAnsi="宋体" w:eastAsia="宋体" w:cs="宋体"/>
                <w:color w:val="000000" w:themeColor="text1"/>
                <w:sz w:val="24"/>
                <w:szCs w:val="24"/>
                <w:highlight w:val="none"/>
                <w14:textFill>
                  <w14:solidFill>
                    <w14:schemeClr w14:val="tx1"/>
                  </w14:solidFill>
                </w14:textFill>
              </w:rPr>
            </w:pPr>
          </w:p>
        </w:tc>
      </w:tr>
      <w:tr w14:paraId="0FD17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957" w:type="dxa"/>
            <w:vAlign w:val="center"/>
          </w:tcPr>
          <w:p w14:paraId="2131724D">
            <w:pPr>
              <w:pageBreakBefore w:val="0"/>
              <w:wordWrap/>
              <w:topLinePunct w:val="0"/>
              <w:bidi w:val="0"/>
              <w:spacing w:line="56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p>
        </w:tc>
        <w:tc>
          <w:tcPr>
            <w:tcW w:w="2128" w:type="dxa"/>
          </w:tcPr>
          <w:p w14:paraId="44495959">
            <w:pPr>
              <w:pageBreakBefore w:val="0"/>
              <w:wordWrap/>
              <w:topLinePunct w:val="0"/>
              <w:bidi w:val="0"/>
              <w:spacing w:line="560" w:lineRule="exact"/>
              <w:rPr>
                <w:rFonts w:hint="eastAsia" w:ascii="宋体" w:hAnsi="宋体" w:eastAsia="宋体" w:cs="宋体"/>
                <w:color w:val="000000" w:themeColor="text1"/>
                <w:sz w:val="24"/>
                <w:szCs w:val="24"/>
                <w:highlight w:val="none"/>
                <w14:textFill>
                  <w14:solidFill>
                    <w14:schemeClr w14:val="tx1"/>
                  </w14:solidFill>
                </w14:textFill>
              </w:rPr>
            </w:pPr>
          </w:p>
        </w:tc>
        <w:tc>
          <w:tcPr>
            <w:tcW w:w="2410" w:type="dxa"/>
          </w:tcPr>
          <w:p w14:paraId="2AC4508C">
            <w:pPr>
              <w:pageBreakBefore w:val="0"/>
              <w:wordWrap/>
              <w:topLinePunct w:val="0"/>
              <w:bidi w:val="0"/>
              <w:spacing w:line="560" w:lineRule="exact"/>
              <w:rPr>
                <w:rFonts w:hint="eastAsia" w:ascii="宋体" w:hAnsi="宋体" w:eastAsia="宋体" w:cs="宋体"/>
                <w:color w:val="000000" w:themeColor="text1"/>
                <w:sz w:val="24"/>
                <w:szCs w:val="24"/>
                <w:highlight w:val="none"/>
                <w14:textFill>
                  <w14:solidFill>
                    <w14:schemeClr w14:val="tx1"/>
                  </w14:solidFill>
                </w14:textFill>
              </w:rPr>
            </w:pPr>
          </w:p>
        </w:tc>
        <w:tc>
          <w:tcPr>
            <w:tcW w:w="2378" w:type="dxa"/>
          </w:tcPr>
          <w:p w14:paraId="5CD8F2EA">
            <w:pPr>
              <w:pageBreakBefore w:val="0"/>
              <w:wordWrap/>
              <w:topLinePunct w:val="0"/>
              <w:bidi w:val="0"/>
              <w:spacing w:line="560" w:lineRule="exact"/>
              <w:rPr>
                <w:rFonts w:hint="eastAsia" w:ascii="宋体" w:hAnsi="宋体" w:eastAsia="宋体" w:cs="宋体"/>
                <w:color w:val="000000" w:themeColor="text1"/>
                <w:sz w:val="24"/>
                <w:szCs w:val="24"/>
                <w:highlight w:val="none"/>
                <w14:textFill>
                  <w14:solidFill>
                    <w14:schemeClr w14:val="tx1"/>
                  </w14:solidFill>
                </w14:textFill>
              </w:rPr>
            </w:pPr>
          </w:p>
        </w:tc>
        <w:tc>
          <w:tcPr>
            <w:tcW w:w="1732" w:type="dxa"/>
          </w:tcPr>
          <w:p w14:paraId="41F737AE">
            <w:pPr>
              <w:pageBreakBefore w:val="0"/>
              <w:wordWrap/>
              <w:topLinePunct w:val="0"/>
              <w:bidi w:val="0"/>
              <w:spacing w:line="560" w:lineRule="exact"/>
              <w:rPr>
                <w:rFonts w:hint="eastAsia" w:ascii="宋体" w:hAnsi="宋体" w:eastAsia="宋体" w:cs="宋体"/>
                <w:color w:val="000000" w:themeColor="text1"/>
                <w:sz w:val="24"/>
                <w:szCs w:val="24"/>
                <w:highlight w:val="none"/>
                <w14:textFill>
                  <w14:solidFill>
                    <w14:schemeClr w14:val="tx1"/>
                  </w14:solidFill>
                </w14:textFill>
              </w:rPr>
            </w:pPr>
          </w:p>
        </w:tc>
      </w:tr>
      <w:tr w14:paraId="52FA8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957" w:type="dxa"/>
            <w:vAlign w:val="center"/>
          </w:tcPr>
          <w:p w14:paraId="10552F64">
            <w:pPr>
              <w:pageBreakBefore w:val="0"/>
              <w:wordWrap/>
              <w:topLinePunct w:val="0"/>
              <w:bidi w:val="0"/>
              <w:spacing w:line="56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p>
        </w:tc>
        <w:tc>
          <w:tcPr>
            <w:tcW w:w="2128" w:type="dxa"/>
          </w:tcPr>
          <w:p w14:paraId="42BD6EFD">
            <w:pPr>
              <w:pageBreakBefore w:val="0"/>
              <w:wordWrap/>
              <w:topLinePunct w:val="0"/>
              <w:bidi w:val="0"/>
              <w:spacing w:line="560" w:lineRule="exact"/>
              <w:rPr>
                <w:rFonts w:hint="eastAsia" w:ascii="宋体" w:hAnsi="宋体" w:eastAsia="宋体" w:cs="宋体"/>
                <w:color w:val="000000" w:themeColor="text1"/>
                <w:sz w:val="24"/>
                <w:szCs w:val="24"/>
                <w:highlight w:val="none"/>
                <w14:textFill>
                  <w14:solidFill>
                    <w14:schemeClr w14:val="tx1"/>
                  </w14:solidFill>
                </w14:textFill>
              </w:rPr>
            </w:pPr>
          </w:p>
        </w:tc>
        <w:tc>
          <w:tcPr>
            <w:tcW w:w="2410" w:type="dxa"/>
          </w:tcPr>
          <w:p w14:paraId="37005338">
            <w:pPr>
              <w:pageBreakBefore w:val="0"/>
              <w:wordWrap/>
              <w:topLinePunct w:val="0"/>
              <w:bidi w:val="0"/>
              <w:spacing w:line="560" w:lineRule="exact"/>
              <w:rPr>
                <w:rFonts w:hint="eastAsia" w:ascii="宋体" w:hAnsi="宋体" w:eastAsia="宋体" w:cs="宋体"/>
                <w:color w:val="000000" w:themeColor="text1"/>
                <w:sz w:val="24"/>
                <w:szCs w:val="24"/>
                <w:highlight w:val="none"/>
                <w14:textFill>
                  <w14:solidFill>
                    <w14:schemeClr w14:val="tx1"/>
                  </w14:solidFill>
                </w14:textFill>
              </w:rPr>
            </w:pPr>
          </w:p>
        </w:tc>
        <w:tc>
          <w:tcPr>
            <w:tcW w:w="2378" w:type="dxa"/>
          </w:tcPr>
          <w:p w14:paraId="7DD77634">
            <w:pPr>
              <w:pageBreakBefore w:val="0"/>
              <w:wordWrap/>
              <w:topLinePunct w:val="0"/>
              <w:bidi w:val="0"/>
              <w:spacing w:line="560" w:lineRule="exact"/>
              <w:rPr>
                <w:rFonts w:hint="eastAsia" w:ascii="宋体" w:hAnsi="宋体" w:eastAsia="宋体" w:cs="宋体"/>
                <w:color w:val="000000" w:themeColor="text1"/>
                <w:sz w:val="24"/>
                <w:szCs w:val="24"/>
                <w:highlight w:val="none"/>
                <w14:textFill>
                  <w14:solidFill>
                    <w14:schemeClr w14:val="tx1"/>
                  </w14:solidFill>
                </w14:textFill>
              </w:rPr>
            </w:pPr>
          </w:p>
        </w:tc>
        <w:tc>
          <w:tcPr>
            <w:tcW w:w="1732" w:type="dxa"/>
          </w:tcPr>
          <w:p w14:paraId="18B96E1A">
            <w:pPr>
              <w:pageBreakBefore w:val="0"/>
              <w:wordWrap/>
              <w:topLinePunct w:val="0"/>
              <w:bidi w:val="0"/>
              <w:spacing w:line="560" w:lineRule="exact"/>
              <w:rPr>
                <w:rFonts w:hint="eastAsia" w:ascii="宋体" w:hAnsi="宋体" w:eastAsia="宋体" w:cs="宋体"/>
                <w:color w:val="000000" w:themeColor="text1"/>
                <w:sz w:val="24"/>
                <w:szCs w:val="24"/>
                <w:highlight w:val="none"/>
                <w14:textFill>
                  <w14:solidFill>
                    <w14:schemeClr w14:val="tx1"/>
                  </w14:solidFill>
                </w14:textFill>
              </w:rPr>
            </w:pPr>
          </w:p>
        </w:tc>
      </w:tr>
      <w:tr w14:paraId="28E58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957" w:type="dxa"/>
            <w:vAlign w:val="center"/>
          </w:tcPr>
          <w:p w14:paraId="64643953">
            <w:pPr>
              <w:pageBreakBefore w:val="0"/>
              <w:wordWrap/>
              <w:topLinePunct w:val="0"/>
              <w:bidi w:val="0"/>
              <w:spacing w:line="56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p>
        </w:tc>
        <w:tc>
          <w:tcPr>
            <w:tcW w:w="2128" w:type="dxa"/>
          </w:tcPr>
          <w:p w14:paraId="655B104E">
            <w:pPr>
              <w:pageBreakBefore w:val="0"/>
              <w:wordWrap/>
              <w:topLinePunct w:val="0"/>
              <w:bidi w:val="0"/>
              <w:spacing w:line="560" w:lineRule="exact"/>
              <w:rPr>
                <w:rFonts w:hint="eastAsia" w:ascii="宋体" w:hAnsi="宋体" w:eastAsia="宋体" w:cs="宋体"/>
                <w:color w:val="000000" w:themeColor="text1"/>
                <w:sz w:val="24"/>
                <w:szCs w:val="24"/>
                <w:highlight w:val="none"/>
                <w14:textFill>
                  <w14:solidFill>
                    <w14:schemeClr w14:val="tx1"/>
                  </w14:solidFill>
                </w14:textFill>
              </w:rPr>
            </w:pPr>
          </w:p>
        </w:tc>
        <w:tc>
          <w:tcPr>
            <w:tcW w:w="2410" w:type="dxa"/>
          </w:tcPr>
          <w:p w14:paraId="003DF916">
            <w:pPr>
              <w:pageBreakBefore w:val="0"/>
              <w:wordWrap/>
              <w:topLinePunct w:val="0"/>
              <w:bidi w:val="0"/>
              <w:spacing w:line="560" w:lineRule="exact"/>
              <w:rPr>
                <w:rFonts w:hint="eastAsia" w:ascii="宋体" w:hAnsi="宋体" w:eastAsia="宋体" w:cs="宋体"/>
                <w:color w:val="000000" w:themeColor="text1"/>
                <w:sz w:val="24"/>
                <w:szCs w:val="24"/>
                <w:highlight w:val="none"/>
                <w14:textFill>
                  <w14:solidFill>
                    <w14:schemeClr w14:val="tx1"/>
                  </w14:solidFill>
                </w14:textFill>
              </w:rPr>
            </w:pPr>
          </w:p>
        </w:tc>
        <w:tc>
          <w:tcPr>
            <w:tcW w:w="2378" w:type="dxa"/>
          </w:tcPr>
          <w:p w14:paraId="268ECA6A">
            <w:pPr>
              <w:pageBreakBefore w:val="0"/>
              <w:wordWrap/>
              <w:topLinePunct w:val="0"/>
              <w:bidi w:val="0"/>
              <w:spacing w:line="560" w:lineRule="exact"/>
              <w:rPr>
                <w:rFonts w:hint="eastAsia" w:ascii="宋体" w:hAnsi="宋体" w:eastAsia="宋体" w:cs="宋体"/>
                <w:color w:val="000000" w:themeColor="text1"/>
                <w:sz w:val="24"/>
                <w:szCs w:val="24"/>
                <w:highlight w:val="none"/>
                <w14:textFill>
                  <w14:solidFill>
                    <w14:schemeClr w14:val="tx1"/>
                  </w14:solidFill>
                </w14:textFill>
              </w:rPr>
            </w:pPr>
          </w:p>
        </w:tc>
        <w:tc>
          <w:tcPr>
            <w:tcW w:w="1732" w:type="dxa"/>
          </w:tcPr>
          <w:p w14:paraId="4B41299F">
            <w:pPr>
              <w:pageBreakBefore w:val="0"/>
              <w:wordWrap/>
              <w:topLinePunct w:val="0"/>
              <w:bidi w:val="0"/>
              <w:spacing w:line="560" w:lineRule="exact"/>
              <w:rPr>
                <w:rFonts w:hint="eastAsia" w:ascii="宋体" w:hAnsi="宋体" w:eastAsia="宋体" w:cs="宋体"/>
                <w:color w:val="000000" w:themeColor="text1"/>
                <w:sz w:val="24"/>
                <w:szCs w:val="24"/>
                <w:highlight w:val="none"/>
                <w14:textFill>
                  <w14:solidFill>
                    <w14:schemeClr w14:val="tx1"/>
                  </w14:solidFill>
                </w14:textFill>
              </w:rPr>
            </w:pPr>
          </w:p>
        </w:tc>
      </w:tr>
    </w:tbl>
    <w:p w14:paraId="68B9842B">
      <w:pPr>
        <w:keepNext w:val="0"/>
        <w:keepLines w:val="0"/>
        <w:pageBreakBefore w:val="0"/>
        <w:widowControl w:val="0"/>
        <w:kinsoku/>
        <w:wordWrap/>
        <w:overflowPunct/>
        <w:topLinePunct w:val="0"/>
        <w:autoSpaceDE w:val="0"/>
        <w:autoSpaceDN w:val="0"/>
        <w:bidi w:val="0"/>
        <w:adjustRightInd/>
        <w:snapToGrid/>
        <w:spacing w:line="560" w:lineRule="exact"/>
        <w:ind w:left="0" w:leftChars="0" w:firstLine="0" w:firstLineChars="0"/>
        <w:textAlignment w:val="auto"/>
        <w:rPr>
          <w:rFonts w:hint="eastAsia" w:ascii="宋体" w:hAnsi="宋体" w:eastAsia="宋体" w:cs="宋体"/>
          <w:b/>
          <w:bCs/>
          <w:color w:val="000000" w:themeColor="text1"/>
          <w:kern w:val="0"/>
          <w:sz w:val="28"/>
          <w:szCs w:val="28"/>
          <w:highlight w:val="none"/>
          <w14:textFill>
            <w14:solidFill>
              <w14:schemeClr w14:val="tx1"/>
            </w14:solidFill>
          </w14:textFill>
        </w:rPr>
      </w:pPr>
      <w:r>
        <w:rPr>
          <w:rFonts w:hint="eastAsia" w:ascii="宋体" w:hAnsi="宋体" w:cs="宋体"/>
          <w:b/>
          <w:bCs/>
          <w:color w:val="000000" w:themeColor="text1"/>
          <w:kern w:val="0"/>
          <w:sz w:val="28"/>
          <w:szCs w:val="28"/>
          <w:highlight w:val="none"/>
          <w:lang w:eastAsia="zh-CN"/>
          <w14:textFill>
            <w14:solidFill>
              <w14:schemeClr w14:val="tx1"/>
            </w14:solidFill>
          </w14:textFill>
        </w:rPr>
        <w:t>注：</w:t>
      </w:r>
      <w:r>
        <w:rPr>
          <w:rFonts w:hint="eastAsia" w:ascii="宋体" w:hAnsi="宋体" w:cs="宋体"/>
          <w:b/>
          <w:bCs/>
          <w:color w:val="000000" w:themeColor="text1"/>
          <w:kern w:val="0"/>
          <w:sz w:val="28"/>
          <w:szCs w:val="28"/>
          <w:highlight w:val="none"/>
          <w:lang w:val="en-US" w:eastAsia="zh-CN"/>
          <w14:textFill>
            <w14:solidFill>
              <w14:schemeClr w14:val="tx1"/>
            </w14:solidFill>
          </w14:textFill>
        </w:rPr>
        <w:t>1</w:t>
      </w:r>
      <w:r>
        <w:rPr>
          <w:rFonts w:hint="eastAsia" w:ascii="宋体" w:hAnsi="宋体" w:eastAsia="宋体" w:cs="宋体"/>
          <w:b/>
          <w:bCs/>
          <w:color w:val="000000" w:themeColor="text1"/>
          <w:kern w:val="0"/>
          <w:sz w:val="28"/>
          <w:szCs w:val="28"/>
          <w:highlight w:val="none"/>
          <w14:textFill>
            <w14:solidFill>
              <w14:schemeClr w14:val="tx1"/>
            </w14:solidFill>
          </w14:textFill>
        </w:rPr>
        <w:t>.相关证明材料</w:t>
      </w:r>
      <w:r>
        <w:rPr>
          <w:rFonts w:hint="eastAsia" w:ascii="宋体" w:hAnsi="宋体" w:cs="宋体"/>
          <w:b/>
          <w:bCs/>
          <w:color w:val="000000" w:themeColor="text1"/>
          <w:kern w:val="0"/>
          <w:sz w:val="28"/>
          <w:szCs w:val="28"/>
          <w:highlight w:val="none"/>
          <w:lang w:eastAsia="zh-CN"/>
          <w14:textFill>
            <w14:solidFill>
              <w14:schemeClr w14:val="tx1"/>
            </w14:solidFill>
          </w14:textFill>
        </w:rPr>
        <w:t>如有</w:t>
      </w:r>
      <w:r>
        <w:rPr>
          <w:rFonts w:hint="eastAsia" w:ascii="宋体" w:hAnsi="宋体" w:eastAsia="宋体" w:cs="宋体"/>
          <w:b/>
          <w:bCs/>
          <w:color w:val="000000" w:themeColor="text1"/>
          <w:kern w:val="0"/>
          <w:sz w:val="28"/>
          <w:szCs w:val="28"/>
          <w:highlight w:val="none"/>
          <w14:textFill>
            <w14:solidFill>
              <w14:schemeClr w14:val="tx1"/>
            </w14:solidFill>
          </w14:textFill>
        </w:rPr>
        <w:t>（</w:t>
      </w:r>
      <w:r>
        <w:rPr>
          <w:rFonts w:hint="eastAsia" w:ascii="宋体" w:hAnsi="宋体" w:cs="宋体"/>
          <w:b/>
          <w:bCs/>
          <w:color w:val="000000" w:themeColor="text1"/>
          <w:kern w:val="0"/>
          <w:sz w:val="28"/>
          <w:szCs w:val="28"/>
          <w:highlight w:val="none"/>
          <w:lang w:eastAsia="zh-CN"/>
          <w14:textFill>
            <w14:solidFill>
              <w14:schemeClr w14:val="tx1"/>
            </w14:solidFill>
          </w14:textFill>
        </w:rPr>
        <w:t>如有设备的</w:t>
      </w:r>
      <w:r>
        <w:rPr>
          <w:rFonts w:hint="eastAsia" w:ascii="宋体" w:hAnsi="宋体" w:eastAsia="宋体" w:cs="宋体"/>
          <w:b/>
          <w:bCs/>
          <w:color w:val="000000" w:themeColor="text1"/>
          <w:kern w:val="0"/>
          <w:sz w:val="28"/>
          <w:szCs w:val="28"/>
          <w:highlight w:val="none"/>
          <w14:textFill>
            <w14:solidFill>
              <w14:schemeClr w14:val="tx1"/>
            </w14:solidFill>
          </w14:textFill>
        </w:rPr>
        <w:t>检测报告、</w:t>
      </w:r>
      <w:r>
        <w:rPr>
          <w:rFonts w:hint="eastAsia" w:ascii="宋体" w:hAnsi="宋体" w:cs="宋体"/>
          <w:b/>
          <w:bCs/>
          <w:color w:val="000000" w:themeColor="text1"/>
          <w:kern w:val="0"/>
          <w:sz w:val="28"/>
          <w:szCs w:val="28"/>
          <w:highlight w:val="none"/>
          <w:lang w:eastAsia="zh-CN"/>
          <w14:textFill>
            <w14:solidFill>
              <w14:schemeClr w14:val="tx1"/>
            </w14:solidFill>
          </w14:textFill>
        </w:rPr>
        <w:t>彩页、照片</w:t>
      </w:r>
      <w:r>
        <w:rPr>
          <w:rFonts w:hint="eastAsia" w:ascii="宋体" w:hAnsi="宋体" w:eastAsia="宋体" w:cs="宋体"/>
          <w:b/>
          <w:bCs/>
          <w:color w:val="000000" w:themeColor="text1"/>
          <w:kern w:val="0"/>
          <w:sz w:val="28"/>
          <w:szCs w:val="28"/>
          <w:highlight w:val="none"/>
          <w14:textFill>
            <w14:solidFill>
              <w14:schemeClr w14:val="tx1"/>
            </w14:solidFill>
          </w14:textFill>
        </w:rPr>
        <w:t>等）。</w:t>
      </w:r>
    </w:p>
    <w:p w14:paraId="269595CE">
      <w:pPr>
        <w:keepNext w:val="0"/>
        <w:keepLines w:val="0"/>
        <w:pageBreakBefore w:val="0"/>
        <w:widowControl w:val="0"/>
        <w:kinsoku/>
        <w:wordWrap/>
        <w:overflowPunct/>
        <w:topLinePunct w:val="0"/>
        <w:autoSpaceDE w:val="0"/>
        <w:autoSpaceDN w:val="0"/>
        <w:bidi w:val="0"/>
        <w:adjustRightInd/>
        <w:snapToGrid/>
        <w:spacing w:line="560" w:lineRule="exact"/>
        <w:ind w:left="0" w:leftChars="0" w:firstLine="562" w:firstLineChars="200"/>
        <w:textAlignment w:val="auto"/>
        <w:rPr>
          <w:rFonts w:hint="eastAsia" w:ascii="宋体" w:hAnsi="宋体" w:eastAsia="宋体" w:cs="宋体"/>
          <w:b/>
          <w:bCs/>
          <w:color w:val="000000" w:themeColor="text1"/>
          <w:kern w:val="0"/>
          <w:sz w:val="28"/>
          <w:szCs w:val="28"/>
          <w:highlight w:val="none"/>
          <w:lang w:val="en-US" w:eastAsia="zh-CN"/>
          <w14:textFill>
            <w14:solidFill>
              <w14:schemeClr w14:val="tx1"/>
            </w14:solidFill>
          </w14:textFill>
        </w:rPr>
      </w:pPr>
      <w:r>
        <w:rPr>
          <w:rFonts w:hint="eastAsia" w:ascii="宋体" w:hAnsi="宋体" w:cs="宋体"/>
          <w:b/>
          <w:bCs/>
          <w:color w:val="000000" w:themeColor="text1"/>
          <w:kern w:val="0"/>
          <w:sz w:val="28"/>
          <w:szCs w:val="28"/>
          <w:highlight w:val="none"/>
          <w:lang w:val="en-US" w:eastAsia="zh-CN"/>
          <w14:textFill>
            <w14:solidFill>
              <w14:schemeClr w14:val="tx1"/>
            </w14:solidFill>
          </w14:textFill>
        </w:rPr>
        <w:t>2、供应商可根据自身需求自行加减行数。</w:t>
      </w:r>
    </w:p>
    <w:p w14:paraId="3836CBEE">
      <w:pPr>
        <w:pageBreakBefore w:val="0"/>
        <w:wordWrap/>
        <w:topLinePunct w:val="0"/>
        <w:bidi w:val="0"/>
        <w:snapToGrid w:val="0"/>
        <w:spacing w:line="560" w:lineRule="exact"/>
        <w:rPr>
          <w:rFonts w:cs="仿宋_GB2312" w:asciiTheme="minorEastAsia" w:hAnsiTheme="minorEastAsia" w:eastAsiaTheme="minorEastAsia"/>
          <w:color w:val="000000" w:themeColor="text1"/>
          <w:kern w:val="0"/>
          <w:sz w:val="24"/>
          <w:highlight w:val="none"/>
          <w:lang w:val="zh-CN"/>
          <w14:textFill>
            <w14:solidFill>
              <w14:schemeClr w14:val="tx1"/>
            </w14:solidFill>
          </w14:textFill>
        </w:rPr>
      </w:pPr>
    </w:p>
    <w:p w14:paraId="4C005BDD">
      <w:pPr>
        <w:pageBreakBefore w:val="0"/>
        <w:wordWrap/>
        <w:topLinePunct w:val="0"/>
        <w:bidi w:val="0"/>
        <w:snapToGrid w:val="0"/>
        <w:spacing w:line="560" w:lineRule="exact"/>
        <w:rPr>
          <w:rFonts w:cs="仿宋_GB2312" w:asciiTheme="minorEastAsia" w:hAnsiTheme="minorEastAsia" w:eastAsiaTheme="minorEastAsia"/>
          <w:color w:val="000000" w:themeColor="text1"/>
          <w:kern w:val="0"/>
          <w:sz w:val="24"/>
          <w:highlight w:val="none"/>
          <w:lang w:val="zh-CN"/>
          <w14:textFill>
            <w14:solidFill>
              <w14:schemeClr w14:val="tx1"/>
            </w14:solidFill>
          </w14:textFill>
        </w:rPr>
      </w:pPr>
    </w:p>
    <w:p w14:paraId="2C12F2EE">
      <w:pPr>
        <w:pageBreakBefore w:val="0"/>
        <w:wordWrap/>
        <w:topLinePunct w:val="0"/>
        <w:bidi w:val="0"/>
        <w:snapToGrid w:val="0"/>
        <w:spacing w:line="560" w:lineRule="exact"/>
        <w:rPr>
          <w:rFonts w:cs="仿宋_GB2312" w:asciiTheme="minorEastAsia" w:hAnsiTheme="minorEastAsia" w:eastAsiaTheme="minorEastAsia"/>
          <w:color w:val="000000" w:themeColor="text1"/>
          <w:kern w:val="0"/>
          <w:sz w:val="24"/>
          <w:highlight w:val="none"/>
          <w:lang w:val="zh-CN"/>
          <w14:textFill>
            <w14:solidFill>
              <w14:schemeClr w14:val="tx1"/>
            </w14:solidFill>
          </w14:textFill>
        </w:rPr>
      </w:pPr>
    </w:p>
    <w:p w14:paraId="53099BE1">
      <w:pPr>
        <w:pageBreakBefore w:val="0"/>
        <w:wordWrap/>
        <w:topLinePunct w:val="0"/>
        <w:bidi w:val="0"/>
        <w:snapToGrid w:val="0"/>
        <w:spacing w:line="560" w:lineRule="exact"/>
        <w:rPr>
          <w:rFonts w:cs="仿宋_GB2312" w:asciiTheme="minorEastAsia" w:hAnsiTheme="minorEastAsia" w:eastAsiaTheme="minorEastAsia"/>
          <w:color w:val="000000" w:themeColor="text1"/>
          <w:kern w:val="0"/>
          <w:sz w:val="24"/>
          <w:highlight w:val="none"/>
          <w:lang w:val="zh-CN"/>
          <w14:textFill>
            <w14:solidFill>
              <w14:schemeClr w14:val="tx1"/>
            </w14:solidFill>
          </w14:textFill>
        </w:rPr>
      </w:pPr>
    </w:p>
    <w:p w14:paraId="1790A8E8">
      <w:pPr>
        <w:pageBreakBefore w:val="0"/>
        <w:wordWrap/>
        <w:topLinePunct w:val="0"/>
        <w:bidi w:val="0"/>
        <w:snapToGrid w:val="0"/>
        <w:spacing w:line="560" w:lineRule="exact"/>
        <w:rPr>
          <w:rFonts w:cs="仿宋_GB2312" w:asciiTheme="minorEastAsia" w:hAnsiTheme="minorEastAsia" w:eastAsiaTheme="minorEastAsia"/>
          <w:color w:val="000000" w:themeColor="text1"/>
          <w:kern w:val="0"/>
          <w:sz w:val="24"/>
          <w:highlight w:val="none"/>
          <w:lang w:val="zh-CN"/>
          <w14:textFill>
            <w14:solidFill>
              <w14:schemeClr w14:val="tx1"/>
            </w14:solidFill>
          </w14:textFill>
        </w:rPr>
      </w:pPr>
    </w:p>
    <w:p w14:paraId="40E4EEBA">
      <w:pPr>
        <w:pStyle w:val="17"/>
        <w:pageBreakBefore w:val="0"/>
        <w:wordWrap/>
        <w:topLinePunct w:val="0"/>
        <w:bidi w:val="0"/>
        <w:spacing w:line="560" w:lineRule="exac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二、</w:t>
      </w:r>
      <w:r>
        <w:rPr>
          <w:rFonts w:hint="eastAsia"/>
          <w:color w:val="000000" w:themeColor="text1"/>
          <w:highlight w:val="none"/>
          <w14:textFill>
            <w14:solidFill>
              <w14:schemeClr w14:val="tx1"/>
            </w14:solidFill>
          </w14:textFill>
        </w:rPr>
        <w:t>采购清单</w:t>
      </w:r>
    </w:p>
    <w:p w14:paraId="593D37C0">
      <w:pPr>
        <w:pStyle w:val="17"/>
        <w:pageBreakBefore w:val="0"/>
        <w:wordWrap/>
        <w:topLinePunct w:val="0"/>
        <w:bidi w:val="0"/>
        <w:spacing w:line="560" w:lineRule="exact"/>
        <w:ind w:firstLine="281" w:firstLineChars="100"/>
        <w:jc w:val="both"/>
        <w:rPr>
          <w:rFonts w:hint="eastAsia" w:eastAsiaTheme="minor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标项名称：</w:t>
      </w:r>
    </w:p>
    <w:tbl>
      <w:tblPr>
        <w:tblStyle w:val="34"/>
        <w:tblW w:w="9060" w:type="dxa"/>
        <w:jc w:val="center"/>
        <w:tblLayout w:type="fixed"/>
        <w:tblCellMar>
          <w:top w:w="15" w:type="dxa"/>
          <w:left w:w="15" w:type="dxa"/>
          <w:bottom w:w="15" w:type="dxa"/>
          <w:right w:w="15" w:type="dxa"/>
        </w:tblCellMar>
      </w:tblPr>
      <w:tblGrid>
        <w:gridCol w:w="622"/>
        <w:gridCol w:w="1472"/>
        <w:gridCol w:w="4542"/>
        <w:gridCol w:w="606"/>
        <w:gridCol w:w="606"/>
        <w:gridCol w:w="606"/>
        <w:gridCol w:w="606"/>
      </w:tblGrid>
      <w:tr w14:paraId="66D0DD98">
        <w:tblPrEx>
          <w:tblCellMar>
            <w:top w:w="15" w:type="dxa"/>
            <w:left w:w="15" w:type="dxa"/>
            <w:bottom w:w="15" w:type="dxa"/>
            <w:right w:w="15" w:type="dxa"/>
          </w:tblCellMar>
        </w:tblPrEx>
        <w:trPr>
          <w:trHeight w:val="838" w:hRule="atLeast"/>
          <w:jc w:val="center"/>
        </w:trPr>
        <w:tc>
          <w:tcPr>
            <w:tcW w:w="622" w:type="dxa"/>
            <w:tcBorders>
              <w:top w:val="single" w:color="auto" w:sz="4" w:space="0"/>
              <w:left w:val="single" w:color="auto" w:sz="4" w:space="0"/>
              <w:bottom w:val="single" w:color="auto" w:sz="4" w:space="0"/>
              <w:right w:val="single" w:color="auto" w:sz="4" w:space="0"/>
            </w:tcBorders>
            <w:vAlign w:val="center"/>
          </w:tcPr>
          <w:p w14:paraId="2A07EA8A">
            <w:pPr>
              <w:pageBreakBefore w:val="0"/>
              <w:wordWrap/>
              <w:topLinePunct w:val="0"/>
              <w:bidi w:val="0"/>
              <w:spacing w:line="560" w:lineRule="exact"/>
              <w:jc w:val="center"/>
              <w:textAlignment w:val="center"/>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kern w:val="0"/>
                <w:sz w:val="28"/>
                <w:szCs w:val="28"/>
                <w:highlight w:val="none"/>
                <w14:textFill>
                  <w14:solidFill>
                    <w14:schemeClr w14:val="tx1"/>
                  </w14:solidFill>
                </w14:textFill>
              </w:rPr>
              <w:t>序号</w:t>
            </w:r>
          </w:p>
        </w:tc>
        <w:tc>
          <w:tcPr>
            <w:tcW w:w="1472" w:type="dxa"/>
            <w:tcBorders>
              <w:top w:val="single" w:color="auto" w:sz="4" w:space="0"/>
              <w:left w:val="single" w:color="auto" w:sz="4" w:space="0"/>
              <w:bottom w:val="single" w:color="auto" w:sz="4" w:space="0"/>
              <w:right w:val="single" w:color="auto" w:sz="4" w:space="0"/>
            </w:tcBorders>
            <w:vAlign w:val="center"/>
          </w:tcPr>
          <w:p w14:paraId="0EB2926C">
            <w:pPr>
              <w:pageBreakBefore w:val="0"/>
              <w:wordWrap/>
              <w:topLinePunct w:val="0"/>
              <w:bidi w:val="0"/>
              <w:spacing w:line="560" w:lineRule="exact"/>
              <w:jc w:val="center"/>
              <w:textAlignment w:val="center"/>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kern w:val="0"/>
                <w:sz w:val="28"/>
                <w:szCs w:val="28"/>
                <w:highlight w:val="none"/>
                <w14:textFill>
                  <w14:solidFill>
                    <w14:schemeClr w14:val="tx1"/>
                  </w14:solidFill>
                </w14:textFill>
              </w:rPr>
              <w:t>设备名称</w:t>
            </w:r>
          </w:p>
        </w:tc>
        <w:tc>
          <w:tcPr>
            <w:tcW w:w="4542" w:type="dxa"/>
            <w:tcBorders>
              <w:top w:val="single" w:color="auto" w:sz="4" w:space="0"/>
              <w:left w:val="single" w:color="auto" w:sz="4" w:space="0"/>
              <w:bottom w:val="single" w:color="auto" w:sz="4" w:space="0"/>
              <w:right w:val="single" w:color="auto" w:sz="4" w:space="0"/>
            </w:tcBorders>
            <w:vAlign w:val="center"/>
          </w:tcPr>
          <w:p w14:paraId="79A9874C">
            <w:pPr>
              <w:pageBreakBefore w:val="0"/>
              <w:wordWrap/>
              <w:topLinePunct w:val="0"/>
              <w:bidi w:val="0"/>
              <w:spacing w:line="560" w:lineRule="exact"/>
              <w:jc w:val="center"/>
              <w:textAlignment w:val="center"/>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kern w:val="0"/>
                <w:sz w:val="28"/>
                <w:szCs w:val="28"/>
                <w:highlight w:val="none"/>
                <w14:textFill>
                  <w14:solidFill>
                    <w14:schemeClr w14:val="tx1"/>
                  </w14:solidFill>
                </w14:textFill>
              </w:rPr>
              <w:t>技术参数</w:t>
            </w:r>
          </w:p>
        </w:tc>
        <w:tc>
          <w:tcPr>
            <w:tcW w:w="606" w:type="dxa"/>
            <w:tcBorders>
              <w:top w:val="single" w:color="auto" w:sz="4" w:space="0"/>
              <w:left w:val="single" w:color="auto" w:sz="4" w:space="0"/>
              <w:bottom w:val="single" w:color="auto" w:sz="4" w:space="0"/>
              <w:right w:val="single" w:color="auto" w:sz="4" w:space="0"/>
            </w:tcBorders>
            <w:vAlign w:val="center"/>
          </w:tcPr>
          <w:p w14:paraId="0388EBBA">
            <w:pPr>
              <w:pageBreakBefore w:val="0"/>
              <w:wordWrap/>
              <w:topLinePunct w:val="0"/>
              <w:bidi w:val="0"/>
              <w:spacing w:line="560" w:lineRule="exact"/>
              <w:jc w:val="center"/>
              <w:textAlignment w:val="center"/>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kern w:val="0"/>
                <w:sz w:val="28"/>
                <w:szCs w:val="28"/>
                <w:highlight w:val="none"/>
                <w14:textFill>
                  <w14:solidFill>
                    <w14:schemeClr w14:val="tx1"/>
                  </w14:solidFill>
                </w14:textFill>
              </w:rPr>
              <w:t>数量</w:t>
            </w:r>
          </w:p>
        </w:tc>
        <w:tc>
          <w:tcPr>
            <w:tcW w:w="606" w:type="dxa"/>
            <w:tcBorders>
              <w:top w:val="single" w:color="auto" w:sz="4" w:space="0"/>
              <w:left w:val="single" w:color="auto" w:sz="4" w:space="0"/>
              <w:bottom w:val="single" w:color="auto" w:sz="4" w:space="0"/>
              <w:right w:val="single" w:color="auto" w:sz="4" w:space="0"/>
            </w:tcBorders>
            <w:vAlign w:val="center"/>
          </w:tcPr>
          <w:p w14:paraId="24288DD4">
            <w:pPr>
              <w:pageBreakBefore w:val="0"/>
              <w:wordWrap/>
              <w:topLinePunct w:val="0"/>
              <w:bidi w:val="0"/>
              <w:spacing w:line="560" w:lineRule="exact"/>
              <w:jc w:val="center"/>
              <w:textAlignment w:val="center"/>
              <w:rPr>
                <w:rFonts w:cs="宋体" w:asciiTheme="minorEastAsia" w:hAnsiTheme="minorEastAsia" w:eastAsiaTheme="minorEastAsia"/>
                <w:color w:val="000000" w:themeColor="text1"/>
                <w:kern w:val="0"/>
                <w:sz w:val="28"/>
                <w:szCs w:val="28"/>
                <w:highlight w:val="none"/>
                <w14:textFill>
                  <w14:solidFill>
                    <w14:schemeClr w14:val="tx1"/>
                  </w14:solidFill>
                </w14:textFill>
              </w:rPr>
            </w:pPr>
            <w:r>
              <w:rPr>
                <w:rFonts w:cs="宋体" w:asciiTheme="minorEastAsia" w:hAnsiTheme="minorEastAsia" w:eastAsiaTheme="minorEastAsia"/>
                <w:color w:val="000000" w:themeColor="text1"/>
                <w:kern w:val="0"/>
                <w:sz w:val="28"/>
                <w:szCs w:val="28"/>
                <w:highlight w:val="none"/>
                <w14:textFill>
                  <w14:solidFill>
                    <w14:schemeClr w14:val="tx1"/>
                  </w14:solidFill>
                </w14:textFill>
              </w:rPr>
              <w:t>品牌</w:t>
            </w:r>
          </w:p>
        </w:tc>
        <w:tc>
          <w:tcPr>
            <w:tcW w:w="606" w:type="dxa"/>
            <w:tcBorders>
              <w:top w:val="single" w:color="auto" w:sz="4" w:space="0"/>
              <w:left w:val="single" w:color="auto" w:sz="4" w:space="0"/>
              <w:bottom w:val="single" w:color="auto" w:sz="4" w:space="0"/>
              <w:right w:val="single" w:color="auto" w:sz="4" w:space="0"/>
            </w:tcBorders>
            <w:vAlign w:val="center"/>
          </w:tcPr>
          <w:p w14:paraId="52083E5B">
            <w:pPr>
              <w:pageBreakBefore w:val="0"/>
              <w:wordWrap/>
              <w:topLinePunct w:val="0"/>
              <w:bidi w:val="0"/>
              <w:spacing w:line="560" w:lineRule="exact"/>
              <w:jc w:val="center"/>
              <w:textAlignment w:val="center"/>
              <w:rPr>
                <w:rFonts w:cs="宋体" w:asciiTheme="minorEastAsia" w:hAnsiTheme="minorEastAsia" w:eastAsiaTheme="minorEastAsia"/>
                <w:color w:val="000000" w:themeColor="text1"/>
                <w:kern w:val="0"/>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kern w:val="0"/>
                <w:sz w:val="28"/>
                <w:szCs w:val="28"/>
                <w:highlight w:val="none"/>
                <w14:textFill>
                  <w14:solidFill>
                    <w14:schemeClr w14:val="tx1"/>
                  </w14:solidFill>
                </w14:textFill>
              </w:rPr>
              <w:t>型号</w:t>
            </w:r>
          </w:p>
        </w:tc>
        <w:tc>
          <w:tcPr>
            <w:tcW w:w="606" w:type="dxa"/>
            <w:tcBorders>
              <w:top w:val="single" w:color="auto" w:sz="4" w:space="0"/>
              <w:left w:val="single" w:color="auto" w:sz="4" w:space="0"/>
              <w:bottom w:val="single" w:color="auto" w:sz="4" w:space="0"/>
              <w:right w:val="single" w:color="auto" w:sz="4" w:space="0"/>
            </w:tcBorders>
            <w:vAlign w:val="center"/>
          </w:tcPr>
          <w:p w14:paraId="44CBC8EB">
            <w:pPr>
              <w:pageBreakBefore w:val="0"/>
              <w:wordWrap/>
              <w:topLinePunct w:val="0"/>
              <w:bidi w:val="0"/>
              <w:spacing w:line="560" w:lineRule="exact"/>
              <w:jc w:val="center"/>
              <w:textAlignment w:val="center"/>
              <w:rPr>
                <w:rFonts w:cs="宋体" w:asciiTheme="minorEastAsia" w:hAnsiTheme="minorEastAsia" w:eastAsiaTheme="minorEastAsia"/>
                <w:color w:val="000000" w:themeColor="text1"/>
                <w:kern w:val="0"/>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kern w:val="0"/>
                <w:sz w:val="28"/>
                <w:szCs w:val="28"/>
                <w:highlight w:val="none"/>
                <w14:textFill>
                  <w14:solidFill>
                    <w14:schemeClr w14:val="tx1"/>
                  </w14:solidFill>
                </w14:textFill>
              </w:rPr>
              <w:t>备注</w:t>
            </w:r>
          </w:p>
        </w:tc>
      </w:tr>
      <w:tr w14:paraId="1FF42042">
        <w:tblPrEx>
          <w:tblCellMar>
            <w:top w:w="15" w:type="dxa"/>
            <w:left w:w="15" w:type="dxa"/>
            <w:bottom w:w="15" w:type="dxa"/>
            <w:right w:w="15" w:type="dxa"/>
          </w:tblCellMar>
        </w:tblPrEx>
        <w:trPr>
          <w:trHeight w:val="690" w:hRule="atLeast"/>
          <w:jc w:val="center"/>
        </w:trPr>
        <w:tc>
          <w:tcPr>
            <w:tcW w:w="622" w:type="dxa"/>
            <w:tcBorders>
              <w:top w:val="single" w:color="auto" w:sz="4" w:space="0"/>
              <w:left w:val="single" w:color="auto" w:sz="4" w:space="0"/>
              <w:bottom w:val="single" w:color="auto" w:sz="4" w:space="0"/>
              <w:right w:val="single" w:color="auto" w:sz="4" w:space="0"/>
            </w:tcBorders>
            <w:vAlign w:val="center"/>
          </w:tcPr>
          <w:p w14:paraId="0B08189C">
            <w:pPr>
              <w:pageBreakBefore w:val="0"/>
              <w:wordWrap/>
              <w:topLinePunct w:val="0"/>
              <w:bidi w:val="0"/>
              <w:spacing w:line="560" w:lineRule="exact"/>
              <w:jc w:val="center"/>
              <w:textAlignment w:val="center"/>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1</w:t>
            </w:r>
          </w:p>
        </w:tc>
        <w:tc>
          <w:tcPr>
            <w:tcW w:w="1472" w:type="dxa"/>
            <w:tcBorders>
              <w:top w:val="single" w:color="auto" w:sz="4" w:space="0"/>
              <w:left w:val="single" w:color="auto" w:sz="4" w:space="0"/>
              <w:bottom w:val="single" w:color="auto" w:sz="4" w:space="0"/>
              <w:right w:val="single" w:color="auto" w:sz="4" w:space="0"/>
            </w:tcBorders>
            <w:vAlign w:val="center"/>
          </w:tcPr>
          <w:p w14:paraId="2FDFAEF8">
            <w:pPr>
              <w:pageBreakBefore w:val="0"/>
              <w:wordWrap/>
              <w:topLinePunct w:val="0"/>
              <w:bidi w:val="0"/>
              <w:spacing w:line="560" w:lineRule="exact"/>
              <w:jc w:val="center"/>
              <w:textAlignment w:val="center"/>
              <w:rPr>
                <w:rFonts w:cs="宋体" w:asciiTheme="minorEastAsia" w:hAnsiTheme="minorEastAsia" w:eastAsiaTheme="minorEastAsia"/>
                <w:color w:val="000000" w:themeColor="text1"/>
                <w:sz w:val="28"/>
                <w:szCs w:val="28"/>
                <w:highlight w:val="none"/>
                <w14:textFill>
                  <w14:solidFill>
                    <w14:schemeClr w14:val="tx1"/>
                  </w14:solidFill>
                </w14:textFill>
              </w:rPr>
            </w:pPr>
          </w:p>
        </w:tc>
        <w:tc>
          <w:tcPr>
            <w:tcW w:w="4542" w:type="dxa"/>
            <w:tcBorders>
              <w:top w:val="single" w:color="auto" w:sz="4" w:space="0"/>
              <w:left w:val="single" w:color="auto" w:sz="4" w:space="0"/>
              <w:bottom w:val="single" w:color="auto" w:sz="4" w:space="0"/>
              <w:right w:val="single" w:color="auto" w:sz="4" w:space="0"/>
            </w:tcBorders>
            <w:vAlign w:val="center"/>
          </w:tcPr>
          <w:p w14:paraId="1D42ECE6">
            <w:pPr>
              <w:pageBreakBefore w:val="0"/>
              <w:wordWrap/>
              <w:topLinePunct w:val="0"/>
              <w:bidi w:val="0"/>
              <w:spacing w:line="560" w:lineRule="exact"/>
              <w:jc w:val="center"/>
              <w:textAlignment w:val="center"/>
              <w:rPr>
                <w:rFonts w:cs="宋体" w:asciiTheme="minorEastAsia" w:hAnsiTheme="minorEastAsia" w:eastAsiaTheme="minorEastAsia"/>
                <w:color w:val="000000" w:themeColor="text1"/>
                <w:sz w:val="28"/>
                <w:szCs w:val="28"/>
                <w:highlight w:val="none"/>
                <w14:textFill>
                  <w14:solidFill>
                    <w14:schemeClr w14:val="tx1"/>
                  </w14:solidFill>
                </w14:textFill>
              </w:rPr>
            </w:pPr>
          </w:p>
        </w:tc>
        <w:tc>
          <w:tcPr>
            <w:tcW w:w="606" w:type="dxa"/>
            <w:tcBorders>
              <w:top w:val="single" w:color="auto" w:sz="4" w:space="0"/>
              <w:left w:val="single" w:color="auto" w:sz="4" w:space="0"/>
              <w:bottom w:val="single" w:color="auto" w:sz="4" w:space="0"/>
              <w:right w:val="single" w:color="auto" w:sz="4" w:space="0"/>
            </w:tcBorders>
            <w:vAlign w:val="center"/>
          </w:tcPr>
          <w:p w14:paraId="25CEFC00">
            <w:pPr>
              <w:pageBreakBefore w:val="0"/>
              <w:wordWrap/>
              <w:topLinePunct w:val="0"/>
              <w:bidi w:val="0"/>
              <w:spacing w:line="560" w:lineRule="exact"/>
              <w:jc w:val="center"/>
              <w:textAlignment w:val="center"/>
              <w:rPr>
                <w:rFonts w:cs="宋体" w:asciiTheme="minorEastAsia" w:hAnsiTheme="minorEastAsia" w:eastAsiaTheme="minorEastAsia"/>
                <w:color w:val="000000" w:themeColor="text1"/>
                <w:sz w:val="28"/>
                <w:szCs w:val="28"/>
                <w:highlight w:val="none"/>
                <w14:textFill>
                  <w14:solidFill>
                    <w14:schemeClr w14:val="tx1"/>
                  </w14:solidFill>
                </w14:textFill>
              </w:rPr>
            </w:pPr>
          </w:p>
        </w:tc>
        <w:tc>
          <w:tcPr>
            <w:tcW w:w="606" w:type="dxa"/>
            <w:tcBorders>
              <w:top w:val="single" w:color="auto" w:sz="4" w:space="0"/>
              <w:left w:val="single" w:color="auto" w:sz="4" w:space="0"/>
              <w:bottom w:val="single" w:color="auto" w:sz="4" w:space="0"/>
              <w:right w:val="single" w:color="auto" w:sz="4" w:space="0"/>
            </w:tcBorders>
            <w:vAlign w:val="center"/>
          </w:tcPr>
          <w:p w14:paraId="1582F042">
            <w:pPr>
              <w:pageBreakBefore w:val="0"/>
              <w:wordWrap/>
              <w:topLinePunct w:val="0"/>
              <w:bidi w:val="0"/>
              <w:spacing w:line="560" w:lineRule="exact"/>
              <w:jc w:val="center"/>
              <w:rPr>
                <w:rFonts w:cs="宋体" w:asciiTheme="minorEastAsia" w:hAnsiTheme="minorEastAsia" w:eastAsiaTheme="minorEastAsia"/>
                <w:color w:val="000000" w:themeColor="text1"/>
                <w:sz w:val="28"/>
                <w:szCs w:val="28"/>
                <w:highlight w:val="none"/>
                <w14:textFill>
                  <w14:solidFill>
                    <w14:schemeClr w14:val="tx1"/>
                  </w14:solidFill>
                </w14:textFill>
              </w:rPr>
            </w:pPr>
          </w:p>
        </w:tc>
        <w:tc>
          <w:tcPr>
            <w:tcW w:w="606" w:type="dxa"/>
            <w:tcBorders>
              <w:top w:val="single" w:color="auto" w:sz="4" w:space="0"/>
              <w:left w:val="single" w:color="auto" w:sz="4" w:space="0"/>
              <w:bottom w:val="single" w:color="auto" w:sz="4" w:space="0"/>
              <w:right w:val="single" w:color="auto" w:sz="4" w:space="0"/>
            </w:tcBorders>
          </w:tcPr>
          <w:p w14:paraId="2383455F">
            <w:pPr>
              <w:pageBreakBefore w:val="0"/>
              <w:wordWrap/>
              <w:topLinePunct w:val="0"/>
              <w:bidi w:val="0"/>
              <w:spacing w:line="560" w:lineRule="exact"/>
              <w:jc w:val="center"/>
              <w:rPr>
                <w:rFonts w:cs="宋体" w:asciiTheme="minorEastAsia" w:hAnsiTheme="minorEastAsia" w:eastAsiaTheme="minorEastAsia"/>
                <w:color w:val="000000" w:themeColor="text1"/>
                <w:sz w:val="28"/>
                <w:szCs w:val="28"/>
                <w:highlight w:val="none"/>
                <w14:textFill>
                  <w14:solidFill>
                    <w14:schemeClr w14:val="tx1"/>
                  </w14:solidFill>
                </w14:textFill>
              </w:rPr>
            </w:pPr>
          </w:p>
        </w:tc>
        <w:tc>
          <w:tcPr>
            <w:tcW w:w="606" w:type="dxa"/>
            <w:tcBorders>
              <w:top w:val="single" w:color="auto" w:sz="4" w:space="0"/>
              <w:left w:val="single" w:color="auto" w:sz="4" w:space="0"/>
              <w:bottom w:val="single" w:color="auto" w:sz="4" w:space="0"/>
              <w:right w:val="single" w:color="auto" w:sz="4" w:space="0"/>
            </w:tcBorders>
          </w:tcPr>
          <w:p w14:paraId="75C60BAF">
            <w:pPr>
              <w:pageBreakBefore w:val="0"/>
              <w:wordWrap/>
              <w:topLinePunct w:val="0"/>
              <w:bidi w:val="0"/>
              <w:spacing w:line="560" w:lineRule="exact"/>
              <w:jc w:val="center"/>
              <w:rPr>
                <w:rFonts w:cs="宋体" w:asciiTheme="minorEastAsia" w:hAnsiTheme="minorEastAsia" w:eastAsiaTheme="minorEastAsia"/>
                <w:color w:val="000000" w:themeColor="text1"/>
                <w:sz w:val="28"/>
                <w:szCs w:val="28"/>
                <w:highlight w:val="none"/>
                <w14:textFill>
                  <w14:solidFill>
                    <w14:schemeClr w14:val="tx1"/>
                  </w14:solidFill>
                </w14:textFill>
              </w:rPr>
            </w:pPr>
          </w:p>
        </w:tc>
      </w:tr>
      <w:tr w14:paraId="00A30BDD">
        <w:tblPrEx>
          <w:tblCellMar>
            <w:top w:w="15" w:type="dxa"/>
            <w:left w:w="15" w:type="dxa"/>
            <w:bottom w:w="15" w:type="dxa"/>
            <w:right w:w="15" w:type="dxa"/>
          </w:tblCellMar>
        </w:tblPrEx>
        <w:trPr>
          <w:trHeight w:val="690" w:hRule="atLeast"/>
          <w:jc w:val="center"/>
        </w:trPr>
        <w:tc>
          <w:tcPr>
            <w:tcW w:w="622" w:type="dxa"/>
            <w:tcBorders>
              <w:top w:val="single" w:color="auto" w:sz="4" w:space="0"/>
              <w:left w:val="single" w:color="auto" w:sz="4" w:space="0"/>
              <w:bottom w:val="single" w:color="auto" w:sz="4" w:space="0"/>
              <w:right w:val="single" w:color="auto" w:sz="4" w:space="0"/>
            </w:tcBorders>
            <w:vAlign w:val="center"/>
          </w:tcPr>
          <w:p w14:paraId="0962FD4D">
            <w:pPr>
              <w:pageBreakBefore w:val="0"/>
              <w:wordWrap/>
              <w:topLinePunct w:val="0"/>
              <w:bidi w:val="0"/>
              <w:spacing w:line="560" w:lineRule="exact"/>
              <w:jc w:val="center"/>
              <w:textAlignment w:val="center"/>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2</w:t>
            </w:r>
          </w:p>
        </w:tc>
        <w:tc>
          <w:tcPr>
            <w:tcW w:w="1472" w:type="dxa"/>
            <w:tcBorders>
              <w:top w:val="single" w:color="auto" w:sz="4" w:space="0"/>
              <w:left w:val="single" w:color="auto" w:sz="4" w:space="0"/>
              <w:bottom w:val="single" w:color="auto" w:sz="4" w:space="0"/>
              <w:right w:val="single" w:color="auto" w:sz="4" w:space="0"/>
            </w:tcBorders>
            <w:vAlign w:val="center"/>
          </w:tcPr>
          <w:p w14:paraId="1497AC12">
            <w:pPr>
              <w:pageBreakBefore w:val="0"/>
              <w:wordWrap/>
              <w:topLinePunct w:val="0"/>
              <w:bidi w:val="0"/>
              <w:spacing w:line="560" w:lineRule="exact"/>
              <w:jc w:val="center"/>
              <w:textAlignment w:val="center"/>
              <w:rPr>
                <w:rFonts w:cs="宋体" w:asciiTheme="minorEastAsia" w:hAnsiTheme="minorEastAsia" w:eastAsiaTheme="minorEastAsia"/>
                <w:color w:val="000000" w:themeColor="text1"/>
                <w:sz w:val="28"/>
                <w:szCs w:val="28"/>
                <w:highlight w:val="none"/>
                <w14:textFill>
                  <w14:solidFill>
                    <w14:schemeClr w14:val="tx1"/>
                  </w14:solidFill>
                </w14:textFill>
              </w:rPr>
            </w:pPr>
          </w:p>
        </w:tc>
        <w:tc>
          <w:tcPr>
            <w:tcW w:w="4542" w:type="dxa"/>
            <w:tcBorders>
              <w:top w:val="single" w:color="auto" w:sz="4" w:space="0"/>
              <w:left w:val="single" w:color="auto" w:sz="4" w:space="0"/>
              <w:bottom w:val="single" w:color="auto" w:sz="4" w:space="0"/>
              <w:right w:val="single" w:color="auto" w:sz="4" w:space="0"/>
            </w:tcBorders>
            <w:vAlign w:val="center"/>
          </w:tcPr>
          <w:p w14:paraId="0E8E5639">
            <w:pPr>
              <w:pageBreakBefore w:val="0"/>
              <w:wordWrap/>
              <w:topLinePunct w:val="0"/>
              <w:bidi w:val="0"/>
              <w:spacing w:line="560" w:lineRule="exact"/>
              <w:jc w:val="center"/>
              <w:textAlignment w:val="center"/>
              <w:rPr>
                <w:rFonts w:cs="宋体" w:asciiTheme="minorEastAsia" w:hAnsiTheme="minorEastAsia" w:eastAsiaTheme="minorEastAsia"/>
                <w:color w:val="000000" w:themeColor="text1"/>
                <w:sz w:val="28"/>
                <w:szCs w:val="28"/>
                <w:highlight w:val="none"/>
                <w14:textFill>
                  <w14:solidFill>
                    <w14:schemeClr w14:val="tx1"/>
                  </w14:solidFill>
                </w14:textFill>
              </w:rPr>
            </w:pPr>
          </w:p>
        </w:tc>
        <w:tc>
          <w:tcPr>
            <w:tcW w:w="606" w:type="dxa"/>
            <w:tcBorders>
              <w:top w:val="single" w:color="auto" w:sz="4" w:space="0"/>
              <w:left w:val="single" w:color="auto" w:sz="4" w:space="0"/>
              <w:bottom w:val="single" w:color="auto" w:sz="4" w:space="0"/>
              <w:right w:val="single" w:color="auto" w:sz="4" w:space="0"/>
            </w:tcBorders>
            <w:vAlign w:val="center"/>
          </w:tcPr>
          <w:p w14:paraId="2DB45888">
            <w:pPr>
              <w:pageBreakBefore w:val="0"/>
              <w:wordWrap/>
              <w:topLinePunct w:val="0"/>
              <w:bidi w:val="0"/>
              <w:spacing w:line="560" w:lineRule="exact"/>
              <w:jc w:val="center"/>
              <w:textAlignment w:val="center"/>
              <w:rPr>
                <w:rFonts w:cs="宋体" w:asciiTheme="minorEastAsia" w:hAnsiTheme="minorEastAsia" w:eastAsiaTheme="minorEastAsia"/>
                <w:color w:val="000000" w:themeColor="text1"/>
                <w:sz w:val="28"/>
                <w:szCs w:val="28"/>
                <w:highlight w:val="none"/>
                <w14:textFill>
                  <w14:solidFill>
                    <w14:schemeClr w14:val="tx1"/>
                  </w14:solidFill>
                </w14:textFill>
              </w:rPr>
            </w:pPr>
          </w:p>
        </w:tc>
        <w:tc>
          <w:tcPr>
            <w:tcW w:w="606" w:type="dxa"/>
            <w:tcBorders>
              <w:top w:val="single" w:color="auto" w:sz="4" w:space="0"/>
              <w:left w:val="single" w:color="auto" w:sz="4" w:space="0"/>
              <w:bottom w:val="single" w:color="auto" w:sz="4" w:space="0"/>
              <w:right w:val="single" w:color="auto" w:sz="4" w:space="0"/>
            </w:tcBorders>
            <w:vAlign w:val="center"/>
          </w:tcPr>
          <w:p w14:paraId="7DF92CE4">
            <w:pPr>
              <w:pageBreakBefore w:val="0"/>
              <w:wordWrap/>
              <w:topLinePunct w:val="0"/>
              <w:bidi w:val="0"/>
              <w:spacing w:line="560" w:lineRule="exact"/>
              <w:jc w:val="center"/>
              <w:rPr>
                <w:rFonts w:cs="宋体" w:asciiTheme="minorEastAsia" w:hAnsiTheme="minorEastAsia" w:eastAsiaTheme="minorEastAsia"/>
                <w:color w:val="000000" w:themeColor="text1"/>
                <w:sz w:val="28"/>
                <w:szCs w:val="28"/>
                <w:highlight w:val="none"/>
                <w14:textFill>
                  <w14:solidFill>
                    <w14:schemeClr w14:val="tx1"/>
                  </w14:solidFill>
                </w14:textFill>
              </w:rPr>
            </w:pPr>
          </w:p>
        </w:tc>
        <w:tc>
          <w:tcPr>
            <w:tcW w:w="606" w:type="dxa"/>
            <w:tcBorders>
              <w:top w:val="single" w:color="auto" w:sz="4" w:space="0"/>
              <w:left w:val="single" w:color="auto" w:sz="4" w:space="0"/>
              <w:bottom w:val="single" w:color="auto" w:sz="4" w:space="0"/>
              <w:right w:val="single" w:color="auto" w:sz="4" w:space="0"/>
            </w:tcBorders>
          </w:tcPr>
          <w:p w14:paraId="32E67D50">
            <w:pPr>
              <w:pageBreakBefore w:val="0"/>
              <w:wordWrap/>
              <w:topLinePunct w:val="0"/>
              <w:bidi w:val="0"/>
              <w:spacing w:line="560" w:lineRule="exact"/>
              <w:jc w:val="center"/>
              <w:rPr>
                <w:rFonts w:cs="宋体" w:asciiTheme="minorEastAsia" w:hAnsiTheme="minorEastAsia" w:eastAsiaTheme="minorEastAsia"/>
                <w:color w:val="000000" w:themeColor="text1"/>
                <w:sz w:val="28"/>
                <w:szCs w:val="28"/>
                <w:highlight w:val="none"/>
                <w14:textFill>
                  <w14:solidFill>
                    <w14:schemeClr w14:val="tx1"/>
                  </w14:solidFill>
                </w14:textFill>
              </w:rPr>
            </w:pPr>
          </w:p>
        </w:tc>
        <w:tc>
          <w:tcPr>
            <w:tcW w:w="606" w:type="dxa"/>
            <w:tcBorders>
              <w:top w:val="single" w:color="auto" w:sz="4" w:space="0"/>
              <w:left w:val="single" w:color="auto" w:sz="4" w:space="0"/>
              <w:bottom w:val="single" w:color="auto" w:sz="4" w:space="0"/>
              <w:right w:val="single" w:color="auto" w:sz="4" w:space="0"/>
            </w:tcBorders>
          </w:tcPr>
          <w:p w14:paraId="3F93A1B3">
            <w:pPr>
              <w:pageBreakBefore w:val="0"/>
              <w:wordWrap/>
              <w:topLinePunct w:val="0"/>
              <w:bidi w:val="0"/>
              <w:spacing w:line="560" w:lineRule="exact"/>
              <w:jc w:val="center"/>
              <w:rPr>
                <w:rFonts w:cs="宋体" w:asciiTheme="minorEastAsia" w:hAnsiTheme="minorEastAsia" w:eastAsiaTheme="minorEastAsia"/>
                <w:color w:val="000000" w:themeColor="text1"/>
                <w:sz w:val="28"/>
                <w:szCs w:val="28"/>
                <w:highlight w:val="none"/>
                <w14:textFill>
                  <w14:solidFill>
                    <w14:schemeClr w14:val="tx1"/>
                  </w14:solidFill>
                </w14:textFill>
              </w:rPr>
            </w:pPr>
          </w:p>
        </w:tc>
      </w:tr>
      <w:tr w14:paraId="6E7388BE">
        <w:tblPrEx>
          <w:tblCellMar>
            <w:top w:w="15" w:type="dxa"/>
            <w:left w:w="15" w:type="dxa"/>
            <w:bottom w:w="15" w:type="dxa"/>
            <w:right w:w="15" w:type="dxa"/>
          </w:tblCellMar>
        </w:tblPrEx>
        <w:trPr>
          <w:trHeight w:val="690" w:hRule="atLeast"/>
          <w:jc w:val="center"/>
        </w:trPr>
        <w:tc>
          <w:tcPr>
            <w:tcW w:w="622" w:type="dxa"/>
            <w:tcBorders>
              <w:top w:val="single" w:color="auto" w:sz="4" w:space="0"/>
              <w:left w:val="single" w:color="auto" w:sz="4" w:space="0"/>
              <w:bottom w:val="single" w:color="auto" w:sz="4" w:space="0"/>
              <w:right w:val="single" w:color="auto" w:sz="4" w:space="0"/>
            </w:tcBorders>
            <w:vAlign w:val="center"/>
          </w:tcPr>
          <w:p w14:paraId="44A629D7">
            <w:pPr>
              <w:pageBreakBefore w:val="0"/>
              <w:wordWrap/>
              <w:topLinePunct w:val="0"/>
              <w:bidi w:val="0"/>
              <w:spacing w:line="560" w:lineRule="exact"/>
              <w:jc w:val="center"/>
              <w:textAlignment w:val="center"/>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3</w:t>
            </w:r>
          </w:p>
        </w:tc>
        <w:tc>
          <w:tcPr>
            <w:tcW w:w="1472" w:type="dxa"/>
            <w:tcBorders>
              <w:top w:val="single" w:color="auto" w:sz="4" w:space="0"/>
              <w:left w:val="single" w:color="auto" w:sz="4" w:space="0"/>
              <w:bottom w:val="single" w:color="auto" w:sz="4" w:space="0"/>
              <w:right w:val="single" w:color="auto" w:sz="4" w:space="0"/>
            </w:tcBorders>
            <w:vAlign w:val="center"/>
          </w:tcPr>
          <w:p w14:paraId="4AE45AD0">
            <w:pPr>
              <w:pageBreakBefore w:val="0"/>
              <w:wordWrap/>
              <w:topLinePunct w:val="0"/>
              <w:bidi w:val="0"/>
              <w:spacing w:line="560" w:lineRule="exact"/>
              <w:jc w:val="center"/>
              <w:textAlignment w:val="center"/>
              <w:rPr>
                <w:rFonts w:cs="宋体" w:asciiTheme="minorEastAsia" w:hAnsiTheme="minorEastAsia" w:eastAsiaTheme="minorEastAsia"/>
                <w:color w:val="000000" w:themeColor="text1"/>
                <w:sz w:val="28"/>
                <w:szCs w:val="28"/>
                <w:highlight w:val="none"/>
                <w14:textFill>
                  <w14:solidFill>
                    <w14:schemeClr w14:val="tx1"/>
                  </w14:solidFill>
                </w14:textFill>
              </w:rPr>
            </w:pPr>
          </w:p>
        </w:tc>
        <w:tc>
          <w:tcPr>
            <w:tcW w:w="4542" w:type="dxa"/>
            <w:tcBorders>
              <w:top w:val="single" w:color="auto" w:sz="4" w:space="0"/>
              <w:left w:val="single" w:color="auto" w:sz="4" w:space="0"/>
              <w:bottom w:val="single" w:color="auto" w:sz="4" w:space="0"/>
              <w:right w:val="single" w:color="auto" w:sz="4" w:space="0"/>
            </w:tcBorders>
            <w:vAlign w:val="center"/>
          </w:tcPr>
          <w:p w14:paraId="0EC0EFDD">
            <w:pPr>
              <w:pageBreakBefore w:val="0"/>
              <w:wordWrap/>
              <w:topLinePunct w:val="0"/>
              <w:bidi w:val="0"/>
              <w:spacing w:line="560" w:lineRule="exact"/>
              <w:jc w:val="center"/>
              <w:textAlignment w:val="center"/>
              <w:rPr>
                <w:rFonts w:cs="宋体" w:asciiTheme="minorEastAsia" w:hAnsiTheme="minorEastAsia" w:eastAsiaTheme="minorEastAsia"/>
                <w:color w:val="000000" w:themeColor="text1"/>
                <w:sz w:val="28"/>
                <w:szCs w:val="28"/>
                <w:highlight w:val="none"/>
                <w14:textFill>
                  <w14:solidFill>
                    <w14:schemeClr w14:val="tx1"/>
                  </w14:solidFill>
                </w14:textFill>
              </w:rPr>
            </w:pPr>
          </w:p>
        </w:tc>
        <w:tc>
          <w:tcPr>
            <w:tcW w:w="606" w:type="dxa"/>
            <w:tcBorders>
              <w:top w:val="single" w:color="auto" w:sz="4" w:space="0"/>
              <w:left w:val="single" w:color="auto" w:sz="4" w:space="0"/>
              <w:bottom w:val="single" w:color="auto" w:sz="4" w:space="0"/>
              <w:right w:val="single" w:color="auto" w:sz="4" w:space="0"/>
            </w:tcBorders>
            <w:vAlign w:val="center"/>
          </w:tcPr>
          <w:p w14:paraId="7DED7EEC">
            <w:pPr>
              <w:pageBreakBefore w:val="0"/>
              <w:wordWrap/>
              <w:topLinePunct w:val="0"/>
              <w:bidi w:val="0"/>
              <w:spacing w:line="560" w:lineRule="exact"/>
              <w:jc w:val="center"/>
              <w:textAlignment w:val="center"/>
              <w:rPr>
                <w:rFonts w:cs="宋体" w:asciiTheme="minorEastAsia" w:hAnsiTheme="minorEastAsia" w:eastAsiaTheme="minorEastAsia"/>
                <w:color w:val="000000" w:themeColor="text1"/>
                <w:sz w:val="28"/>
                <w:szCs w:val="28"/>
                <w:highlight w:val="none"/>
                <w14:textFill>
                  <w14:solidFill>
                    <w14:schemeClr w14:val="tx1"/>
                  </w14:solidFill>
                </w14:textFill>
              </w:rPr>
            </w:pPr>
          </w:p>
        </w:tc>
        <w:tc>
          <w:tcPr>
            <w:tcW w:w="606" w:type="dxa"/>
            <w:tcBorders>
              <w:top w:val="single" w:color="auto" w:sz="4" w:space="0"/>
              <w:left w:val="single" w:color="auto" w:sz="4" w:space="0"/>
              <w:bottom w:val="single" w:color="auto" w:sz="4" w:space="0"/>
              <w:right w:val="single" w:color="auto" w:sz="4" w:space="0"/>
            </w:tcBorders>
            <w:vAlign w:val="center"/>
          </w:tcPr>
          <w:p w14:paraId="5CB67B96">
            <w:pPr>
              <w:pageBreakBefore w:val="0"/>
              <w:wordWrap/>
              <w:topLinePunct w:val="0"/>
              <w:bidi w:val="0"/>
              <w:spacing w:line="560" w:lineRule="exact"/>
              <w:jc w:val="center"/>
              <w:rPr>
                <w:rFonts w:cs="宋体" w:asciiTheme="minorEastAsia" w:hAnsiTheme="minorEastAsia" w:eastAsiaTheme="minorEastAsia"/>
                <w:color w:val="000000" w:themeColor="text1"/>
                <w:sz w:val="28"/>
                <w:szCs w:val="28"/>
                <w:highlight w:val="none"/>
                <w14:textFill>
                  <w14:solidFill>
                    <w14:schemeClr w14:val="tx1"/>
                  </w14:solidFill>
                </w14:textFill>
              </w:rPr>
            </w:pPr>
          </w:p>
        </w:tc>
        <w:tc>
          <w:tcPr>
            <w:tcW w:w="606" w:type="dxa"/>
            <w:tcBorders>
              <w:top w:val="single" w:color="auto" w:sz="4" w:space="0"/>
              <w:left w:val="single" w:color="auto" w:sz="4" w:space="0"/>
              <w:bottom w:val="single" w:color="auto" w:sz="4" w:space="0"/>
              <w:right w:val="single" w:color="auto" w:sz="4" w:space="0"/>
            </w:tcBorders>
          </w:tcPr>
          <w:p w14:paraId="0582AE4D">
            <w:pPr>
              <w:pageBreakBefore w:val="0"/>
              <w:wordWrap/>
              <w:topLinePunct w:val="0"/>
              <w:bidi w:val="0"/>
              <w:spacing w:line="560" w:lineRule="exact"/>
              <w:jc w:val="center"/>
              <w:rPr>
                <w:rFonts w:cs="宋体" w:asciiTheme="minorEastAsia" w:hAnsiTheme="minorEastAsia" w:eastAsiaTheme="minorEastAsia"/>
                <w:color w:val="000000" w:themeColor="text1"/>
                <w:sz w:val="28"/>
                <w:szCs w:val="28"/>
                <w:highlight w:val="none"/>
                <w14:textFill>
                  <w14:solidFill>
                    <w14:schemeClr w14:val="tx1"/>
                  </w14:solidFill>
                </w14:textFill>
              </w:rPr>
            </w:pPr>
          </w:p>
        </w:tc>
        <w:tc>
          <w:tcPr>
            <w:tcW w:w="606" w:type="dxa"/>
            <w:tcBorders>
              <w:top w:val="single" w:color="auto" w:sz="4" w:space="0"/>
              <w:left w:val="single" w:color="auto" w:sz="4" w:space="0"/>
              <w:bottom w:val="single" w:color="auto" w:sz="4" w:space="0"/>
              <w:right w:val="single" w:color="auto" w:sz="4" w:space="0"/>
            </w:tcBorders>
          </w:tcPr>
          <w:p w14:paraId="3C312F8C">
            <w:pPr>
              <w:pageBreakBefore w:val="0"/>
              <w:wordWrap/>
              <w:topLinePunct w:val="0"/>
              <w:bidi w:val="0"/>
              <w:spacing w:line="560" w:lineRule="exact"/>
              <w:jc w:val="center"/>
              <w:rPr>
                <w:rFonts w:cs="宋体" w:asciiTheme="minorEastAsia" w:hAnsiTheme="minorEastAsia" w:eastAsiaTheme="minorEastAsia"/>
                <w:color w:val="000000" w:themeColor="text1"/>
                <w:sz w:val="28"/>
                <w:szCs w:val="28"/>
                <w:highlight w:val="none"/>
                <w14:textFill>
                  <w14:solidFill>
                    <w14:schemeClr w14:val="tx1"/>
                  </w14:solidFill>
                </w14:textFill>
              </w:rPr>
            </w:pPr>
          </w:p>
        </w:tc>
      </w:tr>
      <w:tr w14:paraId="7223FDE3">
        <w:tblPrEx>
          <w:tblCellMar>
            <w:top w:w="15" w:type="dxa"/>
            <w:left w:w="15" w:type="dxa"/>
            <w:bottom w:w="15" w:type="dxa"/>
            <w:right w:w="15" w:type="dxa"/>
          </w:tblCellMar>
        </w:tblPrEx>
        <w:trPr>
          <w:trHeight w:val="690" w:hRule="atLeast"/>
          <w:jc w:val="center"/>
        </w:trPr>
        <w:tc>
          <w:tcPr>
            <w:tcW w:w="622" w:type="dxa"/>
            <w:tcBorders>
              <w:top w:val="single" w:color="auto" w:sz="4" w:space="0"/>
              <w:left w:val="single" w:color="auto" w:sz="4" w:space="0"/>
              <w:bottom w:val="single" w:color="auto" w:sz="4" w:space="0"/>
              <w:right w:val="single" w:color="auto" w:sz="4" w:space="0"/>
            </w:tcBorders>
            <w:vAlign w:val="center"/>
          </w:tcPr>
          <w:p w14:paraId="6CC5A7E0">
            <w:pPr>
              <w:pageBreakBefore w:val="0"/>
              <w:wordWrap/>
              <w:topLinePunct w:val="0"/>
              <w:bidi w:val="0"/>
              <w:spacing w:line="560" w:lineRule="exact"/>
              <w:jc w:val="center"/>
              <w:textAlignment w:val="center"/>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4</w:t>
            </w:r>
          </w:p>
        </w:tc>
        <w:tc>
          <w:tcPr>
            <w:tcW w:w="1472" w:type="dxa"/>
            <w:tcBorders>
              <w:top w:val="single" w:color="auto" w:sz="4" w:space="0"/>
              <w:left w:val="single" w:color="auto" w:sz="4" w:space="0"/>
              <w:bottom w:val="single" w:color="auto" w:sz="4" w:space="0"/>
              <w:right w:val="single" w:color="auto" w:sz="4" w:space="0"/>
            </w:tcBorders>
            <w:vAlign w:val="center"/>
          </w:tcPr>
          <w:p w14:paraId="21EC3B28">
            <w:pPr>
              <w:pageBreakBefore w:val="0"/>
              <w:wordWrap/>
              <w:topLinePunct w:val="0"/>
              <w:bidi w:val="0"/>
              <w:spacing w:line="560" w:lineRule="exact"/>
              <w:jc w:val="center"/>
              <w:textAlignment w:val="center"/>
              <w:rPr>
                <w:rFonts w:cs="宋体" w:asciiTheme="minorEastAsia" w:hAnsiTheme="minorEastAsia" w:eastAsiaTheme="minorEastAsia"/>
                <w:color w:val="000000" w:themeColor="text1"/>
                <w:sz w:val="28"/>
                <w:szCs w:val="28"/>
                <w:highlight w:val="none"/>
                <w14:textFill>
                  <w14:solidFill>
                    <w14:schemeClr w14:val="tx1"/>
                  </w14:solidFill>
                </w14:textFill>
              </w:rPr>
            </w:pPr>
          </w:p>
        </w:tc>
        <w:tc>
          <w:tcPr>
            <w:tcW w:w="4542" w:type="dxa"/>
            <w:tcBorders>
              <w:top w:val="single" w:color="auto" w:sz="4" w:space="0"/>
              <w:left w:val="single" w:color="auto" w:sz="4" w:space="0"/>
              <w:bottom w:val="single" w:color="auto" w:sz="4" w:space="0"/>
              <w:right w:val="single" w:color="auto" w:sz="4" w:space="0"/>
            </w:tcBorders>
            <w:vAlign w:val="center"/>
          </w:tcPr>
          <w:p w14:paraId="6AC1F2F0">
            <w:pPr>
              <w:pageBreakBefore w:val="0"/>
              <w:wordWrap/>
              <w:topLinePunct w:val="0"/>
              <w:bidi w:val="0"/>
              <w:spacing w:line="560" w:lineRule="exact"/>
              <w:jc w:val="center"/>
              <w:textAlignment w:val="center"/>
              <w:rPr>
                <w:rFonts w:cs="宋体" w:asciiTheme="minorEastAsia" w:hAnsiTheme="minorEastAsia" w:eastAsiaTheme="minorEastAsia"/>
                <w:color w:val="000000" w:themeColor="text1"/>
                <w:sz w:val="28"/>
                <w:szCs w:val="28"/>
                <w:highlight w:val="none"/>
                <w14:textFill>
                  <w14:solidFill>
                    <w14:schemeClr w14:val="tx1"/>
                  </w14:solidFill>
                </w14:textFill>
              </w:rPr>
            </w:pPr>
          </w:p>
        </w:tc>
        <w:tc>
          <w:tcPr>
            <w:tcW w:w="606" w:type="dxa"/>
            <w:tcBorders>
              <w:top w:val="single" w:color="auto" w:sz="4" w:space="0"/>
              <w:left w:val="single" w:color="auto" w:sz="4" w:space="0"/>
              <w:bottom w:val="single" w:color="auto" w:sz="4" w:space="0"/>
              <w:right w:val="single" w:color="auto" w:sz="4" w:space="0"/>
            </w:tcBorders>
            <w:vAlign w:val="center"/>
          </w:tcPr>
          <w:p w14:paraId="371C65F6">
            <w:pPr>
              <w:pageBreakBefore w:val="0"/>
              <w:wordWrap/>
              <w:topLinePunct w:val="0"/>
              <w:bidi w:val="0"/>
              <w:spacing w:line="560" w:lineRule="exact"/>
              <w:jc w:val="center"/>
              <w:textAlignment w:val="center"/>
              <w:rPr>
                <w:rFonts w:cs="宋体" w:asciiTheme="minorEastAsia" w:hAnsiTheme="minorEastAsia" w:eastAsiaTheme="minorEastAsia"/>
                <w:color w:val="000000" w:themeColor="text1"/>
                <w:sz w:val="28"/>
                <w:szCs w:val="28"/>
                <w:highlight w:val="none"/>
                <w14:textFill>
                  <w14:solidFill>
                    <w14:schemeClr w14:val="tx1"/>
                  </w14:solidFill>
                </w14:textFill>
              </w:rPr>
            </w:pPr>
          </w:p>
        </w:tc>
        <w:tc>
          <w:tcPr>
            <w:tcW w:w="606" w:type="dxa"/>
            <w:tcBorders>
              <w:top w:val="single" w:color="auto" w:sz="4" w:space="0"/>
              <w:left w:val="single" w:color="auto" w:sz="4" w:space="0"/>
              <w:bottom w:val="single" w:color="auto" w:sz="4" w:space="0"/>
              <w:right w:val="single" w:color="auto" w:sz="4" w:space="0"/>
            </w:tcBorders>
            <w:vAlign w:val="center"/>
          </w:tcPr>
          <w:p w14:paraId="2C9A361C">
            <w:pPr>
              <w:pageBreakBefore w:val="0"/>
              <w:wordWrap/>
              <w:topLinePunct w:val="0"/>
              <w:bidi w:val="0"/>
              <w:spacing w:line="560" w:lineRule="exact"/>
              <w:jc w:val="center"/>
              <w:rPr>
                <w:rFonts w:cs="宋体" w:asciiTheme="minorEastAsia" w:hAnsiTheme="minorEastAsia" w:eastAsiaTheme="minorEastAsia"/>
                <w:color w:val="000000" w:themeColor="text1"/>
                <w:sz w:val="28"/>
                <w:szCs w:val="28"/>
                <w:highlight w:val="none"/>
                <w14:textFill>
                  <w14:solidFill>
                    <w14:schemeClr w14:val="tx1"/>
                  </w14:solidFill>
                </w14:textFill>
              </w:rPr>
            </w:pPr>
          </w:p>
        </w:tc>
        <w:tc>
          <w:tcPr>
            <w:tcW w:w="606" w:type="dxa"/>
            <w:tcBorders>
              <w:top w:val="single" w:color="auto" w:sz="4" w:space="0"/>
              <w:left w:val="single" w:color="auto" w:sz="4" w:space="0"/>
              <w:bottom w:val="single" w:color="auto" w:sz="4" w:space="0"/>
              <w:right w:val="single" w:color="auto" w:sz="4" w:space="0"/>
            </w:tcBorders>
          </w:tcPr>
          <w:p w14:paraId="038F9152">
            <w:pPr>
              <w:pageBreakBefore w:val="0"/>
              <w:wordWrap/>
              <w:topLinePunct w:val="0"/>
              <w:bidi w:val="0"/>
              <w:spacing w:line="560" w:lineRule="exact"/>
              <w:jc w:val="center"/>
              <w:rPr>
                <w:rFonts w:cs="宋体" w:asciiTheme="minorEastAsia" w:hAnsiTheme="minorEastAsia" w:eastAsiaTheme="minorEastAsia"/>
                <w:color w:val="000000" w:themeColor="text1"/>
                <w:sz w:val="28"/>
                <w:szCs w:val="28"/>
                <w:highlight w:val="none"/>
                <w14:textFill>
                  <w14:solidFill>
                    <w14:schemeClr w14:val="tx1"/>
                  </w14:solidFill>
                </w14:textFill>
              </w:rPr>
            </w:pPr>
          </w:p>
        </w:tc>
        <w:tc>
          <w:tcPr>
            <w:tcW w:w="606" w:type="dxa"/>
            <w:tcBorders>
              <w:top w:val="single" w:color="auto" w:sz="4" w:space="0"/>
              <w:left w:val="single" w:color="auto" w:sz="4" w:space="0"/>
              <w:bottom w:val="single" w:color="auto" w:sz="4" w:space="0"/>
              <w:right w:val="single" w:color="auto" w:sz="4" w:space="0"/>
            </w:tcBorders>
          </w:tcPr>
          <w:p w14:paraId="68C33545">
            <w:pPr>
              <w:pageBreakBefore w:val="0"/>
              <w:wordWrap/>
              <w:topLinePunct w:val="0"/>
              <w:bidi w:val="0"/>
              <w:spacing w:line="560" w:lineRule="exact"/>
              <w:jc w:val="center"/>
              <w:rPr>
                <w:rFonts w:cs="宋体" w:asciiTheme="minorEastAsia" w:hAnsiTheme="minorEastAsia" w:eastAsiaTheme="minorEastAsia"/>
                <w:color w:val="000000" w:themeColor="text1"/>
                <w:sz w:val="28"/>
                <w:szCs w:val="28"/>
                <w:highlight w:val="none"/>
                <w14:textFill>
                  <w14:solidFill>
                    <w14:schemeClr w14:val="tx1"/>
                  </w14:solidFill>
                </w14:textFill>
              </w:rPr>
            </w:pPr>
          </w:p>
        </w:tc>
      </w:tr>
      <w:tr w14:paraId="587C5C02">
        <w:tblPrEx>
          <w:tblCellMar>
            <w:top w:w="15" w:type="dxa"/>
            <w:left w:w="15" w:type="dxa"/>
            <w:bottom w:w="15" w:type="dxa"/>
            <w:right w:w="15" w:type="dxa"/>
          </w:tblCellMar>
        </w:tblPrEx>
        <w:trPr>
          <w:trHeight w:val="690" w:hRule="atLeast"/>
          <w:jc w:val="center"/>
        </w:trPr>
        <w:tc>
          <w:tcPr>
            <w:tcW w:w="622" w:type="dxa"/>
            <w:tcBorders>
              <w:top w:val="single" w:color="auto" w:sz="4" w:space="0"/>
              <w:left w:val="single" w:color="auto" w:sz="4" w:space="0"/>
              <w:bottom w:val="single" w:color="auto" w:sz="4" w:space="0"/>
              <w:right w:val="single" w:color="auto" w:sz="4" w:space="0"/>
            </w:tcBorders>
            <w:vAlign w:val="center"/>
          </w:tcPr>
          <w:p w14:paraId="592FE902">
            <w:pPr>
              <w:pageBreakBefore w:val="0"/>
              <w:wordWrap/>
              <w:topLinePunct w:val="0"/>
              <w:bidi w:val="0"/>
              <w:spacing w:line="560" w:lineRule="exact"/>
              <w:jc w:val="center"/>
              <w:textAlignment w:val="center"/>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5</w:t>
            </w:r>
          </w:p>
        </w:tc>
        <w:tc>
          <w:tcPr>
            <w:tcW w:w="1472" w:type="dxa"/>
            <w:tcBorders>
              <w:top w:val="single" w:color="auto" w:sz="4" w:space="0"/>
              <w:left w:val="single" w:color="auto" w:sz="4" w:space="0"/>
              <w:bottom w:val="single" w:color="auto" w:sz="4" w:space="0"/>
              <w:right w:val="single" w:color="auto" w:sz="4" w:space="0"/>
            </w:tcBorders>
            <w:vAlign w:val="center"/>
          </w:tcPr>
          <w:p w14:paraId="0FC5DA3B">
            <w:pPr>
              <w:pageBreakBefore w:val="0"/>
              <w:wordWrap/>
              <w:topLinePunct w:val="0"/>
              <w:bidi w:val="0"/>
              <w:spacing w:line="560" w:lineRule="exact"/>
              <w:jc w:val="center"/>
              <w:textAlignment w:val="center"/>
              <w:rPr>
                <w:rFonts w:cs="宋体" w:asciiTheme="minorEastAsia" w:hAnsiTheme="minorEastAsia" w:eastAsiaTheme="minorEastAsia"/>
                <w:color w:val="000000" w:themeColor="text1"/>
                <w:sz w:val="28"/>
                <w:szCs w:val="28"/>
                <w:highlight w:val="none"/>
                <w14:textFill>
                  <w14:solidFill>
                    <w14:schemeClr w14:val="tx1"/>
                  </w14:solidFill>
                </w14:textFill>
              </w:rPr>
            </w:pPr>
          </w:p>
        </w:tc>
        <w:tc>
          <w:tcPr>
            <w:tcW w:w="4542" w:type="dxa"/>
            <w:tcBorders>
              <w:top w:val="single" w:color="auto" w:sz="4" w:space="0"/>
              <w:left w:val="single" w:color="auto" w:sz="4" w:space="0"/>
              <w:bottom w:val="single" w:color="auto" w:sz="4" w:space="0"/>
              <w:right w:val="single" w:color="auto" w:sz="4" w:space="0"/>
            </w:tcBorders>
            <w:vAlign w:val="center"/>
          </w:tcPr>
          <w:p w14:paraId="101A8696">
            <w:pPr>
              <w:pageBreakBefore w:val="0"/>
              <w:wordWrap/>
              <w:topLinePunct w:val="0"/>
              <w:bidi w:val="0"/>
              <w:spacing w:line="560" w:lineRule="exact"/>
              <w:jc w:val="center"/>
              <w:textAlignment w:val="center"/>
              <w:rPr>
                <w:rFonts w:cs="宋体" w:asciiTheme="minorEastAsia" w:hAnsiTheme="minorEastAsia" w:eastAsiaTheme="minorEastAsia"/>
                <w:color w:val="000000" w:themeColor="text1"/>
                <w:sz w:val="28"/>
                <w:szCs w:val="28"/>
                <w:highlight w:val="none"/>
                <w14:textFill>
                  <w14:solidFill>
                    <w14:schemeClr w14:val="tx1"/>
                  </w14:solidFill>
                </w14:textFill>
              </w:rPr>
            </w:pPr>
          </w:p>
        </w:tc>
        <w:tc>
          <w:tcPr>
            <w:tcW w:w="606" w:type="dxa"/>
            <w:tcBorders>
              <w:top w:val="single" w:color="auto" w:sz="4" w:space="0"/>
              <w:left w:val="single" w:color="auto" w:sz="4" w:space="0"/>
              <w:bottom w:val="single" w:color="auto" w:sz="4" w:space="0"/>
              <w:right w:val="single" w:color="auto" w:sz="4" w:space="0"/>
            </w:tcBorders>
            <w:vAlign w:val="center"/>
          </w:tcPr>
          <w:p w14:paraId="5260A74B">
            <w:pPr>
              <w:pageBreakBefore w:val="0"/>
              <w:wordWrap/>
              <w:topLinePunct w:val="0"/>
              <w:bidi w:val="0"/>
              <w:spacing w:line="560" w:lineRule="exact"/>
              <w:jc w:val="center"/>
              <w:textAlignment w:val="center"/>
              <w:rPr>
                <w:rFonts w:cs="宋体" w:asciiTheme="minorEastAsia" w:hAnsiTheme="minorEastAsia" w:eastAsiaTheme="minorEastAsia"/>
                <w:color w:val="000000" w:themeColor="text1"/>
                <w:sz w:val="28"/>
                <w:szCs w:val="28"/>
                <w:highlight w:val="none"/>
                <w14:textFill>
                  <w14:solidFill>
                    <w14:schemeClr w14:val="tx1"/>
                  </w14:solidFill>
                </w14:textFill>
              </w:rPr>
            </w:pPr>
          </w:p>
        </w:tc>
        <w:tc>
          <w:tcPr>
            <w:tcW w:w="606" w:type="dxa"/>
            <w:tcBorders>
              <w:top w:val="single" w:color="auto" w:sz="4" w:space="0"/>
              <w:left w:val="single" w:color="auto" w:sz="4" w:space="0"/>
              <w:bottom w:val="single" w:color="auto" w:sz="4" w:space="0"/>
              <w:right w:val="single" w:color="auto" w:sz="4" w:space="0"/>
            </w:tcBorders>
            <w:vAlign w:val="center"/>
          </w:tcPr>
          <w:p w14:paraId="7A5815D4">
            <w:pPr>
              <w:pageBreakBefore w:val="0"/>
              <w:wordWrap/>
              <w:topLinePunct w:val="0"/>
              <w:bidi w:val="0"/>
              <w:spacing w:line="560" w:lineRule="exact"/>
              <w:jc w:val="center"/>
              <w:rPr>
                <w:rFonts w:cs="宋体" w:asciiTheme="minorEastAsia" w:hAnsiTheme="minorEastAsia" w:eastAsiaTheme="minorEastAsia"/>
                <w:color w:val="000000" w:themeColor="text1"/>
                <w:sz w:val="28"/>
                <w:szCs w:val="28"/>
                <w:highlight w:val="none"/>
                <w14:textFill>
                  <w14:solidFill>
                    <w14:schemeClr w14:val="tx1"/>
                  </w14:solidFill>
                </w14:textFill>
              </w:rPr>
            </w:pPr>
          </w:p>
        </w:tc>
        <w:tc>
          <w:tcPr>
            <w:tcW w:w="606" w:type="dxa"/>
            <w:tcBorders>
              <w:top w:val="single" w:color="auto" w:sz="4" w:space="0"/>
              <w:left w:val="single" w:color="auto" w:sz="4" w:space="0"/>
              <w:bottom w:val="single" w:color="auto" w:sz="4" w:space="0"/>
              <w:right w:val="single" w:color="auto" w:sz="4" w:space="0"/>
            </w:tcBorders>
          </w:tcPr>
          <w:p w14:paraId="6E08A1AF">
            <w:pPr>
              <w:pageBreakBefore w:val="0"/>
              <w:wordWrap/>
              <w:topLinePunct w:val="0"/>
              <w:bidi w:val="0"/>
              <w:spacing w:line="560" w:lineRule="exact"/>
              <w:jc w:val="center"/>
              <w:rPr>
                <w:rFonts w:cs="宋体" w:asciiTheme="minorEastAsia" w:hAnsiTheme="minorEastAsia" w:eastAsiaTheme="minorEastAsia"/>
                <w:color w:val="000000" w:themeColor="text1"/>
                <w:sz w:val="28"/>
                <w:szCs w:val="28"/>
                <w:highlight w:val="none"/>
                <w14:textFill>
                  <w14:solidFill>
                    <w14:schemeClr w14:val="tx1"/>
                  </w14:solidFill>
                </w14:textFill>
              </w:rPr>
            </w:pPr>
          </w:p>
        </w:tc>
        <w:tc>
          <w:tcPr>
            <w:tcW w:w="606" w:type="dxa"/>
            <w:tcBorders>
              <w:top w:val="single" w:color="auto" w:sz="4" w:space="0"/>
              <w:left w:val="single" w:color="auto" w:sz="4" w:space="0"/>
              <w:bottom w:val="single" w:color="auto" w:sz="4" w:space="0"/>
              <w:right w:val="single" w:color="auto" w:sz="4" w:space="0"/>
            </w:tcBorders>
          </w:tcPr>
          <w:p w14:paraId="102A4F6C">
            <w:pPr>
              <w:pageBreakBefore w:val="0"/>
              <w:wordWrap/>
              <w:topLinePunct w:val="0"/>
              <w:bidi w:val="0"/>
              <w:spacing w:line="560" w:lineRule="exact"/>
              <w:jc w:val="center"/>
              <w:rPr>
                <w:rFonts w:cs="宋体" w:asciiTheme="minorEastAsia" w:hAnsiTheme="minorEastAsia" w:eastAsiaTheme="minorEastAsia"/>
                <w:color w:val="000000" w:themeColor="text1"/>
                <w:sz w:val="28"/>
                <w:szCs w:val="28"/>
                <w:highlight w:val="none"/>
                <w14:textFill>
                  <w14:solidFill>
                    <w14:schemeClr w14:val="tx1"/>
                  </w14:solidFill>
                </w14:textFill>
              </w:rPr>
            </w:pPr>
          </w:p>
        </w:tc>
      </w:tr>
      <w:tr w14:paraId="6C930E9F">
        <w:tblPrEx>
          <w:tblCellMar>
            <w:top w:w="15" w:type="dxa"/>
            <w:left w:w="15" w:type="dxa"/>
            <w:bottom w:w="15" w:type="dxa"/>
            <w:right w:w="15" w:type="dxa"/>
          </w:tblCellMar>
        </w:tblPrEx>
        <w:trPr>
          <w:trHeight w:val="690" w:hRule="atLeast"/>
          <w:jc w:val="center"/>
        </w:trPr>
        <w:tc>
          <w:tcPr>
            <w:tcW w:w="622" w:type="dxa"/>
            <w:tcBorders>
              <w:top w:val="single" w:color="auto" w:sz="4" w:space="0"/>
              <w:left w:val="single" w:color="auto" w:sz="4" w:space="0"/>
              <w:bottom w:val="single" w:color="auto" w:sz="4" w:space="0"/>
              <w:right w:val="single" w:color="auto" w:sz="4" w:space="0"/>
            </w:tcBorders>
            <w:vAlign w:val="center"/>
          </w:tcPr>
          <w:p w14:paraId="71561637">
            <w:pPr>
              <w:pageBreakBefore w:val="0"/>
              <w:wordWrap/>
              <w:topLinePunct w:val="0"/>
              <w:bidi w:val="0"/>
              <w:spacing w:line="560" w:lineRule="exact"/>
              <w:jc w:val="center"/>
              <w:textAlignment w:val="center"/>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cs="宋体" w:asciiTheme="minorEastAsia" w:hAnsiTheme="minorEastAsia" w:eastAsiaTheme="minorEastAsia"/>
                <w:color w:val="000000" w:themeColor="text1"/>
                <w:sz w:val="28"/>
                <w:szCs w:val="28"/>
                <w:highlight w:val="none"/>
                <w14:textFill>
                  <w14:solidFill>
                    <w14:schemeClr w14:val="tx1"/>
                  </w14:solidFill>
                </w14:textFill>
              </w:rPr>
              <w:t>…</w:t>
            </w:r>
          </w:p>
        </w:tc>
        <w:tc>
          <w:tcPr>
            <w:tcW w:w="1472" w:type="dxa"/>
            <w:tcBorders>
              <w:top w:val="single" w:color="auto" w:sz="4" w:space="0"/>
              <w:left w:val="single" w:color="auto" w:sz="4" w:space="0"/>
              <w:bottom w:val="single" w:color="auto" w:sz="4" w:space="0"/>
              <w:right w:val="single" w:color="auto" w:sz="4" w:space="0"/>
            </w:tcBorders>
            <w:vAlign w:val="center"/>
          </w:tcPr>
          <w:p w14:paraId="572B2A87">
            <w:pPr>
              <w:pageBreakBefore w:val="0"/>
              <w:wordWrap/>
              <w:topLinePunct w:val="0"/>
              <w:bidi w:val="0"/>
              <w:spacing w:line="560" w:lineRule="exact"/>
              <w:jc w:val="center"/>
              <w:textAlignment w:val="center"/>
              <w:rPr>
                <w:rFonts w:cs="宋体" w:asciiTheme="minorEastAsia" w:hAnsiTheme="minorEastAsia" w:eastAsiaTheme="minorEastAsia"/>
                <w:color w:val="000000" w:themeColor="text1"/>
                <w:sz w:val="28"/>
                <w:szCs w:val="28"/>
                <w:highlight w:val="none"/>
                <w14:textFill>
                  <w14:solidFill>
                    <w14:schemeClr w14:val="tx1"/>
                  </w14:solidFill>
                </w14:textFill>
              </w:rPr>
            </w:pPr>
          </w:p>
        </w:tc>
        <w:tc>
          <w:tcPr>
            <w:tcW w:w="4542" w:type="dxa"/>
            <w:tcBorders>
              <w:top w:val="single" w:color="auto" w:sz="4" w:space="0"/>
              <w:left w:val="single" w:color="auto" w:sz="4" w:space="0"/>
              <w:bottom w:val="single" w:color="auto" w:sz="4" w:space="0"/>
              <w:right w:val="single" w:color="auto" w:sz="4" w:space="0"/>
            </w:tcBorders>
            <w:vAlign w:val="center"/>
          </w:tcPr>
          <w:p w14:paraId="5584EB33">
            <w:pPr>
              <w:pageBreakBefore w:val="0"/>
              <w:wordWrap/>
              <w:topLinePunct w:val="0"/>
              <w:bidi w:val="0"/>
              <w:spacing w:line="560" w:lineRule="exact"/>
              <w:jc w:val="center"/>
              <w:textAlignment w:val="center"/>
              <w:rPr>
                <w:rFonts w:cs="宋体" w:asciiTheme="minorEastAsia" w:hAnsiTheme="minorEastAsia" w:eastAsiaTheme="minorEastAsia"/>
                <w:color w:val="000000" w:themeColor="text1"/>
                <w:sz w:val="28"/>
                <w:szCs w:val="28"/>
                <w:highlight w:val="none"/>
                <w14:textFill>
                  <w14:solidFill>
                    <w14:schemeClr w14:val="tx1"/>
                  </w14:solidFill>
                </w14:textFill>
              </w:rPr>
            </w:pPr>
          </w:p>
        </w:tc>
        <w:tc>
          <w:tcPr>
            <w:tcW w:w="606" w:type="dxa"/>
            <w:tcBorders>
              <w:top w:val="single" w:color="auto" w:sz="4" w:space="0"/>
              <w:left w:val="single" w:color="auto" w:sz="4" w:space="0"/>
              <w:bottom w:val="single" w:color="auto" w:sz="4" w:space="0"/>
              <w:right w:val="single" w:color="auto" w:sz="4" w:space="0"/>
            </w:tcBorders>
            <w:vAlign w:val="center"/>
          </w:tcPr>
          <w:p w14:paraId="156FD623">
            <w:pPr>
              <w:pageBreakBefore w:val="0"/>
              <w:wordWrap/>
              <w:topLinePunct w:val="0"/>
              <w:bidi w:val="0"/>
              <w:spacing w:line="560" w:lineRule="exact"/>
              <w:jc w:val="center"/>
              <w:textAlignment w:val="center"/>
              <w:rPr>
                <w:rFonts w:cs="宋体" w:asciiTheme="minorEastAsia" w:hAnsiTheme="minorEastAsia" w:eastAsiaTheme="minorEastAsia"/>
                <w:color w:val="000000" w:themeColor="text1"/>
                <w:sz w:val="28"/>
                <w:szCs w:val="28"/>
                <w:highlight w:val="none"/>
                <w14:textFill>
                  <w14:solidFill>
                    <w14:schemeClr w14:val="tx1"/>
                  </w14:solidFill>
                </w14:textFill>
              </w:rPr>
            </w:pPr>
          </w:p>
        </w:tc>
        <w:tc>
          <w:tcPr>
            <w:tcW w:w="606" w:type="dxa"/>
            <w:tcBorders>
              <w:top w:val="single" w:color="auto" w:sz="4" w:space="0"/>
              <w:left w:val="single" w:color="auto" w:sz="4" w:space="0"/>
              <w:bottom w:val="single" w:color="auto" w:sz="4" w:space="0"/>
              <w:right w:val="single" w:color="auto" w:sz="4" w:space="0"/>
            </w:tcBorders>
            <w:vAlign w:val="center"/>
          </w:tcPr>
          <w:p w14:paraId="3D49ED12">
            <w:pPr>
              <w:pageBreakBefore w:val="0"/>
              <w:wordWrap/>
              <w:topLinePunct w:val="0"/>
              <w:bidi w:val="0"/>
              <w:spacing w:line="560" w:lineRule="exact"/>
              <w:jc w:val="center"/>
              <w:rPr>
                <w:rFonts w:cs="宋体" w:asciiTheme="minorEastAsia" w:hAnsiTheme="minorEastAsia" w:eastAsiaTheme="minorEastAsia"/>
                <w:color w:val="000000" w:themeColor="text1"/>
                <w:sz w:val="28"/>
                <w:szCs w:val="28"/>
                <w:highlight w:val="none"/>
                <w14:textFill>
                  <w14:solidFill>
                    <w14:schemeClr w14:val="tx1"/>
                  </w14:solidFill>
                </w14:textFill>
              </w:rPr>
            </w:pPr>
          </w:p>
        </w:tc>
        <w:tc>
          <w:tcPr>
            <w:tcW w:w="606" w:type="dxa"/>
            <w:tcBorders>
              <w:top w:val="single" w:color="auto" w:sz="4" w:space="0"/>
              <w:left w:val="single" w:color="auto" w:sz="4" w:space="0"/>
              <w:bottom w:val="single" w:color="auto" w:sz="4" w:space="0"/>
              <w:right w:val="single" w:color="auto" w:sz="4" w:space="0"/>
            </w:tcBorders>
          </w:tcPr>
          <w:p w14:paraId="402C7243">
            <w:pPr>
              <w:pageBreakBefore w:val="0"/>
              <w:wordWrap/>
              <w:topLinePunct w:val="0"/>
              <w:bidi w:val="0"/>
              <w:spacing w:line="560" w:lineRule="exact"/>
              <w:jc w:val="center"/>
              <w:rPr>
                <w:rFonts w:cs="宋体" w:asciiTheme="minorEastAsia" w:hAnsiTheme="minorEastAsia" w:eastAsiaTheme="minorEastAsia"/>
                <w:color w:val="000000" w:themeColor="text1"/>
                <w:sz w:val="28"/>
                <w:szCs w:val="28"/>
                <w:highlight w:val="none"/>
                <w14:textFill>
                  <w14:solidFill>
                    <w14:schemeClr w14:val="tx1"/>
                  </w14:solidFill>
                </w14:textFill>
              </w:rPr>
            </w:pPr>
          </w:p>
        </w:tc>
        <w:tc>
          <w:tcPr>
            <w:tcW w:w="606" w:type="dxa"/>
            <w:tcBorders>
              <w:top w:val="single" w:color="auto" w:sz="4" w:space="0"/>
              <w:left w:val="single" w:color="auto" w:sz="4" w:space="0"/>
              <w:bottom w:val="single" w:color="auto" w:sz="4" w:space="0"/>
              <w:right w:val="single" w:color="auto" w:sz="4" w:space="0"/>
            </w:tcBorders>
          </w:tcPr>
          <w:p w14:paraId="63BC85C9">
            <w:pPr>
              <w:pageBreakBefore w:val="0"/>
              <w:wordWrap/>
              <w:topLinePunct w:val="0"/>
              <w:bidi w:val="0"/>
              <w:spacing w:line="560" w:lineRule="exact"/>
              <w:jc w:val="center"/>
              <w:rPr>
                <w:rFonts w:cs="宋体" w:asciiTheme="minorEastAsia" w:hAnsiTheme="minorEastAsia" w:eastAsiaTheme="minorEastAsia"/>
                <w:color w:val="000000" w:themeColor="text1"/>
                <w:sz w:val="28"/>
                <w:szCs w:val="28"/>
                <w:highlight w:val="none"/>
                <w14:textFill>
                  <w14:solidFill>
                    <w14:schemeClr w14:val="tx1"/>
                  </w14:solidFill>
                </w14:textFill>
              </w:rPr>
            </w:pPr>
          </w:p>
        </w:tc>
      </w:tr>
      <w:tr w14:paraId="3197A304">
        <w:tblPrEx>
          <w:tblCellMar>
            <w:top w:w="15" w:type="dxa"/>
            <w:left w:w="15" w:type="dxa"/>
            <w:bottom w:w="15" w:type="dxa"/>
            <w:right w:w="15" w:type="dxa"/>
          </w:tblCellMar>
        </w:tblPrEx>
        <w:trPr>
          <w:trHeight w:val="690" w:hRule="atLeast"/>
          <w:jc w:val="center"/>
        </w:trPr>
        <w:tc>
          <w:tcPr>
            <w:tcW w:w="622" w:type="dxa"/>
            <w:tcBorders>
              <w:top w:val="single" w:color="auto" w:sz="4" w:space="0"/>
              <w:left w:val="single" w:color="auto" w:sz="4" w:space="0"/>
              <w:bottom w:val="single" w:color="auto" w:sz="4" w:space="0"/>
              <w:right w:val="single" w:color="auto" w:sz="4" w:space="0"/>
            </w:tcBorders>
            <w:vAlign w:val="center"/>
          </w:tcPr>
          <w:p w14:paraId="0486D724">
            <w:pPr>
              <w:pageBreakBefore w:val="0"/>
              <w:wordWrap/>
              <w:topLinePunct w:val="0"/>
              <w:bidi w:val="0"/>
              <w:spacing w:line="560" w:lineRule="exact"/>
              <w:jc w:val="center"/>
              <w:textAlignment w:val="center"/>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cs="宋体" w:asciiTheme="minorEastAsia" w:hAnsiTheme="minorEastAsia" w:eastAsiaTheme="minorEastAsia"/>
                <w:color w:val="000000" w:themeColor="text1"/>
                <w:sz w:val="28"/>
                <w:szCs w:val="28"/>
                <w:highlight w:val="none"/>
                <w14:textFill>
                  <w14:solidFill>
                    <w14:schemeClr w14:val="tx1"/>
                  </w14:solidFill>
                </w14:textFill>
              </w:rPr>
              <w:t>…</w:t>
            </w:r>
          </w:p>
        </w:tc>
        <w:tc>
          <w:tcPr>
            <w:tcW w:w="1472" w:type="dxa"/>
            <w:tcBorders>
              <w:top w:val="single" w:color="auto" w:sz="4" w:space="0"/>
              <w:left w:val="single" w:color="auto" w:sz="4" w:space="0"/>
              <w:bottom w:val="single" w:color="auto" w:sz="4" w:space="0"/>
              <w:right w:val="single" w:color="auto" w:sz="4" w:space="0"/>
            </w:tcBorders>
            <w:vAlign w:val="center"/>
          </w:tcPr>
          <w:p w14:paraId="6B0B24BA">
            <w:pPr>
              <w:pageBreakBefore w:val="0"/>
              <w:wordWrap/>
              <w:topLinePunct w:val="0"/>
              <w:bidi w:val="0"/>
              <w:spacing w:line="560" w:lineRule="exact"/>
              <w:jc w:val="center"/>
              <w:textAlignment w:val="center"/>
              <w:rPr>
                <w:rFonts w:cs="宋体" w:asciiTheme="minorEastAsia" w:hAnsiTheme="minorEastAsia" w:eastAsiaTheme="minorEastAsia"/>
                <w:color w:val="000000" w:themeColor="text1"/>
                <w:sz w:val="28"/>
                <w:szCs w:val="28"/>
                <w:highlight w:val="none"/>
                <w14:textFill>
                  <w14:solidFill>
                    <w14:schemeClr w14:val="tx1"/>
                  </w14:solidFill>
                </w14:textFill>
              </w:rPr>
            </w:pPr>
          </w:p>
        </w:tc>
        <w:tc>
          <w:tcPr>
            <w:tcW w:w="4542" w:type="dxa"/>
            <w:tcBorders>
              <w:top w:val="single" w:color="auto" w:sz="4" w:space="0"/>
              <w:left w:val="single" w:color="auto" w:sz="4" w:space="0"/>
              <w:bottom w:val="single" w:color="auto" w:sz="4" w:space="0"/>
              <w:right w:val="single" w:color="auto" w:sz="4" w:space="0"/>
            </w:tcBorders>
            <w:vAlign w:val="center"/>
          </w:tcPr>
          <w:p w14:paraId="2E97EA77">
            <w:pPr>
              <w:pageBreakBefore w:val="0"/>
              <w:wordWrap/>
              <w:topLinePunct w:val="0"/>
              <w:bidi w:val="0"/>
              <w:spacing w:line="560" w:lineRule="exact"/>
              <w:jc w:val="center"/>
              <w:textAlignment w:val="center"/>
              <w:rPr>
                <w:rFonts w:cs="宋体" w:asciiTheme="minorEastAsia" w:hAnsiTheme="minorEastAsia" w:eastAsiaTheme="minorEastAsia"/>
                <w:color w:val="000000" w:themeColor="text1"/>
                <w:sz w:val="28"/>
                <w:szCs w:val="28"/>
                <w:highlight w:val="none"/>
                <w14:textFill>
                  <w14:solidFill>
                    <w14:schemeClr w14:val="tx1"/>
                  </w14:solidFill>
                </w14:textFill>
              </w:rPr>
            </w:pPr>
          </w:p>
        </w:tc>
        <w:tc>
          <w:tcPr>
            <w:tcW w:w="606" w:type="dxa"/>
            <w:tcBorders>
              <w:top w:val="single" w:color="auto" w:sz="4" w:space="0"/>
              <w:left w:val="single" w:color="auto" w:sz="4" w:space="0"/>
              <w:bottom w:val="single" w:color="auto" w:sz="4" w:space="0"/>
              <w:right w:val="single" w:color="auto" w:sz="4" w:space="0"/>
            </w:tcBorders>
            <w:vAlign w:val="center"/>
          </w:tcPr>
          <w:p w14:paraId="1E605FCD">
            <w:pPr>
              <w:pageBreakBefore w:val="0"/>
              <w:wordWrap/>
              <w:topLinePunct w:val="0"/>
              <w:bidi w:val="0"/>
              <w:spacing w:line="560" w:lineRule="exact"/>
              <w:jc w:val="center"/>
              <w:textAlignment w:val="center"/>
              <w:rPr>
                <w:rFonts w:cs="宋体" w:asciiTheme="minorEastAsia" w:hAnsiTheme="minorEastAsia" w:eastAsiaTheme="minorEastAsia"/>
                <w:color w:val="000000" w:themeColor="text1"/>
                <w:sz w:val="28"/>
                <w:szCs w:val="28"/>
                <w:highlight w:val="none"/>
                <w14:textFill>
                  <w14:solidFill>
                    <w14:schemeClr w14:val="tx1"/>
                  </w14:solidFill>
                </w14:textFill>
              </w:rPr>
            </w:pPr>
          </w:p>
        </w:tc>
        <w:tc>
          <w:tcPr>
            <w:tcW w:w="606" w:type="dxa"/>
            <w:tcBorders>
              <w:top w:val="single" w:color="auto" w:sz="4" w:space="0"/>
              <w:left w:val="single" w:color="auto" w:sz="4" w:space="0"/>
              <w:bottom w:val="single" w:color="auto" w:sz="4" w:space="0"/>
              <w:right w:val="single" w:color="auto" w:sz="4" w:space="0"/>
            </w:tcBorders>
            <w:vAlign w:val="center"/>
          </w:tcPr>
          <w:p w14:paraId="721424DA">
            <w:pPr>
              <w:pageBreakBefore w:val="0"/>
              <w:wordWrap/>
              <w:topLinePunct w:val="0"/>
              <w:bidi w:val="0"/>
              <w:spacing w:line="560" w:lineRule="exact"/>
              <w:jc w:val="center"/>
              <w:rPr>
                <w:rFonts w:cs="宋体" w:asciiTheme="minorEastAsia" w:hAnsiTheme="minorEastAsia" w:eastAsiaTheme="minorEastAsia"/>
                <w:color w:val="000000" w:themeColor="text1"/>
                <w:sz w:val="28"/>
                <w:szCs w:val="28"/>
                <w:highlight w:val="none"/>
                <w14:textFill>
                  <w14:solidFill>
                    <w14:schemeClr w14:val="tx1"/>
                  </w14:solidFill>
                </w14:textFill>
              </w:rPr>
            </w:pPr>
          </w:p>
        </w:tc>
        <w:tc>
          <w:tcPr>
            <w:tcW w:w="606" w:type="dxa"/>
            <w:tcBorders>
              <w:top w:val="single" w:color="auto" w:sz="4" w:space="0"/>
              <w:left w:val="single" w:color="auto" w:sz="4" w:space="0"/>
              <w:bottom w:val="single" w:color="auto" w:sz="4" w:space="0"/>
              <w:right w:val="single" w:color="auto" w:sz="4" w:space="0"/>
            </w:tcBorders>
          </w:tcPr>
          <w:p w14:paraId="3A7F3D74">
            <w:pPr>
              <w:pageBreakBefore w:val="0"/>
              <w:wordWrap/>
              <w:topLinePunct w:val="0"/>
              <w:bidi w:val="0"/>
              <w:spacing w:line="560" w:lineRule="exact"/>
              <w:jc w:val="center"/>
              <w:rPr>
                <w:rFonts w:cs="宋体" w:asciiTheme="minorEastAsia" w:hAnsiTheme="minorEastAsia" w:eastAsiaTheme="minorEastAsia"/>
                <w:color w:val="000000" w:themeColor="text1"/>
                <w:sz w:val="28"/>
                <w:szCs w:val="28"/>
                <w:highlight w:val="none"/>
                <w14:textFill>
                  <w14:solidFill>
                    <w14:schemeClr w14:val="tx1"/>
                  </w14:solidFill>
                </w14:textFill>
              </w:rPr>
            </w:pPr>
          </w:p>
        </w:tc>
        <w:tc>
          <w:tcPr>
            <w:tcW w:w="606" w:type="dxa"/>
            <w:tcBorders>
              <w:top w:val="single" w:color="auto" w:sz="4" w:space="0"/>
              <w:left w:val="single" w:color="auto" w:sz="4" w:space="0"/>
              <w:bottom w:val="single" w:color="auto" w:sz="4" w:space="0"/>
              <w:right w:val="single" w:color="auto" w:sz="4" w:space="0"/>
            </w:tcBorders>
          </w:tcPr>
          <w:p w14:paraId="198F1BD4">
            <w:pPr>
              <w:pageBreakBefore w:val="0"/>
              <w:wordWrap/>
              <w:topLinePunct w:val="0"/>
              <w:bidi w:val="0"/>
              <w:spacing w:line="560" w:lineRule="exact"/>
              <w:jc w:val="center"/>
              <w:rPr>
                <w:rFonts w:cs="宋体" w:asciiTheme="minorEastAsia" w:hAnsiTheme="minorEastAsia" w:eastAsiaTheme="minorEastAsia"/>
                <w:color w:val="000000" w:themeColor="text1"/>
                <w:sz w:val="28"/>
                <w:szCs w:val="28"/>
                <w:highlight w:val="none"/>
                <w14:textFill>
                  <w14:solidFill>
                    <w14:schemeClr w14:val="tx1"/>
                  </w14:solidFill>
                </w14:textFill>
              </w:rPr>
            </w:pPr>
          </w:p>
        </w:tc>
      </w:tr>
    </w:tbl>
    <w:p w14:paraId="20DDC7EA">
      <w:pPr>
        <w:pageBreakBefore w:val="0"/>
        <w:wordWrap/>
        <w:topLinePunct w:val="0"/>
        <w:bidi w:val="0"/>
        <w:snapToGrid w:val="0"/>
        <w:spacing w:line="560" w:lineRule="exact"/>
        <w:ind w:firstLine="602" w:firstLineChars="200"/>
        <w:rPr>
          <w:rFonts w:ascii="仿宋" w:hAnsi="仿宋" w:eastAsia="仿宋" w:cs="仿宋_GB2312"/>
          <w:b/>
          <w:color w:val="000000" w:themeColor="text1"/>
          <w:sz w:val="30"/>
          <w:szCs w:val="30"/>
          <w:highlight w:val="none"/>
          <w14:textFill>
            <w14:solidFill>
              <w14:schemeClr w14:val="tx1"/>
            </w14:solidFill>
          </w14:textFill>
        </w:rPr>
      </w:pPr>
    </w:p>
    <w:p w14:paraId="2C960E18">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t>注：1、供应商应提供本次招标项目的招标范围中的所有设备。</w:t>
      </w:r>
    </w:p>
    <w:p w14:paraId="73B84A19">
      <w:pPr>
        <w:keepNext w:val="0"/>
        <w:keepLines w:val="0"/>
        <w:pageBreakBefore w:val="0"/>
        <w:widowControl w:val="0"/>
        <w:kinsoku/>
        <w:wordWrap/>
        <w:overflowPunct/>
        <w:topLinePunct w:val="0"/>
        <w:autoSpaceDE/>
        <w:autoSpaceDN/>
        <w:bidi w:val="0"/>
        <w:adjustRightInd/>
        <w:snapToGrid w:val="0"/>
        <w:spacing w:line="560" w:lineRule="exact"/>
        <w:ind w:firstLine="562" w:firstLineChars="200"/>
        <w:textAlignment w:val="auto"/>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t>2、如中标单位所提供的的货物不符合要求，采购方有权要求中标单位退换全部设备，并由中标单位承担采购方的所造成的全部损失。</w:t>
      </w:r>
    </w:p>
    <w:p w14:paraId="39CD0416">
      <w:pPr>
        <w:keepNext w:val="0"/>
        <w:keepLines w:val="0"/>
        <w:pageBreakBefore w:val="0"/>
        <w:widowControl w:val="0"/>
        <w:kinsoku/>
        <w:wordWrap/>
        <w:overflowPunct/>
        <w:topLinePunct w:val="0"/>
        <w:autoSpaceDE/>
        <w:autoSpaceDN/>
        <w:bidi w:val="0"/>
        <w:adjustRightInd/>
        <w:snapToGrid w:val="0"/>
        <w:spacing w:line="560" w:lineRule="exact"/>
        <w:ind w:firstLine="562" w:firstLineChars="200"/>
        <w:textAlignment w:val="auto"/>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t>3、供应商可根据自身需求更改采购清单表格格式，但不可删减主要内容（如</w:t>
      </w:r>
      <w:r>
        <w:rPr>
          <w:rFonts w:hint="eastAsia" w:ascii="宋体" w:hAnsi="宋体" w:cs="宋体"/>
          <w:b/>
          <w:bCs/>
          <w:color w:val="000000" w:themeColor="text1"/>
          <w:sz w:val="28"/>
          <w:szCs w:val="28"/>
          <w:highlight w:val="none"/>
          <w:lang w:eastAsia="zh-CN"/>
          <w14:textFill>
            <w14:solidFill>
              <w14:schemeClr w14:val="tx1"/>
            </w14:solidFill>
          </w14:textFill>
        </w:rPr>
        <w:t>设备</w:t>
      </w:r>
      <w:r>
        <w:rPr>
          <w:rFonts w:hint="eastAsia" w:ascii="宋体" w:hAnsi="宋体" w:eastAsia="宋体" w:cs="宋体"/>
          <w:b/>
          <w:bCs/>
          <w:color w:val="000000" w:themeColor="text1"/>
          <w:sz w:val="28"/>
          <w:szCs w:val="28"/>
          <w:highlight w:val="none"/>
          <w14:textFill>
            <w14:solidFill>
              <w14:schemeClr w14:val="tx1"/>
            </w14:solidFill>
          </w14:textFill>
        </w:rPr>
        <w:t>名称</w:t>
      </w:r>
      <w:r>
        <w:rPr>
          <w:rFonts w:hint="eastAsia" w:ascii="宋体" w:hAnsi="宋体" w:cs="宋体"/>
          <w:b/>
          <w:bCs/>
          <w:color w:val="000000" w:themeColor="text1"/>
          <w:sz w:val="28"/>
          <w:szCs w:val="28"/>
          <w:highlight w:val="none"/>
          <w:lang w:eastAsia="zh-CN"/>
          <w14:textFill>
            <w14:solidFill>
              <w14:schemeClr w14:val="tx1"/>
            </w14:solidFill>
          </w14:textFill>
        </w:rPr>
        <w:t>、技术</w:t>
      </w:r>
      <w:r>
        <w:rPr>
          <w:rFonts w:hint="eastAsia" w:ascii="宋体" w:hAnsi="宋体" w:eastAsia="宋体" w:cs="宋体"/>
          <w:b/>
          <w:bCs/>
          <w:color w:val="000000" w:themeColor="text1"/>
          <w:sz w:val="28"/>
          <w:szCs w:val="28"/>
          <w:highlight w:val="none"/>
          <w14:textFill>
            <w14:solidFill>
              <w14:schemeClr w14:val="tx1"/>
            </w14:solidFill>
          </w14:textFill>
        </w:rPr>
        <w:t>参数</w:t>
      </w:r>
      <w:r>
        <w:rPr>
          <w:rFonts w:hint="eastAsia" w:ascii="宋体" w:hAnsi="宋体" w:cs="宋体"/>
          <w:b/>
          <w:bCs/>
          <w:color w:val="000000" w:themeColor="text1"/>
          <w:sz w:val="28"/>
          <w:szCs w:val="28"/>
          <w:highlight w:val="none"/>
          <w:lang w:eastAsia="zh-CN"/>
          <w14:textFill>
            <w14:solidFill>
              <w14:schemeClr w14:val="tx1"/>
            </w14:solidFill>
          </w14:textFill>
        </w:rPr>
        <w:t>、</w:t>
      </w:r>
      <w:r>
        <w:rPr>
          <w:rFonts w:hint="eastAsia" w:ascii="宋体" w:hAnsi="宋体" w:eastAsia="宋体" w:cs="宋体"/>
          <w:b/>
          <w:bCs/>
          <w:color w:val="000000" w:themeColor="text1"/>
          <w:sz w:val="28"/>
          <w:szCs w:val="28"/>
          <w:highlight w:val="none"/>
          <w14:textFill>
            <w14:solidFill>
              <w14:schemeClr w14:val="tx1"/>
            </w14:solidFill>
          </w14:textFill>
        </w:rPr>
        <w:t>数量</w:t>
      </w:r>
      <w:r>
        <w:rPr>
          <w:rFonts w:hint="eastAsia" w:ascii="宋体" w:hAnsi="宋体" w:cs="宋体"/>
          <w:b/>
          <w:bCs/>
          <w:color w:val="000000" w:themeColor="text1"/>
          <w:sz w:val="28"/>
          <w:szCs w:val="28"/>
          <w:highlight w:val="none"/>
          <w:lang w:eastAsia="zh-CN"/>
          <w14:textFill>
            <w14:solidFill>
              <w14:schemeClr w14:val="tx1"/>
            </w14:solidFill>
          </w14:textFill>
        </w:rPr>
        <w:t>、品牌、型号</w:t>
      </w:r>
      <w:r>
        <w:rPr>
          <w:rFonts w:hint="eastAsia" w:ascii="宋体" w:hAnsi="宋体" w:eastAsia="宋体" w:cs="宋体"/>
          <w:b/>
          <w:bCs/>
          <w:color w:val="000000" w:themeColor="text1"/>
          <w:sz w:val="28"/>
          <w:szCs w:val="28"/>
          <w:highlight w:val="none"/>
          <w14:textFill>
            <w14:solidFill>
              <w14:schemeClr w14:val="tx1"/>
            </w14:solidFill>
          </w14:textFill>
        </w:rPr>
        <w:t>）。</w:t>
      </w:r>
    </w:p>
    <w:p w14:paraId="2EB661F7">
      <w:pPr>
        <w:pageBreakBefore w:val="0"/>
        <w:wordWrap/>
        <w:topLinePunct w:val="0"/>
        <w:autoSpaceDE w:val="0"/>
        <w:autoSpaceDN w:val="0"/>
        <w:bidi w:val="0"/>
        <w:spacing w:line="560" w:lineRule="exact"/>
        <w:ind w:left="4375" w:leftChars="1950" w:hanging="280" w:hangingChars="100"/>
        <w:rPr>
          <w:rFonts w:cs="仿宋_GB2312" w:asciiTheme="minorEastAsia" w:hAnsiTheme="minorEastAsia" w:eastAsiaTheme="minorEastAsia"/>
          <w:color w:val="000000" w:themeColor="text1"/>
          <w:kern w:val="0"/>
          <w:sz w:val="28"/>
          <w:szCs w:val="28"/>
          <w:highlight w:val="none"/>
          <w14:textFill>
            <w14:solidFill>
              <w14:schemeClr w14:val="tx1"/>
            </w14:solidFill>
          </w14:textFill>
        </w:rPr>
      </w:pPr>
    </w:p>
    <w:p w14:paraId="3F27FDCA">
      <w:pPr>
        <w:pageBreakBefore w:val="0"/>
        <w:wordWrap/>
        <w:topLinePunct w:val="0"/>
        <w:autoSpaceDE w:val="0"/>
        <w:autoSpaceDN w:val="0"/>
        <w:bidi w:val="0"/>
        <w:spacing w:line="560" w:lineRule="exact"/>
        <w:ind w:left="4375" w:leftChars="1950" w:hanging="280" w:hangingChars="100"/>
        <w:rPr>
          <w:rFonts w:cs="仿宋_GB2312" w:asciiTheme="minorEastAsia" w:hAnsiTheme="minorEastAsia" w:eastAsiaTheme="minorEastAsia"/>
          <w:color w:val="000000" w:themeColor="text1"/>
          <w:kern w:val="0"/>
          <w:sz w:val="28"/>
          <w:szCs w:val="28"/>
          <w:highlight w:val="none"/>
          <w14:textFill>
            <w14:solidFill>
              <w14:schemeClr w14:val="tx1"/>
            </w14:solidFill>
          </w14:textFill>
        </w:rPr>
      </w:pPr>
    </w:p>
    <w:p w14:paraId="2D4B7684">
      <w:pPr>
        <w:pageBreakBefore w:val="0"/>
        <w:wordWrap/>
        <w:topLinePunct w:val="0"/>
        <w:autoSpaceDE w:val="0"/>
        <w:autoSpaceDN w:val="0"/>
        <w:bidi w:val="0"/>
        <w:spacing w:line="560" w:lineRule="exact"/>
        <w:ind w:left="4375" w:leftChars="1950" w:hanging="280" w:hangingChars="100"/>
        <w:rPr>
          <w:rFonts w:cs="仿宋_GB2312" w:asciiTheme="minorEastAsia" w:hAnsiTheme="minorEastAsia" w:eastAsiaTheme="minorEastAsia"/>
          <w:color w:val="000000" w:themeColor="text1"/>
          <w:kern w:val="0"/>
          <w:sz w:val="28"/>
          <w:szCs w:val="28"/>
          <w:highlight w:val="none"/>
          <w14:textFill>
            <w14:solidFill>
              <w14:schemeClr w14:val="tx1"/>
            </w14:solidFill>
          </w14:textFill>
        </w:rPr>
      </w:pPr>
    </w:p>
    <w:p w14:paraId="6966F3F5">
      <w:pPr>
        <w:pageBreakBefore w:val="0"/>
        <w:widowControl/>
        <w:wordWrap/>
        <w:topLinePunct w:val="0"/>
        <w:bidi w:val="0"/>
        <w:spacing w:line="560" w:lineRule="exact"/>
        <w:jc w:val="left"/>
        <w:rPr>
          <w:b/>
          <w:bCs/>
          <w:color w:val="000000" w:themeColor="text1"/>
          <w:sz w:val="30"/>
          <w:szCs w:val="30"/>
          <w:highlight w:val="none"/>
          <w14:textFill>
            <w14:solidFill>
              <w14:schemeClr w14:val="tx1"/>
            </w14:solidFill>
          </w14:textFill>
        </w:rPr>
      </w:pPr>
    </w:p>
    <w:p w14:paraId="27426352">
      <w:pPr>
        <w:pageBreakBefore w:val="0"/>
        <w:widowControl/>
        <w:wordWrap/>
        <w:topLinePunct w:val="0"/>
        <w:bidi w:val="0"/>
        <w:spacing w:line="560" w:lineRule="exact"/>
        <w:jc w:val="left"/>
        <w:rPr>
          <w:b/>
          <w:bCs/>
          <w:color w:val="000000" w:themeColor="text1"/>
          <w:sz w:val="30"/>
          <w:szCs w:val="30"/>
          <w:highlight w:val="none"/>
          <w14:textFill>
            <w14:solidFill>
              <w14:schemeClr w14:val="tx1"/>
            </w14:solidFill>
          </w14:textFill>
        </w:rPr>
      </w:pPr>
      <w:r>
        <w:rPr>
          <w:b/>
          <w:bCs/>
          <w:color w:val="000000" w:themeColor="text1"/>
          <w:sz w:val="30"/>
          <w:szCs w:val="30"/>
          <w:highlight w:val="none"/>
          <w14:textFill>
            <w14:solidFill>
              <w14:schemeClr w14:val="tx1"/>
            </w14:solidFill>
          </w14:textFill>
        </w:rPr>
        <w:br w:type="page"/>
      </w:r>
    </w:p>
    <w:p w14:paraId="6A1144C3">
      <w:pPr>
        <w:pageBreakBefore w:val="0"/>
        <w:wordWrap/>
        <w:topLinePunct w:val="0"/>
        <w:bidi w:val="0"/>
        <w:snapToGrid w:val="0"/>
        <w:spacing w:before="165" w:beforeLines="50" w:after="50" w:line="560" w:lineRule="exact"/>
        <w:jc w:val="center"/>
        <w:rPr>
          <w:rFonts w:hint="eastAsia" w:asciiTheme="minorEastAsia" w:hAnsiTheme="minorEastAsia" w:eastAsiaTheme="minorEastAsia"/>
          <w:b/>
          <w:bCs/>
          <w:color w:val="000000" w:themeColor="text1"/>
          <w:sz w:val="30"/>
          <w:szCs w:val="30"/>
          <w:highlight w:val="none"/>
          <w:lang w:eastAsia="zh-CN"/>
          <w14:textFill>
            <w14:solidFill>
              <w14:schemeClr w14:val="tx1"/>
            </w14:solidFill>
          </w14:textFill>
        </w:rPr>
      </w:pPr>
      <w:r>
        <w:rPr>
          <w:rFonts w:hint="eastAsia" w:asciiTheme="minorEastAsia" w:hAnsiTheme="minorEastAsia" w:eastAsiaTheme="minorEastAsia"/>
          <w:b/>
          <w:bCs/>
          <w:color w:val="000000" w:themeColor="text1"/>
          <w:sz w:val="30"/>
          <w:szCs w:val="30"/>
          <w:highlight w:val="none"/>
          <w:lang w:eastAsia="zh-CN"/>
          <w14:textFill>
            <w14:solidFill>
              <w14:schemeClr w14:val="tx1"/>
            </w14:solidFill>
          </w14:textFill>
        </w:rPr>
        <w:t>三、产品及性能</w:t>
      </w:r>
    </w:p>
    <w:p w14:paraId="67433B9C">
      <w:pPr>
        <w:pageBreakBefore w:val="0"/>
        <w:wordWrap/>
        <w:topLinePunct w:val="0"/>
        <w:autoSpaceDE w:val="0"/>
        <w:autoSpaceDN w:val="0"/>
        <w:bidi w:val="0"/>
        <w:spacing w:line="560" w:lineRule="exact"/>
        <w:jc w:val="center"/>
        <w:rPr>
          <w:rFonts w:hint="eastAsia" w:cs="仿宋_GB2312" w:asciiTheme="minorEastAsia" w:hAnsiTheme="minorEastAsia" w:eastAsiaTheme="minorEastAsia"/>
          <w:color w:val="000000" w:themeColor="text1"/>
          <w:sz w:val="24"/>
          <w:highlight w:val="none"/>
          <w:lang w:val="en-US" w:eastAsia="zh-CN"/>
          <w14:textFill>
            <w14:solidFill>
              <w14:schemeClr w14:val="tx1"/>
            </w14:solidFill>
          </w14:textFill>
        </w:rPr>
      </w:pPr>
      <w:r>
        <w:rPr>
          <w:rFonts w:hint="eastAsia" w:cs="仿宋_GB2312" w:asciiTheme="minorEastAsia" w:hAnsiTheme="minorEastAsia" w:eastAsiaTheme="minorEastAsia"/>
          <w:color w:val="000000" w:themeColor="text1"/>
          <w:sz w:val="28"/>
          <w:szCs w:val="28"/>
          <w:highlight w:val="none"/>
          <w:lang w:eastAsia="zh-CN"/>
          <w14:textFill>
            <w14:solidFill>
              <w14:schemeClr w14:val="tx1"/>
            </w14:solidFill>
          </w14:textFill>
        </w:rPr>
        <w:t>供应商</w:t>
      </w:r>
      <w:r>
        <w:rPr>
          <w:rFonts w:hint="eastAsia" w:cs="仿宋_GB2312" w:asciiTheme="minorEastAsia" w:hAnsiTheme="minorEastAsia" w:eastAsiaTheme="minorEastAsia"/>
          <w:color w:val="000000" w:themeColor="text1"/>
          <w:sz w:val="28"/>
          <w:szCs w:val="28"/>
          <w:highlight w:val="none"/>
          <w14:textFill>
            <w14:solidFill>
              <w14:schemeClr w14:val="tx1"/>
            </w14:solidFill>
          </w14:textFill>
        </w:rPr>
        <w:t>根据采购需求及评分标准要求</w:t>
      </w:r>
      <w:r>
        <w:rPr>
          <w:rFonts w:hint="eastAsia" w:cs="仿宋_GB2312" w:asciiTheme="minorEastAsia" w:hAnsiTheme="minorEastAsia" w:eastAsiaTheme="minorEastAsia"/>
          <w:color w:val="000000" w:themeColor="text1"/>
          <w:sz w:val="28"/>
          <w:szCs w:val="28"/>
          <w:highlight w:val="none"/>
          <w:lang w:eastAsia="zh-CN"/>
          <w14:textFill>
            <w14:solidFill>
              <w14:schemeClr w14:val="tx1"/>
            </w14:solidFill>
          </w14:textFill>
        </w:rPr>
        <w:t>自</w:t>
      </w:r>
      <w:r>
        <w:rPr>
          <w:rFonts w:hint="eastAsia" w:cs="仿宋_GB2312" w:asciiTheme="minorEastAsia" w:hAnsiTheme="minorEastAsia" w:eastAsiaTheme="minorEastAsia"/>
          <w:color w:val="000000" w:themeColor="text1"/>
          <w:sz w:val="28"/>
          <w:szCs w:val="28"/>
          <w:highlight w:val="none"/>
          <w:lang w:val="en-US" w:eastAsia="zh-CN"/>
          <w14:textFill>
            <w14:solidFill>
              <w14:schemeClr w14:val="tx1"/>
            </w14:solidFill>
          </w14:textFill>
        </w:rPr>
        <w:t>行</w:t>
      </w:r>
      <w:r>
        <w:rPr>
          <w:rFonts w:hint="eastAsia" w:cs="仿宋_GB2312" w:asciiTheme="minorEastAsia" w:hAnsiTheme="minorEastAsia" w:eastAsiaTheme="minorEastAsia"/>
          <w:color w:val="000000" w:themeColor="text1"/>
          <w:sz w:val="28"/>
          <w:szCs w:val="28"/>
          <w:highlight w:val="none"/>
          <w14:textFill>
            <w14:solidFill>
              <w14:schemeClr w14:val="tx1"/>
            </w14:solidFill>
          </w14:textFill>
        </w:rPr>
        <w:t>编制</w:t>
      </w:r>
    </w:p>
    <w:p w14:paraId="25909EE8">
      <w:pPr>
        <w:pageBreakBefore w:val="0"/>
        <w:widowControl/>
        <w:wordWrap/>
        <w:topLinePunct w:val="0"/>
        <w:bidi w:val="0"/>
        <w:spacing w:line="560" w:lineRule="exact"/>
        <w:jc w:val="left"/>
        <w:rPr>
          <w:b/>
          <w:bCs/>
          <w:color w:val="000000" w:themeColor="text1"/>
          <w:sz w:val="30"/>
          <w:szCs w:val="30"/>
          <w:highlight w:val="none"/>
          <w14:textFill>
            <w14:solidFill>
              <w14:schemeClr w14:val="tx1"/>
            </w14:solidFill>
          </w14:textFill>
        </w:rPr>
      </w:pPr>
    </w:p>
    <w:p w14:paraId="7D14D5F4">
      <w:pPr>
        <w:pageBreakBefore w:val="0"/>
        <w:widowControl/>
        <w:wordWrap/>
        <w:topLinePunct w:val="0"/>
        <w:bidi w:val="0"/>
        <w:spacing w:line="560" w:lineRule="exact"/>
        <w:jc w:val="left"/>
        <w:rPr>
          <w:b/>
          <w:bCs/>
          <w:color w:val="000000" w:themeColor="text1"/>
          <w:sz w:val="30"/>
          <w:szCs w:val="30"/>
          <w:highlight w:val="none"/>
          <w14:textFill>
            <w14:solidFill>
              <w14:schemeClr w14:val="tx1"/>
            </w14:solidFill>
          </w14:textFill>
        </w:rPr>
      </w:pPr>
    </w:p>
    <w:p w14:paraId="690B1E1D">
      <w:pPr>
        <w:pageBreakBefore w:val="0"/>
        <w:widowControl/>
        <w:wordWrap/>
        <w:topLinePunct w:val="0"/>
        <w:bidi w:val="0"/>
        <w:spacing w:line="560" w:lineRule="exact"/>
        <w:jc w:val="left"/>
        <w:rPr>
          <w:b/>
          <w:bCs/>
          <w:color w:val="000000" w:themeColor="text1"/>
          <w:sz w:val="30"/>
          <w:szCs w:val="30"/>
          <w:highlight w:val="none"/>
          <w14:textFill>
            <w14:solidFill>
              <w14:schemeClr w14:val="tx1"/>
            </w14:solidFill>
          </w14:textFill>
        </w:rPr>
      </w:pPr>
    </w:p>
    <w:p w14:paraId="180D12B6">
      <w:pPr>
        <w:pageBreakBefore w:val="0"/>
        <w:widowControl/>
        <w:wordWrap/>
        <w:topLinePunct w:val="0"/>
        <w:bidi w:val="0"/>
        <w:spacing w:line="560" w:lineRule="exact"/>
        <w:jc w:val="left"/>
        <w:rPr>
          <w:b/>
          <w:bCs/>
          <w:color w:val="000000" w:themeColor="text1"/>
          <w:sz w:val="30"/>
          <w:szCs w:val="30"/>
          <w:highlight w:val="none"/>
          <w14:textFill>
            <w14:solidFill>
              <w14:schemeClr w14:val="tx1"/>
            </w14:solidFill>
          </w14:textFill>
        </w:rPr>
      </w:pPr>
    </w:p>
    <w:p w14:paraId="368F2BAD">
      <w:pPr>
        <w:pageBreakBefore w:val="0"/>
        <w:widowControl/>
        <w:wordWrap/>
        <w:topLinePunct w:val="0"/>
        <w:bidi w:val="0"/>
        <w:spacing w:line="560" w:lineRule="exact"/>
        <w:jc w:val="left"/>
        <w:rPr>
          <w:b/>
          <w:bCs/>
          <w:color w:val="000000" w:themeColor="text1"/>
          <w:sz w:val="30"/>
          <w:szCs w:val="30"/>
          <w:highlight w:val="none"/>
          <w14:textFill>
            <w14:solidFill>
              <w14:schemeClr w14:val="tx1"/>
            </w14:solidFill>
          </w14:textFill>
        </w:rPr>
      </w:pPr>
    </w:p>
    <w:p w14:paraId="60FF59E7">
      <w:pPr>
        <w:pageBreakBefore w:val="0"/>
        <w:widowControl/>
        <w:wordWrap/>
        <w:topLinePunct w:val="0"/>
        <w:bidi w:val="0"/>
        <w:spacing w:line="560" w:lineRule="exact"/>
        <w:jc w:val="left"/>
        <w:rPr>
          <w:b/>
          <w:bCs/>
          <w:color w:val="000000" w:themeColor="text1"/>
          <w:sz w:val="30"/>
          <w:szCs w:val="30"/>
          <w:highlight w:val="none"/>
          <w14:textFill>
            <w14:solidFill>
              <w14:schemeClr w14:val="tx1"/>
            </w14:solidFill>
          </w14:textFill>
        </w:rPr>
      </w:pPr>
    </w:p>
    <w:p w14:paraId="1B56BC46">
      <w:pPr>
        <w:pageBreakBefore w:val="0"/>
        <w:widowControl/>
        <w:wordWrap/>
        <w:topLinePunct w:val="0"/>
        <w:bidi w:val="0"/>
        <w:spacing w:line="560" w:lineRule="exact"/>
        <w:jc w:val="left"/>
        <w:rPr>
          <w:b/>
          <w:bCs/>
          <w:color w:val="000000" w:themeColor="text1"/>
          <w:sz w:val="30"/>
          <w:szCs w:val="30"/>
          <w:highlight w:val="none"/>
          <w14:textFill>
            <w14:solidFill>
              <w14:schemeClr w14:val="tx1"/>
            </w14:solidFill>
          </w14:textFill>
        </w:rPr>
      </w:pPr>
    </w:p>
    <w:p w14:paraId="137EB22C">
      <w:pPr>
        <w:pageBreakBefore w:val="0"/>
        <w:widowControl/>
        <w:wordWrap/>
        <w:topLinePunct w:val="0"/>
        <w:bidi w:val="0"/>
        <w:spacing w:line="560" w:lineRule="exact"/>
        <w:jc w:val="left"/>
        <w:rPr>
          <w:b/>
          <w:bCs/>
          <w:color w:val="000000" w:themeColor="text1"/>
          <w:sz w:val="30"/>
          <w:szCs w:val="30"/>
          <w:highlight w:val="none"/>
          <w14:textFill>
            <w14:solidFill>
              <w14:schemeClr w14:val="tx1"/>
            </w14:solidFill>
          </w14:textFill>
        </w:rPr>
      </w:pPr>
    </w:p>
    <w:p w14:paraId="3C8C371E">
      <w:pPr>
        <w:pageBreakBefore w:val="0"/>
        <w:widowControl/>
        <w:wordWrap/>
        <w:topLinePunct w:val="0"/>
        <w:bidi w:val="0"/>
        <w:spacing w:line="560" w:lineRule="exact"/>
        <w:jc w:val="left"/>
        <w:rPr>
          <w:b/>
          <w:bCs/>
          <w:color w:val="000000" w:themeColor="text1"/>
          <w:sz w:val="30"/>
          <w:szCs w:val="30"/>
          <w:highlight w:val="none"/>
          <w14:textFill>
            <w14:solidFill>
              <w14:schemeClr w14:val="tx1"/>
            </w14:solidFill>
          </w14:textFill>
        </w:rPr>
      </w:pPr>
    </w:p>
    <w:p w14:paraId="5F894473">
      <w:pPr>
        <w:pageBreakBefore w:val="0"/>
        <w:widowControl/>
        <w:wordWrap/>
        <w:topLinePunct w:val="0"/>
        <w:bidi w:val="0"/>
        <w:spacing w:line="560" w:lineRule="exact"/>
        <w:jc w:val="left"/>
        <w:rPr>
          <w:b/>
          <w:bCs/>
          <w:color w:val="000000" w:themeColor="text1"/>
          <w:sz w:val="30"/>
          <w:szCs w:val="30"/>
          <w:highlight w:val="none"/>
          <w14:textFill>
            <w14:solidFill>
              <w14:schemeClr w14:val="tx1"/>
            </w14:solidFill>
          </w14:textFill>
        </w:rPr>
      </w:pPr>
    </w:p>
    <w:p w14:paraId="4A85BFFF">
      <w:pPr>
        <w:pageBreakBefore w:val="0"/>
        <w:widowControl/>
        <w:wordWrap/>
        <w:topLinePunct w:val="0"/>
        <w:bidi w:val="0"/>
        <w:spacing w:line="560" w:lineRule="exact"/>
        <w:jc w:val="left"/>
        <w:rPr>
          <w:b/>
          <w:bCs/>
          <w:color w:val="000000" w:themeColor="text1"/>
          <w:sz w:val="30"/>
          <w:szCs w:val="30"/>
          <w:highlight w:val="none"/>
          <w14:textFill>
            <w14:solidFill>
              <w14:schemeClr w14:val="tx1"/>
            </w14:solidFill>
          </w14:textFill>
        </w:rPr>
      </w:pPr>
    </w:p>
    <w:p w14:paraId="5A2FE428">
      <w:pPr>
        <w:pageBreakBefore w:val="0"/>
        <w:widowControl/>
        <w:wordWrap/>
        <w:topLinePunct w:val="0"/>
        <w:bidi w:val="0"/>
        <w:spacing w:line="560" w:lineRule="exact"/>
        <w:jc w:val="left"/>
        <w:rPr>
          <w:b/>
          <w:bCs/>
          <w:color w:val="000000" w:themeColor="text1"/>
          <w:sz w:val="30"/>
          <w:szCs w:val="30"/>
          <w:highlight w:val="none"/>
          <w14:textFill>
            <w14:solidFill>
              <w14:schemeClr w14:val="tx1"/>
            </w14:solidFill>
          </w14:textFill>
        </w:rPr>
      </w:pPr>
    </w:p>
    <w:p w14:paraId="713FC28E">
      <w:pPr>
        <w:pageBreakBefore w:val="0"/>
        <w:widowControl/>
        <w:wordWrap/>
        <w:topLinePunct w:val="0"/>
        <w:bidi w:val="0"/>
        <w:spacing w:line="560" w:lineRule="exact"/>
        <w:jc w:val="left"/>
        <w:rPr>
          <w:b/>
          <w:bCs/>
          <w:color w:val="000000" w:themeColor="text1"/>
          <w:sz w:val="30"/>
          <w:szCs w:val="30"/>
          <w:highlight w:val="none"/>
          <w14:textFill>
            <w14:solidFill>
              <w14:schemeClr w14:val="tx1"/>
            </w14:solidFill>
          </w14:textFill>
        </w:rPr>
      </w:pPr>
    </w:p>
    <w:p w14:paraId="75194E97">
      <w:pPr>
        <w:pageBreakBefore w:val="0"/>
        <w:widowControl/>
        <w:wordWrap/>
        <w:topLinePunct w:val="0"/>
        <w:bidi w:val="0"/>
        <w:spacing w:line="560" w:lineRule="exact"/>
        <w:jc w:val="left"/>
        <w:rPr>
          <w:b/>
          <w:bCs/>
          <w:color w:val="000000" w:themeColor="text1"/>
          <w:sz w:val="30"/>
          <w:szCs w:val="30"/>
          <w:highlight w:val="none"/>
          <w14:textFill>
            <w14:solidFill>
              <w14:schemeClr w14:val="tx1"/>
            </w14:solidFill>
          </w14:textFill>
        </w:rPr>
      </w:pPr>
    </w:p>
    <w:p w14:paraId="7EC3228D">
      <w:pPr>
        <w:pageBreakBefore w:val="0"/>
        <w:widowControl/>
        <w:wordWrap/>
        <w:topLinePunct w:val="0"/>
        <w:bidi w:val="0"/>
        <w:spacing w:line="560" w:lineRule="exact"/>
        <w:jc w:val="left"/>
        <w:rPr>
          <w:b/>
          <w:bCs/>
          <w:color w:val="000000" w:themeColor="text1"/>
          <w:sz w:val="30"/>
          <w:szCs w:val="30"/>
          <w:highlight w:val="none"/>
          <w14:textFill>
            <w14:solidFill>
              <w14:schemeClr w14:val="tx1"/>
            </w14:solidFill>
          </w14:textFill>
        </w:rPr>
      </w:pPr>
    </w:p>
    <w:p w14:paraId="39011D6C">
      <w:pPr>
        <w:pageBreakBefore w:val="0"/>
        <w:widowControl/>
        <w:wordWrap/>
        <w:topLinePunct w:val="0"/>
        <w:bidi w:val="0"/>
        <w:spacing w:line="560" w:lineRule="exact"/>
        <w:jc w:val="left"/>
        <w:rPr>
          <w:b/>
          <w:bCs/>
          <w:color w:val="000000" w:themeColor="text1"/>
          <w:sz w:val="30"/>
          <w:szCs w:val="30"/>
          <w:highlight w:val="none"/>
          <w14:textFill>
            <w14:solidFill>
              <w14:schemeClr w14:val="tx1"/>
            </w14:solidFill>
          </w14:textFill>
        </w:rPr>
      </w:pPr>
    </w:p>
    <w:p w14:paraId="6F70D6DD">
      <w:pPr>
        <w:pageBreakBefore w:val="0"/>
        <w:widowControl/>
        <w:wordWrap/>
        <w:topLinePunct w:val="0"/>
        <w:bidi w:val="0"/>
        <w:spacing w:line="560" w:lineRule="exact"/>
        <w:jc w:val="left"/>
        <w:rPr>
          <w:b/>
          <w:bCs/>
          <w:color w:val="000000" w:themeColor="text1"/>
          <w:sz w:val="30"/>
          <w:szCs w:val="30"/>
          <w:highlight w:val="none"/>
          <w14:textFill>
            <w14:solidFill>
              <w14:schemeClr w14:val="tx1"/>
            </w14:solidFill>
          </w14:textFill>
        </w:rPr>
      </w:pPr>
    </w:p>
    <w:p w14:paraId="57A6B1F4">
      <w:pPr>
        <w:pageBreakBefore w:val="0"/>
        <w:widowControl/>
        <w:wordWrap/>
        <w:topLinePunct w:val="0"/>
        <w:bidi w:val="0"/>
        <w:spacing w:line="560" w:lineRule="exact"/>
        <w:jc w:val="left"/>
        <w:rPr>
          <w:b/>
          <w:bCs/>
          <w:color w:val="000000" w:themeColor="text1"/>
          <w:sz w:val="30"/>
          <w:szCs w:val="30"/>
          <w:highlight w:val="none"/>
          <w14:textFill>
            <w14:solidFill>
              <w14:schemeClr w14:val="tx1"/>
            </w14:solidFill>
          </w14:textFill>
        </w:rPr>
      </w:pPr>
    </w:p>
    <w:p w14:paraId="0054E16B">
      <w:pPr>
        <w:pageBreakBefore w:val="0"/>
        <w:widowControl/>
        <w:wordWrap/>
        <w:topLinePunct w:val="0"/>
        <w:bidi w:val="0"/>
        <w:spacing w:line="560" w:lineRule="exact"/>
        <w:jc w:val="left"/>
        <w:rPr>
          <w:b/>
          <w:bCs/>
          <w:color w:val="000000" w:themeColor="text1"/>
          <w:sz w:val="30"/>
          <w:szCs w:val="30"/>
          <w:highlight w:val="none"/>
          <w14:textFill>
            <w14:solidFill>
              <w14:schemeClr w14:val="tx1"/>
            </w14:solidFill>
          </w14:textFill>
        </w:rPr>
      </w:pPr>
    </w:p>
    <w:p w14:paraId="6368FD4D">
      <w:pPr>
        <w:pageBreakBefore w:val="0"/>
        <w:widowControl/>
        <w:wordWrap/>
        <w:topLinePunct w:val="0"/>
        <w:bidi w:val="0"/>
        <w:spacing w:line="560" w:lineRule="exact"/>
        <w:jc w:val="left"/>
        <w:rPr>
          <w:b/>
          <w:bCs/>
          <w:color w:val="000000" w:themeColor="text1"/>
          <w:sz w:val="30"/>
          <w:szCs w:val="30"/>
          <w:highlight w:val="none"/>
          <w14:textFill>
            <w14:solidFill>
              <w14:schemeClr w14:val="tx1"/>
            </w14:solidFill>
          </w14:textFill>
        </w:rPr>
      </w:pPr>
    </w:p>
    <w:p w14:paraId="63E05779">
      <w:pPr>
        <w:pageBreakBefore w:val="0"/>
        <w:wordWrap/>
        <w:topLinePunct w:val="0"/>
        <w:bidi w:val="0"/>
        <w:snapToGrid w:val="0"/>
        <w:spacing w:before="165" w:beforeLines="50" w:after="50" w:line="560" w:lineRule="exact"/>
        <w:jc w:val="center"/>
        <w:rPr>
          <w:rFonts w:hint="eastAsia" w:asciiTheme="minorEastAsia" w:hAnsiTheme="minorEastAsia" w:eastAsiaTheme="minorEastAsia"/>
          <w:b/>
          <w:bCs/>
          <w:color w:val="000000" w:themeColor="text1"/>
          <w:sz w:val="30"/>
          <w:szCs w:val="30"/>
          <w:highlight w:val="none"/>
          <w:lang w:eastAsia="zh-CN"/>
          <w14:textFill>
            <w14:solidFill>
              <w14:schemeClr w14:val="tx1"/>
            </w14:solidFill>
          </w14:textFill>
        </w:rPr>
      </w:pPr>
    </w:p>
    <w:p w14:paraId="0457C0AA">
      <w:pPr>
        <w:pageBreakBefore w:val="0"/>
        <w:wordWrap/>
        <w:topLinePunct w:val="0"/>
        <w:bidi w:val="0"/>
        <w:snapToGrid w:val="0"/>
        <w:spacing w:before="165" w:beforeLines="50" w:after="50" w:line="560" w:lineRule="exact"/>
        <w:jc w:val="center"/>
        <w:rPr>
          <w:rFonts w:hint="eastAsia" w:asciiTheme="minorEastAsia" w:hAnsiTheme="minorEastAsia" w:eastAsiaTheme="minorEastAsia"/>
          <w:b/>
          <w:bCs/>
          <w:color w:val="000000" w:themeColor="text1"/>
          <w:sz w:val="30"/>
          <w:szCs w:val="30"/>
          <w:highlight w:val="none"/>
          <w:lang w:eastAsia="zh-CN"/>
          <w14:textFill>
            <w14:solidFill>
              <w14:schemeClr w14:val="tx1"/>
            </w14:solidFill>
          </w14:textFill>
        </w:rPr>
      </w:pPr>
    </w:p>
    <w:p w14:paraId="60386498">
      <w:pPr>
        <w:pageBreakBefore w:val="0"/>
        <w:wordWrap/>
        <w:topLinePunct w:val="0"/>
        <w:bidi w:val="0"/>
        <w:snapToGrid w:val="0"/>
        <w:spacing w:before="165" w:beforeLines="50" w:after="50" w:line="560" w:lineRule="exact"/>
        <w:jc w:val="center"/>
        <w:rPr>
          <w:rFonts w:hint="eastAsia" w:asciiTheme="minorEastAsia" w:hAnsiTheme="minorEastAsia" w:eastAsiaTheme="minorEastAsia"/>
          <w:b/>
          <w:bCs/>
          <w:color w:val="000000" w:themeColor="text1"/>
          <w:sz w:val="30"/>
          <w:szCs w:val="30"/>
          <w:highlight w:val="none"/>
          <w:lang w:eastAsia="zh-CN"/>
          <w14:textFill>
            <w14:solidFill>
              <w14:schemeClr w14:val="tx1"/>
            </w14:solidFill>
          </w14:textFill>
        </w:rPr>
      </w:pPr>
    </w:p>
    <w:p w14:paraId="41D466D1">
      <w:pPr>
        <w:pageBreakBefore w:val="0"/>
        <w:wordWrap/>
        <w:topLinePunct w:val="0"/>
        <w:bidi w:val="0"/>
        <w:snapToGrid w:val="0"/>
        <w:spacing w:before="165" w:beforeLines="50" w:after="50" w:line="560" w:lineRule="exact"/>
        <w:jc w:val="center"/>
        <w:rPr>
          <w:rFonts w:hint="eastAsia" w:asciiTheme="minorEastAsia" w:hAnsiTheme="minorEastAsia" w:eastAsiaTheme="minorEastAsia"/>
          <w:b/>
          <w:bCs/>
          <w:color w:val="000000" w:themeColor="text1"/>
          <w:sz w:val="30"/>
          <w:szCs w:val="30"/>
          <w:highlight w:val="none"/>
          <w:lang w:eastAsia="zh-CN"/>
          <w14:textFill>
            <w14:solidFill>
              <w14:schemeClr w14:val="tx1"/>
            </w14:solidFill>
          </w14:textFill>
        </w:rPr>
      </w:pPr>
      <w:r>
        <w:rPr>
          <w:rFonts w:hint="eastAsia" w:asciiTheme="minorEastAsia" w:hAnsiTheme="minorEastAsia" w:eastAsiaTheme="minorEastAsia"/>
          <w:b/>
          <w:bCs/>
          <w:color w:val="000000" w:themeColor="text1"/>
          <w:sz w:val="30"/>
          <w:szCs w:val="30"/>
          <w:highlight w:val="none"/>
          <w:lang w:eastAsia="zh-CN"/>
          <w14:textFill>
            <w14:solidFill>
              <w14:schemeClr w14:val="tx1"/>
            </w14:solidFill>
          </w14:textFill>
        </w:rPr>
        <w:t>四</w:t>
      </w:r>
      <w:r>
        <w:rPr>
          <w:rFonts w:hint="eastAsia" w:asciiTheme="minorEastAsia" w:hAnsiTheme="minorEastAsia" w:eastAsiaTheme="minorEastAsia"/>
          <w:b/>
          <w:bCs/>
          <w:color w:val="000000" w:themeColor="text1"/>
          <w:sz w:val="30"/>
          <w:szCs w:val="30"/>
          <w:highlight w:val="none"/>
          <w14:textFill>
            <w14:solidFill>
              <w14:schemeClr w14:val="tx1"/>
            </w14:solidFill>
          </w14:textFill>
        </w:rPr>
        <w:t>、</w:t>
      </w:r>
      <w:r>
        <w:rPr>
          <w:rFonts w:hint="eastAsia" w:asciiTheme="minorEastAsia" w:hAnsiTheme="minorEastAsia" w:eastAsiaTheme="minorEastAsia"/>
          <w:b/>
          <w:bCs/>
          <w:color w:val="000000" w:themeColor="text1"/>
          <w:sz w:val="30"/>
          <w:szCs w:val="30"/>
          <w:highlight w:val="none"/>
          <w:lang w:eastAsia="zh-CN"/>
          <w14:textFill>
            <w14:solidFill>
              <w14:schemeClr w14:val="tx1"/>
            </w14:solidFill>
          </w14:textFill>
        </w:rPr>
        <w:t>技术方案</w:t>
      </w:r>
    </w:p>
    <w:p w14:paraId="3068CEDF">
      <w:pPr>
        <w:pageBreakBefore w:val="0"/>
        <w:wordWrap/>
        <w:topLinePunct w:val="0"/>
        <w:autoSpaceDE w:val="0"/>
        <w:autoSpaceDN w:val="0"/>
        <w:bidi w:val="0"/>
        <w:spacing w:line="560" w:lineRule="exact"/>
        <w:jc w:val="center"/>
        <w:rPr>
          <w:rFonts w:hint="eastAsia" w:cs="仿宋_GB2312" w:asciiTheme="minorEastAsia" w:hAnsiTheme="minorEastAsia" w:eastAsiaTheme="minorEastAsia"/>
          <w:color w:val="000000" w:themeColor="text1"/>
          <w:sz w:val="24"/>
          <w:highlight w:val="none"/>
          <w:lang w:val="en-US" w:eastAsia="zh-CN"/>
          <w14:textFill>
            <w14:solidFill>
              <w14:schemeClr w14:val="tx1"/>
            </w14:solidFill>
          </w14:textFill>
        </w:rPr>
      </w:pPr>
      <w:r>
        <w:rPr>
          <w:rFonts w:hint="eastAsia" w:cs="仿宋_GB2312" w:asciiTheme="minorEastAsia" w:hAnsiTheme="minorEastAsia" w:eastAsiaTheme="minorEastAsia"/>
          <w:color w:val="000000" w:themeColor="text1"/>
          <w:sz w:val="28"/>
          <w:szCs w:val="28"/>
          <w:highlight w:val="none"/>
          <w:lang w:eastAsia="zh-CN"/>
          <w14:textFill>
            <w14:solidFill>
              <w14:schemeClr w14:val="tx1"/>
            </w14:solidFill>
          </w14:textFill>
        </w:rPr>
        <w:t>供应商</w:t>
      </w:r>
      <w:r>
        <w:rPr>
          <w:rFonts w:hint="eastAsia" w:cs="仿宋_GB2312" w:asciiTheme="minorEastAsia" w:hAnsiTheme="minorEastAsia" w:eastAsiaTheme="minorEastAsia"/>
          <w:color w:val="000000" w:themeColor="text1"/>
          <w:sz w:val="28"/>
          <w:szCs w:val="28"/>
          <w:highlight w:val="none"/>
          <w14:textFill>
            <w14:solidFill>
              <w14:schemeClr w14:val="tx1"/>
            </w14:solidFill>
          </w14:textFill>
        </w:rPr>
        <w:t>根据采购需求及评分标准要求</w:t>
      </w:r>
      <w:r>
        <w:rPr>
          <w:rFonts w:hint="eastAsia" w:cs="仿宋_GB2312" w:asciiTheme="minorEastAsia" w:hAnsiTheme="minorEastAsia" w:eastAsiaTheme="minorEastAsia"/>
          <w:color w:val="000000" w:themeColor="text1"/>
          <w:sz w:val="28"/>
          <w:szCs w:val="28"/>
          <w:highlight w:val="none"/>
          <w:lang w:eastAsia="zh-CN"/>
          <w14:textFill>
            <w14:solidFill>
              <w14:schemeClr w14:val="tx1"/>
            </w14:solidFill>
          </w14:textFill>
        </w:rPr>
        <w:t>自</w:t>
      </w:r>
      <w:r>
        <w:rPr>
          <w:rFonts w:hint="eastAsia" w:cs="仿宋_GB2312" w:asciiTheme="minorEastAsia" w:hAnsiTheme="minorEastAsia" w:eastAsiaTheme="minorEastAsia"/>
          <w:color w:val="000000" w:themeColor="text1"/>
          <w:sz w:val="28"/>
          <w:szCs w:val="28"/>
          <w:highlight w:val="none"/>
          <w:lang w:val="en-US" w:eastAsia="zh-CN"/>
          <w14:textFill>
            <w14:solidFill>
              <w14:schemeClr w14:val="tx1"/>
            </w14:solidFill>
          </w14:textFill>
        </w:rPr>
        <w:t>行</w:t>
      </w:r>
      <w:r>
        <w:rPr>
          <w:rFonts w:hint="eastAsia" w:cs="仿宋_GB2312" w:asciiTheme="minorEastAsia" w:hAnsiTheme="minorEastAsia" w:eastAsiaTheme="minorEastAsia"/>
          <w:color w:val="000000" w:themeColor="text1"/>
          <w:sz w:val="28"/>
          <w:szCs w:val="28"/>
          <w:highlight w:val="none"/>
          <w14:textFill>
            <w14:solidFill>
              <w14:schemeClr w14:val="tx1"/>
            </w14:solidFill>
          </w14:textFill>
        </w:rPr>
        <w:t>编制</w:t>
      </w:r>
    </w:p>
    <w:p w14:paraId="6F8AD1A9">
      <w:pPr>
        <w:pageBreakBefore w:val="0"/>
        <w:wordWrap/>
        <w:topLinePunct w:val="0"/>
        <w:bidi w:val="0"/>
        <w:snapToGrid w:val="0"/>
        <w:spacing w:before="165" w:beforeLines="50" w:after="50" w:line="560" w:lineRule="exact"/>
        <w:jc w:val="center"/>
        <w:rPr>
          <w:rFonts w:asciiTheme="minorEastAsia" w:hAnsiTheme="minorEastAsia" w:eastAsiaTheme="minorEastAsia"/>
          <w:b/>
          <w:bCs/>
          <w:color w:val="000000" w:themeColor="text1"/>
          <w:sz w:val="30"/>
          <w:szCs w:val="30"/>
          <w:highlight w:val="none"/>
          <w14:textFill>
            <w14:solidFill>
              <w14:schemeClr w14:val="tx1"/>
            </w14:solidFill>
          </w14:textFill>
        </w:rPr>
      </w:pPr>
    </w:p>
    <w:p w14:paraId="2EEEC128">
      <w:pPr>
        <w:pageBreakBefore w:val="0"/>
        <w:wordWrap/>
        <w:topLinePunct w:val="0"/>
        <w:bidi w:val="0"/>
        <w:snapToGrid w:val="0"/>
        <w:spacing w:before="165" w:beforeLines="50" w:after="50" w:line="560" w:lineRule="exact"/>
        <w:jc w:val="center"/>
        <w:rPr>
          <w:rFonts w:asciiTheme="minorEastAsia" w:hAnsiTheme="minorEastAsia" w:eastAsiaTheme="minorEastAsia"/>
          <w:b/>
          <w:bCs/>
          <w:color w:val="000000" w:themeColor="text1"/>
          <w:sz w:val="30"/>
          <w:szCs w:val="30"/>
          <w:highlight w:val="none"/>
          <w14:textFill>
            <w14:solidFill>
              <w14:schemeClr w14:val="tx1"/>
            </w14:solidFill>
          </w14:textFill>
        </w:rPr>
      </w:pPr>
    </w:p>
    <w:p w14:paraId="2C325DC0">
      <w:pPr>
        <w:pageBreakBefore w:val="0"/>
        <w:wordWrap/>
        <w:topLinePunct w:val="0"/>
        <w:bidi w:val="0"/>
        <w:snapToGrid w:val="0"/>
        <w:spacing w:before="165" w:beforeLines="50" w:after="50" w:line="560" w:lineRule="exact"/>
        <w:jc w:val="center"/>
        <w:rPr>
          <w:rFonts w:asciiTheme="minorEastAsia" w:hAnsiTheme="minorEastAsia" w:eastAsiaTheme="minorEastAsia"/>
          <w:b/>
          <w:bCs/>
          <w:color w:val="000000" w:themeColor="text1"/>
          <w:sz w:val="30"/>
          <w:szCs w:val="30"/>
          <w:highlight w:val="none"/>
          <w14:textFill>
            <w14:solidFill>
              <w14:schemeClr w14:val="tx1"/>
            </w14:solidFill>
          </w14:textFill>
        </w:rPr>
      </w:pPr>
    </w:p>
    <w:p w14:paraId="35CBDDD7">
      <w:pPr>
        <w:pageBreakBefore w:val="0"/>
        <w:wordWrap/>
        <w:topLinePunct w:val="0"/>
        <w:bidi w:val="0"/>
        <w:snapToGrid w:val="0"/>
        <w:spacing w:before="165" w:beforeLines="50" w:after="50" w:line="560" w:lineRule="exact"/>
        <w:jc w:val="center"/>
        <w:rPr>
          <w:rFonts w:asciiTheme="minorEastAsia" w:hAnsiTheme="minorEastAsia" w:eastAsiaTheme="minorEastAsia"/>
          <w:b/>
          <w:bCs/>
          <w:color w:val="000000" w:themeColor="text1"/>
          <w:sz w:val="30"/>
          <w:szCs w:val="30"/>
          <w:highlight w:val="none"/>
          <w14:textFill>
            <w14:solidFill>
              <w14:schemeClr w14:val="tx1"/>
            </w14:solidFill>
          </w14:textFill>
        </w:rPr>
      </w:pPr>
    </w:p>
    <w:p w14:paraId="1DE994AF">
      <w:pPr>
        <w:pageBreakBefore w:val="0"/>
        <w:wordWrap/>
        <w:topLinePunct w:val="0"/>
        <w:bidi w:val="0"/>
        <w:snapToGrid w:val="0"/>
        <w:spacing w:before="165" w:beforeLines="50" w:after="50" w:line="560" w:lineRule="exact"/>
        <w:jc w:val="center"/>
        <w:rPr>
          <w:rFonts w:asciiTheme="minorEastAsia" w:hAnsiTheme="minorEastAsia" w:eastAsiaTheme="minorEastAsia"/>
          <w:b/>
          <w:bCs/>
          <w:color w:val="000000" w:themeColor="text1"/>
          <w:sz w:val="30"/>
          <w:szCs w:val="30"/>
          <w:highlight w:val="none"/>
          <w14:textFill>
            <w14:solidFill>
              <w14:schemeClr w14:val="tx1"/>
            </w14:solidFill>
          </w14:textFill>
        </w:rPr>
      </w:pPr>
    </w:p>
    <w:p w14:paraId="6FE85006">
      <w:pPr>
        <w:pageBreakBefore w:val="0"/>
        <w:wordWrap/>
        <w:topLinePunct w:val="0"/>
        <w:bidi w:val="0"/>
        <w:snapToGrid w:val="0"/>
        <w:spacing w:before="165" w:beforeLines="50" w:after="50" w:line="560" w:lineRule="exact"/>
        <w:jc w:val="center"/>
        <w:rPr>
          <w:rFonts w:asciiTheme="minorEastAsia" w:hAnsiTheme="minorEastAsia" w:eastAsiaTheme="minorEastAsia"/>
          <w:b/>
          <w:bCs/>
          <w:color w:val="000000" w:themeColor="text1"/>
          <w:sz w:val="30"/>
          <w:szCs w:val="30"/>
          <w:highlight w:val="none"/>
          <w14:textFill>
            <w14:solidFill>
              <w14:schemeClr w14:val="tx1"/>
            </w14:solidFill>
          </w14:textFill>
        </w:rPr>
      </w:pPr>
    </w:p>
    <w:p w14:paraId="0780BEB5">
      <w:pPr>
        <w:pageBreakBefore w:val="0"/>
        <w:wordWrap/>
        <w:topLinePunct w:val="0"/>
        <w:bidi w:val="0"/>
        <w:snapToGrid w:val="0"/>
        <w:spacing w:before="165" w:beforeLines="50" w:after="50" w:line="560" w:lineRule="exact"/>
        <w:jc w:val="center"/>
        <w:rPr>
          <w:rFonts w:asciiTheme="minorEastAsia" w:hAnsiTheme="minorEastAsia" w:eastAsiaTheme="minorEastAsia"/>
          <w:b/>
          <w:bCs/>
          <w:color w:val="000000" w:themeColor="text1"/>
          <w:sz w:val="30"/>
          <w:szCs w:val="30"/>
          <w:highlight w:val="none"/>
          <w14:textFill>
            <w14:solidFill>
              <w14:schemeClr w14:val="tx1"/>
            </w14:solidFill>
          </w14:textFill>
        </w:rPr>
      </w:pPr>
    </w:p>
    <w:p w14:paraId="74C169A2">
      <w:pPr>
        <w:pageBreakBefore w:val="0"/>
        <w:wordWrap/>
        <w:topLinePunct w:val="0"/>
        <w:bidi w:val="0"/>
        <w:snapToGrid w:val="0"/>
        <w:spacing w:before="165" w:beforeLines="50" w:after="50" w:line="560" w:lineRule="exact"/>
        <w:jc w:val="center"/>
        <w:rPr>
          <w:rFonts w:asciiTheme="minorEastAsia" w:hAnsiTheme="minorEastAsia" w:eastAsiaTheme="minorEastAsia"/>
          <w:b/>
          <w:bCs/>
          <w:color w:val="000000" w:themeColor="text1"/>
          <w:sz w:val="30"/>
          <w:szCs w:val="30"/>
          <w:highlight w:val="none"/>
          <w14:textFill>
            <w14:solidFill>
              <w14:schemeClr w14:val="tx1"/>
            </w14:solidFill>
          </w14:textFill>
        </w:rPr>
      </w:pPr>
    </w:p>
    <w:p w14:paraId="137E0CB3">
      <w:pPr>
        <w:pageBreakBefore w:val="0"/>
        <w:wordWrap/>
        <w:topLinePunct w:val="0"/>
        <w:bidi w:val="0"/>
        <w:snapToGrid w:val="0"/>
        <w:spacing w:before="165" w:beforeLines="50" w:after="50" w:line="560" w:lineRule="exact"/>
        <w:jc w:val="center"/>
        <w:rPr>
          <w:rFonts w:asciiTheme="minorEastAsia" w:hAnsiTheme="minorEastAsia" w:eastAsiaTheme="minorEastAsia"/>
          <w:b/>
          <w:bCs/>
          <w:color w:val="000000" w:themeColor="text1"/>
          <w:sz w:val="30"/>
          <w:szCs w:val="30"/>
          <w:highlight w:val="none"/>
          <w14:textFill>
            <w14:solidFill>
              <w14:schemeClr w14:val="tx1"/>
            </w14:solidFill>
          </w14:textFill>
        </w:rPr>
      </w:pPr>
    </w:p>
    <w:p w14:paraId="327F023E">
      <w:pPr>
        <w:pageBreakBefore w:val="0"/>
        <w:wordWrap/>
        <w:topLinePunct w:val="0"/>
        <w:bidi w:val="0"/>
        <w:snapToGrid w:val="0"/>
        <w:spacing w:before="165" w:beforeLines="50" w:after="50" w:line="560" w:lineRule="exact"/>
        <w:jc w:val="center"/>
        <w:rPr>
          <w:rFonts w:asciiTheme="minorEastAsia" w:hAnsiTheme="minorEastAsia" w:eastAsiaTheme="minorEastAsia"/>
          <w:b/>
          <w:bCs/>
          <w:color w:val="000000" w:themeColor="text1"/>
          <w:sz w:val="30"/>
          <w:szCs w:val="30"/>
          <w:highlight w:val="none"/>
          <w14:textFill>
            <w14:solidFill>
              <w14:schemeClr w14:val="tx1"/>
            </w14:solidFill>
          </w14:textFill>
        </w:rPr>
      </w:pPr>
    </w:p>
    <w:p w14:paraId="088C6A68">
      <w:pPr>
        <w:pageBreakBefore w:val="0"/>
        <w:wordWrap/>
        <w:topLinePunct w:val="0"/>
        <w:bidi w:val="0"/>
        <w:snapToGrid w:val="0"/>
        <w:spacing w:before="165" w:beforeLines="50" w:after="50" w:line="560" w:lineRule="exact"/>
        <w:jc w:val="center"/>
        <w:rPr>
          <w:rFonts w:asciiTheme="minorEastAsia" w:hAnsiTheme="minorEastAsia" w:eastAsiaTheme="minorEastAsia"/>
          <w:b/>
          <w:bCs/>
          <w:color w:val="000000" w:themeColor="text1"/>
          <w:sz w:val="30"/>
          <w:szCs w:val="30"/>
          <w:highlight w:val="none"/>
          <w14:textFill>
            <w14:solidFill>
              <w14:schemeClr w14:val="tx1"/>
            </w14:solidFill>
          </w14:textFill>
        </w:rPr>
      </w:pPr>
    </w:p>
    <w:p w14:paraId="0B6BBD8A">
      <w:pPr>
        <w:pageBreakBefore w:val="0"/>
        <w:wordWrap/>
        <w:topLinePunct w:val="0"/>
        <w:bidi w:val="0"/>
        <w:snapToGrid w:val="0"/>
        <w:spacing w:before="165" w:beforeLines="50" w:after="50" w:line="560" w:lineRule="exact"/>
        <w:jc w:val="center"/>
        <w:rPr>
          <w:rFonts w:asciiTheme="minorEastAsia" w:hAnsiTheme="minorEastAsia" w:eastAsiaTheme="minorEastAsia"/>
          <w:b/>
          <w:bCs/>
          <w:color w:val="000000" w:themeColor="text1"/>
          <w:sz w:val="30"/>
          <w:szCs w:val="30"/>
          <w:highlight w:val="none"/>
          <w14:textFill>
            <w14:solidFill>
              <w14:schemeClr w14:val="tx1"/>
            </w14:solidFill>
          </w14:textFill>
        </w:rPr>
      </w:pPr>
    </w:p>
    <w:p w14:paraId="74C8CD43">
      <w:pPr>
        <w:pageBreakBefore w:val="0"/>
        <w:wordWrap/>
        <w:topLinePunct w:val="0"/>
        <w:bidi w:val="0"/>
        <w:snapToGrid w:val="0"/>
        <w:spacing w:before="165" w:beforeLines="50" w:after="50" w:line="560" w:lineRule="exact"/>
        <w:jc w:val="center"/>
        <w:rPr>
          <w:rFonts w:asciiTheme="minorEastAsia" w:hAnsiTheme="minorEastAsia" w:eastAsiaTheme="minorEastAsia"/>
          <w:b/>
          <w:bCs/>
          <w:color w:val="000000" w:themeColor="text1"/>
          <w:sz w:val="30"/>
          <w:szCs w:val="30"/>
          <w:highlight w:val="none"/>
          <w14:textFill>
            <w14:solidFill>
              <w14:schemeClr w14:val="tx1"/>
            </w14:solidFill>
          </w14:textFill>
        </w:rPr>
      </w:pPr>
    </w:p>
    <w:p w14:paraId="1FCD41B9">
      <w:pPr>
        <w:pageBreakBefore w:val="0"/>
        <w:wordWrap/>
        <w:topLinePunct w:val="0"/>
        <w:bidi w:val="0"/>
        <w:snapToGrid w:val="0"/>
        <w:spacing w:before="165" w:beforeLines="50" w:after="50" w:line="560" w:lineRule="exact"/>
        <w:jc w:val="center"/>
        <w:rPr>
          <w:rFonts w:asciiTheme="minorEastAsia" w:hAnsiTheme="minorEastAsia" w:eastAsiaTheme="minorEastAsia"/>
          <w:b/>
          <w:bCs/>
          <w:color w:val="000000" w:themeColor="text1"/>
          <w:sz w:val="30"/>
          <w:szCs w:val="30"/>
          <w:highlight w:val="none"/>
          <w14:textFill>
            <w14:solidFill>
              <w14:schemeClr w14:val="tx1"/>
            </w14:solidFill>
          </w14:textFill>
        </w:rPr>
      </w:pPr>
    </w:p>
    <w:p w14:paraId="6FF3C574">
      <w:pPr>
        <w:pageBreakBefore w:val="0"/>
        <w:wordWrap/>
        <w:topLinePunct w:val="0"/>
        <w:bidi w:val="0"/>
        <w:snapToGrid w:val="0"/>
        <w:spacing w:before="165" w:beforeLines="50" w:after="50" w:line="560" w:lineRule="exact"/>
        <w:jc w:val="center"/>
        <w:rPr>
          <w:rFonts w:asciiTheme="minorEastAsia" w:hAnsiTheme="minorEastAsia" w:eastAsiaTheme="minorEastAsia"/>
          <w:b/>
          <w:bCs/>
          <w:color w:val="000000" w:themeColor="text1"/>
          <w:sz w:val="30"/>
          <w:szCs w:val="30"/>
          <w:highlight w:val="none"/>
          <w14:textFill>
            <w14:solidFill>
              <w14:schemeClr w14:val="tx1"/>
            </w14:solidFill>
          </w14:textFill>
        </w:rPr>
      </w:pPr>
    </w:p>
    <w:p w14:paraId="42750975">
      <w:pPr>
        <w:pageBreakBefore w:val="0"/>
        <w:wordWrap/>
        <w:topLinePunct w:val="0"/>
        <w:bidi w:val="0"/>
        <w:snapToGrid w:val="0"/>
        <w:spacing w:before="165" w:beforeLines="50" w:after="50" w:line="560" w:lineRule="exact"/>
        <w:jc w:val="center"/>
        <w:rPr>
          <w:rFonts w:asciiTheme="minorEastAsia" w:hAnsiTheme="minorEastAsia" w:eastAsiaTheme="minorEastAsia"/>
          <w:b/>
          <w:bCs/>
          <w:color w:val="000000" w:themeColor="text1"/>
          <w:sz w:val="30"/>
          <w:szCs w:val="30"/>
          <w:highlight w:val="none"/>
          <w14:textFill>
            <w14:solidFill>
              <w14:schemeClr w14:val="tx1"/>
            </w14:solidFill>
          </w14:textFill>
        </w:rPr>
      </w:pPr>
    </w:p>
    <w:p w14:paraId="4594B40C">
      <w:pPr>
        <w:pageBreakBefore w:val="0"/>
        <w:wordWrap/>
        <w:topLinePunct w:val="0"/>
        <w:bidi w:val="0"/>
        <w:snapToGrid w:val="0"/>
        <w:spacing w:before="165" w:beforeLines="50" w:after="50" w:line="560" w:lineRule="exact"/>
        <w:jc w:val="center"/>
        <w:rPr>
          <w:rFonts w:asciiTheme="minorEastAsia" w:hAnsiTheme="minorEastAsia" w:eastAsiaTheme="minorEastAsia"/>
          <w:b/>
          <w:bCs/>
          <w:color w:val="000000" w:themeColor="text1"/>
          <w:sz w:val="30"/>
          <w:szCs w:val="30"/>
          <w:highlight w:val="none"/>
          <w14:textFill>
            <w14:solidFill>
              <w14:schemeClr w14:val="tx1"/>
            </w14:solidFill>
          </w14:textFill>
        </w:rPr>
      </w:pPr>
    </w:p>
    <w:p w14:paraId="73027AF7">
      <w:pPr>
        <w:pageBreakBefore w:val="0"/>
        <w:wordWrap/>
        <w:topLinePunct w:val="0"/>
        <w:bidi w:val="0"/>
        <w:snapToGrid w:val="0"/>
        <w:spacing w:before="165" w:beforeLines="50" w:after="50" w:line="560" w:lineRule="exact"/>
        <w:jc w:val="both"/>
        <w:rPr>
          <w:rFonts w:asciiTheme="minorEastAsia" w:hAnsiTheme="minorEastAsia" w:eastAsiaTheme="minorEastAsia"/>
          <w:b/>
          <w:bCs/>
          <w:color w:val="000000" w:themeColor="text1"/>
          <w:sz w:val="30"/>
          <w:szCs w:val="30"/>
          <w:highlight w:val="none"/>
          <w14:textFill>
            <w14:solidFill>
              <w14:schemeClr w14:val="tx1"/>
            </w14:solidFill>
          </w14:textFill>
        </w:rPr>
      </w:pPr>
    </w:p>
    <w:p w14:paraId="07E6E7CF">
      <w:pPr>
        <w:pageBreakBefore w:val="0"/>
        <w:widowControl/>
        <w:wordWrap/>
        <w:topLinePunct w:val="0"/>
        <w:bidi w:val="0"/>
        <w:spacing w:line="560" w:lineRule="exact"/>
        <w:jc w:val="center"/>
        <w:rPr>
          <w:rFonts w:hint="eastAsia" w:asciiTheme="minorEastAsia" w:hAnsiTheme="minorEastAsia" w:eastAsiaTheme="minorEastAsia"/>
          <w:b/>
          <w:bCs/>
          <w:color w:val="000000" w:themeColor="text1"/>
          <w:sz w:val="30"/>
          <w:szCs w:val="30"/>
          <w:highlight w:val="none"/>
          <w:lang w:eastAsia="zh-CN"/>
          <w14:textFill>
            <w14:solidFill>
              <w14:schemeClr w14:val="tx1"/>
            </w14:solidFill>
          </w14:textFill>
        </w:rPr>
      </w:pPr>
      <w:r>
        <w:rPr>
          <w:rFonts w:hint="eastAsia" w:asciiTheme="minorEastAsia" w:hAnsiTheme="minorEastAsia" w:eastAsiaTheme="minorEastAsia"/>
          <w:b/>
          <w:bCs/>
          <w:color w:val="000000" w:themeColor="text1"/>
          <w:sz w:val="30"/>
          <w:szCs w:val="30"/>
          <w:highlight w:val="none"/>
          <w:lang w:eastAsia="zh-CN"/>
          <w14:textFill>
            <w14:solidFill>
              <w14:schemeClr w14:val="tx1"/>
            </w14:solidFill>
          </w14:textFill>
        </w:rPr>
        <w:t>五</w:t>
      </w:r>
      <w:r>
        <w:rPr>
          <w:rFonts w:hint="eastAsia" w:asciiTheme="minorEastAsia" w:hAnsiTheme="minorEastAsia" w:eastAsiaTheme="minorEastAsia"/>
          <w:b/>
          <w:bCs/>
          <w:color w:val="000000" w:themeColor="text1"/>
          <w:sz w:val="30"/>
          <w:szCs w:val="30"/>
          <w:highlight w:val="none"/>
          <w14:textFill>
            <w14:solidFill>
              <w14:schemeClr w14:val="tx1"/>
            </w14:solidFill>
          </w14:textFill>
        </w:rPr>
        <w:t>、</w:t>
      </w:r>
      <w:r>
        <w:rPr>
          <w:rFonts w:hint="eastAsia" w:asciiTheme="minorEastAsia" w:hAnsiTheme="minorEastAsia" w:eastAsiaTheme="minorEastAsia"/>
          <w:b/>
          <w:bCs/>
          <w:color w:val="000000" w:themeColor="text1"/>
          <w:sz w:val="30"/>
          <w:szCs w:val="30"/>
          <w:highlight w:val="none"/>
          <w:lang w:eastAsia="zh-CN"/>
          <w14:textFill>
            <w14:solidFill>
              <w14:schemeClr w14:val="tx1"/>
            </w14:solidFill>
          </w14:textFill>
        </w:rPr>
        <w:t>供应商</w:t>
      </w:r>
      <w:r>
        <w:rPr>
          <w:rFonts w:hint="eastAsia" w:asciiTheme="minorEastAsia" w:hAnsiTheme="minorEastAsia" w:eastAsiaTheme="minorEastAsia"/>
          <w:b/>
          <w:bCs/>
          <w:color w:val="000000" w:themeColor="text1"/>
          <w:sz w:val="30"/>
          <w:szCs w:val="30"/>
          <w:highlight w:val="none"/>
          <w14:textFill>
            <w14:solidFill>
              <w14:schemeClr w14:val="tx1"/>
            </w14:solidFill>
          </w14:textFill>
        </w:rPr>
        <w:t>认为需要的其他技术文件或说明</w:t>
      </w:r>
      <w:r>
        <w:rPr>
          <w:rFonts w:hint="eastAsia" w:asciiTheme="minorEastAsia" w:hAnsiTheme="minorEastAsia" w:eastAsiaTheme="minorEastAsia"/>
          <w:b/>
          <w:bCs/>
          <w:color w:val="000000" w:themeColor="text1"/>
          <w:sz w:val="30"/>
          <w:szCs w:val="30"/>
          <w:highlight w:val="none"/>
          <w:lang w:eastAsia="zh-CN"/>
          <w14:textFill>
            <w14:solidFill>
              <w14:schemeClr w14:val="tx1"/>
            </w14:solidFill>
          </w14:textFill>
        </w:rPr>
        <w:t>（如有）</w:t>
      </w:r>
    </w:p>
    <w:p w14:paraId="269D1780">
      <w:pPr>
        <w:pageBreakBefore w:val="0"/>
        <w:wordWrap/>
        <w:topLinePunct w:val="0"/>
        <w:bidi w:val="0"/>
        <w:spacing w:line="560" w:lineRule="exact"/>
        <w:jc w:val="center"/>
        <w:rPr>
          <w:rFonts w:cs="仿宋_GB2312" w:asciiTheme="minorEastAsia" w:hAnsiTheme="minorEastAsia" w:eastAsiaTheme="minorEastAsia"/>
          <w:color w:val="000000" w:themeColor="text1"/>
          <w:sz w:val="28"/>
          <w:szCs w:val="28"/>
          <w:highlight w:val="none"/>
          <w14:textFill>
            <w14:solidFill>
              <w14:schemeClr w14:val="tx1"/>
            </w14:solidFill>
          </w14:textFill>
        </w:rPr>
      </w:pPr>
      <w:r>
        <w:rPr>
          <w:rFonts w:hint="eastAsia" w:cs="仿宋_GB2312" w:asciiTheme="minorEastAsia" w:hAnsiTheme="minorEastAsia" w:eastAsiaTheme="minorEastAsia"/>
          <w:color w:val="000000" w:themeColor="text1"/>
          <w:sz w:val="28"/>
          <w:szCs w:val="28"/>
          <w:highlight w:val="none"/>
          <w14:textFill>
            <w14:solidFill>
              <w14:schemeClr w14:val="tx1"/>
            </w14:solidFill>
          </w14:textFill>
        </w:rPr>
        <w:t>（由</w:t>
      </w:r>
      <w:r>
        <w:rPr>
          <w:rFonts w:hint="eastAsia" w:cs="仿宋_GB2312" w:asciiTheme="minorEastAsia" w:hAnsiTheme="minorEastAsia" w:eastAsiaTheme="minorEastAsia"/>
          <w:color w:val="000000" w:themeColor="text1"/>
          <w:sz w:val="28"/>
          <w:szCs w:val="28"/>
          <w:highlight w:val="none"/>
          <w:lang w:eastAsia="zh-CN"/>
          <w14:textFill>
            <w14:solidFill>
              <w14:schemeClr w14:val="tx1"/>
            </w14:solidFill>
          </w14:textFill>
        </w:rPr>
        <w:t>供应商</w:t>
      </w:r>
      <w:r>
        <w:rPr>
          <w:rFonts w:hint="eastAsia" w:cs="仿宋_GB2312" w:asciiTheme="minorEastAsia" w:hAnsiTheme="minorEastAsia" w:eastAsiaTheme="minorEastAsia"/>
          <w:color w:val="000000" w:themeColor="text1"/>
          <w:sz w:val="28"/>
          <w:szCs w:val="28"/>
          <w:highlight w:val="none"/>
          <w14:textFill>
            <w14:solidFill>
              <w14:schemeClr w14:val="tx1"/>
            </w14:solidFill>
          </w14:textFill>
        </w:rPr>
        <w:t>根据采购需求自行编制）</w:t>
      </w:r>
    </w:p>
    <w:p w14:paraId="3387743A">
      <w:pPr>
        <w:pageBreakBefore w:val="0"/>
        <w:wordWrap/>
        <w:topLinePunct w:val="0"/>
        <w:bidi w:val="0"/>
        <w:spacing w:line="560" w:lineRule="exact"/>
        <w:jc w:val="center"/>
        <w:rPr>
          <w:rFonts w:ascii="仿宋_GB2312" w:hAnsi="仿宋" w:eastAsia="仿宋_GB2312" w:cs="仿宋_GB2312"/>
          <w:color w:val="000000" w:themeColor="text1"/>
          <w:sz w:val="24"/>
          <w:highlight w:val="none"/>
          <w14:textFill>
            <w14:solidFill>
              <w14:schemeClr w14:val="tx1"/>
            </w14:solidFill>
          </w14:textFill>
        </w:rPr>
      </w:pPr>
    </w:p>
    <w:p w14:paraId="4F4A8DD2">
      <w:pPr>
        <w:pageBreakBefore w:val="0"/>
        <w:widowControl/>
        <w:wordWrap/>
        <w:topLinePunct w:val="0"/>
        <w:bidi w:val="0"/>
        <w:spacing w:line="560" w:lineRule="exact"/>
        <w:jc w:val="left"/>
        <w:rPr>
          <w:rFonts w:ascii="宋体" w:hAnsi="宋体"/>
          <w:b/>
          <w:bCs/>
          <w:color w:val="000000" w:themeColor="text1"/>
          <w:sz w:val="24"/>
          <w:highlight w:val="none"/>
          <w14:textFill>
            <w14:solidFill>
              <w14:schemeClr w14:val="tx1"/>
            </w14:solidFill>
          </w14:textFill>
        </w:rPr>
        <w:sectPr>
          <w:headerReference r:id="rId43" w:type="default"/>
          <w:pgSz w:w="11906" w:h="16838"/>
          <w:pgMar w:top="1134" w:right="1134" w:bottom="1134" w:left="1134" w:header="720" w:footer="720" w:gutter="0"/>
          <w:pgNumType w:fmt="decimal"/>
          <w:cols w:space="720" w:num="1"/>
          <w:docGrid w:type="lines" w:linePitch="331" w:charSpace="0"/>
        </w:sectPr>
      </w:pPr>
    </w:p>
    <w:p w14:paraId="3FE151CF">
      <w:pPr>
        <w:pStyle w:val="31"/>
        <w:pageBreakBefore w:val="0"/>
        <w:wordWrap/>
        <w:topLinePunct w:val="0"/>
        <w:bidi w:val="0"/>
        <w:spacing w:before="0" w:after="0" w:line="560" w:lineRule="exact"/>
        <w:rPr>
          <w:color w:val="000000" w:themeColor="text1"/>
          <w:sz w:val="36"/>
          <w:szCs w:val="36"/>
          <w:highlight w:val="none"/>
          <w14:textFill>
            <w14:solidFill>
              <w14:schemeClr w14:val="tx1"/>
            </w14:solidFill>
          </w14:textFill>
        </w:rPr>
      </w:pPr>
      <w:r>
        <w:rPr>
          <w:rFonts w:hint="eastAsia"/>
          <w:color w:val="000000" w:themeColor="text1"/>
          <w:sz w:val="36"/>
          <w:szCs w:val="36"/>
          <w:highlight w:val="none"/>
          <w14:textFill>
            <w14:solidFill>
              <w14:schemeClr w14:val="tx1"/>
            </w14:solidFill>
          </w14:textFill>
        </w:rPr>
        <w:t>第七章</w:t>
      </w:r>
      <w:r>
        <w:rPr>
          <w:color w:val="000000" w:themeColor="text1"/>
          <w:sz w:val="36"/>
          <w:szCs w:val="36"/>
          <w:highlight w:val="none"/>
          <w14:textFill>
            <w14:solidFill>
              <w14:schemeClr w14:val="tx1"/>
            </w14:solidFill>
          </w14:textFill>
        </w:rPr>
        <w:t xml:space="preserve"> </w:t>
      </w:r>
      <w:r>
        <w:rPr>
          <w:rFonts w:hint="eastAsia"/>
          <w:color w:val="000000" w:themeColor="text1"/>
          <w:sz w:val="36"/>
          <w:szCs w:val="36"/>
          <w:highlight w:val="none"/>
          <w:lang w:val="en-US" w:eastAsia="zh-CN"/>
          <w14:textFill>
            <w14:solidFill>
              <w14:schemeClr w14:val="tx1"/>
            </w14:solidFill>
          </w14:textFill>
        </w:rPr>
        <w:t xml:space="preserve"> </w:t>
      </w:r>
      <w:r>
        <w:rPr>
          <w:rFonts w:hint="eastAsia"/>
          <w:color w:val="000000" w:themeColor="text1"/>
          <w:sz w:val="36"/>
          <w:szCs w:val="36"/>
          <w:highlight w:val="none"/>
          <w14:textFill>
            <w14:solidFill>
              <w14:schemeClr w14:val="tx1"/>
            </w14:solidFill>
          </w14:textFill>
        </w:rPr>
        <w:t>质疑、投诉证明材料格式</w:t>
      </w:r>
    </w:p>
    <w:p w14:paraId="66CA4C24">
      <w:pPr>
        <w:pStyle w:val="3"/>
        <w:pageBreakBefore w:val="0"/>
        <w:wordWrap/>
        <w:topLinePunct w:val="0"/>
        <w:bidi w:val="0"/>
        <w:spacing w:line="560" w:lineRule="exact"/>
        <w:jc w:val="center"/>
        <w:rPr>
          <w:rFonts w:ascii="宋体" w:hAnsi="宋体"/>
          <w:b w:val="0"/>
          <w:bCs w:val="0"/>
          <w:color w:val="000000" w:themeColor="text1"/>
          <w:highlight w:val="none"/>
          <w14:textFill>
            <w14:solidFill>
              <w14:schemeClr w14:val="tx1"/>
            </w14:solidFill>
          </w14:textFill>
        </w:rPr>
      </w:pPr>
      <w:r>
        <w:rPr>
          <w:rFonts w:hint="eastAsia" w:ascii="宋体" w:hAnsi="宋体"/>
          <w:b w:val="0"/>
          <w:bCs w:val="0"/>
          <w:color w:val="000000" w:themeColor="text1"/>
          <w:highlight w:val="none"/>
          <w14:textFill>
            <w14:solidFill>
              <w14:schemeClr w14:val="tx1"/>
            </w14:solidFill>
          </w14:textFill>
        </w:rPr>
        <w:t>第一节 质疑函（格式）</w:t>
      </w:r>
    </w:p>
    <w:p w14:paraId="0BF4A46C">
      <w:pPr>
        <w:pageBreakBefore w:val="0"/>
        <w:wordWrap/>
        <w:topLinePunct w:val="0"/>
        <w:bidi w:val="0"/>
        <w:spacing w:line="560" w:lineRule="exact"/>
        <w:jc w:val="center"/>
        <w:rPr>
          <w:rFonts w:ascii="仿宋" w:hAnsi="仿宋" w:eastAsia="仿宋" w:cs="仿宋"/>
          <w:b/>
          <w:bCs/>
          <w:color w:val="000000" w:themeColor="text1"/>
          <w:sz w:val="44"/>
          <w:szCs w:val="44"/>
          <w:highlight w:val="none"/>
          <w14:textFill>
            <w14:solidFill>
              <w14:schemeClr w14:val="tx1"/>
            </w14:solidFill>
          </w14:textFill>
        </w:rPr>
      </w:pPr>
      <w:r>
        <w:rPr>
          <w:rFonts w:hint="eastAsia" w:ascii="仿宋" w:hAnsi="仿宋" w:eastAsia="仿宋" w:cs="仿宋"/>
          <w:b/>
          <w:bCs/>
          <w:color w:val="000000" w:themeColor="text1"/>
          <w:sz w:val="44"/>
          <w:szCs w:val="44"/>
          <w:highlight w:val="none"/>
          <w14:textFill>
            <w14:solidFill>
              <w14:schemeClr w14:val="tx1"/>
            </w14:solidFill>
          </w14:textFill>
        </w:rPr>
        <w:t>质疑函范本</w:t>
      </w:r>
    </w:p>
    <w:p w14:paraId="39DA2BBB">
      <w:pPr>
        <w:pageBreakBefore w:val="0"/>
        <w:wordWrap/>
        <w:topLinePunct w:val="0"/>
        <w:bidi w:val="0"/>
        <w:adjustRightInd w:val="0"/>
        <w:snapToGrid w:val="0"/>
        <w:spacing w:before="331" w:beforeLines="100" w:line="560" w:lineRule="exact"/>
        <w:rPr>
          <w:rFonts w:cs="仿宋" w:asciiTheme="minorEastAsia" w:hAnsiTheme="minorEastAsia" w:eastAsiaTheme="minorEastAsia"/>
          <w:bCs/>
          <w:color w:val="000000" w:themeColor="text1"/>
          <w:sz w:val="28"/>
          <w:szCs w:val="28"/>
          <w:highlight w:val="none"/>
          <w14:textFill>
            <w14:solidFill>
              <w14:schemeClr w14:val="tx1"/>
            </w14:solidFill>
          </w14:textFill>
        </w:rPr>
      </w:pPr>
      <w:r>
        <w:rPr>
          <w:rFonts w:hint="eastAsia" w:cs="仿宋" w:asciiTheme="minorEastAsia" w:hAnsiTheme="minorEastAsia" w:eastAsiaTheme="minorEastAsia"/>
          <w:bCs/>
          <w:color w:val="000000" w:themeColor="text1"/>
          <w:sz w:val="28"/>
          <w:szCs w:val="28"/>
          <w:highlight w:val="none"/>
          <w14:textFill>
            <w14:solidFill>
              <w14:schemeClr w14:val="tx1"/>
            </w14:solidFill>
          </w14:textFill>
        </w:rPr>
        <w:t>一、质疑供应商基本信息</w:t>
      </w:r>
    </w:p>
    <w:p w14:paraId="4420F0F5">
      <w:pPr>
        <w:pageBreakBefore w:val="0"/>
        <w:wordWrap/>
        <w:topLinePunct w:val="0"/>
        <w:bidi w:val="0"/>
        <w:adjustRightInd w:val="0"/>
        <w:snapToGrid w:val="0"/>
        <w:spacing w:line="560" w:lineRule="exact"/>
        <w:rPr>
          <w:rFonts w:cs="仿宋" w:asciiTheme="minorEastAsia" w:hAnsiTheme="minorEastAsia" w:eastAsiaTheme="minorEastAsia"/>
          <w:color w:val="000000" w:themeColor="text1"/>
          <w:sz w:val="28"/>
          <w:szCs w:val="28"/>
          <w:highlight w:val="none"/>
          <w:u w:val="dotted"/>
          <w14:textFill>
            <w14:solidFill>
              <w14:schemeClr w14:val="tx1"/>
            </w14:solidFill>
          </w14:textFill>
        </w:rPr>
      </w:pPr>
      <w:r>
        <w:rPr>
          <w:rFonts w:hint="eastAsia" w:cs="仿宋" w:asciiTheme="minorEastAsia" w:hAnsiTheme="minorEastAsia" w:eastAsiaTheme="minorEastAsia"/>
          <w:color w:val="000000" w:themeColor="text1"/>
          <w:sz w:val="28"/>
          <w:szCs w:val="28"/>
          <w:highlight w:val="none"/>
          <w14:textFill>
            <w14:solidFill>
              <w14:schemeClr w14:val="tx1"/>
            </w14:solidFill>
          </w14:textFill>
        </w:rPr>
        <w:t>质疑供应商：</w:t>
      </w:r>
      <w:r>
        <w:rPr>
          <w:rFonts w:hint="eastAsia" w:cs="仿宋" w:asciiTheme="minorEastAsia" w:hAnsiTheme="minorEastAsia" w:eastAsiaTheme="minorEastAsia"/>
          <w:color w:val="000000" w:themeColor="text1"/>
          <w:sz w:val="28"/>
          <w:szCs w:val="28"/>
          <w:highlight w:val="none"/>
          <w:u w:val="dotted"/>
          <w14:textFill>
            <w14:solidFill>
              <w14:schemeClr w14:val="tx1"/>
            </w14:solidFill>
          </w14:textFill>
        </w:rPr>
        <w:t xml:space="preserve">                                        </w:t>
      </w:r>
    </w:p>
    <w:p w14:paraId="52984128">
      <w:pPr>
        <w:pageBreakBefore w:val="0"/>
        <w:wordWrap/>
        <w:topLinePunct w:val="0"/>
        <w:bidi w:val="0"/>
        <w:adjustRightInd w:val="0"/>
        <w:snapToGrid w:val="0"/>
        <w:spacing w:line="560" w:lineRule="exact"/>
        <w:rPr>
          <w:rFonts w:cs="仿宋" w:asciiTheme="minorEastAsia" w:hAnsiTheme="minorEastAsia" w:eastAsiaTheme="minorEastAsia"/>
          <w:color w:val="000000" w:themeColor="text1"/>
          <w:sz w:val="28"/>
          <w:szCs w:val="28"/>
          <w:highlight w:val="none"/>
          <w14:textFill>
            <w14:solidFill>
              <w14:schemeClr w14:val="tx1"/>
            </w14:solidFill>
          </w14:textFill>
        </w:rPr>
      </w:pPr>
      <w:r>
        <w:rPr>
          <w:rFonts w:hint="eastAsia" w:cs="仿宋" w:asciiTheme="minorEastAsia" w:hAnsiTheme="minorEastAsia" w:eastAsiaTheme="minorEastAsia"/>
          <w:color w:val="000000" w:themeColor="text1"/>
          <w:sz w:val="28"/>
          <w:szCs w:val="28"/>
          <w:highlight w:val="none"/>
          <w14:textFill>
            <w14:solidFill>
              <w14:schemeClr w14:val="tx1"/>
            </w14:solidFill>
          </w14:textFill>
        </w:rPr>
        <w:t>地址：</w:t>
      </w:r>
      <w:r>
        <w:rPr>
          <w:rFonts w:hint="eastAsia" w:cs="仿宋" w:asciiTheme="minorEastAsia" w:hAnsiTheme="minorEastAsia" w:eastAsiaTheme="minorEastAsia"/>
          <w:color w:val="000000" w:themeColor="text1"/>
          <w:sz w:val="28"/>
          <w:szCs w:val="28"/>
          <w:highlight w:val="none"/>
          <w:u w:val="dotted"/>
          <w14:textFill>
            <w14:solidFill>
              <w14:schemeClr w14:val="tx1"/>
            </w14:solidFill>
          </w14:textFill>
        </w:rPr>
        <w:t xml:space="preserve">                          </w:t>
      </w:r>
      <w:r>
        <w:rPr>
          <w:rFonts w:hint="eastAsia" w:cs="仿宋" w:asciiTheme="minorEastAsia" w:hAnsiTheme="minorEastAsia" w:eastAsiaTheme="minorEastAsia"/>
          <w:color w:val="000000" w:themeColor="text1"/>
          <w:sz w:val="28"/>
          <w:szCs w:val="28"/>
          <w:highlight w:val="none"/>
          <w14:textFill>
            <w14:solidFill>
              <w14:schemeClr w14:val="tx1"/>
            </w14:solidFill>
          </w14:textFill>
        </w:rPr>
        <w:t>邮编：</w:t>
      </w:r>
      <w:r>
        <w:rPr>
          <w:rFonts w:hint="eastAsia" w:cs="仿宋" w:asciiTheme="minorEastAsia" w:hAnsiTheme="minorEastAsia" w:eastAsiaTheme="minorEastAsia"/>
          <w:color w:val="000000" w:themeColor="text1"/>
          <w:sz w:val="28"/>
          <w:szCs w:val="28"/>
          <w:highlight w:val="none"/>
          <w:u w:val="dotted"/>
          <w14:textFill>
            <w14:solidFill>
              <w14:schemeClr w14:val="tx1"/>
            </w14:solidFill>
          </w14:textFill>
        </w:rPr>
        <w:t xml:space="preserve">                                                   </w:t>
      </w:r>
    </w:p>
    <w:p w14:paraId="1755D4E2">
      <w:pPr>
        <w:pageBreakBefore w:val="0"/>
        <w:wordWrap/>
        <w:topLinePunct w:val="0"/>
        <w:bidi w:val="0"/>
        <w:adjustRightInd w:val="0"/>
        <w:snapToGrid w:val="0"/>
        <w:spacing w:line="560" w:lineRule="exact"/>
        <w:rPr>
          <w:rFonts w:cs="仿宋" w:asciiTheme="minorEastAsia" w:hAnsiTheme="minorEastAsia" w:eastAsiaTheme="minorEastAsia"/>
          <w:color w:val="000000" w:themeColor="text1"/>
          <w:sz w:val="28"/>
          <w:szCs w:val="28"/>
          <w:highlight w:val="none"/>
          <w14:textFill>
            <w14:solidFill>
              <w14:schemeClr w14:val="tx1"/>
            </w14:solidFill>
          </w14:textFill>
        </w:rPr>
      </w:pPr>
      <w:r>
        <w:rPr>
          <w:rFonts w:hint="eastAsia" w:cs="仿宋" w:asciiTheme="minorEastAsia" w:hAnsiTheme="minorEastAsia" w:eastAsiaTheme="minorEastAsia"/>
          <w:color w:val="000000" w:themeColor="text1"/>
          <w:sz w:val="28"/>
          <w:szCs w:val="28"/>
          <w:highlight w:val="none"/>
          <w14:textFill>
            <w14:solidFill>
              <w14:schemeClr w14:val="tx1"/>
            </w14:solidFill>
          </w14:textFill>
        </w:rPr>
        <w:t>联系人：</w:t>
      </w:r>
      <w:r>
        <w:rPr>
          <w:rFonts w:hint="eastAsia" w:cs="仿宋" w:asciiTheme="minorEastAsia" w:hAnsiTheme="minorEastAsia" w:eastAsiaTheme="minorEastAsia"/>
          <w:color w:val="000000" w:themeColor="text1"/>
          <w:sz w:val="28"/>
          <w:szCs w:val="28"/>
          <w:highlight w:val="none"/>
          <w:u w:val="dotted"/>
          <w14:textFill>
            <w14:solidFill>
              <w14:schemeClr w14:val="tx1"/>
            </w14:solidFill>
          </w14:textFill>
        </w:rPr>
        <w:t xml:space="preserve">                      </w:t>
      </w:r>
      <w:r>
        <w:rPr>
          <w:rFonts w:hint="eastAsia" w:cs="仿宋" w:asciiTheme="minorEastAsia" w:hAnsiTheme="minorEastAsia" w:eastAsiaTheme="minorEastAsia"/>
          <w:color w:val="000000" w:themeColor="text1"/>
          <w:sz w:val="28"/>
          <w:szCs w:val="28"/>
          <w:highlight w:val="none"/>
          <w14:textFill>
            <w14:solidFill>
              <w14:schemeClr w14:val="tx1"/>
            </w14:solidFill>
          </w14:textFill>
        </w:rPr>
        <w:t>联系电话：</w:t>
      </w:r>
      <w:r>
        <w:rPr>
          <w:rFonts w:hint="eastAsia" w:cs="仿宋" w:asciiTheme="minorEastAsia" w:hAnsiTheme="minorEastAsia" w:eastAsiaTheme="minorEastAsia"/>
          <w:color w:val="000000" w:themeColor="text1"/>
          <w:sz w:val="28"/>
          <w:szCs w:val="28"/>
          <w:highlight w:val="none"/>
          <w:u w:val="dotted"/>
          <w14:textFill>
            <w14:solidFill>
              <w14:schemeClr w14:val="tx1"/>
            </w14:solidFill>
          </w14:textFill>
        </w:rPr>
        <w:t xml:space="preserve">                              </w:t>
      </w:r>
    </w:p>
    <w:p w14:paraId="4D0DE87F">
      <w:pPr>
        <w:pageBreakBefore w:val="0"/>
        <w:wordWrap/>
        <w:topLinePunct w:val="0"/>
        <w:bidi w:val="0"/>
        <w:adjustRightInd w:val="0"/>
        <w:snapToGrid w:val="0"/>
        <w:spacing w:line="560" w:lineRule="exact"/>
        <w:rPr>
          <w:rFonts w:cs="仿宋" w:asciiTheme="minorEastAsia" w:hAnsiTheme="minorEastAsia" w:eastAsiaTheme="minorEastAsia"/>
          <w:color w:val="000000" w:themeColor="text1"/>
          <w:sz w:val="28"/>
          <w:szCs w:val="28"/>
          <w:highlight w:val="none"/>
          <w:u w:val="dotted"/>
          <w14:textFill>
            <w14:solidFill>
              <w14:schemeClr w14:val="tx1"/>
            </w14:solidFill>
          </w14:textFill>
        </w:rPr>
      </w:pPr>
      <w:r>
        <w:rPr>
          <w:rFonts w:hint="eastAsia" w:cs="仿宋" w:asciiTheme="minorEastAsia" w:hAnsiTheme="minorEastAsia" w:eastAsiaTheme="minorEastAsia"/>
          <w:color w:val="000000" w:themeColor="text1"/>
          <w:sz w:val="28"/>
          <w:szCs w:val="28"/>
          <w:highlight w:val="none"/>
          <w14:textFill>
            <w14:solidFill>
              <w14:schemeClr w14:val="tx1"/>
            </w14:solidFill>
          </w14:textFill>
        </w:rPr>
        <w:t>授权代表：</w:t>
      </w:r>
      <w:r>
        <w:rPr>
          <w:rFonts w:hint="eastAsia" w:cs="仿宋" w:asciiTheme="minorEastAsia" w:hAnsiTheme="minorEastAsia" w:eastAsiaTheme="minorEastAsia"/>
          <w:color w:val="000000" w:themeColor="text1"/>
          <w:sz w:val="28"/>
          <w:szCs w:val="28"/>
          <w:highlight w:val="none"/>
          <w:u w:val="dotted"/>
          <w14:textFill>
            <w14:solidFill>
              <w14:schemeClr w14:val="tx1"/>
            </w14:solidFill>
          </w14:textFill>
        </w:rPr>
        <w:t xml:space="preserve">                                          </w:t>
      </w:r>
    </w:p>
    <w:p w14:paraId="4621D6AD">
      <w:pPr>
        <w:pageBreakBefore w:val="0"/>
        <w:wordWrap/>
        <w:topLinePunct w:val="0"/>
        <w:bidi w:val="0"/>
        <w:adjustRightInd w:val="0"/>
        <w:snapToGrid w:val="0"/>
        <w:spacing w:line="560" w:lineRule="exact"/>
        <w:rPr>
          <w:rFonts w:cs="仿宋" w:asciiTheme="minorEastAsia" w:hAnsiTheme="minorEastAsia" w:eastAsiaTheme="minorEastAsia"/>
          <w:color w:val="000000" w:themeColor="text1"/>
          <w:sz w:val="28"/>
          <w:szCs w:val="28"/>
          <w:highlight w:val="none"/>
          <w14:textFill>
            <w14:solidFill>
              <w14:schemeClr w14:val="tx1"/>
            </w14:solidFill>
          </w14:textFill>
        </w:rPr>
      </w:pPr>
      <w:r>
        <w:rPr>
          <w:rFonts w:hint="eastAsia" w:cs="仿宋" w:asciiTheme="minorEastAsia" w:hAnsiTheme="minorEastAsia" w:eastAsiaTheme="minorEastAsia"/>
          <w:color w:val="000000" w:themeColor="text1"/>
          <w:sz w:val="28"/>
          <w:szCs w:val="28"/>
          <w:highlight w:val="none"/>
          <w14:textFill>
            <w14:solidFill>
              <w14:schemeClr w14:val="tx1"/>
            </w14:solidFill>
          </w14:textFill>
        </w:rPr>
        <w:t>联系电话：</w:t>
      </w:r>
      <w:r>
        <w:rPr>
          <w:rFonts w:hint="eastAsia" w:cs="仿宋" w:asciiTheme="minorEastAsia" w:hAnsiTheme="minorEastAsia" w:eastAsiaTheme="minorEastAsia"/>
          <w:color w:val="000000" w:themeColor="text1"/>
          <w:sz w:val="28"/>
          <w:szCs w:val="28"/>
          <w:highlight w:val="none"/>
          <w:u w:val="dotted"/>
          <w14:textFill>
            <w14:solidFill>
              <w14:schemeClr w14:val="tx1"/>
            </w14:solidFill>
          </w14:textFill>
        </w:rPr>
        <w:t xml:space="preserve">                                           </w:t>
      </w:r>
      <w:r>
        <w:rPr>
          <w:rFonts w:hint="eastAsia" w:cs="仿宋" w:asciiTheme="minorEastAsia" w:hAnsiTheme="minorEastAsia" w:eastAsiaTheme="minorEastAsia"/>
          <w:color w:val="000000" w:themeColor="text1"/>
          <w:sz w:val="28"/>
          <w:szCs w:val="28"/>
          <w:highlight w:val="none"/>
          <w14:textFill>
            <w14:solidFill>
              <w14:schemeClr w14:val="tx1"/>
            </w14:solidFill>
          </w14:textFill>
        </w:rPr>
        <w:t xml:space="preserve"> </w:t>
      </w:r>
    </w:p>
    <w:p w14:paraId="5C9D8EED">
      <w:pPr>
        <w:pageBreakBefore w:val="0"/>
        <w:wordWrap/>
        <w:topLinePunct w:val="0"/>
        <w:bidi w:val="0"/>
        <w:adjustRightInd w:val="0"/>
        <w:snapToGrid w:val="0"/>
        <w:spacing w:line="560" w:lineRule="exact"/>
        <w:rPr>
          <w:rFonts w:cs="仿宋" w:asciiTheme="minorEastAsia" w:hAnsiTheme="minorEastAsia" w:eastAsiaTheme="minorEastAsia"/>
          <w:color w:val="000000" w:themeColor="text1"/>
          <w:sz w:val="28"/>
          <w:szCs w:val="28"/>
          <w:highlight w:val="none"/>
          <w14:textFill>
            <w14:solidFill>
              <w14:schemeClr w14:val="tx1"/>
            </w14:solidFill>
          </w14:textFill>
        </w:rPr>
      </w:pPr>
      <w:r>
        <w:rPr>
          <w:rFonts w:hint="eastAsia" w:cs="仿宋" w:asciiTheme="minorEastAsia" w:hAnsiTheme="minorEastAsia" w:eastAsiaTheme="minorEastAsia"/>
          <w:color w:val="000000" w:themeColor="text1"/>
          <w:sz w:val="28"/>
          <w:szCs w:val="28"/>
          <w:highlight w:val="none"/>
          <w14:textFill>
            <w14:solidFill>
              <w14:schemeClr w14:val="tx1"/>
            </w14:solidFill>
          </w14:textFill>
        </w:rPr>
        <w:t xml:space="preserve">地址： </w:t>
      </w:r>
      <w:r>
        <w:rPr>
          <w:rFonts w:hint="eastAsia" w:cs="仿宋" w:asciiTheme="minorEastAsia" w:hAnsiTheme="minorEastAsia" w:eastAsiaTheme="minorEastAsia"/>
          <w:color w:val="000000" w:themeColor="text1"/>
          <w:sz w:val="28"/>
          <w:szCs w:val="28"/>
          <w:highlight w:val="none"/>
          <w:u w:val="dotted"/>
          <w14:textFill>
            <w14:solidFill>
              <w14:schemeClr w14:val="tx1"/>
            </w14:solidFill>
          </w14:textFill>
        </w:rPr>
        <w:t xml:space="preserve">                        </w:t>
      </w:r>
      <w:r>
        <w:rPr>
          <w:rFonts w:hint="eastAsia" w:cs="仿宋" w:asciiTheme="minorEastAsia" w:hAnsiTheme="minorEastAsia" w:eastAsiaTheme="minorEastAsia"/>
          <w:color w:val="000000" w:themeColor="text1"/>
          <w:sz w:val="28"/>
          <w:szCs w:val="28"/>
          <w:highlight w:val="none"/>
          <w14:textFill>
            <w14:solidFill>
              <w14:schemeClr w14:val="tx1"/>
            </w14:solidFill>
          </w14:textFill>
        </w:rPr>
        <w:t>邮编：</w:t>
      </w:r>
      <w:r>
        <w:rPr>
          <w:rFonts w:hint="eastAsia" w:cs="仿宋" w:asciiTheme="minorEastAsia" w:hAnsiTheme="minorEastAsia" w:eastAsiaTheme="minorEastAsia"/>
          <w:color w:val="000000" w:themeColor="text1"/>
          <w:sz w:val="28"/>
          <w:szCs w:val="28"/>
          <w:highlight w:val="none"/>
          <w:u w:val="dotted"/>
          <w14:textFill>
            <w14:solidFill>
              <w14:schemeClr w14:val="tx1"/>
            </w14:solidFill>
          </w14:textFill>
        </w:rPr>
        <w:t xml:space="preserve">                                                </w:t>
      </w:r>
    </w:p>
    <w:p w14:paraId="5649A32B">
      <w:pPr>
        <w:pageBreakBefore w:val="0"/>
        <w:wordWrap/>
        <w:topLinePunct w:val="0"/>
        <w:bidi w:val="0"/>
        <w:adjustRightInd w:val="0"/>
        <w:snapToGrid w:val="0"/>
        <w:spacing w:line="560" w:lineRule="exact"/>
        <w:rPr>
          <w:rFonts w:cs="仿宋" w:asciiTheme="minorEastAsia" w:hAnsiTheme="minorEastAsia" w:eastAsiaTheme="minorEastAsia"/>
          <w:bCs/>
          <w:color w:val="000000" w:themeColor="text1"/>
          <w:sz w:val="28"/>
          <w:szCs w:val="28"/>
          <w:highlight w:val="none"/>
          <w14:textFill>
            <w14:solidFill>
              <w14:schemeClr w14:val="tx1"/>
            </w14:solidFill>
          </w14:textFill>
        </w:rPr>
      </w:pPr>
      <w:r>
        <w:rPr>
          <w:rFonts w:hint="eastAsia" w:cs="仿宋" w:asciiTheme="minorEastAsia" w:hAnsiTheme="minorEastAsia" w:eastAsiaTheme="minorEastAsia"/>
          <w:bCs/>
          <w:color w:val="000000" w:themeColor="text1"/>
          <w:sz w:val="28"/>
          <w:szCs w:val="28"/>
          <w:highlight w:val="none"/>
          <w14:textFill>
            <w14:solidFill>
              <w14:schemeClr w14:val="tx1"/>
            </w14:solidFill>
          </w14:textFill>
        </w:rPr>
        <w:t>二、质疑项目基本情况</w:t>
      </w:r>
    </w:p>
    <w:p w14:paraId="1FF9FDD6">
      <w:pPr>
        <w:pageBreakBefore w:val="0"/>
        <w:wordWrap/>
        <w:topLinePunct w:val="0"/>
        <w:bidi w:val="0"/>
        <w:adjustRightInd w:val="0"/>
        <w:snapToGrid w:val="0"/>
        <w:spacing w:line="560" w:lineRule="exact"/>
        <w:rPr>
          <w:rFonts w:cs="仿宋" w:asciiTheme="minorEastAsia" w:hAnsiTheme="minorEastAsia" w:eastAsiaTheme="minorEastAsia"/>
          <w:color w:val="000000" w:themeColor="text1"/>
          <w:sz w:val="28"/>
          <w:szCs w:val="28"/>
          <w:highlight w:val="none"/>
          <w14:textFill>
            <w14:solidFill>
              <w14:schemeClr w14:val="tx1"/>
            </w14:solidFill>
          </w14:textFill>
        </w:rPr>
      </w:pPr>
      <w:r>
        <w:rPr>
          <w:rFonts w:hint="eastAsia" w:cs="仿宋" w:asciiTheme="minorEastAsia" w:hAnsiTheme="minorEastAsia" w:eastAsiaTheme="minorEastAsia"/>
          <w:color w:val="000000" w:themeColor="text1"/>
          <w:sz w:val="28"/>
          <w:szCs w:val="28"/>
          <w:highlight w:val="none"/>
          <w14:textFill>
            <w14:solidFill>
              <w14:schemeClr w14:val="tx1"/>
            </w14:solidFill>
          </w14:textFill>
        </w:rPr>
        <w:t>质疑项目的名称：</w:t>
      </w:r>
      <w:r>
        <w:rPr>
          <w:rFonts w:hint="eastAsia" w:cs="仿宋" w:asciiTheme="minorEastAsia" w:hAnsiTheme="minorEastAsia" w:eastAsiaTheme="minorEastAsia"/>
          <w:color w:val="000000" w:themeColor="text1"/>
          <w:sz w:val="28"/>
          <w:szCs w:val="28"/>
          <w:highlight w:val="none"/>
          <w:u w:val="dotted"/>
          <w14:textFill>
            <w14:solidFill>
              <w14:schemeClr w14:val="tx1"/>
            </w14:solidFill>
          </w14:textFill>
        </w:rPr>
        <w:t xml:space="preserve">                                            </w:t>
      </w:r>
    </w:p>
    <w:p w14:paraId="182006EF">
      <w:pPr>
        <w:pageBreakBefore w:val="0"/>
        <w:wordWrap/>
        <w:topLinePunct w:val="0"/>
        <w:bidi w:val="0"/>
        <w:adjustRightInd w:val="0"/>
        <w:snapToGrid w:val="0"/>
        <w:spacing w:line="560" w:lineRule="exact"/>
        <w:rPr>
          <w:rFonts w:cs="仿宋" w:asciiTheme="minorEastAsia" w:hAnsiTheme="minorEastAsia" w:eastAsiaTheme="minorEastAsia"/>
          <w:color w:val="000000" w:themeColor="text1"/>
          <w:sz w:val="28"/>
          <w:szCs w:val="28"/>
          <w:highlight w:val="none"/>
          <w14:textFill>
            <w14:solidFill>
              <w14:schemeClr w14:val="tx1"/>
            </w14:solidFill>
          </w14:textFill>
        </w:rPr>
      </w:pPr>
      <w:r>
        <w:rPr>
          <w:rFonts w:hint="eastAsia" w:cs="仿宋" w:asciiTheme="minorEastAsia" w:hAnsiTheme="minorEastAsia" w:eastAsiaTheme="minorEastAsia"/>
          <w:color w:val="000000" w:themeColor="text1"/>
          <w:sz w:val="28"/>
          <w:szCs w:val="28"/>
          <w:highlight w:val="none"/>
          <w14:textFill>
            <w14:solidFill>
              <w14:schemeClr w14:val="tx1"/>
            </w14:solidFill>
          </w14:textFill>
        </w:rPr>
        <w:t>质疑项目的编号：</w:t>
      </w:r>
      <w:r>
        <w:rPr>
          <w:rFonts w:hint="eastAsia" w:cs="仿宋" w:asciiTheme="minorEastAsia" w:hAnsiTheme="minorEastAsia" w:eastAsiaTheme="minorEastAsia"/>
          <w:color w:val="000000" w:themeColor="text1"/>
          <w:sz w:val="28"/>
          <w:szCs w:val="28"/>
          <w:highlight w:val="none"/>
          <w:u w:val="dotted"/>
          <w14:textFill>
            <w14:solidFill>
              <w14:schemeClr w14:val="tx1"/>
            </w14:solidFill>
          </w14:textFill>
        </w:rPr>
        <w:t xml:space="preserve">                 </w:t>
      </w:r>
      <w:r>
        <w:rPr>
          <w:rFonts w:hint="eastAsia" w:cs="仿宋" w:asciiTheme="minorEastAsia" w:hAnsiTheme="minorEastAsia" w:eastAsiaTheme="minorEastAsia"/>
          <w:color w:val="000000" w:themeColor="text1"/>
          <w:sz w:val="28"/>
          <w:szCs w:val="28"/>
          <w:highlight w:val="none"/>
          <w14:textFill>
            <w14:solidFill>
              <w14:schemeClr w14:val="tx1"/>
            </w14:solidFill>
          </w14:textFill>
        </w:rPr>
        <w:t>包号：</w:t>
      </w:r>
      <w:r>
        <w:rPr>
          <w:rFonts w:hint="eastAsia" w:cs="仿宋" w:asciiTheme="minorEastAsia" w:hAnsiTheme="minorEastAsia" w:eastAsiaTheme="minorEastAsia"/>
          <w:color w:val="000000" w:themeColor="text1"/>
          <w:sz w:val="28"/>
          <w:szCs w:val="28"/>
          <w:highlight w:val="none"/>
          <w:u w:val="dotted"/>
          <w14:textFill>
            <w14:solidFill>
              <w14:schemeClr w14:val="tx1"/>
            </w14:solidFill>
          </w14:textFill>
        </w:rPr>
        <w:t xml:space="preserve">                 </w:t>
      </w:r>
    </w:p>
    <w:p w14:paraId="7AFF973E">
      <w:pPr>
        <w:pageBreakBefore w:val="0"/>
        <w:wordWrap/>
        <w:topLinePunct w:val="0"/>
        <w:bidi w:val="0"/>
        <w:adjustRightInd w:val="0"/>
        <w:snapToGrid w:val="0"/>
        <w:spacing w:line="560" w:lineRule="exact"/>
        <w:rPr>
          <w:rFonts w:cs="仿宋" w:asciiTheme="minorEastAsia" w:hAnsiTheme="minorEastAsia" w:eastAsiaTheme="minorEastAsia"/>
          <w:color w:val="000000" w:themeColor="text1"/>
          <w:sz w:val="28"/>
          <w:szCs w:val="28"/>
          <w:highlight w:val="none"/>
          <w:u w:val="dotted"/>
          <w14:textFill>
            <w14:solidFill>
              <w14:schemeClr w14:val="tx1"/>
            </w14:solidFill>
          </w14:textFill>
        </w:rPr>
      </w:pPr>
      <w:r>
        <w:rPr>
          <w:rFonts w:hint="eastAsia" w:cs="仿宋" w:asciiTheme="minorEastAsia" w:hAnsiTheme="minorEastAsia" w:eastAsiaTheme="minorEastAsia"/>
          <w:color w:val="000000" w:themeColor="text1"/>
          <w:sz w:val="28"/>
          <w:szCs w:val="28"/>
          <w:highlight w:val="none"/>
          <w14:textFill>
            <w14:solidFill>
              <w14:schemeClr w14:val="tx1"/>
            </w14:solidFill>
          </w14:textFill>
        </w:rPr>
        <w:t>采购人名称：</w:t>
      </w:r>
      <w:r>
        <w:rPr>
          <w:rFonts w:hint="eastAsia" w:cs="仿宋" w:asciiTheme="minorEastAsia" w:hAnsiTheme="minorEastAsia" w:eastAsiaTheme="minorEastAsia"/>
          <w:color w:val="000000" w:themeColor="text1"/>
          <w:sz w:val="28"/>
          <w:szCs w:val="28"/>
          <w:highlight w:val="none"/>
          <w:u w:val="dotted"/>
          <w14:textFill>
            <w14:solidFill>
              <w14:schemeClr w14:val="tx1"/>
            </w14:solidFill>
          </w14:textFill>
        </w:rPr>
        <w:t xml:space="preserve">                                            </w:t>
      </w:r>
    </w:p>
    <w:p w14:paraId="357F0FA5">
      <w:pPr>
        <w:pageBreakBefore w:val="0"/>
        <w:wordWrap/>
        <w:topLinePunct w:val="0"/>
        <w:bidi w:val="0"/>
        <w:adjustRightInd w:val="0"/>
        <w:snapToGrid w:val="0"/>
        <w:spacing w:line="560" w:lineRule="exact"/>
        <w:rPr>
          <w:rFonts w:cs="仿宋" w:asciiTheme="minorEastAsia" w:hAnsiTheme="minorEastAsia" w:eastAsiaTheme="minorEastAsia"/>
          <w:color w:val="000000" w:themeColor="text1"/>
          <w:sz w:val="28"/>
          <w:szCs w:val="28"/>
          <w:highlight w:val="none"/>
          <w14:textFill>
            <w14:solidFill>
              <w14:schemeClr w14:val="tx1"/>
            </w14:solidFill>
          </w14:textFill>
        </w:rPr>
      </w:pPr>
      <w:r>
        <w:rPr>
          <w:rFonts w:hint="eastAsia" w:cs="仿宋" w:asciiTheme="minorEastAsia" w:hAnsiTheme="minorEastAsia" w:eastAsiaTheme="minorEastAsia"/>
          <w:color w:val="000000" w:themeColor="text1"/>
          <w:sz w:val="28"/>
          <w:szCs w:val="28"/>
          <w:highlight w:val="none"/>
          <w14:textFill>
            <w14:solidFill>
              <w14:schemeClr w14:val="tx1"/>
            </w14:solidFill>
          </w14:textFill>
        </w:rPr>
        <w:t>采购文件获取日期：</w:t>
      </w:r>
      <w:r>
        <w:rPr>
          <w:rFonts w:hint="eastAsia" w:cs="仿宋" w:asciiTheme="minorEastAsia" w:hAnsiTheme="minorEastAsia" w:eastAsiaTheme="minorEastAsia"/>
          <w:color w:val="000000" w:themeColor="text1"/>
          <w:sz w:val="28"/>
          <w:szCs w:val="28"/>
          <w:highlight w:val="none"/>
          <w:u w:val="dotted"/>
          <w14:textFill>
            <w14:solidFill>
              <w14:schemeClr w14:val="tx1"/>
            </w14:solidFill>
          </w14:textFill>
        </w:rPr>
        <w:t xml:space="preserve">                                           </w:t>
      </w:r>
    </w:p>
    <w:p w14:paraId="6A0087A9">
      <w:pPr>
        <w:pageBreakBefore w:val="0"/>
        <w:wordWrap/>
        <w:topLinePunct w:val="0"/>
        <w:bidi w:val="0"/>
        <w:adjustRightInd w:val="0"/>
        <w:snapToGrid w:val="0"/>
        <w:spacing w:line="560" w:lineRule="exact"/>
        <w:rPr>
          <w:rFonts w:cs="仿宋" w:asciiTheme="minorEastAsia" w:hAnsiTheme="minorEastAsia" w:eastAsiaTheme="minorEastAsia"/>
          <w:bCs/>
          <w:color w:val="000000" w:themeColor="text1"/>
          <w:sz w:val="28"/>
          <w:szCs w:val="28"/>
          <w:highlight w:val="none"/>
          <w14:textFill>
            <w14:solidFill>
              <w14:schemeClr w14:val="tx1"/>
            </w14:solidFill>
          </w14:textFill>
        </w:rPr>
      </w:pPr>
      <w:r>
        <w:rPr>
          <w:rFonts w:hint="eastAsia" w:cs="仿宋" w:asciiTheme="minorEastAsia" w:hAnsiTheme="minorEastAsia" w:eastAsiaTheme="minorEastAsia"/>
          <w:bCs/>
          <w:color w:val="000000" w:themeColor="text1"/>
          <w:sz w:val="28"/>
          <w:szCs w:val="28"/>
          <w:highlight w:val="none"/>
          <w14:textFill>
            <w14:solidFill>
              <w14:schemeClr w14:val="tx1"/>
            </w14:solidFill>
          </w14:textFill>
        </w:rPr>
        <w:t>三、质疑事项具体内容</w:t>
      </w:r>
    </w:p>
    <w:p w14:paraId="6BD70178">
      <w:pPr>
        <w:pageBreakBefore w:val="0"/>
        <w:wordWrap/>
        <w:topLinePunct w:val="0"/>
        <w:bidi w:val="0"/>
        <w:adjustRightInd w:val="0"/>
        <w:snapToGrid w:val="0"/>
        <w:spacing w:line="560" w:lineRule="exact"/>
        <w:rPr>
          <w:rFonts w:cs="仿宋" w:asciiTheme="minorEastAsia" w:hAnsiTheme="minorEastAsia" w:eastAsiaTheme="minorEastAsia"/>
          <w:color w:val="000000" w:themeColor="text1"/>
          <w:sz w:val="28"/>
          <w:szCs w:val="28"/>
          <w:highlight w:val="none"/>
          <w:u w:val="dotted"/>
          <w14:textFill>
            <w14:solidFill>
              <w14:schemeClr w14:val="tx1"/>
            </w14:solidFill>
          </w14:textFill>
        </w:rPr>
      </w:pPr>
      <w:r>
        <w:rPr>
          <w:rFonts w:hint="eastAsia" w:cs="仿宋" w:asciiTheme="minorEastAsia" w:hAnsiTheme="minorEastAsia" w:eastAsiaTheme="minorEastAsia"/>
          <w:color w:val="000000" w:themeColor="text1"/>
          <w:sz w:val="28"/>
          <w:szCs w:val="28"/>
          <w:highlight w:val="none"/>
          <w14:textFill>
            <w14:solidFill>
              <w14:schemeClr w14:val="tx1"/>
            </w14:solidFill>
          </w14:textFill>
        </w:rPr>
        <w:t>质疑事项1：</w:t>
      </w:r>
      <w:r>
        <w:rPr>
          <w:rFonts w:hint="eastAsia" w:cs="仿宋" w:asciiTheme="minorEastAsia" w:hAnsiTheme="minorEastAsia" w:eastAsiaTheme="minorEastAsia"/>
          <w:color w:val="000000" w:themeColor="text1"/>
          <w:sz w:val="28"/>
          <w:szCs w:val="28"/>
          <w:highlight w:val="none"/>
          <w:u w:val="dotted"/>
          <w14:textFill>
            <w14:solidFill>
              <w14:schemeClr w14:val="tx1"/>
            </w14:solidFill>
          </w14:textFill>
        </w:rPr>
        <w:t xml:space="preserve">                                         </w:t>
      </w:r>
    </w:p>
    <w:p w14:paraId="328ADC6D">
      <w:pPr>
        <w:pageBreakBefore w:val="0"/>
        <w:wordWrap/>
        <w:topLinePunct w:val="0"/>
        <w:bidi w:val="0"/>
        <w:adjustRightInd w:val="0"/>
        <w:snapToGrid w:val="0"/>
        <w:spacing w:line="560" w:lineRule="exact"/>
        <w:rPr>
          <w:rFonts w:cs="仿宋" w:asciiTheme="minorEastAsia" w:hAnsiTheme="minorEastAsia" w:eastAsiaTheme="minorEastAsia"/>
          <w:color w:val="000000" w:themeColor="text1"/>
          <w:sz w:val="28"/>
          <w:szCs w:val="28"/>
          <w:highlight w:val="none"/>
          <w:u w:val="dotted"/>
          <w14:textFill>
            <w14:solidFill>
              <w14:schemeClr w14:val="tx1"/>
            </w14:solidFill>
          </w14:textFill>
        </w:rPr>
      </w:pPr>
      <w:r>
        <w:rPr>
          <w:rFonts w:hint="eastAsia" w:cs="仿宋" w:asciiTheme="minorEastAsia" w:hAnsiTheme="minorEastAsia" w:eastAsiaTheme="minorEastAsia"/>
          <w:color w:val="000000" w:themeColor="text1"/>
          <w:sz w:val="28"/>
          <w:szCs w:val="28"/>
          <w:highlight w:val="none"/>
          <w14:textFill>
            <w14:solidFill>
              <w14:schemeClr w14:val="tx1"/>
            </w14:solidFill>
          </w14:textFill>
        </w:rPr>
        <w:t>事实依据：</w:t>
      </w:r>
      <w:r>
        <w:rPr>
          <w:rFonts w:hint="eastAsia" w:cs="仿宋" w:asciiTheme="minorEastAsia" w:hAnsiTheme="minorEastAsia" w:eastAsiaTheme="minorEastAsia"/>
          <w:color w:val="000000" w:themeColor="text1"/>
          <w:sz w:val="28"/>
          <w:szCs w:val="28"/>
          <w:highlight w:val="none"/>
          <w:u w:val="dotted"/>
          <w14:textFill>
            <w14:solidFill>
              <w14:schemeClr w14:val="tx1"/>
            </w14:solidFill>
          </w14:textFill>
        </w:rPr>
        <w:t xml:space="preserve">                                          </w:t>
      </w:r>
    </w:p>
    <w:p w14:paraId="24C023D9">
      <w:pPr>
        <w:pageBreakBefore w:val="0"/>
        <w:wordWrap/>
        <w:topLinePunct w:val="0"/>
        <w:bidi w:val="0"/>
        <w:adjustRightInd w:val="0"/>
        <w:snapToGrid w:val="0"/>
        <w:spacing w:line="560" w:lineRule="exact"/>
        <w:rPr>
          <w:rFonts w:cs="仿宋" w:asciiTheme="minorEastAsia" w:hAnsiTheme="minorEastAsia" w:eastAsiaTheme="minorEastAsia"/>
          <w:color w:val="000000" w:themeColor="text1"/>
          <w:sz w:val="28"/>
          <w:szCs w:val="28"/>
          <w:highlight w:val="none"/>
          <w:u w:val="dotted"/>
          <w14:textFill>
            <w14:solidFill>
              <w14:schemeClr w14:val="tx1"/>
            </w14:solidFill>
          </w14:textFill>
        </w:rPr>
      </w:pPr>
      <w:r>
        <w:rPr>
          <w:rFonts w:hint="eastAsia" w:cs="仿宋" w:asciiTheme="minorEastAsia" w:hAnsiTheme="minorEastAsia" w:eastAsiaTheme="minorEastAsia"/>
          <w:color w:val="000000" w:themeColor="text1"/>
          <w:sz w:val="28"/>
          <w:szCs w:val="28"/>
          <w:highlight w:val="none"/>
          <w14:textFill>
            <w14:solidFill>
              <w14:schemeClr w14:val="tx1"/>
            </w14:solidFill>
          </w14:textFill>
        </w:rPr>
        <w:t>法律依据：</w:t>
      </w:r>
      <w:r>
        <w:rPr>
          <w:rFonts w:hint="eastAsia" w:cs="仿宋" w:asciiTheme="minorEastAsia" w:hAnsiTheme="minorEastAsia" w:eastAsiaTheme="minorEastAsia"/>
          <w:color w:val="000000" w:themeColor="text1"/>
          <w:sz w:val="28"/>
          <w:szCs w:val="28"/>
          <w:highlight w:val="none"/>
          <w:u w:val="dotted"/>
          <w14:textFill>
            <w14:solidFill>
              <w14:schemeClr w14:val="tx1"/>
            </w14:solidFill>
          </w14:textFill>
        </w:rPr>
        <w:t xml:space="preserve">                                          </w:t>
      </w:r>
    </w:p>
    <w:p w14:paraId="3173206B">
      <w:pPr>
        <w:pageBreakBefore w:val="0"/>
        <w:wordWrap/>
        <w:topLinePunct w:val="0"/>
        <w:bidi w:val="0"/>
        <w:adjustRightInd w:val="0"/>
        <w:snapToGrid w:val="0"/>
        <w:spacing w:line="560" w:lineRule="exact"/>
        <w:rPr>
          <w:rFonts w:cs="仿宋" w:asciiTheme="minorEastAsia" w:hAnsiTheme="minorEastAsia" w:eastAsiaTheme="minorEastAsia"/>
          <w:color w:val="000000" w:themeColor="text1"/>
          <w:sz w:val="28"/>
          <w:szCs w:val="28"/>
          <w:highlight w:val="none"/>
          <w:u w:val="dotted"/>
          <w14:textFill>
            <w14:solidFill>
              <w14:schemeClr w14:val="tx1"/>
            </w14:solidFill>
          </w14:textFill>
        </w:rPr>
      </w:pPr>
      <w:r>
        <w:rPr>
          <w:rFonts w:hint="eastAsia" w:cs="仿宋" w:asciiTheme="minorEastAsia" w:hAnsiTheme="minorEastAsia" w:eastAsiaTheme="minorEastAsia"/>
          <w:color w:val="000000" w:themeColor="text1"/>
          <w:sz w:val="28"/>
          <w:szCs w:val="28"/>
          <w:highlight w:val="none"/>
          <w14:textFill>
            <w14:solidFill>
              <w14:schemeClr w14:val="tx1"/>
            </w14:solidFill>
          </w14:textFill>
        </w:rPr>
        <w:t>质疑事项2</w:t>
      </w:r>
    </w:p>
    <w:p w14:paraId="5D3C682E">
      <w:pPr>
        <w:pageBreakBefore w:val="0"/>
        <w:wordWrap/>
        <w:topLinePunct w:val="0"/>
        <w:bidi w:val="0"/>
        <w:adjustRightInd w:val="0"/>
        <w:snapToGrid w:val="0"/>
        <w:spacing w:line="560" w:lineRule="exact"/>
        <w:rPr>
          <w:rFonts w:cs="仿宋" w:asciiTheme="minorEastAsia" w:hAnsiTheme="minorEastAsia" w:eastAsiaTheme="minorEastAsia"/>
          <w:bCs/>
          <w:color w:val="000000" w:themeColor="text1"/>
          <w:sz w:val="28"/>
          <w:szCs w:val="28"/>
          <w:highlight w:val="none"/>
          <w14:textFill>
            <w14:solidFill>
              <w14:schemeClr w14:val="tx1"/>
            </w14:solidFill>
          </w14:textFill>
        </w:rPr>
      </w:pPr>
      <w:r>
        <w:rPr>
          <w:rFonts w:hint="eastAsia" w:cs="仿宋" w:asciiTheme="minorEastAsia" w:hAnsiTheme="minorEastAsia" w:eastAsiaTheme="minorEastAsia"/>
          <w:bCs/>
          <w:color w:val="000000" w:themeColor="text1"/>
          <w:sz w:val="28"/>
          <w:szCs w:val="28"/>
          <w:highlight w:val="none"/>
          <w14:textFill>
            <w14:solidFill>
              <w14:schemeClr w14:val="tx1"/>
            </w14:solidFill>
          </w14:textFill>
        </w:rPr>
        <w:t>四、与质疑事项相关的质疑请求</w:t>
      </w:r>
    </w:p>
    <w:p w14:paraId="46F0BD67">
      <w:pPr>
        <w:pageBreakBefore w:val="0"/>
        <w:wordWrap/>
        <w:topLinePunct w:val="0"/>
        <w:bidi w:val="0"/>
        <w:adjustRightInd w:val="0"/>
        <w:snapToGrid w:val="0"/>
        <w:spacing w:line="560" w:lineRule="exact"/>
        <w:rPr>
          <w:rFonts w:cs="仿宋" w:asciiTheme="minorEastAsia" w:hAnsiTheme="minorEastAsia" w:eastAsiaTheme="minorEastAsia"/>
          <w:color w:val="000000" w:themeColor="text1"/>
          <w:sz w:val="28"/>
          <w:szCs w:val="28"/>
          <w:highlight w:val="none"/>
          <w:u w:val="dotted"/>
          <w14:textFill>
            <w14:solidFill>
              <w14:schemeClr w14:val="tx1"/>
            </w14:solidFill>
          </w14:textFill>
        </w:rPr>
      </w:pPr>
      <w:r>
        <w:rPr>
          <w:rFonts w:hint="eastAsia" w:cs="仿宋" w:asciiTheme="minorEastAsia" w:hAnsiTheme="minorEastAsia" w:eastAsiaTheme="minorEastAsia"/>
          <w:color w:val="000000" w:themeColor="text1"/>
          <w:sz w:val="28"/>
          <w:szCs w:val="28"/>
          <w:highlight w:val="none"/>
          <w14:textFill>
            <w14:solidFill>
              <w14:schemeClr w14:val="tx1"/>
            </w14:solidFill>
          </w14:textFill>
        </w:rPr>
        <w:t>请求：</w:t>
      </w:r>
      <w:r>
        <w:rPr>
          <w:rFonts w:hint="eastAsia" w:cs="仿宋" w:asciiTheme="minorEastAsia" w:hAnsiTheme="minorEastAsia" w:eastAsiaTheme="minorEastAsia"/>
          <w:color w:val="000000" w:themeColor="text1"/>
          <w:sz w:val="28"/>
          <w:szCs w:val="28"/>
          <w:highlight w:val="none"/>
          <w:u w:val="dotted"/>
          <w14:textFill>
            <w14:solidFill>
              <w14:schemeClr w14:val="tx1"/>
            </w14:solidFill>
          </w14:textFill>
        </w:rPr>
        <w:t xml:space="preserve">                                               </w:t>
      </w:r>
    </w:p>
    <w:p w14:paraId="30F8E42A">
      <w:pPr>
        <w:pageBreakBefore w:val="0"/>
        <w:wordWrap/>
        <w:topLinePunct w:val="0"/>
        <w:bidi w:val="0"/>
        <w:adjustRightInd w:val="0"/>
        <w:snapToGrid w:val="0"/>
        <w:spacing w:line="560" w:lineRule="exact"/>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 xml:space="preserve">签字(签章)：                   公章：                      </w:t>
      </w:r>
    </w:p>
    <w:p w14:paraId="6E50A351">
      <w:pPr>
        <w:pageBreakBefore w:val="0"/>
        <w:wordWrap/>
        <w:topLinePunct w:val="0"/>
        <w:bidi w:val="0"/>
        <w:adjustRightInd w:val="0"/>
        <w:snapToGrid w:val="0"/>
        <w:spacing w:line="560" w:lineRule="exact"/>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 xml:space="preserve">日期：    </w:t>
      </w:r>
    </w:p>
    <w:p w14:paraId="2F106866">
      <w:pPr>
        <w:pageBreakBefore w:val="0"/>
        <w:wordWrap/>
        <w:topLinePunct w:val="0"/>
        <w:bidi w:val="0"/>
        <w:spacing w:line="560" w:lineRule="exact"/>
        <w:rPr>
          <w:rFonts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质疑函制作说明：</w:t>
      </w:r>
    </w:p>
    <w:p w14:paraId="1133CE7B">
      <w:pPr>
        <w:pageBreakBefore w:val="0"/>
        <w:widowControl/>
        <w:wordWrap/>
        <w:topLinePunct w:val="0"/>
        <w:bidi w:val="0"/>
        <w:spacing w:line="560" w:lineRule="exact"/>
        <w:ind w:firstLine="480" w:firstLineChars="200"/>
        <w:jc w:val="left"/>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1.供应商提出质疑时，应提交质疑函和必要的证明材料。</w:t>
      </w:r>
    </w:p>
    <w:p w14:paraId="6F36A0A1">
      <w:pPr>
        <w:pageBreakBefore w:val="0"/>
        <w:widowControl/>
        <w:wordWrap/>
        <w:topLinePunct w:val="0"/>
        <w:bidi w:val="0"/>
        <w:spacing w:line="560" w:lineRule="exact"/>
        <w:ind w:firstLine="480" w:firstLineChars="200"/>
        <w:jc w:val="left"/>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2.质疑供应商若委托代理人进行质疑的，质疑函应按要求列明“授权代表”的有关内容，并在附件中提交由质疑</w:t>
      </w:r>
      <w:r>
        <w:rPr>
          <w:rFonts w:hint="eastAsia" w:cs="宋体" w:asciiTheme="minorEastAsia" w:hAnsiTheme="minorEastAsia" w:eastAsiaTheme="minorEastAsia"/>
          <w:color w:val="000000" w:themeColor="text1"/>
          <w:kern w:val="0"/>
          <w:sz w:val="24"/>
          <w:highlight w:val="none"/>
          <w14:textFill>
            <w14:solidFill>
              <w14:schemeClr w14:val="tx1"/>
            </w14:solidFill>
          </w14:textFill>
        </w:rPr>
        <w:t>供应商签署的授权委托书。授权委托书应载明代理人的姓名或者名称、代理事项、具体权限、期限和相关事项。</w:t>
      </w:r>
    </w:p>
    <w:p w14:paraId="5390FD0E">
      <w:pPr>
        <w:pageBreakBefore w:val="0"/>
        <w:widowControl/>
        <w:wordWrap/>
        <w:topLinePunct w:val="0"/>
        <w:bidi w:val="0"/>
        <w:spacing w:line="560" w:lineRule="exact"/>
        <w:ind w:firstLine="480" w:firstLineChars="200"/>
        <w:jc w:val="left"/>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3.质疑供应商若对项目的某一分包进行质疑，质疑函中应列明具体分包号。</w:t>
      </w:r>
    </w:p>
    <w:p w14:paraId="789CB872">
      <w:pPr>
        <w:pageBreakBefore w:val="0"/>
        <w:widowControl/>
        <w:wordWrap/>
        <w:topLinePunct w:val="0"/>
        <w:bidi w:val="0"/>
        <w:spacing w:line="560" w:lineRule="exact"/>
        <w:ind w:firstLine="480" w:firstLineChars="200"/>
        <w:jc w:val="left"/>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4.质疑函的质疑事项应具体、明确，并有必要的事实依据和法律依据。</w:t>
      </w:r>
    </w:p>
    <w:p w14:paraId="6E8E8762">
      <w:pPr>
        <w:pageBreakBefore w:val="0"/>
        <w:widowControl/>
        <w:wordWrap/>
        <w:topLinePunct w:val="0"/>
        <w:bidi w:val="0"/>
        <w:spacing w:line="560" w:lineRule="exact"/>
        <w:ind w:firstLine="480" w:firstLineChars="200"/>
        <w:jc w:val="left"/>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5.质疑函的质疑请求应与质疑事项相关。</w:t>
      </w:r>
    </w:p>
    <w:p w14:paraId="0303CB17">
      <w:pPr>
        <w:pageBreakBefore w:val="0"/>
        <w:widowControl/>
        <w:wordWrap/>
        <w:topLinePunct w:val="0"/>
        <w:bidi w:val="0"/>
        <w:spacing w:line="560" w:lineRule="exact"/>
        <w:ind w:firstLine="480" w:firstLineChars="200"/>
        <w:jc w:val="left"/>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6.质疑供应商为自然人的，质疑函应由本人签字；质疑供应商为法人或者其他组织的，质疑函应由法定代表人、主要负责人，或者其授权代表签字或者盖章，并加盖公章。</w:t>
      </w:r>
    </w:p>
    <w:p w14:paraId="5C037EC7">
      <w:pPr>
        <w:pageBreakBefore w:val="0"/>
        <w:widowControl/>
        <w:wordWrap/>
        <w:topLinePunct w:val="0"/>
        <w:bidi w:val="0"/>
        <w:spacing w:line="560" w:lineRule="exact"/>
        <w:ind w:firstLine="600" w:firstLineChars="200"/>
        <w:jc w:val="left"/>
        <w:rPr>
          <w:rFonts w:ascii="仿宋_GB2312" w:eastAsia="仿宋_GB2312"/>
          <w:color w:val="000000" w:themeColor="text1"/>
          <w:sz w:val="30"/>
          <w:szCs w:val="30"/>
          <w:highlight w:val="none"/>
          <w14:textFill>
            <w14:solidFill>
              <w14:schemeClr w14:val="tx1"/>
            </w14:solidFill>
          </w14:textFill>
        </w:rPr>
      </w:pPr>
    </w:p>
    <w:p w14:paraId="7547F70C">
      <w:pPr>
        <w:pageBreakBefore w:val="0"/>
        <w:widowControl/>
        <w:wordWrap/>
        <w:topLinePunct w:val="0"/>
        <w:bidi w:val="0"/>
        <w:spacing w:line="560" w:lineRule="exact"/>
        <w:jc w:val="left"/>
        <w:rPr>
          <w:rFonts w:ascii="ˎ̥" w:hAnsi="ˎ̥" w:cs="宋体"/>
          <w:color w:val="000000" w:themeColor="text1"/>
          <w:kern w:val="0"/>
          <w:sz w:val="24"/>
          <w:highlight w:val="none"/>
          <w14:textFill>
            <w14:solidFill>
              <w14:schemeClr w14:val="tx1"/>
            </w14:solidFill>
          </w14:textFill>
        </w:rPr>
        <w:sectPr>
          <w:pgSz w:w="11906" w:h="16838"/>
          <w:pgMar w:top="1134" w:right="1134" w:bottom="1134" w:left="1134" w:header="720" w:footer="720" w:gutter="0"/>
          <w:pgNumType w:fmt="decimal"/>
          <w:cols w:space="720" w:num="1"/>
          <w:docGrid w:type="lines" w:linePitch="331" w:charSpace="0"/>
        </w:sectPr>
      </w:pPr>
    </w:p>
    <w:p w14:paraId="78862F47">
      <w:pPr>
        <w:pStyle w:val="3"/>
        <w:pageBreakBefore w:val="0"/>
        <w:wordWrap/>
        <w:topLinePunct w:val="0"/>
        <w:bidi w:val="0"/>
        <w:spacing w:line="560" w:lineRule="exact"/>
        <w:jc w:val="center"/>
        <w:rPr>
          <w:rFonts w:ascii="宋体" w:hAnsi="宋体"/>
          <w:b w:val="0"/>
          <w:bCs w:val="0"/>
          <w:color w:val="000000" w:themeColor="text1"/>
          <w:highlight w:val="none"/>
          <w14:textFill>
            <w14:solidFill>
              <w14:schemeClr w14:val="tx1"/>
            </w14:solidFill>
          </w14:textFill>
        </w:rPr>
      </w:pPr>
      <w:r>
        <w:rPr>
          <w:rFonts w:hint="eastAsia" w:ascii="宋体" w:hAnsi="宋体"/>
          <w:b w:val="0"/>
          <w:bCs w:val="0"/>
          <w:color w:val="000000" w:themeColor="text1"/>
          <w:highlight w:val="none"/>
          <w14:textFill>
            <w14:solidFill>
              <w14:schemeClr w14:val="tx1"/>
            </w14:solidFill>
          </w14:textFill>
        </w:rPr>
        <w:t>第二节 投诉书（格式）</w:t>
      </w:r>
    </w:p>
    <w:p w14:paraId="365D5096">
      <w:pPr>
        <w:pageBreakBefore w:val="0"/>
        <w:wordWrap/>
        <w:topLinePunct w:val="0"/>
        <w:bidi w:val="0"/>
        <w:spacing w:line="560" w:lineRule="exact"/>
        <w:jc w:val="center"/>
        <w:rPr>
          <w:rFonts w:ascii="宋体" w:hAnsi="宋体"/>
          <w:b/>
          <w:color w:val="000000" w:themeColor="text1"/>
          <w:sz w:val="44"/>
          <w:szCs w:val="44"/>
          <w:highlight w:val="none"/>
          <w14:textFill>
            <w14:solidFill>
              <w14:schemeClr w14:val="tx1"/>
            </w14:solidFill>
          </w14:textFill>
        </w:rPr>
      </w:pPr>
      <w:r>
        <w:rPr>
          <w:rFonts w:hint="eastAsia" w:ascii="宋体" w:hAnsi="宋体"/>
          <w:b/>
          <w:color w:val="000000" w:themeColor="text1"/>
          <w:sz w:val="44"/>
          <w:szCs w:val="44"/>
          <w:highlight w:val="none"/>
          <w14:textFill>
            <w14:solidFill>
              <w14:schemeClr w14:val="tx1"/>
            </w14:solidFill>
          </w14:textFill>
        </w:rPr>
        <w:t>投诉书范本</w:t>
      </w:r>
    </w:p>
    <w:p w14:paraId="1943D5CA">
      <w:pPr>
        <w:pageBreakBefore w:val="0"/>
        <w:wordWrap/>
        <w:topLinePunct w:val="0"/>
        <w:bidi w:val="0"/>
        <w:spacing w:line="560" w:lineRule="exact"/>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一、投诉相关主体基本情况</w:t>
      </w:r>
    </w:p>
    <w:p w14:paraId="623AF3E7">
      <w:pPr>
        <w:pageBreakBefore w:val="0"/>
        <w:wordWrap/>
        <w:topLinePunct w:val="0"/>
        <w:bidi w:val="0"/>
        <w:spacing w:line="560" w:lineRule="exact"/>
        <w:rPr>
          <w:rFonts w:asciiTheme="minorEastAsia" w:hAnsiTheme="minorEastAsia" w:eastAsiaTheme="minorEastAsia"/>
          <w:color w:val="000000" w:themeColor="text1"/>
          <w:sz w:val="28"/>
          <w:szCs w:val="28"/>
          <w:highlight w:val="none"/>
          <w:u w:val="dotted"/>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投诉人：</w:t>
      </w:r>
      <w:r>
        <w:rPr>
          <w:rFonts w:hint="eastAsia" w:asciiTheme="minorEastAsia" w:hAnsiTheme="minorEastAsia" w:eastAsiaTheme="minorEastAsia"/>
          <w:color w:val="000000" w:themeColor="text1"/>
          <w:sz w:val="28"/>
          <w:szCs w:val="28"/>
          <w:highlight w:val="none"/>
          <w:u w:val="dotted"/>
          <w14:textFill>
            <w14:solidFill>
              <w14:schemeClr w14:val="tx1"/>
            </w14:solidFill>
          </w14:textFill>
        </w:rPr>
        <w:t xml:space="preserve">                                               </w:t>
      </w:r>
    </w:p>
    <w:p w14:paraId="51B8FD3B">
      <w:pPr>
        <w:pageBreakBefore w:val="0"/>
        <w:wordWrap/>
        <w:topLinePunct w:val="0"/>
        <w:bidi w:val="0"/>
        <w:spacing w:line="560" w:lineRule="exact"/>
        <w:rPr>
          <w:rFonts w:asciiTheme="minorEastAsia" w:hAnsiTheme="minorEastAsia" w:eastAsiaTheme="minorEastAsia"/>
          <w:color w:val="000000" w:themeColor="text1"/>
          <w:sz w:val="28"/>
          <w:szCs w:val="28"/>
          <w:highlight w:val="none"/>
          <w:u w:val="singl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地     址：</w:t>
      </w:r>
      <w:r>
        <w:rPr>
          <w:rFonts w:hint="eastAsia" w:asciiTheme="minorEastAsia" w:hAnsiTheme="minorEastAsia" w:eastAsiaTheme="minorEastAsia"/>
          <w:color w:val="000000" w:themeColor="text1"/>
          <w:sz w:val="28"/>
          <w:szCs w:val="28"/>
          <w:highlight w:val="none"/>
          <w:u w:val="dotted"/>
          <w14:textFill>
            <w14:solidFill>
              <w14:schemeClr w14:val="tx1"/>
            </w14:solidFill>
          </w14:textFill>
        </w:rPr>
        <w:t xml:space="preserve">                             </w:t>
      </w:r>
      <w:r>
        <w:rPr>
          <w:rFonts w:hint="eastAsia" w:asciiTheme="minorEastAsia" w:hAnsiTheme="minorEastAsia" w:eastAsiaTheme="minorEastAsia"/>
          <w:color w:val="000000" w:themeColor="text1"/>
          <w:sz w:val="28"/>
          <w:szCs w:val="28"/>
          <w:highlight w:val="none"/>
          <w14:textFill>
            <w14:solidFill>
              <w14:schemeClr w14:val="tx1"/>
            </w14:solidFill>
          </w14:textFill>
        </w:rPr>
        <w:t>邮编：</w:t>
      </w:r>
      <w:r>
        <w:rPr>
          <w:rFonts w:hint="eastAsia" w:asciiTheme="minorEastAsia" w:hAnsiTheme="minorEastAsia" w:eastAsiaTheme="minorEastAsia"/>
          <w:color w:val="000000" w:themeColor="text1"/>
          <w:sz w:val="28"/>
          <w:szCs w:val="28"/>
          <w:highlight w:val="none"/>
          <w:u w:val="dotted"/>
          <w14:textFill>
            <w14:solidFill>
              <w14:schemeClr w14:val="tx1"/>
            </w14:solidFill>
          </w14:textFill>
        </w:rPr>
        <w:t xml:space="preserve">         </w:t>
      </w:r>
      <w:r>
        <w:rPr>
          <w:rFonts w:hint="eastAsia" w:asciiTheme="minorEastAsia" w:hAnsiTheme="minorEastAsia" w:eastAsiaTheme="minorEastAsia"/>
          <w:color w:val="000000" w:themeColor="text1"/>
          <w:sz w:val="28"/>
          <w:szCs w:val="28"/>
          <w:highlight w:val="none"/>
          <w:u w:val="single"/>
          <w14:textFill>
            <w14:solidFill>
              <w14:schemeClr w14:val="tx1"/>
            </w14:solidFill>
          </w14:textFill>
        </w:rPr>
        <w:t xml:space="preserve">   </w:t>
      </w:r>
    </w:p>
    <w:p w14:paraId="4BE8E5CF">
      <w:pPr>
        <w:pageBreakBefore w:val="0"/>
        <w:tabs>
          <w:tab w:val="left" w:pos="6510"/>
        </w:tabs>
        <w:wordWrap/>
        <w:topLinePunct w:val="0"/>
        <w:bidi w:val="0"/>
        <w:spacing w:line="560" w:lineRule="exact"/>
        <w:jc w:val="left"/>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法定代表人/主要负责人：</w:t>
      </w:r>
      <w:r>
        <w:rPr>
          <w:rFonts w:hint="eastAsia" w:asciiTheme="minorEastAsia" w:hAnsiTheme="minorEastAsia" w:eastAsiaTheme="minorEastAsia"/>
          <w:color w:val="000000" w:themeColor="text1"/>
          <w:sz w:val="28"/>
          <w:szCs w:val="28"/>
          <w:highlight w:val="none"/>
          <w:u w:val="dotted"/>
          <w14:textFill>
            <w14:solidFill>
              <w14:schemeClr w14:val="tx1"/>
            </w14:solidFill>
          </w14:textFill>
        </w:rPr>
        <w:t xml:space="preserve">                                   </w:t>
      </w:r>
      <w:r>
        <w:rPr>
          <w:rFonts w:hint="eastAsia" w:asciiTheme="minorEastAsia" w:hAnsiTheme="minorEastAsia" w:eastAsiaTheme="minorEastAsia"/>
          <w:color w:val="000000" w:themeColor="text1"/>
          <w:sz w:val="28"/>
          <w:szCs w:val="28"/>
          <w:highlight w:val="none"/>
          <w14:textFill>
            <w14:solidFill>
              <w14:schemeClr w14:val="tx1"/>
            </w14:solidFill>
          </w14:textFill>
        </w:rPr>
        <w:t xml:space="preserve">  </w:t>
      </w:r>
    </w:p>
    <w:p w14:paraId="41CCD210">
      <w:pPr>
        <w:pageBreakBefore w:val="0"/>
        <w:tabs>
          <w:tab w:val="left" w:pos="6510"/>
        </w:tabs>
        <w:wordWrap/>
        <w:topLinePunct w:val="0"/>
        <w:bidi w:val="0"/>
        <w:spacing w:line="560" w:lineRule="exact"/>
        <w:rPr>
          <w:rFonts w:asciiTheme="minorEastAsia" w:hAnsiTheme="minorEastAsia" w:eastAsiaTheme="minorEastAsia"/>
          <w:color w:val="000000" w:themeColor="text1"/>
          <w:sz w:val="28"/>
          <w:szCs w:val="28"/>
          <w:highlight w:val="none"/>
          <w:u w:val="dotted"/>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联系电话：</w:t>
      </w:r>
      <w:r>
        <w:rPr>
          <w:rFonts w:hint="eastAsia" w:asciiTheme="minorEastAsia" w:hAnsiTheme="minorEastAsia" w:eastAsiaTheme="minorEastAsia"/>
          <w:color w:val="000000" w:themeColor="text1"/>
          <w:sz w:val="28"/>
          <w:szCs w:val="28"/>
          <w:highlight w:val="none"/>
          <w:u w:val="dotted"/>
          <w14:textFill>
            <w14:solidFill>
              <w14:schemeClr w14:val="tx1"/>
            </w14:solidFill>
          </w14:textFill>
        </w:rPr>
        <w:t xml:space="preserve">                                             </w:t>
      </w:r>
    </w:p>
    <w:p w14:paraId="1025022D">
      <w:pPr>
        <w:pageBreakBefore w:val="0"/>
        <w:wordWrap/>
        <w:topLinePunct w:val="0"/>
        <w:bidi w:val="0"/>
        <w:spacing w:line="560" w:lineRule="exact"/>
        <w:rPr>
          <w:rFonts w:asciiTheme="minorEastAsia" w:hAnsiTheme="minorEastAsia" w:eastAsiaTheme="minorEastAsia"/>
          <w:color w:val="000000" w:themeColor="text1"/>
          <w:sz w:val="28"/>
          <w:szCs w:val="28"/>
          <w:highlight w:val="none"/>
          <w:u w:val="dotted"/>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授权代表：</w:t>
      </w:r>
      <w:r>
        <w:rPr>
          <w:rFonts w:hint="eastAsia" w:asciiTheme="minorEastAsia" w:hAnsiTheme="minorEastAsia" w:eastAsiaTheme="minorEastAsia"/>
          <w:color w:val="000000" w:themeColor="text1"/>
          <w:sz w:val="28"/>
          <w:szCs w:val="28"/>
          <w:highlight w:val="none"/>
          <w:u w:val="dotted"/>
          <w14:textFill>
            <w14:solidFill>
              <w14:schemeClr w14:val="tx1"/>
            </w14:solidFill>
          </w14:textFill>
        </w:rPr>
        <w:t xml:space="preserve">             </w:t>
      </w:r>
      <w:r>
        <w:rPr>
          <w:rFonts w:hint="eastAsia" w:asciiTheme="minorEastAsia" w:hAnsiTheme="minorEastAsia" w:eastAsiaTheme="minorEastAsia"/>
          <w:color w:val="000000" w:themeColor="text1"/>
          <w:sz w:val="28"/>
          <w:szCs w:val="28"/>
          <w:highlight w:val="none"/>
          <w14:textFill>
            <w14:solidFill>
              <w14:schemeClr w14:val="tx1"/>
            </w14:solidFill>
          </w14:textFill>
        </w:rPr>
        <w:t>联系电话</w:t>
      </w:r>
      <w:r>
        <w:rPr>
          <w:rFonts w:hint="eastAsia" w:asciiTheme="minorEastAsia" w:hAnsiTheme="minorEastAsia" w:eastAsiaTheme="minorEastAsia"/>
          <w:color w:val="000000" w:themeColor="text1"/>
          <w:sz w:val="28"/>
          <w:szCs w:val="28"/>
          <w:highlight w:val="none"/>
          <w:u w:val="dotted"/>
          <w14:textFill>
            <w14:solidFill>
              <w14:schemeClr w14:val="tx1"/>
            </w14:solidFill>
          </w14:textFill>
        </w:rPr>
        <w:t xml:space="preserve">：                  </w:t>
      </w:r>
    </w:p>
    <w:p w14:paraId="31EE3D1F">
      <w:pPr>
        <w:pageBreakBefore w:val="0"/>
        <w:wordWrap/>
        <w:topLinePunct w:val="0"/>
        <w:bidi w:val="0"/>
        <w:spacing w:line="560" w:lineRule="exact"/>
        <w:rPr>
          <w:rFonts w:asciiTheme="minorEastAsia" w:hAnsiTheme="minorEastAsia" w:eastAsiaTheme="minorEastAsia"/>
          <w:color w:val="000000" w:themeColor="text1"/>
          <w:sz w:val="28"/>
          <w:szCs w:val="28"/>
          <w:highlight w:val="none"/>
          <w:u w:val="dotted"/>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地     址：</w:t>
      </w:r>
      <w:r>
        <w:rPr>
          <w:rFonts w:hint="eastAsia" w:asciiTheme="minorEastAsia" w:hAnsiTheme="minorEastAsia" w:eastAsiaTheme="minorEastAsia"/>
          <w:color w:val="000000" w:themeColor="text1"/>
          <w:sz w:val="28"/>
          <w:szCs w:val="28"/>
          <w:highlight w:val="none"/>
          <w:u w:val="dotted"/>
          <w14:textFill>
            <w14:solidFill>
              <w14:schemeClr w14:val="tx1"/>
            </w14:solidFill>
          </w14:textFill>
        </w:rPr>
        <w:t xml:space="preserve">                             </w:t>
      </w:r>
      <w:r>
        <w:rPr>
          <w:rFonts w:hint="eastAsia" w:asciiTheme="minorEastAsia" w:hAnsiTheme="minorEastAsia" w:eastAsiaTheme="minorEastAsia"/>
          <w:color w:val="000000" w:themeColor="text1"/>
          <w:sz w:val="28"/>
          <w:szCs w:val="28"/>
          <w:highlight w:val="none"/>
          <w14:textFill>
            <w14:solidFill>
              <w14:schemeClr w14:val="tx1"/>
            </w14:solidFill>
          </w14:textFill>
        </w:rPr>
        <w:t>邮编：</w:t>
      </w:r>
      <w:r>
        <w:rPr>
          <w:rFonts w:hint="eastAsia" w:asciiTheme="minorEastAsia" w:hAnsiTheme="minorEastAsia" w:eastAsiaTheme="minorEastAsia"/>
          <w:color w:val="000000" w:themeColor="text1"/>
          <w:sz w:val="28"/>
          <w:szCs w:val="28"/>
          <w:highlight w:val="none"/>
          <w:u w:val="dotted"/>
          <w14:textFill>
            <w14:solidFill>
              <w14:schemeClr w14:val="tx1"/>
            </w14:solidFill>
          </w14:textFill>
        </w:rPr>
        <w:t xml:space="preserve">         </w:t>
      </w:r>
      <w:r>
        <w:rPr>
          <w:rFonts w:hint="eastAsia" w:asciiTheme="minorEastAsia" w:hAnsiTheme="minorEastAsia" w:eastAsiaTheme="minorEastAsia"/>
          <w:color w:val="000000" w:themeColor="text1"/>
          <w:sz w:val="28"/>
          <w:szCs w:val="28"/>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z w:val="28"/>
          <w:szCs w:val="28"/>
          <w:highlight w:val="none"/>
          <w:u w:val="dotted"/>
          <w14:textFill>
            <w14:solidFill>
              <w14:schemeClr w14:val="tx1"/>
            </w14:solidFill>
          </w14:textFill>
        </w:rPr>
        <w:t xml:space="preserve">                   </w:t>
      </w:r>
    </w:p>
    <w:p w14:paraId="6E3CCF9F">
      <w:pPr>
        <w:pageBreakBefore w:val="0"/>
        <w:wordWrap/>
        <w:topLinePunct w:val="0"/>
        <w:bidi w:val="0"/>
        <w:spacing w:line="560" w:lineRule="exact"/>
        <w:rPr>
          <w:rFonts w:asciiTheme="minorEastAsia" w:hAnsiTheme="minorEastAsia" w:eastAsiaTheme="minorEastAsia"/>
          <w:color w:val="000000" w:themeColor="text1"/>
          <w:sz w:val="28"/>
          <w:szCs w:val="28"/>
          <w:highlight w:val="none"/>
          <w:u w:val="singl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被投诉人1：</w:t>
      </w:r>
      <w:r>
        <w:rPr>
          <w:rFonts w:hint="eastAsia" w:asciiTheme="minorEastAsia" w:hAnsiTheme="minorEastAsia" w:eastAsiaTheme="minorEastAsia"/>
          <w:color w:val="000000" w:themeColor="text1"/>
          <w:sz w:val="28"/>
          <w:szCs w:val="28"/>
          <w:highlight w:val="none"/>
          <w:u w:val="dotted"/>
          <w14:textFill>
            <w14:solidFill>
              <w14:schemeClr w14:val="tx1"/>
            </w14:solidFill>
          </w14:textFill>
        </w:rPr>
        <w:t xml:space="preserve">                                           </w:t>
      </w:r>
      <w:r>
        <w:rPr>
          <w:rFonts w:hint="eastAsia" w:asciiTheme="minorEastAsia" w:hAnsiTheme="minorEastAsia" w:eastAsiaTheme="minorEastAsia"/>
          <w:color w:val="000000" w:themeColor="text1"/>
          <w:sz w:val="28"/>
          <w:szCs w:val="28"/>
          <w:highlight w:val="none"/>
          <w:u w:val="single"/>
          <w14:textFill>
            <w14:solidFill>
              <w14:schemeClr w14:val="tx1"/>
            </w14:solidFill>
          </w14:textFill>
        </w:rPr>
        <w:t xml:space="preserve">  </w:t>
      </w:r>
    </w:p>
    <w:p w14:paraId="7E0D6CB5">
      <w:pPr>
        <w:pageBreakBefore w:val="0"/>
        <w:wordWrap/>
        <w:topLinePunct w:val="0"/>
        <w:bidi w:val="0"/>
        <w:spacing w:line="560" w:lineRule="exact"/>
        <w:rPr>
          <w:rFonts w:asciiTheme="minorEastAsia" w:hAnsiTheme="minorEastAsia" w:eastAsiaTheme="minorEastAsia"/>
          <w:color w:val="000000" w:themeColor="text1"/>
          <w:sz w:val="28"/>
          <w:szCs w:val="28"/>
          <w:highlight w:val="none"/>
          <w:u w:val="singl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地     址：</w:t>
      </w:r>
      <w:r>
        <w:rPr>
          <w:rFonts w:hint="eastAsia" w:asciiTheme="minorEastAsia" w:hAnsiTheme="minorEastAsia" w:eastAsiaTheme="minorEastAsia"/>
          <w:color w:val="000000" w:themeColor="text1"/>
          <w:sz w:val="28"/>
          <w:szCs w:val="28"/>
          <w:highlight w:val="none"/>
          <w:u w:val="dotted"/>
          <w14:textFill>
            <w14:solidFill>
              <w14:schemeClr w14:val="tx1"/>
            </w14:solidFill>
          </w14:textFill>
        </w:rPr>
        <w:t xml:space="preserve">                             </w:t>
      </w:r>
      <w:r>
        <w:rPr>
          <w:rFonts w:hint="eastAsia" w:asciiTheme="minorEastAsia" w:hAnsiTheme="minorEastAsia" w:eastAsiaTheme="minorEastAsia"/>
          <w:color w:val="000000" w:themeColor="text1"/>
          <w:sz w:val="28"/>
          <w:szCs w:val="28"/>
          <w:highlight w:val="none"/>
          <w14:textFill>
            <w14:solidFill>
              <w14:schemeClr w14:val="tx1"/>
            </w14:solidFill>
          </w14:textFill>
        </w:rPr>
        <w:t>邮编：</w:t>
      </w:r>
      <w:r>
        <w:rPr>
          <w:rFonts w:hint="eastAsia" w:asciiTheme="minorEastAsia" w:hAnsiTheme="minorEastAsia" w:eastAsiaTheme="minorEastAsia"/>
          <w:color w:val="000000" w:themeColor="text1"/>
          <w:sz w:val="28"/>
          <w:szCs w:val="28"/>
          <w:highlight w:val="none"/>
          <w:u w:val="dotted"/>
          <w14:textFill>
            <w14:solidFill>
              <w14:schemeClr w14:val="tx1"/>
            </w14:solidFill>
          </w14:textFill>
        </w:rPr>
        <w:t xml:space="preserve">          </w:t>
      </w:r>
      <w:r>
        <w:rPr>
          <w:rFonts w:hint="eastAsia" w:asciiTheme="minorEastAsia" w:hAnsiTheme="minorEastAsia" w:eastAsiaTheme="minorEastAsia"/>
          <w:color w:val="000000" w:themeColor="text1"/>
          <w:sz w:val="28"/>
          <w:szCs w:val="28"/>
          <w:highlight w:val="none"/>
          <w:u w:val="single"/>
          <w14:textFill>
            <w14:solidFill>
              <w14:schemeClr w14:val="tx1"/>
            </w14:solidFill>
          </w14:textFill>
        </w:rPr>
        <w:t xml:space="preserve"> </w:t>
      </w:r>
    </w:p>
    <w:p w14:paraId="4631142E">
      <w:pPr>
        <w:pageBreakBefore w:val="0"/>
        <w:wordWrap/>
        <w:topLinePunct w:val="0"/>
        <w:bidi w:val="0"/>
        <w:spacing w:line="560" w:lineRule="exact"/>
        <w:rPr>
          <w:rFonts w:asciiTheme="minorEastAsia" w:hAnsiTheme="minorEastAsia" w:eastAsiaTheme="minorEastAsia"/>
          <w:color w:val="000000" w:themeColor="text1"/>
          <w:sz w:val="28"/>
          <w:szCs w:val="28"/>
          <w:highlight w:val="none"/>
          <w:u w:val="singl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联系人：</w:t>
      </w:r>
      <w:r>
        <w:rPr>
          <w:rFonts w:hint="eastAsia" w:asciiTheme="minorEastAsia" w:hAnsiTheme="minorEastAsia" w:eastAsiaTheme="minorEastAsia"/>
          <w:color w:val="000000" w:themeColor="text1"/>
          <w:sz w:val="28"/>
          <w:szCs w:val="28"/>
          <w:highlight w:val="none"/>
          <w:u w:val="dotted"/>
          <w14:textFill>
            <w14:solidFill>
              <w14:schemeClr w14:val="tx1"/>
            </w14:solidFill>
          </w14:textFill>
        </w:rPr>
        <w:t xml:space="preserve">               </w:t>
      </w:r>
      <w:r>
        <w:rPr>
          <w:rFonts w:hint="eastAsia" w:asciiTheme="minorEastAsia" w:hAnsiTheme="minorEastAsia" w:eastAsiaTheme="minorEastAsia"/>
          <w:color w:val="000000" w:themeColor="text1"/>
          <w:sz w:val="28"/>
          <w:szCs w:val="28"/>
          <w:highlight w:val="none"/>
          <w14:textFill>
            <w14:solidFill>
              <w14:schemeClr w14:val="tx1"/>
            </w14:solidFill>
          </w14:textFill>
        </w:rPr>
        <w:t>联系电话：</w:t>
      </w:r>
      <w:r>
        <w:rPr>
          <w:rFonts w:hint="eastAsia" w:asciiTheme="minorEastAsia" w:hAnsiTheme="minorEastAsia" w:eastAsiaTheme="minorEastAsia"/>
          <w:color w:val="000000" w:themeColor="text1"/>
          <w:sz w:val="28"/>
          <w:szCs w:val="28"/>
          <w:highlight w:val="none"/>
          <w:u w:val="dotted"/>
          <w14:textFill>
            <w14:solidFill>
              <w14:schemeClr w14:val="tx1"/>
            </w14:solidFill>
          </w14:textFill>
        </w:rPr>
        <w:t xml:space="preserve">                      </w:t>
      </w:r>
      <w:r>
        <w:rPr>
          <w:rFonts w:hint="eastAsia" w:asciiTheme="minorEastAsia" w:hAnsiTheme="minorEastAsia" w:eastAsiaTheme="minorEastAsia"/>
          <w:color w:val="000000" w:themeColor="text1"/>
          <w:sz w:val="28"/>
          <w:szCs w:val="28"/>
          <w:highlight w:val="none"/>
          <w:u w:val="single"/>
          <w14:textFill>
            <w14:solidFill>
              <w14:schemeClr w14:val="tx1"/>
            </w14:solidFill>
          </w14:textFill>
        </w:rPr>
        <w:t xml:space="preserve"> </w:t>
      </w:r>
    </w:p>
    <w:p w14:paraId="27C003E9">
      <w:pPr>
        <w:pageBreakBefore w:val="0"/>
        <w:wordWrap/>
        <w:topLinePunct w:val="0"/>
        <w:bidi w:val="0"/>
        <w:spacing w:line="560" w:lineRule="exact"/>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被投诉人2</w:t>
      </w:r>
    </w:p>
    <w:p w14:paraId="0F14B9F1">
      <w:pPr>
        <w:pageBreakBefore w:val="0"/>
        <w:wordWrap/>
        <w:topLinePunct w:val="0"/>
        <w:bidi w:val="0"/>
        <w:spacing w:line="560" w:lineRule="exact"/>
        <w:rPr>
          <w:rFonts w:asciiTheme="minorEastAsia" w:hAnsiTheme="minorEastAsia" w:eastAsiaTheme="minorEastAsia"/>
          <w:color w:val="000000" w:themeColor="text1"/>
          <w:sz w:val="28"/>
          <w:szCs w:val="28"/>
          <w:highlight w:val="none"/>
          <w:u w:val="dotted"/>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w:t>
      </w:r>
    </w:p>
    <w:p w14:paraId="2C3807AA">
      <w:pPr>
        <w:pageBreakBefore w:val="0"/>
        <w:wordWrap/>
        <w:topLinePunct w:val="0"/>
        <w:bidi w:val="0"/>
        <w:spacing w:line="560" w:lineRule="exact"/>
        <w:rPr>
          <w:rFonts w:asciiTheme="minorEastAsia" w:hAnsiTheme="minorEastAsia" w:eastAsiaTheme="minorEastAsia"/>
          <w:color w:val="000000" w:themeColor="text1"/>
          <w:sz w:val="28"/>
          <w:szCs w:val="28"/>
          <w:highlight w:val="none"/>
          <w:u w:val="singl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相关供应商：</w:t>
      </w:r>
      <w:r>
        <w:rPr>
          <w:rFonts w:hint="eastAsia" w:asciiTheme="minorEastAsia" w:hAnsiTheme="minorEastAsia" w:eastAsiaTheme="minorEastAsia"/>
          <w:color w:val="000000" w:themeColor="text1"/>
          <w:sz w:val="28"/>
          <w:szCs w:val="28"/>
          <w:highlight w:val="none"/>
          <w:u w:val="dotted"/>
          <w14:textFill>
            <w14:solidFill>
              <w14:schemeClr w14:val="tx1"/>
            </w14:solidFill>
          </w14:textFill>
        </w:rPr>
        <w:t xml:space="preserve">                                           </w:t>
      </w:r>
      <w:r>
        <w:rPr>
          <w:rFonts w:hint="eastAsia" w:asciiTheme="minorEastAsia" w:hAnsiTheme="minorEastAsia" w:eastAsiaTheme="minorEastAsia"/>
          <w:color w:val="000000" w:themeColor="text1"/>
          <w:sz w:val="28"/>
          <w:szCs w:val="28"/>
          <w:highlight w:val="none"/>
          <w:u w:val="single"/>
          <w14:textFill>
            <w14:solidFill>
              <w14:schemeClr w14:val="tx1"/>
            </w14:solidFill>
          </w14:textFill>
        </w:rPr>
        <w:t xml:space="preserve">    </w:t>
      </w:r>
    </w:p>
    <w:p w14:paraId="0742450E">
      <w:pPr>
        <w:pageBreakBefore w:val="0"/>
        <w:wordWrap/>
        <w:topLinePunct w:val="0"/>
        <w:bidi w:val="0"/>
        <w:spacing w:line="560" w:lineRule="exact"/>
        <w:rPr>
          <w:rFonts w:asciiTheme="minorEastAsia" w:hAnsiTheme="minorEastAsia" w:eastAsiaTheme="minorEastAsia"/>
          <w:color w:val="000000" w:themeColor="text1"/>
          <w:sz w:val="28"/>
          <w:szCs w:val="28"/>
          <w:highlight w:val="none"/>
          <w:u w:val="singl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地     址：</w:t>
      </w:r>
      <w:r>
        <w:rPr>
          <w:rFonts w:hint="eastAsia" w:asciiTheme="minorEastAsia" w:hAnsiTheme="minorEastAsia" w:eastAsiaTheme="minorEastAsia"/>
          <w:color w:val="000000" w:themeColor="text1"/>
          <w:sz w:val="28"/>
          <w:szCs w:val="28"/>
          <w:highlight w:val="none"/>
          <w:u w:val="dotted"/>
          <w14:textFill>
            <w14:solidFill>
              <w14:schemeClr w14:val="tx1"/>
            </w14:solidFill>
          </w14:textFill>
        </w:rPr>
        <w:t xml:space="preserve">                             </w:t>
      </w:r>
      <w:r>
        <w:rPr>
          <w:rFonts w:hint="eastAsia" w:asciiTheme="minorEastAsia" w:hAnsiTheme="minorEastAsia" w:eastAsiaTheme="minorEastAsia"/>
          <w:color w:val="000000" w:themeColor="text1"/>
          <w:sz w:val="28"/>
          <w:szCs w:val="28"/>
          <w:highlight w:val="none"/>
          <w14:textFill>
            <w14:solidFill>
              <w14:schemeClr w14:val="tx1"/>
            </w14:solidFill>
          </w14:textFill>
        </w:rPr>
        <w:t>邮编：</w:t>
      </w:r>
      <w:r>
        <w:rPr>
          <w:rFonts w:hint="eastAsia" w:asciiTheme="minorEastAsia" w:hAnsiTheme="minorEastAsia" w:eastAsiaTheme="minorEastAsia"/>
          <w:color w:val="000000" w:themeColor="text1"/>
          <w:sz w:val="28"/>
          <w:szCs w:val="28"/>
          <w:highlight w:val="none"/>
          <w:u w:val="dotted"/>
          <w14:textFill>
            <w14:solidFill>
              <w14:schemeClr w14:val="tx1"/>
            </w14:solidFill>
          </w14:textFill>
        </w:rPr>
        <w:t xml:space="preserve">          </w:t>
      </w:r>
      <w:r>
        <w:rPr>
          <w:rFonts w:hint="eastAsia" w:asciiTheme="minorEastAsia" w:hAnsiTheme="minorEastAsia" w:eastAsiaTheme="minorEastAsia"/>
          <w:color w:val="000000" w:themeColor="text1"/>
          <w:sz w:val="28"/>
          <w:szCs w:val="28"/>
          <w:highlight w:val="none"/>
          <w:u w:val="single"/>
          <w14:textFill>
            <w14:solidFill>
              <w14:schemeClr w14:val="tx1"/>
            </w14:solidFill>
          </w14:textFill>
        </w:rPr>
        <w:t xml:space="preserve"> </w:t>
      </w:r>
    </w:p>
    <w:p w14:paraId="34E6CCE5">
      <w:pPr>
        <w:pageBreakBefore w:val="0"/>
        <w:wordWrap/>
        <w:topLinePunct w:val="0"/>
        <w:bidi w:val="0"/>
        <w:spacing w:line="560" w:lineRule="exact"/>
        <w:rPr>
          <w:rFonts w:asciiTheme="minorEastAsia" w:hAnsiTheme="minorEastAsia" w:eastAsiaTheme="minorEastAsia"/>
          <w:color w:val="000000" w:themeColor="text1"/>
          <w:sz w:val="28"/>
          <w:szCs w:val="28"/>
          <w:highlight w:val="none"/>
          <w:u w:val="singl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联系人：</w:t>
      </w:r>
      <w:r>
        <w:rPr>
          <w:rFonts w:hint="eastAsia" w:asciiTheme="minorEastAsia" w:hAnsiTheme="minorEastAsia" w:eastAsiaTheme="minorEastAsia"/>
          <w:color w:val="000000" w:themeColor="text1"/>
          <w:sz w:val="28"/>
          <w:szCs w:val="28"/>
          <w:highlight w:val="none"/>
          <w:u w:val="dotted"/>
          <w14:textFill>
            <w14:solidFill>
              <w14:schemeClr w14:val="tx1"/>
            </w14:solidFill>
          </w14:textFill>
        </w:rPr>
        <w:t xml:space="preserve">               </w:t>
      </w:r>
      <w:r>
        <w:rPr>
          <w:rFonts w:hint="eastAsia" w:asciiTheme="minorEastAsia" w:hAnsiTheme="minorEastAsia" w:eastAsiaTheme="minorEastAsia"/>
          <w:color w:val="000000" w:themeColor="text1"/>
          <w:sz w:val="28"/>
          <w:szCs w:val="28"/>
          <w:highlight w:val="none"/>
          <w14:textFill>
            <w14:solidFill>
              <w14:schemeClr w14:val="tx1"/>
            </w14:solidFill>
          </w14:textFill>
        </w:rPr>
        <w:t>联系电话：</w:t>
      </w:r>
      <w:r>
        <w:rPr>
          <w:rFonts w:hint="eastAsia" w:asciiTheme="minorEastAsia" w:hAnsiTheme="minorEastAsia" w:eastAsiaTheme="minorEastAsia"/>
          <w:color w:val="000000" w:themeColor="text1"/>
          <w:sz w:val="28"/>
          <w:szCs w:val="28"/>
          <w:highlight w:val="none"/>
          <w:u w:val="dotted"/>
          <w14:textFill>
            <w14:solidFill>
              <w14:schemeClr w14:val="tx1"/>
            </w14:solidFill>
          </w14:textFill>
        </w:rPr>
        <w:t xml:space="preserve">                      </w:t>
      </w:r>
      <w:r>
        <w:rPr>
          <w:rFonts w:hint="eastAsia" w:asciiTheme="minorEastAsia" w:hAnsiTheme="minorEastAsia" w:eastAsiaTheme="minorEastAsia"/>
          <w:color w:val="000000" w:themeColor="text1"/>
          <w:sz w:val="28"/>
          <w:szCs w:val="28"/>
          <w:highlight w:val="none"/>
          <w:u w:val="single"/>
          <w14:textFill>
            <w14:solidFill>
              <w14:schemeClr w14:val="tx1"/>
            </w14:solidFill>
          </w14:textFill>
        </w:rPr>
        <w:t xml:space="preserve">      </w:t>
      </w:r>
    </w:p>
    <w:p w14:paraId="7467B617">
      <w:pPr>
        <w:pageBreakBefore w:val="0"/>
        <w:wordWrap/>
        <w:topLinePunct w:val="0"/>
        <w:bidi w:val="0"/>
        <w:spacing w:line="560" w:lineRule="exact"/>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二、投诉项目基本情况</w:t>
      </w:r>
    </w:p>
    <w:p w14:paraId="36AC9B00">
      <w:pPr>
        <w:pageBreakBefore w:val="0"/>
        <w:wordWrap/>
        <w:topLinePunct w:val="0"/>
        <w:bidi w:val="0"/>
        <w:spacing w:line="560" w:lineRule="exact"/>
        <w:rPr>
          <w:rFonts w:asciiTheme="minorEastAsia" w:hAnsiTheme="minorEastAsia" w:eastAsiaTheme="minorEastAsia"/>
          <w:color w:val="000000" w:themeColor="text1"/>
          <w:sz w:val="28"/>
          <w:szCs w:val="28"/>
          <w:highlight w:val="none"/>
          <w:u w:val="dotted"/>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采购项目名称：</w:t>
      </w:r>
      <w:r>
        <w:rPr>
          <w:rFonts w:hint="eastAsia" w:asciiTheme="minorEastAsia" w:hAnsiTheme="minorEastAsia" w:eastAsiaTheme="minorEastAsia"/>
          <w:color w:val="000000" w:themeColor="text1"/>
          <w:sz w:val="28"/>
          <w:szCs w:val="28"/>
          <w:highlight w:val="none"/>
          <w:u w:val="dotted"/>
          <w14:textFill>
            <w14:solidFill>
              <w14:schemeClr w14:val="tx1"/>
            </w14:solidFill>
          </w14:textFill>
        </w:rPr>
        <w:t xml:space="preserve">                                            </w:t>
      </w:r>
    </w:p>
    <w:p w14:paraId="7D783A85">
      <w:pPr>
        <w:pageBreakBefore w:val="0"/>
        <w:wordWrap/>
        <w:topLinePunct w:val="0"/>
        <w:bidi w:val="0"/>
        <w:spacing w:line="560" w:lineRule="exact"/>
        <w:rPr>
          <w:rFonts w:asciiTheme="minorEastAsia" w:hAnsiTheme="minorEastAsia" w:eastAsiaTheme="minorEastAsia"/>
          <w:color w:val="000000" w:themeColor="text1"/>
          <w:sz w:val="28"/>
          <w:szCs w:val="28"/>
          <w:highlight w:val="none"/>
          <w:u w:val="singl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采购项目编号：</w:t>
      </w:r>
      <w:r>
        <w:rPr>
          <w:rFonts w:hint="eastAsia" w:asciiTheme="minorEastAsia" w:hAnsiTheme="minorEastAsia" w:eastAsiaTheme="minorEastAsia"/>
          <w:color w:val="000000" w:themeColor="text1"/>
          <w:sz w:val="28"/>
          <w:szCs w:val="28"/>
          <w:highlight w:val="none"/>
          <w:u w:val="dotted"/>
          <w14:textFill>
            <w14:solidFill>
              <w14:schemeClr w14:val="tx1"/>
            </w14:solidFill>
          </w14:textFill>
        </w:rPr>
        <w:t xml:space="preserve">                       </w:t>
      </w:r>
      <w:r>
        <w:rPr>
          <w:rFonts w:hint="eastAsia" w:asciiTheme="minorEastAsia" w:hAnsiTheme="minorEastAsia" w:eastAsiaTheme="minorEastAsia"/>
          <w:color w:val="000000" w:themeColor="text1"/>
          <w:sz w:val="28"/>
          <w:szCs w:val="28"/>
          <w:highlight w:val="none"/>
          <w14:textFill>
            <w14:solidFill>
              <w14:schemeClr w14:val="tx1"/>
            </w14:solidFill>
          </w14:textFill>
        </w:rPr>
        <w:t>包号：</w:t>
      </w:r>
      <w:r>
        <w:rPr>
          <w:rFonts w:hint="eastAsia" w:asciiTheme="minorEastAsia" w:hAnsiTheme="minorEastAsia" w:eastAsiaTheme="minorEastAsia"/>
          <w:color w:val="000000" w:themeColor="text1"/>
          <w:sz w:val="28"/>
          <w:szCs w:val="28"/>
          <w:highlight w:val="none"/>
          <w:u w:val="dotted"/>
          <w14:textFill>
            <w14:solidFill>
              <w14:schemeClr w14:val="tx1"/>
            </w14:solidFill>
          </w14:textFill>
        </w:rPr>
        <w:t xml:space="preserve">              </w:t>
      </w:r>
    </w:p>
    <w:p w14:paraId="3F552EE3">
      <w:pPr>
        <w:pageBreakBefore w:val="0"/>
        <w:wordWrap/>
        <w:topLinePunct w:val="0"/>
        <w:bidi w:val="0"/>
        <w:spacing w:line="560" w:lineRule="exact"/>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采购人名称：</w:t>
      </w:r>
      <w:r>
        <w:rPr>
          <w:rFonts w:hint="eastAsia" w:asciiTheme="minorEastAsia" w:hAnsiTheme="minorEastAsia" w:eastAsiaTheme="minorEastAsia"/>
          <w:color w:val="000000" w:themeColor="text1"/>
          <w:sz w:val="28"/>
          <w:szCs w:val="28"/>
          <w:highlight w:val="none"/>
          <w:u w:val="dotted"/>
          <w14:textFill>
            <w14:solidFill>
              <w14:schemeClr w14:val="tx1"/>
            </w14:solidFill>
          </w14:textFill>
        </w:rPr>
        <w:t xml:space="preserve">                                             </w:t>
      </w:r>
    </w:p>
    <w:p w14:paraId="0D20298D">
      <w:pPr>
        <w:pageBreakBefore w:val="0"/>
        <w:wordWrap/>
        <w:topLinePunct w:val="0"/>
        <w:bidi w:val="0"/>
        <w:spacing w:line="560" w:lineRule="exact"/>
        <w:rPr>
          <w:rFonts w:asciiTheme="minorEastAsia" w:hAnsiTheme="minorEastAsia" w:eastAsiaTheme="minorEastAsia"/>
          <w:color w:val="000000" w:themeColor="text1"/>
          <w:sz w:val="28"/>
          <w:szCs w:val="28"/>
          <w:highlight w:val="none"/>
          <w:u w:val="singl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代理机构名称：</w:t>
      </w:r>
      <w:r>
        <w:rPr>
          <w:rFonts w:hint="eastAsia" w:asciiTheme="minorEastAsia" w:hAnsiTheme="minorEastAsia" w:eastAsiaTheme="minorEastAsia"/>
          <w:color w:val="000000" w:themeColor="text1"/>
          <w:sz w:val="28"/>
          <w:szCs w:val="28"/>
          <w:highlight w:val="none"/>
          <w:u w:val="dotted"/>
          <w14:textFill>
            <w14:solidFill>
              <w14:schemeClr w14:val="tx1"/>
            </w14:solidFill>
          </w14:textFill>
        </w:rPr>
        <w:t xml:space="preserve">                                         </w:t>
      </w:r>
    </w:p>
    <w:p w14:paraId="1217444D">
      <w:pPr>
        <w:pageBreakBefore w:val="0"/>
        <w:wordWrap/>
        <w:topLinePunct w:val="0"/>
        <w:bidi w:val="0"/>
        <w:spacing w:line="560" w:lineRule="exact"/>
        <w:rPr>
          <w:rFonts w:asciiTheme="minorEastAsia" w:hAnsiTheme="minorEastAsia" w:eastAsiaTheme="minorEastAsia"/>
          <w:color w:val="000000" w:themeColor="text1"/>
          <w:sz w:val="28"/>
          <w:szCs w:val="28"/>
          <w:highlight w:val="none"/>
          <w:u w:val="dotted"/>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采购文件公告:</w:t>
      </w:r>
      <w:r>
        <w:rPr>
          <w:rFonts w:hint="eastAsia" w:asciiTheme="minorEastAsia" w:hAnsiTheme="minorEastAsia" w:eastAsiaTheme="minorEastAsia"/>
          <w:color w:val="000000" w:themeColor="text1"/>
          <w:sz w:val="28"/>
          <w:szCs w:val="28"/>
          <w:highlight w:val="none"/>
          <w:u w:val="dotted"/>
          <w14:textFill>
            <w14:solidFill>
              <w14:schemeClr w14:val="tx1"/>
            </w14:solidFill>
          </w14:textFill>
        </w:rPr>
        <w:t xml:space="preserve">是/否 </w:t>
      </w:r>
      <w:r>
        <w:rPr>
          <w:rFonts w:hint="eastAsia" w:asciiTheme="minorEastAsia" w:hAnsiTheme="minorEastAsia" w:eastAsiaTheme="minorEastAsia"/>
          <w:color w:val="000000" w:themeColor="text1"/>
          <w:sz w:val="28"/>
          <w:szCs w:val="28"/>
          <w:highlight w:val="none"/>
          <w14:textFill>
            <w14:solidFill>
              <w14:schemeClr w14:val="tx1"/>
            </w14:solidFill>
          </w14:textFill>
        </w:rPr>
        <w:t>公告期限：</w:t>
      </w:r>
      <w:r>
        <w:rPr>
          <w:rFonts w:hint="eastAsia" w:asciiTheme="minorEastAsia" w:hAnsiTheme="minorEastAsia" w:eastAsiaTheme="minorEastAsia"/>
          <w:color w:val="000000" w:themeColor="text1"/>
          <w:sz w:val="28"/>
          <w:szCs w:val="28"/>
          <w:highlight w:val="none"/>
          <w:u w:val="dotted"/>
          <w14:textFill>
            <w14:solidFill>
              <w14:schemeClr w14:val="tx1"/>
            </w14:solidFill>
          </w14:textFill>
        </w:rPr>
        <w:t xml:space="preserve">                                 </w:t>
      </w:r>
    </w:p>
    <w:p w14:paraId="3F8FC7FC">
      <w:pPr>
        <w:pageBreakBefore w:val="0"/>
        <w:wordWrap/>
        <w:topLinePunct w:val="0"/>
        <w:bidi w:val="0"/>
        <w:spacing w:line="560" w:lineRule="exact"/>
        <w:rPr>
          <w:rFonts w:asciiTheme="minorEastAsia" w:hAnsiTheme="minorEastAsia" w:eastAsiaTheme="minorEastAsia"/>
          <w:color w:val="000000" w:themeColor="text1"/>
          <w:sz w:val="28"/>
          <w:szCs w:val="28"/>
          <w:highlight w:val="none"/>
          <w:u w:val="singl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采购结果公告:</w:t>
      </w:r>
      <w:r>
        <w:rPr>
          <w:rFonts w:hint="eastAsia" w:asciiTheme="minorEastAsia" w:hAnsiTheme="minorEastAsia" w:eastAsiaTheme="minorEastAsia"/>
          <w:color w:val="000000" w:themeColor="text1"/>
          <w:sz w:val="28"/>
          <w:szCs w:val="28"/>
          <w:highlight w:val="none"/>
          <w:u w:val="dotted"/>
          <w14:textFill>
            <w14:solidFill>
              <w14:schemeClr w14:val="tx1"/>
            </w14:solidFill>
          </w14:textFill>
        </w:rPr>
        <w:t xml:space="preserve">是/否 </w:t>
      </w:r>
      <w:r>
        <w:rPr>
          <w:rFonts w:hint="eastAsia" w:asciiTheme="minorEastAsia" w:hAnsiTheme="minorEastAsia" w:eastAsiaTheme="minorEastAsia"/>
          <w:color w:val="000000" w:themeColor="text1"/>
          <w:sz w:val="28"/>
          <w:szCs w:val="28"/>
          <w:highlight w:val="none"/>
          <w14:textFill>
            <w14:solidFill>
              <w14:schemeClr w14:val="tx1"/>
            </w14:solidFill>
          </w14:textFill>
        </w:rPr>
        <w:t>公告期限：</w:t>
      </w:r>
      <w:r>
        <w:rPr>
          <w:rFonts w:hint="eastAsia" w:asciiTheme="minorEastAsia" w:hAnsiTheme="minorEastAsia" w:eastAsiaTheme="minorEastAsia"/>
          <w:color w:val="000000" w:themeColor="text1"/>
          <w:sz w:val="28"/>
          <w:szCs w:val="28"/>
          <w:highlight w:val="none"/>
          <w:u w:val="dotted"/>
          <w14:textFill>
            <w14:solidFill>
              <w14:schemeClr w14:val="tx1"/>
            </w14:solidFill>
          </w14:textFill>
        </w:rPr>
        <w:t xml:space="preserve">                        </w:t>
      </w:r>
    </w:p>
    <w:p w14:paraId="6496A17A">
      <w:pPr>
        <w:pageBreakBefore w:val="0"/>
        <w:wordWrap/>
        <w:topLinePunct w:val="0"/>
        <w:bidi w:val="0"/>
        <w:spacing w:line="560" w:lineRule="exact"/>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三、质疑基本情况</w:t>
      </w:r>
    </w:p>
    <w:p w14:paraId="37D40D94">
      <w:pPr>
        <w:pageBreakBefore w:val="0"/>
        <w:wordWrap/>
        <w:topLinePunct w:val="0"/>
        <w:bidi w:val="0"/>
        <w:spacing w:line="560" w:lineRule="exact"/>
        <w:ind w:firstLine="560" w:firstLineChars="200"/>
        <w:rPr>
          <w:rFonts w:asciiTheme="minorEastAsia" w:hAnsiTheme="minorEastAsia" w:eastAsiaTheme="minorEastAsia"/>
          <w:color w:val="000000" w:themeColor="text1"/>
          <w:sz w:val="28"/>
          <w:szCs w:val="28"/>
          <w:highlight w:val="none"/>
          <w:u w:val="dotted"/>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投诉人于</w:t>
      </w:r>
      <w:r>
        <w:rPr>
          <w:rFonts w:hint="eastAsia" w:asciiTheme="minorEastAsia" w:hAnsiTheme="minorEastAsia" w:eastAsiaTheme="minorEastAsia"/>
          <w:color w:val="000000" w:themeColor="text1"/>
          <w:sz w:val="28"/>
          <w:szCs w:val="28"/>
          <w:highlight w:val="none"/>
          <w:u w:val="dotted"/>
          <w14:textFill>
            <w14:solidFill>
              <w14:schemeClr w14:val="tx1"/>
            </w14:solidFill>
          </w14:textFill>
        </w:rPr>
        <w:t xml:space="preserve">   </w:t>
      </w:r>
      <w:r>
        <w:rPr>
          <w:rFonts w:hint="eastAsia" w:asciiTheme="minorEastAsia" w:hAnsiTheme="minorEastAsia" w:eastAsiaTheme="minorEastAsia"/>
          <w:color w:val="000000" w:themeColor="text1"/>
          <w:sz w:val="28"/>
          <w:szCs w:val="28"/>
          <w:highlight w:val="none"/>
          <w14:textFill>
            <w14:solidFill>
              <w14:schemeClr w14:val="tx1"/>
            </w14:solidFill>
          </w14:textFill>
        </w:rPr>
        <w:t>年</w:t>
      </w:r>
      <w:r>
        <w:rPr>
          <w:rFonts w:hint="eastAsia" w:asciiTheme="minorEastAsia" w:hAnsiTheme="minorEastAsia" w:eastAsiaTheme="minorEastAsia"/>
          <w:color w:val="000000" w:themeColor="text1"/>
          <w:sz w:val="28"/>
          <w:szCs w:val="28"/>
          <w:highlight w:val="none"/>
          <w:u w:val="dotted"/>
          <w14:textFill>
            <w14:solidFill>
              <w14:schemeClr w14:val="tx1"/>
            </w14:solidFill>
          </w14:textFill>
        </w:rPr>
        <w:t xml:space="preserve">   </w:t>
      </w:r>
      <w:r>
        <w:rPr>
          <w:rFonts w:hint="eastAsia" w:asciiTheme="minorEastAsia" w:hAnsiTheme="minorEastAsia" w:eastAsiaTheme="minorEastAsia"/>
          <w:color w:val="000000" w:themeColor="text1"/>
          <w:sz w:val="28"/>
          <w:szCs w:val="28"/>
          <w:highlight w:val="none"/>
          <w14:textFill>
            <w14:solidFill>
              <w14:schemeClr w14:val="tx1"/>
            </w14:solidFill>
          </w14:textFill>
        </w:rPr>
        <w:t>月</w:t>
      </w:r>
      <w:r>
        <w:rPr>
          <w:rFonts w:hint="eastAsia" w:asciiTheme="minorEastAsia" w:hAnsiTheme="minorEastAsia" w:eastAsiaTheme="minorEastAsia"/>
          <w:color w:val="000000" w:themeColor="text1"/>
          <w:sz w:val="28"/>
          <w:szCs w:val="28"/>
          <w:highlight w:val="none"/>
          <w:u w:val="dotted"/>
          <w14:textFill>
            <w14:solidFill>
              <w14:schemeClr w14:val="tx1"/>
            </w14:solidFill>
          </w14:textFill>
        </w:rPr>
        <w:t xml:space="preserve">  </w:t>
      </w:r>
      <w:r>
        <w:rPr>
          <w:rFonts w:hint="eastAsia" w:asciiTheme="minorEastAsia" w:hAnsiTheme="minorEastAsia" w:eastAsiaTheme="minorEastAsia"/>
          <w:color w:val="000000" w:themeColor="text1"/>
          <w:sz w:val="28"/>
          <w:szCs w:val="28"/>
          <w:highlight w:val="none"/>
          <w14:textFill>
            <w14:solidFill>
              <w14:schemeClr w14:val="tx1"/>
            </w14:solidFill>
          </w14:textFill>
        </w:rPr>
        <w:t>日,向</w:t>
      </w:r>
      <w:r>
        <w:rPr>
          <w:rFonts w:hint="eastAsia" w:asciiTheme="minorEastAsia" w:hAnsiTheme="minorEastAsia" w:eastAsiaTheme="minorEastAsia"/>
          <w:color w:val="000000" w:themeColor="text1"/>
          <w:sz w:val="28"/>
          <w:szCs w:val="28"/>
          <w:highlight w:val="none"/>
          <w:u w:val="dotted"/>
          <w14:textFill>
            <w14:solidFill>
              <w14:schemeClr w14:val="tx1"/>
            </w14:solidFill>
          </w14:textFill>
        </w:rPr>
        <w:t xml:space="preserve">                   </w:t>
      </w:r>
      <w:r>
        <w:rPr>
          <w:rFonts w:hint="eastAsia" w:asciiTheme="minorEastAsia" w:hAnsiTheme="minorEastAsia" w:eastAsiaTheme="minorEastAsia"/>
          <w:color w:val="000000" w:themeColor="text1"/>
          <w:sz w:val="28"/>
          <w:szCs w:val="28"/>
          <w:highlight w:val="none"/>
          <w14:textFill>
            <w14:solidFill>
              <w14:schemeClr w14:val="tx1"/>
            </w14:solidFill>
          </w14:textFill>
        </w:rPr>
        <w:t>提出质疑，质疑事项为：</w:t>
      </w:r>
      <w:r>
        <w:rPr>
          <w:rFonts w:hint="eastAsia" w:asciiTheme="minorEastAsia" w:hAnsiTheme="minorEastAsia" w:eastAsiaTheme="minorEastAsia"/>
          <w:color w:val="000000" w:themeColor="text1"/>
          <w:sz w:val="28"/>
          <w:szCs w:val="28"/>
          <w:highlight w:val="none"/>
          <w:u w:val="dotted"/>
          <w14:textFill>
            <w14:solidFill>
              <w14:schemeClr w14:val="tx1"/>
            </w14:solidFill>
          </w14:textFill>
        </w:rPr>
        <w:t xml:space="preserve">                                </w:t>
      </w:r>
    </w:p>
    <w:p w14:paraId="6EDD7DA4">
      <w:pPr>
        <w:pageBreakBefore w:val="0"/>
        <w:wordWrap/>
        <w:topLinePunct w:val="0"/>
        <w:bidi w:val="0"/>
        <w:spacing w:line="560" w:lineRule="exact"/>
        <w:rPr>
          <w:rFonts w:asciiTheme="minorEastAsia" w:hAnsiTheme="minorEastAsia" w:eastAsiaTheme="minorEastAsia"/>
          <w:color w:val="000000" w:themeColor="text1"/>
          <w:sz w:val="28"/>
          <w:szCs w:val="28"/>
          <w:highlight w:val="none"/>
          <w:u w:val="dotted"/>
          <w14:textFill>
            <w14:solidFill>
              <w14:schemeClr w14:val="tx1"/>
            </w14:solidFill>
          </w14:textFill>
        </w:rPr>
      </w:pPr>
      <w:r>
        <w:rPr>
          <w:rFonts w:hint="eastAsia" w:asciiTheme="minorEastAsia" w:hAnsiTheme="minorEastAsia" w:eastAsiaTheme="minorEastAsia"/>
          <w:color w:val="000000" w:themeColor="text1"/>
          <w:sz w:val="28"/>
          <w:szCs w:val="28"/>
          <w:highlight w:val="none"/>
          <w:u w:val="dotted"/>
          <w14:textFill>
            <w14:solidFill>
              <w14:schemeClr w14:val="tx1"/>
            </w14:solidFill>
          </w14:textFill>
        </w:rPr>
        <w:t xml:space="preserve">                                                     </w:t>
      </w:r>
      <w:r>
        <w:rPr>
          <w:rFonts w:hint="eastAsia" w:asciiTheme="minorEastAsia" w:hAnsiTheme="minorEastAsia" w:eastAsiaTheme="minorEastAsia"/>
          <w:color w:val="000000" w:themeColor="text1"/>
          <w:sz w:val="28"/>
          <w:szCs w:val="28"/>
          <w:highlight w:val="none"/>
          <w14:textFill>
            <w14:solidFill>
              <w14:schemeClr w14:val="tx1"/>
            </w14:solidFill>
          </w14:textFill>
        </w:rPr>
        <w:t xml:space="preserve">  </w:t>
      </w:r>
    </w:p>
    <w:p w14:paraId="153D8AC8">
      <w:pPr>
        <w:pageBreakBefore w:val="0"/>
        <w:wordWrap/>
        <w:topLinePunct w:val="0"/>
        <w:bidi w:val="0"/>
        <w:spacing w:line="560" w:lineRule="exact"/>
        <w:ind w:firstLine="420" w:firstLineChars="150"/>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u w:val="dotted"/>
          <w14:textFill>
            <w14:solidFill>
              <w14:schemeClr w14:val="tx1"/>
            </w14:solidFill>
          </w14:textFill>
        </w:rPr>
        <w:t>采购人/代理机构</w:t>
      </w:r>
      <w:r>
        <w:rPr>
          <w:rFonts w:hint="eastAsia" w:asciiTheme="minorEastAsia" w:hAnsiTheme="minorEastAsia" w:eastAsiaTheme="minorEastAsia"/>
          <w:color w:val="000000" w:themeColor="text1"/>
          <w:sz w:val="28"/>
          <w:szCs w:val="28"/>
          <w:highlight w:val="none"/>
          <w14:textFill>
            <w14:solidFill>
              <w14:schemeClr w14:val="tx1"/>
            </w14:solidFill>
          </w14:textFill>
        </w:rPr>
        <w:t>于</w:t>
      </w:r>
      <w:r>
        <w:rPr>
          <w:rFonts w:hint="eastAsia" w:asciiTheme="minorEastAsia" w:hAnsiTheme="minorEastAsia" w:eastAsiaTheme="minorEastAsia"/>
          <w:color w:val="000000" w:themeColor="text1"/>
          <w:sz w:val="28"/>
          <w:szCs w:val="28"/>
          <w:highlight w:val="none"/>
          <w:u w:val="dotted"/>
          <w14:textFill>
            <w14:solidFill>
              <w14:schemeClr w14:val="tx1"/>
            </w14:solidFill>
          </w14:textFill>
        </w:rPr>
        <w:t xml:space="preserve">   </w:t>
      </w:r>
      <w:r>
        <w:rPr>
          <w:rFonts w:hint="eastAsia" w:asciiTheme="minorEastAsia" w:hAnsiTheme="minorEastAsia" w:eastAsiaTheme="minorEastAsia"/>
          <w:color w:val="000000" w:themeColor="text1"/>
          <w:sz w:val="28"/>
          <w:szCs w:val="28"/>
          <w:highlight w:val="none"/>
          <w14:textFill>
            <w14:solidFill>
              <w14:schemeClr w14:val="tx1"/>
            </w14:solidFill>
          </w14:textFill>
        </w:rPr>
        <w:t>年</w:t>
      </w:r>
      <w:r>
        <w:rPr>
          <w:rFonts w:hint="eastAsia" w:asciiTheme="minorEastAsia" w:hAnsiTheme="minorEastAsia" w:eastAsiaTheme="minorEastAsia"/>
          <w:color w:val="000000" w:themeColor="text1"/>
          <w:sz w:val="28"/>
          <w:szCs w:val="28"/>
          <w:highlight w:val="none"/>
          <w:u w:val="dotted"/>
          <w14:textFill>
            <w14:solidFill>
              <w14:schemeClr w14:val="tx1"/>
            </w14:solidFill>
          </w14:textFill>
        </w:rPr>
        <w:t xml:space="preserve">   </w:t>
      </w:r>
      <w:r>
        <w:rPr>
          <w:rFonts w:hint="eastAsia" w:asciiTheme="minorEastAsia" w:hAnsiTheme="minorEastAsia" w:eastAsiaTheme="minorEastAsia"/>
          <w:color w:val="000000" w:themeColor="text1"/>
          <w:sz w:val="28"/>
          <w:szCs w:val="28"/>
          <w:highlight w:val="none"/>
          <w14:textFill>
            <w14:solidFill>
              <w14:schemeClr w14:val="tx1"/>
            </w14:solidFill>
          </w14:textFill>
        </w:rPr>
        <w:t>月</w:t>
      </w:r>
      <w:r>
        <w:rPr>
          <w:rFonts w:hint="eastAsia" w:asciiTheme="minorEastAsia" w:hAnsiTheme="minorEastAsia" w:eastAsiaTheme="minorEastAsia"/>
          <w:color w:val="000000" w:themeColor="text1"/>
          <w:sz w:val="28"/>
          <w:szCs w:val="28"/>
          <w:highlight w:val="none"/>
          <w:u w:val="dotted"/>
          <w14:textFill>
            <w14:solidFill>
              <w14:schemeClr w14:val="tx1"/>
            </w14:solidFill>
          </w14:textFill>
        </w:rPr>
        <w:t xml:space="preserve">   </w:t>
      </w:r>
      <w:r>
        <w:rPr>
          <w:rFonts w:hint="eastAsia" w:asciiTheme="minorEastAsia" w:hAnsiTheme="minorEastAsia" w:eastAsiaTheme="minorEastAsia"/>
          <w:color w:val="000000" w:themeColor="text1"/>
          <w:sz w:val="28"/>
          <w:szCs w:val="28"/>
          <w:highlight w:val="none"/>
          <w14:textFill>
            <w14:solidFill>
              <w14:schemeClr w14:val="tx1"/>
            </w14:solidFill>
          </w14:textFill>
        </w:rPr>
        <w:t>日,就质疑事项作出了答复/没有在法定期限内作出答复。</w:t>
      </w:r>
    </w:p>
    <w:p w14:paraId="0E8A338E">
      <w:pPr>
        <w:pageBreakBefore w:val="0"/>
        <w:wordWrap/>
        <w:topLinePunct w:val="0"/>
        <w:bidi w:val="0"/>
        <w:spacing w:line="560" w:lineRule="exact"/>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四、投诉事项具体内容</w:t>
      </w:r>
    </w:p>
    <w:p w14:paraId="349F698A">
      <w:pPr>
        <w:pageBreakBefore w:val="0"/>
        <w:wordWrap/>
        <w:topLinePunct w:val="0"/>
        <w:bidi w:val="0"/>
        <w:spacing w:line="560" w:lineRule="exact"/>
        <w:rPr>
          <w:rFonts w:asciiTheme="minorEastAsia" w:hAnsiTheme="minorEastAsia" w:eastAsiaTheme="minorEastAsia"/>
          <w:color w:val="000000" w:themeColor="text1"/>
          <w:sz w:val="28"/>
          <w:szCs w:val="28"/>
          <w:highlight w:val="none"/>
          <w:u w:val="singl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投诉事项 1：</w:t>
      </w:r>
      <w:r>
        <w:rPr>
          <w:rFonts w:hint="eastAsia" w:asciiTheme="minorEastAsia" w:hAnsiTheme="minorEastAsia" w:eastAsiaTheme="minorEastAsia"/>
          <w:color w:val="000000" w:themeColor="text1"/>
          <w:sz w:val="28"/>
          <w:szCs w:val="28"/>
          <w:highlight w:val="none"/>
          <w:u w:val="dotted"/>
          <w14:textFill>
            <w14:solidFill>
              <w14:schemeClr w14:val="tx1"/>
            </w14:solidFill>
          </w14:textFill>
        </w:rPr>
        <w:t xml:space="preserve">                                       </w:t>
      </w:r>
    </w:p>
    <w:p w14:paraId="6238CD29">
      <w:pPr>
        <w:pageBreakBefore w:val="0"/>
        <w:wordWrap/>
        <w:topLinePunct w:val="0"/>
        <w:bidi w:val="0"/>
        <w:spacing w:line="560" w:lineRule="exact"/>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事实依据：</w:t>
      </w:r>
      <w:r>
        <w:rPr>
          <w:rFonts w:hint="eastAsia" w:asciiTheme="minorEastAsia" w:hAnsiTheme="minorEastAsia" w:eastAsiaTheme="minorEastAsia"/>
          <w:color w:val="000000" w:themeColor="text1"/>
          <w:sz w:val="28"/>
          <w:szCs w:val="28"/>
          <w:highlight w:val="none"/>
          <w:u w:val="dotted"/>
          <w14:textFill>
            <w14:solidFill>
              <w14:schemeClr w14:val="tx1"/>
            </w14:solidFill>
          </w14:textFill>
        </w:rPr>
        <w:t xml:space="preserve">                                         </w:t>
      </w:r>
    </w:p>
    <w:p w14:paraId="6D050A14">
      <w:pPr>
        <w:pageBreakBefore w:val="0"/>
        <w:wordWrap/>
        <w:topLinePunct w:val="0"/>
        <w:bidi w:val="0"/>
        <w:spacing w:line="560" w:lineRule="exact"/>
        <w:rPr>
          <w:rFonts w:asciiTheme="minorEastAsia" w:hAnsiTheme="minorEastAsia" w:eastAsiaTheme="minorEastAsia"/>
          <w:color w:val="000000" w:themeColor="text1"/>
          <w:sz w:val="28"/>
          <w:szCs w:val="28"/>
          <w:highlight w:val="none"/>
          <w:u w:val="dotted"/>
          <w14:textFill>
            <w14:solidFill>
              <w14:schemeClr w14:val="tx1"/>
            </w14:solidFill>
          </w14:textFill>
        </w:rPr>
      </w:pPr>
      <w:r>
        <w:rPr>
          <w:rFonts w:hint="eastAsia" w:asciiTheme="minorEastAsia" w:hAnsiTheme="minorEastAsia" w:eastAsiaTheme="minorEastAsia"/>
          <w:color w:val="000000" w:themeColor="text1"/>
          <w:sz w:val="28"/>
          <w:szCs w:val="28"/>
          <w:highlight w:val="none"/>
          <w:u w:val="dotted"/>
          <w14:textFill>
            <w14:solidFill>
              <w14:schemeClr w14:val="tx1"/>
            </w14:solidFill>
          </w14:textFill>
        </w:rPr>
        <w:t xml:space="preserve">                                                      </w:t>
      </w:r>
    </w:p>
    <w:p w14:paraId="04C6CE3C">
      <w:pPr>
        <w:pageBreakBefore w:val="0"/>
        <w:wordWrap/>
        <w:topLinePunct w:val="0"/>
        <w:bidi w:val="0"/>
        <w:spacing w:line="560" w:lineRule="exact"/>
        <w:rPr>
          <w:rFonts w:asciiTheme="minorEastAsia" w:hAnsiTheme="minorEastAsia" w:eastAsiaTheme="minorEastAsia"/>
          <w:color w:val="000000" w:themeColor="text1"/>
          <w:sz w:val="28"/>
          <w:szCs w:val="28"/>
          <w:highlight w:val="none"/>
          <w:u w:val="singl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法律依据：</w:t>
      </w:r>
      <w:r>
        <w:rPr>
          <w:rFonts w:hint="eastAsia" w:asciiTheme="minorEastAsia" w:hAnsiTheme="minorEastAsia" w:eastAsiaTheme="minorEastAsia"/>
          <w:color w:val="000000" w:themeColor="text1"/>
          <w:sz w:val="28"/>
          <w:szCs w:val="28"/>
          <w:highlight w:val="none"/>
          <w:u w:val="dotted"/>
          <w14:textFill>
            <w14:solidFill>
              <w14:schemeClr w14:val="tx1"/>
            </w14:solidFill>
          </w14:textFill>
        </w:rPr>
        <w:t xml:space="preserve">                                          </w:t>
      </w:r>
    </w:p>
    <w:p w14:paraId="1BA65398">
      <w:pPr>
        <w:pageBreakBefore w:val="0"/>
        <w:wordWrap/>
        <w:topLinePunct w:val="0"/>
        <w:bidi w:val="0"/>
        <w:spacing w:line="560" w:lineRule="exact"/>
        <w:rPr>
          <w:rFonts w:asciiTheme="minorEastAsia" w:hAnsiTheme="minorEastAsia" w:eastAsiaTheme="minorEastAsia"/>
          <w:color w:val="000000" w:themeColor="text1"/>
          <w:sz w:val="28"/>
          <w:szCs w:val="28"/>
          <w:highlight w:val="none"/>
          <w:u w:val="dotted"/>
          <w14:textFill>
            <w14:solidFill>
              <w14:schemeClr w14:val="tx1"/>
            </w14:solidFill>
          </w14:textFill>
        </w:rPr>
      </w:pPr>
      <w:r>
        <w:rPr>
          <w:rFonts w:hint="eastAsia" w:asciiTheme="minorEastAsia" w:hAnsiTheme="minorEastAsia" w:eastAsiaTheme="minorEastAsia"/>
          <w:color w:val="000000" w:themeColor="text1"/>
          <w:sz w:val="28"/>
          <w:szCs w:val="28"/>
          <w:highlight w:val="none"/>
          <w:u w:val="dotted"/>
          <w14:textFill>
            <w14:solidFill>
              <w14:schemeClr w14:val="tx1"/>
            </w14:solidFill>
          </w14:textFill>
        </w:rPr>
        <w:t xml:space="preserve">                                                      </w:t>
      </w:r>
    </w:p>
    <w:p w14:paraId="48E1F44C">
      <w:pPr>
        <w:pageBreakBefore w:val="0"/>
        <w:wordWrap/>
        <w:topLinePunct w:val="0"/>
        <w:bidi w:val="0"/>
        <w:spacing w:line="560" w:lineRule="exact"/>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投诉事项2</w:t>
      </w:r>
    </w:p>
    <w:p w14:paraId="4D32E30B">
      <w:pPr>
        <w:pageBreakBefore w:val="0"/>
        <w:wordWrap/>
        <w:topLinePunct w:val="0"/>
        <w:bidi w:val="0"/>
        <w:spacing w:line="560" w:lineRule="exact"/>
        <w:rPr>
          <w:rFonts w:asciiTheme="minorEastAsia" w:hAnsiTheme="minorEastAsia" w:eastAsiaTheme="minorEastAsia"/>
          <w:color w:val="000000" w:themeColor="text1"/>
          <w:sz w:val="28"/>
          <w:szCs w:val="28"/>
          <w:highlight w:val="none"/>
          <w:u w:val="dotted"/>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w:t>
      </w:r>
    </w:p>
    <w:p w14:paraId="15668515">
      <w:pPr>
        <w:pageBreakBefore w:val="0"/>
        <w:wordWrap/>
        <w:topLinePunct w:val="0"/>
        <w:bidi w:val="0"/>
        <w:spacing w:line="560" w:lineRule="exact"/>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五、与投诉事项相关的投诉请求</w:t>
      </w:r>
    </w:p>
    <w:p w14:paraId="00BF048B">
      <w:pPr>
        <w:pageBreakBefore w:val="0"/>
        <w:wordWrap/>
        <w:topLinePunct w:val="0"/>
        <w:bidi w:val="0"/>
        <w:spacing w:line="560" w:lineRule="exact"/>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请求：</w:t>
      </w:r>
      <w:r>
        <w:rPr>
          <w:rFonts w:hint="eastAsia" w:asciiTheme="minorEastAsia" w:hAnsiTheme="minorEastAsia" w:eastAsiaTheme="minorEastAsia"/>
          <w:color w:val="000000" w:themeColor="text1"/>
          <w:sz w:val="28"/>
          <w:szCs w:val="28"/>
          <w:highlight w:val="none"/>
          <w:u w:val="dotted"/>
          <w14:textFill>
            <w14:solidFill>
              <w14:schemeClr w14:val="tx1"/>
            </w14:solidFill>
          </w14:textFill>
        </w:rPr>
        <w:t xml:space="preserve">                                              </w:t>
      </w:r>
      <w:r>
        <w:rPr>
          <w:rFonts w:hint="eastAsia" w:asciiTheme="minorEastAsia" w:hAnsiTheme="minorEastAsia" w:eastAsiaTheme="minorEastAsia"/>
          <w:color w:val="000000" w:themeColor="text1"/>
          <w:sz w:val="28"/>
          <w:szCs w:val="28"/>
          <w:highlight w:val="none"/>
          <w14:textFill>
            <w14:solidFill>
              <w14:schemeClr w14:val="tx1"/>
            </w14:solidFill>
          </w14:textFill>
        </w:rPr>
        <w:t xml:space="preserve"> </w:t>
      </w:r>
    </w:p>
    <w:p w14:paraId="5A49D46A">
      <w:pPr>
        <w:pageBreakBefore w:val="0"/>
        <w:wordWrap/>
        <w:topLinePunct w:val="0"/>
        <w:bidi w:val="0"/>
        <w:spacing w:line="560" w:lineRule="exact"/>
        <w:rPr>
          <w:rFonts w:asciiTheme="minorEastAsia" w:hAnsiTheme="minorEastAsia" w:eastAsiaTheme="minorEastAsia"/>
          <w:color w:val="000000" w:themeColor="text1"/>
          <w:sz w:val="28"/>
          <w:szCs w:val="28"/>
          <w:highlight w:val="none"/>
          <w:u w:val="singl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 xml:space="preserve">                                                                                                    </w:t>
      </w:r>
    </w:p>
    <w:p w14:paraId="510EC033">
      <w:pPr>
        <w:pageBreakBefore w:val="0"/>
        <w:wordWrap/>
        <w:topLinePunct w:val="0"/>
        <w:bidi w:val="0"/>
        <w:spacing w:line="560" w:lineRule="exact"/>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 xml:space="preserve">签字(签章)：                   公章：                      </w:t>
      </w:r>
    </w:p>
    <w:p w14:paraId="0FB330F8">
      <w:pPr>
        <w:pageBreakBefore w:val="0"/>
        <w:wordWrap/>
        <w:topLinePunct w:val="0"/>
        <w:bidi w:val="0"/>
        <w:spacing w:line="560" w:lineRule="exact"/>
        <w:rPr>
          <w:rFonts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 xml:space="preserve">日期：    </w:t>
      </w:r>
    </w:p>
    <w:p w14:paraId="7B7BE5A2">
      <w:pPr>
        <w:pageBreakBefore w:val="0"/>
        <w:wordWrap/>
        <w:topLinePunct w:val="0"/>
        <w:bidi w:val="0"/>
        <w:spacing w:line="560" w:lineRule="exact"/>
        <w:rPr>
          <w:rFonts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投诉书制作说明：</w:t>
      </w:r>
    </w:p>
    <w:p w14:paraId="03B01294">
      <w:pPr>
        <w:pageBreakBefore w:val="0"/>
        <w:widowControl/>
        <w:wordWrap/>
        <w:topLinePunct w:val="0"/>
        <w:bidi w:val="0"/>
        <w:spacing w:line="560" w:lineRule="exact"/>
        <w:ind w:firstLine="480" w:firstLineChars="200"/>
        <w:rPr>
          <w:rFonts w:cs="宋体"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1.投诉人提起投诉时，应当提交投诉书和必要的证明材料，并按照被投诉人和与投诉事项有关的供应商数量提供投诉书副本。</w:t>
      </w:r>
    </w:p>
    <w:p w14:paraId="0D7B04CD">
      <w:pPr>
        <w:pageBreakBefore w:val="0"/>
        <w:widowControl/>
        <w:wordWrap/>
        <w:topLinePunct w:val="0"/>
        <w:bidi w:val="0"/>
        <w:spacing w:line="560" w:lineRule="exact"/>
        <w:ind w:firstLine="480" w:firstLineChars="200"/>
        <w:jc w:val="left"/>
        <w:rPr>
          <w:rFonts w:cs="宋体"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2.投诉人若委托代理人进行投诉的，投诉书应按照要求列明“授权代表”的有关内容，并在附件中提交由</w:t>
      </w:r>
      <w:r>
        <w:rPr>
          <w:rFonts w:hint="eastAsia" w:cs="宋体" w:asciiTheme="minorEastAsia" w:hAnsiTheme="minorEastAsia" w:eastAsiaTheme="minorEastAsia"/>
          <w:color w:val="000000" w:themeColor="text1"/>
          <w:kern w:val="0"/>
          <w:sz w:val="24"/>
          <w:highlight w:val="none"/>
          <w14:textFill>
            <w14:solidFill>
              <w14:schemeClr w14:val="tx1"/>
            </w14:solidFill>
          </w14:textFill>
        </w:rPr>
        <w:t>投诉人签署的授权委托书。授权委托书应当载明代理人的姓名或者名称、代理事项、具体权限、期限和相关事项。</w:t>
      </w:r>
    </w:p>
    <w:p w14:paraId="6C4DB94E">
      <w:pPr>
        <w:pageBreakBefore w:val="0"/>
        <w:widowControl/>
        <w:wordWrap/>
        <w:topLinePunct w:val="0"/>
        <w:bidi w:val="0"/>
        <w:spacing w:line="560" w:lineRule="exact"/>
        <w:ind w:firstLine="480" w:firstLineChars="200"/>
        <w:jc w:val="left"/>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3.投诉人若对项目的某一分包进行投诉，投诉书应列明具体分包号。</w:t>
      </w:r>
    </w:p>
    <w:p w14:paraId="77486BF1">
      <w:pPr>
        <w:pageBreakBefore w:val="0"/>
        <w:widowControl/>
        <w:wordWrap/>
        <w:topLinePunct w:val="0"/>
        <w:bidi w:val="0"/>
        <w:spacing w:line="560" w:lineRule="exact"/>
        <w:ind w:firstLine="480" w:firstLineChars="200"/>
        <w:jc w:val="left"/>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4.投诉书应简要列明质疑事项，质疑函、质疑答复等作为附件材料提供。</w:t>
      </w:r>
    </w:p>
    <w:p w14:paraId="304F4EC4">
      <w:pPr>
        <w:pageBreakBefore w:val="0"/>
        <w:widowControl/>
        <w:wordWrap/>
        <w:topLinePunct w:val="0"/>
        <w:bidi w:val="0"/>
        <w:spacing w:line="560" w:lineRule="exact"/>
        <w:ind w:firstLine="480" w:firstLineChars="200"/>
        <w:jc w:val="left"/>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5.投诉书的投诉事项应具体、明确，并有必要的事实依据和法律依据。</w:t>
      </w:r>
    </w:p>
    <w:p w14:paraId="4E77BB50">
      <w:pPr>
        <w:pageBreakBefore w:val="0"/>
        <w:widowControl/>
        <w:wordWrap/>
        <w:topLinePunct w:val="0"/>
        <w:bidi w:val="0"/>
        <w:spacing w:line="560" w:lineRule="exact"/>
        <w:ind w:firstLine="480" w:firstLineChars="200"/>
        <w:jc w:val="left"/>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6.投诉书的投诉请求应与投诉事项相关。</w:t>
      </w:r>
    </w:p>
    <w:p w14:paraId="34847B4E">
      <w:pPr>
        <w:pageBreakBefore w:val="0"/>
        <w:widowControl/>
        <w:wordWrap/>
        <w:topLinePunct w:val="0"/>
        <w:bidi w:val="0"/>
        <w:spacing w:line="560" w:lineRule="exact"/>
        <w:ind w:firstLine="480" w:firstLineChars="200"/>
        <w:jc w:val="left"/>
        <w:rPr>
          <w:rFonts w:cs="宋体"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7.投诉人为自然人的，投诉书应当由本人签字；投诉人为法人或者其他组织的，投诉书应当由法定代表人、主要负责人，或者其授权代表签字或者盖章，并加盖公章。</w:t>
      </w:r>
    </w:p>
    <w:p w14:paraId="280B11FC">
      <w:pPr>
        <w:pageBreakBefore w:val="0"/>
        <w:wordWrap/>
        <w:topLinePunct w:val="0"/>
        <w:bidi w:val="0"/>
        <w:snapToGrid w:val="0"/>
        <w:spacing w:before="50" w:after="165" w:afterLines="50" w:line="560" w:lineRule="exact"/>
        <w:ind w:firstLine="480" w:firstLineChars="200"/>
        <w:jc w:val="left"/>
        <w:rPr>
          <w:color w:val="000000" w:themeColor="text1"/>
          <w:sz w:val="24"/>
          <w:highlight w:val="none"/>
          <w14:textFill>
            <w14:solidFill>
              <w14:schemeClr w14:val="tx1"/>
            </w14:solidFill>
          </w14:textFill>
        </w:rPr>
      </w:pPr>
    </w:p>
    <w:p w14:paraId="3788D665">
      <w:pPr>
        <w:pageBreakBefore w:val="0"/>
        <w:wordWrap/>
        <w:topLinePunct w:val="0"/>
        <w:bidi w:val="0"/>
        <w:spacing w:line="560" w:lineRule="exact"/>
        <w:rPr>
          <w:color w:val="000000" w:themeColor="text1"/>
          <w:highlight w:val="none"/>
          <w14:textFill>
            <w14:solidFill>
              <w14:schemeClr w14:val="tx1"/>
            </w14:solidFill>
          </w14:textFill>
        </w:rPr>
      </w:pPr>
    </w:p>
    <w:p w14:paraId="619B7D91">
      <w:pPr>
        <w:pageBreakBefore w:val="0"/>
        <w:wordWrap/>
        <w:topLinePunct w:val="0"/>
        <w:bidi w:val="0"/>
        <w:spacing w:line="560" w:lineRule="exact"/>
        <w:rPr>
          <w:color w:val="000000" w:themeColor="text1"/>
          <w:highlight w:val="none"/>
          <w14:textFill>
            <w14:solidFill>
              <w14:schemeClr w14:val="tx1"/>
            </w14:solidFill>
          </w14:textFill>
        </w:rPr>
      </w:pPr>
    </w:p>
    <w:p w14:paraId="4D792253">
      <w:pPr>
        <w:pageBreakBefore w:val="0"/>
        <w:wordWrap/>
        <w:topLinePunct w:val="0"/>
        <w:bidi w:val="0"/>
        <w:spacing w:line="560" w:lineRule="exact"/>
        <w:rPr>
          <w:color w:val="000000" w:themeColor="text1"/>
          <w:highlight w:val="none"/>
          <w14:textFill>
            <w14:solidFill>
              <w14:schemeClr w14:val="tx1"/>
            </w14:solidFill>
          </w14:textFill>
        </w:rPr>
      </w:pPr>
    </w:p>
    <w:sectPr>
      <w:footerReference r:id="rId47" w:type="first"/>
      <w:headerReference r:id="rId44" w:type="default"/>
      <w:footerReference r:id="rId45" w:type="default"/>
      <w:footerReference r:id="rId46" w:type="even"/>
      <w:pgSz w:w="11906" w:h="16838"/>
      <w:pgMar w:top="1134" w:right="1134" w:bottom="1134" w:left="1134" w:header="720" w:footer="720" w:gutter="0"/>
      <w:pgNumType w:fmt="decimal"/>
      <w:cols w:space="720" w:num="1"/>
      <w:docGrid w:type="lines"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MingLiU">
    <w:panose1 w:val="02020509000000000000"/>
    <w:charset w:val="88"/>
    <w:family w:val="modern"/>
    <w:pitch w:val="default"/>
    <w:sig w:usb0="A00002FF" w:usb1="28CFFCFA" w:usb2="00000016" w:usb3="00000000" w:csb0="00100001"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swiss"/>
    <w:pitch w:val="default"/>
    <w:sig w:usb0="80000287" w:usb1="280F3C52" w:usb2="00000016" w:usb3="00000000" w:csb0="0004001F" w:csb1="00000000"/>
  </w:font>
  <w:font w:name="Arial Unicode MS">
    <w:altName w:val="宋体"/>
    <w:panose1 w:val="020B0604020202020204"/>
    <w:charset w:val="86"/>
    <w:family w:val="swiss"/>
    <w:pitch w:val="default"/>
    <w:sig w:usb0="00000000" w:usb1="00000000" w:usb2="0000003F" w:usb3="00000000" w:csb0="603F01FF" w:csb1="FFFF0000"/>
  </w:font>
  <w:font w:name="ˎ̥">
    <w:altName w:val="Times New Roman"/>
    <w:panose1 w:val="00000000000000000000"/>
    <w:charset w:val="00"/>
    <w:family w:val="roman"/>
    <w:pitch w:val="default"/>
    <w:sig w:usb0="00000000" w:usb1="00000000" w:usb2="00000000" w:usb3="00000000" w:csb0="00040001" w:csb1="00000000"/>
  </w:font>
  <w:font w:name="Gulim">
    <w:panose1 w:val="020B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6B4BC4">
    <w:pPr>
      <w:pStyle w:val="2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E65618">
                          <w:pPr>
                            <w:pStyle w:val="2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3EE65618">
                    <w:pPr>
                      <w:pStyle w:val="2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FFA1B7">
    <w:pPr>
      <w:pStyle w:val="22"/>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717BAB">
    <w:pPr>
      <w:pStyle w:val="22"/>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090B84">
                          <w:pPr>
                            <w:pStyle w:val="22"/>
                            <w:jc w:val="center"/>
                          </w:pPr>
                          <w:r>
                            <w:fldChar w:fldCharType="begin"/>
                          </w:r>
                          <w:r>
                            <w:instrText xml:space="preserve"> PAGE   \* MERGEFORMAT </w:instrText>
                          </w:r>
                          <w:r>
                            <w:fldChar w:fldCharType="separate"/>
                          </w:r>
                          <w:r>
                            <w:rPr>
                              <w:lang w:val="zh-CN"/>
                            </w:rPr>
                            <w:t>95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04090B84">
                    <w:pPr>
                      <w:pStyle w:val="22"/>
                      <w:jc w:val="center"/>
                    </w:pPr>
                    <w:r>
                      <w:fldChar w:fldCharType="begin"/>
                    </w:r>
                    <w:r>
                      <w:instrText xml:space="preserve"> PAGE   \* MERGEFORMAT </w:instrText>
                    </w:r>
                    <w:r>
                      <w:fldChar w:fldCharType="separate"/>
                    </w:r>
                    <w:r>
                      <w:rPr>
                        <w:lang w:val="zh-CN"/>
                      </w:rPr>
                      <w:t>95</w:t>
                    </w:r>
                    <w:r>
                      <w:fldChar w:fldCharType="end"/>
                    </w:r>
                  </w:p>
                </w:txbxContent>
              </v:textbox>
            </v:shape>
          </w:pict>
        </mc:Fallback>
      </mc:AlternateContent>
    </w:r>
  </w:p>
  <w:p w14:paraId="3C5525C9">
    <w:pPr>
      <w:pStyle w:val="22"/>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4C8FFC">
    <w:pPr>
      <w:pStyle w:val="22"/>
      <w:framePr w:wrap="around" w:vAnchor="text" w:hAnchor="margin" w:xAlign="center" w:y="1"/>
      <w:rPr>
        <w:rStyle w:val="37"/>
      </w:rPr>
    </w:pPr>
    <w:r>
      <w:fldChar w:fldCharType="begin"/>
    </w:r>
    <w:r>
      <w:rPr>
        <w:rStyle w:val="37"/>
      </w:rPr>
      <w:instrText xml:space="preserve">PAGE  </w:instrText>
    </w:r>
    <w:r>
      <w:fldChar w:fldCharType="end"/>
    </w:r>
  </w:p>
  <w:p w14:paraId="46FED6D1">
    <w:pPr>
      <w:pStyle w:val="22"/>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A5E175">
    <w:pPr>
      <w:pStyle w:val="22"/>
      <w:framePr w:wrap="around" w:vAnchor="text" w:hAnchor="margin" w:xAlign="right" w:y="1"/>
      <w:rPr>
        <w:rStyle w:val="37"/>
      </w:rPr>
    </w:pPr>
    <w:r>
      <w:fldChar w:fldCharType="begin"/>
    </w:r>
    <w:r>
      <w:rPr>
        <w:rStyle w:val="37"/>
      </w:rPr>
      <w:instrText xml:space="preserve">PAGE  </w:instrText>
    </w:r>
    <w:r>
      <w:fldChar w:fldCharType="separate"/>
    </w:r>
    <w:r>
      <w:rPr>
        <w:rStyle w:val="37"/>
      </w:rPr>
      <w:t>122</w:t>
    </w:r>
    <w:r>
      <w:fldChar w:fldCharType="end"/>
    </w:r>
  </w:p>
  <w:p w14:paraId="350D7349">
    <w:pPr>
      <w:pStyle w:val="22"/>
      <w:ind w:right="360"/>
      <w:jc w:val="both"/>
    </w:pPr>
    <w:r>
      <w:rPr>
        <w:rFonts w:hint="eastAsia"/>
      </w:rPr>
      <w:t>121</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FB53C2">
    <w:pPr>
      <w:pStyle w:val="22"/>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67B8F2">
    <w:pPr>
      <w:pStyle w:val="22"/>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55212"/>
                          </w:sdtPr>
                          <w:sdtContent>
                            <w:p w14:paraId="4E69D6AA">
                              <w:pPr>
                                <w:pStyle w:val="22"/>
                                <w:jc w:val="center"/>
                              </w:pPr>
                              <w:r>
                                <w:fldChar w:fldCharType="begin"/>
                              </w:r>
                              <w:r>
                                <w:instrText xml:space="preserve">PAGE   \* MERGEFORMAT</w:instrText>
                              </w:r>
                              <w:r>
                                <w:fldChar w:fldCharType="separate"/>
                              </w:r>
                              <w:r>
                                <w:rPr>
                                  <w:lang w:val="zh-CN"/>
                                </w:rPr>
                                <w:t>32</w:t>
                              </w:r>
                              <w:r>
                                <w:fldChar w:fldCharType="end"/>
                              </w:r>
                            </w:p>
                          </w:sdtContent>
                        </w:sdt>
                        <w:p w14:paraId="4BD1974B"/>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sdt>
                    <w:sdtPr>
                      <w:id w:val="147455212"/>
                    </w:sdtPr>
                    <w:sdtContent>
                      <w:p w14:paraId="4E69D6AA">
                        <w:pPr>
                          <w:pStyle w:val="22"/>
                          <w:jc w:val="center"/>
                        </w:pPr>
                        <w:r>
                          <w:fldChar w:fldCharType="begin"/>
                        </w:r>
                        <w:r>
                          <w:instrText xml:space="preserve">PAGE   \* MERGEFORMAT</w:instrText>
                        </w:r>
                        <w:r>
                          <w:fldChar w:fldCharType="separate"/>
                        </w:r>
                        <w:r>
                          <w:rPr>
                            <w:lang w:val="zh-CN"/>
                          </w:rPr>
                          <w:t>32</w:t>
                        </w:r>
                        <w:r>
                          <w:fldChar w:fldCharType="end"/>
                        </w:r>
                      </w:p>
                    </w:sdtContent>
                  </w:sdt>
                  <w:p w14:paraId="4BD1974B"/>
                </w:txbxContent>
              </v:textbox>
            </v:shape>
          </w:pict>
        </mc:Fallback>
      </mc:AlternateContent>
    </w:r>
  </w:p>
  <w:p w14:paraId="5ECA2D99">
    <w:pPr>
      <w:pStyle w:val="22"/>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D0E1EE">
    <w:pPr>
      <w:pStyle w:val="22"/>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5FF00A">
    <w:pPr>
      <w:pStyle w:val="22"/>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99B91D">
                          <w:pPr>
                            <w:pStyle w:val="22"/>
                            <w:jc w:val="center"/>
                          </w:pPr>
                          <w:r>
                            <w:fldChar w:fldCharType="begin"/>
                          </w:r>
                          <w:r>
                            <w:instrText xml:space="preserve"> PAGE   \* MERGEFORMAT </w:instrText>
                          </w:r>
                          <w:r>
                            <w:fldChar w:fldCharType="separate"/>
                          </w:r>
                          <w:r>
                            <w:rPr>
                              <w:lang w:val="zh-CN"/>
                            </w:rPr>
                            <w:t>95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4699B91D">
                    <w:pPr>
                      <w:pStyle w:val="22"/>
                      <w:jc w:val="center"/>
                    </w:pPr>
                    <w:r>
                      <w:fldChar w:fldCharType="begin"/>
                    </w:r>
                    <w:r>
                      <w:instrText xml:space="preserve"> PAGE   \* MERGEFORMAT </w:instrText>
                    </w:r>
                    <w:r>
                      <w:fldChar w:fldCharType="separate"/>
                    </w:r>
                    <w:r>
                      <w:rPr>
                        <w:lang w:val="zh-CN"/>
                      </w:rPr>
                      <w:t>95</w:t>
                    </w:r>
                    <w:r>
                      <w:fldChar w:fldCharType="end"/>
                    </w:r>
                  </w:p>
                </w:txbxContent>
              </v:textbox>
            </v:shape>
          </w:pict>
        </mc:Fallback>
      </mc:AlternateContent>
    </w:r>
  </w:p>
  <w:p w14:paraId="56568882">
    <w:pPr>
      <w:pStyle w:val="22"/>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B7C2DF">
    <w:pPr>
      <w:pStyle w:val="22"/>
      <w:framePr w:wrap="around" w:vAnchor="text" w:hAnchor="margin" w:xAlign="center" w:y="1"/>
      <w:rPr>
        <w:rStyle w:val="37"/>
      </w:rPr>
    </w:pPr>
    <w:r>
      <w:fldChar w:fldCharType="begin"/>
    </w:r>
    <w:r>
      <w:rPr>
        <w:rStyle w:val="37"/>
      </w:rPr>
      <w:instrText xml:space="preserve">PAGE  </w:instrText>
    </w:r>
    <w:r>
      <w:fldChar w:fldCharType="end"/>
    </w:r>
  </w:p>
  <w:p w14:paraId="4D598B9B">
    <w:pPr>
      <w:pStyle w:val="22"/>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CE39CC">
    <w:pPr>
      <w:pStyle w:val="22"/>
      <w:framePr w:wrap="around" w:vAnchor="text" w:hAnchor="margin" w:xAlign="right" w:y="1"/>
      <w:rPr>
        <w:rStyle w:val="37"/>
      </w:rPr>
    </w:pPr>
    <w:r>
      <w:fldChar w:fldCharType="begin"/>
    </w:r>
    <w:r>
      <w:rPr>
        <w:rStyle w:val="37"/>
      </w:rPr>
      <w:instrText xml:space="preserve">PAGE  </w:instrText>
    </w:r>
    <w:r>
      <w:fldChar w:fldCharType="separate"/>
    </w:r>
    <w:r>
      <w:rPr>
        <w:rStyle w:val="37"/>
      </w:rPr>
      <w:t>122</w:t>
    </w:r>
    <w:r>
      <w:fldChar w:fldCharType="end"/>
    </w:r>
  </w:p>
  <w:p w14:paraId="4F247041">
    <w:pPr>
      <w:pStyle w:val="22"/>
      <w:ind w:right="360"/>
      <w:jc w:val="both"/>
    </w:pPr>
    <w:r>
      <w:rPr>
        <w:rFonts w:hint="eastAsia"/>
      </w:rPr>
      <w:t>121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B22F7C">
    <w:pPr>
      <w:pStyle w:val="22"/>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55671"/>
                          </w:sdtPr>
                          <w:sdtContent>
                            <w:p w14:paraId="7CC67115">
                              <w:pPr>
                                <w:pStyle w:val="22"/>
                                <w:jc w:val="center"/>
                              </w:pPr>
                              <w:r>
                                <w:fldChar w:fldCharType="begin"/>
                              </w:r>
                              <w:r>
                                <w:instrText xml:space="preserve">PAGE   \* MERGEFORMAT</w:instrText>
                              </w:r>
                              <w:r>
                                <w:fldChar w:fldCharType="separate"/>
                              </w:r>
                              <w:r>
                                <w:rPr>
                                  <w:lang w:val="zh-CN"/>
                                </w:rPr>
                                <w:t>32</w:t>
                              </w:r>
                              <w:r>
                                <w:fldChar w:fldCharType="end"/>
                              </w:r>
                            </w:p>
                          </w:sdtContent>
                        </w:sdt>
                        <w:p w14:paraId="375C9FC7"/>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sdt>
                    <w:sdtPr>
                      <w:id w:val="147455671"/>
                    </w:sdtPr>
                    <w:sdtContent>
                      <w:p w14:paraId="7CC67115">
                        <w:pPr>
                          <w:pStyle w:val="22"/>
                          <w:jc w:val="center"/>
                        </w:pPr>
                        <w:r>
                          <w:fldChar w:fldCharType="begin"/>
                        </w:r>
                        <w:r>
                          <w:instrText xml:space="preserve">PAGE   \* MERGEFORMAT</w:instrText>
                        </w:r>
                        <w:r>
                          <w:fldChar w:fldCharType="separate"/>
                        </w:r>
                        <w:r>
                          <w:rPr>
                            <w:lang w:val="zh-CN"/>
                          </w:rPr>
                          <w:t>32</w:t>
                        </w:r>
                        <w:r>
                          <w:fldChar w:fldCharType="end"/>
                        </w:r>
                      </w:p>
                    </w:sdtContent>
                  </w:sdt>
                  <w:p w14:paraId="375C9FC7"/>
                </w:txbxContent>
              </v:textbox>
            </v:shape>
          </w:pict>
        </mc:Fallback>
      </mc:AlternateContent>
    </w:r>
  </w:p>
  <w:p w14:paraId="49B4A4EE">
    <w:pPr>
      <w:pStyle w:val="22"/>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F7D4AA">
    <w:pPr>
      <w:pStyle w:val="22"/>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1133FF">
    <w:pPr>
      <w:pStyle w:val="22"/>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76140"/>
                          </w:sdtPr>
                          <w:sdtContent>
                            <w:p w14:paraId="3DE7035B">
                              <w:pPr>
                                <w:pStyle w:val="22"/>
                                <w:jc w:val="center"/>
                              </w:pPr>
                              <w:r>
                                <w:fldChar w:fldCharType="begin"/>
                              </w:r>
                              <w:r>
                                <w:instrText xml:space="preserve">PAGE   \* MERGEFORMAT</w:instrText>
                              </w:r>
                              <w:r>
                                <w:fldChar w:fldCharType="separate"/>
                              </w:r>
                              <w:r>
                                <w:rPr>
                                  <w:lang w:val="zh-CN"/>
                                </w:rPr>
                                <w:t>32</w:t>
                              </w:r>
                              <w:r>
                                <w:fldChar w:fldCharType="end"/>
                              </w:r>
                            </w:p>
                          </w:sdtContent>
                        </w:sdt>
                        <w:p w14:paraId="2218149D"/>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sdt>
                    <w:sdtPr>
                      <w:id w:val="147476140"/>
                    </w:sdtPr>
                    <w:sdtContent>
                      <w:p w14:paraId="3DE7035B">
                        <w:pPr>
                          <w:pStyle w:val="22"/>
                          <w:jc w:val="center"/>
                        </w:pPr>
                        <w:r>
                          <w:fldChar w:fldCharType="begin"/>
                        </w:r>
                        <w:r>
                          <w:instrText xml:space="preserve">PAGE   \* MERGEFORMAT</w:instrText>
                        </w:r>
                        <w:r>
                          <w:fldChar w:fldCharType="separate"/>
                        </w:r>
                        <w:r>
                          <w:rPr>
                            <w:lang w:val="zh-CN"/>
                          </w:rPr>
                          <w:t>32</w:t>
                        </w:r>
                        <w:r>
                          <w:fldChar w:fldCharType="end"/>
                        </w:r>
                      </w:p>
                    </w:sdtContent>
                  </w:sdt>
                  <w:p w14:paraId="2218149D"/>
                </w:txbxContent>
              </v:textbox>
            </v:shape>
          </w:pict>
        </mc:Fallback>
      </mc:AlternateContent>
    </w:r>
  </w:p>
  <w:p w14:paraId="2D1EB23D">
    <w:pPr>
      <w:pStyle w:val="22"/>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D6286A">
    <w:pPr>
      <w:pStyle w:val="22"/>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D0EEAE">
    <w:pPr>
      <w:pStyle w:val="22"/>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5ACBED">
                          <w:pPr>
                            <w:pStyle w:val="22"/>
                            <w:jc w:val="center"/>
                          </w:pPr>
                          <w:r>
                            <w:fldChar w:fldCharType="begin"/>
                          </w:r>
                          <w:r>
                            <w:instrText xml:space="preserve"> PAGE   \* MERGEFORMAT </w:instrText>
                          </w:r>
                          <w:r>
                            <w:fldChar w:fldCharType="separate"/>
                          </w:r>
                          <w:r>
                            <w:rPr>
                              <w:lang w:val="zh-CN"/>
                            </w:rPr>
                            <w:t>95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635ACBED">
                    <w:pPr>
                      <w:pStyle w:val="22"/>
                      <w:jc w:val="center"/>
                    </w:pPr>
                    <w:r>
                      <w:fldChar w:fldCharType="begin"/>
                    </w:r>
                    <w:r>
                      <w:instrText xml:space="preserve"> PAGE   \* MERGEFORMAT </w:instrText>
                    </w:r>
                    <w:r>
                      <w:fldChar w:fldCharType="separate"/>
                    </w:r>
                    <w:r>
                      <w:rPr>
                        <w:lang w:val="zh-CN"/>
                      </w:rPr>
                      <w:t>95</w:t>
                    </w:r>
                    <w:r>
                      <w:fldChar w:fldCharType="end"/>
                    </w:r>
                  </w:p>
                </w:txbxContent>
              </v:textbox>
            </v:shape>
          </w:pict>
        </mc:Fallback>
      </mc:AlternateContent>
    </w:r>
  </w:p>
  <w:p w14:paraId="0DB9DB20">
    <w:pPr>
      <w:pStyle w:val="22"/>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82B9DC">
    <w:pPr>
      <w:pStyle w:val="22"/>
      <w:framePr w:wrap="around" w:vAnchor="text" w:hAnchor="margin" w:xAlign="center" w:y="1"/>
      <w:rPr>
        <w:rStyle w:val="37"/>
      </w:rPr>
    </w:pPr>
    <w:r>
      <w:fldChar w:fldCharType="begin"/>
    </w:r>
    <w:r>
      <w:rPr>
        <w:rStyle w:val="37"/>
      </w:rPr>
      <w:instrText xml:space="preserve">PAGE  </w:instrText>
    </w:r>
    <w:r>
      <w:fldChar w:fldCharType="end"/>
    </w:r>
  </w:p>
  <w:p w14:paraId="5FB126EF">
    <w:pPr>
      <w:pStyle w:val="22"/>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BD29AB">
    <w:pPr>
      <w:pStyle w:val="22"/>
      <w:framePr w:wrap="around" w:vAnchor="text" w:hAnchor="margin" w:xAlign="right" w:y="1"/>
      <w:rPr>
        <w:rStyle w:val="37"/>
      </w:rPr>
    </w:pPr>
    <w:r>
      <w:fldChar w:fldCharType="begin"/>
    </w:r>
    <w:r>
      <w:rPr>
        <w:rStyle w:val="37"/>
      </w:rPr>
      <w:instrText xml:space="preserve">PAGE  </w:instrText>
    </w:r>
    <w:r>
      <w:fldChar w:fldCharType="separate"/>
    </w:r>
    <w:r>
      <w:rPr>
        <w:rStyle w:val="37"/>
      </w:rPr>
      <w:t>122</w:t>
    </w:r>
    <w:r>
      <w:fldChar w:fldCharType="end"/>
    </w:r>
  </w:p>
  <w:p w14:paraId="54740C4D">
    <w:pPr>
      <w:pStyle w:val="22"/>
      <w:ind w:right="360"/>
      <w:jc w:val="both"/>
    </w:pPr>
    <w:r>
      <w:rPr>
        <w:rFonts w:hint="eastAsia"/>
      </w:rPr>
      <w:t>121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79AC43">
    <w:pPr>
      <w:pStyle w:val="22"/>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9616C7">
                          <w:pPr>
                            <w:pStyle w:val="22"/>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059616C7">
                    <w:pPr>
                      <w:pStyle w:val="22"/>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00F90F">
    <w:pPr>
      <w:pStyle w:val="22"/>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E68C99">
                          <w:pPr>
                            <w:pStyle w:val="22"/>
                            <w:jc w:val="center"/>
                          </w:pPr>
                          <w:r>
                            <w:fldChar w:fldCharType="begin"/>
                          </w:r>
                          <w:r>
                            <w:instrText xml:space="preserve"> PAGE   \* MERGEFORMAT </w:instrText>
                          </w:r>
                          <w:r>
                            <w:fldChar w:fldCharType="separate"/>
                          </w:r>
                          <w:r>
                            <w:rPr>
                              <w:lang w:val="zh-CN"/>
                            </w:rPr>
                            <w:t>95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2E68C99">
                    <w:pPr>
                      <w:pStyle w:val="22"/>
                      <w:jc w:val="center"/>
                    </w:pPr>
                    <w:r>
                      <w:fldChar w:fldCharType="begin"/>
                    </w:r>
                    <w:r>
                      <w:instrText xml:space="preserve"> PAGE   \* MERGEFORMAT </w:instrText>
                    </w:r>
                    <w:r>
                      <w:fldChar w:fldCharType="separate"/>
                    </w:r>
                    <w:r>
                      <w:rPr>
                        <w:lang w:val="zh-CN"/>
                      </w:rPr>
                      <w:t>95</w:t>
                    </w:r>
                    <w:r>
                      <w:fldChar w:fldCharType="end"/>
                    </w:r>
                  </w:p>
                </w:txbxContent>
              </v:textbox>
            </v:shape>
          </w:pict>
        </mc:Fallback>
      </mc:AlternateContent>
    </w:r>
  </w:p>
  <w:p w14:paraId="16F52662">
    <w:pPr>
      <w:pStyle w:val="2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EC9F4C">
    <w:pPr>
      <w:pStyle w:val="22"/>
      <w:framePr w:wrap="around" w:vAnchor="text" w:hAnchor="margin" w:xAlign="center" w:y="1"/>
      <w:rPr>
        <w:rStyle w:val="37"/>
      </w:rPr>
    </w:pPr>
    <w:r>
      <w:fldChar w:fldCharType="begin"/>
    </w:r>
    <w:r>
      <w:rPr>
        <w:rStyle w:val="37"/>
      </w:rPr>
      <w:instrText xml:space="preserve">PAGE  </w:instrText>
    </w:r>
    <w:r>
      <w:fldChar w:fldCharType="end"/>
    </w:r>
  </w:p>
  <w:p w14:paraId="795BE0E2">
    <w:pPr>
      <w:pStyle w:val="22"/>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68DCD6">
    <w:pPr>
      <w:pStyle w:val="22"/>
      <w:framePr w:wrap="around" w:vAnchor="text" w:hAnchor="margin" w:xAlign="right" w:y="1"/>
      <w:rPr>
        <w:rStyle w:val="37"/>
      </w:rPr>
    </w:pPr>
    <w:r>
      <w:fldChar w:fldCharType="begin"/>
    </w:r>
    <w:r>
      <w:rPr>
        <w:rStyle w:val="37"/>
      </w:rPr>
      <w:instrText xml:space="preserve">PAGE  </w:instrText>
    </w:r>
    <w:r>
      <w:fldChar w:fldCharType="separate"/>
    </w:r>
    <w:r>
      <w:rPr>
        <w:rStyle w:val="37"/>
      </w:rPr>
      <w:t>122</w:t>
    </w:r>
    <w:r>
      <w:fldChar w:fldCharType="end"/>
    </w:r>
  </w:p>
  <w:p w14:paraId="14E3173C">
    <w:pPr>
      <w:pStyle w:val="22"/>
      <w:ind w:right="360"/>
      <w:jc w:val="both"/>
    </w:pPr>
    <w:r>
      <w:rPr>
        <w:rFonts w:hint="eastAsia"/>
      </w:rPr>
      <w:t>121</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751AC9">
    <w:pPr>
      <w:pStyle w:val="22"/>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EDDB3D">
                          <w:pPr>
                            <w:pStyle w:val="22"/>
                            <w:jc w:val="center"/>
                          </w:pPr>
                          <w:r>
                            <w:fldChar w:fldCharType="begin"/>
                          </w:r>
                          <w:r>
                            <w:instrText xml:space="preserve"> PAGE   \* MERGEFORMAT </w:instrText>
                          </w:r>
                          <w:r>
                            <w:fldChar w:fldCharType="separate"/>
                          </w:r>
                          <w:r>
                            <w:rPr>
                              <w:lang w:val="zh-CN"/>
                            </w:rPr>
                            <w:t>95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4DEDDB3D">
                    <w:pPr>
                      <w:pStyle w:val="22"/>
                      <w:jc w:val="center"/>
                    </w:pPr>
                    <w:r>
                      <w:fldChar w:fldCharType="begin"/>
                    </w:r>
                    <w:r>
                      <w:instrText xml:space="preserve"> PAGE   \* MERGEFORMAT </w:instrText>
                    </w:r>
                    <w:r>
                      <w:fldChar w:fldCharType="separate"/>
                    </w:r>
                    <w:r>
                      <w:rPr>
                        <w:lang w:val="zh-CN"/>
                      </w:rPr>
                      <w:t>95</w:t>
                    </w:r>
                    <w:r>
                      <w:fldChar w:fldCharType="end"/>
                    </w:r>
                  </w:p>
                </w:txbxContent>
              </v:textbox>
            </v:shape>
          </w:pict>
        </mc:Fallback>
      </mc:AlternateContent>
    </w:r>
  </w:p>
  <w:p w14:paraId="155D55B6">
    <w:pPr>
      <w:pStyle w:val="22"/>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7CD073">
    <w:pPr>
      <w:pStyle w:val="22"/>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C61309">
    <w:pPr>
      <w:pStyle w:val="22"/>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75797"/>
                          </w:sdtPr>
                          <w:sdtContent>
                            <w:p w14:paraId="47999AA9">
                              <w:pPr>
                                <w:pStyle w:val="22"/>
                                <w:jc w:val="center"/>
                              </w:pPr>
                              <w:r>
                                <w:fldChar w:fldCharType="begin"/>
                              </w:r>
                              <w:r>
                                <w:instrText xml:space="preserve">PAGE   \* MERGEFORMAT</w:instrText>
                              </w:r>
                              <w:r>
                                <w:fldChar w:fldCharType="separate"/>
                              </w:r>
                              <w:r>
                                <w:rPr>
                                  <w:lang w:val="zh-CN"/>
                                </w:rPr>
                                <w:t>32</w:t>
                              </w:r>
                              <w:r>
                                <w:fldChar w:fldCharType="end"/>
                              </w:r>
                            </w:p>
                          </w:sdtContent>
                        </w:sdt>
                        <w:p w14:paraId="55E99DC6"/>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sdt>
                    <w:sdtPr>
                      <w:id w:val="147475797"/>
                    </w:sdtPr>
                    <w:sdtContent>
                      <w:p w14:paraId="47999AA9">
                        <w:pPr>
                          <w:pStyle w:val="22"/>
                          <w:jc w:val="center"/>
                        </w:pPr>
                        <w:r>
                          <w:fldChar w:fldCharType="begin"/>
                        </w:r>
                        <w:r>
                          <w:instrText xml:space="preserve">PAGE   \* MERGEFORMAT</w:instrText>
                        </w:r>
                        <w:r>
                          <w:fldChar w:fldCharType="separate"/>
                        </w:r>
                        <w:r>
                          <w:rPr>
                            <w:lang w:val="zh-CN"/>
                          </w:rPr>
                          <w:t>32</w:t>
                        </w:r>
                        <w:r>
                          <w:fldChar w:fldCharType="end"/>
                        </w:r>
                      </w:p>
                    </w:sdtContent>
                  </w:sdt>
                  <w:p w14:paraId="55E99DC6"/>
                </w:txbxContent>
              </v:textbox>
            </v:shape>
          </w:pict>
        </mc:Fallback>
      </mc:AlternateContent>
    </w:r>
  </w:p>
  <w:p w14:paraId="76D0EF8E">
    <w:pPr>
      <w:pStyle w:val="2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779772">
    <w:pPr>
      <w:pStyle w:val="23"/>
      <w:tabs>
        <w:tab w:val="left" w:pos="9498"/>
      </w:tabs>
      <w:ind w:right="-1"/>
      <w:jc w:val="both"/>
      <w:rPr>
        <w:rFonts w:hint="default" w:eastAsia="宋体"/>
        <w:lang w:val="en-US" w:eastAsia="zh-CN"/>
      </w:rPr>
    </w:pPr>
    <w:r>
      <w:rPr>
        <w:rFonts w:hint="eastAsia" w:ascii="宋体" w:hAnsi="宋体"/>
        <w:color w:val="000000"/>
        <w:szCs w:val="21"/>
      </w:rPr>
      <w:t>新疆</w:t>
    </w:r>
    <w:r>
      <w:rPr>
        <w:rFonts w:hint="eastAsia" w:ascii="宋体" w:hAnsi="宋体"/>
        <w:color w:val="000000"/>
        <w:szCs w:val="21"/>
        <w:lang w:eastAsia="zh-CN"/>
      </w:rPr>
      <w:t>诚誉</w:t>
    </w:r>
    <w:r>
      <w:rPr>
        <w:rFonts w:hint="eastAsia" w:ascii="宋体" w:hAnsi="宋体"/>
        <w:color w:val="000000"/>
        <w:szCs w:val="21"/>
      </w:rPr>
      <w:t xml:space="preserve">工程项目管理有限公司                                         </w:t>
    </w:r>
    <w:r>
      <w:rPr>
        <w:rFonts w:hint="eastAsia" w:ascii="宋体" w:hAnsi="宋体"/>
        <w:color w:val="000000"/>
        <w:szCs w:val="21"/>
        <w:lang w:val="en-US" w:eastAsia="zh-CN"/>
      </w:rPr>
      <w:t xml:space="preserve">          </w:t>
    </w:r>
    <w:r>
      <w:rPr>
        <w:rFonts w:hint="eastAsia" w:ascii="宋体" w:hAnsi="宋体"/>
        <w:color w:val="000000"/>
        <w:szCs w:val="21"/>
      </w:rPr>
      <w:t xml:space="preserve"> 联系电话：0902-</w:t>
    </w:r>
    <w:r>
      <w:rPr>
        <w:rFonts w:hint="eastAsia" w:ascii="宋体" w:hAnsi="宋体"/>
        <w:color w:val="000000"/>
        <w:szCs w:val="21"/>
        <w:lang w:val="en-US" w:eastAsia="zh-CN"/>
      </w:rPr>
      <w:t>2307055</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A61C02">
    <w:pPr>
      <w:pStyle w:val="23"/>
      <w:tabs>
        <w:tab w:val="center" w:pos="0"/>
        <w:tab w:val="clear" w:pos="4153"/>
      </w:tabs>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B3BF70">
    <w:pPr>
      <w:pStyle w:val="23"/>
      <w:tabs>
        <w:tab w:val="left" w:pos="9498"/>
      </w:tabs>
      <w:ind w:right="-1"/>
      <w:jc w:val="both"/>
      <w:rPr>
        <w:rFonts w:hint="default" w:eastAsia="宋体"/>
        <w:lang w:val="en-US" w:eastAsia="zh-CN"/>
      </w:rPr>
    </w:pPr>
    <w:r>
      <w:rPr>
        <w:rFonts w:hint="eastAsia" w:ascii="宋体" w:hAnsi="宋体"/>
        <w:color w:val="000000"/>
        <w:szCs w:val="21"/>
      </w:rPr>
      <w:t>新疆</w:t>
    </w:r>
    <w:r>
      <w:rPr>
        <w:rFonts w:hint="eastAsia" w:ascii="宋体" w:hAnsi="宋体"/>
        <w:color w:val="000000"/>
        <w:szCs w:val="21"/>
        <w:lang w:eastAsia="zh-CN"/>
      </w:rPr>
      <w:t>诚誉</w:t>
    </w:r>
    <w:r>
      <w:rPr>
        <w:rFonts w:hint="eastAsia" w:ascii="宋体" w:hAnsi="宋体"/>
        <w:color w:val="000000"/>
        <w:szCs w:val="21"/>
      </w:rPr>
      <w:t xml:space="preserve">工程项目管理有限公司                                         </w:t>
    </w:r>
    <w:r>
      <w:rPr>
        <w:rFonts w:hint="eastAsia" w:ascii="宋体" w:hAnsi="宋体"/>
        <w:color w:val="000000"/>
        <w:szCs w:val="21"/>
        <w:lang w:val="en-US" w:eastAsia="zh-CN"/>
      </w:rPr>
      <w:t xml:space="preserve">          </w:t>
    </w:r>
    <w:r>
      <w:rPr>
        <w:rFonts w:hint="eastAsia" w:ascii="宋体" w:hAnsi="宋体"/>
        <w:color w:val="000000"/>
        <w:szCs w:val="21"/>
      </w:rPr>
      <w:t xml:space="preserve"> 联系电话：0902-</w:t>
    </w:r>
    <w:r>
      <w:rPr>
        <w:rFonts w:hint="eastAsia" w:ascii="宋体" w:hAnsi="宋体"/>
        <w:color w:val="000000"/>
        <w:szCs w:val="21"/>
        <w:lang w:val="en-US" w:eastAsia="zh-CN"/>
      </w:rPr>
      <w:t>2307055</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B3BD3F">
    <w:pPr>
      <w:pStyle w:val="23"/>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8CA1E1">
    <w:pPr>
      <w:pBdr>
        <w:bottom w:val="single" w:color="auto" w:sz="6" w:space="1"/>
      </w:pBdr>
      <w:tabs>
        <w:tab w:val="center" w:pos="4153"/>
        <w:tab w:val="right" w:pos="8306"/>
      </w:tabs>
      <w:snapToGrid w:val="0"/>
      <w:ind w:firstLine="180" w:firstLineChars="100"/>
      <w:rPr>
        <w:rFonts w:hint="eastAsia" w:eastAsia="宋体"/>
        <w:lang w:eastAsia="zh-CN"/>
      </w:rPr>
    </w:pPr>
    <w:r>
      <w:rPr>
        <w:rFonts w:hint="eastAsia"/>
        <w:iCs/>
        <w:sz w:val="18"/>
        <w:szCs w:val="18"/>
        <w:lang w:eastAsia="zh-CN"/>
      </w:rPr>
      <w:t>新疆诚誉工程项目管理有限公司</w:t>
    </w:r>
    <w:r>
      <w:rPr>
        <w:rFonts w:hint="eastAsia"/>
        <w:iCs/>
        <w:sz w:val="18"/>
        <w:szCs w:val="18"/>
      </w:rPr>
      <w:t xml:space="preserve">                                                     联系电话：</w:t>
    </w:r>
    <w:r>
      <w:rPr>
        <w:rFonts w:hint="eastAsia"/>
        <w:iCs/>
        <w:sz w:val="18"/>
        <w:szCs w:val="18"/>
        <w:lang w:eastAsia="zh-CN"/>
      </w:rPr>
      <w:t>0902-2307055</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7A7047">
    <w:pPr>
      <w:pBdr>
        <w:bottom w:val="single" w:color="auto" w:sz="6" w:space="1"/>
      </w:pBdr>
      <w:tabs>
        <w:tab w:val="center" w:pos="4153"/>
        <w:tab w:val="right" w:pos="8306"/>
      </w:tabs>
      <w:snapToGrid w:val="0"/>
      <w:ind w:firstLine="180" w:firstLineChars="100"/>
      <w:rPr>
        <w:rFonts w:hint="eastAsia" w:eastAsia="宋体"/>
        <w:lang w:eastAsia="zh-CN"/>
      </w:rPr>
    </w:pPr>
    <w:r>
      <w:rPr>
        <w:rFonts w:hint="eastAsia"/>
        <w:iCs/>
        <w:sz w:val="18"/>
        <w:szCs w:val="18"/>
        <w:lang w:eastAsia="zh-CN"/>
      </w:rPr>
      <w:t>新疆诚誉工程项目管理有限公司</w:t>
    </w:r>
    <w:r>
      <w:rPr>
        <w:rFonts w:hint="eastAsia"/>
        <w:iCs/>
        <w:sz w:val="18"/>
        <w:szCs w:val="18"/>
      </w:rPr>
      <w:t xml:space="preserve">                                                     联系电话：</w:t>
    </w:r>
    <w:r>
      <w:rPr>
        <w:rFonts w:hint="eastAsia"/>
        <w:iCs/>
        <w:sz w:val="18"/>
        <w:szCs w:val="18"/>
        <w:lang w:eastAsia="zh-CN"/>
      </w:rPr>
      <w:t>0902-2307055</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6249E9">
    <w:pPr>
      <w:pStyle w:val="23"/>
      <w:tabs>
        <w:tab w:val="center" w:pos="0"/>
        <w:tab w:val="clear" w:pos="4153"/>
      </w:tabs>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28BA61">
    <w:pPr>
      <w:pStyle w:val="23"/>
      <w:tabs>
        <w:tab w:val="left" w:pos="9498"/>
      </w:tabs>
      <w:ind w:right="-1"/>
      <w:jc w:val="both"/>
      <w:rPr>
        <w:rFonts w:hint="default" w:eastAsia="宋体"/>
        <w:lang w:val="en-US" w:eastAsia="zh-CN"/>
      </w:rPr>
    </w:pPr>
    <w:r>
      <w:rPr>
        <w:rFonts w:hint="eastAsia" w:ascii="宋体" w:hAnsi="宋体"/>
        <w:color w:val="000000"/>
        <w:szCs w:val="21"/>
      </w:rPr>
      <w:t>新疆</w:t>
    </w:r>
    <w:r>
      <w:rPr>
        <w:rFonts w:hint="eastAsia" w:ascii="宋体" w:hAnsi="宋体"/>
        <w:color w:val="000000"/>
        <w:szCs w:val="21"/>
        <w:lang w:eastAsia="zh-CN"/>
      </w:rPr>
      <w:t>诚誉</w:t>
    </w:r>
    <w:r>
      <w:rPr>
        <w:rFonts w:hint="eastAsia" w:ascii="宋体" w:hAnsi="宋体"/>
        <w:color w:val="000000"/>
        <w:szCs w:val="21"/>
      </w:rPr>
      <w:t xml:space="preserve">工程项目管理有限公司                                         </w:t>
    </w:r>
    <w:r>
      <w:rPr>
        <w:rFonts w:hint="eastAsia" w:ascii="宋体" w:hAnsi="宋体"/>
        <w:color w:val="000000"/>
        <w:szCs w:val="21"/>
        <w:lang w:val="en-US" w:eastAsia="zh-CN"/>
      </w:rPr>
      <w:t xml:space="preserve">          </w:t>
    </w:r>
    <w:r>
      <w:rPr>
        <w:rFonts w:hint="eastAsia" w:ascii="宋体" w:hAnsi="宋体"/>
        <w:color w:val="000000"/>
        <w:szCs w:val="21"/>
      </w:rPr>
      <w:t xml:space="preserve"> 联系电话：0902-</w:t>
    </w:r>
    <w:r>
      <w:rPr>
        <w:rFonts w:hint="eastAsia" w:ascii="宋体" w:hAnsi="宋体"/>
        <w:color w:val="000000"/>
        <w:szCs w:val="21"/>
        <w:lang w:val="en-US" w:eastAsia="zh-CN"/>
      </w:rPr>
      <w:t>2307055</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41A5CD">
    <w:pPr>
      <w:pStyle w:val="23"/>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CFDD50">
    <w:pPr>
      <w:pBdr>
        <w:bottom w:val="single" w:color="auto" w:sz="6" w:space="1"/>
      </w:pBdr>
      <w:tabs>
        <w:tab w:val="center" w:pos="4153"/>
        <w:tab w:val="right" w:pos="8306"/>
      </w:tabs>
      <w:snapToGrid w:val="0"/>
      <w:ind w:firstLine="180" w:firstLineChars="100"/>
      <w:rPr>
        <w:rFonts w:hint="eastAsia" w:eastAsia="宋体"/>
        <w:lang w:eastAsia="zh-CN"/>
      </w:rPr>
    </w:pPr>
    <w:r>
      <w:rPr>
        <w:rFonts w:hint="eastAsia"/>
        <w:iCs/>
        <w:sz w:val="18"/>
        <w:szCs w:val="18"/>
        <w:lang w:eastAsia="zh-CN"/>
      </w:rPr>
      <w:t>新疆诚誉工程项目管理有限公司</w:t>
    </w:r>
    <w:r>
      <w:rPr>
        <w:rFonts w:hint="eastAsia"/>
        <w:iCs/>
        <w:sz w:val="18"/>
        <w:szCs w:val="18"/>
      </w:rPr>
      <w:t xml:space="preserve">                                                     联系电话：</w:t>
    </w:r>
    <w:r>
      <w:rPr>
        <w:rFonts w:hint="eastAsia"/>
        <w:iCs/>
        <w:sz w:val="18"/>
        <w:szCs w:val="18"/>
        <w:lang w:eastAsia="zh-CN"/>
      </w:rPr>
      <w:t>0902-2307055</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6B8B44">
    <w:pPr>
      <w:pBdr>
        <w:bottom w:val="single" w:color="auto" w:sz="6" w:space="1"/>
      </w:pBdr>
      <w:tabs>
        <w:tab w:val="center" w:pos="4153"/>
        <w:tab w:val="right" w:pos="8306"/>
      </w:tabs>
      <w:snapToGrid w:val="0"/>
      <w:ind w:firstLine="180" w:firstLineChars="100"/>
      <w:rPr>
        <w:rFonts w:hint="eastAsia" w:eastAsia="宋体"/>
        <w:lang w:eastAsia="zh-CN"/>
      </w:rPr>
    </w:pPr>
    <w:r>
      <w:rPr>
        <w:rFonts w:hint="eastAsia"/>
        <w:iCs/>
        <w:sz w:val="18"/>
        <w:szCs w:val="18"/>
        <w:lang w:eastAsia="zh-CN"/>
      </w:rPr>
      <w:t>新疆诚誉工程项目管理有限公司</w:t>
    </w:r>
    <w:r>
      <w:rPr>
        <w:rFonts w:hint="eastAsia"/>
        <w:iCs/>
        <w:sz w:val="18"/>
        <w:szCs w:val="18"/>
      </w:rPr>
      <w:t xml:space="preserve">                                                     联系电话：</w:t>
    </w:r>
    <w:r>
      <w:rPr>
        <w:rFonts w:hint="eastAsia"/>
        <w:iCs/>
        <w:sz w:val="18"/>
        <w:szCs w:val="18"/>
        <w:lang w:eastAsia="zh-CN"/>
      </w:rPr>
      <w:t>0902-2307055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7934F">
    <w:pPr>
      <w:pStyle w:val="23"/>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32D4C2">
    <w:pPr>
      <w:pStyle w:val="23"/>
      <w:tabs>
        <w:tab w:val="center" w:pos="0"/>
        <w:tab w:val="clear" w:pos="4153"/>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B33E8F">
    <w:pPr>
      <w:pBdr>
        <w:bottom w:val="single" w:color="auto" w:sz="6" w:space="1"/>
      </w:pBdr>
      <w:tabs>
        <w:tab w:val="center" w:pos="4153"/>
        <w:tab w:val="right" w:pos="8306"/>
      </w:tabs>
      <w:snapToGrid w:val="0"/>
      <w:ind w:firstLine="180" w:firstLineChars="100"/>
      <w:rPr>
        <w:rFonts w:hint="eastAsia" w:eastAsia="宋体"/>
        <w:lang w:eastAsia="zh-CN"/>
      </w:rPr>
    </w:pPr>
    <w:r>
      <w:rPr>
        <w:rFonts w:hint="eastAsia"/>
        <w:iCs/>
        <w:sz w:val="18"/>
        <w:szCs w:val="18"/>
        <w:lang w:eastAsia="zh-CN"/>
      </w:rPr>
      <w:t>新疆诚誉工程项目管理有限公司</w:t>
    </w:r>
    <w:r>
      <w:rPr>
        <w:rFonts w:hint="eastAsia"/>
        <w:iCs/>
        <w:sz w:val="18"/>
        <w:szCs w:val="18"/>
      </w:rPr>
      <w:t xml:space="preserve">                                                     联系电话：</w:t>
    </w:r>
    <w:r>
      <w:rPr>
        <w:rFonts w:hint="eastAsia"/>
        <w:iCs/>
        <w:sz w:val="18"/>
        <w:szCs w:val="18"/>
        <w:lang w:eastAsia="zh-CN"/>
      </w:rPr>
      <w:t>0902-2307055</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F343C6">
    <w:pPr>
      <w:pBdr>
        <w:bottom w:val="single" w:color="auto" w:sz="6" w:space="1"/>
      </w:pBdr>
      <w:tabs>
        <w:tab w:val="center" w:pos="4153"/>
        <w:tab w:val="right" w:pos="8306"/>
      </w:tabs>
      <w:snapToGrid w:val="0"/>
      <w:ind w:firstLine="180" w:firstLineChars="100"/>
      <w:rPr>
        <w:rFonts w:hint="eastAsia" w:eastAsia="宋体"/>
        <w:lang w:eastAsia="zh-CN"/>
      </w:rPr>
    </w:pPr>
    <w:r>
      <w:rPr>
        <w:rFonts w:hint="eastAsia"/>
        <w:iCs/>
        <w:sz w:val="18"/>
        <w:szCs w:val="18"/>
        <w:lang w:eastAsia="zh-CN"/>
      </w:rPr>
      <w:t>新疆诚誉工程项目管理有限公司</w:t>
    </w:r>
    <w:r>
      <w:rPr>
        <w:rFonts w:hint="eastAsia"/>
        <w:iCs/>
        <w:sz w:val="18"/>
        <w:szCs w:val="18"/>
      </w:rPr>
      <w:t xml:space="preserve">                                                     联系电话：</w:t>
    </w:r>
    <w:r>
      <w:rPr>
        <w:rFonts w:hint="eastAsia"/>
        <w:iCs/>
        <w:sz w:val="18"/>
        <w:szCs w:val="18"/>
        <w:lang w:eastAsia="zh-CN"/>
      </w:rPr>
      <w:t>0902-2307055</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559156">
    <w:pPr>
      <w:pStyle w:val="23"/>
      <w:tabs>
        <w:tab w:val="center" w:pos="0"/>
        <w:tab w:val="clear" w:pos="4153"/>
      </w:tabs>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4CEE8A">
    <w:pPr>
      <w:pStyle w:val="23"/>
      <w:tabs>
        <w:tab w:val="left" w:pos="9498"/>
      </w:tabs>
      <w:ind w:right="-1"/>
      <w:jc w:val="both"/>
      <w:rPr>
        <w:rFonts w:hint="default" w:eastAsia="宋体"/>
        <w:lang w:val="en-US" w:eastAsia="zh-CN"/>
      </w:rPr>
    </w:pPr>
    <w:r>
      <w:rPr>
        <w:rFonts w:hint="eastAsia" w:ascii="宋体" w:hAnsi="宋体"/>
        <w:color w:val="000000"/>
        <w:szCs w:val="21"/>
      </w:rPr>
      <w:t>新疆</w:t>
    </w:r>
    <w:r>
      <w:rPr>
        <w:rFonts w:hint="eastAsia" w:ascii="宋体" w:hAnsi="宋体"/>
        <w:color w:val="000000"/>
        <w:szCs w:val="21"/>
        <w:lang w:eastAsia="zh-CN"/>
      </w:rPr>
      <w:t>诚誉</w:t>
    </w:r>
    <w:r>
      <w:rPr>
        <w:rFonts w:hint="eastAsia" w:ascii="宋体" w:hAnsi="宋体"/>
        <w:color w:val="000000"/>
        <w:szCs w:val="21"/>
      </w:rPr>
      <w:t xml:space="preserve">工程项目管理有限公司                                         </w:t>
    </w:r>
    <w:r>
      <w:rPr>
        <w:rFonts w:hint="eastAsia" w:ascii="宋体" w:hAnsi="宋体"/>
        <w:color w:val="000000"/>
        <w:szCs w:val="21"/>
        <w:lang w:val="en-US" w:eastAsia="zh-CN"/>
      </w:rPr>
      <w:t xml:space="preserve">          </w:t>
    </w:r>
    <w:r>
      <w:rPr>
        <w:rFonts w:hint="eastAsia" w:ascii="宋体" w:hAnsi="宋体"/>
        <w:color w:val="000000"/>
        <w:szCs w:val="21"/>
      </w:rPr>
      <w:t xml:space="preserve"> 联系电话：0902-</w:t>
    </w:r>
    <w:r>
      <w:rPr>
        <w:rFonts w:hint="eastAsia" w:ascii="宋体" w:hAnsi="宋体"/>
        <w:color w:val="000000"/>
        <w:szCs w:val="21"/>
        <w:lang w:val="en-US" w:eastAsia="zh-CN"/>
      </w:rPr>
      <w:t>2307055</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E8F55E">
    <w:pPr>
      <w:pStyle w:val="23"/>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9B67D0">
    <w:pPr>
      <w:pBdr>
        <w:bottom w:val="single" w:color="auto" w:sz="6" w:space="1"/>
      </w:pBdr>
      <w:tabs>
        <w:tab w:val="center" w:pos="4153"/>
        <w:tab w:val="right" w:pos="8306"/>
      </w:tabs>
      <w:snapToGrid w:val="0"/>
      <w:ind w:firstLine="180" w:firstLineChars="100"/>
      <w:rPr>
        <w:rFonts w:hint="eastAsia" w:eastAsia="宋体"/>
        <w:lang w:eastAsia="zh-CN"/>
      </w:rPr>
    </w:pPr>
    <w:r>
      <w:rPr>
        <w:rFonts w:hint="eastAsia"/>
        <w:iCs/>
        <w:sz w:val="18"/>
        <w:szCs w:val="18"/>
        <w:lang w:eastAsia="zh-CN"/>
      </w:rPr>
      <w:t>新疆诚誉工程项目管理有限公司</w:t>
    </w:r>
    <w:r>
      <w:rPr>
        <w:rFonts w:hint="eastAsia"/>
        <w:iCs/>
        <w:sz w:val="18"/>
        <w:szCs w:val="18"/>
      </w:rPr>
      <w:t xml:space="preserve">                                                     联系电话：</w:t>
    </w:r>
    <w:r>
      <w:rPr>
        <w:rFonts w:hint="eastAsia"/>
        <w:iCs/>
        <w:sz w:val="18"/>
        <w:szCs w:val="18"/>
        <w:lang w:eastAsia="zh-CN"/>
      </w:rPr>
      <w:t>0902-2307055</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06CB6A">
    <w:pPr>
      <w:pBdr>
        <w:bottom w:val="single" w:color="auto" w:sz="6" w:space="1"/>
      </w:pBdr>
      <w:tabs>
        <w:tab w:val="center" w:pos="4153"/>
        <w:tab w:val="right" w:pos="8306"/>
      </w:tabs>
      <w:snapToGrid w:val="0"/>
      <w:ind w:firstLine="180" w:firstLineChars="100"/>
      <w:rPr>
        <w:rFonts w:hint="eastAsia" w:eastAsia="宋体"/>
        <w:lang w:eastAsia="zh-CN"/>
      </w:rPr>
    </w:pPr>
    <w:r>
      <w:rPr>
        <w:rFonts w:hint="eastAsia"/>
        <w:iCs/>
        <w:sz w:val="18"/>
        <w:szCs w:val="18"/>
        <w:lang w:eastAsia="zh-CN"/>
      </w:rPr>
      <w:t>新疆诚誉工程项目管理有限公司</w:t>
    </w:r>
    <w:r>
      <w:rPr>
        <w:rFonts w:hint="eastAsia"/>
        <w:iCs/>
        <w:sz w:val="18"/>
        <w:szCs w:val="18"/>
      </w:rPr>
      <w:t xml:space="preserve">                                                     联系电话：</w:t>
    </w:r>
    <w:r>
      <w:rPr>
        <w:rFonts w:hint="eastAsia"/>
        <w:iCs/>
        <w:sz w:val="18"/>
        <w:szCs w:val="18"/>
        <w:lang w:eastAsia="zh-CN"/>
      </w:rPr>
      <w:t>0902-2307055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6BC116"/>
    <w:multiLevelType w:val="singleLevel"/>
    <w:tmpl w:val="BF6BC116"/>
    <w:lvl w:ilvl="0" w:tentative="0">
      <w:start w:val="16"/>
      <w:numFmt w:val="decimal"/>
      <w:suff w:val="space"/>
      <w:lvlText w:val="%1."/>
      <w:lvlJc w:val="left"/>
    </w:lvl>
  </w:abstractNum>
  <w:abstractNum w:abstractNumId="1">
    <w:nsid w:val="C2B5E98E"/>
    <w:multiLevelType w:val="singleLevel"/>
    <w:tmpl w:val="C2B5E98E"/>
    <w:lvl w:ilvl="0" w:tentative="0">
      <w:start w:val="1"/>
      <w:numFmt w:val="chineseCounting"/>
      <w:suff w:val="nothing"/>
      <w:lvlText w:val="%1、"/>
      <w:lvlJc w:val="left"/>
      <w:rPr>
        <w:rFonts w:hint="eastAsia"/>
      </w:rPr>
    </w:lvl>
  </w:abstractNum>
  <w:abstractNum w:abstractNumId="2">
    <w:nsid w:val="CFE7C3F8"/>
    <w:multiLevelType w:val="singleLevel"/>
    <w:tmpl w:val="CFE7C3F8"/>
    <w:lvl w:ilvl="0" w:tentative="0">
      <w:start w:val="1"/>
      <w:numFmt w:val="decimal"/>
      <w:suff w:val="nothing"/>
      <w:lvlText w:val="（%1）"/>
      <w:lvlJc w:val="left"/>
    </w:lvl>
  </w:abstractNum>
  <w:abstractNum w:abstractNumId="3">
    <w:nsid w:val="D804E059"/>
    <w:multiLevelType w:val="singleLevel"/>
    <w:tmpl w:val="D804E059"/>
    <w:lvl w:ilvl="0" w:tentative="0">
      <w:start w:val="1"/>
      <w:numFmt w:val="decimal"/>
      <w:suff w:val="nothing"/>
      <w:lvlText w:val="（%1）"/>
      <w:lvlJc w:val="left"/>
      <w:pPr>
        <w:ind w:left="0" w:firstLine="0"/>
      </w:pPr>
    </w:lvl>
  </w:abstractNum>
  <w:abstractNum w:abstractNumId="4">
    <w:nsid w:val="DDECD3BC"/>
    <w:multiLevelType w:val="singleLevel"/>
    <w:tmpl w:val="DDECD3BC"/>
    <w:lvl w:ilvl="0" w:tentative="0">
      <w:start w:val="6"/>
      <w:numFmt w:val="decimal"/>
      <w:suff w:val="space"/>
      <w:lvlText w:val="%1."/>
      <w:lvlJc w:val="left"/>
    </w:lvl>
  </w:abstractNum>
  <w:abstractNum w:abstractNumId="5">
    <w:nsid w:val="DE759F4B"/>
    <w:multiLevelType w:val="singleLevel"/>
    <w:tmpl w:val="DE759F4B"/>
    <w:lvl w:ilvl="0" w:tentative="0">
      <w:start w:val="2"/>
      <w:numFmt w:val="decimal"/>
      <w:suff w:val="space"/>
      <w:lvlText w:val="%1."/>
      <w:lvlJc w:val="left"/>
    </w:lvl>
  </w:abstractNum>
  <w:abstractNum w:abstractNumId="6">
    <w:nsid w:val="DEABE1DB"/>
    <w:multiLevelType w:val="singleLevel"/>
    <w:tmpl w:val="DEABE1DB"/>
    <w:lvl w:ilvl="0" w:tentative="0">
      <w:start w:val="23"/>
      <w:numFmt w:val="decimal"/>
      <w:suff w:val="space"/>
      <w:lvlText w:val="%1."/>
      <w:lvlJc w:val="left"/>
    </w:lvl>
  </w:abstractNum>
  <w:abstractNum w:abstractNumId="7">
    <w:nsid w:val="EC49AE5D"/>
    <w:multiLevelType w:val="singleLevel"/>
    <w:tmpl w:val="EC49AE5D"/>
    <w:lvl w:ilvl="0" w:tentative="0">
      <w:start w:val="3"/>
      <w:numFmt w:val="chineseCounting"/>
      <w:suff w:val="nothing"/>
      <w:lvlText w:val="%1、"/>
      <w:lvlJc w:val="left"/>
      <w:rPr>
        <w:rFonts w:hint="eastAsia"/>
      </w:rPr>
    </w:lvl>
  </w:abstractNum>
  <w:abstractNum w:abstractNumId="8">
    <w:nsid w:val="F12F8C5D"/>
    <w:multiLevelType w:val="singleLevel"/>
    <w:tmpl w:val="F12F8C5D"/>
    <w:lvl w:ilvl="0" w:tentative="0">
      <w:start w:val="1"/>
      <w:numFmt w:val="decimal"/>
      <w:suff w:val="nothing"/>
      <w:lvlText w:val="%1、"/>
      <w:lvlJc w:val="left"/>
    </w:lvl>
  </w:abstractNum>
  <w:abstractNum w:abstractNumId="9">
    <w:nsid w:val="FFEFC674"/>
    <w:multiLevelType w:val="singleLevel"/>
    <w:tmpl w:val="FFEFC674"/>
    <w:lvl w:ilvl="0" w:tentative="0">
      <w:start w:val="1"/>
      <w:numFmt w:val="decimal"/>
      <w:suff w:val="nothing"/>
      <w:lvlText w:val="（%1）"/>
      <w:lvlJc w:val="left"/>
    </w:lvl>
  </w:abstractNum>
  <w:abstractNum w:abstractNumId="10">
    <w:nsid w:val="00000007"/>
    <w:multiLevelType w:val="multilevel"/>
    <w:tmpl w:val="00000007"/>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1">
    <w:nsid w:val="34444808"/>
    <w:multiLevelType w:val="multilevel"/>
    <w:tmpl w:val="34444808"/>
    <w:lvl w:ilvl="0" w:tentative="0">
      <w:start w:val="1"/>
      <w:numFmt w:val="decimal"/>
      <w:lvlText w:val="%1、"/>
      <w:lvlJc w:val="left"/>
      <w:pPr>
        <w:ind w:left="660" w:hanging="360"/>
      </w:pPr>
      <w:rPr>
        <w:rFonts w:hint="default"/>
      </w:rPr>
    </w:lvl>
    <w:lvl w:ilvl="1" w:tentative="0">
      <w:start w:val="1"/>
      <w:numFmt w:val="lowerLetter"/>
      <w:lvlText w:val="%2)"/>
      <w:lvlJc w:val="left"/>
      <w:pPr>
        <w:ind w:left="1140" w:hanging="420"/>
      </w:pPr>
    </w:lvl>
    <w:lvl w:ilvl="2" w:tentative="0">
      <w:start w:val="1"/>
      <w:numFmt w:val="lowerRoman"/>
      <w:lvlText w:val="%3."/>
      <w:lvlJc w:val="right"/>
      <w:pPr>
        <w:ind w:left="1560" w:hanging="420"/>
      </w:pPr>
    </w:lvl>
    <w:lvl w:ilvl="3" w:tentative="0">
      <w:start w:val="1"/>
      <w:numFmt w:val="decimal"/>
      <w:lvlText w:val="%4."/>
      <w:lvlJc w:val="left"/>
      <w:pPr>
        <w:ind w:left="1980" w:hanging="420"/>
      </w:pPr>
    </w:lvl>
    <w:lvl w:ilvl="4" w:tentative="0">
      <w:start w:val="1"/>
      <w:numFmt w:val="lowerLetter"/>
      <w:lvlText w:val="%5)"/>
      <w:lvlJc w:val="left"/>
      <w:pPr>
        <w:ind w:left="2400" w:hanging="420"/>
      </w:pPr>
    </w:lvl>
    <w:lvl w:ilvl="5" w:tentative="0">
      <w:start w:val="1"/>
      <w:numFmt w:val="lowerRoman"/>
      <w:lvlText w:val="%6."/>
      <w:lvlJc w:val="right"/>
      <w:pPr>
        <w:ind w:left="2820" w:hanging="420"/>
      </w:pPr>
    </w:lvl>
    <w:lvl w:ilvl="6" w:tentative="0">
      <w:start w:val="1"/>
      <w:numFmt w:val="decimal"/>
      <w:lvlText w:val="%7."/>
      <w:lvlJc w:val="left"/>
      <w:pPr>
        <w:ind w:left="3240" w:hanging="420"/>
      </w:pPr>
    </w:lvl>
    <w:lvl w:ilvl="7" w:tentative="0">
      <w:start w:val="1"/>
      <w:numFmt w:val="lowerLetter"/>
      <w:lvlText w:val="%8)"/>
      <w:lvlJc w:val="left"/>
      <w:pPr>
        <w:ind w:left="3660" w:hanging="420"/>
      </w:pPr>
    </w:lvl>
    <w:lvl w:ilvl="8" w:tentative="0">
      <w:start w:val="1"/>
      <w:numFmt w:val="lowerRoman"/>
      <w:lvlText w:val="%9."/>
      <w:lvlJc w:val="right"/>
      <w:pPr>
        <w:ind w:left="4080" w:hanging="420"/>
      </w:pPr>
    </w:lvl>
  </w:abstractNum>
  <w:abstractNum w:abstractNumId="12">
    <w:nsid w:val="682D3314"/>
    <w:multiLevelType w:val="singleLevel"/>
    <w:tmpl w:val="682D3314"/>
    <w:lvl w:ilvl="0" w:tentative="0">
      <w:start w:val="2"/>
      <w:numFmt w:val="chineseCounting"/>
      <w:suff w:val="space"/>
      <w:lvlText w:val="第%1章"/>
      <w:lvlJc w:val="left"/>
      <w:rPr>
        <w:rFonts w:hint="eastAsia"/>
      </w:rPr>
    </w:lvl>
  </w:abstractNum>
  <w:abstractNum w:abstractNumId="13">
    <w:nsid w:val="755D78C5"/>
    <w:multiLevelType w:val="singleLevel"/>
    <w:tmpl w:val="755D78C5"/>
    <w:lvl w:ilvl="0" w:tentative="0">
      <w:start w:val="5"/>
      <w:numFmt w:val="chineseCounting"/>
      <w:suff w:val="space"/>
      <w:lvlText w:val="第%1章"/>
      <w:lvlJc w:val="left"/>
      <w:rPr>
        <w:rFonts w:hint="eastAsia"/>
      </w:rPr>
    </w:lvl>
  </w:abstractNum>
  <w:abstractNum w:abstractNumId="14">
    <w:nsid w:val="7A0F6431"/>
    <w:multiLevelType w:val="singleLevel"/>
    <w:tmpl w:val="7A0F6431"/>
    <w:lvl w:ilvl="0" w:tentative="0">
      <w:start w:val="1"/>
      <w:numFmt w:val="decimal"/>
      <w:suff w:val="space"/>
      <w:lvlText w:val="%1."/>
      <w:lvlJc w:val="left"/>
    </w:lvl>
  </w:abstractNum>
  <w:num w:numId="1">
    <w:abstractNumId w:val="12"/>
  </w:num>
  <w:num w:numId="2">
    <w:abstractNumId w:val="3"/>
    <w:lvlOverride w:ilvl="0">
      <w:startOverride w:val="1"/>
    </w:lvlOverride>
  </w:num>
  <w:num w:numId="3">
    <w:abstractNumId w:val="13"/>
  </w:num>
  <w:num w:numId="4">
    <w:abstractNumId w:val="14"/>
  </w:num>
  <w:num w:numId="5">
    <w:abstractNumId w:val="2"/>
  </w:num>
  <w:num w:numId="6">
    <w:abstractNumId w:val="9"/>
  </w:num>
  <w:num w:numId="7">
    <w:abstractNumId w:val="5"/>
  </w:num>
  <w:num w:numId="8">
    <w:abstractNumId w:val="4"/>
  </w:num>
  <w:num w:numId="9">
    <w:abstractNumId w:val="0"/>
  </w:num>
  <w:num w:numId="10">
    <w:abstractNumId w:val="6"/>
  </w:num>
  <w:num w:numId="11">
    <w:abstractNumId w:val="1"/>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3"/>
    <w:lvlOverride w:ilvl="0">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yYjA2M2NjNDdhNzBiZjc0OTAxMWJkYWFiZTMxZTMifQ=="/>
  </w:docVars>
  <w:rsids>
    <w:rsidRoot w:val="00321DF1"/>
    <w:rsid w:val="00002E2B"/>
    <w:rsid w:val="00005358"/>
    <w:rsid w:val="0001048E"/>
    <w:rsid w:val="00015A18"/>
    <w:rsid w:val="00015BAB"/>
    <w:rsid w:val="00021034"/>
    <w:rsid w:val="00021443"/>
    <w:rsid w:val="00030A01"/>
    <w:rsid w:val="00047A06"/>
    <w:rsid w:val="00054016"/>
    <w:rsid w:val="000661F1"/>
    <w:rsid w:val="0007373C"/>
    <w:rsid w:val="00077EC6"/>
    <w:rsid w:val="00077FED"/>
    <w:rsid w:val="000800E3"/>
    <w:rsid w:val="0009117E"/>
    <w:rsid w:val="00092F80"/>
    <w:rsid w:val="0009385A"/>
    <w:rsid w:val="0009610A"/>
    <w:rsid w:val="000A5289"/>
    <w:rsid w:val="000A5BB4"/>
    <w:rsid w:val="000C4A05"/>
    <w:rsid w:val="000D34D6"/>
    <w:rsid w:val="000D37C7"/>
    <w:rsid w:val="000D6A1D"/>
    <w:rsid w:val="000E6615"/>
    <w:rsid w:val="000F27FE"/>
    <w:rsid w:val="0010097F"/>
    <w:rsid w:val="00101ECB"/>
    <w:rsid w:val="00113E34"/>
    <w:rsid w:val="0011748B"/>
    <w:rsid w:val="00117AA1"/>
    <w:rsid w:val="00122B95"/>
    <w:rsid w:val="00127BBA"/>
    <w:rsid w:val="00143BCB"/>
    <w:rsid w:val="001462EB"/>
    <w:rsid w:val="0014688F"/>
    <w:rsid w:val="0015783C"/>
    <w:rsid w:val="00161756"/>
    <w:rsid w:val="00163C28"/>
    <w:rsid w:val="00172056"/>
    <w:rsid w:val="00175584"/>
    <w:rsid w:val="00180B81"/>
    <w:rsid w:val="0018274C"/>
    <w:rsid w:val="00196858"/>
    <w:rsid w:val="001B506B"/>
    <w:rsid w:val="001B544A"/>
    <w:rsid w:val="001C3B91"/>
    <w:rsid w:val="001C50A2"/>
    <w:rsid w:val="001E6838"/>
    <w:rsid w:val="001F11DC"/>
    <w:rsid w:val="001F6F5B"/>
    <w:rsid w:val="00204A6E"/>
    <w:rsid w:val="00207EDF"/>
    <w:rsid w:val="00212A43"/>
    <w:rsid w:val="00213CF6"/>
    <w:rsid w:val="00222255"/>
    <w:rsid w:val="0022421D"/>
    <w:rsid w:val="002254DC"/>
    <w:rsid w:val="00236D88"/>
    <w:rsid w:val="002436D5"/>
    <w:rsid w:val="00245A3B"/>
    <w:rsid w:val="00256261"/>
    <w:rsid w:val="0026130D"/>
    <w:rsid w:val="00271EF6"/>
    <w:rsid w:val="002869F2"/>
    <w:rsid w:val="002877B8"/>
    <w:rsid w:val="002958DE"/>
    <w:rsid w:val="002A15AC"/>
    <w:rsid w:val="002A1945"/>
    <w:rsid w:val="002A1CDB"/>
    <w:rsid w:val="002C0A05"/>
    <w:rsid w:val="002D1BD0"/>
    <w:rsid w:val="002D3AC3"/>
    <w:rsid w:val="002D697D"/>
    <w:rsid w:val="002E4129"/>
    <w:rsid w:val="002E7F35"/>
    <w:rsid w:val="002F53B9"/>
    <w:rsid w:val="002F7716"/>
    <w:rsid w:val="002F7C30"/>
    <w:rsid w:val="00306BBF"/>
    <w:rsid w:val="0031131B"/>
    <w:rsid w:val="003147AA"/>
    <w:rsid w:val="00321DF1"/>
    <w:rsid w:val="003228A4"/>
    <w:rsid w:val="0032561E"/>
    <w:rsid w:val="003431E2"/>
    <w:rsid w:val="00353E98"/>
    <w:rsid w:val="003548B1"/>
    <w:rsid w:val="0035618D"/>
    <w:rsid w:val="003613BB"/>
    <w:rsid w:val="00361D91"/>
    <w:rsid w:val="00373BF4"/>
    <w:rsid w:val="00374DFF"/>
    <w:rsid w:val="00380BD3"/>
    <w:rsid w:val="00381053"/>
    <w:rsid w:val="00387126"/>
    <w:rsid w:val="003912FC"/>
    <w:rsid w:val="00394D34"/>
    <w:rsid w:val="003B0325"/>
    <w:rsid w:val="003B1B72"/>
    <w:rsid w:val="003C2023"/>
    <w:rsid w:val="003C5A72"/>
    <w:rsid w:val="003D640A"/>
    <w:rsid w:val="003E1394"/>
    <w:rsid w:val="003E44DA"/>
    <w:rsid w:val="003E4BD2"/>
    <w:rsid w:val="003F2BFF"/>
    <w:rsid w:val="004064B6"/>
    <w:rsid w:val="0041136B"/>
    <w:rsid w:val="00414678"/>
    <w:rsid w:val="0041551F"/>
    <w:rsid w:val="00415E79"/>
    <w:rsid w:val="004171EC"/>
    <w:rsid w:val="00425D09"/>
    <w:rsid w:val="00430FE4"/>
    <w:rsid w:val="00435CDD"/>
    <w:rsid w:val="004376F2"/>
    <w:rsid w:val="00443975"/>
    <w:rsid w:val="00460C18"/>
    <w:rsid w:val="0046416F"/>
    <w:rsid w:val="004646BA"/>
    <w:rsid w:val="00473F53"/>
    <w:rsid w:val="004741A3"/>
    <w:rsid w:val="004A49BB"/>
    <w:rsid w:val="004A5511"/>
    <w:rsid w:val="004A6B7A"/>
    <w:rsid w:val="004B243B"/>
    <w:rsid w:val="004B5563"/>
    <w:rsid w:val="004B6381"/>
    <w:rsid w:val="004C05F2"/>
    <w:rsid w:val="004C1F5C"/>
    <w:rsid w:val="004C3420"/>
    <w:rsid w:val="004C6D5B"/>
    <w:rsid w:val="004E0236"/>
    <w:rsid w:val="004E16F8"/>
    <w:rsid w:val="004E3535"/>
    <w:rsid w:val="004E4798"/>
    <w:rsid w:val="004E5377"/>
    <w:rsid w:val="004E6138"/>
    <w:rsid w:val="004E656F"/>
    <w:rsid w:val="004F4430"/>
    <w:rsid w:val="004F4CF8"/>
    <w:rsid w:val="00505C1F"/>
    <w:rsid w:val="00511DC3"/>
    <w:rsid w:val="00520FB9"/>
    <w:rsid w:val="0052376B"/>
    <w:rsid w:val="00532A3A"/>
    <w:rsid w:val="00540C46"/>
    <w:rsid w:val="005430D7"/>
    <w:rsid w:val="00550DF4"/>
    <w:rsid w:val="00553C65"/>
    <w:rsid w:val="005547F7"/>
    <w:rsid w:val="00554E4C"/>
    <w:rsid w:val="005561CD"/>
    <w:rsid w:val="005647E3"/>
    <w:rsid w:val="0056575D"/>
    <w:rsid w:val="0056732C"/>
    <w:rsid w:val="005673FE"/>
    <w:rsid w:val="00571E07"/>
    <w:rsid w:val="00587FBB"/>
    <w:rsid w:val="0059106C"/>
    <w:rsid w:val="005923CD"/>
    <w:rsid w:val="005A5D9A"/>
    <w:rsid w:val="005B2B7C"/>
    <w:rsid w:val="005B6A7E"/>
    <w:rsid w:val="005C2017"/>
    <w:rsid w:val="005C27D2"/>
    <w:rsid w:val="005D1E1B"/>
    <w:rsid w:val="005D238F"/>
    <w:rsid w:val="005D4732"/>
    <w:rsid w:val="005F02EC"/>
    <w:rsid w:val="005F1049"/>
    <w:rsid w:val="005F37FF"/>
    <w:rsid w:val="005F6E0D"/>
    <w:rsid w:val="00612181"/>
    <w:rsid w:val="00613F04"/>
    <w:rsid w:val="00615314"/>
    <w:rsid w:val="006154E6"/>
    <w:rsid w:val="00626A2E"/>
    <w:rsid w:val="00632315"/>
    <w:rsid w:val="006427EE"/>
    <w:rsid w:val="00642DEA"/>
    <w:rsid w:val="006477B6"/>
    <w:rsid w:val="00655D0F"/>
    <w:rsid w:val="006601F1"/>
    <w:rsid w:val="0067086F"/>
    <w:rsid w:val="00671B60"/>
    <w:rsid w:val="006744FA"/>
    <w:rsid w:val="00681ECB"/>
    <w:rsid w:val="006836C5"/>
    <w:rsid w:val="00687D73"/>
    <w:rsid w:val="0069370C"/>
    <w:rsid w:val="00694C62"/>
    <w:rsid w:val="006B0BB5"/>
    <w:rsid w:val="006B4BC8"/>
    <w:rsid w:val="006C56EF"/>
    <w:rsid w:val="006C5AB6"/>
    <w:rsid w:val="006C7527"/>
    <w:rsid w:val="00701B44"/>
    <w:rsid w:val="00706553"/>
    <w:rsid w:val="00721B63"/>
    <w:rsid w:val="00726656"/>
    <w:rsid w:val="00727E5A"/>
    <w:rsid w:val="00742DAB"/>
    <w:rsid w:val="00750802"/>
    <w:rsid w:val="0075194C"/>
    <w:rsid w:val="0075553C"/>
    <w:rsid w:val="007703C2"/>
    <w:rsid w:val="00771CFC"/>
    <w:rsid w:val="00772AB7"/>
    <w:rsid w:val="00780B19"/>
    <w:rsid w:val="00783384"/>
    <w:rsid w:val="00791747"/>
    <w:rsid w:val="0079541D"/>
    <w:rsid w:val="007C3C84"/>
    <w:rsid w:val="007C680D"/>
    <w:rsid w:val="007D0A40"/>
    <w:rsid w:val="007E270F"/>
    <w:rsid w:val="007E64A5"/>
    <w:rsid w:val="007F2376"/>
    <w:rsid w:val="007F296B"/>
    <w:rsid w:val="007F724D"/>
    <w:rsid w:val="008051AE"/>
    <w:rsid w:val="00805CC9"/>
    <w:rsid w:val="0081244E"/>
    <w:rsid w:val="008142BF"/>
    <w:rsid w:val="00816EA9"/>
    <w:rsid w:val="0082546F"/>
    <w:rsid w:val="00833577"/>
    <w:rsid w:val="0083764D"/>
    <w:rsid w:val="0084333C"/>
    <w:rsid w:val="00851331"/>
    <w:rsid w:val="0086364D"/>
    <w:rsid w:val="0086520F"/>
    <w:rsid w:val="00870C05"/>
    <w:rsid w:val="00872A25"/>
    <w:rsid w:val="00876761"/>
    <w:rsid w:val="00884D26"/>
    <w:rsid w:val="00886011"/>
    <w:rsid w:val="008956AE"/>
    <w:rsid w:val="0089663F"/>
    <w:rsid w:val="008A0EA4"/>
    <w:rsid w:val="008B5E91"/>
    <w:rsid w:val="008D7152"/>
    <w:rsid w:val="008E1938"/>
    <w:rsid w:val="008F1526"/>
    <w:rsid w:val="008F7438"/>
    <w:rsid w:val="00904E80"/>
    <w:rsid w:val="00906C7B"/>
    <w:rsid w:val="0091473A"/>
    <w:rsid w:val="00915D20"/>
    <w:rsid w:val="00917439"/>
    <w:rsid w:val="00922223"/>
    <w:rsid w:val="00922DDC"/>
    <w:rsid w:val="00925666"/>
    <w:rsid w:val="00936D14"/>
    <w:rsid w:val="009603FF"/>
    <w:rsid w:val="009723C7"/>
    <w:rsid w:val="009758C8"/>
    <w:rsid w:val="00976C64"/>
    <w:rsid w:val="00980BD2"/>
    <w:rsid w:val="00995A95"/>
    <w:rsid w:val="009A4906"/>
    <w:rsid w:val="009B2024"/>
    <w:rsid w:val="009C25BB"/>
    <w:rsid w:val="009C6670"/>
    <w:rsid w:val="009C6941"/>
    <w:rsid w:val="009E400D"/>
    <w:rsid w:val="009E4D17"/>
    <w:rsid w:val="009E7E05"/>
    <w:rsid w:val="009F094E"/>
    <w:rsid w:val="00A035E2"/>
    <w:rsid w:val="00A049E7"/>
    <w:rsid w:val="00A17530"/>
    <w:rsid w:val="00A17FE3"/>
    <w:rsid w:val="00A31167"/>
    <w:rsid w:val="00A45A51"/>
    <w:rsid w:val="00A56DD3"/>
    <w:rsid w:val="00A60DF3"/>
    <w:rsid w:val="00A70922"/>
    <w:rsid w:val="00A727C5"/>
    <w:rsid w:val="00A802FF"/>
    <w:rsid w:val="00A92161"/>
    <w:rsid w:val="00A94A0C"/>
    <w:rsid w:val="00A958B6"/>
    <w:rsid w:val="00AA4F4E"/>
    <w:rsid w:val="00AB4EF5"/>
    <w:rsid w:val="00AB4F67"/>
    <w:rsid w:val="00AB56EE"/>
    <w:rsid w:val="00AD35FB"/>
    <w:rsid w:val="00AE24AD"/>
    <w:rsid w:val="00AE3059"/>
    <w:rsid w:val="00AE4AF2"/>
    <w:rsid w:val="00AE721E"/>
    <w:rsid w:val="00AF2B45"/>
    <w:rsid w:val="00AF3C41"/>
    <w:rsid w:val="00AF420B"/>
    <w:rsid w:val="00B01FE3"/>
    <w:rsid w:val="00B0596B"/>
    <w:rsid w:val="00B06E28"/>
    <w:rsid w:val="00B20370"/>
    <w:rsid w:val="00B24F7D"/>
    <w:rsid w:val="00B30552"/>
    <w:rsid w:val="00B43254"/>
    <w:rsid w:val="00B51297"/>
    <w:rsid w:val="00B63547"/>
    <w:rsid w:val="00B64244"/>
    <w:rsid w:val="00B67518"/>
    <w:rsid w:val="00B724C8"/>
    <w:rsid w:val="00B77096"/>
    <w:rsid w:val="00B90596"/>
    <w:rsid w:val="00B905DC"/>
    <w:rsid w:val="00B907D6"/>
    <w:rsid w:val="00B91D8C"/>
    <w:rsid w:val="00B95CF1"/>
    <w:rsid w:val="00BA1A55"/>
    <w:rsid w:val="00BB12E6"/>
    <w:rsid w:val="00BB2C88"/>
    <w:rsid w:val="00BC2D6B"/>
    <w:rsid w:val="00BC3F52"/>
    <w:rsid w:val="00BC441B"/>
    <w:rsid w:val="00BC5A50"/>
    <w:rsid w:val="00BC7BDD"/>
    <w:rsid w:val="00BD0CB1"/>
    <w:rsid w:val="00BD7B8B"/>
    <w:rsid w:val="00BE233B"/>
    <w:rsid w:val="00BE2EB3"/>
    <w:rsid w:val="00BE3113"/>
    <w:rsid w:val="00BF36CE"/>
    <w:rsid w:val="00BF5E95"/>
    <w:rsid w:val="00C0329F"/>
    <w:rsid w:val="00C03B84"/>
    <w:rsid w:val="00C103FD"/>
    <w:rsid w:val="00C10B00"/>
    <w:rsid w:val="00C11651"/>
    <w:rsid w:val="00C12C91"/>
    <w:rsid w:val="00C12DE3"/>
    <w:rsid w:val="00C131D9"/>
    <w:rsid w:val="00C13A5A"/>
    <w:rsid w:val="00C157F3"/>
    <w:rsid w:val="00C16235"/>
    <w:rsid w:val="00C2116A"/>
    <w:rsid w:val="00C24301"/>
    <w:rsid w:val="00C358B6"/>
    <w:rsid w:val="00C41D6D"/>
    <w:rsid w:val="00C427BD"/>
    <w:rsid w:val="00C44210"/>
    <w:rsid w:val="00C458E4"/>
    <w:rsid w:val="00C47744"/>
    <w:rsid w:val="00C55E16"/>
    <w:rsid w:val="00C62777"/>
    <w:rsid w:val="00C72576"/>
    <w:rsid w:val="00C77C9B"/>
    <w:rsid w:val="00C83C16"/>
    <w:rsid w:val="00C86F52"/>
    <w:rsid w:val="00C9703A"/>
    <w:rsid w:val="00C97165"/>
    <w:rsid w:val="00CA20D5"/>
    <w:rsid w:val="00CA73BC"/>
    <w:rsid w:val="00CB284D"/>
    <w:rsid w:val="00CB5BDB"/>
    <w:rsid w:val="00CC1517"/>
    <w:rsid w:val="00CC242B"/>
    <w:rsid w:val="00CC4A0B"/>
    <w:rsid w:val="00CC635F"/>
    <w:rsid w:val="00CE5A2E"/>
    <w:rsid w:val="00CE7E67"/>
    <w:rsid w:val="00CF3160"/>
    <w:rsid w:val="00CF3F25"/>
    <w:rsid w:val="00D0095D"/>
    <w:rsid w:val="00D05E0F"/>
    <w:rsid w:val="00D1055A"/>
    <w:rsid w:val="00D16EFA"/>
    <w:rsid w:val="00D17FEF"/>
    <w:rsid w:val="00D253D9"/>
    <w:rsid w:val="00D33D75"/>
    <w:rsid w:val="00D35202"/>
    <w:rsid w:val="00D44A9B"/>
    <w:rsid w:val="00D460E5"/>
    <w:rsid w:val="00D500A5"/>
    <w:rsid w:val="00D53B21"/>
    <w:rsid w:val="00D64AE1"/>
    <w:rsid w:val="00D726FE"/>
    <w:rsid w:val="00D76FED"/>
    <w:rsid w:val="00D829B3"/>
    <w:rsid w:val="00D8575B"/>
    <w:rsid w:val="00D86AE7"/>
    <w:rsid w:val="00D9637F"/>
    <w:rsid w:val="00DB631B"/>
    <w:rsid w:val="00DC11DD"/>
    <w:rsid w:val="00DC279F"/>
    <w:rsid w:val="00DD25AF"/>
    <w:rsid w:val="00DF2094"/>
    <w:rsid w:val="00DF524C"/>
    <w:rsid w:val="00E26C9A"/>
    <w:rsid w:val="00E3025D"/>
    <w:rsid w:val="00E3354E"/>
    <w:rsid w:val="00E34BA4"/>
    <w:rsid w:val="00E36274"/>
    <w:rsid w:val="00E36DF2"/>
    <w:rsid w:val="00E448B3"/>
    <w:rsid w:val="00E45FEC"/>
    <w:rsid w:val="00E56BBE"/>
    <w:rsid w:val="00E67EDF"/>
    <w:rsid w:val="00E85859"/>
    <w:rsid w:val="00E95FC5"/>
    <w:rsid w:val="00EB243B"/>
    <w:rsid w:val="00EB66FA"/>
    <w:rsid w:val="00EB7D67"/>
    <w:rsid w:val="00EC2C1B"/>
    <w:rsid w:val="00EC57D5"/>
    <w:rsid w:val="00EC734F"/>
    <w:rsid w:val="00EC77A8"/>
    <w:rsid w:val="00EC7DB9"/>
    <w:rsid w:val="00ED5550"/>
    <w:rsid w:val="00EE03D5"/>
    <w:rsid w:val="00EE41BF"/>
    <w:rsid w:val="00EF2921"/>
    <w:rsid w:val="00EF2E21"/>
    <w:rsid w:val="00EF738A"/>
    <w:rsid w:val="00F01986"/>
    <w:rsid w:val="00F05005"/>
    <w:rsid w:val="00F05643"/>
    <w:rsid w:val="00F17266"/>
    <w:rsid w:val="00F200AC"/>
    <w:rsid w:val="00F22E72"/>
    <w:rsid w:val="00F23FFA"/>
    <w:rsid w:val="00F259B8"/>
    <w:rsid w:val="00F25FFC"/>
    <w:rsid w:val="00F26418"/>
    <w:rsid w:val="00F31826"/>
    <w:rsid w:val="00F33B7F"/>
    <w:rsid w:val="00F35630"/>
    <w:rsid w:val="00F35F28"/>
    <w:rsid w:val="00F3772B"/>
    <w:rsid w:val="00F405E1"/>
    <w:rsid w:val="00F40C6B"/>
    <w:rsid w:val="00F451C9"/>
    <w:rsid w:val="00F56DA3"/>
    <w:rsid w:val="00F56E01"/>
    <w:rsid w:val="00F571CB"/>
    <w:rsid w:val="00F605EF"/>
    <w:rsid w:val="00F60D7F"/>
    <w:rsid w:val="00F63AD4"/>
    <w:rsid w:val="00F72F31"/>
    <w:rsid w:val="00F76015"/>
    <w:rsid w:val="00F857D9"/>
    <w:rsid w:val="00F85C1E"/>
    <w:rsid w:val="00F904CC"/>
    <w:rsid w:val="00F970DD"/>
    <w:rsid w:val="00F9788A"/>
    <w:rsid w:val="00FC1F19"/>
    <w:rsid w:val="00FC6197"/>
    <w:rsid w:val="00FD0717"/>
    <w:rsid w:val="00FE55C0"/>
    <w:rsid w:val="00FF06C6"/>
    <w:rsid w:val="00FF188C"/>
    <w:rsid w:val="00FF3CEB"/>
    <w:rsid w:val="0102483D"/>
    <w:rsid w:val="011253ED"/>
    <w:rsid w:val="01141165"/>
    <w:rsid w:val="0123584C"/>
    <w:rsid w:val="01577C2C"/>
    <w:rsid w:val="0158132B"/>
    <w:rsid w:val="019228F7"/>
    <w:rsid w:val="01E07299"/>
    <w:rsid w:val="01F36FCC"/>
    <w:rsid w:val="02054F52"/>
    <w:rsid w:val="020E02AA"/>
    <w:rsid w:val="02186A33"/>
    <w:rsid w:val="02202752"/>
    <w:rsid w:val="025D08EA"/>
    <w:rsid w:val="02DB6B5E"/>
    <w:rsid w:val="02FA25DD"/>
    <w:rsid w:val="02FC6355"/>
    <w:rsid w:val="02FE43BA"/>
    <w:rsid w:val="0301396B"/>
    <w:rsid w:val="03062831"/>
    <w:rsid w:val="03101E00"/>
    <w:rsid w:val="03547F3F"/>
    <w:rsid w:val="036C34DA"/>
    <w:rsid w:val="03773C2D"/>
    <w:rsid w:val="03782989"/>
    <w:rsid w:val="038F71C9"/>
    <w:rsid w:val="03B94246"/>
    <w:rsid w:val="03C52BEB"/>
    <w:rsid w:val="03D33D5D"/>
    <w:rsid w:val="03DD5C65"/>
    <w:rsid w:val="03DE628C"/>
    <w:rsid w:val="03E272F9"/>
    <w:rsid w:val="03F4702C"/>
    <w:rsid w:val="04051239"/>
    <w:rsid w:val="04461F7D"/>
    <w:rsid w:val="046B19E4"/>
    <w:rsid w:val="047C1AC8"/>
    <w:rsid w:val="0482488F"/>
    <w:rsid w:val="048A1538"/>
    <w:rsid w:val="048C3708"/>
    <w:rsid w:val="04BA64C7"/>
    <w:rsid w:val="04FC6AE0"/>
    <w:rsid w:val="05092FAB"/>
    <w:rsid w:val="05393339"/>
    <w:rsid w:val="05860158"/>
    <w:rsid w:val="059D3E1F"/>
    <w:rsid w:val="05A351AD"/>
    <w:rsid w:val="05B9052D"/>
    <w:rsid w:val="05D435B9"/>
    <w:rsid w:val="05D90BCF"/>
    <w:rsid w:val="05F974E0"/>
    <w:rsid w:val="066C37F1"/>
    <w:rsid w:val="06B62CBE"/>
    <w:rsid w:val="06BA630B"/>
    <w:rsid w:val="06F547E3"/>
    <w:rsid w:val="070B300A"/>
    <w:rsid w:val="072365A6"/>
    <w:rsid w:val="07247C28"/>
    <w:rsid w:val="07343194"/>
    <w:rsid w:val="074C5FBF"/>
    <w:rsid w:val="07691B42"/>
    <w:rsid w:val="078608E3"/>
    <w:rsid w:val="079D7363"/>
    <w:rsid w:val="07A82607"/>
    <w:rsid w:val="082A5712"/>
    <w:rsid w:val="085E53BC"/>
    <w:rsid w:val="087D5842"/>
    <w:rsid w:val="087E15BA"/>
    <w:rsid w:val="08986B20"/>
    <w:rsid w:val="08A63EB3"/>
    <w:rsid w:val="08C33E8A"/>
    <w:rsid w:val="09561076"/>
    <w:rsid w:val="09811362"/>
    <w:rsid w:val="098D7D07"/>
    <w:rsid w:val="099472E7"/>
    <w:rsid w:val="0A1B7A08"/>
    <w:rsid w:val="0A283ED3"/>
    <w:rsid w:val="0A2F7010"/>
    <w:rsid w:val="0A310FDA"/>
    <w:rsid w:val="0A4C7BC2"/>
    <w:rsid w:val="0A881307"/>
    <w:rsid w:val="0A892BC4"/>
    <w:rsid w:val="0ADD4CBE"/>
    <w:rsid w:val="0AF3628F"/>
    <w:rsid w:val="0AFB3396"/>
    <w:rsid w:val="0B06239D"/>
    <w:rsid w:val="0B1224D1"/>
    <w:rsid w:val="0B220922"/>
    <w:rsid w:val="0B291CB1"/>
    <w:rsid w:val="0B2C17A1"/>
    <w:rsid w:val="0B8B471A"/>
    <w:rsid w:val="0BA773B7"/>
    <w:rsid w:val="0BC55E54"/>
    <w:rsid w:val="0BE3000C"/>
    <w:rsid w:val="0BE5207C"/>
    <w:rsid w:val="0C7927C4"/>
    <w:rsid w:val="0C965124"/>
    <w:rsid w:val="0CAD246E"/>
    <w:rsid w:val="0CE20369"/>
    <w:rsid w:val="0D1A3FA7"/>
    <w:rsid w:val="0D296206"/>
    <w:rsid w:val="0D30098E"/>
    <w:rsid w:val="0D991370"/>
    <w:rsid w:val="0DC3473D"/>
    <w:rsid w:val="0DE01542"/>
    <w:rsid w:val="0DF94DB5"/>
    <w:rsid w:val="0DFC0E86"/>
    <w:rsid w:val="0E042561"/>
    <w:rsid w:val="0E2A021A"/>
    <w:rsid w:val="0E6059EA"/>
    <w:rsid w:val="0E6D0107"/>
    <w:rsid w:val="0E87566C"/>
    <w:rsid w:val="0E8F4521"/>
    <w:rsid w:val="0EE20AF5"/>
    <w:rsid w:val="0F362BEE"/>
    <w:rsid w:val="0F3F14CA"/>
    <w:rsid w:val="0F46111F"/>
    <w:rsid w:val="0F5A68DD"/>
    <w:rsid w:val="0F81030D"/>
    <w:rsid w:val="0F916077"/>
    <w:rsid w:val="0F9C5147"/>
    <w:rsid w:val="0FCE1079"/>
    <w:rsid w:val="1005731A"/>
    <w:rsid w:val="100920B1"/>
    <w:rsid w:val="10282537"/>
    <w:rsid w:val="10401CFF"/>
    <w:rsid w:val="10482BD9"/>
    <w:rsid w:val="105552F6"/>
    <w:rsid w:val="10593038"/>
    <w:rsid w:val="10853C56"/>
    <w:rsid w:val="10873AA1"/>
    <w:rsid w:val="10C93A54"/>
    <w:rsid w:val="10D4204A"/>
    <w:rsid w:val="10D66437"/>
    <w:rsid w:val="10DE353E"/>
    <w:rsid w:val="10F93ED3"/>
    <w:rsid w:val="10FA5929"/>
    <w:rsid w:val="11060153"/>
    <w:rsid w:val="111F7DDE"/>
    <w:rsid w:val="112371A2"/>
    <w:rsid w:val="1131366D"/>
    <w:rsid w:val="11407D54"/>
    <w:rsid w:val="11BA18B5"/>
    <w:rsid w:val="11D267D2"/>
    <w:rsid w:val="11E132E5"/>
    <w:rsid w:val="11E51129"/>
    <w:rsid w:val="11F56D91"/>
    <w:rsid w:val="12435D4E"/>
    <w:rsid w:val="12524D00"/>
    <w:rsid w:val="125910CE"/>
    <w:rsid w:val="12A118FB"/>
    <w:rsid w:val="12D10368"/>
    <w:rsid w:val="12DC0A02"/>
    <w:rsid w:val="12FE3A23"/>
    <w:rsid w:val="12FF3829"/>
    <w:rsid w:val="13090B53"/>
    <w:rsid w:val="134D0507"/>
    <w:rsid w:val="135F0966"/>
    <w:rsid w:val="136C75D9"/>
    <w:rsid w:val="137D3677"/>
    <w:rsid w:val="13857CA0"/>
    <w:rsid w:val="139A199E"/>
    <w:rsid w:val="1437543F"/>
    <w:rsid w:val="143C4803"/>
    <w:rsid w:val="143C70E2"/>
    <w:rsid w:val="143D5AD8"/>
    <w:rsid w:val="144E5E42"/>
    <w:rsid w:val="1481691C"/>
    <w:rsid w:val="149208C7"/>
    <w:rsid w:val="149F49AB"/>
    <w:rsid w:val="14AD3953"/>
    <w:rsid w:val="14D7452C"/>
    <w:rsid w:val="14DE58BA"/>
    <w:rsid w:val="14FE7D0A"/>
    <w:rsid w:val="151C63E2"/>
    <w:rsid w:val="1531377F"/>
    <w:rsid w:val="153C0833"/>
    <w:rsid w:val="156A35F2"/>
    <w:rsid w:val="15853F88"/>
    <w:rsid w:val="159E329B"/>
    <w:rsid w:val="15FB249C"/>
    <w:rsid w:val="16067FF4"/>
    <w:rsid w:val="16201F02"/>
    <w:rsid w:val="1647529D"/>
    <w:rsid w:val="164976AB"/>
    <w:rsid w:val="168E2973"/>
    <w:rsid w:val="169A7F07"/>
    <w:rsid w:val="16AB5C70"/>
    <w:rsid w:val="16B9038D"/>
    <w:rsid w:val="16F21AF1"/>
    <w:rsid w:val="175C6F6A"/>
    <w:rsid w:val="177249E0"/>
    <w:rsid w:val="178575C5"/>
    <w:rsid w:val="17944956"/>
    <w:rsid w:val="1796247C"/>
    <w:rsid w:val="17A728DB"/>
    <w:rsid w:val="18077F32"/>
    <w:rsid w:val="180B10BC"/>
    <w:rsid w:val="181810E3"/>
    <w:rsid w:val="182E4DAB"/>
    <w:rsid w:val="184620F4"/>
    <w:rsid w:val="18475E6C"/>
    <w:rsid w:val="185C1D1C"/>
    <w:rsid w:val="18820C52"/>
    <w:rsid w:val="18822A00"/>
    <w:rsid w:val="18893D8F"/>
    <w:rsid w:val="18B95A3D"/>
    <w:rsid w:val="18D92837"/>
    <w:rsid w:val="18E96668"/>
    <w:rsid w:val="18EF1C85"/>
    <w:rsid w:val="190116A3"/>
    <w:rsid w:val="1901601B"/>
    <w:rsid w:val="193C34F7"/>
    <w:rsid w:val="194A36AD"/>
    <w:rsid w:val="19A76BC3"/>
    <w:rsid w:val="19DB3BBC"/>
    <w:rsid w:val="19F47A8F"/>
    <w:rsid w:val="1A145657"/>
    <w:rsid w:val="1A393593"/>
    <w:rsid w:val="1A3A17E5"/>
    <w:rsid w:val="1A497C7A"/>
    <w:rsid w:val="1A770E0F"/>
    <w:rsid w:val="1AB7742D"/>
    <w:rsid w:val="1AD03EF7"/>
    <w:rsid w:val="1AFC2F3E"/>
    <w:rsid w:val="1B1262BE"/>
    <w:rsid w:val="1B334486"/>
    <w:rsid w:val="1B66262F"/>
    <w:rsid w:val="1B860A5A"/>
    <w:rsid w:val="1CAC629E"/>
    <w:rsid w:val="1CB63508"/>
    <w:rsid w:val="1CC41839"/>
    <w:rsid w:val="1CE95744"/>
    <w:rsid w:val="1D161015"/>
    <w:rsid w:val="1D175E0D"/>
    <w:rsid w:val="1D5030CD"/>
    <w:rsid w:val="1D5C7CC4"/>
    <w:rsid w:val="1DDB508D"/>
    <w:rsid w:val="1E566E09"/>
    <w:rsid w:val="1E592455"/>
    <w:rsid w:val="1E5B61CE"/>
    <w:rsid w:val="1EAF02C7"/>
    <w:rsid w:val="1EC210F5"/>
    <w:rsid w:val="1F1C3BAF"/>
    <w:rsid w:val="1F2B5BA0"/>
    <w:rsid w:val="1F334A54"/>
    <w:rsid w:val="1F76252C"/>
    <w:rsid w:val="1F83778A"/>
    <w:rsid w:val="1F861028"/>
    <w:rsid w:val="1F986EBA"/>
    <w:rsid w:val="1F9F033C"/>
    <w:rsid w:val="1FA37E2C"/>
    <w:rsid w:val="1FAE1F8C"/>
    <w:rsid w:val="1FB77434"/>
    <w:rsid w:val="1FD77AD6"/>
    <w:rsid w:val="1FDC333E"/>
    <w:rsid w:val="201523AC"/>
    <w:rsid w:val="20621A95"/>
    <w:rsid w:val="209E3006"/>
    <w:rsid w:val="20A025BE"/>
    <w:rsid w:val="20DD3F0A"/>
    <w:rsid w:val="20EE157B"/>
    <w:rsid w:val="20F36B91"/>
    <w:rsid w:val="20FE2AF8"/>
    <w:rsid w:val="210944F0"/>
    <w:rsid w:val="214967B1"/>
    <w:rsid w:val="21E91F61"/>
    <w:rsid w:val="22356D36"/>
    <w:rsid w:val="22370D00"/>
    <w:rsid w:val="22576CAC"/>
    <w:rsid w:val="225E003A"/>
    <w:rsid w:val="22BD2FB3"/>
    <w:rsid w:val="22E22A19"/>
    <w:rsid w:val="22E9024C"/>
    <w:rsid w:val="22F17100"/>
    <w:rsid w:val="22FF50CE"/>
    <w:rsid w:val="230706D2"/>
    <w:rsid w:val="230E236D"/>
    <w:rsid w:val="23203542"/>
    <w:rsid w:val="233A12B7"/>
    <w:rsid w:val="237815D0"/>
    <w:rsid w:val="237F73D2"/>
    <w:rsid w:val="238C5B3D"/>
    <w:rsid w:val="23CE11F0"/>
    <w:rsid w:val="240D3BFE"/>
    <w:rsid w:val="24431BDE"/>
    <w:rsid w:val="24455956"/>
    <w:rsid w:val="24B46637"/>
    <w:rsid w:val="24D253DB"/>
    <w:rsid w:val="25331C52"/>
    <w:rsid w:val="25461985"/>
    <w:rsid w:val="256736AA"/>
    <w:rsid w:val="258E50DA"/>
    <w:rsid w:val="25A0096A"/>
    <w:rsid w:val="25B05051"/>
    <w:rsid w:val="25DD571A"/>
    <w:rsid w:val="26024F96"/>
    <w:rsid w:val="262B010A"/>
    <w:rsid w:val="2632703B"/>
    <w:rsid w:val="263A339C"/>
    <w:rsid w:val="265936BB"/>
    <w:rsid w:val="266767BE"/>
    <w:rsid w:val="26B91CE3"/>
    <w:rsid w:val="26CA3F24"/>
    <w:rsid w:val="26D93B66"/>
    <w:rsid w:val="26F64CE5"/>
    <w:rsid w:val="26FA60C3"/>
    <w:rsid w:val="27003DB6"/>
    <w:rsid w:val="272D24D1"/>
    <w:rsid w:val="27527B71"/>
    <w:rsid w:val="275D4004"/>
    <w:rsid w:val="27715FFB"/>
    <w:rsid w:val="279F537D"/>
    <w:rsid w:val="27DB7C16"/>
    <w:rsid w:val="27F37477"/>
    <w:rsid w:val="28081174"/>
    <w:rsid w:val="282B09BF"/>
    <w:rsid w:val="28520641"/>
    <w:rsid w:val="28592791"/>
    <w:rsid w:val="285C501C"/>
    <w:rsid w:val="28A025BE"/>
    <w:rsid w:val="28C80903"/>
    <w:rsid w:val="28D76D98"/>
    <w:rsid w:val="28DC43AF"/>
    <w:rsid w:val="29051210"/>
    <w:rsid w:val="2920429C"/>
    <w:rsid w:val="29290B96"/>
    <w:rsid w:val="292A6EC8"/>
    <w:rsid w:val="294E4BC1"/>
    <w:rsid w:val="295C2647"/>
    <w:rsid w:val="296A3769"/>
    <w:rsid w:val="298365D8"/>
    <w:rsid w:val="29AB625B"/>
    <w:rsid w:val="29C4731D"/>
    <w:rsid w:val="29CC71C0"/>
    <w:rsid w:val="29EF41E4"/>
    <w:rsid w:val="29F224B1"/>
    <w:rsid w:val="29F37C02"/>
    <w:rsid w:val="2A77613D"/>
    <w:rsid w:val="2ABC1DA2"/>
    <w:rsid w:val="2AC1385C"/>
    <w:rsid w:val="2B161A0E"/>
    <w:rsid w:val="2B177920"/>
    <w:rsid w:val="2B261911"/>
    <w:rsid w:val="2B294C94"/>
    <w:rsid w:val="2B2A5B55"/>
    <w:rsid w:val="2C1F4CDE"/>
    <w:rsid w:val="2C22032B"/>
    <w:rsid w:val="2C31056E"/>
    <w:rsid w:val="2C5275BD"/>
    <w:rsid w:val="2C66290D"/>
    <w:rsid w:val="2C7843EE"/>
    <w:rsid w:val="2C891ED6"/>
    <w:rsid w:val="2C950AFD"/>
    <w:rsid w:val="2CDC2BCF"/>
    <w:rsid w:val="2CE47E4C"/>
    <w:rsid w:val="2CF47F19"/>
    <w:rsid w:val="2D1759B5"/>
    <w:rsid w:val="2D3C541C"/>
    <w:rsid w:val="2D3D4DC4"/>
    <w:rsid w:val="2D6446C5"/>
    <w:rsid w:val="2D8668CD"/>
    <w:rsid w:val="2D8A6187"/>
    <w:rsid w:val="2D8F379E"/>
    <w:rsid w:val="2D915768"/>
    <w:rsid w:val="2DA47569"/>
    <w:rsid w:val="2DA77E8E"/>
    <w:rsid w:val="2E0E6DB8"/>
    <w:rsid w:val="2E0F48DF"/>
    <w:rsid w:val="2E156399"/>
    <w:rsid w:val="2E3615D0"/>
    <w:rsid w:val="2E6115DE"/>
    <w:rsid w:val="2E750BE6"/>
    <w:rsid w:val="2E823302"/>
    <w:rsid w:val="2E8B21B7"/>
    <w:rsid w:val="2EA414CB"/>
    <w:rsid w:val="2EBB3566"/>
    <w:rsid w:val="2EC92CDF"/>
    <w:rsid w:val="2F0A5D5D"/>
    <w:rsid w:val="2F162C57"/>
    <w:rsid w:val="2F1A0783"/>
    <w:rsid w:val="2F2F348A"/>
    <w:rsid w:val="2F675347"/>
    <w:rsid w:val="2F8A0566"/>
    <w:rsid w:val="2F925878"/>
    <w:rsid w:val="2FA85637"/>
    <w:rsid w:val="2FB35E69"/>
    <w:rsid w:val="2FBC04BD"/>
    <w:rsid w:val="2FC2135E"/>
    <w:rsid w:val="2FCF060B"/>
    <w:rsid w:val="301E705B"/>
    <w:rsid w:val="305F7D9F"/>
    <w:rsid w:val="306B2A1B"/>
    <w:rsid w:val="306E1D90"/>
    <w:rsid w:val="307849BD"/>
    <w:rsid w:val="307A701D"/>
    <w:rsid w:val="30872E52"/>
    <w:rsid w:val="30963095"/>
    <w:rsid w:val="309D23E8"/>
    <w:rsid w:val="30B02149"/>
    <w:rsid w:val="30E12562"/>
    <w:rsid w:val="30EE1123"/>
    <w:rsid w:val="313F372D"/>
    <w:rsid w:val="315076E8"/>
    <w:rsid w:val="317A6513"/>
    <w:rsid w:val="31C1345B"/>
    <w:rsid w:val="31DF79A9"/>
    <w:rsid w:val="31F45399"/>
    <w:rsid w:val="3207424B"/>
    <w:rsid w:val="320F75A3"/>
    <w:rsid w:val="3216448E"/>
    <w:rsid w:val="321B1AA4"/>
    <w:rsid w:val="32256558"/>
    <w:rsid w:val="322D17D7"/>
    <w:rsid w:val="322F72FD"/>
    <w:rsid w:val="32326B2A"/>
    <w:rsid w:val="325650C1"/>
    <w:rsid w:val="329830F5"/>
    <w:rsid w:val="32B54285"/>
    <w:rsid w:val="32C263C3"/>
    <w:rsid w:val="32CB34CA"/>
    <w:rsid w:val="32F46E85"/>
    <w:rsid w:val="32FD73FC"/>
    <w:rsid w:val="331D184C"/>
    <w:rsid w:val="332826CA"/>
    <w:rsid w:val="333252F7"/>
    <w:rsid w:val="33813B89"/>
    <w:rsid w:val="33A51F6D"/>
    <w:rsid w:val="33AF4B9A"/>
    <w:rsid w:val="33B1681F"/>
    <w:rsid w:val="33D20888"/>
    <w:rsid w:val="340F73E6"/>
    <w:rsid w:val="341E587B"/>
    <w:rsid w:val="34232E92"/>
    <w:rsid w:val="34272E4C"/>
    <w:rsid w:val="346304CE"/>
    <w:rsid w:val="346516FC"/>
    <w:rsid w:val="346E6803"/>
    <w:rsid w:val="34776717"/>
    <w:rsid w:val="348F6779"/>
    <w:rsid w:val="349B6ECC"/>
    <w:rsid w:val="34BA7986"/>
    <w:rsid w:val="34CC52D7"/>
    <w:rsid w:val="34EB7E53"/>
    <w:rsid w:val="354632DC"/>
    <w:rsid w:val="35690D78"/>
    <w:rsid w:val="35A0188B"/>
    <w:rsid w:val="35D72186"/>
    <w:rsid w:val="35F25212"/>
    <w:rsid w:val="35FA5E74"/>
    <w:rsid w:val="36317AE8"/>
    <w:rsid w:val="36540362"/>
    <w:rsid w:val="36545584"/>
    <w:rsid w:val="365B4B65"/>
    <w:rsid w:val="36873BAC"/>
    <w:rsid w:val="36913E27"/>
    <w:rsid w:val="36BB5604"/>
    <w:rsid w:val="36CA2AEC"/>
    <w:rsid w:val="36E733F8"/>
    <w:rsid w:val="36F17277"/>
    <w:rsid w:val="36F23231"/>
    <w:rsid w:val="36F31241"/>
    <w:rsid w:val="37113475"/>
    <w:rsid w:val="371D3CD2"/>
    <w:rsid w:val="37443B16"/>
    <w:rsid w:val="37757EA8"/>
    <w:rsid w:val="37BE35FD"/>
    <w:rsid w:val="3812425E"/>
    <w:rsid w:val="381D59F7"/>
    <w:rsid w:val="386121DB"/>
    <w:rsid w:val="386677F1"/>
    <w:rsid w:val="38673C95"/>
    <w:rsid w:val="386C12AB"/>
    <w:rsid w:val="389C3213"/>
    <w:rsid w:val="38C5276A"/>
    <w:rsid w:val="38D806EF"/>
    <w:rsid w:val="38DD5D05"/>
    <w:rsid w:val="38E54BBA"/>
    <w:rsid w:val="38FD189E"/>
    <w:rsid w:val="39032C47"/>
    <w:rsid w:val="391803D9"/>
    <w:rsid w:val="39382F3B"/>
    <w:rsid w:val="39755F3E"/>
    <w:rsid w:val="39763A64"/>
    <w:rsid w:val="3982065B"/>
    <w:rsid w:val="398B39B3"/>
    <w:rsid w:val="399860D0"/>
    <w:rsid w:val="39A61538"/>
    <w:rsid w:val="39C72511"/>
    <w:rsid w:val="39CD3CAE"/>
    <w:rsid w:val="39F33306"/>
    <w:rsid w:val="39F71049"/>
    <w:rsid w:val="3A064DE8"/>
    <w:rsid w:val="3A1F5EA9"/>
    <w:rsid w:val="3A267238"/>
    <w:rsid w:val="3A2B2AA0"/>
    <w:rsid w:val="3A405791"/>
    <w:rsid w:val="3A663AD8"/>
    <w:rsid w:val="3A744447"/>
    <w:rsid w:val="3A766411"/>
    <w:rsid w:val="3A865F28"/>
    <w:rsid w:val="3AB962FE"/>
    <w:rsid w:val="3ADB04DC"/>
    <w:rsid w:val="3ADE3867"/>
    <w:rsid w:val="3AEE2F65"/>
    <w:rsid w:val="3B117EE8"/>
    <w:rsid w:val="3B8406BA"/>
    <w:rsid w:val="3B8C57C0"/>
    <w:rsid w:val="3BC431AC"/>
    <w:rsid w:val="3C145EE2"/>
    <w:rsid w:val="3C2974B3"/>
    <w:rsid w:val="3C37397E"/>
    <w:rsid w:val="3C3A6FCB"/>
    <w:rsid w:val="3C991F43"/>
    <w:rsid w:val="3C9F32D2"/>
    <w:rsid w:val="3CB74ABF"/>
    <w:rsid w:val="3CD4741F"/>
    <w:rsid w:val="3CD967E3"/>
    <w:rsid w:val="3CEA279F"/>
    <w:rsid w:val="3D202664"/>
    <w:rsid w:val="3D7604D6"/>
    <w:rsid w:val="3D980F2D"/>
    <w:rsid w:val="3D9B618F"/>
    <w:rsid w:val="3DE6740A"/>
    <w:rsid w:val="3E015FF2"/>
    <w:rsid w:val="3E130DD4"/>
    <w:rsid w:val="3E2148E6"/>
    <w:rsid w:val="3E587BDC"/>
    <w:rsid w:val="3E907376"/>
    <w:rsid w:val="3EA352FB"/>
    <w:rsid w:val="3EAE5A4E"/>
    <w:rsid w:val="3EBC63BD"/>
    <w:rsid w:val="3EE53B65"/>
    <w:rsid w:val="3EEC6CA2"/>
    <w:rsid w:val="3EF67B21"/>
    <w:rsid w:val="3F073ADC"/>
    <w:rsid w:val="3F5E56C6"/>
    <w:rsid w:val="3F9F3D14"/>
    <w:rsid w:val="3FA52BFA"/>
    <w:rsid w:val="3FAE3F57"/>
    <w:rsid w:val="3FCC6116"/>
    <w:rsid w:val="3FE967A3"/>
    <w:rsid w:val="401A339B"/>
    <w:rsid w:val="401D10DD"/>
    <w:rsid w:val="403A1C8F"/>
    <w:rsid w:val="40582115"/>
    <w:rsid w:val="405C1C05"/>
    <w:rsid w:val="40662A84"/>
    <w:rsid w:val="40730CFD"/>
    <w:rsid w:val="40A67324"/>
    <w:rsid w:val="40F24318"/>
    <w:rsid w:val="41130F39"/>
    <w:rsid w:val="415154E2"/>
    <w:rsid w:val="415471E5"/>
    <w:rsid w:val="416D5DD5"/>
    <w:rsid w:val="41870F04"/>
    <w:rsid w:val="41894C7C"/>
    <w:rsid w:val="4191768D"/>
    <w:rsid w:val="41AF3500"/>
    <w:rsid w:val="41C454A4"/>
    <w:rsid w:val="41C71300"/>
    <w:rsid w:val="41EA1EEB"/>
    <w:rsid w:val="42022339"/>
    <w:rsid w:val="42051E29"/>
    <w:rsid w:val="42536B3D"/>
    <w:rsid w:val="42642FF3"/>
    <w:rsid w:val="427A6373"/>
    <w:rsid w:val="42B70378"/>
    <w:rsid w:val="42B850ED"/>
    <w:rsid w:val="42E52590"/>
    <w:rsid w:val="42E8165A"/>
    <w:rsid w:val="43030A5E"/>
    <w:rsid w:val="431E31A2"/>
    <w:rsid w:val="43456981"/>
    <w:rsid w:val="435220CC"/>
    <w:rsid w:val="43896468"/>
    <w:rsid w:val="43A86F10"/>
    <w:rsid w:val="441D5B50"/>
    <w:rsid w:val="44467150"/>
    <w:rsid w:val="445B7EE8"/>
    <w:rsid w:val="446612A5"/>
    <w:rsid w:val="44832205"/>
    <w:rsid w:val="44AB6CB7"/>
    <w:rsid w:val="44C21C1E"/>
    <w:rsid w:val="44E55FE2"/>
    <w:rsid w:val="45107462"/>
    <w:rsid w:val="45513D03"/>
    <w:rsid w:val="455E1F7C"/>
    <w:rsid w:val="457479F1"/>
    <w:rsid w:val="458D2861"/>
    <w:rsid w:val="45A54D5B"/>
    <w:rsid w:val="45DB35CC"/>
    <w:rsid w:val="45F14B9E"/>
    <w:rsid w:val="46162856"/>
    <w:rsid w:val="46342CDD"/>
    <w:rsid w:val="46366A55"/>
    <w:rsid w:val="464A2600"/>
    <w:rsid w:val="46713F31"/>
    <w:rsid w:val="467734E5"/>
    <w:rsid w:val="46C6427C"/>
    <w:rsid w:val="47157CD6"/>
    <w:rsid w:val="472E597E"/>
    <w:rsid w:val="47411B55"/>
    <w:rsid w:val="47653A95"/>
    <w:rsid w:val="47713477"/>
    <w:rsid w:val="47881FFA"/>
    <w:rsid w:val="47887784"/>
    <w:rsid w:val="478F466E"/>
    <w:rsid w:val="47C87B80"/>
    <w:rsid w:val="48166B3E"/>
    <w:rsid w:val="482C6361"/>
    <w:rsid w:val="485E04E5"/>
    <w:rsid w:val="486D7A57"/>
    <w:rsid w:val="48783354"/>
    <w:rsid w:val="48A405ED"/>
    <w:rsid w:val="48C742DC"/>
    <w:rsid w:val="490515D6"/>
    <w:rsid w:val="49061CFC"/>
    <w:rsid w:val="491C63D6"/>
    <w:rsid w:val="49431BB4"/>
    <w:rsid w:val="49505810"/>
    <w:rsid w:val="49513989"/>
    <w:rsid w:val="495E3099"/>
    <w:rsid w:val="49736D23"/>
    <w:rsid w:val="49816239"/>
    <w:rsid w:val="49B20943"/>
    <w:rsid w:val="49C96BE7"/>
    <w:rsid w:val="49CF5375"/>
    <w:rsid w:val="49F20EE5"/>
    <w:rsid w:val="4A1D5BD4"/>
    <w:rsid w:val="4A912838"/>
    <w:rsid w:val="4A9D46FE"/>
    <w:rsid w:val="4AA87213"/>
    <w:rsid w:val="4AE0056A"/>
    <w:rsid w:val="4AFA2747"/>
    <w:rsid w:val="4B0A088C"/>
    <w:rsid w:val="4B1732F9"/>
    <w:rsid w:val="4B1C090F"/>
    <w:rsid w:val="4B4C152B"/>
    <w:rsid w:val="4B532522"/>
    <w:rsid w:val="4B8C4E80"/>
    <w:rsid w:val="4B934E19"/>
    <w:rsid w:val="4BA64049"/>
    <w:rsid w:val="4BBF129A"/>
    <w:rsid w:val="4BDB6229"/>
    <w:rsid w:val="4C120BAA"/>
    <w:rsid w:val="4C181F34"/>
    <w:rsid w:val="4C5B5467"/>
    <w:rsid w:val="4C627CDE"/>
    <w:rsid w:val="4C7F56B9"/>
    <w:rsid w:val="4CA961D2"/>
    <w:rsid w:val="4CB66B41"/>
    <w:rsid w:val="4CB80AD8"/>
    <w:rsid w:val="4CE0779D"/>
    <w:rsid w:val="4CFB09F8"/>
    <w:rsid w:val="4CFF2296"/>
    <w:rsid w:val="4D4001B9"/>
    <w:rsid w:val="4D4C62B2"/>
    <w:rsid w:val="4D64597E"/>
    <w:rsid w:val="4D7B7443"/>
    <w:rsid w:val="4D826A23"/>
    <w:rsid w:val="4D875DE8"/>
    <w:rsid w:val="4D8E64E8"/>
    <w:rsid w:val="4DA30E74"/>
    <w:rsid w:val="4DF351CF"/>
    <w:rsid w:val="4E564138"/>
    <w:rsid w:val="4E883AF0"/>
    <w:rsid w:val="4E9609D8"/>
    <w:rsid w:val="4EB40E5E"/>
    <w:rsid w:val="4ECC264C"/>
    <w:rsid w:val="4EE03A01"/>
    <w:rsid w:val="4EFA779D"/>
    <w:rsid w:val="4F004470"/>
    <w:rsid w:val="4F1162B1"/>
    <w:rsid w:val="4F4E4EE9"/>
    <w:rsid w:val="4F4F2935"/>
    <w:rsid w:val="4F6E3703"/>
    <w:rsid w:val="4F8545A9"/>
    <w:rsid w:val="4F98252E"/>
    <w:rsid w:val="4FA669F9"/>
    <w:rsid w:val="4FEB6B02"/>
    <w:rsid w:val="4FEE65F2"/>
    <w:rsid w:val="4FF82FCD"/>
    <w:rsid w:val="502A587C"/>
    <w:rsid w:val="50345083"/>
    <w:rsid w:val="503B1837"/>
    <w:rsid w:val="50461F8A"/>
    <w:rsid w:val="50463D38"/>
    <w:rsid w:val="5047516F"/>
    <w:rsid w:val="504D3319"/>
    <w:rsid w:val="50610B72"/>
    <w:rsid w:val="50630D8E"/>
    <w:rsid w:val="50722D7F"/>
    <w:rsid w:val="50746AF7"/>
    <w:rsid w:val="50970A38"/>
    <w:rsid w:val="50C54C02"/>
    <w:rsid w:val="50F47C38"/>
    <w:rsid w:val="510F05CE"/>
    <w:rsid w:val="5144296E"/>
    <w:rsid w:val="51497F84"/>
    <w:rsid w:val="51714DE5"/>
    <w:rsid w:val="51805883"/>
    <w:rsid w:val="51AE04C1"/>
    <w:rsid w:val="51B535DB"/>
    <w:rsid w:val="51C4760A"/>
    <w:rsid w:val="51C969CF"/>
    <w:rsid w:val="51E41A5B"/>
    <w:rsid w:val="51E43809"/>
    <w:rsid w:val="51E4760B"/>
    <w:rsid w:val="521E31BF"/>
    <w:rsid w:val="52592449"/>
    <w:rsid w:val="527B362E"/>
    <w:rsid w:val="5285323E"/>
    <w:rsid w:val="52A42F98"/>
    <w:rsid w:val="52D02FA0"/>
    <w:rsid w:val="52D43E71"/>
    <w:rsid w:val="542D593B"/>
    <w:rsid w:val="54752E3E"/>
    <w:rsid w:val="54843081"/>
    <w:rsid w:val="549260BA"/>
    <w:rsid w:val="54C3004D"/>
    <w:rsid w:val="54DF6509"/>
    <w:rsid w:val="550B5550"/>
    <w:rsid w:val="55185652"/>
    <w:rsid w:val="552705DC"/>
    <w:rsid w:val="55284354"/>
    <w:rsid w:val="552F123F"/>
    <w:rsid w:val="555B64D8"/>
    <w:rsid w:val="555C7B5A"/>
    <w:rsid w:val="558A46C7"/>
    <w:rsid w:val="558F6563"/>
    <w:rsid w:val="55D52B47"/>
    <w:rsid w:val="55FA5879"/>
    <w:rsid w:val="561C3E91"/>
    <w:rsid w:val="562E7E82"/>
    <w:rsid w:val="56312D95"/>
    <w:rsid w:val="56462CE4"/>
    <w:rsid w:val="56625644"/>
    <w:rsid w:val="56B0015D"/>
    <w:rsid w:val="56D77DE0"/>
    <w:rsid w:val="56ED13B1"/>
    <w:rsid w:val="56F04B98"/>
    <w:rsid w:val="57323268"/>
    <w:rsid w:val="573C7C43"/>
    <w:rsid w:val="577C7680"/>
    <w:rsid w:val="579655A5"/>
    <w:rsid w:val="57EE5451"/>
    <w:rsid w:val="581D5CC6"/>
    <w:rsid w:val="583156D7"/>
    <w:rsid w:val="583A6878"/>
    <w:rsid w:val="583F5C3D"/>
    <w:rsid w:val="58615BB3"/>
    <w:rsid w:val="587812C1"/>
    <w:rsid w:val="58810003"/>
    <w:rsid w:val="589A4085"/>
    <w:rsid w:val="58A2092E"/>
    <w:rsid w:val="58DE14C6"/>
    <w:rsid w:val="58EE24A8"/>
    <w:rsid w:val="58F85DEC"/>
    <w:rsid w:val="596A0A97"/>
    <w:rsid w:val="59757612"/>
    <w:rsid w:val="59F7288F"/>
    <w:rsid w:val="5A1316B7"/>
    <w:rsid w:val="5A2E5F69"/>
    <w:rsid w:val="5A380B96"/>
    <w:rsid w:val="5A5F372F"/>
    <w:rsid w:val="5AA24261"/>
    <w:rsid w:val="5ACC7530"/>
    <w:rsid w:val="5AD703AE"/>
    <w:rsid w:val="5AE20B01"/>
    <w:rsid w:val="5B02533B"/>
    <w:rsid w:val="5B267171"/>
    <w:rsid w:val="5B4D0671"/>
    <w:rsid w:val="5B5F03A4"/>
    <w:rsid w:val="5B743E4F"/>
    <w:rsid w:val="5B7C0B32"/>
    <w:rsid w:val="5B9444F1"/>
    <w:rsid w:val="5BAF30D9"/>
    <w:rsid w:val="5BC14BBB"/>
    <w:rsid w:val="5BE811C5"/>
    <w:rsid w:val="5C08561B"/>
    <w:rsid w:val="5C1E200D"/>
    <w:rsid w:val="5C2F421A"/>
    <w:rsid w:val="5C3929A3"/>
    <w:rsid w:val="5C471BFE"/>
    <w:rsid w:val="5C794FFD"/>
    <w:rsid w:val="5C7E1C36"/>
    <w:rsid w:val="5C950521"/>
    <w:rsid w:val="5C98591B"/>
    <w:rsid w:val="5CB70498"/>
    <w:rsid w:val="5CC238B2"/>
    <w:rsid w:val="5CE172C2"/>
    <w:rsid w:val="5CEB1EEF"/>
    <w:rsid w:val="5CF039A9"/>
    <w:rsid w:val="5D0016B7"/>
    <w:rsid w:val="5D064C64"/>
    <w:rsid w:val="5D344BDF"/>
    <w:rsid w:val="5D69550A"/>
    <w:rsid w:val="5D6E48CE"/>
    <w:rsid w:val="5D7E2D63"/>
    <w:rsid w:val="5D812854"/>
    <w:rsid w:val="5DA327CA"/>
    <w:rsid w:val="5DAF5B27"/>
    <w:rsid w:val="5DB5346D"/>
    <w:rsid w:val="5DE042AA"/>
    <w:rsid w:val="5DED1C97"/>
    <w:rsid w:val="5E224037"/>
    <w:rsid w:val="5E4775F9"/>
    <w:rsid w:val="5E594DD9"/>
    <w:rsid w:val="5E5D6E1D"/>
    <w:rsid w:val="5E944131"/>
    <w:rsid w:val="5F21609C"/>
    <w:rsid w:val="5F246552"/>
    <w:rsid w:val="5F2931A3"/>
    <w:rsid w:val="5F434264"/>
    <w:rsid w:val="5F697A43"/>
    <w:rsid w:val="5FC52DA3"/>
    <w:rsid w:val="60577A69"/>
    <w:rsid w:val="6080282F"/>
    <w:rsid w:val="60BF5B6D"/>
    <w:rsid w:val="60C413D5"/>
    <w:rsid w:val="60E05AE3"/>
    <w:rsid w:val="60E71F1C"/>
    <w:rsid w:val="61001CE1"/>
    <w:rsid w:val="612400C6"/>
    <w:rsid w:val="613A22FD"/>
    <w:rsid w:val="615B0399"/>
    <w:rsid w:val="61774699"/>
    <w:rsid w:val="61A30FEA"/>
    <w:rsid w:val="62045801"/>
    <w:rsid w:val="620F042E"/>
    <w:rsid w:val="622F7825"/>
    <w:rsid w:val="623E51B7"/>
    <w:rsid w:val="62436329"/>
    <w:rsid w:val="625D388F"/>
    <w:rsid w:val="62761EE2"/>
    <w:rsid w:val="62A36DC8"/>
    <w:rsid w:val="62B2525D"/>
    <w:rsid w:val="62C3053F"/>
    <w:rsid w:val="62C3746A"/>
    <w:rsid w:val="62EC69C1"/>
    <w:rsid w:val="62F67BC0"/>
    <w:rsid w:val="62F85366"/>
    <w:rsid w:val="63147CC6"/>
    <w:rsid w:val="633B34A5"/>
    <w:rsid w:val="63495BC1"/>
    <w:rsid w:val="639F3A33"/>
    <w:rsid w:val="63B53257"/>
    <w:rsid w:val="63BC45E5"/>
    <w:rsid w:val="63D40D5E"/>
    <w:rsid w:val="644440DF"/>
    <w:rsid w:val="64607667"/>
    <w:rsid w:val="64776FF1"/>
    <w:rsid w:val="64CD1CA4"/>
    <w:rsid w:val="64F953C5"/>
    <w:rsid w:val="65237776"/>
    <w:rsid w:val="65530F79"/>
    <w:rsid w:val="655A40B6"/>
    <w:rsid w:val="656433EA"/>
    <w:rsid w:val="656C3AD8"/>
    <w:rsid w:val="656E7B61"/>
    <w:rsid w:val="658904F7"/>
    <w:rsid w:val="659B647C"/>
    <w:rsid w:val="65F8526B"/>
    <w:rsid w:val="66292CE4"/>
    <w:rsid w:val="66EF6A80"/>
    <w:rsid w:val="66F61BBC"/>
    <w:rsid w:val="6716225F"/>
    <w:rsid w:val="673B3899"/>
    <w:rsid w:val="67513297"/>
    <w:rsid w:val="67650AF0"/>
    <w:rsid w:val="678418BE"/>
    <w:rsid w:val="679E1C0B"/>
    <w:rsid w:val="67D143D7"/>
    <w:rsid w:val="67F24A7A"/>
    <w:rsid w:val="681A7B2C"/>
    <w:rsid w:val="6862070B"/>
    <w:rsid w:val="68A77C75"/>
    <w:rsid w:val="68B24209"/>
    <w:rsid w:val="68DA3646"/>
    <w:rsid w:val="68F14E19"/>
    <w:rsid w:val="68F641C2"/>
    <w:rsid w:val="69256789"/>
    <w:rsid w:val="69584DB0"/>
    <w:rsid w:val="69AA3132"/>
    <w:rsid w:val="69AE0DCE"/>
    <w:rsid w:val="69C77840"/>
    <w:rsid w:val="69E44896"/>
    <w:rsid w:val="69F3645D"/>
    <w:rsid w:val="69FE2276"/>
    <w:rsid w:val="6A1862EE"/>
    <w:rsid w:val="6A44512A"/>
    <w:rsid w:val="6A5C61DA"/>
    <w:rsid w:val="6A667059"/>
    <w:rsid w:val="6A81400C"/>
    <w:rsid w:val="6A9260A0"/>
    <w:rsid w:val="6AA14535"/>
    <w:rsid w:val="6AA22C57"/>
    <w:rsid w:val="6AA630A8"/>
    <w:rsid w:val="6AD466B8"/>
    <w:rsid w:val="6B2A0087"/>
    <w:rsid w:val="6B3563C6"/>
    <w:rsid w:val="6B381ACA"/>
    <w:rsid w:val="6B39476E"/>
    <w:rsid w:val="6B480E55"/>
    <w:rsid w:val="6B4A697B"/>
    <w:rsid w:val="6B6F0A51"/>
    <w:rsid w:val="6B9E0A74"/>
    <w:rsid w:val="6BA0061E"/>
    <w:rsid w:val="6BAC13E3"/>
    <w:rsid w:val="6BB107A8"/>
    <w:rsid w:val="6BBE7EB0"/>
    <w:rsid w:val="6BE70117"/>
    <w:rsid w:val="6BEE0080"/>
    <w:rsid w:val="6C117498"/>
    <w:rsid w:val="6C1B3E73"/>
    <w:rsid w:val="6C3867D3"/>
    <w:rsid w:val="6C570CDE"/>
    <w:rsid w:val="6C81627F"/>
    <w:rsid w:val="6C832144"/>
    <w:rsid w:val="6C895928"/>
    <w:rsid w:val="6C9360FF"/>
    <w:rsid w:val="6CB57AA1"/>
    <w:rsid w:val="6CD04C5E"/>
    <w:rsid w:val="6D013069"/>
    <w:rsid w:val="6D045452"/>
    <w:rsid w:val="6D0D1A0E"/>
    <w:rsid w:val="6D390A55"/>
    <w:rsid w:val="6D3A657B"/>
    <w:rsid w:val="6DE2733E"/>
    <w:rsid w:val="6DF56607"/>
    <w:rsid w:val="6E0A02F8"/>
    <w:rsid w:val="6E1B63AC"/>
    <w:rsid w:val="6E2B2468"/>
    <w:rsid w:val="6E3B07FD"/>
    <w:rsid w:val="6E502867"/>
    <w:rsid w:val="6E5F54FD"/>
    <w:rsid w:val="6E6C4E5A"/>
    <w:rsid w:val="6E8428B7"/>
    <w:rsid w:val="6EA61A19"/>
    <w:rsid w:val="6EAB7730"/>
    <w:rsid w:val="6EB8009F"/>
    <w:rsid w:val="6ED72AAF"/>
    <w:rsid w:val="6EFA4214"/>
    <w:rsid w:val="6EFC4430"/>
    <w:rsid w:val="6F015BD7"/>
    <w:rsid w:val="6F425238"/>
    <w:rsid w:val="6F456AD9"/>
    <w:rsid w:val="6F7C10CD"/>
    <w:rsid w:val="6F8D4F55"/>
    <w:rsid w:val="6F9C4BBB"/>
    <w:rsid w:val="6FE1126C"/>
    <w:rsid w:val="6FED5B27"/>
    <w:rsid w:val="6FFD0629"/>
    <w:rsid w:val="704716DB"/>
    <w:rsid w:val="704B5D09"/>
    <w:rsid w:val="7053007F"/>
    <w:rsid w:val="706A7177"/>
    <w:rsid w:val="70721515"/>
    <w:rsid w:val="708C3591"/>
    <w:rsid w:val="70976F25"/>
    <w:rsid w:val="70C90342"/>
    <w:rsid w:val="70DC0075"/>
    <w:rsid w:val="70F25AEA"/>
    <w:rsid w:val="71145A61"/>
    <w:rsid w:val="715F2A54"/>
    <w:rsid w:val="718B55F7"/>
    <w:rsid w:val="718C1A9B"/>
    <w:rsid w:val="718F1693"/>
    <w:rsid w:val="719646C8"/>
    <w:rsid w:val="71A30B93"/>
    <w:rsid w:val="71C50B09"/>
    <w:rsid w:val="71DD0CA3"/>
    <w:rsid w:val="71EE2673"/>
    <w:rsid w:val="7218332F"/>
    <w:rsid w:val="72231CD3"/>
    <w:rsid w:val="725D51E5"/>
    <w:rsid w:val="726C367A"/>
    <w:rsid w:val="727F33AE"/>
    <w:rsid w:val="72861515"/>
    <w:rsid w:val="72B8241C"/>
    <w:rsid w:val="72D1172F"/>
    <w:rsid w:val="72E9232D"/>
    <w:rsid w:val="73003244"/>
    <w:rsid w:val="73661E78"/>
    <w:rsid w:val="73B169E1"/>
    <w:rsid w:val="73E01C2A"/>
    <w:rsid w:val="73F20577"/>
    <w:rsid w:val="74257F85"/>
    <w:rsid w:val="742A10F7"/>
    <w:rsid w:val="7440091B"/>
    <w:rsid w:val="74442DF9"/>
    <w:rsid w:val="744916EF"/>
    <w:rsid w:val="74940C67"/>
    <w:rsid w:val="74B86703"/>
    <w:rsid w:val="751B4EE4"/>
    <w:rsid w:val="753366D1"/>
    <w:rsid w:val="7561323F"/>
    <w:rsid w:val="75947170"/>
    <w:rsid w:val="75D27C98"/>
    <w:rsid w:val="75E8126A"/>
    <w:rsid w:val="760065B4"/>
    <w:rsid w:val="76065B94"/>
    <w:rsid w:val="760D2A7F"/>
    <w:rsid w:val="76165DD7"/>
    <w:rsid w:val="762C1BC5"/>
    <w:rsid w:val="763C479A"/>
    <w:rsid w:val="763F199A"/>
    <w:rsid w:val="7657019E"/>
    <w:rsid w:val="76640839"/>
    <w:rsid w:val="768D3F8B"/>
    <w:rsid w:val="768F3DF2"/>
    <w:rsid w:val="76A038F3"/>
    <w:rsid w:val="76C006BA"/>
    <w:rsid w:val="76DD4B47"/>
    <w:rsid w:val="76EC2FDC"/>
    <w:rsid w:val="76EF4463"/>
    <w:rsid w:val="76EF6628"/>
    <w:rsid w:val="770E4D00"/>
    <w:rsid w:val="77104F3A"/>
    <w:rsid w:val="771D4F43"/>
    <w:rsid w:val="774424D0"/>
    <w:rsid w:val="777A05E8"/>
    <w:rsid w:val="777D572D"/>
    <w:rsid w:val="77D73344"/>
    <w:rsid w:val="77F263D0"/>
    <w:rsid w:val="78082846"/>
    <w:rsid w:val="781A16DB"/>
    <w:rsid w:val="782A5B6A"/>
    <w:rsid w:val="784D3606"/>
    <w:rsid w:val="786A240A"/>
    <w:rsid w:val="787B5AD5"/>
    <w:rsid w:val="78C87131"/>
    <w:rsid w:val="791A5BDE"/>
    <w:rsid w:val="79420C91"/>
    <w:rsid w:val="7951235E"/>
    <w:rsid w:val="796C3F60"/>
    <w:rsid w:val="798D4602"/>
    <w:rsid w:val="79955265"/>
    <w:rsid w:val="79AB4DB8"/>
    <w:rsid w:val="79CB0C87"/>
    <w:rsid w:val="79D5336A"/>
    <w:rsid w:val="7A1212E8"/>
    <w:rsid w:val="7A1268B5"/>
    <w:rsid w:val="7A140880"/>
    <w:rsid w:val="7A4D7298"/>
    <w:rsid w:val="7A515E1A"/>
    <w:rsid w:val="7A7F050F"/>
    <w:rsid w:val="7AA8721A"/>
    <w:rsid w:val="7AAD4830"/>
    <w:rsid w:val="7AE83ABA"/>
    <w:rsid w:val="7AF406B1"/>
    <w:rsid w:val="7B1D7C08"/>
    <w:rsid w:val="7B737828"/>
    <w:rsid w:val="7B8B2DC3"/>
    <w:rsid w:val="7B8D45CE"/>
    <w:rsid w:val="7B9A4DB4"/>
    <w:rsid w:val="7BA07EF1"/>
    <w:rsid w:val="7BB10350"/>
    <w:rsid w:val="7BC462D5"/>
    <w:rsid w:val="7BD77DB7"/>
    <w:rsid w:val="7C1508DF"/>
    <w:rsid w:val="7C1C7EBF"/>
    <w:rsid w:val="7C220986"/>
    <w:rsid w:val="7C5807CC"/>
    <w:rsid w:val="7C8B294F"/>
    <w:rsid w:val="7C945CA8"/>
    <w:rsid w:val="7CE64048"/>
    <w:rsid w:val="7CF03125"/>
    <w:rsid w:val="7CF14ADB"/>
    <w:rsid w:val="7D1E2BDB"/>
    <w:rsid w:val="7D2E5047"/>
    <w:rsid w:val="7D342213"/>
    <w:rsid w:val="7D3905FD"/>
    <w:rsid w:val="7D6438CC"/>
    <w:rsid w:val="7DAA32A9"/>
    <w:rsid w:val="7DCC321F"/>
    <w:rsid w:val="7DDD542C"/>
    <w:rsid w:val="7E1C5F55"/>
    <w:rsid w:val="7E584AB3"/>
    <w:rsid w:val="7E633B84"/>
    <w:rsid w:val="7E696CC0"/>
    <w:rsid w:val="7E8A55B4"/>
    <w:rsid w:val="7E943DD0"/>
    <w:rsid w:val="7EAA7A04"/>
    <w:rsid w:val="7EBC14E6"/>
    <w:rsid w:val="7EC95564"/>
    <w:rsid w:val="7EE30820"/>
    <w:rsid w:val="7EEA7E01"/>
    <w:rsid w:val="7EFA6184"/>
    <w:rsid w:val="7F0569E9"/>
    <w:rsid w:val="7F3B16D8"/>
    <w:rsid w:val="7F482AF6"/>
    <w:rsid w:val="7F51405C"/>
    <w:rsid w:val="7F604567"/>
    <w:rsid w:val="7F765B38"/>
    <w:rsid w:val="7F792F33"/>
    <w:rsid w:val="7F8746E3"/>
    <w:rsid w:val="7F8A15E4"/>
    <w:rsid w:val="7F9D30C5"/>
    <w:rsid w:val="7FBE0B72"/>
    <w:rsid w:val="7FD55677"/>
    <w:rsid w:val="7FDD34C2"/>
    <w:rsid w:val="7FEE1B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99"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name="Body Text First Indent 2"/>
    <w:lsdException w:uiPriority="99" w:name="Note Heading"/>
    <w:lsdException w:uiPriority="99" w:name="Body Text 2"/>
    <w:lsdException w:qFormat="1" w:uiPriority="99" w:semiHidden="0"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qFormat="1"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9"/>
    <w:qFormat/>
    <w:uiPriority w:val="0"/>
    <w:pPr>
      <w:keepNext/>
      <w:keepLines/>
      <w:spacing w:before="340" w:after="330" w:line="576" w:lineRule="auto"/>
      <w:outlineLvl w:val="0"/>
    </w:pPr>
    <w:rPr>
      <w:b/>
      <w:bCs/>
      <w:kern w:val="44"/>
      <w:sz w:val="44"/>
      <w:szCs w:val="44"/>
    </w:rPr>
  </w:style>
  <w:style w:type="paragraph" w:styleId="3">
    <w:name w:val="heading 2"/>
    <w:basedOn w:val="1"/>
    <w:next w:val="1"/>
    <w:link w:val="50"/>
    <w:qFormat/>
    <w:uiPriority w:val="0"/>
    <w:pPr>
      <w:keepNext/>
      <w:keepLines/>
      <w:spacing w:before="260" w:after="260" w:line="413" w:lineRule="auto"/>
      <w:outlineLvl w:val="1"/>
    </w:pPr>
    <w:rPr>
      <w:rFonts w:ascii="Arial" w:hAnsi="Arial" w:eastAsia="黑体"/>
      <w:b/>
      <w:bCs/>
      <w:sz w:val="32"/>
      <w:szCs w:val="32"/>
    </w:rPr>
  </w:style>
  <w:style w:type="paragraph" w:styleId="4">
    <w:name w:val="heading 3"/>
    <w:basedOn w:val="1"/>
    <w:next w:val="1"/>
    <w:link w:val="51"/>
    <w:qFormat/>
    <w:uiPriority w:val="0"/>
    <w:pPr>
      <w:keepNext/>
      <w:keepLines/>
      <w:spacing w:line="600" w:lineRule="exact"/>
      <w:ind w:firstLine="643" w:firstLineChars="200"/>
      <w:outlineLvl w:val="2"/>
    </w:pPr>
    <w:rPr>
      <w:b/>
      <w:bCs/>
      <w:sz w:val="32"/>
      <w:szCs w:val="32"/>
    </w:rPr>
  </w:style>
  <w:style w:type="paragraph" w:styleId="5">
    <w:name w:val="heading 4"/>
    <w:basedOn w:val="1"/>
    <w:next w:val="1"/>
    <w:link w:val="52"/>
    <w:qFormat/>
    <w:uiPriority w:val="0"/>
    <w:pPr>
      <w:tabs>
        <w:tab w:val="left" w:pos="2155"/>
      </w:tabs>
      <w:adjustRightInd w:val="0"/>
      <w:spacing w:before="120" w:line="360" w:lineRule="auto"/>
      <w:ind w:left="2155" w:hanging="1078"/>
      <w:textAlignment w:val="baseline"/>
      <w:outlineLvl w:val="3"/>
    </w:pPr>
    <w:rPr>
      <w:rFonts w:ascii="Arial" w:eastAsia="黑体"/>
      <w:kern w:val="0"/>
      <w:sz w:val="28"/>
      <w:szCs w:val="20"/>
    </w:rPr>
  </w:style>
  <w:style w:type="paragraph" w:styleId="6">
    <w:name w:val="heading 5"/>
    <w:basedOn w:val="1"/>
    <w:next w:val="1"/>
    <w:link w:val="53"/>
    <w:qFormat/>
    <w:uiPriority w:val="9"/>
    <w:pPr>
      <w:keepNext/>
      <w:keepLines/>
      <w:spacing w:before="280" w:after="290" w:line="376" w:lineRule="auto"/>
      <w:outlineLvl w:val="4"/>
    </w:pPr>
    <w:rPr>
      <w:b/>
      <w:bCs/>
      <w:sz w:val="28"/>
      <w:szCs w:val="28"/>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7">
    <w:name w:val="toc 7"/>
    <w:basedOn w:val="1"/>
    <w:next w:val="1"/>
    <w:unhideWhenUsed/>
    <w:qFormat/>
    <w:uiPriority w:val="39"/>
    <w:pPr>
      <w:jc w:val="left"/>
    </w:pPr>
    <w:rPr>
      <w:rFonts w:ascii="Calibri" w:hAnsi="Calibri"/>
      <w:sz w:val="22"/>
      <w:szCs w:val="22"/>
    </w:rPr>
  </w:style>
  <w:style w:type="paragraph" w:styleId="8">
    <w:name w:val="Normal Indent"/>
    <w:basedOn w:val="1"/>
    <w:qFormat/>
    <w:uiPriority w:val="99"/>
    <w:pPr>
      <w:ind w:firstLine="420"/>
    </w:pPr>
    <w:rPr>
      <w:szCs w:val="20"/>
    </w:rPr>
  </w:style>
  <w:style w:type="paragraph" w:styleId="9">
    <w:name w:val="caption"/>
    <w:basedOn w:val="1"/>
    <w:next w:val="1"/>
    <w:qFormat/>
    <w:uiPriority w:val="0"/>
    <w:pPr>
      <w:spacing w:before="152" w:after="160"/>
    </w:pPr>
    <w:rPr>
      <w:rFonts w:ascii="Arial" w:hAnsi="Arial" w:eastAsia="黑体" w:cs="Arial"/>
      <w:sz w:val="20"/>
      <w:szCs w:val="20"/>
    </w:rPr>
  </w:style>
  <w:style w:type="paragraph" w:styleId="10">
    <w:name w:val="Document Map"/>
    <w:basedOn w:val="1"/>
    <w:link w:val="55"/>
    <w:qFormat/>
    <w:uiPriority w:val="0"/>
    <w:rPr>
      <w:rFonts w:ascii="宋体"/>
      <w:sz w:val="18"/>
      <w:szCs w:val="18"/>
    </w:rPr>
  </w:style>
  <w:style w:type="paragraph" w:styleId="11">
    <w:name w:val="annotation text"/>
    <w:basedOn w:val="1"/>
    <w:link w:val="57"/>
    <w:qFormat/>
    <w:uiPriority w:val="0"/>
    <w:pPr>
      <w:jc w:val="left"/>
    </w:pPr>
  </w:style>
  <w:style w:type="paragraph" w:styleId="12">
    <w:name w:val="Body Text 3"/>
    <w:basedOn w:val="1"/>
    <w:link w:val="59"/>
    <w:unhideWhenUsed/>
    <w:qFormat/>
    <w:uiPriority w:val="99"/>
    <w:pPr>
      <w:spacing w:after="120"/>
    </w:pPr>
    <w:rPr>
      <w:sz w:val="16"/>
      <w:szCs w:val="16"/>
    </w:rPr>
  </w:style>
  <w:style w:type="paragraph" w:styleId="13">
    <w:name w:val="Body Text"/>
    <w:basedOn w:val="1"/>
    <w:next w:val="1"/>
    <w:link w:val="61"/>
    <w:unhideWhenUsed/>
    <w:qFormat/>
    <w:uiPriority w:val="99"/>
    <w:pPr>
      <w:spacing w:after="120"/>
    </w:pPr>
  </w:style>
  <w:style w:type="paragraph" w:styleId="14">
    <w:name w:val="Body Text Indent"/>
    <w:basedOn w:val="1"/>
    <w:link w:val="63"/>
    <w:qFormat/>
    <w:uiPriority w:val="0"/>
    <w:pPr>
      <w:spacing w:line="200" w:lineRule="exact"/>
      <w:ind w:firstLine="301"/>
    </w:pPr>
    <w:rPr>
      <w:rFonts w:ascii="宋体" w:hAnsi="Courier New"/>
      <w:spacing w:val="-4"/>
      <w:sz w:val="18"/>
      <w:szCs w:val="20"/>
    </w:rPr>
  </w:style>
  <w:style w:type="paragraph" w:styleId="15">
    <w:name w:val="toc 5"/>
    <w:basedOn w:val="1"/>
    <w:next w:val="1"/>
    <w:unhideWhenUsed/>
    <w:qFormat/>
    <w:uiPriority w:val="39"/>
    <w:pPr>
      <w:jc w:val="left"/>
    </w:pPr>
    <w:rPr>
      <w:rFonts w:ascii="Calibri" w:hAnsi="Calibri"/>
      <w:sz w:val="22"/>
      <w:szCs w:val="22"/>
    </w:rPr>
  </w:style>
  <w:style w:type="paragraph" w:styleId="16">
    <w:name w:val="toc 3"/>
    <w:basedOn w:val="1"/>
    <w:next w:val="1"/>
    <w:unhideWhenUsed/>
    <w:qFormat/>
    <w:uiPriority w:val="39"/>
    <w:pPr>
      <w:jc w:val="left"/>
    </w:pPr>
    <w:rPr>
      <w:rFonts w:ascii="Calibri" w:hAnsi="Calibri"/>
      <w:smallCaps/>
      <w:sz w:val="22"/>
      <w:szCs w:val="22"/>
    </w:rPr>
  </w:style>
  <w:style w:type="paragraph" w:styleId="17">
    <w:name w:val="Plain Text"/>
    <w:basedOn w:val="1"/>
    <w:link w:val="65"/>
    <w:qFormat/>
    <w:uiPriority w:val="0"/>
    <w:pPr>
      <w:adjustRightInd w:val="0"/>
      <w:snapToGrid w:val="0"/>
      <w:spacing w:line="460" w:lineRule="exact"/>
      <w:jc w:val="center"/>
    </w:pPr>
    <w:rPr>
      <w:rFonts w:cs="宋体" w:asciiTheme="minorEastAsia" w:hAnsiTheme="minorEastAsia" w:eastAsiaTheme="minorEastAsia"/>
      <w:b/>
      <w:bCs/>
      <w:sz w:val="28"/>
      <w:szCs w:val="28"/>
    </w:rPr>
  </w:style>
  <w:style w:type="paragraph" w:styleId="18">
    <w:name w:val="toc 8"/>
    <w:basedOn w:val="1"/>
    <w:next w:val="1"/>
    <w:unhideWhenUsed/>
    <w:qFormat/>
    <w:uiPriority w:val="39"/>
    <w:pPr>
      <w:jc w:val="left"/>
    </w:pPr>
    <w:rPr>
      <w:rFonts w:ascii="Calibri" w:hAnsi="Calibri"/>
      <w:sz w:val="22"/>
      <w:szCs w:val="22"/>
    </w:rPr>
  </w:style>
  <w:style w:type="paragraph" w:styleId="19">
    <w:name w:val="Date"/>
    <w:basedOn w:val="1"/>
    <w:next w:val="1"/>
    <w:link w:val="67"/>
    <w:qFormat/>
    <w:uiPriority w:val="0"/>
    <w:pPr>
      <w:ind w:left="100" w:leftChars="2500"/>
    </w:pPr>
  </w:style>
  <w:style w:type="paragraph" w:styleId="20">
    <w:name w:val="Body Text Indent 2"/>
    <w:basedOn w:val="1"/>
    <w:link w:val="69"/>
    <w:qFormat/>
    <w:uiPriority w:val="0"/>
    <w:pPr>
      <w:spacing w:after="120" w:line="480" w:lineRule="auto"/>
      <w:ind w:left="420" w:leftChars="200"/>
    </w:pPr>
  </w:style>
  <w:style w:type="paragraph" w:styleId="21">
    <w:name w:val="Balloon Text"/>
    <w:basedOn w:val="1"/>
    <w:link w:val="71"/>
    <w:qFormat/>
    <w:uiPriority w:val="0"/>
    <w:rPr>
      <w:sz w:val="18"/>
      <w:szCs w:val="18"/>
    </w:rPr>
  </w:style>
  <w:style w:type="paragraph" w:styleId="22">
    <w:name w:val="footer"/>
    <w:basedOn w:val="1"/>
    <w:link w:val="43"/>
    <w:unhideWhenUsed/>
    <w:qFormat/>
    <w:uiPriority w:val="99"/>
    <w:pPr>
      <w:tabs>
        <w:tab w:val="center" w:pos="4153"/>
        <w:tab w:val="right" w:pos="8306"/>
      </w:tabs>
      <w:snapToGrid w:val="0"/>
      <w:jc w:val="left"/>
    </w:pPr>
    <w:rPr>
      <w:sz w:val="18"/>
      <w:szCs w:val="18"/>
    </w:rPr>
  </w:style>
  <w:style w:type="paragraph" w:styleId="23">
    <w:name w:val="header"/>
    <w:basedOn w:val="1"/>
    <w:link w:val="42"/>
    <w:unhideWhenUsed/>
    <w:qFormat/>
    <w:uiPriority w:val="99"/>
    <w:pPr>
      <w:pBdr>
        <w:bottom w:val="single" w:color="auto" w:sz="6" w:space="1"/>
      </w:pBdr>
      <w:tabs>
        <w:tab w:val="center" w:pos="4153"/>
        <w:tab w:val="right" w:pos="8306"/>
      </w:tabs>
      <w:snapToGrid w:val="0"/>
      <w:jc w:val="center"/>
    </w:pPr>
    <w:rPr>
      <w:sz w:val="18"/>
      <w:szCs w:val="18"/>
    </w:rPr>
  </w:style>
  <w:style w:type="paragraph" w:styleId="24">
    <w:name w:val="toc 1"/>
    <w:basedOn w:val="1"/>
    <w:next w:val="1"/>
    <w:qFormat/>
    <w:uiPriority w:val="39"/>
    <w:pPr>
      <w:spacing w:before="360" w:after="360"/>
      <w:jc w:val="left"/>
    </w:pPr>
    <w:rPr>
      <w:rFonts w:ascii="Calibri" w:hAnsi="Calibri"/>
      <w:b/>
      <w:bCs/>
      <w:caps/>
      <w:sz w:val="22"/>
      <w:szCs w:val="22"/>
      <w:u w:val="single"/>
    </w:rPr>
  </w:style>
  <w:style w:type="paragraph" w:styleId="25">
    <w:name w:val="toc 4"/>
    <w:basedOn w:val="1"/>
    <w:next w:val="1"/>
    <w:unhideWhenUsed/>
    <w:qFormat/>
    <w:uiPriority w:val="39"/>
    <w:pPr>
      <w:jc w:val="left"/>
    </w:pPr>
    <w:rPr>
      <w:rFonts w:ascii="Calibri" w:hAnsi="Calibri"/>
      <w:sz w:val="22"/>
      <w:szCs w:val="22"/>
    </w:rPr>
  </w:style>
  <w:style w:type="paragraph" w:styleId="26">
    <w:name w:val="List"/>
    <w:basedOn w:val="1"/>
    <w:qFormat/>
    <w:uiPriority w:val="0"/>
    <w:pPr>
      <w:ind w:left="200" w:hanging="200" w:hangingChars="200"/>
    </w:pPr>
    <w:rPr>
      <w:sz w:val="28"/>
    </w:rPr>
  </w:style>
  <w:style w:type="paragraph" w:styleId="27">
    <w:name w:val="toc 6"/>
    <w:basedOn w:val="1"/>
    <w:next w:val="1"/>
    <w:unhideWhenUsed/>
    <w:qFormat/>
    <w:uiPriority w:val="39"/>
    <w:pPr>
      <w:jc w:val="left"/>
    </w:pPr>
    <w:rPr>
      <w:rFonts w:ascii="Calibri" w:hAnsi="Calibri"/>
      <w:sz w:val="22"/>
      <w:szCs w:val="22"/>
    </w:rPr>
  </w:style>
  <w:style w:type="paragraph" w:styleId="28">
    <w:name w:val="toc 2"/>
    <w:basedOn w:val="1"/>
    <w:next w:val="1"/>
    <w:qFormat/>
    <w:uiPriority w:val="39"/>
    <w:pPr>
      <w:jc w:val="left"/>
    </w:pPr>
    <w:rPr>
      <w:rFonts w:ascii="Calibri" w:hAnsi="Calibri"/>
      <w:b/>
      <w:bCs/>
      <w:smallCaps/>
      <w:sz w:val="22"/>
      <w:szCs w:val="22"/>
    </w:rPr>
  </w:style>
  <w:style w:type="paragraph" w:styleId="29">
    <w:name w:val="toc 9"/>
    <w:basedOn w:val="1"/>
    <w:next w:val="1"/>
    <w:unhideWhenUsed/>
    <w:qFormat/>
    <w:uiPriority w:val="39"/>
    <w:pPr>
      <w:jc w:val="left"/>
    </w:pPr>
    <w:rPr>
      <w:rFonts w:ascii="Calibri" w:hAnsi="Calibri"/>
      <w:sz w:val="22"/>
      <w:szCs w:val="22"/>
    </w:rPr>
  </w:style>
  <w:style w:type="paragraph" w:styleId="30">
    <w:name w:val="Normal (Web)"/>
    <w:basedOn w:val="1"/>
    <w:next w:val="1"/>
    <w:semiHidden/>
    <w:unhideWhenUsed/>
    <w:qFormat/>
    <w:uiPriority w:val="99"/>
    <w:pPr>
      <w:widowControl/>
      <w:spacing w:before="100" w:beforeAutospacing="1" w:after="100" w:afterAutospacing="1"/>
      <w:jc w:val="left"/>
    </w:pPr>
    <w:rPr>
      <w:rFonts w:ascii="宋体" w:hAnsi="宋体" w:cs="宋体"/>
      <w:kern w:val="0"/>
      <w:sz w:val="24"/>
    </w:rPr>
  </w:style>
  <w:style w:type="paragraph" w:styleId="31">
    <w:name w:val="Title"/>
    <w:basedOn w:val="1"/>
    <w:next w:val="1"/>
    <w:link w:val="154"/>
    <w:qFormat/>
    <w:uiPriority w:val="10"/>
    <w:pPr>
      <w:spacing w:before="240" w:after="60"/>
      <w:jc w:val="center"/>
      <w:outlineLvl w:val="0"/>
    </w:pPr>
    <w:rPr>
      <w:rFonts w:asciiTheme="majorHAnsi" w:hAnsiTheme="majorHAnsi" w:cstheme="majorBidi"/>
      <w:b/>
      <w:bCs/>
      <w:sz w:val="32"/>
      <w:szCs w:val="32"/>
    </w:rPr>
  </w:style>
  <w:style w:type="paragraph" w:styleId="32">
    <w:name w:val="annotation subject"/>
    <w:basedOn w:val="11"/>
    <w:next w:val="11"/>
    <w:link w:val="75"/>
    <w:unhideWhenUsed/>
    <w:qFormat/>
    <w:uiPriority w:val="99"/>
    <w:rPr>
      <w:b/>
      <w:bCs/>
    </w:rPr>
  </w:style>
  <w:style w:type="paragraph" w:styleId="33">
    <w:name w:val="Body Text First Indent 2"/>
    <w:basedOn w:val="14"/>
    <w:link w:val="148"/>
    <w:semiHidden/>
    <w:unhideWhenUsed/>
    <w:qFormat/>
    <w:uiPriority w:val="99"/>
    <w:pPr>
      <w:spacing w:after="120" w:line="240" w:lineRule="auto"/>
      <w:ind w:left="420" w:leftChars="200" w:firstLine="420" w:firstLineChars="200"/>
    </w:pPr>
    <w:rPr>
      <w:rFonts w:ascii="Times New Roman" w:hAnsi="Times New Roman"/>
      <w:spacing w:val="0"/>
      <w:sz w:val="21"/>
      <w:szCs w:val="24"/>
    </w:rPr>
  </w:style>
  <w:style w:type="table" w:styleId="35">
    <w:name w:val="Table Grid"/>
    <w:basedOn w:val="34"/>
    <w:qFormat/>
    <w:uiPriority w:val="5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page number"/>
    <w:qFormat/>
    <w:uiPriority w:val="0"/>
  </w:style>
  <w:style w:type="character" w:styleId="38">
    <w:name w:val="FollowedHyperlink"/>
    <w:qFormat/>
    <w:uiPriority w:val="0"/>
    <w:rPr>
      <w:color w:val="800080"/>
      <w:u w:val="single"/>
    </w:rPr>
  </w:style>
  <w:style w:type="character" w:styleId="39">
    <w:name w:val="Hyperlink"/>
    <w:qFormat/>
    <w:uiPriority w:val="99"/>
    <w:rPr>
      <w:color w:val="0000FF"/>
      <w:u w:val="single"/>
    </w:rPr>
  </w:style>
  <w:style w:type="character" w:styleId="40">
    <w:name w:val="annotation reference"/>
    <w:qFormat/>
    <w:uiPriority w:val="0"/>
    <w:rPr>
      <w:sz w:val="21"/>
      <w:szCs w:val="21"/>
    </w:rPr>
  </w:style>
  <w:style w:type="character" w:styleId="41">
    <w:name w:val="HTML Sample"/>
    <w:basedOn w:val="36"/>
    <w:semiHidden/>
    <w:unhideWhenUsed/>
    <w:qFormat/>
    <w:uiPriority w:val="99"/>
    <w:rPr>
      <w:rFonts w:ascii="Courier New" w:hAnsi="Courier New"/>
    </w:rPr>
  </w:style>
  <w:style w:type="character" w:customStyle="1" w:styleId="42">
    <w:name w:val="页眉 Char"/>
    <w:basedOn w:val="36"/>
    <w:link w:val="23"/>
    <w:qFormat/>
    <w:uiPriority w:val="99"/>
    <w:rPr>
      <w:sz w:val="18"/>
      <w:szCs w:val="18"/>
    </w:rPr>
  </w:style>
  <w:style w:type="character" w:customStyle="1" w:styleId="43">
    <w:name w:val="页脚 Char"/>
    <w:basedOn w:val="36"/>
    <w:link w:val="22"/>
    <w:qFormat/>
    <w:uiPriority w:val="99"/>
    <w:rPr>
      <w:sz w:val="18"/>
      <w:szCs w:val="18"/>
    </w:rPr>
  </w:style>
  <w:style w:type="character" w:customStyle="1" w:styleId="44">
    <w:name w:val="标题 1 Char"/>
    <w:basedOn w:val="36"/>
    <w:qFormat/>
    <w:uiPriority w:val="9"/>
    <w:rPr>
      <w:rFonts w:ascii="Times New Roman" w:hAnsi="Times New Roman" w:eastAsia="宋体" w:cs="Times New Roman"/>
      <w:b/>
      <w:bCs/>
      <w:kern w:val="44"/>
      <w:sz w:val="44"/>
      <w:szCs w:val="44"/>
    </w:rPr>
  </w:style>
  <w:style w:type="character" w:customStyle="1" w:styleId="45">
    <w:name w:val="标题 2 Char"/>
    <w:basedOn w:val="36"/>
    <w:semiHidden/>
    <w:qFormat/>
    <w:uiPriority w:val="9"/>
    <w:rPr>
      <w:rFonts w:asciiTheme="majorHAnsi" w:hAnsiTheme="majorHAnsi" w:eastAsiaTheme="majorEastAsia" w:cstheme="majorBidi"/>
      <w:b/>
      <w:bCs/>
      <w:sz w:val="32"/>
      <w:szCs w:val="32"/>
    </w:rPr>
  </w:style>
  <w:style w:type="character" w:customStyle="1" w:styleId="46">
    <w:name w:val="标题 3 Char"/>
    <w:basedOn w:val="36"/>
    <w:semiHidden/>
    <w:qFormat/>
    <w:uiPriority w:val="9"/>
    <w:rPr>
      <w:rFonts w:ascii="Times New Roman" w:hAnsi="Times New Roman" w:eastAsia="宋体" w:cs="Times New Roman"/>
      <w:b/>
      <w:bCs/>
      <w:sz w:val="32"/>
      <w:szCs w:val="32"/>
    </w:rPr>
  </w:style>
  <w:style w:type="character" w:customStyle="1" w:styleId="47">
    <w:name w:val="标题 4 Char"/>
    <w:basedOn w:val="36"/>
    <w:semiHidden/>
    <w:qFormat/>
    <w:uiPriority w:val="9"/>
    <w:rPr>
      <w:rFonts w:asciiTheme="majorHAnsi" w:hAnsiTheme="majorHAnsi" w:eastAsiaTheme="majorEastAsia" w:cstheme="majorBidi"/>
      <w:b/>
      <w:bCs/>
      <w:sz w:val="28"/>
      <w:szCs w:val="28"/>
    </w:rPr>
  </w:style>
  <w:style w:type="character" w:customStyle="1" w:styleId="48">
    <w:name w:val="标题 5 Char"/>
    <w:basedOn w:val="36"/>
    <w:semiHidden/>
    <w:qFormat/>
    <w:uiPriority w:val="9"/>
    <w:rPr>
      <w:rFonts w:ascii="Times New Roman" w:hAnsi="Times New Roman" w:eastAsia="宋体" w:cs="Times New Roman"/>
      <w:b/>
      <w:bCs/>
      <w:sz w:val="28"/>
      <w:szCs w:val="28"/>
    </w:rPr>
  </w:style>
  <w:style w:type="character" w:customStyle="1" w:styleId="49">
    <w:name w:val="标题 1 Char1"/>
    <w:link w:val="2"/>
    <w:qFormat/>
    <w:uiPriority w:val="0"/>
    <w:rPr>
      <w:rFonts w:ascii="Times New Roman" w:hAnsi="Times New Roman" w:eastAsia="宋体" w:cs="Times New Roman"/>
      <w:b/>
      <w:bCs/>
      <w:kern w:val="44"/>
      <w:sz w:val="44"/>
      <w:szCs w:val="44"/>
    </w:rPr>
  </w:style>
  <w:style w:type="character" w:customStyle="1" w:styleId="50">
    <w:name w:val="标题 2 Char1"/>
    <w:link w:val="3"/>
    <w:qFormat/>
    <w:uiPriority w:val="0"/>
    <w:rPr>
      <w:rFonts w:ascii="Arial" w:hAnsi="Arial" w:eastAsia="黑体" w:cs="Times New Roman"/>
      <w:b/>
      <w:bCs/>
      <w:sz w:val="32"/>
      <w:szCs w:val="32"/>
    </w:rPr>
  </w:style>
  <w:style w:type="character" w:customStyle="1" w:styleId="51">
    <w:name w:val="标题 3 Char1"/>
    <w:link w:val="4"/>
    <w:qFormat/>
    <w:uiPriority w:val="0"/>
    <w:rPr>
      <w:rFonts w:ascii="Times New Roman" w:hAnsi="Times New Roman" w:eastAsia="宋体" w:cs="Times New Roman"/>
      <w:b/>
      <w:bCs/>
      <w:sz w:val="32"/>
      <w:szCs w:val="32"/>
    </w:rPr>
  </w:style>
  <w:style w:type="character" w:customStyle="1" w:styleId="52">
    <w:name w:val="标题 4 Char1"/>
    <w:link w:val="5"/>
    <w:qFormat/>
    <w:uiPriority w:val="0"/>
    <w:rPr>
      <w:rFonts w:ascii="Arial" w:hAnsi="Times New Roman" w:eastAsia="黑体" w:cs="Times New Roman"/>
      <w:kern w:val="0"/>
      <w:sz w:val="28"/>
      <w:szCs w:val="20"/>
    </w:rPr>
  </w:style>
  <w:style w:type="character" w:customStyle="1" w:styleId="53">
    <w:name w:val="标题 5 Char1"/>
    <w:link w:val="6"/>
    <w:qFormat/>
    <w:uiPriority w:val="9"/>
    <w:rPr>
      <w:rFonts w:ascii="Times New Roman" w:hAnsi="Times New Roman" w:eastAsia="宋体" w:cs="Times New Roman"/>
      <w:b/>
      <w:bCs/>
      <w:sz w:val="28"/>
      <w:szCs w:val="28"/>
    </w:rPr>
  </w:style>
  <w:style w:type="character" w:customStyle="1" w:styleId="54">
    <w:name w:val="文档结构图 Char"/>
    <w:basedOn w:val="36"/>
    <w:semiHidden/>
    <w:qFormat/>
    <w:uiPriority w:val="99"/>
    <w:rPr>
      <w:rFonts w:ascii="宋体" w:hAnsi="Times New Roman" w:eastAsia="宋体" w:cs="Times New Roman"/>
      <w:sz w:val="18"/>
      <w:szCs w:val="18"/>
    </w:rPr>
  </w:style>
  <w:style w:type="character" w:customStyle="1" w:styleId="55">
    <w:name w:val="文档结构图 Char1"/>
    <w:link w:val="10"/>
    <w:qFormat/>
    <w:uiPriority w:val="0"/>
    <w:rPr>
      <w:rFonts w:ascii="宋体" w:hAnsi="Times New Roman" w:eastAsia="宋体" w:cs="Times New Roman"/>
      <w:sz w:val="18"/>
      <w:szCs w:val="18"/>
    </w:rPr>
  </w:style>
  <w:style w:type="character" w:customStyle="1" w:styleId="56">
    <w:name w:val="批注文字 Char"/>
    <w:basedOn w:val="36"/>
    <w:semiHidden/>
    <w:qFormat/>
    <w:uiPriority w:val="99"/>
    <w:rPr>
      <w:rFonts w:ascii="Times New Roman" w:hAnsi="Times New Roman" w:eastAsia="宋体" w:cs="Times New Roman"/>
      <w:szCs w:val="24"/>
    </w:rPr>
  </w:style>
  <w:style w:type="character" w:customStyle="1" w:styleId="57">
    <w:name w:val="批注文字 Char2"/>
    <w:link w:val="11"/>
    <w:qFormat/>
    <w:uiPriority w:val="0"/>
    <w:rPr>
      <w:rFonts w:ascii="Times New Roman" w:hAnsi="Times New Roman" w:eastAsia="宋体" w:cs="Times New Roman"/>
      <w:szCs w:val="24"/>
    </w:rPr>
  </w:style>
  <w:style w:type="character" w:customStyle="1" w:styleId="58">
    <w:name w:val="正文文本 3 Char"/>
    <w:basedOn w:val="36"/>
    <w:semiHidden/>
    <w:qFormat/>
    <w:uiPriority w:val="99"/>
    <w:rPr>
      <w:rFonts w:ascii="Times New Roman" w:hAnsi="Times New Roman" w:eastAsia="宋体" w:cs="Times New Roman"/>
      <w:sz w:val="16"/>
      <w:szCs w:val="16"/>
    </w:rPr>
  </w:style>
  <w:style w:type="character" w:customStyle="1" w:styleId="59">
    <w:name w:val="正文文本 3 Char1"/>
    <w:link w:val="12"/>
    <w:qFormat/>
    <w:uiPriority w:val="99"/>
    <w:rPr>
      <w:rFonts w:ascii="Times New Roman" w:hAnsi="Times New Roman" w:eastAsia="宋体" w:cs="Times New Roman"/>
      <w:sz w:val="16"/>
      <w:szCs w:val="16"/>
    </w:rPr>
  </w:style>
  <w:style w:type="character" w:customStyle="1" w:styleId="60">
    <w:name w:val="正文文本 Char"/>
    <w:basedOn w:val="36"/>
    <w:semiHidden/>
    <w:qFormat/>
    <w:uiPriority w:val="99"/>
    <w:rPr>
      <w:rFonts w:ascii="Times New Roman" w:hAnsi="Times New Roman" w:eastAsia="宋体" w:cs="Times New Roman"/>
      <w:szCs w:val="24"/>
    </w:rPr>
  </w:style>
  <w:style w:type="character" w:customStyle="1" w:styleId="61">
    <w:name w:val="正文文本 Char1"/>
    <w:link w:val="13"/>
    <w:qFormat/>
    <w:uiPriority w:val="99"/>
    <w:rPr>
      <w:rFonts w:ascii="Times New Roman" w:hAnsi="Times New Roman" w:eastAsia="宋体" w:cs="Times New Roman"/>
      <w:szCs w:val="24"/>
    </w:rPr>
  </w:style>
  <w:style w:type="character" w:customStyle="1" w:styleId="62">
    <w:name w:val="正文文本缩进 Char"/>
    <w:basedOn w:val="36"/>
    <w:semiHidden/>
    <w:qFormat/>
    <w:uiPriority w:val="99"/>
    <w:rPr>
      <w:rFonts w:ascii="Times New Roman" w:hAnsi="Times New Roman" w:eastAsia="宋体" w:cs="Times New Roman"/>
      <w:szCs w:val="24"/>
    </w:rPr>
  </w:style>
  <w:style w:type="character" w:customStyle="1" w:styleId="63">
    <w:name w:val="正文文本缩进 Char1"/>
    <w:link w:val="14"/>
    <w:qFormat/>
    <w:uiPriority w:val="0"/>
    <w:rPr>
      <w:rFonts w:ascii="宋体" w:hAnsi="Courier New" w:eastAsia="宋体" w:cs="Times New Roman"/>
      <w:spacing w:val="-4"/>
      <w:sz w:val="18"/>
      <w:szCs w:val="20"/>
    </w:rPr>
  </w:style>
  <w:style w:type="character" w:customStyle="1" w:styleId="64">
    <w:name w:val="纯文本 Char"/>
    <w:basedOn w:val="36"/>
    <w:semiHidden/>
    <w:qFormat/>
    <w:uiPriority w:val="99"/>
    <w:rPr>
      <w:rFonts w:ascii="宋体" w:hAnsi="Courier New" w:eastAsia="宋体" w:cs="Courier New"/>
      <w:szCs w:val="21"/>
    </w:rPr>
  </w:style>
  <w:style w:type="character" w:customStyle="1" w:styleId="65">
    <w:name w:val="纯文本 Char2"/>
    <w:link w:val="17"/>
    <w:qFormat/>
    <w:uiPriority w:val="0"/>
    <w:rPr>
      <w:rFonts w:cs="宋体" w:asciiTheme="minorEastAsia" w:hAnsiTheme="minorEastAsia"/>
      <w:b/>
      <w:bCs/>
      <w:kern w:val="2"/>
      <w:sz w:val="28"/>
      <w:szCs w:val="28"/>
    </w:rPr>
  </w:style>
  <w:style w:type="character" w:customStyle="1" w:styleId="66">
    <w:name w:val="日期 Char"/>
    <w:basedOn w:val="36"/>
    <w:semiHidden/>
    <w:qFormat/>
    <w:uiPriority w:val="99"/>
    <w:rPr>
      <w:rFonts w:ascii="Times New Roman" w:hAnsi="Times New Roman" w:eastAsia="宋体" w:cs="Times New Roman"/>
      <w:szCs w:val="24"/>
    </w:rPr>
  </w:style>
  <w:style w:type="character" w:customStyle="1" w:styleId="67">
    <w:name w:val="日期 Char1"/>
    <w:link w:val="19"/>
    <w:qFormat/>
    <w:uiPriority w:val="0"/>
    <w:rPr>
      <w:rFonts w:ascii="Times New Roman" w:hAnsi="Times New Roman" w:eastAsia="宋体" w:cs="Times New Roman"/>
      <w:szCs w:val="24"/>
    </w:rPr>
  </w:style>
  <w:style w:type="character" w:customStyle="1" w:styleId="68">
    <w:name w:val="正文文本缩进 2 Char"/>
    <w:basedOn w:val="36"/>
    <w:semiHidden/>
    <w:qFormat/>
    <w:uiPriority w:val="99"/>
    <w:rPr>
      <w:rFonts w:ascii="Times New Roman" w:hAnsi="Times New Roman" w:eastAsia="宋体" w:cs="Times New Roman"/>
      <w:szCs w:val="24"/>
    </w:rPr>
  </w:style>
  <w:style w:type="character" w:customStyle="1" w:styleId="69">
    <w:name w:val="正文文本缩进 2 Char1"/>
    <w:link w:val="20"/>
    <w:qFormat/>
    <w:uiPriority w:val="0"/>
    <w:rPr>
      <w:rFonts w:ascii="Times New Roman" w:hAnsi="Times New Roman" w:eastAsia="宋体" w:cs="Times New Roman"/>
      <w:szCs w:val="24"/>
    </w:rPr>
  </w:style>
  <w:style w:type="character" w:customStyle="1" w:styleId="70">
    <w:name w:val="批注框文本 Char"/>
    <w:basedOn w:val="36"/>
    <w:semiHidden/>
    <w:qFormat/>
    <w:uiPriority w:val="99"/>
    <w:rPr>
      <w:rFonts w:ascii="Times New Roman" w:hAnsi="Times New Roman" w:eastAsia="宋体" w:cs="Times New Roman"/>
      <w:sz w:val="18"/>
      <w:szCs w:val="18"/>
    </w:rPr>
  </w:style>
  <w:style w:type="character" w:customStyle="1" w:styleId="71">
    <w:name w:val="批注框文本 Char1"/>
    <w:link w:val="21"/>
    <w:qFormat/>
    <w:uiPriority w:val="0"/>
    <w:rPr>
      <w:rFonts w:ascii="Times New Roman" w:hAnsi="Times New Roman" w:eastAsia="宋体" w:cs="Times New Roman"/>
      <w:sz w:val="18"/>
      <w:szCs w:val="18"/>
    </w:rPr>
  </w:style>
  <w:style w:type="character" w:customStyle="1" w:styleId="72">
    <w:name w:val="页脚 字符2"/>
    <w:qFormat/>
    <w:uiPriority w:val="99"/>
    <w:rPr>
      <w:kern w:val="2"/>
      <w:sz w:val="18"/>
      <w:szCs w:val="18"/>
    </w:rPr>
  </w:style>
  <w:style w:type="character" w:customStyle="1" w:styleId="73">
    <w:name w:val="页眉 字符2"/>
    <w:qFormat/>
    <w:uiPriority w:val="99"/>
    <w:rPr>
      <w:kern w:val="2"/>
      <w:sz w:val="18"/>
      <w:szCs w:val="18"/>
    </w:rPr>
  </w:style>
  <w:style w:type="character" w:customStyle="1" w:styleId="74">
    <w:name w:val="批注主题 Char"/>
    <w:basedOn w:val="56"/>
    <w:semiHidden/>
    <w:qFormat/>
    <w:uiPriority w:val="99"/>
    <w:rPr>
      <w:rFonts w:ascii="Times New Roman" w:hAnsi="Times New Roman" w:eastAsia="宋体" w:cs="Times New Roman"/>
      <w:b/>
      <w:bCs/>
      <w:szCs w:val="24"/>
    </w:rPr>
  </w:style>
  <w:style w:type="character" w:customStyle="1" w:styleId="75">
    <w:name w:val="批注主题 Char1"/>
    <w:link w:val="32"/>
    <w:qFormat/>
    <w:uiPriority w:val="99"/>
    <w:rPr>
      <w:rFonts w:ascii="Times New Roman" w:hAnsi="Times New Roman" w:eastAsia="宋体" w:cs="Times New Roman"/>
      <w:b/>
      <w:bCs/>
      <w:szCs w:val="24"/>
    </w:rPr>
  </w:style>
  <w:style w:type="character" w:customStyle="1" w:styleId="76">
    <w:name w:val="正文文本_"/>
    <w:link w:val="77"/>
    <w:qFormat/>
    <w:uiPriority w:val="0"/>
    <w:rPr>
      <w:rFonts w:ascii="MingLiU" w:hAnsi="MingLiU" w:eastAsia="MingLiU" w:cs="MingLiU"/>
      <w:spacing w:val="9"/>
      <w:sz w:val="19"/>
      <w:szCs w:val="19"/>
      <w:shd w:val="clear" w:color="auto" w:fill="FFFFFF"/>
    </w:rPr>
  </w:style>
  <w:style w:type="paragraph" w:customStyle="1" w:styleId="77">
    <w:name w:val="正文文本1"/>
    <w:basedOn w:val="1"/>
    <w:link w:val="76"/>
    <w:qFormat/>
    <w:uiPriority w:val="0"/>
    <w:pPr>
      <w:shd w:val="clear" w:color="auto" w:fill="FFFFFF"/>
      <w:spacing w:line="302" w:lineRule="exact"/>
      <w:ind w:firstLine="460"/>
      <w:jc w:val="left"/>
    </w:pPr>
    <w:rPr>
      <w:rFonts w:ascii="MingLiU" w:hAnsi="MingLiU" w:eastAsia="MingLiU" w:cs="MingLiU"/>
      <w:spacing w:val="9"/>
      <w:sz w:val="19"/>
      <w:szCs w:val="19"/>
    </w:rPr>
  </w:style>
  <w:style w:type="character" w:customStyle="1" w:styleId="78">
    <w:name w:val="纯文本 Char1"/>
    <w:link w:val="79"/>
    <w:qFormat/>
    <w:uiPriority w:val="99"/>
    <w:rPr>
      <w:rFonts w:ascii="宋体" w:hAnsi="Courier New" w:eastAsia="宋体"/>
    </w:rPr>
  </w:style>
  <w:style w:type="paragraph" w:customStyle="1" w:styleId="79">
    <w:name w:val="纯文本1"/>
    <w:basedOn w:val="1"/>
    <w:link w:val="78"/>
    <w:qFormat/>
    <w:uiPriority w:val="0"/>
    <w:rPr>
      <w:rFonts w:ascii="宋体" w:hAnsi="Courier New" w:cstheme="minorBidi"/>
      <w:szCs w:val="22"/>
    </w:rPr>
  </w:style>
  <w:style w:type="character" w:customStyle="1" w:styleId="80">
    <w:name w:val="正文文本 + 10 pt"/>
    <w:qFormat/>
    <w:uiPriority w:val="0"/>
    <w:rPr>
      <w:rFonts w:ascii="MingLiU" w:hAnsi="MingLiU" w:eastAsia="MingLiU" w:cs="MingLiU"/>
      <w:color w:val="000000"/>
      <w:spacing w:val="8"/>
      <w:w w:val="100"/>
      <w:position w:val="0"/>
      <w:sz w:val="20"/>
      <w:szCs w:val="20"/>
      <w:shd w:val="clear" w:color="auto" w:fill="FFFFFF"/>
      <w:lang w:val="zh-TW"/>
    </w:rPr>
  </w:style>
  <w:style w:type="character" w:customStyle="1" w:styleId="81">
    <w:name w:val="Char Char1"/>
    <w:qFormat/>
    <w:uiPriority w:val="0"/>
    <w:rPr>
      <w:rFonts w:ascii="宋体" w:hAnsi="Courier New" w:eastAsia="宋体"/>
      <w:kern w:val="2"/>
      <w:sz w:val="21"/>
      <w:lang w:val="en-US" w:eastAsia="zh-CN" w:bidi="ar-SA"/>
    </w:rPr>
  </w:style>
  <w:style w:type="character" w:customStyle="1" w:styleId="82">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83">
    <w:name w:val="页脚 字符"/>
    <w:qFormat/>
    <w:uiPriority w:val="99"/>
    <w:rPr>
      <w:sz w:val="18"/>
      <w:szCs w:val="18"/>
    </w:rPr>
  </w:style>
  <w:style w:type="character" w:customStyle="1" w:styleId="84">
    <w:name w:val="页眉 字符"/>
    <w:qFormat/>
    <w:uiPriority w:val="99"/>
    <w:rPr>
      <w:rFonts w:ascii="Times New Roman" w:hAnsi="Times New Roman"/>
      <w:kern w:val="2"/>
      <w:sz w:val="18"/>
      <w:szCs w:val="18"/>
    </w:rPr>
  </w:style>
  <w:style w:type="character" w:customStyle="1" w:styleId="85">
    <w:name w:val="批注文字 字符1"/>
    <w:qFormat/>
    <w:uiPriority w:val="0"/>
    <w:rPr>
      <w:rFonts w:ascii="Times New Roman" w:hAnsi="Times New Roman"/>
      <w:kern w:val="2"/>
      <w:sz w:val="21"/>
      <w:szCs w:val="24"/>
    </w:rPr>
  </w:style>
  <w:style w:type="character" w:customStyle="1" w:styleId="86">
    <w:name w:val="纯文本 字符2"/>
    <w:qFormat/>
    <w:uiPriority w:val="0"/>
    <w:rPr>
      <w:rFonts w:ascii="宋体" w:hAnsi="Courier New" w:eastAsia="宋体" w:cs="Courier New"/>
      <w:szCs w:val="21"/>
    </w:rPr>
  </w:style>
  <w:style w:type="paragraph" w:customStyle="1" w:styleId="87">
    <w:name w:val="Char"/>
    <w:basedOn w:val="1"/>
    <w:qFormat/>
    <w:uiPriority w:val="0"/>
    <w:rPr>
      <w:szCs w:val="21"/>
    </w:rPr>
  </w:style>
  <w:style w:type="paragraph" w:customStyle="1" w:styleId="88">
    <w:name w:val="Char Char Char Char Char Char Char"/>
    <w:basedOn w:val="1"/>
    <w:qFormat/>
    <w:uiPriority w:val="0"/>
  </w:style>
  <w:style w:type="paragraph" w:customStyle="1" w:styleId="89">
    <w:name w:val="修订1"/>
    <w:qFormat/>
    <w:uiPriority w:val="0"/>
    <w:rPr>
      <w:rFonts w:ascii="Times New Roman" w:hAnsi="Times New Roman" w:eastAsia="宋体" w:cs="Times New Roman"/>
      <w:kern w:val="2"/>
      <w:sz w:val="21"/>
      <w:szCs w:val="24"/>
      <w:lang w:val="en-US" w:eastAsia="zh-CN" w:bidi="ar-SA"/>
    </w:rPr>
  </w:style>
  <w:style w:type="paragraph" w:customStyle="1" w:styleId="90">
    <w:name w:val="Char Char Char Char Char Char Char Char Char Char Char Char"/>
    <w:basedOn w:val="1"/>
    <w:qFormat/>
    <w:uiPriority w:val="0"/>
    <w:pPr>
      <w:widowControl/>
      <w:spacing w:after="160" w:line="240" w:lineRule="exact"/>
      <w:jc w:val="left"/>
    </w:pPr>
  </w:style>
  <w:style w:type="paragraph" w:customStyle="1" w:styleId="91">
    <w:name w:val="Char Char Char Char Char Char Char Char Char Char Char Char1"/>
    <w:basedOn w:val="1"/>
    <w:qFormat/>
    <w:uiPriority w:val="0"/>
    <w:pPr>
      <w:widowControl/>
      <w:spacing w:after="160" w:line="240" w:lineRule="exact"/>
      <w:jc w:val="left"/>
    </w:pPr>
  </w:style>
  <w:style w:type="paragraph" w:customStyle="1" w:styleId="92">
    <w:name w:val="样式 标题 1 + 居中 段前: 0 磅 段后: 0 磅 行距: 固定值 30 磅"/>
    <w:basedOn w:val="2"/>
    <w:qFormat/>
    <w:uiPriority w:val="0"/>
    <w:pPr>
      <w:spacing w:before="0" w:after="0" w:line="600" w:lineRule="exact"/>
      <w:jc w:val="center"/>
    </w:pPr>
    <w:rPr>
      <w:rFonts w:cs="宋体"/>
      <w:szCs w:val="20"/>
    </w:rPr>
  </w:style>
  <w:style w:type="paragraph" w:customStyle="1" w:styleId="93">
    <w:name w:val="Table Paragraph"/>
    <w:basedOn w:val="1"/>
    <w:qFormat/>
    <w:uiPriority w:val="1"/>
    <w:pPr>
      <w:jc w:val="left"/>
    </w:pPr>
    <w:rPr>
      <w:rFonts w:ascii="Calibri" w:hAnsi="Calibri"/>
      <w:kern w:val="0"/>
      <w:sz w:val="22"/>
      <w:szCs w:val="22"/>
      <w:lang w:eastAsia="en-US"/>
    </w:rPr>
  </w:style>
  <w:style w:type="paragraph" w:customStyle="1" w:styleId="94">
    <w:name w:val="p0"/>
    <w:basedOn w:val="1"/>
    <w:qFormat/>
    <w:uiPriority w:val="0"/>
    <w:pPr>
      <w:widowControl/>
    </w:pPr>
    <w:rPr>
      <w:kern w:val="0"/>
      <w:szCs w:val="21"/>
    </w:rPr>
  </w:style>
  <w:style w:type="paragraph" w:customStyle="1" w:styleId="95">
    <w:name w:val="Char Char Char"/>
    <w:basedOn w:val="1"/>
    <w:qFormat/>
    <w:uiPriority w:val="0"/>
    <w:rPr>
      <w:szCs w:val="20"/>
    </w:rPr>
  </w:style>
  <w:style w:type="paragraph" w:customStyle="1" w:styleId="96">
    <w:name w:val="TOC 标题1"/>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97">
    <w:name w:val="样式 标题 2 + 非加粗 首行缩进:  2 字符"/>
    <w:basedOn w:val="3"/>
    <w:qFormat/>
    <w:uiPriority w:val="0"/>
    <w:pPr>
      <w:spacing w:before="0" w:after="0" w:line="600" w:lineRule="exact"/>
      <w:ind w:firstLine="640" w:firstLineChars="200"/>
      <w:jc w:val="left"/>
    </w:pPr>
    <w:rPr>
      <w:rFonts w:cs="宋体"/>
      <w:b w:val="0"/>
      <w:bCs w:val="0"/>
      <w:szCs w:val="20"/>
    </w:rPr>
  </w:style>
  <w:style w:type="paragraph" w:customStyle="1" w:styleId="98">
    <w:name w:val="Char Char Char1 Char Char Char Char Char Char Char"/>
    <w:basedOn w:val="1"/>
    <w:qFormat/>
    <w:uiPriority w:val="0"/>
  </w:style>
  <w:style w:type="paragraph" w:customStyle="1" w:styleId="99">
    <w:name w:val="默认段落字体 Para Char Char Char Char Char Char Char Char Char1 Char Char Char Char"/>
    <w:basedOn w:val="1"/>
    <w:qFormat/>
    <w:uiPriority w:val="0"/>
    <w:rPr>
      <w:rFonts w:ascii="Tahoma" w:hAnsi="Tahoma"/>
      <w:sz w:val="24"/>
      <w:szCs w:val="20"/>
    </w:rPr>
  </w:style>
  <w:style w:type="paragraph" w:customStyle="1" w:styleId="100">
    <w:name w:val="Char1"/>
    <w:basedOn w:val="1"/>
    <w:qFormat/>
    <w:uiPriority w:val="0"/>
  </w:style>
  <w:style w:type="paragraph" w:styleId="101">
    <w:name w:val="List Paragraph"/>
    <w:basedOn w:val="1"/>
    <w:qFormat/>
    <w:uiPriority w:val="34"/>
    <w:pPr>
      <w:ind w:firstLine="420" w:firstLineChars="200"/>
    </w:pPr>
  </w:style>
  <w:style w:type="paragraph" w:customStyle="1" w:styleId="102">
    <w:name w:val="Char Char Char Char"/>
    <w:basedOn w:val="1"/>
    <w:qFormat/>
    <w:uiPriority w:val="0"/>
    <w:pPr>
      <w:widowControl/>
      <w:spacing w:after="160" w:line="240" w:lineRule="exact"/>
      <w:jc w:val="left"/>
    </w:pPr>
  </w:style>
  <w:style w:type="paragraph" w:customStyle="1" w:styleId="103">
    <w:name w:val="Char Char Char Char1"/>
    <w:basedOn w:val="1"/>
    <w:qFormat/>
    <w:uiPriority w:val="0"/>
    <w:pPr>
      <w:widowControl/>
      <w:spacing w:after="160" w:line="240" w:lineRule="exact"/>
      <w:jc w:val="left"/>
    </w:pPr>
  </w:style>
  <w:style w:type="paragraph" w:customStyle="1" w:styleId="104">
    <w:name w:val="正文段"/>
    <w:basedOn w:val="1"/>
    <w:qFormat/>
    <w:uiPriority w:val="0"/>
    <w:pPr>
      <w:widowControl/>
      <w:snapToGrid w:val="0"/>
      <w:spacing w:after="156" w:afterLines="50"/>
      <w:ind w:firstLine="200" w:firstLineChars="200"/>
    </w:pPr>
    <w:rPr>
      <w:kern w:val="0"/>
      <w:sz w:val="24"/>
      <w:szCs w:val="20"/>
    </w:rPr>
  </w:style>
  <w:style w:type="paragraph" w:customStyle="1" w:styleId="105">
    <w:name w:val="列出段落1"/>
    <w:basedOn w:val="1"/>
    <w:qFormat/>
    <w:uiPriority w:val="34"/>
    <w:pPr>
      <w:spacing w:before="100" w:beforeAutospacing="1" w:after="100" w:afterAutospacing="1" w:line="360" w:lineRule="auto"/>
      <w:ind w:firstLine="420" w:firstLineChars="200"/>
    </w:pPr>
  </w:style>
  <w:style w:type="paragraph" w:customStyle="1" w:styleId="106">
    <w:name w:val="Char Char Char Char Char Char Char1"/>
    <w:basedOn w:val="1"/>
    <w:qFormat/>
    <w:uiPriority w:val="0"/>
  </w:style>
  <w:style w:type="character" w:customStyle="1" w:styleId="107">
    <w:name w:val="正文2 Char Char"/>
    <w:link w:val="108"/>
    <w:qFormat/>
    <w:uiPriority w:val="0"/>
    <w:rPr>
      <w:sz w:val="24"/>
    </w:rPr>
  </w:style>
  <w:style w:type="paragraph" w:customStyle="1" w:styleId="108">
    <w:name w:val="正文2"/>
    <w:basedOn w:val="1"/>
    <w:link w:val="107"/>
    <w:qFormat/>
    <w:uiPriority w:val="0"/>
    <w:pPr>
      <w:adjustRightInd w:val="0"/>
      <w:spacing w:before="156" w:line="360" w:lineRule="auto"/>
      <w:ind w:firstLine="510" w:firstLineChars="200"/>
    </w:pPr>
    <w:rPr>
      <w:rFonts w:asciiTheme="minorHAnsi" w:hAnsiTheme="minorHAnsi" w:eastAsiaTheme="minorEastAsia" w:cstheme="minorBidi"/>
      <w:sz w:val="24"/>
      <w:szCs w:val="22"/>
    </w:rPr>
  </w:style>
  <w:style w:type="paragraph" w:customStyle="1" w:styleId="109">
    <w:name w:val="表格文字"/>
    <w:basedOn w:val="1"/>
    <w:next w:val="13"/>
    <w:qFormat/>
    <w:uiPriority w:val="0"/>
    <w:pPr>
      <w:adjustRightInd w:val="0"/>
      <w:spacing w:line="420" w:lineRule="atLeast"/>
      <w:jc w:val="left"/>
      <w:textAlignment w:val="baseline"/>
    </w:pPr>
    <w:rPr>
      <w:kern w:val="0"/>
    </w:rPr>
  </w:style>
  <w:style w:type="character" w:customStyle="1" w:styleId="110">
    <w:name w:val="纯文本 Char_0"/>
    <w:link w:val="111"/>
    <w:qFormat/>
    <w:uiPriority w:val="0"/>
    <w:rPr>
      <w:rFonts w:ascii="宋体" w:hAnsi="Courier New"/>
      <w:szCs w:val="21"/>
      <w:lang w:val="en-US" w:eastAsia="zh-CN"/>
    </w:rPr>
  </w:style>
  <w:style w:type="paragraph" w:customStyle="1" w:styleId="111">
    <w:name w:val="纯文本_0_0"/>
    <w:basedOn w:val="1"/>
    <w:link w:val="110"/>
    <w:qFormat/>
    <w:uiPriority w:val="0"/>
    <w:rPr>
      <w:rFonts w:ascii="宋体" w:hAnsi="Courier New" w:eastAsiaTheme="minorEastAsia" w:cstheme="minorBidi"/>
      <w:szCs w:val="21"/>
    </w:rPr>
  </w:style>
  <w:style w:type="paragraph" w:customStyle="1" w:styleId="112">
    <w:name w:val="样式5"/>
    <w:basedOn w:val="1"/>
    <w:qFormat/>
    <w:uiPriority w:val="0"/>
    <w:pPr>
      <w:adjustRightInd w:val="0"/>
      <w:spacing w:line="440" w:lineRule="exact"/>
      <w:ind w:left="2" w:firstLine="480" w:firstLineChars="200"/>
    </w:pPr>
    <w:rPr>
      <w:rFonts w:ascii="仿宋_GB2312" w:hAnsi="仿宋" w:eastAsia="仿宋_GB2312"/>
      <w:sz w:val="24"/>
    </w:rPr>
  </w:style>
  <w:style w:type="paragraph" w:customStyle="1" w:styleId="113">
    <w:name w:val="正文缩进1"/>
    <w:basedOn w:val="1"/>
    <w:next w:val="14"/>
    <w:qFormat/>
    <w:uiPriority w:val="0"/>
    <w:pPr>
      <w:autoSpaceDE w:val="0"/>
      <w:autoSpaceDN w:val="0"/>
      <w:adjustRightInd w:val="0"/>
      <w:snapToGrid w:val="0"/>
      <w:spacing w:after="120" w:line="360" w:lineRule="auto"/>
      <w:ind w:left="420" w:leftChars="200" w:firstLine="480" w:firstLineChars="200"/>
    </w:pPr>
    <w:rPr>
      <w:sz w:val="24"/>
      <w:szCs w:val="21"/>
    </w:rPr>
  </w:style>
  <w:style w:type="character" w:customStyle="1" w:styleId="114">
    <w:name w:val="批注文字 Char1"/>
    <w:qFormat/>
    <w:uiPriority w:val="0"/>
    <w:rPr>
      <w:rFonts w:ascii="Times New Roman" w:hAnsi="Times New Roman"/>
      <w:kern w:val="2"/>
      <w:sz w:val="21"/>
      <w:szCs w:val="24"/>
    </w:rPr>
  </w:style>
  <w:style w:type="character" w:customStyle="1" w:styleId="115">
    <w:name w:val="标题 1 字符"/>
    <w:qFormat/>
    <w:uiPriority w:val="0"/>
    <w:rPr>
      <w:b/>
      <w:bCs/>
      <w:kern w:val="44"/>
      <w:sz w:val="44"/>
      <w:szCs w:val="44"/>
    </w:rPr>
  </w:style>
  <w:style w:type="character" w:customStyle="1" w:styleId="116">
    <w:name w:val="标题 2 字符"/>
    <w:qFormat/>
    <w:uiPriority w:val="0"/>
    <w:rPr>
      <w:rFonts w:ascii="Arial" w:hAnsi="Arial" w:eastAsia="黑体"/>
      <w:b/>
      <w:bCs/>
      <w:kern w:val="2"/>
      <w:sz w:val="32"/>
      <w:szCs w:val="32"/>
    </w:rPr>
  </w:style>
  <w:style w:type="character" w:customStyle="1" w:styleId="117">
    <w:name w:val="标题 3 字符"/>
    <w:qFormat/>
    <w:uiPriority w:val="0"/>
    <w:rPr>
      <w:b/>
      <w:bCs/>
      <w:kern w:val="2"/>
      <w:sz w:val="32"/>
      <w:szCs w:val="32"/>
    </w:rPr>
  </w:style>
  <w:style w:type="character" w:customStyle="1" w:styleId="118">
    <w:name w:val="标题 4 字符"/>
    <w:qFormat/>
    <w:uiPriority w:val="0"/>
    <w:rPr>
      <w:rFonts w:ascii="Arial" w:eastAsia="黑体"/>
      <w:sz w:val="28"/>
    </w:rPr>
  </w:style>
  <w:style w:type="character" w:customStyle="1" w:styleId="119">
    <w:name w:val="标题 5 字符"/>
    <w:qFormat/>
    <w:uiPriority w:val="9"/>
    <w:rPr>
      <w:b/>
      <w:bCs/>
      <w:kern w:val="2"/>
      <w:sz w:val="28"/>
      <w:szCs w:val="28"/>
    </w:rPr>
  </w:style>
  <w:style w:type="character" w:customStyle="1" w:styleId="120">
    <w:name w:val="文档结构图 字符"/>
    <w:qFormat/>
    <w:uiPriority w:val="0"/>
    <w:rPr>
      <w:rFonts w:ascii="宋体"/>
      <w:kern w:val="2"/>
      <w:sz w:val="18"/>
      <w:szCs w:val="18"/>
    </w:rPr>
  </w:style>
  <w:style w:type="character" w:customStyle="1" w:styleId="121">
    <w:name w:val="批注文字 字符"/>
    <w:qFormat/>
    <w:uiPriority w:val="0"/>
    <w:rPr>
      <w:kern w:val="2"/>
      <w:sz w:val="21"/>
      <w:szCs w:val="24"/>
    </w:rPr>
  </w:style>
  <w:style w:type="character" w:customStyle="1" w:styleId="122">
    <w:name w:val="正文文本 3 字符"/>
    <w:qFormat/>
    <w:uiPriority w:val="99"/>
    <w:rPr>
      <w:kern w:val="2"/>
      <w:sz w:val="16"/>
      <w:szCs w:val="16"/>
    </w:rPr>
  </w:style>
  <w:style w:type="character" w:customStyle="1" w:styleId="123">
    <w:name w:val="正文文本 字符"/>
    <w:qFormat/>
    <w:uiPriority w:val="99"/>
    <w:rPr>
      <w:kern w:val="2"/>
      <w:sz w:val="21"/>
      <w:szCs w:val="24"/>
    </w:rPr>
  </w:style>
  <w:style w:type="character" w:customStyle="1" w:styleId="124">
    <w:name w:val="正文文本缩进 字符"/>
    <w:qFormat/>
    <w:uiPriority w:val="0"/>
    <w:rPr>
      <w:rFonts w:ascii="宋体" w:hAnsi="Courier New"/>
      <w:spacing w:val="-4"/>
      <w:kern w:val="2"/>
      <w:sz w:val="18"/>
    </w:rPr>
  </w:style>
  <w:style w:type="character" w:customStyle="1" w:styleId="125">
    <w:name w:val="纯文本 字符"/>
    <w:qFormat/>
    <w:uiPriority w:val="0"/>
    <w:rPr>
      <w:rFonts w:ascii="宋体" w:hAnsi="Courier New"/>
      <w:kern w:val="2"/>
      <w:sz w:val="21"/>
    </w:rPr>
  </w:style>
  <w:style w:type="character" w:customStyle="1" w:styleId="126">
    <w:name w:val="日期 字符"/>
    <w:qFormat/>
    <w:uiPriority w:val="0"/>
    <w:rPr>
      <w:kern w:val="2"/>
      <w:sz w:val="21"/>
      <w:szCs w:val="24"/>
    </w:rPr>
  </w:style>
  <w:style w:type="character" w:customStyle="1" w:styleId="127">
    <w:name w:val="正文文本缩进 2 字符"/>
    <w:qFormat/>
    <w:uiPriority w:val="0"/>
    <w:rPr>
      <w:kern w:val="2"/>
      <w:sz w:val="21"/>
      <w:szCs w:val="24"/>
    </w:rPr>
  </w:style>
  <w:style w:type="character" w:customStyle="1" w:styleId="128">
    <w:name w:val="批注框文本 字符"/>
    <w:qFormat/>
    <w:uiPriority w:val="0"/>
    <w:rPr>
      <w:kern w:val="2"/>
      <w:sz w:val="18"/>
      <w:szCs w:val="18"/>
    </w:rPr>
  </w:style>
  <w:style w:type="character" w:customStyle="1" w:styleId="129">
    <w:name w:val="页脚 字符1"/>
    <w:qFormat/>
    <w:uiPriority w:val="99"/>
    <w:rPr>
      <w:kern w:val="2"/>
      <w:sz w:val="18"/>
      <w:szCs w:val="18"/>
    </w:rPr>
  </w:style>
  <w:style w:type="character" w:customStyle="1" w:styleId="130">
    <w:name w:val="页眉 字符1"/>
    <w:qFormat/>
    <w:uiPriority w:val="99"/>
    <w:rPr>
      <w:kern w:val="2"/>
      <w:sz w:val="18"/>
      <w:szCs w:val="18"/>
    </w:rPr>
  </w:style>
  <w:style w:type="character" w:customStyle="1" w:styleId="131">
    <w:name w:val="批注主题 字符"/>
    <w:qFormat/>
    <w:uiPriority w:val="99"/>
    <w:rPr>
      <w:b/>
      <w:bCs/>
      <w:kern w:val="2"/>
      <w:sz w:val="21"/>
      <w:szCs w:val="24"/>
    </w:rPr>
  </w:style>
  <w:style w:type="paragraph" w:customStyle="1" w:styleId="132">
    <w:name w:val="_Style 1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3">
    <w:name w:val="msonormal"/>
    <w:basedOn w:val="1"/>
    <w:qFormat/>
    <w:uiPriority w:val="0"/>
    <w:pPr>
      <w:widowControl/>
      <w:spacing w:before="100" w:beforeAutospacing="1" w:after="100" w:afterAutospacing="1"/>
      <w:jc w:val="left"/>
    </w:pPr>
    <w:rPr>
      <w:rFonts w:ascii="宋体" w:hAnsi="宋体" w:cs="宋体"/>
      <w:kern w:val="0"/>
      <w:sz w:val="24"/>
    </w:rPr>
  </w:style>
  <w:style w:type="character" w:customStyle="1" w:styleId="134">
    <w:name w:val="纯文本 字符1"/>
    <w:semiHidden/>
    <w:qFormat/>
    <w:locked/>
    <w:uiPriority w:val="0"/>
    <w:rPr>
      <w:rFonts w:ascii="宋体" w:hAnsi="Courier New"/>
      <w:kern w:val="2"/>
      <w:sz w:val="21"/>
    </w:rPr>
  </w:style>
  <w:style w:type="character" w:customStyle="1" w:styleId="135">
    <w:name w:val="标题 4 字符1"/>
    <w:semiHidden/>
    <w:qFormat/>
    <w:locked/>
    <w:uiPriority w:val="0"/>
    <w:rPr>
      <w:rFonts w:ascii="Arial" w:eastAsia="黑体"/>
      <w:sz w:val="28"/>
    </w:rPr>
  </w:style>
  <w:style w:type="character" w:customStyle="1" w:styleId="136">
    <w:name w:val="标题 2 字符1"/>
    <w:semiHidden/>
    <w:qFormat/>
    <w:locked/>
    <w:uiPriority w:val="0"/>
    <w:rPr>
      <w:rFonts w:ascii="Arial" w:hAnsi="Arial" w:eastAsia="黑体"/>
      <w:b/>
      <w:bCs/>
      <w:kern w:val="2"/>
      <w:sz w:val="32"/>
      <w:szCs w:val="32"/>
    </w:rPr>
  </w:style>
  <w:style w:type="character" w:customStyle="1" w:styleId="137">
    <w:name w:val="标题 1 字符1"/>
    <w:qFormat/>
    <w:locked/>
    <w:uiPriority w:val="0"/>
    <w:rPr>
      <w:b/>
      <w:bCs/>
      <w:kern w:val="44"/>
      <w:sz w:val="44"/>
      <w:szCs w:val="44"/>
    </w:rPr>
  </w:style>
  <w:style w:type="character" w:customStyle="1" w:styleId="138">
    <w:name w:val="标题 3 字符1"/>
    <w:semiHidden/>
    <w:qFormat/>
    <w:locked/>
    <w:uiPriority w:val="0"/>
    <w:rPr>
      <w:b/>
      <w:bCs/>
      <w:kern w:val="2"/>
      <w:sz w:val="32"/>
      <w:szCs w:val="32"/>
    </w:rPr>
  </w:style>
  <w:style w:type="character" w:customStyle="1" w:styleId="139">
    <w:name w:val="标题 5 字符1"/>
    <w:semiHidden/>
    <w:qFormat/>
    <w:locked/>
    <w:uiPriority w:val="9"/>
    <w:rPr>
      <w:b/>
      <w:bCs/>
      <w:kern w:val="2"/>
      <w:sz w:val="28"/>
      <w:szCs w:val="28"/>
    </w:rPr>
  </w:style>
  <w:style w:type="paragraph" w:customStyle="1" w:styleId="140">
    <w:name w:val="正文文本_0_0"/>
    <w:basedOn w:val="141"/>
    <w:qFormat/>
    <w:uiPriority w:val="0"/>
    <w:pPr>
      <w:spacing w:after="120"/>
    </w:pPr>
    <w:rPr>
      <w:rFonts w:ascii="Calibri" w:hAnsi="Calibri"/>
      <w:kern w:val="0"/>
      <w:sz w:val="20"/>
    </w:rPr>
  </w:style>
  <w:style w:type="paragraph" w:customStyle="1" w:styleId="141">
    <w:name w:val="正文_1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2">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3">
    <w:name w:val="正文_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4">
    <w:name w:val="正文_1"/>
    <w:next w:val="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5">
    <w:name w:val="Normal_0"/>
    <w:qFormat/>
    <w:uiPriority w:val="0"/>
    <w:rPr>
      <w:rFonts w:ascii="Times New Roman" w:hAnsi="Times New Roman" w:eastAsia="Times New Roman" w:cs="Times New Roman"/>
      <w:sz w:val="24"/>
      <w:szCs w:val="24"/>
      <w:lang w:val="en-US" w:eastAsia="zh-CN" w:bidi="ar-SA"/>
    </w:rPr>
  </w:style>
  <w:style w:type="paragraph" w:customStyle="1" w:styleId="146">
    <w:name w:val="正文_4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7">
    <w:name w:val="正文文本_1"/>
    <w:basedOn w:val="1"/>
    <w:unhideWhenUsed/>
    <w:qFormat/>
    <w:uiPriority w:val="0"/>
    <w:pPr>
      <w:spacing w:after="120"/>
    </w:pPr>
    <w:rPr>
      <w:rFonts w:ascii="Calibri" w:hAnsi="Calibri"/>
      <w:szCs w:val="22"/>
    </w:rPr>
  </w:style>
  <w:style w:type="character" w:customStyle="1" w:styleId="148">
    <w:name w:val="正文首行缩进 2 Char"/>
    <w:basedOn w:val="63"/>
    <w:link w:val="33"/>
    <w:semiHidden/>
    <w:qFormat/>
    <w:uiPriority w:val="99"/>
    <w:rPr>
      <w:rFonts w:ascii="Times New Roman" w:hAnsi="Times New Roman" w:eastAsia="宋体" w:cs="Times New Roman"/>
      <w:spacing w:val="-4"/>
      <w:kern w:val="2"/>
      <w:sz w:val="21"/>
      <w:szCs w:val="24"/>
    </w:rPr>
  </w:style>
  <w:style w:type="character" w:customStyle="1" w:styleId="149">
    <w:name w:val="bookmark-item"/>
    <w:basedOn w:val="36"/>
    <w:qFormat/>
    <w:uiPriority w:val="0"/>
  </w:style>
  <w:style w:type="table" w:customStyle="1" w:styleId="150">
    <w:name w:val="网格型1"/>
    <w:basedOn w:val="3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1">
    <w:name w:val="网格型2"/>
    <w:basedOn w:val="3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2">
    <w:name w:val="正文_1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53">
    <w:name w:val="标准正文-lp"/>
    <w:basedOn w:val="1"/>
    <w:qFormat/>
    <w:uiPriority w:val="0"/>
    <w:pPr>
      <w:ind w:firstLine="480"/>
    </w:pPr>
    <w:rPr>
      <w:rFonts w:ascii="Calibri" w:hAnsi="Calibri" w:eastAsia="仿宋_GB2312"/>
      <w:kern w:val="0"/>
      <w:szCs w:val="20"/>
    </w:rPr>
  </w:style>
  <w:style w:type="character" w:customStyle="1" w:styleId="154">
    <w:name w:val="标题 Char"/>
    <w:basedOn w:val="36"/>
    <w:link w:val="31"/>
    <w:qFormat/>
    <w:uiPriority w:val="10"/>
    <w:rPr>
      <w:rFonts w:eastAsia="宋体" w:asciiTheme="majorHAnsi" w:hAnsiTheme="majorHAnsi" w:cstheme="majorBidi"/>
      <w:b/>
      <w:bCs/>
      <w:kern w:val="2"/>
      <w:sz w:val="32"/>
      <w:szCs w:val="32"/>
    </w:rPr>
  </w:style>
  <w:style w:type="character" w:customStyle="1" w:styleId="155">
    <w:name w:val="NormalCharacter"/>
    <w:qFormat/>
    <w:uiPriority w:val="0"/>
  </w:style>
  <w:style w:type="paragraph" w:customStyle="1" w:styleId="156">
    <w:name w:val="正文_2_1"/>
    <w:basedOn w:val="157"/>
    <w:next w:val="158"/>
    <w:qFormat/>
    <w:uiPriority w:val="0"/>
    <w:pPr>
      <w:widowControl w:val="0"/>
      <w:jc w:val="both"/>
    </w:pPr>
    <w:rPr>
      <w:rFonts w:ascii="Calibri" w:hAnsi="Calibri" w:eastAsia="宋体" w:cs="Times New Roman"/>
      <w:kern w:val="2"/>
      <w:sz w:val="21"/>
      <w:szCs w:val="22"/>
      <w:lang w:val="en-US" w:eastAsia="zh-CN" w:bidi="ar-SA"/>
    </w:rPr>
  </w:style>
  <w:style w:type="paragraph" w:customStyle="1" w:styleId="157">
    <w:name w:val="正文_14"/>
    <w:qFormat/>
    <w:uiPriority w:val="0"/>
    <w:pPr>
      <w:widowControl w:val="0"/>
      <w:jc w:val="both"/>
    </w:pPr>
    <w:rPr>
      <w:rFonts w:ascii="Calibri" w:hAnsi="Calibri" w:eastAsia="宋体" w:cs="Times New Roman"/>
      <w:kern w:val="2"/>
      <w:sz w:val="21"/>
      <w:szCs w:val="22"/>
      <w:lang w:val="en-US" w:eastAsia="zh-CN" w:bidi="ar-SA"/>
    </w:rPr>
  </w:style>
  <w:style w:type="paragraph" w:customStyle="1" w:styleId="158">
    <w:name w:val="No Spacing_0"/>
    <w:basedOn w:val="159"/>
    <w:qFormat/>
    <w:uiPriority w:val="1"/>
  </w:style>
  <w:style w:type="paragraph" w:customStyle="1" w:styleId="159">
    <w:name w:val="正文_5"/>
    <w:basedOn w:val="160"/>
    <w:next w:val="162"/>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0">
    <w:name w:val="正文_6"/>
    <w:next w:val="16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1">
    <w:name w:val="列表_1"/>
    <w:basedOn w:val="160"/>
    <w:semiHidden/>
    <w:qFormat/>
    <w:locked/>
    <w:uiPriority w:val="0"/>
    <w:pPr>
      <w:ind w:left="200" w:hanging="200" w:hangingChars="200"/>
    </w:pPr>
  </w:style>
  <w:style w:type="paragraph" w:customStyle="1" w:styleId="162">
    <w:name w:val="段_0"/>
    <w:next w:val="159"/>
    <w:qFormat/>
    <w:uiPriority w:val="0"/>
    <w:pPr>
      <w:autoSpaceDE w:val="0"/>
      <w:autoSpaceDN w:val="0"/>
      <w:adjustRightInd w:val="0"/>
      <w:snapToGrid w:val="0"/>
      <w:spacing w:line="360" w:lineRule="auto"/>
      <w:ind w:firstLine="200" w:firstLineChars="200"/>
      <w:jc w:val="both"/>
    </w:pPr>
    <w:rPr>
      <w:rFonts w:ascii="宋体" w:hAnsi="Calibri" w:eastAsia="Calibri" w:cs="Times New Roman"/>
      <w:sz w:val="24"/>
      <w:szCs w:val="22"/>
      <w:lang w:val="en-US" w:eastAsia="zh-CN" w:bidi="ar-SA"/>
    </w:rPr>
  </w:style>
  <w:style w:type="paragraph" w:customStyle="1" w:styleId="163">
    <w:name w:val="正文_0_1_0_0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4">
    <w:name w:val="Table Paragraph_1"/>
    <w:basedOn w:val="165"/>
    <w:qFormat/>
    <w:uiPriority w:val="0"/>
    <w:pPr>
      <w:jc w:val="left"/>
    </w:pPr>
    <w:rPr>
      <w:kern w:val="0"/>
      <w:sz w:val="22"/>
      <w:lang w:eastAsia="en-US"/>
    </w:rPr>
  </w:style>
  <w:style w:type="paragraph" w:customStyle="1" w:styleId="165">
    <w:name w:val="正文_6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6">
    <w:name w:val="正文_1_0"/>
    <w:basedOn w:val="167"/>
    <w:qFormat/>
    <w:uiPriority w:val="0"/>
  </w:style>
  <w:style w:type="paragraph" w:customStyle="1" w:styleId="167">
    <w:name w:val="正文_2_0"/>
    <w:basedOn w:val="168"/>
    <w:qFormat/>
    <w:uiPriority w:val="0"/>
    <w:rPr>
      <w:rFonts w:ascii="Calibri" w:hAnsi="Calibri"/>
    </w:rPr>
  </w:style>
  <w:style w:type="paragraph" w:customStyle="1" w:styleId="168">
    <w:name w:val="正文_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69">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0">
    <w:name w:val="Default"/>
    <w:next w:val="109"/>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71">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172">
    <w:name w:val="正文_5_1"/>
    <w:basedOn w:val="159"/>
    <w:qFormat/>
    <w:uiPriority w:val="0"/>
    <w:rPr>
      <w:rFonts w:ascii="Times New Roman" w:hAnsi="Times New Roman"/>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2" Type="http://schemas.openxmlformats.org/officeDocument/2006/relationships/fontTable" Target="fontTable.xml"/><Relationship Id="rId51" Type="http://schemas.openxmlformats.org/officeDocument/2006/relationships/customXml" Target="../customXml/item2.xml"/><Relationship Id="rId50" Type="http://schemas.openxmlformats.org/officeDocument/2006/relationships/numbering" Target="numbering.xml"/><Relationship Id="rId5" Type="http://schemas.openxmlformats.org/officeDocument/2006/relationships/footer" Target="footer2.xml"/><Relationship Id="rId49" Type="http://schemas.openxmlformats.org/officeDocument/2006/relationships/customXml" Target="../customXml/item1.xml"/><Relationship Id="rId48" Type="http://schemas.openxmlformats.org/officeDocument/2006/relationships/theme" Target="theme/theme1.xml"/><Relationship Id="rId47" Type="http://schemas.openxmlformats.org/officeDocument/2006/relationships/footer" Target="footer25.xml"/><Relationship Id="rId46" Type="http://schemas.openxmlformats.org/officeDocument/2006/relationships/footer" Target="footer24.xml"/><Relationship Id="rId45" Type="http://schemas.openxmlformats.org/officeDocument/2006/relationships/footer" Target="footer23.xml"/><Relationship Id="rId44" Type="http://schemas.openxmlformats.org/officeDocument/2006/relationships/header" Target="header20.xml"/><Relationship Id="rId43" Type="http://schemas.openxmlformats.org/officeDocument/2006/relationships/header" Target="header19.xml"/><Relationship Id="rId42" Type="http://schemas.openxmlformats.org/officeDocument/2006/relationships/header" Target="header18.xml"/><Relationship Id="rId41" Type="http://schemas.openxmlformats.org/officeDocument/2006/relationships/footer" Target="footer22.xml"/><Relationship Id="rId40" Type="http://schemas.openxmlformats.org/officeDocument/2006/relationships/header" Target="header17.xml"/><Relationship Id="rId4" Type="http://schemas.openxmlformats.org/officeDocument/2006/relationships/footer" Target="footer1.xml"/><Relationship Id="rId39" Type="http://schemas.openxmlformats.org/officeDocument/2006/relationships/footer" Target="footer21.xml"/><Relationship Id="rId38" Type="http://schemas.openxmlformats.org/officeDocument/2006/relationships/footer" Target="footer20.xml"/><Relationship Id="rId37" Type="http://schemas.openxmlformats.org/officeDocument/2006/relationships/header" Target="header16.xml"/><Relationship Id="rId36" Type="http://schemas.openxmlformats.org/officeDocument/2006/relationships/footer" Target="footer19.xml"/><Relationship Id="rId35" Type="http://schemas.openxmlformats.org/officeDocument/2006/relationships/footer" Target="footer18.xml"/><Relationship Id="rId34" Type="http://schemas.openxmlformats.org/officeDocument/2006/relationships/footer" Target="footer17.xml"/><Relationship Id="rId33" Type="http://schemas.openxmlformats.org/officeDocument/2006/relationships/header" Target="header15.xml"/><Relationship Id="rId32" Type="http://schemas.openxmlformats.org/officeDocument/2006/relationships/header" Target="header14.xml"/><Relationship Id="rId31" Type="http://schemas.openxmlformats.org/officeDocument/2006/relationships/header" Target="header13.xml"/><Relationship Id="rId30" Type="http://schemas.openxmlformats.org/officeDocument/2006/relationships/footer" Target="footer16.xml"/><Relationship Id="rId3" Type="http://schemas.openxmlformats.org/officeDocument/2006/relationships/header" Target="header1.xml"/><Relationship Id="rId29" Type="http://schemas.openxmlformats.org/officeDocument/2006/relationships/header" Target="header12.xml"/><Relationship Id="rId28" Type="http://schemas.openxmlformats.org/officeDocument/2006/relationships/footer" Target="footer15.xml"/><Relationship Id="rId27" Type="http://schemas.openxmlformats.org/officeDocument/2006/relationships/footer" Target="footer14.xml"/><Relationship Id="rId26" Type="http://schemas.openxmlformats.org/officeDocument/2006/relationships/header" Target="header11.xml"/><Relationship Id="rId25" Type="http://schemas.openxmlformats.org/officeDocument/2006/relationships/footer" Target="footer13.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header" Target="header10.xml"/><Relationship Id="rId21" Type="http://schemas.openxmlformats.org/officeDocument/2006/relationships/header" Target="header9.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header" Target="header7.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013EA81-FBDA-42E7-A440-FC1A1E68C57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439</Pages>
  <Words>20449</Words>
  <Characters>21824</Characters>
  <Lines>368</Lines>
  <Paragraphs>103</Paragraphs>
  <TotalTime>33</TotalTime>
  <ScaleCrop>false</ScaleCrop>
  <LinksUpToDate>false</LinksUpToDate>
  <CharactersWithSpaces>22182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2023-07-12T10:28:00Z</dcterms:created>
  <dc:creator>978911913@qq.com</dc:creator>
  <cp:lastModifiedBy>        </cp:lastModifiedBy>
  <cp:lastPrinted>2024-02-27T08:13:00Z</cp:lastPrinted>
  <dcterms:modified xsi:type="dcterms:W3CDTF">2025-06-26T09:48:11Z</dcterms:modified>
  <cp:revision>285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D962BE388EFB41FCB82CB5D432B99B33_13</vt:lpwstr>
  </property>
  <property fmtid="{D5CDD505-2E9C-101B-9397-08002B2CF9AE}" pid="4" name="KSOTemplateDocerSaveRecord">
    <vt:lpwstr>eyJoZGlkIjoiZTQyN2QzMmFkMDdjYWNjMDJjNTkxNDAxNDNkMjU4YTQiLCJ1c2VySWQiOiI5OTQxNDkzMjEifQ==</vt:lpwstr>
  </property>
</Properties>
</file>